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2.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3.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4.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5.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F37454" w14:textId="497B4854" w:rsidR="000A77D7" w:rsidRPr="003537E7" w:rsidRDefault="003537E7" w:rsidP="00234CBE">
      <w:pPr>
        <w:tabs>
          <w:tab w:val="left" w:pos="1985"/>
        </w:tabs>
        <w:spacing w:line="276" w:lineRule="auto"/>
        <w:rPr>
          <w:rFonts w:ascii="Book Antiqua" w:hAnsi="Book Antiqua" w:cs="Book Antiqua"/>
          <w:color w:val="000000" w:themeColor="text1"/>
        </w:rPr>
      </w:pPr>
      <w:r w:rsidRPr="003537E7">
        <w:rPr>
          <w:rFonts w:ascii="Book Antiqua" w:hAnsi="Book Antiqua" w:cs="Book Antiqua"/>
          <w:color w:val="000000" w:themeColor="text1"/>
        </w:rPr>
        <w:t>1360-PLA-MI-2021</w:t>
      </w:r>
      <w:r w:rsidR="000A77D7" w:rsidRPr="003537E7">
        <w:rPr>
          <w:rFonts w:ascii="Book Antiqua" w:hAnsi="Book Antiqua" w:cs="Book Antiqua"/>
          <w:color w:val="000000" w:themeColor="text1"/>
        </w:rPr>
        <w:t xml:space="preserve">                                                                                 </w:t>
      </w:r>
      <w:r w:rsidR="00D95F12" w:rsidRPr="003537E7">
        <w:rPr>
          <w:rFonts w:ascii="Book Antiqua" w:hAnsi="Book Antiqua" w:cs="Book Antiqua"/>
          <w:color w:val="000000" w:themeColor="text1"/>
        </w:rPr>
        <w:tab/>
      </w:r>
      <w:r w:rsidR="00D95F12" w:rsidRPr="003537E7">
        <w:rPr>
          <w:rFonts w:ascii="Book Antiqua" w:hAnsi="Book Antiqua" w:cs="Book Antiqua"/>
          <w:color w:val="000000" w:themeColor="text1"/>
        </w:rPr>
        <w:tab/>
      </w:r>
      <w:r w:rsidR="00D95F12" w:rsidRPr="003537E7">
        <w:rPr>
          <w:rFonts w:ascii="Book Antiqua" w:hAnsi="Book Antiqua" w:cs="Book Antiqua"/>
          <w:color w:val="000000" w:themeColor="text1"/>
        </w:rPr>
        <w:tab/>
      </w:r>
      <w:r w:rsidR="00D95F12" w:rsidRPr="003537E7">
        <w:rPr>
          <w:rFonts w:ascii="Book Antiqua" w:hAnsi="Book Antiqua" w:cs="Book Antiqua"/>
          <w:color w:val="000000" w:themeColor="text1"/>
        </w:rPr>
        <w:tab/>
      </w:r>
    </w:p>
    <w:p w14:paraId="0196F6FF" w14:textId="6A25C1DD" w:rsidR="00276D8B" w:rsidRPr="00271E0E" w:rsidRDefault="00276D8B" w:rsidP="00234CBE">
      <w:pPr>
        <w:spacing w:line="276" w:lineRule="auto"/>
        <w:jc w:val="center"/>
        <w:rPr>
          <w:rFonts w:ascii="Book Antiqua" w:hAnsi="Book Antiqua" w:cs="Book Antiqua"/>
        </w:rPr>
      </w:pPr>
      <w:r w:rsidRPr="00E238B0">
        <w:rPr>
          <w:rFonts w:ascii="Book Antiqua" w:hAnsi="Book Antiqua" w:cs="Book Antiqua"/>
        </w:rPr>
        <w:t xml:space="preserve">                                                                                                                 </w:t>
      </w:r>
      <w:r w:rsidRPr="00AD2B3B">
        <w:rPr>
          <w:rFonts w:ascii="Book Antiqua" w:hAnsi="Book Antiqua" w:cs="Book Antiqua"/>
        </w:rPr>
        <w:t xml:space="preserve"> Ref. SICE:</w:t>
      </w:r>
      <w:r w:rsidR="00AD2B3B" w:rsidRPr="00AD2B3B">
        <w:rPr>
          <w:rFonts w:ascii="Book Antiqua" w:hAnsi="Book Antiqua" w:cs="Book Antiqua"/>
        </w:rPr>
        <w:t>2142</w:t>
      </w:r>
      <w:r w:rsidRPr="00AD2B3B">
        <w:rPr>
          <w:rFonts w:ascii="Book Antiqua" w:hAnsi="Book Antiqua" w:cs="Book Antiqua"/>
        </w:rPr>
        <w:t>-21</w:t>
      </w:r>
      <w:r w:rsidRPr="009E3961">
        <w:rPr>
          <w:rFonts w:ascii="Book Antiqua" w:hAnsi="Book Antiqua" w:cs="Book Antiqua"/>
        </w:rPr>
        <w:t xml:space="preserve"> </w:t>
      </w:r>
    </w:p>
    <w:p w14:paraId="178E49D7" w14:textId="77777777" w:rsidR="00276D8B" w:rsidRPr="003537E7" w:rsidRDefault="00276D8B" w:rsidP="00234CBE">
      <w:pPr>
        <w:spacing w:line="276" w:lineRule="auto"/>
        <w:jc w:val="right"/>
        <w:rPr>
          <w:rFonts w:ascii="Book Antiqua" w:hAnsi="Book Antiqua" w:cs="Book Antiqua"/>
        </w:rPr>
      </w:pPr>
    </w:p>
    <w:p w14:paraId="48B36F3C" w14:textId="7D2FF3B1" w:rsidR="00276D8B" w:rsidRPr="003537E7" w:rsidRDefault="003118D4" w:rsidP="00234CBE">
      <w:pPr>
        <w:spacing w:line="276" w:lineRule="auto"/>
        <w:rPr>
          <w:rFonts w:ascii="Book Antiqua" w:hAnsi="Book Antiqua" w:cs="Book Antiqua"/>
        </w:rPr>
      </w:pPr>
      <w:r w:rsidRPr="003537E7">
        <w:rPr>
          <w:rFonts w:ascii="Book Antiqua" w:hAnsi="Book Antiqua" w:cs="Book Antiqua"/>
        </w:rPr>
        <w:t>3 de diciembre de 2021</w:t>
      </w:r>
    </w:p>
    <w:p w14:paraId="26BF23A2" w14:textId="77777777" w:rsidR="00276D8B" w:rsidRPr="003537E7" w:rsidRDefault="00276D8B" w:rsidP="00234CBE">
      <w:pPr>
        <w:spacing w:line="276" w:lineRule="auto"/>
        <w:rPr>
          <w:rFonts w:ascii="Book Antiqua" w:hAnsi="Book Antiqua" w:cs="Book Antiqua"/>
        </w:rPr>
      </w:pPr>
    </w:p>
    <w:p w14:paraId="524C9FF2" w14:textId="77777777" w:rsidR="005B2E28" w:rsidRPr="003537E7" w:rsidRDefault="005B2E28" w:rsidP="00234CBE">
      <w:pPr>
        <w:spacing w:line="276" w:lineRule="auto"/>
        <w:rPr>
          <w:rFonts w:ascii="Book Antiqua" w:hAnsi="Book Antiqua" w:cs="Book Antiqua"/>
        </w:rPr>
      </w:pPr>
    </w:p>
    <w:p w14:paraId="0E0EE8E2" w14:textId="60204D91" w:rsidR="00276D8B" w:rsidRPr="003537E7" w:rsidRDefault="00276D8B" w:rsidP="00234CBE">
      <w:pPr>
        <w:spacing w:line="276" w:lineRule="auto"/>
        <w:rPr>
          <w:rFonts w:ascii="Book Antiqua" w:hAnsi="Book Antiqua" w:cs="Book Antiqua"/>
        </w:rPr>
      </w:pPr>
      <w:r w:rsidRPr="003537E7">
        <w:rPr>
          <w:rFonts w:ascii="Book Antiqua" w:hAnsi="Book Antiqua" w:cs="Book Antiqua"/>
        </w:rPr>
        <w:t>Licenciada</w:t>
      </w:r>
    </w:p>
    <w:p w14:paraId="6D08E1AB" w14:textId="77777777" w:rsidR="00276D8B" w:rsidRPr="003537E7" w:rsidRDefault="00276D8B" w:rsidP="00234CBE">
      <w:pPr>
        <w:spacing w:line="276" w:lineRule="auto"/>
        <w:rPr>
          <w:rFonts w:ascii="Book Antiqua" w:hAnsi="Book Antiqua" w:cs="Book Antiqua"/>
        </w:rPr>
      </w:pPr>
      <w:r w:rsidRPr="003537E7">
        <w:rPr>
          <w:rFonts w:ascii="Book Antiqua" w:hAnsi="Book Antiqua" w:cs="Book Antiqua"/>
        </w:rPr>
        <w:t xml:space="preserve">Silvia Navarro Romanini </w:t>
      </w:r>
    </w:p>
    <w:p w14:paraId="08C64679" w14:textId="77777777" w:rsidR="00276D8B" w:rsidRPr="004F0E92" w:rsidRDefault="00276D8B" w:rsidP="00234CBE">
      <w:pPr>
        <w:spacing w:line="276" w:lineRule="auto"/>
        <w:rPr>
          <w:rFonts w:ascii="Book Antiqua" w:hAnsi="Book Antiqua" w:cs="Book Antiqua"/>
        </w:rPr>
      </w:pPr>
      <w:r w:rsidRPr="004F0E92">
        <w:rPr>
          <w:rFonts w:ascii="Book Antiqua" w:hAnsi="Book Antiqua" w:cs="Book Antiqua"/>
        </w:rPr>
        <w:t xml:space="preserve">Secretaría General de </w:t>
      </w:r>
      <w:smartTag w:uri="urn:schemas-microsoft-com:office:smarttags" w:element="PersonName">
        <w:smartTagPr>
          <w:attr w:name="ProductID" w:val="la Corte"/>
        </w:smartTagPr>
        <w:r w:rsidRPr="004F0E92">
          <w:rPr>
            <w:rFonts w:ascii="Book Antiqua" w:hAnsi="Book Antiqua" w:cs="Book Antiqua"/>
          </w:rPr>
          <w:t>la Corte</w:t>
        </w:r>
      </w:smartTag>
    </w:p>
    <w:p w14:paraId="398A526B" w14:textId="77777777" w:rsidR="00276D8B" w:rsidRPr="004F0E92" w:rsidRDefault="00276D8B" w:rsidP="00234CBE">
      <w:pPr>
        <w:spacing w:line="276" w:lineRule="auto"/>
        <w:rPr>
          <w:rFonts w:ascii="Book Antiqua" w:hAnsi="Book Antiqua" w:cs="Arial"/>
        </w:rPr>
      </w:pPr>
    </w:p>
    <w:p w14:paraId="198FDE9F" w14:textId="77777777" w:rsidR="005B2E28" w:rsidRPr="003537E7" w:rsidRDefault="005B2E28" w:rsidP="00234CBE">
      <w:pPr>
        <w:spacing w:line="276" w:lineRule="auto"/>
        <w:rPr>
          <w:rFonts w:ascii="Book Antiqua" w:hAnsi="Book Antiqua" w:cs="Book Antiqua"/>
          <w:snapToGrid w:val="0"/>
        </w:rPr>
      </w:pPr>
    </w:p>
    <w:p w14:paraId="39002C29" w14:textId="60A0F2CF" w:rsidR="00276D8B" w:rsidRPr="003537E7" w:rsidRDefault="00276D8B" w:rsidP="00234CBE">
      <w:pPr>
        <w:spacing w:line="276" w:lineRule="auto"/>
        <w:rPr>
          <w:rFonts w:ascii="Book Antiqua" w:hAnsi="Book Antiqua" w:cs="Book Antiqua"/>
          <w:snapToGrid w:val="0"/>
        </w:rPr>
      </w:pPr>
      <w:r w:rsidRPr="003537E7">
        <w:rPr>
          <w:rFonts w:ascii="Book Antiqua" w:hAnsi="Book Antiqua" w:cs="Book Antiqua"/>
          <w:snapToGrid w:val="0"/>
        </w:rPr>
        <w:t>Estimada señora:</w:t>
      </w:r>
    </w:p>
    <w:p w14:paraId="670C6136" w14:textId="77777777" w:rsidR="00276D8B" w:rsidRPr="004F0E92" w:rsidRDefault="00276D8B" w:rsidP="00234CBE">
      <w:pPr>
        <w:spacing w:line="276" w:lineRule="auto"/>
        <w:jc w:val="both"/>
        <w:rPr>
          <w:rFonts w:ascii="Book Antiqua" w:hAnsi="Book Antiqua" w:cs="Book Antiqua"/>
        </w:rPr>
      </w:pPr>
      <w:r w:rsidRPr="004F0E92">
        <w:rPr>
          <w:rFonts w:ascii="Book Antiqua" w:hAnsi="Book Antiqua" w:cs="Book Antiqua"/>
        </w:rPr>
        <w:t xml:space="preserve"> </w:t>
      </w:r>
    </w:p>
    <w:p w14:paraId="765F471D" w14:textId="07BF9F7F" w:rsidR="00276D8B" w:rsidRPr="004F0E92" w:rsidRDefault="00EE57DB" w:rsidP="00234CBE">
      <w:pPr>
        <w:spacing w:line="276" w:lineRule="auto"/>
        <w:ind w:firstLine="708"/>
        <w:jc w:val="both"/>
        <w:rPr>
          <w:rFonts w:ascii="Book Antiqua" w:hAnsi="Book Antiqua" w:cs="Book Antiqua"/>
        </w:rPr>
      </w:pPr>
      <w:r w:rsidRPr="00D66E0A">
        <w:rPr>
          <w:rFonts w:ascii="Book Antiqua" w:hAnsi="Book Antiqua" w:cs="Book Antiqua"/>
        </w:rPr>
        <w:t xml:space="preserve">Me </w:t>
      </w:r>
      <w:r w:rsidR="002032E5" w:rsidRPr="00D66E0A">
        <w:rPr>
          <w:rFonts w:ascii="Book Antiqua" w:hAnsi="Book Antiqua" w:cs="Book Antiqua"/>
        </w:rPr>
        <w:t>permit</w:t>
      </w:r>
      <w:r w:rsidRPr="00D66E0A">
        <w:rPr>
          <w:rFonts w:ascii="Book Antiqua" w:hAnsi="Book Antiqua" w:cs="Book Antiqua"/>
        </w:rPr>
        <w:t>o</w:t>
      </w:r>
      <w:r w:rsidR="002032E5" w:rsidRPr="00D66E0A">
        <w:rPr>
          <w:rFonts w:ascii="Book Antiqua" w:hAnsi="Book Antiqua" w:cs="Book Antiqua"/>
        </w:rPr>
        <w:t xml:space="preserve"> </w:t>
      </w:r>
      <w:r w:rsidR="00276D8B" w:rsidRPr="00D66E0A">
        <w:rPr>
          <w:rFonts w:ascii="Book Antiqua" w:hAnsi="Book Antiqua" w:cs="Book Antiqua"/>
        </w:rPr>
        <w:t>remit</w:t>
      </w:r>
      <w:r w:rsidR="002032E5" w:rsidRPr="00D66E0A">
        <w:rPr>
          <w:rFonts w:ascii="Book Antiqua" w:hAnsi="Book Antiqua" w:cs="Book Antiqua"/>
        </w:rPr>
        <w:t>ir</w:t>
      </w:r>
      <w:r w:rsidR="00276D8B" w:rsidRPr="00D66E0A">
        <w:rPr>
          <w:rFonts w:ascii="Book Antiqua" w:hAnsi="Book Antiqua" w:cs="Book Antiqua"/>
        </w:rPr>
        <w:t xml:space="preserve"> el informe relacionado con los resultados del seguimiento mensual de la materia Penal</w:t>
      </w:r>
      <w:r w:rsidR="00271E0E" w:rsidRPr="00D66E0A">
        <w:rPr>
          <w:rFonts w:ascii="Book Antiqua" w:hAnsi="Book Antiqua" w:cs="Book Antiqua"/>
        </w:rPr>
        <w:t xml:space="preserve">, </w:t>
      </w:r>
      <w:r w:rsidR="000A77D7" w:rsidRPr="00D66E0A">
        <w:rPr>
          <w:rFonts w:ascii="Book Antiqua" w:hAnsi="Book Antiqua" w:cs="Book Antiqua"/>
        </w:rPr>
        <w:t>durante la atención de la e</w:t>
      </w:r>
      <w:r w:rsidR="00276D8B" w:rsidRPr="00D66E0A">
        <w:rPr>
          <w:rFonts w:ascii="Book Antiqua" w:hAnsi="Book Antiqua" w:cs="Book Antiqua"/>
        </w:rPr>
        <w:t>mergencia C</w:t>
      </w:r>
      <w:r w:rsidR="000A77D7" w:rsidRPr="00D66E0A">
        <w:rPr>
          <w:rFonts w:ascii="Book Antiqua" w:hAnsi="Book Antiqua" w:cs="Book Antiqua"/>
        </w:rPr>
        <w:t>OVID</w:t>
      </w:r>
      <w:r w:rsidR="00276D8B" w:rsidRPr="00D66E0A">
        <w:rPr>
          <w:rFonts w:ascii="Book Antiqua" w:hAnsi="Book Antiqua" w:cs="Book Antiqua"/>
        </w:rPr>
        <w:t>-19</w:t>
      </w:r>
      <w:r w:rsidR="000A77D7" w:rsidRPr="00D66E0A">
        <w:rPr>
          <w:rFonts w:ascii="Book Antiqua" w:hAnsi="Book Antiqua" w:cs="Book Antiqua"/>
        </w:rPr>
        <w:t>,</w:t>
      </w:r>
      <w:r w:rsidR="00276D8B" w:rsidRPr="00D66E0A">
        <w:rPr>
          <w:rFonts w:ascii="Book Antiqua" w:hAnsi="Book Antiqua" w:cs="Book Antiqua"/>
        </w:rPr>
        <w:t xml:space="preserve"> de </w:t>
      </w:r>
      <w:r w:rsidR="00E238B0" w:rsidRPr="00D66E0A">
        <w:rPr>
          <w:rFonts w:ascii="Book Antiqua" w:hAnsi="Book Antiqua" w:cs="Book Antiqua"/>
        </w:rPr>
        <w:t>mayo a</w:t>
      </w:r>
      <w:r w:rsidR="00276D8B" w:rsidRPr="00D66E0A">
        <w:rPr>
          <w:rFonts w:ascii="Book Antiqua" w:hAnsi="Book Antiqua" w:cs="Book Antiqua"/>
        </w:rPr>
        <w:t xml:space="preserve"> </w:t>
      </w:r>
      <w:r w:rsidR="00921452">
        <w:rPr>
          <w:rFonts w:ascii="Book Antiqua" w:hAnsi="Book Antiqua" w:cs="Book Antiqua"/>
        </w:rPr>
        <w:t>setiembre</w:t>
      </w:r>
      <w:r w:rsidR="00DB6970" w:rsidRPr="00D66E0A">
        <w:rPr>
          <w:rFonts w:ascii="Book Antiqua" w:hAnsi="Book Antiqua" w:cs="Book Antiqua"/>
        </w:rPr>
        <w:t xml:space="preserve"> </w:t>
      </w:r>
      <w:r w:rsidR="00276D8B" w:rsidRPr="00D66E0A">
        <w:rPr>
          <w:rFonts w:ascii="Book Antiqua" w:hAnsi="Book Antiqua" w:cs="Book Antiqua"/>
        </w:rPr>
        <w:t>2021</w:t>
      </w:r>
      <w:r w:rsidR="00991E20" w:rsidRPr="00D66E0A">
        <w:rPr>
          <w:rFonts w:ascii="Book Antiqua" w:hAnsi="Book Antiqua" w:cs="Book Antiqua"/>
        </w:rPr>
        <w:t>,</w:t>
      </w:r>
      <w:r w:rsidR="00991E20" w:rsidRPr="00D66E0A">
        <w:rPr>
          <w:rFonts w:ascii="Book Antiqua" w:hAnsi="Book Antiqua" w:cs="Book Antiqua"/>
          <w:snapToGrid w:val="0"/>
          <w:color w:val="000000" w:themeColor="text1"/>
        </w:rPr>
        <w:t xml:space="preserve"> así como las tareas desarrolladas por Justicia Restaurativa. </w:t>
      </w:r>
      <w:r w:rsidR="00E238B0" w:rsidRPr="00D66E0A">
        <w:rPr>
          <w:rFonts w:ascii="Book Antiqua" w:hAnsi="Book Antiqua" w:cs="Book Antiqua"/>
          <w:snapToGrid w:val="0"/>
          <w:color w:val="000000" w:themeColor="text1"/>
        </w:rPr>
        <w:t xml:space="preserve">Igualmente, </w:t>
      </w:r>
      <w:r w:rsidR="00E238B0" w:rsidRPr="00D66E0A">
        <w:rPr>
          <w:rFonts w:ascii="Book Antiqua" w:hAnsi="Book Antiqua" w:cs="Book Antiqua"/>
        </w:rPr>
        <w:t>el</w:t>
      </w:r>
      <w:r w:rsidR="00991E20" w:rsidRPr="00D66E0A">
        <w:rPr>
          <w:rFonts w:ascii="Book Antiqua" w:hAnsi="Book Antiqua" w:cs="Book Antiqua"/>
        </w:rPr>
        <w:t xml:space="preserve"> </w:t>
      </w:r>
      <w:r w:rsidR="00271E0E" w:rsidRPr="00D66E0A">
        <w:rPr>
          <w:rFonts w:ascii="Book Antiqua" w:hAnsi="Book Antiqua" w:cs="Book Antiqua"/>
        </w:rPr>
        <w:t xml:space="preserve">análisis estadístico del período analizado y los planes de trabajo realizados por </w:t>
      </w:r>
      <w:r w:rsidR="00D66E0A" w:rsidRPr="00D66E0A">
        <w:rPr>
          <w:rFonts w:ascii="Book Antiqua" w:hAnsi="Book Antiqua" w:cs="Book Antiqua"/>
        </w:rPr>
        <w:t xml:space="preserve">el personal de </w:t>
      </w:r>
      <w:r w:rsidR="00271E0E" w:rsidRPr="00D66E0A">
        <w:rPr>
          <w:rFonts w:ascii="Book Antiqua" w:hAnsi="Book Antiqua" w:cs="Book Antiqua"/>
        </w:rPr>
        <w:t>la Dirección de Planificación.</w:t>
      </w:r>
      <w:r w:rsidR="00271E0E">
        <w:rPr>
          <w:rFonts w:ascii="Book Antiqua" w:hAnsi="Book Antiqua" w:cs="Book Antiqua"/>
        </w:rPr>
        <w:t xml:space="preserve"> </w:t>
      </w:r>
      <w:r w:rsidR="002032E5">
        <w:rPr>
          <w:rFonts w:ascii="Book Antiqua" w:hAnsi="Book Antiqua" w:cs="Book Antiqua"/>
        </w:rPr>
        <w:t xml:space="preserve"> </w:t>
      </w:r>
    </w:p>
    <w:p w14:paraId="40382C0E" w14:textId="77777777" w:rsidR="00276D8B" w:rsidRPr="004F0E92" w:rsidRDefault="00276D8B" w:rsidP="00234CBE">
      <w:pPr>
        <w:spacing w:line="276" w:lineRule="auto"/>
        <w:rPr>
          <w:rFonts w:ascii="Book Antiqua" w:hAnsi="Book Antiqua" w:cs="Book Antiqua"/>
        </w:rPr>
      </w:pPr>
      <w:r w:rsidRPr="004F0E92">
        <w:rPr>
          <w:rFonts w:ascii="Book Antiqua" w:hAnsi="Book Antiqua" w:cs="Book Antiqua"/>
          <w:color w:val="0000FF"/>
          <w:u w:val="single"/>
        </w:rPr>
        <w:t xml:space="preserve"> </w:t>
      </w:r>
    </w:p>
    <w:p w14:paraId="44A28855" w14:textId="3F5C310F" w:rsidR="00276D8B" w:rsidRDefault="00276D8B" w:rsidP="00234CBE">
      <w:pPr>
        <w:widowControl w:val="0"/>
        <w:spacing w:line="276" w:lineRule="auto"/>
        <w:rPr>
          <w:rFonts w:ascii="Book Antiqua" w:hAnsi="Book Antiqua" w:cs="Book Antiqua"/>
          <w:snapToGrid w:val="0"/>
          <w:lang w:val="pt-BR"/>
        </w:rPr>
      </w:pPr>
      <w:r w:rsidRPr="004F0E92">
        <w:rPr>
          <w:rFonts w:ascii="Book Antiqua" w:hAnsi="Book Antiqua" w:cs="Book Antiqua"/>
          <w:snapToGrid w:val="0"/>
          <w:lang w:val="pt-BR"/>
        </w:rPr>
        <w:t>Atentamente,</w:t>
      </w:r>
    </w:p>
    <w:p w14:paraId="4ED2E83C" w14:textId="0C243332" w:rsidR="005B2E28" w:rsidRDefault="005B2E28" w:rsidP="00234CBE">
      <w:pPr>
        <w:widowControl w:val="0"/>
        <w:spacing w:line="276" w:lineRule="auto"/>
        <w:rPr>
          <w:rFonts w:ascii="Book Antiqua" w:hAnsi="Book Antiqua" w:cs="Book Antiqua"/>
          <w:snapToGrid w:val="0"/>
          <w:lang w:val="pt-BR"/>
        </w:rPr>
      </w:pPr>
    </w:p>
    <w:p w14:paraId="63CCC021" w14:textId="77777777" w:rsidR="005B2E28" w:rsidRPr="004F0E92" w:rsidRDefault="005B2E28" w:rsidP="00234CBE">
      <w:pPr>
        <w:widowControl w:val="0"/>
        <w:spacing w:line="276" w:lineRule="auto"/>
        <w:rPr>
          <w:rFonts w:ascii="Book Antiqua" w:hAnsi="Book Antiqua" w:cs="Book Antiqua"/>
          <w:snapToGrid w:val="0"/>
          <w:lang w:val="pt-BR"/>
        </w:rPr>
      </w:pPr>
    </w:p>
    <w:p w14:paraId="2A54ECA9" w14:textId="40F3B051" w:rsidR="00276D8B" w:rsidRPr="008A6D56" w:rsidRDefault="000A77D7" w:rsidP="00234CBE">
      <w:pPr>
        <w:spacing w:line="276" w:lineRule="auto"/>
        <w:rPr>
          <w:rFonts w:ascii="Book Antiqua" w:hAnsi="Book Antiqua" w:cs="Book Antiqua"/>
          <w:snapToGrid w:val="0"/>
          <w:lang w:val="pt-BR"/>
        </w:rPr>
      </w:pPr>
      <w:r w:rsidRPr="008A6D56">
        <w:rPr>
          <w:rFonts w:ascii="Book Antiqua" w:hAnsi="Book Antiqua" w:cs="Book Antiqua"/>
          <w:snapToGrid w:val="0"/>
          <w:lang w:val="pt-BR"/>
        </w:rPr>
        <w:t>Nacira</w:t>
      </w:r>
      <w:r w:rsidR="00276D8B" w:rsidRPr="008A6D56">
        <w:rPr>
          <w:rFonts w:ascii="Book Antiqua" w:hAnsi="Book Antiqua" w:cs="Book Antiqua"/>
          <w:snapToGrid w:val="0"/>
          <w:lang w:val="pt-BR"/>
        </w:rPr>
        <w:t xml:space="preserve"> Valverde Bermúdez</w:t>
      </w:r>
      <w:r w:rsidR="002032E5" w:rsidRPr="008A6D56">
        <w:rPr>
          <w:rFonts w:ascii="Book Antiqua" w:hAnsi="Book Antiqua" w:cs="Book Antiqua"/>
          <w:snapToGrid w:val="0"/>
          <w:lang w:val="pt-BR"/>
        </w:rPr>
        <w:t xml:space="preserve">                             </w:t>
      </w:r>
    </w:p>
    <w:p w14:paraId="00683237" w14:textId="4B736CCF" w:rsidR="002032E5" w:rsidRPr="008A6D56" w:rsidRDefault="00276D8B" w:rsidP="00234CBE">
      <w:pPr>
        <w:widowControl w:val="0"/>
        <w:spacing w:line="276" w:lineRule="auto"/>
        <w:jc w:val="both"/>
        <w:rPr>
          <w:rFonts w:ascii="Book Antiqua" w:hAnsi="Book Antiqua" w:cs="Arial"/>
          <w:color w:val="000000" w:themeColor="text1"/>
          <w:sz w:val="20"/>
          <w:szCs w:val="20"/>
        </w:rPr>
      </w:pPr>
      <w:proofErr w:type="spellStart"/>
      <w:r w:rsidRPr="008A6D56">
        <w:rPr>
          <w:rFonts w:ascii="Book Antiqua" w:hAnsi="Book Antiqua" w:cs="Book Antiqua"/>
          <w:snapToGrid w:val="0"/>
          <w:lang w:val="pt-BR"/>
        </w:rPr>
        <w:t>Directora</w:t>
      </w:r>
      <w:proofErr w:type="spellEnd"/>
      <w:r w:rsidRPr="008A6D56">
        <w:rPr>
          <w:rFonts w:ascii="Book Antiqua" w:hAnsi="Book Antiqua" w:cs="Book Antiqua"/>
          <w:snapToGrid w:val="0"/>
          <w:lang w:val="pt-BR"/>
        </w:rPr>
        <w:t xml:space="preserve"> </w:t>
      </w:r>
      <w:proofErr w:type="spellStart"/>
      <w:r w:rsidRPr="008A6D56">
        <w:rPr>
          <w:rFonts w:ascii="Book Antiqua" w:hAnsi="Book Antiqua" w:cs="Book Antiqua"/>
          <w:snapToGrid w:val="0"/>
          <w:lang w:val="pt-BR"/>
        </w:rPr>
        <w:t>a.i</w:t>
      </w:r>
      <w:proofErr w:type="spellEnd"/>
      <w:r w:rsidRPr="008A6D56">
        <w:rPr>
          <w:rFonts w:ascii="Book Antiqua" w:hAnsi="Book Antiqua" w:cs="Book Antiqua"/>
          <w:snapToGrid w:val="0"/>
          <w:lang w:val="pt-BR"/>
        </w:rPr>
        <w:t>. de Planificación</w:t>
      </w:r>
      <w:r w:rsidR="002032E5" w:rsidRPr="008A6D56">
        <w:rPr>
          <w:rFonts w:ascii="Book Antiqua" w:hAnsi="Book Antiqua" w:cs="Book Antiqua"/>
          <w:snapToGrid w:val="0"/>
          <w:lang w:val="pt-BR"/>
        </w:rPr>
        <w:t xml:space="preserve">                                     </w:t>
      </w:r>
    </w:p>
    <w:p w14:paraId="140D6776" w14:textId="77777777" w:rsidR="000A77D7" w:rsidRPr="008A6D56" w:rsidRDefault="000A77D7" w:rsidP="00234CBE">
      <w:pPr>
        <w:spacing w:line="276" w:lineRule="auto"/>
        <w:rPr>
          <w:rFonts w:ascii="Book Antiqua" w:hAnsi="Book Antiqua" w:cs="Book Antiqua"/>
          <w:sz w:val="20"/>
          <w:szCs w:val="20"/>
        </w:rPr>
      </w:pPr>
    </w:p>
    <w:p w14:paraId="62684B14" w14:textId="77777777" w:rsidR="005B2E28" w:rsidRDefault="005B2E28" w:rsidP="00234CBE">
      <w:pPr>
        <w:spacing w:line="276" w:lineRule="auto"/>
        <w:rPr>
          <w:rFonts w:ascii="Book Antiqua" w:hAnsi="Book Antiqua" w:cs="Book Antiqua"/>
          <w:sz w:val="20"/>
          <w:szCs w:val="20"/>
        </w:rPr>
      </w:pPr>
    </w:p>
    <w:p w14:paraId="32E5934D" w14:textId="5FBFF6B4" w:rsidR="00276D8B" w:rsidRPr="007A33D1" w:rsidRDefault="00276D8B" w:rsidP="00234CBE">
      <w:pPr>
        <w:spacing w:line="276" w:lineRule="auto"/>
        <w:rPr>
          <w:rFonts w:ascii="Book Antiqua" w:hAnsi="Book Antiqua" w:cs="Book Antiqua"/>
          <w:sz w:val="20"/>
          <w:szCs w:val="20"/>
        </w:rPr>
      </w:pPr>
      <w:r w:rsidRPr="007A33D1">
        <w:rPr>
          <w:rFonts w:ascii="Book Antiqua" w:hAnsi="Book Antiqua" w:cs="Book Antiqua"/>
          <w:sz w:val="20"/>
          <w:szCs w:val="20"/>
        </w:rPr>
        <w:t>Copia</w:t>
      </w:r>
      <w:r w:rsidR="000A77D7" w:rsidRPr="007A33D1">
        <w:rPr>
          <w:rFonts w:ascii="Book Antiqua" w:hAnsi="Book Antiqua" w:cs="Book Antiqua"/>
          <w:sz w:val="20"/>
          <w:szCs w:val="20"/>
        </w:rPr>
        <w:t>s</w:t>
      </w:r>
      <w:r w:rsidRPr="007A33D1">
        <w:rPr>
          <w:rFonts w:ascii="Book Antiqua" w:hAnsi="Book Antiqua" w:cs="Book Antiqua"/>
          <w:sz w:val="20"/>
          <w:szCs w:val="20"/>
        </w:rPr>
        <w:t xml:space="preserve">: </w:t>
      </w:r>
    </w:p>
    <w:p w14:paraId="06966DB6" w14:textId="77777777" w:rsidR="000A77D7" w:rsidRPr="007A33D1" w:rsidRDefault="000A77D7" w:rsidP="00234CBE">
      <w:pPr>
        <w:spacing w:line="276" w:lineRule="auto"/>
        <w:rPr>
          <w:rFonts w:ascii="Book Antiqua" w:hAnsi="Book Antiqua" w:cs="Book Antiqua"/>
          <w:sz w:val="20"/>
          <w:szCs w:val="20"/>
        </w:rPr>
      </w:pPr>
    </w:p>
    <w:p w14:paraId="62947546" w14:textId="5732F9C5" w:rsidR="007F2182" w:rsidRPr="007F2182" w:rsidRDefault="007F2182" w:rsidP="00234CBE">
      <w:pPr>
        <w:pStyle w:val="Prrafodelista"/>
        <w:widowControl w:val="0"/>
        <w:numPr>
          <w:ilvl w:val="0"/>
          <w:numId w:val="2"/>
        </w:numPr>
        <w:spacing w:line="276" w:lineRule="auto"/>
        <w:jc w:val="both"/>
        <w:rPr>
          <w:rFonts w:ascii="Book Antiqua" w:hAnsi="Book Antiqua" w:cs="Arial"/>
          <w:color w:val="000000" w:themeColor="text1"/>
          <w:sz w:val="20"/>
          <w:szCs w:val="20"/>
        </w:rPr>
      </w:pPr>
      <w:r>
        <w:rPr>
          <w:rFonts w:ascii="Book Antiqua" w:hAnsi="Book Antiqua" w:cs="Arial"/>
          <w:color w:val="000000" w:themeColor="text1"/>
          <w:sz w:val="20"/>
          <w:szCs w:val="20"/>
        </w:rPr>
        <w:t>Comisión de Emergencias</w:t>
      </w:r>
    </w:p>
    <w:p w14:paraId="359AD46D" w14:textId="2DDBEB75" w:rsidR="000A77D7" w:rsidRPr="007A33D1" w:rsidRDefault="000A77D7" w:rsidP="00234CBE">
      <w:pPr>
        <w:pStyle w:val="Prrafodelista"/>
        <w:widowControl w:val="0"/>
        <w:numPr>
          <w:ilvl w:val="0"/>
          <w:numId w:val="2"/>
        </w:numPr>
        <w:spacing w:line="276" w:lineRule="auto"/>
        <w:jc w:val="both"/>
        <w:rPr>
          <w:rFonts w:ascii="Book Antiqua" w:hAnsi="Book Antiqua" w:cs="Arial"/>
          <w:color w:val="000000" w:themeColor="text1"/>
          <w:sz w:val="20"/>
          <w:szCs w:val="20"/>
        </w:rPr>
      </w:pPr>
      <w:r w:rsidRPr="007A33D1">
        <w:rPr>
          <w:rFonts w:ascii="Book Antiqua" w:hAnsi="Book Antiqua" w:cs="Arial"/>
          <w:color w:val="000000" w:themeColor="text1"/>
          <w:sz w:val="20"/>
          <w:szCs w:val="20"/>
        </w:rPr>
        <w:t>Despacho de la Presidencia</w:t>
      </w:r>
    </w:p>
    <w:p w14:paraId="533D8B88" w14:textId="77777777" w:rsidR="000A77D7" w:rsidRPr="007A33D1" w:rsidRDefault="000A77D7" w:rsidP="00234CBE">
      <w:pPr>
        <w:pStyle w:val="Prrafodelista"/>
        <w:widowControl w:val="0"/>
        <w:numPr>
          <w:ilvl w:val="0"/>
          <w:numId w:val="2"/>
        </w:numPr>
        <w:spacing w:line="276" w:lineRule="auto"/>
        <w:jc w:val="both"/>
        <w:rPr>
          <w:rFonts w:ascii="Book Antiqua" w:hAnsi="Book Antiqua" w:cs="Arial"/>
          <w:color w:val="000000" w:themeColor="text1"/>
          <w:sz w:val="20"/>
          <w:szCs w:val="20"/>
        </w:rPr>
      </w:pPr>
      <w:r w:rsidRPr="007A33D1">
        <w:rPr>
          <w:rFonts w:ascii="Book Antiqua" w:hAnsi="Book Antiqua" w:cs="Arial"/>
          <w:color w:val="000000" w:themeColor="text1"/>
          <w:sz w:val="20"/>
          <w:szCs w:val="20"/>
        </w:rPr>
        <w:t>Comisión de la Jurisdicción Penal</w:t>
      </w:r>
    </w:p>
    <w:p w14:paraId="10291B7A" w14:textId="724A1516" w:rsidR="007F2182" w:rsidRDefault="007F2182" w:rsidP="00234CBE">
      <w:pPr>
        <w:pStyle w:val="Prrafodelista"/>
        <w:widowControl w:val="0"/>
        <w:numPr>
          <w:ilvl w:val="0"/>
          <w:numId w:val="2"/>
        </w:numPr>
        <w:spacing w:line="276" w:lineRule="auto"/>
        <w:jc w:val="both"/>
        <w:rPr>
          <w:rFonts w:ascii="Book Antiqua" w:hAnsi="Book Antiqua" w:cs="Arial"/>
          <w:color w:val="000000" w:themeColor="text1"/>
          <w:sz w:val="20"/>
          <w:szCs w:val="20"/>
        </w:rPr>
      </w:pPr>
      <w:r>
        <w:rPr>
          <w:rFonts w:ascii="Book Antiqua" w:hAnsi="Book Antiqua" w:cs="Arial"/>
          <w:color w:val="000000" w:themeColor="text1"/>
          <w:sz w:val="20"/>
          <w:szCs w:val="20"/>
        </w:rPr>
        <w:t>Sala Primera</w:t>
      </w:r>
    </w:p>
    <w:p w14:paraId="4BF2497B" w14:textId="6AE4D4DE" w:rsidR="007F2182" w:rsidRDefault="007F2182" w:rsidP="00234CBE">
      <w:pPr>
        <w:pStyle w:val="Prrafodelista"/>
        <w:widowControl w:val="0"/>
        <w:numPr>
          <w:ilvl w:val="0"/>
          <w:numId w:val="2"/>
        </w:numPr>
        <w:spacing w:line="276" w:lineRule="auto"/>
        <w:jc w:val="both"/>
        <w:rPr>
          <w:rFonts w:ascii="Book Antiqua" w:hAnsi="Book Antiqua" w:cs="Arial"/>
          <w:color w:val="000000" w:themeColor="text1"/>
          <w:sz w:val="20"/>
          <w:szCs w:val="20"/>
        </w:rPr>
      </w:pPr>
      <w:r>
        <w:rPr>
          <w:rFonts w:ascii="Book Antiqua" w:hAnsi="Book Antiqua" w:cs="Arial"/>
          <w:color w:val="000000" w:themeColor="text1"/>
          <w:sz w:val="20"/>
          <w:szCs w:val="20"/>
        </w:rPr>
        <w:t>Sala Segunda</w:t>
      </w:r>
    </w:p>
    <w:p w14:paraId="0498D85B" w14:textId="77777777" w:rsidR="007F2182" w:rsidRDefault="007F2182" w:rsidP="00234CBE">
      <w:pPr>
        <w:pStyle w:val="Prrafodelista"/>
        <w:widowControl w:val="0"/>
        <w:numPr>
          <w:ilvl w:val="0"/>
          <w:numId w:val="2"/>
        </w:numPr>
        <w:spacing w:line="276" w:lineRule="auto"/>
        <w:jc w:val="both"/>
        <w:rPr>
          <w:rFonts w:ascii="Book Antiqua" w:hAnsi="Book Antiqua" w:cs="Arial"/>
          <w:color w:val="000000" w:themeColor="text1"/>
          <w:sz w:val="20"/>
          <w:szCs w:val="20"/>
        </w:rPr>
      </w:pPr>
      <w:r w:rsidRPr="007A33D1">
        <w:rPr>
          <w:rFonts w:ascii="Book Antiqua" w:hAnsi="Book Antiqua" w:cs="Arial"/>
          <w:color w:val="000000" w:themeColor="text1"/>
          <w:sz w:val="20"/>
          <w:szCs w:val="20"/>
        </w:rPr>
        <w:t>Sala Tercera</w:t>
      </w:r>
    </w:p>
    <w:p w14:paraId="61F4BA38" w14:textId="4BCBA0DF" w:rsidR="007F2182" w:rsidRPr="007F2182" w:rsidRDefault="007F2182" w:rsidP="00234CBE">
      <w:pPr>
        <w:pStyle w:val="Prrafodelista"/>
        <w:widowControl w:val="0"/>
        <w:numPr>
          <w:ilvl w:val="0"/>
          <w:numId w:val="2"/>
        </w:numPr>
        <w:spacing w:line="276" w:lineRule="auto"/>
        <w:jc w:val="both"/>
        <w:rPr>
          <w:rFonts w:ascii="Book Antiqua" w:hAnsi="Book Antiqua" w:cs="Arial"/>
          <w:color w:val="000000" w:themeColor="text1"/>
          <w:sz w:val="20"/>
          <w:szCs w:val="20"/>
        </w:rPr>
      </w:pPr>
      <w:r>
        <w:rPr>
          <w:rFonts w:ascii="Book Antiqua" w:hAnsi="Book Antiqua" w:cs="Arial"/>
          <w:color w:val="000000" w:themeColor="text1"/>
          <w:sz w:val="20"/>
          <w:szCs w:val="20"/>
        </w:rPr>
        <w:t xml:space="preserve">Sala Constitucional </w:t>
      </w:r>
    </w:p>
    <w:p w14:paraId="772E35F6" w14:textId="77777777" w:rsidR="000A77D7" w:rsidRPr="007A33D1" w:rsidRDefault="000A77D7" w:rsidP="00234CBE">
      <w:pPr>
        <w:pStyle w:val="Prrafodelista"/>
        <w:widowControl w:val="0"/>
        <w:numPr>
          <w:ilvl w:val="0"/>
          <w:numId w:val="2"/>
        </w:numPr>
        <w:spacing w:line="276" w:lineRule="auto"/>
        <w:jc w:val="both"/>
        <w:rPr>
          <w:rFonts w:ascii="Book Antiqua" w:hAnsi="Book Antiqua" w:cs="Arial"/>
          <w:color w:val="000000" w:themeColor="text1"/>
          <w:sz w:val="20"/>
          <w:szCs w:val="20"/>
        </w:rPr>
      </w:pPr>
      <w:r w:rsidRPr="007A33D1">
        <w:rPr>
          <w:rFonts w:ascii="Book Antiqua" w:hAnsi="Book Antiqua" w:cs="Arial"/>
          <w:color w:val="000000" w:themeColor="text1"/>
          <w:sz w:val="20"/>
          <w:szCs w:val="20"/>
        </w:rPr>
        <w:t>Centro de Apoyo, Coordinación y Mejoramiento de la Función Jurisdiccional</w:t>
      </w:r>
    </w:p>
    <w:p w14:paraId="0FD42D72" w14:textId="77777777" w:rsidR="000A77D7" w:rsidRPr="007A33D1" w:rsidRDefault="000A77D7" w:rsidP="00234CBE">
      <w:pPr>
        <w:pStyle w:val="Prrafodelista"/>
        <w:widowControl w:val="0"/>
        <w:numPr>
          <w:ilvl w:val="0"/>
          <w:numId w:val="2"/>
        </w:numPr>
        <w:spacing w:line="276" w:lineRule="auto"/>
        <w:jc w:val="both"/>
        <w:rPr>
          <w:rFonts w:ascii="Book Antiqua" w:hAnsi="Book Antiqua" w:cs="Arial"/>
          <w:color w:val="000000" w:themeColor="text1"/>
          <w:sz w:val="20"/>
          <w:szCs w:val="20"/>
        </w:rPr>
      </w:pPr>
      <w:r w:rsidRPr="007A33D1">
        <w:rPr>
          <w:rFonts w:ascii="Book Antiqua" w:hAnsi="Book Antiqua" w:cs="Arial"/>
          <w:color w:val="000000" w:themeColor="text1"/>
          <w:sz w:val="20"/>
          <w:szCs w:val="20"/>
        </w:rPr>
        <w:lastRenderedPageBreak/>
        <w:t>Dirección Ejecutiva</w:t>
      </w:r>
    </w:p>
    <w:p w14:paraId="59E02BB4" w14:textId="77777777" w:rsidR="000A77D7" w:rsidRPr="007A33D1" w:rsidRDefault="000A77D7" w:rsidP="00234CBE">
      <w:pPr>
        <w:pStyle w:val="Prrafodelista"/>
        <w:widowControl w:val="0"/>
        <w:numPr>
          <w:ilvl w:val="0"/>
          <w:numId w:val="2"/>
        </w:numPr>
        <w:spacing w:line="276" w:lineRule="auto"/>
        <w:jc w:val="both"/>
        <w:rPr>
          <w:rFonts w:ascii="Book Antiqua" w:hAnsi="Book Antiqua" w:cs="Arial"/>
          <w:color w:val="000000" w:themeColor="text1"/>
          <w:sz w:val="20"/>
          <w:szCs w:val="20"/>
        </w:rPr>
      </w:pPr>
      <w:r w:rsidRPr="007A33D1">
        <w:rPr>
          <w:rFonts w:ascii="Book Antiqua" w:hAnsi="Book Antiqua" w:cs="Arial"/>
          <w:color w:val="000000" w:themeColor="text1"/>
          <w:sz w:val="20"/>
          <w:szCs w:val="20"/>
        </w:rPr>
        <w:t>Dirección de Gestión Humana</w:t>
      </w:r>
    </w:p>
    <w:p w14:paraId="07F98890" w14:textId="77777777" w:rsidR="000A77D7" w:rsidRPr="007A33D1" w:rsidRDefault="000A77D7" w:rsidP="00234CBE">
      <w:pPr>
        <w:pStyle w:val="Prrafodelista"/>
        <w:widowControl w:val="0"/>
        <w:numPr>
          <w:ilvl w:val="0"/>
          <w:numId w:val="2"/>
        </w:numPr>
        <w:spacing w:line="276" w:lineRule="auto"/>
        <w:jc w:val="both"/>
        <w:rPr>
          <w:rFonts w:ascii="Book Antiqua" w:hAnsi="Book Antiqua" w:cs="Arial"/>
          <w:color w:val="000000" w:themeColor="text1"/>
          <w:sz w:val="20"/>
          <w:szCs w:val="20"/>
        </w:rPr>
      </w:pPr>
      <w:r w:rsidRPr="007A33D1">
        <w:rPr>
          <w:rFonts w:ascii="Book Antiqua" w:hAnsi="Book Antiqua" w:cs="Arial"/>
          <w:color w:val="000000" w:themeColor="text1"/>
          <w:sz w:val="20"/>
          <w:szCs w:val="20"/>
        </w:rPr>
        <w:t>Dirección de Tecnología de la Información</w:t>
      </w:r>
    </w:p>
    <w:p w14:paraId="634584BC" w14:textId="72BA63C5" w:rsidR="007F2182" w:rsidRDefault="007F2182" w:rsidP="00234CBE">
      <w:pPr>
        <w:pStyle w:val="Prrafodelista"/>
        <w:widowControl w:val="0"/>
        <w:numPr>
          <w:ilvl w:val="0"/>
          <w:numId w:val="2"/>
        </w:numPr>
        <w:spacing w:line="276" w:lineRule="auto"/>
        <w:jc w:val="both"/>
        <w:rPr>
          <w:rFonts w:ascii="Book Antiqua" w:hAnsi="Book Antiqua" w:cs="Arial"/>
          <w:color w:val="000000" w:themeColor="text1"/>
          <w:sz w:val="20"/>
          <w:szCs w:val="20"/>
        </w:rPr>
      </w:pPr>
      <w:r>
        <w:rPr>
          <w:rFonts w:ascii="Book Antiqua" w:hAnsi="Book Antiqua" w:cs="Arial"/>
          <w:color w:val="000000" w:themeColor="text1"/>
          <w:sz w:val="20"/>
          <w:szCs w:val="20"/>
        </w:rPr>
        <w:t>Inspección Judicial</w:t>
      </w:r>
    </w:p>
    <w:p w14:paraId="740010BA" w14:textId="67C748EC" w:rsidR="000A77D7" w:rsidRPr="007A33D1" w:rsidRDefault="000A77D7" w:rsidP="00234CBE">
      <w:pPr>
        <w:pStyle w:val="Prrafodelista"/>
        <w:widowControl w:val="0"/>
        <w:numPr>
          <w:ilvl w:val="0"/>
          <w:numId w:val="2"/>
        </w:numPr>
        <w:spacing w:line="276" w:lineRule="auto"/>
        <w:jc w:val="both"/>
        <w:rPr>
          <w:rFonts w:ascii="Book Antiqua" w:hAnsi="Book Antiqua" w:cs="Arial"/>
          <w:color w:val="000000" w:themeColor="text1"/>
          <w:sz w:val="20"/>
          <w:szCs w:val="20"/>
        </w:rPr>
      </w:pPr>
      <w:r w:rsidRPr="007A33D1">
        <w:rPr>
          <w:rFonts w:ascii="Book Antiqua" w:hAnsi="Book Antiqua" w:cs="Arial"/>
          <w:color w:val="000000" w:themeColor="text1"/>
          <w:sz w:val="20"/>
          <w:szCs w:val="20"/>
        </w:rPr>
        <w:t>Archivo</w:t>
      </w:r>
    </w:p>
    <w:p w14:paraId="7548EEBD" w14:textId="77777777" w:rsidR="000A77D7" w:rsidRPr="008A6D56" w:rsidRDefault="000A77D7" w:rsidP="00234CBE">
      <w:pPr>
        <w:widowControl w:val="0"/>
        <w:spacing w:line="276" w:lineRule="auto"/>
        <w:jc w:val="both"/>
        <w:rPr>
          <w:rFonts w:ascii="Book Antiqua" w:hAnsi="Book Antiqua" w:cs="Arial"/>
          <w:color w:val="000000" w:themeColor="text1"/>
          <w:sz w:val="20"/>
          <w:szCs w:val="20"/>
        </w:rPr>
      </w:pPr>
    </w:p>
    <w:p w14:paraId="04E5777B" w14:textId="61FE2712" w:rsidR="005B2E28" w:rsidRDefault="005B2E28" w:rsidP="00234CBE">
      <w:pPr>
        <w:widowControl w:val="0"/>
        <w:spacing w:line="276" w:lineRule="auto"/>
        <w:jc w:val="both"/>
        <w:rPr>
          <w:rFonts w:ascii="Book Antiqua" w:hAnsi="Book Antiqua" w:cs="Arial"/>
          <w:color w:val="000000" w:themeColor="text1"/>
          <w:sz w:val="20"/>
          <w:szCs w:val="20"/>
        </w:rPr>
      </w:pPr>
      <w:r>
        <w:rPr>
          <w:rFonts w:ascii="Book Antiqua" w:hAnsi="Book Antiqua" w:cs="Arial"/>
          <w:color w:val="000000" w:themeColor="text1"/>
          <w:sz w:val="20"/>
          <w:szCs w:val="20"/>
        </w:rPr>
        <w:t>amc</w:t>
      </w:r>
    </w:p>
    <w:p w14:paraId="2FB31ECF" w14:textId="5615297D" w:rsidR="000A77D7" w:rsidRPr="008A6D56" w:rsidRDefault="000A77D7" w:rsidP="00234CBE">
      <w:pPr>
        <w:widowControl w:val="0"/>
        <w:spacing w:line="276" w:lineRule="auto"/>
        <w:jc w:val="both"/>
        <w:rPr>
          <w:rFonts w:ascii="Book Antiqua" w:hAnsi="Book Antiqua" w:cs="Arial"/>
          <w:color w:val="000000" w:themeColor="text1"/>
          <w:sz w:val="20"/>
          <w:szCs w:val="20"/>
        </w:rPr>
      </w:pPr>
      <w:r w:rsidRPr="00EB17EE">
        <w:rPr>
          <w:rFonts w:ascii="Book Antiqua" w:hAnsi="Book Antiqua" w:cs="Arial"/>
          <w:color w:val="000000" w:themeColor="text1"/>
          <w:sz w:val="20"/>
          <w:szCs w:val="20"/>
        </w:rPr>
        <w:t xml:space="preserve">Ref. </w:t>
      </w:r>
      <w:r w:rsidR="00EB17EE" w:rsidRPr="00EB17EE">
        <w:rPr>
          <w:rFonts w:ascii="Book Antiqua" w:hAnsi="Book Antiqua" w:cs="Arial"/>
          <w:color w:val="000000" w:themeColor="text1"/>
          <w:sz w:val="20"/>
          <w:szCs w:val="20"/>
        </w:rPr>
        <w:t>2142</w:t>
      </w:r>
      <w:r w:rsidR="00EE57DB" w:rsidRPr="00EB17EE">
        <w:rPr>
          <w:rFonts w:ascii="Book Antiqua" w:hAnsi="Book Antiqua" w:cs="Arial"/>
          <w:color w:val="000000" w:themeColor="text1"/>
          <w:sz w:val="20"/>
          <w:szCs w:val="20"/>
        </w:rPr>
        <w:t>-2021</w:t>
      </w:r>
    </w:p>
    <w:p w14:paraId="04357916" w14:textId="2A464858" w:rsidR="00985591" w:rsidRDefault="00985591" w:rsidP="00234CBE">
      <w:pPr>
        <w:spacing w:line="276" w:lineRule="auto"/>
        <w:rPr>
          <w:rFonts w:ascii="Book Antiqua" w:hAnsi="Book Antiqua" w:cs="Book Antiqua"/>
          <w:lang w:val="pt-BR"/>
        </w:rPr>
      </w:pPr>
    </w:p>
    <w:p w14:paraId="65522BD0" w14:textId="1AC2B45F" w:rsidR="00500299" w:rsidRPr="00500299" w:rsidRDefault="00500299" w:rsidP="00234CBE">
      <w:pPr>
        <w:spacing w:line="276" w:lineRule="auto"/>
        <w:rPr>
          <w:rFonts w:ascii="Book Antiqua" w:hAnsi="Book Antiqua" w:cs="Book Antiqua"/>
          <w:u w:val="single"/>
          <w:lang w:val="pt-BR"/>
        </w:rPr>
      </w:pPr>
      <w:r>
        <w:rPr>
          <w:rFonts w:ascii="Book Antiqua" w:hAnsi="Book Antiqua" w:cs="Book Antiqua"/>
          <w:lang w:val="pt-BR"/>
        </w:rPr>
        <w:t>Se adjunta archivo</w:t>
      </w:r>
    </w:p>
    <w:bookmarkStart w:id="0" w:name="_MON_1700293837"/>
    <w:bookmarkEnd w:id="0"/>
    <w:p w14:paraId="6FB7BE2B" w14:textId="61B54F6B" w:rsidR="005B2E28" w:rsidRDefault="00500299">
      <w:pPr>
        <w:rPr>
          <w:rFonts w:ascii="Book Antiqua" w:hAnsi="Book Antiqua" w:cs="Book Antiqua"/>
          <w:lang w:val="pt-BR"/>
        </w:rPr>
      </w:pPr>
      <w:r>
        <w:rPr>
          <w:rFonts w:ascii="Book Antiqua" w:hAnsi="Book Antiqua" w:cs="Book Antiqua"/>
          <w:lang w:val="pt-BR"/>
        </w:rPr>
        <w:object w:dxaOrig="1508" w:dyaOrig="983" w14:anchorId="03B498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1" o:title=""/>
          </v:shape>
          <o:OLEObject Type="Embed" ProgID="Word.Document.12" ShapeID="_x0000_i1025" DrawAspect="Icon" ObjectID="_1732366298" r:id="rId12">
            <o:FieldCodes>\s</o:FieldCodes>
          </o:OLEObject>
        </w:object>
      </w:r>
      <w:r w:rsidR="005B2E28">
        <w:rPr>
          <w:rFonts w:ascii="Book Antiqua" w:hAnsi="Book Antiqua" w:cs="Book Antiqua"/>
          <w:lang w:val="pt-BR"/>
        </w:rPr>
        <w:br w:type="page"/>
      </w:r>
    </w:p>
    <w:p w14:paraId="243F5753" w14:textId="6E2DD7AB" w:rsidR="006B38CA" w:rsidRPr="003537E7" w:rsidRDefault="003118D4" w:rsidP="00234CBE">
      <w:pPr>
        <w:spacing w:line="276" w:lineRule="auto"/>
        <w:rPr>
          <w:rFonts w:ascii="Book Antiqua" w:hAnsi="Book Antiqua" w:cs="Book Antiqua"/>
        </w:rPr>
      </w:pPr>
      <w:r w:rsidRPr="003537E7">
        <w:rPr>
          <w:rFonts w:ascii="Book Antiqua" w:hAnsi="Book Antiqua" w:cs="Book Antiqua"/>
        </w:rPr>
        <w:lastRenderedPageBreak/>
        <w:t>3 de diciembre de 2021</w:t>
      </w:r>
    </w:p>
    <w:p w14:paraId="1C807CD7" w14:textId="52050D46" w:rsidR="00276D8B" w:rsidRPr="004F0E92" w:rsidRDefault="00276D8B" w:rsidP="00234CBE">
      <w:pPr>
        <w:spacing w:line="276" w:lineRule="auto"/>
        <w:jc w:val="both"/>
        <w:rPr>
          <w:rFonts w:ascii="Book Antiqua" w:hAnsi="Book Antiqua" w:cs="Book Antiqua"/>
          <w:lang w:val="es-ES_tradnl"/>
        </w:rPr>
      </w:pPr>
    </w:p>
    <w:p w14:paraId="26DB12D1" w14:textId="3D6DB457" w:rsidR="000A77D7" w:rsidRPr="004F0E92" w:rsidRDefault="000A77D7" w:rsidP="00234CBE">
      <w:pPr>
        <w:spacing w:line="276" w:lineRule="auto"/>
        <w:jc w:val="both"/>
        <w:rPr>
          <w:rFonts w:ascii="Book Antiqua" w:hAnsi="Book Antiqua" w:cs="Book Antiqua"/>
          <w:lang w:val="es-ES_tradnl"/>
        </w:rPr>
      </w:pPr>
    </w:p>
    <w:p w14:paraId="5BFE55F8" w14:textId="77777777" w:rsidR="000A77D7" w:rsidRPr="003537E7" w:rsidRDefault="00CF27AF" w:rsidP="00234CBE">
      <w:pPr>
        <w:spacing w:line="276" w:lineRule="auto"/>
        <w:rPr>
          <w:rFonts w:ascii="Book Antiqua" w:hAnsi="Book Antiqua" w:cs="Book Antiqua"/>
          <w:color w:val="000000" w:themeColor="text1"/>
        </w:rPr>
      </w:pPr>
      <w:r w:rsidRPr="003537E7">
        <w:rPr>
          <w:rFonts w:ascii="Book Antiqua" w:hAnsi="Book Antiqua" w:cs="Book Antiqua"/>
          <w:color w:val="000000" w:themeColor="text1"/>
        </w:rPr>
        <w:t>Lic</w:t>
      </w:r>
      <w:r w:rsidR="000A77D7" w:rsidRPr="003537E7">
        <w:rPr>
          <w:rFonts w:ascii="Book Antiqua" w:hAnsi="Book Antiqua" w:cs="Book Antiqua"/>
          <w:color w:val="000000" w:themeColor="text1"/>
        </w:rPr>
        <w:t>enciada</w:t>
      </w:r>
    </w:p>
    <w:p w14:paraId="5859D75E" w14:textId="6803270F" w:rsidR="004F50C8" w:rsidRPr="003537E7" w:rsidRDefault="00CF27AF" w:rsidP="00234CBE">
      <w:pPr>
        <w:spacing w:line="276" w:lineRule="auto"/>
        <w:rPr>
          <w:rFonts w:ascii="Book Antiqua" w:hAnsi="Book Antiqua" w:cs="Book Antiqua"/>
          <w:color w:val="000000" w:themeColor="text1"/>
        </w:rPr>
      </w:pPr>
      <w:r w:rsidRPr="003537E7">
        <w:rPr>
          <w:rFonts w:ascii="Book Antiqua" w:hAnsi="Book Antiqua" w:cs="Book Antiqua"/>
          <w:color w:val="000000" w:themeColor="text1"/>
        </w:rPr>
        <w:t>Nacira Valverde Bermúdez</w:t>
      </w:r>
    </w:p>
    <w:p w14:paraId="2EC22572" w14:textId="7BEFFF3F" w:rsidR="00CF27AF" w:rsidRPr="003537E7" w:rsidRDefault="00CF27AF" w:rsidP="00234CBE">
      <w:pPr>
        <w:spacing w:line="276" w:lineRule="auto"/>
        <w:rPr>
          <w:rFonts w:ascii="Book Antiqua" w:hAnsi="Book Antiqua" w:cs="Book Antiqua"/>
          <w:b/>
          <w:color w:val="000000" w:themeColor="text1"/>
        </w:rPr>
      </w:pPr>
      <w:r w:rsidRPr="003537E7">
        <w:rPr>
          <w:rFonts w:ascii="Book Antiqua" w:hAnsi="Book Antiqua" w:cs="Book Antiqua"/>
          <w:color w:val="000000" w:themeColor="text1"/>
        </w:rPr>
        <w:t xml:space="preserve">Directora </w:t>
      </w:r>
      <w:r w:rsidR="000A77D7" w:rsidRPr="003537E7">
        <w:rPr>
          <w:rFonts w:ascii="Book Antiqua" w:hAnsi="Book Antiqua" w:cs="Book Antiqua"/>
          <w:color w:val="000000" w:themeColor="text1"/>
        </w:rPr>
        <w:t xml:space="preserve">a.i. de </w:t>
      </w:r>
      <w:r w:rsidRPr="003537E7">
        <w:rPr>
          <w:rFonts w:ascii="Book Antiqua" w:hAnsi="Book Antiqua" w:cs="Book Antiqua"/>
          <w:color w:val="000000" w:themeColor="text1"/>
        </w:rPr>
        <w:t xml:space="preserve">Planificación </w:t>
      </w:r>
    </w:p>
    <w:p w14:paraId="65BAF467" w14:textId="211A2516" w:rsidR="00A05916" w:rsidRPr="004F0E92" w:rsidRDefault="00A05916" w:rsidP="00234CBE">
      <w:pPr>
        <w:spacing w:line="276" w:lineRule="auto"/>
        <w:rPr>
          <w:rFonts w:ascii="Book Antiqua" w:hAnsi="Book Antiqua" w:cs="Book Antiqua"/>
          <w:snapToGrid w:val="0"/>
          <w:color w:val="000000" w:themeColor="text1"/>
        </w:rPr>
      </w:pPr>
    </w:p>
    <w:p w14:paraId="5DEDE59D" w14:textId="77777777" w:rsidR="004F50C8" w:rsidRPr="004F0E92" w:rsidRDefault="004F50C8" w:rsidP="00234CBE">
      <w:pPr>
        <w:spacing w:line="276" w:lineRule="auto"/>
        <w:rPr>
          <w:rFonts w:ascii="Book Antiqua" w:hAnsi="Book Antiqua" w:cs="Book Antiqua"/>
          <w:snapToGrid w:val="0"/>
          <w:color w:val="000000" w:themeColor="text1"/>
        </w:rPr>
      </w:pPr>
    </w:p>
    <w:p w14:paraId="2FB8AFC9" w14:textId="56564FC5" w:rsidR="001251DB" w:rsidRPr="004F0E92" w:rsidRDefault="001251DB" w:rsidP="00234CBE">
      <w:pPr>
        <w:spacing w:line="276" w:lineRule="auto"/>
        <w:rPr>
          <w:rFonts w:ascii="Book Antiqua" w:hAnsi="Book Antiqua" w:cs="Book Antiqua"/>
          <w:snapToGrid w:val="0"/>
          <w:color w:val="000000" w:themeColor="text1"/>
        </w:rPr>
      </w:pPr>
      <w:r w:rsidRPr="004F0E92">
        <w:rPr>
          <w:rFonts w:ascii="Book Antiqua" w:hAnsi="Book Antiqua" w:cs="Book Antiqua"/>
          <w:snapToGrid w:val="0"/>
          <w:color w:val="000000" w:themeColor="text1"/>
        </w:rPr>
        <w:t>Estimad</w:t>
      </w:r>
      <w:r w:rsidR="003C3B5F" w:rsidRPr="004F0E92">
        <w:rPr>
          <w:rFonts w:ascii="Book Antiqua" w:hAnsi="Book Antiqua" w:cs="Book Antiqua"/>
          <w:snapToGrid w:val="0"/>
          <w:color w:val="000000" w:themeColor="text1"/>
        </w:rPr>
        <w:t>a</w:t>
      </w:r>
      <w:r w:rsidRPr="004F0E92">
        <w:rPr>
          <w:rFonts w:ascii="Book Antiqua" w:hAnsi="Book Antiqua" w:cs="Book Antiqua"/>
          <w:snapToGrid w:val="0"/>
          <w:color w:val="000000" w:themeColor="text1"/>
        </w:rPr>
        <w:t xml:space="preserve"> señor</w:t>
      </w:r>
      <w:r w:rsidR="003C3B5F" w:rsidRPr="004F0E92">
        <w:rPr>
          <w:rFonts w:ascii="Book Antiqua" w:hAnsi="Book Antiqua" w:cs="Book Antiqua"/>
          <w:snapToGrid w:val="0"/>
          <w:color w:val="000000" w:themeColor="text1"/>
        </w:rPr>
        <w:t>a</w:t>
      </w:r>
      <w:r w:rsidRPr="004F0E92">
        <w:rPr>
          <w:rFonts w:ascii="Book Antiqua" w:hAnsi="Book Antiqua" w:cs="Book Antiqua"/>
          <w:snapToGrid w:val="0"/>
          <w:color w:val="000000" w:themeColor="text1"/>
        </w:rPr>
        <w:t>:</w:t>
      </w:r>
    </w:p>
    <w:p w14:paraId="483F1A59" w14:textId="37E2AF36" w:rsidR="006C5085" w:rsidRPr="004F0E92" w:rsidRDefault="006C5085" w:rsidP="00234CBE">
      <w:pPr>
        <w:spacing w:line="276" w:lineRule="auto"/>
        <w:rPr>
          <w:rFonts w:ascii="Book Antiqua" w:hAnsi="Book Antiqua" w:cs="Book Antiqua"/>
          <w:snapToGrid w:val="0"/>
          <w:color w:val="000000" w:themeColor="text1"/>
        </w:rPr>
      </w:pPr>
    </w:p>
    <w:p w14:paraId="379BA5F4" w14:textId="00F13731" w:rsidR="00493187" w:rsidRDefault="006C5085" w:rsidP="00234CBE">
      <w:pPr>
        <w:spacing w:line="276" w:lineRule="auto"/>
        <w:jc w:val="both"/>
        <w:rPr>
          <w:rFonts w:ascii="Book Antiqua" w:hAnsi="Book Antiqua" w:cs="Book Antiqua"/>
          <w:snapToGrid w:val="0"/>
          <w:color w:val="000000" w:themeColor="text1"/>
        </w:rPr>
      </w:pPr>
      <w:r w:rsidRPr="004F0E92">
        <w:rPr>
          <w:rFonts w:ascii="Book Antiqua" w:hAnsi="Book Antiqua" w:cs="Book Antiqua"/>
          <w:snapToGrid w:val="0"/>
          <w:color w:val="000000" w:themeColor="text1"/>
        </w:rPr>
        <w:t xml:space="preserve">El Consejo Superior del Poder Judicial en sesión virtual extraordinaria 49-2020, celebrada el 15 de mayo de 2020, artículo </w:t>
      </w:r>
      <w:r w:rsidR="000A77D7" w:rsidRPr="004F0E92">
        <w:rPr>
          <w:rFonts w:ascii="Book Antiqua" w:hAnsi="Book Antiqua" w:cs="Book Antiqua"/>
          <w:snapToGrid w:val="0"/>
          <w:color w:val="000000" w:themeColor="text1"/>
        </w:rPr>
        <w:t>Ú</w:t>
      </w:r>
      <w:r w:rsidRPr="004F0E92">
        <w:rPr>
          <w:rFonts w:ascii="Book Antiqua" w:hAnsi="Book Antiqua" w:cs="Book Antiqua"/>
          <w:snapToGrid w:val="0"/>
          <w:color w:val="000000" w:themeColor="text1"/>
        </w:rPr>
        <w:t>nico, con fundamento en las medidas adoptadas por el Ministerio de Salud, por el Decreto Ejecutivo 42227-MS emitido el día 16 de marzo de 2020, en que se declara estado de emergencia nacional en todo el territorio de la República de Costa Rica, debido a la situación de emergencia sanitaria provocada por la enfermedad COVID-19; así como</w:t>
      </w:r>
      <w:r w:rsidR="00217648">
        <w:rPr>
          <w:rFonts w:ascii="Book Antiqua" w:hAnsi="Book Antiqua" w:cs="Book Antiqua"/>
          <w:snapToGrid w:val="0"/>
          <w:color w:val="000000" w:themeColor="text1"/>
        </w:rPr>
        <w:t>,</w:t>
      </w:r>
      <w:r w:rsidRPr="004F0E92">
        <w:rPr>
          <w:rFonts w:ascii="Book Antiqua" w:hAnsi="Book Antiqua" w:cs="Book Antiqua"/>
          <w:snapToGrid w:val="0"/>
          <w:color w:val="000000" w:themeColor="text1"/>
        </w:rPr>
        <w:t xml:space="preserve"> en lo dispuesto en la circular de la Secretaría General de la Corte 100-2020 del 13 de mayo del </w:t>
      </w:r>
      <w:r w:rsidR="00F443A4">
        <w:rPr>
          <w:rFonts w:ascii="Book Antiqua" w:hAnsi="Book Antiqua" w:cs="Book Antiqua"/>
          <w:snapToGrid w:val="0"/>
          <w:color w:val="000000" w:themeColor="text1"/>
        </w:rPr>
        <w:t>2020</w:t>
      </w:r>
      <w:r w:rsidRPr="004F0E92">
        <w:rPr>
          <w:rFonts w:ascii="Book Antiqua" w:hAnsi="Book Antiqua" w:cs="Book Antiqua"/>
          <w:snapToGrid w:val="0"/>
          <w:color w:val="000000" w:themeColor="text1"/>
        </w:rPr>
        <w:t xml:space="preserve"> (acuerdo de Corte Plena tomado en sesión 26-2020 del 13 de mayo de 2020); acordó comunicar las disposiciones para ir retornando a la normalidad en el sistema </w:t>
      </w:r>
      <w:r w:rsidR="000A77D7" w:rsidRPr="004F0E92">
        <w:rPr>
          <w:rFonts w:ascii="Book Antiqua" w:hAnsi="Book Antiqua" w:cs="Book Antiqua"/>
          <w:snapToGrid w:val="0"/>
          <w:color w:val="000000" w:themeColor="text1"/>
        </w:rPr>
        <w:t>P</w:t>
      </w:r>
      <w:r w:rsidRPr="004F0E92">
        <w:rPr>
          <w:rFonts w:ascii="Book Antiqua" w:hAnsi="Book Antiqua" w:cs="Book Antiqua"/>
          <w:snapToGrid w:val="0"/>
          <w:color w:val="000000" w:themeColor="text1"/>
        </w:rPr>
        <w:t>enal del Poder Judicial, circular 101-2020, en don</w:t>
      </w:r>
      <w:r w:rsidR="0005275E" w:rsidRPr="004F0E92">
        <w:rPr>
          <w:rFonts w:ascii="Book Antiqua" w:hAnsi="Book Antiqua" w:cs="Book Antiqua"/>
          <w:snapToGrid w:val="0"/>
          <w:color w:val="000000" w:themeColor="text1"/>
        </w:rPr>
        <w:t>d</w:t>
      </w:r>
      <w:r w:rsidRPr="004F0E92">
        <w:rPr>
          <w:rFonts w:ascii="Book Antiqua" w:hAnsi="Book Antiqua" w:cs="Book Antiqua"/>
          <w:snapToGrid w:val="0"/>
          <w:color w:val="000000" w:themeColor="text1"/>
        </w:rPr>
        <w:t>e se le solicitaba a la Dirección de Planificación que las oficinas de mate</w:t>
      </w:r>
      <w:r w:rsidR="00276D8B" w:rsidRPr="004F0E92">
        <w:rPr>
          <w:rFonts w:ascii="Book Antiqua" w:hAnsi="Book Antiqua" w:cs="Book Antiqua"/>
          <w:snapToGrid w:val="0"/>
          <w:color w:val="000000" w:themeColor="text1"/>
        </w:rPr>
        <w:t>ria</w:t>
      </w:r>
      <w:r w:rsidRPr="004F0E92">
        <w:rPr>
          <w:rFonts w:ascii="Book Antiqua" w:hAnsi="Book Antiqua" w:cs="Book Antiqua"/>
          <w:snapToGrid w:val="0"/>
          <w:color w:val="000000" w:themeColor="text1"/>
        </w:rPr>
        <w:t xml:space="preserve"> </w:t>
      </w:r>
      <w:r w:rsidR="00276D8B" w:rsidRPr="004F0E92">
        <w:rPr>
          <w:rFonts w:ascii="Book Antiqua" w:hAnsi="Book Antiqua" w:cs="Book Antiqua"/>
          <w:snapToGrid w:val="0"/>
          <w:color w:val="000000" w:themeColor="text1"/>
        </w:rPr>
        <w:t>P</w:t>
      </w:r>
      <w:r w:rsidRPr="004F0E92">
        <w:rPr>
          <w:rFonts w:ascii="Book Antiqua" w:hAnsi="Book Antiqua" w:cs="Book Antiqua"/>
          <w:snapToGrid w:val="0"/>
          <w:color w:val="000000" w:themeColor="text1"/>
        </w:rPr>
        <w:t>enal seguirá</w:t>
      </w:r>
      <w:r w:rsidR="0005275E" w:rsidRPr="004F0E92">
        <w:rPr>
          <w:rFonts w:ascii="Book Antiqua" w:hAnsi="Book Antiqua" w:cs="Book Antiqua"/>
          <w:snapToGrid w:val="0"/>
          <w:color w:val="000000" w:themeColor="text1"/>
        </w:rPr>
        <w:t>n</w:t>
      </w:r>
      <w:r w:rsidRPr="004F0E92">
        <w:rPr>
          <w:rFonts w:ascii="Book Antiqua" w:hAnsi="Book Antiqua" w:cs="Book Antiqua"/>
          <w:snapToGrid w:val="0"/>
          <w:color w:val="000000" w:themeColor="text1"/>
        </w:rPr>
        <w:t xml:space="preserve"> enviando a través de la carpeta o formulario electrónico los reportes semanales a la Dirección de Planificación, la cual se encargará de consolidarlos y sistematizarlos de manera mensual</w:t>
      </w:r>
      <w:r w:rsidR="00493187">
        <w:rPr>
          <w:rFonts w:ascii="Book Antiqua" w:hAnsi="Book Antiqua" w:cs="Book Antiqua"/>
          <w:snapToGrid w:val="0"/>
          <w:color w:val="000000" w:themeColor="text1"/>
        </w:rPr>
        <w:t>,</w:t>
      </w:r>
      <w:r w:rsidR="008A6D56">
        <w:rPr>
          <w:rFonts w:ascii="Book Antiqua" w:hAnsi="Book Antiqua" w:cs="Book Antiqua"/>
          <w:snapToGrid w:val="0"/>
          <w:color w:val="000000" w:themeColor="text1"/>
        </w:rPr>
        <w:t xml:space="preserve"> lo cual se </w:t>
      </w:r>
      <w:r w:rsidR="00493187">
        <w:rPr>
          <w:rFonts w:ascii="Book Antiqua" w:hAnsi="Book Antiqua" w:cs="Book Antiqua"/>
          <w:snapToGrid w:val="0"/>
          <w:color w:val="000000" w:themeColor="text1"/>
        </w:rPr>
        <w:t>mantiene</w:t>
      </w:r>
      <w:r w:rsidR="008A6D56">
        <w:rPr>
          <w:rFonts w:ascii="Book Antiqua" w:hAnsi="Book Antiqua" w:cs="Book Antiqua"/>
          <w:snapToGrid w:val="0"/>
          <w:color w:val="000000" w:themeColor="text1"/>
        </w:rPr>
        <w:t xml:space="preserve"> vigente</w:t>
      </w:r>
      <w:r w:rsidR="00493187">
        <w:rPr>
          <w:rFonts w:ascii="Book Antiqua" w:hAnsi="Book Antiqua" w:cs="Book Antiqua"/>
          <w:snapToGrid w:val="0"/>
          <w:color w:val="000000" w:themeColor="text1"/>
        </w:rPr>
        <w:t xml:space="preserve"> a la fecha, en lo que respecta propiamente a los Tribunales de Apelación de la Sentencia </w:t>
      </w:r>
      <w:r w:rsidR="00E532FA">
        <w:rPr>
          <w:rFonts w:ascii="Book Antiqua" w:hAnsi="Book Antiqua" w:cs="Book Antiqua"/>
          <w:snapToGrid w:val="0"/>
          <w:color w:val="000000" w:themeColor="text1"/>
        </w:rPr>
        <w:t>P</w:t>
      </w:r>
      <w:r w:rsidR="00493187">
        <w:rPr>
          <w:rFonts w:ascii="Book Antiqua" w:hAnsi="Book Antiqua" w:cs="Book Antiqua"/>
          <w:snapToGrid w:val="0"/>
          <w:color w:val="000000" w:themeColor="text1"/>
        </w:rPr>
        <w:t>enal y Sala Tercera.</w:t>
      </w:r>
    </w:p>
    <w:p w14:paraId="76E39E97" w14:textId="77777777" w:rsidR="00E532FA" w:rsidRDefault="00CB5782" w:rsidP="00234CBE">
      <w:pPr>
        <w:spacing w:line="276" w:lineRule="auto"/>
        <w:jc w:val="both"/>
        <w:rPr>
          <w:rFonts w:ascii="Book Antiqua" w:hAnsi="Book Antiqua" w:cs="Book Antiqua"/>
          <w:snapToGrid w:val="0"/>
          <w:color w:val="000000" w:themeColor="text1"/>
        </w:rPr>
      </w:pPr>
      <w:r>
        <w:rPr>
          <w:rFonts w:ascii="Book Antiqua" w:hAnsi="Book Antiqua" w:cs="Book Antiqua"/>
          <w:snapToGrid w:val="0"/>
          <w:color w:val="000000" w:themeColor="text1"/>
        </w:rPr>
        <w:t xml:space="preserve">En lo que corresponde específicamente, al seguimiento de los Juzgados Penales, Tribunales Penales, Flagrancias y Juzgados de Ejecución, según </w:t>
      </w:r>
      <w:r w:rsidR="008A6D56">
        <w:rPr>
          <w:rFonts w:ascii="Book Antiqua" w:hAnsi="Book Antiqua" w:cs="Book Antiqua"/>
          <w:snapToGrid w:val="0"/>
          <w:color w:val="000000" w:themeColor="text1"/>
        </w:rPr>
        <w:t xml:space="preserve">el acuerdo de Corte Plena </w:t>
      </w:r>
      <w:r w:rsidR="00DB6970">
        <w:rPr>
          <w:rFonts w:ascii="Book Antiqua" w:hAnsi="Book Antiqua" w:cs="Book Antiqua"/>
          <w:snapToGrid w:val="0"/>
          <w:color w:val="000000" w:themeColor="text1"/>
        </w:rPr>
        <w:t xml:space="preserve">de la sesión N° 12-2021, celebrada el 22 de marzo de 2021, artículo XVII, se estableció que </w:t>
      </w:r>
      <w:r w:rsidR="008A6D56">
        <w:rPr>
          <w:rFonts w:ascii="Book Antiqua" w:hAnsi="Book Antiqua" w:cs="Book Antiqua"/>
          <w:snapToGrid w:val="0"/>
          <w:color w:val="000000" w:themeColor="text1"/>
        </w:rPr>
        <w:t xml:space="preserve">el seguimiento de </w:t>
      </w:r>
      <w:r>
        <w:rPr>
          <w:rFonts w:ascii="Book Antiqua" w:hAnsi="Book Antiqua" w:cs="Book Antiqua"/>
          <w:snapToGrid w:val="0"/>
          <w:color w:val="000000" w:themeColor="text1"/>
        </w:rPr>
        <w:t>estos despachos</w:t>
      </w:r>
      <w:r w:rsidR="008A6D56">
        <w:rPr>
          <w:rFonts w:ascii="Book Antiqua" w:hAnsi="Book Antiqua" w:cs="Book Antiqua"/>
          <w:snapToGrid w:val="0"/>
          <w:color w:val="000000" w:themeColor="text1"/>
        </w:rPr>
        <w:t xml:space="preserve"> se hace a través de los indicadores de gestión que reportan mensualmente las oficinas, lo cual entr</w:t>
      </w:r>
      <w:r>
        <w:rPr>
          <w:rFonts w:ascii="Book Antiqua" w:hAnsi="Book Antiqua" w:cs="Book Antiqua"/>
          <w:snapToGrid w:val="0"/>
          <w:color w:val="000000" w:themeColor="text1"/>
        </w:rPr>
        <w:t>ó</w:t>
      </w:r>
      <w:r w:rsidR="008A6D56">
        <w:rPr>
          <w:rFonts w:ascii="Book Antiqua" w:hAnsi="Book Antiqua" w:cs="Book Antiqua"/>
          <w:snapToGrid w:val="0"/>
          <w:color w:val="000000" w:themeColor="text1"/>
        </w:rPr>
        <w:t xml:space="preserve"> en vigencia a partir de mayo de 2021</w:t>
      </w:r>
      <w:r>
        <w:rPr>
          <w:rFonts w:ascii="Book Antiqua" w:hAnsi="Book Antiqua" w:cs="Book Antiqua"/>
          <w:snapToGrid w:val="0"/>
          <w:color w:val="000000" w:themeColor="text1"/>
        </w:rPr>
        <w:t xml:space="preserve">. </w:t>
      </w:r>
    </w:p>
    <w:p w14:paraId="03444A3D" w14:textId="77777777" w:rsidR="00E532FA" w:rsidRDefault="00E532FA" w:rsidP="00234CBE">
      <w:pPr>
        <w:spacing w:line="276" w:lineRule="auto"/>
        <w:jc w:val="both"/>
        <w:rPr>
          <w:rFonts w:ascii="Book Antiqua" w:hAnsi="Book Antiqua" w:cs="Book Antiqua"/>
          <w:snapToGrid w:val="0"/>
          <w:color w:val="000000" w:themeColor="text1"/>
        </w:rPr>
      </w:pPr>
    </w:p>
    <w:p w14:paraId="67D8A25B" w14:textId="774053E3" w:rsidR="008A6D56" w:rsidRDefault="00CB5782" w:rsidP="00234CBE">
      <w:pPr>
        <w:spacing w:line="276" w:lineRule="auto"/>
        <w:jc w:val="both"/>
        <w:rPr>
          <w:rFonts w:ascii="Book Antiqua" w:hAnsi="Book Antiqua" w:cs="Book Antiqua"/>
          <w:snapToGrid w:val="0"/>
          <w:color w:val="000000" w:themeColor="text1"/>
        </w:rPr>
      </w:pPr>
      <w:r>
        <w:rPr>
          <w:rFonts w:ascii="Book Antiqua" w:hAnsi="Book Antiqua" w:cs="Book Antiqua"/>
          <w:snapToGrid w:val="0"/>
          <w:color w:val="000000" w:themeColor="text1"/>
        </w:rPr>
        <w:t>El</w:t>
      </w:r>
      <w:r w:rsidR="008A6D56">
        <w:rPr>
          <w:rFonts w:ascii="Book Antiqua" w:hAnsi="Book Antiqua" w:cs="Book Antiqua"/>
          <w:snapToGrid w:val="0"/>
          <w:color w:val="000000" w:themeColor="text1"/>
        </w:rPr>
        <w:t xml:space="preserve"> presente informe contiene los datos </w:t>
      </w:r>
      <w:r w:rsidR="00DB6970">
        <w:rPr>
          <w:rFonts w:ascii="Book Antiqua" w:hAnsi="Book Antiqua" w:cs="Book Antiqua"/>
          <w:snapToGrid w:val="0"/>
          <w:color w:val="000000" w:themeColor="text1"/>
        </w:rPr>
        <w:t xml:space="preserve">de </w:t>
      </w:r>
      <w:r w:rsidR="00490C48">
        <w:rPr>
          <w:rFonts w:ascii="Book Antiqua" w:hAnsi="Book Antiqua" w:cs="Book Antiqua"/>
          <w:snapToGrid w:val="0"/>
          <w:color w:val="000000" w:themeColor="text1"/>
        </w:rPr>
        <w:t>mayo</w:t>
      </w:r>
      <w:r w:rsidR="00DB6970">
        <w:rPr>
          <w:rFonts w:ascii="Book Antiqua" w:hAnsi="Book Antiqua" w:cs="Book Antiqua"/>
          <w:snapToGrid w:val="0"/>
          <w:color w:val="000000" w:themeColor="text1"/>
        </w:rPr>
        <w:t xml:space="preserve"> </w:t>
      </w:r>
      <w:r w:rsidR="008A6D56">
        <w:rPr>
          <w:rFonts w:ascii="Book Antiqua" w:hAnsi="Book Antiqua" w:cs="Book Antiqua"/>
          <w:snapToGrid w:val="0"/>
          <w:color w:val="000000" w:themeColor="text1"/>
        </w:rPr>
        <w:t xml:space="preserve">a </w:t>
      </w:r>
      <w:r w:rsidR="00354F12">
        <w:rPr>
          <w:rFonts w:ascii="Book Antiqua" w:hAnsi="Book Antiqua" w:cs="Book Antiqua"/>
          <w:snapToGrid w:val="0"/>
          <w:color w:val="000000" w:themeColor="text1"/>
        </w:rPr>
        <w:t>setiembre</w:t>
      </w:r>
      <w:r w:rsidR="008A6D56">
        <w:rPr>
          <w:rFonts w:ascii="Book Antiqua" w:hAnsi="Book Antiqua" w:cs="Book Antiqua"/>
          <w:snapToGrid w:val="0"/>
          <w:color w:val="000000" w:themeColor="text1"/>
        </w:rPr>
        <w:t xml:space="preserve">, </w:t>
      </w:r>
      <w:r w:rsidR="005E4F52">
        <w:rPr>
          <w:rFonts w:ascii="Book Antiqua" w:hAnsi="Book Antiqua" w:cs="Book Antiqua"/>
          <w:snapToGrid w:val="0"/>
          <w:color w:val="000000" w:themeColor="text1"/>
        </w:rPr>
        <w:t>debido a que</w:t>
      </w:r>
      <w:r w:rsidR="008A6D56">
        <w:rPr>
          <w:rFonts w:ascii="Book Antiqua" w:hAnsi="Book Antiqua" w:cs="Book Antiqua"/>
          <w:snapToGrid w:val="0"/>
          <w:color w:val="000000" w:themeColor="text1"/>
        </w:rPr>
        <w:t xml:space="preserve"> las oficinas se encuentran en este momento en el envío de los diferentes resultados de las matrices durante las primeras tres semanas del mes.</w:t>
      </w:r>
    </w:p>
    <w:p w14:paraId="3A85749B" w14:textId="06E23997" w:rsidR="008A6D56" w:rsidRDefault="008A6D56" w:rsidP="00234CBE">
      <w:pPr>
        <w:spacing w:line="276" w:lineRule="auto"/>
        <w:jc w:val="both"/>
        <w:rPr>
          <w:rFonts w:ascii="Book Antiqua" w:hAnsi="Book Antiqua" w:cs="Book Antiqua"/>
          <w:snapToGrid w:val="0"/>
          <w:color w:val="000000" w:themeColor="text1"/>
        </w:rPr>
      </w:pPr>
    </w:p>
    <w:p w14:paraId="64CBC87C" w14:textId="467E3640" w:rsidR="005E4F52" w:rsidRDefault="009E5ACF" w:rsidP="00234CBE">
      <w:pPr>
        <w:spacing w:line="276" w:lineRule="auto"/>
        <w:jc w:val="both"/>
        <w:rPr>
          <w:rFonts w:ascii="Book Antiqua" w:hAnsi="Book Antiqua" w:cs="Book Antiqua"/>
          <w:snapToGrid w:val="0"/>
          <w:color w:val="000000" w:themeColor="text1"/>
        </w:rPr>
      </w:pPr>
      <w:r w:rsidRPr="0016469A">
        <w:rPr>
          <w:rFonts w:ascii="Book Antiqua" w:hAnsi="Book Antiqua" w:cs="Book Antiqua"/>
          <w:snapToGrid w:val="0"/>
          <w:color w:val="000000" w:themeColor="text1"/>
        </w:rPr>
        <w:t xml:space="preserve">Por lo </w:t>
      </w:r>
      <w:r w:rsidR="0005275E" w:rsidRPr="0016469A">
        <w:rPr>
          <w:rFonts w:ascii="Book Antiqua" w:hAnsi="Book Antiqua" w:cs="Book Antiqua"/>
          <w:snapToGrid w:val="0"/>
          <w:color w:val="000000" w:themeColor="text1"/>
        </w:rPr>
        <w:t>tanto,</w:t>
      </w:r>
      <w:r w:rsidRPr="0016469A">
        <w:rPr>
          <w:rFonts w:ascii="Book Antiqua" w:hAnsi="Book Antiqua" w:cs="Book Antiqua"/>
          <w:snapToGrid w:val="0"/>
          <w:color w:val="000000" w:themeColor="text1"/>
        </w:rPr>
        <w:t xml:space="preserve"> la Dirección de Planificación procede en el presente informe a comunicar los resultados del seguimiento mensual </w:t>
      </w:r>
      <w:r w:rsidR="0016469A" w:rsidRPr="007A33D1">
        <w:rPr>
          <w:rFonts w:ascii="Book Antiqua" w:hAnsi="Book Antiqua" w:cs="Book Antiqua"/>
          <w:snapToGrid w:val="0"/>
          <w:color w:val="000000" w:themeColor="text1"/>
        </w:rPr>
        <w:t xml:space="preserve">a la jurisdicción penal </w:t>
      </w:r>
      <w:r w:rsidRPr="0016469A">
        <w:rPr>
          <w:rFonts w:ascii="Book Antiqua" w:hAnsi="Book Antiqua" w:cs="Book Antiqua"/>
          <w:snapToGrid w:val="0"/>
          <w:color w:val="000000" w:themeColor="text1"/>
        </w:rPr>
        <w:t>ordenado en la circular 101-2020</w:t>
      </w:r>
      <w:r w:rsidR="0016469A" w:rsidRPr="007A33D1">
        <w:rPr>
          <w:rFonts w:ascii="Book Antiqua" w:hAnsi="Book Antiqua" w:cs="Book Antiqua"/>
          <w:snapToGrid w:val="0"/>
          <w:color w:val="000000" w:themeColor="text1"/>
        </w:rPr>
        <w:t xml:space="preserve"> y 92-2021</w:t>
      </w:r>
      <w:r w:rsidR="2CB7BCD5" w:rsidRPr="0016469A">
        <w:rPr>
          <w:rFonts w:ascii="Book Antiqua" w:hAnsi="Book Antiqua" w:cs="Book Antiqua"/>
          <w:snapToGrid w:val="0"/>
          <w:color w:val="000000" w:themeColor="text1"/>
        </w:rPr>
        <w:t>, así como las tareas desarrolladas por Justicia Restaurativa.</w:t>
      </w:r>
      <w:r w:rsidR="2CB7BCD5" w:rsidRPr="004F0E92">
        <w:rPr>
          <w:rFonts w:ascii="Book Antiqua" w:hAnsi="Book Antiqua" w:cs="Book Antiqua"/>
          <w:snapToGrid w:val="0"/>
          <w:color w:val="000000" w:themeColor="text1"/>
        </w:rPr>
        <w:t xml:space="preserve"> </w:t>
      </w:r>
    </w:p>
    <w:p w14:paraId="72F4203F" w14:textId="77777777" w:rsidR="003E20EC" w:rsidRPr="00FB41DB" w:rsidRDefault="003E20EC" w:rsidP="00234CBE">
      <w:pPr>
        <w:spacing w:line="276" w:lineRule="auto"/>
        <w:jc w:val="both"/>
        <w:rPr>
          <w:rFonts w:ascii="Book Antiqua" w:hAnsi="Book Antiqua" w:cs="Book Antiqua"/>
          <w:snapToGrid w:val="0"/>
          <w:color w:val="000000" w:themeColor="text1"/>
        </w:rPr>
      </w:pPr>
    </w:p>
    <w:p w14:paraId="69B6099B" w14:textId="78D71B87" w:rsidR="0096478D" w:rsidRPr="004F0E92" w:rsidRDefault="0096478D" w:rsidP="00234CBE">
      <w:pPr>
        <w:pStyle w:val="Ttulo1"/>
        <w:spacing w:line="276" w:lineRule="auto"/>
      </w:pPr>
      <w:r w:rsidRPr="005E4F52">
        <w:t xml:space="preserve">CAPITULO </w:t>
      </w:r>
      <w:r w:rsidR="00776798" w:rsidRPr="005E4F52">
        <w:t>I</w:t>
      </w:r>
      <w:r w:rsidRPr="005E4F52">
        <w:t xml:space="preserve">. MOVIMIENTO GENERAL DE CARGA DE TRABAJO </w:t>
      </w:r>
    </w:p>
    <w:p w14:paraId="079B6FEE" w14:textId="77777777" w:rsidR="0096478D" w:rsidRPr="004F0E92" w:rsidRDefault="0096478D" w:rsidP="00234CBE">
      <w:pPr>
        <w:shd w:val="clear" w:color="auto" w:fill="FFFFFF" w:themeFill="background1"/>
        <w:spacing w:line="276" w:lineRule="auto"/>
        <w:rPr>
          <w:rFonts w:ascii="Book Antiqua" w:hAnsi="Book Antiqua"/>
          <w:b/>
          <w:bCs/>
          <w:lang w:val="es-ES_tradnl" w:eastAsia="en-US"/>
        </w:rPr>
      </w:pPr>
    </w:p>
    <w:p w14:paraId="7121B129" w14:textId="0B083486" w:rsidR="0096478D" w:rsidRPr="004F0E92" w:rsidRDefault="005B2E28" w:rsidP="00234CBE">
      <w:pPr>
        <w:pStyle w:val="Ttulo2"/>
        <w:spacing w:line="276" w:lineRule="auto"/>
        <w:rPr>
          <w:rFonts w:ascii="Book Antiqua" w:hAnsi="Book Antiqua"/>
          <w:b w:val="0"/>
          <w:bCs w:val="0"/>
        </w:rPr>
      </w:pPr>
      <w:r w:rsidRPr="004F0E92">
        <w:rPr>
          <w:rFonts w:ascii="Book Antiqua" w:hAnsi="Book Antiqua"/>
        </w:rPr>
        <w:t>1.</w:t>
      </w:r>
      <w:r w:rsidRPr="57A79FF7">
        <w:rPr>
          <w:rFonts w:ascii="Book Antiqua" w:hAnsi="Book Antiqua"/>
        </w:rPr>
        <w:t xml:space="preserve">1 </w:t>
      </w:r>
      <w:r w:rsidRPr="004F0E92">
        <w:rPr>
          <w:rFonts w:ascii="Book Antiqua" w:hAnsi="Book Antiqua"/>
        </w:rPr>
        <w:t>Entrada</w:t>
      </w:r>
      <w:r w:rsidR="0096478D" w:rsidRPr="004F0E92">
        <w:rPr>
          <w:rFonts w:ascii="Book Antiqua" w:hAnsi="Book Antiqua"/>
        </w:rPr>
        <w:t xml:space="preserve"> de asuntos nuevos</w:t>
      </w:r>
    </w:p>
    <w:p w14:paraId="6F5B7CCC" w14:textId="77777777" w:rsidR="008179C5" w:rsidRDefault="008179C5" w:rsidP="00234CBE">
      <w:pPr>
        <w:shd w:val="clear" w:color="auto" w:fill="FFFFFF" w:themeFill="background1"/>
        <w:spacing w:line="276" w:lineRule="auto"/>
        <w:jc w:val="both"/>
        <w:rPr>
          <w:rFonts w:ascii="Book Antiqua" w:hAnsi="Book Antiqua"/>
          <w:lang w:eastAsia="es-CR"/>
        </w:rPr>
      </w:pPr>
      <w:bookmarkStart w:id="1" w:name="_Hlk65540276"/>
    </w:p>
    <w:p w14:paraId="06CCE710" w14:textId="4D1CB7D0" w:rsidR="0096478D" w:rsidRPr="004F0E92" w:rsidRDefault="008179C5" w:rsidP="00234CBE">
      <w:pPr>
        <w:shd w:val="clear" w:color="auto" w:fill="FFFFFF" w:themeFill="background1"/>
        <w:spacing w:line="276" w:lineRule="auto"/>
        <w:jc w:val="both"/>
        <w:rPr>
          <w:rFonts w:ascii="Book Antiqua" w:hAnsi="Book Antiqua"/>
          <w:lang w:eastAsia="es-CR"/>
        </w:rPr>
      </w:pPr>
      <w:r>
        <w:rPr>
          <w:rFonts w:ascii="Book Antiqua" w:hAnsi="Book Antiqua"/>
          <w:lang w:eastAsia="es-CR"/>
        </w:rPr>
        <w:t xml:space="preserve">El </w:t>
      </w:r>
      <w:r w:rsidR="0096478D" w:rsidRPr="00494717">
        <w:rPr>
          <w:rFonts w:ascii="Book Antiqua" w:hAnsi="Book Antiqua"/>
          <w:lang w:eastAsia="es-CR"/>
        </w:rPr>
        <w:t>promedio de entrada</w:t>
      </w:r>
      <w:r w:rsidR="006B503A" w:rsidRPr="00494717">
        <w:rPr>
          <w:rFonts w:ascii="Book Antiqua" w:hAnsi="Book Antiqua"/>
          <w:lang w:eastAsia="es-CR"/>
        </w:rPr>
        <w:t xml:space="preserve"> mensual</w:t>
      </w:r>
      <w:r w:rsidR="0096478D" w:rsidRPr="00494717">
        <w:rPr>
          <w:rFonts w:ascii="Book Antiqua" w:hAnsi="Book Antiqua"/>
          <w:lang w:eastAsia="es-CR"/>
        </w:rPr>
        <w:t xml:space="preserve"> de asuntos nuevos </w:t>
      </w:r>
      <w:r w:rsidR="006B503A" w:rsidRPr="00494717">
        <w:rPr>
          <w:rFonts w:ascii="Book Antiqua" w:hAnsi="Book Antiqua"/>
          <w:lang w:eastAsia="es-CR"/>
        </w:rPr>
        <w:t xml:space="preserve">de enero a </w:t>
      </w:r>
      <w:r>
        <w:rPr>
          <w:rFonts w:ascii="Book Antiqua" w:hAnsi="Book Antiqua"/>
          <w:lang w:eastAsia="es-CR"/>
        </w:rPr>
        <w:t>setiembre</w:t>
      </w:r>
      <w:r w:rsidR="006B503A" w:rsidRPr="00494717">
        <w:rPr>
          <w:rFonts w:ascii="Book Antiqua" w:hAnsi="Book Antiqua"/>
          <w:lang w:eastAsia="es-CR"/>
        </w:rPr>
        <w:t xml:space="preserve"> de 202</w:t>
      </w:r>
      <w:r w:rsidR="00BE6100" w:rsidRPr="00494717">
        <w:rPr>
          <w:rFonts w:ascii="Book Antiqua" w:hAnsi="Book Antiqua"/>
          <w:lang w:eastAsia="es-CR"/>
        </w:rPr>
        <w:t>1</w:t>
      </w:r>
      <w:r w:rsidR="0096478D" w:rsidRPr="00494717">
        <w:rPr>
          <w:rFonts w:ascii="Book Antiqua" w:hAnsi="Book Antiqua"/>
          <w:lang w:eastAsia="es-CR"/>
        </w:rPr>
        <w:t xml:space="preserve"> fue de </w:t>
      </w:r>
      <w:r w:rsidR="009D410F" w:rsidRPr="00494717">
        <w:rPr>
          <w:rFonts w:ascii="Book Antiqua" w:hAnsi="Book Antiqua"/>
          <w:lang w:eastAsia="es-CR"/>
        </w:rPr>
        <w:t>58</w:t>
      </w:r>
      <w:r w:rsidR="001766D1">
        <w:rPr>
          <w:rFonts w:ascii="Book Antiqua" w:hAnsi="Book Antiqua"/>
          <w:lang w:eastAsia="es-CR"/>
        </w:rPr>
        <w:t>.</w:t>
      </w:r>
      <w:r>
        <w:rPr>
          <w:rFonts w:ascii="Book Antiqua" w:hAnsi="Book Antiqua"/>
          <w:lang w:eastAsia="es-CR"/>
        </w:rPr>
        <w:t>314</w:t>
      </w:r>
      <w:r w:rsidR="00081F32" w:rsidRPr="00494717">
        <w:rPr>
          <w:rFonts w:ascii="Book Antiqua" w:hAnsi="Book Antiqua"/>
          <w:lang w:eastAsia="es-CR"/>
        </w:rPr>
        <w:t xml:space="preserve"> </w:t>
      </w:r>
      <w:r w:rsidR="0096478D" w:rsidRPr="00494717">
        <w:rPr>
          <w:rFonts w:ascii="Book Antiqua" w:hAnsi="Book Antiqua"/>
          <w:lang w:eastAsia="es-CR"/>
        </w:rPr>
        <w:t>asuntos</w:t>
      </w:r>
      <w:r w:rsidR="006B503A" w:rsidRPr="00494717">
        <w:rPr>
          <w:rFonts w:ascii="Book Antiqua" w:hAnsi="Book Antiqua"/>
          <w:lang w:eastAsia="es-CR"/>
        </w:rPr>
        <w:t xml:space="preserve">, lo que, representa </w:t>
      </w:r>
      <w:r w:rsidR="001E79E1" w:rsidRPr="00494717">
        <w:rPr>
          <w:rFonts w:ascii="Book Antiqua" w:hAnsi="Book Antiqua"/>
          <w:lang w:eastAsia="es-CR"/>
        </w:rPr>
        <w:t xml:space="preserve">una disminución </w:t>
      </w:r>
      <w:r w:rsidR="00A74032" w:rsidRPr="00494717">
        <w:rPr>
          <w:rFonts w:ascii="Book Antiqua" w:hAnsi="Book Antiqua"/>
          <w:lang w:eastAsia="es-CR"/>
        </w:rPr>
        <w:t xml:space="preserve">significativa </w:t>
      </w:r>
      <w:r>
        <w:rPr>
          <w:rFonts w:ascii="Book Antiqua" w:hAnsi="Book Antiqua"/>
          <w:lang w:eastAsia="es-CR"/>
        </w:rPr>
        <w:t xml:space="preserve">de </w:t>
      </w:r>
      <w:r w:rsidRPr="00494717">
        <w:rPr>
          <w:rFonts w:ascii="Book Antiqua" w:hAnsi="Book Antiqua"/>
          <w:lang w:eastAsia="es-CR"/>
        </w:rPr>
        <w:t>15</w:t>
      </w:r>
      <w:r>
        <w:rPr>
          <w:rFonts w:ascii="Book Antiqua" w:hAnsi="Book Antiqua"/>
          <w:lang w:eastAsia="es-CR"/>
        </w:rPr>
        <w:t>.</w:t>
      </w:r>
      <w:r w:rsidR="00542F06">
        <w:rPr>
          <w:rFonts w:ascii="Book Antiqua" w:hAnsi="Book Antiqua"/>
          <w:lang w:eastAsia="es-CR"/>
        </w:rPr>
        <w:t>85</w:t>
      </w:r>
      <w:r w:rsidRPr="00494717">
        <w:rPr>
          <w:rFonts w:ascii="Book Antiqua" w:hAnsi="Book Antiqua"/>
          <w:lang w:eastAsia="es-CR"/>
        </w:rPr>
        <w:t xml:space="preserve">% </w:t>
      </w:r>
      <w:r w:rsidR="00A74032" w:rsidRPr="00494717">
        <w:rPr>
          <w:rFonts w:ascii="Book Antiqua" w:hAnsi="Book Antiqua"/>
          <w:lang w:eastAsia="es-CR"/>
        </w:rPr>
        <w:t xml:space="preserve">en relación con </w:t>
      </w:r>
      <w:r>
        <w:rPr>
          <w:rFonts w:ascii="Book Antiqua" w:hAnsi="Book Antiqua"/>
          <w:lang w:eastAsia="es-CR"/>
        </w:rPr>
        <w:t xml:space="preserve">el período 2019 (promedio mensual </w:t>
      </w:r>
      <w:r w:rsidR="00FB41DB">
        <w:rPr>
          <w:rFonts w:ascii="Book Antiqua" w:hAnsi="Book Antiqua"/>
          <w:lang w:eastAsia="es-CR"/>
        </w:rPr>
        <w:t xml:space="preserve">de </w:t>
      </w:r>
      <w:r w:rsidR="00A74032" w:rsidRPr="00494717">
        <w:rPr>
          <w:rFonts w:ascii="Book Antiqua" w:hAnsi="Book Antiqua"/>
          <w:lang w:eastAsia="es-CR"/>
        </w:rPr>
        <w:t>69</w:t>
      </w:r>
      <w:r w:rsidR="001766D1">
        <w:rPr>
          <w:rFonts w:ascii="Book Antiqua" w:hAnsi="Book Antiqua"/>
          <w:lang w:eastAsia="es-CR"/>
        </w:rPr>
        <w:t>.</w:t>
      </w:r>
      <w:r w:rsidR="00A74032" w:rsidRPr="00494717">
        <w:rPr>
          <w:rFonts w:ascii="Book Antiqua" w:hAnsi="Book Antiqua"/>
          <w:lang w:eastAsia="es-CR"/>
        </w:rPr>
        <w:t xml:space="preserve">295 registros) y una leve recuperación </w:t>
      </w:r>
      <w:r w:rsidR="00991E20" w:rsidRPr="00494717">
        <w:rPr>
          <w:rFonts w:ascii="Book Antiqua" w:hAnsi="Book Antiqua"/>
          <w:lang w:eastAsia="es-CR"/>
        </w:rPr>
        <w:t>al darse</w:t>
      </w:r>
      <w:r>
        <w:rPr>
          <w:rFonts w:ascii="Book Antiqua" w:hAnsi="Book Antiqua"/>
          <w:lang w:eastAsia="es-CR"/>
        </w:rPr>
        <w:t xml:space="preserve"> </w:t>
      </w:r>
      <w:r w:rsidR="00991E20" w:rsidRPr="00494717">
        <w:rPr>
          <w:rFonts w:ascii="Book Antiqua" w:hAnsi="Book Antiqua"/>
          <w:lang w:eastAsia="es-CR"/>
        </w:rPr>
        <w:t>un</w:t>
      </w:r>
      <w:r w:rsidR="006B503A" w:rsidRPr="00494717">
        <w:rPr>
          <w:rFonts w:ascii="Book Antiqua" w:hAnsi="Book Antiqua"/>
          <w:lang w:eastAsia="es-CR"/>
        </w:rPr>
        <w:t xml:space="preserve"> incremento del </w:t>
      </w:r>
      <w:r w:rsidR="00542F06">
        <w:rPr>
          <w:rFonts w:ascii="Book Antiqua" w:hAnsi="Book Antiqua"/>
          <w:lang w:eastAsia="es-CR"/>
        </w:rPr>
        <w:t>1</w:t>
      </w:r>
      <w:r w:rsidR="008541E4">
        <w:rPr>
          <w:rFonts w:ascii="Book Antiqua" w:hAnsi="Book Antiqua"/>
          <w:lang w:eastAsia="es-CR"/>
        </w:rPr>
        <w:t>.</w:t>
      </w:r>
      <w:r w:rsidR="00542F06">
        <w:rPr>
          <w:rFonts w:ascii="Book Antiqua" w:hAnsi="Book Antiqua"/>
          <w:lang w:eastAsia="es-CR"/>
        </w:rPr>
        <w:t>80</w:t>
      </w:r>
      <w:r w:rsidR="00A74032" w:rsidRPr="00494717">
        <w:rPr>
          <w:rFonts w:ascii="Book Antiqua" w:hAnsi="Book Antiqua"/>
          <w:lang w:eastAsia="es-CR"/>
        </w:rPr>
        <w:t>% con respecto</w:t>
      </w:r>
      <w:r w:rsidR="006B503A" w:rsidRPr="00494717">
        <w:rPr>
          <w:rFonts w:ascii="Book Antiqua" w:hAnsi="Book Antiqua"/>
          <w:lang w:eastAsia="es-CR"/>
        </w:rPr>
        <w:t xml:space="preserve"> </w:t>
      </w:r>
      <w:r w:rsidR="00A74032" w:rsidRPr="00494717">
        <w:rPr>
          <w:rFonts w:ascii="Book Antiqua" w:hAnsi="Book Antiqua"/>
          <w:lang w:eastAsia="es-CR"/>
        </w:rPr>
        <w:t xml:space="preserve">al </w:t>
      </w:r>
      <w:r w:rsidR="006B503A" w:rsidRPr="00494717">
        <w:rPr>
          <w:rFonts w:ascii="Book Antiqua" w:hAnsi="Book Antiqua"/>
          <w:lang w:eastAsia="es-CR"/>
        </w:rPr>
        <w:t>año anterior</w:t>
      </w:r>
      <w:r w:rsidR="00BE6100" w:rsidRPr="00494717">
        <w:rPr>
          <w:rFonts w:ascii="Book Antiqua" w:hAnsi="Book Antiqua"/>
          <w:lang w:eastAsia="es-CR"/>
        </w:rPr>
        <w:t xml:space="preserve"> (</w:t>
      </w:r>
      <w:r w:rsidR="00FB41DB">
        <w:rPr>
          <w:rFonts w:ascii="Book Antiqua" w:hAnsi="Book Antiqua"/>
          <w:lang w:eastAsia="es-CR"/>
        </w:rPr>
        <w:t>promedio</w:t>
      </w:r>
      <w:r w:rsidR="00470495">
        <w:rPr>
          <w:rFonts w:ascii="Book Antiqua" w:hAnsi="Book Antiqua"/>
          <w:lang w:eastAsia="es-CR"/>
        </w:rPr>
        <w:t xml:space="preserve"> mensual de</w:t>
      </w:r>
      <w:r w:rsidR="00FB41DB">
        <w:rPr>
          <w:rFonts w:ascii="Book Antiqua" w:hAnsi="Book Antiqua"/>
          <w:lang w:eastAsia="es-CR"/>
        </w:rPr>
        <w:t xml:space="preserve"> </w:t>
      </w:r>
      <w:r w:rsidR="00A74032" w:rsidRPr="00494717">
        <w:rPr>
          <w:rFonts w:ascii="Book Antiqua" w:hAnsi="Book Antiqua"/>
          <w:lang w:eastAsia="es-CR"/>
        </w:rPr>
        <w:t>57</w:t>
      </w:r>
      <w:r w:rsidR="001766D1">
        <w:rPr>
          <w:rFonts w:ascii="Book Antiqua" w:hAnsi="Book Antiqua"/>
          <w:lang w:eastAsia="es-CR"/>
        </w:rPr>
        <w:t>.</w:t>
      </w:r>
      <w:r w:rsidR="00A74032" w:rsidRPr="00494717">
        <w:rPr>
          <w:rFonts w:ascii="Book Antiqua" w:hAnsi="Book Antiqua"/>
          <w:lang w:eastAsia="es-CR"/>
        </w:rPr>
        <w:t>284</w:t>
      </w:r>
      <w:r w:rsidR="00081F32" w:rsidRPr="00494717">
        <w:rPr>
          <w:rFonts w:ascii="Book Antiqua" w:hAnsi="Book Antiqua"/>
          <w:lang w:eastAsia="es-CR"/>
        </w:rPr>
        <w:t xml:space="preserve"> </w:t>
      </w:r>
      <w:r w:rsidR="00BE6100" w:rsidRPr="00494717">
        <w:rPr>
          <w:rFonts w:ascii="Book Antiqua" w:hAnsi="Book Antiqua"/>
          <w:lang w:eastAsia="es-CR"/>
        </w:rPr>
        <w:t>asuntos)</w:t>
      </w:r>
      <w:r w:rsidR="006B503A" w:rsidRPr="00494717">
        <w:rPr>
          <w:rFonts w:ascii="Book Antiqua" w:hAnsi="Book Antiqua"/>
          <w:lang w:eastAsia="es-CR"/>
        </w:rPr>
        <w:t>.</w:t>
      </w:r>
      <w:r w:rsidR="0096478D" w:rsidRPr="00494717">
        <w:rPr>
          <w:rFonts w:ascii="Book Antiqua" w:hAnsi="Book Antiqua"/>
          <w:lang w:eastAsia="es-CR"/>
        </w:rPr>
        <w:t xml:space="preserve"> </w:t>
      </w:r>
      <w:r w:rsidR="00BE6100" w:rsidRPr="00494717">
        <w:rPr>
          <w:rFonts w:ascii="Book Antiqua" w:hAnsi="Book Antiqua"/>
          <w:lang w:eastAsia="es-CR"/>
        </w:rPr>
        <w:t>Al desglosar las cifras según la materia, se determina que el mayor promedio mensual</w:t>
      </w:r>
      <w:r w:rsidR="00CF3B03">
        <w:rPr>
          <w:rFonts w:ascii="Book Antiqua" w:hAnsi="Book Antiqua"/>
          <w:lang w:eastAsia="es-CR"/>
        </w:rPr>
        <w:t xml:space="preserve"> del año en curso,</w:t>
      </w:r>
      <w:r w:rsidR="00BE6100" w:rsidRPr="00494717">
        <w:rPr>
          <w:rFonts w:ascii="Book Antiqua" w:hAnsi="Book Antiqua"/>
          <w:lang w:eastAsia="es-CR"/>
        </w:rPr>
        <w:t xml:space="preserve"> lo obtiene la categoría </w:t>
      </w:r>
      <w:r w:rsidR="00BE6100" w:rsidRPr="00494717">
        <w:rPr>
          <w:rFonts w:ascii="Book Antiqua" w:hAnsi="Book Antiqua"/>
          <w:i/>
          <w:iCs/>
          <w:lang w:eastAsia="es-CR"/>
        </w:rPr>
        <w:t>No Penal</w:t>
      </w:r>
      <w:r w:rsidR="00BE6100" w:rsidRPr="00494717">
        <w:rPr>
          <w:rFonts w:ascii="Book Antiqua" w:hAnsi="Book Antiqua"/>
          <w:lang w:eastAsia="es-CR"/>
        </w:rPr>
        <w:t xml:space="preserve"> con </w:t>
      </w:r>
      <w:r w:rsidR="00CF3B03">
        <w:rPr>
          <w:rFonts w:ascii="Book Antiqua" w:hAnsi="Book Antiqua"/>
          <w:lang w:eastAsia="es-CR"/>
        </w:rPr>
        <w:t>38</w:t>
      </w:r>
      <w:r w:rsidR="001766D1">
        <w:rPr>
          <w:rFonts w:ascii="Book Antiqua" w:hAnsi="Book Antiqua"/>
          <w:lang w:eastAsia="es-CR"/>
        </w:rPr>
        <w:t>.</w:t>
      </w:r>
      <w:r w:rsidR="00CF3B03">
        <w:rPr>
          <w:rFonts w:ascii="Book Antiqua" w:hAnsi="Book Antiqua"/>
          <w:lang w:eastAsia="es-CR"/>
        </w:rPr>
        <w:t>778</w:t>
      </w:r>
      <w:r w:rsidR="00BE6100" w:rsidRPr="00494717">
        <w:rPr>
          <w:rFonts w:ascii="Book Antiqua" w:hAnsi="Book Antiqua"/>
          <w:lang w:eastAsia="es-CR"/>
        </w:rPr>
        <w:t xml:space="preserve"> registros, seguidamente, la materia </w:t>
      </w:r>
      <w:r w:rsidR="00BE6100" w:rsidRPr="00494717">
        <w:rPr>
          <w:rFonts w:ascii="Book Antiqua" w:hAnsi="Book Antiqua"/>
          <w:i/>
          <w:iCs/>
          <w:lang w:eastAsia="es-CR"/>
        </w:rPr>
        <w:t xml:space="preserve">Penal </w:t>
      </w:r>
      <w:r w:rsidR="00BE6100" w:rsidRPr="00494717">
        <w:rPr>
          <w:rFonts w:ascii="Book Antiqua" w:hAnsi="Book Antiqua"/>
          <w:lang w:eastAsia="es-CR"/>
        </w:rPr>
        <w:t xml:space="preserve">con </w:t>
      </w:r>
      <w:bookmarkEnd w:id="1"/>
      <w:r w:rsidR="00494717" w:rsidRPr="00494717">
        <w:rPr>
          <w:rFonts w:ascii="Book Antiqua" w:hAnsi="Book Antiqua"/>
          <w:lang w:eastAsia="es-CR"/>
        </w:rPr>
        <w:t>14</w:t>
      </w:r>
      <w:r w:rsidR="001766D1">
        <w:rPr>
          <w:rFonts w:ascii="Book Antiqua" w:hAnsi="Book Antiqua"/>
          <w:lang w:eastAsia="es-CR"/>
        </w:rPr>
        <w:t>.</w:t>
      </w:r>
      <w:r w:rsidR="00494717" w:rsidRPr="00494717">
        <w:rPr>
          <w:rFonts w:ascii="Book Antiqua" w:hAnsi="Book Antiqua"/>
          <w:lang w:eastAsia="es-CR"/>
        </w:rPr>
        <w:t>4</w:t>
      </w:r>
      <w:r w:rsidR="00CF2008">
        <w:rPr>
          <w:rFonts w:ascii="Book Antiqua" w:hAnsi="Book Antiqua"/>
          <w:lang w:eastAsia="es-CR"/>
        </w:rPr>
        <w:t>58</w:t>
      </w:r>
      <w:r w:rsidR="00BE6100" w:rsidRPr="00494717">
        <w:rPr>
          <w:rFonts w:ascii="Book Antiqua" w:hAnsi="Book Antiqua"/>
          <w:lang w:eastAsia="es-CR"/>
        </w:rPr>
        <w:t xml:space="preserve">, </w:t>
      </w:r>
      <w:r w:rsidR="0096478D" w:rsidRPr="00494717">
        <w:rPr>
          <w:rFonts w:ascii="Book Antiqua" w:hAnsi="Book Antiqua"/>
          <w:lang w:eastAsia="es-CR"/>
        </w:rPr>
        <w:t xml:space="preserve">tal como se logra apreciar </w:t>
      </w:r>
      <w:r w:rsidR="00DF4E5B" w:rsidRPr="00494717">
        <w:rPr>
          <w:rFonts w:ascii="Book Antiqua" w:hAnsi="Book Antiqua"/>
          <w:lang w:eastAsia="es-CR"/>
        </w:rPr>
        <w:t>en los siguientes cuadros</w:t>
      </w:r>
      <w:r w:rsidR="0096478D" w:rsidRPr="00494717">
        <w:rPr>
          <w:rFonts w:ascii="Book Antiqua" w:hAnsi="Book Antiqua"/>
          <w:lang w:eastAsia="es-CR"/>
        </w:rPr>
        <w:t>:</w:t>
      </w:r>
    </w:p>
    <w:p w14:paraId="2D97EC08" w14:textId="77777777" w:rsidR="00CF209A" w:rsidRPr="004F0E92" w:rsidRDefault="00CF209A" w:rsidP="00234CBE">
      <w:pPr>
        <w:shd w:val="clear" w:color="auto" w:fill="FFFFFF" w:themeFill="background1"/>
        <w:spacing w:line="276" w:lineRule="auto"/>
        <w:jc w:val="both"/>
        <w:rPr>
          <w:rFonts w:ascii="Book Antiqua" w:hAnsi="Book Antiqua"/>
          <w:lang w:eastAsia="es-CR"/>
        </w:rPr>
      </w:pPr>
    </w:p>
    <w:p w14:paraId="7AC5FB16" w14:textId="77777777" w:rsidR="006F775A" w:rsidRDefault="0096478D" w:rsidP="00234CBE">
      <w:pPr>
        <w:shd w:val="clear" w:color="auto" w:fill="FFFFFF" w:themeFill="background1"/>
        <w:spacing w:line="276" w:lineRule="auto"/>
        <w:jc w:val="center"/>
        <w:rPr>
          <w:rFonts w:ascii="Book Antiqua" w:hAnsi="Book Antiqua"/>
          <w:b/>
          <w:bCs/>
          <w:lang w:val="es-ES_tradnl" w:eastAsia="en-US"/>
        </w:rPr>
      </w:pPr>
      <w:r w:rsidRPr="002D09FA">
        <w:rPr>
          <w:rFonts w:ascii="Book Antiqua" w:hAnsi="Book Antiqua"/>
          <w:b/>
          <w:bCs/>
          <w:lang w:val="es-ES_tradnl" w:eastAsia="en-US"/>
        </w:rPr>
        <w:t>Cuadro 01</w:t>
      </w:r>
    </w:p>
    <w:p w14:paraId="34625AAE" w14:textId="343BF22A" w:rsidR="00BC56E8" w:rsidRPr="002D09FA" w:rsidRDefault="0096478D" w:rsidP="00234CBE">
      <w:pPr>
        <w:shd w:val="clear" w:color="auto" w:fill="FFFFFF" w:themeFill="background1"/>
        <w:spacing w:line="276" w:lineRule="auto"/>
        <w:jc w:val="center"/>
        <w:rPr>
          <w:rFonts w:ascii="Book Antiqua" w:hAnsi="Book Antiqua"/>
          <w:b/>
          <w:bCs/>
          <w:lang w:val="es-ES_tradnl" w:eastAsia="en-US"/>
        </w:rPr>
      </w:pPr>
      <w:r w:rsidRPr="002D09FA">
        <w:rPr>
          <w:rFonts w:ascii="Book Antiqua" w:hAnsi="Book Antiqua"/>
          <w:b/>
          <w:bCs/>
          <w:lang w:val="es-ES_tradnl" w:eastAsia="en-US"/>
        </w:rPr>
        <w:t xml:space="preserve"> Cantidad de asuntos nuevos desglosados por mes y materia</w:t>
      </w:r>
      <w:r w:rsidR="00BC56E8" w:rsidRPr="002D09FA">
        <w:rPr>
          <w:rFonts w:ascii="Book Antiqua" w:hAnsi="Book Antiqua"/>
          <w:b/>
          <w:bCs/>
          <w:lang w:val="es-ES_tradnl" w:eastAsia="en-US"/>
        </w:rPr>
        <w:t xml:space="preserve"> </w:t>
      </w:r>
    </w:p>
    <w:p w14:paraId="5C6D4D1C" w14:textId="58D740A7" w:rsidR="0096478D" w:rsidRDefault="00BC56E8" w:rsidP="00234CBE">
      <w:pPr>
        <w:shd w:val="clear" w:color="auto" w:fill="FFFFFF" w:themeFill="background1"/>
        <w:spacing w:line="276" w:lineRule="auto"/>
        <w:jc w:val="center"/>
        <w:rPr>
          <w:rFonts w:ascii="Book Antiqua" w:hAnsi="Book Antiqua"/>
          <w:b/>
          <w:bCs/>
          <w:lang w:val="es-ES_tradnl" w:eastAsia="en-US"/>
        </w:rPr>
      </w:pPr>
      <w:r w:rsidRPr="002D09FA">
        <w:rPr>
          <w:rFonts w:ascii="Book Antiqua" w:hAnsi="Book Antiqua"/>
          <w:b/>
          <w:bCs/>
          <w:lang w:val="es-ES_tradnl" w:eastAsia="en-US"/>
        </w:rPr>
        <w:t xml:space="preserve">entre enero y </w:t>
      </w:r>
      <w:r w:rsidR="00470495">
        <w:rPr>
          <w:rFonts w:ascii="Book Antiqua" w:hAnsi="Book Antiqua"/>
          <w:b/>
          <w:bCs/>
          <w:lang w:val="es-ES_tradnl" w:eastAsia="en-US"/>
        </w:rPr>
        <w:t>setiembre</w:t>
      </w:r>
      <w:r w:rsidR="00FB41DB">
        <w:rPr>
          <w:rFonts w:ascii="Book Antiqua" w:hAnsi="Book Antiqua"/>
          <w:b/>
          <w:bCs/>
          <w:lang w:val="es-ES_tradnl" w:eastAsia="en-US"/>
        </w:rPr>
        <w:t xml:space="preserve"> de</w:t>
      </w:r>
      <w:r w:rsidRPr="002D09FA">
        <w:rPr>
          <w:rFonts w:ascii="Book Antiqua" w:hAnsi="Book Antiqua"/>
          <w:b/>
          <w:bCs/>
          <w:lang w:val="es-ES_tradnl" w:eastAsia="en-US"/>
        </w:rPr>
        <w:t xml:space="preserve"> 2021</w:t>
      </w:r>
    </w:p>
    <w:tbl>
      <w:tblPr>
        <w:tblW w:w="10505" w:type="dxa"/>
        <w:jc w:val="center"/>
        <w:tblCellMar>
          <w:left w:w="70" w:type="dxa"/>
          <w:right w:w="70" w:type="dxa"/>
        </w:tblCellMar>
        <w:tblLook w:val="04A0" w:firstRow="1" w:lastRow="0" w:firstColumn="1" w:lastColumn="0" w:noHBand="0" w:noVBand="1"/>
      </w:tblPr>
      <w:tblGrid>
        <w:gridCol w:w="2236"/>
        <w:gridCol w:w="806"/>
        <w:gridCol w:w="807"/>
        <w:gridCol w:w="807"/>
        <w:gridCol w:w="806"/>
        <w:gridCol w:w="806"/>
        <w:gridCol w:w="806"/>
        <w:gridCol w:w="806"/>
        <w:gridCol w:w="807"/>
        <w:gridCol w:w="846"/>
        <w:gridCol w:w="807"/>
        <w:gridCol w:w="7"/>
        <w:gridCol w:w="139"/>
        <w:gridCol w:w="19"/>
      </w:tblGrid>
      <w:tr w:rsidR="00470495" w:rsidRPr="00470495" w14:paraId="46D6EF9B" w14:textId="77777777" w:rsidTr="00470495">
        <w:trPr>
          <w:gridAfter w:val="2"/>
          <w:wAfter w:w="158" w:type="dxa"/>
          <w:trHeight w:val="293"/>
          <w:jc w:val="center"/>
        </w:trPr>
        <w:tc>
          <w:tcPr>
            <w:tcW w:w="2236" w:type="dxa"/>
            <w:vMerge w:val="restart"/>
            <w:tcBorders>
              <w:top w:val="single" w:sz="4" w:space="0" w:color="auto"/>
              <w:left w:val="single" w:sz="4" w:space="0" w:color="auto"/>
              <w:bottom w:val="single" w:sz="4" w:space="0" w:color="auto"/>
              <w:right w:val="single" w:sz="4" w:space="0" w:color="auto"/>
            </w:tcBorders>
            <w:shd w:val="clear" w:color="000000" w:fill="305496"/>
            <w:vAlign w:val="center"/>
            <w:hideMark/>
          </w:tcPr>
          <w:p w14:paraId="724DAE9C" w14:textId="77777777" w:rsidR="00470495" w:rsidRPr="00470495" w:rsidRDefault="00470495" w:rsidP="00234CBE">
            <w:pPr>
              <w:spacing w:line="276" w:lineRule="auto"/>
              <w:jc w:val="center"/>
              <w:rPr>
                <w:rFonts w:ascii="Book Antiqua" w:hAnsi="Book Antiqua" w:cs="Calibri"/>
                <w:b/>
                <w:bCs/>
                <w:color w:val="FFFFFF"/>
                <w:sz w:val="16"/>
                <w:szCs w:val="16"/>
                <w:lang w:eastAsia="es-CR"/>
              </w:rPr>
            </w:pPr>
            <w:r w:rsidRPr="00470495">
              <w:rPr>
                <w:rFonts w:ascii="Book Antiqua" w:hAnsi="Book Antiqua" w:cs="Calibri"/>
                <w:b/>
                <w:bCs/>
                <w:color w:val="FFFFFF"/>
                <w:sz w:val="16"/>
                <w:szCs w:val="16"/>
                <w:lang w:eastAsia="es-CR"/>
              </w:rPr>
              <w:t>MATERIA</w:t>
            </w:r>
          </w:p>
        </w:tc>
        <w:tc>
          <w:tcPr>
            <w:tcW w:w="8111" w:type="dxa"/>
            <w:gridSpan w:val="11"/>
            <w:vMerge w:val="restart"/>
            <w:tcBorders>
              <w:top w:val="single" w:sz="4" w:space="0" w:color="auto"/>
              <w:left w:val="single" w:sz="4" w:space="0" w:color="auto"/>
              <w:bottom w:val="single" w:sz="4" w:space="0" w:color="auto"/>
              <w:right w:val="single" w:sz="4" w:space="0" w:color="auto"/>
            </w:tcBorders>
            <w:shd w:val="clear" w:color="000000" w:fill="305496"/>
            <w:vAlign w:val="center"/>
            <w:hideMark/>
          </w:tcPr>
          <w:p w14:paraId="29308E7C" w14:textId="77777777" w:rsidR="00470495" w:rsidRPr="00470495" w:rsidRDefault="00470495" w:rsidP="00234CBE">
            <w:pPr>
              <w:spacing w:line="276" w:lineRule="auto"/>
              <w:jc w:val="center"/>
              <w:rPr>
                <w:rFonts w:ascii="Book Antiqua" w:hAnsi="Book Antiqua" w:cs="Calibri"/>
                <w:b/>
                <w:bCs/>
                <w:color w:val="FFFFFF"/>
                <w:sz w:val="16"/>
                <w:szCs w:val="16"/>
                <w:lang w:eastAsia="es-CR"/>
              </w:rPr>
            </w:pPr>
            <w:r w:rsidRPr="00470495">
              <w:rPr>
                <w:rFonts w:ascii="Book Antiqua" w:hAnsi="Book Antiqua" w:cs="Calibri"/>
                <w:b/>
                <w:bCs/>
                <w:color w:val="FFFFFF"/>
                <w:sz w:val="16"/>
                <w:szCs w:val="16"/>
                <w:lang w:eastAsia="es-CR"/>
              </w:rPr>
              <w:t>ENTRADOS</w:t>
            </w:r>
          </w:p>
        </w:tc>
      </w:tr>
      <w:tr w:rsidR="00470495" w:rsidRPr="00470495" w14:paraId="7447B439" w14:textId="77777777" w:rsidTr="00470495">
        <w:trPr>
          <w:trHeight w:val="217"/>
          <w:jc w:val="center"/>
        </w:trPr>
        <w:tc>
          <w:tcPr>
            <w:tcW w:w="2236" w:type="dxa"/>
            <w:vMerge/>
            <w:tcBorders>
              <w:top w:val="single" w:sz="4" w:space="0" w:color="auto"/>
              <w:left w:val="single" w:sz="4" w:space="0" w:color="auto"/>
              <w:bottom w:val="single" w:sz="4" w:space="0" w:color="auto"/>
              <w:right w:val="single" w:sz="4" w:space="0" w:color="auto"/>
            </w:tcBorders>
            <w:vAlign w:val="center"/>
            <w:hideMark/>
          </w:tcPr>
          <w:p w14:paraId="3EB2EEDE" w14:textId="77777777" w:rsidR="00470495" w:rsidRPr="00470495" w:rsidRDefault="00470495" w:rsidP="00234CBE">
            <w:pPr>
              <w:spacing w:line="276" w:lineRule="auto"/>
              <w:rPr>
                <w:rFonts w:ascii="Book Antiqua" w:hAnsi="Book Antiqua" w:cs="Calibri"/>
                <w:b/>
                <w:bCs/>
                <w:color w:val="FFFFFF"/>
                <w:sz w:val="16"/>
                <w:szCs w:val="16"/>
                <w:lang w:eastAsia="es-CR"/>
              </w:rPr>
            </w:pPr>
          </w:p>
        </w:tc>
        <w:tc>
          <w:tcPr>
            <w:tcW w:w="8111" w:type="dxa"/>
            <w:gridSpan w:val="11"/>
            <w:vMerge/>
            <w:tcBorders>
              <w:top w:val="single" w:sz="4" w:space="0" w:color="auto"/>
              <w:left w:val="single" w:sz="4" w:space="0" w:color="auto"/>
              <w:bottom w:val="single" w:sz="4" w:space="0" w:color="auto"/>
              <w:right w:val="single" w:sz="4" w:space="0" w:color="auto"/>
            </w:tcBorders>
            <w:vAlign w:val="center"/>
            <w:hideMark/>
          </w:tcPr>
          <w:p w14:paraId="71828127" w14:textId="77777777" w:rsidR="00470495" w:rsidRPr="00470495" w:rsidRDefault="00470495" w:rsidP="00234CBE">
            <w:pPr>
              <w:spacing w:line="276" w:lineRule="auto"/>
              <w:rPr>
                <w:rFonts w:ascii="Book Antiqua" w:hAnsi="Book Antiqua" w:cs="Calibri"/>
                <w:b/>
                <w:bCs/>
                <w:color w:val="FFFFFF"/>
                <w:sz w:val="16"/>
                <w:szCs w:val="16"/>
                <w:lang w:eastAsia="es-CR"/>
              </w:rPr>
            </w:pPr>
          </w:p>
        </w:tc>
        <w:tc>
          <w:tcPr>
            <w:tcW w:w="158" w:type="dxa"/>
            <w:gridSpan w:val="2"/>
            <w:tcBorders>
              <w:top w:val="nil"/>
              <w:left w:val="nil"/>
              <w:bottom w:val="nil"/>
              <w:right w:val="nil"/>
            </w:tcBorders>
            <w:shd w:val="clear" w:color="auto" w:fill="auto"/>
            <w:noWrap/>
            <w:vAlign w:val="bottom"/>
            <w:hideMark/>
          </w:tcPr>
          <w:p w14:paraId="36A1B273" w14:textId="77777777" w:rsidR="00470495" w:rsidRPr="00470495" w:rsidRDefault="00470495" w:rsidP="00234CBE">
            <w:pPr>
              <w:spacing w:line="276" w:lineRule="auto"/>
              <w:jc w:val="center"/>
              <w:rPr>
                <w:rFonts w:ascii="Book Antiqua" w:hAnsi="Book Antiqua" w:cs="Calibri"/>
                <w:b/>
                <w:bCs/>
                <w:color w:val="FFFFFF"/>
                <w:sz w:val="16"/>
                <w:szCs w:val="16"/>
                <w:lang w:eastAsia="es-CR"/>
              </w:rPr>
            </w:pPr>
          </w:p>
        </w:tc>
      </w:tr>
      <w:tr w:rsidR="00470495" w:rsidRPr="00470495" w14:paraId="0A458762" w14:textId="77777777" w:rsidTr="00470495">
        <w:trPr>
          <w:gridAfter w:val="1"/>
          <w:wAfter w:w="19" w:type="dxa"/>
          <w:trHeight w:val="217"/>
          <w:jc w:val="center"/>
        </w:trPr>
        <w:tc>
          <w:tcPr>
            <w:tcW w:w="2236" w:type="dxa"/>
            <w:tcBorders>
              <w:top w:val="nil"/>
              <w:left w:val="single" w:sz="4" w:space="0" w:color="auto"/>
              <w:bottom w:val="single" w:sz="4" w:space="0" w:color="auto"/>
              <w:right w:val="single" w:sz="4" w:space="0" w:color="auto"/>
            </w:tcBorders>
            <w:shd w:val="clear" w:color="auto" w:fill="auto"/>
            <w:noWrap/>
            <w:vAlign w:val="center"/>
            <w:hideMark/>
          </w:tcPr>
          <w:p w14:paraId="7DD9F5B9" w14:textId="77777777" w:rsidR="00470495" w:rsidRPr="00470495" w:rsidRDefault="00470495" w:rsidP="00234CBE">
            <w:pPr>
              <w:spacing w:line="276" w:lineRule="auto"/>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 </w:t>
            </w:r>
          </w:p>
        </w:tc>
        <w:tc>
          <w:tcPr>
            <w:tcW w:w="806" w:type="dxa"/>
            <w:tcBorders>
              <w:top w:val="nil"/>
              <w:left w:val="nil"/>
              <w:bottom w:val="single" w:sz="4" w:space="0" w:color="auto"/>
              <w:right w:val="single" w:sz="4" w:space="0" w:color="auto"/>
            </w:tcBorders>
            <w:shd w:val="clear" w:color="auto" w:fill="auto"/>
            <w:noWrap/>
            <w:vAlign w:val="center"/>
            <w:hideMark/>
          </w:tcPr>
          <w:p w14:paraId="2DB4C6B3"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Enero</w:t>
            </w:r>
          </w:p>
        </w:tc>
        <w:tc>
          <w:tcPr>
            <w:tcW w:w="807" w:type="dxa"/>
            <w:tcBorders>
              <w:top w:val="nil"/>
              <w:left w:val="nil"/>
              <w:bottom w:val="single" w:sz="4" w:space="0" w:color="auto"/>
              <w:right w:val="single" w:sz="4" w:space="0" w:color="auto"/>
            </w:tcBorders>
            <w:shd w:val="clear" w:color="auto" w:fill="auto"/>
            <w:noWrap/>
            <w:vAlign w:val="center"/>
            <w:hideMark/>
          </w:tcPr>
          <w:p w14:paraId="0B378AAF"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Febrero</w:t>
            </w:r>
          </w:p>
        </w:tc>
        <w:tc>
          <w:tcPr>
            <w:tcW w:w="807" w:type="dxa"/>
            <w:tcBorders>
              <w:top w:val="nil"/>
              <w:left w:val="nil"/>
              <w:bottom w:val="single" w:sz="4" w:space="0" w:color="auto"/>
              <w:right w:val="single" w:sz="4" w:space="0" w:color="auto"/>
            </w:tcBorders>
            <w:shd w:val="clear" w:color="auto" w:fill="auto"/>
            <w:noWrap/>
            <w:vAlign w:val="center"/>
            <w:hideMark/>
          </w:tcPr>
          <w:p w14:paraId="6CD02441"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 xml:space="preserve">Marzo </w:t>
            </w:r>
          </w:p>
        </w:tc>
        <w:tc>
          <w:tcPr>
            <w:tcW w:w="806" w:type="dxa"/>
            <w:tcBorders>
              <w:top w:val="nil"/>
              <w:left w:val="nil"/>
              <w:bottom w:val="single" w:sz="4" w:space="0" w:color="auto"/>
              <w:right w:val="single" w:sz="4" w:space="0" w:color="auto"/>
            </w:tcBorders>
            <w:shd w:val="clear" w:color="auto" w:fill="auto"/>
            <w:noWrap/>
            <w:vAlign w:val="center"/>
            <w:hideMark/>
          </w:tcPr>
          <w:p w14:paraId="080BB2CD"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Abril</w:t>
            </w:r>
          </w:p>
        </w:tc>
        <w:tc>
          <w:tcPr>
            <w:tcW w:w="806" w:type="dxa"/>
            <w:tcBorders>
              <w:top w:val="nil"/>
              <w:left w:val="nil"/>
              <w:bottom w:val="single" w:sz="4" w:space="0" w:color="auto"/>
              <w:right w:val="single" w:sz="4" w:space="0" w:color="auto"/>
            </w:tcBorders>
            <w:shd w:val="clear" w:color="auto" w:fill="auto"/>
            <w:noWrap/>
            <w:vAlign w:val="center"/>
            <w:hideMark/>
          </w:tcPr>
          <w:p w14:paraId="43D70637"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Mayo</w:t>
            </w:r>
          </w:p>
        </w:tc>
        <w:tc>
          <w:tcPr>
            <w:tcW w:w="806" w:type="dxa"/>
            <w:tcBorders>
              <w:top w:val="nil"/>
              <w:left w:val="nil"/>
              <w:bottom w:val="single" w:sz="4" w:space="0" w:color="auto"/>
              <w:right w:val="single" w:sz="4" w:space="0" w:color="auto"/>
            </w:tcBorders>
            <w:shd w:val="clear" w:color="auto" w:fill="auto"/>
            <w:noWrap/>
            <w:vAlign w:val="center"/>
            <w:hideMark/>
          </w:tcPr>
          <w:p w14:paraId="2B16381C"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Junio</w:t>
            </w:r>
          </w:p>
        </w:tc>
        <w:tc>
          <w:tcPr>
            <w:tcW w:w="806" w:type="dxa"/>
            <w:tcBorders>
              <w:top w:val="nil"/>
              <w:left w:val="nil"/>
              <w:bottom w:val="single" w:sz="4" w:space="0" w:color="auto"/>
              <w:right w:val="single" w:sz="4" w:space="0" w:color="auto"/>
            </w:tcBorders>
            <w:shd w:val="clear" w:color="auto" w:fill="auto"/>
            <w:noWrap/>
            <w:vAlign w:val="center"/>
            <w:hideMark/>
          </w:tcPr>
          <w:p w14:paraId="0E7352A2"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Julio</w:t>
            </w:r>
          </w:p>
        </w:tc>
        <w:tc>
          <w:tcPr>
            <w:tcW w:w="807" w:type="dxa"/>
            <w:tcBorders>
              <w:top w:val="nil"/>
              <w:left w:val="nil"/>
              <w:bottom w:val="single" w:sz="4" w:space="0" w:color="auto"/>
              <w:right w:val="single" w:sz="4" w:space="0" w:color="auto"/>
            </w:tcBorders>
            <w:shd w:val="clear" w:color="auto" w:fill="auto"/>
            <w:noWrap/>
            <w:vAlign w:val="center"/>
            <w:hideMark/>
          </w:tcPr>
          <w:p w14:paraId="7935B6C3"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Agosto</w:t>
            </w:r>
          </w:p>
        </w:tc>
        <w:tc>
          <w:tcPr>
            <w:tcW w:w="846" w:type="dxa"/>
            <w:tcBorders>
              <w:top w:val="nil"/>
              <w:left w:val="nil"/>
              <w:bottom w:val="single" w:sz="4" w:space="0" w:color="auto"/>
              <w:right w:val="single" w:sz="4" w:space="0" w:color="auto"/>
            </w:tcBorders>
            <w:shd w:val="clear" w:color="auto" w:fill="auto"/>
            <w:noWrap/>
            <w:vAlign w:val="center"/>
            <w:hideMark/>
          </w:tcPr>
          <w:p w14:paraId="1CB15399"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Setiembre</w:t>
            </w:r>
          </w:p>
        </w:tc>
        <w:tc>
          <w:tcPr>
            <w:tcW w:w="807" w:type="dxa"/>
            <w:tcBorders>
              <w:top w:val="nil"/>
              <w:left w:val="nil"/>
              <w:bottom w:val="single" w:sz="4" w:space="0" w:color="auto"/>
              <w:right w:val="single" w:sz="4" w:space="0" w:color="auto"/>
            </w:tcBorders>
            <w:shd w:val="clear" w:color="auto" w:fill="auto"/>
            <w:noWrap/>
            <w:vAlign w:val="center"/>
            <w:hideMark/>
          </w:tcPr>
          <w:p w14:paraId="59E0D8B1"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Total</w:t>
            </w:r>
          </w:p>
        </w:tc>
        <w:tc>
          <w:tcPr>
            <w:tcW w:w="146" w:type="dxa"/>
            <w:gridSpan w:val="2"/>
            <w:vAlign w:val="center"/>
            <w:hideMark/>
          </w:tcPr>
          <w:p w14:paraId="21E5DC6A" w14:textId="77777777" w:rsidR="00470495" w:rsidRPr="00470495" w:rsidRDefault="00470495" w:rsidP="00234CBE">
            <w:pPr>
              <w:spacing w:line="276" w:lineRule="auto"/>
              <w:rPr>
                <w:rFonts w:ascii="Times New Roman" w:hAnsi="Times New Roman"/>
                <w:sz w:val="20"/>
                <w:szCs w:val="20"/>
                <w:lang w:eastAsia="es-CR"/>
              </w:rPr>
            </w:pPr>
          </w:p>
        </w:tc>
      </w:tr>
      <w:tr w:rsidR="00470495" w:rsidRPr="00470495" w14:paraId="05BDBE14" w14:textId="77777777" w:rsidTr="00470495">
        <w:trPr>
          <w:gridAfter w:val="1"/>
          <w:wAfter w:w="19" w:type="dxa"/>
          <w:trHeight w:val="217"/>
          <w:jc w:val="center"/>
        </w:trPr>
        <w:tc>
          <w:tcPr>
            <w:tcW w:w="2236" w:type="dxa"/>
            <w:tcBorders>
              <w:top w:val="nil"/>
              <w:left w:val="single" w:sz="4" w:space="0" w:color="auto"/>
              <w:bottom w:val="single" w:sz="4" w:space="0" w:color="auto"/>
              <w:right w:val="single" w:sz="4" w:space="0" w:color="auto"/>
            </w:tcBorders>
            <w:shd w:val="clear" w:color="auto" w:fill="auto"/>
            <w:vAlign w:val="center"/>
            <w:hideMark/>
          </w:tcPr>
          <w:p w14:paraId="286768E9" w14:textId="77777777" w:rsidR="00470495" w:rsidRPr="00470495" w:rsidRDefault="00470495" w:rsidP="00234CBE">
            <w:pPr>
              <w:spacing w:line="276" w:lineRule="auto"/>
              <w:jc w:val="center"/>
              <w:rPr>
                <w:rFonts w:ascii="Book Antiqua" w:hAnsi="Book Antiqua" w:cs="Calibri"/>
                <w:b/>
                <w:bCs/>
                <w:sz w:val="16"/>
                <w:szCs w:val="16"/>
                <w:lang w:eastAsia="es-CR"/>
              </w:rPr>
            </w:pPr>
            <w:r w:rsidRPr="00470495">
              <w:rPr>
                <w:rFonts w:ascii="Book Antiqua" w:hAnsi="Book Antiqua" w:cs="Calibri"/>
                <w:b/>
                <w:bCs/>
                <w:sz w:val="16"/>
                <w:szCs w:val="16"/>
                <w:lang w:eastAsia="es-CR"/>
              </w:rPr>
              <w:t> </w:t>
            </w:r>
          </w:p>
        </w:tc>
        <w:tc>
          <w:tcPr>
            <w:tcW w:w="806" w:type="dxa"/>
            <w:tcBorders>
              <w:top w:val="nil"/>
              <w:left w:val="nil"/>
              <w:bottom w:val="single" w:sz="4" w:space="0" w:color="auto"/>
              <w:right w:val="single" w:sz="4" w:space="0" w:color="auto"/>
            </w:tcBorders>
            <w:shd w:val="clear" w:color="auto" w:fill="auto"/>
            <w:vAlign w:val="center"/>
            <w:hideMark/>
          </w:tcPr>
          <w:p w14:paraId="22306FDD" w14:textId="77777777" w:rsidR="00470495" w:rsidRPr="00470495" w:rsidRDefault="00470495" w:rsidP="00234CBE">
            <w:pPr>
              <w:spacing w:line="276" w:lineRule="auto"/>
              <w:jc w:val="center"/>
              <w:rPr>
                <w:rFonts w:ascii="Book Antiqua" w:hAnsi="Book Antiqua" w:cs="Calibri"/>
                <w:b/>
                <w:bCs/>
                <w:sz w:val="16"/>
                <w:szCs w:val="16"/>
                <w:lang w:eastAsia="es-CR"/>
              </w:rPr>
            </w:pPr>
            <w:r w:rsidRPr="00470495">
              <w:rPr>
                <w:rFonts w:ascii="Book Antiqua" w:hAnsi="Book Antiqua" w:cs="Calibri"/>
                <w:b/>
                <w:bCs/>
                <w:sz w:val="16"/>
                <w:szCs w:val="16"/>
                <w:lang w:eastAsia="es-CR"/>
              </w:rPr>
              <w:t>2 021</w:t>
            </w:r>
          </w:p>
        </w:tc>
        <w:tc>
          <w:tcPr>
            <w:tcW w:w="807" w:type="dxa"/>
            <w:tcBorders>
              <w:top w:val="nil"/>
              <w:left w:val="nil"/>
              <w:bottom w:val="single" w:sz="4" w:space="0" w:color="auto"/>
              <w:right w:val="single" w:sz="4" w:space="0" w:color="auto"/>
            </w:tcBorders>
            <w:shd w:val="clear" w:color="auto" w:fill="auto"/>
            <w:vAlign w:val="center"/>
            <w:hideMark/>
          </w:tcPr>
          <w:p w14:paraId="3740341F" w14:textId="77777777" w:rsidR="00470495" w:rsidRPr="00470495" w:rsidRDefault="00470495" w:rsidP="00234CBE">
            <w:pPr>
              <w:spacing w:line="276" w:lineRule="auto"/>
              <w:jc w:val="center"/>
              <w:rPr>
                <w:rFonts w:ascii="Book Antiqua" w:hAnsi="Book Antiqua" w:cs="Calibri"/>
                <w:b/>
                <w:bCs/>
                <w:sz w:val="16"/>
                <w:szCs w:val="16"/>
                <w:lang w:eastAsia="es-CR"/>
              </w:rPr>
            </w:pPr>
            <w:r w:rsidRPr="00470495">
              <w:rPr>
                <w:rFonts w:ascii="Book Antiqua" w:hAnsi="Book Antiqua" w:cs="Calibri"/>
                <w:b/>
                <w:bCs/>
                <w:sz w:val="16"/>
                <w:szCs w:val="16"/>
                <w:lang w:eastAsia="es-CR"/>
              </w:rPr>
              <w:t>2 021</w:t>
            </w:r>
          </w:p>
        </w:tc>
        <w:tc>
          <w:tcPr>
            <w:tcW w:w="807" w:type="dxa"/>
            <w:tcBorders>
              <w:top w:val="nil"/>
              <w:left w:val="nil"/>
              <w:bottom w:val="single" w:sz="4" w:space="0" w:color="auto"/>
              <w:right w:val="single" w:sz="4" w:space="0" w:color="auto"/>
            </w:tcBorders>
            <w:shd w:val="clear" w:color="auto" w:fill="auto"/>
            <w:vAlign w:val="center"/>
            <w:hideMark/>
          </w:tcPr>
          <w:p w14:paraId="351C6400" w14:textId="77777777" w:rsidR="00470495" w:rsidRPr="00470495" w:rsidRDefault="00470495" w:rsidP="00234CBE">
            <w:pPr>
              <w:spacing w:line="276" w:lineRule="auto"/>
              <w:jc w:val="center"/>
              <w:rPr>
                <w:rFonts w:ascii="Book Antiqua" w:hAnsi="Book Antiqua" w:cs="Calibri"/>
                <w:b/>
                <w:bCs/>
                <w:sz w:val="16"/>
                <w:szCs w:val="16"/>
                <w:lang w:eastAsia="es-CR"/>
              </w:rPr>
            </w:pPr>
            <w:r w:rsidRPr="00470495">
              <w:rPr>
                <w:rFonts w:ascii="Book Antiqua" w:hAnsi="Book Antiqua" w:cs="Calibri"/>
                <w:b/>
                <w:bCs/>
                <w:sz w:val="16"/>
                <w:szCs w:val="16"/>
                <w:lang w:eastAsia="es-CR"/>
              </w:rPr>
              <w:t>2 021</w:t>
            </w:r>
          </w:p>
        </w:tc>
        <w:tc>
          <w:tcPr>
            <w:tcW w:w="806" w:type="dxa"/>
            <w:tcBorders>
              <w:top w:val="nil"/>
              <w:left w:val="nil"/>
              <w:bottom w:val="single" w:sz="4" w:space="0" w:color="auto"/>
              <w:right w:val="single" w:sz="4" w:space="0" w:color="auto"/>
            </w:tcBorders>
            <w:shd w:val="clear" w:color="auto" w:fill="auto"/>
            <w:vAlign w:val="center"/>
            <w:hideMark/>
          </w:tcPr>
          <w:p w14:paraId="1D352C91" w14:textId="77777777" w:rsidR="00470495" w:rsidRPr="00470495" w:rsidRDefault="00470495" w:rsidP="00234CBE">
            <w:pPr>
              <w:spacing w:line="276" w:lineRule="auto"/>
              <w:jc w:val="center"/>
              <w:rPr>
                <w:rFonts w:ascii="Book Antiqua" w:hAnsi="Book Antiqua" w:cs="Calibri"/>
                <w:b/>
                <w:bCs/>
                <w:sz w:val="16"/>
                <w:szCs w:val="16"/>
                <w:lang w:eastAsia="es-CR"/>
              </w:rPr>
            </w:pPr>
            <w:r w:rsidRPr="00470495">
              <w:rPr>
                <w:rFonts w:ascii="Book Antiqua" w:hAnsi="Book Antiqua" w:cs="Calibri"/>
                <w:b/>
                <w:bCs/>
                <w:sz w:val="16"/>
                <w:szCs w:val="16"/>
                <w:lang w:eastAsia="es-CR"/>
              </w:rPr>
              <w:t>2 021</w:t>
            </w:r>
          </w:p>
        </w:tc>
        <w:tc>
          <w:tcPr>
            <w:tcW w:w="806" w:type="dxa"/>
            <w:tcBorders>
              <w:top w:val="nil"/>
              <w:left w:val="nil"/>
              <w:bottom w:val="single" w:sz="4" w:space="0" w:color="auto"/>
              <w:right w:val="single" w:sz="4" w:space="0" w:color="auto"/>
            </w:tcBorders>
            <w:shd w:val="clear" w:color="auto" w:fill="auto"/>
            <w:vAlign w:val="center"/>
            <w:hideMark/>
          </w:tcPr>
          <w:p w14:paraId="1BFB84FA" w14:textId="77777777" w:rsidR="00470495" w:rsidRPr="00470495" w:rsidRDefault="00470495" w:rsidP="00234CBE">
            <w:pPr>
              <w:spacing w:line="276" w:lineRule="auto"/>
              <w:jc w:val="center"/>
              <w:rPr>
                <w:rFonts w:ascii="Book Antiqua" w:hAnsi="Book Antiqua" w:cs="Calibri"/>
                <w:b/>
                <w:bCs/>
                <w:sz w:val="16"/>
                <w:szCs w:val="16"/>
                <w:lang w:eastAsia="es-CR"/>
              </w:rPr>
            </w:pPr>
            <w:r w:rsidRPr="00470495">
              <w:rPr>
                <w:rFonts w:ascii="Book Antiqua" w:hAnsi="Book Antiqua" w:cs="Calibri"/>
                <w:b/>
                <w:bCs/>
                <w:sz w:val="16"/>
                <w:szCs w:val="16"/>
                <w:lang w:eastAsia="es-CR"/>
              </w:rPr>
              <w:t>2 021</w:t>
            </w:r>
          </w:p>
        </w:tc>
        <w:tc>
          <w:tcPr>
            <w:tcW w:w="806" w:type="dxa"/>
            <w:tcBorders>
              <w:top w:val="nil"/>
              <w:left w:val="nil"/>
              <w:bottom w:val="single" w:sz="4" w:space="0" w:color="auto"/>
              <w:right w:val="single" w:sz="4" w:space="0" w:color="auto"/>
            </w:tcBorders>
            <w:shd w:val="clear" w:color="auto" w:fill="auto"/>
            <w:vAlign w:val="center"/>
            <w:hideMark/>
          </w:tcPr>
          <w:p w14:paraId="1B293D8B" w14:textId="77777777" w:rsidR="00470495" w:rsidRPr="00470495" w:rsidRDefault="00470495" w:rsidP="00234CBE">
            <w:pPr>
              <w:spacing w:line="276" w:lineRule="auto"/>
              <w:jc w:val="center"/>
              <w:rPr>
                <w:rFonts w:ascii="Book Antiqua" w:hAnsi="Book Antiqua" w:cs="Calibri"/>
                <w:b/>
                <w:bCs/>
                <w:sz w:val="16"/>
                <w:szCs w:val="16"/>
                <w:lang w:eastAsia="es-CR"/>
              </w:rPr>
            </w:pPr>
            <w:r w:rsidRPr="00470495">
              <w:rPr>
                <w:rFonts w:ascii="Book Antiqua" w:hAnsi="Book Antiqua" w:cs="Calibri"/>
                <w:b/>
                <w:bCs/>
                <w:sz w:val="16"/>
                <w:szCs w:val="16"/>
                <w:lang w:eastAsia="es-CR"/>
              </w:rPr>
              <w:t>2 021</w:t>
            </w:r>
          </w:p>
        </w:tc>
        <w:tc>
          <w:tcPr>
            <w:tcW w:w="806" w:type="dxa"/>
            <w:tcBorders>
              <w:top w:val="nil"/>
              <w:left w:val="nil"/>
              <w:bottom w:val="single" w:sz="4" w:space="0" w:color="auto"/>
              <w:right w:val="single" w:sz="4" w:space="0" w:color="auto"/>
            </w:tcBorders>
            <w:shd w:val="clear" w:color="auto" w:fill="auto"/>
            <w:vAlign w:val="center"/>
            <w:hideMark/>
          </w:tcPr>
          <w:p w14:paraId="182AC55B" w14:textId="77777777" w:rsidR="00470495" w:rsidRPr="00470495" w:rsidRDefault="00470495" w:rsidP="00234CBE">
            <w:pPr>
              <w:spacing w:line="276" w:lineRule="auto"/>
              <w:jc w:val="center"/>
              <w:rPr>
                <w:rFonts w:ascii="Book Antiqua" w:hAnsi="Book Antiqua" w:cs="Calibri"/>
                <w:b/>
                <w:bCs/>
                <w:sz w:val="16"/>
                <w:szCs w:val="16"/>
                <w:lang w:eastAsia="es-CR"/>
              </w:rPr>
            </w:pPr>
            <w:r w:rsidRPr="00470495">
              <w:rPr>
                <w:rFonts w:ascii="Book Antiqua" w:hAnsi="Book Antiqua" w:cs="Calibri"/>
                <w:b/>
                <w:bCs/>
                <w:sz w:val="16"/>
                <w:szCs w:val="16"/>
                <w:lang w:eastAsia="es-CR"/>
              </w:rPr>
              <w:t>2 021</w:t>
            </w:r>
          </w:p>
        </w:tc>
        <w:tc>
          <w:tcPr>
            <w:tcW w:w="807" w:type="dxa"/>
            <w:tcBorders>
              <w:top w:val="nil"/>
              <w:left w:val="nil"/>
              <w:bottom w:val="single" w:sz="4" w:space="0" w:color="auto"/>
              <w:right w:val="single" w:sz="4" w:space="0" w:color="auto"/>
            </w:tcBorders>
            <w:shd w:val="clear" w:color="auto" w:fill="auto"/>
            <w:vAlign w:val="center"/>
            <w:hideMark/>
          </w:tcPr>
          <w:p w14:paraId="3BE1EEF4" w14:textId="77777777" w:rsidR="00470495" w:rsidRPr="00470495" w:rsidRDefault="00470495" w:rsidP="00234CBE">
            <w:pPr>
              <w:spacing w:line="276" w:lineRule="auto"/>
              <w:jc w:val="center"/>
              <w:rPr>
                <w:rFonts w:ascii="Book Antiqua" w:hAnsi="Book Antiqua" w:cs="Calibri"/>
                <w:b/>
                <w:bCs/>
                <w:sz w:val="16"/>
                <w:szCs w:val="16"/>
                <w:lang w:eastAsia="es-CR"/>
              </w:rPr>
            </w:pPr>
            <w:r w:rsidRPr="00470495">
              <w:rPr>
                <w:rFonts w:ascii="Book Antiqua" w:hAnsi="Book Antiqua" w:cs="Calibri"/>
                <w:b/>
                <w:bCs/>
                <w:sz w:val="16"/>
                <w:szCs w:val="16"/>
                <w:lang w:eastAsia="es-CR"/>
              </w:rPr>
              <w:t>2 021</w:t>
            </w:r>
          </w:p>
        </w:tc>
        <w:tc>
          <w:tcPr>
            <w:tcW w:w="846" w:type="dxa"/>
            <w:tcBorders>
              <w:top w:val="nil"/>
              <w:left w:val="nil"/>
              <w:bottom w:val="single" w:sz="4" w:space="0" w:color="auto"/>
              <w:right w:val="single" w:sz="4" w:space="0" w:color="auto"/>
            </w:tcBorders>
            <w:shd w:val="clear" w:color="auto" w:fill="auto"/>
            <w:vAlign w:val="center"/>
            <w:hideMark/>
          </w:tcPr>
          <w:p w14:paraId="6598D7A3" w14:textId="77777777" w:rsidR="00470495" w:rsidRPr="00470495" w:rsidRDefault="00470495" w:rsidP="00234CBE">
            <w:pPr>
              <w:spacing w:line="276" w:lineRule="auto"/>
              <w:jc w:val="center"/>
              <w:rPr>
                <w:rFonts w:ascii="Book Antiqua" w:hAnsi="Book Antiqua" w:cs="Calibri"/>
                <w:b/>
                <w:bCs/>
                <w:sz w:val="16"/>
                <w:szCs w:val="16"/>
                <w:lang w:eastAsia="es-CR"/>
              </w:rPr>
            </w:pPr>
            <w:r w:rsidRPr="00470495">
              <w:rPr>
                <w:rFonts w:ascii="Book Antiqua" w:hAnsi="Book Antiqua" w:cs="Calibri"/>
                <w:b/>
                <w:bCs/>
                <w:sz w:val="16"/>
                <w:szCs w:val="16"/>
                <w:lang w:eastAsia="es-CR"/>
              </w:rPr>
              <w:t>2 021</w:t>
            </w:r>
          </w:p>
        </w:tc>
        <w:tc>
          <w:tcPr>
            <w:tcW w:w="807" w:type="dxa"/>
            <w:tcBorders>
              <w:top w:val="nil"/>
              <w:left w:val="nil"/>
              <w:bottom w:val="single" w:sz="4" w:space="0" w:color="auto"/>
              <w:right w:val="single" w:sz="4" w:space="0" w:color="auto"/>
            </w:tcBorders>
            <w:shd w:val="clear" w:color="auto" w:fill="auto"/>
            <w:vAlign w:val="center"/>
            <w:hideMark/>
          </w:tcPr>
          <w:p w14:paraId="33956F9E" w14:textId="77777777" w:rsidR="00470495" w:rsidRPr="00470495" w:rsidRDefault="00470495" w:rsidP="00234CBE">
            <w:pPr>
              <w:spacing w:line="276" w:lineRule="auto"/>
              <w:jc w:val="center"/>
              <w:rPr>
                <w:rFonts w:ascii="Book Antiqua" w:hAnsi="Book Antiqua" w:cs="Calibri"/>
                <w:b/>
                <w:bCs/>
                <w:sz w:val="16"/>
                <w:szCs w:val="16"/>
                <w:lang w:eastAsia="es-CR"/>
              </w:rPr>
            </w:pPr>
            <w:r w:rsidRPr="00470495">
              <w:rPr>
                <w:rFonts w:ascii="Book Antiqua" w:hAnsi="Book Antiqua" w:cs="Calibri"/>
                <w:b/>
                <w:bCs/>
                <w:sz w:val="16"/>
                <w:szCs w:val="16"/>
                <w:lang w:eastAsia="es-CR"/>
              </w:rPr>
              <w:t>2 021</w:t>
            </w:r>
          </w:p>
        </w:tc>
        <w:tc>
          <w:tcPr>
            <w:tcW w:w="146" w:type="dxa"/>
            <w:gridSpan w:val="2"/>
            <w:vAlign w:val="center"/>
            <w:hideMark/>
          </w:tcPr>
          <w:p w14:paraId="06E7CD5B" w14:textId="77777777" w:rsidR="00470495" w:rsidRPr="00470495" w:rsidRDefault="00470495" w:rsidP="00234CBE">
            <w:pPr>
              <w:spacing w:line="276" w:lineRule="auto"/>
              <w:rPr>
                <w:rFonts w:ascii="Times New Roman" w:hAnsi="Times New Roman"/>
                <w:sz w:val="20"/>
                <w:szCs w:val="20"/>
                <w:lang w:eastAsia="es-CR"/>
              </w:rPr>
            </w:pPr>
          </w:p>
        </w:tc>
      </w:tr>
      <w:tr w:rsidR="00470495" w:rsidRPr="00470495" w14:paraId="4843A426" w14:textId="77777777" w:rsidTr="00470495">
        <w:trPr>
          <w:gridAfter w:val="1"/>
          <w:wAfter w:w="19" w:type="dxa"/>
          <w:trHeight w:val="217"/>
          <w:jc w:val="center"/>
        </w:trPr>
        <w:tc>
          <w:tcPr>
            <w:tcW w:w="2236" w:type="dxa"/>
            <w:tcBorders>
              <w:top w:val="nil"/>
              <w:left w:val="single" w:sz="4" w:space="0" w:color="auto"/>
              <w:bottom w:val="single" w:sz="4" w:space="0" w:color="auto"/>
              <w:right w:val="single" w:sz="4" w:space="0" w:color="auto"/>
            </w:tcBorders>
            <w:shd w:val="clear" w:color="auto" w:fill="auto"/>
            <w:noWrap/>
            <w:vAlign w:val="center"/>
            <w:hideMark/>
          </w:tcPr>
          <w:p w14:paraId="5B31CA93" w14:textId="77777777" w:rsidR="00470495" w:rsidRPr="00470495" w:rsidRDefault="00470495" w:rsidP="00234CBE">
            <w:pPr>
              <w:spacing w:line="276" w:lineRule="auto"/>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 </w:t>
            </w:r>
          </w:p>
        </w:tc>
        <w:tc>
          <w:tcPr>
            <w:tcW w:w="806" w:type="dxa"/>
            <w:tcBorders>
              <w:top w:val="nil"/>
              <w:left w:val="nil"/>
              <w:bottom w:val="single" w:sz="4" w:space="0" w:color="auto"/>
              <w:right w:val="single" w:sz="4" w:space="0" w:color="auto"/>
            </w:tcBorders>
            <w:shd w:val="clear" w:color="auto" w:fill="auto"/>
            <w:noWrap/>
            <w:vAlign w:val="center"/>
            <w:hideMark/>
          </w:tcPr>
          <w:p w14:paraId="203543EB"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 </w:t>
            </w:r>
          </w:p>
        </w:tc>
        <w:tc>
          <w:tcPr>
            <w:tcW w:w="807" w:type="dxa"/>
            <w:tcBorders>
              <w:top w:val="nil"/>
              <w:left w:val="nil"/>
              <w:bottom w:val="single" w:sz="4" w:space="0" w:color="auto"/>
              <w:right w:val="single" w:sz="4" w:space="0" w:color="auto"/>
            </w:tcBorders>
            <w:shd w:val="clear" w:color="auto" w:fill="auto"/>
            <w:noWrap/>
            <w:vAlign w:val="center"/>
            <w:hideMark/>
          </w:tcPr>
          <w:p w14:paraId="367B5208"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 </w:t>
            </w:r>
          </w:p>
        </w:tc>
        <w:tc>
          <w:tcPr>
            <w:tcW w:w="807" w:type="dxa"/>
            <w:tcBorders>
              <w:top w:val="nil"/>
              <w:left w:val="nil"/>
              <w:bottom w:val="single" w:sz="4" w:space="0" w:color="auto"/>
              <w:right w:val="single" w:sz="4" w:space="0" w:color="auto"/>
            </w:tcBorders>
            <w:shd w:val="clear" w:color="auto" w:fill="auto"/>
            <w:noWrap/>
            <w:vAlign w:val="center"/>
            <w:hideMark/>
          </w:tcPr>
          <w:p w14:paraId="3406D792"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 </w:t>
            </w:r>
          </w:p>
        </w:tc>
        <w:tc>
          <w:tcPr>
            <w:tcW w:w="806" w:type="dxa"/>
            <w:tcBorders>
              <w:top w:val="nil"/>
              <w:left w:val="nil"/>
              <w:bottom w:val="single" w:sz="4" w:space="0" w:color="auto"/>
              <w:right w:val="single" w:sz="4" w:space="0" w:color="auto"/>
            </w:tcBorders>
            <w:shd w:val="clear" w:color="auto" w:fill="auto"/>
            <w:noWrap/>
            <w:vAlign w:val="center"/>
            <w:hideMark/>
          </w:tcPr>
          <w:p w14:paraId="0588CDA4"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 </w:t>
            </w:r>
          </w:p>
        </w:tc>
        <w:tc>
          <w:tcPr>
            <w:tcW w:w="806" w:type="dxa"/>
            <w:tcBorders>
              <w:top w:val="nil"/>
              <w:left w:val="nil"/>
              <w:bottom w:val="single" w:sz="4" w:space="0" w:color="auto"/>
              <w:right w:val="single" w:sz="4" w:space="0" w:color="auto"/>
            </w:tcBorders>
            <w:shd w:val="clear" w:color="auto" w:fill="auto"/>
            <w:noWrap/>
            <w:vAlign w:val="center"/>
            <w:hideMark/>
          </w:tcPr>
          <w:p w14:paraId="6C45B8A2"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 </w:t>
            </w:r>
          </w:p>
        </w:tc>
        <w:tc>
          <w:tcPr>
            <w:tcW w:w="806" w:type="dxa"/>
            <w:tcBorders>
              <w:top w:val="nil"/>
              <w:left w:val="nil"/>
              <w:bottom w:val="single" w:sz="4" w:space="0" w:color="auto"/>
              <w:right w:val="single" w:sz="4" w:space="0" w:color="auto"/>
            </w:tcBorders>
            <w:shd w:val="clear" w:color="auto" w:fill="auto"/>
            <w:noWrap/>
            <w:vAlign w:val="center"/>
            <w:hideMark/>
          </w:tcPr>
          <w:p w14:paraId="49C91790"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 </w:t>
            </w:r>
          </w:p>
        </w:tc>
        <w:tc>
          <w:tcPr>
            <w:tcW w:w="806" w:type="dxa"/>
            <w:tcBorders>
              <w:top w:val="nil"/>
              <w:left w:val="nil"/>
              <w:bottom w:val="single" w:sz="4" w:space="0" w:color="auto"/>
              <w:right w:val="single" w:sz="4" w:space="0" w:color="auto"/>
            </w:tcBorders>
            <w:shd w:val="clear" w:color="auto" w:fill="auto"/>
            <w:noWrap/>
            <w:vAlign w:val="center"/>
            <w:hideMark/>
          </w:tcPr>
          <w:p w14:paraId="4299BAC4"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 </w:t>
            </w:r>
          </w:p>
        </w:tc>
        <w:tc>
          <w:tcPr>
            <w:tcW w:w="807" w:type="dxa"/>
            <w:tcBorders>
              <w:top w:val="nil"/>
              <w:left w:val="nil"/>
              <w:bottom w:val="single" w:sz="4" w:space="0" w:color="auto"/>
              <w:right w:val="single" w:sz="4" w:space="0" w:color="auto"/>
            </w:tcBorders>
            <w:shd w:val="clear" w:color="auto" w:fill="auto"/>
            <w:noWrap/>
            <w:vAlign w:val="center"/>
            <w:hideMark/>
          </w:tcPr>
          <w:p w14:paraId="1E9EC7AC"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 </w:t>
            </w:r>
          </w:p>
        </w:tc>
        <w:tc>
          <w:tcPr>
            <w:tcW w:w="846" w:type="dxa"/>
            <w:tcBorders>
              <w:top w:val="nil"/>
              <w:left w:val="nil"/>
              <w:bottom w:val="single" w:sz="4" w:space="0" w:color="auto"/>
              <w:right w:val="single" w:sz="4" w:space="0" w:color="auto"/>
            </w:tcBorders>
            <w:shd w:val="clear" w:color="auto" w:fill="auto"/>
            <w:noWrap/>
            <w:vAlign w:val="center"/>
            <w:hideMark/>
          </w:tcPr>
          <w:p w14:paraId="4C5EDC7D"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 </w:t>
            </w:r>
          </w:p>
        </w:tc>
        <w:tc>
          <w:tcPr>
            <w:tcW w:w="807" w:type="dxa"/>
            <w:tcBorders>
              <w:top w:val="nil"/>
              <w:left w:val="nil"/>
              <w:bottom w:val="single" w:sz="4" w:space="0" w:color="auto"/>
              <w:right w:val="single" w:sz="4" w:space="0" w:color="auto"/>
            </w:tcBorders>
            <w:shd w:val="clear" w:color="auto" w:fill="auto"/>
            <w:noWrap/>
            <w:vAlign w:val="center"/>
            <w:hideMark/>
          </w:tcPr>
          <w:p w14:paraId="6E3D7A6E"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 </w:t>
            </w:r>
          </w:p>
        </w:tc>
        <w:tc>
          <w:tcPr>
            <w:tcW w:w="146" w:type="dxa"/>
            <w:gridSpan w:val="2"/>
            <w:vAlign w:val="center"/>
            <w:hideMark/>
          </w:tcPr>
          <w:p w14:paraId="478EB1B1" w14:textId="77777777" w:rsidR="00470495" w:rsidRPr="00470495" w:rsidRDefault="00470495" w:rsidP="00234CBE">
            <w:pPr>
              <w:spacing w:line="276" w:lineRule="auto"/>
              <w:rPr>
                <w:rFonts w:ascii="Times New Roman" w:hAnsi="Times New Roman"/>
                <w:sz w:val="20"/>
                <w:szCs w:val="20"/>
                <w:lang w:eastAsia="es-CR"/>
              </w:rPr>
            </w:pPr>
          </w:p>
        </w:tc>
      </w:tr>
      <w:tr w:rsidR="00470495" w:rsidRPr="00470495" w14:paraId="0BC40003" w14:textId="77777777" w:rsidTr="00470495">
        <w:trPr>
          <w:gridAfter w:val="1"/>
          <w:wAfter w:w="19" w:type="dxa"/>
          <w:trHeight w:val="217"/>
          <w:jc w:val="center"/>
        </w:trPr>
        <w:tc>
          <w:tcPr>
            <w:tcW w:w="2236" w:type="dxa"/>
            <w:tcBorders>
              <w:top w:val="nil"/>
              <w:left w:val="single" w:sz="4" w:space="0" w:color="auto"/>
              <w:bottom w:val="single" w:sz="4" w:space="0" w:color="auto"/>
              <w:right w:val="single" w:sz="4" w:space="0" w:color="auto"/>
            </w:tcBorders>
            <w:shd w:val="clear" w:color="auto" w:fill="auto"/>
            <w:noWrap/>
            <w:vAlign w:val="center"/>
            <w:hideMark/>
          </w:tcPr>
          <w:p w14:paraId="65FD1F44" w14:textId="77777777" w:rsidR="00470495" w:rsidRPr="00470495" w:rsidRDefault="00470495" w:rsidP="00234CBE">
            <w:pPr>
              <w:spacing w:line="276" w:lineRule="auto"/>
              <w:jc w:val="center"/>
              <w:rPr>
                <w:rFonts w:ascii="Book Antiqua" w:hAnsi="Book Antiqua" w:cs="Calibri"/>
                <w:b/>
                <w:bCs/>
                <w:color w:val="000000"/>
                <w:sz w:val="16"/>
                <w:szCs w:val="16"/>
                <w:lang w:eastAsia="es-CR"/>
              </w:rPr>
            </w:pPr>
            <w:r w:rsidRPr="00470495">
              <w:rPr>
                <w:rFonts w:ascii="Book Antiqua" w:hAnsi="Book Antiqua" w:cs="Calibri"/>
                <w:b/>
                <w:bCs/>
                <w:color w:val="000000"/>
                <w:sz w:val="16"/>
                <w:szCs w:val="16"/>
                <w:lang w:eastAsia="es-CR"/>
              </w:rPr>
              <w:t>TOTAL</w:t>
            </w:r>
          </w:p>
        </w:tc>
        <w:tc>
          <w:tcPr>
            <w:tcW w:w="806" w:type="dxa"/>
            <w:tcBorders>
              <w:top w:val="nil"/>
              <w:left w:val="nil"/>
              <w:bottom w:val="single" w:sz="4" w:space="0" w:color="auto"/>
              <w:right w:val="single" w:sz="4" w:space="0" w:color="auto"/>
            </w:tcBorders>
            <w:shd w:val="clear" w:color="auto" w:fill="auto"/>
            <w:noWrap/>
            <w:vAlign w:val="center"/>
            <w:hideMark/>
          </w:tcPr>
          <w:p w14:paraId="3AA56F43" w14:textId="77777777" w:rsidR="00470495" w:rsidRPr="00470495" w:rsidRDefault="00470495" w:rsidP="00234CBE">
            <w:pPr>
              <w:spacing w:line="276" w:lineRule="auto"/>
              <w:jc w:val="center"/>
              <w:rPr>
                <w:rFonts w:ascii="Book Antiqua" w:hAnsi="Book Antiqua" w:cs="Calibri"/>
                <w:b/>
                <w:bCs/>
                <w:color w:val="000000"/>
                <w:sz w:val="16"/>
                <w:szCs w:val="16"/>
                <w:u w:val="single"/>
                <w:lang w:eastAsia="es-CR"/>
              </w:rPr>
            </w:pPr>
            <w:r w:rsidRPr="00470495">
              <w:rPr>
                <w:rFonts w:ascii="Book Antiqua" w:hAnsi="Book Antiqua" w:cs="Calibri"/>
                <w:b/>
                <w:bCs/>
                <w:color w:val="000000"/>
                <w:sz w:val="16"/>
                <w:szCs w:val="16"/>
                <w:u w:val="single"/>
                <w:lang w:eastAsia="es-CR"/>
              </w:rPr>
              <w:t>53967</w:t>
            </w:r>
          </w:p>
        </w:tc>
        <w:tc>
          <w:tcPr>
            <w:tcW w:w="807" w:type="dxa"/>
            <w:tcBorders>
              <w:top w:val="nil"/>
              <w:left w:val="nil"/>
              <w:bottom w:val="single" w:sz="4" w:space="0" w:color="auto"/>
              <w:right w:val="single" w:sz="4" w:space="0" w:color="auto"/>
            </w:tcBorders>
            <w:shd w:val="clear" w:color="auto" w:fill="auto"/>
            <w:noWrap/>
            <w:vAlign w:val="center"/>
            <w:hideMark/>
          </w:tcPr>
          <w:p w14:paraId="77AA24F8" w14:textId="77777777" w:rsidR="00470495" w:rsidRPr="00470495" w:rsidRDefault="00470495" w:rsidP="00234CBE">
            <w:pPr>
              <w:spacing w:line="276" w:lineRule="auto"/>
              <w:jc w:val="center"/>
              <w:rPr>
                <w:rFonts w:ascii="Book Antiqua" w:hAnsi="Book Antiqua" w:cs="Calibri"/>
                <w:b/>
                <w:bCs/>
                <w:color w:val="000000"/>
                <w:sz w:val="16"/>
                <w:szCs w:val="16"/>
                <w:u w:val="single"/>
                <w:lang w:eastAsia="es-CR"/>
              </w:rPr>
            </w:pPr>
            <w:r w:rsidRPr="00470495">
              <w:rPr>
                <w:rFonts w:ascii="Book Antiqua" w:hAnsi="Book Antiqua" w:cs="Calibri"/>
                <w:b/>
                <w:bCs/>
                <w:color w:val="000000"/>
                <w:sz w:val="16"/>
                <w:szCs w:val="16"/>
                <w:u w:val="single"/>
                <w:lang w:eastAsia="es-CR"/>
              </w:rPr>
              <w:t>62922</w:t>
            </w:r>
          </w:p>
        </w:tc>
        <w:tc>
          <w:tcPr>
            <w:tcW w:w="807" w:type="dxa"/>
            <w:tcBorders>
              <w:top w:val="nil"/>
              <w:left w:val="nil"/>
              <w:bottom w:val="single" w:sz="4" w:space="0" w:color="auto"/>
              <w:right w:val="single" w:sz="4" w:space="0" w:color="auto"/>
            </w:tcBorders>
            <w:shd w:val="clear" w:color="auto" w:fill="auto"/>
            <w:noWrap/>
            <w:vAlign w:val="center"/>
            <w:hideMark/>
          </w:tcPr>
          <w:p w14:paraId="555930CF" w14:textId="77777777" w:rsidR="00470495" w:rsidRPr="00470495" w:rsidRDefault="00470495" w:rsidP="00234CBE">
            <w:pPr>
              <w:spacing w:line="276" w:lineRule="auto"/>
              <w:jc w:val="center"/>
              <w:rPr>
                <w:rFonts w:ascii="Book Antiqua" w:hAnsi="Book Antiqua" w:cs="Calibri"/>
                <w:b/>
                <w:bCs/>
                <w:color w:val="000000"/>
                <w:sz w:val="16"/>
                <w:szCs w:val="16"/>
                <w:u w:val="single"/>
                <w:lang w:eastAsia="es-CR"/>
              </w:rPr>
            </w:pPr>
            <w:r w:rsidRPr="00470495">
              <w:rPr>
                <w:rFonts w:ascii="Book Antiqua" w:hAnsi="Book Antiqua" w:cs="Calibri"/>
                <w:b/>
                <w:bCs/>
                <w:color w:val="000000"/>
                <w:sz w:val="16"/>
                <w:szCs w:val="16"/>
                <w:u w:val="single"/>
                <w:lang w:eastAsia="es-CR"/>
              </w:rPr>
              <w:t>56267</w:t>
            </w:r>
          </w:p>
        </w:tc>
        <w:tc>
          <w:tcPr>
            <w:tcW w:w="806" w:type="dxa"/>
            <w:tcBorders>
              <w:top w:val="nil"/>
              <w:left w:val="nil"/>
              <w:bottom w:val="single" w:sz="4" w:space="0" w:color="auto"/>
              <w:right w:val="single" w:sz="4" w:space="0" w:color="auto"/>
            </w:tcBorders>
            <w:shd w:val="clear" w:color="auto" w:fill="auto"/>
            <w:noWrap/>
            <w:vAlign w:val="center"/>
            <w:hideMark/>
          </w:tcPr>
          <w:p w14:paraId="59B252A2" w14:textId="77777777" w:rsidR="00470495" w:rsidRPr="00470495" w:rsidRDefault="00470495" w:rsidP="00234CBE">
            <w:pPr>
              <w:spacing w:line="276" w:lineRule="auto"/>
              <w:jc w:val="center"/>
              <w:rPr>
                <w:rFonts w:ascii="Book Antiqua" w:hAnsi="Book Antiqua" w:cs="Calibri"/>
                <w:b/>
                <w:bCs/>
                <w:color w:val="000000"/>
                <w:sz w:val="16"/>
                <w:szCs w:val="16"/>
                <w:u w:val="single"/>
                <w:lang w:eastAsia="es-CR"/>
              </w:rPr>
            </w:pPr>
            <w:r w:rsidRPr="00470495">
              <w:rPr>
                <w:rFonts w:ascii="Book Antiqua" w:hAnsi="Book Antiqua" w:cs="Calibri"/>
                <w:b/>
                <w:bCs/>
                <w:color w:val="000000"/>
                <w:sz w:val="16"/>
                <w:szCs w:val="16"/>
                <w:u w:val="single"/>
                <w:lang w:eastAsia="es-CR"/>
              </w:rPr>
              <w:t>53123</w:t>
            </w:r>
          </w:p>
        </w:tc>
        <w:tc>
          <w:tcPr>
            <w:tcW w:w="806" w:type="dxa"/>
            <w:tcBorders>
              <w:top w:val="nil"/>
              <w:left w:val="nil"/>
              <w:bottom w:val="single" w:sz="4" w:space="0" w:color="auto"/>
              <w:right w:val="single" w:sz="4" w:space="0" w:color="auto"/>
            </w:tcBorders>
            <w:shd w:val="clear" w:color="auto" w:fill="auto"/>
            <w:noWrap/>
            <w:vAlign w:val="center"/>
            <w:hideMark/>
          </w:tcPr>
          <w:p w14:paraId="2918FE19" w14:textId="77777777" w:rsidR="00470495" w:rsidRPr="00470495" w:rsidRDefault="00470495" w:rsidP="00234CBE">
            <w:pPr>
              <w:spacing w:line="276" w:lineRule="auto"/>
              <w:jc w:val="center"/>
              <w:rPr>
                <w:rFonts w:ascii="Book Antiqua" w:hAnsi="Book Antiqua" w:cs="Calibri"/>
                <w:b/>
                <w:bCs/>
                <w:color w:val="000000"/>
                <w:sz w:val="16"/>
                <w:szCs w:val="16"/>
                <w:u w:val="single"/>
                <w:lang w:eastAsia="es-CR"/>
              </w:rPr>
            </w:pPr>
            <w:r w:rsidRPr="00470495">
              <w:rPr>
                <w:rFonts w:ascii="Book Antiqua" w:hAnsi="Book Antiqua" w:cs="Calibri"/>
                <w:b/>
                <w:bCs/>
                <w:color w:val="000000"/>
                <w:sz w:val="16"/>
                <w:szCs w:val="16"/>
                <w:u w:val="single"/>
                <w:lang w:eastAsia="es-CR"/>
              </w:rPr>
              <w:t>50456</w:t>
            </w:r>
          </w:p>
        </w:tc>
        <w:tc>
          <w:tcPr>
            <w:tcW w:w="806" w:type="dxa"/>
            <w:tcBorders>
              <w:top w:val="nil"/>
              <w:left w:val="nil"/>
              <w:bottom w:val="single" w:sz="4" w:space="0" w:color="auto"/>
              <w:right w:val="single" w:sz="4" w:space="0" w:color="auto"/>
            </w:tcBorders>
            <w:shd w:val="clear" w:color="auto" w:fill="auto"/>
            <w:noWrap/>
            <w:vAlign w:val="center"/>
            <w:hideMark/>
          </w:tcPr>
          <w:p w14:paraId="3ED8D87A" w14:textId="77777777" w:rsidR="00470495" w:rsidRPr="00470495" w:rsidRDefault="00470495" w:rsidP="00234CBE">
            <w:pPr>
              <w:spacing w:line="276" w:lineRule="auto"/>
              <w:jc w:val="center"/>
              <w:rPr>
                <w:rFonts w:ascii="Book Antiqua" w:hAnsi="Book Antiqua" w:cs="Calibri"/>
                <w:b/>
                <w:bCs/>
                <w:color w:val="000000"/>
                <w:sz w:val="16"/>
                <w:szCs w:val="16"/>
                <w:u w:val="single"/>
                <w:lang w:eastAsia="es-CR"/>
              </w:rPr>
            </w:pPr>
            <w:r w:rsidRPr="00470495">
              <w:rPr>
                <w:rFonts w:ascii="Book Antiqua" w:hAnsi="Book Antiqua" w:cs="Calibri"/>
                <w:b/>
                <w:bCs/>
                <w:color w:val="000000"/>
                <w:sz w:val="16"/>
                <w:szCs w:val="16"/>
                <w:u w:val="single"/>
                <w:lang w:eastAsia="es-CR"/>
              </w:rPr>
              <w:t>52324</w:t>
            </w:r>
          </w:p>
        </w:tc>
        <w:tc>
          <w:tcPr>
            <w:tcW w:w="806" w:type="dxa"/>
            <w:tcBorders>
              <w:top w:val="nil"/>
              <w:left w:val="nil"/>
              <w:bottom w:val="single" w:sz="4" w:space="0" w:color="auto"/>
              <w:right w:val="single" w:sz="4" w:space="0" w:color="auto"/>
            </w:tcBorders>
            <w:shd w:val="clear" w:color="auto" w:fill="auto"/>
            <w:noWrap/>
            <w:vAlign w:val="center"/>
            <w:hideMark/>
          </w:tcPr>
          <w:p w14:paraId="1FF5A088" w14:textId="77777777" w:rsidR="00470495" w:rsidRPr="00470495" w:rsidRDefault="00470495" w:rsidP="00234CBE">
            <w:pPr>
              <w:spacing w:line="276" w:lineRule="auto"/>
              <w:jc w:val="center"/>
              <w:rPr>
                <w:rFonts w:ascii="Book Antiqua" w:hAnsi="Book Antiqua" w:cs="Calibri"/>
                <w:b/>
                <w:bCs/>
                <w:color w:val="000000"/>
                <w:sz w:val="16"/>
                <w:szCs w:val="16"/>
                <w:u w:val="single"/>
                <w:lang w:eastAsia="es-CR"/>
              </w:rPr>
            </w:pPr>
            <w:r w:rsidRPr="00470495">
              <w:rPr>
                <w:rFonts w:ascii="Book Antiqua" w:hAnsi="Book Antiqua" w:cs="Calibri"/>
                <w:b/>
                <w:bCs/>
                <w:color w:val="000000"/>
                <w:sz w:val="16"/>
                <w:szCs w:val="16"/>
                <w:u w:val="single"/>
                <w:lang w:eastAsia="es-CR"/>
              </w:rPr>
              <w:t>55647</w:t>
            </w:r>
          </w:p>
        </w:tc>
        <w:tc>
          <w:tcPr>
            <w:tcW w:w="807" w:type="dxa"/>
            <w:tcBorders>
              <w:top w:val="nil"/>
              <w:left w:val="nil"/>
              <w:bottom w:val="single" w:sz="4" w:space="0" w:color="auto"/>
              <w:right w:val="single" w:sz="4" w:space="0" w:color="auto"/>
            </w:tcBorders>
            <w:shd w:val="clear" w:color="auto" w:fill="auto"/>
            <w:noWrap/>
            <w:vAlign w:val="center"/>
            <w:hideMark/>
          </w:tcPr>
          <w:p w14:paraId="2D1C3D93" w14:textId="77777777" w:rsidR="00470495" w:rsidRPr="00470495" w:rsidRDefault="00470495" w:rsidP="00234CBE">
            <w:pPr>
              <w:spacing w:line="276" w:lineRule="auto"/>
              <w:jc w:val="center"/>
              <w:rPr>
                <w:rFonts w:ascii="Book Antiqua" w:hAnsi="Book Antiqua" w:cs="Calibri"/>
                <w:b/>
                <w:bCs/>
                <w:color w:val="000000"/>
                <w:sz w:val="16"/>
                <w:szCs w:val="16"/>
                <w:u w:val="single"/>
                <w:lang w:eastAsia="es-CR"/>
              </w:rPr>
            </w:pPr>
            <w:r w:rsidRPr="00470495">
              <w:rPr>
                <w:rFonts w:ascii="Book Antiqua" w:hAnsi="Book Antiqua" w:cs="Calibri"/>
                <w:b/>
                <w:bCs/>
                <w:color w:val="000000"/>
                <w:sz w:val="16"/>
                <w:szCs w:val="16"/>
                <w:u w:val="single"/>
                <w:lang w:eastAsia="es-CR"/>
              </w:rPr>
              <w:t>56205</w:t>
            </w:r>
          </w:p>
        </w:tc>
        <w:tc>
          <w:tcPr>
            <w:tcW w:w="846" w:type="dxa"/>
            <w:tcBorders>
              <w:top w:val="nil"/>
              <w:left w:val="nil"/>
              <w:bottom w:val="single" w:sz="4" w:space="0" w:color="auto"/>
              <w:right w:val="single" w:sz="4" w:space="0" w:color="auto"/>
            </w:tcBorders>
            <w:shd w:val="clear" w:color="auto" w:fill="auto"/>
            <w:noWrap/>
            <w:vAlign w:val="center"/>
            <w:hideMark/>
          </w:tcPr>
          <w:p w14:paraId="2F7304C6" w14:textId="77777777" w:rsidR="00470495" w:rsidRPr="00470495" w:rsidRDefault="00470495" w:rsidP="00234CBE">
            <w:pPr>
              <w:spacing w:line="276" w:lineRule="auto"/>
              <w:jc w:val="center"/>
              <w:rPr>
                <w:rFonts w:ascii="Book Antiqua" w:hAnsi="Book Antiqua" w:cs="Calibri"/>
                <w:b/>
                <w:bCs/>
                <w:color w:val="000000"/>
                <w:sz w:val="16"/>
                <w:szCs w:val="16"/>
                <w:u w:val="single"/>
                <w:lang w:eastAsia="es-CR"/>
              </w:rPr>
            </w:pPr>
            <w:r w:rsidRPr="00470495">
              <w:rPr>
                <w:rFonts w:ascii="Book Antiqua" w:hAnsi="Book Antiqua" w:cs="Calibri"/>
                <w:b/>
                <w:bCs/>
                <w:color w:val="000000"/>
                <w:sz w:val="16"/>
                <w:szCs w:val="16"/>
                <w:u w:val="single"/>
                <w:lang w:eastAsia="es-CR"/>
              </w:rPr>
              <w:t>54756</w:t>
            </w:r>
          </w:p>
        </w:tc>
        <w:tc>
          <w:tcPr>
            <w:tcW w:w="807" w:type="dxa"/>
            <w:tcBorders>
              <w:top w:val="nil"/>
              <w:left w:val="nil"/>
              <w:bottom w:val="single" w:sz="4" w:space="0" w:color="auto"/>
              <w:right w:val="single" w:sz="4" w:space="0" w:color="auto"/>
            </w:tcBorders>
            <w:shd w:val="clear" w:color="auto" w:fill="auto"/>
            <w:noWrap/>
            <w:vAlign w:val="center"/>
            <w:hideMark/>
          </w:tcPr>
          <w:p w14:paraId="6A8AE7A2" w14:textId="77777777" w:rsidR="00470495" w:rsidRPr="00470495" w:rsidRDefault="00470495" w:rsidP="00234CBE">
            <w:pPr>
              <w:spacing w:line="276" w:lineRule="auto"/>
              <w:jc w:val="center"/>
              <w:rPr>
                <w:rFonts w:ascii="Book Antiqua" w:hAnsi="Book Antiqua" w:cs="Calibri"/>
                <w:b/>
                <w:bCs/>
                <w:color w:val="000000"/>
                <w:sz w:val="16"/>
                <w:szCs w:val="16"/>
                <w:u w:val="single"/>
                <w:lang w:eastAsia="es-CR"/>
              </w:rPr>
            </w:pPr>
            <w:r w:rsidRPr="00470495">
              <w:rPr>
                <w:rFonts w:ascii="Book Antiqua" w:hAnsi="Book Antiqua" w:cs="Calibri"/>
                <w:b/>
                <w:bCs/>
                <w:color w:val="000000"/>
                <w:sz w:val="16"/>
                <w:szCs w:val="16"/>
                <w:u w:val="single"/>
                <w:lang w:eastAsia="es-CR"/>
              </w:rPr>
              <w:t>495667</w:t>
            </w:r>
          </w:p>
        </w:tc>
        <w:tc>
          <w:tcPr>
            <w:tcW w:w="146" w:type="dxa"/>
            <w:gridSpan w:val="2"/>
            <w:vAlign w:val="center"/>
            <w:hideMark/>
          </w:tcPr>
          <w:p w14:paraId="6DE52B88" w14:textId="77777777" w:rsidR="00470495" w:rsidRPr="00470495" w:rsidRDefault="00470495" w:rsidP="00234CBE">
            <w:pPr>
              <w:spacing w:line="276" w:lineRule="auto"/>
              <w:rPr>
                <w:rFonts w:ascii="Times New Roman" w:hAnsi="Times New Roman"/>
                <w:sz w:val="20"/>
                <w:szCs w:val="20"/>
                <w:lang w:eastAsia="es-CR"/>
              </w:rPr>
            </w:pPr>
          </w:p>
        </w:tc>
      </w:tr>
      <w:tr w:rsidR="00470495" w:rsidRPr="00470495" w14:paraId="49832866" w14:textId="77777777" w:rsidTr="00470495">
        <w:trPr>
          <w:gridAfter w:val="1"/>
          <w:wAfter w:w="19" w:type="dxa"/>
          <w:trHeight w:val="217"/>
          <w:jc w:val="center"/>
        </w:trPr>
        <w:tc>
          <w:tcPr>
            <w:tcW w:w="2236" w:type="dxa"/>
            <w:tcBorders>
              <w:top w:val="nil"/>
              <w:left w:val="single" w:sz="4" w:space="0" w:color="auto"/>
              <w:bottom w:val="single" w:sz="4" w:space="0" w:color="auto"/>
              <w:right w:val="single" w:sz="4" w:space="0" w:color="auto"/>
            </w:tcBorders>
            <w:shd w:val="clear" w:color="auto" w:fill="auto"/>
            <w:noWrap/>
            <w:vAlign w:val="center"/>
            <w:hideMark/>
          </w:tcPr>
          <w:p w14:paraId="79413373" w14:textId="77777777" w:rsidR="00470495" w:rsidRPr="00470495" w:rsidRDefault="00470495" w:rsidP="00234CBE">
            <w:pPr>
              <w:spacing w:line="276" w:lineRule="auto"/>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 </w:t>
            </w:r>
          </w:p>
        </w:tc>
        <w:tc>
          <w:tcPr>
            <w:tcW w:w="806" w:type="dxa"/>
            <w:tcBorders>
              <w:top w:val="nil"/>
              <w:left w:val="nil"/>
              <w:bottom w:val="single" w:sz="4" w:space="0" w:color="auto"/>
              <w:right w:val="single" w:sz="4" w:space="0" w:color="auto"/>
            </w:tcBorders>
            <w:shd w:val="clear" w:color="auto" w:fill="auto"/>
            <w:noWrap/>
            <w:vAlign w:val="center"/>
            <w:hideMark/>
          </w:tcPr>
          <w:p w14:paraId="555FC41A"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 </w:t>
            </w:r>
          </w:p>
        </w:tc>
        <w:tc>
          <w:tcPr>
            <w:tcW w:w="807" w:type="dxa"/>
            <w:tcBorders>
              <w:top w:val="nil"/>
              <w:left w:val="nil"/>
              <w:bottom w:val="single" w:sz="4" w:space="0" w:color="auto"/>
              <w:right w:val="single" w:sz="4" w:space="0" w:color="auto"/>
            </w:tcBorders>
            <w:shd w:val="clear" w:color="auto" w:fill="auto"/>
            <w:noWrap/>
            <w:vAlign w:val="center"/>
            <w:hideMark/>
          </w:tcPr>
          <w:p w14:paraId="55F30710"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 </w:t>
            </w:r>
          </w:p>
        </w:tc>
        <w:tc>
          <w:tcPr>
            <w:tcW w:w="807" w:type="dxa"/>
            <w:tcBorders>
              <w:top w:val="nil"/>
              <w:left w:val="nil"/>
              <w:bottom w:val="single" w:sz="4" w:space="0" w:color="auto"/>
              <w:right w:val="single" w:sz="4" w:space="0" w:color="auto"/>
            </w:tcBorders>
            <w:shd w:val="clear" w:color="auto" w:fill="auto"/>
            <w:noWrap/>
            <w:vAlign w:val="center"/>
            <w:hideMark/>
          </w:tcPr>
          <w:p w14:paraId="6762E70C"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 </w:t>
            </w:r>
          </w:p>
        </w:tc>
        <w:tc>
          <w:tcPr>
            <w:tcW w:w="806" w:type="dxa"/>
            <w:tcBorders>
              <w:top w:val="nil"/>
              <w:left w:val="nil"/>
              <w:bottom w:val="single" w:sz="4" w:space="0" w:color="auto"/>
              <w:right w:val="single" w:sz="4" w:space="0" w:color="auto"/>
            </w:tcBorders>
            <w:shd w:val="clear" w:color="auto" w:fill="auto"/>
            <w:noWrap/>
            <w:vAlign w:val="center"/>
            <w:hideMark/>
          </w:tcPr>
          <w:p w14:paraId="5846A953"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 </w:t>
            </w:r>
          </w:p>
        </w:tc>
        <w:tc>
          <w:tcPr>
            <w:tcW w:w="806" w:type="dxa"/>
            <w:tcBorders>
              <w:top w:val="nil"/>
              <w:left w:val="nil"/>
              <w:bottom w:val="single" w:sz="4" w:space="0" w:color="auto"/>
              <w:right w:val="single" w:sz="4" w:space="0" w:color="auto"/>
            </w:tcBorders>
            <w:shd w:val="clear" w:color="auto" w:fill="auto"/>
            <w:noWrap/>
            <w:vAlign w:val="center"/>
            <w:hideMark/>
          </w:tcPr>
          <w:p w14:paraId="29DAB98F"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 </w:t>
            </w:r>
          </w:p>
        </w:tc>
        <w:tc>
          <w:tcPr>
            <w:tcW w:w="806" w:type="dxa"/>
            <w:tcBorders>
              <w:top w:val="nil"/>
              <w:left w:val="nil"/>
              <w:bottom w:val="single" w:sz="4" w:space="0" w:color="auto"/>
              <w:right w:val="single" w:sz="4" w:space="0" w:color="auto"/>
            </w:tcBorders>
            <w:shd w:val="clear" w:color="auto" w:fill="auto"/>
            <w:noWrap/>
            <w:vAlign w:val="center"/>
            <w:hideMark/>
          </w:tcPr>
          <w:p w14:paraId="470D65B6"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 </w:t>
            </w:r>
          </w:p>
        </w:tc>
        <w:tc>
          <w:tcPr>
            <w:tcW w:w="806" w:type="dxa"/>
            <w:tcBorders>
              <w:top w:val="nil"/>
              <w:left w:val="nil"/>
              <w:bottom w:val="single" w:sz="4" w:space="0" w:color="auto"/>
              <w:right w:val="single" w:sz="4" w:space="0" w:color="auto"/>
            </w:tcBorders>
            <w:shd w:val="clear" w:color="auto" w:fill="auto"/>
            <w:noWrap/>
            <w:vAlign w:val="center"/>
            <w:hideMark/>
          </w:tcPr>
          <w:p w14:paraId="6803CAE3"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 </w:t>
            </w:r>
          </w:p>
        </w:tc>
        <w:tc>
          <w:tcPr>
            <w:tcW w:w="807" w:type="dxa"/>
            <w:tcBorders>
              <w:top w:val="nil"/>
              <w:left w:val="nil"/>
              <w:bottom w:val="single" w:sz="4" w:space="0" w:color="auto"/>
              <w:right w:val="single" w:sz="4" w:space="0" w:color="auto"/>
            </w:tcBorders>
            <w:shd w:val="clear" w:color="auto" w:fill="auto"/>
            <w:noWrap/>
            <w:vAlign w:val="center"/>
            <w:hideMark/>
          </w:tcPr>
          <w:p w14:paraId="748B4326"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 </w:t>
            </w:r>
          </w:p>
        </w:tc>
        <w:tc>
          <w:tcPr>
            <w:tcW w:w="846" w:type="dxa"/>
            <w:tcBorders>
              <w:top w:val="nil"/>
              <w:left w:val="nil"/>
              <w:bottom w:val="single" w:sz="4" w:space="0" w:color="auto"/>
              <w:right w:val="single" w:sz="4" w:space="0" w:color="auto"/>
            </w:tcBorders>
            <w:shd w:val="clear" w:color="auto" w:fill="auto"/>
            <w:noWrap/>
            <w:vAlign w:val="center"/>
            <w:hideMark/>
          </w:tcPr>
          <w:p w14:paraId="1D9BFD19"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 </w:t>
            </w:r>
          </w:p>
        </w:tc>
        <w:tc>
          <w:tcPr>
            <w:tcW w:w="807" w:type="dxa"/>
            <w:tcBorders>
              <w:top w:val="nil"/>
              <w:left w:val="nil"/>
              <w:bottom w:val="single" w:sz="4" w:space="0" w:color="auto"/>
              <w:right w:val="single" w:sz="4" w:space="0" w:color="auto"/>
            </w:tcBorders>
            <w:shd w:val="clear" w:color="auto" w:fill="auto"/>
            <w:noWrap/>
            <w:vAlign w:val="center"/>
            <w:hideMark/>
          </w:tcPr>
          <w:p w14:paraId="044957F7"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 </w:t>
            </w:r>
          </w:p>
        </w:tc>
        <w:tc>
          <w:tcPr>
            <w:tcW w:w="146" w:type="dxa"/>
            <w:gridSpan w:val="2"/>
            <w:vAlign w:val="center"/>
            <w:hideMark/>
          </w:tcPr>
          <w:p w14:paraId="0CC054D5" w14:textId="77777777" w:rsidR="00470495" w:rsidRPr="00470495" w:rsidRDefault="00470495" w:rsidP="00234CBE">
            <w:pPr>
              <w:spacing w:line="276" w:lineRule="auto"/>
              <w:rPr>
                <w:rFonts w:ascii="Times New Roman" w:hAnsi="Times New Roman"/>
                <w:sz w:val="20"/>
                <w:szCs w:val="20"/>
                <w:lang w:eastAsia="es-CR"/>
              </w:rPr>
            </w:pPr>
          </w:p>
        </w:tc>
      </w:tr>
      <w:tr w:rsidR="00470495" w:rsidRPr="00470495" w14:paraId="58A57EB9" w14:textId="77777777" w:rsidTr="00470495">
        <w:trPr>
          <w:gridAfter w:val="1"/>
          <w:wAfter w:w="19" w:type="dxa"/>
          <w:trHeight w:val="217"/>
          <w:jc w:val="center"/>
        </w:trPr>
        <w:tc>
          <w:tcPr>
            <w:tcW w:w="2236" w:type="dxa"/>
            <w:tcBorders>
              <w:top w:val="nil"/>
              <w:left w:val="single" w:sz="4" w:space="0" w:color="auto"/>
              <w:bottom w:val="single" w:sz="4" w:space="0" w:color="auto"/>
              <w:right w:val="single" w:sz="4" w:space="0" w:color="auto"/>
            </w:tcBorders>
            <w:shd w:val="clear" w:color="auto" w:fill="auto"/>
            <w:noWrap/>
            <w:vAlign w:val="center"/>
            <w:hideMark/>
          </w:tcPr>
          <w:p w14:paraId="47B1B3A9" w14:textId="77777777" w:rsidR="00470495" w:rsidRPr="00470495" w:rsidRDefault="00470495" w:rsidP="00234CBE">
            <w:pPr>
              <w:spacing w:line="276" w:lineRule="auto"/>
              <w:rPr>
                <w:rFonts w:ascii="Book Antiqua" w:hAnsi="Book Antiqua" w:cs="Calibri"/>
                <w:b/>
                <w:bCs/>
                <w:color w:val="000000"/>
                <w:sz w:val="16"/>
                <w:szCs w:val="16"/>
                <w:lang w:eastAsia="es-CR"/>
              </w:rPr>
            </w:pPr>
            <w:r w:rsidRPr="00470495">
              <w:rPr>
                <w:rFonts w:ascii="Book Antiqua" w:hAnsi="Book Antiqua" w:cs="Calibri"/>
                <w:b/>
                <w:bCs/>
                <w:color w:val="000000"/>
                <w:sz w:val="16"/>
                <w:szCs w:val="16"/>
                <w:lang w:eastAsia="es-CR"/>
              </w:rPr>
              <w:t>II Instancia y Casación</w:t>
            </w:r>
          </w:p>
        </w:tc>
        <w:tc>
          <w:tcPr>
            <w:tcW w:w="806" w:type="dxa"/>
            <w:tcBorders>
              <w:top w:val="nil"/>
              <w:left w:val="nil"/>
              <w:bottom w:val="single" w:sz="4" w:space="0" w:color="auto"/>
              <w:right w:val="single" w:sz="4" w:space="0" w:color="auto"/>
            </w:tcBorders>
            <w:shd w:val="clear" w:color="auto" w:fill="auto"/>
            <w:noWrap/>
            <w:vAlign w:val="center"/>
            <w:hideMark/>
          </w:tcPr>
          <w:p w14:paraId="074635BC" w14:textId="77777777" w:rsidR="00470495" w:rsidRPr="00470495" w:rsidRDefault="00470495" w:rsidP="00234CBE">
            <w:pPr>
              <w:spacing w:line="276" w:lineRule="auto"/>
              <w:jc w:val="center"/>
              <w:rPr>
                <w:rFonts w:ascii="Book Antiqua" w:hAnsi="Book Antiqua" w:cs="Calibri"/>
                <w:b/>
                <w:bCs/>
                <w:color w:val="000000"/>
                <w:sz w:val="16"/>
                <w:szCs w:val="16"/>
                <w:u w:val="single"/>
                <w:lang w:eastAsia="es-CR"/>
              </w:rPr>
            </w:pPr>
            <w:r w:rsidRPr="00470495">
              <w:rPr>
                <w:rFonts w:ascii="Book Antiqua" w:hAnsi="Book Antiqua" w:cs="Calibri"/>
                <w:b/>
                <w:bCs/>
                <w:color w:val="000000"/>
                <w:sz w:val="16"/>
                <w:szCs w:val="16"/>
                <w:u w:val="single"/>
                <w:lang w:eastAsia="es-CR"/>
              </w:rPr>
              <w:t>4600</w:t>
            </w:r>
          </w:p>
        </w:tc>
        <w:tc>
          <w:tcPr>
            <w:tcW w:w="807" w:type="dxa"/>
            <w:tcBorders>
              <w:top w:val="nil"/>
              <w:left w:val="nil"/>
              <w:bottom w:val="single" w:sz="4" w:space="0" w:color="auto"/>
              <w:right w:val="single" w:sz="4" w:space="0" w:color="auto"/>
            </w:tcBorders>
            <w:shd w:val="clear" w:color="auto" w:fill="auto"/>
            <w:noWrap/>
            <w:vAlign w:val="center"/>
            <w:hideMark/>
          </w:tcPr>
          <w:p w14:paraId="2B8830E2" w14:textId="77777777" w:rsidR="00470495" w:rsidRPr="00470495" w:rsidRDefault="00470495" w:rsidP="00234CBE">
            <w:pPr>
              <w:spacing w:line="276" w:lineRule="auto"/>
              <w:jc w:val="center"/>
              <w:rPr>
                <w:rFonts w:ascii="Book Antiqua" w:hAnsi="Book Antiqua" w:cs="Calibri"/>
                <w:b/>
                <w:bCs/>
                <w:color w:val="000000"/>
                <w:sz w:val="16"/>
                <w:szCs w:val="16"/>
                <w:u w:val="single"/>
                <w:lang w:eastAsia="es-CR"/>
              </w:rPr>
            </w:pPr>
            <w:r w:rsidRPr="00470495">
              <w:rPr>
                <w:rFonts w:ascii="Book Antiqua" w:hAnsi="Book Antiqua" w:cs="Calibri"/>
                <w:b/>
                <w:bCs/>
                <w:color w:val="000000"/>
                <w:sz w:val="16"/>
                <w:szCs w:val="16"/>
                <w:u w:val="single"/>
                <w:lang w:eastAsia="es-CR"/>
              </w:rPr>
              <w:t>4731</w:t>
            </w:r>
          </w:p>
        </w:tc>
        <w:tc>
          <w:tcPr>
            <w:tcW w:w="807" w:type="dxa"/>
            <w:tcBorders>
              <w:top w:val="nil"/>
              <w:left w:val="nil"/>
              <w:bottom w:val="single" w:sz="4" w:space="0" w:color="auto"/>
              <w:right w:val="single" w:sz="4" w:space="0" w:color="auto"/>
            </w:tcBorders>
            <w:shd w:val="clear" w:color="auto" w:fill="auto"/>
            <w:noWrap/>
            <w:vAlign w:val="center"/>
            <w:hideMark/>
          </w:tcPr>
          <w:p w14:paraId="22C821CC" w14:textId="77777777" w:rsidR="00470495" w:rsidRPr="00470495" w:rsidRDefault="00470495" w:rsidP="00234CBE">
            <w:pPr>
              <w:spacing w:line="276" w:lineRule="auto"/>
              <w:jc w:val="center"/>
              <w:rPr>
                <w:rFonts w:ascii="Book Antiqua" w:hAnsi="Book Antiqua" w:cs="Calibri"/>
                <w:b/>
                <w:bCs/>
                <w:color w:val="000000"/>
                <w:sz w:val="16"/>
                <w:szCs w:val="16"/>
                <w:u w:val="single"/>
                <w:lang w:eastAsia="es-CR"/>
              </w:rPr>
            </w:pPr>
            <w:r w:rsidRPr="00470495">
              <w:rPr>
                <w:rFonts w:ascii="Book Antiqua" w:hAnsi="Book Antiqua" w:cs="Calibri"/>
                <w:b/>
                <w:bCs/>
                <w:color w:val="000000"/>
                <w:sz w:val="16"/>
                <w:szCs w:val="16"/>
                <w:u w:val="single"/>
                <w:lang w:eastAsia="es-CR"/>
              </w:rPr>
              <w:t>4809</w:t>
            </w:r>
          </w:p>
        </w:tc>
        <w:tc>
          <w:tcPr>
            <w:tcW w:w="806" w:type="dxa"/>
            <w:tcBorders>
              <w:top w:val="nil"/>
              <w:left w:val="nil"/>
              <w:bottom w:val="single" w:sz="4" w:space="0" w:color="auto"/>
              <w:right w:val="single" w:sz="4" w:space="0" w:color="auto"/>
            </w:tcBorders>
            <w:shd w:val="clear" w:color="auto" w:fill="auto"/>
            <w:noWrap/>
            <w:vAlign w:val="center"/>
            <w:hideMark/>
          </w:tcPr>
          <w:p w14:paraId="72C564D3" w14:textId="77777777" w:rsidR="00470495" w:rsidRPr="00470495" w:rsidRDefault="00470495" w:rsidP="00234CBE">
            <w:pPr>
              <w:spacing w:line="276" w:lineRule="auto"/>
              <w:jc w:val="center"/>
              <w:rPr>
                <w:rFonts w:ascii="Book Antiqua" w:hAnsi="Book Antiqua" w:cs="Calibri"/>
                <w:b/>
                <w:bCs/>
                <w:color w:val="000000"/>
                <w:sz w:val="16"/>
                <w:szCs w:val="16"/>
                <w:u w:val="single"/>
                <w:lang w:eastAsia="es-CR"/>
              </w:rPr>
            </w:pPr>
            <w:r w:rsidRPr="00470495">
              <w:rPr>
                <w:rFonts w:ascii="Book Antiqua" w:hAnsi="Book Antiqua" w:cs="Calibri"/>
                <w:b/>
                <w:bCs/>
                <w:color w:val="000000"/>
                <w:sz w:val="16"/>
                <w:szCs w:val="16"/>
                <w:u w:val="single"/>
                <w:lang w:eastAsia="es-CR"/>
              </w:rPr>
              <w:t>4688</w:t>
            </w:r>
          </w:p>
        </w:tc>
        <w:tc>
          <w:tcPr>
            <w:tcW w:w="806" w:type="dxa"/>
            <w:tcBorders>
              <w:top w:val="nil"/>
              <w:left w:val="nil"/>
              <w:bottom w:val="single" w:sz="4" w:space="0" w:color="auto"/>
              <w:right w:val="single" w:sz="4" w:space="0" w:color="auto"/>
            </w:tcBorders>
            <w:shd w:val="clear" w:color="auto" w:fill="auto"/>
            <w:noWrap/>
            <w:vAlign w:val="center"/>
            <w:hideMark/>
          </w:tcPr>
          <w:p w14:paraId="19B9EB11" w14:textId="77777777" w:rsidR="00470495" w:rsidRPr="00470495" w:rsidRDefault="00470495" w:rsidP="00234CBE">
            <w:pPr>
              <w:spacing w:line="276" w:lineRule="auto"/>
              <w:jc w:val="center"/>
              <w:rPr>
                <w:rFonts w:ascii="Book Antiqua" w:hAnsi="Book Antiqua" w:cs="Calibri"/>
                <w:b/>
                <w:bCs/>
                <w:color w:val="000000"/>
                <w:sz w:val="16"/>
                <w:szCs w:val="16"/>
                <w:u w:val="single"/>
                <w:lang w:eastAsia="es-CR"/>
              </w:rPr>
            </w:pPr>
            <w:r w:rsidRPr="00470495">
              <w:rPr>
                <w:rFonts w:ascii="Book Antiqua" w:hAnsi="Book Antiqua" w:cs="Calibri"/>
                <w:b/>
                <w:bCs/>
                <w:color w:val="000000"/>
                <w:sz w:val="16"/>
                <w:szCs w:val="16"/>
                <w:u w:val="single"/>
                <w:lang w:eastAsia="es-CR"/>
              </w:rPr>
              <w:t>4462</w:t>
            </w:r>
          </w:p>
        </w:tc>
        <w:tc>
          <w:tcPr>
            <w:tcW w:w="806" w:type="dxa"/>
            <w:tcBorders>
              <w:top w:val="nil"/>
              <w:left w:val="nil"/>
              <w:bottom w:val="single" w:sz="4" w:space="0" w:color="auto"/>
              <w:right w:val="single" w:sz="4" w:space="0" w:color="auto"/>
            </w:tcBorders>
            <w:shd w:val="clear" w:color="auto" w:fill="auto"/>
            <w:noWrap/>
            <w:vAlign w:val="center"/>
            <w:hideMark/>
          </w:tcPr>
          <w:p w14:paraId="0C7B9AC2" w14:textId="77777777" w:rsidR="00470495" w:rsidRPr="00470495" w:rsidRDefault="00470495" w:rsidP="00234CBE">
            <w:pPr>
              <w:spacing w:line="276" w:lineRule="auto"/>
              <w:jc w:val="center"/>
              <w:rPr>
                <w:rFonts w:ascii="Book Antiqua" w:hAnsi="Book Antiqua" w:cs="Calibri"/>
                <w:b/>
                <w:bCs/>
                <w:color w:val="000000"/>
                <w:sz w:val="16"/>
                <w:szCs w:val="16"/>
                <w:u w:val="single"/>
                <w:lang w:eastAsia="es-CR"/>
              </w:rPr>
            </w:pPr>
            <w:r w:rsidRPr="00470495">
              <w:rPr>
                <w:rFonts w:ascii="Book Antiqua" w:hAnsi="Book Antiqua" w:cs="Calibri"/>
                <w:b/>
                <w:bCs/>
                <w:color w:val="000000"/>
                <w:sz w:val="16"/>
                <w:szCs w:val="16"/>
                <w:u w:val="single"/>
                <w:lang w:eastAsia="es-CR"/>
              </w:rPr>
              <w:t>4959</w:t>
            </w:r>
          </w:p>
        </w:tc>
        <w:tc>
          <w:tcPr>
            <w:tcW w:w="806" w:type="dxa"/>
            <w:tcBorders>
              <w:top w:val="nil"/>
              <w:left w:val="nil"/>
              <w:bottom w:val="single" w:sz="4" w:space="0" w:color="auto"/>
              <w:right w:val="single" w:sz="4" w:space="0" w:color="auto"/>
            </w:tcBorders>
            <w:shd w:val="clear" w:color="auto" w:fill="auto"/>
            <w:noWrap/>
            <w:vAlign w:val="center"/>
            <w:hideMark/>
          </w:tcPr>
          <w:p w14:paraId="7CECC510" w14:textId="77777777" w:rsidR="00470495" w:rsidRPr="00470495" w:rsidRDefault="00470495" w:rsidP="00234CBE">
            <w:pPr>
              <w:spacing w:line="276" w:lineRule="auto"/>
              <w:jc w:val="center"/>
              <w:rPr>
                <w:rFonts w:ascii="Book Antiqua" w:hAnsi="Book Antiqua" w:cs="Calibri"/>
                <w:b/>
                <w:bCs/>
                <w:color w:val="000000"/>
                <w:sz w:val="16"/>
                <w:szCs w:val="16"/>
                <w:u w:val="single"/>
                <w:lang w:eastAsia="es-CR"/>
              </w:rPr>
            </w:pPr>
            <w:r w:rsidRPr="00470495">
              <w:rPr>
                <w:rFonts w:ascii="Book Antiqua" w:hAnsi="Book Antiqua" w:cs="Calibri"/>
                <w:b/>
                <w:bCs/>
                <w:color w:val="000000"/>
                <w:sz w:val="16"/>
                <w:szCs w:val="16"/>
                <w:u w:val="single"/>
                <w:lang w:eastAsia="es-CR"/>
              </w:rPr>
              <w:t>4596</w:t>
            </w:r>
          </w:p>
        </w:tc>
        <w:tc>
          <w:tcPr>
            <w:tcW w:w="807" w:type="dxa"/>
            <w:tcBorders>
              <w:top w:val="nil"/>
              <w:left w:val="nil"/>
              <w:bottom w:val="single" w:sz="4" w:space="0" w:color="auto"/>
              <w:right w:val="single" w:sz="4" w:space="0" w:color="auto"/>
            </w:tcBorders>
            <w:shd w:val="clear" w:color="auto" w:fill="auto"/>
            <w:noWrap/>
            <w:vAlign w:val="center"/>
            <w:hideMark/>
          </w:tcPr>
          <w:p w14:paraId="2250E6AF" w14:textId="77777777" w:rsidR="00470495" w:rsidRPr="00470495" w:rsidRDefault="00470495" w:rsidP="00234CBE">
            <w:pPr>
              <w:spacing w:line="276" w:lineRule="auto"/>
              <w:jc w:val="center"/>
              <w:rPr>
                <w:rFonts w:ascii="Book Antiqua" w:hAnsi="Book Antiqua" w:cs="Calibri"/>
                <w:b/>
                <w:bCs/>
                <w:color w:val="000000"/>
                <w:sz w:val="16"/>
                <w:szCs w:val="16"/>
                <w:u w:val="single"/>
                <w:lang w:eastAsia="es-CR"/>
              </w:rPr>
            </w:pPr>
            <w:r w:rsidRPr="00470495">
              <w:rPr>
                <w:rFonts w:ascii="Book Antiqua" w:hAnsi="Book Antiqua" w:cs="Calibri"/>
                <w:b/>
                <w:bCs/>
                <w:color w:val="000000"/>
                <w:sz w:val="16"/>
                <w:szCs w:val="16"/>
                <w:u w:val="single"/>
                <w:lang w:eastAsia="es-CR"/>
              </w:rPr>
              <w:t>5276</w:t>
            </w:r>
          </w:p>
        </w:tc>
        <w:tc>
          <w:tcPr>
            <w:tcW w:w="846" w:type="dxa"/>
            <w:tcBorders>
              <w:top w:val="nil"/>
              <w:left w:val="nil"/>
              <w:bottom w:val="single" w:sz="4" w:space="0" w:color="auto"/>
              <w:right w:val="single" w:sz="4" w:space="0" w:color="auto"/>
            </w:tcBorders>
            <w:shd w:val="clear" w:color="auto" w:fill="auto"/>
            <w:noWrap/>
            <w:vAlign w:val="center"/>
            <w:hideMark/>
          </w:tcPr>
          <w:p w14:paraId="14AE8265" w14:textId="77777777" w:rsidR="00470495" w:rsidRPr="00470495" w:rsidRDefault="00470495" w:rsidP="00234CBE">
            <w:pPr>
              <w:spacing w:line="276" w:lineRule="auto"/>
              <w:jc w:val="center"/>
              <w:rPr>
                <w:rFonts w:ascii="Book Antiqua" w:hAnsi="Book Antiqua" w:cs="Calibri"/>
                <w:b/>
                <w:bCs/>
                <w:color w:val="000000"/>
                <w:sz w:val="16"/>
                <w:szCs w:val="16"/>
                <w:u w:val="single"/>
                <w:lang w:eastAsia="es-CR"/>
              </w:rPr>
            </w:pPr>
            <w:r w:rsidRPr="00470495">
              <w:rPr>
                <w:rFonts w:ascii="Book Antiqua" w:hAnsi="Book Antiqua" w:cs="Calibri"/>
                <w:b/>
                <w:bCs/>
                <w:color w:val="000000"/>
                <w:sz w:val="16"/>
                <w:szCs w:val="16"/>
                <w:u w:val="single"/>
                <w:lang w:eastAsia="es-CR"/>
              </w:rPr>
              <w:t>5047</w:t>
            </w:r>
          </w:p>
        </w:tc>
        <w:tc>
          <w:tcPr>
            <w:tcW w:w="807" w:type="dxa"/>
            <w:tcBorders>
              <w:top w:val="nil"/>
              <w:left w:val="nil"/>
              <w:bottom w:val="single" w:sz="4" w:space="0" w:color="auto"/>
              <w:right w:val="single" w:sz="4" w:space="0" w:color="auto"/>
            </w:tcBorders>
            <w:shd w:val="clear" w:color="auto" w:fill="auto"/>
            <w:noWrap/>
            <w:vAlign w:val="center"/>
            <w:hideMark/>
          </w:tcPr>
          <w:p w14:paraId="05CD26B9" w14:textId="77777777" w:rsidR="00470495" w:rsidRPr="00470495" w:rsidRDefault="00470495" w:rsidP="00234CBE">
            <w:pPr>
              <w:spacing w:line="276" w:lineRule="auto"/>
              <w:jc w:val="center"/>
              <w:rPr>
                <w:rFonts w:ascii="Book Antiqua" w:hAnsi="Book Antiqua" w:cs="Calibri"/>
                <w:b/>
                <w:bCs/>
                <w:color w:val="000000"/>
                <w:sz w:val="16"/>
                <w:szCs w:val="16"/>
                <w:u w:val="single"/>
                <w:lang w:eastAsia="es-CR"/>
              </w:rPr>
            </w:pPr>
            <w:r w:rsidRPr="00470495">
              <w:rPr>
                <w:rFonts w:ascii="Book Antiqua" w:hAnsi="Book Antiqua" w:cs="Calibri"/>
                <w:b/>
                <w:bCs/>
                <w:color w:val="000000"/>
                <w:sz w:val="16"/>
                <w:szCs w:val="16"/>
                <w:u w:val="single"/>
                <w:lang w:eastAsia="es-CR"/>
              </w:rPr>
              <w:t>43168</w:t>
            </w:r>
          </w:p>
        </w:tc>
        <w:tc>
          <w:tcPr>
            <w:tcW w:w="146" w:type="dxa"/>
            <w:gridSpan w:val="2"/>
            <w:vAlign w:val="center"/>
            <w:hideMark/>
          </w:tcPr>
          <w:p w14:paraId="2A534C5E" w14:textId="77777777" w:rsidR="00470495" w:rsidRPr="00470495" w:rsidRDefault="00470495" w:rsidP="00234CBE">
            <w:pPr>
              <w:spacing w:line="276" w:lineRule="auto"/>
              <w:rPr>
                <w:rFonts w:ascii="Times New Roman" w:hAnsi="Times New Roman"/>
                <w:sz w:val="20"/>
                <w:szCs w:val="20"/>
                <w:lang w:eastAsia="es-CR"/>
              </w:rPr>
            </w:pPr>
          </w:p>
        </w:tc>
      </w:tr>
      <w:tr w:rsidR="00470495" w:rsidRPr="00470495" w14:paraId="7E1D0E26" w14:textId="77777777" w:rsidTr="00470495">
        <w:trPr>
          <w:gridAfter w:val="1"/>
          <w:wAfter w:w="19" w:type="dxa"/>
          <w:trHeight w:val="217"/>
          <w:jc w:val="center"/>
        </w:trPr>
        <w:tc>
          <w:tcPr>
            <w:tcW w:w="2236" w:type="dxa"/>
            <w:tcBorders>
              <w:top w:val="nil"/>
              <w:left w:val="single" w:sz="4" w:space="0" w:color="auto"/>
              <w:bottom w:val="single" w:sz="4" w:space="0" w:color="auto"/>
              <w:right w:val="single" w:sz="4" w:space="0" w:color="auto"/>
            </w:tcBorders>
            <w:shd w:val="clear" w:color="auto" w:fill="auto"/>
            <w:noWrap/>
            <w:vAlign w:val="center"/>
            <w:hideMark/>
          </w:tcPr>
          <w:p w14:paraId="5FFB7179" w14:textId="77777777" w:rsidR="00470495" w:rsidRPr="00470495" w:rsidRDefault="00470495" w:rsidP="00234CBE">
            <w:pPr>
              <w:spacing w:line="276" w:lineRule="auto"/>
              <w:jc w:val="right"/>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Sala Primera</w:t>
            </w:r>
          </w:p>
        </w:tc>
        <w:tc>
          <w:tcPr>
            <w:tcW w:w="806" w:type="dxa"/>
            <w:tcBorders>
              <w:top w:val="nil"/>
              <w:left w:val="nil"/>
              <w:bottom w:val="single" w:sz="4" w:space="0" w:color="auto"/>
              <w:right w:val="single" w:sz="4" w:space="0" w:color="auto"/>
            </w:tcBorders>
            <w:shd w:val="clear" w:color="auto" w:fill="auto"/>
            <w:noWrap/>
            <w:vAlign w:val="center"/>
            <w:hideMark/>
          </w:tcPr>
          <w:p w14:paraId="4C3D08DF"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125</w:t>
            </w:r>
          </w:p>
        </w:tc>
        <w:tc>
          <w:tcPr>
            <w:tcW w:w="807" w:type="dxa"/>
            <w:tcBorders>
              <w:top w:val="nil"/>
              <w:left w:val="nil"/>
              <w:bottom w:val="single" w:sz="4" w:space="0" w:color="auto"/>
              <w:right w:val="single" w:sz="4" w:space="0" w:color="auto"/>
            </w:tcBorders>
            <w:shd w:val="clear" w:color="auto" w:fill="auto"/>
            <w:noWrap/>
            <w:vAlign w:val="center"/>
            <w:hideMark/>
          </w:tcPr>
          <w:p w14:paraId="5C8A2BA7"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129</w:t>
            </w:r>
          </w:p>
        </w:tc>
        <w:tc>
          <w:tcPr>
            <w:tcW w:w="807" w:type="dxa"/>
            <w:tcBorders>
              <w:top w:val="nil"/>
              <w:left w:val="nil"/>
              <w:bottom w:val="single" w:sz="4" w:space="0" w:color="auto"/>
              <w:right w:val="single" w:sz="4" w:space="0" w:color="auto"/>
            </w:tcBorders>
            <w:shd w:val="clear" w:color="auto" w:fill="auto"/>
            <w:noWrap/>
            <w:vAlign w:val="center"/>
            <w:hideMark/>
          </w:tcPr>
          <w:p w14:paraId="3BB97AF0"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121</w:t>
            </w:r>
          </w:p>
        </w:tc>
        <w:tc>
          <w:tcPr>
            <w:tcW w:w="806" w:type="dxa"/>
            <w:tcBorders>
              <w:top w:val="nil"/>
              <w:left w:val="nil"/>
              <w:bottom w:val="single" w:sz="4" w:space="0" w:color="auto"/>
              <w:right w:val="single" w:sz="4" w:space="0" w:color="auto"/>
            </w:tcBorders>
            <w:shd w:val="clear" w:color="auto" w:fill="auto"/>
            <w:noWrap/>
            <w:vAlign w:val="center"/>
            <w:hideMark/>
          </w:tcPr>
          <w:p w14:paraId="55AE17C9"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131</w:t>
            </w:r>
          </w:p>
        </w:tc>
        <w:tc>
          <w:tcPr>
            <w:tcW w:w="806" w:type="dxa"/>
            <w:tcBorders>
              <w:top w:val="nil"/>
              <w:left w:val="nil"/>
              <w:bottom w:val="single" w:sz="4" w:space="0" w:color="auto"/>
              <w:right w:val="single" w:sz="4" w:space="0" w:color="auto"/>
            </w:tcBorders>
            <w:shd w:val="clear" w:color="auto" w:fill="auto"/>
            <w:noWrap/>
            <w:vAlign w:val="center"/>
            <w:hideMark/>
          </w:tcPr>
          <w:p w14:paraId="12D3689E"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117</w:t>
            </w:r>
          </w:p>
        </w:tc>
        <w:tc>
          <w:tcPr>
            <w:tcW w:w="806" w:type="dxa"/>
            <w:tcBorders>
              <w:top w:val="nil"/>
              <w:left w:val="nil"/>
              <w:bottom w:val="single" w:sz="4" w:space="0" w:color="auto"/>
              <w:right w:val="single" w:sz="4" w:space="0" w:color="auto"/>
            </w:tcBorders>
            <w:shd w:val="clear" w:color="auto" w:fill="auto"/>
            <w:noWrap/>
            <w:vAlign w:val="center"/>
            <w:hideMark/>
          </w:tcPr>
          <w:p w14:paraId="53612CC5"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139</w:t>
            </w:r>
          </w:p>
        </w:tc>
        <w:tc>
          <w:tcPr>
            <w:tcW w:w="806" w:type="dxa"/>
            <w:tcBorders>
              <w:top w:val="nil"/>
              <w:left w:val="nil"/>
              <w:bottom w:val="single" w:sz="4" w:space="0" w:color="auto"/>
              <w:right w:val="single" w:sz="4" w:space="0" w:color="auto"/>
            </w:tcBorders>
            <w:shd w:val="clear" w:color="auto" w:fill="auto"/>
            <w:noWrap/>
            <w:vAlign w:val="center"/>
            <w:hideMark/>
          </w:tcPr>
          <w:p w14:paraId="51FF6452"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141</w:t>
            </w:r>
          </w:p>
        </w:tc>
        <w:tc>
          <w:tcPr>
            <w:tcW w:w="807" w:type="dxa"/>
            <w:tcBorders>
              <w:top w:val="nil"/>
              <w:left w:val="nil"/>
              <w:bottom w:val="single" w:sz="4" w:space="0" w:color="auto"/>
              <w:right w:val="single" w:sz="4" w:space="0" w:color="auto"/>
            </w:tcBorders>
            <w:shd w:val="clear" w:color="auto" w:fill="auto"/>
            <w:noWrap/>
            <w:vAlign w:val="center"/>
            <w:hideMark/>
          </w:tcPr>
          <w:p w14:paraId="4DB88710"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140</w:t>
            </w:r>
          </w:p>
        </w:tc>
        <w:tc>
          <w:tcPr>
            <w:tcW w:w="846" w:type="dxa"/>
            <w:tcBorders>
              <w:top w:val="nil"/>
              <w:left w:val="nil"/>
              <w:bottom w:val="single" w:sz="4" w:space="0" w:color="auto"/>
              <w:right w:val="single" w:sz="4" w:space="0" w:color="auto"/>
            </w:tcBorders>
            <w:shd w:val="clear" w:color="auto" w:fill="auto"/>
            <w:noWrap/>
            <w:vAlign w:val="center"/>
            <w:hideMark/>
          </w:tcPr>
          <w:p w14:paraId="3B225285"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151</w:t>
            </w:r>
          </w:p>
        </w:tc>
        <w:tc>
          <w:tcPr>
            <w:tcW w:w="807" w:type="dxa"/>
            <w:tcBorders>
              <w:top w:val="nil"/>
              <w:left w:val="nil"/>
              <w:bottom w:val="single" w:sz="4" w:space="0" w:color="auto"/>
              <w:right w:val="single" w:sz="4" w:space="0" w:color="auto"/>
            </w:tcBorders>
            <w:shd w:val="clear" w:color="auto" w:fill="auto"/>
            <w:noWrap/>
            <w:vAlign w:val="center"/>
            <w:hideMark/>
          </w:tcPr>
          <w:p w14:paraId="2EC48CC3"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1194</w:t>
            </w:r>
          </w:p>
        </w:tc>
        <w:tc>
          <w:tcPr>
            <w:tcW w:w="146" w:type="dxa"/>
            <w:gridSpan w:val="2"/>
            <w:vAlign w:val="center"/>
            <w:hideMark/>
          </w:tcPr>
          <w:p w14:paraId="4558E384" w14:textId="77777777" w:rsidR="00470495" w:rsidRPr="00470495" w:rsidRDefault="00470495" w:rsidP="00234CBE">
            <w:pPr>
              <w:spacing w:line="276" w:lineRule="auto"/>
              <w:rPr>
                <w:rFonts w:ascii="Times New Roman" w:hAnsi="Times New Roman"/>
                <w:sz w:val="20"/>
                <w:szCs w:val="20"/>
                <w:lang w:eastAsia="es-CR"/>
              </w:rPr>
            </w:pPr>
          </w:p>
        </w:tc>
      </w:tr>
      <w:tr w:rsidR="00470495" w:rsidRPr="00470495" w14:paraId="15E379CF" w14:textId="77777777" w:rsidTr="00470495">
        <w:trPr>
          <w:gridAfter w:val="1"/>
          <w:wAfter w:w="19" w:type="dxa"/>
          <w:trHeight w:val="217"/>
          <w:jc w:val="center"/>
        </w:trPr>
        <w:tc>
          <w:tcPr>
            <w:tcW w:w="2236" w:type="dxa"/>
            <w:tcBorders>
              <w:top w:val="nil"/>
              <w:left w:val="single" w:sz="4" w:space="0" w:color="auto"/>
              <w:bottom w:val="single" w:sz="4" w:space="0" w:color="auto"/>
              <w:right w:val="single" w:sz="4" w:space="0" w:color="auto"/>
            </w:tcBorders>
            <w:shd w:val="clear" w:color="auto" w:fill="auto"/>
            <w:noWrap/>
            <w:vAlign w:val="center"/>
            <w:hideMark/>
          </w:tcPr>
          <w:p w14:paraId="3BB4C7C8" w14:textId="77777777" w:rsidR="00470495" w:rsidRPr="00470495" w:rsidRDefault="00470495" w:rsidP="00234CBE">
            <w:pPr>
              <w:spacing w:line="276" w:lineRule="auto"/>
              <w:jc w:val="right"/>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 xml:space="preserve">Sala Primera-Tribunal De Casación </w:t>
            </w:r>
          </w:p>
        </w:tc>
        <w:tc>
          <w:tcPr>
            <w:tcW w:w="806" w:type="dxa"/>
            <w:tcBorders>
              <w:top w:val="nil"/>
              <w:left w:val="nil"/>
              <w:bottom w:val="single" w:sz="4" w:space="0" w:color="auto"/>
              <w:right w:val="single" w:sz="4" w:space="0" w:color="auto"/>
            </w:tcBorders>
            <w:shd w:val="clear" w:color="auto" w:fill="auto"/>
            <w:noWrap/>
            <w:vAlign w:val="center"/>
            <w:hideMark/>
          </w:tcPr>
          <w:p w14:paraId="216126CA"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10</w:t>
            </w:r>
          </w:p>
        </w:tc>
        <w:tc>
          <w:tcPr>
            <w:tcW w:w="807" w:type="dxa"/>
            <w:tcBorders>
              <w:top w:val="nil"/>
              <w:left w:val="nil"/>
              <w:bottom w:val="single" w:sz="4" w:space="0" w:color="auto"/>
              <w:right w:val="single" w:sz="4" w:space="0" w:color="auto"/>
            </w:tcBorders>
            <w:shd w:val="clear" w:color="auto" w:fill="auto"/>
            <w:noWrap/>
            <w:vAlign w:val="center"/>
            <w:hideMark/>
          </w:tcPr>
          <w:p w14:paraId="2719D2C6"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21</w:t>
            </w:r>
          </w:p>
        </w:tc>
        <w:tc>
          <w:tcPr>
            <w:tcW w:w="807" w:type="dxa"/>
            <w:tcBorders>
              <w:top w:val="nil"/>
              <w:left w:val="nil"/>
              <w:bottom w:val="single" w:sz="4" w:space="0" w:color="auto"/>
              <w:right w:val="single" w:sz="4" w:space="0" w:color="auto"/>
            </w:tcBorders>
            <w:shd w:val="clear" w:color="auto" w:fill="auto"/>
            <w:noWrap/>
            <w:vAlign w:val="center"/>
            <w:hideMark/>
          </w:tcPr>
          <w:p w14:paraId="24B7C308"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19</w:t>
            </w:r>
          </w:p>
        </w:tc>
        <w:tc>
          <w:tcPr>
            <w:tcW w:w="806" w:type="dxa"/>
            <w:tcBorders>
              <w:top w:val="nil"/>
              <w:left w:val="nil"/>
              <w:bottom w:val="single" w:sz="4" w:space="0" w:color="auto"/>
              <w:right w:val="single" w:sz="4" w:space="0" w:color="auto"/>
            </w:tcBorders>
            <w:shd w:val="clear" w:color="auto" w:fill="auto"/>
            <w:noWrap/>
            <w:vAlign w:val="center"/>
            <w:hideMark/>
          </w:tcPr>
          <w:p w14:paraId="38C1E039"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23</w:t>
            </w:r>
          </w:p>
        </w:tc>
        <w:tc>
          <w:tcPr>
            <w:tcW w:w="806" w:type="dxa"/>
            <w:tcBorders>
              <w:top w:val="nil"/>
              <w:left w:val="nil"/>
              <w:bottom w:val="single" w:sz="4" w:space="0" w:color="auto"/>
              <w:right w:val="single" w:sz="4" w:space="0" w:color="auto"/>
            </w:tcBorders>
            <w:shd w:val="clear" w:color="auto" w:fill="auto"/>
            <w:noWrap/>
            <w:vAlign w:val="center"/>
            <w:hideMark/>
          </w:tcPr>
          <w:p w14:paraId="00C3CE24"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22</w:t>
            </w:r>
          </w:p>
        </w:tc>
        <w:tc>
          <w:tcPr>
            <w:tcW w:w="806" w:type="dxa"/>
            <w:tcBorders>
              <w:top w:val="nil"/>
              <w:left w:val="nil"/>
              <w:bottom w:val="single" w:sz="4" w:space="0" w:color="auto"/>
              <w:right w:val="single" w:sz="4" w:space="0" w:color="auto"/>
            </w:tcBorders>
            <w:shd w:val="clear" w:color="auto" w:fill="auto"/>
            <w:noWrap/>
            <w:vAlign w:val="center"/>
            <w:hideMark/>
          </w:tcPr>
          <w:p w14:paraId="72C7EFFA"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18</w:t>
            </w:r>
          </w:p>
        </w:tc>
        <w:tc>
          <w:tcPr>
            <w:tcW w:w="806" w:type="dxa"/>
            <w:tcBorders>
              <w:top w:val="nil"/>
              <w:left w:val="nil"/>
              <w:bottom w:val="single" w:sz="4" w:space="0" w:color="auto"/>
              <w:right w:val="single" w:sz="4" w:space="0" w:color="auto"/>
            </w:tcBorders>
            <w:shd w:val="clear" w:color="auto" w:fill="auto"/>
            <w:noWrap/>
            <w:vAlign w:val="center"/>
            <w:hideMark/>
          </w:tcPr>
          <w:p w14:paraId="7B4E2CCC"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20</w:t>
            </w:r>
          </w:p>
        </w:tc>
        <w:tc>
          <w:tcPr>
            <w:tcW w:w="807" w:type="dxa"/>
            <w:tcBorders>
              <w:top w:val="nil"/>
              <w:left w:val="nil"/>
              <w:bottom w:val="single" w:sz="4" w:space="0" w:color="auto"/>
              <w:right w:val="single" w:sz="4" w:space="0" w:color="auto"/>
            </w:tcBorders>
            <w:shd w:val="clear" w:color="auto" w:fill="auto"/>
            <w:noWrap/>
            <w:vAlign w:val="center"/>
            <w:hideMark/>
          </w:tcPr>
          <w:p w14:paraId="011997E8"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21</w:t>
            </w:r>
          </w:p>
        </w:tc>
        <w:tc>
          <w:tcPr>
            <w:tcW w:w="846" w:type="dxa"/>
            <w:tcBorders>
              <w:top w:val="nil"/>
              <w:left w:val="nil"/>
              <w:bottom w:val="single" w:sz="4" w:space="0" w:color="auto"/>
              <w:right w:val="single" w:sz="4" w:space="0" w:color="auto"/>
            </w:tcBorders>
            <w:shd w:val="clear" w:color="auto" w:fill="auto"/>
            <w:noWrap/>
            <w:vAlign w:val="center"/>
            <w:hideMark/>
          </w:tcPr>
          <w:p w14:paraId="4DE55441"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16</w:t>
            </w:r>
          </w:p>
        </w:tc>
        <w:tc>
          <w:tcPr>
            <w:tcW w:w="807" w:type="dxa"/>
            <w:tcBorders>
              <w:top w:val="nil"/>
              <w:left w:val="nil"/>
              <w:bottom w:val="single" w:sz="4" w:space="0" w:color="auto"/>
              <w:right w:val="single" w:sz="4" w:space="0" w:color="auto"/>
            </w:tcBorders>
            <w:shd w:val="clear" w:color="auto" w:fill="auto"/>
            <w:noWrap/>
            <w:vAlign w:val="center"/>
            <w:hideMark/>
          </w:tcPr>
          <w:p w14:paraId="71DE2B8F"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170</w:t>
            </w:r>
          </w:p>
        </w:tc>
        <w:tc>
          <w:tcPr>
            <w:tcW w:w="146" w:type="dxa"/>
            <w:gridSpan w:val="2"/>
            <w:vAlign w:val="center"/>
            <w:hideMark/>
          </w:tcPr>
          <w:p w14:paraId="733A1278" w14:textId="77777777" w:rsidR="00470495" w:rsidRPr="00470495" w:rsidRDefault="00470495" w:rsidP="00234CBE">
            <w:pPr>
              <w:spacing w:line="276" w:lineRule="auto"/>
              <w:rPr>
                <w:rFonts w:ascii="Times New Roman" w:hAnsi="Times New Roman"/>
                <w:sz w:val="20"/>
                <w:szCs w:val="20"/>
                <w:lang w:eastAsia="es-CR"/>
              </w:rPr>
            </w:pPr>
          </w:p>
        </w:tc>
      </w:tr>
      <w:tr w:rsidR="00470495" w:rsidRPr="00470495" w14:paraId="2F10947C" w14:textId="77777777" w:rsidTr="00470495">
        <w:trPr>
          <w:gridAfter w:val="1"/>
          <w:wAfter w:w="19" w:type="dxa"/>
          <w:trHeight w:val="217"/>
          <w:jc w:val="center"/>
        </w:trPr>
        <w:tc>
          <w:tcPr>
            <w:tcW w:w="2236" w:type="dxa"/>
            <w:tcBorders>
              <w:top w:val="nil"/>
              <w:left w:val="single" w:sz="4" w:space="0" w:color="auto"/>
              <w:bottom w:val="single" w:sz="4" w:space="0" w:color="auto"/>
              <w:right w:val="single" w:sz="4" w:space="0" w:color="auto"/>
            </w:tcBorders>
            <w:shd w:val="clear" w:color="auto" w:fill="auto"/>
            <w:noWrap/>
            <w:vAlign w:val="center"/>
            <w:hideMark/>
          </w:tcPr>
          <w:p w14:paraId="52C4C98C" w14:textId="77777777" w:rsidR="00470495" w:rsidRPr="00470495" w:rsidRDefault="00470495" w:rsidP="00234CBE">
            <w:pPr>
              <w:spacing w:line="276" w:lineRule="auto"/>
              <w:jc w:val="right"/>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Sala Segunda</w:t>
            </w:r>
          </w:p>
        </w:tc>
        <w:tc>
          <w:tcPr>
            <w:tcW w:w="806" w:type="dxa"/>
            <w:tcBorders>
              <w:top w:val="nil"/>
              <w:left w:val="nil"/>
              <w:bottom w:val="single" w:sz="4" w:space="0" w:color="auto"/>
              <w:right w:val="single" w:sz="4" w:space="0" w:color="auto"/>
            </w:tcBorders>
            <w:shd w:val="clear" w:color="auto" w:fill="auto"/>
            <w:noWrap/>
            <w:vAlign w:val="center"/>
            <w:hideMark/>
          </w:tcPr>
          <w:p w14:paraId="6274E769"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316</w:t>
            </w:r>
          </w:p>
        </w:tc>
        <w:tc>
          <w:tcPr>
            <w:tcW w:w="807" w:type="dxa"/>
            <w:tcBorders>
              <w:top w:val="nil"/>
              <w:left w:val="nil"/>
              <w:bottom w:val="single" w:sz="4" w:space="0" w:color="auto"/>
              <w:right w:val="single" w:sz="4" w:space="0" w:color="auto"/>
            </w:tcBorders>
            <w:shd w:val="clear" w:color="auto" w:fill="auto"/>
            <w:noWrap/>
            <w:vAlign w:val="center"/>
            <w:hideMark/>
          </w:tcPr>
          <w:p w14:paraId="39DE8209"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229</w:t>
            </w:r>
          </w:p>
        </w:tc>
        <w:tc>
          <w:tcPr>
            <w:tcW w:w="807" w:type="dxa"/>
            <w:tcBorders>
              <w:top w:val="nil"/>
              <w:left w:val="nil"/>
              <w:bottom w:val="single" w:sz="4" w:space="0" w:color="auto"/>
              <w:right w:val="single" w:sz="4" w:space="0" w:color="auto"/>
            </w:tcBorders>
            <w:shd w:val="clear" w:color="auto" w:fill="auto"/>
            <w:noWrap/>
            <w:vAlign w:val="center"/>
            <w:hideMark/>
          </w:tcPr>
          <w:p w14:paraId="282F5369"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223</w:t>
            </w:r>
          </w:p>
        </w:tc>
        <w:tc>
          <w:tcPr>
            <w:tcW w:w="806" w:type="dxa"/>
            <w:tcBorders>
              <w:top w:val="nil"/>
              <w:left w:val="nil"/>
              <w:bottom w:val="single" w:sz="4" w:space="0" w:color="auto"/>
              <w:right w:val="single" w:sz="4" w:space="0" w:color="auto"/>
            </w:tcBorders>
            <w:shd w:val="clear" w:color="auto" w:fill="auto"/>
            <w:noWrap/>
            <w:vAlign w:val="center"/>
            <w:hideMark/>
          </w:tcPr>
          <w:p w14:paraId="3A9FA934"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221</w:t>
            </w:r>
          </w:p>
        </w:tc>
        <w:tc>
          <w:tcPr>
            <w:tcW w:w="806" w:type="dxa"/>
            <w:tcBorders>
              <w:top w:val="nil"/>
              <w:left w:val="nil"/>
              <w:bottom w:val="single" w:sz="4" w:space="0" w:color="auto"/>
              <w:right w:val="single" w:sz="4" w:space="0" w:color="auto"/>
            </w:tcBorders>
            <w:shd w:val="clear" w:color="auto" w:fill="auto"/>
            <w:noWrap/>
            <w:vAlign w:val="center"/>
            <w:hideMark/>
          </w:tcPr>
          <w:p w14:paraId="1A2B035D"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209</w:t>
            </w:r>
          </w:p>
        </w:tc>
        <w:tc>
          <w:tcPr>
            <w:tcW w:w="806" w:type="dxa"/>
            <w:tcBorders>
              <w:top w:val="nil"/>
              <w:left w:val="nil"/>
              <w:bottom w:val="single" w:sz="4" w:space="0" w:color="auto"/>
              <w:right w:val="single" w:sz="4" w:space="0" w:color="auto"/>
            </w:tcBorders>
            <w:shd w:val="clear" w:color="auto" w:fill="auto"/>
            <w:noWrap/>
            <w:vAlign w:val="center"/>
            <w:hideMark/>
          </w:tcPr>
          <w:p w14:paraId="7F2CC798"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211</w:t>
            </w:r>
          </w:p>
        </w:tc>
        <w:tc>
          <w:tcPr>
            <w:tcW w:w="806" w:type="dxa"/>
            <w:tcBorders>
              <w:top w:val="nil"/>
              <w:left w:val="nil"/>
              <w:bottom w:val="single" w:sz="4" w:space="0" w:color="auto"/>
              <w:right w:val="single" w:sz="4" w:space="0" w:color="auto"/>
            </w:tcBorders>
            <w:shd w:val="clear" w:color="auto" w:fill="auto"/>
            <w:noWrap/>
            <w:vAlign w:val="center"/>
            <w:hideMark/>
          </w:tcPr>
          <w:p w14:paraId="73F216FD"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222</w:t>
            </w:r>
          </w:p>
        </w:tc>
        <w:tc>
          <w:tcPr>
            <w:tcW w:w="807" w:type="dxa"/>
            <w:tcBorders>
              <w:top w:val="nil"/>
              <w:left w:val="nil"/>
              <w:bottom w:val="single" w:sz="4" w:space="0" w:color="auto"/>
              <w:right w:val="single" w:sz="4" w:space="0" w:color="auto"/>
            </w:tcBorders>
            <w:shd w:val="clear" w:color="auto" w:fill="auto"/>
            <w:noWrap/>
            <w:vAlign w:val="center"/>
            <w:hideMark/>
          </w:tcPr>
          <w:p w14:paraId="2968E305"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261</w:t>
            </w:r>
          </w:p>
        </w:tc>
        <w:tc>
          <w:tcPr>
            <w:tcW w:w="846" w:type="dxa"/>
            <w:tcBorders>
              <w:top w:val="nil"/>
              <w:left w:val="nil"/>
              <w:bottom w:val="single" w:sz="4" w:space="0" w:color="auto"/>
              <w:right w:val="single" w:sz="4" w:space="0" w:color="auto"/>
            </w:tcBorders>
            <w:shd w:val="clear" w:color="auto" w:fill="auto"/>
            <w:noWrap/>
            <w:vAlign w:val="center"/>
            <w:hideMark/>
          </w:tcPr>
          <w:p w14:paraId="37D9FB14"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325</w:t>
            </w:r>
          </w:p>
        </w:tc>
        <w:tc>
          <w:tcPr>
            <w:tcW w:w="807" w:type="dxa"/>
            <w:tcBorders>
              <w:top w:val="nil"/>
              <w:left w:val="nil"/>
              <w:bottom w:val="single" w:sz="4" w:space="0" w:color="auto"/>
              <w:right w:val="single" w:sz="4" w:space="0" w:color="auto"/>
            </w:tcBorders>
            <w:shd w:val="clear" w:color="auto" w:fill="auto"/>
            <w:noWrap/>
            <w:vAlign w:val="center"/>
            <w:hideMark/>
          </w:tcPr>
          <w:p w14:paraId="4081F3F3"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2217</w:t>
            </w:r>
          </w:p>
        </w:tc>
        <w:tc>
          <w:tcPr>
            <w:tcW w:w="146" w:type="dxa"/>
            <w:gridSpan w:val="2"/>
            <w:vAlign w:val="center"/>
            <w:hideMark/>
          </w:tcPr>
          <w:p w14:paraId="54788845" w14:textId="77777777" w:rsidR="00470495" w:rsidRPr="00470495" w:rsidRDefault="00470495" w:rsidP="00234CBE">
            <w:pPr>
              <w:spacing w:line="276" w:lineRule="auto"/>
              <w:rPr>
                <w:rFonts w:ascii="Times New Roman" w:hAnsi="Times New Roman"/>
                <w:sz w:val="20"/>
                <w:szCs w:val="20"/>
                <w:lang w:eastAsia="es-CR"/>
              </w:rPr>
            </w:pPr>
          </w:p>
        </w:tc>
      </w:tr>
      <w:tr w:rsidR="00470495" w:rsidRPr="00470495" w14:paraId="4C82912E" w14:textId="77777777" w:rsidTr="00470495">
        <w:trPr>
          <w:gridAfter w:val="1"/>
          <w:wAfter w:w="19" w:type="dxa"/>
          <w:trHeight w:val="217"/>
          <w:jc w:val="center"/>
        </w:trPr>
        <w:tc>
          <w:tcPr>
            <w:tcW w:w="2236" w:type="dxa"/>
            <w:tcBorders>
              <w:top w:val="nil"/>
              <w:left w:val="single" w:sz="4" w:space="0" w:color="auto"/>
              <w:bottom w:val="single" w:sz="4" w:space="0" w:color="auto"/>
              <w:right w:val="single" w:sz="4" w:space="0" w:color="auto"/>
            </w:tcBorders>
            <w:shd w:val="clear" w:color="auto" w:fill="auto"/>
            <w:noWrap/>
            <w:vAlign w:val="center"/>
            <w:hideMark/>
          </w:tcPr>
          <w:p w14:paraId="2A1D3596" w14:textId="77777777" w:rsidR="00470495" w:rsidRPr="00470495" w:rsidRDefault="00470495" w:rsidP="00234CBE">
            <w:pPr>
              <w:spacing w:line="276" w:lineRule="auto"/>
              <w:jc w:val="right"/>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Sala Tercera</w:t>
            </w:r>
          </w:p>
        </w:tc>
        <w:tc>
          <w:tcPr>
            <w:tcW w:w="806" w:type="dxa"/>
            <w:tcBorders>
              <w:top w:val="nil"/>
              <w:left w:val="nil"/>
              <w:bottom w:val="single" w:sz="4" w:space="0" w:color="auto"/>
              <w:right w:val="single" w:sz="4" w:space="0" w:color="auto"/>
            </w:tcBorders>
            <w:shd w:val="clear" w:color="auto" w:fill="auto"/>
            <w:noWrap/>
            <w:vAlign w:val="center"/>
            <w:hideMark/>
          </w:tcPr>
          <w:p w14:paraId="3D9D7B7B"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122</w:t>
            </w:r>
          </w:p>
        </w:tc>
        <w:tc>
          <w:tcPr>
            <w:tcW w:w="807" w:type="dxa"/>
            <w:tcBorders>
              <w:top w:val="nil"/>
              <w:left w:val="nil"/>
              <w:bottom w:val="single" w:sz="4" w:space="0" w:color="auto"/>
              <w:right w:val="single" w:sz="4" w:space="0" w:color="auto"/>
            </w:tcBorders>
            <w:shd w:val="clear" w:color="auto" w:fill="auto"/>
            <w:noWrap/>
            <w:vAlign w:val="center"/>
            <w:hideMark/>
          </w:tcPr>
          <w:p w14:paraId="5D96FC2B"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119</w:t>
            </w:r>
          </w:p>
        </w:tc>
        <w:tc>
          <w:tcPr>
            <w:tcW w:w="807" w:type="dxa"/>
            <w:tcBorders>
              <w:top w:val="nil"/>
              <w:left w:val="nil"/>
              <w:bottom w:val="single" w:sz="4" w:space="0" w:color="auto"/>
              <w:right w:val="single" w:sz="4" w:space="0" w:color="auto"/>
            </w:tcBorders>
            <w:shd w:val="clear" w:color="auto" w:fill="auto"/>
            <w:noWrap/>
            <w:vAlign w:val="center"/>
            <w:hideMark/>
          </w:tcPr>
          <w:p w14:paraId="0454D956"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115</w:t>
            </w:r>
          </w:p>
        </w:tc>
        <w:tc>
          <w:tcPr>
            <w:tcW w:w="806" w:type="dxa"/>
            <w:tcBorders>
              <w:top w:val="nil"/>
              <w:left w:val="nil"/>
              <w:bottom w:val="single" w:sz="4" w:space="0" w:color="auto"/>
              <w:right w:val="single" w:sz="4" w:space="0" w:color="auto"/>
            </w:tcBorders>
            <w:shd w:val="clear" w:color="auto" w:fill="auto"/>
            <w:noWrap/>
            <w:vAlign w:val="center"/>
            <w:hideMark/>
          </w:tcPr>
          <w:p w14:paraId="4622784E"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96</w:t>
            </w:r>
          </w:p>
        </w:tc>
        <w:tc>
          <w:tcPr>
            <w:tcW w:w="806" w:type="dxa"/>
            <w:tcBorders>
              <w:top w:val="nil"/>
              <w:left w:val="nil"/>
              <w:bottom w:val="single" w:sz="4" w:space="0" w:color="auto"/>
              <w:right w:val="single" w:sz="4" w:space="0" w:color="auto"/>
            </w:tcBorders>
            <w:shd w:val="clear" w:color="auto" w:fill="auto"/>
            <w:noWrap/>
            <w:vAlign w:val="center"/>
            <w:hideMark/>
          </w:tcPr>
          <w:p w14:paraId="336E2DCA"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83</w:t>
            </w:r>
          </w:p>
        </w:tc>
        <w:tc>
          <w:tcPr>
            <w:tcW w:w="806" w:type="dxa"/>
            <w:tcBorders>
              <w:top w:val="nil"/>
              <w:left w:val="nil"/>
              <w:bottom w:val="single" w:sz="4" w:space="0" w:color="auto"/>
              <w:right w:val="single" w:sz="4" w:space="0" w:color="auto"/>
            </w:tcBorders>
            <w:shd w:val="clear" w:color="auto" w:fill="auto"/>
            <w:noWrap/>
            <w:vAlign w:val="center"/>
            <w:hideMark/>
          </w:tcPr>
          <w:p w14:paraId="24DF75FA"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104</w:t>
            </w:r>
          </w:p>
        </w:tc>
        <w:tc>
          <w:tcPr>
            <w:tcW w:w="806" w:type="dxa"/>
            <w:tcBorders>
              <w:top w:val="nil"/>
              <w:left w:val="nil"/>
              <w:bottom w:val="single" w:sz="4" w:space="0" w:color="auto"/>
              <w:right w:val="single" w:sz="4" w:space="0" w:color="auto"/>
            </w:tcBorders>
            <w:shd w:val="clear" w:color="auto" w:fill="auto"/>
            <w:noWrap/>
            <w:vAlign w:val="center"/>
            <w:hideMark/>
          </w:tcPr>
          <w:p w14:paraId="2BBDB843"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92</w:t>
            </w:r>
          </w:p>
        </w:tc>
        <w:tc>
          <w:tcPr>
            <w:tcW w:w="807" w:type="dxa"/>
            <w:tcBorders>
              <w:top w:val="nil"/>
              <w:left w:val="nil"/>
              <w:bottom w:val="single" w:sz="4" w:space="0" w:color="auto"/>
              <w:right w:val="single" w:sz="4" w:space="0" w:color="auto"/>
            </w:tcBorders>
            <w:shd w:val="clear" w:color="auto" w:fill="auto"/>
            <w:noWrap/>
            <w:vAlign w:val="center"/>
            <w:hideMark/>
          </w:tcPr>
          <w:p w14:paraId="28529DE9"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108</w:t>
            </w:r>
          </w:p>
        </w:tc>
        <w:tc>
          <w:tcPr>
            <w:tcW w:w="846" w:type="dxa"/>
            <w:tcBorders>
              <w:top w:val="nil"/>
              <w:left w:val="nil"/>
              <w:bottom w:val="single" w:sz="4" w:space="0" w:color="auto"/>
              <w:right w:val="single" w:sz="4" w:space="0" w:color="auto"/>
            </w:tcBorders>
            <w:shd w:val="clear" w:color="auto" w:fill="auto"/>
            <w:noWrap/>
            <w:vAlign w:val="center"/>
            <w:hideMark/>
          </w:tcPr>
          <w:p w14:paraId="0480B6A2"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79</w:t>
            </w:r>
          </w:p>
        </w:tc>
        <w:tc>
          <w:tcPr>
            <w:tcW w:w="807" w:type="dxa"/>
            <w:tcBorders>
              <w:top w:val="nil"/>
              <w:left w:val="nil"/>
              <w:bottom w:val="single" w:sz="4" w:space="0" w:color="auto"/>
              <w:right w:val="single" w:sz="4" w:space="0" w:color="auto"/>
            </w:tcBorders>
            <w:shd w:val="clear" w:color="auto" w:fill="auto"/>
            <w:noWrap/>
            <w:vAlign w:val="center"/>
            <w:hideMark/>
          </w:tcPr>
          <w:p w14:paraId="58EB2729"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918</w:t>
            </w:r>
          </w:p>
        </w:tc>
        <w:tc>
          <w:tcPr>
            <w:tcW w:w="146" w:type="dxa"/>
            <w:gridSpan w:val="2"/>
            <w:vAlign w:val="center"/>
            <w:hideMark/>
          </w:tcPr>
          <w:p w14:paraId="504A4695" w14:textId="77777777" w:rsidR="00470495" w:rsidRPr="00470495" w:rsidRDefault="00470495" w:rsidP="00234CBE">
            <w:pPr>
              <w:spacing w:line="276" w:lineRule="auto"/>
              <w:rPr>
                <w:rFonts w:ascii="Times New Roman" w:hAnsi="Times New Roman"/>
                <w:sz w:val="20"/>
                <w:szCs w:val="20"/>
                <w:lang w:eastAsia="es-CR"/>
              </w:rPr>
            </w:pPr>
          </w:p>
        </w:tc>
      </w:tr>
      <w:tr w:rsidR="00470495" w:rsidRPr="00470495" w14:paraId="61D8875D" w14:textId="77777777" w:rsidTr="00470495">
        <w:trPr>
          <w:gridAfter w:val="1"/>
          <w:wAfter w:w="19" w:type="dxa"/>
          <w:trHeight w:val="217"/>
          <w:jc w:val="center"/>
        </w:trPr>
        <w:tc>
          <w:tcPr>
            <w:tcW w:w="2236" w:type="dxa"/>
            <w:tcBorders>
              <w:top w:val="nil"/>
              <w:left w:val="single" w:sz="4" w:space="0" w:color="auto"/>
              <w:bottom w:val="single" w:sz="4" w:space="0" w:color="auto"/>
              <w:right w:val="single" w:sz="4" w:space="0" w:color="auto"/>
            </w:tcBorders>
            <w:shd w:val="clear" w:color="auto" w:fill="auto"/>
            <w:noWrap/>
            <w:vAlign w:val="center"/>
            <w:hideMark/>
          </w:tcPr>
          <w:p w14:paraId="48085D63" w14:textId="77777777" w:rsidR="00470495" w:rsidRPr="00470495" w:rsidRDefault="00470495" w:rsidP="00234CBE">
            <w:pPr>
              <w:spacing w:line="276" w:lineRule="auto"/>
              <w:jc w:val="right"/>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Sala Tercera-Penal Juvenil</w:t>
            </w:r>
          </w:p>
        </w:tc>
        <w:tc>
          <w:tcPr>
            <w:tcW w:w="806" w:type="dxa"/>
            <w:tcBorders>
              <w:top w:val="nil"/>
              <w:left w:val="nil"/>
              <w:bottom w:val="single" w:sz="4" w:space="0" w:color="auto"/>
              <w:right w:val="single" w:sz="4" w:space="0" w:color="auto"/>
            </w:tcBorders>
            <w:shd w:val="clear" w:color="auto" w:fill="auto"/>
            <w:noWrap/>
            <w:vAlign w:val="center"/>
            <w:hideMark/>
          </w:tcPr>
          <w:p w14:paraId="03F38A57"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7</w:t>
            </w:r>
          </w:p>
        </w:tc>
        <w:tc>
          <w:tcPr>
            <w:tcW w:w="807" w:type="dxa"/>
            <w:tcBorders>
              <w:top w:val="nil"/>
              <w:left w:val="nil"/>
              <w:bottom w:val="single" w:sz="4" w:space="0" w:color="auto"/>
              <w:right w:val="single" w:sz="4" w:space="0" w:color="auto"/>
            </w:tcBorders>
            <w:shd w:val="clear" w:color="auto" w:fill="auto"/>
            <w:noWrap/>
            <w:vAlign w:val="center"/>
            <w:hideMark/>
          </w:tcPr>
          <w:p w14:paraId="310EEA3F"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7</w:t>
            </w:r>
          </w:p>
        </w:tc>
        <w:tc>
          <w:tcPr>
            <w:tcW w:w="807" w:type="dxa"/>
            <w:tcBorders>
              <w:top w:val="nil"/>
              <w:left w:val="nil"/>
              <w:bottom w:val="single" w:sz="4" w:space="0" w:color="auto"/>
              <w:right w:val="single" w:sz="4" w:space="0" w:color="auto"/>
            </w:tcBorders>
            <w:shd w:val="clear" w:color="auto" w:fill="auto"/>
            <w:noWrap/>
            <w:vAlign w:val="center"/>
            <w:hideMark/>
          </w:tcPr>
          <w:p w14:paraId="243D4709"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2</w:t>
            </w:r>
          </w:p>
        </w:tc>
        <w:tc>
          <w:tcPr>
            <w:tcW w:w="806" w:type="dxa"/>
            <w:tcBorders>
              <w:top w:val="nil"/>
              <w:left w:val="nil"/>
              <w:bottom w:val="single" w:sz="4" w:space="0" w:color="auto"/>
              <w:right w:val="single" w:sz="4" w:space="0" w:color="auto"/>
            </w:tcBorders>
            <w:shd w:val="clear" w:color="auto" w:fill="auto"/>
            <w:noWrap/>
            <w:vAlign w:val="center"/>
            <w:hideMark/>
          </w:tcPr>
          <w:p w14:paraId="5DDAD712"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5</w:t>
            </w:r>
          </w:p>
        </w:tc>
        <w:tc>
          <w:tcPr>
            <w:tcW w:w="806" w:type="dxa"/>
            <w:tcBorders>
              <w:top w:val="nil"/>
              <w:left w:val="nil"/>
              <w:bottom w:val="single" w:sz="4" w:space="0" w:color="auto"/>
              <w:right w:val="single" w:sz="4" w:space="0" w:color="auto"/>
            </w:tcBorders>
            <w:shd w:val="clear" w:color="auto" w:fill="auto"/>
            <w:noWrap/>
            <w:vAlign w:val="center"/>
            <w:hideMark/>
          </w:tcPr>
          <w:p w14:paraId="2F79AD39"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2</w:t>
            </w:r>
          </w:p>
        </w:tc>
        <w:tc>
          <w:tcPr>
            <w:tcW w:w="806" w:type="dxa"/>
            <w:tcBorders>
              <w:top w:val="nil"/>
              <w:left w:val="nil"/>
              <w:bottom w:val="single" w:sz="4" w:space="0" w:color="auto"/>
              <w:right w:val="single" w:sz="4" w:space="0" w:color="auto"/>
            </w:tcBorders>
            <w:shd w:val="clear" w:color="auto" w:fill="auto"/>
            <w:noWrap/>
            <w:vAlign w:val="center"/>
            <w:hideMark/>
          </w:tcPr>
          <w:p w14:paraId="69F73BD2"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3</w:t>
            </w:r>
          </w:p>
        </w:tc>
        <w:tc>
          <w:tcPr>
            <w:tcW w:w="806" w:type="dxa"/>
            <w:tcBorders>
              <w:top w:val="nil"/>
              <w:left w:val="nil"/>
              <w:bottom w:val="single" w:sz="4" w:space="0" w:color="auto"/>
              <w:right w:val="single" w:sz="4" w:space="0" w:color="auto"/>
            </w:tcBorders>
            <w:shd w:val="clear" w:color="auto" w:fill="auto"/>
            <w:noWrap/>
            <w:vAlign w:val="center"/>
            <w:hideMark/>
          </w:tcPr>
          <w:p w14:paraId="4CBED881"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3</w:t>
            </w:r>
          </w:p>
        </w:tc>
        <w:tc>
          <w:tcPr>
            <w:tcW w:w="807" w:type="dxa"/>
            <w:tcBorders>
              <w:top w:val="nil"/>
              <w:left w:val="nil"/>
              <w:bottom w:val="single" w:sz="4" w:space="0" w:color="auto"/>
              <w:right w:val="single" w:sz="4" w:space="0" w:color="auto"/>
            </w:tcBorders>
            <w:shd w:val="clear" w:color="auto" w:fill="auto"/>
            <w:noWrap/>
            <w:vAlign w:val="center"/>
            <w:hideMark/>
          </w:tcPr>
          <w:p w14:paraId="5084B84F"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0</w:t>
            </w:r>
          </w:p>
        </w:tc>
        <w:tc>
          <w:tcPr>
            <w:tcW w:w="846" w:type="dxa"/>
            <w:tcBorders>
              <w:top w:val="nil"/>
              <w:left w:val="nil"/>
              <w:bottom w:val="single" w:sz="4" w:space="0" w:color="auto"/>
              <w:right w:val="single" w:sz="4" w:space="0" w:color="auto"/>
            </w:tcBorders>
            <w:shd w:val="clear" w:color="auto" w:fill="auto"/>
            <w:noWrap/>
            <w:vAlign w:val="center"/>
            <w:hideMark/>
          </w:tcPr>
          <w:p w14:paraId="0E9F9AAD"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4</w:t>
            </w:r>
          </w:p>
        </w:tc>
        <w:tc>
          <w:tcPr>
            <w:tcW w:w="807" w:type="dxa"/>
            <w:tcBorders>
              <w:top w:val="nil"/>
              <w:left w:val="nil"/>
              <w:bottom w:val="single" w:sz="4" w:space="0" w:color="auto"/>
              <w:right w:val="single" w:sz="4" w:space="0" w:color="auto"/>
            </w:tcBorders>
            <w:shd w:val="clear" w:color="auto" w:fill="auto"/>
            <w:noWrap/>
            <w:vAlign w:val="center"/>
            <w:hideMark/>
          </w:tcPr>
          <w:p w14:paraId="1BFD8883"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33</w:t>
            </w:r>
          </w:p>
        </w:tc>
        <w:tc>
          <w:tcPr>
            <w:tcW w:w="146" w:type="dxa"/>
            <w:gridSpan w:val="2"/>
            <w:vAlign w:val="center"/>
            <w:hideMark/>
          </w:tcPr>
          <w:p w14:paraId="686ABCC4" w14:textId="77777777" w:rsidR="00470495" w:rsidRPr="00470495" w:rsidRDefault="00470495" w:rsidP="00234CBE">
            <w:pPr>
              <w:spacing w:line="276" w:lineRule="auto"/>
              <w:rPr>
                <w:rFonts w:ascii="Times New Roman" w:hAnsi="Times New Roman"/>
                <w:sz w:val="20"/>
                <w:szCs w:val="20"/>
                <w:lang w:eastAsia="es-CR"/>
              </w:rPr>
            </w:pPr>
          </w:p>
        </w:tc>
      </w:tr>
      <w:tr w:rsidR="00470495" w:rsidRPr="00470495" w14:paraId="4BDCC4AE" w14:textId="77777777" w:rsidTr="00470495">
        <w:trPr>
          <w:gridAfter w:val="1"/>
          <w:wAfter w:w="19" w:type="dxa"/>
          <w:trHeight w:val="217"/>
          <w:jc w:val="center"/>
        </w:trPr>
        <w:tc>
          <w:tcPr>
            <w:tcW w:w="2236" w:type="dxa"/>
            <w:tcBorders>
              <w:top w:val="nil"/>
              <w:left w:val="single" w:sz="4" w:space="0" w:color="auto"/>
              <w:bottom w:val="single" w:sz="4" w:space="0" w:color="auto"/>
              <w:right w:val="single" w:sz="4" w:space="0" w:color="auto"/>
            </w:tcBorders>
            <w:shd w:val="clear" w:color="auto" w:fill="auto"/>
            <w:noWrap/>
            <w:vAlign w:val="center"/>
            <w:hideMark/>
          </w:tcPr>
          <w:p w14:paraId="4ACDE4A9" w14:textId="77777777" w:rsidR="00470495" w:rsidRPr="00470495" w:rsidRDefault="00470495" w:rsidP="00234CBE">
            <w:pPr>
              <w:spacing w:line="276" w:lineRule="auto"/>
              <w:jc w:val="right"/>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Sala Constitucional</w:t>
            </w:r>
          </w:p>
        </w:tc>
        <w:tc>
          <w:tcPr>
            <w:tcW w:w="806" w:type="dxa"/>
            <w:tcBorders>
              <w:top w:val="nil"/>
              <w:left w:val="nil"/>
              <w:bottom w:val="single" w:sz="4" w:space="0" w:color="auto"/>
              <w:right w:val="single" w:sz="4" w:space="0" w:color="auto"/>
            </w:tcBorders>
            <w:shd w:val="clear" w:color="auto" w:fill="auto"/>
            <w:noWrap/>
            <w:vAlign w:val="center"/>
            <w:hideMark/>
          </w:tcPr>
          <w:p w14:paraId="57C9F41F"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1916</w:t>
            </w:r>
          </w:p>
        </w:tc>
        <w:tc>
          <w:tcPr>
            <w:tcW w:w="807" w:type="dxa"/>
            <w:tcBorders>
              <w:top w:val="nil"/>
              <w:left w:val="nil"/>
              <w:bottom w:val="single" w:sz="4" w:space="0" w:color="auto"/>
              <w:right w:val="single" w:sz="4" w:space="0" w:color="auto"/>
            </w:tcBorders>
            <w:shd w:val="clear" w:color="auto" w:fill="auto"/>
            <w:noWrap/>
            <w:vAlign w:val="center"/>
            <w:hideMark/>
          </w:tcPr>
          <w:p w14:paraId="79A72319"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2171</w:t>
            </w:r>
          </w:p>
        </w:tc>
        <w:tc>
          <w:tcPr>
            <w:tcW w:w="807" w:type="dxa"/>
            <w:tcBorders>
              <w:top w:val="nil"/>
              <w:left w:val="nil"/>
              <w:bottom w:val="single" w:sz="4" w:space="0" w:color="auto"/>
              <w:right w:val="single" w:sz="4" w:space="0" w:color="auto"/>
            </w:tcBorders>
            <w:shd w:val="clear" w:color="auto" w:fill="auto"/>
            <w:noWrap/>
            <w:vAlign w:val="center"/>
            <w:hideMark/>
          </w:tcPr>
          <w:p w14:paraId="1BFA6E1F"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2259</w:t>
            </w:r>
          </w:p>
        </w:tc>
        <w:tc>
          <w:tcPr>
            <w:tcW w:w="806" w:type="dxa"/>
            <w:tcBorders>
              <w:top w:val="nil"/>
              <w:left w:val="nil"/>
              <w:bottom w:val="single" w:sz="4" w:space="0" w:color="auto"/>
              <w:right w:val="single" w:sz="4" w:space="0" w:color="auto"/>
            </w:tcBorders>
            <w:shd w:val="clear" w:color="auto" w:fill="auto"/>
            <w:noWrap/>
            <w:vAlign w:val="center"/>
            <w:hideMark/>
          </w:tcPr>
          <w:p w14:paraId="715F4E6F"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2045</w:t>
            </w:r>
          </w:p>
        </w:tc>
        <w:tc>
          <w:tcPr>
            <w:tcW w:w="806" w:type="dxa"/>
            <w:tcBorders>
              <w:top w:val="nil"/>
              <w:left w:val="nil"/>
              <w:bottom w:val="single" w:sz="4" w:space="0" w:color="auto"/>
              <w:right w:val="single" w:sz="4" w:space="0" w:color="auto"/>
            </w:tcBorders>
            <w:shd w:val="clear" w:color="auto" w:fill="auto"/>
            <w:noWrap/>
            <w:vAlign w:val="center"/>
            <w:hideMark/>
          </w:tcPr>
          <w:p w14:paraId="7050FAD9"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1923</w:t>
            </w:r>
          </w:p>
        </w:tc>
        <w:tc>
          <w:tcPr>
            <w:tcW w:w="806" w:type="dxa"/>
            <w:tcBorders>
              <w:top w:val="nil"/>
              <w:left w:val="nil"/>
              <w:bottom w:val="single" w:sz="4" w:space="0" w:color="auto"/>
              <w:right w:val="single" w:sz="4" w:space="0" w:color="auto"/>
            </w:tcBorders>
            <w:shd w:val="clear" w:color="auto" w:fill="auto"/>
            <w:noWrap/>
            <w:vAlign w:val="center"/>
            <w:hideMark/>
          </w:tcPr>
          <w:p w14:paraId="6DB440DA"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2203</w:t>
            </w:r>
          </w:p>
        </w:tc>
        <w:tc>
          <w:tcPr>
            <w:tcW w:w="806" w:type="dxa"/>
            <w:tcBorders>
              <w:top w:val="nil"/>
              <w:left w:val="nil"/>
              <w:bottom w:val="single" w:sz="4" w:space="0" w:color="auto"/>
              <w:right w:val="single" w:sz="4" w:space="0" w:color="auto"/>
            </w:tcBorders>
            <w:shd w:val="clear" w:color="auto" w:fill="auto"/>
            <w:noWrap/>
            <w:vAlign w:val="center"/>
            <w:hideMark/>
          </w:tcPr>
          <w:p w14:paraId="3728EC4C"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2055</w:t>
            </w:r>
          </w:p>
        </w:tc>
        <w:tc>
          <w:tcPr>
            <w:tcW w:w="807" w:type="dxa"/>
            <w:tcBorders>
              <w:top w:val="nil"/>
              <w:left w:val="nil"/>
              <w:bottom w:val="single" w:sz="4" w:space="0" w:color="auto"/>
              <w:right w:val="single" w:sz="4" w:space="0" w:color="auto"/>
            </w:tcBorders>
            <w:shd w:val="clear" w:color="auto" w:fill="auto"/>
            <w:noWrap/>
            <w:vAlign w:val="center"/>
            <w:hideMark/>
          </w:tcPr>
          <w:p w14:paraId="37FDF840"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2432</w:t>
            </w:r>
          </w:p>
        </w:tc>
        <w:tc>
          <w:tcPr>
            <w:tcW w:w="846" w:type="dxa"/>
            <w:tcBorders>
              <w:top w:val="nil"/>
              <w:left w:val="nil"/>
              <w:bottom w:val="single" w:sz="4" w:space="0" w:color="auto"/>
              <w:right w:val="single" w:sz="4" w:space="0" w:color="auto"/>
            </w:tcBorders>
            <w:shd w:val="clear" w:color="auto" w:fill="auto"/>
            <w:noWrap/>
            <w:vAlign w:val="center"/>
            <w:hideMark/>
          </w:tcPr>
          <w:p w14:paraId="25298485"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2264</w:t>
            </w:r>
          </w:p>
        </w:tc>
        <w:tc>
          <w:tcPr>
            <w:tcW w:w="807" w:type="dxa"/>
            <w:tcBorders>
              <w:top w:val="nil"/>
              <w:left w:val="nil"/>
              <w:bottom w:val="single" w:sz="4" w:space="0" w:color="auto"/>
              <w:right w:val="single" w:sz="4" w:space="0" w:color="auto"/>
            </w:tcBorders>
            <w:shd w:val="clear" w:color="auto" w:fill="auto"/>
            <w:noWrap/>
            <w:vAlign w:val="center"/>
            <w:hideMark/>
          </w:tcPr>
          <w:p w14:paraId="44CDB0EB"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19268</w:t>
            </w:r>
          </w:p>
        </w:tc>
        <w:tc>
          <w:tcPr>
            <w:tcW w:w="146" w:type="dxa"/>
            <w:gridSpan w:val="2"/>
            <w:vAlign w:val="center"/>
            <w:hideMark/>
          </w:tcPr>
          <w:p w14:paraId="2208EF9B" w14:textId="77777777" w:rsidR="00470495" w:rsidRPr="00470495" w:rsidRDefault="00470495" w:rsidP="00234CBE">
            <w:pPr>
              <w:spacing w:line="276" w:lineRule="auto"/>
              <w:rPr>
                <w:rFonts w:ascii="Times New Roman" w:hAnsi="Times New Roman"/>
                <w:sz w:val="20"/>
                <w:szCs w:val="20"/>
                <w:lang w:eastAsia="es-CR"/>
              </w:rPr>
            </w:pPr>
          </w:p>
        </w:tc>
      </w:tr>
      <w:tr w:rsidR="00470495" w:rsidRPr="00470495" w14:paraId="7B16C153" w14:textId="77777777" w:rsidTr="00470495">
        <w:trPr>
          <w:gridAfter w:val="1"/>
          <w:wAfter w:w="19" w:type="dxa"/>
          <w:trHeight w:val="217"/>
          <w:jc w:val="center"/>
        </w:trPr>
        <w:tc>
          <w:tcPr>
            <w:tcW w:w="2236" w:type="dxa"/>
            <w:tcBorders>
              <w:top w:val="nil"/>
              <w:left w:val="single" w:sz="4" w:space="0" w:color="auto"/>
              <w:bottom w:val="single" w:sz="4" w:space="0" w:color="auto"/>
              <w:right w:val="single" w:sz="4" w:space="0" w:color="auto"/>
            </w:tcBorders>
            <w:shd w:val="clear" w:color="auto" w:fill="auto"/>
            <w:noWrap/>
            <w:vAlign w:val="center"/>
            <w:hideMark/>
          </w:tcPr>
          <w:p w14:paraId="6F7229F7" w14:textId="77777777" w:rsidR="00470495" w:rsidRPr="00470495" w:rsidRDefault="00470495" w:rsidP="00234CBE">
            <w:pPr>
              <w:spacing w:line="276" w:lineRule="auto"/>
              <w:jc w:val="right"/>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Tribunal Apelación Sentencia Penal</w:t>
            </w:r>
          </w:p>
        </w:tc>
        <w:tc>
          <w:tcPr>
            <w:tcW w:w="806" w:type="dxa"/>
            <w:tcBorders>
              <w:top w:val="nil"/>
              <w:left w:val="nil"/>
              <w:bottom w:val="single" w:sz="4" w:space="0" w:color="auto"/>
              <w:right w:val="single" w:sz="4" w:space="0" w:color="auto"/>
            </w:tcBorders>
            <w:shd w:val="clear" w:color="auto" w:fill="auto"/>
            <w:noWrap/>
            <w:vAlign w:val="center"/>
            <w:hideMark/>
          </w:tcPr>
          <w:p w14:paraId="09C0D202"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353</w:t>
            </w:r>
          </w:p>
        </w:tc>
        <w:tc>
          <w:tcPr>
            <w:tcW w:w="807" w:type="dxa"/>
            <w:tcBorders>
              <w:top w:val="nil"/>
              <w:left w:val="nil"/>
              <w:bottom w:val="single" w:sz="4" w:space="0" w:color="auto"/>
              <w:right w:val="single" w:sz="4" w:space="0" w:color="auto"/>
            </w:tcBorders>
            <w:shd w:val="clear" w:color="auto" w:fill="auto"/>
            <w:noWrap/>
            <w:vAlign w:val="center"/>
            <w:hideMark/>
          </w:tcPr>
          <w:p w14:paraId="45455225"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358</w:t>
            </w:r>
          </w:p>
        </w:tc>
        <w:tc>
          <w:tcPr>
            <w:tcW w:w="807" w:type="dxa"/>
            <w:tcBorders>
              <w:top w:val="nil"/>
              <w:left w:val="nil"/>
              <w:bottom w:val="single" w:sz="4" w:space="0" w:color="auto"/>
              <w:right w:val="single" w:sz="4" w:space="0" w:color="auto"/>
            </w:tcBorders>
            <w:shd w:val="clear" w:color="auto" w:fill="auto"/>
            <w:noWrap/>
            <w:vAlign w:val="center"/>
            <w:hideMark/>
          </w:tcPr>
          <w:p w14:paraId="0F6D30DB"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348</w:t>
            </w:r>
          </w:p>
        </w:tc>
        <w:tc>
          <w:tcPr>
            <w:tcW w:w="806" w:type="dxa"/>
            <w:tcBorders>
              <w:top w:val="nil"/>
              <w:left w:val="nil"/>
              <w:bottom w:val="single" w:sz="4" w:space="0" w:color="auto"/>
              <w:right w:val="single" w:sz="4" w:space="0" w:color="auto"/>
            </w:tcBorders>
            <w:shd w:val="clear" w:color="auto" w:fill="auto"/>
            <w:noWrap/>
            <w:vAlign w:val="center"/>
            <w:hideMark/>
          </w:tcPr>
          <w:p w14:paraId="6AF80C1C"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327</w:t>
            </w:r>
          </w:p>
        </w:tc>
        <w:tc>
          <w:tcPr>
            <w:tcW w:w="806" w:type="dxa"/>
            <w:tcBorders>
              <w:top w:val="nil"/>
              <w:left w:val="nil"/>
              <w:bottom w:val="single" w:sz="4" w:space="0" w:color="auto"/>
              <w:right w:val="single" w:sz="4" w:space="0" w:color="auto"/>
            </w:tcBorders>
            <w:shd w:val="clear" w:color="auto" w:fill="auto"/>
            <w:noWrap/>
            <w:vAlign w:val="center"/>
            <w:hideMark/>
          </w:tcPr>
          <w:p w14:paraId="48F5841C"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347</w:t>
            </w:r>
          </w:p>
        </w:tc>
        <w:tc>
          <w:tcPr>
            <w:tcW w:w="806" w:type="dxa"/>
            <w:tcBorders>
              <w:top w:val="nil"/>
              <w:left w:val="nil"/>
              <w:bottom w:val="single" w:sz="4" w:space="0" w:color="auto"/>
              <w:right w:val="single" w:sz="4" w:space="0" w:color="auto"/>
            </w:tcBorders>
            <w:shd w:val="clear" w:color="auto" w:fill="auto"/>
            <w:noWrap/>
            <w:vAlign w:val="center"/>
            <w:hideMark/>
          </w:tcPr>
          <w:p w14:paraId="0DD9FC6B"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371</w:t>
            </w:r>
          </w:p>
        </w:tc>
        <w:tc>
          <w:tcPr>
            <w:tcW w:w="806" w:type="dxa"/>
            <w:tcBorders>
              <w:top w:val="nil"/>
              <w:left w:val="nil"/>
              <w:bottom w:val="single" w:sz="4" w:space="0" w:color="auto"/>
              <w:right w:val="single" w:sz="4" w:space="0" w:color="auto"/>
            </w:tcBorders>
            <w:shd w:val="clear" w:color="auto" w:fill="auto"/>
            <w:noWrap/>
            <w:vAlign w:val="center"/>
            <w:hideMark/>
          </w:tcPr>
          <w:p w14:paraId="7EB54AF7"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308</w:t>
            </w:r>
          </w:p>
        </w:tc>
        <w:tc>
          <w:tcPr>
            <w:tcW w:w="807" w:type="dxa"/>
            <w:tcBorders>
              <w:top w:val="nil"/>
              <w:left w:val="nil"/>
              <w:bottom w:val="single" w:sz="4" w:space="0" w:color="auto"/>
              <w:right w:val="single" w:sz="4" w:space="0" w:color="auto"/>
            </w:tcBorders>
            <w:shd w:val="clear" w:color="auto" w:fill="auto"/>
            <w:noWrap/>
            <w:vAlign w:val="center"/>
            <w:hideMark/>
          </w:tcPr>
          <w:p w14:paraId="0C09EB7B"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407</w:t>
            </w:r>
          </w:p>
        </w:tc>
        <w:tc>
          <w:tcPr>
            <w:tcW w:w="846" w:type="dxa"/>
            <w:tcBorders>
              <w:top w:val="nil"/>
              <w:left w:val="nil"/>
              <w:bottom w:val="single" w:sz="4" w:space="0" w:color="auto"/>
              <w:right w:val="single" w:sz="4" w:space="0" w:color="auto"/>
            </w:tcBorders>
            <w:shd w:val="clear" w:color="auto" w:fill="auto"/>
            <w:noWrap/>
            <w:vAlign w:val="center"/>
            <w:hideMark/>
          </w:tcPr>
          <w:p w14:paraId="739B8A00"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358</w:t>
            </w:r>
          </w:p>
        </w:tc>
        <w:tc>
          <w:tcPr>
            <w:tcW w:w="807" w:type="dxa"/>
            <w:tcBorders>
              <w:top w:val="nil"/>
              <w:left w:val="nil"/>
              <w:bottom w:val="single" w:sz="4" w:space="0" w:color="auto"/>
              <w:right w:val="single" w:sz="4" w:space="0" w:color="auto"/>
            </w:tcBorders>
            <w:shd w:val="clear" w:color="auto" w:fill="auto"/>
            <w:noWrap/>
            <w:vAlign w:val="center"/>
            <w:hideMark/>
          </w:tcPr>
          <w:p w14:paraId="310A044F"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3177</w:t>
            </w:r>
          </w:p>
        </w:tc>
        <w:tc>
          <w:tcPr>
            <w:tcW w:w="146" w:type="dxa"/>
            <w:gridSpan w:val="2"/>
            <w:vAlign w:val="center"/>
            <w:hideMark/>
          </w:tcPr>
          <w:p w14:paraId="68540A29" w14:textId="77777777" w:rsidR="00470495" w:rsidRPr="00470495" w:rsidRDefault="00470495" w:rsidP="00234CBE">
            <w:pPr>
              <w:spacing w:line="276" w:lineRule="auto"/>
              <w:rPr>
                <w:rFonts w:ascii="Times New Roman" w:hAnsi="Times New Roman"/>
                <w:sz w:val="20"/>
                <w:szCs w:val="20"/>
                <w:lang w:eastAsia="es-CR"/>
              </w:rPr>
            </w:pPr>
          </w:p>
        </w:tc>
      </w:tr>
      <w:tr w:rsidR="00470495" w:rsidRPr="00470495" w14:paraId="50EA1025" w14:textId="77777777" w:rsidTr="00470495">
        <w:trPr>
          <w:gridAfter w:val="1"/>
          <w:wAfter w:w="19" w:type="dxa"/>
          <w:trHeight w:val="217"/>
          <w:jc w:val="center"/>
        </w:trPr>
        <w:tc>
          <w:tcPr>
            <w:tcW w:w="2236" w:type="dxa"/>
            <w:tcBorders>
              <w:top w:val="nil"/>
              <w:left w:val="single" w:sz="4" w:space="0" w:color="auto"/>
              <w:bottom w:val="single" w:sz="4" w:space="0" w:color="auto"/>
              <w:right w:val="single" w:sz="4" w:space="0" w:color="auto"/>
            </w:tcBorders>
            <w:shd w:val="clear" w:color="auto" w:fill="auto"/>
            <w:noWrap/>
            <w:vAlign w:val="center"/>
            <w:hideMark/>
          </w:tcPr>
          <w:p w14:paraId="330385B7" w14:textId="77777777" w:rsidR="00470495" w:rsidRPr="00470495" w:rsidRDefault="00470495" w:rsidP="00234CBE">
            <w:pPr>
              <w:spacing w:line="276" w:lineRule="auto"/>
              <w:jc w:val="right"/>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Tribunal Apelación Penal Juvenil</w:t>
            </w:r>
          </w:p>
        </w:tc>
        <w:tc>
          <w:tcPr>
            <w:tcW w:w="806" w:type="dxa"/>
            <w:tcBorders>
              <w:top w:val="nil"/>
              <w:left w:val="nil"/>
              <w:bottom w:val="single" w:sz="4" w:space="0" w:color="auto"/>
              <w:right w:val="single" w:sz="4" w:space="0" w:color="auto"/>
            </w:tcBorders>
            <w:shd w:val="clear" w:color="auto" w:fill="auto"/>
            <w:noWrap/>
            <w:vAlign w:val="center"/>
            <w:hideMark/>
          </w:tcPr>
          <w:p w14:paraId="292D7B00"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22</w:t>
            </w:r>
          </w:p>
        </w:tc>
        <w:tc>
          <w:tcPr>
            <w:tcW w:w="807" w:type="dxa"/>
            <w:tcBorders>
              <w:top w:val="nil"/>
              <w:left w:val="nil"/>
              <w:bottom w:val="single" w:sz="4" w:space="0" w:color="auto"/>
              <w:right w:val="single" w:sz="4" w:space="0" w:color="auto"/>
            </w:tcBorders>
            <w:shd w:val="clear" w:color="auto" w:fill="auto"/>
            <w:noWrap/>
            <w:vAlign w:val="center"/>
            <w:hideMark/>
          </w:tcPr>
          <w:p w14:paraId="50D46758"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22</w:t>
            </w:r>
          </w:p>
        </w:tc>
        <w:tc>
          <w:tcPr>
            <w:tcW w:w="807" w:type="dxa"/>
            <w:tcBorders>
              <w:top w:val="nil"/>
              <w:left w:val="nil"/>
              <w:bottom w:val="single" w:sz="4" w:space="0" w:color="auto"/>
              <w:right w:val="single" w:sz="4" w:space="0" w:color="auto"/>
            </w:tcBorders>
            <w:shd w:val="clear" w:color="auto" w:fill="auto"/>
            <w:noWrap/>
            <w:vAlign w:val="center"/>
            <w:hideMark/>
          </w:tcPr>
          <w:p w14:paraId="7F8D8B95"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32</w:t>
            </w:r>
          </w:p>
        </w:tc>
        <w:tc>
          <w:tcPr>
            <w:tcW w:w="806" w:type="dxa"/>
            <w:tcBorders>
              <w:top w:val="nil"/>
              <w:left w:val="nil"/>
              <w:bottom w:val="single" w:sz="4" w:space="0" w:color="auto"/>
              <w:right w:val="single" w:sz="4" w:space="0" w:color="auto"/>
            </w:tcBorders>
            <w:shd w:val="clear" w:color="auto" w:fill="auto"/>
            <w:noWrap/>
            <w:vAlign w:val="center"/>
            <w:hideMark/>
          </w:tcPr>
          <w:p w14:paraId="7430D38E"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21</w:t>
            </w:r>
          </w:p>
        </w:tc>
        <w:tc>
          <w:tcPr>
            <w:tcW w:w="806" w:type="dxa"/>
            <w:tcBorders>
              <w:top w:val="nil"/>
              <w:left w:val="nil"/>
              <w:bottom w:val="single" w:sz="4" w:space="0" w:color="auto"/>
              <w:right w:val="single" w:sz="4" w:space="0" w:color="auto"/>
            </w:tcBorders>
            <w:shd w:val="clear" w:color="auto" w:fill="auto"/>
            <w:noWrap/>
            <w:vAlign w:val="center"/>
            <w:hideMark/>
          </w:tcPr>
          <w:p w14:paraId="1030D551"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36</w:t>
            </w:r>
          </w:p>
        </w:tc>
        <w:tc>
          <w:tcPr>
            <w:tcW w:w="806" w:type="dxa"/>
            <w:tcBorders>
              <w:top w:val="nil"/>
              <w:left w:val="nil"/>
              <w:bottom w:val="single" w:sz="4" w:space="0" w:color="auto"/>
              <w:right w:val="single" w:sz="4" w:space="0" w:color="auto"/>
            </w:tcBorders>
            <w:shd w:val="clear" w:color="auto" w:fill="auto"/>
            <w:noWrap/>
            <w:vAlign w:val="center"/>
            <w:hideMark/>
          </w:tcPr>
          <w:p w14:paraId="3C74391A"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22</w:t>
            </w:r>
          </w:p>
        </w:tc>
        <w:tc>
          <w:tcPr>
            <w:tcW w:w="806" w:type="dxa"/>
            <w:tcBorders>
              <w:top w:val="nil"/>
              <w:left w:val="nil"/>
              <w:bottom w:val="single" w:sz="4" w:space="0" w:color="auto"/>
              <w:right w:val="single" w:sz="4" w:space="0" w:color="auto"/>
            </w:tcBorders>
            <w:shd w:val="clear" w:color="auto" w:fill="auto"/>
            <w:noWrap/>
            <w:vAlign w:val="center"/>
            <w:hideMark/>
          </w:tcPr>
          <w:p w14:paraId="51BF6885"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19</w:t>
            </w:r>
          </w:p>
        </w:tc>
        <w:tc>
          <w:tcPr>
            <w:tcW w:w="807" w:type="dxa"/>
            <w:tcBorders>
              <w:top w:val="nil"/>
              <w:left w:val="nil"/>
              <w:bottom w:val="single" w:sz="4" w:space="0" w:color="auto"/>
              <w:right w:val="single" w:sz="4" w:space="0" w:color="auto"/>
            </w:tcBorders>
            <w:shd w:val="clear" w:color="auto" w:fill="auto"/>
            <w:noWrap/>
            <w:vAlign w:val="center"/>
            <w:hideMark/>
          </w:tcPr>
          <w:p w14:paraId="37199A7F"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22</w:t>
            </w:r>
          </w:p>
        </w:tc>
        <w:tc>
          <w:tcPr>
            <w:tcW w:w="846" w:type="dxa"/>
            <w:tcBorders>
              <w:top w:val="nil"/>
              <w:left w:val="nil"/>
              <w:bottom w:val="single" w:sz="4" w:space="0" w:color="auto"/>
              <w:right w:val="single" w:sz="4" w:space="0" w:color="auto"/>
            </w:tcBorders>
            <w:shd w:val="clear" w:color="auto" w:fill="auto"/>
            <w:noWrap/>
            <w:vAlign w:val="center"/>
            <w:hideMark/>
          </w:tcPr>
          <w:p w14:paraId="6C48CE5B"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30</w:t>
            </w:r>
          </w:p>
        </w:tc>
        <w:tc>
          <w:tcPr>
            <w:tcW w:w="807" w:type="dxa"/>
            <w:tcBorders>
              <w:top w:val="nil"/>
              <w:left w:val="nil"/>
              <w:bottom w:val="single" w:sz="4" w:space="0" w:color="auto"/>
              <w:right w:val="single" w:sz="4" w:space="0" w:color="auto"/>
            </w:tcBorders>
            <w:shd w:val="clear" w:color="auto" w:fill="auto"/>
            <w:noWrap/>
            <w:vAlign w:val="center"/>
            <w:hideMark/>
          </w:tcPr>
          <w:p w14:paraId="40215931"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226</w:t>
            </w:r>
          </w:p>
        </w:tc>
        <w:tc>
          <w:tcPr>
            <w:tcW w:w="146" w:type="dxa"/>
            <w:gridSpan w:val="2"/>
            <w:vAlign w:val="center"/>
            <w:hideMark/>
          </w:tcPr>
          <w:p w14:paraId="5A678870" w14:textId="77777777" w:rsidR="00470495" w:rsidRPr="00470495" w:rsidRDefault="00470495" w:rsidP="00234CBE">
            <w:pPr>
              <w:spacing w:line="276" w:lineRule="auto"/>
              <w:rPr>
                <w:rFonts w:ascii="Times New Roman" w:hAnsi="Times New Roman"/>
                <w:sz w:val="20"/>
                <w:szCs w:val="20"/>
                <w:lang w:eastAsia="es-CR"/>
              </w:rPr>
            </w:pPr>
          </w:p>
        </w:tc>
      </w:tr>
      <w:tr w:rsidR="00470495" w:rsidRPr="00470495" w14:paraId="32BE21B6" w14:textId="77777777" w:rsidTr="00470495">
        <w:trPr>
          <w:gridAfter w:val="1"/>
          <w:wAfter w:w="19" w:type="dxa"/>
          <w:trHeight w:val="217"/>
          <w:jc w:val="center"/>
        </w:trPr>
        <w:tc>
          <w:tcPr>
            <w:tcW w:w="2236" w:type="dxa"/>
            <w:tcBorders>
              <w:top w:val="nil"/>
              <w:left w:val="single" w:sz="4" w:space="0" w:color="auto"/>
              <w:bottom w:val="single" w:sz="4" w:space="0" w:color="auto"/>
              <w:right w:val="single" w:sz="4" w:space="0" w:color="auto"/>
            </w:tcBorders>
            <w:shd w:val="clear" w:color="auto" w:fill="auto"/>
            <w:noWrap/>
            <w:vAlign w:val="center"/>
            <w:hideMark/>
          </w:tcPr>
          <w:p w14:paraId="3E7A4504" w14:textId="77777777" w:rsidR="00470495" w:rsidRPr="00470495" w:rsidRDefault="00470495" w:rsidP="00234CBE">
            <w:pPr>
              <w:spacing w:line="276" w:lineRule="auto"/>
              <w:jc w:val="right"/>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lastRenderedPageBreak/>
              <w:t>Tribunal Apelación Civil</w:t>
            </w:r>
          </w:p>
        </w:tc>
        <w:tc>
          <w:tcPr>
            <w:tcW w:w="806" w:type="dxa"/>
            <w:tcBorders>
              <w:top w:val="nil"/>
              <w:left w:val="nil"/>
              <w:bottom w:val="single" w:sz="4" w:space="0" w:color="auto"/>
              <w:right w:val="single" w:sz="4" w:space="0" w:color="auto"/>
            </w:tcBorders>
            <w:shd w:val="clear" w:color="auto" w:fill="auto"/>
            <w:noWrap/>
            <w:vAlign w:val="center"/>
            <w:hideMark/>
          </w:tcPr>
          <w:p w14:paraId="73B681AB"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541</w:t>
            </w:r>
          </w:p>
        </w:tc>
        <w:tc>
          <w:tcPr>
            <w:tcW w:w="807" w:type="dxa"/>
            <w:tcBorders>
              <w:top w:val="nil"/>
              <w:left w:val="nil"/>
              <w:bottom w:val="single" w:sz="4" w:space="0" w:color="auto"/>
              <w:right w:val="single" w:sz="4" w:space="0" w:color="auto"/>
            </w:tcBorders>
            <w:shd w:val="clear" w:color="auto" w:fill="auto"/>
            <w:noWrap/>
            <w:vAlign w:val="center"/>
            <w:hideMark/>
          </w:tcPr>
          <w:p w14:paraId="3B996772"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459</w:t>
            </w:r>
          </w:p>
        </w:tc>
        <w:tc>
          <w:tcPr>
            <w:tcW w:w="807" w:type="dxa"/>
            <w:tcBorders>
              <w:top w:val="nil"/>
              <w:left w:val="nil"/>
              <w:bottom w:val="single" w:sz="4" w:space="0" w:color="auto"/>
              <w:right w:val="single" w:sz="4" w:space="0" w:color="auto"/>
            </w:tcBorders>
            <w:shd w:val="clear" w:color="auto" w:fill="auto"/>
            <w:noWrap/>
            <w:vAlign w:val="center"/>
            <w:hideMark/>
          </w:tcPr>
          <w:p w14:paraId="072250AB"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501</w:t>
            </w:r>
          </w:p>
        </w:tc>
        <w:tc>
          <w:tcPr>
            <w:tcW w:w="806" w:type="dxa"/>
            <w:tcBorders>
              <w:top w:val="nil"/>
              <w:left w:val="nil"/>
              <w:bottom w:val="single" w:sz="4" w:space="0" w:color="auto"/>
              <w:right w:val="single" w:sz="4" w:space="0" w:color="auto"/>
            </w:tcBorders>
            <w:shd w:val="clear" w:color="auto" w:fill="auto"/>
            <w:noWrap/>
            <w:vAlign w:val="center"/>
            <w:hideMark/>
          </w:tcPr>
          <w:p w14:paraId="4A7D51D7"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497</w:t>
            </w:r>
          </w:p>
        </w:tc>
        <w:tc>
          <w:tcPr>
            <w:tcW w:w="806" w:type="dxa"/>
            <w:tcBorders>
              <w:top w:val="nil"/>
              <w:left w:val="nil"/>
              <w:bottom w:val="single" w:sz="4" w:space="0" w:color="auto"/>
              <w:right w:val="single" w:sz="4" w:space="0" w:color="auto"/>
            </w:tcBorders>
            <w:shd w:val="clear" w:color="auto" w:fill="auto"/>
            <w:noWrap/>
            <w:vAlign w:val="center"/>
            <w:hideMark/>
          </w:tcPr>
          <w:p w14:paraId="44B974E7"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559</w:t>
            </w:r>
          </w:p>
        </w:tc>
        <w:tc>
          <w:tcPr>
            <w:tcW w:w="806" w:type="dxa"/>
            <w:tcBorders>
              <w:top w:val="nil"/>
              <w:left w:val="nil"/>
              <w:bottom w:val="single" w:sz="4" w:space="0" w:color="auto"/>
              <w:right w:val="single" w:sz="4" w:space="0" w:color="auto"/>
            </w:tcBorders>
            <w:shd w:val="clear" w:color="auto" w:fill="auto"/>
            <w:noWrap/>
            <w:vAlign w:val="center"/>
            <w:hideMark/>
          </w:tcPr>
          <w:p w14:paraId="19C6ACEB"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618</w:t>
            </w:r>
          </w:p>
        </w:tc>
        <w:tc>
          <w:tcPr>
            <w:tcW w:w="806" w:type="dxa"/>
            <w:tcBorders>
              <w:top w:val="nil"/>
              <w:left w:val="nil"/>
              <w:bottom w:val="single" w:sz="4" w:space="0" w:color="auto"/>
              <w:right w:val="single" w:sz="4" w:space="0" w:color="auto"/>
            </w:tcBorders>
            <w:shd w:val="clear" w:color="auto" w:fill="auto"/>
            <w:noWrap/>
            <w:vAlign w:val="center"/>
            <w:hideMark/>
          </w:tcPr>
          <w:p w14:paraId="75E47588"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535</w:t>
            </w:r>
          </w:p>
        </w:tc>
        <w:tc>
          <w:tcPr>
            <w:tcW w:w="807" w:type="dxa"/>
            <w:tcBorders>
              <w:top w:val="nil"/>
              <w:left w:val="nil"/>
              <w:bottom w:val="single" w:sz="4" w:space="0" w:color="auto"/>
              <w:right w:val="single" w:sz="4" w:space="0" w:color="auto"/>
            </w:tcBorders>
            <w:shd w:val="clear" w:color="auto" w:fill="auto"/>
            <w:noWrap/>
            <w:vAlign w:val="center"/>
            <w:hideMark/>
          </w:tcPr>
          <w:p w14:paraId="587DCB28"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693</w:t>
            </w:r>
          </w:p>
        </w:tc>
        <w:tc>
          <w:tcPr>
            <w:tcW w:w="846" w:type="dxa"/>
            <w:tcBorders>
              <w:top w:val="nil"/>
              <w:left w:val="nil"/>
              <w:bottom w:val="single" w:sz="4" w:space="0" w:color="auto"/>
              <w:right w:val="single" w:sz="4" w:space="0" w:color="auto"/>
            </w:tcBorders>
            <w:shd w:val="clear" w:color="auto" w:fill="auto"/>
            <w:noWrap/>
            <w:vAlign w:val="center"/>
            <w:hideMark/>
          </w:tcPr>
          <w:p w14:paraId="6CE794F8"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627</w:t>
            </w:r>
          </w:p>
        </w:tc>
        <w:tc>
          <w:tcPr>
            <w:tcW w:w="807" w:type="dxa"/>
            <w:tcBorders>
              <w:top w:val="nil"/>
              <w:left w:val="nil"/>
              <w:bottom w:val="single" w:sz="4" w:space="0" w:color="auto"/>
              <w:right w:val="single" w:sz="4" w:space="0" w:color="auto"/>
            </w:tcBorders>
            <w:shd w:val="clear" w:color="auto" w:fill="auto"/>
            <w:noWrap/>
            <w:vAlign w:val="center"/>
            <w:hideMark/>
          </w:tcPr>
          <w:p w14:paraId="0B4AED53"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5030</w:t>
            </w:r>
          </w:p>
        </w:tc>
        <w:tc>
          <w:tcPr>
            <w:tcW w:w="146" w:type="dxa"/>
            <w:gridSpan w:val="2"/>
            <w:vAlign w:val="center"/>
            <w:hideMark/>
          </w:tcPr>
          <w:p w14:paraId="547F4D1D" w14:textId="77777777" w:rsidR="00470495" w:rsidRPr="00470495" w:rsidRDefault="00470495" w:rsidP="00234CBE">
            <w:pPr>
              <w:spacing w:line="276" w:lineRule="auto"/>
              <w:rPr>
                <w:rFonts w:ascii="Times New Roman" w:hAnsi="Times New Roman"/>
                <w:sz w:val="20"/>
                <w:szCs w:val="20"/>
                <w:lang w:eastAsia="es-CR"/>
              </w:rPr>
            </w:pPr>
          </w:p>
        </w:tc>
      </w:tr>
      <w:tr w:rsidR="00470495" w:rsidRPr="00470495" w14:paraId="4560FC00" w14:textId="77777777" w:rsidTr="00470495">
        <w:trPr>
          <w:gridAfter w:val="1"/>
          <w:wAfter w:w="19" w:type="dxa"/>
          <w:trHeight w:val="217"/>
          <w:jc w:val="center"/>
        </w:trPr>
        <w:tc>
          <w:tcPr>
            <w:tcW w:w="2236" w:type="dxa"/>
            <w:tcBorders>
              <w:top w:val="nil"/>
              <w:left w:val="single" w:sz="4" w:space="0" w:color="auto"/>
              <w:bottom w:val="single" w:sz="4" w:space="0" w:color="auto"/>
              <w:right w:val="single" w:sz="4" w:space="0" w:color="auto"/>
            </w:tcBorders>
            <w:shd w:val="clear" w:color="auto" w:fill="auto"/>
            <w:noWrap/>
            <w:vAlign w:val="center"/>
            <w:hideMark/>
          </w:tcPr>
          <w:p w14:paraId="4320043B" w14:textId="77777777" w:rsidR="00470495" w:rsidRPr="00470495" w:rsidRDefault="00470495" w:rsidP="00234CBE">
            <w:pPr>
              <w:spacing w:line="276" w:lineRule="auto"/>
              <w:jc w:val="right"/>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Tribunal Apelación Laboral</w:t>
            </w:r>
          </w:p>
        </w:tc>
        <w:tc>
          <w:tcPr>
            <w:tcW w:w="806" w:type="dxa"/>
            <w:tcBorders>
              <w:top w:val="nil"/>
              <w:left w:val="nil"/>
              <w:bottom w:val="single" w:sz="4" w:space="0" w:color="auto"/>
              <w:right w:val="single" w:sz="4" w:space="0" w:color="auto"/>
            </w:tcBorders>
            <w:shd w:val="clear" w:color="auto" w:fill="auto"/>
            <w:noWrap/>
            <w:vAlign w:val="center"/>
            <w:hideMark/>
          </w:tcPr>
          <w:p w14:paraId="3E4F1F5B"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429</w:t>
            </w:r>
          </w:p>
        </w:tc>
        <w:tc>
          <w:tcPr>
            <w:tcW w:w="807" w:type="dxa"/>
            <w:tcBorders>
              <w:top w:val="nil"/>
              <w:left w:val="nil"/>
              <w:bottom w:val="single" w:sz="4" w:space="0" w:color="auto"/>
              <w:right w:val="single" w:sz="4" w:space="0" w:color="auto"/>
            </w:tcBorders>
            <w:shd w:val="clear" w:color="auto" w:fill="auto"/>
            <w:noWrap/>
            <w:vAlign w:val="center"/>
            <w:hideMark/>
          </w:tcPr>
          <w:p w14:paraId="7C72AA51"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478</w:t>
            </w:r>
          </w:p>
        </w:tc>
        <w:tc>
          <w:tcPr>
            <w:tcW w:w="807" w:type="dxa"/>
            <w:tcBorders>
              <w:top w:val="nil"/>
              <w:left w:val="nil"/>
              <w:bottom w:val="single" w:sz="4" w:space="0" w:color="auto"/>
              <w:right w:val="single" w:sz="4" w:space="0" w:color="auto"/>
            </w:tcBorders>
            <w:shd w:val="clear" w:color="auto" w:fill="auto"/>
            <w:noWrap/>
            <w:vAlign w:val="center"/>
            <w:hideMark/>
          </w:tcPr>
          <w:p w14:paraId="55FCD179"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411</w:t>
            </w:r>
          </w:p>
        </w:tc>
        <w:tc>
          <w:tcPr>
            <w:tcW w:w="806" w:type="dxa"/>
            <w:tcBorders>
              <w:top w:val="nil"/>
              <w:left w:val="nil"/>
              <w:bottom w:val="single" w:sz="4" w:space="0" w:color="auto"/>
              <w:right w:val="single" w:sz="4" w:space="0" w:color="auto"/>
            </w:tcBorders>
            <w:shd w:val="clear" w:color="auto" w:fill="auto"/>
            <w:noWrap/>
            <w:vAlign w:val="center"/>
            <w:hideMark/>
          </w:tcPr>
          <w:p w14:paraId="5EFCE619"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475</w:t>
            </w:r>
          </w:p>
        </w:tc>
        <w:tc>
          <w:tcPr>
            <w:tcW w:w="806" w:type="dxa"/>
            <w:tcBorders>
              <w:top w:val="nil"/>
              <w:left w:val="nil"/>
              <w:bottom w:val="single" w:sz="4" w:space="0" w:color="auto"/>
              <w:right w:val="single" w:sz="4" w:space="0" w:color="auto"/>
            </w:tcBorders>
            <w:shd w:val="clear" w:color="auto" w:fill="auto"/>
            <w:noWrap/>
            <w:vAlign w:val="center"/>
            <w:hideMark/>
          </w:tcPr>
          <w:p w14:paraId="27143070"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334</w:t>
            </w:r>
          </w:p>
        </w:tc>
        <w:tc>
          <w:tcPr>
            <w:tcW w:w="806" w:type="dxa"/>
            <w:tcBorders>
              <w:top w:val="nil"/>
              <w:left w:val="nil"/>
              <w:bottom w:val="single" w:sz="4" w:space="0" w:color="auto"/>
              <w:right w:val="single" w:sz="4" w:space="0" w:color="auto"/>
            </w:tcBorders>
            <w:shd w:val="clear" w:color="auto" w:fill="auto"/>
            <w:noWrap/>
            <w:vAlign w:val="center"/>
            <w:hideMark/>
          </w:tcPr>
          <w:p w14:paraId="4C930CFB"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366</w:t>
            </w:r>
          </w:p>
        </w:tc>
        <w:tc>
          <w:tcPr>
            <w:tcW w:w="806" w:type="dxa"/>
            <w:tcBorders>
              <w:top w:val="nil"/>
              <w:left w:val="nil"/>
              <w:bottom w:val="single" w:sz="4" w:space="0" w:color="auto"/>
              <w:right w:val="single" w:sz="4" w:space="0" w:color="auto"/>
            </w:tcBorders>
            <w:shd w:val="clear" w:color="auto" w:fill="auto"/>
            <w:noWrap/>
            <w:vAlign w:val="center"/>
            <w:hideMark/>
          </w:tcPr>
          <w:p w14:paraId="4065E049"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363</w:t>
            </w:r>
          </w:p>
        </w:tc>
        <w:tc>
          <w:tcPr>
            <w:tcW w:w="807" w:type="dxa"/>
            <w:tcBorders>
              <w:top w:val="nil"/>
              <w:left w:val="nil"/>
              <w:bottom w:val="single" w:sz="4" w:space="0" w:color="auto"/>
              <w:right w:val="single" w:sz="4" w:space="0" w:color="auto"/>
            </w:tcBorders>
            <w:shd w:val="clear" w:color="auto" w:fill="auto"/>
            <w:noWrap/>
            <w:vAlign w:val="center"/>
            <w:hideMark/>
          </w:tcPr>
          <w:p w14:paraId="1F5A27F7"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396</w:t>
            </w:r>
          </w:p>
        </w:tc>
        <w:tc>
          <w:tcPr>
            <w:tcW w:w="846" w:type="dxa"/>
            <w:tcBorders>
              <w:top w:val="nil"/>
              <w:left w:val="nil"/>
              <w:bottom w:val="single" w:sz="4" w:space="0" w:color="auto"/>
              <w:right w:val="single" w:sz="4" w:space="0" w:color="auto"/>
            </w:tcBorders>
            <w:shd w:val="clear" w:color="auto" w:fill="auto"/>
            <w:noWrap/>
            <w:vAlign w:val="center"/>
            <w:hideMark/>
          </w:tcPr>
          <w:p w14:paraId="60BBE13B"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375</w:t>
            </w:r>
          </w:p>
        </w:tc>
        <w:tc>
          <w:tcPr>
            <w:tcW w:w="807" w:type="dxa"/>
            <w:tcBorders>
              <w:top w:val="nil"/>
              <w:left w:val="nil"/>
              <w:bottom w:val="single" w:sz="4" w:space="0" w:color="auto"/>
              <w:right w:val="single" w:sz="4" w:space="0" w:color="auto"/>
            </w:tcBorders>
            <w:shd w:val="clear" w:color="auto" w:fill="auto"/>
            <w:noWrap/>
            <w:vAlign w:val="center"/>
            <w:hideMark/>
          </w:tcPr>
          <w:p w14:paraId="22BC7E9C"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3627</w:t>
            </w:r>
          </w:p>
        </w:tc>
        <w:tc>
          <w:tcPr>
            <w:tcW w:w="146" w:type="dxa"/>
            <w:gridSpan w:val="2"/>
            <w:vAlign w:val="center"/>
            <w:hideMark/>
          </w:tcPr>
          <w:p w14:paraId="3451E8E9" w14:textId="77777777" w:rsidR="00470495" w:rsidRPr="00470495" w:rsidRDefault="00470495" w:rsidP="00234CBE">
            <w:pPr>
              <w:spacing w:line="276" w:lineRule="auto"/>
              <w:rPr>
                <w:rFonts w:ascii="Times New Roman" w:hAnsi="Times New Roman"/>
                <w:sz w:val="20"/>
                <w:szCs w:val="20"/>
                <w:lang w:eastAsia="es-CR"/>
              </w:rPr>
            </w:pPr>
          </w:p>
        </w:tc>
      </w:tr>
      <w:tr w:rsidR="00470495" w:rsidRPr="00470495" w14:paraId="76658F5E" w14:textId="77777777" w:rsidTr="00470495">
        <w:trPr>
          <w:gridAfter w:val="1"/>
          <w:wAfter w:w="19" w:type="dxa"/>
          <w:trHeight w:val="217"/>
          <w:jc w:val="center"/>
        </w:trPr>
        <w:tc>
          <w:tcPr>
            <w:tcW w:w="2236" w:type="dxa"/>
            <w:tcBorders>
              <w:top w:val="nil"/>
              <w:left w:val="single" w:sz="4" w:space="0" w:color="auto"/>
              <w:bottom w:val="single" w:sz="4" w:space="0" w:color="auto"/>
              <w:right w:val="single" w:sz="4" w:space="0" w:color="auto"/>
            </w:tcBorders>
            <w:shd w:val="clear" w:color="auto" w:fill="auto"/>
            <w:noWrap/>
            <w:vAlign w:val="center"/>
            <w:hideMark/>
          </w:tcPr>
          <w:p w14:paraId="34B05F2C" w14:textId="77777777" w:rsidR="00470495" w:rsidRPr="00470495" w:rsidRDefault="00470495" w:rsidP="00234CBE">
            <w:pPr>
              <w:spacing w:line="276" w:lineRule="auto"/>
              <w:jc w:val="right"/>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Tribunal Agrario</w:t>
            </w:r>
          </w:p>
        </w:tc>
        <w:tc>
          <w:tcPr>
            <w:tcW w:w="806" w:type="dxa"/>
            <w:tcBorders>
              <w:top w:val="nil"/>
              <w:left w:val="nil"/>
              <w:bottom w:val="single" w:sz="4" w:space="0" w:color="auto"/>
              <w:right w:val="single" w:sz="4" w:space="0" w:color="auto"/>
            </w:tcBorders>
            <w:shd w:val="clear" w:color="auto" w:fill="auto"/>
            <w:noWrap/>
            <w:vAlign w:val="center"/>
            <w:hideMark/>
          </w:tcPr>
          <w:p w14:paraId="6D3FE649"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98</w:t>
            </w:r>
          </w:p>
        </w:tc>
        <w:tc>
          <w:tcPr>
            <w:tcW w:w="807" w:type="dxa"/>
            <w:tcBorders>
              <w:top w:val="nil"/>
              <w:left w:val="nil"/>
              <w:bottom w:val="single" w:sz="4" w:space="0" w:color="auto"/>
              <w:right w:val="single" w:sz="4" w:space="0" w:color="auto"/>
            </w:tcBorders>
            <w:shd w:val="clear" w:color="auto" w:fill="auto"/>
            <w:noWrap/>
            <w:vAlign w:val="center"/>
            <w:hideMark/>
          </w:tcPr>
          <w:p w14:paraId="47726D6A"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92</w:t>
            </w:r>
          </w:p>
        </w:tc>
        <w:tc>
          <w:tcPr>
            <w:tcW w:w="807" w:type="dxa"/>
            <w:tcBorders>
              <w:top w:val="nil"/>
              <w:left w:val="nil"/>
              <w:bottom w:val="single" w:sz="4" w:space="0" w:color="auto"/>
              <w:right w:val="single" w:sz="4" w:space="0" w:color="auto"/>
            </w:tcBorders>
            <w:shd w:val="clear" w:color="auto" w:fill="auto"/>
            <w:noWrap/>
            <w:vAlign w:val="center"/>
            <w:hideMark/>
          </w:tcPr>
          <w:p w14:paraId="0BDC4EC2"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84</w:t>
            </w:r>
          </w:p>
        </w:tc>
        <w:tc>
          <w:tcPr>
            <w:tcW w:w="806" w:type="dxa"/>
            <w:tcBorders>
              <w:top w:val="nil"/>
              <w:left w:val="nil"/>
              <w:bottom w:val="single" w:sz="4" w:space="0" w:color="auto"/>
              <w:right w:val="single" w:sz="4" w:space="0" w:color="auto"/>
            </w:tcBorders>
            <w:shd w:val="clear" w:color="auto" w:fill="auto"/>
            <w:noWrap/>
            <w:vAlign w:val="center"/>
            <w:hideMark/>
          </w:tcPr>
          <w:p w14:paraId="1DC61463"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178</w:t>
            </w:r>
          </w:p>
        </w:tc>
        <w:tc>
          <w:tcPr>
            <w:tcW w:w="806" w:type="dxa"/>
            <w:tcBorders>
              <w:top w:val="nil"/>
              <w:left w:val="nil"/>
              <w:bottom w:val="single" w:sz="4" w:space="0" w:color="auto"/>
              <w:right w:val="single" w:sz="4" w:space="0" w:color="auto"/>
            </w:tcBorders>
            <w:shd w:val="clear" w:color="auto" w:fill="auto"/>
            <w:noWrap/>
            <w:vAlign w:val="center"/>
            <w:hideMark/>
          </w:tcPr>
          <w:p w14:paraId="5308DE60"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96</w:t>
            </w:r>
          </w:p>
        </w:tc>
        <w:tc>
          <w:tcPr>
            <w:tcW w:w="806" w:type="dxa"/>
            <w:tcBorders>
              <w:top w:val="nil"/>
              <w:left w:val="nil"/>
              <w:bottom w:val="single" w:sz="4" w:space="0" w:color="auto"/>
              <w:right w:val="single" w:sz="4" w:space="0" w:color="auto"/>
            </w:tcBorders>
            <w:shd w:val="clear" w:color="auto" w:fill="auto"/>
            <w:noWrap/>
            <w:vAlign w:val="center"/>
            <w:hideMark/>
          </w:tcPr>
          <w:p w14:paraId="1647DC7F"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115</w:t>
            </w:r>
          </w:p>
        </w:tc>
        <w:tc>
          <w:tcPr>
            <w:tcW w:w="806" w:type="dxa"/>
            <w:tcBorders>
              <w:top w:val="nil"/>
              <w:left w:val="nil"/>
              <w:bottom w:val="single" w:sz="4" w:space="0" w:color="auto"/>
              <w:right w:val="single" w:sz="4" w:space="0" w:color="auto"/>
            </w:tcBorders>
            <w:shd w:val="clear" w:color="auto" w:fill="auto"/>
            <w:noWrap/>
            <w:vAlign w:val="center"/>
            <w:hideMark/>
          </w:tcPr>
          <w:p w14:paraId="5DE2C2E3"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100</w:t>
            </w:r>
          </w:p>
        </w:tc>
        <w:tc>
          <w:tcPr>
            <w:tcW w:w="807" w:type="dxa"/>
            <w:tcBorders>
              <w:top w:val="nil"/>
              <w:left w:val="nil"/>
              <w:bottom w:val="single" w:sz="4" w:space="0" w:color="auto"/>
              <w:right w:val="single" w:sz="4" w:space="0" w:color="auto"/>
            </w:tcBorders>
            <w:shd w:val="clear" w:color="auto" w:fill="auto"/>
            <w:noWrap/>
            <w:vAlign w:val="center"/>
            <w:hideMark/>
          </w:tcPr>
          <w:p w14:paraId="5F5B54A1"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105</w:t>
            </w:r>
          </w:p>
        </w:tc>
        <w:tc>
          <w:tcPr>
            <w:tcW w:w="846" w:type="dxa"/>
            <w:tcBorders>
              <w:top w:val="nil"/>
              <w:left w:val="nil"/>
              <w:bottom w:val="single" w:sz="4" w:space="0" w:color="auto"/>
              <w:right w:val="single" w:sz="4" w:space="0" w:color="auto"/>
            </w:tcBorders>
            <w:shd w:val="clear" w:color="auto" w:fill="auto"/>
            <w:noWrap/>
            <w:vAlign w:val="center"/>
            <w:hideMark/>
          </w:tcPr>
          <w:p w14:paraId="4DCAA058"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110</w:t>
            </w:r>
          </w:p>
        </w:tc>
        <w:tc>
          <w:tcPr>
            <w:tcW w:w="807" w:type="dxa"/>
            <w:tcBorders>
              <w:top w:val="nil"/>
              <w:left w:val="nil"/>
              <w:bottom w:val="single" w:sz="4" w:space="0" w:color="auto"/>
              <w:right w:val="single" w:sz="4" w:space="0" w:color="auto"/>
            </w:tcBorders>
            <w:shd w:val="clear" w:color="auto" w:fill="auto"/>
            <w:noWrap/>
            <w:vAlign w:val="center"/>
            <w:hideMark/>
          </w:tcPr>
          <w:p w14:paraId="71763379"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978</w:t>
            </w:r>
          </w:p>
        </w:tc>
        <w:tc>
          <w:tcPr>
            <w:tcW w:w="146" w:type="dxa"/>
            <w:gridSpan w:val="2"/>
            <w:vAlign w:val="center"/>
            <w:hideMark/>
          </w:tcPr>
          <w:p w14:paraId="5EA18B30" w14:textId="77777777" w:rsidR="00470495" w:rsidRPr="00470495" w:rsidRDefault="00470495" w:rsidP="00234CBE">
            <w:pPr>
              <w:spacing w:line="276" w:lineRule="auto"/>
              <w:rPr>
                <w:rFonts w:ascii="Times New Roman" w:hAnsi="Times New Roman"/>
                <w:sz w:val="20"/>
                <w:szCs w:val="20"/>
                <w:lang w:eastAsia="es-CR"/>
              </w:rPr>
            </w:pPr>
          </w:p>
        </w:tc>
      </w:tr>
      <w:tr w:rsidR="00470495" w:rsidRPr="00470495" w14:paraId="34A85396" w14:textId="77777777" w:rsidTr="00470495">
        <w:trPr>
          <w:gridAfter w:val="1"/>
          <w:wAfter w:w="19" w:type="dxa"/>
          <w:trHeight w:val="217"/>
          <w:jc w:val="center"/>
        </w:trPr>
        <w:tc>
          <w:tcPr>
            <w:tcW w:w="2236" w:type="dxa"/>
            <w:tcBorders>
              <w:top w:val="nil"/>
              <w:left w:val="single" w:sz="4" w:space="0" w:color="auto"/>
              <w:bottom w:val="single" w:sz="4" w:space="0" w:color="auto"/>
              <w:right w:val="single" w:sz="4" w:space="0" w:color="auto"/>
            </w:tcBorders>
            <w:shd w:val="clear" w:color="auto" w:fill="auto"/>
            <w:noWrap/>
            <w:vAlign w:val="center"/>
            <w:hideMark/>
          </w:tcPr>
          <w:p w14:paraId="313A0EAC" w14:textId="77777777" w:rsidR="00470495" w:rsidRPr="00470495" w:rsidRDefault="00470495" w:rsidP="00234CBE">
            <w:pPr>
              <w:spacing w:line="276" w:lineRule="auto"/>
              <w:jc w:val="right"/>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Tribunal de Familia</w:t>
            </w:r>
          </w:p>
        </w:tc>
        <w:tc>
          <w:tcPr>
            <w:tcW w:w="806" w:type="dxa"/>
            <w:tcBorders>
              <w:top w:val="nil"/>
              <w:left w:val="nil"/>
              <w:bottom w:val="single" w:sz="4" w:space="0" w:color="auto"/>
              <w:right w:val="single" w:sz="4" w:space="0" w:color="auto"/>
            </w:tcBorders>
            <w:shd w:val="clear" w:color="auto" w:fill="auto"/>
            <w:noWrap/>
            <w:vAlign w:val="center"/>
            <w:hideMark/>
          </w:tcPr>
          <w:p w14:paraId="1B51AA56"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163</w:t>
            </w:r>
          </w:p>
        </w:tc>
        <w:tc>
          <w:tcPr>
            <w:tcW w:w="807" w:type="dxa"/>
            <w:tcBorders>
              <w:top w:val="nil"/>
              <w:left w:val="nil"/>
              <w:bottom w:val="single" w:sz="4" w:space="0" w:color="auto"/>
              <w:right w:val="single" w:sz="4" w:space="0" w:color="auto"/>
            </w:tcBorders>
            <w:shd w:val="clear" w:color="auto" w:fill="auto"/>
            <w:noWrap/>
            <w:vAlign w:val="center"/>
            <w:hideMark/>
          </w:tcPr>
          <w:p w14:paraId="27007485"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185</w:t>
            </w:r>
          </w:p>
        </w:tc>
        <w:tc>
          <w:tcPr>
            <w:tcW w:w="807" w:type="dxa"/>
            <w:tcBorders>
              <w:top w:val="nil"/>
              <w:left w:val="nil"/>
              <w:bottom w:val="single" w:sz="4" w:space="0" w:color="auto"/>
              <w:right w:val="single" w:sz="4" w:space="0" w:color="auto"/>
            </w:tcBorders>
            <w:shd w:val="clear" w:color="auto" w:fill="auto"/>
            <w:noWrap/>
            <w:vAlign w:val="center"/>
            <w:hideMark/>
          </w:tcPr>
          <w:p w14:paraId="5782CC89"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182</w:t>
            </w:r>
          </w:p>
        </w:tc>
        <w:tc>
          <w:tcPr>
            <w:tcW w:w="806" w:type="dxa"/>
            <w:tcBorders>
              <w:top w:val="nil"/>
              <w:left w:val="nil"/>
              <w:bottom w:val="single" w:sz="4" w:space="0" w:color="auto"/>
              <w:right w:val="single" w:sz="4" w:space="0" w:color="auto"/>
            </w:tcBorders>
            <w:shd w:val="clear" w:color="auto" w:fill="auto"/>
            <w:noWrap/>
            <w:vAlign w:val="center"/>
            <w:hideMark/>
          </w:tcPr>
          <w:p w14:paraId="4FED82C7"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149</w:t>
            </w:r>
          </w:p>
        </w:tc>
        <w:tc>
          <w:tcPr>
            <w:tcW w:w="806" w:type="dxa"/>
            <w:tcBorders>
              <w:top w:val="nil"/>
              <w:left w:val="nil"/>
              <w:bottom w:val="single" w:sz="4" w:space="0" w:color="auto"/>
              <w:right w:val="single" w:sz="4" w:space="0" w:color="auto"/>
            </w:tcBorders>
            <w:shd w:val="clear" w:color="auto" w:fill="auto"/>
            <w:noWrap/>
            <w:vAlign w:val="center"/>
            <w:hideMark/>
          </w:tcPr>
          <w:p w14:paraId="65BEF26B"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192</w:t>
            </w:r>
          </w:p>
        </w:tc>
        <w:tc>
          <w:tcPr>
            <w:tcW w:w="806" w:type="dxa"/>
            <w:tcBorders>
              <w:top w:val="nil"/>
              <w:left w:val="nil"/>
              <w:bottom w:val="single" w:sz="4" w:space="0" w:color="auto"/>
              <w:right w:val="single" w:sz="4" w:space="0" w:color="auto"/>
            </w:tcBorders>
            <w:shd w:val="clear" w:color="auto" w:fill="auto"/>
            <w:noWrap/>
            <w:vAlign w:val="center"/>
            <w:hideMark/>
          </w:tcPr>
          <w:p w14:paraId="6966E2D0"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181</w:t>
            </w:r>
          </w:p>
        </w:tc>
        <w:tc>
          <w:tcPr>
            <w:tcW w:w="806" w:type="dxa"/>
            <w:tcBorders>
              <w:top w:val="nil"/>
              <w:left w:val="nil"/>
              <w:bottom w:val="single" w:sz="4" w:space="0" w:color="auto"/>
              <w:right w:val="single" w:sz="4" w:space="0" w:color="auto"/>
            </w:tcBorders>
            <w:shd w:val="clear" w:color="auto" w:fill="auto"/>
            <w:noWrap/>
            <w:vAlign w:val="center"/>
            <w:hideMark/>
          </w:tcPr>
          <w:p w14:paraId="2B182DA4"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178</w:t>
            </w:r>
          </w:p>
        </w:tc>
        <w:tc>
          <w:tcPr>
            <w:tcW w:w="807" w:type="dxa"/>
            <w:tcBorders>
              <w:top w:val="nil"/>
              <w:left w:val="nil"/>
              <w:bottom w:val="single" w:sz="4" w:space="0" w:color="auto"/>
              <w:right w:val="single" w:sz="4" w:space="0" w:color="auto"/>
            </w:tcBorders>
            <w:shd w:val="clear" w:color="auto" w:fill="auto"/>
            <w:noWrap/>
            <w:vAlign w:val="center"/>
            <w:hideMark/>
          </w:tcPr>
          <w:p w14:paraId="599BAB84"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163</w:t>
            </w:r>
          </w:p>
        </w:tc>
        <w:tc>
          <w:tcPr>
            <w:tcW w:w="846" w:type="dxa"/>
            <w:tcBorders>
              <w:top w:val="nil"/>
              <w:left w:val="nil"/>
              <w:bottom w:val="single" w:sz="4" w:space="0" w:color="auto"/>
              <w:right w:val="single" w:sz="4" w:space="0" w:color="auto"/>
            </w:tcBorders>
            <w:shd w:val="clear" w:color="auto" w:fill="auto"/>
            <w:noWrap/>
            <w:vAlign w:val="center"/>
            <w:hideMark/>
          </w:tcPr>
          <w:p w14:paraId="440FD6F9"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170</w:t>
            </w:r>
          </w:p>
        </w:tc>
        <w:tc>
          <w:tcPr>
            <w:tcW w:w="807" w:type="dxa"/>
            <w:tcBorders>
              <w:top w:val="nil"/>
              <w:left w:val="nil"/>
              <w:bottom w:val="single" w:sz="4" w:space="0" w:color="auto"/>
              <w:right w:val="single" w:sz="4" w:space="0" w:color="auto"/>
            </w:tcBorders>
            <w:shd w:val="clear" w:color="auto" w:fill="auto"/>
            <w:noWrap/>
            <w:vAlign w:val="center"/>
            <w:hideMark/>
          </w:tcPr>
          <w:p w14:paraId="2EB6D724"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1563</w:t>
            </w:r>
          </w:p>
        </w:tc>
        <w:tc>
          <w:tcPr>
            <w:tcW w:w="146" w:type="dxa"/>
            <w:gridSpan w:val="2"/>
            <w:vAlign w:val="center"/>
            <w:hideMark/>
          </w:tcPr>
          <w:p w14:paraId="37683AE6" w14:textId="77777777" w:rsidR="00470495" w:rsidRPr="00470495" w:rsidRDefault="00470495" w:rsidP="00234CBE">
            <w:pPr>
              <w:spacing w:line="276" w:lineRule="auto"/>
              <w:rPr>
                <w:rFonts w:ascii="Times New Roman" w:hAnsi="Times New Roman"/>
                <w:sz w:val="20"/>
                <w:szCs w:val="20"/>
                <w:lang w:eastAsia="es-CR"/>
              </w:rPr>
            </w:pPr>
          </w:p>
        </w:tc>
      </w:tr>
      <w:tr w:rsidR="00470495" w:rsidRPr="00470495" w14:paraId="38FC05E8" w14:textId="77777777" w:rsidTr="00470495">
        <w:trPr>
          <w:gridAfter w:val="1"/>
          <w:wAfter w:w="19" w:type="dxa"/>
          <w:trHeight w:val="217"/>
          <w:jc w:val="center"/>
        </w:trPr>
        <w:tc>
          <w:tcPr>
            <w:tcW w:w="2236" w:type="dxa"/>
            <w:tcBorders>
              <w:top w:val="nil"/>
              <w:left w:val="single" w:sz="4" w:space="0" w:color="auto"/>
              <w:bottom w:val="single" w:sz="4" w:space="0" w:color="auto"/>
              <w:right w:val="single" w:sz="4" w:space="0" w:color="auto"/>
            </w:tcBorders>
            <w:shd w:val="clear" w:color="auto" w:fill="auto"/>
            <w:noWrap/>
            <w:vAlign w:val="center"/>
            <w:hideMark/>
          </w:tcPr>
          <w:p w14:paraId="389B66A7" w14:textId="77777777" w:rsidR="00470495" w:rsidRPr="00470495" w:rsidRDefault="00470495" w:rsidP="00234CBE">
            <w:pPr>
              <w:spacing w:line="276" w:lineRule="auto"/>
              <w:jc w:val="right"/>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Tribunal Apelación (1120)</w:t>
            </w:r>
          </w:p>
        </w:tc>
        <w:tc>
          <w:tcPr>
            <w:tcW w:w="806" w:type="dxa"/>
            <w:tcBorders>
              <w:top w:val="nil"/>
              <w:left w:val="nil"/>
              <w:bottom w:val="single" w:sz="4" w:space="0" w:color="auto"/>
              <w:right w:val="single" w:sz="4" w:space="0" w:color="auto"/>
            </w:tcBorders>
            <w:shd w:val="clear" w:color="auto" w:fill="auto"/>
            <w:noWrap/>
            <w:vAlign w:val="center"/>
            <w:hideMark/>
          </w:tcPr>
          <w:p w14:paraId="3CBDE13F"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78</w:t>
            </w:r>
          </w:p>
        </w:tc>
        <w:tc>
          <w:tcPr>
            <w:tcW w:w="807" w:type="dxa"/>
            <w:tcBorders>
              <w:top w:val="nil"/>
              <w:left w:val="nil"/>
              <w:bottom w:val="single" w:sz="4" w:space="0" w:color="auto"/>
              <w:right w:val="single" w:sz="4" w:space="0" w:color="auto"/>
            </w:tcBorders>
            <w:shd w:val="clear" w:color="auto" w:fill="auto"/>
            <w:noWrap/>
            <w:vAlign w:val="center"/>
            <w:hideMark/>
          </w:tcPr>
          <w:p w14:paraId="5B76F9CA"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86</w:t>
            </w:r>
          </w:p>
        </w:tc>
        <w:tc>
          <w:tcPr>
            <w:tcW w:w="807" w:type="dxa"/>
            <w:tcBorders>
              <w:top w:val="nil"/>
              <w:left w:val="nil"/>
              <w:bottom w:val="single" w:sz="4" w:space="0" w:color="auto"/>
              <w:right w:val="single" w:sz="4" w:space="0" w:color="auto"/>
            </w:tcBorders>
            <w:shd w:val="clear" w:color="auto" w:fill="auto"/>
            <w:noWrap/>
            <w:vAlign w:val="center"/>
            <w:hideMark/>
          </w:tcPr>
          <w:p w14:paraId="7E59944B"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62</w:t>
            </w:r>
          </w:p>
        </w:tc>
        <w:tc>
          <w:tcPr>
            <w:tcW w:w="806" w:type="dxa"/>
            <w:tcBorders>
              <w:top w:val="nil"/>
              <w:left w:val="nil"/>
              <w:bottom w:val="single" w:sz="4" w:space="0" w:color="auto"/>
              <w:right w:val="single" w:sz="4" w:space="0" w:color="auto"/>
            </w:tcBorders>
            <w:shd w:val="clear" w:color="auto" w:fill="auto"/>
            <w:noWrap/>
            <w:vAlign w:val="center"/>
            <w:hideMark/>
          </w:tcPr>
          <w:p w14:paraId="4D9B0040"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72</w:t>
            </w:r>
          </w:p>
        </w:tc>
        <w:tc>
          <w:tcPr>
            <w:tcW w:w="806" w:type="dxa"/>
            <w:tcBorders>
              <w:top w:val="nil"/>
              <w:left w:val="nil"/>
              <w:bottom w:val="single" w:sz="4" w:space="0" w:color="auto"/>
              <w:right w:val="single" w:sz="4" w:space="0" w:color="auto"/>
            </w:tcBorders>
            <w:shd w:val="clear" w:color="auto" w:fill="auto"/>
            <w:noWrap/>
            <w:vAlign w:val="center"/>
            <w:hideMark/>
          </w:tcPr>
          <w:p w14:paraId="4E656C98"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91</w:t>
            </w:r>
          </w:p>
        </w:tc>
        <w:tc>
          <w:tcPr>
            <w:tcW w:w="806" w:type="dxa"/>
            <w:tcBorders>
              <w:top w:val="nil"/>
              <w:left w:val="nil"/>
              <w:bottom w:val="single" w:sz="4" w:space="0" w:color="auto"/>
              <w:right w:val="single" w:sz="4" w:space="0" w:color="auto"/>
            </w:tcBorders>
            <w:shd w:val="clear" w:color="auto" w:fill="auto"/>
            <w:noWrap/>
            <w:vAlign w:val="center"/>
            <w:hideMark/>
          </w:tcPr>
          <w:p w14:paraId="2403D8CA"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75</w:t>
            </w:r>
          </w:p>
        </w:tc>
        <w:tc>
          <w:tcPr>
            <w:tcW w:w="806" w:type="dxa"/>
            <w:tcBorders>
              <w:top w:val="nil"/>
              <w:left w:val="nil"/>
              <w:bottom w:val="single" w:sz="4" w:space="0" w:color="auto"/>
              <w:right w:val="single" w:sz="4" w:space="0" w:color="auto"/>
            </w:tcBorders>
            <w:shd w:val="clear" w:color="auto" w:fill="auto"/>
            <w:noWrap/>
            <w:vAlign w:val="center"/>
            <w:hideMark/>
          </w:tcPr>
          <w:p w14:paraId="42A0817E"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64</w:t>
            </w:r>
          </w:p>
        </w:tc>
        <w:tc>
          <w:tcPr>
            <w:tcW w:w="807" w:type="dxa"/>
            <w:tcBorders>
              <w:top w:val="nil"/>
              <w:left w:val="nil"/>
              <w:bottom w:val="single" w:sz="4" w:space="0" w:color="auto"/>
              <w:right w:val="single" w:sz="4" w:space="0" w:color="auto"/>
            </w:tcBorders>
            <w:shd w:val="clear" w:color="auto" w:fill="auto"/>
            <w:noWrap/>
            <w:vAlign w:val="center"/>
            <w:hideMark/>
          </w:tcPr>
          <w:p w14:paraId="22949CE3"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75</w:t>
            </w:r>
          </w:p>
        </w:tc>
        <w:tc>
          <w:tcPr>
            <w:tcW w:w="846" w:type="dxa"/>
            <w:tcBorders>
              <w:top w:val="nil"/>
              <w:left w:val="nil"/>
              <w:bottom w:val="single" w:sz="4" w:space="0" w:color="auto"/>
              <w:right w:val="single" w:sz="4" w:space="0" w:color="auto"/>
            </w:tcBorders>
            <w:shd w:val="clear" w:color="auto" w:fill="auto"/>
            <w:noWrap/>
            <w:vAlign w:val="center"/>
            <w:hideMark/>
          </w:tcPr>
          <w:p w14:paraId="3A536956"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66</w:t>
            </w:r>
          </w:p>
        </w:tc>
        <w:tc>
          <w:tcPr>
            <w:tcW w:w="807" w:type="dxa"/>
            <w:tcBorders>
              <w:top w:val="nil"/>
              <w:left w:val="nil"/>
              <w:bottom w:val="single" w:sz="4" w:space="0" w:color="auto"/>
              <w:right w:val="single" w:sz="4" w:space="0" w:color="auto"/>
            </w:tcBorders>
            <w:shd w:val="clear" w:color="auto" w:fill="auto"/>
            <w:noWrap/>
            <w:vAlign w:val="center"/>
            <w:hideMark/>
          </w:tcPr>
          <w:p w14:paraId="2CFCDCEA"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669</w:t>
            </w:r>
          </w:p>
        </w:tc>
        <w:tc>
          <w:tcPr>
            <w:tcW w:w="146" w:type="dxa"/>
            <w:gridSpan w:val="2"/>
            <w:vAlign w:val="center"/>
            <w:hideMark/>
          </w:tcPr>
          <w:p w14:paraId="7BB3BA39" w14:textId="77777777" w:rsidR="00470495" w:rsidRPr="00470495" w:rsidRDefault="00470495" w:rsidP="00234CBE">
            <w:pPr>
              <w:spacing w:line="276" w:lineRule="auto"/>
              <w:rPr>
                <w:rFonts w:ascii="Times New Roman" w:hAnsi="Times New Roman"/>
                <w:sz w:val="20"/>
                <w:szCs w:val="20"/>
                <w:lang w:eastAsia="es-CR"/>
              </w:rPr>
            </w:pPr>
          </w:p>
        </w:tc>
      </w:tr>
      <w:tr w:rsidR="00470495" w:rsidRPr="00470495" w14:paraId="04419E06" w14:textId="77777777" w:rsidTr="00470495">
        <w:trPr>
          <w:gridAfter w:val="1"/>
          <w:wAfter w:w="19" w:type="dxa"/>
          <w:trHeight w:val="217"/>
          <w:jc w:val="center"/>
        </w:trPr>
        <w:tc>
          <w:tcPr>
            <w:tcW w:w="2236" w:type="dxa"/>
            <w:tcBorders>
              <w:top w:val="nil"/>
              <w:left w:val="single" w:sz="4" w:space="0" w:color="auto"/>
              <w:bottom w:val="single" w:sz="4" w:space="0" w:color="auto"/>
              <w:right w:val="single" w:sz="4" w:space="0" w:color="auto"/>
            </w:tcBorders>
            <w:shd w:val="clear" w:color="auto" w:fill="auto"/>
            <w:noWrap/>
            <w:vAlign w:val="center"/>
            <w:hideMark/>
          </w:tcPr>
          <w:p w14:paraId="377B7005" w14:textId="77777777" w:rsidR="00470495" w:rsidRPr="00470495" w:rsidRDefault="00470495" w:rsidP="00234CBE">
            <w:pPr>
              <w:spacing w:line="276" w:lineRule="auto"/>
              <w:jc w:val="right"/>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Tribunal Contencioso (0161)</w:t>
            </w:r>
          </w:p>
        </w:tc>
        <w:tc>
          <w:tcPr>
            <w:tcW w:w="806" w:type="dxa"/>
            <w:tcBorders>
              <w:top w:val="nil"/>
              <w:left w:val="nil"/>
              <w:bottom w:val="single" w:sz="4" w:space="0" w:color="auto"/>
              <w:right w:val="single" w:sz="4" w:space="0" w:color="auto"/>
            </w:tcBorders>
            <w:shd w:val="clear" w:color="auto" w:fill="auto"/>
            <w:noWrap/>
            <w:vAlign w:val="center"/>
            <w:hideMark/>
          </w:tcPr>
          <w:p w14:paraId="15854862"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0</w:t>
            </w:r>
          </w:p>
        </w:tc>
        <w:tc>
          <w:tcPr>
            <w:tcW w:w="807" w:type="dxa"/>
            <w:tcBorders>
              <w:top w:val="nil"/>
              <w:left w:val="nil"/>
              <w:bottom w:val="single" w:sz="4" w:space="0" w:color="auto"/>
              <w:right w:val="single" w:sz="4" w:space="0" w:color="auto"/>
            </w:tcBorders>
            <w:shd w:val="clear" w:color="auto" w:fill="auto"/>
            <w:noWrap/>
            <w:vAlign w:val="center"/>
            <w:hideMark/>
          </w:tcPr>
          <w:p w14:paraId="3536A5E7"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1</w:t>
            </w:r>
          </w:p>
        </w:tc>
        <w:tc>
          <w:tcPr>
            <w:tcW w:w="807" w:type="dxa"/>
            <w:tcBorders>
              <w:top w:val="nil"/>
              <w:left w:val="nil"/>
              <w:bottom w:val="single" w:sz="4" w:space="0" w:color="auto"/>
              <w:right w:val="single" w:sz="4" w:space="0" w:color="auto"/>
            </w:tcBorders>
            <w:shd w:val="clear" w:color="auto" w:fill="auto"/>
            <w:noWrap/>
            <w:vAlign w:val="center"/>
            <w:hideMark/>
          </w:tcPr>
          <w:p w14:paraId="0C8761A4"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0</w:t>
            </w:r>
          </w:p>
        </w:tc>
        <w:tc>
          <w:tcPr>
            <w:tcW w:w="806" w:type="dxa"/>
            <w:tcBorders>
              <w:top w:val="nil"/>
              <w:left w:val="nil"/>
              <w:bottom w:val="single" w:sz="4" w:space="0" w:color="auto"/>
              <w:right w:val="single" w:sz="4" w:space="0" w:color="auto"/>
            </w:tcBorders>
            <w:shd w:val="clear" w:color="auto" w:fill="auto"/>
            <w:noWrap/>
            <w:vAlign w:val="center"/>
            <w:hideMark/>
          </w:tcPr>
          <w:p w14:paraId="40B9986F"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1</w:t>
            </w:r>
          </w:p>
        </w:tc>
        <w:tc>
          <w:tcPr>
            <w:tcW w:w="806" w:type="dxa"/>
            <w:tcBorders>
              <w:top w:val="nil"/>
              <w:left w:val="nil"/>
              <w:bottom w:val="single" w:sz="4" w:space="0" w:color="auto"/>
              <w:right w:val="single" w:sz="4" w:space="0" w:color="auto"/>
            </w:tcBorders>
            <w:shd w:val="clear" w:color="auto" w:fill="auto"/>
            <w:noWrap/>
            <w:vAlign w:val="center"/>
            <w:hideMark/>
          </w:tcPr>
          <w:p w14:paraId="2B19BB95"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1</w:t>
            </w:r>
          </w:p>
        </w:tc>
        <w:tc>
          <w:tcPr>
            <w:tcW w:w="806" w:type="dxa"/>
            <w:tcBorders>
              <w:top w:val="nil"/>
              <w:left w:val="nil"/>
              <w:bottom w:val="single" w:sz="4" w:space="0" w:color="auto"/>
              <w:right w:val="single" w:sz="4" w:space="0" w:color="auto"/>
            </w:tcBorders>
            <w:shd w:val="clear" w:color="auto" w:fill="auto"/>
            <w:noWrap/>
            <w:vAlign w:val="center"/>
            <w:hideMark/>
          </w:tcPr>
          <w:p w14:paraId="153E1421"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1</w:t>
            </w:r>
          </w:p>
        </w:tc>
        <w:tc>
          <w:tcPr>
            <w:tcW w:w="806" w:type="dxa"/>
            <w:tcBorders>
              <w:top w:val="nil"/>
              <w:left w:val="nil"/>
              <w:bottom w:val="single" w:sz="4" w:space="0" w:color="auto"/>
              <w:right w:val="single" w:sz="4" w:space="0" w:color="auto"/>
            </w:tcBorders>
            <w:shd w:val="clear" w:color="auto" w:fill="auto"/>
            <w:noWrap/>
            <w:vAlign w:val="center"/>
            <w:hideMark/>
          </w:tcPr>
          <w:p w14:paraId="0996F708"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0</w:t>
            </w:r>
          </w:p>
        </w:tc>
        <w:tc>
          <w:tcPr>
            <w:tcW w:w="807" w:type="dxa"/>
            <w:tcBorders>
              <w:top w:val="nil"/>
              <w:left w:val="nil"/>
              <w:bottom w:val="single" w:sz="4" w:space="0" w:color="auto"/>
              <w:right w:val="single" w:sz="4" w:space="0" w:color="auto"/>
            </w:tcBorders>
            <w:shd w:val="clear" w:color="auto" w:fill="auto"/>
            <w:noWrap/>
            <w:vAlign w:val="center"/>
            <w:hideMark/>
          </w:tcPr>
          <w:p w14:paraId="7F8F947E"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1</w:t>
            </w:r>
          </w:p>
        </w:tc>
        <w:tc>
          <w:tcPr>
            <w:tcW w:w="846" w:type="dxa"/>
            <w:tcBorders>
              <w:top w:val="nil"/>
              <w:left w:val="nil"/>
              <w:bottom w:val="single" w:sz="4" w:space="0" w:color="auto"/>
              <w:right w:val="single" w:sz="4" w:space="0" w:color="auto"/>
            </w:tcBorders>
            <w:shd w:val="clear" w:color="auto" w:fill="auto"/>
            <w:noWrap/>
            <w:vAlign w:val="center"/>
            <w:hideMark/>
          </w:tcPr>
          <w:p w14:paraId="42409485"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1</w:t>
            </w:r>
          </w:p>
        </w:tc>
        <w:tc>
          <w:tcPr>
            <w:tcW w:w="807" w:type="dxa"/>
            <w:tcBorders>
              <w:top w:val="nil"/>
              <w:left w:val="nil"/>
              <w:bottom w:val="single" w:sz="4" w:space="0" w:color="auto"/>
              <w:right w:val="single" w:sz="4" w:space="0" w:color="auto"/>
            </w:tcBorders>
            <w:shd w:val="clear" w:color="auto" w:fill="auto"/>
            <w:noWrap/>
            <w:vAlign w:val="center"/>
            <w:hideMark/>
          </w:tcPr>
          <w:p w14:paraId="428E77C6"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6</w:t>
            </w:r>
          </w:p>
        </w:tc>
        <w:tc>
          <w:tcPr>
            <w:tcW w:w="146" w:type="dxa"/>
            <w:gridSpan w:val="2"/>
            <w:vAlign w:val="center"/>
            <w:hideMark/>
          </w:tcPr>
          <w:p w14:paraId="6E95CF61" w14:textId="77777777" w:rsidR="00470495" w:rsidRPr="00470495" w:rsidRDefault="00470495" w:rsidP="00234CBE">
            <w:pPr>
              <w:spacing w:line="276" w:lineRule="auto"/>
              <w:rPr>
                <w:rFonts w:ascii="Times New Roman" w:hAnsi="Times New Roman"/>
                <w:sz w:val="20"/>
                <w:szCs w:val="20"/>
                <w:lang w:eastAsia="es-CR"/>
              </w:rPr>
            </w:pPr>
          </w:p>
        </w:tc>
      </w:tr>
      <w:tr w:rsidR="00470495" w:rsidRPr="00470495" w14:paraId="59676E8F" w14:textId="77777777" w:rsidTr="00470495">
        <w:trPr>
          <w:gridAfter w:val="1"/>
          <w:wAfter w:w="19" w:type="dxa"/>
          <w:trHeight w:val="217"/>
          <w:jc w:val="center"/>
        </w:trPr>
        <w:tc>
          <w:tcPr>
            <w:tcW w:w="2236" w:type="dxa"/>
            <w:tcBorders>
              <w:top w:val="nil"/>
              <w:left w:val="single" w:sz="4" w:space="0" w:color="auto"/>
              <w:bottom w:val="single" w:sz="4" w:space="0" w:color="auto"/>
              <w:right w:val="single" w:sz="4" w:space="0" w:color="auto"/>
            </w:tcBorders>
            <w:shd w:val="clear" w:color="auto" w:fill="auto"/>
            <w:noWrap/>
            <w:vAlign w:val="center"/>
            <w:hideMark/>
          </w:tcPr>
          <w:p w14:paraId="6458014D" w14:textId="77777777" w:rsidR="00470495" w:rsidRPr="00470495" w:rsidRDefault="00470495" w:rsidP="00234CBE">
            <w:pPr>
              <w:spacing w:line="276" w:lineRule="auto"/>
              <w:jc w:val="right"/>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Tribunal Notarial</w:t>
            </w:r>
          </w:p>
        </w:tc>
        <w:tc>
          <w:tcPr>
            <w:tcW w:w="806" w:type="dxa"/>
            <w:tcBorders>
              <w:top w:val="nil"/>
              <w:left w:val="nil"/>
              <w:bottom w:val="single" w:sz="4" w:space="0" w:color="auto"/>
              <w:right w:val="single" w:sz="4" w:space="0" w:color="auto"/>
            </w:tcBorders>
            <w:shd w:val="clear" w:color="auto" w:fill="auto"/>
            <w:noWrap/>
            <w:vAlign w:val="center"/>
            <w:hideMark/>
          </w:tcPr>
          <w:p w14:paraId="1F36DEDC"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26</w:t>
            </w:r>
          </w:p>
        </w:tc>
        <w:tc>
          <w:tcPr>
            <w:tcW w:w="807" w:type="dxa"/>
            <w:tcBorders>
              <w:top w:val="nil"/>
              <w:left w:val="nil"/>
              <w:bottom w:val="single" w:sz="4" w:space="0" w:color="auto"/>
              <w:right w:val="single" w:sz="4" w:space="0" w:color="auto"/>
            </w:tcBorders>
            <w:shd w:val="clear" w:color="auto" w:fill="auto"/>
            <w:noWrap/>
            <w:vAlign w:val="center"/>
            <w:hideMark/>
          </w:tcPr>
          <w:p w14:paraId="17106961"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13</w:t>
            </w:r>
          </w:p>
        </w:tc>
        <w:tc>
          <w:tcPr>
            <w:tcW w:w="807" w:type="dxa"/>
            <w:tcBorders>
              <w:top w:val="nil"/>
              <w:left w:val="nil"/>
              <w:bottom w:val="single" w:sz="4" w:space="0" w:color="auto"/>
              <w:right w:val="single" w:sz="4" w:space="0" w:color="auto"/>
            </w:tcBorders>
            <w:shd w:val="clear" w:color="auto" w:fill="auto"/>
            <w:noWrap/>
            <w:vAlign w:val="center"/>
            <w:hideMark/>
          </w:tcPr>
          <w:p w14:paraId="6BA75E57"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18</w:t>
            </w:r>
          </w:p>
        </w:tc>
        <w:tc>
          <w:tcPr>
            <w:tcW w:w="806" w:type="dxa"/>
            <w:tcBorders>
              <w:top w:val="nil"/>
              <w:left w:val="nil"/>
              <w:bottom w:val="single" w:sz="4" w:space="0" w:color="auto"/>
              <w:right w:val="single" w:sz="4" w:space="0" w:color="auto"/>
            </w:tcBorders>
            <w:shd w:val="clear" w:color="auto" w:fill="auto"/>
            <w:noWrap/>
            <w:vAlign w:val="center"/>
            <w:hideMark/>
          </w:tcPr>
          <w:p w14:paraId="0EDB20FA"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23</w:t>
            </w:r>
          </w:p>
        </w:tc>
        <w:tc>
          <w:tcPr>
            <w:tcW w:w="806" w:type="dxa"/>
            <w:tcBorders>
              <w:top w:val="nil"/>
              <w:left w:val="nil"/>
              <w:bottom w:val="single" w:sz="4" w:space="0" w:color="auto"/>
              <w:right w:val="single" w:sz="4" w:space="0" w:color="auto"/>
            </w:tcBorders>
            <w:shd w:val="clear" w:color="auto" w:fill="auto"/>
            <w:noWrap/>
            <w:vAlign w:val="center"/>
            <w:hideMark/>
          </w:tcPr>
          <w:p w14:paraId="078CC38E"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31</w:t>
            </w:r>
          </w:p>
        </w:tc>
        <w:tc>
          <w:tcPr>
            <w:tcW w:w="806" w:type="dxa"/>
            <w:tcBorders>
              <w:top w:val="nil"/>
              <w:left w:val="nil"/>
              <w:bottom w:val="single" w:sz="4" w:space="0" w:color="auto"/>
              <w:right w:val="single" w:sz="4" w:space="0" w:color="auto"/>
            </w:tcBorders>
            <w:shd w:val="clear" w:color="auto" w:fill="auto"/>
            <w:noWrap/>
            <w:vAlign w:val="center"/>
            <w:hideMark/>
          </w:tcPr>
          <w:p w14:paraId="3E36E2EC"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34</w:t>
            </w:r>
          </w:p>
        </w:tc>
        <w:tc>
          <w:tcPr>
            <w:tcW w:w="806" w:type="dxa"/>
            <w:tcBorders>
              <w:top w:val="nil"/>
              <w:left w:val="nil"/>
              <w:bottom w:val="single" w:sz="4" w:space="0" w:color="auto"/>
              <w:right w:val="single" w:sz="4" w:space="0" w:color="auto"/>
            </w:tcBorders>
            <w:shd w:val="clear" w:color="auto" w:fill="auto"/>
            <w:noWrap/>
            <w:vAlign w:val="center"/>
            <w:hideMark/>
          </w:tcPr>
          <w:p w14:paraId="5AAC4462"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18</w:t>
            </w:r>
          </w:p>
        </w:tc>
        <w:tc>
          <w:tcPr>
            <w:tcW w:w="807" w:type="dxa"/>
            <w:tcBorders>
              <w:top w:val="nil"/>
              <w:left w:val="nil"/>
              <w:bottom w:val="single" w:sz="4" w:space="0" w:color="auto"/>
              <w:right w:val="single" w:sz="4" w:space="0" w:color="auto"/>
            </w:tcBorders>
            <w:shd w:val="clear" w:color="auto" w:fill="auto"/>
            <w:noWrap/>
            <w:vAlign w:val="center"/>
            <w:hideMark/>
          </w:tcPr>
          <w:p w14:paraId="1DC85CD7"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29</w:t>
            </w:r>
          </w:p>
        </w:tc>
        <w:tc>
          <w:tcPr>
            <w:tcW w:w="846" w:type="dxa"/>
            <w:tcBorders>
              <w:top w:val="nil"/>
              <w:left w:val="nil"/>
              <w:bottom w:val="single" w:sz="4" w:space="0" w:color="auto"/>
              <w:right w:val="single" w:sz="4" w:space="0" w:color="auto"/>
            </w:tcBorders>
            <w:shd w:val="clear" w:color="auto" w:fill="auto"/>
            <w:noWrap/>
            <w:vAlign w:val="center"/>
            <w:hideMark/>
          </w:tcPr>
          <w:p w14:paraId="2A9E5389"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21</w:t>
            </w:r>
          </w:p>
        </w:tc>
        <w:tc>
          <w:tcPr>
            <w:tcW w:w="807" w:type="dxa"/>
            <w:tcBorders>
              <w:top w:val="nil"/>
              <w:left w:val="nil"/>
              <w:bottom w:val="single" w:sz="4" w:space="0" w:color="auto"/>
              <w:right w:val="single" w:sz="4" w:space="0" w:color="auto"/>
            </w:tcBorders>
            <w:shd w:val="clear" w:color="auto" w:fill="auto"/>
            <w:noWrap/>
            <w:vAlign w:val="center"/>
            <w:hideMark/>
          </w:tcPr>
          <w:p w14:paraId="16F787CA"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213</w:t>
            </w:r>
          </w:p>
        </w:tc>
        <w:tc>
          <w:tcPr>
            <w:tcW w:w="146" w:type="dxa"/>
            <w:gridSpan w:val="2"/>
            <w:vAlign w:val="center"/>
            <w:hideMark/>
          </w:tcPr>
          <w:p w14:paraId="3120FBC4" w14:textId="77777777" w:rsidR="00470495" w:rsidRPr="00470495" w:rsidRDefault="00470495" w:rsidP="00234CBE">
            <w:pPr>
              <w:spacing w:line="276" w:lineRule="auto"/>
              <w:rPr>
                <w:rFonts w:ascii="Times New Roman" w:hAnsi="Times New Roman"/>
                <w:sz w:val="20"/>
                <w:szCs w:val="20"/>
                <w:lang w:eastAsia="es-CR"/>
              </w:rPr>
            </w:pPr>
          </w:p>
        </w:tc>
      </w:tr>
      <w:tr w:rsidR="00470495" w:rsidRPr="00470495" w14:paraId="08BEEC99" w14:textId="77777777" w:rsidTr="00470495">
        <w:trPr>
          <w:gridAfter w:val="1"/>
          <w:wAfter w:w="19" w:type="dxa"/>
          <w:trHeight w:val="217"/>
          <w:jc w:val="center"/>
        </w:trPr>
        <w:tc>
          <w:tcPr>
            <w:tcW w:w="2236" w:type="dxa"/>
            <w:tcBorders>
              <w:top w:val="nil"/>
              <w:left w:val="single" w:sz="4" w:space="0" w:color="auto"/>
              <w:bottom w:val="single" w:sz="4" w:space="0" w:color="auto"/>
              <w:right w:val="single" w:sz="4" w:space="0" w:color="auto"/>
            </w:tcBorders>
            <w:shd w:val="clear" w:color="auto" w:fill="auto"/>
            <w:noWrap/>
            <w:vAlign w:val="center"/>
            <w:hideMark/>
          </w:tcPr>
          <w:p w14:paraId="7009546A" w14:textId="77777777" w:rsidR="00470495" w:rsidRPr="00470495" w:rsidRDefault="00470495" w:rsidP="00234CBE">
            <w:pPr>
              <w:spacing w:line="276" w:lineRule="auto"/>
              <w:jc w:val="right"/>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Inspección Judicial</w:t>
            </w:r>
          </w:p>
        </w:tc>
        <w:tc>
          <w:tcPr>
            <w:tcW w:w="806" w:type="dxa"/>
            <w:tcBorders>
              <w:top w:val="nil"/>
              <w:left w:val="nil"/>
              <w:bottom w:val="single" w:sz="4" w:space="0" w:color="auto"/>
              <w:right w:val="single" w:sz="4" w:space="0" w:color="auto"/>
            </w:tcBorders>
            <w:shd w:val="clear" w:color="auto" w:fill="auto"/>
            <w:noWrap/>
            <w:vAlign w:val="center"/>
            <w:hideMark/>
          </w:tcPr>
          <w:p w14:paraId="30F85900"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337</w:t>
            </w:r>
          </w:p>
        </w:tc>
        <w:tc>
          <w:tcPr>
            <w:tcW w:w="807" w:type="dxa"/>
            <w:tcBorders>
              <w:top w:val="nil"/>
              <w:left w:val="nil"/>
              <w:bottom w:val="single" w:sz="4" w:space="0" w:color="auto"/>
              <w:right w:val="single" w:sz="4" w:space="0" w:color="auto"/>
            </w:tcBorders>
            <w:shd w:val="clear" w:color="auto" w:fill="auto"/>
            <w:noWrap/>
            <w:vAlign w:val="center"/>
            <w:hideMark/>
          </w:tcPr>
          <w:p w14:paraId="427B1D75"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289</w:t>
            </w:r>
          </w:p>
        </w:tc>
        <w:tc>
          <w:tcPr>
            <w:tcW w:w="807" w:type="dxa"/>
            <w:tcBorders>
              <w:top w:val="nil"/>
              <w:left w:val="nil"/>
              <w:bottom w:val="single" w:sz="4" w:space="0" w:color="auto"/>
              <w:right w:val="single" w:sz="4" w:space="0" w:color="auto"/>
            </w:tcBorders>
            <w:shd w:val="clear" w:color="auto" w:fill="auto"/>
            <w:noWrap/>
            <w:vAlign w:val="center"/>
            <w:hideMark/>
          </w:tcPr>
          <w:p w14:paraId="0825DDC9"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348</w:t>
            </w:r>
          </w:p>
        </w:tc>
        <w:tc>
          <w:tcPr>
            <w:tcW w:w="806" w:type="dxa"/>
            <w:tcBorders>
              <w:top w:val="nil"/>
              <w:left w:val="nil"/>
              <w:bottom w:val="single" w:sz="4" w:space="0" w:color="auto"/>
              <w:right w:val="single" w:sz="4" w:space="0" w:color="auto"/>
            </w:tcBorders>
            <w:shd w:val="clear" w:color="auto" w:fill="auto"/>
            <w:noWrap/>
            <w:vAlign w:val="center"/>
            <w:hideMark/>
          </w:tcPr>
          <w:p w14:paraId="2FBA180D"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337</w:t>
            </w:r>
          </w:p>
        </w:tc>
        <w:tc>
          <w:tcPr>
            <w:tcW w:w="806" w:type="dxa"/>
            <w:tcBorders>
              <w:top w:val="nil"/>
              <w:left w:val="nil"/>
              <w:bottom w:val="single" w:sz="4" w:space="0" w:color="auto"/>
              <w:right w:val="single" w:sz="4" w:space="0" w:color="auto"/>
            </w:tcBorders>
            <w:shd w:val="clear" w:color="auto" w:fill="auto"/>
            <w:noWrap/>
            <w:vAlign w:val="center"/>
            <w:hideMark/>
          </w:tcPr>
          <w:p w14:paraId="11396EC3"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347</w:t>
            </w:r>
          </w:p>
        </w:tc>
        <w:tc>
          <w:tcPr>
            <w:tcW w:w="806" w:type="dxa"/>
            <w:tcBorders>
              <w:top w:val="nil"/>
              <w:left w:val="nil"/>
              <w:bottom w:val="single" w:sz="4" w:space="0" w:color="auto"/>
              <w:right w:val="single" w:sz="4" w:space="0" w:color="auto"/>
            </w:tcBorders>
            <w:shd w:val="clear" w:color="auto" w:fill="auto"/>
            <w:noWrap/>
            <w:vAlign w:val="center"/>
            <w:hideMark/>
          </w:tcPr>
          <w:p w14:paraId="635ADF9E"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399</w:t>
            </w:r>
          </w:p>
        </w:tc>
        <w:tc>
          <w:tcPr>
            <w:tcW w:w="806" w:type="dxa"/>
            <w:tcBorders>
              <w:top w:val="nil"/>
              <w:left w:val="nil"/>
              <w:bottom w:val="single" w:sz="4" w:space="0" w:color="auto"/>
              <w:right w:val="single" w:sz="4" w:space="0" w:color="auto"/>
            </w:tcBorders>
            <w:shd w:val="clear" w:color="auto" w:fill="auto"/>
            <w:noWrap/>
            <w:vAlign w:val="center"/>
            <w:hideMark/>
          </w:tcPr>
          <w:p w14:paraId="304193C1"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385</w:t>
            </w:r>
          </w:p>
        </w:tc>
        <w:tc>
          <w:tcPr>
            <w:tcW w:w="807" w:type="dxa"/>
            <w:tcBorders>
              <w:top w:val="nil"/>
              <w:left w:val="nil"/>
              <w:bottom w:val="single" w:sz="4" w:space="0" w:color="auto"/>
              <w:right w:val="single" w:sz="4" w:space="0" w:color="auto"/>
            </w:tcBorders>
            <w:shd w:val="clear" w:color="auto" w:fill="auto"/>
            <w:noWrap/>
            <w:vAlign w:val="center"/>
            <w:hideMark/>
          </w:tcPr>
          <w:p w14:paraId="5ECE2768"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345</w:t>
            </w:r>
          </w:p>
        </w:tc>
        <w:tc>
          <w:tcPr>
            <w:tcW w:w="846" w:type="dxa"/>
            <w:tcBorders>
              <w:top w:val="nil"/>
              <w:left w:val="nil"/>
              <w:bottom w:val="single" w:sz="4" w:space="0" w:color="auto"/>
              <w:right w:val="single" w:sz="4" w:space="0" w:color="auto"/>
            </w:tcBorders>
            <w:shd w:val="clear" w:color="auto" w:fill="auto"/>
            <w:noWrap/>
            <w:vAlign w:val="center"/>
            <w:hideMark/>
          </w:tcPr>
          <w:p w14:paraId="25CAA7E2"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337</w:t>
            </w:r>
          </w:p>
        </w:tc>
        <w:tc>
          <w:tcPr>
            <w:tcW w:w="807" w:type="dxa"/>
            <w:tcBorders>
              <w:top w:val="nil"/>
              <w:left w:val="nil"/>
              <w:bottom w:val="single" w:sz="4" w:space="0" w:color="auto"/>
              <w:right w:val="single" w:sz="4" w:space="0" w:color="auto"/>
            </w:tcBorders>
            <w:shd w:val="clear" w:color="auto" w:fill="auto"/>
            <w:noWrap/>
            <w:vAlign w:val="center"/>
            <w:hideMark/>
          </w:tcPr>
          <w:p w14:paraId="6A97608A"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3124</w:t>
            </w:r>
          </w:p>
        </w:tc>
        <w:tc>
          <w:tcPr>
            <w:tcW w:w="146" w:type="dxa"/>
            <w:gridSpan w:val="2"/>
            <w:vAlign w:val="center"/>
            <w:hideMark/>
          </w:tcPr>
          <w:p w14:paraId="4C5F8D5C" w14:textId="77777777" w:rsidR="00470495" w:rsidRPr="00470495" w:rsidRDefault="00470495" w:rsidP="00234CBE">
            <w:pPr>
              <w:spacing w:line="276" w:lineRule="auto"/>
              <w:rPr>
                <w:rFonts w:ascii="Times New Roman" w:hAnsi="Times New Roman"/>
                <w:sz w:val="20"/>
                <w:szCs w:val="20"/>
                <w:lang w:eastAsia="es-CR"/>
              </w:rPr>
            </w:pPr>
          </w:p>
        </w:tc>
      </w:tr>
      <w:tr w:rsidR="00470495" w:rsidRPr="00470495" w14:paraId="31F32EA0" w14:textId="77777777" w:rsidTr="00470495">
        <w:trPr>
          <w:gridAfter w:val="1"/>
          <w:wAfter w:w="19" w:type="dxa"/>
          <w:trHeight w:val="217"/>
          <w:jc w:val="center"/>
        </w:trPr>
        <w:tc>
          <w:tcPr>
            <w:tcW w:w="2236" w:type="dxa"/>
            <w:tcBorders>
              <w:top w:val="nil"/>
              <w:left w:val="single" w:sz="4" w:space="0" w:color="auto"/>
              <w:bottom w:val="single" w:sz="4" w:space="0" w:color="auto"/>
              <w:right w:val="single" w:sz="4" w:space="0" w:color="auto"/>
            </w:tcBorders>
            <w:shd w:val="clear" w:color="auto" w:fill="auto"/>
            <w:noWrap/>
            <w:vAlign w:val="center"/>
            <w:hideMark/>
          </w:tcPr>
          <w:p w14:paraId="1F876BD2" w14:textId="77777777" w:rsidR="00470495" w:rsidRPr="00470495" w:rsidRDefault="00470495" w:rsidP="00234CBE">
            <w:pPr>
              <w:spacing w:line="276" w:lineRule="auto"/>
              <w:jc w:val="right"/>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Inspección Fiscal</w:t>
            </w:r>
          </w:p>
        </w:tc>
        <w:tc>
          <w:tcPr>
            <w:tcW w:w="806" w:type="dxa"/>
            <w:tcBorders>
              <w:top w:val="nil"/>
              <w:left w:val="nil"/>
              <w:bottom w:val="single" w:sz="4" w:space="0" w:color="auto"/>
              <w:right w:val="single" w:sz="4" w:space="0" w:color="auto"/>
            </w:tcBorders>
            <w:shd w:val="clear" w:color="auto" w:fill="auto"/>
            <w:noWrap/>
            <w:vAlign w:val="center"/>
            <w:hideMark/>
          </w:tcPr>
          <w:p w14:paraId="294020A5"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57</w:t>
            </w:r>
          </w:p>
        </w:tc>
        <w:tc>
          <w:tcPr>
            <w:tcW w:w="807" w:type="dxa"/>
            <w:tcBorders>
              <w:top w:val="nil"/>
              <w:left w:val="nil"/>
              <w:bottom w:val="single" w:sz="4" w:space="0" w:color="auto"/>
              <w:right w:val="single" w:sz="4" w:space="0" w:color="auto"/>
            </w:tcBorders>
            <w:shd w:val="clear" w:color="auto" w:fill="auto"/>
            <w:noWrap/>
            <w:vAlign w:val="center"/>
            <w:hideMark/>
          </w:tcPr>
          <w:p w14:paraId="1C312D1D"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72</w:t>
            </w:r>
          </w:p>
        </w:tc>
        <w:tc>
          <w:tcPr>
            <w:tcW w:w="807" w:type="dxa"/>
            <w:tcBorders>
              <w:top w:val="nil"/>
              <w:left w:val="nil"/>
              <w:bottom w:val="single" w:sz="4" w:space="0" w:color="auto"/>
              <w:right w:val="single" w:sz="4" w:space="0" w:color="auto"/>
            </w:tcBorders>
            <w:shd w:val="clear" w:color="auto" w:fill="auto"/>
            <w:noWrap/>
            <w:vAlign w:val="center"/>
            <w:hideMark/>
          </w:tcPr>
          <w:p w14:paraId="259C7CD7"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84</w:t>
            </w:r>
          </w:p>
        </w:tc>
        <w:tc>
          <w:tcPr>
            <w:tcW w:w="806" w:type="dxa"/>
            <w:tcBorders>
              <w:top w:val="nil"/>
              <w:left w:val="nil"/>
              <w:bottom w:val="single" w:sz="4" w:space="0" w:color="auto"/>
              <w:right w:val="single" w:sz="4" w:space="0" w:color="auto"/>
            </w:tcBorders>
            <w:shd w:val="clear" w:color="auto" w:fill="auto"/>
            <w:noWrap/>
            <w:vAlign w:val="center"/>
            <w:hideMark/>
          </w:tcPr>
          <w:p w14:paraId="7F6E0CA2"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87</w:t>
            </w:r>
          </w:p>
        </w:tc>
        <w:tc>
          <w:tcPr>
            <w:tcW w:w="806" w:type="dxa"/>
            <w:tcBorders>
              <w:top w:val="nil"/>
              <w:left w:val="nil"/>
              <w:bottom w:val="single" w:sz="4" w:space="0" w:color="auto"/>
              <w:right w:val="single" w:sz="4" w:space="0" w:color="auto"/>
            </w:tcBorders>
            <w:shd w:val="clear" w:color="auto" w:fill="auto"/>
            <w:noWrap/>
            <w:vAlign w:val="center"/>
            <w:hideMark/>
          </w:tcPr>
          <w:p w14:paraId="3BE79C76"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72</w:t>
            </w:r>
          </w:p>
        </w:tc>
        <w:tc>
          <w:tcPr>
            <w:tcW w:w="806" w:type="dxa"/>
            <w:tcBorders>
              <w:top w:val="nil"/>
              <w:left w:val="nil"/>
              <w:bottom w:val="single" w:sz="4" w:space="0" w:color="auto"/>
              <w:right w:val="single" w:sz="4" w:space="0" w:color="auto"/>
            </w:tcBorders>
            <w:shd w:val="clear" w:color="auto" w:fill="auto"/>
            <w:noWrap/>
            <w:vAlign w:val="center"/>
            <w:hideMark/>
          </w:tcPr>
          <w:p w14:paraId="3F6A2D37"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99</w:t>
            </w:r>
          </w:p>
        </w:tc>
        <w:tc>
          <w:tcPr>
            <w:tcW w:w="806" w:type="dxa"/>
            <w:tcBorders>
              <w:top w:val="nil"/>
              <w:left w:val="nil"/>
              <w:bottom w:val="single" w:sz="4" w:space="0" w:color="auto"/>
              <w:right w:val="single" w:sz="4" w:space="0" w:color="auto"/>
            </w:tcBorders>
            <w:shd w:val="clear" w:color="auto" w:fill="auto"/>
            <w:noWrap/>
            <w:vAlign w:val="center"/>
            <w:hideMark/>
          </w:tcPr>
          <w:p w14:paraId="6755625B"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93</w:t>
            </w:r>
          </w:p>
        </w:tc>
        <w:tc>
          <w:tcPr>
            <w:tcW w:w="807" w:type="dxa"/>
            <w:tcBorders>
              <w:top w:val="nil"/>
              <w:left w:val="nil"/>
              <w:bottom w:val="single" w:sz="4" w:space="0" w:color="auto"/>
              <w:right w:val="single" w:sz="4" w:space="0" w:color="auto"/>
            </w:tcBorders>
            <w:shd w:val="clear" w:color="auto" w:fill="auto"/>
            <w:noWrap/>
            <w:vAlign w:val="center"/>
            <w:hideMark/>
          </w:tcPr>
          <w:p w14:paraId="51AB32EC"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78</w:t>
            </w:r>
          </w:p>
        </w:tc>
        <w:tc>
          <w:tcPr>
            <w:tcW w:w="846" w:type="dxa"/>
            <w:tcBorders>
              <w:top w:val="nil"/>
              <w:left w:val="nil"/>
              <w:bottom w:val="single" w:sz="4" w:space="0" w:color="auto"/>
              <w:right w:val="single" w:sz="4" w:space="0" w:color="auto"/>
            </w:tcBorders>
            <w:shd w:val="clear" w:color="auto" w:fill="auto"/>
            <w:noWrap/>
            <w:vAlign w:val="center"/>
            <w:hideMark/>
          </w:tcPr>
          <w:p w14:paraId="2FCD56DC"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113</w:t>
            </w:r>
          </w:p>
        </w:tc>
        <w:tc>
          <w:tcPr>
            <w:tcW w:w="807" w:type="dxa"/>
            <w:tcBorders>
              <w:top w:val="nil"/>
              <w:left w:val="nil"/>
              <w:bottom w:val="single" w:sz="4" w:space="0" w:color="auto"/>
              <w:right w:val="single" w:sz="4" w:space="0" w:color="auto"/>
            </w:tcBorders>
            <w:shd w:val="clear" w:color="auto" w:fill="auto"/>
            <w:noWrap/>
            <w:vAlign w:val="center"/>
            <w:hideMark/>
          </w:tcPr>
          <w:p w14:paraId="738A0891"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755</w:t>
            </w:r>
          </w:p>
        </w:tc>
        <w:tc>
          <w:tcPr>
            <w:tcW w:w="146" w:type="dxa"/>
            <w:gridSpan w:val="2"/>
            <w:vAlign w:val="center"/>
            <w:hideMark/>
          </w:tcPr>
          <w:p w14:paraId="117789EE" w14:textId="77777777" w:rsidR="00470495" w:rsidRPr="00470495" w:rsidRDefault="00470495" w:rsidP="00234CBE">
            <w:pPr>
              <w:spacing w:line="276" w:lineRule="auto"/>
              <w:rPr>
                <w:rFonts w:ascii="Times New Roman" w:hAnsi="Times New Roman"/>
                <w:sz w:val="20"/>
                <w:szCs w:val="20"/>
                <w:lang w:eastAsia="es-CR"/>
              </w:rPr>
            </w:pPr>
          </w:p>
        </w:tc>
      </w:tr>
      <w:tr w:rsidR="00470495" w:rsidRPr="00470495" w14:paraId="684E6D3E" w14:textId="77777777" w:rsidTr="00470495">
        <w:trPr>
          <w:gridAfter w:val="1"/>
          <w:wAfter w:w="19" w:type="dxa"/>
          <w:trHeight w:val="217"/>
          <w:jc w:val="center"/>
        </w:trPr>
        <w:tc>
          <w:tcPr>
            <w:tcW w:w="2236" w:type="dxa"/>
            <w:tcBorders>
              <w:top w:val="nil"/>
              <w:left w:val="single" w:sz="4" w:space="0" w:color="auto"/>
              <w:bottom w:val="single" w:sz="4" w:space="0" w:color="auto"/>
              <w:right w:val="single" w:sz="4" w:space="0" w:color="auto"/>
            </w:tcBorders>
            <w:shd w:val="clear" w:color="auto" w:fill="auto"/>
            <w:noWrap/>
            <w:vAlign w:val="center"/>
            <w:hideMark/>
          </w:tcPr>
          <w:p w14:paraId="59508EAF" w14:textId="77777777" w:rsidR="00470495" w:rsidRPr="00470495" w:rsidRDefault="00470495" w:rsidP="00234CBE">
            <w:pPr>
              <w:spacing w:line="276" w:lineRule="auto"/>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 </w:t>
            </w:r>
          </w:p>
        </w:tc>
        <w:tc>
          <w:tcPr>
            <w:tcW w:w="806" w:type="dxa"/>
            <w:tcBorders>
              <w:top w:val="nil"/>
              <w:left w:val="nil"/>
              <w:bottom w:val="single" w:sz="4" w:space="0" w:color="auto"/>
              <w:right w:val="single" w:sz="4" w:space="0" w:color="auto"/>
            </w:tcBorders>
            <w:shd w:val="clear" w:color="auto" w:fill="auto"/>
            <w:noWrap/>
            <w:vAlign w:val="center"/>
            <w:hideMark/>
          </w:tcPr>
          <w:p w14:paraId="027EB242"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 </w:t>
            </w:r>
          </w:p>
        </w:tc>
        <w:tc>
          <w:tcPr>
            <w:tcW w:w="807" w:type="dxa"/>
            <w:tcBorders>
              <w:top w:val="nil"/>
              <w:left w:val="nil"/>
              <w:bottom w:val="single" w:sz="4" w:space="0" w:color="auto"/>
              <w:right w:val="single" w:sz="4" w:space="0" w:color="auto"/>
            </w:tcBorders>
            <w:shd w:val="clear" w:color="auto" w:fill="auto"/>
            <w:noWrap/>
            <w:vAlign w:val="center"/>
            <w:hideMark/>
          </w:tcPr>
          <w:p w14:paraId="518949EB"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 </w:t>
            </w:r>
          </w:p>
        </w:tc>
        <w:tc>
          <w:tcPr>
            <w:tcW w:w="807" w:type="dxa"/>
            <w:tcBorders>
              <w:top w:val="nil"/>
              <w:left w:val="nil"/>
              <w:bottom w:val="single" w:sz="4" w:space="0" w:color="auto"/>
              <w:right w:val="single" w:sz="4" w:space="0" w:color="auto"/>
            </w:tcBorders>
            <w:shd w:val="clear" w:color="auto" w:fill="auto"/>
            <w:noWrap/>
            <w:vAlign w:val="center"/>
            <w:hideMark/>
          </w:tcPr>
          <w:p w14:paraId="1AE5A234"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 </w:t>
            </w:r>
          </w:p>
        </w:tc>
        <w:tc>
          <w:tcPr>
            <w:tcW w:w="806" w:type="dxa"/>
            <w:tcBorders>
              <w:top w:val="nil"/>
              <w:left w:val="nil"/>
              <w:bottom w:val="single" w:sz="4" w:space="0" w:color="auto"/>
              <w:right w:val="single" w:sz="4" w:space="0" w:color="auto"/>
            </w:tcBorders>
            <w:shd w:val="clear" w:color="auto" w:fill="auto"/>
            <w:noWrap/>
            <w:vAlign w:val="center"/>
            <w:hideMark/>
          </w:tcPr>
          <w:p w14:paraId="768C6999"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 </w:t>
            </w:r>
          </w:p>
        </w:tc>
        <w:tc>
          <w:tcPr>
            <w:tcW w:w="806" w:type="dxa"/>
            <w:tcBorders>
              <w:top w:val="nil"/>
              <w:left w:val="nil"/>
              <w:bottom w:val="single" w:sz="4" w:space="0" w:color="auto"/>
              <w:right w:val="single" w:sz="4" w:space="0" w:color="auto"/>
            </w:tcBorders>
            <w:shd w:val="clear" w:color="auto" w:fill="auto"/>
            <w:noWrap/>
            <w:vAlign w:val="center"/>
            <w:hideMark/>
          </w:tcPr>
          <w:p w14:paraId="03BC0214"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 </w:t>
            </w:r>
          </w:p>
        </w:tc>
        <w:tc>
          <w:tcPr>
            <w:tcW w:w="806" w:type="dxa"/>
            <w:tcBorders>
              <w:top w:val="nil"/>
              <w:left w:val="nil"/>
              <w:bottom w:val="single" w:sz="4" w:space="0" w:color="auto"/>
              <w:right w:val="single" w:sz="4" w:space="0" w:color="auto"/>
            </w:tcBorders>
            <w:shd w:val="clear" w:color="auto" w:fill="auto"/>
            <w:noWrap/>
            <w:vAlign w:val="center"/>
            <w:hideMark/>
          </w:tcPr>
          <w:p w14:paraId="5EA87788"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 </w:t>
            </w:r>
          </w:p>
        </w:tc>
        <w:tc>
          <w:tcPr>
            <w:tcW w:w="806" w:type="dxa"/>
            <w:tcBorders>
              <w:top w:val="nil"/>
              <w:left w:val="nil"/>
              <w:bottom w:val="single" w:sz="4" w:space="0" w:color="auto"/>
              <w:right w:val="single" w:sz="4" w:space="0" w:color="auto"/>
            </w:tcBorders>
            <w:shd w:val="clear" w:color="auto" w:fill="auto"/>
            <w:noWrap/>
            <w:vAlign w:val="center"/>
            <w:hideMark/>
          </w:tcPr>
          <w:p w14:paraId="7FFE7412"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 </w:t>
            </w:r>
          </w:p>
        </w:tc>
        <w:tc>
          <w:tcPr>
            <w:tcW w:w="807" w:type="dxa"/>
            <w:tcBorders>
              <w:top w:val="nil"/>
              <w:left w:val="nil"/>
              <w:bottom w:val="single" w:sz="4" w:space="0" w:color="auto"/>
              <w:right w:val="single" w:sz="4" w:space="0" w:color="auto"/>
            </w:tcBorders>
            <w:shd w:val="clear" w:color="auto" w:fill="auto"/>
            <w:noWrap/>
            <w:vAlign w:val="center"/>
            <w:hideMark/>
          </w:tcPr>
          <w:p w14:paraId="5FB7C44F"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 </w:t>
            </w:r>
          </w:p>
        </w:tc>
        <w:tc>
          <w:tcPr>
            <w:tcW w:w="846" w:type="dxa"/>
            <w:tcBorders>
              <w:top w:val="nil"/>
              <w:left w:val="nil"/>
              <w:bottom w:val="single" w:sz="4" w:space="0" w:color="auto"/>
              <w:right w:val="single" w:sz="4" w:space="0" w:color="auto"/>
            </w:tcBorders>
            <w:shd w:val="clear" w:color="auto" w:fill="auto"/>
            <w:noWrap/>
            <w:vAlign w:val="center"/>
            <w:hideMark/>
          </w:tcPr>
          <w:p w14:paraId="27F2E896"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 </w:t>
            </w:r>
          </w:p>
        </w:tc>
        <w:tc>
          <w:tcPr>
            <w:tcW w:w="807" w:type="dxa"/>
            <w:tcBorders>
              <w:top w:val="nil"/>
              <w:left w:val="nil"/>
              <w:bottom w:val="single" w:sz="4" w:space="0" w:color="auto"/>
              <w:right w:val="single" w:sz="4" w:space="0" w:color="auto"/>
            </w:tcBorders>
            <w:shd w:val="clear" w:color="auto" w:fill="auto"/>
            <w:noWrap/>
            <w:vAlign w:val="center"/>
            <w:hideMark/>
          </w:tcPr>
          <w:p w14:paraId="2CD18CD3"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 </w:t>
            </w:r>
          </w:p>
        </w:tc>
        <w:tc>
          <w:tcPr>
            <w:tcW w:w="146" w:type="dxa"/>
            <w:gridSpan w:val="2"/>
            <w:vAlign w:val="center"/>
            <w:hideMark/>
          </w:tcPr>
          <w:p w14:paraId="7E143551" w14:textId="77777777" w:rsidR="00470495" w:rsidRPr="00470495" w:rsidRDefault="00470495" w:rsidP="00234CBE">
            <w:pPr>
              <w:spacing w:line="276" w:lineRule="auto"/>
              <w:rPr>
                <w:rFonts w:ascii="Times New Roman" w:hAnsi="Times New Roman"/>
                <w:sz w:val="20"/>
                <w:szCs w:val="20"/>
                <w:lang w:eastAsia="es-CR"/>
              </w:rPr>
            </w:pPr>
          </w:p>
        </w:tc>
      </w:tr>
      <w:tr w:rsidR="00470495" w:rsidRPr="00470495" w14:paraId="7BAF7E73" w14:textId="77777777" w:rsidTr="00470495">
        <w:trPr>
          <w:gridAfter w:val="1"/>
          <w:wAfter w:w="19" w:type="dxa"/>
          <w:trHeight w:val="217"/>
          <w:jc w:val="center"/>
        </w:trPr>
        <w:tc>
          <w:tcPr>
            <w:tcW w:w="2236" w:type="dxa"/>
            <w:tcBorders>
              <w:top w:val="nil"/>
              <w:left w:val="single" w:sz="4" w:space="0" w:color="auto"/>
              <w:bottom w:val="single" w:sz="4" w:space="0" w:color="auto"/>
              <w:right w:val="single" w:sz="4" w:space="0" w:color="auto"/>
            </w:tcBorders>
            <w:shd w:val="clear" w:color="auto" w:fill="auto"/>
            <w:noWrap/>
            <w:vAlign w:val="center"/>
            <w:hideMark/>
          </w:tcPr>
          <w:p w14:paraId="23C1D771" w14:textId="77777777" w:rsidR="00470495" w:rsidRPr="00470495" w:rsidRDefault="00470495" w:rsidP="00234CBE">
            <w:pPr>
              <w:spacing w:line="276" w:lineRule="auto"/>
              <w:rPr>
                <w:rFonts w:ascii="Book Antiqua" w:hAnsi="Book Antiqua" w:cs="Calibri"/>
                <w:b/>
                <w:bCs/>
                <w:color w:val="000000"/>
                <w:sz w:val="16"/>
                <w:szCs w:val="16"/>
                <w:lang w:eastAsia="es-CR"/>
              </w:rPr>
            </w:pPr>
            <w:r w:rsidRPr="00470495">
              <w:rPr>
                <w:rFonts w:ascii="Book Antiqua" w:hAnsi="Book Antiqua" w:cs="Calibri"/>
                <w:b/>
                <w:bCs/>
                <w:color w:val="000000"/>
                <w:sz w:val="16"/>
                <w:szCs w:val="16"/>
                <w:lang w:eastAsia="es-CR"/>
              </w:rPr>
              <w:t>Penal</w:t>
            </w:r>
          </w:p>
        </w:tc>
        <w:tc>
          <w:tcPr>
            <w:tcW w:w="806" w:type="dxa"/>
            <w:tcBorders>
              <w:top w:val="nil"/>
              <w:left w:val="nil"/>
              <w:bottom w:val="single" w:sz="4" w:space="0" w:color="auto"/>
              <w:right w:val="single" w:sz="4" w:space="0" w:color="auto"/>
            </w:tcBorders>
            <w:shd w:val="clear" w:color="auto" w:fill="auto"/>
            <w:noWrap/>
            <w:vAlign w:val="center"/>
            <w:hideMark/>
          </w:tcPr>
          <w:p w14:paraId="5E72BD73" w14:textId="77777777" w:rsidR="00470495" w:rsidRPr="00470495" w:rsidRDefault="00470495" w:rsidP="00234CBE">
            <w:pPr>
              <w:spacing w:line="276" w:lineRule="auto"/>
              <w:jc w:val="center"/>
              <w:rPr>
                <w:rFonts w:ascii="Book Antiqua" w:hAnsi="Book Antiqua" w:cs="Calibri"/>
                <w:b/>
                <w:bCs/>
                <w:color w:val="000000"/>
                <w:sz w:val="16"/>
                <w:szCs w:val="16"/>
                <w:u w:val="single"/>
                <w:lang w:eastAsia="es-CR"/>
              </w:rPr>
            </w:pPr>
            <w:r w:rsidRPr="00470495">
              <w:rPr>
                <w:rFonts w:ascii="Book Antiqua" w:hAnsi="Book Antiqua" w:cs="Calibri"/>
                <w:b/>
                <w:bCs/>
                <w:color w:val="000000"/>
                <w:sz w:val="16"/>
                <w:szCs w:val="16"/>
                <w:u w:val="single"/>
                <w:lang w:eastAsia="es-CR"/>
              </w:rPr>
              <w:t>10740</w:t>
            </w:r>
          </w:p>
        </w:tc>
        <w:tc>
          <w:tcPr>
            <w:tcW w:w="807" w:type="dxa"/>
            <w:tcBorders>
              <w:top w:val="nil"/>
              <w:left w:val="nil"/>
              <w:bottom w:val="single" w:sz="4" w:space="0" w:color="auto"/>
              <w:right w:val="single" w:sz="4" w:space="0" w:color="auto"/>
            </w:tcBorders>
            <w:shd w:val="clear" w:color="auto" w:fill="auto"/>
            <w:noWrap/>
            <w:vAlign w:val="center"/>
            <w:hideMark/>
          </w:tcPr>
          <w:p w14:paraId="72DAD5D7" w14:textId="77777777" w:rsidR="00470495" w:rsidRPr="00470495" w:rsidRDefault="00470495" w:rsidP="00234CBE">
            <w:pPr>
              <w:spacing w:line="276" w:lineRule="auto"/>
              <w:jc w:val="center"/>
              <w:rPr>
                <w:rFonts w:ascii="Book Antiqua" w:hAnsi="Book Antiqua" w:cs="Calibri"/>
                <w:b/>
                <w:bCs/>
                <w:color w:val="000000"/>
                <w:sz w:val="16"/>
                <w:szCs w:val="16"/>
                <w:u w:val="single"/>
                <w:lang w:eastAsia="es-CR"/>
              </w:rPr>
            </w:pPr>
            <w:r w:rsidRPr="00470495">
              <w:rPr>
                <w:rFonts w:ascii="Book Antiqua" w:hAnsi="Book Antiqua" w:cs="Calibri"/>
                <w:b/>
                <w:bCs/>
                <w:color w:val="000000"/>
                <w:sz w:val="16"/>
                <w:szCs w:val="16"/>
                <w:u w:val="single"/>
                <w:lang w:eastAsia="es-CR"/>
              </w:rPr>
              <w:t>14278</w:t>
            </w:r>
          </w:p>
        </w:tc>
        <w:tc>
          <w:tcPr>
            <w:tcW w:w="807" w:type="dxa"/>
            <w:tcBorders>
              <w:top w:val="nil"/>
              <w:left w:val="nil"/>
              <w:bottom w:val="single" w:sz="4" w:space="0" w:color="auto"/>
              <w:right w:val="single" w:sz="4" w:space="0" w:color="auto"/>
            </w:tcBorders>
            <w:shd w:val="clear" w:color="auto" w:fill="auto"/>
            <w:noWrap/>
            <w:vAlign w:val="center"/>
            <w:hideMark/>
          </w:tcPr>
          <w:p w14:paraId="504A9CFB" w14:textId="77777777" w:rsidR="00470495" w:rsidRPr="00470495" w:rsidRDefault="00470495" w:rsidP="00234CBE">
            <w:pPr>
              <w:spacing w:line="276" w:lineRule="auto"/>
              <w:jc w:val="center"/>
              <w:rPr>
                <w:rFonts w:ascii="Book Antiqua" w:hAnsi="Book Antiqua" w:cs="Calibri"/>
                <w:b/>
                <w:bCs/>
                <w:color w:val="000000"/>
                <w:sz w:val="16"/>
                <w:szCs w:val="16"/>
                <w:u w:val="single"/>
                <w:lang w:eastAsia="es-CR"/>
              </w:rPr>
            </w:pPr>
            <w:r w:rsidRPr="00470495">
              <w:rPr>
                <w:rFonts w:ascii="Book Antiqua" w:hAnsi="Book Antiqua" w:cs="Calibri"/>
                <w:b/>
                <w:bCs/>
                <w:color w:val="000000"/>
                <w:sz w:val="16"/>
                <w:szCs w:val="16"/>
                <w:u w:val="single"/>
                <w:lang w:eastAsia="es-CR"/>
              </w:rPr>
              <w:t>14641</w:t>
            </w:r>
          </w:p>
        </w:tc>
        <w:tc>
          <w:tcPr>
            <w:tcW w:w="806" w:type="dxa"/>
            <w:tcBorders>
              <w:top w:val="nil"/>
              <w:left w:val="nil"/>
              <w:bottom w:val="single" w:sz="4" w:space="0" w:color="auto"/>
              <w:right w:val="single" w:sz="4" w:space="0" w:color="auto"/>
            </w:tcBorders>
            <w:shd w:val="clear" w:color="auto" w:fill="auto"/>
            <w:noWrap/>
            <w:vAlign w:val="center"/>
            <w:hideMark/>
          </w:tcPr>
          <w:p w14:paraId="59751708" w14:textId="77777777" w:rsidR="00470495" w:rsidRPr="00470495" w:rsidRDefault="00470495" w:rsidP="00234CBE">
            <w:pPr>
              <w:spacing w:line="276" w:lineRule="auto"/>
              <w:jc w:val="center"/>
              <w:rPr>
                <w:rFonts w:ascii="Book Antiqua" w:hAnsi="Book Antiqua" w:cs="Calibri"/>
                <w:b/>
                <w:bCs/>
                <w:color w:val="000000"/>
                <w:sz w:val="16"/>
                <w:szCs w:val="16"/>
                <w:u w:val="single"/>
                <w:lang w:eastAsia="es-CR"/>
              </w:rPr>
            </w:pPr>
            <w:r w:rsidRPr="00470495">
              <w:rPr>
                <w:rFonts w:ascii="Book Antiqua" w:hAnsi="Book Antiqua" w:cs="Calibri"/>
                <w:b/>
                <w:bCs/>
                <w:color w:val="000000"/>
                <w:sz w:val="16"/>
                <w:szCs w:val="16"/>
                <w:u w:val="single"/>
                <w:lang w:eastAsia="es-CR"/>
              </w:rPr>
              <w:t>13293</w:t>
            </w:r>
          </w:p>
        </w:tc>
        <w:tc>
          <w:tcPr>
            <w:tcW w:w="806" w:type="dxa"/>
            <w:tcBorders>
              <w:top w:val="nil"/>
              <w:left w:val="nil"/>
              <w:bottom w:val="single" w:sz="4" w:space="0" w:color="auto"/>
              <w:right w:val="single" w:sz="4" w:space="0" w:color="auto"/>
            </w:tcBorders>
            <w:shd w:val="clear" w:color="auto" w:fill="auto"/>
            <w:noWrap/>
            <w:vAlign w:val="center"/>
            <w:hideMark/>
          </w:tcPr>
          <w:p w14:paraId="7C01838A" w14:textId="77777777" w:rsidR="00470495" w:rsidRPr="00470495" w:rsidRDefault="00470495" w:rsidP="00234CBE">
            <w:pPr>
              <w:spacing w:line="276" w:lineRule="auto"/>
              <w:jc w:val="center"/>
              <w:rPr>
                <w:rFonts w:ascii="Book Antiqua" w:hAnsi="Book Antiqua" w:cs="Calibri"/>
                <w:b/>
                <w:bCs/>
                <w:color w:val="000000"/>
                <w:sz w:val="16"/>
                <w:szCs w:val="16"/>
                <w:u w:val="single"/>
                <w:lang w:eastAsia="es-CR"/>
              </w:rPr>
            </w:pPr>
            <w:r w:rsidRPr="00470495">
              <w:rPr>
                <w:rFonts w:ascii="Book Antiqua" w:hAnsi="Book Antiqua" w:cs="Calibri"/>
                <w:b/>
                <w:bCs/>
                <w:color w:val="000000"/>
                <w:sz w:val="16"/>
                <w:szCs w:val="16"/>
                <w:u w:val="single"/>
                <w:lang w:eastAsia="es-CR"/>
              </w:rPr>
              <w:t>13266</w:t>
            </w:r>
          </w:p>
        </w:tc>
        <w:tc>
          <w:tcPr>
            <w:tcW w:w="806" w:type="dxa"/>
            <w:tcBorders>
              <w:top w:val="nil"/>
              <w:left w:val="nil"/>
              <w:bottom w:val="single" w:sz="4" w:space="0" w:color="auto"/>
              <w:right w:val="single" w:sz="4" w:space="0" w:color="auto"/>
            </w:tcBorders>
            <w:shd w:val="clear" w:color="auto" w:fill="auto"/>
            <w:noWrap/>
            <w:vAlign w:val="center"/>
            <w:hideMark/>
          </w:tcPr>
          <w:p w14:paraId="61204C14" w14:textId="77777777" w:rsidR="00470495" w:rsidRPr="00470495" w:rsidRDefault="00470495" w:rsidP="00234CBE">
            <w:pPr>
              <w:spacing w:line="276" w:lineRule="auto"/>
              <w:jc w:val="center"/>
              <w:rPr>
                <w:rFonts w:ascii="Book Antiqua" w:hAnsi="Book Antiqua" w:cs="Calibri"/>
                <w:b/>
                <w:bCs/>
                <w:color w:val="000000"/>
                <w:sz w:val="16"/>
                <w:szCs w:val="16"/>
                <w:u w:val="single"/>
                <w:lang w:eastAsia="es-CR"/>
              </w:rPr>
            </w:pPr>
            <w:r w:rsidRPr="00470495">
              <w:rPr>
                <w:rFonts w:ascii="Book Antiqua" w:hAnsi="Book Antiqua" w:cs="Calibri"/>
                <w:b/>
                <w:bCs/>
                <w:color w:val="000000"/>
                <w:sz w:val="16"/>
                <w:szCs w:val="16"/>
                <w:u w:val="single"/>
                <w:lang w:eastAsia="es-CR"/>
              </w:rPr>
              <w:t>14270</w:t>
            </w:r>
          </w:p>
        </w:tc>
        <w:tc>
          <w:tcPr>
            <w:tcW w:w="806" w:type="dxa"/>
            <w:tcBorders>
              <w:top w:val="nil"/>
              <w:left w:val="nil"/>
              <w:bottom w:val="single" w:sz="4" w:space="0" w:color="auto"/>
              <w:right w:val="single" w:sz="4" w:space="0" w:color="auto"/>
            </w:tcBorders>
            <w:shd w:val="clear" w:color="auto" w:fill="auto"/>
            <w:noWrap/>
            <w:vAlign w:val="center"/>
            <w:hideMark/>
          </w:tcPr>
          <w:p w14:paraId="2F137A5A" w14:textId="77777777" w:rsidR="00470495" w:rsidRPr="00470495" w:rsidRDefault="00470495" w:rsidP="00234CBE">
            <w:pPr>
              <w:spacing w:line="276" w:lineRule="auto"/>
              <w:jc w:val="center"/>
              <w:rPr>
                <w:rFonts w:ascii="Book Antiqua" w:hAnsi="Book Antiqua" w:cs="Calibri"/>
                <w:b/>
                <w:bCs/>
                <w:color w:val="000000"/>
                <w:sz w:val="16"/>
                <w:szCs w:val="16"/>
                <w:u w:val="single"/>
                <w:lang w:eastAsia="es-CR"/>
              </w:rPr>
            </w:pPr>
            <w:r w:rsidRPr="00470495">
              <w:rPr>
                <w:rFonts w:ascii="Book Antiqua" w:hAnsi="Book Antiqua" w:cs="Calibri"/>
                <w:b/>
                <w:bCs/>
                <w:color w:val="000000"/>
                <w:sz w:val="16"/>
                <w:szCs w:val="16"/>
                <w:u w:val="single"/>
                <w:lang w:eastAsia="es-CR"/>
              </w:rPr>
              <w:t>13460</w:t>
            </w:r>
          </w:p>
        </w:tc>
        <w:tc>
          <w:tcPr>
            <w:tcW w:w="807" w:type="dxa"/>
            <w:tcBorders>
              <w:top w:val="nil"/>
              <w:left w:val="nil"/>
              <w:bottom w:val="single" w:sz="4" w:space="0" w:color="auto"/>
              <w:right w:val="single" w:sz="4" w:space="0" w:color="auto"/>
            </w:tcBorders>
            <w:shd w:val="clear" w:color="auto" w:fill="auto"/>
            <w:noWrap/>
            <w:vAlign w:val="center"/>
            <w:hideMark/>
          </w:tcPr>
          <w:p w14:paraId="1949956E" w14:textId="77777777" w:rsidR="00470495" w:rsidRPr="00470495" w:rsidRDefault="00470495" w:rsidP="00234CBE">
            <w:pPr>
              <w:spacing w:line="276" w:lineRule="auto"/>
              <w:jc w:val="center"/>
              <w:rPr>
                <w:rFonts w:ascii="Book Antiqua" w:hAnsi="Book Antiqua" w:cs="Calibri"/>
                <w:b/>
                <w:bCs/>
                <w:color w:val="000000"/>
                <w:sz w:val="16"/>
                <w:szCs w:val="16"/>
                <w:u w:val="single"/>
                <w:lang w:eastAsia="es-CR"/>
              </w:rPr>
            </w:pPr>
            <w:r w:rsidRPr="00470495">
              <w:rPr>
                <w:rFonts w:ascii="Book Antiqua" w:hAnsi="Book Antiqua" w:cs="Calibri"/>
                <w:b/>
                <w:bCs/>
                <w:color w:val="000000"/>
                <w:sz w:val="16"/>
                <w:szCs w:val="16"/>
                <w:u w:val="single"/>
                <w:lang w:eastAsia="es-CR"/>
              </w:rPr>
              <w:t>14519</w:t>
            </w:r>
          </w:p>
        </w:tc>
        <w:tc>
          <w:tcPr>
            <w:tcW w:w="846" w:type="dxa"/>
            <w:tcBorders>
              <w:top w:val="nil"/>
              <w:left w:val="nil"/>
              <w:bottom w:val="single" w:sz="4" w:space="0" w:color="auto"/>
              <w:right w:val="single" w:sz="4" w:space="0" w:color="auto"/>
            </w:tcBorders>
            <w:shd w:val="clear" w:color="auto" w:fill="auto"/>
            <w:noWrap/>
            <w:vAlign w:val="center"/>
            <w:hideMark/>
          </w:tcPr>
          <w:p w14:paraId="36F6626C" w14:textId="77777777" w:rsidR="00470495" w:rsidRPr="00470495" w:rsidRDefault="00470495" w:rsidP="00234CBE">
            <w:pPr>
              <w:spacing w:line="276" w:lineRule="auto"/>
              <w:jc w:val="center"/>
              <w:rPr>
                <w:rFonts w:ascii="Book Antiqua" w:hAnsi="Book Antiqua" w:cs="Calibri"/>
                <w:b/>
                <w:bCs/>
                <w:color w:val="000000"/>
                <w:sz w:val="16"/>
                <w:szCs w:val="16"/>
                <w:u w:val="single"/>
                <w:lang w:eastAsia="es-CR"/>
              </w:rPr>
            </w:pPr>
            <w:r w:rsidRPr="00470495">
              <w:rPr>
                <w:rFonts w:ascii="Book Antiqua" w:hAnsi="Book Antiqua" w:cs="Calibri"/>
                <w:b/>
                <w:bCs/>
                <w:color w:val="000000"/>
                <w:sz w:val="16"/>
                <w:szCs w:val="16"/>
                <w:u w:val="single"/>
                <w:lang w:eastAsia="es-CR"/>
              </w:rPr>
              <w:t>14422</w:t>
            </w:r>
          </w:p>
        </w:tc>
        <w:tc>
          <w:tcPr>
            <w:tcW w:w="807" w:type="dxa"/>
            <w:tcBorders>
              <w:top w:val="nil"/>
              <w:left w:val="nil"/>
              <w:bottom w:val="single" w:sz="4" w:space="0" w:color="auto"/>
              <w:right w:val="single" w:sz="4" w:space="0" w:color="auto"/>
            </w:tcBorders>
            <w:shd w:val="clear" w:color="auto" w:fill="auto"/>
            <w:noWrap/>
            <w:vAlign w:val="center"/>
            <w:hideMark/>
          </w:tcPr>
          <w:p w14:paraId="252A8B53" w14:textId="77777777" w:rsidR="00470495" w:rsidRPr="00470495" w:rsidRDefault="00470495" w:rsidP="00234CBE">
            <w:pPr>
              <w:spacing w:line="276" w:lineRule="auto"/>
              <w:jc w:val="center"/>
              <w:rPr>
                <w:rFonts w:ascii="Book Antiqua" w:hAnsi="Book Antiqua" w:cs="Calibri"/>
                <w:b/>
                <w:bCs/>
                <w:color w:val="000000"/>
                <w:sz w:val="16"/>
                <w:szCs w:val="16"/>
                <w:u w:val="single"/>
                <w:lang w:eastAsia="es-CR"/>
              </w:rPr>
            </w:pPr>
            <w:r w:rsidRPr="00470495">
              <w:rPr>
                <w:rFonts w:ascii="Book Antiqua" w:hAnsi="Book Antiqua" w:cs="Calibri"/>
                <w:b/>
                <w:bCs/>
                <w:color w:val="000000"/>
                <w:sz w:val="16"/>
                <w:szCs w:val="16"/>
                <w:u w:val="single"/>
                <w:lang w:eastAsia="es-CR"/>
              </w:rPr>
              <w:t>122889</w:t>
            </w:r>
          </w:p>
        </w:tc>
        <w:tc>
          <w:tcPr>
            <w:tcW w:w="146" w:type="dxa"/>
            <w:gridSpan w:val="2"/>
            <w:vAlign w:val="center"/>
            <w:hideMark/>
          </w:tcPr>
          <w:p w14:paraId="6C2FAA91" w14:textId="77777777" w:rsidR="00470495" w:rsidRPr="00470495" w:rsidRDefault="00470495" w:rsidP="00234CBE">
            <w:pPr>
              <w:spacing w:line="276" w:lineRule="auto"/>
              <w:rPr>
                <w:rFonts w:ascii="Times New Roman" w:hAnsi="Times New Roman"/>
                <w:sz w:val="20"/>
                <w:szCs w:val="20"/>
                <w:lang w:eastAsia="es-CR"/>
              </w:rPr>
            </w:pPr>
          </w:p>
        </w:tc>
      </w:tr>
      <w:tr w:rsidR="00470495" w:rsidRPr="00470495" w14:paraId="10C82597" w14:textId="77777777" w:rsidTr="00470495">
        <w:trPr>
          <w:gridAfter w:val="1"/>
          <w:wAfter w:w="19" w:type="dxa"/>
          <w:trHeight w:val="217"/>
          <w:jc w:val="center"/>
        </w:trPr>
        <w:tc>
          <w:tcPr>
            <w:tcW w:w="2236" w:type="dxa"/>
            <w:tcBorders>
              <w:top w:val="nil"/>
              <w:left w:val="single" w:sz="4" w:space="0" w:color="auto"/>
              <w:bottom w:val="single" w:sz="4" w:space="0" w:color="auto"/>
              <w:right w:val="single" w:sz="4" w:space="0" w:color="auto"/>
            </w:tcBorders>
            <w:shd w:val="clear" w:color="auto" w:fill="auto"/>
            <w:noWrap/>
            <w:vAlign w:val="center"/>
            <w:hideMark/>
          </w:tcPr>
          <w:p w14:paraId="1692F2B2" w14:textId="77777777" w:rsidR="00470495" w:rsidRPr="00470495" w:rsidRDefault="00470495" w:rsidP="00234CBE">
            <w:pPr>
              <w:spacing w:line="276" w:lineRule="auto"/>
              <w:jc w:val="right"/>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Tribunal Penal y Flagrancias</w:t>
            </w:r>
          </w:p>
        </w:tc>
        <w:tc>
          <w:tcPr>
            <w:tcW w:w="806" w:type="dxa"/>
            <w:tcBorders>
              <w:top w:val="nil"/>
              <w:left w:val="nil"/>
              <w:bottom w:val="single" w:sz="4" w:space="0" w:color="auto"/>
              <w:right w:val="single" w:sz="4" w:space="0" w:color="auto"/>
            </w:tcBorders>
            <w:shd w:val="clear" w:color="auto" w:fill="auto"/>
            <w:noWrap/>
            <w:vAlign w:val="center"/>
            <w:hideMark/>
          </w:tcPr>
          <w:p w14:paraId="1E756651"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1806</w:t>
            </w:r>
          </w:p>
        </w:tc>
        <w:tc>
          <w:tcPr>
            <w:tcW w:w="807" w:type="dxa"/>
            <w:tcBorders>
              <w:top w:val="nil"/>
              <w:left w:val="nil"/>
              <w:bottom w:val="single" w:sz="4" w:space="0" w:color="auto"/>
              <w:right w:val="single" w:sz="4" w:space="0" w:color="auto"/>
            </w:tcBorders>
            <w:shd w:val="clear" w:color="auto" w:fill="auto"/>
            <w:noWrap/>
            <w:vAlign w:val="center"/>
            <w:hideMark/>
          </w:tcPr>
          <w:p w14:paraId="18E2E820"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2050</w:t>
            </w:r>
          </w:p>
        </w:tc>
        <w:tc>
          <w:tcPr>
            <w:tcW w:w="807" w:type="dxa"/>
            <w:tcBorders>
              <w:top w:val="nil"/>
              <w:left w:val="nil"/>
              <w:bottom w:val="single" w:sz="4" w:space="0" w:color="auto"/>
              <w:right w:val="single" w:sz="4" w:space="0" w:color="auto"/>
            </w:tcBorders>
            <w:shd w:val="clear" w:color="auto" w:fill="auto"/>
            <w:noWrap/>
            <w:vAlign w:val="center"/>
            <w:hideMark/>
          </w:tcPr>
          <w:p w14:paraId="53EFDE07"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2264</w:t>
            </w:r>
          </w:p>
        </w:tc>
        <w:tc>
          <w:tcPr>
            <w:tcW w:w="806" w:type="dxa"/>
            <w:tcBorders>
              <w:top w:val="nil"/>
              <w:left w:val="nil"/>
              <w:bottom w:val="single" w:sz="4" w:space="0" w:color="auto"/>
              <w:right w:val="single" w:sz="4" w:space="0" w:color="auto"/>
            </w:tcBorders>
            <w:shd w:val="clear" w:color="auto" w:fill="auto"/>
            <w:noWrap/>
            <w:vAlign w:val="center"/>
            <w:hideMark/>
          </w:tcPr>
          <w:p w14:paraId="34259A8B"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2099</w:t>
            </w:r>
          </w:p>
        </w:tc>
        <w:tc>
          <w:tcPr>
            <w:tcW w:w="806" w:type="dxa"/>
            <w:tcBorders>
              <w:top w:val="nil"/>
              <w:left w:val="nil"/>
              <w:bottom w:val="single" w:sz="4" w:space="0" w:color="auto"/>
              <w:right w:val="single" w:sz="4" w:space="0" w:color="auto"/>
            </w:tcBorders>
            <w:shd w:val="clear" w:color="auto" w:fill="auto"/>
            <w:noWrap/>
            <w:vAlign w:val="center"/>
            <w:hideMark/>
          </w:tcPr>
          <w:p w14:paraId="21A6A4D5"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1893</w:t>
            </w:r>
          </w:p>
        </w:tc>
        <w:tc>
          <w:tcPr>
            <w:tcW w:w="806" w:type="dxa"/>
            <w:tcBorders>
              <w:top w:val="nil"/>
              <w:left w:val="nil"/>
              <w:bottom w:val="single" w:sz="4" w:space="0" w:color="auto"/>
              <w:right w:val="single" w:sz="4" w:space="0" w:color="auto"/>
            </w:tcBorders>
            <w:shd w:val="clear" w:color="auto" w:fill="auto"/>
            <w:noWrap/>
            <w:vAlign w:val="center"/>
            <w:hideMark/>
          </w:tcPr>
          <w:p w14:paraId="110E4D28"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2157</w:t>
            </w:r>
          </w:p>
        </w:tc>
        <w:tc>
          <w:tcPr>
            <w:tcW w:w="806" w:type="dxa"/>
            <w:tcBorders>
              <w:top w:val="nil"/>
              <w:left w:val="nil"/>
              <w:bottom w:val="single" w:sz="4" w:space="0" w:color="auto"/>
              <w:right w:val="single" w:sz="4" w:space="0" w:color="auto"/>
            </w:tcBorders>
            <w:shd w:val="clear" w:color="auto" w:fill="auto"/>
            <w:noWrap/>
            <w:vAlign w:val="center"/>
            <w:hideMark/>
          </w:tcPr>
          <w:p w14:paraId="6CB2BFD6"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2279</w:t>
            </w:r>
          </w:p>
        </w:tc>
        <w:tc>
          <w:tcPr>
            <w:tcW w:w="807" w:type="dxa"/>
            <w:tcBorders>
              <w:top w:val="nil"/>
              <w:left w:val="nil"/>
              <w:bottom w:val="single" w:sz="4" w:space="0" w:color="auto"/>
              <w:right w:val="single" w:sz="4" w:space="0" w:color="auto"/>
            </w:tcBorders>
            <w:shd w:val="clear" w:color="auto" w:fill="auto"/>
            <w:noWrap/>
            <w:vAlign w:val="center"/>
            <w:hideMark/>
          </w:tcPr>
          <w:p w14:paraId="20765973"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2281</w:t>
            </w:r>
          </w:p>
        </w:tc>
        <w:tc>
          <w:tcPr>
            <w:tcW w:w="846" w:type="dxa"/>
            <w:tcBorders>
              <w:top w:val="nil"/>
              <w:left w:val="nil"/>
              <w:bottom w:val="single" w:sz="4" w:space="0" w:color="auto"/>
              <w:right w:val="single" w:sz="4" w:space="0" w:color="auto"/>
            </w:tcBorders>
            <w:shd w:val="clear" w:color="auto" w:fill="auto"/>
            <w:noWrap/>
            <w:vAlign w:val="center"/>
            <w:hideMark/>
          </w:tcPr>
          <w:p w14:paraId="7752490C"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2111</w:t>
            </w:r>
          </w:p>
        </w:tc>
        <w:tc>
          <w:tcPr>
            <w:tcW w:w="807" w:type="dxa"/>
            <w:tcBorders>
              <w:top w:val="nil"/>
              <w:left w:val="nil"/>
              <w:bottom w:val="single" w:sz="4" w:space="0" w:color="auto"/>
              <w:right w:val="single" w:sz="4" w:space="0" w:color="auto"/>
            </w:tcBorders>
            <w:shd w:val="clear" w:color="auto" w:fill="auto"/>
            <w:noWrap/>
            <w:vAlign w:val="center"/>
            <w:hideMark/>
          </w:tcPr>
          <w:p w14:paraId="2AC93B03"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18940</w:t>
            </w:r>
          </w:p>
        </w:tc>
        <w:tc>
          <w:tcPr>
            <w:tcW w:w="146" w:type="dxa"/>
            <w:gridSpan w:val="2"/>
            <w:vAlign w:val="center"/>
            <w:hideMark/>
          </w:tcPr>
          <w:p w14:paraId="04E99A11" w14:textId="77777777" w:rsidR="00470495" w:rsidRPr="00470495" w:rsidRDefault="00470495" w:rsidP="00234CBE">
            <w:pPr>
              <w:spacing w:line="276" w:lineRule="auto"/>
              <w:rPr>
                <w:rFonts w:ascii="Times New Roman" w:hAnsi="Times New Roman"/>
                <w:sz w:val="20"/>
                <w:szCs w:val="20"/>
                <w:lang w:eastAsia="es-CR"/>
              </w:rPr>
            </w:pPr>
          </w:p>
        </w:tc>
      </w:tr>
      <w:tr w:rsidR="00470495" w:rsidRPr="00470495" w14:paraId="741DA481" w14:textId="77777777" w:rsidTr="00470495">
        <w:trPr>
          <w:gridAfter w:val="1"/>
          <w:wAfter w:w="19" w:type="dxa"/>
          <w:trHeight w:val="217"/>
          <w:jc w:val="center"/>
        </w:trPr>
        <w:tc>
          <w:tcPr>
            <w:tcW w:w="2236" w:type="dxa"/>
            <w:tcBorders>
              <w:top w:val="nil"/>
              <w:left w:val="single" w:sz="4" w:space="0" w:color="auto"/>
              <w:bottom w:val="single" w:sz="4" w:space="0" w:color="auto"/>
              <w:right w:val="single" w:sz="4" w:space="0" w:color="auto"/>
            </w:tcBorders>
            <w:shd w:val="clear" w:color="auto" w:fill="auto"/>
            <w:noWrap/>
            <w:vAlign w:val="center"/>
            <w:hideMark/>
          </w:tcPr>
          <w:p w14:paraId="6956DA29" w14:textId="77777777" w:rsidR="00470495" w:rsidRPr="00470495" w:rsidRDefault="00470495" w:rsidP="00234CBE">
            <w:pPr>
              <w:spacing w:line="276" w:lineRule="auto"/>
              <w:jc w:val="right"/>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Juzgado Penal</w:t>
            </w:r>
          </w:p>
        </w:tc>
        <w:tc>
          <w:tcPr>
            <w:tcW w:w="806" w:type="dxa"/>
            <w:tcBorders>
              <w:top w:val="nil"/>
              <w:left w:val="nil"/>
              <w:bottom w:val="single" w:sz="4" w:space="0" w:color="auto"/>
              <w:right w:val="single" w:sz="4" w:space="0" w:color="auto"/>
            </w:tcBorders>
            <w:shd w:val="clear" w:color="auto" w:fill="auto"/>
            <w:noWrap/>
            <w:vAlign w:val="center"/>
            <w:hideMark/>
          </w:tcPr>
          <w:p w14:paraId="43FC3B99"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7013</w:t>
            </w:r>
          </w:p>
        </w:tc>
        <w:tc>
          <w:tcPr>
            <w:tcW w:w="807" w:type="dxa"/>
            <w:tcBorders>
              <w:top w:val="nil"/>
              <w:left w:val="nil"/>
              <w:bottom w:val="single" w:sz="4" w:space="0" w:color="auto"/>
              <w:right w:val="single" w:sz="4" w:space="0" w:color="auto"/>
            </w:tcBorders>
            <w:shd w:val="clear" w:color="auto" w:fill="auto"/>
            <w:noWrap/>
            <w:vAlign w:val="center"/>
            <w:hideMark/>
          </w:tcPr>
          <w:p w14:paraId="3E873B38"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10098</w:t>
            </w:r>
          </w:p>
        </w:tc>
        <w:tc>
          <w:tcPr>
            <w:tcW w:w="807" w:type="dxa"/>
            <w:tcBorders>
              <w:top w:val="nil"/>
              <w:left w:val="nil"/>
              <w:bottom w:val="single" w:sz="4" w:space="0" w:color="auto"/>
              <w:right w:val="single" w:sz="4" w:space="0" w:color="auto"/>
            </w:tcBorders>
            <w:shd w:val="clear" w:color="auto" w:fill="auto"/>
            <w:noWrap/>
            <w:vAlign w:val="center"/>
            <w:hideMark/>
          </w:tcPr>
          <w:p w14:paraId="64F796A1"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10357</w:t>
            </w:r>
          </w:p>
        </w:tc>
        <w:tc>
          <w:tcPr>
            <w:tcW w:w="806" w:type="dxa"/>
            <w:tcBorders>
              <w:top w:val="nil"/>
              <w:left w:val="nil"/>
              <w:bottom w:val="single" w:sz="4" w:space="0" w:color="auto"/>
              <w:right w:val="single" w:sz="4" w:space="0" w:color="auto"/>
            </w:tcBorders>
            <w:shd w:val="clear" w:color="auto" w:fill="auto"/>
            <w:noWrap/>
            <w:vAlign w:val="center"/>
            <w:hideMark/>
          </w:tcPr>
          <w:p w14:paraId="095A7CAD"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9034</w:t>
            </w:r>
          </w:p>
        </w:tc>
        <w:tc>
          <w:tcPr>
            <w:tcW w:w="806" w:type="dxa"/>
            <w:tcBorders>
              <w:top w:val="nil"/>
              <w:left w:val="nil"/>
              <w:bottom w:val="single" w:sz="4" w:space="0" w:color="auto"/>
              <w:right w:val="single" w:sz="4" w:space="0" w:color="auto"/>
            </w:tcBorders>
            <w:shd w:val="clear" w:color="auto" w:fill="auto"/>
            <w:noWrap/>
            <w:vAlign w:val="center"/>
            <w:hideMark/>
          </w:tcPr>
          <w:p w14:paraId="6F6DB8AF"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9282</w:t>
            </w:r>
          </w:p>
        </w:tc>
        <w:tc>
          <w:tcPr>
            <w:tcW w:w="806" w:type="dxa"/>
            <w:tcBorders>
              <w:top w:val="nil"/>
              <w:left w:val="nil"/>
              <w:bottom w:val="single" w:sz="4" w:space="0" w:color="auto"/>
              <w:right w:val="single" w:sz="4" w:space="0" w:color="auto"/>
            </w:tcBorders>
            <w:shd w:val="clear" w:color="auto" w:fill="auto"/>
            <w:noWrap/>
            <w:vAlign w:val="center"/>
            <w:hideMark/>
          </w:tcPr>
          <w:p w14:paraId="5F53087C"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9950</w:t>
            </w:r>
          </w:p>
        </w:tc>
        <w:tc>
          <w:tcPr>
            <w:tcW w:w="806" w:type="dxa"/>
            <w:tcBorders>
              <w:top w:val="nil"/>
              <w:left w:val="nil"/>
              <w:bottom w:val="single" w:sz="4" w:space="0" w:color="auto"/>
              <w:right w:val="single" w:sz="4" w:space="0" w:color="auto"/>
            </w:tcBorders>
            <w:shd w:val="clear" w:color="auto" w:fill="auto"/>
            <w:noWrap/>
            <w:vAlign w:val="center"/>
            <w:hideMark/>
          </w:tcPr>
          <w:p w14:paraId="0F796114"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9016</w:t>
            </w:r>
          </w:p>
        </w:tc>
        <w:tc>
          <w:tcPr>
            <w:tcW w:w="807" w:type="dxa"/>
            <w:tcBorders>
              <w:top w:val="nil"/>
              <w:left w:val="nil"/>
              <w:bottom w:val="single" w:sz="4" w:space="0" w:color="auto"/>
              <w:right w:val="single" w:sz="4" w:space="0" w:color="auto"/>
            </w:tcBorders>
            <w:shd w:val="clear" w:color="auto" w:fill="auto"/>
            <w:noWrap/>
            <w:vAlign w:val="center"/>
            <w:hideMark/>
          </w:tcPr>
          <w:p w14:paraId="3E8E028C"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10232</w:t>
            </w:r>
          </w:p>
        </w:tc>
        <w:tc>
          <w:tcPr>
            <w:tcW w:w="846" w:type="dxa"/>
            <w:tcBorders>
              <w:top w:val="nil"/>
              <w:left w:val="nil"/>
              <w:bottom w:val="single" w:sz="4" w:space="0" w:color="auto"/>
              <w:right w:val="single" w:sz="4" w:space="0" w:color="auto"/>
            </w:tcBorders>
            <w:shd w:val="clear" w:color="auto" w:fill="auto"/>
            <w:noWrap/>
            <w:vAlign w:val="center"/>
            <w:hideMark/>
          </w:tcPr>
          <w:p w14:paraId="69049D3B"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10391</w:t>
            </w:r>
          </w:p>
        </w:tc>
        <w:tc>
          <w:tcPr>
            <w:tcW w:w="807" w:type="dxa"/>
            <w:tcBorders>
              <w:top w:val="nil"/>
              <w:left w:val="nil"/>
              <w:bottom w:val="single" w:sz="4" w:space="0" w:color="auto"/>
              <w:right w:val="single" w:sz="4" w:space="0" w:color="auto"/>
            </w:tcBorders>
            <w:shd w:val="clear" w:color="auto" w:fill="auto"/>
            <w:noWrap/>
            <w:vAlign w:val="center"/>
            <w:hideMark/>
          </w:tcPr>
          <w:p w14:paraId="7110E19B"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85373</w:t>
            </w:r>
          </w:p>
        </w:tc>
        <w:tc>
          <w:tcPr>
            <w:tcW w:w="146" w:type="dxa"/>
            <w:gridSpan w:val="2"/>
            <w:vAlign w:val="center"/>
            <w:hideMark/>
          </w:tcPr>
          <w:p w14:paraId="2FABFD35" w14:textId="77777777" w:rsidR="00470495" w:rsidRPr="00470495" w:rsidRDefault="00470495" w:rsidP="00234CBE">
            <w:pPr>
              <w:spacing w:line="276" w:lineRule="auto"/>
              <w:rPr>
                <w:rFonts w:ascii="Times New Roman" w:hAnsi="Times New Roman"/>
                <w:sz w:val="20"/>
                <w:szCs w:val="20"/>
                <w:lang w:eastAsia="es-CR"/>
              </w:rPr>
            </w:pPr>
          </w:p>
        </w:tc>
      </w:tr>
      <w:tr w:rsidR="00470495" w:rsidRPr="00470495" w14:paraId="6A1B72E8" w14:textId="77777777" w:rsidTr="00470495">
        <w:trPr>
          <w:gridAfter w:val="1"/>
          <w:wAfter w:w="19" w:type="dxa"/>
          <w:trHeight w:val="217"/>
          <w:jc w:val="center"/>
        </w:trPr>
        <w:tc>
          <w:tcPr>
            <w:tcW w:w="2236" w:type="dxa"/>
            <w:tcBorders>
              <w:top w:val="nil"/>
              <w:left w:val="single" w:sz="4" w:space="0" w:color="auto"/>
              <w:bottom w:val="single" w:sz="4" w:space="0" w:color="auto"/>
              <w:right w:val="single" w:sz="4" w:space="0" w:color="auto"/>
            </w:tcBorders>
            <w:shd w:val="clear" w:color="auto" w:fill="auto"/>
            <w:noWrap/>
            <w:vAlign w:val="center"/>
            <w:hideMark/>
          </w:tcPr>
          <w:p w14:paraId="303CE94B" w14:textId="77777777" w:rsidR="00470495" w:rsidRPr="00470495" w:rsidRDefault="00470495" w:rsidP="00234CBE">
            <w:pPr>
              <w:spacing w:line="276" w:lineRule="auto"/>
              <w:jc w:val="right"/>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Juzgado Penal Juvenil</w:t>
            </w:r>
          </w:p>
        </w:tc>
        <w:tc>
          <w:tcPr>
            <w:tcW w:w="806" w:type="dxa"/>
            <w:tcBorders>
              <w:top w:val="nil"/>
              <w:left w:val="nil"/>
              <w:bottom w:val="single" w:sz="4" w:space="0" w:color="auto"/>
              <w:right w:val="single" w:sz="4" w:space="0" w:color="auto"/>
            </w:tcBorders>
            <w:shd w:val="clear" w:color="auto" w:fill="auto"/>
            <w:noWrap/>
            <w:vAlign w:val="center"/>
            <w:hideMark/>
          </w:tcPr>
          <w:p w14:paraId="2BCEA29C"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340</w:t>
            </w:r>
          </w:p>
        </w:tc>
        <w:tc>
          <w:tcPr>
            <w:tcW w:w="807" w:type="dxa"/>
            <w:tcBorders>
              <w:top w:val="nil"/>
              <w:left w:val="nil"/>
              <w:bottom w:val="single" w:sz="4" w:space="0" w:color="auto"/>
              <w:right w:val="single" w:sz="4" w:space="0" w:color="auto"/>
            </w:tcBorders>
            <w:shd w:val="clear" w:color="auto" w:fill="auto"/>
            <w:noWrap/>
            <w:vAlign w:val="center"/>
            <w:hideMark/>
          </w:tcPr>
          <w:p w14:paraId="314115A3"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467</w:t>
            </w:r>
          </w:p>
        </w:tc>
        <w:tc>
          <w:tcPr>
            <w:tcW w:w="807" w:type="dxa"/>
            <w:tcBorders>
              <w:top w:val="nil"/>
              <w:left w:val="nil"/>
              <w:bottom w:val="single" w:sz="4" w:space="0" w:color="auto"/>
              <w:right w:val="single" w:sz="4" w:space="0" w:color="auto"/>
            </w:tcBorders>
            <w:shd w:val="clear" w:color="auto" w:fill="auto"/>
            <w:noWrap/>
            <w:vAlign w:val="center"/>
            <w:hideMark/>
          </w:tcPr>
          <w:p w14:paraId="28E7D553"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432</w:t>
            </w:r>
          </w:p>
        </w:tc>
        <w:tc>
          <w:tcPr>
            <w:tcW w:w="806" w:type="dxa"/>
            <w:tcBorders>
              <w:top w:val="nil"/>
              <w:left w:val="nil"/>
              <w:bottom w:val="single" w:sz="4" w:space="0" w:color="auto"/>
              <w:right w:val="single" w:sz="4" w:space="0" w:color="auto"/>
            </w:tcBorders>
            <w:shd w:val="clear" w:color="auto" w:fill="auto"/>
            <w:noWrap/>
            <w:vAlign w:val="center"/>
            <w:hideMark/>
          </w:tcPr>
          <w:p w14:paraId="60EF9316"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385</w:t>
            </w:r>
          </w:p>
        </w:tc>
        <w:tc>
          <w:tcPr>
            <w:tcW w:w="806" w:type="dxa"/>
            <w:tcBorders>
              <w:top w:val="nil"/>
              <w:left w:val="nil"/>
              <w:bottom w:val="single" w:sz="4" w:space="0" w:color="auto"/>
              <w:right w:val="single" w:sz="4" w:space="0" w:color="auto"/>
            </w:tcBorders>
            <w:shd w:val="clear" w:color="auto" w:fill="auto"/>
            <w:noWrap/>
            <w:vAlign w:val="center"/>
            <w:hideMark/>
          </w:tcPr>
          <w:p w14:paraId="61EAAD33"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458</w:t>
            </w:r>
          </w:p>
        </w:tc>
        <w:tc>
          <w:tcPr>
            <w:tcW w:w="806" w:type="dxa"/>
            <w:tcBorders>
              <w:top w:val="nil"/>
              <w:left w:val="nil"/>
              <w:bottom w:val="single" w:sz="4" w:space="0" w:color="auto"/>
              <w:right w:val="single" w:sz="4" w:space="0" w:color="auto"/>
            </w:tcBorders>
            <w:shd w:val="clear" w:color="auto" w:fill="auto"/>
            <w:noWrap/>
            <w:vAlign w:val="center"/>
            <w:hideMark/>
          </w:tcPr>
          <w:p w14:paraId="03036130"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481</w:t>
            </w:r>
          </w:p>
        </w:tc>
        <w:tc>
          <w:tcPr>
            <w:tcW w:w="806" w:type="dxa"/>
            <w:tcBorders>
              <w:top w:val="nil"/>
              <w:left w:val="nil"/>
              <w:bottom w:val="single" w:sz="4" w:space="0" w:color="auto"/>
              <w:right w:val="single" w:sz="4" w:space="0" w:color="auto"/>
            </w:tcBorders>
            <w:shd w:val="clear" w:color="auto" w:fill="auto"/>
            <w:noWrap/>
            <w:vAlign w:val="center"/>
            <w:hideMark/>
          </w:tcPr>
          <w:p w14:paraId="33B411E1"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457</w:t>
            </w:r>
          </w:p>
        </w:tc>
        <w:tc>
          <w:tcPr>
            <w:tcW w:w="807" w:type="dxa"/>
            <w:tcBorders>
              <w:top w:val="nil"/>
              <w:left w:val="nil"/>
              <w:bottom w:val="single" w:sz="4" w:space="0" w:color="auto"/>
              <w:right w:val="single" w:sz="4" w:space="0" w:color="auto"/>
            </w:tcBorders>
            <w:shd w:val="clear" w:color="auto" w:fill="auto"/>
            <w:noWrap/>
            <w:vAlign w:val="center"/>
            <w:hideMark/>
          </w:tcPr>
          <w:p w14:paraId="1E1EBB5C"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360</w:t>
            </w:r>
          </w:p>
        </w:tc>
        <w:tc>
          <w:tcPr>
            <w:tcW w:w="846" w:type="dxa"/>
            <w:tcBorders>
              <w:top w:val="nil"/>
              <w:left w:val="nil"/>
              <w:bottom w:val="single" w:sz="4" w:space="0" w:color="auto"/>
              <w:right w:val="single" w:sz="4" w:space="0" w:color="auto"/>
            </w:tcBorders>
            <w:shd w:val="clear" w:color="auto" w:fill="auto"/>
            <w:noWrap/>
            <w:vAlign w:val="center"/>
            <w:hideMark/>
          </w:tcPr>
          <w:p w14:paraId="1C068201"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429</w:t>
            </w:r>
          </w:p>
        </w:tc>
        <w:tc>
          <w:tcPr>
            <w:tcW w:w="807" w:type="dxa"/>
            <w:tcBorders>
              <w:top w:val="nil"/>
              <w:left w:val="nil"/>
              <w:bottom w:val="single" w:sz="4" w:space="0" w:color="auto"/>
              <w:right w:val="single" w:sz="4" w:space="0" w:color="auto"/>
            </w:tcBorders>
            <w:shd w:val="clear" w:color="auto" w:fill="auto"/>
            <w:noWrap/>
            <w:vAlign w:val="center"/>
            <w:hideMark/>
          </w:tcPr>
          <w:p w14:paraId="40B62213"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3809</w:t>
            </w:r>
          </w:p>
        </w:tc>
        <w:tc>
          <w:tcPr>
            <w:tcW w:w="146" w:type="dxa"/>
            <w:gridSpan w:val="2"/>
            <w:vAlign w:val="center"/>
            <w:hideMark/>
          </w:tcPr>
          <w:p w14:paraId="26461835" w14:textId="77777777" w:rsidR="00470495" w:rsidRPr="00470495" w:rsidRDefault="00470495" w:rsidP="00234CBE">
            <w:pPr>
              <w:spacing w:line="276" w:lineRule="auto"/>
              <w:rPr>
                <w:rFonts w:ascii="Times New Roman" w:hAnsi="Times New Roman"/>
                <w:sz w:val="20"/>
                <w:szCs w:val="20"/>
                <w:lang w:eastAsia="es-CR"/>
              </w:rPr>
            </w:pPr>
          </w:p>
        </w:tc>
      </w:tr>
      <w:tr w:rsidR="00470495" w:rsidRPr="00470495" w14:paraId="20A8ED28" w14:textId="77777777" w:rsidTr="00470495">
        <w:trPr>
          <w:gridAfter w:val="1"/>
          <w:wAfter w:w="19" w:type="dxa"/>
          <w:trHeight w:val="217"/>
          <w:jc w:val="center"/>
        </w:trPr>
        <w:tc>
          <w:tcPr>
            <w:tcW w:w="2236" w:type="dxa"/>
            <w:tcBorders>
              <w:top w:val="nil"/>
              <w:left w:val="single" w:sz="4" w:space="0" w:color="auto"/>
              <w:bottom w:val="single" w:sz="4" w:space="0" w:color="auto"/>
              <w:right w:val="single" w:sz="4" w:space="0" w:color="auto"/>
            </w:tcBorders>
            <w:shd w:val="clear" w:color="auto" w:fill="auto"/>
            <w:noWrap/>
            <w:vAlign w:val="center"/>
            <w:hideMark/>
          </w:tcPr>
          <w:p w14:paraId="3A141D53" w14:textId="77777777" w:rsidR="00470495" w:rsidRPr="00470495" w:rsidRDefault="00470495" w:rsidP="00234CBE">
            <w:pPr>
              <w:spacing w:line="276" w:lineRule="auto"/>
              <w:jc w:val="right"/>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Juzgados de Ejecución de la Pena</w:t>
            </w:r>
          </w:p>
        </w:tc>
        <w:tc>
          <w:tcPr>
            <w:tcW w:w="806" w:type="dxa"/>
            <w:tcBorders>
              <w:top w:val="nil"/>
              <w:left w:val="nil"/>
              <w:bottom w:val="single" w:sz="4" w:space="0" w:color="auto"/>
              <w:right w:val="single" w:sz="4" w:space="0" w:color="auto"/>
            </w:tcBorders>
            <w:shd w:val="clear" w:color="auto" w:fill="auto"/>
            <w:noWrap/>
            <w:vAlign w:val="center"/>
            <w:hideMark/>
          </w:tcPr>
          <w:p w14:paraId="30B5DA56"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1377</w:t>
            </w:r>
          </w:p>
        </w:tc>
        <w:tc>
          <w:tcPr>
            <w:tcW w:w="807" w:type="dxa"/>
            <w:tcBorders>
              <w:top w:val="nil"/>
              <w:left w:val="nil"/>
              <w:bottom w:val="single" w:sz="4" w:space="0" w:color="auto"/>
              <w:right w:val="single" w:sz="4" w:space="0" w:color="auto"/>
            </w:tcBorders>
            <w:shd w:val="clear" w:color="auto" w:fill="auto"/>
            <w:noWrap/>
            <w:vAlign w:val="center"/>
            <w:hideMark/>
          </w:tcPr>
          <w:p w14:paraId="4B85DF45"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1317</w:t>
            </w:r>
          </w:p>
        </w:tc>
        <w:tc>
          <w:tcPr>
            <w:tcW w:w="807" w:type="dxa"/>
            <w:tcBorders>
              <w:top w:val="nil"/>
              <w:left w:val="nil"/>
              <w:bottom w:val="single" w:sz="4" w:space="0" w:color="auto"/>
              <w:right w:val="single" w:sz="4" w:space="0" w:color="auto"/>
            </w:tcBorders>
            <w:shd w:val="clear" w:color="auto" w:fill="auto"/>
            <w:noWrap/>
            <w:vAlign w:val="center"/>
            <w:hideMark/>
          </w:tcPr>
          <w:p w14:paraId="69D34596"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1334</w:t>
            </w:r>
          </w:p>
        </w:tc>
        <w:tc>
          <w:tcPr>
            <w:tcW w:w="806" w:type="dxa"/>
            <w:tcBorders>
              <w:top w:val="nil"/>
              <w:left w:val="nil"/>
              <w:bottom w:val="single" w:sz="4" w:space="0" w:color="auto"/>
              <w:right w:val="single" w:sz="4" w:space="0" w:color="auto"/>
            </w:tcBorders>
            <w:shd w:val="clear" w:color="auto" w:fill="auto"/>
            <w:noWrap/>
            <w:vAlign w:val="center"/>
            <w:hideMark/>
          </w:tcPr>
          <w:p w14:paraId="69217E6E"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1513</w:t>
            </w:r>
          </w:p>
        </w:tc>
        <w:tc>
          <w:tcPr>
            <w:tcW w:w="806" w:type="dxa"/>
            <w:tcBorders>
              <w:top w:val="nil"/>
              <w:left w:val="nil"/>
              <w:bottom w:val="single" w:sz="4" w:space="0" w:color="auto"/>
              <w:right w:val="single" w:sz="4" w:space="0" w:color="auto"/>
            </w:tcBorders>
            <w:shd w:val="clear" w:color="auto" w:fill="auto"/>
            <w:noWrap/>
            <w:vAlign w:val="center"/>
            <w:hideMark/>
          </w:tcPr>
          <w:p w14:paraId="44FC343A"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1412</w:t>
            </w:r>
          </w:p>
        </w:tc>
        <w:tc>
          <w:tcPr>
            <w:tcW w:w="806" w:type="dxa"/>
            <w:tcBorders>
              <w:top w:val="nil"/>
              <w:left w:val="nil"/>
              <w:bottom w:val="single" w:sz="4" w:space="0" w:color="auto"/>
              <w:right w:val="single" w:sz="4" w:space="0" w:color="auto"/>
            </w:tcBorders>
            <w:shd w:val="clear" w:color="auto" w:fill="auto"/>
            <w:noWrap/>
            <w:vAlign w:val="center"/>
            <w:hideMark/>
          </w:tcPr>
          <w:p w14:paraId="1A6C6EFD"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1417</w:t>
            </w:r>
          </w:p>
        </w:tc>
        <w:tc>
          <w:tcPr>
            <w:tcW w:w="806" w:type="dxa"/>
            <w:tcBorders>
              <w:top w:val="nil"/>
              <w:left w:val="nil"/>
              <w:bottom w:val="single" w:sz="4" w:space="0" w:color="auto"/>
              <w:right w:val="single" w:sz="4" w:space="0" w:color="auto"/>
            </w:tcBorders>
            <w:shd w:val="clear" w:color="auto" w:fill="auto"/>
            <w:noWrap/>
            <w:vAlign w:val="center"/>
            <w:hideMark/>
          </w:tcPr>
          <w:p w14:paraId="4CEA9230"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1468</w:t>
            </w:r>
          </w:p>
        </w:tc>
        <w:tc>
          <w:tcPr>
            <w:tcW w:w="807" w:type="dxa"/>
            <w:tcBorders>
              <w:top w:val="nil"/>
              <w:left w:val="nil"/>
              <w:bottom w:val="single" w:sz="4" w:space="0" w:color="auto"/>
              <w:right w:val="single" w:sz="4" w:space="0" w:color="auto"/>
            </w:tcBorders>
            <w:shd w:val="clear" w:color="auto" w:fill="auto"/>
            <w:noWrap/>
            <w:vAlign w:val="center"/>
            <w:hideMark/>
          </w:tcPr>
          <w:p w14:paraId="5DF710B4"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1469</w:t>
            </w:r>
          </w:p>
        </w:tc>
        <w:tc>
          <w:tcPr>
            <w:tcW w:w="846" w:type="dxa"/>
            <w:tcBorders>
              <w:top w:val="nil"/>
              <w:left w:val="nil"/>
              <w:bottom w:val="single" w:sz="4" w:space="0" w:color="auto"/>
              <w:right w:val="single" w:sz="4" w:space="0" w:color="auto"/>
            </w:tcBorders>
            <w:shd w:val="clear" w:color="auto" w:fill="auto"/>
            <w:noWrap/>
            <w:vAlign w:val="center"/>
            <w:hideMark/>
          </w:tcPr>
          <w:p w14:paraId="6A48BE5A"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1240</w:t>
            </w:r>
          </w:p>
        </w:tc>
        <w:tc>
          <w:tcPr>
            <w:tcW w:w="807" w:type="dxa"/>
            <w:tcBorders>
              <w:top w:val="nil"/>
              <w:left w:val="nil"/>
              <w:bottom w:val="single" w:sz="4" w:space="0" w:color="auto"/>
              <w:right w:val="single" w:sz="4" w:space="0" w:color="auto"/>
            </w:tcBorders>
            <w:shd w:val="clear" w:color="auto" w:fill="auto"/>
            <w:noWrap/>
            <w:vAlign w:val="center"/>
            <w:hideMark/>
          </w:tcPr>
          <w:p w14:paraId="03BB714B"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12547</w:t>
            </w:r>
          </w:p>
        </w:tc>
        <w:tc>
          <w:tcPr>
            <w:tcW w:w="146" w:type="dxa"/>
            <w:gridSpan w:val="2"/>
            <w:vAlign w:val="center"/>
            <w:hideMark/>
          </w:tcPr>
          <w:p w14:paraId="48F6019E" w14:textId="77777777" w:rsidR="00470495" w:rsidRPr="00470495" w:rsidRDefault="00470495" w:rsidP="00234CBE">
            <w:pPr>
              <w:spacing w:line="276" w:lineRule="auto"/>
              <w:rPr>
                <w:rFonts w:ascii="Times New Roman" w:hAnsi="Times New Roman"/>
                <w:sz w:val="20"/>
                <w:szCs w:val="20"/>
                <w:lang w:eastAsia="es-CR"/>
              </w:rPr>
            </w:pPr>
          </w:p>
        </w:tc>
      </w:tr>
      <w:tr w:rsidR="00470495" w:rsidRPr="00470495" w14:paraId="75BE6B1E" w14:textId="77777777" w:rsidTr="00470495">
        <w:trPr>
          <w:gridAfter w:val="1"/>
          <w:wAfter w:w="19" w:type="dxa"/>
          <w:trHeight w:val="217"/>
          <w:jc w:val="center"/>
        </w:trPr>
        <w:tc>
          <w:tcPr>
            <w:tcW w:w="2236" w:type="dxa"/>
            <w:tcBorders>
              <w:top w:val="nil"/>
              <w:left w:val="single" w:sz="4" w:space="0" w:color="auto"/>
              <w:bottom w:val="single" w:sz="4" w:space="0" w:color="auto"/>
              <w:right w:val="single" w:sz="4" w:space="0" w:color="auto"/>
            </w:tcBorders>
            <w:shd w:val="clear" w:color="auto" w:fill="auto"/>
            <w:noWrap/>
            <w:vAlign w:val="center"/>
            <w:hideMark/>
          </w:tcPr>
          <w:p w14:paraId="0B9EDA72" w14:textId="77777777" w:rsidR="00470495" w:rsidRPr="00470495" w:rsidRDefault="00470495" w:rsidP="00234CBE">
            <w:pPr>
              <w:spacing w:line="276" w:lineRule="auto"/>
              <w:jc w:val="right"/>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Juzgado de Ejecución Sanción Penal Juvenil</w:t>
            </w:r>
          </w:p>
        </w:tc>
        <w:tc>
          <w:tcPr>
            <w:tcW w:w="806" w:type="dxa"/>
            <w:tcBorders>
              <w:top w:val="nil"/>
              <w:left w:val="nil"/>
              <w:bottom w:val="single" w:sz="4" w:space="0" w:color="auto"/>
              <w:right w:val="single" w:sz="4" w:space="0" w:color="auto"/>
            </w:tcBorders>
            <w:shd w:val="clear" w:color="auto" w:fill="auto"/>
            <w:noWrap/>
            <w:vAlign w:val="center"/>
            <w:hideMark/>
          </w:tcPr>
          <w:p w14:paraId="682F02C1"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204</w:t>
            </w:r>
          </w:p>
        </w:tc>
        <w:tc>
          <w:tcPr>
            <w:tcW w:w="807" w:type="dxa"/>
            <w:tcBorders>
              <w:top w:val="nil"/>
              <w:left w:val="nil"/>
              <w:bottom w:val="single" w:sz="4" w:space="0" w:color="auto"/>
              <w:right w:val="single" w:sz="4" w:space="0" w:color="auto"/>
            </w:tcBorders>
            <w:shd w:val="clear" w:color="auto" w:fill="auto"/>
            <w:noWrap/>
            <w:vAlign w:val="center"/>
            <w:hideMark/>
          </w:tcPr>
          <w:p w14:paraId="6E89A0EB"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346</w:t>
            </w:r>
          </w:p>
        </w:tc>
        <w:tc>
          <w:tcPr>
            <w:tcW w:w="807" w:type="dxa"/>
            <w:tcBorders>
              <w:top w:val="nil"/>
              <w:left w:val="nil"/>
              <w:bottom w:val="single" w:sz="4" w:space="0" w:color="auto"/>
              <w:right w:val="single" w:sz="4" w:space="0" w:color="auto"/>
            </w:tcBorders>
            <w:shd w:val="clear" w:color="auto" w:fill="auto"/>
            <w:noWrap/>
            <w:vAlign w:val="center"/>
            <w:hideMark/>
          </w:tcPr>
          <w:p w14:paraId="30EF4C69"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254</w:t>
            </w:r>
          </w:p>
        </w:tc>
        <w:tc>
          <w:tcPr>
            <w:tcW w:w="806" w:type="dxa"/>
            <w:tcBorders>
              <w:top w:val="nil"/>
              <w:left w:val="nil"/>
              <w:bottom w:val="single" w:sz="4" w:space="0" w:color="auto"/>
              <w:right w:val="single" w:sz="4" w:space="0" w:color="auto"/>
            </w:tcBorders>
            <w:shd w:val="clear" w:color="auto" w:fill="auto"/>
            <w:noWrap/>
            <w:vAlign w:val="center"/>
            <w:hideMark/>
          </w:tcPr>
          <w:p w14:paraId="6753277E"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262</w:t>
            </w:r>
          </w:p>
        </w:tc>
        <w:tc>
          <w:tcPr>
            <w:tcW w:w="806" w:type="dxa"/>
            <w:tcBorders>
              <w:top w:val="nil"/>
              <w:left w:val="nil"/>
              <w:bottom w:val="single" w:sz="4" w:space="0" w:color="auto"/>
              <w:right w:val="single" w:sz="4" w:space="0" w:color="auto"/>
            </w:tcBorders>
            <w:shd w:val="clear" w:color="auto" w:fill="auto"/>
            <w:noWrap/>
            <w:vAlign w:val="center"/>
            <w:hideMark/>
          </w:tcPr>
          <w:p w14:paraId="7C1EF452"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221</w:t>
            </w:r>
          </w:p>
        </w:tc>
        <w:tc>
          <w:tcPr>
            <w:tcW w:w="806" w:type="dxa"/>
            <w:tcBorders>
              <w:top w:val="nil"/>
              <w:left w:val="nil"/>
              <w:bottom w:val="single" w:sz="4" w:space="0" w:color="auto"/>
              <w:right w:val="single" w:sz="4" w:space="0" w:color="auto"/>
            </w:tcBorders>
            <w:shd w:val="clear" w:color="auto" w:fill="auto"/>
            <w:noWrap/>
            <w:vAlign w:val="center"/>
            <w:hideMark/>
          </w:tcPr>
          <w:p w14:paraId="4A8FEF0A"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265</w:t>
            </w:r>
          </w:p>
        </w:tc>
        <w:tc>
          <w:tcPr>
            <w:tcW w:w="806" w:type="dxa"/>
            <w:tcBorders>
              <w:top w:val="nil"/>
              <w:left w:val="nil"/>
              <w:bottom w:val="single" w:sz="4" w:space="0" w:color="auto"/>
              <w:right w:val="single" w:sz="4" w:space="0" w:color="auto"/>
            </w:tcBorders>
            <w:shd w:val="clear" w:color="auto" w:fill="auto"/>
            <w:noWrap/>
            <w:vAlign w:val="center"/>
            <w:hideMark/>
          </w:tcPr>
          <w:p w14:paraId="0ED23937"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240</w:t>
            </w:r>
          </w:p>
        </w:tc>
        <w:tc>
          <w:tcPr>
            <w:tcW w:w="807" w:type="dxa"/>
            <w:tcBorders>
              <w:top w:val="nil"/>
              <w:left w:val="nil"/>
              <w:bottom w:val="single" w:sz="4" w:space="0" w:color="auto"/>
              <w:right w:val="single" w:sz="4" w:space="0" w:color="auto"/>
            </w:tcBorders>
            <w:shd w:val="clear" w:color="auto" w:fill="auto"/>
            <w:noWrap/>
            <w:vAlign w:val="center"/>
            <w:hideMark/>
          </w:tcPr>
          <w:p w14:paraId="31E999A5"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177</w:t>
            </w:r>
          </w:p>
        </w:tc>
        <w:tc>
          <w:tcPr>
            <w:tcW w:w="846" w:type="dxa"/>
            <w:tcBorders>
              <w:top w:val="nil"/>
              <w:left w:val="nil"/>
              <w:bottom w:val="single" w:sz="4" w:space="0" w:color="auto"/>
              <w:right w:val="single" w:sz="4" w:space="0" w:color="auto"/>
            </w:tcBorders>
            <w:shd w:val="clear" w:color="auto" w:fill="auto"/>
            <w:noWrap/>
            <w:vAlign w:val="center"/>
            <w:hideMark/>
          </w:tcPr>
          <w:p w14:paraId="69B81E4A"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251</w:t>
            </w:r>
          </w:p>
        </w:tc>
        <w:tc>
          <w:tcPr>
            <w:tcW w:w="807" w:type="dxa"/>
            <w:tcBorders>
              <w:top w:val="nil"/>
              <w:left w:val="nil"/>
              <w:bottom w:val="single" w:sz="4" w:space="0" w:color="auto"/>
              <w:right w:val="single" w:sz="4" w:space="0" w:color="auto"/>
            </w:tcBorders>
            <w:shd w:val="clear" w:color="auto" w:fill="auto"/>
            <w:noWrap/>
            <w:vAlign w:val="center"/>
            <w:hideMark/>
          </w:tcPr>
          <w:p w14:paraId="576EE46F"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2220</w:t>
            </w:r>
          </w:p>
        </w:tc>
        <w:tc>
          <w:tcPr>
            <w:tcW w:w="146" w:type="dxa"/>
            <w:gridSpan w:val="2"/>
            <w:vAlign w:val="center"/>
            <w:hideMark/>
          </w:tcPr>
          <w:p w14:paraId="543E5136" w14:textId="77777777" w:rsidR="00470495" w:rsidRPr="00470495" w:rsidRDefault="00470495" w:rsidP="00234CBE">
            <w:pPr>
              <w:spacing w:line="276" w:lineRule="auto"/>
              <w:rPr>
                <w:rFonts w:ascii="Times New Roman" w:hAnsi="Times New Roman"/>
                <w:sz w:val="20"/>
                <w:szCs w:val="20"/>
                <w:lang w:eastAsia="es-CR"/>
              </w:rPr>
            </w:pPr>
          </w:p>
        </w:tc>
      </w:tr>
      <w:tr w:rsidR="00470495" w:rsidRPr="00470495" w14:paraId="5FA75DC9" w14:textId="77777777" w:rsidTr="00470495">
        <w:trPr>
          <w:gridAfter w:val="1"/>
          <w:wAfter w:w="19" w:type="dxa"/>
          <w:trHeight w:val="217"/>
          <w:jc w:val="center"/>
        </w:trPr>
        <w:tc>
          <w:tcPr>
            <w:tcW w:w="2236" w:type="dxa"/>
            <w:tcBorders>
              <w:top w:val="nil"/>
              <w:left w:val="single" w:sz="4" w:space="0" w:color="auto"/>
              <w:bottom w:val="single" w:sz="4" w:space="0" w:color="auto"/>
              <w:right w:val="single" w:sz="4" w:space="0" w:color="auto"/>
            </w:tcBorders>
            <w:shd w:val="clear" w:color="auto" w:fill="auto"/>
            <w:noWrap/>
            <w:vAlign w:val="center"/>
            <w:hideMark/>
          </w:tcPr>
          <w:p w14:paraId="25204A52" w14:textId="77777777" w:rsidR="00470495" w:rsidRPr="00470495" w:rsidRDefault="00470495" w:rsidP="00234CBE">
            <w:pPr>
              <w:spacing w:line="276" w:lineRule="auto"/>
              <w:jc w:val="right"/>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 </w:t>
            </w:r>
          </w:p>
        </w:tc>
        <w:tc>
          <w:tcPr>
            <w:tcW w:w="806" w:type="dxa"/>
            <w:tcBorders>
              <w:top w:val="nil"/>
              <w:left w:val="nil"/>
              <w:bottom w:val="single" w:sz="4" w:space="0" w:color="auto"/>
              <w:right w:val="single" w:sz="4" w:space="0" w:color="auto"/>
            </w:tcBorders>
            <w:shd w:val="clear" w:color="auto" w:fill="auto"/>
            <w:noWrap/>
            <w:vAlign w:val="center"/>
            <w:hideMark/>
          </w:tcPr>
          <w:p w14:paraId="62CFFF55"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 </w:t>
            </w:r>
          </w:p>
        </w:tc>
        <w:tc>
          <w:tcPr>
            <w:tcW w:w="807" w:type="dxa"/>
            <w:tcBorders>
              <w:top w:val="nil"/>
              <w:left w:val="nil"/>
              <w:bottom w:val="single" w:sz="4" w:space="0" w:color="auto"/>
              <w:right w:val="single" w:sz="4" w:space="0" w:color="auto"/>
            </w:tcBorders>
            <w:shd w:val="clear" w:color="auto" w:fill="auto"/>
            <w:noWrap/>
            <w:vAlign w:val="center"/>
            <w:hideMark/>
          </w:tcPr>
          <w:p w14:paraId="60834E06"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 </w:t>
            </w:r>
          </w:p>
        </w:tc>
        <w:tc>
          <w:tcPr>
            <w:tcW w:w="807" w:type="dxa"/>
            <w:tcBorders>
              <w:top w:val="nil"/>
              <w:left w:val="nil"/>
              <w:bottom w:val="single" w:sz="4" w:space="0" w:color="auto"/>
              <w:right w:val="single" w:sz="4" w:space="0" w:color="auto"/>
            </w:tcBorders>
            <w:shd w:val="clear" w:color="auto" w:fill="auto"/>
            <w:noWrap/>
            <w:vAlign w:val="center"/>
            <w:hideMark/>
          </w:tcPr>
          <w:p w14:paraId="28551678"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 </w:t>
            </w:r>
          </w:p>
        </w:tc>
        <w:tc>
          <w:tcPr>
            <w:tcW w:w="806" w:type="dxa"/>
            <w:tcBorders>
              <w:top w:val="nil"/>
              <w:left w:val="nil"/>
              <w:bottom w:val="single" w:sz="4" w:space="0" w:color="auto"/>
              <w:right w:val="single" w:sz="4" w:space="0" w:color="auto"/>
            </w:tcBorders>
            <w:shd w:val="clear" w:color="auto" w:fill="auto"/>
            <w:noWrap/>
            <w:vAlign w:val="center"/>
            <w:hideMark/>
          </w:tcPr>
          <w:p w14:paraId="634BCEB6"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 </w:t>
            </w:r>
          </w:p>
        </w:tc>
        <w:tc>
          <w:tcPr>
            <w:tcW w:w="806" w:type="dxa"/>
            <w:tcBorders>
              <w:top w:val="nil"/>
              <w:left w:val="nil"/>
              <w:bottom w:val="single" w:sz="4" w:space="0" w:color="auto"/>
              <w:right w:val="single" w:sz="4" w:space="0" w:color="auto"/>
            </w:tcBorders>
            <w:shd w:val="clear" w:color="auto" w:fill="auto"/>
            <w:noWrap/>
            <w:vAlign w:val="center"/>
            <w:hideMark/>
          </w:tcPr>
          <w:p w14:paraId="6E460324"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 </w:t>
            </w:r>
          </w:p>
        </w:tc>
        <w:tc>
          <w:tcPr>
            <w:tcW w:w="806" w:type="dxa"/>
            <w:tcBorders>
              <w:top w:val="nil"/>
              <w:left w:val="nil"/>
              <w:bottom w:val="single" w:sz="4" w:space="0" w:color="auto"/>
              <w:right w:val="single" w:sz="4" w:space="0" w:color="auto"/>
            </w:tcBorders>
            <w:shd w:val="clear" w:color="auto" w:fill="auto"/>
            <w:noWrap/>
            <w:vAlign w:val="center"/>
            <w:hideMark/>
          </w:tcPr>
          <w:p w14:paraId="0EF372EB"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 </w:t>
            </w:r>
          </w:p>
        </w:tc>
        <w:tc>
          <w:tcPr>
            <w:tcW w:w="806" w:type="dxa"/>
            <w:tcBorders>
              <w:top w:val="nil"/>
              <w:left w:val="nil"/>
              <w:bottom w:val="single" w:sz="4" w:space="0" w:color="auto"/>
              <w:right w:val="single" w:sz="4" w:space="0" w:color="auto"/>
            </w:tcBorders>
            <w:shd w:val="clear" w:color="auto" w:fill="auto"/>
            <w:noWrap/>
            <w:vAlign w:val="center"/>
            <w:hideMark/>
          </w:tcPr>
          <w:p w14:paraId="2C8C5825"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 </w:t>
            </w:r>
          </w:p>
        </w:tc>
        <w:tc>
          <w:tcPr>
            <w:tcW w:w="807" w:type="dxa"/>
            <w:tcBorders>
              <w:top w:val="nil"/>
              <w:left w:val="nil"/>
              <w:bottom w:val="single" w:sz="4" w:space="0" w:color="auto"/>
              <w:right w:val="single" w:sz="4" w:space="0" w:color="auto"/>
            </w:tcBorders>
            <w:shd w:val="clear" w:color="auto" w:fill="auto"/>
            <w:noWrap/>
            <w:vAlign w:val="center"/>
            <w:hideMark/>
          </w:tcPr>
          <w:p w14:paraId="1F1E54D1"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 </w:t>
            </w:r>
          </w:p>
        </w:tc>
        <w:tc>
          <w:tcPr>
            <w:tcW w:w="846" w:type="dxa"/>
            <w:tcBorders>
              <w:top w:val="nil"/>
              <w:left w:val="nil"/>
              <w:bottom w:val="single" w:sz="4" w:space="0" w:color="auto"/>
              <w:right w:val="single" w:sz="4" w:space="0" w:color="auto"/>
            </w:tcBorders>
            <w:shd w:val="clear" w:color="auto" w:fill="auto"/>
            <w:noWrap/>
            <w:vAlign w:val="center"/>
            <w:hideMark/>
          </w:tcPr>
          <w:p w14:paraId="69A89371"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 </w:t>
            </w:r>
          </w:p>
        </w:tc>
        <w:tc>
          <w:tcPr>
            <w:tcW w:w="807" w:type="dxa"/>
            <w:tcBorders>
              <w:top w:val="nil"/>
              <w:left w:val="nil"/>
              <w:bottom w:val="single" w:sz="4" w:space="0" w:color="auto"/>
              <w:right w:val="single" w:sz="4" w:space="0" w:color="auto"/>
            </w:tcBorders>
            <w:shd w:val="clear" w:color="auto" w:fill="auto"/>
            <w:noWrap/>
            <w:vAlign w:val="center"/>
            <w:hideMark/>
          </w:tcPr>
          <w:p w14:paraId="032D34C4"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 </w:t>
            </w:r>
          </w:p>
        </w:tc>
        <w:tc>
          <w:tcPr>
            <w:tcW w:w="146" w:type="dxa"/>
            <w:gridSpan w:val="2"/>
            <w:vAlign w:val="center"/>
            <w:hideMark/>
          </w:tcPr>
          <w:p w14:paraId="784DE717" w14:textId="77777777" w:rsidR="00470495" w:rsidRPr="00470495" w:rsidRDefault="00470495" w:rsidP="00234CBE">
            <w:pPr>
              <w:spacing w:line="276" w:lineRule="auto"/>
              <w:rPr>
                <w:rFonts w:ascii="Times New Roman" w:hAnsi="Times New Roman"/>
                <w:sz w:val="20"/>
                <w:szCs w:val="20"/>
                <w:lang w:eastAsia="es-CR"/>
              </w:rPr>
            </w:pPr>
          </w:p>
        </w:tc>
      </w:tr>
      <w:tr w:rsidR="00470495" w:rsidRPr="00470495" w14:paraId="60EF28DC" w14:textId="77777777" w:rsidTr="00470495">
        <w:trPr>
          <w:gridAfter w:val="1"/>
          <w:wAfter w:w="19" w:type="dxa"/>
          <w:trHeight w:val="217"/>
          <w:jc w:val="center"/>
        </w:trPr>
        <w:tc>
          <w:tcPr>
            <w:tcW w:w="2236" w:type="dxa"/>
            <w:tcBorders>
              <w:top w:val="nil"/>
              <w:left w:val="single" w:sz="4" w:space="0" w:color="auto"/>
              <w:bottom w:val="single" w:sz="4" w:space="0" w:color="auto"/>
              <w:right w:val="single" w:sz="4" w:space="0" w:color="auto"/>
            </w:tcBorders>
            <w:shd w:val="clear" w:color="auto" w:fill="auto"/>
            <w:noWrap/>
            <w:vAlign w:val="center"/>
            <w:hideMark/>
          </w:tcPr>
          <w:p w14:paraId="32C5BF50" w14:textId="77777777" w:rsidR="00470495" w:rsidRPr="00470495" w:rsidRDefault="00470495" w:rsidP="00234CBE">
            <w:pPr>
              <w:spacing w:line="276" w:lineRule="auto"/>
              <w:rPr>
                <w:rFonts w:ascii="Book Antiqua" w:hAnsi="Book Antiqua" w:cs="Calibri"/>
                <w:b/>
                <w:bCs/>
                <w:color w:val="000000"/>
                <w:sz w:val="16"/>
                <w:szCs w:val="16"/>
                <w:lang w:eastAsia="es-CR"/>
              </w:rPr>
            </w:pPr>
            <w:r w:rsidRPr="00470495">
              <w:rPr>
                <w:rFonts w:ascii="Book Antiqua" w:hAnsi="Book Antiqua" w:cs="Calibri"/>
                <w:b/>
                <w:bCs/>
                <w:color w:val="000000"/>
                <w:sz w:val="16"/>
                <w:szCs w:val="16"/>
                <w:lang w:eastAsia="es-CR"/>
              </w:rPr>
              <w:t>No Penal</w:t>
            </w:r>
          </w:p>
        </w:tc>
        <w:tc>
          <w:tcPr>
            <w:tcW w:w="806" w:type="dxa"/>
            <w:tcBorders>
              <w:top w:val="nil"/>
              <w:left w:val="nil"/>
              <w:bottom w:val="single" w:sz="4" w:space="0" w:color="auto"/>
              <w:right w:val="single" w:sz="4" w:space="0" w:color="auto"/>
            </w:tcBorders>
            <w:shd w:val="clear" w:color="auto" w:fill="auto"/>
            <w:noWrap/>
            <w:vAlign w:val="center"/>
            <w:hideMark/>
          </w:tcPr>
          <w:p w14:paraId="67492AFD" w14:textId="77777777" w:rsidR="00470495" w:rsidRPr="00470495" w:rsidRDefault="00470495" w:rsidP="00234CBE">
            <w:pPr>
              <w:spacing w:line="276" w:lineRule="auto"/>
              <w:jc w:val="center"/>
              <w:rPr>
                <w:rFonts w:ascii="Book Antiqua" w:hAnsi="Book Antiqua" w:cs="Calibri"/>
                <w:b/>
                <w:bCs/>
                <w:color w:val="000000"/>
                <w:sz w:val="16"/>
                <w:szCs w:val="16"/>
                <w:u w:val="single"/>
                <w:lang w:eastAsia="es-CR"/>
              </w:rPr>
            </w:pPr>
            <w:r w:rsidRPr="00470495">
              <w:rPr>
                <w:rFonts w:ascii="Book Antiqua" w:hAnsi="Book Antiqua" w:cs="Calibri"/>
                <w:b/>
                <w:bCs/>
                <w:color w:val="000000"/>
                <w:sz w:val="16"/>
                <w:szCs w:val="16"/>
                <w:u w:val="single"/>
                <w:lang w:eastAsia="es-CR"/>
              </w:rPr>
              <w:t>38627</w:t>
            </w:r>
          </w:p>
        </w:tc>
        <w:tc>
          <w:tcPr>
            <w:tcW w:w="807" w:type="dxa"/>
            <w:tcBorders>
              <w:top w:val="nil"/>
              <w:left w:val="nil"/>
              <w:bottom w:val="single" w:sz="4" w:space="0" w:color="auto"/>
              <w:right w:val="single" w:sz="4" w:space="0" w:color="auto"/>
            </w:tcBorders>
            <w:shd w:val="clear" w:color="auto" w:fill="auto"/>
            <w:noWrap/>
            <w:vAlign w:val="center"/>
            <w:hideMark/>
          </w:tcPr>
          <w:p w14:paraId="7D031E52" w14:textId="77777777" w:rsidR="00470495" w:rsidRPr="00470495" w:rsidRDefault="00470495" w:rsidP="00234CBE">
            <w:pPr>
              <w:spacing w:line="276" w:lineRule="auto"/>
              <w:jc w:val="center"/>
              <w:rPr>
                <w:rFonts w:ascii="Book Antiqua" w:hAnsi="Book Antiqua" w:cs="Calibri"/>
                <w:b/>
                <w:bCs/>
                <w:color w:val="000000"/>
                <w:sz w:val="16"/>
                <w:szCs w:val="16"/>
                <w:u w:val="single"/>
                <w:lang w:eastAsia="es-CR"/>
              </w:rPr>
            </w:pPr>
            <w:r w:rsidRPr="00470495">
              <w:rPr>
                <w:rFonts w:ascii="Book Antiqua" w:hAnsi="Book Antiqua" w:cs="Calibri"/>
                <w:b/>
                <w:bCs/>
                <w:color w:val="000000"/>
                <w:sz w:val="16"/>
                <w:szCs w:val="16"/>
                <w:u w:val="single"/>
                <w:lang w:eastAsia="es-CR"/>
              </w:rPr>
              <w:t>43913</w:t>
            </w:r>
          </w:p>
        </w:tc>
        <w:tc>
          <w:tcPr>
            <w:tcW w:w="807" w:type="dxa"/>
            <w:tcBorders>
              <w:top w:val="nil"/>
              <w:left w:val="nil"/>
              <w:bottom w:val="single" w:sz="4" w:space="0" w:color="auto"/>
              <w:right w:val="single" w:sz="4" w:space="0" w:color="auto"/>
            </w:tcBorders>
            <w:shd w:val="clear" w:color="auto" w:fill="auto"/>
            <w:noWrap/>
            <w:vAlign w:val="center"/>
            <w:hideMark/>
          </w:tcPr>
          <w:p w14:paraId="7BAF3E00" w14:textId="77777777" w:rsidR="00470495" w:rsidRPr="00470495" w:rsidRDefault="00470495" w:rsidP="00234CBE">
            <w:pPr>
              <w:spacing w:line="276" w:lineRule="auto"/>
              <w:jc w:val="center"/>
              <w:rPr>
                <w:rFonts w:ascii="Book Antiqua" w:hAnsi="Book Antiqua" w:cs="Calibri"/>
                <w:b/>
                <w:bCs/>
                <w:color w:val="000000"/>
                <w:sz w:val="16"/>
                <w:szCs w:val="16"/>
                <w:u w:val="single"/>
                <w:lang w:eastAsia="es-CR"/>
              </w:rPr>
            </w:pPr>
            <w:r w:rsidRPr="00470495">
              <w:rPr>
                <w:rFonts w:ascii="Book Antiqua" w:hAnsi="Book Antiqua" w:cs="Calibri"/>
                <w:b/>
                <w:bCs/>
                <w:color w:val="000000"/>
                <w:sz w:val="16"/>
                <w:szCs w:val="16"/>
                <w:u w:val="single"/>
                <w:lang w:eastAsia="es-CR"/>
              </w:rPr>
              <w:t>36817</w:t>
            </w:r>
          </w:p>
        </w:tc>
        <w:tc>
          <w:tcPr>
            <w:tcW w:w="806" w:type="dxa"/>
            <w:tcBorders>
              <w:top w:val="nil"/>
              <w:left w:val="nil"/>
              <w:bottom w:val="single" w:sz="4" w:space="0" w:color="auto"/>
              <w:right w:val="single" w:sz="4" w:space="0" w:color="auto"/>
            </w:tcBorders>
            <w:shd w:val="clear" w:color="auto" w:fill="auto"/>
            <w:noWrap/>
            <w:vAlign w:val="center"/>
            <w:hideMark/>
          </w:tcPr>
          <w:p w14:paraId="0CEA7CEA" w14:textId="77777777" w:rsidR="00470495" w:rsidRPr="00470495" w:rsidRDefault="00470495" w:rsidP="00234CBE">
            <w:pPr>
              <w:spacing w:line="276" w:lineRule="auto"/>
              <w:jc w:val="center"/>
              <w:rPr>
                <w:rFonts w:ascii="Book Antiqua" w:hAnsi="Book Antiqua" w:cs="Calibri"/>
                <w:b/>
                <w:bCs/>
                <w:color w:val="000000"/>
                <w:sz w:val="16"/>
                <w:szCs w:val="16"/>
                <w:u w:val="single"/>
                <w:lang w:eastAsia="es-CR"/>
              </w:rPr>
            </w:pPr>
            <w:r w:rsidRPr="00470495">
              <w:rPr>
                <w:rFonts w:ascii="Book Antiqua" w:hAnsi="Book Antiqua" w:cs="Calibri"/>
                <w:b/>
                <w:bCs/>
                <w:color w:val="000000"/>
                <w:sz w:val="16"/>
                <w:szCs w:val="16"/>
                <w:u w:val="single"/>
                <w:lang w:eastAsia="es-CR"/>
              </w:rPr>
              <w:t>35142</w:t>
            </w:r>
          </w:p>
        </w:tc>
        <w:tc>
          <w:tcPr>
            <w:tcW w:w="806" w:type="dxa"/>
            <w:tcBorders>
              <w:top w:val="nil"/>
              <w:left w:val="nil"/>
              <w:bottom w:val="single" w:sz="4" w:space="0" w:color="auto"/>
              <w:right w:val="single" w:sz="4" w:space="0" w:color="auto"/>
            </w:tcBorders>
            <w:shd w:val="clear" w:color="auto" w:fill="auto"/>
            <w:noWrap/>
            <w:vAlign w:val="center"/>
            <w:hideMark/>
          </w:tcPr>
          <w:p w14:paraId="1AC6DAAD" w14:textId="77777777" w:rsidR="00470495" w:rsidRPr="00470495" w:rsidRDefault="00470495" w:rsidP="00234CBE">
            <w:pPr>
              <w:spacing w:line="276" w:lineRule="auto"/>
              <w:jc w:val="center"/>
              <w:rPr>
                <w:rFonts w:ascii="Book Antiqua" w:hAnsi="Book Antiqua" w:cs="Calibri"/>
                <w:b/>
                <w:bCs/>
                <w:color w:val="000000"/>
                <w:sz w:val="16"/>
                <w:szCs w:val="16"/>
                <w:u w:val="single"/>
                <w:lang w:eastAsia="es-CR"/>
              </w:rPr>
            </w:pPr>
            <w:r w:rsidRPr="00470495">
              <w:rPr>
                <w:rFonts w:ascii="Book Antiqua" w:hAnsi="Book Antiqua" w:cs="Calibri"/>
                <w:b/>
                <w:bCs/>
                <w:color w:val="000000"/>
                <w:sz w:val="16"/>
                <w:szCs w:val="16"/>
                <w:u w:val="single"/>
                <w:lang w:eastAsia="es-CR"/>
              </w:rPr>
              <w:t>32 728</w:t>
            </w:r>
          </w:p>
        </w:tc>
        <w:tc>
          <w:tcPr>
            <w:tcW w:w="806" w:type="dxa"/>
            <w:tcBorders>
              <w:top w:val="nil"/>
              <w:left w:val="nil"/>
              <w:bottom w:val="single" w:sz="4" w:space="0" w:color="auto"/>
              <w:right w:val="single" w:sz="4" w:space="0" w:color="auto"/>
            </w:tcBorders>
            <w:shd w:val="clear" w:color="auto" w:fill="auto"/>
            <w:noWrap/>
            <w:vAlign w:val="center"/>
            <w:hideMark/>
          </w:tcPr>
          <w:p w14:paraId="59BFE521" w14:textId="77777777" w:rsidR="00470495" w:rsidRPr="00470495" w:rsidRDefault="00470495" w:rsidP="00234CBE">
            <w:pPr>
              <w:spacing w:line="276" w:lineRule="auto"/>
              <w:jc w:val="center"/>
              <w:rPr>
                <w:rFonts w:ascii="Book Antiqua" w:hAnsi="Book Antiqua" w:cs="Calibri"/>
                <w:b/>
                <w:bCs/>
                <w:color w:val="000000"/>
                <w:sz w:val="16"/>
                <w:szCs w:val="16"/>
                <w:u w:val="single"/>
                <w:lang w:eastAsia="es-CR"/>
              </w:rPr>
            </w:pPr>
            <w:r w:rsidRPr="00470495">
              <w:rPr>
                <w:rFonts w:ascii="Book Antiqua" w:hAnsi="Book Antiqua" w:cs="Calibri"/>
                <w:b/>
                <w:bCs/>
                <w:color w:val="000000"/>
                <w:sz w:val="16"/>
                <w:szCs w:val="16"/>
                <w:u w:val="single"/>
                <w:lang w:eastAsia="es-CR"/>
              </w:rPr>
              <w:t>33095</w:t>
            </w:r>
          </w:p>
        </w:tc>
        <w:tc>
          <w:tcPr>
            <w:tcW w:w="806" w:type="dxa"/>
            <w:tcBorders>
              <w:top w:val="nil"/>
              <w:left w:val="nil"/>
              <w:bottom w:val="single" w:sz="4" w:space="0" w:color="auto"/>
              <w:right w:val="single" w:sz="4" w:space="0" w:color="auto"/>
            </w:tcBorders>
            <w:shd w:val="clear" w:color="auto" w:fill="auto"/>
            <w:noWrap/>
            <w:vAlign w:val="center"/>
            <w:hideMark/>
          </w:tcPr>
          <w:p w14:paraId="31C60B5D" w14:textId="77777777" w:rsidR="00470495" w:rsidRPr="00470495" w:rsidRDefault="00470495" w:rsidP="00234CBE">
            <w:pPr>
              <w:spacing w:line="276" w:lineRule="auto"/>
              <w:jc w:val="center"/>
              <w:rPr>
                <w:rFonts w:ascii="Book Antiqua" w:hAnsi="Book Antiqua" w:cs="Calibri"/>
                <w:b/>
                <w:bCs/>
                <w:color w:val="000000"/>
                <w:sz w:val="16"/>
                <w:szCs w:val="16"/>
                <w:u w:val="single"/>
                <w:lang w:eastAsia="es-CR"/>
              </w:rPr>
            </w:pPr>
            <w:r w:rsidRPr="00470495">
              <w:rPr>
                <w:rFonts w:ascii="Book Antiqua" w:hAnsi="Book Antiqua" w:cs="Calibri"/>
                <w:b/>
                <w:bCs/>
                <w:color w:val="000000"/>
                <w:sz w:val="16"/>
                <w:szCs w:val="16"/>
                <w:u w:val="single"/>
                <w:lang w:eastAsia="es-CR"/>
              </w:rPr>
              <w:t>37591</w:t>
            </w:r>
          </w:p>
        </w:tc>
        <w:tc>
          <w:tcPr>
            <w:tcW w:w="807" w:type="dxa"/>
            <w:tcBorders>
              <w:top w:val="nil"/>
              <w:left w:val="nil"/>
              <w:bottom w:val="single" w:sz="4" w:space="0" w:color="auto"/>
              <w:right w:val="single" w:sz="4" w:space="0" w:color="auto"/>
            </w:tcBorders>
            <w:shd w:val="clear" w:color="auto" w:fill="auto"/>
            <w:noWrap/>
            <w:vAlign w:val="center"/>
            <w:hideMark/>
          </w:tcPr>
          <w:p w14:paraId="15AEC99A" w14:textId="77777777" w:rsidR="00470495" w:rsidRPr="00470495" w:rsidRDefault="00470495" w:rsidP="00234CBE">
            <w:pPr>
              <w:spacing w:line="276" w:lineRule="auto"/>
              <w:jc w:val="center"/>
              <w:rPr>
                <w:rFonts w:ascii="Book Antiqua" w:hAnsi="Book Antiqua" w:cs="Calibri"/>
                <w:b/>
                <w:bCs/>
                <w:color w:val="000000"/>
                <w:sz w:val="16"/>
                <w:szCs w:val="16"/>
                <w:u w:val="single"/>
                <w:lang w:eastAsia="es-CR"/>
              </w:rPr>
            </w:pPr>
            <w:r w:rsidRPr="00470495">
              <w:rPr>
                <w:rFonts w:ascii="Book Antiqua" w:hAnsi="Book Antiqua" w:cs="Calibri"/>
                <w:b/>
                <w:bCs/>
                <w:color w:val="000000"/>
                <w:sz w:val="16"/>
                <w:szCs w:val="16"/>
                <w:u w:val="single"/>
                <w:lang w:eastAsia="es-CR"/>
              </w:rPr>
              <w:t>36410</w:t>
            </w:r>
          </w:p>
        </w:tc>
        <w:tc>
          <w:tcPr>
            <w:tcW w:w="846" w:type="dxa"/>
            <w:tcBorders>
              <w:top w:val="nil"/>
              <w:left w:val="nil"/>
              <w:bottom w:val="single" w:sz="4" w:space="0" w:color="auto"/>
              <w:right w:val="single" w:sz="4" w:space="0" w:color="auto"/>
            </w:tcBorders>
            <w:shd w:val="clear" w:color="auto" w:fill="auto"/>
            <w:noWrap/>
            <w:vAlign w:val="center"/>
            <w:hideMark/>
          </w:tcPr>
          <w:p w14:paraId="6D78D21D" w14:textId="77777777" w:rsidR="00470495" w:rsidRPr="00470495" w:rsidRDefault="00470495" w:rsidP="00234CBE">
            <w:pPr>
              <w:spacing w:line="276" w:lineRule="auto"/>
              <w:jc w:val="center"/>
              <w:rPr>
                <w:rFonts w:ascii="Book Antiqua" w:hAnsi="Book Antiqua" w:cs="Calibri"/>
                <w:b/>
                <w:bCs/>
                <w:color w:val="000000"/>
                <w:sz w:val="16"/>
                <w:szCs w:val="16"/>
                <w:u w:val="single"/>
                <w:lang w:eastAsia="es-CR"/>
              </w:rPr>
            </w:pPr>
            <w:r w:rsidRPr="00470495">
              <w:rPr>
                <w:rFonts w:ascii="Book Antiqua" w:hAnsi="Book Antiqua" w:cs="Calibri"/>
                <w:b/>
                <w:bCs/>
                <w:color w:val="000000"/>
                <w:sz w:val="16"/>
                <w:szCs w:val="16"/>
                <w:u w:val="single"/>
                <w:lang w:eastAsia="es-CR"/>
              </w:rPr>
              <w:t>35287</w:t>
            </w:r>
          </w:p>
        </w:tc>
        <w:tc>
          <w:tcPr>
            <w:tcW w:w="807" w:type="dxa"/>
            <w:tcBorders>
              <w:top w:val="nil"/>
              <w:left w:val="nil"/>
              <w:bottom w:val="single" w:sz="4" w:space="0" w:color="auto"/>
              <w:right w:val="single" w:sz="4" w:space="0" w:color="auto"/>
            </w:tcBorders>
            <w:shd w:val="clear" w:color="auto" w:fill="auto"/>
            <w:noWrap/>
            <w:vAlign w:val="center"/>
            <w:hideMark/>
          </w:tcPr>
          <w:p w14:paraId="4F219314" w14:textId="77777777" w:rsidR="00470495" w:rsidRPr="00470495" w:rsidRDefault="00470495" w:rsidP="00234CBE">
            <w:pPr>
              <w:spacing w:line="276" w:lineRule="auto"/>
              <w:jc w:val="center"/>
              <w:rPr>
                <w:rFonts w:ascii="Book Antiqua" w:hAnsi="Book Antiqua" w:cs="Calibri"/>
                <w:b/>
                <w:bCs/>
                <w:color w:val="000000"/>
                <w:sz w:val="16"/>
                <w:szCs w:val="16"/>
                <w:u w:val="single"/>
                <w:lang w:eastAsia="es-CR"/>
              </w:rPr>
            </w:pPr>
            <w:r w:rsidRPr="00470495">
              <w:rPr>
                <w:rFonts w:ascii="Book Antiqua" w:hAnsi="Book Antiqua" w:cs="Calibri"/>
                <w:b/>
                <w:bCs/>
                <w:color w:val="000000"/>
                <w:sz w:val="16"/>
                <w:szCs w:val="16"/>
                <w:u w:val="single"/>
                <w:lang w:eastAsia="es-CR"/>
              </w:rPr>
              <w:t>329610</w:t>
            </w:r>
          </w:p>
        </w:tc>
        <w:tc>
          <w:tcPr>
            <w:tcW w:w="146" w:type="dxa"/>
            <w:gridSpan w:val="2"/>
            <w:vAlign w:val="center"/>
            <w:hideMark/>
          </w:tcPr>
          <w:p w14:paraId="56143983" w14:textId="77777777" w:rsidR="00470495" w:rsidRPr="00470495" w:rsidRDefault="00470495" w:rsidP="00234CBE">
            <w:pPr>
              <w:spacing w:line="276" w:lineRule="auto"/>
              <w:rPr>
                <w:rFonts w:ascii="Times New Roman" w:hAnsi="Times New Roman"/>
                <w:sz w:val="20"/>
                <w:szCs w:val="20"/>
                <w:lang w:eastAsia="es-CR"/>
              </w:rPr>
            </w:pPr>
          </w:p>
        </w:tc>
      </w:tr>
      <w:tr w:rsidR="00470495" w:rsidRPr="00470495" w14:paraId="648220A8" w14:textId="77777777" w:rsidTr="00470495">
        <w:trPr>
          <w:gridAfter w:val="1"/>
          <w:wAfter w:w="19" w:type="dxa"/>
          <w:trHeight w:val="217"/>
          <w:jc w:val="center"/>
        </w:trPr>
        <w:tc>
          <w:tcPr>
            <w:tcW w:w="2236" w:type="dxa"/>
            <w:tcBorders>
              <w:top w:val="nil"/>
              <w:left w:val="single" w:sz="4" w:space="0" w:color="auto"/>
              <w:bottom w:val="single" w:sz="4" w:space="0" w:color="auto"/>
              <w:right w:val="single" w:sz="4" w:space="0" w:color="auto"/>
            </w:tcBorders>
            <w:shd w:val="clear" w:color="auto" w:fill="auto"/>
            <w:noWrap/>
            <w:vAlign w:val="center"/>
            <w:hideMark/>
          </w:tcPr>
          <w:p w14:paraId="51FF6AB2" w14:textId="77777777" w:rsidR="00470495" w:rsidRPr="00470495" w:rsidRDefault="00470495" w:rsidP="00234CBE">
            <w:pPr>
              <w:spacing w:line="276" w:lineRule="auto"/>
              <w:jc w:val="right"/>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Civil</w:t>
            </w:r>
          </w:p>
        </w:tc>
        <w:tc>
          <w:tcPr>
            <w:tcW w:w="806" w:type="dxa"/>
            <w:tcBorders>
              <w:top w:val="nil"/>
              <w:left w:val="nil"/>
              <w:bottom w:val="single" w:sz="4" w:space="0" w:color="auto"/>
              <w:right w:val="single" w:sz="4" w:space="0" w:color="auto"/>
            </w:tcBorders>
            <w:shd w:val="clear" w:color="auto" w:fill="auto"/>
            <w:noWrap/>
            <w:vAlign w:val="center"/>
            <w:hideMark/>
          </w:tcPr>
          <w:p w14:paraId="4EAD0249"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1 208</w:t>
            </w:r>
          </w:p>
        </w:tc>
        <w:tc>
          <w:tcPr>
            <w:tcW w:w="807" w:type="dxa"/>
            <w:tcBorders>
              <w:top w:val="nil"/>
              <w:left w:val="nil"/>
              <w:bottom w:val="single" w:sz="4" w:space="0" w:color="auto"/>
              <w:right w:val="single" w:sz="4" w:space="0" w:color="auto"/>
            </w:tcBorders>
            <w:shd w:val="clear" w:color="auto" w:fill="auto"/>
            <w:noWrap/>
            <w:vAlign w:val="center"/>
            <w:hideMark/>
          </w:tcPr>
          <w:p w14:paraId="5E3D7945"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1 398</w:t>
            </w:r>
          </w:p>
        </w:tc>
        <w:tc>
          <w:tcPr>
            <w:tcW w:w="807" w:type="dxa"/>
            <w:tcBorders>
              <w:top w:val="nil"/>
              <w:left w:val="nil"/>
              <w:bottom w:val="single" w:sz="4" w:space="0" w:color="auto"/>
              <w:right w:val="single" w:sz="4" w:space="0" w:color="auto"/>
            </w:tcBorders>
            <w:shd w:val="clear" w:color="auto" w:fill="auto"/>
            <w:noWrap/>
            <w:vAlign w:val="center"/>
            <w:hideMark/>
          </w:tcPr>
          <w:p w14:paraId="7762223B"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1 439</w:t>
            </w:r>
          </w:p>
        </w:tc>
        <w:tc>
          <w:tcPr>
            <w:tcW w:w="806" w:type="dxa"/>
            <w:tcBorders>
              <w:top w:val="nil"/>
              <w:left w:val="nil"/>
              <w:bottom w:val="single" w:sz="4" w:space="0" w:color="auto"/>
              <w:right w:val="single" w:sz="4" w:space="0" w:color="auto"/>
            </w:tcBorders>
            <w:shd w:val="clear" w:color="auto" w:fill="auto"/>
            <w:noWrap/>
            <w:vAlign w:val="center"/>
            <w:hideMark/>
          </w:tcPr>
          <w:p w14:paraId="0AC82D4B"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1288</w:t>
            </w:r>
          </w:p>
        </w:tc>
        <w:tc>
          <w:tcPr>
            <w:tcW w:w="806" w:type="dxa"/>
            <w:tcBorders>
              <w:top w:val="nil"/>
              <w:left w:val="nil"/>
              <w:bottom w:val="single" w:sz="4" w:space="0" w:color="auto"/>
              <w:right w:val="single" w:sz="4" w:space="0" w:color="auto"/>
            </w:tcBorders>
            <w:shd w:val="clear" w:color="auto" w:fill="auto"/>
            <w:noWrap/>
            <w:vAlign w:val="center"/>
            <w:hideMark/>
          </w:tcPr>
          <w:p w14:paraId="3C7E5377"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1 297</w:t>
            </w:r>
          </w:p>
        </w:tc>
        <w:tc>
          <w:tcPr>
            <w:tcW w:w="806" w:type="dxa"/>
            <w:tcBorders>
              <w:top w:val="nil"/>
              <w:left w:val="nil"/>
              <w:bottom w:val="single" w:sz="4" w:space="0" w:color="auto"/>
              <w:right w:val="single" w:sz="4" w:space="0" w:color="auto"/>
            </w:tcBorders>
            <w:shd w:val="clear" w:color="auto" w:fill="auto"/>
            <w:noWrap/>
            <w:vAlign w:val="center"/>
            <w:hideMark/>
          </w:tcPr>
          <w:p w14:paraId="5554BF11"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1 400</w:t>
            </w:r>
          </w:p>
        </w:tc>
        <w:tc>
          <w:tcPr>
            <w:tcW w:w="806" w:type="dxa"/>
            <w:tcBorders>
              <w:top w:val="nil"/>
              <w:left w:val="nil"/>
              <w:bottom w:val="single" w:sz="4" w:space="0" w:color="auto"/>
              <w:right w:val="single" w:sz="4" w:space="0" w:color="auto"/>
            </w:tcBorders>
            <w:shd w:val="clear" w:color="auto" w:fill="auto"/>
            <w:noWrap/>
            <w:vAlign w:val="center"/>
            <w:hideMark/>
          </w:tcPr>
          <w:p w14:paraId="2F32C9EA"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1 285</w:t>
            </w:r>
          </w:p>
        </w:tc>
        <w:tc>
          <w:tcPr>
            <w:tcW w:w="807" w:type="dxa"/>
            <w:tcBorders>
              <w:top w:val="nil"/>
              <w:left w:val="nil"/>
              <w:bottom w:val="single" w:sz="4" w:space="0" w:color="auto"/>
              <w:right w:val="single" w:sz="4" w:space="0" w:color="auto"/>
            </w:tcBorders>
            <w:shd w:val="clear" w:color="auto" w:fill="auto"/>
            <w:noWrap/>
            <w:vAlign w:val="center"/>
            <w:hideMark/>
          </w:tcPr>
          <w:p w14:paraId="4A78EE93"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1 348</w:t>
            </w:r>
          </w:p>
        </w:tc>
        <w:tc>
          <w:tcPr>
            <w:tcW w:w="846" w:type="dxa"/>
            <w:tcBorders>
              <w:top w:val="nil"/>
              <w:left w:val="nil"/>
              <w:bottom w:val="single" w:sz="4" w:space="0" w:color="auto"/>
              <w:right w:val="single" w:sz="4" w:space="0" w:color="auto"/>
            </w:tcBorders>
            <w:shd w:val="clear" w:color="auto" w:fill="auto"/>
            <w:noWrap/>
            <w:vAlign w:val="center"/>
            <w:hideMark/>
          </w:tcPr>
          <w:p w14:paraId="1C654BB4"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1 347</w:t>
            </w:r>
          </w:p>
        </w:tc>
        <w:tc>
          <w:tcPr>
            <w:tcW w:w="807" w:type="dxa"/>
            <w:tcBorders>
              <w:top w:val="nil"/>
              <w:left w:val="nil"/>
              <w:bottom w:val="single" w:sz="4" w:space="0" w:color="auto"/>
              <w:right w:val="single" w:sz="4" w:space="0" w:color="auto"/>
            </w:tcBorders>
            <w:shd w:val="clear" w:color="auto" w:fill="auto"/>
            <w:noWrap/>
            <w:vAlign w:val="center"/>
            <w:hideMark/>
          </w:tcPr>
          <w:p w14:paraId="75160B1C"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12 010</w:t>
            </w:r>
          </w:p>
        </w:tc>
        <w:tc>
          <w:tcPr>
            <w:tcW w:w="146" w:type="dxa"/>
            <w:gridSpan w:val="2"/>
            <w:vAlign w:val="center"/>
            <w:hideMark/>
          </w:tcPr>
          <w:p w14:paraId="69B51F64" w14:textId="77777777" w:rsidR="00470495" w:rsidRPr="00470495" w:rsidRDefault="00470495" w:rsidP="00234CBE">
            <w:pPr>
              <w:spacing w:line="276" w:lineRule="auto"/>
              <w:rPr>
                <w:rFonts w:ascii="Times New Roman" w:hAnsi="Times New Roman"/>
                <w:sz w:val="20"/>
                <w:szCs w:val="20"/>
                <w:lang w:eastAsia="es-CR"/>
              </w:rPr>
            </w:pPr>
          </w:p>
        </w:tc>
      </w:tr>
      <w:tr w:rsidR="00470495" w:rsidRPr="00470495" w14:paraId="4B374378" w14:textId="77777777" w:rsidTr="00470495">
        <w:trPr>
          <w:gridAfter w:val="1"/>
          <w:wAfter w:w="19" w:type="dxa"/>
          <w:trHeight w:val="217"/>
          <w:jc w:val="center"/>
        </w:trPr>
        <w:tc>
          <w:tcPr>
            <w:tcW w:w="2236" w:type="dxa"/>
            <w:tcBorders>
              <w:top w:val="nil"/>
              <w:left w:val="single" w:sz="4" w:space="0" w:color="auto"/>
              <w:bottom w:val="single" w:sz="4" w:space="0" w:color="auto"/>
              <w:right w:val="single" w:sz="4" w:space="0" w:color="auto"/>
            </w:tcBorders>
            <w:shd w:val="clear" w:color="auto" w:fill="auto"/>
            <w:noWrap/>
            <w:vAlign w:val="center"/>
            <w:hideMark/>
          </w:tcPr>
          <w:p w14:paraId="6F2BCB5C" w14:textId="77777777" w:rsidR="00470495" w:rsidRPr="00470495" w:rsidRDefault="00470495" w:rsidP="00234CBE">
            <w:pPr>
              <w:spacing w:line="276" w:lineRule="auto"/>
              <w:jc w:val="right"/>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Cobro</w:t>
            </w:r>
          </w:p>
        </w:tc>
        <w:tc>
          <w:tcPr>
            <w:tcW w:w="806" w:type="dxa"/>
            <w:tcBorders>
              <w:top w:val="nil"/>
              <w:left w:val="nil"/>
              <w:bottom w:val="single" w:sz="4" w:space="0" w:color="auto"/>
              <w:right w:val="single" w:sz="4" w:space="0" w:color="auto"/>
            </w:tcBorders>
            <w:shd w:val="clear" w:color="auto" w:fill="auto"/>
            <w:noWrap/>
            <w:vAlign w:val="center"/>
            <w:hideMark/>
          </w:tcPr>
          <w:p w14:paraId="7E256BB3"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13975</w:t>
            </w:r>
          </w:p>
        </w:tc>
        <w:tc>
          <w:tcPr>
            <w:tcW w:w="807" w:type="dxa"/>
            <w:tcBorders>
              <w:top w:val="nil"/>
              <w:left w:val="nil"/>
              <w:bottom w:val="single" w:sz="4" w:space="0" w:color="auto"/>
              <w:right w:val="single" w:sz="4" w:space="0" w:color="auto"/>
            </w:tcBorders>
            <w:shd w:val="clear" w:color="auto" w:fill="auto"/>
            <w:noWrap/>
            <w:vAlign w:val="center"/>
            <w:hideMark/>
          </w:tcPr>
          <w:p w14:paraId="7CA1A5CA"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20952</w:t>
            </w:r>
          </w:p>
        </w:tc>
        <w:tc>
          <w:tcPr>
            <w:tcW w:w="807" w:type="dxa"/>
            <w:tcBorders>
              <w:top w:val="nil"/>
              <w:left w:val="nil"/>
              <w:bottom w:val="single" w:sz="4" w:space="0" w:color="auto"/>
              <w:right w:val="single" w:sz="4" w:space="0" w:color="auto"/>
            </w:tcBorders>
            <w:shd w:val="clear" w:color="auto" w:fill="auto"/>
            <w:noWrap/>
            <w:vAlign w:val="center"/>
            <w:hideMark/>
          </w:tcPr>
          <w:p w14:paraId="606228A6"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12791</w:t>
            </w:r>
          </w:p>
        </w:tc>
        <w:tc>
          <w:tcPr>
            <w:tcW w:w="806" w:type="dxa"/>
            <w:tcBorders>
              <w:top w:val="nil"/>
              <w:left w:val="nil"/>
              <w:bottom w:val="single" w:sz="4" w:space="0" w:color="auto"/>
              <w:right w:val="single" w:sz="4" w:space="0" w:color="auto"/>
            </w:tcBorders>
            <w:shd w:val="clear" w:color="auto" w:fill="auto"/>
            <w:noWrap/>
            <w:vAlign w:val="center"/>
            <w:hideMark/>
          </w:tcPr>
          <w:p w14:paraId="30BE424B"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11755</w:t>
            </w:r>
          </w:p>
        </w:tc>
        <w:tc>
          <w:tcPr>
            <w:tcW w:w="806" w:type="dxa"/>
            <w:tcBorders>
              <w:top w:val="nil"/>
              <w:left w:val="nil"/>
              <w:bottom w:val="single" w:sz="4" w:space="0" w:color="auto"/>
              <w:right w:val="single" w:sz="4" w:space="0" w:color="auto"/>
            </w:tcBorders>
            <w:shd w:val="clear" w:color="auto" w:fill="auto"/>
            <w:noWrap/>
            <w:vAlign w:val="center"/>
            <w:hideMark/>
          </w:tcPr>
          <w:p w14:paraId="0E0216DC"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11145</w:t>
            </w:r>
          </w:p>
        </w:tc>
        <w:tc>
          <w:tcPr>
            <w:tcW w:w="806" w:type="dxa"/>
            <w:tcBorders>
              <w:top w:val="nil"/>
              <w:left w:val="nil"/>
              <w:bottom w:val="single" w:sz="4" w:space="0" w:color="auto"/>
              <w:right w:val="single" w:sz="4" w:space="0" w:color="auto"/>
            </w:tcBorders>
            <w:shd w:val="clear" w:color="auto" w:fill="auto"/>
            <w:noWrap/>
            <w:vAlign w:val="center"/>
            <w:hideMark/>
          </w:tcPr>
          <w:p w14:paraId="0133A0B6"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9474</w:t>
            </w:r>
          </w:p>
        </w:tc>
        <w:tc>
          <w:tcPr>
            <w:tcW w:w="806" w:type="dxa"/>
            <w:tcBorders>
              <w:top w:val="nil"/>
              <w:left w:val="nil"/>
              <w:bottom w:val="single" w:sz="4" w:space="0" w:color="auto"/>
              <w:right w:val="single" w:sz="4" w:space="0" w:color="auto"/>
            </w:tcBorders>
            <w:shd w:val="clear" w:color="auto" w:fill="auto"/>
            <w:noWrap/>
            <w:vAlign w:val="center"/>
            <w:hideMark/>
          </w:tcPr>
          <w:p w14:paraId="34A90EBB"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15268</w:t>
            </w:r>
          </w:p>
        </w:tc>
        <w:tc>
          <w:tcPr>
            <w:tcW w:w="807" w:type="dxa"/>
            <w:tcBorders>
              <w:top w:val="nil"/>
              <w:left w:val="nil"/>
              <w:bottom w:val="single" w:sz="4" w:space="0" w:color="auto"/>
              <w:right w:val="single" w:sz="4" w:space="0" w:color="auto"/>
            </w:tcBorders>
            <w:shd w:val="clear" w:color="auto" w:fill="auto"/>
            <w:noWrap/>
            <w:vAlign w:val="center"/>
            <w:hideMark/>
          </w:tcPr>
          <w:p w14:paraId="54A6E0A5"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12186</w:t>
            </w:r>
          </w:p>
        </w:tc>
        <w:tc>
          <w:tcPr>
            <w:tcW w:w="846" w:type="dxa"/>
            <w:tcBorders>
              <w:top w:val="nil"/>
              <w:left w:val="nil"/>
              <w:bottom w:val="single" w:sz="4" w:space="0" w:color="auto"/>
              <w:right w:val="single" w:sz="4" w:space="0" w:color="auto"/>
            </w:tcBorders>
            <w:shd w:val="clear" w:color="auto" w:fill="auto"/>
            <w:noWrap/>
            <w:vAlign w:val="center"/>
            <w:hideMark/>
          </w:tcPr>
          <w:p w14:paraId="2104EE93"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11816</w:t>
            </w:r>
          </w:p>
        </w:tc>
        <w:tc>
          <w:tcPr>
            <w:tcW w:w="807" w:type="dxa"/>
            <w:tcBorders>
              <w:top w:val="nil"/>
              <w:left w:val="nil"/>
              <w:bottom w:val="single" w:sz="4" w:space="0" w:color="auto"/>
              <w:right w:val="single" w:sz="4" w:space="0" w:color="auto"/>
            </w:tcBorders>
            <w:shd w:val="clear" w:color="auto" w:fill="auto"/>
            <w:noWrap/>
            <w:vAlign w:val="center"/>
            <w:hideMark/>
          </w:tcPr>
          <w:p w14:paraId="55414A47"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119362</w:t>
            </w:r>
          </w:p>
        </w:tc>
        <w:tc>
          <w:tcPr>
            <w:tcW w:w="146" w:type="dxa"/>
            <w:gridSpan w:val="2"/>
            <w:vAlign w:val="center"/>
            <w:hideMark/>
          </w:tcPr>
          <w:p w14:paraId="44CB6D92" w14:textId="77777777" w:rsidR="00470495" w:rsidRPr="00470495" w:rsidRDefault="00470495" w:rsidP="00234CBE">
            <w:pPr>
              <w:spacing w:line="276" w:lineRule="auto"/>
              <w:rPr>
                <w:rFonts w:ascii="Times New Roman" w:hAnsi="Times New Roman"/>
                <w:sz w:val="20"/>
                <w:szCs w:val="20"/>
                <w:lang w:eastAsia="es-CR"/>
              </w:rPr>
            </w:pPr>
          </w:p>
        </w:tc>
      </w:tr>
      <w:tr w:rsidR="00470495" w:rsidRPr="00470495" w14:paraId="1B6A839D" w14:textId="77777777" w:rsidTr="00470495">
        <w:trPr>
          <w:gridAfter w:val="1"/>
          <w:wAfter w:w="19" w:type="dxa"/>
          <w:trHeight w:val="217"/>
          <w:jc w:val="center"/>
        </w:trPr>
        <w:tc>
          <w:tcPr>
            <w:tcW w:w="2236" w:type="dxa"/>
            <w:tcBorders>
              <w:top w:val="nil"/>
              <w:left w:val="single" w:sz="4" w:space="0" w:color="auto"/>
              <w:bottom w:val="single" w:sz="4" w:space="0" w:color="auto"/>
              <w:right w:val="single" w:sz="4" w:space="0" w:color="auto"/>
            </w:tcBorders>
            <w:shd w:val="clear" w:color="auto" w:fill="auto"/>
            <w:noWrap/>
            <w:vAlign w:val="center"/>
            <w:hideMark/>
          </w:tcPr>
          <w:p w14:paraId="22242CBC" w14:textId="77777777" w:rsidR="00470495" w:rsidRPr="00470495" w:rsidRDefault="00470495" w:rsidP="00234CBE">
            <w:pPr>
              <w:spacing w:line="276" w:lineRule="auto"/>
              <w:jc w:val="right"/>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Notarial</w:t>
            </w:r>
          </w:p>
        </w:tc>
        <w:tc>
          <w:tcPr>
            <w:tcW w:w="806" w:type="dxa"/>
            <w:tcBorders>
              <w:top w:val="nil"/>
              <w:left w:val="nil"/>
              <w:bottom w:val="single" w:sz="4" w:space="0" w:color="auto"/>
              <w:right w:val="single" w:sz="4" w:space="0" w:color="auto"/>
            </w:tcBorders>
            <w:shd w:val="clear" w:color="auto" w:fill="auto"/>
            <w:noWrap/>
            <w:vAlign w:val="center"/>
            <w:hideMark/>
          </w:tcPr>
          <w:p w14:paraId="60D4EF7A"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89</w:t>
            </w:r>
          </w:p>
        </w:tc>
        <w:tc>
          <w:tcPr>
            <w:tcW w:w="807" w:type="dxa"/>
            <w:tcBorders>
              <w:top w:val="nil"/>
              <w:left w:val="nil"/>
              <w:bottom w:val="single" w:sz="4" w:space="0" w:color="auto"/>
              <w:right w:val="single" w:sz="4" w:space="0" w:color="auto"/>
            </w:tcBorders>
            <w:shd w:val="clear" w:color="auto" w:fill="auto"/>
            <w:noWrap/>
            <w:vAlign w:val="center"/>
            <w:hideMark/>
          </w:tcPr>
          <w:p w14:paraId="63F40A96"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66</w:t>
            </w:r>
          </w:p>
        </w:tc>
        <w:tc>
          <w:tcPr>
            <w:tcW w:w="807" w:type="dxa"/>
            <w:tcBorders>
              <w:top w:val="nil"/>
              <w:left w:val="nil"/>
              <w:bottom w:val="single" w:sz="4" w:space="0" w:color="auto"/>
              <w:right w:val="single" w:sz="4" w:space="0" w:color="auto"/>
            </w:tcBorders>
            <w:shd w:val="clear" w:color="auto" w:fill="auto"/>
            <w:noWrap/>
            <w:vAlign w:val="center"/>
            <w:hideMark/>
          </w:tcPr>
          <w:p w14:paraId="24471295"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105</w:t>
            </w:r>
          </w:p>
        </w:tc>
        <w:tc>
          <w:tcPr>
            <w:tcW w:w="806" w:type="dxa"/>
            <w:tcBorders>
              <w:top w:val="nil"/>
              <w:left w:val="nil"/>
              <w:bottom w:val="single" w:sz="4" w:space="0" w:color="auto"/>
              <w:right w:val="single" w:sz="4" w:space="0" w:color="auto"/>
            </w:tcBorders>
            <w:shd w:val="clear" w:color="auto" w:fill="auto"/>
            <w:noWrap/>
            <w:vAlign w:val="center"/>
            <w:hideMark/>
          </w:tcPr>
          <w:p w14:paraId="55A09BCB"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87</w:t>
            </w:r>
          </w:p>
        </w:tc>
        <w:tc>
          <w:tcPr>
            <w:tcW w:w="806" w:type="dxa"/>
            <w:tcBorders>
              <w:top w:val="nil"/>
              <w:left w:val="nil"/>
              <w:bottom w:val="single" w:sz="4" w:space="0" w:color="auto"/>
              <w:right w:val="single" w:sz="4" w:space="0" w:color="auto"/>
            </w:tcBorders>
            <w:shd w:val="clear" w:color="auto" w:fill="auto"/>
            <w:noWrap/>
            <w:vAlign w:val="center"/>
            <w:hideMark/>
          </w:tcPr>
          <w:p w14:paraId="0D85A765"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76</w:t>
            </w:r>
          </w:p>
        </w:tc>
        <w:tc>
          <w:tcPr>
            <w:tcW w:w="806" w:type="dxa"/>
            <w:tcBorders>
              <w:top w:val="nil"/>
              <w:left w:val="nil"/>
              <w:bottom w:val="single" w:sz="4" w:space="0" w:color="auto"/>
              <w:right w:val="single" w:sz="4" w:space="0" w:color="auto"/>
            </w:tcBorders>
            <w:shd w:val="clear" w:color="auto" w:fill="auto"/>
            <w:noWrap/>
            <w:vAlign w:val="center"/>
            <w:hideMark/>
          </w:tcPr>
          <w:p w14:paraId="5B738FB4"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98</w:t>
            </w:r>
          </w:p>
        </w:tc>
        <w:tc>
          <w:tcPr>
            <w:tcW w:w="806" w:type="dxa"/>
            <w:tcBorders>
              <w:top w:val="nil"/>
              <w:left w:val="nil"/>
              <w:bottom w:val="single" w:sz="4" w:space="0" w:color="auto"/>
              <w:right w:val="single" w:sz="4" w:space="0" w:color="auto"/>
            </w:tcBorders>
            <w:shd w:val="clear" w:color="auto" w:fill="auto"/>
            <w:noWrap/>
            <w:vAlign w:val="center"/>
            <w:hideMark/>
          </w:tcPr>
          <w:p w14:paraId="7B5CC733"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79</w:t>
            </w:r>
          </w:p>
        </w:tc>
        <w:tc>
          <w:tcPr>
            <w:tcW w:w="807" w:type="dxa"/>
            <w:tcBorders>
              <w:top w:val="nil"/>
              <w:left w:val="nil"/>
              <w:bottom w:val="single" w:sz="4" w:space="0" w:color="auto"/>
              <w:right w:val="single" w:sz="4" w:space="0" w:color="auto"/>
            </w:tcBorders>
            <w:shd w:val="clear" w:color="auto" w:fill="auto"/>
            <w:noWrap/>
            <w:vAlign w:val="center"/>
            <w:hideMark/>
          </w:tcPr>
          <w:p w14:paraId="3152F56D"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117</w:t>
            </w:r>
          </w:p>
        </w:tc>
        <w:tc>
          <w:tcPr>
            <w:tcW w:w="846" w:type="dxa"/>
            <w:tcBorders>
              <w:top w:val="nil"/>
              <w:left w:val="nil"/>
              <w:bottom w:val="single" w:sz="4" w:space="0" w:color="auto"/>
              <w:right w:val="single" w:sz="4" w:space="0" w:color="auto"/>
            </w:tcBorders>
            <w:shd w:val="clear" w:color="auto" w:fill="auto"/>
            <w:noWrap/>
            <w:vAlign w:val="center"/>
            <w:hideMark/>
          </w:tcPr>
          <w:p w14:paraId="569E20DA"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124</w:t>
            </w:r>
          </w:p>
        </w:tc>
        <w:tc>
          <w:tcPr>
            <w:tcW w:w="807" w:type="dxa"/>
            <w:tcBorders>
              <w:top w:val="nil"/>
              <w:left w:val="nil"/>
              <w:bottom w:val="single" w:sz="4" w:space="0" w:color="auto"/>
              <w:right w:val="single" w:sz="4" w:space="0" w:color="auto"/>
            </w:tcBorders>
            <w:shd w:val="clear" w:color="auto" w:fill="auto"/>
            <w:noWrap/>
            <w:vAlign w:val="center"/>
            <w:hideMark/>
          </w:tcPr>
          <w:p w14:paraId="0B5F2543"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841</w:t>
            </w:r>
          </w:p>
        </w:tc>
        <w:tc>
          <w:tcPr>
            <w:tcW w:w="146" w:type="dxa"/>
            <w:gridSpan w:val="2"/>
            <w:vAlign w:val="center"/>
            <w:hideMark/>
          </w:tcPr>
          <w:p w14:paraId="5C253B8D" w14:textId="77777777" w:rsidR="00470495" w:rsidRPr="00470495" w:rsidRDefault="00470495" w:rsidP="00234CBE">
            <w:pPr>
              <w:spacing w:line="276" w:lineRule="auto"/>
              <w:rPr>
                <w:rFonts w:ascii="Times New Roman" w:hAnsi="Times New Roman"/>
                <w:sz w:val="20"/>
                <w:szCs w:val="20"/>
                <w:lang w:eastAsia="es-CR"/>
              </w:rPr>
            </w:pPr>
          </w:p>
        </w:tc>
      </w:tr>
      <w:tr w:rsidR="00470495" w:rsidRPr="00470495" w14:paraId="79E4EED1" w14:textId="77777777" w:rsidTr="00470495">
        <w:trPr>
          <w:gridAfter w:val="1"/>
          <w:wAfter w:w="19" w:type="dxa"/>
          <w:trHeight w:val="217"/>
          <w:jc w:val="center"/>
        </w:trPr>
        <w:tc>
          <w:tcPr>
            <w:tcW w:w="2236" w:type="dxa"/>
            <w:tcBorders>
              <w:top w:val="nil"/>
              <w:left w:val="single" w:sz="4" w:space="0" w:color="auto"/>
              <w:bottom w:val="single" w:sz="4" w:space="0" w:color="auto"/>
              <w:right w:val="single" w:sz="4" w:space="0" w:color="auto"/>
            </w:tcBorders>
            <w:shd w:val="clear" w:color="auto" w:fill="auto"/>
            <w:noWrap/>
            <w:vAlign w:val="center"/>
            <w:hideMark/>
          </w:tcPr>
          <w:p w14:paraId="6047ED62" w14:textId="77777777" w:rsidR="00470495" w:rsidRPr="00470495" w:rsidRDefault="00470495" w:rsidP="00234CBE">
            <w:pPr>
              <w:spacing w:line="276" w:lineRule="auto"/>
              <w:jc w:val="right"/>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Contencioso Administrativo</w:t>
            </w:r>
          </w:p>
        </w:tc>
        <w:tc>
          <w:tcPr>
            <w:tcW w:w="806" w:type="dxa"/>
            <w:tcBorders>
              <w:top w:val="nil"/>
              <w:left w:val="nil"/>
              <w:bottom w:val="single" w:sz="4" w:space="0" w:color="auto"/>
              <w:right w:val="single" w:sz="4" w:space="0" w:color="auto"/>
            </w:tcBorders>
            <w:shd w:val="clear" w:color="auto" w:fill="auto"/>
            <w:noWrap/>
            <w:vAlign w:val="center"/>
            <w:hideMark/>
          </w:tcPr>
          <w:p w14:paraId="426AB027"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616</w:t>
            </w:r>
          </w:p>
        </w:tc>
        <w:tc>
          <w:tcPr>
            <w:tcW w:w="807" w:type="dxa"/>
            <w:tcBorders>
              <w:top w:val="nil"/>
              <w:left w:val="nil"/>
              <w:bottom w:val="single" w:sz="4" w:space="0" w:color="auto"/>
              <w:right w:val="single" w:sz="4" w:space="0" w:color="auto"/>
            </w:tcBorders>
            <w:shd w:val="clear" w:color="auto" w:fill="auto"/>
            <w:noWrap/>
            <w:vAlign w:val="center"/>
            <w:hideMark/>
          </w:tcPr>
          <w:p w14:paraId="11F4A30F"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697</w:t>
            </w:r>
          </w:p>
        </w:tc>
        <w:tc>
          <w:tcPr>
            <w:tcW w:w="807" w:type="dxa"/>
            <w:tcBorders>
              <w:top w:val="nil"/>
              <w:left w:val="nil"/>
              <w:bottom w:val="single" w:sz="4" w:space="0" w:color="auto"/>
              <w:right w:val="single" w:sz="4" w:space="0" w:color="auto"/>
            </w:tcBorders>
            <w:shd w:val="clear" w:color="auto" w:fill="auto"/>
            <w:noWrap/>
            <w:vAlign w:val="center"/>
            <w:hideMark/>
          </w:tcPr>
          <w:p w14:paraId="71203696"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767</w:t>
            </w:r>
          </w:p>
        </w:tc>
        <w:tc>
          <w:tcPr>
            <w:tcW w:w="806" w:type="dxa"/>
            <w:tcBorders>
              <w:top w:val="nil"/>
              <w:left w:val="nil"/>
              <w:bottom w:val="single" w:sz="4" w:space="0" w:color="auto"/>
              <w:right w:val="single" w:sz="4" w:space="0" w:color="auto"/>
            </w:tcBorders>
            <w:shd w:val="clear" w:color="auto" w:fill="auto"/>
            <w:noWrap/>
            <w:vAlign w:val="center"/>
            <w:hideMark/>
          </w:tcPr>
          <w:p w14:paraId="7BDB04E9"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857</w:t>
            </w:r>
          </w:p>
        </w:tc>
        <w:tc>
          <w:tcPr>
            <w:tcW w:w="806" w:type="dxa"/>
            <w:tcBorders>
              <w:top w:val="nil"/>
              <w:left w:val="nil"/>
              <w:bottom w:val="single" w:sz="4" w:space="0" w:color="auto"/>
              <w:right w:val="single" w:sz="4" w:space="0" w:color="auto"/>
            </w:tcBorders>
            <w:shd w:val="clear" w:color="auto" w:fill="auto"/>
            <w:noWrap/>
            <w:vAlign w:val="center"/>
            <w:hideMark/>
          </w:tcPr>
          <w:p w14:paraId="1C58588E"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920</w:t>
            </w:r>
          </w:p>
        </w:tc>
        <w:tc>
          <w:tcPr>
            <w:tcW w:w="806" w:type="dxa"/>
            <w:tcBorders>
              <w:top w:val="nil"/>
              <w:left w:val="nil"/>
              <w:bottom w:val="single" w:sz="4" w:space="0" w:color="auto"/>
              <w:right w:val="single" w:sz="4" w:space="0" w:color="auto"/>
            </w:tcBorders>
            <w:shd w:val="clear" w:color="auto" w:fill="auto"/>
            <w:noWrap/>
            <w:vAlign w:val="center"/>
            <w:hideMark/>
          </w:tcPr>
          <w:p w14:paraId="044A0772"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1159</w:t>
            </w:r>
          </w:p>
        </w:tc>
        <w:tc>
          <w:tcPr>
            <w:tcW w:w="806" w:type="dxa"/>
            <w:tcBorders>
              <w:top w:val="nil"/>
              <w:left w:val="nil"/>
              <w:bottom w:val="single" w:sz="4" w:space="0" w:color="auto"/>
              <w:right w:val="single" w:sz="4" w:space="0" w:color="auto"/>
            </w:tcBorders>
            <w:shd w:val="clear" w:color="auto" w:fill="auto"/>
            <w:noWrap/>
            <w:vAlign w:val="center"/>
            <w:hideMark/>
          </w:tcPr>
          <w:p w14:paraId="270C5B4F"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918</w:t>
            </w:r>
          </w:p>
        </w:tc>
        <w:tc>
          <w:tcPr>
            <w:tcW w:w="807" w:type="dxa"/>
            <w:tcBorders>
              <w:top w:val="nil"/>
              <w:left w:val="nil"/>
              <w:bottom w:val="single" w:sz="4" w:space="0" w:color="auto"/>
              <w:right w:val="single" w:sz="4" w:space="0" w:color="auto"/>
            </w:tcBorders>
            <w:shd w:val="clear" w:color="auto" w:fill="auto"/>
            <w:noWrap/>
            <w:vAlign w:val="center"/>
            <w:hideMark/>
          </w:tcPr>
          <w:p w14:paraId="2017B6B3"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1146</w:t>
            </w:r>
          </w:p>
        </w:tc>
        <w:tc>
          <w:tcPr>
            <w:tcW w:w="846" w:type="dxa"/>
            <w:tcBorders>
              <w:top w:val="nil"/>
              <w:left w:val="nil"/>
              <w:bottom w:val="single" w:sz="4" w:space="0" w:color="auto"/>
              <w:right w:val="single" w:sz="4" w:space="0" w:color="auto"/>
            </w:tcBorders>
            <w:shd w:val="clear" w:color="auto" w:fill="auto"/>
            <w:noWrap/>
            <w:vAlign w:val="center"/>
            <w:hideMark/>
          </w:tcPr>
          <w:p w14:paraId="48C8B211"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1031</w:t>
            </w:r>
          </w:p>
        </w:tc>
        <w:tc>
          <w:tcPr>
            <w:tcW w:w="807" w:type="dxa"/>
            <w:tcBorders>
              <w:top w:val="nil"/>
              <w:left w:val="nil"/>
              <w:bottom w:val="single" w:sz="4" w:space="0" w:color="auto"/>
              <w:right w:val="single" w:sz="4" w:space="0" w:color="auto"/>
            </w:tcBorders>
            <w:shd w:val="clear" w:color="auto" w:fill="auto"/>
            <w:noWrap/>
            <w:vAlign w:val="center"/>
            <w:hideMark/>
          </w:tcPr>
          <w:p w14:paraId="56640320"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8111</w:t>
            </w:r>
          </w:p>
        </w:tc>
        <w:tc>
          <w:tcPr>
            <w:tcW w:w="146" w:type="dxa"/>
            <w:gridSpan w:val="2"/>
            <w:vAlign w:val="center"/>
            <w:hideMark/>
          </w:tcPr>
          <w:p w14:paraId="55D8D15E" w14:textId="77777777" w:rsidR="00470495" w:rsidRPr="00470495" w:rsidRDefault="00470495" w:rsidP="00234CBE">
            <w:pPr>
              <w:spacing w:line="276" w:lineRule="auto"/>
              <w:rPr>
                <w:rFonts w:ascii="Times New Roman" w:hAnsi="Times New Roman"/>
                <w:sz w:val="20"/>
                <w:szCs w:val="20"/>
                <w:lang w:eastAsia="es-CR"/>
              </w:rPr>
            </w:pPr>
          </w:p>
        </w:tc>
      </w:tr>
      <w:tr w:rsidR="00470495" w:rsidRPr="00470495" w14:paraId="40493756" w14:textId="77777777" w:rsidTr="00470495">
        <w:trPr>
          <w:gridAfter w:val="1"/>
          <w:wAfter w:w="19" w:type="dxa"/>
          <w:trHeight w:val="217"/>
          <w:jc w:val="center"/>
        </w:trPr>
        <w:tc>
          <w:tcPr>
            <w:tcW w:w="2236" w:type="dxa"/>
            <w:tcBorders>
              <w:top w:val="nil"/>
              <w:left w:val="single" w:sz="4" w:space="0" w:color="auto"/>
              <w:bottom w:val="single" w:sz="4" w:space="0" w:color="auto"/>
              <w:right w:val="single" w:sz="4" w:space="0" w:color="auto"/>
            </w:tcBorders>
            <w:shd w:val="clear" w:color="auto" w:fill="auto"/>
            <w:noWrap/>
            <w:vAlign w:val="center"/>
            <w:hideMark/>
          </w:tcPr>
          <w:p w14:paraId="5EAAC8CD" w14:textId="77777777" w:rsidR="00470495" w:rsidRPr="00470495" w:rsidRDefault="00470495" w:rsidP="00234CBE">
            <w:pPr>
              <w:spacing w:line="276" w:lineRule="auto"/>
              <w:jc w:val="right"/>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Violencia Doméstica</w:t>
            </w:r>
          </w:p>
        </w:tc>
        <w:tc>
          <w:tcPr>
            <w:tcW w:w="806" w:type="dxa"/>
            <w:tcBorders>
              <w:top w:val="nil"/>
              <w:left w:val="nil"/>
              <w:bottom w:val="single" w:sz="4" w:space="0" w:color="auto"/>
              <w:right w:val="single" w:sz="4" w:space="0" w:color="auto"/>
            </w:tcBorders>
            <w:shd w:val="clear" w:color="auto" w:fill="auto"/>
            <w:noWrap/>
            <w:vAlign w:val="center"/>
            <w:hideMark/>
          </w:tcPr>
          <w:p w14:paraId="58E64A7F"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4624</w:t>
            </w:r>
          </w:p>
        </w:tc>
        <w:tc>
          <w:tcPr>
            <w:tcW w:w="807" w:type="dxa"/>
            <w:tcBorders>
              <w:top w:val="nil"/>
              <w:left w:val="nil"/>
              <w:bottom w:val="single" w:sz="4" w:space="0" w:color="auto"/>
              <w:right w:val="single" w:sz="4" w:space="0" w:color="auto"/>
            </w:tcBorders>
            <w:shd w:val="clear" w:color="auto" w:fill="auto"/>
            <w:noWrap/>
            <w:vAlign w:val="center"/>
            <w:hideMark/>
          </w:tcPr>
          <w:p w14:paraId="15C4C4CE"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4060</w:t>
            </w:r>
          </w:p>
        </w:tc>
        <w:tc>
          <w:tcPr>
            <w:tcW w:w="807" w:type="dxa"/>
            <w:tcBorders>
              <w:top w:val="nil"/>
              <w:left w:val="nil"/>
              <w:bottom w:val="single" w:sz="4" w:space="0" w:color="auto"/>
              <w:right w:val="single" w:sz="4" w:space="0" w:color="auto"/>
            </w:tcBorders>
            <w:shd w:val="clear" w:color="auto" w:fill="auto"/>
            <w:noWrap/>
            <w:vAlign w:val="center"/>
            <w:hideMark/>
          </w:tcPr>
          <w:p w14:paraId="38BEBE12"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4535</w:t>
            </w:r>
          </w:p>
        </w:tc>
        <w:tc>
          <w:tcPr>
            <w:tcW w:w="806" w:type="dxa"/>
            <w:tcBorders>
              <w:top w:val="nil"/>
              <w:left w:val="nil"/>
              <w:bottom w:val="single" w:sz="4" w:space="0" w:color="auto"/>
              <w:right w:val="single" w:sz="4" w:space="0" w:color="auto"/>
            </w:tcBorders>
            <w:shd w:val="clear" w:color="auto" w:fill="auto"/>
            <w:noWrap/>
            <w:vAlign w:val="center"/>
            <w:hideMark/>
          </w:tcPr>
          <w:p w14:paraId="088E8AF7"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4265</w:t>
            </w:r>
          </w:p>
        </w:tc>
        <w:tc>
          <w:tcPr>
            <w:tcW w:w="806" w:type="dxa"/>
            <w:tcBorders>
              <w:top w:val="nil"/>
              <w:left w:val="nil"/>
              <w:bottom w:val="single" w:sz="4" w:space="0" w:color="auto"/>
              <w:right w:val="single" w:sz="4" w:space="0" w:color="auto"/>
            </w:tcBorders>
            <w:shd w:val="clear" w:color="auto" w:fill="auto"/>
            <w:noWrap/>
            <w:vAlign w:val="center"/>
            <w:hideMark/>
          </w:tcPr>
          <w:p w14:paraId="5F75D1B6"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3917</w:t>
            </w:r>
          </w:p>
        </w:tc>
        <w:tc>
          <w:tcPr>
            <w:tcW w:w="806" w:type="dxa"/>
            <w:tcBorders>
              <w:top w:val="nil"/>
              <w:left w:val="nil"/>
              <w:bottom w:val="single" w:sz="4" w:space="0" w:color="auto"/>
              <w:right w:val="single" w:sz="4" w:space="0" w:color="auto"/>
            </w:tcBorders>
            <w:shd w:val="clear" w:color="auto" w:fill="auto"/>
            <w:noWrap/>
            <w:vAlign w:val="center"/>
            <w:hideMark/>
          </w:tcPr>
          <w:p w14:paraId="45FB24DC"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4166</w:t>
            </w:r>
          </w:p>
        </w:tc>
        <w:tc>
          <w:tcPr>
            <w:tcW w:w="806" w:type="dxa"/>
            <w:tcBorders>
              <w:top w:val="nil"/>
              <w:left w:val="nil"/>
              <w:bottom w:val="single" w:sz="4" w:space="0" w:color="auto"/>
              <w:right w:val="single" w:sz="4" w:space="0" w:color="auto"/>
            </w:tcBorders>
            <w:shd w:val="clear" w:color="auto" w:fill="auto"/>
            <w:noWrap/>
            <w:vAlign w:val="center"/>
            <w:hideMark/>
          </w:tcPr>
          <w:p w14:paraId="4EC1DB6C"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4127</w:t>
            </w:r>
          </w:p>
        </w:tc>
        <w:tc>
          <w:tcPr>
            <w:tcW w:w="807" w:type="dxa"/>
            <w:tcBorders>
              <w:top w:val="nil"/>
              <w:left w:val="nil"/>
              <w:bottom w:val="single" w:sz="4" w:space="0" w:color="auto"/>
              <w:right w:val="single" w:sz="4" w:space="0" w:color="auto"/>
            </w:tcBorders>
            <w:shd w:val="clear" w:color="auto" w:fill="auto"/>
            <w:noWrap/>
            <w:vAlign w:val="center"/>
            <w:hideMark/>
          </w:tcPr>
          <w:p w14:paraId="7E0B8D5B"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4256</w:t>
            </w:r>
          </w:p>
        </w:tc>
        <w:tc>
          <w:tcPr>
            <w:tcW w:w="846" w:type="dxa"/>
            <w:tcBorders>
              <w:top w:val="nil"/>
              <w:left w:val="nil"/>
              <w:bottom w:val="single" w:sz="4" w:space="0" w:color="auto"/>
              <w:right w:val="single" w:sz="4" w:space="0" w:color="auto"/>
            </w:tcBorders>
            <w:shd w:val="clear" w:color="auto" w:fill="auto"/>
            <w:noWrap/>
            <w:vAlign w:val="center"/>
            <w:hideMark/>
          </w:tcPr>
          <w:p w14:paraId="1C3AD512"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3836</w:t>
            </w:r>
          </w:p>
        </w:tc>
        <w:tc>
          <w:tcPr>
            <w:tcW w:w="807" w:type="dxa"/>
            <w:tcBorders>
              <w:top w:val="nil"/>
              <w:left w:val="nil"/>
              <w:bottom w:val="single" w:sz="4" w:space="0" w:color="auto"/>
              <w:right w:val="single" w:sz="4" w:space="0" w:color="auto"/>
            </w:tcBorders>
            <w:shd w:val="clear" w:color="auto" w:fill="auto"/>
            <w:noWrap/>
            <w:vAlign w:val="center"/>
            <w:hideMark/>
          </w:tcPr>
          <w:p w14:paraId="180CD481"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37786</w:t>
            </w:r>
          </w:p>
        </w:tc>
        <w:tc>
          <w:tcPr>
            <w:tcW w:w="146" w:type="dxa"/>
            <w:gridSpan w:val="2"/>
            <w:vAlign w:val="center"/>
            <w:hideMark/>
          </w:tcPr>
          <w:p w14:paraId="3F411ED9" w14:textId="77777777" w:rsidR="00470495" w:rsidRPr="00470495" w:rsidRDefault="00470495" w:rsidP="00234CBE">
            <w:pPr>
              <w:spacing w:line="276" w:lineRule="auto"/>
              <w:rPr>
                <w:rFonts w:ascii="Times New Roman" w:hAnsi="Times New Roman"/>
                <w:sz w:val="20"/>
                <w:szCs w:val="20"/>
                <w:lang w:eastAsia="es-CR"/>
              </w:rPr>
            </w:pPr>
          </w:p>
        </w:tc>
      </w:tr>
      <w:tr w:rsidR="00470495" w:rsidRPr="00470495" w14:paraId="396746A1" w14:textId="77777777" w:rsidTr="00470495">
        <w:trPr>
          <w:gridAfter w:val="1"/>
          <w:wAfter w:w="19" w:type="dxa"/>
          <w:trHeight w:val="217"/>
          <w:jc w:val="center"/>
        </w:trPr>
        <w:tc>
          <w:tcPr>
            <w:tcW w:w="2236" w:type="dxa"/>
            <w:tcBorders>
              <w:top w:val="nil"/>
              <w:left w:val="single" w:sz="4" w:space="0" w:color="auto"/>
              <w:bottom w:val="single" w:sz="4" w:space="0" w:color="auto"/>
              <w:right w:val="single" w:sz="4" w:space="0" w:color="auto"/>
            </w:tcBorders>
            <w:shd w:val="clear" w:color="auto" w:fill="auto"/>
            <w:noWrap/>
            <w:vAlign w:val="center"/>
            <w:hideMark/>
          </w:tcPr>
          <w:p w14:paraId="53DCA32D" w14:textId="77777777" w:rsidR="00470495" w:rsidRPr="00470495" w:rsidRDefault="00470495" w:rsidP="00234CBE">
            <w:pPr>
              <w:spacing w:line="276" w:lineRule="auto"/>
              <w:jc w:val="right"/>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 xml:space="preserve">Pensiones Alimentarias </w:t>
            </w:r>
          </w:p>
        </w:tc>
        <w:tc>
          <w:tcPr>
            <w:tcW w:w="806" w:type="dxa"/>
            <w:tcBorders>
              <w:top w:val="nil"/>
              <w:left w:val="nil"/>
              <w:bottom w:val="single" w:sz="4" w:space="0" w:color="auto"/>
              <w:right w:val="single" w:sz="4" w:space="0" w:color="auto"/>
            </w:tcBorders>
            <w:shd w:val="clear" w:color="auto" w:fill="auto"/>
            <w:noWrap/>
            <w:vAlign w:val="center"/>
            <w:hideMark/>
          </w:tcPr>
          <w:p w14:paraId="526CD362"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3157</w:t>
            </w:r>
          </w:p>
        </w:tc>
        <w:tc>
          <w:tcPr>
            <w:tcW w:w="807" w:type="dxa"/>
            <w:tcBorders>
              <w:top w:val="nil"/>
              <w:left w:val="nil"/>
              <w:bottom w:val="single" w:sz="4" w:space="0" w:color="auto"/>
              <w:right w:val="single" w:sz="4" w:space="0" w:color="auto"/>
            </w:tcBorders>
            <w:shd w:val="clear" w:color="auto" w:fill="auto"/>
            <w:noWrap/>
            <w:vAlign w:val="center"/>
            <w:hideMark/>
          </w:tcPr>
          <w:p w14:paraId="33F62EDE"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3295</w:t>
            </w:r>
          </w:p>
        </w:tc>
        <w:tc>
          <w:tcPr>
            <w:tcW w:w="807" w:type="dxa"/>
            <w:tcBorders>
              <w:top w:val="nil"/>
              <w:left w:val="nil"/>
              <w:bottom w:val="single" w:sz="4" w:space="0" w:color="auto"/>
              <w:right w:val="single" w:sz="4" w:space="0" w:color="auto"/>
            </w:tcBorders>
            <w:shd w:val="clear" w:color="auto" w:fill="auto"/>
            <w:noWrap/>
            <w:vAlign w:val="center"/>
            <w:hideMark/>
          </w:tcPr>
          <w:p w14:paraId="0670D371"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3042</w:t>
            </w:r>
          </w:p>
        </w:tc>
        <w:tc>
          <w:tcPr>
            <w:tcW w:w="806" w:type="dxa"/>
            <w:tcBorders>
              <w:top w:val="nil"/>
              <w:left w:val="nil"/>
              <w:bottom w:val="single" w:sz="4" w:space="0" w:color="auto"/>
              <w:right w:val="single" w:sz="4" w:space="0" w:color="auto"/>
            </w:tcBorders>
            <w:shd w:val="clear" w:color="auto" w:fill="auto"/>
            <w:noWrap/>
            <w:vAlign w:val="center"/>
            <w:hideMark/>
          </w:tcPr>
          <w:p w14:paraId="316C52E5"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2993</w:t>
            </w:r>
          </w:p>
        </w:tc>
        <w:tc>
          <w:tcPr>
            <w:tcW w:w="806" w:type="dxa"/>
            <w:tcBorders>
              <w:top w:val="nil"/>
              <w:left w:val="nil"/>
              <w:bottom w:val="single" w:sz="4" w:space="0" w:color="auto"/>
              <w:right w:val="single" w:sz="4" w:space="0" w:color="auto"/>
            </w:tcBorders>
            <w:shd w:val="clear" w:color="auto" w:fill="auto"/>
            <w:noWrap/>
            <w:vAlign w:val="center"/>
            <w:hideMark/>
          </w:tcPr>
          <w:p w14:paraId="23B4E18D"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2629</w:t>
            </w:r>
          </w:p>
        </w:tc>
        <w:tc>
          <w:tcPr>
            <w:tcW w:w="806" w:type="dxa"/>
            <w:tcBorders>
              <w:top w:val="nil"/>
              <w:left w:val="nil"/>
              <w:bottom w:val="single" w:sz="4" w:space="0" w:color="auto"/>
              <w:right w:val="single" w:sz="4" w:space="0" w:color="auto"/>
            </w:tcBorders>
            <w:shd w:val="clear" w:color="auto" w:fill="auto"/>
            <w:noWrap/>
            <w:vAlign w:val="center"/>
            <w:hideMark/>
          </w:tcPr>
          <w:p w14:paraId="6D3DA733"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3024</w:t>
            </w:r>
          </w:p>
        </w:tc>
        <w:tc>
          <w:tcPr>
            <w:tcW w:w="806" w:type="dxa"/>
            <w:tcBorders>
              <w:top w:val="nil"/>
              <w:left w:val="nil"/>
              <w:bottom w:val="single" w:sz="4" w:space="0" w:color="auto"/>
              <w:right w:val="single" w:sz="4" w:space="0" w:color="auto"/>
            </w:tcBorders>
            <w:shd w:val="clear" w:color="auto" w:fill="auto"/>
            <w:noWrap/>
            <w:vAlign w:val="center"/>
            <w:hideMark/>
          </w:tcPr>
          <w:p w14:paraId="71444C94"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2818</w:t>
            </w:r>
          </w:p>
        </w:tc>
        <w:tc>
          <w:tcPr>
            <w:tcW w:w="807" w:type="dxa"/>
            <w:tcBorders>
              <w:top w:val="nil"/>
              <w:left w:val="nil"/>
              <w:bottom w:val="single" w:sz="4" w:space="0" w:color="auto"/>
              <w:right w:val="single" w:sz="4" w:space="0" w:color="auto"/>
            </w:tcBorders>
            <w:shd w:val="clear" w:color="auto" w:fill="auto"/>
            <w:noWrap/>
            <w:vAlign w:val="center"/>
            <w:hideMark/>
          </w:tcPr>
          <w:p w14:paraId="643AD01C"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2924</w:t>
            </w:r>
          </w:p>
        </w:tc>
        <w:tc>
          <w:tcPr>
            <w:tcW w:w="846" w:type="dxa"/>
            <w:tcBorders>
              <w:top w:val="nil"/>
              <w:left w:val="nil"/>
              <w:bottom w:val="single" w:sz="4" w:space="0" w:color="auto"/>
              <w:right w:val="single" w:sz="4" w:space="0" w:color="auto"/>
            </w:tcBorders>
            <w:shd w:val="clear" w:color="auto" w:fill="auto"/>
            <w:noWrap/>
            <w:vAlign w:val="center"/>
            <w:hideMark/>
          </w:tcPr>
          <w:p w14:paraId="3F4EB63C"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2813</w:t>
            </w:r>
          </w:p>
        </w:tc>
        <w:tc>
          <w:tcPr>
            <w:tcW w:w="807" w:type="dxa"/>
            <w:tcBorders>
              <w:top w:val="nil"/>
              <w:left w:val="nil"/>
              <w:bottom w:val="single" w:sz="4" w:space="0" w:color="auto"/>
              <w:right w:val="single" w:sz="4" w:space="0" w:color="auto"/>
            </w:tcBorders>
            <w:shd w:val="clear" w:color="auto" w:fill="auto"/>
            <w:noWrap/>
            <w:vAlign w:val="center"/>
            <w:hideMark/>
          </w:tcPr>
          <w:p w14:paraId="49B2037F"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26695</w:t>
            </w:r>
          </w:p>
        </w:tc>
        <w:tc>
          <w:tcPr>
            <w:tcW w:w="146" w:type="dxa"/>
            <w:gridSpan w:val="2"/>
            <w:vAlign w:val="center"/>
            <w:hideMark/>
          </w:tcPr>
          <w:p w14:paraId="4D3D07F6" w14:textId="77777777" w:rsidR="00470495" w:rsidRPr="00470495" w:rsidRDefault="00470495" w:rsidP="00234CBE">
            <w:pPr>
              <w:spacing w:line="276" w:lineRule="auto"/>
              <w:rPr>
                <w:rFonts w:ascii="Times New Roman" w:hAnsi="Times New Roman"/>
                <w:sz w:val="20"/>
                <w:szCs w:val="20"/>
                <w:lang w:eastAsia="es-CR"/>
              </w:rPr>
            </w:pPr>
          </w:p>
        </w:tc>
      </w:tr>
      <w:tr w:rsidR="00470495" w:rsidRPr="00470495" w14:paraId="6BCF09A2" w14:textId="77777777" w:rsidTr="00470495">
        <w:trPr>
          <w:gridAfter w:val="1"/>
          <w:wAfter w:w="19" w:type="dxa"/>
          <w:trHeight w:val="217"/>
          <w:jc w:val="center"/>
        </w:trPr>
        <w:tc>
          <w:tcPr>
            <w:tcW w:w="2236" w:type="dxa"/>
            <w:tcBorders>
              <w:top w:val="nil"/>
              <w:left w:val="single" w:sz="4" w:space="0" w:color="auto"/>
              <w:bottom w:val="single" w:sz="4" w:space="0" w:color="auto"/>
              <w:right w:val="single" w:sz="4" w:space="0" w:color="auto"/>
            </w:tcBorders>
            <w:shd w:val="clear" w:color="auto" w:fill="auto"/>
            <w:noWrap/>
            <w:vAlign w:val="center"/>
            <w:hideMark/>
          </w:tcPr>
          <w:p w14:paraId="4A0D554C" w14:textId="77777777" w:rsidR="00470495" w:rsidRPr="00470495" w:rsidRDefault="00470495" w:rsidP="00234CBE">
            <w:pPr>
              <w:spacing w:line="276" w:lineRule="auto"/>
              <w:jc w:val="right"/>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Familia</w:t>
            </w:r>
          </w:p>
        </w:tc>
        <w:tc>
          <w:tcPr>
            <w:tcW w:w="806" w:type="dxa"/>
            <w:tcBorders>
              <w:top w:val="nil"/>
              <w:left w:val="nil"/>
              <w:bottom w:val="single" w:sz="4" w:space="0" w:color="auto"/>
              <w:right w:val="single" w:sz="4" w:space="0" w:color="auto"/>
            </w:tcBorders>
            <w:shd w:val="clear" w:color="auto" w:fill="auto"/>
            <w:noWrap/>
            <w:vAlign w:val="center"/>
            <w:hideMark/>
          </w:tcPr>
          <w:p w14:paraId="7C8E1108"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2792</w:t>
            </w:r>
          </w:p>
        </w:tc>
        <w:tc>
          <w:tcPr>
            <w:tcW w:w="807" w:type="dxa"/>
            <w:tcBorders>
              <w:top w:val="nil"/>
              <w:left w:val="nil"/>
              <w:bottom w:val="single" w:sz="4" w:space="0" w:color="auto"/>
              <w:right w:val="single" w:sz="4" w:space="0" w:color="auto"/>
            </w:tcBorders>
            <w:shd w:val="clear" w:color="auto" w:fill="auto"/>
            <w:noWrap/>
            <w:vAlign w:val="center"/>
            <w:hideMark/>
          </w:tcPr>
          <w:p w14:paraId="71306A99"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2900</w:t>
            </w:r>
          </w:p>
        </w:tc>
        <w:tc>
          <w:tcPr>
            <w:tcW w:w="807" w:type="dxa"/>
            <w:tcBorders>
              <w:top w:val="nil"/>
              <w:left w:val="nil"/>
              <w:bottom w:val="single" w:sz="4" w:space="0" w:color="auto"/>
              <w:right w:val="single" w:sz="4" w:space="0" w:color="auto"/>
            </w:tcBorders>
            <w:shd w:val="clear" w:color="auto" w:fill="auto"/>
            <w:noWrap/>
            <w:vAlign w:val="center"/>
            <w:hideMark/>
          </w:tcPr>
          <w:p w14:paraId="697651D0"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2874</w:t>
            </w:r>
          </w:p>
        </w:tc>
        <w:tc>
          <w:tcPr>
            <w:tcW w:w="806" w:type="dxa"/>
            <w:tcBorders>
              <w:top w:val="nil"/>
              <w:left w:val="nil"/>
              <w:bottom w:val="single" w:sz="4" w:space="0" w:color="auto"/>
              <w:right w:val="single" w:sz="4" w:space="0" w:color="auto"/>
            </w:tcBorders>
            <w:shd w:val="clear" w:color="auto" w:fill="auto"/>
            <w:noWrap/>
            <w:vAlign w:val="center"/>
            <w:hideMark/>
          </w:tcPr>
          <w:p w14:paraId="7B2D777E"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2730</w:t>
            </w:r>
          </w:p>
        </w:tc>
        <w:tc>
          <w:tcPr>
            <w:tcW w:w="806" w:type="dxa"/>
            <w:tcBorders>
              <w:top w:val="nil"/>
              <w:left w:val="nil"/>
              <w:bottom w:val="single" w:sz="4" w:space="0" w:color="auto"/>
              <w:right w:val="single" w:sz="4" w:space="0" w:color="auto"/>
            </w:tcBorders>
            <w:shd w:val="clear" w:color="auto" w:fill="auto"/>
            <w:noWrap/>
            <w:vAlign w:val="center"/>
            <w:hideMark/>
          </w:tcPr>
          <w:p w14:paraId="1A4E224C"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2603</w:t>
            </w:r>
          </w:p>
        </w:tc>
        <w:tc>
          <w:tcPr>
            <w:tcW w:w="806" w:type="dxa"/>
            <w:tcBorders>
              <w:top w:val="nil"/>
              <w:left w:val="nil"/>
              <w:bottom w:val="single" w:sz="4" w:space="0" w:color="auto"/>
              <w:right w:val="single" w:sz="4" w:space="0" w:color="auto"/>
            </w:tcBorders>
            <w:shd w:val="clear" w:color="auto" w:fill="auto"/>
            <w:noWrap/>
            <w:vAlign w:val="center"/>
            <w:hideMark/>
          </w:tcPr>
          <w:p w14:paraId="42868B76"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2763</w:t>
            </w:r>
          </w:p>
        </w:tc>
        <w:tc>
          <w:tcPr>
            <w:tcW w:w="806" w:type="dxa"/>
            <w:tcBorders>
              <w:top w:val="nil"/>
              <w:left w:val="nil"/>
              <w:bottom w:val="single" w:sz="4" w:space="0" w:color="auto"/>
              <w:right w:val="single" w:sz="4" w:space="0" w:color="auto"/>
            </w:tcBorders>
            <w:shd w:val="clear" w:color="auto" w:fill="auto"/>
            <w:noWrap/>
            <w:vAlign w:val="center"/>
            <w:hideMark/>
          </w:tcPr>
          <w:p w14:paraId="3EA0FD24"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2637</w:t>
            </w:r>
          </w:p>
        </w:tc>
        <w:tc>
          <w:tcPr>
            <w:tcW w:w="807" w:type="dxa"/>
            <w:tcBorders>
              <w:top w:val="nil"/>
              <w:left w:val="nil"/>
              <w:bottom w:val="single" w:sz="4" w:space="0" w:color="auto"/>
              <w:right w:val="single" w:sz="4" w:space="0" w:color="auto"/>
            </w:tcBorders>
            <w:shd w:val="clear" w:color="auto" w:fill="auto"/>
            <w:noWrap/>
            <w:vAlign w:val="center"/>
            <w:hideMark/>
          </w:tcPr>
          <w:p w14:paraId="411C2EA9"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2622</w:t>
            </w:r>
          </w:p>
        </w:tc>
        <w:tc>
          <w:tcPr>
            <w:tcW w:w="846" w:type="dxa"/>
            <w:tcBorders>
              <w:top w:val="nil"/>
              <w:left w:val="nil"/>
              <w:bottom w:val="single" w:sz="4" w:space="0" w:color="auto"/>
              <w:right w:val="single" w:sz="4" w:space="0" w:color="auto"/>
            </w:tcBorders>
            <w:shd w:val="clear" w:color="auto" w:fill="auto"/>
            <w:noWrap/>
            <w:vAlign w:val="center"/>
            <w:hideMark/>
          </w:tcPr>
          <w:p w14:paraId="7136E867"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2762</w:t>
            </w:r>
          </w:p>
        </w:tc>
        <w:tc>
          <w:tcPr>
            <w:tcW w:w="807" w:type="dxa"/>
            <w:tcBorders>
              <w:top w:val="nil"/>
              <w:left w:val="nil"/>
              <w:bottom w:val="single" w:sz="4" w:space="0" w:color="auto"/>
              <w:right w:val="single" w:sz="4" w:space="0" w:color="auto"/>
            </w:tcBorders>
            <w:shd w:val="clear" w:color="auto" w:fill="auto"/>
            <w:noWrap/>
            <w:vAlign w:val="center"/>
            <w:hideMark/>
          </w:tcPr>
          <w:p w14:paraId="627E9D8B"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24683</w:t>
            </w:r>
          </w:p>
        </w:tc>
        <w:tc>
          <w:tcPr>
            <w:tcW w:w="146" w:type="dxa"/>
            <w:gridSpan w:val="2"/>
            <w:vAlign w:val="center"/>
            <w:hideMark/>
          </w:tcPr>
          <w:p w14:paraId="2E6ECD84" w14:textId="77777777" w:rsidR="00470495" w:rsidRPr="00470495" w:rsidRDefault="00470495" w:rsidP="00234CBE">
            <w:pPr>
              <w:spacing w:line="276" w:lineRule="auto"/>
              <w:rPr>
                <w:rFonts w:ascii="Times New Roman" w:hAnsi="Times New Roman"/>
                <w:sz w:val="20"/>
                <w:szCs w:val="20"/>
                <w:lang w:eastAsia="es-CR"/>
              </w:rPr>
            </w:pPr>
          </w:p>
        </w:tc>
      </w:tr>
      <w:tr w:rsidR="00470495" w:rsidRPr="00470495" w14:paraId="729D00A5" w14:textId="77777777" w:rsidTr="00470495">
        <w:trPr>
          <w:gridAfter w:val="1"/>
          <w:wAfter w:w="19" w:type="dxa"/>
          <w:trHeight w:val="217"/>
          <w:jc w:val="center"/>
        </w:trPr>
        <w:tc>
          <w:tcPr>
            <w:tcW w:w="2236" w:type="dxa"/>
            <w:tcBorders>
              <w:top w:val="nil"/>
              <w:left w:val="single" w:sz="4" w:space="0" w:color="auto"/>
              <w:bottom w:val="single" w:sz="4" w:space="0" w:color="auto"/>
              <w:right w:val="single" w:sz="4" w:space="0" w:color="auto"/>
            </w:tcBorders>
            <w:shd w:val="clear" w:color="auto" w:fill="auto"/>
            <w:noWrap/>
            <w:vAlign w:val="center"/>
            <w:hideMark/>
          </w:tcPr>
          <w:p w14:paraId="00B16D0A" w14:textId="77777777" w:rsidR="00470495" w:rsidRPr="00470495" w:rsidRDefault="00470495" w:rsidP="00234CBE">
            <w:pPr>
              <w:spacing w:line="276" w:lineRule="auto"/>
              <w:jc w:val="right"/>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Agrario</w:t>
            </w:r>
          </w:p>
        </w:tc>
        <w:tc>
          <w:tcPr>
            <w:tcW w:w="806" w:type="dxa"/>
            <w:tcBorders>
              <w:top w:val="nil"/>
              <w:left w:val="nil"/>
              <w:bottom w:val="single" w:sz="4" w:space="0" w:color="auto"/>
              <w:right w:val="single" w:sz="4" w:space="0" w:color="auto"/>
            </w:tcBorders>
            <w:shd w:val="clear" w:color="auto" w:fill="auto"/>
            <w:noWrap/>
            <w:vAlign w:val="center"/>
            <w:hideMark/>
          </w:tcPr>
          <w:p w14:paraId="31B0BC60"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282</w:t>
            </w:r>
          </w:p>
        </w:tc>
        <w:tc>
          <w:tcPr>
            <w:tcW w:w="807" w:type="dxa"/>
            <w:tcBorders>
              <w:top w:val="nil"/>
              <w:left w:val="nil"/>
              <w:bottom w:val="single" w:sz="4" w:space="0" w:color="auto"/>
              <w:right w:val="single" w:sz="4" w:space="0" w:color="auto"/>
            </w:tcBorders>
            <w:shd w:val="clear" w:color="auto" w:fill="auto"/>
            <w:noWrap/>
            <w:vAlign w:val="center"/>
            <w:hideMark/>
          </w:tcPr>
          <w:p w14:paraId="64377B00"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333</w:t>
            </w:r>
          </w:p>
        </w:tc>
        <w:tc>
          <w:tcPr>
            <w:tcW w:w="807" w:type="dxa"/>
            <w:tcBorders>
              <w:top w:val="nil"/>
              <w:left w:val="nil"/>
              <w:bottom w:val="single" w:sz="4" w:space="0" w:color="auto"/>
              <w:right w:val="single" w:sz="4" w:space="0" w:color="auto"/>
            </w:tcBorders>
            <w:shd w:val="clear" w:color="auto" w:fill="auto"/>
            <w:noWrap/>
            <w:vAlign w:val="center"/>
            <w:hideMark/>
          </w:tcPr>
          <w:p w14:paraId="3F76A952"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290</w:t>
            </w:r>
          </w:p>
        </w:tc>
        <w:tc>
          <w:tcPr>
            <w:tcW w:w="806" w:type="dxa"/>
            <w:tcBorders>
              <w:top w:val="nil"/>
              <w:left w:val="nil"/>
              <w:bottom w:val="single" w:sz="4" w:space="0" w:color="auto"/>
              <w:right w:val="single" w:sz="4" w:space="0" w:color="auto"/>
            </w:tcBorders>
            <w:shd w:val="clear" w:color="auto" w:fill="auto"/>
            <w:noWrap/>
            <w:vAlign w:val="center"/>
            <w:hideMark/>
          </w:tcPr>
          <w:p w14:paraId="464A89C0"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279</w:t>
            </w:r>
          </w:p>
        </w:tc>
        <w:tc>
          <w:tcPr>
            <w:tcW w:w="806" w:type="dxa"/>
            <w:tcBorders>
              <w:top w:val="nil"/>
              <w:left w:val="nil"/>
              <w:bottom w:val="single" w:sz="4" w:space="0" w:color="auto"/>
              <w:right w:val="single" w:sz="4" w:space="0" w:color="auto"/>
            </w:tcBorders>
            <w:shd w:val="clear" w:color="auto" w:fill="auto"/>
            <w:noWrap/>
            <w:vAlign w:val="center"/>
            <w:hideMark/>
          </w:tcPr>
          <w:p w14:paraId="34937839"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532</w:t>
            </w:r>
          </w:p>
        </w:tc>
        <w:tc>
          <w:tcPr>
            <w:tcW w:w="806" w:type="dxa"/>
            <w:tcBorders>
              <w:top w:val="nil"/>
              <w:left w:val="nil"/>
              <w:bottom w:val="single" w:sz="4" w:space="0" w:color="auto"/>
              <w:right w:val="single" w:sz="4" w:space="0" w:color="auto"/>
            </w:tcBorders>
            <w:shd w:val="clear" w:color="auto" w:fill="auto"/>
            <w:noWrap/>
            <w:vAlign w:val="center"/>
            <w:hideMark/>
          </w:tcPr>
          <w:p w14:paraId="1877E4A6"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317</w:t>
            </w:r>
          </w:p>
        </w:tc>
        <w:tc>
          <w:tcPr>
            <w:tcW w:w="806" w:type="dxa"/>
            <w:tcBorders>
              <w:top w:val="nil"/>
              <w:left w:val="nil"/>
              <w:bottom w:val="single" w:sz="4" w:space="0" w:color="auto"/>
              <w:right w:val="single" w:sz="4" w:space="0" w:color="auto"/>
            </w:tcBorders>
            <w:shd w:val="clear" w:color="auto" w:fill="auto"/>
            <w:noWrap/>
            <w:vAlign w:val="center"/>
            <w:hideMark/>
          </w:tcPr>
          <w:p w14:paraId="4A8B61C9"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377</w:t>
            </w:r>
          </w:p>
        </w:tc>
        <w:tc>
          <w:tcPr>
            <w:tcW w:w="807" w:type="dxa"/>
            <w:tcBorders>
              <w:top w:val="nil"/>
              <w:left w:val="nil"/>
              <w:bottom w:val="single" w:sz="4" w:space="0" w:color="auto"/>
              <w:right w:val="single" w:sz="4" w:space="0" w:color="auto"/>
            </w:tcBorders>
            <w:shd w:val="clear" w:color="auto" w:fill="auto"/>
            <w:noWrap/>
            <w:vAlign w:val="center"/>
            <w:hideMark/>
          </w:tcPr>
          <w:p w14:paraId="60333FAC"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317</w:t>
            </w:r>
          </w:p>
        </w:tc>
        <w:tc>
          <w:tcPr>
            <w:tcW w:w="846" w:type="dxa"/>
            <w:tcBorders>
              <w:top w:val="nil"/>
              <w:left w:val="nil"/>
              <w:bottom w:val="single" w:sz="4" w:space="0" w:color="auto"/>
              <w:right w:val="single" w:sz="4" w:space="0" w:color="auto"/>
            </w:tcBorders>
            <w:shd w:val="clear" w:color="auto" w:fill="auto"/>
            <w:noWrap/>
            <w:vAlign w:val="center"/>
            <w:hideMark/>
          </w:tcPr>
          <w:p w14:paraId="291E99A7"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310</w:t>
            </w:r>
          </w:p>
        </w:tc>
        <w:tc>
          <w:tcPr>
            <w:tcW w:w="807" w:type="dxa"/>
            <w:tcBorders>
              <w:top w:val="nil"/>
              <w:left w:val="nil"/>
              <w:bottom w:val="single" w:sz="4" w:space="0" w:color="auto"/>
              <w:right w:val="single" w:sz="4" w:space="0" w:color="auto"/>
            </w:tcBorders>
            <w:shd w:val="clear" w:color="auto" w:fill="auto"/>
            <w:noWrap/>
            <w:vAlign w:val="center"/>
            <w:hideMark/>
          </w:tcPr>
          <w:p w14:paraId="15F9724A"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3037</w:t>
            </w:r>
          </w:p>
        </w:tc>
        <w:tc>
          <w:tcPr>
            <w:tcW w:w="146" w:type="dxa"/>
            <w:gridSpan w:val="2"/>
            <w:vAlign w:val="center"/>
            <w:hideMark/>
          </w:tcPr>
          <w:p w14:paraId="1DA23376" w14:textId="77777777" w:rsidR="00470495" w:rsidRPr="00470495" w:rsidRDefault="00470495" w:rsidP="00234CBE">
            <w:pPr>
              <w:spacing w:line="276" w:lineRule="auto"/>
              <w:rPr>
                <w:rFonts w:ascii="Times New Roman" w:hAnsi="Times New Roman"/>
                <w:sz w:val="20"/>
                <w:szCs w:val="20"/>
                <w:lang w:eastAsia="es-CR"/>
              </w:rPr>
            </w:pPr>
          </w:p>
        </w:tc>
      </w:tr>
      <w:tr w:rsidR="00470495" w:rsidRPr="00470495" w14:paraId="5E56A033" w14:textId="77777777" w:rsidTr="00470495">
        <w:trPr>
          <w:gridAfter w:val="1"/>
          <w:wAfter w:w="19" w:type="dxa"/>
          <w:trHeight w:val="217"/>
          <w:jc w:val="center"/>
        </w:trPr>
        <w:tc>
          <w:tcPr>
            <w:tcW w:w="2236" w:type="dxa"/>
            <w:tcBorders>
              <w:top w:val="nil"/>
              <w:left w:val="single" w:sz="4" w:space="0" w:color="auto"/>
              <w:bottom w:val="single" w:sz="4" w:space="0" w:color="auto"/>
              <w:right w:val="single" w:sz="4" w:space="0" w:color="auto"/>
            </w:tcBorders>
            <w:shd w:val="clear" w:color="auto" w:fill="auto"/>
            <w:noWrap/>
            <w:vAlign w:val="center"/>
            <w:hideMark/>
          </w:tcPr>
          <w:p w14:paraId="0C2E9E6C" w14:textId="77777777" w:rsidR="00470495" w:rsidRPr="00470495" w:rsidRDefault="00470495" w:rsidP="00234CBE">
            <w:pPr>
              <w:spacing w:line="276" w:lineRule="auto"/>
              <w:jc w:val="right"/>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Tránsito</w:t>
            </w:r>
          </w:p>
        </w:tc>
        <w:tc>
          <w:tcPr>
            <w:tcW w:w="806" w:type="dxa"/>
            <w:tcBorders>
              <w:top w:val="nil"/>
              <w:left w:val="nil"/>
              <w:bottom w:val="single" w:sz="4" w:space="0" w:color="auto"/>
              <w:right w:val="single" w:sz="4" w:space="0" w:color="auto"/>
            </w:tcBorders>
            <w:shd w:val="clear" w:color="auto" w:fill="auto"/>
            <w:noWrap/>
            <w:vAlign w:val="center"/>
            <w:hideMark/>
          </w:tcPr>
          <w:p w14:paraId="73805F09"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5775</w:t>
            </w:r>
          </w:p>
        </w:tc>
        <w:tc>
          <w:tcPr>
            <w:tcW w:w="807" w:type="dxa"/>
            <w:tcBorders>
              <w:top w:val="nil"/>
              <w:left w:val="nil"/>
              <w:bottom w:val="single" w:sz="4" w:space="0" w:color="auto"/>
              <w:right w:val="single" w:sz="4" w:space="0" w:color="auto"/>
            </w:tcBorders>
            <w:shd w:val="clear" w:color="auto" w:fill="auto"/>
            <w:noWrap/>
            <w:vAlign w:val="center"/>
            <w:hideMark/>
          </w:tcPr>
          <w:p w14:paraId="1ECAD941"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4574</w:t>
            </w:r>
          </w:p>
        </w:tc>
        <w:tc>
          <w:tcPr>
            <w:tcW w:w="807" w:type="dxa"/>
            <w:tcBorders>
              <w:top w:val="nil"/>
              <w:left w:val="nil"/>
              <w:bottom w:val="single" w:sz="4" w:space="0" w:color="auto"/>
              <w:right w:val="single" w:sz="4" w:space="0" w:color="auto"/>
            </w:tcBorders>
            <w:shd w:val="clear" w:color="auto" w:fill="auto"/>
            <w:noWrap/>
            <w:vAlign w:val="center"/>
            <w:hideMark/>
          </w:tcPr>
          <w:p w14:paraId="66FD4530"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5333</w:t>
            </w:r>
          </w:p>
        </w:tc>
        <w:tc>
          <w:tcPr>
            <w:tcW w:w="806" w:type="dxa"/>
            <w:tcBorders>
              <w:top w:val="nil"/>
              <w:left w:val="nil"/>
              <w:bottom w:val="single" w:sz="4" w:space="0" w:color="auto"/>
              <w:right w:val="single" w:sz="4" w:space="0" w:color="auto"/>
            </w:tcBorders>
            <w:shd w:val="clear" w:color="auto" w:fill="auto"/>
            <w:noWrap/>
            <w:vAlign w:val="center"/>
            <w:hideMark/>
          </w:tcPr>
          <w:p w14:paraId="1D543395"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5107</w:t>
            </w:r>
          </w:p>
        </w:tc>
        <w:tc>
          <w:tcPr>
            <w:tcW w:w="806" w:type="dxa"/>
            <w:tcBorders>
              <w:top w:val="nil"/>
              <w:left w:val="nil"/>
              <w:bottom w:val="single" w:sz="4" w:space="0" w:color="auto"/>
              <w:right w:val="single" w:sz="4" w:space="0" w:color="auto"/>
            </w:tcBorders>
            <w:shd w:val="clear" w:color="auto" w:fill="auto"/>
            <w:noWrap/>
            <w:vAlign w:val="center"/>
            <w:hideMark/>
          </w:tcPr>
          <w:p w14:paraId="424B993F"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4006</w:t>
            </w:r>
          </w:p>
        </w:tc>
        <w:tc>
          <w:tcPr>
            <w:tcW w:w="806" w:type="dxa"/>
            <w:tcBorders>
              <w:top w:val="nil"/>
              <w:left w:val="nil"/>
              <w:bottom w:val="single" w:sz="4" w:space="0" w:color="auto"/>
              <w:right w:val="single" w:sz="4" w:space="0" w:color="auto"/>
            </w:tcBorders>
            <w:shd w:val="clear" w:color="auto" w:fill="auto"/>
            <w:noWrap/>
            <w:vAlign w:val="center"/>
            <w:hideMark/>
          </w:tcPr>
          <w:p w14:paraId="6942CF9D"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4524</w:t>
            </w:r>
          </w:p>
        </w:tc>
        <w:tc>
          <w:tcPr>
            <w:tcW w:w="806" w:type="dxa"/>
            <w:tcBorders>
              <w:top w:val="nil"/>
              <w:left w:val="nil"/>
              <w:bottom w:val="single" w:sz="4" w:space="0" w:color="auto"/>
              <w:right w:val="single" w:sz="4" w:space="0" w:color="auto"/>
            </w:tcBorders>
            <w:shd w:val="clear" w:color="auto" w:fill="auto"/>
            <w:noWrap/>
            <w:vAlign w:val="center"/>
            <w:hideMark/>
          </w:tcPr>
          <w:p w14:paraId="4323B00C"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4408</w:t>
            </w:r>
          </w:p>
        </w:tc>
        <w:tc>
          <w:tcPr>
            <w:tcW w:w="807" w:type="dxa"/>
            <w:tcBorders>
              <w:top w:val="nil"/>
              <w:left w:val="nil"/>
              <w:bottom w:val="single" w:sz="4" w:space="0" w:color="auto"/>
              <w:right w:val="single" w:sz="4" w:space="0" w:color="auto"/>
            </w:tcBorders>
            <w:shd w:val="clear" w:color="auto" w:fill="auto"/>
            <w:noWrap/>
            <w:vAlign w:val="center"/>
            <w:hideMark/>
          </w:tcPr>
          <w:p w14:paraId="4B25996C"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5124</w:t>
            </w:r>
          </w:p>
        </w:tc>
        <w:tc>
          <w:tcPr>
            <w:tcW w:w="846" w:type="dxa"/>
            <w:tcBorders>
              <w:top w:val="nil"/>
              <w:left w:val="nil"/>
              <w:bottom w:val="single" w:sz="4" w:space="0" w:color="auto"/>
              <w:right w:val="single" w:sz="4" w:space="0" w:color="auto"/>
            </w:tcBorders>
            <w:shd w:val="clear" w:color="auto" w:fill="auto"/>
            <w:noWrap/>
            <w:vAlign w:val="center"/>
            <w:hideMark/>
          </w:tcPr>
          <w:p w14:paraId="7C7B8EA3"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5275</w:t>
            </w:r>
          </w:p>
        </w:tc>
        <w:tc>
          <w:tcPr>
            <w:tcW w:w="807" w:type="dxa"/>
            <w:tcBorders>
              <w:top w:val="nil"/>
              <w:left w:val="nil"/>
              <w:bottom w:val="single" w:sz="4" w:space="0" w:color="auto"/>
              <w:right w:val="single" w:sz="4" w:space="0" w:color="auto"/>
            </w:tcBorders>
            <w:shd w:val="clear" w:color="auto" w:fill="auto"/>
            <w:noWrap/>
            <w:vAlign w:val="center"/>
            <w:hideMark/>
          </w:tcPr>
          <w:p w14:paraId="2B1BEB38"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44126</w:t>
            </w:r>
          </w:p>
        </w:tc>
        <w:tc>
          <w:tcPr>
            <w:tcW w:w="146" w:type="dxa"/>
            <w:gridSpan w:val="2"/>
            <w:vAlign w:val="center"/>
            <w:hideMark/>
          </w:tcPr>
          <w:p w14:paraId="691B7B50" w14:textId="77777777" w:rsidR="00470495" w:rsidRPr="00470495" w:rsidRDefault="00470495" w:rsidP="00234CBE">
            <w:pPr>
              <w:spacing w:line="276" w:lineRule="auto"/>
              <w:rPr>
                <w:rFonts w:ascii="Times New Roman" w:hAnsi="Times New Roman"/>
                <w:sz w:val="20"/>
                <w:szCs w:val="20"/>
                <w:lang w:eastAsia="es-CR"/>
              </w:rPr>
            </w:pPr>
          </w:p>
        </w:tc>
      </w:tr>
      <w:tr w:rsidR="00470495" w:rsidRPr="00470495" w14:paraId="510C7FE0" w14:textId="77777777" w:rsidTr="00470495">
        <w:trPr>
          <w:gridAfter w:val="1"/>
          <w:wAfter w:w="19" w:type="dxa"/>
          <w:trHeight w:val="217"/>
          <w:jc w:val="center"/>
        </w:trPr>
        <w:tc>
          <w:tcPr>
            <w:tcW w:w="2236" w:type="dxa"/>
            <w:tcBorders>
              <w:top w:val="nil"/>
              <w:left w:val="single" w:sz="4" w:space="0" w:color="auto"/>
              <w:bottom w:val="single" w:sz="4" w:space="0" w:color="auto"/>
              <w:right w:val="single" w:sz="4" w:space="0" w:color="auto"/>
            </w:tcBorders>
            <w:shd w:val="clear" w:color="auto" w:fill="auto"/>
            <w:noWrap/>
            <w:vAlign w:val="center"/>
            <w:hideMark/>
          </w:tcPr>
          <w:p w14:paraId="3C4CB332" w14:textId="77777777" w:rsidR="00470495" w:rsidRPr="00470495" w:rsidRDefault="00470495" w:rsidP="00234CBE">
            <w:pPr>
              <w:spacing w:line="276" w:lineRule="auto"/>
              <w:jc w:val="right"/>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Contravenciones</w:t>
            </w:r>
          </w:p>
        </w:tc>
        <w:tc>
          <w:tcPr>
            <w:tcW w:w="806" w:type="dxa"/>
            <w:tcBorders>
              <w:top w:val="nil"/>
              <w:left w:val="nil"/>
              <w:bottom w:val="single" w:sz="4" w:space="0" w:color="auto"/>
              <w:right w:val="single" w:sz="4" w:space="0" w:color="auto"/>
            </w:tcBorders>
            <w:shd w:val="clear" w:color="auto" w:fill="auto"/>
            <w:noWrap/>
            <w:vAlign w:val="center"/>
            <w:hideMark/>
          </w:tcPr>
          <w:p w14:paraId="658369DE"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3726</w:t>
            </w:r>
          </w:p>
        </w:tc>
        <w:tc>
          <w:tcPr>
            <w:tcW w:w="807" w:type="dxa"/>
            <w:tcBorders>
              <w:top w:val="nil"/>
              <w:left w:val="nil"/>
              <w:bottom w:val="single" w:sz="4" w:space="0" w:color="auto"/>
              <w:right w:val="single" w:sz="4" w:space="0" w:color="auto"/>
            </w:tcBorders>
            <w:shd w:val="clear" w:color="auto" w:fill="auto"/>
            <w:noWrap/>
            <w:vAlign w:val="center"/>
            <w:hideMark/>
          </w:tcPr>
          <w:p w14:paraId="7D814848"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3222</w:t>
            </w:r>
          </w:p>
        </w:tc>
        <w:tc>
          <w:tcPr>
            <w:tcW w:w="807" w:type="dxa"/>
            <w:tcBorders>
              <w:top w:val="nil"/>
              <w:left w:val="nil"/>
              <w:bottom w:val="single" w:sz="4" w:space="0" w:color="auto"/>
              <w:right w:val="single" w:sz="4" w:space="0" w:color="auto"/>
            </w:tcBorders>
            <w:shd w:val="clear" w:color="auto" w:fill="auto"/>
            <w:noWrap/>
            <w:vAlign w:val="center"/>
            <w:hideMark/>
          </w:tcPr>
          <w:p w14:paraId="63BEDBCE"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3146</w:t>
            </w:r>
          </w:p>
        </w:tc>
        <w:tc>
          <w:tcPr>
            <w:tcW w:w="806" w:type="dxa"/>
            <w:tcBorders>
              <w:top w:val="nil"/>
              <w:left w:val="nil"/>
              <w:bottom w:val="single" w:sz="4" w:space="0" w:color="auto"/>
              <w:right w:val="single" w:sz="4" w:space="0" w:color="auto"/>
            </w:tcBorders>
            <w:shd w:val="clear" w:color="auto" w:fill="auto"/>
            <w:noWrap/>
            <w:vAlign w:val="center"/>
            <w:hideMark/>
          </w:tcPr>
          <w:p w14:paraId="2C034C2C"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3635</w:t>
            </w:r>
          </w:p>
        </w:tc>
        <w:tc>
          <w:tcPr>
            <w:tcW w:w="806" w:type="dxa"/>
            <w:tcBorders>
              <w:top w:val="nil"/>
              <w:left w:val="nil"/>
              <w:bottom w:val="single" w:sz="4" w:space="0" w:color="auto"/>
              <w:right w:val="single" w:sz="4" w:space="0" w:color="auto"/>
            </w:tcBorders>
            <w:shd w:val="clear" w:color="auto" w:fill="auto"/>
            <w:noWrap/>
            <w:vAlign w:val="center"/>
            <w:hideMark/>
          </w:tcPr>
          <w:p w14:paraId="158E01C3"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3380</w:t>
            </w:r>
          </w:p>
        </w:tc>
        <w:tc>
          <w:tcPr>
            <w:tcW w:w="806" w:type="dxa"/>
            <w:tcBorders>
              <w:top w:val="nil"/>
              <w:left w:val="nil"/>
              <w:bottom w:val="single" w:sz="4" w:space="0" w:color="auto"/>
              <w:right w:val="single" w:sz="4" w:space="0" w:color="auto"/>
            </w:tcBorders>
            <w:shd w:val="clear" w:color="auto" w:fill="auto"/>
            <w:noWrap/>
            <w:vAlign w:val="center"/>
            <w:hideMark/>
          </w:tcPr>
          <w:p w14:paraId="03E65E26"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3695</w:t>
            </w:r>
          </w:p>
        </w:tc>
        <w:tc>
          <w:tcPr>
            <w:tcW w:w="806" w:type="dxa"/>
            <w:tcBorders>
              <w:top w:val="nil"/>
              <w:left w:val="nil"/>
              <w:bottom w:val="single" w:sz="4" w:space="0" w:color="auto"/>
              <w:right w:val="single" w:sz="4" w:space="0" w:color="auto"/>
            </w:tcBorders>
            <w:shd w:val="clear" w:color="auto" w:fill="auto"/>
            <w:noWrap/>
            <w:vAlign w:val="center"/>
            <w:hideMark/>
          </w:tcPr>
          <w:p w14:paraId="37B69625"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3218</w:t>
            </w:r>
          </w:p>
        </w:tc>
        <w:tc>
          <w:tcPr>
            <w:tcW w:w="807" w:type="dxa"/>
            <w:tcBorders>
              <w:top w:val="nil"/>
              <w:left w:val="nil"/>
              <w:bottom w:val="single" w:sz="4" w:space="0" w:color="auto"/>
              <w:right w:val="single" w:sz="4" w:space="0" w:color="auto"/>
            </w:tcBorders>
            <w:shd w:val="clear" w:color="auto" w:fill="auto"/>
            <w:noWrap/>
            <w:vAlign w:val="center"/>
            <w:hideMark/>
          </w:tcPr>
          <w:p w14:paraId="72AAE813"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3965</w:t>
            </w:r>
          </w:p>
        </w:tc>
        <w:tc>
          <w:tcPr>
            <w:tcW w:w="846" w:type="dxa"/>
            <w:tcBorders>
              <w:top w:val="nil"/>
              <w:left w:val="nil"/>
              <w:bottom w:val="single" w:sz="4" w:space="0" w:color="auto"/>
              <w:right w:val="single" w:sz="4" w:space="0" w:color="auto"/>
            </w:tcBorders>
            <w:shd w:val="clear" w:color="auto" w:fill="auto"/>
            <w:noWrap/>
            <w:vAlign w:val="center"/>
            <w:hideMark/>
          </w:tcPr>
          <w:p w14:paraId="21960A8E"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3331</w:t>
            </w:r>
          </w:p>
        </w:tc>
        <w:tc>
          <w:tcPr>
            <w:tcW w:w="807" w:type="dxa"/>
            <w:tcBorders>
              <w:top w:val="nil"/>
              <w:left w:val="nil"/>
              <w:bottom w:val="single" w:sz="4" w:space="0" w:color="auto"/>
              <w:right w:val="single" w:sz="4" w:space="0" w:color="auto"/>
            </w:tcBorders>
            <w:shd w:val="clear" w:color="auto" w:fill="auto"/>
            <w:noWrap/>
            <w:vAlign w:val="center"/>
            <w:hideMark/>
          </w:tcPr>
          <w:p w14:paraId="141FA18F"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31318</w:t>
            </w:r>
          </w:p>
        </w:tc>
        <w:tc>
          <w:tcPr>
            <w:tcW w:w="146" w:type="dxa"/>
            <w:gridSpan w:val="2"/>
            <w:vAlign w:val="center"/>
            <w:hideMark/>
          </w:tcPr>
          <w:p w14:paraId="1C85B8BA" w14:textId="77777777" w:rsidR="00470495" w:rsidRPr="00470495" w:rsidRDefault="00470495" w:rsidP="00234CBE">
            <w:pPr>
              <w:spacing w:line="276" w:lineRule="auto"/>
              <w:rPr>
                <w:rFonts w:ascii="Times New Roman" w:hAnsi="Times New Roman"/>
                <w:sz w:val="20"/>
                <w:szCs w:val="20"/>
                <w:lang w:eastAsia="es-CR"/>
              </w:rPr>
            </w:pPr>
          </w:p>
        </w:tc>
      </w:tr>
      <w:tr w:rsidR="00470495" w:rsidRPr="00470495" w14:paraId="2B40619E" w14:textId="77777777" w:rsidTr="00470495">
        <w:trPr>
          <w:gridAfter w:val="1"/>
          <w:wAfter w:w="19" w:type="dxa"/>
          <w:trHeight w:val="217"/>
          <w:jc w:val="center"/>
        </w:trPr>
        <w:tc>
          <w:tcPr>
            <w:tcW w:w="2236" w:type="dxa"/>
            <w:tcBorders>
              <w:top w:val="nil"/>
              <w:left w:val="single" w:sz="4" w:space="0" w:color="auto"/>
              <w:bottom w:val="single" w:sz="4" w:space="0" w:color="auto"/>
              <w:right w:val="single" w:sz="4" w:space="0" w:color="auto"/>
            </w:tcBorders>
            <w:shd w:val="clear" w:color="auto" w:fill="auto"/>
            <w:noWrap/>
            <w:vAlign w:val="center"/>
            <w:hideMark/>
          </w:tcPr>
          <w:p w14:paraId="67929914" w14:textId="77777777" w:rsidR="00470495" w:rsidRPr="00470495" w:rsidRDefault="00470495" w:rsidP="00234CBE">
            <w:pPr>
              <w:spacing w:line="276" w:lineRule="auto"/>
              <w:jc w:val="right"/>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Laboral</w:t>
            </w:r>
          </w:p>
        </w:tc>
        <w:tc>
          <w:tcPr>
            <w:tcW w:w="806" w:type="dxa"/>
            <w:tcBorders>
              <w:top w:val="nil"/>
              <w:left w:val="nil"/>
              <w:bottom w:val="single" w:sz="4" w:space="0" w:color="auto"/>
              <w:right w:val="single" w:sz="4" w:space="0" w:color="auto"/>
            </w:tcBorders>
            <w:shd w:val="clear" w:color="auto" w:fill="auto"/>
            <w:noWrap/>
            <w:vAlign w:val="center"/>
            <w:hideMark/>
          </w:tcPr>
          <w:p w14:paraId="7E0772E6"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2383</w:t>
            </w:r>
          </w:p>
        </w:tc>
        <w:tc>
          <w:tcPr>
            <w:tcW w:w="807" w:type="dxa"/>
            <w:tcBorders>
              <w:top w:val="nil"/>
              <w:left w:val="nil"/>
              <w:bottom w:val="single" w:sz="4" w:space="0" w:color="auto"/>
              <w:right w:val="single" w:sz="4" w:space="0" w:color="auto"/>
            </w:tcBorders>
            <w:shd w:val="clear" w:color="auto" w:fill="auto"/>
            <w:noWrap/>
            <w:vAlign w:val="center"/>
            <w:hideMark/>
          </w:tcPr>
          <w:p w14:paraId="7ECFCB33"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2416</w:t>
            </w:r>
          </w:p>
        </w:tc>
        <w:tc>
          <w:tcPr>
            <w:tcW w:w="807" w:type="dxa"/>
            <w:tcBorders>
              <w:top w:val="nil"/>
              <w:left w:val="nil"/>
              <w:bottom w:val="single" w:sz="4" w:space="0" w:color="auto"/>
              <w:right w:val="single" w:sz="4" w:space="0" w:color="auto"/>
            </w:tcBorders>
            <w:shd w:val="clear" w:color="auto" w:fill="auto"/>
            <w:noWrap/>
            <w:vAlign w:val="center"/>
            <w:hideMark/>
          </w:tcPr>
          <w:p w14:paraId="04B3683B"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2495</w:t>
            </w:r>
          </w:p>
        </w:tc>
        <w:tc>
          <w:tcPr>
            <w:tcW w:w="806" w:type="dxa"/>
            <w:tcBorders>
              <w:top w:val="nil"/>
              <w:left w:val="nil"/>
              <w:bottom w:val="single" w:sz="4" w:space="0" w:color="auto"/>
              <w:right w:val="single" w:sz="4" w:space="0" w:color="auto"/>
            </w:tcBorders>
            <w:shd w:val="clear" w:color="auto" w:fill="auto"/>
            <w:noWrap/>
            <w:vAlign w:val="center"/>
            <w:hideMark/>
          </w:tcPr>
          <w:p w14:paraId="71B246EB"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2146</w:t>
            </w:r>
          </w:p>
        </w:tc>
        <w:tc>
          <w:tcPr>
            <w:tcW w:w="806" w:type="dxa"/>
            <w:tcBorders>
              <w:top w:val="nil"/>
              <w:left w:val="nil"/>
              <w:bottom w:val="single" w:sz="4" w:space="0" w:color="auto"/>
              <w:right w:val="single" w:sz="4" w:space="0" w:color="auto"/>
            </w:tcBorders>
            <w:shd w:val="clear" w:color="auto" w:fill="auto"/>
            <w:noWrap/>
            <w:vAlign w:val="center"/>
            <w:hideMark/>
          </w:tcPr>
          <w:p w14:paraId="5F579B02"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2223</w:t>
            </w:r>
          </w:p>
        </w:tc>
        <w:tc>
          <w:tcPr>
            <w:tcW w:w="806" w:type="dxa"/>
            <w:tcBorders>
              <w:top w:val="nil"/>
              <w:left w:val="nil"/>
              <w:bottom w:val="single" w:sz="4" w:space="0" w:color="auto"/>
              <w:right w:val="single" w:sz="4" w:space="0" w:color="auto"/>
            </w:tcBorders>
            <w:shd w:val="clear" w:color="auto" w:fill="auto"/>
            <w:noWrap/>
            <w:vAlign w:val="center"/>
            <w:hideMark/>
          </w:tcPr>
          <w:p w14:paraId="3EE27C76"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2475</w:t>
            </w:r>
          </w:p>
        </w:tc>
        <w:tc>
          <w:tcPr>
            <w:tcW w:w="806" w:type="dxa"/>
            <w:tcBorders>
              <w:top w:val="nil"/>
              <w:left w:val="nil"/>
              <w:bottom w:val="single" w:sz="4" w:space="0" w:color="auto"/>
              <w:right w:val="single" w:sz="4" w:space="0" w:color="auto"/>
            </w:tcBorders>
            <w:shd w:val="clear" w:color="auto" w:fill="auto"/>
            <w:noWrap/>
            <w:vAlign w:val="center"/>
            <w:hideMark/>
          </w:tcPr>
          <w:p w14:paraId="11CD8174"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2456</w:t>
            </w:r>
          </w:p>
        </w:tc>
        <w:tc>
          <w:tcPr>
            <w:tcW w:w="807" w:type="dxa"/>
            <w:tcBorders>
              <w:top w:val="nil"/>
              <w:left w:val="nil"/>
              <w:bottom w:val="single" w:sz="4" w:space="0" w:color="auto"/>
              <w:right w:val="single" w:sz="4" w:space="0" w:color="auto"/>
            </w:tcBorders>
            <w:shd w:val="clear" w:color="auto" w:fill="auto"/>
            <w:noWrap/>
            <w:vAlign w:val="center"/>
            <w:hideMark/>
          </w:tcPr>
          <w:p w14:paraId="13EBF6AA"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2405</w:t>
            </w:r>
          </w:p>
        </w:tc>
        <w:tc>
          <w:tcPr>
            <w:tcW w:w="846" w:type="dxa"/>
            <w:tcBorders>
              <w:top w:val="nil"/>
              <w:left w:val="nil"/>
              <w:bottom w:val="single" w:sz="4" w:space="0" w:color="auto"/>
              <w:right w:val="single" w:sz="4" w:space="0" w:color="auto"/>
            </w:tcBorders>
            <w:shd w:val="clear" w:color="auto" w:fill="auto"/>
            <w:noWrap/>
            <w:vAlign w:val="center"/>
            <w:hideMark/>
          </w:tcPr>
          <w:p w14:paraId="5E62A216"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2642</w:t>
            </w:r>
          </w:p>
        </w:tc>
        <w:tc>
          <w:tcPr>
            <w:tcW w:w="807" w:type="dxa"/>
            <w:tcBorders>
              <w:top w:val="nil"/>
              <w:left w:val="nil"/>
              <w:bottom w:val="single" w:sz="4" w:space="0" w:color="auto"/>
              <w:right w:val="single" w:sz="4" w:space="0" w:color="auto"/>
            </w:tcBorders>
            <w:shd w:val="clear" w:color="auto" w:fill="auto"/>
            <w:noWrap/>
            <w:vAlign w:val="center"/>
            <w:hideMark/>
          </w:tcPr>
          <w:p w14:paraId="08F10707" w14:textId="77777777" w:rsidR="00470495" w:rsidRPr="00470495" w:rsidRDefault="00470495" w:rsidP="00234CBE">
            <w:pPr>
              <w:spacing w:line="276" w:lineRule="auto"/>
              <w:jc w:val="center"/>
              <w:rPr>
                <w:rFonts w:ascii="Book Antiqua" w:hAnsi="Book Antiqua" w:cs="Calibri"/>
                <w:color w:val="000000"/>
                <w:sz w:val="16"/>
                <w:szCs w:val="16"/>
                <w:lang w:eastAsia="es-CR"/>
              </w:rPr>
            </w:pPr>
            <w:r w:rsidRPr="00470495">
              <w:rPr>
                <w:rFonts w:ascii="Book Antiqua" w:hAnsi="Book Antiqua" w:cs="Calibri"/>
                <w:color w:val="000000"/>
                <w:sz w:val="16"/>
                <w:szCs w:val="16"/>
                <w:lang w:eastAsia="es-CR"/>
              </w:rPr>
              <w:t>21641</w:t>
            </w:r>
          </w:p>
        </w:tc>
        <w:tc>
          <w:tcPr>
            <w:tcW w:w="146" w:type="dxa"/>
            <w:gridSpan w:val="2"/>
            <w:vAlign w:val="center"/>
            <w:hideMark/>
          </w:tcPr>
          <w:p w14:paraId="21A753A3" w14:textId="77777777" w:rsidR="00470495" w:rsidRPr="00470495" w:rsidRDefault="00470495" w:rsidP="00234CBE">
            <w:pPr>
              <w:spacing w:line="276" w:lineRule="auto"/>
              <w:rPr>
                <w:rFonts w:ascii="Times New Roman" w:hAnsi="Times New Roman"/>
                <w:sz w:val="20"/>
                <w:szCs w:val="20"/>
                <w:lang w:eastAsia="es-CR"/>
              </w:rPr>
            </w:pPr>
          </w:p>
        </w:tc>
      </w:tr>
    </w:tbl>
    <w:p w14:paraId="5CDE22AF" w14:textId="77777777" w:rsidR="0059268A" w:rsidRDefault="0059268A" w:rsidP="00234CBE">
      <w:pPr>
        <w:shd w:val="clear" w:color="auto" w:fill="FFFFFF" w:themeFill="background1"/>
        <w:spacing w:line="276" w:lineRule="auto"/>
        <w:jc w:val="center"/>
        <w:rPr>
          <w:rFonts w:ascii="Book Antiqua" w:hAnsi="Book Antiqua" w:cs="Book Antiqua"/>
          <w:snapToGrid w:val="0"/>
          <w:color w:val="000000" w:themeColor="text1"/>
        </w:rPr>
      </w:pPr>
      <w:r w:rsidRPr="0059268A">
        <w:rPr>
          <w:rFonts w:ascii="Book Antiqua" w:hAnsi="Book Antiqua" w:cs="Calibri"/>
          <w:b/>
          <w:bCs/>
          <w:color w:val="000000"/>
          <w:sz w:val="20"/>
          <w:szCs w:val="20"/>
          <w:lang w:eastAsia="es-CR"/>
        </w:rPr>
        <w:t>Fuente:</w:t>
      </w:r>
      <w:r w:rsidRPr="00D44482">
        <w:rPr>
          <w:rFonts w:ascii="Book Antiqua" w:hAnsi="Book Antiqua" w:cs="Calibri"/>
          <w:color w:val="000000"/>
          <w:sz w:val="20"/>
          <w:szCs w:val="20"/>
          <w:lang w:eastAsia="es-CR"/>
        </w:rPr>
        <w:t xml:space="preserve"> </w:t>
      </w:r>
      <w:r>
        <w:rPr>
          <w:rFonts w:ascii="Book Antiqua" w:hAnsi="Book Antiqua" w:cs="Calibri"/>
          <w:color w:val="000000"/>
          <w:sz w:val="20"/>
          <w:szCs w:val="20"/>
          <w:lang w:eastAsia="es-CR"/>
        </w:rPr>
        <w:t>Elaboración propia a partir de las estadísticas del Subproceso de Estadística</w:t>
      </w:r>
    </w:p>
    <w:p w14:paraId="7849CCC2" w14:textId="77777777" w:rsidR="000F39F4" w:rsidRDefault="000F39F4" w:rsidP="00234CBE">
      <w:pPr>
        <w:shd w:val="clear" w:color="auto" w:fill="FFFFFF" w:themeFill="background1"/>
        <w:spacing w:line="276" w:lineRule="auto"/>
        <w:rPr>
          <w:rFonts w:ascii="Book Antiqua" w:hAnsi="Book Antiqua"/>
          <w:lang w:val="es-ES_tradnl" w:eastAsia="en-US"/>
        </w:rPr>
      </w:pPr>
    </w:p>
    <w:p w14:paraId="21191AE3" w14:textId="77777777" w:rsidR="00FA33D3" w:rsidRDefault="00FA33D3" w:rsidP="00234CBE">
      <w:pPr>
        <w:shd w:val="clear" w:color="auto" w:fill="FFFFFF" w:themeFill="background1"/>
        <w:spacing w:line="276" w:lineRule="auto"/>
        <w:rPr>
          <w:rFonts w:ascii="Book Antiqua" w:hAnsi="Book Antiqua"/>
          <w:lang w:val="es-ES_tradnl" w:eastAsia="en-US"/>
        </w:rPr>
      </w:pPr>
    </w:p>
    <w:p w14:paraId="4F157AA0" w14:textId="22F160BE" w:rsidR="00D92C45" w:rsidRPr="002D09FA" w:rsidRDefault="00D92C45" w:rsidP="00234CBE">
      <w:pPr>
        <w:shd w:val="clear" w:color="auto" w:fill="FFFFFF" w:themeFill="background1"/>
        <w:spacing w:line="276" w:lineRule="auto"/>
        <w:rPr>
          <w:rFonts w:ascii="Book Antiqua" w:hAnsi="Book Antiqua"/>
          <w:lang w:val="es-ES_tradnl" w:eastAsia="en-US"/>
        </w:rPr>
      </w:pPr>
      <w:r w:rsidRPr="002D09FA">
        <w:rPr>
          <w:rFonts w:ascii="Book Antiqua" w:hAnsi="Book Antiqua"/>
          <w:lang w:val="es-ES_tradnl" w:eastAsia="en-US"/>
        </w:rPr>
        <w:t xml:space="preserve">A </w:t>
      </w:r>
      <w:r w:rsidR="007A33D1" w:rsidRPr="002D09FA">
        <w:rPr>
          <w:rFonts w:ascii="Book Antiqua" w:hAnsi="Book Antiqua"/>
          <w:lang w:val="es-ES_tradnl" w:eastAsia="en-US"/>
        </w:rPr>
        <w:t>continuación,</w:t>
      </w:r>
      <w:r w:rsidRPr="002D09FA">
        <w:rPr>
          <w:rFonts w:ascii="Book Antiqua" w:hAnsi="Book Antiqua"/>
          <w:lang w:val="es-ES_tradnl" w:eastAsia="en-US"/>
        </w:rPr>
        <w:t xml:space="preserve"> se visualiza una comparación en la entrada de casos</w:t>
      </w:r>
      <w:r w:rsidR="00D45824">
        <w:rPr>
          <w:rFonts w:ascii="Book Antiqua" w:hAnsi="Book Antiqua"/>
          <w:lang w:val="es-ES_tradnl" w:eastAsia="en-US"/>
        </w:rPr>
        <w:t xml:space="preserve"> nuevos</w:t>
      </w:r>
      <w:r w:rsidRPr="002D09FA">
        <w:rPr>
          <w:rFonts w:ascii="Book Antiqua" w:hAnsi="Book Antiqua"/>
          <w:lang w:val="es-ES_tradnl" w:eastAsia="en-US"/>
        </w:rPr>
        <w:t xml:space="preserve"> por cada materia entre </w:t>
      </w:r>
      <w:r w:rsidR="00CF2008">
        <w:rPr>
          <w:rFonts w:ascii="Book Antiqua" w:hAnsi="Book Antiqua"/>
          <w:lang w:val="es-ES_tradnl" w:eastAsia="en-US"/>
        </w:rPr>
        <w:t>los periodos 2021 versus 2019 y 2020.</w:t>
      </w:r>
    </w:p>
    <w:p w14:paraId="63F3E846" w14:textId="77777777" w:rsidR="007A33D1" w:rsidRPr="00093754" w:rsidRDefault="007A33D1" w:rsidP="00234CBE">
      <w:pPr>
        <w:shd w:val="clear" w:color="auto" w:fill="FFFFFF" w:themeFill="background1"/>
        <w:spacing w:line="276" w:lineRule="auto"/>
        <w:jc w:val="center"/>
        <w:rPr>
          <w:rFonts w:ascii="Book Antiqua" w:hAnsi="Book Antiqua"/>
          <w:b/>
          <w:bCs/>
          <w:highlight w:val="yellow"/>
          <w:lang w:val="es-ES_tradnl" w:eastAsia="en-US"/>
        </w:rPr>
      </w:pPr>
    </w:p>
    <w:p w14:paraId="24DD48D3" w14:textId="77777777" w:rsidR="006F775A" w:rsidRDefault="007A33D1" w:rsidP="00234CBE">
      <w:pPr>
        <w:shd w:val="clear" w:color="auto" w:fill="FFFFFF" w:themeFill="background1"/>
        <w:spacing w:line="276" w:lineRule="auto"/>
        <w:jc w:val="center"/>
        <w:rPr>
          <w:rFonts w:ascii="Book Antiqua" w:hAnsi="Book Antiqua"/>
          <w:b/>
          <w:bCs/>
          <w:lang w:val="es-ES_tradnl" w:eastAsia="en-US"/>
        </w:rPr>
      </w:pPr>
      <w:r w:rsidRPr="002D09FA">
        <w:rPr>
          <w:rFonts w:ascii="Book Antiqua" w:hAnsi="Book Antiqua"/>
          <w:b/>
          <w:bCs/>
          <w:lang w:val="es-ES_tradnl" w:eastAsia="en-US"/>
        </w:rPr>
        <w:t>Cuadro 02</w:t>
      </w:r>
    </w:p>
    <w:p w14:paraId="1C7DFCBA" w14:textId="31B26BC6" w:rsidR="007A33D1" w:rsidRPr="004F0E92" w:rsidRDefault="007A33D1" w:rsidP="00234CBE">
      <w:pPr>
        <w:shd w:val="clear" w:color="auto" w:fill="FFFFFF" w:themeFill="background1"/>
        <w:spacing w:line="276" w:lineRule="auto"/>
        <w:jc w:val="center"/>
        <w:rPr>
          <w:rFonts w:ascii="Book Antiqua" w:hAnsi="Book Antiqua"/>
          <w:b/>
          <w:bCs/>
          <w:lang w:val="es-ES_tradnl" w:eastAsia="en-US"/>
        </w:rPr>
      </w:pPr>
      <w:r w:rsidRPr="002D09FA">
        <w:rPr>
          <w:rFonts w:ascii="Book Antiqua" w:hAnsi="Book Antiqua"/>
          <w:b/>
          <w:bCs/>
          <w:lang w:val="es-ES_tradnl" w:eastAsia="en-US"/>
        </w:rPr>
        <w:t xml:space="preserve"> Comparación de</w:t>
      </w:r>
      <w:r w:rsidR="00FB41DB">
        <w:rPr>
          <w:rFonts w:ascii="Book Antiqua" w:hAnsi="Book Antiqua"/>
          <w:b/>
          <w:bCs/>
          <w:lang w:val="es-ES_tradnl" w:eastAsia="en-US"/>
        </w:rPr>
        <w:t xml:space="preserve">l promedio </w:t>
      </w:r>
      <w:r w:rsidR="001B54A3">
        <w:rPr>
          <w:rFonts w:ascii="Book Antiqua" w:hAnsi="Book Antiqua"/>
          <w:b/>
          <w:bCs/>
          <w:lang w:val="es-ES_tradnl" w:eastAsia="en-US"/>
        </w:rPr>
        <w:t xml:space="preserve">mensual </w:t>
      </w:r>
      <w:r w:rsidR="00FB41DB">
        <w:rPr>
          <w:rFonts w:ascii="Book Antiqua" w:hAnsi="Book Antiqua"/>
          <w:b/>
          <w:bCs/>
          <w:lang w:val="es-ES_tradnl" w:eastAsia="en-US"/>
        </w:rPr>
        <w:t>de</w:t>
      </w:r>
      <w:r w:rsidRPr="002D09FA">
        <w:rPr>
          <w:rFonts w:ascii="Book Antiqua" w:hAnsi="Book Antiqua"/>
          <w:b/>
          <w:bCs/>
          <w:lang w:val="es-ES_tradnl" w:eastAsia="en-US"/>
        </w:rPr>
        <w:t xml:space="preserve"> asuntos </w:t>
      </w:r>
      <w:r w:rsidR="002D09FA" w:rsidRPr="002D09FA">
        <w:rPr>
          <w:rFonts w:ascii="Book Antiqua" w:hAnsi="Book Antiqua"/>
          <w:b/>
          <w:bCs/>
          <w:lang w:val="es-ES_tradnl" w:eastAsia="en-US"/>
        </w:rPr>
        <w:t>nuevos</w:t>
      </w:r>
      <w:r w:rsidRPr="002D09FA">
        <w:rPr>
          <w:rFonts w:ascii="Book Antiqua" w:hAnsi="Book Antiqua"/>
          <w:b/>
          <w:bCs/>
          <w:lang w:val="es-ES_tradnl" w:eastAsia="en-US"/>
        </w:rPr>
        <w:t xml:space="preserve"> de</w:t>
      </w:r>
      <w:r w:rsidR="00DA2BEE" w:rsidRPr="002D09FA">
        <w:rPr>
          <w:rFonts w:ascii="Book Antiqua" w:hAnsi="Book Antiqua"/>
          <w:b/>
          <w:bCs/>
          <w:lang w:val="es-ES_tradnl" w:eastAsia="en-US"/>
        </w:rPr>
        <w:t xml:space="preserve"> </w:t>
      </w:r>
      <w:r w:rsidR="00CF2008">
        <w:rPr>
          <w:rFonts w:ascii="Book Antiqua" w:hAnsi="Book Antiqua"/>
          <w:b/>
          <w:bCs/>
          <w:lang w:val="es-ES_tradnl" w:eastAsia="en-US"/>
        </w:rPr>
        <w:t>2021 versus</w:t>
      </w:r>
      <w:r w:rsidRPr="002D09FA">
        <w:rPr>
          <w:rFonts w:ascii="Book Antiqua" w:hAnsi="Book Antiqua"/>
          <w:b/>
          <w:bCs/>
          <w:lang w:val="es-ES_tradnl" w:eastAsia="en-US"/>
        </w:rPr>
        <w:t xml:space="preserve"> </w:t>
      </w:r>
      <w:r w:rsidR="001B54A3">
        <w:rPr>
          <w:rFonts w:ascii="Book Antiqua" w:hAnsi="Book Antiqua"/>
          <w:b/>
          <w:bCs/>
          <w:lang w:val="es-ES_tradnl" w:eastAsia="en-US"/>
        </w:rPr>
        <w:t>2019 y 2020</w:t>
      </w:r>
      <w:r w:rsidR="00217648" w:rsidRPr="002D09FA">
        <w:rPr>
          <w:rFonts w:ascii="Book Antiqua" w:hAnsi="Book Antiqua"/>
          <w:b/>
          <w:bCs/>
          <w:lang w:val="es-ES_tradnl" w:eastAsia="en-US"/>
        </w:rPr>
        <w:t xml:space="preserve"> </w:t>
      </w:r>
      <w:r w:rsidR="00887470">
        <w:rPr>
          <w:rFonts w:ascii="Book Antiqua" w:hAnsi="Book Antiqua"/>
          <w:b/>
          <w:bCs/>
          <w:lang w:val="es-ES_tradnl" w:eastAsia="en-US"/>
        </w:rPr>
        <w:t>con su</w:t>
      </w:r>
      <w:r w:rsidR="001B54A3">
        <w:rPr>
          <w:rFonts w:ascii="Book Antiqua" w:hAnsi="Book Antiqua"/>
          <w:b/>
          <w:bCs/>
          <w:lang w:val="es-ES_tradnl" w:eastAsia="en-US"/>
        </w:rPr>
        <w:t xml:space="preserve"> respectiva</w:t>
      </w:r>
      <w:r w:rsidR="00887470">
        <w:rPr>
          <w:rFonts w:ascii="Book Antiqua" w:hAnsi="Book Antiqua"/>
          <w:b/>
          <w:bCs/>
          <w:lang w:val="es-ES_tradnl" w:eastAsia="en-US"/>
        </w:rPr>
        <w:t xml:space="preserve"> </w:t>
      </w:r>
      <w:r w:rsidR="00217648" w:rsidRPr="002D09FA">
        <w:rPr>
          <w:rFonts w:ascii="Book Antiqua" w:hAnsi="Book Antiqua"/>
          <w:b/>
          <w:bCs/>
          <w:lang w:val="es-ES_tradnl" w:eastAsia="en-US"/>
        </w:rPr>
        <w:t>variación porcentual</w:t>
      </w:r>
      <w:r w:rsidR="00217648">
        <w:rPr>
          <w:rFonts w:ascii="Book Antiqua" w:hAnsi="Book Antiqua"/>
          <w:b/>
          <w:bCs/>
          <w:lang w:val="es-ES_tradnl" w:eastAsia="en-US"/>
        </w:rPr>
        <w:t xml:space="preserve"> </w:t>
      </w:r>
    </w:p>
    <w:p w14:paraId="549C1861" w14:textId="63375816" w:rsidR="00D92C45" w:rsidRDefault="00D92C45" w:rsidP="00234CBE">
      <w:pPr>
        <w:shd w:val="clear" w:color="auto" w:fill="FFFFFF" w:themeFill="background1"/>
        <w:spacing w:line="276" w:lineRule="auto"/>
        <w:rPr>
          <w:rFonts w:ascii="Book Antiqua" w:hAnsi="Book Antiqua"/>
          <w:lang w:val="es-ES_tradnl" w:eastAsia="en-US"/>
        </w:rPr>
      </w:pPr>
    </w:p>
    <w:tbl>
      <w:tblPr>
        <w:tblW w:w="8663" w:type="dxa"/>
        <w:jc w:val="center"/>
        <w:tblCellMar>
          <w:left w:w="70" w:type="dxa"/>
          <w:right w:w="70" w:type="dxa"/>
        </w:tblCellMar>
        <w:tblLook w:val="04A0" w:firstRow="1" w:lastRow="0" w:firstColumn="1" w:lastColumn="0" w:noHBand="0" w:noVBand="1"/>
      </w:tblPr>
      <w:tblGrid>
        <w:gridCol w:w="2980"/>
        <w:gridCol w:w="1133"/>
        <w:gridCol w:w="1133"/>
        <w:gridCol w:w="1133"/>
        <w:gridCol w:w="1142"/>
        <w:gridCol w:w="1142"/>
      </w:tblGrid>
      <w:tr w:rsidR="009D4D51" w:rsidRPr="009D4D51" w14:paraId="52D96038" w14:textId="77777777" w:rsidTr="005E39B1">
        <w:trPr>
          <w:trHeight w:val="440"/>
          <w:jc w:val="center"/>
        </w:trPr>
        <w:tc>
          <w:tcPr>
            <w:tcW w:w="2980" w:type="dxa"/>
            <w:tcBorders>
              <w:top w:val="single" w:sz="4" w:space="0" w:color="auto"/>
              <w:left w:val="single" w:sz="4" w:space="0" w:color="auto"/>
              <w:bottom w:val="single" w:sz="4" w:space="0" w:color="auto"/>
              <w:right w:val="single" w:sz="4" w:space="0" w:color="auto"/>
            </w:tcBorders>
            <w:shd w:val="clear" w:color="000000" w:fill="305496"/>
            <w:noWrap/>
            <w:vAlign w:val="center"/>
            <w:hideMark/>
          </w:tcPr>
          <w:p w14:paraId="0C28E771" w14:textId="77777777" w:rsidR="009D4D51" w:rsidRPr="009D4D51" w:rsidRDefault="009D4D51" w:rsidP="00234CBE">
            <w:pPr>
              <w:spacing w:line="276" w:lineRule="auto"/>
              <w:jc w:val="center"/>
              <w:rPr>
                <w:rFonts w:ascii="Book Antiqua" w:hAnsi="Book Antiqua" w:cs="Calibri"/>
                <w:b/>
                <w:bCs/>
                <w:color w:val="FFFFFF"/>
                <w:sz w:val="16"/>
                <w:szCs w:val="16"/>
                <w:lang w:eastAsia="es-CR"/>
              </w:rPr>
            </w:pPr>
            <w:r w:rsidRPr="009D4D51">
              <w:rPr>
                <w:rFonts w:ascii="Book Antiqua" w:hAnsi="Book Antiqua" w:cs="Calibri"/>
                <w:b/>
                <w:bCs/>
                <w:color w:val="FFFFFF"/>
                <w:sz w:val="16"/>
                <w:szCs w:val="16"/>
                <w:lang w:eastAsia="es-CR"/>
              </w:rPr>
              <w:t>Asuntos entrados por materia</w:t>
            </w:r>
          </w:p>
        </w:tc>
        <w:tc>
          <w:tcPr>
            <w:tcW w:w="1133" w:type="dxa"/>
            <w:tcBorders>
              <w:top w:val="single" w:sz="4" w:space="0" w:color="auto"/>
              <w:left w:val="nil"/>
              <w:bottom w:val="single" w:sz="4" w:space="0" w:color="auto"/>
              <w:right w:val="single" w:sz="4" w:space="0" w:color="auto"/>
            </w:tcBorders>
            <w:shd w:val="clear" w:color="000000" w:fill="305496"/>
            <w:vAlign w:val="center"/>
            <w:hideMark/>
          </w:tcPr>
          <w:p w14:paraId="18438FC7" w14:textId="77777777" w:rsidR="009D4D51" w:rsidRPr="009D4D51" w:rsidRDefault="009D4D51" w:rsidP="00234CBE">
            <w:pPr>
              <w:spacing w:line="276" w:lineRule="auto"/>
              <w:jc w:val="center"/>
              <w:rPr>
                <w:rFonts w:ascii="Book Antiqua" w:hAnsi="Book Antiqua" w:cs="Calibri"/>
                <w:b/>
                <w:bCs/>
                <w:color w:val="FFFFFF"/>
                <w:sz w:val="16"/>
                <w:szCs w:val="16"/>
                <w:lang w:eastAsia="es-CR"/>
              </w:rPr>
            </w:pPr>
            <w:r w:rsidRPr="009D4D51">
              <w:rPr>
                <w:rFonts w:ascii="Book Antiqua" w:hAnsi="Book Antiqua" w:cs="Calibri"/>
                <w:b/>
                <w:bCs/>
                <w:color w:val="FFFFFF"/>
                <w:sz w:val="16"/>
                <w:szCs w:val="16"/>
                <w:lang w:eastAsia="es-CR"/>
              </w:rPr>
              <w:t>Promedio mensual 2019</w:t>
            </w:r>
          </w:p>
        </w:tc>
        <w:tc>
          <w:tcPr>
            <w:tcW w:w="1133" w:type="dxa"/>
            <w:tcBorders>
              <w:top w:val="single" w:sz="4" w:space="0" w:color="auto"/>
              <w:left w:val="nil"/>
              <w:bottom w:val="single" w:sz="4" w:space="0" w:color="auto"/>
              <w:right w:val="single" w:sz="4" w:space="0" w:color="auto"/>
            </w:tcBorders>
            <w:shd w:val="clear" w:color="000000" w:fill="305496"/>
            <w:vAlign w:val="center"/>
            <w:hideMark/>
          </w:tcPr>
          <w:p w14:paraId="72EF81D5" w14:textId="77777777" w:rsidR="009D4D51" w:rsidRPr="009D4D51" w:rsidRDefault="009D4D51" w:rsidP="00234CBE">
            <w:pPr>
              <w:spacing w:line="276" w:lineRule="auto"/>
              <w:jc w:val="center"/>
              <w:rPr>
                <w:rFonts w:ascii="Book Antiqua" w:hAnsi="Book Antiqua" w:cs="Calibri"/>
                <w:b/>
                <w:bCs/>
                <w:color w:val="FFFFFF"/>
                <w:sz w:val="16"/>
                <w:szCs w:val="16"/>
                <w:lang w:eastAsia="es-CR"/>
              </w:rPr>
            </w:pPr>
            <w:r w:rsidRPr="009D4D51">
              <w:rPr>
                <w:rFonts w:ascii="Book Antiqua" w:hAnsi="Book Antiqua" w:cs="Calibri"/>
                <w:b/>
                <w:bCs/>
                <w:color w:val="FFFFFF"/>
                <w:sz w:val="16"/>
                <w:szCs w:val="16"/>
                <w:lang w:eastAsia="es-CR"/>
              </w:rPr>
              <w:t>Promedio mensual 2020</w:t>
            </w:r>
          </w:p>
        </w:tc>
        <w:tc>
          <w:tcPr>
            <w:tcW w:w="1133" w:type="dxa"/>
            <w:tcBorders>
              <w:top w:val="single" w:sz="4" w:space="0" w:color="auto"/>
              <w:left w:val="nil"/>
              <w:bottom w:val="single" w:sz="4" w:space="0" w:color="auto"/>
              <w:right w:val="single" w:sz="4" w:space="0" w:color="auto"/>
            </w:tcBorders>
            <w:shd w:val="clear" w:color="000000" w:fill="305496"/>
            <w:vAlign w:val="center"/>
            <w:hideMark/>
          </w:tcPr>
          <w:p w14:paraId="6954BF96" w14:textId="77777777" w:rsidR="009D4D51" w:rsidRPr="009D4D51" w:rsidRDefault="009D4D51" w:rsidP="00234CBE">
            <w:pPr>
              <w:spacing w:line="276" w:lineRule="auto"/>
              <w:jc w:val="center"/>
              <w:rPr>
                <w:rFonts w:ascii="Book Antiqua" w:hAnsi="Book Antiqua" w:cs="Calibri"/>
                <w:b/>
                <w:bCs/>
                <w:color w:val="FFFFFF"/>
                <w:sz w:val="16"/>
                <w:szCs w:val="16"/>
                <w:lang w:eastAsia="es-CR"/>
              </w:rPr>
            </w:pPr>
            <w:r w:rsidRPr="009D4D51">
              <w:rPr>
                <w:rFonts w:ascii="Book Antiqua" w:hAnsi="Book Antiqua" w:cs="Calibri"/>
                <w:b/>
                <w:bCs/>
                <w:color w:val="FFFFFF"/>
                <w:sz w:val="16"/>
                <w:szCs w:val="16"/>
                <w:lang w:eastAsia="es-CR"/>
              </w:rPr>
              <w:t>Promedio mensual 2021</w:t>
            </w:r>
          </w:p>
        </w:tc>
        <w:tc>
          <w:tcPr>
            <w:tcW w:w="1142" w:type="dxa"/>
            <w:tcBorders>
              <w:top w:val="single" w:sz="4" w:space="0" w:color="auto"/>
              <w:left w:val="nil"/>
              <w:bottom w:val="single" w:sz="4" w:space="0" w:color="auto"/>
              <w:right w:val="single" w:sz="4" w:space="0" w:color="auto"/>
            </w:tcBorders>
            <w:shd w:val="clear" w:color="000000" w:fill="305496"/>
            <w:vAlign w:val="center"/>
            <w:hideMark/>
          </w:tcPr>
          <w:p w14:paraId="7346DD64" w14:textId="77777777" w:rsidR="009D4D51" w:rsidRPr="009D4D51" w:rsidRDefault="009D4D51" w:rsidP="00234CBE">
            <w:pPr>
              <w:spacing w:line="276" w:lineRule="auto"/>
              <w:jc w:val="center"/>
              <w:rPr>
                <w:rFonts w:ascii="Book Antiqua" w:hAnsi="Book Antiqua" w:cs="Calibri"/>
                <w:b/>
                <w:bCs/>
                <w:color w:val="FFFFFF"/>
                <w:sz w:val="16"/>
                <w:szCs w:val="16"/>
                <w:lang w:eastAsia="es-CR"/>
              </w:rPr>
            </w:pPr>
            <w:r w:rsidRPr="009D4D51">
              <w:rPr>
                <w:rFonts w:ascii="Book Antiqua" w:hAnsi="Book Antiqua" w:cs="Calibri"/>
                <w:b/>
                <w:bCs/>
                <w:color w:val="FFFFFF"/>
                <w:sz w:val="16"/>
                <w:szCs w:val="16"/>
                <w:lang w:eastAsia="es-CR"/>
              </w:rPr>
              <w:t>Diferencia 2021vs 2019</w:t>
            </w:r>
          </w:p>
        </w:tc>
        <w:tc>
          <w:tcPr>
            <w:tcW w:w="1142" w:type="dxa"/>
            <w:tcBorders>
              <w:top w:val="single" w:sz="4" w:space="0" w:color="auto"/>
              <w:left w:val="nil"/>
              <w:bottom w:val="single" w:sz="4" w:space="0" w:color="auto"/>
              <w:right w:val="single" w:sz="4" w:space="0" w:color="auto"/>
            </w:tcBorders>
            <w:shd w:val="clear" w:color="000000" w:fill="305496"/>
            <w:vAlign w:val="center"/>
            <w:hideMark/>
          </w:tcPr>
          <w:p w14:paraId="00A847DB" w14:textId="77777777" w:rsidR="009D4D51" w:rsidRPr="009D4D51" w:rsidRDefault="009D4D51" w:rsidP="00234CBE">
            <w:pPr>
              <w:spacing w:line="276" w:lineRule="auto"/>
              <w:jc w:val="center"/>
              <w:rPr>
                <w:rFonts w:ascii="Book Antiqua" w:hAnsi="Book Antiqua" w:cs="Calibri"/>
                <w:b/>
                <w:bCs/>
                <w:color w:val="FFFFFF"/>
                <w:sz w:val="16"/>
                <w:szCs w:val="16"/>
                <w:lang w:eastAsia="es-CR"/>
              </w:rPr>
            </w:pPr>
            <w:r w:rsidRPr="009D4D51">
              <w:rPr>
                <w:rFonts w:ascii="Book Antiqua" w:hAnsi="Book Antiqua" w:cs="Calibri"/>
                <w:b/>
                <w:bCs/>
                <w:color w:val="FFFFFF"/>
                <w:sz w:val="16"/>
                <w:szCs w:val="16"/>
                <w:lang w:eastAsia="es-CR"/>
              </w:rPr>
              <w:t>Diferencia 2021vs 2020</w:t>
            </w:r>
          </w:p>
        </w:tc>
      </w:tr>
      <w:tr w:rsidR="009D4D51" w:rsidRPr="009D4D51" w14:paraId="529017F5" w14:textId="77777777" w:rsidTr="005E39B1">
        <w:trPr>
          <w:trHeight w:val="290"/>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784D1F01" w14:textId="77777777" w:rsidR="009D4D51" w:rsidRPr="009D4D51" w:rsidRDefault="009D4D51" w:rsidP="00234CBE">
            <w:pPr>
              <w:spacing w:line="276" w:lineRule="auto"/>
              <w:rPr>
                <w:rFonts w:ascii="Book Antiqua" w:hAnsi="Book Antiqua" w:cs="Calibri"/>
                <w:b/>
                <w:bCs/>
                <w:color w:val="000000"/>
                <w:sz w:val="16"/>
                <w:szCs w:val="16"/>
                <w:lang w:eastAsia="es-CR"/>
              </w:rPr>
            </w:pPr>
            <w:r w:rsidRPr="009D4D51">
              <w:rPr>
                <w:rFonts w:ascii="Book Antiqua" w:hAnsi="Book Antiqua" w:cs="Calibri"/>
                <w:b/>
                <w:bCs/>
                <w:color w:val="000000"/>
                <w:sz w:val="16"/>
                <w:szCs w:val="16"/>
                <w:lang w:eastAsia="es-CR"/>
              </w:rPr>
              <w:t>TOTAL</w:t>
            </w:r>
          </w:p>
        </w:tc>
        <w:tc>
          <w:tcPr>
            <w:tcW w:w="1133" w:type="dxa"/>
            <w:tcBorders>
              <w:top w:val="nil"/>
              <w:left w:val="nil"/>
              <w:bottom w:val="single" w:sz="4" w:space="0" w:color="auto"/>
              <w:right w:val="single" w:sz="4" w:space="0" w:color="auto"/>
            </w:tcBorders>
            <w:shd w:val="clear" w:color="auto" w:fill="auto"/>
            <w:noWrap/>
            <w:vAlign w:val="center"/>
            <w:hideMark/>
          </w:tcPr>
          <w:p w14:paraId="41AB6CCA" w14:textId="77777777" w:rsidR="009D4D51" w:rsidRPr="009D4D51" w:rsidRDefault="009D4D51" w:rsidP="00234CBE">
            <w:pPr>
              <w:spacing w:line="276" w:lineRule="auto"/>
              <w:jc w:val="center"/>
              <w:rPr>
                <w:rFonts w:ascii="Book Antiqua" w:hAnsi="Book Antiqua" w:cs="Calibri"/>
                <w:b/>
                <w:bCs/>
                <w:color w:val="000000"/>
                <w:sz w:val="16"/>
                <w:szCs w:val="16"/>
                <w:lang w:eastAsia="es-CR"/>
              </w:rPr>
            </w:pPr>
            <w:r w:rsidRPr="009D4D51">
              <w:rPr>
                <w:rFonts w:ascii="Book Antiqua" w:hAnsi="Book Antiqua" w:cs="Calibri"/>
                <w:b/>
                <w:bCs/>
                <w:color w:val="000000"/>
                <w:sz w:val="16"/>
                <w:szCs w:val="16"/>
                <w:lang w:eastAsia="es-CR"/>
              </w:rPr>
              <w:t>69295</w:t>
            </w:r>
          </w:p>
        </w:tc>
        <w:tc>
          <w:tcPr>
            <w:tcW w:w="1133" w:type="dxa"/>
            <w:tcBorders>
              <w:top w:val="nil"/>
              <w:left w:val="nil"/>
              <w:bottom w:val="single" w:sz="4" w:space="0" w:color="auto"/>
              <w:right w:val="single" w:sz="4" w:space="0" w:color="auto"/>
            </w:tcBorders>
            <w:shd w:val="clear" w:color="auto" w:fill="auto"/>
            <w:noWrap/>
            <w:vAlign w:val="center"/>
            <w:hideMark/>
          </w:tcPr>
          <w:p w14:paraId="68794BEF" w14:textId="77777777" w:rsidR="009D4D51" w:rsidRPr="009D4D51" w:rsidRDefault="009D4D51" w:rsidP="00234CBE">
            <w:pPr>
              <w:spacing w:line="276" w:lineRule="auto"/>
              <w:jc w:val="center"/>
              <w:rPr>
                <w:rFonts w:ascii="Book Antiqua" w:hAnsi="Book Antiqua" w:cs="Calibri"/>
                <w:b/>
                <w:bCs/>
                <w:color w:val="000000"/>
                <w:sz w:val="16"/>
                <w:szCs w:val="16"/>
                <w:lang w:eastAsia="es-CR"/>
              </w:rPr>
            </w:pPr>
            <w:r w:rsidRPr="009D4D51">
              <w:rPr>
                <w:rFonts w:ascii="Book Antiqua" w:hAnsi="Book Antiqua" w:cs="Calibri"/>
                <w:b/>
                <w:bCs/>
                <w:color w:val="000000"/>
                <w:sz w:val="16"/>
                <w:szCs w:val="16"/>
                <w:lang w:eastAsia="es-CR"/>
              </w:rPr>
              <w:t>57284</w:t>
            </w:r>
          </w:p>
        </w:tc>
        <w:tc>
          <w:tcPr>
            <w:tcW w:w="1133" w:type="dxa"/>
            <w:tcBorders>
              <w:top w:val="nil"/>
              <w:left w:val="nil"/>
              <w:bottom w:val="single" w:sz="4" w:space="0" w:color="auto"/>
              <w:right w:val="single" w:sz="4" w:space="0" w:color="auto"/>
            </w:tcBorders>
            <w:shd w:val="clear" w:color="auto" w:fill="auto"/>
            <w:noWrap/>
            <w:vAlign w:val="center"/>
            <w:hideMark/>
          </w:tcPr>
          <w:p w14:paraId="106305C4" w14:textId="77777777" w:rsidR="009D4D51" w:rsidRPr="009D4D51" w:rsidRDefault="009D4D51" w:rsidP="00234CBE">
            <w:pPr>
              <w:spacing w:line="276" w:lineRule="auto"/>
              <w:jc w:val="center"/>
              <w:rPr>
                <w:rFonts w:ascii="Book Antiqua" w:hAnsi="Book Antiqua" w:cs="Calibri"/>
                <w:b/>
                <w:bCs/>
                <w:color w:val="000000"/>
                <w:sz w:val="16"/>
                <w:szCs w:val="16"/>
                <w:lang w:eastAsia="es-CR"/>
              </w:rPr>
            </w:pPr>
            <w:r w:rsidRPr="009D4D51">
              <w:rPr>
                <w:rFonts w:ascii="Book Antiqua" w:hAnsi="Book Antiqua" w:cs="Calibri"/>
                <w:b/>
                <w:bCs/>
                <w:color w:val="000000"/>
                <w:sz w:val="16"/>
                <w:szCs w:val="16"/>
                <w:lang w:eastAsia="es-CR"/>
              </w:rPr>
              <w:t>58314</w:t>
            </w:r>
          </w:p>
        </w:tc>
        <w:tc>
          <w:tcPr>
            <w:tcW w:w="1142" w:type="dxa"/>
            <w:tcBorders>
              <w:top w:val="nil"/>
              <w:left w:val="nil"/>
              <w:bottom w:val="single" w:sz="4" w:space="0" w:color="auto"/>
              <w:right w:val="single" w:sz="4" w:space="0" w:color="auto"/>
            </w:tcBorders>
            <w:shd w:val="clear" w:color="auto" w:fill="auto"/>
            <w:noWrap/>
            <w:vAlign w:val="center"/>
            <w:hideMark/>
          </w:tcPr>
          <w:p w14:paraId="41E0DFEF" w14:textId="77777777" w:rsidR="009D4D51" w:rsidRPr="009D4D51" w:rsidRDefault="009D4D51" w:rsidP="00234CBE">
            <w:pPr>
              <w:spacing w:line="276" w:lineRule="auto"/>
              <w:jc w:val="center"/>
              <w:rPr>
                <w:rFonts w:ascii="Book Antiqua" w:hAnsi="Book Antiqua" w:cs="Calibri"/>
                <w:b/>
                <w:bCs/>
                <w:color w:val="000000"/>
                <w:sz w:val="16"/>
                <w:szCs w:val="16"/>
                <w:lang w:eastAsia="es-CR"/>
              </w:rPr>
            </w:pPr>
            <w:r w:rsidRPr="009D4D51">
              <w:rPr>
                <w:rFonts w:ascii="Book Antiqua" w:hAnsi="Book Antiqua" w:cs="Calibri"/>
                <w:b/>
                <w:bCs/>
                <w:color w:val="000000"/>
                <w:sz w:val="16"/>
                <w:szCs w:val="16"/>
                <w:lang w:eastAsia="es-CR"/>
              </w:rPr>
              <w:t>-15,85%</w:t>
            </w:r>
          </w:p>
        </w:tc>
        <w:tc>
          <w:tcPr>
            <w:tcW w:w="1142" w:type="dxa"/>
            <w:tcBorders>
              <w:top w:val="nil"/>
              <w:left w:val="nil"/>
              <w:bottom w:val="single" w:sz="4" w:space="0" w:color="auto"/>
              <w:right w:val="single" w:sz="4" w:space="0" w:color="auto"/>
            </w:tcBorders>
            <w:shd w:val="clear" w:color="auto" w:fill="auto"/>
            <w:noWrap/>
            <w:vAlign w:val="center"/>
            <w:hideMark/>
          </w:tcPr>
          <w:p w14:paraId="6AFBA259" w14:textId="77777777" w:rsidR="009D4D51" w:rsidRPr="009D4D51" w:rsidRDefault="009D4D51" w:rsidP="00234CBE">
            <w:pPr>
              <w:spacing w:line="276" w:lineRule="auto"/>
              <w:jc w:val="center"/>
              <w:rPr>
                <w:rFonts w:ascii="Book Antiqua" w:hAnsi="Book Antiqua" w:cs="Calibri"/>
                <w:b/>
                <w:bCs/>
                <w:color w:val="000000"/>
                <w:sz w:val="16"/>
                <w:szCs w:val="16"/>
                <w:lang w:eastAsia="es-CR"/>
              </w:rPr>
            </w:pPr>
            <w:r w:rsidRPr="009D4D51">
              <w:rPr>
                <w:rFonts w:ascii="Book Antiqua" w:hAnsi="Book Antiqua" w:cs="Calibri"/>
                <w:b/>
                <w:bCs/>
                <w:color w:val="000000"/>
                <w:sz w:val="16"/>
                <w:szCs w:val="16"/>
                <w:lang w:eastAsia="es-CR"/>
              </w:rPr>
              <w:t>1,80%</w:t>
            </w:r>
          </w:p>
        </w:tc>
      </w:tr>
      <w:tr w:rsidR="009D4D51" w:rsidRPr="009D4D51" w14:paraId="307F4FC3" w14:textId="77777777" w:rsidTr="005E39B1">
        <w:trPr>
          <w:trHeight w:val="290"/>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7CF3F3EF" w14:textId="77777777" w:rsidR="009D4D51" w:rsidRPr="009D4D51" w:rsidRDefault="009D4D51" w:rsidP="00234CBE">
            <w:pPr>
              <w:spacing w:line="276" w:lineRule="auto"/>
              <w:rPr>
                <w:rFonts w:ascii="Book Antiqua" w:hAnsi="Book Antiqua" w:cs="Calibri"/>
                <w:b/>
                <w:bCs/>
                <w:color w:val="000000"/>
                <w:sz w:val="16"/>
                <w:szCs w:val="16"/>
                <w:lang w:eastAsia="es-CR"/>
              </w:rPr>
            </w:pPr>
            <w:r w:rsidRPr="009D4D51">
              <w:rPr>
                <w:rFonts w:ascii="Book Antiqua" w:hAnsi="Book Antiqua" w:cs="Calibri"/>
                <w:b/>
                <w:bCs/>
                <w:color w:val="000000"/>
                <w:sz w:val="16"/>
                <w:szCs w:val="16"/>
                <w:lang w:eastAsia="es-CR"/>
              </w:rPr>
              <w:t>II Instancia y Casación</w:t>
            </w:r>
          </w:p>
        </w:tc>
        <w:tc>
          <w:tcPr>
            <w:tcW w:w="1133" w:type="dxa"/>
            <w:tcBorders>
              <w:top w:val="nil"/>
              <w:left w:val="nil"/>
              <w:bottom w:val="single" w:sz="4" w:space="0" w:color="auto"/>
              <w:right w:val="single" w:sz="4" w:space="0" w:color="auto"/>
            </w:tcBorders>
            <w:shd w:val="clear" w:color="auto" w:fill="auto"/>
            <w:noWrap/>
            <w:vAlign w:val="center"/>
            <w:hideMark/>
          </w:tcPr>
          <w:p w14:paraId="35E2012D" w14:textId="77777777" w:rsidR="009D4D51" w:rsidRPr="009D4D51" w:rsidRDefault="009D4D51" w:rsidP="00234CBE">
            <w:pPr>
              <w:spacing w:line="276" w:lineRule="auto"/>
              <w:jc w:val="center"/>
              <w:rPr>
                <w:rFonts w:ascii="Book Antiqua" w:hAnsi="Book Antiqua" w:cs="Calibri"/>
                <w:b/>
                <w:bCs/>
                <w:color w:val="000000"/>
                <w:sz w:val="16"/>
                <w:szCs w:val="16"/>
                <w:lang w:eastAsia="es-CR"/>
              </w:rPr>
            </w:pPr>
            <w:r w:rsidRPr="009D4D51">
              <w:rPr>
                <w:rFonts w:ascii="Book Antiqua" w:hAnsi="Book Antiqua" w:cs="Calibri"/>
                <w:b/>
                <w:bCs/>
                <w:color w:val="000000"/>
                <w:sz w:val="16"/>
                <w:szCs w:val="16"/>
                <w:lang w:eastAsia="es-CR"/>
              </w:rPr>
              <w:t>5568</w:t>
            </w:r>
          </w:p>
        </w:tc>
        <w:tc>
          <w:tcPr>
            <w:tcW w:w="1133" w:type="dxa"/>
            <w:tcBorders>
              <w:top w:val="nil"/>
              <w:left w:val="nil"/>
              <w:bottom w:val="single" w:sz="4" w:space="0" w:color="auto"/>
              <w:right w:val="single" w:sz="4" w:space="0" w:color="auto"/>
            </w:tcBorders>
            <w:shd w:val="clear" w:color="auto" w:fill="auto"/>
            <w:noWrap/>
            <w:vAlign w:val="center"/>
            <w:hideMark/>
          </w:tcPr>
          <w:p w14:paraId="3A53DDCF" w14:textId="77777777" w:rsidR="009D4D51" w:rsidRPr="009D4D51" w:rsidRDefault="009D4D51" w:rsidP="00234CBE">
            <w:pPr>
              <w:spacing w:line="276" w:lineRule="auto"/>
              <w:jc w:val="center"/>
              <w:rPr>
                <w:rFonts w:ascii="Book Antiqua" w:hAnsi="Book Antiqua" w:cs="Calibri"/>
                <w:b/>
                <w:bCs/>
                <w:color w:val="000000"/>
                <w:sz w:val="16"/>
                <w:szCs w:val="16"/>
                <w:lang w:eastAsia="es-CR"/>
              </w:rPr>
            </w:pPr>
            <w:r w:rsidRPr="009D4D51">
              <w:rPr>
                <w:rFonts w:ascii="Book Antiqua" w:hAnsi="Book Antiqua" w:cs="Calibri"/>
                <w:b/>
                <w:bCs/>
                <w:color w:val="000000"/>
                <w:sz w:val="16"/>
                <w:szCs w:val="16"/>
                <w:lang w:eastAsia="es-CR"/>
              </w:rPr>
              <w:t>4653</w:t>
            </w:r>
          </w:p>
        </w:tc>
        <w:tc>
          <w:tcPr>
            <w:tcW w:w="1133" w:type="dxa"/>
            <w:tcBorders>
              <w:top w:val="nil"/>
              <w:left w:val="nil"/>
              <w:bottom w:val="single" w:sz="4" w:space="0" w:color="auto"/>
              <w:right w:val="single" w:sz="4" w:space="0" w:color="auto"/>
            </w:tcBorders>
            <w:shd w:val="clear" w:color="auto" w:fill="auto"/>
            <w:noWrap/>
            <w:vAlign w:val="center"/>
            <w:hideMark/>
          </w:tcPr>
          <w:p w14:paraId="3E712C76" w14:textId="77777777" w:rsidR="009D4D51" w:rsidRPr="009D4D51" w:rsidRDefault="009D4D51" w:rsidP="00234CBE">
            <w:pPr>
              <w:spacing w:line="276" w:lineRule="auto"/>
              <w:jc w:val="center"/>
              <w:rPr>
                <w:rFonts w:ascii="Book Antiqua" w:hAnsi="Book Antiqua" w:cs="Calibri"/>
                <w:b/>
                <w:bCs/>
                <w:color w:val="000000"/>
                <w:sz w:val="16"/>
                <w:szCs w:val="16"/>
                <w:lang w:eastAsia="es-CR"/>
              </w:rPr>
            </w:pPr>
            <w:r w:rsidRPr="009D4D51">
              <w:rPr>
                <w:rFonts w:ascii="Book Antiqua" w:hAnsi="Book Antiqua" w:cs="Calibri"/>
                <w:b/>
                <w:bCs/>
                <w:color w:val="000000"/>
                <w:sz w:val="16"/>
                <w:szCs w:val="16"/>
                <w:lang w:eastAsia="es-CR"/>
              </w:rPr>
              <w:t>5079</w:t>
            </w:r>
          </w:p>
        </w:tc>
        <w:tc>
          <w:tcPr>
            <w:tcW w:w="1142" w:type="dxa"/>
            <w:tcBorders>
              <w:top w:val="nil"/>
              <w:left w:val="nil"/>
              <w:bottom w:val="single" w:sz="4" w:space="0" w:color="auto"/>
              <w:right w:val="single" w:sz="4" w:space="0" w:color="auto"/>
            </w:tcBorders>
            <w:shd w:val="clear" w:color="auto" w:fill="auto"/>
            <w:noWrap/>
            <w:vAlign w:val="center"/>
            <w:hideMark/>
          </w:tcPr>
          <w:p w14:paraId="16C371AD" w14:textId="77777777" w:rsidR="009D4D51" w:rsidRPr="009D4D51" w:rsidRDefault="009D4D51" w:rsidP="00234CBE">
            <w:pPr>
              <w:spacing w:line="276" w:lineRule="auto"/>
              <w:jc w:val="center"/>
              <w:rPr>
                <w:rFonts w:ascii="Book Antiqua" w:hAnsi="Book Antiqua" w:cs="Calibri"/>
                <w:b/>
                <w:bCs/>
                <w:color w:val="000000"/>
                <w:sz w:val="16"/>
                <w:szCs w:val="16"/>
                <w:lang w:eastAsia="es-CR"/>
              </w:rPr>
            </w:pPr>
            <w:r w:rsidRPr="009D4D51">
              <w:rPr>
                <w:rFonts w:ascii="Book Antiqua" w:hAnsi="Book Antiqua" w:cs="Calibri"/>
                <w:b/>
                <w:bCs/>
                <w:color w:val="000000"/>
                <w:sz w:val="16"/>
                <w:szCs w:val="16"/>
                <w:lang w:eastAsia="es-CR"/>
              </w:rPr>
              <w:t>-8,79%</w:t>
            </w:r>
          </w:p>
        </w:tc>
        <w:tc>
          <w:tcPr>
            <w:tcW w:w="1142" w:type="dxa"/>
            <w:tcBorders>
              <w:top w:val="nil"/>
              <w:left w:val="nil"/>
              <w:bottom w:val="single" w:sz="4" w:space="0" w:color="auto"/>
              <w:right w:val="single" w:sz="4" w:space="0" w:color="auto"/>
            </w:tcBorders>
            <w:shd w:val="clear" w:color="auto" w:fill="auto"/>
            <w:noWrap/>
            <w:vAlign w:val="center"/>
            <w:hideMark/>
          </w:tcPr>
          <w:p w14:paraId="62ECC646" w14:textId="77777777" w:rsidR="009D4D51" w:rsidRPr="009D4D51" w:rsidRDefault="009D4D51" w:rsidP="00234CBE">
            <w:pPr>
              <w:spacing w:line="276" w:lineRule="auto"/>
              <w:jc w:val="center"/>
              <w:rPr>
                <w:rFonts w:ascii="Book Antiqua" w:hAnsi="Book Antiqua" w:cs="Calibri"/>
                <w:b/>
                <w:bCs/>
                <w:color w:val="000000"/>
                <w:sz w:val="16"/>
                <w:szCs w:val="16"/>
                <w:lang w:eastAsia="es-CR"/>
              </w:rPr>
            </w:pPr>
            <w:r w:rsidRPr="009D4D51">
              <w:rPr>
                <w:rFonts w:ascii="Book Antiqua" w:hAnsi="Book Antiqua" w:cs="Calibri"/>
                <w:b/>
                <w:bCs/>
                <w:color w:val="000000"/>
                <w:sz w:val="16"/>
                <w:szCs w:val="16"/>
                <w:lang w:eastAsia="es-CR"/>
              </w:rPr>
              <w:t>9,14%</w:t>
            </w:r>
          </w:p>
        </w:tc>
      </w:tr>
      <w:tr w:rsidR="009D4D51" w:rsidRPr="009D4D51" w14:paraId="56D3B860" w14:textId="77777777" w:rsidTr="005E39B1">
        <w:trPr>
          <w:trHeight w:val="290"/>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1F23A7A3" w14:textId="79E3D0D9" w:rsidR="009D4D51" w:rsidRPr="009D4D51" w:rsidRDefault="009D4D51" w:rsidP="00234CBE">
            <w:pPr>
              <w:spacing w:line="276" w:lineRule="auto"/>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lastRenderedPageBreak/>
              <w:t>Sala Primera</w:t>
            </w:r>
            <w:r w:rsidR="0084378A">
              <w:rPr>
                <w:rFonts w:ascii="Book Antiqua" w:hAnsi="Book Antiqua" w:cs="Calibri"/>
                <w:color w:val="000000"/>
                <w:sz w:val="16"/>
                <w:szCs w:val="16"/>
                <w:lang w:eastAsia="es-CR"/>
              </w:rPr>
              <w:t xml:space="preserve"> (Afectada entrada por competencias de Cobro en 2019)</w:t>
            </w:r>
          </w:p>
        </w:tc>
        <w:tc>
          <w:tcPr>
            <w:tcW w:w="1133" w:type="dxa"/>
            <w:tcBorders>
              <w:top w:val="nil"/>
              <w:left w:val="nil"/>
              <w:bottom w:val="single" w:sz="4" w:space="0" w:color="auto"/>
              <w:right w:val="single" w:sz="4" w:space="0" w:color="auto"/>
            </w:tcBorders>
            <w:shd w:val="clear" w:color="auto" w:fill="auto"/>
            <w:noWrap/>
            <w:vAlign w:val="center"/>
            <w:hideMark/>
          </w:tcPr>
          <w:p w14:paraId="35E2C9BE"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651</w:t>
            </w:r>
          </w:p>
        </w:tc>
        <w:tc>
          <w:tcPr>
            <w:tcW w:w="1133" w:type="dxa"/>
            <w:tcBorders>
              <w:top w:val="nil"/>
              <w:left w:val="nil"/>
              <w:bottom w:val="single" w:sz="4" w:space="0" w:color="auto"/>
              <w:right w:val="single" w:sz="4" w:space="0" w:color="auto"/>
            </w:tcBorders>
            <w:shd w:val="clear" w:color="auto" w:fill="auto"/>
            <w:noWrap/>
            <w:vAlign w:val="center"/>
            <w:hideMark/>
          </w:tcPr>
          <w:p w14:paraId="58625A55"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170</w:t>
            </w:r>
          </w:p>
        </w:tc>
        <w:tc>
          <w:tcPr>
            <w:tcW w:w="1133" w:type="dxa"/>
            <w:tcBorders>
              <w:top w:val="nil"/>
              <w:left w:val="nil"/>
              <w:bottom w:val="single" w:sz="4" w:space="0" w:color="auto"/>
              <w:right w:val="single" w:sz="4" w:space="0" w:color="auto"/>
            </w:tcBorders>
            <w:shd w:val="clear" w:color="auto" w:fill="auto"/>
            <w:noWrap/>
            <w:vAlign w:val="center"/>
            <w:hideMark/>
          </w:tcPr>
          <w:p w14:paraId="503066B0"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140</w:t>
            </w:r>
          </w:p>
        </w:tc>
        <w:tc>
          <w:tcPr>
            <w:tcW w:w="1142" w:type="dxa"/>
            <w:tcBorders>
              <w:top w:val="nil"/>
              <w:left w:val="nil"/>
              <w:bottom w:val="single" w:sz="4" w:space="0" w:color="auto"/>
              <w:right w:val="single" w:sz="4" w:space="0" w:color="auto"/>
            </w:tcBorders>
            <w:shd w:val="clear" w:color="auto" w:fill="auto"/>
            <w:noWrap/>
            <w:vAlign w:val="center"/>
            <w:hideMark/>
          </w:tcPr>
          <w:p w14:paraId="6BE058C8"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-78,43%</w:t>
            </w:r>
          </w:p>
        </w:tc>
        <w:tc>
          <w:tcPr>
            <w:tcW w:w="1142" w:type="dxa"/>
            <w:tcBorders>
              <w:top w:val="nil"/>
              <w:left w:val="nil"/>
              <w:bottom w:val="single" w:sz="4" w:space="0" w:color="auto"/>
              <w:right w:val="single" w:sz="4" w:space="0" w:color="auto"/>
            </w:tcBorders>
            <w:shd w:val="clear" w:color="auto" w:fill="auto"/>
            <w:noWrap/>
            <w:vAlign w:val="center"/>
            <w:hideMark/>
          </w:tcPr>
          <w:p w14:paraId="18BAF19C"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-17,39%</w:t>
            </w:r>
          </w:p>
        </w:tc>
      </w:tr>
      <w:tr w:rsidR="009D4D51" w:rsidRPr="009D4D51" w14:paraId="444BCF73" w14:textId="77777777" w:rsidTr="005E39B1">
        <w:trPr>
          <w:trHeight w:val="290"/>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13551863" w14:textId="77777777" w:rsidR="009D4D51" w:rsidRPr="009D4D51" w:rsidRDefault="009D4D51" w:rsidP="00234CBE">
            <w:pPr>
              <w:spacing w:line="276" w:lineRule="auto"/>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 xml:space="preserve">Sala Primera-Tribunal de Casación </w:t>
            </w:r>
          </w:p>
        </w:tc>
        <w:tc>
          <w:tcPr>
            <w:tcW w:w="1133" w:type="dxa"/>
            <w:tcBorders>
              <w:top w:val="nil"/>
              <w:left w:val="nil"/>
              <w:bottom w:val="single" w:sz="4" w:space="0" w:color="auto"/>
              <w:right w:val="single" w:sz="4" w:space="0" w:color="auto"/>
            </w:tcBorders>
            <w:shd w:val="clear" w:color="auto" w:fill="auto"/>
            <w:noWrap/>
            <w:vAlign w:val="center"/>
            <w:hideMark/>
          </w:tcPr>
          <w:p w14:paraId="42955BD1"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23</w:t>
            </w:r>
          </w:p>
        </w:tc>
        <w:tc>
          <w:tcPr>
            <w:tcW w:w="1133" w:type="dxa"/>
            <w:tcBorders>
              <w:top w:val="nil"/>
              <w:left w:val="nil"/>
              <w:bottom w:val="single" w:sz="4" w:space="0" w:color="auto"/>
              <w:right w:val="single" w:sz="4" w:space="0" w:color="auto"/>
            </w:tcBorders>
            <w:shd w:val="clear" w:color="auto" w:fill="auto"/>
            <w:noWrap/>
            <w:vAlign w:val="center"/>
            <w:hideMark/>
          </w:tcPr>
          <w:p w14:paraId="76F03032"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21</w:t>
            </w:r>
          </w:p>
        </w:tc>
        <w:tc>
          <w:tcPr>
            <w:tcW w:w="1133" w:type="dxa"/>
            <w:tcBorders>
              <w:top w:val="nil"/>
              <w:left w:val="nil"/>
              <w:bottom w:val="single" w:sz="4" w:space="0" w:color="auto"/>
              <w:right w:val="single" w:sz="4" w:space="0" w:color="auto"/>
            </w:tcBorders>
            <w:shd w:val="clear" w:color="auto" w:fill="auto"/>
            <w:noWrap/>
            <w:vAlign w:val="center"/>
            <w:hideMark/>
          </w:tcPr>
          <w:p w14:paraId="7775F51B"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20</w:t>
            </w:r>
          </w:p>
        </w:tc>
        <w:tc>
          <w:tcPr>
            <w:tcW w:w="1142" w:type="dxa"/>
            <w:tcBorders>
              <w:top w:val="nil"/>
              <w:left w:val="nil"/>
              <w:bottom w:val="single" w:sz="4" w:space="0" w:color="auto"/>
              <w:right w:val="single" w:sz="4" w:space="0" w:color="auto"/>
            </w:tcBorders>
            <w:shd w:val="clear" w:color="auto" w:fill="auto"/>
            <w:noWrap/>
            <w:vAlign w:val="center"/>
            <w:hideMark/>
          </w:tcPr>
          <w:p w14:paraId="03491243"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-14,45%</w:t>
            </w:r>
          </w:p>
        </w:tc>
        <w:tc>
          <w:tcPr>
            <w:tcW w:w="1142" w:type="dxa"/>
            <w:tcBorders>
              <w:top w:val="nil"/>
              <w:left w:val="nil"/>
              <w:bottom w:val="single" w:sz="4" w:space="0" w:color="auto"/>
              <w:right w:val="single" w:sz="4" w:space="0" w:color="auto"/>
            </w:tcBorders>
            <w:shd w:val="clear" w:color="auto" w:fill="auto"/>
            <w:noWrap/>
            <w:vAlign w:val="center"/>
            <w:hideMark/>
          </w:tcPr>
          <w:p w14:paraId="254E34C9"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-2,60%</w:t>
            </w:r>
          </w:p>
        </w:tc>
      </w:tr>
      <w:tr w:rsidR="009D4D51" w:rsidRPr="009D4D51" w14:paraId="253DB5A3" w14:textId="77777777" w:rsidTr="005E39B1">
        <w:trPr>
          <w:trHeight w:val="290"/>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2B6243BF" w14:textId="77777777" w:rsidR="009D4D51" w:rsidRPr="009D4D51" w:rsidRDefault="009D4D51" w:rsidP="00234CBE">
            <w:pPr>
              <w:spacing w:line="276" w:lineRule="auto"/>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Sala Segunda</w:t>
            </w:r>
          </w:p>
        </w:tc>
        <w:tc>
          <w:tcPr>
            <w:tcW w:w="1133" w:type="dxa"/>
            <w:tcBorders>
              <w:top w:val="nil"/>
              <w:left w:val="nil"/>
              <w:bottom w:val="single" w:sz="4" w:space="0" w:color="auto"/>
              <w:right w:val="single" w:sz="4" w:space="0" w:color="auto"/>
            </w:tcBorders>
            <w:shd w:val="clear" w:color="auto" w:fill="auto"/>
            <w:noWrap/>
            <w:vAlign w:val="center"/>
            <w:hideMark/>
          </w:tcPr>
          <w:p w14:paraId="73CDCF79"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317</w:t>
            </w:r>
          </w:p>
        </w:tc>
        <w:tc>
          <w:tcPr>
            <w:tcW w:w="1133" w:type="dxa"/>
            <w:tcBorders>
              <w:top w:val="nil"/>
              <w:left w:val="nil"/>
              <w:bottom w:val="single" w:sz="4" w:space="0" w:color="auto"/>
              <w:right w:val="single" w:sz="4" w:space="0" w:color="auto"/>
            </w:tcBorders>
            <w:shd w:val="clear" w:color="auto" w:fill="auto"/>
            <w:noWrap/>
            <w:vAlign w:val="center"/>
            <w:hideMark/>
          </w:tcPr>
          <w:p w14:paraId="399D5409"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264</w:t>
            </w:r>
          </w:p>
        </w:tc>
        <w:tc>
          <w:tcPr>
            <w:tcW w:w="1133" w:type="dxa"/>
            <w:tcBorders>
              <w:top w:val="nil"/>
              <w:left w:val="nil"/>
              <w:bottom w:val="single" w:sz="4" w:space="0" w:color="auto"/>
              <w:right w:val="single" w:sz="4" w:space="0" w:color="auto"/>
            </w:tcBorders>
            <w:shd w:val="clear" w:color="auto" w:fill="auto"/>
            <w:noWrap/>
            <w:vAlign w:val="center"/>
            <w:hideMark/>
          </w:tcPr>
          <w:p w14:paraId="63ADB981"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261</w:t>
            </w:r>
          </w:p>
        </w:tc>
        <w:tc>
          <w:tcPr>
            <w:tcW w:w="1142" w:type="dxa"/>
            <w:tcBorders>
              <w:top w:val="nil"/>
              <w:left w:val="nil"/>
              <w:bottom w:val="single" w:sz="4" w:space="0" w:color="auto"/>
              <w:right w:val="single" w:sz="4" w:space="0" w:color="auto"/>
            </w:tcBorders>
            <w:shd w:val="clear" w:color="auto" w:fill="auto"/>
            <w:noWrap/>
            <w:vAlign w:val="center"/>
            <w:hideMark/>
          </w:tcPr>
          <w:p w14:paraId="1AB27AB5"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-17,65%</w:t>
            </w:r>
          </w:p>
        </w:tc>
        <w:tc>
          <w:tcPr>
            <w:tcW w:w="1142" w:type="dxa"/>
            <w:tcBorders>
              <w:top w:val="nil"/>
              <w:left w:val="nil"/>
              <w:bottom w:val="single" w:sz="4" w:space="0" w:color="auto"/>
              <w:right w:val="single" w:sz="4" w:space="0" w:color="auto"/>
            </w:tcBorders>
            <w:shd w:val="clear" w:color="auto" w:fill="auto"/>
            <w:noWrap/>
            <w:vAlign w:val="center"/>
            <w:hideMark/>
          </w:tcPr>
          <w:p w14:paraId="4C1A3A5C"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-1,20%</w:t>
            </w:r>
          </w:p>
        </w:tc>
      </w:tr>
      <w:tr w:rsidR="009D4D51" w:rsidRPr="009D4D51" w14:paraId="46BE1984" w14:textId="77777777" w:rsidTr="005E39B1">
        <w:trPr>
          <w:trHeight w:val="290"/>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4B6DFC5D" w14:textId="77777777" w:rsidR="009D4D51" w:rsidRPr="009D4D51" w:rsidRDefault="009D4D51" w:rsidP="00234CBE">
            <w:pPr>
              <w:spacing w:line="276" w:lineRule="auto"/>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Sala Tercera</w:t>
            </w:r>
          </w:p>
        </w:tc>
        <w:tc>
          <w:tcPr>
            <w:tcW w:w="1133" w:type="dxa"/>
            <w:tcBorders>
              <w:top w:val="nil"/>
              <w:left w:val="nil"/>
              <w:bottom w:val="single" w:sz="4" w:space="0" w:color="auto"/>
              <w:right w:val="single" w:sz="4" w:space="0" w:color="auto"/>
            </w:tcBorders>
            <w:shd w:val="clear" w:color="auto" w:fill="auto"/>
            <w:noWrap/>
            <w:vAlign w:val="center"/>
            <w:hideMark/>
          </w:tcPr>
          <w:p w14:paraId="557766EE"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111</w:t>
            </w:r>
          </w:p>
        </w:tc>
        <w:tc>
          <w:tcPr>
            <w:tcW w:w="1133" w:type="dxa"/>
            <w:tcBorders>
              <w:top w:val="nil"/>
              <w:left w:val="nil"/>
              <w:bottom w:val="single" w:sz="4" w:space="0" w:color="auto"/>
              <w:right w:val="single" w:sz="4" w:space="0" w:color="auto"/>
            </w:tcBorders>
            <w:shd w:val="clear" w:color="auto" w:fill="auto"/>
            <w:noWrap/>
            <w:vAlign w:val="center"/>
            <w:hideMark/>
          </w:tcPr>
          <w:p w14:paraId="60B4AEEC"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110</w:t>
            </w:r>
          </w:p>
        </w:tc>
        <w:tc>
          <w:tcPr>
            <w:tcW w:w="1133" w:type="dxa"/>
            <w:tcBorders>
              <w:top w:val="nil"/>
              <w:left w:val="nil"/>
              <w:bottom w:val="single" w:sz="4" w:space="0" w:color="auto"/>
              <w:right w:val="single" w:sz="4" w:space="0" w:color="auto"/>
            </w:tcBorders>
            <w:shd w:val="clear" w:color="auto" w:fill="auto"/>
            <w:noWrap/>
            <w:vAlign w:val="center"/>
            <w:hideMark/>
          </w:tcPr>
          <w:p w14:paraId="0EA7743F"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108</w:t>
            </w:r>
          </w:p>
        </w:tc>
        <w:tc>
          <w:tcPr>
            <w:tcW w:w="1142" w:type="dxa"/>
            <w:tcBorders>
              <w:top w:val="nil"/>
              <w:left w:val="nil"/>
              <w:bottom w:val="single" w:sz="4" w:space="0" w:color="auto"/>
              <w:right w:val="single" w:sz="4" w:space="0" w:color="auto"/>
            </w:tcBorders>
            <w:shd w:val="clear" w:color="auto" w:fill="auto"/>
            <w:noWrap/>
            <w:vAlign w:val="center"/>
            <w:hideMark/>
          </w:tcPr>
          <w:p w14:paraId="49234690"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-2,33%</w:t>
            </w:r>
          </w:p>
        </w:tc>
        <w:tc>
          <w:tcPr>
            <w:tcW w:w="1142" w:type="dxa"/>
            <w:tcBorders>
              <w:top w:val="nil"/>
              <w:left w:val="nil"/>
              <w:bottom w:val="single" w:sz="4" w:space="0" w:color="auto"/>
              <w:right w:val="single" w:sz="4" w:space="0" w:color="auto"/>
            </w:tcBorders>
            <w:shd w:val="clear" w:color="auto" w:fill="auto"/>
            <w:noWrap/>
            <w:vAlign w:val="center"/>
            <w:hideMark/>
          </w:tcPr>
          <w:p w14:paraId="6956EC8F"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-2,25%</w:t>
            </w:r>
          </w:p>
        </w:tc>
      </w:tr>
      <w:tr w:rsidR="009D4D51" w:rsidRPr="009D4D51" w14:paraId="7FBA2090" w14:textId="77777777" w:rsidTr="005E39B1">
        <w:trPr>
          <w:trHeight w:val="290"/>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05E5C88E" w14:textId="77777777" w:rsidR="009D4D51" w:rsidRPr="009D4D51" w:rsidRDefault="009D4D51" w:rsidP="00234CBE">
            <w:pPr>
              <w:spacing w:line="276" w:lineRule="auto"/>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Sala Tercera-Penal Juvenil</w:t>
            </w:r>
          </w:p>
        </w:tc>
        <w:tc>
          <w:tcPr>
            <w:tcW w:w="1133" w:type="dxa"/>
            <w:tcBorders>
              <w:top w:val="nil"/>
              <w:left w:val="nil"/>
              <w:bottom w:val="single" w:sz="4" w:space="0" w:color="auto"/>
              <w:right w:val="single" w:sz="4" w:space="0" w:color="auto"/>
            </w:tcBorders>
            <w:shd w:val="clear" w:color="auto" w:fill="auto"/>
            <w:noWrap/>
            <w:vAlign w:val="center"/>
            <w:hideMark/>
          </w:tcPr>
          <w:p w14:paraId="5B4B9CC4"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5</w:t>
            </w:r>
          </w:p>
        </w:tc>
        <w:tc>
          <w:tcPr>
            <w:tcW w:w="1133" w:type="dxa"/>
            <w:tcBorders>
              <w:top w:val="nil"/>
              <w:left w:val="nil"/>
              <w:bottom w:val="single" w:sz="4" w:space="0" w:color="auto"/>
              <w:right w:val="single" w:sz="4" w:space="0" w:color="auto"/>
            </w:tcBorders>
            <w:shd w:val="clear" w:color="auto" w:fill="auto"/>
            <w:noWrap/>
            <w:vAlign w:val="center"/>
            <w:hideMark/>
          </w:tcPr>
          <w:p w14:paraId="7EC9F958"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2</w:t>
            </w:r>
          </w:p>
        </w:tc>
        <w:tc>
          <w:tcPr>
            <w:tcW w:w="1133" w:type="dxa"/>
            <w:tcBorders>
              <w:top w:val="nil"/>
              <w:left w:val="nil"/>
              <w:bottom w:val="single" w:sz="4" w:space="0" w:color="auto"/>
              <w:right w:val="single" w:sz="4" w:space="0" w:color="auto"/>
            </w:tcBorders>
            <w:shd w:val="clear" w:color="auto" w:fill="auto"/>
            <w:noWrap/>
            <w:vAlign w:val="center"/>
            <w:hideMark/>
          </w:tcPr>
          <w:p w14:paraId="256FA59F"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4</w:t>
            </w:r>
          </w:p>
        </w:tc>
        <w:tc>
          <w:tcPr>
            <w:tcW w:w="1142" w:type="dxa"/>
            <w:tcBorders>
              <w:top w:val="nil"/>
              <w:left w:val="nil"/>
              <w:bottom w:val="single" w:sz="4" w:space="0" w:color="auto"/>
              <w:right w:val="single" w:sz="4" w:space="0" w:color="auto"/>
            </w:tcBorders>
            <w:shd w:val="clear" w:color="auto" w:fill="auto"/>
            <w:noWrap/>
            <w:vAlign w:val="center"/>
            <w:hideMark/>
          </w:tcPr>
          <w:p w14:paraId="473199F4"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-17,59%</w:t>
            </w:r>
          </w:p>
        </w:tc>
        <w:tc>
          <w:tcPr>
            <w:tcW w:w="1142" w:type="dxa"/>
            <w:tcBorders>
              <w:top w:val="nil"/>
              <w:left w:val="nil"/>
              <w:bottom w:val="single" w:sz="4" w:space="0" w:color="auto"/>
              <w:right w:val="single" w:sz="4" w:space="0" w:color="auto"/>
            </w:tcBorders>
            <w:shd w:val="clear" w:color="auto" w:fill="auto"/>
            <w:noWrap/>
            <w:vAlign w:val="center"/>
            <w:hideMark/>
          </w:tcPr>
          <w:p w14:paraId="54EC13A2"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74,71%</w:t>
            </w:r>
          </w:p>
        </w:tc>
      </w:tr>
      <w:tr w:rsidR="009D4D51" w:rsidRPr="009D4D51" w14:paraId="57333635" w14:textId="77777777" w:rsidTr="005E39B1">
        <w:trPr>
          <w:trHeight w:val="290"/>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2280380A" w14:textId="77777777" w:rsidR="009D4D51" w:rsidRPr="009D4D51" w:rsidRDefault="009D4D51" w:rsidP="00234CBE">
            <w:pPr>
              <w:spacing w:line="276" w:lineRule="auto"/>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Sala Constitucional</w:t>
            </w:r>
          </w:p>
        </w:tc>
        <w:tc>
          <w:tcPr>
            <w:tcW w:w="1133" w:type="dxa"/>
            <w:tcBorders>
              <w:top w:val="nil"/>
              <w:left w:val="nil"/>
              <w:bottom w:val="single" w:sz="4" w:space="0" w:color="auto"/>
              <w:right w:val="single" w:sz="4" w:space="0" w:color="auto"/>
            </w:tcBorders>
            <w:shd w:val="clear" w:color="auto" w:fill="auto"/>
            <w:noWrap/>
            <w:vAlign w:val="center"/>
            <w:hideMark/>
          </w:tcPr>
          <w:p w14:paraId="2BF297B3"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2142</w:t>
            </w:r>
          </w:p>
        </w:tc>
        <w:tc>
          <w:tcPr>
            <w:tcW w:w="1133" w:type="dxa"/>
            <w:tcBorders>
              <w:top w:val="nil"/>
              <w:left w:val="nil"/>
              <w:bottom w:val="single" w:sz="4" w:space="0" w:color="auto"/>
              <w:right w:val="single" w:sz="4" w:space="0" w:color="auto"/>
            </w:tcBorders>
            <w:shd w:val="clear" w:color="auto" w:fill="auto"/>
            <w:noWrap/>
            <w:vAlign w:val="center"/>
            <w:hideMark/>
          </w:tcPr>
          <w:p w14:paraId="14B26D1F"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2059</w:t>
            </w:r>
          </w:p>
        </w:tc>
        <w:tc>
          <w:tcPr>
            <w:tcW w:w="1133" w:type="dxa"/>
            <w:tcBorders>
              <w:top w:val="nil"/>
              <w:left w:val="nil"/>
              <w:bottom w:val="single" w:sz="4" w:space="0" w:color="auto"/>
              <w:right w:val="single" w:sz="4" w:space="0" w:color="auto"/>
            </w:tcBorders>
            <w:shd w:val="clear" w:color="auto" w:fill="auto"/>
            <w:noWrap/>
            <w:vAlign w:val="center"/>
            <w:hideMark/>
          </w:tcPr>
          <w:p w14:paraId="1C10EF7E"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2267</w:t>
            </w:r>
          </w:p>
        </w:tc>
        <w:tc>
          <w:tcPr>
            <w:tcW w:w="1142" w:type="dxa"/>
            <w:tcBorders>
              <w:top w:val="nil"/>
              <w:left w:val="nil"/>
              <w:bottom w:val="single" w:sz="4" w:space="0" w:color="auto"/>
              <w:right w:val="single" w:sz="4" w:space="0" w:color="auto"/>
            </w:tcBorders>
            <w:shd w:val="clear" w:color="auto" w:fill="auto"/>
            <w:noWrap/>
            <w:vAlign w:val="center"/>
            <w:hideMark/>
          </w:tcPr>
          <w:p w14:paraId="50C07536"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5,82%</w:t>
            </w:r>
          </w:p>
        </w:tc>
        <w:tc>
          <w:tcPr>
            <w:tcW w:w="1142" w:type="dxa"/>
            <w:tcBorders>
              <w:top w:val="nil"/>
              <w:left w:val="nil"/>
              <w:bottom w:val="single" w:sz="4" w:space="0" w:color="auto"/>
              <w:right w:val="single" w:sz="4" w:space="0" w:color="auto"/>
            </w:tcBorders>
            <w:shd w:val="clear" w:color="auto" w:fill="auto"/>
            <w:noWrap/>
            <w:vAlign w:val="center"/>
            <w:hideMark/>
          </w:tcPr>
          <w:p w14:paraId="025D7A8D"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10,08%</w:t>
            </w:r>
          </w:p>
        </w:tc>
      </w:tr>
      <w:tr w:rsidR="009D4D51" w:rsidRPr="009D4D51" w14:paraId="412BF036" w14:textId="77777777" w:rsidTr="005E39B1">
        <w:trPr>
          <w:trHeight w:val="290"/>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62B377EE" w14:textId="77777777" w:rsidR="009D4D51" w:rsidRPr="009D4D51" w:rsidRDefault="009D4D51" w:rsidP="00234CBE">
            <w:pPr>
              <w:spacing w:line="276" w:lineRule="auto"/>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Tribunal Apelación Sentencia Penal</w:t>
            </w:r>
          </w:p>
        </w:tc>
        <w:tc>
          <w:tcPr>
            <w:tcW w:w="1133" w:type="dxa"/>
            <w:tcBorders>
              <w:top w:val="nil"/>
              <w:left w:val="nil"/>
              <w:bottom w:val="single" w:sz="4" w:space="0" w:color="auto"/>
              <w:right w:val="single" w:sz="4" w:space="0" w:color="auto"/>
            </w:tcBorders>
            <w:shd w:val="clear" w:color="auto" w:fill="auto"/>
            <w:noWrap/>
            <w:vAlign w:val="center"/>
            <w:hideMark/>
          </w:tcPr>
          <w:p w14:paraId="1A0CCCCA"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376</w:t>
            </w:r>
          </w:p>
        </w:tc>
        <w:tc>
          <w:tcPr>
            <w:tcW w:w="1133" w:type="dxa"/>
            <w:tcBorders>
              <w:top w:val="nil"/>
              <w:left w:val="nil"/>
              <w:bottom w:val="single" w:sz="4" w:space="0" w:color="auto"/>
              <w:right w:val="single" w:sz="4" w:space="0" w:color="auto"/>
            </w:tcBorders>
            <w:shd w:val="clear" w:color="auto" w:fill="auto"/>
            <w:noWrap/>
            <w:vAlign w:val="center"/>
            <w:hideMark/>
          </w:tcPr>
          <w:p w14:paraId="7819275D"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334</w:t>
            </w:r>
          </w:p>
        </w:tc>
        <w:tc>
          <w:tcPr>
            <w:tcW w:w="1133" w:type="dxa"/>
            <w:tcBorders>
              <w:top w:val="nil"/>
              <w:left w:val="nil"/>
              <w:bottom w:val="single" w:sz="4" w:space="0" w:color="auto"/>
              <w:right w:val="single" w:sz="4" w:space="0" w:color="auto"/>
            </w:tcBorders>
            <w:shd w:val="clear" w:color="auto" w:fill="auto"/>
            <w:noWrap/>
            <w:vAlign w:val="center"/>
            <w:hideMark/>
          </w:tcPr>
          <w:p w14:paraId="78080DA6"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374</w:t>
            </w:r>
          </w:p>
        </w:tc>
        <w:tc>
          <w:tcPr>
            <w:tcW w:w="1142" w:type="dxa"/>
            <w:tcBorders>
              <w:top w:val="nil"/>
              <w:left w:val="nil"/>
              <w:bottom w:val="single" w:sz="4" w:space="0" w:color="auto"/>
              <w:right w:val="single" w:sz="4" w:space="0" w:color="auto"/>
            </w:tcBorders>
            <w:shd w:val="clear" w:color="auto" w:fill="auto"/>
            <w:noWrap/>
            <w:vAlign w:val="center"/>
            <w:hideMark/>
          </w:tcPr>
          <w:p w14:paraId="680084AD"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-0,71%</w:t>
            </w:r>
          </w:p>
        </w:tc>
        <w:tc>
          <w:tcPr>
            <w:tcW w:w="1142" w:type="dxa"/>
            <w:tcBorders>
              <w:top w:val="nil"/>
              <w:left w:val="nil"/>
              <w:bottom w:val="single" w:sz="4" w:space="0" w:color="auto"/>
              <w:right w:val="single" w:sz="4" w:space="0" w:color="auto"/>
            </w:tcBorders>
            <w:shd w:val="clear" w:color="auto" w:fill="auto"/>
            <w:noWrap/>
            <w:vAlign w:val="center"/>
            <w:hideMark/>
          </w:tcPr>
          <w:p w14:paraId="76EEC5EC"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11,74%</w:t>
            </w:r>
          </w:p>
        </w:tc>
      </w:tr>
      <w:tr w:rsidR="009D4D51" w:rsidRPr="009D4D51" w14:paraId="255152CA" w14:textId="77777777" w:rsidTr="005E39B1">
        <w:trPr>
          <w:trHeight w:val="290"/>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4DAB1CA9" w14:textId="77777777" w:rsidR="009D4D51" w:rsidRPr="009D4D51" w:rsidRDefault="009D4D51" w:rsidP="00234CBE">
            <w:pPr>
              <w:spacing w:line="276" w:lineRule="auto"/>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Tribunal Apelación Penal Juvenil</w:t>
            </w:r>
          </w:p>
        </w:tc>
        <w:tc>
          <w:tcPr>
            <w:tcW w:w="1133" w:type="dxa"/>
            <w:tcBorders>
              <w:top w:val="nil"/>
              <w:left w:val="nil"/>
              <w:bottom w:val="single" w:sz="4" w:space="0" w:color="auto"/>
              <w:right w:val="single" w:sz="4" w:space="0" w:color="auto"/>
            </w:tcBorders>
            <w:shd w:val="clear" w:color="auto" w:fill="auto"/>
            <w:noWrap/>
            <w:vAlign w:val="center"/>
            <w:hideMark/>
          </w:tcPr>
          <w:p w14:paraId="38775F74"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33</w:t>
            </w:r>
          </w:p>
        </w:tc>
        <w:tc>
          <w:tcPr>
            <w:tcW w:w="1133" w:type="dxa"/>
            <w:tcBorders>
              <w:top w:val="nil"/>
              <w:left w:val="nil"/>
              <w:bottom w:val="single" w:sz="4" w:space="0" w:color="auto"/>
              <w:right w:val="single" w:sz="4" w:space="0" w:color="auto"/>
            </w:tcBorders>
            <w:shd w:val="clear" w:color="auto" w:fill="auto"/>
            <w:noWrap/>
            <w:vAlign w:val="center"/>
            <w:hideMark/>
          </w:tcPr>
          <w:p w14:paraId="5695B9BC"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27</w:t>
            </w:r>
          </w:p>
        </w:tc>
        <w:tc>
          <w:tcPr>
            <w:tcW w:w="1133" w:type="dxa"/>
            <w:tcBorders>
              <w:top w:val="nil"/>
              <w:left w:val="nil"/>
              <w:bottom w:val="single" w:sz="4" w:space="0" w:color="auto"/>
              <w:right w:val="single" w:sz="4" w:space="0" w:color="auto"/>
            </w:tcBorders>
            <w:shd w:val="clear" w:color="auto" w:fill="auto"/>
            <w:noWrap/>
            <w:vAlign w:val="center"/>
            <w:hideMark/>
          </w:tcPr>
          <w:p w14:paraId="49033DE8"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27</w:t>
            </w:r>
          </w:p>
        </w:tc>
        <w:tc>
          <w:tcPr>
            <w:tcW w:w="1142" w:type="dxa"/>
            <w:tcBorders>
              <w:top w:val="nil"/>
              <w:left w:val="nil"/>
              <w:bottom w:val="single" w:sz="4" w:space="0" w:color="auto"/>
              <w:right w:val="single" w:sz="4" w:space="0" w:color="auto"/>
            </w:tcBorders>
            <w:shd w:val="clear" w:color="auto" w:fill="auto"/>
            <w:noWrap/>
            <w:vAlign w:val="center"/>
            <w:hideMark/>
          </w:tcPr>
          <w:p w14:paraId="1C6ADA9B"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-20,24%</w:t>
            </w:r>
          </w:p>
        </w:tc>
        <w:tc>
          <w:tcPr>
            <w:tcW w:w="1142" w:type="dxa"/>
            <w:tcBorders>
              <w:top w:val="nil"/>
              <w:left w:val="nil"/>
              <w:bottom w:val="single" w:sz="4" w:space="0" w:color="auto"/>
              <w:right w:val="single" w:sz="4" w:space="0" w:color="auto"/>
            </w:tcBorders>
            <w:shd w:val="clear" w:color="auto" w:fill="auto"/>
            <w:noWrap/>
            <w:vAlign w:val="center"/>
            <w:hideMark/>
          </w:tcPr>
          <w:p w14:paraId="4A51204F"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-0,29%</w:t>
            </w:r>
          </w:p>
        </w:tc>
      </w:tr>
      <w:tr w:rsidR="009D4D51" w:rsidRPr="009D4D51" w14:paraId="2C4CA26C" w14:textId="77777777" w:rsidTr="005E39B1">
        <w:trPr>
          <w:trHeight w:val="290"/>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3BE1CBED" w14:textId="77777777" w:rsidR="009D4D51" w:rsidRPr="009D4D51" w:rsidRDefault="009D4D51" w:rsidP="00234CBE">
            <w:pPr>
              <w:spacing w:line="276" w:lineRule="auto"/>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Tribunal Apelación Civil</w:t>
            </w:r>
          </w:p>
        </w:tc>
        <w:tc>
          <w:tcPr>
            <w:tcW w:w="1133" w:type="dxa"/>
            <w:tcBorders>
              <w:top w:val="nil"/>
              <w:left w:val="nil"/>
              <w:bottom w:val="single" w:sz="4" w:space="0" w:color="auto"/>
              <w:right w:val="single" w:sz="4" w:space="0" w:color="auto"/>
            </w:tcBorders>
            <w:shd w:val="clear" w:color="auto" w:fill="auto"/>
            <w:noWrap/>
            <w:vAlign w:val="center"/>
            <w:hideMark/>
          </w:tcPr>
          <w:p w14:paraId="605913F2"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553</w:t>
            </w:r>
          </w:p>
        </w:tc>
        <w:tc>
          <w:tcPr>
            <w:tcW w:w="1133" w:type="dxa"/>
            <w:tcBorders>
              <w:top w:val="nil"/>
              <w:left w:val="nil"/>
              <w:bottom w:val="single" w:sz="4" w:space="0" w:color="auto"/>
              <w:right w:val="single" w:sz="4" w:space="0" w:color="auto"/>
            </w:tcBorders>
            <w:shd w:val="clear" w:color="auto" w:fill="auto"/>
            <w:noWrap/>
            <w:vAlign w:val="center"/>
            <w:hideMark/>
          </w:tcPr>
          <w:p w14:paraId="545F0461"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461</w:t>
            </w:r>
          </w:p>
        </w:tc>
        <w:tc>
          <w:tcPr>
            <w:tcW w:w="1133" w:type="dxa"/>
            <w:tcBorders>
              <w:top w:val="nil"/>
              <w:left w:val="nil"/>
              <w:bottom w:val="single" w:sz="4" w:space="0" w:color="auto"/>
              <w:right w:val="single" w:sz="4" w:space="0" w:color="auto"/>
            </w:tcBorders>
            <w:shd w:val="clear" w:color="auto" w:fill="auto"/>
            <w:noWrap/>
            <w:vAlign w:val="center"/>
            <w:hideMark/>
          </w:tcPr>
          <w:p w14:paraId="5C37D26E"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592</w:t>
            </w:r>
          </w:p>
        </w:tc>
        <w:tc>
          <w:tcPr>
            <w:tcW w:w="1142" w:type="dxa"/>
            <w:tcBorders>
              <w:top w:val="nil"/>
              <w:left w:val="nil"/>
              <w:bottom w:val="single" w:sz="4" w:space="0" w:color="auto"/>
              <w:right w:val="single" w:sz="4" w:space="0" w:color="auto"/>
            </w:tcBorders>
            <w:shd w:val="clear" w:color="auto" w:fill="auto"/>
            <w:noWrap/>
            <w:vAlign w:val="center"/>
            <w:hideMark/>
          </w:tcPr>
          <w:p w14:paraId="6490B3F4"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7,05%</w:t>
            </w:r>
          </w:p>
        </w:tc>
        <w:tc>
          <w:tcPr>
            <w:tcW w:w="1142" w:type="dxa"/>
            <w:tcBorders>
              <w:top w:val="nil"/>
              <w:left w:val="nil"/>
              <w:bottom w:val="single" w:sz="4" w:space="0" w:color="auto"/>
              <w:right w:val="single" w:sz="4" w:space="0" w:color="auto"/>
            </w:tcBorders>
            <w:shd w:val="clear" w:color="auto" w:fill="auto"/>
            <w:noWrap/>
            <w:vAlign w:val="center"/>
            <w:hideMark/>
          </w:tcPr>
          <w:p w14:paraId="1E548A5C"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28,50%</w:t>
            </w:r>
          </w:p>
        </w:tc>
      </w:tr>
      <w:tr w:rsidR="009D4D51" w:rsidRPr="009D4D51" w14:paraId="356F3FDD" w14:textId="77777777" w:rsidTr="005E39B1">
        <w:trPr>
          <w:trHeight w:val="290"/>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12FFC927" w14:textId="77777777" w:rsidR="009D4D51" w:rsidRPr="009D4D51" w:rsidRDefault="009D4D51" w:rsidP="00234CBE">
            <w:pPr>
              <w:spacing w:line="276" w:lineRule="auto"/>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Tribunal Apelación Laboral</w:t>
            </w:r>
          </w:p>
        </w:tc>
        <w:tc>
          <w:tcPr>
            <w:tcW w:w="1133" w:type="dxa"/>
            <w:tcBorders>
              <w:top w:val="nil"/>
              <w:left w:val="nil"/>
              <w:bottom w:val="single" w:sz="4" w:space="0" w:color="auto"/>
              <w:right w:val="single" w:sz="4" w:space="0" w:color="auto"/>
            </w:tcBorders>
            <w:shd w:val="clear" w:color="auto" w:fill="auto"/>
            <w:noWrap/>
            <w:vAlign w:val="center"/>
            <w:hideMark/>
          </w:tcPr>
          <w:p w14:paraId="79D48E51"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431</w:t>
            </w:r>
          </w:p>
        </w:tc>
        <w:tc>
          <w:tcPr>
            <w:tcW w:w="1133" w:type="dxa"/>
            <w:tcBorders>
              <w:top w:val="nil"/>
              <w:left w:val="nil"/>
              <w:bottom w:val="single" w:sz="4" w:space="0" w:color="auto"/>
              <w:right w:val="single" w:sz="4" w:space="0" w:color="auto"/>
            </w:tcBorders>
            <w:shd w:val="clear" w:color="auto" w:fill="auto"/>
            <w:noWrap/>
            <w:vAlign w:val="center"/>
            <w:hideMark/>
          </w:tcPr>
          <w:p w14:paraId="6A64BF9F"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422</w:t>
            </w:r>
          </w:p>
        </w:tc>
        <w:tc>
          <w:tcPr>
            <w:tcW w:w="1133" w:type="dxa"/>
            <w:tcBorders>
              <w:top w:val="nil"/>
              <w:left w:val="nil"/>
              <w:bottom w:val="single" w:sz="4" w:space="0" w:color="auto"/>
              <w:right w:val="single" w:sz="4" w:space="0" w:color="auto"/>
            </w:tcBorders>
            <w:shd w:val="clear" w:color="auto" w:fill="auto"/>
            <w:noWrap/>
            <w:vAlign w:val="center"/>
            <w:hideMark/>
          </w:tcPr>
          <w:p w14:paraId="36181CE4"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427</w:t>
            </w:r>
          </w:p>
        </w:tc>
        <w:tc>
          <w:tcPr>
            <w:tcW w:w="1142" w:type="dxa"/>
            <w:tcBorders>
              <w:top w:val="nil"/>
              <w:left w:val="nil"/>
              <w:bottom w:val="single" w:sz="4" w:space="0" w:color="auto"/>
              <w:right w:val="single" w:sz="4" w:space="0" w:color="auto"/>
            </w:tcBorders>
            <w:shd w:val="clear" w:color="auto" w:fill="auto"/>
            <w:noWrap/>
            <w:vAlign w:val="center"/>
            <w:hideMark/>
          </w:tcPr>
          <w:p w14:paraId="56192068"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-0,94%</w:t>
            </w:r>
          </w:p>
        </w:tc>
        <w:tc>
          <w:tcPr>
            <w:tcW w:w="1142" w:type="dxa"/>
            <w:tcBorders>
              <w:top w:val="nil"/>
              <w:left w:val="nil"/>
              <w:bottom w:val="single" w:sz="4" w:space="0" w:color="auto"/>
              <w:right w:val="single" w:sz="4" w:space="0" w:color="auto"/>
            </w:tcBorders>
            <w:shd w:val="clear" w:color="auto" w:fill="auto"/>
            <w:noWrap/>
            <w:vAlign w:val="center"/>
            <w:hideMark/>
          </w:tcPr>
          <w:p w14:paraId="1CFD1DDC"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1,10%</w:t>
            </w:r>
          </w:p>
        </w:tc>
      </w:tr>
      <w:tr w:rsidR="009D4D51" w:rsidRPr="009D4D51" w14:paraId="72994D01" w14:textId="77777777" w:rsidTr="005E39B1">
        <w:trPr>
          <w:trHeight w:val="290"/>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07F1CAF2" w14:textId="77777777" w:rsidR="009D4D51" w:rsidRPr="009D4D51" w:rsidRDefault="009D4D51" w:rsidP="00234CBE">
            <w:pPr>
              <w:spacing w:line="276" w:lineRule="auto"/>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Tribunal Agrario</w:t>
            </w:r>
          </w:p>
        </w:tc>
        <w:tc>
          <w:tcPr>
            <w:tcW w:w="1133" w:type="dxa"/>
            <w:tcBorders>
              <w:top w:val="nil"/>
              <w:left w:val="nil"/>
              <w:bottom w:val="single" w:sz="4" w:space="0" w:color="auto"/>
              <w:right w:val="single" w:sz="4" w:space="0" w:color="auto"/>
            </w:tcBorders>
            <w:shd w:val="clear" w:color="auto" w:fill="auto"/>
            <w:noWrap/>
            <w:vAlign w:val="center"/>
            <w:hideMark/>
          </w:tcPr>
          <w:p w14:paraId="6203483B"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105</w:t>
            </w:r>
          </w:p>
        </w:tc>
        <w:tc>
          <w:tcPr>
            <w:tcW w:w="1133" w:type="dxa"/>
            <w:tcBorders>
              <w:top w:val="nil"/>
              <w:left w:val="nil"/>
              <w:bottom w:val="single" w:sz="4" w:space="0" w:color="auto"/>
              <w:right w:val="single" w:sz="4" w:space="0" w:color="auto"/>
            </w:tcBorders>
            <w:shd w:val="clear" w:color="auto" w:fill="auto"/>
            <w:noWrap/>
            <w:vAlign w:val="center"/>
            <w:hideMark/>
          </w:tcPr>
          <w:p w14:paraId="32F6E09E"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88</w:t>
            </w:r>
          </w:p>
        </w:tc>
        <w:tc>
          <w:tcPr>
            <w:tcW w:w="1133" w:type="dxa"/>
            <w:tcBorders>
              <w:top w:val="nil"/>
              <w:left w:val="nil"/>
              <w:bottom w:val="single" w:sz="4" w:space="0" w:color="auto"/>
              <w:right w:val="single" w:sz="4" w:space="0" w:color="auto"/>
            </w:tcBorders>
            <w:shd w:val="clear" w:color="auto" w:fill="auto"/>
            <w:noWrap/>
            <w:vAlign w:val="center"/>
            <w:hideMark/>
          </w:tcPr>
          <w:p w14:paraId="4413D76D"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115</w:t>
            </w:r>
          </w:p>
        </w:tc>
        <w:tc>
          <w:tcPr>
            <w:tcW w:w="1142" w:type="dxa"/>
            <w:tcBorders>
              <w:top w:val="nil"/>
              <w:left w:val="nil"/>
              <w:bottom w:val="single" w:sz="4" w:space="0" w:color="auto"/>
              <w:right w:val="single" w:sz="4" w:space="0" w:color="auto"/>
            </w:tcBorders>
            <w:shd w:val="clear" w:color="auto" w:fill="auto"/>
            <w:noWrap/>
            <w:vAlign w:val="center"/>
            <w:hideMark/>
          </w:tcPr>
          <w:p w14:paraId="483C5C1F"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9,79%</w:t>
            </w:r>
          </w:p>
        </w:tc>
        <w:tc>
          <w:tcPr>
            <w:tcW w:w="1142" w:type="dxa"/>
            <w:tcBorders>
              <w:top w:val="nil"/>
              <w:left w:val="nil"/>
              <w:bottom w:val="single" w:sz="4" w:space="0" w:color="auto"/>
              <w:right w:val="single" w:sz="4" w:space="0" w:color="auto"/>
            </w:tcBorders>
            <w:shd w:val="clear" w:color="auto" w:fill="auto"/>
            <w:noWrap/>
            <w:vAlign w:val="center"/>
            <w:hideMark/>
          </w:tcPr>
          <w:p w14:paraId="4EA6DDD6"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31,28%</w:t>
            </w:r>
          </w:p>
        </w:tc>
      </w:tr>
      <w:tr w:rsidR="009D4D51" w:rsidRPr="009D4D51" w14:paraId="4F1ED522" w14:textId="77777777" w:rsidTr="005E39B1">
        <w:trPr>
          <w:trHeight w:val="290"/>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7E2C1FA3" w14:textId="77777777" w:rsidR="009D4D51" w:rsidRPr="009D4D51" w:rsidRDefault="009D4D51" w:rsidP="00234CBE">
            <w:pPr>
              <w:spacing w:line="276" w:lineRule="auto"/>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Tribunal de Familia</w:t>
            </w:r>
          </w:p>
        </w:tc>
        <w:tc>
          <w:tcPr>
            <w:tcW w:w="1133" w:type="dxa"/>
            <w:tcBorders>
              <w:top w:val="nil"/>
              <w:left w:val="nil"/>
              <w:bottom w:val="single" w:sz="4" w:space="0" w:color="auto"/>
              <w:right w:val="single" w:sz="4" w:space="0" w:color="auto"/>
            </w:tcBorders>
            <w:shd w:val="clear" w:color="auto" w:fill="auto"/>
            <w:noWrap/>
            <w:vAlign w:val="center"/>
            <w:hideMark/>
          </w:tcPr>
          <w:p w14:paraId="7DC6AF37"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168</w:t>
            </w:r>
          </w:p>
        </w:tc>
        <w:tc>
          <w:tcPr>
            <w:tcW w:w="1133" w:type="dxa"/>
            <w:tcBorders>
              <w:top w:val="nil"/>
              <w:left w:val="nil"/>
              <w:bottom w:val="single" w:sz="4" w:space="0" w:color="auto"/>
              <w:right w:val="single" w:sz="4" w:space="0" w:color="auto"/>
            </w:tcBorders>
            <w:shd w:val="clear" w:color="auto" w:fill="auto"/>
            <w:noWrap/>
            <w:vAlign w:val="center"/>
            <w:hideMark/>
          </w:tcPr>
          <w:p w14:paraId="4A3CCCB0"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146</w:t>
            </w:r>
          </w:p>
        </w:tc>
        <w:tc>
          <w:tcPr>
            <w:tcW w:w="1133" w:type="dxa"/>
            <w:tcBorders>
              <w:top w:val="nil"/>
              <w:left w:val="nil"/>
              <w:bottom w:val="single" w:sz="4" w:space="0" w:color="auto"/>
              <w:right w:val="single" w:sz="4" w:space="0" w:color="auto"/>
            </w:tcBorders>
            <w:shd w:val="clear" w:color="auto" w:fill="auto"/>
            <w:noWrap/>
            <w:vAlign w:val="center"/>
            <w:hideMark/>
          </w:tcPr>
          <w:p w14:paraId="19855195"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184</w:t>
            </w:r>
          </w:p>
        </w:tc>
        <w:tc>
          <w:tcPr>
            <w:tcW w:w="1142" w:type="dxa"/>
            <w:tcBorders>
              <w:top w:val="nil"/>
              <w:left w:val="nil"/>
              <w:bottom w:val="single" w:sz="4" w:space="0" w:color="auto"/>
              <w:right w:val="single" w:sz="4" w:space="0" w:color="auto"/>
            </w:tcBorders>
            <w:shd w:val="clear" w:color="auto" w:fill="auto"/>
            <w:noWrap/>
            <w:vAlign w:val="center"/>
            <w:hideMark/>
          </w:tcPr>
          <w:p w14:paraId="2A978C35"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9,34%</w:t>
            </w:r>
          </w:p>
        </w:tc>
        <w:tc>
          <w:tcPr>
            <w:tcW w:w="1142" w:type="dxa"/>
            <w:tcBorders>
              <w:top w:val="nil"/>
              <w:left w:val="nil"/>
              <w:bottom w:val="single" w:sz="4" w:space="0" w:color="auto"/>
              <w:right w:val="single" w:sz="4" w:space="0" w:color="auto"/>
            </w:tcBorders>
            <w:shd w:val="clear" w:color="auto" w:fill="auto"/>
            <w:noWrap/>
            <w:vAlign w:val="center"/>
            <w:hideMark/>
          </w:tcPr>
          <w:p w14:paraId="12EAA73F"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25,99%</w:t>
            </w:r>
          </w:p>
        </w:tc>
      </w:tr>
      <w:tr w:rsidR="009D4D51" w:rsidRPr="009D4D51" w14:paraId="0DF074CD" w14:textId="77777777" w:rsidTr="005E39B1">
        <w:trPr>
          <w:trHeight w:val="290"/>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6CE34A7F" w14:textId="77777777" w:rsidR="009D4D51" w:rsidRPr="009D4D51" w:rsidRDefault="009D4D51" w:rsidP="00234CBE">
            <w:pPr>
              <w:spacing w:line="276" w:lineRule="auto"/>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Tribunal Apelación (1120)</w:t>
            </w:r>
          </w:p>
        </w:tc>
        <w:tc>
          <w:tcPr>
            <w:tcW w:w="1133" w:type="dxa"/>
            <w:tcBorders>
              <w:top w:val="nil"/>
              <w:left w:val="nil"/>
              <w:bottom w:val="single" w:sz="4" w:space="0" w:color="auto"/>
              <w:right w:val="single" w:sz="4" w:space="0" w:color="auto"/>
            </w:tcBorders>
            <w:shd w:val="clear" w:color="auto" w:fill="auto"/>
            <w:noWrap/>
            <w:vAlign w:val="center"/>
            <w:hideMark/>
          </w:tcPr>
          <w:p w14:paraId="66ADDF79"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143</w:t>
            </w:r>
          </w:p>
        </w:tc>
        <w:tc>
          <w:tcPr>
            <w:tcW w:w="1133" w:type="dxa"/>
            <w:tcBorders>
              <w:top w:val="nil"/>
              <w:left w:val="nil"/>
              <w:bottom w:val="single" w:sz="4" w:space="0" w:color="auto"/>
              <w:right w:val="single" w:sz="4" w:space="0" w:color="auto"/>
            </w:tcBorders>
            <w:shd w:val="clear" w:color="auto" w:fill="auto"/>
            <w:noWrap/>
            <w:vAlign w:val="center"/>
            <w:hideMark/>
          </w:tcPr>
          <w:p w14:paraId="3763102E"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91</w:t>
            </w:r>
          </w:p>
        </w:tc>
        <w:tc>
          <w:tcPr>
            <w:tcW w:w="1133" w:type="dxa"/>
            <w:tcBorders>
              <w:top w:val="nil"/>
              <w:left w:val="nil"/>
              <w:bottom w:val="single" w:sz="4" w:space="0" w:color="auto"/>
              <w:right w:val="single" w:sz="4" w:space="0" w:color="auto"/>
            </w:tcBorders>
            <w:shd w:val="clear" w:color="auto" w:fill="auto"/>
            <w:noWrap/>
            <w:vAlign w:val="center"/>
            <w:hideMark/>
          </w:tcPr>
          <w:p w14:paraId="6E708BC6"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79</w:t>
            </w:r>
          </w:p>
        </w:tc>
        <w:tc>
          <w:tcPr>
            <w:tcW w:w="1142" w:type="dxa"/>
            <w:tcBorders>
              <w:top w:val="nil"/>
              <w:left w:val="nil"/>
              <w:bottom w:val="single" w:sz="4" w:space="0" w:color="auto"/>
              <w:right w:val="single" w:sz="4" w:space="0" w:color="auto"/>
            </w:tcBorders>
            <w:shd w:val="clear" w:color="auto" w:fill="auto"/>
            <w:noWrap/>
            <w:vAlign w:val="center"/>
            <w:hideMark/>
          </w:tcPr>
          <w:p w14:paraId="6EAF2DAD"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-45,07%</w:t>
            </w:r>
          </w:p>
        </w:tc>
        <w:tc>
          <w:tcPr>
            <w:tcW w:w="1142" w:type="dxa"/>
            <w:tcBorders>
              <w:top w:val="nil"/>
              <w:left w:val="nil"/>
              <w:bottom w:val="single" w:sz="4" w:space="0" w:color="auto"/>
              <w:right w:val="single" w:sz="4" w:space="0" w:color="auto"/>
            </w:tcBorders>
            <w:shd w:val="clear" w:color="auto" w:fill="auto"/>
            <w:noWrap/>
            <w:vAlign w:val="center"/>
            <w:hideMark/>
          </w:tcPr>
          <w:p w14:paraId="517844B3"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-13,95%</w:t>
            </w:r>
          </w:p>
        </w:tc>
      </w:tr>
      <w:tr w:rsidR="009D4D51" w:rsidRPr="009D4D51" w14:paraId="2E74AF4F" w14:textId="77777777" w:rsidTr="005E39B1">
        <w:trPr>
          <w:trHeight w:val="290"/>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5CBD93EB" w14:textId="77777777" w:rsidR="009D4D51" w:rsidRPr="009D4D51" w:rsidRDefault="009D4D51" w:rsidP="00234CBE">
            <w:pPr>
              <w:spacing w:line="276" w:lineRule="auto"/>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Tribunal Contencioso (0161)</w:t>
            </w:r>
          </w:p>
        </w:tc>
        <w:tc>
          <w:tcPr>
            <w:tcW w:w="1133" w:type="dxa"/>
            <w:tcBorders>
              <w:top w:val="nil"/>
              <w:left w:val="nil"/>
              <w:bottom w:val="single" w:sz="4" w:space="0" w:color="auto"/>
              <w:right w:val="single" w:sz="4" w:space="0" w:color="auto"/>
            </w:tcBorders>
            <w:shd w:val="clear" w:color="auto" w:fill="auto"/>
            <w:noWrap/>
            <w:vAlign w:val="center"/>
            <w:hideMark/>
          </w:tcPr>
          <w:p w14:paraId="6FE08818"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1</w:t>
            </w:r>
          </w:p>
        </w:tc>
        <w:tc>
          <w:tcPr>
            <w:tcW w:w="1133" w:type="dxa"/>
            <w:tcBorders>
              <w:top w:val="nil"/>
              <w:left w:val="nil"/>
              <w:bottom w:val="single" w:sz="4" w:space="0" w:color="auto"/>
              <w:right w:val="single" w:sz="4" w:space="0" w:color="auto"/>
            </w:tcBorders>
            <w:shd w:val="clear" w:color="auto" w:fill="auto"/>
            <w:noWrap/>
            <w:vAlign w:val="center"/>
            <w:hideMark/>
          </w:tcPr>
          <w:p w14:paraId="13D1E5E0"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1</w:t>
            </w:r>
          </w:p>
        </w:tc>
        <w:tc>
          <w:tcPr>
            <w:tcW w:w="1133" w:type="dxa"/>
            <w:tcBorders>
              <w:top w:val="nil"/>
              <w:left w:val="nil"/>
              <w:bottom w:val="single" w:sz="4" w:space="0" w:color="auto"/>
              <w:right w:val="single" w:sz="4" w:space="0" w:color="auto"/>
            </w:tcBorders>
            <w:shd w:val="clear" w:color="auto" w:fill="auto"/>
            <w:noWrap/>
            <w:vAlign w:val="center"/>
            <w:hideMark/>
          </w:tcPr>
          <w:p w14:paraId="766C7E3D"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1</w:t>
            </w:r>
          </w:p>
        </w:tc>
        <w:tc>
          <w:tcPr>
            <w:tcW w:w="1142" w:type="dxa"/>
            <w:tcBorders>
              <w:top w:val="nil"/>
              <w:left w:val="nil"/>
              <w:bottom w:val="single" w:sz="4" w:space="0" w:color="auto"/>
              <w:right w:val="single" w:sz="4" w:space="0" w:color="auto"/>
            </w:tcBorders>
            <w:shd w:val="clear" w:color="auto" w:fill="auto"/>
            <w:noWrap/>
            <w:vAlign w:val="center"/>
            <w:hideMark/>
          </w:tcPr>
          <w:p w14:paraId="3B33EF62"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-38,91%</w:t>
            </w:r>
          </w:p>
        </w:tc>
        <w:tc>
          <w:tcPr>
            <w:tcW w:w="1142" w:type="dxa"/>
            <w:tcBorders>
              <w:top w:val="nil"/>
              <w:left w:val="nil"/>
              <w:bottom w:val="single" w:sz="4" w:space="0" w:color="auto"/>
              <w:right w:val="single" w:sz="4" w:space="0" w:color="auto"/>
            </w:tcBorders>
            <w:shd w:val="clear" w:color="auto" w:fill="auto"/>
            <w:noWrap/>
            <w:vAlign w:val="center"/>
            <w:hideMark/>
          </w:tcPr>
          <w:p w14:paraId="52735AF1"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32,35%</w:t>
            </w:r>
          </w:p>
        </w:tc>
      </w:tr>
      <w:tr w:rsidR="009D4D51" w:rsidRPr="009D4D51" w14:paraId="099E4B8A" w14:textId="77777777" w:rsidTr="005E39B1">
        <w:trPr>
          <w:trHeight w:val="290"/>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4D7648C8" w14:textId="77777777" w:rsidR="009D4D51" w:rsidRPr="009D4D51" w:rsidRDefault="009D4D51" w:rsidP="00234CBE">
            <w:pPr>
              <w:spacing w:line="276" w:lineRule="auto"/>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Tribunal Notarial</w:t>
            </w:r>
          </w:p>
        </w:tc>
        <w:tc>
          <w:tcPr>
            <w:tcW w:w="1133" w:type="dxa"/>
            <w:tcBorders>
              <w:top w:val="nil"/>
              <w:left w:val="nil"/>
              <w:bottom w:val="single" w:sz="4" w:space="0" w:color="auto"/>
              <w:right w:val="single" w:sz="4" w:space="0" w:color="auto"/>
            </w:tcBorders>
            <w:shd w:val="clear" w:color="auto" w:fill="auto"/>
            <w:noWrap/>
            <w:vAlign w:val="center"/>
            <w:hideMark/>
          </w:tcPr>
          <w:p w14:paraId="4DD30DC0"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19</w:t>
            </w:r>
          </w:p>
        </w:tc>
        <w:tc>
          <w:tcPr>
            <w:tcW w:w="1133" w:type="dxa"/>
            <w:tcBorders>
              <w:top w:val="nil"/>
              <w:left w:val="nil"/>
              <w:bottom w:val="single" w:sz="4" w:space="0" w:color="auto"/>
              <w:right w:val="single" w:sz="4" w:space="0" w:color="auto"/>
            </w:tcBorders>
            <w:shd w:val="clear" w:color="auto" w:fill="auto"/>
            <w:noWrap/>
            <w:vAlign w:val="center"/>
            <w:hideMark/>
          </w:tcPr>
          <w:p w14:paraId="34C36A93"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22</w:t>
            </w:r>
          </w:p>
        </w:tc>
        <w:tc>
          <w:tcPr>
            <w:tcW w:w="1133" w:type="dxa"/>
            <w:tcBorders>
              <w:top w:val="nil"/>
              <w:left w:val="nil"/>
              <w:bottom w:val="single" w:sz="4" w:space="0" w:color="auto"/>
              <w:right w:val="single" w:sz="4" w:space="0" w:color="auto"/>
            </w:tcBorders>
            <w:shd w:val="clear" w:color="auto" w:fill="auto"/>
            <w:noWrap/>
            <w:vAlign w:val="center"/>
            <w:hideMark/>
          </w:tcPr>
          <w:p w14:paraId="47DC4B7D"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25</w:t>
            </w:r>
          </w:p>
        </w:tc>
        <w:tc>
          <w:tcPr>
            <w:tcW w:w="1142" w:type="dxa"/>
            <w:tcBorders>
              <w:top w:val="nil"/>
              <w:left w:val="nil"/>
              <w:bottom w:val="single" w:sz="4" w:space="0" w:color="auto"/>
              <w:right w:val="single" w:sz="4" w:space="0" w:color="auto"/>
            </w:tcBorders>
            <w:shd w:val="clear" w:color="auto" w:fill="auto"/>
            <w:noWrap/>
            <w:vAlign w:val="center"/>
            <w:hideMark/>
          </w:tcPr>
          <w:p w14:paraId="6948DC30"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29,91%</w:t>
            </w:r>
          </w:p>
        </w:tc>
        <w:tc>
          <w:tcPr>
            <w:tcW w:w="1142" w:type="dxa"/>
            <w:tcBorders>
              <w:top w:val="nil"/>
              <w:left w:val="nil"/>
              <w:bottom w:val="single" w:sz="4" w:space="0" w:color="auto"/>
              <w:right w:val="single" w:sz="4" w:space="0" w:color="auto"/>
            </w:tcBorders>
            <w:shd w:val="clear" w:color="auto" w:fill="auto"/>
            <w:noWrap/>
            <w:vAlign w:val="center"/>
            <w:hideMark/>
          </w:tcPr>
          <w:p w14:paraId="2B341F37"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13,67%</w:t>
            </w:r>
          </w:p>
        </w:tc>
      </w:tr>
      <w:tr w:rsidR="009D4D51" w:rsidRPr="009D4D51" w14:paraId="3C76A265" w14:textId="77777777" w:rsidTr="005E39B1">
        <w:trPr>
          <w:trHeight w:val="290"/>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18C49659" w14:textId="77777777" w:rsidR="009D4D51" w:rsidRPr="009D4D51" w:rsidRDefault="009D4D51" w:rsidP="00234CBE">
            <w:pPr>
              <w:spacing w:line="276" w:lineRule="auto"/>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Inspección Judicial</w:t>
            </w:r>
          </w:p>
        </w:tc>
        <w:tc>
          <w:tcPr>
            <w:tcW w:w="1133" w:type="dxa"/>
            <w:tcBorders>
              <w:top w:val="nil"/>
              <w:left w:val="nil"/>
              <w:bottom w:val="single" w:sz="4" w:space="0" w:color="auto"/>
              <w:right w:val="single" w:sz="4" w:space="0" w:color="auto"/>
            </w:tcBorders>
            <w:shd w:val="clear" w:color="auto" w:fill="auto"/>
            <w:noWrap/>
            <w:vAlign w:val="center"/>
            <w:hideMark/>
          </w:tcPr>
          <w:p w14:paraId="48C88410"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413</w:t>
            </w:r>
          </w:p>
        </w:tc>
        <w:tc>
          <w:tcPr>
            <w:tcW w:w="1133" w:type="dxa"/>
            <w:tcBorders>
              <w:top w:val="nil"/>
              <w:left w:val="nil"/>
              <w:bottom w:val="single" w:sz="4" w:space="0" w:color="auto"/>
              <w:right w:val="single" w:sz="4" w:space="0" w:color="auto"/>
            </w:tcBorders>
            <w:shd w:val="clear" w:color="auto" w:fill="auto"/>
            <w:noWrap/>
            <w:vAlign w:val="center"/>
            <w:hideMark/>
          </w:tcPr>
          <w:p w14:paraId="4F7F2856"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354</w:t>
            </w:r>
          </w:p>
        </w:tc>
        <w:tc>
          <w:tcPr>
            <w:tcW w:w="1133" w:type="dxa"/>
            <w:tcBorders>
              <w:top w:val="nil"/>
              <w:left w:val="nil"/>
              <w:bottom w:val="single" w:sz="4" w:space="0" w:color="auto"/>
              <w:right w:val="single" w:sz="4" w:space="0" w:color="auto"/>
            </w:tcBorders>
            <w:shd w:val="clear" w:color="auto" w:fill="auto"/>
            <w:noWrap/>
            <w:vAlign w:val="center"/>
            <w:hideMark/>
          </w:tcPr>
          <w:p w14:paraId="5C3B52DE"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368</w:t>
            </w:r>
          </w:p>
        </w:tc>
        <w:tc>
          <w:tcPr>
            <w:tcW w:w="1142" w:type="dxa"/>
            <w:tcBorders>
              <w:top w:val="nil"/>
              <w:left w:val="nil"/>
              <w:bottom w:val="single" w:sz="4" w:space="0" w:color="auto"/>
              <w:right w:val="single" w:sz="4" w:space="0" w:color="auto"/>
            </w:tcBorders>
            <w:shd w:val="clear" w:color="auto" w:fill="auto"/>
            <w:noWrap/>
            <w:vAlign w:val="center"/>
            <w:hideMark/>
          </w:tcPr>
          <w:p w14:paraId="6AE6F081"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-11,02%</w:t>
            </w:r>
          </w:p>
        </w:tc>
        <w:tc>
          <w:tcPr>
            <w:tcW w:w="1142" w:type="dxa"/>
            <w:tcBorders>
              <w:top w:val="nil"/>
              <w:left w:val="nil"/>
              <w:bottom w:val="single" w:sz="4" w:space="0" w:color="auto"/>
              <w:right w:val="single" w:sz="4" w:space="0" w:color="auto"/>
            </w:tcBorders>
            <w:shd w:val="clear" w:color="auto" w:fill="auto"/>
            <w:noWrap/>
            <w:vAlign w:val="center"/>
            <w:hideMark/>
          </w:tcPr>
          <w:p w14:paraId="38A5673F"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3,94%</w:t>
            </w:r>
          </w:p>
        </w:tc>
      </w:tr>
      <w:tr w:rsidR="009D4D51" w:rsidRPr="009D4D51" w14:paraId="613B9F64" w14:textId="77777777" w:rsidTr="005E39B1">
        <w:trPr>
          <w:trHeight w:val="290"/>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2E40D39C" w14:textId="77777777" w:rsidR="009D4D51" w:rsidRPr="009D4D51" w:rsidRDefault="009D4D51" w:rsidP="00234CBE">
            <w:pPr>
              <w:spacing w:line="276" w:lineRule="auto"/>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Inspección Fiscal</w:t>
            </w:r>
          </w:p>
        </w:tc>
        <w:tc>
          <w:tcPr>
            <w:tcW w:w="1133" w:type="dxa"/>
            <w:tcBorders>
              <w:top w:val="nil"/>
              <w:left w:val="nil"/>
              <w:bottom w:val="single" w:sz="4" w:space="0" w:color="auto"/>
              <w:right w:val="single" w:sz="4" w:space="0" w:color="auto"/>
            </w:tcBorders>
            <w:shd w:val="clear" w:color="auto" w:fill="auto"/>
            <w:noWrap/>
            <w:vAlign w:val="center"/>
            <w:hideMark/>
          </w:tcPr>
          <w:p w14:paraId="0802D620"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76</w:t>
            </w:r>
          </w:p>
        </w:tc>
        <w:tc>
          <w:tcPr>
            <w:tcW w:w="1133" w:type="dxa"/>
            <w:tcBorders>
              <w:top w:val="nil"/>
              <w:left w:val="nil"/>
              <w:bottom w:val="single" w:sz="4" w:space="0" w:color="auto"/>
              <w:right w:val="single" w:sz="4" w:space="0" w:color="auto"/>
            </w:tcBorders>
            <w:shd w:val="clear" w:color="auto" w:fill="auto"/>
            <w:noWrap/>
            <w:vAlign w:val="center"/>
            <w:hideMark/>
          </w:tcPr>
          <w:p w14:paraId="6FDD43EB"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82</w:t>
            </w:r>
          </w:p>
        </w:tc>
        <w:tc>
          <w:tcPr>
            <w:tcW w:w="1133" w:type="dxa"/>
            <w:tcBorders>
              <w:top w:val="nil"/>
              <w:left w:val="nil"/>
              <w:bottom w:val="single" w:sz="4" w:space="0" w:color="auto"/>
              <w:right w:val="single" w:sz="4" w:space="0" w:color="auto"/>
            </w:tcBorders>
            <w:shd w:val="clear" w:color="auto" w:fill="auto"/>
            <w:noWrap/>
            <w:vAlign w:val="center"/>
            <w:hideMark/>
          </w:tcPr>
          <w:p w14:paraId="1683745A"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89</w:t>
            </w:r>
          </w:p>
        </w:tc>
        <w:tc>
          <w:tcPr>
            <w:tcW w:w="1142" w:type="dxa"/>
            <w:tcBorders>
              <w:top w:val="nil"/>
              <w:left w:val="nil"/>
              <w:bottom w:val="single" w:sz="4" w:space="0" w:color="auto"/>
              <w:right w:val="single" w:sz="4" w:space="0" w:color="auto"/>
            </w:tcBorders>
            <w:shd w:val="clear" w:color="auto" w:fill="auto"/>
            <w:noWrap/>
            <w:vAlign w:val="center"/>
            <w:hideMark/>
          </w:tcPr>
          <w:p w14:paraId="4C135C6A"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16,87%</w:t>
            </w:r>
          </w:p>
        </w:tc>
        <w:tc>
          <w:tcPr>
            <w:tcW w:w="1142" w:type="dxa"/>
            <w:tcBorders>
              <w:top w:val="nil"/>
              <w:left w:val="nil"/>
              <w:bottom w:val="single" w:sz="4" w:space="0" w:color="auto"/>
              <w:right w:val="single" w:sz="4" w:space="0" w:color="auto"/>
            </w:tcBorders>
            <w:shd w:val="clear" w:color="auto" w:fill="auto"/>
            <w:noWrap/>
            <w:vAlign w:val="center"/>
            <w:hideMark/>
          </w:tcPr>
          <w:p w14:paraId="1DCD1F6F"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8,50%</w:t>
            </w:r>
          </w:p>
        </w:tc>
      </w:tr>
      <w:tr w:rsidR="009D4D51" w:rsidRPr="009D4D51" w14:paraId="2F27B44B" w14:textId="77777777" w:rsidTr="005E39B1">
        <w:trPr>
          <w:trHeight w:val="290"/>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475EB6C4" w14:textId="77777777" w:rsidR="009D4D51" w:rsidRPr="009D4D51" w:rsidRDefault="009D4D51" w:rsidP="00234CBE">
            <w:pPr>
              <w:spacing w:line="276" w:lineRule="auto"/>
              <w:rPr>
                <w:rFonts w:ascii="Book Antiqua" w:hAnsi="Book Antiqua" w:cs="Calibri"/>
                <w:b/>
                <w:bCs/>
                <w:color w:val="000000"/>
                <w:sz w:val="16"/>
                <w:szCs w:val="16"/>
                <w:lang w:eastAsia="es-CR"/>
              </w:rPr>
            </w:pPr>
            <w:r w:rsidRPr="009D4D51">
              <w:rPr>
                <w:rFonts w:ascii="Book Antiqua" w:hAnsi="Book Antiqua" w:cs="Calibri"/>
                <w:b/>
                <w:bCs/>
                <w:color w:val="000000"/>
                <w:sz w:val="16"/>
                <w:szCs w:val="16"/>
                <w:lang w:eastAsia="es-CR"/>
              </w:rPr>
              <w:t>Penal</w:t>
            </w:r>
          </w:p>
        </w:tc>
        <w:tc>
          <w:tcPr>
            <w:tcW w:w="1133" w:type="dxa"/>
            <w:tcBorders>
              <w:top w:val="nil"/>
              <w:left w:val="nil"/>
              <w:bottom w:val="single" w:sz="4" w:space="0" w:color="auto"/>
              <w:right w:val="single" w:sz="4" w:space="0" w:color="auto"/>
            </w:tcBorders>
            <w:shd w:val="clear" w:color="auto" w:fill="auto"/>
            <w:noWrap/>
            <w:vAlign w:val="center"/>
            <w:hideMark/>
          </w:tcPr>
          <w:p w14:paraId="17964536" w14:textId="77777777" w:rsidR="009D4D51" w:rsidRPr="009D4D51" w:rsidRDefault="009D4D51" w:rsidP="00234CBE">
            <w:pPr>
              <w:spacing w:line="276" w:lineRule="auto"/>
              <w:jc w:val="center"/>
              <w:rPr>
                <w:rFonts w:ascii="Book Antiqua" w:hAnsi="Book Antiqua" w:cs="Calibri"/>
                <w:b/>
                <w:bCs/>
                <w:color w:val="000000"/>
                <w:sz w:val="16"/>
                <w:szCs w:val="16"/>
                <w:lang w:eastAsia="es-CR"/>
              </w:rPr>
            </w:pPr>
            <w:r w:rsidRPr="009D4D51">
              <w:rPr>
                <w:rFonts w:ascii="Book Antiqua" w:hAnsi="Book Antiqua" w:cs="Calibri"/>
                <w:b/>
                <w:bCs/>
                <w:color w:val="000000"/>
                <w:sz w:val="16"/>
                <w:szCs w:val="16"/>
                <w:lang w:eastAsia="es-CR"/>
              </w:rPr>
              <w:t>15181</w:t>
            </w:r>
          </w:p>
        </w:tc>
        <w:tc>
          <w:tcPr>
            <w:tcW w:w="1133" w:type="dxa"/>
            <w:tcBorders>
              <w:top w:val="nil"/>
              <w:left w:val="nil"/>
              <w:bottom w:val="single" w:sz="4" w:space="0" w:color="auto"/>
              <w:right w:val="single" w:sz="4" w:space="0" w:color="auto"/>
            </w:tcBorders>
            <w:shd w:val="clear" w:color="auto" w:fill="auto"/>
            <w:noWrap/>
            <w:vAlign w:val="center"/>
            <w:hideMark/>
          </w:tcPr>
          <w:p w14:paraId="7AE9F172" w14:textId="77777777" w:rsidR="009D4D51" w:rsidRPr="009D4D51" w:rsidRDefault="009D4D51" w:rsidP="00234CBE">
            <w:pPr>
              <w:spacing w:line="276" w:lineRule="auto"/>
              <w:jc w:val="center"/>
              <w:rPr>
                <w:rFonts w:ascii="Book Antiqua" w:hAnsi="Book Antiqua" w:cs="Calibri"/>
                <w:b/>
                <w:bCs/>
                <w:color w:val="000000"/>
                <w:sz w:val="16"/>
                <w:szCs w:val="16"/>
                <w:lang w:eastAsia="es-CR"/>
              </w:rPr>
            </w:pPr>
            <w:r w:rsidRPr="009D4D51">
              <w:rPr>
                <w:rFonts w:ascii="Book Antiqua" w:hAnsi="Book Antiqua" w:cs="Calibri"/>
                <w:b/>
                <w:bCs/>
                <w:color w:val="000000"/>
                <w:sz w:val="16"/>
                <w:szCs w:val="16"/>
                <w:lang w:eastAsia="es-CR"/>
              </w:rPr>
              <w:t>14004</w:t>
            </w:r>
          </w:p>
        </w:tc>
        <w:tc>
          <w:tcPr>
            <w:tcW w:w="1133" w:type="dxa"/>
            <w:tcBorders>
              <w:top w:val="nil"/>
              <w:left w:val="nil"/>
              <w:bottom w:val="single" w:sz="4" w:space="0" w:color="auto"/>
              <w:right w:val="single" w:sz="4" w:space="0" w:color="auto"/>
            </w:tcBorders>
            <w:shd w:val="clear" w:color="auto" w:fill="auto"/>
            <w:noWrap/>
            <w:vAlign w:val="center"/>
            <w:hideMark/>
          </w:tcPr>
          <w:p w14:paraId="7BE09188" w14:textId="77777777" w:rsidR="009D4D51" w:rsidRPr="009D4D51" w:rsidRDefault="009D4D51" w:rsidP="00234CBE">
            <w:pPr>
              <w:spacing w:line="276" w:lineRule="auto"/>
              <w:jc w:val="center"/>
              <w:rPr>
                <w:rFonts w:ascii="Book Antiqua" w:hAnsi="Book Antiqua" w:cs="Calibri"/>
                <w:b/>
                <w:bCs/>
                <w:color w:val="000000"/>
                <w:sz w:val="16"/>
                <w:szCs w:val="16"/>
                <w:lang w:eastAsia="es-CR"/>
              </w:rPr>
            </w:pPr>
            <w:r w:rsidRPr="009D4D51">
              <w:rPr>
                <w:rFonts w:ascii="Book Antiqua" w:hAnsi="Book Antiqua" w:cs="Calibri"/>
                <w:b/>
                <w:bCs/>
                <w:color w:val="000000"/>
                <w:sz w:val="16"/>
                <w:szCs w:val="16"/>
                <w:lang w:eastAsia="es-CR"/>
              </w:rPr>
              <w:t>14458</w:t>
            </w:r>
          </w:p>
        </w:tc>
        <w:tc>
          <w:tcPr>
            <w:tcW w:w="1142" w:type="dxa"/>
            <w:tcBorders>
              <w:top w:val="nil"/>
              <w:left w:val="nil"/>
              <w:bottom w:val="single" w:sz="4" w:space="0" w:color="auto"/>
              <w:right w:val="single" w:sz="4" w:space="0" w:color="auto"/>
            </w:tcBorders>
            <w:shd w:val="clear" w:color="auto" w:fill="auto"/>
            <w:noWrap/>
            <w:vAlign w:val="center"/>
            <w:hideMark/>
          </w:tcPr>
          <w:p w14:paraId="713BF6A1" w14:textId="77777777" w:rsidR="009D4D51" w:rsidRPr="009D4D51" w:rsidRDefault="009D4D51" w:rsidP="00234CBE">
            <w:pPr>
              <w:spacing w:line="276" w:lineRule="auto"/>
              <w:jc w:val="center"/>
              <w:rPr>
                <w:rFonts w:ascii="Book Antiqua" w:hAnsi="Book Antiqua" w:cs="Calibri"/>
                <w:b/>
                <w:bCs/>
                <w:color w:val="000000"/>
                <w:sz w:val="16"/>
                <w:szCs w:val="16"/>
                <w:lang w:eastAsia="es-CR"/>
              </w:rPr>
            </w:pPr>
            <w:r w:rsidRPr="009D4D51">
              <w:rPr>
                <w:rFonts w:ascii="Book Antiqua" w:hAnsi="Book Antiqua" w:cs="Calibri"/>
                <w:b/>
                <w:bCs/>
                <w:color w:val="000000"/>
                <w:sz w:val="16"/>
                <w:szCs w:val="16"/>
                <w:lang w:eastAsia="es-CR"/>
              </w:rPr>
              <w:t>-4,76%</w:t>
            </w:r>
          </w:p>
        </w:tc>
        <w:tc>
          <w:tcPr>
            <w:tcW w:w="1142" w:type="dxa"/>
            <w:tcBorders>
              <w:top w:val="nil"/>
              <w:left w:val="nil"/>
              <w:bottom w:val="single" w:sz="4" w:space="0" w:color="auto"/>
              <w:right w:val="single" w:sz="4" w:space="0" w:color="auto"/>
            </w:tcBorders>
            <w:shd w:val="clear" w:color="auto" w:fill="auto"/>
            <w:noWrap/>
            <w:vAlign w:val="center"/>
            <w:hideMark/>
          </w:tcPr>
          <w:p w14:paraId="247171CE" w14:textId="77777777" w:rsidR="009D4D51" w:rsidRPr="009D4D51" w:rsidRDefault="009D4D51" w:rsidP="00234CBE">
            <w:pPr>
              <w:spacing w:line="276" w:lineRule="auto"/>
              <w:jc w:val="center"/>
              <w:rPr>
                <w:rFonts w:ascii="Book Antiqua" w:hAnsi="Book Antiqua" w:cs="Calibri"/>
                <w:b/>
                <w:bCs/>
                <w:color w:val="000000"/>
                <w:sz w:val="16"/>
                <w:szCs w:val="16"/>
                <w:lang w:eastAsia="es-CR"/>
              </w:rPr>
            </w:pPr>
            <w:r w:rsidRPr="009D4D51">
              <w:rPr>
                <w:rFonts w:ascii="Book Antiqua" w:hAnsi="Book Antiqua" w:cs="Calibri"/>
                <w:b/>
                <w:bCs/>
                <w:color w:val="000000"/>
                <w:sz w:val="16"/>
                <w:szCs w:val="16"/>
                <w:lang w:eastAsia="es-CR"/>
              </w:rPr>
              <w:t>3,24%</w:t>
            </w:r>
          </w:p>
        </w:tc>
      </w:tr>
      <w:tr w:rsidR="009D4D51" w:rsidRPr="009D4D51" w14:paraId="037F1171" w14:textId="77777777" w:rsidTr="005E39B1">
        <w:trPr>
          <w:trHeight w:val="290"/>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213C6D86" w14:textId="77777777" w:rsidR="009D4D51" w:rsidRPr="009D4D51" w:rsidRDefault="009D4D51" w:rsidP="00234CBE">
            <w:pPr>
              <w:spacing w:line="276" w:lineRule="auto"/>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Tribunal Penal y Flagrancias</w:t>
            </w:r>
          </w:p>
        </w:tc>
        <w:tc>
          <w:tcPr>
            <w:tcW w:w="1133" w:type="dxa"/>
            <w:tcBorders>
              <w:top w:val="nil"/>
              <w:left w:val="nil"/>
              <w:bottom w:val="single" w:sz="4" w:space="0" w:color="auto"/>
              <w:right w:val="single" w:sz="4" w:space="0" w:color="auto"/>
            </w:tcBorders>
            <w:shd w:val="clear" w:color="auto" w:fill="auto"/>
            <w:noWrap/>
            <w:vAlign w:val="center"/>
            <w:hideMark/>
          </w:tcPr>
          <w:p w14:paraId="26428413"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1969</w:t>
            </w:r>
          </w:p>
        </w:tc>
        <w:tc>
          <w:tcPr>
            <w:tcW w:w="1133" w:type="dxa"/>
            <w:tcBorders>
              <w:top w:val="nil"/>
              <w:left w:val="nil"/>
              <w:bottom w:val="single" w:sz="4" w:space="0" w:color="auto"/>
              <w:right w:val="single" w:sz="4" w:space="0" w:color="auto"/>
            </w:tcBorders>
            <w:shd w:val="clear" w:color="auto" w:fill="auto"/>
            <w:noWrap/>
            <w:vAlign w:val="center"/>
            <w:hideMark/>
          </w:tcPr>
          <w:p w14:paraId="60D190F0"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1690</w:t>
            </w:r>
          </w:p>
        </w:tc>
        <w:tc>
          <w:tcPr>
            <w:tcW w:w="1133" w:type="dxa"/>
            <w:tcBorders>
              <w:top w:val="nil"/>
              <w:left w:val="nil"/>
              <w:bottom w:val="single" w:sz="4" w:space="0" w:color="auto"/>
              <w:right w:val="single" w:sz="4" w:space="0" w:color="auto"/>
            </w:tcBorders>
            <w:shd w:val="clear" w:color="auto" w:fill="auto"/>
            <w:noWrap/>
            <w:vAlign w:val="center"/>
            <w:hideMark/>
          </w:tcPr>
          <w:p w14:paraId="62B21E54"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2228</w:t>
            </w:r>
          </w:p>
        </w:tc>
        <w:tc>
          <w:tcPr>
            <w:tcW w:w="1142" w:type="dxa"/>
            <w:tcBorders>
              <w:top w:val="nil"/>
              <w:left w:val="nil"/>
              <w:bottom w:val="single" w:sz="4" w:space="0" w:color="auto"/>
              <w:right w:val="single" w:sz="4" w:space="0" w:color="auto"/>
            </w:tcBorders>
            <w:shd w:val="clear" w:color="auto" w:fill="auto"/>
            <w:noWrap/>
            <w:vAlign w:val="center"/>
            <w:hideMark/>
          </w:tcPr>
          <w:p w14:paraId="66425FDE"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13,15%</w:t>
            </w:r>
          </w:p>
        </w:tc>
        <w:tc>
          <w:tcPr>
            <w:tcW w:w="1142" w:type="dxa"/>
            <w:tcBorders>
              <w:top w:val="nil"/>
              <w:left w:val="nil"/>
              <w:bottom w:val="single" w:sz="4" w:space="0" w:color="auto"/>
              <w:right w:val="single" w:sz="4" w:space="0" w:color="auto"/>
            </w:tcBorders>
            <w:shd w:val="clear" w:color="auto" w:fill="auto"/>
            <w:noWrap/>
            <w:vAlign w:val="center"/>
            <w:hideMark/>
          </w:tcPr>
          <w:p w14:paraId="1B64C24F"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31,87%</w:t>
            </w:r>
          </w:p>
        </w:tc>
      </w:tr>
      <w:tr w:rsidR="009D4D51" w:rsidRPr="009D4D51" w14:paraId="06FED75C" w14:textId="77777777" w:rsidTr="005E39B1">
        <w:trPr>
          <w:trHeight w:val="290"/>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3CCCCD21" w14:textId="77777777" w:rsidR="009D4D51" w:rsidRPr="009D4D51" w:rsidRDefault="009D4D51" w:rsidP="00234CBE">
            <w:pPr>
              <w:spacing w:line="276" w:lineRule="auto"/>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Juzgado Penal</w:t>
            </w:r>
          </w:p>
        </w:tc>
        <w:tc>
          <w:tcPr>
            <w:tcW w:w="1133" w:type="dxa"/>
            <w:tcBorders>
              <w:top w:val="nil"/>
              <w:left w:val="nil"/>
              <w:bottom w:val="single" w:sz="4" w:space="0" w:color="auto"/>
              <w:right w:val="single" w:sz="4" w:space="0" w:color="auto"/>
            </w:tcBorders>
            <w:shd w:val="clear" w:color="auto" w:fill="auto"/>
            <w:noWrap/>
            <w:vAlign w:val="center"/>
            <w:hideMark/>
          </w:tcPr>
          <w:p w14:paraId="17E643DB"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10903</w:t>
            </w:r>
          </w:p>
        </w:tc>
        <w:tc>
          <w:tcPr>
            <w:tcW w:w="1133" w:type="dxa"/>
            <w:tcBorders>
              <w:top w:val="nil"/>
              <w:left w:val="nil"/>
              <w:bottom w:val="single" w:sz="4" w:space="0" w:color="auto"/>
              <w:right w:val="single" w:sz="4" w:space="0" w:color="auto"/>
            </w:tcBorders>
            <w:shd w:val="clear" w:color="auto" w:fill="auto"/>
            <w:noWrap/>
            <w:vAlign w:val="center"/>
            <w:hideMark/>
          </w:tcPr>
          <w:p w14:paraId="77C5EC5E"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10136</w:t>
            </w:r>
          </w:p>
        </w:tc>
        <w:tc>
          <w:tcPr>
            <w:tcW w:w="1133" w:type="dxa"/>
            <w:tcBorders>
              <w:top w:val="nil"/>
              <w:left w:val="nil"/>
              <w:bottom w:val="single" w:sz="4" w:space="0" w:color="auto"/>
              <w:right w:val="single" w:sz="4" w:space="0" w:color="auto"/>
            </w:tcBorders>
            <w:shd w:val="clear" w:color="auto" w:fill="auto"/>
            <w:noWrap/>
            <w:vAlign w:val="center"/>
            <w:hideMark/>
          </w:tcPr>
          <w:p w14:paraId="7F09BABF"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10044</w:t>
            </w:r>
          </w:p>
        </w:tc>
        <w:tc>
          <w:tcPr>
            <w:tcW w:w="1142" w:type="dxa"/>
            <w:tcBorders>
              <w:top w:val="nil"/>
              <w:left w:val="nil"/>
              <w:bottom w:val="single" w:sz="4" w:space="0" w:color="auto"/>
              <w:right w:val="single" w:sz="4" w:space="0" w:color="auto"/>
            </w:tcBorders>
            <w:shd w:val="clear" w:color="auto" w:fill="auto"/>
            <w:noWrap/>
            <w:vAlign w:val="center"/>
            <w:hideMark/>
          </w:tcPr>
          <w:p w14:paraId="334E211B"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-7,88%</w:t>
            </w:r>
          </w:p>
        </w:tc>
        <w:tc>
          <w:tcPr>
            <w:tcW w:w="1142" w:type="dxa"/>
            <w:tcBorders>
              <w:top w:val="nil"/>
              <w:left w:val="nil"/>
              <w:bottom w:val="single" w:sz="4" w:space="0" w:color="auto"/>
              <w:right w:val="single" w:sz="4" w:space="0" w:color="auto"/>
            </w:tcBorders>
            <w:shd w:val="clear" w:color="auto" w:fill="auto"/>
            <w:noWrap/>
            <w:vAlign w:val="center"/>
            <w:hideMark/>
          </w:tcPr>
          <w:p w14:paraId="5758DC0E"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-0,91%</w:t>
            </w:r>
          </w:p>
        </w:tc>
      </w:tr>
      <w:tr w:rsidR="009D4D51" w:rsidRPr="009D4D51" w14:paraId="6540B0D1" w14:textId="77777777" w:rsidTr="005E39B1">
        <w:trPr>
          <w:trHeight w:val="290"/>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7998A8D4" w14:textId="77777777" w:rsidR="009D4D51" w:rsidRPr="009D4D51" w:rsidRDefault="009D4D51" w:rsidP="00234CBE">
            <w:pPr>
              <w:spacing w:line="276" w:lineRule="auto"/>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Juzgado Penal Juvenil</w:t>
            </w:r>
          </w:p>
        </w:tc>
        <w:tc>
          <w:tcPr>
            <w:tcW w:w="1133" w:type="dxa"/>
            <w:tcBorders>
              <w:top w:val="nil"/>
              <w:left w:val="nil"/>
              <w:bottom w:val="single" w:sz="4" w:space="0" w:color="auto"/>
              <w:right w:val="single" w:sz="4" w:space="0" w:color="auto"/>
            </w:tcBorders>
            <w:shd w:val="clear" w:color="auto" w:fill="auto"/>
            <w:noWrap/>
            <w:vAlign w:val="center"/>
            <w:hideMark/>
          </w:tcPr>
          <w:p w14:paraId="7091C6FF"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722</w:t>
            </w:r>
          </w:p>
        </w:tc>
        <w:tc>
          <w:tcPr>
            <w:tcW w:w="1133" w:type="dxa"/>
            <w:tcBorders>
              <w:top w:val="nil"/>
              <w:left w:val="nil"/>
              <w:bottom w:val="single" w:sz="4" w:space="0" w:color="auto"/>
              <w:right w:val="single" w:sz="4" w:space="0" w:color="auto"/>
            </w:tcBorders>
            <w:shd w:val="clear" w:color="auto" w:fill="auto"/>
            <w:noWrap/>
            <w:vAlign w:val="center"/>
            <w:hideMark/>
          </w:tcPr>
          <w:p w14:paraId="238C19C0"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578</w:t>
            </w:r>
          </w:p>
        </w:tc>
        <w:tc>
          <w:tcPr>
            <w:tcW w:w="1133" w:type="dxa"/>
            <w:tcBorders>
              <w:top w:val="nil"/>
              <w:left w:val="nil"/>
              <w:bottom w:val="single" w:sz="4" w:space="0" w:color="auto"/>
              <w:right w:val="single" w:sz="4" w:space="0" w:color="auto"/>
            </w:tcBorders>
            <w:shd w:val="clear" w:color="auto" w:fill="auto"/>
            <w:noWrap/>
            <w:vAlign w:val="center"/>
            <w:hideMark/>
          </w:tcPr>
          <w:p w14:paraId="50C4B0FE"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448</w:t>
            </w:r>
          </w:p>
        </w:tc>
        <w:tc>
          <w:tcPr>
            <w:tcW w:w="1142" w:type="dxa"/>
            <w:tcBorders>
              <w:top w:val="nil"/>
              <w:left w:val="nil"/>
              <w:bottom w:val="single" w:sz="4" w:space="0" w:color="auto"/>
              <w:right w:val="single" w:sz="4" w:space="0" w:color="auto"/>
            </w:tcBorders>
            <w:shd w:val="clear" w:color="auto" w:fill="auto"/>
            <w:noWrap/>
            <w:vAlign w:val="center"/>
            <w:hideMark/>
          </w:tcPr>
          <w:p w14:paraId="24C6DCBD"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-37,95%</w:t>
            </w:r>
          </w:p>
        </w:tc>
        <w:tc>
          <w:tcPr>
            <w:tcW w:w="1142" w:type="dxa"/>
            <w:tcBorders>
              <w:top w:val="nil"/>
              <w:left w:val="nil"/>
              <w:bottom w:val="single" w:sz="4" w:space="0" w:color="auto"/>
              <w:right w:val="single" w:sz="4" w:space="0" w:color="auto"/>
            </w:tcBorders>
            <w:shd w:val="clear" w:color="auto" w:fill="auto"/>
            <w:noWrap/>
            <w:vAlign w:val="center"/>
            <w:hideMark/>
          </w:tcPr>
          <w:p w14:paraId="7C0EF7AD"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-22,42%</w:t>
            </w:r>
          </w:p>
        </w:tc>
      </w:tr>
      <w:tr w:rsidR="009D4D51" w:rsidRPr="009D4D51" w14:paraId="6F9283FE" w14:textId="77777777" w:rsidTr="005E39B1">
        <w:trPr>
          <w:trHeight w:val="290"/>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7DCC1D43" w14:textId="77777777" w:rsidR="009D4D51" w:rsidRPr="009D4D51" w:rsidRDefault="009D4D51" w:rsidP="00234CBE">
            <w:pPr>
              <w:spacing w:line="276" w:lineRule="auto"/>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Juzgados de Ejecución de la Pena</w:t>
            </w:r>
          </w:p>
        </w:tc>
        <w:tc>
          <w:tcPr>
            <w:tcW w:w="1133" w:type="dxa"/>
            <w:tcBorders>
              <w:top w:val="nil"/>
              <w:left w:val="nil"/>
              <w:bottom w:val="single" w:sz="4" w:space="0" w:color="auto"/>
              <w:right w:val="single" w:sz="4" w:space="0" w:color="auto"/>
            </w:tcBorders>
            <w:shd w:val="clear" w:color="auto" w:fill="auto"/>
            <w:noWrap/>
            <w:vAlign w:val="center"/>
            <w:hideMark/>
          </w:tcPr>
          <w:p w14:paraId="1A8B7D4B"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1234</w:t>
            </w:r>
          </w:p>
        </w:tc>
        <w:tc>
          <w:tcPr>
            <w:tcW w:w="1133" w:type="dxa"/>
            <w:tcBorders>
              <w:top w:val="nil"/>
              <w:left w:val="nil"/>
              <w:bottom w:val="single" w:sz="4" w:space="0" w:color="auto"/>
              <w:right w:val="single" w:sz="4" w:space="0" w:color="auto"/>
            </w:tcBorders>
            <w:shd w:val="clear" w:color="auto" w:fill="auto"/>
            <w:noWrap/>
            <w:vAlign w:val="center"/>
            <w:hideMark/>
          </w:tcPr>
          <w:p w14:paraId="745253BA"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1316</w:t>
            </w:r>
          </w:p>
        </w:tc>
        <w:tc>
          <w:tcPr>
            <w:tcW w:w="1133" w:type="dxa"/>
            <w:tcBorders>
              <w:top w:val="nil"/>
              <w:left w:val="nil"/>
              <w:bottom w:val="single" w:sz="4" w:space="0" w:color="auto"/>
              <w:right w:val="single" w:sz="4" w:space="0" w:color="auto"/>
            </w:tcBorders>
            <w:shd w:val="clear" w:color="auto" w:fill="auto"/>
            <w:noWrap/>
            <w:vAlign w:val="center"/>
            <w:hideMark/>
          </w:tcPr>
          <w:p w14:paraId="1562EA3A"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1476</w:t>
            </w:r>
          </w:p>
        </w:tc>
        <w:tc>
          <w:tcPr>
            <w:tcW w:w="1142" w:type="dxa"/>
            <w:tcBorders>
              <w:top w:val="nil"/>
              <w:left w:val="nil"/>
              <w:bottom w:val="single" w:sz="4" w:space="0" w:color="auto"/>
              <w:right w:val="single" w:sz="4" w:space="0" w:color="auto"/>
            </w:tcBorders>
            <w:shd w:val="clear" w:color="auto" w:fill="auto"/>
            <w:noWrap/>
            <w:vAlign w:val="center"/>
            <w:hideMark/>
          </w:tcPr>
          <w:p w14:paraId="0EC07D07"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19,61%</w:t>
            </w:r>
          </w:p>
        </w:tc>
        <w:tc>
          <w:tcPr>
            <w:tcW w:w="1142" w:type="dxa"/>
            <w:tcBorders>
              <w:top w:val="nil"/>
              <w:left w:val="nil"/>
              <w:bottom w:val="single" w:sz="4" w:space="0" w:color="auto"/>
              <w:right w:val="single" w:sz="4" w:space="0" w:color="auto"/>
            </w:tcBorders>
            <w:shd w:val="clear" w:color="auto" w:fill="auto"/>
            <w:noWrap/>
            <w:vAlign w:val="center"/>
            <w:hideMark/>
          </w:tcPr>
          <w:p w14:paraId="098933BD"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12,15%</w:t>
            </w:r>
          </w:p>
        </w:tc>
      </w:tr>
      <w:tr w:rsidR="009D4D51" w:rsidRPr="009D4D51" w14:paraId="218B3CAA" w14:textId="77777777" w:rsidTr="005E39B1">
        <w:trPr>
          <w:trHeight w:val="290"/>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62DE992A" w14:textId="77777777" w:rsidR="009D4D51" w:rsidRPr="009D4D51" w:rsidRDefault="009D4D51" w:rsidP="00234CBE">
            <w:pPr>
              <w:spacing w:line="276" w:lineRule="auto"/>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Juzgado de Ejecución Sanción Penal Juvenil</w:t>
            </w:r>
          </w:p>
        </w:tc>
        <w:tc>
          <w:tcPr>
            <w:tcW w:w="1133" w:type="dxa"/>
            <w:tcBorders>
              <w:top w:val="nil"/>
              <w:left w:val="nil"/>
              <w:bottom w:val="single" w:sz="4" w:space="0" w:color="auto"/>
              <w:right w:val="single" w:sz="4" w:space="0" w:color="auto"/>
            </w:tcBorders>
            <w:shd w:val="clear" w:color="auto" w:fill="auto"/>
            <w:noWrap/>
            <w:vAlign w:val="center"/>
            <w:hideMark/>
          </w:tcPr>
          <w:p w14:paraId="10A6BDB2"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352</w:t>
            </w:r>
          </w:p>
        </w:tc>
        <w:tc>
          <w:tcPr>
            <w:tcW w:w="1133" w:type="dxa"/>
            <w:tcBorders>
              <w:top w:val="nil"/>
              <w:left w:val="nil"/>
              <w:bottom w:val="single" w:sz="4" w:space="0" w:color="auto"/>
              <w:right w:val="single" w:sz="4" w:space="0" w:color="auto"/>
            </w:tcBorders>
            <w:shd w:val="clear" w:color="auto" w:fill="auto"/>
            <w:noWrap/>
            <w:vAlign w:val="center"/>
            <w:hideMark/>
          </w:tcPr>
          <w:p w14:paraId="67C81C8B"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284</w:t>
            </w:r>
          </w:p>
        </w:tc>
        <w:tc>
          <w:tcPr>
            <w:tcW w:w="1133" w:type="dxa"/>
            <w:tcBorders>
              <w:top w:val="nil"/>
              <w:left w:val="nil"/>
              <w:bottom w:val="single" w:sz="4" w:space="0" w:color="auto"/>
              <w:right w:val="single" w:sz="4" w:space="0" w:color="auto"/>
            </w:tcBorders>
            <w:shd w:val="clear" w:color="auto" w:fill="auto"/>
            <w:noWrap/>
            <w:vAlign w:val="center"/>
            <w:hideMark/>
          </w:tcPr>
          <w:p w14:paraId="02FBFA42"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261</w:t>
            </w:r>
          </w:p>
        </w:tc>
        <w:tc>
          <w:tcPr>
            <w:tcW w:w="1142" w:type="dxa"/>
            <w:tcBorders>
              <w:top w:val="nil"/>
              <w:left w:val="nil"/>
              <w:bottom w:val="single" w:sz="4" w:space="0" w:color="auto"/>
              <w:right w:val="single" w:sz="4" w:space="0" w:color="auto"/>
            </w:tcBorders>
            <w:shd w:val="clear" w:color="auto" w:fill="auto"/>
            <w:noWrap/>
            <w:vAlign w:val="center"/>
            <w:hideMark/>
          </w:tcPr>
          <w:p w14:paraId="17BC6FD3"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-25,78%</w:t>
            </w:r>
          </w:p>
        </w:tc>
        <w:tc>
          <w:tcPr>
            <w:tcW w:w="1142" w:type="dxa"/>
            <w:tcBorders>
              <w:top w:val="nil"/>
              <w:left w:val="nil"/>
              <w:bottom w:val="single" w:sz="4" w:space="0" w:color="auto"/>
              <w:right w:val="single" w:sz="4" w:space="0" w:color="auto"/>
            </w:tcBorders>
            <w:shd w:val="clear" w:color="auto" w:fill="auto"/>
            <w:noWrap/>
            <w:vAlign w:val="center"/>
            <w:hideMark/>
          </w:tcPr>
          <w:p w14:paraId="331AADD3"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-8,18%</w:t>
            </w:r>
          </w:p>
        </w:tc>
      </w:tr>
      <w:tr w:rsidR="009D4D51" w:rsidRPr="009D4D51" w14:paraId="091ECD7E" w14:textId="77777777" w:rsidTr="005E39B1">
        <w:trPr>
          <w:trHeight w:val="290"/>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75A30465" w14:textId="77777777" w:rsidR="009D4D51" w:rsidRPr="009D4D51" w:rsidRDefault="009D4D51" w:rsidP="00234CBE">
            <w:pPr>
              <w:spacing w:line="276" w:lineRule="auto"/>
              <w:rPr>
                <w:rFonts w:ascii="Book Antiqua" w:hAnsi="Book Antiqua" w:cs="Calibri"/>
                <w:b/>
                <w:bCs/>
                <w:color w:val="000000"/>
                <w:sz w:val="16"/>
                <w:szCs w:val="16"/>
                <w:lang w:eastAsia="es-CR"/>
              </w:rPr>
            </w:pPr>
            <w:r w:rsidRPr="009D4D51">
              <w:rPr>
                <w:rFonts w:ascii="Book Antiqua" w:hAnsi="Book Antiqua" w:cs="Calibri"/>
                <w:b/>
                <w:bCs/>
                <w:color w:val="000000"/>
                <w:sz w:val="16"/>
                <w:szCs w:val="16"/>
                <w:lang w:eastAsia="es-CR"/>
              </w:rPr>
              <w:t>No Penal</w:t>
            </w:r>
          </w:p>
        </w:tc>
        <w:tc>
          <w:tcPr>
            <w:tcW w:w="1133" w:type="dxa"/>
            <w:tcBorders>
              <w:top w:val="nil"/>
              <w:left w:val="nil"/>
              <w:bottom w:val="single" w:sz="4" w:space="0" w:color="auto"/>
              <w:right w:val="single" w:sz="4" w:space="0" w:color="auto"/>
            </w:tcBorders>
            <w:shd w:val="clear" w:color="auto" w:fill="auto"/>
            <w:noWrap/>
            <w:vAlign w:val="center"/>
            <w:hideMark/>
          </w:tcPr>
          <w:p w14:paraId="09EC9134" w14:textId="77777777" w:rsidR="009D4D51" w:rsidRPr="009D4D51" w:rsidRDefault="009D4D51" w:rsidP="00234CBE">
            <w:pPr>
              <w:spacing w:line="276" w:lineRule="auto"/>
              <w:jc w:val="center"/>
              <w:rPr>
                <w:rFonts w:ascii="Book Antiqua" w:hAnsi="Book Antiqua" w:cs="Calibri"/>
                <w:b/>
                <w:bCs/>
                <w:color w:val="000000"/>
                <w:sz w:val="16"/>
                <w:szCs w:val="16"/>
                <w:lang w:eastAsia="es-CR"/>
              </w:rPr>
            </w:pPr>
            <w:r w:rsidRPr="009D4D51">
              <w:rPr>
                <w:rFonts w:ascii="Book Antiqua" w:hAnsi="Book Antiqua" w:cs="Calibri"/>
                <w:b/>
                <w:bCs/>
                <w:color w:val="000000"/>
                <w:sz w:val="16"/>
                <w:szCs w:val="16"/>
                <w:lang w:eastAsia="es-CR"/>
              </w:rPr>
              <w:t>48546</w:t>
            </w:r>
          </w:p>
        </w:tc>
        <w:tc>
          <w:tcPr>
            <w:tcW w:w="1133" w:type="dxa"/>
            <w:tcBorders>
              <w:top w:val="nil"/>
              <w:left w:val="nil"/>
              <w:bottom w:val="single" w:sz="4" w:space="0" w:color="auto"/>
              <w:right w:val="single" w:sz="4" w:space="0" w:color="auto"/>
            </w:tcBorders>
            <w:shd w:val="clear" w:color="auto" w:fill="auto"/>
            <w:noWrap/>
            <w:vAlign w:val="center"/>
            <w:hideMark/>
          </w:tcPr>
          <w:p w14:paraId="538B2AC4" w14:textId="77777777" w:rsidR="009D4D51" w:rsidRPr="009D4D51" w:rsidRDefault="009D4D51" w:rsidP="00234CBE">
            <w:pPr>
              <w:spacing w:line="276" w:lineRule="auto"/>
              <w:jc w:val="center"/>
              <w:rPr>
                <w:rFonts w:ascii="Book Antiqua" w:hAnsi="Book Antiqua" w:cs="Calibri"/>
                <w:b/>
                <w:bCs/>
                <w:color w:val="000000"/>
                <w:sz w:val="16"/>
                <w:szCs w:val="16"/>
                <w:lang w:eastAsia="es-CR"/>
              </w:rPr>
            </w:pPr>
            <w:r w:rsidRPr="009D4D51">
              <w:rPr>
                <w:rFonts w:ascii="Book Antiqua" w:hAnsi="Book Antiqua" w:cs="Calibri"/>
                <w:b/>
                <w:bCs/>
                <w:color w:val="000000"/>
                <w:sz w:val="16"/>
                <w:szCs w:val="16"/>
                <w:lang w:eastAsia="es-CR"/>
              </w:rPr>
              <w:t>38627</w:t>
            </w:r>
          </w:p>
        </w:tc>
        <w:tc>
          <w:tcPr>
            <w:tcW w:w="1133" w:type="dxa"/>
            <w:tcBorders>
              <w:top w:val="nil"/>
              <w:left w:val="nil"/>
              <w:bottom w:val="single" w:sz="4" w:space="0" w:color="auto"/>
              <w:right w:val="single" w:sz="4" w:space="0" w:color="auto"/>
            </w:tcBorders>
            <w:shd w:val="clear" w:color="auto" w:fill="auto"/>
            <w:noWrap/>
            <w:vAlign w:val="center"/>
            <w:hideMark/>
          </w:tcPr>
          <w:p w14:paraId="1CF487DB" w14:textId="77777777" w:rsidR="009D4D51" w:rsidRPr="009D4D51" w:rsidRDefault="009D4D51" w:rsidP="00234CBE">
            <w:pPr>
              <w:spacing w:line="276" w:lineRule="auto"/>
              <w:jc w:val="center"/>
              <w:rPr>
                <w:rFonts w:ascii="Book Antiqua" w:hAnsi="Book Antiqua" w:cs="Calibri"/>
                <w:b/>
                <w:bCs/>
                <w:color w:val="000000"/>
                <w:sz w:val="16"/>
                <w:szCs w:val="16"/>
                <w:lang w:eastAsia="es-CR"/>
              </w:rPr>
            </w:pPr>
            <w:r w:rsidRPr="009D4D51">
              <w:rPr>
                <w:rFonts w:ascii="Book Antiqua" w:hAnsi="Book Antiqua" w:cs="Calibri"/>
                <w:b/>
                <w:bCs/>
                <w:color w:val="000000"/>
                <w:sz w:val="16"/>
                <w:szCs w:val="16"/>
                <w:lang w:eastAsia="es-CR"/>
              </w:rPr>
              <w:t>38778</w:t>
            </w:r>
          </w:p>
        </w:tc>
        <w:tc>
          <w:tcPr>
            <w:tcW w:w="1142" w:type="dxa"/>
            <w:tcBorders>
              <w:top w:val="nil"/>
              <w:left w:val="nil"/>
              <w:bottom w:val="single" w:sz="4" w:space="0" w:color="auto"/>
              <w:right w:val="single" w:sz="4" w:space="0" w:color="auto"/>
            </w:tcBorders>
            <w:shd w:val="clear" w:color="auto" w:fill="auto"/>
            <w:noWrap/>
            <w:vAlign w:val="center"/>
            <w:hideMark/>
          </w:tcPr>
          <w:p w14:paraId="6C0CB08D" w14:textId="77777777" w:rsidR="009D4D51" w:rsidRPr="009D4D51" w:rsidRDefault="009D4D51" w:rsidP="00234CBE">
            <w:pPr>
              <w:spacing w:line="276" w:lineRule="auto"/>
              <w:jc w:val="center"/>
              <w:rPr>
                <w:rFonts w:ascii="Book Antiqua" w:hAnsi="Book Antiqua" w:cs="Calibri"/>
                <w:b/>
                <w:bCs/>
                <w:color w:val="000000"/>
                <w:sz w:val="16"/>
                <w:szCs w:val="16"/>
                <w:lang w:eastAsia="es-CR"/>
              </w:rPr>
            </w:pPr>
            <w:r w:rsidRPr="009D4D51">
              <w:rPr>
                <w:rFonts w:ascii="Book Antiqua" w:hAnsi="Book Antiqua" w:cs="Calibri"/>
                <w:b/>
                <w:bCs/>
                <w:color w:val="000000"/>
                <w:sz w:val="16"/>
                <w:szCs w:val="16"/>
                <w:lang w:eastAsia="es-CR"/>
              </w:rPr>
              <w:t>-20,12%</w:t>
            </w:r>
          </w:p>
        </w:tc>
        <w:tc>
          <w:tcPr>
            <w:tcW w:w="1142" w:type="dxa"/>
            <w:tcBorders>
              <w:top w:val="nil"/>
              <w:left w:val="nil"/>
              <w:bottom w:val="single" w:sz="4" w:space="0" w:color="auto"/>
              <w:right w:val="single" w:sz="4" w:space="0" w:color="auto"/>
            </w:tcBorders>
            <w:shd w:val="clear" w:color="auto" w:fill="auto"/>
            <w:noWrap/>
            <w:vAlign w:val="center"/>
            <w:hideMark/>
          </w:tcPr>
          <w:p w14:paraId="3DDE02D0" w14:textId="77777777" w:rsidR="009D4D51" w:rsidRPr="009D4D51" w:rsidRDefault="009D4D51" w:rsidP="00234CBE">
            <w:pPr>
              <w:spacing w:line="276" w:lineRule="auto"/>
              <w:jc w:val="center"/>
              <w:rPr>
                <w:rFonts w:ascii="Book Antiqua" w:hAnsi="Book Antiqua" w:cs="Calibri"/>
                <w:b/>
                <w:bCs/>
                <w:color w:val="000000"/>
                <w:sz w:val="16"/>
                <w:szCs w:val="16"/>
                <w:lang w:eastAsia="es-CR"/>
              </w:rPr>
            </w:pPr>
            <w:r w:rsidRPr="009D4D51">
              <w:rPr>
                <w:rFonts w:ascii="Book Antiqua" w:hAnsi="Book Antiqua" w:cs="Calibri"/>
                <w:b/>
                <w:bCs/>
                <w:color w:val="000000"/>
                <w:sz w:val="16"/>
                <w:szCs w:val="16"/>
                <w:lang w:eastAsia="es-CR"/>
              </w:rPr>
              <w:t>0,39%</w:t>
            </w:r>
          </w:p>
        </w:tc>
      </w:tr>
      <w:tr w:rsidR="009D4D51" w:rsidRPr="009D4D51" w14:paraId="7276CEF8" w14:textId="77777777" w:rsidTr="005E39B1">
        <w:trPr>
          <w:trHeight w:val="290"/>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7DBE0BC6" w14:textId="77777777" w:rsidR="009D4D51" w:rsidRPr="009D4D51" w:rsidRDefault="009D4D51" w:rsidP="00234CBE">
            <w:pPr>
              <w:spacing w:line="276" w:lineRule="auto"/>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Civil</w:t>
            </w:r>
          </w:p>
        </w:tc>
        <w:tc>
          <w:tcPr>
            <w:tcW w:w="1133" w:type="dxa"/>
            <w:tcBorders>
              <w:top w:val="nil"/>
              <w:left w:val="nil"/>
              <w:bottom w:val="single" w:sz="4" w:space="0" w:color="auto"/>
              <w:right w:val="single" w:sz="4" w:space="0" w:color="auto"/>
            </w:tcBorders>
            <w:shd w:val="clear" w:color="auto" w:fill="auto"/>
            <w:noWrap/>
            <w:vAlign w:val="center"/>
            <w:hideMark/>
          </w:tcPr>
          <w:p w14:paraId="7ED6A330"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1437</w:t>
            </w:r>
          </w:p>
        </w:tc>
        <w:tc>
          <w:tcPr>
            <w:tcW w:w="1133" w:type="dxa"/>
            <w:tcBorders>
              <w:top w:val="nil"/>
              <w:left w:val="nil"/>
              <w:bottom w:val="single" w:sz="4" w:space="0" w:color="auto"/>
              <w:right w:val="single" w:sz="4" w:space="0" w:color="auto"/>
            </w:tcBorders>
            <w:shd w:val="clear" w:color="auto" w:fill="auto"/>
            <w:noWrap/>
            <w:vAlign w:val="center"/>
            <w:hideMark/>
          </w:tcPr>
          <w:p w14:paraId="0B3F56CF"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1322</w:t>
            </w:r>
          </w:p>
        </w:tc>
        <w:tc>
          <w:tcPr>
            <w:tcW w:w="1133" w:type="dxa"/>
            <w:tcBorders>
              <w:top w:val="nil"/>
              <w:left w:val="nil"/>
              <w:bottom w:val="single" w:sz="4" w:space="0" w:color="auto"/>
              <w:right w:val="single" w:sz="4" w:space="0" w:color="auto"/>
            </w:tcBorders>
            <w:shd w:val="clear" w:color="auto" w:fill="auto"/>
            <w:noWrap/>
            <w:vAlign w:val="center"/>
            <w:hideMark/>
          </w:tcPr>
          <w:p w14:paraId="17F20C1B"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1413</w:t>
            </w:r>
          </w:p>
        </w:tc>
        <w:tc>
          <w:tcPr>
            <w:tcW w:w="1142" w:type="dxa"/>
            <w:tcBorders>
              <w:top w:val="nil"/>
              <w:left w:val="nil"/>
              <w:bottom w:val="single" w:sz="4" w:space="0" w:color="auto"/>
              <w:right w:val="single" w:sz="4" w:space="0" w:color="auto"/>
            </w:tcBorders>
            <w:shd w:val="clear" w:color="auto" w:fill="auto"/>
            <w:noWrap/>
            <w:vAlign w:val="center"/>
            <w:hideMark/>
          </w:tcPr>
          <w:p w14:paraId="3BC73788"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-1,65%</w:t>
            </w:r>
          </w:p>
        </w:tc>
        <w:tc>
          <w:tcPr>
            <w:tcW w:w="1142" w:type="dxa"/>
            <w:tcBorders>
              <w:top w:val="nil"/>
              <w:left w:val="nil"/>
              <w:bottom w:val="single" w:sz="4" w:space="0" w:color="auto"/>
              <w:right w:val="single" w:sz="4" w:space="0" w:color="auto"/>
            </w:tcBorders>
            <w:shd w:val="clear" w:color="auto" w:fill="auto"/>
            <w:noWrap/>
            <w:vAlign w:val="center"/>
            <w:hideMark/>
          </w:tcPr>
          <w:p w14:paraId="64AA406F"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6,87%</w:t>
            </w:r>
          </w:p>
        </w:tc>
      </w:tr>
      <w:tr w:rsidR="009D4D51" w:rsidRPr="009D4D51" w14:paraId="11836176" w14:textId="77777777" w:rsidTr="005E39B1">
        <w:trPr>
          <w:trHeight w:val="290"/>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52EEE878" w14:textId="77777777" w:rsidR="009D4D51" w:rsidRPr="009D4D51" w:rsidRDefault="009D4D51" w:rsidP="00234CBE">
            <w:pPr>
              <w:spacing w:line="276" w:lineRule="auto"/>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Cobro</w:t>
            </w:r>
          </w:p>
        </w:tc>
        <w:tc>
          <w:tcPr>
            <w:tcW w:w="1133" w:type="dxa"/>
            <w:tcBorders>
              <w:top w:val="nil"/>
              <w:left w:val="nil"/>
              <w:bottom w:val="single" w:sz="4" w:space="0" w:color="auto"/>
              <w:right w:val="single" w:sz="4" w:space="0" w:color="auto"/>
            </w:tcBorders>
            <w:shd w:val="clear" w:color="auto" w:fill="auto"/>
            <w:noWrap/>
            <w:vAlign w:val="center"/>
            <w:hideMark/>
          </w:tcPr>
          <w:p w14:paraId="32591E7C"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21132</w:t>
            </w:r>
          </w:p>
        </w:tc>
        <w:tc>
          <w:tcPr>
            <w:tcW w:w="1133" w:type="dxa"/>
            <w:tcBorders>
              <w:top w:val="nil"/>
              <w:left w:val="nil"/>
              <w:bottom w:val="single" w:sz="4" w:space="0" w:color="auto"/>
              <w:right w:val="single" w:sz="4" w:space="0" w:color="auto"/>
            </w:tcBorders>
            <w:shd w:val="clear" w:color="auto" w:fill="auto"/>
            <w:noWrap/>
            <w:vAlign w:val="center"/>
            <w:hideMark/>
          </w:tcPr>
          <w:p w14:paraId="1FF33B30"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16221</w:t>
            </w:r>
          </w:p>
        </w:tc>
        <w:tc>
          <w:tcPr>
            <w:tcW w:w="1133" w:type="dxa"/>
            <w:tcBorders>
              <w:top w:val="nil"/>
              <w:left w:val="nil"/>
              <w:bottom w:val="single" w:sz="4" w:space="0" w:color="auto"/>
              <w:right w:val="single" w:sz="4" w:space="0" w:color="auto"/>
            </w:tcBorders>
            <w:shd w:val="clear" w:color="auto" w:fill="auto"/>
            <w:noWrap/>
            <w:vAlign w:val="center"/>
            <w:hideMark/>
          </w:tcPr>
          <w:p w14:paraId="5132667F"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14043</w:t>
            </w:r>
          </w:p>
        </w:tc>
        <w:tc>
          <w:tcPr>
            <w:tcW w:w="1142" w:type="dxa"/>
            <w:tcBorders>
              <w:top w:val="nil"/>
              <w:left w:val="nil"/>
              <w:bottom w:val="single" w:sz="4" w:space="0" w:color="auto"/>
              <w:right w:val="single" w:sz="4" w:space="0" w:color="auto"/>
            </w:tcBorders>
            <w:shd w:val="clear" w:color="auto" w:fill="auto"/>
            <w:noWrap/>
            <w:vAlign w:val="center"/>
            <w:hideMark/>
          </w:tcPr>
          <w:p w14:paraId="1592E99C"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-33,55%</w:t>
            </w:r>
          </w:p>
        </w:tc>
        <w:tc>
          <w:tcPr>
            <w:tcW w:w="1142" w:type="dxa"/>
            <w:tcBorders>
              <w:top w:val="nil"/>
              <w:left w:val="nil"/>
              <w:bottom w:val="single" w:sz="4" w:space="0" w:color="auto"/>
              <w:right w:val="single" w:sz="4" w:space="0" w:color="auto"/>
            </w:tcBorders>
            <w:shd w:val="clear" w:color="auto" w:fill="auto"/>
            <w:noWrap/>
            <w:vAlign w:val="center"/>
            <w:hideMark/>
          </w:tcPr>
          <w:p w14:paraId="4018C67C"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-13,43%</w:t>
            </w:r>
          </w:p>
        </w:tc>
      </w:tr>
      <w:tr w:rsidR="009D4D51" w:rsidRPr="009D4D51" w14:paraId="0FDEBC14" w14:textId="77777777" w:rsidTr="005E39B1">
        <w:trPr>
          <w:trHeight w:val="290"/>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783E9A3F" w14:textId="77777777" w:rsidR="009D4D51" w:rsidRPr="009D4D51" w:rsidRDefault="009D4D51" w:rsidP="00234CBE">
            <w:pPr>
              <w:spacing w:line="276" w:lineRule="auto"/>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Notarial</w:t>
            </w:r>
          </w:p>
        </w:tc>
        <w:tc>
          <w:tcPr>
            <w:tcW w:w="1133" w:type="dxa"/>
            <w:tcBorders>
              <w:top w:val="nil"/>
              <w:left w:val="nil"/>
              <w:bottom w:val="single" w:sz="4" w:space="0" w:color="auto"/>
              <w:right w:val="single" w:sz="4" w:space="0" w:color="auto"/>
            </w:tcBorders>
            <w:shd w:val="clear" w:color="auto" w:fill="auto"/>
            <w:noWrap/>
            <w:vAlign w:val="center"/>
            <w:hideMark/>
          </w:tcPr>
          <w:p w14:paraId="14B04D70"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135</w:t>
            </w:r>
          </w:p>
        </w:tc>
        <w:tc>
          <w:tcPr>
            <w:tcW w:w="1133" w:type="dxa"/>
            <w:tcBorders>
              <w:top w:val="nil"/>
              <w:left w:val="nil"/>
              <w:bottom w:val="single" w:sz="4" w:space="0" w:color="auto"/>
              <w:right w:val="single" w:sz="4" w:space="0" w:color="auto"/>
            </w:tcBorders>
            <w:shd w:val="clear" w:color="auto" w:fill="auto"/>
            <w:noWrap/>
            <w:vAlign w:val="center"/>
            <w:hideMark/>
          </w:tcPr>
          <w:p w14:paraId="4A97808D"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84</w:t>
            </w:r>
          </w:p>
        </w:tc>
        <w:tc>
          <w:tcPr>
            <w:tcW w:w="1133" w:type="dxa"/>
            <w:tcBorders>
              <w:top w:val="nil"/>
              <w:left w:val="nil"/>
              <w:bottom w:val="single" w:sz="4" w:space="0" w:color="auto"/>
              <w:right w:val="single" w:sz="4" w:space="0" w:color="auto"/>
            </w:tcBorders>
            <w:shd w:val="clear" w:color="auto" w:fill="auto"/>
            <w:noWrap/>
            <w:vAlign w:val="center"/>
            <w:hideMark/>
          </w:tcPr>
          <w:p w14:paraId="312B8A46"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99</w:t>
            </w:r>
          </w:p>
        </w:tc>
        <w:tc>
          <w:tcPr>
            <w:tcW w:w="1142" w:type="dxa"/>
            <w:tcBorders>
              <w:top w:val="nil"/>
              <w:left w:val="nil"/>
              <w:bottom w:val="single" w:sz="4" w:space="0" w:color="auto"/>
              <w:right w:val="single" w:sz="4" w:space="0" w:color="auto"/>
            </w:tcBorders>
            <w:shd w:val="clear" w:color="auto" w:fill="auto"/>
            <w:noWrap/>
            <w:vAlign w:val="center"/>
            <w:hideMark/>
          </w:tcPr>
          <w:p w14:paraId="6E646C3B"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-26,53%</w:t>
            </w:r>
          </w:p>
        </w:tc>
        <w:tc>
          <w:tcPr>
            <w:tcW w:w="1142" w:type="dxa"/>
            <w:tcBorders>
              <w:top w:val="nil"/>
              <w:left w:val="nil"/>
              <w:bottom w:val="single" w:sz="4" w:space="0" w:color="auto"/>
              <w:right w:val="single" w:sz="4" w:space="0" w:color="auto"/>
            </w:tcBorders>
            <w:shd w:val="clear" w:color="auto" w:fill="auto"/>
            <w:noWrap/>
            <w:vAlign w:val="center"/>
            <w:hideMark/>
          </w:tcPr>
          <w:p w14:paraId="1D98F43E"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18,16%</w:t>
            </w:r>
          </w:p>
        </w:tc>
      </w:tr>
      <w:tr w:rsidR="009D4D51" w:rsidRPr="009D4D51" w14:paraId="6E6DB038" w14:textId="77777777" w:rsidTr="005E39B1">
        <w:trPr>
          <w:trHeight w:val="290"/>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6EE1FEAA" w14:textId="77777777" w:rsidR="009D4D51" w:rsidRPr="009D4D51" w:rsidRDefault="009D4D51" w:rsidP="00234CBE">
            <w:pPr>
              <w:spacing w:line="276" w:lineRule="auto"/>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Contencioso Administrativo</w:t>
            </w:r>
          </w:p>
        </w:tc>
        <w:tc>
          <w:tcPr>
            <w:tcW w:w="1133" w:type="dxa"/>
            <w:tcBorders>
              <w:top w:val="nil"/>
              <w:left w:val="nil"/>
              <w:bottom w:val="single" w:sz="4" w:space="0" w:color="auto"/>
              <w:right w:val="single" w:sz="4" w:space="0" w:color="auto"/>
            </w:tcBorders>
            <w:shd w:val="clear" w:color="auto" w:fill="auto"/>
            <w:noWrap/>
            <w:vAlign w:val="center"/>
            <w:hideMark/>
          </w:tcPr>
          <w:p w14:paraId="6EF3B0D2"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923</w:t>
            </w:r>
          </w:p>
        </w:tc>
        <w:tc>
          <w:tcPr>
            <w:tcW w:w="1133" w:type="dxa"/>
            <w:tcBorders>
              <w:top w:val="nil"/>
              <w:left w:val="nil"/>
              <w:bottom w:val="single" w:sz="4" w:space="0" w:color="auto"/>
              <w:right w:val="single" w:sz="4" w:space="0" w:color="auto"/>
            </w:tcBorders>
            <w:shd w:val="clear" w:color="auto" w:fill="auto"/>
            <w:noWrap/>
            <w:vAlign w:val="center"/>
            <w:hideMark/>
          </w:tcPr>
          <w:p w14:paraId="15D36C3E"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734</w:t>
            </w:r>
          </w:p>
        </w:tc>
        <w:tc>
          <w:tcPr>
            <w:tcW w:w="1133" w:type="dxa"/>
            <w:tcBorders>
              <w:top w:val="nil"/>
              <w:left w:val="nil"/>
              <w:bottom w:val="single" w:sz="4" w:space="0" w:color="auto"/>
              <w:right w:val="single" w:sz="4" w:space="0" w:color="auto"/>
            </w:tcBorders>
            <w:shd w:val="clear" w:color="auto" w:fill="auto"/>
            <w:noWrap/>
            <w:vAlign w:val="center"/>
            <w:hideMark/>
          </w:tcPr>
          <w:p w14:paraId="6AEC350D"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954</w:t>
            </w:r>
          </w:p>
        </w:tc>
        <w:tc>
          <w:tcPr>
            <w:tcW w:w="1142" w:type="dxa"/>
            <w:tcBorders>
              <w:top w:val="nil"/>
              <w:left w:val="nil"/>
              <w:bottom w:val="single" w:sz="4" w:space="0" w:color="auto"/>
              <w:right w:val="single" w:sz="4" w:space="0" w:color="auto"/>
            </w:tcBorders>
            <w:shd w:val="clear" w:color="auto" w:fill="auto"/>
            <w:noWrap/>
            <w:vAlign w:val="center"/>
            <w:hideMark/>
          </w:tcPr>
          <w:p w14:paraId="02BC2C36"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3,39%</w:t>
            </w:r>
          </w:p>
        </w:tc>
        <w:tc>
          <w:tcPr>
            <w:tcW w:w="1142" w:type="dxa"/>
            <w:tcBorders>
              <w:top w:val="nil"/>
              <w:left w:val="nil"/>
              <w:bottom w:val="single" w:sz="4" w:space="0" w:color="auto"/>
              <w:right w:val="single" w:sz="4" w:space="0" w:color="auto"/>
            </w:tcBorders>
            <w:shd w:val="clear" w:color="auto" w:fill="auto"/>
            <w:noWrap/>
            <w:vAlign w:val="center"/>
            <w:hideMark/>
          </w:tcPr>
          <w:p w14:paraId="07F8CA18"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29,98%</w:t>
            </w:r>
          </w:p>
        </w:tc>
      </w:tr>
      <w:tr w:rsidR="009D4D51" w:rsidRPr="009D4D51" w14:paraId="61C054AB" w14:textId="77777777" w:rsidTr="005E39B1">
        <w:trPr>
          <w:trHeight w:val="290"/>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010E3958" w14:textId="77777777" w:rsidR="009D4D51" w:rsidRPr="009D4D51" w:rsidRDefault="009D4D51" w:rsidP="00234CBE">
            <w:pPr>
              <w:spacing w:line="276" w:lineRule="auto"/>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Violencia Doméstica</w:t>
            </w:r>
          </w:p>
        </w:tc>
        <w:tc>
          <w:tcPr>
            <w:tcW w:w="1133" w:type="dxa"/>
            <w:tcBorders>
              <w:top w:val="nil"/>
              <w:left w:val="nil"/>
              <w:bottom w:val="single" w:sz="4" w:space="0" w:color="auto"/>
              <w:right w:val="single" w:sz="4" w:space="0" w:color="auto"/>
            </w:tcBorders>
            <w:shd w:val="clear" w:color="auto" w:fill="auto"/>
            <w:noWrap/>
            <w:vAlign w:val="center"/>
            <w:hideMark/>
          </w:tcPr>
          <w:p w14:paraId="19BA839E"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4603</w:t>
            </w:r>
          </w:p>
        </w:tc>
        <w:tc>
          <w:tcPr>
            <w:tcW w:w="1133" w:type="dxa"/>
            <w:tcBorders>
              <w:top w:val="nil"/>
              <w:left w:val="nil"/>
              <w:bottom w:val="single" w:sz="4" w:space="0" w:color="auto"/>
              <w:right w:val="single" w:sz="4" w:space="0" w:color="auto"/>
            </w:tcBorders>
            <w:shd w:val="clear" w:color="auto" w:fill="auto"/>
            <w:noWrap/>
            <w:vAlign w:val="center"/>
            <w:hideMark/>
          </w:tcPr>
          <w:p w14:paraId="2358030B"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4710</w:t>
            </w:r>
          </w:p>
        </w:tc>
        <w:tc>
          <w:tcPr>
            <w:tcW w:w="1133" w:type="dxa"/>
            <w:tcBorders>
              <w:top w:val="nil"/>
              <w:left w:val="nil"/>
              <w:bottom w:val="single" w:sz="4" w:space="0" w:color="auto"/>
              <w:right w:val="single" w:sz="4" w:space="0" w:color="auto"/>
            </w:tcBorders>
            <w:shd w:val="clear" w:color="auto" w:fill="auto"/>
            <w:noWrap/>
            <w:vAlign w:val="center"/>
            <w:hideMark/>
          </w:tcPr>
          <w:p w14:paraId="02797648"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4445</w:t>
            </w:r>
          </w:p>
        </w:tc>
        <w:tc>
          <w:tcPr>
            <w:tcW w:w="1142" w:type="dxa"/>
            <w:tcBorders>
              <w:top w:val="nil"/>
              <w:left w:val="nil"/>
              <w:bottom w:val="single" w:sz="4" w:space="0" w:color="auto"/>
              <w:right w:val="single" w:sz="4" w:space="0" w:color="auto"/>
            </w:tcBorders>
            <w:shd w:val="clear" w:color="auto" w:fill="auto"/>
            <w:noWrap/>
            <w:vAlign w:val="center"/>
            <w:hideMark/>
          </w:tcPr>
          <w:p w14:paraId="08BB699C"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-3,42%</w:t>
            </w:r>
          </w:p>
        </w:tc>
        <w:tc>
          <w:tcPr>
            <w:tcW w:w="1142" w:type="dxa"/>
            <w:tcBorders>
              <w:top w:val="nil"/>
              <w:left w:val="nil"/>
              <w:bottom w:val="single" w:sz="4" w:space="0" w:color="auto"/>
              <w:right w:val="single" w:sz="4" w:space="0" w:color="auto"/>
            </w:tcBorders>
            <w:shd w:val="clear" w:color="auto" w:fill="auto"/>
            <w:noWrap/>
            <w:vAlign w:val="center"/>
            <w:hideMark/>
          </w:tcPr>
          <w:p w14:paraId="18CF3F69"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-5,62%</w:t>
            </w:r>
          </w:p>
        </w:tc>
      </w:tr>
      <w:tr w:rsidR="009D4D51" w:rsidRPr="009D4D51" w14:paraId="24E5C6BE" w14:textId="77777777" w:rsidTr="005E39B1">
        <w:trPr>
          <w:trHeight w:val="290"/>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2A7D1FE7" w14:textId="77777777" w:rsidR="009D4D51" w:rsidRPr="009D4D51" w:rsidRDefault="009D4D51" w:rsidP="00234CBE">
            <w:pPr>
              <w:spacing w:line="276" w:lineRule="auto"/>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 xml:space="preserve">Pensiones Alimentarias </w:t>
            </w:r>
          </w:p>
        </w:tc>
        <w:tc>
          <w:tcPr>
            <w:tcW w:w="1133" w:type="dxa"/>
            <w:tcBorders>
              <w:top w:val="nil"/>
              <w:left w:val="nil"/>
              <w:bottom w:val="single" w:sz="4" w:space="0" w:color="auto"/>
              <w:right w:val="single" w:sz="4" w:space="0" w:color="auto"/>
            </w:tcBorders>
            <w:shd w:val="clear" w:color="auto" w:fill="auto"/>
            <w:noWrap/>
            <w:vAlign w:val="center"/>
            <w:hideMark/>
          </w:tcPr>
          <w:p w14:paraId="1D3DBD75"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3760</w:t>
            </w:r>
          </w:p>
        </w:tc>
        <w:tc>
          <w:tcPr>
            <w:tcW w:w="1133" w:type="dxa"/>
            <w:tcBorders>
              <w:top w:val="nil"/>
              <w:left w:val="nil"/>
              <w:bottom w:val="single" w:sz="4" w:space="0" w:color="auto"/>
              <w:right w:val="single" w:sz="4" w:space="0" w:color="auto"/>
            </w:tcBorders>
            <w:shd w:val="clear" w:color="auto" w:fill="auto"/>
            <w:noWrap/>
            <w:vAlign w:val="center"/>
            <w:hideMark/>
          </w:tcPr>
          <w:p w14:paraId="6499F17E"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2827</w:t>
            </w:r>
          </w:p>
        </w:tc>
        <w:tc>
          <w:tcPr>
            <w:tcW w:w="1133" w:type="dxa"/>
            <w:tcBorders>
              <w:top w:val="nil"/>
              <w:left w:val="nil"/>
              <w:bottom w:val="single" w:sz="4" w:space="0" w:color="auto"/>
              <w:right w:val="single" w:sz="4" w:space="0" w:color="auto"/>
            </w:tcBorders>
            <w:shd w:val="clear" w:color="auto" w:fill="auto"/>
            <w:noWrap/>
            <w:vAlign w:val="center"/>
            <w:hideMark/>
          </w:tcPr>
          <w:p w14:paraId="00D24D43"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3141</w:t>
            </w:r>
          </w:p>
        </w:tc>
        <w:tc>
          <w:tcPr>
            <w:tcW w:w="1142" w:type="dxa"/>
            <w:tcBorders>
              <w:top w:val="nil"/>
              <w:left w:val="nil"/>
              <w:bottom w:val="single" w:sz="4" w:space="0" w:color="auto"/>
              <w:right w:val="single" w:sz="4" w:space="0" w:color="auto"/>
            </w:tcBorders>
            <w:shd w:val="clear" w:color="auto" w:fill="auto"/>
            <w:noWrap/>
            <w:vAlign w:val="center"/>
            <w:hideMark/>
          </w:tcPr>
          <w:p w14:paraId="1EEAB8B1"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-16,48%</w:t>
            </w:r>
          </w:p>
        </w:tc>
        <w:tc>
          <w:tcPr>
            <w:tcW w:w="1142" w:type="dxa"/>
            <w:tcBorders>
              <w:top w:val="nil"/>
              <w:left w:val="nil"/>
              <w:bottom w:val="single" w:sz="4" w:space="0" w:color="auto"/>
              <w:right w:val="single" w:sz="4" w:space="0" w:color="auto"/>
            </w:tcBorders>
            <w:shd w:val="clear" w:color="auto" w:fill="auto"/>
            <w:noWrap/>
            <w:vAlign w:val="center"/>
            <w:hideMark/>
          </w:tcPr>
          <w:p w14:paraId="2DBC1E5E"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11,11%</w:t>
            </w:r>
          </w:p>
        </w:tc>
      </w:tr>
      <w:tr w:rsidR="009D4D51" w:rsidRPr="009D4D51" w14:paraId="1996BA81" w14:textId="77777777" w:rsidTr="005E39B1">
        <w:trPr>
          <w:trHeight w:val="290"/>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1E0626E7" w14:textId="77777777" w:rsidR="009D4D51" w:rsidRPr="009D4D51" w:rsidRDefault="009D4D51" w:rsidP="00234CBE">
            <w:pPr>
              <w:spacing w:line="276" w:lineRule="auto"/>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Familia</w:t>
            </w:r>
          </w:p>
        </w:tc>
        <w:tc>
          <w:tcPr>
            <w:tcW w:w="1133" w:type="dxa"/>
            <w:tcBorders>
              <w:top w:val="nil"/>
              <w:left w:val="nil"/>
              <w:bottom w:val="single" w:sz="4" w:space="0" w:color="auto"/>
              <w:right w:val="single" w:sz="4" w:space="0" w:color="auto"/>
            </w:tcBorders>
            <w:shd w:val="clear" w:color="auto" w:fill="auto"/>
            <w:noWrap/>
            <w:vAlign w:val="center"/>
            <w:hideMark/>
          </w:tcPr>
          <w:p w14:paraId="6D0F2CC4"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2782</w:t>
            </w:r>
          </w:p>
        </w:tc>
        <w:tc>
          <w:tcPr>
            <w:tcW w:w="1133" w:type="dxa"/>
            <w:tcBorders>
              <w:top w:val="nil"/>
              <w:left w:val="nil"/>
              <w:bottom w:val="single" w:sz="4" w:space="0" w:color="auto"/>
              <w:right w:val="single" w:sz="4" w:space="0" w:color="auto"/>
            </w:tcBorders>
            <w:shd w:val="clear" w:color="auto" w:fill="auto"/>
            <w:noWrap/>
            <w:vAlign w:val="center"/>
            <w:hideMark/>
          </w:tcPr>
          <w:p w14:paraId="7A355046"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2375</w:t>
            </w:r>
          </w:p>
        </w:tc>
        <w:tc>
          <w:tcPr>
            <w:tcW w:w="1133" w:type="dxa"/>
            <w:tcBorders>
              <w:top w:val="nil"/>
              <w:left w:val="nil"/>
              <w:bottom w:val="single" w:sz="4" w:space="0" w:color="auto"/>
              <w:right w:val="single" w:sz="4" w:space="0" w:color="auto"/>
            </w:tcBorders>
            <w:shd w:val="clear" w:color="auto" w:fill="auto"/>
            <w:noWrap/>
            <w:vAlign w:val="center"/>
            <w:hideMark/>
          </w:tcPr>
          <w:p w14:paraId="6A5599C5"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2904</w:t>
            </w:r>
          </w:p>
        </w:tc>
        <w:tc>
          <w:tcPr>
            <w:tcW w:w="1142" w:type="dxa"/>
            <w:tcBorders>
              <w:top w:val="nil"/>
              <w:left w:val="nil"/>
              <w:bottom w:val="single" w:sz="4" w:space="0" w:color="auto"/>
              <w:right w:val="single" w:sz="4" w:space="0" w:color="auto"/>
            </w:tcBorders>
            <w:shd w:val="clear" w:color="auto" w:fill="auto"/>
            <w:noWrap/>
            <w:vAlign w:val="center"/>
            <w:hideMark/>
          </w:tcPr>
          <w:p w14:paraId="70F8FCA5"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4,37%</w:t>
            </w:r>
          </w:p>
        </w:tc>
        <w:tc>
          <w:tcPr>
            <w:tcW w:w="1142" w:type="dxa"/>
            <w:tcBorders>
              <w:top w:val="nil"/>
              <w:left w:val="nil"/>
              <w:bottom w:val="single" w:sz="4" w:space="0" w:color="auto"/>
              <w:right w:val="single" w:sz="4" w:space="0" w:color="auto"/>
            </w:tcBorders>
            <w:shd w:val="clear" w:color="auto" w:fill="auto"/>
            <w:noWrap/>
            <w:vAlign w:val="center"/>
            <w:hideMark/>
          </w:tcPr>
          <w:p w14:paraId="1B013D3B"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22,27%</w:t>
            </w:r>
          </w:p>
        </w:tc>
      </w:tr>
      <w:tr w:rsidR="009D4D51" w:rsidRPr="009D4D51" w14:paraId="07B547C2" w14:textId="77777777" w:rsidTr="005E39B1">
        <w:trPr>
          <w:trHeight w:val="290"/>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467DB7F0" w14:textId="77777777" w:rsidR="009D4D51" w:rsidRPr="009D4D51" w:rsidRDefault="009D4D51" w:rsidP="00234CBE">
            <w:pPr>
              <w:spacing w:line="276" w:lineRule="auto"/>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Agrario</w:t>
            </w:r>
          </w:p>
        </w:tc>
        <w:tc>
          <w:tcPr>
            <w:tcW w:w="1133" w:type="dxa"/>
            <w:tcBorders>
              <w:top w:val="nil"/>
              <w:left w:val="nil"/>
              <w:bottom w:val="single" w:sz="4" w:space="0" w:color="auto"/>
              <w:right w:val="single" w:sz="4" w:space="0" w:color="auto"/>
            </w:tcBorders>
            <w:shd w:val="clear" w:color="auto" w:fill="auto"/>
            <w:noWrap/>
            <w:vAlign w:val="center"/>
            <w:hideMark/>
          </w:tcPr>
          <w:p w14:paraId="60063A31"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303</w:t>
            </w:r>
          </w:p>
        </w:tc>
        <w:tc>
          <w:tcPr>
            <w:tcW w:w="1133" w:type="dxa"/>
            <w:tcBorders>
              <w:top w:val="nil"/>
              <w:left w:val="nil"/>
              <w:bottom w:val="single" w:sz="4" w:space="0" w:color="auto"/>
              <w:right w:val="single" w:sz="4" w:space="0" w:color="auto"/>
            </w:tcBorders>
            <w:shd w:val="clear" w:color="auto" w:fill="auto"/>
            <w:noWrap/>
            <w:vAlign w:val="center"/>
            <w:hideMark/>
          </w:tcPr>
          <w:p w14:paraId="69F358FE"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273</w:t>
            </w:r>
          </w:p>
        </w:tc>
        <w:tc>
          <w:tcPr>
            <w:tcW w:w="1133" w:type="dxa"/>
            <w:tcBorders>
              <w:top w:val="nil"/>
              <w:left w:val="nil"/>
              <w:bottom w:val="single" w:sz="4" w:space="0" w:color="auto"/>
              <w:right w:val="single" w:sz="4" w:space="0" w:color="auto"/>
            </w:tcBorders>
            <w:shd w:val="clear" w:color="auto" w:fill="auto"/>
            <w:noWrap/>
            <w:vAlign w:val="center"/>
            <w:hideMark/>
          </w:tcPr>
          <w:p w14:paraId="37A9F765"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357</w:t>
            </w:r>
          </w:p>
        </w:tc>
        <w:tc>
          <w:tcPr>
            <w:tcW w:w="1142" w:type="dxa"/>
            <w:tcBorders>
              <w:top w:val="nil"/>
              <w:left w:val="nil"/>
              <w:bottom w:val="single" w:sz="4" w:space="0" w:color="auto"/>
              <w:right w:val="single" w:sz="4" w:space="0" w:color="auto"/>
            </w:tcBorders>
            <w:shd w:val="clear" w:color="auto" w:fill="auto"/>
            <w:noWrap/>
            <w:vAlign w:val="center"/>
            <w:hideMark/>
          </w:tcPr>
          <w:p w14:paraId="0E849F7B"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17,98%</w:t>
            </w:r>
          </w:p>
        </w:tc>
        <w:tc>
          <w:tcPr>
            <w:tcW w:w="1142" w:type="dxa"/>
            <w:tcBorders>
              <w:top w:val="nil"/>
              <w:left w:val="nil"/>
              <w:bottom w:val="single" w:sz="4" w:space="0" w:color="auto"/>
              <w:right w:val="single" w:sz="4" w:space="0" w:color="auto"/>
            </w:tcBorders>
            <w:shd w:val="clear" w:color="auto" w:fill="auto"/>
            <w:noWrap/>
            <w:vAlign w:val="center"/>
            <w:hideMark/>
          </w:tcPr>
          <w:p w14:paraId="10E6F798"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30,85%</w:t>
            </w:r>
          </w:p>
        </w:tc>
      </w:tr>
      <w:tr w:rsidR="009D4D51" w:rsidRPr="009D4D51" w14:paraId="6C214D9F" w14:textId="77777777" w:rsidTr="005E39B1">
        <w:trPr>
          <w:trHeight w:val="290"/>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508E802B" w14:textId="77777777" w:rsidR="009D4D51" w:rsidRPr="009D4D51" w:rsidRDefault="009D4D51" w:rsidP="00234CBE">
            <w:pPr>
              <w:spacing w:line="276" w:lineRule="auto"/>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Tránsito</w:t>
            </w:r>
          </w:p>
        </w:tc>
        <w:tc>
          <w:tcPr>
            <w:tcW w:w="1133" w:type="dxa"/>
            <w:tcBorders>
              <w:top w:val="nil"/>
              <w:left w:val="nil"/>
              <w:bottom w:val="single" w:sz="4" w:space="0" w:color="auto"/>
              <w:right w:val="single" w:sz="4" w:space="0" w:color="auto"/>
            </w:tcBorders>
            <w:shd w:val="clear" w:color="auto" w:fill="auto"/>
            <w:noWrap/>
            <w:vAlign w:val="center"/>
            <w:hideMark/>
          </w:tcPr>
          <w:p w14:paraId="05D7CF49"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7100</w:t>
            </w:r>
          </w:p>
        </w:tc>
        <w:tc>
          <w:tcPr>
            <w:tcW w:w="1133" w:type="dxa"/>
            <w:tcBorders>
              <w:top w:val="nil"/>
              <w:left w:val="nil"/>
              <w:bottom w:val="single" w:sz="4" w:space="0" w:color="auto"/>
              <w:right w:val="single" w:sz="4" w:space="0" w:color="auto"/>
            </w:tcBorders>
            <w:shd w:val="clear" w:color="auto" w:fill="auto"/>
            <w:noWrap/>
            <w:vAlign w:val="center"/>
            <w:hideMark/>
          </w:tcPr>
          <w:p w14:paraId="4337D8F2"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4599</w:t>
            </w:r>
          </w:p>
        </w:tc>
        <w:tc>
          <w:tcPr>
            <w:tcW w:w="1133" w:type="dxa"/>
            <w:tcBorders>
              <w:top w:val="nil"/>
              <w:left w:val="nil"/>
              <w:bottom w:val="single" w:sz="4" w:space="0" w:color="auto"/>
              <w:right w:val="single" w:sz="4" w:space="0" w:color="auto"/>
            </w:tcBorders>
            <w:shd w:val="clear" w:color="auto" w:fill="auto"/>
            <w:noWrap/>
            <w:vAlign w:val="center"/>
            <w:hideMark/>
          </w:tcPr>
          <w:p w14:paraId="508A82F2"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5191</w:t>
            </w:r>
          </w:p>
        </w:tc>
        <w:tc>
          <w:tcPr>
            <w:tcW w:w="1142" w:type="dxa"/>
            <w:tcBorders>
              <w:top w:val="nil"/>
              <w:left w:val="nil"/>
              <w:bottom w:val="single" w:sz="4" w:space="0" w:color="auto"/>
              <w:right w:val="single" w:sz="4" w:space="0" w:color="auto"/>
            </w:tcBorders>
            <w:shd w:val="clear" w:color="auto" w:fill="auto"/>
            <w:noWrap/>
            <w:vAlign w:val="center"/>
            <w:hideMark/>
          </w:tcPr>
          <w:p w14:paraId="6CCE5F3E"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-26,88%</w:t>
            </w:r>
          </w:p>
        </w:tc>
        <w:tc>
          <w:tcPr>
            <w:tcW w:w="1142" w:type="dxa"/>
            <w:tcBorders>
              <w:top w:val="nil"/>
              <w:left w:val="nil"/>
              <w:bottom w:val="single" w:sz="4" w:space="0" w:color="auto"/>
              <w:right w:val="single" w:sz="4" w:space="0" w:color="auto"/>
            </w:tcBorders>
            <w:shd w:val="clear" w:color="auto" w:fill="auto"/>
            <w:noWrap/>
            <w:vAlign w:val="center"/>
            <w:hideMark/>
          </w:tcPr>
          <w:p w14:paraId="4428CBDA"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12,88%</w:t>
            </w:r>
          </w:p>
        </w:tc>
      </w:tr>
      <w:tr w:rsidR="009D4D51" w:rsidRPr="009D4D51" w14:paraId="0ACC851E" w14:textId="77777777" w:rsidTr="005E39B1">
        <w:trPr>
          <w:trHeight w:val="290"/>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54ABCE63" w14:textId="77777777" w:rsidR="009D4D51" w:rsidRPr="009D4D51" w:rsidRDefault="009D4D51" w:rsidP="00234CBE">
            <w:pPr>
              <w:spacing w:line="276" w:lineRule="auto"/>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Contravenciones</w:t>
            </w:r>
          </w:p>
        </w:tc>
        <w:tc>
          <w:tcPr>
            <w:tcW w:w="1133" w:type="dxa"/>
            <w:tcBorders>
              <w:top w:val="nil"/>
              <w:left w:val="nil"/>
              <w:bottom w:val="single" w:sz="4" w:space="0" w:color="auto"/>
              <w:right w:val="single" w:sz="4" w:space="0" w:color="auto"/>
            </w:tcBorders>
            <w:shd w:val="clear" w:color="auto" w:fill="auto"/>
            <w:noWrap/>
            <w:vAlign w:val="center"/>
            <w:hideMark/>
          </w:tcPr>
          <w:p w14:paraId="5E198F18"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3630</w:t>
            </w:r>
          </w:p>
        </w:tc>
        <w:tc>
          <w:tcPr>
            <w:tcW w:w="1133" w:type="dxa"/>
            <w:tcBorders>
              <w:top w:val="nil"/>
              <w:left w:val="nil"/>
              <w:bottom w:val="single" w:sz="4" w:space="0" w:color="auto"/>
              <w:right w:val="single" w:sz="4" w:space="0" w:color="auto"/>
            </w:tcBorders>
            <w:shd w:val="clear" w:color="auto" w:fill="auto"/>
            <w:noWrap/>
            <w:vAlign w:val="center"/>
            <w:hideMark/>
          </w:tcPr>
          <w:p w14:paraId="15937179"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3210</w:t>
            </w:r>
          </w:p>
        </w:tc>
        <w:tc>
          <w:tcPr>
            <w:tcW w:w="1133" w:type="dxa"/>
            <w:tcBorders>
              <w:top w:val="nil"/>
              <w:left w:val="nil"/>
              <w:bottom w:val="single" w:sz="4" w:space="0" w:color="auto"/>
              <w:right w:val="single" w:sz="4" w:space="0" w:color="auto"/>
            </w:tcBorders>
            <w:shd w:val="clear" w:color="auto" w:fill="auto"/>
            <w:noWrap/>
            <w:vAlign w:val="center"/>
            <w:hideMark/>
          </w:tcPr>
          <w:p w14:paraId="5474FC0F"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3684</w:t>
            </w:r>
          </w:p>
        </w:tc>
        <w:tc>
          <w:tcPr>
            <w:tcW w:w="1142" w:type="dxa"/>
            <w:tcBorders>
              <w:top w:val="nil"/>
              <w:left w:val="nil"/>
              <w:bottom w:val="single" w:sz="4" w:space="0" w:color="auto"/>
              <w:right w:val="single" w:sz="4" w:space="0" w:color="auto"/>
            </w:tcBorders>
            <w:shd w:val="clear" w:color="auto" w:fill="auto"/>
            <w:noWrap/>
            <w:vAlign w:val="center"/>
            <w:hideMark/>
          </w:tcPr>
          <w:p w14:paraId="26F6A1C5"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1,51%</w:t>
            </w:r>
          </w:p>
        </w:tc>
        <w:tc>
          <w:tcPr>
            <w:tcW w:w="1142" w:type="dxa"/>
            <w:tcBorders>
              <w:top w:val="nil"/>
              <w:left w:val="nil"/>
              <w:bottom w:val="single" w:sz="4" w:space="0" w:color="auto"/>
              <w:right w:val="single" w:sz="4" w:space="0" w:color="auto"/>
            </w:tcBorders>
            <w:shd w:val="clear" w:color="auto" w:fill="auto"/>
            <w:noWrap/>
            <w:vAlign w:val="center"/>
            <w:hideMark/>
          </w:tcPr>
          <w:p w14:paraId="5EA8BFA2"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14,77%</w:t>
            </w:r>
          </w:p>
        </w:tc>
      </w:tr>
      <w:tr w:rsidR="009D4D51" w:rsidRPr="009D4D51" w14:paraId="1D046F77" w14:textId="77777777" w:rsidTr="005E39B1">
        <w:trPr>
          <w:trHeight w:val="290"/>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631B8C83" w14:textId="77777777" w:rsidR="009D4D51" w:rsidRPr="009D4D51" w:rsidRDefault="009D4D51" w:rsidP="00234CBE">
            <w:pPr>
              <w:spacing w:line="276" w:lineRule="auto"/>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Laboral</w:t>
            </w:r>
          </w:p>
        </w:tc>
        <w:tc>
          <w:tcPr>
            <w:tcW w:w="1133" w:type="dxa"/>
            <w:tcBorders>
              <w:top w:val="nil"/>
              <w:left w:val="nil"/>
              <w:bottom w:val="single" w:sz="4" w:space="0" w:color="auto"/>
              <w:right w:val="single" w:sz="4" w:space="0" w:color="auto"/>
            </w:tcBorders>
            <w:shd w:val="clear" w:color="auto" w:fill="auto"/>
            <w:noWrap/>
            <w:vAlign w:val="center"/>
            <w:hideMark/>
          </w:tcPr>
          <w:p w14:paraId="32EA7BC5"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2742</w:t>
            </w:r>
          </w:p>
        </w:tc>
        <w:tc>
          <w:tcPr>
            <w:tcW w:w="1133" w:type="dxa"/>
            <w:tcBorders>
              <w:top w:val="nil"/>
              <w:left w:val="nil"/>
              <w:bottom w:val="single" w:sz="4" w:space="0" w:color="auto"/>
              <w:right w:val="single" w:sz="4" w:space="0" w:color="auto"/>
            </w:tcBorders>
            <w:shd w:val="clear" w:color="auto" w:fill="auto"/>
            <w:noWrap/>
            <w:vAlign w:val="center"/>
            <w:hideMark/>
          </w:tcPr>
          <w:p w14:paraId="689B09E8"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2272</w:t>
            </w:r>
          </w:p>
        </w:tc>
        <w:tc>
          <w:tcPr>
            <w:tcW w:w="1133" w:type="dxa"/>
            <w:tcBorders>
              <w:top w:val="nil"/>
              <w:left w:val="nil"/>
              <w:bottom w:val="single" w:sz="4" w:space="0" w:color="auto"/>
              <w:right w:val="single" w:sz="4" w:space="0" w:color="auto"/>
            </w:tcBorders>
            <w:shd w:val="clear" w:color="auto" w:fill="auto"/>
            <w:noWrap/>
            <w:vAlign w:val="center"/>
            <w:hideMark/>
          </w:tcPr>
          <w:p w14:paraId="1ED80537"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2546</w:t>
            </w:r>
          </w:p>
        </w:tc>
        <w:tc>
          <w:tcPr>
            <w:tcW w:w="1142" w:type="dxa"/>
            <w:tcBorders>
              <w:top w:val="nil"/>
              <w:left w:val="nil"/>
              <w:bottom w:val="single" w:sz="4" w:space="0" w:color="auto"/>
              <w:right w:val="single" w:sz="4" w:space="0" w:color="auto"/>
            </w:tcBorders>
            <w:shd w:val="clear" w:color="auto" w:fill="auto"/>
            <w:noWrap/>
            <w:vAlign w:val="center"/>
            <w:hideMark/>
          </w:tcPr>
          <w:p w14:paraId="604CD317"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-7,16%</w:t>
            </w:r>
          </w:p>
        </w:tc>
        <w:tc>
          <w:tcPr>
            <w:tcW w:w="1142" w:type="dxa"/>
            <w:tcBorders>
              <w:top w:val="nil"/>
              <w:left w:val="nil"/>
              <w:bottom w:val="single" w:sz="4" w:space="0" w:color="auto"/>
              <w:right w:val="single" w:sz="4" w:space="0" w:color="auto"/>
            </w:tcBorders>
            <w:shd w:val="clear" w:color="auto" w:fill="auto"/>
            <w:noWrap/>
            <w:vAlign w:val="center"/>
            <w:hideMark/>
          </w:tcPr>
          <w:p w14:paraId="7E4AF776" w14:textId="77777777" w:rsidR="009D4D51" w:rsidRPr="009D4D51" w:rsidRDefault="009D4D51" w:rsidP="00234CBE">
            <w:pPr>
              <w:spacing w:line="276" w:lineRule="auto"/>
              <w:jc w:val="center"/>
              <w:rPr>
                <w:rFonts w:ascii="Book Antiqua" w:hAnsi="Book Antiqua" w:cs="Calibri"/>
                <w:color w:val="000000"/>
                <w:sz w:val="16"/>
                <w:szCs w:val="16"/>
                <w:lang w:eastAsia="es-CR"/>
              </w:rPr>
            </w:pPr>
            <w:r w:rsidRPr="009D4D51">
              <w:rPr>
                <w:rFonts w:ascii="Book Antiqua" w:hAnsi="Book Antiqua" w:cs="Calibri"/>
                <w:color w:val="000000"/>
                <w:sz w:val="16"/>
                <w:szCs w:val="16"/>
                <w:lang w:eastAsia="es-CR"/>
              </w:rPr>
              <w:t>12,08%</w:t>
            </w:r>
          </w:p>
        </w:tc>
      </w:tr>
    </w:tbl>
    <w:p w14:paraId="7344B321" w14:textId="77777777" w:rsidR="009D4D51" w:rsidRDefault="009D4D51" w:rsidP="00234CBE">
      <w:pPr>
        <w:shd w:val="clear" w:color="auto" w:fill="FFFFFF" w:themeFill="background1"/>
        <w:spacing w:line="276" w:lineRule="auto"/>
        <w:jc w:val="center"/>
        <w:rPr>
          <w:rFonts w:ascii="Book Antiqua" w:hAnsi="Book Antiqua" w:cs="Book Antiqua"/>
          <w:snapToGrid w:val="0"/>
          <w:color w:val="000000" w:themeColor="text1"/>
        </w:rPr>
      </w:pPr>
      <w:r w:rsidRPr="0059268A">
        <w:rPr>
          <w:rFonts w:ascii="Book Antiqua" w:hAnsi="Book Antiqua" w:cs="Calibri"/>
          <w:b/>
          <w:bCs/>
          <w:color w:val="000000"/>
          <w:sz w:val="20"/>
          <w:szCs w:val="20"/>
          <w:lang w:eastAsia="es-CR"/>
        </w:rPr>
        <w:t>Fuente:</w:t>
      </w:r>
      <w:r w:rsidRPr="00D44482">
        <w:rPr>
          <w:rFonts w:ascii="Book Antiqua" w:hAnsi="Book Antiqua" w:cs="Calibri"/>
          <w:color w:val="000000"/>
          <w:sz w:val="20"/>
          <w:szCs w:val="20"/>
          <w:lang w:eastAsia="es-CR"/>
        </w:rPr>
        <w:t xml:space="preserve"> </w:t>
      </w:r>
      <w:r>
        <w:rPr>
          <w:rFonts w:ascii="Book Antiqua" w:hAnsi="Book Antiqua" w:cs="Calibri"/>
          <w:color w:val="000000"/>
          <w:sz w:val="20"/>
          <w:szCs w:val="20"/>
          <w:lang w:eastAsia="es-CR"/>
        </w:rPr>
        <w:t>Elaboración propia a partir de las estadísticas del Subproceso de Estadística</w:t>
      </w:r>
    </w:p>
    <w:p w14:paraId="61A10178" w14:textId="198F817E" w:rsidR="00B83157" w:rsidRDefault="00B83157" w:rsidP="00234CBE">
      <w:pPr>
        <w:shd w:val="clear" w:color="auto" w:fill="FFFFFF" w:themeFill="background1"/>
        <w:spacing w:line="276" w:lineRule="auto"/>
        <w:jc w:val="both"/>
        <w:rPr>
          <w:rFonts w:ascii="Book Antiqua" w:hAnsi="Book Antiqua"/>
          <w:lang w:val="es-ES_tradnl" w:eastAsia="en-US"/>
        </w:rPr>
      </w:pPr>
    </w:p>
    <w:p w14:paraId="15F6075E" w14:textId="444432F3" w:rsidR="00C159ED" w:rsidRDefault="00C159ED" w:rsidP="00234CBE">
      <w:pPr>
        <w:shd w:val="clear" w:color="auto" w:fill="FFFFFF" w:themeFill="background1"/>
        <w:spacing w:line="276" w:lineRule="auto"/>
        <w:jc w:val="both"/>
        <w:rPr>
          <w:rFonts w:ascii="Book Antiqua" w:hAnsi="Book Antiqua"/>
          <w:lang w:val="es-ES_tradnl" w:eastAsia="en-US"/>
        </w:rPr>
      </w:pPr>
      <w:r>
        <w:rPr>
          <w:rFonts w:ascii="Book Antiqua" w:hAnsi="Book Antiqua"/>
          <w:lang w:val="es-ES_tradnl" w:eastAsia="en-US"/>
        </w:rPr>
        <w:lastRenderedPageBreak/>
        <w:t xml:space="preserve">Si vemos la comparación de los datos 2020 versus 2021 se puede indicar que de forma global se ha venido dando una recuperación de los casos entrados en el Poder Judicial, conforme se avanza en la nueva normalidad en el país. </w:t>
      </w:r>
      <w:r w:rsidR="003638AC">
        <w:rPr>
          <w:rFonts w:ascii="Book Antiqua" w:hAnsi="Book Antiqua"/>
          <w:lang w:val="es-ES_tradnl" w:eastAsia="en-US"/>
        </w:rPr>
        <w:t>Considerando la segunda instancia, ya que este informe analiza los asuntos entrados en su carga de trabajo.</w:t>
      </w:r>
    </w:p>
    <w:p w14:paraId="67C4E5BB" w14:textId="057F8A7B" w:rsidR="00C159ED" w:rsidRDefault="00C159ED" w:rsidP="00234CBE">
      <w:pPr>
        <w:shd w:val="clear" w:color="auto" w:fill="FFFFFF" w:themeFill="background1"/>
        <w:spacing w:line="276" w:lineRule="auto"/>
        <w:jc w:val="both"/>
        <w:rPr>
          <w:rFonts w:ascii="Book Antiqua" w:hAnsi="Book Antiqua"/>
          <w:lang w:val="es-ES_tradnl" w:eastAsia="en-US"/>
        </w:rPr>
      </w:pPr>
    </w:p>
    <w:p w14:paraId="08F054A6" w14:textId="6B1FF675" w:rsidR="00D93F38" w:rsidRDefault="00D93F38" w:rsidP="00234CBE">
      <w:pPr>
        <w:shd w:val="clear" w:color="auto" w:fill="FFFFFF" w:themeFill="background1"/>
        <w:spacing w:line="276" w:lineRule="auto"/>
        <w:jc w:val="both"/>
        <w:rPr>
          <w:rFonts w:ascii="Book Antiqua" w:hAnsi="Book Antiqua"/>
          <w:lang w:val="es-ES" w:eastAsia="en-US"/>
        </w:rPr>
      </w:pPr>
      <w:r w:rsidRPr="005B2E28">
        <w:rPr>
          <w:rFonts w:ascii="Book Antiqua" w:hAnsi="Book Antiqua"/>
          <w:lang w:val="es-ES" w:eastAsia="en-US"/>
        </w:rPr>
        <w:t xml:space="preserve">En el caso de la Sala Primera debe explicarse que durante el 2019 se dio un incremento de las incompetencias de materia cobratoria, el </w:t>
      </w:r>
      <w:r w:rsidR="009C4670" w:rsidRPr="005B2E28">
        <w:rPr>
          <w:rFonts w:ascii="Book Antiqua" w:hAnsi="Book Antiqua"/>
          <w:lang w:val="es-ES_tradnl" w:eastAsia="en-US"/>
        </w:rPr>
        <w:t>d</w:t>
      </w:r>
      <w:r w:rsidRPr="005B2E28">
        <w:rPr>
          <w:rFonts w:ascii="Book Antiqua" w:hAnsi="Book Antiqua"/>
          <w:lang w:val="es-ES_tradnl" w:eastAsia="en-US"/>
        </w:rPr>
        <w:t>ato</w:t>
      </w:r>
      <w:r w:rsidRPr="005B2E28">
        <w:rPr>
          <w:rFonts w:ascii="Book Antiqua" w:hAnsi="Book Antiqua"/>
          <w:lang w:val="es-ES" w:eastAsia="en-US"/>
        </w:rPr>
        <w:t xml:space="preserve"> real de promedio de entrada mensual fue de 178, lo cual implica que para el 2021 este bajó un 21%, tal como se aprecia en el siguiente cuadro:</w:t>
      </w:r>
    </w:p>
    <w:p w14:paraId="0F7D5E68" w14:textId="77777777" w:rsidR="00290270" w:rsidRDefault="00290270" w:rsidP="00234CBE">
      <w:pPr>
        <w:shd w:val="clear" w:color="auto" w:fill="FFFFFF" w:themeFill="background1"/>
        <w:spacing w:line="276" w:lineRule="auto"/>
        <w:jc w:val="both"/>
        <w:rPr>
          <w:rFonts w:ascii="Book Antiqua" w:hAnsi="Book Antiqua"/>
          <w:lang w:val="es-ES_tradnl" w:eastAsia="en-US"/>
        </w:rPr>
      </w:pPr>
    </w:p>
    <w:p w14:paraId="28E65603" w14:textId="338E3E13" w:rsidR="00D93F38" w:rsidRDefault="00D93F38" w:rsidP="57A79FF7">
      <w:pPr>
        <w:shd w:val="clear" w:color="auto" w:fill="FFFFFF" w:themeFill="background1"/>
        <w:spacing w:line="276" w:lineRule="auto"/>
        <w:jc w:val="center"/>
        <w:rPr>
          <w:rFonts w:ascii="Book Antiqua" w:hAnsi="Book Antiqua"/>
          <w:lang w:val="es-ES" w:eastAsia="en-US"/>
        </w:rPr>
      </w:pPr>
      <w:r>
        <w:rPr>
          <w:noProof/>
        </w:rPr>
        <w:drawing>
          <wp:inline distT="0" distB="0" distL="0" distR="0" wp14:anchorId="23EC0A14" wp14:editId="10BE7CFA">
            <wp:extent cx="5850254" cy="866140"/>
            <wp:effectExtent l="0" t="0" r="0" b="0"/>
            <wp:docPr id="42" name="Imagen 42"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pic:nvPicPr>
                  <pic:blipFill>
                    <a:blip r:embed="rId13">
                      <a:extLst>
                        <a:ext uri="{28A0092B-C50C-407E-A947-70E740481C1C}">
                          <a14:useLocalDpi xmlns:a14="http://schemas.microsoft.com/office/drawing/2010/main" val="0"/>
                        </a:ext>
                      </a:extLst>
                    </a:blip>
                    <a:stretch>
                      <a:fillRect/>
                    </a:stretch>
                  </pic:blipFill>
                  <pic:spPr>
                    <a:xfrm>
                      <a:off x="0" y="0"/>
                      <a:ext cx="5850254" cy="866140"/>
                    </a:xfrm>
                    <a:prstGeom prst="rect">
                      <a:avLst/>
                    </a:prstGeom>
                  </pic:spPr>
                </pic:pic>
              </a:graphicData>
            </a:graphic>
          </wp:inline>
        </w:drawing>
      </w:r>
    </w:p>
    <w:p w14:paraId="3BC1885A" w14:textId="2FDDE64E" w:rsidR="00D93F38" w:rsidRDefault="00D93F38" w:rsidP="00234CBE">
      <w:pPr>
        <w:shd w:val="clear" w:color="auto" w:fill="FFFFFF" w:themeFill="background1"/>
        <w:spacing w:line="276" w:lineRule="auto"/>
        <w:jc w:val="both"/>
        <w:rPr>
          <w:rFonts w:ascii="Book Antiqua" w:hAnsi="Book Antiqua"/>
          <w:lang w:val="es-ES_tradnl" w:eastAsia="en-US"/>
        </w:rPr>
      </w:pPr>
    </w:p>
    <w:p w14:paraId="6ED90118" w14:textId="680ED8E7" w:rsidR="00FA74A5" w:rsidRDefault="00FA74A5" w:rsidP="00234CBE">
      <w:pPr>
        <w:shd w:val="clear" w:color="auto" w:fill="FFFFFF" w:themeFill="background1"/>
        <w:spacing w:line="276" w:lineRule="auto"/>
        <w:jc w:val="both"/>
        <w:rPr>
          <w:rFonts w:ascii="Book Antiqua" w:hAnsi="Book Antiqua"/>
          <w:lang w:val="es-ES_tradnl" w:eastAsia="en-US"/>
        </w:rPr>
      </w:pPr>
      <w:r w:rsidRPr="005B2E28">
        <w:rPr>
          <w:rFonts w:ascii="Book Antiqua" w:hAnsi="Book Antiqua"/>
          <w:lang w:val="es-ES_tradnl" w:eastAsia="en-US"/>
        </w:rPr>
        <w:t>A continuación se muestra un cuadro donde se logra visibilizar las materias que han tenido un crecimiento progresivo de su entrada:</w:t>
      </w:r>
    </w:p>
    <w:p w14:paraId="754AD629" w14:textId="5306D502" w:rsidR="00FA74A5" w:rsidRDefault="00FA74A5" w:rsidP="00234CBE">
      <w:pPr>
        <w:shd w:val="clear" w:color="auto" w:fill="FFFFFF" w:themeFill="background1"/>
        <w:spacing w:line="276" w:lineRule="auto"/>
        <w:jc w:val="both"/>
        <w:rPr>
          <w:rFonts w:ascii="Book Antiqua" w:hAnsi="Book Antiqua"/>
          <w:lang w:val="es-ES_tradnl" w:eastAsia="en-US"/>
        </w:rPr>
      </w:pPr>
    </w:p>
    <w:tbl>
      <w:tblPr>
        <w:tblW w:w="8380" w:type="dxa"/>
        <w:jc w:val="center"/>
        <w:tblCellMar>
          <w:top w:w="15" w:type="dxa"/>
          <w:left w:w="70" w:type="dxa"/>
          <w:bottom w:w="15" w:type="dxa"/>
          <w:right w:w="70" w:type="dxa"/>
        </w:tblCellMar>
        <w:tblLook w:val="04A0" w:firstRow="1" w:lastRow="0" w:firstColumn="1" w:lastColumn="0" w:noHBand="0" w:noVBand="1"/>
      </w:tblPr>
      <w:tblGrid>
        <w:gridCol w:w="2381"/>
        <w:gridCol w:w="1199"/>
        <w:gridCol w:w="1200"/>
        <w:gridCol w:w="1200"/>
        <w:gridCol w:w="1200"/>
        <w:gridCol w:w="1200"/>
      </w:tblGrid>
      <w:tr w:rsidR="00FA74A5" w:rsidRPr="00FA74A5" w14:paraId="6F7BD63F" w14:textId="77777777" w:rsidTr="57A79FF7">
        <w:trPr>
          <w:trHeight w:val="435"/>
          <w:jc w:val="center"/>
        </w:trPr>
        <w:tc>
          <w:tcPr>
            <w:tcW w:w="2381" w:type="dxa"/>
            <w:tcBorders>
              <w:top w:val="single" w:sz="4" w:space="0" w:color="auto"/>
              <w:left w:val="single" w:sz="4" w:space="0" w:color="auto"/>
              <w:bottom w:val="single" w:sz="4" w:space="0" w:color="auto"/>
              <w:right w:val="single" w:sz="4" w:space="0" w:color="auto"/>
            </w:tcBorders>
            <w:shd w:val="clear" w:color="auto" w:fill="305496"/>
            <w:noWrap/>
            <w:vAlign w:val="center"/>
            <w:hideMark/>
          </w:tcPr>
          <w:p w14:paraId="29BB35B9" w14:textId="77777777" w:rsidR="00FA74A5" w:rsidRPr="00FA74A5" w:rsidRDefault="00FA74A5" w:rsidP="00FA74A5">
            <w:pPr>
              <w:jc w:val="center"/>
              <w:rPr>
                <w:rFonts w:ascii="Book Antiqua" w:hAnsi="Book Antiqua" w:cs="Calibri"/>
                <w:b/>
                <w:bCs/>
                <w:color w:val="FFFFFF"/>
                <w:sz w:val="16"/>
                <w:szCs w:val="16"/>
                <w:lang w:eastAsia="es-CR"/>
              </w:rPr>
            </w:pPr>
            <w:r w:rsidRPr="00FA74A5">
              <w:rPr>
                <w:rFonts w:ascii="Book Antiqua" w:hAnsi="Book Antiqua" w:cs="Calibri"/>
                <w:b/>
                <w:bCs/>
                <w:color w:val="FFFFFF"/>
                <w:sz w:val="16"/>
                <w:szCs w:val="16"/>
                <w:lang w:eastAsia="es-CR"/>
              </w:rPr>
              <w:t>Asuntos entrados por materia</w:t>
            </w:r>
          </w:p>
        </w:tc>
        <w:tc>
          <w:tcPr>
            <w:tcW w:w="1199" w:type="dxa"/>
            <w:tcBorders>
              <w:top w:val="single" w:sz="4" w:space="0" w:color="auto"/>
              <w:left w:val="single" w:sz="4" w:space="0" w:color="auto"/>
              <w:bottom w:val="single" w:sz="4" w:space="0" w:color="auto"/>
              <w:right w:val="single" w:sz="4" w:space="0" w:color="auto"/>
            </w:tcBorders>
            <w:shd w:val="clear" w:color="auto" w:fill="305496"/>
            <w:vAlign w:val="center"/>
            <w:hideMark/>
          </w:tcPr>
          <w:p w14:paraId="0E08B8A0" w14:textId="77777777" w:rsidR="00FA74A5" w:rsidRPr="00FA74A5" w:rsidRDefault="00FA74A5" w:rsidP="00FA74A5">
            <w:pPr>
              <w:jc w:val="center"/>
              <w:rPr>
                <w:rFonts w:ascii="Book Antiqua" w:hAnsi="Book Antiqua" w:cs="Calibri"/>
                <w:b/>
                <w:bCs/>
                <w:color w:val="FFFFFF"/>
                <w:sz w:val="16"/>
                <w:szCs w:val="16"/>
                <w:lang w:eastAsia="es-CR"/>
              </w:rPr>
            </w:pPr>
            <w:r w:rsidRPr="00FA74A5">
              <w:rPr>
                <w:rFonts w:ascii="Book Antiqua" w:hAnsi="Book Antiqua" w:cs="Calibri"/>
                <w:b/>
                <w:bCs/>
                <w:color w:val="FFFFFF"/>
                <w:sz w:val="16"/>
                <w:szCs w:val="16"/>
                <w:lang w:eastAsia="es-CR"/>
              </w:rPr>
              <w:t>Promedio mensual 2019</w:t>
            </w:r>
          </w:p>
        </w:tc>
        <w:tc>
          <w:tcPr>
            <w:tcW w:w="1200" w:type="dxa"/>
            <w:tcBorders>
              <w:top w:val="single" w:sz="4" w:space="0" w:color="auto"/>
              <w:left w:val="single" w:sz="4" w:space="0" w:color="auto"/>
              <w:bottom w:val="single" w:sz="4" w:space="0" w:color="auto"/>
              <w:right w:val="single" w:sz="4" w:space="0" w:color="auto"/>
            </w:tcBorders>
            <w:shd w:val="clear" w:color="auto" w:fill="305496"/>
            <w:vAlign w:val="center"/>
            <w:hideMark/>
          </w:tcPr>
          <w:p w14:paraId="7F9F915C" w14:textId="77777777" w:rsidR="00FA74A5" w:rsidRPr="00FA74A5" w:rsidRDefault="00FA74A5" w:rsidP="00FA74A5">
            <w:pPr>
              <w:jc w:val="center"/>
              <w:rPr>
                <w:rFonts w:ascii="Book Antiqua" w:hAnsi="Book Antiqua" w:cs="Calibri"/>
                <w:b/>
                <w:bCs/>
                <w:color w:val="FFFFFF"/>
                <w:sz w:val="16"/>
                <w:szCs w:val="16"/>
                <w:lang w:eastAsia="es-CR"/>
              </w:rPr>
            </w:pPr>
            <w:r w:rsidRPr="00FA74A5">
              <w:rPr>
                <w:rFonts w:ascii="Book Antiqua" w:hAnsi="Book Antiqua" w:cs="Calibri"/>
                <w:b/>
                <w:bCs/>
                <w:color w:val="FFFFFF"/>
                <w:sz w:val="16"/>
                <w:szCs w:val="16"/>
                <w:lang w:eastAsia="es-CR"/>
              </w:rPr>
              <w:t>Promedio mensual 2020</w:t>
            </w:r>
          </w:p>
        </w:tc>
        <w:tc>
          <w:tcPr>
            <w:tcW w:w="1200" w:type="dxa"/>
            <w:tcBorders>
              <w:top w:val="single" w:sz="4" w:space="0" w:color="auto"/>
              <w:left w:val="single" w:sz="4" w:space="0" w:color="auto"/>
              <w:bottom w:val="single" w:sz="4" w:space="0" w:color="auto"/>
              <w:right w:val="single" w:sz="4" w:space="0" w:color="auto"/>
            </w:tcBorders>
            <w:shd w:val="clear" w:color="auto" w:fill="305496"/>
            <w:vAlign w:val="center"/>
            <w:hideMark/>
          </w:tcPr>
          <w:p w14:paraId="27988251" w14:textId="77777777" w:rsidR="00FA74A5" w:rsidRPr="00FA74A5" w:rsidRDefault="00FA74A5" w:rsidP="00FA74A5">
            <w:pPr>
              <w:jc w:val="center"/>
              <w:rPr>
                <w:rFonts w:ascii="Book Antiqua" w:hAnsi="Book Antiqua" w:cs="Calibri"/>
                <w:b/>
                <w:bCs/>
                <w:color w:val="FFFFFF"/>
                <w:sz w:val="16"/>
                <w:szCs w:val="16"/>
                <w:lang w:eastAsia="es-CR"/>
              </w:rPr>
            </w:pPr>
            <w:r w:rsidRPr="00FA74A5">
              <w:rPr>
                <w:rFonts w:ascii="Book Antiqua" w:hAnsi="Book Antiqua" w:cs="Calibri"/>
                <w:b/>
                <w:bCs/>
                <w:color w:val="FFFFFF"/>
                <w:sz w:val="16"/>
                <w:szCs w:val="16"/>
                <w:lang w:eastAsia="es-CR"/>
              </w:rPr>
              <w:t>Promedio mensual 2021</w:t>
            </w:r>
          </w:p>
        </w:tc>
        <w:tc>
          <w:tcPr>
            <w:tcW w:w="1200" w:type="dxa"/>
            <w:tcBorders>
              <w:top w:val="single" w:sz="4" w:space="0" w:color="auto"/>
              <w:left w:val="single" w:sz="4" w:space="0" w:color="auto"/>
              <w:bottom w:val="single" w:sz="4" w:space="0" w:color="auto"/>
              <w:right w:val="single" w:sz="4" w:space="0" w:color="auto"/>
            </w:tcBorders>
            <w:shd w:val="clear" w:color="auto" w:fill="305496"/>
            <w:vAlign w:val="center"/>
            <w:hideMark/>
          </w:tcPr>
          <w:p w14:paraId="20CC15B3" w14:textId="77777777" w:rsidR="00FA74A5" w:rsidRPr="00FA74A5" w:rsidRDefault="00FA74A5" w:rsidP="00FA74A5">
            <w:pPr>
              <w:jc w:val="center"/>
              <w:rPr>
                <w:rFonts w:ascii="Book Antiqua" w:hAnsi="Book Antiqua" w:cs="Calibri"/>
                <w:b/>
                <w:bCs/>
                <w:color w:val="FFFFFF"/>
                <w:sz w:val="16"/>
                <w:szCs w:val="16"/>
                <w:lang w:eastAsia="es-CR"/>
              </w:rPr>
            </w:pPr>
            <w:r w:rsidRPr="00FA74A5">
              <w:rPr>
                <w:rFonts w:ascii="Book Antiqua" w:hAnsi="Book Antiqua" w:cs="Calibri"/>
                <w:b/>
                <w:bCs/>
                <w:color w:val="FFFFFF"/>
                <w:sz w:val="16"/>
                <w:szCs w:val="16"/>
                <w:lang w:eastAsia="es-CR"/>
              </w:rPr>
              <w:t>Diferencia 2021vs 2019</w:t>
            </w:r>
          </w:p>
        </w:tc>
        <w:tc>
          <w:tcPr>
            <w:tcW w:w="1200" w:type="dxa"/>
            <w:tcBorders>
              <w:top w:val="single" w:sz="4" w:space="0" w:color="auto"/>
              <w:left w:val="single" w:sz="4" w:space="0" w:color="auto"/>
              <w:bottom w:val="single" w:sz="4" w:space="0" w:color="auto"/>
              <w:right w:val="single" w:sz="4" w:space="0" w:color="auto"/>
            </w:tcBorders>
            <w:shd w:val="clear" w:color="auto" w:fill="305496"/>
            <w:vAlign w:val="center"/>
            <w:hideMark/>
          </w:tcPr>
          <w:p w14:paraId="50693750" w14:textId="77777777" w:rsidR="00FA74A5" w:rsidRPr="00FA74A5" w:rsidRDefault="00FA74A5" w:rsidP="00FA74A5">
            <w:pPr>
              <w:jc w:val="center"/>
              <w:rPr>
                <w:rFonts w:ascii="Book Antiqua" w:hAnsi="Book Antiqua" w:cs="Calibri"/>
                <w:b/>
                <w:bCs/>
                <w:color w:val="FFFFFF"/>
                <w:sz w:val="16"/>
                <w:szCs w:val="16"/>
                <w:lang w:eastAsia="es-CR"/>
              </w:rPr>
            </w:pPr>
            <w:r w:rsidRPr="00FA74A5">
              <w:rPr>
                <w:rFonts w:ascii="Book Antiqua" w:hAnsi="Book Antiqua" w:cs="Calibri"/>
                <w:b/>
                <w:bCs/>
                <w:color w:val="FFFFFF"/>
                <w:sz w:val="16"/>
                <w:szCs w:val="16"/>
                <w:lang w:eastAsia="es-CR"/>
              </w:rPr>
              <w:t>Diferencia 2021vs 2020</w:t>
            </w:r>
          </w:p>
        </w:tc>
      </w:tr>
      <w:tr w:rsidR="00FA74A5" w:rsidRPr="00FA74A5" w14:paraId="2F8CB344" w14:textId="77777777" w:rsidTr="57A79FF7">
        <w:trPr>
          <w:trHeight w:val="285"/>
          <w:jc w:val="center"/>
        </w:trPr>
        <w:tc>
          <w:tcPr>
            <w:tcW w:w="2381" w:type="dxa"/>
            <w:tcBorders>
              <w:top w:val="single" w:sz="4" w:space="0" w:color="auto"/>
              <w:left w:val="single" w:sz="4" w:space="0" w:color="auto"/>
              <w:bottom w:val="single" w:sz="4" w:space="0" w:color="auto"/>
              <w:right w:val="single" w:sz="4" w:space="0" w:color="auto"/>
            </w:tcBorders>
            <w:noWrap/>
            <w:vAlign w:val="center"/>
            <w:hideMark/>
          </w:tcPr>
          <w:p w14:paraId="7CD71516" w14:textId="77777777" w:rsidR="00FA74A5" w:rsidRPr="00FA74A5" w:rsidRDefault="00FA74A5" w:rsidP="00FA74A5">
            <w:pPr>
              <w:rPr>
                <w:rFonts w:ascii="Book Antiqua" w:hAnsi="Book Antiqua" w:cs="Calibri"/>
                <w:color w:val="000000"/>
                <w:sz w:val="16"/>
                <w:szCs w:val="16"/>
                <w:lang w:eastAsia="es-CR"/>
              </w:rPr>
            </w:pPr>
            <w:r w:rsidRPr="00FA74A5">
              <w:rPr>
                <w:rFonts w:ascii="Book Antiqua" w:hAnsi="Book Antiqua" w:cs="Calibri"/>
                <w:color w:val="000000"/>
                <w:sz w:val="16"/>
                <w:szCs w:val="16"/>
                <w:lang w:eastAsia="es-CR"/>
              </w:rPr>
              <w:t>Sala Constitucional</w:t>
            </w:r>
          </w:p>
        </w:tc>
        <w:tc>
          <w:tcPr>
            <w:tcW w:w="1199" w:type="dxa"/>
            <w:tcBorders>
              <w:top w:val="single" w:sz="4" w:space="0" w:color="auto"/>
              <w:left w:val="single" w:sz="4" w:space="0" w:color="auto"/>
              <w:bottom w:val="single" w:sz="4" w:space="0" w:color="auto"/>
              <w:right w:val="single" w:sz="4" w:space="0" w:color="auto"/>
            </w:tcBorders>
            <w:noWrap/>
            <w:vAlign w:val="center"/>
            <w:hideMark/>
          </w:tcPr>
          <w:p w14:paraId="6250E3E7" w14:textId="77777777" w:rsidR="00FA74A5" w:rsidRPr="00FA74A5" w:rsidRDefault="00FA74A5" w:rsidP="00FA74A5">
            <w:pPr>
              <w:jc w:val="center"/>
              <w:rPr>
                <w:rFonts w:ascii="Book Antiqua" w:hAnsi="Book Antiqua" w:cs="Calibri"/>
                <w:color w:val="000000"/>
                <w:sz w:val="16"/>
                <w:szCs w:val="16"/>
                <w:lang w:eastAsia="es-CR"/>
              </w:rPr>
            </w:pPr>
            <w:r w:rsidRPr="00FA74A5">
              <w:rPr>
                <w:rFonts w:ascii="Book Antiqua" w:hAnsi="Book Antiqua" w:cs="Calibri"/>
                <w:color w:val="000000"/>
                <w:sz w:val="16"/>
                <w:szCs w:val="16"/>
                <w:lang w:eastAsia="es-CR"/>
              </w:rPr>
              <w:t>2142</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5443F8F2" w14:textId="77777777" w:rsidR="00FA74A5" w:rsidRPr="00FA74A5" w:rsidRDefault="00FA74A5" w:rsidP="00FA74A5">
            <w:pPr>
              <w:jc w:val="center"/>
              <w:rPr>
                <w:rFonts w:ascii="Book Antiqua" w:hAnsi="Book Antiqua" w:cs="Calibri"/>
                <w:color w:val="000000"/>
                <w:sz w:val="16"/>
                <w:szCs w:val="16"/>
                <w:lang w:eastAsia="es-CR"/>
              </w:rPr>
            </w:pPr>
            <w:r w:rsidRPr="00FA74A5">
              <w:rPr>
                <w:rFonts w:ascii="Book Antiqua" w:hAnsi="Book Antiqua" w:cs="Calibri"/>
                <w:color w:val="000000"/>
                <w:sz w:val="16"/>
                <w:szCs w:val="16"/>
                <w:lang w:eastAsia="es-CR"/>
              </w:rPr>
              <w:t>2059</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4EB2488F" w14:textId="77777777" w:rsidR="00FA74A5" w:rsidRPr="00FA74A5" w:rsidRDefault="00FA74A5" w:rsidP="00FA74A5">
            <w:pPr>
              <w:jc w:val="center"/>
              <w:rPr>
                <w:rFonts w:ascii="Book Antiqua" w:hAnsi="Book Antiqua" w:cs="Calibri"/>
                <w:color w:val="000000"/>
                <w:sz w:val="16"/>
                <w:szCs w:val="16"/>
                <w:lang w:eastAsia="es-CR"/>
              </w:rPr>
            </w:pPr>
            <w:r w:rsidRPr="00FA74A5">
              <w:rPr>
                <w:rFonts w:ascii="Book Antiqua" w:hAnsi="Book Antiqua" w:cs="Calibri"/>
                <w:color w:val="000000"/>
                <w:sz w:val="16"/>
                <w:szCs w:val="16"/>
                <w:lang w:eastAsia="es-CR"/>
              </w:rPr>
              <w:t>2267</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28967E53" w14:textId="77777777" w:rsidR="00FA74A5" w:rsidRPr="00FA74A5" w:rsidRDefault="00FA74A5" w:rsidP="00FA74A5">
            <w:pPr>
              <w:jc w:val="center"/>
              <w:rPr>
                <w:rFonts w:ascii="Book Antiqua" w:hAnsi="Book Antiqua" w:cs="Calibri"/>
                <w:color w:val="000000"/>
                <w:sz w:val="16"/>
                <w:szCs w:val="16"/>
                <w:lang w:eastAsia="es-CR"/>
              </w:rPr>
            </w:pPr>
            <w:r w:rsidRPr="00FA74A5">
              <w:rPr>
                <w:rFonts w:ascii="Book Antiqua" w:hAnsi="Book Antiqua" w:cs="Calibri"/>
                <w:color w:val="000000"/>
                <w:sz w:val="16"/>
                <w:szCs w:val="16"/>
                <w:lang w:eastAsia="es-CR"/>
              </w:rPr>
              <w:t>5,82%</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307910F7" w14:textId="77777777" w:rsidR="00FA74A5" w:rsidRPr="00FA74A5" w:rsidRDefault="00FA74A5" w:rsidP="00FA74A5">
            <w:pPr>
              <w:jc w:val="center"/>
              <w:rPr>
                <w:rFonts w:ascii="Book Antiqua" w:hAnsi="Book Antiqua" w:cs="Calibri"/>
                <w:color w:val="000000"/>
                <w:sz w:val="16"/>
                <w:szCs w:val="16"/>
                <w:lang w:eastAsia="es-CR"/>
              </w:rPr>
            </w:pPr>
            <w:r w:rsidRPr="00FA74A5">
              <w:rPr>
                <w:rFonts w:ascii="Book Antiqua" w:hAnsi="Book Antiqua" w:cs="Calibri"/>
                <w:color w:val="000000"/>
                <w:sz w:val="16"/>
                <w:szCs w:val="16"/>
                <w:lang w:eastAsia="es-CR"/>
              </w:rPr>
              <w:t>10,08%</w:t>
            </w:r>
          </w:p>
        </w:tc>
      </w:tr>
      <w:tr w:rsidR="00FA74A5" w:rsidRPr="00FA74A5" w14:paraId="1DB1CE8A" w14:textId="77777777" w:rsidTr="57A79FF7">
        <w:trPr>
          <w:trHeight w:val="285"/>
          <w:jc w:val="center"/>
        </w:trPr>
        <w:tc>
          <w:tcPr>
            <w:tcW w:w="2381" w:type="dxa"/>
            <w:tcBorders>
              <w:top w:val="single" w:sz="4" w:space="0" w:color="auto"/>
              <w:left w:val="single" w:sz="4" w:space="0" w:color="auto"/>
              <w:bottom w:val="single" w:sz="4" w:space="0" w:color="auto"/>
              <w:right w:val="single" w:sz="4" w:space="0" w:color="auto"/>
            </w:tcBorders>
            <w:noWrap/>
            <w:vAlign w:val="center"/>
            <w:hideMark/>
          </w:tcPr>
          <w:p w14:paraId="43C601E2" w14:textId="77777777" w:rsidR="00FA74A5" w:rsidRPr="00FA74A5" w:rsidRDefault="00FA74A5" w:rsidP="00FA74A5">
            <w:pPr>
              <w:rPr>
                <w:rFonts w:ascii="Book Antiqua" w:hAnsi="Book Antiqua" w:cs="Calibri"/>
                <w:color w:val="000000"/>
                <w:sz w:val="16"/>
                <w:szCs w:val="16"/>
                <w:lang w:eastAsia="es-CR"/>
              </w:rPr>
            </w:pPr>
            <w:r w:rsidRPr="00FA74A5">
              <w:rPr>
                <w:rFonts w:ascii="Book Antiqua" w:hAnsi="Book Antiqua" w:cs="Calibri"/>
                <w:color w:val="000000"/>
                <w:sz w:val="16"/>
                <w:szCs w:val="16"/>
                <w:lang w:eastAsia="es-CR"/>
              </w:rPr>
              <w:t>Tribunal Apelación Civil</w:t>
            </w:r>
          </w:p>
        </w:tc>
        <w:tc>
          <w:tcPr>
            <w:tcW w:w="1199" w:type="dxa"/>
            <w:tcBorders>
              <w:top w:val="single" w:sz="4" w:space="0" w:color="auto"/>
              <w:left w:val="single" w:sz="4" w:space="0" w:color="auto"/>
              <w:bottom w:val="single" w:sz="4" w:space="0" w:color="auto"/>
              <w:right w:val="single" w:sz="4" w:space="0" w:color="auto"/>
            </w:tcBorders>
            <w:noWrap/>
            <w:vAlign w:val="center"/>
            <w:hideMark/>
          </w:tcPr>
          <w:p w14:paraId="1E430E33" w14:textId="77777777" w:rsidR="00FA74A5" w:rsidRPr="00FA74A5" w:rsidRDefault="00FA74A5" w:rsidP="00FA74A5">
            <w:pPr>
              <w:jc w:val="center"/>
              <w:rPr>
                <w:rFonts w:ascii="Book Antiqua" w:hAnsi="Book Antiqua" w:cs="Calibri"/>
                <w:color w:val="000000"/>
                <w:sz w:val="16"/>
                <w:szCs w:val="16"/>
                <w:lang w:eastAsia="es-CR"/>
              </w:rPr>
            </w:pPr>
            <w:r w:rsidRPr="00FA74A5">
              <w:rPr>
                <w:rFonts w:ascii="Book Antiqua" w:hAnsi="Book Antiqua" w:cs="Calibri"/>
                <w:color w:val="000000"/>
                <w:sz w:val="16"/>
                <w:szCs w:val="16"/>
                <w:lang w:eastAsia="es-CR"/>
              </w:rPr>
              <w:t>553</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0D847EDE" w14:textId="77777777" w:rsidR="00FA74A5" w:rsidRPr="00FA74A5" w:rsidRDefault="00FA74A5" w:rsidP="00FA74A5">
            <w:pPr>
              <w:jc w:val="center"/>
              <w:rPr>
                <w:rFonts w:ascii="Book Antiqua" w:hAnsi="Book Antiqua" w:cs="Calibri"/>
                <w:color w:val="000000"/>
                <w:sz w:val="16"/>
                <w:szCs w:val="16"/>
                <w:lang w:eastAsia="es-CR"/>
              </w:rPr>
            </w:pPr>
            <w:r w:rsidRPr="00FA74A5">
              <w:rPr>
                <w:rFonts w:ascii="Book Antiqua" w:hAnsi="Book Antiqua" w:cs="Calibri"/>
                <w:color w:val="000000"/>
                <w:sz w:val="16"/>
                <w:szCs w:val="16"/>
                <w:lang w:eastAsia="es-CR"/>
              </w:rPr>
              <w:t>461</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2F03B0F0" w14:textId="77777777" w:rsidR="00FA74A5" w:rsidRPr="00FA74A5" w:rsidRDefault="00FA74A5" w:rsidP="00FA74A5">
            <w:pPr>
              <w:jc w:val="center"/>
              <w:rPr>
                <w:rFonts w:ascii="Book Antiqua" w:hAnsi="Book Antiqua" w:cs="Calibri"/>
                <w:color w:val="000000"/>
                <w:sz w:val="16"/>
                <w:szCs w:val="16"/>
                <w:lang w:eastAsia="es-CR"/>
              </w:rPr>
            </w:pPr>
            <w:r w:rsidRPr="00FA74A5">
              <w:rPr>
                <w:rFonts w:ascii="Book Antiqua" w:hAnsi="Book Antiqua" w:cs="Calibri"/>
                <w:color w:val="000000"/>
                <w:sz w:val="16"/>
                <w:szCs w:val="16"/>
                <w:lang w:eastAsia="es-CR"/>
              </w:rPr>
              <w:t>592</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3BA7BA0F" w14:textId="77777777" w:rsidR="00FA74A5" w:rsidRPr="00FA74A5" w:rsidRDefault="00FA74A5" w:rsidP="00FA74A5">
            <w:pPr>
              <w:jc w:val="center"/>
              <w:rPr>
                <w:rFonts w:ascii="Book Antiqua" w:hAnsi="Book Antiqua" w:cs="Calibri"/>
                <w:color w:val="000000"/>
                <w:sz w:val="16"/>
                <w:szCs w:val="16"/>
                <w:lang w:eastAsia="es-CR"/>
              </w:rPr>
            </w:pPr>
            <w:r w:rsidRPr="00FA74A5">
              <w:rPr>
                <w:rFonts w:ascii="Book Antiqua" w:hAnsi="Book Antiqua" w:cs="Calibri"/>
                <w:color w:val="000000"/>
                <w:sz w:val="16"/>
                <w:szCs w:val="16"/>
                <w:lang w:eastAsia="es-CR"/>
              </w:rPr>
              <w:t>7,05%</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2C99A73E" w14:textId="77777777" w:rsidR="00FA74A5" w:rsidRPr="00FA74A5" w:rsidRDefault="00FA74A5" w:rsidP="00FA74A5">
            <w:pPr>
              <w:jc w:val="center"/>
              <w:rPr>
                <w:rFonts w:ascii="Book Antiqua" w:hAnsi="Book Antiqua" w:cs="Calibri"/>
                <w:color w:val="000000"/>
                <w:sz w:val="16"/>
                <w:szCs w:val="16"/>
                <w:lang w:eastAsia="es-CR"/>
              </w:rPr>
            </w:pPr>
            <w:r w:rsidRPr="00FA74A5">
              <w:rPr>
                <w:rFonts w:ascii="Book Antiqua" w:hAnsi="Book Antiqua" w:cs="Calibri"/>
                <w:color w:val="000000"/>
                <w:sz w:val="16"/>
                <w:szCs w:val="16"/>
                <w:lang w:eastAsia="es-CR"/>
              </w:rPr>
              <w:t>28,50%</w:t>
            </w:r>
          </w:p>
        </w:tc>
      </w:tr>
      <w:tr w:rsidR="00FA74A5" w:rsidRPr="00FA74A5" w14:paraId="025A54C1" w14:textId="77777777" w:rsidTr="57A79FF7">
        <w:trPr>
          <w:trHeight w:val="285"/>
          <w:jc w:val="center"/>
        </w:trPr>
        <w:tc>
          <w:tcPr>
            <w:tcW w:w="2381" w:type="dxa"/>
            <w:tcBorders>
              <w:top w:val="single" w:sz="4" w:space="0" w:color="auto"/>
              <w:left w:val="single" w:sz="4" w:space="0" w:color="auto"/>
              <w:bottom w:val="single" w:sz="4" w:space="0" w:color="auto"/>
              <w:right w:val="single" w:sz="4" w:space="0" w:color="auto"/>
            </w:tcBorders>
            <w:noWrap/>
            <w:vAlign w:val="center"/>
            <w:hideMark/>
          </w:tcPr>
          <w:p w14:paraId="494D55E1" w14:textId="77777777" w:rsidR="00FA74A5" w:rsidRPr="00FA74A5" w:rsidRDefault="00FA74A5" w:rsidP="00FA74A5">
            <w:pPr>
              <w:rPr>
                <w:rFonts w:ascii="Book Antiqua" w:hAnsi="Book Antiqua" w:cs="Calibri"/>
                <w:color w:val="000000"/>
                <w:sz w:val="16"/>
                <w:szCs w:val="16"/>
                <w:lang w:eastAsia="es-CR"/>
              </w:rPr>
            </w:pPr>
            <w:r w:rsidRPr="00FA74A5">
              <w:rPr>
                <w:rFonts w:ascii="Book Antiqua" w:hAnsi="Book Antiqua" w:cs="Calibri"/>
                <w:color w:val="000000"/>
                <w:sz w:val="16"/>
                <w:szCs w:val="16"/>
                <w:lang w:eastAsia="es-CR"/>
              </w:rPr>
              <w:t>Tribunal Agrario</w:t>
            </w:r>
          </w:p>
        </w:tc>
        <w:tc>
          <w:tcPr>
            <w:tcW w:w="1199" w:type="dxa"/>
            <w:tcBorders>
              <w:top w:val="single" w:sz="4" w:space="0" w:color="auto"/>
              <w:left w:val="single" w:sz="4" w:space="0" w:color="auto"/>
              <w:bottom w:val="single" w:sz="4" w:space="0" w:color="auto"/>
              <w:right w:val="single" w:sz="4" w:space="0" w:color="auto"/>
            </w:tcBorders>
            <w:noWrap/>
            <w:vAlign w:val="center"/>
            <w:hideMark/>
          </w:tcPr>
          <w:p w14:paraId="36E47919" w14:textId="77777777" w:rsidR="00FA74A5" w:rsidRPr="00FA74A5" w:rsidRDefault="00FA74A5" w:rsidP="00FA74A5">
            <w:pPr>
              <w:jc w:val="center"/>
              <w:rPr>
                <w:rFonts w:ascii="Book Antiqua" w:hAnsi="Book Antiqua" w:cs="Calibri"/>
                <w:color w:val="000000"/>
                <w:sz w:val="16"/>
                <w:szCs w:val="16"/>
                <w:lang w:eastAsia="es-CR"/>
              </w:rPr>
            </w:pPr>
            <w:r w:rsidRPr="00FA74A5">
              <w:rPr>
                <w:rFonts w:ascii="Book Antiqua" w:hAnsi="Book Antiqua" w:cs="Calibri"/>
                <w:color w:val="000000"/>
                <w:sz w:val="16"/>
                <w:szCs w:val="16"/>
                <w:lang w:eastAsia="es-CR"/>
              </w:rPr>
              <w:t>105</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76067E2F" w14:textId="77777777" w:rsidR="00FA74A5" w:rsidRPr="00FA74A5" w:rsidRDefault="00FA74A5" w:rsidP="00FA74A5">
            <w:pPr>
              <w:jc w:val="center"/>
              <w:rPr>
                <w:rFonts w:ascii="Book Antiqua" w:hAnsi="Book Antiqua" w:cs="Calibri"/>
                <w:color w:val="000000"/>
                <w:sz w:val="16"/>
                <w:szCs w:val="16"/>
                <w:lang w:eastAsia="es-CR"/>
              </w:rPr>
            </w:pPr>
            <w:r w:rsidRPr="00FA74A5">
              <w:rPr>
                <w:rFonts w:ascii="Book Antiqua" w:hAnsi="Book Antiqua" w:cs="Calibri"/>
                <w:color w:val="000000"/>
                <w:sz w:val="16"/>
                <w:szCs w:val="16"/>
                <w:lang w:eastAsia="es-CR"/>
              </w:rPr>
              <w:t>88</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7223C390" w14:textId="77777777" w:rsidR="00FA74A5" w:rsidRPr="00FA74A5" w:rsidRDefault="00FA74A5" w:rsidP="00FA74A5">
            <w:pPr>
              <w:jc w:val="center"/>
              <w:rPr>
                <w:rFonts w:ascii="Book Antiqua" w:hAnsi="Book Antiqua" w:cs="Calibri"/>
                <w:color w:val="000000"/>
                <w:sz w:val="16"/>
                <w:szCs w:val="16"/>
                <w:lang w:eastAsia="es-CR"/>
              </w:rPr>
            </w:pPr>
            <w:r w:rsidRPr="00FA74A5">
              <w:rPr>
                <w:rFonts w:ascii="Book Antiqua" w:hAnsi="Book Antiqua" w:cs="Calibri"/>
                <w:color w:val="000000"/>
                <w:sz w:val="16"/>
                <w:szCs w:val="16"/>
                <w:lang w:eastAsia="es-CR"/>
              </w:rPr>
              <w:t>115</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61125A21" w14:textId="77777777" w:rsidR="00FA74A5" w:rsidRPr="00FA74A5" w:rsidRDefault="00FA74A5" w:rsidP="00FA74A5">
            <w:pPr>
              <w:jc w:val="center"/>
              <w:rPr>
                <w:rFonts w:ascii="Book Antiqua" w:hAnsi="Book Antiqua" w:cs="Calibri"/>
                <w:color w:val="000000"/>
                <w:sz w:val="16"/>
                <w:szCs w:val="16"/>
                <w:lang w:eastAsia="es-CR"/>
              </w:rPr>
            </w:pPr>
            <w:r w:rsidRPr="00FA74A5">
              <w:rPr>
                <w:rFonts w:ascii="Book Antiqua" w:hAnsi="Book Antiqua" w:cs="Calibri"/>
                <w:color w:val="000000"/>
                <w:sz w:val="16"/>
                <w:szCs w:val="16"/>
                <w:lang w:eastAsia="es-CR"/>
              </w:rPr>
              <w:t>9,79%</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181896B5" w14:textId="77777777" w:rsidR="00FA74A5" w:rsidRPr="00FA74A5" w:rsidRDefault="00FA74A5" w:rsidP="00FA74A5">
            <w:pPr>
              <w:jc w:val="center"/>
              <w:rPr>
                <w:rFonts w:ascii="Book Antiqua" w:hAnsi="Book Antiqua" w:cs="Calibri"/>
                <w:color w:val="000000"/>
                <w:sz w:val="16"/>
                <w:szCs w:val="16"/>
                <w:lang w:eastAsia="es-CR"/>
              </w:rPr>
            </w:pPr>
            <w:r w:rsidRPr="00FA74A5">
              <w:rPr>
                <w:rFonts w:ascii="Book Antiqua" w:hAnsi="Book Antiqua" w:cs="Calibri"/>
                <w:color w:val="000000"/>
                <w:sz w:val="16"/>
                <w:szCs w:val="16"/>
                <w:lang w:eastAsia="es-CR"/>
              </w:rPr>
              <w:t>31,28%</w:t>
            </w:r>
          </w:p>
        </w:tc>
      </w:tr>
      <w:tr w:rsidR="00FA74A5" w:rsidRPr="00FA74A5" w14:paraId="35AD11EA" w14:textId="77777777" w:rsidTr="57A79FF7">
        <w:trPr>
          <w:trHeight w:val="285"/>
          <w:jc w:val="center"/>
        </w:trPr>
        <w:tc>
          <w:tcPr>
            <w:tcW w:w="2381" w:type="dxa"/>
            <w:tcBorders>
              <w:top w:val="single" w:sz="4" w:space="0" w:color="auto"/>
              <w:left w:val="single" w:sz="4" w:space="0" w:color="auto"/>
              <w:bottom w:val="single" w:sz="4" w:space="0" w:color="auto"/>
              <w:right w:val="single" w:sz="4" w:space="0" w:color="auto"/>
            </w:tcBorders>
            <w:noWrap/>
            <w:vAlign w:val="center"/>
            <w:hideMark/>
          </w:tcPr>
          <w:p w14:paraId="5E723007" w14:textId="77777777" w:rsidR="00FA74A5" w:rsidRPr="00FA74A5" w:rsidRDefault="00FA74A5" w:rsidP="00FA74A5">
            <w:pPr>
              <w:rPr>
                <w:rFonts w:ascii="Book Antiqua" w:hAnsi="Book Antiqua" w:cs="Calibri"/>
                <w:color w:val="000000"/>
                <w:sz w:val="16"/>
                <w:szCs w:val="16"/>
                <w:lang w:eastAsia="es-CR"/>
              </w:rPr>
            </w:pPr>
            <w:r w:rsidRPr="00FA74A5">
              <w:rPr>
                <w:rFonts w:ascii="Book Antiqua" w:hAnsi="Book Antiqua" w:cs="Calibri"/>
                <w:color w:val="000000"/>
                <w:sz w:val="16"/>
                <w:szCs w:val="16"/>
                <w:lang w:eastAsia="es-CR"/>
              </w:rPr>
              <w:t>Tribunal de Familia</w:t>
            </w:r>
          </w:p>
        </w:tc>
        <w:tc>
          <w:tcPr>
            <w:tcW w:w="1199" w:type="dxa"/>
            <w:tcBorders>
              <w:top w:val="single" w:sz="4" w:space="0" w:color="auto"/>
              <w:left w:val="single" w:sz="4" w:space="0" w:color="auto"/>
              <w:bottom w:val="single" w:sz="4" w:space="0" w:color="auto"/>
              <w:right w:val="single" w:sz="4" w:space="0" w:color="auto"/>
            </w:tcBorders>
            <w:noWrap/>
            <w:vAlign w:val="center"/>
            <w:hideMark/>
          </w:tcPr>
          <w:p w14:paraId="5DA9540F" w14:textId="77777777" w:rsidR="00FA74A5" w:rsidRPr="00FA74A5" w:rsidRDefault="00FA74A5" w:rsidP="00FA74A5">
            <w:pPr>
              <w:jc w:val="center"/>
              <w:rPr>
                <w:rFonts w:ascii="Book Antiqua" w:hAnsi="Book Antiqua" w:cs="Calibri"/>
                <w:color w:val="000000"/>
                <w:sz w:val="16"/>
                <w:szCs w:val="16"/>
                <w:lang w:eastAsia="es-CR"/>
              </w:rPr>
            </w:pPr>
            <w:r w:rsidRPr="00FA74A5">
              <w:rPr>
                <w:rFonts w:ascii="Book Antiqua" w:hAnsi="Book Antiqua" w:cs="Calibri"/>
                <w:color w:val="000000"/>
                <w:sz w:val="16"/>
                <w:szCs w:val="16"/>
                <w:lang w:eastAsia="es-CR"/>
              </w:rPr>
              <w:t>168</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440ABA49" w14:textId="77777777" w:rsidR="00FA74A5" w:rsidRPr="00FA74A5" w:rsidRDefault="00FA74A5" w:rsidP="00FA74A5">
            <w:pPr>
              <w:jc w:val="center"/>
              <w:rPr>
                <w:rFonts w:ascii="Book Antiqua" w:hAnsi="Book Antiqua" w:cs="Calibri"/>
                <w:color w:val="000000"/>
                <w:sz w:val="16"/>
                <w:szCs w:val="16"/>
                <w:lang w:eastAsia="es-CR"/>
              </w:rPr>
            </w:pPr>
            <w:r w:rsidRPr="00FA74A5">
              <w:rPr>
                <w:rFonts w:ascii="Book Antiqua" w:hAnsi="Book Antiqua" w:cs="Calibri"/>
                <w:color w:val="000000"/>
                <w:sz w:val="16"/>
                <w:szCs w:val="16"/>
                <w:lang w:eastAsia="es-CR"/>
              </w:rPr>
              <w:t>146</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6A995F81" w14:textId="77777777" w:rsidR="00FA74A5" w:rsidRPr="00FA74A5" w:rsidRDefault="00FA74A5" w:rsidP="00FA74A5">
            <w:pPr>
              <w:jc w:val="center"/>
              <w:rPr>
                <w:rFonts w:ascii="Book Antiqua" w:hAnsi="Book Antiqua" w:cs="Calibri"/>
                <w:color w:val="000000"/>
                <w:sz w:val="16"/>
                <w:szCs w:val="16"/>
                <w:lang w:eastAsia="es-CR"/>
              </w:rPr>
            </w:pPr>
            <w:r w:rsidRPr="00FA74A5">
              <w:rPr>
                <w:rFonts w:ascii="Book Antiqua" w:hAnsi="Book Antiqua" w:cs="Calibri"/>
                <w:color w:val="000000"/>
                <w:sz w:val="16"/>
                <w:szCs w:val="16"/>
                <w:lang w:eastAsia="es-CR"/>
              </w:rPr>
              <w:t>184</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18F1C1AA" w14:textId="77777777" w:rsidR="00FA74A5" w:rsidRPr="00FA74A5" w:rsidRDefault="00FA74A5" w:rsidP="00FA74A5">
            <w:pPr>
              <w:jc w:val="center"/>
              <w:rPr>
                <w:rFonts w:ascii="Book Antiqua" w:hAnsi="Book Antiqua" w:cs="Calibri"/>
                <w:color w:val="000000"/>
                <w:sz w:val="16"/>
                <w:szCs w:val="16"/>
                <w:lang w:eastAsia="es-CR"/>
              </w:rPr>
            </w:pPr>
            <w:r w:rsidRPr="00FA74A5">
              <w:rPr>
                <w:rFonts w:ascii="Book Antiqua" w:hAnsi="Book Antiqua" w:cs="Calibri"/>
                <w:color w:val="000000"/>
                <w:sz w:val="16"/>
                <w:szCs w:val="16"/>
                <w:lang w:eastAsia="es-CR"/>
              </w:rPr>
              <w:t>9,34%</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0D9F5C85" w14:textId="77777777" w:rsidR="00FA74A5" w:rsidRPr="00FA74A5" w:rsidRDefault="00FA74A5" w:rsidP="00FA74A5">
            <w:pPr>
              <w:jc w:val="center"/>
              <w:rPr>
                <w:rFonts w:ascii="Book Antiqua" w:hAnsi="Book Antiqua" w:cs="Calibri"/>
                <w:color w:val="000000"/>
                <w:sz w:val="16"/>
                <w:szCs w:val="16"/>
                <w:lang w:eastAsia="es-CR"/>
              </w:rPr>
            </w:pPr>
            <w:r w:rsidRPr="00FA74A5">
              <w:rPr>
                <w:rFonts w:ascii="Book Antiqua" w:hAnsi="Book Antiqua" w:cs="Calibri"/>
                <w:color w:val="000000"/>
                <w:sz w:val="16"/>
                <w:szCs w:val="16"/>
                <w:lang w:eastAsia="es-CR"/>
              </w:rPr>
              <w:t>25,99%</w:t>
            </w:r>
          </w:p>
        </w:tc>
      </w:tr>
      <w:tr w:rsidR="00FA74A5" w:rsidRPr="00FA74A5" w14:paraId="31421AD5" w14:textId="77777777" w:rsidTr="57A79FF7">
        <w:trPr>
          <w:trHeight w:val="285"/>
          <w:jc w:val="center"/>
        </w:trPr>
        <w:tc>
          <w:tcPr>
            <w:tcW w:w="2381" w:type="dxa"/>
            <w:tcBorders>
              <w:top w:val="single" w:sz="4" w:space="0" w:color="auto"/>
              <w:left w:val="single" w:sz="4" w:space="0" w:color="auto"/>
              <w:bottom w:val="single" w:sz="4" w:space="0" w:color="auto"/>
              <w:right w:val="single" w:sz="4" w:space="0" w:color="auto"/>
            </w:tcBorders>
            <w:noWrap/>
            <w:vAlign w:val="center"/>
            <w:hideMark/>
          </w:tcPr>
          <w:p w14:paraId="4B950F4E" w14:textId="77777777" w:rsidR="00FA74A5" w:rsidRPr="00FA74A5" w:rsidRDefault="00FA74A5" w:rsidP="00FA74A5">
            <w:pPr>
              <w:rPr>
                <w:rFonts w:ascii="Book Antiqua" w:hAnsi="Book Antiqua" w:cs="Calibri"/>
                <w:color w:val="000000"/>
                <w:sz w:val="16"/>
                <w:szCs w:val="16"/>
                <w:lang w:eastAsia="es-CR"/>
              </w:rPr>
            </w:pPr>
            <w:r w:rsidRPr="00FA74A5">
              <w:rPr>
                <w:rFonts w:ascii="Book Antiqua" w:hAnsi="Book Antiqua" w:cs="Calibri"/>
                <w:color w:val="000000"/>
                <w:sz w:val="16"/>
                <w:szCs w:val="16"/>
                <w:lang w:eastAsia="es-CR"/>
              </w:rPr>
              <w:t>Tribunal Notarial</w:t>
            </w:r>
          </w:p>
        </w:tc>
        <w:tc>
          <w:tcPr>
            <w:tcW w:w="1199" w:type="dxa"/>
            <w:tcBorders>
              <w:top w:val="single" w:sz="4" w:space="0" w:color="auto"/>
              <w:left w:val="single" w:sz="4" w:space="0" w:color="auto"/>
              <w:bottom w:val="single" w:sz="4" w:space="0" w:color="auto"/>
              <w:right w:val="single" w:sz="4" w:space="0" w:color="auto"/>
            </w:tcBorders>
            <w:noWrap/>
            <w:vAlign w:val="center"/>
            <w:hideMark/>
          </w:tcPr>
          <w:p w14:paraId="30790040" w14:textId="77777777" w:rsidR="00FA74A5" w:rsidRPr="00FA74A5" w:rsidRDefault="00FA74A5" w:rsidP="00FA74A5">
            <w:pPr>
              <w:jc w:val="center"/>
              <w:rPr>
                <w:rFonts w:ascii="Book Antiqua" w:hAnsi="Book Antiqua" w:cs="Calibri"/>
                <w:color w:val="000000"/>
                <w:sz w:val="16"/>
                <w:szCs w:val="16"/>
                <w:lang w:eastAsia="es-CR"/>
              </w:rPr>
            </w:pPr>
            <w:r w:rsidRPr="00FA74A5">
              <w:rPr>
                <w:rFonts w:ascii="Book Antiqua" w:hAnsi="Book Antiqua" w:cs="Calibri"/>
                <w:color w:val="000000"/>
                <w:sz w:val="16"/>
                <w:szCs w:val="16"/>
                <w:lang w:eastAsia="es-CR"/>
              </w:rPr>
              <w:t>19</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2D0B53B8" w14:textId="77777777" w:rsidR="00FA74A5" w:rsidRPr="00FA74A5" w:rsidRDefault="00FA74A5" w:rsidP="00FA74A5">
            <w:pPr>
              <w:jc w:val="center"/>
              <w:rPr>
                <w:rFonts w:ascii="Book Antiqua" w:hAnsi="Book Antiqua" w:cs="Calibri"/>
                <w:color w:val="000000"/>
                <w:sz w:val="16"/>
                <w:szCs w:val="16"/>
                <w:lang w:eastAsia="es-CR"/>
              </w:rPr>
            </w:pPr>
            <w:r w:rsidRPr="00FA74A5">
              <w:rPr>
                <w:rFonts w:ascii="Book Antiqua" w:hAnsi="Book Antiqua" w:cs="Calibri"/>
                <w:color w:val="000000"/>
                <w:sz w:val="16"/>
                <w:szCs w:val="16"/>
                <w:lang w:eastAsia="es-CR"/>
              </w:rPr>
              <w:t>22</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269783BA" w14:textId="77777777" w:rsidR="00FA74A5" w:rsidRPr="00FA74A5" w:rsidRDefault="00FA74A5" w:rsidP="00FA74A5">
            <w:pPr>
              <w:jc w:val="center"/>
              <w:rPr>
                <w:rFonts w:ascii="Book Antiqua" w:hAnsi="Book Antiqua" w:cs="Calibri"/>
                <w:color w:val="000000"/>
                <w:sz w:val="16"/>
                <w:szCs w:val="16"/>
                <w:lang w:eastAsia="es-CR"/>
              </w:rPr>
            </w:pPr>
            <w:r w:rsidRPr="00FA74A5">
              <w:rPr>
                <w:rFonts w:ascii="Book Antiqua" w:hAnsi="Book Antiqua" w:cs="Calibri"/>
                <w:color w:val="000000"/>
                <w:sz w:val="16"/>
                <w:szCs w:val="16"/>
                <w:lang w:eastAsia="es-CR"/>
              </w:rPr>
              <w:t>25</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1DA52DCB" w14:textId="77777777" w:rsidR="00FA74A5" w:rsidRPr="00FA74A5" w:rsidRDefault="00FA74A5" w:rsidP="00FA74A5">
            <w:pPr>
              <w:jc w:val="center"/>
              <w:rPr>
                <w:rFonts w:ascii="Book Antiqua" w:hAnsi="Book Antiqua" w:cs="Calibri"/>
                <w:color w:val="000000"/>
                <w:sz w:val="16"/>
                <w:szCs w:val="16"/>
                <w:lang w:eastAsia="es-CR"/>
              </w:rPr>
            </w:pPr>
            <w:r w:rsidRPr="00FA74A5">
              <w:rPr>
                <w:rFonts w:ascii="Book Antiqua" w:hAnsi="Book Antiqua" w:cs="Calibri"/>
                <w:color w:val="000000"/>
                <w:sz w:val="16"/>
                <w:szCs w:val="16"/>
                <w:lang w:eastAsia="es-CR"/>
              </w:rPr>
              <w:t>29,91%</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64DA9990" w14:textId="77777777" w:rsidR="00FA74A5" w:rsidRPr="00FA74A5" w:rsidRDefault="00FA74A5" w:rsidP="00FA74A5">
            <w:pPr>
              <w:jc w:val="center"/>
              <w:rPr>
                <w:rFonts w:ascii="Book Antiqua" w:hAnsi="Book Antiqua" w:cs="Calibri"/>
                <w:color w:val="000000"/>
                <w:sz w:val="16"/>
                <w:szCs w:val="16"/>
                <w:lang w:eastAsia="es-CR"/>
              </w:rPr>
            </w:pPr>
            <w:r w:rsidRPr="00FA74A5">
              <w:rPr>
                <w:rFonts w:ascii="Book Antiqua" w:hAnsi="Book Antiqua" w:cs="Calibri"/>
                <w:color w:val="000000"/>
                <w:sz w:val="16"/>
                <w:szCs w:val="16"/>
                <w:lang w:eastAsia="es-CR"/>
              </w:rPr>
              <w:t>13,67%</w:t>
            </w:r>
          </w:p>
        </w:tc>
      </w:tr>
      <w:tr w:rsidR="00FA74A5" w:rsidRPr="00FA74A5" w14:paraId="3D2CEC4E" w14:textId="77777777" w:rsidTr="57A79FF7">
        <w:trPr>
          <w:trHeight w:val="285"/>
          <w:jc w:val="center"/>
        </w:trPr>
        <w:tc>
          <w:tcPr>
            <w:tcW w:w="2381" w:type="dxa"/>
            <w:tcBorders>
              <w:top w:val="single" w:sz="4" w:space="0" w:color="auto"/>
              <w:left w:val="single" w:sz="4" w:space="0" w:color="auto"/>
              <w:bottom w:val="single" w:sz="4" w:space="0" w:color="auto"/>
              <w:right w:val="single" w:sz="4" w:space="0" w:color="auto"/>
            </w:tcBorders>
            <w:noWrap/>
            <w:vAlign w:val="center"/>
            <w:hideMark/>
          </w:tcPr>
          <w:p w14:paraId="500C17F9" w14:textId="77777777" w:rsidR="00FA74A5" w:rsidRPr="00FA74A5" w:rsidRDefault="00FA74A5" w:rsidP="00FA74A5">
            <w:pPr>
              <w:rPr>
                <w:rFonts w:ascii="Book Antiqua" w:hAnsi="Book Antiqua" w:cs="Calibri"/>
                <w:color w:val="000000"/>
                <w:sz w:val="16"/>
                <w:szCs w:val="16"/>
                <w:lang w:eastAsia="es-CR"/>
              </w:rPr>
            </w:pPr>
            <w:r w:rsidRPr="00FA74A5">
              <w:rPr>
                <w:rFonts w:ascii="Book Antiqua" w:hAnsi="Book Antiqua" w:cs="Calibri"/>
                <w:color w:val="000000"/>
                <w:sz w:val="16"/>
                <w:szCs w:val="16"/>
                <w:lang w:eastAsia="es-CR"/>
              </w:rPr>
              <w:t>Inspección Fiscal</w:t>
            </w:r>
          </w:p>
        </w:tc>
        <w:tc>
          <w:tcPr>
            <w:tcW w:w="1199" w:type="dxa"/>
            <w:tcBorders>
              <w:top w:val="single" w:sz="4" w:space="0" w:color="auto"/>
              <w:left w:val="single" w:sz="4" w:space="0" w:color="auto"/>
              <w:bottom w:val="single" w:sz="4" w:space="0" w:color="auto"/>
              <w:right w:val="single" w:sz="4" w:space="0" w:color="auto"/>
            </w:tcBorders>
            <w:noWrap/>
            <w:vAlign w:val="center"/>
            <w:hideMark/>
          </w:tcPr>
          <w:p w14:paraId="7B0086F1" w14:textId="77777777" w:rsidR="00FA74A5" w:rsidRPr="00FA74A5" w:rsidRDefault="00FA74A5" w:rsidP="00FA74A5">
            <w:pPr>
              <w:jc w:val="center"/>
              <w:rPr>
                <w:rFonts w:ascii="Book Antiqua" w:hAnsi="Book Antiqua" w:cs="Calibri"/>
                <w:color w:val="000000"/>
                <w:sz w:val="16"/>
                <w:szCs w:val="16"/>
                <w:lang w:eastAsia="es-CR"/>
              </w:rPr>
            </w:pPr>
            <w:r w:rsidRPr="00FA74A5">
              <w:rPr>
                <w:rFonts w:ascii="Book Antiqua" w:hAnsi="Book Antiqua" w:cs="Calibri"/>
                <w:color w:val="000000"/>
                <w:sz w:val="16"/>
                <w:szCs w:val="16"/>
                <w:lang w:eastAsia="es-CR"/>
              </w:rPr>
              <w:t>76</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5E45C36F" w14:textId="77777777" w:rsidR="00FA74A5" w:rsidRPr="00FA74A5" w:rsidRDefault="00FA74A5" w:rsidP="00FA74A5">
            <w:pPr>
              <w:jc w:val="center"/>
              <w:rPr>
                <w:rFonts w:ascii="Book Antiqua" w:hAnsi="Book Antiqua" w:cs="Calibri"/>
                <w:color w:val="000000"/>
                <w:sz w:val="16"/>
                <w:szCs w:val="16"/>
                <w:lang w:eastAsia="es-CR"/>
              </w:rPr>
            </w:pPr>
            <w:r w:rsidRPr="00FA74A5">
              <w:rPr>
                <w:rFonts w:ascii="Book Antiqua" w:hAnsi="Book Antiqua" w:cs="Calibri"/>
                <w:color w:val="000000"/>
                <w:sz w:val="16"/>
                <w:szCs w:val="16"/>
                <w:lang w:eastAsia="es-CR"/>
              </w:rPr>
              <w:t>82</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35676B24" w14:textId="77777777" w:rsidR="00FA74A5" w:rsidRPr="00FA74A5" w:rsidRDefault="00FA74A5" w:rsidP="00FA74A5">
            <w:pPr>
              <w:jc w:val="center"/>
              <w:rPr>
                <w:rFonts w:ascii="Book Antiqua" w:hAnsi="Book Antiqua" w:cs="Calibri"/>
                <w:color w:val="000000"/>
                <w:sz w:val="16"/>
                <w:szCs w:val="16"/>
                <w:lang w:eastAsia="es-CR"/>
              </w:rPr>
            </w:pPr>
            <w:r w:rsidRPr="00FA74A5">
              <w:rPr>
                <w:rFonts w:ascii="Book Antiqua" w:hAnsi="Book Antiqua" w:cs="Calibri"/>
                <w:color w:val="000000"/>
                <w:sz w:val="16"/>
                <w:szCs w:val="16"/>
                <w:lang w:eastAsia="es-CR"/>
              </w:rPr>
              <w:t>89</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5B861A8B" w14:textId="77777777" w:rsidR="00FA74A5" w:rsidRPr="00FA74A5" w:rsidRDefault="00FA74A5" w:rsidP="00FA74A5">
            <w:pPr>
              <w:jc w:val="center"/>
              <w:rPr>
                <w:rFonts w:ascii="Book Antiqua" w:hAnsi="Book Antiqua" w:cs="Calibri"/>
                <w:color w:val="000000"/>
                <w:sz w:val="16"/>
                <w:szCs w:val="16"/>
                <w:lang w:eastAsia="es-CR"/>
              </w:rPr>
            </w:pPr>
            <w:r w:rsidRPr="00FA74A5">
              <w:rPr>
                <w:rFonts w:ascii="Book Antiqua" w:hAnsi="Book Antiqua" w:cs="Calibri"/>
                <w:color w:val="000000"/>
                <w:sz w:val="16"/>
                <w:szCs w:val="16"/>
                <w:lang w:eastAsia="es-CR"/>
              </w:rPr>
              <w:t>16,87%</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42B537DD" w14:textId="77777777" w:rsidR="00FA74A5" w:rsidRPr="00FA74A5" w:rsidRDefault="00FA74A5" w:rsidP="00FA74A5">
            <w:pPr>
              <w:jc w:val="center"/>
              <w:rPr>
                <w:rFonts w:ascii="Book Antiqua" w:hAnsi="Book Antiqua" w:cs="Calibri"/>
                <w:color w:val="000000"/>
                <w:sz w:val="16"/>
                <w:szCs w:val="16"/>
                <w:lang w:eastAsia="es-CR"/>
              </w:rPr>
            </w:pPr>
            <w:r w:rsidRPr="00FA74A5">
              <w:rPr>
                <w:rFonts w:ascii="Book Antiqua" w:hAnsi="Book Antiqua" w:cs="Calibri"/>
                <w:color w:val="000000"/>
                <w:sz w:val="16"/>
                <w:szCs w:val="16"/>
                <w:lang w:eastAsia="es-CR"/>
              </w:rPr>
              <w:t>8,50%</w:t>
            </w:r>
          </w:p>
        </w:tc>
      </w:tr>
      <w:tr w:rsidR="00FA74A5" w:rsidRPr="00FA74A5" w14:paraId="4C5635C5" w14:textId="77777777" w:rsidTr="57A79FF7">
        <w:trPr>
          <w:trHeight w:val="285"/>
          <w:jc w:val="center"/>
        </w:trPr>
        <w:tc>
          <w:tcPr>
            <w:tcW w:w="2381" w:type="dxa"/>
            <w:tcBorders>
              <w:top w:val="single" w:sz="4" w:space="0" w:color="auto"/>
              <w:left w:val="single" w:sz="4" w:space="0" w:color="auto"/>
              <w:bottom w:val="single" w:sz="4" w:space="0" w:color="auto"/>
              <w:right w:val="single" w:sz="4" w:space="0" w:color="auto"/>
            </w:tcBorders>
            <w:noWrap/>
            <w:vAlign w:val="center"/>
            <w:hideMark/>
          </w:tcPr>
          <w:p w14:paraId="7F725010" w14:textId="77777777" w:rsidR="00FA74A5" w:rsidRPr="00FA74A5" w:rsidRDefault="00FA74A5" w:rsidP="00FA74A5">
            <w:pPr>
              <w:rPr>
                <w:rFonts w:ascii="Book Antiqua" w:hAnsi="Book Antiqua" w:cs="Calibri"/>
                <w:color w:val="000000"/>
                <w:sz w:val="16"/>
                <w:szCs w:val="16"/>
                <w:lang w:eastAsia="es-CR"/>
              </w:rPr>
            </w:pPr>
            <w:r w:rsidRPr="00FA74A5">
              <w:rPr>
                <w:rFonts w:ascii="Book Antiqua" w:hAnsi="Book Antiqua" w:cs="Calibri"/>
                <w:color w:val="000000"/>
                <w:sz w:val="16"/>
                <w:szCs w:val="16"/>
                <w:lang w:eastAsia="es-CR"/>
              </w:rPr>
              <w:t>Tribunal Penal y Flagrancias</w:t>
            </w:r>
          </w:p>
        </w:tc>
        <w:tc>
          <w:tcPr>
            <w:tcW w:w="1199" w:type="dxa"/>
            <w:tcBorders>
              <w:top w:val="single" w:sz="4" w:space="0" w:color="auto"/>
              <w:left w:val="single" w:sz="4" w:space="0" w:color="auto"/>
              <w:bottom w:val="single" w:sz="4" w:space="0" w:color="auto"/>
              <w:right w:val="single" w:sz="4" w:space="0" w:color="auto"/>
            </w:tcBorders>
            <w:noWrap/>
            <w:vAlign w:val="center"/>
            <w:hideMark/>
          </w:tcPr>
          <w:p w14:paraId="5F766CF2" w14:textId="77777777" w:rsidR="00FA74A5" w:rsidRPr="00FA74A5" w:rsidRDefault="00FA74A5" w:rsidP="00FA74A5">
            <w:pPr>
              <w:jc w:val="center"/>
              <w:rPr>
                <w:rFonts w:ascii="Book Antiqua" w:hAnsi="Book Antiqua" w:cs="Calibri"/>
                <w:color w:val="000000"/>
                <w:sz w:val="16"/>
                <w:szCs w:val="16"/>
                <w:lang w:eastAsia="es-CR"/>
              </w:rPr>
            </w:pPr>
            <w:r w:rsidRPr="00FA74A5">
              <w:rPr>
                <w:rFonts w:ascii="Book Antiqua" w:hAnsi="Book Antiqua" w:cs="Calibri"/>
                <w:color w:val="000000"/>
                <w:sz w:val="16"/>
                <w:szCs w:val="16"/>
                <w:lang w:eastAsia="es-CR"/>
              </w:rPr>
              <w:t>1969</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5D3E78EC" w14:textId="77777777" w:rsidR="00FA74A5" w:rsidRPr="00FA74A5" w:rsidRDefault="00FA74A5" w:rsidP="00FA74A5">
            <w:pPr>
              <w:jc w:val="center"/>
              <w:rPr>
                <w:rFonts w:ascii="Book Antiqua" w:hAnsi="Book Antiqua" w:cs="Calibri"/>
                <w:color w:val="000000"/>
                <w:sz w:val="16"/>
                <w:szCs w:val="16"/>
                <w:lang w:eastAsia="es-CR"/>
              </w:rPr>
            </w:pPr>
            <w:r w:rsidRPr="00FA74A5">
              <w:rPr>
                <w:rFonts w:ascii="Book Antiqua" w:hAnsi="Book Antiqua" w:cs="Calibri"/>
                <w:color w:val="000000"/>
                <w:sz w:val="16"/>
                <w:szCs w:val="16"/>
                <w:lang w:eastAsia="es-CR"/>
              </w:rPr>
              <w:t>1690</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40B1DCFC" w14:textId="77777777" w:rsidR="00FA74A5" w:rsidRPr="00FA74A5" w:rsidRDefault="00FA74A5" w:rsidP="00FA74A5">
            <w:pPr>
              <w:jc w:val="center"/>
              <w:rPr>
                <w:rFonts w:ascii="Book Antiqua" w:hAnsi="Book Antiqua" w:cs="Calibri"/>
                <w:color w:val="000000"/>
                <w:sz w:val="16"/>
                <w:szCs w:val="16"/>
                <w:lang w:eastAsia="es-CR"/>
              </w:rPr>
            </w:pPr>
            <w:r w:rsidRPr="00FA74A5">
              <w:rPr>
                <w:rFonts w:ascii="Book Antiqua" w:hAnsi="Book Antiqua" w:cs="Calibri"/>
                <w:color w:val="000000"/>
                <w:sz w:val="16"/>
                <w:szCs w:val="16"/>
                <w:lang w:eastAsia="es-CR"/>
              </w:rPr>
              <w:t>2228</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027794EE" w14:textId="77777777" w:rsidR="00FA74A5" w:rsidRPr="00FA74A5" w:rsidRDefault="00FA74A5" w:rsidP="00FA74A5">
            <w:pPr>
              <w:jc w:val="center"/>
              <w:rPr>
                <w:rFonts w:ascii="Book Antiqua" w:hAnsi="Book Antiqua" w:cs="Calibri"/>
                <w:color w:val="000000"/>
                <w:sz w:val="16"/>
                <w:szCs w:val="16"/>
                <w:lang w:eastAsia="es-CR"/>
              </w:rPr>
            </w:pPr>
            <w:r w:rsidRPr="00FA74A5">
              <w:rPr>
                <w:rFonts w:ascii="Book Antiqua" w:hAnsi="Book Antiqua" w:cs="Calibri"/>
                <w:color w:val="000000"/>
                <w:sz w:val="16"/>
                <w:szCs w:val="16"/>
                <w:lang w:eastAsia="es-CR"/>
              </w:rPr>
              <w:t>13,15%</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409918B9" w14:textId="77777777" w:rsidR="00FA74A5" w:rsidRPr="00FA74A5" w:rsidRDefault="00FA74A5" w:rsidP="00FA74A5">
            <w:pPr>
              <w:jc w:val="center"/>
              <w:rPr>
                <w:rFonts w:ascii="Book Antiqua" w:hAnsi="Book Antiqua" w:cs="Calibri"/>
                <w:color w:val="000000"/>
                <w:sz w:val="16"/>
                <w:szCs w:val="16"/>
                <w:lang w:eastAsia="es-CR"/>
              </w:rPr>
            </w:pPr>
            <w:r w:rsidRPr="00FA74A5">
              <w:rPr>
                <w:rFonts w:ascii="Book Antiqua" w:hAnsi="Book Antiqua" w:cs="Calibri"/>
                <w:color w:val="000000"/>
                <w:sz w:val="16"/>
                <w:szCs w:val="16"/>
                <w:lang w:eastAsia="es-CR"/>
              </w:rPr>
              <w:t>31,87%</w:t>
            </w:r>
          </w:p>
        </w:tc>
      </w:tr>
      <w:tr w:rsidR="00FA74A5" w:rsidRPr="00FA74A5" w14:paraId="04ABA2A7" w14:textId="77777777" w:rsidTr="57A79FF7">
        <w:trPr>
          <w:trHeight w:val="285"/>
          <w:jc w:val="center"/>
        </w:trPr>
        <w:tc>
          <w:tcPr>
            <w:tcW w:w="2381" w:type="dxa"/>
            <w:tcBorders>
              <w:top w:val="single" w:sz="4" w:space="0" w:color="auto"/>
              <w:left w:val="single" w:sz="4" w:space="0" w:color="auto"/>
              <w:bottom w:val="single" w:sz="4" w:space="0" w:color="auto"/>
              <w:right w:val="single" w:sz="4" w:space="0" w:color="auto"/>
            </w:tcBorders>
            <w:noWrap/>
            <w:vAlign w:val="center"/>
            <w:hideMark/>
          </w:tcPr>
          <w:p w14:paraId="225998C4" w14:textId="77777777" w:rsidR="00FA74A5" w:rsidRPr="00FA74A5" w:rsidRDefault="00FA74A5" w:rsidP="00FA74A5">
            <w:pPr>
              <w:rPr>
                <w:rFonts w:ascii="Book Antiqua" w:hAnsi="Book Antiqua" w:cs="Calibri"/>
                <w:color w:val="000000"/>
                <w:sz w:val="16"/>
                <w:szCs w:val="16"/>
                <w:lang w:eastAsia="es-CR"/>
              </w:rPr>
            </w:pPr>
            <w:r w:rsidRPr="00FA74A5">
              <w:rPr>
                <w:rFonts w:ascii="Book Antiqua" w:hAnsi="Book Antiqua" w:cs="Calibri"/>
                <w:color w:val="000000"/>
                <w:sz w:val="16"/>
                <w:szCs w:val="16"/>
                <w:lang w:eastAsia="es-CR"/>
              </w:rPr>
              <w:t>Juzgados de Ejecución de la Pena</w:t>
            </w:r>
          </w:p>
        </w:tc>
        <w:tc>
          <w:tcPr>
            <w:tcW w:w="1199" w:type="dxa"/>
            <w:tcBorders>
              <w:top w:val="single" w:sz="4" w:space="0" w:color="auto"/>
              <w:left w:val="single" w:sz="4" w:space="0" w:color="auto"/>
              <w:bottom w:val="single" w:sz="4" w:space="0" w:color="auto"/>
              <w:right w:val="single" w:sz="4" w:space="0" w:color="auto"/>
            </w:tcBorders>
            <w:noWrap/>
            <w:vAlign w:val="center"/>
            <w:hideMark/>
          </w:tcPr>
          <w:p w14:paraId="624654A4" w14:textId="77777777" w:rsidR="00FA74A5" w:rsidRPr="00FA74A5" w:rsidRDefault="00FA74A5" w:rsidP="00FA74A5">
            <w:pPr>
              <w:jc w:val="center"/>
              <w:rPr>
                <w:rFonts w:ascii="Book Antiqua" w:hAnsi="Book Antiqua" w:cs="Calibri"/>
                <w:color w:val="000000"/>
                <w:sz w:val="16"/>
                <w:szCs w:val="16"/>
                <w:lang w:eastAsia="es-CR"/>
              </w:rPr>
            </w:pPr>
            <w:r w:rsidRPr="00FA74A5">
              <w:rPr>
                <w:rFonts w:ascii="Book Antiqua" w:hAnsi="Book Antiqua" w:cs="Calibri"/>
                <w:color w:val="000000"/>
                <w:sz w:val="16"/>
                <w:szCs w:val="16"/>
                <w:lang w:eastAsia="es-CR"/>
              </w:rPr>
              <w:t>1234</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3F2A15AF" w14:textId="77777777" w:rsidR="00FA74A5" w:rsidRPr="00FA74A5" w:rsidRDefault="00FA74A5" w:rsidP="00FA74A5">
            <w:pPr>
              <w:jc w:val="center"/>
              <w:rPr>
                <w:rFonts w:ascii="Book Antiqua" w:hAnsi="Book Antiqua" w:cs="Calibri"/>
                <w:color w:val="000000"/>
                <w:sz w:val="16"/>
                <w:szCs w:val="16"/>
                <w:lang w:eastAsia="es-CR"/>
              </w:rPr>
            </w:pPr>
            <w:r w:rsidRPr="00FA74A5">
              <w:rPr>
                <w:rFonts w:ascii="Book Antiqua" w:hAnsi="Book Antiqua" w:cs="Calibri"/>
                <w:color w:val="000000"/>
                <w:sz w:val="16"/>
                <w:szCs w:val="16"/>
                <w:lang w:eastAsia="es-CR"/>
              </w:rPr>
              <w:t>1316</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4C8EA8F3" w14:textId="77777777" w:rsidR="00FA74A5" w:rsidRPr="00FA74A5" w:rsidRDefault="00FA74A5" w:rsidP="00FA74A5">
            <w:pPr>
              <w:jc w:val="center"/>
              <w:rPr>
                <w:rFonts w:ascii="Book Antiqua" w:hAnsi="Book Antiqua" w:cs="Calibri"/>
                <w:color w:val="000000"/>
                <w:sz w:val="16"/>
                <w:szCs w:val="16"/>
                <w:lang w:eastAsia="es-CR"/>
              </w:rPr>
            </w:pPr>
            <w:r w:rsidRPr="00FA74A5">
              <w:rPr>
                <w:rFonts w:ascii="Book Antiqua" w:hAnsi="Book Antiqua" w:cs="Calibri"/>
                <w:color w:val="000000"/>
                <w:sz w:val="16"/>
                <w:szCs w:val="16"/>
                <w:lang w:eastAsia="es-CR"/>
              </w:rPr>
              <w:t>1476</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17F44BF8" w14:textId="77777777" w:rsidR="00FA74A5" w:rsidRPr="00FA74A5" w:rsidRDefault="00FA74A5" w:rsidP="00FA74A5">
            <w:pPr>
              <w:jc w:val="center"/>
              <w:rPr>
                <w:rFonts w:ascii="Book Antiqua" w:hAnsi="Book Antiqua" w:cs="Calibri"/>
                <w:color w:val="000000"/>
                <w:sz w:val="16"/>
                <w:szCs w:val="16"/>
                <w:lang w:eastAsia="es-CR"/>
              </w:rPr>
            </w:pPr>
            <w:r w:rsidRPr="00FA74A5">
              <w:rPr>
                <w:rFonts w:ascii="Book Antiqua" w:hAnsi="Book Antiqua" w:cs="Calibri"/>
                <w:color w:val="000000"/>
                <w:sz w:val="16"/>
                <w:szCs w:val="16"/>
                <w:lang w:eastAsia="es-CR"/>
              </w:rPr>
              <w:t>19,61%</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12132CD5" w14:textId="77777777" w:rsidR="00FA74A5" w:rsidRPr="00FA74A5" w:rsidRDefault="00FA74A5" w:rsidP="00FA74A5">
            <w:pPr>
              <w:jc w:val="center"/>
              <w:rPr>
                <w:rFonts w:ascii="Book Antiqua" w:hAnsi="Book Antiqua" w:cs="Calibri"/>
                <w:color w:val="000000"/>
                <w:sz w:val="16"/>
                <w:szCs w:val="16"/>
                <w:lang w:eastAsia="es-CR"/>
              </w:rPr>
            </w:pPr>
            <w:r w:rsidRPr="00FA74A5">
              <w:rPr>
                <w:rFonts w:ascii="Book Antiqua" w:hAnsi="Book Antiqua" w:cs="Calibri"/>
                <w:color w:val="000000"/>
                <w:sz w:val="16"/>
                <w:szCs w:val="16"/>
                <w:lang w:eastAsia="es-CR"/>
              </w:rPr>
              <w:t>12,15%</w:t>
            </w:r>
          </w:p>
        </w:tc>
      </w:tr>
      <w:tr w:rsidR="00FA74A5" w:rsidRPr="00FA74A5" w14:paraId="2FB17631" w14:textId="77777777" w:rsidTr="57A79FF7">
        <w:trPr>
          <w:trHeight w:val="285"/>
          <w:jc w:val="center"/>
        </w:trPr>
        <w:tc>
          <w:tcPr>
            <w:tcW w:w="2381" w:type="dxa"/>
            <w:tcBorders>
              <w:top w:val="single" w:sz="4" w:space="0" w:color="auto"/>
              <w:left w:val="single" w:sz="4" w:space="0" w:color="auto"/>
              <w:bottom w:val="single" w:sz="4" w:space="0" w:color="auto"/>
              <w:right w:val="single" w:sz="4" w:space="0" w:color="auto"/>
            </w:tcBorders>
            <w:noWrap/>
            <w:vAlign w:val="center"/>
            <w:hideMark/>
          </w:tcPr>
          <w:p w14:paraId="478B87C8" w14:textId="77777777" w:rsidR="00FA74A5" w:rsidRPr="00FA74A5" w:rsidRDefault="00FA74A5" w:rsidP="00FA74A5">
            <w:pPr>
              <w:rPr>
                <w:rFonts w:ascii="Book Antiqua" w:hAnsi="Book Antiqua" w:cs="Calibri"/>
                <w:color w:val="000000"/>
                <w:sz w:val="16"/>
                <w:szCs w:val="16"/>
                <w:lang w:eastAsia="es-CR"/>
              </w:rPr>
            </w:pPr>
            <w:r w:rsidRPr="00FA74A5">
              <w:rPr>
                <w:rFonts w:ascii="Book Antiqua" w:hAnsi="Book Antiqua" w:cs="Calibri"/>
                <w:color w:val="000000"/>
                <w:sz w:val="16"/>
                <w:szCs w:val="16"/>
                <w:lang w:eastAsia="es-CR"/>
              </w:rPr>
              <w:t>Contencioso Administrativo</w:t>
            </w:r>
          </w:p>
        </w:tc>
        <w:tc>
          <w:tcPr>
            <w:tcW w:w="1199" w:type="dxa"/>
            <w:tcBorders>
              <w:top w:val="single" w:sz="4" w:space="0" w:color="auto"/>
              <w:left w:val="single" w:sz="4" w:space="0" w:color="auto"/>
              <w:bottom w:val="single" w:sz="4" w:space="0" w:color="auto"/>
              <w:right w:val="single" w:sz="4" w:space="0" w:color="auto"/>
            </w:tcBorders>
            <w:noWrap/>
            <w:vAlign w:val="center"/>
            <w:hideMark/>
          </w:tcPr>
          <w:p w14:paraId="4EE4D674" w14:textId="77777777" w:rsidR="00FA74A5" w:rsidRPr="00FA74A5" w:rsidRDefault="00FA74A5" w:rsidP="00FA74A5">
            <w:pPr>
              <w:jc w:val="center"/>
              <w:rPr>
                <w:rFonts w:ascii="Book Antiqua" w:hAnsi="Book Antiqua" w:cs="Calibri"/>
                <w:color w:val="000000"/>
                <w:sz w:val="16"/>
                <w:szCs w:val="16"/>
                <w:lang w:eastAsia="es-CR"/>
              </w:rPr>
            </w:pPr>
            <w:r w:rsidRPr="00FA74A5">
              <w:rPr>
                <w:rFonts w:ascii="Book Antiqua" w:hAnsi="Book Antiqua" w:cs="Calibri"/>
                <w:color w:val="000000"/>
                <w:sz w:val="16"/>
                <w:szCs w:val="16"/>
                <w:lang w:eastAsia="es-CR"/>
              </w:rPr>
              <w:t>923</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3C03EEF7" w14:textId="77777777" w:rsidR="00FA74A5" w:rsidRPr="00FA74A5" w:rsidRDefault="00FA74A5" w:rsidP="00FA74A5">
            <w:pPr>
              <w:jc w:val="center"/>
              <w:rPr>
                <w:rFonts w:ascii="Book Antiqua" w:hAnsi="Book Antiqua" w:cs="Calibri"/>
                <w:color w:val="000000"/>
                <w:sz w:val="16"/>
                <w:szCs w:val="16"/>
                <w:lang w:eastAsia="es-CR"/>
              </w:rPr>
            </w:pPr>
            <w:r w:rsidRPr="00FA74A5">
              <w:rPr>
                <w:rFonts w:ascii="Book Antiqua" w:hAnsi="Book Antiqua" w:cs="Calibri"/>
                <w:color w:val="000000"/>
                <w:sz w:val="16"/>
                <w:szCs w:val="16"/>
                <w:lang w:eastAsia="es-CR"/>
              </w:rPr>
              <w:t>734</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7DF356DD" w14:textId="77777777" w:rsidR="00FA74A5" w:rsidRPr="00FA74A5" w:rsidRDefault="00FA74A5" w:rsidP="00FA74A5">
            <w:pPr>
              <w:jc w:val="center"/>
              <w:rPr>
                <w:rFonts w:ascii="Book Antiqua" w:hAnsi="Book Antiqua" w:cs="Calibri"/>
                <w:color w:val="000000"/>
                <w:sz w:val="16"/>
                <w:szCs w:val="16"/>
                <w:lang w:eastAsia="es-CR"/>
              </w:rPr>
            </w:pPr>
            <w:r w:rsidRPr="00FA74A5">
              <w:rPr>
                <w:rFonts w:ascii="Book Antiqua" w:hAnsi="Book Antiqua" w:cs="Calibri"/>
                <w:color w:val="000000"/>
                <w:sz w:val="16"/>
                <w:szCs w:val="16"/>
                <w:lang w:eastAsia="es-CR"/>
              </w:rPr>
              <w:t>954</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7B585404" w14:textId="77777777" w:rsidR="00FA74A5" w:rsidRPr="00FA74A5" w:rsidRDefault="00FA74A5" w:rsidP="00FA74A5">
            <w:pPr>
              <w:jc w:val="center"/>
              <w:rPr>
                <w:rFonts w:ascii="Book Antiqua" w:hAnsi="Book Antiqua" w:cs="Calibri"/>
                <w:color w:val="000000"/>
                <w:sz w:val="16"/>
                <w:szCs w:val="16"/>
                <w:lang w:eastAsia="es-CR"/>
              </w:rPr>
            </w:pPr>
            <w:r w:rsidRPr="00FA74A5">
              <w:rPr>
                <w:rFonts w:ascii="Book Antiqua" w:hAnsi="Book Antiqua" w:cs="Calibri"/>
                <w:color w:val="000000"/>
                <w:sz w:val="16"/>
                <w:szCs w:val="16"/>
                <w:lang w:eastAsia="es-CR"/>
              </w:rPr>
              <w:t>3,39%</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069C27D9" w14:textId="77777777" w:rsidR="00FA74A5" w:rsidRPr="00FA74A5" w:rsidRDefault="00FA74A5" w:rsidP="00FA74A5">
            <w:pPr>
              <w:jc w:val="center"/>
              <w:rPr>
                <w:rFonts w:ascii="Book Antiqua" w:hAnsi="Book Antiqua" w:cs="Calibri"/>
                <w:color w:val="000000"/>
                <w:sz w:val="16"/>
                <w:szCs w:val="16"/>
                <w:lang w:eastAsia="es-CR"/>
              </w:rPr>
            </w:pPr>
            <w:r w:rsidRPr="00FA74A5">
              <w:rPr>
                <w:rFonts w:ascii="Book Antiqua" w:hAnsi="Book Antiqua" w:cs="Calibri"/>
                <w:color w:val="000000"/>
                <w:sz w:val="16"/>
                <w:szCs w:val="16"/>
                <w:lang w:eastAsia="es-CR"/>
              </w:rPr>
              <w:t>29,98%</w:t>
            </w:r>
          </w:p>
        </w:tc>
      </w:tr>
      <w:tr w:rsidR="00FA74A5" w:rsidRPr="00FA74A5" w14:paraId="3316AC40" w14:textId="77777777" w:rsidTr="57A79FF7">
        <w:trPr>
          <w:trHeight w:val="285"/>
          <w:jc w:val="center"/>
        </w:trPr>
        <w:tc>
          <w:tcPr>
            <w:tcW w:w="2381" w:type="dxa"/>
            <w:tcBorders>
              <w:top w:val="single" w:sz="4" w:space="0" w:color="auto"/>
              <w:left w:val="single" w:sz="4" w:space="0" w:color="auto"/>
              <w:bottom w:val="single" w:sz="4" w:space="0" w:color="auto"/>
              <w:right w:val="single" w:sz="4" w:space="0" w:color="auto"/>
            </w:tcBorders>
            <w:noWrap/>
            <w:vAlign w:val="center"/>
            <w:hideMark/>
          </w:tcPr>
          <w:p w14:paraId="460FFEC8" w14:textId="77777777" w:rsidR="00FA74A5" w:rsidRPr="00FA74A5" w:rsidRDefault="00FA74A5" w:rsidP="00FA74A5">
            <w:pPr>
              <w:rPr>
                <w:rFonts w:ascii="Book Antiqua" w:hAnsi="Book Antiqua" w:cs="Calibri"/>
                <w:color w:val="000000"/>
                <w:sz w:val="16"/>
                <w:szCs w:val="16"/>
                <w:lang w:eastAsia="es-CR"/>
              </w:rPr>
            </w:pPr>
            <w:r w:rsidRPr="00FA74A5">
              <w:rPr>
                <w:rFonts w:ascii="Book Antiqua" w:hAnsi="Book Antiqua" w:cs="Calibri"/>
                <w:color w:val="000000"/>
                <w:sz w:val="16"/>
                <w:szCs w:val="16"/>
                <w:lang w:eastAsia="es-CR"/>
              </w:rPr>
              <w:t>Familia</w:t>
            </w:r>
          </w:p>
        </w:tc>
        <w:tc>
          <w:tcPr>
            <w:tcW w:w="1199" w:type="dxa"/>
            <w:tcBorders>
              <w:top w:val="single" w:sz="4" w:space="0" w:color="auto"/>
              <w:left w:val="single" w:sz="4" w:space="0" w:color="auto"/>
              <w:bottom w:val="single" w:sz="4" w:space="0" w:color="auto"/>
              <w:right w:val="single" w:sz="4" w:space="0" w:color="auto"/>
            </w:tcBorders>
            <w:noWrap/>
            <w:vAlign w:val="center"/>
            <w:hideMark/>
          </w:tcPr>
          <w:p w14:paraId="6EAE1559" w14:textId="77777777" w:rsidR="00FA74A5" w:rsidRPr="00FA74A5" w:rsidRDefault="00FA74A5" w:rsidP="00FA74A5">
            <w:pPr>
              <w:jc w:val="center"/>
              <w:rPr>
                <w:rFonts w:ascii="Book Antiqua" w:hAnsi="Book Antiqua" w:cs="Calibri"/>
                <w:color w:val="000000"/>
                <w:sz w:val="16"/>
                <w:szCs w:val="16"/>
                <w:lang w:eastAsia="es-CR"/>
              </w:rPr>
            </w:pPr>
            <w:r w:rsidRPr="00FA74A5">
              <w:rPr>
                <w:rFonts w:ascii="Book Antiqua" w:hAnsi="Book Antiqua" w:cs="Calibri"/>
                <w:color w:val="000000"/>
                <w:sz w:val="16"/>
                <w:szCs w:val="16"/>
                <w:lang w:eastAsia="es-CR"/>
              </w:rPr>
              <w:t>2782</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2775D73E" w14:textId="77777777" w:rsidR="00FA74A5" w:rsidRPr="00FA74A5" w:rsidRDefault="00FA74A5" w:rsidP="00FA74A5">
            <w:pPr>
              <w:jc w:val="center"/>
              <w:rPr>
                <w:rFonts w:ascii="Book Antiqua" w:hAnsi="Book Antiqua" w:cs="Calibri"/>
                <w:color w:val="000000"/>
                <w:sz w:val="16"/>
                <w:szCs w:val="16"/>
                <w:lang w:eastAsia="es-CR"/>
              </w:rPr>
            </w:pPr>
            <w:r w:rsidRPr="00FA74A5">
              <w:rPr>
                <w:rFonts w:ascii="Book Antiqua" w:hAnsi="Book Antiqua" w:cs="Calibri"/>
                <w:color w:val="000000"/>
                <w:sz w:val="16"/>
                <w:szCs w:val="16"/>
                <w:lang w:eastAsia="es-CR"/>
              </w:rPr>
              <w:t>2375</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6ECF2C2E" w14:textId="77777777" w:rsidR="00FA74A5" w:rsidRPr="00FA74A5" w:rsidRDefault="00FA74A5" w:rsidP="00FA74A5">
            <w:pPr>
              <w:jc w:val="center"/>
              <w:rPr>
                <w:rFonts w:ascii="Book Antiqua" w:hAnsi="Book Antiqua" w:cs="Calibri"/>
                <w:color w:val="000000"/>
                <w:sz w:val="16"/>
                <w:szCs w:val="16"/>
                <w:lang w:eastAsia="es-CR"/>
              </w:rPr>
            </w:pPr>
            <w:r w:rsidRPr="00FA74A5">
              <w:rPr>
                <w:rFonts w:ascii="Book Antiqua" w:hAnsi="Book Antiqua" w:cs="Calibri"/>
                <w:color w:val="000000"/>
                <w:sz w:val="16"/>
                <w:szCs w:val="16"/>
                <w:lang w:eastAsia="es-CR"/>
              </w:rPr>
              <w:t>2904</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1CDEC591" w14:textId="77777777" w:rsidR="00FA74A5" w:rsidRPr="00FA74A5" w:rsidRDefault="00FA74A5" w:rsidP="00FA74A5">
            <w:pPr>
              <w:jc w:val="center"/>
              <w:rPr>
                <w:rFonts w:ascii="Book Antiqua" w:hAnsi="Book Antiqua" w:cs="Calibri"/>
                <w:color w:val="000000"/>
                <w:sz w:val="16"/>
                <w:szCs w:val="16"/>
                <w:lang w:eastAsia="es-CR"/>
              </w:rPr>
            </w:pPr>
            <w:r w:rsidRPr="00FA74A5">
              <w:rPr>
                <w:rFonts w:ascii="Book Antiqua" w:hAnsi="Book Antiqua" w:cs="Calibri"/>
                <w:color w:val="000000"/>
                <w:sz w:val="16"/>
                <w:szCs w:val="16"/>
                <w:lang w:eastAsia="es-CR"/>
              </w:rPr>
              <w:t>4,37%</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294E1209" w14:textId="77777777" w:rsidR="00FA74A5" w:rsidRPr="00FA74A5" w:rsidRDefault="00FA74A5" w:rsidP="00FA74A5">
            <w:pPr>
              <w:jc w:val="center"/>
              <w:rPr>
                <w:rFonts w:ascii="Book Antiqua" w:hAnsi="Book Antiqua" w:cs="Calibri"/>
                <w:color w:val="000000"/>
                <w:sz w:val="16"/>
                <w:szCs w:val="16"/>
                <w:lang w:eastAsia="es-CR"/>
              </w:rPr>
            </w:pPr>
            <w:r w:rsidRPr="00FA74A5">
              <w:rPr>
                <w:rFonts w:ascii="Book Antiqua" w:hAnsi="Book Antiqua" w:cs="Calibri"/>
                <w:color w:val="000000"/>
                <w:sz w:val="16"/>
                <w:szCs w:val="16"/>
                <w:lang w:eastAsia="es-CR"/>
              </w:rPr>
              <w:t>22,27%</w:t>
            </w:r>
          </w:p>
        </w:tc>
      </w:tr>
      <w:tr w:rsidR="00FA74A5" w:rsidRPr="00FA74A5" w14:paraId="23B468F3" w14:textId="77777777" w:rsidTr="57A79FF7">
        <w:trPr>
          <w:trHeight w:val="285"/>
          <w:jc w:val="center"/>
        </w:trPr>
        <w:tc>
          <w:tcPr>
            <w:tcW w:w="2381" w:type="dxa"/>
            <w:tcBorders>
              <w:top w:val="single" w:sz="4" w:space="0" w:color="auto"/>
              <w:left w:val="single" w:sz="4" w:space="0" w:color="auto"/>
              <w:bottom w:val="single" w:sz="4" w:space="0" w:color="auto"/>
              <w:right w:val="single" w:sz="4" w:space="0" w:color="auto"/>
            </w:tcBorders>
            <w:noWrap/>
            <w:vAlign w:val="center"/>
            <w:hideMark/>
          </w:tcPr>
          <w:p w14:paraId="07DAE9F2" w14:textId="77777777" w:rsidR="00FA74A5" w:rsidRPr="00FA74A5" w:rsidRDefault="00FA74A5" w:rsidP="00FA74A5">
            <w:pPr>
              <w:rPr>
                <w:rFonts w:ascii="Book Antiqua" w:hAnsi="Book Antiqua" w:cs="Calibri"/>
                <w:color w:val="000000"/>
                <w:sz w:val="16"/>
                <w:szCs w:val="16"/>
                <w:lang w:eastAsia="es-CR"/>
              </w:rPr>
            </w:pPr>
            <w:r w:rsidRPr="00FA74A5">
              <w:rPr>
                <w:rFonts w:ascii="Book Antiqua" w:hAnsi="Book Antiqua" w:cs="Calibri"/>
                <w:color w:val="000000"/>
                <w:sz w:val="16"/>
                <w:szCs w:val="16"/>
                <w:lang w:eastAsia="es-CR"/>
              </w:rPr>
              <w:t>Agrario</w:t>
            </w:r>
          </w:p>
        </w:tc>
        <w:tc>
          <w:tcPr>
            <w:tcW w:w="1199" w:type="dxa"/>
            <w:tcBorders>
              <w:top w:val="single" w:sz="4" w:space="0" w:color="auto"/>
              <w:left w:val="single" w:sz="4" w:space="0" w:color="auto"/>
              <w:bottom w:val="single" w:sz="4" w:space="0" w:color="auto"/>
              <w:right w:val="single" w:sz="4" w:space="0" w:color="auto"/>
            </w:tcBorders>
            <w:noWrap/>
            <w:vAlign w:val="center"/>
            <w:hideMark/>
          </w:tcPr>
          <w:p w14:paraId="744DA275" w14:textId="77777777" w:rsidR="00FA74A5" w:rsidRPr="00FA74A5" w:rsidRDefault="00FA74A5" w:rsidP="00FA74A5">
            <w:pPr>
              <w:jc w:val="center"/>
              <w:rPr>
                <w:rFonts w:ascii="Book Antiqua" w:hAnsi="Book Antiqua" w:cs="Calibri"/>
                <w:color w:val="000000"/>
                <w:sz w:val="16"/>
                <w:szCs w:val="16"/>
                <w:lang w:eastAsia="es-CR"/>
              </w:rPr>
            </w:pPr>
            <w:r w:rsidRPr="00FA74A5">
              <w:rPr>
                <w:rFonts w:ascii="Book Antiqua" w:hAnsi="Book Antiqua" w:cs="Calibri"/>
                <w:color w:val="000000"/>
                <w:sz w:val="16"/>
                <w:szCs w:val="16"/>
                <w:lang w:eastAsia="es-CR"/>
              </w:rPr>
              <w:t>303</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615E4F86" w14:textId="77777777" w:rsidR="00FA74A5" w:rsidRPr="00FA74A5" w:rsidRDefault="00FA74A5" w:rsidP="00FA74A5">
            <w:pPr>
              <w:jc w:val="center"/>
              <w:rPr>
                <w:rFonts w:ascii="Book Antiqua" w:hAnsi="Book Antiqua" w:cs="Calibri"/>
                <w:color w:val="000000"/>
                <w:sz w:val="16"/>
                <w:szCs w:val="16"/>
                <w:lang w:eastAsia="es-CR"/>
              </w:rPr>
            </w:pPr>
            <w:r w:rsidRPr="00FA74A5">
              <w:rPr>
                <w:rFonts w:ascii="Book Antiqua" w:hAnsi="Book Antiqua" w:cs="Calibri"/>
                <w:color w:val="000000"/>
                <w:sz w:val="16"/>
                <w:szCs w:val="16"/>
                <w:lang w:eastAsia="es-CR"/>
              </w:rPr>
              <w:t>273</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7A1DAC9B" w14:textId="77777777" w:rsidR="00FA74A5" w:rsidRPr="00FA74A5" w:rsidRDefault="00FA74A5" w:rsidP="00FA74A5">
            <w:pPr>
              <w:jc w:val="center"/>
              <w:rPr>
                <w:rFonts w:ascii="Book Antiqua" w:hAnsi="Book Antiqua" w:cs="Calibri"/>
                <w:color w:val="000000"/>
                <w:sz w:val="16"/>
                <w:szCs w:val="16"/>
                <w:lang w:eastAsia="es-CR"/>
              </w:rPr>
            </w:pPr>
            <w:r w:rsidRPr="00FA74A5">
              <w:rPr>
                <w:rFonts w:ascii="Book Antiqua" w:hAnsi="Book Antiqua" w:cs="Calibri"/>
                <w:color w:val="000000"/>
                <w:sz w:val="16"/>
                <w:szCs w:val="16"/>
                <w:lang w:eastAsia="es-CR"/>
              </w:rPr>
              <w:t>357</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5F73A9D9" w14:textId="77777777" w:rsidR="00FA74A5" w:rsidRPr="00FA74A5" w:rsidRDefault="00FA74A5" w:rsidP="00FA74A5">
            <w:pPr>
              <w:jc w:val="center"/>
              <w:rPr>
                <w:rFonts w:ascii="Book Antiqua" w:hAnsi="Book Antiqua" w:cs="Calibri"/>
                <w:color w:val="000000"/>
                <w:sz w:val="16"/>
                <w:szCs w:val="16"/>
                <w:lang w:eastAsia="es-CR"/>
              </w:rPr>
            </w:pPr>
            <w:r w:rsidRPr="00FA74A5">
              <w:rPr>
                <w:rFonts w:ascii="Book Antiqua" w:hAnsi="Book Antiqua" w:cs="Calibri"/>
                <w:color w:val="000000"/>
                <w:sz w:val="16"/>
                <w:szCs w:val="16"/>
                <w:lang w:eastAsia="es-CR"/>
              </w:rPr>
              <w:t>17,98%</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7347C744" w14:textId="77777777" w:rsidR="00FA74A5" w:rsidRPr="00FA74A5" w:rsidRDefault="00FA74A5" w:rsidP="00FA74A5">
            <w:pPr>
              <w:jc w:val="center"/>
              <w:rPr>
                <w:rFonts w:ascii="Book Antiqua" w:hAnsi="Book Antiqua" w:cs="Calibri"/>
                <w:color w:val="000000"/>
                <w:sz w:val="16"/>
                <w:szCs w:val="16"/>
                <w:lang w:eastAsia="es-CR"/>
              </w:rPr>
            </w:pPr>
            <w:r w:rsidRPr="00FA74A5">
              <w:rPr>
                <w:rFonts w:ascii="Book Antiqua" w:hAnsi="Book Antiqua" w:cs="Calibri"/>
                <w:color w:val="000000"/>
                <w:sz w:val="16"/>
                <w:szCs w:val="16"/>
                <w:lang w:eastAsia="es-CR"/>
              </w:rPr>
              <w:t>30,85%</w:t>
            </w:r>
          </w:p>
        </w:tc>
      </w:tr>
      <w:tr w:rsidR="00FA74A5" w:rsidRPr="00FA74A5" w14:paraId="5DA68A33" w14:textId="77777777" w:rsidTr="57A79FF7">
        <w:trPr>
          <w:trHeight w:val="285"/>
          <w:jc w:val="center"/>
        </w:trPr>
        <w:tc>
          <w:tcPr>
            <w:tcW w:w="2381" w:type="dxa"/>
            <w:tcBorders>
              <w:top w:val="single" w:sz="4" w:space="0" w:color="auto"/>
              <w:left w:val="single" w:sz="4" w:space="0" w:color="auto"/>
              <w:bottom w:val="single" w:sz="4" w:space="0" w:color="auto"/>
              <w:right w:val="single" w:sz="4" w:space="0" w:color="auto"/>
            </w:tcBorders>
            <w:noWrap/>
            <w:vAlign w:val="center"/>
            <w:hideMark/>
          </w:tcPr>
          <w:p w14:paraId="5B2B05D2" w14:textId="77777777" w:rsidR="00FA74A5" w:rsidRPr="00FA74A5" w:rsidRDefault="00FA74A5" w:rsidP="00FA74A5">
            <w:pPr>
              <w:rPr>
                <w:rFonts w:ascii="Book Antiqua" w:hAnsi="Book Antiqua" w:cs="Calibri"/>
                <w:color w:val="000000"/>
                <w:sz w:val="16"/>
                <w:szCs w:val="16"/>
                <w:lang w:eastAsia="es-CR"/>
              </w:rPr>
            </w:pPr>
            <w:r w:rsidRPr="00FA74A5">
              <w:rPr>
                <w:rFonts w:ascii="Book Antiqua" w:hAnsi="Book Antiqua" w:cs="Calibri"/>
                <w:color w:val="000000"/>
                <w:sz w:val="16"/>
                <w:szCs w:val="16"/>
                <w:lang w:eastAsia="es-CR"/>
              </w:rPr>
              <w:t>Contravenciones</w:t>
            </w:r>
          </w:p>
        </w:tc>
        <w:tc>
          <w:tcPr>
            <w:tcW w:w="1199" w:type="dxa"/>
            <w:tcBorders>
              <w:top w:val="single" w:sz="4" w:space="0" w:color="auto"/>
              <w:left w:val="single" w:sz="4" w:space="0" w:color="auto"/>
              <w:bottom w:val="single" w:sz="4" w:space="0" w:color="auto"/>
              <w:right w:val="single" w:sz="4" w:space="0" w:color="auto"/>
            </w:tcBorders>
            <w:noWrap/>
            <w:vAlign w:val="center"/>
            <w:hideMark/>
          </w:tcPr>
          <w:p w14:paraId="1C8B3770" w14:textId="77777777" w:rsidR="00FA74A5" w:rsidRPr="00FA74A5" w:rsidRDefault="00FA74A5" w:rsidP="00FA74A5">
            <w:pPr>
              <w:jc w:val="center"/>
              <w:rPr>
                <w:rFonts w:ascii="Book Antiqua" w:hAnsi="Book Antiqua" w:cs="Calibri"/>
                <w:color w:val="000000"/>
                <w:sz w:val="16"/>
                <w:szCs w:val="16"/>
                <w:lang w:eastAsia="es-CR"/>
              </w:rPr>
            </w:pPr>
            <w:r w:rsidRPr="00FA74A5">
              <w:rPr>
                <w:rFonts w:ascii="Book Antiqua" w:hAnsi="Book Antiqua" w:cs="Calibri"/>
                <w:color w:val="000000"/>
                <w:sz w:val="16"/>
                <w:szCs w:val="16"/>
                <w:lang w:eastAsia="es-CR"/>
              </w:rPr>
              <w:t>3630</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23DA779D" w14:textId="77777777" w:rsidR="00FA74A5" w:rsidRPr="00FA74A5" w:rsidRDefault="00FA74A5" w:rsidP="00FA74A5">
            <w:pPr>
              <w:jc w:val="center"/>
              <w:rPr>
                <w:rFonts w:ascii="Book Antiqua" w:hAnsi="Book Antiqua" w:cs="Calibri"/>
                <w:color w:val="000000"/>
                <w:sz w:val="16"/>
                <w:szCs w:val="16"/>
                <w:lang w:eastAsia="es-CR"/>
              </w:rPr>
            </w:pPr>
            <w:r w:rsidRPr="00FA74A5">
              <w:rPr>
                <w:rFonts w:ascii="Book Antiqua" w:hAnsi="Book Antiqua" w:cs="Calibri"/>
                <w:color w:val="000000"/>
                <w:sz w:val="16"/>
                <w:szCs w:val="16"/>
                <w:lang w:eastAsia="es-CR"/>
              </w:rPr>
              <w:t>3210</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0F2B9728" w14:textId="77777777" w:rsidR="00FA74A5" w:rsidRPr="00FA74A5" w:rsidRDefault="00FA74A5" w:rsidP="00FA74A5">
            <w:pPr>
              <w:jc w:val="center"/>
              <w:rPr>
                <w:rFonts w:ascii="Book Antiqua" w:hAnsi="Book Antiqua" w:cs="Calibri"/>
                <w:color w:val="000000"/>
                <w:sz w:val="16"/>
                <w:szCs w:val="16"/>
                <w:lang w:eastAsia="es-CR"/>
              </w:rPr>
            </w:pPr>
            <w:r w:rsidRPr="00FA74A5">
              <w:rPr>
                <w:rFonts w:ascii="Book Antiqua" w:hAnsi="Book Antiqua" w:cs="Calibri"/>
                <w:color w:val="000000"/>
                <w:sz w:val="16"/>
                <w:szCs w:val="16"/>
                <w:lang w:eastAsia="es-CR"/>
              </w:rPr>
              <w:t>3684</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16529A32" w14:textId="77777777" w:rsidR="00FA74A5" w:rsidRPr="00FA74A5" w:rsidRDefault="00FA74A5" w:rsidP="00FA74A5">
            <w:pPr>
              <w:jc w:val="center"/>
              <w:rPr>
                <w:rFonts w:ascii="Book Antiqua" w:hAnsi="Book Antiqua" w:cs="Calibri"/>
                <w:color w:val="000000"/>
                <w:sz w:val="16"/>
                <w:szCs w:val="16"/>
                <w:lang w:eastAsia="es-CR"/>
              </w:rPr>
            </w:pPr>
            <w:r w:rsidRPr="00FA74A5">
              <w:rPr>
                <w:rFonts w:ascii="Book Antiqua" w:hAnsi="Book Antiqua" w:cs="Calibri"/>
                <w:color w:val="000000"/>
                <w:sz w:val="16"/>
                <w:szCs w:val="16"/>
                <w:lang w:eastAsia="es-CR"/>
              </w:rPr>
              <w:t>1,51%</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79F240A2" w14:textId="77777777" w:rsidR="00FA74A5" w:rsidRPr="00FA74A5" w:rsidRDefault="00FA74A5" w:rsidP="00FA74A5">
            <w:pPr>
              <w:jc w:val="center"/>
              <w:rPr>
                <w:rFonts w:ascii="Book Antiqua" w:hAnsi="Book Antiqua" w:cs="Calibri"/>
                <w:color w:val="000000"/>
                <w:sz w:val="16"/>
                <w:szCs w:val="16"/>
                <w:lang w:eastAsia="es-CR"/>
              </w:rPr>
            </w:pPr>
            <w:r w:rsidRPr="00FA74A5">
              <w:rPr>
                <w:rFonts w:ascii="Book Antiqua" w:hAnsi="Book Antiqua" w:cs="Calibri"/>
                <w:color w:val="000000"/>
                <w:sz w:val="16"/>
                <w:szCs w:val="16"/>
                <w:lang w:eastAsia="es-CR"/>
              </w:rPr>
              <w:t>14,77%</w:t>
            </w:r>
          </w:p>
        </w:tc>
      </w:tr>
    </w:tbl>
    <w:p w14:paraId="4826A024" w14:textId="77777777" w:rsidR="00FA74A5" w:rsidRDefault="00FA74A5" w:rsidP="00234CBE">
      <w:pPr>
        <w:shd w:val="clear" w:color="auto" w:fill="FFFFFF" w:themeFill="background1"/>
        <w:spacing w:line="276" w:lineRule="auto"/>
        <w:jc w:val="both"/>
        <w:rPr>
          <w:rFonts w:ascii="Book Antiqua" w:hAnsi="Book Antiqua"/>
          <w:lang w:val="es-ES_tradnl" w:eastAsia="en-US"/>
        </w:rPr>
      </w:pPr>
    </w:p>
    <w:p w14:paraId="465673CE" w14:textId="77777777" w:rsidR="00FA74A5" w:rsidRDefault="00FA74A5" w:rsidP="00234CBE">
      <w:pPr>
        <w:shd w:val="clear" w:color="auto" w:fill="FFFFFF" w:themeFill="background1"/>
        <w:spacing w:line="276" w:lineRule="auto"/>
        <w:jc w:val="both"/>
        <w:rPr>
          <w:rFonts w:ascii="Book Antiqua" w:hAnsi="Book Antiqua"/>
          <w:lang w:val="es-ES_tradnl" w:eastAsia="en-US"/>
        </w:rPr>
      </w:pPr>
    </w:p>
    <w:p w14:paraId="1AD5769F" w14:textId="34304C8D" w:rsidR="0096478D" w:rsidRDefault="42FF0328" w:rsidP="00234CBE">
      <w:pPr>
        <w:pStyle w:val="Ttulo2"/>
        <w:spacing w:line="276" w:lineRule="auto"/>
        <w:rPr>
          <w:rFonts w:ascii="Book Antiqua" w:hAnsi="Book Antiqua"/>
        </w:rPr>
      </w:pPr>
      <w:r w:rsidRPr="57A79FF7">
        <w:rPr>
          <w:rFonts w:ascii="Book Antiqua" w:hAnsi="Book Antiqua"/>
        </w:rPr>
        <w:t>1</w:t>
      </w:r>
      <w:r w:rsidR="0096478D" w:rsidRPr="57A79FF7">
        <w:rPr>
          <w:rFonts w:ascii="Book Antiqua" w:hAnsi="Book Antiqua"/>
        </w:rPr>
        <w:t>.</w:t>
      </w:r>
      <w:r w:rsidR="0096478D" w:rsidRPr="004F0E92">
        <w:rPr>
          <w:rFonts w:ascii="Book Antiqua" w:hAnsi="Book Antiqua"/>
        </w:rPr>
        <w:t>2</w:t>
      </w:r>
      <w:r w:rsidR="00217648">
        <w:rPr>
          <w:rFonts w:ascii="Book Antiqua" w:hAnsi="Book Antiqua"/>
        </w:rPr>
        <w:t xml:space="preserve"> Casos</w:t>
      </w:r>
      <w:r w:rsidR="0096478D" w:rsidRPr="004F0E92">
        <w:rPr>
          <w:rFonts w:ascii="Book Antiqua" w:hAnsi="Book Antiqua"/>
        </w:rPr>
        <w:t xml:space="preserve"> Terminados</w:t>
      </w:r>
    </w:p>
    <w:p w14:paraId="1DB18EC3" w14:textId="77777777" w:rsidR="00FB41DB" w:rsidRPr="00FB41DB" w:rsidRDefault="00FB41DB" w:rsidP="00234CBE">
      <w:pPr>
        <w:spacing w:line="276" w:lineRule="auto"/>
        <w:rPr>
          <w:lang w:val="es-ES_tradnl" w:eastAsia="en-US"/>
        </w:rPr>
      </w:pPr>
    </w:p>
    <w:p w14:paraId="4ED4B87B" w14:textId="50B499FB" w:rsidR="005C5DA1" w:rsidRPr="00DB5373" w:rsidRDefault="0096478D" w:rsidP="00234CBE">
      <w:pPr>
        <w:shd w:val="clear" w:color="auto" w:fill="FFFFFF" w:themeFill="background1"/>
        <w:spacing w:after="160" w:line="276" w:lineRule="auto"/>
        <w:jc w:val="both"/>
        <w:rPr>
          <w:rFonts w:ascii="Book Antiqua" w:hAnsi="Book Antiqua"/>
          <w:lang w:val="es-ES" w:eastAsia="en-US"/>
        </w:rPr>
      </w:pPr>
      <w:bookmarkStart w:id="2" w:name="_Hlk65540290"/>
      <w:r w:rsidRPr="00DB5373">
        <w:rPr>
          <w:rFonts w:ascii="Book Antiqua" w:hAnsi="Book Antiqua"/>
          <w:lang w:val="es-ES" w:eastAsia="en-US"/>
        </w:rPr>
        <w:t xml:space="preserve">Realizando un cálculo del promedio </w:t>
      </w:r>
      <w:r w:rsidR="005C5DA1" w:rsidRPr="00DB5373">
        <w:rPr>
          <w:rFonts w:ascii="Book Antiqua" w:hAnsi="Book Antiqua"/>
          <w:lang w:val="es-ES" w:eastAsia="en-US"/>
        </w:rPr>
        <w:t xml:space="preserve">mensual </w:t>
      </w:r>
      <w:r w:rsidRPr="00DB5373">
        <w:rPr>
          <w:rFonts w:ascii="Book Antiqua" w:hAnsi="Book Antiqua"/>
          <w:lang w:val="es-ES" w:eastAsia="en-US"/>
        </w:rPr>
        <w:t xml:space="preserve">de </w:t>
      </w:r>
      <w:r w:rsidR="005C5DA1" w:rsidRPr="00DB5373">
        <w:rPr>
          <w:rFonts w:ascii="Book Antiqua" w:hAnsi="Book Antiqua"/>
          <w:lang w:val="es-ES" w:eastAsia="en-US"/>
        </w:rPr>
        <w:t>los casos culminados</w:t>
      </w:r>
      <w:r w:rsidRPr="00DB5373">
        <w:rPr>
          <w:rFonts w:ascii="Book Antiqua" w:hAnsi="Book Antiqua"/>
          <w:lang w:val="es-ES" w:eastAsia="en-US"/>
        </w:rPr>
        <w:t xml:space="preserve"> </w:t>
      </w:r>
      <w:r w:rsidR="005C5DA1" w:rsidRPr="00DB5373">
        <w:rPr>
          <w:rFonts w:ascii="Book Antiqua" w:hAnsi="Book Antiqua"/>
          <w:lang w:val="es-ES" w:eastAsia="en-US"/>
        </w:rPr>
        <w:t xml:space="preserve">de enero a </w:t>
      </w:r>
      <w:r w:rsidR="005E39B1">
        <w:rPr>
          <w:rFonts w:ascii="Book Antiqua" w:hAnsi="Book Antiqua"/>
          <w:lang w:val="es-ES" w:eastAsia="en-US"/>
        </w:rPr>
        <w:t>setiembre</w:t>
      </w:r>
      <w:r w:rsidR="005C5DA1" w:rsidRPr="00DB5373">
        <w:rPr>
          <w:rFonts w:ascii="Book Antiqua" w:hAnsi="Book Antiqua"/>
          <w:lang w:val="es-ES" w:eastAsia="en-US"/>
        </w:rPr>
        <w:t xml:space="preserve"> del </w:t>
      </w:r>
      <w:r w:rsidR="005E39B1">
        <w:rPr>
          <w:rFonts w:ascii="Book Antiqua" w:hAnsi="Book Antiqua"/>
          <w:lang w:val="es-ES" w:eastAsia="en-US"/>
        </w:rPr>
        <w:t>presente año</w:t>
      </w:r>
      <w:r w:rsidR="005C5DA1" w:rsidRPr="00DB5373">
        <w:rPr>
          <w:rFonts w:ascii="Book Antiqua" w:hAnsi="Book Antiqua"/>
          <w:lang w:val="es-ES" w:eastAsia="en-US"/>
        </w:rPr>
        <w:t>,</w:t>
      </w:r>
      <w:r w:rsidRPr="00DB5373">
        <w:rPr>
          <w:rFonts w:ascii="Book Antiqua" w:hAnsi="Book Antiqua"/>
          <w:lang w:val="es-ES" w:eastAsia="en-US"/>
        </w:rPr>
        <w:t xml:space="preserve"> </w:t>
      </w:r>
      <w:r w:rsidR="002E09FD" w:rsidRPr="00DB5373">
        <w:rPr>
          <w:rFonts w:ascii="Book Antiqua" w:hAnsi="Book Antiqua"/>
          <w:lang w:val="es-ES" w:eastAsia="en-US"/>
        </w:rPr>
        <w:t xml:space="preserve">se obtiene un promedio </w:t>
      </w:r>
      <w:r w:rsidR="005E39B1">
        <w:rPr>
          <w:rFonts w:ascii="Book Antiqua" w:hAnsi="Book Antiqua"/>
          <w:lang w:val="es-ES" w:eastAsia="en-US"/>
        </w:rPr>
        <w:t xml:space="preserve">mensual de terminados </w:t>
      </w:r>
      <w:r w:rsidR="002E09FD" w:rsidRPr="00DB5373">
        <w:rPr>
          <w:rFonts w:ascii="Book Antiqua" w:hAnsi="Book Antiqua"/>
          <w:lang w:val="es-ES" w:eastAsia="en-US"/>
        </w:rPr>
        <w:t xml:space="preserve">de </w:t>
      </w:r>
      <w:r w:rsidR="0097010A" w:rsidRPr="00DB5373">
        <w:rPr>
          <w:rFonts w:ascii="Book Antiqua" w:hAnsi="Book Antiqua"/>
          <w:lang w:val="es-ES" w:eastAsia="en-US"/>
        </w:rPr>
        <w:t>56</w:t>
      </w:r>
      <w:r w:rsidR="001766D1">
        <w:rPr>
          <w:rFonts w:ascii="Book Antiqua" w:hAnsi="Book Antiqua"/>
          <w:lang w:val="es-ES" w:eastAsia="en-US"/>
        </w:rPr>
        <w:t>.</w:t>
      </w:r>
      <w:r w:rsidR="0097010A" w:rsidRPr="00DB5373">
        <w:rPr>
          <w:rFonts w:ascii="Book Antiqua" w:hAnsi="Book Antiqua"/>
          <w:lang w:val="es-ES" w:eastAsia="en-US"/>
        </w:rPr>
        <w:t>8</w:t>
      </w:r>
      <w:r w:rsidR="005E39B1">
        <w:rPr>
          <w:rFonts w:ascii="Book Antiqua" w:hAnsi="Book Antiqua"/>
          <w:lang w:val="es-ES" w:eastAsia="en-US"/>
        </w:rPr>
        <w:t>82</w:t>
      </w:r>
      <w:r w:rsidR="00081F32" w:rsidRPr="00DB5373">
        <w:rPr>
          <w:rFonts w:ascii="Book Antiqua" w:hAnsi="Book Antiqua"/>
          <w:lang w:val="es-ES" w:eastAsia="en-US"/>
        </w:rPr>
        <w:t xml:space="preserve"> </w:t>
      </w:r>
      <w:r w:rsidR="002E09FD" w:rsidRPr="00DB5373">
        <w:rPr>
          <w:rFonts w:ascii="Book Antiqua" w:hAnsi="Book Antiqua"/>
          <w:lang w:val="es-ES" w:eastAsia="en-US"/>
        </w:rPr>
        <w:t>asuntos</w:t>
      </w:r>
      <w:r w:rsidR="005C5DA1" w:rsidRPr="00DB5373">
        <w:rPr>
          <w:rFonts w:ascii="Book Antiqua" w:hAnsi="Book Antiqua"/>
          <w:lang w:val="es-ES" w:eastAsia="en-US"/>
        </w:rPr>
        <w:t xml:space="preserve">, </w:t>
      </w:r>
      <w:r w:rsidR="00DD55AF" w:rsidRPr="00DB5373">
        <w:rPr>
          <w:rFonts w:ascii="Book Antiqua" w:hAnsi="Book Antiqua"/>
          <w:lang w:val="es-ES" w:eastAsia="en-US"/>
        </w:rPr>
        <w:t>lo que</w:t>
      </w:r>
      <w:r w:rsidRPr="00DB5373">
        <w:rPr>
          <w:rFonts w:ascii="Book Antiqua" w:hAnsi="Book Antiqua"/>
          <w:lang w:val="es-ES" w:eastAsia="en-US"/>
        </w:rPr>
        <w:t xml:space="preserve"> </w:t>
      </w:r>
      <w:r w:rsidR="00DD55AF" w:rsidRPr="00DB5373">
        <w:rPr>
          <w:rFonts w:ascii="Book Antiqua" w:hAnsi="Book Antiqua"/>
          <w:lang w:val="es-ES" w:eastAsia="en-US"/>
        </w:rPr>
        <w:t>significa</w:t>
      </w:r>
      <w:r w:rsidR="004950CB">
        <w:rPr>
          <w:rFonts w:ascii="Book Antiqua" w:hAnsi="Book Antiqua"/>
          <w:lang w:val="es-ES" w:eastAsia="en-US"/>
        </w:rPr>
        <w:t>,</w:t>
      </w:r>
      <w:r w:rsidRPr="00DB5373">
        <w:rPr>
          <w:rFonts w:ascii="Book Antiqua" w:hAnsi="Book Antiqua"/>
          <w:lang w:val="es-ES" w:eastAsia="en-US"/>
        </w:rPr>
        <w:t xml:space="preserve"> un </w:t>
      </w:r>
      <w:r w:rsidR="00C66C3D" w:rsidRPr="00DB5373">
        <w:rPr>
          <w:rFonts w:ascii="Book Antiqua" w:hAnsi="Book Antiqua"/>
          <w:lang w:val="es-ES" w:eastAsia="en-US"/>
        </w:rPr>
        <w:t>decrecimiento</w:t>
      </w:r>
      <w:r w:rsidRPr="00DB5373">
        <w:rPr>
          <w:rFonts w:ascii="Book Antiqua" w:hAnsi="Book Antiqua"/>
          <w:lang w:val="es-ES" w:eastAsia="en-US"/>
        </w:rPr>
        <w:t xml:space="preserve"> </w:t>
      </w:r>
      <w:r w:rsidR="00DD55AF" w:rsidRPr="00DB5373">
        <w:rPr>
          <w:rFonts w:ascii="Book Antiqua" w:hAnsi="Book Antiqua"/>
          <w:lang w:val="es-ES" w:eastAsia="en-US"/>
        </w:rPr>
        <w:t xml:space="preserve">del </w:t>
      </w:r>
      <w:bookmarkEnd w:id="2"/>
      <w:r w:rsidR="00C66C3D" w:rsidRPr="00DB5373">
        <w:rPr>
          <w:rFonts w:ascii="Book Antiqua" w:hAnsi="Book Antiqua"/>
          <w:lang w:val="es-ES" w:eastAsia="en-US"/>
        </w:rPr>
        <w:t>7</w:t>
      </w:r>
      <w:r w:rsidR="008541E4">
        <w:rPr>
          <w:rFonts w:ascii="Book Antiqua" w:hAnsi="Book Antiqua"/>
          <w:lang w:val="es-ES" w:eastAsia="en-US"/>
        </w:rPr>
        <w:t>.</w:t>
      </w:r>
      <w:r w:rsidR="00C66C3D" w:rsidRPr="00DB5373">
        <w:rPr>
          <w:rFonts w:ascii="Book Antiqua" w:hAnsi="Book Antiqua"/>
          <w:lang w:val="es-ES" w:eastAsia="en-US"/>
        </w:rPr>
        <w:t>71</w:t>
      </w:r>
      <w:r w:rsidR="00DD55AF" w:rsidRPr="00DB5373">
        <w:rPr>
          <w:rFonts w:ascii="Book Antiqua" w:hAnsi="Book Antiqua"/>
          <w:lang w:val="es-ES" w:eastAsia="en-US"/>
        </w:rPr>
        <w:t xml:space="preserve">% con respecto al </w:t>
      </w:r>
      <w:r w:rsidR="00133338" w:rsidRPr="00DB5373">
        <w:rPr>
          <w:rFonts w:ascii="Book Antiqua" w:hAnsi="Book Antiqua"/>
          <w:lang w:val="es-ES" w:eastAsia="en-US"/>
        </w:rPr>
        <w:t xml:space="preserve">promedio mensual del </w:t>
      </w:r>
      <w:r w:rsidR="00DB5373" w:rsidRPr="00DB5373">
        <w:rPr>
          <w:rFonts w:ascii="Book Antiqua" w:hAnsi="Book Antiqua"/>
          <w:lang w:val="es-ES" w:eastAsia="en-US"/>
        </w:rPr>
        <w:t>2019 (</w:t>
      </w:r>
      <w:r w:rsidR="00A15230">
        <w:rPr>
          <w:rFonts w:ascii="Book Antiqua" w:hAnsi="Book Antiqua"/>
          <w:lang w:val="es-ES" w:eastAsia="en-US"/>
        </w:rPr>
        <w:t xml:space="preserve">promedio de </w:t>
      </w:r>
      <w:r w:rsidR="00C66C3D" w:rsidRPr="00DB5373">
        <w:rPr>
          <w:rFonts w:ascii="Book Antiqua" w:hAnsi="Book Antiqua"/>
          <w:lang w:val="es-ES" w:eastAsia="en-US"/>
        </w:rPr>
        <w:t>61</w:t>
      </w:r>
      <w:r w:rsidR="001766D1">
        <w:rPr>
          <w:rFonts w:ascii="Book Antiqua" w:hAnsi="Book Antiqua"/>
          <w:lang w:val="es-ES" w:eastAsia="en-US"/>
        </w:rPr>
        <w:t>.</w:t>
      </w:r>
      <w:r w:rsidR="00C66C3D" w:rsidRPr="00DB5373">
        <w:rPr>
          <w:rFonts w:ascii="Book Antiqua" w:hAnsi="Book Antiqua"/>
          <w:lang w:val="es-ES" w:eastAsia="en-US"/>
        </w:rPr>
        <w:t>632</w:t>
      </w:r>
      <w:r w:rsidR="003E0C0D" w:rsidRPr="00DB5373">
        <w:rPr>
          <w:rFonts w:ascii="Book Antiqua" w:hAnsi="Book Antiqua"/>
          <w:lang w:val="es-ES" w:eastAsia="en-US"/>
        </w:rPr>
        <w:t xml:space="preserve"> </w:t>
      </w:r>
      <w:r w:rsidR="00DD55AF" w:rsidRPr="00DB5373">
        <w:rPr>
          <w:rFonts w:ascii="Book Antiqua" w:hAnsi="Book Antiqua"/>
          <w:lang w:val="es-ES" w:eastAsia="en-US"/>
        </w:rPr>
        <w:t>expedientes)</w:t>
      </w:r>
      <w:r w:rsidR="00C66C3D" w:rsidRPr="00DB5373">
        <w:rPr>
          <w:rFonts w:ascii="Book Antiqua" w:hAnsi="Book Antiqua"/>
          <w:lang w:val="es-ES" w:eastAsia="en-US"/>
        </w:rPr>
        <w:t>, no obstante, se visualiza un</w:t>
      </w:r>
      <w:r w:rsidR="00E807E8">
        <w:rPr>
          <w:rFonts w:ascii="Book Antiqua" w:hAnsi="Book Antiqua"/>
          <w:lang w:val="es-ES" w:eastAsia="en-US"/>
        </w:rPr>
        <w:t xml:space="preserve"> incremento del</w:t>
      </w:r>
      <w:r w:rsidR="00C66C3D" w:rsidRPr="00DB5373">
        <w:rPr>
          <w:rFonts w:ascii="Book Antiqua" w:hAnsi="Book Antiqua"/>
          <w:lang w:val="es-ES" w:eastAsia="en-US"/>
        </w:rPr>
        <w:t xml:space="preserve"> 7</w:t>
      </w:r>
      <w:r w:rsidR="008541E4">
        <w:rPr>
          <w:rFonts w:ascii="Book Antiqua" w:hAnsi="Book Antiqua"/>
          <w:lang w:val="es-ES" w:eastAsia="en-US"/>
        </w:rPr>
        <w:t>.</w:t>
      </w:r>
      <w:r w:rsidR="00C66C3D" w:rsidRPr="00DB5373">
        <w:rPr>
          <w:rFonts w:ascii="Book Antiqua" w:hAnsi="Book Antiqua"/>
          <w:lang w:val="es-ES" w:eastAsia="en-US"/>
        </w:rPr>
        <w:t>3</w:t>
      </w:r>
      <w:r w:rsidR="00E807E8">
        <w:rPr>
          <w:rFonts w:ascii="Book Antiqua" w:hAnsi="Book Antiqua"/>
          <w:lang w:val="es-ES" w:eastAsia="en-US"/>
        </w:rPr>
        <w:t>3</w:t>
      </w:r>
      <w:r w:rsidR="00C66C3D" w:rsidRPr="00DB5373">
        <w:rPr>
          <w:rFonts w:ascii="Book Antiqua" w:hAnsi="Book Antiqua"/>
          <w:lang w:val="es-ES" w:eastAsia="en-US"/>
        </w:rPr>
        <w:t xml:space="preserve">% </w:t>
      </w:r>
      <w:r w:rsidR="004950CB">
        <w:rPr>
          <w:rFonts w:ascii="Book Antiqua" w:hAnsi="Book Antiqua"/>
          <w:lang w:val="es-ES" w:eastAsia="en-US"/>
        </w:rPr>
        <w:t xml:space="preserve">de </w:t>
      </w:r>
      <w:r w:rsidR="00DB5373" w:rsidRPr="00DB5373">
        <w:rPr>
          <w:rFonts w:ascii="Book Antiqua" w:hAnsi="Book Antiqua"/>
          <w:lang w:val="es-ES" w:eastAsia="en-US"/>
        </w:rPr>
        <w:t>asuntos terminado</w:t>
      </w:r>
      <w:r w:rsidR="006B3C16">
        <w:rPr>
          <w:rFonts w:ascii="Book Antiqua" w:hAnsi="Book Antiqua"/>
          <w:lang w:val="es-ES" w:eastAsia="en-US"/>
        </w:rPr>
        <w:t>s</w:t>
      </w:r>
      <w:r w:rsidR="00DB5373" w:rsidRPr="00DB5373">
        <w:rPr>
          <w:rFonts w:ascii="Book Antiqua" w:hAnsi="Book Antiqua"/>
          <w:lang w:val="es-ES" w:eastAsia="en-US"/>
        </w:rPr>
        <w:t xml:space="preserve"> con respecto el año anterior</w:t>
      </w:r>
      <w:r w:rsidR="00BE1AA9">
        <w:rPr>
          <w:rFonts w:ascii="Book Antiqua" w:hAnsi="Book Antiqua"/>
          <w:lang w:val="es-ES" w:eastAsia="en-US"/>
        </w:rPr>
        <w:t xml:space="preserve">, cuyo </w:t>
      </w:r>
      <w:r w:rsidR="006B3C16">
        <w:rPr>
          <w:rFonts w:ascii="Book Antiqua" w:hAnsi="Book Antiqua"/>
          <w:lang w:val="es-ES" w:eastAsia="en-US"/>
        </w:rPr>
        <w:t xml:space="preserve">promedio mensual </w:t>
      </w:r>
      <w:r w:rsidR="00BE1AA9">
        <w:rPr>
          <w:rFonts w:ascii="Book Antiqua" w:hAnsi="Book Antiqua"/>
          <w:lang w:val="es-ES" w:eastAsia="en-US"/>
        </w:rPr>
        <w:t xml:space="preserve">fue </w:t>
      </w:r>
      <w:r w:rsidR="006B3C16">
        <w:rPr>
          <w:rFonts w:ascii="Book Antiqua" w:hAnsi="Book Antiqua"/>
          <w:lang w:val="es-ES" w:eastAsia="en-US"/>
        </w:rPr>
        <w:t>de 52</w:t>
      </w:r>
      <w:r w:rsidR="001766D1">
        <w:rPr>
          <w:rFonts w:ascii="Book Antiqua" w:hAnsi="Book Antiqua"/>
          <w:lang w:val="es-ES" w:eastAsia="en-US"/>
        </w:rPr>
        <w:t>.</w:t>
      </w:r>
      <w:r w:rsidR="006B3C16">
        <w:rPr>
          <w:rFonts w:ascii="Book Antiqua" w:hAnsi="Book Antiqua"/>
          <w:lang w:val="es-ES" w:eastAsia="en-US"/>
        </w:rPr>
        <w:t>997</w:t>
      </w:r>
      <w:r w:rsidR="00DB5373" w:rsidRPr="00DB5373">
        <w:rPr>
          <w:rFonts w:ascii="Book Antiqua" w:hAnsi="Book Antiqua"/>
          <w:lang w:val="es-ES" w:eastAsia="en-US"/>
        </w:rPr>
        <w:t>.</w:t>
      </w:r>
      <w:r w:rsidR="003638AC">
        <w:rPr>
          <w:rFonts w:ascii="Book Antiqua" w:hAnsi="Book Antiqua"/>
          <w:lang w:val="es-ES" w:eastAsia="en-US"/>
        </w:rPr>
        <w:t xml:space="preserve"> Esto permite visualizar un comportamiento positivo, ya que se avanza hacia una recuperación a la nueva normalidad, con la gran diferencia que se ha tenido que realizar la adaptación a la virtualidad, tanto de las personas usuarias como de las personas trabajadoras del Poder Judicial.</w:t>
      </w:r>
    </w:p>
    <w:p w14:paraId="0A347F64" w14:textId="635B3F40" w:rsidR="0096478D" w:rsidRDefault="00025BF9" w:rsidP="00234CBE">
      <w:pPr>
        <w:spacing w:after="160" w:line="276" w:lineRule="auto"/>
        <w:jc w:val="both"/>
        <w:rPr>
          <w:rFonts w:ascii="Book Antiqua" w:hAnsi="Book Antiqua"/>
          <w:lang w:val="es-ES" w:eastAsia="en-US"/>
        </w:rPr>
      </w:pPr>
      <w:r w:rsidRPr="002F460C">
        <w:rPr>
          <w:rFonts w:ascii="Book Antiqua" w:hAnsi="Book Antiqua"/>
          <w:lang w:val="es-ES" w:eastAsia="en-US"/>
        </w:rPr>
        <w:t>Aunado a los resultados anteriores,</w:t>
      </w:r>
      <w:r w:rsidR="0096478D" w:rsidRPr="002F460C">
        <w:rPr>
          <w:rFonts w:ascii="Book Antiqua" w:hAnsi="Book Antiqua"/>
          <w:lang w:val="es-ES" w:eastAsia="en-US"/>
        </w:rPr>
        <w:t xml:space="preserve"> </w:t>
      </w:r>
      <w:r w:rsidRPr="002F460C">
        <w:rPr>
          <w:rFonts w:ascii="Book Antiqua" w:hAnsi="Book Antiqua"/>
          <w:lang w:val="es-ES" w:eastAsia="en-US"/>
        </w:rPr>
        <w:t xml:space="preserve">es importante considerar </w:t>
      </w:r>
      <w:r w:rsidR="0096478D" w:rsidRPr="002F460C">
        <w:rPr>
          <w:rFonts w:ascii="Book Antiqua" w:hAnsi="Book Antiqua"/>
          <w:lang w:val="es-ES" w:eastAsia="en-US"/>
        </w:rPr>
        <w:t>todas las afectaciones por los cierres y por los asuntos que no han podido darse por terminado</w:t>
      </w:r>
      <w:r w:rsidRPr="002F460C">
        <w:rPr>
          <w:rFonts w:ascii="Book Antiqua" w:hAnsi="Book Antiqua"/>
          <w:lang w:val="es-ES" w:eastAsia="en-US"/>
        </w:rPr>
        <w:t>,</w:t>
      </w:r>
      <w:r w:rsidR="0096478D" w:rsidRPr="002F460C">
        <w:rPr>
          <w:rFonts w:ascii="Book Antiqua" w:hAnsi="Book Antiqua"/>
          <w:lang w:val="es-ES" w:eastAsia="en-US"/>
        </w:rPr>
        <w:t xml:space="preserve"> por </w:t>
      </w:r>
      <w:r w:rsidR="007B62F4" w:rsidRPr="002F460C">
        <w:rPr>
          <w:rFonts w:ascii="Book Antiqua" w:hAnsi="Book Antiqua"/>
          <w:lang w:val="es-ES" w:eastAsia="en-US"/>
        </w:rPr>
        <w:t>ejemplo,</w:t>
      </w:r>
      <w:r w:rsidR="0096478D" w:rsidRPr="002F460C">
        <w:rPr>
          <w:rFonts w:ascii="Book Antiqua" w:hAnsi="Book Antiqua"/>
          <w:lang w:val="es-ES" w:eastAsia="en-US"/>
        </w:rPr>
        <w:t xml:space="preserve"> a causa de falta de audiencia, adicionalmente, hay que señalar que el proyecto penal tenía asociados planes de trabajo </w:t>
      </w:r>
      <w:r w:rsidR="000D7799">
        <w:rPr>
          <w:rFonts w:ascii="Book Antiqua" w:hAnsi="Book Antiqua"/>
          <w:lang w:val="es-ES" w:eastAsia="en-US"/>
        </w:rPr>
        <w:t xml:space="preserve">en el 2019 </w:t>
      </w:r>
      <w:r w:rsidR="0096478D" w:rsidRPr="002F460C">
        <w:rPr>
          <w:rFonts w:ascii="Book Antiqua" w:hAnsi="Book Antiqua"/>
          <w:lang w:val="es-ES" w:eastAsia="en-US"/>
        </w:rPr>
        <w:t>que producto de la pandemia se tuvieron que suspender</w:t>
      </w:r>
      <w:r w:rsidR="00945C91" w:rsidRPr="002F460C">
        <w:rPr>
          <w:rFonts w:ascii="Book Antiqua" w:hAnsi="Book Antiqua"/>
          <w:lang w:val="es-ES" w:eastAsia="en-US"/>
        </w:rPr>
        <w:t xml:space="preserve"> en marzo de 2020</w:t>
      </w:r>
      <w:r w:rsidR="007B62F4" w:rsidRPr="002F460C">
        <w:rPr>
          <w:rFonts w:ascii="Book Antiqua" w:hAnsi="Book Antiqua"/>
          <w:lang w:val="es-ES" w:eastAsia="en-US"/>
        </w:rPr>
        <w:t>.</w:t>
      </w:r>
      <w:r w:rsidR="62ADAB59" w:rsidRPr="002F460C">
        <w:rPr>
          <w:rFonts w:ascii="Book Antiqua" w:hAnsi="Book Antiqua"/>
          <w:lang w:val="es-ES" w:eastAsia="en-US"/>
        </w:rPr>
        <w:t xml:space="preserve"> S</w:t>
      </w:r>
      <w:r w:rsidR="2D2D189E" w:rsidRPr="002F460C">
        <w:rPr>
          <w:rFonts w:ascii="Book Antiqua" w:hAnsi="Book Antiqua"/>
          <w:lang w:val="es-ES" w:eastAsia="en-US"/>
        </w:rPr>
        <w:t>i</w:t>
      </w:r>
      <w:r w:rsidR="62ADAB59" w:rsidRPr="002F460C">
        <w:rPr>
          <w:rFonts w:ascii="Book Antiqua" w:hAnsi="Book Antiqua"/>
          <w:lang w:val="es-ES" w:eastAsia="en-US"/>
        </w:rPr>
        <w:t xml:space="preserve">n embargo, es de resaltar que </w:t>
      </w:r>
      <w:r w:rsidR="007B62F4" w:rsidRPr="002F460C">
        <w:rPr>
          <w:rFonts w:ascii="Book Antiqua" w:hAnsi="Book Antiqua"/>
          <w:lang w:val="es-ES" w:eastAsia="en-US"/>
        </w:rPr>
        <w:t>el Poder</w:t>
      </w:r>
      <w:r w:rsidR="62ADAB59" w:rsidRPr="002F460C">
        <w:rPr>
          <w:rFonts w:ascii="Book Antiqua" w:hAnsi="Book Antiqua"/>
          <w:lang w:val="es-ES" w:eastAsia="en-US"/>
        </w:rPr>
        <w:t xml:space="preserve"> Judicial</w:t>
      </w:r>
      <w:r w:rsidR="0E11DF4F" w:rsidRPr="002F460C">
        <w:rPr>
          <w:rFonts w:ascii="Book Antiqua" w:hAnsi="Book Antiqua"/>
          <w:lang w:val="es-ES" w:eastAsia="en-US"/>
        </w:rPr>
        <w:t xml:space="preserve">, aún en condiciones tan </w:t>
      </w:r>
      <w:r w:rsidR="00066748" w:rsidRPr="002F460C">
        <w:rPr>
          <w:rFonts w:ascii="Book Antiqua" w:hAnsi="Book Antiqua"/>
          <w:lang w:val="es-ES" w:eastAsia="en-US"/>
        </w:rPr>
        <w:t>críticas</w:t>
      </w:r>
      <w:r w:rsidR="0E11DF4F" w:rsidRPr="002F460C">
        <w:rPr>
          <w:rFonts w:ascii="Book Antiqua" w:hAnsi="Book Antiqua"/>
          <w:lang w:val="es-ES" w:eastAsia="en-US"/>
        </w:rPr>
        <w:t xml:space="preserve">, logró </w:t>
      </w:r>
      <w:r w:rsidR="007B62F4" w:rsidRPr="002F460C">
        <w:rPr>
          <w:rFonts w:ascii="Book Antiqua" w:hAnsi="Book Antiqua"/>
          <w:lang w:val="es-ES" w:eastAsia="en-US"/>
        </w:rPr>
        <w:t xml:space="preserve">terminar a </w:t>
      </w:r>
      <w:r w:rsidR="001766D1">
        <w:rPr>
          <w:rFonts w:ascii="Book Antiqua" w:hAnsi="Book Antiqua"/>
          <w:lang w:val="es-ES" w:eastAsia="en-US"/>
        </w:rPr>
        <w:t>setiembre</w:t>
      </w:r>
      <w:r w:rsidR="008714A0" w:rsidRPr="002F460C">
        <w:rPr>
          <w:rFonts w:ascii="Book Antiqua" w:hAnsi="Book Antiqua"/>
          <w:lang w:val="es-ES" w:eastAsia="en-US"/>
        </w:rPr>
        <w:t xml:space="preserve"> de 2021</w:t>
      </w:r>
      <w:r w:rsidR="007B62F4" w:rsidRPr="002F460C">
        <w:rPr>
          <w:rFonts w:ascii="Book Antiqua" w:hAnsi="Book Antiqua"/>
          <w:lang w:val="es-ES" w:eastAsia="en-US"/>
        </w:rPr>
        <w:t xml:space="preserve"> un total de </w:t>
      </w:r>
      <w:r w:rsidR="002F460C" w:rsidRPr="002F460C">
        <w:rPr>
          <w:rFonts w:ascii="Book Antiqua" w:hAnsi="Book Antiqua"/>
          <w:lang w:val="es-ES" w:eastAsia="en-US"/>
        </w:rPr>
        <w:t>4</w:t>
      </w:r>
      <w:r w:rsidR="001766D1">
        <w:rPr>
          <w:rFonts w:ascii="Book Antiqua" w:hAnsi="Book Antiqua"/>
          <w:lang w:val="es-ES" w:eastAsia="en-US"/>
        </w:rPr>
        <w:t>83.500</w:t>
      </w:r>
      <w:r w:rsidR="003E0C0D" w:rsidRPr="002F460C">
        <w:rPr>
          <w:rFonts w:ascii="Book Antiqua" w:hAnsi="Book Antiqua"/>
          <w:lang w:val="es-ES" w:eastAsia="en-US"/>
        </w:rPr>
        <w:t xml:space="preserve"> </w:t>
      </w:r>
      <w:r w:rsidR="00534483" w:rsidRPr="002F460C">
        <w:rPr>
          <w:rFonts w:ascii="Book Antiqua" w:hAnsi="Book Antiqua"/>
          <w:lang w:val="es-ES" w:eastAsia="en-US"/>
        </w:rPr>
        <w:t>asuntos</w:t>
      </w:r>
      <w:r w:rsidR="00945C91" w:rsidRPr="002F460C">
        <w:rPr>
          <w:rFonts w:ascii="Book Antiqua" w:hAnsi="Book Antiqua"/>
          <w:lang w:val="es-ES" w:eastAsia="en-US"/>
        </w:rPr>
        <w:t xml:space="preserve"> del periodo </w:t>
      </w:r>
      <w:r w:rsidR="002F460C" w:rsidRPr="002F460C">
        <w:rPr>
          <w:rFonts w:ascii="Book Antiqua" w:hAnsi="Book Antiqua"/>
          <w:lang w:val="es-ES" w:eastAsia="en-US"/>
        </w:rPr>
        <w:t xml:space="preserve">comprendido de </w:t>
      </w:r>
      <w:r w:rsidR="00945C91" w:rsidRPr="002F460C">
        <w:rPr>
          <w:rFonts w:ascii="Book Antiqua" w:hAnsi="Book Antiqua"/>
          <w:lang w:val="es-ES" w:eastAsia="en-US"/>
        </w:rPr>
        <w:t xml:space="preserve">enero </w:t>
      </w:r>
      <w:r w:rsidR="002F460C" w:rsidRPr="002F460C">
        <w:rPr>
          <w:rFonts w:ascii="Book Antiqua" w:hAnsi="Book Antiqua"/>
          <w:lang w:val="es-ES" w:eastAsia="en-US"/>
        </w:rPr>
        <w:t>a</w:t>
      </w:r>
      <w:r w:rsidR="00945C91" w:rsidRPr="002F460C">
        <w:rPr>
          <w:rFonts w:ascii="Book Antiqua" w:hAnsi="Book Antiqua"/>
          <w:lang w:val="es-ES" w:eastAsia="en-US"/>
        </w:rPr>
        <w:t xml:space="preserve"> </w:t>
      </w:r>
      <w:r w:rsidR="001766D1">
        <w:rPr>
          <w:rFonts w:ascii="Book Antiqua" w:hAnsi="Book Antiqua"/>
          <w:lang w:val="es-ES" w:eastAsia="en-US"/>
        </w:rPr>
        <w:t>setiembre</w:t>
      </w:r>
      <w:r w:rsidR="00945C91" w:rsidRPr="002F460C">
        <w:rPr>
          <w:rFonts w:ascii="Book Antiqua" w:hAnsi="Book Antiqua"/>
          <w:lang w:val="es-ES" w:eastAsia="en-US"/>
        </w:rPr>
        <w:t xml:space="preserve"> de ese año.</w:t>
      </w:r>
    </w:p>
    <w:p w14:paraId="38122D86" w14:textId="77777777" w:rsidR="008714A0" w:rsidRPr="004F0E92" w:rsidRDefault="008714A0" w:rsidP="00234CBE">
      <w:pPr>
        <w:shd w:val="clear" w:color="auto" w:fill="FFFFFF" w:themeFill="background1"/>
        <w:spacing w:after="160" w:line="276" w:lineRule="auto"/>
        <w:jc w:val="both"/>
        <w:rPr>
          <w:rFonts w:ascii="Book Antiqua" w:hAnsi="Book Antiqua"/>
          <w:lang w:val="es-ES" w:eastAsia="en-US"/>
        </w:rPr>
      </w:pPr>
    </w:p>
    <w:p w14:paraId="01683FD2" w14:textId="77777777" w:rsidR="006F775A" w:rsidRDefault="0096478D" w:rsidP="00234CBE">
      <w:pPr>
        <w:shd w:val="clear" w:color="auto" w:fill="FFFFFF" w:themeFill="background1"/>
        <w:spacing w:line="276" w:lineRule="auto"/>
        <w:jc w:val="center"/>
        <w:rPr>
          <w:rFonts w:ascii="Book Antiqua" w:hAnsi="Book Antiqua"/>
          <w:b/>
          <w:bCs/>
          <w:lang w:val="es-ES_tradnl" w:eastAsia="en-US"/>
        </w:rPr>
      </w:pPr>
      <w:r w:rsidRPr="008541E4">
        <w:rPr>
          <w:rFonts w:ascii="Book Antiqua" w:hAnsi="Book Antiqua"/>
          <w:b/>
          <w:bCs/>
          <w:lang w:val="es-ES_tradnl" w:eastAsia="en-US"/>
        </w:rPr>
        <w:t>Cuadro 0</w:t>
      </w:r>
      <w:r w:rsidR="007A33D1" w:rsidRPr="008541E4">
        <w:rPr>
          <w:rFonts w:ascii="Book Antiqua" w:hAnsi="Book Antiqua"/>
          <w:b/>
          <w:bCs/>
          <w:lang w:val="es-ES_tradnl" w:eastAsia="en-US"/>
        </w:rPr>
        <w:t>3</w:t>
      </w:r>
    </w:p>
    <w:p w14:paraId="1B07D9B3" w14:textId="1670D356" w:rsidR="0096478D" w:rsidRDefault="0096478D" w:rsidP="00234CBE">
      <w:pPr>
        <w:shd w:val="clear" w:color="auto" w:fill="FFFFFF" w:themeFill="background1"/>
        <w:spacing w:line="276" w:lineRule="auto"/>
        <w:jc w:val="center"/>
        <w:rPr>
          <w:rFonts w:ascii="Book Antiqua" w:hAnsi="Book Antiqua"/>
          <w:b/>
          <w:bCs/>
          <w:lang w:val="es-ES_tradnl" w:eastAsia="en-US"/>
        </w:rPr>
      </w:pPr>
      <w:r w:rsidRPr="008541E4">
        <w:rPr>
          <w:rFonts w:ascii="Book Antiqua" w:hAnsi="Book Antiqua"/>
          <w:b/>
          <w:bCs/>
          <w:lang w:val="es-ES_tradnl" w:eastAsia="en-US"/>
        </w:rPr>
        <w:t xml:space="preserve"> Cantidad de asuntos terminados desglosados por mes y materia</w:t>
      </w:r>
      <w:r w:rsidR="00217648" w:rsidRPr="008541E4">
        <w:rPr>
          <w:rFonts w:ascii="Book Antiqua" w:hAnsi="Book Antiqua"/>
          <w:b/>
          <w:bCs/>
          <w:lang w:val="es-ES_tradnl" w:eastAsia="en-US"/>
        </w:rPr>
        <w:t xml:space="preserve"> entre enero y </w:t>
      </w:r>
      <w:r w:rsidR="001766D1">
        <w:rPr>
          <w:rFonts w:ascii="Book Antiqua" w:hAnsi="Book Antiqua"/>
          <w:b/>
          <w:bCs/>
          <w:lang w:val="es-ES_tradnl" w:eastAsia="en-US"/>
        </w:rPr>
        <w:t>setiembre</w:t>
      </w:r>
      <w:r w:rsidR="00217648" w:rsidRPr="008541E4">
        <w:rPr>
          <w:rFonts w:ascii="Book Antiqua" w:hAnsi="Book Antiqua"/>
          <w:b/>
          <w:bCs/>
          <w:lang w:val="es-ES_tradnl" w:eastAsia="en-US"/>
        </w:rPr>
        <w:t xml:space="preserve"> 2021</w:t>
      </w:r>
    </w:p>
    <w:tbl>
      <w:tblPr>
        <w:tblW w:w="11289" w:type="dxa"/>
        <w:jc w:val="center"/>
        <w:tblCellMar>
          <w:left w:w="70" w:type="dxa"/>
          <w:right w:w="70" w:type="dxa"/>
        </w:tblCellMar>
        <w:tblLook w:val="04A0" w:firstRow="1" w:lastRow="0" w:firstColumn="1" w:lastColumn="0" w:noHBand="0" w:noVBand="1"/>
      </w:tblPr>
      <w:tblGrid>
        <w:gridCol w:w="2427"/>
        <w:gridCol w:w="871"/>
        <w:gridCol w:w="872"/>
        <w:gridCol w:w="872"/>
        <w:gridCol w:w="871"/>
        <w:gridCol w:w="871"/>
        <w:gridCol w:w="871"/>
        <w:gridCol w:w="871"/>
        <w:gridCol w:w="872"/>
        <w:gridCol w:w="873"/>
        <w:gridCol w:w="872"/>
        <w:gridCol w:w="146"/>
      </w:tblGrid>
      <w:tr w:rsidR="001766D1" w:rsidRPr="001766D1" w14:paraId="5E4E0A62" w14:textId="77777777" w:rsidTr="001766D1">
        <w:trPr>
          <w:gridAfter w:val="1"/>
          <w:wAfter w:w="146" w:type="dxa"/>
          <w:trHeight w:val="293"/>
          <w:jc w:val="center"/>
        </w:trPr>
        <w:tc>
          <w:tcPr>
            <w:tcW w:w="2427" w:type="dxa"/>
            <w:vMerge w:val="restart"/>
            <w:tcBorders>
              <w:top w:val="single" w:sz="4" w:space="0" w:color="auto"/>
              <w:left w:val="single" w:sz="4" w:space="0" w:color="auto"/>
              <w:bottom w:val="single" w:sz="4" w:space="0" w:color="auto"/>
              <w:right w:val="single" w:sz="4" w:space="0" w:color="auto"/>
            </w:tcBorders>
            <w:shd w:val="clear" w:color="000000" w:fill="305496"/>
            <w:vAlign w:val="center"/>
            <w:hideMark/>
          </w:tcPr>
          <w:p w14:paraId="4A872349" w14:textId="77777777" w:rsidR="001766D1" w:rsidRPr="001766D1" w:rsidRDefault="001766D1" w:rsidP="00234CBE">
            <w:pPr>
              <w:spacing w:line="276" w:lineRule="auto"/>
              <w:jc w:val="center"/>
              <w:rPr>
                <w:rFonts w:ascii="Book Antiqua" w:hAnsi="Book Antiqua" w:cs="Calibri"/>
                <w:b/>
                <w:bCs/>
                <w:color w:val="FFFFFF"/>
                <w:sz w:val="16"/>
                <w:szCs w:val="16"/>
                <w:lang w:eastAsia="es-CR"/>
              </w:rPr>
            </w:pPr>
            <w:r w:rsidRPr="001766D1">
              <w:rPr>
                <w:rFonts w:ascii="Book Antiqua" w:hAnsi="Book Antiqua" w:cs="Calibri"/>
                <w:b/>
                <w:bCs/>
                <w:color w:val="FFFFFF"/>
                <w:sz w:val="16"/>
                <w:szCs w:val="16"/>
                <w:lang w:eastAsia="es-CR"/>
              </w:rPr>
              <w:t>MATERIA</w:t>
            </w:r>
          </w:p>
        </w:tc>
        <w:tc>
          <w:tcPr>
            <w:tcW w:w="8716" w:type="dxa"/>
            <w:gridSpan w:val="10"/>
            <w:vMerge w:val="restart"/>
            <w:tcBorders>
              <w:top w:val="single" w:sz="4" w:space="0" w:color="auto"/>
              <w:left w:val="single" w:sz="4" w:space="0" w:color="auto"/>
              <w:bottom w:val="single" w:sz="4" w:space="0" w:color="auto"/>
              <w:right w:val="single" w:sz="4" w:space="0" w:color="auto"/>
            </w:tcBorders>
            <w:shd w:val="clear" w:color="000000" w:fill="305496"/>
            <w:vAlign w:val="center"/>
            <w:hideMark/>
          </w:tcPr>
          <w:p w14:paraId="3D61718D" w14:textId="77777777" w:rsidR="001766D1" w:rsidRPr="001766D1" w:rsidRDefault="001766D1" w:rsidP="00234CBE">
            <w:pPr>
              <w:spacing w:line="276" w:lineRule="auto"/>
              <w:jc w:val="center"/>
              <w:rPr>
                <w:rFonts w:ascii="Book Antiqua" w:hAnsi="Book Antiqua" w:cs="Calibri"/>
                <w:b/>
                <w:bCs/>
                <w:color w:val="FFFFFF"/>
                <w:sz w:val="16"/>
                <w:szCs w:val="16"/>
                <w:lang w:eastAsia="es-CR"/>
              </w:rPr>
            </w:pPr>
            <w:r w:rsidRPr="001766D1">
              <w:rPr>
                <w:rFonts w:ascii="Book Antiqua" w:hAnsi="Book Antiqua" w:cs="Calibri"/>
                <w:b/>
                <w:bCs/>
                <w:color w:val="FFFFFF"/>
                <w:sz w:val="16"/>
                <w:szCs w:val="16"/>
                <w:lang w:eastAsia="es-CR"/>
              </w:rPr>
              <w:t>TERMINADOS</w:t>
            </w:r>
          </w:p>
        </w:tc>
      </w:tr>
      <w:tr w:rsidR="001766D1" w:rsidRPr="001766D1" w14:paraId="5AC16833" w14:textId="77777777" w:rsidTr="001766D1">
        <w:trPr>
          <w:trHeight w:val="247"/>
          <w:jc w:val="center"/>
        </w:trPr>
        <w:tc>
          <w:tcPr>
            <w:tcW w:w="2427" w:type="dxa"/>
            <w:vMerge/>
            <w:tcBorders>
              <w:top w:val="single" w:sz="4" w:space="0" w:color="auto"/>
              <w:left w:val="single" w:sz="4" w:space="0" w:color="auto"/>
              <w:bottom w:val="single" w:sz="4" w:space="0" w:color="auto"/>
              <w:right w:val="single" w:sz="4" w:space="0" w:color="auto"/>
            </w:tcBorders>
            <w:vAlign w:val="center"/>
            <w:hideMark/>
          </w:tcPr>
          <w:p w14:paraId="72F13B79" w14:textId="77777777" w:rsidR="001766D1" w:rsidRPr="001766D1" w:rsidRDefault="001766D1" w:rsidP="00234CBE">
            <w:pPr>
              <w:spacing w:line="276" w:lineRule="auto"/>
              <w:rPr>
                <w:rFonts w:ascii="Book Antiqua" w:hAnsi="Book Antiqua" w:cs="Calibri"/>
                <w:b/>
                <w:bCs/>
                <w:color w:val="FFFFFF"/>
                <w:sz w:val="16"/>
                <w:szCs w:val="16"/>
                <w:lang w:eastAsia="es-CR"/>
              </w:rPr>
            </w:pPr>
          </w:p>
        </w:tc>
        <w:tc>
          <w:tcPr>
            <w:tcW w:w="8716" w:type="dxa"/>
            <w:gridSpan w:val="10"/>
            <w:vMerge/>
            <w:tcBorders>
              <w:top w:val="single" w:sz="4" w:space="0" w:color="auto"/>
              <w:left w:val="single" w:sz="4" w:space="0" w:color="auto"/>
              <w:bottom w:val="single" w:sz="4" w:space="0" w:color="auto"/>
              <w:right w:val="single" w:sz="4" w:space="0" w:color="auto"/>
            </w:tcBorders>
            <w:vAlign w:val="center"/>
            <w:hideMark/>
          </w:tcPr>
          <w:p w14:paraId="2B83840C" w14:textId="77777777" w:rsidR="001766D1" w:rsidRPr="001766D1" w:rsidRDefault="001766D1" w:rsidP="00234CBE">
            <w:pPr>
              <w:spacing w:line="276" w:lineRule="auto"/>
              <w:rPr>
                <w:rFonts w:ascii="Book Antiqua" w:hAnsi="Book Antiqua" w:cs="Calibri"/>
                <w:b/>
                <w:bCs/>
                <w:color w:val="FFFFFF"/>
                <w:sz w:val="16"/>
                <w:szCs w:val="16"/>
                <w:lang w:eastAsia="es-CR"/>
              </w:rPr>
            </w:pPr>
          </w:p>
        </w:tc>
        <w:tc>
          <w:tcPr>
            <w:tcW w:w="146" w:type="dxa"/>
            <w:tcBorders>
              <w:top w:val="nil"/>
              <w:left w:val="nil"/>
              <w:bottom w:val="nil"/>
              <w:right w:val="nil"/>
            </w:tcBorders>
            <w:shd w:val="clear" w:color="auto" w:fill="auto"/>
            <w:noWrap/>
            <w:vAlign w:val="bottom"/>
            <w:hideMark/>
          </w:tcPr>
          <w:p w14:paraId="6F6D9A32" w14:textId="77777777" w:rsidR="001766D1" w:rsidRPr="001766D1" w:rsidRDefault="001766D1" w:rsidP="00234CBE">
            <w:pPr>
              <w:spacing w:line="276" w:lineRule="auto"/>
              <w:jc w:val="center"/>
              <w:rPr>
                <w:rFonts w:ascii="Book Antiqua" w:hAnsi="Book Antiqua" w:cs="Calibri"/>
                <w:b/>
                <w:bCs/>
                <w:color w:val="FFFFFF"/>
                <w:sz w:val="16"/>
                <w:szCs w:val="16"/>
                <w:lang w:eastAsia="es-CR"/>
              </w:rPr>
            </w:pPr>
          </w:p>
        </w:tc>
      </w:tr>
      <w:tr w:rsidR="001766D1" w:rsidRPr="001766D1" w14:paraId="62C51CC3" w14:textId="77777777" w:rsidTr="001766D1">
        <w:trPr>
          <w:trHeight w:val="247"/>
          <w:jc w:val="center"/>
        </w:trPr>
        <w:tc>
          <w:tcPr>
            <w:tcW w:w="2427" w:type="dxa"/>
            <w:tcBorders>
              <w:top w:val="nil"/>
              <w:left w:val="single" w:sz="4" w:space="0" w:color="auto"/>
              <w:bottom w:val="single" w:sz="4" w:space="0" w:color="auto"/>
              <w:right w:val="single" w:sz="4" w:space="0" w:color="auto"/>
            </w:tcBorders>
            <w:shd w:val="clear" w:color="auto" w:fill="auto"/>
            <w:noWrap/>
            <w:vAlign w:val="center"/>
            <w:hideMark/>
          </w:tcPr>
          <w:p w14:paraId="48C74611" w14:textId="77777777" w:rsidR="001766D1" w:rsidRPr="001766D1" w:rsidRDefault="001766D1" w:rsidP="00234CBE">
            <w:pPr>
              <w:spacing w:line="276" w:lineRule="auto"/>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 </w:t>
            </w:r>
          </w:p>
        </w:tc>
        <w:tc>
          <w:tcPr>
            <w:tcW w:w="871" w:type="dxa"/>
            <w:tcBorders>
              <w:top w:val="nil"/>
              <w:left w:val="nil"/>
              <w:bottom w:val="single" w:sz="4" w:space="0" w:color="auto"/>
              <w:right w:val="single" w:sz="4" w:space="0" w:color="auto"/>
            </w:tcBorders>
            <w:shd w:val="clear" w:color="auto" w:fill="auto"/>
            <w:noWrap/>
            <w:vAlign w:val="center"/>
            <w:hideMark/>
          </w:tcPr>
          <w:p w14:paraId="1FD7D657"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Enero</w:t>
            </w:r>
          </w:p>
        </w:tc>
        <w:tc>
          <w:tcPr>
            <w:tcW w:w="872" w:type="dxa"/>
            <w:tcBorders>
              <w:top w:val="nil"/>
              <w:left w:val="nil"/>
              <w:bottom w:val="single" w:sz="4" w:space="0" w:color="auto"/>
              <w:right w:val="single" w:sz="4" w:space="0" w:color="auto"/>
            </w:tcBorders>
            <w:shd w:val="clear" w:color="auto" w:fill="auto"/>
            <w:noWrap/>
            <w:vAlign w:val="center"/>
            <w:hideMark/>
          </w:tcPr>
          <w:p w14:paraId="36468B1E"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Febrero</w:t>
            </w:r>
          </w:p>
        </w:tc>
        <w:tc>
          <w:tcPr>
            <w:tcW w:w="872" w:type="dxa"/>
            <w:tcBorders>
              <w:top w:val="nil"/>
              <w:left w:val="nil"/>
              <w:bottom w:val="single" w:sz="4" w:space="0" w:color="auto"/>
              <w:right w:val="single" w:sz="4" w:space="0" w:color="auto"/>
            </w:tcBorders>
            <w:shd w:val="clear" w:color="auto" w:fill="auto"/>
            <w:noWrap/>
            <w:vAlign w:val="center"/>
            <w:hideMark/>
          </w:tcPr>
          <w:p w14:paraId="4B53CAA0"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 xml:space="preserve">Marzo </w:t>
            </w:r>
          </w:p>
        </w:tc>
        <w:tc>
          <w:tcPr>
            <w:tcW w:w="871" w:type="dxa"/>
            <w:tcBorders>
              <w:top w:val="nil"/>
              <w:left w:val="nil"/>
              <w:bottom w:val="single" w:sz="4" w:space="0" w:color="auto"/>
              <w:right w:val="single" w:sz="4" w:space="0" w:color="auto"/>
            </w:tcBorders>
            <w:shd w:val="clear" w:color="auto" w:fill="auto"/>
            <w:noWrap/>
            <w:vAlign w:val="center"/>
            <w:hideMark/>
          </w:tcPr>
          <w:p w14:paraId="689135F6"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Abril</w:t>
            </w:r>
          </w:p>
        </w:tc>
        <w:tc>
          <w:tcPr>
            <w:tcW w:w="871" w:type="dxa"/>
            <w:tcBorders>
              <w:top w:val="nil"/>
              <w:left w:val="nil"/>
              <w:bottom w:val="single" w:sz="4" w:space="0" w:color="auto"/>
              <w:right w:val="single" w:sz="4" w:space="0" w:color="auto"/>
            </w:tcBorders>
            <w:shd w:val="clear" w:color="auto" w:fill="auto"/>
            <w:noWrap/>
            <w:vAlign w:val="center"/>
            <w:hideMark/>
          </w:tcPr>
          <w:p w14:paraId="25D01667"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Mayo</w:t>
            </w:r>
          </w:p>
        </w:tc>
        <w:tc>
          <w:tcPr>
            <w:tcW w:w="871" w:type="dxa"/>
            <w:tcBorders>
              <w:top w:val="nil"/>
              <w:left w:val="nil"/>
              <w:bottom w:val="single" w:sz="4" w:space="0" w:color="auto"/>
              <w:right w:val="single" w:sz="4" w:space="0" w:color="auto"/>
            </w:tcBorders>
            <w:shd w:val="clear" w:color="auto" w:fill="auto"/>
            <w:noWrap/>
            <w:vAlign w:val="center"/>
            <w:hideMark/>
          </w:tcPr>
          <w:p w14:paraId="3AF846CF"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Junio</w:t>
            </w:r>
          </w:p>
        </w:tc>
        <w:tc>
          <w:tcPr>
            <w:tcW w:w="871" w:type="dxa"/>
            <w:tcBorders>
              <w:top w:val="nil"/>
              <w:left w:val="nil"/>
              <w:bottom w:val="single" w:sz="4" w:space="0" w:color="auto"/>
              <w:right w:val="single" w:sz="4" w:space="0" w:color="auto"/>
            </w:tcBorders>
            <w:shd w:val="clear" w:color="auto" w:fill="auto"/>
            <w:noWrap/>
            <w:vAlign w:val="center"/>
            <w:hideMark/>
          </w:tcPr>
          <w:p w14:paraId="61C1416C"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Julio</w:t>
            </w:r>
          </w:p>
        </w:tc>
        <w:tc>
          <w:tcPr>
            <w:tcW w:w="872" w:type="dxa"/>
            <w:tcBorders>
              <w:top w:val="nil"/>
              <w:left w:val="nil"/>
              <w:bottom w:val="single" w:sz="4" w:space="0" w:color="auto"/>
              <w:right w:val="single" w:sz="4" w:space="0" w:color="auto"/>
            </w:tcBorders>
            <w:shd w:val="clear" w:color="auto" w:fill="auto"/>
            <w:noWrap/>
            <w:vAlign w:val="center"/>
            <w:hideMark/>
          </w:tcPr>
          <w:p w14:paraId="4DF7BE5A"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Agosto</w:t>
            </w:r>
          </w:p>
        </w:tc>
        <w:tc>
          <w:tcPr>
            <w:tcW w:w="873" w:type="dxa"/>
            <w:tcBorders>
              <w:top w:val="nil"/>
              <w:left w:val="nil"/>
              <w:bottom w:val="single" w:sz="4" w:space="0" w:color="auto"/>
              <w:right w:val="single" w:sz="4" w:space="0" w:color="auto"/>
            </w:tcBorders>
            <w:shd w:val="clear" w:color="auto" w:fill="auto"/>
            <w:noWrap/>
            <w:vAlign w:val="center"/>
            <w:hideMark/>
          </w:tcPr>
          <w:p w14:paraId="344E4EAC"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Setiembre</w:t>
            </w:r>
          </w:p>
        </w:tc>
        <w:tc>
          <w:tcPr>
            <w:tcW w:w="872" w:type="dxa"/>
            <w:tcBorders>
              <w:top w:val="nil"/>
              <w:left w:val="nil"/>
              <w:bottom w:val="single" w:sz="4" w:space="0" w:color="auto"/>
              <w:right w:val="single" w:sz="4" w:space="0" w:color="auto"/>
            </w:tcBorders>
            <w:shd w:val="clear" w:color="auto" w:fill="auto"/>
            <w:noWrap/>
            <w:vAlign w:val="center"/>
            <w:hideMark/>
          </w:tcPr>
          <w:p w14:paraId="3B2CFD5E"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Total</w:t>
            </w:r>
          </w:p>
        </w:tc>
        <w:tc>
          <w:tcPr>
            <w:tcW w:w="146" w:type="dxa"/>
            <w:vAlign w:val="center"/>
            <w:hideMark/>
          </w:tcPr>
          <w:p w14:paraId="4800D3AB" w14:textId="77777777" w:rsidR="001766D1" w:rsidRPr="001766D1" w:rsidRDefault="001766D1" w:rsidP="00234CBE">
            <w:pPr>
              <w:spacing w:line="276" w:lineRule="auto"/>
              <w:rPr>
                <w:rFonts w:ascii="Times New Roman" w:hAnsi="Times New Roman"/>
                <w:sz w:val="20"/>
                <w:szCs w:val="20"/>
                <w:lang w:eastAsia="es-CR"/>
              </w:rPr>
            </w:pPr>
          </w:p>
        </w:tc>
      </w:tr>
      <w:tr w:rsidR="001766D1" w:rsidRPr="001766D1" w14:paraId="6F099CD7" w14:textId="77777777" w:rsidTr="001766D1">
        <w:trPr>
          <w:trHeight w:val="247"/>
          <w:jc w:val="center"/>
        </w:trPr>
        <w:tc>
          <w:tcPr>
            <w:tcW w:w="2427" w:type="dxa"/>
            <w:tcBorders>
              <w:top w:val="nil"/>
              <w:left w:val="single" w:sz="4" w:space="0" w:color="auto"/>
              <w:bottom w:val="single" w:sz="4" w:space="0" w:color="auto"/>
              <w:right w:val="single" w:sz="4" w:space="0" w:color="auto"/>
            </w:tcBorders>
            <w:shd w:val="clear" w:color="auto" w:fill="auto"/>
            <w:vAlign w:val="center"/>
            <w:hideMark/>
          </w:tcPr>
          <w:p w14:paraId="3EED5648" w14:textId="77777777" w:rsidR="001766D1" w:rsidRPr="001766D1" w:rsidRDefault="001766D1" w:rsidP="00234CBE">
            <w:pPr>
              <w:spacing w:line="276" w:lineRule="auto"/>
              <w:jc w:val="center"/>
              <w:rPr>
                <w:rFonts w:ascii="Book Antiqua" w:hAnsi="Book Antiqua" w:cs="Calibri"/>
                <w:b/>
                <w:bCs/>
                <w:sz w:val="16"/>
                <w:szCs w:val="16"/>
                <w:lang w:eastAsia="es-CR"/>
              </w:rPr>
            </w:pPr>
            <w:r w:rsidRPr="001766D1">
              <w:rPr>
                <w:rFonts w:ascii="Book Antiqua" w:hAnsi="Book Antiqua" w:cs="Calibri"/>
                <w:b/>
                <w:bCs/>
                <w:sz w:val="16"/>
                <w:szCs w:val="16"/>
                <w:lang w:eastAsia="es-CR"/>
              </w:rPr>
              <w:t> </w:t>
            </w:r>
          </w:p>
        </w:tc>
        <w:tc>
          <w:tcPr>
            <w:tcW w:w="871" w:type="dxa"/>
            <w:tcBorders>
              <w:top w:val="nil"/>
              <w:left w:val="nil"/>
              <w:bottom w:val="single" w:sz="4" w:space="0" w:color="auto"/>
              <w:right w:val="single" w:sz="4" w:space="0" w:color="auto"/>
            </w:tcBorders>
            <w:shd w:val="clear" w:color="auto" w:fill="auto"/>
            <w:vAlign w:val="center"/>
            <w:hideMark/>
          </w:tcPr>
          <w:p w14:paraId="3213E225" w14:textId="77777777" w:rsidR="001766D1" w:rsidRPr="001766D1" w:rsidRDefault="001766D1" w:rsidP="00234CBE">
            <w:pPr>
              <w:spacing w:line="276" w:lineRule="auto"/>
              <w:jc w:val="center"/>
              <w:rPr>
                <w:rFonts w:ascii="Book Antiqua" w:hAnsi="Book Antiqua" w:cs="Calibri"/>
                <w:b/>
                <w:bCs/>
                <w:sz w:val="16"/>
                <w:szCs w:val="16"/>
                <w:lang w:eastAsia="es-CR"/>
              </w:rPr>
            </w:pPr>
            <w:r w:rsidRPr="001766D1">
              <w:rPr>
                <w:rFonts w:ascii="Book Antiqua" w:hAnsi="Book Antiqua" w:cs="Calibri"/>
                <w:b/>
                <w:bCs/>
                <w:sz w:val="16"/>
                <w:szCs w:val="16"/>
                <w:lang w:eastAsia="es-CR"/>
              </w:rPr>
              <w:t>2 021</w:t>
            </w:r>
          </w:p>
        </w:tc>
        <w:tc>
          <w:tcPr>
            <w:tcW w:w="872" w:type="dxa"/>
            <w:tcBorders>
              <w:top w:val="nil"/>
              <w:left w:val="nil"/>
              <w:bottom w:val="single" w:sz="4" w:space="0" w:color="auto"/>
              <w:right w:val="single" w:sz="4" w:space="0" w:color="auto"/>
            </w:tcBorders>
            <w:shd w:val="clear" w:color="auto" w:fill="auto"/>
            <w:vAlign w:val="center"/>
            <w:hideMark/>
          </w:tcPr>
          <w:p w14:paraId="3FD7850D" w14:textId="77777777" w:rsidR="001766D1" w:rsidRPr="001766D1" w:rsidRDefault="001766D1" w:rsidP="00234CBE">
            <w:pPr>
              <w:spacing w:line="276" w:lineRule="auto"/>
              <w:jc w:val="center"/>
              <w:rPr>
                <w:rFonts w:ascii="Book Antiqua" w:hAnsi="Book Antiqua" w:cs="Calibri"/>
                <w:b/>
                <w:bCs/>
                <w:sz w:val="16"/>
                <w:szCs w:val="16"/>
                <w:lang w:eastAsia="es-CR"/>
              </w:rPr>
            </w:pPr>
            <w:r w:rsidRPr="001766D1">
              <w:rPr>
                <w:rFonts w:ascii="Book Antiqua" w:hAnsi="Book Antiqua" w:cs="Calibri"/>
                <w:b/>
                <w:bCs/>
                <w:sz w:val="16"/>
                <w:szCs w:val="16"/>
                <w:lang w:eastAsia="es-CR"/>
              </w:rPr>
              <w:t>2 021</w:t>
            </w:r>
          </w:p>
        </w:tc>
        <w:tc>
          <w:tcPr>
            <w:tcW w:w="872" w:type="dxa"/>
            <w:tcBorders>
              <w:top w:val="nil"/>
              <w:left w:val="nil"/>
              <w:bottom w:val="single" w:sz="4" w:space="0" w:color="auto"/>
              <w:right w:val="single" w:sz="4" w:space="0" w:color="auto"/>
            </w:tcBorders>
            <w:shd w:val="clear" w:color="auto" w:fill="auto"/>
            <w:vAlign w:val="center"/>
            <w:hideMark/>
          </w:tcPr>
          <w:p w14:paraId="4A1814DF" w14:textId="77777777" w:rsidR="001766D1" w:rsidRPr="001766D1" w:rsidRDefault="001766D1" w:rsidP="00234CBE">
            <w:pPr>
              <w:spacing w:line="276" w:lineRule="auto"/>
              <w:jc w:val="center"/>
              <w:rPr>
                <w:rFonts w:ascii="Book Antiqua" w:hAnsi="Book Antiqua" w:cs="Calibri"/>
                <w:b/>
                <w:bCs/>
                <w:sz w:val="16"/>
                <w:szCs w:val="16"/>
                <w:lang w:eastAsia="es-CR"/>
              </w:rPr>
            </w:pPr>
            <w:r w:rsidRPr="001766D1">
              <w:rPr>
                <w:rFonts w:ascii="Book Antiqua" w:hAnsi="Book Antiqua" w:cs="Calibri"/>
                <w:b/>
                <w:bCs/>
                <w:sz w:val="16"/>
                <w:szCs w:val="16"/>
                <w:lang w:eastAsia="es-CR"/>
              </w:rPr>
              <w:t>2 021</w:t>
            </w:r>
          </w:p>
        </w:tc>
        <w:tc>
          <w:tcPr>
            <w:tcW w:w="871" w:type="dxa"/>
            <w:tcBorders>
              <w:top w:val="nil"/>
              <w:left w:val="nil"/>
              <w:bottom w:val="single" w:sz="4" w:space="0" w:color="auto"/>
              <w:right w:val="single" w:sz="4" w:space="0" w:color="auto"/>
            </w:tcBorders>
            <w:shd w:val="clear" w:color="auto" w:fill="auto"/>
            <w:vAlign w:val="center"/>
            <w:hideMark/>
          </w:tcPr>
          <w:p w14:paraId="18E57DFD" w14:textId="77777777" w:rsidR="001766D1" w:rsidRPr="001766D1" w:rsidRDefault="001766D1" w:rsidP="00234CBE">
            <w:pPr>
              <w:spacing w:line="276" w:lineRule="auto"/>
              <w:jc w:val="center"/>
              <w:rPr>
                <w:rFonts w:ascii="Book Antiqua" w:hAnsi="Book Antiqua" w:cs="Calibri"/>
                <w:b/>
                <w:bCs/>
                <w:sz w:val="16"/>
                <w:szCs w:val="16"/>
                <w:lang w:eastAsia="es-CR"/>
              </w:rPr>
            </w:pPr>
            <w:r w:rsidRPr="001766D1">
              <w:rPr>
                <w:rFonts w:ascii="Book Antiqua" w:hAnsi="Book Antiqua" w:cs="Calibri"/>
                <w:b/>
                <w:bCs/>
                <w:sz w:val="16"/>
                <w:szCs w:val="16"/>
                <w:lang w:eastAsia="es-CR"/>
              </w:rPr>
              <w:t>2 021</w:t>
            </w:r>
          </w:p>
        </w:tc>
        <w:tc>
          <w:tcPr>
            <w:tcW w:w="871" w:type="dxa"/>
            <w:tcBorders>
              <w:top w:val="nil"/>
              <w:left w:val="nil"/>
              <w:bottom w:val="single" w:sz="4" w:space="0" w:color="auto"/>
              <w:right w:val="single" w:sz="4" w:space="0" w:color="auto"/>
            </w:tcBorders>
            <w:shd w:val="clear" w:color="auto" w:fill="auto"/>
            <w:vAlign w:val="center"/>
            <w:hideMark/>
          </w:tcPr>
          <w:p w14:paraId="371F179F" w14:textId="77777777" w:rsidR="001766D1" w:rsidRPr="001766D1" w:rsidRDefault="001766D1" w:rsidP="00234CBE">
            <w:pPr>
              <w:spacing w:line="276" w:lineRule="auto"/>
              <w:jc w:val="center"/>
              <w:rPr>
                <w:rFonts w:ascii="Book Antiqua" w:hAnsi="Book Antiqua" w:cs="Calibri"/>
                <w:b/>
                <w:bCs/>
                <w:sz w:val="16"/>
                <w:szCs w:val="16"/>
                <w:lang w:eastAsia="es-CR"/>
              </w:rPr>
            </w:pPr>
            <w:r w:rsidRPr="001766D1">
              <w:rPr>
                <w:rFonts w:ascii="Book Antiqua" w:hAnsi="Book Antiqua" w:cs="Calibri"/>
                <w:b/>
                <w:bCs/>
                <w:sz w:val="16"/>
                <w:szCs w:val="16"/>
                <w:lang w:eastAsia="es-CR"/>
              </w:rPr>
              <w:t>2 021</w:t>
            </w:r>
          </w:p>
        </w:tc>
        <w:tc>
          <w:tcPr>
            <w:tcW w:w="871" w:type="dxa"/>
            <w:tcBorders>
              <w:top w:val="nil"/>
              <w:left w:val="nil"/>
              <w:bottom w:val="single" w:sz="4" w:space="0" w:color="auto"/>
              <w:right w:val="single" w:sz="4" w:space="0" w:color="auto"/>
            </w:tcBorders>
            <w:shd w:val="clear" w:color="auto" w:fill="auto"/>
            <w:vAlign w:val="center"/>
            <w:hideMark/>
          </w:tcPr>
          <w:p w14:paraId="3ED9F7E4" w14:textId="77777777" w:rsidR="001766D1" w:rsidRPr="001766D1" w:rsidRDefault="001766D1" w:rsidP="00234CBE">
            <w:pPr>
              <w:spacing w:line="276" w:lineRule="auto"/>
              <w:jc w:val="center"/>
              <w:rPr>
                <w:rFonts w:ascii="Book Antiqua" w:hAnsi="Book Antiqua" w:cs="Calibri"/>
                <w:b/>
                <w:bCs/>
                <w:sz w:val="16"/>
                <w:szCs w:val="16"/>
                <w:lang w:eastAsia="es-CR"/>
              </w:rPr>
            </w:pPr>
            <w:r w:rsidRPr="001766D1">
              <w:rPr>
                <w:rFonts w:ascii="Book Antiqua" w:hAnsi="Book Antiqua" w:cs="Calibri"/>
                <w:b/>
                <w:bCs/>
                <w:sz w:val="16"/>
                <w:szCs w:val="16"/>
                <w:lang w:eastAsia="es-CR"/>
              </w:rPr>
              <w:t>2 021</w:t>
            </w:r>
          </w:p>
        </w:tc>
        <w:tc>
          <w:tcPr>
            <w:tcW w:w="871" w:type="dxa"/>
            <w:tcBorders>
              <w:top w:val="nil"/>
              <w:left w:val="nil"/>
              <w:bottom w:val="single" w:sz="4" w:space="0" w:color="auto"/>
              <w:right w:val="single" w:sz="4" w:space="0" w:color="auto"/>
            </w:tcBorders>
            <w:shd w:val="clear" w:color="auto" w:fill="auto"/>
            <w:vAlign w:val="center"/>
            <w:hideMark/>
          </w:tcPr>
          <w:p w14:paraId="4B07CA75" w14:textId="77777777" w:rsidR="001766D1" w:rsidRPr="001766D1" w:rsidRDefault="001766D1" w:rsidP="00234CBE">
            <w:pPr>
              <w:spacing w:line="276" w:lineRule="auto"/>
              <w:jc w:val="center"/>
              <w:rPr>
                <w:rFonts w:ascii="Book Antiqua" w:hAnsi="Book Antiqua" w:cs="Calibri"/>
                <w:b/>
                <w:bCs/>
                <w:sz w:val="16"/>
                <w:szCs w:val="16"/>
                <w:lang w:eastAsia="es-CR"/>
              </w:rPr>
            </w:pPr>
            <w:r w:rsidRPr="001766D1">
              <w:rPr>
                <w:rFonts w:ascii="Book Antiqua" w:hAnsi="Book Antiqua" w:cs="Calibri"/>
                <w:b/>
                <w:bCs/>
                <w:sz w:val="16"/>
                <w:szCs w:val="16"/>
                <w:lang w:eastAsia="es-CR"/>
              </w:rPr>
              <w:t>2 021</w:t>
            </w:r>
          </w:p>
        </w:tc>
        <w:tc>
          <w:tcPr>
            <w:tcW w:w="872" w:type="dxa"/>
            <w:tcBorders>
              <w:top w:val="nil"/>
              <w:left w:val="nil"/>
              <w:bottom w:val="single" w:sz="4" w:space="0" w:color="auto"/>
              <w:right w:val="single" w:sz="4" w:space="0" w:color="auto"/>
            </w:tcBorders>
            <w:shd w:val="clear" w:color="auto" w:fill="auto"/>
            <w:vAlign w:val="center"/>
            <w:hideMark/>
          </w:tcPr>
          <w:p w14:paraId="04EEC22D" w14:textId="77777777" w:rsidR="001766D1" w:rsidRPr="001766D1" w:rsidRDefault="001766D1" w:rsidP="00234CBE">
            <w:pPr>
              <w:spacing w:line="276" w:lineRule="auto"/>
              <w:jc w:val="center"/>
              <w:rPr>
                <w:rFonts w:ascii="Book Antiqua" w:hAnsi="Book Antiqua" w:cs="Calibri"/>
                <w:b/>
                <w:bCs/>
                <w:sz w:val="16"/>
                <w:szCs w:val="16"/>
                <w:lang w:eastAsia="es-CR"/>
              </w:rPr>
            </w:pPr>
            <w:r w:rsidRPr="001766D1">
              <w:rPr>
                <w:rFonts w:ascii="Book Antiqua" w:hAnsi="Book Antiqua" w:cs="Calibri"/>
                <w:b/>
                <w:bCs/>
                <w:sz w:val="16"/>
                <w:szCs w:val="16"/>
                <w:lang w:eastAsia="es-CR"/>
              </w:rPr>
              <w:t>2 021</w:t>
            </w:r>
          </w:p>
        </w:tc>
        <w:tc>
          <w:tcPr>
            <w:tcW w:w="873" w:type="dxa"/>
            <w:tcBorders>
              <w:top w:val="nil"/>
              <w:left w:val="nil"/>
              <w:bottom w:val="single" w:sz="4" w:space="0" w:color="auto"/>
              <w:right w:val="single" w:sz="4" w:space="0" w:color="auto"/>
            </w:tcBorders>
            <w:shd w:val="clear" w:color="auto" w:fill="auto"/>
            <w:vAlign w:val="center"/>
            <w:hideMark/>
          </w:tcPr>
          <w:p w14:paraId="569BD964" w14:textId="77777777" w:rsidR="001766D1" w:rsidRPr="001766D1" w:rsidRDefault="001766D1" w:rsidP="00234CBE">
            <w:pPr>
              <w:spacing w:line="276" w:lineRule="auto"/>
              <w:jc w:val="center"/>
              <w:rPr>
                <w:rFonts w:ascii="Book Antiqua" w:hAnsi="Book Antiqua" w:cs="Calibri"/>
                <w:b/>
                <w:bCs/>
                <w:sz w:val="16"/>
                <w:szCs w:val="16"/>
                <w:lang w:eastAsia="es-CR"/>
              </w:rPr>
            </w:pPr>
            <w:r w:rsidRPr="001766D1">
              <w:rPr>
                <w:rFonts w:ascii="Book Antiqua" w:hAnsi="Book Antiqua" w:cs="Calibri"/>
                <w:b/>
                <w:bCs/>
                <w:sz w:val="16"/>
                <w:szCs w:val="16"/>
                <w:lang w:eastAsia="es-CR"/>
              </w:rPr>
              <w:t>2 021</w:t>
            </w:r>
          </w:p>
        </w:tc>
        <w:tc>
          <w:tcPr>
            <w:tcW w:w="872" w:type="dxa"/>
            <w:tcBorders>
              <w:top w:val="nil"/>
              <w:left w:val="nil"/>
              <w:bottom w:val="single" w:sz="4" w:space="0" w:color="auto"/>
              <w:right w:val="single" w:sz="4" w:space="0" w:color="auto"/>
            </w:tcBorders>
            <w:shd w:val="clear" w:color="auto" w:fill="auto"/>
            <w:vAlign w:val="center"/>
            <w:hideMark/>
          </w:tcPr>
          <w:p w14:paraId="33EFAF24" w14:textId="77777777" w:rsidR="001766D1" w:rsidRPr="001766D1" w:rsidRDefault="001766D1" w:rsidP="00234CBE">
            <w:pPr>
              <w:spacing w:line="276" w:lineRule="auto"/>
              <w:jc w:val="center"/>
              <w:rPr>
                <w:rFonts w:ascii="Book Antiqua" w:hAnsi="Book Antiqua" w:cs="Calibri"/>
                <w:b/>
                <w:bCs/>
                <w:sz w:val="16"/>
                <w:szCs w:val="16"/>
                <w:lang w:eastAsia="es-CR"/>
              </w:rPr>
            </w:pPr>
            <w:r w:rsidRPr="001766D1">
              <w:rPr>
                <w:rFonts w:ascii="Book Antiqua" w:hAnsi="Book Antiqua" w:cs="Calibri"/>
                <w:b/>
                <w:bCs/>
                <w:sz w:val="16"/>
                <w:szCs w:val="16"/>
                <w:lang w:eastAsia="es-CR"/>
              </w:rPr>
              <w:t>2 021</w:t>
            </w:r>
          </w:p>
        </w:tc>
        <w:tc>
          <w:tcPr>
            <w:tcW w:w="146" w:type="dxa"/>
            <w:vAlign w:val="center"/>
            <w:hideMark/>
          </w:tcPr>
          <w:p w14:paraId="0D1EBB71" w14:textId="77777777" w:rsidR="001766D1" w:rsidRPr="001766D1" w:rsidRDefault="001766D1" w:rsidP="00234CBE">
            <w:pPr>
              <w:spacing w:line="276" w:lineRule="auto"/>
              <w:rPr>
                <w:rFonts w:ascii="Times New Roman" w:hAnsi="Times New Roman"/>
                <w:sz w:val="20"/>
                <w:szCs w:val="20"/>
                <w:lang w:eastAsia="es-CR"/>
              </w:rPr>
            </w:pPr>
          </w:p>
        </w:tc>
      </w:tr>
      <w:tr w:rsidR="001766D1" w:rsidRPr="001766D1" w14:paraId="6F5B1E10" w14:textId="77777777" w:rsidTr="001766D1">
        <w:trPr>
          <w:trHeight w:val="247"/>
          <w:jc w:val="center"/>
        </w:trPr>
        <w:tc>
          <w:tcPr>
            <w:tcW w:w="2427" w:type="dxa"/>
            <w:tcBorders>
              <w:top w:val="nil"/>
              <w:left w:val="single" w:sz="4" w:space="0" w:color="auto"/>
              <w:bottom w:val="single" w:sz="4" w:space="0" w:color="auto"/>
              <w:right w:val="single" w:sz="4" w:space="0" w:color="auto"/>
            </w:tcBorders>
            <w:shd w:val="clear" w:color="auto" w:fill="auto"/>
            <w:noWrap/>
            <w:vAlign w:val="center"/>
            <w:hideMark/>
          </w:tcPr>
          <w:p w14:paraId="5ED2C62F" w14:textId="77777777" w:rsidR="001766D1" w:rsidRPr="001766D1" w:rsidRDefault="001766D1" w:rsidP="00234CBE">
            <w:pPr>
              <w:spacing w:line="276" w:lineRule="auto"/>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 </w:t>
            </w:r>
          </w:p>
        </w:tc>
        <w:tc>
          <w:tcPr>
            <w:tcW w:w="871" w:type="dxa"/>
            <w:tcBorders>
              <w:top w:val="nil"/>
              <w:left w:val="nil"/>
              <w:bottom w:val="single" w:sz="4" w:space="0" w:color="auto"/>
              <w:right w:val="single" w:sz="4" w:space="0" w:color="auto"/>
            </w:tcBorders>
            <w:shd w:val="clear" w:color="auto" w:fill="auto"/>
            <w:noWrap/>
            <w:vAlign w:val="center"/>
            <w:hideMark/>
          </w:tcPr>
          <w:p w14:paraId="5709F06F"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 </w:t>
            </w:r>
          </w:p>
        </w:tc>
        <w:tc>
          <w:tcPr>
            <w:tcW w:w="872" w:type="dxa"/>
            <w:tcBorders>
              <w:top w:val="nil"/>
              <w:left w:val="nil"/>
              <w:bottom w:val="single" w:sz="4" w:space="0" w:color="auto"/>
              <w:right w:val="single" w:sz="4" w:space="0" w:color="auto"/>
            </w:tcBorders>
            <w:shd w:val="clear" w:color="auto" w:fill="auto"/>
            <w:noWrap/>
            <w:vAlign w:val="center"/>
            <w:hideMark/>
          </w:tcPr>
          <w:p w14:paraId="3359B9BA"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 </w:t>
            </w:r>
          </w:p>
        </w:tc>
        <w:tc>
          <w:tcPr>
            <w:tcW w:w="872" w:type="dxa"/>
            <w:tcBorders>
              <w:top w:val="nil"/>
              <w:left w:val="nil"/>
              <w:bottom w:val="single" w:sz="4" w:space="0" w:color="auto"/>
              <w:right w:val="single" w:sz="4" w:space="0" w:color="auto"/>
            </w:tcBorders>
            <w:shd w:val="clear" w:color="auto" w:fill="auto"/>
            <w:noWrap/>
            <w:vAlign w:val="center"/>
            <w:hideMark/>
          </w:tcPr>
          <w:p w14:paraId="1436E186"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 </w:t>
            </w:r>
          </w:p>
        </w:tc>
        <w:tc>
          <w:tcPr>
            <w:tcW w:w="871" w:type="dxa"/>
            <w:tcBorders>
              <w:top w:val="nil"/>
              <w:left w:val="nil"/>
              <w:bottom w:val="single" w:sz="4" w:space="0" w:color="auto"/>
              <w:right w:val="single" w:sz="4" w:space="0" w:color="auto"/>
            </w:tcBorders>
            <w:shd w:val="clear" w:color="auto" w:fill="auto"/>
            <w:noWrap/>
            <w:vAlign w:val="center"/>
            <w:hideMark/>
          </w:tcPr>
          <w:p w14:paraId="18769A10"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 </w:t>
            </w:r>
          </w:p>
        </w:tc>
        <w:tc>
          <w:tcPr>
            <w:tcW w:w="871" w:type="dxa"/>
            <w:tcBorders>
              <w:top w:val="nil"/>
              <w:left w:val="nil"/>
              <w:bottom w:val="single" w:sz="4" w:space="0" w:color="auto"/>
              <w:right w:val="single" w:sz="4" w:space="0" w:color="auto"/>
            </w:tcBorders>
            <w:shd w:val="clear" w:color="auto" w:fill="auto"/>
            <w:noWrap/>
            <w:vAlign w:val="center"/>
            <w:hideMark/>
          </w:tcPr>
          <w:p w14:paraId="19011D20"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 </w:t>
            </w:r>
          </w:p>
        </w:tc>
        <w:tc>
          <w:tcPr>
            <w:tcW w:w="871" w:type="dxa"/>
            <w:tcBorders>
              <w:top w:val="nil"/>
              <w:left w:val="nil"/>
              <w:bottom w:val="single" w:sz="4" w:space="0" w:color="auto"/>
              <w:right w:val="single" w:sz="4" w:space="0" w:color="auto"/>
            </w:tcBorders>
            <w:shd w:val="clear" w:color="auto" w:fill="auto"/>
            <w:noWrap/>
            <w:vAlign w:val="center"/>
            <w:hideMark/>
          </w:tcPr>
          <w:p w14:paraId="5AC708C6"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 </w:t>
            </w:r>
          </w:p>
        </w:tc>
        <w:tc>
          <w:tcPr>
            <w:tcW w:w="871" w:type="dxa"/>
            <w:tcBorders>
              <w:top w:val="nil"/>
              <w:left w:val="nil"/>
              <w:bottom w:val="single" w:sz="4" w:space="0" w:color="auto"/>
              <w:right w:val="single" w:sz="4" w:space="0" w:color="auto"/>
            </w:tcBorders>
            <w:shd w:val="clear" w:color="auto" w:fill="auto"/>
            <w:noWrap/>
            <w:vAlign w:val="center"/>
            <w:hideMark/>
          </w:tcPr>
          <w:p w14:paraId="20A87DF5"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 </w:t>
            </w:r>
          </w:p>
        </w:tc>
        <w:tc>
          <w:tcPr>
            <w:tcW w:w="872" w:type="dxa"/>
            <w:tcBorders>
              <w:top w:val="nil"/>
              <w:left w:val="nil"/>
              <w:bottom w:val="single" w:sz="4" w:space="0" w:color="auto"/>
              <w:right w:val="single" w:sz="4" w:space="0" w:color="auto"/>
            </w:tcBorders>
            <w:shd w:val="clear" w:color="auto" w:fill="auto"/>
            <w:noWrap/>
            <w:vAlign w:val="center"/>
            <w:hideMark/>
          </w:tcPr>
          <w:p w14:paraId="7AF4D44D"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 </w:t>
            </w:r>
          </w:p>
        </w:tc>
        <w:tc>
          <w:tcPr>
            <w:tcW w:w="873" w:type="dxa"/>
            <w:tcBorders>
              <w:top w:val="nil"/>
              <w:left w:val="nil"/>
              <w:bottom w:val="single" w:sz="4" w:space="0" w:color="auto"/>
              <w:right w:val="single" w:sz="4" w:space="0" w:color="auto"/>
            </w:tcBorders>
            <w:shd w:val="clear" w:color="auto" w:fill="auto"/>
            <w:noWrap/>
            <w:vAlign w:val="center"/>
            <w:hideMark/>
          </w:tcPr>
          <w:p w14:paraId="1D8185EF"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 </w:t>
            </w:r>
          </w:p>
        </w:tc>
        <w:tc>
          <w:tcPr>
            <w:tcW w:w="872" w:type="dxa"/>
            <w:tcBorders>
              <w:top w:val="nil"/>
              <w:left w:val="nil"/>
              <w:bottom w:val="single" w:sz="4" w:space="0" w:color="auto"/>
              <w:right w:val="single" w:sz="4" w:space="0" w:color="auto"/>
            </w:tcBorders>
            <w:shd w:val="clear" w:color="auto" w:fill="auto"/>
            <w:noWrap/>
            <w:vAlign w:val="center"/>
            <w:hideMark/>
          </w:tcPr>
          <w:p w14:paraId="0CFBF453"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 </w:t>
            </w:r>
          </w:p>
        </w:tc>
        <w:tc>
          <w:tcPr>
            <w:tcW w:w="146" w:type="dxa"/>
            <w:vAlign w:val="center"/>
            <w:hideMark/>
          </w:tcPr>
          <w:p w14:paraId="38D8C71B" w14:textId="77777777" w:rsidR="001766D1" w:rsidRPr="001766D1" w:rsidRDefault="001766D1" w:rsidP="00234CBE">
            <w:pPr>
              <w:spacing w:line="276" w:lineRule="auto"/>
              <w:rPr>
                <w:rFonts w:ascii="Times New Roman" w:hAnsi="Times New Roman"/>
                <w:sz w:val="20"/>
                <w:szCs w:val="20"/>
                <w:lang w:eastAsia="es-CR"/>
              </w:rPr>
            </w:pPr>
          </w:p>
        </w:tc>
      </w:tr>
      <w:tr w:rsidR="001766D1" w:rsidRPr="001766D1" w14:paraId="5BDAAA98" w14:textId="77777777" w:rsidTr="001766D1">
        <w:trPr>
          <w:trHeight w:val="247"/>
          <w:jc w:val="center"/>
        </w:trPr>
        <w:tc>
          <w:tcPr>
            <w:tcW w:w="2427" w:type="dxa"/>
            <w:tcBorders>
              <w:top w:val="nil"/>
              <w:left w:val="single" w:sz="4" w:space="0" w:color="auto"/>
              <w:bottom w:val="single" w:sz="4" w:space="0" w:color="auto"/>
              <w:right w:val="single" w:sz="4" w:space="0" w:color="auto"/>
            </w:tcBorders>
            <w:shd w:val="clear" w:color="auto" w:fill="auto"/>
            <w:noWrap/>
            <w:vAlign w:val="center"/>
            <w:hideMark/>
          </w:tcPr>
          <w:p w14:paraId="159D420D" w14:textId="77777777" w:rsidR="001766D1" w:rsidRPr="001766D1" w:rsidRDefault="001766D1" w:rsidP="00234CBE">
            <w:pPr>
              <w:spacing w:line="276" w:lineRule="auto"/>
              <w:jc w:val="center"/>
              <w:rPr>
                <w:rFonts w:ascii="Book Antiqua" w:hAnsi="Book Antiqua" w:cs="Calibri"/>
                <w:b/>
                <w:bCs/>
                <w:color w:val="000000"/>
                <w:sz w:val="16"/>
                <w:szCs w:val="16"/>
                <w:lang w:eastAsia="es-CR"/>
              </w:rPr>
            </w:pPr>
            <w:r w:rsidRPr="001766D1">
              <w:rPr>
                <w:rFonts w:ascii="Book Antiqua" w:hAnsi="Book Antiqua" w:cs="Calibri"/>
                <w:b/>
                <w:bCs/>
                <w:color w:val="000000"/>
                <w:sz w:val="16"/>
                <w:szCs w:val="16"/>
                <w:lang w:eastAsia="es-CR"/>
              </w:rPr>
              <w:t>TOTAL</w:t>
            </w:r>
          </w:p>
        </w:tc>
        <w:tc>
          <w:tcPr>
            <w:tcW w:w="871" w:type="dxa"/>
            <w:tcBorders>
              <w:top w:val="nil"/>
              <w:left w:val="nil"/>
              <w:bottom w:val="single" w:sz="4" w:space="0" w:color="auto"/>
              <w:right w:val="single" w:sz="4" w:space="0" w:color="auto"/>
            </w:tcBorders>
            <w:shd w:val="clear" w:color="auto" w:fill="auto"/>
            <w:noWrap/>
            <w:vAlign w:val="center"/>
            <w:hideMark/>
          </w:tcPr>
          <w:p w14:paraId="4CFBB87A" w14:textId="77777777" w:rsidR="001766D1" w:rsidRPr="001766D1" w:rsidRDefault="001766D1" w:rsidP="00234CBE">
            <w:pPr>
              <w:spacing w:line="276" w:lineRule="auto"/>
              <w:jc w:val="center"/>
              <w:rPr>
                <w:rFonts w:ascii="Book Antiqua" w:hAnsi="Book Antiqua" w:cs="Calibri"/>
                <w:b/>
                <w:bCs/>
                <w:color w:val="000000"/>
                <w:sz w:val="16"/>
                <w:szCs w:val="16"/>
                <w:u w:val="single"/>
                <w:lang w:eastAsia="es-CR"/>
              </w:rPr>
            </w:pPr>
            <w:r w:rsidRPr="001766D1">
              <w:rPr>
                <w:rFonts w:ascii="Book Antiqua" w:hAnsi="Book Antiqua" w:cs="Calibri"/>
                <w:b/>
                <w:bCs/>
                <w:color w:val="000000"/>
                <w:sz w:val="16"/>
                <w:szCs w:val="16"/>
                <w:u w:val="single"/>
                <w:lang w:eastAsia="es-CR"/>
              </w:rPr>
              <w:t>49349</w:t>
            </w:r>
          </w:p>
        </w:tc>
        <w:tc>
          <w:tcPr>
            <w:tcW w:w="872" w:type="dxa"/>
            <w:tcBorders>
              <w:top w:val="nil"/>
              <w:left w:val="nil"/>
              <w:bottom w:val="single" w:sz="4" w:space="0" w:color="auto"/>
              <w:right w:val="single" w:sz="4" w:space="0" w:color="auto"/>
            </w:tcBorders>
            <w:shd w:val="clear" w:color="auto" w:fill="auto"/>
            <w:noWrap/>
            <w:vAlign w:val="center"/>
            <w:hideMark/>
          </w:tcPr>
          <w:p w14:paraId="6FE0EC4C" w14:textId="77777777" w:rsidR="001766D1" w:rsidRPr="001766D1" w:rsidRDefault="001766D1" w:rsidP="00234CBE">
            <w:pPr>
              <w:spacing w:line="276" w:lineRule="auto"/>
              <w:jc w:val="center"/>
              <w:rPr>
                <w:rFonts w:ascii="Book Antiqua" w:hAnsi="Book Antiqua" w:cs="Calibri"/>
                <w:b/>
                <w:bCs/>
                <w:color w:val="000000"/>
                <w:sz w:val="16"/>
                <w:szCs w:val="16"/>
                <w:u w:val="single"/>
                <w:lang w:eastAsia="es-CR"/>
              </w:rPr>
            </w:pPr>
            <w:r w:rsidRPr="001766D1">
              <w:rPr>
                <w:rFonts w:ascii="Book Antiqua" w:hAnsi="Book Antiqua" w:cs="Calibri"/>
                <w:b/>
                <w:bCs/>
                <w:color w:val="000000"/>
                <w:sz w:val="16"/>
                <w:szCs w:val="16"/>
                <w:u w:val="single"/>
                <w:lang w:eastAsia="es-CR"/>
              </w:rPr>
              <w:t>50706</w:t>
            </w:r>
          </w:p>
        </w:tc>
        <w:tc>
          <w:tcPr>
            <w:tcW w:w="872" w:type="dxa"/>
            <w:tcBorders>
              <w:top w:val="nil"/>
              <w:left w:val="nil"/>
              <w:bottom w:val="single" w:sz="4" w:space="0" w:color="auto"/>
              <w:right w:val="single" w:sz="4" w:space="0" w:color="auto"/>
            </w:tcBorders>
            <w:shd w:val="clear" w:color="auto" w:fill="auto"/>
            <w:noWrap/>
            <w:vAlign w:val="center"/>
            <w:hideMark/>
          </w:tcPr>
          <w:p w14:paraId="22D6007E" w14:textId="77777777" w:rsidR="001766D1" w:rsidRPr="001766D1" w:rsidRDefault="001766D1" w:rsidP="00234CBE">
            <w:pPr>
              <w:spacing w:line="276" w:lineRule="auto"/>
              <w:jc w:val="center"/>
              <w:rPr>
                <w:rFonts w:ascii="Book Antiqua" w:hAnsi="Book Antiqua" w:cs="Calibri"/>
                <w:b/>
                <w:bCs/>
                <w:color w:val="000000"/>
                <w:sz w:val="16"/>
                <w:szCs w:val="16"/>
                <w:u w:val="single"/>
                <w:lang w:eastAsia="es-CR"/>
              </w:rPr>
            </w:pPr>
            <w:r w:rsidRPr="001766D1">
              <w:rPr>
                <w:rFonts w:ascii="Book Antiqua" w:hAnsi="Book Antiqua" w:cs="Calibri"/>
                <w:b/>
                <w:bCs/>
                <w:color w:val="000000"/>
                <w:sz w:val="16"/>
                <w:szCs w:val="16"/>
                <w:u w:val="single"/>
                <w:lang w:eastAsia="es-CR"/>
              </w:rPr>
              <w:t>53244</w:t>
            </w:r>
          </w:p>
        </w:tc>
        <w:tc>
          <w:tcPr>
            <w:tcW w:w="871" w:type="dxa"/>
            <w:tcBorders>
              <w:top w:val="nil"/>
              <w:left w:val="nil"/>
              <w:bottom w:val="single" w:sz="4" w:space="0" w:color="auto"/>
              <w:right w:val="single" w:sz="4" w:space="0" w:color="auto"/>
            </w:tcBorders>
            <w:shd w:val="clear" w:color="auto" w:fill="auto"/>
            <w:noWrap/>
            <w:vAlign w:val="center"/>
            <w:hideMark/>
          </w:tcPr>
          <w:p w14:paraId="06DDB65F" w14:textId="77777777" w:rsidR="001766D1" w:rsidRPr="001766D1" w:rsidRDefault="001766D1" w:rsidP="00234CBE">
            <w:pPr>
              <w:spacing w:line="276" w:lineRule="auto"/>
              <w:jc w:val="center"/>
              <w:rPr>
                <w:rFonts w:ascii="Book Antiqua" w:hAnsi="Book Antiqua" w:cs="Calibri"/>
                <w:b/>
                <w:bCs/>
                <w:color w:val="000000"/>
                <w:sz w:val="16"/>
                <w:szCs w:val="16"/>
                <w:u w:val="single"/>
                <w:lang w:eastAsia="es-CR"/>
              </w:rPr>
            </w:pPr>
            <w:r w:rsidRPr="001766D1">
              <w:rPr>
                <w:rFonts w:ascii="Book Antiqua" w:hAnsi="Book Antiqua" w:cs="Calibri"/>
                <w:b/>
                <w:bCs/>
                <w:color w:val="000000"/>
                <w:sz w:val="16"/>
                <w:szCs w:val="16"/>
                <w:u w:val="single"/>
                <w:lang w:eastAsia="es-CR"/>
              </w:rPr>
              <w:t>54016</w:t>
            </w:r>
          </w:p>
        </w:tc>
        <w:tc>
          <w:tcPr>
            <w:tcW w:w="871" w:type="dxa"/>
            <w:tcBorders>
              <w:top w:val="nil"/>
              <w:left w:val="nil"/>
              <w:bottom w:val="single" w:sz="4" w:space="0" w:color="auto"/>
              <w:right w:val="single" w:sz="4" w:space="0" w:color="auto"/>
            </w:tcBorders>
            <w:shd w:val="clear" w:color="auto" w:fill="auto"/>
            <w:noWrap/>
            <w:vAlign w:val="center"/>
            <w:hideMark/>
          </w:tcPr>
          <w:p w14:paraId="02AA10C4" w14:textId="77777777" w:rsidR="001766D1" w:rsidRPr="001766D1" w:rsidRDefault="001766D1" w:rsidP="00234CBE">
            <w:pPr>
              <w:spacing w:line="276" w:lineRule="auto"/>
              <w:jc w:val="center"/>
              <w:rPr>
                <w:rFonts w:ascii="Book Antiqua" w:hAnsi="Book Antiqua" w:cs="Calibri"/>
                <w:b/>
                <w:bCs/>
                <w:color w:val="000000"/>
                <w:sz w:val="16"/>
                <w:szCs w:val="16"/>
                <w:u w:val="single"/>
                <w:lang w:eastAsia="es-CR"/>
              </w:rPr>
            </w:pPr>
            <w:r w:rsidRPr="001766D1">
              <w:rPr>
                <w:rFonts w:ascii="Book Antiqua" w:hAnsi="Book Antiqua" w:cs="Calibri"/>
                <w:b/>
                <w:bCs/>
                <w:color w:val="000000"/>
                <w:sz w:val="16"/>
                <w:szCs w:val="16"/>
                <w:u w:val="single"/>
                <w:lang w:eastAsia="es-CR"/>
              </w:rPr>
              <w:t>56608</w:t>
            </w:r>
          </w:p>
        </w:tc>
        <w:tc>
          <w:tcPr>
            <w:tcW w:w="871" w:type="dxa"/>
            <w:tcBorders>
              <w:top w:val="nil"/>
              <w:left w:val="nil"/>
              <w:bottom w:val="single" w:sz="4" w:space="0" w:color="auto"/>
              <w:right w:val="single" w:sz="4" w:space="0" w:color="auto"/>
            </w:tcBorders>
            <w:shd w:val="clear" w:color="auto" w:fill="auto"/>
            <w:noWrap/>
            <w:vAlign w:val="center"/>
            <w:hideMark/>
          </w:tcPr>
          <w:p w14:paraId="5151CFCC" w14:textId="77777777" w:rsidR="001766D1" w:rsidRPr="001766D1" w:rsidRDefault="001766D1" w:rsidP="00234CBE">
            <w:pPr>
              <w:spacing w:line="276" w:lineRule="auto"/>
              <w:jc w:val="center"/>
              <w:rPr>
                <w:rFonts w:ascii="Book Antiqua" w:hAnsi="Book Antiqua" w:cs="Calibri"/>
                <w:b/>
                <w:bCs/>
                <w:color w:val="000000"/>
                <w:sz w:val="16"/>
                <w:szCs w:val="16"/>
                <w:u w:val="single"/>
                <w:lang w:eastAsia="es-CR"/>
              </w:rPr>
            </w:pPr>
            <w:r w:rsidRPr="001766D1">
              <w:rPr>
                <w:rFonts w:ascii="Book Antiqua" w:hAnsi="Book Antiqua" w:cs="Calibri"/>
                <w:b/>
                <w:bCs/>
                <w:color w:val="000000"/>
                <w:sz w:val="16"/>
                <w:szCs w:val="16"/>
                <w:u w:val="single"/>
                <w:lang w:eastAsia="es-CR"/>
              </w:rPr>
              <w:t>56413</w:t>
            </w:r>
          </w:p>
        </w:tc>
        <w:tc>
          <w:tcPr>
            <w:tcW w:w="871" w:type="dxa"/>
            <w:tcBorders>
              <w:top w:val="nil"/>
              <w:left w:val="nil"/>
              <w:bottom w:val="single" w:sz="4" w:space="0" w:color="auto"/>
              <w:right w:val="single" w:sz="4" w:space="0" w:color="auto"/>
            </w:tcBorders>
            <w:shd w:val="clear" w:color="auto" w:fill="auto"/>
            <w:noWrap/>
            <w:vAlign w:val="center"/>
            <w:hideMark/>
          </w:tcPr>
          <w:p w14:paraId="4A9D9F7A" w14:textId="77777777" w:rsidR="001766D1" w:rsidRPr="001766D1" w:rsidRDefault="001766D1" w:rsidP="00234CBE">
            <w:pPr>
              <w:spacing w:line="276" w:lineRule="auto"/>
              <w:jc w:val="center"/>
              <w:rPr>
                <w:rFonts w:ascii="Book Antiqua" w:hAnsi="Book Antiqua" w:cs="Calibri"/>
                <w:b/>
                <w:bCs/>
                <w:color w:val="000000"/>
                <w:sz w:val="16"/>
                <w:szCs w:val="16"/>
                <w:u w:val="single"/>
                <w:lang w:eastAsia="es-CR"/>
              </w:rPr>
            </w:pPr>
            <w:r w:rsidRPr="001766D1">
              <w:rPr>
                <w:rFonts w:ascii="Book Antiqua" w:hAnsi="Book Antiqua" w:cs="Calibri"/>
                <w:b/>
                <w:bCs/>
                <w:color w:val="000000"/>
                <w:sz w:val="16"/>
                <w:szCs w:val="16"/>
                <w:u w:val="single"/>
                <w:lang w:eastAsia="es-CR"/>
              </w:rPr>
              <w:t>51824</w:t>
            </w:r>
          </w:p>
        </w:tc>
        <w:tc>
          <w:tcPr>
            <w:tcW w:w="872" w:type="dxa"/>
            <w:tcBorders>
              <w:top w:val="nil"/>
              <w:left w:val="nil"/>
              <w:bottom w:val="single" w:sz="4" w:space="0" w:color="auto"/>
              <w:right w:val="single" w:sz="4" w:space="0" w:color="auto"/>
            </w:tcBorders>
            <w:shd w:val="clear" w:color="auto" w:fill="auto"/>
            <w:noWrap/>
            <w:vAlign w:val="center"/>
            <w:hideMark/>
          </w:tcPr>
          <w:p w14:paraId="1BFBD80D" w14:textId="77777777" w:rsidR="001766D1" w:rsidRPr="001766D1" w:rsidRDefault="001766D1" w:rsidP="00234CBE">
            <w:pPr>
              <w:spacing w:line="276" w:lineRule="auto"/>
              <w:jc w:val="center"/>
              <w:rPr>
                <w:rFonts w:ascii="Book Antiqua" w:hAnsi="Book Antiqua" w:cs="Calibri"/>
                <w:b/>
                <w:bCs/>
                <w:color w:val="000000"/>
                <w:sz w:val="16"/>
                <w:szCs w:val="16"/>
                <w:u w:val="single"/>
                <w:lang w:eastAsia="es-CR"/>
              </w:rPr>
            </w:pPr>
            <w:r w:rsidRPr="001766D1">
              <w:rPr>
                <w:rFonts w:ascii="Book Antiqua" w:hAnsi="Book Antiqua" w:cs="Calibri"/>
                <w:b/>
                <w:bCs/>
                <w:color w:val="000000"/>
                <w:sz w:val="16"/>
                <w:szCs w:val="16"/>
                <w:u w:val="single"/>
                <w:lang w:eastAsia="es-CR"/>
              </w:rPr>
              <w:t>54417</w:t>
            </w:r>
          </w:p>
        </w:tc>
        <w:tc>
          <w:tcPr>
            <w:tcW w:w="873" w:type="dxa"/>
            <w:tcBorders>
              <w:top w:val="nil"/>
              <w:left w:val="nil"/>
              <w:bottom w:val="single" w:sz="4" w:space="0" w:color="auto"/>
              <w:right w:val="single" w:sz="4" w:space="0" w:color="auto"/>
            </w:tcBorders>
            <w:shd w:val="clear" w:color="auto" w:fill="auto"/>
            <w:noWrap/>
            <w:vAlign w:val="center"/>
            <w:hideMark/>
          </w:tcPr>
          <w:p w14:paraId="279C1E33" w14:textId="77777777" w:rsidR="001766D1" w:rsidRPr="001766D1" w:rsidRDefault="001766D1" w:rsidP="00234CBE">
            <w:pPr>
              <w:spacing w:line="276" w:lineRule="auto"/>
              <w:jc w:val="center"/>
              <w:rPr>
                <w:rFonts w:ascii="Book Antiqua" w:hAnsi="Book Antiqua" w:cs="Calibri"/>
                <w:b/>
                <w:bCs/>
                <w:color w:val="000000"/>
                <w:sz w:val="16"/>
                <w:szCs w:val="16"/>
                <w:u w:val="single"/>
                <w:lang w:eastAsia="es-CR"/>
              </w:rPr>
            </w:pPr>
            <w:r w:rsidRPr="001766D1">
              <w:rPr>
                <w:rFonts w:ascii="Book Antiqua" w:hAnsi="Book Antiqua" w:cs="Calibri"/>
                <w:b/>
                <w:bCs/>
                <w:color w:val="000000"/>
                <w:sz w:val="16"/>
                <w:szCs w:val="16"/>
                <w:u w:val="single"/>
                <w:lang w:eastAsia="es-CR"/>
              </w:rPr>
              <w:t>56923</w:t>
            </w:r>
          </w:p>
        </w:tc>
        <w:tc>
          <w:tcPr>
            <w:tcW w:w="872" w:type="dxa"/>
            <w:tcBorders>
              <w:top w:val="nil"/>
              <w:left w:val="nil"/>
              <w:bottom w:val="single" w:sz="4" w:space="0" w:color="auto"/>
              <w:right w:val="single" w:sz="4" w:space="0" w:color="auto"/>
            </w:tcBorders>
            <w:shd w:val="clear" w:color="auto" w:fill="auto"/>
            <w:noWrap/>
            <w:vAlign w:val="center"/>
            <w:hideMark/>
          </w:tcPr>
          <w:p w14:paraId="2B3F5C33" w14:textId="77777777" w:rsidR="001766D1" w:rsidRPr="001766D1" w:rsidRDefault="001766D1" w:rsidP="00234CBE">
            <w:pPr>
              <w:spacing w:line="276" w:lineRule="auto"/>
              <w:jc w:val="center"/>
              <w:rPr>
                <w:rFonts w:ascii="Book Antiqua" w:hAnsi="Book Antiqua" w:cs="Calibri"/>
                <w:b/>
                <w:bCs/>
                <w:color w:val="000000"/>
                <w:sz w:val="16"/>
                <w:szCs w:val="16"/>
                <w:u w:val="single"/>
                <w:lang w:eastAsia="es-CR"/>
              </w:rPr>
            </w:pPr>
            <w:r w:rsidRPr="001766D1">
              <w:rPr>
                <w:rFonts w:ascii="Book Antiqua" w:hAnsi="Book Antiqua" w:cs="Calibri"/>
                <w:b/>
                <w:bCs/>
                <w:color w:val="000000"/>
                <w:sz w:val="16"/>
                <w:szCs w:val="16"/>
                <w:u w:val="single"/>
                <w:lang w:eastAsia="es-CR"/>
              </w:rPr>
              <w:t>483500</w:t>
            </w:r>
          </w:p>
        </w:tc>
        <w:tc>
          <w:tcPr>
            <w:tcW w:w="146" w:type="dxa"/>
            <w:vAlign w:val="center"/>
            <w:hideMark/>
          </w:tcPr>
          <w:p w14:paraId="38C0E9EB" w14:textId="77777777" w:rsidR="001766D1" w:rsidRPr="001766D1" w:rsidRDefault="001766D1" w:rsidP="00234CBE">
            <w:pPr>
              <w:spacing w:line="276" w:lineRule="auto"/>
              <w:rPr>
                <w:rFonts w:ascii="Times New Roman" w:hAnsi="Times New Roman"/>
                <w:sz w:val="20"/>
                <w:szCs w:val="20"/>
                <w:lang w:eastAsia="es-CR"/>
              </w:rPr>
            </w:pPr>
          </w:p>
        </w:tc>
      </w:tr>
      <w:tr w:rsidR="001766D1" w:rsidRPr="001766D1" w14:paraId="4F04AFE8" w14:textId="77777777" w:rsidTr="001766D1">
        <w:trPr>
          <w:trHeight w:val="247"/>
          <w:jc w:val="center"/>
        </w:trPr>
        <w:tc>
          <w:tcPr>
            <w:tcW w:w="2427" w:type="dxa"/>
            <w:tcBorders>
              <w:top w:val="nil"/>
              <w:left w:val="single" w:sz="4" w:space="0" w:color="auto"/>
              <w:bottom w:val="single" w:sz="4" w:space="0" w:color="auto"/>
              <w:right w:val="single" w:sz="4" w:space="0" w:color="auto"/>
            </w:tcBorders>
            <w:shd w:val="clear" w:color="auto" w:fill="auto"/>
            <w:noWrap/>
            <w:vAlign w:val="center"/>
            <w:hideMark/>
          </w:tcPr>
          <w:p w14:paraId="6ECF7B55" w14:textId="77777777" w:rsidR="001766D1" w:rsidRPr="001766D1" w:rsidRDefault="001766D1" w:rsidP="00234CBE">
            <w:pPr>
              <w:spacing w:line="276" w:lineRule="auto"/>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 </w:t>
            </w:r>
          </w:p>
        </w:tc>
        <w:tc>
          <w:tcPr>
            <w:tcW w:w="871" w:type="dxa"/>
            <w:tcBorders>
              <w:top w:val="nil"/>
              <w:left w:val="nil"/>
              <w:bottom w:val="single" w:sz="4" w:space="0" w:color="auto"/>
              <w:right w:val="single" w:sz="4" w:space="0" w:color="auto"/>
            </w:tcBorders>
            <w:shd w:val="clear" w:color="auto" w:fill="auto"/>
            <w:noWrap/>
            <w:vAlign w:val="center"/>
            <w:hideMark/>
          </w:tcPr>
          <w:p w14:paraId="28BB5E39"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 </w:t>
            </w:r>
          </w:p>
        </w:tc>
        <w:tc>
          <w:tcPr>
            <w:tcW w:w="872" w:type="dxa"/>
            <w:tcBorders>
              <w:top w:val="nil"/>
              <w:left w:val="nil"/>
              <w:bottom w:val="single" w:sz="4" w:space="0" w:color="auto"/>
              <w:right w:val="single" w:sz="4" w:space="0" w:color="auto"/>
            </w:tcBorders>
            <w:shd w:val="clear" w:color="auto" w:fill="auto"/>
            <w:noWrap/>
            <w:vAlign w:val="center"/>
            <w:hideMark/>
          </w:tcPr>
          <w:p w14:paraId="371A6B60"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 </w:t>
            </w:r>
          </w:p>
        </w:tc>
        <w:tc>
          <w:tcPr>
            <w:tcW w:w="872" w:type="dxa"/>
            <w:tcBorders>
              <w:top w:val="nil"/>
              <w:left w:val="nil"/>
              <w:bottom w:val="single" w:sz="4" w:space="0" w:color="auto"/>
              <w:right w:val="single" w:sz="4" w:space="0" w:color="auto"/>
            </w:tcBorders>
            <w:shd w:val="clear" w:color="auto" w:fill="auto"/>
            <w:noWrap/>
            <w:vAlign w:val="center"/>
            <w:hideMark/>
          </w:tcPr>
          <w:p w14:paraId="0B962456"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 </w:t>
            </w:r>
          </w:p>
        </w:tc>
        <w:tc>
          <w:tcPr>
            <w:tcW w:w="871" w:type="dxa"/>
            <w:tcBorders>
              <w:top w:val="nil"/>
              <w:left w:val="nil"/>
              <w:bottom w:val="single" w:sz="4" w:space="0" w:color="auto"/>
              <w:right w:val="single" w:sz="4" w:space="0" w:color="auto"/>
            </w:tcBorders>
            <w:shd w:val="clear" w:color="auto" w:fill="auto"/>
            <w:noWrap/>
            <w:vAlign w:val="center"/>
            <w:hideMark/>
          </w:tcPr>
          <w:p w14:paraId="19FC9E48"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 </w:t>
            </w:r>
          </w:p>
        </w:tc>
        <w:tc>
          <w:tcPr>
            <w:tcW w:w="871" w:type="dxa"/>
            <w:tcBorders>
              <w:top w:val="nil"/>
              <w:left w:val="nil"/>
              <w:bottom w:val="single" w:sz="4" w:space="0" w:color="auto"/>
              <w:right w:val="single" w:sz="4" w:space="0" w:color="auto"/>
            </w:tcBorders>
            <w:shd w:val="clear" w:color="auto" w:fill="auto"/>
            <w:noWrap/>
            <w:vAlign w:val="center"/>
            <w:hideMark/>
          </w:tcPr>
          <w:p w14:paraId="0B50FBFD"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 </w:t>
            </w:r>
          </w:p>
        </w:tc>
        <w:tc>
          <w:tcPr>
            <w:tcW w:w="871" w:type="dxa"/>
            <w:tcBorders>
              <w:top w:val="nil"/>
              <w:left w:val="nil"/>
              <w:bottom w:val="single" w:sz="4" w:space="0" w:color="auto"/>
              <w:right w:val="single" w:sz="4" w:space="0" w:color="auto"/>
            </w:tcBorders>
            <w:shd w:val="clear" w:color="auto" w:fill="auto"/>
            <w:noWrap/>
            <w:vAlign w:val="center"/>
            <w:hideMark/>
          </w:tcPr>
          <w:p w14:paraId="3CDFC57E"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 </w:t>
            </w:r>
          </w:p>
        </w:tc>
        <w:tc>
          <w:tcPr>
            <w:tcW w:w="871" w:type="dxa"/>
            <w:tcBorders>
              <w:top w:val="nil"/>
              <w:left w:val="nil"/>
              <w:bottom w:val="single" w:sz="4" w:space="0" w:color="auto"/>
              <w:right w:val="single" w:sz="4" w:space="0" w:color="auto"/>
            </w:tcBorders>
            <w:shd w:val="clear" w:color="auto" w:fill="auto"/>
            <w:noWrap/>
            <w:vAlign w:val="center"/>
            <w:hideMark/>
          </w:tcPr>
          <w:p w14:paraId="6FA84F88"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 </w:t>
            </w:r>
          </w:p>
        </w:tc>
        <w:tc>
          <w:tcPr>
            <w:tcW w:w="872" w:type="dxa"/>
            <w:tcBorders>
              <w:top w:val="nil"/>
              <w:left w:val="nil"/>
              <w:bottom w:val="single" w:sz="4" w:space="0" w:color="auto"/>
              <w:right w:val="single" w:sz="4" w:space="0" w:color="auto"/>
            </w:tcBorders>
            <w:shd w:val="clear" w:color="auto" w:fill="auto"/>
            <w:noWrap/>
            <w:vAlign w:val="center"/>
            <w:hideMark/>
          </w:tcPr>
          <w:p w14:paraId="27000FAA"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 </w:t>
            </w:r>
          </w:p>
        </w:tc>
        <w:tc>
          <w:tcPr>
            <w:tcW w:w="873" w:type="dxa"/>
            <w:tcBorders>
              <w:top w:val="nil"/>
              <w:left w:val="nil"/>
              <w:bottom w:val="single" w:sz="4" w:space="0" w:color="auto"/>
              <w:right w:val="single" w:sz="4" w:space="0" w:color="auto"/>
            </w:tcBorders>
            <w:shd w:val="clear" w:color="auto" w:fill="auto"/>
            <w:noWrap/>
            <w:vAlign w:val="center"/>
            <w:hideMark/>
          </w:tcPr>
          <w:p w14:paraId="4865BEF4"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 </w:t>
            </w:r>
          </w:p>
        </w:tc>
        <w:tc>
          <w:tcPr>
            <w:tcW w:w="872" w:type="dxa"/>
            <w:tcBorders>
              <w:top w:val="nil"/>
              <w:left w:val="nil"/>
              <w:bottom w:val="single" w:sz="4" w:space="0" w:color="auto"/>
              <w:right w:val="single" w:sz="4" w:space="0" w:color="auto"/>
            </w:tcBorders>
            <w:shd w:val="clear" w:color="auto" w:fill="auto"/>
            <w:noWrap/>
            <w:vAlign w:val="center"/>
            <w:hideMark/>
          </w:tcPr>
          <w:p w14:paraId="025B7A73"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 </w:t>
            </w:r>
          </w:p>
        </w:tc>
        <w:tc>
          <w:tcPr>
            <w:tcW w:w="146" w:type="dxa"/>
            <w:vAlign w:val="center"/>
            <w:hideMark/>
          </w:tcPr>
          <w:p w14:paraId="0A753F29" w14:textId="77777777" w:rsidR="001766D1" w:rsidRPr="001766D1" w:rsidRDefault="001766D1" w:rsidP="00234CBE">
            <w:pPr>
              <w:spacing w:line="276" w:lineRule="auto"/>
              <w:rPr>
                <w:rFonts w:ascii="Times New Roman" w:hAnsi="Times New Roman"/>
                <w:sz w:val="20"/>
                <w:szCs w:val="20"/>
                <w:lang w:eastAsia="es-CR"/>
              </w:rPr>
            </w:pPr>
          </w:p>
        </w:tc>
      </w:tr>
      <w:tr w:rsidR="001766D1" w:rsidRPr="001766D1" w14:paraId="21EA110C" w14:textId="77777777" w:rsidTr="001766D1">
        <w:trPr>
          <w:trHeight w:val="247"/>
          <w:jc w:val="center"/>
        </w:trPr>
        <w:tc>
          <w:tcPr>
            <w:tcW w:w="2427" w:type="dxa"/>
            <w:tcBorders>
              <w:top w:val="nil"/>
              <w:left w:val="single" w:sz="4" w:space="0" w:color="auto"/>
              <w:bottom w:val="single" w:sz="4" w:space="0" w:color="auto"/>
              <w:right w:val="nil"/>
            </w:tcBorders>
            <w:shd w:val="clear" w:color="auto" w:fill="auto"/>
            <w:noWrap/>
            <w:vAlign w:val="center"/>
            <w:hideMark/>
          </w:tcPr>
          <w:p w14:paraId="01DD47F8" w14:textId="77777777" w:rsidR="001766D1" w:rsidRPr="001766D1" w:rsidRDefault="001766D1" w:rsidP="00234CBE">
            <w:pPr>
              <w:spacing w:line="276" w:lineRule="auto"/>
              <w:rPr>
                <w:rFonts w:ascii="Book Antiqua" w:hAnsi="Book Antiqua" w:cs="Calibri"/>
                <w:b/>
                <w:bCs/>
                <w:color w:val="000000"/>
                <w:sz w:val="16"/>
                <w:szCs w:val="16"/>
                <w:lang w:eastAsia="es-CR"/>
              </w:rPr>
            </w:pPr>
            <w:r w:rsidRPr="001766D1">
              <w:rPr>
                <w:rFonts w:ascii="Book Antiqua" w:hAnsi="Book Antiqua" w:cs="Calibri"/>
                <w:b/>
                <w:bCs/>
                <w:color w:val="000000"/>
                <w:sz w:val="16"/>
                <w:szCs w:val="16"/>
                <w:lang w:eastAsia="es-CR"/>
              </w:rPr>
              <w:t>II Instancia y Casación</w:t>
            </w:r>
          </w:p>
        </w:tc>
        <w:tc>
          <w:tcPr>
            <w:tcW w:w="871" w:type="dxa"/>
            <w:tcBorders>
              <w:top w:val="nil"/>
              <w:left w:val="single" w:sz="4" w:space="0" w:color="auto"/>
              <w:bottom w:val="single" w:sz="4" w:space="0" w:color="auto"/>
              <w:right w:val="single" w:sz="4" w:space="0" w:color="auto"/>
            </w:tcBorders>
            <w:shd w:val="clear" w:color="auto" w:fill="auto"/>
            <w:noWrap/>
            <w:vAlign w:val="center"/>
            <w:hideMark/>
          </w:tcPr>
          <w:p w14:paraId="211EA07B" w14:textId="77777777" w:rsidR="001766D1" w:rsidRPr="001766D1" w:rsidRDefault="001766D1" w:rsidP="00234CBE">
            <w:pPr>
              <w:spacing w:line="276" w:lineRule="auto"/>
              <w:jc w:val="center"/>
              <w:rPr>
                <w:rFonts w:ascii="Book Antiqua" w:hAnsi="Book Antiqua" w:cs="Calibri"/>
                <w:b/>
                <w:bCs/>
                <w:color w:val="000000"/>
                <w:sz w:val="16"/>
                <w:szCs w:val="16"/>
                <w:u w:val="single"/>
                <w:lang w:eastAsia="es-CR"/>
              </w:rPr>
            </w:pPr>
            <w:r w:rsidRPr="001766D1">
              <w:rPr>
                <w:rFonts w:ascii="Book Antiqua" w:hAnsi="Book Antiqua" w:cs="Calibri"/>
                <w:b/>
                <w:bCs/>
                <w:color w:val="000000"/>
                <w:sz w:val="16"/>
                <w:szCs w:val="16"/>
                <w:u w:val="single"/>
                <w:lang w:eastAsia="es-CR"/>
              </w:rPr>
              <w:t>4419</w:t>
            </w:r>
          </w:p>
        </w:tc>
        <w:tc>
          <w:tcPr>
            <w:tcW w:w="872" w:type="dxa"/>
            <w:tcBorders>
              <w:top w:val="nil"/>
              <w:left w:val="nil"/>
              <w:bottom w:val="single" w:sz="4" w:space="0" w:color="auto"/>
              <w:right w:val="single" w:sz="4" w:space="0" w:color="auto"/>
            </w:tcBorders>
            <w:shd w:val="clear" w:color="auto" w:fill="auto"/>
            <w:noWrap/>
            <w:vAlign w:val="center"/>
            <w:hideMark/>
          </w:tcPr>
          <w:p w14:paraId="2EFF48AF" w14:textId="77777777" w:rsidR="001766D1" w:rsidRPr="001766D1" w:rsidRDefault="001766D1" w:rsidP="00234CBE">
            <w:pPr>
              <w:spacing w:line="276" w:lineRule="auto"/>
              <w:jc w:val="center"/>
              <w:rPr>
                <w:rFonts w:ascii="Book Antiqua" w:hAnsi="Book Antiqua" w:cs="Calibri"/>
                <w:b/>
                <w:bCs/>
                <w:color w:val="000000"/>
                <w:sz w:val="16"/>
                <w:szCs w:val="16"/>
                <w:u w:val="single"/>
                <w:lang w:eastAsia="es-CR"/>
              </w:rPr>
            </w:pPr>
            <w:r w:rsidRPr="001766D1">
              <w:rPr>
                <w:rFonts w:ascii="Book Antiqua" w:hAnsi="Book Antiqua" w:cs="Calibri"/>
                <w:b/>
                <w:bCs/>
                <w:color w:val="000000"/>
                <w:sz w:val="16"/>
                <w:szCs w:val="16"/>
                <w:u w:val="single"/>
                <w:lang w:eastAsia="es-CR"/>
              </w:rPr>
              <w:t>4719</w:t>
            </w:r>
          </w:p>
        </w:tc>
        <w:tc>
          <w:tcPr>
            <w:tcW w:w="872" w:type="dxa"/>
            <w:tcBorders>
              <w:top w:val="nil"/>
              <w:left w:val="nil"/>
              <w:bottom w:val="single" w:sz="4" w:space="0" w:color="auto"/>
              <w:right w:val="single" w:sz="4" w:space="0" w:color="auto"/>
            </w:tcBorders>
            <w:shd w:val="clear" w:color="auto" w:fill="auto"/>
            <w:noWrap/>
            <w:vAlign w:val="center"/>
            <w:hideMark/>
          </w:tcPr>
          <w:p w14:paraId="12941C52" w14:textId="77777777" w:rsidR="001766D1" w:rsidRPr="001766D1" w:rsidRDefault="001766D1" w:rsidP="00234CBE">
            <w:pPr>
              <w:spacing w:line="276" w:lineRule="auto"/>
              <w:jc w:val="center"/>
              <w:rPr>
                <w:rFonts w:ascii="Book Antiqua" w:hAnsi="Book Antiqua" w:cs="Calibri"/>
                <w:b/>
                <w:bCs/>
                <w:color w:val="000000"/>
                <w:sz w:val="16"/>
                <w:szCs w:val="16"/>
                <w:u w:val="single"/>
                <w:lang w:eastAsia="es-CR"/>
              </w:rPr>
            </w:pPr>
            <w:r w:rsidRPr="001766D1">
              <w:rPr>
                <w:rFonts w:ascii="Book Antiqua" w:hAnsi="Book Antiqua" w:cs="Calibri"/>
                <w:b/>
                <w:bCs/>
                <w:color w:val="000000"/>
                <w:sz w:val="16"/>
                <w:szCs w:val="16"/>
                <w:u w:val="single"/>
                <w:lang w:eastAsia="es-CR"/>
              </w:rPr>
              <w:t>4650</w:t>
            </w:r>
          </w:p>
        </w:tc>
        <w:tc>
          <w:tcPr>
            <w:tcW w:w="871" w:type="dxa"/>
            <w:tcBorders>
              <w:top w:val="nil"/>
              <w:left w:val="nil"/>
              <w:bottom w:val="single" w:sz="4" w:space="0" w:color="auto"/>
              <w:right w:val="single" w:sz="4" w:space="0" w:color="auto"/>
            </w:tcBorders>
            <w:shd w:val="clear" w:color="auto" w:fill="auto"/>
            <w:noWrap/>
            <w:vAlign w:val="center"/>
            <w:hideMark/>
          </w:tcPr>
          <w:p w14:paraId="570F38D9" w14:textId="77777777" w:rsidR="001766D1" w:rsidRPr="001766D1" w:rsidRDefault="001766D1" w:rsidP="00234CBE">
            <w:pPr>
              <w:spacing w:line="276" w:lineRule="auto"/>
              <w:jc w:val="center"/>
              <w:rPr>
                <w:rFonts w:ascii="Book Antiqua" w:hAnsi="Book Antiqua" w:cs="Calibri"/>
                <w:b/>
                <w:bCs/>
                <w:color w:val="000000"/>
                <w:sz w:val="16"/>
                <w:szCs w:val="16"/>
                <w:u w:val="single"/>
                <w:lang w:eastAsia="es-CR"/>
              </w:rPr>
            </w:pPr>
            <w:r w:rsidRPr="001766D1">
              <w:rPr>
                <w:rFonts w:ascii="Book Antiqua" w:hAnsi="Book Antiqua" w:cs="Calibri"/>
                <w:b/>
                <w:bCs/>
                <w:color w:val="000000"/>
                <w:sz w:val="16"/>
                <w:szCs w:val="16"/>
                <w:u w:val="single"/>
                <w:lang w:eastAsia="es-CR"/>
              </w:rPr>
              <w:t>4976</w:t>
            </w:r>
          </w:p>
        </w:tc>
        <w:tc>
          <w:tcPr>
            <w:tcW w:w="871" w:type="dxa"/>
            <w:tcBorders>
              <w:top w:val="nil"/>
              <w:left w:val="nil"/>
              <w:bottom w:val="single" w:sz="4" w:space="0" w:color="auto"/>
              <w:right w:val="single" w:sz="4" w:space="0" w:color="auto"/>
            </w:tcBorders>
            <w:shd w:val="clear" w:color="auto" w:fill="auto"/>
            <w:noWrap/>
            <w:vAlign w:val="center"/>
            <w:hideMark/>
          </w:tcPr>
          <w:p w14:paraId="7E04CC79" w14:textId="77777777" w:rsidR="001766D1" w:rsidRPr="001766D1" w:rsidRDefault="001766D1" w:rsidP="00234CBE">
            <w:pPr>
              <w:spacing w:line="276" w:lineRule="auto"/>
              <w:jc w:val="center"/>
              <w:rPr>
                <w:rFonts w:ascii="Book Antiqua" w:hAnsi="Book Antiqua" w:cs="Calibri"/>
                <w:b/>
                <w:bCs/>
                <w:color w:val="000000"/>
                <w:sz w:val="16"/>
                <w:szCs w:val="16"/>
                <w:u w:val="single"/>
                <w:lang w:eastAsia="es-CR"/>
              </w:rPr>
            </w:pPr>
            <w:r w:rsidRPr="001766D1">
              <w:rPr>
                <w:rFonts w:ascii="Book Antiqua" w:hAnsi="Book Antiqua" w:cs="Calibri"/>
                <w:b/>
                <w:bCs/>
                <w:color w:val="000000"/>
                <w:sz w:val="16"/>
                <w:szCs w:val="16"/>
                <w:u w:val="single"/>
                <w:lang w:eastAsia="es-CR"/>
              </w:rPr>
              <w:t>5929</w:t>
            </w:r>
          </w:p>
        </w:tc>
        <w:tc>
          <w:tcPr>
            <w:tcW w:w="871" w:type="dxa"/>
            <w:tcBorders>
              <w:top w:val="nil"/>
              <w:left w:val="nil"/>
              <w:bottom w:val="single" w:sz="4" w:space="0" w:color="auto"/>
              <w:right w:val="single" w:sz="4" w:space="0" w:color="auto"/>
            </w:tcBorders>
            <w:shd w:val="clear" w:color="auto" w:fill="auto"/>
            <w:noWrap/>
            <w:vAlign w:val="center"/>
            <w:hideMark/>
          </w:tcPr>
          <w:p w14:paraId="19253086" w14:textId="77777777" w:rsidR="001766D1" w:rsidRPr="001766D1" w:rsidRDefault="001766D1" w:rsidP="00234CBE">
            <w:pPr>
              <w:spacing w:line="276" w:lineRule="auto"/>
              <w:jc w:val="center"/>
              <w:rPr>
                <w:rFonts w:ascii="Book Antiqua" w:hAnsi="Book Antiqua" w:cs="Calibri"/>
                <w:b/>
                <w:bCs/>
                <w:color w:val="000000"/>
                <w:sz w:val="16"/>
                <w:szCs w:val="16"/>
                <w:u w:val="single"/>
                <w:lang w:eastAsia="es-CR"/>
              </w:rPr>
            </w:pPr>
            <w:r w:rsidRPr="001766D1">
              <w:rPr>
                <w:rFonts w:ascii="Book Antiqua" w:hAnsi="Book Antiqua" w:cs="Calibri"/>
                <w:b/>
                <w:bCs/>
                <w:color w:val="000000"/>
                <w:sz w:val="16"/>
                <w:szCs w:val="16"/>
                <w:u w:val="single"/>
                <w:lang w:eastAsia="es-CR"/>
              </w:rPr>
              <w:t>5008</w:t>
            </w:r>
          </w:p>
        </w:tc>
        <w:tc>
          <w:tcPr>
            <w:tcW w:w="871" w:type="dxa"/>
            <w:tcBorders>
              <w:top w:val="nil"/>
              <w:left w:val="nil"/>
              <w:bottom w:val="single" w:sz="4" w:space="0" w:color="auto"/>
              <w:right w:val="single" w:sz="4" w:space="0" w:color="auto"/>
            </w:tcBorders>
            <w:shd w:val="clear" w:color="auto" w:fill="auto"/>
            <w:noWrap/>
            <w:vAlign w:val="center"/>
            <w:hideMark/>
          </w:tcPr>
          <w:p w14:paraId="42C3542E" w14:textId="77777777" w:rsidR="001766D1" w:rsidRPr="001766D1" w:rsidRDefault="001766D1" w:rsidP="00234CBE">
            <w:pPr>
              <w:spacing w:line="276" w:lineRule="auto"/>
              <w:jc w:val="center"/>
              <w:rPr>
                <w:rFonts w:ascii="Book Antiqua" w:hAnsi="Book Antiqua" w:cs="Calibri"/>
                <w:b/>
                <w:bCs/>
                <w:color w:val="000000"/>
                <w:sz w:val="16"/>
                <w:szCs w:val="16"/>
                <w:u w:val="single"/>
                <w:lang w:eastAsia="es-CR"/>
              </w:rPr>
            </w:pPr>
            <w:r w:rsidRPr="001766D1">
              <w:rPr>
                <w:rFonts w:ascii="Book Antiqua" w:hAnsi="Book Antiqua" w:cs="Calibri"/>
                <w:b/>
                <w:bCs/>
                <w:color w:val="000000"/>
                <w:sz w:val="16"/>
                <w:szCs w:val="16"/>
                <w:u w:val="single"/>
                <w:lang w:eastAsia="es-CR"/>
              </w:rPr>
              <w:t>4724</w:t>
            </w:r>
          </w:p>
        </w:tc>
        <w:tc>
          <w:tcPr>
            <w:tcW w:w="872" w:type="dxa"/>
            <w:tcBorders>
              <w:top w:val="nil"/>
              <w:left w:val="nil"/>
              <w:bottom w:val="single" w:sz="4" w:space="0" w:color="auto"/>
              <w:right w:val="single" w:sz="4" w:space="0" w:color="auto"/>
            </w:tcBorders>
            <w:shd w:val="clear" w:color="auto" w:fill="auto"/>
            <w:noWrap/>
            <w:vAlign w:val="center"/>
            <w:hideMark/>
          </w:tcPr>
          <w:p w14:paraId="5A8137D5" w14:textId="77777777" w:rsidR="001766D1" w:rsidRPr="001766D1" w:rsidRDefault="001766D1" w:rsidP="00234CBE">
            <w:pPr>
              <w:spacing w:line="276" w:lineRule="auto"/>
              <w:jc w:val="center"/>
              <w:rPr>
                <w:rFonts w:ascii="Book Antiqua" w:hAnsi="Book Antiqua" w:cs="Calibri"/>
                <w:b/>
                <w:bCs/>
                <w:color w:val="000000"/>
                <w:sz w:val="16"/>
                <w:szCs w:val="16"/>
                <w:u w:val="single"/>
                <w:lang w:eastAsia="es-CR"/>
              </w:rPr>
            </w:pPr>
            <w:r w:rsidRPr="001766D1">
              <w:rPr>
                <w:rFonts w:ascii="Book Antiqua" w:hAnsi="Book Antiqua" w:cs="Calibri"/>
                <w:b/>
                <w:bCs/>
                <w:color w:val="000000"/>
                <w:sz w:val="16"/>
                <w:szCs w:val="16"/>
                <w:u w:val="single"/>
                <w:lang w:eastAsia="es-CR"/>
              </w:rPr>
              <w:t>5105</w:t>
            </w:r>
          </w:p>
        </w:tc>
        <w:tc>
          <w:tcPr>
            <w:tcW w:w="873" w:type="dxa"/>
            <w:tcBorders>
              <w:top w:val="nil"/>
              <w:left w:val="nil"/>
              <w:bottom w:val="single" w:sz="4" w:space="0" w:color="auto"/>
              <w:right w:val="single" w:sz="4" w:space="0" w:color="auto"/>
            </w:tcBorders>
            <w:shd w:val="clear" w:color="auto" w:fill="auto"/>
            <w:noWrap/>
            <w:vAlign w:val="center"/>
            <w:hideMark/>
          </w:tcPr>
          <w:p w14:paraId="2A47DF64" w14:textId="77777777" w:rsidR="001766D1" w:rsidRPr="001766D1" w:rsidRDefault="001766D1" w:rsidP="00234CBE">
            <w:pPr>
              <w:spacing w:line="276" w:lineRule="auto"/>
              <w:jc w:val="center"/>
              <w:rPr>
                <w:rFonts w:ascii="Book Antiqua" w:hAnsi="Book Antiqua" w:cs="Calibri"/>
                <w:b/>
                <w:bCs/>
                <w:color w:val="000000"/>
                <w:sz w:val="16"/>
                <w:szCs w:val="16"/>
                <w:u w:val="single"/>
                <w:lang w:eastAsia="es-CR"/>
              </w:rPr>
            </w:pPr>
            <w:r w:rsidRPr="001766D1">
              <w:rPr>
                <w:rFonts w:ascii="Book Antiqua" w:hAnsi="Book Antiqua" w:cs="Calibri"/>
                <w:b/>
                <w:bCs/>
                <w:color w:val="000000"/>
                <w:sz w:val="16"/>
                <w:szCs w:val="16"/>
                <w:u w:val="single"/>
                <w:lang w:eastAsia="es-CR"/>
              </w:rPr>
              <w:t>4777</w:t>
            </w:r>
          </w:p>
        </w:tc>
        <w:tc>
          <w:tcPr>
            <w:tcW w:w="872" w:type="dxa"/>
            <w:tcBorders>
              <w:top w:val="nil"/>
              <w:left w:val="nil"/>
              <w:bottom w:val="single" w:sz="4" w:space="0" w:color="auto"/>
              <w:right w:val="single" w:sz="4" w:space="0" w:color="auto"/>
            </w:tcBorders>
            <w:shd w:val="clear" w:color="auto" w:fill="auto"/>
            <w:noWrap/>
            <w:vAlign w:val="center"/>
            <w:hideMark/>
          </w:tcPr>
          <w:p w14:paraId="2251C038" w14:textId="77777777" w:rsidR="001766D1" w:rsidRPr="001766D1" w:rsidRDefault="001766D1" w:rsidP="00234CBE">
            <w:pPr>
              <w:spacing w:line="276" w:lineRule="auto"/>
              <w:jc w:val="center"/>
              <w:rPr>
                <w:rFonts w:ascii="Book Antiqua" w:hAnsi="Book Antiqua" w:cs="Calibri"/>
                <w:b/>
                <w:bCs/>
                <w:color w:val="000000"/>
                <w:sz w:val="16"/>
                <w:szCs w:val="16"/>
                <w:u w:val="single"/>
                <w:lang w:eastAsia="es-CR"/>
              </w:rPr>
            </w:pPr>
            <w:r w:rsidRPr="001766D1">
              <w:rPr>
                <w:rFonts w:ascii="Book Antiqua" w:hAnsi="Book Antiqua" w:cs="Calibri"/>
                <w:b/>
                <w:bCs/>
                <w:color w:val="000000"/>
                <w:sz w:val="16"/>
                <w:szCs w:val="16"/>
                <w:u w:val="single"/>
                <w:lang w:eastAsia="es-CR"/>
              </w:rPr>
              <w:t>44307</w:t>
            </w:r>
          </w:p>
        </w:tc>
        <w:tc>
          <w:tcPr>
            <w:tcW w:w="146" w:type="dxa"/>
            <w:vAlign w:val="center"/>
            <w:hideMark/>
          </w:tcPr>
          <w:p w14:paraId="3547E35C" w14:textId="77777777" w:rsidR="001766D1" w:rsidRPr="001766D1" w:rsidRDefault="001766D1" w:rsidP="00234CBE">
            <w:pPr>
              <w:spacing w:line="276" w:lineRule="auto"/>
              <w:rPr>
                <w:rFonts w:ascii="Times New Roman" w:hAnsi="Times New Roman"/>
                <w:sz w:val="20"/>
                <w:szCs w:val="20"/>
                <w:lang w:eastAsia="es-CR"/>
              </w:rPr>
            </w:pPr>
          </w:p>
        </w:tc>
      </w:tr>
      <w:tr w:rsidR="001766D1" w:rsidRPr="001766D1" w14:paraId="601BD6D5" w14:textId="77777777" w:rsidTr="001766D1">
        <w:trPr>
          <w:trHeight w:val="247"/>
          <w:jc w:val="center"/>
        </w:trPr>
        <w:tc>
          <w:tcPr>
            <w:tcW w:w="2427" w:type="dxa"/>
            <w:tcBorders>
              <w:top w:val="nil"/>
              <w:left w:val="single" w:sz="4" w:space="0" w:color="auto"/>
              <w:bottom w:val="single" w:sz="4" w:space="0" w:color="auto"/>
              <w:right w:val="nil"/>
            </w:tcBorders>
            <w:shd w:val="clear" w:color="auto" w:fill="auto"/>
            <w:noWrap/>
            <w:vAlign w:val="center"/>
            <w:hideMark/>
          </w:tcPr>
          <w:p w14:paraId="2B9CBDEC" w14:textId="77777777" w:rsidR="001766D1" w:rsidRPr="001766D1" w:rsidRDefault="001766D1" w:rsidP="00234CBE">
            <w:pPr>
              <w:spacing w:line="276" w:lineRule="auto"/>
              <w:jc w:val="right"/>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Sala Primera</w:t>
            </w:r>
          </w:p>
        </w:tc>
        <w:tc>
          <w:tcPr>
            <w:tcW w:w="871" w:type="dxa"/>
            <w:tcBorders>
              <w:top w:val="nil"/>
              <w:left w:val="single" w:sz="4" w:space="0" w:color="auto"/>
              <w:bottom w:val="single" w:sz="4" w:space="0" w:color="auto"/>
              <w:right w:val="single" w:sz="4" w:space="0" w:color="auto"/>
            </w:tcBorders>
            <w:shd w:val="clear" w:color="auto" w:fill="auto"/>
            <w:noWrap/>
            <w:vAlign w:val="bottom"/>
            <w:hideMark/>
          </w:tcPr>
          <w:p w14:paraId="372EC1EE"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133</w:t>
            </w:r>
          </w:p>
        </w:tc>
        <w:tc>
          <w:tcPr>
            <w:tcW w:w="872" w:type="dxa"/>
            <w:tcBorders>
              <w:top w:val="nil"/>
              <w:left w:val="nil"/>
              <w:bottom w:val="single" w:sz="4" w:space="0" w:color="auto"/>
              <w:right w:val="single" w:sz="4" w:space="0" w:color="auto"/>
            </w:tcBorders>
            <w:shd w:val="clear" w:color="auto" w:fill="auto"/>
            <w:noWrap/>
            <w:vAlign w:val="bottom"/>
            <w:hideMark/>
          </w:tcPr>
          <w:p w14:paraId="17D28DF9"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237</w:t>
            </w:r>
          </w:p>
        </w:tc>
        <w:tc>
          <w:tcPr>
            <w:tcW w:w="872" w:type="dxa"/>
            <w:tcBorders>
              <w:top w:val="nil"/>
              <w:left w:val="nil"/>
              <w:bottom w:val="single" w:sz="4" w:space="0" w:color="auto"/>
              <w:right w:val="single" w:sz="4" w:space="0" w:color="auto"/>
            </w:tcBorders>
            <w:shd w:val="clear" w:color="auto" w:fill="auto"/>
            <w:noWrap/>
            <w:vAlign w:val="bottom"/>
            <w:hideMark/>
          </w:tcPr>
          <w:p w14:paraId="039D3A04"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259</w:t>
            </w:r>
          </w:p>
        </w:tc>
        <w:tc>
          <w:tcPr>
            <w:tcW w:w="871" w:type="dxa"/>
            <w:tcBorders>
              <w:top w:val="nil"/>
              <w:left w:val="nil"/>
              <w:bottom w:val="single" w:sz="4" w:space="0" w:color="auto"/>
              <w:right w:val="single" w:sz="4" w:space="0" w:color="auto"/>
            </w:tcBorders>
            <w:shd w:val="clear" w:color="auto" w:fill="auto"/>
            <w:noWrap/>
            <w:vAlign w:val="bottom"/>
            <w:hideMark/>
          </w:tcPr>
          <w:p w14:paraId="41C7538A"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83</w:t>
            </w:r>
          </w:p>
        </w:tc>
        <w:tc>
          <w:tcPr>
            <w:tcW w:w="871" w:type="dxa"/>
            <w:tcBorders>
              <w:top w:val="nil"/>
              <w:left w:val="nil"/>
              <w:bottom w:val="single" w:sz="4" w:space="0" w:color="auto"/>
              <w:right w:val="single" w:sz="4" w:space="0" w:color="auto"/>
            </w:tcBorders>
            <w:shd w:val="clear" w:color="auto" w:fill="auto"/>
            <w:noWrap/>
            <w:vAlign w:val="bottom"/>
            <w:hideMark/>
          </w:tcPr>
          <w:p w14:paraId="16DCB5CB"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63</w:t>
            </w:r>
          </w:p>
        </w:tc>
        <w:tc>
          <w:tcPr>
            <w:tcW w:w="871" w:type="dxa"/>
            <w:tcBorders>
              <w:top w:val="nil"/>
              <w:left w:val="nil"/>
              <w:bottom w:val="single" w:sz="4" w:space="0" w:color="auto"/>
              <w:right w:val="single" w:sz="4" w:space="0" w:color="auto"/>
            </w:tcBorders>
            <w:shd w:val="clear" w:color="auto" w:fill="auto"/>
            <w:noWrap/>
            <w:vAlign w:val="bottom"/>
            <w:hideMark/>
          </w:tcPr>
          <w:p w14:paraId="2C36EC5D"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133</w:t>
            </w:r>
          </w:p>
        </w:tc>
        <w:tc>
          <w:tcPr>
            <w:tcW w:w="871" w:type="dxa"/>
            <w:tcBorders>
              <w:top w:val="nil"/>
              <w:left w:val="nil"/>
              <w:bottom w:val="single" w:sz="4" w:space="0" w:color="auto"/>
              <w:right w:val="single" w:sz="4" w:space="0" w:color="auto"/>
            </w:tcBorders>
            <w:shd w:val="clear" w:color="auto" w:fill="auto"/>
            <w:noWrap/>
            <w:vAlign w:val="bottom"/>
            <w:hideMark/>
          </w:tcPr>
          <w:p w14:paraId="5216676D"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87</w:t>
            </w:r>
          </w:p>
        </w:tc>
        <w:tc>
          <w:tcPr>
            <w:tcW w:w="872" w:type="dxa"/>
            <w:tcBorders>
              <w:top w:val="nil"/>
              <w:left w:val="nil"/>
              <w:bottom w:val="single" w:sz="4" w:space="0" w:color="auto"/>
              <w:right w:val="single" w:sz="4" w:space="0" w:color="auto"/>
            </w:tcBorders>
            <w:shd w:val="clear" w:color="auto" w:fill="auto"/>
            <w:noWrap/>
            <w:vAlign w:val="bottom"/>
            <w:hideMark/>
          </w:tcPr>
          <w:p w14:paraId="408AB0EA"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182</w:t>
            </w:r>
          </w:p>
        </w:tc>
        <w:tc>
          <w:tcPr>
            <w:tcW w:w="873" w:type="dxa"/>
            <w:tcBorders>
              <w:top w:val="nil"/>
              <w:left w:val="nil"/>
              <w:bottom w:val="single" w:sz="4" w:space="0" w:color="auto"/>
              <w:right w:val="single" w:sz="4" w:space="0" w:color="auto"/>
            </w:tcBorders>
            <w:shd w:val="clear" w:color="auto" w:fill="auto"/>
            <w:noWrap/>
            <w:vAlign w:val="bottom"/>
            <w:hideMark/>
          </w:tcPr>
          <w:p w14:paraId="23B1E590"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239</w:t>
            </w:r>
          </w:p>
        </w:tc>
        <w:tc>
          <w:tcPr>
            <w:tcW w:w="872" w:type="dxa"/>
            <w:tcBorders>
              <w:top w:val="nil"/>
              <w:left w:val="nil"/>
              <w:bottom w:val="single" w:sz="4" w:space="0" w:color="auto"/>
              <w:right w:val="single" w:sz="4" w:space="0" w:color="auto"/>
            </w:tcBorders>
            <w:shd w:val="clear" w:color="auto" w:fill="auto"/>
            <w:noWrap/>
            <w:vAlign w:val="center"/>
            <w:hideMark/>
          </w:tcPr>
          <w:p w14:paraId="7AC09602"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1416</w:t>
            </w:r>
          </w:p>
        </w:tc>
        <w:tc>
          <w:tcPr>
            <w:tcW w:w="146" w:type="dxa"/>
            <w:vAlign w:val="center"/>
            <w:hideMark/>
          </w:tcPr>
          <w:p w14:paraId="4947BC9E" w14:textId="77777777" w:rsidR="001766D1" w:rsidRPr="001766D1" w:rsidRDefault="001766D1" w:rsidP="00234CBE">
            <w:pPr>
              <w:spacing w:line="276" w:lineRule="auto"/>
              <w:rPr>
                <w:rFonts w:ascii="Times New Roman" w:hAnsi="Times New Roman"/>
                <w:sz w:val="20"/>
                <w:szCs w:val="20"/>
                <w:lang w:eastAsia="es-CR"/>
              </w:rPr>
            </w:pPr>
          </w:p>
        </w:tc>
      </w:tr>
      <w:tr w:rsidR="001766D1" w:rsidRPr="001766D1" w14:paraId="23CA29A8" w14:textId="77777777" w:rsidTr="001766D1">
        <w:trPr>
          <w:trHeight w:val="247"/>
          <w:jc w:val="center"/>
        </w:trPr>
        <w:tc>
          <w:tcPr>
            <w:tcW w:w="2427" w:type="dxa"/>
            <w:tcBorders>
              <w:top w:val="nil"/>
              <w:left w:val="single" w:sz="4" w:space="0" w:color="auto"/>
              <w:bottom w:val="single" w:sz="4" w:space="0" w:color="auto"/>
              <w:right w:val="nil"/>
            </w:tcBorders>
            <w:shd w:val="clear" w:color="auto" w:fill="auto"/>
            <w:noWrap/>
            <w:vAlign w:val="center"/>
            <w:hideMark/>
          </w:tcPr>
          <w:p w14:paraId="270D96A0" w14:textId="77777777" w:rsidR="001766D1" w:rsidRPr="001766D1" w:rsidRDefault="001766D1" w:rsidP="00234CBE">
            <w:pPr>
              <w:spacing w:line="276" w:lineRule="auto"/>
              <w:jc w:val="right"/>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 xml:space="preserve">Sala Primera-Tribunal De Casación </w:t>
            </w:r>
          </w:p>
        </w:tc>
        <w:tc>
          <w:tcPr>
            <w:tcW w:w="871" w:type="dxa"/>
            <w:tcBorders>
              <w:top w:val="nil"/>
              <w:left w:val="single" w:sz="4" w:space="0" w:color="auto"/>
              <w:bottom w:val="single" w:sz="4" w:space="0" w:color="auto"/>
              <w:right w:val="single" w:sz="4" w:space="0" w:color="auto"/>
            </w:tcBorders>
            <w:shd w:val="clear" w:color="auto" w:fill="auto"/>
            <w:noWrap/>
            <w:vAlign w:val="center"/>
            <w:hideMark/>
          </w:tcPr>
          <w:p w14:paraId="4F584B85"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17</w:t>
            </w:r>
          </w:p>
        </w:tc>
        <w:tc>
          <w:tcPr>
            <w:tcW w:w="872" w:type="dxa"/>
            <w:tcBorders>
              <w:top w:val="nil"/>
              <w:left w:val="nil"/>
              <w:bottom w:val="single" w:sz="4" w:space="0" w:color="auto"/>
              <w:right w:val="single" w:sz="4" w:space="0" w:color="auto"/>
            </w:tcBorders>
            <w:shd w:val="clear" w:color="auto" w:fill="auto"/>
            <w:noWrap/>
            <w:vAlign w:val="center"/>
            <w:hideMark/>
          </w:tcPr>
          <w:p w14:paraId="09560D87"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26</w:t>
            </w:r>
          </w:p>
        </w:tc>
        <w:tc>
          <w:tcPr>
            <w:tcW w:w="872" w:type="dxa"/>
            <w:tcBorders>
              <w:top w:val="nil"/>
              <w:left w:val="nil"/>
              <w:bottom w:val="single" w:sz="4" w:space="0" w:color="auto"/>
              <w:right w:val="single" w:sz="4" w:space="0" w:color="auto"/>
            </w:tcBorders>
            <w:shd w:val="clear" w:color="auto" w:fill="auto"/>
            <w:noWrap/>
            <w:vAlign w:val="center"/>
            <w:hideMark/>
          </w:tcPr>
          <w:p w14:paraId="4551B036"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29</w:t>
            </w:r>
          </w:p>
        </w:tc>
        <w:tc>
          <w:tcPr>
            <w:tcW w:w="871" w:type="dxa"/>
            <w:tcBorders>
              <w:top w:val="nil"/>
              <w:left w:val="nil"/>
              <w:bottom w:val="single" w:sz="4" w:space="0" w:color="auto"/>
              <w:right w:val="single" w:sz="4" w:space="0" w:color="auto"/>
            </w:tcBorders>
            <w:shd w:val="clear" w:color="auto" w:fill="auto"/>
            <w:noWrap/>
            <w:vAlign w:val="center"/>
            <w:hideMark/>
          </w:tcPr>
          <w:p w14:paraId="69E1DBFC"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11</w:t>
            </w:r>
          </w:p>
        </w:tc>
        <w:tc>
          <w:tcPr>
            <w:tcW w:w="871" w:type="dxa"/>
            <w:tcBorders>
              <w:top w:val="nil"/>
              <w:left w:val="nil"/>
              <w:bottom w:val="single" w:sz="4" w:space="0" w:color="auto"/>
              <w:right w:val="single" w:sz="4" w:space="0" w:color="auto"/>
            </w:tcBorders>
            <w:shd w:val="clear" w:color="auto" w:fill="auto"/>
            <w:noWrap/>
            <w:vAlign w:val="center"/>
            <w:hideMark/>
          </w:tcPr>
          <w:p w14:paraId="18C1409F"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16</w:t>
            </w:r>
          </w:p>
        </w:tc>
        <w:tc>
          <w:tcPr>
            <w:tcW w:w="871" w:type="dxa"/>
            <w:tcBorders>
              <w:top w:val="nil"/>
              <w:left w:val="nil"/>
              <w:bottom w:val="single" w:sz="4" w:space="0" w:color="auto"/>
              <w:right w:val="single" w:sz="4" w:space="0" w:color="auto"/>
            </w:tcBorders>
            <w:shd w:val="clear" w:color="auto" w:fill="auto"/>
            <w:noWrap/>
            <w:vAlign w:val="center"/>
            <w:hideMark/>
          </w:tcPr>
          <w:p w14:paraId="48D8C0B8"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18</w:t>
            </w:r>
          </w:p>
        </w:tc>
        <w:tc>
          <w:tcPr>
            <w:tcW w:w="871" w:type="dxa"/>
            <w:tcBorders>
              <w:top w:val="nil"/>
              <w:left w:val="nil"/>
              <w:bottom w:val="single" w:sz="4" w:space="0" w:color="auto"/>
              <w:right w:val="single" w:sz="4" w:space="0" w:color="auto"/>
            </w:tcBorders>
            <w:shd w:val="clear" w:color="auto" w:fill="auto"/>
            <w:noWrap/>
            <w:vAlign w:val="center"/>
            <w:hideMark/>
          </w:tcPr>
          <w:p w14:paraId="3E662C15"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12</w:t>
            </w:r>
          </w:p>
        </w:tc>
        <w:tc>
          <w:tcPr>
            <w:tcW w:w="872" w:type="dxa"/>
            <w:tcBorders>
              <w:top w:val="nil"/>
              <w:left w:val="nil"/>
              <w:bottom w:val="single" w:sz="4" w:space="0" w:color="auto"/>
              <w:right w:val="single" w:sz="4" w:space="0" w:color="auto"/>
            </w:tcBorders>
            <w:shd w:val="clear" w:color="auto" w:fill="auto"/>
            <w:noWrap/>
            <w:vAlign w:val="center"/>
            <w:hideMark/>
          </w:tcPr>
          <w:p w14:paraId="70B60847"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34</w:t>
            </w:r>
          </w:p>
        </w:tc>
        <w:tc>
          <w:tcPr>
            <w:tcW w:w="873" w:type="dxa"/>
            <w:tcBorders>
              <w:top w:val="nil"/>
              <w:left w:val="nil"/>
              <w:bottom w:val="single" w:sz="4" w:space="0" w:color="auto"/>
              <w:right w:val="single" w:sz="4" w:space="0" w:color="auto"/>
            </w:tcBorders>
            <w:shd w:val="clear" w:color="auto" w:fill="auto"/>
            <w:noWrap/>
            <w:vAlign w:val="center"/>
            <w:hideMark/>
          </w:tcPr>
          <w:p w14:paraId="12688627"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28</w:t>
            </w:r>
          </w:p>
        </w:tc>
        <w:tc>
          <w:tcPr>
            <w:tcW w:w="872" w:type="dxa"/>
            <w:tcBorders>
              <w:top w:val="nil"/>
              <w:left w:val="nil"/>
              <w:bottom w:val="single" w:sz="4" w:space="0" w:color="auto"/>
              <w:right w:val="single" w:sz="4" w:space="0" w:color="auto"/>
            </w:tcBorders>
            <w:shd w:val="clear" w:color="auto" w:fill="auto"/>
            <w:noWrap/>
            <w:vAlign w:val="center"/>
            <w:hideMark/>
          </w:tcPr>
          <w:p w14:paraId="4EEF5178"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191</w:t>
            </w:r>
          </w:p>
        </w:tc>
        <w:tc>
          <w:tcPr>
            <w:tcW w:w="146" w:type="dxa"/>
            <w:vAlign w:val="center"/>
            <w:hideMark/>
          </w:tcPr>
          <w:p w14:paraId="4E15577D" w14:textId="77777777" w:rsidR="001766D1" w:rsidRPr="001766D1" w:rsidRDefault="001766D1" w:rsidP="00234CBE">
            <w:pPr>
              <w:spacing w:line="276" w:lineRule="auto"/>
              <w:rPr>
                <w:rFonts w:ascii="Times New Roman" w:hAnsi="Times New Roman"/>
                <w:sz w:val="20"/>
                <w:szCs w:val="20"/>
                <w:lang w:eastAsia="es-CR"/>
              </w:rPr>
            </w:pPr>
          </w:p>
        </w:tc>
      </w:tr>
      <w:tr w:rsidR="001766D1" w:rsidRPr="001766D1" w14:paraId="3EFF9E1E" w14:textId="77777777" w:rsidTr="001766D1">
        <w:trPr>
          <w:trHeight w:val="247"/>
          <w:jc w:val="center"/>
        </w:trPr>
        <w:tc>
          <w:tcPr>
            <w:tcW w:w="2427" w:type="dxa"/>
            <w:tcBorders>
              <w:top w:val="nil"/>
              <w:left w:val="single" w:sz="4" w:space="0" w:color="auto"/>
              <w:bottom w:val="single" w:sz="4" w:space="0" w:color="auto"/>
              <w:right w:val="nil"/>
            </w:tcBorders>
            <w:shd w:val="clear" w:color="auto" w:fill="auto"/>
            <w:noWrap/>
            <w:vAlign w:val="center"/>
            <w:hideMark/>
          </w:tcPr>
          <w:p w14:paraId="1DACE44E" w14:textId="77777777" w:rsidR="001766D1" w:rsidRPr="001766D1" w:rsidRDefault="001766D1" w:rsidP="00234CBE">
            <w:pPr>
              <w:spacing w:line="276" w:lineRule="auto"/>
              <w:jc w:val="right"/>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Sala Segunda</w:t>
            </w:r>
          </w:p>
        </w:tc>
        <w:tc>
          <w:tcPr>
            <w:tcW w:w="871" w:type="dxa"/>
            <w:tcBorders>
              <w:top w:val="nil"/>
              <w:left w:val="single" w:sz="4" w:space="0" w:color="auto"/>
              <w:bottom w:val="single" w:sz="4" w:space="0" w:color="auto"/>
              <w:right w:val="single" w:sz="4" w:space="0" w:color="auto"/>
            </w:tcBorders>
            <w:shd w:val="clear" w:color="auto" w:fill="auto"/>
            <w:noWrap/>
            <w:vAlign w:val="bottom"/>
            <w:hideMark/>
          </w:tcPr>
          <w:p w14:paraId="0CBF48C0"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196</w:t>
            </w:r>
          </w:p>
        </w:tc>
        <w:tc>
          <w:tcPr>
            <w:tcW w:w="872" w:type="dxa"/>
            <w:tcBorders>
              <w:top w:val="nil"/>
              <w:left w:val="nil"/>
              <w:bottom w:val="single" w:sz="4" w:space="0" w:color="auto"/>
              <w:right w:val="single" w:sz="4" w:space="0" w:color="auto"/>
            </w:tcBorders>
            <w:shd w:val="clear" w:color="auto" w:fill="auto"/>
            <w:noWrap/>
            <w:vAlign w:val="bottom"/>
            <w:hideMark/>
          </w:tcPr>
          <w:p w14:paraId="21569B02"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153</w:t>
            </w:r>
          </w:p>
        </w:tc>
        <w:tc>
          <w:tcPr>
            <w:tcW w:w="872" w:type="dxa"/>
            <w:tcBorders>
              <w:top w:val="nil"/>
              <w:left w:val="nil"/>
              <w:bottom w:val="single" w:sz="4" w:space="0" w:color="auto"/>
              <w:right w:val="single" w:sz="4" w:space="0" w:color="auto"/>
            </w:tcBorders>
            <w:shd w:val="clear" w:color="auto" w:fill="auto"/>
            <w:noWrap/>
            <w:vAlign w:val="bottom"/>
            <w:hideMark/>
          </w:tcPr>
          <w:p w14:paraId="12856A7B"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190</w:t>
            </w:r>
          </w:p>
        </w:tc>
        <w:tc>
          <w:tcPr>
            <w:tcW w:w="871" w:type="dxa"/>
            <w:tcBorders>
              <w:top w:val="nil"/>
              <w:left w:val="nil"/>
              <w:bottom w:val="single" w:sz="4" w:space="0" w:color="auto"/>
              <w:right w:val="single" w:sz="4" w:space="0" w:color="auto"/>
            </w:tcBorders>
            <w:shd w:val="clear" w:color="auto" w:fill="auto"/>
            <w:noWrap/>
            <w:vAlign w:val="bottom"/>
            <w:hideMark/>
          </w:tcPr>
          <w:p w14:paraId="2352A07D"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354</w:t>
            </w:r>
          </w:p>
        </w:tc>
        <w:tc>
          <w:tcPr>
            <w:tcW w:w="871" w:type="dxa"/>
            <w:tcBorders>
              <w:top w:val="nil"/>
              <w:left w:val="nil"/>
              <w:bottom w:val="single" w:sz="4" w:space="0" w:color="auto"/>
              <w:right w:val="single" w:sz="4" w:space="0" w:color="auto"/>
            </w:tcBorders>
            <w:shd w:val="clear" w:color="auto" w:fill="auto"/>
            <w:noWrap/>
            <w:vAlign w:val="bottom"/>
            <w:hideMark/>
          </w:tcPr>
          <w:p w14:paraId="33E3B0E8"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289</w:t>
            </w:r>
          </w:p>
        </w:tc>
        <w:tc>
          <w:tcPr>
            <w:tcW w:w="871" w:type="dxa"/>
            <w:tcBorders>
              <w:top w:val="nil"/>
              <w:left w:val="nil"/>
              <w:bottom w:val="single" w:sz="4" w:space="0" w:color="auto"/>
              <w:right w:val="single" w:sz="4" w:space="0" w:color="auto"/>
            </w:tcBorders>
            <w:shd w:val="clear" w:color="auto" w:fill="auto"/>
            <w:noWrap/>
            <w:vAlign w:val="bottom"/>
            <w:hideMark/>
          </w:tcPr>
          <w:p w14:paraId="4106716C"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200</w:t>
            </w:r>
          </w:p>
        </w:tc>
        <w:tc>
          <w:tcPr>
            <w:tcW w:w="871" w:type="dxa"/>
            <w:tcBorders>
              <w:top w:val="nil"/>
              <w:left w:val="nil"/>
              <w:bottom w:val="single" w:sz="4" w:space="0" w:color="auto"/>
              <w:right w:val="single" w:sz="4" w:space="0" w:color="auto"/>
            </w:tcBorders>
            <w:shd w:val="clear" w:color="auto" w:fill="auto"/>
            <w:noWrap/>
            <w:vAlign w:val="bottom"/>
            <w:hideMark/>
          </w:tcPr>
          <w:p w14:paraId="2F3A1E77"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305</w:t>
            </w:r>
          </w:p>
        </w:tc>
        <w:tc>
          <w:tcPr>
            <w:tcW w:w="872" w:type="dxa"/>
            <w:tcBorders>
              <w:top w:val="nil"/>
              <w:left w:val="nil"/>
              <w:bottom w:val="single" w:sz="4" w:space="0" w:color="auto"/>
              <w:right w:val="single" w:sz="4" w:space="0" w:color="auto"/>
            </w:tcBorders>
            <w:shd w:val="clear" w:color="auto" w:fill="auto"/>
            <w:noWrap/>
            <w:vAlign w:val="bottom"/>
            <w:hideMark/>
          </w:tcPr>
          <w:p w14:paraId="63AF9A16"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248</w:t>
            </w:r>
          </w:p>
        </w:tc>
        <w:tc>
          <w:tcPr>
            <w:tcW w:w="873" w:type="dxa"/>
            <w:tcBorders>
              <w:top w:val="nil"/>
              <w:left w:val="nil"/>
              <w:bottom w:val="single" w:sz="4" w:space="0" w:color="auto"/>
              <w:right w:val="single" w:sz="4" w:space="0" w:color="auto"/>
            </w:tcBorders>
            <w:shd w:val="clear" w:color="auto" w:fill="auto"/>
            <w:noWrap/>
            <w:vAlign w:val="bottom"/>
            <w:hideMark/>
          </w:tcPr>
          <w:p w14:paraId="62B73C8B"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278</w:t>
            </w:r>
          </w:p>
        </w:tc>
        <w:tc>
          <w:tcPr>
            <w:tcW w:w="872" w:type="dxa"/>
            <w:tcBorders>
              <w:top w:val="nil"/>
              <w:left w:val="nil"/>
              <w:bottom w:val="single" w:sz="4" w:space="0" w:color="auto"/>
              <w:right w:val="single" w:sz="4" w:space="0" w:color="auto"/>
            </w:tcBorders>
            <w:shd w:val="clear" w:color="auto" w:fill="auto"/>
            <w:noWrap/>
            <w:vAlign w:val="center"/>
            <w:hideMark/>
          </w:tcPr>
          <w:p w14:paraId="2A9A98AF"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2213</w:t>
            </w:r>
          </w:p>
        </w:tc>
        <w:tc>
          <w:tcPr>
            <w:tcW w:w="146" w:type="dxa"/>
            <w:vAlign w:val="center"/>
            <w:hideMark/>
          </w:tcPr>
          <w:p w14:paraId="07E0328A" w14:textId="77777777" w:rsidR="001766D1" w:rsidRPr="001766D1" w:rsidRDefault="001766D1" w:rsidP="00234CBE">
            <w:pPr>
              <w:spacing w:line="276" w:lineRule="auto"/>
              <w:rPr>
                <w:rFonts w:ascii="Times New Roman" w:hAnsi="Times New Roman"/>
                <w:sz w:val="20"/>
                <w:szCs w:val="20"/>
                <w:lang w:eastAsia="es-CR"/>
              </w:rPr>
            </w:pPr>
          </w:p>
        </w:tc>
      </w:tr>
      <w:tr w:rsidR="001766D1" w:rsidRPr="001766D1" w14:paraId="43F8FFC2" w14:textId="77777777" w:rsidTr="001766D1">
        <w:trPr>
          <w:trHeight w:val="247"/>
          <w:jc w:val="center"/>
        </w:trPr>
        <w:tc>
          <w:tcPr>
            <w:tcW w:w="2427" w:type="dxa"/>
            <w:tcBorders>
              <w:top w:val="nil"/>
              <w:left w:val="single" w:sz="4" w:space="0" w:color="auto"/>
              <w:bottom w:val="single" w:sz="4" w:space="0" w:color="auto"/>
              <w:right w:val="nil"/>
            </w:tcBorders>
            <w:shd w:val="clear" w:color="auto" w:fill="auto"/>
            <w:noWrap/>
            <w:vAlign w:val="center"/>
            <w:hideMark/>
          </w:tcPr>
          <w:p w14:paraId="6F61B166" w14:textId="77777777" w:rsidR="001766D1" w:rsidRPr="001766D1" w:rsidRDefault="001766D1" w:rsidP="00234CBE">
            <w:pPr>
              <w:spacing w:line="276" w:lineRule="auto"/>
              <w:jc w:val="right"/>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Sala Tercera</w:t>
            </w:r>
          </w:p>
        </w:tc>
        <w:tc>
          <w:tcPr>
            <w:tcW w:w="871" w:type="dxa"/>
            <w:tcBorders>
              <w:top w:val="nil"/>
              <w:left w:val="single" w:sz="4" w:space="0" w:color="auto"/>
              <w:bottom w:val="single" w:sz="4" w:space="0" w:color="auto"/>
              <w:right w:val="single" w:sz="4" w:space="0" w:color="auto"/>
            </w:tcBorders>
            <w:shd w:val="clear" w:color="auto" w:fill="auto"/>
            <w:noWrap/>
            <w:vAlign w:val="bottom"/>
            <w:hideMark/>
          </w:tcPr>
          <w:p w14:paraId="11DF815B"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74</w:t>
            </w:r>
          </w:p>
        </w:tc>
        <w:tc>
          <w:tcPr>
            <w:tcW w:w="872" w:type="dxa"/>
            <w:tcBorders>
              <w:top w:val="nil"/>
              <w:left w:val="nil"/>
              <w:bottom w:val="single" w:sz="4" w:space="0" w:color="auto"/>
              <w:right w:val="single" w:sz="4" w:space="0" w:color="auto"/>
            </w:tcBorders>
            <w:shd w:val="clear" w:color="auto" w:fill="auto"/>
            <w:noWrap/>
            <w:vAlign w:val="bottom"/>
            <w:hideMark/>
          </w:tcPr>
          <w:p w14:paraId="467237BB"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108</w:t>
            </w:r>
          </w:p>
        </w:tc>
        <w:tc>
          <w:tcPr>
            <w:tcW w:w="872" w:type="dxa"/>
            <w:tcBorders>
              <w:top w:val="nil"/>
              <w:left w:val="nil"/>
              <w:bottom w:val="single" w:sz="4" w:space="0" w:color="auto"/>
              <w:right w:val="single" w:sz="4" w:space="0" w:color="auto"/>
            </w:tcBorders>
            <w:shd w:val="clear" w:color="auto" w:fill="auto"/>
            <w:noWrap/>
            <w:vAlign w:val="bottom"/>
            <w:hideMark/>
          </w:tcPr>
          <w:p w14:paraId="26D0D933"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44</w:t>
            </w:r>
          </w:p>
        </w:tc>
        <w:tc>
          <w:tcPr>
            <w:tcW w:w="871" w:type="dxa"/>
            <w:tcBorders>
              <w:top w:val="nil"/>
              <w:left w:val="nil"/>
              <w:bottom w:val="single" w:sz="4" w:space="0" w:color="auto"/>
              <w:right w:val="single" w:sz="4" w:space="0" w:color="auto"/>
            </w:tcBorders>
            <w:shd w:val="clear" w:color="auto" w:fill="auto"/>
            <w:noWrap/>
            <w:vAlign w:val="bottom"/>
            <w:hideMark/>
          </w:tcPr>
          <w:p w14:paraId="35295251"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144</w:t>
            </w:r>
          </w:p>
        </w:tc>
        <w:tc>
          <w:tcPr>
            <w:tcW w:w="871" w:type="dxa"/>
            <w:tcBorders>
              <w:top w:val="nil"/>
              <w:left w:val="nil"/>
              <w:bottom w:val="single" w:sz="4" w:space="0" w:color="auto"/>
              <w:right w:val="single" w:sz="4" w:space="0" w:color="auto"/>
            </w:tcBorders>
            <w:shd w:val="clear" w:color="auto" w:fill="auto"/>
            <w:noWrap/>
            <w:vAlign w:val="bottom"/>
            <w:hideMark/>
          </w:tcPr>
          <w:p w14:paraId="0D47D0A2"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120</w:t>
            </w:r>
          </w:p>
        </w:tc>
        <w:tc>
          <w:tcPr>
            <w:tcW w:w="871" w:type="dxa"/>
            <w:tcBorders>
              <w:top w:val="nil"/>
              <w:left w:val="nil"/>
              <w:bottom w:val="single" w:sz="4" w:space="0" w:color="auto"/>
              <w:right w:val="single" w:sz="4" w:space="0" w:color="auto"/>
            </w:tcBorders>
            <w:shd w:val="clear" w:color="auto" w:fill="auto"/>
            <w:noWrap/>
            <w:vAlign w:val="bottom"/>
            <w:hideMark/>
          </w:tcPr>
          <w:p w14:paraId="171B9D36"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105</w:t>
            </w:r>
          </w:p>
        </w:tc>
        <w:tc>
          <w:tcPr>
            <w:tcW w:w="871" w:type="dxa"/>
            <w:tcBorders>
              <w:top w:val="nil"/>
              <w:left w:val="nil"/>
              <w:bottom w:val="single" w:sz="4" w:space="0" w:color="auto"/>
              <w:right w:val="single" w:sz="4" w:space="0" w:color="auto"/>
            </w:tcBorders>
            <w:shd w:val="clear" w:color="auto" w:fill="auto"/>
            <w:noWrap/>
            <w:vAlign w:val="bottom"/>
            <w:hideMark/>
          </w:tcPr>
          <w:p w14:paraId="196AE99A"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163</w:t>
            </w:r>
          </w:p>
        </w:tc>
        <w:tc>
          <w:tcPr>
            <w:tcW w:w="872" w:type="dxa"/>
            <w:tcBorders>
              <w:top w:val="nil"/>
              <w:left w:val="nil"/>
              <w:bottom w:val="single" w:sz="4" w:space="0" w:color="auto"/>
              <w:right w:val="single" w:sz="4" w:space="0" w:color="auto"/>
            </w:tcBorders>
            <w:shd w:val="clear" w:color="auto" w:fill="auto"/>
            <w:noWrap/>
            <w:vAlign w:val="bottom"/>
            <w:hideMark/>
          </w:tcPr>
          <w:p w14:paraId="35906946"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89</w:t>
            </w:r>
          </w:p>
        </w:tc>
        <w:tc>
          <w:tcPr>
            <w:tcW w:w="873" w:type="dxa"/>
            <w:tcBorders>
              <w:top w:val="nil"/>
              <w:left w:val="nil"/>
              <w:bottom w:val="single" w:sz="4" w:space="0" w:color="auto"/>
              <w:right w:val="single" w:sz="4" w:space="0" w:color="auto"/>
            </w:tcBorders>
            <w:shd w:val="clear" w:color="auto" w:fill="auto"/>
            <w:noWrap/>
            <w:vAlign w:val="bottom"/>
            <w:hideMark/>
          </w:tcPr>
          <w:p w14:paraId="00238258"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111</w:t>
            </w:r>
          </w:p>
        </w:tc>
        <w:tc>
          <w:tcPr>
            <w:tcW w:w="872" w:type="dxa"/>
            <w:tcBorders>
              <w:top w:val="nil"/>
              <w:left w:val="nil"/>
              <w:bottom w:val="single" w:sz="4" w:space="0" w:color="auto"/>
              <w:right w:val="single" w:sz="4" w:space="0" w:color="auto"/>
            </w:tcBorders>
            <w:shd w:val="clear" w:color="auto" w:fill="auto"/>
            <w:noWrap/>
            <w:vAlign w:val="center"/>
            <w:hideMark/>
          </w:tcPr>
          <w:p w14:paraId="6D4C0A43"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958</w:t>
            </w:r>
          </w:p>
        </w:tc>
        <w:tc>
          <w:tcPr>
            <w:tcW w:w="146" w:type="dxa"/>
            <w:vAlign w:val="center"/>
            <w:hideMark/>
          </w:tcPr>
          <w:p w14:paraId="19329133" w14:textId="77777777" w:rsidR="001766D1" w:rsidRPr="001766D1" w:rsidRDefault="001766D1" w:rsidP="00234CBE">
            <w:pPr>
              <w:spacing w:line="276" w:lineRule="auto"/>
              <w:rPr>
                <w:rFonts w:ascii="Times New Roman" w:hAnsi="Times New Roman"/>
                <w:sz w:val="20"/>
                <w:szCs w:val="20"/>
                <w:lang w:eastAsia="es-CR"/>
              </w:rPr>
            </w:pPr>
          </w:p>
        </w:tc>
      </w:tr>
      <w:tr w:rsidR="001766D1" w:rsidRPr="001766D1" w14:paraId="6B2C236E" w14:textId="77777777" w:rsidTr="001766D1">
        <w:trPr>
          <w:trHeight w:val="247"/>
          <w:jc w:val="center"/>
        </w:trPr>
        <w:tc>
          <w:tcPr>
            <w:tcW w:w="2427" w:type="dxa"/>
            <w:tcBorders>
              <w:top w:val="nil"/>
              <w:left w:val="single" w:sz="4" w:space="0" w:color="auto"/>
              <w:bottom w:val="single" w:sz="4" w:space="0" w:color="auto"/>
              <w:right w:val="nil"/>
            </w:tcBorders>
            <w:shd w:val="clear" w:color="auto" w:fill="auto"/>
            <w:noWrap/>
            <w:vAlign w:val="center"/>
            <w:hideMark/>
          </w:tcPr>
          <w:p w14:paraId="42789217" w14:textId="77777777" w:rsidR="001766D1" w:rsidRPr="001766D1" w:rsidRDefault="001766D1" w:rsidP="00234CBE">
            <w:pPr>
              <w:spacing w:line="276" w:lineRule="auto"/>
              <w:jc w:val="right"/>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Sala Tercera-Penal Juvenil</w:t>
            </w:r>
          </w:p>
        </w:tc>
        <w:tc>
          <w:tcPr>
            <w:tcW w:w="871" w:type="dxa"/>
            <w:tcBorders>
              <w:top w:val="nil"/>
              <w:left w:val="single" w:sz="4" w:space="0" w:color="auto"/>
              <w:bottom w:val="single" w:sz="4" w:space="0" w:color="auto"/>
              <w:right w:val="single" w:sz="4" w:space="0" w:color="auto"/>
            </w:tcBorders>
            <w:shd w:val="clear" w:color="auto" w:fill="auto"/>
            <w:noWrap/>
            <w:vAlign w:val="bottom"/>
            <w:hideMark/>
          </w:tcPr>
          <w:p w14:paraId="26894350"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w:t>
            </w:r>
          </w:p>
        </w:tc>
        <w:tc>
          <w:tcPr>
            <w:tcW w:w="872" w:type="dxa"/>
            <w:tcBorders>
              <w:top w:val="nil"/>
              <w:left w:val="nil"/>
              <w:bottom w:val="single" w:sz="4" w:space="0" w:color="auto"/>
              <w:right w:val="single" w:sz="4" w:space="0" w:color="auto"/>
            </w:tcBorders>
            <w:shd w:val="clear" w:color="auto" w:fill="auto"/>
            <w:noWrap/>
            <w:vAlign w:val="bottom"/>
            <w:hideMark/>
          </w:tcPr>
          <w:p w14:paraId="7AE82E6C"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11</w:t>
            </w:r>
          </w:p>
        </w:tc>
        <w:tc>
          <w:tcPr>
            <w:tcW w:w="872" w:type="dxa"/>
            <w:tcBorders>
              <w:top w:val="nil"/>
              <w:left w:val="nil"/>
              <w:bottom w:val="single" w:sz="4" w:space="0" w:color="auto"/>
              <w:right w:val="single" w:sz="4" w:space="0" w:color="auto"/>
            </w:tcBorders>
            <w:shd w:val="clear" w:color="auto" w:fill="auto"/>
            <w:noWrap/>
            <w:vAlign w:val="bottom"/>
            <w:hideMark/>
          </w:tcPr>
          <w:p w14:paraId="3849E7AF"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4</w:t>
            </w:r>
          </w:p>
        </w:tc>
        <w:tc>
          <w:tcPr>
            <w:tcW w:w="871" w:type="dxa"/>
            <w:tcBorders>
              <w:top w:val="nil"/>
              <w:left w:val="nil"/>
              <w:bottom w:val="single" w:sz="4" w:space="0" w:color="auto"/>
              <w:right w:val="single" w:sz="4" w:space="0" w:color="auto"/>
            </w:tcBorders>
            <w:shd w:val="clear" w:color="auto" w:fill="auto"/>
            <w:noWrap/>
            <w:vAlign w:val="bottom"/>
            <w:hideMark/>
          </w:tcPr>
          <w:p w14:paraId="064A078F"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0</w:t>
            </w:r>
          </w:p>
        </w:tc>
        <w:tc>
          <w:tcPr>
            <w:tcW w:w="871" w:type="dxa"/>
            <w:tcBorders>
              <w:top w:val="nil"/>
              <w:left w:val="nil"/>
              <w:bottom w:val="single" w:sz="4" w:space="0" w:color="auto"/>
              <w:right w:val="single" w:sz="4" w:space="0" w:color="auto"/>
            </w:tcBorders>
            <w:shd w:val="clear" w:color="auto" w:fill="auto"/>
            <w:noWrap/>
            <w:vAlign w:val="bottom"/>
            <w:hideMark/>
          </w:tcPr>
          <w:p w14:paraId="6110AA66"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3</w:t>
            </w:r>
          </w:p>
        </w:tc>
        <w:tc>
          <w:tcPr>
            <w:tcW w:w="871" w:type="dxa"/>
            <w:tcBorders>
              <w:top w:val="nil"/>
              <w:left w:val="nil"/>
              <w:bottom w:val="single" w:sz="4" w:space="0" w:color="auto"/>
              <w:right w:val="single" w:sz="4" w:space="0" w:color="auto"/>
            </w:tcBorders>
            <w:shd w:val="clear" w:color="auto" w:fill="auto"/>
            <w:noWrap/>
            <w:vAlign w:val="bottom"/>
            <w:hideMark/>
          </w:tcPr>
          <w:p w14:paraId="576606C3"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4</w:t>
            </w:r>
          </w:p>
        </w:tc>
        <w:tc>
          <w:tcPr>
            <w:tcW w:w="871" w:type="dxa"/>
            <w:tcBorders>
              <w:top w:val="nil"/>
              <w:left w:val="nil"/>
              <w:bottom w:val="single" w:sz="4" w:space="0" w:color="auto"/>
              <w:right w:val="single" w:sz="4" w:space="0" w:color="auto"/>
            </w:tcBorders>
            <w:shd w:val="clear" w:color="auto" w:fill="auto"/>
            <w:noWrap/>
            <w:vAlign w:val="bottom"/>
            <w:hideMark/>
          </w:tcPr>
          <w:p w14:paraId="001E3C6A"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4</w:t>
            </w:r>
          </w:p>
        </w:tc>
        <w:tc>
          <w:tcPr>
            <w:tcW w:w="872" w:type="dxa"/>
            <w:tcBorders>
              <w:top w:val="nil"/>
              <w:left w:val="nil"/>
              <w:bottom w:val="single" w:sz="4" w:space="0" w:color="auto"/>
              <w:right w:val="single" w:sz="4" w:space="0" w:color="auto"/>
            </w:tcBorders>
            <w:shd w:val="clear" w:color="auto" w:fill="auto"/>
            <w:noWrap/>
            <w:vAlign w:val="bottom"/>
            <w:hideMark/>
          </w:tcPr>
          <w:p w14:paraId="23004C42"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2</w:t>
            </w:r>
          </w:p>
        </w:tc>
        <w:tc>
          <w:tcPr>
            <w:tcW w:w="873" w:type="dxa"/>
            <w:tcBorders>
              <w:top w:val="nil"/>
              <w:left w:val="nil"/>
              <w:bottom w:val="single" w:sz="4" w:space="0" w:color="auto"/>
              <w:right w:val="single" w:sz="4" w:space="0" w:color="auto"/>
            </w:tcBorders>
            <w:shd w:val="clear" w:color="auto" w:fill="auto"/>
            <w:noWrap/>
            <w:vAlign w:val="bottom"/>
            <w:hideMark/>
          </w:tcPr>
          <w:p w14:paraId="5D7A37B9"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3</w:t>
            </w:r>
          </w:p>
        </w:tc>
        <w:tc>
          <w:tcPr>
            <w:tcW w:w="872" w:type="dxa"/>
            <w:tcBorders>
              <w:top w:val="nil"/>
              <w:left w:val="nil"/>
              <w:bottom w:val="single" w:sz="4" w:space="0" w:color="auto"/>
              <w:right w:val="single" w:sz="4" w:space="0" w:color="auto"/>
            </w:tcBorders>
            <w:shd w:val="clear" w:color="auto" w:fill="auto"/>
            <w:noWrap/>
            <w:vAlign w:val="center"/>
            <w:hideMark/>
          </w:tcPr>
          <w:p w14:paraId="34B8A1D4"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32</w:t>
            </w:r>
          </w:p>
        </w:tc>
        <w:tc>
          <w:tcPr>
            <w:tcW w:w="146" w:type="dxa"/>
            <w:vAlign w:val="center"/>
            <w:hideMark/>
          </w:tcPr>
          <w:p w14:paraId="2A2511E4" w14:textId="77777777" w:rsidR="001766D1" w:rsidRPr="001766D1" w:rsidRDefault="001766D1" w:rsidP="00234CBE">
            <w:pPr>
              <w:spacing w:line="276" w:lineRule="auto"/>
              <w:rPr>
                <w:rFonts w:ascii="Times New Roman" w:hAnsi="Times New Roman"/>
                <w:sz w:val="20"/>
                <w:szCs w:val="20"/>
                <w:lang w:eastAsia="es-CR"/>
              </w:rPr>
            </w:pPr>
          </w:p>
        </w:tc>
      </w:tr>
      <w:tr w:rsidR="001766D1" w:rsidRPr="001766D1" w14:paraId="5F53B0FF" w14:textId="77777777" w:rsidTr="001766D1">
        <w:trPr>
          <w:trHeight w:val="247"/>
          <w:jc w:val="center"/>
        </w:trPr>
        <w:tc>
          <w:tcPr>
            <w:tcW w:w="2427" w:type="dxa"/>
            <w:tcBorders>
              <w:top w:val="nil"/>
              <w:left w:val="single" w:sz="4" w:space="0" w:color="auto"/>
              <w:bottom w:val="single" w:sz="4" w:space="0" w:color="auto"/>
              <w:right w:val="nil"/>
            </w:tcBorders>
            <w:shd w:val="clear" w:color="auto" w:fill="auto"/>
            <w:noWrap/>
            <w:vAlign w:val="center"/>
            <w:hideMark/>
          </w:tcPr>
          <w:p w14:paraId="1758175E" w14:textId="77777777" w:rsidR="001766D1" w:rsidRPr="001766D1" w:rsidRDefault="001766D1" w:rsidP="00234CBE">
            <w:pPr>
              <w:spacing w:line="276" w:lineRule="auto"/>
              <w:jc w:val="right"/>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Sala Constitucional</w:t>
            </w:r>
          </w:p>
        </w:tc>
        <w:tc>
          <w:tcPr>
            <w:tcW w:w="871" w:type="dxa"/>
            <w:tcBorders>
              <w:top w:val="nil"/>
              <w:left w:val="single" w:sz="4" w:space="0" w:color="auto"/>
              <w:bottom w:val="single" w:sz="4" w:space="0" w:color="auto"/>
              <w:right w:val="single" w:sz="4" w:space="0" w:color="auto"/>
            </w:tcBorders>
            <w:shd w:val="clear" w:color="auto" w:fill="auto"/>
            <w:noWrap/>
            <w:vAlign w:val="bottom"/>
            <w:hideMark/>
          </w:tcPr>
          <w:p w14:paraId="298533E9"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1863</w:t>
            </w:r>
          </w:p>
        </w:tc>
        <w:tc>
          <w:tcPr>
            <w:tcW w:w="872" w:type="dxa"/>
            <w:tcBorders>
              <w:top w:val="nil"/>
              <w:left w:val="nil"/>
              <w:bottom w:val="single" w:sz="4" w:space="0" w:color="auto"/>
              <w:right w:val="single" w:sz="4" w:space="0" w:color="auto"/>
            </w:tcBorders>
            <w:shd w:val="clear" w:color="auto" w:fill="auto"/>
            <w:noWrap/>
            <w:vAlign w:val="bottom"/>
            <w:hideMark/>
          </w:tcPr>
          <w:p w14:paraId="76254569"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2093</w:t>
            </w:r>
          </w:p>
        </w:tc>
        <w:tc>
          <w:tcPr>
            <w:tcW w:w="872" w:type="dxa"/>
            <w:tcBorders>
              <w:top w:val="nil"/>
              <w:left w:val="nil"/>
              <w:bottom w:val="single" w:sz="4" w:space="0" w:color="auto"/>
              <w:right w:val="single" w:sz="4" w:space="0" w:color="auto"/>
            </w:tcBorders>
            <w:shd w:val="clear" w:color="auto" w:fill="auto"/>
            <w:noWrap/>
            <w:vAlign w:val="bottom"/>
            <w:hideMark/>
          </w:tcPr>
          <w:p w14:paraId="0EE4D033"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2110</w:t>
            </w:r>
          </w:p>
        </w:tc>
        <w:tc>
          <w:tcPr>
            <w:tcW w:w="871" w:type="dxa"/>
            <w:tcBorders>
              <w:top w:val="nil"/>
              <w:left w:val="nil"/>
              <w:bottom w:val="single" w:sz="4" w:space="0" w:color="auto"/>
              <w:right w:val="single" w:sz="4" w:space="0" w:color="auto"/>
            </w:tcBorders>
            <w:shd w:val="clear" w:color="auto" w:fill="auto"/>
            <w:noWrap/>
            <w:vAlign w:val="bottom"/>
            <w:hideMark/>
          </w:tcPr>
          <w:p w14:paraId="7B13DC29"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2319</w:t>
            </w:r>
          </w:p>
        </w:tc>
        <w:tc>
          <w:tcPr>
            <w:tcW w:w="871" w:type="dxa"/>
            <w:tcBorders>
              <w:top w:val="nil"/>
              <w:left w:val="nil"/>
              <w:bottom w:val="single" w:sz="4" w:space="0" w:color="auto"/>
              <w:right w:val="single" w:sz="4" w:space="0" w:color="auto"/>
            </w:tcBorders>
            <w:shd w:val="clear" w:color="auto" w:fill="auto"/>
            <w:noWrap/>
            <w:vAlign w:val="bottom"/>
            <w:hideMark/>
          </w:tcPr>
          <w:p w14:paraId="43F21478"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3367</w:t>
            </w:r>
          </w:p>
        </w:tc>
        <w:tc>
          <w:tcPr>
            <w:tcW w:w="871" w:type="dxa"/>
            <w:tcBorders>
              <w:top w:val="nil"/>
              <w:left w:val="nil"/>
              <w:bottom w:val="single" w:sz="4" w:space="0" w:color="auto"/>
              <w:right w:val="single" w:sz="4" w:space="0" w:color="auto"/>
            </w:tcBorders>
            <w:shd w:val="clear" w:color="auto" w:fill="auto"/>
            <w:noWrap/>
            <w:vAlign w:val="bottom"/>
            <w:hideMark/>
          </w:tcPr>
          <w:p w14:paraId="390817EF"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2290</w:t>
            </w:r>
          </w:p>
        </w:tc>
        <w:tc>
          <w:tcPr>
            <w:tcW w:w="871" w:type="dxa"/>
            <w:tcBorders>
              <w:top w:val="nil"/>
              <w:left w:val="nil"/>
              <w:bottom w:val="single" w:sz="4" w:space="0" w:color="auto"/>
              <w:right w:val="single" w:sz="4" w:space="0" w:color="auto"/>
            </w:tcBorders>
            <w:shd w:val="clear" w:color="auto" w:fill="auto"/>
            <w:noWrap/>
            <w:vAlign w:val="bottom"/>
            <w:hideMark/>
          </w:tcPr>
          <w:p w14:paraId="068B0B96"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2028</w:t>
            </w:r>
          </w:p>
        </w:tc>
        <w:tc>
          <w:tcPr>
            <w:tcW w:w="872" w:type="dxa"/>
            <w:tcBorders>
              <w:top w:val="nil"/>
              <w:left w:val="nil"/>
              <w:bottom w:val="single" w:sz="4" w:space="0" w:color="auto"/>
              <w:right w:val="single" w:sz="4" w:space="0" w:color="auto"/>
            </w:tcBorders>
            <w:shd w:val="clear" w:color="auto" w:fill="auto"/>
            <w:noWrap/>
            <w:vAlign w:val="bottom"/>
            <w:hideMark/>
          </w:tcPr>
          <w:p w14:paraId="1F483237"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2430</w:t>
            </w:r>
          </w:p>
        </w:tc>
        <w:tc>
          <w:tcPr>
            <w:tcW w:w="873" w:type="dxa"/>
            <w:tcBorders>
              <w:top w:val="nil"/>
              <w:left w:val="nil"/>
              <w:bottom w:val="single" w:sz="4" w:space="0" w:color="auto"/>
              <w:right w:val="single" w:sz="4" w:space="0" w:color="auto"/>
            </w:tcBorders>
            <w:shd w:val="clear" w:color="auto" w:fill="auto"/>
            <w:noWrap/>
            <w:vAlign w:val="bottom"/>
            <w:hideMark/>
          </w:tcPr>
          <w:p w14:paraId="2FBB2EB7"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2032</w:t>
            </w:r>
          </w:p>
        </w:tc>
        <w:tc>
          <w:tcPr>
            <w:tcW w:w="872" w:type="dxa"/>
            <w:tcBorders>
              <w:top w:val="nil"/>
              <w:left w:val="nil"/>
              <w:bottom w:val="single" w:sz="4" w:space="0" w:color="auto"/>
              <w:right w:val="single" w:sz="4" w:space="0" w:color="auto"/>
            </w:tcBorders>
            <w:shd w:val="clear" w:color="auto" w:fill="auto"/>
            <w:noWrap/>
            <w:vAlign w:val="center"/>
            <w:hideMark/>
          </w:tcPr>
          <w:p w14:paraId="3AFBE7F1"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20532</w:t>
            </w:r>
          </w:p>
        </w:tc>
        <w:tc>
          <w:tcPr>
            <w:tcW w:w="146" w:type="dxa"/>
            <w:vAlign w:val="center"/>
            <w:hideMark/>
          </w:tcPr>
          <w:p w14:paraId="6CFDCAA3" w14:textId="77777777" w:rsidR="001766D1" w:rsidRPr="001766D1" w:rsidRDefault="001766D1" w:rsidP="00234CBE">
            <w:pPr>
              <w:spacing w:line="276" w:lineRule="auto"/>
              <w:rPr>
                <w:rFonts w:ascii="Times New Roman" w:hAnsi="Times New Roman"/>
                <w:sz w:val="20"/>
                <w:szCs w:val="20"/>
                <w:lang w:eastAsia="es-CR"/>
              </w:rPr>
            </w:pPr>
          </w:p>
        </w:tc>
      </w:tr>
      <w:tr w:rsidR="001766D1" w:rsidRPr="001766D1" w14:paraId="69B3E007" w14:textId="77777777" w:rsidTr="001766D1">
        <w:trPr>
          <w:trHeight w:val="247"/>
          <w:jc w:val="center"/>
        </w:trPr>
        <w:tc>
          <w:tcPr>
            <w:tcW w:w="2427" w:type="dxa"/>
            <w:tcBorders>
              <w:top w:val="nil"/>
              <w:left w:val="single" w:sz="4" w:space="0" w:color="auto"/>
              <w:bottom w:val="single" w:sz="4" w:space="0" w:color="auto"/>
              <w:right w:val="nil"/>
            </w:tcBorders>
            <w:shd w:val="clear" w:color="auto" w:fill="auto"/>
            <w:noWrap/>
            <w:vAlign w:val="center"/>
            <w:hideMark/>
          </w:tcPr>
          <w:p w14:paraId="28BA0220" w14:textId="77777777" w:rsidR="001766D1" w:rsidRPr="001766D1" w:rsidRDefault="001766D1" w:rsidP="00234CBE">
            <w:pPr>
              <w:spacing w:line="276" w:lineRule="auto"/>
              <w:jc w:val="right"/>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Tribunal Apelación Sentencia Penal</w:t>
            </w:r>
          </w:p>
        </w:tc>
        <w:tc>
          <w:tcPr>
            <w:tcW w:w="871" w:type="dxa"/>
            <w:tcBorders>
              <w:top w:val="nil"/>
              <w:left w:val="single" w:sz="4" w:space="0" w:color="auto"/>
              <w:bottom w:val="single" w:sz="4" w:space="0" w:color="auto"/>
              <w:right w:val="single" w:sz="4" w:space="0" w:color="auto"/>
            </w:tcBorders>
            <w:shd w:val="clear" w:color="auto" w:fill="auto"/>
            <w:noWrap/>
            <w:vAlign w:val="bottom"/>
            <w:hideMark/>
          </w:tcPr>
          <w:p w14:paraId="02F05727"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359</w:t>
            </w:r>
          </w:p>
        </w:tc>
        <w:tc>
          <w:tcPr>
            <w:tcW w:w="872" w:type="dxa"/>
            <w:tcBorders>
              <w:top w:val="nil"/>
              <w:left w:val="nil"/>
              <w:bottom w:val="single" w:sz="4" w:space="0" w:color="auto"/>
              <w:right w:val="single" w:sz="4" w:space="0" w:color="auto"/>
            </w:tcBorders>
            <w:shd w:val="clear" w:color="auto" w:fill="auto"/>
            <w:noWrap/>
            <w:vAlign w:val="bottom"/>
            <w:hideMark/>
          </w:tcPr>
          <w:p w14:paraId="594C1842"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345</w:t>
            </w:r>
          </w:p>
        </w:tc>
        <w:tc>
          <w:tcPr>
            <w:tcW w:w="872" w:type="dxa"/>
            <w:tcBorders>
              <w:top w:val="nil"/>
              <w:left w:val="nil"/>
              <w:bottom w:val="single" w:sz="4" w:space="0" w:color="auto"/>
              <w:right w:val="single" w:sz="4" w:space="0" w:color="auto"/>
            </w:tcBorders>
            <w:shd w:val="clear" w:color="auto" w:fill="auto"/>
            <w:noWrap/>
            <w:vAlign w:val="bottom"/>
            <w:hideMark/>
          </w:tcPr>
          <w:p w14:paraId="574B7272"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369</w:t>
            </w:r>
          </w:p>
        </w:tc>
        <w:tc>
          <w:tcPr>
            <w:tcW w:w="871" w:type="dxa"/>
            <w:tcBorders>
              <w:top w:val="nil"/>
              <w:left w:val="nil"/>
              <w:bottom w:val="single" w:sz="4" w:space="0" w:color="auto"/>
              <w:right w:val="single" w:sz="4" w:space="0" w:color="auto"/>
            </w:tcBorders>
            <w:shd w:val="clear" w:color="auto" w:fill="auto"/>
            <w:noWrap/>
            <w:vAlign w:val="bottom"/>
            <w:hideMark/>
          </w:tcPr>
          <w:p w14:paraId="0472616D"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336</w:t>
            </w:r>
          </w:p>
        </w:tc>
        <w:tc>
          <w:tcPr>
            <w:tcW w:w="871" w:type="dxa"/>
            <w:tcBorders>
              <w:top w:val="nil"/>
              <w:left w:val="nil"/>
              <w:bottom w:val="single" w:sz="4" w:space="0" w:color="auto"/>
              <w:right w:val="single" w:sz="4" w:space="0" w:color="auto"/>
            </w:tcBorders>
            <w:shd w:val="clear" w:color="auto" w:fill="auto"/>
            <w:noWrap/>
            <w:vAlign w:val="bottom"/>
            <w:hideMark/>
          </w:tcPr>
          <w:p w14:paraId="33103631"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362</w:t>
            </w:r>
          </w:p>
        </w:tc>
        <w:tc>
          <w:tcPr>
            <w:tcW w:w="871" w:type="dxa"/>
            <w:tcBorders>
              <w:top w:val="nil"/>
              <w:left w:val="nil"/>
              <w:bottom w:val="single" w:sz="4" w:space="0" w:color="auto"/>
              <w:right w:val="single" w:sz="4" w:space="0" w:color="auto"/>
            </w:tcBorders>
            <w:shd w:val="clear" w:color="auto" w:fill="auto"/>
            <w:noWrap/>
            <w:vAlign w:val="bottom"/>
            <w:hideMark/>
          </w:tcPr>
          <w:p w14:paraId="0FFBB3FF"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364</w:t>
            </w:r>
          </w:p>
        </w:tc>
        <w:tc>
          <w:tcPr>
            <w:tcW w:w="871" w:type="dxa"/>
            <w:tcBorders>
              <w:top w:val="nil"/>
              <w:left w:val="nil"/>
              <w:bottom w:val="single" w:sz="4" w:space="0" w:color="auto"/>
              <w:right w:val="single" w:sz="4" w:space="0" w:color="auto"/>
            </w:tcBorders>
            <w:shd w:val="clear" w:color="auto" w:fill="auto"/>
            <w:noWrap/>
            <w:vAlign w:val="bottom"/>
            <w:hideMark/>
          </w:tcPr>
          <w:p w14:paraId="4634E7F9"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307</w:t>
            </w:r>
          </w:p>
        </w:tc>
        <w:tc>
          <w:tcPr>
            <w:tcW w:w="872" w:type="dxa"/>
            <w:tcBorders>
              <w:top w:val="nil"/>
              <w:left w:val="nil"/>
              <w:bottom w:val="single" w:sz="4" w:space="0" w:color="auto"/>
              <w:right w:val="single" w:sz="4" w:space="0" w:color="auto"/>
            </w:tcBorders>
            <w:shd w:val="clear" w:color="auto" w:fill="auto"/>
            <w:noWrap/>
            <w:vAlign w:val="bottom"/>
            <w:hideMark/>
          </w:tcPr>
          <w:p w14:paraId="76B406FB"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357</w:t>
            </w:r>
          </w:p>
        </w:tc>
        <w:tc>
          <w:tcPr>
            <w:tcW w:w="873" w:type="dxa"/>
            <w:tcBorders>
              <w:top w:val="nil"/>
              <w:left w:val="nil"/>
              <w:bottom w:val="single" w:sz="4" w:space="0" w:color="auto"/>
              <w:right w:val="single" w:sz="4" w:space="0" w:color="auto"/>
            </w:tcBorders>
            <w:shd w:val="clear" w:color="auto" w:fill="auto"/>
            <w:noWrap/>
            <w:vAlign w:val="bottom"/>
            <w:hideMark/>
          </w:tcPr>
          <w:p w14:paraId="737CCEFB"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370</w:t>
            </w:r>
          </w:p>
        </w:tc>
        <w:tc>
          <w:tcPr>
            <w:tcW w:w="872" w:type="dxa"/>
            <w:tcBorders>
              <w:top w:val="nil"/>
              <w:left w:val="nil"/>
              <w:bottom w:val="single" w:sz="4" w:space="0" w:color="auto"/>
              <w:right w:val="single" w:sz="4" w:space="0" w:color="auto"/>
            </w:tcBorders>
            <w:shd w:val="clear" w:color="auto" w:fill="auto"/>
            <w:noWrap/>
            <w:vAlign w:val="center"/>
            <w:hideMark/>
          </w:tcPr>
          <w:p w14:paraId="161D6082"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3169</w:t>
            </w:r>
          </w:p>
        </w:tc>
        <w:tc>
          <w:tcPr>
            <w:tcW w:w="146" w:type="dxa"/>
            <w:vAlign w:val="center"/>
            <w:hideMark/>
          </w:tcPr>
          <w:p w14:paraId="000C0F4E" w14:textId="77777777" w:rsidR="001766D1" w:rsidRPr="001766D1" w:rsidRDefault="001766D1" w:rsidP="00234CBE">
            <w:pPr>
              <w:spacing w:line="276" w:lineRule="auto"/>
              <w:rPr>
                <w:rFonts w:ascii="Times New Roman" w:hAnsi="Times New Roman"/>
                <w:sz w:val="20"/>
                <w:szCs w:val="20"/>
                <w:lang w:eastAsia="es-CR"/>
              </w:rPr>
            </w:pPr>
          </w:p>
        </w:tc>
      </w:tr>
      <w:tr w:rsidR="001766D1" w:rsidRPr="001766D1" w14:paraId="549944C2" w14:textId="77777777" w:rsidTr="001766D1">
        <w:trPr>
          <w:trHeight w:val="247"/>
          <w:jc w:val="center"/>
        </w:trPr>
        <w:tc>
          <w:tcPr>
            <w:tcW w:w="2427" w:type="dxa"/>
            <w:tcBorders>
              <w:top w:val="nil"/>
              <w:left w:val="single" w:sz="4" w:space="0" w:color="auto"/>
              <w:bottom w:val="single" w:sz="4" w:space="0" w:color="auto"/>
              <w:right w:val="nil"/>
            </w:tcBorders>
            <w:shd w:val="clear" w:color="auto" w:fill="auto"/>
            <w:noWrap/>
            <w:vAlign w:val="center"/>
            <w:hideMark/>
          </w:tcPr>
          <w:p w14:paraId="34A64B54" w14:textId="77777777" w:rsidR="001766D1" w:rsidRPr="001766D1" w:rsidRDefault="001766D1" w:rsidP="00234CBE">
            <w:pPr>
              <w:spacing w:line="276" w:lineRule="auto"/>
              <w:jc w:val="right"/>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Tribunal Apelación Penal Juvenil</w:t>
            </w:r>
          </w:p>
        </w:tc>
        <w:tc>
          <w:tcPr>
            <w:tcW w:w="871" w:type="dxa"/>
            <w:tcBorders>
              <w:top w:val="nil"/>
              <w:left w:val="single" w:sz="4" w:space="0" w:color="auto"/>
              <w:bottom w:val="single" w:sz="4" w:space="0" w:color="auto"/>
              <w:right w:val="single" w:sz="4" w:space="0" w:color="auto"/>
            </w:tcBorders>
            <w:shd w:val="clear" w:color="auto" w:fill="auto"/>
            <w:noWrap/>
            <w:vAlign w:val="bottom"/>
            <w:hideMark/>
          </w:tcPr>
          <w:p w14:paraId="6AA4B45F"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19</w:t>
            </w:r>
          </w:p>
        </w:tc>
        <w:tc>
          <w:tcPr>
            <w:tcW w:w="872" w:type="dxa"/>
            <w:tcBorders>
              <w:top w:val="nil"/>
              <w:left w:val="nil"/>
              <w:bottom w:val="single" w:sz="4" w:space="0" w:color="auto"/>
              <w:right w:val="single" w:sz="4" w:space="0" w:color="auto"/>
            </w:tcBorders>
            <w:shd w:val="clear" w:color="auto" w:fill="auto"/>
            <w:noWrap/>
            <w:vAlign w:val="bottom"/>
            <w:hideMark/>
          </w:tcPr>
          <w:p w14:paraId="4BA89F11"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25</w:t>
            </w:r>
          </w:p>
        </w:tc>
        <w:tc>
          <w:tcPr>
            <w:tcW w:w="872" w:type="dxa"/>
            <w:tcBorders>
              <w:top w:val="nil"/>
              <w:left w:val="nil"/>
              <w:bottom w:val="single" w:sz="4" w:space="0" w:color="auto"/>
              <w:right w:val="single" w:sz="4" w:space="0" w:color="auto"/>
            </w:tcBorders>
            <w:shd w:val="clear" w:color="auto" w:fill="auto"/>
            <w:noWrap/>
            <w:vAlign w:val="bottom"/>
            <w:hideMark/>
          </w:tcPr>
          <w:p w14:paraId="1EEB2100"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28</w:t>
            </w:r>
          </w:p>
        </w:tc>
        <w:tc>
          <w:tcPr>
            <w:tcW w:w="871" w:type="dxa"/>
            <w:tcBorders>
              <w:top w:val="nil"/>
              <w:left w:val="nil"/>
              <w:bottom w:val="single" w:sz="4" w:space="0" w:color="auto"/>
              <w:right w:val="single" w:sz="4" w:space="0" w:color="auto"/>
            </w:tcBorders>
            <w:shd w:val="clear" w:color="auto" w:fill="auto"/>
            <w:noWrap/>
            <w:vAlign w:val="bottom"/>
            <w:hideMark/>
          </w:tcPr>
          <w:p w14:paraId="3D5DBDF7"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24</w:t>
            </w:r>
          </w:p>
        </w:tc>
        <w:tc>
          <w:tcPr>
            <w:tcW w:w="871" w:type="dxa"/>
            <w:tcBorders>
              <w:top w:val="nil"/>
              <w:left w:val="nil"/>
              <w:bottom w:val="single" w:sz="4" w:space="0" w:color="auto"/>
              <w:right w:val="single" w:sz="4" w:space="0" w:color="auto"/>
            </w:tcBorders>
            <w:shd w:val="clear" w:color="auto" w:fill="auto"/>
            <w:noWrap/>
            <w:vAlign w:val="bottom"/>
            <w:hideMark/>
          </w:tcPr>
          <w:p w14:paraId="504D72B6"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30</w:t>
            </w:r>
          </w:p>
        </w:tc>
        <w:tc>
          <w:tcPr>
            <w:tcW w:w="871" w:type="dxa"/>
            <w:tcBorders>
              <w:top w:val="nil"/>
              <w:left w:val="nil"/>
              <w:bottom w:val="single" w:sz="4" w:space="0" w:color="auto"/>
              <w:right w:val="single" w:sz="4" w:space="0" w:color="auto"/>
            </w:tcBorders>
            <w:shd w:val="clear" w:color="auto" w:fill="auto"/>
            <w:noWrap/>
            <w:vAlign w:val="bottom"/>
            <w:hideMark/>
          </w:tcPr>
          <w:p w14:paraId="4636A2FB"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32</w:t>
            </w:r>
          </w:p>
        </w:tc>
        <w:tc>
          <w:tcPr>
            <w:tcW w:w="871" w:type="dxa"/>
            <w:tcBorders>
              <w:top w:val="nil"/>
              <w:left w:val="nil"/>
              <w:bottom w:val="single" w:sz="4" w:space="0" w:color="auto"/>
              <w:right w:val="single" w:sz="4" w:space="0" w:color="auto"/>
            </w:tcBorders>
            <w:shd w:val="clear" w:color="auto" w:fill="auto"/>
            <w:noWrap/>
            <w:vAlign w:val="bottom"/>
            <w:hideMark/>
          </w:tcPr>
          <w:p w14:paraId="3917627B"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21</w:t>
            </w:r>
          </w:p>
        </w:tc>
        <w:tc>
          <w:tcPr>
            <w:tcW w:w="872" w:type="dxa"/>
            <w:tcBorders>
              <w:top w:val="nil"/>
              <w:left w:val="nil"/>
              <w:bottom w:val="single" w:sz="4" w:space="0" w:color="auto"/>
              <w:right w:val="single" w:sz="4" w:space="0" w:color="auto"/>
            </w:tcBorders>
            <w:shd w:val="clear" w:color="auto" w:fill="auto"/>
            <w:noWrap/>
            <w:vAlign w:val="bottom"/>
            <w:hideMark/>
          </w:tcPr>
          <w:p w14:paraId="5129E6B8"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22</w:t>
            </w:r>
          </w:p>
        </w:tc>
        <w:tc>
          <w:tcPr>
            <w:tcW w:w="873" w:type="dxa"/>
            <w:tcBorders>
              <w:top w:val="nil"/>
              <w:left w:val="nil"/>
              <w:bottom w:val="single" w:sz="4" w:space="0" w:color="auto"/>
              <w:right w:val="single" w:sz="4" w:space="0" w:color="auto"/>
            </w:tcBorders>
            <w:shd w:val="clear" w:color="auto" w:fill="auto"/>
            <w:noWrap/>
            <w:vAlign w:val="bottom"/>
            <w:hideMark/>
          </w:tcPr>
          <w:p w14:paraId="4F84F91C"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30</w:t>
            </w:r>
          </w:p>
        </w:tc>
        <w:tc>
          <w:tcPr>
            <w:tcW w:w="872" w:type="dxa"/>
            <w:tcBorders>
              <w:top w:val="nil"/>
              <w:left w:val="nil"/>
              <w:bottom w:val="single" w:sz="4" w:space="0" w:color="auto"/>
              <w:right w:val="single" w:sz="4" w:space="0" w:color="auto"/>
            </w:tcBorders>
            <w:shd w:val="clear" w:color="auto" w:fill="auto"/>
            <w:noWrap/>
            <w:vAlign w:val="center"/>
            <w:hideMark/>
          </w:tcPr>
          <w:p w14:paraId="3B557FF6"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231</w:t>
            </w:r>
          </w:p>
        </w:tc>
        <w:tc>
          <w:tcPr>
            <w:tcW w:w="146" w:type="dxa"/>
            <w:vAlign w:val="center"/>
            <w:hideMark/>
          </w:tcPr>
          <w:p w14:paraId="5A1AE392" w14:textId="77777777" w:rsidR="001766D1" w:rsidRPr="001766D1" w:rsidRDefault="001766D1" w:rsidP="00234CBE">
            <w:pPr>
              <w:spacing w:line="276" w:lineRule="auto"/>
              <w:rPr>
                <w:rFonts w:ascii="Times New Roman" w:hAnsi="Times New Roman"/>
                <w:sz w:val="20"/>
                <w:szCs w:val="20"/>
                <w:lang w:eastAsia="es-CR"/>
              </w:rPr>
            </w:pPr>
          </w:p>
        </w:tc>
      </w:tr>
      <w:tr w:rsidR="001766D1" w:rsidRPr="001766D1" w14:paraId="4F2B3327" w14:textId="77777777" w:rsidTr="001766D1">
        <w:trPr>
          <w:trHeight w:val="247"/>
          <w:jc w:val="center"/>
        </w:trPr>
        <w:tc>
          <w:tcPr>
            <w:tcW w:w="2427" w:type="dxa"/>
            <w:tcBorders>
              <w:top w:val="nil"/>
              <w:left w:val="single" w:sz="4" w:space="0" w:color="auto"/>
              <w:bottom w:val="single" w:sz="4" w:space="0" w:color="auto"/>
              <w:right w:val="nil"/>
            </w:tcBorders>
            <w:shd w:val="clear" w:color="auto" w:fill="auto"/>
            <w:noWrap/>
            <w:vAlign w:val="center"/>
            <w:hideMark/>
          </w:tcPr>
          <w:p w14:paraId="16EFB5D3" w14:textId="77777777" w:rsidR="001766D1" w:rsidRPr="001766D1" w:rsidRDefault="001766D1" w:rsidP="00234CBE">
            <w:pPr>
              <w:spacing w:line="276" w:lineRule="auto"/>
              <w:jc w:val="right"/>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Tribunal Apelación Civil</w:t>
            </w:r>
          </w:p>
        </w:tc>
        <w:tc>
          <w:tcPr>
            <w:tcW w:w="871" w:type="dxa"/>
            <w:tcBorders>
              <w:top w:val="nil"/>
              <w:left w:val="single" w:sz="4" w:space="0" w:color="auto"/>
              <w:bottom w:val="single" w:sz="4" w:space="0" w:color="auto"/>
              <w:right w:val="single" w:sz="4" w:space="0" w:color="auto"/>
            </w:tcBorders>
            <w:shd w:val="clear" w:color="auto" w:fill="auto"/>
            <w:noWrap/>
            <w:vAlign w:val="bottom"/>
            <w:hideMark/>
          </w:tcPr>
          <w:p w14:paraId="051F0FFC"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556</w:t>
            </w:r>
          </w:p>
        </w:tc>
        <w:tc>
          <w:tcPr>
            <w:tcW w:w="872" w:type="dxa"/>
            <w:tcBorders>
              <w:top w:val="nil"/>
              <w:left w:val="nil"/>
              <w:bottom w:val="single" w:sz="4" w:space="0" w:color="auto"/>
              <w:right w:val="single" w:sz="4" w:space="0" w:color="auto"/>
            </w:tcBorders>
            <w:shd w:val="clear" w:color="auto" w:fill="auto"/>
            <w:noWrap/>
            <w:vAlign w:val="bottom"/>
            <w:hideMark/>
          </w:tcPr>
          <w:p w14:paraId="13B4F018"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545</w:t>
            </w:r>
          </w:p>
        </w:tc>
        <w:tc>
          <w:tcPr>
            <w:tcW w:w="872" w:type="dxa"/>
            <w:tcBorders>
              <w:top w:val="nil"/>
              <w:left w:val="nil"/>
              <w:bottom w:val="single" w:sz="4" w:space="0" w:color="auto"/>
              <w:right w:val="single" w:sz="4" w:space="0" w:color="auto"/>
            </w:tcBorders>
            <w:shd w:val="clear" w:color="auto" w:fill="auto"/>
            <w:noWrap/>
            <w:vAlign w:val="bottom"/>
            <w:hideMark/>
          </w:tcPr>
          <w:p w14:paraId="1F6B8F61"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501</w:t>
            </w:r>
          </w:p>
        </w:tc>
        <w:tc>
          <w:tcPr>
            <w:tcW w:w="871" w:type="dxa"/>
            <w:tcBorders>
              <w:top w:val="nil"/>
              <w:left w:val="nil"/>
              <w:bottom w:val="single" w:sz="4" w:space="0" w:color="auto"/>
              <w:right w:val="single" w:sz="4" w:space="0" w:color="auto"/>
            </w:tcBorders>
            <w:shd w:val="clear" w:color="auto" w:fill="auto"/>
            <w:noWrap/>
            <w:vAlign w:val="bottom"/>
            <w:hideMark/>
          </w:tcPr>
          <w:p w14:paraId="7C683ABA"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528</w:t>
            </w:r>
          </w:p>
        </w:tc>
        <w:tc>
          <w:tcPr>
            <w:tcW w:w="871" w:type="dxa"/>
            <w:tcBorders>
              <w:top w:val="nil"/>
              <w:left w:val="nil"/>
              <w:bottom w:val="single" w:sz="4" w:space="0" w:color="auto"/>
              <w:right w:val="single" w:sz="4" w:space="0" w:color="auto"/>
            </w:tcBorders>
            <w:shd w:val="clear" w:color="auto" w:fill="auto"/>
            <w:noWrap/>
            <w:vAlign w:val="bottom"/>
            <w:hideMark/>
          </w:tcPr>
          <w:p w14:paraId="45A1DE24"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537</w:t>
            </w:r>
          </w:p>
        </w:tc>
        <w:tc>
          <w:tcPr>
            <w:tcW w:w="871" w:type="dxa"/>
            <w:tcBorders>
              <w:top w:val="nil"/>
              <w:left w:val="nil"/>
              <w:bottom w:val="single" w:sz="4" w:space="0" w:color="auto"/>
              <w:right w:val="single" w:sz="4" w:space="0" w:color="auto"/>
            </w:tcBorders>
            <w:shd w:val="clear" w:color="auto" w:fill="auto"/>
            <w:noWrap/>
            <w:vAlign w:val="bottom"/>
            <w:hideMark/>
          </w:tcPr>
          <w:p w14:paraId="6DD3EC8F"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501</w:t>
            </w:r>
          </w:p>
        </w:tc>
        <w:tc>
          <w:tcPr>
            <w:tcW w:w="871" w:type="dxa"/>
            <w:tcBorders>
              <w:top w:val="nil"/>
              <w:left w:val="nil"/>
              <w:bottom w:val="single" w:sz="4" w:space="0" w:color="auto"/>
              <w:right w:val="single" w:sz="4" w:space="0" w:color="auto"/>
            </w:tcBorders>
            <w:shd w:val="clear" w:color="auto" w:fill="auto"/>
            <w:noWrap/>
            <w:vAlign w:val="bottom"/>
            <w:hideMark/>
          </w:tcPr>
          <w:p w14:paraId="76270FD9"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499</w:t>
            </w:r>
          </w:p>
        </w:tc>
        <w:tc>
          <w:tcPr>
            <w:tcW w:w="872" w:type="dxa"/>
            <w:tcBorders>
              <w:top w:val="nil"/>
              <w:left w:val="nil"/>
              <w:bottom w:val="single" w:sz="4" w:space="0" w:color="auto"/>
              <w:right w:val="single" w:sz="4" w:space="0" w:color="auto"/>
            </w:tcBorders>
            <w:shd w:val="clear" w:color="auto" w:fill="auto"/>
            <w:noWrap/>
            <w:vAlign w:val="bottom"/>
            <w:hideMark/>
          </w:tcPr>
          <w:p w14:paraId="5397F93B"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551</w:t>
            </w:r>
          </w:p>
        </w:tc>
        <w:tc>
          <w:tcPr>
            <w:tcW w:w="873" w:type="dxa"/>
            <w:tcBorders>
              <w:top w:val="nil"/>
              <w:left w:val="nil"/>
              <w:bottom w:val="single" w:sz="4" w:space="0" w:color="auto"/>
              <w:right w:val="single" w:sz="4" w:space="0" w:color="auto"/>
            </w:tcBorders>
            <w:shd w:val="clear" w:color="auto" w:fill="auto"/>
            <w:noWrap/>
            <w:vAlign w:val="bottom"/>
            <w:hideMark/>
          </w:tcPr>
          <w:p w14:paraId="084140F3"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445</w:t>
            </w:r>
          </w:p>
        </w:tc>
        <w:tc>
          <w:tcPr>
            <w:tcW w:w="872" w:type="dxa"/>
            <w:tcBorders>
              <w:top w:val="nil"/>
              <w:left w:val="nil"/>
              <w:bottom w:val="single" w:sz="4" w:space="0" w:color="auto"/>
              <w:right w:val="single" w:sz="4" w:space="0" w:color="auto"/>
            </w:tcBorders>
            <w:shd w:val="clear" w:color="auto" w:fill="auto"/>
            <w:noWrap/>
            <w:vAlign w:val="center"/>
            <w:hideMark/>
          </w:tcPr>
          <w:p w14:paraId="4A656F10"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4663</w:t>
            </w:r>
          </w:p>
        </w:tc>
        <w:tc>
          <w:tcPr>
            <w:tcW w:w="146" w:type="dxa"/>
            <w:vAlign w:val="center"/>
            <w:hideMark/>
          </w:tcPr>
          <w:p w14:paraId="306288EA" w14:textId="77777777" w:rsidR="001766D1" w:rsidRPr="001766D1" w:rsidRDefault="001766D1" w:rsidP="00234CBE">
            <w:pPr>
              <w:spacing w:line="276" w:lineRule="auto"/>
              <w:rPr>
                <w:rFonts w:ascii="Times New Roman" w:hAnsi="Times New Roman"/>
                <w:sz w:val="20"/>
                <w:szCs w:val="20"/>
                <w:lang w:eastAsia="es-CR"/>
              </w:rPr>
            </w:pPr>
          </w:p>
        </w:tc>
      </w:tr>
      <w:tr w:rsidR="001766D1" w:rsidRPr="001766D1" w14:paraId="39F7ED2C" w14:textId="77777777" w:rsidTr="001766D1">
        <w:trPr>
          <w:trHeight w:val="247"/>
          <w:jc w:val="center"/>
        </w:trPr>
        <w:tc>
          <w:tcPr>
            <w:tcW w:w="2427" w:type="dxa"/>
            <w:tcBorders>
              <w:top w:val="nil"/>
              <w:left w:val="single" w:sz="4" w:space="0" w:color="auto"/>
              <w:bottom w:val="single" w:sz="4" w:space="0" w:color="auto"/>
              <w:right w:val="nil"/>
            </w:tcBorders>
            <w:shd w:val="clear" w:color="auto" w:fill="auto"/>
            <w:noWrap/>
            <w:vAlign w:val="center"/>
            <w:hideMark/>
          </w:tcPr>
          <w:p w14:paraId="47563735" w14:textId="77777777" w:rsidR="001766D1" w:rsidRPr="001766D1" w:rsidRDefault="001766D1" w:rsidP="00234CBE">
            <w:pPr>
              <w:spacing w:line="276" w:lineRule="auto"/>
              <w:jc w:val="right"/>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Tribunal Apelación Laboral</w:t>
            </w:r>
          </w:p>
        </w:tc>
        <w:tc>
          <w:tcPr>
            <w:tcW w:w="871" w:type="dxa"/>
            <w:tcBorders>
              <w:top w:val="nil"/>
              <w:left w:val="single" w:sz="4" w:space="0" w:color="auto"/>
              <w:bottom w:val="single" w:sz="4" w:space="0" w:color="auto"/>
              <w:right w:val="single" w:sz="4" w:space="0" w:color="auto"/>
            </w:tcBorders>
            <w:shd w:val="clear" w:color="auto" w:fill="auto"/>
            <w:noWrap/>
            <w:vAlign w:val="bottom"/>
            <w:hideMark/>
          </w:tcPr>
          <w:p w14:paraId="5190D680"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358</w:t>
            </w:r>
          </w:p>
        </w:tc>
        <w:tc>
          <w:tcPr>
            <w:tcW w:w="872" w:type="dxa"/>
            <w:tcBorders>
              <w:top w:val="nil"/>
              <w:left w:val="nil"/>
              <w:bottom w:val="single" w:sz="4" w:space="0" w:color="auto"/>
              <w:right w:val="single" w:sz="4" w:space="0" w:color="auto"/>
            </w:tcBorders>
            <w:shd w:val="clear" w:color="auto" w:fill="auto"/>
            <w:noWrap/>
            <w:vAlign w:val="bottom"/>
            <w:hideMark/>
          </w:tcPr>
          <w:p w14:paraId="3C81DC12"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382</w:t>
            </w:r>
          </w:p>
        </w:tc>
        <w:tc>
          <w:tcPr>
            <w:tcW w:w="872" w:type="dxa"/>
            <w:tcBorders>
              <w:top w:val="nil"/>
              <w:left w:val="nil"/>
              <w:bottom w:val="single" w:sz="4" w:space="0" w:color="auto"/>
              <w:right w:val="single" w:sz="4" w:space="0" w:color="auto"/>
            </w:tcBorders>
            <w:shd w:val="clear" w:color="auto" w:fill="auto"/>
            <w:noWrap/>
            <w:vAlign w:val="bottom"/>
            <w:hideMark/>
          </w:tcPr>
          <w:p w14:paraId="5CE463C5"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344</w:t>
            </w:r>
          </w:p>
        </w:tc>
        <w:tc>
          <w:tcPr>
            <w:tcW w:w="871" w:type="dxa"/>
            <w:tcBorders>
              <w:top w:val="nil"/>
              <w:left w:val="nil"/>
              <w:bottom w:val="single" w:sz="4" w:space="0" w:color="auto"/>
              <w:right w:val="single" w:sz="4" w:space="0" w:color="auto"/>
            </w:tcBorders>
            <w:shd w:val="clear" w:color="auto" w:fill="auto"/>
            <w:noWrap/>
            <w:vAlign w:val="bottom"/>
            <w:hideMark/>
          </w:tcPr>
          <w:p w14:paraId="40D4767A"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347</w:t>
            </w:r>
          </w:p>
        </w:tc>
        <w:tc>
          <w:tcPr>
            <w:tcW w:w="871" w:type="dxa"/>
            <w:tcBorders>
              <w:top w:val="nil"/>
              <w:left w:val="nil"/>
              <w:bottom w:val="single" w:sz="4" w:space="0" w:color="auto"/>
              <w:right w:val="single" w:sz="4" w:space="0" w:color="auto"/>
            </w:tcBorders>
            <w:shd w:val="clear" w:color="auto" w:fill="auto"/>
            <w:noWrap/>
            <w:vAlign w:val="bottom"/>
            <w:hideMark/>
          </w:tcPr>
          <w:p w14:paraId="31D1EE1A"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389</w:t>
            </w:r>
          </w:p>
        </w:tc>
        <w:tc>
          <w:tcPr>
            <w:tcW w:w="871" w:type="dxa"/>
            <w:tcBorders>
              <w:top w:val="nil"/>
              <w:left w:val="nil"/>
              <w:bottom w:val="single" w:sz="4" w:space="0" w:color="auto"/>
              <w:right w:val="single" w:sz="4" w:space="0" w:color="auto"/>
            </w:tcBorders>
            <w:shd w:val="clear" w:color="auto" w:fill="auto"/>
            <w:noWrap/>
            <w:vAlign w:val="bottom"/>
            <w:hideMark/>
          </w:tcPr>
          <w:p w14:paraId="5DA835BB"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371</w:t>
            </w:r>
          </w:p>
        </w:tc>
        <w:tc>
          <w:tcPr>
            <w:tcW w:w="871" w:type="dxa"/>
            <w:tcBorders>
              <w:top w:val="nil"/>
              <w:left w:val="nil"/>
              <w:bottom w:val="single" w:sz="4" w:space="0" w:color="auto"/>
              <w:right w:val="single" w:sz="4" w:space="0" w:color="auto"/>
            </w:tcBorders>
            <w:shd w:val="clear" w:color="auto" w:fill="auto"/>
            <w:noWrap/>
            <w:vAlign w:val="bottom"/>
            <w:hideMark/>
          </w:tcPr>
          <w:p w14:paraId="1922426B"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388</w:t>
            </w:r>
          </w:p>
        </w:tc>
        <w:tc>
          <w:tcPr>
            <w:tcW w:w="872" w:type="dxa"/>
            <w:tcBorders>
              <w:top w:val="nil"/>
              <w:left w:val="nil"/>
              <w:bottom w:val="single" w:sz="4" w:space="0" w:color="auto"/>
              <w:right w:val="single" w:sz="4" w:space="0" w:color="auto"/>
            </w:tcBorders>
            <w:shd w:val="clear" w:color="auto" w:fill="auto"/>
            <w:noWrap/>
            <w:vAlign w:val="bottom"/>
            <w:hideMark/>
          </w:tcPr>
          <w:p w14:paraId="525AC389"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334</w:t>
            </w:r>
          </w:p>
        </w:tc>
        <w:tc>
          <w:tcPr>
            <w:tcW w:w="873" w:type="dxa"/>
            <w:tcBorders>
              <w:top w:val="nil"/>
              <w:left w:val="nil"/>
              <w:bottom w:val="single" w:sz="4" w:space="0" w:color="auto"/>
              <w:right w:val="single" w:sz="4" w:space="0" w:color="auto"/>
            </w:tcBorders>
            <w:shd w:val="clear" w:color="auto" w:fill="auto"/>
            <w:noWrap/>
            <w:vAlign w:val="bottom"/>
            <w:hideMark/>
          </w:tcPr>
          <w:p w14:paraId="7F0C2F3D"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335</w:t>
            </w:r>
          </w:p>
        </w:tc>
        <w:tc>
          <w:tcPr>
            <w:tcW w:w="872" w:type="dxa"/>
            <w:tcBorders>
              <w:top w:val="nil"/>
              <w:left w:val="nil"/>
              <w:bottom w:val="single" w:sz="4" w:space="0" w:color="auto"/>
              <w:right w:val="single" w:sz="4" w:space="0" w:color="auto"/>
            </w:tcBorders>
            <w:shd w:val="clear" w:color="auto" w:fill="auto"/>
            <w:noWrap/>
            <w:vAlign w:val="center"/>
            <w:hideMark/>
          </w:tcPr>
          <w:p w14:paraId="117D3A83"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3248</w:t>
            </w:r>
          </w:p>
        </w:tc>
        <w:tc>
          <w:tcPr>
            <w:tcW w:w="146" w:type="dxa"/>
            <w:vAlign w:val="center"/>
            <w:hideMark/>
          </w:tcPr>
          <w:p w14:paraId="0C3A771B" w14:textId="77777777" w:rsidR="001766D1" w:rsidRPr="001766D1" w:rsidRDefault="001766D1" w:rsidP="00234CBE">
            <w:pPr>
              <w:spacing w:line="276" w:lineRule="auto"/>
              <w:rPr>
                <w:rFonts w:ascii="Times New Roman" w:hAnsi="Times New Roman"/>
                <w:sz w:val="20"/>
                <w:szCs w:val="20"/>
                <w:lang w:eastAsia="es-CR"/>
              </w:rPr>
            </w:pPr>
          </w:p>
        </w:tc>
      </w:tr>
      <w:tr w:rsidR="001766D1" w:rsidRPr="001766D1" w14:paraId="37D020EA" w14:textId="77777777" w:rsidTr="001766D1">
        <w:trPr>
          <w:trHeight w:val="247"/>
          <w:jc w:val="center"/>
        </w:trPr>
        <w:tc>
          <w:tcPr>
            <w:tcW w:w="2427" w:type="dxa"/>
            <w:tcBorders>
              <w:top w:val="nil"/>
              <w:left w:val="single" w:sz="4" w:space="0" w:color="auto"/>
              <w:bottom w:val="single" w:sz="4" w:space="0" w:color="auto"/>
              <w:right w:val="nil"/>
            </w:tcBorders>
            <w:shd w:val="clear" w:color="auto" w:fill="auto"/>
            <w:noWrap/>
            <w:vAlign w:val="center"/>
            <w:hideMark/>
          </w:tcPr>
          <w:p w14:paraId="77528AD2" w14:textId="77777777" w:rsidR="001766D1" w:rsidRPr="001766D1" w:rsidRDefault="001766D1" w:rsidP="00234CBE">
            <w:pPr>
              <w:spacing w:line="276" w:lineRule="auto"/>
              <w:jc w:val="right"/>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Tribunal Agrario</w:t>
            </w:r>
          </w:p>
        </w:tc>
        <w:tc>
          <w:tcPr>
            <w:tcW w:w="871" w:type="dxa"/>
            <w:tcBorders>
              <w:top w:val="nil"/>
              <w:left w:val="single" w:sz="4" w:space="0" w:color="auto"/>
              <w:bottom w:val="single" w:sz="4" w:space="0" w:color="auto"/>
              <w:right w:val="single" w:sz="4" w:space="0" w:color="auto"/>
            </w:tcBorders>
            <w:shd w:val="clear" w:color="auto" w:fill="auto"/>
            <w:noWrap/>
            <w:vAlign w:val="bottom"/>
            <w:hideMark/>
          </w:tcPr>
          <w:p w14:paraId="34A49253"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92</w:t>
            </w:r>
          </w:p>
        </w:tc>
        <w:tc>
          <w:tcPr>
            <w:tcW w:w="872" w:type="dxa"/>
            <w:tcBorders>
              <w:top w:val="nil"/>
              <w:left w:val="nil"/>
              <w:bottom w:val="single" w:sz="4" w:space="0" w:color="auto"/>
              <w:right w:val="single" w:sz="4" w:space="0" w:color="auto"/>
            </w:tcBorders>
            <w:shd w:val="clear" w:color="auto" w:fill="auto"/>
            <w:noWrap/>
            <w:vAlign w:val="bottom"/>
            <w:hideMark/>
          </w:tcPr>
          <w:p w14:paraId="288E53B2"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101</w:t>
            </w:r>
          </w:p>
        </w:tc>
        <w:tc>
          <w:tcPr>
            <w:tcW w:w="872" w:type="dxa"/>
            <w:tcBorders>
              <w:top w:val="nil"/>
              <w:left w:val="nil"/>
              <w:bottom w:val="single" w:sz="4" w:space="0" w:color="auto"/>
              <w:right w:val="single" w:sz="4" w:space="0" w:color="auto"/>
            </w:tcBorders>
            <w:shd w:val="clear" w:color="auto" w:fill="auto"/>
            <w:noWrap/>
            <w:vAlign w:val="bottom"/>
            <w:hideMark/>
          </w:tcPr>
          <w:p w14:paraId="772D8976"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94</w:t>
            </w:r>
          </w:p>
        </w:tc>
        <w:tc>
          <w:tcPr>
            <w:tcW w:w="871" w:type="dxa"/>
            <w:tcBorders>
              <w:top w:val="nil"/>
              <w:left w:val="nil"/>
              <w:bottom w:val="single" w:sz="4" w:space="0" w:color="auto"/>
              <w:right w:val="single" w:sz="4" w:space="0" w:color="auto"/>
            </w:tcBorders>
            <w:shd w:val="clear" w:color="auto" w:fill="auto"/>
            <w:noWrap/>
            <w:vAlign w:val="bottom"/>
            <w:hideMark/>
          </w:tcPr>
          <w:p w14:paraId="28FF5DBE"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98</w:t>
            </w:r>
          </w:p>
        </w:tc>
        <w:tc>
          <w:tcPr>
            <w:tcW w:w="871" w:type="dxa"/>
            <w:tcBorders>
              <w:top w:val="nil"/>
              <w:left w:val="nil"/>
              <w:bottom w:val="single" w:sz="4" w:space="0" w:color="auto"/>
              <w:right w:val="single" w:sz="4" w:space="0" w:color="auto"/>
            </w:tcBorders>
            <w:shd w:val="clear" w:color="auto" w:fill="auto"/>
            <w:noWrap/>
            <w:vAlign w:val="bottom"/>
            <w:hideMark/>
          </w:tcPr>
          <w:p w14:paraId="67BC0ED3"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92</w:t>
            </w:r>
          </w:p>
        </w:tc>
        <w:tc>
          <w:tcPr>
            <w:tcW w:w="871" w:type="dxa"/>
            <w:tcBorders>
              <w:top w:val="nil"/>
              <w:left w:val="nil"/>
              <w:bottom w:val="single" w:sz="4" w:space="0" w:color="auto"/>
              <w:right w:val="single" w:sz="4" w:space="0" w:color="auto"/>
            </w:tcBorders>
            <w:shd w:val="clear" w:color="auto" w:fill="auto"/>
            <w:noWrap/>
            <w:vAlign w:val="bottom"/>
            <w:hideMark/>
          </w:tcPr>
          <w:p w14:paraId="34919576"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102</w:t>
            </w:r>
          </w:p>
        </w:tc>
        <w:tc>
          <w:tcPr>
            <w:tcW w:w="871" w:type="dxa"/>
            <w:tcBorders>
              <w:top w:val="nil"/>
              <w:left w:val="nil"/>
              <w:bottom w:val="single" w:sz="4" w:space="0" w:color="auto"/>
              <w:right w:val="single" w:sz="4" w:space="0" w:color="auto"/>
            </w:tcBorders>
            <w:shd w:val="clear" w:color="auto" w:fill="auto"/>
            <w:noWrap/>
            <w:vAlign w:val="bottom"/>
            <w:hideMark/>
          </w:tcPr>
          <w:p w14:paraId="501F9D6B"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97</w:t>
            </w:r>
          </w:p>
        </w:tc>
        <w:tc>
          <w:tcPr>
            <w:tcW w:w="872" w:type="dxa"/>
            <w:tcBorders>
              <w:top w:val="nil"/>
              <w:left w:val="nil"/>
              <w:bottom w:val="single" w:sz="4" w:space="0" w:color="auto"/>
              <w:right w:val="single" w:sz="4" w:space="0" w:color="auto"/>
            </w:tcBorders>
            <w:shd w:val="clear" w:color="auto" w:fill="auto"/>
            <w:noWrap/>
            <w:vAlign w:val="bottom"/>
            <w:hideMark/>
          </w:tcPr>
          <w:p w14:paraId="67E6EBA2"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123</w:t>
            </w:r>
          </w:p>
        </w:tc>
        <w:tc>
          <w:tcPr>
            <w:tcW w:w="873" w:type="dxa"/>
            <w:tcBorders>
              <w:top w:val="nil"/>
              <w:left w:val="nil"/>
              <w:bottom w:val="single" w:sz="4" w:space="0" w:color="auto"/>
              <w:right w:val="single" w:sz="4" w:space="0" w:color="auto"/>
            </w:tcBorders>
            <w:shd w:val="clear" w:color="auto" w:fill="auto"/>
            <w:noWrap/>
            <w:vAlign w:val="bottom"/>
            <w:hideMark/>
          </w:tcPr>
          <w:p w14:paraId="20EA96EC"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119</w:t>
            </w:r>
          </w:p>
        </w:tc>
        <w:tc>
          <w:tcPr>
            <w:tcW w:w="872" w:type="dxa"/>
            <w:tcBorders>
              <w:top w:val="nil"/>
              <w:left w:val="nil"/>
              <w:bottom w:val="single" w:sz="4" w:space="0" w:color="auto"/>
              <w:right w:val="single" w:sz="4" w:space="0" w:color="auto"/>
            </w:tcBorders>
            <w:shd w:val="clear" w:color="auto" w:fill="auto"/>
            <w:noWrap/>
            <w:vAlign w:val="center"/>
            <w:hideMark/>
          </w:tcPr>
          <w:p w14:paraId="62AC92E1"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918</w:t>
            </w:r>
          </w:p>
        </w:tc>
        <w:tc>
          <w:tcPr>
            <w:tcW w:w="146" w:type="dxa"/>
            <w:vAlign w:val="center"/>
            <w:hideMark/>
          </w:tcPr>
          <w:p w14:paraId="118BB5F5" w14:textId="77777777" w:rsidR="001766D1" w:rsidRPr="001766D1" w:rsidRDefault="001766D1" w:rsidP="00234CBE">
            <w:pPr>
              <w:spacing w:line="276" w:lineRule="auto"/>
              <w:rPr>
                <w:rFonts w:ascii="Times New Roman" w:hAnsi="Times New Roman"/>
                <w:sz w:val="20"/>
                <w:szCs w:val="20"/>
                <w:lang w:eastAsia="es-CR"/>
              </w:rPr>
            </w:pPr>
          </w:p>
        </w:tc>
      </w:tr>
      <w:tr w:rsidR="001766D1" w:rsidRPr="001766D1" w14:paraId="7A4DEC45" w14:textId="77777777" w:rsidTr="001766D1">
        <w:trPr>
          <w:trHeight w:val="247"/>
          <w:jc w:val="center"/>
        </w:trPr>
        <w:tc>
          <w:tcPr>
            <w:tcW w:w="2427" w:type="dxa"/>
            <w:tcBorders>
              <w:top w:val="nil"/>
              <w:left w:val="single" w:sz="4" w:space="0" w:color="auto"/>
              <w:bottom w:val="single" w:sz="4" w:space="0" w:color="auto"/>
              <w:right w:val="nil"/>
            </w:tcBorders>
            <w:shd w:val="clear" w:color="auto" w:fill="auto"/>
            <w:noWrap/>
            <w:vAlign w:val="center"/>
            <w:hideMark/>
          </w:tcPr>
          <w:p w14:paraId="468B9197" w14:textId="77777777" w:rsidR="001766D1" w:rsidRPr="001766D1" w:rsidRDefault="001766D1" w:rsidP="00234CBE">
            <w:pPr>
              <w:spacing w:line="276" w:lineRule="auto"/>
              <w:jc w:val="right"/>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Tribunal de Familia</w:t>
            </w:r>
          </w:p>
        </w:tc>
        <w:tc>
          <w:tcPr>
            <w:tcW w:w="871" w:type="dxa"/>
            <w:tcBorders>
              <w:top w:val="nil"/>
              <w:left w:val="single" w:sz="4" w:space="0" w:color="auto"/>
              <w:bottom w:val="single" w:sz="4" w:space="0" w:color="auto"/>
              <w:right w:val="single" w:sz="4" w:space="0" w:color="auto"/>
            </w:tcBorders>
            <w:shd w:val="clear" w:color="auto" w:fill="auto"/>
            <w:noWrap/>
            <w:vAlign w:val="bottom"/>
            <w:hideMark/>
          </w:tcPr>
          <w:p w14:paraId="735D2CDD"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156</w:t>
            </w:r>
          </w:p>
        </w:tc>
        <w:tc>
          <w:tcPr>
            <w:tcW w:w="872" w:type="dxa"/>
            <w:tcBorders>
              <w:top w:val="nil"/>
              <w:left w:val="nil"/>
              <w:bottom w:val="single" w:sz="4" w:space="0" w:color="auto"/>
              <w:right w:val="single" w:sz="4" w:space="0" w:color="auto"/>
            </w:tcBorders>
            <w:shd w:val="clear" w:color="auto" w:fill="auto"/>
            <w:noWrap/>
            <w:vAlign w:val="bottom"/>
            <w:hideMark/>
          </w:tcPr>
          <w:p w14:paraId="588F0069"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161</w:t>
            </w:r>
          </w:p>
        </w:tc>
        <w:tc>
          <w:tcPr>
            <w:tcW w:w="872" w:type="dxa"/>
            <w:tcBorders>
              <w:top w:val="nil"/>
              <w:left w:val="nil"/>
              <w:bottom w:val="single" w:sz="4" w:space="0" w:color="auto"/>
              <w:right w:val="single" w:sz="4" w:space="0" w:color="auto"/>
            </w:tcBorders>
            <w:shd w:val="clear" w:color="auto" w:fill="auto"/>
            <w:noWrap/>
            <w:vAlign w:val="bottom"/>
            <w:hideMark/>
          </w:tcPr>
          <w:p w14:paraId="010FAC2B"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153</w:t>
            </w:r>
          </w:p>
        </w:tc>
        <w:tc>
          <w:tcPr>
            <w:tcW w:w="871" w:type="dxa"/>
            <w:tcBorders>
              <w:top w:val="nil"/>
              <w:left w:val="nil"/>
              <w:bottom w:val="single" w:sz="4" w:space="0" w:color="auto"/>
              <w:right w:val="single" w:sz="4" w:space="0" w:color="auto"/>
            </w:tcBorders>
            <w:shd w:val="clear" w:color="auto" w:fill="auto"/>
            <w:noWrap/>
            <w:vAlign w:val="bottom"/>
            <w:hideMark/>
          </w:tcPr>
          <w:p w14:paraId="514C8FF0"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147</w:t>
            </w:r>
          </w:p>
        </w:tc>
        <w:tc>
          <w:tcPr>
            <w:tcW w:w="871" w:type="dxa"/>
            <w:tcBorders>
              <w:top w:val="nil"/>
              <w:left w:val="nil"/>
              <w:bottom w:val="single" w:sz="4" w:space="0" w:color="auto"/>
              <w:right w:val="single" w:sz="4" w:space="0" w:color="auto"/>
            </w:tcBorders>
            <w:shd w:val="clear" w:color="auto" w:fill="auto"/>
            <w:noWrap/>
            <w:vAlign w:val="bottom"/>
            <w:hideMark/>
          </w:tcPr>
          <w:p w14:paraId="013ACB60"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132</w:t>
            </w:r>
          </w:p>
        </w:tc>
        <w:tc>
          <w:tcPr>
            <w:tcW w:w="871" w:type="dxa"/>
            <w:tcBorders>
              <w:top w:val="nil"/>
              <w:left w:val="nil"/>
              <w:bottom w:val="single" w:sz="4" w:space="0" w:color="auto"/>
              <w:right w:val="single" w:sz="4" w:space="0" w:color="auto"/>
            </w:tcBorders>
            <w:shd w:val="clear" w:color="auto" w:fill="auto"/>
            <w:noWrap/>
            <w:vAlign w:val="bottom"/>
            <w:hideMark/>
          </w:tcPr>
          <w:p w14:paraId="4798D101"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227</w:t>
            </w:r>
          </w:p>
        </w:tc>
        <w:tc>
          <w:tcPr>
            <w:tcW w:w="871" w:type="dxa"/>
            <w:tcBorders>
              <w:top w:val="nil"/>
              <w:left w:val="nil"/>
              <w:bottom w:val="single" w:sz="4" w:space="0" w:color="auto"/>
              <w:right w:val="single" w:sz="4" w:space="0" w:color="auto"/>
            </w:tcBorders>
            <w:shd w:val="clear" w:color="auto" w:fill="auto"/>
            <w:noWrap/>
            <w:vAlign w:val="bottom"/>
            <w:hideMark/>
          </w:tcPr>
          <w:p w14:paraId="4C96F6DE"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161</w:t>
            </w:r>
          </w:p>
        </w:tc>
        <w:tc>
          <w:tcPr>
            <w:tcW w:w="872" w:type="dxa"/>
            <w:tcBorders>
              <w:top w:val="nil"/>
              <w:left w:val="nil"/>
              <w:bottom w:val="single" w:sz="4" w:space="0" w:color="auto"/>
              <w:right w:val="single" w:sz="4" w:space="0" w:color="auto"/>
            </w:tcBorders>
            <w:shd w:val="clear" w:color="auto" w:fill="auto"/>
            <w:noWrap/>
            <w:vAlign w:val="bottom"/>
            <w:hideMark/>
          </w:tcPr>
          <w:p w14:paraId="56899058"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152</w:t>
            </w:r>
          </w:p>
        </w:tc>
        <w:tc>
          <w:tcPr>
            <w:tcW w:w="873" w:type="dxa"/>
            <w:tcBorders>
              <w:top w:val="nil"/>
              <w:left w:val="nil"/>
              <w:bottom w:val="single" w:sz="4" w:space="0" w:color="auto"/>
              <w:right w:val="single" w:sz="4" w:space="0" w:color="auto"/>
            </w:tcBorders>
            <w:shd w:val="clear" w:color="auto" w:fill="auto"/>
            <w:noWrap/>
            <w:vAlign w:val="bottom"/>
            <w:hideMark/>
          </w:tcPr>
          <w:p w14:paraId="767356CF"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163</w:t>
            </w:r>
          </w:p>
        </w:tc>
        <w:tc>
          <w:tcPr>
            <w:tcW w:w="872" w:type="dxa"/>
            <w:tcBorders>
              <w:top w:val="nil"/>
              <w:left w:val="nil"/>
              <w:bottom w:val="single" w:sz="4" w:space="0" w:color="auto"/>
              <w:right w:val="single" w:sz="4" w:space="0" w:color="auto"/>
            </w:tcBorders>
            <w:shd w:val="clear" w:color="auto" w:fill="auto"/>
            <w:noWrap/>
            <w:vAlign w:val="center"/>
            <w:hideMark/>
          </w:tcPr>
          <w:p w14:paraId="41D6310B"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1452</w:t>
            </w:r>
          </w:p>
        </w:tc>
        <w:tc>
          <w:tcPr>
            <w:tcW w:w="146" w:type="dxa"/>
            <w:vAlign w:val="center"/>
            <w:hideMark/>
          </w:tcPr>
          <w:p w14:paraId="512457EC" w14:textId="77777777" w:rsidR="001766D1" w:rsidRPr="001766D1" w:rsidRDefault="001766D1" w:rsidP="00234CBE">
            <w:pPr>
              <w:spacing w:line="276" w:lineRule="auto"/>
              <w:rPr>
                <w:rFonts w:ascii="Times New Roman" w:hAnsi="Times New Roman"/>
                <w:sz w:val="20"/>
                <w:szCs w:val="20"/>
                <w:lang w:eastAsia="es-CR"/>
              </w:rPr>
            </w:pPr>
          </w:p>
        </w:tc>
      </w:tr>
      <w:tr w:rsidR="001766D1" w:rsidRPr="001766D1" w14:paraId="440B82BE" w14:textId="77777777" w:rsidTr="001766D1">
        <w:trPr>
          <w:trHeight w:val="247"/>
          <w:jc w:val="center"/>
        </w:trPr>
        <w:tc>
          <w:tcPr>
            <w:tcW w:w="2427" w:type="dxa"/>
            <w:tcBorders>
              <w:top w:val="nil"/>
              <w:left w:val="single" w:sz="4" w:space="0" w:color="auto"/>
              <w:bottom w:val="single" w:sz="4" w:space="0" w:color="auto"/>
              <w:right w:val="nil"/>
            </w:tcBorders>
            <w:shd w:val="clear" w:color="auto" w:fill="auto"/>
            <w:noWrap/>
            <w:vAlign w:val="center"/>
            <w:hideMark/>
          </w:tcPr>
          <w:p w14:paraId="1A6E16B8" w14:textId="77777777" w:rsidR="001766D1" w:rsidRPr="001766D1" w:rsidRDefault="001766D1" w:rsidP="00234CBE">
            <w:pPr>
              <w:spacing w:line="276" w:lineRule="auto"/>
              <w:jc w:val="right"/>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Tribunal Apelación (1120)</w:t>
            </w:r>
          </w:p>
        </w:tc>
        <w:tc>
          <w:tcPr>
            <w:tcW w:w="871" w:type="dxa"/>
            <w:tcBorders>
              <w:top w:val="nil"/>
              <w:left w:val="single" w:sz="4" w:space="0" w:color="auto"/>
              <w:bottom w:val="single" w:sz="4" w:space="0" w:color="auto"/>
              <w:right w:val="single" w:sz="4" w:space="0" w:color="auto"/>
            </w:tcBorders>
            <w:shd w:val="clear" w:color="auto" w:fill="auto"/>
            <w:noWrap/>
            <w:vAlign w:val="bottom"/>
            <w:hideMark/>
          </w:tcPr>
          <w:p w14:paraId="0C6A49DE"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71</w:t>
            </w:r>
          </w:p>
        </w:tc>
        <w:tc>
          <w:tcPr>
            <w:tcW w:w="872" w:type="dxa"/>
            <w:tcBorders>
              <w:top w:val="nil"/>
              <w:left w:val="nil"/>
              <w:bottom w:val="single" w:sz="4" w:space="0" w:color="auto"/>
              <w:right w:val="single" w:sz="4" w:space="0" w:color="auto"/>
            </w:tcBorders>
            <w:shd w:val="clear" w:color="auto" w:fill="auto"/>
            <w:noWrap/>
            <w:vAlign w:val="bottom"/>
            <w:hideMark/>
          </w:tcPr>
          <w:p w14:paraId="64A085E4"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80</w:t>
            </w:r>
          </w:p>
        </w:tc>
        <w:tc>
          <w:tcPr>
            <w:tcW w:w="872" w:type="dxa"/>
            <w:tcBorders>
              <w:top w:val="nil"/>
              <w:left w:val="nil"/>
              <w:bottom w:val="single" w:sz="4" w:space="0" w:color="auto"/>
              <w:right w:val="single" w:sz="4" w:space="0" w:color="auto"/>
            </w:tcBorders>
            <w:shd w:val="clear" w:color="auto" w:fill="auto"/>
            <w:noWrap/>
            <w:vAlign w:val="bottom"/>
            <w:hideMark/>
          </w:tcPr>
          <w:p w14:paraId="7D3D572A"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77</w:t>
            </w:r>
          </w:p>
        </w:tc>
        <w:tc>
          <w:tcPr>
            <w:tcW w:w="871" w:type="dxa"/>
            <w:tcBorders>
              <w:top w:val="nil"/>
              <w:left w:val="nil"/>
              <w:bottom w:val="single" w:sz="4" w:space="0" w:color="auto"/>
              <w:right w:val="single" w:sz="4" w:space="0" w:color="auto"/>
            </w:tcBorders>
            <w:shd w:val="clear" w:color="auto" w:fill="auto"/>
            <w:noWrap/>
            <w:vAlign w:val="bottom"/>
            <w:hideMark/>
          </w:tcPr>
          <w:p w14:paraId="3545D035"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78</w:t>
            </w:r>
          </w:p>
        </w:tc>
        <w:tc>
          <w:tcPr>
            <w:tcW w:w="871" w:type="dxa"/>
            <w:tcBorders>
              <w:top w:val="nil"/>
              <w:left w:val="nil"/>
              <w:bottom w:val="single" w:sz="4" w:space="0" w:color="auto"/>
              <w:right w:val="single" w:sz="4" w:space="0" w:color="auto"/>
            </w:tcBorders>
            <w:shd w:val="clear" w:color="auto" w:fill="auto"/>
            <w:noWrap/>
            <w:vAlign w:val="bottom"/>
            <w:hideMark/>
          </w:tcPr>
          <w:p w14:paraId="52515519"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79</w:t>
            </w:r>
          </w:p>
        </w:tc>
        <w:tc>
          <w:tcPr>
            <w:tcW w:w="871" w:type="dxa"/>
            <w:tcBorders>
              <w:top w:val="nil"/>
              <w:left w:val="nil"/>
              <w:bottom w:val="single" w:sz="4" w:space="0" w:color="auto"/>
              <w:right w:val="single" w:sz="4" w:space="0" w:color="auto"/>
            </w:tcBorders>
            <w:shd w:val="clear" w:color="auto" w:fill="auto"/>
            <w:noWrap/>
            <w:vAlign w:val="bottom"/>
            <w:hideMark/>
          </w:tcPr>
          <w:p w14:paraId="153A83BD"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87</w:t>
            </w:r>
          </w:p>
        </w:tc>
        <w:tc>
          <w:tcPr>
            <w:tcW w:w="871" w:type="dxa"/>
            <w:tcBorders>
              <w:top w:val="nil"/>
              <w:left w:val="nil"/>
              <w:bottom w:val="single" w:sz="4" w:space="0" w:color="auto"/>
              <w:right w:val="single" w:sz="4" w:space="0" w:color="auto"/>
            </w:tcBorders>
            <w:shd w:val="clear" w:color="auto" w:fill="auto"/>
            <w:noWrap/>
            <w:vAlign w:val="bottom"/>
            <w:hideMark/>
          </w:tcPr>
          <w:p w14:paraId="00DCB378"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90</w:t>
            </w:r>
          </w:p>
        </w:tc>
        <w:tc>
          <w:tcPr>
            <w:tcW w:w="872" w:type="dxa"/>
            <w:tcBorders>
              <w:top w:val="nil"/>
              <w:left w:val="nil"/>
              <w:bottom w:val="single" w:sz="4" w:space="0" w:color="auto"/>
              <w:right w:val="single" w:sz="4" w:space="0" w:color="auto"/>
            </w:tcBorders>
            <w:shd w:val="clear" w:color="auto" w:fill="auto"/>
            <w:noWrap/>
            <w:vAlign w:val="bottom"/>
            <w:hideMark/>
          </w:tcPr>
          <w:p w14:paraId="2DDDB2D9"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84</w:t>
            </w:r>
          </w:p>
        </w:tc>
        <w:tc>
          <w:tcPr>
            <w:tcW w:w="873" w:type="dxa"/>
            <w:tcBorders>
              <w:top w:val="nil"/>
              <w:left w:val="nil"/>
              <w:bottom w:val="single" w:sz="4" w:space="0" w:color="auto"/>
              <w:right w:val="single" w:sz="4" w:space="0" w:color="auto"/>
            </w:tcBorders>
            <w:shd w:val="clear" w:color="auto" w:fill="auto"/>
            <w:noWrap/>
            <w:vAlign w:val="bottom"/>
            <w:hideMark/>
          </w:tcPr>
          <w:p w14:paraId="2D2307C6"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78</w:t>
            </w:r>
          </w:p>
        </w:tc>
        <w:tc>
          <w:tcPr>
            <w:tcW w:w="872" w:type="dxa"/>
            <w:tcBorders>
              <w:top w:val="nil"/>
              <w:left w:val="nil"/>
              <w:bottom w:val="single" w:sz="4" w:space="0" w:color="auto"/>
              <w:right w:val="single" w:sz="4" w:space="0" w:color="auto"/>
            </w:tcBorders>
            <w:shd w:val="clear" w:color="auto" w:fill="auto"/>
            <w:noWrap/>
            <w:vAlign w:val="center"/>
            <w:hideMark/>
          </w:tcPr>
          <w:p w14:paraId="33EE0D36"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724</w:t>
            </w:r>
          </w:p>
        </w:tc>
        <w:tc>
          <w:tcPr>
            <w:tcW w:w="146" w:type="dxa"/>
            <w:vAlign w:val="center"/>
            <w:hideMark/>
          </w:tcPr>
          <w:p w14:paraId="4E7D9D61" w14:textId="77777777" w:rsidR="001766D1" w:rsidRPr="001766D1" w:rsidRDefault="001766D1" w:rsidP="00234CBE">
            <w:pPr>
              <w:spacing w:line="276" w:lineRule="auto"/>
              <w:rPr>
                <w:rFonts w:ascii="Times New Roman" w:hAnsi="Times New Roman"/>
                <w:sz w:val="20"/>
                <w:szCs w:val="20"/>
                <w:lang w:eastAsia="es-CR"/>
              </w:rPr>
            </w:pPr>
          </w:p>
        </w:tc>
      </w:tr>
      <w:tr w:rsidR="001766D1" w:rsidRPr="001766D1" w14:paraId="6F5E3883" w14:textId="77777777" w:rsidTr="001766D1">
        <w:trPr>
          <w:trHeight w:val="247"/>
          <w:jc w:val="center"/>
        </w:trPr>
        <w:tc>
          <w:tcPr>
            <w:tcW w:w="2427" w:type="dxa"/>
            <w:tcBorders>
              <w:top w:val="nil"/>
              <w:left w:val="single" w:sz="4" w:space="0" w:color="auto"/>
              <w:bottom w:val="single" w:sz="4" w:space="0" w:color="auto"/>
              <w:right w:val="nil"/>
            </w:tcBorders>
            <w:shd w:val="clear" w:color="auto" w:fill="auto"/>
            <w:noWrap/>
            <w:vAlign w:val="center"/>
            <w:hideMark/>
          </w:tcPr>
          <w:p w14:paraId="08A395C8" w14:textId="77777777" w:rsidR="001766D1" w:rsidRPr="001766D1" w:rsidRDefault="001766D1" w:rsidP="00234CBE">
            <w:pPr>
              <w:spacing w:line="276" w:lineRule="auto"/>
              <w:jc w:val="right"/>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Tribunal Contencioso (0161)</w:t>
            </w:r>
          </w:p>
        </w:tc>
        <w:tc>
          <w:tcPr>
            <w:tcW w:w="871" w:type="dxa"/>
            <w:tcBorders>
              <w:top w:val="nil"/>
              <w:left w:val="single" w:sz="4" w:space="0" w:color="auto"/>
              <w:bottom w:val="single" w:sz="4" w:space="0" w:color="auto"/>
              <w:right w:val="single" w:sz="4" w:space="0" w:color="auto"/>
            </w:tcBorders>
            <w:shd w:val="clear" w:color="auto" w:fill="auto"/>
            <w:noWrap/>
            <w:vAlign w:val="bottom"/>
            <w:hideMark/>
          </w:tcPr>
          <w:p w14:paraId="06B5DC92"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0</w:t>
            </w:r>
          </w:p>
        </w:tc>
        <w:tc>
          <w:tcPr>
            <w:tcW w:w="872" w:type="dxa"/>
            <w:tcBorders>
              <w:top w:val="nil"/>
              <w:left w:val="nil"/>
              <w:bottom w:val="single" w:sz="4" w:space="0" w:color="auto"/>
              <w:right w:val="single" w:sz="4" w:space="0" w:color="auto"/>
            </w:tcBorders>
            <w:shd w:val="clear" w:color="auto" w:fill="auto"/>
            <w:noWrap/>
            <w:vAlign w:val="bottom"/>
            <w:hideMark/>
          </w:tcPr>
          <w:p w14:paraId="09DB8863"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2</w:t>
            </w:r>
          </w:p>
        </w:tc>
        <w:tc>
          <w:tcPr>
            <w:tcW w:w="872" w:type="dxa"/>
            <w:tcBorders>
              <w:top w:val="nil"/>
              <w:left w:val="nil"/>
              <w:bottom w:val="single" w:sz="4" w:space="0" w:color="auto"/>
              <w:right w:val="single" w:sz="4" w:space="0" w:color="auto"/>
            </w:tcBorders>
            <w:shd w:val="clear" w:color="auto" w:fill="auto"/>
            <w:noWrap/>
            <w:vAlign w:val="bottom"/>
            <w:hideMark/>
          </w:tcPr>
          <w:p w14:paraId="460BEC0C"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0</w:t>
            </w:r>
          </w:p>
        </w:tc>
        <w:tc>
          <w:tcPr>
            <w:tcW w:w="871" w:type="dxa"/>
            <w:tcBorders>
              <w:top w:val="nil"/>
              <w:left w:val="nil"/>
              <w:bottom w:val="single" w:sz="4" w:space="0" w:color="auto"/>
              <w:right w:val="single" w:sz="4" w:space="0" w:color="auto"/>
            </w:tcBorders>
            <w:shd w:val="clear" w:color="auto" w:fill="auto"/>
            <w:noWrap/>
            <w:vAlign w:val="bottom"/>
            <w:hideMark/>
          </w:tcPr>
          <w:p w14:paraId="526B5709"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w:t>
            </w:r>
          </w:p>
        </w:tc>
        <w:tc>
          <w:tcPr>
            <w:tcW w:w="871" w:type="dxa"/>
            <w:tcBorders>
              <w:top w:val="nil"/>
              <w:left w:val="nil"/>
              <w:bottom w:val="single" w:sz="4" w:space="0" w:color="auto"/>
              <w:right w:val="single" w:sz="4" w:space="0" w:color="auto"/>
            </w:tcBorders>
            <w:shd w:val="clear" w:color="auto" w:fill="auto"/>
            <w:noWrap/>
            <w:vAlign w:val="bottom"/>
            <w:hideMark/>
          </w:tcPr>
          <w:p w14:paraId="7AF6C377"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0</w:t>
            </w:r>
          </w:p>
        </w:tc>
        <w:tc>
          <w:tcPr>
            <w:tcW w:w="871" w:type="dxa"/>
            <w:tcBorders>
              <w:top w:val="nil"/>
              <w:left w:val="nil"/>
              <w:bottom w:val="single" w:sz="4" w:space="0" w:color="auto"/>
              <w:right w:val="single" w:sz="4" w:space="0" w:color="auto"/>
            </w:tcBorders>
            <w:shd w:val="clear" w:color="auto" w:fill="auto"/>
            <w:noWrap/>
            <w:vAlign w:val="bottom"/>
            <w:hideMark/>
          </w:tcPr>
          <w:p w14:paraId="67B5AC35"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0</w:t>
            </w:r>
          </w:p>
        </w:tc>
        <w:tc>
          <w:tcPr>
            <w:tcW w:w="871" w:type="dxa"/>
            <w:tcBorders>
              <w:top w:val="nil"/>
              <w:left w:val="nil"/>
              <w:bottom w:val="single" w:sz="4" w:space="0" w:color="auto"/>
              <w:right w:val="single" w:sz="4" w:space="0" w:color="auto"/>
            </w:tcBorders>
            <w:shd w:val="clear" w:color="auto" w:fill="auto"/>
            <w:noWrap/>
            <w:vAlign w:val="bottom"/>
            <w:hideMark/>
          </w:tcPr>
          <w:p w14:paraId="3F9C5062"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0</w:t>
            </w:r>
          </w:p>
        </w:tc>
        <w:tc>
          <w:tcPr>
            <w:tcW w:w="872" w:type="dxa"/>
            <w:tcBorders>
              <w:top w:val="nil"/>
              <w:left w:val="nil"/>
              <w:bottom w:val="single" w:sz="4" w:space="0" w:color="auto"/>
              <w:right w:val="single" w:sz="4" w:space="0" w:color="auto"/>
            </w:tcBorders>
            <w:shd w:val="clear" w:color="auto" w:fill="auto"/>
            <w:noWrap/>
            <w:vAlign w:val="bottom"/>
            <w:hideMark/>
          </w:tcPr>
          <w:p w14:paraId="6AC4A55A"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w:t>
            </w:r>
          </w:p>
        </w:tc>
        <w:tc>
          <w:tcPr>
            <w:tcW w:w="873" w:type="dxa"/>
            <w:tcBorders>
              <w:top w:val="nil"/>
              <w:left w:val="nil"/>
              <w:bottom w:val="single" w:sz="4" w:space="0" w:color="auto"/>
              <w:right w:val="single" w:sz="4" w:space="0" w:color="auto"/>
            </w:tcBorders>
            <w:shd w:val="clear" w:color="auto" w:fill="auto"/>
            <w:noWrap/>
            <w:vAlign w:val="bottom"/>
            <w:hideMark/>
          </w:tcPr>
          <w:p w14:paraId="1508612A"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3</w:t>
            </w:r>
          </w:p>
        </w:tc>
        <w:tc>
          <w:tcPr>
            <w:tcW w:w="872" w:type="dxa"/>
            <w:tcBorders>
              <w:top w:val="nil"/>
              <w:left w:val="nil"/>
              <w:bottom w:val="single" w:sz="4" w:space="0" w:color="auto"/>
              <w:right w:val="single" w:sz="4" w:space="0" w:color="auto"/>
            </w:tcBorders>
            <w:shd w:val="clear" w:color="auto" w:fill="auto"/>
            <w:noWrap/>
            <w:vAlign w:val="center"/>
            <w:hideMark/>
          </w:tcPr>
          <w:p w14:paraId="7D843849"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7</w:t>
            </w:r>
          </w:p>
        </w:tc>
        <w:tc>
          <w:tcPr>
            <w:tcW w:w="146" w:type="dxa"/>
            <w:vAlign w:val="center"/>
            <w:hideMark/>
          </w:tcPr>
          <w:p w14:paraId="547032EB" w14:textId="77777777" w:rsidR="001766D1" w:rsidRPr="001766D1" w:rsidRDefault="001766D1" w:rsidP="00234CBE">
            <w:pPr>
              <w:spacing w:line="276" w:lineRule="auto"/>
              <w:rPr>
                <w:rFonts w:ascii="Times New Roman" w:hAnsi="Times New Roman"/>
                <w:sz w:val="20"/>
                <w:szCs w:val="20"/>
                <w:lang w:eastAsia="es-CR"/>
              </w:rPr>
            </w:pPr>
          </w:p>
        </w:tc>
      </w:tr>
      <w:tr w:rsidR="001766D1" w:rsidRPr="001766D1" w14:paraId="55CAAA68" w14:textId="77777777" w:rsidTr="001766D1">
        <w:trPr>
          <w:trHeight w:val="247"/>
          <w:jc w:val="center"/>
        </w:trPr>
        <w:tc>
          <w:tcPr>
            <w:tcW w:w="2427" w:type="dxa"/>
            <w:tcBorders>
              <w:top w:val="nil"/>
              <w:left w:val="single" w:sz="4" w:space="0" w:color="auto"/>
              <w:bottom w:val="single" w:sz="4" w:space="0" w:color="auto"/>
              <w:right w:val="nil"/>
            </w:tcBorders>
            <w:shd w:val="clear" w:color="auto" w:fill="auto"/>
            <w:noWrap/>
            <w:vAlign w:val="center"/>
            <w:hideMark/>
          </w:tcPr>
          <w:p w14:paraId="0CAADCF3" w14:textId="77777777" w:rsidR="001766D1" w:rsidRPr="001766D1" w:rsidRDefault="001766D1" w:rsidP="00234CBE">
            <w:pPr>
              <w:spacing w:line="276" w:lineRule="auto"/>
              <w:jc w:val="right"/>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Tribunal Notarial</w:t>
            </w:r>
          </w:p>
        </w:tc>
        <w:tc>
          <w:tcPr>
            <w:tcW w:w="871" w:type="dxa"/>
            <w:tcBorders>
              <w:top w:val="nil"/>
              <w:left w:val="single" w:sz="4" w:space="0" w:color="auto"/>
              <w:bottom w:val="single" w:sz="4" w:space="0" w:color="auto"/>
              <w:right w:val="single" w:sz="4" w:space="0" w:color="auto"/>
            </w:tcBorders>
            <w:shd w:val="clear" w:color="auto" w:fill="auto"/>
            <w:noWrap/>
            <w:vAlign w:val="bottom"/>
            <w:hideMark/>
          </w:tcPr>
          <w:p w14:paraId="11EB045D"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12</w:t>
            </w:r>
          </w:p>
        </w:tc>
        <w:tc>
          <w:tcPr>
            <w:tcW w:w="872" w:type="dxa"/>
            <w:tcBorders>
              <w:top w:val="nil"/>
              <w:left w:val="nil"/>
              <w:bottom w:val="single" w:sz="4" w:space="0" w:color="auto"/>
              <w:right w:val="single" w:sz="4" w:space="0" w:color="auto"/>
            </w:tcBorders>
            <w:shd w:val="clear" w:color="auto" w:fill="auto"/>
            <w:noWrap/>
            <w:vAlign w:val="bottom"/>
            <w:hideMark/>
          </w:tcPr>
          <w:p w14:paraId="00130C1A"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14</w:t>
            </w:r>
          </w:p>
        </w:tc>
        <w:tc>
          <w:tcPr>
            <w:tcW w:w="872" w:type="dxa"/>
            <w:tcBorders>
              <w:top w:val="nil"/>
              <w:left w:val="nil"/>
              <w:bottom w:val="single" w:sz="4" w:space="0" w:color="auto"/>
              <w:right w:val="single" w:sz="4" w:space="0" w:color="auto"/>
            </w:tcBorders>
            <w:shd w:val="clear" w:color="auto" w:fill="auto"/>
            <w:noWrap/>
            <w:vAlign w:val="bottom"/>
            <w:hideMark/>
          </w:tcPr>
          <w:p w14:paraId="75C3EA47"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12</w:t>
            </w:r>
          </w:p>
        </w:tc>
        <w:tc>
          <w:tcPr>
            <w:tcW w:w="871" w:type="dxa"/>
            <w:tcBorders>
              <w:top w:val="nil"/>
              <w:left w:val="nil"/>
              <w:bottom w:val="single" w:sz="4" w:space="0" w:color="auto"/>
              <w:right w:val="single" w:sz="4" w:space="0" w:color="auto"/>
            </w:tcBorders>
            <w:shd w:val="clear" w:color="auto" w:fill="auto"/>
            <w:noWrap/>
            <w:vAlign w:val="bottom"/>
            <w:hideMark/>
          </w:tcPr>
          <w:p w14:paraId="77FFA5C5"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16</w:t>
            </w:r>
          </w:p>
        </w:tc>
        <w:tc>
          <w:tcPr>
            <w:tcW w:w="871" w:type="dxa"/>
            <w:tcBorders>
              <w:top w:val="nil"/>
              <w:left w:val="nil"/>
              <w:bottom w:val="single" w:sz="4" w:space="0" w:color="auto"/>
              <w:right w:val="single" w:sz="4" w:space="0" w:color="auto"/>
            </w:tcBorders>
            <w:shd w:val="clear" w:color="auto" w:fill="auto"/>
            <w:noWrap/>
            <w:vAlign w:val="bottom"/>
            <w:hideMark/>
          </w:tcPr>
          <w:p w14:paraId="2587677C"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15</w:t>
            </w:r>
          </w:p>
        </w:tc>
        <w:tc>
          <w:tcPr>
            <w:tcW w:w="871" w:type="dxa"/>
            <w:tcBorders>
              <w:top w:val="nil"/>
              <w:left w:val="nil"/>
              <w:bottom w:val="single" w:sz="4" w:space="0" w:color="auto"/>
              <w:right w:val="single" w:sz="4" w:space="0" w:color="auto"/>
            </w:tcBorders>
            <w:shd w:val="clear" w:color="auto" w:fill="auto"/>
            <w:noWrap/>
            <w:vAlign w:val="bottom"/>
            <w:hideMark/>
          </w:tcPr>
          <w:p w14:paraId="5699CFB2"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19</w:t>
            </w:r>
          </w:p>
        </w:tc>
        <w:tc>
          <w:tcPr>
            <w:tcW w:w="871" w:type="dxa"/>
            <w:tcBorders>
              <w:top w:val="nil"/>
              <w:left w:val="nil"/>
              <w:bottom w:val="single" w:sz="4" w:space="0" w:color="auto"/>
              <w:right w:val="single" w:sz="4" w:space="0" w:color="auto"/>
            </w:tcBorders>
            <w:shd w:val="clear" w:color="auto" w:fill="auto"/>
            <w:noWrap/>
            <w:vAlign w:val="bottom"/>
            <w:hideMark/>
          </w:tcPr>
          <w:p w14:paraId="65C1BCB9"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33</w:t>
            </w:r>
          </w:p>
        </w:tc>
        <w:tc>
          <w:tcPr>
            <w:tcW w:w="872" w:type="dxa"/>
            <w:tcBorders>
              <w:top w:val="nil"/>
              <w:left w:val="nil"/>
              <w:bottom w:val="single" w:sz="4" w:space="0" w:color="auto"/>
              <w:right w:val="single" w:sz="4" w:space="0" w:color="auto"/>
            </w:tcBorders>
            <w:shd w:val="clear" w:color="auto" w:fill="auto"/>
            <w:noWrap/>
            <w:vAlign w:val="bottom"/>
            <w:hideMark/>
          </w:tcPr>
          <w:p w14:paraId="5471F5F9"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17</w:t>
            </w:r>
          </w:p>
        </w:tc>
        <w:tc>
          <w:tcPr>
            <w:tcW w:w="873" w:type="dxa"/>
            <w:tcBorders>
              <w:top w:val="nil"/>
              <w:left w:val="nil"/>
              <w:bottom w:val="single" w:sz="4" w:space="0" w:color="auto"/>
              <w:right w:val="single" w:sz="4" w:space="0" w:color="auto"/>
            </w:tcBorders>
            <w:shd w:val="clear" w:color="auto" w:fill="auto"/>
            <w:noWrap/>
            <w:vAlign w:val="bottom"/>
            <w:hideMark/>
          </w:tcPr>
          <w:p w14:paraId="32F63975"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27</w:t>
            </w:r>
          </w:p>
        </w:tc>
        <w:tc>
          <w:tcPr>
            <w:tcW w:w="872" w:type="dxa"/>
            <w:tcBorders>
              <w:top w:val="nil"/>
              <w:left w:val="nil"/>
              <w:bottom w:val="single" w:sz="4" w:space="0" w:color="auto"/>
              <w:right w:val="single" w:sz="4" w:space="0" w:color="auto"/>
            </w:tcBorders>
            <w:shd w:val="clear" w:color="auto" w:fill="auto"/>
            <w:noWrap/>
            <w:vAlign w:val="center"/>
            <w:hideMark/>
          </w:tcPr>
          <w:p w14:paraId="2B071BD7"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165</w:t>
            </w:r>
          </w:p>
        </w:tc>
        <w:tc>
          <w:tcPr>
            <w:tcW w:w="146" w:type="dxa"/>
            <w:vAlign w:val="center"/>
            <w:hideMark/>
          </w:tcPr>
          <w:p w14:paraId="4AC3D4E1" w14:textId="77777777" w:rsidR="001766D1" w:rsidRPr="001766D1" w:rsidRDefault="001766D1" w:rsidP="00234CBE">
            <w:pPr>
              <w:spacing w:line="276" w:lineRule="auto"/>
              <w:rPr>
                <w:rFonts w:ascii="Times New Roman" w:hAnsi="Times New Roman"/>
                <w:sz w:val="20"/>
                <w:szCs w:val="20"/>
                <w:lang w:eastAsia="es-CR"/>
              </w:rPr>
            </w:pPr>
          </w:p>
        </w:tc>
      </w:tr>
      <w:tr w:rsidR="001766D1" w:rsidRPr="001766D1" w14:paraId="715ACF95" w14:textId="77777777" w:rsidTr="001766D1">
        <w:trPr>
          <w:trHeight w:val="247"/>
          <w:jc w:val="center"/>
        </w:trPr>
        <w:tc>
          <w:tcPr>
            <w:tcW w:w="2427" w:type="dxa"/>
            <w:tcBorders>
              <w:top w:val="nil"/>
              <w:left w:val="single" w:sz="4" w:space="0" w:color="auto"/>
              <w:bottom w:val="single" w:sz="4" w:space="0" w:color="auto"/>
              <w:right w:val="nil"/>
            </w:tcBorders>
            <w:shd w:val="clear" w:color="auto" w:fill="auto"/>
            <w:noWrap/>
            <w:vAlign w:val="center"/>
            <w:hideMark/>
          </w:tcPr>
          <w:p w14:paraId="5AF83C7C" w14:textId="77777777" w:rsidR="001766D1" w:rsidRPr="001766D1" w:rsidRDefault="001766D1" w:rsidP="00234CBE">
            <w:pPr>
              <w:spacing w:line="276" w:lineRule="auto"/>
              <w:jc w:val="right"/>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Inspección Judicial</w:t>
            </w:r>
          </w:p>
        </w:tc>
        <w:tc>
          <w:tcPr>
            <w:tcW w:w="871" w:type="dxa"/>
            <w:tcBorders>
              <w:top w:val="nil"/>
              <w:left w:val="single" w:sz="4" w:space="0" w:color="auto"/>
              <w:bottom w:val="single" w:sz="4" w:space="0" w:color="auto"/>
              <w:right w:val="single" w:sz="4" w:space="0" w:color="auto"/>
            </w:tcBorders>
            <w:shd w:val="clear" w:color="auto" w:fill="auto"/>
            <w:noWrap/>
            <w:vAlign w:val="bottom"/>
            <w:hideMark/>
          </w:tcPr>
          <w:p w14:paraId="00353FAF"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434</w:t>
            </w:r>
          </w:p>
        </w:tc>
        <w:tc>
          <w:tcPr>
            <w:tcW w:w="872" w:type="dxa"/>
            <w:tcBorders>
              <w:top w:val="nil"/>
              <w:left w:val="nil"/>
              <w:bottom w:val="single" w:sz="4" w:space="0" w:color="auto"/>
              <w:right w:val="single" w:sz="4" w:space="0" w:color="auto"/>
            </w:tcBorders>
            <w:shd w:val="clear" w:color="auto" w:fill="auto"/>
            <w:noWrap/>
            <w:vAlign w:val="bottom"/>
            <w:hideMark/>
          </w:tcPr>
          <w:p w14:paraId="15D8DFDD"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365</w:t>
            </w:r>
          </w:p>
        </w:tc>
        <w:tc>
          <w:tcPr>
            <w:tcW w:w="872" w:type="dxa"/>
            <w:tcBorders>
              <w:top w:val="nil"/>
              <w:left w:val="nil"/>
              <w:bottom w:val="single" w:sz="4" w:space="0" w:color="auto"/>
              <w:right w:val="single" w:sz="4" w:space="0" w:color="auto"/>
            </w:tcBorders>
            <w:shd w:val="clear" w:color="auto" w:fill="auto"/>
            <w:noWrap/>
            <w:vAlign w:val="bottom"/>
            <w:hideMark/>
          </w:tcPr>
          <w:p w14:paraId="3C10D91C"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383</w:t>
            </w:r>
          </w:p>
        </w:tc>
        <w:tc>
          <w:tcPr>
            <w:tcW w:w="871" w:type="dxa"/>
            <w:tcBorders>
              <w:top w:val="nil"/>
              <w:left w:val="nil"/>
              <w:bottom w:val="single" w:sz="4" w:space="0" w:color="auto"/>
              <w:right w:val="single" w:sz="4" w:space="0" w:color="auto"/>
            </w:tcBorders>
            <w:shd w:val="clear" w:color="auto" w:fill="auto"/>
            <w:noWrap/>
            <w:vAlign w:val="bottom"/>
            <w:hideMark/>
          </w:tcPr>
          <w:p w14:paraId="6D65D560"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414</w:t>
            </w:r>
          </w:p>
        </w:tc>
        <w:tc>
          <w:tcPr>
            <w:tcW w:w="871" w:type="dxa"/>
            <w:tcBorders>
              <w:top w:val="nil"/>
              <w:left w:val="nil"/>
              <w:bottom w:val="single" w:sz="4" w:space="0" w:color="auto"/>
              <w:right w:val="single" w:sz="4" w:space="0" w:color="auto"/>
            </w:tcBorders>
            <w:shd w:val="clear" w:color="auto" w:fill="auto"/>
            <w:noWrap/>
            <w:vAlign w:val="bottom"/>
            <w:hideMark/>
          </w:tcPr>
          <w:p w14:paraId="76B7BDDB"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363</w:t>
            </w:r>
          </w:p>
        </w:tc>
        <w:tc>
          <w:tcPr>
            <w:tcW w:w="871" w:type="dxa"/>
            <w:tcBorders>
              <w:top w:val="nil"/>
              <w:left w:val="nil"/>
              <w:bottom w:val="single" w:sz="4" w:space="0" w:color="auto"/>
              <w:right w:val="single" w:sz="4" w:space="0" w:color="auto"/>
            </w:tcBorders>
            <w:shd w:val="clear" w:color="auto" w:fill="auto"/>
            <w:noWrap/>
            <w:vAlign w:val="bottom"/>
            <w:hideMark/>
          </w:tcPr>
          <w:p w14:paraId="01FB6FAD"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420</w:t>
            </w:r>
          </w:p>
        </w:tc>
        <w:tc>
          <w:tcPr>
            <w:tcW w:w="871" w:type="dxa"/>
            <w:tcBorders>
              <w:top w:val="nil"/>
              <w:left w:val="nil"/>
              <w:bottom w:val="single" w:sz="4" w:space="0" w:color="auto"/>
              <w:right w:val="single" w:sz="4" w:space="0" w:color="auto"/>
            </w:tcBorders>
            <w:shd w:val="clear" w:color="auto" w:fill="auto"/>
            <w:noWrap/>
            <w:vAlign w:val="bottom"/>
            <w:hideMark/>
          </w:tcPr>
          <w:p w14:paraId="25F7EFBB"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479</w:t>
            </w:r>
          </w:p>
        </w:tc>
        <w:tc>
          <w:tcPr>
            <w:tcW w:w="872" w:type="dxa"/>
            <w:tcBorders>
              <w:top w:val="nil"/>
              <w:left w:val="nil"/>
              <w:bottom w:val="single" w:sz="4" w:space="0" w:color="auto"/>
              <w:right w:val="single" w:sz="4" w:space="0" w:color="auto"/>
            </w:tcBorders>
            <w:shd w:val="clear" w:color="auto" w:fill="auto"/>
            <w:noWrap/>
            <w:vAlign w:val="bottom"/>
            <w:hideMark/>
          </w:tcPr>
          <w:p w14:paraId="33B48F09"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359</w:t>
            </w:r>
          </w:p>
        </w:tc>
        <w:tc>
          <w:tcPr>
            <w:tcW w:w="873" w:type="dxa"/>
            <w:tcBorders>
              <w:top w:val="nil"/>
              <w:left w:val="nil"/>
              <w:bottom w:val="single" w:sz="4" w:space="0" w:color="auto"/>
              <w:right w:val="single" w:sz="4" w:space="0" w:color="auto"/>
            </w:tcBorders>
            <w:shd w:val="clear" w:color="auto" w:fill="auto"/>
            <w:noWrap/>
            <w:vAlign w:val="bottom"/>
            <w:hideMark/>
          </w:tcPr>
          <w:p w14:paraId="30E01C4B"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420</w:t>
            </w:r>
          </w:p>
        </w:tc>
        <w:tc>
          <w:tcPr>
            <w:tcW w:w="872" w:type="dxa"/>
            <w:tcBorders>
              <w:top w:val="nil"/>
              <w:left w:val="nil"/>
              <w:bottom w:val="single" w:sz="4" w:space="0" w:color="auto"/>
              <w:right w:val="single" w:sz="4" w:space="0" w:color="auto"/>
            </w:tcBorders>
            <w:shd w:val="clear" w:color="auto" w:fill="auto"/>
            <w:noWrap/>
            <w:vAlign w:val="center"/>
            <w:hideMark/>
          </w:tcPr>
          <w:p w14:paraId="20AA42CA"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3637</w:t>
            </w:r>
          </w:p>
        </w:tc>
        <w:tc>
          <w:tcPr>
            <w:tcW w:w="146" w:type="dxa"/>
            <w:vAlign w:val="center"/>
            <w:hideMark/>
          </w:tcPr>
          <w:p w14:paraId="3ED0F52F" w14:textId="77777777" w:rsidR="001766D1" w:rsidRPr="001766D1" w:rsidRDefault="001766D1" w:rsidP="00234CBE">
            <w:pPr>
              <w:spacing w:line="276" w:lineRule="auto"/>
              <w:rPr>
                <w:rFonts w:ascii="Times New Roman" w:hAnsi="Times New Roman"/>
                <w:sz w:val="20"/>
                <w:szCs w:val="20"/>
                <w:lang w:eastAsia="es-CR"/>
              </w:rPr>
            </w:pPr>
          </w:p>
        </w:tc>
      </w:tr>
      <w:tr w:rsidR="001766D1" w:rsidRPr="001766D1" w14:paraId="03ADF774" w14:textId="77777777" w:rsidTr="001766D1">
        <w:trPr>
          <w:trHeight w:val="247"/>
          <w:jc w:val="center"/>
        </w:trPr>
        <w:tc>
          <w:tcPr>
            <w:tcW w:w="2427" w:type="dxa"/>
            <w:tcBorders>
              <w:top w:val="nil"/>
              <w:left w:val="single" w:sz="4" w:space="0" w:color="auto"/>
              <w:bottom w:val="single" w:sz="4" w:space="0" w:color="auto"/>
              <w:right w:val="nil"/>
            </w:tcBorders>
            <w:shd w:val="clear" w:color="auto" w:fill="auto"/>
            <w:noWrap/>
            <w:vAlign w:val="center"/>
            <w:hideMark/>
          </w:tcPr>
          <w:p w14:paraId="43DA7A38" w14:textId="77777777" w:rsidR="001766D1" w:rsidRPr="001766D1" w:rsidRDefault="001766D1" w:rsidP="00234CBE">
            <w:pPr>
              <w:spacing w:line="276" w:lineRule="auto"/>
              <w:jc w:val="right"/>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Inspección Fiscal</w:t>
            </w:r>
          </w:p>
        </w:tc>
        <w:tc>
          <w:tcPr>
            <w:tcW w:w="871" w:type="dxa"/>
            <w:tcBorders>
              <w:top w:val="nil"/>
              <w:left w:val="single" w:sz="4" w:space="0" w:color="auto"/>
              <w:bottom w:val="single" w:sz="4" w:space="0" w:color="auto"/>
              <w:right w:val="single" w:sz="4" w:space="0" w:color="auto"/>
            </w:tcBorders>
            <w:shd w:val="clear" w:color="auto" w:fill="auto"/>
            <w:noWrap/>
            <w:vAlign w:val="bottom"/>
            <w:hideMark/>
          </w:tcPr>
          <w:p w14:paraId="2F8F902F"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78</w:t>
            </w:r>
          </w:p>
        </w:tc>
        <w:tc>
          <w:tcPr>
            <w:tcW w:w="872" w:type="dxa"/>
            <w:tcBorders>
              <w:top w:val="nil"/>
              <w:left w:val="nil"/>
              <w:bottom w:val="single" w:sz="4" w:space="0" w:color="auto"/>
              <w:right w:val="single" w:sz="4" w:space="0" w:color="auto"/>
            </w:tcBorders>
            <w:shd w:val="clear" w:color="auto" w:fill="auto"/>
            <w:noWrap/>
            <w:vAlign w:val="bottom"/>
            <w:hideMark/>
          </w:tcPr>
          <w:p w14:paraId="319B2CBF"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71</w:t>
            </w:r>
          </w:p>
        </w:tc>
        <w:tc>
          <w:tcPr>
            <w:tcW w:w="872" w:type="dxa"/>
            <w:tcBorders>
              <w:top w:val="nil"/>
              <w:left w:val="nil"/>
              <w:bottom w:val="single" w:sz="4" w:space="0" w:color="auto"/>
              <w:right w:val="single" w:sz="4" w:space="0" w:color="auto"/>
            </w:tcBorders>
            <w:shd w:val="clear" w:color="auto" w:fill="auto"/>
            <w:noWrap/>
            <w:vAlign w:val="bottom"/>
            <w:hideMark/>
          </w:tcPr>
          <w:p w14:paraId="291074C7"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53</w:t>
            </w:r>
          </w:p>
        </w:tc>
        <w:tc>
          <w:tcPr>
            <w:tcW w:w="871" w:type="dxa"/>
            <w:tcBorders>
              <w:top w:val="nil"/>
              <w:left w:val="nil"/>
              <w:bottom w:val="single" w:sz="4" w:space="0" w:color="auto"/>
              <w:right w:val="single" w:sz="4" w:space="0" w:color="auto"/>
            </w:tcBorders>
            <w:shd w:val="clear" w:color="auto" w:fill="auto"/>
            <w:noWrap/>
            <w:vAlign w:val="bottom"/>
            <w:hideMark/>
          </w:tcPr>
          <w:p w14:paraId="775CC484"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76</w:t>
            </w:r>
          </w:p>
        </w:tc>
        <w:tc>
          <w:tcPr>
            <w:tcW w:w="871" w:type="dxa"/>
            <w:tcBorders>
              <w:top w:val="nil"/>
              <w:left w:val="nil"/>
              <w:bottom w:val="single" w:sz="4" w:space="0" w:color="auto"/>
              <w:right w:val="single" w:sz="4" w:space="0" w:color="auto"/>
            </w:tcBorders>
            <w:shd w:val="clear" w:color="auto" w:fill="auto"/>
            <w:noWrap/>
            <w:vAlign w:val="bottom"/>
            <w:hideMark/>
          </w:tcPr>
          <w:p w14:paraId="3CEBEE12"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72</w:t>
            </w:r>
          </w:p>
        </w:tc>
        <w:tc>
          <w:tcPr>
            <w:tcW w:w="871" w:type="dxa"/>
            <w:tcBorders>
              <w:top w:val="nil"/>
              <w:left w:val="nil"/>
              <w:bottom w:val="single" w:sz="4" w:space="0" w:color="auto"/>
              <w:right w:val="single" w:sz="4" w:space="0" w:color="auto"/>
            </w:tcBorders>
            <w:shd w:val="clear" w:color="auto" w:fill="auto"/>
            <w:noWrap/>
            <w:vAlign w:val="bottom"/>
            <w:hideMark/>
          </w:tcPr>
          <w:p w14:paraId="4218F497"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135</w:t>
            </w:r>
          </w:p>
        </w:tc>
        <w:tc>
          <w:tcPr>
            <w:tcW w:w="871" w:type="dxa"/>
            <w:tcBorders>
              <w:top w:val="nil"/>
              <w:left w:val="nil"/>
              <w:bottom w:val="single" w:sz="4" w:space="0" w:color="auto"/>
              <w:right w:val="single" w:sz="4" w:space="0" w:color="auto"/>
            </w:tcBorders>
            <w:shd w:val="clear" w:color="auto" w:fill="auto"/>
            <w:noWrap/>
            <w:vAlign w:val="bottom"/>
            <w:hideMark/>
          </w:tcPr>
          <w:p w14:paraId="526C2CB5"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50</w:t>
            </w:r>
          </w:p>
        </w:tc>
        <w:tc>
          <w:tcPr>
            <w:tcW w:w="872" w:type="dxa"/>
            <w:tcBorders>
              <w:top w:val="nil"/>
              <w:left w:val="nil"/>
              <w:bottom w:val="single" w:sz="4" w:space="0" w:color="auto"/>
              <w:right w:val="single" w:sz="4" w:space="0" w:color="auto"/>
            </w:tcBorders>
            <w:shd w:val="clear" w:color="auto" w:fill="auto"/>
            <w:noWrap/>
            <w:vAlign w:val="bottom"/>
            <w:hideMark/>
          </w:tcPr>
          <w:p w14:paraId="1AFBEC28"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120</w:t>
            </w:r>
          </w:p>
        </w:tc>
        <w:tc>
          <w:tcPr>
            <w:tcW w:w="873" w:type="dxa"/>
            <w:tcBorders>
              <w:top w:val="nil"/>
              <w:left w:val="nil"/>
              <w:bottom w:val="single" w:sz="4" w:space="0" w:color="auto"/>
              <w:right w:val="single" w:sz="4" w:space="0" w:color="auto"/>
            </w:tcBorders>
            <w:shd w:val="clear" w:color="auto" w:fill="auto"/>
            <w:noWrap/>
            <w:vAlign w:val="bottom"/>
            <w:hideMark/>
          </w:tcPr>
          <w:p w14:paraId="4D9F6A2F"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96</w:t>
            </w:r>
          </w:p>
        </w:tc>
        <w:tc>
          <w:tcPr>
            <w:tcW w:w="872" w:type="dxa"/>
            <w:tcBorders>
              <w:top w:val="nil"/>
              <w:left w:val="nil"/>
              <w:bottom w:val="single" w:sz="4" w:space="0" w:color="auto"/>
              <w:right w:val="single" w:sz="4" w:space="0" w:color="auto"/>
            </w:tcBorders>
            <w:shd w:val="clear" w:color="auto" w:fill="auto"/>
            <w:noWrap/>
            <w:vAlign w:val="center"/>
            <w:hideMark/>
          </w:tcPr>
          <w:p w14:paraId="77B97AFE"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751</w:t>
            </w:r>
          </w:p>
        </w:tc>
        <w:tc>
          <w:tcPr>
            <w:tcW w:w="146" w:type="dxa"/>
            <w:vAlign w:val="center"/>
            <w:hideMark/>
          </w:tcPr>
          <w:p w14:paraId="21B04E06" w14:textId="77777777" w:rsidR="001766D1" w:rsidRPr="001766D1" w:rsidRDefault="001766D1" w:rsidP="00234CBE">
            <w:pPr>
              <w:spacing w:line="276" w:lineRule="auto"/>
              <w:rPr>
                <w:rFonts w:ascii="Times New Roman" w:hAnsi="Times New Roman"/>
                <w:sz w:val="20"/>
                <w:szCs w:val="20"/>
                <w:lang w:eastAsia="es-CR"/>
              </w:rPr>
            </w:pPr>
          </w:p>
        </w:tc>
      </w:tr>
      <w:tr w:rsidR="001766D1" w:rsidRPr="001766D1" w14:paraId="4F9EFB72" w14:textId="77777777" w:rsidTr="001766D1">
        <w:trPr>
          <w:trHeight w:val="247"/>
          <w:jc w:val="center"/>
        </w:trPr>
        <w:tc>
          <w:tcPr>
            <w:tcW w:w="2427" w:type="dxa"/>
            <w:tcBorders>
              <w:top w:val="nil"/>
              <w:left w:val="single" w:sz="4" w:space="0" w:color="auto"/>
              <w:bottom w:val="single" w:sz="4" w:space="0" w:color="auto"/>
              <w:right w:val="nil"/>
            </w:tcBorders>
            <w:shd w:val="clear" w:color="auto" w:fill="auto"/>
            <w:noWrap/>
            <w:vAlign w:val="center"/>
            <w:hideMark/>
          </w:tcPr>
          <w:p w14:paraId="43FAC441" w14:textId="77777777" w:rsidR="001766D1" w:rsidRPr="001766D1" w:rsidRDefault="001766D1" w:rsidP="00234CBE">
            <w:pPr>
              <w:spacing w:line="276" w:lineRule="auto"/>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 </w:t>
            </w:r>
          </w:p>
        </w:tc>
        <w:tc>
          <w:tcPr>
            <w:tcW w:w="871" w:type="dxa"/>
            <w:tcBorders>
              <w:top w:val="nil"/>
              <w:left w:val="single" w:sz="4" w:space="0" w:color="auto"/>
              <w:bottom w:val="single" w:sz="4" w:space="0" w:color="auto"/>
              <w:right w:val="single" w:sz="4" w:space="0" w:color="auto"/>
            </w:tcBorders>
            <w:shd w:val="clear" w:color="auto" w:fill="auto"/>
            <w:noWrap/>
            <w:vAlign w:val="center"/>
            <w:hideMark/>
          </w:tcPr>
          <w:p w14:paraId="0647C46A"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 </w:t>
            </w:r>
          </w:p>
        </w:tc>
        <w:tc>
          <w:tcPr>
            <w:tcW w:w="872" w:type="dxa"/>
            <w:tcBorders>
              <w:top w:val="nil"/>
              <w:left w:val="nil"/>
              <w:bottom w:val="single" w:sz="4" w:space="0" w:color="auto"/>
              <w:right w:val="single" w:sz="4" w:space="0" w:color="auto"/>
            </w:tcBorders>
            <w:shd w:val="clear" w:color="auto" w:fill="auto"/>
            <w:noWrap/>
            <w:vAlign w:val="center"/>
            <w:hideMark/>
          </w:tcPr>
          <w:p w14:paraId="0A46BEF9"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 </w:t>
            </w:r>
          </w:p>
        </w:tc>
        <w:tc>
          <w:tcPr>
            <w:tcW w:w="872" w:type="dxa"/>
            <w:tcBorders>
              <w:top w:val="nil"/>
              <w:left w:val="nil"/>
              <w:bottom w:val="single" w:sz="4" w:space="0" w:color="auto"/>
              <w:right w:val="single" w:sz="4" w:space="0" w:color="auto"/>
            </w:tcBorders>
            <w:shd w:val="clear" w:color="auto" w:fill="auto"/>
            <w:noWrap/>
            <w:vAlign w:val="center"/>
            <w:hideMark/>
          </w:tcPr>
          <w:p w14:paraId="57190D3B"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 </w:t>
            </w:r>
          </w:p>
        </w:tc>
        <w:tc>
          <w:tcPr>
            <w:tcW w:w="871" w:type="dxa"/>
            <w:tcBorders>
              <w:top w:val="nil"/>
              <w:left w:val="nil"/>
              <w:bottom w:val="single" w:sz="4" w:space="0" w:color="auto"/>
              <w:right w:val="single" w:sz="4" w:space="0" w:color="auto"/>
            </w:tcBorders>
            <w:shd w:val="clear" w:color="auto" w:fill="auto"/>
            <w:noWrap/>
            <w:vAlign w:val="center"/>
            <w:hideMark/>
          </w:tcPr>
          <w:p w14:paraId="771D61CD"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 </w:t>
            </w:r>
          </w:p>
        </w:tc>
        <w:tc>
          <w:tcPr>
            <w:tcW w:w="871" w:type="dxa"/>
            <w:tcBorders>
              <w:top w:val="nil"/>
              <w:left w:val="nil"/>
              <w:bottom w:val="single" w:sz="4" w:space="0" w:color="auto"/>
              <w:right w:val="single" w:sz="4" w:space="0" w:color="auto"/>
            </w:tcBorders>
            <w:shd w:val="clear" w:color="auto" w:fill="auto"/>
            <w:noWrap/>
            <w:vAlign w:val="center"/>
            <w:hideMark/>
          </w:tcPr>
          <w:p w14:paraId="3D3DFFB7"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 </w:t>
            </w:r>
          </w:p>
        </w:tc>
        <w:tc>
          <w:tcPr>
            <w:tcW w:w="871" w:type="dxa"/>
            <w:tcBorders>
              <w:top w:val="nil"/>
              <w:left w:val="nil"/>
              <w:bottom w:val="single" w:sz="4" w:space="0" w:color="auto"/>
              <w:right w:val="single" w:sz="4" w:space="0" w:color="auto"/>
            </w:tcBorders>
            <w:shd w:val="clear" w:color="auto" w:fill="auto"/>
            <w:noWrap/>
            <w:vAlign w:val="center"/>
            <w:hideMark/>
          </w:tcPr>
          <w:p w14:paraId="0E87EE45"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 </w:t>
            </w:r>
          </w:p>
        </w:tc>
        <w:tc>
          <w:tcPr>
            <w:tcW w:w="871" w:type="dxa"/>
            <w:tcBorders>
              <w:top w:val="nil"/>
              <w:left w:val="nil"/>
              <w:bottom w:val="single" w:sz="4" w:space="0" w:color="auto"/>
              <w:right w:val="single" w:sz="4" w:space="0" w:color="auto"/>
            </w:tcBorders>
            <w:shd w:val="clear" w:color="auto" w:fill="auto"/>
            <w:noWrap/>
            <w:vAlign w:val="center"/>
            <w:hideMark/>
          </w:tcPr>
          <w:p w14:paraId="0FCC77EE"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 </w:t>
            </w:r>
          </w:p>
        </w:tc>
        <w:tc>
          <w:tcPr>
            <w:tcW w:w="872" w:type="dxa"/>
            <w:tcBorders>
              <w:top w:val="nil"/>
              <w:left w:val="nil"/>
              <w:bottom w:val="single" w:sz="4" w:space="0" w:color="auto"/>
              <w:right w:val="single" w:sz="4" w:space="0" w:color="auto"/>
            </w:tcBorders>
            <w:shd w:val="clear" w:color="auto" w:fill="auto"/>
            <w:noWrap/>
            <w:vAlign w:val="center"/>
            <w:hideMark/>
          </w:tcPr>
          <w:p w14:paraId="3221950B"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 </w:t>
            </w:r>
          </w:p>
        </w:tc>
        <w:tc>
          <w:tcPr>
            <w:tcW w:w="873" w:type="dxa"/>
            <w:tcBorders>
              <w:top w:val="nil"/>
              <w:left w:val="nil"/>
              <w:bottom w:val="single" w:sz="4" w:space="0" w:color="auto"/>
              <w:right w:val="single" w:sz="4" w:space="0" w:color="auto"/>
            </w:tcBorders>
            <w:shd w:val="clear" w:color="auto" w:fill="auto"/>
            <w:noWrap/>
            <w:vAlign w:val="center"/>
            <w:hideMark/>
          </w:tcPr>
          <w:p w14:paraId="4D5F8795"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 </w:t>
            </w:r>
          </w:p>
        </w:tc>
        <w:tc>
          <w:tcPr>
            <w:tcW w:w="872" w:type="dxa"/>
            <w:tcBorders>
              <w:top w:val="nil"/>
              <w:left w:val="nil"/>
              <w:bottom w:val="single" w:sz="4" w:space="0" w:color="auto"/>
              <w:right w:val="single" w:sz="4" w:space="0" w:color="auto"/>
            </w:tcBorders>
            <w:shd w:val="clear" w:color="auto" w:fill="auto"/>
            <w:noWrap/>
            <w:vAlign w:val="center"/>
            <w:hideMark/>
          </w:tcPr>
          <w:p w14:paraId="64E14EFF"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 </w:t>
            </w:r>
          </w:p>
        </w:tc>
        <w:tc>
          <w:tcPr>
            <w:tcW w:w="146" w:type="dxa"/>
            <w:vAlign w:val="center"/>
            <w:hideMark/>
          </w:tcPr>
          <w:p w14:paraId="32A06DBF" w14:textId="77777777" w:rsidR="001766D1" w:rsidRPr="001766D1" w:rsidRDefault="001766D1" w:rsidP="00234CBE">
            <w:pPr>
              <w:spacing w:line="276" w:lineRule="auto"/>
              <w:rPr>
                <w:rFonts w:ascii="Times New Roman" w:hAnsi="Times New Roman"/>
                <w:sz w:val="20"/>
                <w:szCs w:val="20"/>
                <w:lang w:eastAsia="es-CR"/>
              </w:rPr>
            </w:pPr>
          </w:p>
        </w:tc>
      </w:tr>
      <w:tr w:rsidR="001766D1" w:rsidRPr="001766D1" w14:paraId="44D0E31A" w14:textId="77777777" w:rsidTr="001766D1">
        <w:trPr>
          <w:trHeight w:val="247"/>
          <w:jc w:val="center"/>
        </w:trPr>
        <w:tc>
          <w:tcPr>
            <w:tcW w:w="2427" w:type="dxa"/>
            <w:tcBorders>
              <w:top w:val="nil"/>
              <w:left w:val="single" w:sz="4" w:space="0" w:color="auto"/>
              <w:bottom w:val="single" w:sz="4" w:space="0" w:color="auto"/>
              <w:right w:val="nil"/>
            </w:tcBorders>
            <w:shd w:val="clear" w:color="auto" w:fill="auto"/>
            <w:noWrap/>
            <w:vAlign w:val="center"/>
            <w:hideMark/>
          </w:tcPr>
          <w:p w14:paraId="2121340F" w14:textId="77777777" w:rsidR="001766D1" w:rsidRPr="001766D1" w:rsidRDefault="001766D1" w:rsidP="00234CBE">
            <w:pPr>
              <w:spacing w:line="276" w:lineRule="auto"/>
              <w:rPr>
                <w:rFonts w:ascii="Book Antiqua" w:hAnsi="Book Antiqua" w:cs="Calibri"/>
                <w:b/>
                <w:bCs/>
                <w:color w:val="000000"/>
                <w:sz w:val="16"/>
                <w:szCs w:val="16"/>
                <w:lang w:eastAsia="es-CR"/>
              </w:rPr>
            </w:pPr>
            <w:r w:rsidRPr="001766D1">
              <w:rPr>
                <w:rFonts w:ascii="Book Antiqua" w:hAnsi="Book Antiqua" w:cs="Calibri"/>
                <w:b/>
                <w:bCs/>
                <w:color w:val="000000"/>
                <w:sz w:val="16"/>
                <w:szCs w:val="16"/>
                <w:lang w:eastAsia="es-CR"/>
              </w:rPr>
              <w:t>Penal</w:t>
            </w:r>
          </w:p>
        </w:tc>
        <w:tc>
          <w:tcPr>
            <w:tcW w:w="871" w:type="dxa"/>
            <w:tcBorders>
              <w:top w:val="nil"/>
              <w:left w:val="single" w:sz="4" w:space="0" w:color="auto"/>
              <w:bottom w:val="single" w:sz="4" w:space="0" w:color="auto"/>
              <w:right w:val="single" w:sz="4" w:space="0" w:color="auto"/>
            </w:tcBorders>
            <w:shd w:val="clear" w:color="auto" w:fill="auto"/>
            <w:noWrap/>
            <w:vAlign w:val="center"/>
            <w:hideMark/>
          </w:tcPr>
          <w:p w14:paraId="11D6EFA8" w14:textId="77777777" w:rsidR="001766D1" w:rsidRPr="001766D1" w:rsidRDefault="001766D1" w:rsidP="00234CBE">
            <w:pPr>
              <w:spacing w:line="276" w:lineRule="auto"/>
              <w:jc w:val="center"/>
              <w:rPr>
                <w:rFonts w:ascii="Book Antiqua" w:hAnsi="Book Antiqua" w:cs="Calibri"/>
                <w:b/>
                <w:bCs/>
                <w:color w:val="000000"/>
                <w:sz w:val="16"/>
                <w:szCs w:val="16"/>
                <w:u w:val="single"/>
                <w:lang w:eastAsia="es-CR"/>
              </w:rPr>
            </w:pPr>
            <w:r w:rsidRPr="001766D1">
              <w:rPr>
                <w:rFonts w:ascii="Book Antiqua" w:hAnsi="Book Antiqua" w:cs="Calibri"/>
                <w:b/>
                <w:bCs/>
                <w:color w:val="000000"/>
                <w:sz w:val="16"/>
                <w:szCs w:val="16"/>
                <w:u w:val="single"/>
                <w:lang w:eastAsia="es-CR"/>
              </w:rPr>
              <w:t>13026</w:t>
            </w:r>
          </w:p>
        </w:tc>
        <w:tc>
          <w:tcPr>
            <w:tcW w:w="872" w:type="dxa"/>
            <w:tcBorders>
              <w:top w:val="nil"/>
              <w:left w:val="nil"/>
              <w:bottom w:val="single" w:sz="4" w:space="0" w:color="auto"/>
              <w:right w:val="single" w:sz="4" w:space="0" w:color="auto"/>
            </w:tcBorders>
            <w:shd w:val="clear" w:color="auto" w:fill="auto"/>
            <w:noWrap/>
            <w:vAlign w:val="center"/>
            <w:hideMark/>
          </w:tcPr>
          <w:p w14:paraId="7DB4A917" w14:textId="77777777" w:rsidR="001766D1" w:rsidRPr="001766D1" w:rsidRDefault="001766D1" w:rsidP="00234CBE">
            <w:pPr>
              <w:spacing w:line="276" w:lineRule="auto"/>
              <w:jc w:val="center"/>
              <w:rPr>
                <w:rFonts w:ascii="Book Antiqua" w:hAnsi="Book Antiqua" w:cs="Calibri"/>
                <w:b/>
                <w:bCs/>
                <w:color w:val="000000"/>
                <w:sz w:val="16"/>
                <w:szCs w:val="16"/>
                <w:u w:val="single"/>
                <w:lang w:eastAsia="es-CR"/>
              </w:rPr>
            </w:pPr>
            <w:r w:rsidRPr="001766D1">
              <w:rPr>
                <w:rFonts w:ascii="Book Antiqua" w:hAnsi="Book Antiqua" w:cs="Calibri"/>
                <w:b/>
                <w:bCs/>
                <w:color w:val="000000"/>
                <w:sz w:val="16"/>
                <w:szCs w:val="16"/>
                <w:u w:val="single"/>
                <w:lang w:eastAsia="es-CR"/>
              </w:rPr>
              <w:t>14857</w:t>
            </w:r>
          </w:p>
        </w:tc>
        <w:tc>
          <w:tcPr>
            <w:tcW w:w="872" w:type="dxa"/>
            <w:tcBorders>
              <w:top w:val="nil"/>
              <w:left w:val="nil"/>
              <w:bottom w:val="single" w:sz="4" w:space="0" w:color="auto"/>
              <w:right w:val="single" w:sz="4" w:space="0" w:color="auto"/>
            </w:tcBorders>
            <w:shd w:val="clear" w:color="auto" w:fill="auto"/>
            <w:noWrap/>
            <w:vAlign w:val="center"/>
            <w:hideMark/>
          </w:tcPr>
          <w:p w14:paraId="16C7C5E1" w14:textId="77777777" w:rsidR="001766D1" w:rsidRPr="001766D1" w:rsidRDefault="001766D1" w:rsidP="00234CBE">
            <w:pPr>
              <w:spacing w:line="276" w:lineRule="auto"/>
              <w:jc w:val="center"/>
              <w:rPr>
                <w:rFonts w:ascii="Book Antiqua" w:hAnsi="Book Antiqua" w:cs="Calibri"/>
                <w:b/>
                <w:bCs/>
                <w:color w:val="000000"/>
                <w:sz w:val="16"/>
                <w:szCs w:val="16"/>
                <w:u w:val="single"/>
                <w:lang w:eastAsia="es-CR"/>
              </w:rPr>
            </w:pPr>
            <w:r w:rsidRPr="001766D1">
              <w:rPr>
                <w:rFonts w:ascii="Book Antiqua" w:hAnsi="Book Antiqua" w:cs="Calibri"/>
                <w:b/>
                <w:bCs/>
                <w:color w:val="000000"/>
                <w:sz w:val="16"/>
                <w:szCs w:val="16"/>
                <w:u w:val="single"/>
                <w:lang w:eastAsia="es-CR"/>
              </w:rPr>
              <w:t>14707</w:t>
            </w:r>
          </w:p>
        </w:tc>
        <w:tc>
          <w:tcPr>
            <w:tcW w:w="871" w:type="dxa"/>
            <w:tcBorders>
              <w:top w:val="nil"/>
              <w:left w:val="nil"/>
              <w:bottom w:val="single" w:sz="4" w:space="0" w:color="auto"/>
              <w:right w:val="single" w:sz="4" w:space="0" w:color="auto"/>
            </w:tcBorders>
            <w:shd w:val="clear" w:color="auto" w:fill="auto"/>
            <w:noWrap/>
            <w:vAlign w:val="center"/>
            <w:hideMark/>
          </w:tcPr>
          <w:p w14:paraId="08FEF938" w14:textId="77777777" w:rsidR="001766D1" w:rsidRPr="001766D1" w:rsidRDefault="001766D1" w:rsidP="00234CBE">
            <w:pPr>
              <w:spacing w:line="276" w:lineRule="auto"/>
              <w:jc w:val="center"/>
              <w:rPr>
                <w:rFonts w:ascii="Book Antiqua" w:hAnsi="Book Antiqua" w:cs="Calibri"/>
                <w:b/>
                <w:bCs/>
                <w:color w:val="000000"/>
                <w:sz w:val="16"/>
                <w:szCs w:val="16"/>
                <w:u w:val="single"/>
                <w:lang w:eastAsia="es-CR"/>
              </w:rPr>
            </w:pPr>
            <w:r w:rsidRPr="001766D1">
              <w:rPr>
                <w:rFonts w:ascii="Book Antiqua" w:hAnsi="Book Antiqua" w:cs="Calibri"/>
                <w:b/>
                <w:bCs/>
                <w:color w:val="000000"/>
                <w:sz w:val="16"/>
                <w:szCs w:val="16"/>
                <w:u w:val="single"/>
                <w:lang w:eastAsia="es-CR"/>
              </w:rPr>
              <w:t>14717</w:t>
            </w:r>
          </w:p>
        </w:tc>
        <w:tc>
          <w:tcPr>
            <w:tcW w:w="871" w:type="dxa"/>
            <w:tcBorders>
              <w:top w:val="nil"/>
              <w:left w:val="nil"/>
              <w:bottom w:val="single" w:sz="4" w:space="0" w:color="auto"/>
              <w:right w:val="single" w:sz="4" w:space="0" w:color="auto"/>
            </w:tcBorders>
            <w:shd w:val="clear" w:color="auto" w:fill="auto"/>
            <w:noWrap/>
            <w:vAlign w:val="center"/>
            <w:hideMark/>
          </w:tcPr>
          <w:p w14:paraId="38ABA0D3" w14:textId="77777777" w:rsidR="001766D1" w:rsidRPr="001766D1" w:rsidRDefault="001766D1" w:rsidP="00234CBE">
            <w:pPr>
              <w:spacing w:line="276" w:lineRule="auto"/>
              <w:jc w:val="center"/>
              <w:rPr>
                <w:rFonts w:ascii="Book Antiqua" w:hAnsi="Book Antiqua" w:cs="Calibri"/>
                <w:b/>
                <w:bCs/>
                <w:color w:val="000000"/>
                <w:sz w:val="16"/>
                <w:szCs w:val="16"/>
                <w:u w:val="single"/>
                <w:lang w:eastAsia="es-CR"/>
              </w:rPr>
            </w:pPr>
            <w:r w:rsidRPr="001766D1">
              <w:rPr>
                <w:rFonts w:ascii="Book Antiqua" w:hAnsi="Book Antiqua" w:cs="Calibri"/>
                <w:b/>
                <w:bCs/>
                <w:color w:val="000000"/>
                <w:sz w:val="16"/>
                <w:szCs w:val="16"/>
                <w:u w:val="single"/>
                <w:lang w:eastAsia="es-CR"/>
              </w:rPr>
              <w:t>14163</w:t>
            </w:r>
          </w:p>
        </w:tc>
        <w:tc>
          <w:tcPr>
            <w:tcW w:w="871" w:type="dxa"/>
            <w:tcBorders>
              <w:top w:val="nil"/>
              <w:left w:val="nil"/>
              <w:bottom w:val="single" w:sz="4" w:space="0" w:color="auto"/>
              <w:right w:val="single" w:sz="4" w:space="0" w:color="auto"/>
            </w:tcBorders>
            <w:shd w:val="clear" w:color="auto" w:fill="auto"/>
            <w:noWrap/>
            <w:vAlign w:val="center"/>
            <w:hideMark/>
          </w:tcPr>
          <w:p w14:paraId="2B45A36F" w14:textId="77777777" w:rsidR="001766D1" w:rsidRPr="001766D1" w:rsidRDefault="001766D1" w:rsidP="00234CBE">
            <w:pPr>
              <w:spacing w:line="276" w:lineRule="auto"/>
              <w:jc w:val="center"/>
              <w:rPr>
                <w:rFonts w:ascii="Book Antiqua" w:hAnsi="Book Antiqua" w:cs="Calibri"/>
                <w:b/>
                <w:bCs/>
                <w:color w:val="000000"/>
                <w:sz w:val="16"/>
                <w:szCs w:val="16"/>
                <w:u w:val="single"/>
                <w:lang w:eastAsia="es-CR"/>
              </w:rPr>
            </w:pPr>
            <w:r w:rsidRPr="001766D1">
              <w:rPr>
                <w:rFonts w:ascii="Book Antiqua" w:hAnsi="Book Antiqua" w:cs="Calibri"/>
                <w:b/>
                <w:bCs/>
                <w:color w:val="000000"/>
                <w:sz w:val="16"/>
                <w:szCs w:val="16"/>
                <w:u w:val="single"/>
                <w:lang w:eastAsia="es-CR"/>
              </w:rPr>
              <w:t>15609</w:t>
            </w:r>
          </w:p>
        </w:tc>
        <w:tc>
          <w:tcPr>
            <w:tcW w:w="871" w:type="dxa"/>
            <w:tcBorders>
              <w:top w:val="nil"/>
              <w:left w:val="nil"/>
              <w:bottom w:val="single" w:sz="4" w:space="0" w:color="auto"/>
              <w:right w:val="single" w:sz="4" w:space="0" w:color="auto"/>
            </w:tcBorders>
            <w:shd w:val="clear" w:color="auto" w:fill="auto"/>
            <w:noWrap/>
            <w:vAlign w:val="center"/>
            <w:hideMark/>
          </w:tcPr>
          <w:p w14:paraId="299B9891" w14:textId="77777777" w:rsidR="001766D1" w:rsidRPr="001766D1" w:rsidRDefault="001766D1" w:rsidP="00234CBE">
            <w:pPr>
              <w:spacing w:line="276" w:lineRule="auto"/>
              <w:jc w:val="center"/>
              <w:rPr>
                <w:rFonts w:ascii="Book Antiqua" w:hAnsi="Book Antiqua" w:cs="Calibri"/>
                <w:b/>
                <w:bCs/>
                <w:color w:val="000000"/>
                <w:sz w:val="16"/>
                <w:szCs w:val="16"/>
                <w:u w:val="single"/>
                <w:lang w:eastAsia="es-CR"/>
              </w:rPr>
            </w:pPr>
            <w:r w:rsidRPr="001766D1">
              <w:rPr>
                <w:rFonts w:ascii="Book Antiqua" w:hAnsi="Book Antiqua" w:cs="Calibri"/>
                <w:b/>
                <w:bCs/>
                <w:color w:val="000000"/>
                <w:sz w:val="16"/>
                <w:szCs w:val="16"/>
                <w:u w:val="single"/>
                <w:lang w:eastAsia="es-CR"/>
              </w:rPr>
              <w:t>14182</w:t>
            </w:r>
          </w:p>
        </w:tc>
        <w:tc>
          <w:tcPr>
            <w:tcW w:w="872" w:type="dxa"/>
            <w:tcBorders>
              <w:top w:val="nil"/>
              <w:left w:val="nil"/>
              <w:bottom w:val="single" w:sz="4" w:space="0" w:color="auto"/>
              <w:right w:val="single" w:sz="4" w:space="0" w:color="auto"/>
            </w:tcBorders>
            <w:shd w:val="clear" w:color="auto" w:fill="auto"/>
            <w:noWrap/>
            <w:vAlign w:val="center"/>
            <w:hideMark/>
          </w:tcPr>
          <w:p w14:paraId="5138B1D7" w14:textId="77777777" w:rsidR="001766D1" w:rsidRPr="001766D1" w:rsidRDefault="001766D1" w:rsidP="00234CBE">
            <w:pPr>
              <w:spacing w:line="276" w:lineRule="auto"/>
              <w:jc w:val="center"/>
              <w:rPr>
                <w:rFonts w:ascii="Book Antiqua" w:hAnsi="Book Antiqua" w:cs="Calibri"/>
                <w:b/>
                <w:bCs/>
                <w:color w:val="000000"/>
                <w:sz w:val="16"/>
                <w:szCs w:val="16"/>
                <w:u w:val="single"/>
                <w:lang w:eastAsia="es-CR"/>
              </w:rPr>
            </w:pPr>
            <w:r w:rsidRPr="001766D1">
              <w:rPr>
                <w:rFonts w:ascii="Book Antiqua" w:hAnsi="Book Antiqua" w:cs="Calibri"/>
                <w:b/>
                <w:bCs/>
                <w:color w:val="000000"/>
                <w:sz w:val="16"/>
                <w:szCs w:val="16"/>
                <w:u w:val="single"/>
                <w:lang w:eastAsia="es-CR"/>
              </w:rPr>
              <w:t>15457</w:t>
            </w:r>
          </w:p>
        </w:tc>
        <w:tc>
          <w:tcPr>
            <w:tcW w:w="873" w:type="dxa"/>
            <w:tcBorders>
              <w:top w:val="nil"/>
              <w:left w:val="nil"/>
              <w:bottom w:val="single" w:sz="4" w:space="0" w:color="auto"/>
              <w:right w:val="single" w:sz="4" w:space="0" w:color="auto"/>
            </w:tcBorders>
            <w:shd w:val="clear" w:color="auto" w:fill="auto"/>
            <w:noWrap/>
            <w:vAlign w:val="center"/>
            <w:hideMark/>
          </w:tcPr>
          <w:p w14:paraId="070B63AB" w14:textId="77777777" w:rsidR="001766D1" w:rsidRPr="001766D1" w:rsidRDefault="001766D1" w:rsidP="00234CBE">
            <w:pPr>
              <w:spacing w:line="276" w:lineRule="auto"/>
              <w:jc w:val="center"/>
              <w:rPr>
                <w:rFonts w:ascii="Book Antiqua" w:hAnsi="Book Antiqua" w:cs="Calibri"/>
                <w:b/>
                <w:bCs/>
                <w:color w:val="000000"/>
                <w:sz w:val="16"/>
                <w:szCs w:val="16"/>
                <w:u w:val="single"/>
                <w:lang w:eastAsia="es-CR"/>
              </w:rPr>
            </w:pPr>
            <w:r w:rsidRPr="001766D1">
              <w:rPr>
                <w:rFonts w:ascii="Book Antiqua" w:hAnsi="Book Antiqua" w:cs="Calibri"/>
                <w:b/>
                <w:bCs/>
                <w:color w:val="000000"/>
                <w:sz w:val="16"/>
                <w:szCs w:val="16"/>
                <w:u w:val="single"/>
                <w:lang w:eastAsia="es-CR"/>
              </w:rPr>
              <w:t>17201</w:t>
            </w:r>
          </w:p>
        </w:tc>
        <w:tc>
          <w:tcPr>
            <w:tcW w:w="872" w:type="dxa"/>
            <w:tcBorders>
              <w:top w:val="nil"/>
              <w:left w:val="nil"/>
              <w:bottom w:val="single" w:sz="4" w:space="0" w:color="auto"/>
              <w:right w:val="single" w:sz="4" w:space="0" w:color="auto"/>
            </w:tcBorders>
            <w:shd w:val="clear" w:color="auto" w:fill="auto"/>
            <w:noWrap/>
            <w:vAlign w:val="center"/>
            <w:hideMark/>
          </w:tcPr>
          <w:p w14:paraId="5AFB5370" w14:textId="77777777" w:rsidR="001766D1" w:rsidRPr="001766D1" w:rsidRDefault="001766D1" w:rsidP="00234CBE">
            <w:pPr>
              <w:spacing w:line="276" w:lineRule="auto"/>
              <w:jc w:val="center"/>
              <w:rPr>
                <w:rFonts w:ascii="Book Antiqua" w:hAnsi="Book Antiqua" w:cs="Calibri"/>
                <w:b/>
                <w:bCs/>
                <w:color w:val="000000"/>
                <w:sz w:val="16"/>
                <w:szCs w:val="16"/>
                <w:u w:val="single"/>
                <w:lang w:eastAsia="es-CR"/>
              </w:rPr>
            </w:pPr>
            <w:r w:rsidRPr="001766D1">
              <w:rPr>
                <w:rFonts w:ascii="Book Antiqua" w:hAnsi="Book Antiqua" w:cs="Calibri"/>
                <w:b/>
                <w:bCs/>
                <w:color w:val="000000"/>
                <w:sz w:val="16"/>
                <w:szCs w:val="16"/>
                <w:u w:val="single"/>
                <w:lang w:eastAsia="es-CR"/>
              </w:rPr>
              <w:t>133919</w:t>
            </w:r>
          </w:p>
        </w:tc>
        <w:tc>
          <w:tcPr>
            <w:tcW w:w="146" w:type="dxa"/>
            <w:vAlign w:val="center"/>
            <w:hideMark/>
          </w:tcPr>
          <w:p w14:paraId="76BCD1FE" w14:textId="77777777" w:rsidR="001766D1" w:rsidRPr="001766D1" w:rsidRDefault="001766D1" w:rsidP="00234CBE">
            <w:pPr>
              <w:spacing w:line="276" w:lineRule="auto"/>
              <w:rPr>
                <w:rFonts w:ascii="Times New Roman" w:hAnsi="Times New Roman"/>
                <w:sz w:val="20"/>
                <w:szCs w:val="20"/>
                <w:lang w:eastAsia="es-CR"/>
              </w:rPr>
            </w:pPr>
          </w:p>
        </w:tc>
      </w:tr>
      <w:tr w:rsidR="001766D1" w:rsidRPr="001766D1" w14:paraId="5B4FB938" w14:textId="77777777" w:rsidTr="001766D1">
        <w:trPr>
          <w:trHeight w:val="247"/>
          <w:jc w:val="center"/>
        </w:trPr>
        <w:tc>
          <w:tcPr>
            <w:tcW w:w="2427" w:type="dxa"/>
            <w:tcBorders>
              <w:top w:val="nil"/>
              <w:left w:val="single" w:sz="4" w:space="0" w:color="auto"/>
              <w:bottom w:val="single" w:sz="4" w:space="0" w:color="auto"/>
              <w:right w:val="nil"/>
            </w:tcBorders>
            <w:shd w:val="clear" w:color="auto" w:fill="auto"/>
            <w:noWrap/>
            <w:vAlign w:val="center"/>
            <w:hideMark/>
          </w:tcPr>
          <w:p w14:paraId="1CA53098" w14:textId="77777777" w:rsidR="001766D1" w:rsidRPr="001766D1" w:rsidRDefault="001766D1" w:rsidP="00234CBE">
            <w:pPr>
              <w:spacing w:line="276" w:lineRule="auto"/>
              <w:jc w:val="right"/>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Tribunal Penal y Flagrancias</w:t>
            </w:r>
          </w:p>
        </w:tc>
        <w:tc>
          <w:tcPr>
            <w:tcW w:w="871" w:type="dxa"/>
            <w:tcBorders>
              <w:top w:val="nil"/>
              <w:left w:val="single" w:sz="4" w:space="0" w:color="auto"/>
              <w:bottom w:val="single" w:sz="4" w:space="0" w:color="auto"/>
              <w:right w:val="single" w:sz="4" w:space="0" w:color="auto"/>
            </w:tcBorders>
            <w:shd w:val="clear" w:color="auto" w:fill="auto"/>
            <w:noWrap/>
            <w:vAlign w:val="bottom"/>
            <w:hideMark/>
          </w:tcPr>
          <w:p w14:paraId="0845EA06"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1677</w:t>
            </w:r>
          </w:p>
        </w:tc>
        <w:tc>
          <w:tcPr>
            <w:tcW w:w="872" w:type="dxa"/>
            <w:tcBorders>
              <w:top w:val="nil"/>
              <w:left w:val="nil"/>
              <w:bottom w:val="single" w:sz="4" w:space="0" w:color="auto"/>
              <w:right w:val="single" w:sz="4" w:space="0" w:color="auto"/>
            </w:tcBorders>
            <w:shd w:val="clear" w:color="auto" w:fill="auto"/>
            <w:noWrap/>
            <w:vAlign w:val="bottom"/>
            <w:hideMark/>
          </w:tcPr>
          <w:p w14:paraId="7D2FA17F"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1797</w:t>
            </w:r>
          </w:p>
        </w:tc>
        <w:tc>
          <w:tcPr>
            <w:tcW w:w="872" w:type="dxa"/>
            <w:tcBorders>
              <w:top w:val="nil"/>
              <w:left w:val="nil"/>
              <w:bottom w:val="single" w:sz="4" w:space="0" w:color="auto"/>
              <w:right w:val="single" w:sz="4" w:space="0" w:color="auto"/>
            </w:tcBorders>
            <w:shd w:val="clear" w:color="auto" w:fill="auto"/>
            <w:noWrap/>
            <w:vAlign w:val="bottom"/>
            <w:hideMark/>
          </w:tcPr>
          <w:p w14:paraId="2753839E"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1900</w:t>
            </w:r>
          </w:p>
        </w:tc>
        <w:tc>
          <w:tcPr>
            <w:tcW w:w="871" w:type="dxa"/>
            <w:tcBorders>
              <w:top w:val="nil"/>
              <w:left w:val="nil"/>
              <w:bottom w:val="single" w:sz="4" w:space="0" w:color="auto"/>
              <w:right w:val="single" w:sz="4" w:space="0" w:color="auto"/>
            </w:tcBorders>
            <w:shd w:val="clear" w:color="auto" w:fill="auto"/>
            <w:noWrap/>
            <w:vAlign w:val="bottom"/>
            <w:hideMark/>
          </w:tcPr>
          <w:p w14:paraId="49ED0F40"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1689</w:t>
            </w:r>
          </w:p>
        </w:tc>
        <w:tc>
          <w:tcPr>
            <w:tcW w:w="871" w:type="dxa"/>
            <w:tcBorders>
              <w:top w:val="nil"/>
              <w:left w:val="nil"/>
              <w:bottom w:val="single" w:sz="4" w:space="0" w:color="auto"/>
              <w:right w:val="single" w:sz="4" w:space="0" w:color="auto"/>
            </w:tcBorders>
            <w:shd w:val="clear" w:color="auto" w:fill="auto"/>
            <w:noWrap/>
            <w:vAlign w:val="bottom"/>
            <w:hideMark/>
          </w:tcPr>
          <w:p w14:paraId="266EF5B3"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1775</w:t>
            </w:r>
          </w:p>
        </w:tc>
        <w:tc>
          <w:tcPr>
            <w:tcW w:w="871" w:type="dxa"/>
            <w:tcBorders>
              <w:top w:val="nil"/>
              <w:left w:val="nil"/>
              <w:bottom w:val="single" w:sz="4" w:space="0" w:color="auto"/>
              <w:right w:val="single" w:sz="4" w:space="0" w:color="auto"/>
            </w:tcBorders>
            <w:shd w:val="clear" w:color="auto" w:fill="auto"/>
            <w:noWrap/>
            <w:vAlign w:val="bottom"/>
            <w:hideMark/>
          </w:tcPr>
          <w:p w14:paraId="09D499A4"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2127</w:t>
            </w:r>
          </w:p>
        </w:tc>
        <w:tc>
          <w:tcPr>
            <w:tcW w:w="871" w:type="dxa"/>
            <w:tcBorders>
              <w:top w:val="nil"/>
              <w:left w:val="nil"/>
              <w:bottom w:val="single" w:sz="4" w:space="0" w:color="auto"/>
              <w:right w:val="single" w:sz="4" w:space="0" w:color="auto"/>
            </w:tcBorders>
            <w:shd w:val="clear" w:color="auto" w:fill="auto"/>
            <w:noWrap/>
            <w:vAlign w:val="bottom"/>
            <w:hideMark/>
          </w:tcPr>
          <w:p w14:paraId="3C16D23D"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1868</w:t>
            </w:r>
          </w:p>
        </w:tc>
        <w:tc>
          <w:tcPr>
            <w:tcW w:w="872" w:type="dxa"/>
            <w:tcBorders>
              <w:top w:val="nil"/>
              <w:left w:val="nil"/>
              <w:bottom w:val="single" w:sz="4" w:space="0" w:color="auto"/>
              <w:right w:val="single" w:sz="4" w:space="0" w:color="auto"/>
            </w:tcBorders>
            <w:shd w:val="clear" w:color="auto" w:fill="auto"/>
            <w:noWrap/>
            <w:vAlign w:val="bottom"/>
            <w:hideMark/>
          </w:tcPr>
          <w:p w14:paraId="528C47B3"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2177</w:t>
            </w:r>
          </w:p>
        </w:tc>
        <w:tc>
          <w:tcPr>
            <w:tcW w:w="873" w:type="dxa"/>
            <w:tcBorders>
              <w:top w:val="nil"/>
              <w:left w:val="nil"/>
              <w:bottom w:val="single" w:sz="4" w:space="0" w:color="auto"/>
              <w:right w:val="single" w:sz="4" w:space="0" w:color="auto"/>
            </w:tcBorders>
            <w:shd w:val="clear" w:color="auto" w:fill="auto"/>
            <w:noWrap/>
            <w:vAlign w:val="bottom"/>
            <w:hideMark/>
          </w:tcPr>
          <w:p w14:paraId="6AA77A30"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1986</w:t>
            </w:r>
          </w:p>
        </w:tc>
        <w:tc>
          <w:tcPr>
            <w:tcW w:w="872" w:type="dxa"/>
            <w:tcBorders>
              <w:top w:val="nil"/>
              <w:left w:val="nil"/>
              <w:bottom w:val="single" w:sz="4" w:space="0" w:color="auto"/>
              <w:right w:val="single" w:sz="4" w:space="0" w:color="auto"/>
            </w:tcBorders>
            <w:shd w:val="clear" w:color="auto" w:fill="auto"/>
            <w:noWrap/>
            <w:vAlign w:val="center"/>
            <w:hideMark/>
          </w:tcPr>
          <w:p w14:paraId="36076D50"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16996</w:t>
            </w:r>
          </w:p>
        </w:tc>
        <w:tc>
          <w:tcPr>
            <w:tcW w:w="146" w:type="dxa"/>
            <w:vAlign w:val="center"/>
            <w:hideMark/>
          </w:tcPr>
          <w:p w14:paraId="55F962CA" w14:textId="77777777" w:rsidR="001766D1" w:rsidRPr="001766D1" w:rsidRDefault="001766D1" w:rsidP="00234CBE">
            <w:pPr>
              <w:spacing w:line="276" w:lineRule="auto"/>
              <w:rPr>
                <w:rFonts w:ascii="Times New Roman" w:hAnsi="Times New Roman"/>
                <w:sz w:val="20"/>
                <w:szCs w:val="20"/>
                <w:lang w:eastAsia="es-CR"/>
              </w:rPr>
            </w:pPr>
          </w:p>
        </w:tc>
      </w:tr>
      <w:tr w:rsidR="001766D1" w:rsidRPr="001766D1" w14:paraId="46DB9ABE" w14:textId="77777777" w:rsidTr="001766D1">
        <w:trPr>
          <w:trHeight w:val="247"/>
          <w:jc w:val="center"/>
        </w:trPr>
        <w:tc>
          <w:tcPr>
            <w:tcW w:w="2427" w:type="dxa"/>
            <w:tcBorders>
              <w:top w:val="nil"/>
              <w:left w:val="single" w:sz="4" w:space="0" w:color="auto"/>
              <w:bottom w:val="single" w:sz="4" w:space="0" w:color="auto"/>
              <w:right w:val="nil"/>
            </w:tcBorders>
            <w:shd w:val="clear" w:color="auto" w:fill="auto"/>
            <w:noWrap/>
            <w:vAlign w:val="center"/>
            <w:hideMark/>
          </w:tcPr>
          <w:p w14:paraId="1C819162" w14:textId="77777777" w:rsidR="001766D1" w:rsidRPr="001766D1" w:rsidRDefault="001766D1" w:rsidP="00234CBE">
            <w:pPr>
              <w:spacing w:line="276" w:lineRule="auto"/>
              <w:jc w:val="right"/>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Juzgado Penal</w:t>
            </w:r>
          </w:p>
        </w:tc>
        <w:tc>
          <w:tcPr>
            <w:tcW w:w="871" w:type="dxa"/>
            <w:tcBorders>
              <w:top w:val="nil"/>
              <w:left w:val="single" w:sz="4" w:space="0" w:color="auto"/>
              <w:bottom w:val="single" w:sz="4" w:space="0" w:color="auto"/>
              <w:right w:val="single" w:sz="4" w:space="0" w:color="auto"/>
            </w:tcBorders>
            <w:shd w:val="clear" w:color="auto" w:fill="auto"/>
            <w:noWrap/>
            <w:vAlign w:val="bottom"/>
            <w:hideMark/>
          </w:tcPr>
          <w:p w14:paraId="31B30FA1"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9622</w:t>
            </w:r>
          </w:p>
        </w:tc>
        <w:tc>
          <w:tcPr>
            <w:tcW w:w="872" w:type="dxa"/>
            <w:tcBorders>
              <w:top w:val="nil"/>
              <w:left w:val="nil"/>
              <w:bottom w:val="single" w:sz="4" w:space="0" w:color="auto"/>
              <w:right w:val="single" w:sz="4" w:space="0" w:color="auto"/>
            </w:tcBorders>
            <w:shd w:val="clear" w:color="auto" w:fill="auto"/>
            <w:noWrap/>
            <w:vAlign w:val="bottom"/>
            <w:hideMark/>
          </w:tcPr>
          <w:p w14:paraId="3D6B61B7"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10665</w:t>
            </w:r>
          </w:p>
        </w:tc>
        <w:tc>
          <w:tcPr>
            <w:tcW w:w="872" w:type="dxa"/>
            <w:tcBorders>
              <w:top w:val="nil"/>
              <w:left w:val="nil"/>
              <w:bottom w:val="single" w:sz="4" w:space="0" w:color="auto"/>
              <w:right w:val="single" w:sz="4" w:space="0" w:color="auto"/>
            </w:tcBorders>
            <w:shd w:val="clear" w:color="auto" w:fill="auto"/>
            <w:noWrap/>
            <w:vAlign w:val="bottom"/>
            <w:hideMark/>
          </w:tcPr>
          <w:p w14:paraId="5B90753B"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10844</w:t>
            </w:r>
          </w:p>
        </w:tc>
        <w:tc>
          <w:tcPr>
            <w:tcW w:w="871" w:type="dxa"/>
            <w:tcBorders>
              <w:top w:val="nil"/>
              <w:left w:val="nil"/>
              <w:bottom w:val="single" w:sz="4" w:space="0" w:color="auto"/>
              <w:right w:val="single" w:sz="4" w:space="0" w:color="auto"/>
            </w:tcBorders>
            <w:shd w:val="clear" w:color="auto" w:fill="auto"/>
            <w:noWrap/>
            <w:vAlign w:val="bottom"/>
            <w:hideMark/>
          </w:tcPr>
          <w:p w14:paraId="4FEE4AC6"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10806</w:t>
            </w:r>
          </w:p>
        </w:tc>
        <w:tc>
          <w:tcPr>
            <w:tcW w:w="871" w:type="dxa"/>
            <w:tcBorders>
              <w:top w:val="nil"/>
              <w:left w:val="nil"/>
              <w:bottom w:val="single" w:sz="4" w:space="0" w:color="auto"/>
              <w:right w:val="single" w:sz="4" w:space="0" w:color="auto"/>
            </w:tcBorders>
            <w:shd w:val="clear" w:color="auto" w:fill="auto"/>
            <w:noWrap/>
            <w:vAlign w:val="bottom"/>
            <w:hideMark/>
          </w:tcPr>
          <w:p w14:paraId="03B76ED1"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10202</w:t>
            </w:r>
          </w:p>
        </w:tc>
        <w:tc>
          <w:tcPr>
            <w:tcW w:w="871" w:type="dxa"/>
            <w:tcBorders>
              <w:top w:val="nil"/>
              <w:left w:val="nil"/>
              <w:bottom w:val="single" w:sz="4" w:space="0" w:color="auto"/>
              <w:right w:val="single" w:sz="4" w:space="0" w:color="auto"/>
            </w:tcBorders>
            <w:shd w:val="clear" w:color="auto" w:fill="auto"/>
            <w:noWrap/>
            <w:vAlign w:val="bottom"/>
            <w:hideMark/>
          </w:tcPr>
          <w:p w14:paraId="2F22F615"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11272</w:t>
            </w:r>
          </w:p>
        </w:tc>
        <w:tc>
          <w:tcPr>
            <w:tcW w:w="871" w:type="dxa"/>
            <w:tcBorders>
              <w:top w:val="nil"/>
              <w:left w:val="nil"/>
              <w:bottom w:val="single" w:sz="4" w:space="0" w:color="auto"/>
              <w:right w:val="single" w:sz="4" w:space="0" w:color="auto"/>
            </w:tcBorders>
            <w:shd w:val="clear" w:color="auto" w:fill="auto"/>
            <w:noWrap/>
            <w:vAlign w:val="bottom"/>
            <w:hideMark/>
          </w:tcPr>
          <w:p w14:paraId="6B475945"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10296</w:t>
            </w:r>
          </w:p>
        </w:tc>
        <w:tc>
          <w:tcPr>
            <w:tcW w:w="872" w:type="dxa"/>
            <w:tcBorders>
              <w:top w:val="nil"/>
              <w:left w:val="nil"/>
              <w:bottom w:val="single" w:sz="4" w:space="0" w:color="auto"/>
              <w:right w:val="single" w:sz="4" w:space="0" w:color="auto"/>
            </w:tcBorders>
            <w:shd w:val="clear" w:color="auto" w:fill="auto"/>
            <w:noWrap/>
            <w:vAlign w:val="bottom"/>
            <w:hideMark/>
          </w:tcPr>
          <w:p w14:paraId="2B389D82"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11548</w:t>
            </w:r>
          </w:p>
        </w:tc>
        <w:tc>
          <w:tcPr>
            <w:tcW w:w="873" w:type="dxa"/>
            <w:tcBorders>
              <w:top w:val="nil"/>
              <w:left w:val="nil"/>
              <w:bottom w:val="single" w:sz="4" w:space="0" w:color="auto"/>
              <w:right w:val="single" w:sz="4" w:space="0" w:color="auto"/>
            </w:tcBorders>
            <w:shd w:val="clear" w:color="auto" w:fill="auto"/>
            <w:noWrap/>
            <w:vAlign w:val="bottom"/>
            <w:hideMark/>
          </w:tcPr>
          <w:p w14:paraId="35FF5E5E"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12987</w:t>
            </w:r>
          </w:p>
        </w:tc>
        <w:tc>
          <w:tcPr>
            <w:tcW w:w="872" w:type="dxa"/>
            <w:tcBorders>
              <w:top w:val="nil"/>
              <w:left w:val="nil"/>
              <w:bottom w:val="single" w:sz="4" w:space="0" w:color="auto"/>
              <w:right w:val="single" w:sz="4" w:space="0" w:color="auto"/>
            </w:tcBorders>
            <w:shd w:val="clear" w:color="auto" w:fill="auto"/>
            <w:noWrap/>
            <w:vAlign w:val="center"/>
            <w:hideMark/>
          </w:tcPr>
          <w:p w14:paraId="20D40355"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98242</w:t>
            </w:r>
          </w:p>
        </w:tc>
        <w:tc>
          <w:tcPr>
            <w:tcW w:w="146" w:type="dxa"/>
            <w:vAlign w:val="center"/>
            <w:hideMark/>
          </w:tcPr>
          <w:p w14:paraId="00909CCA" w14:textId="77777777" w:rsidR="001766D1" w:rsidRPr="001766D1" w:rsidRDefault="001766D1" w:rsidP="00234CBE">
            <w:pPr>
              <w:spacing w:line="276" w:lineRule="auto"/>
              <w:rPr>
                <w:rFonts w:ascii="Times New Roman" w:hAnsi="Times New Roman"/>
                <w:sz w:val="20"/>
                <w:szCs w:val="20"/>
                <w:lang w:eastAsia="es-CR"/>
              </w:rPr>
            </w:pPr>
          </w:p>
        </w:tc>
      </w:tr>
      <w:tr w:rsidR="001766D1" w:rsidRPr="001766D1" w14:paraId="343D4D58" w14:textId="77777777" w:rsidTr="001766D1">
        <w:trPr>
          <w:trHeight w:val="247"/>
          <w:jc w:val="center"/>
        </w:trPr>
        <w:tc>
          <w:tcPr>
            <w:tcW w:w="2427" w:type="dxa"/>
            <w:tcBorders>
              <w:top w:val="nil"/>
              <w:left w:val="single" w:sz="4" w:space="0" w:color="auto"/>
              <w:bottom w:val="single" w:sz="4" w:space="0" w:color="auto"/>
              <w:right w:val="nil"/>
            </w:tcBorders>
            <w:shd w:val="clear" w:color="auto" w:fill="auto"/>
            <w:noWrap/>
            <w:vAlign w:val="center"/>
            <w:hideMark/>
          </w:tcPr>
          <w:p w14:paraId="71CC4F0D" w14:textId="77777777" w:rsidR="001766D1" w:rsidRPr="001766D1" w:rsidRDefault="001766D1" w:rsidP="00234CBE">
            <w:pPr>
              <w:spacing w:line="276" w:lineRule="auto"/>
              <w:jc w:val="right"/>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Juzgado Penal Juvenil</w:t>
            </w:r>
          </w:p>
        </w:tc>
        <w:tc>
          <w:tcPr>
            <w:tcW w:w="871" w:type="dxa"/>
            <w:tcBorders>
              <w:top w:val="nil"/>
              <w:left w:val="single" w:sz="4" w:space="0" w:color="auto"/>
              <w:bottom w:val="single" w:sz="4" w:space="0" w:color="auto"/>
              <w:right w:val="single" w:sz="4" w:space="0" w:color="auto"/>
            </w:tcBorders>
            <w:shd w:val="clear" w:color="auto" w:fill="auto"/>
            <w:noWrap/>
            <w:vAlign w:val="bottom"/>
            <w:hideMark/>
          </w:tcPr>
          <w:p w14:paraId="46019DD5"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527</w:t>
            </w:r>
          </w:p>
        </w:tc>
        <w:tc>
          <w:tcPr>
            <w:tcW w:w="872" w:type="dxa"/>
            <w:tcBorders>
              <w:top w:val="nil"/>
              <w:left w:val="nil"/>
              <w:bottom w:val="single" w:sz="4" w:space="0" w:color="auto"/>
              <w:right w:val="single" w:sz="4" w:space="0" w:color="auto"/>
            </w:tcBorders>
            <w:shd w:val="clear" w:color="auto" w:fill="auto"/>
            <w:noWrap/>
            <w:vAlign w:val="bottom"/>
            <w:hideMark/>
          </w:tcPr>
          <w:p w14:paraId="4710D4D0"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531</w:t>
            </w:r>
          </w:p>
        </w:tc>
        <w:tc>
          <w:tcPr>
            <w:tcW w:w="872" w:type="dxa"/>
            <w:tcBorders>
              <w:top w:val="nil"/>
              <w:left w:val="nil"/>
              <w:bottom w:val="single" w:sz="4" w:space="0" w:color="auto"/>
              <w:right w:val="single" w:sz="4" w:space="0" w:color="auto"/>
            </w:tcBorders>
            <w:shd w:val="clear" w:color="auto" w:fill="auto"/>
            <w:noWrap/>
            <w:vAlign w:val="bottom"/>
            <w:hideMark/>
          </w:tcPr>
          <w:p w14:paraId="6BC100A2"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580</w:t>
            </w:r>
          </w:p>
        </w:tc>
        <w:tc>
          <w:tcPr>
            <w:tcW w:w="871" w:type="dxa"/>
            <w:tcBorders>
              <w:top w:val="nil"/>
              <w:left w:val="nil"/>
              <w:bottom w:val="single" w:sz="4" w:space="0" w:color="auto"/>
              <w:right w:val="single" w:sz="4" w:space="0" w:color="auto"/>
            </w:tcBorders>
            <w:shd w:val="clear" w:color="auto" w:fill="auto"/>
            <w:noWrap/>
            <w:vAlign w:val="bottom"/>
            <w:hideMark/>
          </w:tcPr>
          <w:p w14:paraId="66423538"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564</w:t>
            </w:r>
          </w:p>
        </w:tc>
        <w:tc>
          <w:tcPr>
            <w:tcW w:w="871" w:type="dxa"/>
            <w:tcBorders>
              <w:top w:val="nil"/>
              <w:left w:val="nil"/>
              <w:bottom w:val="single" w:sz="4" w:space="0" w:color="auto"/>
              <w:right w:val="single" w:sz="4" w:space="0" w:color="auto"/>
            </w:tcBorders>
            <w:shd w:val="clear" w:color="auto" w:fill="auto"/>
            <w:noWrap/>
            <w:vAlign w:val="bottom"/>
            <w:hideMark/>
          </w:tcPr>
          <w:p w14:paraId="1500949D"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437</w:t>
            </w:r>
          </w:p>
        </w:tc>
        <w:tc>
          <w:tcPr>
            <w:tcW w:w="871" w:type="dxa"/>
            <w:tcBorders>
              <w:top w:val="nil"/>
              <w:left w:val="nil"/>
              <w:bottom w:val="single" w:sz="4" w:space="0" w:color="auto"/>
              <w:right w:val="single" w:sz="4" w:space="0" w:color="auto"/>
            </w:tcBorders>
            <w:shd w:val="clear" w:color="auto" w:fill="auto"/>
            <w:noWrap/>
            <w:vAlign w:val="bottom"/>
            <w:hideMark/>
          </w:tcPr>
          <w:p w14:paraId="52521AC2"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568</w:t>
            </w:r>
          </w:p>
        </w:tc>
        <w:tc>
          <w:tcPr>
            <w:tcW w:w="871" w:type="dxa"/>
            <w:tcBorders>
              <w:top w:val="nil"/>
              <w:left w:val="nil"/>
              <w:bottom w:val="single" w:sz="4" w:space="0" w:color="auto"/>
              <w:right w:val="single" w:sz="4" w:space="0" w:color="auto"/>
            </w:tcBorders>
            <w:shd w:val="clear" w:color="auto" w:fill="auto"/>
            <w:noWrap/>
            <w:vAlign w:val="bottom"/>
            <w:hideMark/>
          </w:tcPr>
          <w:p w14:paraId="32D96882"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599</w:t>
            </w:r>
          </w:p>
        </w:tc>
        <w:tc>
          <w:tcPr>
            <w:tcW w:w="872" w:type="dxa"/>
            <w:tcBorders>
              <w:top w:val="nil"/>
              <w:left w:val="nil"/>
              <w:bottom w:val="single" w:sz="4" w:space="0" w:color="auto"/>
              <w:right w:val="single" w:sz="4" w:space="0" w:color="auto"/>
            </w:tcBorders>
            <w:shd w:val="clear" w:color="auto" w:fill="auto"/>
            <w:noWrap/>
            <w:vAlign w:val="bottom"/>
            <w:hideMark/>
          </w:tcPr>
          <w:p w14:paraId="598B0982"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412</w:t>
            </w:r>
          </w:p>
        </w:tc>
        <w:tc>
          <w:tcPr>
            <w:tcW w:w="873" w:type="dxa"/>
            <w:tcBorders>
              <w:top w:val="nil"/>
              <w:left w:val="nil"/>
              <w:bottom w:val="single" w:sz="4" w:space="0" w:color="auto"/>
              <w:right w:val="single" w:sz="4" w:space="0" w:color="auto"/>
            </w:tcBorders>
            <w:shd w:val="clear" w:color="auto" w:fill="auto"/>
            <w:noWrap/>
            <w:vAlign w:val="bottom"/>
            <w:hideMark/>
          </w:tcPr>
          <w:p w14:paraId="45F8A89A"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543</w:t>
            </w:r>
          </w:p>
        </w:tc>
        <w:tc>
          <w:tcPr>
            <w:tcW w:w="872" w:type="dxa"/>
            <w:tcBorders>
              <w:top w:val="nil"/>
              <w:left w:val="nil"/>
              <w:bottom w:val="single" w:sz="4" w:space="0" w:color="auto"/>
              <w:right w:val="single" w:sz="4" w:space="0" w:color="auto"/>
            </w:tcBorders>
            <w:shd w:val="clear" w:color="auto" w:fill="auto"/>
            <w:noWrap/>
            <w:vAlign w:val="center"/>
            <w:hideMark/>
          </w:tcPr>
          <w:p w14:paraId="6F68F6C1"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4761</w:t>
            </w:r>
          </w:p>
        </w:tc>
        <w:tc>
          <w:tcPr>
            <w:tcW w:w="146" w:type="dxa"/>
            <w:vAlign w:val="center"/>
            <w:hideMark/>
          </w:tcPr>
          <w:p w14:paraId="28CF5003" w14:textId="77777777" w:rsidR="001766D1" w:rsidRPr="001766D1" w:rsidRDefault="001766D1" w:rsidP="00234CBE">
            <w:pPr>
              <w:spacing w:line="276" w:lineRule="auto"/>
              <w:rPr>
                <w:rFonts w:ascii="Times New Roman" w:hAnsi="Times New Roman"/>
                <w:sz w:val="20"/>
                <w:szCs w:val="20"/>
                <w:lang w:eastAsia="es-CR"/>
              </w:rPr>
            </w:pPr>
          </w:p>
        </w:tc>
      </w:tr>
      <w:tr w:rsidR="001766D1" w:rsidRPr="001766D1" w14:paraId="151D14BE" w14:textId="77777777" w:rsidTr="001766D1">
        <w:trPr>
          <w:trHeight w:val="247"/>
          <w:jc w:val="center"/>
        </w:trPr>
        <w:tc>
          <w:tcPr>
            <w:tcW w:w="2427" w:type="dxa"/>
            <w:tcBorders>
              <w:top w:val="nil"/>
              <w:left w:val="single" w:sz="4" w:space="0" w:color="auto"/>
              <w:bottom w:val="single" w:sz="4" w:space="0" w:color="auto"/>
              <w:right w:val="nil"/>
            </w:tcBorders>
            <w:shd w:val="clear" w:color="auto" w:fill="auto"/>
            <w:noWrap/>
            <w:vAlign w:val="center"/>
            <w:hideMark/>
          </w:tcPr>
          <w:p w14:paraId="2ECD0309" w14:textId="77777777" w:rsidR="001766D1" w:rsidRPr="001766D1" w:rsidRDefault="001766D1" w:rsidP="00234CBE">
            <w:pPr>
              <w:spacing w:line="276" w:lineRule="auto"/>
              <w:jc w:val="right"/>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Juzgados de Ejecución de la Pena</w:t>
            </w:r>
          </w:p>
        </w:tc>
        <w:tc>
          <w:tcPr>
            <w:tcW w:w="871" w:type="dxa"/>
            <w:tcBorders>
              <w:top w:val="nil"/>
              <w:left w:val="single" w:sz="4" w:space="0" w:color="auto"/>
              <w:bottom w:val="single" w:sz="4" w:space="0" w:color="auto"/>
              <w:right w:val="single" w:sz="4" w:space="0" w:color="auto"/>
            </w:tcBorders>
            <w:shd w:val="clear" w:color="auto" w:fill="auto"/>
            <w:noWrap/>
            <w:vAlign w:val="bottom"/>
            <w:hideMark/>
          </w:tcPr>
          <w:p w14:paraId="09FA307D"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934</w:t>
            </w:r>
          </w:p>
        </w:tc>
        <w:tc>
          <w:tcPr>
            <w:tcW w:w="872" w:type="dxa"/>
            <w:tcBorders>
              <w:top w:val="nil"/>
              <w:left w:val="nil"/>
              <w:bottom w:val="single" w:sz="4" w:space="0" w:color="auto"/>
              <w:right w:val="single" w:sz="4" w:space="0" w:color="auto"/>
            </w:tcBorders>
            <w:shd w:val="clear" w:color="auto" w:fill="auto"/>
            <w:noWrap/>
            <w:vAlign w:val="bottom"/>
            <w:hideMark/>
          </w:tcPr>
          <w:p w14:paraId="5E22D212"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1558</w:t>
            </w:r>
          </w:p>
        </w:tc>
        <w:tc>
          <w:tcPr>
            <w:tcW w:w="872" w:type="dxa"/>
            <w:tcBorders>
              <w:top w:val="nil"/>
              <w:left w:val="nil"/>
              <w:bottom w:val="single" w:sz="4" w:space="0" w:color="auto"/>
              <w:right w:val="single" w:sz="4" w:space="0" w:color="auto"/>
            </w:tcBorders>
            <w:shd w:val="clear" w:color="auto" w:fill="auto"/>
            <w:noWrap/>
            <w:vAlign w:val="bottom"/>
            <w:hideMark/>
          </w:tcPr>
          <w:p w14:paraId="78E1F240"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1085</w:t>
            </w:r>
          </w:p>
        </w:tc>
        <w:tc>
          <w:tcPr>
            <w:tcW w:w="871" w:type="dxa"/>
            <w:tcBorders>
              <w:top w:val="nil"/>
              <w:left w:val="nil"/>
              <w:bottom w:val="single" w:sz="4" w:space="0" w:color="auto"/>
              <w:right w:val="single" w:sz="4" w:space="0" w:color="auto"/>
            </w:tcBorders>
            <w:shd w:val="clear" w:color="auto" w:fill="auto"/>
            <w:noWrap/>
            <w:vAlign w:val="bottom"/>
            <w:hideMark/>
          </w:tcPr>
          <w:p w14:paraId="0F1768CE"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1362</w:t>
            </w:r>
          </w:p>
        </w:tc>
        <w:tc>
          <w:tcPr>
            <w:tcW w:w="871" w:type="dxa"/>
            <w:tcBorders>
              <w:top w:val="nil"/>
              <w:left w:val="nil"/>
              <w:bottom w:val="single" w:sz="4" w:space="0" w:color="auto"/>
              <w:right w:val="single" w:sz="4" w:space="0" w:color="auto"/>
            </w:tcBorders>
            <w:shd w:val="clear" w:color="auto" w:fill="auto"/>
            <w:noWrap/>
            <w:vAlign w:val="bottom"/>
            <w:hideMark/>
          </w:tcPr>
          <w:p w14:paraId="101C5B84"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1497</w:t>
            </w:r>
          </w:p>
        </w:tc>
        <w:tc>
          <w:tcPr>
            <w:tcW w:w="871" w:type="dxa"/>
            <w:tcBorders>
              <w:top w:val="nil"/>
              <w:left w:val="nil"/>
              <w:bottom w:val="single" w:sz="4" w:space="0" w:color="auto"/>
              <w:right w:val="single" w:sz="4" w:space="0" w:color="auto"/>
            </w:tcBorders>
            <w:shd w:val="clear" w:color="auto" w:fill="auto"/>
            <w:noWrap/>
            <w:vAlign w:val="bottom"/>
            <w:hideMark/>
          </w:tcPr>
          <w:p w14:paraId="2AEF7EAB"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1354</w:t>
            </w:r>
          </w:p>
        </w:tc>
        <w:tc>
          <w:tcPr>
            <w:tcW w:w="871" w:type="dxa"/>
            <w:tcBorders>
              <w:top w:val="nil"/>
              <w:left w:val="nil"/>
              <w:bottom w:val="single" w:sz="4" w:space="0" w:color="auto"/>
              <w:right w:val="single" w:sz="4" w:space="0" w:color="auto"/>
            </w:tcBorders>
            <w:shd w:val="clear" w:color="auto" w:fill="auto"/>
            <w:noWrap/>
            <w:vAlign w:val="bottom"/>
            <w:hideMark/>
          </w:tcPr>
          <w:p w14:paraId="40DB23F0"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1171</w:t>
            </w:r>
          </w:p>
        </w:tc>
        <w:tc>
          <w:tcPr>
            <w:tcW w:w="872" w:type="dxa"/>
            <w:tcBorders>
              <w:top w:val="nil"/>
              <w:left w:val="nil"/>
              <w:bottom w:val="single" w:sz="4" w:space="0" w:color="auto"/>
              <w:right w:val="single" w:sz="4" w:space="0" w:color="auto"/>
            </w:tcBorders>
            <w:shd w:val="clear" w:color="auto" w:fill="auto"/>
            <w:noWrap/>
            <w:vAlign w:val="bottom"/>
            <w:hideMark/>
          </w:tcPr>
          <w:p w14:paraId="31FE8268"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1103</w:t>
            </w:r>
          </w:p>
        </w:tc>
        <w:tc>
          <w:tcPr>
            <w:tcW w:w="873" w:type="dxa"/>
            <w:tcBorders>
              <w:top w:val="nil"/>
              <w:left w:val="nil"/>
              <w:bottom w:val="single" w:sz="4" w:space="0" w:color="auto"/>
              <w:right w:val="single" w:sz="4" w:space="0" w:color="auto"/>
            </w:tcBorders>
            <w:shd w:val="clear" w:color="auto" w:fill="auto"/>
            <w:noWrap/>
            <w:vAlign w:val="bottom"/>
            <w:hideMark/>
          </w:tcPr>
          <w:p w14:paraId="0BDDAFEB"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1430</w:t>
            </w:r>
          </w:p>
        </w:tc>
        <w:tc>
          <w:tcPr>
            <w:tcW w:w="872" w:type="dxa"/>
            <w:tcBorders>
              <w:top w:val="nil"/>
              <w:left w:val="nil"/>
              <w:bottom w:val="single" w:sz="4" w:space="0" w:color="auto"/>
              <w:right w:val="single" w:sz="4" w:space="0" w:color="auto"/>
            </w:tcBorders>
            <w:shd w:val="clear" w:color="auto" w:fill="auto"/>
            <w:noWrap/>
            <w:vAlign w:val="center"/>
            <w:hideMark/>
          </w:tcPr>
          <w:p w14:paraId="52B27F92"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11494</w:t>
            </w:r>
          </w:p>
        </w:tc>
        <w:tc>
          <w:tcPr>
            <w:tcW w:w="146" w:type="dxa"/>
            <w:vAlign w:val="center"/>
            <w:hideMark/>
          </w:tcPr>
          <w:p w14:paraId="24D4DC88" w14:textId="77777777" w:rsidR="001766D1" w:rsidRPr="001766D1" w:rsidRDefault="001766D1" w:rsidP="00234CBE">
            <w:pPr>
              <w:spacing w:line="276" w:lineRule="auto"/>
              <w:rPr>
                <w:rFonts w:ascii="Times New Roman" w:hAnsi="Times New Roman"/>
                <w:sz w:val="20"/>
                <w:szCs w:val="20"/>
                <w:lang w:eastAsia="es-CR"/>
              </w:rPr>
            </w:pPr>
          </w:p>
        </w:tc>
      </w:tr>
      <w:tr w:rsidR="001766D1" w:rsidRPr="001766D1" w14:paraId="5314B9A2" w14:textId="77777777" w:rsidTr="001766D1">
        <w:trPr>
          <w:trHeight w:val="247"/>
          <w:jc w:val="center"/>
        </w:trPr>
        <w:tc>
          <w:tcPr>
            <w:tcW w:w="2427" w:type="dxa"/>
            <w:tcBorders>
              <w:top w:val="nil"/>
              <w:left w:val="single" w:sz="4" w:space="0" w:color="auto"/>
              <w:bottom w:val="single" w:sz="4" w:space="0" w:color="auto"/>
              <w:right w:val="nil"/>
            </w:tcBorders>
            <w:shd w:val="clear" w:color="auto" w:fill="auto"/>
            <w:noWrap/>
            <w:vAlign w:val="center"/>
            <w:hideMark/>
          </w:tcPr>
          <w:p w14:paraId="17B16D81" w14:textId="77777777" w:rsidR="001766D1" w:rsidRPr="001766D1" w:rsidRDefault="001766D1" w:rsidP="00234CBE">
            <w:pPr>
              <w:spacing w:line="276" w:lineRule="auto"/>
              <w:jc w:val="right"/>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Juzgado de Ejecución Sanción Penal Juvenil</w:t>
            </w:r>
          </w:p>
        </w:tc>
        <w:tc>
          <w:tcPr>
            <w:tcW w:w="871" w:type="dxa"/>
            <w:tcBorders>
              <w:top w:val="nil"/>
              <w:left w:val="single" w:sz="4" w:space="0" w:color="auto"/>
              <w:bottom w:val="single" w:sz="4" w:space="0" w:color="auto"/>
              <w:right w:val="single" w:sz="4" w:space="0" w:color="auto"/>
            </w:tcBorders>
            <w:shd w:val="clear" w:color="auto" w:fill="auto"/>
            <w:noWrap/>
            <w:vAlign w:val="bottom"/>
            <w:hideMark/>
          </w:tcPr>
          <w:p w14:paraId="0CC2B559"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266</w:t>
            </w:r>
          </w:p>
        </w:tc>
        <w:tc>
          <w:tcPr>
            <w:tcW w:w="872" w:type="dxa"/>
            <w:tcBorders>
              <w:top w:val="nil"/>
              <w:left w:val="nil"/>
              <w:bottom w:val="single" w:sz="4" w:space="0" w:color="auto"/>
              <w:right w:val="single" w:sz="4" w:space="0" w:color="auto"/>
            </w:tcBorders>
            <w:shd w:val="clear" w:color="auto" w:fill="auto"/>
            <w:noWrap/>
            <w:vAlign w:val="bottom"/>
            <w:hideMark/>
          </w:tcPr>
          <w:p w14:paraId="24B3D5C0"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306</w:t>
            </w:r>
          </w:p>
        </w:tc>
        <w:tc>
          <w:tcPr>
            <w:tcW w:w="872" w:type="dxa"/>
            <w:tcBorders>
              <w:top w:val="nil"/>
              <w:left w:val="nil"/>
              <w:bottom w:val="single" w:sz="4" w:space="0" w:color="auto"/>
              <w:right w:val="single" w:sz="4" w:space="0" w:color="auto"/>
            </w:tcBorders>
            <w:shd w:val="clear" w:color="auto" w:fill="auto"/>
            <w:noWrap/>
            <w:vAlign w:val="bottom"/>
            <w:hideMark/>
          </w:tcPr>
          <w:p w14:paraId="221BE5FE"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298</w:t>
            </w:r>
          </w:p>
        </w:tc>
        <w:tc>
          <w:tcPr>
            <w:tcW w:w="871" w:type="dxa"/>
            <w:tcBorders>
              <w:top w:val="nil"/>
              <w:left w:val="nil"/>
              <w:bottom w:val="single" w:sz="4" w:space="0" w:color="auto"/>
              <w:right w:val="single" w:sz="4" w:space="0" w:color="auto"/>
            </w:tcBorders>
            <w:shd w:val="clear" w:color="auto" w:fill="auto"/>
            <w:noWrap/>
            <w:vAlign w:val="bottom"/>
            <w:hideMark/>
          </w:tcPr>
          <w:p w14:paraId="23530071"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296</w:t>
            </w:r>
          </w:p>
        </w:tc>
        <w:tc>
          <w:tcPr>
            <w:tcW w:w="871" w:type="dxa"/>
            <w:tcBorders>
              <w:top w:val="nil"/>
              <w:left w:val="nil"/>
              <w:bottom w:val="single" w:sz="4" w:space="0" w:color="auto"/>
              <w:right w:val="single" w:sz="4" w:space="0" w:color="auto"/>
            </w:tcBorders>
            <w:shd w:val="clear" w:color="auto" w:fill="auto"/>
            <w:noWrap/>
            <w:vAlign w:val="bottom"/>
            <w:hideMark/>
          </w:tcPr>
          <w:p w14:paraId="4244A73F"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252</w:t>
            </w:r>
          </w:p>
        </w:tc>
        <w:tc>
          <w:tcPr>
            <w:tcW w:w="871" w:type="dxa"/>
            <w:tcBorders>
              <w:top w:val="nil"/>
              <w:left w:val="nil"/>
              <w:bottom w:val="single" w:sz="4" w:space="0" w:color="auto"/>
              <w:right w:val="single" w:sz="4" w:space="0" w:color="auto"/>
            </w:tcBorders>
            <w:shd w:val="clear" w:color="auto" w:fill="auto"/>
            <w:noWrap/>
            <w:vAlign w:val="bottom"/>
            <w:hideMark/>
          </w:tcPr>
          <w:p w14:paraId="5ED0FE91"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288</w:t>
            </w:r>
          </w:p>
        </w:tc>
        <w:tc>
          <w:tcPr>
            <w:tcW w:w="871" w:type="dxa"/>
            <w:tcBorders>
              <w:top w:val="nil"/>
              <w:left w:val="nil"/>
              <w:bottom w:val="single" w:sz="4" w:space="0" w:color="auto"/>
              <w:right w:val="single" w:sz="4" w:space="0" w:color="auto"/>
            </w:tcBorders>
            <w:shd w:val="clear" w:color="auto" w:fill="auto"/>
            <w:noWrap/>
            <w:vAlign w:val="bottom"/>
            <w:hideMark/>
          </w:tcPr>
          <w:p w14:paraId="12C2E2FC"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248</w:t>
            </w:r>
          </w:p>
        </w:tc>
        <w:tc>
          <w:tcPr>
            <w:tcW w:w="872" w:type="dxa"/>
            <w:tcBorders>
              <w:top w:val="nil"/>
              <w:left w:val="nil"/>
              <w:bottom w:val="single" w:sz="4" w:space="0" w:color="auto"/>
              <w:right w:val="single" w:sz="4" w:space="0" w:color="auto"/>
            </w:tcBorders>
            <w:shd w:val="clear" w:color="auto" w:fill="auto"/>
            <w:noWrap/>
            <w:vAlign w:val="bottom"/>
            <w:hideMark/>
          </w:tcPr>
          <w:p w14:paraId="598A9D03"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217</w:t>
            </w:r>
          </w:p>
        </w:tc>
        <w:tc>
          <w:tcPr>
            <w:tcW w:w="873" w:type="dxa"/>
            <w:tcBorders>
              <w:top w:val="nil"/>
              <w:left w:val="nil"/>
              <w:bottom w:val="single" w:sz="4" w:space="0" w:color="auto"/>
              <w:right w:val="single" w:sz="4" w:space="0" w:color="auto"/>
            </w:tcBorders>
            <w:shd w:val="clear" w:color="auto" w:fill="auto"/>
            <w:noWrap/>
            <w:vAlign w:val="bottom"/>
            <w:hideMark/>
          </w:tcPr>
          <w:p w14:paraId="35B65029"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255</w:t>
            </w:r>
          </w:p>
        </w:tc>
        <w:tc>
          <w:tcPr>
            <w:tcW w:w="872" w:type="dxa"/>
            <w:tcBorders>
              <w:top w:val="nil"/>
              <w:left w:val="nil"/>
              <w:bottom w:val="single" w:sz="4" w:space="0" w:color="auto"/>
              <w:right w:val="single" w:sz="4" w:space="0" w:color="auto"/>
            </w:tcBorders>
            <w:shd w:val="clear" w:color="auto" w:fill="auto"/>
            <w:noWrap/>
            <w:vAlign w:val="center"/>
            <w:hideMark/>
          </w:tcPr>
          <w:p w14:paraId="2E2E0718"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2426</w:t>
            </w:r>
          </w:p>
        </w:tc>
        <w:tc>
          <w:tcPr>
            <w:tcW w:w="146" w:type="dxa"/>
            <w:vAlign w:val="center"/>
            <w:hideMark/>
          </w:tcPr>
          <w:p w14:paraId="36D2E129" w14:textId="77777777" w:rsidR="001766D1" w:rsidRPr="001766D1" w:rsidRDefault="001766D1" w:rsidP="00234CBE">
            <w:pPr>
              <w:spacing w:line="276" w:lineRule="auto"/>
              <w:rPr>
                <w:rFonts w:ascii="Times New Roman" w:hAnsi="Times New Roman"/>
                <w:sz w:val="20"/>
                <w:szCs w:val="20"/>
                <w:lang w:eastAsia="es-CR"/>
              </w:rPr>
            </w:pPr>
          </w:p>
        </w:tc>
      </w:tr>
      <w:tr w:rsidR="001766D1" w:rsidRPr="001766D1" w14:paraId="1A3CB29A" w14:textId="77777777" w:rsidTr="001766D1">
        <w:trPr>
          <w:trHeight w:val="247"/>
          <w:jc w:val="center"/>
        </w:trPr>
        <w:tc>
          <w:tcPr>
            <w:tcW w:w="2427" w:type="dxa"/>
            <w:tcBorders>
              <w:top w:val="nil"/>
              <w:left w:val="single" w:sz="4" w:space="0" w:color="auto"/>
              <w:bottom w:val="single" w:sz="4" w:space="0" w:color="auto"/>
              <w:right w:val="nil"/>
            </w:tcBorders>
            <w:shd w:val="clear" w:color="auto" w:fill="auto"/>
            <w:noWrap/>
            <w:vAlign w:val="center"/>
            <w:hideMark/>
          </w:tcPr>
          <w:p w14:paraId="5D227097" w14:textId="77777777" w:rsidR="001766D1" w:rsidRPr="001766D1" w:rsidRDefault="001766D1" w:rsidP="00234CBE">
            <w:pPr>
              <w:spacing w:line="276" w:lineRule="auto"/>
              <w:jc w:val="right"/>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 </w:t>
            </w:r>
          </w:p>
        </w:tc>
        <w:tc>
          <w:tcPr>
            <w:tcW w:w="871" w:type="dxa"/>
            <w:tcBorders>
              <w:top w:val="nil"/>
              <w:left w:val="single" w:sz="4" w:space="0" w:color="auto"/>
              <w:bottom w:val="single" w:sz="4" w:space="0" w:color="auto"/>
              <w:right w:val="single" w:sz="4" w:space="0" w:color="auto"/>
            </w:tcBorders>
            <w:shd w:val="clear" w:color="auto" w:fill="auto"/>
            <w:noWrap/>
            <w:vAlign w:val="center"/>
            <w:hideMark/>
          </w:tcPr>
          <w:p w14:paraId="0D462A8C"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 </w:t>
            </w:r>
          </w:p>
        </w:tc>
        <w:tc>
          <w:tcPr>
            <w:tcW w:w="872" w:type="dxa"/>
            <w:tcBorders>
              <w:top w:val="nil"/>
              <w:left w:val="nil"/>
              <w:bottom w:val="single" w:sz="4" w:space="0" w:color="auto"/>
              <w:right w:val="single" w:sz="4" w:space="0" w:color="auto"/>
            </w:tcBorders>
            <w:shd w:val="clear" w:color="auto" w:fill="auto"/>
            <w:noWrap/>
            <w:vAlign w:val="center"/>
            <w:hideMark/>
          </w:tcPr>
          <w:p w14:paraId="57DB0098"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 </w:t>
            </w:r>
          </w:p>
        </w:tc>
        <w:tc>
          <w:tcPr>
            <w:tcW w:w="872" w:type="dxa"/>
            <w:tcBorders>
              <w:top w:val="nil"/>
              <w:left w:val="nil"/>
              <w:bottom w:val="single" w:sz="4" w:space="0" w:color="auto"/>
              <w:right w:val="single" w:sz="4" w:space="0" w:color="auto"/>
            </w:tcBorders>
            <w:shd w:val="clear" w:color="auto" w:fill="auto"/>
            <w:noWrap/>
            <w:vAlign w:val="center"/>
            <w:hideMark/>
          </w:tcPr>
          <w:p w14:paraId="07B2A8DB"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 </w:t>
            </w:r>
          </w:p>
        </w:tc>
        <w:tc>
          <w:tcPr>
            <w:tcW w:w="871" w:type="dxa"/>
            <w:tcBorders>
              <w:top w:val="nil"/>
              <w:left w:val="nil"/>
              <w:bottom w:val="single" w:sz="4" w:space="0" w:color="auto"/>
              <w:right w:val="single" w:sz="4" w:space="0" w:color="auto"/>
            </w:tcBorders>
            <w:shd w:val="clear" w:color="auto" w:fill="auto"/>
            <w:noWrap/>
            <w:vAlign w:val="center"/>
            <w:hideMark/>
          </w:tcPr>
          <w:p w14:paraId="6C0480AB"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 </w:t>
            </w:r>
          </w:p>
        </w:tc>
        <w:tc>
          <w:tcPr>
            <w:tcW w:w="871" w:type="dxa"/>
            <w:tcBorders>
              <w:top w:val="nil"/>
              <w:left w:val="nil"/>
              <w:bottom w:val="single" w:sz="4" w:space="0" w:color="auto"/>
              <w:right w:val="single" w:sz="4" w:space="0" w:color="auto"/>
            </w:tcBorders>
            <w:shd w:val="clear" w:color="auto" w:fill="auto"/>
            <w:noWrap/>
            <w:vAlign w:val="center"/>
            <w:hideMark/>
          </w:tcPr>
          <w:p w14:paraId="03C91949"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 </w:t>
            </w:r>
          </w:p>
        </w:tc>
        <w:tc>
          <w:tcPr>
            <w:tcW w:w="871" w:type="dxa"/>
            <w:tcBorders>
              <w:top w:val="nil"/>
              <w:left w:val="nil"/>
              <w:bottom w:val="single" w:sz="4" w:space="0" w:color="auto"/>
              <w:right w:val="single" w:sz="4" w:space="0" w:color="auto"/>
            </w:tcBorders>
            <w:shd w:val="clear" w:color="auto" w:fill="auto"/>
            <w:noWrap/>
            <w:vAlign w:val="center"/>
            <w:hideMark/>
          </w:tcPr>
          <w:p w14:paraId="54DBAE0E"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 </w:t>
            </w:r>
          </w:p>
        </w:tc>
        <w:tc>
          <w:tcPr>
            <w:tcW w:w="871" w:type="dxa"/>
            <w:tcBorders>
              <w:top w:val="nil"/>
              <w:left w:val="nil"/>
              <w:bottom w:val="single" w:sz="4" w:space="0" w:color="auto"/>
              <w:right w:val="single" w:sz="4" w:space="0" w:color="auto"/>
            </w:tcBorders>
            <w:shd w:val="clear" w:color="auto" w:fill="auto"/>
            <w:noWrap/>
            <w:vAlign w:val="center"/>
            <w:hideMark/>
          </w:tcPr>
          <w:p w14:paraId="0AB13332"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 </w:t>
            </w:r>
          </w:p>
        </w:tc>
        <w:tc>
          <w:tcPr>
            <w:tcW w:w="872" w:type="dxa"/>
            <w:tcBorders>
              <w:top w:val="nil"/>
              <w:left w:val="nil"/>
              <w:bottom w:val="single" w:sz="4" w:space="0" w:color="auto"/>
              <w:right w:val="single" w:sz="4" w:space="0" w:color="auto"/>
            </w:tcBorders>
            <w:shd w:val="clear" w:color="auto" w:fill="auto"/>
            <w:noWrap/>
            <w:vAlign w:val="center"/>
            <w:hideMark/>
          </w:tcPr>
          <w:p w14:paraId="4B05AC0D"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 </w:t>
            </w:r>
          </w:p>
        </w:tc>
        <w:tc>
          <w:tcPr>
            <w:tcW w:w="873" w:type="dxa"/>
            <w:tcBorders>
              <w:top w:val="nil"/>
              <w:left w:val="nil"/>
              <w:bottom w:val="single" w:sz="4" w:space="0" w:color="auto"/>
              <w:right w:val="single" w:sz="4" w:space="0" w:color="auto"/>
            </w:tcBorders>
            <w:shd w:val="clear" w:color="auto" w:fill="auto"/>
            <w:noWrap/>
            <w:vAlign w:val="center"/>
            <w:hideMark/>
          </w:tcPr>
          <w:p w14:paraId="33A652FA"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 </w:t>
            </w:r>
          </w:p>
        </w:tc>
        <w:tc>
          <w:tcPr>
            <w:tcW w:w="872" w:type="dxa"/>
            <w:tcBorders>
              <w:top w:val="nil"/>
              <w:left w:val="nil"/>
              <w:bottom w:val="single" w:sz="4" w:space="0" w:color="auto"/>
              <w:right w:val="single" w:sz="4" w:space="0" w:color="auto"/>
            </w:tcBorders>
            <w:shd w:val="clear" w:color="auto" w:fill="auto"/>
            <w:noWrap/>
            <w:vAlign w:val="center"/>
            <w:hideMark/>
          </w:tcPr>
          <w:p w14:paraId="0ECA1C03"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 </w:t>
            </w:r>
          </w:p>
        </w:tc>
        <w:tc>
          <w:tcPr>
            <w:tcW w:w="146" w:type="dxa"/>
            <w:vAlign w:val="center"/>
            <w:hideMark/>
          </w:tcPr>
          <w:p w14:paraId="7AA154BC" w14:textId="77777777" w:rsidR="001766D1" w:rsidRPr="001766D1" w:rsidRDefault="001766D1" w:rsidP="00234CBE">
            <w:pPr>
              <w:spacing w:line="276" w:lineRule="auto"/>
              <w:rPr>
                <w:rFonts w:ascii="Times New Roman" w:hAnsi="Times New Roman"/>
                <w:sz w:val="20"/>
                <w:szCs w:val="20"/>
                <w:lang w:eastAsia="es-CR"/>
              </w:rPr>
            </w:pPr>
          </w:p>
        </w:tc>
      </w:tr>
      <w:tr w:rsidR="001766D1" w:rsidRPr="001766D1" w14:paraId="5422B099" w14:textId="77777777" w:rsidTr="001766D1">
        <w:trPr>
          <w:trHeight w:val="247"/>
          <w:jc w:val="center"/>
        </w:trPr>
        <w:tc>
          <w:tcPr>
            <w:tcW w:w="2427" w:type="dxa"/>
            <w:tcBorders>
              <w:top w:val="nil"/>
              <w:left w:val="single" w:sz="4" w:space="0" w:color="auto"/>
              <w:bottom w:val="single" w:sz="4" w:space="0" w:color="auto"/>
              <w:right w:val="nil"/>
            </w:tcBorders>
            <w:shd w:val="clear" w:color="auto" w:fill="auto"/>
            <w:noWrap/>
            <w:vAlign w:val="center"/>
            <w:hideMark/>
          </w:tcPr>
          <w:p w14:paraId="259C6CA1" w14:textId="77777777" w:rsidR="001766D1" w:rsidRPr="001766D1" w:rsidRDefault="001766D1" w:rsidP="00234CBE">
            <w:pPr>
              <w:spacing w:line="276" w:lineRule="auto"/>
              <w:rPr>
                <w:rFonts w:ascii="Book Antiqua" w:hAnsi="Book Antiqua" w:cs="Calibri"/>
                <w:b/>
                <w:bCs/>
                <w:color w:val="000000"/>
                <w:sz w:val="16"/>
                <w:szCs w:val="16"/>
                <w:lang w:eastAsia="es-CR"/>
              </w:rPr>
            </w:pPr>
            <w:r w:rsidRPr="001766D1">
              <w:rPr>
                <w:rFonts w:ascii="Book Antiqua" w:hAnsi="Book Antiqua" w:cs="Calibri"/>
                <w:b/>
                <w:bCs/>
                <w:color w:val="000000"/>
                <w:sz w:val="16"/>
                <w:szCs w:val="16"/>
                <w:lang w:eastAsia="es-CR"/>
              </w:rPr>
              <w:t>No Penal</w:t>
            </w:r>
          </w:p>
        </w:tc>
        <w:tc>
          <w:tcPr>
            <w:tcW w:w="871" w:type="dxa"/>
            <w:tcBorders>
              <w:top w:val="nil"/>
              <w:left w:val="single" w:sz="4" w:space="0" w:color="auto"/>
              <w:bottom w:val="single" w:sz="4" w:space="0" w:color="auto"/>
              <w:right w:val="single" w:sz="4" w:space="0" w:color="auto"/>
            </w:tcBorders>
            <w:shd w:val="clear" w:color="auto" w:fill="auto"/>
            <w:noWrap/>
            <w:vAlign w:val="center"/>
            <w:hideMark/>
          </w:tcPr>
          <w:p w14:paraId="7D00162E" w14:textId="77777777" w:rsidR="001766D1" w:rsidRPr="001766D1" w:rsidRDefault="001766D1" w:rsidP="00234CBE">
            <w:pPr>
              <w:spacing w:line="276" w:lineRule="auto"/>
              <w:jc w:val="center"/>
              <w:rPr>
                <w:rFonts w:ascii="Book Antiqua" w:hAnsi="Book Antiqua" w:cs="Calibri"/>
                <w:b/>
                <w:bCs/>
                <w:color w:val="000000"/>
                <w:sz w:val="16"/>
                <w:szCs w:val="16"/>
                <w:u w:val="single"/>
                <w:lang w:eastAsia="es-CR"/>
              </w:rPr>
            </w:pPr>
            <w:r w:rsidRPr="001766D1">
              <w:rPr>
                <w:rFonts w:ascii="Book Antiqua" w:hAnsi="Book Antiqua" w:cs="Calibri"/>
                <w:b/>
                <w:bCs/>
                <w:color w:val="000000"/>
                <w:sz w:val="16"/>
                <w:szCs w:val="16"/>
                <w:u w:val="single"/>
                <w:lang w:eastAsia="es-CR"/>
              </w:rPr>
              <w:t>31904</w:t>
            </w:r>
          </w:p>
        </w:tc>
        <w:tc>
          <w:tcPr>
            <w:tcW w:w="872" w:type="dxa"/>
            <w:tcBorders>
              <w:top w:val="nil"/>
              <w:left w:val="nil"/>
              <w:bottom w:val="single" w:sz="4" w:space="0" w:color="auto"/>
              <w:right w:val="single" w:sz="4" w:space="0" w:color="auto"/>
            </w:tcBorders>
            <w:shd w:val="clear" w:color="auto" w:fill="auto"/>
            <w:noWrap/>
            <w:vAlign w:val="center"/>
            <w:hideMark/>
          </w:tcPr>
          <w:p w14:paraId="075FDDAC" w14:textId="77777777" w:rsidR="001766D1" w:rsidRPr="001766D1" w:rsidRDefault="001766D1" w:rsidP="00234CBE">
            <w:pPr>
              <w:spacing w:line="276" w:lineRule="auto"/>
              <w:jc w:val="center"/>
              <w:rPr>
                <w:rFonts w:ascii="Book Antiqua" w:hAnsi="Book Antiqua" w:cs="Calibri"/>
                <w:b/>
                <w:bCs/>
                <w:color w:val="000000"/>
                <w:sz w:val="16"/>
                <w:szCs w:val="16"/>
                <w:u w:val="single"/>
                <w:lang w:eastAsia="es-CR"/>
              </w:rPr>
            </w:pPr>
            <w:r w:rsidRPr="001766D1">
              <w:rPr>
                <w:rFonts w:ascii="Book Antiqua" w:hAnsi="Book Antiqua" w:cs="Calibri"/>
                <w:b/>
                <w:bCs/>
                <w:color w:val="000000"/>
                <w:sz w:val="16"/>
                <w:szCs w:val="16"/>
                <w:u w:val="single"/>
                <w:lang w:eastAsia="es-CR"/>
              </w:rPr>
              <w:t>31130</w:t>
            </w:r>
          </w:p>
        </w:tc>
        <w:tc>
          <w:tcPr>
            <w:tcW w:w="872" w:type="dxa"/>
            <w:tcBorders>
              <w:top w:val="nil"/>
              <w:left w:val="nil"/>
              <w:bottom w:val="single" w:sz="4" w:space="0" w:color="auto"/>
              <w:right w:val="single" w:sz="4" w:space="0" w:color="auto"/>
            </w:tcBorders>
            <w:shd w:val="clear" w:color="auto" w:fill="auto"/>
            <w:noWrap/>
            <w:vAlign w:val="center"/>
            <w:hideMark/>
          </w:tcPr>
          <w:p w14:paraId="03C7C5D0" w14:textId="77777777" w:rsidR="001766D1" w:rsidRPr="001766D1" w:rsidRDefault="001766D1" w:rsidP="00234CBE">
            <w:pPr>
              <w:spacing w:line="276" w:lineRule="auto"/>
              <w:jc w:val="center"/>
              <w:rPr>
                <w:rFonts w:ascii="Book Antiqua" w:hAnsi="Book Antiqua" w:cs="Calibri"/>
                <w:b/>
                <w:bCs/>
                <w:color w:val="000000"/>
                <w:sz w:val="16"/>
                <w:szCs w:val="16"/>
                <w:u w:val="single"/>
                <w:lang w:eastAsia="es-CR"/>
              </w:rPr>
            </w:pPr>
            <w:r w:rsidRPr="001766D1">
              <w:rPr>
                <w:rFonts w:ascii="Book Antiqua" w:hAnsi="Book Antiqua" w:cs="Calibri"/>
                <w:b/>
                <w:bCs/>
                <w:color w:val="000000"/>
                <w:sz w:val="16"/>
                <w:szCs w:val="16"/>
                <w:u w:val="single"/>
                <w:lang w:eastAsia="es-CR"/>
              </w:rPr>
              <w:t>33887</w:t>
            </w:r>
          </w:p>
        </w:tc>
        <w:tc>
          <w:tcPr>
            <w:tcW w:w="871" w:type="dxa"/>
            <w:tcBorders>
              <w:top w:val="nil"/>
              <w:left w:val="nil"/>
              <w:bottom w:val="single" w:sz="4" w:space="0" w:color="auto"/>
              <w:right w:val="single" w:sz="4" w:space="0" w:color="auto"/>
            </w:tcBorders>
            <w:shd w:val="clear" w:color="auto" w:fill="auto"/>
            <w:noWrap/>
            <w:vAlign w:val="center"/>
            <w:hideMark/>
          </w:tcPr>
          <w:p w14:paraId="21FC6420" w14:textId="77777777" w:rsidR="001766D1" w:rsidRPr="001766D1" w:rsidRDefault="001766D1" w:rsidP="00234CBE">
            <w:pPr>
              <w:spacing w:line="276" w:lineRule="auto"/>
              <w:jc w:val="center"/>
              <w:rPr>
                <w:rFonts w:ascii="Book Antiqua" w:hAnsi="Book Antiqua" w:cs="Calibri"/>
                <w:b/>
                <w:bCs/>
                <w:color w:val="000000"/>
                <w:sz w:val="16"/>
                <w:szCs w:val="16"/>
                <w:u w:val="single"/>
                <w:lang w:eastAsia="es-CR"/>
              </w:rPr>
            </w:pPr>
            <w:r w:rsidRPr="001766D1">
              <w:rPr>
                <w:rFonts w:ascii="Book Antiqua" w:hAnsi="Book Antiqua" w:cs="Calibri"/>
                <w:b/>
                <w:bCs/>
                <w:color w:val="000000"/>
                <w:sz w:val="16"/>
                <w:szCs w:val="16"/>
                <w:u w:val="single"/>
                <w:lang w:eastAsia="es-CR"/>
              </w:rPr>
              <w:t>34 323</w:t>
            </w:r>
          </w:p>
        </w:tc>
        <w:tc>
          <w:tcPr>
            <w:tcW w:w="871" w:type="dxa"/>
            <w:tcBorders>
              <w:top w:val="nil"/>
              <w:left w:val="nil"/>
              <w:bottom w:val="single" w:sz="4" w:space="0" w:color="auto"/>
              <w:right w:val="single" w:sz="4" w:space="0" w:color="auto"/>
            </w:tcBorders>
            <w:shd w:val="clear" w:color="auto" w:fill="auto"/>
            <w:noWrap/>
            <w:vAlign w:val="center"/>
            <w:hideMark/>
          </w:tcPr>
          <w:p w14:paraId="6A99F5DD" w14:textId="77777777" w:rsidR="001766D1" w:rsidRPr="001766D1" w:rsidRDefault="001766D1" w:rsidP="00234CBE">
            <w:pPr>
              <w:spacing w:line="276" w:lineRule="auto"/>
              <w:jc w:val="center"/>
              <w:rPr>
                <w:rFonts w:ascii="Book Antiqua" w:hAnsi="Book Antiqua" w:cs="Calibri"/>
                <w:b/>
                <w:bCs/>
                <w:color w:val="000000"/>
                <w:sz w:val="16"/>
                <w:szCs w:val="16"/>
                <w:u w:val="single"/>
                <w:lang w:eastAsia="es-CR"/>
              </w:rPr>
            </w:pPr>
            <w:r w:rsidRPr="001766D1">
              <w:rPr>
                <w:rFonts w:ascii="Book Antiqua" w:hAnsi="Book Antiqua" w:cs="Calibri"/>
                <w:b/>
                <w:bCs/>
                <w:color w:val="000000"/>
                <w:sz w:val="16"/>
                <w:szCs w:val="16"/>
                <w:u w:val="single"/>
                <w:lang w:eastAsia="es-CR"/>
              </w:rPr>
              <w:t>36 516</w:t>
            </w:r>
          </w:p>
        </w:tc>
        <w:tc>
          <w:tcPr>
            <w:tcW w:w="871" w:type="dxa"/>
            <w:tcBorders>
              <w:top w:val="nil"/>
              <w:left w:val="nil"/>
              <w:bottom w:val="single" w:sz="4" w:space="0" w:color="auto"/>
              <w:right w:val="single" w:sz="4" w:space="0" w:color="auto"/>
            </w:tcBorders>
            <w:shd w:val="clear" w:color="auto" w:fill="auto"/>
            <w:noWrap/>
            <w:vAlign w:val="center"/>
            <w:hideMark/>
          </w:tcPr>
          <w:p w14:paraId="2F7A221C" w14:textId="77777777" w:rsidR="001766D1" w:rsidRPr="001766D1" w:rsidRDefault="001766D1" w:rsidP="00234CBE">
            <w:pPr>
              <w:spacing w:line="276" w:lineRule="auto"/>
              <w:jc w:val="center"/>
              <w:rPr>
                <w:rFonts w:ascii="Book Antiqua" w:hAnsi="Book Antiqua" w:cs="Calibri"/>
                <w:b/>
                <w:bCs/>
                <w:color w:val="000000"/>
                <w:sz w:val="16"/>
                <w:szCs w:val="16"/>
                <w:u w:val="single"/>
                <w:lang w:eastAsia="es-CR"/>
              </w:rPr>
            </w:pPr>
            <w:r w:rsidRPr="001766D1">
              <w:rPr>
                <w:rFonts w:ascii="Book Antiqua" w:hAnsi="Book Antiqua" w:cs="Calibri"/>
                <w:b/>
                <w:bCs/>
                <w:color w:val="000000"/>
                <w:sz w:val="16"/>
                <w:szCs w:val="16"/>
                <w:u w:val="single"/>
                <w:lang w:eastAsia="es-CR"/>
              </w:rPr>
              <w:t>35796</w:t>
            </w:r>
          </w:p>
        </w:tc>
        <w:tc>
          <w:tcPr>
            <w:tcW w:w="871" w:type="dxa"/>
            <w:tcBorders>
              <w:top w:val="nil"/>
              <w:left w:val="nil"/>
              <w:bottom w:val="single" w:sz="4" w:space="0" w:color="auto"/>
              <w:right w:val="single" w:sz="4" w:space="0" w:color="auto"/>
            </w:tcBorders>
            <w:shd w:val="clear" w:color="auto" w:fill="auto"/>
            <w:noWrap/>
            <w:vAlign w:val="center"/>
            <w:hideMark/>
          </w:tcPr>
          <w:p w14:paraId="7B7B6B8D" w14:textId="77777777" w:rsidR="001766D1" w:rsidRPr="001766D1" w:rsidRDefault="001766D1" w:rsidP="00234CBE">
            <w:pPr>
              <w:spacing w:line="276" w:lineRule="auto"/>
              <w:jc w:val="center"/>
              <w:rPr>
                <w:rFonts w:ascii="Book Antiqua" w:hAnsi="Book Antiqua" w:cs="Calibri"/>
                <w:b/>
                <w:bCs/>
                <w:color w:val="000000"/>
                <w:sz w:val="16"/>
                <w:szCs w:val="16"/>
                <w:u w:val="single"/>
                <w:lang w:eastAsia="es-CR"/>
              </w:rPr>
            </w:pPr>
            <w:r w:rsidRPr="001766D1">
              <w:rPr>
                <w:rFonts w:ascii="Book Antiqua" w:hAnsi="Book Antiqua" w:cs="Calibri"/>
                <w:b/>
                <w:bCs/>
                <w:color w:val="000000"/>
                <w:sz w:val="16"/>
                <w:szCs w:val="16"/>
                <w:u w:val="single"/>
                <w:lang w:eastAsia="es-CR"/>
              </w:rPr>
              <w:t>32918</w:t>
            </w:r>
          </w:p>
        </w:tc>
        <w:tc>
          <w:tcPr>
            <w:tcW w:w="872" w:type="dxa"/>
            <w:tcBorders>
              <w:top w:val="nil"/>
              <w:left w:val="nil"/>
              <w:bottom w:val="single" w:sz="4" w:space="0" w:color="auto"/>
              <w:right w:val="single" w:sz="4" w:space="0" w:color="auto"/>
            </w:tcBorders>
            <w:shd w:val="clear" w:color="auto" w:fill="auto"/>
            <w:noWrap/>
            <w:vAlign w:val="center"/>
            <w:hideMark/>
          </w:tcPr>
          <w:p w14:paraId="48DA0931" w14:textId="77777777" w:rsidR="001766D1" w:rsidRPr="001766D1" w:rsidRDefault="001766D1" w:rsidP="00234CBE">
            <w:pPr>
              <w:spacing w:line="276" w:lineRule="auto"/>
              <w:jc w:val="center"/>
              <w:rPr>
                <w:rFonts w:ascii="Book Antiqua" w:hAnsi="Book Antiqua" w:cs="Calibri"/>
                <w:b/>
                <w:bCs/>
                <w:color w:val="000000"/>
                <w:sz w:val="16"/>
                <w:szCs w:val="16"/>
                <w:u w:val="single"/>
                <w:lang w:eastAsia="es-CR"/>
              </w:rPr>
            </w:pPr>
            <w:r w:rsidRPr="001766D1">
              <w:rPr>
                <w:rFonts w:ascii="Book Antiqua" w:hAnsi="Book Antiqua" w:cs="Calibri"/>
                <w:b/>
                <w:bCs/>
                <w:color w:val="000000"/>
                <w:sz w:val="16"/>
                <w:szCs w:val="16"/>
                <w:u w:val="single"/>
                <w:lang w:eastAsia="es-CR"/>
              </w:rPr>
              <w:t>33855</w:t>
            </w:r>
          </w:p>
        </w:tc>
        <w:tc>
          <w:tcPr>
            <w:tcW w:w="873" w:type="dxa"/>
            <w:tcBorders>
              <w:top w:val="nil"/>
              <w:left w:val="nil"/>
              <w:bottom w:val="single" w:sz="4" w:space="0" w:color="auto"/>
              <w:right w:val="single" w:sz="4" w:space="0" w:color="auto"/>
            </w:tcBorders>
            <w:shd w:val="clear" w:color="auto" w:fill="auto"/>
            <w:noWrap/>
            <w:vAlign w:val="center"/>
            <w:hideMark/>
          </w:tcPr>
          <w:p w14:paraId="6F9F7823" w14:textId="77777777" w:rsidR="001766D1" w:rsidRPr="001766D1" w:rsidRDefault="001766D1" w:rsidP="00234CBE">
            <w:pPr>
              <w:spacing w:line="276" w:lineRule="auto"/>
              <w:jc w:val="center"/>
              <w:rPr>
                <w:rFonts w:ascii="Book Antiqua" w:hAnsi="Book Antiqua" w:cs="Calibri"/>
                <w:b/>
                <w:bCs/>
                <w:color w:val="000000"/>
                <w:sz w:val="16"/>
                <w:szCs w:val="16"/>
                <w:u w:val="single"/>
                <w:lang w:eastAsia="es-CR"/>
              </w:rPr>
            </w:pPr>
            <w:r w:rsidRPr="001766D1">
              <w:rPr>
                <w:rFonts w:ascii="Book Antiqua" w:hAnsi="Book Antiqua" w:cs="Calibri"/>
                <w:b/>
                <w:bCs/>
                <w:color w:val="000000"/>
                <w:sz w:val="16"/>
                <w:szCs w:val="16"/>
                <w:u w:val="single"/>
                <w:lang w:eastAsia="es-CR"/>
              </w:rPr>
              <w:t>34945</w:t>
            </w:r>
          </w:p>
        </w:tc>
        <w:tc>
          <w:tcPr>
            <w:tcW w:w="872" w:type="dxa"/>
            <w:tcBorders>
              <w:top w:val="nil"/>
              <w:left w:val="nil"/>
              <w:bottom w:val="single" w:sz="4" w:space="0" w:color="auto"/>
              <w:right w:val="single" w:sz="4" w:space="0" w:color="auto"/>
            </w:tcBorders>
            <w:shd w:val="clear" w:color="auto" w:fill="auto"/>
            <w:noWrap/>
            <w:vAlign w:val="center"/>
            <w:hideMark/>
          </w:tcPr>
          <w:p w14:paraId="53D0C0AA" w14:textId="77777777" w:rsidR="001766D1" w:rsidRPr="001766D1" w:rsidRDefault="001766D1" w:rsidP="00234CBE">
            <w:pPr>
              <w:spacing w:line="276" w:lineRule="auto"/>
              <w:jc w:val="center"/>
              <w:rPr>
                <w:rFonts w:ascii="Book Antiqua" w:hAnsi="Book Antiqua" w:cs="Calibri"/>
                <w:b/>
                <w:bCs/>
                <w:color w:val="000000"/>
                <w:sz w:val="16"/>
                <w:szCs w:val="16"/>
                <w:u w:val="single"/>
                <w:lang w:eastAsia="es-CR"/>
              </w:rPr>
            </w:pPr>
            <w:r w:rsidRPr="001766D1">
              <w:rPr>
                <w:rFonts w:ascii="Book Antiqua" w:hAnsi="Book Antiqua" w:cs="Calibri"/>
                <w:b/>
                <w:bCs/>
                <w:color w:val="000000"/>
                <w:sz w:val="16"/>
                <w:szCs w:val="16"/>
                <w:u w:val="single"/>
                <w:lang w:eastAsia="es-CR"/>
              </w:rPr>
              <w:t>305274</w:t>
            </w:r>
          </w:p>
        </w:tc>
        <w:tc>
          <w:tcPr>
            <w:tcW w:w="146" w:type="dxa"/>
            <w:vAlign w:val="center"/>
            <w:hideMark/>
          </w:tcPr>
          <w:p w14:paraId="0A7C0D9B" w14:textId="77777777" w:rsidR="001766D1" w:rsidRPr="001766D1" w:rsidRDefault="001766D1" w:rsidP="00234CBE">
            <w:pPr>
              <w:spacing w:line="276" w:lineRule="auto"/>
              <w:rPr>
                <w:rFonts w:ascii="Times New Roman" w:hAnsi="Times New Roman"/>
                <w:sz w:val="20"/>
                <w:szCs w:val="20"/>
                <w:lang w:eastAsia="es-CR"/>
              </w:rPr>
            </w:pPr>
          </w:p>
        </w:tc>
      </w:tr>
      <w:tr w:rsidR="001766D1" w:rsidRPr="001766D1" w14:paraId="37076C46" w14:textId="77777777" w:rsidTr="001766D1">
        <w:trPr>
          <w:trHeight w:val="247"/>
          <w:jc w:val="center"/>
        </w:trPr>
        <w:tc>
          <w:tcPr>
            <w:tcW w:w="2427" w:type="dxa"/>
            <w:tcBorders>
              <w:top w:val="nil"/>
              <w:left w:val="single" w:sz="4" w:space="0" w:color="auto"/>
              <w:bottom w:val="single" w:sz="4" w:space="0" w:color="auto"/>
              <w:right w:val="nil"/>
            </w:tcBorders>
            <w:shd w:val="clear" w:color="auto" w:fill="auto"/>
            <w:noWrap/>
            <w:vAlign w:val="center"/>
            <w:hideMark/>
          </w:tcPr>
          <w:p w14:paraId="51DDCDC0" w14:textId="77777777" w:rsidR="001766D1" w:rsidRPr="001766D1" w:rsidRDefault="001766D1" w:rsidP="00234CBE">
            <w:pPr>
              <w:spacing w:line="276" w:lineRule="auto"/>
              <w:jc w:val="right"/>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Civil</w:t>
            </w:r>
          </w:p>
        </w:tc>
        <w:tc>
          <w:tcPr>
            <w:tcW w:w="871" w:type="dxa"/>
            <w:tcBorders>
              <w:top w:val="nil"/>
              <w:left w:val="single" w:sz="4" w:space="0" w:color="auto"/>
              <w:bottom w:val="single" w:sz="4" w:space="0" w:color="auto"/>
              <w:right w:val="single" w:sz="4" w:space="0" w:color="auto"/>
            </w:tcBorders>
            <w:shd w:val="clear" w:color="auto" w:fill="auto"/>
            <w:noWrap/>
            <w:vAlign w:val="bottom"/>
            <w:hideMark/>
          </w:tcPr>
          <w:p w14:paraId="452B155E"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1 344</w:t>
            </w:r>
          </w:p>
        </w:tc>
        <w:tc>
          <w:tcPr>
            <w:tcW w:w="872" w:type="dxa"/>
            <w:tcBorders>
              <w:top w:val="nil"/>
              <w:left w:val="nil"/>
              <w:bottom w:val="single" w:sz="4" w:space="0" w:color="auto"/>
              <w:right w:val="single" w:sz="4" w:space="0" w:color="auto"/>
            </w:tcBorders>
            <w:shd w:val="clear" w:color="auto" w:fill="auto"/>
            <w:noWrap/>
            <w:vAlign w:val="bottom"/>
            <w:hideMark/>
          </w:tcPr>
          <w:p w14:paraId="20DF9017"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1 229</w:t>
            </w:r>
          </w:p>
        </w:tc>
        <w:tc>
          <w:tcPr>
            <w:tcW w:w="872" w:type="dxa"/>
            <w:tcBorders>
              <w:top w:val="nil"/>
              <w:left w:val="nil"/>
              <w:bottom w:val="single" w:sz="4" w:space="0" w:color="auto"/>
              <w:right w:val="single" w:sz="4" w:space="0" w:color="auto"/>
            </w:tcBorders>
            <w:shd w:val="clear" w:color="auto" w:fill="auto"/>
            <w:noWrap/>
            <w:vAlign w:val="bottom"/>
            <w:hideMark/>
          </w:tcPr>
          <w:p w14:paraId="3BA78D22"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1 127</w:t>
            </w:r>
          </w:p>
        </w:tc>
        <w:tc>
          <w:tcPr>
            <w:tcW w:w="871" w:type="dxa"/>
            <w:tcBorders>
              <w:top w:val="nil"/>
              <w:left w:val="nil"/>
              <w:bottom w:val="single" w:sz="4" w:space="0" w:color="auto"/>
              <w:right w:val="single" w:sz="4" w:space="0" w:color="auto"/>
            </w:tcBorders>
            <w:shd w:val="clear" w:color="auto" w:fill="auto"/>
            <w:noWrap/>
            <w:vAlign w:val="bottom"/>
            <w:hideMark/>
          </w:tcPr>
          <w:p w14:paraId="25DE35D5"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1 269</w:t>
            </w:r>
          </w:p>
        </w:tc>
        <w:tc>
          <w:tcPr>
            <w:tcW w:w="871" w:type="dxa"/>
            <w:tcBorders>
              <w:top w:val="nil"/>
              <w:left w:val="nil"/>
              <w:bottom w:val="single" w:sz="4" w:space="0" w:color="auto"/>
              <w:right w:val="single" w:sz="4" w:space="0" w:color="auto"/>
            </w:tcBorders>
            <w:shd w:val="clear" w:color="auto" w:fill="auto"/>
            <w:noWrap/>
            <w:vAlign w:val="bottom"/>
            <w:hideMark/>
          </w:tcPr>
          <w:p w14:paraId="58C3F61B"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1 299</w:t>
            </w:r>
          </w:p>
        </w:tc>
        <w:tc>
          <w:tcPr>
            <w:tcW w:w="871" w:type="dxa"/>
            <w:tcBorders>
              <w:top w:val="nil"/>
              <w:left w:val="nil"/>
              <w:bottom w:val="single" w:sz="4" w:space="0" w:color="auto"/>
              <w:right w:val="single" w:sz="4" w:space="0" w:color="auto"/>
            </w:tcBorders>
            <w:shd w:val="clear" w:color="auto" w:fill="auto"/>
            <w:noWrap/>
            <w:vAlign w:val="bottom"/>
            <w:hideMark/>
          </w:tcPr>
          <w:p w14:paraId="70C55FD1"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2 085</w:t>
            </w:r>
          </w:p>
        </w:tc>
        <w:tc>
          <w:tcPr>
            <w:tcW w:w="871" w:type="dxa"/>
            <w:tcBorders>
              <w:top w:val="nil"/>
              <w:left w:val="nil"/>
              <w:bottom w:val="single" w:sz="4" w:space="0" w:color="auto"/>
              <w:right w:val="single" w:sz="4" w:space="0" w:color="auto"/>
            </w:tcBorders>
            <w:shd w:val="clear" w:color="auto" w:fill="auto"/>
            <w:noWrap/>
            <w:vAlign w:val="bottom"/>
            <w:hideMark/>
          </w:tcPr>
          <w:p w14:paraId="5EF9D859"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1 353</w:t>
            </w:r>
          </w:p>
        </w:tc>
        <w:tc>
          <w:tcPr>
            <w:tcW w:w="872" w:type="dxa"/>
            <w:tcBorders>
              <w:top w:val="nil"/>
              <w:left w:val="nil"/>
              <w:bottom w:val="single" w:sz="4" w:space="0" w:color="auto"/>
              <w:right w:val="single" w:sz="4" w:space="0" w:color="auto"/>
            </w:tcBorders>
            <w:shd w:val="clear" w:color="auto" w:fill="auto"/>
            <w:noWrap/>
            <w:vAlign w:val="bottom"/>
            <w:hideMark/>
          </w:tcPr>
          <w:p w14:paraId="31EDBF40"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1 137</w:t>
            </w:r>
          </w:p>
        </w:tc>
        <w:tc>
          <w:tcPr>
            <w:tcW w:w="873" w:type="dxa"/>
            <w:tcBorders>
              <w:top w:val="nil"/>
              <w:left w:val="nil"/>
              <w:bottom w:val="single" w:sz="4" w:space="0" w:color="auto"/>
              <w:right w:val="single" w:sz="4" w:space="0" w:color="auto"/>
            </w:tcBorders>
            <w:shd w:val="clear" w:color="auto" w:fill="auto"/>
            <w:noWrap/>
            <w:vAlign w:val="bottom"/>
            <w:hideMark/>
          </w:tcPr>
          <w:p w14:paraId="08CEC9D4"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1 066</w:t>
            </w:r>
          </w:p>
        </w:tc>
        <w:tc>
          <w:tcPr>
            <w:tcW w:w="872" w:type="dxa"/>
            <w:tcBorders>
              <w:top w:val="nil"/>
              <w:left w:val="nil"/>
              <w:bottom w:val="single" w:sz="4" w:space="0" w:color="auto"/>
              <w:right w:val="single" w:sz="4" w:space="0" w:color="auto"/>
            </w:tcBorders>
            <w:shd w:val="clear" w:color="auto" w:fill="auto"/>
            <w:noWrap/>
            <w:vAlign w:val="center"/>
            <w:hideMark/>
          </w:tcPr>
          <w:p w14:paraId="002179C0"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11909</w:t>
            </w:r>
          </w:p>
        </w:tc>
        <w:tc>
          <w:tcPr>
            <w:tcW w:w="146" w:type="dxa"/>
            <w:vAlign w:val="center"/>
            <w:hideMark/>
          </w:tcPr>
          <w:p w14:paraId="1F4862EA" w14:textId="77777777" w:rsidR="001766D1" w:rsidRPr="001766D1" w:rsidRDefault="001766D1" w:rsidP="00234CBE">
            <w:pPr>
              <w:spacing w:line="276" w:lineRule="auto"/>
              <w:rPr>
                <w:rFonts w:ascii="Times New Roman" w:hAnsi="Times New Roman"/>
                <w:sz w:val="20"/>
                <w:szCs w:val="20"/>
                <w:lang w:eastAsia="es-CR"/>
              </w:rPr>
            </w:pPr>
          </w:p>
        </w:tc>
      </w:tr>
      <w:tr w:rsidR="001766D1" w:rsidRPr="001766D1" w14:paraId="4508FFB4" w14:textId="77777777" w:rsidTr="001766D1">
        <w:trPr>
          <w:trHeight w:val="247"/>
          <w:jc w:val="center"/>
        </w:trPr>
        <w:tc>
          <w:tcPr>
            <w:tcW w:w="2427" w:type="dxa"/>
            <w:tcBorders>
              <w:top w:val="nil"/>
              <w:left w:val="single" w:sz="4" w:space="0" w:color="auto"/>
              <w:bottom w:val="single" w:sz="4" w:space="0" w:color="auto"/>
              <w:right w:val="nil"/>
            </w:tcBorders>
            <w:shd w:val="clear" w:color="auto" w:fill="auto"/>
            <w:noWrap/>
            <w:vAlign w:val="center"/>
            <w:hideMark/>
          </w:tcPr>
          <w:p w14:paraId="32D1834F" w14:textId="77777777" w:rsidR="001766D1" w:rsidRPr="001766D1" w:rsidRDefault="001766D1" w:rsidP="00234CBE">
            <w:pPr>
              <w:spacing w:line="276" w:lineRule="auto"/>
              <w:jc w:val="right"/>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Cobro</w:t>
            </w:r>
          </w:p>
        </w:tc>
        <w:tc>
          <w:tcPr>
            <w:tcW w:w="871" w:type="dxa"/>
            <w:tcBorders>
              <w:top w:val="nil"/>
              <w:left w:val="single" w:sz="4" w:space="0" w:color="auto"/>
              <w:bottom w:val="single" w:sz="4" w:space="0" w:color="auto"/>
              <w:right w:val="single" w:sz="4" w:space="0" w:color="auto"/>
            </w:tcBorders>
            <w:shd w:val="clear" w:color="auto" w:fill="auto"/>
            <w:noWrap/>
            <w:vAlign w:val="bottom"/>
            <w:hideMark/>
          </w:tcPr>
          <w:p w14:paraId="2AA74B49"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8069</w:t>
            </w:r>
          </w:p>
        </w:tc>
        <w:tc>
          <w:tcPr>
            <w:tcW w:w="872" w:type="dxa"/>
            <w:tcBorders>
              <w:top w:val="nil"/>
              <w:left w:val="nil"/>
              <w:bottom w:val="single" w:sz="4" w:space="0" w:color="auto"/>
              <w:right w:val="single" w:sz="4" w:space="0" w:color="auto"/>
            </w:tcBorders>
            <w:shd w:val="clear" w:color="auto" w:fill="auto"/>
            <w:noWrap/>
            <w:vAlign w:val="bottom"/>
            <w:hideMark/>
          </w:tcPr>
          <w:p w14:paraId="6F000456"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7343</w:t>
            </w:r>
          </w:p>
        </w:tc>
        <w:tc>
          <w:tcPr>
            <w:tcW w:w="872" w:type="dxa"/>
            <w:tcBorders>
              <w:top w:val="nil"/>
              <w:left w:val="nil"/>
              <w:bottom w:val="single" w:sz="4" w:space="0" w:color="auto"/>
              <w:right w:val="single" w:sz="4" w:space="0" w:color="auto"/>
            </w:tcBorders>
            <w:shd w:val="clear" w:color="auto" w:fill="auto"/>
            <w:noWrap/>
            <w:vAlign w:val="bottom"/>
            <w:hideMark/>
          </w:tcPr>
          <w:p w14:paraId="6EB348C2"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7788</w:t>
            </w:r>
          </w:p>
        </w:tc>
        <w:tc>
          <w:tcPr>
            <w:tcW w:w="871" w:type="dxa"/>
            <w:tcBorders>
              <w:top w:val="nil"/>
              <w:left w:val="nil"/>
              <w:bottom w:val="single" w:sz="4" w:space="0" w:color="auto"/>
              <w:right w:val="single" w:sz="4" w:space="0" w:color="auto"/>
            </w:tcBorders>
            <w:shd w:val="clear" w:color="auto" w:fill="auto"/>
            <w:noWrap/>
            <w:vAlign w:val="bottom"/>
            <w:hideMark/>
          </w:tcPr>
          <w:p w14:paraId="6EFB1B82"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8812</w:t>
            </w:r>
          </w:p>
        </w:tc>
        <w:tc>
          <w:tcPr>
            <w:tcW w:w="871" w:type="dxa"/>
            <w:tcBorders>
              <w:top w:val="nil"/>
              <w:left w:val="nil"/>
              <w:bottom w:val="single" w:sz="4" w:space="0" w:color="auto"/>
              <w:right w:val="single" w:sz="4" w:space="0" w:color="auto"/>
            </w:tcBorders>
            <w:shd w:val="clear" w:color="auto" w:fill="auto"/>
            <w:noWrap/>
            <w:vAlign w:val="bottom"/>
            <w:hideMark/>
          </w:tcPr>
          <w:p w14:paraId="325B2CC2"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9481</w:t>
            </w:r>
          </w:p>
        </w:tc>
        <w:tc>
          <w:tcPr>
            <w:tcW w:w="871" w:type="dxa"/>
            <w:tcBorders>
              <w:top w:val="nil"/>
              <w:left w:val="nil"/>
              <w:bottom w:val="single" w:sz="4" w:space="0" w:color="auto"/>
              <w:right w:val="single" w:sz="4" w:space="0" w:color="auto"/>
            </w:tcBorders>
            <w:shd w:val="clear" w:color="auto" w:fill="auto"/>
            <w:noWrap/>
            <w:vAlign w:val="bottom"/>
            <w:hideMark/>
          </w:tcPr>
          <w:p w14:paraId="6ED0E2EB"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9379</w:t>
            </w:r>
          </w:p>
        </w:tc>
        <w:tc>
          <w:tcPr>
            <w:tcW w:w="871" w:type="dxa"/>
            <w:tcBorders>
              <w:top w:val="nil"/>
              <w:left w:val="nil"/>
              <w:bottom w:val="single" w:sz="4" w:space="0" w:color="auto"/>
              <w:right w:val="single" w:sz="4" w:space="0" w:color="auto"/>
            </w:tcBorders>
            <w:shd w:val="clear" w:color="auto" w:fill="auto"/>
            <w:noWrap/>
            <w:vAlign w:val="bottom"/>
            <w:hideMark/>
          </w:tcPr>
          <w:p w14:paraId="5E9E4668"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7848</w:t>
            </w:r>
          </w:p>
        </w:tc>
        <w:tc>
          <w:tcPr>
            <w:tcW w:w="872" w:type="dxa"/>
            <w:tcBorders>
              <w:top w:val="nil"/>
              <w:left w:val="nil"/>
              <w:bottom w:val="single" w:sz="4" w:space="0" w:color="auto"/>
              <w:right w:val="single" w:sz="4" w:space="0" w:color="auto"/>
            </w:tcBorders>
            <w:shd w:val="clear" w:color="auto" w:fill="auto"/>
            <w:noWrap/>
            <w:vAlign w:val="bottom"/>
            <w:hideMark/>
          </w:tcPr>
          <w:p w14:paraId="78FFF97E"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8734</w:t>
            </w:r>
          </w:p>
        </w:tc>
        <w:tc>
          <w:tcPr>
            <w:tcW w:w="873" w:type="dxa"/>
            <w:tcBorders>
              <w:top w:val="nil"/>
              <w:left w:val="nil"/>
              <w:bottom w:val="single" w:sz="4" w:space="0" w:color="auto"/>
              <w:right w:val="single" w:sz="4" w:space="0" w:color="auto"/>
            </w:tcBorders>
            <w:shd w:val="clear" w:color="auto" w:fill="auto"/>
            <w:noWrap/>
            <w:vAlign w:val="bottom"/>
            <w:hideMark/>
          </w:tcPr>
          <w:p w14:paraId="0F133E54"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9733</w:t>
            </w:r>
          </w:p>
        </w:tc>
        <w:tc>
          <w:tcPr>
            <w:tcW w:w="872" w:type="dxa"/>
            <w:tcBorders>
              <w:top w:val="nil"/>
              <w:left w:val="nil"/>
              <w:bottom w:val="single" w:sz="4" w:space="0" w:color="auto"/>
              <w:right w:val="single" w:sz="4" w:space="0" w:color="auto"/>
            </w:tcBorders>
            <w:shd w:val="clear" w:color="auto" w:fill="auto"/>
            <w:noWrap/>
            <w:vAlign w:val="center"/>
            <w:hideMark/>
          </w:tcPr>
          <w:p w14:paraId="704AD130"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77187</w:t>
            </w:r>
          </w:p>
        </w:tc>
        <w:tc>
          <w:tcPr>
            <w:tcW w:w="146" w:type="dxa"/>
            <w:vAlign w:val="center"/>
            <w:hideMark/>
          </w:tcPr>
          <w:p w14:paraId="014812E1" w14:textId="77777777" w:rsidR="001766D1" w:rsidRPr="001766D1" w:rsidRDefault="001766D1" w:rsidP="00234CBE">
            <w:pPr>
              <w:spacing w:line="276" w:lineRule="auto"/>
              <w:rPr>
                <w:rFonts w:ascii="Times New Roman" w:hAnsi="Times New Roman"/>
                <w:sz w:val="20"/>
                <w:szCs w:val="20"/>
                <w:lang w:eastAsia="es-CR"/>
              </w:rPr>
            </w:pPr>
          </w:p>
        </w:tc>
      </w:tr>
      <w:tr w:rsidR="001766D1" w:rsidRPr="001766D1" w14:paraId="68F32BFD" w14:textId="77777777" w:rsidTr="001766D1">
        <w:trPr>
          <w:trHeight w:val="247"/>
          <w:jc w:val="center"/>
        </w:trPr>
        <w:tc>
          <w:tcPr>
            <w:tcW w:w="2427" w:type="dxa"/>
            <w:tcBorders>
              <w:top w:val="nil"/>
              <w:left w:val="single" w:sz="4" w:space="0" w:color="auto"/>
              <w:bottom w:val="single" w:sz="4" w:space="0" w:color="auto"/>
              <w:right w:val="nil"/>
            </w:tcBorders>
            <w:shd w:val="clear" w:color="auto" w:fill="auto"/>
            <w:noWrap/>
            <w:vAlign w:val="center"/>
            <w:hideMark/>
          </w:tcPr>
          <w:p w14:paraId="05467E8D" w14:textId="77777777" w:rsidR="001766D1" w:rsidRPr="001766D1" w:rsidRDefault="001766D1" w:rsidP="00234CBE">
            <w:pPr>
              <w:spacing w:line="276" w:lineRule="auto"/>
              <w:jc w:val="right"/>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Notarial</w:t>
            </w:r>
          </w:p>
        </w:tc>
        <w:tc>
          <w:tcPr>
            <w:tcW w:w="871" w:type="dxa"/>
            <w:tcBorders>
              <w:top w:val="nil"/>
              <w:left w:val="single" w:sz="4" w:space="0" w:color="auto"/>
              <w:bottom w:val="single" w:sz="4" w:space="0" w:color="auto"/>
              <w:right w:val="single" w:sz="4" w:space="0" w:color="auto"/>
            </w:tcBorders>
            <w:shd w:val="clear" w:color="auto" w:fill="auto"/>
            <w:noWrap/>
            <w:vAlign w:val="bottom"/>
            <w:hideMark/>
          </w:tcPr>
          <w:p w14:paraId="7C71A436"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72</w:t>
            </w:r>
          </w:p>
        </w:tc>
        <w:tc>
          <w:tcPr>
            <w:tcW w:w="872" w:type="dxa"/>
            <w:tcBorders>
              <w:top w:val="nil"/>
              <w:left w:val="nil"/>
              <w:bottom w:val="single" w:sz="4" w:space="0" w:color="auto"/>
              <w:right w:val="single" w:sz="4" w:space="0" w:color="auto"/>
            </w:tcBorders>
            <w:shd w:val="clear" w:color="auto" w:fill="auto"/>
            <w:noWrap/>
            <w:vAlign w:val="bottom"/>
            <w:hideMark/>
          </w:tcPr>
          <w:p w14:paraId="2EB5A647"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77</w:t>
            </w:r>
          </w:p>
        </w:tc>
        <w:tc>
          <w:tcPr>
            <w:tcW w:w="872" w:type="dxa"/>
            <w:tcBorders>
              <w:top w:val="nil"/>
              <w:left w:val="nil"/>
              <w:bottom w:val="single" w:sz="4" w:space="0" w:color="auto"/>
              <w:right w:val="single" w:sz="4" w:space="0" w:color="auto"/>
            </w:tcBorders>
            <w:shd w:val="clear" w:color="auto" w:fill="auto"/>
            <w:noWrap/>
            <w:vAlign w:val="bottom"/>
            <w:hideMark/>
          </w:tcPr>
          <w:p w14:paraId="09B8B29C"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141</w:t>
            </w:r>
          </w:p>
        </w:tc>
        <w:tc>
          <w:tcPr>
            <w:tcW w:w="871" w:type="dxa"/>
            <w:tcBorders>
              <w:top w:val="nil"/>
              <w:left w:val="nil"/>
              <w:bottom w:val="single" w:sz="4" w:space="0" w:color="auto"/>
              <w:right w:val="single" w:sz="4" w:space="0" w:color="auto"/>
            </w:tcBorders>
            <w:shd w:val="clear" w:color="auto" w:fill="auto"/>
            <w:noWrap/>
            <w:vAlign w:val="bottom"/>
            <w:hideMark/>
          </w:tcPr>
          <w:p w14:paraId="0DA8C2B9"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57</w:t>
            </w:r>
          </w:p>
        </w:tc>
        <w:tc>
          <w:tcPr>
            <w:tcW w:w="871" w:type="dxa"/>
            <w:tcBorders>
              <w:top w:val="nil"/>
              <w:left w:val="nil"/>
              <w:bottom w:val="single" w:sz="4" w:space="0" w:color="auto"/>
              <w:right w:val="single" w:sz="4" w:space="0" w:color="auto"/>
            </w:tcBorders>
            <w:shd w:val="clear" w:color="auto" w:fill="auto"/>
            <w:noWrap/>
            <w:vAlign w:val="bottom"/>
            <w:hideMark/>
          </w:tcPr>
          <w:p w14:paraId="1E42E197"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68</w:t>
            </w:r>
          </w:p>
        </w:tc>
        <w:tc>
          <w:tcPr>
            <w:tcW w:w="871" w:type="dxa"/>
            <w:tcBorders>
              <w:top w:val="nil"/>
              <w:left w:val="nil"/>
              <w:bottom w:val="single" w:sz="4" w:space="0" w:color="auto"/>
              <w:right w:val="single" w:sz="4" w:space="0" w:color="auto"/>
            </w:tcBorders>
            <w:shd w:val="clear" w:color="auto" w:fill="auto"/>
            <w:noWrap/>
            <w:vAlign w:val="bottom"/>
            <w:hideMark/>
          </w:tcPr>
          <w:p w14:paraId="06D5220B"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118</w:t>
            </w:r>
          </w:p>
        </w:tc>
        <w:tc>
          <w:tcPr>
            <w:tcW w:w="871" w:type="dxa"/>
            <w:tcBorders>
              <w:top w:val="nil"/>
              <w:left w:val="nil"/>
              <w:bottom w:val="single" w:sz="4" w:space="0" w:color="auto"/>
              <w:right w:val="single" w:sz="4" w:space="0" w:color="auto"/>
            </w:tcBorders>
            <w:shd w:val="clear" w:color="auto" w:fill="auto"/>
            <w:noWrap/>
            <w:vAlign w:val="bottom"/>
            <w:hideMark/>
          </w:tcPr>
          <w:p w14:paraId="3987BEB6"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99</w:t>
            </w:r>
          </w:p>
        </w:tc>
        <w:tc>
          <w:tcPr>
            <w:tcW w:w="872" w:type="dxa"/>
            <w:tcBorders>
              <w:top w:val="nil"/>
              <w:left w:val="nil"/>
              <w:bottom w:val="single" w:sz="4" w:space="0" w:color="auto"/>
              <w:right w:val="single" w:sz="4" w:space="0" w:color="auto"/>
            </w:tcBorders>
            <w:shd w:val="clear" w:color="auto" w:fill="auto"/>
            <w:noWrap/>
            <w:vAlign w:val="bottom"/>
            <w:hideMark/>
          </w:tcPr>
          <w:p w14:paraId="27AC273B"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72</w:t>
            </w:r>
          </w:p>
        </w:tc>
        <w:tc>
          <w:tcPr>
            <w:tcW w:w="873" w:type="dxa"/>
            <w:tcBorders>
              <w:top w:val="nil"/>
              <w:left w:val="nil"/>
              <w:bottom w:val="single" w:sz="4" w:space="0" w:color="auto"/>
              <w:right w:val="single" w:sz="4" w:space="0" w:color="auto"/>
            </w:tcBorders>
            <w:shd w:val="clear" w:color="auto" w:fill="auto"/>
            <w:noWrap/>
            <w:vAlign w:val="bottom"/>
            <w:hideMark/>
          </w:tcPr>
          <w:p w14:paraId="1269D77B"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44</w:t>
            </w:r>
          </w:p>
        </w:tc>
        <w:tc>
          <w:tcPr>
            <w:tcW w:w="872" w:type="dxa"/>
            <w:tcBorders>
              <w:top w:val="nil"/>
              <w:left w:val="nil"/>
              <w:bottom w:val="single" w:sz="4" w:space="0" w:color="auto"/>
              <w:right w:val="single" w:sz="4" w:space="0" w:color="auto"/>
            </w:tcBorders>
            <w:shd w:val="clear" w:color="auto" w:fill="auto"/>
            <w:noWrap/>
            <w:vAlign w:val="center"/>
            <w:hideMark/>
          </w:tcPr>
          <w:p w14:paraId="017C4362"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748</w:t>
            </w:r>
          </w:p>
        </w:tc>
        <w:tc>
          <w:tcPr>
            <w:tcW w:w="146" w:type="dxa"/>
            <w:vAlign w:val="center"/>
            <w:hideMark/>
          </w:tcPr>
          <w:p w14:paraId="1731B4D6" w14:textId="77777777" w:rsidR="001766D1" w:rsidRPr="001766D1" w:rsidRDefault="001766D1" w:rsidP="00234CBE">
            <w:pPr>
              <w:spacing w:line="276" w:lineRule="auto"/>
              <w:rPr>
                <w:rFonts w:ascii="Times New Roman" w:hAnsi="Times New Roman"/>
                <w:sz w:val="20"/>
                <w:szCs w:val="20"/>
                <w:lang w:eastAsia="es-CR"/>
              </w:rPr>
            </w:pPr>
          </w:p>
        </w:tc>
      </w:tr>
      <w:tr w:rsidR="001766D1" w:rsidRPr="001766D1" w14:paraId="3AF6A960" w14:textId="77777777" w:rsidTr="001766D1">
        <w:trPr>
          <w:trHeight w:val="247"/>
          <w:jc w:val="center"/>
        </w:trPr>
        <w:tc>
          <w:tcPr>
            <w:tcW w:w="2427" w:type="dxa"/>
            <w:tcBorders>
              <w:top w:val="nil"/>
              <w:left w:val="single" w:sz="4" w:space="0" w:color="auto"/>
              <w:bottom w:val="single" w:sz="4" w:space="0" w:color="auto"/>
              <w:right w:val="nil"/>
            </w:tcBorders>
            <w:shd w:val="clear" w:color="auto" w:fill="auto"/>
            <w:noWrap/>
            <w:vAlign w:val="center"/>
            <w:hideMark/>
          </w:tcPr>
          <w:p w14:paraId="53EB81BB" w14:textId="77777777" w:rsidR="001766D1" w:rsidRPr="001766D1" w:rsidRDefault="001766D1" w:rsidP="00234CBE">
            <w:pPr>
              <w:spacing w:line="276" w:lineRule="auto"/>
              <w:jc w:val="right"/>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Contencioso Administrativo</w:t>
            </w:r>
          </w:p>
        </w:tc>
        <w:tc>
          <w:tcPr>
            <w:tcW w:w="871" w:type="dxa"/>
            <w:tcBorders>
              <w:top w:val="nil"/>
              <w:left w:val="single" w:sz="4" w:space="0" w:color="auto"/>
              <w:bottom w:val="single" w:sz="4" w:space="0" w:color="auto"/>
              <w:right w:val="single" w:sz="4" w:space="0" w:color="auto"/>
            </w:tcBorders>
            <w:shd w:val="clear" w:color="auto" w:fill="auto"/>
            <w:noWrap/>
            <w:vAlign w:val="bottom"/>
            <w:hideMark/>
          </w:tcPr>
          <w:p w14:paraId="0CDCCBFD"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875</w:t>
            </w:r>
          </w:p>
        </w:tc>
        <w:tc>
          <w:tcPr>
            <w:tcW w:w="872" w:type="dxa"/>
            <w:tcBorders>
              <w:top w:val="nil"/>
              <w:left w:val="nil"/>
              <w:bottom w:val="single" w:sz="4" w:space="0" w:color="auto"/>
              <w:right w:val="single" w:sz="4" w:space="0" w:color="auto"/>
            </w:tcBorders>
            <w:shd w:val="clear" w:color="auto" w:fill="auto"/>
            <w:noWrap/>
            <w:vAlign w:val="bottom"/>
            <w:hideMark/>
          </w:tcPr>
          <w:p w14:paraId="0D8A4F5A"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1004</w:t>
            </w:r>
          </w:p>
        </w:tc>
        <w:tc>
          <w:tcPr>
            <w:tcW w:w="872" w:type="dxa"/>
            <w:tcBorders>
              <w:top w:val="nil"/>
              <w:left w:val="nil"/>
              <w:bottom w:val="single" w:sz="4" w:space="0" w:color="auto"/>
              <w:right w:val="single" w:sz="4" w:space="0" w:color="auto"/>
            </w:tcBorders>
            <w:shd w:val="clear" w:color="auto" w:fill="auto"/>
            <w:noWrap/>
            <w:vAlign w:val="bottom"/>
            <w:hideMark/>
          </w:tcPr>
          <w:p w14:paraId="0E12EA25"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914</w:t>
            </w:r>
          </w:p>
        </w:tc>
        <w:tc>
          <w:tcPr>
            <w:tcW w:w="871" w:type="dxa"/>
            <w:tcBorders>
              <w:top w:val="nil"/>
              <w:left w:val="nil"/>
              <w:bottom w:val="single" w:sz="4" w:space="0" w:color="auto"/>
              <w:right w:val="single" w:sz="4" w:space="0" w:color="auto"/>
            </w:tcBorders>
            <w:shd w:val="clear" w:color="auto" w:fill="auto"/>
            <w:noWrap/>
            <w:vAlign w:val="bottom"/>
            <w:hideMark/>
          </w:tcPr>
          <w:p w14:paraId="06AD34A2"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883</w:t>
            </w:r>
          </w:p>
        </w:tc>
        <w:tc>
          <w:tcPr>
            <w:tcW w:w="871" w:type="dxa"/>
            <w:tcBorders>
              <w:top w:val="nil"/>
              <w:left w:val="nil"/>
              <w:bottom w:val="single" w:sz="4" w:space="0" w:color="auto"/>
              <w:right w:val="single" w:sz="4" w:space="0" w:color="auto"/>
            </w:tcBorders>
            <w:shd w:val="clear" w:color="auto" w:fill="auto"/>
            <w:noWrap/>
            <w:vAlign w:val="bottom"/>
            <w:hideMark/>
          </w:tcPr>
          <w:p w14:paraId="3DC8DE41"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1099</w:t>
            </w:r>
          </w:p>
        </w:tc>
        <w:tc>
          <w:tcPr>
            <w:tcW w:w="871" w:type="dxa"/>
            <w:tcBorders>
              <w:top w:val="nil"/>
              <w:left w:val="nil"/>
              <w:bottom w:val="single" w:sz="4" w:space="0" w:color="auto"/>
              <w:right w:val="single" w:sz="4" w:space="0" w:color="auto"/>
            </w:tcBorders>
            <w:shd w:val="clear" w:color="auto" w:fill="auto"/>
            <w:noWrap/>
            <w:vAlign w:val="bottom"/>
            <w:hideMark/>
          </w:tcPr>
          <w:p w14:paraId="5E032E51"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1266</w:t>
            </w:r>
          </w:p>
        </w:tc>
        <w:tc>
          <w:tcPr>
            <w:tcW w:w="871" w:type="dxa"/>
            <w:tcBorders>
              <w:top w:val="nil"/>
              <w:left w:val="nil"/>
              <w:bottom w:val="single" w:sz="4" w:space="0" w:color="auto"/>
              <w:right w:val="single" w:sz="4" w:space="0" w:color="auto"/>
            </w:tcBorders>
            <w:shd w:val="clear" w:color="auto" w:fill="auto"/>
            <w:noWrap/>
            <w:vAlign w:val="bottom"/>
            <w:hideMark/>
          </w:tcPr>
          <w:p w14:paraId="3B14B6F0"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1025</w:t>
            </w:r>
          </w:p>
        </w:tc>
        <w:tc>
          <w:tcPr>
            <w:tcW w:w="872" w:type="dxa"/>
            <w:tcBorders>
              <w:top w:val="nil"/>
              <w:left w:val="nil"/>
              <w:bottom w:val="single" w:sz="4" w:space="0" w:color="auto"/>
              <w:right w:val="single" w:sz="4" w:space="0" w:color="auto"/>
            </w:tcBorders>
            <w:shd w:val="clear" w:color="auto" w:fill="auto"/>
            <w:noWrap/>
            <w:vAlign w:val="bottom"/>
            <w:hideMark/>
          </w:tcPr>
          <w:p w14:paraId="24BAE30A"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1046</w:t>
            </w:r>
          </w:p>
        </w:tc>
        <w:tc>
          <w:tcPr>
            <w:tcW w:w="873" w:type="dxa"/>
            <w:tcBorders>
              <w:top w:val="nil"/>
              <w:left w:val="nil"/>
              <w:bottom w:val="single" w:sz="4" w:space="0" w:color="auto"/>
              <w:right w:val="single" w:sz="4" w:space="0" w:color="auto"/>
            </w:tcBorders>
            <w:shd w:val="clear" w:color="auto" w:fill="auto"/>
            <w:noWrap/>
            <w:vAlign w:val="bottom"/>
            <w:hideMark/>
          </w:tcPr>
          <w:p w14:paraId="30A4C5E9"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1087</w:t>
            </w:r>
          </w:p>
        </w:tc>
        <w:tc>
          <w:tcPr>
            <w:tcW w:w="872" w:type="dxa"/>
            <w:tcBorders>
              <w:top w:val="nil"/>
              <w:left w:val="nil"/>
              <w:bottom w:val="single" w:sz="4" w:space="0" w:color="auto"/>
              <w:right w:val="single" w:sz="4" w:space="0" w:color="auto"/>
            </w:tcBorders>
            <w:shd w:val="clear" w:color="auto" w:fill="auto"/>
            <w:noWrap/>
            <w:vAlign w:val="center"/>
            <w:hideMark/>
          </w:tcPr>
          <w:p w14:paraId="3C4935DD"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9199</w:t>
            </w:r>
          </w:p>
        </w:tc>
        <w:tc>
          <w:tcPr>
            <w:tcW w:w="146" w:type="dxa"/>
            <w:vAlign w:val="center"/>
            <w:hideMark/>
          </w:tcPr>
          <w:p w14:paraId="5FA43E4B" w14:textId="77777777" w:rsidR="001766D1" w:rsidRPr="001766D1" w:rsidRDefault="001766D1" w:rsidP="00234CBE">
            <w:pPr>
              <w:spacing w:line="276" w:lineRule="auto"/>
              <w:rPr>
                <w:rFonts w:ascii="Times New Roman" w:hAnsi="Times New Roman"/>
                <w:sz w:val="20"/>
                <w:szCs w:val="20"/>
                <w:lang w:eastAsia="es-CR"/>
              </w:rPr>
            </w:pPr>
          </w:p>
        </w:tc>
      </w:tr>
      <w:tr w:rsidR="001766D1" w:rsidRPr="001766D1" w14:paraId="08537C21" w14:textId="77777777" w:rsidTr="001766D1">
        <w:trPr>
          <w:trHeight w:val="247"/>
          <w:jc w:val="center"/>
        </w:trPr>
        <w:tc>
          <w:tcPr>
            <w:tcW w:w="2427" w:type="dxa"/>
            <w:tcBorders>
              <w:top w:val="nil"/>
              <w:left w:val="single" w:sz="4" w:space="0" w:color="auto"/>
              <w:bottom w:val="single" w:sz="4" w:space="0" w:color="auto"/>
              <w:right w:val="nil"/>
            </w:tcBorders>
            <w:shd w:val="clear" w:color="auto" w:fill="auto"/>
            <w:noWrap/>
            <w:vAlign w:val="center"/>
            <w:hideMark/>
          </w:tcPr>
          <w:p w14:paraId="23CC9175" w14:textId="77777777" w:rsidR="001766D1" w:rsidRPr="001766D1" w:rsidRDefault="001766D1" w:rsidP="00234CBE">
            <w:pPr>
              <w:spacing w:line="276" w:lineRule="auto"/>
              <w:jc w:val="right"/>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Violencia Doméstica</w:t>
            </w:r>
          </w:p>
        </w:tc>
        <w:tc>
          <w:tcPr>
            <w:tcW w:w="871" w:type="dxa"/>
            <w:tcBorders>
              <w:top w:val="nil"/>
              <w:left w:val="single" w:sz="4" w:space="0" w:color="auto"/>
              <w:bottom w:val="single" w:sz="4" w:space="0" w:color="auto"/>
              <w:right w:val="single" w:sz="4" w:space="0" w:color="auto"/>
            </w:tcBorders>
            <w:shd w:val="clear" w:color="auto" w:fill="auto"/>
            <w:noWrap/>
            <w:vAlign w:val="bottom"/>
            <w:hideMark/>
          </w:tcPr>
          <w:p w14:paraId="79F4F736"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6 289</w:t>
            </w:r>
          </w:p>
        </w:tc>
        <w:tc>
          <w:tcPr>
            <w:tcW w:w="872" w:type="dxa"/>
            <w:tcBorders>
              <w:top w:val="nil"/>
              <w:left w:val="nil"/>
              <w:bottom w:val="single" w:sz="4" w:space="0" w:color="auto"/>
              <w:right w:val="single" w:sz="4" w:space="0" w:color="auto"/>
            </w:tcBorders>
            <w:shd w:val="clear" w:color="auto" w:fill="auto"/>
            <w:noWrap/>
            <w:vAlign w:val="bottom"/>
            <w:hideMark/>
          </w:tcPr>
          <w:p w14:paraId="45BCDE49"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5 329</w:t>
            </w:r>
          </w:p>
        </w:tc>
        <w:tc>
          <w:tcPr>
            <w:tcW w:w="872" w:type="dxa"/>
            <w:tcBorders>
              <w:top w:val="nil"/>
              <w:left w:val="nil"/>
              <w:bottom w:val="single" w:sz="4" w:space="0" w:color="auto"/>
              <w:right w:val="single" w:sz="4" w:space="0" w:color="auto"/>
            </w:tcBorders>
            <w:shd w:val="clear" w:color="auto" w:fill="auto"/>
            <w:noWrap/>
            <w:vAlign w:val="bottom"/>
            <w:hideMark/>
          </w:tcPr>
          <w:p w14:paraId="79A8602C"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6 408</w:t>
            </w:r>
          </w:p>
        </w:tc>
        <w:tc>
          <w:tcPr>
            <w:tcW w:w="871" w:type="dxa"/>
            <w:tcBorders>
              <w:top w:val="nil"/>
              <w:left w:val="nil"/>
              <w:bottom w:val="single" w:sz="4" w:space="0" w:color="auto"/>
              <w:right w:val="single" w:sz="4" w:space="0" w:color="auto"/>
            </w:tcBorders>
            <w:shd w:val="clear" w:color="auto" w:fill="auto"/>
            <w:noWrap/>
            <w:vAlign w:val="bottom"/>
            <w:hideMark/>
          </w:tcPr>
          <w:p w14:paraId="4B7E6707"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5 382</w:t>
            </w:r>
          </w:p>
        </w:tc>
        <w:tc>
          <w:tcPr>
            <w:tcW w:w="871" w:type="dxa"/>
            <w:tcBorders>
              <w:top w:val="nil"/>
              <w:left w:val="nil"/>
              <w:bottom w:val="single" w:sz="4" w:space="0" w:color="auto"/>
              <w:right w:val="single" w:sz="4" w:space="0" w:color="auto"/>
            </w:tcBorders>
            <w:shd w:val="clear" w:color="auto" w:fill="auto"/>
            <w:noWrap/>
            <w:vAlign w:val="bottom"/>
            <w:hideMark/>
          </w:tcPr>
          <w:p w14:paraId="4B4358E0"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6 717</w:t>
            </w:r>
          </w:p>
        </w:tc>
        <w:tc>
          <w:tcPr>
            <w:tcW w:w="871" w:type="dxa"/>
            <w:tcBorders>
              <w:top w:val="nil"/>
              <w:left w:val="nil"/>
              <w:bottom w:val="single" w:sz="4" w:space="0" w:color="auto"/>
              <w:right w:val="single" w:sz="4" w:space="0" w:color="auto"/>
            </w:tcBorders>
            <w:shd w:val="clear" w:color="auto" w:fill="auto"/>
            <w:noWrap/>
            <w:vAlign w:val="bottom"/>
            <w:hideMark/>
          </w:tcPr>
          <w:p w14:paraId="71B56157"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5 380</w:t>
            </w:r>
          </w:p>
        </w:tc>
        <w:tc>
          <w:tcPr>
            <w:tcW w:w="871" w:type="dxa"/>
            <w:tcBorders>
              <w:top w:val="nil"/>
              <w:left w:val="nil"/>
              <w:bottom w:val="single" w:sz="4" w:space="0" w:color="auto"/>
              <w:right w:val="single" w:sz="4" w:space="0" w:color="auto"/>
            </w:tcBorders>
            <w:shd w:val="clear" w:color="auto" w:fill="auto"/>
            <w:noWrap/>
            <w:vAlign w:val="bottom"/>
            <w:hideMark/>
          </w:tcPr>
          <w:p w14:paraId="566429E2"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4890</w:t>
            </w:r>
          </w:p>
        </w:tc>
        <w:tc>
          <w:tcPr>
            <w:tcW w:w="872" w:type="dxa"/>
            <w:tcBorders>
              <w:top w:val="nil"/>
              <w:left w:val="nil"/>
              <w:bottom w:val="single" w:sz="4" w:space="0" w:color="auto"/>
              <w:right w:val="single" w:sz="4" w:space="0" w:color="auto"/>
            </w:tcBorders>
            <w:shd w:val="clear" w:color="auto" w:fill="auto"/>
            <w:noWrap/>
            <w:vAlign w:val="bottom"/>
            <w:hideMark/>
          </w:tcPr>
          <w:p w14:paraId="5BA7B6DD"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4999</w:t>
            </w:r>
          </w:p>
        </w:tc>
        <w:tc>
          <w:tcPr>
            <w:tcW w:w="873" w:type="dxa"/>
            <w:tcBorders>
              <w:top w:val="nil"/>
              <w:left w:val="nil"/>
              <w:bottom w:val="single" w:sz="4" w:space="0" w:color="auto"/>
              <w:right w:val="single" w:sz="4" w:space="0" w:color="auto"/>
            </w:tcBorders>
            <w:shd w:val="clear" w:color="auto" w:fill="auto"/>
            <w:noWrap/>
            <w:vAlign w:val="bottom"/>
            <w:hideMark/>
          </w:tcPr>
          <w:p w14:paraId="4C1F2E7A"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5 211</w:t>
            </w:r>
          </w:p>
        </w:tc>
        <w:tc>
          <w:tcPr>
            <w:tcW w:w="872" w:type="dxa"/>
            <w:tcBorders>
              <w:top w:val="nil"/>
              <w:left w:val="nil"/>
              <w:bottom w:val="single" w:sz="4" w:space="0" w:color="auto"/>
              <w:right w:val="single" w:sz="4" w:space="0" w:color="auto"/>
            </w:tcBorders>
            <w:shd w:val="clear" w:color="auto" w:fill="auto"/>
            <w:noWrap/>
            <w:vAlign w:val="center"/>
            <w:hideMark/>
          </w:tcPr>
          <w:p w14:paraId="6346D144"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50605</w:t>
            </w:r>
          </w:p>
        </w:tc>
        <w:tc>
          <w:tcPr>
            <w:tcW w:w="146" w:type="dxa"/>
            <w:vAlign w:val="center"/>
            <w:hideMark/>
          </w:tcPr>
          <w:p w14:paraId="2ED6FA77" w14:textId="77777777" w:rsidR="001766D1" w:rsidRPr="001766D1" w:rsidRDefault="001766D1" w:rsidP="00234CBE">
            <w:pPr>
              <w:spacing w:line="276" w:lineRule="auto"/>
              <w:rPr>
                <w:rFonts w:ascii="Times New Roman" w:hAnsi="Times New Roman"/>
                <w:sz w:val="20"/>
                <w:szCs w:val="20"/>
                <w:lang w:eastAsia="es-CR"/>
              </w:rPr>
            </w:pPr>
          </w:p>
        </w:tc>
      </w:tr>
      <w:tr w:rsidR="001766D1" w:rsidRPr="001766D1" w14:paraId="77A44420" w14:textId="77777777" w:rsidTr="001766D1">
        <w:trPr>
          <w:trHeight w:val="247"/>
          <w:jc w:val="center"/>
        </w:trPr>
        <w:tc>
          <w:tcPr>
            <w:tcW w:w="2427" w:type="dxa"/>
            <w:tcBorders>
              <w:top w:val="nil"/>
              <w:left w:val="single" w:sz="4" w:space="0" w:color="auto"/>
              <w:bottom w:val="single" w:sz="4" w:space="0" w:color="auto"/>
              <w:right w:val="nil"/>
            </w:tcBorders>
            <w:shd w:val="clear" w:color="auto" w:fill="auto"/>
            <w:noWrap/>
            <w:vAlign w:val="center"/>
            <w:hideMark/>
          </w:tcPr>
          <w:p w14:paraId="05CDA9C0" w14:textId="77777777" w:rsidR="001766D1" w:rsidRPr="001766D1" w:rsidRDefault="001766D1" w:rsidP="00234CBE">
            <w:pPr>
              <w:spacing w:line="276" w:lineRule="auto"/>
              <w:jc w:val="right"/>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 xml:space="preserve">Pensiones Alimentarias </w:t>
            </w:r>
          </w:p>
        </w:tc>
        <w:tc>
          <w:tcPr>
            <w:tcW w:w="871" w:type="dxa"/>
            <w:tcBorders>
              <w:top w:val="nil"/>
              <w:left w:val="single" w:sz="4" w:space="0" w:color="auto"/>
              <w:bottom w:val="single" w:sz="4" w:space="0" w:color="auto"/>
              <w:right w:val="single" w:sz="4" w:space="0" w:color="auto"/>
            </w:tcBorders>
            <w:shd w:val="clear" w:color="auto" w:fill="auto"/>
            <w:noWrap/>
            <w:vAlign w:val="bottom"/>
            <w:hideMark/>
          </w:tcPr>
          <w:p w14:paraId="3DF5E139"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1579</w:t>
            </w:r>
          </w:p>
        </w:tc>
        <w:tc>
          <w:tcPr>
            <w:tcW w:w="872" w:type="dxa"/>
            <w:tcBorders>
              <w:top w:val="nil"/>
              <w:left w:val="nil"/>
              <w:bottom w:val="single" w:sz="4" w:space="0" w:color="auto"/>
              <w:right w:val="single" w:sz="4" w:space="0" w:color="auto"/>
            </w:tcBorders>
            <w:shd w:val="clear" w:color="auto" w:fill="auto"/>
            <w:noWrap/>
            <w:vAlign w:val="bottom"/>
            <w:hideMark/>
          </w:tcPr>
          <w:p w14:paraId="1CCE2392"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1947</w:t>
            </w:r>
          </w:p>
        </w:tc>
        <w:tc>
          <w:tcPr>
            <w:tcW w:w="872" w:type="dxa"/>
            <w:tcBorders>
              <w:top w:val="nil"/>
              <w:left w:val="nil"/>
              <w:bottom w:val="single" w:sz="4" w:space="0" w:color="auto"/>
              <w:right w:val="single" w:sz="4" w:space="0" w:color="auto"/>
            </w:tcBorders>
            <w:shd w:val="clear" w:color="auto" w:fill="auto"/>
            <w:noWrap/>
            <w:vAlign w:val="bottom"/>
            <w:hideMark/>
          </w:tcPr>
          <w:p w14:paraId="2B37660A"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2454</w:t>
            </w:r>
          </w:p>
        </w:tc>
        <w:tc>
          <w:tcPr>
            <w:tcW w:w="871" w:type="dxa"/>
            <w:tcBorders>
              <w:top w:val="nil"/>
              <w:left w:val="nil"/>
              <w:bottom w:val="single" w:sz="4" w:space="0" w:color="auto"/>
              <w:right w:val="single" w:sz="4" w:space="0" w:color="auto"/>
            </w:tcBorders>
            <w:shd w:val="clear" w:color="auto" w:fill="auto"/>
            <w:noWrap/>
            <w:vAlign w:val="bottom"/>
            <w:hideMark/>
          </w:tcPr>
          <w:p w14:paraId="07526AD9"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2054</w:t>
            </w:r>
          </w:p>
        </w:tc>
        <w:tc>
          <w:tcPr>
            <w:tcW w:w="871" w:type="dxa"/>
            <w:tcBorders>
              <w:top w:val="nil"/>
              <w:left w:val="nil"/>
              <w:bottom w:val="single" w:sz="4" w:space="0" w:color="auto"/>
              <w:right w:val="single" w:sz="4" w:space="0" w:color="auto"/>
            </w:tcBorders>
            <w:shd w:val="clear" w:color="auto" w:fill="auto"/>
            <w:noWrap/>
            <w:vAlign w:val="bottom"/>
            <w:hideMark/>
          </w:tcPr>
          <w:p w14:paraId="7FD9B8CE"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2092</w:t>
            </w:r>
          </w:p>
        </w:tc>
        <w:tc>
          <w:tcPr>
            <w:tcW w:w="871" w:type="dxa"/>
            <w:tcBorders>
              <w:top w:val="nil"/>
              <w:left w:val="nil"/>
              <w:bottom w:val="single" w:sz="4" w:space="0" w:color="auto"/>
              <w:right w:val="single" w:sz="4" w:space="0" w:color="auto"/>
            </w:tcBorders>
            <w:shd w:val="clear" w:color="auto" w:fill="auto"/>
            <w:noWrap/>
            <w:vAlign w:val="bottom"/>
            <w:hideMark/>
          </w:tcPr>
          <w:p w14:paraId="5E93BCF5"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1962</w:t>
            </w:r>
          </w:p>
        </w:tc>
        <w:tc>
          <w:tcPr>
            <w:tcW w:w="871" w:type="dxa"/>
            <w:tcBorders>
              <w:top w:val="nil"/>
              <w:left w:val="nil"/>
              <w:bottom w:val="single" w:sz="4" w:space="0" w:color="auto"/>
              <w:right w:val="single" w:sz="4" w:space="0" w:color="auto"/>
            </w:tcBorders>
            <w:shd w:val="clear" w:color="auto" w:fill="auto"/>
            <w:noWrap/>
            <w:vAlign w:val="bottom"/>
            <w:hideMark/>
          </w:tcPr>
          <w:p w14:paraId="64C4E23C"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2050</w:t>
            </w:r>
          </w:p>
        </w:tc>
        <w:tc>
          <w:tcPr>
            <w:tcW w:w="872" w:type="dxa"/>
            <w:tcBorders>
              <w:top w:val="nil"/>
              <w:left w:val="nil"/>
              <w:bottom w:val="single" w:sz="4" w:space="0" w:color="auto"/>
              <w:right w:val="single" w:sz="4" w:space="0" w:color="auto"/>
            </w:tcBorders>
            <w:shd w:val="clear" w:color="auto" w:fill="auto"/>
            <w:noWrap/>
            <w:vAlign w:val="bottom"/>
            <w:hideMark/>
          </w:tcPr>
          <w:p w14:paraId="702812D4"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2086</w:t>
            </w:r>
          </w:p>
        </w:tc>
        <w:tc>
          <w:tcPr>
            <w:tcW w:w="873" w:type="dxa"/>
            <w:tcBorders>
              <w:top w:val="nil"/>
              <w:left w:val="nil"/>
              <w:bottom w:val="single" w:sz="4" w:space="0" w:color="auto"/>
              <w:right w:val="single" w:sz="4" w:space="0" w:color="auto"/>
            </w:tcBorders>
            <w:shd w:val="clear" w:color="auto" w:fill="auto"/>
            <w:noWrap/>
            <w:vAlign w:val="bottom"/>
            <w:hideMark/>
          </w:tcPr>
          <w:p w14:paraId="4C673298"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1914</w:t>
            </w:r>
          </w:p>
        </w:tc>
        <w:tc>
          <w:tcPr>
            <w:tcW w:w="872" w:type="dxa"/>
            <w:tcBorders>
              <w:top w:val="nil"/>
              <w:left w:val="nil"/>
              <w:bottom w:val="single" w:sz="4" w:space="0" w:color="auto"/>
              <w:right w:val="single" w:sz="4" w:space="0" w:color="auto"/>
            </w:tcBorders>
            <w:shd w:val="clear" w:color="auto" w:fill="auto"/>
            <w:noWrap/>
            <w:vAlign w:val="center"/>
            <w:hideMark/>
          </w:tcPr>
          <w:p w14:paraId="2E0CDA7F"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18138</w:t>
            </w:r>
          </w:p>
        </w:tc>
        <w:tc>
          <w:tcPr>
            <w:tcW w:w="146" w:type="dxa"/>
            <w:vAlign w:val="center"/>
            <w:hideMark/>
          </w:tcPr>
          <w:p w14:paraId="3E26F57B" w14:textId="77777777" w:rsidR="001766D1" w:rsidRPr="001766D1" w:rsidRDefault="001766D1" w:rsidP="00234CBE">
            <w:pPr>
              <w:spacing w:line="276" w:lineRule="auto"/>
              <w:rPr>
                <w:rFonts w:ascii="Times New Roman" w:hAnsi="Times New Roman"/>
                <w:sz w:val="20"/>
                <w:szCs w:val="20"/>
                <w:lang w:eastAsia="es-CR"/>
              </w:rPr>
            </w:pPr>
          </w:p>
        </w:tc>
      </w:tr>
      <w:tr w:rsidR="001766D1" w:rsidRPr="001766D1" w14:paraId="4680E3ED" w14:textId="77777777" w:rsidTr="001766D1">
        <w:trPr>
          <w:trHeight w:val="247"/>
          <w:jc w:val="center"/>
        </w:trPr>
        <w:tc>
          <w:tcPr>
            <w:tcW w:w="2427" w:type="dxa"/>
            <w:tcBorders>
              <w:top w:val="nil"/>
              <w:left w:val="single" w:sz="4" w:space="0" w:color="auto"/>
              <w:bottom w:val="single" w:sz="4" w:space="0" w:color="auto"/>
              <w:right w:val="nil"/>
            </w:tcBorders>
            <w:shd w:val="clear" w:color="auto" w:fill="auto"/>
            <w:noWrap/>
            <w:vAlign w:val="center"/>
            <w:hideMark/>
          </w:tcPr>
          <w:p w14:paraId="73D674A9" w14:textId="77777777" w:rsidR="001766D1" w:rsidRPr="001766D1" w:rsidRDefault="001766D1" w:rsidP="00234CBE">
            <w:pPr>
              <w:spacing w:line="276" w:lineRule="auto"/>
              <w:jc w:val="right"/>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Familia</w:t>
            </w:r>
          </w:p>
        </w:tc>
        <w:tc>
          <w:tcPr>
            <w:tcW w:w="871" w:type="dxa"/>
            <w:tcBorders>
              <w:top w:val="nil"/>
              <w:left w:val="single" w:sz="4" w:space="0" w:color="auto"/>
              <w:bottom w:val="single" w:sz="4" w:space="0" w:color="auto"/>
              <w:right w:val="single" w:sz="4" w:space="0" w:color="auto"/>
            </w:tcBorders>
            <w:shd w:val="clear" w:color="auto" w:fill="auto"/>
            <w:noWrap/>
            <w:vAlign w:val="bottom"/>
            <w:hideMark/>
          </w:tcPr>
          <w:p w14:paraId="05466D1C"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2553</w:t>
            </w:r>
          </w:p>
        </w:tc>
        <w:tc>
          <w:tcPr>
            <w:tcW w:w="872" w:type="dxa"/>
            <w:tcBorders>
              <w:top w:val="nil"/>
              <w:left w:val="nil"/>
              <w:bottom w:val="single" w:sz="4" w:space="0" w:color="auto"/>
              <w:right w:val="single" w:sz="4" w:space="0" w:color="auto"/>
            </w:tcBorders>
            <w:shd w:val="clear" w:color="auto" w:fill="auto"/>
            <w:noWrap/>
            <w:vAlign w:val="bottom"/>
            <w:hideMark/>
          </w:tcPr>
          <w:p w14:paraId="79D48C6E"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2661</w:t>
            </w:r>
          </w:p>
        </w:tc>
        <w:tc>
          <w:tcPr>
            <w:tcW w:w="872" w:type="dxa"/>
            <w:tcBorders>
              <w:top w:val="nil"/>
              <w:left w:val="nil"/>
              <w:bottom w:val="single" w:sz="4" w:space="0" w:color="auto"/>
              <w:right w:val="single" w:sz="4" w:space="0" w:color="auto"/>
            </w:tcBorders>
            <w:shd w:val="clear" w:color="auto" w:fill="auto"/>
            <w:noWrap/>
            <w:vAlign w:val="bottom"/>
            <w:hideMark/>
          </w:tcPr>
          <w:p w14:paraId="6A1C602E"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2975</w:t>
            </w:r>
          </w:p>
        </w:tc>
        <w:tc>
          <w:tcPr>
            <w:tcW w:w="871" w:type="dxa"/>
            <w:tcBorders>
              <w:top w:val="nil"/>
              <w:left w:val="nil"/>
              <w:bottom w:val="single" w:sz="4" w:space="0" w:color="auto"/>
              <w:right w:val="single" w:sz="4" w:space="0" w:color="auto"/>
            </w:tcBorders>
            <w:shd w:val="clear" w:color="auto" w:fill="auto"/>
            <w:noWrap/>
            <w:vAlign w:val="bottom"/>
            <w:hideMark/>
          </w:tcPr>
          <w:p w14:paraId="5DA2A73D"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3125</w:t>
            </w:r>
          </w:p>
        </w:tc>
        <w:tc>
          <w:tcPr>
            <w:tcW w:w="871" w:type="dxa"/>
            <w:tcBorders>
              <w:top w:val="nil"/>
              <w:left w:val="nil"/>
              <w:bottom w:val="single" w:sz="4" w:space="0" w:color="auto"/>
              <w:right w:val="single" w:sz="4" w:space="0" w:color="auto"/>
            </w:tcBorders>
            <w:shd w:val="clear" w:color="auto" w:fill="auto"/>
            <w:noWrap/>
            <w:vAlign w:val="bottom"/>
            <w:hideMark/>
          </w:tcPr>
          <w:p w14:paraId="43F6C9E5"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2989</w:t>
            </w:r>
          </w:p>
        </w:tc>
        <w:tc>
          <w:tcPr>
            <w:tcW w:w="871" w:type="dxa"/>
            <w:tcBorders>
              <w:top w:val="nil"/>
              <w:left w:val="nil"/>
              <w:bottom w:val="single" w:sz="4" w:space="0" w:color="auto"/>
              <w:right w:val="single" w:sz="4" w:space="0" w:color="auto"/>
            </w:tcBorders>
            <w:shd w:val="clear" w:color="auto" w:fill="auto"/>
            <w:noWrap/>
            <w:vAlign w:val="bottom"/>
            <w:hideMark/>
          </w:tcPr>
          <w:p w14:paraId="6DAC1DE5"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2897</w:t>
            </w:r>
          </w:p>
        </w:tc>
        <w:tc>
          <w:tcPr>
            <w:tcW w:w="871" w:type="dxa"/>
            <w:tcBorders>
              <w:top w:val="nil"/>
              <w:left w:val="nil"/>
              <w:bottom w:val="single" w:sz="4" w:space="0" w:color="auto"/>
              <w:right w:val="single" w:sz="4" w:space="0" w:color="auto"/>
            </w:tcBorders>
            <w:shd w:val="clear" w:color="auto" w:fill="auto"/>
            <w:noWrap/>
            <w:vAlign w:val="bottom"/>
            <w:hideMark/>
          </w:tcPr>
          <w:p w14:paraId="7F03D3DF"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2768</w:t>
            </w:r>
          </w:p>
        </w:tc>
        <w:tc>
          <w:tcPr>
            <w:tcW w:w="872" w:type="dxa"/>
            <w:tcBorders>
              <w:top w:val="nil"/>
              <w:left w:val="nil"/>
              <w:bottom w:val="single" w:sz="4" w:space="0" w:color="auto"/>
              <w:right w:val="single" w:sz="4" w:space="0" w:color="auto"/>
            </w:tcBorders>
            <w:shd w:val="clear" w:color="auto" w:fill="auto"/>
            <w:noWrap/>
            <w:vAlign w:val="bottom"/>
            <w:hideMark/>
          </w:tcPr>
          <w:p w14:paraId="50E4119D"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2858</w:t>
            </w:r>
          </w:p>
        </w:tc>
        <w:tc>
          <w:tcPr>
            <w:tcW w:w="873" w:type="dxa"/>
            <w:tcBorders>
              <w:top w:val="nil"/>
              <w:left w:val="nil"/>
              <w:bottom w:val="single" w:sz="4" w:space="0" w:color="auto"/>
              <w:right w:val="single" w:sz="4" w:space="0" w:color="auto"/>
            </w:tcBorders>
            <w:shd w:val="clear" w:color="auto" w:fill="auto"/>
            <w:noWrap/>
            <w:vAlign w:val="bottom"/>
            <w:hideMark/>
          </w:tcPr>
          <w:p w14:paraId="58849AC3"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2701</w:t>
            </w:r>
          </w:p>
        </w:tc>
        <w:tc>
          <w:tcPr>
            <w:tcW w:w="872" w:type="dxa"/>
            <w:tcBorders>
              <w:top w:val="nil"/>
              <w:left w:val="nil"/>
              <w:bottom w:val="single" w:sz="4" w:space="0" w:color="auto"/>
              <w:right w:val="single" w:sz="4" w:space="0" w:color="auto"/>
            </w:tcBorders>
            <w:shd w:val="clear" w:color="auto" w:fill="auto"/>
            <w:noWrap/>
            <w:vAlign w:val="center"/>
            <w:hideMark/>
          </w:tcPr>
          <w:p w14:paraId="723205CD"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25527</w:t>
            </w:r>
          </w:p>
        </w:tc>
        <w:tc>
          <w:tcPr>
            <w:tcW w:w="146" w:type="dxa"/>
            <w:vAlign w:val="center"/>
            <w:hideMark/>
          </w:tcPr>
          <w:p w14:paraId="041576F2" w14:textId="77777777" w:rsidR="001766D1" w:rsidRPr="001766D1" w:rsidRDefault="001766D1" w:rsidP="00234CBE">
            <w:pPr>
              <w:spacing w:line="276" w:lineRule="auto"/>
              <w:rPr>
                <w:rFonts w:ascii="Times New Roman" w:hAnsi="Times New Roman"/>
                <w:sz w:val="20"/>
                <w:szCs w:val="20"/>
                <w:lang w:eastAsia="es-CR"/>
              </w:rPr>
            </w:pPr>
          </w:p>
        </w:tc>
      </w:tr>
      <w:tr w:rsidR="001766D1" w:rsidRPr="001766D1" w14:paraId="7EA7BC2E" w14:textId="77777777" w:rsidTr="001766D1">
        <w:trPr>
          <w:trHeight w:val="247"/>
          <w:jc w:val="center"/>
        </w:trPr>
        <w:tc>
          <w:tcPr>
            <w:tcW w:w="2427" w:type="dxa"/>
            <w:tcBorders>
              <w:top w:val="nil"/>
              <w:left w:val="single" w:sz="4" w:space="0" w:color="auto"/>
              <w:bottom w:val="single" w:sz="4" w:space="0" w:color="auto"/>
              <w:right w:val="nil"/>
            </w:tcBorders>
            <w:shd w:val="clear" w:color="auto" w:fill="auto"/>
            <w:noWrap/>
            <w:vAlign w:val="center"/>
            <w:hideMark/>
          </w:tcPr>
          <w:p w14:paraId="59B4D5E9" w14:textId="77777777" w:rsidR="001766D1" w:rsidRPr="001766D1" w:rsidRDefault="001766D1" w:rsidP="00234CBE">
            <w:pPr>
              <w:spacing w:line="276" w:lineRule="auto"/>
              <w:jc w:val="right"/>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Agrario</w:t>
            </w:r>
          </w:p>
        </w:tc>
        <w:tc>
          <w:tcPr>
            <w:tcW w:w="871" w:type="dxa"/>
            <w:tcBorders>
              <w:top w:val="nil"/>
              <w:left w:val="single" w:sz="4" w:space="0" w:color="auto"/>
              <w:bottom w:val="single" w:sz="4" w:space="0" w:color="auto"/>
              <w:right w:val="single" w:sz="4" w:space="0" w:color="auto"/>
            </w:tcBorders>
            <w:shd w:val="clear" w:color="auto" w:fill="auto"/>
            <w:noWrap/>
            <w:vAlign w:val="bottom"/>
            <w:hideMark/>
          </w:tcPr>
          <w:p w14:paraId="097F2B2F"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223</w:t>
            </w:r>
          </w:p>
        </w:tc>
        <w:tc>
          <w:tcPr>
            <w:tcW w:w="872" w:type="dxa"/>
            <w:tcBorders>
              <w:top w:val="nil"/>
              <w:left w:val="nil"/>
              <w:bottom w:val="single" w:sz="4" w:space="0" w:color="auto"/>
              <w:right w:val="single" w:sz="4" w:space="0" w:color="auto"/>
            </w:tcBorders>
            <w:shd w:val="clear" w:color="auto" w:fill="auto"/>
            <w:noWrap/>
            <w:vAlign w:val="bottom"/>
            <w:hideMark/>
          </w:tcPr>
          <w:p w14:paraId="6EA84DE3"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264</w:t>
            </w:r>
          </w:p>
        </w:tc>
        <w:tc>
          <w:tcPr>
            <w:tcW w:w="872" w:type="dxa"/>
            <w:tcBorders>
              <w:top w:val="nil"/>
              <w:left w:val="nil"/>
              <w:bottom w:val="single" w:sz="4" w:space="0" w:color="auto"/>
              <w:right w:val="single" w:sz="4" w:space="0" w:color="auto"/>
            </w:tcBorders>
            <w:shd w:val="clear" w:color="auto" w:fill="auto"/>
            <w:noWrap/>
            <w:vAlign w:val="bottom"/>
            <w:hideMark/>
          </w:tcPr>
          <w:p w14:paraId="49C0F6EC"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296</w:t>
            </w:r>
          </w:p>
        </w:tc>
        <w:tc>
          <w:tcPr>
            <w:tcW w:w="871" w:type="dxa"/>
            <w:tcBorders>
              <w:top w:val="nil"/>
              <w:left w:val="nil"/>
              <w:bottom w:val="single" w:sz="4" w:space="0" w:color="auto"/>
              <w:right w:val="single" w:sz="4" w:space="0" w:color="auto"/>
            </w:tcBorders>
            <w:shd w:val="clear" w:color="auto" w:fill="auto"/>
            <w:noWrap/>
            <w:vAlign w:val="bottom"/>
            <w:hideMark/>
          </w:tcPr>
          <w:p w14:paraId="0ACDA683"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304</w:t>
            </w:r>
          </w:p>
        </w:tc>
        <w:tc>
          <w:tcPr>
            <w:tcW w:w="871" w:type="dxa"/>
            <w:tcBorders>
              <w:top w:val="nil"/>
              <w:left w:val="nil"/>
              <w:bottom w:val="single" w:sz="4" w:space="0" w:color="auto"/>
              <w:right w:val="single" w:sz="4" w:space="0" w:color="auto"/>
            </w:tcBorders>
            <w:shd w:val="clear" w:color="auto" w:fill="auto"/>
            <w:noWrap/>
            <w:vAlign w:val="bottom"/>
            <w:hideMark/>
          </w:tcPr>
          <w:p w14:paraId="0E799CDA"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465</w:t>
            </w:r>
          </w:p>
        </w:tc>
        <w:tc>
          <w:tcPr>
            <w:tcW w:w="871" w:type="dxa"/>
            <w:tcBorders>
              <w:top w:val="nil"/>
              <w:left w:val="nil"/>
              <w:bottom w:val="single" w:sz="4" w:space="0" w:color="auto"/>
              <w:right w:val="single" w:sz="4" w:space="0" w:color="auto"/>
            </w:tcBorders>
            <w:shd w:val="clear" w:color="auto" w:fill="auto"/>
            <w:noWrap/>
            <w:vAlign w:val="bottom"/>
            <w:hideMark/>
          </w:tcPr>
          <w:p w14:paraId="6A82FF94"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366</w:t>
            </w:r>
          </w:p>
        </w:tc>
        <w:tc>
          <w:tcPr>
            <w:tcW w:w="871" w:type="dxa"/>
            <w:tcBorders>
              <w:top w:val="nil"/>
              <w:left w:val="nil"/>
              <w:bottom w:val="single" w:sz="4" w:space="0" w:color="auto"/>
              <w:right w:val="single" w:sz="4" w:space="0" w:color="auto"/>
            </w:tcBorders>
            <w:shd w:val="clear" w:color="auto" w:fill="auto"/>
            <w:noWrap/>
            <w:vAlign w:val="bottom"/>
            <w:hideMark/>
          </w:tcPr>
          <w:p w14:paraId="3E93CD4C"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352</w:t>
            </w:r>
          </w:p>
        </w:tc>
        <w:tc>
          <w:tcPr>
            <w:tcW w:w="872" w:type="dxa"/>
            <w:tcBorders>
              <w:top w:val="nil"/>
              <w:left w:val="nil"/>
              <w:bottom w:val="single" w:sz="4" w:space="0" w:color="auto"/>
              <w:right w:val="single" w:sz="4" w:space="0" w:color="auto"/>
            </w:tcBorders>
            <w:shd w:val="clear" w:color="auto" w:fill="auto"/>
            <w:noWrap/>
            <w:vAlign w:val="bottom"/>
            <w:hideMark/>
          </w:tcPr>
          <w:p w14:paraId="4737B21A"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285</w:t>
            </w:r>
          </w:p>
        </w:tc>
        <w:tc>
          <w:tcPr>
            <w:tcW w:w="873" w:type="dxa"/>
            <w:tcBorders>
              <w:top w:val="nil"/>
              <w:left w:val="nil"/>
              <w:bottom w:val="single" w:sz="4" w:space="0" w:color="auto"/>
              <w:right w:val="single" w:sz="4" w:space="0" w:color="auto"/>
            </w:tcBorders>
            <w:shd w:val="clear" w:color="auto" w:fill="auto"/>
            <w:noWrap/>
            <w:vAlign w:val="bottom"/>
            <w:hideMark/>
          </w:tcPr>
          <w:p w14:paraId="3EB872F3"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365</w:t>
            </w:r>
          </w:p>
        </w:tc>
        <w:tc>
          <w:tcPr>
            <w:tcW w:w="872" w:type="dxa"/>
            <w:tcBorders>
              <w:top w:val="nil"/>
              <w:left w:val="nil"/>
              <w:bottom w:val="single" w:sz="4" w:space="0" w:color="auto"/>
              <w:right w:val="single" w:sz="4" w:space="0" w:color="auto"/>
            </w:tcBorders>
            <w:shd w:val="clear" w:color="auto" w:fill="auto"/>
            <w:noWrap/>
            <w:vAlign w:val="center"/>
            <w:hideMark/>
          </w:tcPr>
          <w:p w14:paraId="451EB682"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2920</w:t>
            </w:r>
          </w:p>
        </w:tc>
        <w:tc>
          <w:tcPr>
            <w:tcW w:w="146" w:type="dxa"/>
            <w:vAlign w:val="center"/>
            <w:hideMark/>
          </w:tcPr>
          <w:p w14:paraId="464C7816" w14:textId="77777777" w:rsidR="001766D1" w:rsidRPr="001766D1" w:rsidRDefault="001766D1" w:rsidP="00234CBE">
            <w:pPr>
              <w:spacing w:line="276" w:lineRule="auto"/>
              <w:rPr>
                <w:rFonts w:ascii="Times New Roman" w:hAnsi="Times New Roman"/>
                <w:sz w:val="20"/>
                <w:szCs w:val="20"/>
                <w:lang w:eastAsia="es-CR"/>
              </w:rPr>
            </w:pPr>
          </w:p>
        </w:tc>
      </w:tr>
      <w:tr w:rsidR="001766D1" w:rsidRPr="001766D1" w14:paraId="03FB9192" w14:textId="77777777" w:rsidTr="001766D1">
        <w:trPr>
          <w:trHeight w:val="247"/>
          <w:jc w:val="center"/>
        </w:trPr>
        <w:tc>
          <w:tcPr>
            <w:tcW w:w="2427" w:type="dxa"/>
            <w:tcBorders>
              <w:top w:val="nil"/>
              <w:left w:val="single" w:sz="4" w:space="0" w:color="auto"/>
              <w:bottom w:val="single" w:sz="4" w:space="0" w:color="auto"/>
              <w:right w:val="nil"/>
            </w:tcBorders>
            <w:shd w:val="clear" w:color="auto" w:fill="auto"/>
            <w:noWrap/>
            <w:vAlign w:val="center"/>
            <w:hideMark/>
          </w:tcPr>
          <w:p w14:paraId="03EB28E6" w14:textId="77777777" w:rsidR="001766D1" w:rsidRPr="001766D1" w:rsidRDefault="001766D1" w:rsidP="00234CBE">
            <w:pPr>
              <w:spacing w:line="276" w:lineRule="auto"/>
              <w:jc w:val="right"/>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Tránsito</w:t>
            </w:r>
          </w:p>
        </w:tc>
        <w:tc>
          <w:tcPr>
            <w:tcW w:w="871" w:type="dxa"/>
            <w:tcBorders>
              <w:top w:val="nil"/>
              <w:left w:val="single" w:sz="4" w:space="0" w:color="auto"/>
              <w:bottom w:val="single" w:sz="4" w:space="0" w:color="auto"/>
              <w:right w:val="single" w:sz="4" w:space="0" w:color="auto"/>
            </w:tcBorders>
            <w:shd w:val="clear" w:color="auto" w:fill="auto"/>
            <w:noWrap/>
            <w:vAlign w:val="bottom"/>
            <w:hideMark/>
          </w:tcPr>
          <w:p w14:paraId="6F8CC084"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4769</w:t>
            </w:r>
          </w:p>
        </w:tc>
        <w:tc>
          <w:tcPr>
            <w:tcW w:w="872" w:type="dxa"/>
            <w:tcBorders>
              <w:top w:val="nil"/>
              <w:left w:val="nil"/>
              <w:bottom w:val="single" w:sz="4" w:space="0" w:color="auto"/>
              <w:right w:val="single" w:sz="4" w:space="0" w:color="auto"/>
            </w:tcBorders>
            <w:shd w:val="clear" w:color="auto" w:fill="auto"/>
            <w:noWrap/>
            <w:vAlign w:val="bottom"/>
            <w:hideMark/>
          </w:tcPr>
          <w:p w14:paraId="05C2744E"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4693</w:t>
            </w:r>
          </w:p>
        </w:tc>
        <w:tc>
          <w:tcPr>
            <w:tcW w:w="872" w:type="dxa"/>
            <w:tcBorders>
              <w:top w:val="nil"/>
              <w:left w:val="nil"/>
              <w:bottom w:val="single" w:sz="4" w:space="0" w:color="auto"/>
              <w:right w:val="single" w:sz="4" w:space="0" w:color="auto"/>
            </w:tcBorders>
            <w:shd w:val="clear" w:color="auto" w:fill="auto"/>
            <w:noWrap/>
            <w:vAlign w:val="bottom"/>
            <w:hideMark/>
          </w:tcPr>
          <w:p w14:paraId="0FF47AA1"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4827</w:t>
            </w:r>
          </w:p>
        </w:tc>
        <w:tc>
          <w:tcPr>
            <w:tcW w:w="871" w:type="dxa"/>
            <w:tcBorders>
              <w:top w:val="nil"/>
              <w:left w:val="nil"/>
              <w:bottom w:val="single" w:sz="4" w:space="0" w:color="auto"/>
              <w:right w:val="single" w:sz="4" w:space="0" w:color="auto"/>
            </w:tcBorders>
            <w:shd w:val="clear" w:color="auto" w:fill="auto"/>
            <w:noWrap/>
            <w:vAlign w:val="bottom"/>
            <w:hideMark/>
          </w:tcPr>
          <w:p w14:paraId="31111EFF"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5271</w:t>
            </w:r>
          </w:p>
        </w:tc>
        <w:tc>
          <w:tcPr>
            <w:tcW w:w="871" w:type="dxa"/>
            <w:tcBorders>
              <w:top w:val="nil"/>
              <w:left w:val="nil"/>
              <w:bottom w:val="single" w:sz="4" w:space="0" w:color="auto"/>
              <w:right w:val="single" w:sz="4" w:space="0" w:color="auto"/>
            </w:tcBorders>
            <w:shd w:val="clear" w:color="auto" w:fill="auto"/>
            <w:noWrap/>
            <w:vAlign w:val="bottom"/>
            <w:hideMark/>
          </w:tcPr>
          <w:p w14:paraId="78DEF26D"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4960</w:t>
            </w:r>
          </w:p>
        </w:tc>
        <w:tc>
          <w:tcPr>
            <w:tcW w:w="871" w:type="dxa"/>
            <w:tcBorders>
              <w:top w:val="nil"/>
              <w:left w:val="nil"/>
              <w:bottom w:val="single" w:sz="4" w:space="0" w:color="auto"/>
              <w:right w:val="single" w:sz="4" w:space="0" w:color="auto"/>
            </w:tcBorders>
            <w:shd w:val="clear" w:color="auto" w:fill="auto"/>
            <w:noWrap/>
            <w:vAlign w:val="bottom"/>
            <w:hideMark/>
          </w:tcPr>
          <w:p w14:paraId="1C073EFA"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4956</w:t>
            </w:r>
          </w:p>
        </w:tc>
        <w:tc>
          <w:tcPr>
            <w:tcW w:w="871" w:type="dxa"/>
            <w:tcBorders>
              <w:top w:val="nil"/>
              <w:left w:val="nil"/>
              <w:bottom w:val="single" w:sz="4" w:space="0" w:color="auto"/>
              <w:right w:val="single" w:sz="4" w:space="0" w:color="auto"/>
            </w:tcBorders>
            <w:shd w:val="clear" w:color="auto" w:fill="auto"/>
            <w:noWrap/>
            <w:vAlign w:val="bottom"/>
            <w:hideMark/>
          </w:tcPr>
          <w:p w14:paraId="5D07CE91"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5085</w:t>
            </w:r>
          </w:p>
        </w:tc>
        <w:tc>
          <w:tcPr>
            <w:tcW w:w="872" w:type="dxa"/>
            <w:tcBorders>
              <w:top w:val="nil"/>
              <w:left w:val="nil"/>
              <w:bottom w:val="single" w:sz="4" w:space="0" w:color="auto"/>
              <w:right w:val="single" w:sz="4" w:space="0" w:color="auto"/>
            </w:tcBorders>
            <w:shd w:val="clear" w:color="auto" w:fill="auto"/>
            <w:noWrap/>
            <w:vAlign w:val="bottom"/>
            <w:hideMark/>
          </w:tcPr>
          <w:p w14:paraId="0F8C7109"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5087</w:t>
            </w:r>
          </w:p>
        </w:tc>
        <w:tc>
          <w:tcPr>
            <w:tcW w:w="873" w:type="dxa"/>
            <w:tcBorders>
              <w:top w:val="nil"/>
              <w:left w:val="nil"/>
              <w:bottom w:val="single" w:sz="4" w:space="0" w:color="auto"/>
              <w:right w:val="single" w:sz="4" w:space="0" w:color="auto"/>
            </w:tcBorders>
            <w:shd w:val="clear" w:color="auto" w:fill="auto"/>
            <w:noWrap/>
            <w:vAlign w:val="bottom"/>
            <w:hideMark/>
          </w:tcPr>
          <w:p w14:paraId="19D93060"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5167</w:t>
            </w:r>
          </w:p>
        </w:tc>
        <w:tc>
          <w:tcPr>
            <w:tcW w:w="872" w:type="dxa"/>
            <w:tcBorders>
              <w:top w:val="nil"/>
              <w:left w:val="nil"/>
              <w:bottom w:val="single" w:sz="4" w:space="0" w:color="auto"/>
              <w:right w:val="single" w:sz="4" w:space="0" w:color="auto"/>
            </w:tcBorders>
            <w:shd w:val="clear" w:color="auto" w:fill="auto"/>
            <w:noWrap/>
            <w:vAlign w:val="center"/>
            <w:hideMark/>
          </w:tcPr>
          <w:p w14:paraId="3C219F01"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44815</w:t>
            </w:r>
          </w:p>
        </w:tc>
        <w:tc>
          <w:tcPr>
            <w:tcW w:w="146" w:type="dxa"/>
            <w:vAlign w:val="center"/>
            <w:hideMark/>
          </w:tcPr>
          <w:p w14:paraId="70DDB1D1" w14:textId="77777777" w:rsidR="001766D1" w:rsidRPr="001766D1" w:rsidRDefault="001766D1" w:rsidP="00234CBE">
            <w:pPr>
              <w:spacing w:line="276" w:lineRule="auto"/>
              <w:rPr>
                <w:rFonts w:ascii="Times New Roman" w:hAnsi="Times New Roman"/>
                <w:sz w:val="20"/>
                <w:szCs w:val="20"/>
                <w:lang w:eastAsia="es-CR"/>
              </w:rPr>
            </w:pPr>
          </w:p>
        </w:tc>
      </w:tr>
      <w:tr w:rsidR="001766D1" w:rsidRPr="001766D1" w14:paraId="2E24B848" w14:textId="77777777" w:rsidTr="001766D1">
        <w:trPr>
          <w:trHeight w:val="247"/>
          <w:jc w:val="center"/>
        </w:trPr>
        <w:tc>
          <w:tcPr>
            <w:tcW w:w="2427" w:type="dxa"/>
            <w:tcBorders>
              <w:top w:val="nil"/>
              <w:left w:val="single" w:sz="4" w:space="0" w:color="auto"/>
              <w:bottom w:val="single" w:sz="4" w:space="0" w:color="auto"/>
              <w:right w:val="nil"/>
            </w:tcBorders>
            <w:shd w:val="clear" w:color="auto" w:fill="auto"/>
            <w:noWrap/>
            <w:vAlign w:val="center"/>
            <w:hideMark/>
          </w:tcPr>
          <w:p w14:paraId="650C3E37" w14:textId="77777777" w:rsidR="001766D1" w:rsidRPr="001766D1" w:rsidRDefault="001766D1" w:rsidP="00234CBE">
            <w:pPr>
              <w:spacing w:line="276" w:lineRule="auto"/>
              <w:jc w:val="right"/>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Contravenciones</w:t>
            </w:r>
          </w:p>
        </w:tc>
        <w:tc>
          <w:tcPr>
            <w:tcW w:w="871" w:type="dxa"/>
            <w:tcBorders>
              <w:top w:val="nil"/>
              <w:left w:val="single" w:sz="4" w:space="0" w:color="auto"/>
              <w:bottom w:val="single" w:sz="4" w:space="0" w:color="auto"/>
              <w:right w:val="single" w:sz="4" w:space="0" w:color="auto"/>
            </w:tcBorders>
            <w:shd w:val="clear" w:color="auto" w:fill="auto"/>
            <w:noWrap/>
            <w:vAlign w:val="bottom"/>
            <w:hideMark/>
          </w:tcPr>
          <w:p w14:paraId="21BBBC51"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3636</w:t>
            </w:r>
          </w:p>
        </w:tc>
        <w:tc>
          <w:tcPr>
            <w:tcW w:w="872" w:type="dxa"/>
            <w:tcBorders>
              <w:top w:val="nil"/>
              <w:left w:val="nil"/>
              <w:bottom w:val="single" w:sz="4" w:space="0" w:color="auto"/>
              <w:right w:val="single" w:sz="4" w:space="0" w:color="auto"/>
            </w:tcBorders>
            <w:shd w:val="clear" w:color="auto" w:fill="auto"/>
            <w:noWrap/>
            <w:vAlign w:val="bottom"/>
            <w:hideMark/>
          </w:tcPr>
          <w:p w14:paraId="3A343E53"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3788</w:t>
            </w:r>
          </w:p>
        </w:tc>
        <w:tc>
          <w:tcPr>
            <w:tcW w:w="872" w:type="dxa"/>
            <w:tcBorders>
              <w:top w:val="nil"/>
              <w:left w:val="nil"/>
              <w:bottom w:val="single" w:sz="4" w:space="0" w:color="auto"/>
              <w:right w:val="single" w:sz="4" w:space="0" w:color="auto"/>
            </w:tcBorders>
            <w:shd w:val="clear" w:color="auto" w:fill="auto"/>
            <w:noWrap/>
            <w:vAlign w:val="bottom"/>
            <w:hideMark/>
          </w:tcPr>
          <w:p w14:paraId="0147DA43"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3806</w:t>
            </w:r>
          </w:p>
        </w:tc>
        <w:tc>
          <w:tcPr>
            <w:tcW w:w="871" w:type="dxa"/>
            <w:tcBorders>
              <w:top w:val="nil"/>
              <w:left w:val="nil"/>
              <w:bottom w:val="single" w:sz="4" w:space="0" w:color="auto"/>
              <w:right w:val="single" w:sz="4" w:space="0" w:color="auto"/>
            </w:tcBorders>
            <w:shd w:val="clear" w:color="auto" w:fill="auto"/>
            <w:noWrap/>
            <w:vAlign w:val="bottom"/>
            <w:hideMark/>
          </w:tcPr>
          <w:p w14:paraId="3C8CE33A"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4059</w:t>
            </w:r>
          </w:p>
        </w:tc>
        <w:tc>
          <w:tcPr>
            <w:tcW w:w="871" w:type="dxa"/>
            <w:tcBorders>
              <w:top w:val="nil"/>
              <w:left w:val="nil"/>
              <w:bottom w:val="single" w:sz="4" w:space="0" w:color="auto"/>
              <w:right w:val="single" w:sz="4" w:space="0" w:color="auto"/>
            </w:tcBorders>
            <w:shd w:val="clear" w:color="auto" w:fill="auto"/>
            <w:noWrap/>
            <w:vAlign w:val="bottom"/>
            <w:hideMark/>
          </w:tcPr>
          <w:p w14:paraId="03F60C54"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4008</w:t>
            </w:r>
          </w:p>
        </w:tc>
        <w:tc>
          <w:tcPr>
            <w:tcW w:w="871" w:type="dxa"/>
            <w:tcBorders>
              <w:top w:val="nil"/>
              <w:left w:val="nil"/>
              <w:bottom w:val="single" w:sz="4" w:space="0" w:color="auto"/>
              <w:right w:val="single" w:sz="4" w:space="0" w:color="auto"/>
            </w:tcBorders>
            <w:shd w:val="clear" w:color="auto" w:fill="auto"/>
            <w:noWrap/>
            <w:vAlign w:val="bottom"/>
            <w:hideMark/>
          </w:tcPr>
          <w:p w14:paraId="1143B2CF"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4214</w:t>
            </w:r>
          </w:p>
        </w:tc>
        <w:tc>
          <w:tcPr>
            <w:tcW w:w="871" w:type="dxa"/>
            <w:tcBorders>
              <w:top w:val="nil"/>
              <w:left w:val="nil"/>
              <w:bottom w:val="single" w:sz="4" w:space="0" w:color="auto"/>
              <w:right w:val="single" w:sz="4" w:space="0" w:color="auto"/>
            </w:tcBorders>
            <w:shd w:val="clear" w:color="auto" w:fill="auto"/>
            <w:noWrap/>
            <w:vAlign w:val="bottom"/>
            <w:hideMark/>
          </w:tcPr>
          <w:p w14:paraId="6D2F5CD4"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4057</w:t>
            </w:r>
          </w:p>
        </w:tc>
        <w:tc>
          <w:tcPr>
            <w:tcW w:w="872" w:type="dxa"/>
            <w:tcBorders>
              <w:top w:val="nil"/>
              <w:left w:val="nil"/>
              <w:bottom w:val="single" w:sz="4" w:space="0" w:color="auto"/>
              <w:right w:val="single" w:sz="4" w:space="0" w:color="auto"/>
            </w:tcBorders>
            <w:shd w:val="clear" w:color="auto" w:fill="auto"/>
            <w:noWrap/>
            <w:vAlign w:val="bottom"/>
            <w:hideMark/>
          </w:tcPr>
          <w:p w14:paraId="4D09229B"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4190</w:t>
            </w:r>
          </w:p>
        </w:tc>
        <w:tc>
          <w:tcPr>
            <w:tcW w:w="873" w:type="dxa"/>
            <w:tcBorders>
              <w:top w:val="nil"/>
              <w:left w:val="nil"/>
              <w:bottom w:val="single" w:sz="4" w:space="0" w:color="auto"/>
              <w:right w:val="single" w:sz="4" w:space="0" w:color="auto"/>
            </w:tcBorders>
            <w:shd w:val="clear" w:color="auto" w:fill="auto"/>
            <w:noWrap/>
            <w:vAlign w:val="bottom"/>
            <w:hideMark/>
          </w:tcPr>
          <w:p w14:paraId="72817C3B"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4552</w:t>
            </w:r>
          </w:p>
        </w:tc>
        <w:tc>
          <w:tcPr>
            <w:tcW w:w="872" w:type="dxa"/>
            <w:tcBorders>
              <w:top w:val="nil"/>
              <w:left w:val="nil"/>
              <w:bottom w:val="single" w:sz="4" w:space="0" w:color="auto"/>
              <w:right w:val="single" w:sz="4" w:space="0" w:color="auto"/>
            </w:tcBorders>
            <w:shd w:val="clear" w:color="auto" w:fill="auto"/>
            <w:noWrap/>
            <w:vAlign w:val="center"/>
            <w:hideMark/>
          </w:tcPr>
          <w:p w14:paraId="6C87E129"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36310</w:t>
            </w:r>
          </w:p>
        </w:tc>
        <w:tc>
          <w:tcPr>
            <w:tcW w:w="146" w:type="dxa"/>
            <w:vAlign w:val="center"/>
            <w:hideMark/>
          </w:tcPr>
          <w:p w14:paraId="33D5DA4E" w14:textId="77777777" w:rsidR="001766D1" w:rsidRPr="001766D1" w:rsidRDefault="001766D1" w:rsidP="00234CBE">
            <w:pPr>
              <w:spacing w:line="276" w:lineRule="auto"/>
              <w:rPr>
                <w:rFonts w:ascii="Times New Roman" w:hAnsi="Times New Roman"/>
                <w:sz w:val="20"/>
                <w:szCs w:val="20"/>
                <w:lang w:eastAsia="es-CR"/>
              </w:rPr>
            </w:pPr>
          </w:p>
        </w:tc>
      </w:tr>
      <w:tr w:rsidR="001766D1" w:rsidRPr="001766D1" w14:paraId="67AD3BA7" w14:textId="77777777" w:rsidTr="001766D1">
        <w:trPr>
          <w:trHeight w:val="247"/>
          <w:jc w:val="center"/>
        </w:trPr>
        <w:tc>
          <w:tcPr>
            <w:tcW w:w="2427" w:type="dxa"/>
            <w:tcBorders>
              <w:top w:val="nil"/>
              <w:left w:val="single" w:sz="4" w:space="0" w:color="auto"/>
              <w:bottom w:val="single" w:sz="4" w:space="0" w:color="auto"/>
              <w:right w:val="nil"/>
            </w:tcBorders>
            <w:shd w:val="clear" w:color="auto" w:fill="auto"/>
            <w:noWrap/>
            <w:vAlign w:val="center"/>
            <w:hideMark/>
          </w:tcPr>
          <w:p w14:paraId="51BE62BE" w14:textId="77777777" w:rsidR="001766D1" w:rsidRPr="001766D1" w:rsidRDefault="001766D1" w:rsidP="00234CBE">
            <w:pPr>
              <w:spacing w:line="276" w:lineRule="auto"/>
              <w:jc w:val="right"/>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Laboral</w:t>
            </w:r>
          </w:p>
        </w:tc>
        <w:tc>
          <w:tcPr>
            <w:tcW w:w="871" w:type="dxa"/>
            <w:tcBorders>
              <w:top w:val="nil"/>
              <w:left w:val="single" w:sz="4" w:space="0" w:color="auto"/>
              <w:bottom w:val="single" w:sz="4" w:space="0" w:color="auto"/>
              <w:right w:val="single" w:sz="4" w:space="0" w:color="auto"/>
            </w:tcBorders>
            <w:shd w:val="clear" w:color="auto" w:fill="auto"/>
            <w:noWrap/>
            <w:vAlign w:val="bottom"/>
            <w:hideMark/>
          </w:tcPr>
          <w:p w14:paraId="0FDF02E5"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2495</w:t>
            </w:r>
          </w:p>
        </w:tc>
        <w:tc>
          <w:tcPr>
            <w:tcW w:w="872" w:type="dxa"/>
            <w:tcBorders>
              <w:top w:val="nil"/>
              <w:left w:val="nil"/>
              <w:bottom w:val="single" w:sz="4" w:space="0" w:color="auto"/>
              <w:right w:val="single" w:sz="4" w:space="0" w:color="auto"/>
            </w:tcBorders>
            <w:shd w:val="clear" w:color="auto" w:fill="auto"/>
            <w:noWrap/>
            <w:vAlign w:val="bottom"/>
            <w:hideMark/>
          </w:tcPr>
          <w:p w14:paraId="797EC5EF"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2795</w:t>
            </w:r>
          </w:p>
        </w:tc>
        <w:tc>
          <w:tcPr>
            <w:tcW w:w="872" w:type="dxa"/>
            <w:tcBorders>
              <w:top w:val="nil"/>
              <w:left w:val="nil"/>
              <w:bottom w:val="single" w:sz="4" w:space="0" w:color="auto"/>
              <w:right w:val="single" w:sz="4" w:space="0" w:color="auto"/>
            </w:tcBorders>
            <w:shd w:val="clear" w:color="auto" w:fill="auto"/>
            <w:noWrap/>
            <w:vAlign w:val="bottom"/>
            <w:hideMark/>
          </w:tcPr>
          <w:p w14:paraId="0F7C4B40"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3151</w:t>
            </w:r>
          </w:p>
        </w:tc>
        <w:tc>
          <w:tcPr>
            <w:tcW w:w="871" w:type="dxa"/>
            <w:tcBorders>
              <w:top w:val="nil"/>
              <w:left w:val="nil"/>
              <w:bottom w:val="single" w:sz="4" w:space="0" w:color="auto"/>
              <w:right w:val="single" w:sz="4" w:space="0" w:color="auto"/>
            </w:tcBorders>
            <w:shd w:val="clear" w:color="auto" w:fill="auto"/>
            <w:noWrap/>
            <w:vAlign w:val="bottom"/>
            <w:hideMark/>
          </w:tcPr>
          <w:p w14:paraId="2E5F9F9B"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3107</w:t>
            </w:r>
          </w:p>
        </w:tc>
        <w:tc>
          <w:tcPr>
            <w:tcW w:w="871" w:type="dxa"/>
            <w:tcBorders>
              <w:top w:val="nil"/>
              <w:left w:val="nil"/>
              <w:bottom w:val="single" w:sz="4" w:space="0" w:color="auto"/>
              <w:right w:val="single" w:sz="4" w:space="0" w:color="auto"/>
            </w:tcBorders>
            <w:shd w:val="clear" w:color="auto" w:fill="auto"/>
            <w:noWrap/>
            <w:vAlign w:val="bottom"/>
            <w:hideMark/>
          </w:tcPr>
          <w:p w14:paraId="257AD07B"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3338</w:t>
            </w:r>
          </w:p>
        </w:tc>
        <w:tc>
          <w:tcPr>
            <w:tcW w:w="871" w:type="dxa"/>
            <w:tcBorders>
              <w:top w:val="nil"/>
              <w:left w:val="nil"/>
              <w:bottom w:val="single" w:sz="4" w:space="0" w:color="auto"/>
              <w:right w:val="single" w:sz="4" w:space="0" w:color="auto"/>
            </w:tcBorders>
            <w:shd w:val="clear" w:color="auto" w:fill="auto"/>
            <w:noWrap/>
            <w:vAlign w:val="bottom"/>
            <w:hideMark/>
          </w:tcPr>
          <w:p w14:paraId="739CC9FC"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3173</w:t>
            </w:r>
          </w:p>
        </w:tc>
        <w:tc>
          <w:tcPr>
            <w:tcW w:w="871" w:type="dxa"/>
            <w:tcBorders>
              <w:top w:val="nil"/>
              <w:left w:val="nil"/>
              <w:bottom w:val="single" w:sz="4" w:space="0" w:color="auto"/>
              <w:right w:val="single" w:sz="4" w:space="0" w:color="auto"/>
            </w:tcBorders>
            <w:shd w:val="clear" w:color="auto" w:fill="auto"/>
            <w:noWrap/>
            <w:vAlign w:val="bottom"/>
            <w:hideMark/>
          </w:tcPr>
          <w:p w14:paraId="60FDB770"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3391</w:t>
            </w:r>
          </w:p>
        </w:tc>
        <w:tc>
          <w:tcPr>
            <w:tcW w:w="872" w:type="dxa"/>
            <w:tcBorders>
              <w:top w:val="nil"/>
              <w:left w:val="nil"/>
              <w:bottom w:val="single" w:sz="4" w:space="0" w:color="auto"/>
              <w:right w:val="single" w:sz="4" w:space="0" w:color="auto"/>
            </w:tcBorders>
            <w:shd w:val="clear" w:color="auto" w:fill="auto"/>
            <w:noWrap/>
            <w:vAlign w:val="bottom"/>
            <w:hideMark/>
          </w:tcPr>
          <w:p w14:paraId="00733D4D"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3361</w:t>
            </w:r>
          </w:p>
        </w:tc>
        <w:tc>
          <w:tcPr>
            <w:tcW w:w="873" w:type="dxa"/>
            <w:tcBorders>
              <w:top w:val="nil"/>
              <w:left w:val="nil"/>
              <w:bottom w:val="single" w:sz="4" w:space="0" w:color="auto"/>
              <w:right w:val="single" w:sz="4" w:space="0" w:color="auto"/>
            </w:tcBorders>
            <w:shd w:val="clear" w:color="auto" w:fill="auto"/>
            <w:noWrap/>
            <w:vAlign w:val="bottom"/>
            <w:hideMark/>
          </w:tcPr>
          <w:p w14:paraId="60035EE1"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3105</w:t>
            </w:r>
          </w:p>
        </w:tc>
        <w:tc>
          <w:tcPr>
            <w:tcW w:w="872" w:type="dxa"/>
            <w:tcBorders>
              <w:top w:val="nil"/>
              <w:left w:val="nil"/>
              <w:bottom w:val="single" w:sz="4" w:space="0" w:color="auto"/>
              <w:right w:val="single" w:sz="4" w:space="0" w:color="auto"/>
            </w:tcBorders>
            <w:shd w:val="clear" w:color="auto" w:fill="auto"/>
            <w:noWrap/>
            <w:vAlign w:val="center"/>
            <w:hideMark/>
          </w:tcPr>
          <w:p w14:paraId="7C5BC882" w14:textId="77777777" w:rsidR="001766D1" w:rsidRPr="001766D1" w:rsidRDefault="001766D1" w:rsidP="00234CBE">
            <w:pPr>
              <w:spacing w:line="276" w:lineRule="auto"/>
              <w:jc w:val="center"/>
              <w:rPr>
                <w:rFonts w:ascii="Book Antiqua" w:hAnsi="Book Antiqua" w:cs="Calibri"/>
                <w:color w:val="000000"/>
                <w:sz w:val="16"/>
                <w:szCs w:val="16"/>
                <w:lang w:eastAsia="es-CR"/>
              </w:rPr>
            </w:pPr>
            <w:r w:rsidRPr="001766D1">
              <w:rPr>
                <w:rFonts w:ascii="Book Antiqua" w:hAnsi="Book Antiqua" w:cs="Calibri"/>
                <w:color w:val="000000"/>
                <w:sz w:val="16"/>
                <w:szCs w:val="16"/>
                <w:lang w:eastAsia="es-CR"/>
              </w:rPr>
              <w:t>27916</w:t>
            </w:r>
          </w:p>
        </w:tc>
        <w:tc>
          <w:tcPr>
            <w:tcW w:w="146" w:type="dxa"/>
            <w:vAlign w:val="center"/>
            <w:hideMark/>
          </w:tcPr>
          <w:p w14:paraId="682828AC" w14:textId="77777777" w:rsidR="001766D1" w:rsidRPr="001766D1" w:rsidRDefault="001766D1" w:rsidP="00234CBE">
            <w:pPr>
              <w:spacing w:line="276" w:lineRule="auto"/>
              <w:rPr>
                <w:rFonts w:ascii="Times New Roman" w:hAnsi="Times New Roman"/>
                <w:sz w:val="20"/>
                <w:szCs w:val="20"/>
                <w:lang w:eastAsia="es-CR"/>
              </w:rPr>
            </w:pPr>
          </w:p>
        </w:tc>
      </w:tr>
    </w:tbl>
    <w:p w14:paraId="49F99D12" w14:textId="77777777" w:rsidR="0059268A" w:rsidRDefault="0059268A" w:rsidP="00234CBE">
      <w:pPr>
        <w:shd w:val="clear" w:color="auto" w:fill="FFFFFF" w:themeFill="background1"/>
        <w:spacing w:line="276" w:lineRule="auto"/>
        <w:jc w:val="center"/>
        <w:rPr>
          <w:rFonts w:ascii="Book Antiqua" w:hAnsi="Book Antiqua" w:cs="Book Antiqua"/>
          <w:snapToGrid w:val="0"/>
          <w:color w:val="000000" w:themeColor="text1"/>
        </w:rPr>
      </w:pPr>
      <w:r w:rsidRPr="0059268A">
        <w:rPr>
          <w:rFonts w:ascii="Book Antiqua" w:hAnsi="Book Antiqua" w:cs="Calibri"/>
          <w:b/>
          <w:bCs/>
          <w:color w:val="000000"/>
          <w:sz w:val="20"/>
          <w:szCs w:val="20"/>
          <w:lang w:eastAsia="es-CR"/>
        </w:rPr>
        <w:t>Fuente:</w:t>
      </w:r>
      <w:r w:rsidRPr="00D44482">
        <w:rPr>
          <w:rFonts w:ascii="Book Antiqua" w:hAnsi="Book Antiqua" w:cs="Calibri"/>
          <w:color w:val="000000"/>
          <w:sz w:val="20"/>
          <w:szCs w:val="20"/>
          <w:lang w:eastAsia="es-CR"/>
        </w:rPr>
        <w:t xml:space="preserve"> </w:t>
      </w:r>
      <w:r>
        <w:rPr>
          <w:rFonts w:ascii="Book Antiqua" w:hAnsi="Book Antiqua" w:cs="Calibri"/>
          <w:color w:val="000000"/>
          <w:sz w:val="20"/>
          <w:szCs w:val="20"/>
          <w:lang w:eastAsia="es-CR"/>
        </w:rPr>
        <w:t>Elaboración propia a partir de las estadísticas del Subproceso de Estadística</w:t>
      </w:r>
    </w:p>
    <w:p w14:paraId="5D20540A" w14:textId="77777777" w:rsidR="008714A0" w:rsidRDefault="008714A0" w:rsidP="00234CBE">
      <w:pPr>
        <w:shd w:val="clear" w:color="auto" w:fill="FFFFFF" w:themeFill="background1"/>
        <w:spacing w:after="160" w:line="276" w:lineRule="auto"/>
        <w:jc w:val="both"/>
        <w:rPr>
          <w:rFonts w:ascii="Book Antiqua" w:hAnsi="Book Antiqua"/>
          <w:lang w:val="es-ES_tradnl" w:eastAsia="en-US"/>
        </w:rPr>
      </w:pPr>
    </w:p>
    <w:p w14:paraId="54142520" w14:textId="2F803A18" w:rsidR="00DB024E" w:rsidRDefault="0016469A" w:rsidP="00234CBE">
      <w:pPr>
        <w:shd w:val="clear" w:color="auto" w:fill="FFFFFF" w:themeFill="background1"/>
        <w:spacing w:after="160" w:line="276" w:lineRule="auto"/>
        <w:jc w:val="both"/>
        <w:rPr>
          <w:rFonts w:ascii="Book Antiqua" w:hAnsi="Book Antiqua"/>
          <w:lang w:val="es-ES_tradnl" w:eastAsia="en-US"/>
        </w:rPr>
      </w:pPr>
      <w:r w:rsidRPr="00B83157">
        <w:rPr>
          <w:rFonts w:ascii="Book Antiqua" w:hAnsi="Book Antiqua"/>
          <w:lang w:val="es-ES_tradnl" w:eastAsia="en-US"/>
        </w:rPr>
        <w:t xml:space="preserve">A </w:t>
      </w:r>
      <w:r w:rsidR="007A33D1" w:rsidRPr="00B83157">
        <w:rPr>
          <w:rFonts w:ascii="Book Antiqua" w:hAnsi="Book Antiqua"/>
          <w:lang w:val="es-ES_tradnl" w:eastAsia="en-US"/>
        </w:rPr>
        <w:t>continuación,</w:t>
      </w:r>
      <w:r w:rsidRPr="00B83157">
        <w:rPr>
          <w:rFonts w:ascii="Book Antiqua" w:hAnsi="Book Antiqua"/>
          <w:lang w:val="es-ES_tradnl" w:eastAsia="en-US"/>
        </w:rPr>
        <w:t xml:space="preserve"> se </w:t>
      </w:r>
      <w:r w:rsidR="007E1AB2">
        <w:rPr>
          <w:rFonts w:ascii="Book Antiqua" w:hAnsi="Book Antiqua"/>
          <w:lang w:val="es-ES_tradnl" w:eastAsia="en-US"/>
        </w:rPr>
        <w:t>inserta</w:t>
      </w:r>
      <w:r w:rsidRPr="00B83157">
        <w:rPr>
          <w:rFonts w:ascii="Book Antiqua" w:hAnsi="Book Antiqua"/>
          <w:lang w:val="es-ES_tradnl" w:eastAsia="en-US"/>
        </w:rPr>
        <w:t xml:space="preserve"> una comparación entre la cantidad de casos terminados de cada materia </w:t>
      </w:r>
      <w:r w:rsidR="00E50AEF">
        <w:rPr>
          <w:rFonts w:ascii="Book Antiqua" w:hAnsi="Book Antiqua"/>
          <w:lang w:val="es-ES_tradnl" w:eastAsia="en-US"/>
        </w:rPr>
        <w:t>del</w:t>
      </w:r>
      <w:r w:rsidR="00C048DB" w:rsidRPr="00B83157">
        <w:rPr>
          <w:rFonts w:ascii="Book Antiqua" w:hAnsi="Book Antiqua"/>
          <w:lang w:val="es-ES_tradnl" w:eastAsia="en-US"/>
        </w:rPr>
        <w:t xml:space="preserve"> </w:t>
      </w:r>
      <w:r w:rsidR="007E1AB2">
        <w:rPr>
          <w:rFonts w:ascii="Book Antiqua" w:hAnsi="Book Antiqua"/>
          <w:lang w:val="es-ES_tradnl" w:eastAsia="en-US"/>
        </w:rPr>
        <w:t>2021 versus el 2019 y 2020</w:t>
      </w:r>
      <w:r w:rsidRPr="00B83157">
        <w:rPr>
          <w:rFonts w:ascii="Book Antiqua" w:hAnsi="Book Antiqua"/>
          <w:lang w:val="es-ES_tradnl" w:eastAsia="en-US"/>
        </w:rPr>
        <w:t xml:space="preserve">, en </w:t>
      </w:r>
      <w:r w:rsidR="007E1AB2">
        <w:rPr>
          <w:rFonts w:ascii="Book Antiqua" w:hAnsi="Book Antiqua"/>
          <w:lang w:val="es-ES_tradnl" w:eastAsia="en-US"/>
        </w:rPr>
        <w:t>el</w:t>
      </w:r>
      <w:r w:rsidRPr="00B83157">
        <w:rPr>
          <w:rFonts w:ascii="Book Antiqua" w:hAnsi="Book Antiqua"/>
          <w:lang w:val="es-ES_tradnl" w:eastAsia="en-US"/>
        </w:rPr>
        <w:t xml:space="preserve"> cual se puede </w:t>
      </w:r>
      <w:r w:rsidR="00DB024E">
        <w:rPr>
          <w:rFonts w:ascii="Book Antiqua" w:hAnsi="Book Antiqua"/>
          <w:lang w:val="es-ES_tradnl" w:eastAsia="en-US"/>
        </w:rPr>
        <w:t>observar</w:t>
      </w:r>
      <w:r w:rsidRPr="00B83157">
        <w:rPr>
          <w:rFonts w:ascii="Book Antiqua" w:hAnsi="Book Antiqua"/>
          <w:lang w:val="es-ES_tradnl" w:eastAsia="en-US"/>
        </w:rPr>
        <w:t xml:space="preserve"> </w:t>
      </w:r>
      <w:r w:rsidR="00C048DB" w:rsidRPr="00B83157">
        <w:rPr>
          <w:rFonts w:ascii="Book Antiqua" w:hAnsi="Book Antiqua"/>
          <w:lang w:val="es-ES_tradnl" w:eastAsia="en-US"/>
        </w:rPr>
        <w:t>los porcentajes obtenidos.</w:t>
      </w:r>
    </w:p>
    <w:p w14:paraId="65417D23" w14:textId="77777777" w:rsidR="00234CBE" w:rsidRPr="00B83157" w:rsidRDefault="00234CBE" w:rsidP="00234CBE">
      <w:pPr>
        <w:shd w:val="clear" w:color="auto" w:fill="FFFFFF" w:themeFill="background1"/>
        <w:spacing w:after="160" w:line="276" w:lineRule="auto"/>
        <w:jc w:val="both"/>
        <w:rPr>
          <w:rFonts w:ascii="Book Antiqua" w:hAnsi="Book Antiqua"/>
          <w:lang w:val="es-ES_tradnl" w:eastAsia="en-US"/>
        </w:rPr>
      </w:pPr>
    </w:p>
    <w:p w14:paraId="286F0160" w14:textId="77777777" w:rsidR="006F775A" w:rsidRDefault="009B4263" w:rsidP="00234CBE">
      <w:pPr>
        <w:shd w:val="clear" w:color="auto" w:fill="FFFFFF" w:themeFill="background1"/>
        <w:spacing w:line="276" w:lineRule="auto"/>
        <w:jc w:val="center"/>
        <w:rPr>
          <w:rFonts w:ascii="Book Antiqua" w:hAnsi="Book Antiqua"/>
          <w:b/>
          <w:bCs/>
          <w:lang w:val="es-ES_tradnl" w:eastAsia="en-US"/>
        </w:rPr>
      </w:pPr>
      <w:r w:rsidRPr="00B83157">
        <w:rPr>
          <w:rFonts w:ascii="Book Antiqua" w:hAnsi="Book Antiqua"/>
          <w:b/>
          <w:bCs/>
          <w:lang w:val="es-ES_tradnl" w:eastAsia="en-US"/>
        </w:rPr>
        <w:t>Cuadro 04</w:t>
      </w:r>
    </w:p>
    <w:p w14:paraId="7FB54C9C" w14:textId="1A396F49" w:rsidR="000C3643" w:rsidRPr="000C3643" w:rsidRDefault="009B4263" w:rsidP="00234CBE">
      <w:pPr>
        <w:shd w:val="clear" w:color="auto" w:fill="FFFFFF" w:themeFill="background1"/>
        <w:spacing w:line="276" w:lineRule="auto"/>
        <w:jc w:val="center"/>
        <w:rPr>
          <w:rFonts w:ascii="Book Antiqua" w:hAnsi="Book Antiqua"/>
          <w:b/>
          <w:bCs/>
          <w:lang w:val="es-ES_tradnl" w:eastAsia="en-US"/>
        </w:rPr>
      </w:pPr>
      <w:r w:rsidRPr="00B83157">
        <w:rPr>
          <w:rFonts w:ascii="Book Antiqua" w:hAnsi="Book Antiqua"/>
          <w:b/>
          <w:bCs/>
          <w:lang w:val="es-ES_tradnl" w:eastAsia="en-US"/>
        </w:rPr>
        <w:t xml:space="preserve"> </w:t>
      </w:r>
      <w:r w:rsidR="00410CF3" w:rsidRPr="00B83157">
        <w:rPr>
          <w:rFonts w:ascii="Book Antiqua" w:hAnsi="Book Antiqua"/>
          <w:b/>
          <w:bCs/>
          <w:lang w:val="es-ES_tradnl" w:eastAsia="en-US"/>
        </w:rPr>
        <w:t>Comparación de</w:t>
      </w:r>
      <w:r w:rsidR="00DB024E">
        <w:rPr>
          <w:rFonts w:ascii="Book Antiqua" w:hAnsi="Book Antiqua"/>
          <w:b/>
          <w:bCs/>
          <w:lang w:val="es-ES_tradnl" w:eastAsia="en-US"/>
        </w:rPr>
        <w:t>l promedio mensual de</w:t>
      </w:r>
      <w:r w:rsidR="00410CF3" w:rsidRPr="00B83157">
        <w:rPr>
          <w:rFonts w:ascii="Book Antiqua" w:hAnsi="Book Antiqua"/>
          <w:b/>
          <w:bCs/>
          <w:lang w:val="es-ES_tradnl" w:eastAsia="en-US"/>
        </w:rPr>
        <w:t xml:space="preserve"> asuntos terminados de </w:t>
      </w:r>
      <w:r w:rsidR="00487EFE" w:rsidRPr="00B83157">
        <w:rPr>
          <w:rFonts w:ascii="Book Antiqua" w:hAnsi="Book Antiqua"/>
          <w:b/>
          <w:bCs/>
          <w:lang w:val="es-ES_tradnl" w:eastAsia="en-US"/>
        </w:rPr>
        <w:t>20</w:t>
      </w:r>
      <w:r w:rsidR="00E50AEF">
        <w:rPr>
          <w:rFonts w:ascii="Book Antiqua" w:hAnsi="Book Antiqua"/>
          <w:b/>
          <w:bCs/>
          <w:lang w:val="es-ES_tradnl" w:eastAsia="en-US"/>
        </w:rPr>
        <w:t>21</w:t>
      </w:r>
      <w:r w:rsidR="00487EFE" w:rsidRPr="00B83157">
        <w:rPr>
          <w:rFonts w:ascii="Book Antiqua" w:hAnsi="Book Antiqua"/>
          <w:b/>
          <w:bCs/>
          <w:lang w:val="es-ES_tradnl" w:eastAsia="en-US"/>
        </w:rPr>
        <w:t xml:space="preserve">, </w:t>
      </w:r>
      <w:r w:rsidR="00E50AEF">
        <w:rPr>
          <w:rFonts w:ascii="Book Antiqua" w:hAnsi="Book Antiqua"/>
          <w:b/>
          <w:bCs/>
          <w:lang w:val="es-ES_tradnl" w:eastAsia="en-US"/>
        </w:rPr>
        <w:t xml:space="preserve">versus el </w:t>
      </w:r>
      <w:r w:rsidR="00410CF3" w:rsidRPr="00B83157">
        <w:rPr>
          <w:rFonts w:ascii="Book Antiqua" w:hAnsi="Book Antiqua"/>
          <w:b/>
          <w:bCs/>
          <w:lang w:val="es-ES_tradnl" w:eastAsia="en-US"/>
        </w:rPr>
        <w:t>20</w:t>
      </w:r>
      <w:r w:rsidR="00E50AEF">
        <w:rPr>
          <w:rFonts w:ascii="Book Antiqua" w:hAnsi="Book Antiqua"/>
          <w:b/>
          <w:bCs/>
          <w:lang w:val="es-ES_tradnl" w:eastAsia="en-US"/>
        </w:rPr>
        <w:t>19</w:t>
      </w:r>
      <w:r w:rsidR="00887470">
        <w:rPr>
          <w:rFonts w:ascii="Book Antiqua" w:hAnsi="Book Antiqua"/>
          <w:b/>
          <w:bCs/>
          <w:lang w:val="es-ES_tradnl" w:eastAsia="en-US"/>
        </w:rPr>
        <w:t xml:space="preserve"> y </w:t>
      </w:r>
      <w:r w:rsidR="00410CF3" w:rsidRPr="00B83157">
        <w:rPr>
          <w:rFonts w:ascii="Book Antiqua" w:hAnsi="Book Antiqua"/>
          <w:b/>
          <w:bCs/>
          <w:lang w:val="es-ES_tradnl" w:eastAsia="en-US"/>
        </w:rPr>
        <w:t>202</w:t>
      </w:r>
      <w:r w:rsidR="00E50AEF">
        <w:rPr>
          <w:rFonts w:ascii="Book Antiqua" w:hAnsi="Book Antiqua"/>
          <w:b/>
          <w:bCs/>
          <w:lang w:val="es-ES_tradnl" w:eastAsia="en-US"/>
        </w:rPr>
        <w:t>0</w:t>
      </w:r>
      <w:r w:rsidR="00887470">
        <w:rPr>
          <w:rFonts w:ascii="Book Antiqua" w:hAnsi="Book Antiqua"/>
          <w:b/>
          <w:bCs/>
          <w:lang w:val="es-ES_tradnl" w:eastAsia="en-US"/>
        </w:rPr>
        <w:t xml:space="preserve"> con su</w:t>
      </w:r>
      <w:r w:rsidR="00E50AEF">
        <w:rPr>
          <w:rFonts w:ascii="Book Antiqua" w:hAnsi="Book Antiqua"/>
          <w:b/>
          <w:bCs/>
          <w:lang w:val="es-ES_tradnl" w:eastAsia="en-US"/>
        </w:rPr>
        <w:t xml:space="preserve"> respectiva</w:t>
      </w:r>
      <w:r w:rsidR="00887470">
        <w:rPr>
          <w:rFonts w:ascii="Book Antiqua" w:hAnsi="Book Antiqua"/>
          <w:b/>
          <w:bCs/>
          <w:lang w:val="es-ES_tradnl" w:eastAsia="en-US"/>
        </w:rPr>
        <w:t xml:space="preserve"> variación porcentual</w:t>
      </w:r>
      <w:r w:rsidR="00217648">
        <w:rPr>
          <w:rFonts w:ascii="Book Antiqua" w:hAnsi="Book Antiqua"/>
          <w:b/>
          <w:bCs/>
          <w:lang w:val="es-ES_tradnl" w:eastAsia="en-US"/>
        </w:rPr>
        <w:t xml:space="preserve"> </w:t>
      </w:r>
    </w:p>
    <w:tbl>
      <w:tblPr>
        <w:tblW w:w="9361" w:type="dxa"/>
        <w:jc w:val="center"/>
        <w:tblCellMar>
          <w:left w:w="70" w:type="dxa"/>
          <w:right w:w="70" w:type="dxa"/>
        </w:tblCellMar>
        <w:tblLook w:val="04A0" w:firstRow="1" w:lastRow="0" w:firstColumn="1" w:lastColumn="0" w:noHBand="0" w:noVBand="1"/>
      </w:tblPr>
      <w:tblGrid>
        <w:gridCol w:w="3361"/>
        <w:gridCol w:w="1200"/>
        <w:gridCol w:w="1200"/>
        <w:gridCol w:w="1200"/>
        <w:gridCol w:w="1200"/>
        <w:gridCol w:w="1200"/>
      </w:tblGrid>
      <w:tr w:rsidR="00E50AEF" w:rsidRPr="00E50AEF" w14:paraId="46912080" w14:textId="77777777" w:rsidTr="000E7A4D">
        <w:trPr>
          <w:trHeight w:val="440"/>
          <w:jc w:val="center"/>
        </w:trPr>
        <w:tc>
          <w:tcPr>
            <w:tcW w:w="3361" w:type="dxa"/>
            <w:tcBorders>
              <w:top w:val="single" w:sz="4" w:space="0" w:color="auto"/>
              <w:left w:val="single" w:sz="4" w:space="0" w:color="auto"/>
              <w:bottom w:val="single" w:sz="4" w:space="0" w:color="auto"/>
              <w:right w:val="single" w:sz="4" w:space="0" w:color="auto"/>
            </w:tcBorders>
            <w:shd w:val="clear" w:color="000000" w:fill="305496"/>
            <w:noWrap/>
            <w:vAlign w:val="center"/>
            <w:hideMark/>
          </w:tcPr>
          <w:p w14:paraId="6006546E" w14:textId="77777777" w:rsidR="00E50AEF" w:rsidRPr="00E50AEF" w:rsidRDefault="00E50AEF" w:rsidP="00234CBE">
            <w:pPr>
              <w:spacing w:line="276" w:lineRule="auto"/>
              <w:jc w:val="center"/>
              <w:rPr>
                <w:rFonts w:ascii="Book Antiqua" w:hAnsi="Book Antiqua" w:cs="Calibri"/>
                <w:b/>
                <w:bCs/>
                <w:color w:val="FFFFFF"/>
                <w:sz w:val="16"/>
                <w:szCs w:val="16"/>
                <w:lang w:eastAsia="es-CR"/>
              </w:rPr>
            </w:pPr>
            <w:r w:rsidRPr="00E50AEF">
              <w:rPr>
                <w:rFonts w:ascii="Book Antiqua" w:hAnsi="Book Antiqua" w:cs="Calibri"/>
                <w:b/>
                <w:bCs/>
                <w:color w:val="FFFFFF"/>
                <w:sz w:val="16"/>
                <w:szCs w:val="16"/>
                <w:lang w:eastAsia="es-CR"/>
              </w:rPr>
              <w:t>Asuntos entrados por materia</w:t>
            </w:r>
          </w:p>
        </w:tc>
        <w:tc>
          <w:tcPr>
            <w:tcW w:w="1200" w:type="dxa"/>
            <w:tcBorders>
              <w:top w:val="single" w:sz="4" w:space="0" w:color="auto"/>
              <w:left w:val="nil"/>
              <w:bottom w:val="single" w:sz="4" w:space="0" w:color="auto"/>
              <w:right w:val="single" w:sz="4" w:space="0" w:color="auto"/>
            </w:tcBorders>
            <w:shd w:val="clear" w:color="000000" w:fill="305496"/>
            <w:vAlign w:val="center"/>
            <w:hideMark/>
          </w:tcPr>
          <w:p w14:paraId="6DE1EFFA" w14:textId="77777777" w:rsidR="00E50AEF" w:rsidRPr="00E50AEF" w:rsidRDefault="00E50AEF" w:rsidP="00234CBE">
            <w:pPr>
              <w:spacing w:line="276" w:lineRule="auto"/>
              <w:jc w:val="center"/>
              <w:rPr>
                <w:rFonts w:ascii="Book Antiqua" w:hAnsi="Book Antiqua" w:cs="Calibri"/>
                <w:b/>
                <w:bCs/>
                <w:color w:val="FFFFFF"/>
                <w:sz w:val="16"/>
                <w:szCs w:val="16"/>
                <w:lang w:eastAsia="es-CR"/>
              </w:rPr>
            </w:pPr>
            <w:r w:rsidRPr="00E50AEF">
              <w:rPr>
                <w:rFonts w:ascii="Book Antiqua" w:hAnsi="Book Antiqua" w:cs="Calibri"/>
                <w:b/>
                <w:bCs/>
                <w:color w:val="FFFFFF"/>
                <w:sz w:val="16"/>
                <w:szCs w:val="16"/>
                <w:lang w:eastAsia="es-CR"/>
              </w:rPr>
              <w:t>Promedio mensual 2019</w:t>
            </w:r>
          </w:p>
        </w:tc>
        <w:tc>
          <w:tcPr>
            <w:tcW w:w="1200" w:type="dxa"/>
            <w:tcBorders>
              <w:top w:val="single" w:sz="4" w:space="0" w:color="auto"/>
              <w:left w:val="nil"/>
              <w:bottom w:val="single" w:sz="4" w:space="0" w:color="auto"/>
              <w:right w:val="single" w:sz="4" w:space="0" w:color="auto"/>
            </w:tcBorders>
            <w:shd w:val="clear" w:color="000000" w:fill="305496"/>
            <w:vAlign w:val="center"/>
            <w:hideMark/>
          </w:tcPr>
          <w:p w14:paraId="0FC038DE" w14:textId="77777777" w:rsidR="00E50AEF" w:rsidRPr="00E50AEF" w:rsidRDefault="00E50AEF" w:rsidP="00234CBE">
            <w:pPr>
              <w:spacing w:line="276" w:lineRule="auto"/>
              <w:jc w:val="center"/>
              <w:rPr>
                <w:rFonts w:ascii="Book Antiqua" w:hAnsi="Book Antiqua" w:cs="Calibri"/>
                <w:b/>
                <w:bCs/>
                <w:color w:val="FFFFFF"/>
                <w:sz w:val="16"/>
                <w:szCs w:val="16"/>
                <w:lang w:eastAsia="es-CR"/>
              </w:rPr>
            </w:pPr>
            <w:r w:rsidRPr="00E50AEF">
              <w:rPr>
                <w:rFonts w:ascii="Book Antiqua" w:hAnsi="Book Antiqua" w:cs="Calibri"/>
                <w:b/>
                <w:bCs/>
                <w:color w:val="FFFFFF"/>
                <w:sz w:val="16"/>
                <w:szCs w:val="16"/>
                <w:lang w:eastAsia="es-CR"/>
              </w:rPr>
              <w:t>Promedio mensual 2020</w:t>
            </w:r>
          </w:p>
        </w:tc>
        <w:tc>
          <w:tcPr>
            <w:tcW w:w="1200" w:type="dxa"/>
            <w:tcBorders>
              <w:top w:val="single" w:sz="4" w:space="0" w:color="auto"/>
              <w:left w:val="nil"/>
              <w:bottom w:val="single" w:sz="4" w:space="0" w:color="auto"/>
              <w:right w:val="single" w:sz="4" w:space="0" w:color="auto"/>
            </w:tcBorders>
            <w:shd w:val="clear" w:color="000000" w:fill="305496"/>
            <w:vAlign w:val="center"/>
            <w:hideMark/>
          </w:tcPr>
          <w:p w14:paraId="5C52579E" w14:textId="77777777" w:rsidR="00E50AEF" w:rsidRPr="00E50AEF" w:rsidRDefault="00E50AEF" w:rsidP="00234CBE">
            <w:pPr>
              <w:spacing w:line="276" w:lineRule="auto"/>
              <w:jc w:val="center"/>
              <w:rPr>
                <w:rFonts w:ascii="Book Antiqua" w:hAnsi="Book Antiqua" w:cs="Calibri"/>
                <w:b/>
                <w:bCs/>
                <w:color w:val="FFFFFF"/>
                <w:sz w:val="16"/>
                <w:szCs w:val="16"/>
                <w:lang w:eastAsia="es-CR"/>
              </w:rPr>
            </w:pPr>
            <w:r w:rsidRPr="00E50AEF">
              <w:rPr>
                <w:rFonts w:ascii="Book Antiqua" w:hAnsi="Book Antiqua" w:cs="Calibri"/>
                <w:b/>
                <w:bCs/>
                <w:color w:val="FFFFFF"/>
                <w:sz w:val="16"/>
                <w:szCs w:val="16"/>
                <w:lang w:eastAsia="es-CR"/>
              </w:rPr>
              <w:t>Promedio mensual 2021</w:t>
            </w:r>
          </w:p>
        </w:tc>
        <w:tc>
          <w:tcPr>
            <w:tcW w:w="1200" w:type="dxa"/>
            <w:tcBorders>
              <w:top w:val="single" w:sz="4" w:space="0" w:color="auto"/>
              <w:left w:val="nil"/>
              <w:bottom w:val="single" w:sz="4" w:space="0" w:color="auto"/>
              <w:right w:val="single" w:sz="4" w:space="0" w:color="auto"/>
            </w:tcBorders>
            <w:shd w:val="clear" w:color="000000" w:fill="305496"/>
            <w:vAlign w:val="center"/>
            <w:hideMark/>
          </w:tcPr>
          <w:p w14:paraId="5DF8205D" w14:textId="77777777" w:rsidR="00E50AEF" w:rsidRPr="00E50AEF" w:rsidRDefault="00E50AEF" w:rsidP="00234CBE">
            <w:pPr>
              <w:spacing w:line="276" w:lineRule="auto"/>
              <w:jc w:val="center"/>
              <w:rPr>
                <w:rFonts w:ascii="Book Antiqua" w:hAnsi="Book Antiqua" w:cs="Calibri"/>
                <w:b/>
                <w:bCs/>
                <w:color w:val="FFFFFF"/>
                <w:sz w:val="16"/>
                <w:szCs w:val="16"/>
                <w:lang w:eastAsia="es-CR"/>
              </w:rPr>
            </w:pPr>
            <w:r w:rsidRPr="00E50AEF">
              <w:rPr>
                <w:rFonts w:ascii="Book Antiqua" w:hAnsi="Book Antiqua" w:cs="Calibri"/>
                <w:b/>
                <w:bCs/>
                <w:color w:val="FFFFFF"/>
                <w:sz w:val="16"/>
                <w:szCs w:val="16"/>
                <w:lang w:eastAsia="es-CR"/>
              </w:rPr>
              <w:t>Diferencia 2021vs 2019</w:t>
            </w:r>
          </w:p>
        </w:tc>
        <w:tc>
          <w:tcPr>
            <w:tcW w:w="1200" w:type="dxa"/>
            <w:tcBorders>
              <w:top w:val="single" w:sz="4" w:space="0" w:color="auto"/>
              <w:left w:val="nil"/>
              <w:bottom w:val="single" w:sz="4" w:space="0" w:color="auto"/>
              <w:right w:val="single" w:sz="4" w:space="0" w:color="auto"/>
            </w:tcBorders>
            <w:shd w:val="clear" w:color="000000" w:fill="305496"/>
            <w:vAlign w:val="center"/>
            <w:hideMark/>
          </w:tcPr>
          <w:p w14:paraId="12FE7311" w14:textId="77777777" w:rsidR="00E50AEF" w:rsidRPr="00E50AEF" w:rsidRDefault="00E50AEF" w:rsidP="00234CBE">
            <w:pPr>
              <w:spacing w:line="276" w:lineRule="auto"/>
              <w:jc w:val="center"/>
              <w:rPr>
                <w:rFonts w:ascii="Book Antiqua" w:hAnsi="Book Antiqua" w:cs="Calibri"/>
                <w:b/>
                <w:bCs/>
                <w:color w:val="FFFFFF"/>
                <w:sz w:val="16"/>
                <w:szCs w:val="16"/>
                <w:lang w:eastAsia="es-CR"/>
              </w:rPr>
            </w:pPr>
            <w:r w:rsidRPr="00E50AEF">
              <w:rPr>
                <w:rFonts w:ascii="Book Antiqua" w:hAnsi="Book Antiqua" w:cs="Calibri"/>
                <w:b/>
                <w:bCs/>
                <w:color w:val="FFFFFF"/>
                <w:sz w:val="16"/>
                <w:szCs w:val="16"/>
                <w:lang w:eastAsia="es-CR"/>
              </w:rPr>
              <w:t>Diferencia 2021vs 2020</w:t>
            </w:r>
          </w:p>
        </w:tc>
      </w:tr>
      <w:tr w:rsidR="00E50AEF" w:rsidRPr="00E50AEF" w14:paraId="1F834C94" w14:textId="77777777" w:rsidTr="000E7A4D">
        <w:trPr>
          <w:trHeight w:val="290"/>
          <w:jc w:val="center"/>
        </w:trPr>
        <w:tc>
          <w:tcPr>
            <w:tcW w:w="3361" w:type="dxa"/>
            <w:tcBorders>
              <w:top w:val="nil"/>
              <w:left w:val="single" w:sz="4" w:space="0" w:color="auto"/>
              <w:bottom w:val="single" w:sz="4" w:space="0" w:color="auto"/>
              <w:right w:val="single" w:sz="4" w:space="0" w:color="auto"/>
            </w:tcBorders>
            <w:shd w:val="clear" w:color="auto" w:fill="auto"/>
            <w:noWrap/>
            <w:vAlign w:val="center"/>
            <w:hideMark/>
          </w:tcPr>
          <w:p w14:paraId="4898B9B9" w14:textId="77777777" w:rsidR="00E50AEF" w:rsidRPr="00E50AEF" w:rsidRDefault="00E50AEF" w:rsidP="00234CBE">
            <w:pPr>
              <w:spacing w:line="276" w:lineRule="auto"/>
              <w:rPr>
                <w:rFonts w:ascii="Book Antiqua" w:hAnsi="Book Antiqua" w:cs="Calibri"/>
                <w:b/>
                <w:bCs/>
                <w:color w:val="000000"/>
                <w:sz w:val="16"/>
                <w:szCs w:val="16"/>
                <w:lang w:eastAsia="es-CR"/>
              </w:rPr>
            </w:pPr>
            <w:r w:rsidRPr="00E50AEF">
              <w:rPr>
                <w:rFonts w:ascii="Book Antiqua" w:hAnsi="Book Antiqua" w:cs="Calibri"/>
                <w:b/>
                <w:bCs/>
                <w:color w:val="000000"/>
                <w:sz w:val="16"/>
                <w:szCs w:val="16"/>
                <w:lang w:eastAsia="es-CR"/>
              </w:rPr>
              <w:t>TOTAL</w:t>
            </w:r>
          </w:p>
        </w:tc>
        <w:tc>
          <w:tcPr>
            <w:tcW w:w="1200" w:type="dxa"/>
            <w:tcBorders>
              <w:top w:val="nil"/>
              <w:left w:val="nil"/>
              <w:bottom w:val="single" w:sz="4" w:space="0" w:color="auto"/>
              <w:right w:val="single" w:sz="4" w:space="0" w:color="auto"/>
            </w:tcBorders>
            <w:shd w:val="clear" w:color="auto" w:fill="auto"/>
            <w:noWrap/>
            <w:vAlign w:val="center"/>
            <w:hideMark/>
          </w:tcPr>
          <w:p w14:paraId="2619C547" w14:textId="77777777" w:rsidR="00E50AEF" w:rsidRPr="00E50AEF" w:rsidRDefault="00E50AEF" w:rsidP="00234CBE">
            <w:pPr>
              <w:spacing w:line="276" w:lineRule="auto"/>
              <w:jc w:val="center"/>
              <w:rPr>
                <w:rFonts w:ascii="Book Antiqua" w:hAnsi="Book Antiqua" w:cs="Calibri"/>
                <w:b/>
                <w:bCs/>
                <w:color w:val="000000"/>
                <w:sz w:val="16"/>
                <w:szCs w:val="16"/>
                <w:lang w:eastAsia="es-CR"/>
              </w:rPr>
            </w:pPr>
            <w:r w:rsidRPr="00E50AEF">
              <w:rPr>
                <w:rFonts w:ascii="Book Antiqua" w:hAnsi="Book Antiqua" w:cs="Calibri"/>
                <w:b/>
                <w:bCs/>
                <w:color w:val="000000"/>
                <w:sz w:val="16"/>
                <w:szCs w:val="16"/>
                <w:lang w:eastAsia="es-CR"/>
              </w:rPr>
              <w:t>61632</w:t>
            </w:r>
          </w:p>
        </w:tc>
        <w:tc>
          <w:tcPr>
            <w:tcW w:w="1200" w:type="dxa"/>
            <w:tcBorders>
              <w:top w:val="nil"/>
              <w:left w:val="nil"/>
              <w:bottom w:val="single" w:sz="4" w:space="0" w:color="auto"/>
              <w:right w:val="single" w:sz="4" w:space="0" w:color="auto"/>
            </w:tcBorders>
            <w:shd w:val="clear" w:color="auto" w:fill="auto"/>
            <w:noWrap/>
            <w:vAlign w:val="center"/>
            <w:hideMark/>
          </w:tcPr>
          <w:p w14:paraId="45B1EAD1" w14:textId="77777777" w:rsidR="00E50AEF" w:rsidRPr="00E50AEF" w:rsidRDefault="00E50AEF" w:rsidP="00234CBE">
            <w:pPr>
              <w:spacing w:line="276" w:lineRule="auto"/>
              <w:jc w:val="center"/>
              <w:rPr>
                <w:rFonts w:ascii="Book Antiqua" w:hAnsi="Book Antiqua" w:cs="Calibri"/>
                <w:b/>
                <w:bCs/>
                <w:color w:val="000000"/>
                <w:sz w:val="16"/>
                <w:szCs w:val="16"/>
                <w:lang w:eastAsia="es-CR"/>
              </w:rPr>
            </w:pPr>
            <w:r w:rsidRPr="00E50AEF">
              <w:rPr>
                <w:rFonts w:ascii="Book Antiqua" w:hAnsi="Book Antiqua" w:cs="Calibri"/>
                <w:b/>
                <w:bCs/>
                <w:color w:val="000000"/>
                <w:sz w:val="16"/>
                <w:szCs w:val="16"/>
                <w:lang w:eastAsia="es-CR"/>
              </w:rPr>
              <w:t>52997</w:t>
            </w:r>
          </w:p>
        </w:tc>
        <w:tc>
          <w:tcPr>
            <w:tcW w:w="1200" w:type="dxa"/>
            <w:tcBorders>
              <w:top w:val="nil"/>
              <w:left w:val="nil"/>
              <w:bottom w:val="single" w:sz="4" w:space="0" w:color="auto"/>
              <w:right w:val="single" w:sz="4" w:space="0" w:color="auto"/>
            </w:tcBorders>
            <w:shd w:val="clear" w:color="auto" w:fill="auto"/>
            <w:noWrap/>
            <w:vAlign w:val="center"/>
            <w:hideMark/>
          </w:tcPr>
          <w:p w14:paraId="558A2C57" w14:textId="77777777" w:rsidR="00E50AEF" w:rsidRPr="00E50AEF" w:rsidRDefault="00E50AEF" w:rsidP="00234CBE">
            <w:pPr>
              <w:spacing w:line="276" w:lineRule="auto"/>
              <w:jc w:val="center"/>
              <w:rPr>
                <w:rFonts w:ascii="Book Antiqua" w:hAnsi="Book Antiqua" w:cs="Calibri"/>
                <w:b/>
                <w:bCs/>
                <w:color w:val="000000"/>
                <w:sz w:val="16"/>
                <w:szCs w:val="16"/>
                <w:lang w:eastAsia="es-CR"/>
              </w:rPr>
            </w:pPr>
            <w:r w:rsidRPr="00E50AEF">
              <w:rPr>
                <w:rFonts w:ascii="Book Antiqua" w:hAnsi="Book Antiqua" w:cs="Calibri"/>
                <w:b/>
                <w:bCs/>
                <w:color w:val="000000"/>
                <w:sz w:val="16"/>
                <w:szCs w:val="16"/>
                <w:lang w:eastAsia="es-CR"/>
              </w:rPr>
              <w:t>56882</w:t>
            </w:r>
          </w:p>
        </w:tc>
        <w:tc>
          <w:tcPr>
            <w:tcW w:w="1200" w:type="dxa"/>
            <w:tcBorders>
              <w:top w:val="nil"/>
              <w:left w:val="nil"/>
              <w:bottom w:val="single" w:sz="4" w:space="0" w:color="auto"/>
              <w:right w:val="single" w:sz="4" w:space="0" w:color="auto"/>
            </w:tcBorders>
            <w:shd w:val="clear" w:color="auto" w:fill="auto"/>
            <w:noWrap/>
            <w:vAlign w:val="center"/>
            <w:hideMark/>
          </w:tcPr>
          <w:p w14:paraId="30D3EC55" w14:textId="77777777" w:rsidR="00E50AEF" w:rsidRPr="00E50AEF" w:rsidRDefault="00E50AEF" w:rsidP="00234CBE">
            <w:pPr>
              <w:spacing w:line="276" w:lineRule="auto"/>
              <w:jc w:val="center"/>
              <w:rPr>
                <w:rFonts w:ascii="Book Antiqua" w:hAnsi="Book Antiqua" w:cs="Calibri"/>
                <w:b/>
                <w:bCs/>
                <w:color w:val="000000"/>
                <w:sz w:val="16"/>
                <w:szCs w:val="16"/>
                <w:lang w:eastAsia="es-CR"/>
              </w:rPr>
            </w:pPr>
            <w:r w:rsidRPr="00E50AEF">
              <w:rPr>
                <w:rFonts w:ascii="Book Antiqua" w:hAnsi="Book Antiqua" w:cs="Calibri"/>
                <w:b/>
                <w:bCs/>
                <w:color w:val="000000"/>
                <w:sz w:val="16"/>
                <w:szCs w:val="16"/>
                <w:lang w:eastAsia="es-CR"/>
              </w:rPr>
              <w:t>-7,71%</w:t>
            </w:r>
          </w:p>
        </w:tc>
        <w:tc>
          <w:tcPr>
            <w:tcW w:w="1200" w:type="dxa"/>
            <w:tcBorders>
              <w:top w:val="nil"/>
              <w:left w:val="nil"/>
              <w:bottom w:val="single" w:sz="4" w:space="0" w:color="auto"/>
              <w:right w:val="single" w:sz="4" w:space="0" w:color="auto"/>
            </w:tcBorders>
            <w:shd w:val="clear" w:color="auto" w:fill="auto"/>
            <w:noWrap/>
            <w:vAlign w:val="center"/>
            <w:hideMark/>
          </w:tcPr>
          <w:p w14:paraId="4D1E53D7" w14:textId="77777777" w:rsidR="00E50AEF" w:rsidRPr="00E50AEF" w:rsidRDefault="00E50AEF" w:rsidP="00234CBE">
            <w:pPr>
              <w:spacing w:line="276" w:lineRule="auto"/>
              <w:jc w:val="center"/>
              <w:rPr>
                <w:rFonts w:ascii="Book Antiqua" w:hAnsi="Book Antiqua" w:cs="Calibri"/>
                <w:b/>
                <w:bCs/>
                <w:color w:val="000000"/>
                <w:sz w:val="16"/>
                <w:szCs w:val="16"/>
                <w:lang w:eastAsia="es-CR"/>
              </w:rPr>
            </w:pPr>
            <w:r w:rsidRPr="00E50AEF">
              <w:rPr>
                <w:rFonts w:ascii="Book Antiqua" w:hAnsi="Book Antiqua" w:cs="Calibri"/>
                <w:b/>
                <w:bCs/>
                <w:color w:val="000000"/>
                <w:sz w:val="16"/>
                <w:szCs w:val="16"/>
                <w:lang w:eastAsia="es-CR"/>
              </w:rPr>
              <w:t>7,33%</w:t>
            </w:r>
          </w:p>
        </w:tc>
      </w:tr>
      <w:tr w:rsidR="00E50AEF" w:rsidRPr="00E50AEF" w14:paraId="7B51811B" w14:textId="77777777" w:rsidTr="000E7A4D">
        <w:trPr>
          <w:trHeight w:val="290"/>
          <w:jc w:val="center"/>
        </w:trPr>
        <w:tc>
          <w:tcPr>
            <w:tcW w:w="3361" w:type="dxa"/>
            <w:tcBorders>
              <w:top w:val="nil"/>
              <w:left w:val="single" w:sz="4" w:space="0" w:color="auto"/>
              <w:bottom w:val="single" w:sz="4" w:space="0" w:color="auto"/>
              <w:right w:val="single" w:sz="4" w:space="0" w:color="auto"/>
            </w:tcBorders>
            <w:shd w:val="clear" w:color="auto" w:fill="auto"/>
            <w:noWrap/>
            <w:vAlign w:val="center"/>
            <w:hideMark/>
          </w:tcPr>
          <w:p w14:paraId="0B1D8BB5" w14:textId="77777777" w:rsidR="00E50AEF" w:rsidRPr="00E50AEF" w:rsidRDefault="00E50AEF" w:rsidP="00234CBE">
            <w:pPr>
              <w:spacing w:line="276" w:lineRule="auto"/>
              <w:rPr>
                <w:rFonts w:ascii="Book Antiqua" w:hAnsi="Book Antiqua" w:cs="Calibri"/>
                <w:b/>
                <w:bCs/>
                <w:color w:val="000000"/>
                <w:sz w:val="16"/>
                <w:szCs w:val="16"/>
                <w:lang w:eastAsia="es-CR"/>
              </w:rPr>
            </w:pPr>
            <w:r w:rsidRPr="00E50AEF">
              <w:rPr>
                <w:rFonts w:ascii="Book Antiqua" w:hAnsi="Book Antiqua" w:cs="Calibri"/>
                <w:b/>
                <w:bCs/>
                <w:color w:val="000000"/>
                <w:sz w:val="16"/>
                <w:szCs w:val="16"/>
                <w:lang w:eastAsia="es-CR"/>
              </w:rPr>
              <w:t>II Instancia y Casación</w:t>
            </w:r>
          </w:p>
        </w:tc>
        <w:tc>
          <w:tcPr>
            <w:tcW w:w="1200" w:type="dxa"/>
            <w:tcBorders>
              <w:top w:val="nil"/>
              <w:left w:val="nil"/>
              <w:bottom w:val="single" w:sz="4" w:space="0" w:color="auto"/>
              <w:right w:val="single" w:sz="4" w:space="0" w:color="auto"/>
            </w:tcBorders>
            <w:shd w:val="clear" w:color="auto" w:fill="auto"/>
            <w:noWrap/>
            <w:vAlign w:val="center"/>
            <w:hideMark/>
          </w:tcPr>
          <w:p w14:paraId="07854C3D" w14:textId="77777777" w:rsidR="00E50AEF" w:rsidRPr="00E50AEF" w:rsidRDefault="00E50AEF" w:rsidP="00234CBE">
            <w:pPr>
              <w:spacing w:line="276" w:lineRule="auto"/>
              <w:jc w:val="center"/>
              <w:rPr>
                <w:rFonts w:ascii="Book Antiqua" w:hAnsi="Book Antiqua" w:cs="Calibri"/>
                <w:b/>
                <w:bCs/>
                <w:color w:val="000000"/>
                <w:sz w:val="16"/>
                <w:szCs w:val="16"/>
                <w:lang w:eastAsia="es-CR"/>
              </w:rPr>
            </w:pPr>
            <w:r w:rsidRPr="00E50AEF">
              <w:rPr>
                <w:rFonts w:ascii="Book Antiqua" w:hAnsi="Book Antiqua" w:cs="Calibri"/>
                <w:b/>
                <w:bCs/>
                <w:color w:val="000000"/>
                <w:sz w:val="16"/>
                <w:szCs w:val="16"/>
                <w:lang w:eastAsia="es-CR"/>
              </w:rPr>
              <w:t>5129</w:t>
            </w:r>
          </w:p>
        </w:tc>
        <w:tc>
          <w:tcPr>
            <w:tcW w:w="1200" w:type="dxa"/>
            <w:tcBorders>
              <w:top w:val="nil"/>
              <w:left w:val="nil"/>
              <w:bottom w:val="single" w:sz="4" w:space="0" w:color="auto"/>
              <w:right w:val="single" w:sz="4" w:space="0" w:color="auto"/>
            </w:tcBorders>
            <w:shd w:val="clear" w:color="auto" w:fill="auto"/>
            <w:noWrap/>
            <w:vAlign w:val="center"/>
            <w:hideMark/>
          </w:tcPr>
          <w:p w14:paraId="1FCA7D74" w14:textId="77777777" w:rsidR="00E50AEF" w:rsidRPr="00E50AEF" w:rsidRDefault="00E50AEF" w:rsidP="00234CBE">
            <w:pPr>
              <w:spacing w:line="276" w:lineRule="auto"/>
              <w:jc w:val="center"/>
              <w:rPr>
                <w:rFonts w:ascii="Book Antiqua" w:hAnsi="Book Antiqua" w:cs="Calibri"/>
                <w:b/>
                <w:bCs/>
                <w:color w:val="000000"/>
                <w:sz w:val="16"/>
                <w:szCs w:val="16"/>
                <w:lang w:eastAsia="es-CR"/>
              </w:rPr>
            </w:pPr>
            <w:r w:rsidRPr="00E50AEF">
              <w:rPr>
                <w:rFonts w:ascii="Book Antiqua" w:hAnsi="Book Antiqua" w:cs="Calibri"/>
                <w:b/>
                <w:bCs/>
                <w:color w:val="000000"/>
                <w:sz w:val="16"/>
                <w:szCs w:val="16"/>
                <w:lang w:eastAsia="es-CR"/>
              </w:rPr>
              <w:t>4886</w:t>
            </w:r>
          </w:p>
        </w:tc>
        <w:tc>
          <w:tcPr>
            <w:tcW w:w="1200" w:type="dxa"/>
            <w:tcBorders>
              <w:top w:val="nil"/>
              <w:left w:val="nil"/>
              <w:bottom w:val="single" w:sz="4" w:space="0" w:color="auto"/>
              <w:right w:val="single" w:sz="4" w:space="0" w:color="auto"/>
            </w:tcBorders>
            <w:shd w:val="clear" w:color="auto" w:fill="auto"/>
            <w:noWrap/>
            <w:vAlign w:val="center"/>
            <w:hideMark/>
          </w:tcPr>
          <w:p w14:paraId="363B94F2" w14:textId="77777777" w:rsidR="00E50AEF" w:rsidRPr="00E50AEF" w:rsidRDefault="00E50AEF" w:rsidP="00234CBE">
            <w:pPr>
              <w:spacing w:line="276" w:lineRule="auto"/>
              <w:jc w:val="center"/>
              <w:rPr>
                <w:rFonts w:ascii="Book Antiqua" w:hAnsi="Book Antiqua" w:cs="Calibri"/>
                <w:b/>
                <w:bCs/>
                <w:color w:val="000000"/>
                <w:sz w:val="16"/>
                <w:szCs w:val="16"/>
                <w:lang w:eastAsia="es-CR"/>
              </w:rPr>
            </w:pPr>
            <w:r w:rsidRPr="00E50AEF">
              <w:rPr>
                <w:rFonts w:ascii="Book Antiqua" w:hAnsi="Book Antiqua" w:cs="Calibri"/>
                <w:b/>
                <w:bCs/>
                <w:color w:val="000000"/>
                <w:sz w:val="16"/>
                <w:szCs w:val="16"/>
                <w:lang w:eastAsia="es-CR"/>
              </w:rPr>
              <w:t>5213</w:t>
            </w:r>
          </w:p>
        </w:tc>
        <w:tc>
          <w:tcPr>
            <w:tcW w:w="1200" w:type="dxa"/>
            <w:tcBorders>
              <w:top w:val="nil"/>
              <w:left w:val="nil"/>
              <w:bottom w:val="single" w:sz="4" w:space="0" w:color="auto"/>
              <w:right w:val="single" w:sz="4" w:space="0" w:color="auto"/>
            </w:tcBorders>
            <w:shd w:val="clear" w:color="auto" w:fill="auto"/>
            <w:noWrap/>
            <w:vAlign w:val="center"/>
            <w:hideMark/>
          </w:tcPr>
          <w:p w14:paraId="26CDDE88" w14:textId="77777777" w:rsidR="00E50AEF" w:rsidRPr="00E50AEF" w:rsidRDefault="00E50AEF" w:rsidP="00234CBE">
            <w:pPr>
              <w:spacing w:line="276" w:lineRule="auto"/>
              <w:jc w:val="center"/>
              <w:rPr>
                <w:rFonts w:ascii="Book Antiqua" w:hAnsi="Book Antiqua" w:cs="Calibri"/>
                <w:b/>
                <w:bCs/>
                <w:color w:val="000000"/>
                <w:sz w:val="16"/>
                <w:szCs w:val="16"/>
                <w:lang w:eastAsia="es-CR"/>
              </w:rPr>
            </w:pPr>
            <w:r w:rsidRPr="00E50AEF">
              <w:rPr>
                <w:rFonts w:ascii="Book Antiqua" w:hAnsi="Book Antiqua" w:cs="Calibri"/>
                <w:b/>
                <w:bCs/>
                <w:color w:val="000000"/>
                <w:sz w:val="16"/>
                <w:szCs w:val="16"/>
                <w:lang w:eastAsia="es-CR"/>
              </w:rPr>
              <w:t>1,62%</w:t>
            </w:r>
          </w:p>
        </w:tc>
        <w:tc>
          <w:tcPr>
            <w:tcW w:w="1200" w:type="dxa"/>
            <w:tcBorders>
              <w:top w:val="nil"/>
              <w:left w:val="nil"/>
              <w:bottom w:val="single" w:sz="4" w:space="0" w:color="auto"/>
              <w:right w:val="single" w:sz="4" w:space="0" w:color="auto"/>
            </w:tcBorders>
            <w:shd w:val="clear" w:color="auto" w:fill="auto"/>
            <w:noWrap/>
            <w:vAlign w:val="center"/>
            <w:hideMark/>
          </w:tcPr>
          <w:p w14:paraId="42DEE059" w14:textId="77777777" w:rsidR="00E50AEF" w:rsidRPr="00E50AEF" w:rsidRDefault="00E50AEF" w:rsidP="00234CBE">
            <w:pPr>
              <w:spacing w:line="276" w:lineRule="auto"/>
              <w:jc w:val="center"/>
              <w:rPr>
                <w:rFonts w:ascii="Book Antiqua" w:hAnsi="Book Antiqua" w:cs="Calibri"/>
                <w:b/>
                <w:bCs/>
                <w:color w:val="000000"/>
                <w:sz w:val="16"/>
                <w:szCs w:val="16"/>
                <w:lang w:eastAsia="es-CR"/>
              </w:rPr>
            </w:pPr>
            <w:r w:rsidRPr="00E50AEF">
              <w:rPr>
                <w:rFonts w:ascii="Book Antiqua" w:hAnsi="Book Antiqua" w:cs="Calibri"/>
                <w:b/>
                <w:bCs/>
                <w:color w:val="000000"/>
                <w:sz w:val="16"/>
                <w:szCs w:val="16"/>
                <w:lang w:eastAsia="es-CR"/>
              </w:rPr>
              <w:t>6,69%</w:t>
            </w:r>
          </w:p>
        </w:tc>
      </w:tr>
      <w:tr w:rsidR="00E50AEF" w:rsidRPr="00E50AEF" w14:paraId="16D20167" w14:textId="77777777" w:rsidTr="000E7A4D">
        <w:trPr>
          <w:trHeight w:val="290"/>
          <w:jc w:val="center"/>
        </w:trPr>
        <w:tc>
          <w:tcPr>
            <w:tcW w:w="3361" w:type="dxa"/>
            <w:tcBorders>
              <w:top w:val="nil"/>
              <w:left w:val="single" w:sz="4" w:space="0" w:color="auto"/>
              <w:bottom w:val="single" w:sz="4" w:space="0" w:color="auto"/>
              <w:right w:val="single" w:sz="4" w:space="0" w:color="auto"/>
            </w:tcBorders>
            <w:shd w:val="clear" w:color="auto" w:fill="auto"/>
            <w:noWrap/>
            <w:vAlign w:val="center"/>
            <w:hideMark/>
          </w:tcPr>
          <w:p w14:paraId="00D2F3A8" w14:textId="77777777" w:rsidR="00E50AEF" w:rsidRPr="00E50AEF" w:rsidRDefault="00E50AEF" w:rsidP="00234CBE">
            <w:pPr>
              <w:spacing w:line="276" w:lineRule="auto"/>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Sala Primera</w:t>
            </w:r>
          </w:p>
        </w:tc>
        <w:tc>
          <w:tcPr>
            <w:tcW w:w="1200" w:type="dxa"/>
            <w:tcBorders>
              <w:top w:val="nil"/>
              <w:left w:val="nil"/>
              <w:bottom w:val="single" w:sz="4" w:space="0" w:color="auto"/>
              <w:right w:val="single" w:sz="4" w:space="0" w:color="auto"/>
            </w:tcBorders>
            <w:shd w:val="clear" w:color="auto" w:fill="auto"/>
            <w:noWrap/>
            <w:vAlign w:val="center"/>
            <w:hideMark/>
          </w:tcPr>
          <w:p w14:paraId="37DA1779"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402</w:t>
            </w:r>
          </w:p>
        </w:tc>
        <w:tc>
          <w:tcPr>
            <w:tcW w:w="1200" w:type="dxa"/>
            <w:tcBorders>
              <w:top w:val="nil"/>
              <w:left w:val="nil"/>
              <w:bottom w:val="single" w:sz="4" w:space="0" w:color="auto"/>
              <w:right w:val="single" w:sz="4" w:space="0" w:color="auto"/>
            </w:tcBorders>
            <w:shd w:val="clear" w:color="auto" w:fill="auto"/>
            <w:noWrap/>
            <w:vAlign w:val="center"/>
            <w:hideMark/>
          </w:tcPr>
          <w:p w14:paraId="44C35393"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256</w:t>
            </w:r>
          </w:p>
        </w:tc>
        <w:tc>
          <w:tcPr>
            <w:tcW w:w="1200" w:type="dxa"/>
            <w:tcBorders>
              <w:top w:val="nil"/>
              <w:left w:val="nil"/>
              <w:bottom w:val="single" w:sz="4" w:space="0" w:color="auto"/>
              <w:right w:val="single" w:sz="4" w:space="0" w:color="auto"/>
            </w:tcBorders>
            <w:shd w:val="clear" w:color="auto" w:fill="auto"/>
            <w:noWrap/>
            <w:vAlign w:val="center"/>
            <w:hideMark/>
          </w:tcPr>
          <w:p w14:paraId="146A12CF"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167</w:t>
            </w:r>
          </w:p>
        </w:tc>
        <w:tc>
          <w:tcPr>
            <w:tcW w:w="1200" w:type="dxa"/>
            <w:tcBorders>
              <w:top w:val="nil"/>
              <w:left w:val="nil"/>
              <w:bottom w:val="single" w:sz="4" w:space="0" w:color="auto"/>
              <w:right w:val="single" w:sz="4" w:space="0" w:color="auto"/>
            </w:tcBorders>
            <w:shd w:val="clear" w:color="auto" w:fill="auto"/>
            <w:noWrap/>
            <w:vAlign w:val="center"/>
            <w:hideMark/>
          </w:tcPr>
          <w:p w14:paraId="446051F6"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-58,54%</w:t>
            </w:r>
          </w:p>
        </w:tc>
        <w:tc>
          <w:tcPr>
            <w:tcW w:w="1200" w:type="dxa"/>
            <w:tcBorders>
              <w:top w:val="nil"/>
              <w:left w:val="nil"/>
              <w:bottom w:val="single" w:sz="4" w:space="0" w:color="auto"/>
              <w:right w:val="single" w:sz="4" w:space="0" w:color="auto"/>
            </w:tcBorders>
            <w:shd w:val="clear" w:color="auto" w:fill="auto"/>
            <w:noWrap/>
            <w:vAlign w:val="center"/>
            <w:hideMark/>
          </w:tcPr>
          <w:p w14:paraId="3E351E23"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-34,88%</w:t>
            </w:r>
          </w:p>
        </w:tc>
      </w:tr>
      <w:tr w:rsidR="00E50AEF" w:rsidRPr="00E50AEF" w14:paraId="300B8C22" w14:textId="77777777" w:rsidTr="000E7A4D">
        <w:trPr>
          <w:trHeight w:val="290"/>
          <w:jc w:val="center"/>
        </w:trPr>
        <w:tc>
          <w:tcPr>
            <w:tcW w:w="3361" w:type="dxa"/>
            <w:tcBorders>
              <w:top w:val="nil"/>
              <w:left w:val="single" w:sz="4" w:space="0" w:color="auto"/>
              <w:bottom w:val="single" w:sz="4" w:space="0" w:color="auto"/>
              <w:right w:val="single" w:sz="4" w:space="0" w:color="auto"/>
            </w:tcBorders>
            <w:shd w:val="clear" w:color="auto" w:fill="auto"/>
            <w:noWrap/>
            <w:vAlign w:val="center"/>
            <w:hideMark/>
          </w:tcPr>
          <w:p w14:paraId="118C9A59" w14:textId="77777777" w:rsidR="00E50AEF" w:rsidRPr="00E50AEF" w:rsidRDefault="00E50AEF" w:rsidP="00234CBE">
            <w:pPr>
              <w:spacing w:line="276" w:lineRule="auto"/>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 xml:space="preserve">Sala Primera-Tribunal de Casación </w:t>
            </w:r>
          </w:p>
        </w:tc>
        <w:tc>
          <w:tcPr>
            <w:tcW w:w="1200" w:type="dxa"/>
            <w:tcBorders>
              <w:top w:val="nil"/>
              <w:left w:val="nil"/>
              <w:bottom w:val="single" w:sz="4" w:space="0" w:color="auto"/>
              <w:right w:val="single" w:sz="4" w:space="0" w:color="auto"/>
            </w:tcBorders>
            <w:shd w:val="clear" w:color="auto" w:fill="auto"/>
            <w:noWrap/>
            <w:vAlign w:val="center"/>
            <w:hideMark/>
          </w:tcPr>
          <w:p w14:paraId="5A09F836"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18</w:t>
            </w:r>
          </w:p>
        </w:tc>
        <w:tc>
          <w:tcPr>
            <w:tcW w:w="1200" w:type="dxa"/>
            <w:tcBorders>
              <w:top w:val="nil"/>
              <w:left w:val="nil"/>
              <w:bottom w:val="single" w:sz="4" w:space="0" w:color="auto"/>
              <w:right w:val="single" w:sz="4" w:space="0" w:color="auto"/>
            </w:tcBorders>
            <w:shd w:val="clear" w:color="auto" w:fill="auto"/>
            <w:noWrap/>
            <w:vAlign w:val="center"/>
            <w:hideMark/>
          </w:tcPr>
          <w:p w14:paraId="4B840C14"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22</w:t>
            </w:r>
          </w:p>
        </w:tc>
        <w:tc>
          <w:tcPr>
            <w:tcW w:w="1200" w:type="dxa"/>
            <w:tcBorders>
              <w:top w:val="nil"/>
              <w:left w:val="nil"/>
              <w:bottom w:val="single" w:sz="4" w:space="0" w:color="auto"/>
              <w:right w:val="single" w:sz="4" w:space="0" w:color="auto"/>
            </w:tcBorders>
            <w:shd w:val="clear" w:color="auto" w:fill="auto"/>
            <w:noWrap/>
            <w:vAlign w:val="center"/>
            <w:hideMark/>
          </w:tcPr>
          <w:p w14:paraId="23D03AA7"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22</w:t>
            </w:r>
          </w:p>
        </w:tc>
        <w:tc>
          <w:tcPr>
            <w:tcW w:w="1200" w:type="dxa"/>
            <w:tcBorders>
              <w:top w:val="nil"/>
              <w:left w:val="nil"/>
              <w:bottom w:val="single" w:sz="4" w:space="0" w:color="auto"/>
              <w:right w:val="single" w:sz="4" w:space="0" w:color="auto"/>
            </w:tcBorders>
            <w:shd w:val="clear" w:color="auto" w:fill="auto"/>
            <w:noWrap/>
            <w:vAlign w:val="center"/>
            <w:hideMark/>
          </w:tcPr>
          <w:p w14:paraId="0666D4EA"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27,67%</w:t>
            </w:r>
          </w:p>
        </w:tc>
        <w:tc>
          <w:tcPr>
            <w:tcW w:w="1200" w:type="dxa"/>
            <w:tcBorders>
              <w:top w:val="nil"/>
              <w:left w:val="nil"/>
              <w:bottom w:val="single" w:sz="4" w:space="0" w:color="auto"/>
              <w:right w:val="single" w:sz="4" w:space="0" w:color="auto"/>
            </w:tcBorders>
            <w:shd w:val="clear" w:color="auto" w:fill="auto"/>
            <w:noWrap/>
            <w:vAlign w:val="center"/>
            <w:hideMark/>
          </w:tcPr>
          <w:p w14:paraId="3202C9FC"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0,71%</w:t>
            </w:r>
          </w:p>
        </w:tc>
      </w:tr>
      <w:tr w:rsidR="00E50AEF" w:rsidRPr="00E50AEF" w14:paraId="59516E5D" w14:textId="77777777" w:rsidTr="000E7A4D">
        <w:trPr>
          <w:trHeight w:val="290"/>
          <w:jc w:val="center"/>
        </w:trPr>
        <w:tc>
          <w:tcPr>
            <w:tcW w:w="3361" w:type="dxa"/>
            <w:tcBorders>
              <w:top w:val="nil"/>
              <w:left w:val="single" w:sz="4" w:space="0" w:color="auto"/>
              <w:bottom w:val="single" w:sz="4" w:space="0" w:color="auto"/>
              <w:right w:val="single" w:sz="4" w:space="0" w:color="auto"/>
            </w:tcBorders>
            <w:shd w:val="clear" w:color="auto" w:fill="auto"/>
            <w:noWrap/>
            <w:vAlign w:val="center"/>
            <w:hideMark/>
          </w:tcPr>
          <w:p w14:paraId="460BC80C" w14:textId="77777777" w:rsidR="00E50AEF" w:rsidRPr="00E50AEF" w:rsidRDefault="00E50AEF" w:rsidP="00234CBE">
            <w:pPr>
              <w:spacing w:line="276" w:lineRule="auto"/>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Sala Segunda</w:t>
            </w:r>
          </w:p>
        </w:tc>
        <w:tc>
          <w:tcPr>
            <w:tcW w:w="1200" w:type="dxa"/>
            <w:tcBorders>
              <w:top w:val="nil"/>
              <w:left w:val="nil"/>
              <w:bottom w:val="single" w:sz="4" w:space="0" w:color="auto"/>
              <w:right w:val="single" w:sz="4" w:space="0" w:color="auto"/>
            </w:tcBorders>
            <w:shd w:val="clear" w:color="auto" w:fill="auto"/>
            <w:noWrap/>
            <w:vAlign w:val="center"/>
            <w:hideMark/>
          </w:tcPr>
          <w:p w14:paraId="4D064A14"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200</w:t>
            </w:r>
          </w:p>
        </w:tc>
        <w:tc>
          <w:tcPr>
            <w:tcW w:w="1200" w:type="dxa"/>
            <w:tcBorders>
              <w:top w:val="nil"/>
              <w:left w:val="nil"/>
              <w:bottom w:val="single" w:sz="4" w:space="0" w:color="auto"/>
              <w:right w:val="single" w:sz="4" w:space="0" w:color="auto"/>
            </w:tcBorders>
            <w:shd w:val="clear" w:color="auto" w:fill="auto"/>
            <w:noWrap/>
            <w:vAlign w:val="center"/>
            <w:hideMark/>
          </w:tcPr>
          <w:p w14:paraId="0554B351"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195</w:t>
            </w:r>
          </w:p>
        </w:tc>
        <w:tc>
          <w:tcPr>
            <w:tcW w:w="1200" w:type="dxa"/>
            <w:tcBorders>
              <w:top w:val="nil"/>
              <w:left w:val="nil"/>
              <w:bottom w:val="single" w:sz="4" w:space="0" w:color="auto"/>
              <w:right w:val="single" w:sz="4" w:space="0" w:color="auto"/>
            </w:tcBorders>
            <w:shd w:val="clear" w:color="auto" w:fill="auto"/>
            <w:noWrap/>
            <w:vAlign w:val="center"/>
            <w:hideMark/>
          </w:tcPr>
          <w:p w14:paraId="1D6FD9EF"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260</w:t>
            </w:r>
          </w:p>
        </w:tc>
        <w:tc>
          <w:tcPr>
            <w:tcW w:w="1200" w:type="dxa"/>
            <w:tcBorders>
              <w:top w:val="nil"/>
              <w:left w:val="nil"/>
              <w:bottom w:val="single" w:sz="4" w:space="0" w:color="auto"/>
              <w:right w:val="single" w:sz="4" w:space="0" w:color="auto"/>
            </w:tcBorders>
            <w:shd w:val="clear" w:color="auto" w:fill="auto"/>
            <w:noWrap/>
            <w:vAlign w:val="center"/>
            <w:hideMark/>
          </w:tcPr>
          <w:p w14:paraId="67085F71"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30,23%</w:t>
            </w:r>
          </w:p>
        </w:tc>
        <w:tc>
          <w:tcPr>
            <w:tcW w:w="1200" w:type="dxa"/>
            <w:tcBorders>
              <w:top w:val="nil"/>
              <w:left w:val="nil"/>
              <w:bottom w:val="single" w:sz="4" w:space="0" w:color="auto"/>
              <w:right w:val="single" w:sz="4" w:space="0" w:color="auto"/>
            </w:tcBorders>
            <w:shd w:val="clear" w:color="auto" w:fill="auto"/>
            <w:noWrap/>
            <w:vAlign w:val="center"/>
            <w:hideMark/>
          </w:tcPr>
          <w:p w14:paraId="4742660A"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33,62%</w:t>
            </w:r>
          </w:p>
        </w:tc>
      </w:tr>
      <w:tr w:rsidR="00E50AEF" w:rsidRPr="00E50AEF" w14:paraId="63AE2641" w14:textId="77777777" w:rsidTr="000E7A4D">
        <w:trPr>
          <w:trHeight w:val="290"/>
          <w:jc w:val="center"/>
        </w:trPr>
        <w:tc>
          <w:tcPr>
            <w:tcW w:w="3361" w:type="dxa"/>
            <w:tcBorders>
              <w:top w:val="nil"/>
              <w:left w:val="single" w:sz="4" w:space="0" w:color="auto"/>
              <w:bottom w:val="single" w:sz="4" w:space="0" w:color="auto"/>
              <w:right w:val="single" w:sz="4" w:space="0" w:color="auto"/>
            </w:tcBorders>
            <w:shd w:val="clear" w:color="auto" w:fill="auto"/>
            <w:noWrap/>
            <w:vAlign w:val="center"/>
            <w:hideMark/>
          </w:tcPr>
          <w:p w14:paraId="2403D2BC" w14:textId="77777777" w:rsidR="00E50AEF" w:rsidRPr="00E50AEF" w:rsidRDefault="00E50AEF" w:rsidP="00234CBE">
            <w:pPr>
              <w:spacing w:line="276" w:lineRule="auto"/>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Sala Tercera</w:t>
            </w:r>
          </w:p>
        </w:tc>
        <w:tc>
          <w:tcPr>
            <w:tcW w:w="1200" w:type="dxa"/>
            <w:tcBorders>
              <w:top w:val="nil"/>
              <w:left w:val="nil"/>
              <w:bottom w:val="single" w:sz="4" w:space="0" w:color="auto"/>
              <w:right w:val="single" w:sz="4" w:space="0" w:color="auto"/>
            </w:tcBorders>
            <w:shd w:val="clear" w:color="auto" w:fill="auto"/>
            <w:noWrap/>
            <w:vAlign w:val="center"/>
            <w:hideMark/>
          </w:tcPr>
          <w:p w14:paraId="41B82DD2"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111</w:t>
            </w:r>
          </w:p>
        </w:tc>
        <w:tc>
          <w:tcPr>
            <w:tcW w:w="1200" w:type="dxa"/>
            <w:tcBorders>
              <w:top w:val="nil"/>
              <w:left w:val="nil"/>
              <w:bottom w:val="single" w:sz="4" w:space="0" w:color="auto"/>
              <w:right w:val="single" w:sz="4" w:space="0" w:color="auto"/>
            </w:tcBorders>
            <w:shd w:val="clear" w:color="auto" w:fill="auto"/>
            <w:noWrap/>
            <w:vAlign w:val="center"/>
            <w:hideMark/>
          </w:tcPr>
          <w:p w14:paraId="51C29B9E"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126</w:t>
            </w:r>
          </w:p>
        </w:tc>
        <w:tc>
          <w:tcPr>
            <w:tcW w:w="1200" w:type="dxa"/>
            <w:tcBorders>
              <w:top w:val="nil"/>
              <w:left w:val="nil"/>
              <w:bottom w:val="single" w:sz="4" w:space="0" w:color="auto"/>
              <w:right w:val="single" w:sz="4" w:space="0" w:color="auto"/>
            </w:tcBorders>
            <w:shd w:val="clear" w:color="auto" w:fill="auto"/>
            <w:noWrap/>
            <w:vAlign w:val="center"/>
            <w:hideMark/>
          </w:tcPr>
          <w:p w14:paraId="31D8DD6F"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113</w:t>
            </w:r>
          </w:p>
        </w:tc>
        <w:tc>
          <w:tcPr>
            <w:tcW w:w="1200" w:type="dxa"/>
            <w:tcBorders>
              <w:top w:val="nil"/>
              <w:left w:val="nil"/>
              <w:bottom w:val="single" w:sz="4" w:space="0" w:color="auto"/>
              <w:right w:val="single" w:sz="4" w:space="0" w:color="auto"/>
            </w:tcBorders>
            <w:shd w:val="clear" w:color="auto" w:fill="auto"/>
            <w:noWrap/>
            <w:vAlign w:val="center"/>
            <w:hideMark/>
          </w:tcPr>
          <w:p w14:paraId="67B3A76A"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1,27%</w:t>
            </w:r>
          </w:p>
        </w:tc>
        <w:tc>
          <w:tcPr>
            <w:tcW w:w="1200" w:type="dxa"/>
            <w:tcBorders>
              <w:top w:val="nil"/>
              <w:left w:val="nil"/>
              <w:bottom w:val="single" w:sz="4" w:space="0" w:color="auto"/>
              <w:right w:val="single" w:sz="4" w:space="0" w:color="auto"/>
            </w:tcBorders>
            <w:shd w:val="clear" w:color="auto" w:fill="auto"/>
            <w:noWrap/>
            <w:vAlign w:val="center"/>
            <w:hideMark/>
          </w:tcPr>
          <w:p w14:paraId="722A8145"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-10,27%</w:t>
            </w:r>
          </w:p>
        </w:tc>
      </w:tr>
      <w:tr w:rsidR="00E50AEF" w:rsidRPr="00E50AEF" w14:paraId="0C7DBAB8" w14:textId="77777777" w:rsidTr="000E7A4D">
        <w:trPr>
          <w:trHeight w:val="290"/>
          <w:jc w:val="center"/>
        </w:trPr>
        <w:tc>
          <w:tcPr>
            <w:tcW w:w="3361" w:type="dxa"/>
            <w:tcBorders>
              <w:top w:val="nil"/>
              <w:left w:val="single" w:sz="4" w:space="0" w:color="auto"/>
              <w:bottom w:val="single" w:sz="4" w:space="0" w:color="auto"/>
              <w:right w:val="single" w:sz="4" w:space="0" w:color="auto"/>
            </w:tcBorders>
            <w:shd w:val="clear" w:color="auto" w:fill="auto"/>
            <w:noWrap/>
            <w:vAlign w:val="center"/>
            <w:hideMark/>
          </w:tcPr>
          <w:p w14:paraId="2AFE84EC" w14:textId="77777777" w:rsidR="00E50AEF" w:rsidRPr="00E50AEF" w:rsidRDefault="00E50AEF" w:rsidP="00234CBE">
            <w:pPr>
              <w:spacing w:line="276" w:lineRule="auto"/>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Sala Tercera-Penal Juvenil</w:t>
            </w:r>
          </w:p>
        </w:tc>
        <w:tc>
          <w:tcPr>
            <w:tcW w:w="1200" w:type="dxa"/>
            <w:tcBorders>
              <w:top w:val="nil"/>
              <w:left w:val="nil"/>
              <w:bottom w:val="single" w:sz="4" w:space="0" w:color="auto"/>
              <w:right w:val="single" w:sz="4" w:space="0" w:color="auto"/>
            </w:tcBorders>
            <w:shd w:val="clear" w:color="auto" w:fill="auto"/>
            <w:noWrap/>
            <w:vAlign w:val="center"/>
            <w:hideMark/>
          </w:tcPr>
          <w:p w14:paraId="013E2E80"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4</w:t>
            </w:r>
          </w:p>
        </w:tc>
        <w:tc>
          <w:tcPr>
            <w:tcW w:w="1200" w:type="dxa"/>
            <w:tcBorders>
              <w:top w:val="nil"/>
              <w:left w:val="nil"/>
              <w:bottom w:val="single" w:sz="4" w:space="0" w:color="auto"/>
              <w:right w:val="single" w:sz="4" w:space="0" w:color="auto"/>
            </w:tcBorders>
            <w:shd w:val="clear" w:color="auto" w:fill="auto"/>
            <w:noWrap/>
            <w:vAlign w:val="center"/>
            <w:hideMark/>
          </w:tcPr>
          <w:p w14:paraId="498A9308"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3</w:t>
            </w:r>
          </w:p>
        </w:tc>
        <w:tc>
          <w:tcPr>
            <w:tcW w:w="1200" w:type="dxa"/>
            <w:tcBorders>
              <w:top w:val="nil"/>
              <w:left w:val="nil"/>
              <w:bottom w:val="single" w:sz="4" w:space="0" w:color="auto"/>
              <w:right w:val="single" w:sz="4" w:space="0" w:color="auto"/>
            </w:tcBorders>
            <w:shd w:val="clear" w:color="auto" w:fill="auto"/>
            <w:noWrap/>
            <w:vAlign w:val="center"/>
            <w:hideMark/>
          </w:tcPr>
          <w:p w14:paraId="64376C07"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4</w:t>
            </w:r>
          </w:p>
        </w:tc>
        <w:tc>
          <w:tcPr>
            <w:tcW w:w="1200" w:type="dxa"/>
            <w:tcBorders>
              <w:top w:val="nil"/>
              <w:left w:val="nil"/>
              <w:bottom w:val="single" w:sz="4" w:space="0" w:color="auto"/>
              <w:right w:val="single" w:sz="4" w:space="0" w:color="auto"/>
            </w:tcBorders>
            <w:shd w:val="clear" w:color="auto" w:fill="auto"/>
            <w:noWrap/>
            <w:vAlign w:val="center"/>
            <w:hideMark/>
          </w:tcPr>
          <w:p w14:paraId="3D3830D8"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-3,74%</w:t>
            </w:r>
          </w:p>
        </w:tc>
        <w:tc>
          <w:tcPr>
            <w:tcW w:w="1200" w:type="dxa"/>
            <w:tcBorders>
              <w:top w:val="nil"/>
              <w:left w:val="nil"/>
              <w:bottom w:val="single" w:sz="4" w:space="0" w:color="auto"/>
              <w:right w:val="single" w:sz="4" w:space="0" w:color="auto"/>
            </w:tcBorders>
            <w:shd w:val="clear" w:color="auto" w:fill="auto"/>
            <w:noWrap/>
            <w:vAlign w:val="center"/>
            <w:hideMark/>
          </w:tcPr>
          <w:p w14:paraId="2FB6A251"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17,65%</w:t>
            </w:r>
          </w:p>
        </w:tc>
      </w:tr>
      <w:tr w:rsidR="00E50AEF" w:rsidRPr="00E50AEF" w14:paraId="055C8D4A" w14:textId="77777777" w:rsidTr="000E7A4D">
        <w:trPr>
          <w:trHeight w:val="290"/>
          <w:jc w:val="center"/>
        </w:trPr>
        <w:tc>
          <w:tcPr>
            <w:tcW w:w="3361" w:type="dxa"/>
            <w:tcBorders>
              <w:top w:val="nil"/>
              <w:left w:val="single" w:sz="4" w:space="0" w:color="auto"/>
              <w:bottom w:val="single" w:sz="4" w:space="0" w:color="auto"/>
              <w:right w:val="single" w:sz="4" w:space="0" w:color="auto"/>
            </w:tcBorders>
            <w:shd w:val="clear" w:color="auto" w:fill="auto"/>
            <w:noWrap/>
            <w:vAlign w:val="center"/>
            <w:hideMark/>
          </w:tcPr>
          <w:p w14:paraId="4E70EEA6" w14:textId="77777777" w:rsidR="00E50AEF" w:rsidRPr="00E50AEF" w:rsidRDefault="00E50AEF" w:rsidP="00234CBE">
            <w:pPr>
              <w:spacing w:line="276" w:lineRule="auto"/>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Sala Constitucional</w:t>
            </w:r>
          </w:p>
        </w:tc>
        <w:tc>
          <w:tcPr>
            <w:tcW w:w="1200" w:type="dxa"/>
            <w:tcBorders>
              <w:top w:val="nil"/>
              <w:left w:val="nil"/>
              <w:bottom w:val="single" w:sz="4" w:space="0" w:color="auto"/>
              <w:right w:val="single" w:sz="4" w:space="0" w:color="auto"/>
            </w:tcBorders>
            <w:shd w:val="clear" w:color="auto" w:fill="auto"/>
            <w:noWrap/>
            <w:vAlign w:val="center"/>
            <w:hideMark/>
          </w:tcPr>
          <w:p w14:paraId="5D802CEC"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2082</w:t>
            </w:r>
          </w:p>
        </w:tc>
        <w:tc>
          <w:tcPr>
            <w:tcW w:w="1200" w:type="dxa"/>
            <w:tcBorders>
              <w:top w:val="nil"/>
              <w:left w:val="nil"/>
              <w:bottom w:val="single" w:sz="4" w:space="0" w:color="auto"/>
              <w:right w:val="single" w:sz="4" w:space="0" w:color="auto"/>
            </w:tcBorders>
            <w:shd w:val="clear" w:color="auto" w:fill="auto"/>
            <w:noWrap/>
            <w:vAlign w:val="center"/>
            <w:hideMark/>
          </w:tcPr>
          <w:p w14:paraId="194832AD"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2060</w:t>
            </w:r>
          </w:p>
        </w:tc>
        <w:tc>
          <w:tcPr>
            <w:tcW w:w="1200" w:type="dxa"/>
            <w:tcBorders>
              <w:top w:val="nil"/>
              <w:left w:val="nil"/>
              <w:bottom w:val="single" w:sz="4" w:space="0" w:color="auto"/>
              <w:right w:val="single" w:sz="4" w:space="0" w:color="auto"/>
            </w:tcBorders>
            <w:shd w:val="clear" w:color="auto" w:fill="auto"/>
            <w:noWrap/>
            <w:vAlign w:val="center"/>
            <w:hideMark/>
          </w:tcPr>
          <w:p w14:paraId="01CCE1A1"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2416</w:t>
            </w:r>
          </w:p>
        </w:tc>
        <w:tc>
          <w:tcPr>
            <w:tcW w:w="1200" w:type="dxa"/>
            <w:tcBorders>
              <w:top w:val="nil"/>
              <w:left w:val="nil"/>
              <w:bottom w:val="single" w:sz="4" w:space="0" w:color="auto"/>
              <w:right w:val="single" w:sz="4" w:space="0" w:color="auto"/>
            </w:tcBorders>
            <w:shd w:val="clear" w:color="auto" w:fill="auto"/>
            <w:noWrap/>
            <w:vAlign w:val="center"/>
            <w:hideMark/>
          </w:tcPr>
          <w:p w14:paraId="2BF89B9B"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16,00%</w:t>
            </w:r>
          </w:p>
        </w:tc>
        <w:tc>
          <w:tcPr>
            <w:tcW w:w="1200" w:type="dxa"/>
            <w:tcBorders>
              <w:top w:val="nil"/>
              <w:left w:val="nil"/>
              <w:bottom w:val="single" w:sz="4" w:space="0" w:color="auto"/>
              <w:right w:val="single" w:sz="4" w:space="0" w:color="auto"/>
            </w:tcBorders>
            <w:shd w:val="clear" w:color="auto" w:fill="auto"/>
            <w:noWrap/>
            <w:vAlign w:val="center"/>
            <w:hideMark/>
          </w:tcPr>
          <w:p w14:paraId="7B765309"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17,26%</w:t>
            </w:r>
          </w:p>
        </w:tc>
      </w:tr>
      <w:tr w:rsidR="00E50AEF" w:rsidRPr="00E50AEF" w14:paraId="0D4E107F" w14:textId="77777777" w:rsidTr="000E7A4D">
        <w:trPr>
          <w:trHeight w:val="290"/>
          <w:jc w:val="center"/>
        </w:trPr>
        <w:tc>
          <w:tcPr>
            <w:tcW w:w="3361" w:type="dxa"/>
            <w:tcBorders>
              <w:top w:val="nil"/>
              <w:left w:val="single" w:sz="4" w:space="0" w:color="auto"/>
              <w:bottom w:val="single" w:sz="4" w:space="0" w:color="auto"/>
              <w:right w:val="single" w:sz="4" w:space="0" w:color="auto"/>
            </w:tcBorders>
            <w:shd w:val="clear" w:color="auto" w:fill="auto"/>
            <w:noWrap/>
            <w:vAlign w:val="center"/>
            <w:hideMark/>
          </w:tcPr>
          <w:p w14:paraId="4AA4FDAA" w14:textId="77777777" w:rsidR="00E50AEF" w:rsidRPr="00E50AEF" w:rsidRDefault="00E50AEF" w:rsidP="00234CBE">
            <w:pPr>
              <w:spacing w:line="276" w:lineRule="auto"/>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Tribunal Apelación Sentencia Penal</w:t>
            </w:r>
          </w:p>
        </w:tc>
        <w:tc>
          <w:tcPr>
            <w:tcW w:w="1200" w:type="dxa"/>
            <w:tcBorders>
              <w:top w:val="nil"/>
              <w:left w:val="nil"/>
              <w:bottom w:val="single" w:sz="4" w:space="0" w:color="auto"/>
              <w:right w:val="single" w:sz="4" w:space="0" w:color="auto"/>
            </w:tcBorders>
            <w:shd w:val="clear" w:color="auto" w:fill="auto"/>
            <w:noWrap/>
            <w:vAlign w:val="center"/>
            <w:hideMark/>
          </w:tcPr>
          <w:p w14:paraId="36A43BEC"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377</w:t>
            </w:r>
          </w:p>
        </w:tc>
        <w:tc>
          <w:tcPr>
            <w:tcW w:w="1200" w:type="dxa"/>
            <w:tcBorders>
              <w:top w:val="nil"/>
              <w:left w:val="nil"/>
              <w:bottom w:val="single" w:sz="4" w:space="0" w:color="auto"/>
              <w:right w:val="single" w:sz="4" w:space="0" w:color="auto"/>
            </w:tcBorders>
            <w:shd w:val="clear" w:color="auto" w:fill="auto"/>
            <w:noWrap/>
            <w:vAlign w:val="center"/>
            <w:hideMark/>
          </w:tcPr>
          <w:p w14:paraId="559BAC6B"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382</w:t>
            </w:r>
          </w:p>
        </w:tc>
        <w:tc>
          <w:tcPr>
            <w:tcW w:w="1200" w:type="dxa"/>
            <w:tcBorders>
              <w:top w:val="nil"/>
              <w:left w:val="nil"/>
              <w:bottom w:val="single" w:sz="4" w:space="0" w:color="auto"/>
              <w:right w:val="single" w:sz="4" w:space="0" w:color="auto"/>
            </w:tcBorders>
            <w:shd w:val="clear" w:color="auto" w:fill="auto"/>
            <w:noWrap/>
            <w:vAlign w:val="center"/>
            <w:hideMark/>
          </w:tcPr>
          <w:p w14:paraId="50325CFC"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373</w:t>
            </w:r>
          </w:p>
        </w:tc>
        <w:tc>
          <w:tcPr>
            <w:tcW w:w="1200" w:type="dxa"/>
            <w:tcBorders>
              <w:top w:val="nil"/>
              <w:left w:val="nil"/>
              <w:bottom w:val="single" w:sz="4" w:space="0" w:color="auto"/>
              <w:right w:val="single" w:sz="4" w:space="0" w:color="auto"/>
            </w:tcBorders>
            <w:shd w:val="clear" w:color="auto" w:fill="auto"/>
            <w:noWrap/>
            <w:vAlign w:val="center"/>
            <w:hideMark/>
          </w:tcPr>
          <w:p w14:paraId="372620C4"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-1,13%</w:t>
            </w:r>
          </w:p>
        </w:tc>
        <w:tc>
          <w:tcPr>
            <w:tcW w:w="1200" w:type="dxa"/>
            <w:tcBorders>
              <w:top w:val="nil"/>
              <w:left w:val="nil"/>
              <w:bottom w:val="single" w:sz="4" w:space="0" w:color="auto"/>
              <w:right w:val="single" w:sz="4" w:space="0" w:color="auto"/>
            </w:tcBorders>
            <w:shd w:val="clear" w:color="auto" w:fill="auto"/>
            <w:noWrap/>
            <w:vAlign w:val="center"/>
            <w:hideMark/>
          </w:tcPr>
          <w:p w14:paraId="4CC3C449"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-2,28%</w:t>
            </w:r>
          </w:p>
        </w:tc>
      </w:tr>
      <w:tr w:rsidR="00E50AEF" w:rsidRPr="00E50AEF" w14:paraId="61A5E658" w14:textId="77777777" w:rsidTr="000E7A4D">
        <w:trPr>
          <w:trHeight w:val="290"/>
          <w:jc w:val="center"/>
        </w:trPr>
        <w:tc>
          <w:tcPr>
            <w:tcW w:w="3361" w:type="dxa"/>
            <w:tcBorders>
              <w:top w:val="nil"/>
              <w:left w:val="single" w:sz="4" w:space="0" w:color="auto"/>
              <w:bottom w:val="single" w:sz="4" w:space="0" w:color="auto"/>
              <w:right w:val="single" w:sz="4" w:space="0" w:color="auto"/>
            </w:tcBorders>
            <w:shd w:val="clear" w:color="auto" w:fill="auto"/>
            <w:noWrap/>
            <w:vAlign w:val="center"/>
            <w:hideMark/>
          </w:tcPr>
          <w:p w14:paraId="06DB81CD" w14:textId="77777777" w:rsidR="00E50AEF" w:rsidRPr="00E50AEF" w:rsidRDefault="00E50AEF" w:rsidP="00234CBE">
            <w:pPr>
              <w:spacing w:line="276" w:lineRule="auto"/>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Tribunal Apelación Penal Juvenil</w:t>
            </w:r>
          </w:p>
        </w:tc>
        <w:tc>
          <w:tcPr>
            <w:tcW w:w="1200" w:type="dxa"/>
            <w:tcBorders>
              <w:top w:val="nil"/>
              <w:left w:val="nil"/>
              <w:bottom w:val="single" w:sz="4" w:space="0" w:color="auto"/>
              <w:right w:val="single" w:sz="4" w:space="0" w:color="auto"/>
            </w:tcBorders>
            <w:shd w:val="clear" w:color="auto" w:fill="auto"/>
            <w:noWrap/>
            <w:vAlign w:val="center"/>
            <w:hideMark/>
          </w:tcPr>
          <w:p w14:paraId="2E0F48A6"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33</w:t>
            </w:r>
          </w:p>
        </w:tc>
        <w:tc>
          <w:tcPr>
            <w:tcW w:w="1200" w:type="dxa"/>
            <w:tcBorders>
              <w:top w:val="nil"/>
              <w:left w:val="nil"/>
              <w:bottom w:val="single" w:sz="4" w:space="0" w:color="auto"/>
              <w:right w:val="single" w:sz="4" w:space="0" w:color="auto"/>
            </w:tcBorders>
            <w:shd w:val="clear" w:color="auto" w:fill="auto"/>
            <w:noWrap/>
            <w:vAlign w:val="center"/>
            <w:hideMark/>
          </w:tcPr>
          <w:p w14:paraId="1B62E478"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28</w:t>
            </w:r>
          </w:p>
        </w:tc>
        <w:tc>
          <w:tcPr>
            <w:tcW w:w="1200" w:type="dxa"/>
            <w:tcBorders>
              <w:top w:val="nil"/>
              <w:left w:val="nil"/>
              <w:bottom w:val="single" w:sz="4" w:space="0" w:color="auto"/>
              <w:right w:val="single" w:sz="4" w:space="0" w:color="auto"/>
            </w:tcBorders>
            <w:shd w:val="clear" w:color="auto" w:fill="auto"/>
            <w:noWrap/>
            <w:vAlign w:val="center"/>
            <w:hideMark/>
          </w:tcPr>
          <w:p w14:paraId="3BE3931B"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27</w:t>
            </w:r>
          </w:p>
        </w:tc>
        <w:tc>
          <w:tcPr>
            <w:tcW w:w="1200" w:type="dxa"/>
            <w:tcBorders>
              <w:top w:val="nil"/>
              <w:left w:val="nil"/>
              <w:bottom w:val="single" w:sz="4" w:space="0" w:color="auto"/>
              <w:right w:val="single" w:sz="4" w:space="0" w:color="auto"/>
            </w:tcBorders>
            <w:shd w:val="clear" w:color="auto" w:fill="auto"/>
            <w:noWrap/>
            <w:vAlign w:val="center"/>
            <w:hideMark/>
          </w:tcPr>
          <w:p w14:paraId="248F3F8A"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-17,81%</w:t>
            </w:r>
          </w:p>
        </w:tc>
        <w:tc>
          <w:tcPr>
            <w:tcW w:w="1200" w:type="dxa"/>
            <w:tcBorders>
              <w:top w:val="nil"/>
              <w:left w:val="nil"/>
              <w:bottom w:val="single" w:sz="4" w:space="0" w:color="auto"/>
              <w:right w:val="single" w:sz="4" w:space="0" w:color="auto"/>
            </w:tcBorders>
            <w:shd w:val="clear" w:color="auto" w:fill="auto"/>
            <w:noWrap/>
            <w:vAlign w:val="center"/>
            <w:hideMark/>
          </w:tcPr>
          <w:p w14:paraId="2685449C"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-4,16%</w:t>
            </w:r>
          </w:p>
        </w:tc>
      </w:tr>
      <w:tr w:rsidR="00E50AEF" w:rsidRPr="00E50AEF" w14:paraId="57FA8A88" w14:textId="77777777" w:rsidTr="000E7A4D">
        <w:trPr>
          <w:trHeight w:val="290"/>
          <w:jc w:val="center"/>
        </w:trPr>
        <w:tc>
          <w:tcPr>
            <w:tcW w:w="3361" w:type="dxa"/>
            <w:tcBorders>
              <w:top w:val="nil"/>
              <w:left w:val="single" w:sz="4" w:space="0" w:color="auto"/>
              <w:bottom w:val="single" w:sz="4" w:space="0" w:color="auto"/>
              <w:right w:val="single" w:sz="4" w:space="0" w:color="auto"/>
            </w:tcBorders>
            <w:shd w:val="clear" w:color="auto" w:fill="auto"/>
            <w:noWrap/>
            <w:vAlign w:val="center"/>
            <w:hideMark/>
          </w:tcPr>
          <w:p w14:paraId="3482975C" w14:textId="77777777" w:rsidR="00E50AEF" w:rsidRPr="00E50AEF" w:rsidRDefault="00E50AEF" w:rsidP="00234CBE">
            <w:pPr>
              <w:spacing w:line="276" w:lineRule="auto"/>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Tribunal Apelación Civil</w:t>
            </w:r>
          </w:p>
        </w:tc>
        <w:tc>
          <w:tcPr>
            <w:tcW w:w="1200" w:type="dxa"/>
            <w:tcBorders>
              <w:top w:val="nil"/>
              <w:left w:val="nil"/>
              <w:bottom w:val="single" w:sz="4" w:space="0" w:color="auto"/>
              <w:right w:val="single" w:sz="4" w:space="0" w:color="auto"/>
            </w:tcBorders>
            <w:shd w:val="clear" w:color="auto" w:fill="auto"/>
            <w:noWrap/>
            <w:vAlign w:val="center"/>
            <w:hideMark/>
          </w:tcPr>
          <w:p w14:paraId="10F572A6"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552</w:t>
            </w:r>
          </w:p>
        </w:tc>
        <w:tc>
          <w:tcPr>
            <w:tcW w:w="1200" w:type="dxa"/>
            <w:tcBorders>
              <w:top w:val="nil"/>
              <w:left w:val="nil"/>
              <w:bottom w:val="single" w:sz="4" w:space="0" w:color="auto"/>
              <w:right w:val="single" w:sz="4" w:space="0" w:color="auto"/>
            </w:tcBorders>
            <w:shd w:val="clear" w:color="auto" w:fill="auto"/>
            <w:noWrap/>
            <w:vAlign w:val="center"/>
            <w:hideMark/>
          </w:tcPr>
          <w:p w14:paraId="333C160F"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494</w:t>
            </w:r>
          </w:p>
        </w:tc>
        <w:tc>
          <w:tcPr>
            <w:tcW w:w="1200" w:type="dxa"/>
            <w:tcBorders>
              <w:top w:val="nil"/>
              <w:left w:val="nil"/>
              <w:bottom w:val="single" w:sz="4" w:space="0" w:color="auto"/>
              <w:right w:val="single" w:sz="4" w:space="0" w:color="auto"/>
            </w:tcBorders>
            <w:shd w:val="clear" w:color="auto" w:fill="auto"/>
            <w:noWrap/>
            <w:vAlign w:val="center"/>
            <w:hideMark/>
          </w:tcPr>
          <w:p w14:paraId="2327096E"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549</w:t>
            </w:r>
          </w:p>
        </w:tc>
        <w:tc>
          <w:tcPr>
            <w:tcW w:w="1200" w:type="dxa"/>
            <w:tcBorders>
              <w:top w:val="nil"/>
              <w:left w:val="nil"/>
              <w:bottom w:val="single" w:sz="4" w:space="0" w:color="auto"/>
              <w:right w:val="single" w:sz="4" w:space="0" w:color="auto"/>
            </w:tcBorders>
            <w:shd w:val="clear" w:color="auto" w:fill="auto"/>
            <w:noWrap/>
            <w:vAlign w:val="center"/>
            <w:hideMark/>
          </w:tcPr>
          <w:p w14:paraId="2BA17B7B"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-0,62%</w:t>
            </w:r>
          </w:p>
        </w:tc>
        <w:tc>
          <w:tcPr>
            <w:tcW w:w="1200" w:type="dxa"/>
            <w:tcBorders>
              <w:top w:val="nil"/>
              <w:left w:val="nil"/>
              <w:bottom w:val="single" w:sz="4" w:space="0" w:color="auto"/>
              <w:right w:val="single" w:sz="4" w:space="0" w:color="auto"/>
            </w:tcBorders>
            <w:shd w:val="clear" w:color="auto" w:fill="auto"/>
            <w:noWrap/>
            <w:vAlign w:val="center"/>
            <w:hideMark/>
          </w:tcPr>
          <w:p w14:paraId="6D0AF233"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11,06%</w:t>
            </w:r>
          </w:p>
        </w:tc>
      </w:tr>
      <w:tr w:rsidR="00E50AEF" w:rsidRPr="00E50AEF" w14:paraId="43B0845B" w14:textId="77777777" w:rsidTr="000E7A4D">
        <w:trPr>
          <w:trHeight w:val="290"/>
          <w:jc w:val="center"/>
        </w:trPr>
        <w:tc>
          <w:tcPr>
            <w:tcW w:w="3361" w:type="dxa"/>
            <w:tcBorders>
              <w:top w:val="nil"/>
              <w:left w:val="single" w:sz="4" w:space="0" w:color="auto"/>
              <w:bottom w:val="single" w:sz="4" w:space="0" w:color="auto"/>
              <w:right w:val="single" w:sz="4" w:space="0" w:color="auto"/>
            </w:tcBorders>
            <w:shd w:val="clear" w:color="auto" w:fill="auto"/>
            <w:noWrap/>
            <w:vAlign w:val="center"/>
            <w:hideMark/>
          </w:tcPr>
          <w:p w14:paraId="41A174EC" w14:textId="77777777" w:rsidR="00E50AEF" w:rsidRPr="00E50AEF" w:rsidRDefault="00E50AEF" w:rsidP="00234CBE">
            <w:pPr>
              <w:spacing w:line="276" w:lineRule="auto"/>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Tribunal Apelación Laboral</w:t>
            </w:r>
          </w:p>
        </w:tc>
        <w:tc>
          <w:tcPr>
            <w:tcW w:w="1200" w:type="dxa"/>
            <w:tcBorders>
              <w:top w:val="nil"/>
              <w:left w:val="nil"/>
              <w:bottom w:val="single" w:sz="4" w:space="0" w:color="auto"/>
              <w:right w:val="single" w:sz="4" w:space="0" w:color="auto"/>
            </w:tcBorders>
            <w:shd w:val="clear" w:color="auto" w:fill="auto"/>
            <w:noWrap/>
            <w:vAlign w:val="center"/>
            <w:hideMark/>
          </w:tcPr>
          <w:p w14:paraId="6A0F62B0"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528</w:t>
            </w:r>
          </w:p>
        </w:tc>
        <w:tc>
          <w:tcPr>
            <w:tcW w:w="1200" w:type="dxa"/>
            <w:tcBorders>
              <w:top w:val="nil"/>
              <w:left w:val="nil"/>
              <w:bottom w:val="single" w:sz="4" w:space="0" w:color="auto"/>
              <w:right w:val="single" w:sz="4" w:space="0" w:color="auto"/>
            </w:tcBorders>
            <w:shd w:val="clear" w:color="auto" w:fill="auto"/>
            <w:noWrap/>
            <w:vAlign w:val="center"/>
            <w:hideMark/>
          </w:tcPr>
          <w:p w14:paraId="6B49FBC9"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444</w:t>
            </w:r>
          </w:p>
        </w:tc>
        <w:tc>
          <w:tcPr>
            <w:tcW w:w="1200" w:type="dxa"/>
            <w:tcBorders>
              <w:top w:val="nil"/>
              <w:left w:val="nil"/>
              <w:bottom w:val="single" w:sz="4" w:space="0" w:color="auto"/>
              <w:right w:val="single" w:sz="4" w:space="0" w:color="auto"/>
            </w:tcBorders>
            <w:shd w:val="clear" w:color="auto" w:fill="auto"/>
            <w:noWrap/>
            <w:vAlign w:val="center"/>
            <w:hideMark/>
          </w:tcPr>
          <w:p w14:paraId="104D45E8"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382</w:t>
            </w:r>
          </w:p>
        </w:tc>
        <w:tc>
          <w:tcPr>
            <w:tcW w:w="1200" w:type="dxa"/>
            <w:tcBorders>
              <w:top w:val="nil"/>
              <w:left w:val="nil"/>
              <w:bottom w:val="single" w:sz="4" w:space="0" w:color="auto"/>
              <w:right w:val="single" w:sz="4" w:space="0" w:color="auto"/>
            </w:tcBorders>
            <w:shd w:val="clear" w:color="auto" w:fill="auto"/>
            <w:noWrap/>
            <w:vAlign w:val="center"/>
            <w:hideMark/>
          </w:tcPr>
          <w:p w14:paraId="7F7FA0BB"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-27,60%</w:t>
            </w:r>
          </w:p>
        </w:tc>
        <w:tc>
          <w:tcPr>
            <w:tcW w:w="1200" w:type="dxa"/>
            <w:tcBorders>
              <w:top w:val="nil"/>
              <w:left w:val="nil"/>
              <w:bottom w:val="single" w:sz="4" w:space="0" w:color="auto"/>
              <w:right w:val="single" w:sz="4" w:space="0" w:color="auto"/>
            </w:tcBorders>
            <w:shd w:val="clear" w:color="auto" w:fill="auto"/>
            <w:noWrap/>
            <w:vAlign w:val="center"/>
            <w:hideMark/>
          </w:tcPr>
          <w:p w14:paraId="5E4622C3"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-13,94%</w:t>
            </w:r>
          </w:p>
        </w:tc>
      </w:tr>
      <w:tr w:rsidR="00E50AEF" w:rsidRPr="00E50AEF" w14:paraId="354C3D62" w14:textId="77777777" w:rsidTr="000E7A4D">
        <w:trPr>
          <w:trHeight w:val="290"/>
          <w:jc w:val="center"/>
        </w:trPr>
        <w:tc>
          <w:tcPr>
            <w:tcW w:w="3361" w:type="dxa"/>
            <w:tcBorders>
              <w:top w:val="nil"/>
              <w:left w:val="single" w:sz="4" w:space="0" w:color="auto"/>
              <w:bottom w:val="single" w:sz="4" w:space="0" w:color="auto"/>
              <w:right w:val="single" w:sz="4" w:space="0" w:color="auto"/>
            </w:tcBorders>
            <w:shd w:val="clear" w:color="auto" w:fill="auto"/>
            <w:noWrap/>
            <w:vAlign w:val="center"/>
            <w:hideMark/>
          </w:tcPr>
          <w:p w14:paraId="65D27804" w14:textId="77777777" w:rsidR="00E50AEF" w:rsidRPr="00E50AEF" w:rsidRDefault="00E50AEF" w:rsidP="00234CBE">
            <w:pPr>
              <w:spacing w:line="276" w:lineRule="auto"/>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Tribunal Agrario</w:t>
            </w:r>
          </w:p>
        </w:tc>
        <w:tc>
          <w:tcPr>
            <w:tcW w:w="1200" w:type="dxa"/>
            <w:tcBorders>
              <w:top w:val="nil"/>
              <w:left w:val="nil"/>
              <w:bottom w:val="single" w:sz="4" w:space="0" w:color="auto"/>
              <w:right w:val="single" w:sz="4" w:space="0" w:color="auto"/>
            </w:tcBorders>
            <w:shd w:val="clear" w:color="auto" w:fill="auto"/>
            <w:noWrap/>
            <w:vAlign w:val="center"/>
            <w:hideMark/>
          </w:tcPr>
          <w:p w14:paraId="56530CF1"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90</w:t>
            </w:r>
          </w:p>
        </w:tc>
        <w:tc>
          <w:tcPr>
            <w:tcW w:w="1200" w:type="dxa"/>
            <w:tcBorders>
              <w:top w:val="nil"/>
              <w:left w:val="nil"/>
              <w:bottom w:val="single" w:sz="4" w:space="0" w:color="auto"/>
              <w:right w:val="single" w:sz="4" w:space="0" w:color="auto"/>
            </w:tcBorders>
            <w:shd w:val="clear" w:color="auto" w:fill="auto"/>
            <w:noWrap/>
            <w:vAlign w:val="center"/>
            <w:hideMark/>
          </w:tcPr>
          <w:p w14:paraId="4B244B13"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105</w:t>
            </w:r>
          </w:p>
        </w:tc>
        <w:tc>
          <w:tcPr>
            <w:tcW w:w="1200" w:type="dxa"/>
            <w:tcBorders>
              <w:top w:val="nil"/>
              <w:left w:val="nil"/>
              <w:bottom w:val="single" w:sz="4" w:space="0" w:color="auto"/>
              <w:right w:val="single" w:sz="4" w:space="0" w:color="auto"/>
            </w:tcBorders>
            <w:shd w:val="clear" w:color="auto" w:fill="auto"/>
            <w:noWrap/>
            <w:vAlign w:val="center"/>
            <w:hideMark/>
          </w:tcPr>
          <w:p w14:paraId="4A60E35B"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108</w:t>
            </w:r>
          </w:p>
        </w:tc>
        <w:tc>
          <w:tcPr>
            <w:tcW w:w="1200" w:type="dxa"/>
            <w:tcBorders>
              <w:top w:val="nil"/>
              <w:left w:val="nil"/>
              <w:bottom w:val="single" w:sz="4" w:space="0" w:color="auto"/>
              <w:right w:val="single" w:sz="4" w:space="0" w:color="auto"/>
            </w:tcBorders>
            <w:shd w:val="clear" w:color="auto" w:fill="auto"/>
            <w:noWrap/>
            <w:vAlign w:val="center"/>
            <w:hideMark/>
          </w:tcPr>
          <w:p w14:paraId="01FEF088"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19,47%</w:t>
            </w:r>
          </w:p>
        </w:tc>
        <w:tc>
          <w:tcPr>
            <w:tcW w:w="1200" w:type="dxa"/>
            <w:tcBorders>
              <w:top w:val="nil"/>
              <w:left w:val="nil"/>
              <w:bottom w:val="single" w:sz="4" w:space="0" w:color="auto"/>
              <w:right w:val="single" w:sz="4" w:space="0" w:color="auto"/>
            </w:tcBorders>
            <w:shd w:val="clear" w:color="auto" w:fill="auto"/>
            <w:noWrap/>
            <w:vAlign w:val="center"/>
            <w:hideMark/>
          </w:tcPr>
          <w:p w14:paraId="2C5E360C"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2,45%</w:t>
            </w:r>
          </w:p>
        </w:tc>
      </w:tr>
      <w:tr w:rsidR="00E50AEF" w:rsidRPr="00E50AEF" w14:paraId="720D7A01" w14:textId="77777777" w:rsidTr="000E7A4D">
        <w:trPr>
          <w:trHeight w:val="290"/>
          <w:jc w:val="center"/>
        </w:trPr>
        <w:tc>
          <w:tcPr>
            <w:tcW w:w="3361" w:type="dxa"/>
            <w:tcBorders>
              <w:top w:val="nil"/>
              <w:left w:val="single" w:sz="4" w:space="0" w:color="auto"/>
              <w:bottom w:val="single" w:sz="4" w:space="0" w:color="auto"/>
              <w:right w:val="single" w:sz="4" w:space="0" w:color="auto"/>
            </w:tcBorders>
            <w:shd w:val="clear" w:color="auto" w:fill="auto"/>
            <w:noWrap/>
            <w:vAlign w:val="center"/>
            <w:hideMark/>
          </w:tcPr>
          <w:p w14:paraId="48DBACF8" w14:textId="77777777" w:rsidR="00E50AEF" w:rsidRPr="00E50AEF" w:rsidRDefault="00E50AEF" w:rsidP="00234CBE">
            <w:pPr>
              <w:spacing w:line="276" w:lineRule="auto"/>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Tribunal de Familia</w:t>
            </w:r>
          </w:p>
        </w:tc>
        <w:tc>
          <w:tcPr>
            <w:tcW w:w="1200" w:type="dxa"/>
            <w:tcBorders>
              <w:top w:val="nil"/>
              <w:left w:val="nil"/>
              <w:bottom w:val="single" w:sz="4" w:space="0" w:color="auto"/>
              <w:right w:val="single" w:sz="4" w:space="0" w:color="auto"/>
            </w:tcBorders>
            <w:shd w:val="clear" w:color="auto" w:fill="auto"/>
            <w:noWrap/>
            <w:vAlign w:val="center"/>
            <w:hideMark/>
          </w:tcPr>
          <w:p w14:paraId="2E87942A"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157</w:t>
            </w:r>
          </w:p>
        </w:tc>
        <w:tc>
          <w:tcPr>
            <w:tcW w:w="1200" w:type="dxa"/>
            <w:tcBorders>
              <w:top w:val="nil"/>
              <w:left w:val="nil"/>
              <w:bottom w:val="single" w:sz="4" w:space="0" w:color="auto"/>
              <w:right w:val="single" w:sz="4" w:space="0" w:color="auto"/>
            </w:tcBorders>
            <w:shd w:val="clear" w:color="auto" w:fill="auto"/>
            <w:noWrap/>
            <w:vAlign w:val="center"/>
            <w:hideMark/>
          </w:tcPr>
          <w:p w14:paraId="224BE295"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155</w:t>
            </w:r>
          </w:p>
        </w:tc>
        <w:tc>
          <w:tcPr>
            <w:tcW w:w="1200" w:type="dxa"/>
            <w:tcBorders>
              <w:top w:val="nil"/>
              <w:left w:val="nil"/>
              <w:bottom w:val="single" w:sz="4" w:space="0" w:color="auto"/>
              <w:right w:val="single" w:sz="4" w:space="0" w:color="auto"/>
            </w:tcBorders>
            <w:shd w:val="clear" w:color="auto" w:fill="auto"/>
            <w:noWrap/>
            <w:vAlign w:val="center"/>
            <w:hideMark/>
          </w:tcPr>
          <w:p w14:paraId="54402101"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171</w:t>
            </w:r>
          </w:p>
        </w:tc>
        <w:tc>
          <w:tcPr>
            <w:tcW w:w="1200" w:type="dxa"/>
            <w:tcBorders>
              <w:top w:val="nil"/>
              <w:left w:val="nil"/>
              <w:bottom w:val="single" w:sz="4" w:space="0" w:color="auto"/>
              <w:right w:val="single" w:sz="4" w:space="0" w:color="auto"/>
            </w:tcBorders>
            <w:shd w:val="clear" w:color="auto" w:fill="auto"/>
            <w:noWrap/>
            <w:vAlign w:val="center"/>
            <w:hideMark/>
          </w:tcPr>
          <w:p w14:paraId="3B3F0A04"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9,07%</w:t>
            </w:r>
          </w:p>
        </w:tc>
        <w:tc>
          <w:tcPr>
            <w:tcW w:w="1200" w:type="dxa"/>
            <w:tcBorders>
              <w:top w:val="nil"/>
              <w:left w:val="nil"/>
              <w:bottom w:val="single" w:sz="4" w:space="0" w:color="auto"/>
              <w:right w:val="single" w:sz="4" w:space="0" w:color="auto"/>
            </w:tcBorders>
            <w:shd w:val="clear" w:color="auto" w:fill="auto"/>
            <w:noWrap/>
            <w:vAlign w:val="center"/>
            <w:hideMark/>
          </w:tcPr>
          <w:p w14:paraId="7C700F72"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10,32%</w:t>
            </w:r>
          </w:p>
        </w:tc>
      </w:tr>
      <w:tr w:rsidR="00E50AEF" w:rsidRPr="00E50AEF" w14:paraId="1AAAAF45" w14:textId="77777777" w:rsidTr="000E7A4D">
        <w:trPr>
          <w:trHeight w:val="290"/>
          <w:jc w:val="center"/>
        </w:trPr>
        <w:tc>
          <w:tcPr>
            <w:tcW w:w="3361" w:type="dxa"/>
            <w:tcBorders>
              <w:top w:val="nil"/>
              <w:left w:val="single" w:sz="4" w:space="0" w:color="auto"/>
              <w:bottom w:val="single" w:sz="4" w:space="0" w:color="auto"/>
              <w:right w:val="single" w:sz="4" w:space="0" w:color="auto"/>
            </w:tcBorders>
            <w:shd w:val="clear" w:color="auto" w:fill="auto"/>
            <w:noWrap/>
            <w:vAlign w:val="center"/>
            <w:hideMark/>
          </w:tcPr>
          <w:p w14:paraId="0A0E604B" w14:textId="77777777" w:rsidR="00E50AEF" w:rsidRPr="00E50AEF" w:rsidRDefault="00E50AEF" w:rsidP="00234CBE">
            <w:pPr>
              <w:spacing w:line="276" w:lineRule="auto"/>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Tribunal Apelación (1120)</w:t>
            </w:r>
          </w:p>
        </w:tc>
        <w:tc>
          <w:tcPr>
            <w:tcW w:w="1200" w:type="dxa"/>
            <w:tcBorders>
              <w:top w:val="nil"/>
              <w:left w:val="nil"/>
              <w:bottom w:val="single" w:sz="4" w:space="0" w:color="auto"/>
              <w:right w:val="single" w:sz="4" w:space="0" w:color="auto"/>
            </w:tcBorders>
            <w:shd w:val="clear" w:color="auto" w:fill="auto"/>
            <w:noWrap/>
            <w:vAlign w:val="center"/>
            <w:hideMark/>
          </w:tcPr>
          <w:p w14:paraId="6490CE52"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128</w:t>
            </w:r>
          </w:p>
        </w:tc>
        <w:tc>
          <w:tcPr>
            <w:tcW w:w="1200" w:type="dxa"/>
            <w:tcBorders>
              <w:top w:val="nil"/>
              <w:left w:val="nil"/>
              <w:bottom w:val="single" w:sz="4" w:space="0" w:color="auto"/>
              <w:right w:val="single" w:sz="4" w:space="0" w:color="auto"/>
            </w:tcBorders>
            <w:shd w:val="clear" w:color="auto" w:fill="auto"/>
            <w:noWrap/>
            <w:vAlign w:val="center"/>
            <w:hideMark/>
          </w:tcPr>
          <w:p w14:paraId="22481F05"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98</w:t>
            </w:r>
          </w:p>
        </w:tc>
        <w:tc>
          <w:tcPr>
            <w:tcW w:w="1200" w:type="dxa"/>
            <w:tcBorders>
              <w:top w:val="nil"/>
              <w:left w:val="nil"/>
              <w:bottom w:val="single" w:sz="4" w:space="0" w:color="auto"/>
              <w:right w:val="single" w:sz="4" w:space="0" w:color="auto"/>
            </w:tcBorders>
            <w:shd w:val="clear" w:color="auto" w:fill="auto"/>
            <w:noWrap/>
            <w:vAlign w:val="center"/>
            <w:hideMark/>
          </w:tcPr>
          <w:p w14:paraId="43DAC6A0"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85</w:t>
            </w:r>
          </w:p>
        </w:tc>
        <w:tc>
          <w:tcPr>
            <w:tcW w:w="1200" w:type="dxa"/>
            <w:tcBorders>
              <w:top w:val="nil"/>
              <w:left w:val="nil"/>
              <w:bottom w:val="single" w:sz="4" w:space="0" w:color="auto"/>
              <w:right w:val="single" w:sz="4" w:space="0" w:color="auto"/>
            </w:tcBorders>
            <w:shd w:val="clear" w:color="auto" w:fill="auto"/>
            <w:noWrap/>
            <w:vAlign w:val="center"/>
            <w:hideMark/>
          </w:tcPr>
          <w:p w14:paraId="3B02D0BA"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-33,69%</w:t>
            </w:r>
          </w:p>
        </w:tc>
        <w:tc>
          <w:tcPr>
            <w:tcW w:w="1200" w:type="dxa"/>
            <w:tcBorders>
              <w:top w:val="nil"/>
              <w:left w:val="nil"/>
              <w:bottom w:val="single" w:sz="4" w:space="0" w:color="auto"/>
              <w:right w:val="single" w:sz="4" w:space="0" w:color="auto"/>
            </w:tcBorders>
            <w:shd w:val="clear" w:color="auto" w:fill="auto"/>
            <w:noWrap/>
            <w:vAlign w:val="center"/>
            <w:hideMark/>
          </w:tcPr>
          <w:p w14:paraId="760E38EC"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-13,52%</w:t>
            </w:r>
          </w:p>
        </w:tc>
      </w:tr>
      <w:tr w:rsidR="00E50AEF" w:rsidRPr="00E50AEF" w14:paraId="7DCC8C3E" w14:textId="77777777" w:rsidTr="000E7A4D">
        <w:trPr>
          <w:trHeight w:val="290"/>
          <w:jc w:val="center"/>
        </w:trPr>
        <w:tc>
          <w:tcPr>
            <w:tcW w:w="3361" w:type="dxa"/>
            <w:tcBorders>
              <w:top w:val="nil"/>
              <w:left w:val="single" w:sz="4" w:space="0" w:color="auto"/>
              <w:bottom w:val="single" w:sz="4" w:space="0" w:color="auto"/>
              <w:right w:val="single" w:sz="4" w:space="0" w:color="auto"/>
            </w:tcBorders>
            <w:shd w:val="clear" w:color="auto" w:fill="auto"/>
            <w:noWrap/>
            <w:vAlign w:val="center"/>
            <w:hideMark/>
          </w:tcPr>
          <w:p w14:paraId="2112B585" w14:textId="77777777" w:rsidR="00E50AEF" w:rsidRPr="00E50AEF" w:rsidRDefault="00E50AEF" w:rsidP="00234CBE">
            <w:pPr>
              <w:spacing w:line="276" w:lineRule="auto"/>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Tribunal Contencioso (0161)</w:t>
            </w:r>
          </w:p>
        </w:tc>
        <w:tc>
          <w:tcPr>
            <w:tcW w:w="1200" w:type="dxa"/>
            <w:tcBorders>
              <w:top w:val="nil"/>
              <w:left w:val="nil"/>
              <w:bottom w:val="single" w:sz="4" w:space="0" w:color="auto"/>
              <w:right w:val="single" w:sz="4" w:space="0" w:color="auto"/>
            </w:tcBorders>
            <w:shd w:val="clear" w:color="auto" w:fill="auto"/>
            <w:noWrap/>
            <w:vAlign w:val="center"/>
            <w:hideMark/>
          </w:tcPr>
          <w:p w14:paraId="65CA85C8"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2</w:t>
            </w:r>
          </w:p>
        </w:tc>
        <w:tc>
          <w:tcPr>
            <w:tcW w:w="1200" w:type="dxa"/>
            <w:tcBorders>
              <w:top w:val="nil"/>
              <w:left w:val="nil"/>
              <w:bottom w:val="single" w:sz="4" w:space="0" w:color="auto"/>
              <w:right w:val="single" w:sz="4" w:space="0" w:color="auto"/>
            </w:tcBorders>
            <w:shd w:val="clear" w:color="auto" w:fill="auto"/>
            <w:noWrap/>
            <w:vAlign w:val="center"/>
            <w:hideMark/>
          </w:tcPr>
          <w:p w14:paraId="257B3B06"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1</w:t>
            </w:r>
          </w:p>
        </w:tc>
        <w:tc>
          <w:tcPr>
            <w:tcW w:w="1200" w:type="dxa"/>
            <w:tcBorders>
              <w:top w:val="nil"/>
              <w:left w:val="nil"/>
              <w:bottom w:val="single" w:sz="4" w:space="0" w:color="auto"/>
              <w:right w:val="single" w:sz="4" w:space="0" w:color="auto"/>
            </w:tcBorders>
            <w:shd w:val="clear" w:color="auto" w:fill="auto"/>
            <w:noWrap/>
            <w:vAlign w:val="center"/>
            <w:hideMark/>
          </w:tcPr>
          <w:p w14:paraId="03942834"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1</w:t>
            </w:r>
          </w:p>
        </w:tc>
        <w:tc>
          <w:tcPr>
            <w:tcW w:w="1200" w:type="dxa"/>
            <w:tcBorders>
              <w:top w:val="nil"/>
              <w:left w:val="nil"/>
              <w:bottom w:val="single" w:sz="4" w:space="0" w:color="auto"/>
              <w:right w:val="single" w:sz="4" w:space="0" w:color="auto"/>
            </w:tcBorders>
            <w:shd w:val="clear" w:color="auto" w:fill="auto"/>
            <w:noWrap/>
            <w:vAlign w:val="center"/>
            <w:hideMark/>
          </w:tcPr>
          <w:p w14:paraId="65D71041"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-45,50%</w:t>
            </w:r>
          </w:p>
        </w:tc>
        <w:tc>
          <w:tcPr>
            <w:tcW w:w="1200" w:type="dxa"/>
            <w:tcBorders>
              <w:top w:val="nil"/>
              <w:left w:val="nil"/>
              <w:bottom w:val="single" w:sz="4" w:space="0" w:color="auto"/>
              <w:right w:val="single" w:sz="4" w:space="0" w:color="auto"/>
            </w:tcBorders>
            <w:shd w:val="clear" w:color="auto" w:fill="auto"/>
            <w:noWrap/>
            <w:vAlign w:val="center"/>
            <w:hideMark/>
          </w:tcPr>
          <w:p w14:paraId="069784C1"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54,41%</w:t>
            </w:r>
          </w:p>
        </w:tc>
      </w:tr>
      <w:tr w:rsidR="00E50AEF" w:rsidRPr="00E50AEF" w14:paraId="125C5B3C" w14:textId="77777777" w:rsidTr="000E7A4D">
        <w:trPr>
          <w:trHeight w:val="290"/>
          <w:jc w:val="center"/>
        </w:trPr>
        <w:tc>
          <w:tcPr>
            <w:tcW w:w="3361" w:type="dxa"/>
            <w:tcBorders>
              <w:top w:val="nil"/>
              <w:left w:val="single" w:sz="4" w:space="0" w:color="auto"/>
              <w:bottom w:val="single" w:sz="4" w:space="0" w:color="auto"/>
              <w:right w:val="single" w:sz="4" w:space="0" w:color="auto"/>
            </w:tcBorders>
            <w:shd w:val="clear" w:color="auto" w:fill="auto"/>
            <w:noWrap/>
            <w:vAlign w:val="center"/>
            <w:hideMark/>
          </w:tcPr>
          <w:p w14:paraId="2B2D2634" w14:textId="77777777" w:rsidR="00E50AEF" w:rsidRPr="00E50AEF" w:rsidRDefault="00E50AEF" w:rsidP="00234CBE">
            <w:pPr>
              <w:spacing w:line="276" w:lineRule="auto"/>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Tribunal Notarial</w:t>
            </w:r>
          </w:p>
        </w:tc>
        <w:tc>
          <w:tcPr>
            <w:tcW w:w="1200" w:type="dxa"/>
            <w:tcBorders>
              <w:top w:val="nil"/>
              <w:left w:val="nil"/>
              <w:bottom w:val="single" w:sz="4" w:space="0" w:color="auto"/>
              <w:right w:val="single" w:sz="4" w:space="0" w:color="auto"/>
            </w:tcBorders>
            <w:shd w:val="clear" w:color="auto" w:fill="auto"/>
            <w:noWrap/>
            <w:vAlign w:val="center"/>
            <w:hideMark/>
          </w:tcPr>
          <w:p w14:paraId="7E1F6025"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16</w:t>
            </w:r>
          </w:p>
        </w:tc>
        <w:tc>
          <w:tcPr>
            <w:tcW w:w="1200" w:type="dxa"/>
            <w:tcBorders>
              <w:top w:val="nil"/>
              <w:left w:val="nil"/>
              <w:bottom w:val="single" w:sz="4" w:space="0" w:color="auto"/>
              <w:right w:val="single" w:sz="4" w:space="0" w:color="auto"/>
            </w:tcBorders>
            <w:shd w:val="clear" w:color="auto" w:fill="auto"/>
            <w:noWrap/>
            <w:vAlign w:val="center"/>
            <w:hideMark/>
          </w:tcPr>
          <w:p w14:paraId="14B861AE"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27</w:t>
            </w:r>
          </w:p>
        </w:tc>
        <w:tc>
          <w:tcPr>
            <w:tcW w:w="1200" w:type="dxa"/>
            <w:tcBorders>
              <w:top w:val="nil"/>
              <w:left w:val="nil"/>
              <w:bottom w:val="single" w:sz="4" w:space="0" w:color="auto"/>
              <w:right w:val="single" w:sz="4" w:space="0" w:color="auto"/>
            </w:tcBorders>
            <w:shd w:val="clear" w:color="auto" w:fill="auto"/>
            <w:noWrap/>
            <w:vAlign w:val="center"/>
            <w:hideMark/>
          </w:tcPr>
          <w:p w14:paraId="00881BF8"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19</w:t>
            </w:r>
          </w:p>
        </w:tc>
        <w:tc>
          <w:tcPr>
            <w:tcW w:w="1200" w:type="dxa"/>
            <w:tcBorders>
              <w:top w:val="nil"/>
              <w:left w:val="nil"/>
              <w:bottom w:val="single" w:sz="4" w:space="0" w:color="auto"/>
              <w:right w:val="single" w:sz="4" w:space="0" w:color="auto"/>
            </w:tcBorders>
            <w:shd w:val="clear" w:color="auto" w:fill="auto"/>
            <w:noWrap/>
            <w:vAlign w:val="center"/>
            <w:hideMark/>
          </w:tcPr>
          <w:p w14:paraId="00A59EB6"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21,32%</w:t>
            </w:r>
          </w:p>
        </w:tc>
        <w:tc>
          <w:tcPr>
            <w:tcW w:w="1200" w:type="dxa"/>
            <w:tcBorders>
              <w:top w:val="nil"/>
              <w:left w:val="nil"/>
              <w:bottom w:val="single" w:sz="4" w:space="0" w:color="auto"/>
              <w:right w:val="single" w:sz="4" w:space="0" w:color="auto"/>
            </w:tcBorders>
            <w:shd w:val="clear" w:color="auto" w:fill="auto"/>
            <w:noWrap/>
            <w:vAlign w:val="center"/>
            <w:hideMark/>
          </w:tcPr>
          <w:p w14:paraId="6CC666A3"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-26,96%</w:t>
            </w:r>
          </w:p>
        </w:tc>
      </w:tr>
      <w:tr w:rsidR="00E50AEF" w:rsidRPr="00E50AEF" w14:paraId="2E0C6486" w14:textId="77777777" w:rsidTr="000E7A4D">
        <w:trPr>
          <w:trHeight w:val="290"/>
          <w:jc w:val="center"/>
        </w:trPr>
        <w:tc>
          <w:tcPr>
            <w:tcW w:w="3361" w:type="dxa"/>
            <w:tcBorders>
              <w:top w:val="nil"/>
              <w:left w:val="single" w:sz="4" w:space="0" w:color="auto"/>
              <w:bottom w:val="single" w:sz="4" w:space="0" w:color="auto"/>
              <w:right w:val="single" w:sz="4" w:space="0" w:color="auto"/>
            </w:tcBorders>
            <w:shd w:val="clear" w:color="auto" w:fill="auto"/>
            <w:noWrap/>
            <w:vAlign w:val="center"/>
            <w:hideMark/>
          </w:tcPr>
          <w:p w14:paraId="7C24DA32" w14:textId="77777777" w:rsidR="00E50AEF" w:rsidRPr="00E50AEF" w:rsidRDefault="00E50AEF" w:rsidP="00234CBE">
            <w:pPr>
              <w:spacing w:line="276" w:lineRule="auto"/>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Inspección Judicial</w:t>
            </w:r>
          </w:p>
        </w:tc>
        <w:tc>
          <w:tcPr>
            <w:tcW w:w="1200" w:type="dxa"/>
            <w:tcBorders>
              <w:top w:val="nil"/>
              <w:left w:val="nil"/>
              <w:bottom w:val="single" w:sz="4" w:space="0" w:color="auto"/>
              <w:right w:val="single" w:sz="4" w:space="0" w:color="auto"/>
            </w:tcBorders>
            <w:shd w:val="clear" w:color="auto" w:fill="auto"/>
            <w:noWrap/>
            <w:vAlign w:val="center"/>
            <w:hideMark/>
          </w:tcPr>
          <w:p w14:paraId="2CD3A25B"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354</w:t>
            </w:r>
          </w:p>
        </w:tc>
        <w:tc>
          <w:tcPr>
            <w:tcW w:w="1200" w:type="dxa"/>
            <w:tcBorders>
              <w:top w:val="nil"/>
              <w:left w:val="nil"/>
              <w:bottom w:val="single" w:sz="4" w:space="0" w:color="auto"/>
              <w:right w:val="single" w:sz="4" w:space="0" w:color="auto"/>
            </w:tcBorders>
            <w:shd w:val="clear" w:color="auto" w:fill="auto"/>
            <w:noWrap/>
            <w:vAlign w:val="center"/>
            <w:hideMark/>
          </w:tcPr>
          <w:p w14:paraId="4E085001"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381</w:t>
            </w:r>
          </w:p>
        </w:tc>
        <w:tc>
          <w:tcPr>
            <w:tcW w:w="1200" w:type="dxa"/>
            <w:tcBorders>
              <w:top w:val="nil"/>
              <w:left w:val="nil"/>
              <w:bottom w:val="single" w:sz="4" w:space="0" w:color="auto"/>
              <w:right w:val="single" w:sz="4" w:space="0" w:color="auto"/>
            </w:tcBorders>
            <w:shd w:val="clear" w:color="auto" w:fill="auto"/>
            <w:noWrap/>
            <w:vAlign w:val="center"/>
            <w:hideMark/>
          </w:tcPr>
          <w:p w14:paraId="2FF21320"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428</w:t>
            </w:r>
          </w:p>
        </w:tc>
        <w:tc>
          <w:tcPr>
            <w:tcW w:w="1200" w:type="dxa"/>
            <w:tcBorders>
              <w:top w:val="nil"/>
              <w:left w:val="nil"/>
              <w:bottom w:val="single" w:sz="4" w:space="0" w:color="auto"/>
              <w:right w:val="single" w:sz="4" w:space="0" w:color="auto"/>
            </w:tcBorders>
            <w:shd w:val="clear" w:color="auto" w:fill="auto"/>
            <w:noWrap/>
            <w:vAlign w:val="center"/>
            <w:hideMark/>
          </w:tcPr>
          <w:p w14:paraId="74D48784"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20,70%</w:t>
            </w:r>
          </w:p>
        </w:tc>
        <w:tc>
          <w:tcPr>
            <w:tcW w:w="1200" w:type="dxa"/>
            <w:tcBorders>
              <w:top w:val="nil"/>
              <w:left w:val="nil"/>
              <w:bottom w:val="single" w:sz="4" w:space="0" w:color="auto"/>
              <w:right w:val="single" w:sz="4" w:space="0" w:color="auto"/>
            </w:tcBorders>
            <w:shd w:val="clear" w:color="auto" w:fill="auto"/>
            <w:noWrap/>
            <w:vAlign w:val="center"/>
            <w:hideMark/>
          </w:tcPr>
          <w:p w14:paraId="185FCB71"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12,34%</w:t>
            </w:r>
          </w:p>
        </w:tc>
      </w:tr>
      <w:tr w:rsidR="00E50AEF" w:rsidRPr="00E50AEF" w14:paraId="0FFFDB7B" w14:textId="77777777" w:rsidTr="000E7A4D">
        <w:trPr>
          <w:trHeight w:val="290"/>
          <w:jc w:val="center"/>
        </w:trPr>
        <w:tc>
          <w:tcPr>
            <w:tcW w:w="3361" w:type="dxa"/>
            <w:tcBorders>
              <w:top w:val="nil"/>
              <w:left w:val="single" w:sz="4" w:space="0" w:color="auto"/>
              <w:bottom w:val="single" w:sz="4" w:space="0" w:color="auto"/>
              <w:right w:val="single" w:sz="4" w:space="0" w:color="auto"/>
            </w:tcBorders>
            <w:shd w:val="clear" w:color="auto" w:fill="auto"/>
            <w:noWrap/>
            <w:vAlign w:val="center"/>
            <w:hideMark/>
          </w:tcPr>
          <w:p w14:paraId="2C79448B" w14:textId="77777777" w:rsidR="00E50AEF" w:rsidRPr="00E50AEF" w:rsidRDefault="00E50AEF" w:rsidP="00234CBE">
            <w:pPr>
              <w:spacing w:line="276" w:lineRule="auto"/>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Inspección Fiscal</w:t>
            </w:r>
          </w:p>
        </w:tc>
        <w:tc>
          <w:tcPr>
            <w:tcW w:w="1200" w:type="dxa"/>
            <w:tcBorders>
              <w:top w:val="nil"/>
              <w:left w:val="nil"/>
              <w:bottom w:val="single" w:sz="4" w:space="0" w:color="auto"/>
              <w:right w:val="single" w:sz="4" w:space="0" w:color="auto"/>
            </w:tcBorders>
            <w:shd w:val="clear" w:color="auto" w:fill="auto"/>
            <w:noWrap/>
            <w:vAlign w:val="center"/>
            <w:hideMark/>
          </w:tcPr>
          <w:p w14:paraId="4347567F"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75</w:t>
            </w:r>
          </w:p>
        </w:tc>
        <w:tc>
          <w:tcPr>
            <w:tcW w:w="1200" w:type="dxa"/>
            <w:tcBorders>
              <w:top w:val="nil"/>
              <w:left w:val="nil"/>
              <w:bottom w:val="single" w:sz="4" w:space="0" w:color="auto"/>
              <w:right w:val="single" w:sz="4" w:space="0" w:color="auto"/>
            </w:tcBorders>
            <w:shd w:val="clear" w:color="auto" w:fill="auto"/>
            <w:noWrap/>
            <w:vAlign w:val="center"/>
            <w:hideMark/>
          </w:tcPr>
          <w:p w14:paraId="22CE235A"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109</w:t>
            </w:r>
          </w:p>
        </w:tc>
        <w:tc>
          <w:tcPr>
            <w:tcW w:w="1200" w:type="dxa"/>
            <w:tcBorders>
              <w:top w:val="nil"/>
              <w:left w:val="nil"/>
              <w:bottom w:val="single" w:sz="4" w:space="0" w:color="auto"/>
              <w:right w:val="single" w:sz="4" w:space="0" w:color="auto"/>
            </w:tcBorders>
            <w:shd w:val="clear" w:color="auto" w:fill="auto"/>
            <w:noWrap/>
            <w:vAlign w:val="center"/>
            <w:hideMark/>
          </w:tcPr>
          <w:p w14:paraId="592EE5AC"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88</w:t>
            </w:r>
          </w:p>
        </w:tc>
        <w:tc>
          <w:tcPr>
            <w:tcW w:w="1200" w:type="dxa"/>
            <w:tcBorders>
              <w:top w:val="nil"/>
              <w:left w:val="nil"/>
              <w:bottom w:val="single" w:sz="4" w:space="0" w:color="auto"/>
              <w:right w:val="single" w:sz="4" w:space="0" w:color="auto"/>
            </w:tcBorders>
            <w:shd w:val="clear" w:color="auto" w:fill="auto"/>
            <w:noWrap/>
            <w:vAlign w:val="center"/>
            <w:hideMark/>
          </w:tcPr>
          <w:p w14:paraId="772DD73D"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17,91%</w:t>
            </w:r>
          </w:p>
        </w:tc>
        <w:tc>
          <w:tcPr>
            <w:tcW w:w="1200" w:type="dxa"/>
            <w:tcBorders>
              <w:top w:val="nil"/>
              <w:left w:val="nil"/>
              <w:bottom w:val="single" w:sz="4" w:space="0" w:color="auto"/>
              <w:right w:val="single" w:sz="4" w:space="0" w:color="auto"/>
            </w:tcBorders>
            <w:shd w:val="clear" w:color="auto" w:fill="auto"/>
            <w:noWrap/>
            <w:vAlign w:val="center"/>
            <w:hideMark/>
          </w:tcPr>
          <w:p w14:paraId="34A7449C"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-19,12%</w:t>
            </w:r>
          </w:p>
        </w:tc>
      </w:tr>
      <w:tr w:rsidR="00E50AEF" w:rsidRPr="00E50AEF" w14:paraId="6E19F8D4" w14:textId="77777777" w:rsidTr="000E7A4D">
        <w:trPr>
          <w:trHeight w:val="290"/>
          <w:jc w:val="center"/>
        </w:trPr>
        <w:tc>
          <w:tcPr>
            <w:tcW w:w="3361" w:type="dxa"/>
            <w:tcBorders>
              <w:top w:val="nil"/>
              <w:left w:val="single" w:sz="4" w:space="0" w:color="auto"/>
              <w:bottom w:val="single" w:sz="4" w:space="0" w:color="auto"/>
              <w:right w:val="single" w:sz="4" w:space="0" w:color="auto"/>
            </w:tcBorders>
            <w:shd w:val="clear" w:color="auto" w:fill="auto"/>
            <w:noWrap/>
            <w:vAlign w:val="center"/>
            <w:hideMark/>
          </w:tcPr>
          <w:p w14:paraId="6593CA1C" w14:textId="77777777" w:rsidR="00E50AEF" w:rsidRPr="00E50AEF" w:rsidRDefault="00E50AEF" w:rsidP="00234CBE">
            <w:pPr>
              <w:spacing w:line="276" w:lineRule="auto"/>
              <w:rPr>
                <w:rFonts w:ascii="Book Antiqua" w:hAnsi="Book Antiqua" w:cs="Calibri"/>
                <w:b/>
                <w:bCs/>
                <w:color w:val="000000"/>
                <w:sz w:val="16"/>
                <w:szCs w:val="16"/>
                <w:lang w:eastAsia="es-CR"/>
              </w:rPr>
            </w:pPr>
            <w:r w:rsidRPr="00E50AEF">
              <w:rPr>
                <w:rFonts w:ascii="Book Antiqua" w:hAnsi="Book Antiqua" w:cs="Calibri"/>
                <w:b/>
                <w:bCs/>
                <w:color w:val="000000"/>
                <w:sz w:val="16"/>
                <w:szCs w:val="16"/>
                <w:lang w:eastAsia="es-CR"/>
              </w:rPr>
              <w:t>Penal</w:t>
            </w:r>
          </w:p>
        </w:tc>
        <w:tc>
          <w:tcPr>
            <w:tcW w:w="1200" w:type="dxa"/>
            <w:tcBorders>
              <w:top w:val="nil"/>
              <w:left w:val="nil"/>
              <w:bottom w:val="single" w:sz="4" w:space="0" w:color="auto"/>
              <w:right w:val="single" w:sz="4" w:space="0" w:color="auto"/>
            </w:tcBorders>
            <w:shd w:val="clear" w:color="auto" w:fill="auto"/>
            <w:noWrap/>
            <w:vAlign w:val="center"/>
            <w:hideMark/>
          </w:tcPr>
          <w:p w14:paraId="71BD7880" w14:textId="77777777" w:rsidR="00E50AEF" w:rsidRPr="00E50AEF" w:rsidRDefault="00E50AEF" w:rsidP="00234CBE">
            <w:pPr>
              <w:spacing w:line="276" w:lineRule="auto"/>
              <w:jc w:val="center"/>
              <w:rPr>
                <w:rFonts w:ascii="Book Antiqua" w:hAnsi="Book Antiqua" w:cs="Calibri"/>
                <w:b/>
                <w:bCs/>
                <w:color w:val="000000"/>
                <w:sz w:val="16"/>
                <w:szCs w:val="16"/>
                <w:lang w:eastAsia="es-CR"/>
              </w:rPr>
            </w:pPr>
            <w:r w:rsidRPr="00E50AEF">
              <w:rPr>
                <w:rFonts w:ascii="Book Antiqua" w:hAnsi="Book Antiqua" w:cs="Calibri"/>
                <w:b/>
                <w:bCs/>
                <w:color w:val="000000"/>
                <w:sz w:val="16"/>
                <w:szCs w:val="16"/>
                <w:lang w:eastAsia="es-CR"/>
              </w:rPr>
              <w:t>16282</w:t>
            </w:r>
          </w:p>
        </w:tc>
        <w:tc>
          <w:tcPr>
            <w:tcW w:w="1200" w:type="dxa"/>
            <w:tcBorders>
              <w:top w:val="nil"/>
              <w:left w:val="nil"/>
              <w:bottom w:val="single" w:sz="4" w:space="0" w:color="auto"/>
              <w:right w:val="single" w:sz="4" w:space="0" w:color="auto"/>
            </w:tcBorders>
            <w:shd w:val="clear" w:color="auto" w:fill="auto"/>
            <w:noWrap/>
            <w:vAlign w:val="center"/>
            <w:hideMark/>
          </w:tcPr>
          <w:p w14:paraId="0CC4A8A9" w14:textId="77777777" w:rsidR="00E50AEF" w:rsidRPr="00E50AEF" w:rsidRDefault="00E50AEF" w:rsidP="00234CBE">
            <w:pPr>
              <w:spacing w:line="276" w:lineRule="auto"/>
              <w:jc w:val="center"/>
              <w:rPr>
                <w:rFonts w:ascii="Book Antiqua" w:hAnsi="Book Antiqua" w:cs="Calibri"/>
                <w:b/>
                <w:bCs/>
                <w:color w:val="000000"/>
                <w:sz w:val="16"/>
                <w:szCs w:val="16"/>
                <w:lang w:eastAsia="es-CR"/>
              </w:rPr>
            </w:pPr>
            <w:r w:rsidRPr="00E50AEF">
              <w:rPr>
                <w:rFonts w:ascii="Book Antiqua" w:hAnsi="Book Antiqua" w:cs="Calibri"/>
                <w:b/>
                <w:bCs/>
                <w:color w:val="000000"/>
                <w:sz w:val="16"/>
                <w:szCs w:val="16"/>
                <w:lang w:eastAsia="es-CR"/>
              </w:rPr>
              <w:t>14437</w:t>
            </w:r>
          </w:p>
        </w:tc>
        <w:tc>
          <w:tcPr>
            <w:tcW w:w="1200" w:type="dxa"/>
            <w:tcBorders>
              <w:top w:val="nil"/>
              <w:left w:val="nil"/>
              <w:bottom w:val="single" w:sz="4" w:space="0" w:color="auto"/>
              <w:right w:val="single" w:sz="4" w:space="0" w:color="auto"/>
            </w:tcBorders>
            <w:shd w:val="clear" w:color="auto" w:fill="auto"/>
            <w:noWrap/>
            <w:vAlign w:val="center"/>
            <w:hideMark/>
          </w:tcPr>
          <w:p w14:paraId="6F870D12" w14:textId="77777777" w:rsidR="00E50AEF" w:rsidRPr="00E50AEF" w:rsidRDefault="00E50AEF" w:rsidP="00234CBE">
            <w:pPr>
              <w:spacing w:line="276" w:lineRule="auto"/>
              <w:jc w:val="center"/>
              <w:rPr>
                <w:rFonts w:ascii="Book Antiqua" w:hAnsi="Book Antiqua" w:cs="Calibri"/>
                <w:b/>
                <w:bCs/>
                <w:color w:val="000000"/>
                <w:sz w:val="16"/>
                <w:szCs w:val="16"/>
                <w:lang w:eastAsia="es-CR"/>
              </w:rPr>
            </w:pPr>
            <w:r w:rsidRPr="00E50AEF">
              <w:rPr>
                <w:rFonts w:ascii="Book Antiqua" w:hAnsi="Book Antiqua" w:cs="Calibri"/>
                <w:b/>
                <w:bCs/>
                <w:color w:val="000000"/>
                <w:sz w:val="16"/>
                <w:szCs w:val="16"/>
                <w:lang w:eastAsia="es-CR"/>
              </w:rPr>
              <w:t>15755</w:t>
            </w:r>
          </w:p>
        </w:tc>
        <w:tc>
          <w:tcPr>
            <w:tcW w:w="1200" w:type="dxa"/>
            <w:tcBorders>
              <w:top w:val="nil"/>
              <w:left w:val="nil"/>
              <w:bottom w:val="single" w:sz="4" w:space="0" w:color="auto"/>
              <w:right w:val="single" w:sz="4" w:space="0" w:color="auto"/>
            </w:tcBorders>
            <w:shd w:val="clear" w:color="auto" w:fill="auto"/>
            <w:noWrap/>
            <w:vAlign w:val="center"/>
            <w:hideMark/>
          </w:tcPr>
          <w:p w14:paraId="2B0D55CA" w14:textId="77777777" w:rsidR="00E50AEF" w:rsidRPr="00E50AEF" w:rsidRDefault="00E50AEF" w:rsidP="00234CBE">
            <w:pPr>
              <w:spacing w:line="276" w:lineRule="auto"/>
              <w:jc w:val="center"/>
              <w:rPr>
                <w:rFonts w:ascii="Book Antiqua" w:hAnsi="Book Antiqua" w:cs="Calibri"/>
                <w:b/>
                <w:bCs/>
                <w:color w:val="000000"/>
                <w:sz w:val="16"/>
                <w:szCs w:val="16"/>
                <w:lang w:eastAsia="es-CR"/>
              </w:rPr>
            </w:pPr>
            <w:r w:rsidRPr="00E50AEF">
              <w:rPr>
                <w:rFonts w:ascii="Book Antiqua" w:hAnsi="Book Antiqua" w:cs="Calibri"/>
                <w:b/>
                <w:bCs/>
                <w:color w:val="000000"/>
                <w:sz w:val="16"/>
                <w:szCs w:val="16"/>
                <w:lang w:eastAsia="es-CR"/>
              </w:rPr>
              <w:t>-3,23%</w:t>
            </w:r>
          </w:p>
        </w:tc>
        <w:tc>
          <w:tcPr>
            <w:tcW w:w="1200" w:type="dxa"/>
            <w:tcBorders>
              <w:top w:val="nil"/>
              <w:left w:val="nil"/>
              <w:bottom w:val="single" w:sz="4" w:space="0" w:color="auto"/>
              <w:right w:val="single" w:sz="4" w:space="0" w:color="auto"/>
            </w:tcBorders>
            <w:shd w:val="clear" w:color="auto" w:fill="auto"/>
            <w:noWrap/>
            <w:vAlign w:val="center"/>
            <w:hideMark/>
          </w:tcPr>
          <w:p w14:paraId="39A0EFBD" w14:textId="77777777" w:rsidR="00E50AEF" w:rsidRPr="00E50AEF" w:rsidRDefault="00E50AEF" w:rsidP="00234CBE">
            <w:pPr>
              <w:spacing w:line="276" w:lineRule="auto"/>
              <w:jc w:val="center"/>
              <w:rPr>
                <w:rFonts w:ascii="Book Antiqua" w:hAnsi="Book Antiqua" w:cs="Calibri"/>
                <w:b/>
                <w:bCs/>
                <w:color w:val="000000"/>
                <w:sz w:val="16"/>
                <w:szCs w:val="16"/>
                <w:lang w:eastAsia="es-CR"/>
              </w:rPr>
            </w:pPr>
            <w:r w:rsidRPr="00E50AEF">
              <w:rPr>
                <w:rFonts w:ascii="Book Antiqua" w:hAnsi="Book Antiqua" w:cs="Calibri"/>
                <w:b/>
                <w:bCs/>
                <w:color w:val="000000"/>
                <w:sz w:val="16"/>
                <w:szCs w:val="16"/>
                <w:lang w:eastAsia="es-CR"/>
              </w:rPr>
              <w:t>9,13%</w:t>
            </w:r>
          </w:p>
        </w:tc>
      </w:tr>
      <w:tr w:rsidR="00E50AEF" w:rsidRPr="00E50AEF" w14:paraId="5E7E9F06" w14:textId="77777777" w:rsidTr="000E7A4D">
        <w:trPr>
          <w:trHeight w:val="290"/>
          <w:jc w:val="center"/>
        </w:trPr>
        <w:tc>
          <w:tcPr>
            <w:tcW w:w="3361" w:type="dxa"/>
            <w:tcBorders>
              <w:top w:val="nil"/>
              <w:left w:val="single" w:sz="4" w:space="0" w:color="auto"/>
              <w:bottom w:val="single" w:sz="4" w:space="0" w:color="auto"/>
              <w:right w:val="single" w:sz="4" w:space="0" w:color="auto"/>
            </w:tcBorders>
            <w:shd w:val="clear" w:color="auto" w:fill="auto"/>
            <w:noWrap/>
            <w:vAlign w:val="center"/>
            <w:hideMark/>
          </w:tcPr>
          <w:p w14:paraId="756BCEAE" w14:textId="77777777" w:rsidR="00E50AEF" w:rsidRPr="00E50AEF" w:rsidRDefault="00E50AEF" w:rsidP="00234CBE">
            <w:pPr>
              <w:spacing w:line="276" w:lineRule="auto"/>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Tribunal Penal y Flagrancias</w:t>
            </w:r>
          </w:p>
        </w:tc>
        <w:tc>
          <w:tcPr>
            <w:tcW w:w="1200" w:type="dxa"/>
            <w:tcBorders>
              <w:top w:val="nil"/>
              <w:left w:val="nil"/>
              <w:bottom w:val="single" w:sz="4" w:space="0" w:color="auto"/>
              <w:right w:val="single" w:sz="4" w:space="0" w:color="auto"/>
            </w:tcBorders>
            <w:shd w:val="clear" w:color="auto" w:fill="auto"/>
            <w:noWrap/>
            <w:vAlign w:val="center"/>
            <w:hideMark/>
          </w:tcPr>
          <w:p w14:paraId="43E4D82E"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2268</w:t>
            </w:r>
          </w:p>
        </w:tc>
        <w:tc>
          <w:tcPr>
            <w:tcW w:w="1200" w:type="dxa"/>
            <w:tcBorders>
              <w:top w:val="nil"/>
              <w:left w:val="nil"/>
              <w:bottom w:val="single" w:sz="4" w:space="0" w:color="auto"/>
              <w:right w:val="single" w:sz="4" w:space="0" w:color="auto"/>
            </w:tcBorders>
            <w:shd w:val="clear" w:color="auto" w:fill="auto"/>
            <w:noWrap/>
            <w:vAlign w:val="center"/>
            <w:hideMark/>
          </w:tcPr>
          <w:p w14:paraId="3D463700"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1728</w:t>
            </w:r>
          </w:p>
        </w:tc>
        <w:tc>
          <w:tcPr>
            <w:tcW w:w="1200" w:type="dxa"/>
            <w:tcBorders>
              <w:top w:val="nil"/>
              <w:left w:val="nil"/>
              <w:bottom w:val="single" w:sz="4" w:space="0" w:color="auto"/>
              <w:right w:val="single" w:sz="4" w:space="0" w:color="auto"/>
            </w:tcBorders>
            <w:shd w:val="clear" w:color="auto" w:fill="auto"/>
            <w:noWrap/>
            <w:vAlign w:val="center"/>
            <w:hideMark/>
          </w:tcPr>
          <w:p w14:paraId="49B8D01E"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2000</w:t>
            </w:r>
          </w:p>
        </w:tc>
        <w:tc>
          <w:tcPr>
            <w:tcW w:w="1200" w:type="dxa"/>
            <w:tcBorders>
              <w:top w:val="nil"/>
              <w:left w:val="nil"/>
              <w:bottom w:val="single" w:sz="4" w:space="0" w:color="auto"/>
              <w:right w:val="single" w:sz="4" w:space="0" w:color="auto"/>
            </w:tcBorders>
            <w:shd w:val="clear" w:color="auto" w:fill="auto"/>
            <w:noWrap/>
            <w:vAlign w:val="center"/>
            <w:hideMark/>
          </w:tcPr>
          <w:p w14:paraId="5214F5ED"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-11,83%</w:t>
            </w:r>
          </w:p>
        </w:tc>
        <w:tc>
          <w:tcPr>
            <w:tcW w:w="1200" w:type="dxa"/>
            <w:tcBorders>
              <w:top w:val="nil"/>
              <w:left w:val="nil"/>
              <w:bottom w:val="single" w:sz="4" w:space="0" w:color="auto"/>
              <w:right w:val="single" w:sz="4" w:space="0" w:color="auto"/>
            </w:tcBorders>
            <w:shd w:val="clear" w:color="auto" w:fill="auto"/>
            <w:noWrap/>
            <w:vAlign w:val="center"/>
            <w:hideMark/>
          </w:tcPr>
          <w:p w14:paraId="092B5593"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15,69%</w:t>
            </w:r>
          </w:p>
        </w:tc>
      </w:tr>
      <w:tr w:rsidR="00E50AEF" w:rsidRPr="00E50AEF" w14:paraId="767FC4A1" w14:textId="77777777" w:rsidTr="000E7A4D">
        <w:trPr>
          <w:trHeight w:val="290"/>
          <w:jc w:val="center"/>
        </w:trPr>
        <w:tc>
          <w:tcPr>
            <w:tcW w:w="3361" w:type="dxa"/>
            <w:tcBorders>
              <w:top w:val="nil"/>
              <w:left w:val="single" w:sz="4" w:space="0" w:color="auto"/>
              <w:bottom w:val="single" w:sz="4" w:space="0" w:color="auto"/>
              <w:right w:val="single" w:sz="4" w:space="0" w:color="auto"/>
            </w:tcBorders>
            <w:shd w:val="clear" w:color="auto" w:fill="auto"/>
            <w:noWrap/>
            <w:vAlign w:val="center"/>
            <w:hideMark/>
          </w:tcPr>
          <w:p w14:paraId="3AA792FB" w14:textId="77777777" w:rsidR="00E50AEF" w:rsidRPr="00E50AEF" w:rsidRDefault="00E50AEF" w:rsidP="00234CBE">
            <w:pPr>
              <w:spacing w:line="276" w:lineRule="auto"/>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Juzgado Penal</w:t>
            </w:r>
          </w:p>
        </w:tc>
        <w:tc>
          <w:tcPr>
            <w:tcW w:w="1200" w:type="dxa"/>
            <w:tcBorders>
              <w:top w:val="nil"/>
              <w:left w:val="nil"/>
              <w:bottom w:val="single" w:sz="4" w:space="0" w:color="auto"/>
              <w:right w:val="single" w:sz="4" w:space="0" w:color="auto"/>
            </w:tcBorders>
            <w:shd w:val="clear" w:color="auto" w:fill="auto"/>
            <w:noWrap/>
            <w:vAlign w:val="center"/>
            <w:hideMark/>
          </w:tcPr>
          <w:p w14:paraId="49BE6CF1"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11699</w:t>
            </w:r>
          </w:p>
        </w:tc>
        <w:tc>
          <w:tcPr>
            <w:tcW w:w="1200" w:type="dxa"/>
            <w:tcBorders>
              <w:top w:val="nil"/>
              <w:left w:val="nil"/>
              <w:bottom w:val="single" w:sz="4" w:space="0" w:color="auto"/>
              <w:right w:val="single" w:sz="4" w:space="0" w:color="auto"/>
            </w:tcBorders>
            <w:shd w:val="clear" w:color="auto" w:fill="auto"/>
            <w:noWrap/>
            <w:vAlign w:val="center"/>
            <w:hideMark/>
          </w:tcPr>
          <w:p w14:paraId="29663783"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10565</w:t>
            </w:r>
          </w:p>
        </w:tc>
        <w:tc>
          <w:tcPr>
            <w:tcW w:w="1200" w:type="dxa"/>
            <w:tcBorders>
              <w:top w:val="nil"/>
              <w:left w:val="nil"/>
              <w:bottom w:val="single" w:sz="4" w:space="0" w:color="auto"/>
              <w:right w:val="single" w:sz="4" w:space="0" w:color="auto"/>
            </w:tcBorders>
            <w:shd w:val="clear" w:color="auto" w:fill="auto"/>
            <w:noWrap/>
            <w:vAlign w:val="center"/>
            <w:hideMark/>
          </w:tcPr>
          <w:p w14:paraId="516C6DE3"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11558</w:t>
            </w:r>
          </w:p>
        </w:tc>
        <w:tc>
          <w:tcPr>
            <w:tcW w:w="1200" w:type="dxa"/>
            <w:tcBorders>
              <w:top w:val="nil"/>
              <w:left w:val="nil"/>
              <w:bottom w:val="single" w:sz="4" w:space="0" w:color="auto"/>
              <w:right w:val="single" w:sz="4" w:space="0" w:color="auto"/>
            </w:tcBorders>
            <w:shd w:val="clear" w:color="auto" w:fill="auto"/>
            <w:noWrap/>
            <w:vAlign w:val="center"/>
            <w:hideMark/>
          </w:tcPr>
          <w:p w14:paraId="47C07A60"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-1,21%</w:t>
            </w:r>
          </w:p>
        </w:tc>
        <w:tc>
          <w:tcPr>
            <w:tcW w:w="1200" w:type="dxa"/>
            <w:tcBorders>
              <w:top w:val="nil"/>
              <w:left w:val="nil"/>
              <w:bottom w:val="single" w:sz="4" w:space="0" w:color="auto"/>
              <w:right w:val="single" w:sz="4" w:space="0" w:color="auto"/>
            </w:tcBorders>
            <w:shd w:val="clear" w:color="auto" w:fill="auto"/>
            <w:noWrap/>
            <w:vAlign w:val="center"/>
            <w:hideMark/>
          </w:tcPr>
          <w:p w14:paraId="3E2397B5"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9,40%</w:t>
            </w:r>
          </w:p>
        </w:tc>
      </w:tr>
      <w:tr w:rsidR="00E50AEF" w:rsidRPr="00E50AEF" w14:paraId="7D62E828" w14:textId="77777777" w:rsidTr="000E7A4D">
        <w:trPr>
          <w:trHeight w:val="290"/>
          <w:jc w:val="center"/>
        </w:trPr>
        <w:tc>
          <w:tcPr>
            <w:tcW w:w="3361" w:type="dxa"/>
            <w:tcBorders>
              <w:top w:val="nil"/>
              <w:left w:val="single" w:sz="4" w:space="0" w:color="auto"/>
              <w:bottom w:val="single" w:sz="4" w:space="0" w:color="auto"/>
              <w:right w:val="single" w:sz="4" w:space="0" w:color="auto"/>
            </w:tcBorders>
            <w:shd w:val="clear" w:color="auto" w:fill="auto"/>
            <w:noWrap/>
            <w:vAlign w:val="center"/>
            <w:hideMark/>
          </w:tcPr>
          <w:p w14:paraId="1EA75870" w14:textId="77777777" w:rsidR="00E50AEF" w:rsidRPr="00E50AEF" w:rsidRDefault="00E50AEF" w:rsidP="00234CBE">
            <w:pPr>
              <w:spacing w:line="276" w:lineRule="auto"/>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Juzgado Penal Juvenil</w:t>
            </w:r>
          </w:p>
        </w:tc>
        <w:tc>
          <w:tcPr>
            <w:tcW w:w="1200" w:type="dxa"/>
            <w:tcBorders>
              <w:top w:val="nil"/>
              <w:left w:val="nil"/>
              <w:bottom w:val="single" w:sz="4" w:space="0" w:color="auto"/>
              <w:right w:val="single" w:sz="4" w:space="0" w:color="auto"/>
            </w:tcBorders>
            <w:shd w:val="clear" w:color="auto" w:fill="auto"/>
            <w:noWrap/>
            <w:vAlign w:val="center"/>
            <w:hideMark/>
          </w:tcPr>
          <w:p w14:paraId="14F89596"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848</w:t>
            </w:r>
          </w:p>
        </w:tc>
        <w:tc>
          <w:tcPr>
            <w:tcW w:w="1200" w:type="dxa"/>
            <w:tcBorders>
              <w:top w:val="nil"/>
              <w:left w:val="nil"/>
              <w:bottom w:val="single" w:sz="4" w:space="0" w:color="auto"/>
              <w:right w:val="single" w:sz="4" w:space="0" w:color="auto"/>
            </w:tcBorders>
            <w:shd w:val="clear" w:color="auto" w:fill="auto"/>
            <w:noWrap/>
            <w:vAlign w:val="center"/>
            <w:hideMark/>
          </w:tcPr>
          <w:p w14:paraId="1F8F4741"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690</w:t>
            </w:r>
          </w:p>
        </w:tc>
        <w:tc>
          <w:tcPr>
            <w:tcW w:w="1200" w:type="dxa"/>
            <w:tcBorders>
              <w:top w:val="nil"/>
              <w:left w:val="nil"/>
              <w:bottom w:val="single" w:sz="4" w:space="0" w:color="auto"/>
              <w:right w:val="single" w:sz="4" w:space="0" w:color="auto"/>
            </w:tcBorders>
            <w:shd w:val="clear" w:color="auto" w:fill="auto"/>
            <w:noWrap/>
            <w:vAlign w:val="center"/>
            <w:hideMark/>
          </w:tcPr>
          <w:p w14:paraId="56AD3F16"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560</w:t>
            </w:r>
          </w:p>
        </w:tc>
        <w:tc>
          <w:tcPr>
            <w:tcW w:w="1200" w:type="dxa"/>
            <w:tcBorders>
              <w:top w:val="nil"/>
              <w:left w:val="nil"/>
              <w:bottom w:val="single" w:sz="4" w:space="0" w:color="auto"/>
              <w:right w:val="single" w:sz="4" w:space="0" w:color="auto"/>
            </w:tcBorders>
            <w:shd w:val="clear" w:color="auto" w:fill="auto"/>
            <w:noWrap/>
            <w:vAlign w:val="center"/>
            <w:hideMark/>
          </w:tcPr>
          <w:p w14:paraId="4F5A0ADB"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-33,91%</w:t>
            </w:r>
          </w:p>
        </w:tc>
        <w:tc>
          <w:tcPr>
            <w:tcW w:w="1200" w:type="dxa"/>
            <w:tcBorders>
              <w:top w:val="nil"/>
              <w:left w:val="nil"/>
              <w:bottom w:val="single" w:sz="4" w:space="0" w:color="auto"/>
              <w:right w:val="single" w:sz="4" w:space="0" w:color="auto"/>
            </w:tcBorders>
            <w:shd w:val="clear" w:color="auto" w:fill="auto"/>
            <w:noWrap/>
            <w:vAlign w:val="center"/>
            <w:hideMark/>
          </w:tcPr>
          <w:p w14:paraId="4C5F418F"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-18,83%</w:t>
            </w:r>
          </w:p>
        </w:tc>
      </w:tr>
      <w:tr w:rsidR="00E50AEF" w:rsidRPr="00E50AEF" w14:paraId="60CEF06C" w14:textId="77777777" w:rsidTr="000E7A4D">
        <w:trPr>
          <w:trHeight w:val="290"/>
          <w:jc w:val="center"/>
        </w:trPr>
        <w:tc>
          <w:tcPr>
            <w:tcW w:w="3361" w:type="dxa"/>
            <w:tcBorders>
              <w:top w:val="nil"/>
              <w:left w:val="single" w:sz="4" w:space="0" w:color="auto"/>
              <w:bottom w:val="single" w:sz="4" w:space="0" w:color="auto"/>
              <w:right w:val="single" w:sz="4" w:space="0" w:color="auto"/>
            </w:tcBorders>
            <w:shd w:val="clear" w:color="auto" w:fill="auto"/>
            <w:noWrap/>
            <w:vAlign w:val="center"/>
            <w:hideMark/>
          </w:tcPr>
          <w:p w14:paraId="5671453C" w14:textId="77777777" w:rsidR="00E50AEF" w:rsidRPr="00E50AEF" w:rsidRDefault="00E50AEF" w:rsidP="00234CBE">
            <w:pPr>
              <w:spacing w:line="276" w:lineRule="auto"/>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Juzgados de Ejecución de la Pena</w:t>
            </w:r>
          </w:p>
        </w:tc>
        <w:tc>
          <w:tcPr>
            <w:tcW w:w="1200" w:type="dxa"/>
            <w:tcBorders>
              <w:top w:val="nil"/>
              <w:left w:val="nil"/>
              <w:bottom w:val="single" w:sz="4" w:space="0" w:color="auto"/>
              <w:right w:val="single" w:sz="4" w:space="0" w:color="auto"/>
            </w:tcBorders>
            <w:shd w:val="clear" w:color="auto" w:fill="auto"/>
            <w:noWrap/>
            <w:vAlign w:val="center"/>
            <w:hideMark/>
          </w:tcPr>
          <w:p w14:paraId="5279EEA1"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1115</w:t>
            </w:r>
          </w:p>
        </w:tc>
        <w:tc>
          <w:tcPr>
            <w:tcW w:w="1200" w:type="dxa"/>
            <w:tcBorders>
              <w:top w:val="nil"/>
              <w:left w:val="nil"/>
              <w:bottom w:val="single" w:sz="4" w:space="0" w:color="auto"/>
              <w:right w:val="single" w:sz="4" w:space="0" w:color="auto"/>
            </w:tcBorders>
            <w:shd w:val="clear" w:color="auto" w:fill="auto"/>
            <w:noWrap/>
            <w:vAlign w:val="center"/>
            <w:hideMark/>
          </w:tcPr>
          <w:p w14:paraId="2AC47C8B"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1178</w:t>
            </w:r>
          </w:p>
        </w:tc>
        <w:tc>
          <w:tcPr>
            <w:tcW w:w="1200" w:type="dxa"/>
            <w:tcBorders>
              <w:top w:val="nil"/>
              <w:left w:val="nil"/>
              <w:bottom w:val="single" w:sz="4" w:space="0" w:color="auto"/>
              <w:right w:val="single" w:sz="4" w:space="0" w:color="auto"/>
            </w:tcBorders>
            <w:shd w:val="clear" w:color="auto" w:fill="auto"/>
            <w:noWrap/>
            <w:vAlign w:val="center"/>
            <w:hideMark/>
          </w:tcPr>
          <w:p w14:paraId="4EEAA31B"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1352</w:t>
            </w:r>
          </w:p>
        </w:tc>
        <w:tc>
          <w:tcPr>
            <w:tcW w:w="1200" w:type="dxa"/>
            <w:tcBorders>
              <w:top w:val="nil"/>
              <w:left w:val="nil"/>
              <w:bottom w:val="single" w:sz="4" w:space="0" w:color="auto"/>
              <w:right w:val="single" w:sz="4" w:space="0" w:color="auto"/>
            </w:tcBorders>
            <w:shd w:val="clear" w:color="auto" w:fill="auto"/>
            <w:noWrap/>
            <w:vAlign w:val="center"/>
            <w:hideMark/>
          </w:tcPr>
          <w:p w14:paraId="1A802F02"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21,27%</w:t>
            </w:r>
          </w:p>
        </w:tc>
        <w:tc>
          <w:tcPr>
            <w:tcW w:w="1200" w:type="dxa"/>
            <w:tcBorders>
              <w:top w:val="nil"/>
              <w:left w:val="nil"/>
              <w:bottom w:val="single" w:sz="4" w:space="0" w:color="auto"/>
              <w:right w:val="single" w:sz="4" w:space="0" w:color="auto"/>
            </w:tcBorders>
            <w:shd w:val="clear" w:color="auto" w:fill="auto"/>
            <w:noWrap/>
            <w:vAlign w:val="center"/>
            <w:hideMark/>
          </w:tcPr>
          <w:p w14:paraId="42981E4B"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14,79%</w:t>
            </w:r>
          </w:p>
        </w:tc>
      </w:tr>
      <w:tr w:rsidR="00E50AEF" w:rsidRPr="00E50AEF" w14:paraId="2EAB9235" w14:textId="77777777" w:rsidTr="000E7A4D">
        <w:trPr>
          <w:trHeight w:val="290"/>
          <w:jc w:val="center"/>
        </w:trPr>
        <w:tc>
          <w:tcPr>
            <w:tcW w:w="3361" w:type="dxa"/>
            <w:tcBorders>
              <w:top w:val="nil"/>
              <w:left w:val="single" w:sz="4" w:space="0" w:color="auto"/>
              <w:bottom w:val="single" w:sz="4" w:space="0" w:color="auto"/>
              <w:right w:val="single" w:sz="4" w:space="0" w:color="auto"/>
            </w:tcBorders>
            <w:shd w:val="clear" w:color="auto" w:fill="auto"/>
            <w:noWrap/>
            <w:vAlign w:val="center"/>
            <w:hideMark/>
          </w:tcPr>
          <w:p w14:paraId="7DEA3C84" w14:textId="77777777" w:rsidR="00E50AEF" w:rsidRPr="00E50AEF" w:rsidRDefault="00E50AEF" w:rsidP="00234CBE">
            <w:pPr>
              <w:spacing w:line="276" w:lineRule="auto"/>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Juzgado de Ejecución Sanción Penal Juvenil</w:t>
            </w:r>
          </w:p>
        </w:tc>
        <w:tc>
          <w:tcPr>
            <w:tcW w:w="1200" w:type="dxa"/>
            <w:tcBorders>
              <w:top w:val="nil"/>
              <w:left w:val="nil"/>
              <w:bottom w:val="single" w:sz="4" w:space="0" w:color="auto"/>
              <w:right w:val="single" w:sz="4" w:space="0" w:color="auto"/>
            </w:tcBorders>
            <w:shd w:val="clear" w:color="auto" w:fill="auto"/>
            <w:noWrap/>
            <w:vAlign w:val="center"/>
            <w:hideMark/>
          </w:tcPr>
          <w:p w14:paraId="1E2099A1"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352</w:t>
            </w:r>
          </w:p>
        </w:tc>
        <w:tc>
          <w:tcPr>
            <w:tcW w:w="1200" w:type="dxa"/>
            <w:tcBorders>
              <w:top w:val="nil"/>
              <w:left w:val="nil"/>
              <w:bottom w:val="single" w:sz="4" w:space="0" w:color="auto"/>
              <w:right w:val="single" w:sz="4" w:space="0" w:color="auto"/>
            </w:tcBorders>
            <w:shd w:val="clear" w:color="auto" w:fill="auto"/>
            <w:noWrap/>
            <w:vAlign w:val="center"/>
            <w:hideMark/>
          </w:tcPr>
          <w:p w14:paraId="63B26AC3"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275</w:t>
            </w:r>
          </w:p>
        </w:tc>
        <w:tc>
          <w:tcPr>
            <w:tcW w:w="1200" w:type="dxa"/>
            <w:tcBorders>
              <w:top w:val="nil"/>
              <w:left w:val="nil"/>
              <w:bottom w:val="single" w:sz="4" w:space="0" w:color="auto"/>
              <w:right w:val="single" w:sz="4" w:space="0" w:color="auto"/>
            </w:tcBorders>
            <w:shd w:val="clear" w:color="auto" w:fill="auto"/>
            <w:noWrap/>
            <w:vAlign w:val="center"/>
            <w:hideMark/>
          </w:tcPr>
          <w:p w14:paraId="4EB69A4C"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285</w:t>
            </w:r>
          </w:p>
        </w:tc>
        <w:tc>
          <w:tcPr>
            <w:tcW w:w="1200" w:type="dxa"/>
            <w:tcBorders>
              <w:top w:val="nil"/>
              <w:left w:val="nil"/>
              <w:bottom w:val="single" w:sz="4" w:space="0" w:color="auto"/>
              <w:right w:val="single" w:sz="4" w:space="0" w:color="auto"/>
            </w:tcBorders>
            <w:shd w:val="clear" w:color="auto" w:fill="auto"/>
            <w:noWrap/>
            <w:vAlign w:val="center"/>
            <w:hideMark/>
          </w:tcPr>
          <w:p w14:paraId="4E4A3F2F"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-18,92%</w:t>
            </w:r>
          </w:p>
        </w:tc>
        <w:tc>
          <w:tcPr>
            <w:tcW w:w="1200" w:type="dxa"/>
            <w:tcBorders>
              <w:top w:val="nil"/>
              <w:left w:val="nil"/>
              <w:bottom w:val="single" w:sz="4" w:space="0" w:color="auto"/>
              <w:right w:val="single" w:sz="4" w:space="0" w:color="auto"/>
            </w:tcBorders>
            <w:shd w:val="clear" w:color="auto" w:fill="auto"/>
            <w:noWrap/>
            <w:vAlign w:val="center"/>
            <w:hideMark/>
          </w:tcPr>
          <w:p w14:paraId="1166C54B"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3,61%</w:t>
            </w:r>
          </w:p>
        </w:tc>
      </w:tr>
      <w:tr w:rsidR="00E50AEF" w:rsidRPr="00E50AEF" w14:paraId="1A0283AB" w14:textId="77777777" w:rsidTr="000E7A4D">
        <w:trPr>
          <w:trHeight w:val="290"/>
          <w:jc w:val="center"/>
        </w:trPr>
        <w:tc>
          <w:tcPr>
            <w:tcW w:w="3361" w:type="dxa"/>
            <w:tcBorders>
              <w:top w:val="nil"/>
              <w:left w:val="single" w:sz="4" w:space="0" w:color="auto"/>
              <w:bottom w:val="single" w:sz="4" w:space="0" w:color="auto"/>
              <w:right w:val="single" w:sz="4" w:space="0" w:color="auto"/>
            </w:tcBorders>
            <w:shd w:val="clear" w:color="auto" w:fill="auto"/>
            <w:noWrap/>
            <w:vAlign w:val="center"/>
            <w:hideMark/>
          </w:tcPr>
          <w:p w14:paraId="0714CB6E" w14:textId="77777777" w:rsidR="00E50AEF" w:rsidRPr="00E50AEF" w:rsidRDefault="00E50AEF" w:rsidP="00234CBE">
            <w:pPr>
              <w:spacing w:line="276" w:lineRule="auto"/>
              <w:rPr>
                <w:rFonts w:ascii="Book Antiqua" w:hAnsi="Book Antiqua" w:cs="Calibri"/>
                <w:b/>
                <w:bCs/>
                <w:color w:val="000000"/>
                <w:sz w:val="16"/>
                <w:szCs w:val="16"/>
                <w:lang w:eastAsia="es-CR"/>
              </w:rPr>
            </w:pPr>
            <w:r w:rsidRPr="00E50AEF">
              <w:rPr>
                <w:rFonts w:ascii="Book Antiqua" w:hAnsi="Book Antiqua" w:cs="Calibri"/>
                <w:b/>
                <w:bCs/>
                <w:color w:val="000000"/>
                <w:sz w:val="16"/>
                <w:szCs w:val="16"/>
                <w:lang w:eastAsia="es-CR"/>
              </w:rPr>
              <w:t>No Penal</w:t>
            </w:r>
          </w:p>
        </w:tc>
        <w:tc>
          <w:tcPr>
            <w:tcW w:w="1200" w:type="dxa"/>
            <w:tcBorders>
              <w:top w:val="nil"/>
              <w:left w:val="nil"/>
              <w:bottom w:val="single" w:sz="4" w:space="0" w:color="auto"/>
              <w:right w:val="single" w:sz="4" w:space="0" w:color="auto"/>
            </w:tcBorders>
            <w:shd w:val="clear" w:color="auto" w:fill="auto"/>
            <w:noWrap/>
            <w:vAlign w:val="center"/>
            <w:hideMark/>
          </w:tcPr>
          <w:p w14:paraId="43CCFC13" w14:textId="77777777" w:rsidR="00E50AEF" w:rsidRPr="00E50AEF" w:rsidRDefault="00E50AEF" w:rsidP="00234CBE">
            <w:pPr>
              <w:spacing w:line="276" w:lineRule="auto"/>
              <w:jc w:val="center"/>
              <w:rPr>
                <w:rFonts w:ascii="Book Antiqua" w:hAnsi="Book Antiqua" w:cs="Calibri"/>
                <w:b/>
                <w:bCs/>
                <w:color w:val="000000"/>
                <w:sz w:val="16"/>
                <w:szCs w:val="16"/>
                <w:lang w:eastAsia="es-CR"/>
              </w:rPr>
            </w:pPr>
            <w:r w:rsidRPr="00E50AEF">
              <w:rPr>
                <w:rFonts w:ascii="Book Antiqua" w:hAnsi="Book Antiqua" w:cs="Calibri"/>
                <w:b/>
                <w:bCs/>
                <w:color w:val="000000"/>
                <w:sz w:val="16"/>
                <w:szCs w:val="16"/>
                <w:lang w:eastAsia="es-CR"/>
              </w:rPr>
              <w:t>40221</w:t>
            </w:r>
          </w:p>
        </w:tc>
        <w:tc>
          <w:tcPr>
            <w:tcW w:w="1200" w:type="dxa"/>
            <w:tcBorders>
              <w:top w:val="nil"/>
              <w:left w:val="nil"/>
              <w:bottom w:val="single" w:sz="4" w:space="0" w:color="auto"/>
              <w:right w:val="single" w:sz="4" w:space="0" w:color="auto"/>
            </w:tcBorders>
            <w:shd w:val="clear" w:color="auto" w:fill="auto"/>
            <w:noWrap/>
            <w:vAlign w:val="center"/>
            <w:hideMark/>
          </w:tcPr>
          <w:p w14:paraId="29EF38D3" w14:textId="77777777" w:rsidR="00E50AEF" w:rsidRPr="00E50AEF" w:rsidRDefault="00E50AEF" w:rsidP="00234CBE">
            <w:pPr>
              <w:spacing w:line="276" w:lineRule="auto"/>
              <w:jc w:val="center"/>
              <w:rPr>
                <w:rFonts w:ascii="Book Antiqua" w:hAnsi="Book Antiqua" w:cs="Calibri"/>
                <w:b/>
                <w:bCs/>
                <w:color w:val="000000"/>
                <w:sz w:val="16"/>
                <w:szCs w:val="16"/>
                <w:lang w:eastAsia="es-CR"/>
              </w:rPr>
            </w:pPr>
            <w:r w:rsidRPr="00E50AEF">
              <w:rPr>
                <w:rFonts w:ascii="Book Antiqua" w:hAnsi="Book Antiqua" w:cs="Calibri"/>
                <w:b/>
                <w:bCs/>
                <w:color w:val="000000"/>
                <w:sz w:val="16"/>
                <w:szCs w:val="16"/>
                <w:lang w:eastAsia="es-CR"/>
              </w:rPr>
              <w:t>33675</w:t>
            </w:r>
          </w:p>
        </w:tc>
        <w:tc>
          <w:tcPr>
            <w:tcW w:w="1200" w:type="dxa"/>
            <w:tcBorders>
              <w:top w:val="nil"/>
              <w:left w:val="nil"/>
              <w:bottom w:val="single" w:sz="4" w:space="0" w:color="auto"/>
              <w:right w:val="single" w:sz="4" w:space="0" w:color="auto"/>
            </w:tcBorders>
            <w:shd w:val="clear" w:color="auto" w:fill="auto"/>
            <w:noWrap/>
            <w:vAlign w:val="center"/>
            <w:hideMark/>
          </w:tcPr>
          <w:p w14:paraId="5963BAE9" w14:textId="77777777" w:rsidR="00E50AEF" w:rsidRPr="00E50AEF" w:rsidRDefault="00E50AEF" w:rsidP="00234CBE">
            <w:pPr>
              <w:spacing w:line="276" w:lineRule="auto"/>
              <w:jc w:val="center"/>
              <w:rPr>
                <w:rFonts w:ascii="Book Antiqua" w:hAnsi="Book Antiqua" w:cs="Calibri"/>
                <w:b/>
                <w:bCs/>
                <w:color w:val="000000"/>
                <w:sz w:val="16"/>
                <w:szCs w:val="16"/>
                <w:lang w:eastAsia="es-CR"/>
              </w:rPr>
            </w:pPr>
            <w:r w:rsidRPr="00E50AEF">
              <w:rPr>
                <w:rFonts w:ascii="Book Antiqua" w:hAnsi="Book Antiqua" w:cs="Calibri"/>
                <w:b/>
                <w:bCs/>
                <w:color w:val="000000"/>
                <w:sz w:val="16"/>
                <w:szCs w:val="16"/>
                <w:lang w:eastAsia="es-CR"/>
              </w:rPr>
              <w:t>35915</w:t>
            </w:r>
          </w:p>
        </w:tc>
        <w:tc>
          <w:tcPr>
            <w:tcW w:w="1200" w:type="dxa"/>
            <w:tcBorders>
              <w:top w:val="nil"/>
              <w:left w:val="nil"/>
              <w:bottom w:val="single" w:sz="4" w:space="0" w:color="auto"/>
              <w:right w:val="single" w:sz="4" w:space="0" w:color="auto"/>
            </w:tcBorders>
            <w:shd w:val="clear" w:color="auto" w:fill="auto"/>
            <w:noWrap/>
            <w:vAlign w:val="center"/>
            <w:hideMark/>
          </w:tcPr>
          <w:p w14:paraId="620668B0" w14:textId="77777777" w:rsidR="00E50AEF" w:rsidRPr="00E50AEF" w:rsidRDefault="00E50AEF" w:rsidP="00234CBE">
            <w:pPr>
              <w:spacing w:line="276" w:lineRule="auto"/>
              <w:jc w:val="center"/>
              <w:rPr>
                <w:rFonts w:ascii="Book Antiqua" w:hAnsi="Book Antiqua" w:cs="Calibri"/>
                <w:b/>
                <w:bCs/>
                <w:color w:val="000000"/>
                <w:sz w:val="16"/>
                <w:szCs w:val="16"/>
                <w:lang w:eastAsia="es-CR"/>
              </w:rPr>
            </w:pPr>
            <w:r w:rsidRPr="00E50AEF">
              <w:rPr>
                <w:rFonts w:ascii="Book Antiqua" w:hAnsi="Book Antiqua" w:cs="Calibri"/>
                <w:b/>
                <w:bCs/>
                <w:color w:val="000000"/>
                <w:sz w:val="16"/>
                <w:szCs w:val="16"/>
                <w:lang w:eastAsia="es-CR"/>
              </w:rPr>
              <w:t>-10,71%</w:t>
            </w:r>
          </w:p>
        </w:tc>
        <w:tc>
          <w:tcPr>
            <w:tcW w:w="1200" w:type="dxa"/>
            <w:tcBorders>
              <w:top w:val="nil"/>
              <w:left w:val="nil"/>
              <w:bottom w:val="single" w:sz="4" w:space="0" w:color="auto"/>
              <w:right w:val="single" w:sz="4" w:space="0" w:color="auto"/>
            </w:tcBorders>
            <w:shd w:val="clear" w:color="auto" w:fill="auto"/>
            <w:noWrap/>
            <w:vAlign w:val="center"/>
            <w:hideMark/>
          </w:tcPr>
          <w:p w14:paraId="2AEB254B" w14:textId="77777777" w:rsidR="00E50AEF" w:rsidRPr="00E50AEF" w:rsidRDefault="00E50AEF" w:rsidP="00234CBE">
            <w:pPr>
              <w:spacing w:line="276" w:lineRule="auto"/>
              <w:jc w:val="center"/>
              <w:rPr>
                <w:rFonts w:ascii="Book Antiqua" w:hAnsi="Book Antiqua" w:cs="Calibri"/>
                <w:b/>
                <w:bCs/>
                <w:color w:val="000000"/>
                <w:sz w:val="16"/>
                <w:szCs w:val="16"/>
                <w:lang w:eastAsia="es-CR"/>
              </w:rPr>
            </w:pPr>
            <w:r w:rsidRPr="00E50AEF">
              <w:rPr>
                <w:rFonts w:ascii="Book Antiqua" w:hAnsi="Book Antiqua" w:cs="Calibri"/>
                <w:b/>
                <w:bCs/>
                <w:color w:val="000000"/>
                <w:sz w:val="16"/>
                <w:szCs w:val="16"/>
                <w:lang w:eastAsia="es-CR"/>
              </w:rPr>
              <w:t>6,65%</w:t>
            </w:r>
          </w:p>
        </w:tc>
      </w:tr>
      <w:tr w:rsidR="00E50AEF" w:rsidRPr="00E50AEF" w14:paraId="15CBD55C" w14:textId="77777777" w:rsidTr="000E7A4D">
        <w:trPr>
          <w:trHeight w:val="290"/>
          <w:jc w:val="center"/>
        </w:trPr>
        <w:tc>
          <w:tcPr>
            <w:tcW w:w="3361" w:type="dxa"/>
            <w:tcBorders>
              <w:top w:val="nil"/>
              <w:left w:val="single" w:sz="4" w:space="0" w:color="auto"/>
              <w:bottom w:val="single" w:sz="4" w:space="0" w:color="auto"/>
              <w:right w:val="single" w:sz="4" w:space="0" w:color="auto"/>
            </w:tcBorders>
            <w:shd w:val="clear" w:color="auto" w:fill="auto"/>
            <w:noWrap/>
            <w:vAlign w:val="center"/>
            <w:hideMark/>
          </w:tcPr>
          <w:p w14:paraId="6D81ED4B" w14:textId="77777777" w:rsidR="00E50AEF" w:rsidRPr="00E50AEF" w:rsidRDefault="00E50AEF" w:rsidP="00234CBE">
            <w:pPr>
              <w:spacing w:line="276" w:lineRule="auto"/>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Civil</w:t>
            </w:r>
          </w:p>
        </w:tc>
        <w:tc>
          <w:tcPr>
            <w:tcW w:w="1200" w:type="dxa"/>
            <w:tcBorders>
              <w:top w:val="nil"/>
              <w:left w:val="nil"/>
              <w:bottom w:val="single" w:sz="4" w:space="0" w:color="auto"/>
              <w:right w:val="single" w:sz="4" w:space="0" w:color="auto"/>
            </w:tcBorders>
            <w:shd w:val="clear" w:color="auto" w:fill="auto"/>
            <w:noWrap/>
            <w:vAlign w:val="center"/>
            <w:hideMark/>
          </w:tcPr>
          <w:p w14:paraId="2C793C9A"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1645</w:t>
            </w:r>
          </w:p>
        </w:tc>
        <w:tc>
          <w:tcPr>
            <w:tcW w:w="1200" w:type="dxa"/>
            <w:tcBorders>
              <w:top w:val="nil"/>
              <w:left w:val="nil"/>
              <w:bottom w:val="single" w:sz="4" w:space="0" w:color="auto"/>
              <w:right w:val="single" w:sz="4" w:space="0" w:color="auto"/>
            </w:tcBorders>
            <w:shd w:val="clear" w:color="auto" w:fill="auto"/>
            <w:noWrap/>
            <w:vAlign w:val="center"/>
            <w:hideMark/>
          </w:tcPr>
          <w:p w14:paraId="42169837"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1312</w:t>
            </w:r>
          </w:p>
        </w:tc>
        <w:tc>
          <w:tcPr>
            <w:tcW w:w="1200" w:type="dxa"/>
            <w:tcBorders>
              <w:top w:val="nil"/>
              <w:left w:val="nil"/>
              <w:bottom w:val="single" w:sz="4" w:space="0" w:color="auto"/>
              <w:right w:val="single" w:sz="4" w:space="0" w:color="auto"/>
            </w:tcBorders>
            <w:shd w:val="clear" w:color="auto" w:fill="auto"/>
            <w:noWrap/>
            <w:vAlign w:val="center"/>
            <w:hideMark/>
          </w:tcPr>
          <w:p w14:paraId="77DA5FA0"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1401</w:t>
            </w:r>
          </w:p>
        </w:tc>
        <w:tc>
          <w:tcPr>
            <w:tcW w:w="1200" w:type="dxa"/>
            <w:tcBorders>
              <w:top w:val="nil"/>
              <w:left w:val="nil"/>
              <w:bottom w:val="single" w:sz="4" w:space="0" w:color="auto"/>
              <w:right w:val="single" w:sz="4" w:space="0" w:color="auto"/>
            </w:tcBorders>
            <w:shd w:val="clear" w:color="auto" w:fill="auto"/>
            <w:noWrap/>
            <w:vAlign w:val="center"/>
            <w:hideMark/>
          </w:tcPr>
          <w:p w14:paraId="0F9381AD"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-14,83%</w:t>
            </w:r>
          </w:p>
        </w:tc>
        <w:tc>
          <w:tcPr>
            <w:tcW w:w="1200" w:type="dxa"/>
            <w:tcBorders>
              <w:top w:val="nil"/>
              <w:left w:val="nil"/>
              <w:bottom w:val="single" w:sz="4" w:space="0" w:color="auto"/>
              <w:right w:val="single" w:sz="4" w:space="0" w:color="auto"/>
            </w:tcBorders>
            <w:shd w:val="clear" w:color="auto" w:fill="auto"/>
            <w:noWrap/>
            <w:vAlign w:val="center"/>
            <w:hideMark/>
          </w:tcPr>
          <w:p w14:paraId="28E289C3"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6,80%</w:t>
            </w:r>
          </w:p>
        </w:tc>
      </w:tr>
      <w:tr w:rsidR="00E50AEF" w:rsidRPr="00E50AEF" w14:paraId="2951A011" w14:textId="77777777" w:rsidTr="000E7A4D">
        <w:trPr>
          <w:trHeight w:val="290"/>
          <w:jc w:val="center"/>
        </w:trPr>
        <w:tc>
          <w:tcPr>
            <w:tcW w:w="3361" w:type="dxa"/>
            <w:tcBorders>
              <w:top w:val="nil"/>
              <w:left w:val="single" w:sz="4" w:space="0" w:color="auto"/>
              <w:bottom w:val="single" w:sz="4" w:space="0" w:color="auto"/>
              <w:right w:val="single" w:sz="4" w:space="0" w:color="auto"/>
            </w:tcBorders>
            <w:shd w:val="clear" w:color="auto" w:fill="auto"/>
            <w:noWrap/>
            <w:vAlign w:val="center"/>
            <w:hideMark/>
          </w:tcPr>
          <w:p w14:paraId="47C4E3E4" w14:textId="77777777" w:rsidR="00E50AEF" w:rsidRPr="00E50AEF" w:rsidRDefault="00E50AEF" w:rsidP="00234CBE">
            <w:pPr>
              <w:spacing w:line="276" w:lineRule="auto"/>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Cobro</w:t>
            </w:r>
          </w:p>
        </w:tc>
        <w:tc>
          <w:tcPr>
            <w:tcW w:w="1200" w:type="dxa"/>
            <w:tcBorders>
              <w:top w:val="nil"/>
              <w:left w:val="nil"/>
              <w:bottom w:val="single" w:sz="4" w:space="0" w:color="auto"/>
              <w:right w:val="single" w:sz="4" w:space="0" w:color="auto"/>
            </w:tcBorders>
            <w:shd w:val="clear" w:color="auto" w:fill="auto"/>
            <w:noWrap/>
            <w:vAlign w:val="center"/>
            <w:hideMark/>
          </w:tcPr>
          <w:p w14:paraId="676787E1"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11650</w:t>
            </w:r>
          </w:p>
        </w:tc>
        <w:tc>
          <w:tcPr>
            <w:tcW w:w="1200" w:type="dxa"/>
            <w:tcBorders>
              <w:top w:val="nil"/>
              <w:left w:val="nil"/>
              <w:bottom w:val="single" w:sz="4" w:space="0" w:color="auto"/>
              <w:right w:val="single" w:sz="4" w:space="0" w:color="auto"/>
            </w:tcBorders>
            <w:shd w:val="clear" w:color="auto" w:fill="auto"/>
            <w:noWrap/>
            <w:vAlign w:val="center"/>
            <w:hideMark/>
          </w:tcPr>
          <w:p w14:paraId="09D4ABB7"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8732</w:t>
            </w:r>
          </w:p>
        </w:tc>
        <w:tc>
          <w:tcPr>
            <w:tcW w:w="1200" w:type="dxa"/>
            <w:tcBorders>
              <w:top w:val="nil"/>
              <w:left w:val="nil"/>
              <w:bottom w:val="single" w:sz="4" w:space="0" w:color="auto"/>
              <w:right w:val="single" w:sz="4" w:space="0" w:color="auto"/>
            </w:tcBorders>
            <w:shd w:val="clear" w:color="auto" w:fill="auto"/>
            <w:noWrap/>
            <w:vAlign w:val="center"/>
            <w:hideMark/>
          </w:tcPr>
          <w:p w14:paraId="3ECC5150"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9081</w:t>
            </w:r>
          </w:p>
        </w:tc>
        <w:tc>
          <w:tcPr>
            <w:tcW w:w="1200" w:type="dxa"/>
            <w:tcBorders>
              <w:top w:val="nil"/>
              <w:left w:val="nil"/>
              <w:bottom w:val="single" w:sz="4" w:space="0" w:color="auto"/>
              <w:right w:val="single" w:sz="4" w:space="0" w:color="auto"/>
            </w:tcBorders>
            <w:shd w:val="clear" w:color="auto" w:fill="auto"/>
            <w:noWrap/>
            <w:vAlign w:val="center"/>
            <w:hideMark/>
          </w:tcPr>
          <w:p w14:paraId="3F584EFE"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-22,05%</w:t>
            </w:r>
          </w:p>
        </w:tc>
        <w:tc>
          <w:tcPr>
            <w:tcW w:w="1200" w:type="dxa"/>
            <w:tcBorders>
              <w:top w:val="nil"/>
              <w:left w:val="nil"/>
              <w:bottom w:val="single" w:sz="4" w:space="0" w:color="auto"/>
              <w:right w:val="single" w:sz="4" w:space="0" w:color="auto"/>
            </w:tcBorders>
            <w:shd w:val="clear" w:color="auto" w:fill="auto"/>
            <w:noWrap/>
            <w:vAlign w:val="center"/>
            <w:hideMark/>
          </w:tcPr>
          <w:p w14:paraId="39DB3373"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4,00%</w:t>
            </w:r>
          </w:p>
        </w:tc>
      </w:tr>
      <w:tr w:rsidR="00E50AEF" w:rsidRPr="00E50AEF" w14:paraId="750E44B8" w14:textId="77777777" w:rsidTr="000E7A4D">
        <w:trPr>
          <w:trHeight w:val="290"/>
          <w:jc w:val="center"/>
        </w:trPr>
        <w:tc>
          <w:tcPr>
            <w:tcW w:w="3361" w:type="dxa"/>
            <w:tcBorders>
              <w:top w:val="nil"/>
              <w:left w:val="single" w:sz="4" w:space="0" w:color="auto"/>
              <w:bottom w:val="single" w:sz="4" w:space="0" w:color="auto"/>
              <w:right w:val="single" w:sz="4" w:space="0" w:color="auto"/>
            </w:tcBorders>
            <w:shd w:val="clear" w:color="auto" w:fill="auto"/>
            <w:noWrap/>
            <w:vAlign w:val="center"/>
            <w:hideMark/>
          </w:tcPr>
          <w:p w14:paraId="3B76651F" w14:textId="77777777" w:rsidR="00E50AEF" w:rsidRPr="00E50AEF" w:rsidRDefault="00E50AEF" w:rsidP="00234CBE">
            <w:pPr>
              <w:spacing w:line="276" w:lineRule="auto"/>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Notarial</w:t>
            </w:r>
          </w:p>
        </w:tc>
        <w:tc>
          <w:tcPr>
            <w:tcW w:w="1200" w:type="dxa"/>
            <w:tcBorders>
              <w:top w:val="nil"/>
              <w:left w:val="nil"/>
              <w:bottom w:val="single" w:sz="4" w:space="0" w:color="auto"/>
              <w:right w:val="single" w:sz="4" w:space="0" w:color="auto"/>
            </w:tcBorders>
            <w:shd w:val="clear" w:color="auto" w:fill="auto"/>
            <w:noWrap/>
            <w:vAlign w:val="center"/>
            <w:hideMark/>
          </w:tcPr>
          <w:p w14:paraId="481231E6"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73</w:t>
            </w:r>
          </w:p>
        </w:tc>
        <w:tc>
          <w:tcPr>
            <w:tcW w:w="1200" w:type="dxa"/>
            <w:tcBorders>
              <w:top w:val="nil"/>
              <w:left w:val="nil"/>
              <w:bottom w:val="single" w:sz="4" w:space="0" w:color="auto"/>
              <w:right w:val="single" w:sz="4" w:space="0" w:color="auto"/>
            </w:tcBorders>
            <w:shd w:val="clear" w:color="auto" w:fill="auto"/>
            <w:noWrap/>
            <w:vAlign w:val="center"/>
            <w:hideMark/>
          </w:tcPr>
          <w:p w14:paraId="7D112403"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64</w:t>
            </w:r>
          </w:p>
        </w:tc>
        <w:tc>
          <w:tcPr>
            <w:tcW w:w="1200" w:type="dxa"/>
            <w:tcBorders>
              <w:top w:val="nil"/>
              <w:left w:val="nil"/>
              <w:bottom w:val="single" w:sz="4" w:space="0" w:color="auto"/>
              <w:right w:val="single" w:sz="4" w:space="0" w:color="auto"/>
            </w:tcBorders>
            <w:shd w:val="clear" w:color="auto" w:fill="auto"/>
            <w:noWrap/>
            <w:vAlign w:val="center"/>
            <w:hideMark/>
          </w:tcPr>
          <w:p w14:paraId="159F70AB"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88</w:t>
            </w:r>
          </w:p>
        </w:tc>
        <w:tc>
          <w:tcPr>
            <w:tcW w:w="1200" w:type="dxa"/>
            <w:tcBorders>
              <w:top w:val="nil"/>
              <w:left w:val="nil"/>
              <w:bottom w:val="single" w:sz="4" w:space="0" w:color="auto"/>
              <w:right w:val="single" w:sz="4" w:space="0" w:color="auto"/>
            </w:tcBorders>
            <w:shd w:val="clear" w:color="auto" w:fill="auto"/>
            <w:noWrap/>
            <w:vAlign w:val="center"/>
            <w:hideMark/>
          </w:tcPr>
          <w:p w14:paraId="20B2010D"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20,44%</w:t>
            </w:r>
          </w:p>
        </w:tc>
        <w:tc>
          <w:tcPr>
            <w:tcW w:w="1200" w:type="dxa"/>
            <w:tcBorders>
              <w:top w:val="nil"/>
              <w:left w:val="nil"/>
              <w:bottom w:val="single" w:sz="4" w:space="0" w:color="auto"/>
              <w:right w:val="single" w:sz="4" w:space="0" w:color="auto"/>
            </w:tcBorders>
            <w:shd w:val="clear" w:color="auto" w:fill="auto"/>
            <w:noWrap/>
            <w:vAlign w:val="center"/>
            <w:hideMark/>
          </w:tcPr>
          <w:p w14:paraId="67DF1AA6"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38,08%</w:t>
            </w:r>
          </w:p>
        </w:tc>
      </w:tr>
      <w:tr w:rsidR="00E50AEF" w:rsidRPr="00E50AEF" w14:paraId="101B4C09" w14:textId="77777777" w:rsidTr="000E7A4D">
        <w:trPr>
          <w:trHeight w:val="290"/>
          <w:jc w:val="center"/>
        </w:trPr>
        <w:tc>
          <w:tcPr>
            <w:tcW w:w="3361" w:type="dxa"/>
            <w:tcBorders>
              <w:top w:val="nil"/>
              <w:left w:val="single" w:sz="4" w:space="0" w:color="auto"/>
              <w:bottom w:val="single" w:sz="4" w:space="0" w:color="auto"/>
              <w:right w:val="single" w:sz="4" w:space="0" w:color="auto"/>
            </w:tcBorders>
            <w:shd w:val="clear" w:color="auto" w:fill="auto"/>
            <w:noWrap/>
            <w:vAlign w:val="center"/>
            <w:hideMark/>
          </w:tcPr>
          <w:p w14:paraId="3F6F2EB2" w14:textId="77777777" w:rsidR="00E50AEF" w:rsidRPr="00E50AEF" w:rsidRDefault="00E50AEF" w:rsidP="00234CBE">
            <w:pPr>
              <w:spacing w:line="276" w:lineRule="auto"/>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Contencioso Administrativo</w:t>
            </w:r>
          </w:p>
        </w:tc>
        <w:tc>
          <w:tcPr>
            <w:tcW w:w="1200" w:type="dxa"/>
            <w:tcBorders>
              <w:top w:val="nil"/>
              <w:left w:val="nil"/>
              <w:bottom w:val="single" w:sz="4" w:space="0" w:color="auto"/>
              <w:right w:val="single" w:sz="4" w:space="0" w:color="auto"/>
            </w:tcBorders>
            <w:shd w:val="clear" w:color="auto" w:fill="auto"/>
            <w:noWrap/>
            <w:vAlign w:val="center"/>
            <w:hideMark/>
          </w:tcPr>
          <w:p w14:paraId="275F3337"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1562</w:t>
            </w:r>
          </w:p>
        </w:tc>
        <w:tc>
          <w:tcPr>
            <w:tcW w:w="1200" w:type="dxa"/>
            <w:tcBorders>
              <w:top w:val="nil"/>
              <w:left w:val="nil"/>
              <w:bottom w:val="single" w:sz="4" w:space="0" w:color="auto"/>
              <w:right w:val="single" w:sz="4" w:space="0" w:color="auto"/>
            </w:tcBorders>
            <w:shd w:val="clear" w:color="auto" w:fill="auto"/>
            <w:noWrap/>
            <w:vAlign w:val="center"/>
            <w:hideMark/>
          </w:tcPr>
          <w:p w14:paraId="0A3C8293"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1450</w:t>
            </w:r>
          </w:p>
        </w:tc>
        <w:tc>
          <w:tcPr>
            <w:tcW w:w="1200" w:type="dxa"/>
            <w:tcBorders>
              <w:top w:val="nil"/>
              <w:left w:val="nil"/>
              <w:bottom w:val="single" w:sz="4" w:space="0" w:color="auto"/>
              <w:right w:val="single" w:sz="4" w:space="0" w:color="auto"/>
            </w:tcBorders>
            <w:shd w:val="clear" w:color="auto" w:fill="auto"/>
            <w:noWrap/>
            <w:vAlign w:val="center"/>
            <w:hideMark/>
          </w:tcPr>
          <w:p w14:paraId="4E6A00B7"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1082</w:t>
            </w:r>
          </w:p>
        </w:tc>
        <w:tc>
          <w:tcPr>
            <w:tcW w:w="1200" w:type="dxa"/>
            <w:tcBorders>
              <w:top w:val="nil"/>
              <w:left w:val="nil"/>
              <w:bottom w:val="single" w:sz="4" w:space="0" w:color="auto"/>
              <w:right w:val="single" w:sz="4" w:space="0" w:color="auto"/>
            </w:tcBorders>
            <w:shd w:val="clear" w:color="auto" w:fill="auto"/>
            <w:noWrap/>
            <w:vAlign w:val="center"/>
            <w:hideMark/>
          </w:tcPr>
          <w:p w14:paraId="53AA58FA"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-30,72%</w:t>
            </w:r>
          </w:p>
        </w:tc>
        <w:tc>
          <w:tcPr>
            <w:tcW w:w="1200" w:type="dxa"/>
            <w:tcBorders>
              <w:top w:val="nil"/>
              <w:left w:val="nil"/>
              <w:bottom w:val="single" w:sz="4" w:space="0" w:color="auto"/>
              <w:right w:val="single" w:sz="4" w:space="0" w:color="auto"/>
            </w:tcBorders>
            <w:shd w:val="clear" w:color="auto" w:fill="auto"/>
            <w:noWrap/>
            <w:vAlign w:val="center"/>
            <w:hideMark/>
          </w:tcPr>
          <w:p w14:paraId="49244942"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-25,38%</w:t>
            </w:r>
          </w:p>
        </w:tc>
      </w:tr>
      <w:tr w:rsidR="00E50AEF" w:rsidRPr="00E50AEF" w14:paraId="0293799C" w14:textId="77777777" w:rsidTr="000E7A4D">
        <w:trPr>
          <w:trHeight w:val="290"/>
          <w:jc w:val="center"/>
        </w:trPr>
        <w:tc>
          <w:tcPr>
            <w:tcW w:w="3361" w:type="dxa"/>
            <w:tcBorders>
              <w:top w:val="nil"/>
              <w:left w:val="single" w:sz="4" w:space="0" w:color="auto"/>
              <w:bottom w:val="single" w:sz="4" w:space="0" w:color="auto"/>
              <w:right w:val="single" w:sz="4" w:space="0" w:color="auto"/>
            </w:tcBorders>
            <w:shd w:val="clear" w:color="auto" w:fill="auto"/>
            <w:noWrap/>
            <w:vAlign w:val="center"/>
            <w:hideMark/>
          </w:tcPr>
          <w:p w14:paraId="0240ADB2" w14:textId="77777777" w:rsidR="00E50AEF" w:rsidRPr="00E50AEF" w:rsidRDefault="00E50AEF" w:rsidP="00234CBE">
            <w:pPr>
              <w:spacing w:line="276" w:lineRule="auto"/>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Violencia Doméstica</w:t>
            </w:r>
          </w:p>
        </w:tc>
        <w:tc>
          <w:tcPr>
            <w:tcW w:w="1200" w:type="dxa"/>
            <w:tcBorders>
              <w:top w:val="nil"/>
              <w:left w:val="nil"/>
              <w:bottom w:val="single" w:sz="4" w:space="0" w:color="auto"/>
              <w:right w:val="single" w:sz="4" w:space="0" w:color="auto"/>
            </w:tcBorders>
            <w:shd w:val="clear" w:color="auto" w:fill="auto"/>
            <w:noWrap/>
            <w:vAlign w:val="center"/>
            <w:hideMark/>
          </w:tcPr>
          <w:p w14:paraId="06543087"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5409</w:t>
            </w:r>
          </w:p>
        </w:tc>
        <w:tc>
          <w:tcPr>
            <w:tcW w:w="1200" w:type="dxa"/>
            <w:tcBorders>
              <w:top w:val="nil"/>
              <w:left w:val="nil"/>
              <w:bottom w:val="single" w:sz="4" w:space="0" w:color="auto"/>
              <w:right w:val="single" w:sz="4" w:space="0" w:color="auto"/>
            </w:tcBorders>
            <w:shd w:val="clear" w:color="auto" w:fill="auto"/>
            <w:noWrap/>
            <w:vAlign w:val="center"/>
            <w:hideMark/>
          </w:tcPr>
          <w:p w14:paraId="66D65A9F"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5752</w:t>
            </w:r>
          </w:p>
        </w:tc>
        <w:tc>
          <w:tcPr>
            <w:tcW w:w="1200" w:type="dxa"/>
            <w:tcBorders>
              <w:top w:val="nil"/>
              <w:left w:val="nil"/>
              <w:bottom w:val="single" w:sz="4" w:space="0" w:color="auto"/>
              <w:right w:val="single" w:sz="4" w:space="0" w:color="auto"/>
            </w:tcBorders>
            <w:shd w:val="clear" w:color="auto" w:fill="auto"/>
            <w:noWrap/>
            <w:vAlign w:val="center"/>
            <w:hideMark/>
          </w:tcPr>
          <w:p w14:paraId="485F83B5"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5954</w:t>
            </w:r>
          </w:p>
        </w:tc>
        <w:tc>
          <w:tcPr>
            <w:tcW w:w="1200" w:type="dxa"/>
            <w:tcBorders>
              <w:top w:val="nil"/>
              <w:left w:val="nil"/>
              <w:bottom w:val="single" w:sz="4" w:space="0" w:color="auto"/>
              <w:right w:val="single" w:sz="4" w:space="0" w:color="auto"/>
            </w:tcBorders>
            <w:shd w:val="clear" w:color="auto" w:fill="auto"/>
            <w:noWrap/>
            <w:vAlign w:val="center"/>
            <w:hideMark/>
          </w:tcPr>
          <w:p w14:paraId="134C8E46"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10,06%</w:t>
            </w:r>
          </w:p>
        </w:tc>
        <w:tc>
          <w:tcPr>
            <w:tcW w:w="1200" w:type="dxa"/>
            <w:tcBorders>
              <w:top w:val="nil"/>
              <w:left w:val="nil"/>
              <w:bottom w:val="single" w:sz="4" w:space="0" w:color="auto"/>
              <w:right w:val="single" w:sz="4" w:space="0" w:color="auto"/>
            </w:tcBorders>
            <w:shd w:val="clear" w:color="auto" w:fill="auto"/>
            <w:noWrap/>
            <w:vAlign w:val="center"/>
            <w:hideMark/>
          </w:tcPr>
          <w:p w14:paraId="7AFACCE5"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3,51%</w:t>
            </w:r>
          </w:p>
        </w:tc>
      </w:tr>
      <w:tr w:rsidR="00E50AEF" w:rsidRPr="00E50AEF" w14:paraId="7F4DBD46" w14:textId="77777777" w:rsidTr="000E7A4D">
        <w:trPr>
          <w:trHeight w:val="290"/>
          <w:jc w:val="center"/>
        </w:trPr>
        <w:tc>
          <w:tcPr>
            <w:tcW w:w="3361" w:type="dxa"/>
            <w:tcBorders>
              <w:top w:val="nil"/>
              <w:left w:val="single" w:sz="4" w:space="0" w:color="auto"/>
              <w:bottom w:val="single" w:sz="4" w:space="0" w:color="auto"/>
              <w:right w:val="single" w:sz="4" w:space="0" w:color="auto"/>
            </w:tcBorders>
            <w:shd w:val="clear" w:color="auto" w:fill="auto"/>
            <w:noWrap/>
            <w:vAlign w:val="center"/>
            <w:hideMark/>
          </w:tcPr>
          <w:p w14:paraId="6EAD186E" w14:textId="77777777" w:rsidR="00E50AEF" w:rsidRPr="00E50AEF" w:rsidRDefault="00E50AEF" w:rsidP="00234CBE">
            <w:pPr>
              <w:spacing w:line="276" w:lineRule="auto"/>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 xml:space="preserve">Pensiones Alimentarias </w:t>
            </w:r>
          </w:p>
        </w:tc>
        <w:tc>
          <w:tcPr>
            <w:tcW w:w="1200" w:type="dxa"/>
            <w:tcBorders>
              <w:top w:val="nil"/>
              <w:left w:val="nil"/>
              <w:bottom w:val="single" w:sz="4" w:space="0" w:color="auto"/>
              <w:right w:val="single" w:sz="4" w:space="0" w:color="auto"/>
            </w:tcBorders>
            <w:shd w:val="clear" w:color="auto" w:fill="auto"/>
            <w:noWrap/>
            <w:vAlign w:val="center"/>
            <w:hideMark/>
          </w:tcPr>
          <w:p w14:paraId="018F2E1A"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2396</w:t>
            </w:r>
          </w:p>
        </w:tc>
        <w:tc>
          <w:tcPr>
            <w:tcW w:w="1200" w:type="dxa"/>
            <w:tcBorders>
              <w:top w:val="nil"/>
              <w:left w:val="nil"/>
              <w:bottom w:val="single" w:sz="4" w:space="0" w:color="auto"/>
              <w:right w:val="single" w:sz="4" w:space="0" w:color="auto"/>
            </w:tcBorders>
            <w:shd w:val="clear" w:color="auto" w:fill="auto"/>
            <w:noWrap/>
            <w:vAlign w:val="center"/>
            <w:hideMark/>
          </w:tcPr>
          <w:p w14:paraId="6CE8427B"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2208</w:t>
            </w:r>
          </w:p>
        </w:tc>
        <w:tc>
          <w:tcPr>
            <w:tcW w:w="1200" w:type="dxa"/>
            <w:tcBorders>
              <w:top w:val="nil"/>
              <w:left w:val="nil"/>
              <w:bottom w:val="single" w:sz="4" w:space="0" w:color="auto"/>
              <w:right w:val="single" w:sz="4" w:space="0" w:color="auto"/>
            </w:tcBorders>
            <w:shd w:val="clear" w:color="auto" w:fill="auto"/>
            <w:noWrap/>
            <w:vAlign w:val="center"/>
            <w:hideMark/>
          </w:tcPr>
          <w:p w14:paraId="254B5AE1"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2134</w:t>
            </w:r>
          </w:p>
        </w:tc>
        <w:tc>
          <w:tcPr>
            <w:tcW w:w="1200" w:type="dxa"/>
            <w:tcBorders>
              <w:top w:val="nil"/>
              <w:left w:val="nil"/>
              <w:bottom w:val="single" w:sz="4" w:space="0" w:color="auto"/>
              <w:right w:val="single" w:sz="4" w:space="0" w:color="auto"/>
            </w:tcBorders>
            <w:shd w:val="clear" w:color="auto" w:fill="auto"/>
            <w:noWrap/>
            <w:vAlign w:val="center"/>
            <w:hideMark/>
          </w:tcPr>
          <w:p w14:paraId="56EA21DC"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-10,95%</w:t>
            </w:r>
          </w:p>
        </w:tc>
        <w:tc>
          <w:tcPr>
            <w:tcW w:w="1200" w:type="dxa"/>
            <w:tcBorders>
              <w:top w:val="nil"/>
              <w:left w:val="nil"/>
              <w:bottom w:val="single" w:sz="4" w:space="0" w:color="auto"/>
              <w:right w:val="single" w:sz="4" w:space="0" w:color="auto"/>
            </w:tcBorders>
            <w:shd w:val="clear" w:color="auto" w:fill="auto"/>
            <w:noWrap/>
            <w:vAlign w:val="center"/>
            <w:hideMark/>
          </w:tcPr>
          <w:p w14:paraId="6F21D0A2"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-3,35%</w:t>
            </w:r>
          </w:p>
        </w:tc>
      </w:tr>
      <w:tr w:rsidR="00E50AEF" w:rsidRPr="00E50AEF" w14:paraId="7C1AC910" w14:textId="77777777" w:rsidTr="000E7A4D">
        <w:trPr>
          <w:trHeight w:val="290"/>
          <w:jc w:val="center"/>
        </w:trPr>
        <w:tc>
          <w:tcPr>
            <w:tcW w:w="3361" w:type="dxa"/>
            <w:tcBorders>
              <w:top w:val="nil"/>
              <w:left w:val="single" w:sz="4" w:space="0" w:color="auto"/>
              <w:bottom w:val="single" w:sz="4" w:space="0" w:color="auto"/>
              <w:right w:val="single" w:sz="4" w:space="0" w:color="auto"/>
            </w:tcBorders>
            <w:shd w:val="clear" w:color="auto" w:fill="auto"/>
            <w:noWrap/>
            <w:vAlign w:val="center"/>
            <w:hideMark/>
          </w:tcPr>
          <w:p w14:paraId="64633252" w14:textId="77777777" w:rsidR="00E50AEF" w:rsidRPr="00E50AEF" w:rsidRDefault="00E50AEF" w:rsidP="00234CBE">
            <w:pPr>
              <w:spacing w:line="276" w:lineRule="auto"/>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Familia</w:t>
            </w:r>
          </w:p>
        </w:tc>
        <w:tc>
          <w:tcPr>
            <w:tcW w:w="1200" w:type="dxa"/>
            <w:tcBorders>
              <w:top w:val="nil"/>
              <w:left w:val="nil"/>
              <w:bottom w:val="single" w:sz="4" w:space="0" w:color="auto"/>
              <w:right w:val="single" w:sz="4" w:space="0" w:color="auto"/>
            </w:tcBorders>
            <w:shd w:val="clear" w:color="auto" w:fill="auto"/>
            <w:noWrap/>
            <w:vAlign w:val="center"/>
            <w:hideMark/>
          </w:tcPr>
          <w:p w14:paraId="4C8E526C" w14:textId="77777777" w:rsidR="00E50AEF" w:rsidRPr="00292A6D" w:rsidRDefault="00E50AEF" w:rsidP="00234CBE">
            <w:pPr>
              <w:spacing w:line="276" w:lineRule="auto"/>
              <w:jc w:val="center"/>
              <w:rPr>
                <w:rFonts w:ascii="Book Antiqua" w:hAnsi="Book Antiqua" w:cs="Calibri"/>
                <w:color w:val="000000"/>
                <w:sz w:val="16"/>
                <w:szCs w:val="16"/>
                <w:lang w:eastAsia="es-CR"/>
              </w:rPr>
            </w:pPr>
            <w:r w:rsidRPr="00292A6D">
              <w:rPr>
                <w:rFonts w:ascii="Book Antiqua" w:hAnsi="Book Antiqua" w:cs="Calibri"/>
                <w:color w:val="000000"/>
                <w:sz w:val="16"/>
                <w:szCs w:val="16"/>
                <w:lang w:eastAsia="es-CR"/>
              </w:rPr>
              <w:t>2761</w:t>
            </w:r>
          </w:p>
        </w:tc>
        <w:tc>
          <w:tcPr>
            <w:tcW w:w="1200" w:type="dxa"/>
            <w:tcBorders>
              <w:top w:val="nil"/>
              <w:left w:val="nil"/>
              <w:bottom w:val="single" w:sz="4" w:space="0" w:color="auto"/>
              <w:right w:val="single" w:sz="4" w:space="0" w:color="auto"/>
            </w:tcBorders>
            <w:shd w:val="clear" w:color="auto" w:fill="auto"/>
            <w:noWrap/>
            <w:vAlign w:val="center"/>
            <w:hideMark/>
          </w:tcPr>
          <w:p w14:paraId="0AFCE2E3" w14:textId="77777777" w:rsidR="00E50AEF" w:rsidRPr="00292A6D" w:rsidRDefault="00E50AEF" w:rsidP="00234CBE">
            <w:pPr>
              <w:spacing w:line="276" w:lineRule="auto"/>
              <w:jc w:val="center"/>
              <w:rPr>
                <w:rFonts w:ascii="Book Antiqua" w:hAnsi="Book Antiqua" w:cs="Calibri"/>
                <w:color w:val="000000"/>
                <w:sz w:val="16"/>
                <w:szCs w:val="16"/>
                <w:lang w:eastAsia="es-CR"/>
              </w:rPr>
            </w:pPr>
            <w:r w:rsidRPr="00292A6D">
              <w:rPr>
                <w:rFonts w:ascii="Book Antiqua" w:hAnsi="Book Antiqua" w:cs="Calibri"/>
                <w:color w:val="000000"/>
                <w:sz w:val="16"/>
                <w:szCs w:val="16"/>
                <w:lang w:eastAsia="es-CR"/>
              </w:rPr>
              <w:t>2412</w:t>
            </w:r>
          </w:p>
        </w:tc>
        <w:tc>
          <w:tcPr>
            <w:tcW w:w="1200" w:type="dxa"/>
            <w:tcBorders>
              <w:top w:val="nil"/>
              <w:left w:val="nil"/>
              <w:bottom w:val="single" w:sz="4" w:space="0" w:color="auto"/>
              <w:right w:val="single" w:sz="4" w:space="0" w:color="auto"/>
            </w:tcBorders>
            <w:shd w:val="clear" w:color="auto" w:fill="auto"/>
            <w:noWrap/>
            <w:vAlign w:val="center"/>
            <w:hideMark/>
          </w:tcPr>
          <w:p w14:paraId="2298D64A" w14:textId="77777777" w:rsidR="00E50AEF" w:rsidRPr="00292A6D" w:rsidRDefault="00E50AEF" w:rsidP="00234CBE">
            <w:pPr>
              <w:spacing w:line="276" w:lineRule="auto"/>
              <w:jc w:val="center"/>
              <w:rPr>
                <w:rFonts w:ascii="Book Antiqua" w:hAnsi="Book Antiqua" w:cs="Calibri"/>
                <w:color w:val="000000"/>
                <w:sz w:val="16"/>
                <w:szCs w:val="16"/>
                <w:lang w:eastAsia="es-CR"/>
              </w:rPr>
            </w:pPr>
            <w:r w:rsidRPr="00292A6D">
              <w:rPr>
                <w:rFonts w:ascii="Book Antiqua" w:hAnsi="Book Antiqua" w:cs="Calibri"/>
                <w:color w:val="000000"/>
                <w:sz w:val="16"/>
                <w:szCs w:val="16"/>
                <w:lang w:eastAsia="es-CR"/>
              </w:rPr>
              <w:t>3003</w:t>
            </w:r>
          </w:p>
        </w:tc>
        <w:tc>
          <w:tcPr>
            <w:tcW w:w="1200" w:type="dxa"/>
            <w:tcBorders>
              <w:top w:val="nil"/>
              <w:left w:val="nil"/>
              <w:bottom w:val="single" w:sz="4" w:space="0" w:color="auto"/>
              <w:right w:val="single" w:sz="4" w:space="0" w:color="auto"/>
            </w:tcBorders>
            <w:shd w:val="clear" w:color="auto" w:fill="auto"/>
            <w:noWrap/>
            <w:vAlign w:val="center"/>
            <w:hideMark/>
          </w:tcPr>
          <w:p w14:paraId="5C6194B8" w14:textId="77777777" w:rsidR="00E50AEF" w:rsidRPr="00292A6D" w:rsidRDefault="00E50AEF" w:rsidP="00234CBE">
            <w:pPr>
              <w:spacing w:line="276" w:lineRule="auto"/>
              <w:jc w:val="center"/>
              <w:rPr>
                <w:rFonts w:ascii="Book Antiqua" w:hAnsi="Book Antiqua" w:cs="Calibri"/>
                <w:color w:val="000000"/>
                <w:sz w:val="16"/>
                <w:szCs w:val="16"/>
                <w:lang w:eastAsia="es-CR"/>
              </w:rPr>
            </w:pPr>
            <w:r w:rsidRPr="00292A6D">
              <w:rPr>
                <w:rFonts w:ascii="Book Antiqua" w:hAnsi="Book Antiqua" w:cs="Calibri"/>
                <w:color w:val="000000"/>
                <w:sz w:val="16"/>
                <w:szCs w:val="16"/>
                <w:lang w:eastAsia="es-CR"/>
              </w:rPr>
              <w:t>8,78%</w:t>
            </w:r>
          </w:p>
        </w:tc>
        <w:tc>
          <w:tcPr>
            <w:tcW w:w="1200" w:type="dxa"/>
            <w:tcBorders>
              <w:top w:val="nil"/>
              <w:left w:val="nil"/>
              <w:bottom w:val="single" w:sz="4" w:space="0" w:color="auto"/>
              <w:right w:val="single" w:sz="4" w:space="0" w:color="auto"/>
            </w:tcBorders>
            <w:shd w:val="clear" w:color="auto" w:fill="auto"/>
            <w:noWrap/>
            <w:vAlign w:val="center"/>
            <w:hideMark/>
          </w:tcPr>
          <w:p w14:paraId="26934DC2" w14:textId="77777777" w:rsidR="00E50AEF" w:rsidRPr="00292A6D" w:rsidRDefault="00E50AEF" w:rsidP="00234CBE">
            <w:pPr>
              <w:spacing w:line="276" w:lineRule="auto"/>
              <w:jc w:val="center"/>
              <w:rPr>
                <w:rFonts w:ascii="Book Antiqua" w:hAnsi="Book Antiqua" w:cs="Calibri"/>
                <w:color w:val="000000"/>
                <w:sz w:val="16"/>
                <w:szCs w:val="16"/>
                <w:lang w:eastAsia="es-CR"/>
              </w:rPr>
            </w:pPr>
            <w:r w:rsidRPr="00292A6D">
              <w:rPr>
                <w:rFonts w:ascii="Book Antiqua" w:hAnsi="Book Antiqua" w:cs="Calibri"/>
                <w:color w:val="000000"/>
                <w:sz w:val="16"/>
                <w:szCs w:val="16"/>
                <w:lang w:eastAsia="es-CR"/>
              </w:rPr>
              <w:t>24,50%</w:t>
            </w:r>
          </w:p>
        </w:tc>
      </w:tr>
      <w:tr w:rsidR="00E50AEF" w:rsidRPr="00E50AEF" w14:paraId="34B996F3" w14:textId="77777777" w:rsidTr="000E7A4D">
        <w:trPr>
          <w:trHeight w:val="290"/>
          <w:jc w:val="center"/>
        </w:trPr>
        <w:tc>
          <w:tcPr>
            <w:tcW w:w="3361" w:type="dxa"/>
            <w:tcBorders>
              <w:top w:val="nil"/>
              <w:left w:val="single" w:sz="4" w:space="0" w:color="auto"/>
              <w:bottom w:val="single" w:sz="4" w:space="0" w:color="auto"/>
              <w:right w:val="single" w:sz="4" w:space="0" w:color="auto"/>
            </w:tcBorders>
            <w:shd w:val="clear" w:color="auto" w:fill="auto"/>
            <w:noWrap/>
            <w:vAlign w:val="center"/>
            <w:hideMark/>
          </w:tcPr>
          <w:p w14:paraId="2AA076DB" w14:textId="77777777" w:rsidR="00E50AEF" w:rsidRPr="00E50AEF" w:rsidRDefault="00E50AEF" w:rsidP="00234CBE">
            <w:pPr>
              <w:spacing w:line="276" w:lineRule="auto"/>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Agrario</w:t>
            </w:r>
          </w:p>
        </w:tc>
        <w:tc>
          <w:tcPr>
            <w:tcW w:w="1200" w:type="dxa"/>
            <w:tcBorders>
              <w:top w:val="nil"/>
              <w:left w:val="nil"/>
              <w:bottom w:val="single" w:sz="4" w:space="0" w:color="auto"/>
              <w:right w:val="single" w:sz="4" w:space="0" w:color="auto"/>
            </w:tcBorders>
            <w:shd w:val="clear" w:color="auto" w:fill="auto"/>
            <w:noWrap/>
            <w:vAlign w:val="center"/>
            <w:hideMark/>
          </w:tcPr>
          <w:p w14:paraId="68FC75C4"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324</w:t>
            </w:r>
          </w:p>
        </w:tc>
        <w:tc>
          <w:tcPr>
            <w:tcW w:w="1200" w:type="dxa"/>
            <w:tcBorders>
              <w:top w:val="nil"/>
              <w:left w:val="nil"/>
              <w:bottom w:val="single" w:sz="4" w:space="0" w:color="auto"/>
              <w:right w:val="single" w:sz="4" w:space="0" w:color="auto"/>
            </w:tcBorders>
            <w:shd w:val="clear" w:color="auto" w:fill="auto"/>
            <w:noWrap/>
            <w:vAlign w:val="center"/>
            <w:hideMark/>
          </w:tcPr>
          <w:p w14:paraId="383EC19C"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276</w:t>
            </w:r>
          </w:p>
        </w:tc>
        <w:tc>
          <w:tcPr>
            <w:tcW w:w="1200" w:type="dxa"/>
            <w:tcBorders>
              <w:top w:val="nil"/>
              <w:left w:val="nil"/>
              <w:bottom w:val="single" w:sz="4" w:space="0" w:color="auto"/>
              <w:right w:val="single" w:sz="4" w:space="0" w:color="auto"/>
            </w:tcBorders>
            <w:shd w:val="clear" w:color="auto" w:fill="auto"/>
            <w:noWrap/>
            <w:vAlign w:val="center"/>
            <w:hideMark/>
          </w:tcPr>
          <w:p w14:paraId="5A965C9B"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344</w:t>
            </w:r>
          </w:p>
        </w:tc>
        <w:tc>
          <w:tcPr>
            <w:tcW w:w="1200" w:type="dxa"/>
            <w:tcBorders>
              <w:top w:val="nil"/>
              <w:left w:val="nil"/>
              <w:bottom w:val="single" w:sz="4" w:space="0" w:color="auto"/>
              <w:right w:val="single" w:sz="4" w:space="0" w:color="auto"/>
            </w:tcBorders>
            <w:shd w:val="clear" w:color="auto" w:fill="auto"/>
            <w:noWrap/>
            <w:vAlign w:val="center"/>
            <w:hideMark/>
          </w:tcPr>
          <w:p w14:paraId="556B8577"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6,00%</w:t>
            </w:r>
          </w:p>
        </w:tc>
        <w:tc>
          <w:tcPr>
            <w:tcW w:w="1200" w:type="dxa"/>
            <w:tcBorders>
              <w:top w:val="nil"/>
              <w:left w:val="nil"/>
              <w:bottom w:val="single" w:sz="4" w:space="0" w:color="auto"/>
              <w:right w:val="single" w:sz="4" w:space="0" w:color="auto"/>
            </w:tcBorders>
            <w:shd w:val="clear" w:color="auto" w:fill="auto"/>
            <w:noWrap/>
            <w:vAlign w:val="center"/>
            <w:hideMark/>
          </w:tcPr>
          <w:p w14:paraId="18EC1A4C"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24,39%</w:t>
            </w:r>
          </w:p>
        </w:tc>
      </w:tr>
      <w:tr w:rsidR="00E50AEF" w:rsidRPr="00E50AEF" w14:paraId="3DCA2CFD" w14:textId="77777777" w:rsidTr="000E7A4D">
        <w:trPr>
          <w:trHeight w:val="290"/>
          <w:jc w:val="center"/>
        </w:trPr>
        <w:tc>
          <w:tcPr>
            <w:tcW w:w="3361" w:type="dxa"/>
            <w:tcBorders>
              <w:top w:val="nil"/>
              <w:left w:val="single" w:sz="4" w:space="0" w:color="auto"/>
              <w:bottom w:val="single" w:sz="4" w:space="0" w:color="auto"/>
              <w:right w:val="single" w:sz="4" w:space="0" w:color="auto"/>
            </w:tcBorders>
            <w:shd w:val="clear" w:color="auto" w:fill="auto"/>
            <w:noWrap/>
            <w:vAlign w:val="center"/>
            <w:hideMark/>
          </w:tcPr>
          <w:p w14:paraId="4EE0AABD" w14:textId="77777777" w:rsidR="00E50AEF" w:rsidRPr="00E50AEF" w:rsidRDefault="00E50AEF" w:rsidP="00234CBE">
            <w:pPr>
              <w:spacing w:line="276" w:lineRule="auto"/>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Tránsito</w:t>
            </w:r>
          </w:p>
        </w:tc>
        <w:tc>
          <w:tcPr>
            <w:tcW w:w="1200" w:type="dxa"/>
            <w:tcBorders>
              <w:top w:val="nil"/>
              <w:left w:val="nil"/>
              <w:bottom w:val="single" w:sz="4" w:space="0" w:color="auto"/>
              <w:right w:val="single" w:sz="4" w:space="0" w:color="auto"/>
            </w:tcBorders>
            <w:shd w:val="clear" w:color="auto" w:fill="auto"/>
            <w:noWrap/>
            <w:vAlign w:val="center"/>
            <w:hideMark/>
          </w:tcPr>
          <w:p w14:paraId="1C02F2EC"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7430</w:t>
            </w:r>
          </w:p>
        </w:tc>
        <w:tc>
          <w:tcPr>
            <w:tcW w:w="1200" w:type="dxa"/>
            <w:tcBorders>
              <w:top w:val="nil"/>
              <w:left w:val="nil"/>
              <w:bottom w:val="single" w:sz="4" w:space="0" w:color="auto"/>
              <w:right w:val="single" w:sz="4" w:space="0" w:color="auto"/>
            </w:tcBorders>
            <w:shd w:val="clear" w:color="auto" w:fill="auto"/>
            <w:noWrap/>
            <w:vAlign w:val="center"/>
            <w:hideMark/>
          </w:tcPr>
          <w:p w14:paraId="382E0E8B"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5288</w:t>
            </w:r>
          </w:p>
        </w:tc>
        <w:tc>
          <w:tcPr>
            <w:tcW w:w="1200" w:type="dxa"/>
            <w:tcBorders>
              <w:top w:val="nil"/>
              <w:left w:val="nil"/>
              <w:bottom w:val="single" w:sz="4" w:space="0" w:color="auto"/>
              <w:right w:val="single" w:sz="4" w:space="0" w:color="auto"/>
            </w:tcBorders>
            <w:shd w:val="clear" w:color="auto" w:fill="auto"/>
            <w:noWrap/>
            <w:vAlign w:val="center"/>
            <w:hideMark/>
          </w:tcPr>
          <w:p w14:paraId="59F0B6EC"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5272</w:t>
            </w:r>
          </w:p>
        </w:tc>
        <w:tc>
          <w:tcPr>
            <w:tcW w:w="1200" w:type="dxa"/>
            <w:tcBorders>
              <w:top w:val="nil"/>
              <w:left w:val="nil"/>
              <w:bottom w:val="single" w:sz="4" w:space="0" w:color="auto"/>
              <w:right w:val="single" w:sz="4" w:space="0" w:color="auto"/>
            </w:tcBorders>
            <w:shd w:val="clear" w:color="auto" w:fill="auto"/>
            <w:noWrap/>
            <w:vAlign w:val="center"/>
            <w:hideMark/>
          </w:tcPr>
          <w:p w14:paraId="02A66011"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-29,04%</w:t>
            </w:r>
          </w:p>
        </w:tc>
        <w:tc>
          <w:tcPr>
            <w:tcW w:w="1200" w:type="dxa"/>
            <w:tcBorders>
              <w:top w:val="nil"/>
              <w:left w:val="nil"/>
              <w:bottom w:val="single" w:sz="4" w:space="0" w:color="auto"/>
              <w:right w:val="single" w:sz="4" w:space="0" w:color="auto"/>
            </w:tcBorders>
            <w:shd w:val="clear" w:color="auto" w:fill="auto"/>
            <w:noWrap/>
            <w:vAlign w:val="center"/>
            <w:hideMark/>
          </w:tcPr>
          <w:p w14:paraId="43C027F8"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-0,30%</w:t>
            </w:r>
          </w:p>
        </w:tc>
      </w:tr>
      <w:tr w:rsidR="00E50AEF" w:rsidRPr="00E50AEF" w14:paraId="08CF874E" w14:textId="77777777" w:rsidTr="000E7A4D">
        <w:trPr>
          <w:trHeight w:val="290"/>
          <w:jc w:val="center"/>
        </w:trPr>
        <w:tc>
          <w:tcPr>
            <w:tcW w:w="3361" w:type="dxa"/>
            <w:tcBorders>
              <w:top w:val="nil"/>
              <w:left w:val="single" w:sz="4" w:space="0" w:color="auto"/>
              <w:bottom w:val="single" w:sz="4" w:space="0" w:color="auto"/>
              <w:right w:val="single" w:sz="4" w:space="0" w:color="auto"/>
            </w:tcBorders>
            <w:shd w:val="clear" w:color="auto" w:fill="auto"/>
            <w:noWrap/>
            <w:vAlign w:val="center"/>
            <w:hideMark/>
          </w:tcPr>
          <w:p w14:paraId="102CB2DD" w14:textId="77777777" w:rsidR="00E50AEF" w:rsidRPr="00E50AEF" w:rsidRDefault="00E50AEF" w:rsidP="00234CBE">
            <w:pPr>
              <w:spacing w:line="276" w:lineRule="auto"/>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Contravenciones</w:t>
            </w:r>
          </w:p>
        </w:tc>
        <w:tc>
          <w:tcPr>
            <w:tcW w:w="1200" w:type="dxa"/>
            <w:tcBorders>
              <w:top w:val="nil"/>
              <w:left w:val="nil"/>
              <w:bottom w:val="single" w:sz="4" w:space="0" w:color="auto"/>
              <w:right w:val="single" w:sz="4" w:space="0" w:color="auto"/>
            </w:tcBorders>
            <w:shd w:val="clear" w:color="auto" w:fill="auto"/>
            <w:noWrap/>
            <w:vAlign w:val="center"/>
            <w:hideMark/>
          </w:tcPr>
          <w:p w14:paraId="1DD690AB"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3813</w:t>
            </w:r>
          </w:p>
        </w:tc>
        <w:tc>
          <w:tcPr>
            <w:tcW w:w="1200" w:type="dxa"/>
            <w:tcBorders>
              <w:top w:val="nil"/>
              <w:left w:val="nil"/>
              <w:bottom w:val="single" w:sz="4" w:space="0" w:color="auto"/>
              <w:right w:val="single" w:sz="4" w:space="0" w:color="auto"/>
            </w:tcBorders>
            <w:shd w:val="clear" w:color="auto" w:fill="auto"/>
            <w:noWrap/>
            <w:vAlign w:val="center"/>
            <w:hideMark/>
          </w:tcPr>
          <w:p w14:paraId="4B78B56E"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3300</w:t>
            </w:r>
          </w:p>
        </w:tc>
        <w:tc>
          <w:tcPr>
            <w:tcW w:w="1200" w:type="dxa"/>
            <w:tcBorders>
              <w:top w:val="nil"/>
              <w:left w:val="nil"/>
              <w:bottom w:val="single" w:sz="4" w:space="0" w:color="auto"/>
              <w:right w:val="single" w:sz="4" w:space="0" w:color="auto"/>
            </w:tcBorders>
            <w:shd w:val="clear" w:color="auto" w:fill="auto"/>
            <w:noWrap/>
            <w:vAlign w:val="center"/>
            <w:hideMark/>
          </w:tcPr>
          <w:p w14:paraId="70D51779"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4272</w:t>
            </w:r>
          </w:p>
        </w:tc>
        <w:tc>
          <w:tcPr>
            <w:tcW w:w="1200" w:type="dxa"/>
            <w:tcBorders>
              <w:top w:val="nil"/>
              <w:left w:val="nil"/>
              <w:bottom w:val="single" w:sz="4" w:space="0" w:color="auto"/>
              <w:right w:val="single" w:sz="4" w:space="0" w:color="auto"/>
            </w:tcBorders>
            <w:shd w:val="clear" w:color="auto" w:fill="auto"/>
            <w:noWrap/>
            <w:vAlign w:val="center"/>
            <w:hideMark/>
          </w:tcPr>
          <w:p w14:paraId="39F266FB"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12,04%</w:t>
            </w:r>
          </w:p>
        </w:tc>
        <w:tc>
          <w:tcPr>
            <w:tcW w:w="1200" w:type="dxa"/>
            <w:tcBorders>
              <w:top w:val="nil"/>
              <w:left w:val="nil"/>
              <w:bottom w:val="single" w:sz="4" w:space="0" w:color="auto"/>
              <w:right w:val="single" w:sz="4" w:space="0" w:color="auto"/>
            </w:tcBorders>
            <w:shd w:val="clear" w:color="auto" w:fill="auto"/>
            <w:noWrap/>
            <w:vAlign w:val="center"/>
            <w:hideMark/>
          </w:tcPr>
          <w:p w14:paraId="236585EC"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29,46%</w:t>
            </w:r>
          </w:p>
        </w:tc>
      </w:tr>
      <w:tr w:rsidR="00E50AEF" w:rsidRPr="00E50AEF" w14:paraId="769142C5" w14:textId="77777777" w:rsidTr="000E7A4D">
        <w:trPr>
          <w:trHeight w:val="290"/>
          <w:jc w:val="center"/>
        </w:trPr>
        <w:tc>
          <w:tcPr>
            <w:tcW w:w="3361" w:type="dxa"/>
            <w:tcBorders>
              <w:top w:val="nil"/>
              <w:left w:val="single" w:sz="4" w:space="0" w:color="auto"/>
              <w:bottom w:val="single" w:sz="4" w:space="0" w:color="auto"/>
              <w:right w:val="single" w:sz="4" w:space="0" w:color="auto"/>
            </w:tcBorders>
            <w:shd w:val="clear" w:color="auto" w:fill="auto"/>
            <w:noWrap/>
            <w:vAlign w:val="center"/>
            <w:hideMark/>
          </w:tcPr>
          <w:p w14:paraId="1C866346" w14:textId="77777777" w:rsidR="00E50AEF" w:rsidRPr="00E50AEF" w:rsidRDefault="00E50AEF" w:rsidP="00234CBE">
            <w:pPr>
              <w:spacing w:line="276" w:lineRule="auto"/>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Laboral</w:t>
            </w:r>
          </w:p>
        </w:tc>
        <w:tc>
          <w:tcPr>
            <w:tcW w:w="1200" w:type="dxa"/>
            <w:tcBorders>
              <w:top w:val="nil"/>
              <w:left w:val="nil"/>
              <w:bottom w:val="single" w:sz="4" w:space="0" w:color="auto"/>
              <w:right w:val="single" w:sz="4" w:space="0" w:color="auto"/>
            </w:tcBorders>
            <w:shd w:val="clear" w:color="auto" w:fill="auto"/>
            <w:noWrap/>
            <w:vAlign w:val="center"/>
            <w:hideMark/>
          </w:tcPr>
          <w:p w14:paraId="6A9B4726"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3157</w:t>
            </w:r>
          </w:p>
        </w:tc>
        <w:tc>
          <w:tcPr>
            <w:tcW w:w="1200" w:type="dxa"/>
            <w:tcBorders>
              <w:top w:val="nil"/>
              <w:left w:val="nil"/>
              <w:bottom w:val="single" w:sz="4" w:space="0" w:color="auto"/>
              <w:right w:val="single" w:sz="4" w:space="0" w:color="auto"/>
            </w:tcBorders>
            <w:shd w:val="clear" w:color="auto" w:fill="auto"/>
            <w:noWrap/>
            <w:vAlign w:val="center"/>
            <w:hideMark/>
          </w:tcPr>
          <w:p w14:paraId="62056B06"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2881</w:t>
            </w:r>
          </w:p>
        </w:tc>
        <w:tc>
          <w:tcPr>
            <w:tcW w:w="1200" w:type="dxa"/>
            <w:tcBorders>
              <w:top w:val="nil"/>
              <w:left w:val="nil"/>
              <w:bottom w:val="single" w:sz="4" w:space="0" w:color="auto"/>
              <w:right w:val="single" w:sz="4" w:space="0" w:color="auto"/>
            </w:tcBorders>
            <w:shd w:val="clear" w:color="auto" w:fill="auto"/>
            <w:noWrap/>
            <w:vAlign w:val="center"/>
            <w:hideMark/>
          </w:tcPr>
          <w:p w14:paraId="04E7A671"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3284</w:t>
            </w:r>
          </w:p>
        </w:tc>
        <w:tc>
          <w:tcPr>
            <w:tcW w:w="1200" w:type="dxa"/>
            <w:tcBorders>
              <w:top w:val="nil"/>
              <w:left w:val="nil"/>
              <w:bottom w:val="single" w:sz="4" w:space="0" w:color="auto"/>
              <w:right w:val="single" w:sz="4" w:space="0" w:color="auto"/>
            </w:tcBorders>
            <w:shd w:val="clear" w:color="auto" w:fill="auto"/>
            <w:noWrap/>
            <w:vAlign w:val="center"/>
            <w:hideMark/>
          </w:tcPr>
          <w:p w14:paraId="45E8E7AF"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4,03%</w:t>
            </w:r>
          </w:p>
        </w:tc>
        <w:tc>
          <w:tcPr>
            <w:tcW w:w="1200" w:type="dxa"/>
            <w:tcBorders>
              <w:top w:val="nil"/>
              <w:left w:val="nil"/>
              <w:bottom w:val="single" w:sz="4" w:space="0" w:color="auto"/>
              <w:right w:val="single" w:sz="4" w:space="0" w:color="auto"/>
            </w:tcBorders>
            <w:shd w:val="clear" w:color="auto" w:fill="auto"/>
            <w:noWrap/>
            <w:vAlign w:val="center"/>
            <w:hideMark/>
          </w:tcPr>
          <w:p w14:paraId="130D0BFA" w14:textId="77777777" w:rsidR="00E50AEF" w:rsidRPr="00E50AEF" w:rsidRDefault="00E50AEF" w:rsidP="00234CBE">
            <w:pPr>
              <w:spacing w:line="276" w:lineRule="auto"/>
              <w:jc w:val="center"/>
              <w:rPr>
                <w:rFonts w:ascii="Book Antiqua" w:hAnsi="Book Antiqua" w:cs="Calibri"/>
                <w:color w:val="000000"/>
                <w:sz w:val="16"/>
                <w:szCs w:val="16"/>
                <w:lang w:eastAsia="es-CR"/>
              </w:rPr>
            </w:pPr>
            <w:r w:rsidRPr="00E50AEF">
              <w:rPr>
                <w:rFonts w:ascii="Book Antiqua" w:hAnsi="Book Antiqua" w:cs="Calibri"/>
                <w:color w:val="000000"/>
                <w:sz w:val="16"/>
                <w:szCs w:val="16"/>
                <w:lang w:eastAsia="es-CR"/>
              </w:rPr>
              <w:t>13,99%</w:t>
            </w:r>
          </w:p>
        </w:tc>
      </w:tr>
    </w:tbl>
    <w:p w14:paraId="6CA45150" w14:textId="77777777" w:rsidR="00E50AEF" w:rsidRDefault="00E50AEF" w:rsidP="00234CBE">
      <w:pPr>
        <w:shd w:val="clear" w:color="auto" w:fill="FFFFFF" w:themeFill="background1"/>
        <w:spacing w:line="276" w:lineRule="auto"/>
        <w:jc w:val="center"/>
        <w:rPr>
          <w:rFonts w:ascii="Book Antiqua" w:hAnsi="Book Antiqua" w:cs="Book Antiqua"/>
          <w:snapToGrid w:val="0"/>
          <w:color w:val="000000" w:themeColor="text1"/>
        </w:rPr>
      </w:pPr>
      <w:r w:rsidRPr="0059268A">
        <w:rPr>
          <w:rFonts w:ascii="Book Antiqua" w:hAnsi="Book Antiqua" w:cs="Calibri"/>
          <w:b/>
          <w:bCs/>
          <w:color w:val="000000"/>
          <w:sz w:val="20"/>
          <w:szCs w:val="20"/>
          <w:lang w:eastAsia="es-CR"/>
        </w:rPr>
        <w:t>Fuente:</w:t>
      </w:r>
      <w:r w:rsidRPr="00D44482">
        <w:rPr>
          <w:rFonts w:ascii="Book Antiqua" w:hAnsi="Book Antiqua" w:cs="Calibri"/>
          <w:color w:val="000000"/>
          <w:sz w:val="20"/>
          <w:szCs w:val="20"/>
          <w:lang w:eastAsia="es-CR"/>
        </w:rPr>
        <w:t xml:space="preserve"> </w:t>
      </w:r>
      <w:r>
        <w:rPr>
          <w:rFonts w:ascii="Book Antiqua" w:hAnsi="Book Antiqua" w:cs="Calibri"/>
          <w:color w:val="000000"/>
          <w:sz w:val="20"/>
          <w:szCs w:val="20"/>
          <w:lang w:eastAsia="es-CR"/>
        </w:rPr>
        <w:t>Elaboración propia a partir de las estadísticas del Subproceso de Estadística</w:t>
      </w:r>
    </w:p>
    <w:p w14:paraId="34CBA18D" w14:textId="4ED36926" w:rsidR="00E50AEF" w:rsidRDefault="00E50AEF" w:rsidP="00234CBE">
      <w:pPr>
        <w:shd w:val="clear" w:color="auto" w:fill="FFFFFF" w:themeFill="background1"/>
        <w:spacing w:after="160" w:line="276" w:lineRule="auto"/>
        <w:jc w:val="both"/>
        <w:rPr>
          <w:rFonts w:ascii="Book Antiqua" w:hAnsi="Book Antiqua"/>
          <w:highlight w:val="yellow"/>
          <w:lang w:val="es-ES_tradnl" w:eastAsia="en-US"/>
        </w:rPr>
      </w:pPr>
    </w:p>
    <w:p w14:paraId="1F75BA3D" w14:textId="659D4AB9" w:rsidR="00292A6D" w:rsidRPr="00AD5DBF" w:rsidRDefault="00292A6D" w:rsidP="00234CBE">
      <w:pPr>
        <w:shd w:val="clear" w:color="auto" w:fill="FFFFFF" w:themeFill="background1"/>
        <w:spacing w:after="160" w:line="276" w:lineRule="auto"/>
        <w:jc w:val="both"/>
        <w:rPr>
          <w:rFonts w:ascii="Book Antiqua" w:hAnsi="Book Antiqua"/>
          <w:lang w:val="es-ES_tradnl" w:eastAsia="en-US"/>
        </w:rPr>
      </w:pPr>
      <w:r w:rsidRPr="00AD5DBF">
        <w:rPr>
          <w:rFonts w:ascii="Book Antiqua" w:hAnsi="Book Antiqua"/>
          <w:lang w:val="es-ES_tradnl" w:eastAsia="en-US"/>
        </w:rPr>
        <w:t>Este aspecto es de resaltar, ya que se visualiza el esfuerzo de las personas trabajadoras del Poder Judicial, en atender su trabajo e ir poco a poco recuperando la normalidad. Tal y como lo dispuso la Corte Plena, ya que se visualiza conforme avanzaron los meses como se ha dado la recuperación de los casos terminados</w:t>
      </w:r>
      <w:r w:rsidR="00AD5DBF" w:rsidRPr="00AD5DBF">
        <w:rPr>
          <w:rFonts w:ascii="Book Antiqua" w:hAnsi="Book Antiqua"/>
          <w:lang w:val="es-ES_tradnl" w:eastAsia="en-US"/>
        </w:rPr>
        <w:t>, considerando la primera y segunda instancia comparando los años 2019, 2020 y 2021. Esto se visualiza con más claridad en el cuadro siguiente, ya que se ve la recuperación de los casos terminados en el 2021, logrando un aumento en los terminados del 7.33% en relación con ese año.</w:t>
      </w:r>
    </w:p>
    <w:p w14:paraId="5C357126" w14:textId="0942AF6D" w:rsidR="00AD5DBF" w:rsidRDefault="00AD5DBF" w:rsidP="00234CBE">
      <w:pPr>
        <w:shd w:val="clear" w:color="auto" w:fill="FFFFFF" w:themeFill="background1"/>
        <w:spacing w:after="160" w:line="276" w:lineRule="auto"/>
        <w:jc w:val="both"/>
        <w:rPr>
          <w:rFonts w:ascii="Book Antiqua" w:hAnsi="Book Antiqua"/>
          <w:highlight w:val="yellow"/>
          <w:lang w:val="es-ES_tradnl" w:eastAsia="en-US"/>
        </w:rPr>
      </w:pPr>
    </w:p>
    <w:tbl>
      <w:tblPr>
        <w:tblW w:w="9361" w:type="dxa"/>
        <w:jc w:val="center"/>
        <w:tblCellMar>
          <w:left w:w="70" w:type="dxa"/>
          <w:right w:w="70" w:type="dxa"/>
        </w:tblCellMar>
        <w:tblLook w:val="04A0" w:firstRow="1" w:lastRow="0" w:firstColumn="1" w:lastColumn="0" w:noHBand="0" w:noVBand="1"/>
      </w:tblPr>
      <w:tblGrid>
        <w:gridCol w:w="1873"/>
        <w:gridCol w:w="1872"/>
        <w:gridCol w:w="1872"/>
        <w:gridCol w:w="1872"/>
        <w:gridCol w:w="1872"/>
      </w:tblGrid>
      <w:tr w:rsidR="00AD5DBF" w:rsidRPr="00E50AEF" w14:paraId="185D9EEE" w14:textId="77777777" w:rsidTr="00AD5DBF">
        <w:trPr>
          <w:trHeight w:val="440"/>
          <w:jc w:val="center"/>
        </w:trPr>
        <w:tc>
          <w:tcPr>
            <w:tcW w:w="1200" w:type="dxa"/>
            <w:tcBorders>
              <w:top w:val="single" w:sz="4" w:space="0" w:color="auto"/>
              <w:left w:val="nil"/>
              <w:bottom w:val="single" w:sz="4" w:space="0" w:color="auto"/>
              <w:right w:val="single" w:sz="4" w:space="0" w:color="auto"/>
            </w:tcBorders>
            <w:shd w:val="clear" w:color="000000" w:fill="305496"/>
            <w:vAlign w:val="center"/>
            <w:hideMark/>
          </w:tcPr>
          <w:p w14:paraId="21B74652" w14:textId="77777777" w:rsidR="00AD5DBF" w:rsidRPr="00E50AEF" w:rsidRDefault="00AD5DBF" w:rsidP="0004421E">
            <w:pPr>
              <w:spacing w:line="276" w:lineRule="auto"/>
              <w:jc w:val="center"/>
              <w:rPr>
                <w:rFonts w:ascii="Book Antiqua" w:hAnsi="Book Antiqua" w:cs="Calibri"/>
                <w:b/>
                <w:bCs/>
                <w:color w:val="FFFFFF"/>
                <w:sz w:val="16"/>
                <w:szCs w:val="16"/>
                <w:lang w:eastAsia="es-CR"/>
              </w:rPr>
            </w:pPr>
            <w:r w:rsidRPr="00E50AEF">
              <w:rPr>
                <w:rFonts w:ascii="Book Antiqua" w:hAnsi="Book Antiqua" w:cs="Calibri"/>
                <w:b/>
                <w:bCs/>
                <w:color w:val="FFFFFF"/>
                <w:sz w:val="16"/>
                <w:szCs w:val="16"/>
                <w:lang w:eastAsia="es-CR"/>
              </w:rPr>
              <w:t>Promedio mensual 2019</w:t>
            </w:r>
          </w:p>
        </w:tc>
        <w:tc>
          <w:tcPr>
            <w:tcW w:w="1200" w:type="dxa"/>
            <w:tcBorders>
              <w:top w:val="single" w:sz="4" w:space="0" w:color="auto"/>
              <w:left w:val="nil"/>
              <w:bottom w:val="single" w:sz="4" w:space="0" w:color="auto"/>
              <w:right w:val="single" w:sz="4" w:space="0" w:color="auto"/>
            </w:tcBorders>
            <w:shd w:val="clear" w:color="000000" w:fill="305496"/>
            <w:vAlign w:val="center"/>
            <w:hideMark/>
          </w:tcPr>
          <w:p w14:paraId="0F116EDD" w14:textId="77777777" w:rsidR="00AD5DBF" w:rsidRPr="00E50AEF" w:rsidRDefault="00AD5DBF" w:rsidP="0004421E">
            <w:pPr>
              <w:spacing w:line="276" w:lineRule="auto"/>
              <w:jc w:val="center"/>
              <w:rPr>
                <w:rFonts w:ascii="Book Antiqua" w:hAnsi="Book Antiqua" w:cs="Calibri"/>
                <w:b/>
                <w:bCs/>
                <w:color w:val="FFFFFF"/>
                <w:sz w:val="16"/>
                <w:szCs w:val="16"/>
                <w:lang w:eastAsia="es-CR"/>
              </w:rPr>
            </w:pPr>
            <w:r w:rsidRPr="00E50AEF">
              <w:rPr>
                <w:rFonts w:ascii="Book Antiqua" w:hAnsi="Book Antiqua" w:cs="Calibri"/>
                <w:b/>
                <w:bCs/>
                <w:color w:val="FFFFFF"/>
                <w:sz w:val="16"/>
                <w:szCs w:val="16"/>
                <w:lang w:eastAsia="es-CR"/>
              </w:rPr>
              <w:t>Promedio mensual 2020</w:t>
            </w:r>
          </w:p>
        </w:tc>
        <w:tc>
          <w:tcPr>
            <w:tcW w:w="1200" w:type="dxa"/>
            <w:tcBorders>
              <w:top w:val="single" w:sz="4" w:space="0" w:color="auto"/>
              <w:left w:val="nil"/>
              <w:bottom w:val="single" w:sz="4" w:space="0" w:color="auto"/>
              <w:right w:val="single" w:sz="4" w:space="0" w:color="auto"/>
            </w:tcBorders>
            <w:shd w:val="clear" w:color="000000" w:fill="305496"/>
            <w:vAlign w:val="center"/>
            <w:hideMark/>
          </w:tcPr>
          <w:p w14:paraId="2AD6DB2B" w14:textId="77777777" w:rsidR="00AD5DBF" w:rsidRPr="00E50AEF" w:rsidRDefault="00AD5DBF" w:rsidP="0004421E">
            <w:pPr>
              <w:spacing w:line="276" w:lineRule="auto"/>
              <w:jc w:val="center"/>
              <w:rPr>
                <w:rFonts w:ascii="Book Antiqua" w:hAnsi="Book Antiqua" w:cs="Calibri"/>
                <w:b/>
                <w:bCs/>
                <w:color w:val="FFFFFF"/>
                <w:sz w:val="16"/>
                <w:szCs w:val="16"/>
                <w:lang w:eastAsia="es-CR"/>
              </w:rPr>
            </w:pPr>
            <w:r w:rsidRPr="00E50AEF">
              <w:rPr>
                <w:rFonts w:ascii="Book Antiqua" w:hAnsi="Book Antiqua" w:cs="Calibri"/>
                <w:b/>
                <w:bCs/>
                <w:color w:val="FFFFFF"/>
                <w:sz w:val="16"/>
                <w:szCs w:val="16"/>
                <w:lang w:eastAsia="es-CR"/>
              </w:rPr>
              <w:t>Promedio mensual 2021</w:t>
            </w:r>
          </w:p>
        </w:tc>
        <w:tc>
          <w:tcPr>
            <w:tcW w:w="1200" w:type="dxa"/>
            <w:tcBorders>
              <w:top w:val="single" w:sz="4" w:space="0" w:color="auto"/>
              <w:left w:val="nil"/>
              <w:bottom w:val="single" w:sz="4" w:space="0" w:color="auto"/>
              <w:right w:val="single" w:sz="4" w:space="0" w:color="auto"/>
            </w:tcBorders>
            <w:shd w:val="clear" w:color="000000" w:fill="305496"/>
            <w:vAlign w:val="center"/>
            <w:hideMark/>
          </w:tcPr>
          <w:p w14:paraId="0FA2D405" w14:textId="77777777" w:rsidR="00AD5DBF" w:rsidRPr="00E50AEF" w:rsidRDefault="00AD5DBF" w:rsidP="0004421E">
            <w:pPr>
              <w:spacing w:line="276" w:lineRule="auto"/>
              <w:jc w:val="center"/>
              <w:rPr>
                <w:rFonts w:ascii="Book Antiqua" w:hAnsi="Book Antiqua" w:cs="Calibri"/>
                <w:b/>
                <w:bCs/>
                <w:color w:val="FFFFFF"/>
                <w:sz w:val="16"/>
                <w:szCs w:val="16"/>
                <w:lang w:eastAsia="es-CR"/>
              </w:rPr>
            </w:pPr>
            <w:r w:rsidRPr="00E50AEF">
              <w:rPr>
                <w:rFonts w:ascii="Book Antiqua" w:hAnsi="Book Antiqua" w:cs="Calibri"/>
                <w:b/>
                <w:bCs/>
                <w:color w:val="FFFFFF"/>
                <w:sz w:val="16"/>
                <w:szCs w:val="16"/>
                <w:lang w:eastAsia="es-CR"/>
              </w:rPr>
              <w:t>Diferencia 2021vs 2019</w:t>
            </w:r>
          </w:p>
        </w:tc>
        <w:tc>
          <w:tcPr>
            <w:tcW w:w="1200" w:type="dxa"/>
            <w:tcBorders>
              <w:top w:val="single" w:sz="4" w:space="0" w:color="auto"/>
              <w:left w:val="nil"/>
              <w:bottom w:val="single" w:sz="4" w:space="0" w:color="auto"/>
              <w:right w:val="single" w:sz="4" w:space="0" w:color="auto"/>
            </w:tcBorders>
            <w:shd w:val="clear" w:color="000000" w:fill="305496"/>
            <w:vAlign w:val="center"/>
            <w:hideMark/>
          </w:tcPr>
          <w:p w14:paraId="74AC7DA8" w14:textId="77777777" w:rsidR="00AD5DBF" w:rsidRPr="00E50AEF" w:rsidRDefault="00AD5DBF" w:rsidP="0004421E">
            <w:pPr>
              <w:spacing w:line="276" w:lineRule="auto"/>
              <w:jc w:val="center"/>
              <w:rPr>
                <w:rFonts w:ascii="Book Antiqua" w:hAnsi="Book Antiqua" w:cs="Calibri"/>
                <w:b/>
                <w:bCs/>
                <w:color w:val="FFFFFF"/>
                <w:sz w:val="16"/>
                <w:szCs w:val="16"/>
                <w:lang w:eastAsia="es-CR"/>
              </w:rPr>
            </w:pPr>
            <w:r w:rsidRPr="00E50AEF">
              <w:rPr>
                <w:rFonts w:ascii="Book Antiqua" w:hAnsi="Book Antiqua" w:cs="Calibri"/>
                <w:b/>
                <w:bCs/>
                <w:color w:val="FFFFFF"/>
                <w:sz w:val="16"/>
                <w:szCs w:val="16"/>
                <w:lang w:eastAsia="es-CR"/>
              </w:rPr>
              <w:t>Diferencia 2021vs 2020</w:t>
            </w:r>
          </w:p>
        </w:tc>
      </w:tr>
      <w:tr w:rsidR="00AD5DBF" w:rsidRPr="00E50AEF" w14:paraId="0200C8EF" w14:textId="77777777" w:rsidTr="00AD5DBF">
        <w:trPr>
          <w:trHeight w:val="29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A6BE8A" w14:textId="77777777" w:rsidR="00AD5DBF" w:rsidRPr="00E50AEF" w:rsidRDefault="00AD5DBF" w:rsidP="0004421E">
            <w:pPr>
              <w:spacing w:line="276" w:lineRule="auto"/>
              <w:jc w:val="center"/>
              <w:rPr>
                <w:rFonts w:ascii="Book Antiqua" w:hAnsi="Book Antiqua" w:cs="Calibri"/>
                <w:b/>
                <w:bCs/>
                <w:color w:val="000000"/>
                <w:sz w:val="16"/>
                <w:szCs w:val="16"/>
                <w:lang w:eastAsia="es-CR"/>
              </w:rPr>
            </w:pPr>
            <w:r w:rsidRPr="00E50AEF">
              <w:rPr>
                <w:rFonts w:ascii="Book Antiqua" w:hAnsi="Book Antiqua" w:cs="Calibri"/>
                <w:b/>
                <w:bCs/>
                <w:color w:val="000000"/>
                <w:sz w:val="16"/>
                <w:szCs w:val="16"/>
                <w:lang w:eastAsia="es-CR"/>
              </w:rPr>
              <w:t>61632</w:t>
            </w:r>
          </w:p>
        </w:tc>
        <w:tc>
          <w:tcPr>
            <w:tcW w:w="1200" w:type="dxa"/>
            <w:tcBorders>
              <w:top w:val="nil"/>
              <w:left w:val="nil"/>
              <w:bottom w:val="single" w:sz="4" w:space="0" w:color="auto"/>
              <w:right w:val="single" w:sz="4" w:space="0" w:color="auto"/>
            </w:tcBorders>
            <w:shd w:val="clear" w:color="auto" w:fill="auto"/>
            <w:noWrap/>
            <w:vAlign w:val="center"/>
            <w:hideMark/>
          </w:tcPr>
          <w:p w14:paraId="49E8A92C" w14:textId="77777777" w:rsidR="00AD5DBF" w:rsidRPr="00E50AEF" w:rsidRDefault="00AD5DBF" w:rsidP="0004421E">
            <w:pPr>
              <w:spacing w:line="276" w:lineRule="auto"/>
              <w:jc w:val="center"/>
              <w:rPr>
                <w:rFonts w:ascii="Book Antiqua" w:hAnsi="Book Antiqua" w:cs="Calibri"/>
                <w:b/>
                <w:bCs/>
                <w:color w:val="000000"/>
                <w:sz w:val="16"/>
                <w:szCs w:val="16"/>
                <w:lang w:eastAsia="es-CR"/>
              </w:rPr>
            </w:pPr>
            <w:r w:rsidRPr="00E50AEF">
              <w:rPr>
                <w:rFonts w:ascii="Book Antiqua" w:hAnsi="Book Antiqua" w:cs="Calibri"/>
                <w:b/>
                <w:bCs/>
                <w:color w:val="000000"/>
                <w:sz w:val="16"/>
                <w:szCs w:val="16"/>
                <w:lang w:eastAsia="es-CR"/>
              </w:rPr>
              <w:t>52997</w:t>
            </w:r>
          </w:p>
        </w:tc>
        <w:tc>
          <w:tcPr>
            <w:tcW w:w="1200" w:type="dxa"/>
            <w:tcBorders>
              <w:top w:val="nil"/>
              <w:left w:val="nil"/>
              <w:bottom w:val="single" w:sz="4" w:space="0" w:color="auto"/>
              <w:right w:val="single" w:sz="4" w:space="0" w:color="auto"/>
            </w:tcBorders>
            <w:shd w:val="clear" w:color="auto" w:fill="auto"/>
            <w:noWrap/>
            <w:vAlign w:val="center"/>
            <w:hideMark/>
          </w:tcPr>
          <w:p w14:paraId="7DAECC2E" w14:textId="77777777" w:rsidR="00AD5DBF" w:rsidRPr="00E50AEF" w:rsidRDefault="00AD5DBF" w:rsidP="0004421E">
            <w:pPr>
              <w:spacing w:line="276" w:lineRule="auto"/>
              <w:jc w:val="center"/>
              <w:rPr>
                <w:rFonts w:ascii="Book Antiqua" w:hAnsi="Book Antiqua" w:cs="Calibri"/>
                <w:b/>
                <w:bCs/>
                <w:color w:val="000000"/>
                <w:sz w:val="16"/>
                <w:szCs w:val="16"/>
                <w:lang w:eastAsia="es-CR"/>
              </w:rPr>
            </w:pPr>
            <w:r w:rsidRPr="00E50AEF">
              <w:rPr>
                <w:rFonts w:ascii="Book Antiqua" w:hAnsi="Book Antiqua" w:cs="Calibri"/>
                <w:b/>
                <w:bCs/>
                <w:color w:val="000000"/>
                <w:sz w:val="16"/>
                <w:szCs w:val="16"/>
                <w:lang w:eastAsia="es-CR"/>
              </w:rPr>
              <w:t>56882</w:t>
            </w:r>
          </w:p>
        </w:tc>
        <w:tc>
          <w:tcPr>
            <w:tcW w:w="1200" w:type="dxa"/>
            <w:tcBorders>
              <w:top w:val="nil"/>
              <w:left w:val="nil"/>
              <w:bottom w:val="single" w:sz="4" w:space="0" w:color="auto"/>
              <w:right w:val="single" w:sz="4" w:space="0" w:color="auto"/>
            </w:tcBorders>
            <w:shd w:val="clear" w:color="auto" w:fill="auto"/>
            <w:noWrap/>
            <w:vAlign w:val="center"/>
            <w:hideMark/>
          </w:tcPr>
          <w:p w14:paraId="35DC00B0" w14:textId="77777777" w:rsidR="00AD5DBF" w:rsidRPr="00E50AEF" w:rsidRDefault="00AD5DBF" w:rsidP="0004421E">
            <w:pPr>
              <w:spacing w:line="276" w:lineRule="auto"/>
              <w:jc w:val="center"/>
              <w:rPr>
                <w:rFonts w:ascii="Book Antiqua" w:hAnsi="Book Antiqua" w:cs="Calibri"/>
                <w:b/>
                <w:bCs/>
                <w:color w:val="000000"/>
                <w:sz w:val="16"/>
                <w:szCs w:val="16"/>
                <w:lang w:eastAsia="es-CR"/>
              </w:rPr>
            </w:pPr>
            <w:r w:rsidRPr="00E50AEF">
              <w:rPr>
                <w:rFonts w:ascii="Book Antiqua" w:hAnsi="Book Antiqua" w:cs="Calibri"/>
                <w:b/>
                <w:bCs/>
                <w:color w:val="000000"/>
                <w:sz w:val="16"/>
                <w:szCs w:val="16"/>
                <w:lang w:eastAsia="es-CR"/>
              </w:rPr>
              <w:t>-7,71%</w:t>
            </w:r>
          </w:p>
        </w:tc>
        <w:tc>
          <w:tcPr>
            <w:tcW w:w="1200" w:type="dxa"/>
            <w:tcBorders>
              <w:top w:val="nil"/>
              <w:left w:val="nil"/>
              <w:bottom w:val="single" w:sz="4" w:space="0" w:color="auto"/>
              <w:right w:val="single" w:sz="4" w:space="0" w:color="auto"/>
            </w:tcBorders>
            <w:shd w:val="clear" w:color="auto" w:fill="auto"/>
            <w:noWrap/>
            <w:vAlign w:val="center"/>
            <w:hideMark/>
          </w:tcPr>
          <w:p w14:paraId="54134311" w14:textId="77777777" w:rsidR="00AD5DBF" w:rsidRPr="00E50AEF" w:rsidRDefault="00AD5DBF" w:rsidP="0004421E">
            <w:pPr>
              <w:spacing w:line="276" w:lineRule="auto"/>
              <w:jc w:val="center"/>
              <w:rPr>
                <w:rFonts w:ascii="Book Antiqua" w:hAnsi="Book Antiqua" w:cs="Calibri"/>
                <w:b/>
                <w:bCs/>
                <w:color w:val="000000"/>
                <w:sz w:val="16"/>
                <w:szCs w:val="16"/>
                <w:lang w:eastAsia="es-CR"/>
              </w:rPr>
            </w:pPr>
            <w:r w:rsidRPr="00E50AEF">
              <w:rPr>
                <w:rFonts w:ascii="Book Antiqua" w:hAnsi="Book Antiqua" w:cs="Calibri"/>
                <w:b/>
                <w:bCs/>
                <w:color w:val="000000"/>
                <w:sz w:val="16"/>
                <w:szCs w:val="16"/>
                <w:lang w:eastAsia="es-CR"/>
              </w:rPr>
              <w:t>7,33%</w:t>
            </w:r>
          </w:p>
        </w:tc>
      </w:tr>
    </w:tbl>
    <w:p w14:paraId="5E509C4C" w14:textId="5588F62F" w:rsidR="00AD5DBF" w:rsidRDefault="00AD5DBF" w:rsidP="00234CBE">
      <w:pPr>
        <w:shd w:val="clear" w:color="auto" w:fill="FFFFFF" w:themeFill="background1"/>
        <w:spacing w:after="160" w:line="276" w:lineRule="auto"/>
        <w:jc w:val="both"/>
        <w:rPr>
          <w:rFonts w:ascii="Book Antiqua" w:hAnsi="Book Antiqua"/>
          <w:highlight w:val="yellow"/>
          <w:lang w:val="es-ES_tradnl" w:eastAsia="en-US"/>
        </w:rPr>
      </w:pPr>
    </w:p>
    <w:p w14:paraId="76B1E551" w14:textId="58C51D97" w:rsidR="00AD5DBF" w:rsidRDefault="00F17F06" w:rsidP="00234CBE">
      <w:pPr>
        <w:shd w:val="clear" w:color="auto" w:fill="FFFFFF" w:themeFill="background1"/>
        <w:spacing w:after="160" w:line="276" w:lineRule="auto"/>
        <w:jc w:val="both"/>
        <w:rPr>
          <w:rFonts w:ascii="Book Antiqua" w:hAnsi="Book Antiqua"/>
          <w:lang w:val="es-ES_tradnl" w:eastAsia="en-US"/>
        </w:rPr>
      </w:pPr>
      <w:r w:rsidRPr="003118D4">
        <w:rPr>
          <w:rFonts w:ascii="Book Antiqua" w:hAnsi="Book Antiqua"/>
          <w:lang w:val="es-ES_tradnl" w:eastAsia="en-US"/>
        </w:rPr>
        <w:t xml:space="preserve">A nivel de Tribunales Penales debe considerarse que en el 2019 estas oficinas contaron con planes de trabajo que provocaron que de manera mensual se finalizaran 353 asuntos y que a partir de abril de 2020 dejaron de ser prorrogados, por lo cual considerando esa cantidad se tendría que actualmente se tiene una tasa más alta de producción mensual. </w:t>
      </w:r>
    </w:p>
    <w:p w14:paraId="1D0CFDED" w14:textId="77777777" w:rsidR="005B2E28" w:rsidRPr="003118D4" w:rsidRDefault="005B2E28" w:rsidP="00234CBE">
      <w:pPr>
        <w:shd w:val="clear" w:color="auto" w:fill="FFFFFF" w:themeFill="background1"/>
        <w:spacing w:after="160" w:line="276" w:lineRule="auto"/>
        <w:jc w:val="both"/>
        <w:rPr>
          <w:rFonts w:ascii="Book Antiqua" w:hAnsi="Book Antiqua"/>
          <w:lang w:val="es-ES_tradnl" w:eastAsia="en-US"/>
        </w:rPr>
      </w:pPr>
    </w:p>
    <w:p w14:paraId="4A15B0D3" w14:textId="2D5FDE23" w:rsidR="0096478D" w:rsidRDefault="13CF4742" w:rsidP="00234CBE">
      <w:pPr>
        <w:pStyle w:val="Ttulo2"/>
        <w:spacing w:line="276" w:lineRule="auto"/>
        <w:rPr>
          <w:rFonts w:ascii="Book Antiqua" w:hAnsi="Book Antiqua"/>
        </w:rPr>
      </w:pPr>
      <w:r w:rsidRPr="57A79FF7">
        <w:rPr>
          <w:rFonts w:ascii="Book Antiqua" w:hAnsi="Book Antiqua"/>
        </w:rPr>
        <w:t>1.</w:t>
      </w:r>
      <w:r w:rsidR="000549BF">
        <w:rPr>
          <w:rFonts w:ascii="Book Antiqua" w:hAnsi="Book Antiqua"/>
        </w:rPr>
        <w:t>3</w:t>
      </w:r>
      <w:r w:rsidR="0096478D" w:rsidRPr="004F0E92">
        <w:rPr>
          <w:rFonts w:ascii="Book Antiqua" w:hAnsi="Book Antiqua"/>
        </w:rPr>
        <w:t>. Circulante final</w:t>
      </w:r>
    </w:p>
    <w:p w14:paraId="143F0590" w14:textId="77777777" w:rsidR="000549BF" w:rsidRPr="004F0E92" w:rsidRDefault="000549BF" w:rsidP="00234CBE">
      <w:pPr>
        <w:spacing w:line="276" w:lineRule="auto"/>
        <w:rPr>
          <w:rFonts w:ascii="Book Antiqua" w:hAnsi="Book Antiqua"/>
          <w:b/>
          <w:bCs/>
          <w:lang w:val="es-ES_tradnl" w:eastAsia="en-US"/>
        </w:rPr>
      </w:pPr>
    </w:p>
    <w:p w14:paraId="3D2D711C" w14:textId="3E7B4E17" w:rsidR="0096478D" w:rsidRPr="004F0E92" w:rsidRDefault="0096478D" w:rsidP="00234CBE">
      <w:pPr>
        <w:shd w:val="clear" w:color="auto" w:fill="FFFFFF" w:themeFill="background1"/>
        <w:spacing w:after="160" w:line="276" w:lineRule="auto"/>
        <w:jc w:val="both"/>
        <w:rPr>
          <w:rFonts w:ascii="Book Antiqua" w:hAnsi="Book Antiqua"/>
          <w:lang w:val="es-ES_tradnl" w:eastAsia="en-US"/>
        </w:rPr>
      </w:pPr>
      <w:bookmarkStart w:id="3" w:name="_Hlk65540306"/>
      <w:r w:rsidRPr="008541E4">
        <w:rPr>
          <w:rFonts w:ascii="Book Antiqua" w:hAnsi="Book Antiqua"/>
          <w:lang w:val="es-ES_tradnl" w:eastAsia="en-US"/>
        </w:rPr>
        <w:t>El circulante final</w:t>
      </w:r>
      <w:r w:rsidR="00EB2802" w:rsidRPr="008541E4">
        <w:rPr>
          <w:rFonts w:ascii="Book Antiqua" w:hAnsi="Book Antiqua"/>
          <w:lang w:val="es-ES_tradnl" w:eastAsia="en-US"/>
        </w:rPr>
        <w:t xml:space="preserve">, exceptuando la materia de Cobros, </w:t>
      </w:r>
      <w:r w:rsidRPr="008541E4">
        <w:rPr>
          <w:rFonts w:ascii="Book Antiqua" w:hAnsi="Book Antiqua"/>
          <w:lang w:val="es-ES_tradnl" w:eastAsia="en-US"/>
        </w:rPr>
        <w:t xml:space="preserve">entre enero y </w:t>
      </w:r>
      <w:r w:rsidR="000E7A4D">
        <w:rPr>
          <w:rFonts w:ascii="Book Antiqua" w:hAnsi="Book Antiqua"/>
          <w:lang w:val="es-ES_tradnl" w:eastAsia="en-US"/>
        </w:rPr>
        <w:t>setiembre</w:t>
      </w:r>
      <w:r w:rsidRPr="008541E4">
        <w:rPr>
          <w:rFonts w:ascii="Book Antiqua" w:hAnsi="Book Antiqua"/>
          <w:lang w:val="es-ES_tradnl" w:eastAsia="en-US"/>
        </w:rPr>
        <w:t xml:space="preserve"> del 202</w:t>
      </w:r>
      <w:r w:rsidR="001971CC" w:rsidRPr="008541E4">
        <w:rPr>
          <w:rFonts w:ascii="Book Antiqua" w:hAnsi="Book Antiqua"/>
          <w:lang w:val="es-ES_tradnl" w:eastAsia="en-US"/>
        </w:rPr>
        <w:t>1</w:t>
      </w:r>
      <w:r w:rsidR="00217648" w:rsidRPr="008541E4">
        <w:rPr>
          <w:rFonts w:ascii="Book Antiqua" w:hAnsi="Book Antiqua"/>
          <w:lang w:val="es-ES_tradnl" w:eastAsia="en-US"/>
        </w:rPr>
        <w:t>,</w:t>
      </w:r>
      <w:r w:rsidRPr="008541E4">
        <w:rPr>
          <w:rFonts w:ascii="Book Antiqua" w:hAnsi="Book Antiqua"/>
          <w:lang w:val="es-ES_tradnl" w:eastAsia="en-US"/>
        </w:rPr>
        <w:t xml:space="preserve"> </w:t>
      </w:r>
      <w:r w:rsidR="00EB2802" w:rsidRPr="008541E4">
        <w:rPr>
          <w:rFonts w:ascii="Book Antiqua" w:hAnsi="Book Antiqua"/>
          <w:lang w:val="es-ES_tradnl" w:eastAsia="en-US"/>
        </w:rPr>
        <w:t>disminuyó</w:t>
      </w:r>
      <w:r w:rsidRPr="008541E4">
        <w:rPr>
          <w:rFonts w:ascii="Book Antiqua" w:hAnsi="Book Antiqua"/>
          <w:lang w:val="es-ES_tradnl" w:eastAsia="en-US"/>
        </w:rPr>
        <w:t xml:space="preserve"> en un </w:t>
      </w:r>
      <w:r w:rsidR="000E7A4D">
        <w:rPr>
          <w:rFonts w:ascii="Book Antiqua" w:hAnsi="Book Antiqua"/>
          <w:lang w:val="es-ES_tradnl" w:eastAsia="en-US"/>
        </w:rPr>
        <w:t>0</w:t>
      </w:r>
      <w:r w:rsidR="008541E4">
        <w:rPr>
          <w:rFonts w:ascii="Book Antiqua" w:hAnsi="Book Antiqua"/>
          <w:lang w:val="es-ES_tradnl" w:eastAsia="en-US"/>
        </w:rPr>
        <w:t>.</w:t>
      </w:r>
      <w:r w:rsidR="000E7A4D">
        <w:rPr>
          <w:rFonts w:ascii="Book Antiqua" w:hAnsi="Book Antiqua"/>
          <w:lang w:val="es-ES_tradnl" w:eastAsia="en-US"/>
        </w:rPr>
        <w:t>85</w:t>
      </w:r>
      <w:r w:rsidR="00534483" w:rsidRPr="008541E4">
        <w:rPr>
          <w:rFonts w:ascii="Book Antiqua" w:hAnsi="Book Antiqua"/>
          <w:lang w:val="es-ES_tradnl" w:eastAsia="en-US"/>
        </w:rPr>
        <w:t>%</w:t>
      </w:r>
      <w:r w:rsidRPr="008541E4">
        <w:rPr>
          <w:rFonts w:ascii="Book Antiqua" w:hAnsi="Book Antiqua"/>
          <w:lang w:val="es-ES_tradnl" w:eastAsia="en-US"/>
        </w:rPr>
        <w:t xml:space="preserve">. </w:t>
      </w:r>
      <w:bookmarkEnd w:id="3"/>
      <w:r w:rsidR="001971CC" w:rsidRPr="008541E4">
        <w:rPr>
          <w:rFonts w:ascii="Book Antiqua" w:hAnsi="Book Antiqua"/>
          <w:lang w:val="es-ES_tradnl" w:eastAsia="en-US"/>
        </w:rPr>
        <w:t xml:space="preserve">Dado el resultado, implica que, se tendrá que </w:t>
      </w:r>
      <w:r w:rsidR="00AD5DBF">
        <w:rPr>
          <w:rFonts w:ascii="Book Antiqua" w:hAnsi="Book Antiqua"/>
          <w:lang w:val="es-ES_tradnl" w:eastAsia="en-US"/>
        </w:rPr>
        <w:t xml:space="preserve">seguir </w:t>
      </w:r>
      <w:r w:rsidRPr="008541E4">
        <w:rPr>
          <w:rFonts w:ascii="Book Antiqua" w:hAnsi="Book Antiqua"/>
          <w:lang w:val="es-ES_tradnl" w:eastAsia="en-US"/>
        </w:rPr>
        <w:t>realiza</w:t>
      </w:r>
      <w:r w:rsidR="00AD5DBF">
        <w:rPr>
          <w:rFonts w:ascii="Book Antiqua" w:hAnsi="Book Antiqua"/>
          <w:lang w:val="es-ES_tradnl" w:eastAsia="en-US"/>
        </w:rPr>
        <w:t>ndo</w:t>
      </w:r>
      <w:r w:rsidRPr="008541E4">
        <w:rPr>
          <w:rFonts w:ascii="Book Antiqua" w:hAnsi="Book Antiqua"/>
          <w:lang w:val="es-ES_tradnl" w:eastAsia="en-US"/>
        </w:rPr>
        <w:t xml:space="preserve"> esfuerzos importantes </w:t>
      </w:r>
      <w:r w:rsidR="001971CC" w:rsidRPr="008541E4">
        <w:rPr>
          <w:rFonts w:ascii="Book Antiqua" w:hAnsi="Book Antiqua"/>
          <w:lang w:val="es-ES_tradnl" w:eastAsia="en-US"/>
        </w:rPr>
        <w:t xml:space="preserve">por parte de </w:t>
      </w:r>
      <w:r w:rsidRPr="008541E4">
        <w:rPr>
          <w:rFonts w:ascii="Book Antiqua" w:hAnsi="Book Antiqua"/>
          <w:lang w:val="es-ES_tradnl" w:eastAsia="en-US"/>
        </w:rPr>
        <w:t xml:space="preserve">las oficinas judiciales, para </w:t>
      </w:r>
      <w:r w:rsidR="00AD5DBF">
        <w:rPr>
          <w:rFonts w:ascii="Book Antiqua" w:hAnsi="Book Antiqua"/>
          <w:lang w:val="es-ES_tradnl" w:eastAsia="en-US"/>
        </w:rPr>
        <w:t xml:space="preserve">seguir </w:t>
      </w:r>
      <w:r w:rsidRPr="008541E4">
        <w:rPr>
          <w:rFonts w:ascii="Book Antiqua" w:hAnsi="Book Antiqua"/>
          <w:lang w:val="es-ES_tradnl" w:eastAsia="en-US"/>
        </w:rPr>
        <w:t>repon</w:t>
      </w:r>
      <w:r w:rsidR="00AD5DBF">
        <w:rPr>
          <w:rFonts w:ascii="Book Antiqua" w:hAnsi="Book Antiqua"/>
          <w:lang w:val="es-ES_tradnl" w:eastAsia="en-US"/>
        </w:rPr>
        <w:t>iendo</w:t>
      </w:r>
      <w:r w:rsidRPr="008541E4">
        <w:rPr>
          <w:rFonts w:ascii="Book Antiqua" w:hAnsi="Book Antiqua"/>
          <w:lang w:val="es-ES_tradnl" w:eastAsia="en-US"/>
        </w:rPr>
        <w:t xml:space="preserve"> las audiencias que no se han podido realizar y continuar con los procesos hasta finalizarlos y así disminuir </w:t>
      </w:r>
      <w:r w:rsidR="0048232A" w:rsidRPr="008541E4">
        <w:rPr>
          <w:rFonts w:ascii="Book Antiqua" w:hAnsi="Book Antiqua"/>
          <w:lang w:val="es-ES_tradnl" w:eastAsia="en-US"/>
        </w:rPr>
        <w:t>en mayor tasa el circulante.</w:t>
      </w:r>
      <w:r w:rsidRPr="004F0E92">
        <w:rPr>
          <w:rFonts w:ascii="Book Antiqua" w:hAnsi="Book Antiqua"/>
          <w:lang w:val="es-ES_tradnl" w:eastAsia="en-US"/>
        </w:rPr>
        <w:t xml:space="preserve"> </w:t>
      </w:r>
      <w:r w:rsidR="00AD5DBF">
        <w:rPr>
          <w:rFonts w:ascii="Book Antiqua" w:hAnsi="Book Antiqua"/>
          <w:lang w:val="es-ES_tradnl" w:eastAsia="en-US"/>
        </w:rPr>
        <w:t xml:space="preserve">Hay que resaltar que se sigue realizando un esfuerzo por adaptarse a la dinámica de trabajo virtual y a los cierres constantes de las oficinas judiciales para proceder a aplicar los protocolos de limpieza en las oficinas en las que se detecten personas con casos positivos del </w:t>
      </w:r>
      <w:r w:rsidR="005130AA">
        <w:rPr>
          <w:rFonts w:ascii="Book Antiqua" w:hAnsi="Book Antiqua"/>
          <w:lang w:val="es-ES_tradnl" w:eastAsia="en-US"/>
        </w:rPr>
        <w:t xml:space="preserve">virus </w:t>
      </w:r>
      <w:r w:rsidR="00AD5DBF">
        <w:rPr>
          <w:rFonts w:ascii="Book Antiqua" w:hAnsi="Book Antiqua"/>
          <w:lang w:val="es-ES_tradnl" w:eastAsia="en-US"/>
        </w:rPr>
        <w:t>COVID-19.</w:t>
      </w:r>
    </w:p>
    <w:p w14:paraId="307E8400" w14:textId="77777777" w:rsidR="002B30A5" w:rsidRDefault="002B30A5" w:rsidP="00234CBE">
      <w:pPr>
        <w:shd w:val="clear" w:color="auto" w:fill="FFFFFF" w:themeFill="background1"/>
        <w:spacing w:after="160" w:line="276" w:lineRule="auto"/>
        <w:rPr>
          <w:rFonts w:ascii="Book Antiqua" w:hAnsi="Book Antiqua"/>
          <w:b/>
          <w:bCs/>
          <w:lang w:val="es-ES_tradnl" w:eastAsia="en-US"/>
        </w:rPr>
      </w:pPr>
    </w:p>
    <w:p w14:paraId="25AFA28E" w14:textId="77777777" w:rsidR="006F775A" w:rsidRDefault="0096478D" w:rsidP="00234CBE">
      <w:pPr>
        <w:shd w:val="clear" w:color="auto" w:fill="FFFFFF" w:themeFill="background1"/>
        <w:spacing w:after="160" w:line="276" w:lineRule="auto"/>
        <w:jc w:val="center"/>
        <w:rPr>
          <w:rFonts w:ascii="Book Antiqua" w:hAnsi="Book Antiqua"/>
          <w:b/>
          <w:bCs/>
          <w:lang w:val="es-ES_tradnl" w:eastAsia="en-US"/>
        </w:rPr>
      </w:pPr>
      <w:r w:rsidRPr="004F0E92">
        <w:rPr>
          <w:rFonts w:ascii="Book Antiqua" w:hAnsi="Book Antiqua"/>
          <w:b/>
          <w:bCs/>
          <w:lang w:val="es-ES_tradnl" w:eastAsia="en-US"/>
        </w:rPr>
        <w:t xml:space="preserve">Cuadro </w:t>
      </w:r>
      <w:r w:rsidR="00985591">
        <w:rPr>
          <w:rFonts w:ascii="Book Antiqua" w:hAnsi="Book Antiqua"/>
          <w:b/>
          <w:bCs/>
          <w:lang w:val="es-ES_tradnl" w:eastAsia="en-US"/>
        </w:rPr>
        <w:t>0</w:t>
      </w:r>
      <w:r w:rsidR="008D5978">
        <w:rPr>
          <w:rFonts w:ascii="Book Antiqua" w:hAnsi="Book Antiqua"/>
          <w:b/>
          <w:bCs/>
          <w:lang w:val="es-ES_tradnl" w:eastAsia="en-US"/>
        </w:rPr>
        <w:t>5</w:t>
      </w:r>
    </w:p>
    <w:p w14:paraId="05C4337D" w14:textId="6245AAA0" w:rsidR="00887470" w:rsidRDefault="0096478D" w:rsidP="00234CBE">
      <w:pPr>
        <w:shd w:val="clear" w:color="auto" w:fill="FFFFFF" w:themeFill="background1"/>
        <w:spacing w:after="160" w:line="276" w:lineRule="auto"/>
        <w:jc w:val="center"/>
        <w:rPr>
          <w:rFonts w:ascii="Book Antiqua" w:hAnsi="Book Antiqua"/>
          <w:b/>
          <w:bCs/>
          <w:lang w:val="es-ES_tradnl" w:eastAsia="en-US"/>
        </w:rPr>
      </w:pPr>
      <w:r w:rsidRPr="004F0E92">
        <w:rPr>
          <w:rFonts w:ascii="Book Antiqua" w:hAnsi="Book Antiqua"/>
          <w:b/>
          <w:bCs/>
          <w:lang w:val="es-ES_tradnl" w:eastAsia="en-US"/>
        </w:rPr>
        <w:t>Cantidad de asuntos activos por cada mes</w:t>
      </w:r>
      <w:r w:rsidR="009D0809" w:rsidRPr="004F0E92">
        <w:rPr>
          <w:rFonts w:ascii="Book Antiqua" w:hAnsi="Book Antiqua"/>
          <w:b/>
          <w:bCs/>
          <w:lang w:val="es-ES_tradnl" w:eastAsia="en-US"/>
        </w:rPr>
        <w:t xml:space="preserve"> del año 20</w:t>
      </w:r>
      <w:r w:rsidR="001971CC">
        <w:rPr>
          <w:rFonts w:ascii="Book Antiqua" w:hAnsi="Book Antiqua"/>
          <w:b/>
          <w:bCs/>
          <w:lang w:val="es-ES_tradnl" w:eastAsia="en-US"/>
        </w:rPr>
        <w:t>21</w:t>
      </w:r>
      <w:r w:rsidR="009D0809" w:rsidRPr="004F0E92">
        <w:rPr>
          <w:rFonts w:ascii="Book Antiqua" w:hAnsi="Book Antiqua"/>
          <w:b/>
          <w:bCs/>
          <w:lang w:val="es-ES_tradnl" w:eastAsia="en-US"/>
        </w:rPr>
        <w:t xml:space="preserve"> </w:t>
      </w:r>
      <w:r w:rsidR="00766593">
        <w:rPr>
          <w:rFonts w:ascii="Book Antiqua" w:hAnsi="Book Antiqua"/>
          <w:b/>
          <w:bCs/>
          <w:lang w:val="es-ES_tradnl" w:eastAsia="en-US"/>
        </w:rPr>
        <w:t xml:space="preserve">y </w:t>
      </w:r>
      <w:r w:rsidR="009D0809" w:rsidRPr="004F0E92">
        <w:rPr>
          <w:rFonts w:ascii="Book Antiqua" w:hAnsi="Book Antiqua"/>
          <w:b/>
          <w:bCs/>
          <w:lang w:val="es-ES_tradnl" w:eastAsia="en-US"/>
        </w:rPr>
        <w:t>por materia exceptuando Cobro</w:t>
      </w:r>
    </w:p>
    <w:tbl>
      <w:tblPr>
        <w:tblW w:w="10910" w:type="dxa"/>
        <w:jc w:val="center"/>
        <w:tblCellMar>
          <w:left w:w="70" w:type="dxa"/>
          <w:right w:w="70" w:type="dxa"/>
        </w:tblCellMar>
        <w:tblLook w:val="04A0" w:firstRow="1" w:lastRow="0" w:firstColumn="1" w:lastColumn="0" w:noHBand="0" w:noVBand="1"/>
      </w:tblPr>
      <w:tblGrid>
        <w:gridCol w:w="2763"/>
        <w:gridCol w:w="723"/>
        <w:gridCol w:w="757"/>
        <w:gridCol w:w="722"/>
        <w:gridCol w:w="722"/>
        <w:gridCol w:w="722"/>
        <w:gridCol w:w="722"/>
        <w:gridCol w:w="722"/>
        <w:gridCol w:w="722"/>
        <w:gridCol w:w="968"/>
        <w:gridCol w:w="1367"/>
      </w:tblGrid>
      <w:tr w:rsidR="00766593" w:rsidRPr="00766593" w14:paraId="3E32778F" w14:textId="77777777" w:rsidTr="00766593">
        <w:trPr>
          <w:trHeight w:val="293"/>
          <w:jc w:val="center"/>
        </w:trPr>
        <w:tc>
          <w:tcPr>
            <w:tcW w:w="2763" w:type="dxa"/>
            <w:vMerge w:val="restart"/>
            <w:tcBorders>
              <w:top w:val="single" w:sz="4" w:space="0" w:color="auto"/>
              <w:left w:val="single" w:sz="4" w:space="0" w:color="auto"/>
              <w:bottom w:val="single" w:sz="4" w:space="0" w:color="auto"/>
              <w:right w:val="single" w:sz="4" w:space="0" w:color="auto"/>
            </w:tcBorders>
            <w:shd w:val="clear" w:color="000000" w:fill="305496"/>
            <w:noWrap/>
            <w:vAlign w:val="center"/>
            <w:hideMark/>
          </w:tcPr>
          <w:p w14:paraId="2B65EC5A" w14:textId="77777777" w:rsidR="00766593" w:rsidRPr="00766593" w:rsidRDefault="00766593" w:rsidP="00234CBE">
            <w:pPr>
              <w:spacing w:line="276" w:lineRule="auto"/>
              <w:jc w:val="center"/>
              <w:rPr>
                <w:rFonts w:ascii="Book Antiqua" w:hAnsi="Book Antiqua" w:cs="Calibri"/>
                <w:b/>
                <w:bCs/>
                <w:color w:val="FFFFFF"/>
                <w:sz w:val="16"/>
                <w:szCs w:val="16"/>
                <w:lang w:eastAsia="es-CR"/>
              </w:rPr>
            </w:pPr>
            <w:r w:rsidRPr="00766593">
              <w:rPr>
                <w:rFonts w:ascii="Book Antiqua" w:hAnsi="Book Antiqua" w:cs="Calibri"/>
                <w:b/>
                <w:bCs/>
                <w:color w:val="FFFFFF"/>
                <w:sz w:val="16"/>
                <w:szCs w:val="16"/>
                <w:lang w:eastAsia="es-CR"/>
              </w:rPr>
              <w:t>MATERIA</w:t>
            </w:r>
          </w:p>
        </w:tc>
        <w:tc>
          <w:tcPr>
            <w:tcW w:w="8147" w:type="dxa"/>
            <w:gridSpan w:val="10"/>
            <w:vMerge w:val="restart"/>
            <w:tcBorders>
              <w:top w:val="single" w:sz="4" w:space="0" w:color="auto"/>
              <w:left w:val="single" w:sz="4" w:space="0" w:color="auto"/>
              <w:bottom w:val="single" w:sz="4" w:space="0" w:color="auto"/>
              <w:right w:val="single" w:sz="4" w:space="0" w:color="auto"/>
            </w:tcBorders>
            <w:shd w:val="clear" w:color="000000" w:fill="305496"/>
            <w:noWrap/>
            <w:vAlign w:val="center"/>
            <w:hideMark/>
          </w:tcPr>
          <w:p w14:paraId="0028F458" w14:textId="77777777" w:rsidR="00766593" w:rsidRPr="00766593" w:rsidRDefault="00766593" w:rsidP="00234CBE">
            <w:pPr>
              <w:spacing w:line="276" w:lineRule="auto"/>
              <w:jc w:val="center"/>
              <w:rPr>
                <w:rFonts w:ascii="Book Antiqua" w:hAnsi="Book Antiqua" w:cs="Calibri"/>
                <w:b/>
                <w:bCs/>
                <w:color w:val="FFFFFF"/>
                <w:sz w:val="16"/>
                <w:szCs w:val="16"/>
                <w:lang w:eastAsia="es-CR"/>
              </w:rPr>
            </w:pPr>
            <w:r w:rsidRPr="00766593">
              <w:rPr>
                <w:rFonts w:ascii="Book Antiqua" w:hAnsi="Book Antiqua" w:cs="Calibri"/>
                <w:b/>
                <w:bCs/>
                <w:color w:val="FFFFFF"/>
                <w:sz w:val="16"/>
                <w:szCs w:val="16"/>
                <w:lang w:eastAsia="es-CR"/>
              </w:rPr>
              <w:t xml:space="preserve">ACTIVOS AL FINALIZAR PERIODO </w:t>
            </w:r>
          </w:p>
        </w:tc>
      </w:tr>
      <w:tr w:rsidR="00766593" w:rsidRPr="00766593" w14:paraId="4AF0D18C" w14:textId="77777777" w:rsidTr="00766593">
        <w:trPr>
          <w:trHeight w:val="293"/>
          <w:jc w:val="center"/>
        </w:trPr>
        <w:tc>
          <w:tcPr>
            <w:tcW w:w="2763" w:type="dxa"/>
            <w:vMerge/>
            <w:tcBorders>
              <w:top w:val="single" w:sz="4" w:space="0" w:color="auto"/>
              <w:left w:val="single" w:sz="4" w:space="0" w:color="auto"/>
              <w:bottom w:val="single" w:sz="4" w:space="0" w:color="auto"/>
              <w:right w:val="single" w:sz="4" w:space="0" w:color="auto"/>
            </w:tcBorders>
            <w:vAlign w:val="center"/>
            <w:hideMark/>
          </w:tcPr>
          <w:p w14:paraId="31218D81" w14:textId="77777777" w:rsidR="00766593" w:rsidRPr="00766593" w:rsidRDefault="00766593" w:rsidP="00234CBE">
            <w:pPr>
              <w:spacing w:line="276" w:lineRule="auto"/>
              <w:rPr>
                <w:rFonts w:ascii="Book Antiqua" w:hAnsi="Book Antiqua" w:cs="Calibri"/>
                <w:b/>
                <w:bCs/>
                <w:color w:val="FFFFFF"/>
                <w:sz w:val="16"/>
                <w:szCs w:val="16"/>
                <w:lang w:eastAsia="es-CR"/>
              </w:rPr>
            </w:pPr>
          </w:p>
        </w:tc>
        <w:tc>
          <w:tcPr>
            <w:tcW w:w="8147" w:type="dxa"/>
            <w:gridSpan w:val="10"/>
            <w:vMerge/>
            <w:tcBorders>
              <w:top w:val="single" w:sz="4" w:space="0" w:color="auto"/>
              <w:left w:val="single" w:sz="4" w:space="0" w:color="auto"/>
              <w:bottom w:val="single" w:sz="4" w:space="0" w:color="auto"/>
              <w:right w:val="single" w:sz="4" w:space="0" w:color="auto"/>
            </w:tcBorders>
            <w:vAlign w:val="center"/>
            <w:hideMark/>
          </w:tcPr>
          <w:p w14:paraId="6F3E6CF2" w14:textId="77777777" w:rsidR="00766593" w:rsidRPr="00766593" w:rsidRDefault="00766593" w:rsidP="00234CBE">
            <w:pPr>
              <w:spacing w:line="276" w:lineRule="auto"/>
              <w:rPr>
                <w:rFonts w:ascii="Book Antiqua" w:hAnsi="Book Antiqua" w:cs="Calibri"/>
                <w:b/>
                <w:bCs/>
                <w:color w:val="FFFFFF"/>
                <w:sz w:val="16"/>
                <w:szCs w:val="16"/>
                <w:lang w:eastAsia="es-CR"/>
              </w:rPr>
            </w:pPr>
          </w:p>
        </w:tc>
      </w:tr>
      <w:tr w:rsidR="00766593" w:rsidRPr="00766593" w14:paraId="306084DD" w14:textId="77777777" w:rsidTr="00766593">
        <w:trPr>
          <w:trHeight w:val="214"/>
          <w:jc w:val="center"/>
        </w:trPr>
        <w:tc>
          <w:tcPr>
            <w:tcW w:w="2763" w:type="dxa"/>
            <w:tcBorders>
              <w:top w:val="nil"/>
              <w:left w:val="single" w:sz="4" w:space="0" w:color="auto"/>
              <w:bottom w:val="single" w:sz="4" w:space="0" w:color="auto"/>
              <w:right w:val="single" w:sz="4" w:space="0" w:color="auto"/>
            </w:tcBorders>
            <w:shd w:val="clear" w:color="auto" w:fill="auto"/>
            <w:noWrap/>
            <w:vAlign w:val="center"/>
            <w:hideMark/>
          </w:tcPr>
          <w:p w14:paraId="13A3D050" w14:textId="77777777" w:rsidR="00766593" w:rsidRPr="00766593" w:rsidRDefault="00766593" w:rsidP="00234CBE">
            <w:pPr>
              <w:spacing w:line="276" w:lineRule="auto"/>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 </w:t>
            </w:r>
          </w:p>
        </w:tc>
        <w:tc>
          <w:tcPr>
            <w:tcW w:w="723" w:type="dxa"/>
            <w:tcBorders>
              <w:top w:val="nil"/>
              <w:left w:val="nil"/>
              <w:bottom w:val="single" w:sz="4" w:space="0" w:color="auto"/>
              <w:right w:val="single" w:sz="4" w:space="0" w:color="auto"/>
            </w:tcBorders>
            <w:shd w:val="clear" w:color="auto" w:fill="auto"/>
            <w:noWrap/>
            <w:vAlign w:val="center"/>
            <w:hideMark/>
          </w:tcPr>
          <w:p w14:paraId="0E7B487C"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 xml:space="preserve">Enero </w:t>
            </w:r>
          </w:p>
        </w:tc>
        <w:tc>
          <w:tcPr>
            <w:tcW w:w="757" w:type="dxa"/>
            <w:tcBorders>
              <w:top w:val="nil"/>
              <w:left w:val="nil"/>
              <w:bottom w:val="single" w:sz="4" w:space="0" w:color="auto"/>
              <w:right w:val="single" w:sz="4" w:space="0" w:color="auto"/>
            </w:tcBorders>
            <w:shd w:val="clear" w:color="auto" w:fill="auto"/>
            <w:noWrap/>
            <w:vAlign w:val="center"/>
            <w:hideMark/>
          </w:tcPr>
          <w:p w14:paraId="2A987219"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Febrero</w:t>
            </w:r>
          </w:p>
        </w:tc>
        <w:tc>
          <w:tcPr>
            <w:tcW w:w="722" w:type="dxa"/>
            <w:tcBorders>
              <w:top w:val="nil"/>
              <w:left w:val="nil"/>
              <w:bottom w:val="single" w:sz="4" w:space="0" w:color="auto"/>
              <w:right w:val="single" w:sz="4" w:space="0" w:color="auto"/>
            </w:tcBorders>
            <w:shd w:val="clear" w:color="auto" w:fill="auto"/>
            <w:noWrap/>
            <w:vAlign w:val="center"/>
            <w:hideMark/>
          </w:tcPr>
          <w:p w14:paraId="355DF3A3"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Marzo</w:t>
            </w:r>
          </w:p>
        </w:tc>
        <w:tc>
          <w:tcPr>
            <w:tcW w:w="722" w:type="dxa"/>
            <w:tcBorders>
              <w:top w:val="nil"/>
              <w:left w:val="nil"/>
              <w:bottom w:val="single" w:sz="4" w:space="0" w:color="auto"/>
              <w:right w:val="single" w:sz="4" w:space="0" w:color="auto"/>
            </w:tcBorders>
            <w:shd w:val="clear" w:color="auto" w:fill="auto"/>
            <w:noWrap/>
            <w:vAlign w:val="center"/>
            <w:hideMark/>
          </w:tcPr>
          <w:p w14:paraId="705883C9"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Abril</w:t>
            </w:r>
          </w:p>
        </w:tc>
        <w:tc>
          <w:tcPr>
            <w:tcW w:w="722" w:type="dxa"/>
            <w:tcBorders>
              <w:top w:val="nil"/>
              <w:left w:val="nil"/>
              <w:bottom w:val="single" w:sz="4" w:space="0" w:color="auto"/>
              <w:right w:val="single" w:sz="4" w:space="0" w:color="auto"/>
            </w:tcBorders>
            <w:shd w:val="clear" w:color="auto" w:fill="auto"/>
            <w:noWrap/>
            <w:vAlign w:val="center"/>
            <w:hideMark/>
          </w:tcPr>
          <w:p w14:paraId="0EC4B27B"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Mayo</w:t>
            </w:r>
          </w:p>
        </w:tc>
        <w:tc>
          <w:tcPr>
            <w:tcW w:w="722" w:type="dxa"/>
            <w:tcBorders>
              <w:top w:val="nil"/>
              <w:left w:val="nil"/>
              <w:bottom w:val="single" w:sz="4" w:space="0" w:color="auto"/>
              <w:right w:val="single" w:sz="4" w:space="0" w:color="auto"/>
            </w:tcBorders>
            <w:shd w:val="clear" w:color="auto" w:fill="auto"/>
            <w:noWrap/>
            <w:vAlign w:val="center"/>
            <w:hideMark/>
          </w:tcPr>
          <w:p w14:paraId="2AFFC0EC"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Junio</w:t>
            </w:r>
          </w:p>
        </w:tc>
        <w:tc>
          <w:tcPr>
            <w:tcW w:w="722" w:type="dxa"/>
            <w:tcBorders>
              <w:top w:val="nil"/>
              <w:left w:val="nil"/>
              <w:bottom w:val="single" w:sz="4" w:space="0" w:color="auto"/>
              <w:right w:val="single" w:sz="4" w:space="0" w:color="auto"/>
            </w:tcBorders>
            <w:shd w:val="clear" w:color="auto" w:fill="auto"/>
            <w:noWrap/>
            <w:vAlign w:val="center"/>
            <w:hideMark/>
          </w:tcPr>
          <w:p w14:paraId="3098E5F7"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Julio</w:t>
            </w:r>
          </w:p>
        </w:tc>
        <w:tc>
          <w:tcPr>
            <w:tcW w:w="722" w:type="dxa"/>
            <w:tcBorders>
              <w:top w:val="nil"/>
              <w:left w:val="nil"/>
              <w:bottom w:val="single" w:sz="4" w:space="0" w:color="auto"/>
              <w:right w:val="single" w:sz="4" w:space="0" w:color="auto"/>
            </w:tcBorders>
            <w:shd w:val="clear" w:color="auto" w:fill="auto"/>
            <w:noWrap/>
            <w:vAlign w:val="center"/>
            <w:hideMark/>
          </w:tcPr>
          <w:p w14:paraId="74BB1276"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Agosto</w:t>
            </w:r>
          </w:p>
        </w:tc>
        <w:tc>
          <w:tcPr>
            <w:tcW w:w="968" w:type="dxa"/>
            <w:tcBorders>
              <w:top w:val="nil"/>
              <w:left w:val="nil"/>
              <w:bottom w:val="single" w:sz="4" w:space="0" w:color="auto"/>
              <w:right w:val="single" w:sz="4" w:space="0" w:color="auto"/>
            </w:tcBorders>
            <w:shd w:val="clear" w:color="auto" w:fill="auto"/>
            <w:noWrap/>
            <w:vAlign w:val="center"/>
            <w:hideMark/>
          </w:tcPr>
          <w:p w14:paraId="47C041FC"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Setiembre</w:t>
            </w:r>
          </w:p>
        </w:tc>
        <w:tc>
          <w:tcPr>
            <w:tcW w:w="1367" w:type="dxa"/>
            <w:vMerge w:val="restart"/>
            <w:tcBorders>
              <w:top w:val="nil"/>
              <w:left w:val="single" w:sz="4" w:space="0" w:color="auto"/>
              <w:bottom w:val="single" w:sz="4" w:space="0" w:color="auto"/>
              <w:right w:val="single" w:sz="4" w:space="0" w:color="auto"/>
            </w:tcBorders>
            <w:shd w:val="clear" w:color="auto" w:fill="auto"/>
            <w:vAlign w:val="center"/>
            <w:hideMark/>
          </w:tcPr>
          <w:p w14:paraId="35B049F9" w14:textId="77777777" w:rsidR="00766593" w:rsidRPr="00766593" w:rsidRDefault="00766593" w:rsidP="00234CBE">
            <w:pPr>
              <w:spacing w:line="276" w:lineRule="auto"/>
              <w:jc w:val="center"/>
              <w:rPr>
                <w:rFonts w:ascii="Book Antiqua" w:hAnsi="Book Antiqua" w:cs="Calibri"/>
                <w:b/>
                <w:bCs/>
                <w:color w:val="000000"/>
                <w:sz w:val="16"/>
                <w:szCs w:val="16"/>
                <w:lang w:eastAsia="es-CR"/>
              </w:rPr>
            </w:pPr>
            <w:r w:rsidRPr="00766593">
              <w:rPr>
                <w:rFonts w:ascii="Book Antiqua" w:hAnsi="Book Antiqua" w:cs="Calibri"/>
                <w:b/>
                <w:bCs/>
                <w:color w:val="000000"/>
                <w:sz w:val="16"/>
                <w:szCs w:val="16"/>
                <w:lang w:eastAsia="es-CR"/>
              </w:rPr>
              <w:t>Crecimiento entre setiembre y enero</w:t>
            </w:r>
          </w:p>
        </w:tc>
      </w:tr>
      <w:tr w:rsidR="00766593" w:rsidRPr="00766593" w14:paraId="722B0D69" w14:textId="77777777" w:rsidTr="00766593">
        <w:trPr>
          <w:trHeight w:val="214"/>
          <w:jc w:val="center"/>
        </w:trPr>
        <w:tc>
          <w:tcPr>
            <w:tcW w:w="2763" w:type="dxa"/>
            <w:tcBorders>
              <w:top w:val="nil"/>
              <w:left w:val="single" w:sz="4" w:space="0" w:color="auto"/>
              <w:bottom w:val="single" w:sz="4" w:space="0" w:color="auto"/>
              <w:right w:val="single" w:sz="4" w:space="0" w:color="auto"/>
            </w:tcBorders>
            <w:shd w:val="clear" w:color="auto" w:fill="auto"/>
            <w:noWrap/>
            <w:vAlign w:val="center"/>
            <w:hideMark/>
          </w:tcPr>
          <w:p w14:paraId="01D5E1B7" w14:textId="77777777" w:rsidR="00766593" w:rsidRPr="00766593" w:rsidRDefault="00766593" w:rsidP="00234CBE">
            <w:pPr>
              <w:spacing w:line="276" w:lineRule="auto"/>
              <w:jc w:val="center"/>
              <w:rPr>
                <w:rFonts w:ascii="Book Antiqua" w:hAnsi="Book Antiqua" w:cs="Calibri"/>
                <w:b/>
                <w:bCs/>
                <w:color w:val="000000"/>
                <w:sz w:val="16"/>
                <w:szCs w:val="16"/>
                <w:lang w:eastAsia="es-CR"/>
              </w:rPr>
            </w:pPr>
            <w:r w:rsidRPr="00766593">
              <w:rPr>
                <w:rFonts w:ascii="Book Antiqua" w:hAnsi="Book Antiqua" w:cs="Calibri"/>
                <w:b/>
                <w:bCs/>
                <w:color w:val="000000"/>
                <w:sz w:val="16"/>
                <w:szCs w:val="16"/>
                <w:lang w:eastAsia="es-CR"/>
              </w:rPr>
              <w:t> </w:t>
            </w:r>
          </w:p>
        </w:tc>
        <w:tc>
          <w:tcPr>
            <w:tcW w:w="723" w:type="dxa"/>
            <w:tcBorders>
              <w:top w:val="nil"/>
              <w:left w:val="nil"/>
              <w:bottom w:val="single" w:sz="4" w:space="0" w:color="auto"/>
              <w:right w:val="single" w:sz="4" w:space="0" w:color="auto"/>
            </w:tcBorders>
            <w:shd w:val="clear" w:color="auto" w:fill="auto"/>
            <w:noWrap/>
            <w:vAlign w:val="center"/>
            <w:hideMark/>
          </w:tcPr>
          <w:p w14:paraId="0540CB47" w14:textId="77777777" w:rsidR="00766593" w:rsidRPr="00766593" w:rsidRDefault="00766593" w:rsidP="00234CBE">
            <w:pPr>
              <w:spacing w:line="276" w:lineRule="auto"/>
              <w:jc w:val="center"/>
              <w:rPr>
                <w:rFonts w:ascii="Book Antiqua" w:hAnsi="Book Antiqua" w:cs="Calibri"/>
                <w:b/>
                <w:bCs/>
                <w:color w:val="000000"/>
                <w:sz w:val="16"/>
                <w:szCs w:val="16"/>
                <w:lang w:eastAsia="es-CR"/>
              </w:rPr>
            </w:pPr>
            <w:r w:rsidRPr="00766593">
              <w:rPr>
                <w:rFonts w:ascii="Book Antiqua" w:hAnsi="Book Antiqua" w:cs="Calibri"/>
                <w:b/>
                <w:bCs/>
                <w:color w:val="000000"/>
                <w:sz w:val="16"/>
                <w:szCs w:val="16"/>
                <w:lang w:eastAsia="es-CR"/>
              </w:rPr>
              <w:t>2 021</w:t>
            </w:r>
          </w:p>
        </w:tc>
        <w:tc>
          <w:tcPr>
            <w:tcW w:w="757" w:type="dxa"/>
            <w:tcBorders>
              <w:top w:val="nil"/>
              <w:left w:val="nil"/>
              <w:bottom w:val="single" w:sz="4" w:space="0" w:color="auto"/>
              <w:right w:val="single" w:sz="4" w:space="0" w:color="auto"/>
            </w:tcBorders>
            <w:shd w:val="clear" w:color="auto" w:fill="auto"/>
            <w:noWrap/>
            <w:vAlign w:val="center"/>
            <w:hideMark/>
          </w:tcPr>
          <w:p w14:paraId="21C31333" w14:textId="77777777" w:rsidR="00766593" w:rsidRPr="00766593" w:rsidRDefault="00766593" w:rsidP="00234CBE">
            <w:pPr>
              <w:spacing w:line="276" w:lineRule="auto"/>
              <w:jc w:val="center"/>
              <w:rPr>
                <w:rFonts w:ascii="Book Antiqua" w:hAnsi="Book Antiqua" w:cs="Calibri"/>
                <w:b/>
                <w:bCs/>
                <w:color w:val="000000"/>
                <w:sz w:val="16"/>
                <w:szCs w:val="16"/>
                <w:lang w:eastAsia="es-CR"/>
              </w:rPr>
            </w:pPr>
            <w:r w:rsidRPr="00766593">
              <w:rPr>
                <w:rFonts w:ascii="Book Antiqua" w:hAnsi="Book Antiqua" w:cs="Calibri"/>
                <w:b/>
                <w:bCs/>
                <w:color w:val="000000"/>
                <w:sz w:val="16"/>
                <w:szCs w:val="16"/>
                <w:lang w:eastAsia="es-CR"/>
              </w:rPr>
              <w:t>2 021</w:t>
            </w:r>
          </w:p>
        </w:tc>
        <w:tc>
          <w:tcPr>
            <w:tcW w:w="722" w:type="dxa"/>
            <w:tcBorders>
              <w:top w:val="nil"/>
              <w:left w:val="nil"/>
              <w:bottom w:val="single" w:sz="4" w:space="0" w:color="auto"/>
              <w:right w:val="single" w:sz="4" w:space="0" w:color="auto"/>
            </w:tcBorders>
            <w:shd w:val="clear" w:color="auto" w:fill="auto"/>
            <w:noWrap/>
            <w:vAlign w:val="center"/>
            <w:hideMark/>
          </w:tcPr>
          <w:p w14:paraId="53C46309" w14:textId="77777777" w:rsidR="00766593" w:rsidRPr="00766593" w:rsidRDefault="00766593" w:rsidP="00234CBE">
            <w:pPr>
              <w:spacing w:line="276" w:lineRule="auto"/>
              <w:jc w:val="center"/>
              <w:rPr>
                <w:rFonts w:ascii="Book Antiqua" w:hAnsi="Book Antiqua" w:cs="Calibri"/>
                <w:b/>
                <w:bCs/>
                <w:color w:val="000000"/>
                <w:sz w:val="16"/>
                <w:szCs w:val="16"/>
                <w:lang w:eastAsia="es-CR"/>
              </w:rPr>
            </w:pPr>
            <w:r w:rsidRPr="00766593">
              <w:rPr>
                <w:rFonts w:ascii="Book Antiqua" w:hAnsi="Book Antiqua" w:cs="Calibri"/>
                <w:b/>
                <w:bCs/>
                <w:color w:val="000000"/>
                <w:sz w:val="16"/>
                <w:szCs w:val="16"/>
                <w:lang w:eastAsia="es-CR"/>
              </w:rPr>
              <w:t>2 021</w:t>
            </w:r>
          </w:p>
        </w:tc>
        <w:tc>
          <w:tcPr>
            <w:tcW w:w="722" w:type="dxa"/>
            <w:tcBorders>
              <w:top w:val="nil"/>
              <w:left w:val="nil"/>
              <w:bottom w:val="single" w:sz="4" w:space="0" w:color="auto"/>
              <w:right w:val="single" w:sz="4" w:space="0" w:color="auto"/>
            </w:tcBorders>
            <w:shd w:val="clear" w:color="auto" w:fill="auto"/>
            <w:noWrap/>
            <w:vAlign w:val="center"/>
            <w:hideMark/>
          </w:tcPr>
          <w:p w14:paraId="301820DB" w14:textId="77777777" w:rsidR="00766593" w:rsidRPr="00766593" w:rsidRDefault="00766593" w:rsidP="00234CBE">
            <w:pPr>
              <w:spacing w:line="276" w:lineRule="auto"/>
              <w:jc w:val="center"/>
              <w:rPr>
                <w:rFonts w:ascii="Book Antiqua" w:hAnsi="Book Antiqua" w:cs="Calibri"/>
                <w:b/>
                <w:bCs/>
                <w:color w:val="000000"/>
                <w:sz w:val="16"/>
                <w:szCs w:val="16"/>
                <w:lang w:eastAsia="es-CR"/>
              </w:rPr>
            </w:pPr>
            <w:r w:rsidRPr="00766593">
              <w:rPr>
                <w:rFonts w:ascii="Book Antiqua" w:hAnsi="Book Antiqua" w:cs="Calibri"/>
                <w:b/>
                <w:bCs/>
                <w:color w:val="000000"/>
                <w:sz w:val="16"/>
                <w:szCs w:val="16"/>
                <w:lang w:eastAsia="es-CR"/>
              </w:rPr>
              <w:t>2021</w:t>
            </w:r>
          </w:p>
        </w:tc>
        <w:tc>
          <w:tcPr>
            <w:tcW w:w="722" w:type="dxa"/>
            <w:tcBorders>
              <w:top w:val="nil"/>
              <w:left w:val="nil"/>
              <w:bottom w:val="single" w:sz="4" w:space="0" w:color="auto"/>
              <w:right w:val="single" w:sz="4" w:space="0" w:color="auto"/>
            </w:tcBorders>
            <w:shd w:val="clear" w:color="auto" w:fill="auto"/>
            <w:noWrap/>
            <w:vAlign w:val="center"/>
            <w:hideMark/>
          </w:tcPr>
          <w:p w14:paraId="28B145C8" w14:textId="77777777" w:rsidR="00766593" w:rsidRPr="00766593" w:rsidRDefault="00766593" w:rsidP="00234CBE">
            <w:pPr>
              <w:spacing w:line="276" w:lineRule="auto"/>
              <w:jc w:val="center"/>
              <w:rPr>
                <w:rFonts w:ascii="Book Antiqua" w:hAnsi="Book Antiqua" w:cs="Calibri"/>
                <w:b/>
                <w:bCs/>
                <w:color w:val="000000"/>
                <w:sz w:val="16"/>
                <w:szCs w:val="16"/>
                <w:lang w:eastAsia="es-CR"/>
              </w:rPr>
            </w:pPr>
            <w:r w:rsidRPr="00766593">
              <w:rPr>
                <w:rFonts w:ascii="Book Antiqua" w:hAnsi="Book Antiqua" w:cs="Calibri"/>
                <w:b/>
                <w:bCs/>
                <w:color w:val="000000"/>
                <w:sz w:val="16"/>
                <w:szCs w:val="16"/>
                <w:lang w:eastAsia="es-CR"/>
              </w:rPr>
              <w:t>2021</w:t>
            </w:r>
          </w:p>
        </w:tc>
        <w:tc>
          <w:tcPr>
            <w:tcW w:w="722" w:type="dxa"/>
            <w:tcBorders>
              <w:top w:val="nil"/>
              <w:left w:val="nil"/>
              <w:bottom w:val="single" w:sz="4" w:space="0" w:color="auto"/>
              <w:right w:val="single" w:sz="4" w:space="0" w:color="auto"/>
            </w:tcBorders>
            <w:shd w:val="clear" w:color="auto" w:fill="auto"/>
            <w:noWrap/>
            <w:vAlign w:val="center"/>
            <w:hideMark/>
          </w:tcPr>
          <w:p w14:paraId="33CEC36D" w14:textId="77777777" w:rsidR="00766593" w:rsidRPr="00766593" w:rsidRDefault="00766593" w:rsidP="00234CBE">
            <w:pPr>
              <w:spacing w:line="276" w:lineRule="auto"/>
              <w:jc w:val="center"/>
              <w:rPr>
                <w:rFonts w:ascii="Book Antiqua" w:hAnsi="Book Antiqua" w:cs="Calibri"/>
                <w:b/>
                <w:bCs/>
                <w:color w:val="000000"/>
                <w:sz w:val="16"/>
                <w:szCs w:val="16"/>
                <w:lang w:eastAsia="es-CR"/>
              </w:rPr>
            </w:pPr>
            <w:r w:rsidRPr="00766593">
              <w:rPr>
                <w:rFonts w:ascii="Book Antiqua" w:hAnsi="Book Antiqua" w:cs="Calibri"/>
                <w:b/>
                <w:bCs/>
                <w:color w:val="000000"/>
                <w:sz w:val="16"/>
                <w:szCs w:val="16"/>
                <w:lang w:eastAsia="es-CR"/>
              </w:rPr>
              <w:t>2021</w:t>
            </w:r>
          </w:p>
        </w:tc>
        <w:tc>
          <w:tcPr>
            <w:tcW w:w="722" w:type="dxa"/>
            <w:tcBorders>
              <w:top w:val="nil"/>
              <w:left w:val="nil"/>
              <w:bottom w:val="single" w:sz="4" w:space="0" w:color="auto"/>
              <w:right w:val="single" w:sz="4" w:space="0" w:color="auto"/>
            </w:tcBorders>
            <w:shd w:val="clear" w:color="auto" w:fill="auto"/>
            <w:noWrap/>
            <w:vAlign w:val="center"/>
            <w:hideMark/>
          </w:tcPr>
          <w:p w14:paraId="1E2C082A" w14:textId="77777777" w:rsidR="00766593" w:rsidRPr="00766593" w:rsidRDefault="00766593" w:rsidP="00234CBE">
            <w:pPr>
              <w:spacing w:line="276" w:lineRule="auto"/>
              <w:jc w:val="center"/>
              <w:rPr>
                <w:rFonts w:ascii="Book Antiqua" w:hAnsi="Book Antiqua" w:cs="Calibri"/>
                <w:b/>
                <w:bCs/>
                <w:color w:val="000000"/>
                <w:sz w:val="16"/>
                <w:szCs w:val="16"/>
                <w:lang w:eastAsia="es-CR"/>
              </w:rPr>
            </w:pPr>
            <w:r w:rsidRPr="00766593">
              <w:rPr>
                <w:rFonts w:ascii="Book Antiqua" w:hAnsi="Book Antiqua" w:cs="Calibri"/>
                <w:b/>
                <w:bCs/>
                <w:color w:val="000000"/>
                <w:sz w:val="16"/>
                <w:szCs w:val="16"/>
                <w:lang w:eastAsia="es-CR"/>
              </w:rPr>
              <w:t>2021</w:t>
            </w:r>
          </w:p>
        </w:tc>
        <w:tc>
          <w:tcPr>
            <w:tcW w:w="722" w:type="dxa"/>
            <w:tcBorders>
              <w:top w:val="nil"/>
              <w:left w:val="nil"/>
              <w:bottom w:val="single" w:sz="4" w:space="0" w:color="auto"/>
              <w:right w:val="single" w:sz="4" w:space="0" w:color="auto"/>
            </w:tcBorders>
            <w:shd w:val="clear" w:color="auto" w:fill="auto"/>
            <w:noWrap/>
            <w:vAlign w:val="center"/>
            <w:hideMark/>
          </w:tcPr>
          <w:p w14:paraId="1A41E563" w14:textId="77777777" w:rsidR="00766593" w:rsidRPr="00766593" w:rsidRDefault="00766593" w:rsidP="00234CBE">
            <w:pPr>
              <w:spacing w:line="276" w:lineRule="auto"/>
              <w:jc w:val="center"/>
              <w:rPr>
                <w:rFonts w:ascii="Book Antiqua" w:hAnsi="Book Antiqua" w:cs="Calibri"/>
                <w:b/>
                <w:bCs/>
                <w:color w:val="000000"/>
                <w:sz w:val="16"/>
                <w:szCs w:val="16"/>
                <w:lang w:eastAsia="es-CR"/>
              </w:rPr>
            </w:pPr>
            <w:r w:rsidRPr="00766593">
              <w:rPr>
                <w:rFonts w:ascii="Book Antiqua" w:hAnsi="Book Antiqua" w:cs="Calibri"/>
                <w:b/>
                <w:bCs/>
                <w:color w:val="000000"/>
                <w:sz w:val="16"/>
                <w:szCs w:val="16"/>
                <w:lang w:eastAsia="es-CR"/>
              </w:rPr>
              <w:t>2021</w:t>
            </w:r>
          </w:p>
        </w:tc>
        <w:tc>
          <w:tcPr>
            <w:tcW w:w="968" w:type="dxa"/>
            <w:tcBorders>
              <w:top w:val="nil"/>
              <w:left w:val="nil"/>
              <w:bottom w:val="single" w:sz="4" w:space="0" w:color="auto"/>
              <w:right w:val="single" w:sz="4" w:space="0" w:color="auto"/>
            </w:tcBorders>
            <w:shd w:val="clear" w:color="auto" w:fill="auto"/>
            <w:noWrap/>
            <w:vAlign w:val="center"/>
            <w:hideMark/>
          </w:tcPr>
          <w:p w14:paraId="6D09CE4B" w14:textId="77777777" w:rsidR="00766593" w:rsidRPr="00766593" w:rsidRDefault="00766593" w:rsidP="00234CBE">
            <w:pPr>
              <w:spacing w:line="276" w:lineRule="auto"/>
              <w:jc w:val="center"/>
              <w:rPr>
                <w:rFonts w:ascii="Book Antiqua" w:hAnsi="Book Antiqua" w:cs="Calibri"/>
                <w:b/>
                <w:bCs/>
                <w:color w:val="000000"/>
                <w:sz w:val="16"/>
                <w:szCs w:val="16"/>
                <w:lang w:eastAsia="es-CR"/>
              </w:rPr>
            </w:pPr>
            <w:r w:rsidRPr="00766593">
              <w:rPr>
                <w:rFonts w:ascii="Book Antiqua" w:hAnsi="Book Antiqua" w:cs="Calibri"/>
                <w:b/>
                <w:bCs/>
                <w:color w:val="000000"/>
                <w:sz w:val="16"/>
                <w:szCs w:val="16"/>
                <w:lang w:eastAsia="es-CR"/>
              </w:rPr>
              <w:t>2021</w:t>
            </w:r>
          </w:p>
        </w:tc>
        <w:tc>
          <w:tcPr>
            <w:tcW w:w="1367" w:type="dxa"/>
            <w:vMerge/>
            <w:tcBorders>
              <w:top w:val="nil"/>
              <w:left w:val="single" w:sz="4" w:space="0" w:color="auto"/>
              <w:bottom w:val="single" w:sz="4" w:space="0" w:color="auto"/>
              <w:right w:val="single" w:sz="4" w:space="0" w:color="auto"/>
            </w:tcBorders>
            <w:vAlign w:val="center"/>
            <w:hideMark/>
          </w:tcPr>
          <w:p w14:paraId="2C3C1074" w14:textId="77777777" w:rsidR="00766593" w:rsidRPr="00766593" w:rsidRDefault="00766593" w:rsidP="00234CBE">
            <w:pPr>
              <w:spacing w:line="276" w:lineRule="auto"/>
              <w:rPr>
                <w:rFonts w:ascii="Book Antiqua" w:hAnsi="Book Antiqua" w:cs="Calibri"/>
                <w:b/>
                <w:bCs/>
                <w:color w:val="000000"/>
                <w:sz w:val="16"/>
                <w:szCs w:val="16"/>
                <w:lang w:eastAsia="es-CR"/>
              </w:rPr>
            </w:pPr>
          </w:p>
        </w:tc>
      </w:tr>
      <w:tr w:rsidR="00766593" w:rsidRPr="00766593" w14:paraId="14D09F75" w14:textId="77777777" w:rsidTr="00766593">
        <w:trPr>
          <w:trHeight w:val="214"/>
          <w:jc w:val="center"/>
        </w:trPr>
        <w:tc>
          <w:tcPr>
            <w:tcW w:w="2763" w:type="dxa"/>
            <w:tcBorders>
              <w:top w:val="nil"/>
              <w:left w:val="single" w:sz="4" w:space="0" w:color="auto"/>
              <w:bottom w:val="single" w:sz="4" w:space="0" w:color="auto"/>
              <w:right w:val="single" w:sz="4" w:space="0" w:color="auto"/>
            </w:tcBorders>
            <w:shd w:val="clear" w:color="auto" w:fill="auto"/>
            <w:noWrap/>
            <w:vAlign w:val="center"/>
            <w:hideMark/>
          </w:tcPr>
          <w:p w14:paraId="78AE56A0" w14:textId="77777777" w:rsidR="00766593" w:rsidRPr="00766593" w:rsidRDefault="00766593" w:rsidP="00234CBE">
            <w:pPr>
              <w:spacing w:line="276" w:lineRule="auto"/>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 </w:t>
            </w:r>
          </w:p>
        </w:tc>
        <w:tc>
          <w:tcPr>
            <w:tcW w:w="723" w:type="dxa"/>
            <w:tcBorders>
              <w:top w:val="nil"/>
              <w:left w:val="nil"/>
              <w:bottom w:val="single" w:sz="4" w:space="0" w:color="auto"/>
              <w:right w:val="single" w:sz="4" w:space="0" w:color="auto"/>
            </w:tcBorders>
            <w:shd w:val="clear" w:color="auto" w:fill="auto"/>
            <w:noWrap/>
            <w:vAlign w:val="bottom"/>
            <w:hideMark/>
          </w:tcPr>
          <w:p w14:paraId="533E1E1A" w14:textId="77777777" w:rsidR="00766593" w:rsidRPr="00766593" w:rsidRDefault="00766593" w:rsidP="00234CBE">
            <w:pPr>
              <w:spacing w:line="276" w:lineRule="auto"/>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 </w:t>
            </w:r>
          </w:p>
        </w:tc>
        <w:tc>
          <w:tcPr>
            <w:tcW w:w="757" w:type="dxa"/>
            <w:tcBorders>
              <w:top w:val="nil"/>
              <w:left w:val="nil"/>
              <w:bottom w:val="single" w:sz="4" w:space="0" w:color="auto"/>
              <w:right w:val="single" w:sz="4" w:space="0" w:color="auto"/>
            </w:tcBorders>
            <w:shd w:val="clear" w:color="auto" w:fill="auto"/>
            <w:noWrap/>
            <w:vAlign w:val="bottom"/>
            <w:hideMark/>
          </w:tcPr>
          <w:p w14:paraId="1115AD88" w14:textId="77777777" w:rsidR="00766593" w:rsidRPr="00766593" w:rsidRDefault="00766593" w:rsidP="00234CBE">
            <w:pPr>
              <w:spacing w:line="276" w:lineRule="auto"/>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 </w:t>
            </w:r>
          </w:p>
        </w:tc>
        <w:tc>
          <w:tcPr>
            <w:tcW w:w="722" w:type="dxa"/>
            <w:tcBorders>
              <w:top w:val="nil"/>
              <w:left w:val="nil"/>
              <w:bottom w:val="single" w:sz="4" w:space="0" w:color="auto"/>
              <w:right w:val="single" w:sz="4" w:space="0" w:color="auto"/>
            </w:tcBorders>
            <w:shd w:val="clear" w:color="auto" w:fill="auto"/>
            <w:noWrap/>
            <w:vAlign w:val="bottom"/>
            <w:hideMark/>
          </w:tcPr>
          <w:p w14:paraId="07AEE4F8" w14:textId="77777777" w:rsidR="00766593" w:rsidRPr="00766593" w:rsidRDefault="00766593" w:rsidP="00234CBE">
            <w:pPr>
              <w:spacing w:line="276" w:lineRule="auto"/>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 </w:t>
            </w:r>
          </w:p>
        </w:tc>
        <w:tc>
          <w:tcPr>
            <w:tcW w:w="722" w:type="dxa"/>
            <w:tcBorders>
              <w:top w:val="nil"/>
              <w:left w:val="nil"/>
              <w:bottom w:val="single" w:sz="4" w:space="0" w:color="auto"/>
              <w:right w:val="single" w:sz="4" w:space="0" w:color="auto"/>
            </w:tcBorders>
            <w:shd w:val="clear" w:color="auto" w:fill="auto"/>
            <w:noWrap/>
            <w:vAlign w:val="bottom"/>
            <w:hideMark/>
          </w:tcPr>
          <w:p w14:paraId="5B92B829" w14:textId="77777777" w:rsidR="00766593" w:rsidRPr="00766593" w:rsidRDefault="00766593" w:rsidP="00234CBE">
            <w:pPr>
              <w:spacing w:line="276" w:lineRule="auto"/>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 </w:t>
            </w:r>
          </w:p>
        </w:tc>
        <w:tc>
          <w:tcPr>
            <w:tcW w:w="722" w:type="dxa"/>
            <w:tcBorders>
              <w:top w:val="nil"/>
              <w:left w:val="nil"/>
              <w:bottom w:val="single" w:sz="4" w:space="0" w:color="auto"/>
              <w:right w:val="single" w:sz="4" w:space="0" w:color="auto"/>
            </w:tcBorders>
            <w:shd w:val="clear" w:color="auto" w:fill="auto"/>
            <w:noWrap/>
            <w:vAlign w:val="bottom"/>
            <w:hideMark/>
          </w:tcPr>
          <w:p w14:paraId="26AFF455" w14:textId="77777777" w:rsidR="00766593" w:rsidRPr="00766593" w:rsidRDefault="00766593" w:rsidP="00234CBE">
            <w:pPr>
              <w:spacing w:line="276" w:lineRule="auto"/>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 </w:t>
            </w:r>
          </w:p>
        </w:tc>
        <w:tc>
          <w:tcPr>
            <w:tcW w:w="722" w:type="dxa"/>
            <w:tcBorders>
              <w:top w:val="nil"/>
              <w:left w:val="nil"/>
              <w:bottom w:val="single" w:sz="4" w:space="0" w:color="auto"/>
              <w:right w:val="single" w:sz="4" w:space="0" w:color="auto"/>
            </w:tcBorders>
            <w:shd w:val="clear" w:color="auto" w:fill="auto"/>
            <w:noWrap/>
            <w:vAlign w:val="bottom"/>
            <w:hideMark/>
          </w:tcPr>
          <w:p w14:paraId="473D28E3" w14:textId="77777777" w:rsidR="00766593" w:rsidRPr="00766593" w:rsidRDefault="00766593" w:rsidP="00234CBE">
            <w:pPr>
              <w:spacing w:line="276" w:lineRule="auto"/>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 </w:t>
            </w:r>
          </w:p>
        </w:tc>
        <w:tc>
          <w:tcPr>
            <w:tcW w:w="722" w:type="dxa"/>
            <w:tcBorders>
              <w:top w:val="nil"/>
              <w:left w:val="nil"/>
              <w:bottom w:val="single" w:sz="4" w:space="0" w:color="auto"/>
              <w:right w:val="single" w:sz="4" w:space="0" w:color="auto"/>
            </w:tcBorders>
            <w:shd w:val="clear" w:color="auto" w:fill="auto"/>
            <w:noWrap/>
            <w:vAlign w:val="bottom"/>
            <w:hideMark/>
          </w:tcPr>
          <w:p w14:paraId="1056554C" w14:textId="77777777" w:rsidR="00766593" w:rsidRPr="00766593" w:rsidRDefault="00766593" w:rsidP="00234CBE">
            <w:pPr>
              <w:spacing w:line="276" w:lineRule="auto"/>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 </w:t>
            </w:r>
          </w:p>
        </w:tc>
        <w:tc>
          <w:tcPr>
            <w:tcW w:w="722" w:type="dxa"/>
            <w:tcBorders>
              <w:top w:val="nil"/>
              <w:left w:val="nil"/>
              <w:bottom w:val="single" w:sz="4" w:space="0" w:color="auto"/>
              <w:right w:val="single" w:sz="4" w:space="0" w:color="auto"/>
            </w:tcBorders>
            <w:shd w:val="clear" w:color="auto" w:fill="auto"/>
            <w:noWrap/>
            <w:vAlign w:val="bottom"/>
            <w:hideMark/>
          </w:tcPr>
          <w:p w14:paraId="5B130D5D" w14:textId="77777777" w:rsidR="00766593" w:rsidRPr="00766593" w:rsidRDefault="00766593" w:rsidP="00234CBE">
            <w:pPr>
              <w:spacing w:line="276" w:lineRule="auto"/>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 </w:t>
            </w:r>
          </w:p>
        </w:tc>
        <w:tc>
          <w:tcPr>
            <w:tcW w:w="968" w:type="dxa"/>
            <w:tcBorders>
              <w:top w:val="nil"/>
              <w:left w:val="nil"/>
              <w:bottom w:val="single" w:sz="4" w:space="0" w:color="auto"/>
              <w:right w:val="single" w:sz="4" w:space="0" w:color="auto"/>
            </w:tcBorders>
            <w:shd w:val="clear" w:color="auto" w:fill="auto"/>
            <w:noWrap/>
            <w:vAlign w:val="bottom"/>
            <w:hideMark/>
          </w:tcPr>
          <w:p w14:paraId="04F490F0" w14:textId="77777777" w:rsidR="00766593" w:rsidRPr="00766593" w:rsidRDefault="00766593" w:rsidP="00234CBE">
            <w:pPr>
              <w:spacing w:line="276" w:lineRule="auto"/>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 </w:t>
            </w:r>
          </w:p>
        </w:tc>
        <w:tc>
          <w:tcPr>
            <w:tcW w:w="1367" w:type="dxa"/>
            <w:tcBorders>
              <w:top w:val="nil"/>
              <w:left w:val="nil"/>
              <w:bottom w:val="single" w:sz="4" w:space="0" w:color="auto"/>
              <w:right w:val="single" w:sz="4" w:space="0" w:color="auto"/>
            </w:tcBorders>
            <w:shd w:val="clear" w:color="auto" w:fill="auto"/>
            <w:noWrap/>
            <w:vAlign w:val="center"/>
            <w:hideMark/>
          </w:tcPr>
          <w:p w14:paraId="35690D19" w14:textId="77777777" w:rsidR="00766593" w:rsidRPr="00766593" w:rsidRDefault="00766593" w:rsidP="00234CBE">
            <w:pPr>
              <w:spacing w:line="276" w:lineRule="auto"/>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 </w:t>
            </w:r>
          </w:p>
        </w:tc>
      </w:tr>
      <w:tr w:rsidR="00766593" w:rsidRPr="00766593" w14:paraId="44E3ED4F" w14:textId="77777777" w:rsidTr="00766593">
        <w:trPr>
          <w:trHeight w:val="214"/>
          <w:jc w:val="center"/>
        </w:trPr>
        <w:tc>
          <w:tcPr>
            <w:tcW w:w="2763" w:type="dxa"/>
            <w:tcBorders>
              <w:top w:val="nil"/>
              <w:left w:val="single" w:sz="4" w:space="0" w:color="auto"/>
              <w:bottom w:val="single" w:sz="4" w:space="0" w:color="auto"/>
              <w:right w:val="single" w:sz="4" w:space="0" w:color="auto"/>
            </w:tcBorders>
            <w:shd w:val="clear" w:color="auto" w:fill="auto"/>
            <w:noWrap/>
            <w:vAlign w:val="center"/>
            <w:hideMark/>
          </w:tcPr>
          <w:p w14:paraId="228202CE" w14:textId="77777777" w:rsidR="00766593" w:rsidRPr="00766593" w:rsidRDefault="00766593" w:rsidP="00234CBE">
            <w:pPr>
              <w:spacing w:line="276" w:lineRule="auto"/>
              <w:jc w:val="center"/>
              <w:rPr>
                <w:rFonts w:ascii="Book Antiqua" w:hAnsi="Book Antiqua" w:cs="Calibri"/>
                <w:b/>
                <w:bCs/>
                <w:color w:val="000000"/>
                <w:sz w:val="16"/>
                <w:szCs w:val="16"/>
                <w:lang w:eastAsia="es-CR"/>
              </w:rPr>
            </w:pPr>
            <w:r w:rsidRPr="00766593">
              <w:rPr>
                <w:rFonts w:ascii="Book Antiqua" w:hAnsi="Book Antiqua" w:cs="Calibri"/>
                <w:b/>
                <w:bCs/>
                <w:color w:val="000000"/>
                <w:sz w:val="16"/>
                <w:szCs w:val="16"/>
                <w:lang w:eastAsia="es-CR"/>
              </w:rPr>
              <w:t>TOTAL</w:t>
            </w:r>
          </w:p>
        </w:tc>
        <w:tc>
          <w:tcPr>
            <w:tcW w:w="723" w:type="dxa"/>
            <w:tcBorders>
              <w:top w:val="nil"/>
              <w:left w:val="nil"/>
              <w:bottom w:val="single" w:sz="4" w:space="0" w:color="auto"/>
              <w:right w:val="single" w:sz="4" w:space="0" w:color="auto"/>
            </w:tcBorders>
            <w:shd w:val="clear" w:color="auto" w:fill="auto"/>
            <w:noWrap/>
            <w:vAlign w:val="center"/>
            <w:hideMark/>
          </w:tcPr>
          <w:p w14:paraId="70B24E42" w14:textId="77777777" w:rsidR="00766593" w:rsidRPr="00766593" w:rsidRDefault="00766593" w:rsidP="00234CBE">
            <w:pPr>
              <w:spacing w:line="276" w:lineRule="auto"/>
              <w:jc w:val="center"/>
              <w:rPr>
                <w:rFonts w:ascii="Book Antiqua" w:hAnsi="Book Antiqua" w:cs="Calibri"/>
                <w:b/>
                <w:bCs/>
                <w:color w:val="000000"/>
                <w:sz w:val="16"/>
                <w:szCs w:val="16"/>
                <w:u w:val="single"/>
                <w:lang w:eastAsia="es-CR"/>
              </w:rPr>
            </w:pPr>
            <w:r w:rsidRPr="00766593">
              <w:rPr>
                <w:rFonts w:ascii="Book Antiqua" w:hAnsi="Book Antiqua" w:cs="Calibri"/>
                <w:b/>
                <w:bCs/>
                <w:color w:val="000000"/>
                <w:sz w:val="16"/>
                <w:szCs w:val="16"/>
                <w:u w:val="single"/>
                <w:lang w:eastAsia="es-CR"/>
              </w:rPr>
              <w:t>520 129</w:t>
            </w:r>
          </w:p>
        </w:tc>
        <w:tc>
          <w:tcPr>
            <w:tcW w:w="757" w:type="dxa"/>
            <w:tcBorders>
              <w:top w:val="nil"/>
              <w:left w:val="nil"/>
              <w:bottom w:val="single" w:sz="4" w:space="0" w:color="auto"/>
              <w:right w:val="single" w:sz="4" w:space="0" w:color="auto"/>
            </w:tcBorders>
            <w:shd w:val="clear" w:color="auto" w:fill="auto"/>
            <w:noWrap/>
            <w:vAlign w:val="center"/>
            <w:hideMark/>
          </w:tcPr>
          <w:p w14:paraId="03712760" w14:textId="77777777" w:rsidR="00766593" w:rsidRPr="00766593" w:rsidRDefault="00766593" w:rsidP="00234CBE">
            <w:pPr>
              <w:spacing w:line="276" w:lineRule="auto"/>
              <w:jc w:val="center"/>
              <w:rPr>
                <w:rFonts w:ascii="Book Antiqua" w:hAnsi="Book Antiqua" w:cs="Calibri"/>
                <w:b/>
                <w:bCs/>
                <w:color w:val="000000"/>
                <w:sz w:val="16"/>
                <w:szCs w:val="16"/>
                <w:u w:val="single"/>
                <w:lang w:eastAsia="es-CR"/>
              </w:rPr>
            </w:pPr>
            <w:r w:rsidRPr="00766593">
              <w:rPr>
                <w:rFonts w:ascii="Book Antiqua" w:hAnsi="Book Antiqua" w:cs="Calibri"/>
                <w:b/>
                <w:bCs/>
                <w:color w:val="000000"/>
                <w:sz w:val="16"/>
                <w:szCs w:val="16"/>
                <w:u w:val="single"/>
                <w:lang w:eastAsia="es-CR"/>
              </w:rPr>
              <w:t>520 222</w:t>
            </w:r>
          </w:p>
        </w:tc>
        <w:tc>
          <w:tcPr>
            <w:tcW w:w="722" w:type="dxa"/>
            <w:tcBorders>
              <w:top w:val="nil"/>
              <w:left w:val="nil"/>
              <w:bottom w:val="single" w:sz="4" w:space="0" w:color="auto"/>
              <w:right w:val="single" w:sz="4" w:space="0" w:color="auto"/>
            </w:tcBorders>
            <w:shd w:val="clear" w:color="auto" w:fill="auto"/>
            <w:noWrap/>
            <w:vAlign w:val="center"/>
            <w:hideMark/>
          </w:tcPr>
          <w:p w14:paraId="270048D8" w14:textId="77777777" w:rsidR="00766593" w:rsidRPr="00766593" w:rsidRDefault="00766593" w:rsidP="00234CBE">
            <w:pPr>
              <w:spacing w:line="276" w:lineRule="auto"/>
              <w:jc w:val="center"/>
              <w:rPr>
                <w:rFonts w:ascii="Book Antiqua" w:hAnsi="Book Antiqua" w:cs="Calibri"/>
                <w:b/>
                <w:bCs/>
                <w:color w:val="000000"/>
                <w:sz w:val="16"/>
                <w:szCs w:val="16"/>
                <w:u w:val="single"/>
                <w:lang w:eastAsia="es-CR"/>
              </w:rPr>
            </w:pPr>
            <w:r w:rsidRPr="00766593">
              <w:rPr>
                <w:rFonts w:ascii="Book Antiqua" w:hAnsi="Book Antiqua" w:cs="Calibri"/>
                <w:b/>
                <w:bCs/>
                <w:color w:val="000000"/>
                <w:sz w:val="16"/>
                <w:szCs w:val="16"/>
                <w:u w:val="single"/>
                <w:lang w:eastAsia="es-CR"/>
              </w:rPr>
              <w:t>517 582</w:t>
            </w:r>
          </w:p>
        </w:tc>
        <w:tc>
          <w:tcPr>
            <w:tcW w:w="722" w:type="dxa"/>
            <w:tcBorders>
              <w:top w:val="nil"/>
              <w:left w:val="nil"/>
              <w:bottom w:val="single" w:sz="4" w:space="0" w:color="auto"/>
              <w:right w:val="single" w:sz="4" w:space="0" w:color="auto"/>
            </w:tcBorders>
            <w:shd w:val="clear" w:color="auto" w:fill="auto"/>
            <w:noWrap/>
            <w:vAlign w:val="center"/>
            <w:hideMark/>
          </w:tcPr>
          <w:p w14:paraId="50F75E6F" w14:textId="77777777" w:rsidR="00766593" w:rsidRPr="00766593" w:rsidRDefault="00766593" w:rsidP="00234CBE">
            <w:pPr>
              <w:spacing w:line="276" w:lineRule="auto"/>
              <w:jc w:val="center"/>
              <w:rPr>
                <w:rFonts w:ascii="Book Antiqua" w:hAnsi="Book Antiqua" w:cs="Calibri"/>
                <w:b/>
                <w:bCs/>
                <w:color w:val="000000"/>
                <w:sz w:val="16"/>
                <w:szCs w:val="16"/>
                <w:u w:val="single"/>
                <w:lang w:eastAsia="es-CR"/>
              </w:rPr>
            </w:pPr>
            <w:r w:rsidRPr="00766593">
              <w:rPr>
                <w:rFonts w:ascii="Book Antiqua" w:hAnsi="Book Antiqua" w:cs="Calibri"/>
                <w:b/>
                <w:bCs/>
                <w:color w:val="000000"/>
                <w:sz w:val="16"/>
                <w:szCs w:val="16"/>
                <w:u w:val="single"/>
                <w:lang w:eastAsia="es-CR"/>
              </w:rPr>
              <w:t>519 324</w:t>
            </w:r>
          </w:p>
        </w:tc>
        <w:tc>
          <w:tcPr>
            <w:tcW w:w="722" w:type="dxa"/>
            <w:tcBorders>
              <w:top w:val="nil"/>
              <w:left w:val="nil"/>
              <w:bottom w:val="single" w:sz="4" w:space="0" w:color="auto"/>
              <w:right w:val="single" w:sz="4" w:space="0" w:color="auto"/>
            </w:tcBorders>
            <w:shd w:val="clear" w:color="auto" w:fill="auto"/>
            <w:noWrap/>
            <w:vAlign w:val="center"/>
            <w:hideMark/>
          </w:tcPr>
          <w:p w14:paraId="3CEEAB9B" w14:textId="77777777" w:rsidR="00766593" w:rsidRPr="00766593" w:rsidRDefault="00766593" w:rsidP="00234CBE">
            <w:pPr>
              <w:spacing w:line="276" w:lineRule="auto"/>
              <w:jc w:val="center"/>
              <w:rPr>
                <w:rFonts w:ascii="Book Antiqua" w:hAnsi="Book Antiqua" w:cs="Calibri"/>
                <w:b/>
                <w:bCs/>
                <w:color w:val="000000"/>
                <w:sz w:val="16"/>
                <w:szCs w:val="16"/>
                <w:u w:val="single"/>
                <w:lang w:eastAsia="es-CR"/>
              </w:rPr>
            </w:pPr>
            <w:r w:rsidRPr="00766593">
              <w:rPr>
                <w:rFonts w:ascii="Book Antiqua" w:hAnsi="Book Antiqua" w:cs="Calibri"/>
                <w:b/>
                <w:bCs/>
                <w:color w:val="000000"/>
                <w:sz w:val="16"/>
                <w:szCs w:val="16"/>
                <w:u w:val="single"/>
                <w:lang w:eastAsia="es-CR"/>
              </w:rPr>
              <w:t>514 235</w:t>
            </w:r>
          </w:p>
        </w:tc>
        <w:tc>
          <w:tcPr>
            <w:tcW w:w="722" w:type="dxa"/>
            <w:tcBorders>
              <w:top w:val="nil"/>
              <w:left w:val="nil"/>
              <w:bottom w:val="single" w:sz="4" w:space="0" w:color="auto"/>
              <w:right w:val="single" w:sz="4" w:space="0" w:color="auto"/>
            </w:tcBorders>
            <w:shd w:val="clear" w:color="auto" w:fill="auto"/>
            <w:noWrap/>
            <w:vAlign w:val="center"/>
            <w:hideMark/>
          </w:tcPr>
          <w:p w14:paraId="2B3A26A3" w14:textId="77777777" w:rsidR="00766593" w:rsidRPr="00766593" w:rsidRDefault="00766593" w:rsidP="00234CBE">
            <w:pPr>
              <w:spacing w:line="276" w:lineRule="auto"/>
              <w:jc w:val="center"/>
              <w:rPr>
                <w:rFonts w:ascii="Book Antiqua" w:hAnsi="Book Antiqua" w:cs="Calibri"/>
                <w:b/>
                <w:bCs/>
                <w:color w:val="000000"/>
                <w:sz w:val="16"/>
                <w:szCs w:val="16"/>
                <w:u w:val="single"/>
                <w:lang w:eastAsia="es-CR"/>
              </w:rPr>
            </w:pPr>
            <w:r w:rsidRPr="00766593">
              <w:rPr>
                <w:rFonts w:ascii="Book Antiqua" w:hAnsi="Book Antiqua" w:cs="Calibri"/>
                <w:b/>
                <w:bCs/>
                <w:color w:val="000000"/>
                <w:sz w:val="16"/>
                <w:szCs w:val="16"/>
                <w:u w:val="single"/>
                <w:lang w:eastAsia="es-CR"/>
              </w:rPr>
              <w:t>510 905</w:t>
            </w:r>
          </w:p>
        </w:tc>
        <w:tc>
          <w:tcPr>
            <w:tcW w:w="722" w:type="dxa"/>
            <w:tcBorders>
              <w:top w:val="nil"/>
              <w:left w:val="nil"/>
              <w:bottom w:val="single" w:sz="4" w:space="0" w:color="auto"/>
              <w:right w:val="single" w:sz="4" w:space="0" w:color="auto"/>
            </w:tcBorders>
            <w:shd w:val="clear" w:color="auto" w:fill="auto"/>
            <w:noWrap/>
            <w:vAlign w:val="center"/>
            <w:hideMark/>
          </w:tcPr>
          <w:p w14:paraId="70E90012" w14:textId="77777777" w:rsidR="00766593" w:rsidRPr="00766593" w:rsidRDefault="00766593" w:rsidP="00234CBE">
            <w:pPr>
              <w:spacing w:line="276" w:lineRule="auto"/>
              <w:jc w:val="center"/>
              <w:rPr>
                <w:rFonts w:ascii="Book Antiqua" w:hAnsi="Book Antiqua" w:cs="Calibri"/>
                <w:b/>
                <w:bCs/>
                <w:color w:val="000000"/>
                <w:sz w:val="16"/>
                <w:szCs w:val="16"/>
                <w:u w:val="single"/>
                <w:lang w:eastAsia="es-CR"/>
              </w:rPr>
            </w:pPr>
            <w:r w:rsidRPr="00766593">
              <w:rPr>
                <w:rFonts w:ascii="Book Antiqua" w:hAnsi="Book Antiqua" w:cs="Calibri"/>
                <w:b/>
                <w:bCs/>
                <w:color w:val="000000"/>
                <w:sz w:val="16"/>
                <w:szCs w:val="16"/>
                <w:u w:val="single"/>
                <w:lang w:eastAsia="es-CR"/>
              </w:rPr>
              <w:t>510 230</w:t>
            </w:r>
          </w:p>
        </w:tc>
        <w:tc>
          <w:tcPr>
            <w:tcW w:w="722" w:type="dxa"/>
            <w:tcBorders>
              <w:top w:val="nil"/>
              <w:left w:val="nil"/>
              <w:bottom w:val="single" w:sz="4" w:space="0" w:color="auto"/>
              <w:right w:val="single" w:sz="4" w:space="0" w:color="auto"/>
            </w:tcBorders>
            <w:shd w:val="clear" w:color="auto" w:fill="auto"/>
            <w:noWrap/>
            <w:vAlign w:val="center"/>
            <w:hideMark/>
          </w:tcPr>
          <w:p w14:paraId="35B4AFF8" w14:textId="77777777" w:rsidR="00766593" w:rsidRPr="00766593" w:rsidRDefault="00766593" w:rsidP="00234CBE">
            <w:pPr>
              <w:spacing w:line="276" w:lineRule="auto"/>
              <w:jc w:val="center"/>
              <w:rPr>
                <w:rFonts w:ascii="Book Antiqua" w:hAnsi="Book Antiqua" w:cs="Calibri"/>
                <w:b/>
                <w:bCs/>
                <w:color w:val="000000"/>
                <w:sz w:val="16"/>
                <w:szCs w:val="16"/>
                <w:u w:val="single"/>
                <w:lang w:eastAsia="es-CR"/>
              </w:rPr>
            </w:pPr>
            <w:r w:rsidRPr="00766593">
              <w:rPr>
                <w:rFonts w:ascii="Book Antiqua" w:hAnsi="Book Antiqua" w:cs="Calibri"/>
                <w:b/>
                <w:bCs/>
                <w:color w:val="000000"/>
                <w:sz w:val="16"/>
                <w:szCs w:val="16"/>
                <w:u w:val="single"/>
                <w:lang w:eastAsia="es-CR"/>
              </w:rPr>
              <w:t>514 873</w:t>
            </w:r>
          </w:p>
        </w:tc>
        <w:tc>
          <w:tcPr>
            <w:tcW w:w="968" w:type="dxa"/>
            <w:tcBorders>
              <w:top w:val="nil"/>
              <w:left w:val="nil"/>
              <w:bottom w:val="single" w:sz="4" w:space="0" w:color="auto"/>
              <w:right w:val="single" w:sz="4" w:space="0" w:color="auto"/>
            </w:tcBorders>
            <w:shd w:val="clear" w:color="auto" w:fill="auto"/>
            <w:noWrap/>
            <w:vAlign w:val="center"/>
            <w:hideMark/>
          </w:tcPr>
          <w:p w14:paraId="6FCF99A1" w14:textId="77777777" w:rsidR="00766593" w:rsidRPr="00766593" w:rsidRDefault="00766593" w:rsidP="00234CBE">
            <w:pPr>
              <w:spacing w:line="276" w:lineRule="auto"/>
              <w:jc w:val="center"/>
              <w:rPr>
                <w:rFonts w:ascii="Book Antiqua" w:hAnsi="Book Antiqua" w:cs="Calibri"/>
                <w:b/>
                <w:bCs/>
                <w:color w:val="000000"/>
                <w:sz w:val="16"/>
                <w:szCs w:val="16"/>
                <w:u w:val="single"/>
                <w:lang w:eastAsia="es-CR"/>
              </w:rPr>
            </w:pPr>
            <w:r w:rsidRPr="00766593">
              <w:rPr>
                <w:rFonts w:ascii="Book Antiqua" w:hAnsi="Book Antiqua" w:cs="Calibri"/>
                <w:b/>
                <w:bCs/>
                <w:color w:val="000000"/>
                <w:sz w:val="16"/>
                <w:szCs w:val="16"/>
                <w:u w:val="single"/>
                <w:lang w:eastAsia="es-CR"/>
              </w:rPr>
              <w:t>515 706</w:t>
            </w:r>
          </w:p>
        </w:tc>
        <w:tc>
          <w:tcPr>
            <w:tcW w:w="1367" w:type="dxa"/>
            <w:tcBorders>
              <w:top w:val="nil"/>
              <w:left w:val="nil"/>
              <w:bottom w:val="single" w:sz="4" w:space="0" w:color="auto"/>
              <w:right w:val="single" w:sz="4" w:space="0" w:color="auto"/>
            </w:tcBorders>
            <w:shd w:val="clear" w:color="auto" w:fill="auto"/>
            <w:noWrap/>
            <w:vAlign w:val="center"/>
            <w:hideMark/>
          </w:tcPr>
          <w:p w14:paraId="0A459BD8" w14:textId="77777777" w:rsidR="00766593" w:rsidRPr="00766593" w:rsidRDefault="00766593" w:rsidP="00234CBE">
            <w:pPr>
              <w:spacing w:line="276" w:lineRule="auto"/>
              <w:jc w:val="center"/>
              <w:rPr>
                <w:rFonts w:ascii="Book Antiqua" w:hAnsi="Book Antiqua" w:cs="Calibri"/>
                <w:b/>
                <w:bCs/>
                <w:color w:val="000000"/>
                <w:sz w:val="16"/>
                <w:szCs w:val="16"/>
                <w:u w:val="single"/>
                <w:lang w:eastAsia="es-CR"/>
              </w:rPr>
            </w:pPr>
            <w:r w:rsidRPr="00766593">
              <w:rPr>
                <w:rFonts w:ascii="Book Antiqua" w:hAnsi="Book Antiqua" w:cs="Calibri"/>
                <w:b/>
                <w:bCs/>
                <w:color w:val="000000"/>
                <w:sz w:val="16"/>
                <w:szCs w:val="16"/>
                <w:u w:val="single"/>
                <w:lang w:eastAsia="es-CR"/>
              </w:rPr>
              <w:t>-0,85%</w:t>
            </w:r>
          </w:p>
        </w:tc>
      </w:tr>
      <w:tr w:rsidR="00766593" w:rsidRPr="00766593" w14:paraId="0D04DB21" w14:textId="77777777" w:rsidTr="00766593">
        <w:trPr>
          <w:trHeight w:val="214"/>
          <w:jc w:val="center"/>
        </w:trPr>
        <w:tc>
          <w:tcPr>
            <w:tcW w:w="2763" w:type="dxa"/>
            <w:tcBorders>
              <w:top w:val="nil"/>
              <w:left w:val="single" w:sz="4" w:space="0" w:color="auto"/>
              <w:bottom w:val="single" w:sz="4" w:space="0" w:color="auto"/>
              <w:right w:val="single" w:sz="4" w:space="0" w:color="auto"/>
            </w:tcBorders>
            <w:shd w:val="clear" w:color="auto" w:fill="auto"/>
            <w:noWrap/>
            <w:vAlign w:val="center"/>
            <w:hideMark/>
          </w:tcPr>
          <w:p w14:paraId="7713CDE2" w14:textId="77777777" w:rsidR="00766593" w:rsidRPr="00766593" w:rsidRDefault="00766593" w:rsidP="00234CBE">
            <w:pPr>
              <w:spacing w:line="276" w:lineRule="auto"/>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 </w:t>
            </w:r>
          </w:p>
        </w:tc>
        <w:tc>
          <w:tcPr>
            <w:tcW w:w="723" w:type="dxa"/>
            <w:tcBorders>
              <w:top w:val="nil"/>
              <w:left w:val="nil"/>
              <w:bottom w:val="single" w:sz="4" w:space="0" w:color="auto"/>
              <w:right w:val="single" w:sz="4" w:space="0" w:color="auto"/>
            </w:tcBorders>
            <w:shd w:val="clear" w:color="auto" w:fill="auto"/>
            <w:noWrap/>
            <w:vAlign w:val="bottom"/>
            <w:hideMark/>
          </w:tcPr>
          <w:p w14:paraId="4DCE3D4E" w14:textId="77777777" w:rsidR="00766593" w:rsidRPr="00766593" w:rsidRDefault="00766593" w:rsidP="00234CBE">
            <w:pPr>
              <w:spacing w:line="276" w:lineRule="auto"/>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 </w:t>
            </w:r>
          </w:p>
        </w:tc>
        <w:tc>
          <w:tcPr>
            <w:tcW w:w="757" w:type="dxa"/>
            <w:tcBorders>
              <w:top w:val="nil"/>
              <w:left w:val="nil"/>
              <w:bottom w:val="single" w:sz="4" w:space="0" w:color="auto"/>
              <w:right w:val="single" w:sz="4" w:space="0" w:color="auto"/>
            </w:tcBorders>
            <w:shd w:val="clear" w:color="auto" w:fill="auto"/>
            <w:noWrap/>
            <w:vAlign w:val="bottom"/>
            <w:hideMark/>
          </w:tcPr>
          <w:p w14:paraId="7C12A9E1" w14:textId="77777777" w:rsidR="00766593" w:rsidRPr="00766593" w:rsidRDefault="00766593" w:rsidP="00234CBE">
            <w:pPr>
              <w:spacing w:line="276" w:lineRule="auto"/>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 </w:t>
            </w:r>
          </w:p>
        </w:tc>
        <w:tc>
          <w:tcPr>
            <w:tcW w:w="722" w:type="dxa"/>
            <w:tcBorders>
              <w:top w:val="nil"/>
              <w:left w:val="nil"/>
              <w:bottom w:val="single" w:sz="4" w:space="0" w:color="auto"/>
              <w:right w:val="single" w:sz="4" w:space="0" w:color="auto"/>
            </w:tcBorders>
            <w:shd w:val="clear" w:color="auto" w:fill="auto"/>
            <w:noWrap/>
            <w:vAlign w:val="bottom"/>
            <w:hideMark/>
          </w:tcPr>
          <w:p w14:paraId="730C270E" w14:textId="77777777" w:rsidR="00766593" w:rsidRPr="00766593" w:rsidRDefault="00766593" w:rsidP="00234CBE">
            <w:pPr>
              <w:spacing w:line="276" w:lineRule="auto"/>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 </w:t>
            </w:r>
          </w:p>
        </w:tc>
        <w:tc>
          <w:tcPr>
            <w:tcW w:w="722" w:type="dxa"/>
            <w:tcBorders>
              <w:top w:val="nil"/>
              <w:left w:val="nil"/>
              <w:bottom w:val="single" w:sz="4" w:space="0" w:color="auto"/>
              <w:right w:val="single" w:sz="4" w:space="0" w:color="auto"/>
            </w:tcBorders>
            <w:shd w:val="clear" w:color="auto" w:fill="auto"/>
            <w:noWrap/>
            <w:vAlign w:val="bottom"/>
            <w:hideMark/>
          </w:tcPr>
          <w:p w14:paraId="344329EA" w14:textId="77777777" w:rsidR="00766593" w:rsidRPr="00766593" w:rsidRDefault="00766593" w:rsidP="00234CBE">
            <w:pPr>
              <w:spacing w:line="276" w:lineRule="auto"/>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 </w:t>
            </w:r>
          </w:p>
        </w:tc>
        <w:tc>
          <w:tcPr>
            <w:tcW w:w="722" w:type="dxa"/>
            <w:tcBorders>
              <w:top w:val="nil"/>
              <w:left w:val="nil"/>
              <w:bottom w:val="single" w:sz="4" w:space="0" w:color="auto"/>
              <w:right w:val="single" w:sz="4" w:space="0" w:color="auto"/>
            </w:tcBorders>
            <w:shd w:val="clear" w:color="auto" w:fill="auto"/>
            <w:noWrap/>
            <w:vAlign w:val="bottom"/>
            <w:hideMark/>
          </w:tcPr>
          <w:p w14:paraId="0FABCA28" w14:textId="77777777" w:rsidR="00766593" w:rsidRPr="00766593" w:rsidRDefault="00766593" w:rsidP="00234CBE">
            <w:pPr>
              <w:spacing w:line="276" w:lineRule="auto"/>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 </w:t>
            </w:r>
          </w:p>
        </w:tc>
        <w:tc>
          <w:tcPr>
            <w:tcW w:w="722" w:type="dxa"/>
            <w:tcBorders>
              <w:top w:val="nil"/>
              <w:left w:val="nil"/>
              <w:bottom w:val="single" w:sz="4" w:space="0" w:color="auto"/>
              <w:right w:val="single" w:sz="4" w:space="0" w:color="auto"/>
            </w:tcBorders>
            <w:shd w:val="clear" w:color="auto" w:fill="auto"/>
            <w:noWrap/>
            <w:vAlign w:val="bottom"/>
            <w:hideMark/>
          </w:tcPr>
          <w:p w14:paraId="4C771355" w14:textId="77777777" w:rsidR="00766593" w:rsidRPr="00766593" w:rsidRDefault="00766593" w:rsidP="00234CBE">
            <w:pPr>
              <w:spacing w:line="276" w:lineRule="auto"/>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 </w:t>
            </w:r>
          </w:p>
        </w:tc>
        <w:tc>
          <w:tcPr>
            <w:tcW w:w="722" w:type="dxa"/>
            <w:tcBorders>
              <w:top w:val="nil"/>
              <w:left w:val="nil"/>
              <w:bottom w:val="single" w:sz="4" w:space="0" w:color="auto"/>
              <w:right w:val="single" w:sz="4" w:space="0" w:color="auto"/>
            </w:tcBorders>
            <w:shd w:val="clear" w:color="auto" w:fill="auto"/>
            <w:noWrap/>
            <w:vAlign w:val="bottom"/>
            <w:hideMark/>
          </w:tcPr>
          <w:p w14:paraId="0F2D8391" w14:textId="77777777" w:rsidR="00766593" w:rsidRPr="00766593" w:rsidRDefault="00766593" w:rsidP="00234CBE">
            <w:pPr>
              <w:spacing w:line="276" w:lineRule="auto"/>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 </w:t>
            </w:r>
          </w:p>
        </w:tc>
        <w:tc>
          <w:tcPr>
            <w:tcW w:w="722" w:type="dxa"/>
            <w:tcBorders>
              <w:top w:val="nil"/>
              <w:left w:val="nil"/>
              <w:bottom w:val="single" w:sz="4" w:space="0" w:color="auto"/>
              <w:right w:val="single" w:sz="4" w:space="0" w:color="auto"/>
            </w:tcBorders>
            <w:shd w:val="clear" w:color="auto" w:fill="auto"/>
            <w:noWrap/>
            <w:vAlign w:val="bottom"/>
            <w:hideMark/>
          </w:tcPr>
          <w:p w14:paraId="601D036D" w14:textId="77777777" w:rsidR="00766593" w:rsidRPr="00766593" w:rsidRDefault="00766593" w:rsidP="00234CBE">
            <w:pPr>
              <w:spacing w:line="276" w:lineRule="auto"/>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 </w:t>
            </w:r>
          </w:p>
        </w:tc>
        <w:tc>
          <w:tcPr>
            <w:tcW w:w="968" w:type="dxa"/>
            <w:tcBorders>
              <w:top w:val="nil"/>
              <w:left w:val="nil"/>
              <w:bottom w:val="single" w:sz="4" w:space="0" w:color="auto"/>
              <w:right w:val="single" w:sz="4" w:space="0" w:color="auto"/>
            </w:tcBorders>
            <w:shd w:val="clear" w:color="auto" w:fill="auto"/>
            <w:noWrap/>
            <w:vAlign w:val="bottom"/>
            <w:hideMark/>
          </w:tcPr>
          <w:p w14:paraId="54195DD0" w14:textId="77777777" w:rsidR="00766593" w:rsidRPr="00766593" w:rsidRDefault="00766593" w:rsidP="00234CBE">
            <w:pPr>
              <w:spacing w:line="276" w:lineRule="auto"/>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 </w:t>
            </w:r>
          </w:p>
        </w:tc>
        <w:tc>
          <w:tcPr>
            <w:tcW w:w="1367" w:type="dxa"/>
            <w:tcBorders>
              <w:top w:val="nil"/>
              <w:left w:val="nil"/>
              <w:bottom w:val="single" w:sz="4" w:space="0" w:color="auto"/>
              <w:right w:val="single" w:sz="4" w:space="0" w:color="auto"/>
            </w:tcBorders>
            <w:shd w:val="clear" w:color="auto" w:fill="auto"/>
            <w:noWrap/>
            <w:vAlign w:val="center"/>
            <w:hideMark/>
          </w:tcPr>
          <w:p w14:paraId="6C30E002"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 </w:t>
            </w:r>
          </w:p>
        </w:tc>
      </w:tr>
      <w:tr w:rsidR="00766593" w:rsidRPr="00766593" w14:paraId="340CD2D2" w14:textId="77777777" w:rsidTr="00766593">
        <w:trPr>
          <w:trHeight w:val="214"/>
          <w:jc w:val="center"/>
        </w:trPr>
        <w:tc>
          <w:tcPr>
            <w:tcW w:w="2763" w:type="dxa"/>
            <w:tcBorders>
              <w:top w:val="nil"/>
              <w:left w:val="single" w:sz="4" w:space="0" w:color="auto"/>
              <w:bottom w:val="single" w:sz="4" w:space="0" w:color="auto"/>
              <w:right w:val="single" w:sz="4" w:space="0" w:color="auto"/>
            </w:tcBorders>
            <w:shd w:val="clear" w:color="auto" w:fill="auto"/>
            <w:noWrap/>
            <w:vAlign w:val="center"/>
            <w:hideMark/>
          </w:tcPr>
          <w:p w14:paraId="0E573B23" w14:textId="77777777" w:rsidR="00766593" w:rsidRPr="00766593" w:rsidRDefault="00766593" w:rsidP="00234CBE">
            <w:pPr>
              <w:spacing w:line="276" w:lineRule="auto"/>
              <w:rPr>
                <w:rFonts w:ascii="Book Antiqua" w:hAnsi="Book Antiqua" w:cs="Calibri"/>
                <w:b/>
                <w:bCs/>
                <w:color w:val="000000"/>
                <w:sz w:val="16"/>
                <w:szCs w:val="16"/>
                <w:lang w:eastAsia="es-CR"/>
              </w:rPr>
            </w:pPr>
            <w:r w:rsidRPr="00766593">
              <w:rPr>
                <w:rFonts w:ascii="Book Antiqua" w:hAnsi="Book Antiqua" w:cs="Calibri"/>
                <w:b/>
                <w:bCs/>
                <w:color w:val="000000"/>
                <w:sz w:val="16"/>
                <w:szCs w:val="16"/>
                <w:lang w:eastAsia="es-CR"/>
              </w:rPr>
              <w:t>II Instancia y Casación</w:t>
            </w:r>
          </w:p>
        </w:tc>
        <w:tc>
          <w:tcPr>
            <w:tcW w:w="723" w:type="dxa"/>
            <w:tcBorders>
              <w:top w:val="nil"/>
              <w:left w:val="nil"/>
              <w:bottom w:val="single" w:sz="4" w:space="0" w:color="auto"/>
              <w:right w:val="single" w:sz="4" w:space="0" w:color="auto"/>
            </w:tcBorders>
            <w:shd w:val="clear" w:color="auto" w:fill="auto"/>
            <w:noWrap/>
            <w:vAlign w:val="center"/>
            <w:hideMark/>
          </w:tcPr>
          <w:p w14:paraId="43845F64" w14:textId="77777777" w:rsidR="00766593" w:rsidRPr="00766593" w:rsidRDefault="00766593" w:rsidP="00234CBE">
            <w:pPr>
              <w:spacing w:line="276" w:lineRule="auto"/>
              <w:jc w:val="center"/>
              <w:rPr>
                <w:rFonts w:ascii="Book Antiqua" w:hAnsi="Book Antiqua" w:cs="Calibri"/>
                <w:b/>
                <w:bCs/>
                <w:color w:val="000000"/>
                <w:sz w:val="16"/>
                <w:szCs w:val="16"/>
                <w:u w:val="single"/>
                <w:lang w:eastAsia="es-CR"/>
              </w:rPr>
            </w:pPr>
            <w:r w:rsidRPr="00766593">
              <w:rPr>
                <w:rFonts w:ascii="Book Antiqua" w:hAnsi="Book Antiqua" w:cs="Calibri"/>
                <w:b/>
                <w:bCs/>
                <w:color w:val="000000"/>
                <w:sz w:val="16"/>
                <w:szCs w:val="16"/>
                <w:u w:val="single"/>
                <w:lang w:eastAsia="es-CR"/>
              </w:rPr>
              <w:t>18 786</w:t>
            </w:r>
          </w:p>
        </w:tc>
        <w:tc>
          <w:tcPr>
            <w:tcW w:w="757" w:type="dxa"/>
            <w:tcBorders>
              <w:top w:val="nil"/>
              <w:left w:val="nil"/>
              <w:bottom w:val="single" w:sz="4" w:space="0" w:color="auto"/>
              <w:right w:val="single" w:sz="4" w:space="0" w:color="auto"/>
            </w:tcBorders>
            <w:shd w:val="clear" w:color="auto" w:fill="auto"/>
            <w:noWrap/>
            <w:vAlign w:val="center"/>
            <w:hideMark/>
          </w:tcPr>
          <w:p w14:paraId="484C6994" w14:textId="77777777" w:rsidR="00766593" w:rsidRPr="00766593" w:rsidRDefault="00766593" w:rsidP="00234CBE">
            <w:pPr>
              <w:spacing w:line="276" w:lineRule="auto"/>
              <w:jc w:val="center"/>
              <w:rPr>
                <w:rFonts w:ascii="Book Antiqua" w:hAnsi="Book Antiqua" w:cs="Calibri"/>
                <w:b/>
                <w:bCs/>
                <w:color w:val="000000"/>
                <w:sz w:val="16"/>
                <w:szCs w:val="16"/>
                <w:u w:val="single"/>
                <w:lang w:eastAsia="es-CR"/>
              </w:rPr>
            </w:pPr>
            <w:r w:rsidRPr="00766593">
              <w:rPr>
                <w:rFonts w:ascii="Book Antiqua" w:hAnsi="Book Antiqua" w:cs="Calibri"/>
                <w:b/>
                <w:bCs/>
                <w:color w:val="000000"/>
                <w:sz w:val="16"/>
                <w:szCs w:val="16"/>
                <w:u w:val="single"/>
                <w:lang w:eastAsia="es-CR"/>
              </w:rPr>
              <w:t>18 889</w:t>
            </w:r>
          </w:p>
        </w:tc>
        <w:tc>
          <w:tcPr>
            <w:tcW w:w="722" w:type="dxa"/>
            <w:tcBorders>
              <w:top w:val="nil"/>
              <w:left w:val="nil"/>
              <w:bottom w:val="single" w:sz="4" w:space="0" w:color="auto"/>
              <w:right w:val="single" w:sz="4" w:space="0" w:color="auto"/>
            </w:tcBorders>
            <w:shd w:val="clear" w:color="auto" w:fill="auto"/>
            <w:noWrap/>
            <w:vAlign w:val="center"/>
            <w:hideMark/>
          </w:tcPr>
          <w:p w14:paraId="367B1BF9" w14:textId="77777777" w:rsidR="00766593" w:rsidRPr="00766593" w:rsidRDefault="00766593" w:rsidP="00234CBE">
            <w:pPr>
              <w:spacing w:line="276" w:lineRule="auto"/>
              <w:jc w:val="center"/>
              <w:rPr>
                <w:rFonts w:ascii="Book Antiqua" w:hAnsi="Book Antiqua" w:cs="Calibri"/>
                <w:b/>
                <w:bCs/>
                <w:color w:val="000000"/>
                <w:sz w:val="16"/>
                <w:szCs w:val="16"/>
                <w:u w:val="single"/>
                <w:lang w:eastAsia="es-CR"/>
              </w:rPr>
            </w:pPr>
            <w:r w:rsidRPr="00766593">
              <w:rPr>
                <w:rFonts w:ascii="Book Antiqua" w:hAnsi="Book Antiqua" w:cs="Calibri"/>
                <w:b/>
                <w:bCs/>
                <w:color w:val="000000"/>
                <w:sz w:val="16"/>
                <w:szCs w:val="16"/>
                <w:u w:val="single"/>
                <w:lang w:eastAsia="es-CR"/>
              </w:rPr>
              <w:t>19 148</w:t>
            </w:r>
          </w:p>
        </w:tc>
        <w:tc>
          <w:tcPr>
            <w:tcW w:w="722" w:type="dxa"/>
            <w:tcBorders>
              <w:top w:val="nil"/>
              <w:left w:val="nil"/>
              <w:bottom w:val="single" w:sz="4" w:space="0" w:color="auto"/>
              <w:right w:val="single" w:sz="4" w:space="0" w:color="auto"/>
            </w:tcBorders>
            <w:shd w:val="clear" w:color="auto" w:fill="auto"/>
            <w:noWrap/>
            <w:vAlign w:val="center"/>
            <w:hideMark/>
          </w:tcPr>
          <w:p w14:paraId="2BECE4B1" w14:textId="77777777" w:rsidR="00766593" w:rsidRPr="00766593" w:rsidRDefault="00766593" w:rsidP="00234CBE">
            <w:pPr>
              <w:spacing w:line="276" w:lineRule="auto"/>
              <w:jc w:val="center"/>
              <w:rPr>
                <w:rFonts w:ascii="Book Antiqua" w:hAnsi="Book Antiqua" w:cs="Calibri"/>
                <w:b/>
                <w:bCs/>
                <w:color w:val="000000"/>
                <w:sz w:val="16"/>
                <w:szCs w:val="16"/>
                <w:u w:val="single"/>
                <w:lang w:eastAsia="es-CR"/>
              </w:rPr>
            </w:pPr>
            <w:r w:rsidRPr="00766593">
              <w:rPr>
                <w:rFonts w:ascii="Book Antiqua" w:hAnsi="Book Antiqua" w:cs="Calibri"/>
                <w:b/>
                <w:bCs/>
                <w:color w:val="000000"/>
                <w:sz w:val="16"/>
                <w:szCs w:val="16"/>
                <w:u w:val="single"/>
                <w:lang w:eastAsia="es-CR"/>
              </w:rPr>
              <w:t>18 944</w:t>
            </w:r>
          </w:p>
        </w:tc>
        <w:tc>
          <w:tcPr>
            <w:tcW w:w="722" w:type="dxa"/>
            <w:tcBorders>
              <w:top w:val="nil"/>
              <w:left w:val="nil"/>
              <w:bottom w:val="single" w:sz="4" w:space="0" w:color="auto"/>
              <w:right w:val="single" w:sz="4" w:space="0" w:color="auto"/>
            </w:tcBorders>
            <w:shd w:val="clear" w:color="auto" w:fill="auto"/>
            <w:noWrap/>
            <w:vAlign w:val="center"/>
            <w:hideMark/>
          </w:tcPr>
          <w:p w14:paraId="3A0E2DD9" w14:textId="77777777" w:rsidR="00766593" w:rsidRPr="00766593" w:rsidRDefault="00766593" w:rsidP="00234CBE">
            <w:pPr>
              <w:spacing w:line="276" w:lineRule="auto"/>
              <w:jc w:val="center"/>
              <w:rPr>
                <w:rFonts w:ascii="Book Antiqua" w:hAnsi="Book Antiqua" w:cs="Calibri"/>
                <w:b/>
                <w:bCs/>
                <w:color w:val="000000"/>
                <w:sz w:val="16"/>
                <w:szCs w:val="16"/>
                <w:u w:val="single"/>
                <w:lang w:eastAsia="es-CR"/>
              </w:rPr>
            </w:pPr>
            <w:r w:rsidRPr="00766593">
              <w:rPr>
                <w:rFonts w:ascii="Book Antiqua" w:hAnsi="Book Antiqua" w:cs="Calibri"/>
                <w:b/>
                <w:bCs/>
                <w:color w:val="000000"/>
                <w:sz w:val="16"/>
                <w:szCs w:val="16"/>
                <w:u w:val="single"/>
                <w:lang w:eastAsia="es-CR"/>
              </w:rPr>
              <w:t>17 594</w:t>
            </w:r>
          </w:p>
        </w:tc>
        <w:tc>
          <w:tcPr>
            <w:tcW w:w="722" w:type="dxa"/>
            <w:tcBorders>
              <w:top w:val="nil"/>
              <w:left w:val="nil"/>
              <w:bottom w:val="single" w:sz="4" w:space="0" w:color="auto"/>
              <w:right w:val="single" w:sz="4" w:space="0" w:color="auto"/>
            </w:tcBorders>
            <w:shd w:val="clear" w:color="auto" w:fill="auto"/>
            <w:noWrap/>
            <w:vAlign w:val="center"/>
            <w:hideMark/>
          </w:tcPr>
          <w:p w14:paraId="4D01A59D" w14:textId="77777777" w:rsidR="00766593" w:rsidRPr="00766593" w:rsidRDefault="00766593" w:rsidP="00234CBE">
            <w:pPr>
              <w:spacing w:line="276" w:lineRule="auto"/>
              <w:jc w:val="center"/>
              <w:rPr>
                <w:rFonts w:ascii="Book Antiqua" w:hAnsi="Book Antiqua" w:cs="Calibri"/>
                <w:b/>
                <w:bCs/>
                <w:color w:val="000000"/>
                <w:sz w:val="16"/>
                <w:szCs w:val="16"/>
                <w:u w:val="single"/>
                <w:lang w:eastAsia="es-CR"/>
              </w:rPr>
            </w:pPr>
            <w:r w:rsidRPr="00766593">
              <w:rPr>
                <w:rFonts w:ascii="Book Antiqua" w:hAnsi="Book Antiqua" w:cs="Calibri"/>
                <w:b/>
                <w:bCs/>
                <w:color w:val="000000"/>
                <w:sz w:val="16"/>
                <w:szCs w:val="16"/>
                <w:u w:val="single"/>
                <w:lang w:eastAsia="es-CR"/>
              </w:rPr>
              <w:t>17 666</w:t>
            </w:r>
          </w:p>
        </w:tc>
        <w:tc>
          <w:tcPr>
            <w:tcW w:w="722" w:type="dxa"/>
            <w:tcBorders>
              <w:top w:val="nil"/>
              <w:left w:val="nil"/>
              <w:bottom w:val="single" w:sz="4" w:space="0" w:color="auto"/>
              <w:right w:val="single" w:sz="4" w:space="0" w:color="auto"/>
            </w:tcBorders>
            <w:shd w:val="clear" w:color="auto" w:fill="auto"/>
            <w:noWrap/>
            <w:vAlign w:val="center"/>
            <w:hideMark/>
          </w:tcPr>
          <w:p w14:paraId="533B5253" w14:textId="77777777" w:rsidR="00766593" w:rsidRPr="00766593" w:rsidRDefault="00766593" w:rsidP="00234CBE">
            <w:pPr>
              <w:spacing w:line="276" w:lineRule="auto"/>
              <w:jc w:val="center"/>
              <w:rPr>
                <w:rFonts w:ascii="Book Antiqua" w:hAnsi="Book Antiqua" w:cs="Calibri"/>
                <w:b/>
                <w:bCs/>
                <w:color w:val="000000"/>
                <w:sz w:val="16"/>
                <w:szCs w:val="16"/>
                <w:u w:val="single"/>
                <w:lang w:eastAsia="es-CR"/>
              </w:rPr>
            </w:pPr>
            <w:r w:rsidRPr="00766593">
              <w:rPr>
                <w:rFonts w:ascii="Book Antiqua" w:hAnsi="Book Antiqua" w:cs="Calibri"/>
                <w:b/>
                <w:bCs/>
                <w:color w:val="000000"/>
                <w:sz w:val="16"/>
                <w:szCs w:val="16"/>
                <w:u w:val="single"/>
                <w:lang w:eastAsia="es-CR"/>
              </w:rPr>
              <w:t>17 637</w:t>
            </w:r>
          </w:p>
        </w:tc>
        <w:tc>
          <w:tcPr>
            <w:tcW w:w="722" w:type="dxa"/>
            <w:tcBorders>
              <w:top w:val="nil"/>
              <w:left w:val="nil"/>
              <w:bottom w:val="single" w:sz="4" w:space="0" w:color="auto"/>
              <w:right w:val="single" w:sz="4" w:space="0" w:color="auto"/>
            </w:tcBorders>
            <w:shd w:val="clear" w:color="auto" w:fill="auto"/>
            <w:noWrap/>
            <w:vAlign w:val="center"/>
            <w:hideMark/>
          </w:tcPr>
          <w:p w14:paraId="25D20F46" w14:textId="77777777" w:rsidR="00766593" w:rsidRPr="00766593" w:rsidRDefault="00766593" w:rsidP="00234CBE">
            <w:pPr>
              <w:spacing w:line="276" w:lineRule="auto"/>
              <w:jc w:val="center"/>
              <w:rPr>
                <w:rFonts w:ascii="Book Antiqua" w:hAnsi="Book Antiqua" w:cs="Calibri"/>
                <w:b/>
                <w:bCs/>
                <w:color w:val="000000"/>
                <w:sz w:val="16"/>
                <w:szCs w:val="16"/>
                <w:u w:val="single"/>
                <w:lang w:eastAsia="es-CR"/>
              </w:rPr>
            </w:pPr>
            <w:r w:rsidRPr="00766593">
              <w:rPr>
                <w:rFonts w:ascii="Book Antiqua" w:hAnsi="Book Antiqua" w:cs="Calibri"/>
                <w:b/>
                <w:bCs/>
                <w:color w:val="000000"/>
                <w:sz w:val="16"/>
                <w:szCs w:val="16"/>
                <w:u w:val="single"/>
                <w:lang w:eastAsia="es-CR"/>
              </w:rPr>
              <w:t>17 920</w:t>
            </w:r>
          </w:p>
        </w:tc>
        <w:tc>
          <w:tcPr>
            <w:tcW w:w="968" w:type="dxa"/>
            <w:tcBorders>
              <w:top w:val="nil"/>
              <w:left w:val="nil"/>
              <w:bottom w:val="single" w:sz="4" w:space="0" w:color="auto"/>
              <w:right w:val="single" w:sz="4" w:space="0" w:color="auto"/>
            </w:tcBorders>
            <w:shd w:val="clear" w:color="auto" w:fill="auto"/>
            <w:noWrap/>
            <w:vAlign w:val="center"/>
            <w:hideMark/>
          </w:tcPr>
          <w:p w14:paraId="06A0B119" w14:textId="77777777" w:rsidR="00766593" w:rsidRPr="00766593" w:rsidRDefault="00766593" w:rsidP="00234CBE">
            <w:pPr>
              <w:spacing w:line="276" w:lineRule="auto"/>
              <w:jc w:val="center"/>
              <w:rPr>
                <w:rFonts w:ascii="Book Antiqua" w:hAnsi="Book Antiqua" w:cs="Calibri"/>
                <w:b/>
                <w:bCs/>
                <w:color w:val="000000"/>
                <w:sz w:val="16"/>
                <w:szCs w:val="16"/>
                <w:u w:val="single"/>
                <w:lang w:eastAsia="es-CR"/>
              </w:rPr>
            </w:pPr>
            <w:r w:rsidRPr="00766593">
              <w:rPr>
                <w:rFonts w:ascii="Book Antiqua" w:hAnsi="Book Antiqua" w:cs="Calibri"/>
                <w:b/>
                <w:bCs/>
                <w:color w:val="000000"/>
                <w:sz w:val="16"/>
                <w:szCs w:val="16"/>
                <w:u w:val="single"/>
                <w:lang w:eastAsia="es-CR"/>
              </w:rPr>
              <w:t>18 307</w:t>
            </w:r>
          </w:p>
        </w:tc>
        <w:tc>
          <w:tcPr>
            <w:tcW w:w="1367" w:type="dxa"/>
            <w:tcBorders>
              <w:top w:val="nil"/>
              <w:left w:val="nil"/>
              <w:bottom w:val="single" w:sz="4" w:space="0" w:color="auto"/>
              <w:right w:val="single" w:sz="4" w:space="0" w:color="auto"/>
            </w:tcBorders>
            <w:shd w:val="clear" w:color="auto" w:fill="auto"/>
            <w:noWrap/>
            <w:vAlign w:val="center"/>
            <w:hideMark/>
          </w:tcPr>
          <w:p w14:paraId="5DB6B631" w14:textId="77777777" w:rsidR="00766593" w:rsidRPr="00766593" w:rsidRDefault="00766593" w:rsidP="00234CBE">
            <w:pPr>
              <w:spacing w:line="276" w:lineRule="auto"/>
              <w:jc w:val="center"/>
              <w:rPr>
                <w:rFonts w:ascii="Book Antiqua" w:hAnsi="Book Antiqua" w:cs="Calibri"/>
                <w:b/>
                <w:bCs/>
                <w:color w:val="000000"/>
                <w:sz w:val="16"/>
                <w:szCs w:val="16"/>
                <w:u w:val="single"/>
                <w:lang w:eastAsia="es-CR"/>
              </w:rPr>
            </w:pPr>
            <w:r w:rsidRPr="00766593">
              <w:rPr>
                <w:rFonts w:ascii="Book Antiqua" w:hAnsi="Book Antiqua" w:cs="Calibri"/>
                <w:b/>
                <w:bCs/>
                <w:color w:val="000000"/>
                <w:sz w:val="16"/>
                <w:szCs w:val="16"/>
                <w:u w:val="single"/>
                <w:lang w:eastAsia="es-CR"/>
              </w:rPr>
              <w:t>-2,55%</w:t>
            </w:r>
          </w:p>
        </w:tc>
      </w:tr>
      <w:tr w:rsidR="00766593" w:rsidRPr="00766593" w14:paraId="0A082FC8" w14:textId="77777777" w:rsidTr="00766593">
        <w:trPr>
          <w:trHeight w:val="214"/>
          <w:jc w:val="center"/>
        </w:trPr>
        <w:tc>
          <w:tcPr>
            <w:tcW w:w="2763" w:type="dxa"/>
            <w:tcBorders>
              <w:top w:val="nil"/>
              <w:left w:val="single" w:sz="4" w:space="0" w:color="auto"/>
              <w:bottom w:val="single" w:sz="4" w:space="0" w:color="auto"/>
              <w:right w:val="single" w:sz="4" w:space="0" w:color="auto"/>
            </w:tcBorders>
            <w:shd w:val="clear" w:color="auto" w:fill="auto"/>
            <w:noWrap/>
            <w:vAlign w:val="center"/>
            <w:hideMark/>
          </w:tcPr>
          <w:p w14:paraId="6B00880C" w14:textId="77777777" w:rsidR="00766593" w:rsidRPr="00766593" w:rsidRDefault="00766593" w:rsidP="00234CBE">
            <w:pPr>
              <w:spacing w:line="276" w:lineRule="auto"/>
              <w:jc w:val="right"/>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Sala Primera</w:t>
            </w:r>
          </w:p>
        </w:tc>
        <w:tc>
          <w:tcPr>
            <w:tcW w:w="723" w:type="dxa"/>
            <w:tcBorders>
              <w:top w:val="nil"/>
              <w:left w:val="nil"/>
              <w:bottom w:val="single" w:sz="4" w:space="0" w:color="auto"/>
              <w:right w:val="single" w:sz="4" w:space="0" w:color="auto"/>
            </w:tcBorders>
            <w:shd w:val="clear" w:color="auto" w:fill="auto"/>
            <w:noWrap/>
            <w:vAlign w:val="center"/>
            <w:hideMark/>
          </w:tcPr>
          <w:p w14:paraId="0E701253"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3746</w:t>
            </w:r>
          </w:p>
        </w:tc>
        <w:tc>
          <w:tcPr>
            <w:tcW w:w="757" w:type="dxa"/>
            <w:tcBorders>
              <w:top w:val="nil"/>
              <w:left w:val="nil"/>
              <w:bottom w:val="single" w:sz="4" w:space="0" w:color="auto"/>
              <w:right w:val="single" w:sz="4" w:space="0" w:color="auto"/>
            </w:tcBorders>
            <w:shd w:val="clear" w:color="auto" w:fill="auto"/>
            <w:noWrap/>
            <w:vAlign w:val="center"/>
            <w:hideMark/>
          </w:tcPr>
          <w:p w14:paraId="7C7BA53C"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3640</w:t>
            </w:r>
          </w:p>
        </w:tc>
        <w:tc>
          <w:tcPr>
            <w:tcW w:w="722" w:type="dxa"/>
            <w:tcBorders>
              <w:top w:val="nil"/>
              <w:left w:val="nil"/>
              <w:bottom w:val="single" w:sz="4" w:space="0" w:color="auto"/>
              <w:right w:val="single" w:sz="4" w:space="0" w:color="auto"/>
            </w:tcBorders>
            <w:shd w:val="clear" w:color="auto" w:fill="auto"/>
            <w:noWrap/>
            <w:vAlign w:val="center"/>
            <w:hideMark/>
          </w:tcPr>
          <w:p w14:paraId="2E7ED9A5"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3506</w:t>
            </w:r>
          </w:p>
        </w:tc>
        <w:tc>
          <w:tcPr>
            <w:tcW w:w="722" w:type="dxa"/>
            <w:tcBorders>
              <w:top w:val="nil"/>
              <w:left w:val="nil"/>
              <w:bottom w:val="single" w:sz="4" w:space="0" w:color="auto"/>
              <w:right w:val="single" w:sz="4" w:space="0" w:color="auto"/>
            </w:tcBorders>
            <w:shd w:val="clear" w:color="auto" w:fill="auto"/>
            <w:noWrap/>
            <w:vAlign w:val="center"/>
            <w:hideMark/>
          </w:tcPr>
          <w:p w14:paraId="537069AE"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3558</w:t>
            </w:r>
          </w:p>
        </w:tc>
        <w:tc>
          <w:tcPr>
            <w:tcW w:w="722" w:type="dxa"/>
            <w:tcBorders>
              <w:top w:val="nil"/>
              <w:left w:val="nil"/>
              <w:bottom w:val="single" w:sz="4" w:space="0" w:color="auto"/>
              <w:right w:val="single" w:sz="4" w:space="0" w:color="auto"/>
            </w:tcBorders>
            <w:shd w:val="clear" w:color="auto" w:fill="auto"/>
            <w:noWrap/>
            <w:vAlign w:val="center"/>
            <w:hideMark/>
          </w:tcPr>
          <w:p w14:paraId="1A9310C7"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3612</w:t>
            </w:r>
          </w:p>
        </w:tc>
        <w:tc>
          <w:tcPr>
            <w:tcW w:w="722" w:type="dxa"/>
            <w:tcBorders>
              <w:top w:val="nil"/>
              <w:left w:val="nil"/>
              <w:bottom w:val="single" w:sz="4" w:space="0" w:color="auto"/>
              <w:right w:val="single" w:sz="4" w:space="0" w:color="auto"/>
            </w:tcBorders>
            <w:shd w:val="clear" w:color="auto" w:fill="auto"/>
            <w:noWrap/>
            <w:vAlign w:val="center"/>
            <w:hideMark/>
          </w:tcPr>
          <w:p w14:paraId="16F77099"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3624</w:t>
            </w:r>
          </w:p>
        </w:tc>
        <w:tc>
          <w:tcPr>
            <w:tcW w:w="722" w:type="dxa"/>
            <w:tcBorders>
              <w:top w:val="nil"/>
              <w:left w:val="nil"/>
              <w:bottom w:val="single" w:sz="4" w:space="0" w:color="auto"/>
              <w:right w:val="single" w:sz="4" w:space="0" w:color="auto"/>
            </w:tcBorders>
            <w:shd w:val="clear" w:color="auto" w:fill="auto"/>
            <w:noWrap/>
            <w:vAlign w:val="center"/>
            <w:hideMark/>
          </w:tcPr>
          <w:p w14:paraId="2DA749F1"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3680</w:t>
            </w:r>
          </w:p>
        </w:tc>
        <w:tc>
          <w:tcPr>
            <w:tcW w:w="722" w:type="dxa"/>
            <w:tcBorders>
              <w:top w:val="nil"/>
              <w:left w:val="nil"/>
              <w:bottom w:val="single" w:sz="4" w:space="0" w:color="auto"/>
              <w:right w:val="single" w:sz="4" w:space="0" w:color="auto"/>
            </w:tcBorders>
            <w:shd w:val="clear" w:color="auto" w:fill="auto"/>
            <w:noWrap/>
            <w:vAlign w:val="center"/>
            <w:hideMark/>
          </w:tcPr>
          <w:p w14:paraId="05CC6A69"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3642</w:t>
            </w:r>
          </w:p>
        </w:tc>
        <w:tc>
          <w:tcPr>
            <w:tcW w:w="968" w:type="dxa"/>
            <w:tcBorders>
              <w:top w:val="nil"/>
              <w:left w:val="nil"/>
              <w:bottom w:val="single" w:sz="4" w:space="0" w:color="auto"/>
              <w:right w:val="single" w:sz="4" w:space="0" w:color="auto"/>
            </w:tcBorders>
            <w:shd w:val="clear" w:color="auto" w:fill="auto"/>
            <w:noWrap/>
            <w:vAlign w:val="center"/>
            <w:hideMark/>
          </w:tcPr>
          <w:p w14:paraId="0E1AF90B"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3559</w:t>
            </w:r>
          </w:p>
        </w:tc>
        <w:tc>
          <w:tcPr>
            <w:tcW w:w="1367" w:type="dxa"/>
            <w:tcBorders>
              <w:top w:val="nil"/>
              <w:left w:val="nil"/>
              <w:bottom w:val="single" w:sz="4" w:space="0" w:color="auto"/>
              <w:right w:val="single" w:sz="4" w:space="0" w:color="auto"/>
            </w:tcBorders>
            <w:shd w:val="clear" w:color="auto" w:fill="auto"/>
            <w:noWrap/>
            <w:vAlign w:val="center"/>
            <w:hideMark/>
          </w:tcPr>
          <w:p w14:paraId="3BD0C5A2"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-4,99%</w:t>
            </w:r>
          </w:p>
        </w:tc>
      </w:tr>
      <w:tr w:rsidR="00766593" w:rsidRPr="00766593" w14:paraId="26889390" w14:textId="77777777" w:rsidTr="00766593">
        <w:trPr>
          <w:trHeight w:val="214"/>
          <w:jc w:val="center"/>
        </w:trPr>
        <w:tc>
          <w:tcPr>
            <w:tcW w:w="2763" w:type="dxa"/>
            <w:tcBorders>
              <w:top w:val="nil"/>
              <w:left w:val="single" w:sz="4" w:space="0" w:color="auto"/>
              <w:bottom w:val="single" w:sz="4" w:space="0" w:color="auto"/>
              <w:right w:val="single" w:sz="4" w:space="0" w:color="auto"/>
            </w:tcBorders>
            <w:shd w:val="clear" w:color="auto" w:fill="auto"/>
            <w:noWrap/>
            <w:vAlign w:val="center"/>
            <w:hideMark/>
          </w:tcPr>
          <w:p w14:paraId="771DD409" w14:textId="77777777" w:rsidR="00766593" w:rsidRPr="00766593" w:rsidRDefault="00766593" w:rsidP="00234CBE">
            <w:pPr>
              <w:spacing w:line="276" w:lineRule="auto"/>
              <w:jc w:val="right"/>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 xml:space="preserve">Sala Primera-Tribunal de Casación </w:t>
            </w:r>
          </w:p>
        </w:tc>
        <w:tc>
          <w:tcPr>
            <w:tcW w:w="723" w:type="dxa"/>
            <w:tcBorders>
              <w:top w:val="nil"/>
              <w:left w:val="nil"/>
              <w:bottom w:val="single" w:sz="4" w:space="0" w:color="auto"/>
              <w:right w:val="single" w:sz="4" w:space="0" w:color="auto"/>
            </w:tcBorders>
            <w:shd w:val="clear" w:color="auto" w:fill="auto"/>
            <w:noWrap/>
            <w:vAlign w:val="center"/>
            <w:hideMark/>
          </w:tcPr>
          <w:p w14:paraId="4E5C48F1"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328</w:t>
            </w:r>
          </w:p>
        </w:tc>
        <w:tc>
          <w:tcPr>
            <w:tcW w:w="757" w:type="dxa"/>
            <w:tcBorders>
              <w:top w:val="nil"/>
              <w:left w:val="nil"/>
              <w:bottom w:val="single" w:sz="4" w:space="0" w:color="auto"/>
              <w:right w:val="single" w:sz="4" w:space="0" w:color="auto"/>
            </w:tcBorders>
            <w:shd w:val="clear" w:color="auto" w:fill="auto"/>
            <w:noWrap/>
            <w:vAlign w:val="center"/>
            <w:hideMark/>
          </w:tcPr>
          <w:p w14:paraId="45672024"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324</w:t>
            </w:r>
          </w:p>
        </w:tc>
        <w:tc>
          <w:tcPr>
            <w:tcW w:w="722" w:type="dxa"/>
            <w:tcBorders>
              <w:top w:val="nil"/>
              <w:left w:val="nil"/>
              <w:bottom w:val="single" w:sz="4" w:space="0" w:color="auto"/>
              <w:right w:val="single" w:sz="4" w:space="0" w:color="auto"/>
            </w:tcBorders>
            <w:shd w:val="clear" w:color="auto" w:fill="auto"/>
            <w:noWrap/>
            <w:vAlign w:val="center"/>
            <w:hideMark/>
          </w:tcPr>
          <w:p w14:paraId="2048CFB5"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314</w:t>
            </w:r>
          </w:p>
        </w:tc>
        <w:tc>
          <w:tcPr>
            <w:tcW w:w="722" w:type="dxa"/>
            <w:tcBorders>
              <w:top w:val="nil"/>
              <w:left w:val="nil"/>
              <w:bottom w:val="single" w:sz="4" w:space="0" w:color="auto"/>
              <w:right w:val="single" w:sz="4" w:space="0" w:color="auto"/>
            </w:tcBorders>
            <w:shd w:val="clear" w:color="auto" w:fill="auto"/>
            <w:noWrap/>
            <w:vAlign w:val="center"/>
            <w:hideMark/>
          </w:tcPr>
          <w:p w14:paraId="2455294C"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326</w:t>
            </w:r>
          </w:p>
        </w:tc>
        <w:tc>
          <w:tcPr>
            <w:tcW w:w="722" w:type="dxa"/>
            <w:tcBorders>
              <w:top w:val="nil"/>
              <w:left w:val="nil"/>
              <w:bottom w:val="single" w:sz="4" w:space="0" w:color="auto"/>
              <w:right w:val="single" w:sz="4" w:space="0" w:color="auto"/>
            </w:tcBorders>
            <w:shd w:val="clear" w:color="auto" w:fill="auto"/>
            <w:noWrap/>
            <w:vAlign w:val="center"/>
            <w:hideMark/>
          </w:tcPr>
          <w:p w14:paraId="721E1A94"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332</w:t>
            </w:r>
          </w:p>
        </w:tc>
        <w:tc>
          <w:tcPr>
            <w:tcW w:w="722" w:type="dxa"/>
            <w:tcBorders>
              <w:top w:val="nil"/>
              <w:left w:val="nil"/>
              <w:bottom w:val="single" w:sz="4" w:space="0" w:color="auto"/>
              <w:right w:val="single" w:sz="4" w:space="0" w:color="auto"/>
            </w:tcBorders>
            <w:shd w:val="clear" w:color="auto" w:fill="auto"/>
            <w:noWrap/>
            <w:vAlign w:val="center"/>
            <w:hideMark/>
          </w:tcPr>
          <w:p w14:paraId="07EE9508"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332</w:t>
            </w:r>
          </w:p>
        </w:tc>
        <w:tc>
          <w:tcPr>
            <w:tcW w:w="722" w:type="dxa"/>
            <w:tcBorders>
              <w:top w:val="nil"/>
              <w:left w:val="nil"/>
              <w:bottom w:val="single" w:sz="4" w:space="0" w:color="auto"/>
              <w:right w:val="single" w:sz="4" w:space="0" w:color="auto"/>
            </w:tcBorders>
            <w:shd w:val="clear" w:color="auto" w:fill="auto"/>
            <w:noWrap/>
            <w:vAlign w:val="center"/>
            <w:hideMark/>
          </w:tcPr>
          <w:p w14:paraId="66D811B8"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340</w:t>
            </w:r>
          </w:p>
        </w:tc>
        <w:tc>
          <w:tcPr>
            <w:tcW w:w="722" w:type="dxa"/>
            <w:tcBorders>
              <w:top w:val="nil"/>
              <w:left w:val="nil"/>
              <w:bottom w:val="single" w:sz="4" w:space="0" w:color="auto"/>
              <w:right w:val="single" w:sz="4" w:space="0" w:color="auto"/>
            </w:tcBorders>
            <w:shd w:val="clear" w:color="auto" w:fill="auto"/>
            <w:noWrap/>
            <w:vAlign w:val="center"/>
            <w:hideMark/>
          </w:tcPr>
          <w:p w14:paraId="0A2CBA6E"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327</w:t>
            </w:r>
          </w:p>
        </w:tc>
        <w:tc>
          <w:tcPr>
            <w:tcW w:w="968" w:type="dxa"/>
            <w:tcBorders>
              <w:top w:val="nil"/>
              <w:left w:val="nil"/>
              <w:bottom w:val="single" w:sz="4" w:space="0" w:color="auto"/>
              <w:right w:val="single" w:sz="4" w:space="0" w:color="auto"/>
            </w:tcBorders>
            <w:shd w:val="clear" w:color="auto" w:fill="auto"/>
            <w:noWrap/>
            <w:vAlign w:val="center"/>
            <w:hideMark/>
          </w:tcPr>
          <w:p w14:paraId="70F8C7BA"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315</w:t>
            </w:r>
          </w:p>
        </w:tc>
        <w:tc>
          <w:tcPr>
            <w:tcW w:w="1367" w:type="dxa"/>
            <w:tcBorders>
              <w:top w:val="nil"/>
              <w:left w:val="nil"/>
              <w:bottom w:val="single" w:sz="4" w:space="0" w:color="auto"/>
              <w:right w:val="single" w:sz="4" w:space="0" w:color="auto"/>
            </w:tcBorders>
            <w:shd w:val="clear" w:color="auto" w:fill="auto"/>
            <w:noWrap/>
            <w:vAlign w:val="center"/>
            <w:hideMark/>
          </w:tcPr>
          <w:p w14:paraId="13132C80"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-3,96%</w:t>
            </w:r>
          </w:p>
        </w:tc>
      </w:tr>
      <w:tr w:rsidR="00766593" w:rsidRPr="00766593" w14:paraId="6E8FFC63" w14:textId="77777777" w:rsidTr="00766593">
        <w:trPr>
          <w:trHeight w:val="214"/>
          <w:jc w:val="center"/>
        </w:trPr>
        <w:tc>
          <w:tcPr>
            <w:tcW w:w="2763" w:type="dxa"/>
            <w:tcBorders>
              <w:top w:val="nil"/>
              <w:left w:val="single" w:sz="4" w:space="0" w:color="auto"/>
              <w:bottom w:val="single" w:sz="4" w:space="0" w:color="auto"/>
              <w:right w:val="single" w:sz="4" w:space="0" w:color="auto"/>
            </w:tcBorders>
            <w:shd w:val="clear" w:color="auto" w:fill="auto"/>
            <w:noWrap/>
            <w:vAlign w:val="center"/>
            <w:hideMark/>
          </w:tcPr>
          <w:p w14:paraId="6091C9E9" w14:textId="77777777" w:rsidR="00766593" w:rsidRPr="00766593" w:rsidRDefault="00766593" w:rsidP="00234CBE">
            <w:pPr>
              <w:spacing w:line="276" w:lineRule="auto"/>
              <w:jc w:val="right"/>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Sala Segunda</w:t>
            </w:r>
          </w:p>
        </w:tc>
        <w:tc>
          <w:tcPr>
            <w:tcW w:w="723" w:type="dxa"/>
            <w:tcBorders>
              <w:top w:val="nil"/>
              <w:left w:val="nil"/>
              <w:bottom w:val="single" w:sz="4" w:space="0" w:color="auto"/>
              <w:right w:val="single" w:sz="4" w:space="0" w:color="auto"/>
            </w:tcBorders>
            <w:shd w:val="clear" w:color="auto" w:fill="auto"/>
            <w:noWrap/>
            <w:vAlign w:val="center"/>
            <w:hideMark/>
          </w:tcPr>
          <w:p w14:paraId="53FBDE3D"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5090</w:t>
            </w:r>
          </w:p>
        </w:tc>
        <w:tc>
          <w:tcPr>
            <w:tcW w:w="757" w:type="dxa"/>
            <w:tcBorders>
              <w:top w:val="nil"/>
              <w:left w:val="nil"/>
              <w:bottom w:val="single" w:sz="4" w:space="0" w:color="auto"/>
              <w:right w:val="single" w:sz="4" w:space="0" w:color="auto"/>
            </w:tcBorders>
            <w:shd w:val="clear" w:color="auto" w:fill="auto"/>
            <w:noWrap/>
            <w:vAlign w:val="center"/>
            <w:hideMark/>
          </w:tcPr>
          <w:p w14:paraId="0089A7E6"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5165</w:t>
            </w:r>
          </w:p>
        </w:tc>
        <w:tc>
          <w:tcPr>
            <w:tcW w:w="722" w:type="dxa"/>
            <w:tcBorders>
              <w:top w:val="nil"/>
              <w:left w:val="nil"/>
              <w:bottom w:val="single" w:sz="4" w:space="0" w:color="auto"/>
              <w:right w:val="single" w:sz="4" w:space="0" w:color="auto"/>
            </w:tcBorders>
            <w:shd w:val="clear" w:color="auto" w:fill="auto"/>
            <w:noWrap/>
            <w:vAlign w:val="center"/>
            <w:hideMark/>
          </w:tcPr>
          <w:p w14:paraId="3BFADEF3"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5181</w:t>
            </w:r>
          </w:p>
        </w:tc>
        <w:tc>
          <w:tcPr>
            <w:tcW w:w="722" w:type="dxa"/>
            <w:tcBorders>
              <w:top w:val="nil"/>
              <w:left w:val="nil"/>
              <w:bottom w:val="single" w:sz="4" w:space="0" w:color="auto"/>
              <w:right w:val="single" w:sz="4" w:space="0" w:color="auto"/>
            </w:tcBorders>
            <w:shd w:val="clear" w:color="auto" w:fill="auto"/>
            <w:noWrap/>
            <w:vAlign w:val="center"/>
            <w:hideMark/>
          </w:tcPr>
          <w:p w14:paraId="2247D331"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5053</w:t>
            </w:r>
          </w:p>
        </w:tc>
        <w:tc>
          <w:tcPr>
            <w:tcW w:w="722" w:type="dxa"/>
            <w:tcBorders>
              <w:top w:val="nil"/>
              <w:left w:val="nil"/>
              <w:bottom w:val="single" w:sz="4" w:space="0" w:color="auto"/>
              <w:right w:val="single" w:sz="4" w:space="0" w:color="auto"/>
            </w:tcBorders>
            <w:shd w:val="clear" w:color="auto" w:fill="auto"/>
            <w:noWrap/>
            <w:vAlign w:val="center"/>
            <w:hideMark/>
          </w:tcPr>
          <w:p w14:paraId="387DC59C"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4976</w:t>
            </w:r>
          </w:p>
        </w:tc>
        <w:tc>
          <w:tcPr>
            <w:tcW w:w="722" w:type="dxa"/>
            <w:tcBorders>
              <w:top w:val="nil"/>
              <w:left w:val="nil"/>
              <w:bottom w:val="single" w:sz="4" w:space="0" w:color="auto"/>
              <w:right w:val="single" w:sz="4" w:space="0" w:color="auto"/>
            </w:tcBorders>
            <w:shd w:val="clear" w:color="auto" w:fill="auto"/>
            <w:noWrap/>
            <w:vAlign w:val="center"/>
            <w:hideMark/>
          </w:tcPr>
          <w:p w14:paraId="4C12BE19"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4988</w:t>
            </w:r>
          </w:p>
        </w:tc>
        <w:tc>
          <w:tcPr>
            <w:tcW w:w="722" w:type="dxa"/>
            <w:tcBorders>
              <w:top w:val="nil"/>
              <w:left w:val="nil"/>
              <w:bottom w:val="single" w:sz="4" w:space="0" w:color="auto"/>
              <w:right w:val="single" w:sz="4" w:space="0" w:color="auto"/>
            </w:tcBorders>
            <w:shd w:val="clear" w:color="auto" w:fill="auto"/>
            <w:noWrap/>
            <w:vAlign w:val="center"/>
            <w:hideMark/>
          </w:tcPr>
          <w:p w14:paraId="0613A96A"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4905</w:t>
            </w:r>
          </w:p>
        </w:tc>
        <w:tc>
          <w:tcPr>
            <w:tcW w:w="722" w:type="dxa"/>
            <w:tcBorders>
              <w:top w:val="nil"/>
              <w:left w:val="nil"/>
              <w:bottom w:val="single" w:sz="4" w:space="0" w:color="auto"/>
              <w:right w:val="single" w:sz="4" w:space="0" w:color="auto"/>
            </w:tcBorders>
            <w:shd w:val="clear" w:color="auto" w:fill="auto"/>
            <w:noWrap/>
            <w:vAlign w:val="center"/>
            <w:hideMark/>
          </w:tcPr>
          <w:p w14:paraId="3B57034D"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4918</w:t>
            </w:r>
          </w:p>
        </w:tc>
        <w:tc>
          <w:tcPr>
            <w:tcW w:w="968" w:type="dxa"/>
            <w:tcBorders>
              <w:top w:val="nil"/>
              <w:left w:val="nil"/>
              <w:bottom w:val="single" w:sz="4" w:space="0" w:color="auto"/>
              <w:right w:val="single" w:sz="4" w:space="0" w:color="auto"/>
            </w:tcBorders>
            <w:shd w:val="clear" w:color="auto" w:fill="auto"/>
            <w:noWrap/>
            <w:vAlign w:val="center"/>
            <w:hideMark/>
          </w:tcPr>
          <w:p w14:paraId="142678DE"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4965</w:t>
            </w:r>
          </w:p>
        </w:tc>
        <w:tc>
          <w:tcPr>
            <w:tcW w:w="1367" w:type="dxa"/>
            <w:tcBorders>
              <w:top w:val="nil"/>
              <w:left w:val="nil"/>
              <w:bottom w:val="single" w:sz="4" w:space="0" w:color="auto"/>
              <w:right w:val="single" w:sz="4" w:space="0" w:color="auto"/>
            </w:tcBorders>
            <w:shd w:val="clear" w:color="auto" w:fill="auto"/>
            <w:noWrap/>
            <w:vAlign w:val="center"/>
            <w:hideMark/>
          </w:tcPr>
          <w:p w14:paraId="22F79299"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-2,46%</w:t>
            </w:r>
          </w:p>
        </w:tc>
      </w:tr>
      <w:tr w:rsidR="00766593" w:rsidRPr="00766593" w14:paraId="76C70A72" w14:textId="77777777" w:rsidTr="00766593">
        <w:trPr>
          <w:trHeight w:val="214"/>
          <w:jc w:val="center"/>
        </w:trPr>
        <w:tc>
          <w:tcPr>
            <w:tcW w:w="2763" w:type="dxa"/>
            <w:tcBorders>
              <w:top w:val="nil"/>
              <w:left w:val="single" w:sz="4" w:space="0" w:color="auto"/>
              <w:bottom w:val="single" w:sz="4" w:space="0" w:color="auto"/>
              <w:right w:val="single" w:sz="4" w:space="0" w:color="auto"/>
            </w:tcBorders>
            <w:shd w:val="clear" w:color="auto" w:fill="auto"/>
            <w:noWrap/>
            <w:vAlign w:val="center"/>
            <w:hideMark/>
          </w:tcPr>
          <w:p w14:paraId="24D262EB" w14:textId="77777777" w:rsidR="00766593" w:rsidRPr="00766593" w:rsidRDefault="00766593" w:rsidP="00234CBE">
            <w:pPr>
              <w:spacing w:line="276" w:lineRule="auto"/>
              <w:jc w:val="right"/>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Sala Tercera</w:t>
            </w:r>
          </w:p>
        </w:tc>
        <w:tc>
          <w:tcPr>
            <w:tcW w:w="723" w:type="dxa"/>
            <w:tcBorders>
              <w:top w:val="nil"/>
              <w:left w:val="nil"/>
              <w:bottom w:val="single" w:sz="4" w:space="0" w:color="auto"/>
              <w:right w:val="single" w:sz="4" w:space="0" w:color="auto"/>
            </w:tcBorders>
            <w:shd w:val="clear" w:color="auto" w:fill="auto"/>
            <w:noWrap/>
            <w:vAlign w:val="center"/>
            <w:hideMark/>
          </w:tcPr>
          <w:p w14:paraId="36299C13"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374</w:t>
            </w:r>
          </w:p>
        </w:tc>
        <w:tc>
          <w:tcPr>
            <w:tcW w:w="757" w:type="dxa"/>
            <w:tcBorders>
              <w:top w:val="nil"/>
              <w:left w:val="nil"/>
              <w:bottom w:val="single" w:sz="4" w:space="0" w:color="auto"/>
              <w:right w:val="single" w:sz="4" w:space="0" w:color="auto"/>
            </w:tcBorders>
            <w:shd w:val="clear" w:color="auto" w:fill="auto"/>
            <w:noWrap/>
            <w:vAlign w:val="center"/>
            <w:hideMark/>
          </w:tcPr>
          <w:p w14:paraId="75556269"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386</w:t>
            </w:r>
          </w:p>
        </w:tc>
        <w:tc>
          <w:tcPr>
            <w:tcW w:w="722" w:type="dxa"/>
            <w:tcBorders>
              <w:top w:val="nil"/>
              <w:left w:val="nil"/>
              <w:bottom w:val="single" w:sz="4" w:space="0" w:color="auto"/>
              <w:right w:val="single" w:sz="4" w:space="0" w:color="auto"/>
            </w:tcBorders>
            <w:shd w:val="clear" w:color="auto" w:fill="auto"/>
            <w:noWrap/>
            <w:vAlign w:val="center"/>
            <w:hideMark/>
          </w:tcPr>
          <w:p w14:paraId="67AD4A5B"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458</w:t>
            </w:r>
          </w:p>
        </w:tc>
        <w:tc>
          <w:tcPr>
            <w:tcW w:w="722" w:type="dxa"/>
            <w:tcBorders>
              <w:top w:val="nil"/>
              <w:left w:val="nil"/>
              <w:bottom w:val="single" w:sz="4" w:space="0" w:color="auto"/>
              <w:right w:val="single" w:sz="4" w:space="0" w:color="auto"/>
            </w:tcBorders>
            <w:shd w:val="clear" w:color="auto" w:fill="auto"/>
            <w:noWrap/>
            <w:vAlign w:val="center"/>
            <w:hideMark/>
          </w:tcPr>
          <w:p w14:paraId="7E0A7AC4"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414</w:t>
            </w:r>
          </w:p>
        </w:tc>
        <w:tc>
          <w:tcPr>
            <w:tcW w:w="722" w:type="dxa"/>
            <w:tcBorders>
              <w:top w:val="nil"/>
              <w:left w:val="nil"/>
              <w:bottom w:val="single" w:sz="4" w:space="0" w:color="auto"/>
              <w:right w:val="single" w:sz="4" w:space="0" w:color="auto"/>
            </w:tcBorders>
            <w:shd w:val="clear" w:color="auto" w:fill="auto"/>
            <w:noWrap/>
            <w:vAlign w:val="center"/>
            <w:hideMark/>
          </w:tcPr>
          <w:p w14:paraId="7314BF1D"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379</w:t>
            </w:r>
          </w:p>
        </w:tc>
        <w:tc>
          <w:tcPr>
            <w:tcW w:w="722" w:type="dxa"/>
            <w:tcBorders>
              <w:top w:val="nil"/>
              <w:left w:val="nil"/>
              <w:bottom w:val="single" w:sz="4" w:space="0" w:color="auto"/>
              <w:right w:val="single" w:sz="4" w:space="0" w:color="auto"/>
            </w:tcBorders>
            <w:shd w:val="clear" w:color="auto" w:fill="auto"/>
            <w:noWrap/>
            <w:vAlign w:val="center"/>
            <w:hideMark/>
          </w:tcPr>
          <w:p w14:paraId="7DF4BCEF"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380</w:t>
            </w:r>
          </w:p>
        </w:tc>
        <w:tc>
          <w:tcPr>
            <w:tcW w:w="722" w:type="dxa"/>
            <w:tcBorders>
              <w:top w:val="nil"/>
              <w:left w:val="nil"/>
              <w:bottom w:val="single" w:sz="4" w:space="0" w:color="auto"/>
              <w:right w:val="single" w:sz="4" w:space="0" w:color="auto"/>
            </w:tcBorders>
            <w:shd w:val="clear" w:color="auto" w:fill="auto"/>
            <w:noWrap/>
            <w:vAlign w:val="center"/>
            <w:hideMark/>
          </w:tcPr>
          <w:p w14:paraId="31011157"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310</w:t>
            </w:r>
          </w:p>
        </w:tc>
        <w:tc>
          <w:tcPr>
            <w:tcW w:w="722" w:type="dxa"/>
            <w:tcBorders>
              <w:top w:val="nil"/>
              <w:left w:val="nil"/>
              <w:bottom w:val="single" w:sz="4" w:space="0" w:color="auto"/>
              <w:right w:val="single" w:sz="4" w:space="0" w:color="auto"/>
            </w:tcBorders>
            <w:shd w:val="clear" w:color="auto" w:fill="auto"/>
            <w:noWrap/>
            <w:vAlign w:val="center"/>
            <w:hideMark/>
          </w:tcPr>
          <w:p w14:paraId="1102FB78"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331</w:t>
            </w:r>
          </w:p>
        </w:tc>
        <w:tc>
          <w:tcPr>
            <w:tcW w:w="968" w:type="dxa"/>
            <w:tcBorders>
              <w:top w:val="nil"/>
              <w:left w:val="nil"/>
              <w:bottom w:val="single" w:sz="4" w:space="0" w:color="auto"/>
              <w:right w:val="single" w:sz="4" w:space="0" w:color="auto"/>
            </w:tcBorders>
            <w:shd w:val="clear" w:color="auto" w:fill="auto"/>
            <w:noWrap/>
            <w:vAlign w:val="center"/>
            <w:hideMark/>
          </w:tcPr>
          <w:p w14:paraId="3A75DB4C"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301</w:t>
            </w:r>
          </w:p>
        </w:tc>
        <w:tc>
          <w:tcPr>
            <w:tcW w:w="1367" w:type="dxa"/>
            <w:tcBorders>
              <w:top w:val="nil"/>
              <w:left w:val="nil"/>
              <w:bottom w:val="single" w:sz="4" w:space="0" w:color="auto"/>
              <w:right w:val="single" w:sz="4" w:space="0" w:color="auto"/>
            </w:tcBorders>
            <w:shd w:val="clear" w:color="auto" w:fill="auto"/>
            <w:noWrap/>
            <w:vAlign w:val="center"/>
            <w:hideMark/>
          </w:tcPr>
          <w:p w14:paraId="566ACEFF"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-19,52%</w:t>
            </w:r>
          </w:p>
        </w:tc>
      </w:tr>
      <w:tr w:rsidR="00766593" w:rsidRPr="00766593" w14:paraId="44A0955A" w14:textId="77777777" w:rsidTr="00766593">
        <w:trPr>
          <w:trHeight w:val="214"/>
          <w:jc w:val="center"/>
        </w:trPr>
        <w:tc>
          <w:tcPr>
            <w:tcW w:w="2763" w:type="dxa"/>
            <w:tcBorders>
              <w:top w:val="nil"/>
              <w:left w:val="single" w:sz="4" w:space="0" w:color="auto"/>
              <w:bottom w:val="single" w:sz="4" w:space="0" w:color="auto"/>
              <w:right w:val="single" w:sz="4" w:space="0" w:color="auto"/>
            </w:tcBorders>
            <w:shd w:val="clear" w:color="auto" w:fill="auto"/>
            <w:noWrap/>
            <w:vAlign w:val="center"/>
            <w:hideMark/>
          </w:tcPr>
          <w:p w14:paraId="4CE8B8BD" w14:textId="77777777" w:rsidR="00766593" w:rsidRPr="00766593" w:rsidRDefault="00766593" w:rsidP="00234CBE">
            <w:pPr>
              <w:spacing w:line="276" w:lineRule="auto"/>
              <w:jc w:val="right"/>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Sala Tercera-Penal Juvenil</w:t>
            </w:r>
          </w:p>
        </w:tc>
        <w:tc>
          <w:tcPr>
            <w:tcW w:w="723" w:type="dxa"/>
            <w:tcBorders>
              <w:top w:val="nil"/>
              <w:left w:val="nil"/>
              <w:bottom w:val="single" w:sz="4" w:space="0" w:color="auto"/>
              <w:right w:val="single" w:sz="4" w:space="0" w:color="auto"/>
            </w:tcBorders>
            <w:shd w:val="clear" w:color="auto" w:fill="auto"/>
            <w:noWrap/>
            <w:vAlign w:val="center"/>
            <w:hideMark/>
          </w:tcPr>
          <w:p w14:paraId="17041848"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13</w:t>
            </w:r>
          </w:p>
        </w:tc>
        <w:tc>
          <w:tcPr>
            <w:tcW w:w="757" w:type="dxa"/>
            <w:tcBorders>
              <w:top w:val="nil"/>
              <w:left w:val="nil"/>
              <w:bottom w:val="single" w:sz="4" w:space="0" w:color="auto"/>
              <w:right w:val="single" w:sz="4" w:space="0" w:color="auto"/>
            </w:tcBorders>
            <w:shd w:val="clear" w:color="auto" w:fill="auto"/>
            <w:noWrap/>
            <w:vAlign w:val="center"/>
            <w:hideMark/>
          </w:tcPr>
          <w:p w14:paraId="13245208"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9</w:t>
            </w:r>
          </w:p>
        </w:tc>
        <w:tc>
          <w:tcPr>
            <w:tcW w:w="722" w:type="dxa"/>
            <w:tcBorders>
              <w:top w:val="nil"/>
              <w:left w:val="nil"/>
              <w:bottom w:val="single" w:sz="4" w:space="0" w:color="auto"/>
              <w:right w:val="single" w:sz="4" w:space="0" w:color="auto"/>
            </w:tcBorders>
            <w:shd w:val="clear" w:color="auto" w:fill="auto"/>
            <w:noWrap/>
            <w:vAlign w:val="center"/>
            <w:hideMark/>
          </w:tcPr>
          <w:p w14:paraId="736BC882"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7</w:t>
            </w:r>
          </w:p>
        </w:tc>
        <w:tc>
          <w:tcPr>
            <w:tcW w:w="722" w:type="dxa"/>
            <w:tcBorders>
              <w:top w:val="nil"/>
              <w:left w:val="nil"/>
              <w:bottom w:val="single" w:sz="4" w:space="0" w:color="auto"/>
              <w:right w:val="single" w:sz="4" w:space="0" w:color="auto"/>
            </w:tcBorders>
            <w:shd w:val="clear" w:color="auto" w:fill="auto"/>
            <w:noWrap/>
            <w:vAlign w:val="center"/>
            <w:hideMark/>
          </w:tcPr>
          <w:p w14:paraId="08F807A2"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12</w:t>
            </w:r>
          </w:p>
        </w:tc>
        <w:tc>
          <w:tcPr>
            <w:tcW w:w="722" w:type="dxa"/>
            <w:tcBorders>
              <w:top w:val="nil"/>
              <w:left w:val="nil"/>
              <w:bottom w:val="single" w:sz="4" w:space="0" w:color="auto"/>
              <w:right w:val="single" w:sz="4" w:space="0" w:color="auto"/>
            </w:tcBorders>
            <w:shd w:val="clear" w:color="auto" w:fill="auto"/>
            <w:noWrap/>
            <w:vAlign w:val="center"/>
            <w:hideMark/>
          </w:tcPr>
          <w:p w14:paraId="2E49949D"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11</w:t>
            </w:r>
          </w:p>
        </w:tc>
        <w:tc>
          <w:tcPr>
            <w:tcW w:w="722" w:type="dxa"/>
            <w:tcBorders>
              <w:top w:val="nil"/>
              <w:left w:val="nil"/>
              <w:bottom w:val="single" w:sz="4" w:space="0" w:color="auto"/>
              <w:right w:val="single" w:sz="4" w:space="0" w:color="auto"/>
            </w:tcBorders>
            <w:shd w:val="clear" w:color="auto" w:fill="auto"/>
            <w:noWrap/>
            <w:vAlign w:val="center"/>
            <w:hideMark/>
          </w:tcPr>
          <w:p w14:paraId="57D71ECE"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10</w:t>
            </w:r>
          </w:p>
        </w:tc>
        <w:tc>
          <w:tcPr>
            <w:tcW w:w="722" w:type="dxa"/>
            <w:tcBorders>
              <w:top w:val="nil"/>
              <w:left w:val="nil"/>
              <w:bottom w:val="single" w:sz="4" w:space="0" w:color="auto"/>
              <w:right w:val="single" w:sz="4" w:space="0" w:color="auto"/>
            </w:tcBorders>
            <w:shd w:val="clear" w:color="auto" w:fill="auto"/>
            <w:noWrap/>
            <w:vAlign w:val="center"/>
            <w:hideMark/>
          </w:tcPr>
          <w:p w14:paraId="72C5A185"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9</w:t>
            </w:r>
          </w:p>
        </w:tc>
        <w:tc>
          <w:tcPr>
            <w:tcW w:w="722" w:type="dxa"/>
            <w:tcBorders>
              <w:top w:val="nil"/>
              <w:left w:val="nil"/>
              <w:bottom w:val="single" w:sz="4" w:space="0" w:color="auto"/>
              <w:right w:val="single" w:sz="4" w:space="0" w:color="auto"/>
            </w:tcBorders>
            <w:shd w:val="clear" w:color="auto" w:fill="auto"/>
            <w:noWrap/>
            <w:vAlign w:val="center"/>
            <w:hideMark/>
          </w:tcPr>
          <w:p w14:paraId="22D25F9B"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7</w:t>
            </w:r>
          </w:p>
        </w:tc>
        <w:tc>
          <w:tcPr>
            <w:tcW w:w="968" w:type="dxa"/>
            <w:tcBorders>
              <w:top w:val="nil"/>
              <w:left w:val="nil"/>
              <w:bottom w:val="single" w:sz="4" w:space="0" w:color="auto"/>
              <w:right w:val="single" w:sz="4" w:space="0" w:color="auto"/>
            </w:tcBorders>
            <w:shd w:val="clear" w:color="auto" w:fill="auto"/>
            <w:noWrap/>
            <w:vAlign w:val="center"/>
            <w:hideMark/>
          </w:tcPr>
          <w:p w14:paraId="7BAA938C"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8</w:t>
            </w:r>
          </w:p>
        </w:tc>
        <w:tc>
          <w:tcPr>
            <w:tcW w:w="1367" w:type="dxa"/>
            <w:tcBorders>
              <w:top w:val="nil"/>
              <w:left w:val="nil"/>
              <w:bottom w:val="single" w:sz="4" w:space="0" w:color="auto"/>
              <w:right w:val="single" w:sz="4" w:space="0" w:color="auto"/>
            </w:tcBorders>
            <w:shd w:val="clear" w:color="auto" w:fill="auto"/>
            <w:noWrap/>
            <w:vAlign w:val="center"/>
            <w:hideMark/>
          </w:tcPr>
          <w:p w14:paraId="59EB64AF"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-38,46%</w:t>
            </w:r>
          </w:p>
        </w:tc>
      </w:tr>
      <w:tr w:rsidR="00766593" w:rsidRPr="00766593" w14:paraId="664BC700" w14:textId="77777777" w:rsidTr="00766593">
        <w:trPr>
          <w:trHeight w:val="214"/>
          <w:jc w:val="center"/>
        </w:trPr>
        <w:tc>
          <w:tcPr>
            <w:tcW w:w="2763" w:type="dxa"/>
            <w:tcBorders>
              <w:top w:val="nil"/>
              <w:left w:val="single" w:sz="4" w:space="0" w:color="auto"/>
              <w:bottom w:val="single" w:sz="4" w:space="0" w:color="auto"/>
              <w:right w:val="single" w:sz="4" w:space="0" w:color="auto"/>
            </w:tcBorders>
            <w:shd w:val="clear" w:color="auto" w:fill="auto"/>
            <w:noWrap/>
            <w:vAlign w:val="center"/>
            <w:hideMark/>
          </w:tcPr>
          <w:p w14:paraId="5F8E70CA" w14:textId="77777777" w:rsidR="00766593" w:rsidRPr="00766593" w:rsidRDefault="00766593" w:rsidP="00234CBE">
            <w:pPr>
              <w:spacing w:line="276" w:lineRule="auto"/>
              <w:jc w:val="right"/>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Sala Constitucional</w:t>
            </w:r>
          </w:p>
        </w:tc>
        <w:tc>
          <w:tcPr>
            <w:tcW w:w="723" w:type="dxa"/>
            <w:tcBorders>
              <w:top w:val="nil"/>
              <w:left w:val="nil"/>
              <w:bottom w:val="single" w:sz="4" w:space="0" w:color="auto"/>
              <w:right w:val="single" w:sz="4" w:space="0" w:color="auto"/>
            </w:tcBorders>
            <w:shd w:val="clear" w:color="auto" w:fill="auto"/>
            <w:noWrap/>
            <w:vAlign w:val="center"/>
            <w:hideMark/>
          </w:tcPr>
          <w:p w14:paraId="7689E014"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3121</w:t>
            </w:r>
          </w:p>
        </w:tc>
        <w:tc>
          <w:tcPr>
            <w:tcW w:w="757" w:type="dxa"/>
            <w:tcBorders>
              <w:top w:val="nil"/>
              <w:left w:val="nil"/>
              <w:bottom w:val="single" w:sz="4" w:space="0" w:color="auto"/>
              <w:right w:val="single" w:sz="4" w:space="0" w:color="auto"/>
            </w:tcBorders>
            <w:shd w:val="clear" w:color="auto" w:fill="auto"/>
            <w:noWrap/>
            <w:vAlign w:val="center"/>
            <w:hideMark/>
          </w:tcPr>
          <w:p w14:paraId="22665248"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3202</w:t>
            </w:r>
          </w:p>
        </w:tc>
        <w:tc>
          <w:tcPr>
            <w:tcW w:w="722" w:type="dxa"/>
            <w:tcBorders>
              <w:top w:val="nil"/>
              <w:left w:val="nil"/>
              <w:bottom w:val="single" w:sz="4" w:space="0" w:color="auto"/>
              <w:right w:val="single" w:sz="4" w:space="0" w:color="auto"/>
            </w:tcBorders>
            <w:shd w:val="clear" w:color="auto" w:fill="auto"/>
            <w:noWrap/>
            <w:vAlign w:val="center"/>
            <w:hideMark/>
          </w:tcPr>
          <w:p w14:paraId="4A6F671A"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3351</w:t>
            </w:r>
          </w:p>
        </w:tc>
        <w:tc>
          <w:tcPr>
            <w:tcW w:w="722" w:type="dxa"/>
            <w:tcBorders>
              <w:top w:val="nil"/>
              <w:left w:val="nil"/>
              <w:bottom w:val="single" w:sz="4" w:space="0" w:color="auto"/>
              <w:right w:val="single" w:sz="4" w:space="0" w:color="auto"/>
            </w:tcBorders>
            <w:shd w:val="clear" w:color="auto" w:fill="auto"/>
            <w:noWrap/>
            <w:vAlign w:val="center"/>
            <w:hideMark/>
          </w:tcPr>
          <w:p w14:paraId="2ED32D35"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3079</w:t>
            </w:r>
          </w:p>
        </w:tc>
        <w:tc>
          <w:tcPr>
            <w:tcW w:w="722" w:type="dxa"/>
            <w:tcBorders>
              <w:top w:val="nil"/>
              <w:left w:val="nil"/>
              <w:bottom w:val="single" w:sz="4" w:space="0" w:color="auto"/>
              <w:right w:val="single" w:sz="4" w:space="0" w:color="auto"/>
            </w:tcBorders>
            <w:shd w:val="clear" w:color="auto" w:fill="auto"/>
            <w:noWrap/>
            <w:vAlign w:val="center"/>
            <w:hideMark/>
          </w:tcPr>
          <w:p w14:paraId="767A1F25"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1636</w:t>
            </w:r>
          </w:p>
        </w:tc>
        <w:tc>
          <w:tcPr>
            <w:tcW w:w="722" w:type="dxa"/>
            <w:tcBorders>
              <w:top w:val="nil"/>
              <w:left w:val="nil"/>
              <w:bottom w:val="single" w:sz="4" w:space="0" w:color="auto"/>
              <w:right w:val="single" w:sz="4" w:space="0" w:color="auto"/>
            </w:tcBorders>
            <w:shd w:val="clear" w:color="auto" w:fill="auto"/>
            <w:noWrap/>
            <w:vAlign w:val="center"/>
            <w:hideMark/>
          </w:tcPr>
          <w:p w14:paraId="4609C6ED"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1547</w:t>
            </w:r>
          </w:p>
        </w:tc>
        <w:tc>
          <w:tcPr>
            <w:tcW w:w="722" w:type="dxa"/>
            <w:tcBorders>
              <w:top w:val="nil"/>
              <w:left w:val="nil"/>
              <w:bottom w:val="single" w:sz="4" w:space="0" w:color="auto"/>
              <w:right w:val="single" w:sz="4" w:space="0" w:color="auto"/>
            </w:tcBorders>
            <w:shd w:val="clear" w:color="auto" w:fill="auto"/>
            <w:noWrap/>
            <w:vAlign w:val="center"/>
            <w:hideMark/>
          </w:tcPr>
          <w:p w14:paraId="00214EF0"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1575</w:t>
            </w:r>
          </w:p>
        </w:tc>
        <w:tc>
          <w:tcPr>
            <w:tcW w:w="722" w:type="dxa"/>
            <w:tcBorders>
              <w:top w:val="nil"/>
              <w:left w:val="nil"/>
              <w:bottom w:val="single" w:sz="4" w:space="0" w:color="auto"/>
              <w:right w:val="single" w:sz="4" w:space="0" w:color="auto"/>
            </w:tcBorders>
            <w:shd w:val="clear" w:color="auto" w:fill="auto"/>
            <w:noWrap/>
            <w:vAlign w:val="center"/>
            <w:hideMark/>
          </w:tcPr>
          <w:p w14:paraId="18DE02B0"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1583</w:t>
            </w:r>
          </w:p>
        </w:tc>
        <w:tc>
          <w:tcPr>
            <w:tcW w:w="968" w:type="dxa"/>
            <w:tcBorders>
              <w:top w:val="nil"/>
              <w:left w:val="nil"/>
              <w:bottom w:val="single" w:sz="4" w:space="0" w:color="auto"/>
              <w:right w:val="single" w:sz="4" w:space="0" w:color="auto"/>
            </w:tcBorders>
            <w:shd w:val="clear" w:color="auto" w:fill="auto"/>
            <w:noWrap/>
            <w:vAlign w:val="center"/>
            <w:hideMark/>
          </w:tcPr>
          <w:p w14:paraId="1819E7F1"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1815</w:t>
            </w:r>
          </w:p>
        </w:tc>
        <w:tc>
          <w:tcPr>
            <w:tcW w:w="1367" w:type="dxa"/>
            <w:tcBorders>
              <w:top w:val="nil"/>
              <w:left w:val="nil"/>
              <w:bottom w:val="single" w:sz="4" w:space="0" w:color="auto"/>
              <w:right w:val="single" w:sz="4" w:space="0" w:color="auto"/>
            </w:tcBorders>
            <w:shd w:val="clear" w:color="auto" w:fill="auto"/>
            <w:noWrap/>
            <w:vAlign w:val="center"/>
            <w:hideMark/>
          </w:tcPr>
          <w:p w14:paraId="34E3CDC4"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-41,85%</w:t>
            </w:r>
          </w:p>
        </w:tc>
      </w:tr>
      <w:tr w:rsidR="00766593" w:rsidRPr="00766593" w14:paraId="544818BE" w14:textId="77777777" w:rsidTr="00766593">
        <w:trPr>
          <w:trHeight w:val="214"/>
          <w:jc w:val="center"/>
        </w:trPr>
        <w:tc>
          <w:tcPr>
            <w:tcW w:w="2763" w:type="dxa"/>
            <w:tcBorders>
              <w:top w:val="nil"/>
              <w:left w:val="single" w:sz="4" w:space="0" w:color="auto"/>
              <w:bottom w:val="single" w:sz="4" w:space="0" w:color="auto"/>
              <w:right w:val="single" w:sz="4" w:space="0" w:color="auto"/>
            </w:tcBorders>
            <w:shd w:val="clear" w:color="auto" w:fill="auto"/>
            <w:noWrap/>
            <w:vAlign w:val="center"/>
            <w:hideMark/>
          </w:tcPr>
          <w:p w14:paraId="041E43B7" w14:textId="77777777" w:rsidR="00766593" w:rsidRPr="00766593" w:rsidRDefault="00766593" w:rsidP="00234CBE">
            <w:pPr>
              <w:spacing w:line="276" w:lineRule="auto"/>
              <w:jc w:val="right"/>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Tribunal Apelación Sentencia Penal</w:t>
            </w:r>
          </w:p>
        </w:tc>
        <w:tc>
          <w:tcPr>
            <w:tcW w:w="723" w:type="dxa"/>
            <w:tcBorders>
              <w:top w:val="nil"/>
              <w:left w:val="nil"/>
              <w:bottom w:val="single" w:sz="4" w:space="0" w:color="auto"/>
              <w:right w:val="single" w:sz="4" w:space="0" w:color="auto"/>
            </w:tcBorders>
            <w:shd w:val="clear" w:color="auto" w:fill="auto"/>
            <w:noWrap/>
            <w:vAlign w:val="center"/>
            <w:hideMark/>
          </w:tcPr>
          <w:p w14:paraId="1818687F"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823</w:t>
            </w:r>
          </w:p>
        </w:tc>
        <w:tc>
          <w:tcPr>
            <w:tcW w:w="757" w:type="dxa"/>
            <w:tcBorders>
              <w:top w:val="nil"/>
              <w:left w:val="nil"/>
              <w:bottom w:val="single" w:sz="4" w:space="0" w:color="auto"/>
              <w:right w:val="single" w:sz="4" w:space="0" w:color="auto"/>
            </w:tcBorders>
            <w:shd w:val="clear" w:color="auto" w:fill="auto"/>
            <w:noWrap/>
            <w:vAlign w:val="center"/>
            <w:hideMark/>
          </w:tcPr>
          <w:p w14:paraId="7B6D9FA2"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842</w:t>
            </w:r>
          </w:p>
        </w:tc>
        <w:tc>
          <w:tcPr>
            <w:tcW w:w="722" w:type="dxa"/>
            <w:tcBorders>
              <w:top w:val="nil"/>
              <w:left w:val="nil"/>
              <w:bottom w:val="single" w:sz="4" w:space="0" w:color="auto"/>
              <w:right w:val="single" w:sz="4" w:space="0" w:color="auto"/>
            </w:tcBorders>
            <w:shd w:val="clear" w:color="auto" w:fill="auto"/>
            <w:noWrap/>
            <w:vAlign w:val="center"/>
            <w:hideMark/>
          </w:tcPr>
          <w:p w14:paraId="3791FF57"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824</w:t>
            </w:r>
          </w:p>
        </w:tc>
        <w:tc>
          <w:tcPr>
            <w:tcW w:w="722" w:type="dxa"/>
            <w:tcBorders>
              <w:top w:val="nil"/>
              <w:left w:val="nil"/>
              <w:bottom w:val="single" w:sz="4" w:space="0" w:color="auto"/>
              <w:right w:val="single" w:sz="4" w:space="0" w:color="auto"/>
            </w:tcBorders>
            <w:shd w:val="clear" w:color="auto" w:fill="auto"/>
            <w:noWrap/>
            <w:vAlign w:val="center"/>
            <w:hideMark/>
          </w:tcPr>
          <w:p w14:paraId="76FD7F40"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814</w:t>
            </w:r>
          </w:p>
        </w:tc>
        <w:tc>
          <w:tcPr>
            <w:tcW w:w="722" w:type="dxa"/>
            <w:tcBorders>
              <w:top w:val="nil"/>
              <w:left w:val="nil"/>
              <w:bottom w:val="single" w:sz="4" w:space="0" w:color="auto"/>
              <w:right w:val="single" w:sz="4" w:space="0" w:color="auto"/>
            </w:tcBorders>
            <w:shd w:val="clear" w:color="auto" w:fill="auto"/>
            <w:noWrap/>
            <w:vAlign w:val="center"/>
            <w:hideMark/>
          </w:tcPr>
          <w:p w14:paraId="7607A180"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810</w:t>
            </w:r>
          </w:p>
        </w:tc>
        <w:tc>
          <w:tcPr>
            <w:tcW w:w="722" w:type="dxa"/>
            <w:tcBorders>
              <w:top w:val="nil"/>
              <w:left w:val="nil"/>
              <w:bottom w:val="single" w:sz="4" w:space="0" w:color="auto"/>
              <w:right w:val="single" w:sz="4" w:space="0" w:color="auto"/>
            </w:tcBorders>
            <w:shd w:val="clear" w:color="auto" w:fill="auto"/>
            <w:noWrap/>
            <w:vAlign w:val="center"/>
            <w:hideMark/>
          </w:tcPr>
          <w:p w14:paraId="1DCB9108"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823</w:t>
            </w:r>
          </w:p>
        </w:tc>
        <w:tc>
          <w:tcPr>
            <w:tcW w:w="722" w:type="dxa"/>
            <w:tcBorders>
              <w:top w:val="nil"/>
              <w:left w:val="nil"/>
              <w:bottom w:val="single" w:sz="4" w:space="0" w:color="auto"/>
              <w:right w:val="single" w:sz="4" w:space="0" w:color="auto"/>
            </w:tcBorders>
            <w:shd w:val="clear" w:color="auto" w:fill="auto"/>
            <w:noWrap/>
            <w:vAlign w:val="center"/>
            <w:hideMark/>
          </w:tcPr>
          <w:p w14:paraId="2587982E"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830</w:t>
            </w:r>
          </w:p>
        </w:tc>
        <w:tc>
          <w:tcPr>
            <w:tcW w:w="722" w:type="dxa"/>
            <w:tcBorders>
              <w:top w:val="nil"/>
              <w:left w:val="nil"/>
              <w:bottom w:val="single" w:sz="4" w:space="0" w:color="auto"/>
              <w:right w:val="single" w:sz="4" w:space="0" w:color="auto"/>
            </w:tcBorders>
            <w:shd w:val="clear" w:color="auto" w:fill="auto"/>
            <w:noWrap/>
            <w:vAlign w:val="center"/>
            <w:hideMark/>
          </w:tcPr>
          <w:p w14:paraId="5DE5DFFF"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892</w:t>
            </w:r>
          </w:p>
        </w:tc>
        <w:tc>
          <w:tcPr>
            <w:tcW w:w="968" w:type="dxa"/>
            <w:tcBorders>
              <w:top w:val="nil"/>
              <w:left w:val="nil"/>
              <w:bottom w:val="single" w:sz="4" w:space="0" w:color="auto"/>
              <w:right w:val="single" w:sz="4" w:space="0" w:color="auto"/>
            </w:tcBorders>
            <w:shd w:val="clear" w:color="auto" w:fill="auto"/>
            <w:noWrap/>
            <w:vAlign w:val="center"/>
            <w:hideMark/>
          </w:tcPr>
          <w:p w14:paraId="56CF17D2"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884</w:t>
            </w:r>
          </w:p>
        </w:tc>
        <w:tc>
          <w:tcPr>
            <w:tcW w:w="1367" w:type="dxa"/>
            <w:tcBorders>
              <w:top w:val="nil"/>
              <w:left w:val="nil"/>
              <w:bottom w:val="single" w:sz="4" w:space="0" w:color="auto"/>
              <w:right w:val="single" w:sz="4" w:space="0" w:color="auto"/>
            </w:tcBorders>
            <w:shd w:val="clear" w:color="auto" w:fill="auto"/>
            <w:noWrap/>
            <w:vAlign w:val="center"/>
            <w:hideMark/>
          </w:tcPr>
          <w:p w14:paraId="61D1B97D"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7,41%</w:t>
            </w:r>
          </w:p>
        </w:tc>
      </w:tr>
      <w:tr w:rsidR="00766593" w:rsidRPr="00766593" w14:paraId="223743EA" w14:textId="77777777" w:rsidTr="00766593">
        <w:trPr>
          <w:trHeight w:val="214"/>
          <w:jc w:val="center"/>
        </w:trPr>
        <w:tc>
          <w:tcPr>
            <w:tcW w:w="2763" w:type="dxa"/>
            <w:tcBorders>
              <w:top w:val="nil"/>
              <w:left w:val="single" w:sz="4" w:space="0" w:color="auto"/>
              <w:bottom w:val="single" w:sz="4" w:space="0" w:color="auto"/>
              <w:right w:val="single" w:sz="4" w:space="0" w:color="auto"/>
            </w:tcBorders>
            <w:shd w:val="clear" w:color="auto" w:fill="auto"/>
            <w:noWrap/>
            <w:vAlign w:val="center"/>
            <w:hideMark/>
          </w:tcPr>
          <w:p w14:paraId="6CEA16B3" w14:textId="77777777" w:rsidR="00766593" w:rsidRPr="00766593" w:rsidRDefault="00766593" w:rsidP="00234CBE">
            <w:pPr>
              <w:spacing w:line="276" w:lineRule="auto"/>
              <w:jc w:val="right"/>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Tribunal Apelación Penal Juvenil</w:t>
            </w:r>
          </w:p>
        </w:tc>
        <w:tc>
          <w:tcPr>
            <w:tcW w:w="723" w:type="dxa"/>
            <w:tcBorders>
              <w:top w:val="nil"/>
              <w:left w:val="nil"/>
              <w:bottom w:val="single" w:sz="4" w:space="0" w:color="auto"/>
              <w:right w:val="single" w:sz="4" w:space="0" w:color="auto"/>
            </w:tcBorders>
            <w:shd w:val="clear" w:color="auto" w:fill="auto"/>
            <w:noWrap/>
            <w:vAlign w:val="center"/>
            <w:hideMark/>
          </w:tcPr>
          <w:p w14:paraId="6B75BD85"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12</w:t>
            </w:r>
          </w:p>
        </w:tc>
        <w:tc>
          <w:tcPr>
            <w:tcW w:w="757" w:type="dxa"/>
            <w:tcBorders>
              <w:top w:val="nil"/>
              <w:left w:val="nil"/>
              <w:bottom w:val="single" w:sz="4" w:space="0" w:color="auto"/>
              <w:right w:val="single" w:sz="4" w:space="0" w:color="auto"/>
            </w:tcBorders>
            <w:shd w:val="clear" w:color="auto" w:fill="auto"/>
            <w:noWrap/>
            <w:vAlign w:val="center"/>
            <w:hideMark/>
          </w:tcPr>
          <w:p w14:paraId="1EF4981F"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9</w:t>
            </w:r>
          </w:p>
        </w:tc>
        <w:tc>
          <w:tcPr>
            <w:tcW w:w="722" w:type="dxa"/>
            <w:tcBorders>
              <w:top w:val="nil"/>
              <w:left w:val="nil"/>
              <w:bottom w:val="single" w:sz="4" w:space="0" w:color="auto"/>
              <w:right w:val="single" w:sz="4" w:space="0" w:color="auto"/>
            </w:tcBorders>
            <w:shd w:val="clear" w:color="auto" w:fill="auto"/>
            <w:noWrap/>
            <w:vAlign w:val="center"/>
            <w:hideMark/>
          </w:tcPr>
          <w:p w14:paraId="287C9A08"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14</w:t>
            </w:r>
          </w:p>
        </w:tc>
        <w:tc>
          <w:tcPr>
            <w:tcW w:w="722" w:type="dxa"/>
            <w:tcBorders>
              <w:top w:val="nil"/>
              <w:left w:val="nil"/>
              <w:bottom w:val="single" w:sz="4" w:space="0" w:color="auto"/>
              <w:right w:val="single" w:sz="4" w:space="0" w:color="auto"/>
            </w:tcBorders>
            <w:shd w:val="clear" w:color="auto" w:fill="auto"/>
            <w:noWrap/>
            <w:vAlign w:val="center"/>
            <w:hideMark/>
          </w:tcPr>
          <w:p w14:paraId="4F2DE44C"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12</w:t>
            </w:r>
          </w:p>
        </w:tc>
        <w:tc>
          <w:tcPr>
            <w:tcW w:w="722" w:type="dxa"/>
            <w:tcBorders>
              <w:top w:val="nil"/>
              <w:left w:val="nil"/>
              <w:bottom w:val="single" w:sz="4" w:space="0" w:color="auto"/>
              <w:right w:val="single" w:sz="4" w:space="0" w:color="auto"/>
            </w:tcBorders>
            <w:shd w:val="clear" w:color="auto" w:fill="auto"/>
            <w:noWrap/>
            <w:vAlign w:val="center"/>
            <w:hideMark/>
          </w:tcPr>
          <w:p w14:paraId="2E9C04B6"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18</w:t>
            </w:r>
          </w:p>
        </w:tc>
        <w:tc>
          <w:tcPr>
            <w:tcW w:w="722" w:type="dxa"/>
            <w:tcBorders>
              <w:top w:val="nil"/>
              <w:left w:val="nil"/>
              <w:bottom w:val="single" w:sz="4" w:space="0" w:color="auto"/>
              <w:right w:val="single" w:sz="4" w:space="0" w:color="auto"/>
            </w:tcBorders>
            <w:shd w:val="clear" w:color="auto" w:fill="auto"/>
            <w:noWrap/>
            <w:vAlign w:val="center"/>
            <w:hideMark/>
          </w:tcPr>
          <w:p w14:paraId="326D9070"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8</w:t>
            </w:r>
          </w:p>
        </w:tc>
        <w:tc>
          <w:tcPr>
            <w:tcW w:w="722" w:type="dxa"/>
            <w:tcBorders>
              <w:top w:val="nil"/>
              <w:left w:val="nil"/>
              <w:bottom w:val="single" w:sz="4" w:space="0" w:color="auto"/>
              <w:right w:val="single" w:sz="4" w:space="0" w:color="auto"/>
            </w:tcBorders>
            <w:shd w:val="clear" w:color="auto" w:fill="auto"/>
            <w:noWrap/>
            <w:vAlign w:val="center"/>
            <w:hideMark/>
          </w:tcPr>
          <w:p w14:paraId="304AD5C1"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7</w:t>
            </w:r>
          </w:p>
        </w:tc>
        <w:tc>
          <w:tcPr>
            <w:tcW w:w="722" w:type="dxa"/>
            <w:tcBorders>
              <w:top w:val="nil"/>
              <w:left w:val="nil"/>
              <w:bottom w:val="single" w:sz="4" w:space="0" w:color="auto"/>
              <w:right w:val="single" w:sz="4" w:space="0" w:color="auto"/>
            </w:tcBorders>
            <w:shd w:val="clear" w:color="auto" w:fill="auto"/>
            <w:noWrap/>
            <w:vAlign w:val="center"/>
            <w:hideMark/>
          </w:tcPr>
          <w:p w14:paraId="41F72860"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8</w:t>
            </w:r>
          </w:p>
        </w:tc>
        <w:tc>
          <w:tcPr>
            <w:tcW w:w="968" w:type="dxa"/>
            <w:tcBorders>
              <w:top w:val="nil"/>
              <w:left w:val="nil"/>
              <w:bottom w:val="single" w:sz="4" w:space="0" w:color="auto"/>
              <w:right w:val="single" w:sz="4" w:space="0" w:color="auto"/>
            </w:tcBorders>
            <w:shd w:val="clear" w:color="auto" w:fill="auto"/>
            <w:noWrap/>
            <w:vAlign w:val="center"/>
            <w:hideMark/>
          </w:tcPr>
          <w:p w14:paraId="41D4CDDB"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8</w:t>
            </w:r>
          </w:p>
        </w:tc>
        <w:tc>
          <w:tcPr>
            <w:tcW w:w="1367" w:type="dxa"/>
            <w:tcBorders>
              <w:top w:val="nil"/>
              <w:left w:val="nil"/>
              <w:bottom w:val="single" w:sz="4" w:space="0" w:color="auto"/>
              <w:right w:val="single" w:sz="4" w:space="0" w:color="auto"/>
            </w:tcBorders>
            <w:shd w:val="clear" w:color="auto" w:fill="auto"/>
            <w:noWrap/>
            <w:vAlign w:val="center"/>
            <w:hideMark/>
          </w:tcPr>
          <w:p w14:paraId="1BEA2261"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-33,33%</w:t>
            </w:r>
          </w:p>
        </w:tc>
      </w:tr>
      <w:tr w:rsidR="00766593" w:rsidRPr="00766593" w14:paraId="434ABBF1" w14:textId="77777777" w:rsidTr="00766593">
        <w:trPr>
          <w:trHeight w:val="214"/>
          <w:jc w:val="center"/>
        </w:trPr>
        <w:tc>
          <w:tcPr>
            <w:tcW w:w="2763" w:type="dxa"/>
            <w:tcBorders>
              <w:top w:val="nil"/>
              <w:left w:val="single" w:sz="4" w:space="0" w:color="auto"/>
              <w:bottom w:val="single" w:sz="4" w:space="0" w:color="auto"/>
              <w:right w:val="single" w:sz="4" w:space="0" w:color="auto"/>
            </w:tcBorders>
            <w:shd w:val="clear" w:color="auto" w:fill="auto"/>
            <w:noWrap/>
            <w:vAlign w:val="center"/>
            <w:hideMark/>
          </w:tcPr>
          <w:p w14:paraId="3D352C1F" w14:textId="77777777" w:rsidR="00766593" w:rsidRPr="00766593" w:rsidRDefault="00766593" w:rsidP="00234CBE">
            <w:pPr>
              <w:spacing w:line="276" w:lineRule="auto"/>
              <w:jc w:val="right"/>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Tribunal Apelación Civil</w:t>
            </w:r>
          </w:p>
        </w:tc>
        <w:tc>
          <w:tcPr>
            <w:tcW w:w="723" w:type="dxa"/>
            <w:tcBorders>
              <w:top w:val="nil"/>
              <w:left w:val="nil"/>
              <w:bottom w:val="single" w:sz="4" w:space="0" w:color="auto"/>
              <w:right w:val="single" w:sz="4" w:space="0" w:color="auto"/>
            </w:tcBorders>
            <w:shd w:val="clear" w:color="auto" w:fill="auto"/>
            <w:noWrap/>
            <w:vAlign w:val="center"/>
            <w:hideMark/>
          </w:tcPr>
          <w:p w14:paraId="3BEA6765"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1928</w:t>
            </w:r>
          </w:p>
        </w:tc>
        <w:tc>
          <w:tcPr>
            <w:tcW w:w="757" w:type="dxa"/>
            <w:tcBorders>
              <w:top w:val="nil"/>
              <w:left w:val="nil"/>
              <w:bottom w:val="single" w:sz="4" w:space="0" w:color="auto"/>
              <w:right w:val="single" w:sz="4" w:space="0" w:color="auto"/>
            </w:tcBorders>
            <w:shd w:val="clear" w:color="auto" w:fill="auto"/>
            <w:noWrap/>
            <w:vAlign w:val="center"/>
            <w:hideMark/>
          </w:tcPr>
          <w:p w14:paraId="2A8D6822"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1873</w:t>
            </w:r>
          </w:p>
        </w:tc>
        <w:tc>
          <w:tcPr>
            <w:tcW w:w="722" w:type="dxa"/>
            <w:tcBorders>
              <w:top w:val="nil"/>
              <w:left w:val="nil"/>
              <w:bottom w:val="single" w:sz="4" w:space="0" w:color="auto"/>
              <w:right w:val="single" w:sz="4" w:space="0" w:color="auto"/>
            </w:tcBorders>
            <w:shd w:val="clear" w:color="auto" w:fill="auto"/>
            <w:noWrap/>
            <w:vAlign w:val="center"/>
            <w:hideMark/>
          </w:tcPr>
          <w:p w14:paraId="0DE09D0C"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1883</w:t>
            </w:r>
          </w:p>
        </w:tc>
        <w:tc>
          <w:tcPr>
            <w:tcW w:w="722" w:type="dxa"/>
            <w:tcBorders>
              <w:top w:val="nil"/>
              <w:left w:val="nil"/>
              <w:bottom w:val="single" w:sz="4" w:space="0" w:color="auto"/>
              <w:right w:val="single" w:sz="4" w:space="0" w:color="auto"/>
            </w:tcBorders>
            <w:shd w:val="clear" w:color="auto" w:fill="auto"/>
            <w:noWrap/>
            <w:vAlign w:val="center"/>
            <w:hideMark/>
          </w:tcPr>
          <w:p w14:paraId="7CF58DC7"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1859</w:t>
            </w:r>
          </w:p>
        </w:tc>
        <w:tc>
          <w:tcPr>
            <w:tcW w:w="722" w:type="dxa"/>
            <w:tcBorders>
              <w:top w:val="nil"/>
              <w:left w:val="nil"/>
              <w:bottom w:val="single" w:sz="4" w:space="0" w:color="auto"/>
              <w:right w:val="single" w:sz="4" w:space="0" w:color="auto"/>
            </w:tcBorders>
            <w:shd w:val="clear" w:color="auto" w:fill="auto"/>
            <w:noWrap/>
            <w:vAlign w:val="center"/>
            <w:hideMark/>
          </w:tcPr>
          <w:p w14:paraId="734D02E0"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1893</w:t>
            </w:r>
          </w:p>
        </w:tc>
        <w:tc>
          <w:tcPr>
            <w:tcW w:w="722" w:type="dxa"/>
            <w:tcBorders>
              <w:top w:val="nil"/>
              <w:left w:val="nil"/>
              <w:bottom w:val="single" w:sz="4" w:space="0" w:color="auto"/>
              <w:right w:val="single" w:sz="4" w:space="0" w:color="auto"/>
            </w:tcBorders>
            <w:shd w:val="clear" w:color="auto" w:fill="auto"/>
            <w:noWrap/>
            <w:vAlign w:val="center"/>
            <w:hideMark/>
          </w:tcPr>
          <w:p w14:paraId="6C7447AE"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2022</w:t>
            </w:r>
          </w:p>
        </w:tc>
        <w:tc>
          <w:tcPr>
            <w:tcW w:w="722" w:type="dxa"/>
            <w:tcBorders>
              <w:top w:val="nil"/>
              <w:left w:val="nil"/>
              <w:bottom w:val="single" w:sz="4" w:space="0" w:color="auto"/>
              <w:right w:val="single" w:sz="4" w:space="0" w:color="auto"/>
            </w:tcBorders>
            <w:shd w:val="clear" w:color="auto" w:fill="auto"/>
            <w:noWrap/>
            <w:vAlign w:val="center"/>
            <w:hideMark/>
          </w:tcPr>
          <w:p w14:paraId="43EEC53D"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2063</w:t>
            </w:r>
          </w:p>
        </w:tc>
        <w:tc>
          <w:tcPr>
            <w:tcW w:w="722" w:type="dxa"/>
            <w:tcBorders>
              <w:top w:val="nil"/>
              <w:left w:val="nil"/>
              <w:bottom w:val="single" w:sz="4" w:space="0" w:color="auto"/>
              <w:right w:val="single" w:sz="4" w:space="0" w:color="auto"/>
            </w:tcBorders>
            <w:shd w:val="clear" w:color="auto" w:fill="auto"/>
            <w:noWrap/>
            <w:vAlign w:val="center"/>
            <w:hideMark/>
          </w:tcPr>
          <w:p w14:paraId="3A1185B5"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2214</w:t>
            </w:r>
          </w:p>
        </w:tc>
        <w:tc>
          <w:tcPr>
            <w:tcW w:w="968" w:type="dxa"/>
            <w:tcBorders>
              <w:top w:val="nil"/>
              <w:left w:val="nil"/>
              <w:bottom w:val="single" w:sz="4" w:space="0" w:color="auto"/>
              <w:right w:val="single" w:sz="4" w:space="0" w:color="auto"/>
            </w:tcBorders>
            <w:shd w:val="clear" w:color="auto" w:fill="auto"/>
            <w:noWrap/>
            <w:vAlign w:val="center"/>
            <w:hideMark/>
          </w:tcPr>
          <w:p w14:paraId="4D4354B5"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2405</w:t>
            </w:r>
          </w:p>
        </w:tc>
        <w:tc>
          <w:tcPr>
            <w:tcW w:w="1367" w:type="dxa"/>
            <w:tcBorders>
              <w:top w:val="nil"/>
              <w:left w:val="nil"/>
              <w:bottom w:val="single" w:sz="4" w:space="0" w:color="auto"/>
              <w:right w:val="single" w:sz="4" w:space="0" w:color="auto"/>
            </w:tcBorders>
            <w:shd w:val="clear" w:color="auto" w:fill="auto"/>
            <w:noWrap/>
            <w:vAlign w:val="center"/>
            <w:hideMark/>
          </w:tcPr>
          <w:p w14:paraId="2B15896F"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24,74%</w:t>
            </w:r>
          </w:p>
        </w:tc>
      </w:tr>
      <w:tr w:rsidR="00766593" w:rsidRPr="00766593" w14:paraId="6EC7FB9D" w14:textId="77777777" w:rsidTr="00766593">
        <w:trPr>
          <w:trHeight w:val="214"/>
          <w:jc w:val="center"/>
        </w:trPr>
        <w:tc>
          <w:tcPr>
            <w:tcW w:w="2763" w:type="dxa"/>
            <w:tcBorders>
              <w:top w:val="nil"/>
              <w:left w:val="single" w:sz="4" w:space="0" w:color="auto"/>
              <w:bottom w:val="single" w:sz="4" w:space="0" w:color="auto"/>
              <w:right w:val="single" w:sz="4" w:space="0" w:color="auto"/>
            </w:tcBorders>
            <w:shd w:val="clear" w:color="auto" w:fill="auto"/>
            <w:noWrap/>
            <w:vAlign w:val="center"/>
            <w:hideMark/>
          </w:tcPr>
          <w:p w14:paraId="2518EFAF" w14:textId="4F07E111" w:rsidR="00766593" w:rsidRPr="00766593" w:rsidRDefault="00766593" w:rsidP="00234CBE">
            <w:pPr>
              <w:spacing w:line="276" w:lineRule="auto"/>
              <w:jc w:val="right"/>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Tribunal Apelación Laboral</w:t>
            </w:r>
            <w:r w:rsidR="005130AA">
              <w:rPr>
                <w:rFonts w:ascii="Book Antiqua" w:hAnsi="Book Antiqua" w:cs="Calibri"/>
                <w:color w:val="000000"/>
                <w:sz w:val="16"/>
                <w:szCs w:val="16"/>
                <w:lang w:eastAsia="es-CR"/>
              </w:rPr>
              <w:t xml:space="preserve"> (aumento de cuantía en este año 2021)</w:t>
            </w:r>
          </w:p>
        </w:tc>
        <w:tc>
          <w:tcPr>
            <w:tcW w:w="723" w:type="dxa"/>
            <w:tcBorders>
              <w:top w:val="nil"/>
              <w:left w:val="nil"/>
              <w:bottom w:val="single" w:sz="4" w:space="0" w:color="auto"/>
              <w:right w:val="single" w:sz="4" w:space="0" w:color="auto"/>
            </w:tcBorders>
            <w:shd w:val="clear" w:color="auto" w:fill="auto"/>
            <w:noWrap/>
            <w:vAlign w:val="center"/>
            <w:hideMark/>
          </w:tcPr>
          <w:p w14:paraId="48AFCBF7"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1035</w:t>
            </w:r>
          </w:p>
        </w:tc>
        <w:tc>
          <w:tcPr>
            <w:tcW w:w="757" w:type="dxa"/>
            <w:tcBorders>
              <w:top w:val="nil"/>
              <w:left w:val="nil"/>
              <w:bottom w:val="single" w:sz="4" w:space="0" w:color="auto"/>
              <w:right w:val="single" w:sz="4" w:space="0" w:color="auto"/>
            </w:tcBorders>
            <w:shd w:val="clear" w:color="auto" w:fill="auto"/>
            <w:noWrap/>
            <w:vAlign w:val="center"/>
            <w:hideMark/>
          </w:tcPr>
          <w:p w14:paraId="1B308FD6"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1133</w:t>
            </w:r>
          </w:p>
        </w:tc>
        <w:tc>
          <w:tcPr>
            <w:tcW w:w="722" w:type="dxa"/>
            <w:tcBorders>
              <w:top w:val="nil"/>
              <w:left w:val="nil"/>
              <w:bottom w:val="single" w:sz="4" w:space="0" w:color="auto"/>
              <w:right w:val="single" w:sz="4" w:space="0" w:color="auto"/>
            </w:tcBorders>
            <w:shd w:val="clear" w:color="auto" w:fill="auto"/>
            <w:noWrap/>
            <w:vAlign w:val="center"/>
            <w:hideMark/>
          </w:tcPr>
          <w:p w14:paraId="310AB4B3"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1206</w:t>
            </w:r>
          </w:p>
        </w:tc>
        <w:tc>
          <w:tcPr>
            <w:tcW w:w="722" w:type="dxa"/>
            <w:tcBorders>
              <w:top w:val="nil"/>
              <w:left w:val="nil"/>
              <w:bottom w:val="single" w:sz="4" w:space="0" w:color="auto"/>
              <w:right w:val="single" w:sz="4" w:space="0" w:color="auto"/>
            </w:tcBorders>
            <w:shd w:val="clear" w:color="auto" w:fill="auto"/>
            <w:noWrap/>
            <w:vAlign w:val="center"/>
            <w:hideMark/>
          </w:tcPr>
          <w:p w14:paraId="02C2F419"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1333</w:t>
            </w:r>
          </w:p>
        </w:tc>
        <w:tc>
          <w:tcPr>
            <w:tcW w:w="722" w:type="dxa"/>
            <w:tcBorders>
              <w:top w:val="nil"/>
              <w:left w:val="nil"/>
              <w:bottom w:val="single" w:sz="4" w:space="0" w:color="auto"/>
              <w:right w:val="single" w:sz="4" w:space="0" w:color="auto"/>
            </w:tcBorders>
            <w:shd w:val="clear" w:color="auto" w:fill="auto"/>
            <w:noWrap/>
            <w:vAlign w:val="center"/>
            <w:hideMark/>
          </w:tcPr>
          <w:p w14:paraId="0C1B17FC"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1279</w:t>
            </w:r>
          </w:p>
        </w:tc>
        <w:tc>
          <w:tcPr>
            <w:tcW w:w="722" w:type="dxa"/>
            <w:tcBorders>
              <w:top w:val="nil"/>
              <w:left w:val="nil"/>
              <w:bottom w:val="single" w:sz="4" w:space="0" w:color="auto"/>
              <w:right w:val="single" w:sz="4" w:space="0" w:color="auto"/>
            </w:tcBorders>
            <w:shd w:val="clear" w:color="auto" w:fill="auto"/>
            <w:noWrap/>
            <w:vAlign w:val="center"/>
            <w:hideMark/>
          </w:tcPr>
          <w:p w14:paraId="0673DB2C"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1276</w:t>
            </w:r>
          </w:p>
        </w:tc>
        <w:tc>
          <w:tcPr>
            <w:tcW w:w="722" w:type="dxa"/>
            <w:tcBorders>
              <w:top w:val="nil"/>
              <w:left w:val="nil"/>
              <w:bottom w:val="single" w:sz="4" w:space="0" w:color="auto"/>
              <w:right w:val="single" w:sz="4" w:space="0" w:color="auto"/>
            </w:tcBorders>
            <w:shd w:val="clear" w:color="auto" w:fill="auto"/>
            <w:noWrap/>
            <w:vAlign w:val="center"/>
            <w:hideMark/>
          </w:tcPr>
          <w:p w14:paraId="25ABC912"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1253</w:t>
            </w:r>
          </w:p>
        </w:tc>
        <w:tc>
          <w:tcPr>
            <w:tcW w:w="722" w:type="dxa"/>
            <w:tcBorders>
              <w:top w:val="nil"/>
              <w:left w:val="nil"/>
              <w:bottom w:val="single" w:sz="4" w:space="0" w:color="auto"/>
              <w:right w:val="single" w:sz="4" w:space="0" w:color="auto"/>
            </w:tcBorders>
            <w:shd w:val="clear" w:color="auto" w:fill="auto"/>
            <w:noWrap/>
            <w:vAlign w:val="center"/>
            <w:hideMark/>
          </w:tcPr>
          <w:p w14:paraId="4A4D748F"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1314</w:t>
            </w:r>
          </w:p>
        </w:tc>
        <w:tc>
          <w:tcPr>
            <w:tcW w:w="968" w:type="dxa"/>
            <w:tcBorders>
              <w:top w:val="nil"/>
              <w:left w:val="nil"/>
              <w:bottom w:val="single" w:sz="4" w:space="0" w:color="auto"/>
              <w:right w:val="single" w:sz="4" w:space="0" w:color="auto"/>
            </w:tcBorders>
            <w:shd w:val="clear" w:color="auto" w:fill="auto"/>
            <w:noWrap/>
            <w:vAlign w:val="center"/>
            <w:hideMark/>
          </w:tcPr>
          <w:p w14:paraId="187D6DAA"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1358</w:t>
            </w:r>
          </w:p>
        </w:tc>
        <w:tc>
          <w:tcPr>
            <w:tcW w:w="1367" w:type="dxa"/>
            <w:tcBorders>
              <w:top w:val="nil"/>
              <w:left w:val="nil"/>
              <w:bottom w:val="single" w:sz="4" w:space="0" w:color="auto"/>
              <w:right w:val="single" w:sz="4" w:space="0" w:color="auto"/>
            </w:tcBorders>
            <w:shd w:val="clear" w:color="auto" w:fill="auto"/>
            <w:noWrap/>
            <w:vAlign w:val="center"/>
            <w:hideMark/>
          </w:tcPr>
          <w:p w14:paraId="1EE4D2D3"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31,21%</w:t>
            </w:r>
          </w:p>
        </w:tc>
      </w:tr>
      <w:tr w:rsidR="00766593" w:rsidRPr="00766593" w14:paraId="1674AEF4" w14:textId="77777777" w:rsidTr="00766593">
        <w:trPr>
          <w:trHeight w:val="214"/>
          <w:jc w:val="center"/>
        </w:trPr>
        <w:tc>
          <w:tcPr>
            <w:tcW w:w="2763" w:type="dxa"/>
            <w:tcBorders>
              <w:top w:val="nil"/>
              <w:left w:val="single" w:sz="4" w:space="0" w:color="auto"/>
              <w:bottom w:val="single" w:sz="4" w:space="0" w:color="auto"/>
              <w:right w:val="single" w:sz="4" w:space="0" w:color="auto"/>
            </w:tcBorders>
            <w:shd w:val="clear" w:color="auto" w:fill="auto"/>
            <w:noWrap/>
            <w:vAlign w:val="center"/>
            <w:hideMark/>
          </w:tcPr>
          <w:p w14:paraId="090C9CD7" w14:textId="256D6CDB" w:rsidR="00766593" w:rsidRPr="00766593" w:rsidRDefault="00766593" w:rsidP="00234CBE">
            <w:pPr>
              <w:spacing w:line="276" w:lineRule="auto"/>
              <w:jc w:val="right"/>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Tribunal Agrario</w:t>
            </w:r>
            <w:r w:rsidR="005130AA">
              <w:rPr>
                <w:rFonts w:ascii="Book Antiqua" w:hAnsi="Book Antiqua" w:cs="Calibri"/>
                <w:color w:val="000000"/>
                <w:sz w:val="16"/>
                <w:szCs w:val="16"/>
                <w:lang w:eastAsia="es-CR"/>
              </w:rPr>
              <w:t xml:space="preserve"> (Plan de Trabajo en años anteriores)</w:t>
            </w:r>
          </w:p>
        </w:tc>
        <w:tc>
          <w:tcPr>
            <w:tcW w:w="723" w:type="dxa"/>
            <w:tcBorders>
              <w:top w:val="nil"/>
              <w:left w:val="nil"/>
              <w:bottom w:val="single" w:sz="4" w:space="0" w:color="auto"/>
              <w:right w:val="single" w:sz="4" w:space="0" w:color="auto"/>
            </w:tcBorders>
            <w:shd w:val="clear" w:color="auto" w:fill="auto"/>
            <w:noWrap/>
            <w:vAlign w:val="center"/>
            <w:hideMark/>
          </w:tcPr>
          <w:p w14:paraId="43E99FAC"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128</w:t>
            </w:r>
          </w:p>
        </w:tc>
        <w:tc>
          <w:tcPr>
            <w:tcW w:w="757" w:type="dxa"/>
            <w:tcBorders>
              <w:top w:val="nil"/>
              <w:left w:val="nil"/>
              <w:bottom w:val="single" w:sz="4" w:space="0" w:color="auto"/>
              <w:right w:val="single" w:sz="4" w:space="0" w:color="auto"/>
            </w:tcBorders>
            <w:shd w:val="clear" w:color="auto" w:fill="auto"/>
            <w:noWrap/>
            <w:vAlign w:val="center"/>
            <w:hideMark/>
          </w:tcPr>
          <w:p w14:paraId="749F72D5"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124</w:t>
            </w:r>
          </w:p>
        </w:tc>
        <w:tc>
          <w:tcPr>
            <w:tcW w:w="722" w:type="dxa"/>
            <w:tcBorders>
              <w:top w:val="nil"/>
              <w:left w:val="nil"/>
              <w:bottom w:val="single" w:sz="4" w:space="0" w:color="auto"/>
              <w:right w:val="single" w:sz="4" w:space="0" w:color="auto"/>
            </w:tcBorders>
            <w:shd w:val="clear" w:color="auto" w:fill="auto"/>
            <w:noWrap/>
            <w:vAlign w:val="center"/>
            <w:hideMark/>
          </w:tcPr>
          <w:p w14:paraId="24053E0E"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119</w:t>
            </w:r>
          </w:p>
        </w:tc>
        <w:tc>
          <w:tcPr>
            <w:tcW w:w="722" w:type="dxa"/>
            <w:tcBorders>
              <w:top w:val="nil"/>
              <w:left w:val="nil"/>
              <w:bottom w:val="single" w:sz="4" w:space="0" w:color="auto"/>
              <w:right w:val="single" w:sz="4" w:space="0" w:color="auto"/>
            </w:tcBorders>
            <w:shd w:val="clear" w:color="auto" w:fill="auto"/>
            <w:noWrap/>
            <w:vAlign w:val="center"/>
            <w:hideMark/>
          </w:tcPr>
          <w:p w14:paraId="782A6F7B"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206</w:t>
            </w:r>
          </w:p>
        </w:tc>
        <w:tc>
          <w:tcPr>
            <w:tcW w:w="722" w:type="dxa"/>
            <w:tcBorders>
              <w:top w:val="nil"/>
              <w:left w:val="nil"/>
              <w:bottom w:val="single" w:sz="4" w:space="0" w:color="auto"/>
              <w:right w:val="single" w:sz="4" w:space="0" w:color="auto"/>
            </w:tcBorders>
            <w:shd w:val="clear" w:color="auto" w:fill="auto"/>
            <w:noWrap/>
            <w:vAlign w:val="center"/>
            <w:hideMark/>
          </w:tcPr>
          <w:p w14:paraId="0F03BE11"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216</w:t>
            </w:r>
          </w:p>
        </w:tc>
        <w:tc>
          <w:tcPr>
            <w:tcW w:w="722" w:type="dxa"/>
            <w:tcBorders>
              <w:top w:val="nil"/>
              <w:left w:val="nil"/>
              <w:bottom w:val="single" w:sz="4" w:space="0" w:color="auto"/>
              <w:right w:val="single" w:sz="4" w:space="0" w:color="auto"/>
            </w:tcBorders>
            <w:shd w:val="clear" w:color="auto" w:fill="auto"/>
            <w:noWrap/>
            <w:vAlign w:val="center"/>
            <w:hideMark/>
          </w:tcPr>
          <w:p w14:paraId="1D9F59BC"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235</w:t>
            </w:r>
          </w:p>
        </w:tc>
        <w:tc>
          <w:tcPr>
            <w:tcW w:w="722" w:type="dxa"/>
            <w:tcBorders>
              <w:top w:val="nil"/>
              <w:left w:val="nil"/>
              <w:bottom w:val="single" w:sz="4" w:space="0" w:color="auto"/>
              <w:right w:val="single" w:sz="4" w:space="0" w:color="auto"/>
            </w:tcBorders>
            <w:shd w:val="clear" w:color="auto" w:fill="auto"/>
            <w:noWrap/>
            <w:vAlign w:val="center"/>
            <w:hideMark/>
          </w:tcPr>
          <w:p w14:paraId="054246AF"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240</w:t>
            </w:r>
          </w:p>
        </w:tc>
        <w:tc>
          <w:tcPr>
            <w:tcW w:w="722" w:type="dxa"/>
            <w:tcBorders>
              <w:top w:val="nil"/>
              <w:left w:val="nil"/>
              <w:bottom w:val="single" w:sz="4" w:space="0" w:color="auto"/>
              <w:right w:val="single" w:sz="4" w:space="0" w:color="auto"/>
            </w:tcBorders>
            <w:shd w:val="clear" w:color="auto" w:fill="auto"/>
            <w:noWrap/>
            <w:vAlign w:val="center"/>
            <w:hideMark/>
          </w:tcPr>
          <w:p w14:paraId="5A9E62B1"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229</w:t>
            </w:r>
          </w:p>
        </w:tc>
        <w:tc>
          <w:tcPr>
            <w:tcW w:w="968" w:type="dxa"/>
            <w:tcBorders>
              <w:top w:val="nil"/>
              <w:left w:val="nil"/>
              <w:bottom w:val="single" w:sz="4" w:space="0" w:color="auto"/>
              <w:right w:val="single" w:sz="4" w:space="0" w:color="auto"/>
            </w:tcBorders>
            <w:shd w:val="clear" w:color="auto" w:fill="auto"/>
            <w:noWrap/>
            <w:vAlign w:val="center"/>
            <w:hideMark/>
          </w:tcPr>
          <w:p w14:paraId="093D0635"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228</w:t>
            </w:r>
          </w:p>
        </w:tc>
        <w:tc>
          <w:tcPr>
            <w:tcW w:w="1367" w:type="dxa"/>
            <w:tcBorders>
              <w:top w:val="nil"/>
              <w:left w:val="nil"/>
              <w:bottom w:val="single" w:sz="4" w:space="0" w:color="auto"/>
              <w:right w:val="single" w:sz="4" w:space="0" w:color="auto"/>
            </w:tcBorders>
            <w:shd w:val="clear" w:color="auto" w:fill="F2F2F2" w:themeFill="background1" w:themeFillShade="F2"/>
            <w:noWrap/>
            <w:vAlign w:val="center"/>
            <w:hideMark/>
          </w:tcPr>
          <w:p w14:paraId="0523D3EF"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78,13%</w:t>
            </w:r>
          </w:p>
        </w:tc>
      </w:tr>
      <w:tr w:rsidR="00766593" w:rsidRPr="00766593" w14:paraId="7A682480" w14:textId="77777777" w:rsidTr="00120FB2">
        <w:trPr>
          <w:trHeight w:val="214"/>
          <w:jc w:val="center"/>
        </w:trPr>
        <w:tc>
          <w:tcPr>
            <w:tcW w:w="2763" w:type="dxa"/>
            <w:tcBorders>
              <w:top w:val="nil"/>
              <w:left w:val="single" w:sz="4" w:space="0" w:color="auto"/>
              <w:bottom w:val="single" w:sz="4" w:space="0" w:color="auto"/>
              <w:right w:val="single" w:sz="4" w:space="0" w:color="auto"/>
            </w:tcBorders>
            <w:shd w:val="clear" w:color="auto" w:fill="auto"/>
            <w:noWrap/>
            <w:vAlign w:val="center"/>
            <w:hideMark/>
          </w:tcPr>
          <w:p w14:paraId="15687480" w14:textId="77777777" w:rsidR="00766593" w:rsidRPr="00766593" w:rsidRDefault="00766593" w:rsidP="00234CBE">
            <w:pPr>
              <w:spacing w:line="276" w:lineRule="auto"/>
              <w:jc w:val="right"/>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Tribunal de Familia</w:t>
            </w:r>
          </w:p>
        </w:tc>
        <w:tc>
          <w:tcPr>
            <w:tcW w:w="723" w:type="dxa"/>
            <w:tcBorders>
              <w:top w:val="nil"/>
              <w:left w:val="nil"/>
              <w:bottom w:val="single" w:sz="4" w:space="0" w:color="auto"/>
              <w:right w:val="single" w:sz="4" w:space="0" w:color="auto"/>
            </w:tcBorders>
            <w:shd w:val="clear" w:color="auto" w:fill="auto"/>
            <w:noWrap/>
            <w:vAlign w:val="center"/>
            <w:hideMark/>
          </w:tcPr>
          <w:p w14:paraId="634A0C45"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297</w:t>
            </w:r>
          </w:p>
        </w:tc>
        <w:tc>
          <w:tcPr>
            <w:tcW w:w="757" w:type="dxa"/>
            <w:tcBorders>
              <w:top w:val="nil"/>
              <w:left w:val="nil"/>
              <w:bottom w:val="single" w:sz="4" w:space="0" w:color="auto"/>
              <w:right w:val="single" w:sz="4" w:space="0" w:color="auto"/>
            </w:tcBorders>
            <w:shd w:val="clear" w:color="auto" w:fill="auto"/>
            <w:noWrap/>
            <w:vAlign w:val="center"/>
            <w:hideMark/>
          </w:tcPr>
          <w:p w14:paraId="2AC58EA1"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322</w:t>
            </w:r>
          </w:p>
        </w:tc>
        <w:tc>
          <w:tcPr>
            <w:tcW w:w="722" w:type="dxa"/>
            <w:tcBorders>
              <w:top w:val="nil"/>
              <w:left w:val="nil"/>
              <w:bottom w:val="single" w:sz="4" w:space="0" w:color="auto"/>
              <w:right w:val="single" w:sz="4" w:space="0" w:color="auto"/>
            </w:tcBorders>
            <w:shd w:val="clear" w:color="auto" w:fill="auto"/>
            <w:noWrap/>
            <w:vAlign w:val="center"/>
            <w:hideMark/>
          </w:tcPr>
          <w:p w14:paraId="77FD8EFA"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351</w:t>
            </w:r>
          </w:p>
        </w:tc>
        <w:tc>
          <w:tcPr>
            <w:tcW w:w="722" w:type="dxa"/>
            <w:tcBorders>
              <w:top w:val="nil"/>
              <w:left w:val="nil"/>
              <w:bottom w:val="single" w:sz="4" w:space="0" w:color="auto"/>
              <w:right w:val="single" w:sz="4" w:space="0" w:color="auto"/>
            </w:tcBorders>
            <w:shd w:val="clear" w:color="auto" w:fill="auto"/>
            <w:noWrap/>
            <w:vAlign w:val="center"/>
            <w:hideMark/>
          </w:tcPr>
          <w:p w14:paraId="5562FA84"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354</w:t>
            </w:r>
          </w:p>
        </w:tc>
        <w:tc>
          <w:tcPr>
            <w:tcW w:w="722" w:type="dxa"/>
            <w:tcBorders>
              <w:top w:val="nil"/>
              <w:left w:val="nil"/>
              <w:bottom w:val="single" w:sz="4" w:space="0" w:color="auto"/>
              <w:right w:val="single" w:sz="4" w:space="0" w:color="auto"/>
            </w:tcBorders>
            <w:shd w:val="clear" w:color="auto" w:fill="auto"/>
            <w:noWrap/>
            <w:vAlign w:val="center"/>
            <w:hideMark/>
          </w:tcPr>
          <w:p w14:paraId="513170CB"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415</w:t>
            </w:r>
          </w:p>
        </w:tc>
        <w:tc>
          <w:tcPr>
            <w:tcW w:w="722" w:type="dxa"/>
            <w:tcBorders>
              <w:top w:val="nil"/>
              <w:left w:val="nil"/>
              <w:bottom w:val="single" w:sz="4" w:space="0" w:color="auto"/>
              <w:right w:val="single" w:sz="4" w:space="0" w:color="auto"/>
            </w:tcBorders>
            <w:shd w:val="clear" w:color="auto" w:fill="auto"/>
            <w:noWrap/>
            <w:vAlign w:val="center"/>
            <w:hideMark/>
          </w:tcPr>
          <w:p w14:paraId="70C10997"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370</w:t>
            </w:r>
          </w:p>
        </w:tc>
        <w:tc>
          <w:tcPr>
            <w:tcW w:w="722" w:type="dxa"/>
            <w:tcBorders>
              <w:top w:val="nil"/>
              <w:left w:val="nil"/>
              <w:bottom w:val="single" w:sz="4" w:space="0" w:color="auto"/>
              <w:right w:val="single" w:sz="4" w:space="0" w:color="auto"/>
            </w:tcBorders>
            <w:shd w:val="clear" w:color="auto" w:fill="auto"/>
            <w:noWrap/>
            <w:vAlign w:val="center"/>
            <w:hideMark/>
          </w:tcPr>
          <w:p w14:paraId="3899CAA3"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390</w:t>
            </w:r>
          </w:p>
        </w:tc>
        <w:tc>
          <w:tcPr>
            <w:tcW w:w="722" w:type="dxa"/>
            <w:tcBorders>
              <w:top w:val="nil"/>
              <w:left w:val="nil"/>
              <w:bottom w:val="single" w:sz="4" w:space="0" w:color="auto"/>
              <w:right w:val="single" w:sz="4" w:space="0" w:color="auto"/>
            </w:tcBorders>
            <w:shd w:val="clear" w:color="auto" w:fill="auto"/>
            <w:noWrap/>
            <w:vAlign w:val="center"/>
            <w:hideMark/>
          </w:tcPr>
          <w:p w14:paraId="7EFF8E87"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403</w:t>
            </w:r>
          </w:p>
        </w:tc>
        <w:tc>
          <w:tcPr>
            <w:tcW w:w="968" w:type="dxa"/>
            <w:tcBorders>
              <w:top w:val="nil"/>
              <w:left w:val="nil"/>
              <w:bottom w:val="single" w:sz="4" w:space="0" w:color="auto"/>
              <w:right w:val="single" w:sz="4" w:space="0" w:color="auto"/>
            </w:tcBorders>
            <w:shd w:val="clear" w:color="auto" w:fill="auto"/>
            <w:noWrap/>
            <w:vAlign w:val="center"/>
            <w:hideMark/>
          </w:tcPr>
          <w:p w14:paraId="2D0BBD8A"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410</w:t>
            </w:r>
          </w:p>
        </w:tc>
        <w:tc>
          <w:tcPr>
            <w:tcW w:w="1367" w:type="dxa"/>
            <w:tcBorders>
              <w:top w:val="nil"/>
              <w:left w:val="nil"/>
              <w:bottom w:val="single" w:sz="4" w:space="0" w:color="auto"/>
              <w:right w:val="single" w:sz="4" w:space="0" w:color="auto"/>
            </w:tcBorders>
            <w:shd w:val="clear" w:color="auto" w:fill="F2F2F2" w:themeFill="background1" w:themeFillShade="F2"/>
            <w:noWrap/>
            <w:vAlign w:val="center"/>
            <w:hideMark/>
          </w:tcPr>
          <w:p w14:paraId="36733192"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38,05%</w:t>
            </w:r>
          </w:p>
        </w:tc>
      </w:tr>
      <w:tr w:rsidR="00766593" w:rsidRPr="00766593" w14:paraId="221249DA" w14:textId="77777777" w:rsidTr="00766593">
        <w:trPr>
          <w:trHeight w:val="214"/>
          <w:jc w:val="center"/>
        </w:trPr>
        <w:tc>
          <w:tcPr>
            <w:tcW w:w="2763" w:type="dxa"/>
            <w:tcBorders>
              <w:top w:val="nil"/>
              <w:left w:val="single" w:sz="4" w:space="0" w:color="auto"/>
              <w:bottom w:val="single" w:sz="4" w:space="0" w:color="auto"/>
              <w:right w:val="single" w:sz="4" w:space="0" w:color="auto"/>
            </w:tcBorders>
            <w:shd w:val="clear" w:color="auto" w:fill="auto"/>
            <w:noWrap/>
            <w:vAlign w:val="center"/>
            <w:hideMark/>
          </w:tcPr>
          <w:p w14:paraId="084D3A2A" w14:textId="77777777" w:rsidR="00766593" w:rsidRPr="00766593" w:rsidRDefault="00766593" w:rsidP="00234CBE">
            <w:pPr>
              <w:spacing w:line="276" w:lineRule="auto"/>
              <w:jc w:val="right"/>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Tribunal Apelación (1120)</w:t>
            </w:r>
          </w:p>
        </w:tc>
        <w:tc>
          <w:tcPr>
            <w:tcW w:w="723" w:type="dxa"/>
            <w:tcBorders>
              <w:top w:val="nil"/>
              <w:left w:val="nil"/>
              <w:bottom w:val="single" w:sz="4" w:space="0" w:color="auto"/>
              <w:right w:val="single" w:sz="4" w:space="0" w:color="auto"/>
            </w:tcBorders>
            <w:shd w:val="clear" w:color="auto" w:fill="auto"/>
            <w:noWrap/>
            <w:vAlign w:val="center"/>
            <w:hideMark/>
          </w:tcPr>
          <w:p w14:paraId="15BD13E2"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180</w:t>
            </w:r>
          </w:p>
        </w:tc>
        <w:tc>
          <w:tcPr>
            <w:tcW w:w="757" w:type="dxa"/>
            <w:tcBorders>
              <w:top w:val="nil"/>
              <w:left w:val="nil"/>
              <w:bottom w:val="single" w:sz="4" w:space="0" w:color="auto"/>
              <w:right w:val="single" w:sz="4" w:space="0" w:color="auto"/>
            </w:tcBorders>
            <w:shd w:val="clear" w:color="auto" w:fill="auto"/>
            <w:noWrap/>
            <w:vAlign w:val="center"/>
            <w:hideMark/>
          </w:tcPr>
          <w:p w14:paraId="11B0888A"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186</w:t>
            </w:r>
          </w:p>
        </w:tc>
        <w:tc>
          <w:tcPr>
            <w:tcW w:w="722" w:type="dxa"/>
            <w:tcBorders>
              <w:top w:val="nil"/>
              <w:left w:val="nil"/>
              <w:bottom w:val="single" w:sz="4" w:space="0" w:color="auto"/>
              <w:right w:val="single" w:sz="4" w:space="0" w:color="auto"/>
            </w:tcBorders>
            <w:shd w:val="clear" w:color="auto" w:fill="auto"/>
            <w:noWrap/>
            <w:vAlign w:val="center"/>
            <w:hideMark/>
          </w:tcPr>
          <w:p w14:paraId="3C72DBE4"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169</w:t>
            </w:r>
          </w:p>
        </w:tc>
        <w:tc>
          <w:tcPr>
            <w:tcW w:w="722" w:type="dxa"/>
            <w:tcBorders>
              <w:top w:val="nil"/>
              <w:left w:val="nil"/>
              <w:bottom w:val="single" w:sz="4" w:space="0" w:color="auto"/>
              <w:right w:val="single" w:sz="4" w:space="0" w:color="auto"/>
            </w:tcBorders>
            <w:shd w:val="clear" w:color="auto" w:fill="auto"/>
            <w:noWrap/>
            <w:vAlign w:val="center"/>
            <w:hideMark/>
          </w:tcPr>
          <w:p w14:paraId="1D6A97CA"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163</w:t>
            </w:r>
          </w:p>
        </w:tc>
        <w:tc>
          <w:tcPr>
            <w:tcW w:w="722" w:type="dxa"/>
            <w:tcBorders>
              <w:top w:val="nil"/>
              <w:left w:val="nil"/>
              <w:bottom w:val="single" w:sz="4" w:space="0" w:color="auto"/>
              <w:right w:val="single" w:sz="4" w:space="0" w:color="auto"/>
            </w:tcBorders>
            <w:shd w:val="clear" w:color="auto" w:fill="auto"/>
            <w:noWrap/>
            <w:vAlign w:val="center"/>
            <w:hideMark/>
          </w:tcPr>
          <w:p w14:paraId="1D4DF1AF"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175</w:t>
            </w:r>
          </w:p>
        </w:tc>
        <w:tc>
          <w:tcPr>
            <w:tcW w:w="722" w:type="dxa"/>
            <w:tcBorders>
              <w:top w:val="nil"/>
              <w:left w:val="nil"/>
              <w:bottom w:val="single" w:sz="4" w:space="0" w:color="auto"/>
              <w:right w:val="single" w:sz="4" w:space="0" w:color="auto"/>
            </w:tcBorders>
            <w:shd w:val="clear" w:color="auto" w:fill="auto"/>
            <w:noWrap/>
            <w:vAlign w:val="center"/>
            <w:hideMark/>
          </w:tcPr>
          <w:p w14:paraId="523D7D1F"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163</w:t>
            </w:r>
          </w:p>
        </w:tc>
        <w:tc>
          <w:tcPr>
            <w:tcW w:w="722" w:type="dxa"/>
            <w:tcBorders>
              <w:top w:val="nil"/>
              <w:left w:val="nil"/>
              <w:bottom w:val="single" w:sz="4" w:space="0" w:color="auto"/>
              <w:right w:val="single" w:sz="4" w:space="0" w:color="auto"/>
            </w:tcBorders>
            <w:shd w:val="clear" w:color="auto" w:fill="auto"/>
            <w:noWrap/>
            <w:vAlign w:val="center"/>
            <w:hideMark/>
          </w:tcPr>
          <w:p w14:paraId="1BF5F118"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137</w:t>
            </w:r>
          </w:p>
        </w:tc>
        <w:tc>
          <w:tcPr>
            <w:tcW w:w="722" w:type="dxa"/>
            <w:tcBorders>
              <w:top w:val="nil"/>
              <w:left w:val="nil"/>
              <w:bottom w:val="single" w:sz="4" w:space="0" w:color="auto"/>
              <w:right w:val="single" w:sz="4" w:space="0" w:color="auto"/>
            </w:tcBorders>
            <w:shd w:val="clear" w:color="auto" w:fill="auto"/>
            <w:noWrap/>
            <w:vAlign w:val="center"/>
            <w:hideMark/>
          </w:tcPr>
          <w:p w14:paraId="452EEF99"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128</w:t>
            </w:r>
          </w:p>
        </w:tc>
        <w:tc>
          <w:tcPr>
            <w:tcW w:w="968" w:type="dxa"/>
            <w:tcBorders>
              <w:top w:val="nil"/>
              <w:left w:val="nil"/>
              <w:bottom w:val="single" w:sz="4" w:space="0" w:color="auto"/>
              <w:right w:val="single" w:sz="4" w:space="0" w:color="auto"/>
            </w:tcBorders>
            <w:shd w:val="clear" w:color="auto" w:fill="auto"/>
            <w:noWrap/>
            <w:vAlign w:val="center"/>
            <w:hideMark/>
          </w:tcPr>
          <w:p w14:paraId="34AA9E2B"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117</w:t>
            </w:r>
          </w:p>
        </w:tc>
        <w:tc>
          <w:tcPr>
            <w:tcW w:w="1367" w:type="dxa"/>
            <w:tcBorders>
              <w:top w:val="nil"/>
              <w:left w:val="nil"/>
              <w:bottom w:val="single" w:sz="4" w:space="0" w:color="auto"/>
              <w:right w:val="single" w:sz="4" w:space="0" w:color="auto"/>
            </w:tcBorders>
            <w:shd w:val="clear" w:color="auto" w:fill="auto"/>
            <w:noWrap/>
            <w:vAlign w:val="center"/>
            <w:hideMark/>
          </w:tcPr>
          <w:p w14:paraId="1082AC71"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-35,00%</w:t>
            </w:r>
          </w:p>
        </w:tc>
      </w:tr>
      <w:tr w:rsidR="00766593" w:rsidRPr="00766593" w14:paraId="2AD7C927" w14:textId="77777777" w:rsidTr="00766593">
        <w:trPr>
          <w:trHeight w:val="214"/>
          <w:jc w:val="center"/>
        </w:trPr>
        <w:tc>
          <w:tcPr>
            <w:tcW w:w="2763" w:type="dxa"/>
            <w:tcBorders>
              <w:top w:val="nil"/>
              <w:left w:val="single" w:sz="4" w:space="0" w:color="auto"/>
              <w:bottom w:val="single" w:sz="4" w:space="0" w:color="auto"/>
              <w:right w:val="single" w:sz="4" w:space="0" w:color="auto"/>
            </w:tcBorders>
            <w:shd w:val="clear" w:color="auto" w:fill="auto"/>
            <w:noWrap/>
            <w:vAlign w:val="center"/>
            <w:hideMark/>
          </w:tcPr>
          <w:p w14:paraId="32A7E552" w14:textId="77777777" w:rsidR="00766593" w:rsidRPr="00766593" w:rsidRDefault="00766593" w:rsidP="00234CBE">
            <w:pPr>
              <w:spacing w:line="276" w:lineRule="auto"/>
              <w:jc w:val="right"/>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Tribunal Contencioso (0161)</w:t>
            </w:r>
          </w:p>
        </w:tc>
        <w:tc>
          <w:tcPr>
            <w:tcW w:w="723" w:type="dxa"/>
            <w:tcBorders>
              <w:top w:val="nil"/>
              <w:left w:val="nil"/>
              <w:bottom w:val="single" w:sz="4" w:space="0" w:color="auto"/>
              <w:right w:val="single" w:sz="4" w:space="0" w:color="auto"/>
            </w:tcBorders>
            <w:shd w:val="clear" w:color="auto" w:fill="auto"/>
            <w:noWrap/>
            <w:vAlign w:val="center"/>
            <w:hideMark/>
          </w:tcPr>
          <w:p w14:paraId="6E155AB2"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9</w:t>
            </w:r>
          </w:p>
        </w:tc>
        <w:tc>
          <w:tcPr>
            <w:tcW w:w="757" w:type="dxa"/>
            <w:tcBorders>
              <w:top w:val="nil"/>
              <w:left w:val="nil"/>
              <w:bottom w:val="single" w:sz="4" w:space="0" w:color="auto"/>
              <w:right w:val="single" w:sz="4" w:space="0" w:color="auto"/>
            </w:tcBorders>
            <w:shd w:val="clear" w:color="auto" w:fill="auto"/>
            <w:noWrap/>
            <w:vAlign w:val="center"/>
            <w:hideMark/>
          </w:tcPr>
          <w:p w14:paraId="44454BAF"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8</w:t>
            </w:r>
          </w:p>
        </w:tc>
        <w:tc>
          <w:tcPr>
            <w:tcW w:w="722" w:type="dxa"/>
            <w:tcBorders>
              <w:top w:val="nil"/>
              <w:left w:val="nil"/>
              <w:bottom w:val="single" w:sz="4" w:space="0" w:color="auto"/>
              <w:right w:val="single" w:sz="4" w:space="0" w:color="auto"/>
            </w:tcBorders>
            <w:shd w:val="clear" w:color="auto" w:fill="auto"/>
            <w:noWrap/>
            <w:vAlign w:val="center"/>
            <w:hideMark/>
          </w:tcPr>
          <w:p w14:paraId="31755D81"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8</w:t>
            </w:r>
          </w:p>
        </w:tc>
        <w:tc>
          <w:tcPr>
            <w:tcW w:w="722" w:type="dxa"/>
            <w:tcBorders>
              <w:top w:val="nil"/>
              <w:left w:val="nil"/>
              <w:bottom w:val="single" w:sz="4" w:space="0" w:color="auto"/>
              <w:right w:val="single" w:sz="4" w:space="0" w:color="auto"/>
            </w:tcBorders>
            <w:shd w:val="clear" w:color="auto" w:fill="auto"/>
            <w:noWrap/>
            <w:vAlign w:val="center"/>
            <w:hideMark/>
          </w:tcPr>
          <w:p w14:paraId="7E90EB09"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8</w:t>
            </w:r>
          </w:p>
        </w:tc>
        <w:tc>
          <w:tcPr>
            <w:tcW w:w="722" w:type="dxa"/>
            <w:tcBorders>
              <w:top w:val="nil"/>
              <w:left w:val="nil"/>
              <w:bottom w:val="single" w:sz="4" w:space="0" w:color="auto"/>
              <w:right w:val="single" w:sz="4" w:space="0" w:color="auto"/>
            </w:tcBorders>
            <w:shd w:val="clear" w:color="auto" w:fill="auto"/>
            <w:noWrap/>
            <w:vAlign w:val="center"/>
            <w:hideMark/>
          </w:tcPr>
          <w:p w14:paraId="1895BBEC"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9</w:t>
            </w:r>
          </w:p>
        </w:tc>
        <w:tc>
          <w:tcPr>
            <w:tcW w:w="722" w:type="dxa"/>
            <w:tcBorders>
              <w:top w:val="nil"/>
              <w:left w:val="nil"/>
              <w:bottom w:val="single" w:sz="4" w:space="0" w:color="auto"/>
              <w:right w:val="single" w:sz="4" w:space="0" w:color="auto"/>
            </w:tcBorders>
            <w:shd w:val="clear" w:color="auto" w:fill="auto"/>
            <w:noWrap/>
            <w:vAlign w:val="center"/>
            <w:hideMark/>
          </w:tcPr>
          <w:p w14:paraId="435705C1"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8</w:t>
            </w:r>
          </w:p>
        </w:tc>
        <w:tc>
          <w:tcPr>
            <w:tcW w:w="722" w:type="dxa"/>
            <w:tcBorders>
              <w:top w:val="nil"/>
              <w:left w:val="nil"/>
              <w:bottom w:val="single" w:sz="4" w:space="0" w:color="auto"/>
              <w:right w:val="single" w:sz="4" w:space="0" w:color="auto"/>
            </w:tcBorders>
            <w:shd w:val="clear" w:color="auto" w:fill="auto"/>
            <w:noWrap/>
            <w:vAlign w:val="center"/>
            <w:hideMark/>
          </w:tcPr>
          <w:p w14:paraId="7C849FB7"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8</w:t>
            </w:r>
          </w:p>
        </w:tc>
        <w:tc>
          <w:tcPr>
            <w:tcW w:w="722" w:type="dxa"/>
            <w:tcBorders>
              <w:top w:val="nil"/>
              <w:left w:val="nil"/>
              <w:bottom w:val="single" w:sz="4" w:space="0" w:color="auto"/>
              <w:right w:val="single" w:sz="4" w:space="0" w:color="auto"/>
            </w:tcBorders>
            <w:shd w:val="clear" w:color="auto" w:fill="auto"/>
            <w:noWrap/>
            <w:vAlign w:val="center"/>
            <w:hideMark/>
          </w:tcPr>
          <w:p w14:paraId="06F0312F"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8</w:t>
            </w:r>
          </w:p>
        </w:tc>
        <w:tc>
          <w:tcPr>
            <w:tcW w:w="968" w:type="dxa"/>
            <w:tcBorders>
              <w:top w:val="nil"/>
              <w:left w:val="nil"/>
              <w:bottom w:val="single" w:sz="4" w:space="0" w:color="auto"/>
              <w:right w:val="single" w:sz="4" w:space="0" w:color="auto"/>
            </w:tcBorders>
            <w:shd w:val="clear" w:color="auto" w:fill="auto"/>
            <w:noWrap/>
            <w:vAlign w:val="center"/>
            <w:hideMark/>
          </w:tcPr>
          <w:p w14:paraId="479B9BBC"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7</w:t>
            </w:r>
          </w:p>
        </w:tc>
        <w:tc>
          <w:tcPr>
            <w:tcW w:w="1367" w:type="dxa"/>
            <w:tcBorders>
              <w:top w:val="nil"/>
              <w:left w:val="nil"/>
              <w:bottom w:val="single" w:sz="4" w:space="0" w:color="auto"/>
              <w:right w:val="single" w:sz="4" w:space="0" w:color="auto"/>
            </w:tcBorders>
            <w:shd w:val="clear" w:color="auto" w:fill="auto"/>
            <w:noWrap/>
            <w:vAlign w:val="center"/>
            <w:hideMark/>
          </w:tcPr>
          <w:p w14:paraId="37B255F6"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-22,22%</w:t>
            </w:r>
          </w:p>
        </w:tc>
      </w:tr>
      <w:tr w:rsidR="00766593" w:rsidRPr="00766593" w14:paraId="14CA4776" w14:textId="77777777" w:rsidTr="00766593">
        <w:trPr>
          <w:trHeight w:val="214"/>
          <w:jc w:val="center"/>
        </w:trPr>
        <w:tc>
          <w:tcPr>
            <w:tcW w:w="2763" w:type="dxa"/>
            <w:tcBorders>
              <w:top w:val="nil"/>
              <w:left w:val="single" w:sz="4" w:space="0" w:color="auto"/>
              <w:bottom w:val="single" w:sz="4" w:space="0" w:color="auto"/>
              <w:right w:val="single" w:sz="4" w:space="0" w:color="auto"/>
            </w:tcBorders>
            <w:shd w:val="clear" w:color="auto" w:fill="auto"/>
            <w:noWrap/>
            <w:vAlign w:val="center"/>
            <w:hideMark/>
          </w:tcPr>
          <w:p w14:paraId="334CAF84" w14:textId="77777777" w:rsidR="00766593" w:rsidRPr="00766593" w:rsidRDefault="00766593" w:rsidP="00234CBE">
            <w:pPr>
              <w:spacing w:line="276" w:lineRule="auto"/>
              <w:jc w:val="right"/>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Tribunal Notarial</w:t>
            </w:r>
          </w:p>
        </w:tc>
        <w:tc>
          <w:tcPr>
            <w:tcW w:w="723" w:type="dxa"/>
            <w:tcBorders>
              <w:top w:val="nil"/>
              <w:left w:val="nil"/>
              <w:bottom w:val="single" w:sz="4" w:space="0" w:color="auto"/>
              <w:right w:val="single" w:sz="4" w:space="0" w:color="auto"/>
            </w:tcBorders>
            <w:shd w:val="clear" w:color="auto" w:fill="auto"/>
            <w:noWrap/>
            <w:vAlign w:val="center"/>
            <w:hideMark/>
          </w:tcPr>
          <w:p w14:paraId="1FF62655"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90</w:t>
            </w:r>
          </w:p>
        </w:tc>
        <w:tc>
          <w:tcPr>
            <w:tcW w:w="757" w:type="dxa"/>
            <w:tcBorders>
              <w:top w:val="nil"/>
              <w:left w:val="nil"/>
              <w:bottom w:val="single" w:sz="4" w:space="0" w:color="auto"/>
              <w:right w:val="single" w:sz="4" w:space="0" w:color="auto"/>
            </w:tcBorders>
            <w:shd w:val="clear" w:color="auto" w:fill="auto"/>
            <w:noWrap/>
            <w:vAlign w:val="center"/>
            <w:hideMark/>
          </w:tcPr>
          <w:p w14:paraId="41295A61"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89</w:t>
            </w:r>
          </w:p>
        </w:tc>
        <w:tc>
          <w:tcPr>
            <w:tcW w:w="722" w:type="dxa"/>
            <w:tcBorders>
              <w:top w:val="nil"/>
              <w:left w:val="nil"/>
              <w:bottom w:val="single" w:sz="4" w:space="0" w:color="auto"/>
              <w:right w:val="single" w:sz="4" w:space="0" w:color="auto"/>
            </w:tcBorders>
            <w:shd w:val="clear" w:color="auto" w:fill="auto"/>
            <w:noWrap/>
            <w:vAlign w:val="center"/>
            <w:hideMark/>
          </w:tcPr>
          <w:p w14:paraId="6A7D0A5C"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95</w:t>
            </w:r>
          </w:p>
        </w:tc>
        <w:tc>
          <w:tcPr>
            <w:tcW w:w="722" w:type="dxa"/>
            <w:tcBorders>
              <w:top w:val="nil"/>
              <w:left w:val="nil"/>
              <w:bottom w:val="single" w:sz="4" w:space="0" w:color="auto"/>
              <w:right w:val="single" w:sz="4" w:space="0" w:color="auto"/>
            </w:tcBorders>
            <w:shd w:val="clear" w:color="auto" w:fill="auto"/>
            <w:noWrap/>
            <w:vAlign w:val="center"/>
            <w:hideMark/>
          </w:tcPr>
          <w:p w14:paraId="5A03646E"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102</w:t>
            </w:r>
          </w:p>
        </w:tc>
        <w:tc>
          <w:tcPr>
            <w:tcW w:w="722" w:type="dxa"/>
            <w:tcBorders>
              <w:top w:val="nil"/>
              <w:left w:val="nil"/>
              <w:bottom w:val="single" w:sz="4" w:space="0" w:color="auto"/>
              <w:right w:val="single" w:sz="4" w:space="0" w:color="auto"/>
            </w:tcBorders>
            <w:shd w:val="clear" w:color="auto" w:fill="auto"/>
            <w:noWrap/>
            <w:vAlign w:val="center"/>
            <w:hideMark/>
          </w:tcPr>
          <w:p w14:paraId="4F30B736"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118</w:t>
            </w:r>
          </w:p>
        </w:tc>
        <w:tc>
          <w:tcPr>
            <w:tcW w:w="722" w:type="dxa"/>
            <w:tcBorders>
              <w:top w:val="nil"/>
              <w:left w:val="nil"/>
              <w:bottom w:val="single" w:sz="4" w:space="0" w:color="auto"/>
              <w:right w:val="single" w:sz="4" w:space="0" w:color="auto"/>
            </w:tcBorders>
            <w:shd w:val="clear" w:color="auto" w:fill="auto"/>
            <w:noWrap/>
            <w:vAlign w:val="center"/>
            <w:hideMark/>
          </w:tcPr>
          <w:p w14:paraId="1AF177FF"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133</w:t>
            </w:r>
          </w:p>
        </w:tc>
        <w:tc>
          <w:tcPr>
            <w:tcW w:w="722" w:type="dxa"/>
            <w:tcBorders>
              <w:top w:val="nil"/>
              <w:left w:val="nil"/>
              <w:bottom w:val="single" w:sz="4" w:space="0" w:color="auto"/>
              <w:right w:val="single" w:sz="4" w:space="0" w:color="auto"/>
            </w:tcBorders>
            <w:shd w:val="clear" w:color="auto" w:fill="auto"/>
            <w:noWrap/>
            <w:vAlign w:val="center"/>
            <w:hideMark/>
          </w:tcPr>
          <w:p w14:paraId="3C954243"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118</w:t>
            </w:r>
          </w:p>
        </w:tc>
        <w:tc>
          <w:tcPr>
            <w:tcW w:w="722" w:type="dxa"/>
            <w:tcBorders>
              <w:top w:val="nil"/>
              <w:left w:val="nil"/>
              <w:bottom w:val="single" w:sz="4" w:space="0" w:color="auto"/>
              <w:right w:val="single" w:sz="4" w:space="0" w:color="auto"/>
            </w:tcBorders>
            <w:shd w:val="clear" w:color="auto" w:fill="auto"/>
            <w:noWrap/>
            <w:vAlign w:val="center"/>
            <w:hideMark/>
          </w:tcPr>
          <w:p w14:paraId="451BC8E6"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130</w:t>
            </w:r>
          </w:p>
        </w:tc>
        <w:tc>
          <w:tcPr>
            <w:tcW w:w="968" w:type="dxa"/>
            <w:tcBorders>
              <w:top w:val="nil"/>
              <w:left w:val="nil"/>
              <w:bottom w:val="single" w:sz="4" w:space="0" w:color="auto"/>
              <w:right w:val="single" w:sz="4" w:space="0" w:color="auto"/>
            </w:tcBorders>
            <w:shd w:val="clear" w:color="auto" w:fill="auto"/>
            <w:noWrap/>
            <w:vAlign w:val="center"/>
            <w:hideMark/>
          </w:tcPr>
          <w:p w14:paraId="55F7011C"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124</w:t>
            </w:r>
          </w:p>
        </w:tc>
        <w:tc>
          <w:tcPr>
            <w:tcW w:w="1367" w:type="dxa"/>
            <w:tcBorders>
              <w:top w:val="nil"/>
              <w:left w:val="nil"/>
              <w:bottom w:val="single" w:sz="4" w:space="0" w:color="auto"/>
              <w:right w:val="single" w:sz="4" w:space="0" w:color="auto"/>
            </w:tcBorders>
            <w:shd w:val="clear" w:color="auto" w:fill="auto"/>
            <w:noWrap/>
            <w:vAlign w:val="center"/>
            <w:hideMark/>
          </w:tcPr>
          <w:p w14:paraId="7FF27C0A"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37,78%</w:t>
            </w:r>
          </w:p>
        </w:tc>
      </w:tr>
      <w:tr w:rsidR="00766593" w:rsidRPr="00766593" w14:paraId="0D06C1EC" w14:textId="77777777" w:rsidTr="00766593">
        <w:trPr>
          <w:trHeight w:val="214"/>
          <w:jc w:val="center"/>
        </w:trPr>
        <w:tc>
          <w:tcPr>
            <w:tcW w:w="2763" w:type="dxa"/>
            <w:tcBorders>
              <w:top w:val="nil"/>
              <w:left w:val="single" w:sz="4" w:space="0" w:color="auto"/>
              <w:bottom w:val="single" w:sz="4" w:space="0" w:color="auto"/>
              <w:right w:val="single" w:sz="4" w:space="0" w:color="auto"/>
            </w:tcBorders>
            <w:shd w:val="clear" w:color="auto" w:fill="auto"/>
            <w:noWrap/>
            <w:vAlign w:val="center"/>
            <w:hideMark/>
          </w:tcPr>
          <w:p w14:paraId="2F24342A" w14:textId="77777777" w:rsidR="00766593" w:rsidRPr="00766593" w:rsidRDefault="00766593" w:rsidP="00234CBE">
            <w:pPr>
              <w:spacing w:line="276" w:lineRule="auto"/>
              <w:jc w:val="right"/>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Inspección Judicial</w:t>
            </w:r>
          </w:p>
        </w:tc>
        <w:tc>
          <w:tcPr>
            <w:tcW w:w="723" w:type="dxa"/>
            <w:tcBorders>
              <w:top w:val="nil"/>
              <w:left w:val="nil"/>
              <w:bottom w:val="single" w:sz="4" w:space="0" w:color="auto"/>
              <w:right w:val="single" w:sz="4" w:space="0" w:color="auto"/>
            </w:tcBorders>
            <w:shd w:val="clear" w:color="auto" w:fill="auto"/>
            <w:noWrap/>
            <w:vAlign w:val="center"/>
            <w:hideMark/>
          </w:tcPr>
          <w:p w14:paraId="1AF1EEE0"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1473</w:t>
            </w:r>
          </w:p>
        </w:tc>
        <w:tc>
          <w:tcPr>
            <w:tcW w:w="757" w:type="dxa"/>
            <w:tcBorders>
              <w:top w:val="nil"/>
              <w:left w:val="nil"/>
              <w:bottom w:val="single" w:sz="4" w:space="0" w:color="auto"/>
              <w:right w:val="single" w:sz="4" w:space="0" w:color="auto"/>
            </w:tcBorders>
            <w:shd w:val="clear" w:color="auto" w:fill="auto"/>
            <w:noWrap/>
            <w:vAlign w:val="center"/>
            <w:hideMark/>
          </w:tcPr>
          <w:p w14:paraId="4E65C304"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1435</w:t>
            </w:r>
          </w:p>
        </w:tc>
        <w:tc>
          <w:tcPr>
            <w:tcW w:w="722" w:type="dxa"/>
            <w:tcBorders>
              <w:top w:val="nil"/>
              <w:left w:val="nil"/>
              <w:bottom w:val="single" w:sz="4" w:space="0" w:color="auto"/>
              <w:right w:val="single" w:sz="4" w:space="0" w:color="auto"/>
            </w:tcBorders>
            <w:shd w:val="clear" w:color="auto" w:fill="auto"/>
            <w:noWrap/>
            <w:vAlign w:val="center"/>
            <w:hideMark/>
          </w:tcPr>
          <w:p w14:paraId="30F760C6"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1489</w:t>
            </w:r>
          </w:p>
        </w:tc>
        <w:tc>
          <w:tcPr>
            <w:tcW w:w="722" w:type="dxa"/>
            <w:tcBorders>
              <w:top w:val="nil"/>
              <w:left w:val="nil"/>
              <w:bottom w:val="single" w:sz="4" w:space="0" w:color="auto"/>
              <w:right w:val="single" w:sz="4" w:space="0" w:color="auto"/>
            </w:tcBorders>
            <w:shd w:val="clear" w:color="auto" w:fill="auto"/>
            <w:noWrap/>
            <w:vAlign w:val="center"/>
            <w:hideMark/>
          </w:tcPr>
          <w:p w14:paraId="1D484A1F"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1466</w:t>
            </w:r>
          </w:p>
        </w:tc>
        <w:tc>
          <w:tcPr>
            <w:tcW w:w="722" w:type="dxa"/>
            <w:tcBorders>
              <w:top w:val="nil"/>
              <w:left w:val="nil"/>
              <w:bottom w:val="single" w:sz="4" w:space="0" w:color="auto"/>
              <w:right w:val="single" w:sz="4" w:space="0" w:color="auto"/>
            </w:tcBorders>
            <w:shd w:val="clear" w:color="auto" w:fill="auto"/>
            <w:noWrap/>
            <w:vAlign w:val="center"/>
            <w:hideMark/>
          </w:tcPr>
          <w:p w14:paraId="795057F5"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1530</w:t>
            </w:r>
          </w:p>
        </w:tc>
        <w:tc>
          <w:tcPr>
            <w:tcW w:w="722" w:type="dxa"/>
            <w:tcBorders>
              <w:top w:val="nil"/>
              <w:left w:val="nil"/>
              <w:bottom w:val="single" w:sz="4" w:space="0" w:color="auto"/>
              <w:right w:val="single" w:sz="4" w:space="0" w:color="auto"/>
            </w:tcBorders>
            <w:shd w:val="clear" w:color="auto" w:fill="auto"/>
            <w:noWrap/>
            <w:vAlign w:val="center"/>
            <w:hideMark/>
          </w:tcPr>
          <w:p w14:paraId="1A4B43E6"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1594</w:t>
            </w:r>
          </w:p>
        </w:tc>
        <w:tc>
          <w:tcPr>
            <w:tcW w:w="722" w:type="dxa"/>
            <w:tcBorders>
              <w:top w:val="nil"/>
              <w:left w:val="nil"/>
              <w:bottom w:val="single" w:sz="4" w:space="0" w:color="auto"/>
              <w:right w:val="single" w:sz="4" w:space="0" w:color="auto"/>
            </w:tcBorders>
            <w:shd w:val="clear" w:color="auto" w:fill="auto"/>
            <w:noWrap/>
            <w:vAlign w:val="center"/>
            <w:hideMark/>
          </w:tcPr>
          <w:p w14:paraId="547885A0"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1572</w:t>
            </w:r>
          </w:p>
        </w:tc>
        <w:tc>
          <w:tcPr>
            <w:tcW w:w="722" w:type="dxa"/>
            <w:tcBorders>
              <w:top w:val="nil"/>
              <w:left w:val="nil"/>
              <w:bottom w:val="single" w:sz="4" w:space="0" w:color="auto"/>
              <w:right w:val="single" w:sz="4" w:space="0" w:color="auto"/>
            </w:tcBorders>
            <w:shd w:val="clear" w:color="auto" w:fill="auto"/>
            <w:noWrap/>
            <w:vAlign w:val="center"/>
            <w:hideMark/>
          </w:tcPr>
          <w:p w14:paraId="2EAB385F"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1625</w:t>
            </w:r>
          </w:p>
        </w:tc>
        <w:tc>
          <w:tcPr>
            <w:tcW w:w="968" w:type="dxa"/>
            <w:tcBorders>
              <w:top w:val="nil"/>
              <w:left w:val="nil"/>
              <w:bottom w:val="single" w:sz="4" w:space="0" w:color="auto"/>
              <w:right w:val="single" w:sz="4" w:space="0" w:color="auto"/>
            </w:tcBorders>
            <w:shd w:val="clear" w:color="auto" w:fill="auto"/>
            <w:noWrap/>
            <w:vAlign w:val="center"/>
            <w:hideMark/>
          </w:tcPr>
          <w:p w14:paraId="799E67E7"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1619</w:t>
            </w:r>
          </w:p>
        </w:tc>
        <w:tc>
          <w:tcPr>
            <w:tcW w:w="1367" w:type="dxa"/>
            <w:tcBorders>
              <w:top w:val="nil"/>
              <w:left w:val="nil"/>
              <w:bottom w:val="single" w:sz="4" w:space="0" w:color="auto"/>
              <w:right w:val="single" w:sz="4" w:space="0" w:color="auto"/>
            </w:tcBorders>
            <w:shd w:val="clear" w:color="auto" w:fill="auto"/>
            <w:noWrap/>
            <w:vAlign w:val="center"/>
            <w:hideMark/>
          </w:tcPr>
          <w:p w14:paraId="4D050F7D"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9,91%</w:t>
            </w:r>
          </w:p>
        </w:tc>
      </w:tr>
      <w:tr w:rsidR="00766593" w:rsidRPr="00766593" w14:paraId="35A4134C" w14:textId="77777777" w:rsidTr="00766593">
        <w:trPr>
          <w:trHeight w:val="214"/>
          <w:jc w:val="center"/>
        </w:trPr>
        <w:tc>
          <w:tcPr>
            <w:tcW w:w="2763" w:type="dxa"/>
            <w:tcBorders>
              <w:top w:val="nil"/>
              <w:left w:val="single" w:sz="4" w:space="0" w:color="auto"/>
              <w:bottom w:val="single" w:sz="4" w:space="0" w:color="auto"/>
              <w:right w:val="single" w:sz="4" w:space="0" w:color="auto"/>
            </w:tcBorders>
            <w:shd w:val="clear" w:color="auto" w:fill="auto"/>
            <w:noWrap/>
            <w:vAlign w:val="center"/>
            <w:hideMark/>
          </w:tcPr>
          <w:p w14:paraId="574A4271" w14:textId="77777777" w:rsidR="00766593" w:rsidRPr="00766593" w:rsidRDefault="00766593" w:rsidP="00234CBE">
            <w:pPr>
              <w:spacing w:line="276" w:lineRule="auto"/>
              <w:jc w:val="right"/>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Inspección Fiscal</w:t>
            </w:r>
          </w:p>
        </w:tc>
        <w:tc>
          <w:tcPr>
            <w:tcW w:w="723" w:type="dxa"/>
            <w:tcBorders>
              <w:top w:val="nil"/>
              <w:left w:val="nil"/>
              <w:bottom w:val="single" w:sz="4" w:space="0" w:color="auto"/>
              <w:right w:val="single" w:sz="4" w:space="0" w:color="auto"/>
            </w:tcBorders>
            <w:shd w:val="clear" w:color="auto" w:fill="auto"/>
            <w:noWrap/>
            <w:vAlign w:val="center"/>
            <w:hideMark/>
          </w:tcPr>
          <w:p w14:paraId="56E3BC5F"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139</w:t>
            </w:r>
          </w:p>
        </w:tc>
        <w:tc>
          <w:tcPr>
            <w:tcW w:w="757" w:type="dxa"/>
            <w:tcBorders>
              <w:top w:val="nil"/>
              <w:left w:val="nil"/>
              <w:bottom w:val="single" w:sz="4" w:space="0" w:color="auto"/>
              <w:right w:val="single" w:sz="4" w:space="0" w:color="auto"/>
            </w:tcBorders>
            <w:shd w:val="clear" w:color="auto" w:fill="auto"/>
            <w:noWrap/>
            <w:vAlign w:val="center"/>
            <w:hideMark/>
          </w:tcPr>
          <w:p w14:paraId="79BE61C0"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142</w:t>
            </w:r>
          </w:p>
        </w:tc>
        <w:tc>
          <w:tcPr>
            <w:tcW w:w="722" w:type="dxa"/>
            <w:tcBorders>
              <w:top w:val="nil"/>
              <w:left w:val="nil"/>
              <w:bottom w:val="single" w:sz="4" w:space="0" w:color="auto"/>
              <w:right w:val="single" w:sz="4" w:space="0" w:color="auto"/>
            </w:tcBorders>
            <w:shd w:val="clear" w:color="auto" w:fill="auto"/>
            <w:noWrap/>
            <w:vAlign w:val="center"/>
            <w:hideMark/>
          </w:tcPr>
          <w:p w14:paraId="17B8E968"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173</w:t>
            </w:r>
          </w:p>
        </w:tc>
        <w:tc>
          <w:tcPr>
            <w:tcW w:w="722" w:type="dxa"/>
            <w:tcBorders>
              <w:top w:val="nil"/>
              <w:left w:val="nil"/>
              <w:bottom w:val="single" w:sz="4" w:space="0" w:color="auto"/>
              <w:right w:val="single" w:sz="4" w:space="0" w:color="auto"/>
            </w:tcBorders>
            <w:shd w:val="clear" w:color="auto" w:fill="auto"/>
            <w:noWrap/>
            <w:vAlign w:val="center"/>
            <w:hideMark/>
          </w:tcPr>
          <w:p w14:paraId="2BDEE890"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185</w:t>
            </w:r>
          </w:p>
        </w:tc>
        <w:tc>
          <w:tcPr>
            <w:tcW w:w="722" w:type="dxa"/>
            <w:tcBorders>
              <w:top w:val="nil"/>
              <w:left w:val="nil"/>
              <w:bottom w:val="single" w:sz="4" w:space="0" w:color="auto"/>
              <w:right w:val="single" w:sz="4" w:space="0" w:color="auto"/>
            </w:tcBorders>
            <w:shd w:val="clear" w:color="auto" w:fill="auto"/>
            <w:noWrap/>
            <w:vAlign w:val="center"/>
            <w:hideMark/>
          </w:tcPr>
          <w:p w14:paraId="218CB57B"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185</w:t>
            </w:r>
          </w:p>
        </w:tc>
        <w:tc>
          <w:tcPr>
            <w:tcW w:w="722" w:type="dxa"/>
            <w:tcBorders>
              <w:top w:val="nil"/>
              <w:left w:val="nil"/>
              <w:bottom w:val="single" w:sz="4" w:space="0" w:color="auto"/>
              <w:right w:val="single" w:sz="4" w:space="0" w:color="auto"/>
            </w:tcBorders>
            <w:shd w:val="clear" w:color="auto" w:fill="auto"/>
            <w:noWrap/>
            <w:vAlign w:val="center"/>
            <w:hideMark/>
          </w:tcPr>
          <w:p w14:paraId="2E1AE901"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153</w:t>
            </w:r>
          </w:p>
        </w:tc>
        <w:tc>
          <w:tcPr>
            <w:tcW w:w="722" w:type="dxa"/>
            <w:tcBorders>
              <w:top w:val="nil"/>
              <w:left w:val="nil"/>
              <w:bottom w:val="single" w:sz="4" w:space="0" w:color="auto"/>
              <w:right w:val="single" w:sz="4" w:space="0" w:color="auto"/>
            </w:tcBorders>
            <w:shd w:val="clear" w:color="auto" w:fill="auto"/>
            <w:noWrap/>
            <w:vAlign w:val="center"/>
            <w:hideMark/>
          </w:tcPr>
          <w:p w14:paraId="5969A37A"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200</w:t>
            </w:r>
          </w:p>
        </w:tc>
        <w:tc>
          <w:tcPr>
            <w:tcW w:w="722" w:type="dxa"/>
            <w:tcBorders>
              <w:top w:val="nil"/>
              <w:left w:val="nil"/>
              <w:bottom w:val="single" w:sz="4" w:space="0" w:color="auto"/>
              <w:right w:val="single" w:sz="4" w:space="0" w:color="auto"/>
            </w:tcBorders>
            <w:shd w:val="clear" w:color="auto" w:fill="auto"/>
            <w:noWrap/>
            <w:vAlign w:val="center"/>
            <w:hideMark/>
          </w:tcPr>
          <w:p w14:paraId="44B17089"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161</w:t>
            </w:r>
          </w:p>
        </w:tc>
        <w:tc>
          <w:tcPr>
            <w:tcW w:w="968" w:type="dxa"/>
            <w:tcBorders>
              <w:top w:val="nil"/>
              <w:left w:val="nil"/>
              <w:bottom w:val="single" w:sz="4" w:space="0" w:color="auto"/>
              <w:right w:val="single" w:sz="4" w:space="0" w:color="auto"/>
            </w:tcBorders>
            <w:shd w:val="clear" w:color="auto" w:fill="auto"/>
            <w:noWrap/>
            <w:vAlign w:val="center"/>
            <w:hideMark/>
          </w:tcPr>
          <w:p w14:paraId="66372337"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184</w:t>
            </w:r>
          </w:p>
        </w:tc>
        <w:tc>
          <w:tcPr>
            <w:tcW w:w="1367" w:type="dxa"/>
            <w:tcBorders>
              <w:top w:val="nil"/>
              <w:left w:val="nil"/>
              <w:bottom w:val="single" w:sz="4" w:space="0" w:color="auto"/>
              <w:right w:val="single" w:sz="4" w:space="0" w:color="auto"/>
            </w:tcBorders>
            <w:shd w:val="clear" w:color="auto" w:fill="auto"/>
            <w:noWrap/>
            <w:vAlign w:val="center"/>
            <w:hideMark/>
          </w:tcPr>
          <w:p w14:paraId="6C4EE0F3"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32,37%</w:t>
            </w:r>
          </w:p>
        </w:tc>
      </w:tr>
      <w:tr w:rsidR="00766593" w:rsidRPr="00766593" w14:paraId="7435FAE9" w14:textId="77777777" w:rsidTr="00766593">
        <w:trPr>
          <w:trHeight w:val="214"/>
          <w:jc w:val="center"/>
        </w:trPr>
        <w:tc>
          <w:tcPr>
            <w:tcW w:w="2763" w:type="dxa"/>
            <w:tcBorders>
              <w:top w:val="nil"/>
              <w:left w:val="single" w:sz="4" w:space="0" w:color="auto"/>
              <w:bottom w:val="single" w:sz="4" w:space="0" w:color="auto"/>
              <w:right w:val="single" w:sz="4" w:space="0" w:color="auto"/>
            </w:tcBorders>
            <w:shd w:val="clear" w:color="auto" w:fill="auto"/>
            <w:noWrap/>
            <w:vAlign w:val="center"/>
            <w:hideMark/>
          </w:tcPr>
          <w:p w14:paraId="728526C5" w14:textId="77777777" w:rsidR="00766593" w:rsidRPr="00766593" w:rsidRDefault="00766593" w:rsidP="00234CBE">
            <w:pPr>
              <w:spacing w:line="276" w:lineRule="auto"/>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 </w:t>
            </w:r>
          </w:p>
        </w:tc>
        <w:tc>
          <w:tcPr>
            <w:tcW w:w="723" w:type="dxa"/>
            <w:tcBorders>
              <w:top w:val="nil"/>
              <w:left w:val="nil"/>
              <w:bottom w:val="single" w:sz="4" w:space="0" w:color="auto"/>
              <w:right w:val="single" w:sz="4" w:space="0" w:color="auto"/>
            </w:tcBorders>
            <w:shd w:val="clear" w:color="auto" w:fill="auto"/>
            <w:noWrap/>
            <w:vAlign w:val="bottom"/>
            <w:hideMark/>
          </w:tcPr>
          <w:p w14:paraId="792D3D70" w14:textId="77777777" w:rsidR="00766593" w:rsidRPr="00766593" w:rsidRDefault="00766593" w:rsidP="00234CBE">
            <w:pPr>
              <w:spacing w:line="276" w:lineRule="auto"/>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 </w:t>
            </w:r>
          </w:p>
        </w:tc>
        <w:tc>
          <w:tcPr>
            <w:tcW w:w="757" w:type="dxa"/>
            <w:tcBorders>
              <w:top w:val="nil"/>
              <w:left w:val="nil"/>
              <w:bottom w:val="single" w:sz="4" w:space="0" w:color="auto"/>
              <w:right w:val="single" w:sz="4" w:space="0" w:color="auto"/>
            </w:tcBorders>
            <w:shd w:val="clear" w:color="auto" w:fill="auto"/>
            <w:noWrap/>
            <w:vAlign w:val="bottom"/>
            <w:hideMark/>
          </w:tcPr>
          <w:p w14:paraId="579AE4DA" w14:textId="77777777" w:rsidR="00766593" w:rsidRPr="00766593" w:rsidRDefault="00766593" w:rsidP="00234CBE">
            <w:pPr>
              <w:spacing w:line="276" w:lineRule="auto"/>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 </w:t>
            </w:r>
          </w:p>
        </w:tc>
        <w:tc>
          <w:tcPr>
            <w:tcW w:w="722" w:type="dxa"/>
            <w:tcBorders>
              <w:top w:val="nil"/>
              <w:left w:val="nil"/>
              <w:bottom w:val="single" w:sz="4" w:space="0" w:color="auto"/>
              <w:right w:val="single" w:sz="4" w:space="0" w:color="auto"/>
            </w:tcBorders>
            <w:shd w:val="clear" w:color="auto" w:fill="auto"/>
            <w:noWrap/>
            <w:vAlign w:val="bottom"/>
            <w:hideMark/>
          </w:tcPr>
          <w:p w14:paraId="6C4A6013" w14:textId="77777777" w:rsidR="00766593" w:rsidRPr="00766593" w:rsidRDefault="00766593" w:rsidP="00234CBE">
            <w:pPr>
              <w:spacing w:line="276" w:lineRule="auto"/>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 </w:t>
            </w:r>
          </w:p>
        </w:tc>
        <w:tc>
          <w:tcPr>
            <w:tcW w:w="722" w:type="dxa"/>
            <w:tcBorders>
              <w:top w:val="nil"/>
              <w:left w:val="nil"/>
              <w:bottom w:val="single" w:sz="4" w:space="0" w:color="auto"/>
              <w:right w:val="single" w:sz="4" w:space="0" w:color="auto"/>
            </w:tcBorders>
            <w:shd w:val="clear" w:color="auto" w:fill="auto"/>
            <w:noWrap/>
            <w:vAlign w:val="bottom"/>
            <w:hideMark/>
          </w:tcPr>
          <w:p w14:paraId="7C54B3C8" w14:textId="77777777" w:rsidR="00766593" w:rsidRPr="00766593" w:rsidRDefault="00766593" w:rsidP="00234CBE">
            <w:pPr>
              <w:spacing w:line="276" w:lineRule="auto"/>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 </w:t>
            </w:r>
          </w:p>
        </w:tc>
        <w:tc>
          <w:tcPr>
            <w:tcW w:w="722" w:type="dxa"/>
            <w:tcBorders>
              <w:top w:val="nil"/>
              <w:left w:val="nil"/>
              <w:bottom w:val="single" w:sz="4" w:space="0" w:color="auto"/>
              <w:right w:val="single" w:sz="4" w:space="0" w:color="auto"/>
            </w:tcBorders>
            <w:shd w:val="clear" w:color="auto" w:fill="auto"/>
            <w:noWrap/>
            <w:vAlign w:val="bottom"/>
            <w:hideMark/>
          </w:tcPr>
          <w:p w14:paraId="5881FBA9" w14:textId="77777777" w:rsidR="00766593" w:rsidRPr="00766593" w:rsidRDefault="00766593" w:rsidP="00234CBE">
            <w:pPr>
              <w:spacing w:line="276" w:lineRule="auto"/>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 </w:t>
            </w:r>
          </w:p>
        </w:tc>
        <w:tc>
          <w:tcPr>
            <w:tcW w:w="722" w:type="dxa"/>
            <w:tcBorders>
              <w:top w:val="nil"/>
              <w:left w:val="nil"/>
              <w:bottom w:val="single" w:sz="4" w:space="0" w:color="auto"/>
              <w:right w:val="single" w:sz="4" w:space="0" w:color="auto"/>
            </w:tcBorders>
            <w:shd w:val="clear" w:color="auto" w:fill="auto"/>
            <w:noWrap/>
            <w:vAlign w:val="bottom"/>
            <w:hideMark/>
          </w:tcPr>
          <w:p w14:paraId="0DA073EA" w14:textId="77777777" w:rsidR="00766593" w:rsidRPr="00766593" w:rsidRDefault="00766593" w:rsidP="00234CBE">
            <w:pPr>
              <w:spacing w:line="276" w:lineRule="auto"/>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 </w:t>
            </w:r>
          </w:p>
        </w:tc>
        <w:tc>
          <w:tcPr>
            <w:tcW w:w="722" w:type="dxa"/>
            <w:tcBorders>
              <w:top w:val="nil"/>
              <w:left w:val="nil"/>
              <w:bottom w:val="single" w:sz="4" w:space="0" w:color="auto"/>
              <w:right w:val="single" w:sz="4" w:space="0" w:color="auto"/>
            </w:tcBorders>
            <w:shd w:val="clear" w:color="auto" w:fill="auto"/>
            <w:noWrap/>
            <w:vAlign w:val="bottom"/>
            <w:hideMark/>
          </w:tcPr>
          <w:p w14:paraId="5F8B929A" w14:textId="77777777" w:rsidR="00766593" w:rsidRPr="00766593" w:rsidRDefault="00766593" w:rsidP="00234CBE">
            <w:pPr>
              <w:spacing w:line="276" w:lineRule="auto"/>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 </w:t>
            </w:r>
          </w:p>
        </w:tc>
        <w:tc>
          <w:tcPr>
            <w:tcW w:w="722" w:type="dxa"/>
            <w:tcBorders>
              <w:top w:val="nil"/>
              <w:left w:val="nil"/>
              <w:bottom w:val="single" w:sz="4" w:space="0" w:color="auto"/>
              <w:right w:val="single" w:sz="4" w:space="0" w:color="auto"/>
            </w:tcBorders>
            <w:shd w:val="clear" w:color="auto" w:fill="auto"/>
            <w:noWrap/>
            <w:vAlign w:val="bottom"/>
            <w:hideMark/>
          </w:tcPr>
          <w:p w14:paraId="0883F970" w14:textId="77777777" w:rsidR="00766593" w:rsidRPr="00766593" w:rsidRDefault="00766593" w:rsidP="00234CBE">
            <w:pPr>
              <w:spacing w:line="276" w:lineRule="auto"/>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 </w:t>
            </w:r>
          </w:p>
        </w:tc>
        <w:tc>
          <w:tcPr>
            <w:tcW w:w="968" w:type="dxa"/>
            <w:tcBorders>
              <w:top w:val="nil"/>
              <w:left w:val="nil"/>
              <w:bottom w:val="single" w:sz="4" w:space="0" w:color="auto"/>
              <w:right w:val="single" w:sz="4" w:space="0" w:color="auto"/>
            </w:tcBorders>
            <w:shd w:val="clear" w:color="auto" w:fill="auto"/>
            <w:noWrap/>
            <w:vAlign w:val="bottom"/>
            <w:hideMark/>
          </w:tcPr>
          <w:p w14:paraId="4A04E8D9" w14:textId="77777777" w:rsidR="00766593" w:rsidRPr="00766593" w:rsidRDefault="00766593" w:rsidP="00234CBE">
            <w:pPr>
              <w:spacing w:line="276" w:lineRule="auto"/>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 </w:t>
            </w:r>
          </w:p>
        </w:tc>
        <w:tc>
          <w:tcPr>
            <w:tcW w:w="1367" w:type="dxa"/>
            <w:tcBorders>
              <w:top w:val="nil"/>
              <w:left w:val="nil"/>
              <w:bottom w:val="single" w:sz="4" w:space="0" w:color="auto"/>
              <w:right w:val="single" w:sz="4" w:space="0" w:color="auto"/>
            </w:tcBorders>
            <w:shd w:val="clear" w:color="auto" w:fill="auto"/>
            <w:noWrap/>
            <w:vAlign w:val="center"/>
            <w:hideMark/>
          </w:tcPr>
          <w:p w14:paraId="39659849"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 </w:t>
            </w:r>
          </w:p>
        </w:tc>
      </w:tr>
      <w:tr w:rsidR="00766593" w:rsidRPr="00766593" w14:paraId="69068964" w14:textId="77777777" w:rsidTr="00766593">
        <w:trPr>
          <w:trHeight w:val="214"/>
          <w:jc w:val="center"/>
        </w:trPr>
        <w:tc>
          <w:tcPr>
            <w:tcW w:w="2763" w:type="dxa"/>
            <w:tcBorders>
              <w:top w:val="nil"/>
              <w:left w:val="single" w:sz="4" w:space="0" w:color="auto"/>
              <w:bottom w:val="single" w:sz="4" w:space="0" w:color="auto"/>
              <w:right w:val="single" w:sz="4" w:space="0" w:color="auto"/>
            </w:tcBorders>
            <w:shd w:val="clear" w:color="auto" w:fill="auto"/>
            <w:noWrap/>
            <w:vAlign w:val="center"/>
            <w:hideMark/>
          </w:tcPr>
          <w:p w14:paraId="55E7B607" w14:textId="77777777" w:rsidR="00766593" w:rsidRPr="00766593" w:rsidRDefault="00766593" w:rsidP="00234CBE">
            <w:pPr>
              <w:spacing w:line="276" w:lineRule="auto"/>
              <w:rPr>
                <w:rFonts w:ascii="Book Antiqua" w:hAnsi="Book Antiqua" w:cs="Calibri"/>
                <w:b/>
                <w:bCs/>
                <w:color w:val="000000"/>
                <w:sz w:val="16"/>
                <w:szCs w:val="16"/>
                <w:lang w:eastAsia="es-CR"/>
              </w:rPr>
            </w:pPr>
            <w:r w:rsidRPr="00766593">
              <w:rPr>
                <w:rFonts w:ascii="Book Antiqua" w:hAnsi="Book Antiqua" w:cs="Calibri"/>
                <w:b/>
                <w:bCs/>
                <w:color w:val="000000"/>
                <w:sz w:val="16"/>
                <w:szCs w:val="16"/>
                <w:lang w:eastAsia="es-CR"/>
              </w:rPr>
              <w:t>Penal</w:t>
            </w:r>
          </w:p>
        </w:tc>
        <w:tc>
          <w:tcPr>
            <w:tcW w:w="723" w:type="dxa"/>
            <w:tcBorders>
              <w:top w:val="nil"/>
              <w:left w:val="nil"/>
              <w:bottom w:val="single" w:sz="4" w:space="0" w:color="auto"/>
              <w:right w:val="single" w:sz="4" w:space="0" w:color="auto"/>
            </w:tcBorders>
            <w:shd w:val="clear" w:color="auto" w:fill="auto"/>
            <w:noWrap/>
            <w:vAlign w:val="center"/>
            <w:hideMark/>
          </w:tcPr>
          <w:p w14:paraId="353F0E46" w14:textId="77777777" w:rsidR="00766593" w:rsidRPr="00766593" w:rsidRDefault="00766593" w:rsidP="00234CBE">
            <w:pPr>
              <w:spacing w:line="276" w:lineRule="auto"/>
              <w:jc w:val="center"/>
              <w:rPr>
                <w:rFonts w:ascii="Book Antiqua" w:hAnsi="Book Antiqua" w:cs="Calibri"/>
                <w:b/>
                <w:bCs/>
                <w:color w:val="000000"/>
                <w:sz w:val="16"/>
                <w:szCs w:val="16"/>
                <w:u w:val="single"/>
                <w:lang w:eastAsia="es-CR"/>
              </w:rPr>
            </w:pPr>
            <w:r w:rsidRPr="00766593">
              <w:rPr>
                <w:rFonts w:ascii="Book Antiqua" w:hAnsi="Book Antiqua" w:cs="Calibri"/>
                <w:b/>
                <w:bCs/>
                <w:color w:val="000000"/>
                <w:sz w:val="16"/>
                <w:szCs w:val="16"/>
                <w:u w:val="single"/>
                <w:lang w:eastAsia="es-CR"/>
              </w:rPr>
              <w:t>79 711</w:t>
            </w:r>
          </w:p>
        </w:tc>
        <w:tc>
          <w:tcPr>
            <w:tcW w:w="757" w:type="dxa"/>
            <w:tcBorders>
              <w:top w:val="nil"/>
              <w:left w:val="nil"/>
              <w:bottom w:val="single" w:sz="4" w:space="0" w:color="auto"/>
              <w:right w:val="single" w:sz="4" w:space="0" w:color="auto"/>
            </w:tcBorders>
            <w:shd w:val="clear" w:color="auto" w:fill="auto"/>
            <w:noWrap/>
            <w:vAlign w:val="center"/>
            <w:hideMark/>
          </w:tcPr>
          <w:p w14:paraId="4F136434" w14:textId="77777777" w:rsidR="00766593" w:rsidRPr="00766593" w:rsidRDefault="00766593" w:rsidP="00234CBE">
            <w:pPr>
              <w:spacing w:line="276" w:lineRule="auto"/>
              <w:jc w:val="center"/>
              <w:rPr>
                <w:rFonts w:ascii="Book Antiqua" w:hAnsi="Book Antiqua" w:cs="Calibri"/>
                <w:b/>
                <w:bCs/>
                <w:color w:val="000000"/>
                <w:sz w:val="16"/>
                <w:szCs w:val="16"/>
                <w:u w:val="single"/>
                <w:lang w:eastAsia="es-CR"/>
              </w:rPr>
            </w:pPr>
            <w:r w:rsidRPr="00766593">
              <w:rPr>
                <w:rFonts w:ascii="Book Antiqua" w:hAnsi="Book Antiqua" w:cs="Calibri"/>
                <w:b/>
                <w:bCs/>
                <w:color w:val="000000"/>
                <w:sz w:val="16"/>
                <w:szCs w:val="16"/>
                <w:u w:val="single"/>
                <w:lang w:eastAsia="es-CR"/>
              </w:rPr>
              <w:t>80 211</w:t>
            </w:r>
          </w:p>
        </w:tc>
        <w:tc>
          <w:tcPr>
            <w:tcW w:w="722" w:type="dxa"/>
            <w:tcBorders>
              <w:top w:val="nil"/>
              <w:left w:val="nil"/>
              <w:bottom w:val="single" w:sz="4" w:space="0" w:color="auto"/>
              <w:right w:val="single" w:sz="4" w:space="0" w:color="auto"/>
            </w:tcBorders>
            <w:shd w:val="clear" w:color="auto" w:fill="auto"/>
            <w:noWrap/>
            <w:vAlign w:val="center"/>
            <w:hideMark/>
          </w:tcPr>
          <w:p w14:paraId="35F7F163" w14:textId="77777777" w:rsidR="00766593" w:rsidRPr="00766593" w:rsidRDefault="00766593" w:rsidP="00234CBE">
            <w:pPr>
              <w:spacing w:line="276" w:lineRule="auto"/>
              <w:jc w:val="center"/>
              <w:rPr>
                <w:rFonts w:ascii="Book Antiqua" w:hAnsi="Book Antiqua" w:cs="Calibri"/>
                <w:b/>
                <w:bCs/>
                <w:color w:val="000000"/>
                <w:sz w:val="16"/>
                <w:szCs w:val="16"/>
                <w:u w:val="single"/>
                <w:lang w:eastAsia="es-CR"/>
              </w:rPr>
            </w:pPr>
            <w:r w:rsidRPr="00766593">
              <w:rPr>
                <w:rFonts w:ascii="Book Antiqua" w:hAnsi="Book Antiqua" w:cs="Calibri"/>
                <w:b/>
                <w:bCs/>
                <w:color w:val="000000"/>
                <w:sz w:val="16"/>
                <w:szCs w:val="16"/>
                <w:u w:val="single"/>
                <w:lang w:eastAsia="es-CR"/>
              </w:rPr>
              <w:t>81 216</w:t>
            </w:r>
          </w:p>
        </w:tc>
        <w:tc>
          <w:tcPr>
            <w:tcW w:w="722" w:type="dxa"/>
            <w:tcBorders>
              <w:top w:val="nil"/>
              <w:left w:val="nil"/>
              <w:bottom w:val="single" w:sz="4" w:space="0" w:color="auto"/>
              <w:right w:val="single" w:sz="4" w:space="0" w:color="auto"/>
            </w:tcBorders>
            <w:shd w:val="clear" w:color="auto" w:fill="auto"/>
            <w:noWrap/>
            <w:vAlign w:val="center"/>
            <w:hideMark/>
          </w:tcPr>
          <w:p w14:paraId="03F43C49" w14:textId="77777777" w:rsidR="00766593" w:rsidRPr="00766593" w:rsidRDefault="00766593" w:rsidP="00234CBE">
            <w:pPr>
              <w:spacing w:line="276" w:lineRule="auto"/>
              <w:jc w:val="center"/>
              <w:rPr>
                <w:rFonts w:ascii="Book Antiqua" w:hAnsi="Book Antiqua" w:cs="Calibri"/>
                <w:b/>
                <w:bCs/>
                <w:color w:val="000000"/>
                <w:sz w:val="16"/>
                <w:szCs w:val="16"/>
                <w:u w:val="single"/>
                <w:lang w:eastAsia="es-CR"/>
              </w:rPr>
            </w:pPr>
            <w:r w:rsidRPr="00766593">
              <w:rPr>
                <w:rFonts w:ascii="Book Antiqua" w:hAnsi="Book Antiqua" w:cs="Calibri"/>
                <w:b/>
                <w:bCs/>
                <w:color w:val="000000"/>
                <w:sz w:val="16"/>
                <w:szCs w:val="16"/>
                <w:u w:val="single"/>
                <w:lang w:eastAsia="es-CR"/>
              </w:rPr>
              <w:t>80 923</w:t>
            </w:r>
          </w:p>
        </w:tc>
        <w:tc>
          <w:tcPr>
            <w:tcW w:w="722" w:type="dxa"/>
            <w:tcBorders>
              <w:top w:val="nil"/>
              <w:left w:val="nil"/>
              <w:bottom w:val="single" w:sz="4" w:space="0" w:color="auto"/>
              <w:right w:val="single" w:sz="4" w:space="0" w:color="auto"/>
            </w:tcBorders>
            <w:shd w:val="clear" w:color="auto" w:fill="auto"/>
            <w:noWrap/>
            <w:vAlign w:val="center"/>
            <w:hideMark/>
          </w:tcPr>
          <w:p w14:paraId="4BB95D6A" w14:textId="77777777" w:rsidR="00766593" w:rsidRPr="00766593" w:rsidRDefault="00766593" w:rsidP="00234CBE">
            <w:pPr>
              <w:spacing w:line="276" w:lineRule="auto"/>
              <w:jc w:val="center"/>
              <w:rPr>
                <w:rFonts w:ascii="Book Antiqua" w:hAnsi="Book Antiqua" w:cs="Calibri"/>
                <w:b/>
                <w:bCs/>
                <w:color w:val="000000"/>
                <w:sz w:val="16"/>
                <w:szCs w:val="16"/>
                <w:u w:val="single"/>
                <w:lang w:eastAsia="es-CR"/>
              </w:rPr>
            </w:pPr>
            <w:r w:rsidRPr="00766593">
              <w:rPr>
                <w:rFonts w:ascii="Book Antiqua" w:hAnsi="Book Antiqua" w:cs="Calibri"/>
                <w:b/>
                <w:bCs/>
                <w:color w:val="000000"/>
                <w:sz w:val="16"/>
                <w:szCs w:val="16"/>
                <w:u w:val="single"/>
                <w:lang w:eastAsia="es-CR"/>
              </w:rPr>
              <w:t>80 962</w:t>
            </w:r>
          </w:p>
        </w:tc>
        <w:tc>
          <w:tcPr>
            <w:tcW w:w="722" w:type="dxa"/>
            <w:tcBorders>
              <w:top w:val="nil"/>
              <w:left w:val="nil"/>
              <w:bottom w:val="single" w:sz="4" w:space="0" w:color="auto"/>
              <w:right w:val="single" w:sz="4" w:space="0" w:color="auto"/>
            </w:tcBorders>
            <w:shd w:val="clear" w:color="auto" w:fill="auto"/>
            <w:noWrap/>
            <w:vAlign w:val="center"/>
            <w:hideMark/>
          </w:tcPr>
          <w:p w14:paraId="21417B62" w14:textId="77777777" w:rsidR="00766593" w:rsidRPr="00766593" w:rsidRDefault="00766593" w:rsidP="00234CBE">
            <w:pPr>
              <w:spacing w:line="276" w:lineRule="auto"/>
              <w:jc w:val="center"/>
              <w:rPr>
                <w:rFonts w:ascii="Book Antiqua" w:hAnsi="Book Antiqua" w:cs="Calibri"/>
                <w:b/>
                <w:bCs/>
                <w:color w:val="000000"/>
                <w:sz w:val="16"/>
                <w:szCs w:val="16"/>
                <w:u w:val="single"/>
                <w:lang w:eastAsia="es-CR"/>
              </w:rPr>
            </w:pPr>
            <w:r w:rsidRPr="00766593">
              <w:rPr>
                <w:rFonts w:ascii="Book Antiqua" w:hAnsi="Book Antiqua" w:cs="Calibri"/>
                <w:b/>
                <w:bCs/>
                <w:color w:val="000000"/>
                <w:sz w:val="16"/>
                <w:szCs w:val="16"/>
                <w:u w:val="single"/>
                <w:lang w:eastAsia="es-CR"/>
              </w:rPr>
              <w:t>80 791</w:t>
            </w:r>
          </w:p>
        </w:tc>
        <w:tc>
          <w:tcPr>
            <w:tcW w:w="722" w:type="dxa"/>
            <w:tcBorders>
              <w:top w:val="nil"/>
              <w:left w:val="nil"/>
              <w:bottom w:val="single" w:sz="4" w:space="0" w:color="auto"/>
              <w:right w:val="single" w:sz="4" w:space="0" w:color="auto"/>
            </w:tcBorders>
            <w:shd w:val="clear" w:color="auto" w:fill="auto"/>
            <w:noWrap/>
            <w:vAlign w:val="center"/>
            <w:hideMark/>
          </w:tcPr>
          <w:p w14:paraId="68272A34" w14:textId="77777777" w:rsidR="00766593" w:rsidRPr="00766593" w:rsidRDefault="00766593" w:rsidP="00234CBE">
            <w:pPr>
              <w:spacing w:line="276" w:lineRule="auto"/>
              <w:jc w:val="center"/>
              <w:rPr>
                <w:rFonts w:ascii="Book Antiqua" w:hAnsi="Book Antiqua" w:cs="Calibri"/>
                <w:b/>
                <w:bCs/>
                <w:color w:val="000000"/>
                <w:sz w:val="16"/>
                <w:szCs w:val="16"/>
                <w:u w:val="single"/>
                <w:lang w:eastAsia="es-CR"/>
              </w:rPr>
            </w:pPr>
            <w:r w:rsidRPr="00766593">
              <w:rPr>
                <w:rFonts w:ascii="Book Antiqua" w:hAnsi="Book Antiqua" w:cs="Calibri"/>
                <w:b/>
                <w:bCs/>
                <w:color w:val="000000"/>
                <w:sz w:val="16"/>
                <w:szCs w:val="16"/>
                <w:u w:val="single"/>
                <w:lang w:eastAsia="es-CR"/>
              </w:rPr>
              <w:t>81 131</w:t>
            </w:r>
          </w:p>
        </w:tc>
        <w:tc>
          <w:tcPr>
            <w:tcW w:w="722" w:type="dxa"/>
            <w:tcBorders>
              <w:top w:val="nil"/>
              <w:left w:val="nil"/>
              <w:bottom w:val="single" w:sz="4" w:space="0" w:color="auto"/>
              <w:right w:val="single" w:sz="4" w:space="0" w:color="auto"/>
            </w:tcBorders>
            <w:shd w:val="clear" w:color="auto" w:fill="auto"/>
            <w:noWrap/>
            <w:vAlign w:val="center"/>
            <w:hideMark/>
          </w:tcPr>
          <w:p w14:paraId="418AF14B" w14:textId="77777777" w:rsidR="00766593" w:rsidRPr="00766593" w:rsidRDefault="00766593" w:rsidP="00234CBE">
            <w:pPr>
              <w:spacing w:line="276" w:lineRule="auto"/>
              <w:jc w:val="center"/>
              <w:rPr>
                <w:rFonts w:ascii="Book Antiqua" w:hAnsi="Book Antiqua" w:cs="Calibri"/>
                <w:b/>
                <w:bCs/>
                <w:color w:val="000000"/>
                <w:sz w:val="16"/>
                <w:szCs w:val="16"/>
                <w:u w:val="single"/>
                <w:lang w:eastAsia="es-CR"/>
              </w:rPr>
            </w:pPr>
            <w:r w:rsidRPr="00766593">
              <w:rPr>
                <w:rFonts w:ascii="Book Antiqua" w:hAnsi="Book Antiqua" w:cs="Calibri"/>
                <w:b/>
                <w:bCs/>
                <w:color w:val="000000"/>
                <w:sz w:val="16"/>
                <w:szCs w:val="16"/>
                <w:u w:val="single"/>
                <w:lang w:eastAsia="es-CR"/>
              </w:rPr>
              <w:t>81 453</w:t>
            </w:r>
          </w:p>
        </w:tc>
        <w:tc>
          <w:tcPr>
            <w:tcW w:w="968" w:type="dxa"/>
            <w:tcBorders>
              <w:top w:val="nil"/>
              <w:left w:val="nil"/>
              <w:bottom w:val="single" w:sz="4" w:space="0" w:color="auto"/>
              <w:right w:val="single" w:sz="4" w:space="0" w:color="auto"/>
            </w:tcBorders>
            <w:shd w:val="clear" w:color="auto" w:fill="auto"/>
            <w:noWrap/>
            <w:vAlign w:val="center"/>
            <w:hideMark/>
          </w:tcPr>
          <w:p w14:paraId="0A57B360" w14:textId="77777777" w:rsidR="00766593" w:rsidRPr="00766593" w:rsidRDefault="00766593" w:rsidP="00234CBE">
            <w:pPr>
              <w:spacing w:line="276" w:lineRule="auto"/>
              <w:jc w:val="center"/>
              <w:rPr>
                <w:rFonts w:ascii="Book Antiqua" w:hAnsi="Book Antiqua" w:cs="Calibri"/>
                <w:b/>
                <w:bCs/>
                <w:color w:val="000000"/>
                <w:sz w:val="16"/>
                <w:szCs w:val="16"/>
                <w:u w:val="single"/>
                <w:lang w:eastAsia="es-CR"/>
              </w:rPr>
            </w:pPr>
            <w:r w:rsidRPr="00766593">
              <w:rPr>
                <w:rFonts w:ascii="Book Antiqua" w:hAnsi="Book Antiqua" w:cs="Calibri"/>
                <w:b/>
                <w:bCs/>
                <w:color w:val="000000"/>
                <w:sz w:val="16"/>
                <w:szCs w:val="16"/>
                <w:u w:val="single"/>
                <w:lang w:eastAsia="es-CR"/>
              </w:rPr>
              <w:t>79 781</w:t>
            </w:r>
          </w:p>
        </w:tc>
        <w:tc>
          <w:tcPr>
            <w:tcW w:w="1367" w:type="dxa"/>
            <w:tcBorders>
              <w:top w:val="nil"/>
              <w:left w:val="nil"/>
              <w:bottom w:val="single" w:sz="4" w:space="0" w:color="auto"/>
              <w:right w:val="single" w:sz="4" w:space="0" w:color="auto"/>
            </w:tcBorders>
            <w:shd w:val="clear" w:color="auto" w:fill="auto"/>
            <w:noWrap/>
            <w:vAlign w:val="center"/>
            <w:hideMark/>
          </w:tcPr>
          <w:p w14:paraId="61891748" w14:textId="77777777" w:rsidR="00766593" w:rsidRPr="00766593" w:rsidRDefault="00766593" w:rsidP="00234CBE">
            <w:pPr>
              <w:spacing w:line="276" w:lineRule="auto"/>
              <w:jc w:val="center"/>
              <w:rPr>
                <w:rFonts w:ascii="Book Antiqua" w:hAnsi="Book Antiqua" w:cs="Calibri"/>
                <w:b/>
                <w:bCs/>
                <w:color w:val="000000"/>
                <w:sz w:val="16"/>
                <w:szCs w:val="16"/>
                <w:u w:val="single"/>
                <w:lang w:eastAsia="es-CR"/>
              </w:rPr>
            </w:pPr>
            <w:r w:rsidRPr="00766593">
              <w:rPr>
                <w:rFonts w:ascii="Book Antiqua" w:hAnsi="Book Antiqua" w:cs="Calibri"/>
                <w:b/>
                <w:bCs/>
                <w:color w:val="000000"/>
                <w:sz w:val="16"/>
                <w:szCs w:val="16"/>
                <w:u w:val="single"/>
                <w:lang w:eastAsia="es-CR"/>
              </w:rPr>
              <w:t>0,09%</w:t>
            </w:r>
          </w:p>
        </w:tc>
      </w:tr>
      <w:tr w:rsidR="00766593" w:rsidRPr="00766593" w14:paraId="274EC3B6" w14:textId="77777777" w:rsidTr="00766593">
        <w:trPr>
          <w:trHeight w:val="214"/>
          <w:jc w:val="center"/>
        </w:trPr>
        <w:tc>
          <w:tcPr>
            <w:tcW w:w="2763" w:type="dxa"/>
            <w:tcBorders>
              <w:top w:val="nil"/>
              <w:left w:val="single" w:sz="4" w:space="0" w:color="auto"/>
              <w:bottom w:val="single" w:sz="4" w:space="0" w:color="auto"/>
              <w:right w:val="single" w:sz="4" w:space="0" w:color="auto"/>
            </w:tcBorders>
            <w:shd w:val="clear" w:color="auto" w:fill="auto"/>
            <w:noWrap/>
            <w:vAlign w:val="center"/>
            <w:hideMark/>
          </w:tcPr>
          <w:p w14:paraId="3AD1BDEF" w14:textId="77777777" w:rsidR="00766593" w:rsidRPr="00766593" w:rsidRDefault="00766593" w:rsidP="00234CBE">
            <w:pPr>
              <w:spacing w:line="276" w:lineRule="auto"/>
              <w:jc w:val="right"/>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Tribunal Penal y Flagrancias</w:t>
            </w:r>
          </w:p>
        </w:tc>
        <w:tc>
          <w:tcPr>
            <w:tcW w:w="723" w:type="dxa"/>
            <w:tcBorders>
              <w:top w:val="nil"/>
              <w:left w:val="nil"/>
              <w:bottom w:val="single" w:sz="4" w:space="0" w:color="auto"/>
              <w:right w:val="single" w:sz="4" w:space="0" w:color="auto"/>
            </w:tcBorders>
            <w:shd w:val="clear" w:color="auto" w:fill="auto"/>
            <w:noWrap/>
            <w:vAlign w:val="center"/>
            <w:hideMark/>
          </w:tcPr>
          <w:p w14:paraId="1B70564A"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32314</w:t>
            </w:r>
          </w:p>
        </w:tc>
        <w:tc>
          <w:tcPr>
            <w:tcW w:w="757" w:type="dxa"/>
            <w:tcBorders>
              <w:top w:val="nil"/>
              <w:left w:val="nil"/>
              <w:bottom w:val="single" w:sz="4" w:space="0" w:color="auto"/>
              <w:right w:val="single" w:sz="4" w:space="0" w:color="auto"/>
            </w:tcBorders>
            <w:shd w:val="clear" w:color="auto" w:fill="auto"/>
            <w:noWrap/>
            <w:vAlign w:val="center"/>
            <w:hideMark/>
          </w:tcPr>
          <w:p w14:paraId="3FAB0DE7"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32788</w:t>
            </w:r>
          </w:p>
        </w:tc>
        <w:tc>
          <w:tcPr>
            <w:tcW w:w="722" w:type="dxa"/>
            <w:tcBorders>
              <w:top w:val="nil"/>
              <w:left w:val="nil"/>
              <w:bottom w:val="single" w:sz="4" w:space="0" w:color="auto"/>
              <w:right w:val="single" w:sz="4" w:space="0" w:color="auto"/>
            </w:tcBorders>
            <w:shd w:val="clear" w:color="auto" w:fill="auto"/>
            <w:noWrap/>
            <w:vAlign w:val="center"/>
            <w:hideMark/>
          </w:tcPr>
          <w:p w14:paraId="20413987"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33371</w:t>
            </w:r>
          </w:p>
        </w:tc>
        <w:tc>
          <w:tcPr>
            <w:tcW w:w="722" w:type="dxa"/>
            <w:tcBorders>
              <w:top w:val="nil"/>
              <w:left w:val="nil"/>
              <w:bottom w:val="single" w:sz="4" w:space="0" w:color="auto"/>
              <w:right w:val="single" w:sz="4" w:space="0" w:color="auto"/>
            </w:tcBorders>
            <w:shd w:val="clear" w:color="auto" w:fill="auto"/>
            <w:noWrap/>
            <w:vAlign w:val="center"/>
            <w:hideMark/>
          </w:tcPr>
          <w:p w14:paraId="0148A505"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33980</w:t>
            </w:r>
          </w:p>
        </w:tc>
        <w:tc>
          <w:tcPr>
            <w:tcW w:w="722" w:type="dxa"/>
            <w:tcBorders>
              <w:top w:val="nil"/>
              <w:left w:val="nil"/>
              <w:bottom w:val="single" w:sz="4" w:space="0" w:color="auto"/>
              <w:right w:val="single" w:sz="4" w:space="0" w:color="auto"/>
            </w:tcBorders>
            <w:shd w:val="clear" w:color="auto" w:fill="auto"/>
            <w:noWrap/>
            <w:vAlign w:val="center"/>
            <w:hideMark/>
          </w:tcPr>
          <w:p w14:paraId="5AEF7467"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34264</w:t>
            </w:r>
          </w:p>
        </w:tc>
        <w:tc>
          <w:tcPr>
            <w:tcW w:w="722" w:type="dxa"/>
            <w:tcBorders>
              <w:top w:val="nil"/>
              <w:left w:val="nil"/>
              <w:bottom w:val="single" w:sz="4" w:space="0" w:color="auto"/>
              <w:right w:val="single" w:sz="4" w:space="0" w:color="auto"/>
            </w:tcBorders>
            <w:shd w:val="clear" w:color="auto" w:fill="auto"/>
            <w:noWrap/>
            <w:vAlign w:val="center"/>
            <w:hideMark/>
          </w:tcPr>
          <w:p w14:paraId="2F51671E"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34524</w:t>
            </w:r>
          </w:p>
        </w:tc>
        <w:tc>
          <w:tcPr>
            <w:tcW w:w="722" w:type="dxa"/>
            <w:tcBorders>
              <w:top w:val="nil"/>
              <w:left w:val="nil"/>
              <w:bottom w:val="single" w:sz="4" w:space="0" w:color="auto"/>
              <w:right w:val="single" w:sz="4" w:space="0" w:color="auto"/>
            </w:tcBorders>
            <w:shd w:val="clear" w:color="auto" w:fill="auto"/>
            <w:noWrap/>
            <w:vAlign w:val="center"/>
            <w:hideMark/>
          </w:tcPr>
          <w:p w14:paraId="60EDA4B7"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35122</w:t>
            </w:r>
          </w:p>
        </w:tc>
        <w:tc>
          <w:tcPr>
            <w:tcW w:w="722" w:type="dxa"/>
            <w:tcBorders>
              <w:top w:val="nil"/>
              <w:left w:val="nil"/>
              <w:bottom w:val="single" w:sz="4" w:space="0" w:color="auto"/>
              <w:right w:val="single" w:sz="4" w:space="0" w:color="auto"/>
            </w:tcBorders>
            <w:shd w:val="clear" w:color="auto" w:fill="auto"/>
            <w:noWrap/>
            <w:vAlign w:val="center"/>
            <w:hideMark/>
          </w:tcPr>
          <w:p w14:paraId="17D4F0E0"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35490</w:t>
            </w:r>
          </w:p>
        </w:tc>
        <w:tc>
          <w:tcPr>
            <w:tcW w:w="968" w:type="dxa"/>
            <w:tcBorders>
              <w:top w:val="nil"/>
              <w:left w:val="nil"/>
              <w:bottom w:val="single" w:sz="4" w:space="0" w:color="auto"/>
              <w:right w:val="single" w:sz="4" w:space="0" w:color="auto"/>
            </w:tcBorders>
            <w:shd w:val="clear" w:color="auto" w:fill="auto"/>
            <w:noWrap/>
            <w:vAlign w:val="center"/>
            <w:hideMark/>
          </w:tcPr>
          <w:p w14:paraId="5F298688"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35797</w:t>
            </w:r>
          </w:p>
        </w:tc>
        <w:tc>
          <w:tcPr>
            <w:tcW w:w="1367" w:type="dxa"/>
            <w:tcBorders>
              <w:top w:val="nil"/>
              <w:left w:val="nil"/>
              <w:bottom w:val="single" w:sz="4" w:space="0" w:color="auto"/>
              <w:right w:val="single" w:sz="4" w:space="0" w:color="auto"/>
            </w:tcBorders>
            <w:shd w:val="clear" w:color="auto" w:fill="auto"/>
            <w:noWrap/>
            <w:vAlign w:val="center"/>
            <w:hideMark/>
          </w:tcPr>
          <w:p w14:paraId="571B0258"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10,78%</w:t>
            </w:r>
          </w:p>
        </w:tc>
      </w:tr>
      <w:tr w:rsidR="00766593" w:rsidRPr="00766593" w14:paraId="0E2BAF2A" w14:textId="77777777" w:rsidTr="00766593">
        <w:trPr>
          <w:trHeight w:val="214"/>
          <w:jc w:val="center"/>
        </w:trPr>
        <w:tc>
          <w:tcPr>
            <w:tcW w:w="2763" w:type="dxa"/>
            <w:tcBorders>
              <w:top w:val="nil"/>
              <w:left w:val="single" w:sz="4" w:space="0" w:color="auto"/>
              <w:bottom w:val="single" w:sz="4" w:space="0" w:color="auto"/>
              <w:right w:val="single" w:sz="4" w:space="0" w:color="auto"/>
            </w:tcBorders>
            <w:shd w:val="clear" w:color="auto" w:fill="auto"/>
            <w:noWrap/>
            <w:vAlign w:val="center"/>
            <w:hideMark/>
          </w:tcPr>
          <w:p w14:paraId="13B6F5C3" w14:textId="77777777" w:rsidR="00766593" w:rsidRPr="00766593" w:rsidRDefault="00766593" w:rsidP="00234CBE">
            <w:pPr>
              <w:spacing w:line="276" w:lineRule="auto"/>
              <w:jc w:val="right"/>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Juzgado Penal</w:t>
            </w:r>
          </w:p>
        </w:tc>
        <w:tc>
          <w:tcPr>
            <w:tcW w:w="723" w:type="dxa"/>
            <w:tcBorders>
              <w:top w:val="nil"/>
              <w:left w:val="nil"/>
              <w:bottom w:val="single" w:sz="4" w:space="0" w:color="auto"/>
              <w:right w:val="single" w:sz="4" w:space="0" w:color="auto"/>
            </w:tcBorders>
            <w:shd w:val="clear" w:color="auto" w:fill="auto"/>
            <w:noWrap/>
            <w:vAlign w:val="center"/>
            <w:hideMark/>
          </w:tcPr>
          <w:p w14:paraId="6CFEE8BE"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32190</w:t>
            </w:r>
          </w:p>
        </w:tc>
        <w:tc>
          <w:tcPr>
            <w:tcW w:w="757" w:type="dxa"/>
            <w:tcBorders>
              <w:top w:val="nil"/>
              <w:left w:val="nil"/>
              <w:bottom w:val="single" w:sz="4" w:space="0" w:color="auto"/>
              <w:right w:val="single" w:sz="4" w:space="0" w:color="auto"/>
            </w:tcBorders>
            <w:shd w:val="clear" w:color="auto" w:fill="auto"/>
            <w:noWrap/>
            <w:vAlign w:val="center"/>
            <w:hideMark/>
          </w:tcPr>
          <w:p w14:paraId="0A33B5FD"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32408</w:t>
            </w:r>
          </w:p>
        </w:tc>
        <w:tc>
          <w:tcPr>
            <w:tcW w:w="722" w:type="dxa"/>
            <w:tcBorders>
              <w:top w:val="nil"/>
              <w:left w:val="nil"/>
              <w:bottom w:val="single" w:sz="4" w:space="0" w:color="auto"/>
              <w:right w:val="single" w:sz="4" w:space="0" w:color="auto"/>
            </w:tcBorders>
            <w:shd w:val="clear" w:color="auto" w:fill="auto"/>
            <w:noWrap/>
            <w:vAlign w:val="center"/>
            <w:hideMark/>
          </w:tcPr>
          <w:p w14:paraId="7CD97336"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32709</w:t>
            </w:r>
          </w:p>
        </w:tc>
        <w:tc>
          <w:tcPr>
            <w:tcW w:w="722" w:type="dxa"/>
            <w:tcBorders>
              <w:top w:val="nil"/>
              <w:left w:val="nil"/>
              <w:bottom w:val="single" w:sz="4" w:space="0" w:color="auto"/>
              <w:right w:val="single" w:sz="4" w:space="0" w:color="auto"/>
            </w:tcBorders>
            <w:shd w:val="clear" w:color="auto" w:fill="auto"/>
            <w:noWrap/>
            <w:vAlign w:val="center"/>
            <w:hideMark/>
          </w:tcPr>
          <w:p w14:paraId="3D25E9AF"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31789</w:t>
            </w:r>
          </w:p>
        </w:tc>
        <w:tc>
          <w:tcPr>
            <w:tcW w:w="722" w:type="dxa"/>
            <w:tcBorders>
              <w:top w:val="nil"/>
              <w:left w:val="nil"/>
              <w:bottom w:val="single" w:sz="4" w:space="0" w:color="auto"/>
              <w:right w:val="single" w:sz="4" w:space="0" w:color="auto"/>
            </w:tcBorders>
            <w:shd w:val="clear" w:color="auto" w:fill="auto"/>
            <w:noWrap/>
            <w:vAlign w:val="center"/>
            <w:hideMark/>
          </w:tcPr>
          <w:p w14:paraId="7282BD35"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31561</w:t>
            </w:r>
          </w:p>
        </w:tc>
        <w:tc>
          <w:tcPr>
            <w:tcW w:w="722" w:type="dxa"/>
            <w:tcBorders>
              <w:top w:val="nil"/>
              <w:left w:val="nil"/>
              <w:bottom w:val="single" w:sz="4" w:space="0" w:color="auto"/>
              <w:right w:val="single" w:sz="4" w:space="0" w:color="auto"/>
            </w:tcBorders>
            <w:shd w:val="clear" w:color="auto" w:fill="auto"/>
            <w:noWrap/>
            <w:vAlign w:val="center"/>
            <w:hideMark/>
          </w:tcPr>
          <w:p w14:paraId="1CA183E8"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31055</w:t>
            </w:r>
          </w:p>
        </w:tc>
        <w:tc>
          <w:tcPr>
            <w:tcW w:w="722" w:type="dxa"/>
            <w:tcBorders>
              <w:top w:val="nil"/>
              <w:left w:val="nil"/>
              <w:bottom w:val="single" w:sz="4" w:space="0" w:color="auto"/>
              <w:right w:val="single" w:sz="4" w:space="0" w:color="auto"/>
            </w:tcBorders>
            <w:shd w:val="clear" w:color="auto" w:fill="auto"/>
            <w:noWrap/>
            <w:vAlign w:val="center"/>
            <w:hideMark/>
          </w:tcPr>
          <w:p w14:paraId="7B4E1340"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30584</w:t>
            </w:r>
          </w:p>
        </w:tc>
        <w:tc>
          <w:tcPr>
            <w:tcW w:w="722" w:type="dxa"/>
            <w:tcBorders>
              <w:top w:val="nil"/>
              <w:left w:val="nil"/>
              <w:bottom w:val="single" w:sz="4" w:space="0" w:color="auto"/>
              <w:right w:val="single" w:sz="4" w:space="0" w:color="auto"/>
            </w:tcBorders>
            <w:shd w:val="clear" w:color="auto" w:fill="auto"/>
            <w:noWrap/>
            <w:vAlign w:val="center"/>
            <w:hideMark/>
          </w:tcPr>
          <w:p w14:paraId="7D457263"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30224</w:t>
            </w:r>
          </w:p>
        </w:tc>
        <w:tc>
          <w:tcPr>
            <w:tcW w:w="968" w:type="dxa"/>
            <w:tcBorders>
              <w:top w:val="nil"/>
              <w:left w:val="nil"/>
              <w:bottom w:val="single" w:sz="4" w:space="0" w:color="auto"/>
              <w:right w:val="single" w:sz="4" w:space="0" w:color="auto"/>
            </w:tcBorders>
            <w:shd w:val="clear" w:color="auto" w:fill="auto"/>
            <w:noWrap/>
            <w:vAlign w:val="center"/>
            <w:hideMark/>
          </w:tcPr>
          <w:p w14:paraId="6C422EC8"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28492</w:t>
            </w:r>
          </w:p>
        </w:tc>
        <w:tc>
          <w:tcPr>
            <w:tcW w:w="1367" w:type="dxa"/>
            <w:tcBorders>
              <w:top w:val="nil"/>
              <w:left w:val="nil"/>
              <w:bottom w:val="single" w:sz="4" w:space="0" w:color="auto"/>
              <w:right w:val="single" w:sz="4" w:space="0" w:color="auto"/>
            </w:tcBorders>
            <w:shd w:val="clear" w:color="auto" w:fill="auto"/>
            <w:noWrap/>
            <w:vAlign w:val="center"/>
            <w:hideMark/>
          </w:tcPr>
          <w:p w14:paraId="4209A15F"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-11,49%</w:t>
            </w:r>
          </w:p>
        </w:tc>
      </w:tr>
      <w:tr w:rsidR="00766593" w:rsidRPr="00766593" w14:paraId="369E2FA7" w14:textId="77777777" w:rsidTr="00766593">
        <w:trPr>
          <w:trHeight w:val="214"/>
          <w:jc w:val="center"/>
        </w:trPr>
        <w:tc>
          <w:tcPr>
            <w:tcW w:w="2763" w:type="dxa"/>
            <w:tcBorders>
              <w:top w:val="nil"/>
              <w:left w:val="single" w:sz="4" w:space="0" w:color="auto"/>
              <w:bottom w:val="single" w:sz="4" w:space="0" w:color="auto"/>
              <w:right w:val="single" w:sz="4" w:space="0" w:color="auto"/>
            </w:tcBorders>
            <w:shd w:val="clear" w:color="auto" w:fill="auto"/>
            <w:noWrap/>
            <w:vAlign w:val="center"/>
            <w:hideMark/>
          </w:tcPr>
          <w:p w14:paraId="3CEB8B4A" w14:textId="77777777" w:rsidR="00766593" w:rsidRPr="00766593" w:rsidRDefault="00766593" w:rsidP="00234CBE">
            <w:pPr>
              <w:spacing w:line="276" w:lineRule="auto"/>
              <w:jc w:val="right"/>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Juzgado Penal Juvenil</w:t>
            </w:r>
          </w:p>
        </w:tc>
        <w:tc>
          <w:tcPr>
            <w:tcW w:w="723" w:type="dxa"/>
            <w:tcBorders>
              <w:top w:val="nil"/>
              <w:left w:val="nil"/>
              <w:bottom w:val="single" w:sz="4" w:space="0" w:color="auto"/>
              <w:right w:val="single" w:sz="4" w:space="0" w:color="auto"/>
            </w:tcBorders>
            <w:shd w:val="clear" w:color="auto" w:fill="auto"/>
            <w:noWrap/>
            <w:vAlign w:val="center"/>
            <w:hideMark/>
          </w:tcPr>
          <w:p w14:paraId="334B7618"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5519</w:t>
            </w:r>
          </w:p>
        </w:tc>
        <w:tc>
          <w:tcPr>
            <w:tcW w:w="757" w:type="dxa"/>
            <w:tcBorders>
              <w:top w:val="nil"/>
              <w:left w:val="nil"/>
              <w:bottom w:val="single" w:sz="4" w:space="0" w:color="auto"/>
              <w:right w:val="single" w:sz="4" w:space="0" w:color="auto"/>
            </w:tcBorders>
            <w:shd w:val="clear" w:color="auto" w:fill="auto"/>
            <w:noWrap/>
            <w:vAlign w:val="center"/>
            <w:hideMark/>
          </w:tcPr>
          <w:p w14:paraId="70FE32E2"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5511</w:t>
            </w:r>
          </w:p>
        </w:tc>
        <w:tc>
          <w:tcPr>
            <w:tcW w:w="722" w:type="dxa"/>
            <w:tcBorders>
              <w:top w:val="nil"/>
              <w:left w:val="nil"/>
              <w:bottom w:val="single" w:sz="4" w:space="0" w:color="auto"/>
              <w:right w:val="single" w:sz="4" w:space="0" w:color="auto"/>
            </w:tcBorders>
            <w:shd w:val="clear" w:color="auto" w:fill="auto"/>
            <w:noWrap/>
            <w:vAlign w:val="center"/>
            <w:hideMark/>
          </w:tcPr>
          <w:p w14:paraId="62F302D5"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5415</w:t>
            </w:r>
          </w:p>
        </w:tc>
        <w:tc>
          <w:tcPr>
            <w:tcW w:w="722" w:type="dxa"/>
            <w:tcBorders>
              <w:top w:val="nil"/>
              <w:left w:val="nil"/>
              <w:bottom w:val="single" w:sz="4" w:space="0" w:color="auto"/>
              <w:right w:val="single" w:sz="4" w:space="0" w:color="auto"/>
            </w:tcBorders>
            <w:shd w:val="clear" w:color="auto" w:fill="auto"/>
            <w:noWrap/>
            <w:vAlign w:val="center"/>
            <w:hideMark/>
          </w:tcPr>
          <w:p w14:paraId="1FC0939A"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5304</w:t>
            </w:r>
          </w:p>
        </w:tc>
        <w:tc>
          <w:tcPr>
            <w:tcW w:w="722" w:type="dxa"/>
            <w:tcBorders>
              <w:top w:val="nil"/>
              <w:left w:val="nil"/>
              <w:bottom w:val="single" w:sz="4" w:space="0" w:color="auto"/>
              <w:right w:val="single" w:sz="4" w:space="0" w:color="auto"/>
            </w:tcBorders>
            <w:shd w:val="clear" w:color="auto" w:fill="auto"/>
            <w:noWrap/>
            <w:vAlign w:val="center"/>
            <w:hideMark/>
          </w:tcPr>
          <w:p w14:paraId="39EB35D7"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5394</w:t>
            </w:r>
          </w:p>
        </w:tc>
        <w:tc>
          <w:tcPr>
            <w:tcW w:w="722" w:type="dxa"/>
            <w:tcBorders>
              <w:top w:val="nil"/>
              <w:left w:val="nil"/>
              <w:bottom w:val="single" w:sz="4" w:space="0" w:color="auto"/>
              <w:right w:val="single" w:sz="4" w:space="0" w:color="auto"/>
            </w:tcBorders>
            <w:shd w:val="clear" w:color="auto" w:fill="auto"/>
            <w:noWrap/>
            <w:vAlign w:val="center"/>
            <w:hideMark/>
          </w:tcPr>
          <w:p w14:paraId="0F7D4A1B"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5386</w:t>
            </w:r>
          </w:p>
        </w:tc>
        <w:tc>
          <w:tcPr>
            <w:tcW w:w="722" w:type="dxa"/>
            <w:tcBorders>
              <w:top w:val="nil"/>
              <w:left w:val="nil"/>
              <w:bottom w:val="single" w:sz="4" w:space="0" w:color="auto"/>
              <w:right w:val="single" w:sz="4" w:space="0" w:color="auto"/>
            </w:tcBorders>
            <w:shd w:val="clear" w:color="auto" w:fill="auto"/>
            <w:noWrap/>
            <w:vAlign w:val="center"/>
            <w:hideMark/>
          </w:tcPr>
          <w:p w14:paraId="5490AED8"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5299</w:t>
            </w:r>
          </w:p>
        </w:tc>
        <w:tc>
          <w:tcPr>
            <w:tcW w:w="722" w:type="dxa"/>
            <w:tcBorders>
              <w:top w:val="nil"/>
              <w:left w:val="nil"/>
              <w:bottom w:val="single" w:sz="4" w:space="0" w:color="auto"/>
              <w:right w:val="single" w:sz="4" w:space="0" w:color="auto"/>
            </w:tcBorders>
            <w:shd w:val="clear" w:color="auto" w:fill="auto"/>
            <w:noWrap/>
            <w:vAlign w:val="center"/>
            <w:hideMark/>
          </w:tcPr>
          <w:p w14:paraId="4D9087C8"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5298</w:t>
            </w:r>
          </w:p>
        </w:tc>
        <w:tc>
          <w:tcPr>
            <w:tcW w:w="968" w:type="dxa"/>
            <w:tcBorders>
              <w:top w:val="nil"/>
              <w:left w:val="nil"/>
              <w:bottom w:val="single" w:sz="4" w:space="0" w:color="auto"/>
              <w:right w:val="single" w:sz="4" w:space="0" w:color="auto"/>
            </w:tcBorders>
            <w:shd w:val="clear" w:color="auto" w:fill="auto"/>
            <w:noWrap/>
            <w:vAlign w:val="center"/>
            <w:hideMark/>
          </w:tcPr>
          <w:p w14:paraId="3CB5F267"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5239</w:t>
            </w:r>
          </w:p>
        </w:tc>
        <w:tc>
          <w:tcPr>
            <w:tcW w:w="1367" w:type="dxa"/>
            <w:tcBorders>
              <w:top w:val="nil"/>
              <w:left w:val="nil"/>
              <w:bottom w:val="single" w:sz="4" w:space="0" w:color="auto"/>
              <w:right w:val="single" w:sz="4" w:space="0" w:color="auto"/>
            </w:tcBorders>
            <w:shd w:val="clear" w:color="auto" w:fill="auto"/>
            <w:noWrap/>
            <w:vAlign w:val="center"/>
            <w:hideMark/>
          </w:tcPr>
          <w:p w14:paraId="2B211EBA"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-5,07%</w:t>
            </w:r>
          </w:p>
        </w:tc>
      </w:tr>
      <w:tr w:rsidR="00766593" w:rsidRPr="00766593" w14:paraId="001D04F5" w14:textId="77777777" w:rsidTr="00766593">
        <w:trPr>
          <w:trHeight w:val="214"/>
          <w:jc w:val="center"/>
        </w:trPr>
        <w:tc>
          <w:tcPr>
            <w:tcW w:w="2763" w:type="dxa"/>
            <w:tcBorders>
              <w:top w:val="nil"/>
              <w:left w:val="single" w:sz="4" w:space="0" w:color="auto"/>
              <w:bottom w:val="single" w:sz="4" w:space="0" w:color="auto"/>
              <w:right w:val="single" w:sz="4" w:space="0" w:color="auto"/>
            </w:tcBorders>
            <w:shd w:val="clear" w:color="auto" w:fill="auto"/>
            <w:noWrap/>
            <w:vAlign w:val="center"/>
            <w:hideMark/>
          </w:tcPr>
          <w:p w14:paraId="6D96F454" w14:textId="77777777" w:rsidR="00766593" w:rsidRPr="00766593" w:rsidRDefault="00766593" w:rsidP="00234CBE">
            <w:pPr>
              <w:spacing w:line="276" w:lineRule="auto"/>
              <w:jc w:val="right"/>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Juzgados de Ejecución de la Pena</w:t>
            </w:r>
          </w:p>
        </w:tc>
        <w:tc>
          <w:tcPr>
            <w:tcW w:w="723" w:type="dxa"/>
            <w:tcBorders>
              <w:top w:val="nil"/>
              <w:left w:val="nil"/>
              <w:bottom w:val="single" w:sz="4" w:space="0" w:color="auto"/>
              <w:right w:val="single" w:sz="4" w:space="0" w:color="auto"/>
            </w:tcBorders>
            <w:shd w:val="clear" w:color="auto" w:fill="auto"/>
            <w:noWrap/>
            <w:vAlign w:val="center"/>
            <w:hideMark/>
          </w:tcPr>
          <w:p w14:paraId="5328327A"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9333</w:t>
            </w:r>
          </w:p>
        </w:tc>
        <w:tc>
          <w:tcPr>
            <w:tcW w:w="757" w:type="dxa"/>
            <w:tcBorders>
              <w:top w:val="nil"/>
              <w:left w:val="nil"/>
              <w:bottom w:val="single" w:sz="4" w:space="0" w:color="auto"/>
              <w:right w:val="single" w:sz="4" w:space="0" w:color="auto"/>
            </w:tcBorders>
            <w:shd w:val="clear" w:color="auto" w:fill="auto"/>
            <w:noWrap/>
            <w:vAlign w:val="center"/>
            <w:hideMark/>
          </w:tcPr>
          <w:p w14:paraId="482544D1"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9106</w:t>
            </w:r>
          </w:p>
        </w:tc>
        <w:tc>
          <w:tcPr>
            <w:tcW w:w="722" w:type="dxa"/>
            <w:tcBorders>
              <w:top w:val="nil"/>
              <w:left w:val="nil"/>
              <w:bottom w:val="single" w:sz="4" w:space="0" w:color="auto"/>
              <w:right w:val="single" w:sz="4" w:space="0" w:color="auto"/>
            </w:tcBorders>
            <w:shd w:val="clear" w:color="auto" w:fill="auto"/>
            <w:noWrap/>
            <w:vAlign w:val="center"/>
            <w:hideMark/>
          </w:tcPr>
          <w:p w14:paraId="58CDDF3D"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9366</w:t>
            </w:r>
          </w:p>
        </w:tc>
        <w:tc>
          <w:tcPr>
            <w:tcW w:w="722" w:type="dxa"/>
            <w:tcBorders>
              <w:top w:val="nil"/>
              <w:left w:val="nil"/>
              <w:bottom w:val="single" w:sz="4" w:space="0" w:color="auto"/>
              <w:right w:val="single" w:sz="4" w:space="0" w:color="auto"/>
            </w:tcBorders>
            <w:shd w:val="clear" w:color="auto" w:fill="auto"/>
            <w:noWrap/>
            <w:vAlign w:val="center"/>
            <w:hideMark/>
          </w:tcPr>
          <w:p w14:paraId="6CFA14C7"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9528</w:t>
            </w:r>
          </w:p>
        </w:tc>
        <w:tc>
          <w:tcPr>
            <w:tcW w:w="722" w:type="dxa"/>
            <w:tcBorders>
              <w:top w:val="nil"/>
              <w:left w:val="nil"/>
              <w:bottom w:val="single" w:sz="4" w:space="0" w:color="auto"/>
              <w:right w:val="single" w:sz="4" w:space="0" w:color="auto"/>
            </w:tcBorders>
            <w:shd w:val="clear" w:color="auto" w:fill="auto"/>
            <w:noWrap/>
            <w:vAlign w:val="center"/>
            <w:hideMark/>
          </w:tcPr>
          <w:p w14:paraId="50FC0C87"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9451</w:t>
            </w:r>
          </w:p>
        </w:tc>
        <w:tc>
          <w:tcPr>
            <w:tcW w:w="722" w:type="dxa"/>
            <w:tcBorders>
              <w:top w:val="nil"/>
              <w:left w:val="nil"/>
              <w:bottom w:val="single" w:sz="4" w:space="0" w:color="auto"/>
              <w:right w:val="single" w:sz="4" w:space="0" w:color="auto"/>
            </w:tcBorders>
            <w:shd w:val="clear" w:color="auto" w:fill="auto"/>
            <w:noWrap/>
            <w:vAlign w:val="center"/>
            <w:hideMark/>
          </w:tcPr>
          <w:p w14:paraId="70798928"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9557</w:t>
            </w:r>
          </w:p>
        </w:tc>
        <w:tc>
          <w:tcPr>
            <w:tcW w:w="722" w:type="dxa"/>
            <w:tcBorders>
              <w:top w:val="nil"/>
              <w:left w:val="nil"/>
              <w:bottom w:val="single" w:sz="4" w:space="0" w:color="auto"/>
              <w:right w:val="single" w:sz="4" w:space="0" w:color="auto"/>
            </w:tcBorders>
            <w:shd w:val="clear" w:color="auto" w:fill="auto"/>
            <w:noWrap/>
            <w:vAlign w:val="center"/>
            <w:hideMark/>
          </w:tcPr>
          <w:p w14:paraId="018FB5E0"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9865</w:t>
            </w:r>
          </w:p>
        </w:tc>
        <w:tc>
          <w:tcPr>
            <w:tcW w:w="722" w:type="dxa"/>
            <w:tcBorders>
              <w:top w:val="nil"/>
              <w:left w:val="nil"/>
              <w:bottom w:val="single" w:sz="4" w:space="0" w:color="auto"/>
              <w:right w:val="single" w:sz="4" w:space="0" w:color="auto"/>
            </w:tcBorders>
            <w:shd w:val="clear" w:color="auto" w:fill="auto"/>
            <w:noWrap/>
            <w:vAlign w:val="center"/>
            <w:hideMark/>
          </w:tcPr>
          <w:p w14:paraId="01410D0C"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10218</w:t>
            </w:r>
          </w:p>
        </w:tc>
        <w:tc>
          <w:tcPr>
            <w:tcW w:w="968" w:type="dxa"/>
            <w:tcBorders>
              <w:top w:val="nil"/>
              <w:left w:val="nil"/>
              <w:bottom w:val="single" w:sz="4" w:space="0" w:color="auto"/>
              <w:right w:val="single" w:sz="4" w:space="0" w:color="auto"/>
            </w:tcBorders>
            <w:shd w:val="clear" w:color="auto" w:fill="auto"/>
            <w:noWrap/>
            <w:vAlign w:val="center"/>
            <w:hideMark/>
          </w:tcPr>
          <w:p w14:paraId="379E4174"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10031</w:t>
            </w:r>
          </w:p>
        </w:tc>
        <w:tc>
          <w:tcPr>
            <w:tcW w:w="1367" w:type="dxa"/>
            <w:tcBorders>
              <w:top w:val="nil"/>
              <w:left w:val="nil"/>
              <w:bottom w:val="single" w:sz="4" w:space="0" w:color="auto"/>
              <w:right w:val="single" w:sz="4" w:space="0" w:color="auto"/>
            </w:tcBorders>
            <w:shd w:val="clear" w:color="auto" w:fill="auto"/>
            <w:noWrap/>
            <w:vAlign w:val="center"/>
            <w:hideMark/>
          </w:tcPr>
          <w:p w14:paraId="4D41D80A"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7,48%</w:t>
            </w:r>
          </w:p>
        </w:tc>
      </w:tr>
      <w:tr w:rsidR="00766593" w:rsidRPr="00766593" w14:paraId="5DB2C050" w14:textId="77777777" w:rsidTr="00766593">
        <w:trPr>
          <w:trHeight w:val="214"/>
          <w:jc w:val="center"/>
        </w:trPr>
        <w:tc>
          <w:tcPr>
            <w:tcW w:w="2763" w:type="dxa"/>
            <w:tcBorders>
              <w:top w:val="nil"/>
              <w:left w:val="single" w:sz="4" w:space="0" w:color="auto"/>
              <w:bottom w:val="single" w:sz="4" w:space="0" w:color="auto"/>
              <w:right w:val="single" w:sz="4" w:space="0" w:color="auto"/>
            </w:tcBorders>
            <w:shd w:val="clear" w:color="auto" w:fill="auto"/>
            <w:noWrap/>
            <w:vAlign w:val="center"/>
            <w:hideMark/>
          </w:tcPr>
          <w:p w14:paraId="7453DE7A" w14:textId="77777777" w:rsidR="00766593" w:rsidRPr="00766593" w:rsidRDefault="00766593" w:rsidP="00234CBE">
            <w:pPr>
              <w:spacing w:line="276" w:lineRule="auto"/>
              <w:jc w:val="right"/>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Juzgado de Ejecución Sanción Penal Juvenil</w:t>
            </w:r>
          </w:p>
        </w:tc>
        <w:tc>
          <w:tcPr>
            <w:tcW w:w="723" w:type="dxa"/>
            <w:tcBorders>
              <w:top w:val="nil"/>
              <w:left w:val="nil"/>
              <w:bottom w:val="single" w:sz="4" w:space="0" w:color="auto"/>
              <w:right w:val="single" w:sz="4" w:space="0" w:color="auto"/>
            </w:tcBorders>
            <w:shd w:val="clear" w:color="auto" w:fill="auto"/>
            <w:noWrap/>
            <w:vAlign w:val="center"/>
            <w:hideMark/>
          </w:tcPr>
          <w:p w14:paraId="508AE65B"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355</w:t>
            </w:r>
          </w:p>
        </w:tc>
        <w:tc>
          <w:tcPr>
            <w:tcW w:w="757" w:type="dxa"/>
            <w:tcBorders>
              <w:top w:val="nil"/>
              <w:left w:val="nil"/>
              <w:bottom w:val="single" w:sz="4" w:space="0" w:color="auto"/>
              <w:right w:val="single" w:sz="4" w:space="0" w:color="auto"/>
            </w:tcBorders>
            <w:shd w:val="clear" w:color="auto" w:fill="auto"/>
            <w:noWrap/>
            <w:vAlign w:val="center"/>
            <w:hideMark/>
          </w:tcPr>
          <w:p w14:paraId="7BB418D5"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398</w:t>
            </w:r>
          </w:p>
        </w:tc>
        <w:tc>
          <w:tcPr>
            <w:tcW w:w="722" w:type="dxa"/>
            <w:tcBorders>
              <w:top w:val="nil"/>
              <w:left w:val="nil"/>
              <w:bottom w:val="single" w:sz="4" w:space="0" w:color="auto"/>
              <w:right w:val="single" w:sz="4" w:space="0" w:color="auto"/>
            </w:tcBorders>
            <w:shd w:val="clear" w:color="auto" w:fill="auto"/>
            <w:noWrap/>
            <w:vAlign w:val="center"/>
            <w:hideMark/>
          </w:tcPr>
          <w:p w14:paraId="4729932C"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355</w:t>
            </w:r>
          </w:p>
        </w:tc>
        <w:tc>
          <w:tcPr>
            <w:tcW w:w="722" w:type="dxa"/>
            <w:tcBorders>
              <w:top w:val="nil"/>
              <w:left w:val="nil"/>
              <w:bottom w:val="single" w:sz="4" w:space="0" w:color="auto"/>
              <w:right w:val="single" w:sz="4" w:space="0" w:color="auto"/>
            </w:tcBorders>
            <w:shd w:val="clear" w:color="auto" w:fill="auto"/>
            <w:noWrap/>
            <w:vAlign w:val="center"/>
            <w:hideMark/>
          </w:tcPr>
          <w:p w14:paraId="20FFD920"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322</w:t>
            </w:r>
          </w:p>
        </w:tc>
        <w:tc>
          <w:tcPr>
            <w:tcW w:w="722" w:type="dxa"/>
            <w:tcBorders>
              <w:top w:val="nil"/>
              <w:left w:val="nil"/>
              <w:bottom w:val="single" w:sz="4" w:space="0" w:color="auto"/>
              <w:right w:val="single" w:sz="4" w:space="0" w:color="auto"/>
            </w:tcBorders>
            <w:shd w:val="clear" w:color="auto" w:fill="auto"/>
            <w:noWrap/>
            <w:vAlign w:val="center"/>
            <w:hideMark/>
          </w:tcPr>
          <w:p w14:paraId="123967CF"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292</w:t>
            </w:r>
          </w:p>
        </w:tc>
        <w:tc>
          <w:tcPr>
            <w:tcW w:w="722" w:type="dxa"/>
            <w:tcBorders>
              <w:top w:val="nil"/>
              <w:left w:val="nil"/>
              <w:bottom w:val="single" w:sz="4" w:space="0" w:color="auto"/>
              <w:right w:val="single" w:sz="4" w:space="0" w:color="auto"/>
            </w:tcBorders>
            <w:shd w:val="clear" w:color="auto" w:fill="auto"/>
            <w:noWrap/>
            <w:vAlign w:val="center"/>
            <w:hideMark/>
          </w:tcPr>
          <w:p w14:paraId="3F50391B"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269</w:t>
            </w:r>
          </w:p>
        </w:tc>
        <w:tc>
          <w:tcPr>
            <w:tcW w:w="722" w:type="dxa"/>
            <w:tcBorders>
              <w:top w:val="nil"/>
              <w:left w:val="nil"/>
              <w:bottom w:val="single" w:sz="4" w:space="0" w:color="auto"/>
              <w:right w:val="single" w:sz="4" w:space="0" w:color="auto"/>
            </w:tcBorders>
            <w:shd w:val="clear" w:color="auto" w:fill="auto"/>
            <w:noWrap/>
            <w:vAlign w:val="center"/>
            <w:hideMark/>
          </w:tcPr>
          <w:p w14:paraId="03AB9089"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261</w:t>
            </w:r>
          </w:p>
        </w:tc>
        <w:tc>
          <w:tcPr>
            <w:tcW w:w="722" w:type="dxa"/>
            <w:tcBorders>
              <w:top w:val="nil"/>
              <w:left w:val="nil"/>
              <w:bottom w:val="single" w:sz="4" w:space="0" w:color="auto"/>
              <w:right w:val="single" w:sz="4" w:space="0" w:color="auto"/>
            </w:tcBorders>
            <w:shd w:val="clear" w:color="auto" w:fill="auto"/>
            <w:noWrap/>
            <w:vAlign w:val="center"/>
            <w:hideMark/>
          </w:tcPr>
          <w:p w14:paraId="67D4956F"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223</w:t>
            </w:r>
          </w:p>
        </w:tc>
        <w:tc>
          <w:tcPr>
            <w:tcW w:w="968" w:type="dxa"/>
            <w:tcBorders>
              <w:top w:val="nil"/>
              <w:left w:val="nil"/>
              <w:bottom w:val="single" w:sz="4" w:space="0" w:color="auto"/>
              <w:right w:val="single" w:sz="4" w:space="0" w:color="auto"/>
            </w:tcBorders>
            <w:shd w:val="clear" w:color="auto" w:fill="auto"/>
            <w:noWrap/>
            <w:vAlign w:val="center"/>
            <w:hideMark/>
          </w:tcPr>
          <w:p w14:paraId="6175AFF8"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222</w:t>
            </w:r>
          </w:p>
        </w:tc>
        <w:tc>
          <w:tcPr>
            <w:tcW w:w="1367" w:type="dxa"/>
            <w:tcBorders>
              <w:top w:val="nil"/>
              <w:left w:val="nil"/>
              <w:bottom w:val="single" w:sz="4" w:space="0" w:color="auto"/>
              <w:right w:val="single" w:sz="4" w:space="0" w:color="auto"/>
            </w:tcBorders>
            <w:shd w:val="clear" w:color="auto" w:fill="auto"/>
            <w:noWrap/>
            <w:vAlign w:val="center"/>
            <w:hideMark/>
          </w:tcPr>
          <w:p w14:paraId="7AECA577"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-37,46%</w:t>
            </w:r>
          </w:p>
        </w:tc>
      </w:tr>
      <w:tr w:rsidR="00766593" w:rsidRPr="00766593" w14:paraId="69437549" w14:textId="77777777" w:rsidTr="00766593">
        <w:trPr>
          <w:trHeight w:val="214"/>
          <w:jc w:val="center"/>
        </w:trPr>
        <w:tc>
          <w:tcPr>
            <w:tcW w:w="2763" w:type="dxa"/>
            <w:tcBorders>
              <w:top w:val="nil"/>
              <w:left w:val="single" w:sz="4" w:space="0" w:color="auto"/>
              <w:bottom w:val="single" w:sz="4" w:space="0" w:color="auto"/>
              <w:right w:val="single" w:sz="4" w:space="0" w:color="auto"/>
            </w:tcBorders>
            <w:shd w:val="clear" w:color="auto" w:fill="auto"/>
            <w:noWrap/>
            <w:vAlign w:val="center"/>
            <w:hideMark/>
          </w:tcPr>
          <w:p w14:paraId="2D88AD9B" w14:textId="77777777" w:rsidR="00766593" w:rsidRPr="00766593" w:rsidRDefault="00766593" w:rsidP="00234CBE">
            <w:pPr>
              <w:spacing w:line="276" w:lineRule="auto"/>
              <w:jc w:val="right"/>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 </w:t>
            </w:r>
          </w:p>
        </w:tc>
        <w:tc>
          <w:tcPr>
            <w:tcW w:w="723" w:type="dxa"/>
            <w:tcBorders>
              <w:top w:val="nil"/>
              <w:left w:val="nil"/>
              <w:bottom w:val="single" w:sz="4" w:space="0" w:color="auto"/>
              <w:right w:val="single" w:sz="4" w:space="0" w:color="auto"/>
            </w:tcBorders>
            <w:shd w:val="clear" w:color="auto" w:fill="auto"/>
            <w:noWrap/>
            <w:vAlign w:val="bottom"/>
            <w:hideMark/>
          </w:tcPr>
          <w:p w14:paraId="6F78E667" w14:textId="77777777" w:rsidR="00766593" w:rsidRPr="00766593" w:rsidRDefault="00766593" w:rsidP="00234CBE">
            <w:pPr>
              <w:spacing w:line="276" w:lineRule="auto"/>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 </w:t>
            </w:r>
          </w:p>
        </w:tc>
        <w:tc>
          <w:tcPr>
            <w:tcW w:w="757" w:type="dxa"/>
            <w:tcBorders>
              <w:top w:val="nil"/>
              <w:left w:val="nil"/>
              <w:bottom w:val="single" w:sz="4" w:space="0" w:color="auto"/>
              <w:right w:val="single" w:sz="4" w:space="0" w:color="auto"/>
            </w:tcBorders>
            <w:shd w:val="clear" w:color="auto" w:fill="auto"/>
            <w:noWrap/>
            <w:vAlign w:val="bottom"/>
            <w:hideMark/>
          </w:tcPr>
          <w:p w14:paraId="0C2BE81F" w14:textId="77777777" w:rsidR="00766593" w:rsidRPr="00766593" w:rsidRDefault="00766593" w:rsidP="00234CBE">
            <w:pPr>
              <w:spacing w:line="276" w:lineRule="auto"/>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 </w:t>
            </w:r>
          </w:p>
        </w:tc>
        <w:tc>
          <w:tcPr>
            <w:tcW w:w="722" w:type="dxa"/>
            <w:tcBorders>
              <w:top w:val="nil"/>
              <w:left w:val="nil"/>
              <w:bottom w:val="single" w:sz="4" w:space="0" w:color="auto"/>
              <w:right w:val="single" w:sz="4" w:space="0" w:color="auto"/>
            </w:tcBorders>
            <w:shd w:val="clear" w:color="auto" w:fill="auto"/>
            <w:noWrap/>
            <w:vAlign w:val="bottom"/>
            <w:hideMark/>
          </w:tcPr>
          <w:p w14:paraId="0B74938E" w14:textId="77777777" w:rsidR="00766593" w:rsidRPr="00766593" w:rsidRDefault="00766593" w:rsidP="00234CBE">
            <w:pPr>
              <w:spacing w:line="276" w:lineRule="auto"/>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 </w:t>
            </w:r>
          </w:p>
        </w:tc>
        <w:tc>
          <w:tcPr>
            <w:tcW w:w="722" w:type="dxa"/>
            <w:tcBorders>
              <w:top w:val="nil"/>
              <w:left w:val="nil"/>
              <w:bottom w:val="single" w:sz="4" w:space="0" w:color="auto"/>
              <w:right w:val="single" w:sz="4" w:space="0" w:color="auto"/>
            </w:tcBorders>
            <w:shd w:val="clear" w:color="auto" w:fill="auto"/>
            <w:noWrap/>
            <w:vAlign w:val="bottom"/>
            <w:hideMark/>
          </w:tcPr>
          <w:p w14:paraId="124D5B19" w14:textId="77777777" w:rsidR="00766593" w:rsidRPr="00766593" w:rsidRDefault="00766593" w:rsidP="00234CBE">
            <w:pPr>
              <w:spacing w:line="276" w:lineRule="auto"/>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 </w:t>
            </w:r>
          </w:p>
        </w:tc>
        <w:tc>
          <w:tcPr>
            <w:tcW w:w="722" w:type="dxa"/>
            <w:tcBorders>
              <w:top w:val="nil"/>
              <w:left w:val="nil"/>
              <w:bottom w:val="single" w:sz="4" w:space="0" w:color="auto"/>
              <w:right w:val="single" w:sz="4" w:space="0" w:color="auto"/>
            </w:tcBorders>
            <w:shd w:val="clear" w:color="auto" w:fill="auto"/>
            <w:noWrap/>
            <w:vAlign w:val="bottom"/>
            <w:hideMark/>
          </w:tcPr>
          <w:p w14:paraId="3CAC7D83" w14:textId="77777777" w:rsidR="00766593" w:rsidRPr="00766593" w:rsidRDefault="00766593" w:rsidP="00234CBE">
            <w:pPr>
              <w:spacing w:line="276" w:lineRule="auto"/>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 </w:t>
            </w:r>
          </w:p>
        </w:tc>
        <w:tc>
          <w:tcPr>
            <w:tcW w:w="722" w:type="dxa"/>
            <w:tcBorders>
              <w:top w:val="nil"/>
              <w:left w:val="nil"/>
              <w:bottom w:val="single" w:sz="4" w:space="0" w:color="auto"/>
              <w:right w:val="single" w:sz="4" w:space="0" w:color="auto"/>
            </w:tcBorders>
            <w:shd w:val="clear" w:color="auto" w:fill="auto"/>
            <w:noWrap/>
            <w:vAlign w:val="bottom"/>
            <w:hideMark/>
          </w:tcPr>
          <w:p w14:paraId="4057E39B" w14:textId="77777777" w:rsidR="00766593" w:rsidRPr="00766593" w:rsidRDefault="00766593" w:rsidP="00234CBE">
            <w:pPr>
              <w:spacing w:line="276" w:lineRule="auto"/>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 </w:t>
            </w:r>
          </w:p>
        </w:tc>
        <w:tc>
          <w:tcPr>
            <w:tcW w:w="722" w:type="dxa"/>
            <w:tcBorders>
              <w:top w:val="nil"/>
              <w:left w:val="nil"/>
              <w:bottom w:val="single" w:sz="4" w:space="0" w:color="auto"/>
              <w:right w:val="single" w:sz="4" w:space="0" w:color="auto"/>
            </w:tcBorders>
            <w:shd w:val="clear" w:color="auto" w:fill="auto"/>
            <w:noWrap/>
            <w:vAlign w:val="bottom"/>
            <w:hideMark/>
          </w:tcPr>
          <w:p w14:paraId="06C3830F" w14:textId="77777777" w:rsidR="00766593" w:rsidRPr="00766593" w:rsidRDefault="00766593" w:rsidP="00234CBE">
            <w:pPr>
              <w:spacing w:line="276" w:lineRule="auto"/>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 </w:t>
            </w:r>
          </w:p>
        </w:tc>
        <w:tc>
          <w:tcPr>
            <w:tcW w:w="722" w:type="dxa"/>
            <w:tcBorders>
              <w:top w:val="nil"/>
              <w:left w:val="nil"/>
              <w:bottom w:val="single" w:sz="4" w:space="0" w:color="auto"/>
              <w:right w:val="single" w:sz="4" w:space="0" w:color="auto"/>
            </w:tcBorders>
            <w:shd w:val="clear" w:color="auto" w:fill="auto"/>
            <w:noWrap/>
            <w:vAlign w:val="bottom"/>
            <w:hideMark/>
          </w:tcPr>
          <w:p w14:paraId="15879072" w14:textId="77777777" w:rsidR="00766593" w:rsidRPr="00766593" w:rsidRDefault="00766593" w:rsidP="00234CBE">
            <w:pPr>
              <w:spacing w:line="276" w:lineRule="auto"/>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 </w:t>
            </w:r>
          </w:p>
        </w:tc>
        <w:tc>
          <w:tcPr>
            <w:tcW w:w="968" w:type="dxa"/>
            <w:tcBorders>
              <w:top w:val="nil"/>
              <w:left w:val="nil"/>
              <w:bottom w:val="single" w:sz="4" w:space="0" w:color="auto"/>
              <w:right w:val="single" w:sz="4" w:space="0" w:color="auto"/>
            </w:tcBorders>
            <w:shd w:val="clear" w:color="auto" w:fill="auto"/>
            <w:noWrap/>
            <w:vAlign w:val="bottom"/>
            <w:hideMark/>
          </w:tcPr>
          <w:p w14:paraId="0CBD2F86" w14:textId="77777777" w:rsidR="00766593" w:rsidRPr="00766593" w:rsidRDefault="00766593" w:rsidP="00234CBE">
            <w:pPr>
              <w:spacing w:line="276" w:lineRule="auto"/>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 </w:t>
            </w:r>
          </w:p>
        </w:tc>
        <w:tc>
          <w:tcPr>
            <w:tcW w:w="1367" w:type="dxa"/>
            <w:tcBorders>
              <w:top w:val="nil"/>
              <w:left w:val="nil"/>
              <w:bottom w:val="single" w:sz="4" w:space="0" w:color="auto"/>
              <w:right w:val="single" w:sz="4" w:space="0" w:color="auto"/>
            </w:tcBorders>
            <w:shd w:val="clear" w:color="auto" w:fill="auto"/>
            <w:noWrap/>
            <w:vAlign w:val="center"/>
            <w:hideMark/>
          </w:tcPr>
          <w:p w14:paraId="50D4CD71"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 </w:t>
            </w:r>
          </w:p>
        </w:tc>
      </w:tr>
      <w:tr w:rsidR="00766593" w:rsidRPr="00766593" w14:paraId="175A8359" w14:textId="77777777" w:rsidTr="00766593">
        <w:trPr>
          <w:trHeight w:val="214"/>
          <w:jc w:val="center"/>
        </w:trPr>
        <w:tc>
          <w:tcPr>
            <w:tcW w:w="2763" w:type="dxa"/>
            <w:tcBorders>
              <w:top w:val="nil"/>
              <w:left w:val="single" w:sz="4" w:space="0" w:color="auto"/>
              <w:bottom w:val="single" w:sz="4" w:space="0" w:color="auto"/>
              <w:right w:val="single" w:sz="4" w:space="0" w:color="auto"/>
            </w:tcBorders>
            <w:shd w:val="clear" w:color="auto" w:fill="auto"/>
            <w:noWrap/>
            <w:vAlign w:val="center"/>
            <w:hideMark/>
          </w:tcPr>
          <w:p w14:paraId="5BF76E46" w14:textId="77777777" w:rsidR="00766593" w:rsidRPr="00766593" w:rsidRDefault="00766593" w:rsidP="00234CBE">
            <w:pPr>
              <w:spacing w:line="276" w:lineRule="auto"/>
              <w:rPr>
                <w:rFonts w:ascii="Book Antiqua" w:hAnsi="Book Antiqua" w:cs="Calibri"/>
                <w:b/>
                <w:bCs/>
                <w:color w:val="000000"/>
                <w:sz w:val="16"/>
                <w:szCs w:val="16"/>
                <w:lang w:eastAsia="es-CR"/>
              </w:rPr>
            </w:pPr>
            <w:r w:rsidRPr="00766593">
              <w:rPr>
                <w:rFonts w:ascii="Book Antiqua" w:hAnsi="Book Antiqua" w:cs="Calibri"/>
                <w:b/>
                <w:bCs/>
                <w:color w:val="000000"/>
                <w:sz w:val="16"/>
                <w:szCs w:val="16"/>
                <w:lang w:eastAsia="es-CR"/>
              </w:rPr>
              <w:t>No Penal</w:t>
            </w:r>
          </w:p>
        </w:tc>
        <w:tc>
          <w:tcPr>
            <w:tcW w:w="723" w:type="dxa"/>
            <w:tcBorders>
              <w:top w:val="nil"/>
              <w:left w:val="nil"/>
              <w:bottom w:val="single" w:sz="4" w:space="0" w:color="auto"/>
              <w:right w:val="single" w:sz="4" w:space="0" w:color="auto"/>
            </w:tcBorders>
            <w:shd w:val="clear" w:color="auto" w:fill="auto"/>
            <w:noWrap/>
            <w:vAlign w:val="center"/>
            <w:hideMark/>
          </w:tcPr>
          <w:p w14:paraId="3E4E5DD4" w14:textId="77777777" w:rsidR="00766593" w:rsidRPr="00766593" w:rsidRDefault="00766593" w:rsidP="00234CBE">
            <w:pPr>
              <w:spacing w:line="276" w:lineRule="auto"/>
              <w:jc w:val="center"/>
              <w:rPr>
                <w:rFonts w:ascii="Book Antiqua" w:hAnsi="Book Antiqua" w:cs="Calibri"/>
                <w:b/>
                <w:bCs/>
                <w:color w:val="000000"/>
                <w:sz w:val="16"/>
                <w:szCs w:val="16"/>
                <w:u w:val="single"/>
                <w:lang w:eastAsia="es-CR"/>
              </w:rPr>
            </w:pPr>
            <w:r w:rsidRPr="00766593">
              <w:rPr>
                <w:rFonts w:ascii="Book Antiqua" w:hAnsi="Book Antiqua" w:cs="Calibri"/>
                <w:b/>
                <w:bCs/>
                <w:color w:val="000000"/>
                <w:sz w:val="16"/>
                <w:szCs w:val="16"/>
                <w:u w:val="single"/>
                <w:lang w:eastAsia="es-CR"/>
              </w:rPr>
              <w:t>421 632</w:t>
            </w:r>
          </w:p>
        </w:tc>
        <w:tc>
          <w:tcPr>
            <w:tcW w:w="757" w:type="dxa"/>
            <w:tcBorders>
              <w:top w:val="nil"/>
              <w:left w:val="nil"/>
              <w:bottom w:val="single" w:sz="4" w:space="0" w:color="auto"/>
              <w:right w:val="single" w:sz="4" w:space="0" w:color="auto"/>
            </w:tcBorders>
            <w:shd w:val="clear" w:color="auto" w:fill="auto"/>
            <w:noWrap/>
            <w:vAlign w:val="center"/>
            <w:hideMark/>
          </w:tcPr>
          <w:p w14:paraId="5F726528" w14:textId="77777777" w:rsidR="00766593" w:rsidRPr="00766593" w:rsidRDefault="00766593" w:rsidP="00234CBE">
            <w:pPr>
              <w:spacing w:line="276" w:lineRule="auto"/>
              <w:jc w:val="center"/>
              <w:rPr>
                <w:rFonts w:ascii="Book Antiqua" w:hAnsi="Book Antiqua" w:cs="Calibri"/>
                <w:b/>
                <w:bCs/>
                <w:color w:val="000000"/>
                <w:sz w:val="16"/>
                <w:szCs w:val="16"/>
                <w:u w:val="single"/>
                <w:lang w:eastAsia="es-CR"/>
              </w:rPr>
            </w:pPr>
            <w:r w:rsidRPr="00766593">
              <w:rPr>
                <w:rFonts w:ascii="Book Antiqua" w:hAnsi="Book Antiqua" w:cs="Calibri"/>
                <w:b/>
                <w:bCs/>
                <w:color w:val="000000"/>
                <w:sz w:val="16"/>
                <w:szCs w:val="16"/>
                <w:u w:val="single"/>
                <w:lang w:eastAsia="es-CR"/>
              </w:rPr>
              <w:t>421 122</w:t>
            </w:r>
          </w:p>
        </w:tc>
        <w:tc>
          <w:tcPr>
            <w:tcW w:w="722" w:type="dxa"/>
            <w:tcBorders>
              <w:top w:val="nil"/>
              <w:left w:val="nil"/>
              <w:bottom w:val="single" w:sz="4" w:space="0" w:color="auto"/>
              <w:right w:val="single" w:sz="4" w:space="0" w:color="auto"/>
            </w:tcBorders>
            <w:shd w:val="clear" w:color="auto" w:fill="auto"/>
            <w:noWrap/>
            <w:vAlign w:val="center"/>
            <w:hideMark/>
          </w:tcPr>
          <w:p w14:paraId="429F92E3" w14:textId="77777777" w:rsidR="00766593" w:rsidRPr="00766593" w:rsidRDefault="00766593" w:rsidP="00234CBE">
            <w:pPr>
              <w:spacing w:line="276" w:lineRule="auto"/>
              <w:jc w:val="center"/>
              <w:rPr>
                <w:rFonts w:ascii="Book Antiqua" w:hAnsi="Book Antiqua" w:cs="Calibri"/>
                <w:b/>
                <w:bCs/>
                <w:color w:val="000000"/>
                <w:sz w:val="16"/>
                <w:szCs w:val="16"/>
                <w:u w:val="single"/>
                <w:lang w:eastAsia="es-CR"/>
              </w:rPr>
            </w:pPr>
            <w:r w:rsidRPr="00766593">
              <w:rPr>
                <w:rFonts w:ascii="Book Antiqua" w:hAnsi="Book Antiqua" w:cs="Calibri"/>
                <w:b/>
                <w:bCs/>
                <w:color w:val="000000"/>
                <w:sz w:val="16"/>
                <w:szCs w:val="16"/>
                <w:u w:val="single"/>
                <w:lang w:eastAsia="es-CR"/>
              </w:rPr>
              <w:t>417 218</w:t>
            </w:r>
          </w:p>
        </w:tc>
        <w:tc>
          <w:tcPr>
            <w:tcW w:w="722" w:type="dxa"/>
            <w:tcBorders>
              <w:top w:val="nil"/>
              <w:left w:val="nil"/>
              <w:bottom w:val="single" w:sz="4" w:space="0" w:color="auto"/>
              <w:right w:val="single" w:sz="4" w:space="0" w:color="auto"/>
            </w:tcBorders>
            <w:shd w:val="clear" w:color="auto" w:fill="auto"/>
            <w:noWrap/>
            <w:vAlign w:val="center"/>
            <w:hideMark/>
          </w:tcPr>
          <w:p w14:paraId="7ED2E2C1" w14:textId="77777777" w:rsidR="00766593" w:rsidRPr="00766593" w:rsidRDefault="00766593" w:rsidP="00234CBE">
            <w:pPr>
              <w:spacing w:line="276" w:lineRule="auto"/>
              <w:jc w:val="center"/>
              <w:rPr>
                <w:rFonts w:ascii="Book Antiqua" w:hAnsi="Book Antiqua" w:cs="Calibri"/>
                <w:b/>
                <w:bCs/>
                <w:color w:val="000000"/>
                <w:sz w:val="16"/>
                <w:szCs w:val="16"/>
                <w:u w:val="single"/>
                <w:lang w:eastAsia="es-CR"/>
              </w:rPr>
            </w:pPr>
            <w:r w:rsidRPr="00766593">
              <w:rPr>
                <w:rFonts w:ascii="Book Antiqua" w:hAnsi="Book Antiqua" w:cs="Calibri"/>
                <w:b/>
                <w:bCs/>
                <w:color w:val="000000"/>
                <w:sz w:val="16"/>
                <w:szCs w:val="16"/>
                <w:u w:val="single"/>
                <w:lang w:eastAsia="es-CR"/>
              </w:rPr>
              <w:t>419 457</w:t>
            </w:r>
          </w:p>
        </w:tc>
        <w:tc>
          <w:tcPr>
            <w:tcW w:w="722" w:type="dxa"/>
            <w:tcBorders>
              <w:top w:val="nil"/>
              <w:left w:val="nil"/>
              <w:bottom w:val="single" w:sz="4" w:space="0" w:color="auto"/>
              <w:right w:val="single" w:sz="4" w:space="0" w:color="auto"/>
            </w:tcBorders>
            <w:shd w:val="clear" w:color="auto" w:fill="auto"/>
            <w:noWrap/>
            <w:vAlign w:val="center"/>
            <w:hideMark/>
          </w:tcPr>
          <w:p w14:paraId="7B521393" w14:textId="77777777" w:rsidR="00766593" w:rsidRPr="00766593" w:rsidRDefault="00766593" w:rsidP="00234CBE">
            <w:pPr>
              <w:spacing w:line="276" w:lineRule="auto"/>
              <w:jc w:val="center"/>
              <w:rPr>
                <w:rFonts w:ascii="Book Antiqua" w:hAnsi="Book Antiqua" w:cs="Calibri"/>
                <w:b/>
                <w:bCs/>
                <w:color w:val="000000"/>
                <w:sz w:val="16"/>
                <w:szCs w:val="16"/>
                <w:u w:val="single"/>
                <w:lang w:eastAsia="es-CR"/>
              </w:rPr>
            </w:pPr>
            <w:r w:rsidRPr="00766593">
              <w:rPr>
                <w:rFonts w:ascii="Book Antiqua" w:hAnsi="Book Antiqua" w:cs="Calibri"/>
                <w:b/>
                <w:bCs/>
                <w:color w:val="000000"/>
                <w:sz w:val="16"/>
                <w:szCs w:val="16"/>
                <w:u w:val="single"/>
                <w:lang w:eastAsia="es-CR"/>
              </w:rPr>
              <w:t>415 679</w:t>
            </w:r>
          </w:p>
        </w:tc>
        <w:tc>
          <w:tcPr>
            <w:tcW w:w="722" w:type="dxa"/>
            <w:tcBorders>
              <w:top w:val="nil"/>
              <w:left w:val="nil"/>
              <w:bottom w:val="single" w:sz="4" w:space="0" w:color="auto"/>
              <w:right w:val="single" w:sz="4" w:space="0" w:color="auto"/>
            </w:tcBorders>
            <w:shd w:val="clear" w:color="auto" w:fill="auto"/>
            <w:noWrap/>
            <w:vAlign w:val="center"/>
            <w:hideMark/>
          </w:tcPr>
          <w:p w14:paraId="16C5EC36" w14:textId="77777777" w:rsidR="00766593" w:rsidRPr="00766593" w:rsidRDefault="00766593" w:rsidP="00234CBE">
            <w:pPr>
              <w:spacing w:line="276" w:lineRule="auto"/>
              <w:jc w:val="center"/>
              <w:rPr>
                <w:rFonts w:ascii="Book Antiqua" w:hAnsi="Book Antiqua" w:cs="Calibri"/>
                <w:b/>
                <w:bCs/>
                <w:color w:val="000000"/>
                <w:sz w:val="16"/>
                <w:szCs w:val="16"/>
                <w:u w:val="single"/>
                <w:lang w:eastAsia="es-CR"/>
              </w:rPr>
            </w:pPr>
            <w:r w:rsidRPr="00766593">
              <w:rPr>
                <w:rFonts w:ascii="Book Antiqua" w:hAnsi="Book Antiqua" w:cs="Calibri"/>
                <w:b/>
                <w:bCs/>
                <w:color w:val="000000"/>
                <w:sz w:val="16"/>
                <w:szCs w:val="16"/>
                <w:u w:val="single"/>
                <w:lang w:eastAsia="es-CR"/>
              </w:rPr>
              <w:t>412 448</w:t>
            </w:r>
          </w:p>
        </w:tc>
        <w:tc>
          <w:tcPr>
            <w:tcW w:w="722" w:type="dxa"/>
            <w:tcBorders>
              <w:top w:val="nil"/>
              <w:left w:val="nil"/>
              <w:bottom w:val="single" w:sz="4" w:space="0" w:color="auto"/>
              <w:right w:val="single" w:sz="4" w:space="0" w:color="auto"/>
            </w:tcBorders>
            <w:shd w:val="clear" w:color="auto" w:fill="auto"/>
            <w:noWrap/>
            <w:vAlign w:val="center"/>
            <w:hideMark/>
          </w:tcPr>
          <w:p w14:paraId="42038632" w14:textId="77777777" w:rsidR="00766593" w:rsidRPr="00766593" w:rsidRDefault="00766593" w:rsidP="00234CBE">
            <w:pPr>
              <w:spacing w:line="276" w:lineRule="auto"/>
              <w:jc w:val="center"/>
              <w:rPr>
                <w:rFonts w:ascii="Book Antiqua" w:hAnsi="Book Antiqua" w:cs="Calibri"/>
                <w:b/>
                <w:bCs/>
                <w:color w:val="000000"/>
                <w:sz w:val="16"/>
                <w:szCs w:val="16"/>
                <w:u w:val="single"/>
                <w:lang w:eastAsia="es-CR"/>
              </w:rPr>
            </w:pPr>
            <w:r w:rsidRPr="00766593">
              <w:rPr>
                <w:rFonts w:ascii="Book Antiqua" w:hAnsi="Book Antiqua" w:cs="Calibri"/>
                <w:b/>
                <w:bCs/>
                <w:color w:val="000000"/>
                <w:sz w:val="16"/>
                <w:szCs w:val="16"/>
                <w:u w:val="single"/>
                <w:lang w:eastAsia="es-CR"/>
              </w:rPr>
              <w:t>411 462</w:t>
            </w:r>
          </w:p>
        </w:tc>
        <w:tc>
          <w:tcPr>
            <w:tcW w:w="722" w:type="dxa"/>
            <w:tcBorders>
              <w:top w:val="nil"/>
              <w:left w:val="nil"/>
              <w:bottom w:val="single" w:sz="4" w:space="0" w:color="auto"/>
              <w:right w:val="single" w:sz="4" w:space="0" w:color="auto"/>
            </w:tcBorders>
            <w:shd w:val="clear" w:color="auto" w:fill="auto"/>
            <w:noWrap/>
            <w:vAlign w:val="center"/>
            <w:hideMark/>
          </w:tcPr>
          <w:p w14:paraId="1C3FF6F2" w14:textId="77777777" w:rsidR="00766593" w:rsidRPr="00766593" w:rsidRDefault="00766593" w:rsidP="00234CBE">
            <w:pPr>
              <w:spacing w:line="276" w:lineRule="auto"/>
              <w:jc w:val="center"/>
              <w:rPr>
                <w:rFonts w:ascii="Book Antiqua" w:hAnsi="Book Antiqua" w:cs="Calibri"/>
                <w:b/>
                <w:bCs/>
                <w:color w:val="000000"/>
                <w:sz w:val="16"/>
                <w:szCs w:val="16"/>
                <w:u w:val="single"/>
                <w:lang w:eastAsia="es-CR"/>
              </w:rPr>
            </w:pPr>
            <w:r w:rsidRPr="00766593">
              <w:rPr>
                <w:rFonts w:ascii="Book Antiqua" w:hAnsi="Book Antiqua" w:cs="Calibri"/>
                <w:b/>
                <w:bCs/>
                <w:color w:val="000000"/>
                <w:sz w:val="16"/>
                <w:szCs w:val="16"/>
                <w:u w:val="single"/>
                <w:lang w:eastAsia="es-CR"/>
              </w:rPr>
              <w:t>415 500</w:t>
            </w:r>
          </w:p>
        </w:tc>
        <w:tc>
          <w:tcPr>
            <w:tcW w:w="968" w:type="dxa"/>
            <w:tcBorders>
              <w:top w:val="nil"/>
              <w:left w:val="nil"/>
              <w:bottom w:val="single" w:sz="4" w:space="0" w:color="auto"/>
              <w:right w:val="single" w:sz="4" w:space="0" w:color="auto"/>
            </w:tcBorders>
            <w:shd w:val="clear" w:color="auto" w:fill="auto"/>
            <w:noWrap/>
            <w:vAlign w:val="center"/>
            <w:hideMark/>
          </w:tcPr>
          <w:p w14:paraId="5CF16007" w14:textId="77777777" w:rsidR="00766593" w:rsidRPr="00766593" w:rsidRDefault="00766593" w:rsidP="00234CBE">
            <w:pPr>
              <w:spacing w:line="276" w:lineRule="auto"/>
              <w:jc w:val="center"/>
              <w:rPr>
                <w:rFonts w:ascii="Book Antiqua" w:hAnsi="Book Antiqua" w:cs="Calibri"/>
                <w:b/>
                <w:bCs/>
                <w:color w:val="000000"/>
                <w:sz w:val="16"/>
                <w:szCs w:val="16"/>
                <w:u w:val="single"/>
                <w:lang w:eastAsia="es-CR"/>
              </w:rPr>
            </w:pPr>
            <w:r w:rsidRPr="00766593">
              <w:rPr>
                <w:rFonts w:ascii="Book Antiqua" w:hAnsi="Book Antiqua" w:cs="Calibri"/>
                <w:b/>
                <w:bCs/>
                <w:color w:val="000000"/>
                <w:sz w:val="16"/>
                <w:szCs w:val="16"/>
                <w:u w:val="single"/>
                <w:lang w:eastAsia="es-CR"/>
              </w:rPr>
              <w:t>417 618</w:t>
            </w:r>
          </w:p>
        </w:tc>
        <w:tc>
          <w:tcPr>
            <w:tcW w:w="1367" w:type="dxa"/>
            <w:tcBorders>
              <w:top w:val="nil"/>
              <w:left w:val="nil"/>
              <w:bottom w:val="single" w:sz="4" w:space="0" w:color="auto"/>
              <w:right w:val="single" w:sz="4" w:space="0" w:color="auto"/>
            </w:tcBorders>
            <w:shd w:val="clear" w:color="auto" w:fill="auto"/>
            <w:noWrap/>
            <w:vAlign w:val="center"/>
            <w:hideMark/>
          </w:tcPr>
          <w:p w14:paraId="32FDDCA3" w14:textId="77777777" w:rsidR="00766593" w:rsidRPr="00766593" w:rsidRDefault="00766593" w:rsidP="00234CBE">
            <w:pPr>
              <w:spacing w:line="276" w:lineRule="auto"/>
              <w:jc w:val="center"/>
              <w:rPr>
                <w:rFonts w:ascii="Book Antiqua" w:hAnsi="Book Antiqua" w:cs="Calibri"/>
                <w:b/>
                <w:bCs/>
                <w:color w:val="000000"/>
                <w:sz w:val="16"/>
                <w:szCs w:val="16"/>
                <w:u w:val="single"/>
                <w:lang w:eastAsia="es-CR"/>
              </w:rPr>
            </w:pPr>
            <w:r w:rsidRPr="00766593">
              <w:rPr>
                <w:rFonts w:ascii="Book Antiqua" w:hAnsi="Book Antiqua" w:cs="Calibri"/>
                <w:b/>
                <w:bCs/>
                <w:color w:val="000000"/>
                <w:sz w:val="16"/>
                <w:szCs w:val="16"/>
                <w:u w:val="single"/>
                <w:lang w:eastAsia="es-CR"/>
              </w:rPr>
              <w:t>-0,95%</w:t>
            </w:r>
          </w:p>
        </w:tc>
      </w:tr>
      <w:tr w:rsidR="00766593" w:rsidRPr="00766593" w14:paraId="502F2E50" w14:textId="77777777" w:rsidTr="00766593">
        <w:trPr>
          <w:trHeight w:val="214"/>
          <w:jc w:val="center"/>
        </w:trPr>
        <w:tc>
          <w:tcPr>
            <w:tcW w:w="2763" w:type="dxa"/>
            <w:tcBorders>
              <w:top w:val="nil"/>
              <w:left w:val="single" w:sz="4" w:space="0" w:color="auto"/>
              <w:bottom w:val="single" w:sz="4" w:space="0" w:color="auto"/>
              <w:right w:val="single" w:sz="4" w:space="0" w:color="auto"/>
            </w:tcBorders>
            <w:shd w:val="clear" w:color="auto" w:fill="auto"/>
            <w:noWrap/>
            <w:vAlign w:val="center"/>
            <w:hideMark/>
          </w:tcPr>
          <w:p w14:paraId="066DB7BD" w14:textId="77777777" w:rsidR="00766593" w:rsidRPr="00766593" w:rsidRDefault="00766593" w:rsidP="00234CBE">
            <w:pPr>
              <w:spacing w:line="276" w:lineRule="auto"/>
              <w:jc w:val="right"/>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Civil</w:t>
            </w:r>
          </w:p>
        </w:tc>
        <w:tc>
          <w:tcPr>
            <w:tcW w:w="723" w:type="dxa"/>
            <w:tcBorders>
              <w:top w:val="nil"/>
              <w:left w:val="nil"/>
              <w:bottom w:val="single" w:sz="4" w:space="0" w:color="auto"/>
              <w:right w:val="single" w:sz="4" w:space="0" w:color="auto"/>
            </w:tcBorders>
            <w:shd w:val="clear" w:color="auto" w:fill="auto"/>
            <w:noWrap/>
            <w:vAlign w:val="center"/>
            <w:hideMark/>
          </w:tcPr>
          <w:p w14:paraId="3A2E8F4C"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51 925</w:t>
            </w:r>
          </w:p>
        </w:tc>
        <w:tc>
          <w:tcPr>
            <w:tcW w:w="757" w:type="dxa"/>
            <w:tcBorders>
              <w:top w:val="nil"/>
              <w:left w:val="nil"/>
              <w:bottom w:val="single" w:sz="4" w:space="0" w:color="auto"/>
              <w:right w:val="single" w:sz="4" w:space="0" w:color="auto"/>
            </w:tcBorders>
            <w:shd w:val="clear" w:color="auto" w:fill="auto"/>
            <w:noWrap/>
            <w:vAlign w:val="center"/>
            <w:hideMark/>
          </w:tcPr>
          <w:p w14:paraId="273C34F2"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51 747</w:t>
            </w:r>
          </w:p>
        </w:tc>
        <w:tc>
          <w:tcPr>
            <w:tcW w:w="722" w:type="dxa"/>
            <w:tcBorders>
              <w:top w:val="nil"/>
              <w:left w:val="nil"/>
              <w:bottom w:val="single" w:sz="4" w:space="0" w:color="auto"/>
              <w:right w:val="single" w:sz="4" w:space="0" w:color="auto"/>
            </w:tcBorders>
            <w:shd w:val="clear" w:color="auto" w:fill="auto"/>
            <w:noWrap/>
            <w:vAlign w:val="center"/>
            <w:hideMark/>
          </w:tcPr>
          <w:p w14:paraId="4BC7F5B0"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52 400</w:t>
            </w:r>
          </w:p>
        </w:tc>
        <w:tc>
          <w:tcPr>
            <w:tcW w:w="722" w:type="dxa"/>
            <w:tcBorders>
              <w:top w:val="nil"/>
              <w:left w:val="nil"/>
              <w:bottom w:val="single" w:sz="4" w:space="0" w:color="auto"/>
              <w:right w:val="single" w:sz="4" w:space="0" w:color="auto"/>
            </w:tcBorders>
            <w:shd w:val="clear" w:color="auto" w:fill="auto"/>
            <w:noWrap/>
            <w:vAlign w:val="center"/>
            <w:hideMark/>
          </w:tcPr>
          <w:p w14:paraId="51294F9B"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53 081</w:t>
            </w:r>
          </w:p>
        </w:tc>
        <w:tc>
          <w:tcPr>
            <w:tcW w:w="722" w:type="dxa"/>
            <w:tcBorders>
              <w:top w:val="nil"/>
              <w:left w:val="nil"/>
              <w:bottom w:val="single" w:sz="4" w:space="0" w:color="auto"/>
              <w:right w:val="single" w:sz="4" w:space="0" w:color="auto"/>
            </w:tcBorders>
            <w:shd w:val="clear" w:color="auto" w:fill="auto"/>
            <w:noWrap/>
            <w:vAlign w:val="center"/>
            <w:hideMark/>
          </w:tcPr>
          <w:p w14:paraId="38DFD203"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51 249</w:t>
            </w:r>
          </w:p>
        </w:tc>
        <w:tc>
          <w:tcPr>
            <w:tcW w:w="722" w:type="dxa"/>
            <w:tcBorders>
              <w:top w:val="nil"/>
              <w:left w:val="nil"/>
              <w:bottom w:val="single" w:sz="4" w:space="0" w:color="auto"/>
              <w:right w:val="single" w:sz="4" w:space="0" w:color="auto"/>
            </w:tcBorders>
            <w:shd w:val="clear" w:color="auto" w:fill="auto"/>
            <w:noWrap/>
            <w:vAlign w:val="center"/>
            <w:hideMark/>
          </w:tcPr>
          <w:p w14:paraId="7D889BB9"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47137</w:t>
            </w:r>
          </w:p>
        </w:tc>
        <w:tc>
          <w:tcPr>
            <w:tcW w:w="722" w:type="dxa"/>
            <w:tcBorders>
              <w:top w:val="nil"/>
              <w:left w:val="nil"/>
              <w:bottom w:val="single" w:sz="4" w:space="0" w:color="auto"/>
              <w:right w:val="single" w:sz="4" w:space="0" w:color="auto"/>
            </w:tcBorders>
            <w:shd w:val="clear" w:color="auto" w:fill="auto"/>
            <w:noWrap/>
            <w:vAlign w:val="center"/>
            <w:hideMark/>
          </w:tcPr>
          <w:p w14:paraId="7CCAF1DA"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46498</w:t>
            </w:r>
          </w:p>
        </w:tc>
        <w:tc>
          <w:tcPr>
            <w:tcW w:w="722" w:type="dxa"/>
            <w:tcBorders>
              <w:top w:val="nil"/>
              <w:left w:val="nil"/>
              <w:bottom w:val="single" w:sz="4" w:space="0" w:color="auto"/>
              <w:right w:val="single" w:sz="4" w:space="0" w:color="auto"/>
            </w:tcBorders>
            <w:shd w:val="clear" w:color="auto" w:fill="auto"/>
            <w:noWrap/>
            <w:vAlign w:val="center"/>
            <w:hideMark/>
          </w:tcPr>
          <w:p w14:paraId="10AD3CE6"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47 377</w:t>
            </w:r>
          </w:p>
        </w:tc>
        <w:tc>
          <w:tcPr>
            <w:tcW w:w="968" w:type="dxa"/>
            <w:tcBorders>
              <w:top w:val="nil"/>
              <w:left w:val="nil"/>
              <w:bottom w:val="single" w:sz="4" w:space="0" w:color="auto"/>
              <w:right w:val="single" w:sz="4" w:space="0" w:color="auto"/>
            </w:tcBorders>
            <w:shd w:val="clear" w:color="auto" w:fill="auto"/>
            <w:noWrap/>
            <w:vAlign w:val="center"/>
            <w:hideMark/>
          </w:tcPr>
          <w:p w14:paraId="6105EB0A"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47 987</w:t>
            </w:r>
          </w:p>
        </w:tc>
        <w:tc>
          <w:tcPr>
            <w:tcW w:w="1367" w:type="dxa"/>
            <w:tcBorders>
              <w:top w:val="nil"/>
              <w:left w:val="nil"/>
              <w:bottom w:val="single" w:sz="4" w:space="0" w:color="auto"/>
              <w:right w:val="single" w:sz="4" w:space="0" w:color="auto"/>
            </w:tcBorders>
            <w:shd w:val="clear" w:color="auto" w:fill="auto"/>
            <w:noWrap/>
            <w:vAlign w:val="center"/>
            <w:hideMark/>
          </w:tcPr>
          <w:p w14:paraId="3B16D445"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-7,58%</w:t>
            </w:r>
          </w:p>
        </w:tc>
      </w:tr>
      <w:tr w:rsidR="00766593" w:rsidRPr="00766593" w14:paraId="462A9216" w14:textId="77777777" w:rsidTr="00766593">
        <w:trPr>
          <w:trHeight w:val="214"/>
          <w:jc w:val="center"/>
        </w:trPr>
        <w:tc>
          <w:tcPr>
            <w:tcW w:w="2763" w:type="dxa"/>
            <w:tcBorders>
              <w:top w:val="nil"/>
              <w:left w:val="single" w:sz="4" w:space="0" w:color="auto"/>
              <w:bottom w:val="single" w:sz="4" w:space="0" w:color="auto"/>
              <w:right w:val="single" w:sz="4" w:space="0" w:color="auto"/>
            </w:tcBorders>
            <w:shd w:val="clear" w:color="auto" w:fill="auto"/>
            <w:noWrap/>
            <w:vAlign w:val="center"/>
            <w:hideMark/>
          </w:tcPr>
          <w:p w14:paraId="3D109931" w14:textId="77777777" w:rsidR="00766593" w:rsidRPr="00766593" w:rsidRDefault="00766593" w:rsidP="00234CBE">
            <w:pPr>
              <w:spacing w:line="276" w:lineRule="auto"/>
              <w:jc w:val="right"/>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Notarial</w:t>
            </w:r>
          </w:p>
        </w:tc>
        <w:tc>
          <w:tcPr>
            <w:tcW w:w="723" w:type="dxa"/>
            <w:tcBorders>
              <w:top w:val="nil"/>
              <w:left w:val="nil"/>
              <w:bottom w:val="single" w:sz="4" w:space="0" w:color="auto"/>
              <w:right w:val="single" w:sz="4" w:space="0" w:color="auto"/>
            </w:tcBorders>
            <w:shd w:val="clear" w:color="auto" w:fill="auto"/>
            <w:noWrap/>
            <w:vAlign w:val="center"/>
            <w:hideMark/>
          </w:tcPr>
          <w:p w14:paraId="40D1B661"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5122</w:t>
            </w:r>
          </w:p>
        </w:tc>
        <w:tc>
          <w:tcPr>
            <w:tcW w:w="757" w:type="dxa"/>
            <w:tcBorders>
              <w:top w:val="nil"/>
              <w:left w:val="nil"/>
              <w:bottom w:val="single" w:sz="4" w:space="0" w:color="auto"/>
              <w:right w:val="single" w:sz="4" w:space="0" w:color="auto"/>
            </w:tcBorders>
            <w:shd w:val="clear" w:color="auto" w:fill="auto"/>
            <w:noWrap/>
            <w:vAlign w:val="center"/>
            <w:hideMark/>
          </w:tcPr>
          <w:p w14:paraId="484E8F50"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5 111</w:t>
            </w:r>
          </w:p>
        </w:tc>
        <w:tc>
          <w:tcPr>
            <w:tcW w:w="722" w:type="dxa"/>
            <w:tcBorders>
              <w:top w:val="nil"/>
              <w:left w:val="nil"/>
              <w:bottom w:val="single" w:sz="4" w:space="0" w:color="auto"/>
              <w:right w:val="single" w:sz="4" w:space="0" w:color="auto"/>
            </w:tcBorders>
            <w:shd w:val="clear" w:color="auto" w:fill="auto"/>
            <w:noWrap/>
            <w:vAlign w:val="center"/>
            <w:hideMark/>
          </w:tcPr>
          <w:p w14:paraId="08DCD55F"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5 075</w:t>
            </w:r>
          </w:p>
        </w:tc>
        <w:tc>
          <w:tcPr>
            <w:tcW w:w="722" w:type="dxa"/>
            <w:tcBorders>
              <w:top w:val="nil"/>
              <w:left w:val="nil"/>
              <w:bottom w:val="single" w:sz="4" w:space="0" w:color="auto"/>
              <w:right w:val="single" w:sz="4" w:space="0" w:color="auto"/>
            </w:tcBorders>
            <w:shd w:val="clear" w:color="auto" w:fill="auto"/>
            <w:noWrap/>
            <w:vAlign w:val="center"/>
            <w:hideMark/>
          </w:tcPr>
          <w:p w14:paraId="1AF240CE"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5112</w:t>
            </w:r>
          </w:p>
        </w:tc>
        <w:tc>
          <w:tcPr>
            <w:tcW w:w="722" w:type="dxa"/>
            <w:tcBorders>
              <w:top w:val="nil"/>
              <w:left w:val="nil"/>
              <w:bottom w:val="single" w:sz="4" w:space="0" w:color="auto"/>
              <w:right w:val="single" w:sz="4" w:space="0" w:color="auto"/>
            </w:tcBorders>
            <w:shd w:val="clear" w:color="auto" w:fill="auto"/>
            <w:noWrap/>
            <w:vAlign w:val="center"/>
            <w:hideMark/>
          </w:tcPr>
          <w:p w14:paraId="5AACE784"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5121</w:t>
            </w:r>
          </w:p>
        </w:tc>
        <w:tc>
          <w:tcPr>
            <w:tcW w:w="722" w:type="dxa"/>
            <w:tcBorders>
              <w:top w:val="nil"/>
              <w:left w:val="nil"/>
              <w:bottom w:val="single" w:sz="4" w:space="0" w:color="auto"/>
              <w:right w:val="single" w:sz="4" w:space="0" w:color="auto"/>
            </w:tcBorders>
            <w:shd w:val="clear" w:color="auto" w:fill="auto"/>
            <w:noWrap/>
            <w:vAlign w:val="center"/>
            <w:hideMark/>
          </w:tcPr>
          <w:p w14:paraId="363A9423"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5101</w:t>
            </w:r>
          </w:p>
        </w:tc>
        <w:tc>
          <w:tcPr>
            <w:tcW w:w="722" w:type="dxa"/>
            <w:tcBorders>
              <w:top w:val="nil"/>
              <w:left w:val="nil"/>
              <w:bottom w:val="single" w:sz="4" w:space="0" w:color="auto"/>
              <w:right w:val="single" w:sz="4" w:space="0" w:color="auto"/>
            </w:tcBorders>
            <w:shd w:val="clear" w:color="auto" w:fill="auto"/>
            <w:noWrap/>
            <w:vAlign w:val="center"/>
            <w:hideMark/>
          </w:tcPr>
          <w:p w14:paraId="0051CCC0"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5082</w:t>
            </w:r>
          </w:p>
        </w:tc>
        <w:tc>
          <w:tcPr>
            <w:tcW w:w="722" w:type="dxa"/>
            <w:tcBorders>
              <w:top w:val="nil"/>
              <w:left w:val="nil"/>
              <w:bottom w:val="single" w:sz="4" w:space="0" w:color="auto"/>
              <w:right w:val="single" w:sz="4" w:space="0" w:color="auto"/>
            </w:tcBorders>
            <w:shd w:val="clear" w:color="auto" w:fill="auto"/>
            <w:noWrap/>
            <w:vAlign w:val="center"/>
            <w:hideMark/>
          </w:tcPr>
          <w:p w14:paraId="5D28808B"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5128</w:t>
            </w:r>
          </w:p>
        </w:tc>
        <w:tc>
          <w:tcPr>
            <w:tcW w:w="968" w:type="dxa"/>
            <w:tcBorders>
              <w:top w:val="nil"/>
              <w:left w:val="nil"/>
              <w:bottom w:val="single" w:sz="4" w:space="0" w:color="auto"/>
              <w:right w:val="single" w:sz="4" w:space="0" w:color="auto"/>
            </w:tcBorders>
            <w:shd w:val="clear" w:color="auto" w:fill="auto"/>
            <w:noWrap/>
            <w:vAlign w:val="center"/>
            <w:hideMark/>
          </w:tcPr>
          <w:p w14:paraId="75D8476F"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5210</w:t>
            </w:r>
          </w:p>
        </w:tc>
        <w:tc>
          <w:tcPr>
            <w:tcW w:w="1367" w:type="dxa"/>
            <w:tcBorders>
              <w:top w:val="nil"/>
              <w:left w:val="nil"/>
              <w:bottom w:val="single" w:sz="4" w:space="0" w:color="auto"/>
              <w:right w:val="single" w:sz="4" w:space="0" w:color="auto"/>
            </w:tcBorders>
            <w:shd w:val="clear" w:color="auto" w:fill="auto"/>
            <w:noWrap/>
            <w:vAlign w:val="center"/>
            <w:hideMark/>
          </w:tcPr>
          <w:p w14:paraId="05396DFB"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1,72%</w:t>
            </w:r>
          </w:p>
        </w:tc>
      </w:tr>
      <w:tr w:rsidR="00766593" w:rsidRPr="00766593" w14:paraId="2CE98DEB" w14:textId="77777777" w:rsidTr="00766593">
        <w:trPr>
          <w:trHeight w:val="214"/>
          <w:jc w:val="center"/>
        </w:trPr>
        <w:tc>
          <w:tcPr>
            <w:tcW w:w="2763" w:type="dxa"/>
            <w:tcBorders>
              <w:top w:val="nil"/>
              <w:left w:val="single" w:sz="4" w:space="0" w:color="auto"/>
              <w:bottom w:val="single" w:sz="4" w:space="0" w:color="auto"/>
              <w:right w:val="single" w:sz="4" w:space="0" w:color="auto"/>
            </w:tcBorders>
            <w:shd w:val="clear" w:color="auto" w:fill="auto"/>
            <w:noWrap/>
            <w:vAlign w:val="center"/>
            <w:hideMark/>
          </w:tcPr>
          <w:p w14:paraId="6A332258" w14:textId="77777777" w:rsidR="00766593" w:rsidRPr="00766593" w:rsidRDefault="00766593" w:rsidP="00234CBE">
            <w:pPr>
              <w:spacing w:line="276" w:lineRule="auto"/>
              <w:jc w:val="right"/>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Contencioso Administrativo</w:t>
            </w:r>
          </w:p>
        </w:tc>
        <w:tc>
          <w:tcPr>
            <w:tcW w:w="723" w:type="dxa"/>
            <w:tcBorders>
              <w:top w:val="nil"/>
              <w:left w:val="nil"/>
              <w:bottom w:val="single" w:sz="4" w:space="0" w:color="auto"/>
              <w:right w:val="single" w:sz="4" w:space="0" w:color="auto"/>
            </w:tcBorders>
            <w:shd w:val="clear" w:color="auto" w:fill="auto"/>
            <w:noWrap/>
            <w:vAlign w:val="center"/>
            <w:hideMark/>
          </w:tcPr>
          <w:p w14:paraId="46B96754"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14070</w:t>
            </w:r>
          </w:p>
        </w:tc>
        <w:tc>
          <w:tcPr>
            <w:tcW w:w="757" w:type="dxa"/>
            <w:tcBorders>
              <w:top w:val="nil"/>
              <w:left w:val="nil"/>
              <w:bottom w:val="single" w:sz="4" w:space="0" w:color="auto"/>
              <w:right w:val="single" w:sz="4" w:space="0" w:color="auto"/>
            </w:tcBorders>
            <w:shd w:val="clear" w:color="auto" w:fill="auto"/>
            <w:noWrap/>
            <w:vAlign w:val="center"/>
            <w:hideMark/>
          </w:tcPr>
          <w:p w14:paraId="51BDE7CB"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13907</w:t>
            </w:r>
          </w:p>
        </w:tc>
        <w:tc>
          <w:tcPr>
            <w:tcW w:w="722" w:type="dxa"/>
            <w:tcBorders>
              <w:top w:val="nil"/>
              <w:left w:val="nil"/>
              <w:bottom w:val="single" w:sz="4" w:space="0" w:color="auto"/>
              <w:right w:val="single" w:sz="4" w:space="0" w:color="auto"/>
            </w:tcBorders>
            <w:shd w:val="clear" w:color="auto" w:fill="auto"/>
            <w:noWrap/>
            <w:vAlign w:val="center"/>
            <w:hideMark/>
          </w:tcPr>
          <w:p w14:paraId="7D722E42"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13873</w:t>
            </w:r>
          </w:p>
        </w:tc>
        <w:tc>
          <w:tcPr>
            <w:tcW w:w="722" w:type="dxa"/>
            <w:tcBorders>
              <w:top w:val="nil"/>
              <w:left w:val="nil"/>
              <w:bottom w:val="single" w:sz="4" w:space="0" w:color="auto"/>
              <w:right w:val="single" w:sz="4" w:space="0" w:color="auto"/>
            </w:tcBorders>
            <w:shd w:val="clear" w:color="auto" w:fill="auto"/>
            <w:noWrap/>
            <w:vAlign w:val="center"/>
            <w:hideMark/>
          </w:tcPr>
          <w:p w14:paraId="2065A02D"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14407</w:t>
            </w:r>
          </w:p>
        </w:tc>
        <w:tc>
          <w:tcPr>
            <w:tcW w:w="722" w:type="dxa"/>
            <w:tcBorders>
              <w:top w:val="nil"/>
              <w:left w:val="nil"/>
              <w:bottom w:val="single" w:sz="4" w:space="0" w:color="auto"/>
              <w:right w:val="single" w:sz="4" w:space="0" w:color="auto"/>
            </w:tcBorders>
            <w:shd w:val="clear" w:color="auto" w:fill="auto"/>
            <w:noWrap/>
            <w:vAlign w:val="center"/>
            <w:hideMark/>
          </w:tcPr>
          <w:p w14:paraId="75BE9E1C"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14585</w:t>
            </w:r>
          </w:p>
        </w:tc>
        <w:tc>
          <w:tcPr>
            <w:tcW w:w="722" w:type="dxa"/>
            <w:tcBorders>
              <w:top w:val="nil"/>
              <w:left w:val="nil"/>
              <w:bottom w:val="single" w:sz="4" w:space="0" w:color="auto"/>
              <w:right w:val="single" w:sz="4" w:space="0" w:color="auto"/>
            </w:tcBorders>
            <w:shd w:val="clear" w:color="auto" w:fill="auto"/>
            <w:noWrap/>
            <w:vAlign w:val="center"/>
            <w:hideMark/>
          </w:tcPr>
          <w:p w14:paraId="2CC4881E"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15188</w:t>
            </w:r>
          </w:p>
        </w:tc>
        <w:tc>
          <w:tcPr>
            <w:tcW w:w="722" w:type="dxa"/>
            <w:tcBorders>
              <w:top w:val="nil"/>
              <w:left w:val="nil"/>
              <w:bottom w:val="single" w:sz="4" w:space="0" w:color="auto"/>
              <w:right w:val="single" w:sz="4" w:space="0" w:color="auto"/>
            </w:tcBorders>
            <w:shd w:val="clear" w:color="auto" w:fill="auto"/>
            <w:noWrap/>
            <w:vAlign w:val="center"/>
            <w:hideMark/>
          </w:tcPr>
          <w:p w14:paraId="0AA6A8C4"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15340</w:t>
            </w:r>
          </w:p>
        </w:tc>
        <w:tc>
          <w:tcPr>
            <w:tcW w:w="722" w:type="dxa"/>
            <w:tcBorders>
              <w:top w:val="nil"/>
              <w:left w:val="nil"/>
              <w:bottom w:val="single" w:sz="4" w:space="0" w:color="auto"/>
              <w:right w:val="single" w:sz="4" w:space="0" w:color="auto"/>
            </w:tcBorders>
            <w:shd w:val="clear" w:color="auto" w:fill="auto"/>
            <w:noWrap/>
            <w:vAlign w:val="center"/>
            <w:hideMark/>
          </w:tcPr>
          <w:p w14:paraId="36A50DB8"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15913</w:t>
            </w:r>
          </w:p>
        </w:tc>
        <w:tc>
          <w:tcPr>
            <w:tcW w:w="968" w:type="dxa"/>
            <w:tcBorders>
              <w:top w:val="nil"/>
              <w:left w:val="nil"/>
              <w:bottom w:val="single" w:sz="4" w:space="0" w:color="auto"/>
              <w:right w:val="single" w:sz="4" w:space="0" w:color="auto"/>
            </w:tcBorders>
            <w:shd w:val="clear" w:color="auto" w:fill="auto"/>
            <w:noWrap/>
            <w:vAlign w:val="center"/>
            <w:hideMark/>
          </w:tcPr>
          <w:p w14:paraId="750C0D41"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16323</w:t>
            </w:r>
          </w:p>
        </w:tc>
        <w:tc>
          <w:tcPr>
            <w:tcW w:w="1367" w:type="dxa"/>
            <w:tcBorders>
              <w:top w:val="nil"/>
              <w:left w:val="nil"/>
              <w:bottom w:val="single" w:sz="4" w:space="0" w:color="auto"/>
              <w:right w:val="single" w:sz="4" w:space="0" w:color="auto"/>
            </w:tcBorders>
            <w:shd w:val="clear" w:color="auto" w:fill="auto"/>
            <w:noWrap/>
            <w:vAlign w:val="center"/>
            <w:hideMark/>
          </w:tcPr>
          <w:p w14:paraId="6A656667"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16,01%</w:t>
            </w:r>
          </w:p>
        </w:tc>
      </w:tr>
      <w:tr w:rsidR="00766593" w:rsidRPr="00766593" w14:paraId="6382669F" w14:textId="77777777" w:rsidTr="00766593">
        <w:trPr>
          <w:trHeight w:val="214"/>
          <w:jc w:val="center"/>
        </w:trPr>
        <w:tc>
          <w:tcPr>
            <w:tcW w:w="2763" w:type="dxa"/>
            <w:tcBorders>
              <w:top w:val="nil"/>
              <w:left w:val="single" w:sz="4" w:space="0" w:color="auto"/>
              <w:bottom w:val="single" w:sz="4" w:space="0" w:color="auto"/>
              <w:right w:val="single" w:sz="4" w:space="0" w:color="auto"/>
            </w:tcBorders>
            <w:shd w:val="clear" w:color="auto" w:fill="auto"/>
            <w:noWrap/>
            <w:vAlign w:val="center"/>
            <w:hideMark/>
          </w:tcPr>
          <w:p w14:paraId="16F63947" w14:textId="77777777" w:rsidR="00766593" w:rsidRPr="00766593" w:rsidRDefault="00766593" w:rsidP="00234CBE">
            <w:pPr>
              <w:spacing w:line="276" w:lineRule="auto"/>
              <w:jc w:val="right"/>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Violencia Doméstica</w:t>
            </w:r>
          </w:p>
        </w:tc>
        <w:tc>
          <w:tcPr>
            <w:tcW w:w="723" w:type="dxa"/>
            <w:tcBorders>
              <w:top w:val="nil"/>
              <w:left w:val="nil"/>
              <w:bottom w:val="single" w:sz="4" w:space="0" w:color="auto"/>
              <w:right w:val="single" w:sz="4" w:space="0" w:color="auto"/>
            </w:tcBorders>
            <w:shd w:val="clear" w:color="auto" w:fill="auto"/>
            <w:noWrap/>
            <w:vAlign w:val="center"/>
            <w:hideMark/>
          </w:tcPr>
          <w:p w14:paraId="7F002883"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44 039</w:t>
            </w:r>
          </w:p>
        </w:tc>
        <w:tc>
          <w:tcPr>
            <w:tcW w:w="757" w:type="dxa"/>
            <w:tcBorders>
              <w:top w:val="nil"/>
              <w:left w:val="nil"/>
              <w:bottom w:val="single" w:sz="4" w:space="0" w:color="auto"/>
              <w:right w:val="single" w:sz="4" w:space="0" w:color="auto"/>
            </w:tcBorders>
            <w:shd w:val="clear" w:color="auto" w:fill="auto"/>
            <w:noWrap/>
            <w:vAlign w:val="center"/>
            <w:hideMark/>
          </w:tcPr>
          <w:p w14:paraId="441F33FC"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43 854</w:t>
            </w:r>
          </w:p>
        </w:tc>
        <w:tc>
          <w:tcPr>
            <w:tcW w:w="722" w:type="dxa"/>
            <w:tcBorders>
              <w:top w:val="nil"/>
              <w:left w:val="nil"/>
              <w:bottom w:val="single" w:sz="4" w:space="0" w:color="auto"/>
              <w:right w:val="single" w:sz="4" w:space="0" w:color="auto"/>
            </w:tcBorders>
            <w:shd w:val="clear" w:color="auto" w:fill="auto"/>
            <w:noWrap/>
            <w:vAlign w:val="center"/>
            <w:hideMark/>
          </w:tcPr>
          <w:p w14:paraId="7C1A10E7"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43 130</w:t>
            </w:r>
          </w:p>
        </w:tc>
        <w:tc>
          <w:tcPr>
            <w:tcW w:w="722" w:type="dxa"/>
            <w:tcBorders>
              <w:top w:val="nil"/>
              <w:left w:val="nil"/>
              <w:bottom w:val="single" w:sz="4" w:space="0" w:color="auto"/>
              <w:right w:val="single" w:sz="4" w:space="0" w:color="auto"/>
            </w:tcBorders>
            <w:shd w:val="clear" w:color="auto" w:fill="auto"/>
            <w:noWrap/>
            <w:vAlign w:val="center"/>
            <w:hideMark/>
          </w:tcPr>
          <w:p w14:paraId="0F075D44"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43 070</w:t>
            </w:r>
          </w:p>
        </w:tc>
        <w:tc>
          <w:tcPr>
            <w:tcW w:w="722" w:type="dxa"/>
            <w:tcBorders>
              <w:top w:val="nil"/>
              <w:left w:val="nil"/>
              <w:bottom w:val="single" w:sz="4" w:space="0" w:color="auto"/>
              <w:right w:val="single" w:sz="4" w:space="0" w:color="auto"/>
            </w:tcBorders>
            <w:shd w:val="clear" w:color="auto" w:fill="auto"/>
            <w:noWrap/>
            <w:vAlign w:val="center"/>
            <w:hideMark/>
          </w:tcPr>
          <w:p w14:paraId="2891AA2F"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41 292</w:t>
            </w:r>
          </w:p>
        </w:tc>
        <w:tc>
          <w:tcPr>
            <w:tcW w:w="722" w:type="dxa"/>
            <w:tcBorders>
              <w:top w:val="nil"/>
              <w:left w:val="nil"/>
              <w:bottom w:val="single" w:sz="4" w:space="0" w:color="auto"/>
              <w:right w:val="single" w:sz="4" w:space="0" w:color="auto"/>
            </w:tcBorders>
            <w:shd w:val="clear" w:color="auto" w:fill="auto"/>
            <w:noWrap/>
            <w:vAlign w:val="center"/>
            <w:hideMark/>
          </w:tcPr>
          <w:p w14:paraId="773A948E"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41083</w:t>
            </w:r>
          </w:p>
        </w:tc>
        <w:tc>
          <w:tcPr>
            <w:tcW w:w="722" w:type="dxa"/>
            <w:tcBorders>
              <w:top w:val="nil"/>
              <w:left w:val="nil"/>
              <w:bottom w:val="single" w:sz="4" w:space="0" w:color="auto"/>
              <w:right w:val="single" w:sz="4" w:space="0" w:color="auto"/>
            </w:tcBorders>
            <w:shd w:val="clear" w:color="auto" w:fill="auto"/>
            <w:noWrap/>
            <w:vAlign w:val="center"/>
            <w:hideMark/>
          </w:tcPr>
          <w:p w14:paraId="1D61F05E"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41285</w:t>
            </w:r>
          </w:p>
        </w:tc>
        <w:tc>
          <w:tcPr>
            <w:tcW w:w="722" w:type="dxa"/>
            <w:tcBorders>
              <w:top w:val="nil"/>
              <w:left w:val="nil"/>
              <w:bottom w:val="single" w:sz="4" w:space="0" w:color="auto"/>
              <w:right w:val="single" w:sz="4" w:space="0" w:color="auto"/>
            </w:tcBorders>
            <w:shd w:val="clear" w:color="auto" w:fill="auto"/>
            <w:noWrap/>
            <w:vAlign w:val="center"/>
            <w:hideMark/>
          </w:tcPr>
          <w:p w14:paraId="514F0576"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41 686</w:t>
            </w:r>
          </w:p>
        </w:tc>
        <w:tc>
          <w:tcPr>
            <w:tcW w:w="968" w:type="dxa"/>
            <w:tcBorders>
              <w:top w:val="nil"/>
              <w:left w:val="nil"/>
              <w:bottom w:val="single" w:sz="4" w:space="0" w:color="auto"/>
              <w:right w:val="single" w:sz="4" w:space="0" w:color="auto"/>
            </w:tcBorders>
            <w:shd w:val="clear" w:color="auto" w:fill="auto"/>
            <w:noWrap/>
            <w:vAlign w:val="center"/>
            <w:hideMark/>
          </w:tcPr>
          <w:p w14:paraId="5F916C5D"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41 431</w:t>
            </w:r>
          </w:p>
        </w:tc>
        <w:tc>
          <w:tcPr>
            <w:tcW w:w="1367" w:type="dxa"/>
            <w:tcBorders>
              <w:top w:val="nil"/>
              <w:left w:val="nil"/>
              <w:bottom w:val="single" w:sz="4" w:space="0" w:color="auto"/>
              <w:right w:val="single" w:sz="4" w:space="0" w:color="auto"/>
            </w:tcBorders>
            <w:shd w:val="clear" w:color="auto" w:fill="auto"/>
            <w:noWrap/>
            <w:vAlign w:val="center"/>
            <w:hideMark/>
          </w:tcPr>
          <w:p w14:paraId="68F70639"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-5,92%</w:t>
            </w:r>
          </w:p>
        </w:tc>
      </w:tr>
      <w:tr w:rsidR="00766593" w:rsidRPr="00766593" w14:paraId="549FEB51" w14:textId="77777777" w:rsidTr="00766593">
        <w:trPr>
          <w:trHeight w:val="214"/>
          <w:jc w:val="center"/>
        </w:trPr>
        <w:tc>
          <w:tcPr>
            <w:tcW w:w="2763" w:type="dxa"/>
            <w:tcBorders>
              <w:top w:val="nil"/>
              <w:left w:val="single" w:sz="4" w:space="0" w:color="auto"/>
              <w:bottom w:val="single" w:sz="4" w:space="0" w:color="auto"/>
              <w:right w:val="single" w:sz="4" w:space="0" w:color="auto"/>
            </w:tcBorders>
            <w:shd w:val="clear" w:color="auto" w:fill="auto"/>
            <w:noWrap/>
            <w:vAlign w:val="center"/>
            <w:hideMark/>
          </w:tcPr>
          <w:p w14:paraId="1CA7D95A" w14:textId="77777777" w:rsidR="00766593" w:rsidRPr="00766593" w:rsidRDefault="00766593" w:rsidP="00234CBE">
            <w:pPr>
              <w:spacing w:line="276" w:lineRule="auto"/>
              <w:jc w:val="right"/>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 xml:space="preserve">Pensiones Alimentarias </w:t>
            </w:r>
          </w:p>
        </w:tc>
        <w:tc>
          <w:tcPr>
            <w:tcW w:w="723" w:type="dxa"/>
            <w:tcBorders>
              <w:top w:val="nil"/>
              <w:left w:val="nil"/>
              <w:bottom w:val="single" w:sz="4" w:space="0" w:color="auto"/>
              <w:right w:val="single" w:sz="4" w:space="0" w:color="auto"/>
            </w:tcBorders>
            <w:shd w:val="clear" w:color="auto" w:fill="auto"/>
            <w:noWrap/>
            <w:vAlign w:val="center"/>
            <w:hideMark/>
          </w:tcPr>
          <w:p w14:paraId="6E4A0146"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181295</w:t>
            </w:r>
          </w:p>
        </w:tc>
        <w:tc>
          <w:tcPr>
            <w:tcW w:w="757" w:type="dxa"/>
            <w:tcBorders>
              <w:top w:val="nil"/>
              <w:left w:val="nil"/>
              <w:bottom w:val="single" w:sz="4" w:space="0" w:color="auto"/>
              <w:right w:val="single" w:sz="4" w:space="0" w:color="auto"/>
            </w:tcBorders>
            <w:shd w:val="clear" w:color="auto" w:fill="auto"/>
            <w:noWrap/>
            <w:vAlign w:val="center"/>
            <w:hideMark/>
          </w:tcPr>
          <w:p w14:paraId="281FC162"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180960</w:t>
            </w:r>
          </w:p>
        </w:tc>
        <w:tc>
          <w:tcPr>
            <w:tcW w:w="722" w:type="dxa"/>
            <w:tcBorders>
              <w:top w:val="nil"/>
              <w:left w:val="nil"/>
              <w:bottom w:val="single" w:sz="4" w:space="0" w:color="auto"/>
              <w:right w:val="single" w:sz="4" w:space="0" w:color="auto"/>
            </w:tcBorders>
            <w:shd w:val="clear" w:color="auto" w:fill="auto"/>
            <w:noWrap/>
            <w:vAlign w:val="center"/>
            <w:hideMark/>
          </w:tcPr>
          <w:p w14:paraId="654A9641"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177240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732AA7"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179172</w:t>
            </w:r>
          </w:p>
        </w:tc>
        <w:tc>
          <w:tcPr>
            <w:tcW w:w="722" w:type="dxa"/>
            <w:tcBorders>
              <w:top w:val="nil"/>
              <w:left w:val="nil"/>
              <w:bottom w:val="single" w:sz="4" w:space="0" w:color="auto"/>
              <w:right w:val="single" w:sz="4" w:space="0" w:color="auto"/>
            </w:tcBorders>
            <w:shd w:val="clear" w:color="auto" w:fill="auto"/>
            <w:noWrap/>
            <w:vAlign w:val="center"/>
            <w:hideMark/>
          </w:tcPr>
          <w:p w14:paraId="52385036"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180730</w:t>
            </w:r>
          </w:p>
        </w:tc>
        <w:tc>
          <w:tcPr>
            <w:tcW w:w="722" w:type="dxa"/>
            <w:tcBorders>
              <w:top w:val="nil"/>
              <w:left w:val="nil"/>
              <w:bottom w:val="single" w:sz="4" w:space="0" w:color="auto"/>
              <w:right w:val="single" w:sz="4" w:space="0" w:color="auto"/>
            </w:tcBorders>
            <w:shd w:val="clear" w:color="auto" w:fill="auto"/>
            <w:noWrap/>
            <w:vAlign w:val="center"/>
            <w:hideMark/>
          </w:tcPr>
          <w:p w14:paraId="556A1815"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182103</w:t>
            </w:r>
          </w:p>
        </w:tc>
        <w:tc>
          <w:tcPr>
            <w:tcW w:w="722" w:type="dxa"/>
            <w:tcBorders>
              <w:top w:val="nil"/>
              <w:left w:val="nil"/>
              <w:bottom w:val="single" w:sz="4" w:space="0" w:color="auto"/>
              <w:right w:val="single" w:sz="4" w:space="0" w:color="auto"/>
            </w:tcBorders>
            <w:shd w:val="clear" w:color="auto" w:fill="auto"/>
            <w:noWrap/>
            <w:vAlign w:val="center"/>
            <w:hideMark/>
          </w:tcPr>
          <w:p w14:paraId="622AD01E"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183025</w:t>
            </w:r>
          </w:p>
        </w:tc>
        <w:tc>
          <w:tcPr>
            <w:tcW w:w="722" w:type="dxa"/>
            <w:tcBorders>
              <w:top w:val="nil"/>
              <w:left w:val="nil"/>
              <w:bottom w:val="single" w:sz="4" w:space="0" w:color="auto"/>
              <w:right w:val="single" w:sz="4" w:space="0" w:color="auto"/>
            </w:tcBorders>
            <w:shd w:val="clear" w:color="auto" w:fill="auto"/>
            <w:noWrap/>
            <w:vAlign w:val="center"/>
            <w:hideMark/>
          </w:tcPr>
          <w:p w14:paraId="1F7EFDB8"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185448</w:t>
            </w:r>
          </w:p>
        </w:tc>
        <w:tc>
          <w:tcPr>
            <w:tcW w:w="968" w:type="dxa"/>
            <w:tcBorders>
              <w:top w:val="nil"/>
              <w:left w:val="nil"/>
              <w:bottom w:val="single" w:sz="4" w:space="0" w:color="auto"/>
              <w:right w:val="single" w:sz="4" w:space="0" w:color="auto"/>
            </w:tcBorders>
            <w:shd w:val="clear" w:color="auto" w:fill="auto"/>
            <w:noWrap/>
            <w:vAlign w:val="center"/>
            <w:hideMark/>
          </w:tcPr>
          <w:p w14:paraId="65D8481E"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187114</w:t>
            </w:r>
          </w:p>
        </w:tc>
        <w:tc>
          <w:tcPr>
            <w:tcW w:w="1367" w:type="dxa"/>
            <w:tcBorders>
              <w:top w:val="nil"/>
              <w:left w:val="nil"/>
              <w:bottom w:val="single" w:sz="4" w:space="0" w:color="auto"/>
              <w:right w:val="single" w:sz="4" w:space="0" w:color="auto"/>
            </w:tcBorders>
            <w:shd w:val="clear" w:color="auto" w:fill="auto"/>
            <w:noWrap/>
            <w:vAlign w:val="center"/>
            <w:hideMark/>
          </w:tcPr>
          <w:p w14:paraId="3553A3A8"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3,21%</w:t>
            </w:r>
          </w:p>
        </w:tc>
      </w:tr>
      <w:tr w:rsidR="00766593" w:rsidRPr="00766593" w14:paraId="553C6280" w14:textId="77777777" w:rsidTr="00766593">
        <w:trPr>
          <w:trHeight w:val="214"/>
          <w:jc w:val="center"/>
        </w:trPr>
        <w:tc>
          <w:tcPr>
            <w:tcW w:w="2763" w:type="dxa"/>
            <w:tcBorders>
              <w:top w:val="nil"/>
              <w:left w:val="single" w:sz="4" w:space="0" w:color="auto"/>
              <w:bottom w:val="single" w:sz="4" w:space="0" w:color="auto"/>
              <w:right w:val="single" w:sz="4" w:space="0" w:color="auto"/>
            </w:tcBorders>
            <w:shd w:val="clear" w:color="auto" w:fill="auto"/>
            <w:noWrap/>
            <w:vAlign w:val="center"/>
            <w:hideMark/>
          </w:tcPr>
          <w:p w14:paraId="161365C9" w14:textId="77777777" w:rsidR="00766593" w:rsidRPr="00766593" w:rsidRDefault="00766593" w:rsidP="00234CBE">
            <w:pPr>
              <w:spacing w:line="276" w:lineRule="auto"/>
              <w:jc w:val="right"/>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Familia</w:t>
            </w:r>
          </w:p>
        </w:tc>
        <w:tc>
          <w:tcPr>
            <w:tcW w:w="723" w:type="dxa"/>
            <w:tcBorders>
              <w:top w:val="nil"/>
              <w:left w:val="nil"/>
              <w:bottom w:val="single" w:sz="4" w:space="0" w:color="auto"/>
              <w:right w:val="single" w:sz="4" w:space="0" w:color="auto"/>
            </w:tcBorders>
            <w:shd w:val="clear" w:color="auto" w:fill="auto"/>
            <w:noWrap/>
            <w:vAlign w:val="center"/>
            <w:hideMark/>
          </w:tcPr>
          <w:p w14:paraId="01347DF4"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21255</w:t>
            </w:r>
          </w:p>
        </w:tc>
        <w:tc>
          <w:tcPr>
            <w:tcW w:w="757" w:type="dxa"/>
            <w:tcBorders>
              <w:top w:val="nil"/>
              <w:left w:val="nil"/>
              <w:bottom w:val="single" w:sz="4" w:space="0" w:color="auto"/>
              <w:right w:val="single" w:sz="4" w:space="0" w:color="auto"/>
            </w:tcBorders>
            <w:shd w:val="clear" w:color="auto" w:fill="auto"/>
            <w:noWrap/>
            <w:vAlign w:val="center"/>
            <w:hideMark/>
          </w:tcPr>
          <w:p w14:paraId="55D0BA61"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21521</w:t>
            </w:r>
          </w:p>
        </w:tc>
        <w:tc>
          <w:tcPr>
            <w:tcW w:w="722" w:type="dxa"/>
            <w:tcBorders>
              <w:top w:val="nil"/>
              <w:left w:val="nil"/>
              <w:bottom w:val="single" w:sz="4" w:space="0" w:color="auto"/>
              <w:right w:val="single" w:sz="4" w:space="0" w:color="auto"/>
            </w:tcBorders>
            <w:shd w:val="clear" w:color="auto" w:fill="auto"/>
            <w:noWrap/>
            <w:vAlign w:val="center"/>
            <w:hideMark/>
          </w:tcPr>
          <w:p w14:paraId="438AF2AE"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21395</w:t>
            </w:r>
          </w:p>
        </w:tc>
        <w:tc>
          <w:tcPr>
            <w:tcW w:w="722" w:type="dxa"/>
            <w:tcBorders>
              <w:top w:val="nil"/>
              <w:left w:val="nil"/>
              <w:bottom w:val="single" w:sz="4" w:space="0" w:color="auto"/>
              <w:right w:val="single" w:sz="4" w:space="0" w:color="auto"/>
            </w:tcBorders>
            <w:shd w:val="clear" w:color="auto" w:fill="auto"/>
            <w:noWrap/>
            <w:vAlign w:val="center"/>
            <w:hideMark/>
          </w:tcPr>
          <w:p w14:paraId="448CE18A"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20916</w:t>
            </w:r>
          </w:p>
        </w:tc>
        <w:tc>
          <w:tcPr>
            <w:tcW w:w="722" w:type="dxa"/>
            <w:tcBorders>
              <w:top w:val="nil"/>
              <w:left w:val="nil"/>
              <w:bottom w:val="single" w:sz="4" w:space="0" w:color="auto"/>
              <w:right w:val="single" w:sz="4" w:space="0" w:color="auto"/>
            </w:tcBorders>
            <w:shd w:val="clear" w:color="auto" w:fill="auto"/>
            <w:noWrap/>
            <w:vAlign w:val="center"/>
            <w:hideMark/>
          </w:tcPr>
          <w:p w14:paraId="6BB54D49"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20584</w:t>
            </w:r>
          </w:p>
        </w:tc>
        <w:tc>
          <w:tcPr>
            <w:tcW w:w="722" w:type="dxa"/>
            <w:tcBorders>
              <w:top w:val="nil"/>
              <w:left w:val="nil"/>
              <w:bottom w:val="single" w:sz="4" w:space="0" w:color="auto"/>
              <w:right w:val="single" w:sz="4" w:space="0" w:color="auto"/>
            </w:tcBorders>
            <w:shd w:val="clear" w:color="auto" w:fill="auto"/>
            <w:noWrap/>
            <w:vAlign w:val="center"/>
            <w:hideMark/>
          </w:tcPr>
          <w:p w14:paraId="2562E7C7"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20589</w:t>
            </w:r>
          </w:p>
        </w:tc>
        <w:tc>
          <w:tcPr>
            <w:tcW w:w="722" w:type="dxa"/>
            <w:tcBorders>
              <w:top w:val="nil"/>
              <w:left w:val="nil"/>
              <w:bottom w:val="single" w:sz="4" w:space="0" w:color="auto"/>
              <w:right w:val="single" w:sz="4" w:space="0" w:color="auto"/>
            </w:tcBorders>
            <w:shd w:val="clear" w:color="auto" w:fill="auto"/>
            <w:noWrap/>
            <w:vAlign w:val="center"/>
            <w:hideMark/>
          </w:tcPr>
          <w:p w14:paraId="5E627351"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20409</w:t>
            </w:r>
          </w:p>
        </w:tc>
        <w:tc>
          <w:tcPr>
            <w:tcW w:w="722" w:type="dxa"/>
            <w:tcBorders>
              <w:top w:val="nil"/>
              <w:left w:val="nil"/>
              <w:bottom w:val="single" w:sz="4" w:space="0" w:color="auto"/>
              <w:right w:val="single" w:sz="4" w:space="0" w:color="auto"/>
            </w:tcBorders>
            <w:shd w:val="clear" w:color="auto" w:fill="auto"/>
            <w:noWrap/>
            <w:vAlign w:val="center"/>
            <w:hideMark/>
          </w:tcPr>
          <w:p w14:paraId="01EEC2D8"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20104</w:t>
            </w:r>
          </w:p>
        </w:tc>
        <w:tc>
          <w:tcPr>
            <w:tcW w:w="968" w:type="dxa"/>
            <w:tcBorders>
              <w:top w:val="nil"/>
              <w:left w:val="nil"/>
              <w:bottom w:val="single" w:sz="4" w:space="0" w:color="auto"/>
              <w:right w:val="single" w:sz="4" w:space="0" w:color="auto"/>
            </w:tcBorders>
            <w:shd w:val="clear" w:color="auto" w:fill="auto"/>
            <w:noWrap/>
            <w:vAlign w:val="center"/>
            <w:hideMark/>
          </w:tcPr>
          <w:p w14:paraId="3FB598D5"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20139</w:t>
            </w:r>
          </w:p>
        </w:tc>
        <w:tc>
          <w:tcPr>
            <w:tcW w:w="1367" w:type="dxa"/>
            <w:tcBorders>
              <w:top w:val="nil"/>
              <w:left w:val="nil"/>
              <w:bottom w:val="single" w:sz="4" w:space="0" w:color="auto"/>
              <w:right w:val="single" w:sz="4" w:space="0" w:color="auto"/>
            </w:tcBorders>
            <w:shd w:val="clear" w:color="auto" w:fill="auto"/>
            <w:noWrap/>
            <w:vAlign w:val="center"/>
            <w:hideMark/>
          </w:tcPr>
          <w:p w14:paraId="34B4FE58"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-5,25%</w:t>
            </w:r>
          </w:p>
        </w:tc>
      </w:tr>
      <w:tr w:rsidR="00766593" w:rsidRPr="00766593" w14:paraId="71AE5D38" w14:textId="77777777" w:rsidTr="00766593">
        <w:trPr>
          <w:trHeight w:val="214"/>
          <w:jc w:val="center"/>
        </w:trPr>
        <w:tc>
          <w:tcPr>
            <w:tcW w:w="2763" w:type="dxa"/>
            <w:tcBorders>
              <w:top w:val="nil"/>
              <w:left w:val="single" w:sz="4" w:space="0" w:color="auto"/>
              <w:bottom w:val="single" w:sz="4" w:space="0" w:color="auto"/>
              <w:right w:val="single" w:sz="4" w:space="0" w:color="auto"/>
            </w:tcBorders>
            <w:shd w:val="clear" w:color="auto" w:fill="auto"/>
            <w:noWrap/>
            <w:vAlign w:val="center"/>
            <w:hideMark/>
          </w:tcPr>
          <w:p w14:paraId="089B9D2C" w14:textId="77777777" w:rsidR="00766593" w:rsidRPr="00766593" w:rsidRDefault="00766593" w:rsidP="00234CBE">
            <w:pPr>
              <w:spacing w:line="276" w:lineRule="auto"/>
              <w:jc w:val="right"/>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Agrario</w:t>
            </w:r>
          </w:p>
        </w:tc>
        <w:tc>
          <w:tcPr>
            <w:tcW w:w="723" w:type="dxa"/>
            <w:tcBorders>
              <w:top w:val="nil"/>
              <w:left w:val="nil"/>
              <w:bottom w:val="single" w:sz="4" w:space="0" w:color="auto"/>
              <w:right w:val="single" w:sz="4" w:space="0" w:color="auto"/>
            </w:tcBorders>
            <w:shd w:val="clear" w:color="auto" w:fill="auto"/>
            <w:noWrap/>
            <w:vAlign w:val="center"/>
            <w:hideMark/>
          </w:tcPr>
          <w:p w14:paraId="54E95E33"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7 049</w:t>
            </w:r>
          </w:p>
        </w:tc>
        <w:tc>
          <w:tcPr>
            <w:tcW w:w="757" w:type="dxa"/>
            <w:tcBorders>
              <w:top w:val="nil"/>
              <w:left w:val="nil"/>
              <w:bottom w:val="single" w:sz="4" w:space="0" w:color="auto"/>
              <w:right w:val="single" w:sz="4" w:space="0" w:color="auto"/>
            </w:tcBorders>
            <w:shd w:val="clear" w:color="auto" w:fill="auto"/>
            <w:noWrap/>
            <w:vAlign w:val="center"/>
            <w:hideMark/>
          </w:tcPr>
          <w:p w14:paraId="17CFB3BB"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7 169</w:t>
            </w:r>
          </w:p>
        </w:tc>
        <w:tc>
          <w:tcPr>
            <w:tcW w:w="722" w:type="dxa"/>
            <w:tcBorders>
              <w:top w:val="nil"/>
              <w:left w:val="nil"/>
              <w:bottom w:val="single" w:sz="4" w:space="0" w:color="auto"/>
              <w:right w:val="single" w:sz="4" w:space="0" w:color="auto"/>
            </w:tcBorders>
            <w:shd w:val="clear" w:color="auto" w:fill="auto"/>
            <w:noWrap/>
            <w:vAlign w:val="center"/>
            <w:hideMark/>
          </w:tcPr>
          <w:p w14:paraId="162EC150"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7 197</w:t>
            </w:r>
          </w:p>
        </w:tc>
        <w:tc>
          <w:tcPr>
            <w:tcW w:w="722" w:type="dxa"/>
            <w:tcBorders>
              <w:top w:val="nil"/>
              <w:left w:val="nil"/>
              <w:bottom w:val="single" w:sz="4" w:space="0" w:color="auto"/>
              <w:right w:val="single" w:sz="4" w:space="0" w:color="auto"/>
            </w:tcBorders>
            <w:shd w:val="clear" w:color="auto" w:fill="auto"/>
            <w:noWrap/>
            <w:vAlign w:val="center"/>
            <w:hideMark/>
          </w:tcPr>
          <w:p w14:paraId="1ABACC44"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7 245</w:t>
            </w:r>
          </w:p>
        </w:tc>
        <w:tc>
          <w:tcPr>
            <w:tcW w:w="722" w:type="dxa"/>
            <w:tcBorders>
              <w:top w:val="nil"/>
              <w:left w:val="nil"/>
              <w:bottom w:val="single" w:sz="4" w:space="0" w:color="auto"/>
              <w:right w:val="single" w:sz="4" w:space="0" w:color="auto"/>
            </w:tcBorders>
            <w:shd w:val="clear" w:color="auto" w:fill="auto"/>
            <w:noWrap/>
            <w:vAlign w:val="center"/>
            <w:hideMark/>
          </w:tcPr>
          <w:p w14:paraId="0B3B1B02"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7 413</w:t>
            </w:r>
          </w:p>
        </w:tc>
        <w:tc>
          <w:tcPr>
            <w:tcW w:w="722" w:type="dxa"/>
            <w:tcBorders>
              <w:top w:val="nil"/>
              <w:left w:val="nil"/>
              <w:bottom w:val="single" w:sz="4" w:space="0" w:color="auto"/>
              <w:right w:val="single" w:sz="4" w:space="0" w:color="auto"/>
            </w:tcBorders>
            <w:shd w:val="clear" w:color="auto" w:fill="auto"/>
            <w:noWrap/>
            <w:vAlign w:val="center"/>
            <w:hideMark/>
          </w:tcPr>
          <w:p w14:paraId="7587C815"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7407</w:t>
            </w:r>
          </w:p>
        </w:tc>
        <w:tc>
          <w:tcPr>
            <w:tcW w:w="722" w:type="dxa"/>
            <w:tcBorders>
              <w:top w:val="nil"/>
              <w:left w:val="nil"/>
              <w:bottom w:val="single" w:sz="4" w:space="0" w:color="auto"/>
              <w:right w:val="single" w:sz="4" w:space="0" w:color="auto"/>
            </w:tcBorders>
            <w:shd w:val="clear" w:color="auto" w:fill="auto"/>
            <w:noWrap/>
            <w:vAlign w:val="center"/>
            <w:hideMark/>
          </w:tcPr>
          <w:p w14:paraId="7513BBD8"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7540</w:t>
            </w:r>
          </w:p>
        </w:tc>
        <w:tc>
          <w:tcPr>
            <w:tcW w:w="722" w:type="dxa"/>
            <w:tcBorders>
              <w:top w:val="nil"/>
              <w:left w:val="nil"/>
              <w:bottom w:val="single" w:sz="4" w:space="0" w:color="auto"/>
              <w:right w:val="single" w:sz="4" w:space="0" w:color="auto"/>
            </w:tcBorders>
            <w:shd w:val="clear" w:color="auto" w:fill="auto"/>
            <w:noWrap/>
            <w:vAlign w:val="center"/>
            <w:hideMark/>
          </w:tcPr>
          <w:p w14:paraId="111A552B"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7 630</w:t>
            </w:r>
          </w:p>
        </w:tc>
        <w:tc>
          <w:tcPr>
            <w:tcW w:w="968" w:type="dxa"/>
            <w:tcBorders>
              <w:top w:val="nil"/>
              <w:left w:val="nil"/>
              <w:bottom w:val="single" w:sz="4" w:space="0" w:color="auto"/>
              <w:right w:val="single" w:sz="4" w:space="0" w:color="auto"/>
            </w:tcBorders>
            <w:shd w:val="clear" w:color="auto" w:fill="auto"/>
            <w:noWrap/>
            <w:vAlign w:val="center"/>
            <w:hideMark/>
          </w:tcPr>
          <w:p w14:paraId="3A42044D"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7 507</w:t>
            </w:r>
          </w:p>
        </w:tc>
        <w:tc>
          <w:tcPr>
            <w:tcW w:w="1367" w:type="dxa"/>
            <w:tcBorders>
              <w:top w:val="nil"/>
              <w:left w:val="nil"/>
              <w:bottom w:val="single" w:sz="4" w:space="0" w:color="auto"/>
              <w:right w:val="single" w:sz="4" w:space="0" w:color="auto"/>
            </w:tcBorders>
            <w:shd w:val="clear" w:color="auto" w:fill="auto"/>
            <w:noWrap/>
            <w:vAlign w:val="center"/>
            <w:hideMark/>
          </w:tcPr>
          <w:p w14:paraId="11ABC1DC"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6,50%</w:t>
            </w:r>
          </w:p>
        </w:tc>
      </w:tr>
      <w:tr w:rsidR="00766593" w:rsidRPr="00766593" w14:paraId="721600C4" w14:textId="77777777" w:rsidTr="00766593">
        <w:trPr>
          <w:trHeight w:val="214"/>
          <w:jc w:val="center"/>
        </w:trPr>
        <w:tc>
          <w:tcPr>
            <w:tcW w:w="2763" w:type="dxa"/>
            <w:tcBorders>
              <w:top w:val="nil"/>
              <w:left w:val="single" w:sz="4" w:space="0" w:color="auto"/>
              <w:bottom w:val="single" w:sz="4" w:space="0" w:color="auto"/>
              <w:right w:val="single" w:sz="4" w:space="0" w:color="auto"/>
            </w:tcBorders>
            <w:shd w:val="clear" w:color="auto" w:fill="auto"/>
            <w:noWrap/>
            <w:vAlign w:val="center"/>
            <w:hideMark/>
          </w:tcPr>
          <w:p w14:paraId="493B2740" w14:textId="77777777" w:rsidR="00766593" w:rsidRPr="00766593" w:rsidRDefault="00766593" w:rsidP="00234CBE">
            <w:pPr>
              <w:spacing w:line="276" w:lineRule="auto"/>
              <w:jc w:val="right"/>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Tránsito</w:t>
            </w:r>
          </w:p>
        </w:tc>
        <w:tc>
          <w:tcPr>
            <w:tcW w:w="723" w:type="dxa"/>
            <w:tcBorders>
              <w:top w:val="nil"/>
              <w:left w:val="nil"/>
              <w:bottom w:val="single" w:sz="4" w:space="0" w:color="auto"/>
              <w:right w:val="single" w:sz="4" w:space="0" w:color="auto"/>
            </w:tcBorders>
            <w:shd w:val="clear" w:color="auto" w:fill="auto"/>
            <w:noWrap/>
            <w:vAlign w:val="center"/>
            <w:hideMark/>
          </w:tcPr>
          <w:p w14:paraId="7D5DB077"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19652</w:t>
            </w:r>
          </w:p>
        </w:tc>
        <w:tc>
          <w:tcPr>
            <w:tcW w:w="757" w:type="dxa"/>
            <w:tcBorders>
              <w:top w:val="nil"/>
              <w:left w:val="nil"/>
              <w:bottom w:val="single" w:sz="4" w:space="0" w:color="auto"/>
              <w:right w:val="single" w:sz="4" w:space="0" w:color="auto"/>
            </w:tcBorders>
            <w:shd w:val="clear" w:color="auto" w:fill="auto"/>
            <w:noWrap/>
            <w:vAlign w:val="center"/>
            <w:hideMark/>
          </w:tcPr>
          <w:p w14:paraId="0E47CCDB"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19602</w:t>
            </w:r>
          </w:p>
        </w:tc>
        <w:tc>
          <w:tcPr>
            <w:tcW w:w="722" w:type="dxa"/>
            <w:tcBorders>
              <w:top w:val="nil"/>
              <w:left w:val="nil"/>
              <w:bottom w:val="single" w:sz="4" w:space="0" w:color="auto"/>
              <w:right w:val="single" w:sz="4" w:space="0" w:color="auto"/>
            </w:tcBorders>
            <w:shd w:val="clear" w:color="auto" w:fill="auto"/>
            <w:noWrap/>
            <w:vAlign w:val="center"/>
            <w:hideMark/>
          </w:tcPr>
          <w:p w14:paraId="738A9857"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20192</w:t>
            </w:r>
          </w:p>
        </w:tc>
        <w:tc>
          <w:tcPr>
            <w:tcW w:w="722" w:type="dxa"/>
            <w:tcBorders>
              <w:top w:val="nil"/>
              <w:left w:val="nil"/>
              <w:bottom w:val="single" w:sz="4" w:space="0" w:color="auto"/>
              <w:right w:val="single" w:sz="4" w:space="0" w:color="auto"/>
            </w:tcBorders>
            <w:shd w:val="clear" w:color="auto" w:fill="auto"/>
            <w:noWrap/>
            <w:vAlign w:val="center"/>
            <w:hideMark/>
          </w:tcPr>
          <w:p w14:paraId="270336F2"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20335</w:t>
            </w:r>
          </w:p>
        </w:tc>
        <w:tc>
          <w:tcPr>
            <w:tcW w:w="722" w:type="dxa"/>
            <w:tcBorders>
              <w:top w:val="nil"/>
              <w:left w:val="nil"/>
              <w:bottom w:val="single" w:sz="4" w:space="0" w:color="auto"/>
              <w:right w:val="single" w:sz="4" w:space="0" w:color="auto"/>
            </w:tcBorders>
            <w:shd w:val="clear" w:color="auto" w:fill="auto"/>
            <w:noWrap/>
            <w:vAlign w:val="center"/>
            <w:hideMark/>
          </w:tcPr>
          <w:p w14:paraId="415FA6C6"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19447</w:t>
            </w:r>
          </w:p>
        </w:tc>
        <w:tc>
          <w:tcPr>
            <w:tcW w:w="722" w:type="dxa"/>
            <w:tcBorders>
              <w:top w:val="nil"/>
              <w:left w:val="nil"/>
              <w:bottom w:val="single" w:sz="4" w:space="0" w:color="auto"/>
              <w:right w:val="single" w:sz="4" w:space="0" w:color="auto"/>
            </w:tcBorders>
            <w:shd w:val="clear" w:color="auto" w:fill="auto"/>
            <w:noWrap/>
            <w:vAlign w:val="center"/>
            <w:hideMark/>
          </w:tcPr>
          <w:p w14:paraId="0D8DD100"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19030</w:t>
            </w:r>
          </w:p>
        </w:tc>
        <w:tc>
          <w:tcPr>
            <w:tcW w:w="722" w:type="dxa"/>
            <w:tcBorders>
              <w:top w:val="nil"/>
              <w:left w:val="nil"/>
              <w:bottom w:val="single" w:sz="4" w:space="0" w:color="auto"/>
              <w:right w:val="single" w:sz="4" w:space="0" w:color="auto"/>
            </w:tcBorders>
            <w:shd w:val="clear" w:color="auto" w:fill="auto"/>
            <w:noWrap/>
            <w:vAlign w:val="center"/>
            <w:hideMark/>
          </w:tcPr>
          <w:p w14:paraId="1497A307"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18350</w:t>
            </w:r>
          </w:p>
        </w:tc>
        <w:tc>
          <w:tcPr>
            <w:tcW w:w="722" w:type="dxa"/>
            <w:tcBorders>
              <w:top w:val="nil"/>
              <w:left w:val="nil"/>
              <w:bottom w:val="single" w:sz="4" w:space="0" w:color="auto"/>
              <w:right w:val="single" w:sz="4" w:space="0" w:color="auto"/>
            </w:tcBorders>
            <w:shd w:val="clear" w:color="auto" w:fill="auto"/>
            <w:noWrap/>
            <w:vAlign w:val="center"/>
            <w:hideMark/>
          </w:tcPr>
          <w:p w14:paraId="1855F599"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18454</w:t>
            </w:r>
          </w:p>
        </w:tc>
        <w:tc>
          <w:tcPr>
            <w:tcW w:w="968" w:type="dxa"/>
            <w:tcBorders>
              <w:top w:val="nil"/>
              <w:left w:val="nil"/>
              <w:bottom w:val="single" w:sz="4" w:space="0" w:color="auto"/>
              <w:right w:val="single" w:sz="4" w:space="0" w:color="auto"/>
            </w:tcBorders>
            <w:shd w:val="clear" w:color="auto" w:fill="auto"/>
            <w:noWrap/>
            <w:vAlign w:val="center"/>
            <w:hideMark/>
          </w:tcPr>
          <w:p w14:paraId="34BBAEF2"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18646</w:t>
            </w:r>
          </w:p>
        </w:tc>
        <w:tc>
          <w:tcPr>
            <w:tcW w:w="1367" w:type="dxa"/>
            <w:tcBorders>
              <w:top w:val="nil"/>
              <w:left w:val="nil"/>
              <w:bottom w:val="single" w:sz="4" w:space="0" w:color="auto"/>
              <w:right w:val="single" w:sz="4" w:space="0" w:color="auto"/>
            </w:tcBorders>
            <w:shd w:val="clear" w:color="auto" w:fill="auto"/>
            <w:noWrap/>
            <w:vAlign w:val="center"/>
            <w:hideMark/>
          </w:tcPr>
          <w:p w14:paraId="1F3354E1"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-5,12%</w:t>
            </w:r>
          </w:p>
        </w:tc>
      </w:tr>
      <w:tr w:rsidR="00766593" w:rsidRPr="00766593" w14:paraId="7C0E4BAC" w14:textId="77777777" w:rsidTr="00766593">
        <w:trPr>
          <w:trHeight w:val="214"/>
          <w:jc w:val="center"/>
        </w:trPr>
        <w:tc>
          <w:tcPr>
            <w:tcW w:w="2763" w:type="dxa"/>
            <w:tcBorders>
              <w:top w:val="nil"/>
              <w:left w:val="single" w:sz="4" w:space="0" w:color="auto"/>
              <w:bottom w:val="single" w:sz="4" w:space="0" w:color="auto"/>
              <w:right w:val="single" w:sz="4" w:space="0" w:color="auto"/>
            </w:tcBorders>
            <w:shd w:val="clear" w:color="auto" w:fill="auto"/>
            <w:noWrap/>
            <w:vAlign w:val="center"/>
            <w:hideMark/>
          </w:tcPr>
          <w:p w14:paraId="51285969" w14:textId="77777777" w:rsidR="00766593" w:rsidRPr="00766593" w:rsidRDefault="00766593" w:rsidP="00234CBE">
            <w:pPr>
              <w:spacing w:line="276" w:lineRule="auto"/>
              <w:jc w:val="right"/>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Contravenciones</w:t>
            </w:r>
          </w:p>
        </w:tc>
        <w:tc>
          <w:tcPr>
            <w:tcW w:w="723" w:type="dxa"/>
            <w:tcBorders>
              <w:top w:val="nil"/>
              <w:left w:val="nil"/>
              <w:bottom w:val="single" w:sz="4" w:space="0" w:color="auto"/>
              <w:right w:val="single" w:sz="4" w:space="0" w:color="auto"/>
            </w:tcBorders>
            <w:shd w:val="clear" w:color="auto" w:fill="auto"/>
            <w:noWrap/>
            <w:vAlign w:val="center"/>
            <w:hideMark/>
          </w:tcPr>
          <w:p w14:paraId="13FAF4E1"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23130</w:t>
            </w:r>
          </w:p>
        </w:tc>
        <w:tc>
          <w:tcPr>
            <w:tcW w:w="757" w:type="dxa"/>
            <w:tcBorders>
              <w:top w:val="nil"/>
              <w:left w:val="nil"/>
              <w:bottom w:val="single" w:sz="4" w:space="0" w:color="auto"/>
              <w:right w:val="single" w:sz="4" w:space="0" w:color="auto"/>
            </w:tcBorders>
            <w:shd w:val="clear" w:color="auto" w:fill="auto"/>
            <w:noWrap/>
            <w:vAlign w:val="center"/>
            <w:hideMark/>
          </w:tcPr>
          <w:p w14:paraId="1D910626"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22731</w:t>
            </w:r>
          </w:p>
        </w:tc>
        <w:tc>
          <w:tcPr>
            <w:tcW w:w="722" w:type="dxa"/>
            <w:tcBorders>
              <w:top w:val="nil"/>
              <w:left w:val="nil"/>
              <w:bottom w:val="single" w:sz="4" w:space="0" w:color="auto"/>
              <w:right w:val="single" w:sz="4" w:space="0" w:color="auto"/>
            </w:tcBorders>
            <w:shd w:val="clear" w:color="auto" w:fill="auto"/>
            <w:noWrap/>
            <w:vAlign w:val="center"/>
            <w:hideMark/>
          </w:tcPr>
          <w:p w14:paraId="5FA5B24D"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22177</w:t>
            </w:r>
          </w:p>
        </w:tc>
        <w:tc>
          <w:tcPr>
            <w:tcW w:w="722" w:type="dxa"/>
            <w:tcBorders>
              <w:top w:val="nil"/>
              <w:left w:val="nil"/>
              <w:bottom w:val="single" w:sz="4" w:space="0" w:color="auto"/>
              <w:right w:val="single" w:sz="4" w:space="0" w:color="auto"/>
            </w:tcBorders>
            <w:shd w:val="clear" w:color="auto" w:fill="auto"/>
            <w:noWrap/>
            <w:vAlign w:val="center"/>
            <w:hideMark/>
          </w:tcPr>
          <w:p w14:paraId="72B60D49"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21849</w:t>
            </w:r>
          </w:p>
        </w:tc>
        <w:tc>
          <w:tcPr>
            <w:tcW w:w="722" w:type="dxa"/>
            <w:tcBorders>
              <w:top w:val="nil"/>
              <w:left w:val="nil"/>
              <w:bottom w:val="single" w:sz="4" w:space="0" w:color="auto"/>
              <w:right w:val="single" w:sz="4" w:space="0" w:color="auto"/>
            </w:tcBorders>
            <w:shd w:val="clear" w:color="auto" w:fill="auto"/>
            <w:noWrap/>
            <w:vAlign w:val="center"/>
            <w:hideMark/>
          </w:tcPr>
          <w:p w14:paraId="4D289724"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21310</w:t>
            </w:r>
          </w:p>
        </w:tc>
        <w:tc>
          <w:tcPr>
            <w:tcW w:w="722" w:type="dxa"/>
            <w:tcBorders>
              <w:top w:val="nil"/>
              <w:left w:val="nil"/>
              <w:bottom w:val="single" w:sz="4" w:space="0" w:color="auto"/>
              <w:right w:val="single" w:sz="4" w:space="0" w:color="auto"/>
            </w:tcBorders>
            <w:shd w:val="clear" w:color="auto" w:fill="auto"/>
            <w:noWrap/>
            <w:vAlign w:val="center"/>
            <w:hideMark/>
          </w:tcPr>
          <w:p w14:paraId="293B1007"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20911</w:t>
            </w:r>
          </w:p>
        </w:tc>
        <w:tc>
          <w:tcPr>
            <w:tcW w:w="722" w:type="dxa"/>
            <w:tcBorders>
              <w:top w:val="nil"/>
              <w:left w:val="nil"/>
              <w:bottom w:val="single" w:sz="4" w:space="0" w:color="auto"/>
              <w:right w:val="single" w:sz="4" w:space="0" w:color="auto"/>
            </w:tcBorders>
            <w:shd w:val="clear" w:color="auto" w:fill="auto"/>
            <w:noWrap/>
            <w:vAlign w:val="center"/>
            <w:hideMark/>
          </w:tcPr>
          <w:p w14:paraId="59E2AF1D"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20163</w:t>
            </w:r>
          </w:p>
        </w:tc>
        <w:tc>
          <w:tcPr>
            <w:tcW w:w="722" w:type="dxa"/>
            <w:tcBorders>
              <w:top w:val="nil"/>
              <w:left w:val="nil"/>
              <w:bottom w:val="single" w:sz="4" w:space="0" w:color="auto"/>
              <w:right w:val="single" w:sz="4" w:space="0" w:color="auto"/>
            </w:tcBorders>
            <w:shd w:val="clear" w:color="auto" w:fill="auto"/>
            <w:noWrap/>
            <w:vAlign w:val="center"/>
            <w:hideMark/>
          </w:tcPr>
          <w:p w14:paraId="6864CBD1"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20072</w:t>
            </w:r>
          </w:p>
        </w:tc>
        <w:tc>
          <w:tcPr>
            <w:tcW w:w="968" w:type="dxa"/>
            <w:tcBorders>
              <w:top w:val="nil"/>
              <w:left w:val="nil"/>
              <w:bottom w:val="single" w:sz="4" w:space="0" w:color="auto"/>
              <w:right w:val="single" w:sz="4" w:space="0" w:color="auto"/>
            </w:tcBorders>
            <w:shd w:val="clear" w:color="auto" w:fill="auto"/>
            <w:noWrap/>
            <w:vAlign w:val="center"/>
            <w:hideMark/>
          </w:tcPr>
          <w:p w14:paraId="7DEBFA6C"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19246</w:t>
            </w:r>
          </w:p>
        </w:tc>
        <w:tc>
          <w:tcPr>
            <w:tcW w:w="1367" w:type="dxa"/>
            <w:tcBorders>
              <w:top w:val="nil"/>
              <w:left w:val="nil"/>
              <w:bottom w:val="single" w:sz="4" w:space="0" w:color="auto"/>
              <w:right w:val="single" w:sz="4" w:space="0" w:color="auto"/>
            </w:tcBorders>
            <w:shd w:val="clear" w:color="auto" w:fill="auto"/>
            <w:noWrap/>
            <w:vAlign w:val="center"/>
            <w:hideMark/>
          </w:tcPr>
          <w:p w14:paraId="60F2F7D8"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-16,79%</w:t>
            </w:r>
          </w:p>
        </w:tc>
      </w:tr>
      <w:tr w:rsidR="00766593" w:rsidRPr="00766593" w14:paraId="15CA3E11" w14:textId="77777777" w:rsidTr="00766593">
        <w:trPr>
          <w:trHeight w:val="214"/>
          <w:jc w:val="center"/>
        </w:trPr>
        <w:tc>
          <w:tcPr>
            <w:tcW w:w="2763" w:type="dxa"/>
            <w:tcBorders>
              <w:top w:val="nil"/>
              <w:left w:val="single" w:sz="4" w:space="0" w:color="auto"/>
              <w:bottom w:val="single" w:sz="4" w:space="0" w:color="auto"/>
              <w:right w:val="single" w:sz="4" w:space="0" w:color="auto"/>
            </w:tcBorders>
            <w:shd w:val="clear" w:color="auto" w:fill="auto"/>
            <w:noWrap/>
            <w:vAlign w:val="center"/>
            <w:hideMark/>
          </w:tcPr>
          <w:p w14:paraId="4B7A12B9" w14:textId="77777777" w:rsidR="00766593" w:rsidRPr="00766593" w:rsidRDefault="00766593" w:rsidP="00234CBE">
            <w:pPr>
              <w:spacing w:line="276" w:lineRule="auto"/>
              <w:jc w:val="right"/>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Laboral</w:t>
            </w:r>
          </w:p>
        </w:tc>
        <w:tc>
          <w:tcPr>
            <w:tcW w:w="723" w:type="dxa"/>
            <w:tcBorders>
              <w:top w:val="nil"/>
              <w:left w:val="nil"/>
              <w:bottom w:val="single" w:sz="4" w:space="0" w:color="auto"/>
              <w:right w:val="single" w:sz="4" w:space="0" w:color="auto"/>
            </w:tcBorders>
            <w:shd w:val="clear" w:color="auto" w:fill="auto"/>
            <w:noWrap/>
            <w:vAlign w:val="center"/>
            <w:hideMark/>
          </w:tcPr>
          <w:p w14:paraId="252D2C2F"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54095</w:t>
            </w:r>
          </w:p>
        </w:tc>
        <w:tc>
          <w:tcPr>
            <w:tcW w:w="757" w:type="dxa"/>
            <w:tcBorders>
              <w:top w:val="nil"/>
              <w:left w:val="nil"/>
              <w:bottom w:val="single" w:sz="4" w:space="0" w:color="auto"/>
              <w:right w:val="single" w:sz="4" w:space="0" w:color="auto"/>
            </w:tcBorders>
            <w:shd w:val="clear" w:color="auto" w:fill="auto"/>
            <w:noWrap/>
            <w:vAlign w:val="center"/>
            <w:hideMark/>
          </w:tcPr>
          <w:p w14:paraId="5104CCE8"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54520</w:t>
            </w:r>
          </w:p>
        </w:tc>
        <w:tc>
          <w:tcPr>
            <w:tcW w:w="722" w:type="dxa"/>
            <w:tcBorders>
              <w:top w:val="nil"/>
              <w:left w:val="nil"/>
              <w:bottom w:val="single" w:sz="4" w:space="0" w:color="auto"/>
              <w:right w:val="single" w:sz="4" w:space="0" w:color="auto"/>
            </w:tcBorders>
            <w:shd w:val="clear" w:color="auto" w:fill="auto"/>
            <w:noWrap/>
            <w:vAlign w:val="center"/>
            <w:hideMark/>
          </w:tcPr>
          <w:p w14:paraId="4035C536"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54539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DB75CB"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54270</w:t>
            </w:r>
          </w:p>
        </w:tc>
        <w:tc>
          <w:tcPr>
            <w:tcW w:w="722" w:type="dxa"/>
            <w:tcBorders>
              <w:top w:val="nil"/>
              <w:left w:val="nil"/>
              <w:bottom w:val="single" w:sz="4" w:space="0" w:color="auto"/>
              <w:right w:val="single" w:sz="4" w:space="0" w:color="auto"/>
            </w:tcBorders>
            <w:shd w:val="clear" w:color="auto" w:fill="auto"/>
            <w:noWrap/>
            <w:vAlign w:val="center"/>
            <w:hideMark/>
          </w:tcPr>
          <w:p w14:paraId="2342CA09"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53948</w:t>
            </w:r>
          </w:p>
        </w:tc>
        <w:tc>
          <w:tcPr>
            <w:tcW w:w="722" w:type="dxa"/>
            <w:tcBorders>
              <w:top w:val="nil"/>
              <w:left w:val="nil"/>
              <w:bottom w:val="single" w:sz="4" w:space="0" w:color="auto"/>
              <w:right w:val="single" w:sz="4" w:space="0" w:color="auto"/>
            </w:tcBorders>
            <w:shd w:val="clear" w:color="auto" w:fill="auto"/>
            <w:noWrap/>
            <w:vAlign w:val="center"/>
            <w:hideMark/>
          </w:tcPr>
          <w:p w14:paraId="544D7437"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53899</w:t>
            </w:r>
          </w:p>
        </w:tc>
        <w:tc>
          <w:tcPr>
            <w:tcW w:w="722" w:type="dxa"/>
            <w:tcBorders>
              <w:top w:val="nil"/>
              <w:left w:val="nil"/>
              <w:bottom w:val="single" w:sz="4" w:space="0" w:color="auto"/>
              <w:right w:val="single" w:sz="4" w:space="0" w:color="auto"/>
            </w:tcBorders>
            <w:shd w:val="clear" w:color="auto" w:fill="auto"/>
            <w:noWrap/>
            <w:vAlign w:val="center"/>
            <w:hideMark/>
          </w:tcPr>
          <w:p w14:paraId="3A703D9E"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53770</w:t>
            </w:r>
          </w:p>
        </w:tc>
        <w:tc>
          <w:tcPr>
            <w:tcW w:w="722" w:type="dxa"/>
            <w:tcBorders>
              <w:top w:val="nil"/>
              <w:left w:val="nil"/>
              <w:bottom w:val="single" w:sz="4" w:space="0" w:color="auto"/>
              <w:right w:val="single" w:sz="4" w:space="0" w:color="auto"/>
            </w:tcBorders>
            <w:shd w:val="clear" w:color="auto" w:fill="auto"/>
            <w:noWrap/>
            <w:vAlign w:val="center"/>
            <w:hideMark/>
          </w:tcPr>
          <w:p w14:paraId="7EF8B5DB"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53688</w:t>
            </w:r>
          </w:p>
        </w:tc>
        <w:tc>
          <w:tcPr>
            <w:tcW w:w="968" w:type="dxa"/>
            <w:tcBorders>
              <w:top w:val="nil"/>
              <w:left w:val="nil"/>
              <w:bottom w:val="single" w:sz="4" w:space="0" w:color="auto"/>
              <w:right w:val="single" w:sz="4" w:space="0" w:color="auto"/>
            </w:tcBorders>
            <w:shd w:val="clear" w:color="auto" w:fill="auto"/>
            <w:noWrap/>
            <w:vAlign w:val="center"/>
            <w:hideMark/>
          </w:tcPr>
          <w:p w14:paraId="26657C22"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54015</w:t>
            </w:r>
          </w:p>
        </w:tc>
        <w:tc>
          <w:tcPr>
            <w:tcW w:w="1367" w:type="dxa"/>
            <w:tcBorders>
              <w:top w:val="nil"/>
              <w:left w:val="nil"/>
              <w:bottom w:val="single" w:sz="4" w:space="0" w:color="auto"/>
              <w:right w:val="single" w:sz="4" w:space="0" w:color="auto"/>
            </w:tcBorders>
            <w:shd w:val="clear" w:color="auto" w:fill="auto"/>
            <w:noWrap/>
            <w:vAlign w:val="center"/>
            <w:hideMark/>
          </w:tcPr>
          <w:p w14:paraId="1E57FBA5" w14:textId="77777777" w:rsidR="00766593" w:rsidRPr="00766593" w:rsidRDefault="00766593" w:rsidP="00234CBE">
            <w:pPr>
              <w:spacing w:line="276" w:lineRule="auto"/>
              <w:jc w:val="center"/>
              <w:rPr>
                <w:rFonts w:ascii="Book Antiqua" w:hAnsi="Book Antiqua" w:cs="Calibri"/>
                <w:color w:val="000000"/>
                <w:sz w:val="16"/>
                <w:szCs w:val="16"/>
                <w:lang w:eastAsia="es-CR"/>
              </w:rPr>
            </w:pPr>
            <w:r w:rsidRPr="00766593">
              <w:rPr>
                <w:rFonts w:ascii="Book Antiqua" w:hAnsi="Book Antiqua" w:cs="Calibri"/>
                <w:color w:val="000000"/>
                <w:sz w:val="16"/>
                <w:szCs w:val="16"/>
                <w:lang w:eastAsia="es-CR"/>
              </w:rPr>
              <w:t>-0,15%</w:t>
            </w:r>
          </w:p>
        </w:tc>
      </w:tr>
    </w:tbl>
    <w:p w14:paraId="1CCF087E" w14:textId="77777777" w:rsidR="0059268A" w:rsidRDefault="0059268A" w:rsidP="00234CBE">
      <w:pPr>
        <w:shd w:val="clear" w:color="auto" w:fill="FFFFFF" w:themeFill="background1"/>
        <w:spacing w:line="276" w:lineRule="auto"/>
        <w:jc w:val="center"/>
        <w:rPr>
          <w:rFonts w:ascii="Book Antiqua" w:hAnsi="Book Antiqua" w:cs="Book Antiqua"/>
          <w:snapToGrid w:val="0"/>
          <w:color w:val="000000" w:themeColor="text1"/>
        </w:rPr>
      </w:pPr>
      <w:r w:rsidRPr="0059268A">
        <w:rPr>
          <w:rFonts w:ascii="Book Antiqua" w:hAnsi="Book Antiqua" w:cs="Calibri"/>
          <w:b/>
          <w:bCs/>
          <w:color w:val="000000"/>
          <w:sz w:val="20"/>
          <w:szCs w:val="20"/>
          <w:lang w:eastAsia="es-CR"/>
        </w:rPr>
        <w:t>Fuente:</w:t>
      </w:r>
      <w:r w:rsidRPr="00D44482">
        <w:rPr>
          <w:rFonts w:ascii="Book Antiqua" w:hAnsi="Book Antiqua" w:cs="Calibri"/>
          <w:color w:val="000000"/>
          <w:sz w:val="20"/>
          <w:szCs w:val="20"/>
          <w:lang w:eastAsia="es-CR"/>
        </w:rPr>
        <w:t xml:space="preserve"> </w:t>
      </w:r>
      <w:r>
        <w:rPr>
          <w:rFonts w:ascii="Book Antiqua" w:hAnsi="Book Antiqua" w:cs="Calibri"/>
          <w:color w:val="000000"/>
          <w:sz w:val="20"/>
          <w:szCs w:val="20"/>
          <w:lang w:eastAsia="es-CR"/>
        </w:rPr>
        <w:t>Elaboración propia a partir de las estadísticas del Subproceso de Estadística</w:t>
      </w:r>
    </w:p>
    <w:p w14:paraId="46B5E63D" w14:textId="77777777" w:rsidR="003E0C0D" w:rsidRDefault="003E0C0D" w:rsidP="00234CBE">
      <w:pPr>
        <w:shd w:val="clear" w:color="auto" w:fill="FFFFFF" w:themeFill="background1"/>
        <w:spacing w:after="160" w:line="276" w:lineRule="auto"/>
        <w:jc w:val="both"/>
        <w:rPr>
          <w:rFonts w:ascii="Book Antiqua" w:hAnsi="Book Antiqua"/>
          <w:lang w:val="es-ES_tradnl" w:eastAsia="en-US"/>
        </w:rPr>
      </w:pPr>
    </w:p>
    <w:p w14:paraId="2551066A" w14:textId="0F3B13B2" w:rsidR="00762A1E" w:rsidRPr="00665A8E" w:rsidRDefault="00762A1E" w:rsidP="00234CBE">
      <w:pPr>
        <w:shd w:val="clear" w:color="auto" w:fill="FFFFFF" w:themeFill="background1"/>
        <w:spacing w:after="160" w:line="276" w:lineRule="auto"/>
        <w:jc w:val="both"/>
        <w:rPr>
          <w:rFonts w:ascii="Book Antiqua" w:hAnsi="Book Antiqua"/>
          <w:lang w:val="es-ES_tradnl" w:eastAsia="en-US"/>
        </w:rPr>
      </w:pPr>
      <w:r w:rsidRPr="00665A8E">
        <w:rPr>
          <w:rFonts w:ascii="Book Antiqua" w:hAnsi="Book Antiqua"/>
          <w:lang w:val="es-ES_tradnl" w:eastAsia="en-US"/>
        </w:rPr>
        <w:t xml:space="preserve">En el caso de los Tribunales de Apelación </w:t>
      </w:r>
      <w:r w:rsidR="00665A8E" w:rsidRPr="00665A8E">
        <w:rPr>
          <w:rFonts w:ascii="Book Antiqua" w:hAnsi="Book Antiqua"/>
          <w:lang w:val="es-ES_tradnl" w:eastAsia="en-US"/>
        </w:rPr>
        <w:t xml:space="preserve">materia </w:t>
      </w:r>
      <w:r w:rsidRPr="00665A8E">
        <w:rPr>
          <w:rFonts w:ascii="Book Antiqua" w:hAnsi="Book Antiqua"/>
          <w:lang w:val="es-ES_tradnl" w:eastAsia="en-US"/>
        </w:rPr>
        <w:t>Agrari</w:t>
      </w:r>
      <w:r w:rsidR="00665A8E" w:rsidRPr="00665A8E">
        <w:rPr>
          <w:rFonts w:ascii="Book Antiqua" w:hAnsi="Book Antiqua"/>
          <w:lang w:val="es-ES_tradnl" w:eastAsia="en-US"/>
        </w:rPr>
        <w:t>a</w:t>
      </w:r>
      <w:r w:rsidRPr="00665A8E">
        <w:rPr>
          <w:rFonts w:ascii="Book Antiqua" w:hAnsi="Book Antiqua"/>
          <w:lang w:val="es-ES_tradnl" w:eastAsia="en-US"/>
        </w:rPr>
        <w:t xml:space="preserve"> y Familia se denota un crecimiento en su circulante porque han sido incrementadas las entradas a esos despachos, en un </w:t>
      </w:r>
      <w:r w:rsidR="00665A8E" w:rsidRPr="00665A8E">
        <w:rPr>
          <w:rFonts w:ascii="Book Antiqua" w:hAnsi="Book Antiqua"/>
          <w:lang w:val="es-ES_tradnl" w:eastAsia="en-US"/>
        </w:rPr>
        <w:t>3</w:t>
      </w:r>
      <w:r w:rsidR="00120FB2">
        <w:rPr>
          <w:rFonts w:ascii="Book Antiqua" w:hAnsi="Book Antiqua"/>
          <w:lang w:val="es-ES_tradnl" w:eastAsia="en-US"/>
        </w:rPr>
        <w:t>1</w:t>
      </w:r>
      <w:r w:rsidR="00665A8E" w:rsidRPr="00665A8E">
        <w:rPr>
          <w:rFonts w:ascii="Book Antiqua" w:hAnsi="Book Antiqua"/>
          <w:lang w:val="es-ES_tradnl" w:eastAsia="en-US"/>
        </w:rPr>
        <w:t>.</w:t>
      </w:r>
      <w:r w:rsidR="00120FB2">
        <w:rPr>
          <w:rFonts w:ascii="Book Antiqua" w:hAnsi="Book Antiqua"/>
          <w:lang w:val="es-ES_tradnl" w:eastAsia="en-US"/>
        </w:rPr>
        <w:t>28</w:t>
      </w:r>
      <w:r w:rsidRPr="00665A8E">
        <w:rPr>
          <w:rFonts w:ascii="Book Antiqua" w:hAnsi="Book Antiqua"/>
          <w:lang w:val="es-ES_tradnl" w:eastAsia="en-US"/>
        </w:rPr>
        <w:t>%</w:t>
      </w:r>
      <w:r w:rsidR="00665A8E" w:rsidRPr="00665A8E">
        <w:rPr>
          <w:rFonts w:ascii="Book Antiqua" w:hAnsi="Book Antiqua"/>
          <w:lang w:val="es-ES_tradnl" w:eastAsia="en-US"/>
        </w:rPr>
        <w:t xml:space="preserve"> </w:t>
      </w:r>
      <w:r w:rsidRPr="00665A8E">
        <w:rPr>
          <w:rFonts w:ascii="Book Antiqua" w:hAnsi="Book Antiqua"/>
          <w:lang w:val="es-ES_tradnl" w:eastAsia="en-US"/>
        </w:rPr>
        <w:t xml:space="preserve">y </w:t>
      </w:r>
      <w:r w:rsidR="00665A8E" w:rsidRPr="00665A8E">
        <w:rPr>
          <w:rFonts w:ascii="Book Antiqua" w:hAnsi="Book Antiqua"/>
          <w:lang w:val="es-ES_tradnl" w:eastAsia="en-US"/>
        </w:rPr>
        <w:t>2</w:t>
      </w:r>
      <w:r w:rsidR="000563FC">
        <w:rPr>
          <w:rFonts w:ascii="Book Antiqua" w:hAnsi="Book Antiqua"/>
          <w:lang w:val="es-ES_tradnl" w:eastAsia="en-US"/>
        </w:rPr>
        <w:t>5</w:t>
      </w:r>
      <w:r w:rsidR="00665A8E" w:rsidRPr="00665A8E">
        <w:rPr>
          <w:rFonts w:ascii="Book Antiqua" w:hAnsi="Book Antiqua"/>
          <w:lang w:val="es-ES_tradnl" w:eastAsia="en-US"/>
        </w:rPr>
        <w:t>.</w:t>
      </w:r>
      <w:r w:rsidR="000563FC">
        <w:rPr>
          <w:rFonts w:ascii="Book Antiqua" w:hAnsi="Book Antiqua"/>
          <w:lang w:val="es-ES_tradnl" w:eastAsia="en-US"/>
        </w:rPr>
        <w:t>99</w:t>
      </w:r>
      <w:r w:rsidRPr="00665A8E">
        <w:rPr>
          <w:rFonts w:ascii="Book Antiqua" w:hAnsi="Book Antiqua"/>
          <w:lang w:val="es-ES_tradnl" w:eastAsia="en-US"/>
        </w:rPr>
        <w:t>% respectivamente</w:t>
      </w:r>
      <w:r w:rsidR="000563FC">
        <w:rPr>
          <w:rFonts w:ascii="Book Antiqua" w:hAnsi="Book Antiqua"/>
          <w:lang w:val="es-ES_tradnl" w:eastAsia="en-US"/>
        </w:rPr>
        <w:t>, en relación con el periodo 2020.</w:t>
      </w:r>
      <w:r w:rsidR="000F38A0">
        <w:rPr>
          <w:rFonts w:ascii="Book Antiqua" w:hAnsi="Book Antiqua"/>
          <w:lang w:val="es-ES_tradnl" w:eastAsia="en-US"/>
        </w:rPr>
        <w:t xml:space="preserve"> En el caso de Familia hay que resaltar que se han implementado cuotas de trabajo en primera instancia que han impactado y mejorado la entrada en la Segunda Instancia.</w:t>
      </w:r>
    </w:p>
    <w:p w14:paraId="0766DAA5" w14:textId="330BAD6D" w:rsidR="00EE36DE" w:rsidRPr="004F0E92" w:rsidRDefault="00EE36DE" w:rsidP="00234CBE">
      <w:pPr>
        <w:shd w:val="clear" w:color="auto" w:fill="FFFFFF" w:themeFill="background1"/>
        <w:spacing w:after="160" w:line="276" w:lineRule="auto"/>
        <w:jc w:val="both"/>
        <w:rPr>
          <w:rFonts w:ascii="Book Antiqua" w:hAnsi="Book Antiqua"/>
          <w:lang w:val="es-ES_tradnl" w:eastAsia="en-US"/>
        </w:rPr>
      </w:pPr>
      <w:r w:rsidRPr="00665A8E">
        <w:rPr>
          <w:rFonts w:ascii="Book Antiqua" w:hAnsi="Book Antiqua"/>
          <w:lang w:val="es-ES_tradnl" w:eastAsia="en-US"/>
        </w:rPr>
        <w:t>En el caso de la materia de Cobro, a continuación</w:t>
      </w:r>
      <w:r w:rsidR="00AF2DBD" w:rsidRPr="00665A8E">
        <w:rPr>
          <w:rFonts w:ascii="Book Antiqua" w:hAnsi="Book Antiqua"/>
          <w:lang w:val="es-ES_tradnl" w:eastAsia="en-US"/>
        </w:rPr>
        <w:t xml:space="preserve">, </w:t>
      </w:r>
      <w:r w:rsidRPr="00665A8E">
        <w:rPr>
          <w:rFonts w:ascii="Book Antiqua" w:hAnsi="Book Antiqua"/>
          <w:lang w:val="es-ES_tradnl" w:eastAsia="en-US"/>
        </w:rPr>
        <w:t>se muestra el movimiento de los asuntos activos durante el 202</w:t>
      </w:r>
      <w:r w:rsidR="008E25A7" w:rsidRPr="00665A8E">
        <w:rPr>
          <w:rFonts w:ascii="Book Antiqua" w:hAnsi="Book Antiqua"/>
          <w:lang w:val="es-ES_tradnl" w:eastAsia="en-US"/>
        </w:rPr>
        <w:t>1</w:t>
      </w:r>
      <w:r w:rsidRPr="00665A8E">
        <w:rPr>
          <w:rFonts w:ascii="Book Antiqua" w:hAnsi="Book Antiqua"/>
          <w:lang w:val="es-ES_tradnl" w:eastAsia="en-US"/>
        </w:rPr>
        <w:t>:</w:t>
      </w:r>
    </w:p>
    <w:p w14:paraId="7D02D21B" w14:textId="0F4FFC91" w:rsidR="00DA2651" w:rsidRDefault="00DA2651" w:rsidP="00234CBE">
      <w:pPr>
        <w:spacing w:line="276" w:lineRule="auto"/>
        <w:rPr>
          <w:rFonts w:ascii="Book Antiqua" w:hAnsi="Book Antiqua"/>
          <w:b/>
          <w:bCs/>
          <w:lang w:val="es-ES_tradnl" w:eastAsia="en-US"/>
        </w:rPr>
      </w:pPr>
    </w:p>
    <w:p w14:paraId="186DC37E" w14:textId="77777777" w:rsidR="006F775A" w:rsidRDefault="00EE36DE" w:rsidP="00234CBE">
      <w:pPr>
        <w:shd w:val="clear" w:color="auto" w:fill="FFFFFF" w:themeFill="background1"/>
        <w:spacing w:after="160" w:line="276" w:lineRule="auto"/>
        <w:jc w:val="center"/>
        <w:rPr>
          <w:rFonts w:ascii="Book Antiqua" w:hAnsi="Book Antiqua"/>
          <w:b/>
          <w:bCs/>
          <w:lang w:val="es-ES_tradnl" w:eastAsia="en-US"/>
        </w:rPr>
      </w:pPr>
      <w:r w:rsidRPr="004F0E92">
        <w:rPr>
          <w:rFonts w:ascii="Book Antiqua" w:hAnsi="Book Antiqua"/>
          <w:b/>
          <w:bCs/>
          <w:lang w:val="es-ES_tradnl" w:eastAsia="en-US"/>
        </w:rPr>
        <w:t xml:space="preserve">Cuadro </w:t>
      </w:r>
      <w:r w:rsidR="00985591">
        <w:rPr>
          <w:rFonts w:ascii="Book Antiqua" w:hAnsi="Book Antiqua"/>
          <w:b/>
          <w:bCs/>
          <w:lang w:val="es-ES_tradnl" w:eastAsia="en-US"/>
        </w:rPr>
        <w:t>0</w:t>
      </w:r>
      <w:r w:rsidR="008D5978">
        <w:rPr>
          <w:rFonts w:ascii="Book Antiqua" w:hAnsi="Book Antiqua"/>
          <w:b/>
          <w:bCs/>
          <w:lang w:val="es-ES_tradnl" w:eastAsia="en-US"/>
        </w:rPr>
        <w:t>6</w:t>
      </w:r>
    </w:p>
    <w:p w14:paraId="32F01F5B" w14:textId="22E72471" w:rsidR="00235C4D" w:rsidRDefault="00EE36DE" w:rsidP="00234CBE">
      <w:pPr>
        <w:shd w:val="clear" w:color="auto" w:fill="FFFFFF" w:themeFill="background1"/>
        <w:spacing w:after="160" w:line="276" w:lineRule="auto"/>
        <w:jc w:val="center"/>
        <w:rPr>
          <w:rFonts w:ascii="Book Antiqua" w:hAnsi="Book Antiqua"/>
          <w:b/>
          <w:bCs/>
          <w:lang w:val="es-ES_tradnl" w:eastAsia="en-US"/>
        </w:rPr>
      </w:pPr>
      <w:r w:rsidRPr="004F0E92">
        <w:rPr>
          <w:rFonts w:ascii="Book Antiqua" w:hAnsi="Book Antiqua"/>
          <w:b/>
          <w:bCs/>
          <w:lang w:val="es-ES_tradnl" w:eastAsia="en-US"/>
        </w:rPr>
        <w:t xml:space="preserve"> Movimiento de los asuntos activos </w:t>
      </w:r>
      <w:r w:rsidR="00707CF7">
        <w:rPr>
          <w:rFonts w:ascii="Book Antiqua" w:hAnsi="Book Antiqua"/>
          <w:b/>
          <w:bCs/>
          <w:lang w:val="es-ES_tradnl" w:eastAsia="en-US"/>
        </w:rPr>
        <w:t>incluyendo</w:t>
      </w:r>
      <w:r w:rsidRPr="004F0E92">
        <w:rPr>
          <w:rFonts w:ascii="Book Antiqua" w:hAnsi="Book Antiqua"/>
          <w:b/>
          <w:bCs/>
          <w:lang w:val="es-ES_tradnl" w:eastAsia="en-US"/>
        </w:rPr>
        <w:t xml:space="preserve"> materia </w:t>
      </w:r>
      <w:r w:rsidR="00707CF7">
        <w:rPr>
          <w:rFonts w:ascii="Book Antiqua" w:hAnsi="Book Antiqua"/>
          <w:b/>
          <w:bCs/>
          <w:lang w:val="es-ES_tradnl" w:eastAsia="en-US"/>
        </w:rPr>
        <w:t>de Cobro</w:t>
      </w:r>
      <w:r w:rsidRPr="004F0E92">
        <w:rPr>
          <w:rFonts w:ascii="Book Antiqua" w:hAnsi="Book Antiqua"/>
          <w:b/>
          <w:bCs/>
          <w:lang w:val="es-ES_tradnl" w:eastAsia="en-US"/>
        </w:rPr>
        <w:t xml:space="preserve"> </w:t>
      </w:r>
    </w:p>
    <w:p w14:paraId="0D4F413E" w14:textId="496E10B4" w:rsidR="00963DAC" w:rsidRDefault="00EE36DE" w:rsidP="00234CBE">
      <w:pPr>
        <w:shd w:val="clear" w:color="auto" w:fill="FFFFFF" w:themeFill="background1"/>
        <w:spacing w:after="160" w:line="276" w:lineRule="auto"/>
        <w:jc w:val="center"/>
        <w:rPr>
          <w:rFonts w:ascii="Book Antiqua" w:hAnsi="Book Antiqua"/>
          <w:b/>
          <w:bCs/>
          <w:lang w:val="es-ES_tradnl" w:eastAsia="en-US"/>
        </w:rPr>
      </w:pPr>
      <w:r w:rsidRPr="004F0E92">
        <w:rPr>
          <w:rFonts w:ascii="Book Antiqua" w:hAnsi="Book Antiqua"/>
          <w:b/>
          <w:bCs/>
          <w:lang w:val="es-ES_tradnl" w:eastAsia="en-US"/>
        </w:rPr>
        <w:t>durante el 202</w:t>
      </w:r>
      <w:r w:rsidR="008E25A7">
        <w:rPr>
          <w:rFonts w:ascii="Book Antiqua" w:hAnsi="Book Antiqua"/>
          <w:b/>
          <w:bCs/>
          <w:lang w:val="es-ES_tradnl" w:eastAsia="en-US"/>
        </w:rPr>
        <w:t xml:space="preserve">1 </w:t>
      </w:r>
      <w:r w:rsidR="00217648">
        <w:rPr>
          <w:rFonts w:ascii="Book Antiqua" w:hAnsi="Book Antiqua"/>
          <w:b/>
          <w:bCs/>
          <w:lang w:val="es-ES_tradnl" w:eastAsia="en-US"/>
        </w:rPr>
        <w:t>y variación porcentual relación enero/</w:t>
      </w:r>
      <w:r w:rsidR="00235C4D">
        <w:rPr>
          <w:rFonts w:ascii="Book Antiqua" w:hAnsi="Book Antiqua"/>
          <w:b/>
          <w:bCs/>
          <w:lang w:val="es-ES_tradnl" w:eastAsia="en-US"/>
        </w:rPr>
        <w:t>setiembre</w:t>
      </w:r>
    </w:p>
    <w:tbl>
      <w:tblPr>
        <w:tblW w:w="9781" w:type="dxa"/>
        <w:jc w:val="center"/>
        <w:tblCellMar>
          <w:left w:w="70" w:type="dxa"/>
          <w:right w:w="70" w:type="dxa"/>
        </w:tblCellMar>
        <w:tblLook w:val="04A0" w:firstRow="1" w:lastRow="0" w:firstColumn="1" w:lastColumn="0" w:noHBand="0" w:noVBand="1"/>
      </w:tblPr>
      <w:tblGrid>
        <w:gridCol w:w="1592"/>
        <w:gridCol w:w="704"/>
        <w:gridCol w:w="704"/>
        <w:gridCol w:w="704"/>
        <w:gridCol w:w="704"/>
        <w:gridCol w:w="704"/>
        <w:gridCol w:w="704"/>
        <w:gridCol w:w="704"/>
        <w:gridCol w:w="799"/>
        <w:gridCol w:w="878"/>
        <w:gridCol w:w="1584"/>
      </w:tblGrid>
      <w:tr w:rsidR="0071148C" w:rsidRPr="00235C4D" w14:paraId="6A9B54E0" w14:textId="77777777" w:rsidTr="0071148C">
        <w:trPr>
          <w:trHeight w:val="293"/>
          <w:jc w:val="center"/>
        </w:trPr>
        <w:tc>
          <w:tcPr>
            <w:tcW w:w="1592" w:type="dxa"/>
            <w:vMerge w:val="restart"/>
            <w:tcBorders>
              <w:top w:val="single" w:sz="4" w:space="0" w:color="auto"/>
              <w:left w:val="single" w:sz="4" w:space="0" w:color="auto"/>
              <w:bottom w:val="single" w:sz="4" w:space="0" w:color="auto"/>
              <w:right w:val="single" w:sz="4" w:space="0" w:color="auto"/>
            </w:tcBorders>
            <w:shd w:val="clear" w:color="000000" w:fill="305496"/>
            <w:noWrap/>
            <w:vAlign w:val="center"/>
            <w:hideMark/>
          </w:tcPr>
          <w:p w14:paraId="616F06FA" w14:textId="77777777" w:rsidR="0071148C" w:rsidRPr="00235C4D" w:rsidRDefault="0071148C" w:rsidP="00234CBE">
            <w:pPr>
              <w:spacing w:line="276" w:lineRule="auto"/>
              <w:jc w:val="center"/>
              <w:rPr>
                <w:rFonts w:ascii="Book Antiqua" w:hAnsi="Book Antiqua" w:cs="Calibri"/>
                <w:b/>
                <w:bCs/>
                <w:color w:val="FFFFFF"/>
                <w:sz w:val="16"/>
                <w:szCs w:val="16"/>
                <w:lang w:eastAsia="es-CR"/>
              </w:rPr>
            </w:pPr>
            <w:r w:rsidRPr="00235C4D">
              <w:rPr>
                <w:rFonts w:ascii="Book Antiqua" w:hAnsi="Book Antiqua" w:cs="Calibri"/>
                <w:b/>
                <w:bCs/>
                <w:color w:val="FFFFFF"/>
                <w:sz w:val="16"/>
                <w:szCs w:val="16"/>
                <w:lang w:eastAsia="es-CR"/>
              </w:rPr>
              <w:t>MATERIA</w:t>
            </w:r>
          </w:p>
        </w:tc>
        <w:tc>
          <w:tcPr>
            <w:tcW w:w="8189" w:type="dxa"/>
            <w:gridSpan w:val="10"/>
            <w:vMerge w:val="restart"/>
            <w:tcBorders>
              <w:top w:val="single" w:sz="4" w:space="0" w:color="auto"/>
              <w:left w:val="single" w:sz="4" w:space="0" w:color="auto"/>
              <w:bottom w:val="single" w:sz="4" w:space="0" w:color="auto"/>
              <w:right w:val="single" w:sz="4" w:space="0" w:color="auto"/>
            </w:tcBorders>
            <w:shd w:val="clear" w:color="000000" w:fill="305496"/>
            <w:noWrap/>
            <w:vAlign w:val="center"/>
            <w:hideMark/>
          </w:tcPr>
          <w:p w14:paraId="7B6B9E0D" w14:textId="77777777" w:rsidR="0071148C" w:rsidRPr="00235C4D" w:rsidRDefault="0071148C" w:rsidP="00234CBE">
            <w:pPr>
              <w:spacing w:line="276" w:lineRule="auto"/>
              <w:jc w:val="center"/>
              <w:rPr>
                <w:rFonts w:ascii="Book Antiqua" w:hAnsi="Book Antiqua" w:cs="Calibri"/>
                <w:b/>
                <w:bCs/>
                <w:color w:val="FFFFFF"/>
                <w:sz w:val="16"/>
                <w:szCs w:val="16"/>
                <w:lang w:eastAsia="es-CR"/>
              </w:rPr>
            </w:pPr>
            <w:r w:rsidRPr="00235C4D">
              <w:rPr>
                <w:rFonts w:ascii="Book Antiqua" w:hAnsi="Book Antiqua" w:cs="Calibri"/>
                <w:b/>
                <w:bCs/>
                <w:color w:val="FFFFFF"/>
                <w:sz w:val="16"/>
                <w:szCs w:val="16"/>
                <w:lang w:eastAsia="es-CR"/>
              </w:rPr>
              <w:t xml:space="preserve">ACTIVOS AL FINALIZAR PERIODO </w:t>
            </w:r>
          </w:p>
        </w:tc>
      </w:tr>
      <w:tr w:rsidR="0071148C" w:rsidRPr="00235C4D" w14:paraId="136E258B" w14:textId="77777777" w:rsidTr="0071148C">
        <w:trPr>
          <w:trHeight w:val="293"/>
          <w:jc w:val="center"/>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641414D3" w14:textId="77777777" w:rsidR="0071148C" w:rsidRPr="00235C4D" w:rsidRDefault="0071148C" w:rsidP="00234CBE">
            <w:pPr>
              <w:spacing w:line="276" w:lineRule="auto"/>
              <w:rPr>
                <w:rFonts w:ascii="Book Antiqua" w:hAnsi="Book Antiqua" w:cs="Calibri"/>
                <w:b/>
                <w:bCs/>
                <w:color w:val="FFFFFF"/>
                <w:sz w:val="16"/>
                <w:szCs w:val="16"/>
                <w:lang w:eastAsia="es-CR"/>
              </w:rPr>
            </w:pPr>
          </w:p>
        </w:tc>
        <w:tc>
          <w:tcPr>
            <w:tcW w:w="8189" w:type="dxa"/>
            <w:gridSpan w:val="10"/>
            <w:vMerge/>
            <w:tcBorders>
              <w:top w:val="single" w:sz="4" w:space="0" w:color="auto"/>
              <w:left w:val="single" w:sz="4" w:space="0" w:color="auto"/>
              <w:bottom w:val="single" w:sz="4" w:space="0" w:color="auto"/>
              <w:right w:val="single" w:sz="4" w:space="0" w:color="auto"/>
            </w:tcBorders>
            <w:vAlign w:val="center"/>
            <w:hideMark/>
          </w:tcPr>
          <w:p w14:paraId="716FE1BA" w14:textId="77777777" w:rsidR="0071148C" w:rsidRPr="00235C4D" w:rsidRDefault="0071148C" w:rsidP="00234CBE">
            <w:pPr>
              <w:spacing w:line="276" w:lineRule="auto"/>
              <w:rPr>
                <w:rFonts w:ascii="Book Antiqua" w:hAnsi="Book Antiqua" w:cs="Calibri"/>
                <w:b/>
                <w:bCs/>
                <w:color w:val="FFFFFF"/>
                <w:sz w:val="16"/>
                <w:szCs w:val="16"/>
                <w:lang w:eastAsia="es-CR"/>
              </w:rPr>
            </w:pPr>
          </w:p>
        </w:tc>
      </w:tr>
      <w:tr w:rsidR="0071148C" w:rsidRPr="00235C4D" w14:paraId="3FC1ED71" w14:textId="77777777" w:rsidTr="0071148C">
        <w:trPr>
          <w:trHeight w:val="243"/>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14:paraId="03A2EEC9" w14:textId="77777777" w:rsidR="0071148C" w:rsidRPr="00235C4D" w:rsidRDefault="0071148C" w:rsidP="00234CBE">
            <w:pPr>
              <w:spacing w:line="276" w:lineRule="auto"/>
              <w:rPr>
                <w:rFonts w:ascii="Book Antiqua" w:hAnsi="Book Antiqua" w:cs="Calibri"/>
                <w:color w:val="000000"/>
                <w:sz w:val="16"/>
                <w:szCs w:val="16"/>
                <w:lang w:eastAsia="es-CR"/>
              </w:rPr>
            </w:pPr>
            <w:r w:rsidRPr="00235C4D">
              <w:rPr>
                <w:rFonts w:ascii="Book Antiqua" w:hAnsi="Book Antiqua" w:cs="Calibri"/>
                <w:color w:val="000000"/>
                <w:sz w:val="16"/>
                <w:szCs w:val="16"/>
                <w:lang w:eastAsia="es-CR"/>
              </w:rPr>
              <w:t> </w:t>
            </w:r>
          </w:p>
        </w:tc>
        <w:tc>
          <w:tcPr>
            <w:tcW w:w="704" w:type="dxa"/>
            <w:tcBorders>
              <w:top w:val="nil"/>
              <w:left w:val="nil"/>
              <w:bottom w:val="single" w:sz="4" w:space="0" w:color="auto"/>
              <w:right w:val="single" w:sz="4" w:space="0" w:color="auto"/>
            </w:tcBorders>
            <w:shd w:val="clear" w:color="auto" w:fill="auto"/>
            <w:noWrap/>
            <w:vAlign w:val="center"/>
            <w:hideMark/>
          </w:tcPr>
          <w:p w14:paraId="1CAF4BB8" w14:textId="77777777" w:rsidR="0071148C" w:rsidRPr="00235C4D" w:rsidRDefault="0071148C" w:rsidP="00234CBE">
            <w:pPr>
              <w:spacing w:line="276" w:lineRule="auto"/>
              <w:jc w:val="center"/>
              <w:rPr>
                <w:rFonts w:ascii="Book Antiqua" w:hAnsi="Book Antiqua" w:cs="Calibri"/>
                <w:color w:val="000000"/>
                <w:sz w:val="16"/>
                <w:szCs w:val="16"/>
                <w:lang w:eastAsia="es-CR"/>
              </w:rPr>
            </w:pPr>
            <w:r w:rsidRPr="00235C4D">
              <w:rPr>
                <w:rFonts w:ascii="Book Antiqua" w:hAnsi="Book Antiqua" w:cs="Calibri"/>
                <w:color w:val="000000"/>
                <w:sz w:val="16"/>
                <w:szCs w:val="16"/>
                <w:lang w:eastAsia="es-CR"/>
              </w:rPr>
              <w:t xml:space="preserve">Enero </w:t>
            </w:r>
          </w:p>
        </w:tc>
        <w:tc>
          <w:tcPr>
            <w:tcW w:w="704" w:type="dxa"/>
            <w:tcBorders>
              <w:top w:val="nil"/>
              <w:left w:val="nil"/>
              <w:bottom w:val="single" w:sz="4" w:space="0" w:color="auto"/>
              <w:right w:val="single" w:sz="4" w:space="0" w:color="auto"/>
            </w:tcBorders>
            <w:shd w:val="clear" w:color="auto" w:fill="auto"/>
            <w:noWrap/>
            <w:vAlign w:val="center"/>
            <w:hideMark/>
          </w:tcPr>
          <w:p w14:paraId="0BF89C40" w14:textId="77777777" w:rsidR="0071148C" w:rsidRPr="00235C4D" w:rsidRDefault="0071148C" w:rsidP="00234CBE">
            <w:pPr>
              <w:spacing w:line="276" w:lineRule="auto"/>
              <w:jc w:val="center"/>
              <w:rPr>
                <w:rFonts w:ascii="Book Antiqua" w:hAnsi="Book Antiqua" w:cs="Calibri"/>
                <w:color w:val="000000"/>
                <w:sz w:val="16"/>
                <w:szCs w:val="16"/>
                <w:lang w:eastAsia="es-CR"/>
              </w:rPr>
            </w:pPr>
            <w:r w:rsidRPr="00235C4D">
              <w:rPr>
                <w:rFonts w:ascii="Book Antiqua" w:hAnsi="Book Antiqua" w:cs="Calibri"/>
                <w:color w:val="000000"/>
                <w:sz w:val="16"/>
                <w:szCs w:val="16"/>
                <w:lang w:eastAsia="es-CR"/>
              </w:rPr>
              <w:t>Febrero</w:t>
            </w:r>
          </w:p>
        </w:tc>
        <w:tc>
          <w:tcPr>
            <w:tcW w:w="704" w:type="dxa"/>
            <w:tcBorders>
              <w:top w:val="nil"/>
              <w:left w:val="nil"/>
              <w:bottom w:val="single" w:sz="4" w:space="0" w:color="auto"/>
              <w:right w:val="single" w:sz="4" w:space="0" w:color="auto"/>
            </w:tcBorders>
            <w:shd w:val="clear" w:color="auto" w:fill="auto"/>
            <w:noWrap/>
            <w:vAlign w:val="center"/>
            <w:hideMark/>
          </w:tcPr>
          <w:p w14:paraId="5B8F04E3" w14:textId="77777777" w:rsidR="0071148C" w:rsidRPr="00235C4D" w:rsidRDefault="0071148C" w:rsidP="00234CBE">
            <w:pPr>
              <w:spacing w:line="276" w:lineRule="auto"/>
              <w:jc w:val="center"/>
              <w:rPr>
                <w:rFonts w:ascii="Book Antiqua" w:hAnsi="Book Antiqua" w:cs="Calibri"/>
                <w:color w:val="000000"/>
                <w:sz w:val="16"/>
                <w:szCs w:val="16"/>
                <w:lang w:eastAsia="es-CR"/>
              </w:rPr>
            </w:pPr>
            <w:r w:rsidRPr="00235C4D">
              <w:rPr>
                <w:rFonts w:ascii="Book Antiqua" w:hAnsi="Book Antiqua" w:cs="Calibri"/>
                <w:color w:val="000000"/>
                <w:sz w:val="16"/>
                <w:szCs w:val="16"/>
                <w:lang w:eastAsia="es-CR"/>
              </w:rPr>
              <w:t>Marzo</w:t>
            </w:r>
          </w:p>
        </w:tc>
        <w:tc>
          <w:tcPr>
            <w:tcW w:w="704" w:type="dxa"/>
            <w:tcBorders>
              <w:top w:val="nil"/>
              <w:left w:val="nil"/>
              <w:bottom w:val="single" w:sz="4" w:space="0" w:color="auto"/>
              <w:right w:val="single" w:sz="4" w:space="0" w:color="auto"/>
            </w:tcBorders>
            <w:shd w:val="clear" w:color="auto" w:fill="auto"/>
            <w:noWrap/>
            <w:vAlign w:val="center"/>
            <w:hideMark/>
          </w:tcPr>
          <w:p w14:paraId="18BB56CD" w14:textId="77777777" w:rsidR="0071148C" w:rsidRPr="00235C4D" w:rsidRDefault="0071148C" w:rsidP="00234CBE">
            <w:pPr>
              <w:spacing w:line="276" w:lineRule="auto"/>
              <w:jc w:val="center"/>
              <w:rPr>
                <w:rFonts w:ascii="Book Antiqua" w:hAnsi="Book Antiqua" w:cs="Calibri"/>
                <w:color w:val="000000"/>
                <w:sz w:val="16"/>
                <w:szCs w:val="16"/>
                <w:lang w:eastAsia="es-CR"/>
              </w:rPr>
            </w:pPr>
            <w:r w:rsidRPr="00235C4D">
              <w:rPr>
                <w:rFonts w:ascii="Book Antiqua" w:hAnsi="Book Antiqua" w:cs="Calibri"/>
                <w:color w:val="000000"/>
                <w:sz w:val="16"/>
                <w:szCs w:val="16"/>
                <w:lang w:eastAsia="es-CR"/>
              </w:rPr>
              <w:t>Abril</w:t>
            </w:r>
          </w:p>
        </w:tc>
        <w:tc>
          <w:tcPr>
            <w:tcW w:w="704" w:type="dxa"/>
            <w:tcBorders>
              <w:top w:val="nil"/>
              <w:left w:val="nil"/>
              <w:bottom w:val="single" w:sz="4" w:space="0" w:color="auto"/>
              <w:right w:val="single" w:sz="4" w:space="0" w:color="auto"/>
            </w:tcBorders>
            <w:shd w:val="clear" w:color="auto" w:fill="auto"/>
            <w:noWrap/>
            <w:vAlign w:val="center"/>
            <w:hideMark/>
          </w:tcPr>
          <w:p w14:paraId="65FDC43F" w14:textId="77777777" w:rsidR="0071148C" w:rsidRPr="00235C4D" w:rsidRDefault="0071148C" w:rsidP="00234CBE">
            <w:pPr>
              <w:spacing w:line="276" w:lineRule="auto"/>
              <w:jc w:val="center"/>
              <w:rPr>
                <w:rFonts w:ascii="Book Antiqua" w:hAnsi="Book Antiqua" w:cs="Calibri"/>
                <w:color w:val="000000"/>
                <w:sz w:val="16"/>
                <w:szCs w:val="16"/>
                <w:lang w:eastAsia="es-CR"/>
              </w:rPr>
            </w:pPr>
            <w:r w:rsidRPr="00235C4D">
              <w:rPr>
                <w:rFonts w:ascii="Book Antiqua" w:hAnsi="Book Antiqua" w:cs="Calibri"/>
                <w:color w:val="000000"/>
                <w:sz w:val="16"/>
                <w:szCs w:val="16"/>
                <w:lang w:eastAsia="es-CR"/>
              </w:rPr>
              <w:t>Mayo</w:t>
            </w:r>
          </w:p>
        </w:tc>
        <w:tc>
          <w:tcPr>
            <w:tcW w:w="704" w:type="dxa"/>
            <w:tcBorders>
              <w:top w:val="nil"/>
              <w:left w:val="nil"/>
              <w:bottom w:val="single" w:sz="4" w:space="0" w:color="auto"/>
              <w:right w:val="single" w:sz="4" w:space="0" w:color="auto"/>
            </w:tcBorders>
            <w:shd w:val="clear" w:color="auto" w:fill="auto"/>
            <w:noWrap/>
            <w:vAlign w:val="center"/>
            <w:hideMark/>
          </w:tcPr>
          <w:p w14:paraId="535E938E" w14:textId="77777777" w:rsidR="0071148C" w:rsidRPr="00235C4D" w:rsidRDefault="0071148C" w:rsidP="00234CBE">
            <w:pPr>
              <w:spacing w:line="276" w:lineRule="auto"/>
              <w:jc w:val="center"/>
              <w:rPr>
                <w:rFonts w:ascii="Book Antiqua" w:hAnsi="Book Antiqua" w:cs="Calibri"/>
                <w:color w:val="000000"/>
                <w:sz w:val="16"/>
                <w:szCs w:val="16"/>
                <w:lang w:eastAsia="es-CR"/>
              </w:rPr>
            </w:pPr>
            <w:r w:rsidRPr="00235C4D">
              <w:rPr>
                <w:rFonts w:ascii="Book Antiqua" w:hAnsi="Book Antiqua" w:cs="Calibri"/>
                <w:color w:val="000000"/>
                <w:sz w:val="16"/>
                <w:szCs w:val="16"/>
                <w:lang w:eastAsia="es-CR"/>
              </w:rPr>
              <w:t>Junio</w:t>
            </w:r>
          </w:p>
        </w:tc>
        <w:tc>
          <w:tcPr>
            <w:tcW w:w="704" w:type="dxa"/>
            <w:tcBorders>
              <w:top w:val="nil"/>
              <w:left w:val="nil"/>
              <w:bottom w:val="single" w:sz="4" w:space="0" w:color="auto"/>
              <w:right w:val="single" w:sz="4" w:space="0" w:color="auto"/>
            </w:tcBorders>
            <w:shd w:val="clear" w:color="auto" w:fill="auto"/>
            <w:noWrap/>
            <w:vAlign w:val="center"/>
            <w:hideMark/>
          </w:tcPr>
          <w:p w14:paraId="6E4F9349" w14:textId="77777777" w:rsidR="0071148C" w:rsidRPr="00235C4D" w:rsidRDefault="0071148C" w:rsidP="00234CBE">
            <w:pPr>
              <w:spacing w:line="276" w:lineRule="auto"/>
              <w:jc w:val="center"/>
              <w:rPr>
                <w:rFonts w:ascii="Book Antiqua" w:hAnsi="Book Antiqua" w:cs="Calibri"/>
                <w:color w:val="000000"/>
                <w:sz w:val="16"/>
                <w:szCs w:val="16"/>
                <w:lang w:eastAsia="es-CR"/>
              </w:rPr>
            </w:pPr>
            <w:r w:rsidRPr="00235C4D">
              <w:rPr>
                <w:rFonts w:ascii="Book Antiqua" w:hAnsi="Book Antiqua" w:cs="Calibri"/>
                <w:color w:val="000000"/>
                <w:sz w:val="16"/>
                <w:szCs w:val="16"/>
                <w:lang w:eastAsia="es-CR"/>
              </w:rPr>
              <w:t>Julio</w:t>
            </w:r>
          </w:p>
        </w:tc>
        <w:tc>
          <w:tcPr>
            <w:tcW w:w="799" w:type="dxa"/>
            <w:tcBorders>
              <w:top w:val="nil"/>
              <w:left w:val="nil"/>
              <w:bottom w:val="single" w:sz="4" w:space="0" w:color="auto"/>
              <w:right w:val="single" w:sz="4" w:space="0" w:color="auto"/>
            </w:tcBorders>
            <w:shd w:val="clear" w:color="auto" w:fill="auto"/>
            <w:noWrap/>
            <w:vAlign w:val="center"/>
            <w:hideMark/>
          </w:tcPr>
          <w:p w14:paraId="7DD25C84" w14:textId="77777777" w:rsidR="0071148C" w:rsidRPr="00235C4D" w:rsidRDefault="0071148C" w:rsidP="00234CBE">
            <w:pPr>
              <w:spacing w:line="276" w:lineRule="auto"/>
              <w:jc w:val="center"/>
              <w:rPr>
                <w:rFonts w:ascii="Book Antiqua" w:hAnsi="Book Antiqua" w:cs="Calibri"/>
                <w:color w:val="000000"/>
                <w:sz w:val="16"/>
                <w:szCs w:val="16"/>
                <w:lang w:eastAsia="es-CR"/>
              </w:rPr>
            </w:pPr>
            <w:r w:rsidRPr="00235C4D">
              <w:rPr>
                <w:rFonts w:ascii="Book Antiqua" w:hAnsi="Book Antiqua" w:cs="Calibri"/>
                <w:color w:val="000000"/>
                <w:sz w:val="16"/>
                <w:szCs w:val="16"/>
                <w:lang w:eastAsia="es-CR"/>
              </w:rPr>
              <w:t>Agosto</w:t>
            </w:r>
          </w:p>
        </w:tc>
        <w:tc>
          <w:tcPr>
            <w:tcW w:w="878" w:type="dxa"/>
            <w:tcBorders>
              <w:top w:val="nil"/>
              <w:left w:val="nil"/>
              <w:bottom w:val="single" w:sz="4" w:space="0" w:color="auto"/>
              <w:right w:val="single" w:sz="4" w:space="0" w:color="auto"/>
            </w:tcBorders>
            <w:shd w:val="clear" w:color="auto" w:fill="auto"/>
            <w:noWrap/>
            <w:vAlign w:val="center"/>
            <w:hideMark/>
          </w:tcPr>
          <w:p w14:paraId="0A341DAE" w14:textId="77777777" w:rsidR="0071148C" w:rsidRPr="00235C4D" w:rsidRDefault="0071148C" w:rsidP="00234CBE">
            <w:pPr>
              <w:spacing w:line="276" w:lineRule="auto"/>
              <w:jc w:val="center"/>
              <w:rPr>
                <w:rFonts w:ascii="Book Antiqua" w:hAnsi="Book Antiqua" w:cs="Calibri"/>
                <w:color w:val="000000"/>
                <w:sz w:val="16"/>
                <w:szCs w:val="16"/>
                <w:lang w:eastAsia="es-CR"/>
              </w:rPr>
            </w:pPr>
            <w:r w:rsidRPr="00235C4D">
              <w:rPr>
                <w:rFonts w:ascii="Book Antiqua" w:hAnsi="Book Antiqua" w:cs="Calibri"/>
                <w:color w:val="000000"/>
                <w:sz w:val="16"/>
                <w:szCs w:val="16"/>
                <w:lang w:eastAsia="es-CR"/>
              </w:rPr>
              <w:t>Setiembre</w:t>
            </w:r>
          </w:p>
        </w:tc>
        <w:tc>
          <w:tcPr>
            <w:tcW w:w="1584" w:type="dxa"/>
            <w:vMerge w:val="restart"/>
            <w:tcBorders>
              <w:top w:val="nil"/>
              <w:left w:val="single" w:sz="4" w:space="0" w:color="auto"/>
              <w:bottom w:val="single" w:sz="4" w:space="0" w:color="auto"/>
              <w:right w:val="single" w:sz="4" w:space="0" w:color="auto"/>
            </w:tcBorders>
            <w:shd w:val="clear" w:color="auto" w:fill="auto"/>
            <w:vAlign w:val="center"/>
            <w:hideMark/>
          </w:tcPr>
          <w:p w14:paraId="0C635B14" w14:textId="77777777" w:rsidR="0071148C" w:rsidRPr="00235C4D" w:rsidRDefault="0071148C" w:rsidP="00234CBE">
            <w:pPr>
              <w:spacing w:line="276" w:lineRule="auto"/>
              <w:jc w:val="center"/>
              <w:rPr>
                <w:rFonts w:ascii="Book Antiqua" w:hAnsi="Book Antiqua" w:cs="Calibri"/>
                <w:b/>
                <w:bCs/>
                <w:color w:val="000000"/>
                <w:sz w:val="16"/>
                <w:szCs w:val="16"/>
                <w:lang w:eastAsia="es-CR"/>
              </w:rPr>
            </w:pPr>
            <w:r w:rsidRPr="00235C4D">
              <w:rPr>
                <w:rFonts w:ascii="Book Antiqua" w:hAnsi="Book Antiqua" w:cs="Calibri"/>
                <w:b/>
                <w:bCs/>
                <w:color w:val="000000"/>
                <w:sz w:val="16"/>
                <w:szCs w:val="16"/>
                <w:lang w:eastAsia="es-CR"/>
              </w:rPr>
              <w:t>Crecimiento entre setiembre y enero</w:t>
            </w:r>
          </w:p>
        </w:tc>
      </w:tr>
      <w:tr w:rsidR="0071148C" w:rsidRPr="00235C4D" w14:paraId="7C005673" w14:textId="77777777" w:rsidTr="0071148C">
        <w:trPr>
          <w:trHeight w:val="243"/>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14:paraId="0DBEE8DD" w14:textId="77777777" w:rsidR="0071148C" w:rsidRPr="00235C4D" w:rsidRDefault="0071148C" w:rsidP="00234CBE">
            <w:pPr>
              <w:spacing w:line="276" w:lineRule="auto"/>
              <w:jc w:val="center"/>
              <w:rPr>
                <w:rFonts w:ascii="Book Antiqua" w:hAnsi="Book Antiqua" w:cs="Calibri"/>
                <w:b/>
                <w:bCs/>
                <w:color w:val="000000"/>
                <w:sz w:val="16"/>
                <w:szCs w:val="16"/>
                <w:lang w:eastAsia="es-CR"/>
              </w:rPr>
            </w:pPr>
            <w:r w:rsidRPr="00235C4D">
              <w:rPr>
                <w:rFonts w:ascii="Book Antiqua" w:hAnsi="Book Antiqua" w:cs="Calibri"/>
                <w:b/>
                <w:bCs/>
                <w:color w:val="000000"/>
                <w:sz w:val="16"/>
                <w:szCs w:val="16"/>
                <w:lang w:eastAsia="es-CR"/>
              </w:rPr>
              <w:t> </w:t>
            </w:r>
          </w:p>
        </w:tc>
        <w:tc>
          <w:tcPr>
            <w:tcW w:w="704" w:type="dxa"/>
            <w:tcBorders>
              <w:top w:val="nil"/>
              <w:left w:val="nil"/>
              <w:bottom w:val="single" w:sz="4" w:space="0" w:color="auto"/>
              <w:right w:val="single" w:sz="4" w:space="0" w:color="auto"/>
            </w:tcBorders>
            <w:shd w:val="clear" w:color="auto" w:fill="auto"/>
            <w:noWrap/>
            <w:vAlign w:val="center"/>
            <w:hideMark/>
          </w:tcPr>
          <w:p w14:paraId="6FF80D78" w14:textId="77777777" w:rsidR="0071148C" w:rsidRPr="00235C4D" w:rsidRDefault="0071148C" w:rsidP="00234CBE">
            <w:pPr>
              <w:spacing w:line="276" w:lineRule="auto"/>
              <w:jc w:val="center"/>
              <w:rPr>
                <w:rFonts w:ascii="Book Antiqua" w:hAnsi="Book Antiqua" w:cs="Calibri"/>
                <w:b/>
                <w:bCs/>
                <w:color w:val="000000"/>
                <w:sz w:val="16"/>
                <w:szCs w:val="16"/>
                <w:lang w:eastAsia="es-CR"/>
              </w:rPr>
            </w:pPr>
            <w:r w:rsidRPr="00235C4D">
              <w:rPr>
                <w:rFonts w:ascii="Book Antiqua" w:hAnsi="Book Antiqua" w:cs="Calibri"/>
                <w:b/>
                <w:bCs/>
                <w:color w:val="000000"/>
                <w:sz w:val="16"/>
                <w:szCs w:val="16"/>
                <w:lang w:eastAsia="es-CR"/>
              </w:rPr>
              <w:t>2 021</w:t>
            </w:r>
          </w:p>
        </w:tc>
        <w:tc>
          <w:tcPr>
            <w:tcW w:w="704" w:type="dxa"/>
            <w:tcBorders>
              <w:top w:val="nil"/>
              <w:left w:val="nil"/>
              <w:bottom w:val="single" w:sz="4" w:space="0" w:color="auto"/>
              <w:right w:val="single" w:sz="4" w:space="0" w:color="auto"/>
            </w:tcBorders>
            <w:shd w:val="clear" w:color="auto" w:fill="auto"/>
            <w:noWrap/>
            <w:vAlign w:val="center"/>
            <w:hideMark/>
          </w:tcPr>
          <w:p w14:paraId="1A29B4B9" w14:textId="77777777" w:rsidR="0071148C" w:rsidRPr="00235C4D" w:rsidRDefault="0071148C" w:rsidP="00234CBE">
            <w:pPr>
              <w:spacing w:line="276" w:lineRule="auto"/>
              <w:jc w:val="center"/>
              <w:rPr>
                <w:rFonts w:ascii="Book Antiqua" w:hAnsi="Book Antiqua" w:cs="Calibri"/>
                <w:b/>
                <w:bCs/>
                <w:color w:val="000000"/>
                <w:sz w:val="16"/>
                <w:szCs w:val="16"/>
                <w:lang w:eastAsia="es-CR"/>
              </w:rPr>
            </w:pPr>
            <w:r w:rsidRPr="00235C4D">
              <w:rPr>
                <w:rFonts w:ascii="Book Antiqua" w:hAnsi="Book Antiqua" w:cs="Calibri"/>
                <w:b/>
                <w:bCs/>
                <w:color w:val="000000"/>
                <w:sz w:val="16"/>
                <w:szCs w:val="16"/>
                <w:lang w:eastAsia="es-CR"/>
              </w:rPr>
              <w:t>2 021</w:t>
            </w:r>
          </w:p>
        </w:tc>
        <w:tc>
          <w:tcPr>
            <w:tcW w:w="704" w:type="dxa"/>
            <w:tcBorders>
              <w:top w:val="nil"/>
              <w:left w:val="nil"/>
              <w:bottom w:val="single" w:sz="4" w:space="0" w:color="auto"/>
              <w:right w:val="single" w:sz="4" w:space="0" w:color="auto"/>
            </w:tcBorders>
            <w:shd w:val="clear" w:color="auto" w:fill="auto"/>
            <w:noWrap/>
            <w:vAlign w:val="center"/>
            <w:hideMark/>
          </w:tcPr>
          <w:p w14:paraId="4D06E80F" w14:textId="77777777" w:rsidR="0071148C" w:rsidRPr="00235C4D" w:rsidRDefault="0071148C" w:rsidP="00234CBE">
            <w:pPr>
              <w:spacing w:line="276" w:lineRule="auto"/>
              <w:jc w:val="center"/>
              <w:rPr>
                <w:rFonts w:ascii="Book Antiqua" w:hAnsi="Book Antiqua" w:cs="Calibri"/>
                <w:b/>
                <w:bCs/>
                <w:color w:val="000000"/>
                <w:sz w:val="16"/>
                <w:szCs w:val="16"/>
                <w:lang w:eastAsia="es-CR"/>
              </w:rPr>
            </w:pPr>
            <w:r w:rsidRPr="00235C4D">
              <w:rPr>
                <w:rFonts w:ascii="Book Antiqua" w:hAnsi="Book Antiqua" w:cs="Calibri"/>
                <w:b/>
                <w:bCs/>
                <w:color w:val="000000"/>
                <w:sz w:val="16"/>
                <w:szCs w:val="16"/>
                <w:lang w:eastAsia="es-CR"/>
              </w:rPr>
              <w:t>2 021</w:t>
            </w:r>
          </w:p>
        </w:tc>
        <w:tc>
          <w:tcPr>
            <w:tcW w:w="704" w:type="dxa"/>
            <w:tcBorders>
              <w:top w:val="nil"/>
              <w:left w:val="nil"/>
              <w:bottom w:val="single" w:sz="4" w:space="0" w:color="auto"/>
              <w:right w:val="single" w:sz="4" w:space="0" w:color="auto"/>
            </w:tcBorders>
            <w:shd w:val="clear" w:color="auto" w:fill="auto"/>
            <w:noWrap/>
            <w:vAlign w:val="center"/>
            <w:hideMark/>
          </w:tcPr>
          <w:p w14:paraId="1D0172E6" w14:textId="77777777" w:rsidR="0071148C" w:rsidRPr="00235C4D" w:rsidRDefault="0071148C" w:rsidP="00234CBE">
            <w:pPr>
              <w:spacing w:line="276" w:lineRule="auto"/>
              <w:jc w:val="center"/>
              <w:rPr>
                <w:rFonts w:ascii="Book Antiqua" w:hAnsi="Book Antiqua" w:cs="Calibri"/>
                <w:b/>
                <w:bCs/>
                <w:color w:val="000000"/>
                <w:sz w:val="16"/>
                <w:szCs w:val="16"/>
                <w:lang w:eastAsia="es-CR"/>
              </w:rPr>
            </w:pPr>
            <w:r w:rsidRPr="00235C4D">
              <w:rPr>
                <w:rFonts w:ascii="Book Antiqua" w:hAnsi="Book Antiqua" w:cs="Calibri"/>
                <w:b/>
                <w:bCs/>
                <w:color w:val="000000"/>
                <w:sz w:val="16"/>
                <w:szCs w:val="16"/>
                <w:lang w:eastAsia="es-CR"/>
              </w:rPr>
              <w:t>2021</w:t>
            </w:r>
          </w:p>
        </w:tc>
        <w:tc>
          <w:tcPr>
            <w:tcW w:w="704" w:type="dxa"/>
            <w:tcBorders>
              <w:top w:val="nil"/>
              <w:left w:val="nil"/>
              <w:bottom w:val="single" w:sz="4" w:space="0" w:color="auto"/>
              <w:right w:val="single" w:sz="4" w:space="0" w:color="auto"/>
            </w:tcBorders>
            <w:shd w:val="clear" w:color="auto" w:fill="auto"/>
            <w:noWrap/>
            <w:vAlign w:val="center"/>
            <w:hideMark/>
          </w:tcPr>
          <w:p w14:paraId="5BA1A729" w14:textId="77777777" w:rsidR="0071148C" w:rsidRPr="00235C4D" w:rsidRDefault="0071148C" w:rsidP="00234CBE">
            <w:pPr>
              <w:spacing w:line="276" w:lineRule="auto"/>
              <w:jc w:val="center"/>
              <w:rPr>
                <w:rFonts w:ascii="Book Antiqua" w:hAnsi="Book Antiqua" w:cs="Calibri"/>
                <w:b/>
                <w:bCs/>
                <w:color w:val="000000"/>
                <w:sz w:val="16"/>
                <w:szCs w:val="16"/>
                <w:lang w:eastAsia="es-CR"/>
              </w:rPr>
            </w:pPr>
            <w:r w:rsidRPr="00235C4D">
              <w:rPr>
                <w:rFonts w:ascii="Book Antiqua" w:hAnsi="Book Antiqua" w:cs="Calibri"/>
                <w:b/>
                <w:bCs/>
                <w:color w:val="000000"/>
                <w:sz w:val="16"/>
                <w:szCs w:val="16"/>
                <w:lang w:eastAsia="es-CR"/>
              </w:rPr>
              <w:t>2021</w:t>
            </w:r>
          </w:p>
        </w:tc>
        <w:tc>
          <w:tcPr>
            <w:tcW w:w="704" w:type="dxa"/>
            <w:tcBorders>
              <w:top w:val="nil"/>
              <w:left w:val="nil"/>
              <w:bottom w:val="single" w:sz="4" w:space="0" w:color="auto"/>
              <w:right w:val="single" w:sz="4" w:space="0" w:color="auto"/>
            </w:tcBorders>
            <w:shd w:val="clear" w:color="auto" w:fill="auto"/>
            <w:noWrap/>
            <w:vAlign w:val="center"/>
            <w:hideMark/>
          </w:tcPr>
          <w:p w14:paraId="6396C648" w14:textId="77777777" w:rsidR="0071148C" w:rsidRPr="00235C4D" w:rsidRDefault="0071148C" w:rsidP="00234CBE">
            <w:pPr>
              <w:spacing w:line="276" w:lineRule="auto"/>
              <w:jc w:val="center"/>
              <w:rPr>
                <w:rFonts w:ascii="Book Antiqua" w:hAnsi="Book Antiqua" w:cs="Calibri"/>
                <w:b/>
                <w:bCs/>
                <w:color w:val="000000"/>
                <w:sz w:val="16"/>
                <w:szCs w:val="16"/>
                <w:lang w:eastAsia="es-CR"/>
              </w:rPr>
            </w:pPr>
            <w:r w:rsidRPr="00235C4D">
              <w:rPr>
                <w:rFonts w:ascii="Book Antiqua" w:hAnsi="Book Antiqua" w:cs="Calibri"/>
                <w:b/>
                <w:bCs/>
                <w:color w:val="000000"/>
                <w:sz w:val="16"/>
                <w:szCs w:val="16"/>
                <w:lang w:eastAsia="es-CR"/>
              </w:rPr>
              <w:t>2021</w:t>
            </w:r>
          </w:p>
        </w:tc>
        <w:tc>
          <w:tcPr>
            <w:tcW w:w="704" w:type="dxa"/>
            <w:tcBorders>
              <w:top w:val="nil"/>
              <w:left w:val="nil"/>
              <w:bottom w:val="single" w:sz="4" w:space="0" w:color="auto"/>
              <w:right w:val="single" w:sz="4" w:space="0" w:color="auto"/>
            </w:tcBorders>
            <w:shd w:val="clear" w:color="auto" w:fill="auto"/>
            <w:noWrap/>
            <w:vAlign w:val="center"/>
            <w:hideMark/>
          </w:tcPr>
          <w:p w14:paraId="2A4191B2" w14:textId="77777777" w:rsidR="0071148C" w:rsidRPr="00235C4D" w:rsidRDefault="0071148C" w:rsidP="00234CBE">
            <w:pPr>
              <w:spacing w:line="276" w:lineRule="auto"/>
              <w:jc w:val="center"/>
              <w:rPr>
                <w:rFonts w:ascii="Book Antiqua" w:hAnsi="Book Antiqua" w:cs="Calibri"/>
                <w:b/>
                <w:bCs/>
                <w:color w:val="000000"/>
                <w:sz w:val="16"/>
                <w:szCs w:val="16"/>
                <w:lang w:eastAsia="es-CR"/>
              </w:rPr>
            </w:pPr>
            <w:r w:rsidRPr="00235C4D">
              <w:rPr>
                <w:rFonts w:ascii="Book Antiqua" w:hAnsi="Book Antiqua" w:cs="Calibri"/>
                <w:b/>
                <w:bCs/>
                <w:color w:val="000000"/>
                <w:sz w:val="16"/>
                <w:szCs w:val="16"/>
                <w:lang w:eastAsia="es-CR"/>
              </w:rPr>
              <w:t>2021</w:t>
            </w:r>
          </w:p>
        </w:tc>
        <w:tc>
          <w:tcPr>
            <w:tcW w:w="799" w:type="dxa"/>
            <w:tcBorders>
              <w:top w:val="nil"/>
              <w:left w:val="nil"/>
              <w:bottom w:val="single" w:sz="4" w:space="0" w:color="auto"/>
              <w:right w:val="single" w:sz="4" w:space="0" w:color="auto"/>
            </w:tcBorders>
            <w:shd w:val="clear" w:color="auto" w:fill="auto"/>
            <w:noWrap/>
            <w:vAlign w:val="center"/>
            <w:hideMark/>
          </w:tcPr>
          <w:p w14:paraId="307F35D4" w14:textId="77777777" w:rsidR="0071148C" w:rsidRPr="00235C4D" w:rsidRDefault="0071148C" w:rsidP="00234CBE">
            <w:pPr>
              <w:spacing w:line="276" w:lineRule="auto"/>
              <w:jc w:val="center"/>
              <w:rPr>
                <w:rFonts w:ascii="Book Antiqua" w:hAnsi="Book Antiqua" w:cs="Calibri"/>
                <w:b/>
                <w:bCs/>
                <w:color w:val="000000"/>
                <w:sz w:val="16"/>
                <w:szCs w:val="16"/>
                <w:lang w:eastAsia="es-CR"/>
              </w:rPr>
            </w:pPr>
            <w:r w:rsidRPr="00235C4D">
              <w:rPr>
                <w:rFonts w:ascii="Book Antiqua" w:hAnsi="Book Antiqua" w:cs="Calibri"/>
                <w:b/>
                <w:bCs/>
                <w:color w:val="000000"/>
                <w:sz w:val="16"/>
                <w:szCs w:val="16"/>
                <w:lang w:eastAsia="es-CR"/>
              </w:rPr>
              <w:t>2021</w:t>
            </w:r>
          </w:p>
        </w:tc>
        <w:tc>
          <w:tcPr>
            <w:tcW w:w="878" w:type="dxa"/>
            <w:tcBorders>
              <w:top w:val="nil"/>
              <w:left w:val="nil"/>
              <w:bottom w:val="single" w:sz="4" w:space="0" w:color="auto"/>
              <w:right w:val="single" w:sz="4" w:space="0" w:color="auto"/>
            </w:tcBorders>
            <w:shd w:val="clear" w:color="auto" w:fill="auto"/>
            <w:noWrap/>
            <w:vAlign w:val="center"/>
            <w:hideMark/>
          </w:tcPr>
          <w:p w14:paraId="1B40C987" w14:textId="77777777" w:rsidR="0071148C" w:rsidRPr="00235C4D" w:rsidRDefault="0071148C" w:rsidP="00234CBE">
            <w:pPr>
              <w:spacing w:line="276" w:lineRule="auto"/>
              <w:jc w:val="center"/>
              <w:rPr>
                <w:rFonts w:ascii="Book Antiqua" w:hAnsi="Book Antiqua" w:cs="Calibri"/>
                <w:b/>
                <w:bCs/>
                <w:color w:val="000000"/>
                <w:sz w:val="16"/>
                <w:szCs w:val="16"/>
                <w:lang w:eastAsia="es-CR"/>
              </w:rPr>
            </w:pPr>
            <w:r w:rsidRPr="00235C4D">
              <w:rPr>
                <w:rFonts w:ascii="Book Antiqua" w:hAnsi="Book Antiqua" w:cs="Calibri"/>
                <w:b/>
                <w:bCs/>
                <w:color w:val="000000"/>
                <w:sz w:val="16"/>
                <w:szCs w:val="16"/>
                <w:lang w:eastAsia="es-CR"/>
              </w:rPr>
              <w:t>2021</w:t>
            </w:r>
          </w:p>
        </w:tc>
        <w:tc>
          <w:tcPr>
            <w:tcW w:w="1584" w:type="dxa"/>
            <w:vMerge/>
            <w:tcBorders>
              <w:top w:val="nil"/>
              <w:left w:val="single" w:sz="4" w:space="0" w:color="auto"/>
              <w:bottom w:val="single" w:sz="4" w:space="0" w:color="auto"/>
              <w:right w:val="single" w:sz="4" w:space="0" w:color="auto"/>
            </w:tcBorders>
            <w:vAlign w:val="center"/>
            <w:hideMark/>
          </w:tcPr>
          <w:p w14:paraId="1F800CC6" w14:textId="77777777" w:rsidR="0071148C" w:rsidRPr="00235C4D" w:rsidRDefault="0071148C" w:rsidP="00234CBE">
            <w:pPr>
              <w:spacing w:line="276" w:lineRule="auto"/>
              <w:rPr>
                <w:rFonts w:ascii="Book Antiqua" w:hAnsi="Book Antiqua" w:cs="Calibri"/>
                <w:b/>
                <w:bCs/>
                <w:color w:val="000000"/>
                <w:sz w:val="16"/>
                <w:szCs w:val="16"/>
                <w:lang w:eastAsia="es-CR"/>
              </w:rPr>
            </w:pPr>
          </w:p>
        </w:tc>
      </w:tr>
      <w:tr w:rsidR="0071148C" w:rsidRPr="00235C4D" w14:paraId="394FBF01" w14:textId="77777777" w:rsidTr="0071148C">
        <w:trPr>
          <w:trHeight w:val="243"/>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14:paraId="34017988" w14:textId="77777777" w:rsidR="0071148C" w:rsidRPr="00235C4D" w:rsidRDefault="0071148C" w:rsidP="00234CBE">
            <w:pPr>
              <w:spacing w:line="276" w:lineRule="auto"/>
              <w:jc w:val="center"/>
              <w:rPr>
                <w:rFonts w:ascii="Book Antiqua" w:hAnsi="Book Antiqua" w:cs="Calibri"/>
                <w:b/>
                <w:bCs/>
                <w:color w:val="000000"/>
                <w:sz w:val="16"/>
                <w:szCs w:val="16"/>
                <w:lang w:eastAsia="es-CR"/>
              </w:rPr>
            </w:pPr>
            <w:r w:rsidRPr="00235C4D">
              <w:rPr>
                <w:rFonts w:ascii="Book Antiqua" w:hAnsi="Book Antiqua" w:cs="Calibri"/>
                <w:b/>
                <w:bCs/>
                <w:color w:val="000000"/>
                <w:sz w:val="16"/>
                <w:szCs w:val="16"/>
                <w:lang w:eastAsia="es-CR"/>
              </w:rPr>
              <w:t> </w:t>
            </w:r>
          </w:p>
        </w:tc>
        <w:tc>
          <w:tcPr>
            <w:tcW w:w="704" w:type="dxa"/>
            <w:tcBorders>
              <w:top w:val="nil"/>
              <w:left w:val="nil"/>
              <w:bottom w:val="single" w:sz="4" w:space="0" w:color="auto"/>
              <w:right w:val="single" w:sz="4" w:space="0" w:color="auto"/>
            </w:tcBorders>
            <w:shd w:val="clear" w:color="auto" w:fill="auto"/>
            <w:noWrap/>
            <w:vAlign w:val="center"/>
            <w:hideMark/>
          </w:tcPr>
          <w:p w14:paraId="37A024B5" w14:textId="77777777" w:rsidR="0071148C" w:rsidRPr="00235C4D" w:rsidRDefault="0071148C" w:rsidP="00234CBE">
            <w:pPr>
              <w:spacing w:line="276" w:lineRule="auto"/>
              <w:jc w:val="center"/>
              <w:rPr>
                <w:rFonts w:ascii="Book Antiqua" w:hAnsi="Book Antiqua" w:cs="Calibri"/>
                <w:b/>
                <w:bCs/>
                <w:color w:val="000000"/>
                <w:sz w:val="16"/>
                <w:szCs w:val="16"/>
                <w:lang w:eastAsia="es-CR"/>
              </w:rPr>
            </w:pPr>
            <w:r w:rsidRPr="00235C4D">
              <w:rPr>
                <w:rFonts w:ascii="Book Antiqua" w:hAnsi="Book Antiqua" w:cs="Calibri"/>
                <w:b/>
                <w:bCs/>
                <w:color w:val="000000"/>
                <w:sz w:val="16"/>
                <w:szCs w:val="16"/>
                <w:lang w:eastAsia="es-CR"/>
              </w:rPr>
              <w:t> </w:t>
            </w:r>
          </w:p>
        </w:tc>
        <w:tc>
          <w:tcPr>
            <w:tcW w:w="704" w:type="dxa"/>
            <w:tcBorders>
              <w:top w:val="nil"/>
              <w:left w:val="nil"/>
              <w:bottom w:val="single" w:sz="4" w:space="0" w:color="auto"/>
              <w:right w:val="single" w:sz="4" w:space="0" w:color="auto"/>
            </w:tcBorders>
            <w:shd w:val="clear" w:color="auto" w:fill="auto"/>
            <w:noWrap/>
            <w:vAlign w:val="center"/>
            <w:hideMark/>
          </w:tcPr>
          <w:p w14:paraId="15AD067A" w14:textId="77777777" w:rsidR="0071148C" w:rsidRPr="00235C4D" w:rsidRDefault="0071148C" w:rsidP="00234CBE">
            <w:pPr>
              <w:spacing w:line="276" w:lineRule="auto"/>
              <w:jc w:val="center"/>
              <w:rPr>
                <w:rFonts w:ascii="Book Antiqua" w:hAnsi="Book Antiqua" w:cs="Calibri"/>
                <w:b/>
                <w:bCs/>
                <w:color w:val="000000"/>
                <w:sz w:val="16"/>
                <w:szCs w:val="16"/>
                <w:lang w:eastAsia="es-CR"/>
              </w:rPr>
            </w:pPr>
            <w:r w:rsidRPr="00235C4D">
              <w:rPr>
                <w:rFonts w:ascii="Book Antiqua" w:hAnsi="Book Antiqua" w:cs="Calibri"/>
                <w:b/>
                <w:bCs/>
                <w:color w:val="000000"/>
                <w:sz w:val="16"/>
                <w:szCs w:val="16"/>
                <w:lang w:eastAsia="es-CR"/>
              </w:rPr>
              <w:t> </w:t>
            </w:r>
          </w:p>
        </w:tc>
        <w:tc>
          <w:tcPr>
            <w:tcW w:w="704" w:type="dxa"/>
            <w:tcBorders>
              <w:top w:val="nil"/>
              <w:left w:val="nil"/>
              <w:bottom w:val="single" w:sz="4" w:space="0" w:color="auto"/>
              <w:right w:val="single" w:sz="4" w:space="0" w:color="auto"/>
            </w:tcBorders>
            <w:shd w:val="clear" w:color="auto" w:fill="auto"/>
            <w:noWrap/>
            <w:vAlign w:val="center"/>
            <w:hideMark/>
          </w:tcPr>
          <w:p w14:paraId="29DE3E2E" w14:textId="77777777" w:rsidR="0071148C" w:rsidRPr="00235C4D" w:rsidRDefault="0071148C" w:rsidP="00234CBE">
            <w:pPr>
              <w:spacing w:line="276" w:lineRule="auto"/>
              <w:jc w:val="center"/>
              <w:rPr>
                <w:rFonts w:ascii="Book Antiqua" w:hAnsi="Book Antiqua" w:cs="Calibri"/>
                <w:b/>
                <w:bCs/>
                <w:color w:val="000000"/>
                <w:sz w:val="16"/>
                <w:szCs w:val="16"/>
                <w:lang w:eastAsia="es-CR"/>
              </w:rPr>
            </w:pPr>
            <w:r w:rsidRPr="00235C4D">
              <w:rPr>
                <w:rFonts w:ascii="Book Antiqua" w:hAnsi="Book Antiqua" w:cs="Calibri"/>
                <w:b/>
                <w:bCs/>
                <w:color w:val="000000"/>
                <w:sz w:val="16"/>
                <w:szCs w:val="16"/>
                <w:lang w:eastAsia="es-CR"/>
              </w:rPr>
              <w:t> </w:t>
            </w:r>
          </w:p>
        </w:tc>
        <w:tc>
          <w:tcPr>
            <w:tcW w:w="704" w:type="dxa"/>
            <w:tcBorders>
              <w:top w:val="nil"/>
              <w:left w:val="nil"/>
              <w:bottom w:val="single" w:sz="4" w:space="0" w:color="auto"/>
              <w:right w:val="single" w:sz="4" w:space="0" w:color="auto"/>
            </w:tcBorders>
            <w:shd w:val="clear" w:color="auto" w:fill="auto"/>
            <w:noWrap/>
            <w:vAlign w:val="center"/>
            <w:hideMark/>
          </w:tcPr>
          <w:p w14:paraId="4E04259B" w14:textId="77777777" w:rsidR="0071148C" w:rsidRPr="00235C4D" w:rsidRDefault="0071148C" w:rsidP="00234CBE">
            <w:pPr>
              <w:spacing w:line="276" w:lineRule="auto"/>
              <w:jc w:val="center"/>
              <w:rPr>
                <w:rFonts w:ascii="Book Antiqua" w:hAnsi="Book Antiqua" w:cs="Calibri"/>
                <w:b/>
                <w:bCs/>
                <w:color w:val="000000"/>
                <w:sz w:val="16"/>
                <w:szCs w:val="16"/>
                <w:lang w:eastAsia="es-CR"/>
              </w:rPr>
            </w:pPr>
            <w:r w:rsidRPr="00235C4D">
              <w:rPr>
                <w:rFonts w:ascii="Book Antiqua" w:hAnsi="Book Antiqua" w:cs="Calibri"/>
                <w:b/>
                <w:bCs/>
                <w:color w:val="000000"/>
                <w:sz w:val="16"/>
                <w:szCs w:val="16"/>
                <w:lang w:eastAsia="es-CR"/>
              </w:rPr>
              <w:t> </w:t>
            </w:r>
          </w:p>
        </w:tc>
        <w:tc>
          <w:tcPr>
            <w:tcW w:w="704" w:type="dxa"/>
            <w:tcBorders>
              <w:top w:val="nil"/>
              <w:left w:val="nil"/>
              <w:bottom w:val="single" w:sz="4" w:space="0" w:color="auto"/>
              <w:right w:val="single" w:sz="4" w:space="0" w:color="auto"/>
            </w:tcBorders>
            <w:shd w:val="clear" w:color="auto" w:fill="auto"/>
            <w:noWrap/>
            <w:vAlign w:val="center"/>
            <w:hideMark/>
          </w:tcPr>
          <w:p w14:paraId="10237C4F" w14:textId="77777777" w:rsidR="0071148C" w:rsidRPr="00235C4D" w:rsidRDefault="0071148C" w:rsidP="00234CBE">
            <w:pPr>
              <w:spacing w:line="276" w:lineRule="auto"/>
              <w:jc w:val="center"/>
              <w:rPr>
                <w:rFonts w:ascii="Book Antiqua" w:hAnsi="Book Antiqua" w:cs="Calibri"/>
                <w:b/>
                <w:bCs/>
                <w:color w:val="000000"/>
                <w:sz w:val="16"/>
                <w:szCs w:val="16"/>
                <w:lang w:eastAsia="es-CR"/>
              </w:rPr>
            </w:pPr>
            <w:r w:rsidRPr="00235C4D">
              <w:rPr>
                <w:rFonts w:ascii="Book Antiqua" w:hAnsi="Book Antiqua" w:cs="Calibri"/>
                <w:b/>
                <w:bCs/>
                <w:color w:val="000000"/>
                <w:sz w:val="16"/>
                <w:szCs w:val="16"/>
                <w:lang w:eastAsia="es-CR"/>
              </w:rPr>
              <w:t> </w:t>
            </w:r>
          </w:p>
        </w:tc>
        <w:tc>
          <w:tcPr>
            <w:tcW w:w="704" w:type="dxa"/>
            <w:tcBorders>
              <w:top w:val="nil"/>
              <w:left w:val="nil"/>
              <w:bottom w:val="single" w:sz="4" w:space="0" w:color="auto"/>
              <w:right w:val="single" w:sz="4" w:space="0" w:color="auto"/>
            </w:tcBorders>
            <w:shd w:val="clear" w:color="auto" w:fill="auto"/>
            <w:noWrap/>
            <w:vAlign w:val="center"/>
            <w:hideMark/>
          </w:tcPr>
          <w:p w14:paraId="3C64A3BD" w14:textId="77777777" w:rsidR="0071148C" w:rsidRPr="00235C4D" w:rsidRDefault="0071148C" w:rsidP="00234CBE">
            <w:pPr>
              <w:spacing w:line="276" w:lineRule="auto"/>
              <w:jc w:val="center"/>
              <w:rPr>
                <w:rFonts w:ascii="Book Antiqua" w:hAnsi="Book Antiqua" w:cs="Calibri"/>
                <w:b/>
                <w:bCs/>
                <w:color w:val="000000"/>
                <w:sz w:val="16"/>
                <w:szCs w:val="16"/>
                <w:lang w:eastAsia="es-CR"/>
              </w:rPr>
            </w:pPr>
            <w:r w:rsidRPr="00235C4D">
              <w:rPr>
                <w:rFonts w:ascii="Book Antiqua" w:hAnsi="Book Antiqua" w:cs="Calibri"/>
                <w:b/>
                <w:bCs/>
                <w:color w:val="000000"/>
                <w:sz w:val="16"/>
                <w:szCs w:val="16"/>
                <w:lang w:eastAsia="es-CR"/>
              </w:rPr>
              <w:t> </w:t>
            </w:r>
          </w:p>
        </w:tc>
        <w:tc>
          <w:tcPr>
            <w:tcW w:w="704" w:type="dxa"/>
            <w:tcBorders>
              <w:top w:val="nil"/>
              <w:left w:val="nil"/>
              <w:bottom w:val="single" w:sz="4" w:space="0" w:color="auto"/>
              <w:right w:val="single" w:sz="4" w:space="0" w:color="auto"/>
            </w:tcBorders>
            <w:shd w:val="clear" w:color="auto" w:fill="auto"/>
            <w:noWrap/>
            <w:vAlign w:val="center"/>
            <w:hideMark/>
          </w:tcPr>
          <w:p w14:paraId="7BEA569C" w14:textId="77777777" w:rsidR="0071148C" w:rsidRPr="00235C4D" w:rsidRDefault="0071148C" w:rsidP="00234CBE">
            <w:pPr>
              <w:spacing w:line="276" w:lineRule="auto"/>
              <w:jc w:val="center"/>
              <w:rPr>
                <w:rFonts w:ascii="Book Antiqua" w:hAnsi="Book Antiqua" w:cs="Calibri"/>
                <w:b/>
                <w:bCs/>
                <w:color w:val="000000"/>
                <w:sz w:val="16"/>
                <w:szCs w:val="16"/>
                <w:lang w:eastAsia="es-CR"/>
              </w:rPr>
            </w:pPr>
            <w:r w:rsidRPr="00235C4D">
              <w:rPr>
                <w:rFonts w:ascii="Book Antiqua" w:hAnsi="Book Antiqua" w:cs="Calibri"/>
                <w:b/>
                <w:bCs/>
                <w:color w:val="000000"/>
                <w:sz w:val="16"/>
                <w:szCs w:val="16"/>
                <w:lang w:eastAsia="es-CR"/>
              </w:rPr>
              <w:t> </w:t>
            </w:r>
          </w:p>
        </w:tc>
        <w:tc>
          <w:tcPr>
            <w:tcW w:w="799" w:type="dxa"/>
            <w:tcBorders>
              <w:top w:val="nil"/>
              <w:left w:val="nil"/>
              <w:bottom w:val="single" w:sz="4" w:space="0" w:color="auto"/>
              <w:right w:val="single" w:sz="4" w:space="0" w:color="auto"/>
            </w:tcBorders>
            <w:shd w:val="clear" w:color="auto" w:fill="auto"/>
            <w:noWrap/>
            <w:vAlign w:val="center"/>
            <w:hideMark/>
          </w:tcPr>
          <w:p w14:paraId="68098D6A" w14:textId="77777777" w:rsidR="0071148C" w:rsidRPr="00235C4D" w:rsidRDefault="0071148C" w:rsidP="00234CBE">
            <w:pPr>
              <w:spacing w:line="276" w:lineRule="auto"/>
              <w:jc w:val="center"/>
              <w:rPr>
                <w:rFonts w:ascii="Book Antiqua" w:hAnsi="Book Antiqua" w:cs="Calibri"/>
                <w:b/>
                <w:bCs/>
                <w:color w:val="000000"/>
                <w:sz w:val="16"/>
                <w:szCs w:val="16"/>
                <w:lang w:eastAsia="es-CR"/>
              </w:rPr>
            </w:pPr>
            <w:r w:rsidRPr="00235C4D">
              <w:rPr>
                <w:rFonts w:ascii="Book Antiqua" w:hAnsi="Book Antiqua" w:cs="Calibri"/>
                <w:b/>
                <w:bCs/>
                <w:color w:val="000000"/>
                <w:sz w:val="16"/>
                <w:szCs w:val="16"/>
                <w:lang w:eastAsia="es-CR"/>
              </w:rPr>
              <w:t> </w:t>
            </w:r>
          </w:p>
        </w:tc>
        <w:tc>
          <w:tcPr>
            <w:tcW w:w="878" w:type="dxa"/>
            <w:tcBorders>
              <w:top w:val="nil"/>
              <w:left w:val="nil"/>
              <w:bottom w:val="single" w:sz="4" w:space="0" w:color="auto"/>
              <w:right w:val="single" w:sz="4" w:space="0" w:color="auto"/>
            </w:tcBorders>
            <w:shd w:val="clear" w:color="auto" w:fill="auto"/>
            <w:noWrap/>
            <w:vAlign w:val="center"/>
            <w:hideMark/>
          </w:tcPr>
          <w:p w14:paraId="51830754" w14:textId="77777777" w:rsidR="0071148C" w:rsidRPr="00235C4D" w:rsidRDefault="0071148C" w:rsidP="00234CBE">
            <w:pPr>
              <w:spacing w:line="276" w:lineRule="auto"/>
              <w:jc w:val="center"/>
              <w:rPr>
                <w:rFonts w:ascii="Book Antiqua" w:hAnsi="Book Antiqua" w:cs="Calibri"/>
                <w:b/>
                <w:bCs/>
                <w:color w:val="000000"/>
                <w:sz w:val="16"/>
                <w:szCs w:val="16"/>
                <w:lang w:eastAsia="es-CR"/>
              </w:rPr>
            </w:pPr>
            <w:r w:rsidRPr="00235C4D">
              <w:rPr>
                <w:rFonts w:ascii="Book Antiqua" w:hAnsi="Book Antiqua" w:cs="Calibri"/>
                <w:b/>
                <w:bCs/>
                <w:color w:val="000000"/>
                <w:sz w:val="16"/>
                <w:szCs w:val="16"/>
                <w:lang w:eastAsia="es-CR"/>
              </w:rPr>
              <w:t> </w:t>
            </w:r>
          </w:p>
        </w:tc>
        <w:tc>
          <w:tcPr>
            <w:tcW w:w="1584" w:type="dxa"/>
            <w:tcBorders>
              <w:top w:val="nil"/>
              <w:left w:val="nil"/>
              <w:bottom w:val="single" w:sz="4" w:space="0" w:color="auto"/>
              <w:right w:val="single" w:sz="4" w:space="0" w:color="auto"/>
            </w:tcBorders>
            <w:shd w:val="clear" w:color="auto" w:fill="auto"/>
            <w:vAlign w:val="center"/>
            <w:hideMark/>
          </w:tcPr>
          <w:p w14:paraId="2ABD09F8" w14:textId="77777777" w:rsidR="0071148C" w:rsidRPr="00235C4D" w:rsidRDefault="0071148C" w:rsidP="00234CBE">
            <w:pPr>
              <w:spacing w:line="276" w:lineRule="auto"/>
              <w:jc w:val="center"/>
              <w:rPr>
                <w:rFonts w:ascii="Book Antiqua" w:hAnsi="Book Antiqua" w:cs="Calibri"/>
                <w:b/>
                <w:bCs/>
                <w:color w:val="000000"/>
                <w:sz w:val="16"/>
                <w:szCs w:val="16"/>
                <w:lang w:eastAsia="es-CR"/>
              </w:rPr>
            </w:pPr>
            <w:r w:rsidRPr="00235C4D">
              <w:rPr>
                <w:rFonts w:ascii="Book Antiqua" w:hAnsi="Book Antiqua" w:cs="Calibri"/>
                <w:b/>
                <w:bCs/>
                <w:color w:val="000000"/>
                <w:sz w:val="16"/>
                <w:szCs w:val="16"/>
                <w:lang w:eastAsia="es-CR"/>
              </w:rPr>
              <w:t> </w:t>
            </w:r>
          </w:p>
        </w:tc>
      </w:tr>
      <w:tr w:rsidR="0071148C" w:rsidRPr="00235C4D" w14:paraId="5F8020E4" w14:textId="77777777" w:rsidTr="0071148C">
        <w:trPr>
          <w:trHeight w:val="243"/>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14:paraId="435F53EB" w14:textId="77777777" w:rsidR="0071148C" w:rsidRPr="00235C4D" w:rsidRDefault="0071148C" w:rsidP="00234CBE">
            <w:pPr>
              <w:spacing w:line="276" w:lineRule="auto"/>
              <w:jc w:val="right"/>
              <w:rPr>
                <w:rFonts w:ascii="Book Antiqua" w:hAnsi="Book Antiqua" w:cs="Calibri"/>
                <w:b/>
                <w:bCs/>
                <w:color w:val="000000"/>
                <w:sz w:val="16"/>
                <w:szCs w:val="16"/>
                <w:lang w:eastAsia="es-CR"/>
              </w:rPr>
            </w:pPr>
            <w:r w:rsidRPr="00235C4D">
              <w:rPr>
                <w:rFonts w:ascii="Book Antiqua" w:hAnsi="Book Antiqua" w:cs="Calibri"/>
                <w:b/>
                <w:bCs/>
                <w:color w:val="000000"/>
                <w:sz w:val="16"/>
                <w:szCs w:val="16"/>
                <w:lang w:eastAsia="es-CR"/>
              </w:rPr>
              <w:t>Total general</w:t>
            </w:r>
          </w:p>
        </w:tc>
        <w:tc>
          <w:tcPr>
            <w:tcW w:w="704" w:type="dxa"/>
            <w:tcBorders>
              <w:top w:val="nil"/>
              <w:left w:val="nil"/>
              <w:bottom w:val="single" w:sz="4" w:space="0" w:color="auto"/>
              <w:right w:val="single" w:sz="4" w:space="0" w:color="auto"/>
            </w:tcBorders>
            <w:shd w:val="clear" w:color="auto" w:fill="auto"/>
            <w:noWrap/>
            <w:vAlign w:val="bottom"/>
            <w:hideMark/>
          </w:tcPr>
          <w:p w14:paraId="3B232DF2" w14:textId="77777777" w:rsidR="0071148C" w:rsidRPr="00235C4D" w:rsidRDefault="0071148C" w:rsidP="00234CBE">
            <w:pPr>
              <w:spacing w:line="276" w:lineRule="auto"/>
              <w:jc w:val="center"/>
              <w:rPr>
                <w:rFonts w:ascii="Book Antiqua" w:hAnsi="Book Antiqua" w:cs="Calibri"/>
                <w:b/>
                <w:bCs/>
                <w:color w:val="000000"/>
                <w:sz w:val="16"/>
                <w:szCs w:val="16"/>
                <w:lang w:eastAsia="es-CR"/>
              </w:rPr>
            </w:pPr>
            <w:r w:rsidRPr="00235C4D">
              <w:rPr>
                <w:rFonts w:ascii="Book Antiqua" w:hAnsi="Book Antiqua" w:cs="Calibri"/>
                <w:b/>
                <w:bCs/>
                <w:color w:val="000000"/>
                <w:sz w:val="16"/>
                <w:szCs w:val="16"/>
                <w:lang w:eastAsia="es-CR"/>
              </w:rPr>
              <w:t>1346711</w:t>
            </w:r>
          </w:p>
        </w:tc>
        <w:tc>
          <w:tcPr>
            <w:tcW w:w="704" w:type="dxa"/>
            <w:tcBorders>
              <w:top w:val="nil"/>
              <w:left w:val="nil"/>
              <w:bottom w:val="single" w:sz="4" w:space="0" w:color="auto"/>
              <w:right w:val="single" w:sz="4" w:space="0" w:color="auto"/>
            </w:tcBorders>
            <w:shd w:val="clear" w:color="auto" w:fill="auto"/>
            <w:noWrap/>
            <w:vAlign w:val="bottom"/>
            <w:hideMark/>
          </w:tcPr>
          <w:p w14:paraId="4FA67302" w14:textId="77777777" w:rsidR="0071148C" w:rsidRPr="00235C4D" w:rsidRDefault="0071148C" w:rsidP="00234CBE">
            <w:pPr>
              <w:spacing w:line="276" w:lineRule="auto"/>
              <w:jc w:val="center"/>
              <w:rPr>
                <w:rFonts w:ascii="Book Antiqua" w:hAnsi="Book Antiqua" w:cs="Calibri"/>
                <w:b/>
                <w:bCs/>
                <w:color w:val="000000"/>
                <w:sz w:val="16"/>
                <w:szCs w:val="16"/>
                <w:lang w:eastAsia="es-CR"/>
              </w:rPr>
            </w:pPr>
            <w:r w:rsidRPr="00235C4D">
              <w:rPr>
                <w:rFonts w:ascii="Book Antiqua" w:hAnsi="Book Antiqua" w:cs="Calibri"/>
                <w:b/>
                <w:bCs/>
                <w:color w:val="000000"/>
                <w:sz w:val="16"/>
                <w:szCs w:val="16"/>
                <w:lang w:eastAsia="es-CR"/>
              </w:rPr>
              <w:t>1354357</w:t>
            </w:r>
          </w:p>
        </w:tc>
        <w:tc>
          <w:tcPr>
            <w:tcW w:w="704" w:type="dxa"/>
            <w:tcBorders>
              <w:top w:val="nil"/>
              <w:left w:val="nil"/>
              <w:bottom w:val="single" w:sz="4" w:space="0" w:color="auto"/>
              <w:right w:val="single" w:sz="4" w:space="0" w:color="auto"/>
            </w:tcBorders>
            <w:shd w:val="clear" w:color="auto" w:fill="auto"/>
            <w:noWrap/>
            <w:vAlign w:val="bottom"/>
            <w:hideMark/>
          </w:tcPr>
          <w:p w14:paraId="3F96E240" w14:textId="77777777" w:rsidR="0071148C" w:rsidRPr="00235C4D" w:rsidRDefault="0071148C" w:rsidP="00234CBE">
            <w:pPr>
              <w:spacing w:line="276" w:lineRule="auto"/>
              <w:jc w:val="center"/>
              <w:rPr>
                <w:rFonts w:ascii="Book Antiqua" w:hAnsi="Book Antiqua" w:cs="Calibri"/>
                <w:b/>
                <w:bCs/>
                <w:color w:val="000000"/>
                <w:sz w:val="16"/>
                <w:szCs w:val="16"/>
                <w:lang w:eastAsia="es-CR"/>
              </w:rPr>
            </w:pPr>
            <w:r w:rsidRPr="00235C4D">
              <w:rPr>
                <w:rFonts w:ascii="Book Antiqua" w:hAnsi="Book Antiqua" w:cs="Calibri"/>
                <w:b/>
                <w:bCs/>
                <w:color w:val="000000"/>
                <w:sz w:val="16"/>
                <w:szCs w:val="16"/>
                <w:lang w:eastAsia="es-CR"/>
              </w:rPr>
              <w:t>1357845</w:t>
            </w:r>
          </w:p>
        </w:tc>
        <w:tc>
          <w:tcPr>
            <w:tcW w:w="704" w:type="dxa"/>
            <w:tcBorders>
              <w:top w:val="nil"/>
              <w:left w:val="nil"/>
              <w:bottom w:val="single" w:sz="4" w:space="0" w:color="auto"/>
              <w:right w:val="single" w:sz="4" w:space="0" w:color="auto"/>
            </w:tcBorders>
            <w:shd w:val="clear" w:color="auto" w:fill="auto"/>
            <w:noWrap/>
            <w:vAlign w:val="bottom"/>
            <w:hideMark/>
          </w:tcPr>
          <w:p w14:paraId="1A7298E1" w14:textId="77777777" w:rsidR="0071148C" w:rsidRPr="00235C4D" w:rsidRDefault="0071148C" w:rsidP="00234CBE">
            <w:pPr>
              <w:spacing w:line="276" w:lineRule="auto"/>
              <w:jc w:val="center"/>
              <w:rPr>
                <w:rFonts w:ascii="Book Antiqua" w:hAnsi="Book Antiqua" w:cs="Calibri"/>
                <w:b/>
                <w:bCs/>
                <w:color w:val="000000"/>
                <w:sz w:val="16"/>
                <w:szCs w:val="16"/>
                <w:lang w:eastAsia="es-CR"/>
              </w:rPr>
            </w:pPr>
            <w:r w:rsidRPr="00235C4D">
              <w:rPr>
                <w:rFonts w:ascii="Book Antiqua" w:hAnsi="Book Antiqua" w:cs="Calibri"/>
                <w:b/>
                <w:bCs/>
                <w:color w:val="000000"/>
                <w:sz w:val="16"/>
                <w:szCs w:val="16"/>
                <w:lang w:eastAsia="es-CR"/>
              </w:rPr>
              <w:t>1340828</w:t>
            </w:r>
          </w:p>
        </w:tc>
        <w:tc>
          <w:tcPr>
            <w:tcW w:w="704" w:type="dxa"/>
            <w:tcBorders>
              <w:top w:val="nil"/>
              <w:left w:val="nil"/>
              <w:bottom w:val="single" w:sz="4" w:space="0" w:color="auto"/>
              <w:right w:val="single" w:sz="4" w:space="0" w:color="auto"/>
            </w:tcBorders>
            <w:shd w:val="clear" w:color="auto" w:fill="auto"/>
            <w:noWrap/>
            <w:vAlign w:val="bottom"/>
            <w:hideMark/>
          </w:tcPr>
          <w:p w14:paraId="395FAB3B" w14:textId="77777777" w:rsidR="0071148C" w:rsidRPr="00235C4D" w:rsidRDefault="0071148C" w:rsidP="00234CBE">
            <w:pPr>
              <w:spacing w:line="276" w:lineRule="auto"/>
              <w:jc w:val="center"/>
              <w:rPr>
                <w:rFonts w:ascii="Book Antiqua" w:hAnsi="Book Antiqua" w:cs="Calibri"/>
                <w:b/>
                <w:bCs/>
                <w:color w:val="000000"/>
                <w:sz w:val="16"/>
                <w:szCs w:val="16"/>
                <w:lang w:eastAsia="es-CR"/>
              </w:rPr>
            </w:pPr>
            <w:r w:rsidRPr="00235C4D">
              <w:rPr>
                <w:rFonts w:ascii="Book Antiqua" w:hAnsi="Book Antiqua" w:cs="Calibri"/>
                <w:b/>
                <w:bCs/>
                <w:color w:val="000000"/>
                <w:sz w:val="16"/>
                <w:szCs w:val="16"/>
                <w:lang w:eastAsia="es-CR"/>
              </w:rPr>
              <w:t>1335268</w:t>
            </w:r>
          </w:p>
        </w:tc>
        <w:tc>
          <w:tcPr>
            <w:tcW w:w="704" w:type="dxa"/>
            <w:tcBorders>
              <w:top w:val="nil"/>
              <w:left w:val="nil"/>
              <w:bottom w:val="single" w:sz="4" w:space="0" w:color="auto"/>
              <w:right w:val="single" w:sz="4" w:space="0" w:color="auto"/>
            </w:tcBorders>
            <w:shd w:val="clear" w:color="auto" w:fill="auto"/>
            <w:noWrap/>
            <w:vAlign w:val="bottom"/>
            <w:hideMark/>
          </w:tcPr>
          <w:p w14:paraId="2638D8D1" w14:textId="77777777" w:rsidR="0071148C" w:rsidRPr="00235C4D" w:rsidRDefault="0071148C" w:rsidP="00234CBE">
            <w:pPr>
              <w:spacing w:line="276" w:lineRule="auto"/>
              <w:jc w:val="center"/>
              <w:rPr>
                <w:rFonts w:ascii="Book Antiqua" w:hAnsi="Book Antiqua" w:cs="Calibri"/>
                <w:b/>
                <w:bCs/>
                <w:color w:val="000000"/>
                <w:sz w:val="16"/>
                <w:szCs w:val="16"/>
                <w:lang w:eastAsia="es-CR"/>
              </w:rPr>
            </w:pPr>
            <w:r w:rsidRPr="00235C4D">
              <w:rPr>
                <w:rFonts w:ascii="Book Antiqua" w:hAnsi="Book Antiqua" w:cs="Calibri"/>
                <w:b/>
                <w:bCs/>
                <w:color w:val="000000"/>
                <w:sz w:val="16"/>
                <w:szCs w:val="16"/>
                <w:lang w:eastAsia="es-CR"/>
              </w:rPr>
              <w:t>1326450</w:t>
            </w:r>
          </w:p>
        </w:tc>
        <w:tc>
          <w:tcPr>
            <w:tcW w:w="704" w:type="dxa"/>
            <w:tcBorders>
              <w:top w:val="nil"/>
              <w:left w:val="nil"/>
              <w:bottom w:val="single" w:sz="4" w:space="0" w:color="auto"/>
              <w:right w:val="single" w:sz="4" w:space="0" w:color="auto"/>
            </w:tcBorders>
            <w:shd w:val="clear" w:color="auto" w:fill="auto"/>
            <w:noWrap/>
            <w:vAlign w:val="bottom"/>
            <w:hideMark/>
          </w:tcPr>
          <w:p w14:paraId="6DE2905B" w14:textId="77777777" w:rsidR="0071148C" w:rsidRPr="00235C4D" w:rsidRDefault="0071148C" w:rsidP="00234CBE">
            <w:pPr>
              <w:spacing w:line="276" w:lineRule="auto"/>
              <w:jc w:val="center"/>
              <w:rPr>
                <w:rFonts w:ascii="Book Antiqua" w:hAnsi="Book Antiqua" w:cs="Calibri"/>
                <w:b/>
                <w:bCs/>
                <w:color w:val="000000"/>
                <w:sz w:val="16"/>
                <w:szCs w:val="16"/>
                <w:lang w:eastAsia="es-CR"/>
              </w:rPr>
            </w:pPr>
            <w:r w:rsidRPr="00235C4D">
              <w:rPr>
                <w:rFonts w:ascii="Book Antiqua" w:hAnsi="Book Antiqua" w:cs="Calibri"/>
                <w:b/>
                <w:bCs/>
                <w:color w:val="000000"/>
                <w:sz w:val="16"/>
                <w:szCs w:val="16"/>
                <w:lang w:eastAsia="es-CR"/>
              </w:rPr>
              <w:t>1331401</w:t>
            </w:r>
          </w:p>
        </w:tc>
        <w:tc>
          <w:tcPr>
            <w:tcW w:w="799" w:type="dxa"/>
            <w:tcBorders>
              <w:top w:val="nil"/>
              <w:left w:val="nil"/>
              <w:bottom w:val="single" w:sz="4" w:space="0" w:color="auto"/>
              <w:right w:val="single" w:sz="4" w:space="0" w:color="auto"/>
            </w:tcBorders>
            <w:shd w:val="clear" w:color="auto" w:fill="auto"/>
            <w:noWrap/>
            <w:vAlign w:val="bottom"/>
            <w:hideMark/>
          </w:tcPr>
          <w:p w14:paraId="27C8E95F" w14:textId="77777777" w:rsidR="0071148C" w:rsidRPr="00235C4D" w:rsidRDefault="0071148C" w:rsidP="00234CBE">
            <w:pPr>
              <w:spacing w:line="276" w:lineRule="auto"/>
              <w:jc w:val="center"/>
              <w:rPr>
                <w:rFonts w:ascii="Book Antiqua" w:hAnsi="Book Antiqua" w:cs="Calibri"/>
                <w:b/>
                <w:bCs/>
                <w:color w:val="000000"/>
                <w:sz w:val="16"/>
                <w:szCs w:val="16"/>
                <w:lang w:eastAsia="es-CR"/>
              </w:rPr>
            </w:pPr>
            <w:r w:rsidRPr="00235C4D">
              <w:rPr>
                <w:rFonts w:ascii="Book Antiqua" w:hAnsi="Book Antiqua" w:cs="Calibri"/>
                <w:b/>
                <w:bCs/>
                <w:color w:val="000000"/>
                <w:sz w:val="16"/>
                <w:szCs w:val="16"/>
                <w:lang w:eastAsia="es-CR"/>
              </w:rPr>
              <w:t>1 343 137</w:t>
            </w:r>
          </w:p>
        </w:tc>
        <w:tc>
          <w:tcPr>
            <w:tcW w:w="878" w:type="dxa"/>
            <w:tcBorders>
              <w:top w:val="nil"/>
              <w:left w:val="nil"/>
              <w:bottom w:val="single" w:sz="4" w:space="0" w:color="auto"/>
              <w:right w:val="single" w:sz="4" w:space="0" w:color="auto"/>
            </w:tcBorders>
            <w:shd w:val="clear" w:color="auto" w:fill="auto"/>
            <w:noWrap/>
            <w:vAlign w:val="bottom"/>
            <w:hideMark/>
          </w:tcPr>
          <w:p w14:paraId="61ADB428" w14:textId="77777777" w:rsidR="0071148C" w:rsidRPr="00235C4D" w:rsidRDefault="0071148C" w:rsidP="00234CBE">
            <w:pPr>
              <w:spacing w:line="276" w:lineRule="auto"/>
              <w:jc w:val="center"/>
              <w:rPr>
                <w:rFonts w:ascii="Book Antiqua" w:hAnsi="Book Antiqua" w:cs="Calibri"/>
                <w:b/>
                <w:bCs/>
                <w:color w:val="000000"/>
                <w:sz w:val="16"/>
                <w:szCs w:val="16"/>
                <w:lang w:eastAsia="es-CR"/>
              </w:rPr>
            </w:pPr>
            <w:r w:rsidRPr="00235C4D">
              <w:rPr>
                <w:rFonts w:ascii="Book Antiqua" w:hAnsi="Book Antiqua" w:cs="Calibri"/>
                <w:b/>
                <w:bCs/>
                <w:color w:val="000000"/>
                <w:sz w:val="16"/>
                <w:szCs w:val="16"/>
                <w:lang w:eastAsia="es-CR"/>
              </w:rPr>
              <w:t>1 345 085</w:t>
            </w:r>
          </w:p>
        </w:tc>
        <w:tc>
          <w:tcPr>
            <w:tcW w:w="1584" w:type="dxa"/>
            <w:tcBorders>
              <w:top w:val="nil"/>
              <w:left w:val="nil"/>
              <w:bottom w:val="single" w:sz="4" w:space="0" w:color="auto"/>
              <w:right w:val="single" w:sz="4" w:space="0" w:color="auto"/>
            </w:tcBorders>
            <w:shd w:val="clear" w:color="auto" w:fill="auto"/>
            <w:noWrap/>
            <w:vAlign w:val="center"/>
            <w:hideMark/>
          </w:tcPr>
          <w:p w14:paraId="5FE549C8" w14:textId="77777777" w:rsidR="0071148C" w:rsidRPr="00235C4D" w:rsidRDefault="0071148C" w:rsidP="00234CBE">
            <w:pPr>
              <w:spacing w:line="276" w:lineRule="auto"/>
              <w:jc w:val="center"/>
              <w:rPr>
                <w:rFonts w:ascii="Book Antiqua" w:hAnsi="Book Antiqua" w:cs="Calibri"/>
                <w:b/>
                <w:bCs/>
                <w:color w:val="000000"/>
                <w:sz w:val="16"/>
                <w:szCs w:val="16"/>
                <w:u w:val="single"/>
                <w:lang w:eastAsia="es-CR"/>
              </w:rPr>
            </w:pPr>
            <w:r w:rsidRPr="00235C4D">
              <w:rPr>
                <w:rFonts w:ascii="Book Antiqua" w:hAnsi="Book Antiqua" w:cs="Calibri"/>
                <w:b/>
                <w:bCs/>
                <w:color w:val="000000"/>
                <w:sz w:val="16"/>
                <w:szCs w:val="16"/>
                <w:u w:val="single"/>
                <w:lang w:eastAsia="es-CR"/>
              </w:rPr>
              <w:t>-0,12%</w:t>
            </w:r>
          </w:p>
        </w:tc>
      </w:tr>
      <w:tr w:rsidR="0071148C" w:rsidRPr="00235C4D" w14:paraId="3310D254" w14:textId="77777777" w:rsidTr="0071148C">
        <w:trPr>
          <w:trHeight w:val="243"/>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14:paraId="517AB5C0" w14:textId="77777777" w:rsidR="0071148C" w:rsidRPr="00235C4D" w:rsidRDefault="0071148C" w:rsidP="00234CBE">
            <w:pPr>
              <w:spacing w:line="276" w:lineRule="auto"/>
              <w:jc w:val="right"/>
              <w:rPr>
                <w:rFonts w:ascii="Book Antiqua" w:hAnsi="Book Antiqua" w:cs="Calibri"/>
                <w:color w:val="000000"/>
                <w:sz w:val="16"/>
                <w:szCs w:val="16"/>
                <w:lang w:eastAsia="es-CR"/>
              </w:rPr>
            </w:pPr>
            <w:r w:rsidRPr="00235C4D">
              <w:rPr>
                <w:rFonts w:ascii="Book Antiqua" w:hAnsi="Book Antiqua" w:cs="Calibri"/>
                <w:color w:val="000000"/>
                <w:sz w:val="16"/>
                <w:szCs w:val="16"/>
                <w:lang w:eastAsia="es-CR"/>
              </w:rPr>
              <w:t>Total de materias exceptuando Cobro</w:t>
            </w:r>
          </w:p>
        </w:tc>
        <w:tc>
          <w:tcPr>
            <w:tcW w:w="704" w:type="dxa"/>
            <w:tcBorders>
              <w:top w:val="nil"/>
              <w:left w:val="nil"/>
              <w:bottom w:val="single" w:sz="4" w:space="0" w:color="auto"/>
              <w:right w:val="single" w:sz="4" w:space="0" w:color="auto"/>
            </w:tcBorders>
            <w:shd w:val="clear" w:color="auto" w:fill="auto"/>
            <w:noWrap/>
            <w:vAlign w:val="center"/>
            <w:hideMark/>
          </w:tcPr>
          <w:p w14:paraId="6B9B684E" w14:textId="77777777" w:rsidR="0071148C" w:rsidRPr="00235C4D" w:rsidRDefault="0071148C" w:rsidP="00234CBE">
            <w:pPr>
              <w:spacing w:line="276" w:lineRule="auto"/>
              <w:jc w:val="center"/>
              <w:rPr>
                <w:rFonts w:ascii="Book Antiqua" w:hAnsi="Book Antiqua" w:cs="Calibri"/>
                <w:color w:val="000000"/>
                <w:sz w:val="16"/>
                <w:szCs w:val="16"/>
                <w:lang w:eastAsia="es-CR"/>
              </w:rPr>
            </w:pPr>
            <w:r w:rsidRPr="00235C4D">
              <w:rPr>
                <w:rFonts w:ascii="Book Antiqua" w:hAnsi="Book Antiqua" w:cs="Calibri"/>
                <w:color w:val="000000"/>
                <w:sz w:val="16"/>
                <w:szCs w:val="16"/>
                <w:lang w:eastAsia="es-CR"/>
              </w:rPr>
              <w:t>520129</w:t>
            </w:r>
          </w:p>
        </w:tc>
        <w:tc>
          <w:tcPr>
            <w:tcW w:w="704" w:type="dxa"/>
            <w:tcBorders>
              <w:top w:val="nil"/>
              <w:left w:val="nil"/>
              <w:bottom w:val="single" w:sz="4" w:space="0" w:color="auto"/>
              <w:right w:val="single" w:sz="4" w:space="0" w:color="auto"/>
            </w:tcBorders>
            <w:shd w:val="clear" w:color="auto" w:fill="auto"/>
            <w:noWrap/>
            <w:vAlign w:val="center"/>
            <w:hideMark/>
          </w:tcPr>
          <w:p w14:paraId="43FD6535" w14:textId="77777777" w:rsidR="0071148C" w:rsidRPr="00235C4D" w:rsidRDefault="0071148C" w:rsidP="00234CBE">
            <w:pPr>
              <w:spacing w:line="276" w:lineRule="auto"/>
              <w:jc w:val="center"/>
              <w:rPr>
                <w:rFonts w:ascii="Book Antiqua" w:hAnsi="Book Antiqua" w:cs="Calibri"/>
                <w:color w:val="000000"/>
                <w:sz w:val="16"/>
                <w:szCs w:val="16"/>
                <w:lang w:eastAsia="es-CR"/>
              </w:rPr>
            </w:pPr>
            <w:r w:rsidRPr="00235C4D">
              <w:rPr>
                <w:rFonts w:ascii="Book Antiqua" w:hAnsi="Book Antiqua" w:cs="Calibri"/>
                <w:color w:val="000000"/>
                <w:sz w:val="16"/>
                <w:szCs w:val="16"/>
                <w:lang w:eastAsia="es-CR"/>
              </w:rPr>
              <w:t>520222</w:t>
            </w:r>
          </w:p>
        </w:tc>
        <w:tc>
          <w:tcPr>
            <w:tcW w:w="704" w:type="dxa"/>
            <w:tcBorders>
              <w:top w:val="nil"/>
              <w:left w:val="nil"/>
              <w:bottom w:val="single" w:sz="4" w:space="0" w:color="auto"/>
              <w:right w:val="single" w:sz="4" w:space="0" w:color="auto"/>
            </w:tcBorders>
            <w:shd w:val="clear" w:color="auto" w:fill="auto"/>
            <w:noWrap/>
            <w:vAlign w:val="center"/>
            <w:hideMark/>
          </w:tcPr>
          <w:p w14:paraId="6B20793E" w14:textId="77777777" w:rsidR="0071148C" w:rsidRPr="00235C4D" w:rsidRDefault="0071148C" w:rsidP="00234CBE">
            <w:pPr>
              <w:spacing w:line="276" w:lineRule="auto"/>
              <w:jc w:val="center"/>
              <w:rPr>
                <w:rFonts w:ascii="Book Antiqua" w:hAnsi="Book Antiqua" w:cs="Calibri"/>
                <w:color w:val="000000"/>
                <w:sz w:val="16"/>
                <w:szCs w:val="16"/>
                <w:lang w:eastAsia="es-CR"/>
              </w:rPr>
            </w:pPr>
            <w:r w:rsidRPr="00235C4D">
              <w:rPr>
                <w:rFonts w:ascii="Book Antiqua" w:hAnsi="Book Antiqua" w:cs="Calibri"/>
                <w:color w:val="000000"/>
                <w:sz w:val="16"/>
                <w:szCs w:val="16"/>
                <w:lang w:eastAsia="es-CR"/>
              </w:rPr>
              <w:t>517582</w:t>
            </w:r>
          </w:p>
        </w:tc>
        <w:tc>
          <w:tcPr>
            <w:tcW w:w="704" w:type="dxa"/>
            <w:tcBorders>
              <w:top w:val="nil"/>
              <w:left w:val="nil"/>
              <w:bottom w:val="single" w:sz="4" w:space="0" w:color="auto"/>
              <w:right w:val="single" w:sz="4" w:space="0" w:color="auto"/>
            </w:tcBorders>
            <w:shd w:val="clear" w:color="auto" w:fill="auto"/>
            <w:noWrap/>
            <w:vAlign w:val="center"/>
            <w:hideMark/>
          </w:tcPr>
          <w:p w14:paraId="57D83B4E" w14:textId="77777777" w:rsidR="0071148C" w:rsidRPr="00235C4D" w:rsidRDefault="0071148C" w:rsidP="00234CBE">
            <w:pPr>
              <w:spacing w:line="276" w:lineRule="auto"/>
              <w:jc w:val="center"/>
              <w:rPr>
                <w:rFonts w:ascii="Book Antiqua" w:hAnsi="Book Antiqua" w:cs="Calibri"/>
                <w:color w:val="000000"/>
                <w:sz w:val="16"/>
                <w:szCs w:val="16"/>
                <w:lang w:eastAsia="es-CR"/>
              </w:rPr>
            </w:pPr>
            <w:r w:rsidRPr="00235C4D">
              <w:rPr>
                <w:rFonts w:ascii="Book Antiqua" w:hAnsi="Book Antiqua" w:cs="Calibri"/>
                <w:color w:val="000000"/>
                <w:sz w:val="16"/>
                <w:szCs w:val="16"/>
                <w:lang w:eastAsia="es-CR"/>
              </w:rPr>
              <w:t>519324</w:t>
            </w:r>
          </w:p>
        </w:tc>
        <w:tc>
          <w:tcPr>
            <w:tcW w:w="704" w:type="dxa"/>
            <w:tcBorders>
              <w:top w:val="nil"/>
              <w:left w:val="nil"/>
              <w:bottom w:val="single" w:sz="4" w:space="0" w:color="auto"/>
              <w:right w:val="single" w:sz="4" w:space="0" w:color="auto"/>
            </w:tcBorders>
            <w:shd w:val="clear" w:color="auto" w:fill="auto"/>
            <w:noWrap/>
            <w:vAlign w:val="center"/>
            <w:hideMark/>
          </w:tcPr>
          <w:p w14:paraId="1D67FBE0" w14:textId="77777777" w:rsidR="0071148C" w:rsidRPr="00235C4D" w:rsidRDefault="0071148C" w:rsidP="00234CBE">
            <w:pPr>
              <w:spacing w:line="276" w:lineRule="auto"/>
              <w:jc w:val="center"/>
              <w:rPr>
                <w:rFonts w:ascii="Book Antiqua" w:hAnsi="Book Antiqua" w:cs="Calibri"/>
                <w:color w:val="000000"/>
                <w:sz w:val="16"/>
                <w:szCs w:val="16"/>
                <w:lang w:eastAsia="es-CR"/>
              </w:rPr>
            </w:pPr>
            <w:r w:rsidRPr="00235C4D">
              <w:rPr>
                <w:rFonts w:ascii="Book Antiqua" w:hAnsi="Book Antiqua" w:cs="Calibri"/>
                <w:color w:val="000000"/>
                <w:sz w:val="16"/>
                <w:szCs w:val="16"/>
                <w:lang w:eastAsia="es-CR"/>
              </w:rPr>
              <w:t>514235</w:t>
            </w:r>
          </w:p>
        </w:tc>
        <w:tc>
          <w:tcPr>
            <w:tcW w:w="704" w:type="dxa"/>
            <w:tcBorders>
              <w:top w:val="nil"/>
              <w:left w:val="nil"/>
              <w:bottom w:val="single" w:sz="4" w:space="0" w:color="auto"/>
              <w:right w:val="single" w:sz="4" w:space="0" w:color="auto"/>
            </w:tcBorders>
            <w:shd w:val="clear" w:color="auto" w:fill="auto"/>
            <w:noWrap/>
            <w:vAlign w:val="center"/>
            <w:hideMark/>
          </w:tcPr>
          <w:p w14:paraId="3936805D" w14:textId="77777777" w:rsidR="0071148C" w:rsidRPr="00235C4D" w:rsidRDefault="0071148C" w:rsidP="00234CBE">
            <w:pPr>
              <w:spacing w:line="276" w:lineRule="auto"/>
              <w:jc w:val="center"/>
              <w:rPr>
                <w:rFonts w:ascii="Book Antiqua" w:hAnsi="Book Antiqua" w:cs="Calibri"/>
                <w:color w:val="000000"/>
                <w:sz w:val="16"/>
                <w:szCs w:val="16"/>
                <w:lang w:eastAsia="es-CR"/>
              </w:rPr>
            </w:pPr>
            <w:r w:rsidRPr="00235C4D">
              <w:rPr>
                <w:rFonts w:ascii="Book Antiqua" w:hAnsi="Book Antiqua" w:cs="Calibri"/>
                <w:color w:val="000000"/>
                <w:sz w:val="16"/>
                <w:szCs w:val="16"/>
                <w:lang w:eastAsia="es-CR"/>
              </w:rPr>
              <w:t>510905</w:t>
            </w:r>
          </w:p>
        </w:tc>
        <w:tc>
          <w:tcPr>
            <w:tcW w:w="704" w:type="dxa"/>
            <w:tcBorders>
              <w:top w:val="nil"/>
              <w:left w:val="nil"/>
              <w:bottom w:val="single" w:sz="4" w:space="0" w:color="auto"/>
              <w:right w:val="single" w:sz="4" w:space="0" w:color="auto"/>
            </w:tcBorders>
            <w:shd w:val="clear" w:color="auto" w:fill="auto"/>
            <w:noWrap/>
            <w:vAlign w:val="center"/>
            <w:hideMark/>
          </w:tcPr>
          <w:p w14:paraId="7AE74E44" w14:textId="77777777" w:rsidR="0071148C" w:rsidRPr="00235C4D" w:rsidRDefault="0071148C" w:rsidP="00234CBE">
            <w:pPr>
              <w:spacing w:line="276" w:lineRule="auto"/>
              <w:jc w:val="center"/>
              <w:rPr>
                <w:rFonts w:ascii="Book Antiqua" w:hAnsi="Book Antiqua" w:cs="Calibri"/>
                <w:color w:val="000000"/>
                <w:sz w:val="16"/>
                <w:szCs w:val="16"/>
                <w:lang w:eastAsia="es-CR"/>
              </w:rPr>
            </w:pPr>
            <w:r w:rsidRPr="00235C4D">
              <w:rPr>
                <w:rFonts w:ascii="Book Antiqua" w:hAnsi="Book Antiqua" w:cs="Calibri"/>
                <w:color w:val="000000"/>
                <w:sz w:val="16"/>
                <w:szCs w:val="16"/>
                <w:lang w:eastAsia="es-CR"/>
              </w:rPr>
              <w:t>510230</w:t>
            </w:r>
          </w:p>
        </w:tc>
        <w:tc>
          <w:tcPr>
            <w:tcW w:w="799" w:type="dxa"/>
            <w:tcBorders>
              <w:top w:val="nil"/>
              <w:left w:val="nil"/>
              <w:bottom w:val="single" w:sz="4" w:space="0" w:color="auto"/>
              <w:right w:val="single" w:sz="4" w:space="0" w:color="auto"/>
            </w:tcBorders>
            <w:shd w:val="clear" w:color="auto" w:fill="auto"/>
            <w:noWrap/>
            <w:vAlign w:val="center"/>
            <w:hideMark/>
          </w:tcPr>
          <w:p w14:paraId="16B288C8" w14:textId="77777777" w:rsidR="0071148C" w:rsidRPr="00235C4D" w:rsidRDefault="0071148C" w:rsidP="00234CBE">
            <w:pPr>
              <w:spacing w:line="276" w:lineRule="auto"/>
              <w:jc w:val="center"/>
              <w:rPr>
                <w:rFonts w:ascii="Book Antiqua" w:hAnsi="Book Antiqua" w:cs="Calibri"/>
                <w:color w:val="000000"/>
                <w:sz w:val="16"/>
                <w:szCs w:val="16"/>
                <w:lang w:eastAsia="es-CR"/>
              </w:rPr>
            </w:pPr>
            <w:r w:rsidRPr="00235C4D">
              <w:rPr>
                <w:rFonts w:ascii="Book Antiqua" w:hAnsi="Book Antiqua" w:cs="Calibri"/>
                <w:color w:val="000000"/>
                <w:sz w:val="16"/>
                <w:szCs w:val="16"/>
                <w:lang w:eastAsia="es-CR"/>
              </w:rPr>
              <w:t>514 873</w:t>
            </w:r>
          </w:p>
        </w:tc>
        <w:tc>
          <w:tcPr>
            <w:tcW w:w="878" w:type="dxa"/>
            <w:tcBorders>
              <w:top w:val="nil"/>
              <w:left w:val="nil"/>
              <w:bottom w:val="single" w:sz="4" w:space="0" w:color="auto"/>
              <w:right w:val="single" w:sz="4" w:space="0" w:color="auto"/>
            </w:tcBorders>
            <w:shd w:val="clear" w:color="auto" w:fill="auto"/>
            <w:noWrap/>
            <w:vAlign w:val="center"/>
            <w:hideMark/>
          </w:tcPr>
          <w:p w14:paraId="5A3620B8" w14:textId="77777777" w:rsidR="0071148C" w:rsidRPr="00235C4D" w:rsidRDefault="0071148C" w:rsidP="00234CBE">
            <w:pPr>
              <w:spacing w:line="276" w:lineRule="auto"/>
              <w:jc w:val="center"/>
              <w:rPr>
                <w:rFonts w:ascii="Book Antiqua" w:hAnsi="Book Antiqua" w:cs="Calibri"/>
                <w:color w:val="000000"/>
                <w:sz w:val="16"/>
                <w:szCs w:val="16"/>
                <w:lang w:eastAsia="es-CR"/>
              </w:rPr>
            </w:pPr>
            <w:r w:rsidRPr="00235C4D">
              <w:rPr>
                <w:rFonts w:ascii="Book Antiqua" w:hAnsi="Book Antiqua" w:cs="Calibri"/>
                <w:color w:val="000000"/>
                <w:sz w:val="16"/>
                <w:szCs w:val="16"/>
                <w:lang w:eastAsia="es-CR"/>
              </w:rPr>
              <w:t>515 706</w:t>
            </w:r>
          </w:p>
        </w:tc>
        <w:tc>
          <w:tcPr>
            <w:tcW w:w="1584" w:type="dxa"/>
            <w:tcBorders>
              <w:top w:val="nil"/>
              <w:left w:val="nil"/>
              <w:bottom w:val="single" w:sz="4" w:space="0" w:color="auto"/>
              <w:right w:val="single" w:sz="4" w:space="0" w:color="auto"/>
            </w:tcBorders>
            <w:shd w:val="clear" w:color="auto" w:fill="auto"/>
            <w:noWrap/>
            <w:vAlign w:val="center"/>
            <w:hideMark/>
          </w:tcPr>
          <w:p w14:paraId="6992184B" w14:textId="77777777" w:rsidR="0071148C" w:rsidRPr="00235C4D" w:rsidRDefault="0071148C" w:rsidP="00234CBE">
            <w:pPr>
              <w:spacing w:line="276" w:lineRule="auto"/>
              <w:jc w:val="center"/>
              <w:rPr>
                <w:rFonts w:ascii="Book Antiqua" w:hAnsi="Book Antiqua" w:cs="Calibri"/>
                <w:b/>
                <w:bCs/>
                <w:color w:val="000000"/>
                <w:sz w:val="16"/>
                <w:szCs w:val="16"/>
                <w:u w:val="single"/>
                <w:lang w:eastAsia="es-CR"/>
              </w:rPr>
            </w:pPr>
            <w:r w:rsidRPr="00235C4D">
              <w:rPr>
                <w:rFonts w:ascii="Book Antiqua" w:hAnsi="Book Antiqua" w:cs="Calibri"/>
                <w:b/>
                <w:bCs/>
                <w:color w:val="000000"/>
                <w:sz w:val="16"/>
                <w:szCs w:val="16"/>
                <w:u w:val="single"/>
                <w:lang w:eastAsia="es-CR"/>
              </w:rPr>
              <w:t>-0,85%</w:t>
            </w:r>
          </w:p>
        </w:tc>
      </w:tr>
      <w:tr w:rsidR="0071148C" w:rsidRPr="00235C4D" w14:paraId="43BD19E5" w14:textId="77777777" w:rsidTr="0071148C">
        <w:trPr>
          <w:trHeight w:val="243"/>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14:paraId="2761C273" w14:textId="77777777" w:rsidR="0071148C" w:rsidRPr="00235C4D" w:rsidRDefault="0071148C" w:rsidP="00234CBE">
            <w:pPr>
              <w:spacing w:line="276" w:lineRule="auto"/>
              <w:jc w:val="right"/>
              <w:rPr>
                <w:rFonts w:ascii="Book Antiqua" w:hAnsi="Book Antiqua" w:cs="Calibri"/>
                <w:color w:val="000000"/>
                <w:sz w:val="16"/>
                <w:szCs w:val="16"/>
                <w:lang w:eastAsia="es-CR"/>
              </w:rPr>
            </w:pPr>
            <w:r w:rsidRPr="00235C4D">
              <w:rPr>
                <w:rFonts w:ascii="Book Antiqua" w:hAnsi="Book Antiqua" w:cs="Calibri"/>
                <w:color w:val="000000"/>
                <w:sz w:val="16"/>
                <w:szCs w:val="16"/>
                <w:lang w:eastAsia="es-CR"/>
              </w:rPr>
              <w:t>Cobro</w:t>
            </w:r>
          </w:p>
        </w:tc>
        <w:tc>
          <w:tcPr>
            <w:tcW w:w="704" w:type="dxa"/>
            <w:tcBorders>
              <w:top w:val="nil"/>
              <w:left w:val="nil"/>
              <w:bottom w:val="single" w:sz="4" w:space="0" w:color="auto"/>
              <w:right w:val="single" w:sz="4" w:space="0" w:color="auto"/>
            </w:tcBorders>
            <w:shd w:val="clear" w:color="auto" w:fill="auto"/>
            <w:noWrap/>
            <w:vAlign w:val="center"/>
            <w:hideMark/>
          </w:tcPr>
          <w:p w14:paraId="6C6D78C3" w14:textId="77777777" w:rsidR="0071148C" w:rsidRPr="00235C4D" w:rsidRDefault="0071148C" w:rsidP="00234CBE">
            <w:pPr>
              <w:spacing w:line="276" w:lineRule="auto"/>
              <w:jc w:val="center"/>
              <w:rPr>
                <w:rFonts w:ascii="Book Antiqua" w:hAnsi="Book Antiqua" w:cs="Calibri"/>
                <w:color w:val="000000"/>
                <w:sz w:val="16"/>
                <w:szCs w:val="16"/>
                <w:lang w:eastAsia="es-CR"/>
              </w:rPr>
            </w:pPr>
            <w:r w:rsidRPr="00235C4D">
              <w:rPr>
                <w:rFonts w:ascii="Book Antiqua" w:hAnsi="Book Antiqua" w:cs="Calibri"/>
                <w:color w:val="000000"/>
                <w:sz w:val="16"/>
                <w:szCs w:val="16"/>
                <w:lang w:eastAsia="es-CR"/>
              </w:rPr>
              <w:t>826582</w:t>
            </w:r>
          </w:p>
        </w:tc>
        <w:tc>
          <w:tcPr>
            <w:tcW w:w="704" w:type="dxa"/>
            <w:tcBorders>
              <w:top w:val="nil"/>
              <w:left w:val="nil"/>
              <w:bottom w:val="single" w:sz="4" w:space="0" w:color="auto"/>
              <w:right w:val="single" w:sz="4" w:space="0" w:color="auto"/>
            </w:tcBorders>
            <w:shd w:val="clear" w:color="auto" w:fill="auto"/>
            <w:noWrap/>
            <w:vAlign w:val="center"/>
            <w:hideMark/>
          </w:tcPr>
          <w:p w14:paraId="3EBEB984" w14:textId="77777777" w:rsidR="0071148C" w:rsidRPr="00235C4D" w:rsidRDefault="0071148C" w:rsidP="00234CBE">
            <w:pPr>
              <w:spacing w:line="276" w:lineRule="auto"/>
              <w:jc w:val="center"/>
              <w:rPr>
                <w:rFonts w:ascii="Book Antiqua" w:hAnsi="Book Antiqua" w:cs="Calibri"/>
                <w:color w:val="000000"/>
                <w:sz w:val="16"/>
                <w:szCs w:val="16"/>
                <w:lang w:eastAsia="es-CR"/>
              </w:rPr>
            </w:pPr>
            <w:r w:rsidRPr="00235C4D">
              <w:rPr>
                <w:rFonts w:ascii="Book Antiqua" w:hAnsi="Book Antiqua" w:cs="Calibri"/>
                <w:color w:val="000000"/>
                <w:sz w:val="16"/>
                <w:szCs w:val="16"/>
                <w:lang w:eastAsia="es-CR"/>
              </w:rPr>
              <w:t>834135</w:t>
            </w:r>
          </w:p>
        </w:tc>
        <w:tc>
          <w:tcPr>
            <w:tcW w:w="704" w:type="dxa"/>
            <w:tcBorders>
              <w:top w:val="nil"/>
              <w:left w:val="nil"/>
              <w:bottom w:val="single" w:sz="4" w:space="0" w:color="auto"/>
              <w:right w:val="single" w:sz="4" w:space="0" w:color="auto"/>
            </w:tcBorders>
            <w:shd w:val="clear" w:color="auto" w:fill="auto"/>
            <w:noWrap/>
            <w:vAlign w:val="center"/>
            <w:hideMark/>
          </w:tcPr>
          <w:p w14:paraId="35DFCD5A" w14:textId="77777777" w:rsidR="0071148C" w:rsidRPr="00235C4D" w:rsidRDefault="0071148C" w:rsidP="00234CBE">
            <w:pPr>
              <w:spacing w:line="276" w:lineRule="auto"/>
              <w:jc w:val="center"/>
              <w:rPr>
                <w:rFonts w:ascii="Book Antiqua" w:hAnsi="Book Antiqua" w:cs="Calibri"/>
                <w:color w:val="000000"/>
                <w:sz w:val="16"/>
                <w:szCs w:val="16"/>
                <w:lang w:eastAsia="es-CR"/>
              </w:rPr>
            </w:pPr>
            <w:r w:rsidRPr="00235C4D">
              <w:rPr>
                <w:rFonts w:ascii="Book Antiqua" w:hAnsi="Book Antiqua" w:cs="Calibri"/>
                <w:color w:val="000000"/>
                <w:sz w:val="16"/>
                <w:szCs w:val="16"/>
                <w:lang w:eastAsia="es-CR"/>
              </w:rPr>
              <w:t>840263</w:t>
            </w:r>
          </w:p>
        </w:tc>
        <w:tc>
          <w:tcPr>
            <w:tcW w:w="704" w:type="dxa"/>
            <w:tcBorders>
              <w:top w:val="nil"/>
              <w:left w:val="nil"/>
              <w:bottom w:val="single" w:sz="4" w:space="0" w:color="auto"/>
              <w:right w:val="single" w:sz="4" w:space="0" w:color="auto"/>
            </w:tcBorders>
            <w:shd w:val="clear" w:color="auto" w:fill="auto"/>
            <w:noWrap/>
            <w:vAlign w:val="center"/>
            <w:hideMark/>
          </w:tcPr>
          <w:p w14:paraId="65D5CBB6" w14:textId="77777777" w:rsidR="0071148C" w:rsidRPr="00235C4D" w:rsidRDefault="0071148C" w:rsidP="00234CBE">
            <w:pPr>
              <w:spacing w:line="276" w:lineRule="auto"/>
              <w:jc w:val="center"/>
              <w:rPr>
                <w:rFonts w:ascii="Book Antiqua" w:hAnsi="Book Antiqua" w:cs="Calibri"/>
                <w:color w:val="000000"/>
                <w:sz w:val="16"/>
                <w:szCs w:val="16"/>
                <w:lang w:eastAsia="es-CR"/>
              </w:rPr>
            </w:pPr>
            <w:r w:rsidRPr="00235C4D">
              <w:rPr>
                <w:rFonts w:ascii="Book Antiqua" w:hAnsi="Book Antiqua" w:cs="Calibri"/>
                <w:color w:val="000000"/>
                <w:sz w:val="16"/>
                <w:szCs w:val="16"/>
                <w:lang w:eastAsia="es-CR"/>
              </w:rPr>
              <w:t>821504</w:t>
            </w:r>
          </w:p>
        </w:tc>
        <w:tc>
          <w:tcPr>
            <w:tcW w:w="704" w:type="dxa"/>
            <w:tcBorders>
              <w:top w:val="nil"/>
              <w:left w:val="nil"/>
              <w:bottom w:val="single" w:sz="4" w:space="0" w:color="auto"/>
              <w:right w:val="single" w:sz="4" w:space="0" w:color="auto"/>
            </w:tcBorders>
            <w:shd w:val="clear" w:color="auto" w:fill="auto"/>
            <w:noWrap/>
            <w:vAlign w:val="center"/>
            <w:hideMark/>
          </w:tcPr>
          <w:p w14:paraId="55F4F309" w14:textId="77777777" w:rsidR="0071148C" w:rsidRPr="00235C4D" w:rsidRDefault="0071148C" w:rsidP="00234CBE">
            <w:pPr>
              <w:spacing w:line="276" w:lineRule="auto"/>
              <w:jc w:val="center"/>
              <w:rPr>
                <w:rFonts w:ascii="Book Antiqua" w:hAnsi="Book Antiqua" w:cs="Calibri"/>
                <w:color w:val="000000"/>
                <w:sz w:val="16"/>
                <w:szCs w:val="16"/>
                <w:lang w:eastAsia="es-CR"/>
              </w:rPr>
            </w:pPr>
            <w:r w:rsidRPr="00235C4D">
              <w:rPr>
                <w:rFonts w:ascii="Book Antiqua" w:hAnsi="Book Antiqua" w:cs="Calibri"/>
                <w:color w:val="000000"/>
                <w:sz w:val="16"/>
                <w:szCs w:val="16"/>
                <w:lang w:eastAsia="es-CR"/>
              </w:rPr>
              <w:t>821033</w:t>
            </w:r>
          </w:p>
        </w:tc>
        <w:tc>
          <w:tcPr>
            <w:tcW w:w="704" w:type="dxa"/>
            <w:tcBorders>
              <w:top w:val="nil"/>
              <w:left w:val="nil"/>
              <w:bottom w:val="single" w:sz="4" w:space="0" w:color="auto"/>
              <w:right w:val="single" w:sz="4" w:space="0" w:color="auto"/>
            </w:tcBorders>
            <w:shd w:val="clear" w:color="auto" w:fill="auto"/>
            <w:noWrap/>
            <w:vAlign w:val="center"/>
            <w:hideMark/>
          </w:tcPr>
          <w:p w14:paraId="311C8C05" w14:textId="77777777" w:rsidR="0071148C" w:rsidRPr="00235C4D" w:rsidRDefault="0071148C" w:rsidP="00234CBE">
            <w:pPr>
              <w:spacing w:line="276" w:lineRule="auto"/>
              <w:jc w:val="center"/>
              <w:rPr>
                <w:rFonts w:ascii="Book Antiqua" w:hAnsi="Book Antiqua" w:cs="Calibri"/>
                <w:color w:val="000000"/>
                <w:sz w:val="16"/>
                <w:szCs w:val="16"/>
                <w:lang w:eastAsia="es-CR"/>
              </w:rPr>
            </w:pPr>
            <w:r w:rsidRPr="00235C4D">
              <w:rPr>
                <w:rFonts w:ascii="Book Antiqua" w:hAnsi="Book Antiqua" w:cs="Calibri"/>
                <w:color w:val="000000"/>
                <w:sz w:val="16"/>
                <w:szCs w:val="16"/>
                <w:lang w:eastAsia="es-CR"/>
              </w:rPr>
              <w:t>815545</w:t>
            </w:r>
          </w:p>
        </w:tc>
        <w:tc>
          <w:tcPr>
            <w:tcW w:w="704" w:type="dxa"/>
            <w:tcBorders>
              <w:top w:val="nil"/>
              <w:left w:val="nil"/>
              <w:bottom w:val="single" w:sz="4" w:space="0" w:color="auto"/>
              <w:right w:val="single" w:sz="4" w:space="0" w:color="auto"/>
            </w:tcBorders>
            <w:shd w:val="clear" w:color="auto" w:fill="auto"/>
            <w:noWrap/>
            <w:vAlign w:val="center"/>
            <w:hideMark/>
          </w:tcPr>
          <w:p w14:paraId="2F3456F0" w14:textId="77777777" w:rsidR="0071148C" w:rsidRPr="00235C4D" w:rsidRDefault="0071148C" w:rsidP="00234CBE">
            <w:pPr>
              <w:spacing w:line="276" w:lineRule="auto"/>
              <w:jc w:val="center"/>
              <w:rPr>
                <w:rFonts w:ascii="Book Antiqua" w:hAnsi="Book Antiqua" w:cs="Calibri"/>
                <w:color w:val="000000"/>
                <w:sz w:val="16"/>
                <w:szCs w:val="16"/>
                <w:lang w:eastAsia="es-CR"/>
              </w:rPr>
            </w:pPr>
            <w:r w:rsidRPr="00235C4D">
              <w:rPr>
                <w:rFonts w:ascii="Book Antiqua" w:hAnsi="Book Antiqua" w:cs="Calibri"/>
                <w:color w:val="000000"/>
                <w:sz w:val="16"/>
                <w:szCs w:val="16"/>
                <w:lang w:eastAsia="es-CR"/>
              </w:rPr>
              <w:t>821171</w:t>
            </w:r>
          </w:p>
        </w:tc>
        <w:tc>
          <w:tcPr>
            <w:tcW w:w="799" w:type="dxa"/>
            <w:tcBorders>
              <w:top w:val="nil"/>
              <w:left w:val="nil"/>
              <w:bottom w:val="single" w:sz="4" w:space="0" w:color="auto"/>
              <w:right w:val="single" w:sz="4" w:space="0" w:color="auto"/>
            </w:tcBorders>
            <w:shd w:val="clear" w:color="auto" w:fill="auto"/>
            <w:noWrap/>
            <w:vAlign w:val="center"/>
            <w:hideMark/>
          </w:tcPr>
          <w:p w14:paraId="05F7F4BB" w14:textId="77777777" w:rsidR="0071148C" w:rsidRPr="00235C4D" w:rsidRDefault="0071148C" w:rsidP="00234CBE">
            <w:pPr>
              <w:spacing w:line="276" w:lineRule="auto"/>
              <w:jc w:val="center"/>
              <w:rPr>
                <w:rFonts w:ascii="Book Antiqua" w:hAnsi="Book Antiqua" w:cs="Calibri"/>
                <w:color w:val="000000"/>
                <w:sz w:val="16"/>
                <w:szCs w:val="16"/>
                <w:lang w:eastAsia="es-CR"/>
              </w:rPr>
            </w:pPr>
            <w:r w:rsidRPr="00235C4D">
              <w:rPr>
                <w:rFonts w:ascii="Book Antiqua" w:hAnsi="Book Antiqua" w:cs="Calibri"/>
                <w:color w:val="000000"/>
                <w:sz w:val="16"/>
                <w:szCs w:val="16"/>
                <w:lang w:eastAsia="es-CR"/>
              </w:rPr>
              <w:t>828264</w:t>
            </w:r>
          </w:p>
        </w:tc>
        <w:tc>
          <w:tcPr>
            <w:tcW w:w="878" w:type="dxa"/>
            <w:tcBorders>
              <w:top w:val="nil"/>
              <w:left w:val="nil"/>
              <w:bottom w:val="single" w:sz="4" w:space="0" w:color="auto"/>
              <w:right w:val="single" w:sz="4" w:space="0" w:color="auto"/>
            </w:tcBorders>
            <w:shd w:val="clear" w:color="auto" w:fill="auto"/>
            <w:noWrap/>
            <w:vAlign w:val="center"/>
            <w:hideMark/>
          </w:tcPr>
          <w:p w14:paraId="14745E9C" w14:textId="77777777" w:rsidR="0071148C" w:rsidRPr="00235C4D" w:rsidRDefault="0071148C" w:rsidP="00234CBE">
            <w:pPr>
              <w:spacing w:line="276" w:lineRule="auto"/>
              <w:jc w:val="center"/>
              <w:rPr>
                <w:rFonts w:ascii="Book Antiqua" w:hAnsi="Book Antiqua" w:cs="Calibri"/>
                <w:color w:val="000000"/>
                <w:sz w:val="16"/>
                <w:szCs w:val="16"/>
                <w:lang w:eastAsia="es-CR"/>
              </w:rPr>
            </w:pPr>
            <w:r w:rsidRPr="00235C4D">
              <w:rPr>
                <w:rFonts w:ascii="Book Antiqua" w:hAnsi="Book Antiqua" w:cs="Calibri"/>
                <w:color w:val="000000"/>
                <w:sz w:val="16"/>
                <w:szCs w:val="16"/>
                <w:lang w:eastAsia="es-CR"/>
              </w:rPr>
              <w:t>829379</w:t>
            </w:r>
          </w:p>
        </w:tc>
        <w:tc>
          <w:tcPr>
            <w:tcW w:w="1584" w:type="dxa"/>
            <w:tcBorders>
              <w:top w:val="nil"/>
              <w:left w:val="nil"/>
              <w:bottom w:val="single" w:sz="4" w:space="0" w:color="auto"/>
              <w:right w:val="single" w:sz="4" w:space="0" w:color="auto"/>
            </w:tcBorders>
            <w:shd w:val="clear" w:color="auto" w:fill="auto"/>
            <w:noWrap/>
            <w:vAlign w:val="center"/>
            <w:hideMark/>
          </w:tcPr>
          <w:p w14:paraId="4F5E54BF" w14:textId="77777777" w:rsidR="0071148C" w:rsidRPr="00235C4D" w:rsidRDefault="0071148C" w:rsidP="00234CBE">
            <w:pPr>
              <w:spacing w:line="276" w:lineRule="auto"/>
              <w:jc w:val="center"/>
              <w:rPr>
                <w:rFonts w:ascii="Book Antiqua" w:hAnsi="Book Antiqua" w:cs="Calibri"/>
                <w:b/>
                <w:bCs/>
                <w:color w:val="000000"/>
                <w:sz w:val="16"/>
                <w:szCs w:val="16"/>
                <w:u w:val="single"/>
                <w:lang w:eastAsia="es-CR"/>
              </w:rPr>
            </w:pPr>
            <w:r w:rsidRPr="00235C4D">
              <w:rPr>
                <w:rFonts w:ascii="Book Antiqua" w:hAnsi="Book Antiqua" w:cs="Calibri"/>
                <w:b/>
                <w:bCs/>
                <w:color w:val="000000"/>
                <w:sz w:val="16"/>
                <w:szCs w:val="16"/>
                <w:u w:val="single"/>
                <w:lang w:eastAsia="es-CR"/>
              </w:rPr>
              <w:t>0,34%</w:t>
            </w:r>
          </w:p>
        </w:tc>
      </w:tr>
    </w:tbl>
    <w:p w14:paraId="1E64D1BD" w14:textId="77777777" w:rsidR="0059268A" w:rsidRDefault="0059268A" w:rsidP="00234CBE">
      <w:pPr>
        <w:shd w:val="clear" w:color="auto" w:fill="FFFFFF" w:themeFill="background1"/>
        <w:spacing w:line="276" w:lineRule="auto"/>
        <w:jc w:val="center"/>
        <w:rPr>
          <w:rFonts w:ascii="Book Antiqua" w:hAnsi="Book Antiqua" w:cs="Book Antiqua"/>
          <w:snapToGrid w:val="0"/>
          <w:color w:val="000000" w:themeColor="text1"/>
        </w:rPr>
      </w:pPr>
      <w:r w:rsidRPr="0059268A">
        <w:rPr>
          <w:rFonts w:ascii="Book Antiqua" w:hAnsi="Book Antiqua" w:cs="Calibri"/>
          <w:b/>
          <w:bCs/>
          <w:color w:val="000000"/>
          <w:sz w:val="20"/>
          <w:szCs w:val="20"/>
          <w:lang w:eastAsia="es-CR"/>
        </w:rPr>
        <w:t>Fuente:</w:t>
      </w:r>
      <w:r w:rsidRPr="00D44482">
        <w:rPr>
          <w:rFonts w:ascii="Book Antiqua" w:hAnsi="Book Antiqua" w:cs="Calibri"/>
          <w:color w:val="000000"/>
          <w:sz w:val="20"/>
          <w:szCs w:val="20"/>
          <w:lang w:eastAsia="es-CR"/>
        </w:rPr>
        <w:t xml:space="preserve"> </w:t>
      </w:r>
      <w:r>
        <w:rPr>
          <w:rFonts w:ascii="Book Antiqua" w:hAnsi="Book Antiqua" w:cs="Calibri"/>
          <w:color w:val="000000"/>
          <w:sz w:val="20"/>
          <w:szCs w:val="20"/>
          <w:lang w:eastAsia="es-CR"/>
        </w:rPr>
        <w:t>Elaboración propia a partir de las estadísticas del Subproceso de Estadística</w:t>
      </w:r>
    </w:p>
    <w:p w14:paraId="0A3F6B9D" w14:textId="77777777" w:rsidR="0048232A" w:rsidRDefault="0048232A" w:rsidP="00234CBE">
      <w:pPr>
        <w:shd w:val="clear" w:color="auto" w:fill="FFFFFF" w:themeFill="background1"/>
        <w:spacing w:after="160" w:line="276" w:lineRule="auto"/>
        <w:jc w:val="both"/>
        <w:rPr>
          <w:rFonts w:ascii="Book Antiqua" w:hAnsi="Book Antiqua"/>
          <w:lang w:val="es-ES_tradnl" w:eastAsia="en-US"/>
        </w:rPr>
      </w:pPr>
    </w:p>
    <w:p w14:paraId="3CC73AC1" w14:textId="2805EC84" w:rsidR="005B453B" w:rsidRPr="00450DF4" w:rsidRDefault="005B453B" w:rsidP="00234CBE">
      <w:pPr>
        <w:shd w:val="clear" w:color="auto" w:fill="FFFFFF" w:themeFill="background1"/>
        <w:spacing w:after="160" w:line="276" w:lineRule="auto"/>
        <w:jc w:val="both"/>
        <w:rPr>
          <w:rFonts w:ascii="Book Antiqua" w:hAnsi="Book Antiqua"/>
          <w:lang w:val="es-ES_tradnl" w:eastAsia="en-US"/>
        </w:rPr>
      </w:pPr>
      <w:bookmarkStart w:id="4" w:name="_Hlk65540324"/>
      <w:r w:rsidRPr="00450DF4">
        <w:rPr>
          <w:rFonts w:ascii="Book Antiqua" w:hAnsi="Book Antiqua"/>
          <w:lang w:val="es-ES_tradnl" w:eastAsia="en-US"/>
        </w:rPr>
        <w:t xml:space="preserve">A nivel de toda la institución en </w:t>
      </w:r>
      <w:r w:rsidR="00BE504A">
        <w:rPr>
          <w:rFonts w:ascii="Book Antiqua" w:hAnsi="Book Antiqua"/>
          <w:lang w:val="es-ES_tradnl" w:eastAsia="en-US"/>
        </w:rPr>
        <w:t>setiembre</w:t>
      </w:r>
      <w:r w:rsidRPr="00450DF4">
        <w:rPr>
          <w:rFonts w:ascii="Book Antiqua" w:hAnsi="Book Antiqua"/>
          <w:lang w:val="es-ES_tradnl" w:eastAsia="en-US"/>
        </w:rPr>
        <w:t xml:space="preserve"> 2021 incluyendo cobro se cierra con</w:t>
      </w:r>
      <w:r w:rsidR="00DA2651" w:rsidRPr="00450DF4">
        <w:rPr>
          <w:rFonts w:ascii="Book Antiqua" w:hAnsi="Book Antiqua"/>
          <w:lang w:val="es-ES_tradnl" w:eastAsia="en-US"/>
        </w:rPr>
        <w:t xml:space="preserve"> 1.3</w:t>
      </w:r>
      <w:r w:rsidR="00B56F97" w:rsidRPr="00450DF4">
        <w:rPr>
          <w:rFonts w:ascii="Book Antiqua" w:hAnsi="Book Antiqua"/>
          <w:lang w:val="es-ES_tradnl" w:eastAsia="en-US"/>
        </w:rPr>
        <w:t>4</w:t>
      </w:r>
      <w:r w:rsidR="00C81103">
        <w:rPr>
          <w:rFonts w:ascii="Book Antiqua" w:hAnsi="Book Antiqua"/>
          <w:lang w:val="es-ES_tradnl" w:eastAsia="en-US"/>
        </w:rPr>
        <w:t>5</w:t>
      </w:r>
      <w:r w:rsidR="00DA2651" w:rsidRPr="00450DF4">
        <w:rPr>
          <w:rFonts w:ascii="Book Antiqua" w:hAnsi="Book Antiqua"/>
          <w:lang w:val="es-ES_tradnl" w:eastAsia="en-US"/>
        </w:rPr>
        <w:t>.</w:t>
      </w:r>
      <w:r w:rsidR="00C81103">
        <w:rPr>
          <w:rFonts w:ascii="Book Antiqua" w:hAnsi="Book Antiqua"/>
          <w:lang w:val="es-ES_tradnl" w:eastAsia="en-US"/>
        </w:rPr>
        <w:t>085</w:t>
      </w:r>
      <w:r w:rsidR="00DA2651" w:rsidRPr="00450DF4">
        <w:rPr>
          <w:rFonts w:ascii="Book Antiqua" w:hAnsi="Book Antiqua"/>
          <w:lang w:val="es-ES_tradnl" w:eastAsia="en-US"/>
        </w:rPr>
        <w:t xml:space="preserve"> </w:t>
      </w:r>
      <w:r w:rsidRPr="00450DF4">
        <w:rPr>
          <w:rFonts w:ascii="Book Antiqua" w:hAnsi="Book Antiqua"/>
          <w:lang w:val="es-ES_tradnl" w:eastAsia="en-US"/>
        </w:rPr>
        <w:t>expedientes activos</w:t>
      </w:r>
      <w:r w:rsidR="0010032C">
        <w:rPr>
          <w:rFonts w:ascii="Book Antiqua" w:hAnsi="Book Antiqua"/>
          <w:lang w:val="es-ES_tradnl" w:eastAsia="en-US"/>
        </w:rPr>
        <w:t>,</w:t>
      </w:r>
      <w:r w:rsidRPr="00450DF4">
        <w:rPr>
          <w:rFonts w:ascii="Book Antiqua" w:hAnsi="Book Antiqua"/>
          <w:lang w:val="es-ES_tradnl" w:eastAsia="en-US"/>
        </w:rPr>
        <w:t xml:space="preserve"> lo</w:t>
      </w:r>
      <w:r w:rsidR="0010032C">
        <w:rPr>
          <w:rFonts w:ascii="Book Antiqua" w:hAnsi="Book Antiqua"/>
          <w:lang w:val="es-ES_tradnl" w:eastAsia="en-US"/>
        </w:rPr>
        <w:t xml:space="preserve"> que</w:t>
      </w:r>
      <w:r w:rsidRPr="00450DF4">
        <w:rPr>
          <w:rFonts w:ascii="Book Antiqua" w:hAnsi="Book Antiqua"/>
          <w:lang w:val="es-ES_tradnl" w:eastAsia="en-US"/>
        </w:rPr>
        <w:t xml:space="preserve"> implica </w:t>
      </w:r>
      <w:r w:rsidR="009C27EE" w:rsidRPr="00450DF4">
        <w:rPr>
          <w:rFonts w:ascii="Book Antiqua" w:hAnsi="Book Antiqua"/>
          <w:lang w:val="es-ES_tradnl" w:eastAsia="en-US"/>
        </w:rPr>
        <w:t>un incremento</w:t>
      </w:r>
      <w:r w:rsidR="00DA2651" w:rsidRPr="00450DF4">
        <w:rPr>
          <w:rFonts w:ascii="Book Antiqua" w:hAnsi="Book Antiqua"/>
          <w:lang w:val="es-ES_tradnl" w:eastAsia="en-US"/>
        </w:rPr>
        <w:t xml:space="preserve"> </w:t>
      </w:r>
      <w:r w:rsidRPr="00450DF4">
        <w:rPr>
          <w:rFonts w:ascii="Book Antiqua" w:hAnsi="Book Antiqua"/>
          <w:lang w:val="es-ES_tradnl" w:eastAsia="en-US"/>
        </w:rPr>
        <w:t>del circulante con respecto a diciembre 20</w:t>
      </w:r>
      <w:r w:rsidR="009C27EE" w:rsidRPr="00450DF4">
        <w:rPr>
          <w:rFonts w:ascii="Book Antiqua" w:hAnsi="Book Antiqua"/>
          <w:lang w:val="es-ES_tradnl" w:eastAsia="en-US"/>
        </w:rPr>
        <w:t>19</w:t>
      </w:r>
      <w:r w:rsidRPr="00450DF4">
        <w:rPr>
          <w:rFonts w:ascii="Book Antiqua" w:hAnsi="Book Antiqua"/>
          <w:lang w:val="es-ES_tradnl" w:eastAsia="en-US"/>
        </w:rPr>
        <w:t xml:space="preserve">, el cual </w:t>
      </w:r>
      <w:r w:rsidR="0010032C">
        <w:rPr>
          <w:rFonts w:ascii="Book Antiqua" w:hAnsi="Book Antiqua"/>
          <w:lang w:val="es-ES_tradnl" w:eastAsia="en-US"/>
        </w:rPr>
        <w:t>fue</w:t>
      </w:r>
      <w:r w:rsidRPr="00450DF4">
        <w:rPr>
          <w:rFonts w:ascii="Book Antiqua" w:hAnsi="Book Antiqua"/>
          <w:lang w:val="es-ES_tradnl" w:eastAsia="en-US"/>
        </w:rPr>
        <w:t xml:space="preserve"> de </w:t>
      </w:r>
      <w:r w:rsidR="00DA2651" w:rsidRPr="00450DF4">
        <w:rPr>
          <w:rFonts w:ascii="Book Antiqua" w:hAnsi="Book Antiqua"/>
          <w:lang w:val="es-ES_tradnl" w:eastAsia="en-US"/>
        </w:rPr>
        <w:t>1.</w:t>
      </w:r>
      <w:r w:rsidR="009C27EE" w:rsidRPr="00450DF4">
        <w:rPr>
          <w:rFonts w:ascii="Book Antiqua" w:hAnsi="Book Antiqua"/>
          <w:lang w:val="es-ES_tradnl" w:eastAsia="en-US"/>
        </w:rPr>
        <w:t>287</w:t>
      </w:r>
      <w:r w:rsidR="00DA2651" w:rsidRPr="00450DF4">
        <w:rPr>
          <w:rFonts w:ascii="Book Antiqua" w:hAnsi="Book Antiqua"/>
          <w:lang w:val="es-ES_tradnl" w:eastAsia="en-US"/>
        </w:rPr>
        <w:t>.</w:t>
      </w:r>
      <w:r w:rsidR="009C27EE" w:rsidRPr="00450DF4">
        <w:rPr>
          <w:rFonts w:ascii="Book Antiqua" w:hAnsi="Book Antiqua"/>
          <w:lang w:val="es-ES_tradnl" w:eastAsia="en-US"/>
        </w:rPr>
        <w:t>171</w:t>
      </w:r>
      <w:r w:rsidR="00DA2651" w:rsidRPr="00450DF4">
        <w:rPr>
          <w:rFonts w:ascii="Book Antiqua" w:hAnsi="Book Antiqua"/>
          <w:lang w:val="es-ES_tradnl" w:eastAsia="en-US"/>
        </w:rPr>
        <w:t xml:space="preserve"> </w:t>
      </w:r>
      <w:r w:rsidR="00F147DF">
        <w:rPr>
          <w:rFonts w:ascii="Book Antiqua" w:hAnsi="Book Antiqua"/>
          <w:lang w:val="es-ES_tradnl" w:eastAsia="en-US"/>
        </w:rPr>
        <w:t>siendo esta,</w:t>
      </w:r>
      <w:r w:rsidR="00D86CF5" w:rsidRPr="00450DF4">
        <w:rPr>
          <w:rFonts w:ascii="Book Antiqua" w:hAnsi="Book Antiqua"/>
          <w:lang w:val="es-ES_tradnl" w:eastAsia="en-US"/>
        </w:rPr>
        <w:t xml:space="preserve"> </w:t>
      </w:r>
      <w:r w:rsidR="009C27EE" w:rsidRPr="00450DF4">
        <w:rPr>
          <w:rFonts w:ascii="Book Antiqua" w:hAnsi="Book Antiqua"/>
          <w:lang w:val="es-ES_tradnl" w:eastAsia="en-US"/>
        </w:rPr>
        <w:t>una tasa del</w:t>
      </w:r>
      <w:r w:rsidRPr="00450DF4">
        <w:rPr>
          <w:rFonts w:ascii="Book Antiqua" w:hAnsi="Book Antiqua"/>
          <w:lang w:val="es-ES_tradnl" w:eastAsia="en-US"/>
        </w:rPr>
        <w:t xml:space="preserve"> </w:t>
      </w:r>
      <w:r w:rsidR="009C27EE" w:rsidRPr="00450DF4">
        <w:rPr>
          <w:rFonts w:ascii="Book Antiqua" w:hAnsi="Book Antiqua"/>
          <w:lang w:val="es-ES_tradnl" w:eastAsia="en-US"/>
        </w:rPr>
        <w:t>4</w:t>
      </w:r>
      <w:r w:rsidR="00DA2651" w:rsidRPr="00450DF4">
        <w:rPr>
          <w:rFonts w:ascii="Book Antiqua" w:hAnsi="Book Antiqua"/>
          <w:lang w:val="es-ES_tradnl" w:eastAsia="en-US"/>
        </w:rPr>
        <w:t>.</w:t>
      </w:r>
      <w:r w:rsidR="00677A9A">
        <w:rPr>
          <w:rFonts w:ascii="Book Antiqua" w:hAnsi="Book Antiqua"/>
          <w:lang w:val="es-ES_tradnl" w:eastAsia="en-US"/>
        </w:rPr>
        <w:t>50</w:t>
      </w:r>
      <w:r w:rsidRPr="00450DF4">
        <w:rPr>
          <w:rFonts w:ascii="Book Antiqua" w:hAnsi="Book Antiqua"/>
          <w:lang w:val="es-ES_tradnl" w:eastAsia="en-US"/>
        </w:rPr>
        <w:t>%.</w:t>
      </w:r>
      <w:r w:rsidR="00D86CF5" w:rsidRPr="00450DF4">
        <w:rPr>
          <w:rFonts w:ascii="Book Antiqua" w:hAnsi="Book Antiqua"/>
          <w:lang w:val="es-ES_tradnl" w:eastAsia="en-US"/>
        </w:rPr>
        <w:t xml:space="preserve"> No obstante, al comparar con </w:t>
      </w:r>
      <w:r w:rsidR="00702C7A">
        <w:rPr>
          <w:rFonts w:ascii="Book Antiqua" w:hAnsi="Book Antiqua"/>
          <w:lang w:val="es-ES_tradnl" w:eastAsia="en-US"/>
        </w:rPr>
        <w:t>la cifra de</w:t>
      </w:r>
      <w:r w:rsidR="00677A9A">
        <w:rPr>
          <w:rFonts w:ascii="Book Antiqua" w:hAnsi="Book Antiqua"/>
          <w:lang w:val="es-ES_tradnl" w:eastAsia="en-US"/>
        </w:rPr>
        <w:t xml:space="preserve"> diciembre </w:t>
      </w:r>
      <w:r w:rsidR="00D86CF5" w:rsidRPr="00450DF4">
        <w:rPr>
          <w:rFonts w:ascii="Book Antiqua" w:hAnsi="Book Antiqua"/>
          <w:lang w:val="es-ES_tradnl" w:eastAsia="en-US"/>
        </w:rPr>
        <w:t xml:space="preserve">2020, se visualiza una leve disminución </w:t>
      </w:r>
      <w:r w:rsidR="003E32AB">
        <w:rPr>
          <w:rFonts w:ascii="Book Antiqua" w:hAnsi="Book Antiqua"/>
          <w:lang w:val="es-ES_tradnl" w:eastAsia="en-US"/>
        </w:rPr>
        <w:t>en 8.191 registros (0.61%).</w:t>
      </w:r>
    </w:p>
    <w:p w14:paraId="4225CC90" w14:textId="111F6136" w:rsidR="005B453B" w:rsidRDefault="00D86CF5" w:rsidP="00234CBE">
      <w:pPr>
        <w:shd w:val="clear" w:color="auto" w:fill="FFFFFF" w:themeFill="background1"/>
        <w:spacing w:after="160" w:line="276" w:lineRule="auto"/>
        <w:jc w:val="both"/>
        <w:rPr>
          <w:color w:val="000000"/>
        </w:rPr>
      </w:pPr>
      <w:r w:rsidRPr="00450DF4">
        <w:rPr>
          <w:rFonts w:ascii="Book Antiqua" w:hAnsi="Book Antiqua"/>
          <w:lang w:val="es-ES_tradnl" w:eastAsia="en-US"/>
        </w:rPr>
        <w:t>Por otro lado</w:t>
      </w:r>
      <w:r w:rsidR="005B453B" w:rsidRPr="00450DF4">
        <w:rPr>
          <w:rFonts w:ascii="Book Antiqua" w:hAnsi="Book Antiqua"/>
          <w:lang w:val="es-ES_tradnl" w:eastAsia="en-US"/>
        </w:rPr>
        <w:t xml:space="preserve">, si se realiza ese mismo análisis, pero sin considerar la materia cobratoria se determina que en </w:t>
      </w:r>
      <w:r w:rsidR="009A2E54">
        <w:rPr>
          <w:rFonts w:ascii="Book Antiqua" w:hAnsi="Book Antiqua"/>
          <w:lang w:val="es-ES_tradnl" w:eastAsia="en-US"/>
        </w:rPr>
        <w:t>setiembre</w:t>
      </w:r>
      <w:r w:rsidRPr="00450DF4">
        <w:rPr>
          <w:rFonts w:ascii="Book Antiqua" w:hAnsi="Book Antiqua"/>
          <w:lang w:val="es-ES_tradnl" w:eastAsia="en-US"/>
        </w:rPr>
        <w:t xml:space="preserve"> </w:t>
      </w:r>
      <w:r w:rsidR="005B453B" w:rsidRPr="00450DF4">
        <w:rPr>
          <w:rFonts w:ascii="Book Antiqua" w:hAnsi="Book Antiqua"/>
          <w:lang w:val="es-ES_tradnl" w:eastAsia="en-US"/>
        </w:rPr>
        <w:t xml:space="preserve">el circulante final hubiera sido de </w:t>
      </w:r>
      <w:r w:rsidR="00291FFE" w:rsidRPr="00450DF4">
        <w:rPr>
          <w:rFonts w:ascii="Book Antiqua" w:hAnsi="Book Antiqua"/>
          <w:lang w:val="es-ES_tradnl" w:eastAsia="en-US"/>
        </w:rPr>
        <w:t>5</w:t>
      </w:r>
      <w:r w:rsidR="009A2E54">
        <w:rPr>
          <w:rFonts w:ascii="Book Antiqua" w:hAnsi="Book Antiqua"/>
          <w:lang w:val="es-ES_tradnl" w:eastAsia="en-US"/>
        </w:rPr>
        <w:t>15</w:t>
      </w:r>
      <w:r w:rsidR="00291FFE" w:rsidRPr="00450DF4">
        <w:rPr>
          <w:rFonts w:ascii="Book Antiqua" w:hAnsi="Book Antiqua"/>
          <w:lang w:val="es-ES_tradnl" w:eastAsia="en-US"/>
        </w:rPr>
        <w:t>.</w:t>
      </w:r>
      <w:r w:rsidR="009A2E54">
        <w:rPr>
          <w:rFonts w:ascii="Book Antiqua" w:hAnsi="Book Antiqua"/>
          <w:lang w:val="es-ES_tradnl" w:eastAsia="en-US"/>
        </w:rPr>
        <w:t>706</w:t>
      </w:r>
      <w:r w:rsidR="0048464B" w:rsidRPr="00450DF4">
        <w:rPr>
          <w:rFonts w:ascii="Book Antiqua" w:hAnsi="Book Antiqua"/>
          <w:lang w:val="es-ES_tradnl" w:eastAsia="en-US"/>
        </w:rPr>
        <w:t xml:space="preserve">, </w:t>
      </w:r>
      <w:r w:rsidR="005B453B" w:rsidRPr="00450DF4">
        <w:rPr>
          <w:rFonts w:ascii="Book Antiqua" w:hAnsi="Book Antiqua"/>
          <w:lang w:val="es-ES_tradnl" w:eastAsia="en-US"/>
        </w:rPr>
        <w:t>en diciembre 20</w:t>
      </w:r>
      <w:r w:rsidR="0048464B" w:rsidRPr="00450DF4">
        <w:rPr>
          <w:rFonts w:ascii="Book Antiqua" w:hAnsi="Book Antiqua"/>
          <w:lang w:val="es-ES_tradnl" w:eastAsia="en-US"/>
        </w:rPr>
        <w:t>20</w:t>
      </w:r>
      <w:r w:rsidR="005B453B" w:rsidRPr="00450DF4">
        <w:rPr>
          <w:rFonts w:ascii="Book Antiqua" w:hAnsi="Book Antiqua"/>
          <w:lang w:val="es-ES_tradnl" w:eastAsia="en-US"/>
        </w:rPr>
        <w:t xml:space="preserve"> de </w:t>
      </w:r>
      <w:r w:rsidR="0048464B" w:rsidRPr="00450DF4">
        <w:rPr>
          <w:rFonts w:ascii="Book Antiqua" w:hAnsi="Book Antiqua"/>
          <w:lang w:val="es-ES_tradnl" w:eastAsia="en-US"/>
        </w:rPr>
        <w:t>5</w:t>
      </w:r>
      <w:r w:rsidR="00775BFC" w:rsidRPr="00450DF4">
        <w:rPr>
          <w:rFonts w:ascii="Book Antiqua" w:hAnsi="Book Antiqua"/>
          <w:lang w:val="es-ES_tradnl" w:eastAsia="en-US"/>
        </w:rPr>
        <w:t>20</w:t>
      </w:r>
      <w:r w:rsidR="0048464B" w:rsidRPr="00450DF4">
        <w:rPr>
          <w:rFonts w:ascii="Book Antiqua" w:hAnsi="Book Antiqua"/>
          <w:lang w:val="es-ES_tradnl" w:eastAsia="en-US"/>
        </w:rPr>
        <w:t>.</w:t>
      </w:r>
      <w:r w:rsidR="00775BFC" w:rsidRPr="00450DF4">
        <w:rPr>
          <w:rFonts w:ascii="Book Antiqua" w:hAnsi="Book Antiqua"/>
          <w:lang w:val="es-ES_tradnl" w:eastAsia="en-US"/>
        </w:rPr>
        <w:t>593</w:t>
      </w:r>
      <w:r w:rsidR="0048464B" w:rsidRPr="00450DF4">
        <w:rPr>
          <w:rFonts w:ascii="Book Antiqua" w:hAnsi="Book Antiqua"/>
          <w:lang w:val="es-ES_tradnl" w:eastAsia="en-US"/>
        </w:rPr>
        <w:t xml:space="preserve"> y </w:t>
      </w:r>
      <w:r w:rsidR="00775BFC" w:rsidRPr="00450DF4">
        <w:rPr>
          <w:rFonts w:ascii="Book Antiqua" w:hAnsi="Book Antiqua"/>
          <w:lang w:val="es-ES_tradnl" w:eastAsia="en-US"/>
        </w:rPr>
        <w:t xml:space="preserve">en </w:t>
      </w:r>
      <w:r w:rsidR="0048464B" w:rsidRPr="00450DF4">
        <w:rPr>
          <w:rFonts w:ascii="Book Antiqua" w:hAnsi="Book Antiqua"/>
          <w:lang w:val="es-ES_tradnl" w:eastAsia="en-US"/>
        </w:rPr>
        <w:t>di</w:t>
      </w:r>
      <w:r w:rsidR="00775BFC" w:rsidRPr="00450DF4">
        <w:rPr>
          <w:rFonts w:ascii="Book Antiqua" w:hAnsi="Book Antiqua"/>
          <w:lang w:val="es-ES_tradnl" w:eastAsia="en-US"/>
        </w:rPr>
        <w:t>ciembre 2019 de 539.</w:t>
      </w:r>
      <w:r w:rsidR="00450DF4" w:rsidRPr="00450DF4">
        <w:rPr>
          <w:rFonts w:ascii="Book Antiqua" w:hAnsi="Book Antiqua"/>
          <w:lang w:val="es-ES_tradnl" w:eastAsia="en-US"/>
        </w:rPr>
        <w:t>015,</w:t>
      </w:r>
      <w:r w:rsidR="006162AD">
        <w:rPr>
          <w:rFonts w:ascii="Book Antiqua" w:hAnsi="Book Antiqua"/>
          <w:lang w:val="es-ES_tradnl" w:eastAsia="en-US"/>
        </w:rPr>
        <w:t xml:space="preserve"> </w:t>
      </w:r>
      <w:r w:rsidR="00734DA4">
        <w:rPr>
          <w:rFonts w:ascii="Book Antiqua" w:hAnsi="Book Antiqua"/>
          <w:lang w:val="es-ES_tradnl" w:eastAsia="en-US"/>
        </w:rPr>
        <w:t>lo que implica un decrecimiento</w:t>
      </w:r>
      <w:r w:rsidR="005B453B" w:rsidRPr="00450DF4">
        <w:rPr>
          <w:rFonts w:ascii="Book Antiqua" w:hAnsi="Book Antiqua"/>
          <w:lang w:val="es-ES_tradnl" w:eastAsia="en-US"/>
        </w:rPr>
        <w:t xml:space="preserve"> de</w:t>
      </w:r>
      <w:r w:rsidR="00916CB6" w:rsidRPr="00450DF4">
        <w:rPr>
          <w:rFonts w:ascii="Book Antiqua" w:hAnsi="Book Antiqua"/>
          <w:lang w:val="es-ES_tradnl" w:eastAsia="en-US"/>
        </w:rPr>
        <w:t xml:space="preserve">l </w:t>
      </w:r>
      <w:r w:rsidR="009A2E54">
        <w:rPr>
          <w:rFonts w:ascii="Book Antiqua" w:hAnsi="Book Antiqua"/>
          <w:lang w:val="es-ES_tradnl" w:eastAsia="en-US"/>
        </w:rPr>
        <w:t>4.32</w:t>
      </w:r>
      <w:r w:rsidR="009A2E54" w:rsidRPr="00450DF4">
        <w:rPr>
          <w:rFonts w:ascii="Book Antiqua" w:hAnsi="Book Antiqua"/>
          <w:lang w:val="es-ES_tradnl" w:eastAsia="en-US"/>
        </w:rPr>
        <w:t xml:space="preserve"> </w:t>
      </w:r>
      <w:r w:rsidR="00450DF4" w:rsidRPr="00450DF4">
        <w:rPr>
          <w:rFonts w:ascii="Book Antiqua" w:hAnsi="Book Antiqua"/>
          <w:lang w:val="es-ES_tradnl" w:eastAsia="en-US"/>
        </w:rPr>
        <w:t>% con respecto al 20</w:t>
      </w:r>
      <w:r w:rsidR="009A2E54">
        <w:rPr>
          <w:rFonts w:ascii="Book Antiqua" w:hAnsi="Book Antiqua"/>
          <w:lang w:val="es-ES_tradnl" w:eastAsia="en-US"/>
        </w:rPr>
        <w:t>19</w:t>
      </w:r>
      <w:r w:rsidR="00450DF4" w:rsidRPr="00450DF4">
        <w:rPr>
          <w:rFonts w:ascii="Book Antiqua" w:hAnsi="Book Antiqua"/>
          <w:lang w:val="es-ES_tradnl" w:eastAsia="en-US"/>
        </w:rPr>
        <w:t xml:space="preserve"> y </w:t>
      </w:r>
      <w:r w:rsidR="009A2E54">
        <w:rPr>
          <w:rFonts w:ascii="Book Antiqua" w:hAnsi="Book Antiqua"/>
          <w:lang w:val="es-ES_tradnl" w:eastAsia="en-US"/>
        </w:rPr>
        <w:t>0</w:t>
      </w:r>
      <w:r w:rsidR="00450DF4" w:rsidRPr="00450DF4">
        <w:rPr>
          <w:rFonts w:ascii="Book Antiqua" w:hAnsi="Book Antiqua"/>
          <w:lang w:val="es-ES_tradnl" w:eastAsia="en-US"/>
        </w:rPr>
        <w:t>.</w:t>
      </w:r>
      <w:r w:rsidR="009A2E54">
        <w:rPr>
          <w:rFonts w:ascii="Book Antiqua" w:hAnsi="Book Antiqua"/>
          <w:lang w:val="es-ES_tradnl" w:eastAsia="en-US"/>
        </w:rPr>
        <w:t>94</w:t>
      </w:r>
      <w:r w:rsidR="00450DF4" w:rsidRPr="00450DF4">
        <w:rPr>
          <w:rFonts w:ascii="Book Antiqua" w:hAnsi="Book Antiqua"/>
          <w:lang w:val="es-ES_tradnl" w:eastAsia="en-US"/>
        </w:rPr>
        <w:t>% en relación con el 20</w:t>
      </w:r>
      <w:r w:rsidR="009A2E54">
        <w:rPr>
          <w:rFonts w:ascii="Book Antiqua" w:hAnsi="Book Antiqua"/>
          <w:lang w:val="es-ES_tradnl" w:eastAsia="en-US"/>
        </w:rPr>
        <w:t>20</w:t>
      </w:r>
      <w:r w:rsidR="00450DF4" w:rsidRPr="00450DF4">
        <w:rPr>
          <w:rFonts w:ascii="Book Antiqua" w:hAnsi="Book Antiqua"/>
          <w:lang w:val="es-ES_tradnl" w:eastAsia="en-US"/>
        </w:rPr>
        <w:t>.</w:t>
      </w:r>
    </w:p>
    <w:p w14:paraId="1456BBA4" w14:textId="4894083F" w:rsidR="000A77D7" w:rsidRDefault="000A77D7" w:rsidP="00234CBE">
      <w:pPr>
        <w:shd w:val="clear" w:color="auto" w:fill="FFFFFF" w:themeFill="background1"/>
        <w:spacing w:after="160" w:line="276" w:lineRule="auto"/>
        <w:jc w:val="both"/>
        <w:rPr>
          <w:rFonts w:ascii="Book Antiqua" w:hAnsi="Book Antiqua"/>
          <w:lang w:val="es-ES_tradnl" w:eastAsia="en-US"/>
        </w:rPr>
      </w:pPr>
    </w:p>
    <w:p w14:paraId="6D682EBF" w14:textId="77777777" w:rsidR="006F775A" w:rsidRDefault="002C4B87" w:rsidP="00234CBE">
      <w:pPr>
        <w:shd w:val="clear" w:color="auto" w:fill="FFFFFF" w:themeFill="background1"/>
        <w:spacing w:after="160" w:line="276" w:lineRule="auto"/>
        <w:jc w:val="center"/>
        <w:rPr>
          <w:rFonts w:ascii="Book Antiqua" w:hAnsi="Book Antiqua"/>
          <w:b/>
          <w:bCs/>
          <w:lang w:val="es-ES_tradnl" w:eastAsia="en-US"/>
        </w:rPr>
      </w:pPr>
      <w:r w:rsidRPr="004F0E92">
        <w:rPr>
          <w:rFonts w:ascii="Book Antiqua" w:hAnsi="Book Antiqua"/>
          <w:b/>
          <w:bCs/>
          <w:lang w:val="es-ES_tradnl" w:eastAsia="en-US"/>
        </w:rPr>
        <w:t xml:space="preserve">Cuadro </w:t>
      </w:r>
      <w:r w:rsidR="00985591">
        <w:rPr>
          <w:rFonts w:ascii="Book Antiqua" w:hAnsi="Book Antiqua"/>
          <w:b/>
          <w:bCs/>
          <w:lang w:val="es-ES_tradnl" w:eastAsia="en-US"/>
        </w:rPr>
        <w:t>0</w:t>
      </w:r>
      <w:r>
        <w:rPr>
          <w:rFonts w:ascii="Book Antiqua" w:hAnsi="Book Antiqua"/>
          <w:b/>
          <w:bCs/>
          <w:lang w:val="es-ES_tradnl" w:eastAsia="en-US"/>
        </w:rPr>
        <w:t>7</w:t>
      </w:r>
    </w:p>
    <w:p w14:paraId="450EFFC0" w14:textId="06C27752" w:rsidR="0053093F" w:rsidRDefault="002C4B87" w:rsidP="00234CBE">
      <w:pPr>
        <w:shd w:val="clear" w:color="auto" w:fill="FFFFFF" w:themeFill="background1"/>
        <w:spacing w:after="160" w:line="276" w:lineRule="auto"/>
        <w:jc w:val="center"/>
        <w:rPr>
          <w:rFonts w:ascii="Book Antiqua" w:hAnsi="Book Antiqua"/>
          <w:b/>
          <w:bCs/>
          <w:lang w:val="es-ES_tradnl" w:eastAsia="en-US"/>
        </w:rPr>
      </w:pPr>
      <w:r w:rsidRPr="004F0E92">
        <w:rPr>
          <w:rFonts w:ascii="Book Antiqua" w:hAnsi="Book Antiqua"/>
          <w:b/>
          <w:bCs/>
          <w:lang w:val="es-ES_tradnl" w:eastAsia="en-US"/>
        </w:rPr>
        <w:t xml:space="preserve">Cantidad de asuntos activos </w:t>
      </w:r>
      <w:r>
        <w:rPr>
          <w:rFonts w:ascii="Book Antiqua" w:hAnsi="Book Antiqua"/>
          <w:b/>
          <w:bCs/>
          <w:lang w:val="es-ES_tradnl" w:eastAsia="en-US"/>
        </w:rPr>
        <w:t xml:space="preserve">al finalizar los </w:t>
      </w:r>
      <w:r w:rsidR="00BC1095">
        <w:rPr>
          <w:rFonts w:ascii="Book Antiqua" w:hAnsi="Book Antiqua"/>
          <w:b/>
          <w:bCs/>
          <w:lang w:val="es-ES_tradnl" w:eastAsia="en-US"/>
        </w:rPr>
        <w:t xml:space="preserve">períodos </w:t>
      </w:r>
      <w:r>
        <w:rPr>
          <w:rFonts w:ascii="Book Antiqua" w:hAnsi="Book Antiqua"/>
          <w:b/>
          <w:bCs/>
          <w:lang w:val="es-ES_tradnl" w:eastAsia="en-US"/>
        </w:rPr>
        <w:t xml:space="preserve">2019, 2020 y </w:t>
      </w:r>
      <w:r w:rsidR="00124120">
        <w:rPr>
          <w:rFonts w:ascii="Book Antiqua" w:hAnsi="Book Antiqua"/>
          <w:b/>
          <w:bCs/>
          <w:lang w:val="es-ES_tradnl" w:eastAsia="en-US"/>
        </w:rPr>
        <w:t>setiembre</w:t>
      </w:r>
      <w:r>
        <w:rPr>
          <w:rFonts w:ascii="Book Antiqua" w:hAnsi="Book Antiqua"/>
          <w:b/>
          <w:bCs/>
          <w:lang w:val="es-ES_tradnl" w:eastAsia="en-US"/>
        </w:rPr>
        <w:t xml:space="preserve"> 2021</w:t>
      </w:r>
      <w:r w:rsidRPr="004F0E92">
        <w:rPr>
          <w:rFonts w:ascii="Book Antiqua" w:hAnsi="Book Antiqua"/>
          <w:b/>
          <w:bCs/>
          <w:lang w:val="es-ES_tradnl" w:eastAsia="en-US"/>
        </w:rPr>
        <w:t xml:space="preserve"> por materia exceptuando Cobro</w:t>
      </w:r>
      <w:r>
        <w:rPr>
          <w:rFonts w:ascii="Book Antiqua" w:hAnsi="Book Antiqua"/>
          <w:b/>
          <w:bCs/>
          <w:lang w:val="es-ES_tradnl" w:eastAsia="en-US"/>
        </w:rPr>
        <w:t xml:space="preserve"> y variación porcentual </w:t>
      </w:r>
    </w:p>
    <w:tbl>
      <w:tblPr>
        <w:tblW w:w="9551" w:type="dxa"/>
        <w:jc w:val="center"/>
        <w:tblCellMar>
          <w:left w:w="70" w:type="dxa"/>
          <w:right w:w="70" w:type="dxa"/>
        </w:tblCellMar>
        <w:tblLook w:val="04A0" w:firstRow="1" w:lastRow="0" w:firstColumn="1" w:lastColumn="0" w:noHBand="0" w:noVBand="1"/>
      </w:tblPr>
      <w:tblGrid>
        <w:gridCol w:w="3217"/>
        <w:gridCol w:w="875"/>
        <w:gridCol w:w="875"/>
        <w:gridCol w:w="846"/>
        <w:gridCol w:w="1796"/>
        <w:gridCol w:w="1796"/>
        <w:gridCol w:w="146"/>
      </w:tblGrid>
      <w:tr w:rsidR="00124120" w:rsidRPr="00124120" w14:paraId="7676E063" w14:textId="77777777" w:rsidTr="00124120">
        <w:trPr>
          <w:gridAfter w:val="1"/>
          <w:wAfter w:w="146" w:type="dxa"/>
          <w:trHeight w:val="293"/>
          <w:jc w:val="center"/>
        </w:trPr>
        <w:tc>
          <w:tcPr>
            <w:tcW w:w="3217" w:type="dxa"/>
            <w:vMerge w:val="restart"/>
            <w:tcBorders>
              <w:top w:val="single" w:sz="4" w:space="0" w:color="auto"/>
              <w:left w:val="single" w:sz="4" w:space="0" w:color="auto"/>
              <w:bottom w:val="single" w:sz="4" w:space="0" w:color="auto"/>
              <w:right w:val="single" w:sz="4" w:space="0" w:color="auto"/>
            </w:tcBorders>
            <w:shd w:val="clear" w:color="000000" w:fill="305496"/>
            <w:noWrap/>
            <w:vAlign w:val="center"/>
            <w:hideMark/>
          </w:tcPr>
          <w:p w14:paraId="0A02F472" w14:textId="77777777" w:rsidR="00124120" w:rsidRPr="00124120" w:rsidRDefault="00124120" w:rsidP="00234CBE">
            <w:pPr>
              <w:spacing w:line="276" w:lineRule="auto"/>
              <w:jc w:val="center"/>
              <w:rPr>
                <w:rFonts w:ascii="Book Antiqua" w:hAnsi="Book Antiqua" w:cs="Calibri"/>
                <w:b/>
                <w:bCs/>
                <w:color w:val="FFFFFF"/>
                <w:sz w:val="16"/>
                <w:szCs w:val="16"/>
                <w:lang w:eastAsia="es-CR"/>
              </w:rPr>
            </w:pPr>
            <w:r w:rsidRPr="00124120">
              <w:rPr>
                <w:rFonts w:ascii="Book Antiqua" w:hAnsi="Book Antiqua" w:cs="Calibri"/>
                <w:b/>
                <w:bCs/>
                <w:color w:val="FFFFFF"/>
                <w:sz w:val="16"/>
                <w:szCs w:val="16"/>
                <w:lang w:eastAsia="es-CR"/>
              </w:rPr>
              <w:t>MATERIA</w:t>
            </w:r>
          </w:p>
        </w:tc>
        <w:tc>
          <w:tcPr>
            <w:tcW w:w="6188" w:type="dxa"/>
            <w:gridSpan w:val="5"/>
            <w:vMerge w:val="restart"/>
            <w:tcBorders>
              <w:top w:val="single" w:sz="4" w:space="0" w:color="auto"/>
              <w:left w:val="single" w:sz="4" w:space="0" w:color="auto"/>
              <w:bottom w:val="single" w:sz="4" w:space="0" w:color="auto"/>
              <w:right w:val="single" w:sz="4" w:space="0" w:color="auto"/>
            </w:tcBorders>
            <w:shd w:val="clear" w:color="000000" w:fill="305496"/>
            <w:noWrap/>
            <w:vAlign w:val="center"/>
            <w:hideMark/>
          </w:tcPr>
          <w:p w14:paraId="2E686852" w14:textId="77777777" w:rsidR="00124120" w:rsidRPr="00124120" w:rsidRDefault="00124120" w:rsidP="00234CBE">
            <w:pPr>
              <w:spacing w:line="276" w:lineRule="auto"/>
              <w:jc w:val="center"/>
              <w:rPr>
                <w:rFonts w:ascii="Book Antiqua" w:hAnsi="Book Antiqua" w:cs="Calibri"/>
                <w:b/>
                <w:bCs/>
                <w:color w:val="FFFFFF"/>
                <w:sz w:val="16"/>
                <w:szCs w:val="16"/>
                <w:lang w:eastAsia="es-CR"/>
              </w:rPr>
            </w:pPr>
            <w:r w:rsidRPr="00124120">
              <w:rPr>
                <w:rFonts w:ascii="Book Antiqua" w:hAnsi="Book Antiqua" w:cs="Calibri"/>
                <w:b/>
                <w:bCs/>
                <w:color w:val="FFFFFF"/>
                <w:sz w:val="16"/>
                <w:szCs w:val="16"/>
                <w:lang w:eastAsia="es-CR"/>
              </w:rPr>
              <w:t>COMPARACIÓN CIRCULANTE FINAL TOTAL</w:t>
            </w:r>
          </w:p>
        </w:tc>
      </w:tr>
      <w:tr w:rsidR="00124120" w:rsidRPr="00124120" w14:paraId="2A9A42F1" w14:textId="77777777" w:rsidTr="00124120">
        <w:trPr>
          <w:trHeight w:val="267"/>
          <w:jc w:val="center"/>
        </w:trPr>
        <w:tc>
          <w:tcPr>
            <w:tcW w:w="3217" w:type="dxa"/>
            <w:vMerge/>
            <w:tcBorders>
              <w:top w:val="single" w:sz="4" w:space="0" w:color="auto"/>
              <w:left w:val="single" w:sz="4" w:space="0" w:color="auto"/>
              <w:bottom w:val="single" w:sz="4" w:space="0" w:color="auto"/>
              <w:right w:val="single" w:sz="4" w:space="0" w:color="auto"/>
            </w:tcBorders>
            <w:vAlign w:val="center"/>
            <w:hideMark/>
          </w:tcPr>
          <w:p w14:paraId="498B248F" w14:textId="77777777" w:rsidR="00124120" w:rsidRPr="00124120" w:rsidRDefault="00124120" w:rsidP="00234CBE">
            <w:pPr>
              <w:spacing w:line="276" w:lineRule="auto"/>
              <w:rPr>
                <w:rFonts w:ascii="Book Antiqua" w:hAnsi="Book Antiqua" w:cs="Calibri"/>
                <w:b/>
                <w:bCs/>
                <w:color w:val="FFFFFF"/>
                <w:sz w:val="16"/>
                <w:szCs w:val="16"/>
                <w:lang w:eastAsia="es-CR"/>
              </w:rPr>
            </w:pPr>
          </w:p>
        </w:tc>
        <w:tc>
          <w:tcPr>
            <w:tcW w:w="6188" w:type="dxa"/>
            <w:gridSpan w:val="5"/>
            <w:vMerge/>
            <w:tcBorders>
              <w:top w:val="single" w:sz="4" w:space="0" w:color="auto"/>
              <w:left w:val="single" w:sz="4" w:space="0" w:color="auto"/>
              <w:bottom w:val="single" w:sz="4" w:space="0" w:color="auto"/>
              <w:right w:val="single" w:sz="4" w:space="0" w:color="auto"/>
            </w:tcBorders>
            <w:vAlign w:val="center"/>
            <w:hideMark/>
          </w:tcPr>
          <w:p w14:paraId="7A065FAE" w14:textId="77777777" w:rsidR="00124120" w:rsidRPr="00124120" w:rsidRDefault="00124120" w:rsidP="00234CBE">
            <w:pPr>
              <w:spacing w:line="276" w:lineRule="auto"/>
              <w:rPr>
                <w:rFonts w:ascii="Book Antiqua" w:hAnsi="Book Antiqua" w:cs="Calibri"/>
                <w:b/>
                <w:bCs/>
                <w:color w:val="FFFFFF"/>
                <w:sz w:val="16"/>
                <w:szCs w:val="16"/>
                <w:lang w:eastAsia="es-CR"/>
              </w:rPr>
            </w:pPr>
          </w:p>
        </w:tc>
        <w:tc>
          <w:tcPr>
            <w:tcW w:w="146" w:type="dxa"/>
            <w:tcBorders>
              <w:top w:val="nil"/>
              <w:left w:val="nil"/>
              <w:bottom w:val="nil"/>
              <w:right w:val="nil"/>
            </w:tcBorders>
            <w:shd w:val="clear" w:color="auto" w:fill="auto"/>
            <w:noWrap/>
            <w:vAlign w:val="bottom"/>
            <w:hideMark/>
          </w:tcPr>
          <w:p w14:paraId="61919F54" w14:textId="77777777" w:rsidR="00124120" w:rsidRPr="00124120" w:rsidRDefault="00124120" w:rsidP="00234CBE">
            <w:pPr>
              <w:spacing w:line="276" w:lineRule="auto"/>
              <w:jc w:val="center"/>
              <w:rPr>
                <w:rFonts w:ascii="Book Antiqua" w:hAnsi="Book Antiqua" w:cs="Calibri"/>
                <w:b/>
                <w:bCs/>
                <w:color w:val="FFFFFF"/>
                <w:sz w:val="16"/>
                <w:szCs w:val="16"/>
                <w:lang w:eastAsia="es-CR"/>
              </w:rPr>
            </w:pPr>
          </w:p>
        </w:tc>
      </w:tr>
      <w:tr w:rsidR="00124120" w:rsidRPr="00124120" w14:paraId="36243B67" w14:textId="77777777" w:rsidTr="00124120">
        <w:trPr>
          <w:trHeight w:val="267"/>
          <w:jc w:val="center"/>
        </w:trPr>
        <w:tc>
          <w:tcPr>
            <w:tcW w:w="3217" w:type="dxa"/>
            <w:tcBorders>
              <w:top w:val="nil"/>
              <w:left w:val="single" w:sz="4" w:space="0" w:color="auto"/>
              <w:bottom w:val="single" w:sz="4" w:space="0" w:color="auto"/>
              <w:right w:val="single" w:sz="4" w:space="0" w:color="auto"/>
            </w:tcBorders>
            <w:shd w:val="clear" w:color="auto" w:fill="auto"/>
            <w:noWrap/>
            <w:vAlign w:val="center"/>
            <w:hideMark/>
          </w:tcPr>
          <w:p w14:paraId="7B06E0D4" w14:textId="77777777" w:rsidR="00124120" w:rsidRPr="00124120" w:rsidRDefault="00124120" w:rsidP="00234CBE">
            <w:pPr>
              <w:spacing w:line="276" w:lineRule="auto"/>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 </w:t>
            </w:r>
          </w:p>
        </w:tc>
        <w:tc>
          <w:tcPr>
            <w:tcW w:w="875" w:type="dxa"/>
            <w:tcBorders>
              <w:top w:val="nil"/>
              <w:left w:val="nil"/>
              <w:bottom w:val="single" w:sz="4" w:space="0" w:color="auto"/>
              <w:right w:val="single" w:sz="4" w:space="0" w:color="auto"/>
            </w:tcBorders>
            <w:shd w:val="clear" w:color="auto" w:fill="auto"/>
            <w:noWrap/>
            <w:vAlign w:val="center"/>
            <w:hideMark/>
          </w:tcPr>
          <w:p w14:paraId="51EC1795"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Diciembre</w:t>
            </w:r>
          </w:p>
        </w:tc>
        <w:tc>
          <w:tcPr>
            <w:tcW w:w="875" w:type="dxa"/>
            <w:tcBorders>
              <w:top w:val="nil"/>
              <w:left w:val="nil"/>
              <w:bottom w:val="single" w:sz="4" w:space="0" w:color="auto"/>
              <w:right w:val="single" w:sz="4" w:space="0" w:color="auto"/>
            </w:tcBorders>
            <w:shd w:val="clear" w:color="auto" w:fill="auto"/>
            <w:noWrap/>
            <w:vAlign w:val="center"/>
            <w:hideMark/>
          </w:tcPr>
          <w:p w14:paraId="69517EA0"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Diciembre</w:t>
            </w:r>
          </w:p>
        </w:tc>
        <w:tc>
          <w:tcPr>
            <w:tcW w:w="846" w:type="dxa"/>
            <w:tcBorders>
              <w:top w:val="nil"/>
              <w:left w:val="nil"/>
              <w:bottom w:val="single" w:sz="4" w:space="0" w:color="auto"/>
              <w:right w:val="single" w:sz="4" w:space="0" w:color="auto"/>
            </w:tcBorders>
            <w:shd w:val="clear" w:color="auto" w:fill="auto"/>
            <w:noWrap/>
            <w:vAlign w:val="center"/>
            <w:hideMark/>
          </w:tcPr>
          <w:p w14:paraId="7673B59C"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Setiembre</w:t>
            </w:r>
          </w:p>
        </w:tc>
        <w:tc>
          <w:tcPr>
            <w:tcW w:w="1796" w:type="dxa"/>
            <w:vMerge w:val="restart"/>
            <w:tcBorders>
              <w:top w:val="nil"/>
              <w:left w:val="single" w:sz="4" w:space="0" w:color="auto"/>
              <w:bottom w:val="single" w:sz="4" w:space="0" w:color="auto"/>
              <w:right w:val="single" w:sz="4" w:space="0" w:color="auto"/>
            </w:tcBorders>
            <w:shd w:val="clear" w:color="auto" w:fill="auto"/>
            <w:vAlign w:val="center"/>
            <w:hideMark/>
          </w:tcPr>
          <w:p w14:paraId="500B1AAE" w14:textId="77777777" w:rsidR="00124120" w:rsidRPr="00124120" w:rsidRDefault="00124120" w:rsidP="00234CBE">
            <w:pPr>
              <w:spacing w:line="276" w:lineRule="auto"/>
              <w:jc w:val="center"/>
              <w:rPr>
                <w:rFonts w:ascii="Book Antiqua" w:hAnsi="Book Antiqua" w:cs="Calibri"/>
                <w:b/>
                <w:bCs/>
                <w:color w:val="000000"/>
                <w:sz w:val="16"/>
                <w:szCs w:val="16"/>
                <w:lang w:eastAsia="es-CR"/>
              </w:rPr>
            </w:pPr>
            <w:r w:rsidRPr="00124120">
              <w:rPr>
                <w:rFonts w:ascii="Book Antiqua" w:hAnsi="Book Antiqua" w:cs="Calibri"/>
                <w:b/>
                <w:bCs/>
                <w:color w:val="000000"/>
                <w:sz w:val="16"/>
                <w:szCs w:val="16"/>
                <w:lang w:eastAsia="es-CR"/>
              </w:rPr>
              <w:t>Aumento/disminución 2021vs 2019</w:t>
            </w:r>
          </w:p>
        </w:tc>
        <w:tc>
          <w:tcPr>
            <w:tcW w:w="1796" w:type="dxa"/>
            <w:vMerge w:val="restart"/>
            <w:tcBorders>
              <w:top w:val="nil"/>
              <w:left w:val="single" w:sz="4" w:space="0" w:color="auto"/>
              <w:bottom w:val="single" w:sz="4" w:space="0" w:color="auto"/>
              <w:right w:val="single" w:sz="4" w:space="0" w:color="auto"/>
            </w:tcBorders>
            <w:shd w:val="clear" w:color="auto" w:fill="auto"/>
            <w:vAlign w:val="center"/>
            <w:hideMark/>
          </w:tcPr>
          <w:p w14:paraId="550B6C89" w14:textId="77777777" w:rsidR="00124120" w:rsidRPr="00124120" w:rsidRDefault="00124120" w:rsidP="00234CBE">
            <w:pPr>
              <w:spacing w:line="276" w:lineRule="auto"/>
              <w:jc w:val="center"/>
              <w:rPr>
                <w:rFonts w:ascii="Book Antiqua" w:hAnsi="Book Antiqua" w:cs="Calibri"/>
                <w:b/>
                <w:bCs/>
                <w:color w:val="000000"/>
                <w:sz w:val="16"/>
                <w:szCs w:val="16"/>
                <w:lang w:eastAsia="es-CR"/>
              </w:rPr>
            </w:pPr>
            <w:r w:rsidRPr="00124120">
              <w:rPr>
                <w:rFonts w:ascii="Book Antiqua" w:hAnsi="Book Antiqua" w:cs="Calibri"/>
                <w:b/>
                <w:bCs/>
                <w:color w:val="000000"/>
                <w:sz w:val="16"/>
                <w:szCs w:val="16"/>
                <w:lang w:eastAsia="es-CR"/>
              </w:rPr>
              <w:t>Aumento/disminución 2021vs 2020</w:t>
            </w:r>
          </w:p>
        </w:tc>
        <w:tc>
          <w:tcPr>
            <w:tcW w:w="146" w:type="dxa"/>
            <w:vAlign w:val="center"/>
            <w:hideMark/>
          </w:tcPr>
          <w:p w14:paraId="324FB01E" w14:textId="77777777" w:rsidR="00124120" w:rsidRPr="00124120" w:rsidRDefault="00124120" w:rsidP="00234CBE">
            <w:pPr>
              <w:spacing w:line="276" w:lineRule="auto"/>
              <w:rPr>
                <w:rFonts w:ascii="Times New Roman" w:hAnsi="Times New Roman"/>
                <w:sz w:val="20"/>
                <w:szCs w:val="20"/>
                <w:lang w:eastAsia="es-CR"/>
              </w:rPr>
            </w:pPr>
          </w:p>
        </w:tc>
      </w:tr>
      <w:tr w:rsidR="00124120" w:rsidRPr="00124120" w14:paraId="3E27B5CB" w14:textId="77777777" w:rsidTr="00124120">
        <w:trPr>
          <w:trHeight w:val="516"/>
          <w:jc w:val="center"/>
        </w:trPr>
        <w:tc>
          <w:tcPr>
            <w:tcW w:w="3217" w:type="dxa"/>
            <w:tcBorders>
              <w:top w:val="nil"/>
              <w:left w:val="single" w:sz="4" w:space="0" w:color="auto"/>
              <w:bottom w:val="single" w:sz="4" w:space="0" w:color="auto"/>
              <w:right w:val="single" w:sz="4" w:space="0" w:color="auto"/>
            </w:tcBorders>
            <w:shd w:val="clear" w:color="auto" w:fill="auto"/>
            <w:noWrap/>
            <w:vAlign w:val="center"/>
            <w:hideMark/>
          </w:tcPr>
          <w:p w14:paraId="2707A35B" w14:textId="77777777" w:rsidR="00124120" w:rsidRPr="00124120" w:rsidRDefault="00124120" w:rsidP="00234CBE">
            <w:pPr>
              <w:spacing w:line="276" w:lineRule="auto"/>
              <w:jc w:val="center"/>
              <w:rPr>
                <w:rFonts w:ascii="Book Antiqua" w:hAnsi="Book Antiqua" w:cs="Calibri"/>
                <w:b/>
                <w:bCs/>
                <w:color w:val="000000"/>
                <w:sz w:val="16"/>
                <w:szCs w:val="16"/>
                <w:lang w:eastAsia="es-CR"/>
              </w:rPr>
            </w:pPr>
            <w:r w:rsidRPr="00124120">
              <w:rPr>
                <w:rFonts w:ascii="Book Antiqua" w:hAnsi="Book Antiqua" w:cs="Calibri"/>
                <w:b/>
                <w:bCs/>
                <w:color w:val="000000"/>
                <w:sz w:val="16"/>
                <w:szCs w:val="16"/>
                <w:lang w:eastAsia="es-CR"/>
              </w:rPr>
              <w:t> </w:t>
            </w:r>
          </w:p>
        </w:tc>
        <w:tc>
          <w:tcPr>
            <w:tcW w:w="875" w:type="dxa"/>
            <w:tcBorders>
              <w:top w:val="nil"/>
              <w:left w:val="nil"/>
              <w:bottom w:val="single" w:sz="4" w:space="0" w:color="auto"/>
              <w:right w:val="single" w:sz="4" w:space="0" w:color="auto"/>
            </w:tcBorders>
            <w:shd w:val="clear" w:color="auto" w:fill="auto"/>
            <w:noWrap/>
            <w:vAlign w:val="center"/>
            <w:hideMark/>
          </w:tcPr>
          <w:p w14:paraId="6B1291BA" w14:textId="77777777" w:rsidR="00124120" w:rsidRPr="00124120" w:rsidRDefault="00124120" w:rsidP="00234CBE">
            <w:pPr>
              <w:spacing w:line="276" w:lineRule="auto"/>
              <w:jc w:val="center"/>
              <w:rPr>
                <w:rFonts w:ascii="Book Antiqua" w:hAnsi="Book Antiqua" w:cs="Calibri"/>
                <w:b/>
                <w:bCs/>
                <w:color w:val="000000"/>
                <w:sz w:val="16"/>
                <w:szCs w:val="16"/>
                <w:lang w:eastAsia="es-CR"/>
              </w:rPr>
            </w:pPr>
            <w:r w:rsidRPr="00124120">
              <w:rPr>
                <w:rFonts w:ascii="Book Antiqua" w:hAnsi="Book Antiqua" w:cs="Calibri"/>
                <w:b/>
                <w:bCs/>
                <w:color w:val="000000"/>
                <w:sz w:val="16"/>
                <w:szCs w:val="16"/>
                <w:lang w:eastAsia="es-CR"/>
              </w:rPr>
              <w:t>2019</w:t>
            </w:r>
          </w:p>
        </w:tc>
        <w:tc>
          <w:tcPr>
            <w:tcW w:w="875" w:type="dxa"/>
            <w:tcBorders>
              <w:top w:val="nil"/>
              <w:left w:val="nil"/>
              <w:bottom w:val="single" w:sz="4" w:space="0" w:color="auto"/>
              <w:right w:val="single" w:sz="4" w:space="0" w:color="auto"/>
            </w:tcBorders>
            <w:shd w:val="clear" w:color="auto" w:fill="auto"/>
            <w:noWrap/>
            <w:vAlign w:val="center"/>
            <w:hideMark/>
          </w:tcPr>
          <w:p w14:paraId="426D8B33" w14:textId="77777777" w:rsidR="00124120" w:rsidRPr="00124120" w:rsidRDefault="00124120" w:rsidP="00234CBE">
            <w:pPr>
              <w:spacing w:line="276" w:lineRule="auto"/>
              <w:jc w:val="center"/>
              <w:rPr>
                <w:rFonts w:ascii="Book Antiqua" w:hAnsi="Book Antiqua" w:cs="Calibri"/>
                <w:b/>
                <w:bCs/>
                <w:color w:val="000000"/>
                <w:sz w:val="16"/>
                <w:szCs w:val="16"/>
                <w:lang w:eastAsia="es-CR"/>
              </w:rPr>
            </w:pPr>
            <w:r w:rsidRPr="00124120">
              <w:rPr>
                <w:rFonts w:ascii="Book Antiqua" w:hAnsi="Book Antiqua" w:cs="Calibri"/>
                <w:b/>
                <w:bCs/>
                <w:color w:val="000000"/>
                <w:sz w:val="16"/>
                <w:szCs w:val="16"/>
                <w:lang w:eastAsia="es-CR"/>
              </w:rPr>
              <w:t>2020</w:t>
            </w:r>
          </w:p>
        </w:tc>
        <w:tc>
          <w:tcPr>
            <w:tcW w:w="846" w:type="dxa"/>
            <w:tcBorders>
              <w:top w:val="nil"/>
              <w:left w:val="nil"/>
              <w:bottom w:val="single" w:sz="4" w:space="0" w:color="auto"/>
              <w:right w:val="single" w:sz="4" w:space="0" w:color="auto"/>
            </w:tcBorders>
            <w:shd w:val="clear" w:color="auto" w:fill="auto"/>
            <w:noWrap/>
            <w:vAlign w:val="center"/>
            <w:hideMark/>
          </w:tcPr>
          <w:p w14:paraId="7F81FC77" w14:textId="77777777" w:rsidR="00124120" w:rsidRPr="00124120" w:rsidRDefault="00124120" w:rsidP="00234CBE">
            <w:pPr>
              <w:spacing w:line="276" w:lineRule="auto"/>
              <w:jc w:val="center"/>
              <w:rPr>
                <w:rFonts w:ascii="Book Antiqua" w:hAnsi="Book Antiqua" w:cs="Calibri"/>
                <w:b/>
                <w:bCs/>
                <w:color w:val="000000"/>
                <w:sz w:val="16"/>
                <w:szCs w:val="16"/>
                <w:lang w:eastAsia="es-CR"/>
              </w:rPr>
            </w:pPr>
            <w:r w:rsidRPr="00124120">
              <w:rPr>
                <w:rFonts w:ascii="Book Antiqua" w:hAnsi="Book Antiqua" w:cs="Calibri"/>
                <w:b/>
                <w:bCs/>
                <w:color w:val="000000"/>
                <w:sz w:val="16"/>
                <w:szCs w:val="16"/>
                <w:lang w:eastAsia="es-CR"/>
              </w:rPr>
              <w:t>2021</w:t>
            </w:r>
          </w:p>
        </w:tc>
        <w:tc>
          <w:tcPr>
            <w:tcW w:w="1796" w:type="dxa"/>
            <w:vMerge/>
            <w:tcBorders>
              <w:top w:val="nil"/>
              <w:left w:val="single" w:sz="4" w:space="0" w:color="auto"/>
              <w:bottom w:val="single" w:sz="4" w:space="0" w:color="auto"/>
              <w:right w:val="single" w:sz="4" w:space="0" w:color="auto"/>
            </w:tcBorders>
            <w:vAlign w:val="center"/>
            <w:hideMark/>
          </w:tcPr>
          <w:p w14:paraId="38BF525F" w14:textId="77777777" w:rsidR="00124120" w:rsidRPr="00124120" w:rsidRDefault="00124120" w:rsidP="00234CBE">
            <w:pPr>
              <w:spacing w:line="276" w:lineRule="auto"/>
              <w:rPr>
                <w:rFonts w:ascii="Book Antiqua" w:hAnsi="Book Antiqua" w:cs="Calibri"/>
                <w:b/>
                <w:bCs/>
                <w:color w:val="000000"/>
                <w:sz w:val="16"/>
                <w:szCs w:val="16"/>
                <w:lang w:eastAsia="es-CR"/>
              </w:rPr>
            </w:pPr>
          </w:p>
        </w:tc>
        <w:tc>
          <w:tcPr>
            <w:tcW w:w="1796" w:type="dxa"/>
            <w:vMerge/>
            <w:tcBorders>
              <w:top w:val="nil"/>
              <w:left w:val="single" w:sz="4" w:space="0" w:color="auto"/>
              <w:bottom w:val="single" w:sz="4" w:space="0" w:color="auto"/>
              <w:right w:val="single" w:sz="4" w:space="0" w:color="auto"/>
            </w:tcBorders>
            <w:vAlign w:val="center"/>
            <w:hideMark/>
          </w:tcPr>
          <w:p w14:paraId="1EC7EB25" w14:textId="77777777" w:rsidR="00124120" w:rsidRPr="00124120" w:rsidRDefault="00124120" w:rsidP="00234CBE">
            <w:pPr>
              <w:spacing w:line="276" w:lineRule="auto"/>
              <w:rPr>
                <w:rFonts w:ascii="Book Antiqua" w:hAnsi="Book Antiqua" w:cs="Calibri"/>
                <w:b/>
                <w:bCs/>
                <w:color w:val="000000"/>
                <w:sz w:val="16"/>
                <w:szCs w:val="16"/>
                <w:lang w:eastAsia="es-CR"/>
              </w:rPr>
            </w:pPr>
          </w:p>
        </w:tc>
        <w:tc>
          <w:tcPr>
            <w:tcW w:w="146" w:type="dxa"/>
            <w:vAlign w:val="center"/>
            <w:hideMark/>
          </w:tcPr>
          <w:p w14:paraId="76949BBE" w14:textId="77777777" w:rsidR="00124120" w:rsidRPr="00124120" w:rsidRDefault="00124120" w:rsidP="00234CBE">
            <w:pPr>
              <w:spacing w:line="276" w:lineRule="auto"/>
              <w:rPr>
                <w:rFonts w:ascii="Times New Roman" w:hAnsi="Times New Roman"/>
                <w:sz w:val="20"/>
                <w:szCs w:val="20"/>
                <w:lang w:eastAsia="es-CR"/>
              </w:rPr>
            </w:pPr>
          </w:p>
        </w:tc>
      </w:tr>
      <w:tr w:rsidR="00124120" w:rsidRPr="00124120" w14:paraId="19F57B90" w14:textId="77777777" w:rsidTr="00124120">
        <w:trPr>
          <w:trHeight w:val="267"/>
          <w:jc w:val="center"/>
        </w:trPr>
        <w:tc>
          <w:tcPr>
            <w:tcW w:w="3217" w:type="dxa"/>
            <w:tcBorders>
              <w:top w:val="nil"/>
              <w:left w:val="single" w:sz="4" w:space="0" w:color="auto"/>
              <w:bottom w:val="single" w:sz="4" w:space="0" w:color="auto"/>
              <w:right w:val="single" w:sz="4" w:space="0" w:color="auto"/>
            </w:tcBorders>
            <w:shd w:val="clear" w:color="auto" w:fill="auto"/>
            <w:noWrap/>
            <w:vAlign w:val="center"/>
            <w:hideMark/>
          </w:tcPr>
          <w:p w14:paraId="14760AA2" w14:textId="77777777" w:rsidR="00124120" w:rsidRPr="00124120" w:rsidRDefault="00124120" w:rsidP="00234CBE">
            <w:pPr>
              <w:spacing w:line="276" w:lineRule="auto"/>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 </w:t>
            </w:r>
          </w:p>
        </w:tc>
        <w:tc>
          <w:tcPr>
            <w:tcW w:w="875" w:type="dxa"/>
            <w:tcBorders>
              <w:top w:val="nil"/>
              <w:left w:val="nil"/>
              <w:bottom w:val="single" w:sz="4" w:space="0" w:color="auto"/>
              <w:right w:val="single" w:sz="4" w:space="0" w:color="auto"/>
            </w:tcBorders>
            <w:shd w:val="clear" w:color="auto" w:fill="auto"/>
            <w:noWrap/>
            <w:vAlign w:val="bottom"/>
            <w:hideMark/>
          </w:tcPr>
          <w:p w14:paraId="0F82B32F" w14:textId="77777777" w:rsidR="00124120" w:rsidRPr="00124120" w:rsidRDefault="00124120" w:rsidP="00234CBE">
            <w:pPr>
              <w:spacing w:line="276" w:lineRule="auto"/>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 </w:t>
            </w:r>
          </w:p>
        </w:tc>
        <w:tc>
          <w:tcPr>
            <w:tcW w:w="875" w:type="dxa"/>
            <w:tcBorders>
              <w:top w:val="nil"/>
              <w:left w:val="nil"/>
              <w:bottom w:val="single" w:sz="4" w:space="0" w:color="auto"/>
              <w:right w:val="single" w:sz="4" w:space="0" w:color="auto"/>
            </w:tcBorders>
            <w:shd w:val="clear" w:color="auto" w:fill="auto"/>
            <w:noWrap/>
            <w:vAlign w:val="bottom"/>
            <w:hideMark/>
          </w:tcPr>
          <w:p w14:paraId="2420CCBF" w14:textId="77777777" w:rsidR="00124120" w:rsidRPr="00124120" w:rsidRDefault="00124120" w:rsidP="00234CBE">
            <w:pPr>
              <w:spacing w:line="276" w:lineRule="auto"/>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 </w:t>
            </w:r>
          </w:p>
        </w:tc>
        <w:tc>
          <w:tcPr>
            <w:tcW w:w="846" w:type="dxa"/>
            <w:tcBorders>
              <w:top w:val="nil"/>
              <w:left w:val="nil"/>
              <w:bottom w:val="single" w:sz="4" w:space="0" w:color="auto"/>
              <w:right w:val="single" w:sz="4" w:space="0" w:color="auto"/>
            </w:tcBorders>
            <w:shd w:val="clear" w:color="auto" w:fill="auto"/>
            <w:noWrap/>
            <w:vAlign w:val="bottom"/>
            <w:hideMark/>
          </w:tcPr>
          <w:p w14:paraId="195B777B" w14:textId="77777777" w:rsidR="00124120" w:rsidRPr="00124120" w:rsidRDefault="00124120" w:rsidP="00234CBE">
            <w:pPr>
              <w:spacing w:line="276" w:lineRule="auto"/>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 </w:t>
            </w:r>
          </w:p>
        </w:tc>
        <w:tc>
          <w:tcPr>
            <w:tcW w:w="1796" w:type="dxa"/>
            <w:tcBorders>
              <w:top w:val="nil"/>
              <w:left w:val="nil"/>
              <w:bottom w:val="single" w:sz="4" w:space="0" w:color="auto"/>
              <w:right w:val="single" w:sz="4" w:space="0" w:color="auto"/>
            </w:tcBorders>
            <w:shd w:val="clear" w:color="auto" w:fill="auto"/>
            <w:noWrap/>
            <w:vAlign w:val="bottom"/>
            <w:hideMark/>
          </w:tcPr>
          <w:p w14:paraId="65037715" w14:textId="77777777" w:rsidR="00124120" w:rsidRPr="00124120" w:rsidRDefault="00124120" w:rsidP="00234CBE">
            <w:pPr>
              <w:spacing w:line="276" w:lineRule="auto"/>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 </w:t>
            </w:r>
          </w:p>
        </w:tc>
        <w:tc>
          <w:tcPr>
            <w:tcW w:w="1796" w:type="dxa"/>
            <w:tcBorders>
              <w:top w:val="nil"/>
              <w:left w:val="nil"/>
              <w:bottom w:val="single" w:sz="4" w:space="0" w:color="auto"/>
              <w:right w:val="single" w:sz="4" w:space="0" w:color="auto"/>
            </w:tcBorders>
            <w:shd w:val="clear" w:color="auto" w:fill="auto"/>
            <w:noWrap/>
            <w:vAlign w:val="center"/>
            <w:hideMark/>
          </w:tcPr>
          <w:p w14:paraId="50FC52D2" w14:textId="77777777" w:rsidR="00124120" w:rsidRPr="00124120" w:rsidRDefault="00124120" w:rsidP="00234CBE">
            <w:pPr>
              <w:spacing w:line="276" w:lineRule="auto"/>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 </w:t>
            </w:r>
          </w:p>
        </w:tc>
        <w:tc>
          <w:tcPr>
            <w:tcW w:w="146" w:type="dxa"/>
            <w:vAlign w:val="center"/>
            <w:hideMark/>
          </w:tcPr>
          <w:p w14:paraId="7B02153B" w14:textId="77777777" w:rsidR="00124120" w:rsidRPr="00124120" w:rsidRDefault="00124120" w:rsidP="00234CBE">
            <w:pPr>
              <w:spacing w:line="276" w:lineRule="auto"/>
              <w:rPr>
                <w:rFonts w:ascii="Times New Roman" w:hAnsi="Times New Roman"/>
                <w:sz w:val="20"/>
                <w:szCs w:val="20"/>
                <w:lang w:eastAsia="es-CR"/>
              </w:rPr>
            </w:pPr>
          </w:p>
        </w:tc>
      </w:tr>
      <w:tr w:rsidR="00124120" w:rsidRPr="00124120" w14:paraId="7096C406" w14:textId="77777777" w:rsidTr="00124120">
        <w:trPr>
          <w:trHeight w:val="267"/>
          <w:jc w:val="center"/>
        </w:trPr>
        <w:tc>
          <w:tcPr>
            <w:tcW w:w="3217" w:type="dxa"/>
            <w:tcBorders>
              <w:top w:val="nil"/>
              <w:left w:val="single" w:sz="4" w:space="0" w:color="auto"/>
              <w:bottom w:val="single" w:sz="4" w:space="0" w:color="auto"/>
              <w:right w:val="single" w:sz="4" w:space="0" w:color="auto"/>
            </w:tcBorders>
            <w:shd w:val="clear" w:color="auto" w:fill="auto"/>
            <w:noWrap/>
            <w:vAlign w:val="center"/>
            <w:hideMark/>
          </w:tcPr>
          <w:p w14:paraId="7991F1FD" w14:textId="77777777" w:rsidR="00124120" w:rsidRPr="00124120" w:rsidRDefault="00124120" w:rsidP="00234CBE">
            <w:pPr>
              <w:spacing w:line="276" w:lineRule="auto"/>
              <w:jc w:val="center"/>
              <w:rPr>
                <w:rFonts w:ascii="Book Antiqua" w:hAnsi="Book Antiqua" w:cs="Calibri"/>
                <w:b/>
                <w:bCs/>
                <w:color w:val="000000"/>
                <w:sz w:val="16"/>
                <w:szCs w:val="16"/>
                <w:lang w:eastAsia="es-CR"/>
              </w:rPr>
            </w:pPr>
            <w:r w:rsidRPr="00124120">
              <w:rPr>
                <w:rFonts w:ascii="Book Antiqua" w:hAnsi="Book Antiqua" w:cs="Calibri"/>
                <w:b/>
                <w:bCs/>
                <w:color w:val="000000"/>
                <w:sz w:val="16"/>
                <w:szCs w:val="16"/>
                <w:lang w:eastAsia="es-CR"/>
              </w:rPr>
              <w:t>TOTAL</w:t>
            </w:r>
          </w:p>
        </w:tc>
        <w:tc>
          <w:tcPr>
            <w:tcW w:w="875" w:type="dxa"/>
            <w:tcBorders>
              <w:top w:val="nil"/>
              <w:left w:val="nil"/>
              <w:bottom w:val="single" w:sz="4" w:space="0" w:color="auto"/>
              <w:right w:val="single" w:sz="4" w:space="0" w:color="auto"/>
            </w:tcBorders>
            <w:shd w:val="clear" w:color="auto" w:fill="auto"/>
            <w:noWrap/>
            <w:vAlign w:val="center"/>
            <w:hideMark/>
          </w:tcPr>
          <w:p w14:paraId="6EFD7D54" w14:textId="77777777" w:rsidR="00124120" w:rsidRPr="00124120" w:rsidRDefault="00124120" w:rsidP="00234CBE">
            <w:pPr>
              <w:spacing w:line="276" w:lineRule="auto"/>
              <w:jc w:val="center"/>
              <w:rPr>
                <w:rFonts w:ascii="Book Antiqua" w:hAnsi="Book Antiqua" w:cs="Calibri"/>
                <w:b/>
                <w:bCs/>
                <w:color w:val="000000"/>
                <w:sz w:val="16"/>
                <w:szCs w:val="16"/>
                <w:u w:val="single"/>
                <w:lang w:eastAsia="es-CR"/>
              </w:rPr>
            </w:pPr>
            <w:r w:rsidRPr="00124120">
              <w:rPr>
                <w:rFonts w:ascii="Book Antiqua" w:hAnsi="Book Antiqua" w:cs="Calibri"/>
                <w:b/>
                <w:bCs/>
                <w:color w:val="000000"/>
                <w:sz w:val="16"/>
                <w:szCs w:val="16"/>
                <w:u w:val="single"/>
                <w:lang w:eastAsia="es-CR"/>
              </w:rPr>
              <w:t>539 015</w:t>
            </w:r>
          </w:p>
        </w:tc>
        <w:tc>
          <w:tcPr>
            <w:tcW w:w="875" w:type="dxa"/>
            <w:tcBorders>
              <w:top w:val="nil"/>
              <w:left w:val="nil"/>
              <w:bottom w:val="single" w:sz="4" w:space="0" w:color="auto"/>
              <w:right w:val="single" w:sz="4" w:space="0" w:color="auto"/>
            </w:tcBorders>
            <w:shd w:val="clear" w:color="auto" w:fill="auto"/>
            <w:noWrap/>
            <w:vAlign w:val="center"/>
            <w:hideMark/>
          </w:tcPr>
          <w:p w14:paraId="0DBDFAA0" w14:textId="77777777" w:rsidR="00124120" w:rsidRPr="00124120" w:rsidRDefault="00124120" w:rsidP="00234CBE">
            <w:pPr>
              <w:spacing w:line="276" w:lineRule="auto"/>
              <w:jc w:val="center"/>
              <w:rPr>
                <w:rFonts w:ascii="Book Antiqua" w:hAnsi="Book Antiqua" w:cs="Calibri"/>
                <w:b/>
                <w:bCs/>
                <w:color w:val="000000"/>
                <w:sz w:val="16"/>
                <w:szCs w:val="16"/>
                <w:u w:val="single"/>
                <w:lang w:eastAsia="es-CR"/>
              </w:rPr>
            </w:pPr>
            <w:r w:rsidRPr="00124120">
              <w:rPr>
                <w:rFonts w:ascii="Book Antiqua" w:hAnsi="Book Antiqua" w:cs="Calibri"/>
                <w:b/>
                <w:bCs/>
                <w:color w:val="000000"/>
                <w:sz w:val="16"/>
                <w:szCs w:val="16"/>
                <w:u w:val="single"/>
                <w:lang w:eastAsia="es-CR"/>
              </w:rPr>
              <w:t>520 593</w:t>
            </w:r>
          </w:p>
        </w:tc>
        <w:tc>
          <w:tcPr>
            <w:tcW w:w="846" w:type="dxa"/>
            <w:tcBorders>
              <w:top w:val="nil"/>
              <w:left w:val="nil"/>
              <w:bottom w:val="single" w:sz="4" w:space="0" w:color="auto"/>
              <w:right w:val="single" w:sz="4" w:space="0" w:color="auto"/>
            </w:tcBorders>
            <w:shd w:val="clear" w:color="auto" w:fill="auto"/>
            <w:noWrap/>
            <w:vAlign w:val="center"/>
            <w:hideMark/>
          </w:tcPr>
          <w:p w14:paraId="4C449062" w14:textId="77777777" w:rsidR="00124120" w:rsidRPr="00124120" w:rsidRDefault="00124120" w:rsidP="00234CBE">
            <w:pPr>
              <w:spacing w:line="276" w:lineRule="auto"/>
              <w:jc w:val="center"/>
              <w:rPr>
                <w:rFonts w:ascii="Book Antiqua" w:hAnsi="Book Antiqua" w:cs="Calibri"/>
                <w:b/>
                <w:bCs/>
                <w:color w:val="000000"/>
                <w:sz w:val="16"/>
                <w:szCs w:val="16"/>
                <w:u w:val="single"/>
                <w:lang w:eastAsia="es-CR"/>
              </w:rPr>
            </w:pPr>
            <w:r w:rsidRPr="00124120">
              <w:rPr>
                <w:rFonts w:ascii="Book Antiqua" w:hAnsi="Book Antiqua" w:cs="Calibri"/>
                <w:b/>
                <w:bCs/>
                <w:color w:val="000000"/>
                <w:sz w:val="16"/>
                <w:szCs w:val="16"/>
                <w:u w:val="single"/>
                <w:lang w:eastAsia="es-CR"/>
              </w:rPr>
              <w:t>515 706</w:t>
            </w:r>
          </w:p>
        </w:tc>
        <w:tc>
          <w:tcPr>
            <w:tcW w:w="1796" w:type="dxa"/>
            <w:tcBorders>
              <w:top w:val="nil"/>
              <w:left w:val="nil"/>
              <w:bottom w:val="single" w:sz="4" w:space="0" w:color="auto"/>
              <w:right w:val="single" w:sz="4" w:space="0" w:color="auto"/>
            </w:tcBorders>
            <w:shd w:val="clear" w:color="auto" w:fill="auto"/>
            <w:noWrap/>
            <w:vAlign w:val="center"/>
            <w:hideMark/>
          </w:tcPr>
          <w:p w14:paraId="7D63EBA5" w14:textId="77777777" w:rsidR="00124120" w:rsidRPr="00124120" w:rsidRDefault="00124120" w:rsidP="00234CBE">
            <w:pPr>
              <w:spacing w:line="276" w:lineRule="auto"/>
              <w:jc w:val="center"/>
              <w:rPr>
                <w:rFonts w:ascii="Book Antiqua" w:hAnsi="Book Antiqua" w:cs="Calibri"/>
                <w:b/>
                <w:bCs/>
                <w:color w:val="000000"/>
                <w:sz w:val="16"/>
                <w:szCs w:val="16"/>
                <w:u w:val="single"/>
                <w:lang w:eastAsia="es-CR"/>
              </w:rPr>
            </w:pPr>
            <w:r w:rsidRPr="00124120">
              <w:rPr>
                <w:rFonts w:ascii="Book Antiqua" w:hAnsi="Book Antiqua" w:cs="Calibri"/>
                <w:b/>
                <w:bCs/>
                <w:color w:val="000000"/>
                <w:sz w:val="16"/>
                <w:szCs w:val="16"/>
                <w:u w:val="single"/>
                <w:lang w:eastAsia="es-CR"/>
              </w:rPr>
              <w:t>-4,32%</w:t>
            </w:r>
          </w:p>
        </w:tc>
        <w:tc>
          <w:tcPr>
            <w:tcW w:w="1796" w:type="dxa"/>
            <w:tcBorders>
              <w:top w:val="nil"/>
              <w:left w:val="nil"/>
              <w:bottom w:val="single" w:sz="4" w:space="0" w:color="auto"/>
              <w:right w:val="single" w:sz="4" w:space="0" w:color="auto"/>
            </w:tcBorders>
            <w:shd w:val="clear" w:color="auto" w:fill="auto"/>
            <w:noWrap/>
            <w:vAlign w:val="center"/>
            <w:hideMark/>
          </w:tcPr>
          <w:p w14:paraId="7D54164B" w14:textId="77777777" w:rsidR="00124120" w:rsidRPr="00124120" w:rsidRDefault="00124120" w:rsidP="00234CBE">
            <w:pPr>
              <w:spacing w:line="276" w:lineRule="auto"/>
              <w:jc w:val="center"/>
              <w:rPr>
                <w:rFonts w:ascii="Book Antiqua" w:hAnsi="Book Antiqua" w:cs="Calibri"/>
                <w:b/>
                <w:bCs/>
                <w:color w:val="000000"/>
                <w:sz w:val="16"/>
                <w:szCs w:val="16"/>
                <w:u w:val="single"/>
                <w:lang w:eastAsia="es-CR"/>
              </w:rPr>
            </w:pPr>
            <w:r w:rsidRPr="00124120">
              <w:rPr>
                <w:rFonts w:ascii="Book Antiqua" w:hAnsi="Book Antiqua" w:cs="Calibri"/>
                <w:b/>
                <w:bCs/>
                <w:color w:val="000000"/>
                <w:sz w:val="16"/>
                <w:szCs w:val="16"/>
                <w:u w:val="single"/>
                <w:lang w:eastAsia="es-CR"/>
              </w:rPr>
              <w:t>-0,94%</w:t>
            </w:r>
          </w:p>
        </w:tc>
        <w:tc>
          <w:tcPr>
            <w:tcW w:w="146" w:type="dxa"/>
            <w:vAlign w:val="center"/>
            <w:hideMark/>
          </w:tcPr>
          <w:p w14:paraId="1DE8371B" w14:textId="77777777" w:rsidR="00124120" w:rsidRPr="00124120" w:rsidRDefault="00124120" w:rsidP="00234CBE">
            <w:pPr>
              <w:spacing w:line="276" w:lineRule="auto"/>
              <w:rPr>
                <w:rFonts w:ascii="Times New Roman" w:hAnsi="Times New Roman"/>
                <w:sz w:val="20"/>
                <w:szCs w:val="20"/>
                <w:lang w:eastAsia="es-CR"/>
              </w:rPr>
            </w:pPr>
          </w:p>
        </w:tc>
      </w:tr>
      <w:tr w:rsidR="00124120" w:rsidRPr="00124120" w14:paraId="741F3511" w14:textId="77777777" w:rsidTr="00124120">
        <w:trPr>
          <w:trHeight w:val="267"/>
          <w:jc w:val="center"/>
        </w:trPr>
        <w:tc>
          <w:tcPr>
            <w:tcW w:w="3217" w:type="dxa"/>
            <w:tcBorders>
              <w:top w:val="nil"/>
              <w:left w:val="single" w:sz="4" w:space="0" w:color="auto"/>
              <w:bottom w:val="single" w:sz="4" w:space="0" w:color="auto"/>
              <w:right w:val="single" w:sz="4" w:space="0" w:color="auto"/>
            </w:tcBorders>
            <w:shd w:val="clear" w:color="auto" w:fill="auto"/>
            <w:noWrap/>
            <w:vAlign w:val="center"/>
            <w:hideMark/>
          </w:tcPr>
          <w:p w14:paraId="62EB0361" w14:textId="77777777" w:rsidR="00124120" w:rsidRPr="00124120" w:rsidRDefault="00124120" w:rsidP="00234CBE">
            <w:pPr>
              <w:spacing w:line="276" w:lineRule="auto"/>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 </w:t>
            </w:r>
          </w:p>
        </w:tc>
        <w:tc>
          <w:tcPr>
            <w:tcW w:w="875" w:type="dxa"/>
            <w:tcBorders>
              <w:top w:val="nil"/>
              <w:left w:val="nil"/>
              <w:bottom w:val="single" w:sz="4" w:space="0" w:color="auto"/>
              <w:right w:val="single" w:sz="4" w:space="0" w:color="auto"/>
            </w:tcBorders>
            <w:shd w:val="clear" w:color="auto" w:fill="auto"/>
            <w:noWrap/>
            <w:vAlign w:val="bottom"/>
            <w:hideMark/>
          </w:tcPr>
          <w:p w14:paraId="6CED7AF9" w14:textId="77777777" w:rsidR="00124120" w:rsidRPr="00124120" w:rsidRDefault="00124120" w:rsidP="00234CBE">
            <w:pPr>
              <w:spacing w:line="276" w:lineRule="auto"/>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 </w:t>
            </w:r>
          </w:p>
        </w:tc>
        <w:tc>
          <w:tcPr>
            <w:tcW w:w="875" w:type="dxa"/>
            <w:tcBorders>
              <w:top w:val="nil"/>
              <w:left w:val="nil"/>
              <w:bottom w:val="single" w:sz="4" w:space="0" w:color="auto"/>
              <w:right w:val="single" w:sz="4" w:space="0" w:color="auto"/>
            </w:tcBorders>
            <w:shd w:val="clear" w:color="auto" w:fill="auto"/>
            <w:noWrap/>
            <w:vAlign w:val="bottom"/>
            <w:hideMark/>
          </w:tcPr>
          <w:p w14:paraId="6D93A162" w14:textId="77777777" w:rsidR="00124120" w:rsidRPr="00124120" w:rsidRDefault="00124120" w:rsidP="00234CBE">
            <w:pPr>
              <w:spacing w:line="276" w:lineRule="auto"/>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 </w:t>
            </w:r>
          </w:p>
        </w:tc>
        <w:tc>
          <w:tcPr>
            <w:tcW w:w="846" w:type="dxa"/>
            <w:tcBorders>
              <w:top w:val="nil"/>
              <w:left w:val="nil"/>
              <w:bottom w:val="single" w:sz="4" w:space="0" w:color="auto"/>
              <w:right w:val="single" w:sz="4" w:space="0" w:color="auto"/>
            </w:tcBorders>
            <w:shd w:val="clear" w:color="auto" w:fill="auto"/>
            <w:noWrap/>
            <w:vAlign w:val="bottom"/>
            <w:hideMark/>
          </w:tcPr>
          <w:p w14:paraId="53A3216A" w14:textId="77777777" w:rsidR="00124120" w:rsidRPr="00124120" w:rsidRDefault="00124120" w:rsidP="00234CBE">
            <w:pPr>
              <w:spacing w:line="276" w:lineRule="auto"/>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 </w:t>
            </w:r>
          </w:p>
        </w:tc>
        <w:tc>
          <w:tcPr>
            <w:tcW w:w="1796" w:type="dxa"/>
            <w:tcBorders>
              <w:top w:val="nil"/>
              <w:left w:val="nil"/>
              <w:bottom w:val="single" w:sz="4" w:space="0" w:color="auto"/>
              <w:right w:val="single" w:sz="4" w:space="0" w:color="auto"/>
            </w:tcBorders>
            <w:shd w:val="clear" w:color="auto" w:fill="auto"/>
            <w:noWrap/>
            <w:vAlign w:val="bottom"/>
            <w:hideMark/>
          </w:tcPr>
          <w:p w14:paraId="3445C03E" w14:textId="77777777" w:rsidR="00124120" w:rsidRPr="00124120" w:rsidRDefault="00124120" w:rsidP="00234CBE">
            <w:pPr>
              <w:spacing w:line="276" w:lineRule="auto"/>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 </w:t>
            </w:r>
          </w:p>
        </w:tc>
        <w:tc>
          <w:tcPr>
            <w:tcW w:w="1796" w:type="dxa"/>
            <w:tcBorders>
              <w:top w:val="nil"/>
              <w:left w:val="nil"/>
              <w:bottom w:val="single" w:sz="4" w:space="0" w:color="auto"/>
              <w:right w:val="single" w:sz="4" w:space="0" w:color="auto"/>
            </w:tcBorders>
            <w:shd w:val="clear" w:color="auto" w:fill="auto"/>
            <w:noWrap/>
            <w:vAlign w:val="bottom"/>
            <w:hideMark/>
          </w:tcPr>
          <w:p w14:paraId="72ECD11A" w14:textId="77777777" w:rsidR="00124120" w:rsidRPr="00124120" w:rsidRDefault="00124120" w:rsidP="00234CBE">
            <w:pPr>
              <w:spacing w:line="276" w:lineRule="auto"/>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 </w:t>
            </w:r>
          </w:p>
        </w:tc>
        <w:tc>
          <w:tcPr>
            <w:tcW w:w="146" w:type="dxa"/>
            <w:vAlign w:val="center"/>
            <w:hideMark/>
          </w:tcPr>
          <w:p w14:paraId="021ED6B3" w14:textId="77777777" w:rsidR="00124120" w:rsidRPr="00124120" w:rsidRDefault="00124120" w:rsidP="00234CBE">
            <w:pPr>
              <w:spacing w:line="276" w:lineRule="auto"/>
              <w:rPr>
                <w:rFonts w:ascii="Times New Roman" w:hAnsi="Times New Roman"/>
                <w:sz w:val="20"/>
                <w:szCs w:val="20"/>
                <w:lang w:eastAsia="es-CR"/>
              </w:rPr>
            </w:pPr>
          </w:p>
        </w:tc>
      </w:tr>
      <w:tr w:rsidR="00124120" w:rsidRPr="00124120" w14:paraId="1098110D" w14:textId="77777777" w:rsidTr="00124120">
        <w:trPr>
          <w:trHeight w:val="267"/>
          <w:jc w:val="center"/>
        </w:trPr>
        <w:tc>
          <w:tcPr>
            <w:tcW w:w="3217" w:type="dxa"/>
            <w:tcBorders>
              <w:top w:val="nil"/>
              <w:left w:val="single" w:sz="4" w:space="0" w:color="auto"/>
              <w:bottom w:val="single" w:sz="4" w:space="0" w:color="auto"/>
              <w:right w:val="single" w:sz="4" w:space="0" w:color="auto"/>
            </w:tcBorders>
            <w:shd w:val="clear" w:color="auto" w:fill="auto"/>
            <w:noWrap/>
            <w:vAlign w:val="center"/>
            <w:hideMark/>
          </w:tcPr>
          <w:p w14:paraId="6C43B52D" w14:textId="77777777" w:rsidR="00124120" w:rsidRPr="00124120" w:rsidRDefault="00124120" w:rsidP="00234CBE">
            <w:pPr>
              <w:spacing w:line="276" w:lineRule="auto"/>
              <w:rPr>
                <w:rFonts w:ascii="Book Antiqua" w:hAnsi="Book Antiqua" w:cs="Calibri"/>
                <w:b/>
                <w:bCs/>
                <w:color w:val="000000"/>
                <w:sz w:val="16"/>
                <w:szCs w:val="16"/>
                <w:lang w:eastAsia="es-CR"/>
              </w:rPr>
            </w:pPr>
            <w:r w:rsidRPr="00124120">
              <w:rPr>
                <w:rFonts w:ascii="Book Antiqua" w:hAnsi="Book Antiqua" w:cs="Calibri"/>
                <w:b/>
                <w:bCs/>
                <w:color w:val="000000"/>
                <w:sz w:val="16"/>
                <w:szCs w:val="16"/>
                <w:lang w:eastAsia="es-CR"/>
              </w:rPr>
              <w:t>II Instancia y Casación</w:t>
            </w:r>
          </w:p>
        </w:tc>
        <w:tc>
          <w:tcPr>
            <w:tcW w:w="875" w:type="dxa"/>
            <w:tcBorders>
              <w:top w:val="nil"/>
              <w:left w:val="nil"/>
              <w:bottom w:val="single" w:sz="4" w:space="0" w:color="auto"/>
              <w:right w:val="single" w:sz="4" w:space="0" w:color="auto"/>
            </w:tcBorders>
            <w:shd w:val="clear" w:color="auto" w:fill="auto"/>
            <w:noWrap/>
            <w:vAlign w:val="center"/>
            <w:hideMark/>
          </w:tcPr>
          <w:p w14:paraId="7C8A74C2" w14:textId="77777777" w:rsidR="00124120" w:rsidRPr="00124120" w:rsidRDefault="00124120" w:rsidP="00234CBE">
            <w:pPr>
              <w:spacing w:line="276" w:lineRule="auto"/>
              <w:jc w:val="center"/>
              <w:rPr>
                <w:rFonts w:ascii="Book Antiqua" w:hAnsi="Book Antiqua" w:cs="Calibri"/>
                <w:b/>
                <w:bCs/>
                <w:color w:val="000000"/>
                <w:sz w:val="16"/>
                <w:szCs w:val="16"/>
                <w:u w:val="single"/>
                <w:lang w:eastAsia="es-CR"/>
              </w:rPr>
            </w:pPr>
            <w:r w:rsidRPr="00124120">
              <w:rPr>
                <w:rFonts w:ascii="Book Antiqua" w:hAnsi="Book Antiqua" w:cs="Calibri"/>
                <w:b/>
                <w:bCs/>
                <w:color w:val="000000"/>
                <w:sz w:val="16"/>
                <w:szCs w:val="16"/>
                <w:u w:val="single"/>
                <w:lang w:eastAsia="es-CR"/>
              </w:rPr>
              <w:t>20 208</w:t>
            </w:r>
          </w:p>
        </w:tc>
        <w:tc>
          <w:tcPr>
            <w:tcW w:w="875" w:type="dxa"/>
            <w:tcBorders>
              <w:top w:val="nil"/>
              <w:left w:val="nil"/>
              <w:bottom w:val="single" w:sz="4" w:space="0" w:color="auto"/>
              <w:right w:val="single" w:sz="4" w:space="0" w:color="auto"/>
            </w:tcBorders>
            <w:shd w:val="clear" w:color="auto" w:fill="auto"/>
            <w:noWrap/>
            <w:vAlign w:val="center"/>
            <w:hideMark/>
          </w:tcPr>
          <w:p w14:paraId="66AE2897" w14:textId="77777777" w:rsidR="00124120" w:rsidRPr="00124120" w:rsidRDefault="00124120" w:rsidP="00234CBE">
            <w:pPr>
              <w:spacing w:line="276" w:lineRule="auto"/>
              <w:jc w:val="center"/>
              <w:rPr>
                <w:rFonts w:ascii="Book Antiqua" w:hAnsi="Book Antiqua" w:cs="Calibri"/>
                <w:b/>
                <w:bCs/>
                <w:color w:val="000000"/>
                <w:sz w:val="16"/>
                <w:szCs w:val="16"/>
                <w:u w:val="single"/>
                <w:lang w:eastAsia="es-CR"/>
              </w:rPr>
            </w:pPr>
            <w:r w:rsidRPr="00124120">
              <w:rPr>
                <w:rFonts w:ascii="Book Antiqua" w:hAnsi="Book Antiqua" w:cs="Calibri"/>
                <w:b/>
                <w:bCs/>
                <w:color w:val="000000"/>
                <w:sz w:val="16"/>
                <w:szCs w:val="16"/>
                <w:u w:val="single"/>
                <w:lang w:eastAsia="es-CR"/>
              </w:rPr>
              <w:t>18 509</w:t>
            </w:r>
          </w:p>
        </w:tc>
        <w:tc>
          <w:tcPr>
            <w:tcW w:w="846" w:type="dxa"/>
            <w:tcBorders>
              <w:top w:val="nil"/>
              <w:left w:val="nil"/>
              <w:bottom w:val="single" w:sz="4" w:space="0" w:color="auto"/>
              <w:right w:val="single" w:sz="4" w:space="0" w:color="auto"/>
            </w:tcBorders>
            <w:shd w:val="clear" w:color="auto" w:fill="auto"/>
            <w:noWrap/>
            <w:vAlign w:val="center"/>
            <w:hideMark/>
          </w:tcPr>
          <w:p w14:paraId="42581B45" w14:textId="77777777" w:rsidR="00124120" w:rsidRPr="00124120" w:rsidRDefault="00124120" w:rsidP="00234CBE">
            <w:pPr>
              <w:spacing w:line="276" w:lineRule="auto"/>
              <w:jc w:val="center"/>
              <w:rPr>
                <w:rFonts w:ascii="Book Antiqua" w:hAnsi="Book Antiqua" w:cs="Calibri"/>
                <w:b/>
                <w:bCs/>
                <w:color w:val="000000"/>
                <w:sz w:val="16"/>
                <w:szCs w:val="16"/>
                <w:u w:val="single"/>
                <w:lang w:eastAsia="es-CR"/>
              </w:rPr>
            </w:pPr>
            <w:r w:rsidRPr="00124120">
              <w:rPr>
                <w:rFonts w:ascii="Book Antiqua" w:hAnsi="Book Antiqua" w:cs="Calibri"/>
                <w:b/>
                <w:bCs/>
                <w:color w:val="000000"/>
                <w:sz w:val="16"/>
                <w:szCs w:val="16"/>
                <w:u w:val="single"/>
                <w:lang w:eastAsia="es-CR"/>
              </w:rPr>
              <w:t>18 307</w:t>
            </w:r>
          </w:p>
        </w:tc>
        <w:tc>
          <w:tcPr>
            <w:tcW w:w="1796" w:type="dxa"/>
            <w:tcBorders>
              <w:top w:val="nil"/>
              <w:left w:val="nil"/>
              <w:bottom w:val="single" w:sz="4" w:space="0" w:color="auto"/>
              <w:right w:val="single" w:sz="4" w:space="0" w:color="auto"/>
            </w:tcBorders>
            <w:shd w:val="clear" w:color="auto" w:fill="auto"/>
            <w:noWrap/>
            <w:vAlign w:val="center"/>
            <w:hideMark/>
          </w:tcPr>
          <w:p w14:paraId="491B0DEB" w14:textId="77777777" w:rsidR="00124120" w:rsidRPr="00124120" w:rsidRDefault="00124120" w:rsidP="00234CBE">
            <w:pPr>
              <w:spacing w:line="276" w:lineRule="auto"/>
              <w:jc w:val="center"/>
              <w:rPr>
                <w:rFonts w:ascii="Book Antiqua" w:hAnsi="Book Antiqua" w:cs="Calibri"/>
                <w:b/>
                <w:bCs/>
                <w:color w:val="000000"/>
                <w:sz w:val="16"/>
                <w:szCs w:val="16"/>
                <w:u w:val="single"/>
                <w:lang w:eastAsia="es-CR"/>
              </w:rPr>
            </w:pPr>
            <w:r w:rsidRPr="00124120">
              <w:rPr>
                <w:rFonts w:ascii="Book Antiqua" w:hAnsi="Book Antiqua" w:cs="Calibri"/>
                <w:b/>
                <w:bCs/>
                <w:color w:val="000000"/>
                <w:sz w:val="16"/>
                <w:szCs w:val="16"/>
                <w:u w:val="single"/>
                <w:lang w:eastAsia="es-CR"/>
              </w:rPr>
              <w:t>-9,41%</w:t>
            </w:r>
          </w:p>
        </w:tc>
        <w:tc>
          <w:tcPr>
            <w:tcW w:w="1796" w:type="dxa"/>
            <w:tcBorders>
              <w:top w:val="nil"/>
              <w:left w:val="nil"/>
              <w:bottom w:val="single" w:sz="4" w:space="0" w:color="auto"/>
              <w:right w:val="single" w:sz="4" w:space="0" w:color="auto"/>
            </w:tcBorders>
            <w:shd w:val="clear" w:color="auto" w:fill="auto"/>
            <w:noWrap/>
            <w:vAlign w:val="center"/>
            <w:hideMark/>
          </w:tcPr>
          <w:p w14:paraId="2DF1C0C5" w14:textId="77777777" w:rsidR="00124120" w:rsidRPr="00124120" w:rsidRDefault="00124120" w:rsidP="00234CBE">
            <w:pPr>
              <w:spacing w:line="276" w:lineRule="auto"/>
              <w:jc w:val="center"/>
              <w:rPr>
                <w:rFonts w:ascii="Book Antiqua" w:hAnsi="Book Antiqua" w:cs="Calibri"/>
                <w:b/>
                <w:bCs/>
                <w:color w:val="000000"/>
                <w:sz w:val="16"/>
                <w:szCs w:val="16"/>
                <w:u w:val="single"/>
                <w:lang w:eastAsia="es-CR"/>
              </w:rPr>
            </w:pPr>
            <w:r w:rsidRPr="00124120">
              <w:rPr>
                <w:rFonts w:ascii="Book Antiqua" w:hAnsi="Book Antiqua" w:cs="Calibri"/>
                <w:b/>
                <w:bCs/>
                <w:color w:val="000000"/>
                <w:sz w:val="16"/>
                <w:szCs w:val="16"/>
                <w:u w:val="single"/>
                <w:lang w:eastAsia="es-CR"/>
              </w:rPr>
              <w:t>-1,09%</w:t>
            </w:r>
          </w:p>
        </w:tc>
        <w:tc>
          <w:tcPr>
            <w:tcW w:w="146" w:type="dxa"/>
            <w:vAlign w:val="center"/>
            <w:hideMark/>
          </w:tcPr>
          <w:p w14:paraId="2E7D1B96" w14:textId="77777777" w:rsidR="00124120" w:rsidRPr="00124120" w:rsidRDefault="00124120" w:rsidP="00234CBE">
            <w:pPr>
              <w:spacing w:line="276" w:lineRule="auto"/>
              <w:rPr>
                <w:rFonts w:ascii="Times New Roman" w:hAnsi="Times New Roman"/>
                <w:sz w:val="20"/>
                <w:szCs w:val="20"/>
                <w:lang w:eastAsia="es-CR"/>
              </w:rPr>
            </w:pPr>
          </w:p>
        </w:tc>
      </w:tr>
      <w:tr w:rsidR="00124120" w:rsidRPr="00124120" w14:paraId="19D6FE6B" w14:textId="77777777" w:rsidTr="00124120">
        <w:trPr>
          <w:trHeight w:val="267"/>
          <w:jc w:val="center"/>
        </w:trPr>
        <w:tc>
          <w:tcPr>
            <w:tcW w:w="3217" w:type="dxa"/>
            <w:tcBorders>
              <w:top w:val="nil"/>
              <w:left w:val="single" w:sz="4" w:space="0" w:color="auto"/>
              <w:bottom w:val="single" w:sz="4" w:space="0" w:color="auto"/>
              <w:right w:val="single" w:sz="4" w:space="0" w:color="auto"/>
            </w:tcBorders>
            <w:shd w:val="clear" w:color="auto" w:fill="auto"/>
            <w:noWrap/>
            <w:vAlign w:val="center"/>
            <w:hideMark/>
          </w:tcPr>
          <w:p w14:paraId="34D2E51B" w14:textId="77777777" w:rsidR="00124120" w:rsidRPr="00124120" w:rsidRDefault="00124120" w:rsidP="00234CBE">
            <w:pPr>
              <w:spacing w:line="276" w:lineRule="auto"/>
              <w:jc w:val="right"/>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Sala Primera</w:t>
            </w:r>
          </w:p>
        </w:tc>
        <w:tc>
          <w:tcPr>
            <w:tcW w:w="875" w:type="dxa"/>
            <w:tcBorders>
              <w:top w:val="nil"/>
              <w:left w:val="nil"/>
              <w:bottom w:val="single" w:sz="4" w:space="0" w:color="auto"/>
              <w:right w:val="single" w:sz="4" w:space="0" w:color="auto"/>
            </w:tcBorders>
            <w:shd w:val="clear" w:color="auto" w:fill="auto"/>
            <w:noWrap/>
            <w:vAlign w:val="center"/>
            <w:hideMark/>
          </w:tcPr>
          <w:p w14:paraId="19AC1E4B"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4703</w:t>
            </w:r>
          </w:p>
        </w:tc>
        <w:tc>
          <w:tcPr>
            <w:tcW w:w="875" w:type="dxa"/>
            <w:tcBorders>
              <w:top w:val="nil"/>
              <w:left w:val="nil"/>
              <w:bottom w:val="single" w:sz="4" w:space="0" w:color="auto"/>
              <w:right w:val="single" w:sz="4" w:space="0" w:color="auto"/>
            </w:tcBorders>
            <w:shd w:val="clear" w:color="auto" w:fill="auto"/>
            <w:noWrap/>
            <w:vAlign w:val="center"/>
            <w:hideMark/>
          </w:tcPr>
          <w:p w14:paraId="7B12E2C8"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3751</w:t>
            </w:r>
          </w:p>
        </w:tc>
        <w:tc>
          <w:tcPr>
            <w:tcW w:w="846" w:type="dxa"/>
            <w:tcBorders>
              <w:top w:val="nil"/>
              <w:left w:val="nil"/>
              <w:bottom w:val="single" w:sz="4" w:space="0" w:color="auto"/>
              <w:right w:val="single" w:sz="4" w:space="0" w:color="auto"/>
            </w:tcBorders>
            <w:shd w:val="clear" w:color="auto" w:fill="auto"/>
            <w:noWrap/>
            <w:vAlign w:val="center"/>
            <w:hideMark/>
          </w:tcPr>
          <w:p w14:paraId="1E93140F"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3559</w:t>
            </w:r>
          </w:p>
        </w:tc>
        <w:tc>
          <w:tcPr>
            <w:tcW w:w="1796" w:type="dxa"/>
            <w:tcBorders>
              <w:top w:val="nil"/>
              <w:left w:val="nil"/>
              <w:bottom w:val="single" w:sz="4" w:space="0" w:color="auto"/>
              <w:right w:val="single" w:sz="4" w:space="0" w:color="auto"/>
            </w:tcBorders>
            <w:shd w:val="clear" w:color="auto" w:fill="auto"/>
            <w:noWrap/>
            <w:vAlign w:val="center"/>
            <w:hideMark/>
          </w:tcPr>
          <w:p w14:paraId="0B75519A"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-24,32%</w:t>
            </w:r>
          </w:p>
        </w:tc>
        <w:tc>
          <w:tcPr>
            <w:tcW w:w="1796" w:type="dxa"/>
            <w:tcBorders>
              <w:top w:val="nil"/>
              <w:left w:val="nil"/>
              <w:bottom w:val="single" w:sz="4" w:space="0" w:color="auto"/>
              <w:right w:val="single" w:sz="4" w:space="0" w:color="auto"/>
            </w:tcBorders>
            <w:shd w:val="clear" w:color="auto" w:fill="auto"/>
            <w:noWrap/>
            <w:vAlign w:val="center"/>
            <w:hideMark/>
          </w:tcPr>
          <w:p w14:paraId="2EC845BB"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-5,12%</w:t>
            </w:r>
          </w:p>
        </w:tc>
        <w:tc>
          <w:tcPr>
            <w:tcW w:w="146" w:type="dxa"/>
            <w:vAlign w:val="center"/>
            <w:hideMark/>
          </w:tcPr>
          <w:p w14:paraId="5427E708" w14:textId="77777777" w:rsidR="00124120" w:rsidRPr="00124120" w:rsidRDefault="00124120" w:rsidP="00234CBE">
            <w:pPr>
              <w:spacing w:line="276" w:lineRule="auto"/>
              <w:rPr>
                <w:rFonts w:ascii="Times New Roman" w:hAnsi="Times New Roman"/>
                <w:sz w:val="20"/>
                <w:szCs w:val="20"/>
                <w:lang w:eastAsia="es-CR"/>
              </w:rPr>
            </w:pPr>
          </w:p>
        </w:tc>
      </w:tr>
      <w:tr w:rsidR="00124120" w:rsidRPr="00124120" w14:paraId="49F89F8D" w14:textId="77777777" w:rsidTr="00124120">
        <w:trPr>
          <w:trHeight w:val="267"/>
          <w:jc w:val="center"/>
        </w:trPr>
        <w:tc>
          <w:tcPr>
            <w:tcW w:w="3217" w:type="dxa"/>
            <w:tcBorders>
              <w:top w:val="nil"/>
              <w:left w:val="single" w:sz="4" w:space="0" w:color="auto"/>
              <w:bottom w:val="single" w:sz="4" w:space="0" w:color="auto"/>
              <w:right w:val="single" w:sz="4" w:space="0" w:color="auto"/>
            </w:tcBorders>
            <w:shd w:val="clear" w:color="auto" w:fill="auto"/>
            <w:noWrap/>
            <w:vAlign w:val="center"/>
            <w:hideMark/>
          </w:tcPr>
          <w:p w14:paraId="67EB008C" w14:textId="77777777" w:rsidR="00124120" w:rsidRPr="00124120" w:rsidRDefault="00124120" w:rsidP="00234CBE">
            <w:pPr>
              <w:spacing w:line="276" w:lineRule="auto"/>
              <w:jc w:val="right"/>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 xml:space="preserve">Sala Primera-Tribunal de Casación </w:t>
            </w:r>
          </w:p>
        </w:tc>
        <w:tc>
          <w:tcPr>
            <w:tcW w:w="875" w:type="dxa"/>
            <w:tcBorders>
              <w:top w:val="nil"/>
              <w:left w:val="nil"/>
              <w:bottom w:val="single" w:sz="4" w:space="0" w:color="auto"/>
              <w:right w:val="single" w:sz="4" w:space="0" w:color="auto"/>
            </w:tcBorders>
            <w:shd w:val="clear" w:color="auto" w:fill="auto"/>
            <w:noWrap/>
            <w:vAlign w:val="center"/>
            <w:hideMark/>
          </w:tcPr>
          <w:p w14:paraId="3D80E51C"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354</w:t>
            </w:r>
          </w:p>
        </w:tc>
        <w:tc>
          <w:tcPr>
            <w:tcW w:w="875" w:type="dxa"/>
            <w:tcBorders>
              <w:top w:val="nil"/>
              <w:left w:val="nil"/>
              <w:bottom w:val="single" w:sz="4" w:space="0" w:color="auto"/>
              <w:right w:val="single" w:sz="4" w:space="0" w:color="auto"/>
            </w:tcBorders>
            <w:shd w:val="clear" w:color="auto" w:fill="auto"/>
            <w:noWrap/>
            <w:vAlign w:val="center"/>
            <w:hideMark/>
          </w:tcPr>
          <w:p w14:paraId="14E22C61"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335</w:t>
            </w:r>
          </w:p>
        </w:tc>
        <w:tc>
          <w:tcPr>
            <w:tcW w:w="846" w:type="dxa"/>
            <w:tcBorders>
              <w:top w:val="nil"/>
              <w:left w:val="nil"/>
              <w:bottom w:val="single" w:sz="4" w:space="0" w:color="auto"/>
              <w:right w:val="single" w:sz="4" w:space="0" w:color="auto"/>
            </w:tcBorders>
            <w:shd w:val="clear" w:color="auto" w:fill="auto"/>
            <w:noWrap/>
            <w:vAlign w:val="center"/>
            <w:hideMark/>
          </w:tcPr>
          <w:p w14:paraId="43CD4A79"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315</w:t>
            </w:r>
          </w:p>
        </w:tc>
        <w:tc>
          <w:tcPr>
            <w:tcW w:w="1796" w:type="dxa"/>
            <w:tcBorders>
              <w:top w:val="nil"/>
              <w:left w:val="nil"/>
              <w:bottom w:val="single" w:sz="4" w:space="0" w:color="auto"/>
              <w:right w:val="single" w:sz="4" w:space="0" w:color="auto"/>
            </w:tcBorders>
            <w:shd w:val="clear" w:color="auto" w:fill="auto"/>
            <w:noWrap/>
            <w:vAlign w:val="center"/>
            <w:hideMark/>
          </w:tcPr>
          <w:p w14:paraId="35AED781"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-11,02%</w:t>
            </w:r>
          </w:p>
        </w:tc>
        <w:tc>
          <w:tcPr>
            <w:tcW w:w="1796" w:type="dxa"/>
            <w:tcBorders>
              <w:top w:val="nil"/>
              <w:left w:val="nil"/>
              <w:bottom w:val="single" w:sz="4" w:space="0" w:color="auto"/>
              <w:right w:val="single" w:sz="4" w:space="0" w:color="auto"/>
            </w:tcBorders>
            <w:shd w:val="clear" w:color="auto" w:fill="auto"/>
            <w:noWrap/>
            <w:vAlign w:val="center"/>
            <w:hideMark/>
          </w:tcPr>
          <w:p w14:paraId="0F8E37A6"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-5,97%</w:t>
            </w:r>
          </w:p>
        </w:tc>
        <w:tc>
          <w:tcPr>
            <w:tcW w:w="146" w:type="dxa"/>
            <w:vAlign w:val="center"/>
            <w:hideMark/>
          </w:tcPr>
          <w:p w14:paraId="5DF98F3A" w14:textId="77777777" w:rsidR="00124120" w:rsidRPr="00124120" w:rsidRDefault="00124120" w:rsidP="00234CBE">
            <w:pPr>
              <w:spacing w:line="276" w:lineRule="auto"/>
              <w:rPr>
                <w:rFonts w:ascii="Times New Roman" w:hAnsi="Times New Roman"/>
                <w:sz w:val="20"/>
                <w:szCs w:val="20"/>
                <w:lang w:eastAsia="es-CR"/>
              </w:rPr>
            </w:pPr>
          </w:p>
        </w:tc>
      </w:tr>
      <w:tr w:rsidR="00124120" w:rsidRPr="00124120" w14:paraId="557E972F" w14:textId="77777777" w:rsidTr="00124120">
        <w:trPr>
          <w:trHeight w:val="267"/>
          <w:jc w:val="center"/>
        </w:trPr>
        <w:tc>
          <w:tcPr>
            <w:tcW w:w="3217" w:type="dxa"/>
            <w:tcBorders>
              <w:top w:val="nil"/>
              <w:left w:val="single" w:sz="4" w:space="0" w:color="auto"/>
              <w:bottom w:val="single" w:sz="4" w:space="0" w:color="auto"/>
              <w:right w:val="single" w:sz="4" w:space="0" w:color="auto"/>
            </w:tcBorders>
            <w:shd w:val="clear" w:color="auto" w:fill="auto"/>
            <w:noWrap/>
            <w:vAlign w:val="center"/>
            <w:hideMark/>
          </w:tcPr>
          <w:p w14:paraId="620DCB3F" w14:textId="77777777" w:rsidR="00124120" w:rsidRPr="00124120" w:rsidRDefault="00124120" w:rsidP="00234CBE">
            <w:pPr>
              <w:spacing w:line="276" w:lineRule="auto"/>
              <w:jc w:val="right"/>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Sala Segunda</w:t>
            </w:r>
          </w:p>
        </w:tc>
        <w:tc>
          <w:tcPr>
            <w:tcW w:w="875" w:type="dxa"/>
            <w:tcBorders>
              <w:top w:val="nil"/>
              <w:left w:val="nil"/>
              <w:bottom w:val="single" w:sz="4" w:space="0" w:color="auto"/>
              <w:right w:val="single" w:sz="4" w:space="0" w:color="auto"/>
            </w:tcBorders>
            <w:shd w:val="clear" w:color="auto" w:fill="auto"/>
            <w:noWrap/>
            <w:vAlign w:val="center"/>
            <w:hideMark/>
          </w:tcPr>
          <w:p w14:paraId="463B26B9"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4189</w:t>
            </w:r>
          </w:p>
        </w:tc>
        <w:tc>
          <w:tcPr>
            <w:tcW w:w="875" w:type="dxa"/>
            <w:tcBorders>
              <w:top w:val="nil"/>
              <w:left w:val="nil"/>
              <w:bottom w:val="single" w:sz="4" w:space="0" w:color="auto"/>
              <w:right w:val="single" w:sz="4" w:space="0" w:color="auto"/>
            </w:tcBorders>
            <w:shd w:val="clear" w:color="auto" w:fill="auto"/>
            <w:noWrap/>
            <w:vAlign w:val="center"/>
            <w:hideMark/>
          </w:tcPr>
          <w:p w14:paraId="66496431"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4970</w:t>
            </w:r>
          </w:p>
        </w:tc>
        <w:tc>
          <w:tcPr>
            <w:tcW w:w="846" w:type="dxa"/>
            <w:tcBorders>
              <w:top w:val="nil"/>
              <w:left w:val="nil"/>
              <w:bottom w:val="single" w:sz="4" w:space="0" w:color="auto"/>
              <w:right w:val="single" w:sz="4" w:space="0" w:color="auto"/>
            </w:tcBorders>
            <w:shd w:val="clear" w:color="auto" w:fill="auto"/>
            <w:noWrap/>
            <w:vAlign w:val="center"/>
            <w:hideMark/>
          </w:tcPr>
          <w:p w14:paraId="2895959A"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4965</w:t>
            </w:r>
          </w:p>
        </w:tc>
        <w:tc>
          <w:tcPr>
            <w:tcW w:w="1796" w:type="dxa"/>
            <w:tcBorders>
              <w:top w:val="nil"/>
              <w:left w:val="nil"/>
              <w:bottom w:val="single" w:sz="4" w:space="0" w:color="auto"/>
              <w:right w:val="single" w:sz="4" w:space="0" w:color="auto"/>
            </w:tcBorders>
            <w:shd w:val="clear" w:color="auto" w:fill="auto"/>
            <w:noWrap/>
            <w:vAlign w:val="center"/>
            <w:hideMark/>
          </w:tcPr>
          <w:p w14:paraId="0D98FAB5"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18,52%</w:t>
            </w:r>
          </w:p>
        </w:tc>
        <w:tc>
          <w:tcPr>
            <w:tcW w:w="1796" w:type="dxa"/>
            <w:tcBorders>
              <w:top w:val="nil"/>
              <w:left w:val="nil"/>
              <w:bottom w:val="single" w:sz="4" w:space="0" w:color="auto"/>
              <w:right w:val="single" w:sz="4" w:space="0" w:color="auto"/>
            </w:tcBorders>
            <w:shd w:val="clear" w:color="auto" w:fill="auto"/>
            <w:noWrap/>
            <w:vAlign w:val="center"/>
            <w:hideMark/>
          </w:tcPr>
          <w:p w14:paraId="40D6A95A"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-0,10%</w:t>
            </w:r>
          </w:p>
        </w:tc>
        <w:tc>
          <w:tcPr>
            <w:tcW w:w="146" w:type="dxa"/>
            <w:vAlign w:val="center"/>
            <w:hideMark/>
          </w:tcPr>
          <w:p w14:paraId="062BB2FF" w14:textId="77777777" w:rsidR="00124120" w:rsidRPr="00124120" w:rsidRDefault="00124120" w:rsidP="00234CBE">
            <w:pPr>
              <w:spacing w:line="276" w:lineRule="auto"/>
              <w:rPr>
                <w:rFonts w:ascii="Times New Roman" w:hAnsi="Times New Roman"/>
                <w:sz w:val="20"/>
                <w:szCs w:val="20"/>
                <w:lang w:eastAsia="es-CR"/>
              </w:rPr>
            </w:pPr>
          </w:p>
        </w:tc>
      </w:tr>
      <w:tr w:rsidR="00124120" w:rsidRPr="00124120" w14:paraId="7860B62F" w14:textId="77777777" w:rsidTr="00124120">
        <w:trPr>
          <w:trHeight w:val="267"/>
          <w:jc w:val="center"/>
        </w:trPr>
        <w:tc>
          <w:tcPr>
            <w:tcW w:w="3217" w:type="dxa"/>
            <w:tcBorders>
              <w:top w:val="nil"/>
              <w:left w:val="single" w:sz="4" w:space="0" w:color="auto"/>
              <w:bottom w:val="single" w:sz="4" w:space="0" w:color="auto"/>
              <w:right w:val="single" w:sz="4" w:space="0" w:color="auto"/>
            </w:tcBorders>
            <w:shd w:val="clear" w:color="auto" w:fill="auto"/>
            <w:noWrap/>
            <w:vAlign w:val="center"/>
            <w:hideMark/>
          </w:tcPr>
          <w:p w14:paraId="747AC8E7" w14:textId="77777777" w:rsidR="00124120" w:rsidRPr="00124120" w:rsidRDefault="00124120" w:rsidP="00234CBE">
            <w:pPr>
              <w:spacing w:line="276" w:lineRule="auto"/>
              <w:jc w:val="right"/>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Sala Tercera</w:t>
            </w:r>
          </w:p>
        </w:tc>
        <w:tc>
          <w:tcPr>
            <w:tcW w:w="875" w:type="dxa"/>
            <w:tcBorders>
              <w:top w:val="nil"/>
              <w:left w:val="nil"/>
              <w:bottom w:val="single" w:sz="4" w:space="0" w:color="auto"/>
              <w:right w:val="single" w:sz="4" w:space="0" w:color="auto"/>
            </w:tcBorders>
            <w:shd w:val="clear" w:color="auto" w:fill="auto"/>
            <w:noWrap/>
            <w:vAlign w:val="center"/>
            <w:hideMark/>
          </w:tcPr>
          <w:p w14:paraId="257A362A"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470</w:t>
            </w:r>
          </w:p>
        </w:tc>
        <w:tc>
          <w:tcPr>
            <w:tcW w:w="875" w:type="dxa"/>
            <w:tcBorders>
              <w:top w:val="nil"/>
              <w:left w:val="nil"/>
              <w:bottom w:val="single" w:sz="4" w:space="0" w:color="auto"/>
              <w:right w:val="single" w:sz="4" w:space="0" w:color="auto"/>
            </w:tcBorders>
            <w:shd w:val="clear" w:color="auto" w:fill="auto"/>
            <w:noWrap/>
            <w:vAlign w:val="center"/>
            <w:hideMark/>
          </w:tcPr>
          <w:p w14:paraId="5C7CA0A1"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322</w:t>
            </w:r>
          </w:p>
        </w:tc>
        <w:tc>
          <w:tcPr>
            <w:tcW w:w="846" w:type="dxa"/>
            <w:tcBorders>
              <w:top w:val="nil"/>
              <w:left w:val="nil"/>
              <w:bottom w:val="single" w:sz="4" w:space="0" w:color="auto"/>
              <w:right w:val="single" w:sz="4" w:space="0" w:color="auto"/>
            </w:tcBorders>
            <w:shd w:val="clear" w:color="auto" w:fill="auto"/>
            <w:noWrap/>
            <w:vAlign w:val="center"/>
            <w:hideMark/>
          </w:tcPr>
          <w:p w14:paraId="342B233F"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301</w:t>
            </w:r>
          </w:p>
        </w:tc>
        <w:tc>
          <w:tcPr>
            <w:tcW w:w="1796" w:type="dxa"/>
            <w:tcBorders>
              <w:top w:val="nil"/>
              <w:left w:val="nil"/>
              <w:bottom w:val="single" w:sz="4" w:space="0" w:color="auto"/>
              <w:right w:val="single" w:sz="4" w:space="0" w:color="auto"/>
            </w:tcBorders>
            <w:shd w:val="clear" w:color="auto" w:fill="auto"/>
            <w:noWrap/>
            <w:vAlign w:val="center"/>
            <w:hideMark/>
          </w:tcPr>
          <w:p w14:paraId="75F3EACB"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-35,96%</w:t>
            </w:r>
          </w:p>
        </w:tc>
        <w:tc>
          <w:tcPr>
            <w:tcW w:w="1796" w:type="dxa"/>
            <w:tcBorders>
              <w:top w:val="nil"/>
              <w:left w:val="nil"/>
              <w:bottom w:val="single" w:sz="4" w:space="0" w:color="auto"/>
              <w:right w:val="single" w:sz="4" w:space="0" w:color="auto"/>
            </w:tcBorders>
            <w:shd w:val="clear" w:color="auto" w:fill="auto"/>
            <w:noWrap/>
            <w:vAlign w:val="center"/>
            <w:hideMark/>
          </w:tcPr>
          <w:p w14:paraId="298375D1"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-6,52%</w:t>
            </w:r>
          </w:p>
        </w:tc>
        <w:tc>
          <w:tcPr>
            <w:tcW w:w="146" w:type="dxa"/>
            <w:vAlign w:val="center"/>
            <w:hideMark/>
          </w:tcPr>
          <w:p w14:paraId="334BA75F" w14:textId="77777777" w:rsidR="00124120" w:rsidRPr="00124120" w:rsidRDefault="00124120" w:rsidP="00234CBE">
            <w:pPr>
              <w:spacing w:line="276" w:lineRule="auto"/>
              <w:rPr>
                <w:rFonts w:ascii="Times New Roman" w:hAnsi="Times New Roman"/>
                <w:sz w:val="20"/>
                <w:szCs w:val="20"/>
                <w:lang w:eastAsia="es-CR"/>
              </w:rPr>
            </w:pPr>
          </w:p>
        </w:tc>
      </w:tr>
      <w:tr w:rsidR="00124120" w:rsidRPr="00124120" w14:paraId="34A1B583" w14:textId="77777777" w:rsidTr="00124120">
        <w:trPr>
          <w:trHeight w:val="267"/>
          <w:jc w:val="center"/>
        </w:trPr>
        <w:tc>
          <w:tcPr>
            <w:tcW w:w="3217" w:type="dxa"/>
            <w:tcBorders>
              <w:top w:val="nil"/>
              <w:left w:val="single" w:sz="4" w:space="0" w:color="auto"/>
              <w:bottom w:val="single" w:sz="4" w:space="0" w:color="auto"/>
              <w:right w:val="single" w:sz="4" w:space="0" w:color="auto"/>
            </w:tcBorders>
            <w:shd w:val="clear" w:color="auto" w:fill="auto"/>
            <w:noWrap/>
            <w:vAlign w:val="center"/>
            <w:hideMark/>
          </w:tcPr>
          <w:p w14:paraId="313A1EA3" w14:textId="77777777" w:rsidR="00124120" w:rsidRPr="00124120" w:rsidRDefault="00124120" w:rsidP="00234CBE">
            <w:pPr>
              <w:spacing w:line="276" w:lineRule="auto"/>
              <w:jc w:val="right"/>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Sala Tercera-Penal Juvenil</w:t>
            </w:r>
          </w:p>
        </w:tc>
        <w:tc>
          <w:tcPr>
            <w:tcW w:w="875" w:type="dxa"/>
            <w:tcBorders>
              <w:top w:val="nil"/>
              <w:left w:val="nil"/>
              <w:bottom w:val="single" w:sz="4" w:space="0" w:color="auto"/>
              <w:right w:val="single" w:sz="4" w:space="0" w:color="auto"/>
            </w:tcBorders>
            <w:shd w:val="clear" w:color="auto" w:fill="auto"/>
            <w:noWrap/>
            <w:vAlign w:val="center"/>
            <w:hideMark/>
          </w:tcPr>
          <w:p w14:paraId="1DB62CE8"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18</w:t>
            </w:r>
          </w:p>
        </w:tc>
        <w:tc>
          <w:tcPr>
            <w:tcW w:w="875" w:type="dxa"/>
            <w:tcBorders>
              <w:top w:val="nil"/>
              <w:left w:val="nil"/>
              <w:bottom w:val="single" w:sz="4" w:space="0" w:color="auto"/>
              <w:right w:val="single" w:sz="4" w:space="0" w:color="auto"/>
            </w:tcBorders>
            <w:shd w:val="clear" w:color="auto" w:fill="auto"/>
            <w:noWrap/>
            <w:vAlign w:val="center"/>
            <w:hideMark/>
          </w:tcPr>
          <w:p w14:paraId="70E58404"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7</w:t>
            </w:r>
          </w:p>
        </w:tc>
        <w:tc>
          <w:tcPr>
            <w:tcW w:w="846" w:type="dxa"/>
            <w:tcBorders>
              <w:top w:val="nil"/>
              <w:left w:val="nil"/>
              <w:bottom w:val="single" w:sz="4" w:space="0" w:color="auto"/>
              <w:right w:val="single" w:sz="4" w:space="0" w:color="auto"/>
            </w:tcBorders>
            <w:shd w:val="clear" w:color="auto" w:fill="auto"/>
            <w:noWrap/>
            <w:vAlign w:val="center"/>
            <w:hideMark/>
          </w:tcPr>
          <w:p w14:paraId="30066F16"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8</w:t>
            </w:r>
          </w:p>
        </w:tc>
        <w:tc>
          <w:tcPr>
            <w:tcW w:w="1796" w:type="dxa"/>
            <w:tcBorders>
              <w:top w:val="nil"/>
              <w:left w:val="nil"/>
              <w:bottom w:val="single" w:sz="4" w:space="0" w:color="auto"/>
              <w:right w:val="single" w:sz="4" w:space="0" w:color="auto"/>
            </w:tcBorders>
            <w:shd w:val="clear" w:color="auto" w:fill="auto"/>
            <w:noWrap/>
            <w:vAlign w:val="center"/>
            <w:hideMark/>
          </w:tcPr>
          <w:p w14:paraId="01E06C8C"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-55,56%</w:t>
            </w:r>
          </w:p>
        </w:tc>
        <w:tc>
          <w:tcPr>
            <w:tcW w:w="1796" w:type="dxa"/>
            <w:tcBorders>
              <w:top w:val="nil"/>
              <w:left w:val="nil"/>
              <w:bottom w:val="single" w:sz="4" w:space="0" w:color="auto"/>
              <w:right w:val="single" w:sz="4" w:space="0" w:color="auto"/>
            </w:tcBorders>
            <w:shd w:val="clear" w:color="auto" w:fill="auto"/>
            <w:noWrap/>
            <w:vAlign w:val="center"/>
            <w:hideMark/>
          </w:tcPr>
          <w:p w14:paraId="19B0EA43"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14,29%</w:t>
            </w:r>
          </w:p>
        </w:tc>
        <w:tc>
          <w:tcPr>
            <w:tcW w:w="146" w:type="dxa"/>
            <w:vAlign w:val="center"/>
            <w:hideMark/>
          </w:tcPr>
          <w:p w14:paraId="3317D70C" w14:textId="77777777" w:rsidR="00124120" w:rsidRPr="00124120" w:rsidRDefault="00124120" w:rsidP="00234CBE">
            <w:pPr>
              <w:spacing w:line="276" w:lineRule="auto"/>
              <w:rPr>
                <w:rFonts w:ascii="Times New Roman" w:hAnsi="Times New Roman"/>
                <w:sz w:val="20"/>
                <w:szCs w:val="20"/>
                <w:lang w:eastAsia="es-CR"/>
              </w:rPr>
            </w:pPr>
          </w:p>
        </w:tc>
      </w:tr>
      <w:tr w:rsidR="00124120" w:rsidRPr="00124120" w14:paraId="01E7450B" w14:textId="77777777" w:rsidTr="00124120">
        <w:trPr>
          <w:trHeight w:val="267"/>
          <w:jc w:val="center"/>
        </w:trPr>
        <w:tc>
          <w:tcPr>
            <w:tcW w:w="3217" w:type="dxa"/>
            <w:tcBorders>
              <w:top w:val="nil"/>
              <w:left w:val="single" w:sz="4" w:space="0" w:color="auto"/>
              <w:bottom w:val="single" w:sz="4" w:space="0" w:color="auto"/>
              <w:right w:val="single" w:sz="4" w:space="0" w:color="auto"/>
            </w:tcBorders>
            <w:shd w:val="clear" w:color="auto" w:fill="auto"/>
            <w:noWrap/>
            <w:vAlign w:val="center"/>
            <w:hideMark/>
          </w:tcPr>
          <w:p w14:paraId="3ABD2760" w14:textId="77777777" w:rsidR="00124120" w:rsidRPr="00124120" w:rsidRDefault="00124120" w:rsidP="00234CBE">
            <w:pPr>
              <w:spacing w:line="276" w:lineRule="auto"/>
              <w:jc w:val="right"/>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Sala Constitucional</w:t>
            </w:r>
          </w:p>
        </w:tc>
        <w:tc>
          <w:tcPr>
            <w:tcW w:w="875" w:type="dxa"/>
            <w:tcBorders>
              <w:top w:val="nil"/>
              <w:left w:val="nil"/>
              <w:bottom w:val="single" w:sz="4" w:space="0" w:color="auto"/>
              <w:right w:val="single" w:sz="4" w:space="0" w:color="auto"/>
            </w:tcBorders>
            <w:shd w:val="clear" w:color="auto" w:fill="auto"/>
            <w:noWrap/>
            <w:vAlign w:val="center"/>
            <w:hideMark/>
          </w:tcPr>
          <w:p w14:paraId="059C5DFA"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3011</w:t>
            </w:r>
          </w:p>
        </w:tc>
        <w:tc>
          <w:tcPr>
            <w:tcW w:w="875" w:type="dxa"/>
            <w:tcBorders>
              <w:top w:val="nil"/>
              <w:left w:val="nil"/>
              <w:bottom w:val="single" w:sz="4" w:space="0" w:color="auto"/>
              <w:right w:val="single" w:sz="4" w:space="0" w:color="auto"/>
            </w:tcBorders>
            <w:shd w:val="clear" w:color="auto" w:fill="auto"/>
            <w:noWrap/>
            <w:vAlign w:val="center"/>
            <w:hideMark/>
          </w:tcPr>
          <w:p w14:paraId="5ACDF9F7"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3068</w:t>
            </w:r>
          </w:p>
        </w:tc>
        <w:tc>
          <w:tcPr>
            <w:tcW w:w="846" w:type="dxa"/>
            <w:tcBorders>
              <w:top w:val="nil"/>
              <w:left w:val="nil"/>
              <w:bottom w:val="single" w:sz="4" w:space="0" w:color="auto"/>
              <w:right w:val="single" w:sz="4" w:space="0" w:color="auto"/>
            </w:tcBorders>
            <w:shd w:val="clear" w:color="auto" w:fill="auto"/>
            <w:noWrap/>
            <w:vAlign w:val="center"/>
            <w:hideMark/>
          </w:tcPr>
          <w:p w14:paraId="2AFB50C6"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1815</w:t>
            </w:r>
          </w:p>
        </w:tc>
        <w:tc>
          <w:tcPr>
            <w:tcW w:w="1796" w:type="dxa"/>
            <w:tcBorders>
              <w:top w:val="nil"/>
              <w:left w:val="nil"/>
              <w:bottom w:val="single" w:sz="4" w:space="0" w:color="auto"/>
              <w:right w:val="single" w:sz="4" w:space="0" w:color="auto"/>
            </w:tcBorders>
            <w:shd w:val="clear" w:color="auto" w:fill="auto"/>
            <w:noWrap/>
            <w:vAlign w:val="center"/>
            <w:hideMark/>
          </w:tcPr>
          <w:p w14:paraId="06567FD2"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-39,72%</w:t>
            </w:r>
          </w:p>
        </w:tc>
        <w:tc>
          <w:tcPr>
            <w:tcW w:w="1796" w:type="dxa"/>
            <w:tcBorders>
              <w:top w:val="nil"/>
              <w:left w:val="nil"/>
              <w:bottom w:val="single" w:sz="4" w:space="0" w:color="auto"/>
              <w:right w:val="single" w:sz="4" w:space="0" w:color="auto"/>
            </w:tcBorders>
            <w:shd w:val="clear" w:color="auto" w:fill="auto"/>
            <w:noWrap/>
            <w:vAlign w:val="center"/>
            <w:hideMark/>
          </w:tcPr>
          <w:p w14:paraId="3F723E22"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-40,84%</w:t>
            </w:r>
          </w:p>
        </w:tc>
        <w:tc>
          <w:tcPr>
            <w:tcW w:w="146" w:type="dxa"/>
            <w:vAlign w:val="center"/>
            <w:hideMark/>
          </w:tcPr>
          <w:p w14:paraId="1CC66396" w14:textId="77777777" w:rsidR="00124120" w:rsidRPr="00124120" w:rsidRDefault="00124120" w:rsidP="00234CBE">
            <w:pPr>
              <w:spacing w:line="276" w:lineRule="auto"/>
              <w:rPr>
                <w:rFonts w:ascii="Times New Roman" w:hAnsi="Times New Roman"/>
                <w:sz w:val="20"/>
                <w:szCs w:val="20"/>
                <w:lang w:eastAsia="es-CR"/>
              </w:rPr>
            </w:pPr>
          </w:p>
        </w:tc>
      </w:tr>
      <w:tr w:rsidR="00124120" w:rsidRPr="00124120" w14:paraId="17C4B225" w14:textId="77777777" w:rsidTr="00124120">
        <w:trPr>
          <w:trHeight w:val="267"/>
          <w:jc w:val="center"/>
        </w:trPr>
        <w:tc>
          <w:tcPr>
            <w:tcW w:w="3217" w:type="dxa"/>
            <w:tcBorders>
              <w:top w:val="nil"/>
              <w:left w:val="single" w:sz="4" w:space="0" w:color="auto"/>
              <w:bottom w:val="single" w:sz="4" w:space="0" w:color="auto"/>
              <w:right w:val="single" w:sz="4" w:space="0" w:color="auto"/>
            </w:tcBorders>
            <w:shd w:val="clear" w:color="auto" w:fill="auto"/>
            <w:noWrap/>
            <w:vAlign w:val="center"/>
            <w:hideMark/>
          </w:tcPr>
          <w:p w14:paraId="2050586B" w14:textId="77777777" w:rsidR="00124120" w:rsidRPr="00124120" w:rsidRDefault="00124120" w:rsidP="00234CBE">
            <w:pPr>
              <w:spacing w:line="276" w:lineRule="auto"/>
              <w:jc w:val="right"/>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Tribunal Apelación Sentencia Penal</w:t>
            </w:r>
          </w:p>
        </w:tc>
        <w:tc>
          <w:tcPr>
            <w:tcW w:w="875" w:type="dxa"/>
            <w:tcBorders>
              <w:top w:val="nil"/>
              <w:left w:val="nil"/>
              <w:bottom w:val="single" w:sz="4" w:space="0" w:color="auto"/>
              <w:right w:val="single" w:sz="4" w:space="0" w:color="auto"/>
            </w:tcBorders>
            <w:shd w:val="clear" w:color="auto" w:fill="auto"/>
            <w:noWrap/>
            <w:vAlign w:val="center"/>
            <w:hideMark/>
          </w:tcPr>
          <w:p w14:paraId="455CB4CC"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1296</w:t>
            </w:r>
          </w:p>
        </w:tc>
        <w:tc>
          <w:tcPr>
            <w:tcW w:w="875" w:type="dxa"/>
            <w:tcBorders>
              <w:top w:val="nil"/>
              <w:left w:val="nil"/>
              <w:bottom w:val="single" w:sz="4" w:space="0" w:color="auto"/>
              <w:right w:val="single" w:sz="4" w:space="0" w:color="auto"/>
            </w:tcBorders>
            <w:shd w:val="clear" w:color="auto" w:fill="auto"/>
            <w:noWrap/>
            <w:vAlign w:val="center"/>
            <w:hideMark/>
          </w:tcPr>
          <w:p w14:paraId="1090E23C"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829</w:t>
            </w:r>
          </w:p>
        </w:tc>
        <w:tc>
          <w:tcPr>
            <w:tcW w:w="846" w:type="dxa"/>
            <w:tcBorders>
              <w:top w:val="nil"/>
              <w:left w:val="nil"/>
              <w:bottom w:val="single" w:sz="4" w:space="0" w:color="auto"/>
              <w:right w:val="single" w:sz="4" w:space="0" w:color="auto"/>
            </w:tcBorders>
            <w:shd w:val="clear" w:color="auto" w:fill="auto"/>
            <w:noWrap/>
            <w:vAlign w:val="center"/>
            <w:hideMark/>
          </w:tcPr>
          <w:p w14:paraId="2143CF65"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884</w:t>
            </w:r>
          </w:p>
        </w:tc>
        <w:tc>
          <w:tcPr>
            <w:tcW w:w="1796" w:type="dxa"/>
            <w:tcBorders>
              <w:top w:val="nil"/>
              <w:left w:val="nil"/>
              <w:bottom w:val="single" w:sz="4" w:space="0" w:color="auto"/>
              <w:right w:val="single" w:sz="4" w:space="0" w:color="auto"/>
            </w:tcBorders>
            <w:shd w:val="clear" w:color="auto" w:fill="auto"/>
            <w:noWrap/>
            <w:vAlign w:val="center"/>
            <w:hideMark/>
          </w:tcPr>
          <w:p w14:paraId="417826FD"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-31,79%</w:t>
            </w:r>
          </w:p>
        </w:tc>
        <w:tc>
          <w:tcPr>
            <w:tcW w:w="1796" w:type="dxa"/>
            <w:tcBorders>
              <w:top w:val="nil"/>
              <w:left w:val="nil"/>
              <w:bottom w:val="single" w:sz="4" w:space="0" w:color="auto"/>
              <w:right w:val="single" w:sz="4" w:space="0" w:color="auto"/>
            </w:tcBorders>
            <w:shd w:val="clear" w:color="auto" w:fill="auto"/>
            <w:noWrap/>
            <w:vAlign w:val="center"/>
            <w:hideMark/>
          </w:tcPr>
          <w:p w14:paraId="397C94D2"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6,63%</w:t>
            </w:r>
          </w:p>
        </w:tc>
        <w:tc>
          <w:tcPr>
            <w:tcW w:w="146" w:type="dxa"/>
            <w:vAlign w:val="center"/>
            <w:hideMark/>
          </w:tcPr>
          <w:p w14:paraId="7B661F1E" w14:textId="77777777" w:rsidR="00124120" w:rsidRPr="00124120" w:rsidRDefault="00124120" w:rsidP="00234CBE">
            <w:pPr>
              <w:spacing w:line="276" w:lineRule="auto"/>
              <w:rPr>
                <w:rFonts w:ascii="Times New Roman" w:hAnsi="Times New Roman"/>
                <w:sz w:val="20"/>
                <w:szCs w:val="20"/>
                <w:lang w:eastAsia="es-CR"/>
              </w:rPr>
            </w:pPr>
          </w:p>
        </w:tc>
      </w:tr>
      <w:tr w:rsidR="00124120" w:rsidRPr="00124120" w14:paraId="557FDD63" w14:textId="77777777" w:rsidTr="00124120">
        <w:trPr>
          <w:trHeight w:val="267"/>
          <w:jc w:val="center"/>
        </w:trPr>
        <w:tc>
          <w:tcPr>
            <w:tcW w:w="3217" w:type="dxa"/>
            <w:tcBorders>
              <w:top w:val="nil"/>
              <w:left w:val="single" w:sz="4" w:space="0" w:color="auto"/>
              <w:bottom w:val="single" w:sz="4" w:space="0" w:color="auto"/>
              <w:right w:val="single" w:sz="4" w:space="0" w:color="auto"/>
            </w:tcBorders>
            <w:shd w:val="clear" w:color="auto" w:fill="auto"/>
            <w:noWrap/>
            <w:vAlign w:val="center"/>
            <w:hideMark/>
          </w:tcPr>
          <w:p w14:paraId="6FF2ECD0" w14:textId="77777777" w:rsidR="00124120" w:rsidRPr="00124120" w:rsidRDefault="00124120" w:rsidP="00234CBE">
            <w:pPr>
              <w:spacing w:line="276" w:lineRule="auto"/>
              <w:jc w:val="right"/>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Tribunal Apelación Penal Juvenil</w:t>
            </w:r>
          </w:p>
        </w:tc>
        <w:tc>
          <w:tcPr>
            <w:tcW w:w="875" w:type="dxa"/>
            <w:tcBorders>
              <w:top w:val="nil"/>
              <w:left w:val="nil"/>
              <w:bottom w:val="single" w:sz="4" w:space="0" w:color="auto"/>
              <w:right w:val="single" w:sz="4" w:space="0" w:color="auto"/>
            </w:tcBorders>
            <w:shd w:val="clear" w:color="auto" w:fill="auto"/>
            <w:noWrap/>
            <w:vAlign w:val="center"/>
            <w:hideMark/>
          </w:tcPr>
          <w:p w14:paraId="5573CA51"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22</w:t>
            </w:r>
          </w:p>
        </w:tc>
        <w:tc>
          <w:tcPr>
            <w:tcW w:w="875" w:type="dxa"/>
            <w:tcBorders>
              <w:top w:val="nil"/>
              <w:left w:val="nil"/>
              <w:bottom w:val="single" w:sz="4" w:space="0" w:color="auto"/>
              <w:right w:val="single" w:sz="4" w:space="0" w:color="auto"/>
            </w:tcBorders>
            <w:shd w:val="clear" w:color="auto" w:fill="auto"/>
            <w:noWrap/>
            <w:vAlign w:val="center"/>
            <w:hideMark/>
          </w:tcPr>
          <w:p w14:paraId="56256ED9"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9</w:t>
            </w:r>
          </w:p>
        </w:tc>
        <w:tc>
          <w:tcPr>
            <w:tcW w:w="846" w:type="dxa"/>
            <w:tcBorders>
              <w:top w:val="nil"/>
              <w:left w:val="nil"/>
              <w:bottom w:val="single" w:sz="4" w:space="0" w:color="auto"/>
              <w:right w:val="single" w:sz="4" w:space="0" w:color="auto"/>
            </w:tcBorders>
            <w:shd w:val="clear" w:color="auto" w:fill="auto"/>
            <w:noWrap/>
            <w:vAlign w:val="center"/>
            <w:hideMark/>
          </w:tcPr>
          <w:p w14:paraId="751A6A79"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8</w:t>
            </w:r>
          </w:p>
        </w:tc>
        <w:tc>
          <w:tcPr>
            <w:tcW w:w="1796" w:type="dxa"/>
            <w:tcBorders>
              <w:top w:val="nil"/>
              <w:left w:val="nil"/>
              <w:bottom w:val="single" w:sz="4" w:space="0" w:color="auto"/>
              <w:right w:val="single" w:sz="4" w:space="0" w:color="auto"/>
            </w:tcBorders>
            <w:shd w:val="clear" w:color="auto" w:fill="auto"/>
            <w:noWrap/>
            <w:vAlign w:val="center"/>
            <w:hideMark/>
          </w:tcPr>
          <w:p w14:paraId="11739687"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-63,64%</w:t>
            </w:r>
          </w:p>
        </w:tc>
        <w:tc>
          <w:tcPr>
            <w:tcW w:w="1796" w:type="dxa"/>
            <w:tcBorders>
              <w:top w:val="nil"/>
              <w:left w:val="nil"/>
              <w:bottom w:val="single" w:sz="4" w:space="0" w:color="auto"/>
              <w:right w:val="single" w:sz="4" w:space="0" w:color="auto"/>
            </w:tcBorders>
            <w:shd w:val="clear" w:color="auto" w:fill="auto"/>
            <w:noWrap/>
            <w:vAlign w:val="center"/>
            <w:hideMark/>
          </w:tcPr>
          <w:p w14:paraId="1A62622E"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-11,11%</w:t>
            </w:r>
          </w:p>
        </w:tc>
        <w:tc>
          <w:tcPr>
            <w:tcW w:w="146" w:type="dxa"/>
            <w:vAlign w:val="center"/>
            <w:hideMark/>
          </w:tcPr>
          <w:p w14:paraId="4B5D4DD6" w14:textId="77777777" w:rsidR="00124120" w:rsidRPr="00124120" w:rsidRDefault="00124120" w:rsidP="00234CBE">
            <w:pPr>
              <w:spacing w:line="276" w:lineRule="auto"/>
              <w:rPr>
                <w:rFonts w:ascii="Times New Roman" w:hAnsi="Times New Roman"/>
                <w:sz w:val="20"/>
                <w:szCs w:val="20"/>
                <w:lang w:eastAsia="es-CR"/>
              </w:rPr>
            </w:pPr>
          </w:p>
        </w:tc>
      </w:tr>
      <w:tr w:rsidR="00124120" w:rsidRPr="00124120" w14:paraId="7C50F168" w14:textId="77777777" w:rsidTr="00124120">
        <w:trPr>
          <w:trHeight w:val="267"/>
          <w:jc w:val="center"/>
        </w:trPr>
        <w:tc>
          <w:tcPr>
            <w:tcW w:w="3217" w:type="dxa"/>
            <w:tcBorders>
              <w:top w:val="nil"/>
              <w:left w:val="single" w:sz="4" w:space="0" w:color="auto"/>
              <w:bottom w:val="single" w:sz="4" w:space="0" w:color="auto"/>
              <w:right w:val="single" w:sz="4" w:space="0" w:color="auto"/>
            </w:tcBorders>
            <w:shd w:val="clear" w:color="auto" w:fill="auto"/>
            <w:noWrap/>
            <w:vAlign w:val="center"/>
            <w:hideMark/>
          </w:tcPr>
          <w:p w14:paraId="255D0638" w14:textId="77777777" w:rsidR="00124120" w:rsidRPr="00124120" w:rsidRDefault="00124120" w:rsidP="00234CBE">
            <w:pPr>
              <w:spacing w:line="276" w:lineRule="auto"/>
              <w:jc w:val="right"/>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Tribunal Apelación Civil</w:t>
            </w:r>
          </w:p>
        </w:tc>
        <w:tc>
          <w:tcPr>
            <w:tcW w:w="875" w:type="dxa"/>
            <w:tcBorders>
              <w:top w:val="nil"/>
              <w:left w:val="nil"/>
              <w:bottom w:val="single" w:sz="4" w:space="0" w:color="auto"/>
              <w:right w:val="single" w:sz="4" w:space="0" w:color="auto"/>
            </w:tcBorders>
            <w:shd w:val="clear" w:color="auto" w:fill="auto"/>
            <w:noWrap/>
            <w:vAlign w:val="center"/>
            <w:hideMark/>
          </w:tcPr>
          <w:p w14:paraId="7CC4515B"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2207</w:t>
            </w:r>
          </w:p>
        </w:tc>
        <w:tc>
          <w:tcPr>
            <w:tcW w:w="875" w:type="dxa"/>
            <w:tcBorders>
              <w:top w:val="nil"/>
              <w:left w:val="nil"/>
              <w:bottom w:val="single" w:sz="4" w:space="0" w:color="auto"/>
              <w:right w:val="single" w:sz="4" w:space="0" w:color="auto"/>
            </w:tcBorders>
            <w:shd w:val="clear" w:color="auto" w:fill="auto"/>
            <w:noWrap/>
            <w:vAlign w:val="center"/>
            <w:hideMark/>
          </w:tcPr>
          <w:p w14:paraId="1272070C"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1933</w:t>
            </w:r>
          </w:p>
        </w:tc>
        <w:tc>
          <w:tcPr>
            <w:tcW w:w="846" w:type="dxa"/>
            <w:tcBorders>
              <w:top w:val="nil"/>
              <w:left w:val="nil"/>
              <w:bottom w:val="single" w:sz="4" w:space="0" w:color="auto"/>
              <w:right w:val="single" w:sz="4" w:space="0" w:color="auto"/>
            </w:tcBorders>
            <w:shd w:val="clear" w:color="auto" w:fill="auto"/>
            <w:noWrap/>
            <w:vAlign w:val="center"/>
            <w:hideMark/>
          </w:tcPr>
          <w:p w14:paraId="3B851BEB"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2405</w:t>
            </w:r>
          </w:p>
        </w:tc>
        <w:tc>
          <w:tcPr>
            <w:tcW w:w="1796" w:type="dxa"/>
            <w:tcBorders>
              <w:top w:val="nil"/>
              <w:left w:val="nil"/>
              <w:bottom w:val="single" w:sz="4" w:space="0" w:color="auto"/>
              <w:right w:val="single" w:sz="4" w:space="0" w:color="auto"/>
            </w:tcBorders>
            <w:shd w:val="clear" w:color="auto" w:fill="auto"/>
            <w:noWrap/>
            <w:vAlign w:val="center"/>
            <w:hideMark/>
          </w:tcPr>
          <w:p w14:paraId="7C8CE7ED"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8,97%</w:t>
            </w:r>
          </w:p>
        </w:tc>
        <w:tc>
          <w:tcPr>
            <w:tcW w:w="1796" w:type="dxa"/>
            <w:tcBorders>
              <w:top w:val="nil"/>
              <w:left w:val="nil"/>
              <w:bottom w:val="single" w:sz="4" w:space="0" w:color="auto"/>
              <w:right w:val="single" w:sz="4" w:space="0" w:color="auto"/>
            </w:tcBorders>
            <w:shd w:val="clear" w:color="auto" w:fill="auto"/>
            <w:noWrap/>
            <w:vAlign w:val="center"/>
            <w:hideMark/>
          </w:tcPr>
          <w:p w14:paraId="44AA5BF8"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24,42%</w:t>
            </w:r>
          </w:p>
        </w:tc>
        <w:tc>
          <w:tcPr>
            <w:tcW w:w="146" w:type="dxa"/>
            <w:vAlign w:val="center"/>
            <w:hideMark/>
          </w:tcPr>
          <w:p w14:paraId="56971016" w14:textId="77777777" w:rsidR="00124120" w:rsidRPr="00124120" w:rsidRDefault="00124120" w:rsidP="00234CBE">
            <w:pPr>
              <w:spacing w:line="276" w:lineRule="auto"/>
              <w:rPr>
                <w:rFonts w:ascii="Times New Roman" w:hAnsi="Times New Roman"/>
                <w:sz w:val="20"/>
                <w:szCs w:val="20"/>
                <w:lang w:eastAsia="es-CR"/>
              </w:rPr>
            </w:pPr>
          </w:p>
        </w:tc>
      </w:tr>
      <w:tr w:rsidR="00124120" w:rsidRPr="00124120" w14:paraId="0C19E178" w14:textId="77777777" w:rsidTr="00124120">
        <w:trPr>
          <w:trHeight w:val="267"/>
          <w:jc w:val="center"/>
        </w:trPr>
        <w:tc>
          <w:tcPr>
            <w:tcW w:w="3217" w:type="dxa"/>
            <w:tcBorders>
              <w:top w:val="nil"/>
              <w:left w:val="single" w:sz="4" w:space="0" w:color="auto"/>
              <w:bottom w:val="single" w:sz="4" w:space="0" w:color="auto"/>
              <w:right w:val="single" w:sz="4" w:space="0" w:color="auto"/>
            </w:tcBorders>
            <w:shd w:val="clear" w:color="auto" w:fill="auto"/>
            <w:noWrap/>
            <w:vAlign w:val="center"/>
            <w:hideMark/>
          </w:tcPr>
          <w:p w14:paraId="484A25AE" w14:textId="77777777" w:rsidR="00124120" w:rsidRPr="00124120" w:rsidRDefault="00124120" w:rsidP="00234CBE">
            <w:pPr>
              <w:spacing w:line="276" w:lineRule="auto"/>
              <w:jc w:val="right"/>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Tribunal Apelación Laboral</w:t>
            </w:r>
          </w:p>
        </w:tc>
        <w:tc>
          <w:tcPr>
            <w:tcW w:w="875" w:type="dxa"/>
            <w:tcBorders>
              <w:top w:val="nil"/>
              <w:left w:val="nil"/>
              <w:bottom w:val="single" w:sz="4" w:space="0" w:color="auto"/>
              <w:right w:val="single" w:sz="4" w:space="0" w:color="auto"/>
            </w:tcBorders>
            <w:shd w:val="clear" w:color="auto" w:fill="auto"/>
            <w:noWrap/>
            <w:vAlign w:val="center"/>
            <w:hideMark/>
          </w:tcPr>
          <w:p w14:paraId="5F946AA3"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1153</w:t>
            </w:r>
          </w:p>
        </w:tc>
        <w:tc>
          <w:tcPr>
            <w:tcW w:w="875" w:type="dxa"/>
            <w:tcBorders>
              <w:top w:val="nil"/>
              <w:left w:val="nil"/>
              <w:bottom w:val="single" w:sz="4" w:space="0" w:color="auto"/>
              <w:right w:val="single" w:sz="4" w:space="0" w:color="auto"/>
            </w:tcBorders>
            <w:shd w:val="clear" w:color="auto" w:fill="auto"/>
            <w:noWrap/>
            <w:vAlign w:val="center"/>
            <w:hideMark/>
          </w:tcPr>
          <w:p w14:paraId="5BCBD4AB"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962</w:t>
            </w:r>
          </w:p>
        </w:tc>
        <w:tc>
          <w:tcPr>
            <w:tcW w:w="846" w:type="dxa"/>
            <w:tcBorders>
              <w:top w:val="nil"/>
              <w:left w:val="nil"/>
              <w:bottom w:val="single" w:sz="4" w:space="0" w:color="auto"/>
              <w:right w:val="single" w:sz="4" w:space="0" w:color="auto"/>
            </w:tcBorders>
            <w:shd w:val="clear" w:color="auto" w:fill="auto"/>
            <w:noWrap/>
            <w:vAlign w:val="center"/>
            <w:hideMark/>
          </w:tcPr>
          <w:p w14:paraId="35AA7BB7"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1358</w:t>
            </w:r>
          </w:p>
        </w:tc>
        <w:tc>
          <w:tcPr>
            <w:tcW w:w="1796" w:type="dxa"/>
            <w:tcBorders>
              <w:top w:val="nil"/>
              <w:left w:val="nil"/>
              <w:bottom w:val="single" w:sz="4" w:space="0" w:color="auto"/>
              <w:right w:val="single" w:sz="4" w:space="0" w:color="auto"/>
            </w:tcBorders>
            <w:shd w:val="clear" w:color="auto" w:fill="auto"/>
            <w:noWrap/>
            <w:vAlign w:val="center"/>
            <w:hideMark/>
          </w:tcPr>
          <w:p w14:paraId="6858DBEB"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17,78%</w:t>
            </w:r>
          </w:p>
        </w:tc>
        <w:tc>
          <w:tcPr>
            <w:tcW w:w="1796" w:type="dxa"/>
            <w:tcBorders>
              <w:top w:val="nil"/>
              <w:left w:val="nil"/>
              <w:bottom w:val="single" w:sz="4" w:space="0" w:color="auto"/>
              <w:right w:val="single" w:sz="4" w:space="0" w:color="auto"/>
            </w:tcBorders>
            <w:shd w:val="clear" w:color="auto" w:fill="auto"/>
            <w:noWrap/>
            <w:vAlign w:val="center"/>
            <w:hideMark/>
          </w:tcPr>
          <w:p w14:paraId="33F9A84E"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41,16%</w:t>
            </w:r>
          </w:p>
        </w:tc>
        <w:tc>
          <w:tcPr>
            <w:tcW w:w="146" w:type="dxa"/>
            <w:vAlign w:val="center"/>
            <w:hideMark/>
          </w:tcPr>
          <w:p w14:paraId="0BBA7B53" w14:textId="77777777" w:rsidR="00124120" w:rsidRPr="00124120" w:rsidRDefault="00124120" w:rsidP="00234CBE">
            <w:pPr>
              <w:spacing w:line="276" w:lineRule="auto"/>
              <w:rPr>
                <w:rFonts w:ascii="Times New Roman" w:hAnsi="Times New Roman"/>
                <w:sz w:val="20"/>
                <w:szCs w:val="20"/>
                <w:lang w:eastAsia="es-CR"/>
              </w:rPr>
            </w:pPr>
          </w:p>
        </w:tc>
      </w:tr>
      <w:tr w:rsidR="00124120" w:rsidRPr="00124120" w14:paraId="7560CE96" w14:textId="77777777" w:rsidTr="00124120">
        <w:trPr>
          <w:trHeight w:val="267"/>
          <w:jc w:val="center"/>
        </w:trPr>
        <w:tc>
          <w:tcPr>
            <w:tcW w:w="3217" w:type="dxa"/>
            <w:tcBorders>
              <w:top w:val="nil"/>
              <w:left w:val="single" w:sz="4" w:space="0" w:color="auto"/>
              <w:bottom w:val="single" w:sz="4" w:space="0" w:color="auto"/>
              <w:right w:val="single" w:sz="4" w:space="0" w:color="auto"/>
            </w:tcBorders>
            <w:shd w:val="clear" w:color="auto" w:fill="auto"/>
            <w:noWrap/>
            <w:vAlign w:val="center"/>
            <w:hideMark/>
          </w:tcPr>
          <w:p w14:paraId="57EB628D" w14:textId="77777777" w:rsidR="00124120" w:rsidRPr="00124120" w:rsidRDefault="00124120" w:rsidP="00234CBE">
            <w:pPr>
              <w:spacing w:line="276" w:lineRule="auto"/>
              <w:jc w:val="right"/>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Tribunal Agrario</w:t>
            </w:r>
          </w:p>
        </w:tc>
        <w:tc>
          <w:tcPr>
            <w:tcW w:w="875" w:type="dxa"/>
            <w:tcBorders>
              <w:top w:val="nil"/>
              <w:left w:val="nil"/>
              <w:bottom w:val="single" w:sz="4" w:space="0" w:color="auto"/>
              <w:right w:val="single" w:sz="4" w:space="0" w:color="auto"/>
            </w:tcBorders>
            <w:shd w:val="clear" w:color="auto" w:fill="auto"/>
            <w:noWrap/>
            <w:vAlign w:val="center"/>
            <w:hideMark/>
          </w:tcPr>
          <w:p w14:paraId="7C30B0A2"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240</w:t>
            </w:r>
          </w:p>
        </w:tc>
        <w:tc>
          <w:tcPr>
            <w:tcW w:w="875" w:type="dxa"/>
            <w:tcBorders>
              <w:top w:val="nil"/>
              <w:left w:val="nil"/>
              <w:bottom w:val="single" w:sz="4" w:space="0" w:color="auto"/>
              <w:right w:val="single" w:sz="4" w:space="0" w:color="auto"/>
            </w:tcBorders>
            <w:shd w:val="clear" w:color="auto" w:fill="auto"/>
            <w:noWrap/>
            <w:vAlign w:val="center"/>
            <w:hideMark/>
          </w:tcPr>
          <w:p w14:paraId="72F528E4"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116</w:t>
            </w:r>
          </w:p>
        </w:tc>
        <w:tc>
          <w:tcPr>
            <w:tcW w:w="846" w:type="dxa"/>
            <w:tcBorders>
              <w:top w:val="nil"/>
              <w:left w:val="nil"/>
              <w:bottom w:val="single" w:sz="4" w:space="0" w:color="auto"/>
              <w:right w:val="single" w:sz="4" w:space="0" w:color="auto"/>
            </w:tcBorders>
            <w:shd w:val="clear" w:color="auto" w:fill="auto"/>
            <w:noWrap/>
            <w:vAlign w:val="center"/>
            <w:hideMark/>
          </w:tcPr>
          <w:p w14:paraId="422E9E5A"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228</w:t>
            </w:r>
          </w:p>
        </w:tc>
        <w:tc>
          <w:tcPr>
            <w:tcW w:w="1796" w:type="dxa"/>
            <w:tcBorders>
              <w:top w:val="nil"/>
              <w:left w:val="nil"/>
              <w:bottom w:val="single" w:sz="4" w:space="0" w:color="auto"/>
              <w:right w:val="single" w:sz="4" w:space="0" w:color="auto"/>
            </w:tcBorders>
            <w:shd w:val="clear" w:color="auto" w:fill="auto"/>
            <w:noWrap/>
            <w:vAlign w:val="center"/>
            <w:hideMark/>
          </w:tcPr>
          <w:p w14:paraId="117DAF5A"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-5,00%</w:t>
            </w:r>
          </w:p>
        </w:tc>
        <w:tc>
          <w:tcPr>
            <w:tcW w:w="1796" w:type="dxa"/>
            <w:tcBorders>
              <w:top w:val="nil"/>
              <w:left w:val="nil"/>
              <w:bottom w:val="single" w:sz="4" w:space="0" w:color="auto"/>
              <w:right w:val="single" w:sz="4" w:space="0" w:color="auto"/>
            </w:tcBorders>
            <w:shd w:val="clear" w:color="auto" w:fill="auto"/>
            <w:noWrap/>
            <w:vAlign w:val="center"/>
            <w:hideMark/>
          </w:tcPr>
          <w:p w14:paraId="1DBCBC35"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96,55%</w:t>
            </w:r>
          </w:p>
        </w:tc>
        <w:tc>
          <w:tcPr>
            <w:tcW w:w="146" w:type="dxa"/>
            <w:vAlign w:val="center"/>
            <w:hideMark/>
          </w:tcPr>
          <w:p w14:paraId="6C8CECAE" w14:textId="77777777" w:rsidR="00124120" w:rsidRPr="00124120" w:rsidRDefault="00124120" w:rsidP="00234CBE">
            <w:pPr>
              <w:spacing w:line="276" w:lineRule="auto"/>
              <w:rPr>
                <w:rFonts w:ascii="Times New Roman" w:hAnsi="Times New Roman"/>
                <w:sz w:val="20"/>
                <w:szCs w:val="20"/>
                <w:lang w:eastAsia="es-CR"/>
              </w:rPr>
            </w:pPr>
          </w:p>
        </w:tc>
      </w:tr>
      <w:tr w:rsidR="00124120" w:rsidRPr="00124120" w14:paraId="4FE26656" w14:textId="77777777" w:rsidTr="00124120">
        <w:trPr>
          <w:trHeight w:val="267"/>
          <w:jc w:val="center"/>
        </w:trPr>
        <w:tc>
          <w:tcPr>
            <w:tcW w:w="3217" w:type="dxa"/>
            <w:tcBorders>
              <w:top w:val="nil"/>
              <w:left w:val="single" w:sz="4" w:space="0" w:color="auto"/>
              <w:bottom w:val="single" w:sz="4" w:space="0" w:color="auto"/>
              <w:right w:val="single" w:sz="4" w:space="0" w:color="auto"/>
            </w:tcBorders>
            <w:shd w:val="clear" w:color="auto" w:fill="auto"/>
            <w:noWrap/>
            <w:vAlign w:val="center"/>
            <w:hideMark/>
          </w:tcPr>
          <w:p w14:paraId="1DE2489B" w14:textId="77777777" w:rsidR="00124120" w:rsidRPr="00124120" w:rsidRDefault="00124120" w:rsidP="00234CBE">
            <w:pPr>
              <w:spacing w:line="276" w:lineRule="auto"/>
              <w:jc w:val="right"/>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Tribunal de Familia</w:t>
            </w:r>
          </w:p>
        </w:tc>
        <w:tc>
          <w:tcPr>
            <w:tcW w:w="875" w:type="dxa"/>
            <w:tcBorders>
              <w:top w:val="nil"/>
              <w:left w:val="nil"/>
              <w:bottom w:val="single" w:sz="4" w:space="0" w:color="auto"/>
              <w:right w:val="single" w:sz="4" w:space="0" w:color="auto"/>
            </w:tcBorders>
            <w:shd w:val="clear" w:color="auto" w:fill="auto"/>
            <w:noWrap/>
            <w:vAlign w:val="center"/>
            <w:hideMark/>
          </w:tcPr>
          <w:p w14:paraId="0D081C62"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378</w:t>
            </w:r>
          </w:p>
        </w:tc>
        <w:tc>
          <w:tcPr>
            <w:tcW w:w="875" w:type="dxa"/>
            <w:tcBorders>
              <w:top w:val="nil"/>
              <w:left w:val="nil"/>
              <w:bottom w:val="single" w:sz="4" w:space="0" w:color="auto"/>
              <w:right w:val="single" w:sz="4" w:space="0" w:color="auto"/>
            </w:tcBorders>
            <w:shd w:val="clear" w:color="auto" w:fill="auto"/>
            <w:noWrap/>
            <w:vAlign w:val="center"/>
            <w:hideMark/>
          </w:tcPr>
          <w:p w14:paraId="0B358650"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291</w:t>
            </w:r>
          </w:p>
        </w:tc>
        <w:tc>
          <w:tcPr>
            <w:tcW w:w="846" w:type="dxa"/>
            <w:tcBorders>
              <w:top w:val="nil"/>
              <w:left w:val="nil"/>
              <w:bottom w:val="single" w:sz="4" w:space="0" w:color="auto"/>
              <w:right w:val="single" w:sz="4" w:space="0" w:color="auto"/>
            </w:tcBorders>
            <w:shd w:val="clear" w:color="auto" w:fill="auto"/>
            <w:noWrap/>
            <w:vAlign w:val="center"/>
            <w:hideMark/>
          </w:tcPr>
          <w:p w14:paraId="1F6E7312"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410</w:t>
            </w:r>
          </w:p>
        </w:tc>
        <w:tc>
          <w:tcPr>
            <w:tcW w:w="1796" w:type="dxa"/>
            <w:tcBorders>
              <w:top w:val="nil"/>
              <w:left w:val="nil"/>
              <w:bottom w:val="single" w:sz="4" w:space="0" w:color="auto"/>
              <w:right w:val="single" w:sz="4" w:space="0" w:color="auto"/>
            </w:tcBorders>
            <w:shd w:val="clear" w:color="auto" w:fill="auto"/>
            <w:noWrap/>
            <w:vAlign w:val="center"/>
            <w:hideMark/>
          </w:tcPr>
          <w:p w14:paraId="6B41425E"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8,47%</w:t>
            </w:r>
          </w:p>
        </w:tc>
        <w:tc>
          <w:tcPr>
            <w:tcW w:w="1796" w:type="dxa"/>
            <w:tcBorders>
              <w:top w:val="nil"/>
              <w:left w:val="nil"/>
              <w:bottom w:val="single" w:sz="4" w:space="0" w:color="auto"/>
              <w:right w:val="single" w:sz="4" w:space="0" w:color="auto"/>
            </w:tcBorders>
            <w:shd w:val="clear" w:color="auto" w:fill="auto"/>
            <w:noWrap/>
            <w:vAlign w:val="center"/>
            <w:hideMark/>
          </w:tcPr>
          <w:p w14:paraId="419BFF44"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40,89%</w:t>
            </w:r>
          </w:p>
        </w:tc>
        <w:tc>
          <w:tcPr>
            <w:tcW w:w="146" w:type="dxa"/>
            <w:vAlign w:val="center"/>
            <w:hideMark/>
          </w:tcPr>
          <w:p w14:paraId="189CBBEE" w14:textId="77777777" w:rsidR="00124120" w:rsidRPr="00124120" w:rsidRDefault="00124120" w:rsidP="00234CBE">
            <w:pPr>
              <w:spacing w:line="276" w:lineRule="auto"/>
              <w:rPr>
                <w:rFonts w:ascii="Times New Roman" w:hAnsi="Times New Roman"/>
                <w:sz w:val="20"/>
                <w:szCs w:val="20"/>
                <w:lang w:eastAsia="es-CR"/>
              </w:rPr>
            </w:pPr>
          </w:p>
        </w:tc>
      </w:tr>
      <w:tr w:rsidR="00124120" w:rsidRPr="00124120" w14:paraId="2EBBF4D4" w14:textId="77777777" w:rsidTr="00124120">
        <w:trPr>
          <w:trHeight w:val="267"/>
          <w:jc w:val="center"/>
        </w:trPr>
        <w:tc>
          <w:tcPr>
            <w:tcW w:w="3217" w:type="dxa"/>
            <w:tcBorders>
              <w:top w:val="nil"/>
              <w:left w:val="single" w:sz="4" w:space="0" w:color="auto"/>
              <w:bottom w:val="single" w:sz="4" w:space="0" w:color="auto"/>
              <w:right w:val="single" w:sz="4" w:space="0" w:color="auto"/>
            </w:tcBorders>
            <w:shd w:val="clear" w:color="auto" w:fill="auto"/>
            <w:noWrap/>
            <w:vAlign w:val="center"/>
            <w:hideMark/>
          </w:tcPr>
          <w:p w14:paraId="3B7CD905" w14:textId="77777777" w:rsidR="00124120" w:rsidRPr="00124120" w:rsidRDefault="00124120" w:rsidP="00234CBE">
            <w:pPr>
              <w:spacing w:line="276" w:lineRule="auto"/>
              <w:jc w:val="right"/>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Tribunal Apelación (1120)</w:t>
            </w:r>
          </w:p>
        </w:tc>
        <w:tc>
          <w:tcPr>
            <w:tcW w:w="875" w:type="dxa"/>
            <w:tcBorders>
              <w:top w:val="nil"/>
              <w:left w:val="nil"/>
              <w:bottom w:val="single" w:sz="4" w:space="0" w:color="auto"/>
              <w:right w:val="single" w:sz="4" w:space="0" w:color="auto"/>
            </w:tcBorders>
            <w:shd w:val="clear" w:color="auto" w:fill="auto"/>
            <w:noWrap/>
            <w:vAlign w:val="center"/>
            <w:hideMark/>
          </w:tcPr>
          <w:p w14:paraId="3F9E5E3F"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253</w:t>
            </w:r>
          </w:p>
        </w:tc>
        <w:tc>
          <w:tcPr>
            <w:tcW w:w="875" w:type="dxa"/>
            <w:tcBorders>
              <w:top w:val="nil"/>
              <w:left w:val="nil"/>
              <w:bottom w:val="single" w:sz="4" w:space="0" w:color="auto"/>
              <w:right w:val="single" w:sz="4" w:space="0" w:color="auto"/>
            </w:tcBorders>
            <w:shd w:val="clear" w:color="auto" w:fill="auto"/>
            <w:noWrap/>
            <w:vAlign w:val="center"/>
            <w:hideMark/>
          </w:tcPr>
          <w:p w14:paraId="39927107"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173</w:t>
            </w:r>
          </w:p>
        </w:tc>
        <w:tc>
          <w:tcPr>
            <w:tcW w:w="846" w:type="dxa"/>
            <w:tcBorders>
              <w:top w:val="nil"/>
              <w:left w:val="nil"/>
              <w:bottom w:val="single" w:sz="4" w:space="0" w:color="auto"/>
              <w:right w:val="single" w:sz="4" w:space="0" w:color="auto"/>
            </w:tcBorders>
            <w:shd w:val="clear" w:color="auto" w:fill="auto"/>
            <w:noWrap/>
            <w:vAlign w:val="center"/>
            <w:hideMark/>
          </w:tcPr>
          <w:p w14:paraId="4206E0BA"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117</w:t>
            </w:r>
          </w:p>
        </w:tc>
        <w:tc>
          <w:tcPr>
            <w:tcW w:w="1796" w:type="dxa"/>
            <w:tcBorders>
              <w:top w:val="nil"/>
              <w:left w:val="nil"/>
              <w:bottom w:val="single" w:sz="4" w:space="0" w:color="auto"/>
              <w:right w:val="single" w:sz="4" w:space="0" w:color="auto"/>
            </w:tcBorders>
            <w:shd w:val="clear" w:color="auto" w:fill="auto"/>
            <w:noWrap/>
            <w:vAlign w:val="center"/>
            <w:hideMark/>
          </w:tcPr>
          <w:p w14:paraId="1CE8087A"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-53,75%</w:t>
            </w:r>
          </w:p>
        </w:tc>
        <w:tc>
          <w:tcPr>
            <w:tcW w:w="1796" w:type="dxa"/>
            <w:tcBorders>
              <w:top w:val="nil"/>
              <w:left w:val="nil"/>
              <w:bottom w:val="single" w:sz="4" w:space="0" w:color="auto"/>
              <w:right w:val="single" w:sz="4" w:space="0" w:color="auto"/>
            </w:tcBorders>
            <w:shd w:val="clear" w:color="auto" w:fill="auto"/>
            <w:noWrap/>
            <w:vAlign w:val="center"/>
            <w:hideMark/>
          </w:tcPr>
          <w:p w14:paraId="0C9A000C"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-32,37%</w:t>
            </w:r>
          </w:p>
        </w:tc>
        <w:tc>
          <w:tcPr>
            <w:tcW w:w="146" w:type="dxa"/>
            <w:vAlign w:val="center"/>
            <w:hideMark/>
          </w:tcPr>
          <w:p w14:paraId="0B008A07" w14:textId="77777777" w:rsidR="00124120" w:rsidRPr="00124120" w:rsidRDefault="00124120" w:rsidP="00234CBE">
            <w:pPr>
              <w:spacing w:line="276" w:lineRule="auto"/>
              <w:rPr>
                <w:rFonts w:ascii="Times New Roman" w:hAnsi="Times New Roman"/>
                <w:sz w:val="20"/>
                <w:szCs w:val="20"/>
                <w:lang w:eastAsia="es-CR"/>
              </w:rPr>
            </w:pPr>
          </w:p>
        </w:tc>
      </w:tr>
      <w:tr w:rsidR="00124120" w:rsidRPr="00124120" w14:paraId="6ABA70E5" w14:textId="77777777" w:rsidTr="00124120">
        <w:trPr>
          <w:trHeight w:val="267"/>
          <w:jc w:val="center"/>
        </w:trPr>
        <w:tc>
          <w:tcPr>
            <w:tcW w:w="3217" w:type="dxa"/>
            <w:tcBorders>
              <w:top w:val="nil"/>
              <w:left w:val="single" w:sz="4" w:space="0" w:color="auto"/>
              <w:bottom w:val="single" w:sz="4" w:space="0" w:color="auto"/>
              <w:right w:val="single" w:sz="4" w:space="0" w:color="auto"/>
            </w:tcBorders>
            <w:shd w:val="clear" w:color="auto" w:fill="auto"/>
            <w:noWrap/>
            <w:vAlign w:val="center"/>
            <w:hideMark/>
          </w:tcPr>
          <w:p w14:paraId="7BAC2B06" w14:textId="77777777" w:rsidR="00124120" w:rsidRPr="00124120" w:rsidRDefault="00124120" w:rsidP="00234CBE">
            <w:pPr>
              <w:spacing w:line="276" w:lineRule="auto"/>
              <w:jc w:val="right"/>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Tribunal Contencioso (0161)</w:t>
            </w:r>
          </w:p>
        </w:tc>
        <w:tc>
          <w:tcPr>
            <w:tcW w:w="875" w:type="dxa"/>
            <w:tcBorders>
              <w:top w:val="nil"/>
              <w:left w:val="nil"/>
              <w:bottom w:val="single" w:sz="4" w:space="0" w:color="auto"/>
              <w:right w:val="single" w:sz="4" w:space="0" w:color="auto"/>
            </w:tcBorders>
            <w:shd w:val="clear" w:color="auto" w:fill="auto"/>
            <w:noWrap/>
            <w:vAlign w:val="center"/>
            <w:hideMark/>
          </w:tcPr>
          <w:p w14:paraId="16FB865C"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7</w:t>
            </w:r>
          </w:p>
        </w:tc>
        <w:tc>
          <w:tcPr>
            <w:tcW w:w="875" w:type="dxa"/>
            <w:tcBorders>
              <w:top w:val="nil"/>
              <w:left w:val="nil"/>
              <w:bottom w:val="single" w:sz="4" w:space="0" w:color="auto"/>
              <w:right w:val="single" w:sz="4" w:space="0" w:color="auto"/>
            </w:tcBorders>
            <w:shd w:val="clear" w:color="auto" w:fill="auto"/>
            <w:noWrap/>
            <w:vAlign w:val="center"/>
            <w:hideMark/>
          </w:tcPr>
          <w:p w14:paraId="4A5E3098"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6</w:t>
            </w:r>
          </w:p>
        </w:tc>
        <w:tc>
          <w:tcPr>
            <w:tcW w:w="846" w:type="dxa"/>
            <w:tcBorders>
              <w:top w:val="nil"/>
              <w:left w:val="nil"/>
              <w:bottom w:val="single" w:sz="4" w:space="0" w:color="auto"/>
              <w:right w:val="single" w:sz="4" w:space="0" w:color="auto"/>
            </w:tcBorders>
            <w:shd w:val="clear" w:color="auto" w:fill="auto"/>
            <w:noWrap/>
            <w:vAlign w:val="center"/>
            <w:hideMark/>
          </w:tcPr>
          <w:p w14:paraId="1A7B0166"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7</w:t>
            </w:r>
          </w:p>
        </w:tc>
        <w:tc>
          <w:tcPr>
            <w:tcW w:w="1796" w:type="dxa"/>
            <w:tcBorders>
              <w:top w:val="nil"/>
              <w:left w:val="nil"/>
              <w:bottom w:val="single" w:sz="4" w:space="0" w:color="auto"/>
              <w:right w:val="single" w:sz="4" w:space="0" w:color="auto"/>
            </w:tcBorders>
            <w:shd w:val="clear" w:color="auto" w:fill="auto"/>
            <w:noWrap/>
            <w:vAlign w:val="center"/>
            <w:hideMark/>
          </w:tcPr>
          <w:p w14:paraId="7BF17926"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0,00%</w:t>
            </w:r>
          </w:p>
        </w:tc>
        <w:tc>
          <w:tcPr>
            <w:tcW w:w="1796" w:type="dxa"/>
            <w:tcBorders>
              <w:top w:val="nil"/>
              <w:left w:val="nil"/>
              <w:bottom w:val="single" w:sz="4" w:space="0" w:color="auto"/>
              <w:right w:val="single" w:sz="4" w:space="0" w:color="auto"/>
            </w:tcBorders>
            <w:shd w:val="clear" w:color="auto" w:fill="auto"/>
            <w:noWrap/>
            <w:vAlign w:val="center"/>
            <w:hideMark/>
          </w:tcPr>
          <w:p w14:paraId="79C19180"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16,67%</w:t>
            </w:r>
          </w:p>
        </w:tc>
        <w:tc>
          <w:tcPr>
            <w:tcW w:w="146" w:type="dxa"/>
            <w:vAlign w:val="center"/>
            <w:hideMark/>
          </w:tcPr>
          <w:p w14:paraId="11F7CE85" w14:textId="77777777" w:rsidR="00124120" w:rsidRPr="00124120" w:rsidRDefault="00124120" w:rsidP="00234CBE">
            <w:pPr>
              <w:spacing w:line="276" w:lineRule="auto"/>
              <w:rPr>
                <w:rFonts w:ascii="Times New Roman" w:hAnsi="Times New Roman"/>
                <w:sz w:val="20"/>
                <w:szCs w:val="20"/>
                <w:lang w:eastAsia="es-CR"/>
              </w:rPr>
            </w:pPr>
          </w:p>
        </w:tc>
      </w:tr>
      <w:tr w:rsidR="00124120" w:rsidRPr="00124120" w14:paraId="5017FBF1" w14:textId="77777777" w:rsidTr="00124120">
        <w:trPr>
          <w:trHeight w:val="267"/>
          <w:jc w:val="center"/>
        </w:trPr>
        <w:tc>
          <w:tcPr>
            <w:tcW w:w="3217" w:type="dxa"/>
            <w:tcBorders>
              <w:top w:val="nil"/>
              <w:left w:val="single" w:sz="4" w:space="0" w:color="auto"/>
              <w:bottom w:val="single" w:sz="4" w:space="0" w:color="auto"/>
              <w:right w:val="single" w:sz="4" w:space="0" w:color="auto"/>
            </w:tcBorders>
            <w:shd w:val="clear" w:color="auto" w:fill="auto"/>
            <w:noWrap/>
            <w:vAlign w:val="center"/>
            <w:hideMark/>
          </w:tcPr>
          <w:p w14:paraId="0D8A0452" w14:textId="77777777" w:rsidR="00124120" w:rsidRPr="00124120" w:rsidRDefault="00124120" w:rsidP="00234CBE">
            <w:pPr>
              <w:spacing w:line="276" w:lineRule="auto"/>
              <w:jc w:val="right"/>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Tribunal Notarial</w:t>
            </w:r>
          </w:p>
        </w:tc>
        <w:tc>
          <w:tcPr>
            <w:tcW w:w="875" w:type="dxa"/>
            <w:tcBorders>
              <w:top w:val="nil"/>
              <w:left w:val="nil"/>
              <w:bottom w:val="single" w:sz="4" w:space="0" w:color="auto"/>
              <w:right w:val="single" w:sz="4" w:space="0" w:color="auto"/>
            </w:tcBorders>
            <w:shd w:val="clear" w:color="auto" w:fill="auto"/>
            <w:noWrap/>
            <w:vAlign w:val="center"/>
            <w:hideMark/>
          </w:tcPr>
          <w:p w14:paraId="02D46C53"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127</w:t>
            </w:r>
          </w:p>
        </w:tc>
        <w:tc>
          <w:tcPr>
            <w:tcW w:w="875" w:type="dxa"/>
            <w:tcBorders>
              <w:top w:val="nil"/>
              <w:left w:val="nil"/>
              <w:bottom w:val="single" w:sz="4" w:space="0" w:color="auto"/>
              <w:right w:val="single" w:sz="4" w:space="0" w:color="auto"/>
            </w:tcBorders>
            <w:shd w:val="clear" w:color="auto" w:fill="auto"/>
            <w:noWrap/>
            <w:vAlign w:val="center"/>
            <w:hideMark/>
          </w:tcPr>
          <w:p w14:paraId="2A4C57EA"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76</w:t>
            </w:r>
          </w:p>
        </w:tc>
        <w:tc>
          <w:tcPr>
            <w:tcW w:w="846" w:type="dxa"/>
            <w:tcBorders>
              <w:top w:val="nil"/>
              <w:left w:val="nil"/>
              <w:bottom w:val="single" w:sz="4" w:space="0" w:color="auto"/>
              <w:right w:val="single" w:sz="4" w:space="0" w:color="auto"/>
            </w:tcBorders>
            <w:shd w:val="clear" w:color="auto" w:fill="auto"/>
            <w:noWrap/>
            <w:vAlign w:val="center"/>
            <w:hideMark/>
          </w:tcPr>
          <w:p w14:paraId="4DD5627C"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124</w:t>
            </w:r>
          </w:p>
        </w:tc>
        <w:tc>
          <w:tcPr>
            <w:tcW w:w="1796" w:type="dxa"/>
            <w:tcBorders>
              <w:top w:val="nil"/>
              <w:left w:val="nil"/>
              <w:bottom w:val="single" w:sz="4" w:space="0" w:color="auto"/>
              <w:right w:val="single" w:sz="4" w:space="0" w:color="auto"/>
            </w:tcBorders>
            <w:shd w:val="clear" w:color="auto" w:fill="auto"/>
            <w:noWrap/>
            <w:vAlign w:val="center"/>
            <w:hideMark/>
          </w:tcPr>
          <w:p w14:paraId="0E2FFB8D"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-2,36%</w:t>
            </w:r>
          </w:p>
        </w:tc>
        <w:tc>
          <w:tcPr>
            <w:tcW w:w="1796" w:type="dxa"/>
            <w:tcBorders>
              <w:top w:val="nil"/>
              <w:left w:val="nil"/>
              <w:bottom w:val="single" w:sz="4" w:space="0" w:color="auto"/>
              <w:right w:val="single" w:sz="4" w:space="0" w:color="auto"/>
            </w:tcBorders>
            <w:shd w:val="clear" w:color="auto" w:fill="auto"/>
            <w:noWrap/>
            <w:vAlign w:val="center"/>
            <w:hideMark/>
          </w:tcPr>
          <w:p w14:paraId="61D21528"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63,16%</w:t>
            </w:r>
          </w:p>
        </w:tc>
        <w:tc>
          <w:tcPr>
            <w:tcW w:w="146" w:type="dxa"/>
            <w:vAlign w:val="center"/>
            <w:hideMark/>
          </w:tcPr>
          <w:p w14:paraId="53827D91" w14:textId="77777777" w:rsidR="00124120" w:rsidRPr="00124120" w:rsidRDefault="00124120" w:rsidP="00234CBE">
            <w:pPr>
              <w:spacing w:line="276" w:lineRule="auto"/>
              <w:rPr>
                <w:rFonts w:ascii="Times New Roman" w:hAnsi="Times New Roman"/>
                <w:sz w:val="20"/>
                <w:szCs w:val="20"/>
                <w:lang w:eastAsia="es-CR"/>
              </w:rPr>
            </w:pPr>
          </w:p>
        </w:tc>
      </w:tr>
      <w:tr w:rsidR="00124120" w:rsidRPr="00124120" w14:paraId="68BEB71E" w14:textId="77777777" w:rsidTr="00124120">
        <w:trPr>
          <w:trHeight w:val="267"/>
          <w:jc w:val="center"/>
        </w:trPr>
        <w:tc>
          <w:tcPr>
            <w:tcW w:w="3217" w:type="dxa"/>
            <w:tcBorders>
              <w:top w:val="nil"/>
              <w:left w:val="single" w:sz="4" w:space="0" w:color="auto"/>
              <w:bottom w:val="single" w:sz="4" w:space="0" w:color="auto"/>
              <w:right w:val="single" w:sz="4" w:space="0" w:color="auto"/>
            </w:tcBorders>
            <w:shd w:val="clear" w:color="auto" w:fill="auto"/>
            <w:noWrap/>
            <w:vAlign w:val="center"/>
            <w:hideMark/>
          </w:tcPr>
          <w:p w14:paraId="43292557" w14:textId="77777777" w:rsidR="00124120" w:rsidRPr="00124120" w:rsidRDefault="00124120" w:rsidP="00234CBE">
            <w:pPr>
              <w:spacing w:line="276" w:lineRule="auto"/>
              <w:jc w:val="right"/>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Inspección Judicial</w:t>
            </w:r>
          </w:p>
        </w:tc>
        <w:tc>
          <w:tcPr>
            <w:tcW w:w="875" w:type="dxa"/>
            <w:tcBorders>
              <w:top w:val="nil"/>
              <w:left w:val="nil"/>
              <w:bottom w:val="single" w:sz="4" w:space="0" w:color="auto"/>
              <w:right w:val="single" w:sz="4" w:space="0" w:color="auto"/>
            </w:tcBorders>
            <w:shd w:val="clear" w:color="auto" w:fill="auto"/>
            <w:noWrap/>
            <w:vAlign w:val="center"/>
            <w:hideMark/>
          </w:tcPr>
          <w:p w14:paraId="1C8A5DD0"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1604</w:t>
            </w:r>
          </w:p>
        </w:tc>
        <w:tc>
          <w:tcPr>
            <w:tcW w:w="875" w:type="dxa"/>
            <w:tcBorders>
              <w:top w:val="nil"/>
              <w:left w:val="nil"/>
              <w:bottom w:val="single" w:sz="4" w:space="0" w:color="auto"/>
              <w:right w:val="single" w:sz="4" w:space="0" w:color="auto"/>
            </w:tcBorders>
            <w:shd w:val="clear" w:color="auto" w:fill="auto"/>
            <w:noWrap/>
            <w:vAlign w:val="center"/>
            <w:hideMark/>
          </w:tcPr>
          <w:p w14:paraId="033DBAED"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1502</w:t>
            </w:r>
          </w:p>
        </w:tc>
        <w:tc>
          <w:tcPr>
            <w:tcW w:w="846" w:type="dxa"/>
            <w:tcBorders>
              <w:top w:val="nil"/>
              <w:left w:val="nil"/>
              <w:bottom w:val="single" w:sz="4" w:space="0" w:color="auto"/>
              <w:right w:val="single" w:sz="4" w:space="0" w:color="auto"/>
            </w:tcBorders>
            <w:shd w:val="clear" w:color="auto" w:fill="auto"/>
            <w:noWrap/>
            <w:vAlign w:val="center"/>
            <w:hideMark/>
          </w:tcPr>
          <w:p w14:paraId="7238B8B6"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1619</w:t>
            </w:r>
          </w:p>
        </w:tc>
        <w:tc>
          <w:tcPr>
            <w:tcW w:w="1796" w:type="dxa"/>
            <w:tcBorders>
              <w:top w:val="nil"/>
              <w:left w:val="nil"/>
              <w:bottom w:val="single" w:sz="4" w:space="0" w:color="auto"/>
              <w:right w:val="single" w:sz="4" w:space="0" w:color="auto"/>
            </w:tcBorders>
            <w:shd w:val="clear" w:color="auto" w:fill="auto"/>
            <w:noWrap/>
            <w:vAlign w:val="center"/>
            <w:hideMark/>
          </w:tcPr>
          <w:p w14:paraId="05131B2E"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0,94%</w:t>
            </w:r>
          </w:p>
        </w:tc>
        <w:tc>
          <w:tcPr>
            <w:tcW w:w="1796" w:type="dxa"/>
            <w:tcBorders>
              <w:top w:val="nil"/>
              <w:left w:val="nil"/>
              <w:bottom w:val="single" w:sz="4" w:space="0" w:color="auto"/>
              <w:right w:val="single" w:sz="4" w:space="0" w:color="auto"/>
            </w:tcBorders>
            <w:shd w:val="clear" w:color="auto" w:fill="auto"/>
            <w:noWrap/>
            <w:vAlign w:val="center"/>
            <w:hideMark/>
          </w:tcPr>
          <w:p w14:paraId="49065DE5"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7,79%</w:t>
            </w:r>
          </w:p>
        </w:tc>
        <w:tc>
          <w:tcPr>
            <w:tcW w:w="146" w:type="dxa"/>
            <w:vAlign w:val="center"/>
            <w:hideMark/>
          </w:tcPr>
          <w:p w14:paraId="144CFE26" w14:textId="77777777" w:rsidR="00124120" w:rsidRPr="00124120" w:rsidRDefault="00124120" w:rsidP="00234CBE">
            <w:pPr>
              <w:spacing w:line="276" w:lineRule="auto"/>
              <w:rPr>
                <w:rFonts w:ascii="Times New Roman" w:hAnsi="Times New Roman"/>
                <w:sz w:val="20"/>
                <w:szCs w:val="20"/>
                <w:lang w:eastAsia="es-CR"/>
              </w:rPr>
            </w:pPr>
          </w:p>
        </w:tc>
      </w:tr>
      <w:tr w:rsidR="00124120" w:rsidRPr="00124120" w14:paraId="4AD5F413" w14:textId="77777777" w:rsidTr="00124120">
        <w:trPr>
          <w:trHeight w:val="267"/>
          <w:jc w:val="center"/>
        </w:trPr>
        <w:tc>
          <w:tcPr>
            <w:tcW w:w="3217" w:type="dxa"/>
            <w:tcBorders>
              <w:top w:val="nil"/>
              <w:left w:val="single" w:sz="4" w:space="0" w:color="auto"/>
              <w:bottom w:val="single" w:sz="4" w:space="0" w:color="auto"/>
              <w:right w:val="single" w:sz="4" w:space="0" w:color="auto"/>
            </w:tcBorders>
            <w:shd w:val="clear" w:color="auto" w:fill="auto"/>
            <w:noWrap/>
            <w:vAlign w:val="center"/>
            <w:hideMark/>
          </w:tcPr>
          <w:p w14:paraId="7783E664" w14:textId="77777777" w:rsidR="00124120" w:rsidRPr="00124120" w:rsidRDefault="00124120" w:rsidP="00234CBE">
            <w:pPr>
              <w:spacing w:line="276" w:lineRule="auto"/>
              <w:jc w:val="right"/>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Inspección Fiscal</w:t>
            </w:r>
          </w:p>
        </w:tc>
        <w:tc>
          <w:tcPr>
            <w:tcW w:w="875" w:type="dxa"/>
            <w:tcBorders>
              <w:top w:val="nil"/>
              <w:left w:val="nil"/>
              <w:bottom w:val="single" w:sz="4" w:space="0" w:color="auto"/>
              <w:right w:val="single" w:sz="4" w:space="0" w:color="auto"/>
            </w:tcBorders>
            <w:shd w:val="clear" w:color="auto" w:fill="auto"/>
            <w:noWrap/>
            <w:vAlign w:val="center"/>
            <w:hideMark/>
          </w:tcPr>
          <w:p w14:paraId="1A2A8B22"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176</w:t>
            </w:r>
          </w:p>
        </w:tc>
        <w:tc>
          <w:tcPr>
            <w:tcW w:w="875" w:type="dxa"/>
            <w:tcBorders>
              <w:top w:val="nil"/>
              <w:left w:val="nil"/>
              <w:bottom w:val="single" w:sz="4" w:space="0" w:color="auto"/>
              <w:right w:val="single" w:sz="4" w:space="0" w:color="auto"/>
            </w:tcBorders>
            <w:shd w:val="clear" w:color="auto" w:fill="auto"/>
            <w:noWrap/>
            <w:vAlign w:val="center"/>
            <w:hideMark/>
          </w:tcPr>
          <w:p w14:paraId="6D28541E"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159</w:t>
            </w:r>
          </w:p>
        </w:tc>
        <w:tc>
          <w:tcPr>
            <w:tcW w:w="846" w:type="dxa"/>
            <w:tcBorders>
              <w:top w:val="nil"/>
              <w:left w:val="nil"/>
              <w:bottom w:val="single" w:sz="4" w:space="0" w:color="auto"/>
              <w:right w:val="single" w:sz="4" w:space="0" w:color="auto"/>
            </w:tcBorders>
            <w:shd w:val="clear" w:color="auto" w:fill="auto"/>
            <w:noWrap/>
            <w:vAlign w:val="center"/>
            <w:hideMark/>
          </w:tcPr>
          <w:p w14:paraId="3F2FE8A7"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184</w:t>
            </w:r>
          </w:p>
        </w:tc>
        <w:tc>
          <w:tcPr>
            <w:tcW w:w="1796" w:type="dxa"/>
            <w:tcBorders>
              <w:top w:val="nil"/>
              <w:left w:val="nil"/>
              <w:bottom w:val="single" w:sz="4" w:space="0" w:color="auto"/>
              <w:right w:val="single" w:sz="4" w:space="0" w:color="auto"/>
            </w:tcBorders>
            <w:shd w:val="clear" w:color="auto" w:fill="auto"/>
            <w:noWrap/>
            <w:vAlign w:val="center"/>
            <w:hideMark/>
          </w:tcPr>
          <w:p w14:paraId="2BFD1BEC"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4,55%</w:t>
            </w:r>
          </w:p>
        </w:tc>
        <w:tc>
          <w:tcPr>
            <w:tcW w:w="1796" w:type="dxa"/>
            <w:tcBorders>
              <w:top w:val="nil"/>
              <w:left w:val="nil"/>
              <w:bottom w:val="single" w:sz="4" w:space="0" w:color="auto"/>
              <w:right w:val="single" w:sz="4" w:space="0" w:color="auto"/>
            </w:tcBorders>
            <w:shd w:val="clear" w:color="auto" w:fill="auto"/>
            <w:noWrap/>
            <w:vAlign w:val="center"/>
            <w:hideMark/>
          </w:tcPr>
          <w:p w14:paraId="2824EAA0"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15,72%</w:t>
            </w:r>
          </w:p>
        </w:tc>
        <w:tc>
          <w:tcPr>
            <w:tcW w:w="146" w:type="dxa"/>
            <w:vAlign w:val="center"/>
            <w:hideMark/>
          </w:tcPr>
          <w:p w14:paraId="2B49D750" w14:textId="77777777" w:rsidR="00124120" w:rsidRPr="00124120" w:rsidRDefault="00124120" w:rsidP="00234CBE">
            <w:pPr>
              <w:spacing w:line="276" w:lineRule="auto"/>
              <w:rPr>
                <w:rFonts w:ascii="Times New Roman" w:hAnsi="Times New Roman"/>
                <w:sz w:val="20"/>
                <w:szCs w:val="20"/>
                <w:lang w:eastAsia="es-CR"/>
              </w:rPr>
            </w:pPr>
          </w:p>
        </w:tc>
      </w:tr>
      <w:tr w:rsidR="00124120" w:rsidRPr="00124120" w14:paraId="5787D6D7" w14:textId="77777777" w:rsidTr="00124120">
        <w:trPr>
          <w:trHeight w:val="267"/>
          <w:jc w:val="center"/>
        </w:trPr>
        <w:tc>
          <w:tcPr>
            <w:tcW w:w="3217" w:type="dxa"/>
            <w:tcBorders>
              <w:top w:val="nil"/>
              <w:left w:val="single" w:sz="4" w:space="0" w:color="auto"/>
              <w:bottom w:val="single" w:sz="4" w:space="0" w:color="auto"/>
              <w:right w:val="single" w:sz="4" w:space="0" w:color="auto"/>
            </w:tcBorders>
            <w:shd w:val="clear" w:color="auto" w:fill="auto"/>
            <w:noWrap/>
            <w:vAlign w:val="center"/>
            <w:hideMark/>
          </w:tcPr>
          <w:p w14:paraId="0D0158D8" w14:textId="77777777" w:rsidR="00124120" w:rsidRPr="00124120" w:rsidRDefault="00124120" w:rsidP="00234CBE">
            <w:pPr>
              <w:spacing w:line="276" w:lineRule="auto"/>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 </w:t>
            </w:r>
          </w:p>
        </w:tc>
        <w:tc>
          <w:tcPr>
            <w:tcW w:w="875" w:type="dxa"/>
            <w:tcBorders>
              <w:top w:val="nil"/>
              <w:left w:val="nil"/>
              <w:bottom w:val="single" w:sz="4" w:space="0" w:color="auto"/>
              <w:right w:val="single" w:sz="4" w:space="0" w:color="auto"/>
            </w:tcBorders>
            <w:shd w:val="clear" w:color="auto" w:fill="auto"/>
            <w:noWrap/>
            <w:vAlign w:val="bottom"/>
            <w:hideMark/>
          </w:tcPr>
          <w:p w14:paraId="07BA0514" w14:textId="77777777" w:rsidR="00124120" w:rsidRPr="00124120" w:rsidRDefault="00124120" w:rsidP="00234CBE">
            <w:pPr>
              <w:spacing w:line="276" w:lineRule="auto"/>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 </w:t>
            </w:r>
          </w:p>
        </w:tc>
        <w:tc>
          <w:tcPr>
            <w:tcW w:w="875" w:type="dxa"/>
            <w:tcBorders>
              <w:top w:val="nil"/>
              <w:left w:val="nil"/>
              <w:bottom w:val="single" w:sz="4" w:space="0" w:color="auto"/>
              <w:right w:val="single" w:sz="4" w:space="0" w:color="auto"/>
            </w:tcBorders>
            <w:shd w:val="clear" w:color="auto" w:fill="auto"/>
            <w:noWrap/>
            <w:vAlign w:val="bottom"/>
            <w:hideMark/>
          </w:tcPr>
          <w:p w14:paraId="066182FF" w14:textId="77777777" w:rsidR="00124120" w:rsidRPr="00124120" w:rsidRDefault="00124120" w:rsidP="00234CBE">
            <w:pPr>
              <w:spacing w:line="276" w:lineRule="auto"/>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 </w:t>
            </w:r>
          </w:p>
        </w:tc>
        <w:tc>
          <w:tcPr>
            <w:tcW w:w="846" w:type="dxa"/>
            <w:tcBorders>
              <w:top w:val="nil"/>
              <w:left w:val="nil"/>
              <w:bottom w:val="single" w:sz="4" w:space="0" w:color="auto"/>
              <w:right w:val="single" w:sz="4" w:space="0" w:color="auto"/>
            </w:tcBorders>
            <w:shd w:val="clear" w:color="auto" w:fill="auto"/>
            <w:noWrap/>
            <w:vAlign w:val="bottom"/>
            <w:hideMark/>
          </w:tcPr>
          <w:p w14:paraId="65EB22FD" w14:textId="77777777" w:rsidR="00124120" w:rsidRPr="00124120" w:rsidRDefault="00124120" w:rsidP="00234CBE">
            <w:pPr>
              <w:spacing w:line="276" w:lineRule="auto"/>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 </w:t>
            </w:r>
          </w:p>
        </w:tc>
        <w:tc>
          <w:tcPr>
            <w:tcW w:w="1796" w:type="dxa"/>
            <w:tcBorders>
              <w:top w:val="nil"/>
              <w:left w:val="nil"/>
              <w:bottom w:val="single" w:sz="4" w:space="0" w:color="auto"/>
              <w:right w:val="single" w:sz="4" w:space="0" w:color="auto"/>
            </w:tcBorders>
            <w:shd w:val="clear" w:color="auto" w:fill="auto"/>
            <w:noWrap/>
            <w:vAlign w:val="bottom"/>
            <w:hideMark/>
          </w:tcPr>
          <w:p w14:paraId="08AA2027" w14:textId="77777777" w:rsidR="00124120" w:rsidRPr="00124120" w:rsidRDefault="00124120" w:rsidP="00234CBE">
            <w:pPr>
              <w:spacing w:line="276" w:lineRule="auto"/>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 </w:t>
            </w:r>
          </w:p>
        </w:tc>
        <w:tc>
          <w:tcPr>
            <w:tcW w:w="1796" w:type="dxa"/>
            <w:tcBorders>
              <w:top w:val="nil"/>
              <w:left w:val="nil"/>
              <w:bottom w:val="single" w:sz="4" w:space="0" w:color="auto"/>
              <w:right w:val="single" w:sz="4" w:space="0" w:color="auto"/>
            </w:tcBorders>
            <w:shd w:val="clear" w:color="auto" w:fill="auto"/>
            <w:noWrap/>
            <w:vAlign w:val="center"/>
            <w:hideMark/>
          </w:tcPr>
          <w:p w14:paraId="01A01C4A"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 </w:t>
            </w:r>
          </w:p>
        </w:tc>
        <w:tc>
          <w:tcPr>
            <w:tcW w:w="146" w:type="dxa"/>
            <w:vAlign w:val="center"/>
            <w:hideMark/>
          </w:tcPr>
          <w:p w14:paraId="7669E51F" w14:textId="77777777" w:rsidR="00124120" w:rsidRPr="00124120" w:rsidRDefault="00124120" w:rsidP="00234CBE">
            <w:pPr>
              <w:spacing w:line="276" w:lineRule="auto"/>
              <w:rPr>
                <w:rFonts w:ascii="Times New Roman" w:hAnsi="Times New Roman"/>
                <w:sz w:val="20"/>
                <w:szCs w:val="20"/>
                <w:lang w:eastAsia="es-CR"/>
              </w:rPr>
            </w:pPr>
          </w:p>
        </w:tc>
      </w:tr>
      <w:tr w:rsidR="00124120" w:rsidRPr="00124120" w14:paraId="310A906A" w14:textId="77777777" w:rsidTr="00124120">
        <w:trPr>
          <w:trHeight w:val="267"/>
          <w:jc w:val="center"/>
        </w:trPr>
        <w:tc>
          <w:tcPr>
            <w:tcW w:w="3217" w:type="dxa"/>
            <w:tcBorders>
              <w:top w:val="nil"/>
              <w:left w:val="single" w:sz="4" w:space="0" w:color="auto"/>
              <w:bottom w:val="single" w:sz="4" w:space="0" w:color="auto"/>
              <w:right w:val="single" w:sz="4" w:space="0" w:color="auto"/>
            </w:tcBorders>
            <w:shd w:val="clear" w:color="auto" w:fill="auto"/>
            <w:noWrap/>
            <w:vAlign w:val="center"/>
            <w:hideMark/>
          </w:tcPr>
          <w:p w14:paraId="1149CFCC" w14:textId="77777777" w:rsidR="00124120" w:rsidRPr="00124120" w:rsidRDefault="00124120" w:rsidP="00234CBE">
            <w:pPr>
              <w:spacing w:line="276" w:lineRule="auto"/>
              <w:rPr>
                <w:rFonts w:ascii="Book Antiqua" w:hAnsi="Book Antiqua" w:cs="Calibri"/>
                <w:b/>
                <w:bCs/>
                <w:color w:val="000000"/>
                <w:sz w:val="16"/>
                <w:szCs w:val="16"/>
                <w:lang w:eastAsia="es-CR"/>
              </w:rPr>
            </w:pPr>
            <w:r w:rsidRPr="00124120">
              <w:rPr>
                <w:rFonts w:ascii="Book Antiqua" w:hAnsi="Book Antiqua" w:cs="Calibri"/>
                <w:b/>
                <w:bCs/>
                <w:color w:val="000000"/>
                <w:sz w:val="16"/>
                <w:szCs w:val="16"/>
                <w:lang w:eastAsia="es-CR"/>
              </w:rPr>
              <w:t>Penal</w:t>
            </w:r>
          </w:p>
        </w:tc>
        <w:tc>
          <w:tcPr>
            <w:tcW w:w="875" w:type="dxa"/>
            <w:tcBorders>
              <w:top w:val="nil"/>
              <w:left w:val="nil"/>
              <w:bottom w:val="single" w:sz="4" w:space="0" w:color="auto"/>
              <w:right w:val="single" w:sz="4" w:space="0" w:color="auto"/>
            </w:tcBorders>
            <w:shd w:val="clear" w:color="auto" w:fill="auto"/>
            <w:noWrap/>
            <w:vAlign w:val="center"/>
            <w:hideMark/>
          </w:tcPr>
          <w:p w14:paraId="57B588D8" w14:textId="77777777" w:rsidR="00124120" w:rsidRPr="00124120" w:rsidRDefault="00124120" w:rsidP="00234CBE">
            <w:pPr>
              <w:spacing w:line="276" w:lineRule="auto"/>
              <w:jc w:val="center"/>
              <w:rPr>
                <w:rFonts w:ascii="Book Antiqua" w:hAnsi="Book Antiqua" w:cs="Calibri"/>
                <w:b/>
                <w:bCs/>
                <w:color w:val="000000"/>
                <w:sz w:val="16"/>
                <w:szCs w:val="16"/>
                <w:u w:val="single"/>
                <w:lang w:eastAsia="es-CR"/>
              </w:rPr>
            </w:pPr>
            <w:r w:rsidRPr="00124120">
              <w:rPr>
                <w:rFonts w:ascii="Book Antiqua" w:hAnsi="Book Antiqua" w:cs="Calibri"/>
                <w:b/>
                <w:bCs/>
                <w:color w:val="000000"/>
                <w:sz w:val="16"/>
                <w:szCs w:val="16"/>
                <w:u w:val="single"/>
                <w:lang w:eastAsia="es-CR"/>
              </w:rPr>
              <w:t>74 122</w:t>
            </w:r>
          </w:p>
        </w:tc>
        <w:tc>
          <w:tcPr>
            <w:tcW w:w="875" w:type="dxa"/>
            <w:tcBorders>
              <w:top w:val="nil"/>
              <w:left w:val="nil"/>
              <w:bottom w:val="single" w:sz="4" w:space="0" w:color="auto"/>
              <w:right w:val="single" w:sz="4" w:space="0" w:color="auto"/>
            </w:tcBorders>
            <w:shd w:val="clear" w:color="auto" w:fill="auto"/>
            <w:noWrap/>
            <w:vAlign w:val="center"/>
            <w:hideMark/>
          </w:tcPr>
          <w:p w14:paraId="6A4FA819" w14:textId="77777777" w:rsidR="00124120" w:rsidRPr="00124120" w:rsidRDefault="00124120" w:rsidP="00234CBE">
            <w:pPr>
              <w:spacing w:line="276" w:lineRule="auto"/>
              <w:jc w:val="center"/>
              <w:rPr>
                <w:rFonts w:ascii="Book Antiqua" w:hAnsi="Book Antiqua" w:cs="Calibri"/>
                <w:b/>
                <w:bCs/>
                <w:color w:val="000000"/>
                <w:sz w:val="16"/>
                <w:szCs w:val="16"/>
                <w:u w:val="single"/>
                <w:lang w:eastAsia="es-CR"/>
              </w:rPr>
            </w:pPr>
            <w:r w:rsidRPr="00124120">
              <w:rPr>
                <w:rFonts w:ascii="Book Antiqua" w:hAnsi="Book Antiqua" w:cs="Calibri"/>
                <w:b/>
                <w:bCs/>
                <w:color w:val="000000"/>
                <w:sz w:val="16"/>
                <w:szCs w:val="16"/>
                <w:u w:val="single"/>
                <w:lang w:eastAsia="es-CR"/>
              </w:rPr>
              <w:t>81 010</w:t>
            </w:r>
          </w:p>
        </w:tc>
        <w:tc>
          <w:tcPr>
            <w:tcW w:w="846" w:type="dxa"/>
            <w:tcBorders>
              <w:top w:val="nil"/>
              <w:left w:val="nil"/>
              <w:bottom w:val="single" w:sz="4" w:space="0" w:color="auto"/>
              <w:right w:val="single" w:sz="4" w:space="0" w:color="auto"/>
            </w:tcBorders>
            <w:shd w:val="clear" w:color="auto" w:fill="auto"/>
            <w:noWrap/>
            <w:vAlign w:val="center"/>
            <w:hideMark/>
          </w:tcPr>
          <w:p w14:paraId="0CF0BAED" w14:textId="77777777" w:rsidR="00124120" w:rsidRPr="00124120" w:rsidRDefault="00124120" w:rsidP="00234CBE">
            <w:pPr>
              <w:spacing w:line="276" w:lineRule="auto"/>
              <w:jc w:val="center"/>
              <w:rPr>
                <w:rFonts w:ascii="Book Antiqua" w:hAnsi="Book Antiqua" w:cs="Calibri"/>
                <w:b/>
                <w:bCs/>
                <w:color w:val="000000"/>
                <w:sz w:val="16"/>
                <w:szCs w:val="16"/>
                <w:u w:val="single"/>
                <w:lang w:eastAsia="es-CR"/>
              </w:rPr>
            </w:pPr>
            <w:r w:rsidRPr="00124120">
              <w:rPr>
                <w:rFonts w:ascii="Book Antiqua" w:hAnsi="Book Antiqua" w:cs="Calibri"/>
                <w:b/>
                <w:bCs/>
                <w:color w:val="000000"/>
                <w:sz w:val="16"/>
                <w:szCs w:val="16"/>
                <w:u w:val="single"/>
                <w:lang w:eastAsia="es-CR"/>
              </w:rPr>
              <w:t>79 781</w:t>
            </w:r>
          </w:p>
        </w:tc>
        <w:tc>
          <w:tcPr>
            <w:tcW w:w="1796" w:type="dxa"/>
            <w:tcBorders>
              <w:top w:val="nil"/>
              <w:left w:val="nil"/>
              <w:bottom w:val="single" w:sz="4" w:space="0" w:color="auto"/>
              <w:right w:val="single" w:sz="4" w:space="0" w:color="auto"/>
            </w:tcBorders>
            <w:shd w:val="clear" w:color="auto" w:fill="auto"/>
            <w:noWrap/>
            <w:vAlign w:val="center"/>
            <w:hideMark/>
          </w:tcPr>
          <w:p w14:paraId="0A3FC289" w14:textId="77777777" w:rsidR="00124120" w:rsidRPr="00124120" w:rsidRDefault="00124120" w:rsidP="00234CBE">
            <w:pPr>
              <w:spacing w:line="276" w:lineRule="auto"/>
              <w:jc w:val="center"/>
              <w:rPr>
                <w:rFonts w:ascii="Book Antiqua" w:hAnsi="Book Antiqua" w:cs="Calibri"/>
                <w:b/>
                <w:bCs/>
                <w:color w:val="000000"/>
                <w:sz w:val="16"/>
                <w:szCs w:val="16"/>
                <w:u w:val="single"/>
                <w:lang w:eastAsia="es-CR"/>
              </w:rPr>
            </w:pPr>
            <w:r w:rsidRPr="00124120">
              <w:rPr>
                <w:rFonts w:ascii="Book Antiqua" w:hAnsi="Book Antiqua" w:cs="Calibri"/>
                <w:b/>
                <w:bCs/>
                <w:color w:val="000000"/>
                <w:sz w:val="16"/>
                <w:szCs w:val="16"/>
                <w:u w:val="single"/>
                <w:lang w:eastAsia="es-CR"/>
              </w:rPr>
              <w:t>7,63%</w:t>
            </w:r>
          </w:p>
        </w:tc>
        <w:tc>
          <w:tcPr>
            <w:tcW w:w="1796" w:type="dxa"/>
            <w:tcBorders>
              <w:top w:val="nil"/>
              <w:left w:val="nil"/>
              <w:bottom w:val="single" w:sz="4" w:space="0" w:color="auto"/>
              <w:right w:val="single" w:sz="4" w:space="0" w:color="auto"/>
            </w:tcBorders>
            <w:shd w:val="clear" w:color="auto" w:fill="auto"/>
            <w:noWrap/>
            <w:vAlign w:val="center"/>
            <w:hideMark/>
          </w:tcPr>
          <w:p w14:paraId="4B16AA3B" w14:textId="77777777" w:rsidR="00124120" w:rsidRPr="00124120" w:rsidRDefault="00124120" w:rsidP="00234CBE">
            <w:pPr>
              <w:spacing w:line="276" w:lineRule="auto"/>
              <w:jc w:val="center"/>
              <w:rPr>
                <w:rFonts w:ascii="Book Antiqua" w:hAnsi="Book Antiqua" w:cs="Calibri"/>
                <w:b/>
                <w:bCs/>
                <w:color w:val="000000"/>
                <w:sz w:val="16"/>
                <w:szCs w:val="16"/>
                <w:u w:val="single"/>
                <w:lang w:eastAsia="es-CR"/>
              </w:rPr>
            </w:pPr>
            <w:r w:rsidRPr="00124120">
              <w:rPr>
                <w:rFonts w:ascii="Book Antiqua" w:hAnsi="Book Antiqua" w:cs="Calibri"/>
                <w:b/>
                <w:bCs/>
                <w:color w:val="000000"/>
                <w:sz w:val="16"/>
                <w:szCs w:val="16"/>
                <w:u w:val="single"/>
                <w:lang w:eastAsia="es-CR"/>
              </w:rPr>
              <w:t>-1,52%</w:t>
            </w:r>
          </w:p>
        </w:tc>
        <w:tc>
          <w:tcPr>
            <w:tcW w:w="146" w:type="dxa"/>
            <w:vAlign w:val="center"/>
            <w:hideMark/>
          </w:tcPr>
          <w:p w14:paraId="3F8D7692" w14:textId="77777777" w:rsidR="00124120" w:rsidRPr="00124120" w:rsidRDefault="00124120" w:rsidP="00234CBE">
            <w:pPr>
              <w:spacing w:line="276" w:lineRule="auto"/>
              <w:rPr>
                <w:rFonts w:ascii="Times New Roman" w:hAnsi="Times New Roman"/>
                <w:sz w:val="20"/>
                <w:szCs w:val="20"/>
                <w:lang w:eastAsia="es-CR"/>
              </w:rPr>
            </w:pPr>
          </w:p>
        </w:tc>
      </w:tr>
      <w:tr w:rsidR="00124120" w:rsidRPr="00124120" w14:paraId="618B2A24" w14:textId="77777777" w:rsidTr="00124120">
        <w:trPr>
          <w:trHeight w:val="267"/>
          <w:jc w:val="center"/>
        </w:trPr>
        <w:tc>
          <w:tcPr>
            <w:tcW w:w="3217" w:type="dxa"/>
            <w:tcBorders>
              <w:top w:val="nil"/>
              <w:left w:val="single" w:sz="4" w:space="0" w:color="auto"/>
              <w:bottom w:val="single" w:sz="4" w:space="0" w:color="auto"/>
              <w:right w:val="single" w:sz="4" w:space="0" w:color="auto"/>
            </w:tcBorders>
            <w:shd w:val="clear" w:color="auto" w:fill="auto"/>
            <w:noWrap/>
            <w:vAlign w:val="center"/>
            <w:hideMark/>
          </w:tcPr>
          <w:p w14:paraId="7D52F005" w14:textId="77777777" w:rsidR="00124120" w:rsidRPr="00124120" w:rsidRDefault="00124120" w:rsidP="00234CBE">
            <w:pPr>
              <w:spacing w:line="276" w:lineRule="auto"/>
              <w:jc w:val="right"/>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Tribunal Penal y Flagrancias</w:t>
            </w:r>
          </w:p>
        </w:tc>
        <w:tc>
          <w:tcPr>
            <w:tcW w:w="875" w:type="dxa"/>
            <w:tcBorders>
              <w:top w:val="nil"/>
              <w:left w:val="nil"/>
              <w:bottom w:val="single" w:sz="4" w:space="0" w:color="auto"/>
              <w:right w:val="single" w:sz="4" w:space="0" w:color="auto"/>
            </w:tcBorders>
            <w:shd w:val="clear" w:color="auto" w:fill="auto"/>
            <w:noWrap/>
            <w:vAlign w:val="center"/>
            <w:hideMark/>
          </w:tcPr>
          <w:p w14:paraId="71CEF4E3"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30039</w:t>
            </w:r>
          </w:p>
        </w:tc>
        <w:tc>
          <w:tcPr>
            <w:tcW w:w="875" w:type="dxa"/>
            <w:tcBorders>
              <w:top w:val="nil"/>
              <w:left w:val="nil"/>
              <w:bottom w:val="single" w:sz="4" w:space="0" w:color="auto"/>
              <w:right w:val="single" w:sz="4" w:space="0" w:color="auto"/>
            </w:tcBorders>
            <w:shd w:val="clear" w:color="auto" w:fill="auto"/>
            <w:noWrap/>
            <w:vAlign w:val="center"/>
            <w:hideMark/>
          </w:tcPr>
          <w:p w14:paraId="2B959915"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31992</w:t>
            </w:r>
          </w:p>
        </w:tc>
        <w:tc>
          <w:tcPr>
            <w:tcW w:w="846" w:type="dxa"/>
            <w:tcBorders>
              <w:top w:val="nil"/>
              <w:left w:val="nil"/>
              <w:bottom w:val="single" w:sz="4" w:space="0" w:color="auto"/>
              <w:right w:val="single" w:sz="4" w:space="0" w:color="auto"/>
            </w:tcBorders>
            <w:shd w:val="clear" w:color="auto" w:fill="auto"/>
            <w:noWrap/>
            <w:vAlign w:val="center"/>
            <w:hideMark/>
          </w:tcPr>
          <w:p w14:paraId="251E94C5"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35797</w:t>
            </w:r>
          </w:p>
        </w:tc>
        <w:tc>
          <w:tcPr>
            <w:tcW w:w="1796" w:type="dxa"/>
            <w:tcBorders>
              <w:top w:val="nil"/>
              <w:left w:val="nil"/>
              <w:bottom w:val="single" w:sz="4" w:space="0" w:color="auto"/>
              <w:right w:val="single" w:sz="4" w:space="0" w:color="auto"/>
            </w:tcBorders>
            <w:shd w:val="clear" w:color="auto" w:fill="auto"/>
            <w:noWrap/>
            <w:vAlign w:val="center"/>
            <w:hideMark/>
          </w:tcPr>
          <w:p w14:paraId="213E10C0"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19,17%</w:t>
            </w:r>
          </w:p>
        </w:tc>
        <w:tc>
          <w:tcPr>
            <w:tcW w:w="1796" w:type="dxa"/>
            <w:tcBorders>
              <w:top w:val="nil"/>
              <w:left w:val="nil"/>
              <w:bottom w:val="single" w:sz="4" w:space="0" w:color="auto"/>
              <w:right w:val="single" w:sz="4" w:space="0" w:color="auto"/>
            </w:tcBorders>
            <w:shd w:val="clear" w:color="auto" w:fill="auto"/>
            <w:noWrap/>
            <w:vAlign w:val="center"/>
            <w:hideMark/>
          </w:tcPr>
          <w:p w14:paraId="65155EA7"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11,89%</w:t>
            </w:r>
          </w:p>
        </w:tc>
        <w:tc>
          <w:tcPr>
            <w:tcW w:w="146" w:type="dxa"/>
            <w:vAlign w:val="center"/>
            <w:hideMark/>
          </w:tcPr>
          <w:p w14:paraId="7FDD22C0" w14:textId="77777777" w:rsidR="00124120" w:rsidRPr="00124120" w:rsidRDefault="00124120" w:rsidP="00234CBE">
            <w:pPr>
              <w:spacing w:line="276" w:lineRule="auto"/>
              <w:rPr>
                <w:rFonts w:ascii="Times New Roman" w:hAnsi="Times New Roman"/>
                <w:sz w:val="20"/>
                <w:szCs w:val="20"/>
                <w:lang w:eastAsia="es-CR"/>
              </w:rPr>
            </w:pPr>
          </w:p>
        </w:tc>
      </w:tr>
      <w:tr w:rsidR="00124120" w:rsidRPr="00124120" w14:paraId="0DC33E20" w14:textId="77777777" w:rsidTr="00124120">
        <w:trPr>
          <w:trHeight w:val="267"/>
          <w:jc w:val="center"/>
        </w:trPr>
        <w:tc>
          <w:tcPr>
            <w:tcW w:w="3217" w:type="dxa"/>
            <w:tcBorders>
              <w:top w:val="nil"/>
              <w:left w:val="single" w:sz="4" w:space="0" w:color="auto"/>
              <w:bottom w:val="single" w:sz="4" w:space="0" w:color="auto"/>
              <w:right w:val="single" w:sz="4" w:space="0" w:color="auto"/>
            </w:tcBorders>
            <w:shd w:val="clear" w:color="auto" w:fill="auto"/>
            <w:noWrap/>
            <w:vAlign w:val="center"/>
            <w:hideMark/>
          </w:tcPr>
          <w:p w14:paraId="32DC93CD" w14:textId="77777777" w:rsidR="00124120" w:rsidRPr="00124120" w:rsidRDefault="00124120" w:rsidP="00234CBE">
            <w:pPr>
              <w:spacing w:line="276" w:lineRule="auto"/>
              <w:jc w:val="right"/>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Juzgado Penal</w:t>
            </w:r>
          </w:p>
        </w:tc>
        <w:tc>
          <w:tcPr>
            <w:tcW w:w="875" w:type="dxa"/>
            <w:tcBorders>
              <w:top w:val="nil"/>
              <w:left w:val="nil"/>
              <w:bottom w:val="single" w:sz="4" w:space="0" w:color="auto"/>
              <w:right w:val="single" w:sz="4" w:space="0" w:color="auto"/>
            </w:tcBorders>
            <w:shd w:val="clear" w:color="auto" w:fill="auto"/>
            <w:noWrap/>
            <w:vAlign w:val="center"/>
            <w:hideMark/>
          </w:tcPr>
          <w:p w14:paraId="531EE874"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30048</w:t>
            </w:r>
          </w:p>
        </w:tc>
        <w:tc>
          <w:tcPr>
            <w:tcW w:w="875" w:type="dxa"/>
            <w:tcBorders>
              <w:top w:val="nil"/>
              <w:left w:val="nil"/>
              <w:bottom w:val="single" w:sz="4" w:space="0" w:color="auto"/>
              <w:right w:val="single" w:sz="4" w:space="0" w:color="auto"/>
            </w:tcBorders>
            <w:shd w:val="clear" w:color="auto" w:fill="auto"/>
            <w:noWrap/>
            <w:vAlign w:val="center"/>
            <w:hideMark/>
          </w:tcPr>
          <w:p w14:paraId="63C880D5"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34055</w:t>
            </w:r>
          </w:p>
        </w:tc>
        <w:tc>
          <w:tcPr>
            <w:tcW w:w="846" w:type="dxa"/>
            <w:tcBorders>
              <w:top w:val="nil"/>
              <w:left w:val="nil"/>
              <w:bottom w:val="single" w:sz="4" w:space="0" w:color="auto"/>
              <w:right w:val="single" w:sz="4" w:space="0" w:color="auto"/>
            </w:tcBorders>
            <w:shd w:val="clear" w:color="auto" w:fill="auto"/>
            <w:noWrap/>
            <w:vAlign w:val="center"/>
            <w:hideMark/>
          </w:tcPr>
          <w:p w14:paraId="1E034B4A"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28492</w:t>
            </w:r>
          </w:p>
        </w:tc>
        <w:tc>
          <w:tcPr>
            <w:tcW w:w="1796" w:type="dxa"/>
            <w:tcBorders>
              <w:top w:val="nil"/>
              <w:left w:val="nil"/>
              <w:bottom w:val="single" w:sz="4" w:space="0" w:color="auto"/>
              <w:right w:val="single" w:sz="4" w:space="0" w:color="auto"/>
            </w:tcBorders>
            <w:shd w:val="clear" w:color="auto" w:fill="auto"/>
            <w:noWrap/>
            <w:vAlign w:val="center"/>
            <w:hideMark/>
          </w:tcPr>
          <w:p w14:paraId="7F6C1C89"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-5,18%</w:t>
            </w:r>
          </w:p>
        </w:tc>
        <w:tc>
          <w:tcPr>
            <w:tcW w:w="1796" w:type="dxa"/>
            <w:tcBorders>
              <w:top w:val="nil"/>
              <w:left w:val="nil"/>
              <w:bottom w:val="single" w:sz="4" w:space="0" w:color="auto"/>
              <w:right w:val="single" w:sz="4" w:space="0" w:color="auto"/>
            </w:tcBorders>
            <w:shd w:val="clear" w:color="auto" w:fill="auto"/>
            <w:noWrap/>
            <w:vAlign w:val="center"/>
            <w:hideMark/>
          </w:tcPr>
          <w:p w14:paraId="718FBEFC"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-16,34%</w:t>
            </w:r>
          </w:p>
        </w:tc>
        <w:tc>
          <w:tcPr>
            <w:tcW w:w="146" w:type="dxa"/>
            <w:vAlign w:val="center"/>
            <w:hideMark/>
          </w:tcPr>
          <w:p w14:paraId="329EB645" w14:textId="77777777" w:rsidR="00124120" w:rsidRPr="00124120" w:rsidRDefault="00124120" w:rsidP="00234CBE">
            <w:pPr>
              <w:spacing w:line="276" w:lineRule="auto"/>
              <w:rPr>
                <w:rFonts w:ascii="Times New Roman" w:hAnsi="Times New Roman"/>
                <w:sz w:val="20"/>
                <w:szCs w:val="20"/>
                <w:lang w:eastAsia="es-CR"/>
              </w:rPr>
            </w:pPr>
          </w:p>
        </w:tc>
      </w:tr>
      <w:tr w:rsidR="00124120" w:rsidRPr="00124120" w14:paraId="15D2119F" w14:textId="77777777" w:rsidTr="00124120">
        <w:trPr>
          <w:trHeight w:val="267"/>
          <w:jc w:val="center"/>
        </w:trPr>
        <w:tc>
          <w:tcPr>
            <w:tcW w:w="3217" w:type="dxa"/>
            <w:tcBorders>
              <w:top w:val="nil"/>
              <w:left w:val="single" w:sz="4" w:space="0" w:color="auto"/>
              <w:bottom w:val="single" w:sz="4" w:space="0" w:color="auto"/>
              <w:right w:val="single" w:sz="4" w:space="0" w:color="auto"/>
            </w:tcBorders>
            <w:shd w:val="clear" w:color="auto" w:fill="auto"/>
            <w:noWrap/>
            <w:vAlign w:val="center"/>
            <w:hideMark/>
          </w:tcPr>
          <w:p w14:paraId="163308ED" w14:textId="77777777" w:rsidR="00124120" w:rsidRPr="00124120" w:rsidRDefault="00124120" w:rsidP="00234CBE">
            <w:pPr>
              <w:spacing w:line="276" w:lineRule="auto"/>
              <w:jc w:val="right"/>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Juzgado Penal Juvenil</w:t>
            </w:r>
          </w:p>
        </w:tc>
        <w:tc>
          <w:tcPr>
            <w:tcW w:w="875" w:type="dxa"/>
            <w:tcBorders>
              <w:top w:val="nil"/>
              <w:left w:val="nil"/>
              <w:bottom w:val="single" w:sz="4" w:space="0" w:color="auto"/>
              <w:right w:val="single" w:sz="4" w:space="0" w:color="auto"/>
            </w:tcBorders>
            <w:shd w:val="clear" w:color="auto" w:fill="auto"/>
            <w:noWrap/>
            <w:vAlign w:val="center"/>
            <w:hideMark/>
          </w:tcPr>
          <w:p w14:paraId="3EEA2186"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6205</w:t>
            </w:r>
          </w:p>
        </w:tc>
        <w:tc>
          <w:tcPr>
            <w:tcW w:w="875" w:type="dxa"/>
            <w:tcBorders>
              <w:top w:val="nil"/>
              <w:left w:val="nil"/>
              <w:bottom w:val="single" w:sz="4" w:space="0" w:color="auto"/>
              <w:right w:val="single" w:sz="4" w:space="0" w:color="auto"/>
            </w:tcBorders>
            <w:shd w:val="clear" w:color="auto" w:fill="auto"/>
            <w:noWrap/>
            <w:vAlign w:val="center"/>
            <w:hideMark/>
          </w:tcPr>
          <w:p w14:paraId="3714D8B6"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5659</w:t>
            </w:r>
          </w:p>
        </w:tc>
        <w:tc>
          <w:tcPr>
            <w:tcW w:w="846" w:type="dxa"/>
            <w:tcBorders>
              <w:top w:val="nil"/>
              <w:left w:val="nil"/>
              <w:bottom w:val="single" w:sz="4" w:space="0" w:color="auto"/>
              <w:right w:val="single" w:sz="4" w:space="0" w:color="auto"/>
            </w:tcBorders>
            <w:shd w:val="clear" w:color="auto" w:fill="auto"/>
            <w:noWrap/>
            <w:vAlign w:val="center"/>
            <w:hideMark/>
          </w:tcPr>
          <w:p w14:paraId="35CA9F73"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5239</w:t>
            </w:r>
          </w:p>
        </w:tc>
        <w:tc>
          <w:tcPr>
            <w:tcW w:w="1796" w:type="dxa"/>
            <w:tcBorders>
              <w:top w:val="nil"/>
              <w:left w:val="nil"/>
              <w:bottom w:val="single" w:sz="4" w:space="0" w:color="auto"/>
              <w:right w:val="single" w:sz="4" w:space="0" w:color="auto"/>
            </w:tcBorders>
            <w:shd w:val="clear" w:color="auto" w:fill="auto"/>
            <w:noWrap/>
            <w:vAlign w:val="center"/>
            <w:hideMark/>
          </w:tcPr>
          <w:p w14:paraId="3953D6BE"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-15,57%</w:t>
            </w:r>
          </w:p>
        </w:tc>
        <w:tc>
          <w:tcPr>
            <w:tcW w:w="1796" w:type="dxa"/>
            <w:tcBorders>
              <w:top w:val="nil"/>
              <w:left w:val="nil"/>
              <w:bottom w:val="single" w:sz="4" w:space="0" w:color="auto"/>
              <w:right w:val="single" w:sz="4" w:space="0" w:color="auto"/>
            </w:tcBorders>
            <w:shd w:val="clear" w:color="auto" w:fill="auto"/>
            <w:noWrap/>
            <w:vAlign w:val="center"/>
            <w:hideMark/>
          </w:tcPr>
          <w:p w14:paraId="60621A4D"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-7,42%</w:t>
            </w:r>
          </w:p>
        </w:tc>
        <w:tc>
          <w:tcPr>
            <w:tcW w:w="146" w:type="dxa"/>
            <w:vAlign w:val="center"/>
            <w:hideMark/>
          </w:tcPr>
          <w:p w14:paraId="2E97EFAA" w14:textId="77777777" w:rsidR="00124120" w:rsidRPr="00124120" w:rsidRDefault="00124120" w:rsidP="00234CBE">
            <w:pPr>
              <w:spacing w:line="276" w:lineRule="auto"/>
              <w:rPr>
                <w:rFonts w:ascii="Times New Roman" w:hAnsi="Times New Roman"/>
                <w:sz w:val="20"/>
                <w:szCs w:val="20"/>
                <w:lang w:eastAsia="es-CR"/>
              </w:rPr>
            </w:pPr>
          </w:p>
        </w:tc>
      </w:tr>
      <w:tr w:rsidR="00124120" w:rsidRPr="00124120" w14:paraId="445BCB41" w14:textId="77777777" w:rsidTr="00124120">
        <w:trPr>
          <w:trHeight w:val="267"/>
          <w:jc w:val="center"/>
        </w:trPr>
        <w:tc>
          <w:tcPr>
            <w:tcW w:w="3217" w:type="dxa"/>
            <w:tcBorders>
              <w:top w:val="nil"/>
              <w:left w:val="single" w:sz="4" w:space="0" w:color="auto"/>
              <w:bottom w:val="single" w:sz="4" w:space="0" w:color="auto"/>
              <w:right w:val="single" w:sz="4" w:space="0" w:color="auto"/>
            </w:tcBorders>
            <w:shd w:val="clear" w:color="auto" w:fill="auto"/>
            <w:noWrap/>
            <w:vAlign w:val="center"/>
            <w:hideMark/>
          </w:tcPr>
          <w:p w14:paraId="36FAB177" w14:textId="77777777" w:rsidR="00124120" w:rsidRPr="00124120" w:rsidRDefault="00124120" w:rsidP="00234CBE">
            <w:pPr>
              <w:spacing w:line="276" w:lineRule="auto"/>
              <w:jc w:val="right"/>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Juzgados de Ejecución de la Pena</w:t>
            </w:r>
          </w:p>
        </w:tc>
        <w:tc>
          <w:tcPr>
            <w:tcW w:w="875" w:type="dxa"/>
            <w:tcBorders>
              <w:top w:val="nil"/>
              <w:left w:val="nil"/>
              <w:bottom w:val="single" w:sz="4" w:space="0" w:color="auto"/>
              <w:right w:val="single" w:sz="4" w:space="0" w:color="auto"/>
            </w:tcBorders>
            <w:shd w:val="clear" w:color="auto" w:fill="auto"/>
            <w:noWrap/>
            <w:vAlign w:val="center"/>
            <w:hideMark/>
          </w:tcPr>
          <w:p w14:paraId="4A76FE9E"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7242</w:t>
            </w:r>
          </w:p>
        </w:tc>
        <w:tc>
          <w:tcPr>
            <w:tcW w:w="875" w:type="dxa"/>
            <w:tcBorders>
              <w:top w:val="nil"/>
              <w:left w:val="nil"/>
              <w:bottom w:val="single" w:sz="4" w:space="0" w:color="auto"/>
              <w:right w:val="single" w:sz="4" w:space="0" w:color="auto"/>
            </w:tcBorders>
            <w:shd w:val="clear" w:color="auto" w:fill="auto"/>
            <w:noWrap/>
            <w:vAlign w:val="center"/>
            <w:hideMark/>
          </w:tcPr>
          <w:p w14:paraId="5212CBD0"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8887</w:t>
            </w:r>
          </w:p>
        </w:tc>
        <w:tc>
          <w:tcPr>
            <w:tcW w:w="846" w:type="dxa"/>
            <w:tcBorders>
              <w:top w:val="nil"/>
              <w:left w:val="nil"/>
              <w:bottom w:val="single" w:sz="4" w:space="0" w:color="auto"/>
              <w:right w:val="single" w:sz="4" w:space="0" w:color="auto"/>
            </w:tcBorders>
            <w:shd w:val="clear" w:color="auto" w:fill="auto"/>
            <w:noWrap/>
            <w:vAlign w:val="center"/>
            <w:hideMark/>
          </w:tcPr>
          <w:p w14:paraId="3621D14A"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10031</w:t>
            </w:r>
          </w:p>
        </w:tc>
        <w:tc>
          <w:tcPr>
            <w:tcW w:w="1796" w:type="dxa"/>
            <w:tcBorders>
              <w:top w:val="nil"/>
              <w:left w:val="nil"/>
              <w:bottom w:val="single" w:sz="4" w:space="0" w:color="auto"/>
              <w:right w:val="single" w:sz="4" w:space="0" w:color="auto"/>
            </w:tcBorders>
            <w:shd w:val="clear" w:color="auto" w:fill="auto"/>
            <w:noWrap/>
            <w:vAlign w:val="center"/>
            <w:hideMark/>
          </w:tcPr>
          <w:p w14:paraId="4A66DED8"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38,51%</w:t>
            </w:r>
          </w:p>
        </w:tc>
        <w:tc>
          <w:tcPr>
            <w:tcW w:w="1796" w:type="dxa"/>
            <w:tcBorders>
              <w:top w:val="nil"/>
              <w:left w:val="nil"/>
              <w:bottom w:val="single" w:sz="4" w:space="0" w:color="auto"/>
              <w:right w:val="single" w:sz="4" w:space="0" w:color="auto"/>
            </w:tcBorders>
            <w:shd w:val="clear" w:color="auto" w:fill="auto"/>
            <w:noWrap/>
            <w:vAlign w:val="center"/>
            <w:hideMark/>
          </w:tcPr>
          <w:p w14:paraId="677FF1F0"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12,87%</w:t>
            </w:r>
          </w:p>
        </w:tc>
        <w:tc>
          <w:tcPr>
            <w:tcW w:w="146" w:type="dxa"/>
            <w:vAlign w:val="center"/>
            <w:hideMark/>
          </w:tcPr>
          <w:p w14:paraId="32716C7D" w14:textId="77777777" w:rsidR="00124120" w:rsidRPr="00124120" w:rsidRDefault="00124120" w:rsidP="00234CBE">
            <w:pPr>
              <w:spacing w:line="276" w:lineRule="auto"/>
              <w:rPr>
                <w:rFonts w:ascii="Times New Roman" w:hAnsi="Times New Roman"/>
                <w:sz w:val="20"/>
                <w:szCs w:val="20"/>
                <w:lang w:eastAsia="es-CR"/>
              </w:rPr>
            </w:pPr>
          </w:p>
        </w:tc>
      </w:tr>
      <w:tr w:rsidR="00124120" w:rsidRPr="00124120" w14:paraId="46926DB8" w14:textId="77777777" w:rsidTr="00124120">
        <w:trPr>
          <w:trHeight w:val="267"/>
          <w:jc w:val="center"/>
        </w:trPr>
        <w:tc>
          <w:tcPr>
            <w:tcW w:w="3217" w:type="dxa"/>
            <w:tcBorders>
              <w:top w:val="nil"/>
              <w:left w:val="single" w:sz="4" w:space="0" w:color="auto"/>
              <w:bottom w:val="single" w:sz="4" w:space="0" w:color="auto"/>
              <w:right w:val="single" w:sz="4" w:space="0" w:color="auto"/>
            </w:tcBorders>
            <w:shd w:val="clear" w:color="auto" w:fill="auto"/>
            <w:noWrap/>
            <w:vAlign w:val="center"/>
            <w:hideMark/>
          </w:tcPr>
          <w:p w14:paraId="10916045" w14:textId="77777777" w:rsidR="00124120" w:rsidRPr="00124120" w:rsidRDefault="00124120" w:rsidP="00234CBE">
            <w:pPr>
              <w:spacing w:line="276" w:lineRule="auto"/>
              <w:jc w:val="right"/>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Juzgado de Ejecución Sanción Penal Juvenil</w:t>
            </w:r>
          </w:p>
        </w:tc>
        <w:tc>
          <w:tcPr>
            <w:tcW w:w="875" w:type="dxa"/>
            <w:tcBorders>
              <w:top w:val="nil"/>
              <w:left w:val="nil"/>
              <w:bottom w:val="single" w:sz="4" w:space="0" w:color="auto"/>
              <w:right w:val="single" w:sz="4" w:space="0" w:color="auto"/>
            </w:tcBorders>
            <w:shd w:val="clear" w:color="auto" w:fill="auto"/>
            <w:noWrap/>
            <w:vAlign w:val="center"/>
            <w:hideMark/>
          </w:tcPr>
          <w:p w14:paraId="342700DF"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588</w:t>
            </w:r>
          </w:p>
        </w:tc>
        <w:tc>
          <w:tcPr>
            <w:tcW w:w="875" w:type="dxa"/>
            <w:tcBorders>
              <w:top w:val="nil"/>
              <w:left w:val="nil"/>
              <w:bottom w:val="single" w:sz="4" w:space="0" w:color="auto"/>
              <w:right w:val="single" w:sz="4" w:space="0" w:color="auto"/>
            </w:tcBorders>
            <w:shd w:val="clear" w:color="auto" w:fill="auto"/>
            <w:noWrap/>
            <w:vAlign w:val="center"/>
            <w:hideMark/>
          </w:tcPr>
          <w:p w14:paraId="575941A1"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417</w:t>
            </w:r>
          </w:p>
        </w:tc>
        <w:tc>
          <w:tcPr>
            <w:tcW w:w="846" w:type="dxa"/>
            <w:tcBorders>
              <w:top w:val="nil"/>
              <w:left w:val="nil"/>
              <w:bottom w:val="single" w:sz="4" w:space="0" w:color="auto"/>
              <w:right w:val="single" w:sz="4" w:space="0" w:color="auto"/>
            </w:tcBorders>
            <w:shd w:val="clear" w:color="auto" w:fill="auto"/>
            <w:noWrap/>
            <w:vAlign w:val="center"/>
            <w:hideMark/>
          </w:tcPr>
          <w:p w14:paraId="1637966E"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222</w:t>
            </w:r>
          </w:p>
        </w:tc>
        <w:tc>
          <w:tcPr>
            <w:tcW w:w="1796" w:type="dxa"/>
            <w:tcBorders>
              <w:top w:val="nil"/>
              <w:left w:val="nil"/>
              <w:bottom w:val="single" w:sz="4" w:space="0" w:color="auto"/>
              <w:right w:val="single" w:sz="4" w:space="0" w:color="auto"/>
            </w:tcBorders>
            <w:shd w:val="clear" w:color="auto" w:fill="auto"/>
            <w:noWrap/>
            <w:vAlign w:val="center"/>
            <w:hideMark/>
          </w:tcPr>
          <w:p w14:paraId="6D92C4BD"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-62,24%</w:t>
            </w:r>
          </w:p>
        </w:tc>
        <w:tc>
          <w:tcPr>
            <w:tcW w:w="1796" w:type="dxa"/>
            <w:tcBorders>
              <w:top w:val="nil"/>
              <w:left w:val="nil"/>
              <w:bottom w:val="single" w:sz="4" w:space="0" w:color="auto"/>
              <w:right w:val="single" w:sz="4" w:space="0" w:color="auto"/>
            </w:tcBorders>
            <w:shd w:val="clear" w:color="auto" w:fill="auto"/>
            <w:noWrap/>
            <w:vAlign w:val="center"/>
            <w:hideMark/>
          </w:tcPr>
          <w:p w14:paraId="32926B24"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-46,76%</w:t>
            </w:r>
          </w:p>
        </w:tc>
        <w:tc>
          <w:tcPr>
            <w:tcW w:w="146" w:type="dxa"/>
            <w:vAlign w:val="center"/>
            <w:hideMark/>
          </w:tcPr>
          <w:p w14:paraId="36250DE2" w14:textId="77777777" w:rsidR="00124120" w:rsidRPr="00124120" w:rsidRDefault="00124120" w:rsidP="00234CBE">
            <w:pPr>
              <w:spacing w:line="276" w:lineRule="auto"/>
              <w:rPr>
                <w:rFonts w:ascii="Times New Roman" w:hAnsi="Times New Roman"/>
                <w:sz w:val="20"/>
                <w:szCs w:val="20"/>
                <w:lang w:eastAsia="es-CR"/>
              </w:rPr>
            </w:pPr>
          </w:p>
        </w:tc>
      </w:tr>
      <w:tr w:rsidR="00124120" w:rsidRPr="00124120" w14:paraId="5202B0E7" w14:textId="77777777" w:rsidTr="00124120">
        <w:trPr>
          <w:trHeight w:val="267"/>
          <w:jc w:val="center"/>
        </w:trPr>
        <w:tc>
          <w:tcPr>
            <w:tcW w:w="3217" w:type="dxa"/>
            <w:tcBorders>
              <w:top w:val="nil"/>
              <w:left w:val="single" w:sz="4" w:space="0" w:color="auto"/>
              <w:bottom w:val="single" w:sz="4" w:space="0" w:color="auto"/>
              <w:right w:val="single" w:sz="4" w:space="0" w:color="auto"/>
            </w:tcBorders>
            <w:shd w:val="clear" w:color="auto" w:fill="auto"/>
            <w:noWrap/>
            <w:vAlign w:val="center"/>
            <w:hideMark/>
          </w:tcPr>
          <w:p w14:paraId="7A8804C8" w14:textId="77777777" w:rsidR="00124120" w:rsidRPr="00124120" w:rsidRDefault="00124120" w:rsidP="00234CBE">
            <w:pPr>
              <w:spacing w:line="276" w:lineRule="auto"/>
              <w:jc w:val="right"/>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 </w:t>
            </w:r>
          </w:p>
        </w:tc>
        <w:tc>
          <w:tcPr>
            <w:tcW w:w="875" w:type="dxa"/>
            <w:tcBorders>
              <w:top w:val="nil"/>
              <w:left w:val="nil"/>
              <w:bottom w:val="single" w:sz="4" w:space="0" w:color="auto"/>
              <w:right w:val="single" w:sz="4" w:space="0" w:color="auto"/>
            </w:tcBorders>
            <w:shd w:val="clear" w:color="auto" w:fill="auto"/>
            <w:noWrap/>
            <w:vAlign w:val="bottom"/>
            <w:hideMark/>
          </w:tcPr>
          <w:p w14:paraId="4F2C5DCC" w14:textId="77777777" w:rsidR="00124120" w:rsidRPr="00124120" w:rsidRDefault="00124120" w:rsidP="00234CBE">
            <w:pPr>
              <w:spacing w:line="276" w:lineRule="auto"/>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 </w:t>
            </w:r>
          </w:p>
        </w:tc>
        <w:tc>
          <w:tcPr>
            <w:tcW w:w="875" w:type="dxa"/>
            <w:tcBorders>
              <w:top w:val="nil"/>
              <w:left w:val="nil"/>
              <w:bottom w:val="single" w:sz="4" w:space="0" w:color="auto"/>
              <w:right w:val="single" w:sz="4" w:space="0" w:color="auto"/>
            </w:tcBorders>
            <w:shd w:val="clear" w:color="auto" w:fill="auto"/>
            <w:noWrap/>
            <w:vAlign w:val="bottom"/>
            <w:hideMark/>
          </w:tcPr>
          <w:p w14:paraId="74173FBC" w14:textId="77777777" w:rsidR="00124120" w:rsidRPr="00124120" w:rsidRDefault="00124120" w:rsidP="00234CBE">
            <w:pPr>
              <w:spacing w:line="276" w:lineRule="auto"/>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 </w:t>
            </w:r>
          </w:p>
        </w:tc>
        <w:tc>
          <w:tcPr>
            <w:tcW w:w="846" w:type="dxa"/>
            <w:tcBorders>
              <w:top w:val="nil"/>
              <w:left w:val="nil"/>
              <w:bottom w:val="single" w:sz="4" w:space="0" w:color="auto"/>
              <w:right w:val="single" w:sz="4" w:space="0" w:color="auto"/>
            </w:tcBorders>
            <w:shd w:val="clear" w:color="auto" w:fill="auto"/>
            <w:noWrap/>
            <w:vAlign w:val="bottom"/>
            <w:hideMark/>
          </w:tcPr>
          <w:p w14:paraId="3AF50D54" w14:textId="77777777" w:rsidR="00124120" w:rsidRPr="00124120" w:rsidRDefault="00124120" w:rsidP="00234CBE">
            <w:pPr>
              <w:spacing w:line="276" w:lineRule="auto"/>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 </w:t>
            </w:r>
          </w:p>
        </w:tc>
        <w:tc>
          <w:tcPr>
            <w:tcW w:w="1796" w:type="dxa"/>
            <w:tcBorders>
              <w:top w:val="nil"/>
              <w:left w:val="nil"/>
              <w:bottom w:val="single" w:sz="4" w:space="0" w:color="auto"/>
              <w:right w:val="single" w:sz="4" w:space="0" w:color="auto"/>
            </w:tcBorders>
            <w:shd w:val="clear" w:color="auto" w:fill="auto"/>
            <w:noWrap/>
            <w:vAlign w:val="bottom"/>
            <w:hideMark/>
          </w:tcPr>
          <w:p w14:paraId="660D1712" w14:textId="77777777" w:rsidR="00124120" w:rsidRPr="00124120" w:rsidRDefault="00124120" w:rsidP="00234CBE">
            <w:pPr>
              <w:spacing w:line="276" w:lineRule="auto"/>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 </w:t>
            </w:r>
          </w:p>
        </w:tc>
        <w:tc>
          <w:tcPr>
            <w:tcW w:w="1796" w:type="dxa"/>
            <w:tcBorders>
              <w:top w:val="nil"/>
              <w:left w:val="nil"/>
              <w:bottom w:val="single" w:sz="4" w:space="0" w:color="auto"/>
              <w:right w:val="single" w:sz="4" w:space="0" w:color="auto"/>
            </w:tcBorders>
            <w:shd w:val="clear" w:color="auto" w:fill="auto"/>
            <w:noWrap/>
            <w:vAlign w:val="center"/>
            <w:hideMark/>
          </w:tcPr>
          <w:p w14:paraId="1F3AF94A"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 </w:t>
            </w:r>
          </w:p>
        </w:tc>
        <w:tc>
          <w:tcPr>
            <w:tcW w:w="146" w:type="dxa"/>
            <w:vAlign w:val="center"/>
            <w:hideMark/>
          </w:tcPr>
          <w:p w14:paraId="347A4701" w14:textId="77777777" w:rsidR="00124120" w:rsidRPr="00124120" w:rsidRDefault="00124120" w:rsidP="00234CBE">
            <w:pPr>
              <w:spacing w:line="276" w:lineRule="auto"/>
              <w:rPr>
                <w:rFonts w:ascii="Times New Roman" w:hAnsi="Times New Roman"/>
                <w:sz w:val="20"/>
                <w:szCs w:val="20"/>
                <w:lang w:eastAsia="es-CR"/>
              </w:rPr>
            </w:pPr>
          </w:p>
        </w:tc>
      </w:tr>
      <w:tr w:rsidR="00124120" w:rsidRPr="00124120" w14:paraId="553BC6FB" w14:textId="77777777" w:rsidTr="00124120">
        <w:trPr>
          <w:trHeight w:val="267"/>
          <w:jc w:val="center"/>
        </w:trPr>
        <w:tc>
          <w:tcPr>
            <w:tcW w:w="3217" w:type="dxa"/>
            <w:tcBorders>
              <w:top w:val="nil"/>
              <w:left w:val="single" w:sz="4" w:space="0" w:color="auto"/>
              <w:bottom w:val="single" w:sz="4" w:space="0" w:color="auto"/>
              <w:right w:val="single" w:sz="4" w:space="0" w:color="auto"/>
            </w:tcBorders>
            <w:shd w:val="clear" w:color="auto" w:fill="auto"/>
            <w:noWrap/>
            <w:vAlign w:val="center"/>
            <w:hideMark/>
          </w:tcPr>
          <w:p w14:paraId="4C4968F5" w14:textId="77777777" w:rsidR="00124120" w:rsidRPr="00124120" w:rsidRDefault="00124120" w:rsidP="00234CBE">
            <w:pPr>
              <w:spacing w:line="276" w:lineRule="auto"/>
              <w:rPr>
                <w:rFonts w:ascii="Book Antiqua" w:hAnsi="Book Antiqua" w:cs="Calibri"/>
                <w:b/>
                <w:bCs/>
                <w:color w:val="000000"/>
                <w:sz w:val="16"/>
                <w:szCs w:val="16"/>
                <w:lang w:eastAsia="es-CR"/>
              </w:rPr>
            </w:pPr>
            <w:r w:rsidRPr="00124120">
              <w:rPr>
                <w:rFonts w:ascii="Book Antiqua" w:hAnsi="Book Antiqua" w:cs="Calibri"/>
                <w:b/>
                <w:bCs/>
                <w:color w:val="000000"/>
                <w:sz w:val="16"/>
                <w:szCs w:val="16"/>
                <w:lang w:eastAsia="es-CR"/>
              </w:rPr>
              <w:t>No Penal</w:t>
            </w:r>
          </w:p>
        </w:tc>
        <w:tc>
          <w:tcPr>
            <w:tcW w:w="875" w:type="dxa"/>
            <w:tcBorders>
              <w:top w:val="nil"/>
              <w:left w:val="nil"/>
              <w:bottom w:val="single" w:sz="4" w:space="0" w:color="auto"/>
              <w:right w:val="single" w:sz="4" w:space="0" w:color="auto"/>
            </w:tcBorders>
            <w:shd w:val="clear" w:color="auto" w:fill="auto"/>
            <w:noWrap/>
            <w:vAlign w:val="center"/>
            <w:hideMark/>
          </w:tcPr>
          <w:p w14:paraId="374C4D14" w14:textId="77777777" w:rsidR="00124120" w:rsidRPr="00124120" w:rsidRDefault="00124120" w:rsidP="00234CBE">
            <w:pPr>
              <w:spacing w:line="276" w:lineRule="auto"/>
              <w:jc w:val="center"/>
              <w:rPr>
                <w:rFonts w:ascii="Book Antiqua" w:hAnsi="Book Antiqua" w:cs="Calibri"/>
                <w:b/>
                <w:bCs/>
                <w:color w:val="000000"/>
                <w:sz w:val="16"/>
                <w:szCs w:val="16"/>
                <w:u w:val="single"/>
                <w:lang w:eastAsia="es-CR"/>
              </w:rPr>
            </w:pPr>
            <w:r w:rsidRPr="00124120">
              <w:rPr>
                <w:rFonts w:ascii="Book Antiqua" w:hAnsi="Book Antiqua" w:cs="Calibri"/>
                <w:b/>
                <w:bCs/>
                <w:color w:val="000000"/>
                <w:sz w:val="16"/>
                <w:szCs w:val="16"/>
                <w:u w:val="single"/>
                <w:lang w:eastAsia="es-CR"/>
              </w:rPr>
              <w:t>444 685</w:t>
            </w:r>
          </w:p>
        </w:tc>
        <w:tc>
          <w:tcPr>
            <w:tcW w:w="875" w:type="dxa"/>
            <w:tcBorders>
              <w:top w:val="nil"/>
              <w:left w:val="nil"/>
              <w:bottom w:val="single" w:sz="4" w:space="0" w:color="auto"/>
              <w:right w:val="single" w:sz="4" w:space="0" w:color="auto"/>
            </w:tcBorders>
            <w:shd w:val="clear" w:color="auto" w:fill="auto"/>
            <w:noWrap/>
            <w:vAlign w:val="center"/>
            <w:hideMark/>
          </w:tcPr>
          <w:p w14:paraId="0535DC73" w14:textId="77777777" w:rsidR="00124120" w:rsidRPr="00124120" w:rsidRDefault="00124120" w:rsidP="00234CBE">
            <w:pPr>
              <w:spacing w:line="276" w:lineRule="auto"/>
              <w:jc w:val="center"/>
              <w:rPr>
                <w:rFonts w:ascii="Book Antiqua" w:hAnsi="Book Antiqua" w:cs="Calibri"/>
                <w:b/>
                <w:bCs/>
                <w:color w:val="000000"/>
                <w:sz w:val="16"/>
                <w:szCs w:val="16"/>
                <w:u w:val="single"/>
                <w:lang w:eastAsia="es-CR"/>
              </w:rPr>
            </w:pPr>
            <w:r w:rsidRPr="00124120">
              <w:rPr>
                <w:rFonts w:ascii="Book Antiqua" w:hAnsi="Book Antiqua" w:cs="Calibri"/>
                <w:b/>
                <w:bCs/>
                <w:color w:val="000000"/>
                <w:sz w:val="16"/>
                <w:szCs w:val="16"/>
                <w:u w:val="single"/>
                <w:lang w:eastAsia="es-CR"/>
              </w:rPr>
              <w:t>421 074</w:t>
            </w:r>
          </w:p>
        </w:tc>
        <w:tc>
          <w:tcPr>
            <w:tcW w:w="846" w:type="dxa"/>
            <w:tcBorders>
              <w:top w:val="nil"/>
              <w:left w:val="nil"/>
              <w:bottom w:val="single" w:sz="4" w:space="0" w:color="auto"/>
              <w:right w:val="single" w:sz="4" w:space="0" w:color="auto"/>
            </w:tcBorders>
            <w:shd w:val="clear" w:color="auto" w:fill="auto"/>
            <w:noWrap/>
            <w:vAlign w:val="center"/>
            <w:hideMark/>
          </w:tcPr>
          <w:p w14:paraId="7E56D5A1" w14:textId="77777777" w:rsidR="00124120" w:rsidRPr="00124120" w:rsidRDefault="00124120" w:rsidP="00234CBE">
            <w:pPr>
              <w:spacing w:line="276" w:lineRule="auto"/>
              <w:jc w:val="center"/>
              <w:rPr>
                <w:rFonts w:ascii="Book Antiqua" w:hAnsi="Book Antiqua" w:cs="Calibri"/>
                <w:b/>
                <w:bCs/>
                <w:color w:val="000000"/>
                <w:sz w:val="16"/>
                <w:szCs w:val="16"/>
                <w:u w:val="single"/>
                <w:lang w:eastAsia="es-CR"/>
              </w:rPr>
            </w:pPr>
            <w:r w:rsidRPr="00124120">
              <w:rPr>
                <w:rFonts w:ascii="Book Antiqua" w:hAnsi="Book Antiqua" w:cs="Calibri"/>
                <w:b/>
                <w:bCs/>
                <w:color w:val="000000"/>
                <w:sz w:val="16"/>
                <w:szCs w:val="16"/>
                <w:u w:val="single"/>
                <w:lang w:eastAsia="es-CR"/>
              </w:rPr>
              <w:t>417 618</w:t>
            </w:r>
          </w:p>
        </w:tc>
        <w:tc>
          <w:tcPr>
            <w:tcW w:w="1796" w:type="dxa"/>
            <w:tcBorders>
              <w:top w:val="nil"/>
              <w:left w:val="nil"/>
              <w:bottom w:val="single" w:sz="4" w:space="0" w:color="auto"/>
              <w:right w:val="single" w:sz="4" w:space="0" w:color="auto"/>
            </w:tcBorders>
            <w:shd w:val="clear" w:color="auto" w:fill="auto"/>
            <w:noWrap/>
            <w:vAlign w:val="center"/>
            <w:hideMark/>
          </w:tcPr>
          <w:p w14:paraId="644E87FC" w14:textId="77777777" w:rsidR="00124120" w:rsidRPr="00124120" w:rsidRDefault="00124120" w:rsidP="00234CBE">
            <w:pPr>
              <w:spacing w:line="276" w:lineRule="auto"/>
              <w:jc w:val="center"/>
              <w:rPr>
                <w:rFonts w:ascii="Book Antiqua" w:hAnsi="Book Antiqua" w:cs="Calibri"/>
                <w:b/>
                <w:bCs/>
                <w:color w:val="000000"/>
                <w:sz w:val="16"/>
                <w:szCs w:val="16"/>
                <w:u w:val="single"/>
                <w:lang w:eastAsia="es-CR"/>
              </w:rPr>
            </w:pPr>
            <w:r w:rsidRPr="00124120">
              <w:rPr>
                <w:rFonts w:ascii="Book Antiqua" w:hAnsi="Book Antiqua" w:cs="Calibri"/>
                <w:b/>
                <w:bCs/>
                <w:color w:val="000000"/>
                <w:sz w:val="16"/>
                <w:szCs w:val="16"/>
                <w:u w:val="single"/>
                <w:lang w:eastAsia="es-CR"/>
              </w:rPr>
              <w:t>-6,09%</w:t>
            </w:r>
          </w:p>
        </w:tc>
        <w:tc>
          <w:tcPr>
            <w:tcW w:w="1796" w:type="dxa"/>
            <w:tcBorders>
              <w:top w:val="nil"/>
              <w:left w:val="nil"/>
              <w:bottom w:val="single" w:sz="4" w:space="0" w:color="auto"/>
              <w:right w:val="single" w:sz="4" w:space="0" w:color="auto"/>
            </w:tcBorders>
            <w:shd w:val="clear" w:color="auto" w:fill="auto"/>
            <w:noWrap/>
            <w:vAlign w:val="center"/>
            <w:hideMark/>
          </w:tcPr>
          <w:p w14:paraId="33C3AA2F" w14:textId="77777777" w:rsidR="00124120" w:rsidRPr="00124120" w:rsidRDefault="00124120" w:rsidP="00234CBE">
            <w:pPr>
              <w:spacing w:line="276" w:lineRule="auto"/>
              <w:jc w:val="center"/>
              <w:rPr>
                <w:rFonts w:ascii="Book Antiqua" w:hAnsi="Book Antiqua" w:cs="Calibri"/>
                <w:b/>
                <w:bCs/>
                <w:color w:val="000000"/>
                <w:sz w:val="16"/>
                <w:szCs w:val="16"/>
                <w:u w:val="single"/>
                <w:lang w:eastAsia="es-CR"/>
              </w:rPr>
            </w:pPr>
            <w:r w:rsidRPr="00124120">
              <w:rPr>
                <w:rFonts w:ascii="Book Antiqua" w:hAnsi="Book Antiqua" w:cs="Calibri"/>
                <w:b/>
                <w:bCs/>
                <w:color w:val="000000"/>
                <w:sz w:val="16"/>
                <w:szCs w:val="16"/>
                <w:u w:val="single"/>
                <w:lang w:eastAsia="es-CR"/>
              </w:rPr>
              <w:t>-0,82%</w:t>
            </w:r>
          </w:p>
        </w:tc>
        <w:tc>
          <w:tcPr>
            <w:tcW w:w="146" w:type="dxa"/>
            <w:vAlign w:val="center"/>
            <w:hideMark/>
          </w:tcPr>
          <w:p w14:paraId="7464AC88" w14:textId="77777777" w:rsidR="00124120" w:rsidRPr="00124120" w:rsidRDefault="00124120" w:rsidP="00234CBE">
            <w:pPr>
              <w:spacing w:line="276" w:lineRule="auto"/>
              <w:rPr>
                <w:rFonts w:ascii="Times New Roman" w:hAnsi="Times New Roman"/>
                <w:sz w:val="20"/>
                <w:szCs w:val="20"/>
                <w:lang w:eastAsia="es-CR"/>
              </w:rPr>
            </w:pPr>
          </w:p>
        </w:tc>
      </w:tr>
      <w:tr w:rsidR="00124120" w:rsidRPr="00124120" w14:paraId="08615984" w14:textId="77777777" w:rsidTr="00124120">
        <w:trPr>
          <w:trHeight w:val="267"/>
          <w:jc w:val="center"/>
        </w:trPr>
        <w:tc>
          <w:tcPr>
            <w:tcW w:w="3217" w:type="dxa"/>
            <w:tcBorders>
              <w:top w:val="nil"/>
              <w:left w:val="single" w:sz="4" w:space="0" w:color="auto"/>
              <w:bottom w:val="single" w:sz="4" w:space="0" w:color="auto"/>
              <w:right w:val="single" w:sz="4" w:space="0" w:color="auto"/>
            </w:tcBorders>
            <w:shd w:val="clear" w:color="auto" w:fill="auto"/>
            <w:noWrap/>
            <w:vAlign w:val="center"/>
            <w:hideMark/>
          </w:tcPr>
          <w:p w14:paraId="714D6279" w14:textId="77777777" w:rsidR="00124120" w:rsidRPr="00124120" w:rsidRDefault="00124120" w:rsidP="00234CBE">
            <w:pPr>
              <w:spacing w:line="276" w:lineRule="auto"/>
              <w:jc w:val="right"/>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Civil</w:t>
            </w:r>
          </w:p>
        </w:tc>
        <w:tc>
          <w:tcPr>
            <w:tcW w:w="875" w:type="dxa"/>
            <w:tcBorders>
              <w:top w:val="nil"/>
              <w:left w:val="nil"/>
              <w:bottom w:val="single" w:sz="4" w:space="0" w:color="auto"/>
              <w:right w:val="single" w:sz="4" w:space="0" w:color="auto"/>
            </w:tcBorders>
            <w:shd w:val="clear" w:color="auto" w:fill="auto"/>
            <w:noWrap/>
            <w:vAlign w:val="center"/>
            <w:hideMark/>
          </w:tcPr>
          <w:p w14:paraId="40C7AD40"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55355</w:t>
            </w:r>
          </w:p>
        </w:tc>
        <w:tc>
          <w:tcPr>
            <w:tcW w:w="875" w:type="dxa"/>
            <w:tcBorders>
              <w:top w:val="nil"/>
              <w:left w:val="nil"/>
              <w:bottom w:val="single" w:sz="4" w:space="0" w:color="auto"/>
              <w:right w:val="single" w:sz="4" w:space="0" w:color="auto"/>
            </w:tcBorders>
            <w:shd w:val="clear" w:color="auto" w:fill="auto"/>
            <w:noWrap/>
            <w:vAlign w:val="center"/>
            <w:hideMark/>
          </w:tcPr>
          <w:p w14:paraId="474E3C4D"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54272</w:t>
            </w:r>
          </w:p>
        </w:tc>
        <w:tc>
          <w:tcPr>
            <w:tcW w:w="846" w:type="dxa"/>
            <w:tcBorders>
              <w:top w:val="nil"/>
              <w:left w:val="nil"/>
              <w:bottom w:val="single" w:sz="4" w:space="0" w:color="auto"/>
              <w:right w:val="single" w:sz="4" w:space="0" w:color="auto"/>
            </w:tcBorders>
            <w:shd w:val="clear" w:color="auto" w:fill="auto"/>
            <w:noWrap/>
            <w:vAlign w:val="center"/>
            <w:hideMark/>
          </w:tcPr>
          <w:p w14:paraId="1F6C3DD3"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47987</w:t>
            </w:r>
          </w:p>
        </w:tc>
        <w:tc>
          <w:tcPr>
            <w:tcW w:w="1796" w:type="dxa"/>
            <w:tcBorders>
              <w:top w:val="nil"/>
              <w:left w:val="nil"/>
              <w:bottom w:val="single" w:sz="4" w:space="0" w:color="auto"/>
              <w:right w:val="single" w:sz="4" w:space="0" w:color="auto"/>
            </w:tcBorders>
            <w:shd w:val="clear" w:color="auto" w:fill="auto"/>
            <w:noWrap/>
            <w:vAlign w:val="center"/>
            <w:hideMark/>
          </w:tcPr>
          <w:p w14:paraId="168C980E"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-13,31%</w:t>
            </w:r>
          </w:p>
        </w:tc>
        <w:tc>
          <w:tcPr>
            <w:tcW w:w="1796" w:type="dxa"/>
            <w:tcBorders>
              <w:top w:val="nil"/>
              <w:left w:val="nil"/>
              <w:bottom w:val="single" w:sz="4" w:space="0" w:color="auto"/>
              <w:right w:val="single" w:sz="4" w:space="0" w:color="auto"/>
            </w:tcBorders>
            <w:shd w:val="clear" w:color="auto" w:fill="auto"/>
            <w:noWrap/>
            <w:vAlign w:val="center"/>
            <w:hideMark/>
          </w:tcPr>
          <w:p w14:paraId="2AB200BE"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-11,58%</w:t>
            </w:r>
          </w:p>
        </w:tc>
        <w:tc>
          <w:tcPr>
            <w:tcW w:w="146" w:type="dxa"/>
            <w:vAlign w:val="center"/>
            <w:hideMark/>
          </w:tcPr>
          <w:p w14:paraId="09D34095" w14:textId="77777777" w:rsidR="00124120" w:rsidRPr="00124120" w:rsidRDefault="00124120" w:rsidP="00234CBE">
            <w:pPr>
              <w:spacing w:line="276" w:lineRule="auto"/>
              <w:rPr>
                <w:rFonts w:ascii="Times New Roman" w:hAnsi="Times New Roman"/>
                <w:sz w:val="20"/>
                <w:szCs w:val="20"/>
                <w:lang w:eastAsia="es-CR"/>
              </w:rPr>
            </w:pPr>
          </w:p>
        </w:tc>
      </w:tr>
      <w:tr w:rsidR="00124120" w:rsidRPr="00124120" w14:paraId="30411E96" w14:textId="77777777" w:rsidTr="00124120">
        <w:trPr>
          <w:trHeight w:val="267"/>
          <w:jc w:val="center"/>
        </w:trPr>
        <w:tc>
          <w:tcPr>
            <w:tcW w:w="3217" w:type="dxa"/>
            <w:tcBorders>
              <w:top w:val="nil"/>
              <w:left w:val="single" w:sz="4" w:space="0" w:color="auto"/>
              <w:bottom w:val="single" w:sz="4" w:space="0" w:color="auto"/>
              <w:right w:val="single" w:sz="4" w:space="0" w:color="auto"/>
            </w:tcBorders>
            <w:shd w:val="clear" w:color="auto" w:fill="auto"/>
            <w:noWrap/>
            <w:vAlign w:val="center"/>
            <w:hideMark/>
          </w:tcPr>
          <w:p w14:paraId="19B3D813" w14:textId="77777777" w:rsidR="00124120" w:rsidRPr="00124120" w:rsidRDefault="00124120" w:rsidP="00234CBE">
            <w:pPr>
              <w:spacing w:line="276" w:lineRule="auto"/>
              <w:jc w:val="right"/>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Notarial</w:t>
            </w:r>
          </w:p>
        </w:tc>
        <w:tc>
          <w:tcPr>
            <w:tcW w:w="875" w:type="dxa"/>
            <w:tcBorders>
              <w:top w:val="nil"/>
              <w:left w:val="nil"/>
              <w:bottom w:val="single" w:sz="4" w:space="0" w:color="auto"/>
              <w:right w:val="single" w:sz="4" w:space="0" w:color="auto"/>
            </w:tcBorders>
            <w:shd w:val="clear" w:color="auto" w:fill="auto"/>
            <w:noWrap/>
            <w:vAlign w:val="center"/>
            <w:hideMark/>
          </w:tcPr>
          <w:p w14:paraId="23751072"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4857</w:t>
            </w:r>
          </w:p>
        </w:tc>
        <w:tc>
          <w:tcPr>
            <w:tcW w:w="875" w:type="dxa"/>
            <w:tcBorders>
              <w:top w:val="nil"/>
              <w:left w:val="nil"/>
              <w:bottom w:val="single" w:sz="4" w:space="0" w:color="auto"/>
              <w:right w:val="single" w:sz="4" w:space="0" w:color="auto"/>
            </w:tcBorders>
            <w:shd w:val="clear" w:color="auto" w:fill="auto"/>
            <w:noWrap/>
            <w:vAlign w:val="center"/>
            <w:hideMark/>
          </w:tcPr>
          <w:p w14:paraId="5D049A16"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5103</w:t>
            </w:r>
          </w:p>
        </w:tc>
        <w:tc>
          <w:tcPr>
            <w:tcW w:w="846" w:type="dxa"/>
            <w:tcBorders>
              <w:top w:val="nil"/>
              <w:left w:val="nil"/>
              <w:bottom w:val="single" w:sz="4" w:space="0" w:color="auto"/>
              <w:right w:val="single" w:sz="4" w:space="0" w:color="auto"/>
            </w:tcBorders>
            <w:shd w:val="clear" w:color="auto" w:fill="auto"/>
            <w:noWrap/>
            <w:vAlign w:val="center"/>
            <w:hideMark/>
          </w:tcPr>
          <w:p w14:paraId="1498326F"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5210</w:t>
            </w:r>
          </w:p>
        </w:tc>
        <w:tc>
          <w:tcPr>
            <w:tcW w:w="1796" w:type="dxa"/>
            <w:tcBorders>
              <w:top w:val="nil"/>
              <w:left w:val="nil"/>
              <w:bottom w:val="single" w:sz="4" w:space="0" w:color="auto"/>
              <w:right w:val="single" w:sz="4" w:space="0" w:color="auto"/>
            </w:tcBorders>
            <w:shd w:val="clear" w:color="auto" w:fill="auto"/>
            <w:noWrap/>
            <w:vAlign w:val="center"/>
            <w:hideMark/>
          </w:tcPr>
          <w:p w14:paraId="2DD38A24"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7,27%</w:t>
            </w:r>
          </w:p>
        </w:tc>
        <w:tc>
          <w:tcPr>
            <w:tcW w:w="1796" w:type="dxa"/>
            <w:tcBorders>
              <w:top w:val="nil"/>
              <w:left w:val="nil"/>
              <w:bottom w:val="single" w:sz="4" w:space="0" w:color="auto"/>
              <w:right w:val="single" w:sz="4" w:space="0" w:color="auto"/>
            </w:tcBorders>
            <w:shd w:val="clear" w:color="auto" w:fill="auto"/>
            <w:noWrap/>
            <w:vAlign w:val="center"/>
            <w:hideMark/>
          </w:tcPr>
          <w:p w14:paraId="27675B4D"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2,10%</w:t>
            </w:r>
          </w:p>
        </w:tc>
        <w:tc>
          <w:tcPr>
            <w:tcW w:w="146" w:type="dxa"/>
            <w:vAlign w:val="center"/>
            <w:hideMark/>
          </w:tcPr>
          <w:p w14:paraId="432652BE" w14:textId="77777777" w:rsidR="00124120" w:rsidRPr="00124120" w:rsidRDefault="00124120" w:rsidP="00234CBE">
            <w:pPr>
              <w:spacing w:line="276" w:lineRule="auto"/>
              <w:rPr>
                <w:rFonts w:ascii="Times New Roman" w:hAnsi="Times New Roman"/>
                <w:sz w:val="20"/>
                <w:szCs w:val="20"/>
                <w:lang w:eastAsia="es-CR"/>
              </w:rPr>
            </w:pPr>
          </w:p>
        </w:tc>
      </w:tr>
      <w:tr w:rsidR="00124120" w:rsidRPr="00124120" w14:paraId="338608D7" w14:textId="77777777" w:rsidTr="00124120">
        <w:trPr>
          <w:trHeight w:val="267"/>
          <w:jc w:val="center"/>
        </w:trPr>
        <w:tc>
          <w:tcPr>
            <w:tcW w:w="3217" w:type="dxa"/>
            <w:tcBorders>
              <w:top w:val="nil"/>
              <w:left w:val="single" w:sz="4" w:space="0" w:color="auto"/>
              <w:bottom w:val="single" w:sz="4" w:space="0" w:color="auto"/>
              <w:right w:val="single" w:sz="4" w:space="0" w:color="auto"/>
            </w:tcBorders>
            <w:shd w:val="clear" w:color="auto" w:fill="auto"/>
            <w:noWrap/>
            <w:vAlign w:val="center"/>
            <w:hideMark/>
          </w:tcPr>
          <w:p w14:paraId="4D3F38FB" w14:textId="77777777" w:rsidR="00124120" w:rsidRPr="00124120" w:rsidRDefault="00124120" w:rsidP="00234CBE">
            <w:pPr>
              <w:spacing w:line="276" w:lineRule="auto"/>
              <w:jc w:val="right"/>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Contencioso Administrativo</w:t>
            </w:r>
          </w:p>
        </w:tc>
        <w:tc>
          <w:tcPr>
            <w:tcW w:w="875" w:type="dxa"/>
            <w:tcBorders>
              <w:top w:val="nil"/>
              <w:left w:val="nil"/>
              <w:bottom w:val="single" w:sz="4" w:space="0" w:color="auto"/>
              <w:right w:val="single" w:sz="4" w:space="0" w:color="auto"/>
            </w:tcBorders>
            <w:shd w:val="clear" w:color="auto" w:fill="auto"/>
            <w:noWrap/>
            <w:vAlign w:val="center"/>
            <w:hideMark/>
          </w:tcPr>
          <w:p w14:paraId="0D79E2E2"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17837</w:t>
            </w:r>
          </w:p>
        </w:tc>
        <w:tc>
          <w:tcPr>
            <w:tcW w:w="875" w:type="dxa"/>
            <w:tcBorders>
              <w:top w:val="nil"/>
              <w:left w:val="nil"/>
              <w:bottom w:val="single" w:sz="4" w:space="0" w:color="auto"/>
              <w:right w:val="single" w:sz="4" w:space="0" w:color="auto"/>
            </w:tcBorders>
            <w:shd w:val="clear" w:color="auto" w:fill="auto"/>
            <w:noWrap/>
            <w:vAlign w:val="center"/>
            <w:hideMark/>
          </w:tcPr>
          <w:p w14:paraId="1801A895"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13859</w:t>
            </w:r>
          </w:p>
        </w:tc>
        <w:tc>
          <w:tcPr>
            <w:tcW w:w="846" w:type="dxa"/>
            <w:tcBorders>
              <w:top w:val="nil"/>
              <w:left w:val="nil"/>
              <w:bottom w:val="single" w:sz="4" w:space="0" w:color="auto"/>
              <w:right w:val="single" w:sz="4" w:space="0" w:color="auto"/>
            </w:tcBorders>
            <w:shd w:val="clear" w:color="auto" w:fill="auto"/>
            <w:noWrap/>
            <w:vAlign w:val="center"/>
            <w:hideMark/>
          </w:tcPr>
          <w:p w14:paraId="12AD239D"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16323</w:t>
            </w:r>
          </w:p>
        </w:tc>
        <w:tc>
          <w:tcPr>
            <w:tcW w:w="1796" w:type="dxa"/>
            <w:tcBorders>
              <w:top w:val="nil"/>
              <w:left w:val="nil"/>
              <w:bottom w:val="single" w:sz="4" w:space="0" w:color="auto"/>
              <w:right w:val="single" w:sz="4" w:space="0" w:color="auto"/>
            </w:tcBorders>
            <w:shd w:val="clear" w:color="auto" w:fill="auto"/>
            <w:noWrap/>
            <w:vAlign w:val="center"/>
            <w:hideMark/>
          </w:tcPr>
          <w:p w14:paraId="173BFC74"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-8,49%</w:t>
            </w:r>
          </w:p>
        </w:tc>
        <w:tc>
          <w:tcPr>
            <w:tcW w:w="1796" w:type="dxa"/>
            <w:tcBorders>
              <w:top w:val="nil"/>
              <w:left w:val="nil"/>
              <w:bottom w:val="single" w:sz="4" w:space="0" w:color="auto"/>
              <w:right w:val="single" w:sz="4" w:space="0" w:color="auto"/>
            </w:tcBorders>
            <w:shd w:val="clear" w:color="auto" w:fill="auto"/>
            <w:noWrap/>
            <w:vAlign w:val="center"/>
            <w:hideMark/>
          </w:tcPr>
          <w:p w14:paraId="7350AD61"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17,78%</w:t>
            </w:r>
          </w:p>
        </w:tc>
        <w:tc>
          <w:tcPr>
            <w:tcW w:w="146" w:type="dxa"/>
            <w:vAlign w:val="center"/>
            <w:hideMark/>
          </w:tcPr>
          <w:p w14:paraId="791847C3" w14:textId="77777777" w:rsidR="00124120" w:rsidRPr="00124120" w:rsidRDefault="00124120" w:rsidP="00234CBE">
            <w:pPr>
              <w:spacing w:line="276" w:lineRule="auto"/>
              <w:rPr>
                <w:rFonts w:ascii="Times New Roman" w:hAnsi="Times New Roman"/>
                <w:sz w:val="20"/>
                <w:szCs w:val="20"/>
                <w:lang w:eastAsia="es-CR"/>
              </w:rPr>
            </w:pPr>
          </w:p>
        </w:tc>
      </w:tr>
      <w:tr w:rsidR="00124120" w:rsidRPr="00124120" w14:paraId="07D8B755" w14:textId="77777777" w:rsidTr="00124120">
        <w:trPr>
          <w:trHeight w:val="267"/>
          <w:jc w:val="center"/>
        </w:trPr>
        <w:tc>
          <w:tcPr>
            <w:tcW w:w="3217" w:type="dxa"/>
            <w:tcBorders>
              <w:top w:val="nil"/>
              <w:left w:val="single" w:sz="4" w:space="0" w:color="auto"/>
              <w:bottom w:val="single" w:sz="4" w:space="0" w:color="auto"/>
              <w:right w:val="single" w:sz="4" w:space="0" w:color="auto"/>
            </w:tcBorders>
            <w:shd w:val="clear" w:color="auto" w:fill="auto"/>
            <w:noWrap/>
            <w:vAlign w:val="center"/>
            <w:hideMark/>
          </w:tcPr>
          <w:p w14:paraId="380DE378" w14:textId="77777777" w:rsidR="00124120" w:rsidRPr="00124120" w:rsidRDefault="00124120" w:rsidP="00234CBE">
            <w:pPr>
              <w:spacing w:line="276" w:lineRule="auto"/>
              <w:jc w:val="right"/>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Violencia Doméstica</w:t>
            </w:r>
          </w:p>
        </w:tc>
        <w:tc>
          <w:tcPr>
            <w:tcW w:w="875" w:type="dxa"/>
            <w:tcBorders>
              <w:top w:val="nil"/>
              <w:left w:val="nil"/>
              <w:bottom w:val="single" w:sz="4" w:space="0" w:color="auto"/>
              <w:right w:val="single" w:sz="4" w:space="0" w:color="auto"/>
            </w:tcBorders>
            <w:shd w:val="clear" w:color="auto" w:fill="auto"/>
            <w:noWrap/>
            <w:vAlign w:val="center"/>
            <w:hideMark/>
          </w:tcPr>
          <w:p w14:paraId="07DC3163"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45958</w:t>
            </w:r>
          </w:p>
        </w:tc>
        <w:tc>
          <w:tcPr>
            <w:tcW w:w="875" w:type="dxa"/>
            <w:tcBorders>
              <w:top w:val="nil"/>
              <w:left w:val="nil"/>
              <w:bottom w:val="single" w:sz="4" w:space="0" w:color="auto"/>
              <w:right w:val="single" w:sz="4" w:space="0" w:color="auto"/>
            </w:tcBorders>
            <w:shd w:val="clear" w:color="auto" w:fill="auto"/>
            <w:noWrap/>
            <w:vAlign w:val="center"/>
            <w:hideMark/>
          </w:tcPr>
          <w:p w14:paraId="255F5EAF"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44590</w:t>
            </w:r>
          </w:p>
        </w:tc>
        <w:tc>
          <w:tcPr>
            <w:tcW w:w="846" w:type="dxa"/>
            <w:tcBorders>
              <w:top w:val="nil"/>
              <w:left w:val="nil"/>
              <w:bottom w:val="single" w:sz="4" w:space="0" w:color="auto"/>
              <w:right w:val="single" w:sz="4" w:space="0" w:color="auto"/>
            </w:tcBorders>
            <w:shd w:val="clear" w:color="auto" w:fill="auto"/>
            <w:noWrap/>
            <w:vAlign w:val="center"/>
            <w:hideMark/>
          </w:tcPr>
          <w:p w14:paraId="56C0307F"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41431</w:t>
            </w:r>
          </w:p>
        </w:tc>
        <w:tc>
          <w:tcPr>
            <w:tcW w:w="1796" w:type="dxa"/>
            <w:tcBorders>
              <w:top w:val="nil"/>
              <w:left w:val="nil"/>
              <w:bottom w:val="single" w:sz="4" w:space="0" w:color="auto"/>
              <w:right w:val="single" w:sz="4" w:space="0" w:color="auto"/>
            </w:tcBorders>
            <w:shd w:val="clear" w:color="auto" w:fill="auto"/>
            <w:noWrap/>
            <w:vAlign w:val="center"/>
            <w:hideMark/>
          </w:tcPr>
          <w:p w14:paraId="26115892"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-9,85%</w:t>
            </w:r>
          </w:p>
        </w:tc>
        <w:tc>
          <w:tcPr>
            <w:tcW w:w="1796" w:type="dxa"/>
            <w:tcBorders>
              <w:top w:val="nil"/>
              <w:left w:val="nil"/>
              <w:bottom w:val="single" w:sz="4" w:space="0" w:color="auto"/>
              <w:right w:val="single" w:sz="4" w:space="0" w:color="auto"/>
            </w:tcBorders>
            <w:shd w:val="clear" w:color="auto" w:fill="auto"/>
            <w:noWrap/>
            <w:vAlign w:val="center"/>
            <w:hideMark/>
          </w:tcPr>
          <w:p w14:paraId="027FAA1E"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-7,08%</w:t>
            </w:r>
          </w:p>
        </w:tc>
        <w:tc>
          <w:tcPr>
            <w:tcW w:w="146" w:type="dxa"/>
            <w:vAlign w:val="center"/>
            <w:hideMark/>
          </w:tcPr>
          <w:p w14:paraId="76ADE28A" w14:textId="77777777" w:rsidR="00124120" w:rsidRPr="00124120" w:rsidRDefault="00124120" w:rsidP="00234CBE">
            <w:pPr>
              <w:spacing w:line="276" w:lineRule="auto"/>
              <w:rPr>
                <w:rFonts w:ascii="Times New Roman" w:hAnsi="Times New Roman"/>
                <w:sz w:val="20"/>
                <w:szCs w:val="20"/>
                <w:lang w:eastAsia="es-CR"/>
              </w:rPr>
            </w:pPr>
          </w:p>
        </w:tc>
      </w:tr>
      <w:tr w:rsidR="00124120" w:rsidRPr="00124120" w14:paraId="116C7217" w14:textId="77777777" w:rsidTr="00124120">
        <w:trPr>
          <w:trHeight w:val="267"/>
          <w:jc w:val="center"/>
        </w:trPr>
        <w:tc>
          <w:tcPr>
            <w:tcW w:w="3217" w:type="dxa"/>
            <w:tcBorders>
              <w:top w:val="nil"/>
              <w:left w:val="single" w:sz="4" w:space="0" w:color="auto"/>
              <w:bottom w:val="single" w:sz="4" w:space="0" w:color="auto"/>
              <w:right w:val="single" w:sz="4" w:space="0" w:color="auto"/>
            </w:tcBorders>
            <w:shd w:val="clear" w:color="auto" w:fill="auto"/>
            <w:noWrap/>
            <w:vAlign w:val="center"/>
            <w:hideMark/>
          </w:tcPr>
          <w:p w14:paraId="1FFDF15A" w14:textId="77777777" w:rsidR="00124120" w:rsidRPr="00124120" w:rsidRDefault="00124120" w:rsidP="00234CBE">
            <w:pPr>
              <w:spacing w:line="276" w:lineRule="auto"/>
              <w:jc w:val="right"/>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 xml:space="preserve">Pensiones Alimentarias </w:t>
            </w:r>
          </w:p>
        </w:tc>
        <w:tc>
          <w:tcPr>
            <w:tcW w:w="875" w:type="dxa"/>
            <w:tcBorders>
              <w:top w:val="nil"/>
              <w:left w:val="nil"/>
              <w:bottom w:val="single" w:sz="4" w:space="0" w:color="auto"/>
              <w:right w:val="single" w:sz="4" w:space="0" w:color="auto"/>
            </w:tcBorders>
            <w:shd w:val="clear" w:color="auto" w:fill="auto"/>
            <w:noWrap/>
            <w:vAlign w:val="center"/>
            <w:hideMark/>
          </w:tcPr>
          <w:p w14:paraId="6C20C962"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191249</w:t>
            </w:r>
          </w:p>
        </w:tc>
        <w:tc>
          <w:tcPr>
            <w:tcW w:w="875" w:type="dxa"/>
            <w:tcBorders>
              <w:top w:val="nil"/>
              <w:left w:val="nil"/>
              <w:bottom w:val="single" w:sz="4" w:space="0" w:color="auto"/>
              <w:right w:val="single" w:sz="4" w:space="0" w:color="auto"/>
            </w:tcBorders>
            <w:shd w:val="clear" w:color="auto" w:fill="auto"/>
            <w:noWrap/>
            <w:vAlign w:val="center"/>
            <w:hideMark/>
          </w:tcPr>
          <w:p w14:paraId="40DA9D94"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181184</w:t>
            </w:r>
          </w:p>
        </w:tc>
        <w:tc>
          <w:tcPr>
            <w:tcW w:w="846" w:type="dxa"/>
            <w:tcBorders>
              <w:top w:val="nil"/>
              <w:left w:val="nil"/>
              <w:bottom w:val="single" w:sz="4" w:space="0" w:color="auto"/>
              <w:right w:val="single" w:sz="4" w:space="0" w:color="auto"/>
            </w:tcBorders>
            <w:shd w:val="clear" w:color="auto" w:fill="auto"/>
            <w:noWrap/>
            <w:vAlign w:val="center"/>
            <w:hideMark/>
          </w:tcPr>
          <w:p w14:paraId="1DDBFCAD"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187114</w:t>
            </w:r>
          </w:p>
        </w:tc>
        <w:tc>
          <w:tcPr>
            <w:tcW w:w="1796" w:type="dxa"/>
            <w:tcBorders>
              <w:top w:val="nil"/>
              <w:left w:val="nil"/>
              <w:bottom w:val="single" w:sz="4" w:space="0" w:color="auto"/>
              <w:right w:val="single" w:sz="4" w:space="0" w:color="auto"/>
            </w:tcBorders>
            <w:shd w:val="clear" w:color="auto" w:fill="auto"/>
            <w:noWrap/>
            <w:vAlign w:val="center"/>
            <w:hideMark/>
          </w:tcPr>
          <w:p w14:paraId="1B793E62"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-2,16%</w:t>
            </w:r>
          </w:p>
        </w:tc>
        <w:tc>
          <w:tcPr>
            <w:tcW w:w="1796" w:type="dxa"/>
            <w:tcBorders>
              <w:top w:val="nil"/>
              <w:left w:val="nil"/>
              <w:bottom w:val="single" w:sz="4" w:space="0" w:color="auto"/>
              <w:right w:val="single" w:sz="4" w:space="0" w:color="auto"/>
            </w:tcBorders>
            <w:shd w:val="clear" w:color="auto" w:fill="auto"/>
            <w:noWrap/>
            <w:vAlign w:val="center"/>
            <w:hideMark/>
          </w:tcPr>
          <w:p w14:paraId="155AFEA9"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3,27%</w:t>
            </w:r>
          </w:p>
        </w:tc>
        <w:tc>
          <w:tcPr>
            <w:tcW w:w="146" w:type="dxa"/>
            <w:vAlign w:val="center"/>
            <w:hideMark/>
          </w:tcPr>
          <w:p w14:paraId="5EE850B1" w14:textId="77777777" w:rsidR="00124120" w:rsidRPr="00124120" w:rsidRDefault="00124120" w:rsidP="00234CBE">
            <w:pPr>
              <w:spacing w:line="276" w:lineRule="auto"/>
              <w:rPr>
                <w:rFonts w:ascii="Times New Roman" w:hAnsi="Times New Roman"/>
                <w:sz w:val="20"/>
                <w:szCs w:val="20"/>
                <w:lang w:eastAsia="es-CR"/>
              </w:rPr>
            </w:pPr>
          </w:p>
        </w:tc>
      </w:tr>
      <w:tr w:rsidR="00124120" w:rsidRPr="00124120" w14:paraId="33CF01F6" w14:textId="77777777" w:rsidTr="00124120">
        <w:trPr>
          <w:trHeight w:val="267"/>
          <w:jc w:val="center"/>
        </w:trPr>
        <w:tc>
          <w:tcPr>
            <w:tcW w:w="3217" w:type="dxa"/>
            <w:tcBorders>
              <w:top w:val="nil"/>
              <w:left w:val="single" w:sz="4" w:space="0" w:color="auto"/>
              <w:bottom w:val="single" w:sz="4" w:space="0" w:color="auto"/>
              <w:right w:val="single" w:sz="4" w:space="0" w:color="auto"/>
            </w:tcBorders>
            <w:shd w:val="clear" w:color="auto" w:fill="auto"/>
            <w:noWrap/>
            <w:vAlign w:val="center"/>
            <w:hideMark/>
          </w:tcPr>
          <w:p w14:paraId="0861A364" w14:textId="77777777" w:rsidR="00124120" w:rsidRPr="00124120" w:rsidRDefault="00124120" w:rsidP="00234CBE">
            <w:pPr>
              <w:spacing w:line="276" w:lineRule="auto"/>
              <w:jc w:val="right"/>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Familia</w:t>
            </w:r>
          </w:p>
        </w:tc>
        <w:tc>
          <w:tcPr>
            <w:tcW w:w="875" w:type="dxa"/>
            <w:tcBorders>
              <w:top w:val="nil"/>
              <w:left w:val="nil"/>
              <w:bottom w:val="single" w:sz="4" w:space="0" w:color="auto"/>
              <w:right w:val="single" w:sz="4" w:space="0" w:color="auto"/>
            </w:tcBorders>
            <w:shd w:val="clear" w:color="auto" w:fill="auto"/>
            <w:noWrap/>
            <w:vAlign w:val="center"/>
            <w:hideMark/>
          </w:tcPr>
          <w:p w14:paraId="24C5EE4C"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21800</w:t>
            </w:r>
          </w:p>
        </w:tc>
        <w:tc>
          <w:tcPr>
            <w:tcW w:w="875" w:type="dxa"/>
            <w:tcBorders>
              <w:top w:val="nil"/>
              <w:left w:val="nil"/>
              <w:bottom w:val="single" w:sz="4" w:space="0" w:color="auto"/>
              <w:right w:val="single" w:sz="4" w:space="0" w:color="auto"/>
            </w:tcBorders>
            <w:shd w:val="clear" w:color="auto" w:fill="auto"/>
            <w:noWrap/>
            <w:vAlign w:val="center"/>
            <w:hideMark/>
          </w:tcPr>
          <w:p w14:paraId="5853B193"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19869</w:t>
            </w:r>
          </w:p>
        </w:tc>
        <w:tc>
          <w:tcPr>
            <w:tcW w:w="846" w:type="dxa"/>
            <w:tcBorders>
              <w:top w:val="nil"/>
              <w:left w:val="nil"/>
              <w:bottom w:val="single" w:sz="4" w:space="0" w:color="auto"/>
              <w:right w:val="single" w:sz="4" w:space="0" w:color="auto"/>
            </w:tcBorders>
            <w:shd w:val="clear" w:color="auto" w:fill="auto"/>
            <w:noWrap/>
            <w:vAlign w:val="center"/>
            <w:hideMark/>
          </w:tcPr>
          <w:p w14:paraId="1DD037AF"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20139</w:t>
            </w:r>
          </w:p>
        </w:tc>
        <w:tc>
          <w:tcPr>
            <w:tcW w:w="1796" w:type="dxa"/>
            <w:tcBorders>
              <w:top w:val="nil"/>
              <w:left w:val="nil"/>
              <w:bottom w:val="single" w:sz="4" w:space="0" w:color="auto"/>
              <w:right w:val="single" w:sz="4" w:space="0" w:color="auto"/>
            </w:tcBorders>
            <w:shd w:val="clear" w:color="auto" w:fill="auto"/>
            <w:noWrap/>
            <w:vAlign w:val="center"/>
            <w:hideMark/>
          </w:tcPr>
          <w:p w14:paraId="57F501E6"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-7,62%</w:t>
            </w:r>
          </w:p>
        </w:tc>
        <w:tc>
          <w:tcPr>
            <w:tcW w:w="1796" w:type="dxa"/>
            <w:tcBorders>
              <w:top w:val="nil"/>
              <w:left w:val="nil"/>
              <w:bottom w:val="single" w:sz="4" w:space="0" w:color="auto"/>
              <w:right w:val="single" w:sz="4" w:space="0" w:color="auto"/>
            </w:tcBorders>
            <w:shd w:val="clear" w:color="auto" w:fill="auto"/>
            <w:noWrap/>
            <w:vAlign w:val="center"/>
            <w:hideMark/>
          </w:tcPr>
          <w:p w14:paraId="6D56BFC6"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1,36%</w:t>
            </w:r>
          </w:p>
        </w:tc>
        <w:tc>
          <w:tcPr>
            <w:tcW w:w="146" w:type="dxa"/>
            <w:vAlign w:val="center"/>
            <w:hideMark/>
          </w:tcPr>
          <w:p w14:paraId="34080C5C" w14:textId="77777777" w:rsidR="00124120" w:rsidRPr="00124120" w:rsidRDefault="00124120" w:rsidP="00234CBE">
            <w:pPr>
              <w:spacing w:line="276" w:lineRule="auto"/>
              <w:rPr>
                <w:rFonts w:ascii="Times New Roman" w:hAnsi="Times New Roman"/>
                <w:sz w:val="20"/>
                <w:szCs w:val="20"/>
                <w:lang w:eastAsia="es-CR"/>
              </w:rPr>
            </w:pPr>
          </w:p>
        </w:tc>
      </w:tr>
      <w:tr w:rsidR="00124120" w:rsidRPr="00124120" w14:paraId="4F81FA10" w14:textId="77777777" w:rsidTr="00124120">
        <w:trPr>
          <w:trHeight w:val="267"/>
          <w:jc w:val="center"/>
        </w:trPr>
        <w:tc>
          <w:tcPr>
            <w:tcW w:w="3217" w:type="dxa"/>
            <w:tcBorders>
              <w:top w:val="nil"/>
              <w:left w:val="single" w:sz="4" w:space="0" w:color="auto"/>
              <w:bottom w:val="single" w:sz="4" w:space="0" w:color="auto"/>
              <w:right w:val="single" w:sz="4" w:space="0" w:color="auto"/>
            </w:tcBorders>
            <w:shd w:val="clear" w:color="auto" w:fill="auto"/>
            <w:noWrap/>
            <w:vAlign w:val="center"/>
            <w:hideMark/>
          </w:tcPr>
          <w:p w14:paraId="278AFA5C" w14:textId="77777777" w:rsidR="00124120" w:rsidRPr="00124120" w:rsidRDefault="00124120" w:rsidP="00234CBE">
            <w:pPr>
              <w:spacing w:line="276" w:lineRule="auto"/>
              <w:jc w:val="right"/>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Agrario</w:t>
            </w:r>
          </w:p>
        </w:tc>
        <w:tc>
          <w:tcPr>
            <w:tcW w:w="875" w:type="dxa"/>
            <w:tcBorders>
              <w:top w:val="nil"/>
              <w:left w:val="nil"/>
              <w:bottom w:val="single" w:sz="4" w:space="0" w:color="auto"/>
              <w:right w:val="single" w:sz="4" w:space="0" w:color="auto"/>
            </w:tcBorders>
            <w:shd w:val="clear" w:color="auto" w:fill="auto"/>
            <w:noWrap/>
            <w:vAlign w:val="center"/>
            <w:hideMark/>
          </w:tcPr>
          <w:p w14:paraId="19B3538C"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7034</w:t>
            </w:r>
          </w:p>
        </w:tc>
        <w:tc>
          <w:tcPr>
            <w:tcW w:w="875" w:type="dxa"/>
            <w:tcBorders>
              <w:top w:val="nil"/>
              <w:left w:val="nil"/>
              <w:bottom w:val="single" w:sz="4" w:space="0" w:color="auto"/>
              <w:right w:val="single" w:sz="4" w:space="0" w:color="auto"/>
            </w:tcBorders>
            <w:shd w:val="clear" w:color="auto" w:fill="auto"/>
            <w:noWrap/>
            <w:vAlign w:val="center"/>
            <w:hideMark/>
          </w:tcPr>
          <w:p w14:paraId="0F98D736"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7094</w:t>
            </w:r>
          </w:p>
        </w:tc>
        <w:tc>
          <w:tcPr>
            <w:tcW w:w="846" w:type="dxa"/>
            <w:tcBorders>
              <w:top w:val="nil"/>
              <w:left w:val="nil"/>
              <w:bottom w:val="single" w:sz="4" w:space="0" w:color="auto"/>
              <w:right w:val="single" w:sz="4" w:space="0" w:color="auto"/>
            </w:tcBorders>
            <w:shd w:val="clear" w:color="auto" w:fill="auto"/>
            <w:noWrap/>
            <w:vAlign w:val="center"/>
            <w:hideMark/>
          </w:tcPr>
          <w:p w14:paraId="7584F2AE"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7507</w:t>
            </w:r>
          </w:p>
        </w:tc>
        <w:tc>
          <w:tcPr>
            <w:tcW w:w="1796" w:type="dxa"/>
            <w:tcBorders>
              <w:top w:val="nil"/>
              <w:left w:val="nil"/>
              <w:bottom w:val="single" w:sz="4" w:space="0" w:color="auto"/>
              <w:right w:val="single" w:sz="4" w:space="0" w:color="auto"/>
            </w:tcBorders>
            <w:shd w:val="clear" w:color="auto" w:fill="auto"/>
            <w:noWrap/>
            <w:vAlign w:val="center"/>
            <w:hideMark/>
          </w:tcPr>
          <w:p w14:paraId="085EE2AB"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6,72%</w:t>
            </w:r>
          </w:p>
        </w:tc>
        <w:tc>
          <w:tcPr>
            <w:tcW w:w="1796" w:type="dxa"/>
            <w:tcBorders>
              <w:top w:val="nil"/>
              <w:left w:val="nil"/>
              <w:bottom w:val="single" w:sz="4" w:space="0" w:color="auto"/>
              <w:right w:val="single" w:sz="4" w:space="0" w:color="auto"/>
            </w:tcBorders>
            <w:shd w:val="clear" w:color="auto" w:fill="auto"/>
            <w:noWrap/>
            <w:vAlign w:val="center"/>
            <w:hideMark/>
          </w:tcPr>
          <w:p w14:paraId="3B2A6B80"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5,82%</w:t>
            </w:r>
          </w:p>
        </w:tc>
        <w:tc>
          <w:tcPr>
            <w:tcW w:w="146" w:type="dxa"/>
            <w:vAlign w:val="center"/>
            <w:hideMark/>
          </w:tcPr>
          <w:p w14:paraId="656ADBDF" w14:textId="77777777" w:rsidR="00124120" w:rsidRPr="00124120" w:rsidRDefault="00124120" w:rsidP="00234CBE">
            <w:pPr>
              <w:spacing w:line="276" w:lineRule="auto"/>
              <w:rPr>
                <w:rFonts w:ascii="Times New Roman" w:hAnsi="Times New Roman"/>
                <w:sz w:val="20"/>
                <w:szCs w:val="20"/>
                <w:lang w:eastAsia="es-CR"/>
              </w:rPr>
            </w:pPr>
          </w:p>
        </w:tc>
      </w:tr>
      <w:tr w:rsidR="00124120" w:rsidRPr="00124120" w14:paraId="0F4CBD6C" w14:textId="77777777" w:rsidTr="00124120">
        <w:trPr>
          <w:trHeight w:val="267"/>
          <w:jc w:val="center"/>
        </w:trPr>
        <w:tc>
          <w:tcPr>
            <w:tcW w:w="3217" w:type="dxa"/>
            <w:tcBorders>
              <w:top w:val="nil"/>
              <w:left w:val="single" w:sz="4" w:space="0" w:color="auto"/>
              <w:bottom w:val="single" w:sz="4" w:space="0" w:color="auto"/>
              <w:right w:val="single" w:sz="4" w:space="0" w:color="auto"/>
            </w:tcBorders>
            <w:shd w:val="clear" w:color="auto" w:fill="auto"/>
            <w:noWrap/>
            <w:vAlign w:val="center"/>
            <w:hideMark/>
          </w:tcPr>
          <w:p w14:paraId="486321E9" w14:textId="77777777" w:rsidR="00124120" w:rsidRPr="00124120" w:rsidRDefault="00124120" w:rsidP="00234CBE">
            <w:pPr>
              <w:spacing w:line="276" w:lineRule="auto"/>
              <w:jc w:val="right"/>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Tránsito</w:t>
            </w:r>
          </w:p>
        </w:tc>
        <w:tc>
          <w:tcPr>
            <w:tcW w:w="875" w:type="dxa"/>
            <w:tcBorders>
              <w:top w:val="nil"/>
              <w:left w:val="nil"/>
              <w:bottom w:val="single" w:sz="4" w:space="0" w:color="auto"/>
              <w:right w:val="single" w:sz="4" w:space="0" w:color="auto"/>
            </w:tcBorders>
            <w:shd w:val="clear" w:color="auto" w:fill="auto"/>
            <w:noWrap/>
            <w:vAlign w:val="center"/>
            <w:hideMark/>
          </w:tcPr>
          <w:p w14:paraId="1E18C947"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25437</w:t>
            </w:r>
          </w:p>
        </w:tc>
        <w:tc>
          <w:tcPr>
            <w:tcW w:w="875" w:type="dxa"/>
            <w:tcBorders>
              <w:top w:val="nil"/>
              <w:left w:val="nil"/>
              <w:bottom w:val="single" w:sz="4" w:space="0" w:color="auto"/>
              <w:right w:val="single" w:sz="4" w:space="0" w:color="auto"/>
            </w:tcBorders>
            <w:shd w:val="clear" w:color="auto" w:fill="auto"/>
            <w:noWrap/>
            <w:vAlign w:val="center"/>
            <w:hideMark/>
          </w:tcPr>
          <w:p w14:paraId="37EE7645"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18580</w:t>
            </w:r>
          </w:p>
        </w:tc>
        <w:tc>
          <w:tcPr>
            <w:tcW w:w="846" w:type="dxa"/>
            <w:tcBorders>
              <w:top w:val="nil"/>
              <w:left w:val="nil"/>
              <w:bottom w:val="single" w:sz="4" w:space="0" w:color="auto"/>
              <w:right w:val="single" w:sz="4" w:space="0" w:color="auto"/>
            </w:tcBorders>
            <w:shd w:val="clear" w:color="auto" w:fill="auto"/>
            <w:noWrap/>
            <w:vAlign w:val="center"/>
            <w:hideMark/>
          </w:tcPr>
          <w:p w14:paraId="523C07DD"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18646</w:t>
            </w:r>
          </w:p>
        </w:tc>
        <w:tc>
          <w:tcPr>
            <w:tcW w:w="1796" w:type="dxa"/>
            <w:tcBorders>
              <w:top w:val="nil"/>
              <w:left w:val="nil"/>
              <w:bottom w:val="single" w:sz="4" w:space="0" w:color="auto"/>
              <w:right w:val="single" w:sz="4" w:space="0" w:color="auto"/>
            </w:tcBorders>
            <w:shd w:val="clear" w:color="auto" w:fill="auto"/>
            <w:noWrap/>
            <w:vAlign w:val="center"/>
            <w:hideMark/>
          </w:tcPr>
          <w:p w14:paraId="6406781C"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-26,70%</w:t>
            </w:r>
          </w:p>
        </w:tc>
        <w:tc>
          <w:tcPr>
            <w:tcW w:w="1796" w:type="dxa"/>
            <w:tcBorders>
              <w:top w:val="nil"/>
              <w:left w:val="nil"/>
              <w:bottom w:val="single" w:sz="4" w:space="0" w:color="auto"/>
              <w:right w:val="single" w:sz="4" w:space="0" w:color="auto"/>
            </w:tcBorders>
            <w:shd w:val="clear" w:color="auto" w:fill="auto"/>
            <w:noWrap/>
            <w:vAlign w:val="center"/>
            <w:hideMark/>
          </w:tcPr>
          <w:p w14:paraId="673AA74E"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0,36%</w:t>
            </w:r>
          </w:p>
        </w:tc>
        <w:tc>
          <w:tcPr>
            <w:tcW w:w="146" w:type="dxa"/>
            <w:vAlign w:val="center"/>
            <w:hideMark/>
          </w:tcPr>
          <w:p w14:paraId="50315312" w14:textId="77777777" w:rsidR="00124120" w:rsidRPr="00124120" w:rsidRDefault="00124120" w:rsidP="00234CBE">
            <w:pPr>
              <w:spacing w:line="276" w:lineRule="auto"/>
              <w:rPr>
                <w:rFonts w:ascii="Times New Roman" w:hAnsi="Times New Roman"/>
                <w:sz w:val="20"/>
                <w:szCs w:val="20"/>
                <w:lang w:eastAsia="es-CR"/>
              </w:rPr>
            </w:pPr>
          </w:p>
        </w:tc>
      </w:tr>
      <w:tr w:rsidR="00124120" w:rsidRPr="00124120" w14:paraId="2E3C6414" w14:textId="77777777" w:rsidTr="00124120">
        <w:trPr>
          <w:trHeight w:val="267"/>
          <w:jc w:val="center"/>
        </w:trPr>
        <w:tc>
          <w:tcPr>
            <w:tcW w:w="3217" w:type="dxa"/>
            <w:tcBorders>
              <w:top w:val="nil"/>
              <w:left w:val="single" w:sz="4" w:space="0" w:color="auto"/>
              <w:bottom w:val="single" w:sz="4" w:space="0" w:color="auto"/>
              <w:right w:val="single" w:sz="4" w:space="0" w:color="auto"/>
            </w:tcBorders>
            <w:shd w:val="clear" w:color="auto" w:fill="auto"/>
            <w:noWrap/>
            <w:vAlign w:val="center"/>
            <w:hideMark/>
          </w:tcPr>
          <w:p w14:paraId="0E0B9095" w14:textId="77777777" w:rsidR="00124120" w:rsidRPr="00124120" w:rsidRDefault="00124120" w:rsidP="00234CBE">
            <w:pPr>
              <w:spacing w:line="276" w:lineRule="auto"/>
              <w:jc w:val="right"/>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Contravenciones</w:t>
            </w:r>
          </w:p>
        </w:tc>
        <w:tc>
          <w:tcPr>
            <w:tcW w:w="875" w:type="dxa"/>
            <w:tcBorders>
              <w:top w:val="nil"/>
              <w:left w:val="nil"/>
              <w:bottom w:val="single" w:sz="4" w:space="0" w:color="auto"/>
              <w:right w:val="single" w:sz="4" w:space="0" w:color="auto"/>
            </w:tcBorders>
            <w:shd w:val="clear" w:color="auto" w:fill="auto"/>
            <w:noWrap/>
            <w:vAlign w:val="center"/>
            <w:hideMark/>
          </w:tcPr>
          <w:p w14:paraId="6CB66E61"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23185</w:t>
            </w:r>
          </w:p>
        </w:tc>
        <w:tc>
          <w:tcPr>
            <w:tcW w:w="875" w:type="dxa"/>
            <w:tcBorders>
              <w:top w:val="nil"/>
              <w:left w:val="nil"/>
              <w:bottom w:val="single" w:sz="4" w:space="0" w:color="auto"/>
              <w:right w:val="single" w:sz="4" w:space="0" w:color="auto"/>
            </w:tcBorders>
            <w:shd w:val="clear" w:color="auto" w:fill="auto"/>
            <w:noWrap/>
            <w:vAlign w:val="center"/>
            <w:hideMark/>
          </w:tcPr>
          <w:p w14:paraId="2DB57FAB"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22936</w:t>
            </w:r>
          </w:p>
        </w:tc>
        <w:tc>
          <w:tcPr>
            <w:tcW w:w="846" w:type="dxa"/>
            <w:tcBorders>
              <w:top w:val="nil"/>
              <w:left w:val="nil"/>
              <w:bottom w:val="single" w:sz="4" w:space="0" w:color="auto"/>
              <w:right w:val="single" w:sz="4" w:space="0" w:color="auto"/>
            </w:tcBorders>
            <w:shd w:val="clear" w:color="auto" w:fill="auto"/>
            <w:noWrap/>
            <w:vAlign w:val="center"/>
            <w:hideMark/>
          </w:tcPr>
          <w:p w14:paraId="26EF837D"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19246</w:t>
            </w:r>
          </w:p>
        </w:tc>
        <w:tc>
          <w:tcPr>
            <w:tcW w:w="1796" w:type="dxa"/>
            <w:tcBorders>
              <w:top w:val="nil"/>
              <w:left w:val="nil"/>
              <w:bottom w:val="single" w:sz="4" w:space="0" w:color="auto"/>
              <w:right w:val="single" w:sz="4" w:space="0" w:color="auto"/>
            </w:tcBorders>
            <w:shd w:val="clear" w:color="auto" w:fill="auto"/>
            <w:noWrap/>
            <w:vAlign w:val="center"/>
            <w:hideMark/>
          </w:tcPr>
          <w:p w14:paraId="4D940702"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-16,99%</w:t>
            </w:r>
          </w:p>
        </w:tc>
        <w:tc>
          <w:tcPr>
            <w:tcW w:w="1796" w:type="dxa"/>
            <w:tcBorders>
              <w:top w:val="nil"/>
              <w:left w:val="nil"/>
              <w:bottom w:val="single" w:sz="4" w:space="0" w:color="auto"/>
              <w:right w:val="single" w:sz="4" w:space="0" w:color="auto"/>
            </w:tcBorders>
            <w:shd w:val="clear" w:color="auto" w:fill="auto"/>
            <w:noWrap/>
            <w:vAlign w:val="center"/>
            <w:hideMark/>
          </w:tcPr>
          <w:p w14:paraId="42DDC532"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-16,09%</w:t>
            </w:r>
          </w:p>
        </w:tc>
        <w:tc>
          <w:tcPr>
            <w:tcW w:w="146" w:type="dxa"/>
            <w:vAlign w:val="center"/>
            <w:hideMark/>
          </w:tcPr>
          <w:p w14:paraId="50E2F777" w14:textId="77777777" w:rsidR="00124120" w:rsidRPr="00124120" w:rsidRDefault="00124120" w:rsidP="00234CBE">
            <w:pPr>
              <w:spacing w:line="276" w:lineRule="auto"/>
              <w:rPr>
                <w:rFonts w:ascii="Times New Roman" w:hAnsi="Times New Roman"/>
                <w:sz w:val="20"/>
                <w:szCs w:val="20"/>
                <w:lang w:eastAsia="es-CR"/>
              </w:rPr>
            </w:pPr>
          </w:p>
        </w:tc>
      </w:tr>
      <w:tr w:rsidR="00124120" w:rsidRPr="00124120" w14:paraId="6CC2D9EA" w14:textId="77777777" w:rsidTr="00124120">
        <w:trPr>
          <w:trHeight w:val="267"/>
          <w:jc w:val="center"/>
        </w:trPr>
        <w:tc>
          <w:tcPr>
            <w:tcW w:w="3217" w:type="dxa"/>
            <w:tcBorders>
              <w:top w:val="nil"/>
              <w:left w:val="single" w:sz="4" w:space="0" w:color="auto"/>
              <w:bottom w:val="single" w:sz="4" w:space="0" w:color="auto"/>
              <w:right w:val="single" w:sz="4" w:space="0" w:color="auto"/>
            </w:tcBorders>
            <w:shd w:val="clear" w:color="auto" w:fill="auto"/>
            <w:noWrap/>
            <w:vAlign w:val="center"/>
            <w:hideMark/>
          </w:tcPr>
          <w:p w14:paraId="5DD8108E" w14:textId="77777777" w:rsidR="00124120" w:rsidRPr="00124120" w:rsidRDefault="00124120" w:rsidP="00234CBE">
            <w:pPr>
              <w:spacing w:line="276" w:lineRule="auto"/>
              <w:jc w:val="right"/>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Laboral</w:t>
            </w:r>
          </w:p>
        </w:tc>
        <w:tc>
          <w:tcPr>
            <w:tcW w:w="875" w:type="dxa"/>
            <w:tcBorders>
              <w:top w:val="nil"/>
              <w:left w:val="nil"/>
              <w:bottom w:val="single" w:sz="4" w:space="0" w:color="auto"/>
              <w:right w:val="single" w:sz="4" w:space="0" w:color="auto"/>
            </w:tcBorders>
            <w:shd w:val="clear" w:color="auto" w:fill="auto"/>
            <w:noWrap/>
            <w:vAlign w:val="center"/>
            <w:hideMark/>
          </w:tcPr>
          <w:p w14:paraId="450007C1"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51973</w:t>
            </w:r>
          </w:p>
        </w:tc>
        <w:tc>
          <w:tcPr>
            <w:tcW w:w="875" w:type="dxa"/>
            <w:tcBorders>
              <w:top w:val="nil"/>
              <w:left w:val="nil"/>
              <w:bottom w:val="single" w:sz="4" w:space="0" w:color="auto"/>
              <w:right w:val="single" w:sz="4" w:space="0" w:color="auto"/>
            </w:tcBorders>
            <w:shd w:val="clear" w:color="auto" w:fill="auto"/>
            <w:noWrap/>
            <w:vAlign w:val="center"/>
            <w:hideMark/>
          </w:tcPr>
          <w:p w14:paraId="2D364DBB"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53587</w:t>
            </w:r>
          </w:p>
        </w:tc>
        <w:tc>
          <w:tcPr>
            <w:tcW w:w="846" w:type="dxa"/>
            <w:tcBorders>
              <w:top w:val="nil"/>
              <w:left w:val="nil"/>
              <w:bottom w:val="single" w:sz="4" w:space="0" w:color="auto"/>
              <w:right w:val="single" w:sz="4" w:space="0" w:color="auto"/>
            </w:tcBorders>
            <w:shd w:val="clear" w:color="auto" w:fill="auto"/>
            <w:noWrap/>
            <w:vAlign w:val="center"/>
            <w:hideMark/>
          </w:tcPr>
          <w:p w14:paraId="1750D7E0"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54015</w:t>
            </w:r>
          </w:p>
        </w:tc>
        <w:tc>
          <w:tcPr>
            <w:tcW w:w="1796" w:type="dxa"/>
            <w:tcBorders>
              <w:top w:val="nil"/>
              <w:left w:val="nil"/>
              <w:bottom w:val="single" w:sz="4" w:space="0" w:color="auto"/>
              <w:right w:val="single" w:sz="4" w:space="0" w:color="auto"/>
            </w:tcBorders>
            <w:shd w:val="clear" w:color="auto" w:fill="auto"/>
            <w:noWrap/>
            <w:vAlign w:val="center"/>
            <w:hideMark/>
          </w:tcPr>
          <w:p w14:paraId="13767728"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3,93%</w:t>
            </w:r>
          </w:p>
        </w:tc>
        <w:tc>
          <w:tcPr>
            <w:tcW w:w="1796" w:type="dxa"/>
            <w:tcBorders>
              <w:top w:val="nil"/>
              <w:left w:val="nil"/>
              <w:bottom w:val="single" w:sz="4" w:space="0" w:color="auto"/>
              <w:right w:val="single" w:sz="4" w:space="0" w:color="auto"/>
            </w:tcBorders>
            <w:shd w:val="clear" w:color="auto" w:fill="auto"/>
            <w:noWrap/>
            <w:vAlign w:val="center"/>
            <w:hideMark/>
          </w:tcPr>
          <w:p w14:paraId="42C5F7A6" w14:textId="77777777" w:rsidR="00124120" w:rsidRPr="00124120" w:rsidRDefault="00124120" w:rsidP="00234CBE">
            <w:pPr>
              <w:spacing w:line="276" w:lineRule="auto"/>
              <w:jc w:val="center"/>
              <w:rPr>
                <w:rFonts w:ascii="Book Antiqua" w:hAnsi="Book Antiqua" w:cs="Calibri"/>
                <w:color w:val="000000"/>
                <w:sz w:val="16"/>
                <w:szCs w:val="16"/>
                <w:lang w:eastAsia="es-CR"/>
              </w:rPr>
            </w:pPr>
            <w:r w:rsidRPr="00124120">
              <w:rPr>
                <w:rFonts w:ascii="Book Antiqua" w:hAnsi="Book Antiqua" w:cs="Calibri"/>
                <w:color w:val="000000"/>
                <w:sz w:val="16"/>
                <w:szCs w:val="16"/>
                <w:lang w:eastAsia="es-CR"/>
              </w:rPr>
              <w:t>0,80%</w:t>
            </w:r>
          </w:p>
        </w:tc>
        <w:tc>
          <w:tcPr>
            <w:tcW w:w="146" w:type="dxa"/>
            <w:vAlign w:val="center"/>
            <w:hideMark/>
          </w:tcPr>
          <w:p w14:paraId="3FBA6509" w14:textId="77777777" w:rsidR="00124120" w:rsidRPr="00124120" w:rsidRDefault="00124120" w:rsidP="00234CBE">
            <w:pPr>
              <w:spacing w:line="276" w:lineRule="auto"/>
              <w:rPr>
                <w:rFonts w:ascii="Times New Roman" w:hAnsi="Times New Roman"/>
                <w:sz w:val="20"/>
                <w:szCs w:val="20"/>
                <w:lang w:eastAsia="es-CR"/>
              </w:rPr>
            </w:pPr>
          </w:p>
        </w:tc>
      </w:tr>
    </w:tbl>
    <w:p w14:paraId="6202BEF6" w14:textId="77777777" w:rsidR="0059268A" w:rsidRDefault="0059268A" w:rsidP="00234CBE">
      <w:pPr>
        <w:shd w:val="clear" w:color="auto" w:fill="FFFFFF" w:themeFill="background1"/>
        <w:spacing w:line="276" w:lineRule="auto"/>
        <w:jc w:val="center"/>
        <w:rPr>
          <w:rFonts w:ascii="Book Antiqua" w:hAnsi="Book Antiqua" w:cs="Book Antiqua"/>
          <w:snapToGrid w:val="0"/>
          <w:color w:val="000000" w:themeColor="text1"/>
        </w:rPr>
      </w:pPr>
      <w:r w:rsidRPr="0059268A">
        <w:rPr>
          <w:rFonts w:ascii="Book Antiqua" w:hAnsi="Book Antiqua" w:cs="Calibri"/>
          <w:b/>
          <w:bCs/>
          <w:color w:val="000000"/>
          <w:sz w:val="20"/>
          <w:szCs w:val="20"/>
          <w:lang w:eastAsia="es-CR"/>
        </w:rPr>
        <w:t>Fuente:</w:t>
      </w:r>
      <w:r w:rsidRPr="00D44482">
        <w:rPr>
          <w:rFonts w:ascii="Book Antiqua" w:hAnsi="Book Antiqua" w:cs="Calibri"/>
          <w:color w:val="000000"/>
          <w:sz w:val="20"/>
          <w:szCs w:val="20"/>
          <w:lang w:eastAsia="es-CR"/>
        </w:rPr>
        <w:t xml:space="preserve"> </w:t>
      </w:r>
      <w:r>
        <w:rPr>
          <w:rFonts w:ascii="Book Antiqua" w:hAnsi="Book Antiqua" w:cs="Calibri"/>
          <w:color w:val="000000"/>
          <w:sz w:val="20"/>
          <w:szCs w:val="20"/>
          <w:lang w:eastAsia="es-CR"/>
        </w:rPr>
        <w:t>Elaboración propia a partir de las estadísticas del Subproceso de Estadística</w:t>
      </w:r>
    </w:p>
    <w:p w14:paraId="2211116F" w14:textId="0CE1B0BA" w:rsidR="00FA5A9A" w:rsidRDefault="00FA5A9A" w:rsidP="00234CBE">
      <w:pPr>
        <w:shd w:val="clear" w:color="auto" w:fill="FFFFFF" w:themeFill="background1"/>
        <w:spacing w:after="160" w:line="276" w:lineRule="auto"/>
        <w:jc w:val="both"/>
        <w:rPr>
          <w:rFonts w:ascii="Book Antiqua" w:hAnsi="Book Antiqua"/>
          <w:lang w:val="es-ES_tradnl" w:eastAsia="en-US"/>
        </w:rPr>
      </w:pPr>
    </w:p>
    <w:p w14:paraId="59801496" w14:textId="6A3101AA" w:rsidR="00BC1095" w:rsidRDefault="002C4B87" w:rsidP="00234CBE">
      <w:pPr>
        <w:shd w:val="clear" w:color="auto" w:fill="FFFFFF" w:themeFill="background1"/>
        <w:spacing w:after="160" w:line="276" w:lineRule="auto"/>
        <w:jc w:val="both"/>
        <w:rPr>
          <w:rFonts w:ascii="Book Antiqua" w:hAnsi="Book Antiqua"/>
          <w:lang w:val="es-ES_tradnl" w:eastAsia="en-US"/>
        </w:rPr>
      </w:pPr>
      <w:r>
        <w:rPr>
          <w:rFonts w:ascii="Book Antiqua" w:hAnsi="Book Antiqua"/>
          <w:lang w:val="es-ES_tradnl" w:eastAsia="en-US"/>
        </w:rPr>
        <w:t>Asimismo, se inserta la cantidad</w:t>
      </w:r>
      <w:r w:rsidRPr="00665A8E">
        <w:rPr>
          <w:rFonts w:ascii="Book Antiqua" w:hAnsi="Book Antiqua"/>
          <w:lang w:val="es-ES_tradnl" w:eastAsia="en-US"/>
        </w:rPr>
        <w:t xml:space="preserve"> asuntos activos </w:t>
      </w:r>
      <w:r>
        <w:rPr>
          <w:rFonts w:ascii="Book Antiqua" w:hAnsi="Book Antiqua"/>
          <w:lang w:val="es-ES_tradnl" w:eastAsia="en-US"/>
        </w:rPr>
        <w:t xml:space="preserve">de los periodos analizados, </w:t>
      </w:r>
      <w:r w:rsidR="00BC1095">
        <w:rPr>
          <w:rFonts w:ascii="Book Antiqua" w:hAnsi="Book Antiqua"/>
          <w:lang w:val="es-ES_tradnl" w:eastAsia="en-US"/>
        </w:rPr>
        <w:t>contemplando</w:t>
      </w:r>
      <w:r>
        <w:rPr>
          <w:rFonts w:ascii="Book Antiqua" w:hAnsi="Book Antiqua"/>
          <w:lang w:val="es-ES_tradnl" w:eastAsia="en-US"/>
        </w:rPr>
        <w:t xml:space="preserve"> </w:t>
      </w:r>
      <w:r w:rsidR="00BC1095">
        <w:rPr>
          <w:rFonts w:ascii="Book Antiqua" w:hAnsi="Book Antiqua"/>
          <w:lang w:val="es-ES_tradnl" w:eastAsia="en-US"/>
        </w:rPr>
        <w:t>la materia cobratoria</w:t>
      </w:r>
      <w:r w:rsidRPr="00665A8E">
        <w:rPr>
          <w:rFonts w:ascii="Book Antiqua" w:hAnsi="Book Antiqua"/>
          <w:lang w:val="es-ES_tradnl" w:eastAsia="en-US"/>
        </w:rPr>
        <w:t>:</w:t>
      </w:r>
    </w:p>
    <w:p w14:paraId="7519B7B6" w14:textId="77777777" w:rsidR="00946BEE" w:rsidRPr="004F0E92" w:rsidRDefault="00946BEE" w:rsidP="00234CBE">
      <w:pPr>
        <w:shd w:val="clear" w:color="auto" w:fill="FFFFFF" w:themeFill="background1"/>
        <w:spacing w:after="160" w:line="276" w:lineRule="auto"/>
        <w:jc w:val="both"/>
        <w:rPr>
          <w:rFonts w:ascii="Book Antiqua" w:hAnsi="Book Antiqua"/>
          <w:lang w:val="es-ES_tradnl" w:eastAsia="en-US"/>
        </w:rPr>
      </w:pPr>
    </w:p>
    <w:p w14:paraId="525E8B0C" w14:textId="77777777" w:rsidR="006F775A" w:rsidRDefault="00BC1095" w:rsidP="00234CBE">
      <w:pPr>
        <w:shd w:val="clear" w:color="auto" w:fill="FFFFFF" w:themeFill="background1"/>
        <w:spacing w:after="160" w:line="276" w:lineRule="auto"/>
        <w:jc w:val="center"/>
        <w:rPr>
          <w:rFonts w:ascii="Book Antiqua" w:hAnsi="Book Antiqua"/>
          <w:b/>
          <w:bCs/>
          <w:lang w:val="es-ES_tradnl" w:eastAsia="en-US"/>
        </w:rPr>
      </w:pPr>
      <w:r w:rsidRPr="004F0E92">
        <w:rPr>
          <w:rFonts w:ascii="Book Antiqua" w:hAnsi="Book Antiqua"/>
          <w:b/>
          <w:bCs/>
          <w:lang w:val="es-ES_tradnl" w:eastAsia="en-US"/>
        </w:rPr>
        <w:t xml:space="preserve">Cuadro </w:t>
      </w:r>
      <w:r w:rsidR="00985591">
        <w:rPr>
          <w:rFonts w:ascii="Book Antiqua" w:hAnsi="Book Antiqua"/>
          <w:b/>
          <w:bCs/>
          <w:lang w:val="es-ES_tradnl" w:eastAsia="en-US"/>
        </w:rPr>
        <w:t>0</w:t>
      </w:r>
      <w:r w:rsidR="0000031F">
        <w:rPr>
          <w:rFonts w:ascii="Book Antiqua" w:hAnsi="Book Antiqua"/>
          <w:b/>
          <w:bCs/>
          <w:lang w:val="es-ES_tradnl" w:eastAsia="en-US"/>
        </w:rPr>
        <w:t>8</w:t>
      </w:r>
    </w:p>
    <w:p w14:paraId="6813F4C0" w14:textId="4800663A" w:rsidR="00BC1095" w:rsidRDefault="00BC1095" w:rsidP="00234CBE">
      <w:pPr>
        <w:shd w:val="clear" w:color="auto" w:fill="FFFFFF" w:themeFill="background1"/>
        <w:spacing w:after="160" w:line="276" w:lineRule="auto"/>
        <w:jc w:val="center"/>
        <w:rPr>
          <w:rFonts w:ascii="Book Antiqua" w:hAnsi="Book Antiqua"/>
          <w:b/>
          <w:bCs/>
          <w:lang w:val="es-ES_tradnl" w:eastAsia="en-US"/>
        </w:rPr>
      </w:pPr>
      <w:r w:rsidRPr="004F0E92">
        <w:rPr>
          <w:rFonts w:ascii="Book Antiqua" w:hAnsi="Book Antiqua"/>
          <w:b/>
          <w:bCs/>
          <w:lang w:val="es-ES_tradnl" w:eastAsia="en-US"/>
        </w:rPr>
        <w:t xml:space="preserve"> </w:t>
      </w:r>
      <w:r>
        <w:rPr>
          <w:rFonts w:ascii="Book Antiqua" w:hAnsi="Book Antiqua"/>
          <w:b/>
          <w:bCs/>
          <w:lang w:val="es-ES_tradnl" w:eastAsia="en-US"/>
        </w:rPr>
        <w:t>Cantidad de los</w:t>
      </w:r>
      <w:r w:rsidRPr="004F0E92">
        <w:rPr>
          <w:rFonts w:ascii="Book Antiqua" w:hAnsi="Book Antiqua"/>
          <w:b/>
          <w:bCs/>
          <w:lang w:val="es-ES_tradnl" w:eastAsia="en-US"/>
        </w:rPr>
        <w:t xml:space="preserve"> asuntos activos </w:t>
      </w:r>
      <w:r>
        <w:rPr>
          <w:rFonts w:ascii="Book Antiqua" w:hAnsi="Book Antiqua"/>
          <w:b/>
          <w:bCs/>
          <w:lang w:val="es-ES_tradnl" w:eastAsia="en-US"/>
        </w:rPr>
        <w:t xml:space="preserve">incluyendo </w:t>
      </w:r>
      <w:r w:rsidRPr="004F0E92">
        <w:rPr>
          <w:rFonts w:ascii="Book Antiqua" w:hAnsi="Book Antiqua"/>
          <w:b/>
          <w:bCs/>
          <w:lang w:val="es-ES_tradnl" w:eastAsia="en-US"/>
        </w:rPr>
        <w:t xml:space="preserve">materia de Cobro </w:t>
      </w:r>
    </w:p>
    <w:p w14:paraId="49457B7A" w14:textId="22C39FAF" w:rsidR="002C4B87" w:rsidRDefault="00BC1095" w:rsidP="00234CBE">
      <w:pPr>
        <w:shd w:val="clear" w:color="auto" w:fill="FFFFFF" w:themeFill="background1"/>
        <w:spacing w:after="160" w:line="276" w:lineRule="auto"/>
        <w:jc w:val="center"/>
        <w:rPr>
          <w:rFonts w:ascii="Book Antiqua" w:hAnsi="Book Antiqua"/>
          <w:b/>
          <w:bCs/>
          <w:lang w:val="es-ES_tradnl" w:eastAsia="en-US"/>
        </w:rPr>
      </w:pPr>
      <w:r w:rsidRPr="004F0E92">
        <w:rPr>
          <w:rFonts w:ascii="Book Antiqua" w:hAnsi="Book Antiqua"/>
          <w:b/>
          <w:bCs/>
          <w:lang w:val="es-ES_tradnl" w:eastAsia="en-US"/>
        </w:rPr>
        <w:t xml:space="preserve">durante </w:t>
      </w:r>
      <w:r>
        <w:rPr>
          <w:rFonts w:ascii="Book Antiqua" w:hAnsi="Book Antiqua"/>
          <w:b/>
          <w:bCs/>
          <w:lang w:val="es-ES_tradnl" w:eastAsia="en-US"/>
        </w:rPr>
        <w:t>los periodos 2019, 2020</w:t>
      </w:r>
      <w:r w:rsidR="005435A2">
        <w:rPr>
          <w:rFonts w:ascii="Book Antiqua" w:hAnsi="Book Antiqua"/>
          <w:b/>
          <w:bCs/>
          <w:lang w:val="es-ES_tradnl" w:eastAsia="en-US"/>
        </w:rPr>
        <w:t xml:space="preserve"> y setiembre </w:t>
      </w:r>
      <w:r>
        <w:rPr>
          <w:rFonts w:ascii="Book Antiqua" w:hAnsi="Book Antiqua"/>
          <w:b/>
          <w:bCs/>
          <w:lang w:val="es-ES_tradnl" w:eastAsia="en-US"/>
        </w:rPr>
        <w:t xml:space="preserve">2021 y variación porcentual </w:t>
      </w:r>
    </w:p>
    <w:tbl>
      <w:tblPr>
        <w:tblW w:w="9936" w:type="dxa"/>
        <w:jc w:val="center"/>
        <w:tblCellMar>
          <w:left w:w="70" w:type="dxa"/>
          <w:right w:w="70" w:type="dxa"/>
        </w:tblCellMar>
        <w:tblLook w:val="04A0" w:firstRow="1" w:lastRow="0" w:firstColumn="1" w:lastColumn="0" w:noHBand="0" w:noVBand="1"/>
      </w:tblPr>
      <w:tblGrid>
        <w:gridCol w:w="2789"/>
        <w:gridCol w:w="944"/>
        <w:gridCol w:w="944"/>
        <w:gridCol w:w="908"/>
        <w:gridCol w:w="2125"/>
        <w:gridCol w:w="2080"/>
        <w:gridCol w:w="146"/>
      </w:tblGrid>
      <w:tr w:rsidR="005435A2" w:rsidRPr="005435A2" w14:paraId="2A7F1649" w14:textId="77777777" w:rsidTr="005435A2">
        <w:trPr>
          <w:gridAfter w:val="1"/>
          <w:wAfter w:w="146" w:type="dxa"/>
          <w:trHeight w:val="293"/>
          <w:jc w:val="center"/>
        </w:trPr>
        <w:tc>
          <w:tcPr>
            <w:tcW w:w="2789" w:type="dxa"/>
            <w:vMerge w:val="restart"/>
            <w:tcBorders>
              <w:top w:val="single" w:sz="4" w:space="0" w:color="auto"/>
              <w:left w:val="single" w:sz="4" w:space="0" w:color="auto"/>
              <w:bottom w:val="single" w:sz="4" w:space="0" w:color="auto"/>
              <w:right w:val="single" w:sz="4" w:space="0" w:color="auto"/>
            </w:tcBorders>
            <w:shd w:val="clear" w:color="000000" w:fill="305496"/>
            <w:noWrap/>
            <w:vAlign w:val="center"/>
            <w:hideMark/>
          </w:tcPr>
          <w:p w14:paraId="61470F66" w14:textId="77777777" w:rsidR="005435A2" w:rsidRPr="005435A2" w:rsidRDefault="005435A2" w:rsidP="00234CBE">
            <w:pPr>
              <w:spacing w:line="276" w:lineRule="auto"/>
              <w:jc w:val="center"/>
              <w:rPr>
                <w:rFonts w:ascii="Book Antiqua" w:hAnsi="Book Antiqua" w:cs="Calibri"/>
                <w:b/>
                <w:bCs/>
                <w:color w:val="FFFFFF"/>
                <w:sz w:val="16"/>
                <w:szCs w:val="16"/>
                <w:lang w:eastAsia="es-CR"/>
              </w:rPr>
            </w:pPr>
            <w:r w:rsidRPr="005435A2">
              <w:rPr>
                <w:rFonts w:ascii="Book Antiqua" w:hAnsi="Book Antiqua" w:cs="Calibri"/>
                <w:b/>
                <w:bCs/>
                <w:color w:val="FFFFFF"/>
                <w:sz w:val="16"/>
                <w:szCs w:val="16"/>
                <w:lang w:eastAsia="es-CR"/>
              </w:rPr>
              <w:t>MATERIA</w:t>
            </w:r>
          </w:p>
        </w:tc>
        <w:tc>
          <w:tcPr>
            <w:tcW w:w="7001" w:type="dxa"/>
            <w:gridSpan w:val="5"/>
            <w:vMerge w:val="restart"/>
            <w:tcBorders>
              <w:top w:val="single" w:sz="4" w:space="0" w:color="auto"/>
              <w:left w:val="single" w:sz="4" w:space="0" w:color="auto"/>
              <w:bottom w:val="single" w:sz="4" w:space="0" w:color="auto"/>
              <w:right w:val="single" w:sz="4" w:space="0" w:color="auto"/>
            </w:tcBorders>
            <w:shd w:val="clear" w:color="000000" w:fill="305496"/>
            <w:noWrap/>
            <w:vAlign w:val="center"/>
            <w:hideMark/>
          </w:tcPr>
          <w:p w14:paraId="7E269DC2" w14:textId="77777777" w:rsidR="005435A2" w:rsidRPr="005435A2" w:rsidRDefault="005435A2" w:rsidP="00234CBE">
            <w:pPr>
              <w:spacing w:line="276" w:lineRule="auto"/>
              <w:jc w:val="center"/>
              <w:rPr>
                <w:rFonts w:ascii="Book Antiqua" w:hAnsi="Book Antiqua" w:cs="Calibri"/>
                <w:b/>
                <w:bCs/>
                <w:color w:val="FFFFFF"/>
                <w:sz w:val="16"/>
                <w:szCs w:val="16"/>
                <w:lang w:eastAsia="es-CR"/>
              </w:rPr>
            </w:pPr>
            <w:r w:rsidRPr="005435A2">
              <w:rPr>
                <w:rFonts w:ascii="Book Antiqua" w:hAnsi="Book Antiqua" w:cs="Calibri"/>
                <w:b/>
                <w:bCs/>
                <w:color w:val="FFFFFF"/>
                <w:sz w:val="16"/>
                <w:szCs w:val="16"/>
                <w:lang w:eastAsia="es-CR"/>
              </w:rPr>
              <w:t>COMPARACIÓN CIRCULANTE FINAL TOTAL</w:t>
            </w:r>
          </w:p>
        </w:tc>
      </w:tr>
      <w:tr w:rsidR="005435A2" w:rsidRPr="005435A2" w14:paraId="390CA763" w14:textId="77777777" w:rsidTr="005435A2">
        <w:trPr>
          <w:trHeight w:val="290"/>
          <w:jc w:val="center"/>
        </w:trPr>
        <w:tc>
          <w:tcPr>
            <w:tcW w:w="2789" w:type="dxa"/>
            <w:vMerge/>
            <w:tcBorders>
              <w:top w:val="single" w:sz="4" w:space="0" w:color="auto"/>
              <w:left w:val="single" w:sz="4" w:space="0" w:color="auto"/>
              <w:bottom w:val="single" w:sz="4" w:space="0" w:color="auto"/>
              <w:right w:val="single" w:sz="4" w:space="0" w:color="auto"/>
            </w:tcBorders>
            <w:vAlign w:val="center"/>
            <w:hideMark/>
          </w:tcPr>
          <w:p w14:paraId="6886BD44" w14:textId="77777777" w:rsidR="005435A2" w:rsidRPr="005435A2" w:rsidRDefault="005435A2" w:rsidP="00234CBE">
            <w:pPr>
              <w:spacing w:line="276" w:lineRule="auto"/>
              <w:rPr>
                <w:rFonts w:ascii="Book Antiqua" w:hAnsi="Book Antiqua" w:cs="Calibri"/>
                <w:b/>
                <w:bCs/>
                <w:color w:val="FFFFFF"/>
                <w:sz w:val="16"/>
                <w:szCs w:val="16"/>
                <w:lang w:eastAsia="es-CR"/>
              </w:rPr>
            </w:pPr>
          </w:p>
        </w:tc>
        <w:tc>
          <w:tcPr>
            <w:tcW w:w="7001" w:type="dxa"/>
            <w:gridSpan w:val="5"/>
            <w:vMerge/>
            <w:tcBorders>
              <w:top w:val="single" w:sz="4" w:space="0" w:color="auto"/>
              <w:left w:val="single" w:sz="4" w:space="0" w:color="auto"/>
              <w:bottom w:val="single" w:sz="4" w:space="0" w:color="auto"/>
              <w:right w:val="single" w:sz="4" w:space="0" w:color="auto"/>
            </w:tcBorders>
            <w:vAlign w:val="center"/>
            <w:hideMark/>
          </w:tcPr>
          <w:p w14:paraId="1417D63D" w14:textId="77777777" w:rsidR="005435A2" w:rsidRPr="005435A2" w:rsidRDefault="005435A2" w:rsidP="00234CBE">
            <w:pPr>
              <w:spacing w:line="276" w:lineRule="auto"/>
              <w:rPr>
                <w:rFonts w:ascii="Book Antiqua" w:hAnsi="Book Antiqua" w:cs="Calibri"/>
                <w:b/>
                <w:bCs/>
                <w:color w:val="FFFFFF"/>
                <w:sz w:val="16"/>
                <w:szCs w:val="16"/>
                <w:lang w:eastAsia="es-CR"/>
              </w:rPr>
            </w:pPr>
          </w:p>
        </w:tc>
        <w:tc>
          <w:tcPr>
            <w:tcW w:w="146" w:type="dxa"/>
            <w:tcBorders>
              <w:top w:val="nil"/>
              <w:left w:val="nil"/>
              <w:bottom w:val="nil"/>
              <w:right w:val="nil"/>
            </w:tcBorders>
            <w:shd w:val="clear" w:color="auto" w:fill="auto"/>
            <w:noWrap/>
            <w:vAlign w:val="bottom"/>
            <w:hideMark/>
          </w:tcPr>
          <w:p w14:paraId="7182914A" w14:textId="77777777" w:rsidR="005435A2" w:rsidRPr="005435A2" w:rsidRDefault="005435A2" w:rsidP="00234CBE">
            <w:pPr>
              <w:spacing w:line="276" w:lineRule="auto"/>
              <w:jc w:val="center"/>
              <w:rPr>
                <w:rFonts w:ascii="Book Antiqua" w:hAnsi="Book Antiqua" w:cs="Calibri"/>
                <w:b/>
                <w:bCs/>
                <w:color w:val="FFFFFF"/>
                <w:sz w:val="16"/>
                <w:szCs w:val="16"/>
                <w:lang w:eastAsia="es-CR"/>
              </w:rPr>
            </w:pPr>
          </w:p>
        </w:tc>
      </w:tr>
      <w:tr w:rsidR="005435A2" w:rsidRPr="005435A2" w14:paraId="772ED9B0" w14:textId="77777777" w:rsidTr="005435A2">
        <w:trPr>
          <w:trHeight w:val="290"/>
          <w:jc w:val="center"/>
        </w:trPr>
        <w:tc>
          <w:tcPr>
            <w:tcW w:w="2789" w:type="dxa"/>
            <w:tcBorders>
              <w:top w:val="nil"/>
              <w:left w:val="single" w:sz="4" w:space="0" w:color="auto"/>
              <w:bottom w:val="single" w:sz="4" w:space="0" w:color="auto"/>
              <w:right w:val="single" w:sz="4" w:space="0" w:color="auto"/>
            </w:tcBorders>
            <w:shd w:val="clear" w:color="auto" w:fill="auto"/>
            <w:noWrap/>
            <w:vAlign w:val="center"/>
            <w:hideMark/>
          </w:tcPr>
          <w:p w14:paraId="357E6332" w14:textId="77777777" w:rsidR="005435A2" w:rsidRPr="005435A2" w:rsidRDefault="005435A2" w:rsidP="00234CBE">
            <w:pPr>
              <w:spacing w:line="276" w:lineRule="auto"/>
              <w:rPr>
                <w:rFonts w:ascii="Book Antiqua" w:hAnsi="Book Antiqua" w:cs="Calibri"/>
                <w:color w:val="000000"/>
                <w:sz w:val="16"/>
                <w:szCs w:val="16"/>
                <w:lang w:eastAsia="es-CR"/>
              </w:rPr>
            </w:pPr>
            <w:r w:rsidRPr="005435A2">
              <w:rPr>
                <w:rFonts w:ascii="Book Antiqua" w:hAnsi="Book Antiqua" w:cs="Calibri"/>
                <w:color w:val="000000"/>
                <w:sz w:val="16"/>
                <w:szCs w:val="16"/>
                <w:lang w:eastAsia="es-CR"/>
              </w:rPr>
              <w:t> </w:t>
            </w:r>
          </w:p>
        </w:tc>
        <w:tc>
          <w:tcPr>
            <w:tcW w:w="944" w:type="dxa"/>
            <w:tcBorders>
              <w:top w:val="nil"/>
              <w:left w:val="nil"/>
              <w:bottom w:val="single" w:sz="4" w:space="0" w:color="auto"/>
              <w:right w:val="single" w:sz="4" w:space="0" w:color="auto"/>
            </w:tcBorders>
            <w:shd w:val="clear" w:color="auto" w:fill="auto"/>
            <w:noWrap/>
            <w:vAlign w:val="center"/>
            <w:hideMark/>
          </w:tcPr>
          <w:p w14:paraId="4CB05406" w14:textId="77777777" w:rsidR="005435A2" w:rsidRPr="005435A2" w:rsidRDefault="005435A2" w:rsidP="00234CBE">
            <w:pPr>
              <w:spacing w:line="276" w:lineRule="auto"/>
              <w:jc w:val="center"/>
              <w:rPr>
                <w:rFonts w:ascii="Book Antiqua" w:hAnsi="Book Antiqua" w:cs="Calibri"/>
                <w:color w:val="000000"/>
                <w:sz w:val="16"/>
                <w:szCs w:val="16"/>
                <w:lang w:eastAsia="es-CR"/>
              </w:rPr>
            </w:pPr>
            <w:r w:rsidRPr="005435A2">
              <w:rPr>
                <w:rFonts w:ascii="Book Antiqua" w:hAnsi="Book Antiqua" w:cs="Calibri"/>
                <w:color w:val="000000"/>
                <w:sz w:val="16"/>
                <w:szCs w:val="16"/>
                <w:lang w:eastAsia="es-CR"/>
              </w:rPr>
              <w:t>Diciembre</w:t>
            </w:r>
          </w:p>
        </w:tc>
        <w:tc>
          <w:tcPr>
            <w:tcW w:w="944" w:type="dxa"/>
            <w:tcBorders>
              <w:top w:val="nil"/>
              <w:left w:val="nil"/>
              <w:bottom w:val="single" w:sz="4" w:space="0" w:color="auto"/>
              <w:right w:val="single" w:sz="4" w:space="0" w:color="auto"/>
            </w:tcBorders>
            <w:shd w:val="clear" w:color="auto" w:fill="auto"/>
            <w:noWrap/>
            <w:vAlign w:val="center"/>
            <w:hideMark/>
          </w:tcPr>
          <w:p w14:paraId="2394425F" w14:textId="77777777" w:rsidR="005435A2" w:rsidRPr="005435A2" w:rsidRDefault="005435A2" w:rsidP="00234CBE">
            <w:pPr>
              <w:spacing w:line="276" w:lineRule="auto"/>
              <w:jc w:val="center"/>
              <w:rPr>
                <w:rFonts w:ascii="Book Antiqua" w:hAnsi="Book Antiqua" w:cs="Calibri"/>
                <w:color w:val="000000"/>
                <w:sz w:val="16"/>
                <w:szCs w:val="16"/>
                <w:lang w:eastAsia="es-CR"/>
              </w:rPr>
            </w:pPr>
            <w:r w:rsidRPr="005435A2">
              <w:rPr>
                <w:rFonts w:ascii="Book Antiqua" w:hAnsi="Book Antiqua" w:cs="Calibri"/>
                <w:color w:val="000000"/>
                <w:sz w:val="16"/>
                <w:szCs w:val="16"/>
                <w:lang w:eastAsia="es-CR"/>
              </w:rPr>
              <w:t>Diciembre</w:t>
            </w:r>
          </w:p>
        </w:tc>
        <w:tc>
          <w:tcPr>
            <w:tcW w:w="908" w:type="dxa"/>
            <w:tcBorders>
              <w:top w:val="nil"/>
              <w:left w:val="nil"/>
              <w:bottom w:val="single" w:sz="4" w:space="0" w:color="auto"/>
              <w:right w:val="single" w:sz="4" w:space="0" w:color="auto"/>
            </w:tcBorders>
            <w:shd w:val="clear" w:color="auto" w:fill="auto"/>
            <w:noWrap/>
            <w:vAlign w:val="center"/>
            <w:hideMark/>
          </w:tcPr>
          <w:p w14:paraId="09C30856" w14:textId="77777777" w:rsidR="005435A2" w:rsidRPr="005435A2" w:rsidRDefault="005435A2" w:rsidP="00234CBE">
            <w:pPr>
              <w:spacing w:line="276" w:lineRule="auto"/>
              <w:jc w:val="center"/>
              <w:rPr>
                <w:rFonts w:ascii="Book Antiqua" w:hAnsi="Book Antiqua" w:cs="Calibri"/>
                <w:color w:val="000000"/>
                <w:sz w:val="16"/>
                <w:szCs w:val="16"/>
                <w:lang w:eastAsia="es-CR"/>
              </w:rPr>
            </w:pPr>
            <w:r w:rsidRPr="005435A2">
              <w:rPr>
                <w:rFonts w:ascii="Book Antiqua" w:hAnsi="Book Antiqua" w:cs="Calibri"/>
                <w:color w:val="000000"/>
                <w:sz w:val="16"/>
                <w:szCs w:val="16"/>
                <w:lang w:eastAsia="es-CR"/>
              </w:rPr>
              <w:t>Setiembre</w:t>
            </w:r>
          </w:p>
        </w:tc>
        <w:tc>
          <w:tcPr>
            <w:tcW w:w="2125" w:type="dxa"/>
            <w:vMerge w:val="restart"/>
            <w:tcBorders>
              <w:top w:val="nil"/>
              <w:left w:val="single" w:sz="4" w:space="0" w:color="auto"/>
              <w:bottom w:val="single" w:sz="4" w:space="0" w:color="auto"/>
              <w:right w:val="single" w:sz="4" w:space="0" w:color="auto"/>
            </w:tcBorders>
            <w:shd w:val="clear" w:color="auto" w:fill="auto"/>
            <w:vAlign w:val="center"/>
            <w:hideMark/>
          </w:tcPr>
          <w:p w14:paraId="1A238C35" w14:textId="77777777" w:rsidR="005435A2" w:rsidRPr="005435A2" w:rsidRDefault="005435A2" w:rsidP="00234CBE">
            <w:pPr>
              <w:spacing w:line="276" w:lineRule="auto"/>
              <w:jc w:val="center"/>
              <w:rPr>
                <w:rFonts w:ascii="Book Antiqua" w:hAnsi="Book Antiqua" w:cs="Calibri"/>
                <w:b/>
                <w:bCs/>
                <w:color w:val="000000"/>
                <w:sz w:val="16"/>
                <w:szCs w:val="16"/>
                <w:lang w:eastAsia="es-CR"/>
              </w:rPr>
            </w:pPr>
            <w:r w:rsidRPr="005435A2">
              <w:rPr>
                <w:rFonts w:ascii="Book Antiqua" w:hAnsi="Book Antiqua" w:cs="Calibri"/>
                <w:b/>
                <w:bCs/>
                <w:color w:val="000000"/>
                <w:sz w:val="16"/>
                <w:szCs w:val="16"/>
                <w:lang w:eastAsia="es-CR"/>
              </w:rPr>
              <w:t>Aumento/disminución 2021vs 2019</w:t>
            </w:r>
          </w:p>
        </w:tc>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14:paraId="60C6933C" w14:textId="77777777" w:rsidR="005435A2" w:rsidRPr="005435A2" w:rsidRDefault="005435A2" w:rsidP="00234CBE">
            <w:pPr>
              <w:spacing w:line="276" w:lineRule="auto"/>
              <w:jc w:val="center"/>
              <w:rPr>
                <w:rFonts w:ascii="Book Antiqua" w:hAnsi="Book Antiqua" w:cs="Calibri"/>
                <w:b/>
                <w:bCs/>
                <w:color w:val="000000"/>
                <w:sz w:val="16"/>
                <w:szCs w:val="16"/>
                <w:lang w:eastAsia="es-CR"/>
              </w:rPr>
            </w:pPr>
            <w:r w:rsidRPr="005435A2">
              <w:rPr>
                <w:rFonts w:ascii="Book Antiqua" w:hAnsi="Book Antiqua" w:cs="Calibri"/>
                <w:b/>
                <w:bCs/>
                <w:color w:val="000000"/>
                <w:sz w:val="16"/>
                <w:szCs w:val="16"/>
                <w:lang w:eastAsia="es-CR"/>
              </w:rPr>
              <w:t>Aumento/disminución 2021vs 2020</w:t>
            </w:r>
          </w:p>
        </w:tc>
        <w:tc>
          <w:tcPr>
            <w:tcW w:w="146" w:type="dxa"/>
            <w:vAlign w:val="center"/>
            <w:hideMark/>
          </w:tcPr>
          <w:p w14:paraId="3D0B57AA" w14:textId="77777777" w:rsidR="005435A2" w:rsidRPr="005435A2" w:rsidRDefault="005435A2" w:rsidP="00234CBE">
            <w:pPr>
              <w:spacing w:line="276" w:lineRule="auto"/>
              <w:rPr>
                <w:rFonts w:ascii="Times New Roman" w:hAnsi="Times New Roman"/>
                <w:sz w:val="20"/>
                <w:szCs w:val="20"/>
                <w:lang w:eastAsia="es-CR"/>
              </w:rPr>
            </w:pPr>
          </w:p>
        </w:tc>
      </w:tr>
      <w:tr w:rsidR="005435A2" w:rsidRPr="005435A2" w14:paraId="63E73935" w14:textId="77777777" w:rsidTr="005435A2">
        <w:trPr>
          <w:trHeight w:val="460"/>
          <w:jc w:val="center"/>
        </w:trPr>
        <w:tc>
          <w:tcPr>
            <w:tcW w:w="2789" w:type="dxa"/>
            <w:tcBorders>
              <w:top w:val="nil"/>
              <w:left w:val="single" w:sz="4" w:space="0" w:color="auto"/>
              <w:bottom w:val="single" w:sz="4" w:space="0" w:color="auto"/>
              <w:right w:val="single" w:sz="4" w:space="0" w:color="auto"/>
            </w:tcBorders>
            <w:shd w:val="clear" w:color="auto" w:fill="auto"/>
            <w:noWrap/>
            <w:vAlign w:val="center"/>
            <w:hideMark/>
          </w:tcPr>
          <w:p w14:paraId="5B623956" w14:textId="77777777" w:rsidR="005435A2" w:rsidRPr="005435A2" w:rsidRDefault="005435A2" w:rsidP="00234CBE">
            <w:pPr>
              <w:spacing w:line="276" w:lineRule="auto"/>
              <w:jc w:val="center"/>
              <w:rPr>
                <w:rFonts w:ascii="Book Antiqua" w:hAnsi="Book Antiqua" w:cs="Calibri"/>
                <w:b/>
                <w:bCs/>
                <w:color w:val="000000"/>
                <w:sz w:val="16"/>
                <w:szCs w:val="16"/>
                <w:lang w:eastAsia="es-CR"/>
              </w:rPr>
            </w:pPr>
            <w:r w:rsidRPr="005435A2">
              <w:rPr>
                <w:rFonts w:ascii="Book Antiqua" w:hAnsi="Book Antiqua" w:cs="Calibri"/>
                <w:b/>
                <w:bCs/>
                <w:color w:val="000000"/>
                <w:sz w:val="16"/>
                <w:szCs w:val="16"/>
                <w:lang w:eastAsia="es-CR"/>
              </w:rPr>
              <w:t> </w:t>
            </w:r>
          </w:p>
        </w:tc>
        <w:tc>
          <w:tcPr>
            <w:tcW w:w="944" w:type="dxa"/>
            <w:tcBorders>
              <w:top w:val="nil"/>
              <w:left w:val="nil"/>
              <w:bottom w:val="single" w:sz="4" w:space="0" w:color="auto"/>
              <w:right w:val="single" w:sz="4" w:space="0" w:color="auto"/>
            </w:tcBorders>
            <w:shd w:val="clear" w:color="auto" w:fill="auto"/>
            <w:noWrap/>
            <w:vAlign w:val="center"/>
            <w:hideMark/>
          </w:tcPr>
          <w:p w14:paraId="623E7095" w14:textId="77777777" w:rsidR="005435A2" w:rsidRPr="005435A2" w:rsidRDefault="005435A2" w:rsidP="00234CBE">
            <w:pPr>
              <w:spacing w:line="276" w:lineRule="auto"/>
              <w:jc w:val="center"/>
              <w:rPr>
                <w:rFonts w:ascii="Book Antiqua" w:hAnsi="Book Antiqua" w:cs="Calibri"/>
                <w:color w:val="000000"/>
                <w:sz w:val="16"/>
                <w:szCs w:val="16"/>
                <w:lang w:eastAsia="es-CR"/>
              </w:rPr>
            </w:pPr>
            <w:r w:rsidRPr="005435A2">
              <w:rPr>
                <w:rFonts w:ascii="Book Antiqua" w:hAnsi="Book Antiqua" w:cs="Calibri"/>
                <w:color w:val="000000"/>
                <w:sz w:val="16"/>
                <w:szCs w:val="16"/>
                <w:lang w:eastAsia="es-CR"/>
              </w:rPr>
              <w:t>2019</w:t>
            </w:r>
          </w:p>
        </w:tc>
        <w:tc>
          <w:tcPr>
            <w:tcW w:w="944" w:type="dxa"/>
            <w:tcBorders>
              <w:top w:val="nil"/>
              <w:left w:val="nil"/>
              <w:bottom w:val="single" w:sz="4" w:space="0" w:color="auto"/>
              <w:right w:val="single" w:sz="4" w:space="0" w:color="auto"/>
            </w:tcBorders>
            <w:shd w:val="clear" w:color="auto" w:fill="auto"/>
            <w:noWrap/>
            <w:vAlign w:val="center"/>
            <w:hideMark/>
          </w:tcPr>
          <w:p w14:paraId="1071E3E4" w14:textId="77777777" w:rsidR="005435A2" w:rsidRPr="005435A2" w:rsidRDefault="005435A2" w:rsidP="00234CBE">
            <w:pPr>
              <w:spacing w:line="276" w:lineRule="auto"/>
              <w:jc w:val="center"/>
              <w:rPr>
                <w:rFonts w:ascii="Book Antiqua" w:hAnsi="Book Antiqua" w:cs="Calibri"/>
                <w:color w:val="000000"/>
                <w:sz w:val="16"/>
                <w:szCs w:val="16"/>
                <w:lang w:eastAsia="es-CR"/>
              </w:rPr>
            </w:pPr>
            <w:r w:rsidRPr="005435A2">
              <w:rPr>
                <w:rFonts w:ascii="Book Antiqua" w:hAnsi="Book Antiqua" w:cs="Calibri"/>
                <w:color w:val="000000"/>
                <w:sz w:val="16"/>
                <w:szCs w:val="16"/>
                <w:lang w:eastAsia="es-CR"/>
              </w:rPr>
              <w:t>2020</w:t>
            </w:r>
          </w:p>
        </w:tc>
        <w:tc>
          <w:tcPr>
            <w:tcW w:w="908" w:type="dxa"/>
            <w:tcBorders>
              <w:top w:val="nil"/>
              <w:left w:val="nil"/>
              <w:bottom w:val="single" w:sz="4" w:space="0" w:color="auto"/>
              <w:right w:val="single" w:sz="4" w:space="0" w:color="auto"/>
            </w:tcBorders>
            <w:shd w:val="clear" w:color="auto" w:fill="auto"/>
            <w:noWrap/>
            <w:vAlign w:val="center"/>
            <w:hideMark/>
          </w:tcPr>
          <w:p w14:paraId="7C405A8C" w14:textId="77777777" w:rsidR="005435A2" w:rsidRPr="005435A2" w:rsidRDefault="005435A2" w:rsidP="00234CBE">
            <w:pPr>
              <w:spacing w:line="276" w:lineRule="auto"/>
              <w:jc w:val="center"/>
              <w:rPr>
                <w:rFonts w:ascii="Book Antiqua" w:hAnsi="Book Antiqua" w:cs="Calibri"/>
                <w:color w:val="000000"/>
                <w:sz w:val="16"/>
                <w:szCs w:val="16"/>
                <w:lang w:eastAsia="es-CR"/>
              </w:rPr>
            </w:pPr>
            <w:r w:rsidRPr="005435A2">
              <w:rPr>
                <w:rFonts w:ascii="Book Antiqua" w:hAnsi="Book Antiqua" w:cs="Calibri"/>
                <w:color w:val="000000"/>
                <w:sz w:val="16"/>
                <w:szCs w:val="16"/>
                <w:lang w:eastAsia="es-CR"/>
              </w:rPr>
              <w:t>2021</w:t>
            </w:r>
          </w:p>
        </w:tc>
        <w:tc>
          <w:tcPr>
            <w:tcW w:w="2125" w:type="dxa"/>
            <w:vMerge/>
            <w:tcBorders>
              <w:top w:val="nil"/>
              <w:left w:val="single" w:sz="4" w:space="0" w:color="auto"/>
              <w:bottom w:val="single" w:sz="4" w:space="0" w:color="auto"/>
              <w:right w:val="single" w:sz="4" w:space="0" w:color="auto"/>
            </w:tcBorders>
            <w:vAlign w:val="center"/>
            <w:hideMark/>
          </w:tcPr>
          <w:p w14:paraId="4BDE99F4" w14:textId="77777777" w:rsidR="005435A2" w:rsidRPr="005435A2" w:rsidRDefault="005435A2" w:rsidP="00234CBE">
            <w:pPr>
              <w:spacing w:line="276" w:lineRule="auto"/>
              <w:rPr>
                <w:rFonts w:ascii="Book Antiqua" w:hAnsi="Book Antiqua" w:cs="Calibri"/>
                <w:b/>
                <w:bCs/>
                <w:color w:val="000000"/>
                <w:sz w:val="16"/>
                <w:szCs w:val="16"/>
                <w:lang w:eastAsia="es-CR"/>
              </w:rPr>
            </w:pPr>
          </w:p>
        </w:tc>
        <w:tc>
          <w:tcPr>
            <w:tcW w:w="2080" w:type="dxa"/>
            <w:vMerge/>
            <w:tcBorders>
              <w:top w:val="nil"/>
              <w:left w:val="single" w:sz="4" w:space="0" w:color="auto"/>
              <w:bottom w:val="single" w:sz="4" w:space="0" w:color="auto"/>
              <w:right w:val="single" w:sz="4" w:space="0" w:color="auto"/>
            </w:tcBorders>
            <w:vAlign w:val="center"/>
            <w:hideMark/>
          </w:tcPr>
          <w:p w14:paraId="35C51177" w14:textId="77777777" w:rsidR="005435A2" w:rsidRPr="005435A2" w:rsidRDefault="005435A2" w:rsidP="00234CBE">
            <w:pPr>
              <w:spacing w:line="276" w:lineRule="auto"/>
              <w:rPr>
                <w:rFonts w:ascii="Book Antiqua" w:hAnsi="Book Antiqua" w:cs="Calibri"/>
                <w:b/>
                <w:bCs/>
                <w:color w:val="000000"/>
                <w:sz w:val="16"/>
                <w:szCs w:val="16"/>
                <w:lang w:eastAsia="es-CR"/>
              </w:rPr>
            </w:pPr>
          </w:p>
        </w:tc>
        <w:tc>
          <w:tcPr>
            <w:tcW w:w="146" w:type="dxa"/>
            <w:vAlign w:val="center"/>
            <w:hideMark/>
          </w:tcPr>
          <w:p w14:paraId="643BC451" w14:textId="77777777" w:rsidR="005435A2" w:rsidRPr="005435A2" w:rsidRDefault="005435A2" w:rsidP="00234CBE">
            <w:pPr>
              <w:spacing w:line="276" w:lineRule="auto"/>
              <w:rPr>
                <w:rFonts w:ascii="Times New Roman" w:hAnsi="Times New Roman"/>
                <w:sz w:val="20"/>
                <w:szCs w:val="20"/>
                <w:lang w:eastAsia="es-CR"/>
              </w:rPr>
            </w:pPr>
          </w:p>
        </w:tc>
      </w:tr>
      <w:tr w:rsidR="005435A2" w:rsidRPr="005435A2" w14:paraId="471D46C2" w14:textId="77777777" w:rsidTr="005435A2">
        <w:trPr>
          <w:trHeight w:val="290"/>
          <w:jc w:val="center"/>
        </w:trPr>
        <w:tc>
          <w:tcPr>
            <w:tcW w:w="2789" w:type="dxa"/>
            <w:tcBorders>
              <w:top w:val="nil"/>
              <w:left w:val="single" w:sz="4" w:space="0" w:color="auto"/>
              <w:bottom w:val="single" w:sz="4" w:space="0" w:color="auto"/>
              <w:right w:val="single" w:sz="4" w:space="0" w:color="auto"/>
            </w:tcBorders>
            <w:shd w:val="clear" w:color="auto" w:fill="auto"/>
            <w:noWrap/>
            <w:vAlign w:val="center"/>
            <w:hideMark/>
          </w:tcPr>
          <w:p w14:paraId="388A81AB" w14:textId="77777777" w:rsidR="005435A2" w:rsidRPr="005435A2" w:rsidRDefault="005435A2" w:rsidP="00234CBE">
            <w:pPr>
              <w:spacing w:line="276" w:lineRule="auto"/>
              <w:jc w:val="center"/>
              <w:rPr>
                <w:rFonts w:ascii="Book Antiqua" w:hAnsi="Book Antiqua" w:cs="Calibri"/>
                <w:b/>
                <w:bCs/>
                <w:color w:val="000000"/>
                <w:sz w:val="16"/>
                <w:szCs w:val="16"/>
                <w:lang w:eastAsia="es-CR"/>
              </w:rPr>
            </w:pPr>
            <w:r w:rsidRPr="005435A2">
              <w:rPr>
                <w:rFonts w:ascii="Book Antiqua" w:hAnsi="Book Antiqua" w:cs="Calibri"/>
                <w:b/>
                <w:bCs/>
                <w:color w:val="000000"/>
                <w:sz w:val="16"/>
                <w:szCs w:val="16"/>
                <w:lang w:eastAsia="es-CR"/>
              </w:rPr>
              <w:t> </w:t>
            </w:r>
          </w:p>
        </w:tc>
        <w:tc>
          <w:tcPr>
            <w:tcW w:w="944" w:type="dxa"/>
            <w:tcBorders>
              <w:top w:val="nil"/>
              <w:left w:val="nil"/>
              <w:bottom w:val="single" w:sz="4" w:space="0" w:color="auto"/>
              <w:right w:val="single" w:sz="4" w:space="0" w:color="auto"/>
            </w:tcBorders>
            <w:shd w:val="clear" w:color="auto" w:fill="auto"/>
            <w:noWrap/>
            <w:vAlign w:val="center"/>
            <w:hideMark/>
          </w:tcPr>
          <w:p w14:paraId="349D47AD" w14:textId="77777777" w:rsidR="005435A2" w:rsidRPr="005435A2" w:rsidRDefault="005435A2" w:rsidP="00234CBE">
            <w:pPr>
              <w:spacing w:line="276" w:lineRule="auto"/>
              <w:jc w:val="center"/>
              <w:rPr>
                <w:rFonts w:ascii="Book Antiqua" w:hAnsi="Book Antiqua" w:cs="Calibri"/>
                <w:b/>
                <w:bCs/>
                <w:color w:val="000000"/>
                <w:sz w:val="16"/>
                <w:szCs w:val="16"/>
                <w:lang w:eastAsia="es-CR"/>
              </w:rPr>
            </w:pPr>
            <w:r w:rsidRPr="005435A2">
              <w:rPr>
                <w:rFonts w:ascii="Book Antiqua" w:hAnsi="Book Antiqua" w:cs="Calibri"/>
                <w:b/>
                <w:bCs/>
                <w:color w:val="000000"/>
                <w:sz w:val="16"/>
                <w:szCs w:val="16"/>
                <w:lang w:eastAsia="es-CR"/>
              </w:rPr>
              <w:t> </w:t>
            </w:r>
          </w:p>
        </w:tc>
        <w:tc>
          <w:tcPr>
            <w:tcW w:w="944" w:type="dxa"/>
            <w:tcBorders>
              <w:top w:val="nil"/>
              <w:left w:val="nil"/>
              <w:bottom w:val="single" w:sz="4" w:space="0" w:color="auto"/>
              <w:right w:val="single" w:sz="4" w:space="0" w:color="auto"/>
            </w:tcBorders>
            <w:shd w:val="clear" w:color="auto" w:fill="auto"/>
            <w:noWrap/>
            <w:vAlign w:val="center"/>
            <w:hideMark/>
          </w:tcPr>
          <w:p w14:paraId="10D3876D" w14:textId="77777777" w:rsidR="005435A2" w:rsidRPr="005435A2" w:rsidRDefault="005435A2" w:rsidP="00234CBE">
            <w:pPr>
              <w:spacing w:line="276" w:lineRule="auto"/>
              <w:jc w:val="center"/>
              <w:rPr>
                <w:rFonts w:ascii="Book Antiqua" w:hAnsi="Book Antiqua" w:cs="Calibri"/>
                <w:b/>
                <w:bCs/>
                <w:color w:val="000000"/>
                <w:sz w:val="16"/>
                <w:szCs w:val="16"/>
                <w:lang w:eastAsia="es-CR"/>
              </w:rPr>
            </w:pPr>
            <w:r w:rsidRPr="005435A2">
              <w:rPr>
                <w:rFonts w:ascii="Book Antiqua" w:hAnsi="Book Antiqua" w:cs="Calibri"/>
                <w:b/>
                <w:bCs/>
                <w:color w:val="000000"/>
                <w:sz w:val="16"/>
                <w:szCs w:val="16"/>
                <w:lang w:eastAsia="es-CR"/>
              </w:rPr>
              <w:t> </w:t>
            </w:r>
          </w:p>
        </w:tc>
        <w:tc>
          <w:tcPr>
            <w:tcW w:w="908" w:type="dxa"/>
            <w:tcBorders>
              <w:top w:val="nil"/>
              <w:left w:val="nil"/>
              <w:bottom w:val="single" w:sz="4" w:space="0" w:color="auto"/>
              <w:right w:val="single" w:sz="4" w:space="0" w:color="auto"/>
            </w:tcBorders>
            <w:shd w:val="clear" w:color="auto" w:fill="auto"/>
            <w:noWrap/>
            <w:vAlign w:val="center"/>
            <w:hideMark/>
          </w:tcPr>
          <w:p w14:paraId="1DFF1054" w14:textId="77777777" w:rsidR="005435A2" w:rsidRPr="005435A2" w:rsidRDefault="005435A2" w:rsidP="00234CBE">
            <w:pPr>
              <w:spacing w:line="276" w:lineRule="auto"/>
              <w:jc w:val="center"/>
              <w:rPr>
                <w:rFonts w:ascii="Book Antiqua" w:hAnsi="Book Antiqua" w:cs="Calibri"/>
                <w:b/>
                <w:bCs/>
                <w:color w:val="000000"/>
                <w:sz w:val="16"/>
                <w:szCs w:val="16"/>
                <w:lang w:eastAsia="es-CR"/>
              </w:rPr>
            </w:pPr>
            <w:r w:rsidRPr="005435A2">
              <w:rPr>
                <w:rFonts w:ascii="Book Antiqua" w:hAnsi="Book Antiqua" w:cs="Calibri"/>
                <w:b/>
                <w:bCs/>
                <w:color w:val="000000"/>
                <w:sz w:val="16"/>
                <w:szCs w:val="16"/>
                <w:lang w:eastAsia="es-CR"/>
              </w:rPr>
              <w:t> </w:t>
            </w:r>
          </w:p>
        </w:tc>
        <w:tc>
          <w:tcPr>
            <w:tcW w:w="2125" w:type="dxa"/>
            <w:tcBorders>
              <w:top w:val="nil"/>
              <w:left w:val="nil"/>
              <w:bottom w:val="single" w:sz="4" w:space="0" w:color="auto"/>
              <w:right w:val="single" w:sz="4" w:space="0" w:color="auto"/>
            </w:tcBorders>
            <w:shd w:val="clear" w:color="auto" w:fill="auto"/>
            <w:noWrap/>
            <w:vAlign w:val="center"/>
            <w:hideMark/>
          </w:tcPr>
          <w:p w14:paraId="5D22350A" w14:textId="77777777" w:rsidR="005435A2" w:rsidRPr="005435A2" w:rsidRDefault="005435A2" w:rsidP="00234CBE">
            <w:pPr>
              <w:spacing w:line="276" w:lineRule="auto"/>
              <w:jc w:val="center"/>
              <w:rPr>
                <w:rFonts w:ascii="Book Antiqua" w:hAnsi="Book Antiqua" w:cs="Calibri"/>
                <w:b/>
                <w:bCs/>
                <w:color w:val="000000"/>
                <w:sz w:val="16"/>
                <w:szCs w:val="16"/>
                <w:lang w:eastAsia="es-CR"/>
              </w:rPr>
            </w:pPr>
            <w:r w:rsidRPr="005435A2">
              <w:rPr>
                <w:rFonts w:ascii="Book Antiqua" w:hAnsi="Book Antiqua" w:cs="Calibri"/>
                <w:b/>
                <w:bCs/>
                <w:color w:val="000000"/>
                <w:sz w:val="16"/>
                <w:szCs w:val="16"/>
                <w:lang w:eastAsia="es-CR"/>
              </w:rPr>
              <w:t> </w:t>
            </w:r>
          </w:p>
        </w:tc>
        <w:tc>
          <w:tcPr>
            <w:tcW w:w="2080" w:type="dxa"/>
            <w:tcBorders>
              <w:top w:val="nil"/>
              <w:left w:val="nil"/>
              <w:bottom w:val="single" w:sz="4" w:space="0" w:color="auto"/>
              <w:right w:val="single" w:sz="4" w:space="0" w:color="auto"/>
            </w:tcBorders>
            <w:shd w:val="clear" w:color="auto" w:fill="auto"/>
            <w:vAlign w:val="center"/>
            <w:hideMark/>
          </w:tcPr>
          <w:p w14:paraId="0459A843" w14:textId="77777777" w:rsidR="005435A2" w:rsidRPr="005435A2" w:rsidRDefault="005435A2" w:rsidP="00234CBE">
            <w:pPr>
              <w:spacing w:line="276" w:lineRule="auto"/>
              <w:jc w:val="center"/>
              <w:rPr>
                <w:rFonts w:ascii="Book Antiqua" w:hAnsi="Book Antiqua" w:cs="Calibri"/>
                <w:b/>
                <w:bCs/>
                <w:color w:val="000000"/>
                <w:sz w:val="16"/>
                <w:szCs w:val="16"/>
                <w:lang w:eastAsia="es-CR"/>
              </w:rPr>
            </w:pPr>
            <w:r w:rsidRPr="005435A2">
              <w:rPr>
                <w:rFonts w:ascii="Book Antiqua" w:hAnsi="Book Antiqua" w:cs="Calibri"/>
                <w:b/>
                <w:bCs/>
                <w:color w:val="000000"/>
                <w:sz w:val="16"/>
                <w:szCs w:val="16"/>
                <w:lang w:eastAsia="es-CR"/>
              </w:rPr>
              <w:t> </w:t>
            </w:r>
          </w:p>
        </w:tc>
        <w:tc>
          <w:tcPr>
            <w:tcW w:w="146" w:type="dxa"/>
            <w:vAlign w:val="center"/>
            <w:hideMark/>
          </w:tcPr>
          <w:p w14:paraId="7E98CDD4" w14:textId="77777777" w:rsidR="005435A2" w:rsidRPr="005435A2" w:rsidRDefault="005435A2" w:rsidP="00234CBE">
            <w:pPr>
              <w:spacing w:line="276" w:lineRule="auto"/>
              <w:rPr>
                <w:rFonts w:ascii="Times New Roman" w:hAnsi="Times New Roman"/>
                <w:sz w:val="20"/>
                <w:szCs w:val="20"/>
                <w:lang w:eastAsia="es-CR"/>
              </w:rPr>
            </w:pPr>
          </w:p>
        </w:tc>
      </w:tr>
      <w:tr w:rsidR="005435A2" w:rsidRPr="005435A2" w14:paraId="61D42798" w14:textId="77777777" w:rsidTr="005435A2">
        <w:trPr>
          <w:trHeight w:val="290"/>
          <w:jc w:val="center"/>
        </w:trPr>
        <w:tc>
          <w:tcPr>
            <w:tcW w:w="2789" w:type="dxa"/>
            <w:tcBorders>
              <w:top w:val="nil"/>
              <w:left w:val="single" w:sz="4" w:space="0" w:color="auto"/>
              <w:bottom w:val="single" w:sz="4" w:space="0" w:color="auto"/>
              <w:right w:val="single" w:sz="4" w:space="0" w:color="auto"/>
            </w:tcBorders>
            <w:shd w:val="clear" w:color="auto" w:fill="auto"/>
            <w:noWrap/>
            <w:vAlign w:val="center"/>
            <w:hideMark/>
          </w:tcPr>
          <w:p w14:paraId="49306D59" w14:textId="77777777" w:rsidR="005435A2" w:rsidRPr="005435A2" w:rsidRDefault="005435A2" w:rsidP="00234CBE">
            <w:pPr>
              <w:spacing w:line="276" w:lineRule="auto"/>
              <w:jc w:val="right"/>
              <w:rPr>
                <w:rFonts w:ascii="Book Antiqua" w:hAnsi="Book Antiqua" w:cs="Calibri"/>
                <w:b/>
                <w:bCs/>
                <w:color w:val="000000"/>
                <w:sz w:val="16"/>
                <w:szCs w:val="16"/>
                <w:lang w:eastAsia="es-CR"/>
              </w:rPr>
            </w:pPr>
            <w:r w:rsidRPr="005435A2">
              <w:rPr>
                <w:rFonts w:ascii="Book Antiqua" w:hAnsi="Book Antiqua" w:cs="Calibri"/>
                <w:b/>
                <w:bCs/>
                <w:color w:val="000000"/>
                <w:sz w:val="16"/>
                <w:szCs w:val="16"/>
                <w:lang w:eastAsia="es-CR"/>
              </w:rPr>
              <w:t>Total general</w:t>
            </w:r>
          </w:p>
        </w:tc>
        <w:tc>
          <w:tcPr>
            <w:tcW w:w="944" w:type="dxa"/>
            <w:tcBorders>
              <w:top w:val="nil"/>
              <w:left w:val="nil"/>
              <w:bottom w:val="single" w:sz="4" w:space="0" w:color="auto"/>
              <w:right w:val="single" w:sz="4" w:space="0" w:color="auto"/>
            </w:tcBorders>
            <w:shd w:val="clear" w:color="auto" w:fill="auto"/>
            <w:noWrap/>
            <w:vAlign w:val="bottom"/>
            <w:hideMark/>
          </w:tcPr>
          <w:p w14:paraId="61DFC63F" w14:textId="77777777" w:rsidR="005435A2" w:rsidRPr="005435A2" w:rsidRDefault="005435A2" w:rsidP="00234CBE">
            <w:pPr>
              <w:spacing w:line="276" w:lineRule="auto"/>
              <w:jc w:val="center"/>
              <w:rPr>
                <w:rFonts w:ascii="Book Antiqua" w:hAnsi="Book Antiqua" w:cs="Calibri"/>
                <w:b/>
                <w:bCs/>
                <w:color w:val="000000"/>
                <w:sz w:val="16"/>
                <w:szCs w:val="16"/>
                <w:lang w:eastAsia="es-CR"/>
              </w:rPr>
            </w:pPr>
            <w:r w:rsidRPr="005435A2">
              <w:rPr>
                <w:rFonts w:ascii="Book Antiqua" w:hAnsi="Book Antiqua" w:cs="Calibri"/>
                <w:b/>
                <w:bCs/>
                <w:color w:val="000000"/>
                <w:sz w:val="16"/>
                <w:szCs w:val="16"/>
                <w:lang w:eastAsia="es-CR"/>
              </w:rPr>
              <w:t>1 287 171</w:t>
            </w:r>
          </w:p>
        </w:tc>
        <w:tc>
          <w:tcPr>
            <w:tcW w:w="944" w:type="dxa"/>
            <w:tcBorders>
              <w:top w:val="nil"/>
              <w:left w:val="nil"/>
              <w:bottom w:val="single" w:sz="4" w:space="0" w:color="auto"/>
              <w:right w:val="single" w:sz="4" w:space="0" w:color="auto"/>
            </w:tcBorders>
            <w:shd w:val="clear" w:color="auto" w:fill="auto"/>
            <w:noWrap/>
            <w:vAlign w:val="bottom"/>
            <w:hideMark/>
          </w:tcPr>
          <w:p w14:paraId="60C553B3" w14:textId="77777777" w:rsidR="005435A2" w:rsidRPr="005435A2" w:rsidRDefault="005435A2" w:rsidP="00234CBE">
            <w:pPr>
              <w:spacing w:line="276" w:lineRule="auto"/>
              <w:jc w:val="center"/>
              <w:rPr>
                <w:rFonts w:ascii="Book Antiqua" w:hAnsi="Book Antiqua" w:cs="Calibri"/>
                <w:b/>
                <w:bCs/>
                <w:color w:val="000000"/>
                <w:sz w:val="16"/>
                <w:szCs w:val="16"/>
                <w:lang w:eastAsia="es-CR"/>
              </w:rPr>
            </w:pPr>
            <w:r w:rsidRPr="005435A2">
              <w:rPr>
                <w:rFonts w:ascii="Book Antiqua" w:hAnsi="Book Antiqua" w:cs="Calibri"/>
                <w:b/>
                <w:bCs/>
                <w:color w:val="000000"/>
                <w:sz w:val="16"/>
                <w:szCs w:val="16"/>
                <w:lang w:eastAsia="es-CR"/>
              </w:rPr>
              <w:t>1 353 276</w:t>
            </w:r>
          </w:p>
        </w:tc>
        <w:tc>
          <w:tcPr>
            <w:tcW w:w="908" w:type="dxa"/>
            <w:tcBorders>
              <w:top w:val="nil"/>
              <w:left w:val="nil"/>
              <w:bottom w:val="single" w:sz="4" w:space="0" w:color="auto"/>
              <w:right w:val="single" w:sz="4" w:space="0" w:color="auto"/>
            </w:tcBorders>
            <w:shd w:val="clear" w:color="auto" w:fill="auto"/>
            <w:noWrap/>
            <w:vAlign w:val="bottom"/>
            <w:hideMark/>
          </w:tcPr>
          <w:p w14:paraId="0D28DAB0" w14:textId="77777777" w:rsidR="005435A2" w:rsidRPr="005435A2" w:rsidRDefault="005435A2" w:rsidP="00234CBE">
            <w:pPr>
              <w:spacing w:line="276" w:lineRule="auto"/>
              <w:jc w:val="center"/>
              <w:rPr>
                <w:rFonts w:ascii="Book Antiqua" w:hAnsi="Book Antiqua" w:cs="Calibri"/>
                <w:b/>
                <w:bCs/>
                <w:color w:val="000000"/>
                <w:sz w:val="16"/>
                <w:szCs w:val="16"/>
                <w:lang w:eastAsia="es-CR"/>
              </w:rPr>
            </w:pPr>
            <w:r w:rsidRPr="005435A2">
              <w:rPr>
                <w:rFonts w:ascii="Book Antiqua" w:hAnsi="Book Antiqua" w:cs="Calibri"/>
                <w:b/>
                <w:bCs/>
                <w:color w:val="000000"/>
                <w:sz w:val="16"/>
                <w:szCs w:val="16"/>
                <w:lang w:eastAsia="es-CR"/>
              </w:rPr>
              <w:t>1 345 085</w:t>
            </w:r>
          </w:p>
        </w:tc>
        <w:tc>
          <w:tcPr>
            <w:tcW w:w="2125" w:type="dxa"/>
            <w:tcBorders>
              <w:top w:val="nil"/>
              <w:left w:val="nil"/>
              <w:bottom w:val="single" w:sz="4" w:space="0" w:color="auto"/>
              <w:right w:val="single" w:sz="4" w:space="0" w:color="auto"/>
            </w:tcBorders>
            <w:shd w:val="clear" w:color="auto" w:fill="auto"/>
            <w:noWrap/>
            <w:vAlign w:val="center"/>
            <w:hideMark/>
          </w:tcPr>
          <w:p w14:paraId="735A518C" w14:textId="77777777" w:rsidR="005435A2" w:rsidRPr="005435A2" w:rsidRDefault="005435A2" w:rsidP="00234CBE">
            <w:pPr>
              <w:spacing w:line="276" w:lineRule="auto"/>
              <w:jc w:val="center"/>
              <w:rPr>
                <w:rFonts w:ascii="Book Antiqua" w:hAnsi="Book Antiqua" w:cs="Calibri"/>
                <w:b/>
                <w:bCs/>
                <w:color w:val="000000"/>
                <w:sz w:val="16"/>
                <w:szCs w:val="16"/>
                <w:u w:val="single"/>
                <w:lang w:eastAsia="es-CR"/>
              </w:rPr>
            </w:pPr>
            <w:r w:rsidRPr="005435A2">
              <w:rPr>
                <w:rFonts w:ascii="Book Antiqua" w:hAnsi="Book Antiqua" w:cs="Calibri"/>
                <w:b/>
                <w:bCs/>
                <w:color w:val="000000"/>
                <w:sz w:val="16"/>
                <w:szCs w:val="16"/>
                <w:u w:val="single"/>
                <w:lang w:eastAsia="es-CR"/>
              </w:rPr>
              <w:t>4,50%</w:t>
            </w:r>
          </w:p>
        </w:tc>
        <w:tc>
          <w:tcPr>
            <w:tcW w:w="2080" w:type="dxa"/>
            <w:tcBorders>
              <w:top w:val="nil"/>
              <w:left w:val="nil"/>
              <w:bottom w:val="single" w:sz="4" w:space="0" w:color="auto"/>
              <w:right w:val="single" w:sz="4" w:space="0" w:color="auto"/>
            </w:tcBorders>
            <w:shd w:val="clear" w:color="auto" w:fill="auto"/>
            <w:noWrap/>
            <w:vAlign w:val="center"/>
            <w:hideMark/>
          </w:tcPr>
          <w:p w14:paraId="6AF7703A" w14:textId="77777777" w:rsidR="005435A2" w:rsidRPr="005435A2" w:rsidRDefault="005435A2" w:rsidP="00234CBE">
            <w:pPr>
              <w:spacing w:line="276" w:lineRule="auto"/>
              <w:jc w:val="center"/>
              <w:rPr>
                <w:rFonts w:ascii="Book Antiqua" w:hAnsi="Book Antiqua" w:cs="Calibri"/>
                <w:b/>
                <w:bCs/>
                <w:color w:val="000000"/>
                <w:sz w:val="16"/>
                <w:szCs w:val="16"/>
                <w:u w:val="single"/>
                <w:lang w:eastAsia="es-CR"/>
              </w:rPr>
            </w:pPr>
            <w:r w:rsidRPr="005435A2">
              <w:rPr>
                <w:rFonts w:ascii="Book Antiqua" w:hAnsi="Book Antiqua" w:cs="Calibri"/>
                <w:b/>
                <w:bCs/>
                <w:color w:val="000000"/>
                <w:sz w:val="16"/>
                <w:szCs w:val="16"/>
                <w:u w:val="single"/>
                <w:lang w:eastAsia="es-CR"/>
              </w:rPr>
              <w:t>-0,61%</w:t>
            </w:r>
          </w:p>
        </w:tc>
        <w:tc>
          <w:tcPr>
            <w:tcW w:w="146" w:type="dxa"/>
            <w:vAlign w:val="center"/>
            <w:hideMark/>
          </w:tcPr>
          <w:p w14:paraId="31995164" w14:textId="77777777" w:rsidR="005435A2" w:rsidRPr="005435A2" w:rsidRDefault="005435A2" w:rsidP="00234CBE">
            <w:pPr>
              <w:spacing w:line="276" w:lineRule="auto"/>
              <w:rPr>
                <w:rFonts w:ascii="Times New Roman" w:hAnsi="Times New Roman"/>
                <w:sz w:val="20"/>
                <w:szCs w:val="20"/>
                <w:lang w:eastAsia="es-CR"/>
              </w:rPr>
            </w:pPr>
          </w:p>
        </w:tc>
      </w:tr>
      <w:tr w:rsidR="005435A2" w:rsidRPr="005435A2" w14:paraId="169DF4DF" w14:textId="77777777" w:rsidTr="005435A2">
        <w:trPr>
          <w:trHeight w:val="290"/>
          <w:jc w:val="center"/>
        </w:trPr>
        <w:tc>
          <w:tcPr>
            <w:tcW w:w="2789" w:type="dxa"/>
            <w:tcBorders>
              <w:top w:val="nil"/>
              <w:left w:val="single" w:sz="4" w:space="0" w:color="auto"/>
              <w:bottom w:val="single" w:sz="4" w:space="0" w:color="auto"/>
              <w:right w:val="single" w:sz="4" w:space="0" w:color="auto"/>
            </w:tcBorders>
            <w:shd w:val="clear" w:color="auto" w:fill="auto"/>
            <w:noWrap/>
            <w:vAlign w:val="center"/>
            <w:hideMark/>
          </w:tcPr>
          <w:p w14:paraId="22FFC9E3" w14:textId="77777777" w:rsidR="005435A2" w:rsidRPr="005435A2" w:rsidRDefault="005435A2" w:rsidP="00234CBE">
            <w:pPr>
              <w:spacing w:line="276" w:lineRule="auto"/>
              <w:jc w:val="right"/>
              <w:rPr>
                <w:rFonts w:ascii="Book Antiqua" w:hAnsi="Book Antiqua" w:cs="Calibri"/>
                <w:color w:val="000000"/>
                <w:sz w:val="16"/>
                <w:szCs w:val="16"/>
                <w:lang w:eastAsia="es-CR"/>
              </w:rPr>
            </w:pPr>
            <w:r w:rsidRPr="005435A2">
              <w:rPr>
                <w:rFonts w:ascii="Book Antiqua" w:hAnsi="Book Antiqua" w:cs="Calibri"/>
                <w:color w:val="000000"/>
                <w:sz w:val="16"/>
                <w:szCs w:val="16"/>
                <w:lang w:eastAsia="es-CR"/>
              </w:rPr>
              <w:t>Total de materias exceptuando Cobro</w:t>
            </w:r>
          </w:p>
        </w:tc>
        <w:tc>
          <w:tcPr>
            <w:tcW w:w="944" w:type="dxa"/>
            <w:tcBorders>
              <w:top w:val="nil"/>
              <w:left w:val="nil"/>
              <w:bottom w:val="single" w:sz="4" w:space="0" w:color="auto"/>
              <w:right w:val="single" w:sz="4" w:space="0" w:color="auto"/>
            </w:tcBorders>
            <w:shd w:val="clear" w:color="auto" w:fill="auto"/>
            <w:noWrap/>
            <w:vAlign w:val="center"/>
            <w:hideMark/>
          </w:tcPr>
          <w:p w14:paraId="49F0D0DF" w14:textId="77777777" w:rsidR="005435A2" w:rsidRPr="005435A2" w:rsidRDefault="005435A2" w:rsidP="00234CBE">
            <w:pPr>
              <w:spacing w:line="276" w:lineRule="auto"/>
              <w:jc w:val="center"/>
              <w:rPr>
                <w:rFonts w:ascii="Book Antiqua" w:hAnsi="Book Antiqua" w:cs="Calibri"/>
                <w:color w:val="000000"/>
                <w:sz w:val="16"/>
                <w:szCs w:val="16"/>
                <w:lang w:eastAsia="es-CR"/>
              </w:rPr>
            </w:pPr>
            <w:r w:rsidRPr="005435A2">
              <w:rPr>
                <w:rFonts w:ascii="Book Antiqua" w:hAnsi="Book Antiqua" w:cs="Calibri"/>
                <w:color w:val="000000"/>
                <w:sz w:val="16"/>
                <w:szCs w:val="16"/>
                <w:lang w:eastAsia="es-CR"/>
              </w:rPr>
              <w:t>539 015</w:t>
            </w:r>
          </w:p>
        </w:tc>
        <w:tc>
          <w:tcPr>
            <w:tcW w:w="944" w:type="dxa"/>
            <w:tcBorders>
              <w:top w:val="nil"/>
              <w:left w:val="nil"/>
              <w:bottom w:val="single" w:sz="4" w:space="0" w:color="auto"/>
              <w:right w:val="single" w:sz="4" w:space="0" w:color="auto"/>
            </w:tcBorders>
            <w:shd w:val="clear" w:color="auto" w:fill="auto"/>
            <w:noWrap/>
            <w:vAlign w:val="center"/>
            <w:hideMark/>
          </w:tcPr>
          <w:p w14:paraId="3689D8D3" w14:textId="77777777" w:rsidR="005435A2" w:rsidRPr="005435A2" w:rsidRDefault="005435A2" w:rsidP="00234CBE">
            <w:pPr>
              <w:spacing w:line="276" w:lineRule="auto"/>
              <w:jc w:val="center"/>
              <w:rPr>
                <w:rFonts w:ascii="Book Antiqua" w:hAnsi="Book Antiqua" w:cs="Calibri"/>
                <w:color w:val="000000"/>
                <w:sz w:val="16"/>
                <w:szCs w:val="16"/>
                <w:lang w:eastAsia="es-CR"/>
              </w:rPr>
            </w:pPr>
            <w:r w:rsidRPr="005435A2">
              <w:rPr>
                <w:rFonts w:ascii="Book Antiqua" w:hAnsi="Book Antiqua" w:cs="Calibri"/>
                <w:color w:val="000000"/>
                <w:sz w:val="16"/>
                <w:szCs w:val="16"/>
                <w:lang w:eastAsia="es-CR"/>
              </w:rPr>
              <w:t>520 593</w:t>
            </w:r>
          </w:p>
        </w:tc>
        <w:tc>
          <w:tcPr>
            <w:tcW w:w="908" w:type="dxa"/>
            <w:tcBorders>
              <w:top w:val="nil"/>
              <w:left w:val="nil"/>
              <w:bottom w:val="single" w:sz="4" w:space="0" w:color="auto"/>
              <w:right w:val="single" w:sz="4" w:space="0" w:color="auto"/>
            </w:tcBorders>
            <w:shd w:val="clear" w:color="auto" w:fill="auto"/>
            <w:noWrap/>
            <w:vAlign w:val="center"/>
            <w:hideMark/>
          </w:tcPr>
          <w:p w14:paraId="614FDA03" w14:textId="77777777" w:rsidR="005435A2" w:rsidRPr="005435A2" w:rsidRDefault="005435A2" w:rsidP="00234CBE">
            <w:pPr>
              <w:spacing w:line="276" w:lineRule="auto"/>
              <w:jc w:val="center"/>
              <w:rPr>
                <w:rFonts w:ascii="Book Antiqua" w:hAnsi="Book Antiqua" w:cs="Calibri"/>
                <w:color w:val="000000"/>
                <w:sz w:val="16"/>
                <w:szCs w:val="16"/>
                <w:lang w:eastAsia="es-CR"/>
              </w:rPr>
            </w:pPr>
            <w:r w:rsidRPr="005435A2">
              <w:rPr>
                <w:rFonts w:ascii="Book Antiqua" w:hAnsi="Book Antiqua" w:cs="Calibri"/>
                <w:color w:val="000000"/>
                <w:sz w:val="16"/>
                <w:szCs w:val="16"/>
                <w:lang w:eastAsia="es-CR"/>
              </w:rPr>
              <w:t>515 706</w:t>
            </w:r>
          </w:p>
        </w:tc>
        <w:tc>
          <w:tcPr>
            <w:tcW w:w="2125" w:type="dxa"/>
            <w:tcBorders>
              <w:top w:val="nil"/>
              <w:left w:val="nil"/>
              <w:bottom w:val="single" w:sz="4" w:space="0" w:color="auto"/>
              <w:right w:val="single" w:sz="4" w:space="0" w:color="auto"/>
            </w:tcBorders>
            <w:shd w:val="clear" w:color="auto" w:fill="auto"/>
            <w:noWrap/>
            <w:vAlign w:val="center"/>
            <w:hideMark/>
          </w:tcPr>
          <w:p w14:paraId="4F6B8A3E" w14:textId="77777777" w:rsidR="005435A2" w:rsidRPr="005435A2" w:rsidRDefault="005435A2" w:rsidP="00234CBE">
            <w:pPr>
              <w:spacing w:line="276" w:lineRule="auto"/>
              <w:jc w:val="center"/>
              <w:rPr>
                <w:rFonts w:ascii="Book Antiqua" w:hAnsi="Book Antiqua" w:cs="Calibri"/>
                <w:color w:val="000000"/>
                <w:sz w:val="16"/>
                <w:szCs w:val="16"/>
                <w:lang w:eastAsia="es-CR"/>
              </w:rPr>
            </w:pPr>
            <w:r w:rsidRPr="005435A2">
              <w:rPr>
                <w:rFonts w:ascii="Book Antiqua" w:hAnsi="Book Antiqua" w:cs="Calibri"/>
                <w:color w:val="000000"/>
                <w:sz w:val="16"/>
                <w:szCs w:val="16"/>
                <w:lang w:eastAsia="es-CR"/>
              </w:rPr>
              <w:t>-4,32%</w:t>
            </w:r>
          </w:p>
        </w:tc>
        <w:tc>
          <w:tcPr>
            <w:tcW w:w="2080" w:type="dxa"/>
            <w:tcBorders>
              <w:top w:val="nil"/>
              <w:left w:val="nil"/>
              <w:bottom w:val="single" w:sz="4" w:space="0" w:color="auto"/>
              <w:right w:val="single" w:sz="4" w:space="0" w:color="auto"/>
            </w:tcBorders>
            <w:shd w:val="clear" w:color="auto" w:fill="auto"/>
            <w:noWrap/>
            <w:vAlign w:val="center"/>
            <w:hideMark/>
          </w:tcPr>
          <w:p w14:paraId="6BA34E9A" w14:textId="77777777" w:rsidR="005435A2" w:rsidRPr="005435A2" w:rsidRDefault="005435A2" w:rsidP="00234CBE">
            <w:pPr>
              <w:spacing w:line="276" w:lineRule="auto"/>
              <w:jc w:val="center"/>
              <w:rPr>
                <w:rFonts w:ascii="Book Antiqua" w:hAnsi="Book Antiqua" w:cs="Calibri"/>
                <w:color w:val="000000"/>
                <w:sz w:val="16"/>
                <w:szCs w:val="16"/>
                <w:lang w:eastAsia="es-CR"/>
              </w:rPr>
            </w:pPr>
            <w:r w:rsidRPr="005435A2">
              <w:rPr>
                <w:rFonts w:ascii="Book Antiqua" w:hAnsi="Book Antiqua" w:cs="Calibri"/>
                <w:color w:val="000000"/>
                <w:sz w:val="16"/>
                <w:szCs w:val="16"/>
                <w:lang w:eastAsia="es-CR"/>
              </w:rPr>
              <w:t>-0,94%</w:t>
            </w:r>
          </w:p>
        </w:tc>
        <w:tc>
          <w:tcPr>
            <w:tcW w:w="146" w:type="dxa"/>
            <w:vAlign w:val="center"/>
            <w:hideMark/>
          </w:tcPr>
          <w:p w14:paraId="730B613A" w14:textId="77777777" w:rsidR="005435A2" w:rsidRPr="005435A2" w:rsidRDefault="005435A2" w:rsidP="00234CBE">
            <w:pPr>
              <w:spacing w:line="276" w:lineRule="auto"/>
              <w:rPr>
                <w:rFonts w:ascii="Times New Roman" w:hAnsi="Times New Roman"/>
                <w:sz w:val="20"/>
                <w:szCs w:val="20"/>
                <w:lang w:eastAsia="es-CR"/>
              </w:rPr>
            </w:pPr>
          </w:p>
        </w:tc>
      </w:tr>
      <w:tr w:rsidR="005435A2" w:rsidRPr="005435A2" w14:paraId="63C31952" w14:textId="77777777" w:rsidTr="005435A2">
        <w:trPr>
          <w:trHeight w:val="290"/>
          <w:jc w:val="center"/>
        </w:trPr>
        <w:tc>
          <w:tcPr>
            <w:tcW w:w="2789" w:type="dxa"/>
            <w:tcBorders>
              <w:top w:val="nil"/>
              <w:left w:val="single" w:sz="4" w:space="0" w:color="auto"/>
              <w:bottom w:val="single" w:sz="4" w:space="0" w:color="auto"/>
              <w:right w:val="single" w:sz="4" w:space="0" w:color="auto"/>
            </w:tcBorders>
            <w:shd w:val="clear" w:color="auto" w:fill="auto"/>
            <w:noWrap/>
            <w:vAlign w:val="center"/>
            <w:hideMark/>
          </w:tcPr>
          <w:p w14:paraId="44C7B9CC" w14:textId="77777777" w:rsidR="005435A2" w:rsidRPr="005435A2" w:rsidRDefault="005435A2" w:rsidP="00234CBE">
            <w:pPr>
              <w:spacing w:line="276" w:lineRule="auto"/>
              <w:jc w:val="right"/>
              <w:rPr>
                <w:rFonts w:ascii="Book Antiqua" w:hAnsi="Book Antiqua" w:cs="Calibri"/>
                <w:color w:val="000000"/>
                <w:sz w:val="16"/>
                <w:szCs w:val="16"/>
                <w:lang w:eastAsia="es-CR"/>
              </w:rPr>
            </w:pPr>
            <w:r w:rsidRPr="005435A2">
              <w:rPr>
                <w:rFonts w:ascii="Book Antiqua" w:hAnsi="Book Antiqua" w:cs="Calibri"/>
                <w:color w:val="000000"/>
                <w:sz w:val="16"/>
                <w:szCs w:val="16"/>
                <w:lang w:eastAsia="es-CR"/>
              </w:rPr>
              <w:t>Cobro</w:t>
            </w:r>
          </w:p>
        </w:tc>
        <w:tc>
          <w:tcPr>
            <w:tcW w:w="944" w:type="dxa"/>
            <w:tcBorders>
              <w:top w:val="nil"/>
              <w:left w:val="nil"/>
              <w:bottom w:val="single" w:sz="4" w:space="0" w:color="auto"/>
              <w:right w:val="single" w:sz="4" w:space="0" w:color="auto"/>
            </w:tcBorders>
            <w:shd w:val="clear" w:color="auto" w:fill="auto"/>
            <w:noWrap/>
            <w:vAlign w:val="center"/>
            <w:hideMark/>
          </w:tcPr>
          <w:p w14:paraId="3D2F9616" w14:textId="77777777" w:rsidR="005435A2" w:rsidRPr="005435A2" w:rsidRDefault="005435A2" w:rsidP="00234CBE">
            <w:pPr>
              <w:spacing w:line="276" w:lineRule="auto"/>
              <w:jc w:val="center"/>
              <w:rPr>
                <w:rFonts w:ascii="Book Antiqua" w:hAnsi="Book Antiqua" w:cs="Calibri"/>
                <w:color w:val="000000"/>
                <w:sz w:val="16"/>
                <w:szCs w:val="16"/>
                <w:lang w:eastAsia="es-CR"/>
              </w:rPr>
            </w:pPr>
            <w:r w:rsidRPr="005435A2">
              <w:rPr>
                <w:rFonts w:ascii="Book Antiqua" w:hAnsi="Book Antiqua" w:cs="Calibri"/>
                <w:color w:val="000000"/>
                <w:sz w:val="16"/>
                <w:szCs w:val="16"/>
                <w:lang w:eastAsia="es-CR"/>
              </w:rPr>
              <w:t>748156</w:t>
            </w:r>
          </w:p>
        </w:tc>
        <w:tc>
          <w:tcPr>
            <w:tcW w:w="944" w:type="dxa"/>
            <w:tcBorders>
              <w:top w:val="nil"/>
              <w:left w:val="nil"/>
              <w:bottom w:val="single" w:sz="4" w:space="0" w:color="auto"/>
              <w:right w:val="single" w:sz="4" w:space="0" w:color="auto"/>
            </w:tcBorders>
            <w:shd w:val="clear" w:color="auto" w:fill="auto"/>
            <w:noWrap/>
            <w:vAlign w:val="center"/>
            <w:hideMark/>
          </w:tcPr>
          <w:p w14:paraId="659D8EB3" w14:textId="77777777" w:rsidR="005435A2" w:rsidRPr="005435A2" w:rsidRDefault="005435A2" w:rsidP="00234CBE">
            <w:pPr>
              <w:spacing w:line="276" w:lineRule="auto"/>
              <w:jc w:val="center"/>
              <w:rPr>
                <w:rFonts w:ascii="Book Antiqua" w:hAnsi="Book Antiqua" w:cs="Calibri"/>
                <w:color w:val="000000"/>
                <w:sz w:val="16"/>
                <w:szCs w:val="16"/>
                <w:lang w:eastAsia="es-CR"/>
              </w:rPr>
            </w:pPr>
            <w:r w:rsidRPr="005435A2">
              <w:rPr>
                <w:rFonts w:ascii="Book Antiqua" w:hAnsi="Book Antiqua" w:cs="Calibri"/>
                <w:color w:val="000000"/>
                <w:sz w:val="16"/>
                <w:szCs w:val="16"/>
                <w:lang w:eastAsia="es-CR"/>
              </w:rPr>
              <w:t>832683</w:t>
            </w:r>
          </w:p>
        </w:tc>
        <w:tc>
          <w:tcPr>
            <w:tcW w:w="908" w:type="dxa"/>
            <w:tcBorders>
              <w:top w:val="nil"/>
              <w:left w:val="nil"/>
              <w:bottom w:val="single" w:sz="4" w:space="0" w:color="auto"/>
              <w:right w:val="single" w:sz="4" w:space="0" w:color="auto"/>
            </w:tcBorders>
            <w:shd w:val="clear" w:color="auto" w:fill="auto"/>
            <w:noWrap/>
            <w:vAlign w:val="center"/>
            <w:hideMark/>
          </w:tcPr>
          <w:p w14:paraId="68785885" w14:textId="77777777" w:rsidR="005435A2" w:rsidRPr="005435A2" w:rsidRDefault="005435A2" w:rsidP="00234CBE">
            <w:pPr>
              <w:spacing w:line="276" w:lineRule="auto"/>
              <w:jc w:val="center"/>
              <w:rPr>
                <w:rFonts w:ascii="Book Antiqua" w:hAnsi="Book Antiqua" w:cs="Calibri"/>
                <w:color w:val="000000"/>
                <w:sz w:val="16"/>
                <w:szCs w:val="16"/>
                <w:lang w:eastAsia="es-CR"/>
              </w:rPr>
            </w:pPr>
            <w:r w:rsidRPr="005435A2">
              <w:rPr>
                <w:rFonts w:ascii="Book Antiqua" w:hAnsi="Book Antiqua" w:cs="Calibri"/>
                <w:color w:val="000000"/>
                <w:sz w:val="16"/>
                <w:szCs w:val="16"/>
                <w:lang w:eastAsia="es-CR"/>
              </w:rPr>
              <w:t>829379</w:t>
            </w:r>
          </w:p>
        </w:tc>
        <w:tc>
          <w:tcPr>
            <w:tcW w:w="2125" w:type="dxa"/>
            <w:tcBorders>
              <w:top w:val="nil"/>
              <w:left w:val="nil"/>
              <w:bottom w:val="single" w:sz="4" w:space="0" w:color="auto"/>
              <w:right w:val="single" w:sz="4" w:space="0" w:color="auto"/>
            </w:tcBorders>
            <w:shd w:val="clear" w:color="auto" w:fill="auto"/>
            <w:noWrap/>
            <w:vAlign w:val="center"/>
            <w:hideMark/>
          </w:tcPr>
          <w:p w14:paraId="6BE8CAF1" w14:textId="77777777" w:rsidR="005435A2" w:rsidRPr="005435A2" w:rsidRDefault="005435A2" w:rsidP="00234CBE">
            <w:pPr>
              <w:spacing w:line="276" w:lineRule="auto"/>
              <w:jc w:val="center"/>
              <w:rPr>
                <w:rFonts w:ascii="Book Antiqua" w:hAnsi="Book Antiqua" w:cs="Calibri"/>
                <w:color w:val="000000"/>
                <w:sz w:val="16"/>
                <w:szCs w:val="16"/>
                <w:lang w:eastAsia="es-CR"/>
              </w:rPr>
            </w:pPr>
            <w:r w:rsidRPr="005435A2">
              <w:rPr>
                <w:rFonts w:ascii="Book Antiqua" w:hAnsi="Book Antiqua" w:cs="Calibri"/>
                <w:color w:val="000000"/>
                <w:sz w:val="16"/>
                <w:szCs w:val="16"/>
                <w:lang w:eastAsia="es-CR"/>
              </w:rPr>
              <w:t>10,86%</w:t>
            </w:r>
          </w:p>
        </w:tc>
        <w:tc>
          <w:tcPr>
            <w:tcW w:w="2080" w:type="dxa"/>
            <w:tcBorders>
              <w:top w:val="nil"/>
              <w:left w:val="nil"/>
              <w:bottom w:val="single" w:sz="4" w:space="0" w:color="auto"/>
              <w:right w:val="single" w:sz="4" w:space="0" w:color="auto"/>
            </w:tcBorders>
            <w:shd w:val="clear" w:color="auto" w:fill="auto"/>
            <w:noWrap/>
            <w:vAlign w:val="center"/>
            <w:hideMark/>
          </w:tcPr>
          <w:p w14:paraId="5CBE7D94" w14:textId="77777777" w:rsidR="005435A2" w:rsidRPr="005435A2" w:rsidRDefault="005435A2" w:rsidP="00234CBE">
            <w:pPr>
              <w:spacing w:line="276" w:lineRule="auto"/>
              <w:jc w:val="center"/>
              <w:rPr>
                <w:rFonts w:ascii="Book Antiqua" w:hAnsi="Book Antiqua" w:cs="Calibri"/>
                <w:color w:val="000000"/>
                <w:sz w:val="16"/>
                <w:szCs w:val="16"/>
                <w:lang w:eastAsia="es-CR"/>
              </w:rPr>
            </w:pPr>
            <w:r w:rsidRPr="005435A2">
              <w:rPr>
                <w:rFonts w:ascii="Book Antiqua" w:hAnsi="Book Antiqua" w:cs="Calibri"/>
                <w:color w:val="000000"/>
                <w:sz w:val="16"/>
                <w:szCs w:val="16"/>
                <w:lang w:eastAsia="es-CR"/>
              </w:rPr>
              <w:t>-0,40%</w:t>
            </w:r>
          </w:p>
        </w:tc>
        <w:tc>
          <w:tcPr>
            <w:tcW w:w="146" w:type="dxa"/>
            <w:vAlign w:val="center"/>
            <w:hideMark/>
          </w:tcPr>
          <w:p w14:paraId="12E484B0" w14:textId="77777777" w:rsidR="005435A2" w:rsidRPr="005435A2" w:rsidRDefault="005435A2" w:rsidP="00234CBE">
            <w:pPr>
              <w:spacing w:line="276" w:lineRule="auto"/>
              <w:rPr>
                <w:rFonts w:ascii="Times New Roman" w:hAnsi="Times New Roman"/>
                <w:sz w:val="20"/>
                <w:szCs w:val="20"/>
                <w:lang w:eastAsia="es-CR"/>
              </w:rPr>
            </w:pPr>
          </w:p>
        </w:tc>
      </w:tr>
    </w:tbl>
    <w:p w14:paraId="6D4E3BF1" w14:textId="0B6223EA" w:rsidR="005435A2" w:rsidRDefault="0059268A" w:rsidP="00F92897">
      <w:pPr>
        <w:shd w:val="clear" w:color="auto" w:fill="FFFFFF" w:themeFill="background1"/>
        <w:spacing w:line="276" w:lineRule="auto"/>
        <w:jc w:val="center"/>
        <w:rPr>
          <w:rFonts w:ascii="Book Antiqua" w:hAnsi="Book Antiqua" w:cs="Calibri"/>
          <w:color w:val="000000"/>
        </w:rPr>
      </w:pPr>
      <w:r w:rsidRPr="0059268A">
        <w:rPr>
          <w:rFonts w:ascii="Book Antiqua" w:hAnsi="Book Antiqua" w:cs="Calibri"/>
          <w:b/>
          <w:bCs/>
          <w:color w:val="000000"/>
          <w:sz w:val="20"/>
          <w:szCs w:val="20"/>
          <w:lang w:eastAsia="es-CR"/>
        </w:rPr>
        <w:t>Fuente:</w:t>
      </w:r>
      <w:r w:rsidRPr="00D44482">
        <w:rPr>
          <w:rFonts w:ascii="Book Antiqua" w:hAnsi="Book Antiqua" w:cs="Calibri"/>
          <w:color w:val="000000"/>
          <w:sz w:val="20"/>
          <w:szCs w:val="20"/>
          <w:lang w:eastAsia="es-CR"/>
        </w:rPr>
        <w:t xml:space="preserve"> </w:t>
      </w:r>
      <w:r>
        <w:rPr>
          <w:rFonts w:ascii="Book Antiqua" w:hAnsi="Book Antiqua" w:cs="Calibri"/>
          <w:color w:val="000000"/>
          <w:sz w:val="20"/>
          <w:szCs w:val="20"/>
          <w:lang w:eastAsia="es-CR"/>
        </w:rPr>
        <w:t>Elaboración propia a partir de las estadísticas del Subproceso de Estadística</w:t>
      </w:r>
    </w:p>
    <w:p w14:paraId="4F089110" w14:textId="77777777" w:rsidR="00F92897" w:rsidRPr="00F92897" w:rsidRDefault="00F92897" w:rsidP="00F92897">
      <w:pPr>
        <w:shd w:val="clear" w:color="auto" w:fill="FFFFFF" w:themeFill="background1"/>
        <w:spacing w:line="276" w:lineRule="auto"/>
        <w:jc w:val="center"/>
        <w:rPr>
          <w:rFonts w:ascii="Book Antiqua" w:hAnsi="Book Antiqua" w:cs="Book Antiqua"/>
          <w:snapToGrid w:val="0"/>
          <w:color w:val="000000" w:themeColor="text1"/>
        </w:rPr>
      </w:pPr>
    </w:p>
    <w:bookmarkEnd w:id="4"/>
    <w:p w14:paraId="05F0EE64" w14:textId="2ADF8615" w:rsidR="0096478D" w:rsidRPr="00D47E07" w:rsidRDefault="721D4F42" w:rsidP="57A79FF7">
      <w:pPr>
        <w:shd w:val="clear" w:color="auto" w:fill="FFFFFF" w:themeFill="background1"/>
        <w:spacing w:after="160" w:line="276" w:lineRule="auto"/>
        <w:rPr>
          <w:b/>
          <w:lang w:val="es-ES" w:eastAsia="en-US"/>
        </w:rPr>
      </w:pPr>
      <w:r w:rsidRPr="57A79FF7">
        <w:rPr>
          <w:rFonts w:ascii="Book Antiqua" w:hAnsi="Book Antiqua"/>
          <w:b/>
          <w:bCs/>
          <w:lang w:val="es-ES" w:eastAsia="en-US"/>
        </w:rPr>
        <w:t xml:space="preserve">1.4 </w:t>
      </w:r>
      <w:r w:rsidR="0096478D" w:rsidRPr="57A79FF7">
        <w:rPr>
          <w:rFonts w:ascii="Book Antiqua" w:hAnsi="Book Antiqua"/>
          <w:b/>
          <w:lang w:val="es-ES" w:eastAsia="en-US"/>
        </w:rPr>
        <w:t>Cuadro resumen</w:t>
      </w:r>
    </w:p>
    <w:p w14:paraId="2D93704F" w14:textId="77777777" w:rsidR="0096478D" w:rsidRPr="00D47E07" w:rsidRDefault="0096478D" w:rsidP="00234CBE">
      <w:pPr>
        <w:shd w:val="clear" w:color="auto" w:fill="FFFFFF" w:themeFill="background1"/>
        <w:spacing w:after="160" w:line="276" w:lineRule="auto"/>
        <w:jc w:val="both"/>
        <w:rPr>
          <w:rFonts w:ascii="Book Antiqua" w:hAnsi="Book Antiqua"/>
          <w:lang w:val="es-ES_tradnl" w:eastAsia="en-US"/>
        </w:rPr>
      </w:pPr>
      <w:r w:rsidRPr="00D47E07">
        <w:rPr>
          <w:rFonts w:ascii="Book Antiqua" w:hAnsi="Book Antiqua"/>
          <w:lang w:val="es-ES_tradnl" w:eastAsia="en-US"/>
        </w:rPr>
        <w:t>Se agrupan las materias por categorías tal como se detalla en el siguiente desglose:</w:t>
      </w:r>
    </w:p>
    <w:p w14:paraId="0C485514" w14:textId="11B4E2F6" w:rsidR="0096478D" w:rsidRPr="00D47E07" w:rsidRDefault="0096478D" w:rsidP="00234CBE">
      <w:pPr>
        <w:pStyle w:val="Prrafodelista"/>
        <w:numPr>
          <w:ilvl w:val="0"/>
          <w:numId w:val="5"/>
        </w:numPr>
        <w:shd w:val="clear" w:color="auto" w:fill="FFFFFF" w:themeFill="background1"/>
        <w:spacing w:after="160" w:line="276" w:lineRule="auto"/>
        <w:jc w:val="both"/>
        <w:rPr>
          <w:rFonts w:ascii="Book Antiqua" w:hAnsi="Book Antiqua"/>
          <w:lang w:val="es-ES_tradnl" w:eastAsia="en-US"/>
        </w:rPr>
      </w:pPr>
      <w:r w:rsidRPr="00D47E07">
        <w:rPr>
          <w:rFonts w:ascii="Book Antiqua" w:hAnsi="Book Antiqua"/>
          <w:lang w:val="es-ES_tradnl" w:eastAsia="en-US"/>
        </w:rPr>
        <w:t>II instancia</w:t>
      </w:r>
      <w:r w:rsidR="009635C6" w:rsidRPr="00D47E07">
        <w:rPr>
          <w:rFonts w:ascii="Book Antiqua" w:hAnsi="Book Antiqua"/>
          <w:lang w:val="es-ES_tradnl" w:eastAsia="en-US"/>
        </w:rPr>
        <w:t xml:space="preserve"> y Casación</w:t>
      </w:r>
      <w:r w:rsidRPr="00D47E07">
        <w:rPr>
          <w:rFonts w:ascii="Book Antiqua" w:hAnsi="Book Antiqua"/>
          <w:lang w:val="es-ES_tradnl" w:eastAsia="en-US"/>
        </w:rPr>
        <w:t>: Sala Tercera, Sala Tercera – Penal Juvenil, Tribunal de Apelación de la Sentencia Penal y Tribunal de Apelación Penal Juvenil, Sala Primera, Sala Primera – Tribunal de Casación de lo Contencioso Administrativo, Sala Segunda, Tribunal Apelación Civil, Tribunal Apelación Laboral, Tribunal Agrario, Tribunal de Familia, Tribunal de Apelación, Tribunal Contencioso, Tribunal Notarial, Inspección Judicial e Inspección Fiscal, Sala Constitucional.</w:t>
      </w:r>
    </w:p>
    <w:p w14:paraId="4DF49397" w14:textId="09EE32A4" w:rsidR="0096478D" w:rsidRPr="00D47E07" w:rsidRDefault="0096478D" w:rsidP="00234CBE">
      <w:pPr>
        <w:pStyle w:val="Prrafodelista"/>
        <w:numPr>
          <w:ilvl w:val="0"/>
          <w:numId w:val="5"/>
        </w:numPr>
        <w:shd w:val="clear" w:color="auto" w:fill="FFFFFF" w:themeFill="background1"/>
        <w:spacing w:after="160" w:line="276" w:lineRule="auto"/>
        <w:jc w:val="both"/>
        <w:rPr>
          <w:rFonts w:ascii="Book Antiqua" w:hAnsi="Book Antiqua"/>
          <w:lang w:val="es-ES_tradnl" w:eastAsia="en-US"/>
        </w:rPr>
      </w:pPr>
      <w:r w:rsidRPr="00D47E07">
        <w:rPr>
          <w:rFonts w:ascii="Book Antiqua" w:hAnsi="Book Antiqua"/>
          <w:lang w:val="es-ES_tradnl" w:eastAsia="en-US"/>
        </w:rPr>
        <w:t xml:space="preserve">I instancia </w:t>
      </w:r>
      <w:r w:rsidR="000A77D7" w:rsidRPr="00D47E07">
        <w:rPr>
          <w:rFonts w:ascii="Book Antiqua" w:hAnsi="Book Antiqua"/>
          <w:lang w:val="es-ES_tradnl" w:eastAsia="en-US"/>
        </w:rPr>
        <w:t>P</w:t>
      </w:r>
      <w:r w:rsidRPr="00D47E07">
        <w:rPr>
          <w:rFonts w:ascii="Book Antiqua" w:hAnsi="Book Antiqua"/>
          <w:lang w:val="es-ES_tradnl" w:eastAsia="en-US"/>
        </w:rPr>
        <w:t>enal: Tribunal Penal, Juzgado Penal, Juzgado Penal Juvenil, Juzgado de Ejecución de la Pena, Juzgado de Sanciones Penales Juveniles.</w:t>
      </w:r>
    </w:p>
    <w:p w14:paraId="0D7FB8DE" w14:textId="6250A614" w:rsidR="00173C64" w:rsidRDefault="0096478D" w:rsidP="00234CBE">
      <w:pPr>
        <w:pStyle w:val="Prrafodelista"/>
        <w:numPr>
          <w:ilvl w:val="0"/>
          <w:numId w:val="5"/>
        </w:numPr>
        <w:shd w:val="clear" w:color="auto" w:fill="FFFFFF" w:themeFill="background1"/>
        <w:spacing w:after="160" w:line="276" w:lineRule="auto"/>
        <w:jc w:val="both"/>
        <w:rPr>
          <w:rFonts w:ascii="Book Antiqua" w:hAnsi="Book Antiqua"/>
          <w:lang w:val="es-ES_tradnl" w:eastAsia="en-US"/>
        </w:rPr>
      </w:pPr>
      <w:r w:rsidRPr="00D47E07">
        <w:rPr>
          <w:rFonts w:ascii="Book Antiqua" w:hAnsi="Book Antiqua"/>
          <w:lang w:val="es-ES_tradnl" w:eastAsia="en-US"/>
        </w:rPr>
        <w:t xml:space="preserve">I Instancia </w:t>
      </w:r>
      <w:r w:rsidR="000A77D7" w:rsidRPr="00D47E07">
        <w:rPr>
          <w:rFonts w:ascii="Book Antiqua" w:hAnsi="Book Antiqua"/>
          <w:lang w:val="es-ES_tradnl" w:eastAsia="en-US"/>
        </w:rPr>
        <w:t>N</w:t>
      </w:r>
      <w:r w:rsidRPr="00D47E07">
        <w:rPr>
          <w:rFonts w:ascii="Book Antiqua" w:hAnsi="Book Antiqua"/>
          <w:lang w:val="es-ES_tradnl" w:eastAsia="en-US"/>
        </w:rPr>
        <w:t xml:space="preserve">o </w:t>
      </w:r>
      <w:r w:rsidR="000A77D7" w:rsidRPr="00D47E07">
        <w:rPr>
          <w:rFonts w:ascii="Book Antiqua" w:hAnsi="Book Antiqua"/>
          <w:lang w:val="es-ES_tradnl" w:eastAsia="en-US"/>
        </w:rPr>
        <w:t>P</w:t>
      </w:r>
      <w:r w:rsidRPr="00D47E07">
        <w:rPr>
          <w:rFonts w:ascii="Book Antiqua" w:hAnsi="Book Antiqua"/>
          <w:lang w:val="es-ES_tradnl" w:eastAsia="en-US"/>
        </w:rPr>
        <w:t>enal: Civil, Cobro, Contencioso Administrativo, Violencia Doméstica, Pensiones Alimentarias, Familia, Agrario, Tránsito, Contravenciones, Laboral y Notarial.</w:t>
      </w:r>
    </w:p>
    <w:p w14:paraId="4B004321" w14:textId="77777777" w:rsidR="0001329C" w:rsidRPr="0001329C" w:rsidRDefault="0001329C" w:rsidP="00234CBE">
      <w:pPr>
        <w:shd w:val="clear" w:color="auto" w:fill="FFFFFF" w:themeFill="background1"/>
        <w:spacing w:after="160" w:line="276" w:lineRule="auto"/>
        <w:ind w:left="360"/>
        <w:jc w:val="both"/>
        <w:rPr>
          <w:rFonts w:ascii="Book Antiqua" w:hAnsi="Book Antiqua"/>
          <w:lang w:val="es-ES_tradnl" w:eastAsia="en-US"/>
        </w:rPr>
      </w:pPr>
    </w:p>
    <w:p w14:paraId="1661EDE9" w14:textId="30D2A8C7" w:rsidR="0096478D" w:rsidRDefault="0096478D" w:rsidP="00234CBE">
      <w:pPr>
        <w:shd w:val="clear" w:color="auto" w:fill="FFFFFF" w:themeFill="background1"/>
        <w:spacing w:after="160" w:line="276" w:lineRule="auto"/>
        <w:jc w:val="both"/>
        <w:rPr>
          <w:rFonts w:ascii="Book Antiqua" w:hAnsi="Book Antiqua"/>
          <w:lang w:val="es-ES_tradnl" w:eastAsia="en-US"/>
        </w:rPr>
      </w:pPr>
      <w:r w:rsidRPr="009B2103">
        <w:rPr>
          <w:rFonts w:ascii="Book Antiqua" w:hAnsi="Book Antiqua"/>
          <w:lang w:val="es-ES_tradnl" w:eastAsia="en-US"/>
        </w:rPr>
        <w:t>E</w:t>
      </w:r>
      <w:r w:rsidR="00A426C3">
        <w:rPr>
          <w:rFonts w:ascii="Book Antiqua" w:hAnsi="Book Antiqua"/>
          <w:lang w:val="es-ES_tradnl" w:eastAsia="en-US"/>
        </w:rPr>
        <w:t xml:space="preserve">n el </w:t>
      </w:r>
      <w:r w:rsidRPr="009B2103">
        <w:rPr>
          <w:rFonts w:ascii="Book Antiqua" w:hAnsi="Book Antiqua"/>
          <w:lang w:val="es-ES_tradnl" w:eastAsia="en-US"/>
        </w:rPr>
        <w:t xml:space="preserve">siguiente cuadro </w:t>
      </w:r>
      <w:r w:rsidR="00A426C3">
        <w:rPr>
          <w:rFonts w:ascii="Book Antiqua" w:hAnsi="Book Antiqua"/>
          <w:lang w:val="es-ES_tradnl" w:eastAsia="en-US"/>
        </w:rPr>
        <w:t xml:space="preserve">se </w:t>
      </w:r>
      <w:r w:rsidRPr="009B2103">
        <w:rPr>
          <w:rFonts w:ascii="Book Antiqua" w:hAnsi="Book Antiqua"/>
          <w:lang w:val="es-ES_tradnl" w:eastAsia="en-US"/>
        </w:rPr>
        <w:t>logra</w:t>
      </w:r>
      <w:r w:rsidR="00A426C3">
        <w:rPr>
          <w:rFonts w:ascii="Book Antiqua" w:hAnsi="Book Antiqua"/>
          <w:lang w:val="es-ES_tradnl" w:eastAsia="en-US"/>
        </w:rPr>
        <w:t xml:space="preserve"> </w:t>
      </w:r>
      <w:r w:rsidR="00217648" w:rsidRPr="009B2103">
        <w:rPr>
          <w:rFonts w:ascii="Book Antiqua" w:hAnsi="Book Antiqua"/>
          <w:lang w:val="es-ES_tradnl" w:eastAsia="en-US"/>
        </w:rPr>
        <w:t>aprecia</w:t>
      </w:r>
      <w:r w:rsidR="009306F4" w:rsidRPr="009B2103">
        <w:rPr>
          <w:rFonts w:ascii="Book Antiqua" w:hAnsi="Book Antiqua"/>
          <w:lang w:val="es-ES_tradnl" w:eastAsia="en-US"/>
        </w:rPr>
        <w:t>r</w:t>
      </w:r>
      <w:r w:rsidR="00217648" w:rsidRPr="009B2103">
        <w:rPr>
          <w:rFonts w:ascii="Book Antiqua" w:hAnsi="Book Antiqua"/>
          <w:lang w:val="es-ES_tradnl" w:eastAsia="en-US"/>
        </w:rPr>
        <w:t xml:space="preserve"> </w:t>
      </w:r>
      <w:r w:rsidRPr="009B2103">
        <w:rPr>
          <w:rFonts w:ascii="Book Antiqua" w:hAnsi="Book Antiqua"/>
          <w:lang w:val="es-ES_tradnl" w:eastAsia="en-US"/>
        </w:rPr>
        <w:t xml:space="preserve">una comparación del promedio mensual </w:t>
      </w:r>
      <w:r w:rsidR="00634B8E">
        <w:rPr>
          <w:rFonts w:ascii="Book Antiqua" w:hAnsi="Book Antiqua"/>
          <w:lang w:val="es-ES_tradnl" w:eastAsia="en-US"/>
        </w:rPr>
        <w:t xml:space="preserve">del 2021 (enero a setiembre) </w:t>
      </w:r>
      <w:r w:rsidR="00CA4D42">
        <w:rPr>
          <w:rFonts w:ascii="Book Antiqua" w:hAnsi="Book Antiqua"/>
          <w:lang w:val="es-ES_tradnl" w:eastAsia="en-US"/>
        </w:rPr>
        <w:t>contra</w:t>
      </w:r>
      <w:r w:rsidR="00634B8E">
        <w:rPr>
          <w:rFonts w:ascii="Book Antiqua" w:hAnsi="Book Antiqua"/>
          <w:lang w:val="es-ES_tradnl" w:eastAsia="en-US"/>
        </w:rPr>
        <w:t xml:space="preserve"> los</w:t>
      </w:r>
      <w:r w:rsidR="009306F4" w:rsidRPr="009B2103">
        <w:rPr>
          <w:rFonts w:ascii="Book Antiqua" w:hAnsi="Book Antiqua"/>
          <w:lang w:val="es-ES_tradnl" w:eastAsia="en-US"/>
        </w:rPr>
        <w:t xml:space="preserve"> períodos </w:t>
      </w:r>
      <w:r w:rsidR="00C022CE" w:rsidRPr="009B2103">
        <w:rPr>
          <w:rFonts w:ascii="Book Antiqua" w:hAnsi="Book Antiqua"/>
          <w:lang w:val="es-ES_tradnl" w:eastAsia="en-US"/>
        </w:rPr>
        <w:t>20</w:t>
      </w:r>
      <w:r w:rsidR="009306F4" w:rsidRPr="009B2103">
        <w:rPr>
          <w:rFonts w:ascii="Book Antiqua" w:hAnsi="Book Antiqua"/>
          <w:lang w:val="es-ES_tradnl" w:eastAsia="en-US"/>
        </w:rPr>
        <w:t>19 y 2020</w:t>
      </w:r>
      <w:r w:rsidRPr="009B2103">
        <w:rPr>
          <w:rFonts w:ascii="Book Antiqua" w:hAnsi="Book Antiqua"/>
          <w:lang w:val="es-ES_tradnl" w:eastAsia="en-US"/>
        </w:rPr>
        <w:t xml:space="preserve"> de las variables de entrada de asuntos nuevos y terminados, donde </w:t>
      </w:r>
      <w:r w:rsidR="00217648" w:rsidRPr="009B2103">
        <w:rPr>
          <w:rFonts w:ascii="Book Antiqua" w:hAnsi="Book Antiqua"/>
          <w:lang w:val="es-ES_tradnl" w:eastAsia="en-US"/>
        </w:rPr>
        <w:t xml:space="preserve">se </w:t>
      </w:r>
      <w:r w:rsidR="00291FFE" w:rsidRPr="009B2103">
        <w:rPr>
          <w:rFonts w:ascii="Book Antiqua" w:hAnsi="Book Antiqua"/>
          <w:lang w:val="es-ES_tradnl" w:eastAsia="en-US"/>
        </w:rPr>
        <w:t>observa</w:t>
      </w:r>
      <w:r w:rsidR="004176CB">
        <w:rPr>
          <w:rFonts w:ascii="Book Antiqua" w:hAnsi="Book Antiqua"/>
          <w:lang w:val="es-ES_tradnl" w:eastAsia="en-US"/>
        </w:rPr>
        <w:t xml:space="preserve"> </w:t>
      </w:r>
      <w:r w:rsidR="00135907" w:rsidRPr="00135907">
        <w:rPr>
          <w:rFonts w:ascii="Book Antiqua" w:hAnsi="Book Antiqua"/>
          <w:lang w:val="es-ES_tradnl" w:eastAsia="en-US"/>
        </w:rPr>
        <w:t xml:space="preserve">en la entrada global de la institución </w:t>
      </w:r>
      <w:r w:rsidR="009306F4" w:rsidRPr="009B2103">
        <w:rPr>
          <w:rFonts w:ascii="Book Antiqua" w:hAnsi="Book Antiqua"/>
          <w:lang w:val="es-ES_tradnl" w:eastAsia="en-US"/>
        </w:rPr>
        <w:t>una disminución</w:t>
      </w:r>
      <w:r w:rsidRPr="009B2103">
        <w:rPr>
          <w:rFonts w:ascii="Book Antiqua" w:hAnsi="Book Antiqua"/>
          <w:lang w:val="es-ES_tradnl" w:eastAsia="en-US"/>
        </w:rPr>
        <w:t xml:space="preserve"> de </w:t>
      </w:r>
      <w:r w:rsidR="009306F4" w:rsidRPr="009B2103">
        <w:rPr>
          <w:rFonts w:ascii="Book Antiqua" w:hAnsi="Book Antiqua"/>
          <w:lang w:val="es-ES_tradnl" w:eastAsia="en-US"/>
        </w:rPr>
        <w:t>15</w:t>
      </w:r>
      <w:r w:rsidR="006F6DEF" w:rsidRPr="009B2103">
        <w:rPr>
          <w:rFonts w:ascii="Book Antiqua" w:hAnsi="Book Antiqua"/>
          <w:lang w:val="es-ES_tradnl" w:eastAsia="en-US"/>
        </w:rPr>
        <w:t>.</w:t>
      </w:r>
      <w:r w:rsidR="004176CB">
        <w:rPr>
          <w:rFonts w:ascii="Book Antiqua" w:hAnsi="Book Antiqua"/>
          <w:lang w:val="es-ES_tradnl" w:eastAsia="en-US"/>
        </w:rPr>
        <w:t>85</w:t>
      </w:r>
      <w:r w:rsidRPr="009B2103">
        <w:rPr>
          <w:rFonts w:ascii="Book Antiqua" w:hAnsi="Book Antiqua"/>
          <w:lang w:val="es-ES_tradnl" w:eastAsia="en-US"/>
        </w:rPr>
        <w:t xml:space="preserve">% </w:t>
      </w:r>
      <w:r w:rsidR="009306F4" w:rsidRPr="009B2103">
        <w:rPr>
          <w:rFonts w:ascii="Book Antiqua" w:hAnsi="Book Antiqua"/>
          <w:lang w:val="es-ES_tradnl" w:eastAsia="en-US"/>
        </w:rPr>
        <w:t xml:space="preserve">y un leve incremento de </w:t>
      </w:r>
      <w:r w:rsidR="004176CB">
        <w:rPr>
          <w:rFonts w:ascii="Book Antiqua" w:hAnsi="Book Antiqua"/>
          <w:lang w:val="es-ES_tradnl" w:eastAsia="en-US"/>
        </w:rPr>
        <w:t>1.80</w:t>
      </w:r>
      <w:r w:rsidR="009306F4" w:rsidRPr="009B2103">
        <w:rPr>
          <w:rFonts w:ascii="Book Antiqua" w:hAnsi="Book Antiqua"/>
          <w:lang w:val="es-ES_tradnl" w:eastAsia="en-US"/>
        </w:rPr>
        <w:t xml:space="preserve">% respectivamente. De los casos terminados se determina una disminución </w:t>
      </w:r>
      <w:r w:rsidRPr="009B2103">
        <w:rPr>
          <w:rFonts w:ascii="Book Antiqua" w:hAnsi="Book Antiqua"/>
          <w:lang w:val="es-ES_tradnl" w:eastAsia="en-US"/>
        </w:rPr>
        <w:t>de</w:t>
      </w:r>
      <w:r w:rsidR="004101C1">
        <w:rPr>
          <w:rFonts w:ascii="Book Antiqua" w:hAnsi="Book Antiqua"/>
          <w:lang w:val="es-ES_tradnl" w:eastAsia="en-US"/>
        </w:rPr>
        <w:t>l</w:t>
      </w:r>
      <w:r w:rsidR="004176CB">
        <w:rPr>
          <w:rFonts w:ascii="Book Antiqua" w:hAnsi="Book Antiqua"/>
          <w:lang w:val="es-ES_tradnl" w:eastAsia="en-US"/>
        </w:rPr>
        <w:t xml:space="preserve"> </w:t>
      </w:r>
      <w:r w:rsidR="009306F4" w:rsidRPr="009B2103">
        <w:rPr>
          <w:rFonts w:ascii="Book Antiqua" w:hAnsi="Book Antiqua"/>
          <w:lang w:val="es-ES_tradnl" w:eastAsia="en-US"/>
        </w:rPr>
        <w:t>7</w:t>
      </w:r>
      <w:r w:rsidR="006F6DEF" w:rsidRPr="009B2103">
        <w:rPr>
          <w:rFonts w:ascii="Book Antiqua" w:hAnsi="Book Antiqua"/>
          <w:lang w:val="es-ES_tradnl" w:eastAsia="en-US"/>
        </w:rPr>
        <w:t>.7</w:t>
      </w:r>
      <w:r w:rsidR="009306F4" w:rsidRPr="009B2103">
        <w:rPr>
          <w:rFonts w:ascii="Book Antiqua" w:hAnsi="Book Antiqua"/>
          <w:lang w:val="es-ES_tradnl" w:eastAsia="en-US"/>
        </w:rPr>
        <w:t>1</w:t>
      </w:r>
      <w:r w:rsidRPr="009B2103">
        <w:rPr>
          <w:rFonts w:ascii="Book Antiqua" w:hAnsi="Book Antiqua"/>
          <w:lang w:val="es-ES_tradnl" w:eastAsia="en-US"/>
        </w:rPr>
        <w:t>%</w:t>
      </w:r>
      <w:r w:rsidR="009306F4" w:rsidRPr="009B2103">
        <w:rPr>
          <w:rFonts w:ascii="Book Antiqua" w:hAnsi="Book Antiqua"/>
          <w:lang w:val="es-ES_tradnl" w:eastAsia="en-US"/>
        </w:rPr>
        <w:t xml:space="preserve"> (versus el 2019)</w:t>
      </w:r>
      <w:r w:rsidR="00357CD0" w:rsidRPr="009B2103">
        <w:rPr>
          <w:rFonts w:ascii="Book Antiqua" w:hAnsi="Book Antiqua"/>
          <w:lang w:val="es-ES_tradnl" w:eastAsia="en-US"/>
        </w:rPr>
        <w:t xml:space="preserve"> y una tasa de incremento de 7.3</w:t>
      </w:r>
      <w:r w:rsidR="004176CB">
        <w:rPr>
          <w:rFonts w:ascii="Book Antiqua" w:hAnsi="Book Antiqua"/>
          <w:lang w:val="es-ES_tradnl" w:eastAsia="en-US"/>
        </w:rPr>
        <w:t>3</w:t>
      </w:r>
      <w:r w:rsidR="00357CD0" w:rsidRPr="009B2103">
        <w:rPr>
          <w:rFonts w:ascii="Book Antiqua" w:hAnsi="Book Antiqua"/>
          <w:lang w:val="es-ES_tradnl" w:eastAsia="en-US"/>
        </w:rPr>
        <w:t xml:space="preserve">% </w:t>
      </w:r>
      <w:r w:rsidR="004101C1">
        <w:rPr>
          <w:rFonts w:ascii="Book Antiqua" w:hAnsi="Book Antiqua"/>
          <w:lang w:val="es-ES_tradnl" w:eastAsia="en-US"/>
        </w:rPr>
        <w:t>con respecto al</w:t>
      </w:r>
      <w:r w:rsidR="00357CD0" w:rsidRPr="009B2103">
        <w:rPr>
          <w:rFonts w:ascii="Book Antiqua" w:hAnsi="Book Antiqua"/>
          <w:lang w:val="es-ES_tradnl" w:eastAsia="en-US"/>
        </w:rPr>
        <w:t xml:space="preserve"> anterior. </w:t>
      </w:r>
      <w:r w:rsidRPr="009B2103">
        <w:rPr>
          <w:rFonts w:ascii="Book Antiqua" w:hAnsi="Book Antiqua"/>
          <w:lang w:val="es-ES_tradnl" w:eastAsia="en-US"/>
        </w:rPr>
        <w:t xml:space="preserve"> </w:t>
      </w:r>
      <w:r w:rsidR="004176CB">
        <w:rPr>
          <w:rFonts w:ascii="Book Antiqua" w:hAnsi="Book Antiqua"/>
          <w:lang w:val="es-ES_tradnl" w:eastAsia="en-US"/>
        </w:rPr>
        <w:t xml:space="preserve">Asimismo, en cuanto a la cantidad de circulante activo exceptuando cobro, se denota </w:t>
      </w:r>
      <w:r w:rsidR="00A426C3">
        <w:rPr>
          <w:rFonts w:ascii="Book Antiqua" w:hAnsi="Book Antiqua"/>
          <w:lang w:val="es-ES_tradnl" w:eastAsia="en-US"/>
        </w:rPr>
        <w:t xml:space="preserve">un decrecimiento </w:t>
      </w:r>
      <w:r w:rsidR="00EB5C9B">
        <w:rPr>
          <w:rFonts w:ascii="Book Antiqua" w:hAnsi="Book Antiqua"/>
          <w:lang w:val="es-ES_tradnl" w:eastAsia="en-US"/>
        </w:rPr>
        <w:t xml:space="preserve">del 4.32% </w:t>
      </w:r>
      <w:r w:rsidR="003D5582">
        <w:rPr>
          <w:rFonts w:ascii="Book Antiqua" w:hAnsi="Book Antiqua"/>
          <w:lang w:val="es-ES_tradnl" w:eastAsia="en-US"/>
        </w:rPr>
        <w:t xml:space="preserve">versus el 2019 </w:t>
      </w:r>
      <w:r w:rsidR="005A5DE7">
        <w:rPr>
          <w:rFonts w:ascii="Book Antiqua" w:hAnsi="Book Antiqua"/>
          <w:lang w:val="es-ES_tradnl" w:eastAsia="en-US"/>
        </w:rPr>
        <w:t>y 0.94</w:t>
      </w:r>
      <w:r w:rsidR="003D5582">
        <w:rPr>
          <w:rFonts w:ascii="Book Antiqua" w:hAnsi="Book Antiqua"/>
          <w:lang w:val="es-ES_tradnl" w:eastAsia="en-US"/>
        </w:rPr>
        <w:t>%</w:t>
      </w:r>
      <w:r w:rsidR="00135907">
        <w:rPr>
          <w:rFonts w:ascii="Book Antiqua" w:hAnsi="Book Antiqua"/>
          <w:lang w:val="es-ES_tradnl" w:eastAsia="en-US"/>
        </w:rPr>
        <w:t xml:space="preserve"> contra el 2020.</w:t>
      </w:r>
    </w:p>
    <w:p w14:paraId="2415D9E6" w14:textId="77777777" w:rsidR="00731C08" w:rsidRPr="004F0E92" w:rsidRDefault="00731C08" w:rsidP="00234CBE">
      <w:pPr>
        <w:shd w:val="clear" w:color="auto" w:fill="FFFFFF" w:themeFill="background1"/>
        <w:spacing w:after="160" w:line="276" w:lineRule="auto"/>
        <w:jc w:val="both"/>
        <w:rPr>
          <w:rFonts w:ascii="Book Antiqua" w:hAnsi="Book Antiqua"/>
          <w:lang w:val="es-ES_tradnl" w:eastAsia="en-US"/>
        </w:rPr>
      </w:pPr>
    </w:p>
    <w:p w14:paraId="6B614AA3" w14:textId="77777777" w:rsidR="006F775A" w:rsidRDefault="0096478D" w:rsidP="00234CBE">
      <w:pPr>
        <w:shd w:val="clear" w:color="auto" w:fill="FFFFFF" w:themeFill="background1"/>
        <w:spacing w:line="276" w:lineRule="auto"/>
        <w:jc w:val="center"/>
        <w:rPr>
          <w:rFonts w:ascii="Book Antiqua" w:hAnsi="Book Antiqua"/>
          <w:b/>
          <w:bCs/>
          <w:lang w:val="es-ES_tradnl" w:eastAsia="en-US"/>
        </w:rPr>
      </w:pPr>
      <w:r w:rsidRPr="004F0E92">
        <w:rPr>
          <w:rFonts w:ascii="Book Antiqua" w:hAnsi="Book Antiqua"/>
          <w:b/>
          <w:bCs/>
          <w:lang w:val="es-ES_tradnl" w:eastAsia="en-US"/>
        </w:rPr>
        <w:t>Cuadro 0</w:t>
      </w:r>
      <w:r w:rsidR="00E15347">
        <w:rPr>
          <w:rFonts w:ascii="Book Antiqua" w:hAnsi="Book Antiqua"/>
          <w:b/>
          <w:bCs/>
          <w:lang w:val="es-ES_tradnl" w:eastAsia="en-US"/>
        </w:rPr>
        <w:t>9</w:t>
      </w:r>
    </w:p>
    <w:p w14:paraId="3D9FBE17" w14:textId="4AF31B0B" w:rsidR="0096478D" w:rsidRDefault="0096478D" w:rsidP="00234CBE">
      <w:pPr>
        <w:shd w:val="clear" w:color="auto" w:fill="FFFFFF" w:themeFill="background1"/>
        <w:spacing w:line="276" w:lineRule="auto"/>
        <w:jc w:val="center"/>
        <w:rPr>
          <w:rFonts w:ascii="Book Antiqua" w:hAnsi="Book Antiqua"/>
          <w:b/>
          <w:bCs/>
          <w:lang w:val="es-ES_tradnl" w:eastAsia="en-US"/>
        </w:rPr>
      </w:pPr>
      <w:r w:rsidRPr="004F0E92">
        <w:rPr>
          <w:rFonts w:ascii="Book Antiqua" w:hAnsi="Book Antiqua"/>
          <w:b/>
          <w:bCs/>
          <w:lang w:val="es-ES_tradnl" w:eastAsia="en-US"/>
        </w:rPr>
        <w:t xml:space="preserve"> Resumen de principales variables de carga de trabajo</w:t>
      </w:r>
      <w:r w:rsidR="00217648">
        <w:rPr>
          <w:rFonts w:ascii="Book Antiqua" w:hAnsi="Book Antiqua"/>
          <w:b/>
          <w:bCs/>
          <w:lang w:val="es-ES_tradnl" w:eastAsia="en-US"/>
        </w:rPr>
        <w:t xml:space="preserve"> y % de crecimiento</w:t>
      </w:r>
    </w:p>
    <w:p w14:paraId="05A3F8E9" w14:textId="77777777" w:rsidR="00634B8E" w:rsidRPr="004F0E92" w:rsidRDefault="00634B8E" w:rsidP="00234CBE">
      <w:pPr>
        <w:shd w:val="clear" w:color="auto" w:fill="FFFFFF" w:themeFill="background1"/>
        <w:spacing w:line="276" w:lineRule="auto"/>
        <w:jc w:val="center"/>
        <w:rPr>
          <w:rFonts w:ascii="Book Antiqua" w:hAnsi="Book Antiqua"/>
          <w:b/>
          <w:bCs/>
          <w:lang w:val="es-ES_tradnl" w:eastAsia="en-US"/>
        </w:rPr>
      </w:pPr>
    </w:p>
    <w:tbl>
      <w:tblPr>
        <w:tblW w:w="9483" w:type="dxa"/>
        <w:jc w:val="center"/>
        <w:tblCellMar>
          <w:left w:w="70" w:type="dxa"/>
          <w:right w:w="70" w:type="dxa"/>
        </w:tblCellMar>
        <w:tblLook w:val="04A0" w:firstRow="1" w:lastRow="0" w:firstColumn="1" w:lastColumn="0" w:noHBand="0" w:noVBand="1"/>
      </w:tblPr>
      <w:tblGrid>
        <w:gridCol w:w="3363"/>
        <w:gridCol w:w="1200"/>
        <w:gridCol w:w="1200"/>
        <w:gridCol w:w="1200"/>
        <w:gridCol w:w="1200"/>
        <w:gridCol w:w="1320"/>
      </w:tblGrid>
      <w:tr w:rsidR="00634B8E" w:rsidRPr="00634B8E" w14:paraId="4E52871E" w14:textId="77777777" w:rsidTr="00634B8E">
        <w:trPr>
          <w:trHeight w:val="440"/>
          <w:jc w:val="center"/>
        </w:trPr>
        <w:tc>
          <w:tcPr>
            <w:tcW w:w="3363"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51F3A6E9" w14:textId="77777777" w:rsidR="00634B8E" w:rsidRPr="00634B8E" w:rsidRDefault="00634B8E" w:rsidP="00234CBE">
            <w:pPr>
              <w:spacing w:line="276" w:lineRule="auto"/>
              <w:jc w:val="center"/>
              <w:rPr>
                <w:rFonts w:ascii="Book Antiqua" w:hAnsi="Book Antiqua" w:cs="Calibri"/>
                <w:b/>
                <w:bCs/>
                <w:color w:val="FFFFFF"/>
                <w:sz w:val="16"/>
                <w:szCs w:val="16"/>
                <w:lang w:eastAsia="es-CR"/>
              </w:rPr>
            </w:pPr>
            <w:r w:rsidRPr="00634B8E">
              <w:rPr>
                <w:rFonts w:ascii="Book Antiqua" w:hAnsi="Book Antiqua" w:cs="Calibri"/>
                <w:b/>
                <w:bCs/>
                <w:color w:val="FFFFFF"/>
                <w:sz w:val="16"/>
                <w:szCs w:val="16"/>
                <w:lang w:eastAsia="es-CR"/>
              </w:rPr>
              <w:t>Categoría Asuntos nuevos</w:t>
            </w:r>
          </w:p>
        </w:tc>
        <w:tc>
          <w:tcPr>
            <w:tcW w:w="1200" w:type="dxa"/>
            <w:tcBorders>
              <w:top w:val="single" w:sz="4" w:space="0" w:color="auto"/>
              <w:left w:val="nil"/>
              <w:bottom w:val="single" w:sz="4" w:space="0" w:color="auto"/>
              <w:right w:val="single" w:sz="4" w:space="0" w:color="auto"/>
            </w:tcBorders>
            <w:shd w:val="clear" w:color="000000" w:fill="305496"/>
            <w:vAlign w:val="center"/>
            <w:hideMark/>
          </w:tcPr>
          <w:p w14:paraId="0B5720A6" w14:textId="77777777" w:rsidR="00634B8E" w:rsidRPr="00634B8E" w:rsidRDefault="00634B8E" w:rsidP="00234CBE">
            <w:pPr>
              <w:spacing w:line="276" w:lineRule="auto"/>
              <w:jc w:val="center"/>
              <w:rPr>
                <w:rFonts w:ascii="Book Antiqua" w:hAnsi="Book Antiqua" w:cs="Calibri"/>
                <w:b/>
                <w:bCs/>
                <w:color w:val="FFFFFF"/>
                <w:sz w:val="16"/>
                <w:szCs w:val="16"/>
                <w:lang w:eastAsia="es-CR"/>
              </w:rPr>
            </w:pPr>
            <w:r w:rsidRPr="00634B8E">
              <w:rPr>
                <w:rFonts w:ascii="Book Antiqua" w:hAnsi="Book Antiqua" w:cs="Calibri"/>
                <w:b/>
                <w:bCs/>
                <w:color w:val="FFFFFF"/>
                <w:sz w:val="16"/>
                <w:szCs w:val="16"/>
                <w:lang w:eastAsia="es-CR"/>
              </w:rPr>
              <w:t>Promedio mensual 2019</w:t>
            </w:r>
          </w:p>
        </w:tc>
        <w:tc>
          <w:tcPr>
            <w:tcW w:w="1200" w:type="dxa"/>
            <w:tcBorders>
              <w:top w:val="single" w:sz="4" w:space="0" w:color="auto"/>
              <w:left w:val="nil"/>
              <w:bottom w:val="single" w:sz="4" w:space="0" w:color="auto"/>
              <w:right w:val="single" w:sz="4" w:space="0" w:color="auto"/>
            </w:tcBorders>
            <w:shd w:val="clear" w:color="000000" w:fill="305496"/>
            <w:vAlign w:val="center"/>
            <w:hideMark/>
          </w:tcPr>
          <w:p w14:paraId="288C3847" w14:textId="77777777" w:rsidR="00634B8E" w:rsidRPr="00634B8E" w:rsidRDefault="00634B8E" w:rsidP="00234CBE">
            <w:pPr>
              <w:spacing w:line="276" w:lineRule="auto"/>
              <w:jc w:val="center"/>
              <w:rPr>
                <w:rFonts w:ascii="Book Antiqua" w:hAnsi="Book Antiqua" w:cs="Calibri"/>
                <w:b/>
                <w:bCs/>
                <w:color w:val="FFFFFF"/>
                <w:sz w:val="16"/>
                <w:szCs w:val="16"/>
                <w:lang w:eastAsia="es-CR"/>
              </w:rPr>
            </w:pPr>
            <w:r w:rsidRPr="00634B8E">
              <w:rPr>
                <w:rFonts w:ascii="Book Antiqua" w:hAnsi="Book Antiqua" w:cs="Calibri"/>
                <w:b/>
                <w:bCs/>
                <w:color w:val="FFFFFF"/>
                <w:sz w:val="16"/>
                <w:szCs w:val="16"/>
                <w:lang w:eastAsia="es-CR"/>
              </w:rPr>
              <w:t>Promedio mensual 2020</w:t>
            </w:r>
          </w:p>
        </w:tc>
        <w:tc>
          <w:tcPr>
            <w:tcW w:w="1200" w:type="dxa"/>
            <w:tcBorders>
              <w:top w:val="single" w:sz="4" w:space="0" w:color="auto"/>
              <w:left w:val="nil"/>
              <w:bottom w:val="single" w:sz="4" w:space="0" w:color="auto"/>
              <w:right w:val="single" w:sz="4" w:space="0" w:color="auto"/>
            </w:tcBorders>
            <w:shd w:val="clear" w:color="000000" w:fill="305496"/>
            <w:vAlign w:val="center"/>
            <w:hideMark/>
          </w:tcPr>
          <w:p w14:paraId="2657C992" w14:textId="77777777" w:rsidR="00634B8E" w:rsidRPr="00634B8E" w:rsidRDefault="00634B8E" w:rsidP="00234CBE">
            <w:pPr>
              <w:spacing w:line="276" w:lineRule="auto"/>
              <w:jc w:val="center"/>
              <w:rPr>
                <w:rFonts w:ascii="Book Antiqua" w:hAnsi="Book Antiqua" w:cs="Calibri"/>
                <w:b/>
                <w:bCs/>
                <w:color w:val="FFFFFF"/>
                <w:sz w:val="16"/>
                <w:szCs w:val="16"/>
                <w:lang w:eastAsia="es-CR"/>
              </w:rPr>
            </w:pPr>
            <w:r w:rsidRPr="00634B8E">
              <w:rPr>
                <w:rFonts w:ascii="Book Antiqua" w:hAnsi="Book Antiqua" w:cs="Calibri"/>
                <w:b/>
                <w:bCs/>
                <w:color w:val="FFFFFF"/>
                <w:sz w:val="16"/>
                <w:szCs w:val="16"/>
                <w:lang w:eastAsia="es-CR"/>
              </w:rPr>
              <w:t>Promedio mensual 2021</w:t>
            </w:r>
          </w:p>
        </w:tc>
        <w:tc>
          <w:tcPr>
            <w:tcW w:w="1200" w:type="dxa"/>
            <w:tcBorders>
              <w:top w:val="single" w:sz="4" w:space="0" w:color="auto"/>
              <w:left w:val="nil"/>
              <w:bottom w:val="single" w:sz="4" w:space="0" w:color="auto"/>
              <w:right w:val="single" w:sz="4" w:space="0" w:color="auto"/>
            </w:tcBorders>
            <w:shd w:val="clear" w:color="000000" w:fill="DDEBF7"/>
            <w:vAlign w:val="center"/>
            <w:hideMark/>
          </w:tcPr>
          <w:p w14:paraId="10DCAE59" w14:textId="77777777" w:rsidR="00634B8E" w:rsidRPr="00634B8E" w:rsidRDefault="00634B8E" w:rsidP="00234CBE">
            <w:pPr>
              <w:spacing w:line="276" w:lineRule="auto"/>
              <w:jc w:val="center"/>
              <w:rPr>
                <w:rFonts w:ascii="Book Antiqua" w:hAnsi="Book Antiqua" w:cs="Calibri"/>
                <w:b/>
                <w:bCs/>
                <w:color w:val="262626"/>
                <w:sz w:val="16"/>
                <w:szCs w:val="16"/>
                <w:lang w:eastAsia="es-CR"/>
              </w:rPr>
            </w:pPr>
            <w:r w:rsidRPr="00634B8E">
              <w:rPr>
                <w:rFonts w:ascii="Book Antiqua" w:hAnsi="Book Antiqua" w:cs="Calibri"/>
                <w:b/>
                <w:bCs/>
                <w:color w:val="262626"/>
                <w:sz w:val="16"/>
                <w:szCs w:val="16"/>
                <w:lang w:eastAsia="es-CR"/>
              </w:rPr>
              <w:t>Diferencia 2021vs2019</w:t>
            </w:r>
          </w:p>
        </w:tc>
        <w:tc>
          <w:tcPr>
            <w:tcW w:w="1320" w:type="dxa"/>
            <w:tcBorders>
              <w:top w:val="single" w:sz="4" w:space="0" w:color="auto"/>
              <w:left w:val="nil"/>
              <w:bottom w:val="single" w:sz="4" w:space="0" w:color="auto"/>
              <w:right w:val="single" w:sz="4" w:space="0" w:color="auto"/>
            </w:tcBorders>
            <w:shd w:val="clear" w:color="000000" w:fill="DDEBF7"/>
            <w:vAlign w:val="center"/>
            <w:hideMark/>
          </w:tcPr>
          <w:p w14:paraId="7D194AAB" w14:textId="77777777" w:rsidR="00634B8E" w:rsidRPr="00634B8E" w:rsidRDefault="00634B8E" w:rsidP="00234CBE">
            <w:pPr>
              <w:spacing w:line="276" w:lineRule="auto"/>
              <w:jc w:val="center"/>
              <w:rPr>
                <w:rFonts w:ascii="Book Antiqua" w:hAnsi="Book Antiqua" w:cs="Calibri"/>
                <w:b/>
                <w:bCs/>
                <w:color w:val="262626"/>
                <w:sz w:val="16"/>
                <w:szCs w:val="16"/>
                <w:lang w:eastAsia="es-CR"/>
              </w:rPr>
            </w:pPr>
            <w:r w:rsidRPr="00634B8E">
              <w:rPr>
                <w:rFonts w:ascii="Book Antiqua" w:hAnsi="Book Antiqua" w:cs="Calibri"/>
                <w:b/>
                <w:bCs/>
                <w:color w:val="262626"/>
                <w:sz w:val="16"/>
                <w:szCs w:val="16"/>
                <w:lang w:eastAsia="es-CR"/>
              </w:rPr>
              <w:t>Diferencia 2021vs2020</w:t>
            </w:r>
          </w:p>
        </w:tc>
      </w:tr>
      <w:tr w:rsidR="00634B8E" w:rsidRPr="00634B8E" w14:paraId="706C7672" w14:textId="77777777" w:rsidTr="00634B8E">
        <w:trPr>
          <w:trHeight w:val="290"/>
          <w:jc w:val="center"/>
        </w:trPr>
        <w:tc>
          <w:tcPr>
            <w:tcW w:w="3363" w:type="dxa"/>
            <w:tcBorders>
              <w:top w:val="nil"/>
              <w:left w:val="single" w:sz="4" w:space="0" w:color="auto"/>
              <w:bottom w:val="single" w:sz="4" w:space="0" w:color="auto"/>
              <w:right w:val="single" w:sz="4" w:space="0" w:color="auto"/>
            </w:tcBorders>
            <w:shd w:val="clear" w:color="auto" w:fill="auto"/>
            <w:noWrap/>
            <w:vAlign w:val="center"/>
            <w:hideMark/>
          </w:tcPr>
          <w:p w14:paraId="4F16739F" w14:textId="77777777" w:rsidR="00634B8E" w:rsidRPr="00634B8E" w:rsidRDefault="00634B8E" w:rsidP="00234CBE">
            <w:pPr>
              <w:spacing w:line="276" w:lineRule="auto"/>
              <w:rPr>
                <w:rFonts w:ascii="Book Antiqua" w:hAnsi="Book Antiqua" w:cs="Calibri"/>
                <w:color w:val="000000"/>
                <w:sz w:val="16"/>
                <w:szCs w:val="16"/>
                <w:lang w:eastAsia="es-CR"/>
              </w:rPr>
            </w:pPr>
            <w:r w:rsidRPr="00634B8E">
              <w:rPr>
                <w:rFonts w:ascii="Book Antiqua" w:hAnsi="Book Antiqua" w:cs="Calibri"/>
                <w:color w:val="000000"/>
                <w:sz w:val="16"/>
                <w:szCs w:val="16"/>
                <w:lang w:eastAsia="es-CR"/>
              </w:rPr>
              <w:t> </w:t>
            </w:r>
          </w:p>
        </w:tc>
        <w:tc>
          <w:tcPr>
            <w:tcW w:w="1200" w:type="dxa"/>
            <w:tcBorders>
              <w:top w:val="nil"/>
              <w:left w:val="nil"/>
              <w:bottom w:val="single" w:sz="4" w:space="0" w:color="auto"/>
              <w:right w:val="single" w:sz="4" w:space="0" w:color="auto"/>
            </w:tcBorders>
            <w:shd w:val="clear" w:color="auto" w:fill="auto"/>
            <w:noWrap/>
            <w:vAlign w:val="bottom"/>
            <w:hideMark/>
          </w:tcPr>
          <w:p w14:paraId="2B5E7FEB" w14:textId="77777777" w:rsidR="00634B8E" w:rsidRPr="00634B8E" w:rsidRDefault="00634B8E" w:rsidP="00234CBE">
            <w:pPr>
              <w:spacing w:line="276" w:lineRule="auto"/>
              <w:rPr>
                <w:rFonts w:ascii="Book Antiqua" w:hAnsi="Book Antiqua" w:cs="Calibri"/>
                <w:color w:val="000000"/>
                <w:sz w:val="16"/>
                <w:szCs w:val="16"/>
                <w:lang w:eastAsia="es-CR"/>
              </w:rPr>
            </w:pPr>
            <w:r w:rsidRPr="00634B8E">
              <w:rPr>
                <w:rFonts w:ascii="Book Antiqua" w:hAnsi="Book Antiqua" w:cs="Calibri"/>
                <w:color w:val="000000"/>
                <w:sz w:val="16"/>
                <w:szCs w:val="16"/>
                <w:lang w:eastAsia="es-CR"/>
              </w:rPr>
              <w:t> </w:t>
            </w:r>
          </w:p>
        </w:tc>
        <w:tc>
          <w:tcPr>
            <w:tcW w:w="1200" w:type="dxa"/>
            <w:tcBorders>
              <w:top w:val="nil"/>
              <w:left w:val="nil"/>
              <w:bottom w:val="single" w:sz="4" w:space="0" w:color="auto"/>
              <w:right w:val="single" w:sz="4" w:space="0" w:color="auto"/>
            </w:tcBorders>
            <w:shd w:val="clear" w:color="auto" w:fill="auto"/>
            <w:noWrap/>
            <w:vAlign w:val="bottom"/>
            <w:hideMark/>
          </w:tcPr>
          <w:p w14:paraId="635E1616" w14:textId="77777777" w:rsidR="00634B8E" w:rsidRPr="00634B8E" w:rsidRDefault="00634B8E" w:rsidP="00234CBE">
            <w:pPr>
              <w:spacing w:line="276" w:lineRule="auto"/>
              <w:rPr>
                <w:rFonts w:ascii="Book Antiqua" w:hAnsi="Book Antiqua" w:cs="Calibri"/>
                <w:color w:val="000000"/>
                <w:sz w:val="16"/>
                <w:szCs w:val="16"/>
                <w:lang w:eastAsia="es-CR"/>
              </w:rPr>
            </w:pPr>
            <w:r w:rsidRPr="00634B8E">
              <w:rPr>
                <w:rFonts w:ascii="Book Antiqua" w:hAnsi="Book Antiqua" w:cs="Calibri"/>
                <w:color w:val="000000"/>
                <w:sz w:val="16"/>
                <w:szCs w:val="16"/>
                <w:lang w:eastAsia="es-CR"/>
              </w:rPr>
              <w:t> </w:t>
            </w:r>
          </w:p>
        </w:tc>
        <w:tc>
          <w:tcPr>
            <w:tcW w:w="1200" w:type="dxa"/>
            <w:tcBorders>
              <w:top w:val="nil"/>
              <w:left w:val="nil"/>
              <w:bottom w:val="single" w:sz="4" w:space="0" w:color="auto"/>
              <w:right w:val="single" w:sz="4" w:space="0" w:color="auto"/>
            </w:tcBorders>
            <w:shd w:val="clear" w:color="auto" w:fill="auto"/>
            <w:noWrap/>
            <w:vAlign w:val="bottom"/>
            <w:hideMark/>
          </w:tcPr>
          <w:p w14:paraId="2B824148" w14:textId="77777777" w:rsidR="00634B8E" w:rsidRPr="00634B8E" w:rsidRDefault="00634B8E" w:rsidP="00234CBE">
            <w:pPr>
              <w:spacing w:line="276" w:lineRule="auto"/>
              <w:rPr>
                <w:rFonts w:ascii="Book Antiqua" w:hAnsi="Book Antiqua" w:cs="Calibri"/>
                <w:color w:val="000000"/>
                <w:sz w:val="16"/>
                <w:szCs w:val="16"/>
                <w:lang w:eastAsia="es-CR"/>
              </w:rPr>
            </w:pPr>
            <w:r w:rsidRPr="00634B8E">
              <w:rPr>
                <w:rFonts w:ascii="Book Antiqua" w:hAnsi="Book Antiqua" w:cs="Calibri"/>
                <w:color w:val="000000"/>
                <w:sz w:val="16"/>
                <w:szCs w:val="16"/>
                <w:lang w:eastAsia="es-CR"/>
              </w:rPr>
              <w:t> </w:t>
            </w:r>
          </w:p>
        </w:tc>
        <w:tc>
          <w:tcPr>
            <w:tcW w:w="1200" w:type="dxa"/>
            <w:tcBorders>
              <w:top w:val="nil"/>
              <w:left w:val="nil"/>
              <w:bottom w:val="single" w:sz="4" w:space="0" w:color="auto"/>
              <w:right w:val="single" w:sz="4" w:space="0" w:color="auto"/>
            </w:tcBorders>
            <w:shd w:val="clear" w:color="auto" w:fill="auto"/>
            <w:noWrap/>
            <w:vAlign w:val="bottom"/>
            <w:hideMark/>
          </w:tcPr>
          <w:p w14:paraId="3F0F213A" w14:textId="77777777" w:rsidR="00634B8E" w:rsidRPr="00634B8E" w:rsidRDefault="00634B8E" w:rsidP="00234CBE">
            <w:pPr>
              <w:spacing w:line="276" w:lineRule="auto"/>
              <w:rPr>
                <w:rFonts w:ascii="Book Antiqua" w:hAnsi="Book Antiqua" w:cs="Calibri"/>
                <w:color w:val="000000"/>
                <w:sz w:val="16"/>
                <w:szCs w:val="16"/>
                <w:lang w:eastAsia="es-CR"/>
              </w:rPr>
            </w:pPr>
            <w:r w:rsidRPr="00634B8E">
              <w:rPr>
                <w:rFonts w:ascii="Book Antiqua" w:hAnsi="Book Antiqua" w:cs="Calibri"/>
                <w:color w:val="000000"/>
                <w:sz w:val="16"/>
                <w:szCs w:val="16"/>
                <w:lang w:eastAsia="es-CR"/>
              </w:rPr>
              <w:t> </w:t>
            </w:r>
          </w:p>
        </w:tc>
        <w:tc>
          <w:tcPr>
            <w:tcW w:w="1320" w:type="dxa"/>
            <w:tcBorders>
              <w:top w:val="nil"/>
              <w:left w:val="nil"/>
              <w:bottom w:val="single" w:sz="4" w:space="0" w:color="auto"/>
              <w:right w:val="single" w:sz="4" w:space="0" w:color="auto"/>
            </w:tcBorders>
            <w:shd w:val="clear" w:color="auto" w:fill="auto"/>
            <w:noWrap/>
            <w:vAlign w:val="center"/>
            <w:hideMark/>
          </w:tcPr>
          <w:p w14:paraId="427A7F25" w14:textId="77777777" w:rsidR="00634B8E" w:rsidRPr="00634B8E" w:rsidRDefault="00634B8E" w:rsidP="00234CBE">
            <w:pPr>
              <w:spacing w:line="276" w:lineRule="auto"/>
              <w:rPr>
                <w:rFonts w:ascii="Book Antiqua" w:hAnsi="Book Antiqua" w:cs="Calibri"/>
                <w:color w:val="000000"/>
                <w:sz w:val="16"/>
                <w:szCs w:val="16"/>
                <w:lang w:eastAsia="es-CR"/>
              </w:rPr>
            </w:pPr>
            <w:r w:rsidRPr="00634B8E">
              <w:rPr>
                <w:rFonts w:ascii="Book Antiqua" w:hAnsi="Book Antiqua" w:cs="Calibri"/>
                <w:color w:val="000000"/>
                <w:sz w:val="16"/>
                <w:szCs w:val="16"/>
                <w:lang w:eastAsia="es-CR"/>
              </w:rPr>
              <w:t> </w:t>
            </w:r>
          </w:p>
        </w:tc>
      </w:tr>
      <w:tr w:rsidR="00634B8E" w:rsidRPr="00634B8E" w14:paraId="62993981" w14:textId="77777777" w:rsidTr="00634B8E">
        <w:trPr>
          <w:trHeight w:val="290"/>
          <w:jc w:val="center"/>
        </w:trPr>
        <w:tc>
          <w:tcPr>
            <w:tcW w:w="3363" w:type="dxa"/>
            <w:tcBorders>
              <w:top w:val="nil"/>
              <w:left w:val="single" w:sz="4" w:space="0" w:color="auto"/>
              <w:bottom w:val="single" w:sz="4" w:space="0" w:color="auto"/>
              <w:right w:val="single" w:sz="4" w:space="0" w:color="auto"/>
            </w:tcBorders>
            <w:shd w:val="clear" w:color="auto" w:fill="auto"/>
            <w:noWrap/>
            <w:vAlign w:val="center"/>
            <w:hideMark/>
          </w:tcPr>
          <w:p w14:paraId="0C08E29C" w14:textId="77777777" w:rsidR="00634B8E" w:rsidRPr="00634B8E" w:rsidRDefault="00634B8E" w:rsidP="00234CBE">
            <w:pPr>
              <w:spacing w:line="276" w:lineRule="auto"/>
              <w:jc w:val="center"/>
              <w:rPr>
                <w:rFonts w:ascii="Book Antiqua" w:hAnsi="Book Antiqua" w:cs="Calibri"/>
                <w:b/>
                <w:bCs/>
                <w:color w:val="000000"/>
                <w:sz w:val="16"/>
                <w:szCs w:val="16"/>
                <w:lang w:eastAsia="es-CR"/>
              </w:rPr>
            </w:pPr>
            <w:r w:rsidRPr="00634B8E">
              <w:rPr>
                <w:rFonts w:ascii="Book Antiqua" w:hAnsi="Book Antiqua" w:cs="Calibri"/>
                <w:b/>
                <w:bCs/>
                <w:color w:val="000000"/>
                <w:sz w:val="16"/>
                <w:szCs w:val="16"/>
                <w:lang w:eastAsia="es-CR"/>
              </w:rPr>
              <w:t>TOTAL</w:t>
            </w:r>
          </w:p>
        </w:tc>
        <w:tc>
          <w:tcPr>
            <w:tcW w:w="1200" w:type="dxa"/>
            <w:tcBorders>
              <w:top w:val="nil"/>
              <w:left w:val="nil"/>
              <w:bottom w:val="single" w:sz="4" w:space="0" w:color="auto"/>
              <w:right w:val="single" w:sz="4" w:space="0" w:color="auto"/>
            </w:tcBorders>
            <w:shd w:val="clear" w:color="auto" w:fill="auto"/>
            <w:noWrap/>
            <w:vAlign w:val="center"/>
            <w:hideMark/>
          </w:tcPr>
          <w:p w14:paraId="4BEA436D" w14:textId="77777777" w:rsidR="00634B8E" w:rsidRPr="00634B8E" w:rsidRDefault="00634B8E" w:rsidP="00234CBE">
            <w:pPr>
              <w:spacing w:line="276" w:lineRule="auto"/>
              <w:jc w:val="center"/>
              <w:rPr>
                <w:rFonts w:ascii="Book Antiqua" w:hAnsi="Book Antiqua" w:cs="Calibri"/>
                <w:b/>
                <w:bCs/>
                <w:color w:val="000000"/>
                <w:sz w:val="16"/>
                <w:szCs w:val="16"/>
                <w:u w:val="single"/>
                <w:lang w:eastAsia="es-CR"/>
              </w:rPr>
            </w:pPr>
            <w:r w:rsidRPr="00634B8E">
              <w:rPr>
                <w:rFonts w:ascii="Book Antiqua" w:hAnsi="Book Antiqua" w:cs="Calibri"/>
                <w:b/>
                <w:bCs/>
                <w:color w:val="000000"/>
                <w:sz w:val="16"/>
                <w:szCs w:val="16"/>
                <w:u w:val="single"/>
                <w:lang w:eastAsia="es-CR"/>
              </w:rPr>
              <w:t>69 295</w:t>
            </w:r>
          </w:p>
        </w:tc>
        <w:tc>
          <w:tcPr>
            <w:tcW w:w="1200" w:type="dxa"/>
            <w:tcBorders>
              <w:top w:val="nil"/>
              <w:left w:val="nil"/>
              <w:bottom w:val="single" w:sz="4" w:space="0" w:color="auto"/>
              <w:right w:val="single" w:sz="4" w:space="0" w:color="auto"/>
            </w:tcBorders>
            <w:shd w:val="clear" w:color="auto" w:fill="auto"/>
            <w:noWrap/>
            <w:vAlign w:val="center"/>
            <w:hideMark/>
          </w:tcPr>
          <w:p w14:paraId="752994BF" w14:textId="77777777" w:rsidR="00634B8E" w:rsidRPr="00634B8E" w:rsidRDefault="00634B8E" w:rsidP="00234CBE">
            <w:pPr>
              <w:spacing w:line="276" w:lineRule="auto"/>
              <w:jc w:val="center"/>
              <w:rPr>
                <w:rFonts w:ascii="Book Antiqua" w:hAnsi="Book Antiqua" w:cs="Calibri"/>
                <w:b/>
                <w:bCs/>
                <w:color w:val="000000"/>
                <w:sz w:val="16"/>
                <w:szCs w:val="16"/>
                <w:u w:val="single"/>
                <w:lang w:eastAsia="es-CR"/>
              </w:rPr>
            </w:pPr>
            <w:r w:rsidRPr="00634B8E">
              <w:rPr>
                <w:rFonts w:ascii="Book Antiqua" w:hAnsi="Book Antiqua" w:cs="Calibri"/>
                <w:b/>
                <w:bCs/>
                <w:color w:val="000000"/>
                <w:sz w:val="16"/>
                <w:szCs w:val="16"/>
                <w:u w:val="single"/>
                <w:lang w:eastAsia="es-CR"/>
              </w:rPr>
              <w:t>57 284</w:t>
            </w:r>
          </w:p>
        </w:tc>
        <w:tc>
          <w:tcPr>
            <w:tcW w:w="1200" w:type="dxa"/>
            <w:tcBorders>
              <w:top w:val="nil"/>
              <w:left w:val="nil"/>
              <w:bottom w:val="single" w:sz="4" w:space="0" w:color="auto"/>
              <w:right w:val="single" w:sz="4" w:space="0" w:color="auto"/>
            </w:tcBorders>
            <w:shd w:val="clear" w:color="auto" w:fill="auto"/>
            <w:noWrap/>
            <w:vAlign w:val="center"/>
            <w:hideMark/>
          </w:tcPr>
          <w:p w14:paraId="573C4FA8" w14:textId="77777777" w:rsidR="00634B8E" w:rsidRPr="00634B8E" w:rsidRDefault="00634B8E" w:rsidP="00234CBE">
            <w:pPr>
              <w:spacing w:line="276" w:lineRule="auto"/>
              <w:jc w:val="center"/>
              <w:rPr>
                <w:rFonts w:ascii="Book Antiqua" w:hAnsi="Book Antiqua" w:cs="Calibri"/>
                <w:b/>
                <w:bCs/>
                <w:color w:val="000000"/>
                <w:sz w:val="16"/>
                <w:szCs w:val="16"/>
                <w:u w:val="single"/>
                <w:lang w:eastAsia="es-CR"/>
              </w:rPr>
            </w:pPr>
            <w:r w:rsidRPr="00634B8E">
              <w:rPr>
                <w:rFonts w:ascii="Book Antiqua" w:hAnsi="Book Antiqua" w:cs="Calibri"/>
                <w:b/>
                <w:bCs/>
                <w:color w:val="000000"/>
                <w:sz w:val="16"/>
                <w:szCs w:val="16"/>
                <w:u w:val="single"/>
                <w:lang w:eastAsia="es-CR"/>
              </w:rPr>
              <w:t>58 314</w:t>
            </w:r>
          </w:p>
        </w:tc>
        <w:tc>
          <w:tcPr>
            <w:tcW w:w="1200" w:type="dxa"/>
            <w:tcBorders>
              <w:top w:val="nil"/>
              <w:left w:val="nil"/>
              <w:bottom w:val="single" w:sz="4" w:space="0" w:color="auto"/>
              <w:right w:val="single" w:sz="4" w:space="0" w:color="auto"/>
            </w:tcBorders>
            <w:shd w:val="clear" w:color="auto" w:fill="auto"/>
            <w:noWrap/>
            <w:vAlign w:val="center"/>
            <w:hideMark/>
          </w:tcPr>
          <w:p w14:paraId="3FC8CC01" w14:textId="77777777" w:rsidR="00634B8E" w:rsidRPr="00634B8E" w:rsidRDefault="00634B8E" w:rsidP="00234CBE">
            <w:pPr>
              <w:spacing w:line="276" w:lineRule="auto"/>
              <w:jc w:val="center"/>
              <w:rPr>
                <w:rFonts w:ascii="Book Antiqua" w:hAnsi="Book Antiqua" w:cs="Calibri"/>
                <w:b/>
                <w:bCs/>
                <w:color w:val="000000"/>
                <w:sz w:val="16"/>
                <w:szCs w:val="16"/>
                <w:u w:val="single"/>
                <w:lang w:eastAsia="es-CR"/>
              </w:rPr>
            </w:pPr>
            <w:r w:rsidRPr="00634B8E">
              <w:rPr>
                <w:rFonts w:ascii="Book Antiqua" w:hAnsi="Book Antiqua" w:cs="Calibri"/>
                <w:b/>
                <w:bCs/>
                <w:color w:val="000000"/>
                <w:sz w:val="16"/>
                <w:szCs w:val="16"/>
                <w:u w:val="single"/>
                <w:lang w:eastAsia="es-CR"/>
              </w:rPr>
              <w:t>-15,85%</w:t>
            </w:r>
          </w:p>
        </w:tc>
        <w:tc>
          <w:tcPr>
            <w:tcW w:w="1320" w:type="dxa"/>
            <w:tcBorders>
              <w:top w:val="nil"/>
              <w:left w:val="nil"/>
              <w:bottom w:val="single" w:sz="4" w:space="0" w:color="auto"/>
              <w:right w:val="single" w:sz="4" w:space="0" w:color="auto"/>
            </w:tcBorders>
            <w:shd w:val="clear" w:color="auto" w:fill="auto"/>
            <w:noWrap/>
            <w:vAlign w:val="center"/>
            <w:hideMark/>
          </w:tcPr>
          <w:p w14:paraId="15471264" w14:textId="77777777" w:rsidR="00634B8E" w:rsidRPr="00634B8E" w:rsidRDefault="00634B8E" w:rsidP="00234CBE">
            <w:pPr>
              <w:spacing w:line="276" w:lineRule="auto"/>
              <w:jc w:val="center"/>
              <w:rPr>
                <w:rFonts w:ascii="Book Antiqua" w:hAnsi="Book Antiqua" w:cs="Calibri"/>
                <w:b/>
                <w:bCs/>
                <w:color w:val="000000"/>
                <w:sz w:val="16"/>
                <w:szCs w:val="16"/>
                <w:u w:val="single"/>
                <w:lang w:eastAsia="es-CR"/>
              </w:rPr>
            </w:pPr>
            <w:r w:rsidRPr="00634B8E">
              <w:rPr>
                <w:rFonts w:ascii="Book Antiqua" w:hAnsi="Book Antiqua" w:cs="Calibri"/>
                <w:b/>
                <w:bCs/>
                <w:color w:val="000000"/>
                <w:sz w:val="16"/>
                <w:szCs w:val="16"/>
                <w:u w:val="single"/>
                <w:lang w:eastAsia="es-CR"/>
              </w:rPr>
              <w:t>1,80%</w:t>
            </w:r>
          </w:p>
        </w:tc>
      </w:tr>
      <w:tr w:rsidR="00634B8E" w:rsidRPr="00634B8E" w14:paraId="7219C99C" w14:textId="77777777" w:rsidTr="00634B8E">
        <w:trPr>
          <w:trHeight w:val="290"/>
          <w:jc w:val="center"/>
        </w:trPr>
        <w:tc>
          <w:tcPr>
            <w:tcW w:w="3363" w:type="dxa"/>
            <w:tcBorders>
              <w:top w:val="nil"/>
              <w:left w:val="single" w:sz="4" w:space="0" w:color="auto"/>
              <w:bottom w:val="single" w:sz="4" w:space="0" w:color="auto"/>
              <w:right w:val="single" w:sz="4" w:space="0" w:color="auto"/>
            </w:tcBorders>
            <w:shd w:val="clear" w:color="auto" w:fill="auto"/>
            <w:noWrap/>
            <w:vAlign w:val="center"/>
            <w:hideMark/>
          </w:tcPr>
          <w:p w14:paraId="2B3FE607" w14:textId="77777777" w:rsidR="00634B8E" w:rsidRPr="00634B8E" w:rsidRDefault="00634B8E" w:rsidP="00234CBE">
            <w:pPr>
              <w:spacing w:line="276" w:lineRule="auto"/>
              <w:jc w:val="center"/>
              <w:rPr>
                <w:rFonts w:ascii="Book Antiqua" w:hAnsi="Book Antiqua" w:cs="Calibri"/>
                <w:b/>
                <w:bCs/>
                <w:color w:val="000000"/>
                <w:sz w:val="16"/>
                <w:szCs w:val="16"/>
                <w:lang w:eastAsia="es-CR"/>
              </w:rPr>
            </w:pPr>
            <w:r w:rsidRPr="00634B8E">
              <w:rPr>
                <w:rFonts w:ascii="Book Antiqua" w:hAnsi="Book Antiqua" w:cs="Calibri"/>
                <w:b/>
                <w:bCs/>
                <w:color w:val="000000"/>
                <w:sz w:val="16"/>
                <w:szCs w:val="16"/>
                <w:lang w:eastAsia="es-CR"/>
              </w:rPr>
              <w:t>II Instancia y Casación</w:t>
            </w:r>
          </w:p>
        </w:tc>
        <w:tc>
          <w:tcPr>
            <w:tcW w:w="1200" w:type="dxa"/>
            <w:tcBorders>
              <w:top w:val="nil"/>
              <w:left w:val="nil"/>
              <w:bottom w:val="single" w:sz="4" w:space="0" w:color="auto"/>
              <w:right w:val="single" w:sz="4" w:space="0" w:color="auto"/>
            </w:tcBorders>
            <w:shd w:val="clear" w:color="auto" w:fill="auto"/>
            <w:noWrap/>
            <w:vAlign w:val="center"/>
            <w:hideMark/>
          </w:tcPr>
          <w:p w14:paraId="4D685E0E" w14:textId="77777777" w:rsidR="00634B8E" w:rsidRPr="00634B8E" w:rsidRDefault="00634B8E" w:rsidP="00234CBE">
            <w:pPr>
              <w:spacing w:line="276" w:lineRule="auto"/>
              <w:jc w:val="center"/>
              <w:rPr>
                <w:rFonts w:ascii="Book Antiqua" w:hAnsi="Book Antiqua" w:cs="Calibri"/>
                <w:color w:val="000000"/>
                <w:sz w:val="16"/>
                <w:szCs w:val="16"/>
                <w:lang w:eastAsia="es-CR"/>
              </w:rPr>
            </w:pPr>
            <w:r w:rsidRPr="00634B8E">
              <w:rPr>
                <w:rFonts w:ascii="Book Antiqua" w:hAnsi="Book Antiqua" w:cs="Calibri"/>
                <w:color w:val="000000"/>
                <w:sz w:val="16"/>
                <w:szCs w:val="16"/>
                <w:lang w:eastAsia="es-CR"/>
              </w:rPr>
              <w:t>5568</w:t>
            </w:r>
          </w:p>
        </w:tc>
        <w:tc>
          <w:tcPr>
            <w:tcW w:w="1200" w:type="dxa"/>
            <w:tcBorders>
              <w:top w:val="nil"/>
              <w:left w:val="nil"/>
              <w:bottom w:val="single" w:sz="4" w:space="0" w:color="auto"/>
              <w:right w:val="single" w:sz="4" w:space="0" w:color="auto"/>
            </w:tcBorders>
            <w:shd w:val="clear" w:color="auto" w:fill="auto"/>
            <w:noWrap/>
            <w:vAlign w:val="center"/>
            <w:hideMark/>
          </w:tcPr>
          <w:p w14:paraId="37ED0BD0" w14:textId="77777777" w:rsidR="00634B8E" w:rsidRPr="00634B8E" w:rsidRDefault="00634B8E" w:rsidP="00234CBE">
            <w:pPr>
              <w:spacing w:line="276" w:lineRule="auto"/>
              <w:jc w:val="center"/>
              <w:rPr>
                <w:rFonts w:ascii="Book Antiqua" w:hAnsi="Book Antiqua" w:cs="Calibri"/>
                <w:color w:val="000000"/>
                <w:sz w:val="16"/>
                <w:szCs w:val="16"/>
                <w:lang w:eastAsia="es-CR"/>
              </w:rPr>
            </w:pPr>
            <w:r w:rsidRPr="00634B8E">
              <w:rPr>
                <w:rFonts w:ascii="Book Antiqua" w:hAnsi="Book Antiqua" w:cs="Calibri"/>
                <w:color w:val="000000"/>
                <w:sz w:val="16"/>
                <w:szCs w:val="16"/>
                <w:lang w:eastAsia="es-CR"/>
              </w:rPr>
              <w:t>4653</w:t>
            </w:r>
          </w:p>
        </w:tc>
        <w:tc>
          <w:tcPr>
            <w:tcW w:w="1200" w:type="dxa"/>
            <w:tcBorders>
              <w:top w:val="nil"/>
              <w:left w:val="nil"/>
              <w:bottom w:val="single" w:sz="4" w:space="0" w:color="auto"/>
              <w:right w:val="single" w:sz="4" w:space="0" w:color="auto"/>
            </w:tcBorders>
            <w:shd w:val="clear" w:color="auto" w:fill="auto"/>
            <w:noWrap/>
            <w:vAlign w:val="center"/>
            <w:hideMark/>
          </w:tcPr>
          <w:p w14:paraId="1BEB0467" w14:textId="77777777" w:rsidR="00634B8E" w:rsidRPr="00634B8E" w:rsidRDefault="00634B8E" w:rsidP="00234CBE">
            <w:pPr>
              <w:spacing w:line="276" w:lineRule="auto"/>
              <w:jc w:val="center"/>
              <w:rPr>
                <w:rFonts w:ascii="Book Antiqua" w:hAnsi="Book Antiqua" w:cs="Calibri"/>
                <w:color w:val="000000"/>
                <w:sz w:val="16"/>
                <w:szCs w:val="16"/>
                <w:lang w:eastAsia="es-CR"/>
              </w:rPr>
            </w:pPr>
            <w:r w:rsidRPr="00634B8E">
              <w:rPr>
                <w:rFonts w:ascii="Book Antiqua" w:hAnsi="Book Antiqua" w:cs="Calibri"/>
                <w:color w:val="000000"/>
                <w:sz w:val="16"/>
                <w:szCs w:val="16"/>
                <w:lang w:eastAsia="es-CR"/>
              </w:rPr>
              <w:t>5079</w:t>
            </w:r>
          </w:p>
        </w:tc>
        <w:tc>
          <w:tcPr>
            <w:tcW w:w="1200" w:type="dxa"/>
            <w:tcBorders>
              <w:top w:val="nil"/>
              <w:left w:val="nil"/>
              <w:bottom w:val="single" w:sz="4" w:space="0" w:color="auto"/>
              <w:right w:val="single" w:sz="4" w:space="0" w:color="auto"/>
            </w:tcBorders>
            <w:shd w:val="clear" w:color="auto" w:fill="auto"/>
            <w:noWrap/>
            <w:vAlign w:val="center"/>
            <w:hideMark/>
          </w:tcPr>
          <w:p w14:paraId="2214B518" w14:textId="77777777" w:rsidR="00634B8E" w:rsidRPr="00634B8E" w:rsidRDefault="00634B8E" w:rsidP="00234CBE">
            <w:pPr>
              <w:spacing w:line="276" w:lineRule="auto"/>
              <w:jc w:val="center"/>
              <w:rPr>
                <w:rFonts w:ascii="Book Antiqua" w:hAnsi="Book Antiqua" w:cs="Calibri"/>
                <w:color w:val="000000"/>
                <w:sz w:val="16"/>
                <w:szCs w:val="16"/>
                <w:lang w:eastAsia="es-CR"/>
              </w:rPr>
            </w:pPr>
            <w:r w:rsidRPr="00634B8E">
              <w:rPr>
                <w:rFonts w:ascii="Book Antiqua" w:hAnsi="Book Antiqua" w:cs="Calibri"/>
                <w:color w:val="000000"/>
                <w:sz w:val="16"/>
                <w:szCs w:val="16"/>
                <w:lang w:eastAsia="es-CR"/>
              </w:rPr>
              <w:t>-8,79%</w:t>
            </w:r>
          </w:p>
        </w:tc>
        <w:tc>
          <w:tcPr>
            <w:tcW w:w="1320" w:type="dxa"/>
            <w:tcBorders>
              <w:top w:val="nil"/>
              <w:left w:val="nil"/>
              <w:bottom w:val="single" w:sz="4" w:space="0" w:color="auto"/>
              <w:right w:val="single" w:sz="4" w:space="0" w:color="auto"/>
            </w:tcBorders>
            <w:shd w:val="clear" w:color="auto" w:fill="auto"/>
            <w:noWrap/>
            <w:vAlign w:val="center"/>
            <w:hideMark/>
          </w:tcPr>
          <w:p w14:paraId="0F740CC0" w14:textId="77777777" w:rsidR="00634B8E" w:rsidRPr="00634B8E" w:rsidRDefault="00634B8E" w:rsidP="00234CBE">
            <w:pPr>
              <w:spacing w:line="276" w:lineRule="auto"/>
              <w:jc w:val="center"/>
              <w:rPr>
                <w:rFonts w:ascii="Book Antiqua" w:hAnsi="Book Antiqua" w:cs="Calibri"/>
                <w:color w:val="000000"/>
                <w:sz w:val="16"/>
                <w:szCs w:val="16"/>
                <w:lang w:eastAsia="es-CR"/>
              </w:rPr>
            </w:pPr>
            <w:r w:rsidRPr="00634B8E">
              <w:rPr>
                <w:rFonts w:ascii="Book Antiqua" w:hAnsi="Book Antiqua" w:cs="Calibri"/>
                <w:color w:val="000000"/>
                <w:sz w:val="16"/>
                <w:szCs w:val="16"/>
                <w:lang w:eastAsia="es-CR"/>
              </w:rPr>
              <w:t>9,14%</w:t>
            </w:r>
          </w:p>
        </w:tc>
      </w:tr>
      <w:tr w:rsidR="00634B8E" w:rsidRPr="00634B8E" w14:paraId="725CC164" w14:textId="77777777" w:rsidTr="00634B8E">
        <w:trPr>
          <w:trHeight w:val="290"/>
          <w:jc w:val="center"/>
        </w:trPr>
        <w:tc>
          <w:tcPr>
            <w:tcW w:w="3363" w:type="dxa"/>
            <w:tcBorders>
              <w:top w:val="nil"/>
              <w:left w:val="single" w:sz="4" w:space="0" w:color="auto"/>
              <w:bottom w:val="single" w:sz="4" w:space="0" w:color="auto"/>
              <w:right w:val="single" w:sz="4" w:space="0" w:color="auto"/>
            </w:tcBorders>
            <w:shd w:val="clear" w:color="auto" w:fill="auto"/>
            <w:noWrap/>
            <w:vAlign w:val="center"/>
            <w:hideMark/>
          </w:tcPr>
          <w:p w14:paraId="625857C9" w14:textId="77777777" w:rsidR="00634B8E" w:rsidRPr="00634B8E" w:rsidRDefault="00634B8E" w:rsidP="00234CBE">
            <w:pPr>
              <w:spacing w:line="276" w:lineRule="auto"/>
              <w:jc w:val="center"/>
              <w:rPr>
                <w:rFonts w:ascii="Book Antiqua" w:hAnsi="Book Antiqua" w:cs="Calibri"/>
                <w:b/>
                <w:bCs/>
                <w:color w:val="000000"/>
                <w:sz w:val="16"/>
                <w:szCs w:val="16"/>
                <w:lang w:eastAsia="es-CR"/>
              </w:rPr>
            </w:pPr>
            <w:r w:rsidRPr="00634B8E">
              <w:rPr>
                <w:rFonts w:ascii="Book Antiqua" w:hAnsi="Book Antiqua" w:cs="Calibri"/>
                <w:b/>
                <w:bCs/>
                <w:color w:val="000000"/>
                <w:sz w:val="16"/>
                <w:szCs w:val="16"/>
                <w:lang w:eastAsia="es-CR"/>
              </w:rPr>
              <w:t>Penal</w:t>
            </w:r>
          </w:p>
        </w:tc>
        <w:tc>
          <w:tcPr>
            <w:tcW w:w="1200" w:type="dxa"/>
            <w:tcBorders>
              <w:top w:val="nil"/>
              <w:left w:val="nil"/>
              <w:bottom w:val="single" w:sz="4" w:space="0" w:color="auto"/>
              <w:right w:val="single" w:sz="4" w:space="0" w:color="auto"/>
            </w:tcBorders>
            <w:shd w:val="clear" w:color="auto" w:fill="auto"/>
            <w:noWrap/>
            <w:vAlign w:val="center"/>
            <w:hideMark/>
          </w:tcPr>
          <w:p w14:paraId="722CAC6F" w14:textId="77777777" w:rsidR="00634B8E" w:rsidRPr="00634B8E" w:rsidRDefault="00634B8E" w:rsidP="00234CBE">
            <w:pPr>
              <w:spacing w:line="276" w:lineRule="auto"/>
              <w:jc w:val="center"/>
              <w:rPr>
                <w:rFonts w:ascii="Book Antiqua" w:hAnsi="Book Antiqua" w:cs="Calibri"/>
                <w:color w:val="000000"/>
                <w:sz w:val="16"/>
                <w:szCs w:val="16"/>
                <w:lang w:eastAsia="es-CR"/>
              </w:rPr>
            </w:pPr>
            <w:r w:rsidRPr="00634B8E">
              <w:rPr>
                <w:rFonts w:ascii="Book Antiqua" w:hAnsi="Book Antiqua" w:cs="Calibri"/>
                <w:color w:val="000000"/>
                <w:sz w:val="16"/>
                <w:szCs w:val="16"/>
                <w:lang w:eastAsia="es-CR"/>
              </w:rPr>
              <w:t>15181</w:t>
            </w:r>
          </w:p>
        </w:tc>
        <w:tc>
          <w:tcPr>
            <w:tcW w:w="1200" w:type="dxa"/>
            <w:tcBorders>
              <w:top w:val="nil"/>
              <w:left w:val="nil"/>
              <w:bottom w:val="single" w:sz="4" w:space="0" w:color="auto"/>
              <w:right w:val="single" w:sz="4" w:space="0" w:color="auto"/>
            </w:tcBorders>
            <w:shd w:val="clear" w:color="auto" w:fill="auto"/>
            <w:noWrap/>
            <w:vAlign w:val="center"/>
            <w:hideMark/>
          </w:tcPr>
          <w:p w14:paraId="36E0062D" w14:textId="77777777" w:rsidR="00634B8E" w:rsidRPr="00634B8E" w:rsidRDefault="00634B8E" w:rsidP="00234CBE">
            <w:pPr>
              <w:spacing w:line="276" w:lineRule="auto"/>
              <w:jc w:val="center"/>
              <w:rPr>
                <w:rFonts w:ascii="Book Antiqua" w:hAnsi="Book Antiqua" w:cs="Calibri"/>
                <w:color w:val="000000"/>
                <w:sz w:val="16"/>
                <w:szCs w:val="16"/>
                <w:lang w:eastAsia="es-CR"/>
              </w:rPr>
            </w:pPr>
            <w:r w:rsidRPr="00634B8E">
              <w:rPr>
                <w:rFonts w:ascii="Book Antiqua" w:hAnsi="Book Antiqua" w:cs="Calibri"/>
                <w:color w:val="000000"/>
                <w:sz w:val="16"/>
                <w:szCs w:val="16"/>
                <w:lang w:eastAsia="es-CR"/>
              </w:rPr>
              <w:t>14004</w:t>
            </w:r>
          </w:p>
        </w:tc>
        <w:tc>
          <w:tcPr>
            <w:tcW w:w="1200" w:type="dxa"/>
            <w:tcBorders>
              <w:top w:val="nil"/>
              <w:left w:val="nil"/>
              <w:bottom w:val="single" w:sz="4" w:space="0" w:color="auto"/>
              <w:right w:val="single" w:sz="4" w:space="0" w:color="auto"/>
            </w:tcBorders>
            <w:shd w:val="clear" w:color="auto" w:fill="auto"/>
            <w:noWrap/>
            <w:vAlign w:val="center"/>
            <w:hideMark/>
          </w:tcPr>
          <w:p w14:paraId="4B59BCE5" w14:textId="77777777" w:rsidR="00634B8E" w:rsidRPr="00634B8E" w:rsidRDefault="00634B8E" w:rsidP="00234CBE">
            <w:pPr>
              <w:spacing w:line="276" w:lineRule="auto"/>
              <w:jc w:val="center"/>
              <w:rPr>
                <w:rFonts w:ascii="Book Antiqua" w:hAnsi="Book Antiqua" w:cs="Calibri"/>
                <w:color w:val="000000"/>
                <w:sz w:val="16"/>
                <w:szCs w:val="16"/>
                <w:lang w:eastAsia="es-CR"/>
              </w:rPr>
            </w:pPr>
            <w:r w:rsidRPr="00634B8E">
              <w:rPr>
                <w:rFonts w:ascii="Book Antiqua" w:hAnsi="Book Antiqua" w:cs="Calibri"/>
                <w:color w:val="000000"/>
                <w:sz w:val="16"/>
                <w:szCs w:val="16"/>
                <w:lang w:eastAsia="es-CR"/>
              </w:rPr>
              <w:t>14458</w:t>
            </w:r>
          </w:p>
        </w:tc>
        <w:tc>
          <w:tcPr>
            <w:tcW w:w="1200" w:type="dxa"/>
            <w:tcBorders>
              <w:top w:val="nil"/>
              <w:left w:val="nil"/>
              <w:bottom w:val="single" w:sz="4" w:space="0" w:color="auto"/>
              <w:right w:val="single" w:sz="4" w:space="0" w:color="auto"/>
            </w:tcBorders>
            <w:shd w:val="clear" w:color="auto" w:fill="auto"/>
            <w:noWrap/>
            <w:vAlign w:val="center"/>
            <w:hideMark/>
          </w:tcPr>
          <w:p w14:paraId="4CB08125" w14:textId="77777777" w:rsidR="00634B8E" w:rsidRPr="00634B8E" w:rsidRDefault="00634B8E" w:rsidP="00234CBE">
            <w:pPr>
              <w:spacing w:line="276" w:lineRule="auto"/>
              <w:jc w:val="center"/>
              <w:rPr>
                <w:rFonts w:ascii="Book Antiqua" w:hAnsi="Book Antiqua" w:cs="Calibri"/>
                <w:color w:val="000000"/>
                <w:sz w:val="16"/>
                <w:szCs w:val="16"/>
                <w:lang w:eastAsia="es-CR"/>
              </w:rPr>
            </w:pPr>
            <w:r w:rsidRPr="00634B8E">
              <w:rPr>
                <w:rFonts w:ascii="Book Antiqua" w:hAnsi="Book Antiqua" w:cs="Calibri"/>
                <w:color w:val="000000"/>
                <w:sz w:val="16"/>
                <w:szCs w:val="16"/>
                <w:lang w:eastAsia="es-CR"/>
              </w:rPr>
              <w:t>-4,76%</w:t>
            </w:r>
          </w:p>
        </w:tc>
        <w:tc>
          <w:tcPr>
            <w:tcW w:w="1320" w:type="dxa"/>
            <w:tcBorders>
              <w:top w:val="nil"/>
              <w:left w:val="nil"/>
              <w:bottom w:val="single" w:sz="4" w:space="0" w:color="auto"/>
              <w:right w:val="single" w:sz="4" w:space="0" w:color="auto"/>
            </w:tcBorders>
            <w:shd w:val="clear" w:color="auto" w:fill="auto"/>
            <w:noWrap/>
            <w:vAlign w:val="center"/>
            <w:hideMark/>
          </w:tcPr>
          <w:p w14:paraId="2A574E1F" w14:textId="77777777" w:rsidR="00634B8E" w:rsidRPr="00634B8E" w:rsidRDefault="00634B8E" w:rsidP="00234CBE">
            <w:pPr>
              <w:spacing w:line="276" w:lineRule="auto"/>
              <w:jc w:val="center"/>
              <w:rPr>
                <w:rFonts w:ascii="Book Antiqua" w:hAnsi="Book Antiqua" w:cs="Calibri"/>
                <w:color w:val="000000"/>
                <w:sz w:val="16"/>
                <w:szCs w:val="16"/>
                <w:lang w:eastAsia="es-CR"/>
              </w:rPr>
            </w:pPr>
            <w:r w:rsidRPr="00634B8E">
              <w:rPr>
                <w:rFonts w:ascii="Book Antiqua" w:hAnsi="Book Antiqua" w:cs="Calibri"/>
                <w:color w:val="000000"/>
                <w:sz w:val="16"/>
                <w:szCs w:val="16"/>
                <w:lang w:eastAsia="es-CR"/>
              </w:rPr>
              <w:t>3,24%</w:t>
            </w:r>
          </w:p>
        </w:tc>
      </w:tr>
      <w:tr w:rsidR="00634B8E" w:rsidRPr="00634B8E" w14:paraId="4A3D220A" w14:textId="77777777" w:rsidTr="00634B8E">
        <w:trPr>
          <w:trHeight w:val="290"/>
          <w:jc w:val="center"/>
        </w:trPr>
        <w:tc>
          <w:tcPr>
            <w:tcW w:w="3363" w:type="dxa"/>
            <w:tcBorders>
              <w:top w:val="nil"/>
              <w:left w:val="single" w:sz="4" w:space="0" w:color="auto"/>
              <w:bottom w:val="single" w:sz="4" w:space="0" w:color="auto"/>
              <w:right w:val="single" w:sz="4" w:space="0" w:color="auto"/>
            </w:tcBorders>
            <w:shd w:val="clear" w:color="auto" w:fill="auto"/>
            <w:noWrap/>
            <w:vAlign w:val="center"/>
            <w:hideMark/>
          </w:tcPr>
          <w:p w14:paraId="6B741A21" w14:textId="77777777" w:rsidR="00634B8E" w:rsidRPr="00634B8E" w:rsidRDefault="00634B8E" w:rsidP="00234CBE">
            <w:pPr>
              <w:spacing w:line="276" w:lineRule="auto"/>
              <w:jc w:val="center"/>
              <w:rPr>
                <w:rFonts w:ascii="Book Antiqua" w:hAnsi="Book Antiqua" w:cs="Calibri"/>
                <w:b/>
                <w:bCs/>
                <w:color w:val="000000"/>
                <w:sz w:val="16"/>
                <w:szCs w:val="16"/>
                <w:lang w:eastAsia="es-CR"/>
              </w:rPr>
            </w:pPr>
            <w:r w:rsidRPr="00634B8E">
              <w:rPr>
                <w:rFonts w:ascii="Book Antiqua" w:hAnsi="Book Antiqua" w:cs="Calibri"/>
                <w:b/>
                <w:bCs/>
                <w:color w:val="000000"/>
                <w:sz w:val="16"/>
                <w:szCs w:val="16"/>
                <w:lang w:eastAsia="es-CR"/>
              </w:rPr>
              <w:t>No Penal</w:t>
            </w:r>
          </w:p>
        </w:tc>
        <w:tc>
          <w:tcPr>
            <w:tcW w:w="1200" w:type="dxa"/>
            <w:tcBorders>
              <w:top w:val="nil"/>
              <w:left w:val="nil"/>
              <w:bottom w:val="single" w:sz="4" w:space="0" w:color="auto"/>
              <w:right w:val="single" w:sz="4" w:space="0" w:color="auto"/>
            </w:tcBorders>
            <w:shd w:val="clear" w:color="auto" w:fill="auto"/>
            <w:noWrap/>
            <w:vAlign w:val="center"/>
            <w:hideMark/>
          </w:tcPr>
          <w:p w14:paraId="601B471E" w14:textId="77777777" w:rsidR="00634B8E" w:rsidRPr="00634B8E" w:rsidRDefault="00634B8E" w:rsidP="00234CBE">
            <w:pPr>
              <w:spacing w:line="276" w:lineRule="auto"/>
              <w:jc w:val="center"/>
              <w:rPr>
                <w:rFonts w:ascii="Book Antiqua" w:hAnsi="Book Antiqua" w:cs="Calibri"/>
                <w:color w:val="000000"/>
                <w:sz w:val="16"/>
                <w:szCs w:val="16"/>
                <w:lang w:eastAsia="es-CR"/>
              </w:rPr>
            </w:pPr>
            <w:r w:rsidRPr="00634B8E">
              <w:rPr>
                <w:rFonts w:ascii="Book Antiqua" w:hAnsi="Book Antiqua" w:cs="Calibri"/>
                <w:color w:val="000000"/>
                <w:sz w:val="16"/>
                <w:szCs w:val="16"/>
                <w:lang w:eastAsia="es-CR"/>
              </w:rPr>
              <w:t>48546</w:t>
            </w:r>
          </w:p>
        </w:tc>
        <w:tc>
          <w:tcPr>
            <w:tcW w:w="1200" w:type="dxa"/>
            <w:tcBorders>
              <w:top w:val="nil"/>
              <w:left w:val="nil"/>
              <w:bottom w:val="single" w:sz="4" w:space="0" w:color="auto"/>
              <w:right w:val="single" w:sz="4" w:space="0" w:color="auto"/>
            </w:tcBorders>
            <w:shd w:val="clear" w:color="auto" w:fill="auto"/>
            <w:noWrap/>
            <w:vAlign w:val="center"/>
            <w:hideMark/>
          </w:tcPr>
          <w:p w14:paraId="11842FBB" w14:textId="77777777" w:rsidR="00634B8E" w:rsidRPr="00634B8E" w:rsidRDefault="00634B8E" w:rsidP="00234CBE">
            <w:pPr>
              <w:spacing w:line="276" w:lineRule="auto"/>
              <w:jc w:val="center"/>
              <w:rPr>
                <w:rFonts w:ascii="Book Antiqua" w:hAnsi="Book Antiqua" w:cs="Calibri"/>
                <w:color w:val="000000"/>
                <w:sz w:val="16"/>
                <w:szCs w:val="16"/>
                <w:lang w:eastAsia="es-CR"/>
              </w:rPr>
            </w:pPr>
            <w:r w:rsidRPr="00634B8E">
              <w:rPr>
                <w:rFonts w:ascii="Book Antiqua" w:hAnsi="Book Antiqua" w:cs="Calibri"/>
                <w:color w:val="000000"/>
                <w:sz w:val="16"/>
                <w:szCs w:val="16"/>
                <w:lang w:eastAsia="es-CR"/>
              </w:rPr>
              <w:t>38627</w:t>
            </w:r>
          </w:p>
        </w:tc>
        <w:tc>
          <w:tcPr>
            <w:tcW w:w="1200" w:type="dxa"/>
            <w:tcBorders>
              <w:top w:val="nil"/>
              <w:left w:val="nil"/>
              <w:bottom w:val="single" w:sz="4" w:space="0" w:color="auto"/>
              <w:right w:val="single" w:sz="4" w:space="0" w:color="auto"/>
            </w:tcBorders>
            <w:shd w:val="clear" w:color="auto" w:fill="auto"/>
            <w:noWrap/>
            <w:vAlign w:val="center"/>
            <w:hideMark/>
          </w:tcPr>
          <w:p w14:paraId="1727C6A5" w14:textId="77777777" w:rsidR="00634B8E" w:rsidRPr="00634B8E" w:rsidRDefault="00634B8E" w:rsidP="00234CBE">
            <w:pPr>
              <w:spacing w:line="276" w:lineRule="auto"/>
              <w:jc w:val="center"/>
              <w:rPr>
                <w:rFonts w:ascii="Book Antiqua" w:hAnsi="Book Antiqua" w:cs="Calibri"/>
                <w:color w:val="000000"/>
                <w:sz w:val="16"/>
                <w:szCs w:val="16"/>
                <w:lang w:eastAsia="es-CR"/>
              </w:rPr>
            </w:pPr>
            <w:r w:rsidRPr="00634B8E">
              <w:rPr>
                <w:rFonts w:ascii="Book Antiqua" w:hAnsi="Book Antiqua" w:cs="Calibri"/>
                <w:color w:val="000000"/>
                <w:sz w:val="16"/>
                <w:szCs w:val="16"/>
                <w:lang w:eastAsia="es-CR"/>
              </w:rPr>
              <w:t>38778</w:t>
            </w:r>
          </w:p>
        </w:tc>
        <w:tc>
          <w:tcPr>
            <w:tcW w:w="1200" w:type="dxa"/>
            <w:tcBorders>
              <w:top w:val="nil"/>
              <w:left w:val="nil"/>
              <w:bottom w:val="single" w:sz="4" w:space="0" w:color="auto"/>
              <w:right w:val="single" w:sz="4" w:space="0" w:color="auto"/>
            </w:tcBorders>
            <w:shd w:val="clear" w:color="auto" w:fill="auto"/>
            <w:noWrap/>
            <w:vAlign w:val="center"/>
            <w:hideMark/>
          </w:tcPr>
          <w:p w14:paraId="6BFC53C6" w14:textId="77777777" w:rsidR="00634B8E" w:rsidRPr="00634B8E" w:rsidRDefault="00634B8E" w:rsidP="00234CBE">
            <w:pPr>
              <w:spacing w:line="276" w:lineRule="auto"/>
              <w:jc w:val="center"/>
              <w:rPr>
                <w:rFonts w:ascii="Book Antiqua" w:hAnsi="Book Antiqua" w:cs="Calibri"/>
                <w:color w:val="000000"/>
                <w:sz w:val="16"/>
                <w:szCs w:val="16"/>
                <w:lang w:eastAsia="es-CR"/>
              </w:rPr>
            </w:pPr>
            <w:r w:rsidRPr="00634B8E">
              <w:rPr>
                <w:rFonts w:ascii="Book Antiqua" w:hAnsi="Book Antiqua" w:cs="Calibri"/>
                <w:color w:val="000000"/>
                <w:sz w:val="16"/>
                <w:szCs w:val="16"/>
                <w:lang w:eastAsia="es-CR"/>
              </w:rPr>
              <w:t>-20,12%</w:t>
            </w:r>
          </w:p>
        </w:tc>
        <w:tc>
          <w:tcPr>
            <w:tcW w:w="1320" w:type="dxa"/>
            <w:tcBorders>
              <w:top w:val="nil"/>
              <w:left w:val="nil"/>
              <w:bottom w:val="single" w:sz="4" w:space="0" w:color="auto"/>
              <w:right w:val="single" w:sz="4" w:space="0" w:color="auto"/>
            </w:tcBorders>
            <w:shd w:val="clear" w:color="auto" w:fill="auto"/>
            <w:noWrap/>
            <w:vAlign w:val="center"/>
            <w:hideMark/>
          </w:tcPr>
          <w:p w14:paraId="4A26B6BC" w14:textId="77777777" w:rsidR="00634B8E" w:rsidRPr="00634B8E" w:rsidRDefault="00634B8E" w:rsidP="00234CBE">
            <w:pPr>
              <w:spacing w:line="276" w:lineRule="auto"/>
              <w:jc w:val="center"/>
              <w:rPr>
                <w:rFonts w:ascii="Book Antiqua" w:hAnsi="Book Antiqua" w:cs="Calibri"/>
                <w:color w:val="000000"/>
                <w:sz w:val="16"/>
                <w:szCs w:val="16"/>
                <w:lang w:eastAsia="es-CR"/>
              </w:rPr>
            </w:pPr>
            <w:r w:rsidRPr="00634B8E">
              <w:rPr>
                <w:rFonts w:ascii="Book Antiqua" w:hAnsi="Book Antiqua" w:cs="Calibri"/>
                <w:color w:val="000000"/>
                <w:sz w:val="16"/>
                <w:szCs w:val="16"/>
                <w:lang w:eastAsia="es-CR"/>
              </w:rPr>
              <w:t>0,39%</w:t>
            </w:r>
          </w:p>
        </w:tc>
      </w:tr>
      <w:tr w:rsidR="00634B8E" w:rsidRPr="00634B8E" w14:paraId="45E9C72C" w14:textId="77777777" w:rsidTr="00634B8E">
        <w:trPr>
          <w:trHeight w:val="290"/>
          <w:jc w:val="center"/>
        </w:trPr>
        <w:tc>
          <w:tcPr>
            <w:tcW w:w="3363" w:type="dxa"/>
            <w:tcBorders>
              <w:top w:val="nil"/>
              <w:left w:val="single" w:sz="4" w:space="0" w:color="auto"/>
              <w:bottom w:val="single" w:sz="4" w:space="0" w:color="auto"/>
              <w:right w:val="single" w:sz="4" w:space="0" w:color="auto"/>
            </w:tcBorders>
            <w:shd w:val="clear" w:color="auto" w:fill="auto"/>
            <w:noWrap/>
            <w:vAlign w:val="center"/>
            <w:hideMark/>
          </w:tcPr>
          <w:p w14:paraId="264FA802" w14:textId="77777777" w:rsidR="00634B8E" w:rsidRPr="00634B8E" w:rsidRDefault="00634B8E" w:rsidP="00234CBE">
            <w:pPr>
              <w:spacing w:line="276" w:lineRule="auto"/>
              <w:jc w:val="right"/>
              <w:rPr>
                <w:rFonts w:ascii="Book Antiqua" w:hAnsi="Book Antiqua" w:cs="Calibri"/>
                <w:color w:val="000000"/>
                <w:sz w:val="16"/>
                <w:szCs w:val="16"/>
                <w:lang w:eastAsia="es-CR"/>
              </w:rPr>
            </w:pPr>
            <w:r w:rsidRPr="00634B8E">
              <w:rPr>
                <w:rFonts w:ascii="Book Antiqua" w:hAnsi="Book Antiqua" w:cs="Calibri"/>
                <w:color w:val="000000"/>
                <w:sz w:val="16"/>
                <w:szCs w:val="16"/>
                <w:lang w:eastAsia="es-CR"/>
              </w:rPr>
              <w:t> </w:t>
            </w:r>
          </w:p>
        </w:tc>
        <w:tc>
          <w:tcPr>
            <w:tcW w:w="1200" w:type="dxa"/>
            <w:tcBorders>
              <w:top w:val="nil"/>
              <w:left w:val="nil"/>
              <w:bottom w:val="single" w:sz="4" w:space="0" w:color="auto"/>
              <w:right w:val="single" w:sz="4" w:space="0" w:color="auto"/>
            </w:tcBorders>
            <w:shd w:val="clear" w:color="auto" w:fill="auto"/>
            <w:noWrap/>
            <w:vAlign w:val="center"/>
            <w:hideMark/>
          </w:tcPr>
          <w:p w14:paraId="58ED2E6A" w14:textId="77777777" w:rsidR="00634B8E" w:rsidRPr="00634B8E" w:rsidRDefault="00634B8E" w:rsidP="00234CBE">
            <w:pPr>
              <w:spacing w:line="276" w:lineRule="auto"/>
              <w:jc w:val="center"/>
              <w:rPr>
                <w:rFonts w:ascii="Book Antiqua" w:hAnsi="Book Antiqua" w:cs="Calibri"/>
                <w:color w:val="000000"/>
                <w:sz w:val="16"/>
                <w:szCs w:val="16"/>
                <w:lang w:eastAsia="es-CR"/>
              </w:rPr>
            </w:pPr>
            <w:r w:rsidRPr="00634B8E">
              <w:rPr>
                <w:rFonts w:ascii="Book Antiqua" w:hAnsi="Book Antiqua" w:cs="Calibri"/>
                <w:color w:val="000000"/>
                <w:sz w:val="16"/>
                <w:szCs w:val="16"/>
                <w:lang w:eastAsia="es-CR"/>
              </w:rPr>
              <w:t> </w:t>
            </w:r>
          </w:p>
        </w:tc>
        <w:tc>
          <w:tcPr>
            <w:tcW w:w="1200" w:type="dxa"/>
            <w:tcBorders>
              <w:top w:val="nil"/>
              <w:left w:val="nil"/>
              <w:bottom w:val="single" w:sz="4" w:space="0" w:color="auto"/>
              <w:right w:val="single" w:sz="4" w:space="0" w:color="auto"/>
            </w:tcBorders>
            <w:shd w:val="clear" w:color="auto" w:fill="auto"/>
            <w:noWrap/>
            <w:vAlign w:val="center"/>
            <w:hideMark/>
          </w:tcPr>
          <w:p w14:paraId="1E1A829C" w14:textId="77777777" w:rsidR="00634B8E" w:rsidRPr="00634B8E" w:rsidRDefault="00634B8E" w:rsidP="00234CBE">
            <w:pPr>
              <w:spacing w:line="276" w:lineRule="auto"/>
              <w:jc w:val="center"/>
              <w:rPr>
                <w:rFonts w:ascii="Book Antiqua" w:hAnsi="Book Antiqua" w:cs="Calibri"/>
                <w:color w:val="000000"/>
                <w:sz w:val="16"/>
                <w:szCs w:val="16"/>
                <w:lang w:eastAsia="es-CR"/>
              </w:rPr>
            </w:pPr>
            <w:r w:rsidRPr="00634B8E">
              <w:rPr>
                <w:rFonts w:ascii="Book Antiqua" w:hAnsi="Book Antiqua" w:cs="Calibri"/>
                <w:color w:val="000000"/>
                <w:sz w:val="16"/>
                <w:szCs w:val="16"/>
                <w:lang w:eastAsia="es-CR"/>
              </w:rPr>
              <w:t> </w:t>
            </w:r>
          </w:p>
        </w:tc>
        <w:tc>
          <w:tcPr>
            <w:tcW w:w="1200" w:type="dxa"/>
            <w:tcBorders>
              <w:top w:val="nil"/>
              <w:left w:val="nil"/>
              <w:bottom w:val="single" w:sz="4" w:space="0" w:color="auto"/>
              <w:right w:val="single" w:sz="4" w:space="0" w:color="auto"/>
            </w:tcBorders>
            <w:shd w:val="clear" w:color="auto" w:fill="auto"/>
            <w:noWrap/>
            <w:vAlign w:val="center"/>
            <w:hideMark/>
          </w:tcPr>
          <w:p w14:paraId="7A1155F0" w14:textId="77777777" w:rsidR="00634B8E" w:rsidRPr="00634B8E" w:rsidRDefault="00634B8E" w:rsidP="00234CBE">
            <w:pPr>
              <w:spacing w:line="276" w:lineRule="auto"/>
              <w:jc w:val="center"/>
              <w:rPr>
                <w:rFonts w:ascii="Book Antiqua" w:hAnsi="Book Antiqua" w:cs="Calibri"/>
                <w:color w:val="000000"/>
                <w:sz w:val="16"/>
                <w:szCs w:val="16"/>
                <w:lang w:eastAsia="es-CR"/>
              </w:rPr>
            </w:pPr>
            <w:r w:rsidRPr="00634B8E">
              <w:rPr>
                <w:rFonts w:ascii="Book Antiqua" w:hAnsi="Book Antiqua" w:cs="Calibri"/>
                <w:color w:val="000000"/>
                <w:sz w:val="16"/>
                <w:szCs w:val="16"/>
                <w:lang w:eastAsia="es-CR"/>
              </w:rPr>
              <w:t> </w:t>
            </w:r>
          </w:p>
        </w:tc>
        <w:tc>
          <w:tcPr>
            <w:tcW w:w="1200" w:type="dxa"/>
            <w:tcBorders>
              <w:top w:val="nil"/>
              <w:left w:val="nil"/>
              <w:bottom w:val="single" w:sz="4" w:space="0" w:color="auto"/>
              <w:right w:val="single" w:sz="4" w:space="0" w:color="auto"/>
            </w:tcBorders>
            <w:shd w:val="clear" w:color="auto" w:fill="auto"/>
            <w:noWrap/>
            <w:vAlign w:val="center"/>
            <w:hideMark/>
          </w:tcPr>
          <w:p w14:paraId="061ACC08" w14:textId="77777777" w:rsidR="00634B8E" w:rsidRPr="00634B8E" w:rsidRDefault="00634B8E" w:rsidP="00234CBE">
            <w:pPr>
              <w:spacing w:line="276" w:lineRule="auto"/>
              <w:jc w:val="center"/>
              <w:rPr>
                <w:rFonts w:ascii="Book Antiqua" w:hAnsi="Book Antiqua" w:cs="Calibri"/>
                <w:color w:val="000000"/>
                <w:sz w:val="16"/>
                <w:szCs w:val="16"/>
                <w:lang w:eastAsia="es-CR"/>
              </w:rPr>
            </w:pPr>
            <w:r w:rsidRPr="00634B8E">
              <w:rPr>
                <w:rFonts w:ascii="Book Antiqua" w:hAnsi="Book Antiqua" w:cs="Calibri"/>
                <w:color w:val="000000"/>
                <w:sz w:val="16"/>
                <w:szCs w:val="16"/>
                <w:lang w:eastAsia="es-CR"/>
              </w:rPr>
              <w:t> </w:t>
            </w:r>
          </w:p>
        </w:tc>
        <w:tc>
          <w:tcPr>
            <w:tcW w:w="1320" w:type="dxa"/>
            <w:tcBorders>
              <w:top w:val="nil"/>
              <w:left w:val="nil"/>
              <w:bottom w:val="single" w:sz="4" w:space="0" w:color="auto"/>
              <w:right w:val="single" w:sz="4" w:space="0" w:color="auto"/>
            </w:tcBorders>
            <w:shd w:val="clear" w:color="auto" w:fill="auto"/>
            <w:noWrap/>
            <w:vAlign w:val="center"/>
            <w:hideMark/>
          </w:tcPr>
          <w:p w14:paraId="4D11FB7D" w14:textId="77777777" w:rsidR="00634B8E" w:rsidRPr="00634B8E" w:rsidRDefault="00634B8E" w:rsidP="00234CBE">
            <w:pPr>
              <w:spacing w:line="276" w:lineRule="auto"/>
              <w:jc w:val="center"/>
              <w:rPr>
                <w:rFonts w:ascii="Book Antiqua" w:hAnsi="Book Antiqua" w:cs="Calibri"/>
                <w:color w:val="000000"/>
                <w:sz w:val="16"/>
                <w:szCs w:val="16"/>
                <w:lang w:eastAsia="es-CR"/>
              </w:rPr>
            </w:pPr>
            <w:r w:rsidRPr="00634B8E">
              <w:rPr>
                <w:rFonts w:ascii="Book Antiqua" w:hAnsi="Book Antiqua" w:cs="Calibri"/>
                <w:color w:val="000000"/>
                <w:sz w:val="16"/>
                <w:szCs w:val="16"/>
                <w:lang w:eastAsia="es-CR"/>
              </w:rPr>
              <w:t> </w:t>
            </w:r>
          </w:p>
        </w:tc>
      </w:tr>
      <w:tr w:rsidR="00634B8E" w:rsidRPr="00634B8E" w14:paraId="09133E9B" w14:textId="77777777" w:rsidTr="00634B8E">
        <w:trPr>
          <w:trHeight w:val="440"/>
          <w:jc w:val="center"/>
        </w:trPr>
        <w:tc>
          <w:tcPr>
            <w:tcW w:w="3363" w:type="dxa"/>
            <w:tcBorders>
              <w:top w:val="nil"/>
              <w:left w:val="single" w:sz="4" w:space="0" w:color="auto"/>
              <w:bottom w:val="single" w:sz="4" w:space="0" w:color="auto"/>
              <w:right w:val="single" w:sz="4" w:space="0" w:color="auto"/>
            </w:tcBorders>
            <w:shd w:val="clear" w:color="000000" w:fill="305496"/>
            <w:vAlign w:val="center"/>
            <w:hideMark/>
          </w:tcPr>
          <w:p w14:paraId="348AB7E1" w14:textId="77777777" w:rsidR="00634B8E" w:rsidRPr="00634B8E" w:rsidRDefault="00634B8E" w:rsidP="00234CBE">
            <w:pPr>
              <w:spacing w:line="276" w:lineRule="auto"/>
              <w:jc w:val="center"/>
              <w:rPr>
                <w:rFonts w:ascii="Book Antiqua" w:hAnsi="Book Antiqua" w:cs="Calibri"/>
                <w:b/>
                <w:bCs/>
                <w:color w:val="FFFFFF"/>
                <w:sz w:val="16"/>
                <w:szCs w:val="16"/>
                <w:lang w:eastAsia="es-CR"/>
              </w:rPr>
            </w:pPr>
            <w:r w:rsidRPr="00634B8E">
              <w:rPr>
                <w:rFonts w:ascii="Book Antiqua" w:hAnsi="Book Antiqua" w:cs="Calibri"/>
                <w:b/>
                <w:bCs/>
                <w:color w:val="FFFFFF"/>
                <w:sz w:val="16"/>
                <w:szCs w:val="16"/>
                <w:lang w:eastAsia="es-CR"/>
              </w:rPr>
              <w:t>Categoría Terminados</w:t>
            </w:r>
          </w:p>
        </w:tc>
        <w:tc>
          <w:tcPr>
            <w:tcW w:w="1200" w:type="dxa"/>
            <w:tcBorders>
              <w:top w:val="nil"/>
              <w:left w:val="nil"/>
              <w:bottom w:val="single" w:sz="4" w:space="0" w:color="auto"/>
              <w:right w:val="single" w:sz="4" w:space="0" w:color="auto"/>
            </w:tcBorders>
            <w:shd w:val="clear" w:color="000000" w:fill="305496"/>
            <w:vAlign w:val="center"/>
            <w:hideMark/>
          </w:tcPr>
          <w:p w14:paraId="48BD04DC" w14:textId="77777777" w:rsidR="00634B8E" w:rsidRPr="00634B8E" w:rsidRDefault="00634B8E" w:rsidP="00234CBE">
            <w:pPr>
              <w:spacing w:line="276" w:lineRule="auto"/>
              <w:jc w:val="center"/>
              <w:rPr>
                <w:rFonts w:ascii="Book Antiqua" w:hAnsi="Book Antiqua" w:cs="Calibri"/>
                <w:b/>
                <w:bCs/>
                <w:color w:val="FFFFFF"/>
                <w:sz w:val="16"/>
                <w:szCs w:val="16"/>
                <w:lang w:eastAsia="es-CR"/>
              </w:rPr>
            </w:pPr>
            <w:r w:rsidRPr="00634B8E">
              <w:rPr>
                <w:rFonts w:ascii="Book Antiqua" w:hAnsi="Book Antiqua" w:cs="Calibri"/>
                <w:b/>
                <w:bCs/>
                <w:color w:val="FFFFFF"/>
                <w:sz w:val="16"/>
                <w:szCs w:val="16"/>
                <w:lang w:eastAsia="es-CR"/>
              </w:rPr>
              <w:t>Promedio mensual 2019</w:t>
            </w:r>
          </w:p>
        </w:tc>
        <w:tc>
          <w:tcPr>
            <w:tcW w:w="1200" w:type="dxa"/>
            <w:tcBorders>
              <w:top w:val="nil"/>
              <w:left w:val="nil"/>
              <w:bottom w:val="single" w:sz="4" w:space="0" w:color="auto"/>
              <w:right w:val="single" w:sz="4" w:space="0" w:color="auto"/>
            </w:tcBorders>
            <w:shd w:val="clear" w:color="000000" w:fill="305496"/>
            <w:vAlign w:val="center"/>
            <w:hideMark/>
          </w:tcPr>
          <w:p w14:paraId="167048C3" w14:textId="77777777" w:rsidR="00634B8E" w:rsidRPr="00634B8E" w:rsidRDefault="00634B8E" w:rsidP="00234CBE">
            <w:pPr>
              <w:spacing w:line="276" w:lineRule="auto"/>
              <w:jc w:val="center"/>
              <w:rPr>
                <w:rFonts w:ascii="Book Antiqua" w:hAnsi="Book Antiqua" w:cs="Calibri"/>
                <w:b/>
                <w:bCs/>
                <w:color w:val="FFFFFF"/>
                <w:sz w:val="16"/>
                <w:szCs w:val="16"/>
                <w:lang w:eastAsia="es-CR"/>
              </w:rPr>
            </w:pPr>
            <w:r w:rsidRPr="00634B8E">
              <w:rPr>
                <w:rFonts w:ascii="Book Antiqua" w:hAnsi="Book Antiqua" w:cs="Calibri"/>
                <w:b/>
                <w:bCs/>
                <w:color w:val="FFFFFF"/>
                <w:sz w:val="16"/>
                <w:szCs w:val="16"/>
                <w:lang w:eastAsia="es-CR"/>
              </w:rPr>
              <w:t>Promedio mensual 2020</w:t>
            </w:r>
          </w:p>
        </w:tc>
        <w:tc>
          <w:tcPr>
            <w:tcW w:w="1200" w:type="dxa"/>
            <w:tcBorders>
              <w:top w:val="nil"/>
              <w:left w:val="nil"/>
              <w:bottom w:val="single" w:sz="4" w:space="0" w:color="auto"/>
              <w:right w:val="single" w:sz="4" w:space="0" w:color="auto"/>
            </w:tcBorders>
            <w:shd w:val="clear" w:color="000000" w:fill="305496"/>
            <w:vAlign w:val="center"/>
            <w:hideMark/>
          </w:tcPr>
          <w:p w14:paraId="6CA41656" w14:textId="77777777" w:rsidR="00634B8E" w:rsidRPr="00634B8E" w:rsidRDefault="00634B8E" w:rsidP="00234CBE">
            <w:pPr>
              <w:spacing w:line="276" w:lineRule="auto"/>
              <w:jc w:val="center"/>
              <w:rPr>
                <w:rFonts w:ascii="Book Antiqua" w:hAnsi="Book Antiqua" w:cs="Calibri"/>
                <w:b/>
                <w:bCs/>
                <w:color w:val="FFFFFF"/>
                <w:sz w:val="16"/>
                <w:szCs w:val="16"/>
                <w:lang w:eastAsia="es-CR"/>
              </w:rPr>
            </w:pPr>
            <w:r w:rsidRPr="00634B8E">
              <w:rPr>
                <w:rFonts w:ascii="Book Antiqua" w:hAnsi="Book Antiqua" w:cs="Calibri"/>
                <w:b/>
                <w:bCs/>
                <w:color w:val="FFFFFF"/>
                <w:sz w:val="16"/>
                <w:szCs w:val="16"/>
                <w:lang w:eastAsia="es-CR"/>
              </w:rPr>
              <w:t>Promedio mensual 2021</w:t>
            </w:r>
          </w:p>
        </w:tc>
        <w:tc>
          <w:tcPr>
            <w:tcW w:w="1200" w:type="dxa"/>
            <w:tcBorders>
              <w:top w:val="nil"/>
              <w:left w:val="nil"/>
              <w:bottom w:val="single" w:sz="4" w:space="0" w:color="auto"/>
              <w:right w:val="single" w:sz="4" w:space="0" w:color="auto"/>
            </w:tcBorders>
            <w:shd w:val="clear" w:color="000000" w:fill="DDEBF7"/>
            <w:vAlign w:val="center"/>
            <w:hideMark/>
          </w:tcPr>
          <w:p w14:paraId="6DF9D59A" w14:textId="77777777" w:rsidR="00634B8E" w:rsidRPr="00634B8E" w:rsidRDefault="00634B8E" w:rsidP="00234CBE">
            <w:pPr>
              <w:spacing w:line="276" w:lineRule="auto"/>
              <w:jc w:val="center"/>
              <w:rPr>
                <w:rFonts w:ascii="Book Antiqua" w:hAnsi="Book Antiqua" w:cs="Calibri"/>
                <w:b/>
                <w:bCs/>
                <w:color w:val="262626"/>
                <w:sz w:val="16"/>
                <w:szCs w:val="16"/>
                <w:lang w:eastAsia="es-CR"/>
              </w:rPr>
            </w:pPr>
            <w:r w:rsidRPr="00634B8E">
              <w:rPr>
                <w:rFonts w:ascii="Book Antiqua" w:hAnsi="Book Antiqua" w:cs="Calibri"/>
                <w:b/>
                <w:bCs/>
                <w:color w:val="262626"/>
                <w:sz w:val="16"/>
                <w:szCs w:val="16"/>
                <w:lang w:eastAsia="es-CR"/>
              </w:rPr>
              <w:t>Diferencia 2021vs2019</w:t>
            </w:r>
          </w:p>
        </w:tc>
        <w:tc>
          <w:tcPr>
            <w:tcW w:w="1320" w:type="dxa"/>
            <w:tcBorders>
              <w:top w:val="nil"/>
              <w:left w:val="nil"/>
              <w:bottom w:val="single" w:sz="4" w:space="0" w:color="auto"/>
              <w:right w:val="single" w:sz="4" w:space="0" w:color="auto"/>
            </w:tcBorders>
            <w:shd w:val="clear" w:color="000000" w:fill="DDEBF7"/>
            <w:vAlign w:val="center"/>
            <w:hideMark/>
          </w:tcPr>
          <w:p w14:paraId="24847899" w14:textId="77777777" w:rsidR="00634B8E" w:rsidRPr="00634B8E" w:rsidRDefault="00634B8E" w:rsidP="00234CBE">
            <w:pPr>
              <w:spacing w:line="276" w:lineRule="auto"/>
              <w:jc w:val="center"/>
              <w:rPr>
                <w:rFonts w:ascii="Book Antiqua" w:hAnsi="Book Antiqua" w:cs="Calibri"/>
                <w:b/>
                <w:bCs/>
                <w:color w:val="262626"/>
                <w:sz w:val="16"/>
                <w:szCs w:val="16"/>
                <w:lang w:eastAsia="es-CR"/>
              </w:rPr>
            </w:pPr>
            <w:r w:rsidRPr="00634B8E">
              <w:rPr>
                <w:rFonts w:ascii="Book Antiqua" w:hAnsi="Book Antiqua" w:cs="Calibri"/>
                <w:b/>
                <w:bCs/>
                <w:color w:val="262626"/>
                <w:sz w:val="16"/>
                <w:szCs w:val="16"/>
                <w:lang w:eastAsia="es-CR"/>
              </w:rPr>
              <w:t>Diferencia 2021vs2020</w:t>
            </w:r>
          </w:p>
        </w:tc>
      </w:tr>
      <w:tr w:rsidR="00634B8E" w:rsidRPr="00634B8E" w14:paraId="282778F3" w14:textId="77777777" w:rsidTr="00634B8E">
        <w:trPr>
          <w:trHeight w:val="290"/>
          <w:jc w:val="center"/>
        </w:trPr>
        <w:tc>
          <w:tcPr>
            <w:tcW w:w="3363" w:type="dxa"/>
            <w:tcBorders>
              <w:top w:val="nil"/>
              <w:left w:val="single" w:sz="4" w:space="0" w:color="auto"/>
              <w:bottom w:val="single" w:sz="4" w:space="0" w:color="auto"/>
              <w:right w:val="single" w:sz="4" w:space="0" w:color="auto"/>
            </w:tcBorders>
            <w:shd w:val="clear" w:color="auto" w:fill="auto"/>
            <w:noWrap/>
            <w:vAlign w:val="center"/>
            <w:hideMark/>
          </w:tcPr>
          <w:p w14:paraId="42557C8D" w14:textId="77777777" w:rsidR="00634B8E" w:rsidRPr="00634B8E" w:rsidRDefault="00634B8E" w:rsidP="00234CBE">
            <w:pPr>
              <w:spacing w:line="276" w:lineRule="auto"/>
              <w:jc w:val="right"/>
              <w:rPr>
                <w:rFonts w:ascii="Book Antiqua" w:hAnsi="Book Antiqua" w:cs="Calibri"/>
                <w:color w:val="000000"/>
                <w:sz w:val="16"/>
                <w:szCs w:val="16"/>
                <w:lang w:eastAsia="es-CR"/>
              </w:rPr>
            </w:pPr>
            <w:r w:rsidRPr="00634B8E">
              <w:rPr>
                <w:rFonts w:ascii="Book Antiqua" w:hAnsi="Book Antiqua" w:cs="Calibri"/>
                <w:color w:val="000000"/>
                <w:sz w:val="16"/>
                <w:szCs w:val="16"/>
                <w:lang w:eastAsia="es-CR"/>
              </w:rPr>
              <w:t> </w:t>
            </w:r>
          </w:p>
        </w:tc>
        <w:tc>
          <w:tcPr>
            <w:tcW w:w="1200" w:type="dxa"/>
            <w:tcBorders>
              <w:top w:val="nil"/>
              <w:left w:val="nil"/>
              <w:bottom w:val="single" w:sz="4" w:space="0" w:color="auto"/>
              <w:right w:val="single" w:sz="4" w:space="0" w:color="auto"/>
            </w:tcBorders>
            <w:shd w:val="clear" w:color="auto" w:fill="auto"/>
            <w:noWrap/>
            <w:vAlign w:val="center"/>
            <w:hideMark/>
          </w:tcPr>
          <w:p w14:paraId="6498088F" w14:textId="77777777" w:rsidR="00634B8E" w:rsidRPr="00634B8E" w:rsidRDefault="00634B8E" w:rsidP="00234CBE">
            <w:pPr>
              <w:spacing w:line="276" w:lineRule="auto"/>
              <w:jc w:val="center"/>
              <w:rPr>
                <w:rFonts w:ascii="Book Antiqua" w:hAnsi="Book Antiqua" w:cs="Calibri"/>
                <w:color w:val="000000"/>
                <w:sz w:val="16"/>
                <w:szCs w:val="16"/>
                <w:lang w:eastAsia="es-CR"/>
              </w:rPr>
            </w:pPr>
            <w:r w:rsidRPr="00634B8E">
              <w:rPr>
                <w:rFonts w:ascii="Book Antiqua" w:hAnsi="Book Antiqua" w:cs="Calibri"/>
                <w:color w:val="000000"/>
                <w:sz w:val="16"/>
                <w:szCs w:val="16"/>
                <w:lang w:eastAsia="es-CR"/>
              </w:rPr>
              <w:t> </w:t>
            </w:r>
          </w:p>
        </w:tc>
        <w:tc>
          <w:tcPr>
            <w:tcW w:w="1200" w:type="dxa"/>
            <w:tcBorders>
              <w:top w:val="nil"/>
              <w:left w:val="nil"/>
              <w:bottom w:val="single" w:sz="4" w:space="0" w:color="auto"/>
              <w:right w:val="single" w:sz="4" w:space="0" w:color="auto"/>
            </w:tcBorders>
            <w:shd w:val="clear" w:color="auto" w:fill="auto"/>
            <w:noWrap/>
            <w:vAlign w:val="center"/>
            <w:hideMark/>
          </w:tcPr>
          <w:p w14:paraId="378D3FE6" w14:textId="77777777" w:rsidR="00634B8E" w:rsidRPr="00634B8E" w:rsidRDefault="00634B8E" w:rsidP="00234CBE">
            <w:pPr>
              <w:spacing w:line="276" w:lineRule="auto"/>
              <w:jc w:val="center"/>
              <w:rPr>
                <w:rFonts w:ascii="Book Antiqua" w:hAnsi="Book Antiqua" w:cs="Calibri"/>
                <w:color w:val="000000"/>
                <w:sz w:val="16"/>
                <w:szCs w:val="16"/>
                <w:lang w:eastAsia="es-CR"/>
              </w:rPr>
            </w:pPr>
            <w:r w:rsidRPr="00634B8E">
              <w:rPr>
                <w:rFonts w:ascii="Book Antiqua" w:hAnsi="Book Antiqua" w:cs="Calibri"/>
                <w:color w:val="000000"/>
                <w:sz w:val="16"/>
                <w:szCs w:val="16"/>
                <w:lang w:eastAsia="es-CR"/>
              </w:rPr>
              <w:t> </w:t>
            </w:r>
          </w:p>
        </w:tc>
        <w:tc>
          <w:tcPr>
            <w:tcW w:w="1200" w:type="dxa"/>
            <w:tcBorders>
              <w:top w:val="nil"/>
              <w:left w:val="nil"/>
              <w:bottom w:val="single" w:sz="4" w:space="0" w:color="auto"/>
              <w:right w:val="single" w:sz="4" w:space="0" w:color="auto"/>
            </w:tcBorders>
            <w:shd w:val="clear" w:color="auto" w:fill="auto"/>
            <w:noWrap/>
            <w:vAlign w:val="center"/>
            <w:hideMark/>
          </w:tcPr>
          <w:p w14:paraId="40D92E40" w14:textId="77777777" w:rsidR="00634B8E" w:rsidRPr="00634B8E" w:rsidRDefault="00634B8E" w:rsidP="00234CBE">
            <w:pPr>
              <w:spacing w:line="276" w:lineRule="auto"/>
              <w:jc w:val="center"/>
              <w:rPr>
                <w:rFonts w:ascii="Book Antiqua" w:hAnsi="Book Antiqua" w:cs="Calibri"/>
                <w:color w:val="000000"/>
                <w:sz w:val="16"/>
                <w:szCs w:val="16"/>
                <w:lang w:eastAsia="es-CR"/>
              </w:rPr>
            </w:pPr>
            <w:r w:rsidRPr="00634B8E">
              <w:rPr>
                <w:rFonts w:ascii="Book Antiqua" w:hAnsi="Book Antiqua" w:cs="Calibri"/>
                <w:color w:val="000000"/>
                <w:sz w:val="16"/>
                <w:szCs w:val="16"/>
                <w:lang w:eastAsia="es-CR"/>
              </w:rPr>
              <w:t> </w:t>
            </w:r>
          </w:p>
        </w:tc>
        <w:tc>
          <w:tcPr>
            <w:tcW w:w="1200" w:type="dxa"/>
            <w:tcBorders>
              <w:top w:val="nil"/>
              <w:left w:val="nil"/>
              <w:bottom w:val="single" w:sz="4" w:space="0" w:color="auto"/>
              <w:right w:val="single" w:sz="4" w:space="0" w:color="auto"/>
            </w:tcBorders>
            <w:shd w:val="clear" w:color="auto" w:fill="auto"/>
            <w:noWrap/>
            <w:vAlign w:val="center"/>
            <w:hideMark/>
          </w:tcPr>
          <w:p w14:paraId="66D022F7" w14:textId="77777777" w:rsidR="00634B8E" w:rsidRPr="00634B8E" w:rsidRDefault="00634B8E" w:rsidP="00234CBE">
            <w:pPr>
              <w:spacing w:line="276" w:lineRule="auto"/>
              <w:jc w:val="center"/>
              <w:rPr>
                <w:rFonts w:ascii="Book Antiqua" w:hAnsi="Book Antiqua" w:cs="Calibri"/>
                <w:color w:val="000000"/>
                <w:sz w:val="16"/>
                <w:szCs w:val="16"/>
                <w:lang w:eastAsia="es-CR"/>
              </w:rPr>
            </w:pPr>
            <w:r w:rsidRPr="00634B8E">
              <w:rPr>
                <w:rFonts w:ascii="Book Antiqua" w:hAnsi="Book Antiqua" w:cs="Calibri"/>
                <w:color w:val="000000"/>
                <w:sz w:val="16"/>
                <w:szCs w:val="16"/>
                <w:lang w:eastAsia="es-CR"/>
              </w:rPr>
              <w:t> </w:t>
            </w:r>
          </w:p>
        </w:tc>
        <w:tc>
          <w:tcPr>
            <w:tcW w:w="1320" w:type="dxa"/>
            <w:tcBorders>
              <w:top w:val="nil"/>
              <w:left w:val="nil"/>
              <w:bottom w:val="single" w:sz="4" w:space="0" w:color="auto"/>
              <w:right w:val="single" w:sz="4" w:space="0" w:color="auto"/>
            </w:tcBorders>
            <w:shd w:val="clear" w:color="auto" w:fill="auto"/>
            <w:noWrap/>
            <w:vAlign w:val="center"/>
            <w:hideMark/>
          </w:tcPr>
          <w:p w14:paraId="59DA5624" w14:textId="77777777" w:rsidR="00634B8E" w:rsidRPr="00634B8E" w:rsidRDefault="00634B8E" w:rsidP="00234CBE">
            <w:pPr>
              <w:spacing w:line="276" w:lineRule="auto"/>
              <w:jc w:val="center"/>
              <w:rPr>
                <w:rFonts w:ascii="Book Antiqua" w:hAnsi="Book Antiqua" w:cs="Calibri"/>
                <w:color w:val="000000"/>
                <w:sz w:val="16"/>
                <w:szCs w:val="16"/>
                <w:lang w:eastAsia="es-CR"/>
              </w:rPr>
            </w:pPr>
            <w:r w:rsidRPr="00634B8E">
              <w:rPr>
                <w:rFonts w:ascii="Book Antiqua" w:hAnsi="Book Antiqua" w:cs="Calibri"/>
                <w:color w:val="000000"/>
                <w:sz w:val="16"/>
                <w:szCs w:val="16"/>
                <w:lang w:eastAsia="es-CR"/>
              </w:rPr>
              <w:t> </w:t>
            </w:r>
          </w:p>
        </w:tc>
      </w:tr>
      <w:tr w:rsidR="00634B8E" w:rsidRPr="00634B8E" w14:paraId="664774F6" w14:textId="77777777" w:rsidTr="00634B8E">
        <w:trPr>
          <w:trHeight w:val="290"/>
          <w:jc w:val="center"/>
        </w:trPr>
        <w:tc>
          <w:tcPr>
            <w:tcW w:w="3363" w:type="dxa"/>
            <w:tcBorders>
              <w:top w:val="nil"/>
              <w:left w:val="single" w:sz="4" w:space="0" w:color="auto"/>
              <w:bottom w:val="single" w:sz="4" w:space="0" w:color="auto"/>
              <w:right w:val="single" w:sz="4" w:space="0" w:color="auto"/>
            </w:tcBorders>
            <w:shd w:val="clear" w:color="auto" w:fill="auto"/>
            <w:noWrap/>
            <w:vAlign w:val="center"/>
            <w:hideMark/>
          </w:tcPr>
          <w:p w14:paraId="0D57BBE7" w14:textId="77777777" w:rsidR="00634B8E" w:rsidRPr="00634B8E" w:rsidRDefault="00634B8E" w:rsidP="00234CBE">
            <w:pPr>
              <w:spacing w:line="276" w:lineRule="auto"/>
              <w:jc w:val="center"/>
              <w:rPr>
                <w:rFonts w:ascii="Book Antiqua" w:hAnsi="Book Antiqua" w:cs="Calibri"/>
                <w:b/>
                <w:bCs/>
                <w:color w:val="000000"/>
                <w:sz w:val="16"/>
                <w:szCs w:val="16"/>
                <w:lang w:eastAsia="es-CR"/>
              </w:rPr>
            </w:pPr>
            <w:r w:rsidRPr="00634B8E">
              <w:rPr>
                <w:rFonts w:ascii="Book Antiqua" w:hAnsi="Book Antiqua" w:cs="Calibri"/>
                <w:b/>
                <w:bCs/>
                <w:color w:val="000000"/>
                <w:sz w:val="16"/>
                <w:szCs w:val="16"/>
                <w:lang w:eastAsia="es-CR"/>
              </w:rPr>
              <w:t>TOTAL</w:t>
            </w:r>
          </w:p>
        </w:tc>
        <w:tc>
          <w:tcPr>
            <w:tcW w:w="1200" w:type="dxa"/>
            <w:tcBorders>
              <w:top w:val="nil"/>
              <w:left w:val="nil"/>
              <w:bottom w:val="single" w:sz="4" w:space="0" w:color="auto"/>
              <w:right w:val="single" w:sz="4" w:space="0" w:color="auto"/>
            </w:tcBorders>
            <w:shd w:val="clear" w:color="auto" w:fill="auto"/>
            <w:noWrap/>
            <w:vAlign w:val="center"/>
            <w:hideMark/>
          </w:tcPr>
          <w:p w14:paraId="79D0342D" w14:textId="77777777" w:rsidR="00634B8E" w:rsidRPr="00634B8E" w:rsidRDefault="00634B8E" w:rsidP="00234CBE">
            <w:pPr>
              <w:spacing w:line="276" w:lineRule="auto"/>
              <w:jc w:val="center"/>
              <w:rPr>
                <w:rFonts w:ascii="Book Antiqua" w:hAnsi="Book Antiqua" w:cs="Calibri"/>
                <w:b/>
                <w:bCs/>
                <w:color w:val="000000"/>
                <w:sz w:val="16"/>
                <w:szCs w:val="16"/>
                <w:u w:val="single"/>
                <w:lang w:eastAsia="es-CR"/>
              </w:rPr>
            </w:pPr>
            <w:r w:rsidRPr="00634B8E">
              <w:rPr>
                <w:rFonts w:ascii="Book Antiqua" w:hAnsi="Book Antiqua" w:cs="Calibri"/>
                <w:b/>
                <w:bCs/>
                <w:color w:val="000000"/>
                <w:sz w:val="16"/>
                <w:szCs w:val="16"/>
                <w:u w:val="single"/>
                <w:lang w:eastAsia="es-CR"/>
              </w:rPr>
              <w:t>61 632</w:t>
            </w:r>
          </w:p>
        </w:tc>
        <w:tc>
          <w:tcPr>
            <w:tcW w:w="1200" w:type="dxa"/>
            <w:tcBorders>
              <w:top w:val="nil"/>
              <w:left w:val="nil"/>
              <w:bottom w:val="single" w:sz="4" w:space="0" w:color="auto"/>
              <w:right w:val="single" w:sz="4" w:space="0" w:color="auto"/>
            </w:tcBorders>
            <w:shd w:val="clear" w:color="auto" w:fill="auto"/>
            <w:noWrap/>
            <w:vAlign w:val="center"/>
            <w:hideMark/>
          </w:tcPr>
          <w:p w14:paraId="436EA972" w14:textId="77777777" w:rsidR="00634B8E" w:rsidRPr="00634B8E" w:rsidRDefault="00634B8E" w:rsidP="00234CBE">
            <w:pPr>
              <w:spacing w:line="276" w:lineRule="auto"/>
              <w:jc w:val="center"/>
              <w:rPr>
                <w:rFonts w:ascii="Book Antiqua" w:hAnsi="Book Antiqua" w:cs="Calibri"/>
                <w:b/>
                <w:bCs/>
                <w:color w:val="000000"/>
                <w:sz w:val="16"/>
                <w:szCs w:val="16"/>
                <w:u w:val="single"/>
                <w:lang w:eastAsia="es-CR"/>
              </w:rPr>
            </w:pPr>
            <w:r w:rsidRPr="00634B8E">
              <w:rPr>
                <w:rFonts w:ascii="Book Antiqua" w:hAnsi="Book Antiqua" w:cs="Calibri"/>
                <w:b/>
                <w:bCs/>
                <w:color w:val="000000"/>
                <w:sz w:val="16"/>
                <w:szCs w:val="16"/>
                <w:u w:val="single"/>
                <w:lang w:eastAsia="es-CR"/>
              </w:rPr>
              <w:t>52 997</w:t>
            </w:r>
          </w:p>
        </w:tc>
        <w:tc>
          <w:tcPr>
            <w:tcW w:w="1200" w:type="dxa"/>
            <w:tcBorders>
              <w:top w:val="nil"/>
              <w:left w:val="nil"/>
              <w:bottom w:val="single" w:sz="4" w:space="0" w:color="auto"/>
              <w:right w:val="single" w:sz="4" w:space="0" w:color="auto"/>
            </w:tcBorders>
            <w:shd w:val="clear" w:color="auto" w:fill="auto"/>
            <w:noWrap/>
            <w:vAlign w:val="center"/>
            <w:hideMark/>
          </w:tcPr>
          <w:p w14:paraId="07674113" w14:textId="77777777" w:rsidR="00634B8E" w:rsidRPr="00634B8E" w:rsidRDefault="00634B8E" w:rsidP="00234CBE">
            <w:pPr>
              <w:spacing w:line="276" w:lineRule="auto"/>
              <w:jc w:val="center"/>
              <w:rPr>
                <w:rFonts w:ascii="Book Antiqua" w:hAnsi="Book Antiqua" w:cs="Calibri"/>
                <w:b/>
                <w:bCs/>
                <w:color w:val="000000"/>
                <w:sz w:val="16"/>
                <w:szCs w:val="16"/>
                <w:u w:val="single"/>
                <w:lang w:eastAsia="es-CR"/>
              </w:rPr>
            </w:pPr>
            <w:r w:rsidRPr="00634B8E">
              <w:rPr>
                <w:rFonts w:ascii="Book Antiqua" w:hAnsi="Book Antiqua" w:cs="Calibri"/>
                <w:b/>
                <w:bCs/>
                <w:color w:val="000000"/>
                <w:sz w:val="16"/>
                <w:szCs w:val="16"/>
                <w:u w:val="single"/>
                <w:lang w:eastAsia="es-CR"/>
              </w:rPr>
              <w:t>56 882</w:t>
            </w:r>
          </w:p>
        </w:tc>
        <w:tc>
          <w:tcPr>
            <w:tcW w:w="1200" w:type="dxa"/>
            <w:tcBorders>
              <w:top w:val="nil"/>
              <w:left w:val="nil"/>
              <w:bottom w:val="single" w:sz="4" w:space="0" w:color="auto"/>
              <w:right w:val="single" w:sz="4" w:space="0" w:color="auto"/>
            </w:tcBorders>
            <w:shd w:val="clear" w:color="auto" w:fill="auto"/>
            <w:noWrap/>
            <w:vAlign w:val="center"/>
            <w:hideMark/>
          </w:tcPr>
          <w:p w14:paraId="1F383465" w14:textId="77777777" w:rsidR="00634B8E" w:rsidRPr="00634B8E" w:rsidRDefault="00634B8E" w:rsidP="00234CBE">
            <w:pPr>
              <w:spacing w:line="276" w:lineRule="auto"/>
              <w:jc w:val="center"/>
              <w:rPr>
                <w:rFonts w:ascii="Book Antiqua" w:hAnsi="Book Antiqua" w:cs="Calibri"/>
                <w:b/>
                <w:bCs/>
                <w:color w:val="000000"/>
                <w:sz w:val="16"/>
                <w:szCs w:val="16"/>
                <w:u w:val="single"/>
                <w:lang w:eastAsia="es-CR"/>
              </w:rPr>
            </w:pPr>
            <w:r w:rsidRPr="00634B8E">
              <w:rPr>
                <w:rFonts w:ascii="Book Antiqua" w:hAnsi="Book Antiqua" w:cs="Calibri"/>
                <w:b/>
                <w:bCs/>
                <w:color w:val="000000"/>
                <w:sz w:val="16"/>
                <w:szCs w:val="16"/>
                <w:u w:val="single"/>
                <w:lang w:eastAsia="es-CR"/>
              </w:rPr>
              <w:t>-7,71%</w:t>
            </w:r>
          </w:p>
        </w:tc>
        <w:tc>
          <w:tcPr>
            <w:tcW w:w="1320" w:type="dxa"/>
            <w:tcBorders>
              <w:top w:val="nil"/>
              <w:left w:val="nil"/>
              <w:bottom w:val="single" w:sz="4" w:space="0" w:color="auto"/>
              <w:right w:val="single" w:sz="4" w:space="0" w:color="auto"/>
            </w:tcBorders>
            <w:shd w:val="clear" w:color="auto" w:fill="auto"/>
            <w:noWrap/>
            <w:vAlign w:val="center"/>
            <w:hideMark/>
          </w:tcPr>
          <w:p w14:paraId="4A3ECCE6" w14:textId="77777777" w:rsidR="00634B8E" w:rsidRPr="00634B8E" w:rsidRDefault="00634B8E" w:rsidP="00234CBE">
            <w:pPr>
              <w:spacing w:line="276" w:lineRule="auto"/>
              <w:jc w:val="center"/>
              <w:rPr>
                <w:rFonts w:ascii="Book Antiqua" w:hAnsi="Book Antiqua" w:cs="Calibri"/>
                <w:b/>
                <w:bCs/>
                <w:color w:val="000000"/>
                <w:sz w:val="16"/>
                <w:szCs w:val="16"/>
                <w:u w:val="single"/>
                <w:lang w:eastAsia="es-CR"/>
              </w:rPr>
            </w:pPr>
            <w:r w:rsidRPr="00634B8E">
              <w:rPr>
                <w:rFonts w:ascii="Book Antiqua" w:hAnsi="Book Antiqua" w:cs="Calibri"/>
                <w:b/>
                <w:bCs/>
                <w:color w:val="000000"/>
                <w:sz w:val="16"/>
                <w:szCs w:val="16"/>
                <w:u w:val="single"/>
                <w:lang w:eastAsia="es-CR"/>
              </w:rPr>
              <w:t>7,33%</w:t>
            </w:r>
          </w:p>
        </w:tc>
      </w:tr>
      <w:tr w:rsidR="00634B8E" w:rsidRPr="00634B8E" w14:paraId="4889DB21" w14:textId="77777777" w:rsidTr="00634B8E">
        <w:trPr>
          <w:trHeight w:val="290"/>
          <w:jc w:val="center"/>
        </w:trPr>
        <w:tc>
          <w:tcPr>
            <w:tcW w:w="3363" w:type="dxa"/>
            <w:tcBorders>
              <w:top w:val="nil"/>
              <w:left w:val="single" w:sz="4" w:space="0" w:color="auto"/>
              <w:bottom w:val="single" w:sz="4" w:space="0" w:color="auto"/>
              <w:right w:val="single" w:sz="4" w:space="0" w:color="auto"/>
            </w:tcBorders>
            <w:shd w:val="clear" w:color="auto" w:fill="auto"/>
            <w:noWrap/>
            <w:vAlign w:val="center"/>
            <w:hideMark/>
          </w:tcPr>
          <w:p w14:paraId="5E5EE04D" w14:textId="77777777" w:rsidR="00634B8E" w:rsidRPr="00634B8E" w:rsidRDefault="00634B8E" w:rsidP="00234CBE">
            <w:pPr>
              <w:spacing w:line="276" w:lineRule="auto"/>
              <w:jc w:val="center"/>
              <w:rPr>
                <w:rFonts w:ascii="Book Antiqua" w:hAnsi="Book Antiqua" w:cs="Calibri"/>
                <w:b/>
                <w:bCs/>
                <w:color w:val="000000"/>
                <w:sz w:val="16"/>
                <w:szCs w:val="16"/>
                <w:lang w:eastAsia="es-CR"/>
              </w:rPr>
            </w:pPr>
            <w:r w:rsidRPr="00634B8E">
              <w:rPr>
                <w:rFonts w:ascii="Book Antiqua" w:hAnsi="Book Antiqua" w:cs="Calibri"/>
                <w:b/>
                <w:bCs/>
                <w:color w:val="000000"/>
                <w:sz w:val="16"/>
                <w:szCs w:val="16"/>
                <w:lang w:eastAsia="es-CR"/>
              </w:rPr>
              <w:t>II Instancia y Casación</w:t>
            </w:r>
          </w:p>
        </w:tc>
        <w:tc>
          <w:tcPr>
            <w:tcW w:w="1200" w:type="dxa"/>
            <w:tcBorders>
              <w:top w:val="nil"/>
              <w:left w:val="nil"/>
              <w:bottom w:val="single" w:sz="4" w:space="0" w:color="auto"/>
              <w:right w:val="single" w:sz="4" w:space="0" w:color="auto"/>
            </w:tcBorders>
            <w:shd w:val="clear" w:color="auto" w:fill="auto"/>
            <w:noWrap/>
            <w:vAlign w:val="center"/>
            <w:hideMark/>
          </w:tcPr>
          <w:p w14:paraId="78CFC921" w14:textId="77777777" w:rsidR="00634B8E" w:rsidRPr="00634B8E" w:rsidRDefault="00634B8E" w:rsidP="00234CBE">
            <w:pPr>
              <w:spacing w:line="276" w:lineRule="auto"/>
              <w:jc w:val="center"/>
              <w:rPr>
                <w:rFonts w:ascii="Book Antiqua" w:hAnsi="Book Antiqua" w:cs="Calibri"/>
                <w:color w:val="000000"/>
                <w:sz w:val="16"/>
                <w:szCs w:val="16"/>
                <w:lang w:eastAsia="es-CR"/>
              </w:rPr>
            </w:pPr>
            <w:r w:rsidRPr="00634B8E">
              <w:rPr>
                <w:rFonts w:ascii="Book Antiqua" w:hAnsi="Book Antiqua" w:cs="Calibri"/>
                <w:color w:val="000000"/>
                <w:sz w:val="16"/>
                <w:szCs w:val="16"/>
                <w:lang w:eastAsia="es-CR"/>
              </w:rPr>
              <w:t>5129</w:t>
            </w:r>
          </w:p>
        </w:tc>
        <w:tc>
          <w:tcPr>
            <w:tcW w:w="1200" w:type="dxa"/>
            <w:tcBorders>
              <w:top w:val="nil"/>
              <w:left w:val="nil"/>
              <w:bottom w:val="single" w:sz="4" w:space="0" w:color="auto"/>
              <w:right w:val="single" w:sz="4" w:space="0" w:color="auto"/>
            </w:tcBorders>
            <w:shd w:val="clear" w:color="auto" w:fill="auto"/>
            <w:noWrap/>
            <w:vAlign w:val="center"/>
            <w:hideMark/>
          </w:tcPr>
          <w:p w14:paraId="5663EB0D" w14:textId="77777777" w:rsidR="00634B8E" w:rsidRPr="00634B8E" w:rsidRDefault="00634B8E" w:rsidP="00234CBE">
            <w:pPr>
              <w:spacing w:line="276" w:lineRule="auto"/>
              <w:jc w:val="center"/>
              <w:rPr>
                <w:rFonts w:ascii="Book Antiqua" w:hAnsi="Book Antiqua" w:cs="Calibri"/>
                <w:color w:val="000000"/>
                <w:sz w:val="16"/>
                <w:szCs w:val="16"/>
                <w:lang w:eastAsia="es-CR"/>
              </w:rPr>
            </w:pPr>
            <w:r w:rsidRPr="00634B8E">
              <w:rPr>
                <w:rFonts w:ascii="Book Antiqua" w:hAnsi="Book Antiqua" w:cs="Calibri"/>
                <w:color w:val="000000"/>
                <w:sz w:val="16"/>
                <w:szCs w:val="16"/>
                <w:lang w:eastAsia="es-CR"/>
              </w:rPr>
              <w:t>4886</w:t>
            </w:r>
          </w:p>
        </w:tc>
        <w:tc>
          <w:tcPr>
            <w:tcW w:w="1200" w:type="dxa"/>
            <w:tcBorders>
              <w:top w:val="nil"/>
              <w:left w:val="nil"/>
              <w:bottom w:val="single" w:sz="4" w:space="0" w:color="auto"/>
              <w:right w:val="single" w:sz="4" w:space="0" w:color="auto"/>
            </w:tcBorders>
            <w:shd w:val="clear" w:color="auto" w:fill="auto"/>
            <w:noWrap/>
            <w:vAlign w:val="center"/>
            <w:hideMark/>
          </w:tcPr>
          <w:p w14:paraId="523D397F" w14:textId="77777777" w:rsidR="00634B8E" w:rsidRPr="00634B8E" w:rsidRDefault="00634B8E" w:rsidP="00234CBE">
            <w:pPr>
              <w:spacing w:line="276" w:lineRule="auto"/>
              <w:jc w:val="center"/>
              <w:rPr>
                <w:rFonts w:ascii="Book Antiqua" w:hAnsi="Book Antiqua" w:cs="Calibri"/>
                <w:color w:val="000000"/>
                <w:sz w:val="16"/>
                <w:szCs w:val="16"/>
                <w:lang w:eastAsia="es-CR"/>
              </w:rPr>
            </w:pPr>
            <w:r w:rsidRPr="00634B8E">
              <w:rPr>
                <w:rFonts w:ascii="Book Antiqua" w:hAnsi="Book Antiqua" w:cs="Calibri"/>
                <w:color w:val="000000"/>
                <w:sz w:val="16"/>
                <w:szCs w:val="16"/>
                <w:lang w:eastAsia="es-CR"/>
              </w:rPr>
              <w:t>5213</w:t>
            </w:r>
          </w:p>
        </w:tc>
        <w:tc>
          <w:tcPr>
            <w:tcW w:w="1200" w:type="dxa"/>
            <w:tcBorders>
              <w:top w:val="nil"/>
              <w:left w:val="nil"/>
              <w:bottom w:val="single" w:sz="4" w:space="0" w:color="auto"/>
              <w:right w:val="single" w:sz="4" w:space="0" w:color="auto"/>
            </w:tcBorders>
            <w:shd w:val="clear" w:color="auto" w:fill="auto"/>
            <w:noWrap/>
            <w:vAlign w:val="center"/>
            <w:hideMark/>
          </w:tcPr>
          <w:p w14:paraId="11D3ACEF" w14:textId="77777777" w:rsidR="00634B8E" w:rsidRPr="00634B8E" w:rsidRDefault="00634B8E" w:rsidP="00234CBE">
            <w:pPr>
              <w:spacing w:line="276" w:lineRule="auto"/>
              <w:jc w:val="center"/>
              <w:rPr>
                <w:rFonts w:ascii="Book Antiqua" w:hAnsi="Book Antiqua" w:cs="Calibri"/>
                <w:color w:val="000000"/>
                <w:sz w:val="16"/>
                <w:szCs w:val="16"/>
                <w:lang w:eastAsia="es-CR"/>
              </w:rPr>
            </w:pPr>
            <w:r w:rsidRPr="00634B8E">
              <w:rPr>
                <w:rFonts w:ascii="Book Antiqua" w:hAnsi="Book Antiqua" w:cs="Calibri"/>
                <w:color w:val="000000"/>
                <w:sz w:val="16"/>
                <w:szCs w:val="16"/>
                <w:lang w:eastAsia="es-CR"/>
              </w:rPr>
              <w:t>1,62%</w:t>
            </w:r>
          </w:p>
        </w:tc>
        <w:tc>
          <w:tcPr>
            <w:tcW w:w="1320" w:type="dxa"/>
            <w:tcBorders>
              <w:top w:val="nil"/>
              <w:left w:val="nil"/>
              <w:bottom w:val="single" w:sz="4" w:space="0" w:color="auto"/>
              <w:right w:val="single" w:sz="4" w:space="0" w:color="auto"/>
            </w:tcBorders>
            <w:shd w:val="clear" w:color="auto" w:fill="auto"/>
            <w:noWrap/>
            <w:vAlign w:val="center"/>
            <w:hideMark/>
          </w:tcPr>
          <w:p w14:paraId="009E009B" w14:textId="77777777" w:rsidR="00634B8E" w:rsidRPr="00634B8E" w:rsidRDefault="00634B8E" w:rsidP="00234CBE">
            <w:pPr>
              <w:spacing w:line="276" w:lineRule="auto"/>
              <w:jc w:val="center"/>
              <w:rPr>
                <w:rFonts w:ascii="Book Antiqua" w:hAnsi="Book Antiqua" w:cs="Calibri"/>
                <w:color w:val="000000"/>
                <w:sz w:val="16"/>
                <w:szCs w:val="16"/>
                <w:lang w:eastAsia="es-CR"/>
              </w:rPr>
            </w:pPr>
            <w:r w:rsidRPr="00634B8E">
              <w:rPr>
                <w:rFonts w:ascii="Book Antiqua" w:hAnsi="Book Antiqua" w:cs="Calibri"/>
                <w:color w:val="000000"/>
                <w:sz w:val="16"/>
                <w:szCs w:val="16"/>
                <w:lang w:eastAsia="es-CR"/>
              </w:rPr>
              <w:t>6,69%</w:t>
            </w:r>
          </w:p>
        </w:tc>
      </w:tr>
      <w:tr w:rsidR="00634B8E" w:rsidRPr="00634B8E" w14:paraId="3CA1583F" w14:textId="77777777" w:rsidTr="00634B8E">
        <w:trPr>
          <w:trHeight w:val="290"/>
          <w:jc w:val="center"/>
        </w:trPr>
        <w:tc>
          <w:tcPr>
            <w:tcW w:w="3363" w:type="dxa"/>
            <w:tcBorders>
              <w:top w:val="nil"/>
              <w:left w:val="single" w:sz="4" w:space="0" w:color="auto"/>
              <w:bottom w:val="single" w:sz="4" w:space="0" w:color="auto"/>
              <w:right w:val="single" w:sz="4" w:space="0" w:color="auto"/>
            </w:tcBorders>
            <w:shd w:val="clear" w:color="auto" w:fill="auto"/>
            <w:noWrap/>
            <w:vAlign w:val="center"/>
            <w:hideMark/>
          </w:tcPr>
          <w:p w14:paraId="6BA849E4" w14:textId="77777777" w:rsidR="00634B8E" w:rsidRPr="00634B8E" w:rsidRDefault="00634B8E" w:rsidP="00234CBE">
            <w:pPr>
              <w:spacing w:line="276" w:lineRule="auto"/>
              <w:jc w:val="center"/>
              <w:rPr>
                <w:rFonts w:ascii="Book Antiqua" w:hAnsi="Book Antiqua" w:cs="Calibri"/>
                <w:b/>
                <w:bCs/>
                <w:color w:val="000000"/>
                <w:sz w:val="16"/>
                <w:szCs w:val="16"/>
                <w:lang w:eastAsia="es-CR"/>
              </w:rPr>
            </w:pPr>
            <w:r w:rsidRPr="00634B8E">
              <w:rPr>
                <w:rFonts w:ascii="Book Antiqua" w:hAnsi="Book Antiqua" w:cs="Calibri"/>
                <w:b/>
                <w:bCs/>
                <w:color w:val="000000"/>
                <w:sz w:val="16"/>
                <w:szCs w:val="16"/>
                <w:lang w:eastAsia="es-CR"/>
              </w:rPr>
              <w:t>Penal</w:t>
            </w:r>
          </w:p>
        </w:tc>
        <w:tc>
          <w:tcPr>
            <w:tcW w:w="1200" w:type="dxa"/>
            <w:tcBorders>
              <w:top w:val="nil"/>
              <w:left w:val="nil"/>
              <w:bottom w:val="single" w:sz="4" w:space="0" w:color="auto"/>
              <w:right w:val="single" w:sz="4" w:space="0" w:color="auto"/>
            </w:tcBorders>
            <w:shd w:val="clear" w:color="auto" w:fill="auto"/>
            <w:noWrap/>
            <w:vAlign w:val="center"/>
            <w:hideMark/>
          </w:tcPr>
          <w:p w14:paraId="3227B161" w14:textId="77777777" w:rsidR="00634B8E" w:rsidRPr="00634B8E" w:rsidRDefault="00634B8E" w:rsidP="00234CBE">
            <w:pPr>
              <w:spacing w:line="276" w:lineRule="auto"/>
              <w:jc w:val="center"/>
              <w:rPr>
                <w:rFonts w:ascii="Book Antiqua" w:hAnsi="Book Antiqua" w:cs="Calibri"/>
                <w:color w:val="000000"/>
                <w:sz w:val="16"/>
                <w:szCs w:val="16"/>
                <w:lang w:eastAsia="es-CR"/>
              </w:rPr>
            </w:pPr>
            <w:r w:rsidRPr="00634B8E">
              <w:rPr>
                <w:rFonts w:ascii="Book Antiqua" w:hAnsi="Book Antiqua" w:cs="Calibri"/>
                <w:color w:val="000000"/>
                <w:sz w:val="16"/>
                <w:szCs w:val="16"/>
                <w:lang w:eastAsia="es-CR"/>
              </w:rPr>
              <w:t>16282</w:t>
            </w:r>
          </w:p>
        </w:tc>
        <w:tc>
          <w:tcPr>
            <w:tcW w:w="1200" w:type="dxa"/>
            <w:tcBorders>
              <w:top w:val="nil"/>
              <w:left w:val="nil"/>
              <w:bottom w:val="single" w:sz="4" w:space="0" w:color="auto"/>
              <w:right w:val="single" w:sz="4" w:space="0" w:color="auto"/>
            </w:tcBorders>
            <w:shd w:val="clear" w:color="auto" w:fill="auto"/>
            <w:noWrap/>
            <w:vAlign w:val="center"/>
            <w:hideMark/>
          </w:tcPr>
          <w:p w14:paraId="37CCB253" w14:textId="77777777" w:rsidR="00634B8E" w:rsidRPr="00634B8E" w:rsidRDefault="00634B8E" w:rsidP="00234CBE">
            <w:pPr>
              <w:spacing w:line="276" w:lineRule="auto"/>
              <w:jc w:val="center"/>
              <w:rPr>
                <w:rFonts w:ascii="Book Antiqua" w:hAnsi="Book Antiqua" w:cs="Calibri"/>
                <w:color w:val="000000"/>
                <w:sz w:val="16"/>
                <w:szCs w:val="16"/>
                <w:lang w:eastAsia="es-CR"/>
              </w:rPr>
            </w:pPr>
            <w:r w:rsidRPr="00634B8E">
              <w:rPr>
                <w:rFonts w:ascii="Book Antiqua" w:hAnsi="Book Antiqua" w:cs="Calibri"/>
                <w:color w:val="000000"/>
                <w:sz w:val="16"/>
                <w:szCs w:val="16"/>
                <w:lang w:eastAsia="es-CR"/>
              </w:rPr>
              <w:t>14437</w:t>
            </w:r>
          </w:p>
        </w:tc>
        <w:tc>
          <w:tcPr>
            <w:tcW w:w="1200" w:type="dxa"/>
            <w:tcBorders>
              <w:top w:val="nil"/>
              <w:left w:val="nil"/>
              <w:bottom w:val="single" w:sz="4" w:space="0" w:color="auto"/>
              <w:right w:val="single" w:sz="4" w:space="0" w:color="auto"/>
            </w:tcBorders>
            <w:shd w:val="clear" w:color="auto" w:fill="auto"/>
            <w:noWrap/>
            <w:vAlign w:val="center"/>
            <w:hideMark/>
          </w:tcPr>
          <w:p w14:paraId="42E1FD0F" w14:textId="77777777" w:rsidR="00634B8E" w:rsidRPr="00634B8E" w:rsidRDefault="00634B8E" w:rsidP="00234CBE">
            <w:pPr>
              <w:spacing w:line="276" w:lineRule="auto"/>
              <w:jc w:val="center"/>
              <w:rPr>
                <w:rFonts w:ascii="Book Antiqua" w:hAnsi="Book Antiqua" w:cs="Calibri"/>
                <w:color w:val="000000"/>
                <w:sz w:val="16"/>
                <w:szCs w:val="16"/>
                <w:lang w:eastAsia="es-CR"/>
              </w:rPr>
            </w:pPr>
            <w:r w:rsidRPr="00634B8E">
              <w:rPr>
                <w:rFonts w:ascii="Book Antiqua" w:hAnsi="Book Antiqua" w:cs="Calibri"/>
                <w:color w:val="000000"/>
                <w:sz w:val="16"/>
                <w:szCs w:val="16"/>
                <w:lang w:eastAsia="es-CR"/>
              </w:rPr>
              <w:t>15755</w:t>
            </w:r>
          </w:p>
        </w:tc>
        <w:tc>
          <w:tcPr>
            <w:tcW w:w="1200" w:type="dxa"/>
            <w:tcBorders>
              <w:top w:val="nil"/>
              <w:left w:val="nil"/>
              <w:bottom w:val="single" w:sz="4" w:space="0" w:color="auto"/>
              <w:right w:val="single" w:sz="4" w:space="0" w:color="auto"/>
            </w:tcBorders>
            <w:shd w:val="clear" w:color="auto" w:fill="auto"/>
            <w:noWrap/>
            <w:vAlign w:val="center"/>
            <w:hideMark/>
          </w:tcPr>
          <w:p w14:paraId="72B5F94B" w14:textId="77777777" w:rsidR="00634B8E" w:rsidRPr="00634B8E" w:rsidRDefault="00634B8E" w:rsidP="00234CBE">
            <w:pPr>
              <w:spacing w:line="276" w:lineRule="auto"/>
              <w:jc w:val="center"/>
              <w:rPr>
                <w:rFonts w:ascii="Book Antiqua" w:hAnsi="Book Antiqua" w:cs="Calibri"/>
                <w:color w:val="000000"/>
                <w:sz w:val="16"/>
                <w:szCs w:val="16"/>
                <w:lang w:eastAsia="es-CR"/>
              </w:rPr>
            </w:pPr>
            <w:r w:rsidRPr="00634B8E">
              <w:rPr>
                <w:rFonts w:ascii="Book Antiqua" w:hAnsi="Book Antiqua" w:cs="Calibri"/>
                <w:color w:val="000000"/>
                <w:sz w:val="16"/>
                <w:szCs w:val="16"/>
                <w:lang w:eastAsia="es-CR"/>
              </w:rPr>
              <w:t>-3,23%</w:t>
            </w:r>
          </w:p>
        </w:tc>
        <w:tc>
          <w:tcPr>
            <w:tcW w:w="1320" w:type="dxa"/>
            <w:tcBorders>
              <w:top w:val="nil"/>
              <w:left w:val="nil"/>
              <w:bottom w:val="single" w:sz="4" w:space="0" w:color="auto"/>
              <w:right w:val="single" w:sz="4" w:space="0" w:color="auto"/>
            </w:tcBorders>
            <w:shd w:val="clear" w:color="auto" w:fill="auto"/>
            <w:noWrap/>
            <w:vAlign w:val="center"/>
            <w:hideMark/>
          </w:tcPr>
          <w:p w14:paraId="4A29B213" w14:textId="77777777" w:rsidR="00634B8E" w:rsidRPr="00634B8E" w:rsidRDefault="00634B8E" w:rsidP="00234CBE">
            <w:pPr>
              <w:spacing w:line="276" w:lineRule="auto"/>
              <w:jc w:val="center"/>
              <w:rPr>
                <w:rFonts w:ascii="Book Antiqua" w:hAnsi="Book Antiqua" w:cs="Calibri"/>
                <w:color w:val="000000"/>
                <w:sz w:val="16"/>
                <w:szCs w:val="16"/>
                <w:lang w:eastAsia="es-CR"/>
              </w:rPr>
            </w:pPr>
            <w:r w:rsidRPr="00634B8E">
              <w:rPr>
                <w:rFonts w:ascii="Book Antiqua" w:hAnsi="Book Antiqua" w:cs="Calibri"/>
                <w:color w:val="000000"/>
                <w:sz w:val="16"/>
                <w:szCs w:val="16"/>
                <w:lang w:eastAsia="es-CR"/>
              </w:rPr>
              <w:t>9,13%</w:t>
            </w:r>
          </w:p>
        </w:tc>
      </w:tr>
      <w:tr w:rsidR="00634B8E" w:rsidRPr="00634B8E" w14:paraId="541EE39B" w14:textId="77777777" w:rsidTr="00634B8E">
        <w:trPr>
          <w:trHeight w:val="290"/>
          <w:jc w:val="center"/>
        </w:trPr>
        <w:tc>
          <w:tcPr>
            <w:tcW w:w="3363" w:type="dxa"/>
            <w:tcBorders>
              <w:top w:val="nil"/>
              <w:left w:val="single" w:sz="4" w:space="0" w:color="auto"/>
              <w:bottom w:val="single" w:sz="4" w:space="0" w:color="auto"/>
              <w:right w:val="single" w:sz="4" w:space="0" w:color="auto"/>
            </w:tcBorders>
            <w:shd w:val="clear" w:color="auto" w:fill="auto"/>
            <w:noWrap/>
            <w:vAlign w:val="center"/>
            <w:hideMark/>
          </w:tcPr>
          <w:p w14:paraId="14C33E75" w14:textId="77777777" w:rsidR="00634B8E" w:rsidRPr="00634B8E" w:rsidRDefault="00634B8E" w:rsidP="00234CBE">
            <w:pPr>
              <w:spacing w:line="276" w:lineRule="auto"/>
              <w:jc w:val="center"/>
              <w:rPr>
                <w:rFonts w:ascii="Book Antiqua" w:hAnsi="Book Antiqua" w:cs="Calibri"/>
                <w:b/>
                <w:bCs/>
                <w:color w:val="000000"/>
                <w:sz w:val="16"/>
                <w:szCs w:val="16"/>
                <w:lang w:eastAsia="es-CR"/>
              </w:rPr>
            </w:pPr>
            <w:r w:rsidRPr="00634B8E">
              <w:rPr>
                <w:rFonts w:ascii="Book Antiqua" w:hAnsi="Book Antiqua" w:cs="Calibri"/>
                <w:b/>
                <w:bCs/>
                <w:color w:val="000000"/>
                <w:sz w:val="16"/>
                <w:szCs w:val="16"/>
                <w:lang w:eastAsia="es-CR"/>
              </w:rPr>
              <w:t>No Penal</w:t>
            </w:r>
          </w:p>
        </w:tc>
        <w:tc>
          <w:tcPr>
            <w:tcW w:w="1200" w:type="dxa"/>
            <w:tcBorders>
              <w:top w:val="nil"/>
              <w:left w:val="nil"/>
              <w:bottom w:val="single" w:sz="4" w:space="0" w:color="auto"/>
              <w:right w:val="single" w:sz="4" w:space="0" w:color="auto"/>
            </w:tcBorders>
            <w:shd w:val="clear" w:color="auto" w:fill="auto"/>
            <w:noWrap/>
            <w:vAlign w:val="center"/>
            <w:hideMark/>
          </w:tcPr>
          <w:p w14:paraId="213FD29E" w14:textId="77777777" w:rsidR="00634B8E" w:rsidRPr="00634B8E" w:rsidRDefault="00634B8E" w:rsidP="00234CBE">
            <w:pPr>
              <w:spacing w:line="276" w:lineRule="auto"/>
              <w:jc w:val="center"/>
              <w:rPr>
                <w:rFonts w:ascii="Book Antiqua" w:hAnsi="Book Antiqua" w:cs="Calibri"/>
                <w:color w:val="000000"/>
                <w:sz w:val="16"/>
                <w:szCs w:val="16"/>
                <w:lang w:eastAsia="es-CR"/>
              </w:rPr>
            </w:pPr>
            <w:r w:rsidRPr="00634B8E">
              <w:rPr>
                <w:rFonts w:ascii="Book Antiqua" w:hAnsi="Book Antiqua" w:cs="Calibri"/>
                <w:color w:val="000000"/>
                <w:sz w:val="16"/>
                <w:szCs w:val="16"/>
                <w:lang w:eastAsia="es-CR"/>
              </w:rPr>
              <w:t>40221</w:t>
            </w:r>
          </w:p>
        </w:tc>
        <w:tc>
          <w:tcPr>
            <w:tcW w:w="1200" w:type="dxa"/>
            <w:tcBorders>
              <w:top w:val="nil"/>
              <w:left w:val="nil"/>
              <w:bottom w:val="single" w:sz="4" w:space="0" w:color="auto"/>
              <w:right w:val="single" w:sz="4" w:space="0" w:color="auto"/>
            </w:tcBorders>
            <w:shd w:val="clear" w:color="auto" w:fill="auto"/>
            <w:noWrap/>
            <w:vAlign w:val="center"/>
            <w:hideMark/>
          </w:tcPr>
          <w:p w14:paraId="287FAF26" w14:textId="77777777" w:rsidR="00634B8E" w:rsidRPr="00634B8E" w:rsidRDefault="00634B8E" w:rsidP="00234CBE">
            <w:pPr>
              <w:spacing w:line="276" w:lineRule="auto"/>
              <w:jc w:val="center"/>
              <w:rPr>
                <w:rFonts w:ascii="Book Antiqua" w:hAnsi="Book Antiqua" w:cs="Calibri"/>
                <w:color w:val="000000"/>
                <w:sz w:val="16"/>
                <w:szCs w:val="16"/>
                <w:lang w:eastAsia="es-CR"/>
              </w:rPr>
            </w:pPr>
            <w:r w:rsidRPr="00634B8E">
              <w:rPr>
                <w:rFonts w:ascii="Book Antiqua" w:hAnsi="Book Antiqua" w:cs="Calibri"/>
                <w:color w:val="000000"/>
                <w:sz w:val="16"/>
                <w:szCs w:val="16"/>
                <w:lang w:eastAsia="es-CR"/>
              </w:rPr>
              <w:t>33675</w:t>
            </w:r>
          </w:p>
        </w:tc>
        <w:tc>
          <w:tcPr>
            <w:tcW w:w="1200" w:type="dxa"/>
            <w:tcBorders>
              <w:top w:val="nil"/>
              <w:left w:val="nil"/>
              <w:bottom w:val="single" w:sz="4" w:space="0" w:color="auto"/>
              <w:right w:val="single" w:sz="4" w:space="0" w:color="auto"/>
            </w:tcBorders>
            <w:shd w:val="clear" w:color="auto" w:fill="auto"/>
            <w:noWrap/>
            <w:vAlign w:val="center"/>
            <w:hideMark/>
          </w:tcPr>
          <w:p w14:paraId="456EFDAD" w14:textId="77777777" w:rsidR="00634B8E" w:rsidRPr="00634B8E" w:rsidRDefault="00634B8E" w:rsidP="00234CBE">
            <w:pPr>
              <w:spacing w:line="276" w:lineRule="auto"/>
              <w:jc w:val="center"/>
              <w:rPr>
                <w:rFonts w:ascii="Book Antiqua" w:hAnsi="Book Antiqua" w:cs="Calibri"/>
                <w:color w:val="000000"/>
                <w:sz w:val="16"/>
                <w:szCs w:val="16"/>
                <w:lang w:eastAsia="es-CR"/>
              </w:rPr>
            </w:pPr>
            <w:r w:rsidRPr="00634B8E">
              <w:rPr>
                <w:rFonts w:ascii="Book Antiqua" w:hAnsi="Book Antiqua" w:cs="Calibri"/>
                <w:color w:val="000000"/>
                <w:sz w:val="16"/>
                <w:szCs w:val="16"/>
                <w:lang w:eastAsia="es-CR"/>
              </w:rPr>
              <w:t>35915</w:t>
            </w:r>
          </w:p>
        </w:tc>
        <w:tc>
          <w:tcPr>
            <w:tcW w:w="1200" w:type="dxa"/>
            <w:tcBorders>
              <w:top w:val="nil"/>
              <w:left w:val="nil"/>
              <w:bottom w:val="single" w:sz="4" w:space="0" w:color="auto"/>
              <w:right w:val="single" w:sz="4" w:space="0" w:color="auto"/>
            </w:tcBorders>
            <w:shd w:val="clear" w:color="auto" w:fill="auto"/>
            <w:noWrap/>
            <w:vAlign w:val="center"/>
            <w:hideMark/>
          </w:tcPr>
          <w:p w14:paraId="4E06AA84" w14:textId="77777777" w:rsidR="00634B8E" w:rsidRPr="00634B8E" w:rsidRDefault="00634B8E" w:rsidP="00234CBE">
            <w:pPr>
              <w:spacing w:line="276" w:lineRule="auto"/>
              <w:jc w:val="center"/>
              <w:rPr>
                <w:rFonts w:ascii="Book Antiqua" w:hAnsi="Book Antiqua" w:cs="Calibri"/>
                <w:color w:val="000000"/>
                <w:sz w:val="16"/>
                <w:szCs w:val="16"/>
                <w:lang w:eastAsia="es-CR"/>
              </w:rPr>
            </w:pPr>
            <w:r w:rsidRPr="00634B8E">
              <w:rPr>
                <w:rFonts w:ascii="Book Antiqua" w:hAnsi="Book Antiqua" w:cs="Calibri"/>
                <w:color w:val="000000"/>
                <w:sz w:val="16"/>
                <w:szCs w:val="16"/>
                <w:lang w:eastAsia="es-CR"/>
              </w:rPr>
              <w:t>-10,71%</w:t>
            </w:r>
          </w:p>
        </w:tc>
        <w:tc>
          <w:tcPr>
            <w:tcW w:w="1320" w:type="dxa"/>
            <w:tcBorders>
              <w:top w:val="nil"/>
              <w:left w:val="nil"/>
              <w:bottom w:val="single" w:sz="4" w:space="0" w:color="auto"/>
              <w:right w:val="single" w:sz="4" w:space="0" w:color="auto"/>
            </w:tcBorders>
            <w:shd w:val="clear" w:color="auto" w:fill="auto"/>
            <w:noWrap/>
            <w:vAlign w:val="center"/>
            <w:hideMark/>
          </w:tcPr>
          <w:p w14:paraId="70C86D88" w14:textId="77777777" w:rsidR="00634B8E" w:rsidRPr="00634B8E" w:rsidRDefault="00634B8E" w:rsidP="00234CBE">
            <w:pPr>
              <w:spacing w:line="276" w:lineRule="auto"/>
              <w:jc w:val="center"/>
              <w:rPr>
                <w:rFonts w:ascii="Book Antiqua" w:hAnsi="Book Antiqua" w:cs="Calibri"/>
                <w:color w:val="000000"/>
                <w:sz w:val="16"/>
                <w:szCs w:val="16"/>
                <w:lang w:eastAsia="es-CR"/>
              </w:rPr>
            </w:pPr>
            <w:r w:rsidRPr="00634B8E">
              <w:rPr>
                <w:rFonts w:ascii="Book Antiqua" w:hAnsi="Book Antiqua" w:cs="Calibri"/>
                <w:color w:val="000000"/>
                <w:sz w:val="16"/>
                <w:szCs w:val="16"/>
                <w:lang w:eastAsia="es-CR"/>
              </w:rPr>
              <w:t>6,65%</w:t>
            </w:r>
          </w:p>
        </w:tc>
      </w:tr>
      <w:tr w:rsidR="00634B8E" w:rsidRPr="00634B8E" w14:paraId="160480D0" w14:textId="77777777" w:rsidTr="00634B8E">
        <w:trPr>
          <w:trHeight w:val="290"/>
          <w:jc w:val="center"/>
        </w:trPr>
        <w:tc>
          <w:tcPr>
            <w:tcW w:w="3363" w:type="dxa"/>
            <w:tcBorders>
              <w:top w:val="nil"/>
              <w:left w:val="single" w:sz="4" w:space="0" w:color="auto"/>
              <w:bottom w:val="single" w:sz="4" w:space="0" w:color="auto"/>
              <w:right w:val="single" w:sz="4" w:space="0" w:color="auto"/>
            </w:tcBorders>
            <w:shd w:val="clear" w:color="auto" w:fill="auto"/>
            <w:noWrap/>
            <w:vAlign w:val="center"/>
            <w:hideMark/>
          </w:tcPr>
          <w:p w14:paraId="400E8C0C" w14:textId="77777777" w:rsidR="00634B8E" w:rsidRPr="00634B8E" w:rsidRDefault="00634B8E" w:rsidP="00234CBE">
            <w:pPr>
              <w:spacing w:line="276" w:lineRule="auto"/>
              <w:jc w:val="right"/>
              <w:rPr>
                <w:rFonts w:ascii="Book Antiqua" w:hAnsi="Book Antiqua" w:cs="Calibri"/>
                <w:color w:val="000000"/>
                <w:sz w:val="16"/>
                <w:szCs w:val="16"/>
                <w:lang w:eastAsia="es-CR"/>
              </w:rPr>
            </w:pPr>
            <w:r w:rsidRPr="00634B8E">
              <w:rPr>
                <w:rFonts w:ascii="Book Antiqua" w:hAnsi="Book Antiqua" w:cs="Calibri"/>
                <w:color w:val="000000"/>
                <w:sz w:val="16"/>
                <w:szCs w:val="16"/>
                <w:lang w:eastAsia="es-CR"/>
              </w:rPr>
              <w:t> </w:t>
            </w:r>
          </w:p>
        </w:tc>
        <w:tc>
          <w:tcPr>
            <w:tcW w:w="1200" w:type="dxa"/>
            <w:tcBorders>
              <w:top w:val="nil"/>
              <w:left w:val="nil"/>
              <w:bottom w:val="single" w:sz="4" w:space="0" w:color="auto"/>
              <w:right w:val="single" w:sz="4" w:space="0" w:color="auto"/>
            </w:tcBorders>
            <w:shd w:val="clear" w:color="auto" w:fill="auto"/>
            <w:noWrap/>
            <w:vAlign w:val="center"/>
            <w:hideMark/>
          </w:tcPr>
          <w:p w14:paraId="091F80EE" w14:textId="77777777" w:rsidR="00634B8E" w:rsidRPr="00634B8E" w:rsidRDefault="00634B8E" w:rsidP="00234CBE">
            <w:pPr>
              <w:spacing w:line="276" w:lineRule="auto"/>
              <w:jc w:val="center"/>
              <w:rPr>
                <w:rFonts w:ascii="Book Antiqua" w:hAnsi="Book Antiqua" w:cs="Calibri"/>
                <w:color w:val="000000"/>
                <w:sz w:val="16"/>
                <w:szCs w:val="16"/>
                <w:lang w:eastAsia="es-CR"/>
              </w:rPr>
            </w:pPr>
            <w:r w:rsidRPr="00634B8E">
              <w:rPr>
                <w:rFonts w:ascii="Book Antiqua" w:hAnsi="Book Antiqua" w:cs="Calibri"/>
                <w:color w:val="000000"/>
                <w:sz w:val="16"/>
                <w:szCs w:val="16"/>
                <w:lang w:eastAsia="es-CR"/>
              </w:rPr>
              <w:t> </w:t>
            </w:r>
          </w:p>
        </w:tc>
        <w:tc>
          <w:tcPr>
            <w:tcW w:w="1200" w:type="dxa"/>
            <w:tcBorders>
              <w:top w:val="nil"/>
              <w:left w:val="nil"/>
              <w:bottom w:val="single" w:sz="4" w:space="0" w:color="auto"/>
              <w:right w:val="single" w:sz="4" w:space="0" w:color="auto"/>
            </w:tcBorders>
            <w:shd w:val="clear" w:color="auto" w:fill="auto"/>
            <w:noWrap/>
            <w:vAlign w:val="center"/>
            <w:hideMark/>
          </w:tcPr>
          <w:p w14:paraId="18A1D267" w14:textId="77777777" w:rsidR="00634B8E" w:rsidRPr="00634B8E" w:rsidRDefault="00634B8E" w:rsidP="00234CBE">
            <w:pPr>
              <w:spacing w:line="276" w:lineRule="auto"/>
              <w:jc w:val="center"/>
              <w:rPr>
                <w:rFonts w:ascii="Book Antiqua" w:hAnsi="Book Antiqua" w:cs="Calibri"/>
                <w:color w:val="000000"/>
                <w:sz w:val="16"/>
                <w:szCs w:val="16"/>
                <w:lang w:eastAsia="es-CR"/>
              </w:rPr>
            </w:pPr>
            <w:r w:rsidRPr="00634B8E">
              <w:rPr>
                <w:rFonts w:ascii="Book Antiqua" w:hAnsi="Book Antiqua" w:cs="Calibri"/>
                <w:color w:val="000000"/>
                <w:sz w:val="16"/>
                <w:szCs w:val="16"/>
                <w:lang w:eastAsia="es-CR"/>
              </w:rPr>
              <w:t> </w:t>
            </w:r>
          </w:p>
        </w:tc>
        <w:tc>
          <w:tcPr>
            <w:tcW w:w="1200" w:type="dxa"/>
            <w:tcBorders>
              <w:top w:val="nil"/>
              <w:left w:val="nil"/>
              <w:bottom w:val="single" w:sz="4" w:space="0" w:color="auto"/>
              <w:right w:val="single" w:sz="4" w:space="0" w:color="auto"/>
            </w:tcBorders>
            <w:shd w:val="clear" w:color="auto" w:fill="auto"/>
            <w:noWrap/>
            <w:vAlign w:val="center"/>
            <w:hideMark/>
          </w:tcPr>
          <w:p w14:paraId="131165C7" w14:textId="77777777" w:rsidR="00634B8E" w:rsidRPr="00634B8E" w:rsidRDefault="00634B8E" w:rsidP="00234CBE">
            <w:pPr>
              <w:spacing w:line="276" w:lineRule="auto"/>
              <w:jc w:val="center"/>
              <w:rPr>
                <w:rFonts w:ascii="Book Antiqua" w:hAnsi="Book Antiqua" w:cs="Calibri"/>
                <w:color w:val="000000"/>
                <w:sz w:val="16"/>
                <w:szCs w:val="16"/>
                <w:lang w:eastAsia="es-CR"/>
              </w:rPr>
            </w:pPr>
            <w:r w:rsidRPr="00634B8E">
              <w:rPr>
                <w:rFonts w:ascii="Book Antiqua" w:hAnsi="Book Antiqua" w:cs="Calibri"/>
                <w:color w:val="000000"/>
                <w:sz w:val="16"/>
                <w:szCs w:val="16"/>
                <w:lang w:eastAsia="es-CR"/>
              </w:rPr>
              <w:t> </w:t>
            </w:r>
          </w:p>
        </w:tc>
        <w:tc>
          <w:tcPr>
            <w:tcW w:w="1200" w:type="dxa"/>
            <w:tcBorders>
              <w:top w:val="nil"/>
              <w:left w:val="nil"/>
              <w:bottom w:val="single" w:sz="4" w:space="0" w:color="auto"/>
              <w:right w:val="single" w:sz="4" w:space="0" w:color="auto"/>
            </w:tcBorders>
            <w:shd w:val="clear" w:color="auto" w:fill="auto"/>
            <w:noWrap/>
            <w:vAlign w:val="center"/>
            <w:hideMark/>
          </w:tcPr>
          <w:p w14:paraId="1D7A4B27" w14:textId="77777777" w:rsidR="00634B8E" w:rsidRPr="00634B8E" w:rsidRDefault="00634B8E" w:rsidP="00234CBE">
            <w:pPr>
              <w:spacing w:line="276" w:lineRule="auto"/>
              <w:jc w:val="center"/>
              <w:rPr>
                <w:rFonts w:ascii="Book Antiqua" w:hAnsi="Book Antiqua" w:cs="Calibri"/>
                <w:color w:val="000000"/>
                <w:sz w:val="16"/>
                <w:szCs w:val="16"/>
                <w:lang w:eastAsia="es-CR"/>
              </w:rPr>
            </w:pPr>
            <w:r w:rsidRPr="00634B8E">
              <w:rPr>
                <w:rFonts w:ascii="Book Antiqua" w:hAnsi="Book Antiqua" w:cs="Calibri"/>
                <w:color w:val="000000"/>
                <w:sz w:val="16"/>
                <w:szCs w:val="16"/>
                <w:lang w:eastAsia="es-CR"/>
              </w:rPr>
              <w:t> </w:t>
            </w:r>
          </w:p>
        </w:tc>
        <w:tc>
          <w:tcPr>
            <w:tcW w:w="1320" w:type="dxa"/>
            <w:tcBorders>
              <w:top w:val="nil"/>
              <w:left w:val="nil"/>
              <w:bottom w:val="single" w:sz="4" w:space="0" w:color="auto"/>
              <w:right w:val="single" w:sz="4" w:space="0" w:color="auto"/>
            </w:tcBorders>
            <w:shd w:val="clear" w:color="auto" w:fill="auto"/>
            <w:noWrap/>
            <w:vAlign w:val="center"/>
            <w:hideMark/>
          </w:tcPr>
          <w:p w14:paraId="77A1D20F" w14:textId="77777777" w:rsidR="00634B8E" w:rsidRPr="00634B8E" w:rsidRDefault="00634B8E" w:rsidP="00234CBE">
            <w:pPr>
              <w:spacing w:line="276" w:lineRule="auto"/>
              <w:jc w:val="center"/>
              <w:rPr>
                <w:rFonts w:ascii="Book Antiqua" w:hAnsi="Book Antiqua" w:cs="Calibri"/>
                <w:color w:val="000000"/>
                <w:sz w:val="16"/>
                <w:szCs w:val="16"/>
                <w:lang w:eastAsia="es-CR"/>
              </w:rPr>
            </w:pPr>
            <w:r w:rsidRPr="00634B8E">
              <w:rPr>
                <w:rFonts w:ascii="Book Antiqua" w:hAnsi="Book Antiqua" w:cs="Calibri"/>
                <w:color w:val="000000"/>
                <w:sz w:val="16"/>
                <w:szCs w:val="16"/>
                <w:lang w:eastAsia="es-CR"/>
              </w:rPr>
              <w:t> </w:t>
            </w:r>
          </w:p>
        </w:tc>
      </w:tr>
      <w:tr w:rsidR="00634B8E" w:rsidRPr="00634B8E" w14:paraId="04DE487C" w14:textId="77777777" w:rsidTr="00634B8E">
        <w:trPr>
          <w:trHeight w:val="440"/>
          <w:jc w:val="center"/>
        </w:trPr>
        <w:tc>
          <w:tcPr>
            <w:tcW w:w="3363" w:type="dxa"/>
            <w:tcBorders>
              <w:top w:val="nil"/>
              <w:left w:val="single" w:sz="4" w:space="0" w:color="auto"/>
              <w:bottom w:val="single" w:sz="4" w:space="0" w:color="auto"/>
              <w:right w:val="single" w:sz="4" w:space="0" w:color="auto"/>
            </w:tcBorders>
            <w:shd w:val="clear" w:color="000000" w:fill="305496"/>
            <w:vAlign w:val="center"/>
            <w:hideMark/>
          </w:tcPr>
          <w:p w14:paraId="45CE6CAD" w14:textId="77777777" w:rsidR="00634B8E" w:rsidRPr="00634B8E" w:rsidRDefault="00634B8E" w:rsidP="00234CBE">
            <w:pPr>
              <w:spacing w:line="276" w:lineRule="auto"/>
              <w:jc w:val="center"/>
              <w:rPr>
                <w:rFonts w:ascii="Book Antiqua" w:hAnsi="Book Antiqua" w:cs="Calibri"/>
                <w:b/>
                <w:bCs/>
                <w:color w:val="FFFFFF"/>
                <w:sz w:val="16"/>
                <w:szCs w:val="16"/>
                <w:lang w:eastAsia="es-CR"/>
              </w:rPr>
            </w:pPr>
            <w:r w:rsidRPr="00634B8E">
              <w:rPr>
                <w:rFonts w:ascii="Book Antiqua" w:hAnsi="Book Antiqua" w:cs="Calibri"/>
                <w:b/>
                <w:bCs/>
                <w:color w:val="FFFFFF"/>
                <w:sz w:val="16"/>
                <w:szCs w:val="16"/>
                <w:lang w:eastAsia="es-CR"/>
              </w:rPr>
              <w:t>Categoría Circulante final (excluyendo materia cobratoria)</w:t>
            </w:r>
          </w:p>
        </w:tc>
        <w:tc>
          <w:tcPr>
            <w:tcW w:w="1200" w:type="dxa"/>
            <w:tcBorders>
              <w:top w:val="nil"/>
              <w:left w:val="nil"/>
              <w:bottom w:val="single" w:sz="4" w:space="0" w:color="auto"/>
              <w:right w:val="single" w:sz="4" w:space="0" w:color="auto"/>
            </w:tcBorders>
            <w:shd w:val="clear" w:color="000000" w:fill="305496"/>
            <w:vAlign w:val="center"/>
            <w:hideMark/>
          </w:tcPr>
          <w:p w14:paraId="1B2BFCC5" w14:textId="77777777" w:rsidR="00634B8E" w:rsidRPr="00634B8E" w:rsidRDefault="00634B8E" w:rsidP="00234CBE">
            <w:pPr>
              <w:spacing w:line="276" w:lineRule="auto"/>
              <w:jc w:val="center"/>
              <w:rPr>
                <w:rFonts w:ascii="Book Antiqua" w:hAnsi="Book Antiqua" w:cs="Calibri"/>
                <w:b/>
                <w:bCs/>
                <w:color w:val="FFFFFF"/>
                <w:sz w:val="16"/>
                <w:szCs w:val="16"/>
                <w:lang w:eastAsia="es-CR"/>
              </w:rPr>
            </w:pPr>
            <w:r w:rsidRPr="00634B8E">
              <w:rPr>
                <w:rFonts w:ascii="Book Antiqua" w:hAnsi="Book Antiqua" w:cs="Calibri"/>
                <w:b/>
                <w:bCs/>
                <w:color w:val="FFFFFF"/>
                <w:sz w:val="16"/>
                <w:szCs w:val="16"/>
                <w:lang w:eastAsia="es-CR"/>
              </w:rPr>
              <w:t>Circulante final 2019</w:t>
            </w:r>
          </w:p>
        </w:tc>
        <w:tc>
          <w:tcPr>
            <w:tcW w:w="1200" w:type="dxa"/>
            <w:tcBorders>
              <w:top w:val="nil"/>
              <w:left w:val="nil"/>
              <w:bottom w:val="single" w:sz="4" w:space="0" w:color="auto"/>
              <w:right w:val="single" w:sz="4" w:space="0" w:color="auto"/>
            </w:tcBorders>
            <w:shd w:val="clear" w:color="000000" w:fill="305496"/>
            <w:vAlign w:val="center"/>
            <w:hideMark/>
          </w:tcPr>
          <w:p w14:paraId="018CD5D5" w14:textId="77777777" w:rsidR="00634B8E" w:rsidRPr="00634B8E" w:rsidRDefault="00634B8E" w:rsidP="00234CBE">
            <w:pPr>
              <w:spacing w:line="276" w:lineRule="auto"/>
              <w:jc w:val="center"/>
              <w:rPr>
                <w:rFonts w:ascii="Book Antiqua" w:hAnsi="Book Antiqua" w:cs="Calibri"/>
                <w:b/>
                <w:bCs/>
                <w:color w:val="FFFFFF"/>
                <w:sz w:val="16"/>
                <w:szCs w:val="16"/>
                <w:lang w:eastAsia="es-CR"/>
              </w:rPr>
            </w:pPr>
            <w:r w:rsidRPr="00634B8E">
              <w:rPr>
                <w:rFonts w:ascii="Book Antiqua" w:hAnsi="Book Antiqua" w:cs="Calibri"/>
                <w:b/>
                <w:bCs/>
                <w:color w:val="FFFFFF"/>
                <w:sz w:val="16"/>
                <w:szCs w:val="16"/>
                <w:lang w:eastAsia="es-CR"/>
              </w:rPr>
              <w:t>Circulante final 2020</w:t>
            </w:r>
          </w:p>
        </w:tc>
        <w:tc>
          <w:tcPr>
            <w:tcW w:w="1200" w:type="dxa"/>
            <w:tcBorders>
              <w:top w:val="nil"/>
              <w:left w:val="nil"/>
              <w:bottom w:val="single" w:sz="4" w:space="0" w:color="auto"/>
              <w:right w:val="single" w:sz="4" w:space="0" w:color="auto"/>
            </w:tcBorders>
            <w:shd w:val="clear" w:color="000000" w:fill="305496"/>
            <w:vAlign w:val="center"/>
            <w:hideMark/>
          </w:tcPr>
          <w:p w14:paraId="12F3EBB4" w14:textId="77777777" w:rsidR="00634B8E" w:rsidRPr="00634B8E" w:rsidRDefault="00634B8E" w:rsidP="00234CBE">
            <w:pPr>
              <w:spacing w:line="276" w:lineRule="auto"/>
              <w:jc w:val="center"/>
              <w:rPr>
                <w:rFonts w:ascii="Book Antiqua" w:hAnsi="Book Antiqua" w:cs="Calibri"/>
                <w:b/>
                <w:bCs/>
                <w:color w:val="FFFFFF"/>
                <w:sz w:val="16"/>
                <w:szCs w:val="16"/>
                <w:lang w:eastAsia="es-CR"/>
              </w:rPr>
            </w:pPr>
            <w:r w:rsidRPr="00634B8E">
              <w:rPr>
                <w:rFonts w:ascii="Book Antiqua" w:hAnsi="Book Antiqua" w:cs="Calibri"/>
                <w:b/>
                <w:bCs/>
                <w:color w:val="FFFFFF"/>
                <w:sz w:val="16"/>
                <w:szCs w:val="16"/>
                <w:lang w:eastAsia="es-CR"/>
              </w:rPr>
              <w:t>Circulante final 2021</w:t>
            </w:r>
          </w:p>
        </w:tc>
        <w:tc>
          <w:tcPr>
            <w:tcW w:w="1200" w:type="dxa"/>
            <w:tcBorders>
              <w:top w:val="nil"/>
              <w:left w:val="nil"/>
              <w:bottom w:val="single" w:sz="4" w:space="0" w:color="auto"/>
              <w:right w:val="single" w:sz="4" w:space="0" w:color="auto"/>
            </w:tcBorders>
            <w:shd w:val="clear" w:color="000000" w:fill="DDEBF7"/>
            <w:vAlign w:val="center"/>
            <w:hideMark/>
          </w:tcPr>
          <w:p w14:paraId="32A60905" w14:textId="77777777" w:rsidR="00634B8E" w:rsidRPr="00634B8E" w:rsidRDefault="00634B8E" w:rsidP="00234CBE">
            <w:pPr>
              <w:spacing w:line="276" w:lineRule="auto"/>
              <w:jc w:val="center"/>
              <w:rPr>
                <w:rFonts w:ascii="Book Antiqua" w:hAnsi="Book Antiqua" w:cs="Calibri"/>
                <w:b/>
                <w:bCs/>
                <w:color w:val="262626"/>
                <w:sz w:val="16"/>
                <w:szCs w:val="16"/>
                <w:lang w:eastAsia="es-CR"/>
              </w:rPr>
            </w:pPr>
            <w:r w:rsidRPr="00634B8E">
              <w:rPr>
                <w:rFonts w:ascii="Book Antiqua" w:hAnsi="Book Antiqua" w:cs="Calibri"/>
                <w:b/>
                <w:bCs/>
                <w:color w:val="262626"/>
                <w:sz w:val="16"/>
                <w:szCs w:val="16"/>
                <w:lang w:eastAsia="es-CR"/>
              </w:rPr>
              <w:t>Diferencia 2021vs2019</w:t>
            </w:r>
          </w:p>
        </w:tc>
        <w:tc>
          <w:tcPr>
            <w:tcW w:w="1320" w:type="dxa"/>
            <w:tcBorders>
              <w:top w:val="nil"/>
              <w:left w:val="nil"/>
              <w:bottom w:val="single" w:sz="4" w:space="0" w:color="auto"/>
              <w:right w:val="single" w:sz="4" w:space="0" w:color="auto"/>
            </w:tcBorders>
            <w:shd w:val="clear" w:color="000000" w:fill="DDEBF7"/>
            <w:vAlign w:val="center"/>
            <w:hideMark/>
          </w:tcPr>
          <w:p w14:paraId="26B4E5BD" w14:textId="77777777" w:rsidR="00634B8E" w:rsidRPr="00634B8E" w:rsidRDefault="00634B8E" w:rsidP="00234CBE">
            <w:pPr>
              <w:spacing w:line="276" w:lineRule="auto"/>
              <w:jc w:val="center"/>
              <w:rPr>
                <w:rFonts w:ascii="Book Antiqua" w:hAnsi="Book Antiqua" w:cs="Calibri"/>
                <w:b/>
                <w:bCs/>
                <w:color w:val="262626"/>
                <w:sz w:val="16"/>
                <w:szCs w:val="16"/>
                <w:lang w:eastAsia="es-CR"/>
              </w:rPr>
            </w:pPr>
            <w:r w:rsidRPr="00634B8E">
              <w:rPr>
                <w:rFonts w:ascii="Book Antiqua" w:hAnsi="Book Antiqua" w:cs="Calibri"/>
                <w:b/>
                <w:bCs/>
                <w:color w:val="262626"/>
                <w:sz w:val="16"/>
                <w:szCs w:val="16"/>
                <w:lang w:eastAsia="es-CR"/>
              </w:rPr>
              <w:t>Diferencia 2021vs2020</w:t>
            </w:r>
          </w:p>
        </w:tc>
      </w:tr>
      <w:tr w:rsidR="00634B8E" w:rsidRPr="00634B8E" w14:paraId="23ABCBA9" w14:textId="77777777" w:rsidTr="00634B8E">
        <w:trPr>
          <w:trHeight w:val="290"/>
          <w:jc w:val="center"/>
        </w:trPr>
        <w:tc>
          <w:tcPr>
            <w:tcW w:w="3363" w:type="dxa"/>
            <w:tcBorders>
              <w:top w:val="nil"/>
              <w:left w:val="single" w:sz="4" w:space="0" w:color="auto"/>
              <w:bottom w:val="single" w:sz="4" w:space="0" w:color="auto"/>
              <w:right w:val="single" w:sz="4" w:space="0" w:color="auto"/>
            </w:tcBorders>
            <w:shd w:val="clear" w:color="auto" w:fill="auto"/>
            <w:noWrap/>
            <w:vAlign w:val="center"/>
            <w:hideMark/>
          </w:tcPr>
          <w:p w14:paraId="5E8F7D72" w14:textId="77777777" w:rsidR="00634B8E" w:rsidRPr="00634B8E" w:rsidRDefault="00634B8E" w:rsidP="00234CBE">
            <w:pPr>
              <w:spacing w:line="276" w:lineRule="auto"/>
              <w:jc w:val="right"/>
              <w:rPr>
                <w:rFonts w:ascii="Book Antiqua" w:hAnsi="Book Antiqua" w:cs="Calibri"/>
                <w:color w:val="000000"/>
                <w:sz w:val="16"/>
                <w:szCs w:val="16"/>
                <w:lang w:eastAsia="es-CR"/>
              </w:rPr>
            </w:pPr>
            <w:r w:rsidRPr="00634B8E">
              <w:rPr>
                <w:rFonts w:ascii="Book Antiqua" w:hAnsi="Book Antiqua" w:cs="Calibri"/>
                <w:color w:val="000000"/>
                <w:sz w:val="16"/>
                <w:szCs w:val="16"/>
                <w:lang w:eastAsia="es-CR"/>
              </w:rPr>
              <w:t> </w:t>
            </w:r>
          </w:p>
        </w:tc>
        <w:tc>
          <w:tcPr>
            <w:tcW w:w="1200" w:type="dxa"/>
            <w:tcBorders>
              <w:top w:val="nil"/>
              <w:left w:val="nil"/>
              <w:bottom w:val="single" w:sz="4" w:space="0" w:color="auto"/>
              <w:right w:val="single" w:sz="4" w:space="0" w:color="auto"/>
            </w:tcBorders>
            <w:shd w:val="clear" w:color="auto" w:fill="auto"/>
            <w:noWrap/>
            <w:vAlign w:val="center"/>
            <w:hideMark/>
          </w:tcPr>
          <w:p w14:paraId="41CC700B" w14:textId="77777777" w:rsidR="00634B8E" w:rsidRPr="00634B8E" w:rsidRDefault="00634B8E" w:rsidP="00234CBE">
            <w:pPr>
              <w:spacing w:line="276" w:lineRule="auto"/>
              <w:jc w:val="center"/>
              <w:rPr>
                <w:rFonts w:ascii="Book Antiqua" w:hAnsi="Book Antiqua" w:cs="Calibri"/>
                <w:color w:val="000000"/>
                <w:sz w:val="16"/>
                <w:szCs w:val="16"/>
                <w:lang w:eastAsia="es-CR"/>
              </w:rPr>
            </w:pPr>
            <w:r w:rsidRPr="00634B8E">
              <w:rPr>
                <w:rFonts w:ascii="Book Antiqua" w:hAnsi="Book Antiqua" w:cs="Calibri"/>
                <w:color w:val="000000"/>
                <w:sz w:val="16"/>
                <w:szCs w:val="16"/>
                <w:lang w:eastAsia="es-CR"/>
              </w:rPr>
              <w:t> </w:t>
            </w:r>
          </w:p>
        </w:tc>
        <w:tc>
          <w:tcPr>
            <w:tcW w:w="1200" w:type="dxa"/>
            <w:tcBorders>
              <w:top w:val="nil"/>
              <w:left w:val="nil"/>
              <w:bottom w:val="single" w:sz="4" w:space="0" w:color="auto"/>
              <w:right w:val="single" w:sz="4" w:space="0" w:color="auto"/>
            </w:tcBorders>
            <w:shd w:val="clear" w:color="auto" w:fill="auto"/>
            <w:noWrap/>
            <w:vAlign w:val="center"/>
            <w:hideMark/>
          </w:tcPr>
          <w:p w14:paraId="5AF32E43" w14:textId="77777777" w:rsidR="00634B8E" w:rsidRPr="00634B8E" w:rsidRDefault="00634B8E" w:rsidP="00234CBE">
            <w:pPr>
              <w:spacing w:line="276" w:lineRule="auto"/>
              <w:jc w:val="center"/>
              <w:rPr>
                <w:rFonts w:ascii="Book Antiqua" w:hAnsi="Book Antiqua" w:cs="Calibri"/>
                <w:color w:val="000000"/>
                <w:sz w:val="16"/>
                <w:szCs w:val="16"/>
                <w:lang w:eastAsia="es-CR"/>
              </w:rPr>
            </w:pPr>
            <w:r w:rsidRPr="00634B8E">
              <w:rPr>
                <w:rFonts w:ascii="Book Antiqua" w:hAnsi="Book Antiqua" w:cs="Calibri"/>
                <w:color w:val="000000"/>
                <w:sz w:val="16"/>
                <w:szCs w:val="16"/>
                <w:lang w:eastAsia="es-CR"/>
              </w:rPr>
              <w:t> </w:t>
            </w:r>
          </w:p>
        </w:tc>
        <w:tc>
          <w:tcPr>
            <w:tcW w:w="1200" w:type="dxa"/>
            <w:tcBorders>
              <w:top w:val="nil"/>
              <w:left w:val="nil"/>
              <w:bottom w:val="single" w:sz="4" w:space="0" w:color="auto"/>
              <w:right w:val="single" w:sz="4" w:space="0" w:color="auto"/>
            </w:tcBorders>
            <w:shd w:val="clear" w:color="auto" w:fill="auto"/>
            <w:noWrap/>
            <w:vAlign w:val="center"/>
            <w:hideMark/>
          </w:tcPr>
          <w:p w14:paraId="3E429921" w14:textId="77777777" w:rsidR="00634B8E" w:rsidRPr="00634B8E" w:rsidRDefault="00634B8E" w:rsidP="00234CBE">
            <w:pPr>
              <w:spacing w:line="276" w:lineRule="auto"/>
              <w:jc w:val="center"/>
              <w:rPr>
                <w:rFonts w:ascii="Book Antiqua" w:hAnsi="Book Antiqua" w:cs="Calibri"/>
                <w:color w:val="000000"/>
                <w:sz w:val="16"/>
                <w:szCs w:val="16"/>
                <w:lang w:eastAsia="es-CR"/>
              </w:rPr>
            </w:pPr>
            <w:r w:rsidRPr="00634B8E">
              <w:rPr>
                <w:rFonts w:ascii="Book Antiqua" w:hAnsi="Book Antiqua" w:cs="Calibri"/>
                <w:color w:val="000000"/>
                <w:sz w:val="16"/>
                <w:szCs w:val="16"/>
                <w:lang w:eastAsia="es-CR"/>
              </w:rPr>
              <w:t> </w:t>
            </w:r>
          </w:p>
        </w:tc>
        <w:tc>
          <w:tcPr>
            <w:tcW w:w="1200" w:type="dxa"/>
            <w:tcBorders>
              <w:top w:val="nil"/>
              <w:left w:val="nil"/>
              <w:bottom w:val="single" w:sz="4" w:space="0" w:color="auto"/>
              <w:right w:val="single" w:sz="4" w:space="0" w:color="auto"/>
            </w:tcBorders>
            <w:shd w:val="clear" w:color="auto" w:fill="auto"/>
            <w:noWrap/>
            <w:vAlign w:val="center"/>
            <w:hideMark/>
          </w:tcPr>
          <w:p w14:paraId="1BF96A32" w14:textId="77777777" w:rsidR="00634B8E" w:rsidRPr="00634B8E" w:rsidRDefault="00634B8E" w:rsidP="00234CBE">
            <w:pPr>
              <w:spacing w:line="276" w:lineRule="auto"/>
              <w:jc w:val="center"/>
              <w:rPr>
                <w:rFonts w:ascii="Book Antiqua" w:hAnsi="Book Antiqua" w:cs="Calibri"/>
                <w:color w:val="000000"/>
                <w:sz w:val="16"/>
                <w:szCs w:val="16"/>
                <w:lang w:eastAsia="es-CR"/>
              </w:rPr>
            </w:pPr>
            <w:r w:rsidRPr="00634B8E">
              <w:rPr>
                <w:rFonts w:ascii="Book Antiqua" w:hAnsi="Book Antiqua" w:cs="Calibri"/>
                <w:color w:val="000000"/>
                <w:sz w:val="16"/>
                <w:szCs w:val="16"/>
                <w:lang w:eastAsia="es-CR"/>
              </w:rPr>
              <w:t> </w:t>
            </w:r>
          </w:p>
        </w:tc>
        <w:tc>
          <w:tcPr>
            <w:tcW w:w="1320" w:type="dxa"/>
            <w:tcBorders>
              <w:top w:val="nil"/>
              <w:left w:val="nil"/>
              <w:bottom w:val="single" w:sz="4" w:space="0" w:color="auto"/>
              <w:right w:val="single" w:sz="4" w:space="0" w:color="auto"/>
            </w:tcBorders>
            <w:shd w:val="clear" w:color="auto" w:fill="auto"/>
            <w:noWrap/>
            <w:vAlign w:val="center"/>
            <w:hideMark/>
          </w:tcPr>
          <w:p w14:paraId="4A6BC685" w14:textId="77777777" w:rsidR="00634B8E" w:rsidRPr="00634B8E" w:rsidRDefault="00634B8E" w:rsidP="00234CBE">
            <w:pPr>
              <w:spacing w:line="276" w:lineRule="auto"/>
              <w:jc w:val="center"/>
              <w:rPr>
                <w:rFonts w:ascii="Book Antiqua" w:hAnsi="Book Antiqua" w:cs="Calibri"/>
                <w:color w:val="000000"/>
                <w:sz w:val="16"/>
                <w:szCs w:val="16"/>
                <w:lang w:eastAsia="es-CR"/>
              </w:rPr>
            </w:pPr>
            <w:r w:rsidRPr="00634B8E">
              <w:rPr>
                <w:rFonts w:ascii="Book Antiqua" w:hAnsi="Book Antiqua" w:cs="Calibri"/>
                <w:color w:val="000000"/>
                <w:sz w:val="16"/>
                <w:szCs w:val="16"/>
                <w:lang w:eastAsia="es-CR"/>
              </w:rPr>
              <w:t> </w:t>
            </w:r>
          </w:p>
        </w:tc>
      </w:tr>
      <w:tr w:rsidR="00634B8E" w:rsidRPr="00634B8E" w14:paraId="6A1BA3D1" w14:textId="77777777" w:rsidTr="00634B8E">
        <w:trPr>
          <w:trHeight w:val="290"/>
          <w:jc w:val="center"/>
        </w:trPr>
        <w:tc>
          <w:tcPr>
            <w:tcW w:w="3363" w:type="dxa"/>
            <w:tcBorders>
              <w:top w:val="nil"/>
              <w:left w:val="single" w:sz="4" w:space="0" w:color="auto"/>
              <w:bottom w:val="single" w:sz="4" w:space="0" w:color="auto"/>
              <w:right w:val="single" w:sz="4" w:space="0" w:color="auto"/>
            </w:tcBorders>
            <w:shd w:val="clear" w:color="auto" w:fill="auto"/>
            <w:noWrap/>
            <w:vAlign w:val="center"/>
            <w:hideMark/>
          </w:tcPr>
          <w:p w14:paraId="10B0E917" w14:textId="77777777" w:rsidR="00634B8E" w:rsidRPr="00634B8E" w:rsidRDefault="00634B8E" w:rsidP="00234CBE">
            <w:pPr>
              <w:spacing w:line="276" w:lineRule="auto"/>
              <w:jc w:val="center"/>
              <w:rPr>
                <w:rFonts w:ascii="Book Antiqua" w:hAnsi="Book Antiqua" w:cs="Calibri"/>
                <w:b/>
                <w:bCs/>
                <w:color w:val="000000"/>
                <w:sz w:val="16"/>
                <w:szCs w:val="16"/>
                <w:lang w:eastAsia="es-CR"/>
              </w:rPr>
            </w:pPr>
            <w:r w:rsidRPr="00634B8E">
              <w:rPr>
                <w:rFonts w:ascii="Book Antiqua" w:hAnsi="Book Antiqua" w:cs="Calibri"/>
                <w:b/>
                <w:bCs/>
                <w:color w:val="000000"/>
                <w:sz w:val="16"/>
                <w:szCs w:val="16"/>
                <w:lang w:eastAsia="es-CR"/>
              </w:rPr>
              <w:t>TOTAL</w:t>
            </w:r>
          </w:p>
        </w:tc>
        <w:tc>
          <w:tcPr>
            <w:tcW w:w="1200" w:type="dxa"/>
            <w:tcBorders>
              <w:top w:val="nil"/>
              <w:left w:val="nil"/>
              <w:bottom w:val="single" w:sz="4" w:space="0" w:color="auto"/>
              <w:right w:val="single" w:sz="4" w:space="0" w:color="auto"/>
            </w:tcBorders>
            <w:shd w:val="clear" w:color="auto" w:fill="auto"/>
            <w:noWrap/>
            <w:vAlign w:val="center"/>
            <w:hideMark/>
          </w:tcPr>
          <w:p w14:paraId="6DEAD0E6" w14:textId="77777777" w:rsidR="00634B8E" w:rsidRPr="00634B8E" w:rsidRDefault="00634B8E" w:rsidP="00234CBE">
            <w:pPr>
              <w:spacing w:line="276" w:lineRule="auto"/>
              <w:jc w:val="center"/>
              <w:rPr>
                <w:rFonts w:ascii="Book Antiqua" w:hAnsi="Book Antiqua" w:cs="Calibri"/>
                <w:b/>
                <w:bCs/>
                <w:color w:val="000000"/>
                <w:sz w:val="16"/>
                <w:szCs w:val="16"/>
                <w:u w:val="single"/>
                <w:lang w:eastAsia="es-CR"/>
              </w:rPr>
            </w:pPr>
            <w:r w:rsidRPr="00634B8E">
              <w:rPr>
                <w:rFonts w:ascii="Book Antiqua" w:hAnsi="Book Antiqua" w:cs="Calibri"/>
                <w:b/>
                <w:bCs/>
                <w:color w:val="000000"/>
                <w:sz w:val="16"/>
                <w:szCs w:val="16"/>
                <w:u w:val="single"/>
                <w:lang w:eastAsia="es-CR"/>
              </w:rPr>
              <w:t>539 015</w:t>
            </w:r>
          </w:p>
        </w:tc>
        <w:tc>
          <w:tcPr>
            <w:tcW w:w="1200" w:type="dxa"/>
            <w:tcBorders>
              <w:top w:val="nil"/>
              <w:left w:val="nil"/>
              <w:bottom w:val="single" w:sz="4" w:space="0" w:color="auto"/>
              <w:right w:val="single" w:sz="4" w:space="0" w:color="auto"/>
            </w:tcBorders>
            <w:shd w:val="clear" w:color="auto" w:fill="auto"/>
            <w:noWrap/>
            <w:vAlign w:val="center"/>
            <w:hideMark/>
          </w:tcPr>
          <w:p w14:paraId="645CF493" w14:textId="77777777" w:rsidR="00634B8E" w:rsidRPr="00634B8E" w:rsidRDefault="00634B8E" w:rsidP="00234CBE">
            <w:pPr>
              <w:spacing w:line="276" w:lineRule="auto"/>
              <w:jc w:val="center"/>
              <w:rPr>
                <w:rFonts w:ascii="Book Antiqua" w:hAnsi="Book Antiqua" w:cs="Calibri"/>
                <w:b/>
                <w:bCs/>
                <w:color w:val="000000"/>
                <w:sz w:val="16"/>
                <w:szCs w:val="16"/>
                <w:u w:val="single"/>
                <w:lang w:eastAsia="es-CR"/>
              </w:rPr>
            </w:pPr>
            <w:r w:rsidRPr="00634B8E">
              <w:rPr>
                <w:rFonts w:ascii="Book Antiqua" w:hAnsi="Book Antiqua" w:cs="Calibri"/>
                <w:b/>
                <w:bCs/>
                <w:color w:val="000000"/>
                <w:sz w:val="16"/>
                <w:szCs w:val="16"/>
                <w:u w:val="single"/>
                <w:lang w:eastAsia="es-CR"/>
              </w:rPr>
              <w:t>520 593</w:t>
            </w:r>
          </w:p>
        </w:tc>
        <w:tc>
          <w:tcPr>
            <w:tcW w:w="1200" w:type="dxa"/>
            <w:tcBorders>
              <w:top w:val="nil"/>
              <w:left w:val="nil"/>
              <w:bottom w:val="single" w:sz="4" w:space="0" w:color="auto"/>
              <w:right w:val="single" w:sz="4" w:space="0" w:color="auto"/>
            </w:tcBorders>
            <w:shd w:val="clear" w:color="auto" w:fill="auto"/>
            <w:noWrap/>
            <w:vAlign w:val="center"/>
            <w:hideMark/>
          </w:tcPr>
          <w:p w14:paraId="5D1F9054" w14:textId="77777777" w:rsidR="00634B8E" w:rsidRPr="00634B8E" w:rsidRDefault="00634B8E" w:rsidP="00234CBE">
            <w:pPr>
              <w:spacing w:line="276" w:lineRule="auto"/>
              <w:jc w:val="center"/>
              <w:rPr>
                <w:rFonts w:ascii="Book Antiqua" w:hAnsi="Book Antiqua" w:cs="Calibri"/>
                <w:b/>
                <w:bCs/>
                <w:color w:val="000000"/>
                <w:sz w:val="16"/>
                <w:szCs w:val="16"/>
                <w:u w:val="single"/>
                <w:lang w:eastAsia="es-CR"/>
              </w:rPr>
            </w:pPr>
            <w:r w:rsidRPr="00634B8E">
              <w:rPr>
                <w:rFonts w:ascii="Book Antiqua" w:hAnsi="Book Antiqua" w:cs="Calibri"/>
                <w:b/>
                <w:bCs/>
                <w:color w:val="000000"/>
                <w:sz w:val="16"/>
                <w:szCs w:val="16"/>
                <w:u w:val="single"/>
                <w:lang w:eastAsia="es-CR"/>
              </w:rPr>
              <w:t>515 706</w:t>
            </w:r>
          </w:p>
        </w:tc>
        <w:tc>
          <w:tcPr>
            <w:tcW w:w="1200" w:type="dxa"/>
            <w:tcBorders>
              <w:top w:val="nil"/>
              <w:left w:val="nil"/>
              <w:bottom w:val="single" w:sz="4" w:space="0" w:color="auto"/>
              <w:right w:val="single" w:sz="4" w:space="0" w:color="auto"/>
            </w:tcBorders>
            <w:shd w:val="clear" w:color="auto" w:fill="auto"/>
            <w:noWrap/>
            <w:vAlign w:val="center"/>
            <w:hideMark/>
          </w:tcPr>
          <w:p w14:paraId="1EF0DA0F" w14:textId="77777777" w:rsidR="00634B8E" w:rsidRPr="00634B8E" w:rsidRDefault="00634B8E" w:rsidP="00234CBE">
            <w:pPr>
              <w:spacing w:line="276" w:lineRule="auto"/>
              <w:jc w:val="center"/>
              <w:rPr>
                <w:rFonts w:ascii="Book Antiqua" w:hAnsi="Book Antiqua" w:cs="Calibri"/>
                <w:b/>
                <w:bCs/>
                <w:color w:val="000000"/>
                <w:sz w:val="16"/>
                <w:szCs w:val="16"/>
                <w:u w:val="single"/>
                <w:lang w:eastAsia="es-CR"/>
              </w:rPr>
            </w:pPr>
            <w:r w:rsidRPr="00634B8E">
              <w:rPr>
                <w:rFonts w:ascii="Book Antiqua" w:hAnsi="Book Antiqua" w:cs="Calibri"/>
                <w:b/>
                <w:bCs/>
                <w:color w:val="000000"/>
                <w:sz w:val="16"/>
                <w:szCs w:val="16"/>
                <w:u w:val="single"/>
                <w:lang w:eastAsia="es-CR"/>
              </w:rPr>
              <w:t>-4,32%</w:t>
            </w:r>
          </w:p>
        </w:tc>
        <w:tc>
          <w:tcPr>
            <w:tcW w:w="1320" w:type="dxa"/>
            <w:tcBorders>
              <w:top w:val="nil"/>
              <w:left w:val="nil"/>
              <w:bottom w:val="single" w:sz="4" w:space="0" w:color="auto"/>
              <w:right w:val="single" w:sz="4" w:space="0" w:color="auto"/>
            </w:tcBorders>
            <w:shd w:val="clear" w:color="auto" w:fill="auto"/>
            <w:noWrap/>
            <w:vAlign w:val="center"/>
            <w:hideMark/>
          </w:tcPr>
          <w:p w14:paraId="18EA2860" w14:textId="77777777" w:rsidR="00634B8E" w:rsidRPr="00634B8E" w:rsidRDefault="00634B8E" w:rsidP="00234CBE">
            <w:pPr>
              <w:spacing w:line="276" w:lineRule="auto"/>
              <w:jc w:val="center"/>
              <w:rPr>
                <w:rFonts w:ascii="Book Antiqua" w:hAnsi="Book Antiqua" w:cs="Calibri"/>
                <w:b/>
                <w:bCs/>
                <w:color w:val="000000"/>
                <w:sz w:val="16"/>
                <w:szCs w:val="16"/>
                <w:u w:val="single"/>
                <w:lang w:eastAsia="es-CR"/>
              </w:rPr>
            </w:pPr>
            <w:r w:rsidRPr="00634B8E">
              <w:rPr>
                <w:rFonts w:ascii="Book Antiqua" w:hAnsi="Book Antiqua" w:cs="Calibri"/>
                <w:b/>
                <w:bCs/>
                <w:color w:val="000000"/>
                <w:sz w:val="16"/>
                <w:szCs w:val="16"/>
                <w:u w:val="single"/>
                <w:lang w:eastAsia="es-CR"/>
              </w:rPr>
              <w:t>-0,94%</w:t>
            </w:r>
          </w:p>
        </w:tc>
      </w:tr>
      <w:tr w:rsidR="00634B8E" w:rsidRPr="00634B8E" w14:paraId="128A402E" w14:textId="77777777" w:rsidTr="00634B8E">
        <w:trPr>
          <w:trHeight w:val="290"/>
          <w:jc w:val="center"/>
        </w:trPr>
        <w:tc>
          <w:tcPr>
            <w:tcW w:w="3363" w:type="dxa"/>
            <w:tcBorders>
              <w:top w:val="nil"/>
              <w:left w:val="single" w:sz="4" w:space="0" w:color="auto"/>
              <w:bottom w:val="single" w:sz="4" w:space="0" w:color="auto"/>
              <w:right w:val="single" w:sz="4" w:space="0" w:color="auto"/>
            </w:tcBorders>
            <w:shd w:val="clear" w:color="auto" w:fill="auto"/>
            <w:noWrap/>
            <w:vAlign w:val="center"/>
            <w:hideMark/>
          </w:tcPr>
          <w:p w14:paraId="41688AED" w14:textId="77777777" w:rsidR="00634B8E" w:rsidRPr="00634B8E" w:rsidRDefault="00634B8E" w:rsidP="00234CBE">
            <w:pPr>
              <w:spacing w:line="276" w:lineRule="auto"/>
              <w:jc w:val="center"/>
              <w:rPr>
                <w:rFonts w:ascii="Book Antiqua" w:hAnsi="Book Antiqua" w:cs="Calibri"/>
                <w:b/>
                <w:bCs/>
                <w:color w:val="000000"/>
                <w:sz w:val="16"/>
                <w:szCs w:val="16"/>
                <w:lang w:eastAsia="es-CR"/>
              </w:rPr>
            </w:pPr>
            <w:r w:rsidRPr="00634B8E">
              <w:rPr>
                <w:rFonts w:ascii="Book Antiqua" w:hAnsi="Book Antiqua" w:cs="Calibri"/>
                <w:b/>
                <w:bCs/>
                <w:color w:val="000000"/>
                <w:sz w:val="16"/>
                <w:szCs w:val="16"/>
                <w:lang w:eastAsia="es-CR"/>
              </w:rPr>
              <w:t>II Instancia y Casación</w:t>
            </w:r>
          </w:p>
        </w:tc>
        <w:tc>
          <w:tcPr>
            <w:tcW w:w="1200" w:type="dxa"/>
            <w:tcBorders>
              <w:top w:val="nil"/>
              <w:left w:val="nil"/>
              <w:bottom w:val="single" w:sz="4" w:space="0" w:color="auto"/>
              <w:right w:val="single" w:sz="4" w:space="0" w:color="auto"/>
            </w:tcBorders>
            <w:shd w:val="clear" w:color="auto" w:fill="auto"/>
            <w:noWrap/>
            <w:vAlign w:val="center"/>
            <w:hideMark/>
          </w:tcPr>
          <w:p w14:paraId="62A6858E" w14:textId="77777777" w:rsidR="00634B8E" w:rsidRPr="00634B8E" w:rsidRDefault="00634B8E" w:rsidP="00234CBE">
            <w:pPr>
              <w:spacing w:line="276" w:lineRule="auto"/>
              <w:jc w:val="center"/>
              <w:rPr>
                <w:rFonts w:ascii="Book Antiqua" w:hAnsi="Book Antiqua" w:cs="Calibri"/>
                <w:color w:val="000000"/>
                <w:sz w:val="16"/>
                <w:szCs w:val="16"/>
                <w:lang w:eastAsia="es-CR"/>
              </w:rPr>
            </w:pPr>
            <w:r w:rsidRPr="00634B8E">
              <w:rPr>
                <w:rFonts w:ascii="Book Antiqua" w:hAnsi="Book Antiqua" w:cs="Calibri"/>
                <w:color w:val="000000"/>
                <w:sz w:val="16"/>
                <w:szCs w:val="16"/>
                <w:lang w:eastAsia="es-CR"/>
              </w:rPr>
              <w:t>20208</w:t>
            </w:r>
          </w:p>
        </w:tc>
        <w:tc>
          <w:tcPr>
            <w:tcW w:w="1200" w:type="dxa"/>
            <w:tcBorders>
              <w:top w:val="nil"/>
              <w:left w:val="nil"/>
              <w:bottom w:val="single" w:sz="4" w:space="0" w:color="auto"/>
              <w:right w:val="single" w:sz="4" w:space="0" w:color="auto"/>
            </w:tcBorders>
            <w:shd w:val="clear" w:color="auto" w:fill="auto"/>
            <w:noWrap/>
            <w:vAlign w:val="center"/>
            <w:hideMark/>
          </w:tcPr>
          <w:p w14:paraId="295E8229" w14:textId="77777777" w:rsidR="00634B8E" w:rsidRPr="00634B8E" w:rsidRDefault="00634B8E" w:rsidP="00234CBE">
            <w:pPr>
              <w:spacing w:line="276" w:lineRule="auto"/>
              <w:jc w:val="center"/>
              <w:rPr>
                <w:rFonts w:ascii="Book Antiqua" w:hAnsi="Book Antiqua" w:cs="Calibri"/>
                <w:color w:val="000000"/>
                <w:sz w:val="16"/>
                <w:szCs w:val="16"/>
                <w:lang w:eastAsia="es-CR"/>
              </w:rPr>
            </w:pPr>
            <w:r w:rsidRPr="00634B8E">
              <w:rPr>
                <w:rFonts w:ascii="Book Antiqua" w:hAnsi="Book Antiqua" w:cs="Calibri"/>
                <w:color w:val="000000"/>
                <w:sz w:val="16"/>
                <w:szCs w:val="16"/>
                <w:lang w:eastAsia="es-CR"/>
              </w:rPr>
              <w:t>18509</w:t>
            </w:r>
          </w:p>
        </w:tc>
        <w:tc>
          <w:tcPr>
            <w:tcW w:w="1200" w:type="dxa"/>
            <w:tcBorders>
              <w:top w:val="nil"/>
              <w:left w:val="nil"/>
              <w:bottom w:val="single" w:sz="4" w:space="0" w:color="auto"/>
              <w:right w:val="single" w:sz="4" w:space="0" w:color="auto"/>
            </w:tcBorders>
            <w:shd w:val="clear" w:color="auto" w:fill="auto"/>
            <w:noWrap/>
            <w:vAlign w:val="center"/>
            <w:hideMark/>
          </w:tcPr>
          <w:p w14:paraId="29B4361D" w14:textId="77777777" w:rsidR="00634B8E" w:rsidRPr="00634B8E" w:rsidRDefault="00634B8E" w:rsidP="00234CBE">
            <w:pPr>
              <w:spacing w:line="276" w:lineRule="auto"/>
              <w:jc w:val="center"/>
              <w:rPr>
                <w:rFonts w:ascii="Book Antiqua" w:hAnsi="Book Antiqua" w:cs="Calibri"/>
                <w:color w:val="000000"/>
                <w:sz w:val="16"/>
                <w:szCs w:val="16"/>
                <w:lang w:eastAsia="es-CR"/>
              </w:rPr>
            </w:pPr>
            <w:r w:rsidRPr="00634B8E">
              <w:rPr>
                <w:rFonts w:ascii="Book Antiqua" w:hAnsi="Book Antiqua" w:cs="Calibri"/>
                <w:color w:val="000000"/>
                <w:sz w:val="16"/>
                <w:szCs w:val="16"/>
                <w:lang w:eastAsia="es-CR"/>
              </w:rPr>
              <w:t>18307</w:t>
            </w:r>
          </w:p>
        </w:tc>
        <w:tc>
          <w:tcPr>
            <w:tcW w:w="1200" w:type="dxa"/>
            <w:tcBorders>
              <w:top w:val="nil"/>
              <w:left w:val="nil"/>
              <w:bottom w:val="single" w:sz="4" w:space="0" w:color="auto"/>
              <w:right w:val="single" w:sz="4" w:space="0" w:color="auto"/>
            </w:tcBorders>
            <w:shd w:val="clear" w:color="auto" w:fill="auto"/>
            <w:noWrap/>
            <w:vAlign w:val="center"/>
            <w:hideMark/>
          </w:tcPr>
          <w:p w14:paraId="018CBA80" w14:textId="77777777" w:rsidR="00634B8E" w:rsidRPr="00634B8E" w:rsidRDefault="00634B8E" w:rsidP="00234CBE">
            <w:pPr>
              <w:spacing w:line="276" w:lineRule="auto"/>
              <w:jc w:val="center"/>
              <w:rPr>
                <w:rFonts w:ascii="Book Antiqua" w:hAnsi="Book Antiqua" w:cs="Calibri"/>
                <w:color w:val="000000"/>
                <w:sz w:val="16"/>
                <w:szCs w:val="16"/>
                <w:lang w:eastAsia="es-CR"/>
              </w:rPr>
            </w:pPr>
            <w:r w:rsidRPr="00634B8E">
              <w:rPr>
                <w:rFonts w:ascii="Book Antiqua" w:hAnsi="Book Antiqua" w:cs="Calibri"/>
                <w:color w:val="000000"/>
                <w:sz w:val="16"/>
                <w:szCs w:val="16"/>
                <w:lang w:eastAsia="es-CR"/>
              </w:rPr>
              <w:t>-9,41%</w:t>
            </w:r>
          </w:p>
        </w:tc>
        <w:tc>
          <w:tcPr>
            <w:tcW w:w="1320" w:type="dxa"/>
            <w:tcBorders>
              <w:top w:val="nil"/>
              <w:left w:val="nil"/>
              <w:bottom w:val="single" w:sz="4" w:space="0" w:color="auto"/>
              <w:right w:val="single" w:sz="4" w:space="0" w:color="auto"/>
            </w:tcBorders>
            <w:shd w:val="clear" w:color="auto" w:fill="auto"/>
            <w:noWrap/>
            <w:vAlign w:val="center"/>
            <w:hideMark/>
          </w:tcPr>
          <w:p w14:paraId="0EDB6A50" w14:textId="77777777" w:rsidR="00634B8E" w:rsidRPr="00634B8E" w:rsidRDefault="00634B8E" w:rsidP="00234CBE">
            <w:pPr>
              <w:spacing w:line="276" w:lineRule="auto"/>
              <w:jc w:val="center"/>
              <w:rPr>
                <w:rFonts w:ascii="Book Antiqua" w:hAnsi="Book Antiqua" w:cs="Calibri"/>
                <w:color w:val="000000"/>
                <w:sz w:val="16"/>
                <w:szCs w:val="16"/>
                <w:lang w:eastAsia="es-CR"/>
              </w:rPr>
            </w:pPr>
            <w:r w:rsidRPr="00634B8E">
              <w:rPr>
                <w:rFonts w:ascii="Book Antiqua" w:hAnsi="Book Antiqua" w:cs="Calibri"/>
                <w:color w:val="000000"/>
                <w:sz w:val="16"/>
                <w:szCs w:val="16"/>
                <w:lang w:eastAsia="es-CR"/>
              </w:rPr>
              <w:t>-1,09%</w:t>
            </w:r>
          </w:p>
        </w:tc>
      </w:tr>
      <w:tr w:rsidR="00634B8E" w:rsidRPr="00634B8E" w14:paraId="11457C21" w14:textId="77777777" w:rsidTr="00634B8E">
        <w:trPr>
          <w:trHeight w:val="290"/>
          <w:jc w:val="center"/>
        </w:trPr>
        <w:tc>
          <w:tcPr>
            <w:tcW w:w="3363" w:type="dxa"/>
            <w:tcBorders>
              <w:top w:val="nil"/>
              <w:left w:val="single" w:sz="4" w:space="0" w:color="auto"/>
              <w:bottom w:val="single" w:sz="4" w:space="0" w:color="auto"/>
              <w:right w:val="single" w:sz="4" w:space="0" w:color="auto"/>
            </w:tcBorders>
            <w:shd w:val="clear" w:color="auto" w:fill="auto"/>
            <w:noWrap/>
            <w:vAlign w:val="center"/>
            <w:hideMark/>
          </w:tcPr>
          <w:p w14:paraId="5CCCDDC4" w14:textId="77777777" w:rsidR="00634B8E" w:rsidRPr="00634B8E" w:rsidRDefault="00634B8E" w:rsidP="00234CBE">
            <w:pPr>
              <w:spacing w:line="276" w:lineRule="auto"/>
              <w:jc w:val="center"/>
              <w:rPr>
                <w:rFonts w:ascii="Book Antiqua" w:hAnsi="Book Antiqua" w:cs="Calibri"/>
                <w:b/>
                <w:bCs/>
                <w:color w:val="000000"/>
                <w:sz w:val="16"/>
                <w:szCs w:val="16"/>
                <w:lang w:eastAsia="es-CR"/>
              </w:rPr>
            </w:pPr>
            <w:r w:rsidRPr="00634B8E">
              <w:rPr>
                <w:rFonts w:ascii="Book Antiqua" w:hAnsi="Book Antiqua" w:cs="Calibri"/>
                <w:b/>
                <w:bCs/>
                <w:color w:val="000000"/>
                <w:sz w:val="16"/>
                <w:szCs w:val="16"/>
                <w:lang w:eastAsia="es-CR"/>
              </w:rPr>
              <w:t>Penal</w:t>
            </w:r>
          </w:p>
        </w:tc>
        <w:tc>
          <w:tcPr>
            <w:tcW w:w="1200" w:type="dxa"/>
            <w:tcBorders>
              <w:top w:val="nil"/>
              <w:left w:val="nil"/>
              <w:bottom w:val="single" w:sz="4" w:space="0" w:color="auto"/>
              <w:right w:val="single" w:sz="4" w:space="0" w:color="auto"/>
            </w:tcBorders>
            <w:shd w:val="clear" w:color="auto" w:fill="auto"/>
            <w:noWrap/>
            <w:vAlign w:val="center"/>
            <w:hideMark/>
          </w:tcPr>
          <w:p w14:paraId="3A64A17A" w14:textId="77777777" w:rsidR="00634B8E" w:rsidRPr="00634B8E" w:rsidRDefault="00634B8E" w:rsidP="00234CBE">
            <w:pPr>
              <w:spacing w:line="276" w:lineRule="auto"/>
              <w:jc w:val="center"/>
              <w:rPr>
                <w:rFonts w:ascii="Book Antiqua" w:hAnsi="Book Antiqua" w:cs="Calibri"/>
                <w:color w:val="000000"/>
                <w:sz w:val="16"/>
                <w:szCs w:val="16"/>
                <w:lang w:eastAsia="es-CR"/>
              </w:rPr>
            </w:pPr>
            <w:r w:rsidRPr="00634B8E">
              <w:rPr>
                <w:rFonts w:ascii="Book Antiqua" w:hAnsi="Book Antiqua" w:cs="Calibri"/>
                <w:color w:val="000000"/>
                <w:sz w:val="16"/>
                <w:szCs w:val="16"/>
                <w:lang w:eastAsia="es-CR"/>
              </w:rPr>
              <w:t>74122</w:t>
            </w:r>
          </w:p>
        </w:tc>
        <w:tc>
          <w:tcPr>
            <w:tcW w:w="1200" w:type="dxa"/>
            <w:tcBorders>
              <w:top w:val="nil"/>
              <w:left w:val="nil"/>
              <w:bottom w:val="single" w:sz="4" w:space="0" w:color="auto"/>
              <w:right w:val="single" w:sz="4" w:space="0" w:color="auto"/>
            </w:tcBorders>
            <w:shd w:val="clear" w:color="auto" w:fill="auto"/>
            <w:noWrap/>
            <w:vAlign w:val="center"/>
            <w:hideMark/>
          </w:tcPr>
          <w:p w14:paraId="41938B74" w14:textId="77777777" w:rsidR="00634B8E" w:rsidRPr="00634B8E" w:rsidRDefault="00634B8E" w:rsidP="00234CBE">
            <w:pPr>
              <w:spacing w:line="276" w:lineRule="auto"/>
              <w:jc w:val="center"/>
              <w:rPr>
                <w:rFonts w:ascii="Book Antiqua" w:hAnsi="Book Antiqua" w:cs="Calibri"/>
                <w:color w:val="000000"/>
                <w:sz w:val="16"/>
                <w:szCs w:val="16"/>
                <w:lang w:eastAsia="es-CR"/>
              </w:rPr>
            </w:pPr>
            <w:r w:rsidRPr="00634B8E">
              <w:rPr>
                <w:rFonts w:ascii="Book Antiqua" w:hAnsi="Book Antiqua" w:cs="Calibri"/>
                <w:color w:val="000000"/>
                <w:sz w:val="16"/>
                <w:szCs w:val="16"/>
                <w:lang w:eastAsia="es-CR"/>
              </w:rPr>
              <w:t>81010</w:t>
            </w:r>
          </w:p>
        </w:tc>
        <w:tc>
          <w:tcPr>
            <w:tcW w:w="1200" w:type="dxa"/>
            <w:tcBorders>
              <w:top w:val="nil"/>
              <w:left w:val="nil"/>
              <w:bottom w:val="single" w:sz="4" w:space="0" w:color="auto"/>
              <w:right w:val="single" w:sz="4" w:space="0" w:color="auto"/>
            </w:tcBorders>
            <w:shd w:val="clear" w:color="auto" w:fill="auto"/>
            <w:noWrap/>
            <w:vAlign w:val="center"/>
            <w:hideMark/>
          </w:tcPr>
          <w:p w14:paraId="5459BB94" w14:textId="77777777" w:rsidR="00634B8E" w:rsidRPr="00634B8E" w:rsidRDefault="00634B8E" w:rsidP="00234CBE">
            <w:pPr>
              <w:spacing w:line="276" w:lineRule="auto"/>
              <w:jc w:val="center"/>
              <w:rPr>
                <w:rFonts w:ascii="Book Antiqua" w:hAnsi="Book Antiqua" w:cs="Calibri"/>
                <w:color w:val="000000"/>
                <w:sz w:val="16"/>
                <w:szCs w:val="16"/>
                <w:lang w:eastAsia="es-CR"/>
              </w:rPr>
            </w:pPr>
            <w:r w:rsidRPr="00634B8E">
              <w:rPr>
                <w:rFonts w:ascii="Book Antiqua" w:hAnsi="Book Antiqua" w:cs="Calibri"/>
                <w:color w:val="000000"/>
                <w:sz w:val="16"/>
                <w:szCs w:val="16"/>
                <w:lang w:eastAsia="es-CR"/>
              </w:rPr>
              <w:t>79781</w:t>
            </w:r>
          </w:p>
        </w:tc>
        <w:tc>
          <w:tcPr>
            <w:tcW w:w="1200" w:type="dxa"/>
            <w:tcBorders>
              <w:top w:val="nil"/>
              <w:left w:val="nil"/>
              <w:bottom w:val="single" w:sz="4" w:space="0" w:color="auto"/>
              <w:right w:val="single" w:sz="4" w:space="0" w:color="auto"/>
            </w:tcBorders>
            <w:shd w:val="clear" w:color="auto" w:fill="auto"/>
            <w:noWrap/>
            <w:vAlign w:val="center"/>
            <w:hideMark/>
          </w:tcPr>
          <w:p w14:paraId="117DFFD3" w14:textId="77777777" w:rsidR="00634B8E" w:rsidRPr="00634B8E" w:rsidRDefault="00634B8E" w:rsidP="00234CBE">
            <w:pPr>
              <w:spacing w:line="276" w:lineRule="auto"/>
              <w:jc w:val="center"/>
              <w:rPr>
                <w:rFonts w:ascii="Book Antiqua" w:hAnsi="Book Antiqua" w:cs="Calibri"/>
                <w:color w:val="000000"/>
                <w:sz w:val="16"/>
                <w:szCs w:val="16"/>
                <w:lang w:eastAsia="es-CR"/>
              </w:rPr>
            </w:pPr>
            <w:r w:rsidRPr="00634B8E">
              <w:rPr>
                <w:rFonts w:ascii="Book Antiqua" w:hAnsi="Book Antiqua" w:cs="Calibri"/>
                <w:color w:val="000000"/>
                <w:sz w:val="16"/>
                <w:szCs w:val="16"/>
                <w:lang w:eastAsia="es-CR"/>
              </w:rPr>
              <w:t>7,63%</w:t>
            </w:r>
          </w:p>
        </w:tc>
        <w:tc>
          <w:tcPr>
            <w:tcW w:w="1320" w:type="dxa"/>
            <w:tcBorders>
              <w:top w:val="nil"/>
              <w:left w:val="nil"/>
              <w:bottom w:val="single" w:sz="4" w:space="0" w:color="auto"/>
              <w:right w:val="single" w:sz="4" w:space="0" w:color="auto"/>
            </w:tcBorders>
            <w:shd w:val="clear" w:color="auto" w:fill="auto"/>
            <w:noWrap/>
            <w:vAlign w:val="center"/>
            <w:hideMark/>
          </w:tcPr>
          <w:p w14:paraId="29CBFA13" w14:textId="77777777" w:rsidR="00634B8E" w:rsidRPr="00634B8E" w:rsidRDefault="00634B8E" w:rsidP="00234CBE">
            <w:pPr>
              <w:spacing w:line="276" w:lineRule="auto"/>
              <w:jc w:val="center"/>
              <w:rPr>
                <w:rFonts w:ascii="Book Antiqua" w:hAnsi="Book Antiqua" w:cs="Calibri"/>
                <w:color w:val="000000"/>
                <w:sz w:val="16"/>
                <w:szCs w:val="16"/>
                <w:lang w:eastAsia="es-CR"/>
              </w:rPr>
            </w:pPr>
            <w:r w:rsidRPr="00634B8E">
              <w:rPr>
                <w:rFonts w:ascii="Book Antiqua" w:hAnsi="Book Antiqua" w:cs="Calibri"/>
                <w:color w:val="000000"/>
                <w:sz w:val="16"/>
                <w:szCs w:val="16"/>
                <w:lang w:eastAsia="es-CR"/>
              </w:rPr>
              <w:t>-1,52%</w:t>
            </w:r>
          </w:p>
        </w:tc>
      </w:tr>
      <w:tr w:rsidR="00634B8E" w:rsidRPr="00634B8E" w14:paraId="50DC5509" w14:textId="77777777" w:rsidTr="00634B8E">
        <w:trPr>
          <w:trHeight w:val="290"/>
          <w:jc w:val="center"/>
        </w:trPr>
        <w:tc>
          <w:tcPr>
            <w:tcW w:w="3363" w:type="dxa"/>
            <w:tcBorders>
              <w:top w:val="nil"/>
              <w:left w:val="single" w:sz="4" w:space="0" w:color="auto"/>
              <w:bottom w:val="single" w:sz="4" w:space="0" w:color="auto"/>
              <w:right w:val="single" w:sz="4" w:space="0" w:color="auto"/>
            </w:tcBorders>
            <w:shd w:val="clear" w:color="auto" w:fill="auto"/>
            <w:noWrap/>
            <w:vAlign w:val="center"/>
            <w:hideMark/>
          </w:tcPr>
          <w:p w14:paraId="31B7AD92" w14:textId="77777777" w:rsidR="00634B8E" w:rsidRPr="00634B8E" w:rsidRDefault="00634B8E" w:rsidP="00234CBE">
            <w:pPr>
              <w:spacing w:line="276" w:lineRule="auto"/>
              <w:jc w:val="center"/>
              <w:rPr>
                <w:rFonts w:ascii="Book Antiqua" w:hAnsi="Book Antiqua" w:cs="Calibri"/>
                <w:b/>
                <w:bCs/>
                <w:color w:val="000000"/>
                <w:sz w:val="16"/>
                <w:szCs w:val="16"/>
                <w:lang w:eastAsia="es-CR"/>
              </w:rPr>
            </w:pPr>
            <w:r w:rsidRPr="00634B8E">
              <w:rPr>
                <w:rFonts w:ascii="Book Antiqua" w:hAnsi="Book Antiqua" w:cs="Calibri"/>
                <w:b/>
                <w:bCs/>
                <w:color w:val="000000"/>
                <w:sz w:val="16"/>
                <w:szCs w:val="16"/>
                <w:lang w:eastAsia="es-CR"/>
              </w:rPr>
              <w:t>No Penal</w:t>
            </w:r>
          </w:p>
        </w:tc>
        <w:tc>
          <w:tcPr>
            <w:tcW w:w="1200" w:type="dxa"/>
            <w:tcBorders>
              <w:top w:val="nil"/>
              <w:left w:val="nil"/>
              <w:bottom w:val="single" w:sz="4" w:space="0" w:color="auto"/>
              <w:right w:val="single" w:sz="4" w:space="0" w:color="auto"/>
            </w:tcBorders>
            <w:shd w:val="clear" w:color="auto" w:fill="auto"/>
            <w:noWrap/>
            <w:vAlign w:val="center"/>
            <w:hideMark/>
          </w:tcPr>
          <w:p w14:paraId="6E8A7AA0" w14:textId="77777777" w:rsidR="00634B8E" w:rsidRPr="00634B8E" w:rsidRDefault="00634B8E" w:rsidP="00234CBE">
            <w:pPr>
              <w:spacing w:line="276" w:lineRule="auto"/>
              <w:jc w:val="center"/>
              <w:rPr>
                <w:rFonts w:ascii="Book Antiqua" w:hAnsi="Book Antiqua" w:cs="Calibri"/>
                <w:color w:val="000000"/>
                <w:sz w:val="16"/>
                <w:szCs w:val="16"/>
                <w:lang w:eastAsia="es-CR"/>
              </w:rPr>
            </w:pPr>
            <w:r w:rsidRPr="00634B8E">
              <w:rPr>
                <w:rFonts w:ascii="Book Antiqua" w:hAnsi="Book Antiqua" w:cs="Calibri"/>
                <w:color w:val="000000"/>
                <w:sz w:val="16"/>
                <w:szCs w:val="16"/>
                <w:lang w:eastAsia="es-CR"/>
              </w:rPr>
              <w:t>444685</w:t>
            </w:r>
          </w:p>
        </w:tc>
        <w:tc>
          <w:tcPr>
            <w:tcW w:w="1200" w:type="dxa"/>
            <w:tcBorders>
              <w:top w:val="nil"/>
              <w:left w:val="nil"/>
              <w:bottom w:val="single" w:sz="4" w:space="0" w:color="auto"/>
              <w:right w:val="single" w:sz="4" w:space="0" w:color="auto"/>
            </w:tcBorders>
            <w:shd w:val="clear" w:color="auto" w:fill="auto"/>
            <w:noWrap/>
            <w:vAlign w:val="center"/>
            <w:hideMark/>
          </w:tcPr>
          <w:p w14:paraId="518F3BFE" w14:textId="77777777" w:rsidR="00634B8E" w:rsidRPr="00634B8E" w:rsidRDefault="00634B8E" w:rsidP="00234CBE">
            <w:pPr>
              <w:spacing w:line="276" w:lineRule="auto"/>
              <w:jc w:val="center"/>
              <w:rPr>
                <w:rFonts w:ascii="Book Antiqua" w:hAnsi="Book Antiqua" w:cs="Calibri"/>
                <w:color w:val="000000"/>
                <w:sz w:val="16"/>
                <w:szCs w:val="16"/>
                <w:lang w:eastAsia="es-CR"/>
              </w:rPr>
            </w:pPr>
            <w:r w:rsidRPr="00634B8E">
              <w:rPr>
                <w:rFonts w:ascii="Book Antiqua" w:hAnsi="Book Antiqua" w:cs="Calibri"/>
                <w:color w:val="000000"/>
                <w:sz w:val="16"/>
                <w:szCs w:val="16"/>
                <w:lang w:eastAsia="es-CR"/>
              </w:rPr>
              <w:t>421074</w:t>
            </w:r>
          </w:p>
        </w:tc>
        <w:tc>
          <w:tcPr>
            <w:tcW w:w="1200" w:type="dxa"/>
            <w:tcBorders>
              <w:top w:val="nil"/>
              <w:left w:val="nil"/>
              <w:bottom w:val="single" w:sz="4" w:space="0" w:color="auto"/>
              <w:right w:val="single" w:sz="4" w:space="0" w:color="auto"/>
            </w:tcBorders>
            <w:shd w:val="clear" w:color="auto" w:fill="auto"/>
            <w:noWrap/>
            <w:vAlign w:val="center"/>
            <w:hideMark/>
          </w:tcPr>
          <w:p w14:paraId="7EFD6074" w14:textId="77777777" w:rsidR="00634B8E" w:rsidRPr="00634B8E" w:rsidRDefault="00634B8E" w:rsidP="00234CBE">
            <w:pPr>
              <w:spacing w:line="276" w:lineRule="auto"/>
              <w:jc w:val="center"/>
              <w:rPr>
                <w:rFonts w:ascii="Book Antiqua" w:hAnsi="Book Antiqua" w:cs="Calibri"/>
                <w:color w:val="000000"/>
                <w:sz w:val="16"/>
                <w:szCs w:val="16"/>
                <w:lang w:eastAsia="es-CR"/>
              </w:rPr>
            </w:pPr>
            <w:r w:rsidRPr="00634B8E">
              <w:rPr>
                <w:rFonts w:ascii="Book Antiqua" w:hAnsi="Book Antiqua" w:cs="Calibri"/>
                <w:color w:val="000000"/>
                <w:sz w:val="16"/>
                <w:szCs w:val="16"/>
                <w:lang w:eastAsia="es-CR"/>
              </w:rPr>
              <w:t>417618</w:t>
            </w:r>
          </w:p>
        </w:tc>
        <w:tc>
          <w:tcPr>
            <w:tcW w:w="1200" w:type="dxa"/>
            <w:tcBorders>
              <w:top w:val="nil"/>
              <w:left w:val="nil"/>
              <w:bottom w:val="single" w:sz="4" w:space="0" w:color="auto"/>
              <w:right w:val="single" w:sz="4" w:space="0" w:color="auto"/>
            </w:tcBorders>
            <w:shd w:val="clear" w:color="auto" w:fill="auto"/>
            <w:noWrap/>
            <w:vAlign w:val="center"/>
            <w:hideMark/>
          </w:tcPr>
          <w:p w14:paraId="596A3288" w14:textId="77777777" w:rsidR="00634B8E" w:rsidRPr="00634B8E" w:rsidRDefault="00634B8E" w:rsidP="00234CBE">
            <w:pPr>
              <w:spacing w:line="276" w:lineRule="auto"/>
              <w:jc w:val="center"/>
              <w:rPr>
                <w:rFonts w:ascii="Book Antiqua" w:hAnsi="Book Antiqua" w:cs="Calibri"/>
                <w:color w:val="000000"/>
                <w:sz w:val="16"/>
                <w:szCs w:val="16"/>
                <w:lang w:eastAsia="es-CR"/>
              </w:rPr>
            </w:pPr>
            <w:r w:rsidRPr="00634B8E">
              <w:rPr>
                <w:rFonts w:ascii="Book Antiqua" w:hAnsi="Book Antiqua" w:cs="Calibri"/>
                <w:color w:val="000000"/>
                <w:sz w:val="16"/>
                <w:szCs w:val="16"/>
                <w:lang w:eastAsia="es-CR"/>
              </w:rPr>
              <w:t>-6,09%</w:t>
            </w:r>
          </w:p>
        </w:tc>
        <w:tc>
          <w:tcPr>
            <w:tcW w:w="1320" w:type="dxa"/>
            <w:tcBorders>
              <w:top w:val="nil"/>
              <w:left w:val="nil"/>
              <w:bottom w:val="single" w:sz="4" w:space="0" w:color="auto"/>
              <w:right w:val="single" w:sz="4" w:space="0" w:color="auto"/>
            </w:tcBorders>
            <w:shd w:val="clear" w:color="auto" w:fill="auto"/>
            <w:noWrap/>
            <w:vAlign w:val="center"/>
            <w:hideMark/>
          </w:tcPr>
          <w:p w14:paraId="5A2176ED" w14:textId="77777777" w:rsidR="00634B8E" w:rsidRPr="00634B8E" w:rsidRDefault="00634B8E" w:rsidP="00234CBE">
            <w:pPr>
              <w:spacing w:line="276" w:lineRule="auto"/>
              <w:jc w:val="center"/>
              <w:rPr>
                <w:rFonts w:ascii="Book Antiqua" w:hAnsi="Book Antiqua" w:cs="Calibri"/>
                <w:color w:val="000000"/>
                <w:sz w:val="16"/>
                <w:szCs w:val="16"/>
                <w:lang w:eastAsia="es-CR"/>
              </w:rPr>
            </w:pPr>
            <w:r w:rsidRPr="00634B8E">
              <w:rPr>
                <w:rFonts w:ascii="Book Antiqua" w:hAnsi="Book Antiqua" w:cs="Calibri"/>
                <w:color w:val="000000"/>
                <w:sz w:val="16"/>
                <w:szCs w:val="16"/>
                <w:lang w:eastAsia="es-CR"/>
              </w:rPr>
              <w:t>-0,82%</w:t>
            </w:r>
          </w:p>
        </w:tc>
      </w:tr>
    </w:tbl>
    <w:p w14:paraId="7F23B843" w14:textId="621A291C" w:rsidR="00945C91" w:rsidRDefault="0059268A" w:rsidP="00234CBE">
      <w:pPr>
        <w:shd w:val="clear" w:color="auto" w:fill="FFFFFF" w:themeFill="background1"/>
        <w:spacing w:line="276" w:lineRule="auto"/>
        <w:jc w:val="center"/>
        <w:rPr>
          <w:rFonts w:ascii="Book Antiqua" w:hAnsi="Book Antiqua" w:cs="Book Antiqua"/>
          <w:snapToGrid w:val="0"/>
          <w:color w:val="000000" w:themeColor="text1"/>
        </w:rPr>
      </w:pPr>
      <w:r w:rsidRPr="0059268A">
        <w:rPr>
          <w:rFonts w:ascii="Book Antiqua" w:hAnsi="Book Antiqua" w:cs="Calibri"/>
          <w:b/>
          <w:bCs/>
          <w:color w:val="000000"/>
          <w:sz w:val="20"/>
          <w:szCs w:val="20"/>
          <w:lang w:eastAsia="es-CR"/>
        </w:rPr>
        <w:t>Fuente:</w:t>
      </w:r>
      <w:r w:rsidRPr="00D44482">
        <w:rPr>
          <w:rFonts w:ascii="Book Antiqua" w:hAnsi="Book Antiqua" w:cs="Calibri"/>
          <w:color w:val="000000"/>
          <w:sz w:val="20"/>
          <w:szCs w:val="20"/>
          <w:lang w:eastAsia="es-CR"/>
        </w:rPr>
        <w:t xml:space="preserve"> </w:t>
      </w:r>
      <w:r>
        <w:rPr>
          <w:rFonts w:ascii="Book Antiqua" w:hAnsi="Book Antiqua" w:cs="Calibri"/>
          <w:color w:val="000000"/>
          <w:sz w:val="20"/>
          <w:szCs w:val="20"/>
          <w:lang w:eastAsia="es-CR"/>
        </w:rPr>
        <w:t>Elaboración propia a partir de las estadísticas del Subproceso de Estadística</w:t>
      </w:r>
    </w:p>
    <w:p w14:paraId="6C24E039" w14:textId="47C1F229" w:rsidR="00C67A87" w:rsidRDefault="00C67A87" w:rsidP="00234CBE">
      <w:pPr>
        <w:shd w:val="clear" w:color="auto" w:fill="FFFFFF" w:themeFill="background1"/>
        <w:spacing w:line="276" w:lineRule="auto"/>
        <w:jc w:val="both"/>
        <w:rPr>
          <w:rFonts w:ascii="Book Antiqua" w:hAnsi="Book Antiqua"/>
          <w:b/>
          <w:bCs/>
          <w:lang w:val="es-ES_tradnl" w:eastAsia="en-US"/>
        </w:rPr>
      </w:pPr>
    </w:p>
    <w:p w14:paraId="7673E5CF" w14:textId="3FE936DC" w:rsidR="00A16B27" w:rsidRDefault="00A16B27" w:rsidP="00234CBE">
      <w:pPr>
        <w:shd w:val="clear" w:color="auto" w:fill="FFFFFF" w:themeFill="background1"/>
        <w:spacing w:line="276" w:lineRule="auto"/>
        <w:jc w:val="both"/>
        <w:rPr>
          <w:rFonts w:ascii="Book Antiqua" w:hAnsi="Book Antiqua"/>
          <w:b/>
          <w:bCs/>
          <w:lang w:val="es-ES_tradnl" w:eastAsia="en-US"/>
        </w:rPr>
      </w:pPr>
      <w:r w:rsidRPr="00F92897">
        <w:rPr>
          <w:rFonts w:ascii="Book Antiqua" w:hAnsi="Book Antiqua"/>
          <w:b/>
          <w:lang w:val="es-ES_tradnl" w:eastAsia="en-US"/>
        </w:rPr>
        <w:t xml:space="preserve">En resumen se evidencia </w:t>
      </w:r>
      <w:r w:rsidR="003F186D" w:rsidRPr="00F92897">
        <w:rPr>
          <w:rFonts w:ascii="Book Antiqua" w:hAnsi="Book Antiqua"/>
          <w:b/>
          <w:lang w:val="es-ES_tradnl" w:eastAsia="en-US"/>
        </w:rPr>
        <w:t xml:space="preserve">una </w:t>
      </w:r>
      <w:r w:rsidRPr="00F92897">
        <w:rPr>
          <w:rFonts w:ascii="Book Antiqua" w:hAnsi="Book Antiqua"/>
          <w:b/>
          <w:lang w:val="es-ES_tradnl" w:eastAsia="en-US"/>
        </w:rPr>
        <w:t>recuperación en el 2021 de la entrada de asuntos en el Poder Judicial.</w:t>
      </w:r>
      <w:r>
        <w:rPr>
          <w:rFonts w:ascii="Book Antiqua" w:hAnsi="Book Antiqua"/>
          <w:b/>
          <w:bCs/>
          <w:lang w:val="es-ES_tradnl" w:eastAsia="en-US"/>
        </w:rPr>
        <w:t xml:space="preserve"> </w:t>
      </w:r>
    </w:p>
    <w:p w14:paraId="0CEE09D2" w14:textId="77777777" w:rsidR="0059268A" w:rsidRDefault="0059268A" w:rsidP="00234CBE">
      <w:pPr>
        <w:shd w:val="clear" w:color="auto" w:fill="FFFFFF" w:themeFill="background1"/>
        <w:spacing w:line="276" w:lineRule="auto"/>
        <w:jc w:val="both"/>
        <w:rPr>
          <w:rFonts w:ascii="Book Antiqua" w:hAnsi="Book Antiqua"/>
          <w:b/>
          <w:bCs/>
          <w:lang w:val="es-ES_tradnl" w:eastAsia="en-US"/>
        </w:rPr>
      </w:pPr>
    </w:p>
    <w:p w14:paraId="2FE57DDA" w14:textId="5EABBB77" w:rsidR="00776798" w:rsidRPr="008E3882" w:rsidRDefault="00776798" w:rsidP="00234CBE">
      <w:pPr>
        <w:pStyle w:val="Ttulo1"/>
        <w:spacing w:line="276" w:lineRule="auto"/>
      </w:pPr>
      <w:r w:rsidRPr="008E3882">
        <w:t xml:space="preserve">CAPITULO II. ANALISIS </w:t>
      </w:r>
      <w:r w:rsidR="00222669" w:rsidRPr="008E3882">
        <w:t>ESTAD</w:t>
      </w:r>
      <w:r w:rsidR="000120C7">
        <w:t>Í</w:t>
      </w:r>
      <w:r w:rsidR="00222669" w:rsidRPr="008E3882">
        <w:t xml:space="preserve">STICO </w:t>
      </w:r>
      <w:r w:rsidRPr="008E3882">
        <w:t>DE LAS AUDIENCIAS</w:t>
      </w:r>
    </w:p>
    <w:p w14:paraId="03A610CC" w14:textId="77777777" w:rsidR="00776798" w:rsidRPr="008E3882" w:rsidRDefault="00776798" w:rsidP="00234CBE">
      <w:pPr>
        <w:shd w:val="clear" w:color="auto" w:fill="FFFFFF" w:themeFill="background1"/>
        <w:spacing w:line="276" w:lineRule="auto"/>
        <w:jc w:val="both"/>
        <w:rPr>
          <w:rFonts w:ascii="Book Antiqua" w:hAnsi="Book Antiqua"/>
          <w:b/>
          <w:bCs/>
          <w:lang w:val="es-ES_tradnl" w:eastAsia="en-US"/>
        </w:rPr>
      </w:pPr>
    </w:p>
    <w:p w14:paraId="03FEC36D" w14:textId="4C019E49" w:rsidR="00222669" w:rsidRPr="008E3882" w:rsidRDefault="7FC413B2" w:rsidP="00234CBE">
      <w:pPr>
        <w:pStyle w:val="Ttulo2"/>
        <w:spacing w:line="276" w:lineRule="auto"/>
        <w:rPr>
          <w:rFonts w:ascii="Book Antiqua" w:hAnsi="Book Antiqua"/>
          <w:b w:val="0"/>
          <w:bCs w:val="0"/>
        </w:rPr>
      </w:pPr>
      <w:proofErr w:type="gramStart"/>
      <w:r w:rsidRPr="57A79FF7">
        <w:rPr>
          <w:rFonts w:ascii="Book Antiqua" w:hAnsi="Book Antiqua"/>
        </w:rPr>
        <w:t>2</w:t>
      </w:r>
      <w:r w:rsidR="00222669" w:rsidRPr="57A79FF7">
        <w:rPr>
          <w:rFonts w:ascii="Book Antiqua" w:hAnsi="Book Antiqua"/>
        </w:rPr>
        <w:t>.</w:t>
      </w:r>
      <w:r w:rsidR="00222669" w:rsidRPr="008E3882">
        <w:rPr>
          <w:rFonts w:ascii="Book Antiqua" w:hAnsi="Book Antiqua"/>
        </w:rPr>
        <w:t>1  Efectividad</w:t>
      </w:r>
      <w:proofErr w:type="gramEnd"/>
      <w:r w:rsidR="00222669" w:rsidRPr="008E3882">
        <w:rPr>
          <w:rFonts w:ascii="Book Antiqua" w:hAnsi="Book Antiqua"/>
        </w:rPr>
        <w:t xml:space="preserve"> de audiencias</w:t>
      </w:r>
    </w:p>
    <w:p w14:paraId="5F9BDFEC" w14:textId="77777777" w:rsidR="00222669" w:rsidRPr="008E3882" w:rsidRDefault="00222669" w:rsidP="00234CBE">
      <w:pPr>
        <w:spacing w:line="276" w:lineRule="auto"/>
        <w:rPr>
          <w:rFonts w:ascii="Book Antiqua" w:hAnsi="Book Antiqua"/>
          <w:lang w:val="es-ES_tradnl" w:eastAsia="en-US"/>
        </w:rPr>
      </w:pPr>
    </w:p>
    <w:p w14:paraId="79EA4AD4" w14:textId="5B9E6331" w:rsidR="00222669" w:rsidRPr="008E3882" w:rsidRDefault="00222669" w:rsidP="00234CBE">
      <w:pPr>
        <w:spacing w:line="276" w:lineRule="auto"/>
        <w:jc w:val="both"/>
        <w:rPr>
          <w:rFonts w:ascii="Book Antiqua" w:hAnsi="Book Antiqua"/>
          <w:lang w:val="es-ES_tradnl" w:eastAsia="en-US"/>
        </w:rPr>
      </w:pPr>
      <w:r w:rsidRPr="008E3882">
        <w:rPr>
          <w:rFonts w:ascii="Book Antiqua" w:hAnsi="Book Antiqua"/>
          <w:lang w:val="es-ES_tradnl" w:eastAsia="en-US"/>
        </w:rPr>
        <w:t xml:space="preserve">A partir de la </w:t>
      </w:r>
      <w:r w:rsidR="008B7F93">
        <w:rPr>
          <w:rFonts w:ascii="Book Antiqua" w:hAnsi="Book Antiqua"/>
          <w:lang w:val="es-ES_tradnl" w:eastAsia="en-US"/>
        </w:rPr>
        <w:t xml:space="preserve">información que los despachos  ingresan en el sistema y con la </w:t>
      </w:r>
      <w:r w:rsidRPr="008E3882">
        <w:rPr>
          <w:rFonts w:ascii="Book Antiqua" w:hAnsi="Book Antiqua"/>
          <w:lang w:val="es-ES_tradnl" w:eastAsia="en-US"/>
        </w:rPr>
        <w:t>construcción de la Agenda Cronos se logra totalizar la cantidad de audiencias realizadas, no realizadas</w:t>
      </w:r>
      <w:r w:rsidR="00E00B6C" w:rsidRPr="008E3882">
        <w:rPr>
          <w:rFonts w:ascii="Book Antiqua" w:hAnsi="Book Antiqua"/>
          <w:lang w:val="es-ES_tradnl" w:eastAsia="en-US"/>
        </w:rPr>
        <w:t xml:space="preserve"> de enero a </w:t>
      </w:r>
      <w:r w:rsidR="005A5DE7">
        <w:rPr>
          <w:rFonts w:ascii="Book Antiqua" w:hAnsi="Book Antiqua"/>
          <w:lang w:val="es-ES_tradnl" w:eastAsia="en-US"/>
        </w:rPr>
        <w:t>setiembre</w:t>
      </w:r>
      <w:r w:rsidRPr="008E3882">
        <w:rPr>
          <w:rFonts w:ascii="Book Antiqua" w:hAnsi="Book Antiqua"/>
          <w:lang w:val="es-ES_tradnl" w:eastAsia="en-US"/>
        </w:rPr>
        <w:t xml:space="preserve"> y las que quedaron pendientes </w:t>
      </w:r>
      <w:r w:rsidR="001E7CCF" w:rsidRPr="008E3882">
        <w:rPr>
          <w:rFonts w:ascii="Book Antiqua" w:hAnsi="Book Antiqua"/>
          <w:lang w:val="es-ES_tradnl" w:eastAsia="en-US"/>
        </w:rPr>
        <w:t>en</w:t>
      </w:r>
      <w:r w:rsidR="00C27B3C" w:rsidRPr="008E3882">
        <w:rPr>
          <w:rFonts w:ascii="Book Antiqua" w:hAnsi="Book Antiqua"/>
          <w:lang w:val="es-ES_tradnl" w:eastAsia="en-US"/>
        </w:rPr>
        <w:t xml:space="preserve"> </w:t>
      </w:r>
      <w:r w:rsidR="005A5DE7">
        <w:rPr>
          <w:rFonts w:ascii="Book Antiqua" w:hAnsi="Book Antiqua"/>
          <w:lang w:val="es-ES_tradnl" w:eastAsia="en-US"/>
        </w:rPr>
        <w:t xml:space="preserve">setiembre </w:t>
      </w:r>
      <w:r w:rsidRPr="008E3882">
        <w:rPr>
          <w:rFonts w:ascii="Book Antiqua" w:hAnsi="Book Antiqua"/>
          <w:lang w:val="es-ES_tradnl" w:eastAsia="en-US"/>
        </w:rPr>
        <w:t xml:space="preserve">del </w:t>
      </w:r>
      <w:r w:rsidR="00E00B6C" w:rsidRPr="008E3882">
        <w:rPr>
          <w:rFonts w:ascii="Book Antiqua" w:hAnsi="Book Antiqua"/>
          <w:lang w:val="es-ES_tradnl" w:eastAsia="en-US"/>
        </w:rPr>
        <w:t>presente año</w:t>
      </w:r>
      <w:r w:rsidRPr="008E3882">
        <w:rPr>
          <w:rFonts w:ascii="Book Antiqua" w:hAnsi="Book Antiqua"/>
          <w:lang w:val="es-ES_tradnl" w:eastAsia="en-US"/>
        </w:rPr>
        <w:t>.</w:t>
      </w:r>
    </w:p>
    <w:p w14:paraId="2C45AF03" w14:textId="77777777" w:rsidR="00222669" w:rsidRPr="008E3882" w:rsidRDefault="00222669" w:rsidP="00234CBE">
      <w:pPr>
        <w:spacing w:line="276" w:lineRule="auto"/>
        <w:jc w:val="both"/>
        <w:rPr>
          <w:rFonts w:ascii="Book Antiqua" w:hAnsi="Book Antiqua"/>
          <w:lang w:val="es-ES_tradnl" w:eastAsia="en-US"/>
        </w:rPr>
      </w:pPr>
    </w:p>
    <w:p w14:paraId="2C5F1458" w14:textId="12A009D8" w:rsidR="00222669" w:rsidRPr="008E3882" w:rsidRDefault="00222669" w:rsidP="00234CBE">
      <w:pPr>
        <w:spacing w:line="276" w:lineRule="auto"/>
        <w:jc w:val="both"/>
        <w:rPr>
          <w:rFonts w:ascii="Book Antiqua" w:hAnsi="Book Antiqua"/>
          <w:lang w:val="es-ES_tradnl" w:eastAsia="en-US"/>
        </w:rPr>
      </w:pPr>
      <w:r w:rsidRPr="008E3882">
        <w:rPr>
          <w:rFonts w:ascii="Book Antiqua" w:hAnsi="Book Antiqua"/>
          <w:lang w:val="es-ES_tradnl" w:eastAsia="en-US"/>
        </w:rPr>
        <w:t>Dentro de la categoría de realizadas se consideraron:</w:t>
      </w:r>
    </w:p>
    <w:p w14:paraId="51C86FB9" w14:textId="77777777" w:rsidR="00907CB6" w:rsidRPr="008E3882" w:rsidRDefault="00907CB6" w:rsidP="00234CBE">
      <w:pPr>
        <w:spacing w:line="276" w:lineRule="auto"/>
        <w:jc w:val="both"/>
        <w:rPr>
          <w:rFonts w:ascii="Book Antiqua" w:hAnsi="Book Antiqua"/>
          <w:lang w:val="es-ES_tradnl" w:eastAsia="en-US"/>
        </w:rPr>
      </w:pPr>
    </w:p>
    <w:p w14:paraId="569C3EAC" w14:textId="242FB884" w:rsidR="00222669" w:rsidRPr="008E3882" w:rsidRDefault="00222669" w:rsidP="0073399F">
      <w:pPr>
        <w:pStyle w:val="Prrafodelista"/>
        <w:numPr>
          <w:ilvl w:val="0"/>
          <w:numId w:val="14"/>
        </w:numPr>
        <w:spacing w:line="276" w:lineRule="auto"/>
        <w:jc w:val="both"/>
        <w:rPr>
          <w:rFonts w:ascii="Book Antiqua" w:hAnsi="Book Antiqua"/>
          <w:lang w:val="es-ES_tradnl" w:eastAsia="en-US"/>
        </w:rPr>
      </w:pPr>
      <w:r w:rsidRPr="008E3882">
        <w:rPr>
          <w:rFonts w:ascii="Book Antiqua" w:hAnsi="Book Antiqua"/>
          <w:lang w:val="es-ES_tradnl" w:eastAsia="en-US"/>
        </w:rPr>
        <w:t>Conciliada</w:t>
      </w:r>
      <w:r w:rsidR="004E2295" w:rsidRPr="008E3882">
        <w:rPr>
          <w:rFonts w:ascii="Book Antiqua" w:hAnsi="Book Antiqua"/>
          <w:lang w:val="es-ES_tradnl" w:eastAsia="en-US"/>
        </w:rPr>
        <w:t>: esta aplica cuando se realiza una audiencia y finaliza a través de una medida alterna del conflicto.</w:t>
      </w:r>
    </w:p>
    <w:p w14:paraId="019BBABD" w14:textId="2122E9A8" w:rsidR="00907CB6" w:rsidRPr="008E3882" w:rsidRDefault="00222669" w:rsidP="0073399F">
      <w:pPr>
        <w:pStyle w:val="Prrafodelista"/>
        <w:numPr>
          <w:ilvl w:val="0"/>
          <w:numId w:val="14"/>
        </w:numPr>
        <w:spacing w:line="276" w:lineRule="auto"/>
        <w:jc w:val="both"/>
        <w:rPr>
          <w:rFonts w:ascii="Book Antiqua" w:hAnsi="Book Antiqua"/>
          <w:lang w:val="es-ES_tradnl" w:eastAsia="en-US"/>
        </w:rPr>
      </w:pPr>
      <w:r w:rsidRPr="008E3882">
        <w:rPr>
          <w:rFonts w:ascii="Book Antiqua" w:hAnsi="Book Antiqua"/>
          <w:lang w:val="es-ES_tradnl" w:eastAsia="en-US"/>
        </w:rPr>
        <w:t>Realizada presencia</w:t>
      </w:r>
      <w:r w:rsidR="00907CB6" w:rsidRPr="008E3882">
        <w:rPr>
          <w:rFonts w:ascii="Book Antiqua" w:hAnsi="Book Antiqua"/>
          <w:lang w:val="es-ES_tradnl" w:eastAsia="en-US"/>
        </w:rPr>
        <w:t>l</w:t>
      </w:r>
      <w:r w:rsidR="004E2295" w:rsidRPr="008E3882">
        <w:rPr>
          <w:rFonts w:ascii="Book Antiqua" w:hAnsi="Book Antiqua"/>
          <w:lang w:val="es-ES_tradnl" w:eastAsia="en-US"/>
        </w:rPr>
        <w:t>: es el estado que aplica cuando la diligencia se realizó de mantera total y de forma presencial.</w:t>
      </w:r>
    </w:p>
    <w:p w14:paraId="5068457A" w14:textId="14217E44" w:rsidR="00907CB6" w:rsidRPr="008E3882" w:rsidRDefault="00222669" w:rsidP="0073399F">
      <w:pPr>
        <w:pStyle w:val="Prrafodelista"/>
        <w:numPr>
          <w:ilvl w:val="0"/>
          <w:numId w:val="14"/>
        </w:numPr>
        <w:spacing w:line="276" w:lineRule="auto"/>
        <w:jc w:val="both"/>
        <w:rPr>
          <w:rFonts w:ascii="Book Antiqua" w:hAnsi="Book Antiqua"/>
          <w:lang w:val="es-ES_tradnl" w:eastAsia="en-US"/>
        </w:rPr>
      </w:pPr>
      <w:r w:rsidRPr="008E3882">
        <w:rPr>
          <w:rFonts w:ascii="Book Antiqua" w:hAnsi="Book Antiqua"/>
          <w:lang w:val="es-ES_tradnl" w:eastAsia="en-US"/>
        </w:rPr>
        <w:t>Realizada videoconferenci</w:t>
      </w:r>
      <w:r w:rsidR="00907CB6" w:rsidRPr="008E3882">
        <w:rPr>
          <w:rFonts w:ascii="Book Antiqua" w:hAnsi="Book Antiqua"/>
          <w:lang w:val="es-ES_tradnl" w:eastAsia="en-US"/>
        </w:rPr>
        <w:t>a</w:t>
      </w:r>
      <w:r w:rsidR="004E2295" w:rsidRPr="008E3882">
        <w:rPr>
          <w:rFonts w:ascii="Book Antiqua" w:hAnsi="Book Antiqua"/>
          <w:lang w:val="es-ES_tradnl" w:eastAsia="en-US"/>
        </w:rPr>
        <w:t>: es el estado que aplica cuando la diligencia se completó y se hizo a través de la herramienta tecnológica de la videoconferencia.</w:t>
      </w:r>
    </w:p>
    <w:p w14:paraId="5F6A2FAF" w14:textId="7065A25D" w:rsidR="00222669" w:rsidRPr="008E3882" w:rsidRDefault="00222669" w:rsidP="0073399F">
      <w:pPr>
        <w:pStyle w:val="Prrafodelista"/>
        <w:numPr>
          <w:ilvl w:val="0"/>
          <w:numId w:val="14"/>
        </w:numPr>
        <w:spacing w:line="276" w:lineRule="auto"/>
        <w:jc w:val="both"/>
        <w:rPr>
          <w:rFonts w:ascii="Book Antiqua" w:hAnsi="Book Antiqua"/>
          <w:lang w:val="es-ES_tradnl" w:eastAsia="en-US"/>
        </w:rPr>
      </w:pPr>
      <w:r w:rsidRPr="008E3882">
        <w:rPr>
          <w:rFonts w:ascii="Book Antiqua" w:hAnsi="Book Antiqua"/>
          <w:lang w:val="es-ES_tradnl" w:eastAsia="en-US"/>
        </w:rPr>
        <w:t>Realizado</w:t>
      </w:r>
      <w:r w:rsidR="004E2295" w:rsidRPr="008E3882">
        <w:rPr>
          <w:rFonts w:ascii="Book Antiqua" w:hAnsi="Book Antiqua"/>
          <w:lang w:val="es-ES_tradnl" w:eastAsia="en-US"/>
        </w:rPr>
        <w:t xml:space="preserve">: este estado es el que aplica cuando se hizo la </w:t>
      </w:r>
      <w:r w:rsidR="00CA1324" w:rsidRPr="008E3882">
        <w:rPr>
          <w:rFonts w:ascii="Book Antiqua" w:hAnsi="Book Antiqua"/>
          <w:lang w:val="es-ES_tradnl" w:eastAsia="en-US"/>
        </w:rPr>
        <w:t>audiencia,</w:t>
      </w:r>
      <w:r w:rsidR="004E2295" w:rsidRPr="008E3882">
        <w:rPr>
          <w:rFonts w:ascii="Book Antiqua" w:hAnsi="Book Antiqua"/>
          <w:lang w:val="es-ES_tradnl" w:eastAsia="en-US"/>
        </w:rPr>
        <w:t xml:space="preserve"> pero la oficina no diferenció si se hizo de manera presencial o por videoconferencia.</w:t>
      </w:r>
    </w:p>
    <w:p w14:paraId="07B42D29" w14:textId="77777777" w:rsidR="00222669" w:rsidRPr="008E3882" w:rsidRDefault="00222669" w:rsidP="00234CBE">
      <w:pPr>
        <w:spacing w:line="276" w:lineRule="auto"/>
        <w:rPr>
          <w:rFonts w:ascii="Book Antiqua" w:hAnsi="Book Antiqua"/>
          <w:lang w:val="es-ES_tradnl" w:eastAsia="en-US"/>
        </w:rPr>
      </w:pPr>
    </w:p>
    <w:p w14:paraId="075EDED8" w14:textId="77777777" w:rsidR="00907CB6" w:rsidRPr="00746E61" w:rsidRDefault="00222669" w:rsidP="00746E61">
      <w:pPr>
        <w:spacing w:line="276" w:lineRule="auto"/>
        <w:rPr>
          <w:rFonts w:ascii="Book Antiqua" w:hAnsi="Book Antiqua"/>
          <w:lang w:val="es-ES_tradnl" w:eastAsia="en-US"/>
        </w:rPr>
      </w:pPr>
      <w:r w:rsidRPr="00746E61">
        <w:rPr>
          <w:rFonts w:ascii="Book Antiqua" w:hAnsi="Book Antiqua"/>
          <w:lang w:val="es-ES_tradnl" w:eastAsia="en-US"/>
        </w:rPr>
        <w:t>Dentro de la categoría no realizadas se tomaron en cuenta:</w:t>
      </w:r>
    </w:p>
    <w:p w14:paraId="232791AE" w14:textId="77777777" w:rsidR="00907CB6" w:rsidRPr="00746E61" w:rsidRDefault="00907CB6" w:rsidP="00746E61">
      <w:pPr>
        <w:spacing w:line="276" w:lineRule="auto"/>
        <w:rPr>
          <w:rFonts w:ascii="Book Antiqua" w:hAnsi="Book Antiqua"/>
          <w:lang w:val="es-ES_tradnl" w:eastAsia="en-US"/>
        </w:rPr>
      </w:pPr>
    </w:p>
    <w:p w14:paraId="04E6FDEC" w14:textId="1A021A70" w:rsidR="00222669" w:rsidRPr="00746E61" w:rsidRDefault="00222669" w:rsidP="00746E61">
      <w:pPr>
        <w:spacing w:line="276" w:lineRule="auto"/>
        <w:ind w:firstLine="360"/>
        <w:jc w:val="both"/>
        <w:rPr>
          <w:rFonts w:ascii="Book Antiqua" w:hAnsi="Book Antiqua"/>
          <w:lang w:val="es-ES_tradnl" w:eastAsia="en-US"/>
        </w:rPr>
      </w:pPr>
      <w:r w:rsidRPr="00746E61">
        <w:rPr>
          <w:rFonts w:ascii="Book Antiqua" w:hAnsi="Book Antiqua"/>
          <w:lang w:val="es-ES_tradnl" w:eastAsia="en-US"/>
        </w:rPr>
        <w:t>a. No realizada presencial</w:t>
      </w:r>
      <w:r w:rsidR="004E2295" w:rsidRPr="00746E61">
        <w:rPr>
          <w:rFonts w:ascii="Book Antiqua" w:hAnsi="Book Antiqua"/>
          <w:lang w:val="es-ES_tradnl" w:eastAsia="en-US"/>
        </w:rPr>
        <w:t>: aplica cuando la audiencia estaba programada para hacerse de manera presencial pero no se pudo desarrollar.</w:t>
      </w:r>
    </w:p>
    <w:p w14:paraId="2CA80873" w14:textId="75623255" w:rsidR="00222669" w:rsidRPr="00746E61" w:rsidRDefault="00222669" w:rsidP="00746E61">
      <w:pPr>
        <w:spacing w:line="276" w:lineRule="auto"/>
        <w:ind w:firstLine="360"/>
        <w:jc w:val="both"/>
        <w:rPr>
          <w:rFonts w:ascii="Book Antiqua" w:hAnsi="Book Antiqua"/>
          <w:lang w:val="es-ES_tradnl" w:eastAsia="en-US"/>
        </w:rPr>
      </w:pPr>
      <w:r w:rsidRPr="00746E61">
        <w:rPr>
          <w:rFonts w:ascii="Book Antiqua" w:hAnsi="Book Antiqua"/>
          <w:lang w:val="es-ES_tradnl" w:eastAsia="en-US"/>
        </w:rPr>
        <w:t>b. No realizada videoconferencia</w:t>
      </w:r>
      <w:r w:rsidR="004E2295" w:rsidRPr="00746E61">
        <w:rPr>
          <w:rFonts w:ascii="Book Antiqua" w:hAnsi="Book Antiqua"/>
          <w:lang w:val="es-ES_tradnl" w:eastAsia="en-US"/>
        </w:rPr>
        <w:t xml:space="preserve">: este estado se utiliza cuando la audiencia estaba programada por </w:t>
      </w:r>
      <w:r w:rsidR="00CA1324" w:rsidRPr="00746E61">
        <w:rPr>
          <w:rFonts w:ascii="Book Antiqua" w:hAnsi="Book Antiqua"/>
          <w:lang w:val="es-ES_tradnl" w:eastAsia="en-US"/>
        </w:rPr>
        <w:t>videoconferencia,</w:t>
      </w:r>
      <w:r w:rsidR="004E2295" w:rsidRPr="00746E61">
        <w:rPr>
          <w:rFonts w:ascii="Book Antiqua" w:hAnsi="Book Antiqua"/>
          <w:lang w:val="es-ES_tradnl" w:eastAsia="en-US"/>
        </w:rPr>
        <w:t xml:space="preserve"> pero no se pudo desarrollar.</w:t>
      </w:r>
    </w:p>
    <w:p w14:paraId="4558E2B8" w14:textId="3887C286" w:rsidR="00222669" w:rsidRPr="00746E61" w:rsidRDefault="00222669" w:rsidP="00746E61">
      <w:pPr>
        <w:spacing w:line="276" w:lineRule="auto"/>
        <w:ind w:firstLine="360"/>
        <w:jc w:val="both"/>
        <w:rPr>
          <w:rFonts w:ascii="Book Antiqua" w:hAnsi="Book Antiqua"/>
          <w:lang w:val="es-ES_tradnl" w:eastAsia="en-US"/>
        </w:rPr>
      </w:pPr>
      <w:r w:rsidRPr="00746E61">
        <w:rPr>
          <w:rFonts w:ascii="Book Antiqua" w:hAnsi="Book Antiqua"/>
          <w:lang w:val="es-ES_tradnl" w:eastAsia="en-US"/>
        </w:rPr>
        <w:t>c. No realizado</w:t>
      </w:r>
      <w:r w:rsidR="004E2295" w:rsidRPr="00746E61">
        <w:rPr>
          <w:rFonts w:ascii="Book Antiqua" w:hAnsi="Book Antiqua"/>
          <w:lang w:val="es-ES_tradnl" w:eastAsia="en-US"/>
        </w:rPr>
        <w:t xml:space="preserve">: este se utiliza cuando se encuentra el apunte de la </w:t>
      </w:r>
      <w:r w:rsidR="00CA1324" w:rsidRPr="00746E61">
        <w:rPr>
          <w:rFonts w:ascii="Book Antiqua" w:hAnsi="Book Antiqua"/>
          <w:lang w:val="es-ES_tradnl" w:eastAsia="en-US"/>
        </w:rPr>
        <w:t>audiencia,</w:t>
      </w:r>
      <w:r w:rsidR="004E2295" w:rsidRPr="00746E61">
        <w:rPr>
          <w:rFonts w:ascii="Book Antiqua" w:hAnsi="Book Antiqua"/>
          <w:lang w:val="es-ES_tradnl" w:eastAsia="en-US"/>
        </w:rPr>
        <w:t xml:space="preserve"> pero no se distinguió si fue presencial o virtual y no se desarrolló.</w:t>
      </w:r>
    </w:p>
    <w:p w14:paraId="7DFE767F" w14:textId="68762E9A" w:rsidR="00222669" w:rsidRPr="00746E61" w:rsidRDefault="00222669" w:rsidP="00746E61">
      <w:pPr>
        <w:spacing w:line="276" w:lineRule="auto"/>
        <w:ind w:firstLine="360"/>
        <w:jc w:val="both"/>
        <w:rPr>
          <w:rFonts w:ascii="Book Antiqua" w:hAnsi="Book Antiqua"/>
          <w:lang w:val="es-ES_tradnl" w:eastAsia="en-US"/>
        </w:rPr>
      </w:pPr>
      <w:r w:rsidRPr="00746E61">
        <w:rPr>
          <w:rFonts w:ascii="Book Antiqua" w:hAnsi="Book Antiqua"/>
          <w:lang w:val="es-ES_tradnl" w:eastAsia="en-US"/>
        </w:rPr>
        <w:t>d. Sin efecto</w:t>
      </w:r>
      <w:r w:rsidR="004E2295" w:rsidRPr="00746E61">
        <w:rPr>
          <w:rFonts w:ascii="Book Antiqua" w:hAnsi="Book Antiqua"/>
          <w:lang w:val="es-ES_tradnl" w:eastAsia="en-US"/>
        </w:rPr>
        <w:t>: cuando existe un señalamiento agendado pero el despacho identifica que no se va a poder desarrollar y lo deja sin efecto.</w:t>
      </w:r>
    </w:p>
    <w:p w14:paraId="2614D52F" w14:textId="55535C2E" w:rsidR="00222669" w:rsidRPr="00746E61" w:rsidRDefault="00222669" w:rsidP="00746E61">
      <w:pPr>
        <w:spacing w:line="276" w:lineRule="auto"/>
        <w:ind w:firstLine="360"/>
        <w:jc w:val="both"/>
        <w:rPr>
          <w:rFonts w:ascii="Book Antiqua" w:hAnsi="Book Antiqua"/>
          <w:lang w:val="es-ES_tradnl" w:eastAsia="en-US"/>
        </w:rPr>
      </w:pPr>
      <w:r w:rsidRPr="00746E61">
        <w:rPr>
          <w:rFonts w:ascii="Book Antiqua" w:hAnsi="Book Antiqua"/>
          <w:lang w:val="es-ES_tradnl" w:eastAsia="en-US"/>
        </w:rPr>
        <w:t>e. Suspendida presencial</w:t>
      </w:r>
      <w:r w:rsidR="004E2295" w:rsidRPr="00746E61">
        <w:rPr>
          <w:rFonts w:ascii="Book Antiqua" w:hAnsi="Book Antiqua"/>
          <w:lang w:val="es-ES_tradnl" w:eastAsia="en-US"/>
        </w:rPr>
        <w:t xml:space="preserve">: </w:t>
      </w:r>
      <w:r w:rsidR="00062EED" w:rsidRPr="00746E61">
        <w:rPr>
          <w:rFonts w:ascii="Book Antiqua" w:hAnsi="Book Antiqua"/>
          <w:lang w:val="es-ES_tradnl" w:eastAsia="en-US"/>
        </w:rPr>
        <w:t>aplica cuando se tiene un apunte en la agenda para que se desarrolle de manera presencial pero no se efectúa.</w:t>
      </w:r>
    </w:p>
    <w:p w14:paraId="0843270C" w14:textId="4E9CC496" w:rsidR="00222669" w:rsidRPr="00746E61" w:rsidRDefault="00222669" w:rsidP="00746E61">
      <w:pPr>
        <w:spacing w:line="276" w:lineRule="auto"/>
        <w:ind w:firstLine="360"/>
        <w:jc w:val="both"/>
        <w:rPr>
          <w:rFonts w:ascii="Book Antiqua" w:hAnsi="Book Antiqua"/>
          <w:lang w:val="es-ES_tradnl" w:eastAsia="en-US"/>
        </w:rPr>
      </w:pPr>
      <w:r w:rsidRPr="00746E61">
        <w:rPr>
          <w:rFonts w:ascii="Book Antiqua" w:hAnsi="Book Antiqua"/>
          <w:lang w:val="es-ES_tradnl" w:eastAsia="en-US"/>
        </w:rPr>
        <w:t>f. Suspendida videoconferencia</w:t>
      </w:r>
      <w:r w:rsidR="00062EED" w:rsidRPr="00746E61">
        <w:rPr>
          <w:rFonts w:ascii="Book Antiqua" w:hAnsi="Book Antiqua"/>
          <w:lang w:val="es-ES_tradnl" w:eastAsia="en-US"/>
        </w:rPr>
        <w:t>: aplica cuando se tiene un apunte en la agenda para que se desarrolle de manera virtual pero no se efectúa.</w:t>
      </w:r>
    </w:p>
    <w:p w14:paraId="133DA8F7" w14:textId="74A24C36" w:rsidR="00222669" w:rsidRPr="00746E61" w:rsidRDefault="00222669" w:rsidP="00746E61">
      <w:pPr>
        <w:spacing w:line="276" w:lineRule="auto"/>
        <w:ind w:firstLine="360"/>
        <w:jc w:val="both"/>
        <w:rPr>
          <w:rFonts w:ascii="Book Antiqua" w:hAnsi="Book Antiqua"/>
          <w:lang w:val="es-ES_tradnl" w:eastAsia="en-US"/>
        </w:rPr>
      </w:pPr>
      <w:r w:rsidRPr="00746E61">
        <w:rPr>
          <w:rFonts w:ascii="Book Antiqua" w:hAnsi="Book Antiqua"/>
          <w:lang w:val="es-ES_tradnl" w:eastAsia="en-US"/>
        </w:rPr>
        <w:t>g. Suspendido</w:t>
      </w:r>
      <w:r w:rsidR="00062EED" w:rsidRPr="00746E61">
        <w:rPr>
          <w:rFonts w:ascii="Book Antiqua" w:hAnsi="Book Antiqua"/>
          <w:lang w:val="es-ES_tradnl" w:eastAsia="en-US"/>
        </w:rPr>
        <w:t xml:space="preserve">: aplica cuando se tiene un apunte en la </w:t>
      </w:r>
      <w:r w:rsidR="00CA1324" w:rsidRPr="00746E61">
        <w:rPr>
          <w:rFonts w:ascii="Book Antiqua" w:hAnsi="Book Antiqua"/>
          <w:lang w:val="es-ES_tradnl" w:eastAsia="en-US"/>
        </w:rPr>
        <w:t>agenda,</w:t>
      </w:r>
      <w:r w:rsidR="00062EED" w:rsidRPr="00746E61">
        <w:rPr>
          <w:rFonts w:ascii="Book Antiqua" w:hAnsi="Book Antiqua"/>
          <w:lang w:val="es-ES_tradnl" w:eastAsia="en-US"/>
        </w:rPr>
        <w:t xml:space="preserve"> pero no se tiene identificada si será presencial o virtual y este no se efectúa.</w:t>
      </w:r>
    </w:p>
    <w:p w14:paraId="3F87C8A6" w14:textId="77777777" w:rsidR="00222669" w:rsidRPr="00746E61" w:rsidRDefault="00222669" w:rsidP="00746E61">
      <w:pPr>
        <w:spacing w:line="276" w:lineRule="auto"/>
        <w:rPr>
          <w:rFonts w:ascii="Book Antiqua" w:hAnsi="Book Antiqua"/>
          <w:lang w:val="es-ES_tradnl" w:eastAsia="en-US"/>
        </w:rPr>
      </w:pPr>
    </w:p>
    <w:p w14:paraId="67865566" w14:textId="77777777" w:rsidR="00D632B9" w:rsidRPr="00746E61" w:rsidRDefault="00D632B9" w:rsidP="00746E61">
      <w:pPr>
        <w:spacing w:line="276" w:lineRule="auto"/>
        <w:jc w:val="both"/>
        <w:rPr>
          <w:rFonts w:ascii="Book Antiqua" w:hAnsi="Book Antiqua"/>
          <w:lang w:val="es-ES_tradnl" w:eastAsia="en-US"/>
        </w:rPr>
      </w:pPr>
      <w:bookmarkStart w:id="5" w:name="_Hlk53585567"/>
    </w:p>
    <w:p w14:paraId="572955A1" w14:textId="76F67228" w:rsidR="00222669" w:rsidRPr="00746E61" w:rsidRDefault="00AB192C" w:rsidP="00746E61">
      <w:pPr>
        <w:spacing w:line="276" w:lineRule="auto"/>
        <w:jc w:val="both"/>
        <w:rPr>
          <w:rFonts w:ascii="Book Antiqua" w:hAnsi="Book Antiqua"/>
          <w:lang w:val="es-ES_tradnl" w:eastAsia="en-US"/>
        </w:rPr>
      </w:pPr>
      <w:r w:rsidRPr="00F92897">
        <w:rPr>
          <w:rFonts w:ascii="Book Antiqua" w:hAnsi="Book Antiqua"/>
          <w:lang w:val="es-ES_tradnl" w:eastAsia="en-US"/>
        </w:rPr>
        <w:t>E</w:t>
      </w:r>
      <w:r w:rsidR="00222669" w:rsidRPr="00F92897">
        <w:rPr>
          <w:rFonts w:ascii="Book Antiqua" w:hAnsi="Book Antiqua"/>
          <w:lang w:val="es-ES_tradnl" w:eastAsia="en-US"/>
        </w:rPr>
        <w:t>l desglose por materia se logra observar en el siguiente cuadro:</w:t>
      </w:r>
    </w:p>
    <w:p w14:paraId="32E8153A" w14:textId="0C832B50" w:rsidR="00085B2A" w:rsidRPr="00746E61" w:rsidRDefault="00085B2A" w:rsidP="00746E61">
      <w:pPr>
        <w:spacing w:line="276" w:lineRule="auto"/>
        <w:rPr>
          <w:rFonts w:ascii="Book Antiqua" w:hAnsi="Book Antiqua"/>
          <w:lang w:val="es-ES_tradnl" w:eastAsia="en-US"/>
        </w:rPr>
      </w:pPr>
    </w:p>
    <w:p w14:paraId="3E612A2B" w14:textId="77777777" w:rsidR="006F775A" w:rsidRDefault="00222669" w:rsidP="00746E61">
      <w:pPr>
        <w:spacing w:line="276" w:lineRule="auto"/>
        <w:jc w:val="center"/>
        <w:rPr>
          <w:rFonts w:ascii="Book Antiqua" w:hAnsi="Book Antiqua"/>
          <w:b/>
          <w:bCs/>
          <w:lang w:val="es-ES_tradnl" w:eastAsia="en-US"/>
        </w:rPr>
      </w:pPr>
      <w:r w:rsidRPr="00746E61">
        <w:rPr>
          <w:rFonts w:ascii="Book Antiqua" w:hAnsi="Book Antiqua"/>
          <w:b/>
          <w:bCs/>
          <w:lang w:val="es-ES_tradnl" w:eastAsia="en-US"/>
        </w:rPr>
        <w:t xml:space="preserve">Cuadro </w:t>
      </w:r>
      <w:r w:rsidR="00E15347" w:rsidRPr="00746E61">
        <w:rPr>
          <w:rFonts w:ascii="Book Antiqua" w:hAnsi="Book Antiqua"/>
          <w:b/>
          <w:bCs/>
          <w:lang w:val="es-ES_tradnl" w:eastAsia="en-US"/>
        </w:rPr>
        <w:t>10</w:t>
      </w:r>
    </w:p>
    <w:p w14:paraId="11F6EF44" w14:textId="5CB2472B" w:rsidR="00C26867" w:rsidRPr="00746E61" w:rsidRDefault="00222669" w:rsidP="00746E61">
      <w:pPr>
        <w:spacing w:line="276" w:lineRule="auto"/>
        <w:jc w:val="center"/>
        <w:rPr>
          <w:rFonts w:ascii="Book Antiqua" w:hAnsi="Book Antiqua"/>
          <w:b/>
          <w:bCs/>
          <w:lang w:val="es-ES_tradnl" w:eastAsia="en-US"/>
        </w:rPr>
      </w:pPr>
      <w:r w:rsidRPr="00746E61">
        <w:rPr>
          <w:rFonts w:ascii="Book Antiqua" w:hAnsi="Book Antiqua"/>
          <w:b/>
          <w:bCs/>
          <w:lang w:val="es-ES_tradnl" w:eastAsia="en-US"/>
        </w:rPr>
        <w:t xml:space="preserve"> Resultados de diligencias en Agenda Cronos </w:t>
      </w:r>
    </w:p>
    <w:p w14:paraId="220D0172" w14:textId="4BE46500" w:rsidR="00C26867" w:rsidRPr="00746E61" w:rsidRDefault="00E00B6C" w:rsidP="004125C5">
      <w:pPr>
        <w:spacing w:line="276" w:lineRule="auto"/>
        <w:jc w:val="center"/>
        <w:rPr>
          <w:rFonts w:ascii="Book Antiqua" w:hAnsi="Book Antiqua"/>
          <w:b/>
          <w:bCs/>
          <w:lang w:val="es-ES_tradnl" w:eastAsia="en-US"/>
        </w:rPr>
      </w:pPr>
      <w:r w:rsidRPr="00746E61">
        <w:rPr>
          <w:rFonts w:ascii="Book Antiqua" w:hAnsi="Book Antiqua"/>
          <w:b/>
          <w:bCs/>
          <w:lang w:val="es-ES_tradnl" w:eastAsia="en-US"/>
        </w:rPr>
        <w:t xml:space="preserve">de enero a </w:t>
      </w:r>
      <w:r w:rsidR="00C26867" w:rsidRPr="00746E61">
        <w:rPr>
          <w:rFonts w:ascii="Book Antiqua" w:hAnsi="Book Antiqua"/>
          <w:b/>
          <w:bCs/>
          <w:lang w:val="es-ES_tradnl" w:eastAsia="en-US"/>
        </w:rPr>
        <w:t>setiembre</w:t>
      </w:r>
      <w:r w:rsidRPr="00746E61">
        <w:rPr>
          <w:rFonts w:ascii="Book Antiqua" w:hAnsi="Book Antiqua"/>
          <w:b/>
          <w:bCs/>
          <w:lang w:val="es-ES_tradnl" w:eastAsia="en-US"/>
        </w:rPr>
        <w:t xml:space="preserve"> de 2021</w:t>
      </w:r>
    </w:p>
    <w:tbl>
      <w:tblPr>
        <w:tblW w:w="7080" w:type="dxa"/>
        <w:jc w:val="center"/>
        <w:tblCellMar>
          <w:left w:w="70" w:type="dxa"/>
          <w:right w:w="70" w:type="dxa"/>
        </w:tblCellMar>
        <w:tblLook w:val="04A0" w:firstRow="1" w:lastRow="0" w:firstColumn="1" w:lastColumn="0" w:noHBand="0" w:noVBand="1"/>
      </w:tblPr>
      <w:tblGrid>
        <w:gridCol w:w="2420"/>
        <w:gridCol w:w="1200"/>
        <w:gridCol w:w="1100"/>
        <w:gridCol w:w="1180"/>
        <w:gridCol w:w="1180"/>
      </w:tblGrid>
      <w:tr w:rsidR="00C26867" w:rsidRPr="00746E61" w14:paraId="65D434FD" w14:textId="77777777" w:rsidTr="00C26867">
        <w:trPr>
          <w:trHeight w:val="660"/>
          <w:jc w:val="center"/>
        </w:trPr>
        <w:tc>
          <w:tcPr>
            <w:tcW w:w="2420" w:type="dxa"/>
            <w:tcBorders>
              <w:top w:val="single" w:sz="4" w:space="0" w:color="auto"/>
              <w:left w:val="single" w:sz="4" w:space="0" w:color="auto"/>
              <w:bottom w:val="single" w:sz="4" w:space="0" w:color="auto"/>
              <w:right w:val="single" w:sz="4" w:space="0" w:color="auto"/>
            </w:tcBorders>
            <w:shd w:val="clear" w:color="000000" w:fill="305496"/>
            <w:noWrap/>
            <w:vAlign w:val="center"/>
            <w:hideMark/>
          </w:tcPr>
          <w:p w14:paraId="2561BDE8" w14:textId="77777777" w:rsidR="00C26867" w:rsidRPr="00746E61" w:rsidRDefault="00C26867" w:rsidP="00746E61">
            <w:pPr>
              <w:spacing w:line="276" w:lineRule="auto"/>
              <w:jc w:val="center"/>
              <w:rPr>
                <w:rFonts w:ascii="Book Antiqua" w:hAnsi="Book Antiqua" w:cs="Calibri"/>
                <w:b/>
                <w:bCs/>
                <w:color w:val="FFFFFF"/>
                <w:sz w:val="16"/>
                <w:szCs w:val="16"/>
                <w:lang w:eastAsia="es-CR"/>
              </w:rPr>
            </w:pPr>
            <w:r w:rsidRPr="00746E61">
              <w:rPr>
                <w:rFonts w:ascii="Book Antiqua" w:hAnsi="Book Antiqua" w:cs="Calibri"/>
                <w:b/>
                <w:bCs/>
                <w:color w:val="FFFFFF"/>
                <w:sz w:val="16"/>
                <w:szCs w:val="16"/>
                <w:lang w:eastAsia="es-CR"/>
              </w:rPr>
              <w:t>Materia</w:t>
            </w:r>
          </w:p>
        </w:tc>
        <w:tc>
          <w:tcPr>
            <w:tcW w:w="1200" w:type="dxa"/>
            <w:tcBorders>
              <w:top w:val="single" w:sz="4" w:space="0" w:color="auto"/>
              <w:left w:val="nil"/>
              <w:bottom w:val="single" w:sz="4" w:space="0" w:color="auto"/>
              <w:right w:val="single" w:sz="4" w:space="0" w:color="auto"/>
            </w:tcBorders>
            <w:shd w:val="clear" w:color="000000" w:fill="305496"/>
            <w:noWrap/>
            <w:vAlign w:val="center"/>
            <w:hideMark/>
          </w:tcPr>
          <w:p w14:paraId="31BF3DFB" w14:textId="77777777" w:rsidR="00C26867" w:rsidRPr="00746E61" w:rsidRDefault="00C26867" w:rsidP="00746E61">
            <w:pPr>
              <w:spacing w:line="276" w:lineRule="auto"/>
              <w:jc w:val="center"/>
              <w:rPr>
                <w:rFonts w:ascii="Book Antiqua" w:hAnsi="Book Antiqua" w:cs="Calibri"/>
                <w:b/>
                <w:bCs/>
                <w:color w:val="FFFFFF"/>
                <w:sz w:val="16"/>
                <w:szCs w:val="16"/>
                <w:lang w:eastAsia="es-CR"/>
              </w:rPr>
            </w:pPr>
            <w:r w:rsidRPr="00746E61">
              <w:rPr>
                <w:rFonts w:ascii="Book Antiqua" w:hAnsi="Book Antiqua" w:cs="Calibri"/>
                <w:b/>
                <w:bCs/>
                <w:color w:val="FFFFFF"/>
                <w:sz w:val="16"/>
                <w:szCs w:val="16"/>
                <w:lang w:eastAsia="es-CR"/>
              </w:rPr>
              <w:t>Realizadas</w:t>
            </w:r>
          </w:p>
        </w:tc>
        <w:tc>
          <w:tcPr>
            <w:tcW w:w="1100" w:type="dxa"/>
            <w:tcBorders>
              <w:top w:val="single" w:sz="4" w:space="0" w:color="auto"/>
              <w:left w:val="nil"/>
              <w:bottom w:val="single" w:sz="4" w:space="0" w:color="auto"/>
              <w:right w:val="single" w:sz="4" w:space="0" w:color="auto"/>
            </w:tcBorders>
            <w:shd w:val="clear" w:color="000000" w:fill="305496"/>
            <w:vAlign w:val="center"/>
            <w:hideMark/>
          </w:tcPr>
          <w:p w14:paraId="10B991B7" w14:textId="77777777" w:rsidR="00C26867" w:rsidRPr="00746E61" w:rsidRDefault="00C26867" w:rsidP="00746E61">
            <w:pPr>
              <w:spacing w:line="276" w:lineRule="auto"/>
              <w:jc w:val="center"/>
              <w:rPr>
                <w:rFonts w:ascii="Book Antiqua" w:hAnsi="Book Antiqua" w:cs="Calibri"/>
                <w:b/>
                <w:bCs/>
                <w:color w:val="FFFFFF"/>
                <w:sz w:val="16"/>
                <w:szCs w:val="16"/>
                <w:lang w:eastAsia="es-CR"/>
              </w:rPr>
            </w:pPr>
            <w:r w:rsidRPr="00746E61">
              <w:rPr>
                <w:rFonts w:ascii="Book Antiqua" w:hAnsi="Book Antiqua" w:cs="Calibri"/>
                <w:b/>
                <w:bCs/>
                <w:color w:val="FFFFFF"/>
                <w:sz w:val="16"/>
                <w:szCs w:val="16"/>
                <w:lang w:eastAsia="es-CR"/>
              </w:rPr>
              <w:t>No realizadas</w:t>
            </w:r>
          </w:p>
        </w:tc>
        <w:tc>
          <w:tcPr>
            <w:tcW w:w="1180" w:type="dxa"/>
            <w:tcBorders>
              <w:top w:val="single" w:sz="4" w:space="0" w:color="auto"/>
              <w:left w:val="nil"/>
              <w:bottom w:val="single" w:sz="4" w:space="0" w:color="auto"/>
              <w:right w:val="single" w:sz="4" w:space="0" w:color="auto"/>
            </w:tcBorders>
            <w:shd w:val="clear" w:color="000000" w:fill="305496"/>
            <w:vAlign w:val="center"/>
            <w:hideMark/>
          </w:tcPr>
          <w:p w14:paraId="3A17D08E" w14:textId="77777777" w:rsidR="00C26867" w:rsidRPr="00746E61" w:rsidRDefault="00C26867" w:rsidP="00746E61">
            <w:pPr>
              <w:spacing w:line="276" w:lineRule="auto"/>
              <w:jc w:val="center"/>
              <w:rPr>
                <w:rFonts w:ascii="Book Antiqua" w:hAnsi="Book Antiqua" w:cs="Calibri"/>
                <w:b/>
                <w:bCs/>
                <w:color w:val="FFFFFF"/>
                <w:sz w:val="16"/>
                <w:szCs w:val="16"/>
                <w:lang w:eastAsia="es-CR"/>
              </w:rPr>
            </w:pPr>
            <w:r w:rsidRPr="00746E61">
              <w:rPr>
                <w:rFonts w:ascii="Book Antiqua" w:hAnsi="Book Antiqua" w:cs="Calibri"/>
                <w:b/>
                <w:bCs/>
                <w:color w:val="FFFFFF"/>
                <w:sz w:val="16"/>
                <w:szCs w:val="16"/>
                <w:lang w:eastAsia="es-CR"/>
              </w:rPr>
              <w:t>% Efectividad</w:t>
            </w:r>
          </w:p>
        </w:tc>
        <w:tc>
          <w:tcPr>
            <w:tcW w:w="1180" w:type="dxa"/>
            <w:tcBorders>
              <w:top w:val="single" w:sz="4" w:space="0" w:color="auto"/>
              <w:left w:val="nil"/>
              <w:bottom w:val="single" w:sz="4" w:space="0" w:color="auto"/>
              <w:right w:val="single" w:sz="4" w:space="0" w:color="auto"/>
            </w:tcBorders>
            <w:shd w:val="clear" w:color="000000" w:fill="305496"/>
            <w:vAlign w:val="center"/>
            <w:hideMark/>
          </w:tcPr>
          <w:p w14:paraId="3EA89E78" w14:textId="77777777" w:rsidR="00C26867" w:rsidRPr="00746E61" w:rsidRDefault="00C26867" w:rsidP="00746E61">
            <w:pPr>
              <w:spacing w:line="276" w:lineRule="auto"/>
              <w:jc w:val="center"/>
              <w:rPr>
                <w:rFonts w:ascii="Book Antiqua" w:hAnsi="Book Antiqua" w:cs="Calibri"/>
                <w:b/>
                <w:bCs/>
                <w:color w:val="FFFFFF"/>
                <w:sz w:val="16"/>
                <w:szCs w:val="16"/>
                <w:lang w:eastAsia="es-CR"/>
              </w:rPr>
            </w:pPr>
            <w:r w:rsidRPr="00746E61">
              <w:rPr>
                <w:rFonts w:ascii="Book Antiqua" w:hAnsi="Book Antiqua" w:cs="Calibri"/>
                <w:b/>
                <w:bCs/>
                <w:color w:val="FFFFFF"/>
                <w:sz w:val="16"/>
                <w:szCs w:val="16"/>
                <w:lang w:eastAsia="es-CR"/>
              </w:rPr>
              <w:t>Pendiente Setiembre</w:t>
            </w:r>
          </w:p>
        </w:tc>
      </w:tr>
      <w:tr w:rsidR="00C26867" w:rsidRPr="00746E61" w14:paraId="66164CBB" w14:textId="77777777" w:rsidTr="00C26867">
        <w:trPr>
          <w:trHeight w:val="290"/>
          <w:jc w:val="center"/>
        </w:trPr>
        <w:tc>
          <w:tcPr>
            <w:tcW w:w="2420" w:type="dxa"/>
            <w:tcBorders>
              <w:top w:val="nil"/>
              <w:left w:val="single" w:sz="4" w:space="0" w:color="auto"/>
              <w:bottom w:val="single" w:sz="4" w:space="0" w:color="auto"/>
              <w:right w:val="single" w:sz="4" w:space="0" w:color="auto"/>
            </w:tcBorders>
            <w:shd w:val="clear" w:color="000000" w:fill="DDEBF7"/>
            <w:noWrap/>
            <w:vAlign w:val="center"/>
            <w:hideMark/>
          </w:tcPr>
          <w:p w14:paraId="1901AE1F" w14:textId="77777777" w:rsidR="00C26867" w:rsidRPr="00746E61" w:rsidRDefault="00C26867" w:rsidP="00746E61">
            <w:pPr>
              <w:spacing w:line="276" w:lineRule="auto"/>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Total General</w:t>
            </w:r>
          </w:p>
        </w:tc>
        <w:tc>
          <w:tcPr>
            <w:tcW w:w="1200" w:type="dxa"/>
            <w:tcBorders>
              <w:top w:val="nil"/>
              <w:left w:val="nil"/>
              <w:bottom w:val="single" w:sz="4" w:space="0" w:color="auto"/>
              <w:right w:val="single" w:sz="4" w:space="0" w:color="auto"/>
            </w:tcBorders>
            <w:shd w:val="clear" w:color="000000" w:fill="DDEBF7"/>
            <w:noWrap/>
            <w:vAlign w:val="center"/>
            <w:hideMark/>
          </w:tcPr>
          <w:p w14:paraId="7081976D" w14:textId="77777777" w:rsidR="00C26867" w:rsidRPr="00746E61" w:rsidRDefault="00C26867"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100498</w:t>
            </w:r>
          </w:p>
        </w:tc>
        <w:tc>
          <w:tcPr>
            <w:tcW w:w="1100" w:type="dxa"/>
            <w:tcBorders>
              <w:top w:val="nil"/>
              <w:left w:val="nil"/>
              <w:bottom w:val="single" w:sz="4" w:space="0" w:color="auto"/>
              <w:right w:val="single" w:sz="4" w:space="0" w:color="auto"/>
            </w:tcBorders>
            <w:shd w:val="clear" w:color="000000" w:fill="DDEBF7"/>
            <w:noWrap/>
            <w:vAlign w:val="center"/>
            <w:hideMark/>
          </w:tcPr>
          <w:p w14:paraId="369B2B55" w14:textId="77777777" w:rsidR="00C26867" w:rsidRPr="00746E61" w:rsidRDefault="00C26867"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65820</w:t>
            </w:r>
          </w:p>
        </w:tc>
        <w:tc>
          <w:tcPr>
            <w:tcW w:w="1180" w:type="dxa"/>
            <w:tcBorders>
              <w:top w:val="nil"/>
              <w:left w:val="nil"/>
              <w:bottom w:val="single" w:sz="4" w:space="0" w:color="auto"/>
              <w:right w:val="single" w:sz="4" w:space="0" w:color="auto"/>
            </w:tcBorders>
            <w:shd w:val="clear" w:color="000000" w:fill="DDEBF7"/>
            <w:noWrap/>
            <w:vAlign w:val="center"/>
            <w:hideMark/>
          </w:tcPr>
          <w:p w14:paraId="79DA23BB" w14:textId="77777777" w:rsidR="00C26867" w:rsidRPr="00746E61" w:rsidRDefault="00C26867"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60,43%</w:t>
            </w:r>
          </w:p>
        </w:tc>
        <w:tc>
          <w:tcPr>
            <w:tcW w:w="1180" w:type="dxa"/>
            <w:tcBorders>
              <w:top w:val="nil"/>
              <w:left w:val="nil"/>
              <w:bottom w:val="single" w:sz="4" w:space="0" w:color="auto"/>
              <w:right w:val="single" w:sz="4" w:space="0" w:color="auto"/>
            </w:tcBorders>
            <w:shd w:val="clear" w:color="000000" w:fill="DDEBF7"/>
            <w:noWrap/>
            <w:vAlign w:val="center"/>
            <w:hideMark/>
          </w:tcPr>
          <w:p w14:paraId="4099C48E" w14:textId="77777777" w:rsidR="00C26867" w:rsidRPr="00746E61" w:rsidRDefault="00C26867"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2290</w:t>
            </w:r>
          </w:p>
        </w:tc>
      </w:tr>
      <w:tr w:rsidR="00C26867" w:rsidRPr="00746E61" w14:paraId="29B9273F" w14:textId="77777777" w:rsidTr="00C26867">
        <w:trPr>
          <w:trHeight w:val="290"/>
          <w:jc w:val="center"/>
        </w:trPr>
        <w:tc>
          <w:tcPr>
            <w:tcW w:w="2420" w:type="dxa"/>
            <w:tcBorders>
              <w:top w:val="nil"/>
              <w:left w:val="single" w:sz="4" w:space="0" w:color="auto"/>
              <w:bottom w:val="single" w:sz="4" w:space="0" w:color="auto"/>
              <w:right w:val="single" w:sz="4" w:space="0" w:color="auto"/>
            </w:tcBorders>
            <w:shd w:val="clear" w:color="000000" w:fill="DDEBF7"/>
            <w:noWrap/>
            <w:vAlign w:val="center"/>
            <w:hideMark/>
          </w:tcPr>
          <w:p w14:paraId="008A9747" w14:textId="77777777" w:rsidR="00C26867" w:rsidRPr="00746E61" w:rsidRDefault="00C26867" w:rsidP="00746E61">
            <w:pPr>
              <w:spacing w:line="276" w:lineRule="auto"/>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No Penal</w:t>
            </w:r>
          </w:p>
        </w:tc>
        <w:tc>
          <w:tcPr>
            <w:tcW w:w="1200" w:type="dxa"/>
            <w:tcBorders>
              <w:top w:val="nil"/>
              <w:left w:val="nil"/>
              <w:bottom w:val="single" w:sz="4" w:space="0" w:color="auto"/>
              <w:right w:val="single" w:sz="4" w:space="0" w:color="auto"/>
            </w:tcBorders>
            <w:shd w:val="clear" w:color="000000" w:fill="DDEBF7"/>
            <w:noWrap/>
            <w:vAlign w:val="center"/>
            <w:hideMark/>
          </w:tcPr>
          <w:p w14:paraId="5FDA1D23" w14:textId="77777777" w:rsidR="00C26867" w:rsidRPr="00746E61" w:rsidRDefault="00C26867"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59358</w:t>
            </w:r>
          </w:p>
        </w:tc>
        <w:tc>
          <w:tcPr>
            <w:tcW w:w="1100" w:type="dxa"/>
            <w:tcBorders>
              <w:top w:val="nil"/>
              <w:left w:val="nil"/>
              <w:bottom w:val="single" w:sz="4" w:space="0" w:color="auto"/>
              <w:right w:val="single" w:sz="4" w:space="0" w:color="auto"/>
            </w:tcBorders>
            <w:shd w:val="clear" w:color="000000" w:fill="DDEBF7"/>
            <w:noWrap/>
            <w:vAlign w:val="center"/>
            <w:hideMark/>
          </w:tcPr>
          <w:p w14:paraId="4D9CB735" w14:textId="77777777" w:rsidR="00C26867" w:rsidRPr="00746E61" w:rsidRDefault="00C26867"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43875</w:t>
            </w:r>
          </w:p>
        </w:tc>
        <w:tc>
          <w:tcPr>
            <w:tcW w:w="1180" w:type="dxa"/>
            <w:tcBorders>
              <w:top w:val="nil"/>
              <w:left w:val="nil"/>
              <w:bottom w:val="single" w:sz="4" w:space="0" w:color="auto"/>
              <w:right w:val="single" w:sz="4" w:space="0" w:color="auto"/>
            </w:tcBorders>
            <w:shd w:val="clear" w:color="000000" w:fill="DDEBF7"/>
            <w:noWrap/>
            <w:vAlign w:val="center"/>
            <w:hideMark/>
          </w:tcPr>
          <w:p w14:paraId="102D5C5A" w14:textId="77777777" w:rsidR="00C26867" w:rsidRPr="00746E61" w:rsidRDefault="00C26867"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57,50%</w:t>
            </w:r>
          </w:p>
        </w:tc>
        <w:tc>
          <w:tcPr>
            <w:tcW w:w="1180" w:type="dxa"/>
            <w:tcBorders>
              <w:top w:val="nil"/>
              <w:left w:val="nil"/>
              <w:bottom w:val="single" w:sz="4" w:space="0" w:color="auto"/>
              <w:right w:val="single" w:sz="4" w:space="0" w:color="auto"/>
            </w:tcBorders>
            <w:shd w:val="clear" w:color="000000" w:fill="DDEBF7"/>
            <w:noWrap/>
            <w:vAlign w:val="center"/>
            <w:hideMark/>
          </w:tcPr>
          <w:p w14:paraId="373C91FB" w14:textId="77777777" w:rsidR="00C26867" w:rsidRPr="00746E61" w:rsidRDefault="00C26867"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1207</w:t>
            </w:r>
          </w:p>
        </w:tc>
      </w:tr>
      <w:tr w:rsidR="00C26867" w:rsidRPr="00746E61" w14:paraId="57C6B379" w14:textId="77777777" w:rsidTr="00C26867">
        <w:trPr>
          <w:trHeight w:val="290"/>
          <w:jc w:val="center"/>
        </w:trPr>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3F23664A" w14:textId="77777777" w:rsidR="00C26867" w:rsidRPr="00746E61" w:rsidRDefault="00C26867" w:rsidP="00746E61">
            <w:pPr>
              <w:spacing w:line="276" w:lineRule="auto"/>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Agrario</w:t>
            </w:r>
          </w:p>
        </w:tc>
        <w:tc>
          <w:tcPr>
            <w:tcW w:w="1200" w:type="dxa"/>
            <w:tcBorders>
              <w:top w:val="nil"/>
              <w:left w:val="nil"/>
              <w:bottom w:val="single" w:sz="4" w:space="0" w:color="auto"/>
              <w:right w:val="single" w:sz="4" w:space="0" w:color="auto"/>
            </w:tcBorders>
            <w:shd w:val="clear" w:color="auto" w:fill="auto"/>
            <w:noWrap/>
            <w:vAlign w:val="center"/>
            <w:hideMark/>
          </w:tcPr>
          <w:p w14:paraId="4C180CE2" w14:textId="77777777" w:rsidR="00C26867" w:rsidRPr="00746E61" w:rsidRDefault="00C26867"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1467</w:t>
            </w:r>
          </w:p>
        </w:tc>
        <w:tc>
          <w:tcPr>
            <w:tcW w:w="1100" w:type="dxa"/>
            <w:tcBorders>
              <w:top w:val="nil"/>
              <w:left w:val="nil"/>
              <w:bottom w:val="single" w:sz="4" w:space="0" w:color="auto"/>
              <w:right w:val="single" w:sz="4" w:space="0" w:color="auto"/>
            </w:tcBorders>
            <w:shd w:val="clear" w:color="auto" w:fill="auto"/>
            <w:noWrap/>
            <w:vAlign w:val="center"/>
            <w:hideMark/>
          </w:tcPr>
          <w:p w14:paraId="51B3186F" w14:textId="77777777" w:rsidR="00C26867" w:rsidRPr="00746E61" w:rsidRDefault="00C26867"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2024</w:t>
            </w:r>
          </w:p>
        </w:tc>
        <w:tc>
          <w:tcPr>
            <w:tcW w:w="1180" w:type="dxa"/>
            <w:tcBorders>
              <w:top w:val="nil"/>
              <w:left w:val="nil"/>
              <w:bottom w:val="single" w:sz="4" w:space="0" w:color="auto"/>
              <w:right w:val="single" w:sz="4" w:space="0" w:color="auto"/>
            </w:tcBorders>
            <w:shd w:val="clear" w:color="auto" w:fill="auto"/>
            <w:noWrap/>
            <w:vAlign w:val="center"/>
            <w:hideMark/>
          </w:tcPr>
          <w:p w14:paraId="5EBD4E76" w14:textId="77777777" w:rsidR="00C26867" w:rsidRPr="00746E61" w:rsidRDefault="00C26867"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42,02%</w:t>
            </w:r>
          </w:p>
        </w:tc>
        <w:tc>
          <w:tcPr>
            <w:tcW w:w="1180" w:type="dxa"/>
            <w:tcBorders>
              <w:top w:val="nil"/>
              <w:left w:val="nil"/>
              <w:bottom w:val="single" w:sz="4" w:space="0" w:color="auto"/>
              <w:right w:val="single" w:sz="4" w:space="0" w:color="auto"/>
            </w:tcBorders>
            <w:shd w:val="clear" w:color="auto" w:fill="auto"/>
            <w:noWrap/>
            <w:vAlign w:val="center"/>
            <w:hideMark/>
          </w:tcPr>
          <w:p w14:paraId="1F77F38A" w14:textId="77777777" w:rsidR="00C26867" w:rsidRPr="00746E61" w:rsidRDefault="00C26867"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26</w:t>
            </w:r>
          </w:p>
        </w:tc>
      </w:tr>
      <w:tr w:rsidR="00C26867" w:rsidRPr="00746E61" w14:paraId="4D9DB65B" w14:textId="77777777" w:rsidTr="00C26867">
        <w:trPr>
          <w:trHeight w:val="290"/>
          <w:jc w:val="center"/>
        </w:trPr>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7CE00797" w14:textId="77777777" w:rsidR="00C26867" w:rsidRPr="00746E61" w:rsidRDefault="00C26867" w:rsidP="00746E61">
            <w:pPr>
              <w:spacing w:line="276" w:lineRule="auto"/>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Civil</w:t>
            </w:r>
          </w:p>
        </w:tc>
        <w:tc>
          <w:tcPr>
            <w:tcW w:w="1200" w:type="dxa"/>
            <w:tcBorders>
              <w:top w:val="nil"/>
              <w:left w:val="nil"/>
              <w:bottom w:val="single" w:sz="4" w:space="0" w:color="auto"/>
              <w:right w:val="single" w:sz="4" w:space="0" w:color="auto"/>
            </w:tcBorders>
            <w:shd w:val="clear" w:color="auto" w:fill="auto"/>
            <w:noWrap/>
            <w:vAlign w:val="center"/>
            <w:hideMark/>
          </w:tcPr>
          <w:p w14:paraId="39901581" w14:textId="77777777" w:rsidR="00C26867" w:rsidRPr="00746E61" w:rsidRDefault="00C26867"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2798</w:t>
            </w:r>
          </w:p>
        </w:tc>
        <w:tc>
          <w:tcPr>
            <w:tcW w:w="1100" w:type="dxa"/>
            <w:tcBorders>
              <w:top w:val="nil"/>
              <w:left w:val="nil"/>
              <w:bottom w:val="single" w:sz="4" w:space="0" w:color="auto"/>
              <w:right w:val="single" w:sz="4" w:space="0" w:color="auto"/>
            </w:tcBorders>
            <w:shd w:val="clear" w:color="auto" w:fill="auto"/>
            <w:noWrap/>
            <w:vAlign w:val="center"/>
            <w:hideMark/>
          </w:tcPr>
          <w:p w14:paraId="6795D432" w14:textId="77777777" w:rsidR="00C26867" w:rsidRPr="00746E61" w:rsidRDefault="00C26867"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1971</w:t>
            </w:r>
          </w:p>
        </w:tc>
        <w:tc>
          <w:tcPr>
            <w:tcW w:w="1180" w:type="dxa"/>
            <w:tcBorders>
              <w:top w:val="nil"/>
              <w:left w:val="nil"/>
              <w:bottom w:val="single" w:sz="4" w:space="0" w:color="auto"/>
              <w:right w:val="single" w:sz="4" w:space="0" w:color="auto"/>
            </w:tcBorders>
            <w:shd w:val="clear" w:color="auto" w:fill="auto"/>
            <w:noWrap/>
            <w:vAlign w:val="center"/>
            <w:hideMark/>
          </w:tcPr>
          <w:p w14:paraId="79FA764D" w14:textId="77777777" w:rsidR="00C26867" w:rsidRPr="00746E61" w:rsidRDefault="00C26867"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58,67%</w:t>
            </w:r>
          </w:p>
        </w:tc>
        <w:tc>
          <w:tcPr>
            <w:tcW w:w="1180" w:type="dxa"/>
            <w:tcBorders>
              <w:top w:val="nil"/>
              <w:left w:val="nil"/>
              <w:bottom w:val="single" w:sz="4" w:space="0" w:color="auto"/>
              <w:right w:val="single" w:sz="4" w:space="0" w:color="auto"/>
            </w:tcBorders>
            <w:shd w:val="clear" w:color="auto" w:fill="auto"/>
            <w:noWrap/>
            <w:vAlign w:val="center"/>
            <w:hideMark/>
          </w:tcPr>
          <w:p w14:paraId="189956A5" w14:textId="77777777" w:rsidR="00C26867" w:rsidRPr="00746E61" w:rsidRDefault="00C26867"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63</w:t>
            </w:r>
          </w:p>
        </w:tc>
      </w:tr>
      <w:tr w:rsidR="00C26867" w:rsidRPr="00746E61" w14:paraId="5FEC4C3E" w14:textId="77777777" w:rsidTr="00C26867">
        <w:trPr>
          <w:trHeight w:val="290"/>
          <w:jc w:val="center"/>
        </w:trPr>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3669A6AA" w14:textId="77777777" w:rsidR="00C26867" w:rsidRPr="00746E61" w:rsidRDefault="00C26867" w:rsidP="00746E61">
            <w:pPr>
              <w:spacing w:line="276" w:lineRule="auto"/>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Contencioso</w:t>
            </w:r>
          </w:p>
        </w:tc>
        <w:tc>
          <w:tcPr>
            <w:tcW w:w="1200" w:type="dxa"/>
            <w:tcBorders>
              <w:top w:val="nil"/>
              <w:left w:val="nil"/>
              <w:bottom w:val="single" w:sz="4" w:space="0" w:color="auto"/>
              <w:right w:val="single" w:sz="4" w:space="0" w:color="auto"/>
            </w:tcBorders>
            <w:shd w:val="clear" w:color="auto" w:fill="auto"/>
            <w:noWrap/>
            <w:vAlign w:val="center"/>
            <w:hideMark/>
          </w:tcPr>
          <w:p w14:paraId="0E2B86ED" w14:textId="77777777" w:rsidR="00C26867" w:rsidRPr="00746E61" w:rsidRDefault="00C26867"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499</w:t>
            </w:r>
          </w:p>
        </w:tc>
        <w:tc>
          <w:tcPr>
            <w:tcW w:w="1100" w:type="dxa"/>
            <w:tcBorders>
              <w:top w:val="nil"/>
              <w:left w:val="nil"/>
              <w:bottom w:val="single" w:sz="4" w:space="0" w:color="auto"/>
              <w:right w:val="single" w:sz="4" w:space="0" w:color="auto"/>
            </w:tcBorders>
            <w:shd w:val="clear" w:color="auto" w:fill="auto"/>
            <w:noWrap/>
            <w:vAlign w:val="center"/>
            <w:hideMark/>
          </w:tcPr>
          <w:p w14:paraId="36E3EA4B" w14:textId="77777777" w:rsidR="00C26867" w:rsidRPr="00746E61" w:rsidRDefault="00C26867"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257</w:t>
            </w:r>
          </w:p>
        </w:tc>
        <w:tc>
          <w:tcPr>
            <w:tcW w:w="1180" w:type="dxa"/>
            <w:tcBorders>
              <w:top w:val="nil"/>
              <w:left w:val="nil"/>
              <w:bottom w:val="single" w:sz="4" w:space="0" w:color="auto"/>
              <w:right w:val="single" w:sz="4" w:space="0" w:color="auto"/>
            </w:tcBorders>
            <w:shd w:val="clear" w:color="auto" w:fill="auto"/>
            <w:noWrap/>
            <w:vAlign w:val="center"/>
            <w:hideMark/>
          </w:tcPr>
          <w:p w14:paraId="60A021ED" w14:textId="77777777" w:rsidR="00C26867" w:rsidRPr="00746E61" w:rsidRDefault="00C26867"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66,01%</w:t>
            </w:r>
          </w:p>
        </w:tc>
        <w:tc>
          <w:tcPr>
            <w:tcW w:w="1180" w:type="dxa"/>
            <w:tcBorders>
              <w:top w:val="nil"/>
              <w:left w:val="nil"/>
              <w:bottom w:val="single" w:sz="4" w:space="0" w:color="auto"/>
              <w:right w:val="single" w:sz="4" w:space="0" w:color="auto"/>
            </w:tcBorders>
            <w:shd w:val="clear" w:color="auto" w:fill="auto"/>
            <w:noWrap/>
            <w:vAlign w:val="center"/>
            <w:hideMark/>
          </w:tcPr>
          <w:p w14:paraId="7A426366" w14:textId="77777777" w:rsidR="00C26867" w:rsidRPr="00746E61" w:rsidRDefault="00C26867"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121</w:t>
            </w:r>
          </w:p>
        </w:tc>
      </w:tr>
      <w:tr w:rsidR="00C26867" w:rsidRPr="00746E61" w14:paraId="2DC34A63" w14:textId="77777777" w:rsidTr="00C26867">
        <w:trPr>
          <w:trHeight w:val="290"/>
          <w:jc w:val="center"/>
        </w:trPr>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0735E109" w14:textId="77777777" w:rsidR="00C26867" w:rsidRPr="00746E61" w:rsidRDefault="00C26867" w:rsidP="00746E61">
            <w:pPr>
              <w:spacing w:line="276" w:lineRule="auto"/>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Contravencional</w:t>
            </w:r>
          </w:p>
        </w:tc>
        <w:tc>
          <w:tcPr>
            <w:tcW w:w="1200" w:type="dxa"/>
            <w:tcBorders>
              <w:top w:val="nil"/>
              <w:left w:val="nil"/>
              <w:bottom w:val="single" w:sz="4" w:space="0" w:color="auto"/>
              <w:right w:val="single" w:sz="4" w:space="0" w:color="auto"/>
            </w:tcBorders>
            <w:shd w:val="clear" w:color="auto" w:fill="auto"/>
            <w:noWrap/>
            <w:vAlign w:val="center"/>
            <w:hideMark/>
          </w:tcPr>
          <w:p w14:paraId="3906C912" w14:textId="77777777" w:rsidR="00C26867" w:rsidRPr="00746E61" w:rsidRDefault="00C26867"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6373</w:t>
            </w:r>
          </w:p>
        </w:tc>
        <w:tc>
          <w:tcPr>
            <w:tcW w:w="1100" w:type="dxa"/>
            <w:tcBorders>
              <w:top w:val="nil"/>
              <w:left w:val="nil"/>
              <w:bottom w:val="single" w:sz="4" w:space="0" w:color="auto"/>
              <w:right w:val="single" w:sz="4" w:space="0" w:color="auto"/>
            </w:tcBorders>
            <w:shd w:val="clear" w:color="auto" w:fill="auto"/>
            <w:noWrap/>
            <w:vAlign w:val="center"/>
            <w:hideMark/>
          </w:tcPr>
          <w:p w14:paraId="545C9739" w14:textId="77777777" w:rsidR="00C26867" w:rsidRPr="00746E61" w:rsidRDefault="00C26867"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6747</w:t>
            </w:r>
          </w:p>
        </w:tc>
        <w:tc>
          <w:tcPr>
            <w:tcW w:w="1180" w:type="dxa"/>
            <w:tcBorders>
              <w:top w:val="nil"/>
              <w:left w:val="nil"/>
              <w:bottom w:val="single" w:sz="4" w:space="0" w:color="auto"/>
              <w:right w:val="single" w:sz="4" w:space="0" w:color="auto"/>
            </w:tcBorders>
            <w:shd w:val="clear" w:color="auto" w:fill="auto"/>
            <w:noWrap/>
            <w:vAlign w:val="center"/>
            <w:hideMark/>
          </w:tcPr>
          <w:p w14:paraId="7F223DD2" w14:textId="77777777" w:rsidR="00C26867" w:rsidRPr="00746E61" w:rsidRDefault="00C26867"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48,57%</w:t>
            </w:r>
          </w:p>
        </w:tc>
        <w:tc>
          <w:tcPr>
            <w:tcW w:w="1180" w:type="dxa"/>
            <w:tcBorders>
              <w:top w:val="nil"/>
              <w:left w:val="nil"/>
              <w:bottom w:val="single" w:sz="4" w:space="0" w:color="auto"/>
              <w:right w:val="single" w:sz="4" w:space="0" w:color="auto"/>
            </w:tcBorders>
            <w:shd w:val="clear" w:color="auto" w:fill="auto"/>
            <w:noWrap/>
            <w:vAlign w:val="center"/>
            <w:hideMark/>
          </w:tcPr>
          <w:p w14:paraId="5FAA9281" w14:textId="77777777" w:rsidR="00C26867" w:rsidRPr="00746E61" w:rsidRDefault="00C26867"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50</w:t>
            </w:r>
          </w:p>
        </w:tc>
      </w:tr>
      <w:tr w:rsidR="00C26867" w:rsidRPr="00746E61" w14:paraId="1E9DD639" w14:textId="77777777" w:rsidTr="00C26867">
        <w:trPr>
          <w:trHeight w:val="290"/>
          <w:jc w:val="center"/>
        </w:trPr>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3809848B" w14:textId="77777777" w:rsidR="00C26867" w:rsidRPr="00746E61" w:rsidRDefault="00C26867" w:rsidP="00746E61">
            <w:pPr>
              <w:spacing w:line="276" w:lineRule="auto"/>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Familia</w:t>
            </w:r>
          </w:p>
        </w:tc>
        <w:tc>
          <w:tcPr>
            <w:tcW w:w="1200" w:type="dxa"/>
            <w:tcBorders>
              <w:top w:val="nil"/>
              <w:left w:val="nil"/>
              <w:bottom w:val="single" w:sz="4" w:space="0" w:color="auto"/>
              <w:right w:val="single" w:sz="4" w:space="0" w:color="auto"/>
            </w:tcBorders>
            <w:shd w:val="clear" w:color="auto" w:fill="auto"/>
            <w:noWrap/>
            <w:vAlign w:val="center"/>
            <w:hideMark/>
          </w:tcPr>
          <w:p w14:paraId="602E9466" w14:textId="77777777" w:rsidR="00C26867" w:rsidRPr="00746E61" w:rsidRDefault="00C26867"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7742</w:t>
            </w:r>
          </w:p>
        </w:tc>
        <w:tc>
          <w:tcPr>
            <w:tcW w:w="1100" w:type="dxa"/>
            <w:tcBorders>
              <w:top w:val="nil"/>
              <w:left w:val="nil"/>
              <w:bottom w:val="single" w:sz="4" w:space="0" w:color="auto"/>
              <w:right w:val="single" w:sz="4" w:space="0" w:color="auto"/>
            </w:tcBorders>
            <w:shd w:val="clear" w:color="auto" w:fill="auto"/>
            <w:noWrap/>
            <w:vAlign w:val="center"/>
            <w:hideMark/>
          </w:tcPr>
          <w:p w14:paraId="75FFE6F7" w14:textId="77777777" w:rsidR="00C26867" w:rsidRPr="00746E61" w:rsidRDefault="00C26867"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3632</w:t>
            </w:r>
          </w:p>
        </w:tc>
        <w:tc>
          <w:tcPr>
            <w:tcW w:w="1180" w:type="dxa"/>
            <w:tcBorders>
              <w:top w:val="nil"/>
              <w:left w:val="nil"/>
              <w:bottom w:val="single" w:sz="4" w:space="0" w:color="auto"/>
              <w:right w:val="single" w:sz="4" w:space="0" w:color="auto"/>
            </w:tcBorders>
            <w:shd w:val="clear" w:color="auto" w:fill="auto"/>
            <w:noWrap/>
            <w:vAlign w:val="center"/>
            <w:hideMark/>
          </w:tcPr>
          <w:p w14:paraId="754C90BB" w14:textId="77777777" w:rsidR="00C26867" w:rsidRPr="00746E61" w:rsidRDefault="00C26867"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68,07%</w:t>
            </w:r>
          </w:p>
        </w:tc>
        <w:tc>
          <w:tcPr>
            <w:tcW w:w="1180" w:type="dxa"/>
            <w:tcBorders>
              <w:top w:val="nil"/>
              <w:left w:val="nil"/>
              <w:bottom w:val="single" w:sz="4" w:space="0" w:color="auto"/>
              <w:right w:val="single" w:sz="4" w:space="0" w:color="auto"/>
            </w:tcBorders>
            <w:shd w:val="clear" w:color="auto" w:fill="auto"/>
            <w:noWrap/>
            <w:vAlign w:val="center"/>
            <w:hideMark/>
          </w:tcPr>
          <w:p w14:paraId="155951A5" w14:textId="77777777" w:rsidR="00C26867" w:rsidRPr="00746E61" w:rsidRDefault="00C26867"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85</w:t>
            </w:r>
          </w:p>
        </w:tc>
      </w:tr>
      <w:tr w:rsidR="00C26867" w:rsidRPr="00746E61" w14:paraId="3BC1440C" w14:textId="77777777" w:rsidTr="00C26867">
        <w:trPr>
          <w:trHeight w:val="290"/>
          <w:jc w:val="center"/>
        </w:trPr>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283013C9" w14:textId="77777777" w:rsidR="00C26867" w:rsidRPr="00746E61" w:rsidRDefault="00C26867" w:rsidP="00746E61">
            <w:pPr>
              <w:spacing w:line="276" w:lineRule="auto"/>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Pensiones Alimentarias</w:t>
            </w:r>
          </w:p>
        </w:tc>
        <w:tc>
          <w:tcPr>
            <w:tcW w:w="1200" w:type="dxa"/>
            <w:tcBorders>
              <w:top w:val="nil"/>
              <w:left w:val="nil"/>
              <w:bottom w:val="single" w:sz="4" w:space="0" w:color="auto"/>
              <w:right w:val="single" w:sz="4" w:space="0" w:color="auto"/>
            </w:tcBorders>
            <w:shd w:val="clear" w:color="auto" w:fill="auto"/>
            <w:noWrap/>
            <w:vAlign w:val="center"/>
            <w:hideMark/>
          </w:tcPr>
          <w:p w14:paraId="5773E002" w14:textId="77777777" w:rsidR="00C26867" w:rsidRPr="00746E61" w:rsidRDefault="00C26867"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14850</w:t>
            </w:r>
          </w:p>
        </w:tc>
        <w:tc>
          <w:tcPr>
            <w:tcW w:w="1100" w:type="dxa"/>
            <w:tcBorders>
              <w:top w:val="nil"/>
              <w:left w:val="nil"/>
              <w:bottom w:val="single" w:sz="4" w:space="0" w:color="auto"/>
              <w:right w:val="single" w:sz="4" w:space="0" w:color="auto"/>
            </w:tcBorders>
            <w:shd w:val="clear" w:color="auto" w:fill="auto"/>
            <w:noWrap/>
            <w:vAlign w:val="center"/>
            <w:hideMark/>
          </w:tcPr>
          <w:p w14:paraId="13658C57" w14:textId="77777777" w:rsidR="00C26867" w:rsidRPr="00746E61" w:rsidRDefault="00C26867"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7994</w:t>
            </w:r>
          </w:p>
        </w:tc>
        <w:tc>
          <w:tcPr>
            <w:tcW w:w="1180" w:type="dxa"/>
            <w:tcBorders>
              <w:top w:val="nil"/>
              <w:left w:val="nil"/>
              <w:bottom w:val="single" w:sz="4" w:space="0" w:color="auto"/>
              <w:right w:val="single" w:sz="4" w:space="0" w:color="auto"/>
            </w:tcBorders>
            <w:shd w:val="clear" w:color="auto" w:fill="auto"/>
            <w:noWrap/>
            <w:vAlign w:val="center"/>
            <w:hideMark/>
          </w:tcPr>
          <w:p w14:paraId="39C59064" w14:textId="77777777" w:rsidR="00C26867" w:rsidRPr="00746E61" w:rsidRDefault="00C26867"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65,01%</w:t>
            </w:r>
          </w:p>
        </w:tc>
        <w:tc>
          <w:tcPr>
            <w:tcW w:w="1180" w:type="dxa"/>
            <w:tcBorders>
              <w:top w:val="nil"/>
              <w:left w:val="nil"/>
              <w:bottom w:val="single" w:sz="4" w:space="0" w:color="auto"/>
              <w:right w:val="single" w:sz="4" w:space="0" w:color="auto"/>
            </w:tcBorders>
            <w:shd w:val="clear" w:color="auto" w:fill="auto"/>
            <w:noWrap/>
            <w:vAlign w:val="center"/>
            <w:hideMark/>
          </w:tcPr>
          <w:p w14:paraId="6B411B4D" w14:textId="77777777" w:rsidR="00C26867" w:rsidRPr="00746E61" w:rsidRDefault="00C26867"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324</w:t>
            </w:r>
          </w:p>
        </w:tc>
      </w:tr>
      <w:tr w:rsidR="00C26867" w:rsidRPr="00746E61" w14:paraId="212D99C3" w14:textId="77777777" w:rsidTr="00C26867">
        <w:trPr>
          <w:trHeight w:val="290"/>
          <w:jc w:val="center"/>
        </w:trPr>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005C4992" w14:textId="77777777" w:rsidR="00C26867" w:rsidRPr="00746E61" w:rsidRDefault="00C26867" w:rsidP="00746E61">
            <w:pPr>
              <w:spacing w:line="276" w:lineRule="auto"/>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Trabajo</w:t>
            </w:r>
          </w:p>
        </w:tc>
        <w:tc>
          <w:tcPr>
            <w:tcW w:w="1200" w:type="dxa"/>
            <w:tcBorders>
              <w:top w:val="nil"/>
              <w:left w:val="nil"/>
              <w:bottom w:val="single" w:sz="4" w:space="0" w:color="auto"/>
              <w:right w:val="single" w:sz="4" w:space="0" w:color="auto"/>
            </w:tcBorders>
            <w:shd w:val="clear" w:color="auto" w:fill="auto"/>
            <w:noWrap/>
            <w:vAlign w:val="center"/>
            <w:hideMark/>
          </w:tcPr>
          <w:p w14:paraId="6F7F04E8" w14:textId="77777777" w:rsidR="00C26867" w:rsidRPr="00746E61" w:rsidRDefault="00C26867"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9562</w:t>
            </w:r>
          </w:p>
        </w:tc>
        <w:tc>
          <w:tcPr>
            <w:tcW w:w="1100" w:type="dxa"/>
            <w:tcBorders>
              <w:top w:val="nil"/>
              <w:left w:val="nil"/>
              <w:bottom w:val="single" w:sz="4" w:space="0" w:color="auto"/>
              <w:right w:val="single" w:sz="4" w:space="0" w:color="auto"/>
            </w:tcBorders>
            <w:shd w:val="clear" w:color="auto" w:fill="auto"/>
            <w:noWrap/>
            <w:vAlign w:val="center"/>
            <w:hideMark/>
          </w:tcPr>
          <w:p w14:paraId="76EC3230" w14:textId="77777777" w:rsidR="00C26867" w:rsidRPr="00746E61" w:rsidRDefault="00C26867"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5560</w:t>
            </w:r>
          </w:p>
        </w:tc>
        <w:tc>
          <w:tcPr>
            <w:tcW w:w="1180" w:type="dxa"/>
            <w:tcBorders>
              <w:top w:val="nil"/>
              <w:left w:val="nil"/>
              <w:bottom w:val="single" w:sz="4" w:space="0" w:color="auto"/>
              <w:right w:val="single" w:sz="4" w:space="0" w:color="auto"/>
            </w:tcBorders>
            <w:shd w:val="clear" w:color="auto" w:fill="auto"/>
            <w:noWrap/>
            <w:vAlign w:val="center"/>
            <w:hideMark/>
          </w:tcPr>
          <w:p w14:paraId="5E4E580B" w14:textId="77777777" w:rsidR="00C26867" w:rsidRPr="00746E61" w:rsidRDefault="00C26867"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63,23%</w:t>
            </w:r>
          </w:p>
        </w:tc>
        <w:tc>
          <w:tcPr>
            <w:tcW w:w="1180" w:type="dxa"/>
            <w:tcBorders>
              <w:top w:val="nil"/>
              <w:left w:val="nil"/>
              <w:bottom w:val="single" w:sz="4" w:space="0" w:color="auto"/>
              <w:right w:val="single" w:sz="4" w:space="0" w:color="auto"/>
            </w:tcBorders>
            <w:shd w:val="clear" w:color="auto" w:fill="auto"/>
            <w:noWrap/>
            <w:vAlign w:val="center"/>
            <w:hideMark/>
          </w:tcPr>
          <w:p w14:paraId="7E947A87" w14:textId="77777777" w:rsidR="00C26867" w:rsidRPr="00746E61" w:rsidRDefault="00C26867"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96</w:t>
            </w:r>
          </w:p>
        </w:tc>
      </w:tr>
      <w:tr w:rsidR="00C26867" w:rsidRPr="00746E61" w14:paraId="63B84326" w14:textId="77777777" w:rsidTr="00C26867">
        <w:trPr>
          <w:trHeight w:val="290"/>
          <w:jc w:val="center"/>
        </w:trPr>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6D70861C" w14:textId="77777777" w:rsidR="00C26867" w:rsidRPr="00746E61" w:rsidRDefault="00C26867" w:rsidP="00746E61">
            <w:pPr>
              <w:spacing w:line="276" w:lineRule="auto"/>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Tránsito</w:t>
            </w:r>
          </w:p>
        </w:tc>
        <w:tc>
          <w:tcPr>
            <w:tcW w:w="1200" w:type="dxa"/>
            <w:tcBorders>
              <w:top w:val="nil"/>
              <w:left w:val="nil"/>
              <w:bottom w:val="single" w:sz="4" w:space="0" w:color="auto"/>
              <w:right w:val="single" w:sz="4" w:space="0" w:color="auto"/>
            </w:tcBorders>
            <w:shd w:val="clear" w:color="auto" w:fill="auto"/>
            <w:noWrap/>
            <w:vAlign w:val="center"/>
            <w:hideMark/>
          </w:tcPr>
          <w:p w14:paraId="10D5C9D3" w14:textId="77777777" w:rsidR="00C26867" w:rsidRPr="00746E61" w:rsidRDefault="00C26867"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4609</w:t>
            </w:r>
          </w:p>
        </w:tc>
        <w:tc>
          <w:tcPr>
            <w:tcW w:w="1100" w:type="dxa"/>
            <w:tcBorders>
              <w:top w:val="nil"/>
              <w:left w:val="nil"/>
              <w:bottom w:val="single" w:sz="4" w:space="0" w:color="auto"/>
              <w:right w:val="single" w:sz="4" w:space="0" w:color="auto"/>
            </w:tcBorders>
            <w:shd w:val="clear" w:color="auto" w:fill="auto"/>
            <w:noWrap/>
            <w:vAlign w:val="center"/>
            <w:hideMark/>
          </w:tcPr>
          <w:p w14:paraId="74AC5B9F" w14:textId="77777777" w:rsidR="00C26867" w:rsidRPr="00746E61" w:rsidRDefault="00C26867"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3991</w:t>
            </w:r>
          </w:p>
        </w:tc>
        <w:tc>
          <w:tcPr>
            <w:tcW w:w="1180" w:type="dxa"/>
            <w:tcBorders>
              <w:top w:val="nil"/>
              <w:left w:val="nil"/>
              <w:bottom w:val="single" w:sz="4" w:space="0" w:color="auto"/>
              <w:right w:val="single" w:sz="4" w:space="0" w:color="auto"/>
            </w:tcBorders>
            <w:shd w:val="clear" w:color="auto" w:fill="auto"/>
            <w:noWrap/>
            <w:vAlign w:val="center"/>
            <w:hideMark/>
          </w:tcPr>
          <w:p w14:paraId="1343D6E7" w14:textId="77777777" w:rsidR="00C26867" w:rsidRPr="00746E61" w:rsidRDefault="00C26867"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53,59%</w:t>
            </w:r>
          </w:p>
        </w:tc>
        <w:tc>
          <w:tcPr>
            <w:tcW w:w="1180" w:type="dxa"/>
            <w:tcBorders>
              <w:top w:val="nil"/>
              <w:left w:val="nil"/>
              <w:bottom w:val="single" w:sz="4" w:space="0" w:color="auto"/>
              <w:right w:val="single" w:sz="4" w:space="0" w:color="auto"/>
            </w:tcBorders>
            <w:shd w:val="clear" w:color="auto" w:fill="auto"/>
            <w:noWrap/>
            <w:vAlign w:val="center"/>
            <w:hideMark/>
          </w:tcPr>
          <w:p w14:paraId="2C982460" w14:textId="77777777" w:rsidR="00C26867" w:rsidRPr="00746E61" w:rsidRDefault="00C26867"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50</w:t>
            </w:r>
          </w:p>
        </w:tc>
      </w:tr>
      <w:tr w:rsidR="00C26867" w:rsidRPr="00746E61" w14:paraId="67CEBE28" w14:textId="77777777" w:rsidTr="00C26867">
        <w:trPr>
          <w:trHeight w:val="290"/>
          <w:jc w:val="center"/>
        </w:trPr>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2EF50590" w14:textId="77777777" w:rsidR="00C26867" w:rsidRPr="00746E61" w:rsidRDefault="00C26867" w:rsidP="00746E61">
            <w:pPr>
              <w:spacing w:line="276" w:lineRule="auto"/>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Violencia Doméstica</w:t>
            </w:r>
          </w:p>
        </w:tc>
        <w:tc>
          <w:tcPr>
            <w:tcW w:w="1200" w:type="dxa"/>
            <w:tcBorders>
              <w:top w:val="nil"/>
              <w:left w:val="nil"/>
              <w:bottom w:val="single" w:sz="4" w:space="0" w:color="auto"/>
              <w:right w:val="single" w:sz="4" w:space="0" w:color="auto"/>
            </w:tcBorders>
            <w:shd w:val="clear" w:color="auto" w:fill="auto"/>
            <w:noWrap/>
            <w:vAlign w:val="center"/>
            <w:hideMark/>
          </w:tcPr>
          <w:p w14:paraId="08E3295A" w14:textId="77777777" w:rsidR="00C26867" w:rsidRPr="00746E61" w:rsidRDefault="00C26867"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11458</w:t>
            </w:r>
          </w:p>
        </w:tc>
        <w:tc>
          <w:tcPr>
            <w:tcW w:w="1100" w:type="dxa"/>
            <w:tcBorders>
              <w:top w:val="nil"/>
              <w:left w:val="nil"/>
              <w:bottom w:val="single" w:sz="4" w:space="0" w:color="auto"/>
              <w:right w:val="single" w:sz="4" w:space="0" w:color="auto"/>
            </w:tcBorders>
            <w:shd w:val="clear" w:color="auto" w:fill="auto"/>
            <w:noWrap/>
            <w:vAlign w:val="center"/>
            <w:hideMark/>
          </w:tcPr>
          <w:p w14:paraId="0DB6127A" w14:textId="77777777" w:rsidR="00C26867" w:rsidRPr="00746E61" w:rsidRDefault="00C26867"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11699</w:t>
            </w:r>
          </w:p>
        </w:tc>
        <w:tc>
          <w:tcPr>
            <w:tcW w:w="1180" w:type="dxa"/>
            <w:tcBorders>
              <w:top w:val="nil"/>
              <w:left w:val="nil"/>
              <w:bottom w:val="single" w:sz="4" w:space="0" w:color="auto"/>
              <w:right w:val="single" w:sz="4" w:space="0" w:color="auto"/>
            </w:tcBorders>
            <w:shd w:val="clear" w:color="auto" w:fill="auto"/>
            <w:noWrap/>
            <w:vAlign w:val="center"/>
            <w:hideMark/>
          </w:tcPr>
          <w:p w14:paraId="1CEF8F50" w14:textId="77777777" w:rsidR="00C26867" w:rsidRPr="00746E61" w:rsidRDefault="00C26867"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49,48%</w:t>
            </w:r>
          </w:p>
        </w:tc>
        <w:tc>
          <w:tcPr>
            <w:tcW w:w="1180" w:type="dxa"/>
            <w:tcBorders>
              <w:top w:val="nil"/>
              <w:left w:val="nil"/>
              <w:bottom w:val="single" w:sz="4" w:space="0" w:color="auto"/>
              <w:right w:val="single" w:sz="4" w:space="0" w:color="auto"/>
            </w:tcBorders>
            <w:shd w:val="clear" w:color="auto" w:fill="auto"/>
            <w:noWrap/>
            <w:vAlign w:val="center"/>
            <w:hideMark/>
          </w:tcPr>
          <w:p w14:paraId="2D59C45C" w14:textId="77777777" w:rsidR="00C26867" w:rsidRPr="00746E61" w:rsidRDefault="00C26867"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392</w:t>
            </w:r>
          </w:p>
        </w:tc>
      </w:tr>
      <w:tr w:rsidR="00C26867" w:rsidRPr="00746E61" w14:paraId="26CC884D" w14:textId="77777777" w:rsidTr="00C26867">
        <w:trPr>
          <w:trHeight w:val="290"/>
          <w:jc w:val="center"/>
        </w:trPr>
        <w:tc>
          <w:tcPr>
            <w:tcW w:w="2420" w:type="dxa"/>
            <w:tcBorders>
              <w:top w:val="nil"/>
              <w:left w:val="single" w:sz="4" w:space="0" w:color="auto"/>
              <w:bottom w:val="single" w:sz="4" w:space="0" w:color="auto"/>
              <w:right w:val="single" w:sz="4" w:space="0" w:color="auto"/>
            </w:tcBorders>
            <w:shd w:val="clear" w:color="000000" w:fill="DDEBF7"/>
            <w:noWrap/>
            <w:vAlign w:val="center"/>
            <w:hideMark/>
          </w:tcPr>
          <w:p w14:paraId="01620257" w14:textId="77777777" w:rsidR="00C26867" w:rsidRPr="00746E61" w:rsidRDefault="00C26867" w:rsidP="00746E61">
            <w:pPr>
              <w:spacing w:line="276" w:lineRule="auto"/>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Penal</w:t>
            </w:r>
          </w:p>
        </w:tc>
        <w:tc>
          <w:tcPr>
            <w:tcW w:w="1200" w:type="dxa"/>
            <w:tcBorders>
              <w:top w:val="nil"/>
              <w:left w:val="nil"/>
              <w:bottom w:val="single" w:sz="4" w:space="0" w:color="auto"/>
              <w:right w:val="single" w:sz="4" w:space="0" w:color="auto"/>
            </w:tcBorders>
            <w:shd w:val="clear" w:color="000000" w:fill="DDEBF7"/>
            <w:noWrap/>
            <w:vAlign w:val="center"/>
            <w:hideMark/>
          </w:tcPr>
          <w:p w14:paraId="2800761C" w14:textId="77777777" w:rsidR="00C26867" w:rsidRPr="00746E61" w:rsidRDefault="00C26867"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41140</w:t>
            </w:r>
          </w:p>
        </w:tc>
        <w:tc>
          <w:tcPr>
            <w:tcW w:w="1100" w:type="dxa"/>
            <w:tcBorders>
              <w:top w:val="nil"/>
              <w:left w:val="nil"/>
              <w:bottom w:val="single" w:sz="4" w:space="0" w:color="auto"/>
              <w:right w:val="single" w:sz="4" w:space="0" w:color="auto"/>
            </w:tcBorders>
            <w:shd w:val="clear" w:color="000000" w:fill="DDEBF7"/>
            <w:noWrap/>
            <w:vAlign w:val="center"/>
            <w:hideMark/>
          </w:tcPr>
          <w:p w14:paraId="34BFD3FC" w14:textId="77777777" w:rsidR="00C26867" w:rsidRPr="00746E61" w:rsidRDefault="00C26867"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21945</w:t>
            </w:r>
          </w:p>
        </w:tc>
        <w:tc>
          <w:tcPr>
            <w:tcW w:w="1180" w:type="dxa"/>
            <w:tcBorders>
              <w:top w:val="nil"/>
              <w:left w:val="nil"/>
              <w:bottom w:val="single" w:sz="4" w:space="0" w:color="auto"/>
              <w:right w:val="single" w:sz="4" w:space="0" w:color="auto"/>
            </w:tcBorders>
            <w:shd w:val="clear" w:color="000000" w:fill="DDEBF7"/>
            <w:noWrap/>
            <w:vAlign w:val="center"/>
            <w:hideMark/>
          </w:tcPr>
          <w:p w14:paraId="3E343849" w14:textId="77777777" w:rsidR="00C26867" w:rsidRPr="00746E61" w:rsidRDefault="00C26867"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65,21%</w:t>
            </w:r>
          </w:p>
        </w:tc>
        <w:tc>
          <w:tcPr>
            <w:tcW w:w="1180" w:type="dxa"/>
            <w:tcBorders>
              <w:top w:val="nil"/>
              <w:left w:val="nil"/>
              <w:bottom w:val="single" w:sz="4" w:space="0" w:color="auto"/>
              <w:right w:val="single" w:sz="4" w:space="0" w:color="auto"/>
            </w:tcBorders>
            <w:shd w:val="clear" w:color="000000" w:fill="DDEBF7"/>
            <w:noWrap/>
            <w:vAlign w:val="center"/>
            <w:hideMark/>
          </w:tcPr>
          <w:p w14:paraId="74602085" w14:textId="77777777" w:rsidR="00C26867" w:rsidRPr="00746E61" w:rsidRDefault="00C26867"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1083</w:t>
            </w:r>
          </w:p>
        </w:tc>
      </w:tr>
      <w:tr w:rsidR="00C26867" w:rsidRPr="00746E61" w14:paraId="373E204E" w14:textId="77777777" w:rsidTr="00C26867">
        <w:trPr>
          <w:trHeight w:val="290"/>
          <w:jc w:val="center"/>
        </w:trPr>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0F95C0BA" w14:textId="77777777" w:rsidR="00C26867" w:rsidRPr="00746E61" w:rsidRDefault="00C26867" w:rsidP="00746E61">
            <w:pPr>
              <w:spacing w:line="276" w:lineRule="auto"/>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Juzgado de Ejecución de la Pena</w:t>
            </w:r>
          </w:p>
        </w:tc>
        <w:tc>
          <w:tcPr>
            <w:tcW w:w="1200" w:type="dxa"/>
            <w:tcBorders>
              <w:top w:val="nil"/>
              <w:left w:val="nil"/>
              <w:bottom w:val="single" w:sz="4" w:space="0" w:color="auto"/>
              <w:right w:val="single" w:sz="4" w:space="0" w:color="auto"/>
            </w:tcBorders>
            <w:shd w:val="clear" w:color="auto" w:fill="auto"/>
            <w:noWrap/>
            <w:vAlign w:val="center"/>
            <w:hideMark/>
          </w:tcPr>
          <w:p w14:paraId="7F0F4F5F" w14:textId="77777777" w:rsidR="00C26867" w:rsidRPr="00746E61" w:rsidRDefault="00C26867"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1162</w:t>
            </w:r>
          </w:p>
        </w:tc>
        <w:tc>
          <w:tcPr>
            <w:tcW w:w="1100" w:type="dxa"/>
            <w:tcBorders>
              <w:top w:val="nil"/>
              <w:left w:val="nil"/>
              <w:bottom w:val="single" w:sz="4" w:space="0" w:color="auto"/>
              <w:right w:val="single" w:sz="4" w:space="0" w:color="auto"/>
            </w:tcBorders>
            <w:shd w:val="clear" w:color="auto" w:fill="auto"/>
            <w:noWrap/>
            <w:vAlign w:val="center"/>
            <w:hideMark/>
          </w:tcPr>
          <w:p w14:paraId="0964EB5F" w14:textId="77777777" w:rsidR="00C26867" w:rsidRPr="00746E61" w:rsidRDefault="00C26867"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351</w:t>
            </w:r>
          </w:p>
        </w:tc>
        <w:tc>
          <w:tcPr>
            <w:tcW w:w="1180" w:type="dxa"/>
            <w:tcBorders>
              <w:top w:val="nil"/>
              <w:left w:val="nil"/>
              <w:bottom w:val="single" w:sz="4" w:space="0" w:color="auto"/>
              <w:right w:val="single" w:sz="4" w:space="0" w:color="auto"/>
            </w:tcBorders>
            <w:shd w:val="clear" w:color="auto" w:fill="auto"/>
            <w:noWrap/>
            <w:vAlign w:val="center"/>
            <w:hideMark/>
          </w:tcPr>
          <w:p w14:paraId="7FA658B9" w14:textId="77777777" w:rsidR="00C26867" w:rsidRPr="00746E61" w:rsidRDefault="00C26867"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76,80%</w:t>
            </w:r>
          </w:p>
        </w:tc>
        <w:tc>
          <w:tcPr>
            <w:tcW w:w="1180" w:type="dxa"/>
            <w:tcBorders>
              <w:top w:val="nil"/>
              <w:left w:val="nil"/>
              <w:bottom w:val="single" w:sz="4" w:space="0" w:color="auto"/>
              <w:right w:val="single" w:sz="4" w:space="0" w:color="auto"/>
            </w:tcBorders>
            <w:shd w:val="clear" w:color="auto" w:fill="auto"/>
            <w:noWrap/>
            <w:vAlign w:val="center"/>
            <w:hideMark/>
          </w:tcPr>
          <w:p w14:paraId="2BA6C0C5" w14:textId="77777777" w:rsidR="00C26867" w:rsidRPr="00746E61" w:rsidRDefault="00C26867"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49</w:t>
            </w:r>
          </w:p>
        </w:tc>
      </w:tr>
      <w:tr w:rsidR="00C26867" w:rsidRPr="00746E61" w14:paraId="00699B42" w14:textId="77777777" w:rsidTr="00C26867">
        <w:trPr>
          <w:trHeight w:val="290"/>
          <w:jc w:val="center"/>
        </w:trPr>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656A28E6" w14:textId="77777777" w:rsidR="00C26867" w:rsidRPr="00746E61" w:rsidRDefault="00C26867" w:rsidP="00746E61">
            <w:pPr>
              <w:spacing w:line="276" w:lineRule="auto"/>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Juzgado Penal</w:t>
            </w:r>
          </w:p>
        </w:tc>
        <w:tc>
          <w:tcPr>
            <w:tcW w:w="1200" w:type="dxa"/>
            <w:tcBorders>
              <w:top w:val="nil"/>
              <w:left w:val="nil"/>
              <w:bottom w:val="single" w:sz="4" w:space="0" w:color="auto"/>
              <w:right w:val="single" w:sz="4" w:space="0" w:color="auto"/>
            </w:tcBorders>
            <w:shd w:val="clear" w:color="auto" w:fill="auto"/>
            <w:noWrap/>
            <w:vAlign w:val="center"/>
            <w:hideMark/>
          </w:tcPr>
          <w:p w14:paraId="34AFF438" w14:textId="77777777" w:rsidR="00C26867" w:rsidRPr="00746E61" w:rsidRDefault="00C26867"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22745</w:t>
            </w:r>
          </w:p>
        </w:tc>
        <w:tc>
          <w:tcPr>
            <w:tcW w:w="1100" w:type="dxa"/>
            <w:tcBorders>
              <w:top w:val="nil"/>
              <w:left w:val="nil"/>
              <w:bottom w:val="single" w:sz="4" w:space="0" w:color="auto"/>
              <w:right w:val="single" w:sz="4" w:space="0" w:color="auto"/>
            </w:tcBorders>
            <w:shd w:val="clear" w:color="auto" w:fill="auto"/>
            <w:noWrap/>
            <w:vAlign w:val="center"/>
            <w:hideMark/>
          </w:tcPr>
          <w:p w14:paraId="5D38DB10" w14:textId="77777777" w:rsidR="00C26867" w:rsidRPr="00746E61" w:rsidRDefault="00C26867"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9108</w:t>
            </w:r>
          </w:p>
        </w:tc>
        <w:tc>
          <w:tcPr>
            <w:tcW w:w="1180" w:type="dxa"/>
            <w:tcBorders>
              <w:top w:val="nil"/>
              <w:left w:val="nil"/>
              <w:bottom w:val="single" w:sz="4" w:space="0" w:color="auto"/>
              <w:right w:val="single" w:sz="4" w:space="0" w:color="auto"/>
            </w:tcBorders>
            <w:shd w:val="clear" w:color="auto" w:fill="auto"/>
            <w:noWrap/>
            <w:vAlign w:val="center"/>
            <w:hideMark/>
          </w:tcPr>
          <w:p w14:paraId="6938E308" w14:textId="77777777" w:rsidR="00C26867" w:rsidRPr="00746E61" w:rsidRDefault="00C26867"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71,41%</w:t>
            </w:r>
          </w:p>
        </w:tc>
        <w:tc>
          <w:tcPr>
            <w:tcW w:w="1180" w:type="dxa"/>
            <w:tcBorders>
              <w:top w:val="nil"/>
              <w:left w:val="nil"/>
              <w:bottom w:val="single" w:sz="4" w:space="0" w:color="auto"/>
              <w:right w:val="single" w:sz="4" w:space="0" w:color="auto"/>
            </w:tcBorders>
            <w:shd w:val="clear" w:color="auto" w:fill="auto"/>
            <w:noWrap/>
            <w:vAlign w:val="center"/>
            <w:hideMark/>
          </w:tcPr>
          <w:p w14:paraId="466A8B2A" w14:textId="77777777" w:rsidR="00C26867" w:rsidRPr="00746E61" w:rsidRDefault="00C26867"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383</w:t>
            </w:r>
          </w:p>
        </w:tc>
      </w:tr>
      <w:tr w:rsidR="00C26867" w:rsidRPr="00746E61" w14:paraId="796D4397" w14:textId="77777777" w:rsidTr="00C26867">
        <w:trPr>
          <w:trHeight w:val="290"/>
          <w:jc w:val="center"/>
        </w:trPr>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6E75F403" w14:textId="77777777" w:rsidR="00C26867" w:rsidRPr="00746E61" w:rsidRDefault="00C26867" w:rsidP="00746E61">
            <w:pPr>
              <w:spacing w:line="276" w:lineRule="auto"/>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Juzgado Penal Juvenil</w:t>
            </w:r>
          </w:p>
        </w:tc>
        <w:tc>
          <w:tcPr>
            <w:tcW w:w="1200" w:type="dxa"/>
            <w:tcBorders>
              <w:top w:val="nil"/>
              <w:left w:val="nil"/>
              <w:bottom w:val="single" w:sz="4" w:space="0" w:color="auto"/>
              <w:right w:val="single" w:sz="4" w:space="0" w:color="auto"/>
            </w:tcBorders>
            <w:shd w:val="clear" w:color="auto" w:fill="auto"/>
            <w:noWrap/>
            <w:vAlign w:val="center"/>
            <w:hideMark/>
          </w:tcPr>
          <w:p w14:paraId="3E1F0A68" w14:textId="77777777" w:rsidR="00C26867" w:rsidRPr="00746E61" w:rsidRDefault="00C26867"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2853</w:t>
            </w:r>
          </w:p>
        </w:tc>
        <w:tc>
          <w:tcPr>
            <w:tcW w:w="1100" w:type="dxa"/>
            <w:tcBorders>
              <w:top w:val="nil"/>
              <w:left w:val="nil"/>
              <w:bottom w:val="single" w:sz="4" w:space="0" w:color="auto"/>
              <w:right w:val="single" w:sz="4" w:space="0" w:color="auto"/>
            </w:tcBorders>
            <w:shd w:val="clear" w:color="auto" w:fill="auto"/>
            <w:noWrap/>
            <w:vAlign w:val="center"/>
            <w:hideMark/>
          </w:tcPr>
          <w:p w14:paraId="47DF0E9F" w14:textId="77777777" w:rsidR="00C26867" w:rsidRPr="00746E61" w:rsidRDefault="00C26867"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1980</w:t>
            </w:r>
          </w:p>
        </w:tc>
        <w:tc>
          <w:tcPr>
            <w:tcW w:w="1180" w:type="dxa"/>
            <w:tcBorders>
              <w:top w:val="nil"/>
              <w:left w:val="nil"/>
              <w:bottom w:val="single" w:sz="4" w:space="0" w:color="auto"/>
              <w:right w:val="single" w:sz="4" w:space="0" w:color="auto"/>
            </w:tcBorders>
            <w:shd w:val="clear" w:color="auto" w:fill="auto"/>
            <w:noWrap/>
            <w:vAlign w:val="center"/>
            <w:hideMark/>
          </w:tcPr>
          <w:p w14:paraId="5340D79B" w14:textId="77777777" w:rsidR="00C26867" w:rsidRPr="00746E61" w:rsidRDefault="00C26867"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59,03%</w:t>
            </w:r>
          </w:p>
        </w:tc>
        <w:tc>
          <w:tcPr>
            <w:tcW w:w="1180" w:type="dxa"/>
            <w:tcBorders>
              <w:top w:val="nil"/>
              <w:left w:val="nil"/>
              <w:bottom w:val="single" w:sz="4" w:space="0" w:color="auto"/>
              <w:right w:val="single" w:sz="4" w:space="0" w:color="auto"/>
            </w:tcBorders>
            <w:shd w:val="clear" w:color="auto" w:fill="auto"/>
            <w:noWrap/>
            <w:vAlign w:val="center"/>
            <w:hideMark/>
          </w:tcPr>
          <w:p w14:paraId="799C3A15" w14:textId="77777777" w:rsidR="00C26867" w:rsidRPr="00746E61" w:rsidRDefault="00C26867"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128</w:t>
            </w:r>
          </w:p>
        </w:tc>
      </w:tr>
      <w:tr w:rsidR="00C26867" w:rsidRPr="00746E61" w14:paraId="082A8BDF" w14:textId="77777777" w:rsidTr="00C26867">
        <w:trPr>
          <w:trHeight w:val="290"/>
          <w:jc w:val="center"/>
        </w:trPr>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6FC703BE" w14:textId="77777777" w:rsidR="00C26867" w:rsidRPr="00746E61" w:rsidRDefault="00C26867" w:rsidP="00746E61">
            <w:pPr>
              <w:spacing w:line="276" w:lineRule="auto"/>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Tribunal Penal</w:t>
            </w:r>
          </w:p>
        </w:tc>
        <w:tc>
          <w:tcPr>
            <w:tcW w:w="1200" w:type="dxa"/>
            <w:tcBorders>
              <w:top w:val="nil"/>
              <w:left w:val="nil"/>
              <w:bottom w:val="single" w:sz="4" w:space="0" w:color="auto"/>
              <w:right w:val="single" w:sz="4" w:space="0" w:color="auto"/>
            </w:tcBorders>
            <w:shd w:val="clear" w:color="auto" w:fill="auto"/>
            <w:noWrap/>
            <w:vAlign w:val="center"/>
            <w:hideMark/>
          </w:tcPr>
          <w:p w14:paraId="40E79505" w14:textId="77777777" w:rsidR="00C26867" w:rsidRPr="00746E61" w:rsidRDefault="00C26867"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10059</w:t>
            </w:r>
          </w:p>
        </w:tc>
        <w:tc>
          <w:tcPr>
            <w:tcW w:w="1100" w:type="dxa"/>
            <w:tcBorders>
              <w:top w:val="nil"/>
              <w:left w:val="nil"/>
              <w:bottom w:val="single" w:sz="4" w:space="0" w:color="auto"/>
              <w:right w:val="single" w:sz="4" w:space="0" w:color="auto"/>
            </w:tcBorders>
            <w:shd w:val="clear" w:color="auto" w:fill="auto"/>
            <w:noWrap/>
            <w:vAlign w:val="center"/>
            <w:hideMark/>
          </w:tcPr>
          <w:p w14:paraId="0F4CCA8B" w14:textId="77777777" w:rsidR="00C26867" w:rsidRPr="00746E61" w:rsidRDefault="00C26867"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9378</w:t>
            </w:r>
          </w:p>
        </w:tc>
        <w:tc>
          <w:tcPr>
            <w:tcW w:w="1180" w:type="dxa"/>
            <w:tcBorders>
              <w:top w:val="nil"/>
              <w:left w:val="nil"/>
              <w:bottom w:val="single" w:sz="4" w:space="0" w:color="auto"/>
              <w:right w:val="single" w:sz="4" w:space="0" w:color="auto"/>
            </w:tcBorders>
            <w:shd w:val="clear" w:color="auto" w:fill="auto"/>
            <w:noWrap/>
            <w:vAlign w:val="center"/>
            <w:hideMark/>
          </w:tcPr>
          <w:p w14:paraId="1002F54A" w14:textId="77777777" w:rsidR="00C26867" w:rsidRPr="00746E61" w:rsidRDefault="00C26867"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51,75%</w:t>
            </w:r>
          </w:p>
        </w:tc>
        <w:tc>
          <w:tcPr>
            <w:tcW w:w="1180" w:type="dxa"/>
            <w:tcBorders>
              <w:top w:val="nil"/>
              <w:left w:val="nil"/>
              <w:bottom w:val="single" w:sz="4" w:space="0" w:color="auto"/>
              <w:right w:val="single" w:sz="4" w:space="0" w:color="auto"/>
            </w:tcBorders>
            <w:shd w:val="clear" w:color="auto" w:fill="auto"/>
            <w:noWrap/>
            <w:vAlign w:val="center"/>
            <w:hideMark/>
          </w:tcPr>
          <w:p w14:paraId="5C88D399" w14:textId="77777777" w:rsidR="00C26867" w:rsidRPr="00746E61" w:rsidRDefault="00C26867"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424</w:t>
            </w:r>
          </w:p>
        </w:tc>
      </w:tr>
      <w:tr w:rsidR="00C26867" w:rsidRPr="00746E61" w14:paraId="52A68D7E" w14:textId="77777777" w:rsidTr="00C26867">
        <w:trPr>
          <w:trHeight w:val="290"/>
          <w:jc w:val="center"/>
        </w:trPr>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6344A414" w14:textId="77777777" w:rsidR="00C26867" w:rsidRPr="00746E61" w:rsidRDefault="00C26867" w:rsidP="00746E61">
            <w:pPr>
              <w:spacing w:line="276" w:lineRule="auto"/>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Tribunal Penal(Flagrancia)</w:t>
            </w:r>
          </w:p>
        </w:tc>
        <w:tc>
          <w:tcPr>
            <w:tcW w:w="1200" w:type="dxa"/>
            <w:tcBorders>
              <w:top w:val="nil"/>
              <w:left w:val="nil"/>
              <w:bottom w:val="single" w:sz="4" w:space="0" w:color="auto"/>
              <w:right w:val="single" w:sz="4" w:space="0" w:color="auto"/>
            </w:tcBorders>
            <w:shd w:val="clear" w:color="auto" w:fill="auto"/>
            <w:noWrap/>
            <w:vAlign w:val="center"/>
            <w:hideMark/>
          </w:tcPr>
          <w:p w14:paraId="5B578AB3" w14:textId="77777777" w:rsidR="00C26867" w:rsidRPr="00746E61" w:rsidRDefault="00C26867"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4321</w:t>
            </w:r>
          </w:p>
        </w:tc>
        <w:tc>
          <w:tcPr>
            <w:tcW w:w="1100" w:type="dxa"/>
            <w:tcBorders>
              <w:top w:val="nil"/>
              <w:left w:val="nil"/>
              <w:bottom w:val="single" w:sz="4" w:space="0" w:color="auto"/>
              <w:right w:val="single" w:sz="4" w:space="0" w:color="auto"/>
            </w:tcBorders>
            <w:shd w:val="clear" w:color="auto" w:fill="auto"/>
            <w:noWrap/>
            <w:vAlign w:val="center"/>
            <w:hideMark/>
          </w:tcPr>
          <w:p w14:paraId="4870E366" w14:textId="77777777" w:rsidR="00C26867" w:rsidRPr="00746E61" w:rsidRDefault="00C26867"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1128</w:t>
            </w:r>
          </w:p>
        </w:tc>
        <w:tc>
          <w:tcPr>
            <w:tcW w:w="1180" w:type="dxa"/>
            <w:tcBorders>
              <w:top w:val="nil"/>
              <w:left w:val="nil"/>
              <w:bottom w:val="single" w:sz="4" w:space="0" w:color="auto"/>
              <w:right w:val="single" w:sz="4" w:space="0" w:color="auto"/>
            </w:tcBorders>
            <w:shd w:val="clear" w:color="auto" w:fill="auto"/>
            <w:noWrap/>
            <w:vAlign w:val="center"/>
            <w:hideMark/>
          </w:tcPr>
          <w:p w14:paraId="2DD088E3" w14:textId="77777777" w:rsidR="00C26867" w:rsidRPr="00746E61" w:rsidRDefault="00C26867"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79,30%</w:t>
            </w:r>
          </w:p>
        </w:tc>
        <w:tc>
          <w:tcPr>
            <w:tcW w:w="1180" w:type="dxa"/>
            <w:tcBorders>
              <w:top w:val="nil"/>
              <w:left w:val="nil"/>
              <w:bottom w:val="single" w:sz="4" w:space="0" w:color="auto"/>
              <w:right w:val="single" w:sz="4" w:space="0" w:color="auto"/>
            </w:tcBorders>
            <w:shd w:val="clear" w:color="auto" w:fill="auto"/>
            <w:noWrap/>
            <w:vAlign w:val="center"/>
            <w:hideMark/>
          </w:tcPr>
          <w:p w14:paraId="34203539" w14:textId="77777777" w:rsidR="00C26867" w:rsidRPr="00746E61" w:rsidRDefault="00C26867"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99</w:t>
            </w:r>
          </w:p>
        </w:tc>
      </w:tr>
    </w:tbl>
    <w:p w14:paraId="5304F296" w14:textId="493FA635" w:rsidR="002043A0" w:rsidRPr="00746E61" w:rsidRDefault="002043A0" w:rsidP="00746E61">
      <w:pPr>
        <w:spacing w:line="276" w:lineRule="auto"/>
        <w:ind w:left="708" w:right="282"/>
        <w:jc w:val="both"/>
        <w:rPr>
          <w:rFonts w:ascii="Book Antiqua" w:hAnsi="Book Antiqua" w:cs="Calibri"/>
          <w:color w:val="000000"/>
          <w:sz w:val="16"/>
          <w:szCs w:val="16"/>
          <w:lang w:eastAsia="es-CR"/>
        </w:rPr>
      </w:pPr>
      <w:r w:rsidRPr="00746E61">
        <w:rPr>
          <w:rFonts w:ascii="Book Antiqua" w:hAnsi="Book Antiqua" w:cs="Calibri"/>
          <w:b/>
          <w:bCs/>
          <w:color w:val="000000"/>
          <w:sz w:val="16"/>
          <w:szCs w:val="16"/>
          <w:lang w:eastAsia="es-CR"/>
        </w:rPr>
        <w:t>Nota:</w:t>
      </w:r>
      <w:r w:rsidRPr="00746E61">
        <w:rPr>
          <w:rFonts w:ascii="Book Antiqua" w:hAnsi="Book Antiqua" w:cs="Calibri"/>
          <w:color w:val="000000"/>
          <w:sz w:val="16"/>
          <w:szCs w:val="16"/>
          <w:lang w:eastAsia="es-CR"/>
        </w:rPr>
        <w:t xml:space="preserve"> </w:t>
      </w:r>
      <w:r w:rsidRPr="00746E61">
        <w:rPr>
          <w:rFonts w:ascii="Book Antiqua" w:hAnsi="Book Antiqua"/>
          <w:sz w:val="18"/>
          <w:szCs w:val="18"/>
          <w:lang w:val="es-ES_tradnl" w:eastAsia="en-US"/>
        </w:rPr>
        <w:t>El porcentaje de efectividad se calcula de esta manera: (Realizados)</w:t>
      </w:r>
      <w:r w:rsidR="009B5686" w:rsidRPr="00746E61">
        <w:rPr>
          <w:rFonts w:ascii="Book Antiqua" w:hAnsi="Book Antiqua"/>
          <w:sz w:val="18"/>
          <w:szCs w:val="18"/>
          <w:lang w:val="es-ES_tradnl" w:eastAsia="en-US"/>
        </w:rPr>
        <w:t>/ (</w:t>
      </w:r>
      <w:r w:rsidRPr="00746E61">
        <w:rPr>
          <w:rFonts w:ascii="Book Antiqua" w:hAnsi="Book Antiqua"/>
          <w:sz w:val="18"/>
          <w:szCs w:val="18"/>
          <w:lang w:val="es-ES_tradnl" w:eastAsia="en-US"/>
        </w:rPr>
        <w:t xml:space="preserve">Realizados + No realizados), por </w:t>
      </w:r>
      <w:r w:rsidR="009B5686" w:rsidRPr="00746E61">
        <w:rPr>
          <w:rFonts w:ascii="Book Antiqua" w:hAnsi="Book Antiqua"/>
          <w:sz w:val="18"/>
          <w:szCs w:val="18"/>
          <w:lang w:val="es-ES_tradnl" w:eastAsia="en-US"/>
        </w:rPr>
        <w:t>ejemplo,</w:t>
      </w:r>
      <w:r w:rsidRPr="00746E61">
        <w:rPr>
          <w:rFonts w:ascii="Book Antiqua" w:hAnsi="Book Antiqua"/>
          <w:sz w:val="18"/>
          <w:szCs w:val="18"/>
          <w:lang w:val="es-ES_tradnl" w:eastAsia="en-US"/>
        </w:rPr>
        <w:t xml:space="preserve"> en Agrario sería la división de</w:t>
      </w:r>
      <w:r w:rsidR="00C26867" w:rsidRPr="00746E61">
        <w:rPr>
          <w:rFonts w:ascii="Book Antiqua" w:hAnsi="Book Antiqua"/>
          <w:sz w:val="18"/>
          <w:szCs w:val="18"/>
          <w:lang w:val="es-ES_tradnl" w:eastAsia="en-US"/>
        </w:rPr>
        <w:t xml:space="preserve"> 14</w:t>
      </w:r>
      <w:r w:rsidR="009B5686" w:rsidRPr="00746E61">
        <w:rPr>
          <w:rFonts w:ascii="Book Antiqua" w:hAnsi="Book Antiqua"/>
          <w:sz w:val="18"/>
          <w:szCs w:val="18"/>
          <w:lang w:val="es-ES_tradnl" w:eastAsia="en-US"/>
        </w:rPr>
        <w:t>67/ (1</w:t>
      </w:r>
      <w:r w:rsidR="00C26867" w:rsidRPr="00746E61">
        <w:rPr>
          <w:rFonts w:ascii="Book Antiqua" w:hAnsi="Book Antiqua"/>
          <w:sz w:val="18"/>
          <w:szCs w:val="18"/>
          <w:lang w:val="es-ES_tradnl" w:eastAsia="en-US"/>
        </w:rPr>
        <w:t>4</w:t>
      </w:r>
      <w:r w:rsidR="009B5686" w:rsidRPr="00746E61">
        <w:rPr>
          <w:rFonts w:ascii="Book Antiqua" w:hAnsi="Book Antiqua"/>
          <w:sz w:val="18"/>
          <w:szCs w:val="18"/>
          <w:lang w:val="es-ES_tradnl" w:eastAsia="en-US"/>
        </w:rPr>
        <w:t>67</w:t>
      </w:r>
      <w:r w:rsidRPr="00746E61">
        <w:rPr>
          <w:rFonts w:ascii="Book Antiqua" w:hAnsi="Book Antiqua"/>
          <w:sz w:val="18"/>
          <w:szCs w:val="18"/>
          <w:lang w:val="es-ES_tradnl" w:eastAsia="en-US"/>
        </w:rPr>
        <w:t>+</w:t>
      </w:r>
      <w:r w:rsidR="00C26867" w:rsidRPr="00746E61">
        <w:rPr>
          <w:rFonts w:ascii="Book Antiqua" w:hAnsi="Book Antiqua"/>
          <w:sz w:val="18"/>
          <w:szCs w:val="18"/>
          <w:lang w:val="es-ES_tradnl" w:eastAsia="en-US"/>
        </w:rPr>
        <w:t>2024</w:t>
      </w:r>
      <w:r w:rsidRPr="00746E61">
        <w:rPr>
          <w:rFonts w:ascii="Book Antiqua" w:hAnsi="Book Antiqua"/>
          <w:sz w:val="18"/>
          <w:szCs w:val="18"/>
          <w:lang w:val="es-ES_tradnl" w:eastAsia="en-US"/>
        </w:rPr>
        <w:t xml:space="preserve">), equivale a </w:t>
      </w:r>
      <w:r w:rsidR="009B5686" w:rsidRPr="00746E61">
        <w:rPr>
          <w:rFonts w:ascii="Book Antiqua" w:hAnsi="Book Antiqua"/>
          <w:sz w:val="18"/>
          <w:szCs w:val="18"/>
          <w:lang w:val="es-ES_tradnl" w:eastAsia="en-US"/>
        </w:rPr>
        <w:t>1</w:t>
      </w:r>
      <w:r w:rsidR="00C26867" w:rsidRPr="00746E61">
        <w:rPr>
          <w:rFonts w:ascii="Book Antiqua" w:hAnsi="Book Antiqua"/>
          <w:sz w:val="18"/>
          <w:szCs w:val="18"/>
          <w:lang w:val="es-ES_tradnl" w:eastAsia="en-US"/>
        </w:rPr>
        <w:t>4</w:t>
      </w:r>
      <w:r w:rsidR="009B5686" w:rsidRPr="00746E61">
        <w:rPr>
          <w:rFonts w:ascii="Book Antiqua" w:hAnsi="Book Antiqua"/>
          <w:sz w:val="18"/>
          <w:szCs w:val="18"/>
          <w:lang w:val="es-ES_tradnl" w:eastAsia="en-US"/>
        </w:rPr>
        <w:t>67</w:t>
      </w:r>
      <w:r w:rsidRPr="00746E61">
        <w:rPr>
          <w:rFonts w:ascii="Book Antiqua" w:hAnsi="Book Antiqua"/>
          <w:sz w:val="18"/>
          <w:szCs w:val="18"/>
          <w:lang w:val="es-ES_tradnl" w:eastAsia="en-US"/>
        </w:rPr>
        <w:t>/</w:t>
      </w:r>
      <w:r w:rsidR="009B5686" w:rsidRPr="00746E61">
        <w:rPr>
          <w:rFonts w:ascii="Book Antiqua" w:hAnsi="Book Antiqua"/>
          <w:sz w:val="18"/>
          <w:szCs w:val="18"/>
          <w:lang w:val="es-ES_tradnl" w:eastAsia="en-US"/>
        </w:rPr>
        <w:t>3</w:t>
      </w:r>
      <w:r w:rsidR="00C26867" w:rsidRPr="00746E61">
        <w:rPr>
          <w:rFonts w:ascii="Book Antiqua" w:hAnsi="Book Antiqua"/>
          <w:sz w:val="18"/>
          <w:szCs w:val="18"/>
          <w:lang w:val="es-ES_tradnl" w:eastAsia="en-US"/>
        </w:rPr>
        <w:t>491</w:t>
      </w:r>
      <w:r w:rsidRPr="00746E61">
        <w:rPr>
          <w:rFonts w:ascii="Book Antiqua" w:hAnsi="Book Antiqua"/>
          <w:sz w:val="18"/>
          <w:szCs w:val="18"/>
          <w:lang w:val="es-ES_tradnl" w:eastAsia="en-US"/>
        </w:rPr>
        <w:t>= 4</w:t>
      </w:r>
      <w:r w:rsidR="00842CAF" w:rsidRPr="00746E61">
        <w:rPr>
          <w:rFonts w:ascii="Book Antiqua" w:hAnsi="Book Antiqua"/>
          <w:sz w:val="18"/>
          <w:szCs w:val="18"/>
          <w:lang w:val="es-ES_tradnl" w:eastAsia="en-US"/>
        </w:rPr>
        <w:t>2</w:t>
      </w:r>
      <w:r w:rsidR="00C26867" w:rsidRPr="00746E61">
        <w:rPr>
          <w:rFonts w:ascii="Book Antiqua" w:hAnsi="Book Antiqua"/>
          <w:sz w:val="18"/>
          <w:szCs w:val="18"/>
          <w:lang w:val="es-ES_tradnl" w:eastAsia="en-US"/>
        </w:rPr>
        <w:t>.02</w:t>
      </w:r>
      <w:r w:rsidRPr="00746E61">
        <w:rPr>
          <w:rFonts w:ascii="Book Antiqua" w:hAnsi="Book Antiqua"/>
          <w:sz w:val="18"/>
          <w:szCs w:val="18"/>
          <w:lang w:val="es-ES_tradnl" w:eastAsia="en-US"/>
        </w:rPr>
        <w:t xml:space="preserve">%, así se </w:t>
      </w:r>
      <w:r w:rsidR="00653A83" w:rsidRPr="00746E61">
        <w:rPr>
          <w:rFonts w:ascii="Book Antiqua" w:hAnsi="Book Antiqua"/>
          <w:sz w:val="18"/>
          <w:szCs w:val="18"/>
          <w:lang w:val="es-ES_tradnl" w:eastAsia="en-US"/>
        </w:rPr>
        <w:t>calcularon todas las materias.</w:t>
      </w:r>
      <w:r w:rsidRPr="00746E61">
        <w:rPr>
          <w:rFonts w:ascii="Book Antiqua" w:hAnsi="Book Antiqua"/>
          <w:sz w:val="18"/>
          <w:szCs w:val="18"/>
          <w:lang w:val="es-ES_tradnl" w:eastAsia="en-US"/>
        </w:rPr>
        <w:t xml:space="preserve"> Hacer la observación que realizados + no realizado son los programados.</w:t>
      </w:r>
    </w:p>
    <w:p w14:paraId="566359EE" w14:textId="0FC600A6" w:rsidR="00062EED" w:rsidRPr="00746E61" w:rsidRDefault="0059268A" w:rsidP="00746E61">
      <w:pPr>
        <w:spacing w:line="276" w:lineRule="auto"/>
        <w:jc w:val="center"/>
        <w:rPr>
          <w:rFonts w:ascii="Book Antiqua" w:hAnsi="Book Antiqua"/>
          <w:lang w:val="es-ES_tradnl" w:eastAsia="en-US"/>
        </w:rPr>
      </w:pPr>
      <w:r w:rsidRPr="00746E61">
        <w:rPr>
          <w:rFonts w:ascii="Book Antiqua" w:hAnsi="Book Antiqua" w:cs="Calibri"/>
          <w:b/>
          <w:bCs/>
          <w:color w:val="000000"/>
          <w:sz w:val="20"/>
          <w:szCs w:val="20"/>
          <w:lang w:eastAsia="es-CR"/>
        </w:rPr>
        <w:t>Fuente:</w:t>
      </w:r>
      <w:r w:rsidRPr="00746E61">
        <w:rPr>
          <w:rFonts w:ascii="Book Antiqua" w:hAnsi="Book Antiqua" w:cs="Calibri"/>
          <w:color w:val="000000"/>
          <w:sz w:val="20"/>
          <w:szCs w:val="20"/>
          <w:lang w:eastAsia="es-CR"/>
        </w:rPr>
        <w:t xml:space="preserve"> Elaboración propia a partir de las estadísticas del Subproceso de Estadística</w:t>
      </w:r>
    </w:p>
    <w:p w14:paraId="7581CAF7" w14:textId="77777777" w:rsidR="00222669" w:rsidRPr="00746E61" w:rsidRDefault="00222669" w:rsidP="00746E61">
      <w:pPr>
        <w:spacing w:line="276" w:lineRule="auto"/>
        <w:rPr>
          <w:rFonts w:ascii="Book Antiqua" w:hAnsi="Book Antiqua"/>
          <w:lang w:val="es-ES_tradnl" w:eastAsia="en-US"/>
        </w:rPr>
      </w:pPr>
    </w:p>
    <w:p w14:paraId="5AB771F8" w14:textId="53A48ED9" w:rsidR="00085B2A" w:rsidRPr="00746E61" w:rsidRDefault="00E00B6C" w:rsidP="00746E61">
      <w:pPr>
        <w:spacing w:line="276" w:lineRule="auto"/>
        <w:jc w:val="both"/>
        <w:rPr>
          <w:rFonts w:ascii="Book Antiqua" w:hAnsi="Book Antiqua"/>
          <w:lang w:val="es-ES_tradnl" w:eastAsia="en-US"/>
        </w:rPr>
      </w:pPr>
      <w:r w:rsidRPr="00746E61">
        <w:rPr>
          <w:rFonts w:ascii="Book Antiqua" w:hAnsi="Book Antiqua"/>
          <w:lang w:val="es-ES_tradnl" w:eastAsia="en-US"/>
        </w:rPr>
        <w:t xml:space="preserve">De conformidad con el cuadro anterior, se resalta </w:t>
      </w:r>
      <w:r w:rsidRPr="00746E61">
        <w:rPr>
          <w:rFonts w:ascii="Book Antiqua" w:hAnsi="Book Antiqua"/>
          <w:b/>
          <w:bCs/>
          <w:lang w:val="es-ES_tradnl" w:eastAsia="en-US"/>
        </w:rPr>
        <w:t>un incremento de efectividad de 1</w:t>
      </w:r>
      <w:r w:rsidR="004F7FEF" w:rsidRPr="00746E61">
        <w:rPr>
          <w:rFonts w:ascii="Book Antiqua" w:hAnsi="Book Antiqua"/>
          <w:b/>
          <w:bCs/>
          <w:lang w:val="es-ES_tradnl" w:eastAsia="en-US"/>
        </w:rPr>
        <w:t>0</w:t>
      </w:r>
      <w:r w:rsidRPr="00746E61">
        <w:rPr>
          <w:rFonts w:ascii="Book Antiqua" w:hAnsi="Book Antiqua"/>
          <w:b/>
          <w:bCs/>
          <w:lang w:val="es-ES_tradnl" w:eastAsia="en-US"/>
        </w:rPr>
        <w:t>%</w:t>
      </w:r>
      <w:r w:rsidRPr="00746E61">
        <w:rPr>
          <w:rFonts w:ascii="Book Antiqua" w:hAnsi="Book Antiqua"/>
          <w:lang w:val="es-ES_tradnl" w:eastAsia="en-US"/>
        </w:rPr>
        <w:t xml:space="preserve"> </w:t>
      </w:r>
      <w:r w:rsidR="00CA1324" w:rsidRPr="00746E61">
        <w:rPr>
          <w:rFonts w:ascii="Book Antiqua" w:hAnsi="Book Antiqua"/>
          <w:lang w:val="es-ES_tradnl" w:eastAsia="en-US"/>
        </w:rPr>
        <w:t>en relación con el</w:t>
      </w:r>
      <w:r w:rsidR="004F7FEF" w:rsidRPr="00746E61">
        <w:rPr>
          <w:rFonts w:ascii="Book Antiqua" w:hAnsi="Book Antiqua"/>
          <w:lang w:val="es-ES_tradnl" w:eastAsia="en-US"/>
        </w:rPr>
        <w:t xml:space="preserve"> 2020, donde se alcanzó una efectividad de un 50%. Se hace la observación que al finalizar un mes no pueden quedar expedientes pendientes de apunte en la agenda Cronos, por lo cual la cantidad de </w:t>
      </w:r>
      <w:r w:rsidR="005F3C9E" w:rsidRPr="00746E61">
        <w:rPr>
          <w:rFonts w:ascii="Book Antiqua" w:hAnsi="Book Antiqua"/>
          <w:lang w:val="es-ES_tradnl" w:eastAsia="en-US"/>
        </w:rPr>
        <w:t>2</w:t>
      </w:r>
      <w:r w:rsidR="007637DE" w:rsidRPr="00746E61">
        <w:rPr>
          <w:rFonts w:ascii="Book Antiqua" w:hAnsi="Book Antiqua"/>
          <w:lang w:val="es-ES_tradnl" w:eastAsia="en-US"/>
        </w:rPr>
        <w:t>290</w:t>
      </w:r>
      <w:r w:rsidR="004F7FEF" w:rsidRPr="00746E61">
        <w:rPr>
          <w:rFonts w:ascii="Book Antiqua" w:hAnsi="Book Antiqua"/>
          <w:lang w:val="es-ES_tradnl" w:eastAsia="en-US"/>
        </w:rPr>
        <w:t xml:space="preserve"> expedientes pendientes </w:t>
      </w:r>
      <w:r w:rsidR="005F3C9E" w:rsidRPr="00746E61">
        <w:rPr>
          <w:rFonts w:ascii="Book Antiqua" w:hAnsi="Book Antiqua"/>
          <w:lang w:val="es-ES_tradnl" w:eastAsia="en-US"/>
        </w:rPr>
        <w:t>tiene que</w:t>
      </w:r>
      <w:r w:rsidR="004F7FEF" w:rsidRPr="00746E61">
        <w:rPr>
          <w:rFonts w:ascii="Book Antiqua" w:hAnsi="Book Antiqua"/>
          <w:lang w:val="es-ES_tradnl" w:eastAsia="en-US"/>
        </w:rPr>
        <w:t xml:space="preserve"> ser ajustado </w:t>
      </w:r>
      <w:r w:rsidR="008B7F93">
        <w:rPr>
          <w:rFonts w:ascii="Book Antiqua" w:hAnsi="Book Antiqua"/>
          <w:lang w:val="es-ES_tradnl" w:eastAsia="en-US"/>
        </w:rPr>
        <w:t xml:space="preserve">por las oficinas judiciales </w:t>
      </w:r>
      <w:r w:rsidR="004F7FEF" w:rsidRPr="00746E61">
        <w:rPr>
          <w:rFonts w:ascii="Book Antiqua" w:hAnsi="Book Antiqua"/>
          <w:lang w:val="es-ES_tradnl" w:eastAsia="en-US"/>
        </w:rPr>
        <w:t xml:space="preserve">porque debería ser cero. </w:t>
      </w:r>
    </w:p>
    <w:p w14:paraId="0C69EC2E" w14:textId="77777777" w:rsidR="00704CDD" w:rsidRPr="00746E61" w:rsidRDefault="00704CDD" w:rsidP="00746E61">
      <w:pPr>
        <w:spacing w:line="276" w:lineRule="auto"/>
        <w:jc w:val="both"/>
        <w:rPr>
          <w:rFonts w:ascii="Book Antiqua" w:hAnsi="Book Antiqua"/>
          <w:lang w:val="es-ES_tradnl" w:eastAsia="en-US"/>
        </w:rPr>
      </w:pPr>
    </w:p>
    <w:p w14:paraId="24FDF4B7" w14:textId="252F932F" w:rsidR="009A5AC3" w:rsidRPr="00746E61" w:rsidRDefault="00AB192C" w:rsidP="00746E61">
      <w:pPr>
        <w:spacing w:line="276" w:lineRule="auto"/>
        <w:jc w:val="both"/>
        <w:rPr>
          <w:rFonts w:ascii="Book Antiqua" w:hAnsi="Book Antiqua"/>
          <w:lang w:val="es-ES_tradnl" w:eastAsia="en-US"/>
        </w:rPr>
      </w:pPr>
      <w:r w:rsidRPr="00746E61">
        <w:rPr>
          <w:rFonts w:ascii="Book Antiqua" w:hAnsi="Book Antiqua"/>
          <w:lang w:val="es-ES_tradnl" w:eastAsia="en-US"/>
        </w:rPr>
        <w:t xml:space="preserve">A </w:t>
      </w:r>
      <w:r w:rsidR="00CF27AF" w:rsidRPr="00746E61">
        <w:rPr>
          <w:rFonts w:ascii="Book Antiqua" w:hAnsi="Book Antiqua"/>
          <w:lang w:val="es-ES_tradnl" w:eastAsia="en-US"/>
        </w:rPr>
        <w:t>continuación,</w:t>
      </w:r>
      <w:r w:rsidRPr="00746E61">
        <w:rPr>
          <w:rFonts w:ascii="Book Antiqua" w:hAnsi="Book Antiqua"/>
          <w:lang w:val="es-ES_tradnl" w:eastAsia="en-US"/>
        </w:rPr>
        <w:t xml:space="preserve"> se visualiza una gráfica con la cantidad de </w:t>
      </w:r>
      <w:r w:rsidR="009A5AC3" w:rsidRPr="00746E61">
        <w:rPr>
          <w:rFonts w:ascii="Book Antiqua" w:hAnsi="Book Antiqua"/>
          <w:lang w:val="es-ES_tradnl" w:eastAsia="en-US"/>
        </w:rPr>
        <w:t>diligencias</w:t>
      </w:r>
      <w:r w:rsidRPr="00746E61">
        <w:rPr>
          <w:rFonts w:ascii="Book Antiqua" w:hAnsi="Book Antiqua"/>
          <w:lang w:val="es-ES_tradnl" w:eastAsia="en-US"/>
        </w:rPr>
        <w:t xml:space="preserve"> realizadas en el periodo de enero a </w:t>
      </w:r>
      <w:r w:rsidR="009A5AC3" w:rsidRPr="00746E61">
        <w:rPr>
          <w:rFonts w:ascii="Book Antiqua" w:hAnsi="Book Antiqua"/>
          <w:lang w:val="es-ES_tradnl" w:eastAsia="en-US"/>
        </w:rPr>
        <w:t>setiembre</w:t>
      </w:r>
      <w:r w:rsidR="005F3C9E" w:rsidRPr="00746E61">
        <w:rPr>
          <w:rFonts w:ascii="Book Antiqua" w:hAnsi="Book Antiqua"/>
          <w:lang w:val="es-ES_tradnl" w:eastAsia="en-US"/>
        </w:rPr>
        <w:t xml:space="preserve"> de</w:t>
      </w:r>
      <w:r w:rsidRPr="00746E61">
        <w:rPr>
          <w:rFonts w:ascii="Book Antiqua" w:hAnsi="Book Antiqua"/>
          <w:lang w:val="es-ES_tradnl" w:eastAsia="en-US"/>
        </w:rPr>
        <w:t xml:space="preserve"> 2021</w:t>
      </w:r>
      <w:r w:rsidR="004F7FEF" w:rsidRPr="00746E61">
        <w:rPr>
          <w:rFonts w:ascii="Book Antiqua" w:hAnsi="Book Antiqua"/>
          <w:lang w:val="es-ES_tradnl" w:eastAsia="en-US"/>
        </w:rPr>
        <w:t xml:space="preserve">, se hace la </w:t>
      </w:r>
      <w:r w:rsidR="000656FB" w:rsidRPr="00746E61">
        <w:rPr>
          <w:rFonts w:ascii="Book Antiqua" w:hAnsi="Book Antiqua"/>
          <w:lang w:val="es-ES_tradnl" w:eastAsia="en-US"/>
        </w:rPr>
        <w:t>aclaración</w:t>
      </w:r>
      <w:r w:rsidR="004F7FEF" w:rsidRPr="00746E61">
        <w:rPr>
          <w:rFonts w:ascii="Book Antiqua" w:hAnsi="Book Antiqua"/>
          <w:lang w:val="es-ES_tradnl" w:eastAsia="en-US"/>
        </w:rPr>
        <w:t xml:space="preserve"> que en el caso de materia cobratoria no es incluida en este análisis por su naturaleza donde las audiencias son mínimas y los remates se realizan en mayor proporción y al ser un dato exclusivo de audiencias no se anotan.</w:t>
      </w:r>
    </w:p>
    <w:p w14:paraId="06AA28D8" w14:textId="309B7C87" w:rsidR="009A5AC3" w:rsidRDefault="009A5AC3" w:rsidP="00746E61">
      <w:pPr>
        <w:spacing w:line="276" w:lineRule="auto"/>
        <w:jc w:val="both"/>
        <w:rPr>
          <w:rFonts w:ascii="Book Antiqua" w:hAnsi="Book Antiqua"/>
          <w:lang w:val="es-ES_tradnl" w:eastAsia="en-US"/>
        </w:rPr>
      </w:pPr>
    </w:p>
    <w:p w14:paraId="580516C4" w14:textId="5647413B" w:rsidR="006F775A" w:rsidRDefault="006F775A" w:rsidP="00746E61">
      <w:pPr>
        <w:spacing w:line="276" w:lineRule="auto"/>
        <w:jc w:val="both"/>
        <w:rPr>
          <w:rFonts w:ascii="Book Antiqua" w:hAnsi="Book Antiqua"/>
          <w:lang w:val="es-ES_tradnl" w:eastAsia="en-US"/>
        </w:rPr>
      </w:pPr>
    </w:p>
    <w:p w14:paraId="069E6115" w14:textId="04FF24A5" w:rsidR="006F775A" w:rsidRDefault="006F775A" w:rsidP="00746E61">
      <w:pPr>
        <w:spacing w:line="276" w:lineRule="auto"/>
        <w:jc w:val="both"/>
        <w:rPr>
          <w:rFonts w:ascii="Book Antiqua" w:hAnsi="Book Antiqua"/>
          <w:lang w:val="es-ES_tradnl" w:eastAsia="en-US"/>
        </w:rPr>
      </w:pPr>
    </w:p>
    <w:p w14:paraId="4B2D8264" w14:textId="2BF015DD" w:rsidR="006F775A" w:rsidRDefault="006F775A" w:rsidP="00746E61">
      <w:pPr>
        <w:spacing w:line="276" w:lineRule="auto"/>
        <w:jc w:val="both"/>
        <w:rPr>
          <w:rFonts w:ascii="Book Antiqua" w:hAnsi="Book Antiqua"/>
          <w:lang w:val="es-ES_tradnl" w:eastAsia="en-US"/>
        </w:rPr>
      </w:pPr>
    </w:p>
    <w:p w14:paraId="34838977" w14:textId="77777777" w:rsidR="006F775A" w:rsidRPr="00746E61" w:rsidRDefault="006F775A" w:rsidP="00746E61">
      <w:pPr>
        <w:spacing w:line="276" w:lineRule="auto"/>
        <w:jc w:val="both"/>
        <w:rPr>
          <w:rFonts w:ascii="Book Antiqua" w:hAnsi="Book Antiqua"/>
          <w:lang w:val="es-ES_tradnl" w:eastAsia="en-US"/>
        </w:rPr>
      </w:pPr>
    </w:p>
    <w:p w14:paraId="38D1DDFB" w14:textId="7D6BE3A0" w:rsidR="00733217" w:rsidRPr="00746E61" w:rsidRDefault="00733217" w:rsidP="00BF7F5F">
      <w:pPr>
        <w:spacing w:line="276" w:lineRule="auto"/>
        <w:jc w:val="center"/>
        <w:rPr>
          <w:rFonts w:ascii="Book Antiqua" w:hAnsi="Book Antiqua"/>
          <w:b/>
          <w:bCs/>
          <w:lang w:val="es-ES_tradnl" w:eastAsia="en-US"/>
        </w:rPr>
      </w:pPr>
      <w:r w:rsidRPr="00746E61">
        <w:rPr>
          <w:rFonts w:ascii="Book Antiqua" w:hAnsi="Book Antiqua"/>
          <w:b/>
          <w:bCs/>
          <w:lang w:val="es-ES_tradnl" w:eastAsia="en-US"/>
        </w:rPr>
        <w:t xml:space="preserve">Gráfico </w:t>
      </w:r>
      <w:r w:rsidR="00FA7824" w:rsidRPr="00746E61">
        <w:rPr>
          <w:rFonts w:ascii="Book Antiqua" w:hAnsi="Book Antiqua"/>
          <w:b/>
          <w:bCs/>
          <w:lang w:val="es-ES_tradnl" w:eastAsia="en-US"/>
        </w:rPr>
        <w:t>1</w:t>
      </w:r>
    </w:p>
    <w:p w14:paraId="2AD618D9" w14:textId="356A2E3A" w:rsidR="00733217" w:rsidRPr="00746E61" w:rsidRDefault="009A5AC3" w:rsidP="00746E61">
      <w:pPr>
        <w:spacing w:line="276" w:lineRule="auto"/>
        <w:jc w:val="center"/>
        <w:rPr>
          <w:rFonts w:ascii="Book Antiqua" w:hAnsi="Book Antiqua"/>
          <w:lang w:val="es-ES_tradnl" w:eastAsia="en-US"/>
        </w:rPr>
      </w:pPr>
      <w:r w:rsidRPr="00746E61">
        <w:rPr>
          <w:rFonts w:ascii="Book Antiqua" w:hAnsi="Book Antiqua"/>
          <w:noProof/>
        </w:rPr>
        <w:drawing>
          <wp:inline distT="0" distB="0" distL="0" distR="0" wp14:anchorId="457C2ABB" wp14:editId="577B3789">
            <wp:extent cx="4933380" cy="2666544"/>
            <wp:effectExtent l="0" t="0" r="635" b="635"/>
            <wp:docPr id="22" name="Gráfico 22">
              <a:extLst xmlns:a="http://schemas.openxmlformats.org/drawingml/2006/main">
                <a:ext uri="{FF2B5EF4-FFF2-40B4-BE49-F238E27FC236}">
                  <a16:creationId xmlns:a16="http://schemas.microsoft.com/office/drawing/2014/main" id="{C426D832-B9BC-42B3-ADFA-E5BDE37D68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B9238C0" w14:textId="1F2A2AF2" w:rsidR="00222669" w:rsidRPr="00746E61" w:rsidRDefault="0059268A" w:rsidP="00746E61">
      <w:pPr>
        <w:spacing w:line="276" w:lineRule="auto"/>
        <w:jc w:val="center"/>
        <w:rPr>
          <w:rFonts w:ascii="Book Antiqua" w:hAnsi="Book Antiqua"/>
          <w:highlight w:val="lightGray"/>
          <w:lang w:val="es-ES_tradnl" w:eastAsia="en-US"/>
        </w:rPr>
      </w:pPr>
      <w:r w:rsidRPr="00746E61">
        <w:rPr>
          <w:rFonts w:ascii="Book Antiqua" w:hAnsi="Book Antiqua" w:cs="Calibri"/>
          <w:b/>
          <w:bCs/>
          <w:color w:val="000000"/>
          <w:sz w:val="20"/>
          <w:szCs w:val="20"/>
          <w:lang w:eastAsia="es-CR"/>
        </w:rPr>
        <w:t>Fuente:</w:t>
      </w:r>
      <w:r w:rsidRPr="00746E61">
        <w:rPr>
          <w:rFonts w:ascii="Book Antiqua" w:hAnsi="Book Antiqua" w:cs="Calibri"/>
          <w:color w:val="000000"/>
          <w:sz w:val="20"/>
          <w:szCs w:val="20"/>
          <w:lang w:eastAsia="es-CR"/>
        </w:rPr>
        <w:t xml:space="preserve"> Elaboración propia a partir de las estadísticas del Subproceso de Estadística</w:t>
      </w:r>
    </w:p>
    <w:p w14:paraId="10068B8E" w14:textId="66249329" w:rsidR="004F7FEF" w:rsidRPr="00746E61" w:rsidRDefault="004F7FEF" w:rsidP="00746E61">
      <w:pPr>
        <w:spacing w:line="276" w:lineRule="auto"/>
        <w:jc w:val="center"/>
        <w:rPr>
          <w:rFonts w:ascii="Book Antiqua" w:hAnsi="Book Antiqua"/>
          <w:highlight w:val="lightGray"/>
          <w:lang w:val="es-ES_tradnl" w:eastAsia="en-US"/>
        </w:rPr>
      </w:pPr>
    </w:p>
    <w:p w14:paraId="2258D8D5" w14:textId="15EBCDDF" w:rsidR="00704CDD" w:rsidRPr="00746E61" w:rsidRDefault="00704CDD" w:rsidP="00746E61">
      <w:pPr>
        <w:spacing w:line="276" w:lineRule="auto"/>
        <w:jc w:val="both"/>
        <w:rPr>
          <w:rFonts w:ascii="Book Antiqua" w:hAnsi="Book Antiqua"/>
          <w:lang w:val="es-ES_tradnl" w:eastAsia="en-US"/>
        </w:rPr>
      </w:pPr>
      <w:r w:rsidRPr="00746E61">
        <w:rPr>
          <w:rFonts w:ascii="Book Antiqua" w:hAnsi="Book Antiqua"/>
          <w:lang w:val="es-ES_tradnl" w:eastAsia="en-US"/>
        </w:rPr>
        <w:t xml:space="preserve">A pesar de las </w:t>
      </w:r>
      <w:r w:rsidR="006731C3" w:rsidRPr="00746E61">
        <w:rPr>
          <w:rFonts w:ascii="Book Antiqua" w:hAnsi="Book Antiqua"/>
          <w:lang w:val="es-ES_tradnl" w:eastAsia="en-US"/>
        </w:rPr>
        <w:t>diversas</w:t>
      </w:r>
      <w:r w:rsidRPr="00746E61">
        <w:rPr>
          <w:rFonts w:ascii="Book Antiqua" w:hAnsi="Book Antiqua"/>
          <w:lang w:val="es-ES_tradnl" w:eastAsia="en-US"/>
        </w:rPr>
        <w:t xml:space="preserve"> políticas sanitarias emitidas por el Ministerio de Salud a toda la población costarricense; las cuales, </w:t>
      </w:r>
      <w:r w:rsidR="004B0AAF" w:rsidRPr="00746E61">
        <w:rPr>
          <w:rFonts w:ascii="Book Antiqua" w:hAnsi="Book Antiqua"/>
          <w:lang w:val="es-ES_tradnl" w:eastAsia="en-US"/>
        </w:rPr>
        <w:t>han sido</w:t>
      </w:r>
      <w:r w:rsidRPr="00746E61">
        <w:rPr>
          <w:rFonts w:ascii="Book Antiqua" w:hAnsi="Book Antiqua"/>
          <w:lang w:val="es-ES_tradnl" w:eastAsia="en-US"/>
        </w:rPr>
        <w:t xml:space="preserve"> más restrictivas</w:t>
      </w:r>
      <w:r w:rsidR="006731C3" w:rsidRPr="00746E61">
        <w:rPr>
          <w:rFonts w:ascii="Book Antiqua" w:hAnsi="Book Antiqua"/>
          <w:lang w:val="es-ES_tradnl" w:eastAsia="en-US"/>
        </w:rPr>
        <w:t xml:space="preserve">, </w:t>
      </w:r>
      <w:r w:rsidRPr="00746E61">
        <w:rPr>
          <w:rFonts w:ascii="Book Antiqua" w:hAnsi="Book Antiqua"/>
          <w:lang w:val="es-ES_tradnl" w:eastAsia="en-US"/>
        </w:rPr>
        <w:t>se logró incrementar</w:t>
      </w:r>
      <w:r w:rsidR="00AD29B8" w:rsidRPr="00746E61">
        <w:rPr>
          <w:rFonts w:ascii="Book Antiqua" w:hAnsi="Book Antiqua"/>
          <w:lang w:val="es-ES_tradnl" w:eastAsia="en-US"/>
        </w:rPr>
        <w:t xml:space="preserve"> </w:t>
      </w:r>
      <w:r w:rsidR="00895C69" w:rsidRPr="00746E61">
        <w:rPr>
          <w:rFonts w:ascii="Book Antiqua" w:hAnsi="Book Antiqua"/>
          <w:lang w:val="es-ES_tradnl" w:eastAsia="en-US"/>
        </w:rPr>
        <w:t>en</w:t>
      </w:r>
      <w:r w:rsidR="00AD29B8" w:rsidRPr="00746E61">
        <w:rPr>
          <w:rFonts w:ascii="Book Antiqua" w:hAnsi="Book Antiqua"/>
          <w:lang w:val="es-ES_tradnl" w:eastAsia="en-US"/>
        </w:rPr>
        <w:t xml:space="preserve"> </w:t>
      </w:r>
      <w:r w:rsidR="004B0AAF" w:rsidRPr="00746E61">
        <w:rPr>
          <w:rFonts w:ascii="Book Antiqua" w:hAnsi="Book Antiqua"/>
          <w:lang w:val="es-ES_tradnl" w:eastAsia="en-US"/>
        </w:rPr>
        <w:t>septiembre</w:t>
      </w:r>
      <w:r w:rsidR="00AD29B8" w:rsidRPr="00746E61">
        <w:rPr>
          <w:rFonts w:ascii="Book Antiqua" w:hAnsi="Book Antiqua"/>
          <w:lang w:val="es-ES_tradnl" w:eastAsia="en-US"/>
        </w:rPr>
        <w:t xml:space="preserve"> de 2021,</w:t>
      </w:r>
      <w:r w:rsidRPr="00746E61">
        <w:rPr>
          <w:rFonts w:ascii="Book Antiqua" w:hAnsi="Book Antiqua"/>
          <w:lang w:val="es-ES_tradnl" w:eastAsia="en-US"/>
        </w:rPr>
        <w:t xml:space="preserve"> la cantidad de audiencias realizadas en un 3</w:t>
      </w:r>
      <w:r w:rsidR="004B0AAF" w:rsidRPr="00746E61">
        <w:rPr>
          <w:rFonts w:ascii="Book Antiqua" w:hAnsi="Book Antiqua"/>
          <w:lang w:val="es-ES_tradnl" w:eastAsia="en-US"/>
        </w:rPr>
        <w:t>1</w:t>
      </w:r>
      <w:r w:rsidRPr="00746E61">
        <w:rPr>
          <w:rFonts w:ascii="Book Antiqua" w:hAnsi="Book Antiqua"/>
          <w:lang w:val="es-ES_tradnl" w:eastAsia="en-US"/>
        </w:rPr>
        <w:t>.</w:t>
      </w:r>
      <w:r w:rsidR="004B0AAF" w:rsidRPr="00746E61">
        <w:rPr>
          <w:rFonts w:ascii="Book Antiqua" w:hAnsi="Book Antiqua"/>
          <w:lang w:val="es-ES_tradnl" w:eastAsia="en-US"/>
        </w:rPr>
        <w:t>91</w:t>
      </w:r>
      <w:r w:rsidRPr="00746E61">
        <w:rPr>
          <w:rFonts w:ascii="Book Antiqua" w:hAnsi="Book Antiqua"/>
          <w:lang w:val="es-ES_tradnl" w:eastAsia="en-US"/>
        </w:rPr>
        <w:t>% (aumento de 2</w:t>
      </w:r>
      <w:r w:rsidR="004B0AAF" w:rsidRPr="00746E61">
        <w:rPr>
          <w:rFonts w:ascii="Book Antiqua" w:hAnsi="Book Antiqua"/>
          <w:lang w:val="es-ES_tradnl" w:eastAsia="en-US"/>
        </w:rPr>
        <w:t>974</w:t>
      </w:r>
      <w:r w:rsidRPr="00746E61">
        <w:rPr>
          <w:rFonts w:ascii="Book Antiqua" w:hAnsi="Book Antiqua"/>
          <w:lang w:val="es-ES_tradnl" w:eastAsia="en-US"/>
        </w:rPr>
        <w:t xml:space="preserve"> audiencias) en relación con enero de ese año.</w:t>
      </w:r>
    </w:p>
    <w:p w14:paraId="7397FFD4" w14:textId="77777777" w:rsidR="00222669" w:rsidRPr="00746E61" w:rsidRDefault="00222669" w:rsidP="00746E61">
      <w:pPr>
        <w:spacing w:line="276" w:lineRule="auto"/>
        <w:rPr>
          <w:rFonts w:ascii="Book Antiqua" w:hAnsi="Book Antiqua"/>
          <w:highlight w:val="yellow"/>
          <w:lang w:val="es-ES_tradnl" w:eastAsia="en-US"/>
        </w:rPr>
      </w:pPr>
    </w:p>
    <w:p w14:paraId="293E5F4E" w14:textId="40CD51B4" w:rsidR="00222669" w:rsidRPr="00746E61" w:rsidRDefault="00222669" w:rsidP="00746E61">
      <w:pPr>
        <w:spacing w:line="276" w:lineRule="auto"/>
        <w:jc w:val="both"/>
        <w:rPr>
          <w:rFonts w:ascii="Book Antiqua" w:hAnsi="Book Antiqua"/>
          <w:lang w:val="es-ES_tradnl" w:eastAsia="en-US"/>
        </w:rPr>
      </w:pPr>
      <w:r w:rsidRPr="00746E61">
        <w:rPr>
          <w:rFonts w:ascii="Book Antiqua" w:hAnsi="Book Antiqua"/>
          <w:lang w:val="es-ES_tradnl" w:eastAsia="en-US"/>
        </w:rPr>
        <w:t xml:space="preserve">La siguiente gráfica resume la efectividad por cada una de las materias, excluyendo cobro (remates), siendo </w:t>
      </w:r>
      <w:r w:rsidR="004F7FEF" w:rsidRPr="00746E61">
        <w:rPr>
          <w:rFonts w:ascii="Book Antiqua" w:hAnsi="Book Antiqua"/>
          <w:lang w:val="es-ES_tradnl" w:eastAsia="en-US"/>
        </w:rPr>
        <w:t xml:space="preserve">Flagrancia, Juzgado de Ejecución de la Pena y Juzgado Penal los que tienen las tasas más altas de efectividad de audiencias, </w:t>
      </w:r>
      <w:r w:rsidR="00E94DC0" w:rsidRPr="00746E61">
        <w:rPr>
          <w:rFonts w:ascii="Book Antiqua" w:hAnsi="Book Antiqua"/>
          <w:lang w:val="es-ES_tradnl" w:eastAsia="en-US"/>
        </w:rPr>
        <w:t>7</w:t>
      </w:r>
      <w:r w:rsidR="004B0AAF" w:rsidRPr="00746E61">
        <w:rPr>
          <w:rFonts w:ascii="Book Antiqua" w:hAnsi="Book Antiqua"/>
          <w:lang w:val="es-ES_tradnl" w:eastAsia="en-US"/>
        </w:rPr>
        <w:t>9</w:t>
      </w:r>
      <w:r w:rsidR="004F7FEF" w:rsidRPr="00746E61">
        <w:rPr>
          <w:rFonts w:ascii="Book Antiqua" w:hAnsi="Book Antiqua"/>
          <w:lang w:val="es-ES_tradnl" w:eastAsia="en-US"/>
        </w:rPr>
        <w:t xml:space="preserve">%, </w:t>
      </w:r>
      <w:r w:rsidR="00E94DC0" w:rsidRPr="00746E61">
        <w:rPr>
          <w:rFonts w:ascii="Book Antiqua" w:hAnsi="Book Antiqua"/>
          <w:lang w:val="es-ES_tradnl" w:eastAsia="en-US"/>
        </w:rPr>
        <w:t>7</w:t>
      </w:r>
      <w:r w:rsidR="004B0AAF" w:rsidRPr="00746E61">
        <w:rPr>
          <w:rFonts w:ascii="Book Antiqua" w:hAnsi="Book Antiqua"/>
          <w:lang w:val="es-ES_tradnl" w:eastAsia="en-US"/>
        </w:rPr>
        <w:t>7</w:t>
      </w:r>
      <w:r w:rsidR="004F7FEF" w:rsidRPr="00746E61">
        <w:rPr>
          <w:rFonts w:ascii="Book Antiqua" w:hAnsi="Book Antiqua"/>
          <w:lang w:val="es-ES_tradnl" w:eastAsia="en-US"/>
        </w:rPr>
        <w:t>% y 7</w:t>
      </w:r>
      <w:r w:rsidR="004B0AAF" w:rsidRPr="00746E61">
        <w:rPr>
          <w:rFonts w:ascii="Book Antiqua" w:hAnsi="Book Antiqua"/>
          <w:lang w:val="es-ES_tradnl" w:eastAsia="en-US"/>
        </w:rPr>
        <w:t>1</w:t>
      </w:r>
      <w:r w:rsidR="004F7FEF" w:rsidRPr="00746E61">
        <w:rPr>
          <w:rFonts w:ascii="Book Antiqua" w:hAnsi="Book Antiqua"/>
          <w:lang w:val="es-ES_tradnl" w:eastAsia="en-US"/>
        </w:rPr>
        <w:t>%</w:t>
      </w:r>
      <w:r w:rsidR="002043A0" w:rsidRPr="00746E61">
        <w:rPr>
          <w:rFonts w:ascii="Book Antiqua" w:hAnsi="Book Antiqua"/>
          <w:lang w:val="es-ES_tradnl" w:eastAsia="en-US"/>
        </w:rPr>
        <w:t>. Caso contrario los despachos con menor efectividad son: agrario, contravenciones</w:t>
      </w:r>
      <w:r w:rsidR="004D06F3" w:rsidRPr="00746E61">
        <w:rPr>
          <w:rFonts w:ascii="Book Antiqua" w:hAnsi="Book Antiqua"/>
          <w:lang w:val="es-ES_tradnl" w:eastAsia="en-US"/>
        </w:rPr>
        <w:t>,</w:t>
      </w:r>
      <w:r w:rsidR="002043A0" w:rsidRPr="00746E61">
        <w:rPr>
          <w:rFonts w:ascii="Book Antiqua" w:hAnsi="Book Antiqua"/>
          <w:lang w:val="es-ES_tradnl" w:eastAsia="en-US"/>
        </w:rPr>
        <w:t xml:space="preserve"> violencia doméstica, tribunal penal y tránsito con un 4</w:t>
      </w:r>
      <w:r w:rsidR="00E94DC0" w:rsidRPr="00746E61">
        <w:rPr>
          <w:rFonts w:ascii="Book Antiqua" w:hAnsi="Book Antiqua"/>
          <w:lang w:val="es-ES_tradnl" w:eastAsia="en-US"/>
        </w:rPr>
        <w:t>2</w:t>
      </w:r>
      <w:r w:rsidR="002043A0" w:rsidRPr="00746E61">
        <w:rPr>
          <w:rFonts w:ascii="Book Antiqua" w:hAnsi="Book Antiqua"/>
          <w:lang w:val="es-ES_tradnl" w:eastAsia="en-US"/>
        </w:rPr>
        <w:t>%, 4</w:t>
      </w:r>
      <w:r w:rsidR="004D06F3" w:rsidRPr="00746E61">
        <w:rPr>
          <w:rFonts w:ascii="Book Antiqua" w:hAnsi="Book Antiqua"/>
          <w:lang w:val="es-ES_tradnl" w:eastAsia="en-US"/>
        </w:rPr>
        <w:t>9</w:t>
      </w:r>
      <w:r w:rsidR="002043A0" w:rsidRPr="00746E61">
        <w:rPr>
          <w:rFonts w:ascii="Book Antiqua" w:hAnsi="Book Antiqua"/>
          <w:lang w:val="es-ES_tradnl" w:eastAsia="en-US"/>
        </w:rPr>
        <w:t xml:space="preserve">% </w:t>
      </w:r>
      <w:r w:rsidR="004D06F3" w:rsidRPr="00746E61">
        <w:rPr>
          <w:rFonts w:ascii="Book Antiqua" w:hAnsi="Book Antiqua"/>
          <w:lang w:val="es-ES_tradnl" w:eastAsia="en-US"/>
        </w:rPr>
        <w:t>49</w:t>
      </w:r>
      <w:r w:rsidR="002043A0" w:rsidRPr="00746E61">
        <w:rPr>
          <w:rFonts w:ascii="Book Antiqua" w:hAnsi="Book Antiqua"/>
          <w:lang w:val="es-ES_tradnl" w:eastAsia="en-US"/>
        </w:rPr>
        <w:t>%</w:t>
      </w:r>
      <w:r w:rsidR="004D06F3" w:rsidRPr="00746E61">
        <w:rPr>
          <w:rFonts w:ascii="Book Antiqua" w:hAnsi="Book Antiqua"/>
          <w:lang w:val="es-ES_tradnl" w:eastAsia="en-US"/>
        </w:rPr>
        <w:t xml:space="preserve">, </w:t>
      </w:r>
      <w:r w:rsidR="002043A0" w:rsidRPr="00746E61">
        <w:rPr>
          <w:rFonts w:ascii="Book Antiqua" w:hAnsi="Book Antiqua"/>
          <w:lang w:val="es-ES_tradnl" w:eastAsia="en-US"/>
        </w:rPr>
        <w:t>5</w:t>
      </w:r>
      <w:r w:rsidR="004D06F3" w:rsidRPr="00746E61">
        <w:rPr>
          <w:rFonts w:ascii="Book Antiqua" w:hAnsi="Book Antiqua"/>
          <w:lang w:val="es-ES_tradnl" w:eastAsia="en-US"/>
        </w:rPr>
        <w:t>2</w:t>
      </w:r>
      <w:r w:rsidR="002043A0" w:rsidRPr="00746E61">
        <w:rPr>
          <w:rFonts w:ascii="Book Antiqua" w:hAnsi="Book Antiqua"/>
          <w:lang w:val="es-ES_tradnl" w:eastAsia="en-US"/>
        </w:rPr>
        <w:t>%</w:t>
      </w:r>
      <w:r w:rsidR="004D06F3" w:rsidRPr="00746E61">
        <w:rPr>
          <w:rFonts w:ascii="Book Antiqua" w:hAnsi="Book Antiqua"/>
          <w:lang w:val="es-ES_tradnl" w:eastAsia="en-US"/>
        </w:rPr>
        <w:t xml:space="preserve"> y 54%</w:t>
      </w:r>
      <w:r w:rsidR="002043A0" w:rsidRPr="00746E61">
        <w:rPr>
          <w:rFonts w:ascii="Book Antiqua" w:hAnsi="Book Antiqua"/>
          <w:lang w:val="es-ES_tradnl" w:eastAsia="en-US"/>
        </w:rPr>
        <w:t xml:space="preserve"> respectivamente. Los demás</w:t>
      </w:r>
      <w:r w:rsidR="00191BE4" w:rsidRPr="00746E61">
        <w:rPr>
          <w:rFonts w:ascii="Book Antiqua" w:hAnsi="Book Antiqua"/>
          <w:lang w:val="es-ES_tradnl" w:eastAsia="en-US"/>
        </w:rPr>
        <w:t xml:space="preserve"> </w:t>
      </w:r>
      <w:r w:rsidR="002043A0" w:rsidRPr="00746E61">
        <w:rPr>
          <w:rFonts w:ascii="Book Antiqua" w:hAnsi="Book Antiqua"/>
          <w:lang w:val="es-ES_tradnl" w:eastAsia="en-US"/>
        </w:rPr>
        <w:t>despachos, present</w:t>
      </w:r>
      <w:r w:rsidR="00191BE4" w:rsidRPr="00746E61">
        <w:rPr>
          <w:rFonts w:ascii="Book Antiqua" w:hAnsi="Book Antiqua"/>
          <w:lang w:val="es-ES_tradnl" w:eastAsia="en-US"/>
        </w:rPr>
        <w:t>a</w:t>
      </w:r>
      <w:r w:rsidR="002043A0" w:rsidRPr="00746E61">
        <w:rPr>
          <w:rFonts w:ascii="Book Antiqua" w:hAnsi="Book Antiqua"/>
          <w:lang w:val="es-ES_tradnl" w:eastAsia="en-US"/>
        </w:rPr>
        <w:t>n efectividades, entre 59% y 68%.</w:t>
      </w:r>
    </w:p>
    <w:p w14:paraId="76DD96A6" w14:textId="353D6D54" w:rsidR="006F775A" w:rsidRDefault="006F775A">
      <w:pPr>
        <w:rPr>
          <w:rFonts w:ascii="Book Antiqua" w:hAnsi="Book Antiqua"/>
          <w:lang w:val="es-ES_tradnl" w:eastAsia="en-US"/>
        </w:rPr>
      </w:pPr>
      <w:r>
        <w:rPr>
          <w:rFonts w:ascii="Book Antiqua" w:hAnsi="Book Antiqua"/>
          <w:lang w:val="es-ES_tradnl" w:eastAsia="en-US"/>
        </w:rPr>
        <w:br w:type="page"/>
      </w:r>
    </w:p>
    <w:p w14:paraId="1097F3DA" w14:textId="77777777" w:rsidR="000679AE" w:rsidRPr="00746E61" w:rsidRDefault="000679AE" w:rsidP="00746E61">
      <w:pPr>
        <w:spacing w:line="276" w:lineRule="auto"/>
        <w:rPr>
          <w:rFonts w:ascii="Book Antiqua" w:hAnsi="Book Antiqua"/>
          <w:lang w:val="es-ES_tradnl" w:eastAsia="en-US"/>
        </w:rPr>
      </w:pPr>
    </w:p>
    <w:p w14:paraId="61D27FDA" w14:textId="6F279555" w:rsidR="00222669" w:rsidRPr="00746E61" w:rsidRDefault="00222669" w:rsidP="00746E61">
      <w:pPr>
        <w:spacing w:line="276" w:lineRule="auto"/>
        <w:jc w:val="center"/>
        <w:rPr>
          <w:rFonts w:ascii="Book Antiqua" w:hAnsi="Book Antiqua"/>
          <w:b/>
          <w:bCs/>
          <w:lang w:val="es-ES_tradnl" w:eastAsia="en-US"/>
        </w:rPr>
      </w:pPr>
      <w:r w:rsidRPr="00746E61">
        <w:rPr>
          <w:rFonts w:ascii="Book Antiqua" w:hAnsi="Book Antiqua"/>
          <w:b/>
          <w:bCs/>
          <w:lang w:val="es-ES_tradnl" w:eastAsia="en-US"/>
        </w:rPr>
        <w:t xml:space="preserve">Gráfico </w:t>
      </w:r>
      <w:r w:rsidR="00FA7824" w:rsidRPr="00746E61">
        <w:rPr>
          <w:rFonts w:ascii="Book Antiqua" w:hAnsi="Book Antiqua"/>
          <w:b/>
          <w:bCs/>
          <w:lang w:val="es-ES_tradnl" w:eastAsia="en-US"/>
        </w:rPr>
        <w:t>2</w:t>
      </w:r>
    </w:p>
    <w:p w14:paraId="637FBC90" w14:textId="01285432" w:rsidR="00222669" w:rsidRPr="00746E61" w:rsidRDefault="00222669" w:rsidP="00746E61">
      <w:pPr>
        <w:spacing w:line="276" w:lineRule="auto"/>
        <w:jc w:val="center"/>
        <w:rPr>
          <w:rFonts w:ascii="Book Antiqua" w:hAnsi="Book Antiqua"/>
          <w:lang w:val="es-ES_tradnl" w:eastAsia="en-US"/>
        </w:rPr>
      </w:pPr>
      <w:r w:rsidRPr="00746E61">
        <w:rPr>
          <w:rFonts w:ascii="Book Antiqua" w:hAnsi="Book Antiqua"/>
          <w:lang w:val="es-ES_tradnl" w:eastAsia="en-US"/>
        </w:rPr>
        <w:t>Efectividad de audiencias por materia</w:t>
      </w:r>
    </w:p>
    <w:p w14:paraId="0332A443" w14:textId="6ECF5DF1" w:rsidR="004F7FEF" w:rsidRPr="00746E61" w:rsidRDefault="004F7FEF" w:rsidP="00746E61">
      <w:pPr>
        <w:spacing w:line="276" w:lineRule="auto"/>
        <w:jc w:val="center"/>
        <w:rPr>
          <w:rFonts w:ascii="Book Antiqua" w:hAnsi="Book Antiqua"/>
          <w:lang w:val="es-ES_tradnl" w:eastAsia="en-US"/>
        </w:rPr>
      </w:pPr>
    </w:p>
    <w:p w14:paraId="2453DDD7" w14:textId="7CFD1B8B" w:rsidR="004F7FEF" w:rsidRPr="00746E61" w:rsidRDefault="004D06F3" w:rsidP="00746E61">
      <w:pPr>
        <w:spacing w:line="276" w:lineRule="auto"/>
        <w:jc w:val="center"/>
        <w:rPr>
          <w:rFonts w:ascii="Book Antiqua" w:hAnsi="Book Antiqua"/>
          <w:lang w:val="es-ES_tradnl" w:eastAsia="en-US"/>
        </w:rPr>
      </w:pPr>
      <w:r w:rsidRPr="00746E61">
        <w:rPr>
          <w:rFonts w:ascii="Book Antiqua" w:hAnsi="Book Antiqua"/>
          <w:noProof/>
        </w:rPr>
        <w:drawing>
          <wp:inline distT="0" distB="0" distL="0" distR="0" wp14:anchorId="1516A25A" wp14:editId="205F1E1B">
            <wp:extent cx="4984749" cy="2897828"/>
            <wp:effectExtent l="0" t="0" r="6985" b="0"/>
            <wp:docPr id="29" name="Gráfico 29">
              <a:extLst xmlns:a="http://schemas.openxmlformats.org/drawingml/2006/main">
                <a:ext uri="{FF2B5EF4-FFF2-40B4-BE49-F238E27FC236}">
                  <a16:creationId xmlns:a16="http://schemas.microsoft.com/office/drawing/2014/main" id="{F30A6768-21B3-48A5-8E23-D22833D5FA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73276FB" w14:textId="27688035" w:rsidR="00222669" w:rsidRPr="00746E61" w:rsidRDefault="0059268A" w:rsidP="00746E61">
      <w:pPr>
        <w:spacing w:line="276" w:lineRule="auto"/>
        <w:jc w:val="center"/>
        <w:rPr>
          <w:rFonts w:ascii="Book Antiqua" w:hAnsi="Book Antiqua"/>
          <w:highlight w:val="lightGray"/>
          <w:lang w:val="es-ES_tradnl" w:eastAsia="en-US"/>
        </w:rPr>
      </w:pPr>
      <w:r w:rsidRPr="00746E61">
        <w:rPr>
          <w:rFonts w:ascii="Book Antiqua" w:hAnsi="Book Antiqua" w:cs="Calibri"/>
          <w:b/>
          <w:bCs/>
          <w:color w:val="000000"/>
          <w:sz w:val="20"/>
          <w:szCs w:val="20"/>
          <w:lang w:eastAsia="es-CR"/>
        </w:rPr>
        <w:t>Fuente:</w:t>
      </w:r>
      <w:r w:rsidRPr="00746E61">
        <w:rPr>
          <w:rFonts w:ascii="Book Antiqua" w:hAnsi="Book Antiqua" w:cs="Calibri"/>
          <w:color w:val="000000"/>
          <w:sz w:val="20"/>
          <w:szCs w:val="20"/>
          <w:lang w:eastAsia="es-CR"/>
        </w:rPr>
        <w:t xml:space="preserve"> Elaboración propia a partir de las estadísticas del Subproceso de Estadística</w:t>
      </w:r>
    </w:p>
    <w:p w14:paraId="54F9CE5B" w14:textId="7C5B394C" w:rsidR="00985591" w:rsidRDefault="00985591" w:rsidP="00746E61">
      <w:pPr>
        <w:spacing w:line="276" w:lineRule="auto"/>
        <w:rPr>
          <w:rFonts w:ascii="Book Antiqua" w:hAnsi="Book Antiqua"/>
          <w:lang w:eastAsia="es-CR"/>
        </w:rPr>
      </w:pPr>
      <w:bookmarkStart w:id="6" w:name="_Hlk53585637"/>
      <w:bookmarkEnd w:id="5"/>
    </w:p>
    <w:p w14:paraId="52B220AE" w14:textId="1DCE7766" w:rsidR="00290270" w:rsidRDefault="00290270" w:rsidP="00F3774B">
      <w:pPr>
        <w:spacing w:line="276" w:lineRule="auto"/>
        <w:jc w:val="both"/>
        <w:rPr>
          <w:rFonts w:ascii="Book Antiqua" w:hAnsi="Book Antiqua"/>
          <w:lang w:eastAsia="es-CR"/>
        </w:rPr>
      </w:pPr>
      <w:r w:rsidRPr="00BF7F5F">
        <w:rPr>
          <w:rFonts w:ascii="Book Antiqua" w:hAnsi="Book Antiqua"/>
          <w:lang w:eastAsia="es-CR"/>
        </w:rPr>
        <w:t xml:space="preserve">Se visualiza que la materia agraria es la que posee la menor efectividad </w:t>
      </w:r>
      <w:r w:rsidR="00F3774B" w:rsidRPr="00BF7F5F">
        <w:rPr>
          <w:rFonts w:ascii="Book Antiqua" w:hAnsi="Book Antiqua"/>
          <w:lang w:eastAsia="es-CR"/>
        </w:rPr>
        <w:t>a nivel nacional, lo cual implica la necesidad de revisar las directrices que se han girado a los despachos para el desarrollo de audiencias durante la pandemia covid 19.</w:t>
      </w:r>
      <w:r w:rsidR="00220F92" w:rsidRPr="00BF7F5F">
        <w:rPr>
          <w:rFonts w:ascii="Book Antiqua" w:hAnsi="Book Antiqua"/>
          <w:lang w:eastAsia="es-CR"/>
        </w:rPr>
        <w:t xml:space="preserve"> De igual forma </w:t>
      </w:r>
      <w:r w:rsidR="003F186D" w:rsidRPr="00BF7F5F">
        <w:rPr>
          <w:rFonts w:ascii="Book Antiqua" w:hAnsi="Book Antiqua"/>
          <w:lang w:eastAsia="es-CR"/>
        </w:rPr>
        <w:t xml:space="preserve">la materia de </w:t>
      </w:r>
      <w:r w:rsidR="00220F92" w:rsidRPr="00BF7F5F">
        <w:rPr>
          <w:rFonts w:ascii="Book Antiqua" w:hAnsi="Book Antiqua"/>
          <w:lang w:eastAsia="es-CR"/>
        </w:rPr>
        <w:t xml:space="preserve">Tránsito al tener una entrada </w:t>
      </w:r>
      <w:r w:rsidR="003F186D" w:rsidRPr="00BF7F5F">
        <w:rPr>
          <w:rFonts w:ascii="Book Antiqua" w:hAnsi="Book Antiqua"/>
          <w:lang w:eastAsia="es-CR"/>
        </w:rPr>
        <w:t xml:space="preserve">más </w:t>
      </w:r>
      <w:r w:rsidR="00220F92" w:rsidRPr="00BF7F5F">
        <w:rPr>
          <w:rFonts w:ascii="Book Antiqua" w:hAnsi="Book Antiqua"/>
          <w:lang w:eastAsia="es-CR"/>
        </w:rPr>
        <w:t>baja provoca que tengan más impacto las suspensiones.</w:t>
      </w:r>
    </w:p>
    <w:p w14:paraId="05AE9642" w14:textId="77777777" w:rsidR="00290270" w:rsidRPr="00746E61" w:rsidRDefault="00290270" w:rsidP="00746E61">
      <w:pPr>
        <w:spacing w:line="276" w:lineRule="auto"/>
        <w:rPr>
          <w:rFonts w:ascii="Book Antiqua" w:hAnsi="Book Antiqua"/>
          <w:lang w:eastAsia="es-CR"/>
        </w:rPr>
      </w:pPr>
    </w:p>
    <w:bookmarkEnd w:id="6"/>
    <w:p w14:paraId="4FF64EE4" w14:textId="59CFD442" w:rsidR="00222669" w:rsidRPr="00746E61" w:rsidRDefault="4580908D" w:rsidP="57A79FF7">
      <w:pPr>
        <w:spacing w:after="160" w:line="276" w:lineRule="auto"/>
        <w:outlineLvl w:val="1"/>
        <w:rPr>
          <w:b/>
          <w:lang w:val="es-ES" w:eastAsia="en-US"/>
        </w:rPr>
      </w:pPr>
      <w:r w:rsidRPr="57A79FF7">
        <w:rPr>
          <w:rFonts w:ascii="Book Antiqua" w:hAnsi="Book Antiqua"/>
          <w:b/>
          <w:bCs/>
          <w:lang w:val="es-ES" w:eastAsia="en-US"/>
        </w:rPr>
        <w:t xml:space="preserve">2.2 </w:t>
      </w:r>
      <w:r w:rsidR="00222669" w:rsidRPr="57A79FF7">
        <w:rPr>
          <w:rFonts w:ascii="Book Antiqua" w:hAnsi="Book Antiqua"/>
          <w:b/>
          <w:lang w:val="es-ES" w:eastAsia="en-US"/>
        </w:rPr>
        <w:t>Utilización de la videoconferencia, según datos de Sigma</w:t>
      </w:r>
    </w:p>
    <w:p w14:paraId="2FE7E8A9" w14:textId="11B01EE9" w:rsidR="009325DB" w:rsidRPr="00746E61" w:rsidRDefault="00EB01AA" w:rsidP="00746E61">
      <w:pPr>
        <w:spacing w:after="160" w:line="276" w:lineRule="auto"/>
        <w:jc w:val="both"/>
        <w:rPr>
          <w:rFonts w:ascii="Book Antiqua" w:hAnsi="Book Antiqua"/>
          <w:lang w:val="es-ES_tradnl" w:eastAsia="en-US"/>
        </w:rPr>
      </w:pPr>
      <w:r w:rsidRPr="00746E61">
        <w:rPr>
          <w:rFonts w:ascii="Book Antiqua" w:hAnsi="Book Antiqua"/>
          <w:lang w:val="es-ES_tradnl" w:eastAsia="en-US"/>
        </w:rPr>
        <w:t xml:space="preserve">Con respecto al estado de apunte </w:t>
      </w:r>
      <w:r w:rsidRPr="00746E61">
        <w:rPr>
          <w:rFonts w:ascii="Book Antiqua" w:hAnsi="Book Antiqua"/>
          <w:i/>
          <w:iCs/>
          <w:lang w:val="es-ES_tradnl" w:eastAsia="en-US"/>
        </w:rPr>
        <w:t xml:space="preserve">videoconferencia, </w:t>
      </w:r>
      <w:r w:rsidRPr="00746E61">
        <w:rPr>
          <w:rFonts w:ascii="Book Antiqua" w:hAnsi="Book Antiqua"/>
          <w:lang w:val="es-ES_tradnl" w:eastAsia="en-US"/>
        </w:rPr>
        <w:t xml:space="preserve">se destaca que el </w:t>
      </w:r>
      <w:r w:rsidR="00B307CA" w:rsidRPr="00746E61">
        <w:rPr>
          <w:rFonts w:ascii="Book Antiqua" w:hAnsi="Book Antiqua"/>
          <w:lang w:val="es-ES_tradnl" w:eastAsia="en-US"/>
        </w:rPr>
        <w:t>20</w:t>
      </w:r>
      <w:r w:rsidRPr="00746E61">
        <w:rPr>
          <w:rFonts w:ascii="Book Antiqua" w:hAnsi="Book Antiqua"/>
          <w:lang w:val="es-ES_tradnl" w:eastAsia="en-US"/>
        </w:rPr>
        <w:t xml:space="preserve">% de diligencias realizadas de enero a </w:t>
      </w:r>
      <w:r w:rsidR="00A36191" w:rsidRPr="00746E61">
        <w:rPr>
          <w:rFonts w:ascii="Book Antiqua" w:hAnsi="Book Antiqua"/>
          <w:lang w:val="es-ES_tradnl" w:eastAsia="en-US"/>
        </w:rPr>
        <w:t>setiembre</w:t>
      </w:r>
      <w:r w:rsidRPr="00746E61">
        <w:rPr>
          <w:rFonts w:ascii="Book Antiqua" w:hAnsi="Book Antiqua"/>
          <w:lang w:val="es-ES_tradnl" w:eastAsia="en-US"/>
        </w:rPr>
        <w:t xml:space="preserve"> de 2021, fueron gestionadas</w:t>
      </w:r>
      <w:r w:rsidR="00521908" w:rsidRPr="00746E61">
        <w:rPr>
          <w:rFonts w:ascii="Book Antiqua" w:hAnsi="Book Antiqua"/>
          <w:lang w:val="es-ES_tradnl" w:eastAsia="en-US"/>
        </w:rPr>
        <w:t xml:space="preserve"> </w:t>
      </w:r>
      <w:r w:rsidR="00C7686F" w:rsidRPr="00746E61">
        <w:rPr>
          <w:rFonts w:ascii="Book Antiqua" w:hAnsi="Book Antiqua"/>
          <w:lang w:val="es-ES_tradnl" w:eastAsia="en-US"/>
        </w:rPr>
        <w:t>en esa modalidad</w:t>
      </w:r>
      <w:r w:rsidR="00521908" w:rsidRPr="00746E61">
        <w:rPr>
          <w:rFonts w:ascii="Book Antiqua" w:hAnsi="Book Antiqua"/>
          <w:lang w:val="es-ES_tradnl" w:eastAsia="en-US"/>
        </w:rPr>
        <w:t>.</w:t>
      </w:r>
    </w:p>
    <w:p w14:paraId="16D10F46" w14:textId="4AC61C17" w:rsidR="006F775A" w:rsidRDefault="006F775A">
      <w:pPr>
        <w:rPr>
          <w:rFonts w:ascii="Book Antiqua" w:hAnsi="Book Antiqua"/>
          <w:lang w:val="es-ES_tradnl" w:eastAsia="en-US"/>
        </w:rPr>
      </w:pPr>
      <w:r>
        <w:rPr>
          <w:rFonts w:ascii="Book Antiqua" w:hAnsi="Book Antiqua"/>
          <w:lang w:val="es-ES_tradnl" w:eastAsia="en-US"/>
        </w:rPr>
        <w:br w:type="page"/>
      </w:r>
    </w:p>
    <w:p w14:paraId="2D30701B" w14:textId="77777777" w:rsidR="00733217" w:rsidRPr="00746E61" w:rsidRDefault="00733217" w:rsidP="00746E61">
      <w:pPr>
        <w:spacing w:after="160" w:line="276" w:lineRule="auto"/>
        <w:jc w:val="both"/>
        <w:rPr>
          <w:rFonts w:ascii="Book Antiqua" w:hAnsi="Book Antiqua"/>
          <w:lang w:val="es-ES_tradnl" w:eastAsia="en-US"/>
        </w:rPr>
      </w:pPr>
    </w:p>
    <w:p w14:paraId="37E7982F" w14:textId="77777777" w:rsidR="006F775A" w:rsidRDefault="00B05B2F" w:rsidP="00746E61">
      <w:pPr>
        <w:spacing w:after="160" w:line="276" w:lineRule="auto"/>
        <w:jc w:val="center"/>
        <w:rPr>
          <w:rFonts w:ascii="Book Antiqua" w:hAnsi="Book Antiqua"/>
          <w:b/>
          <w:bCs/>
          <w:lang w:val="es-ES_tradnl" w:eastAsia="en-US"/>
        </w:rPr>
      </w:pPr>
      <w:r w:rsidRPr="00746E61">
        <w:rPr>
          <w:rFonts w:ascii="Book Antiqua" w:hAnsi="Book Antiqua"/>
          <w:b/>
          <w:bCs/>
          <w:lang w:val="es-ES_tradnl" w:eastAsia="en-US"/>
        </w:rPr>
        <w:t xml:space="preserve">Cuadro </w:t>
      </w:r>
      <w:r w:rsidR="00191BE4" w:rsidRPr="00746E61">
        <w:rPr>
          <w:rFonts w:ascii="Book Antiqua" w:hAnsi="Book Antiqua"/>
          <w:b/>
          <w:bCs/>
          <w:lang w:val="es-ES_tradnl" w:eastAsia="en-US"/>
        </w:rPr>
        <w:t>11</w:t>
      </w:r>
    </w:p>
    <w:p w14:paraId="2C6280BD" w14:textId="3D105DB4" w:rsidR="00222669" w:rsidRPr="00746E61" w:rsidRDefault="00B05B2F" w:rsidP="00746E61">
      <w:pPr>
        <w:spacing w:after="160" w:line="276" w:lineRule="auto"/>
        <w:jc w:val="center"/>
        <w:rPr>
          <w:rFonts w:ascii="Book Antiqua" w:hAnsi="Book Antiqua"/>
          <w:b/>
          <w:bCs/>
          <w:lang w:val="es-ES_tradnl" w:eastAsia="en-US"/>
        </w:rPr>
      </w:pPr>
      <w:r w:rsidRPr="00746E61">
        <w:rPr>
          <w:rFonts w:ascii="Book Antiqua" w:hAnsi="Book Antiqua"/>
          <w:b/>
          <w:bCs/>
          <w:lang w:val="es-ES_tradnl" w:eastAsia="en-US"/>
        </w:rPr>
        <w:t xml:space="preserve"> Resultados de las videoconferencias</w:t>
      </w:r>
    </w:p>
    <w:tbl>
      <w:tblPr>
        <w:tblW w:w="6688" w:type="dxa"/>
        <w:jc w:val="center"/>
        <w:tblCellMar>
          <w:left w:w="70" w:type="dxa"/>
          <w:right w:w="70" w:type="dxa"/>
        </w:tblCellMar>
        <w:tblLook w:val="04A0" w:firstRow="1" w:lastRow="0" w:firstColumn="1" w:lastColumn="0" w:noHBand="0" w:noVBand="1"/>
      </w:tblPr>
      <w:tblGrid>
        <w:gridCol w:w="2639"/>
        <w:gridCol w:w="1160"/>
        <w:gridCol w:w="1429"/>
        <w:gridCol w:w="1460"/>
      </w:tblGrid>
      <w:tr w:rsidR="00A36191" w:rsidRPr="00746E61" w14:paraId="3F93DEE9" w14:textId="77777777" w:rsidTr="00A36191">
        <w:trPr>
          <w:trHeight w:val="720"/>
          <w:jc w:val="center"/>
        </w:trPr>
        <w:tc>
          <w:tcPr>
            <w:tcW w:w="2639" w:type="dxa"/>
            <w:tcBorders>
              <w:top w:val="single" w:sz="4" w:space="0" w:color="auto"/>
              <w:left w:val="single" w:sz="4" w:space="0" w:color="auto"/>
              <w:bottom w:val="single" w:sz="4" w:space="0" w:color="auto"/>
              <w:right w:val="single" w:sz="4" w:space="0" w:color="auto"/>
            </w:tcBorders>
            <w:shd w:val="clear" w:color="000000" w:fill="305496"/>
            <w:noWrap/>
            <w:vAlign w:val="center"/>
            <w:hideMark/>
          </w:tcPr>
          <w:p w14:paraId="2B2F064B" w14:textId="77777777" w:rsidR="00A36191" w:rsidRPr="00746E61" w:rsidRDefault="00A36191" w:rsidP="00746E61">
            <w:pPr>
              <w:spacing w:line="276" w:lineRule="auto"/>
              <w:jc w:val="center"/>
              <w:rPr>
                <w:rFonts w:ascii="Book Antiqua" w:hAnsi="Book Antiqua" w:cs="Calibri"/>
                <w:b/>
                <w:bCs/>
                <w:color w:val="FFFFFF"/>
                <w:sz w:val="16"/>
                <w:szCs w:val="16"/>
                <w:lang w:eastAsia="es-CR"/>
              </w:rPr>
            </w:pPr>
            <w:r w:rsidRPr="00746E61">
              <w:rPr>
                <w:rFonts w:ascii="Book Antiqua" w:hAnsi="Book Antiqua" w:cs="Calibri"/>
                <w:b/>
                <w:bCs/>
                <w:color w:val="FFFFFF"/>
                <w:sz w:val="16"/>
                <w:szCs w:val="16"/>
                <w:lang w:eastAsia="es-CR"/>
              </w:rPr>
              <w:t>Materia</w:t>
            </w:r>
          </w:p>
        </w:tc>
        <w:tc>
          <w:tcPr>
            <w:tcW w:w="1160" w:type="dxa"/>
            <w:tcBorders>
              <w:top w:val="single" w:sz="4" w:space="0" w:color="auto"/>
              <w:left w:val="nil"/>
              <w:bottom w:val="single" w:sz="4" w:space="0" w:color="auto"/>
              <w:right w:val="single" w:sz="4" w:space="0" w:color="auto"/>
            </w:tcBorders>
            <w:shd w:val="clear" w:color="000000" w:fill="305496"/>
            <w:noWrap/>
            <w:vAlign w:val="center"/>
            <w:hideMark/>
          </w:tcPr>
          <w:p w14:paraId="46113700" w14:textId="77777777" w:rsidR="00A36191" w:rsidRPr="00746E61" w:rsidRDefault="00A36191" w:rsidP="00746E61">
            <w:pPr>
              <w:spacing w:line="276" w:lineRule="auto"/>
              <w:jc w:val="center"/>
              <w:rPr>
                <w:rFonts w:ascii="Book Antiqua" w:hAnsi="Book Antiqua" w:cs="Calibri"/>
                <w:b/>
                <w:bCs/>
                <w:color w:val="FFFFFF"/>
                <w:sz w:val="16"/>
                <w:szCs w:val="16"/>
                <w:lang w:eastAsia="es-CR"/>
              </w:rPr>
            </w:pPr>
            <w:r w:rsidRPr="00746E61">
              <w:rPr>
                <w:rFonts w:ascii="Book Antiqua" w:hAnsi="Book Antiqua" w:cs="Calibri"/>
                <w:b/>
                <w:bCs/>
                <w:color w:val="FFFFFF"/>
                <w:sz w:val="16"/>
                <w:szCs w:val="16"/>
                <w:lang w:eastAsia="es-CR"/>
              </w:rPr>
              <w:t>Realizadas</w:t>
            </w:r>
          </w:p>
        </w:tc>
        <w:tc>
          <w:tcPr>
            <w:tcW w:w="1429" w:type="dxa"/>
            <w:tcBorders>
              <w:top w:val="single" w:sz="4" w:space="0" w:color="auto"/>
              <w:left w:val="nil"/>
              <w:bottom w:val="single" w:sz="4" w:space="0" w:color="auto"/>
              <w:right w:val="single" w:sz="4" w:space="0" w:color="auto"/>
            </w:tcBorders>
            <w:shd w:val="clear" w:color="000000" w:fill="305496"/>
            <w:vAlign w:val="center"/>
            <w:hideMark/>
          </w:tcPr>
          <w:p w14:paraId="1D77C6FB" w14:textId="77777777" w:rsidR="00A36191" w:rsidRPr="00746E61" w:rsidRDefault="00A36191" w:rsidP="00746E61">
            <w:pPr>
              <w:spacing w:line="276" w:lineRule="auto"/>
              <w:jc w:val="center"/>
              <w:rPr>
                <w:rFonts w:ascii="Book Antiqua" w:hAnsi="Book Antiqua" w:cs="Calibri"/>
                <w:b/>
                <w:bCs/>
                <w:color w:val="FFFFFF"/>
                <w:sz w:val="16"/>
                <w:szCs w:val="16"/>
                <w:lang w:eastAsia="es-CR"/>
              </w:rPr>
            </w:pPr>
            <w:r w:rsidRPr="00746E61">
              <w:rPr>
                <w:rFonts w:ascii="Book Antiqua" w:hAnsi="Book Antiqua" w:cs="Calibri"/>
                <w:b/>
                <w:bCs/>
                <w:color w:val="FFFFFF"/>
                <w:sz w:val="16"/>
                <w:szCs w:val="16"/>
                <w:lang w:eastAsia="es-CR"/>
              </w:rPr>
              <w:t>Videoconferencia</w:t>
            </w:r>
          </w:p>
        </w:tc>
        <w:tc>
          <w:tcPr>
            <w:tcW w:w="1460" w:type="dxa"/>
            <w:tcBorders>
              <w:top w:val="single" w:sz="4" w:space="0" w:color="auto"/>
              <w:left w:val="nil"/>
              <w:bottom w:val="single" w:sz="4" w:space="0" w:color="auto"/>
              <w:right w:val="single" w:sz="4" w:space="0" w:color="auto"/>
            </w:tcBorders>
            <w:shd w:val="clear" w:color="000000" w:fill="305496"/>
            <w:vAlign w:val="center"/>
            <w:hideMark/>
          </w:tcPr>
          <w:p w14:paraId="171945B5" w14:textId="77777777" w:rsidR="00A36191" w:rsidRPr="00746E61" w:rsidRDefault="00A36191" w:rsidP="00746E61">
            <w:pPr>
              <w:spacing w:line="276" w:lineRule="auto"/>
              <w:jc w:val="center"/>
              <w:rPr>
                <w:rFonts w:ascii="Book Antiqua" w:hAnsi="Book Antiqua" w:cs="Calibri"/>
                <w:b/>
                <w:bCs/>
                <w:color w:val="FFFFFF"/>
                <w:sz w:val="16"/>
                <w:szCs w:val="16"/>
                <w:lang w:eastAsia="es-CR"/>
              </w:rPr>
            </w:pPr>
            <w:r w:rsidRPr="00746E61">
              <w:rPr>
                <w:rFonts w:ascii="Book Antiqua" w:hAnsi="Book Antiqua" w:cs="Calibri"/>
                <w:b/>
                <w:bCs/>
                <w:color w:val="FFFFFF"/>
                <w:sz w:val="16"/>
                <w:szCs w:val="16"/>
                <w:lang w:eastAsia="es-CR"/>
              </w:rPr>
              <w:t>% Videoconferencia</w:t>
            </w:r>
          </w:p>
        </w:tc>
      </w:tr>
      <w:tr w:rsidR="00A36191" w:rsidRPr="00746E61" w14:paraId="5B9F0544" w14:textId="77777777" w:rsidTr="00A36191">
        <w:trPr>
          <w:trHeight w:val="290"/>
          <w:jc w:val="center"/>
        </w:trPr>
        <w:tc>
          <w:tcPr>
            <w:tcW w:w="2639" w:type="dxa"/>
            <w:tcBorders>
              <w:top w:val="nil"/>
              <w:left w:val="single" w:sz="4" w:space="0" w:color="auto"/>
              <w:bottom w:val="single" w:sz="4" w:space="0" w:color="auto"/>
              <w:right w:val="single" w:sz="4" w:space="0" w:color="auto"/>
            </w:tcBorders>
            <w:shd w:val="clear" w:color="000000" w:fill="DDEBF7"/>
            <w:noWrap/>
            <w:vAlign w:val="center"/>
            <w:hideMark/>
          </w:tcPr>
          <w:p w14:paraId="26DB664A" w14:textId="77777777" w:rsidR="00A36191" w:rsidRPr="00746E61" w:rsidRDefault="00A36191" w:rsidP="00746E61">
            <w:pPr>
              <w:spacing w:line="276" w:lineRule="auto"/>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Total General</w:t>
            </w:r>
          </w:p>
        </w:tc>
        <w:tc>
          <w:tcPr>
            <w:tcW w:w="1160" w:type="dxa"/>
            <w:tcBorders>
              <w:top w:val="nil"/>
              <w:left w:val="nil"/>
              <w:bottom w:val="single" w:sz="4" w:space="0" w:color="auto"/>
              <w:right w:val="single" w:sz="4" w:space="0" w:color="auto"/>
            </w:tcBorders>
            <w:shd w:val="clear" w:color="000000" w:fill="DDEBF7"/>
            <w:noWrap/>
            <w:vAlign w:val="center"/>
            <w:hideMark/>
          </w:tcPr>
          <w:p w14:paraId="49EFEFF6" w14:textId="77777777" w:rsidR="00A36191" w:rsidRPr="00746E61" w:rsidRDefault="00A36191"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100498</w:t>
            </w:r>
          </w:p>
        </w:tc>
        <w:tc>
          <w:tcPr>
            <w:tcW w:w="1429" w:type="dxa"/>
            <w:tcBorders>
              <w:top w:val="nil"/>
              <w:left w:val="nil"/>
              <w:bottom w:val="single" w:sz="4" w:space="0" w:color="auto"/>
              <w:right w:val="single" w:sz="4" w:space="0" w:color="auto"/>
            </w:tcBorders>
            <w:shd w:val="clear" w:color="000000" w:fill="DDEBF7"/>
            <w:noWrap/>
            <w:vAlign w:val="center"/>
            <w:hideMark/>
          </w:tcPr>
          <w:p w14:paraId="14D58A5C" w14:textId="77777777" w:rsidR="00A36191" w:rsidRPr="00746E61" w:rsidRDefault="00A36191"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19637</w:t>
            </w:r>
          </w:p>
        </w:tc>
        <w:tc>
          <w:tcPr>
            <w:tcW w:w="1460" w:type="dxa"/>
            <w:tcBorders>
              <w:top w:val="nil"/>
              <w:left w:val="nil"/>
              <w:bottom w:val="single" w:sz="4" w:space="0" w:color="auto"/>
              <w:right w:val="single" w:sz="4" w:space="0" w:color="auto"/>
            </w:tcBorders>
            <w:shd w:val="clear" w:color="000000" w:fill="DDEBF7"/>
            <w:noWrap/>
            <w:vAlign w:val="center"/>
            <w:hideMark/>
          </w:tcPr>
          <w:p w14:paraId="5F29A4AA" w14:textId="77777777" w:rsidR="00A36191" w:rsidRPr="00746E61" w:rsidRDefault="00A36191"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20%</w:t>
            </w:r>
          </w:p>
        </w:tc>
      </w:tr>
      <w:tr w:rsidR="00A36191" w:rsidRPr="00746E61" w14:paraId="11038270" w14:textId="77777777" w:rsidTr="00A36191">
        <w:trPr>
          <w:trHeight w:val="290"/>
          <w:jc w:val="center"/>
        </w:trPr>
        <w:tc>
          <w:tcPr>
            <w:tcW w:w="2639" w:type="dxa"/>
            <w:tcBorders>
              <w:top w:val="nil"/>
              <w:left w:val="single" w:sz="4" w:space="0" w:color="auto"/>
              <w:bottom w:val="single" w:sz="4" w:space="0" w:color="auto"/>
              <w:right w:val="single" w:sz="4" w:space="0" w:color="auto"/>
            </w:tcBorders>
            <w:shd w:val="clear" w:color="000000" w:fill="DDEBF7"/>
            <w:noWrap/>
            <w:vAlign w:val="center"/>
            <w:hideMark/>
          </w:tcPr>
          <w:p w14:paraId="7E99F70A" w14:textId="77777777" w:rsidR="00A36191" w:rsidRPr="00746E61" w:rsidRDefault="00A36191" w:rsidP="00746E61">
            <w:pPr>
              <w:spacing w:line="276" w:lineRule="auto"/>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No Penal</w:t>
            </w:r>
          </w:p>
        </w:tc>
        <w:tc>
          <w:tcPr>
            <w:tcW w:w="1160" w:type="dxa"/>
            <w:tcBorders>
              <w:top w:val="nil"/>
              <w:left w:val="nil"/>
              <w:bottom w:val="single" w:sz="4" w:space="0" w:color="auto"/>
              <w:right w:val="single" w:sz="4" w:space="0" w:color="auto"/>
            </w:tcBorders>
            <w:shd w:val="clear" w:color="000000" w:fill="DDEBF7"/>
            <w:noWrap/>
            <w:vAlign w:val="center"/>
            <w:hideMark/>
          </w:tcPr>
          <w:p w14:paraId="73A725B4" w14:textId="77777777" w:rsidR="00A36191" w:rsidRPr="00746E61" w:rsidRDefault="00A36191"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59358</w:t>
            </w:r>
          </w:p>
        </w:tc>
        <w:tc>
          <w:tcPr>
            <w:tcW w:w="1429" w:type="dxa"/>
            <w:tcBorders>
              <w:top w:val="nil"/>
              <w:left w:val="nil"/>
              <w:bottom w:val="single" w:sz="4" w:space="0" w:color="auto"/>
              <w:right w:val="single" w:sz="4" w:space="0" w:color="auto"/>
            </w:tcBorders>
            <w:shd w:val="clear" w:color="000000" w:fill="DDEBF7"/>
            <w:noWrap/>
            <w:vAlign w:val="center"/>
            <w:hideMark/>
          </w:tcPr>
          <w:p w14:paraId="6E5E59F5" w14:textId="77777777" w:rsidR="00A36191" w:rsidRPr="00746E61" w:rsidRDefault="00A36191"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12385</w:t>
            </w:r>
          </w:p>
        </w:tc>
        <w:tc>
          <w:tcPr>
            <w:tcW w:w="1460" w:type="dxa"/>
            <w:tcBorders>
              <w:top w:val="nil"/>
              <w:left w:val="nil"/>
              <w:bottom w:val="single" w:sz="4" w:space="0" w:color="auto"/>
              <w:right w:val="single" w:sz="4" w:space="0" w:color="auto"/>
            </w:tcBorders>
            <w:shd w:val="clear" w:color="000000" w:fill="DDEBF7"/>
            <w:noWrap/>
            <w:vAlign w:val="center"/>
            <w:hideMark/>
          </w:tcPr>
          <w:p w14:paraId="34ADF7AD" w14:textId="77777777" w:rsidR="00A36191" w:rsidRPr="00746E61" w:rsidRDefault="00A36191"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21%</w:t>
            </w:r>
          </w:p>
        </w:tc>
      </w:tr>
      <w:tr w:rsidR="00A36191" w:rsidRPr="00746E61" w14:paraId="5A76E201" w14:textId="77777777" w:rsidTr="00A36191">
        <w:trPr>
          <w:trHeight w:val="290"/>
          <w:jc w:val="center"/>
        </w:trPr>
        <w:tc>
          <w:tcPr>
            <w:tcW w:w="2639" w:type="dxa"/>
            <w:tcBorders>
              <w:top w:val="nil"/>
              <w:left w:val="single" w:sz="4" w:space="0" w:color="auto"/>
              <w:bottom w:val="single" w:sz="4" w:space="0" w:color="auto"/>
              <w:right w:val="single" w:sz="4" w:space="0" w:color="auto"/>
            </w:tcBorders>
            <w:shd w:val="clear" w:color="auto" w:fill="auto"/>
            <w:noWrap/>
            <w:vAlign w:val="center"/>
            <w:hideMark/>
          </w:tcPr>
          <w:p w14:paraId="4EAFCD51" w14:textId="77777777" w:rsidR="00A36191" w:rsidRPr="00746E61" w:rsidRDefault="00A36191" w:rsidP="00746E61">
            <w:pPr>
              <w:spacing w:line="276" w:lineRule="auto"/>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Trabajo</w:t>
            </w:r>
          </w:p>
        </w:tc>
        <w:tc>
          <w:tcPr>
            <w:tcW w:w="1160" w:type="dxa"/>
            <w:tcBorders>
              <w:top w:val="nil"/>
              <w:left w:val="nil"/>
              <w:bottom w:val="single" w:sz="4" w:space="0" w:color="auto"/>
              <w:right w:val="single" w:sz="4" w:space="0" w:color="auto"/>
            </w:tcBorders>
            <w:shd w:val="clear" w:color="auto" w:fill="auto"/>
            <w:noWrap/>
            <w:vAlign w:val="center"/>
            <w:hideMark/>
          </w:tcPr>
          <w:p w14:paraId="496472F8" w14:textId="77777777" w:rsidR="00A36191" w:rsidRPr="00746E61" w:rsidRDefault="00A36191"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9562</w:t>
            </w:r>
          </w:p>
        </w:tc>
        <w:tc>
          <w:tcPr>
            <w:tcW w:w="1429" w:type="dxa"/>
            <w:tcBorders>
              <w:top w:val="nil"/>
              <w:left w:val="nil"/>
              <w:bottom w:val="single" w:sz="4" w:space="0" w:color="auto"/>
              <w:right w:val="single" w:sz="4" w:space="0" w:color="auto"/>
            </w:tcBorders>
            <w:shd w:val="clear" w:color="auto" w:fill="auto"/>
            <w:noWrap/>
            <w:vAlign w:val="center"/>
            <w:hideMark/>
          </w:tcPr>
          <w:p w14:paraId="2D9B6611" w14:textId="77777777" w:rsidR="00A36191" w:rsidRPr="00746E61" w:rsidRDefault="00A36191"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7350</w:t>
            </w:r>
          </w:p>
        </w:tc>
        <w:tc>
          <w:tcPr>
            <w:tcW w:w="1460" w:type="dxa"/>
            <w:tcBorders>
              <w:top w:val="nil"/>
              <w:left w:val="nil"/>
              <w:bottom w:val="single" w:sz="4" w:space="0" w:color="auto"/>
              <w:right w:val="single" w:sz="4" w:space="0" w:color="auto"/>
            </w:tcBorders>
            <w:shd w:val="clear" w:color="auto" w:fill="auto"/>
            <w:noWrap/>
            <w:vAlign w:val="center"/>
            <w:hideMark/>
          </w:tcPr>
          <w:p w14:paraId="3DA76913" w14:textId="77777777" w:rsidR="00A36191" w:rsidRPr="00746E61" w:rsidRDefault="00A36191"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77%</w:t>
            </w:r>
          </w:p>
        </w:tc>
      </w:tr>
      <w:tr w:rsidR="00A36191" w:rsidRPr="00746E61" w14:paraId="03AF0617" w14:textId="77777777" w:rsidTr="00A36191">
        <w:trPr>
          <w:trHeight w:val="290"/>
          <w:jc w:val="center"/>
        </w:trPr>
        <w:tc>
          <w:tcPr>
            <w:tcW w:w="2639" w:type="dxa"/>
            <w:tcBorders>
              <w:top w:val="nil"/>
              <w:left w:val="single" w:sz="4" w:space="0" w:color="auto"/>
              <w:bottom w:val="single" w:sz="4" w:space="0" w:color="auto"/>
              <w:right w:val="single" w:sz="4" w:space="0" w:color="auto"/>
            </w:tcBorders>
            <w:shd w:val="clear" w:color="auto" w:fill="auto"/>
            <w:noWrap/>
            <w:vAlign w:val="center"/>
            <w:hideMark/>
          </w:tcPr>
          <w:p w14:paraId="1DC933FB" w14:textId="77777777" w:rsidR="00A36191" w:rsidRPr="00746E61" w:rsidRDefault="00A36191" w:rsidP="00746E61">
            <w:pPr>
              <w:spacing w:line="276" w:lineRule="auto"/>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Contencioso</w:t>
            </w:r>
          </w:p>
        </w:tc>
        <w:tc>
          <w:tcPr>
            <w:tcW w:w="1160" w:type="dxa"/>
            <w:tcBorders>
              <w:top w:val="nil"/>
              <w:left w:val="nil"/>
              <w:bottom w:val="single" w:sz="4" w:space="0" w:color="auto"/>
              <w:right w:val="single" w:sz="4" w:space="0" w:color="auto"/>
            </w:tcBorders>
            <w:shd w:val="clear" w:color="auto" w:fill="auto"/>
            <w:noWrap/>
            <w:vAlign w:val="center"/>
            <w:hideMark/>
          </w:tcPr>
          <w:p w14:paraId="4ADBE213" w14:textId="77777777" w:rsidR="00A36191" w:rsidRPr="00746E61" w:rsidRDefault="00A36191"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499</w:t>
            </w:r>
          </w:p>
        </w:tc>
        <w:tc>
          <w:tcPr>
            <w:tcW w:w="1429" w:type="dxa"/>
            <w:tcBorders>
              <w:top w:val="nil"/>
              <w:left w:val="nil"/>
              <w:bottom w:val="single" w:sz="4" w:space="0" w:color="auto"/>
              <w:right w:val="single" w:sz="4" w:space="0" w:color="auto"/>
            </w:tcBorders>
            <w:shd w:val="clear" w:color="auto" w:fill="auto"/>
            <w:noWrap/>
            <w:vAlign w:val="center"/>
            <w:hideMark/>
          </w:tcPr>
          <w:p w14:paraId="707CCE16" w14:textId="77777777" w:rsidR="00A36191" w:rsidRPr="00746E61" w:rsidRDefault="00A36191"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357</w:t>
            </w:r>
          </w:p>
        </w:tc>
        <w:tc>
          <w:tcPr>
            <w:tcW w:w="1460" w:type="dxa"/>
            <w:tcBorders>
              <w:top w:val="nil"/>
              <w:left w:val="nil"/>
              <w:bottom w:val="single" w:sz="4" w:space="0" w:color="auto"/>
              <w:right w:val="single" w:sz="4" w:space="0" w:color="auto"/>
            </w:tcBorders>
            <w:shd w:val="clear" w:color="auto" w:fill="auto"/>
            <w:noWrap/>
            <w:vAlign w:val="center"/>
            <w:hideMark/>
          </w:tcPr>
          <w:p w14:paraId="7EFB245D" w14:textId="77777777" w:rsidR="00A36191" w:rsidRPr="00746E61" w:rsidRDefault="00A36191"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72%</w:t>
            </w:r>
          </w:p>
        </w:tc>
      </w:tr>
      <w:tr w:rsidR="00A36191" w:rsidRPr="00746E61" w14:paraId="0EA36EC3" w14:textId="77777777" w:rsidTr="00A36191">
        <w:trPr>
          <w:trHeight w:val="290"/>
          <w:jc w:val="center"/>
        </w:trPr>
        <w:tc>
          <w:tcPr>
            <w:tcW w:w="2639" w:type="dxa"/>
            <w:tcBorders>
              <w:top w:val="nil"/>
              <w:left w:val="single" w:sz="4" w:space="0" w:color="auto"/>
              <w:bottom w:val="single" w:sz="4" w:space="0" w:color="auto"/>
              <w:right w:val="single" w:sz="4" w:space="0" w:color="auto"/>
            </w:tcBorders>
            <w:shd w:val="clear" w:color="auto" w:fill="auto"/>
            <w:noWrap/>
            <w:vAlign w:val="center"/>
            <w:hideMark/>
          </w:tcPr>
          <w:p w14:paraId="6C894F09" w14:textId="77777777" w:rsidR="00A36191" w:rsidRPr="00746E61" w:rsidRDefault="00A36191" w:rsidP="00746E61">
            <w:pPr>
              <w:spacing w:line="276" w:lineRule="auto"/>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Civil</w:t>
            </w:r>
          </w:p>
        </w:tc>
        <w:tc>
          <w:tcPr>
            <w:tcW w:w="1160" w:type="dxa"/>
            <w:tcBorders>
              <w:top w:val="nil"/>
              <w:left w:val="nil"/>
              <w:bottom w:val="single" w:sz="4" w:space="0" w:color="auto"/>
              <w:right w:val="single" w:sz="4" w:space="0" w:color="auto"/>
            </w:tcBorders>
            <w:shd w:val="clear" w:color="auto" w:fill="auto"/>
            <w:noWrap/>
            <w:vAlign w:val="center"/>
            <w:hideMark/>
          </w:tcPr>
          <w:p w14:paraId="6AA9EC53" w14:textId="77777777" w:rsidR="00A36191" w:rsidRPr="00746E61" w:rsidRDefault="00A36191"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2798</w:t>
            </w:r>
          </w:p>
        </w:tc>
        <w:tc>
          <w:tcPr>
            <w:tcW w:w="1429" w:type="dxa"/>
            <w:tcBorders>
              <w:top w:val="nil"/>
              <w:left w:val="nil"/>
              <w:bottom w:val="single" w:sz="4" w:space="0" w:color="auto"/>
              <w:right w:val="single" w:sz="4" w:space="0" w:color="auto"/>
            </w:tcBorders>
            <w:shd w:val="clear" w:color="auto" w:fill="auto"/>
            <w:noWrap/>
            <w:vAlign w:val="center"/>
            <w:hideMark/>
          </w:tcPr>
          <w:p w14:paraId="13DC2743" w14:textId="77777777" w:rsidR="00A36191" w:rsidRPr="00746E61" w:rsidRDefault="00A36191"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1653</w:t>
            </w:r>
          </w:p>
        </w:tc>
        <w:tc>
          <w:tcPr>
            <w:tcW w:w="1460" w:type="dxa"/>
            <w:tcBorders>
              <w:top w:val="nil"/>
              <w:left w:val="nil"/>
              <w:bottom w:val="single" w:sz="4" w:space="0" w:color="auto"/>
              <w:right w:val="single" w:sz="4" w:space="0" w:color="auto"/>
            </w:tcBorders>
            <w:shd w:val="clear" w:color="auto" w:fill="auto"/>
            <w:noWrap/>
            <w:vAlign w:val="center"/>
            <w:hideMark/>
          </w:tcPr>
          <w:p w14:paraId="7FDAF985" w14:textId="77777777" w:rsidR="00A36191" w:rsidRPr="00746E61" w:rsidRDefault="00A36191"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59%</w:t>
            </w:r>
          </w:p>
        </w:tc>
      </w:tr>
      <w:tr w:rsidR="00A36191" w:rsidRPr="00746E61" w14:paraId="43A9AE57" w14:textId="77777777" w:rsidTr="00A36191">
        <w:trPr>
          <w:trHeight w:val="290"/>
          <w:jc w:val="center"/>
        </w:trPr>
        <w:tc>
          <w:tcPr>
            <w:tcW w:w="2639" w:type="dxa"/>
            <w:tcBorders>
              <w:top w:val="nil"/>
              <w:left w:val="single" w:sz="4" w:space="0" w:color="auto"/>
              <w:bottom w:val="single" w:sz="4" w:space="0" w:color="auto"/>
              <w:right w:val="single" w:sz="4" w:space="0" w:color="auto"/>
            </w:tcBorders>
            <w:shd w:val="clear" w:color="auto" w:fill="auto"/>
            <w:noWrap/>
            <w:vAlign w:val="center"/>
            <w:hideMark/>
          </w:tcPr>
          <w:p w14:paraId="2EDCE3AA" w14:textId="77777777" w:rsidR="00A36191" w:rsidRPr="00746E61" w:rsidRDefault="00A36191" w:rsidP="00746E61">
            <w:pPr>
              <w:spacing w:line="276" w:lineRule="auto"/>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Agrario</w:t>
            </w:r>
          </w:p>
        </w:tc>
        <w:tc>
          <w:tcPr>
            <w:tcW w:w="1160" w:type="dxa"/>
            <w:tcBorders>
              <w:top w:val="nil"/>
              <w:left w:val="nil"/>
              <w:bottom w:val="single" w:sz="4" w:space="0" w:color="auto"/>
              <w:right w:val="single" w:sz="4" w:space="0" w:color="auto"/>
            </w:tcBorders>
            <w:shd w:val="clear" w:color="auto" w:fill="auto"/>
            <w:noWrap/>
            <w:vAlign w:val="center"/>
            <w:hideMark/>
          </w:tcPr>
          <w:p w14:paraId="6B16CCC4" w14:textId="77777777" w:rsidR="00A36191" w:rsidRPr="00746E61" w:rsidRDefault="00A36191"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1467</w:t>
            </w:r>
          </w:p>
        </w:tc>
        <w:tc>
          <w:tcPr>
            <w:tcW w:w="1429" w:type="dxa"/>
            <w:tcBorders>
              <w:top w:val="nil"/>
              <w:left w:val="nil"/>
              <w:bottom w:val="single" w:sz="4" w:space="0" w:color="auto"/>
              <w:right w:val="single" w:sz="4" w:space="0" w:color="auto"/>
            </w:tcBorders>
            <w:shd w:val="clear" w:color="auto" w:fill="auto"/>
            <w:noWrap/>
            <w:vAlign w:val="center"/>
            <w:hideMark/>
          </w:tcPr>
          <w:p w14:paraId="64BA7D80" w14:textId="77777777" w:rsidR="00A36191" w:rsidRPr="00746E61" w:rsidRDefault="00A36191"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204</w:t>
            </w:r>
          </w:p>
        </w:tc>
        <w:tc>
          <w:tcPr>
            <w:tcW w:w="1460" w:type="dxa"/>
            <w:tcBorders>
              <w:top w:val="nil"/>
              <w:left w:val="nil"/>
              <w:bottom w:val="single" w:sz="4" w:space="0" w:color="auto"/>
              <w:right w:val="single" w:sz="4" w:space="0" w:color="auto"/>
            </w:tcBorders>
            <w:shd w:val="clear" w:color="auto" w:fill="auto"/>
            <w:noWrap/>
            <w:vAlign w:val="center"/>
            <w:hideMark/>
          </w:tcPr>
          <w:p w14:paraId="616D92E8" w14:textId="77777777" w:rsidR="00A36191" w:rsidRPr="00746E61" w:rsidRDefault="00A36191"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14%</w:t>
            </w:r>
          </w:p>
        </w:tc>
      </w:tr>
      <w:tr w:rsidR="00A36191" w:rsidRPr="00746E61" w14:paraId="361D25F1" w14:textId="77777777" w:rsidTr="00A36191">
        <w:trPr>
          <w:trHeight w:val="290"/>
          <w:jc w:val="center"/>
        </w:trPr>
        <w:tc>
          <w:tcPr>
            <w:tcW w:w="2639" w:type="dxa"/>
            <w:tcBorders>
              <w:top w:val="nil"/>
              <w:left w:val="single" w:sz="4" w:space="0" w:color="auto"/>
              <w:bottom w:val="single" w:sz="4" w:space="0" w:color="auto"/>
              <w:right w:val="single" w:sz="4" w:space="0" w:color="auto"/>
            </w:tcBorders>
            <w:shd w:val="clear" w:color="auto" w:fill="auto"/>
            <w:noWrap/>
            <w:vAlign w:val="center"/>
            <w:hideMark/>
          </w:tcPr>
          <w:p w14:paraId="5F921433" w14:textId="77777777" w:rsidR="00A36191" w:rsidRPr="00746E61" w:rsidRDefault="00A36191" w:rsidP="00746E61">
            <w:pPr>
              <w:spacing w:line="276" w:lineRule="auto"/>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Familia</w:t>
            </w:r>
          </w:p>
        </w:tc>
        <w:tc>
          <w:tcPr>
            <w:tcW w:w="1160" w:type="dxa"/>
            <w:tcBorders>
              <w:top w:val="nil"/>
              <w:left w:val="nil"/>
              <w:bottom w:val="single" w:sz="4" w:space="0" w:color="auto"/>
              <w:right w:val="single" w:sz="4" w:space="0" w:color="auto"/>
            </w:tcBorders>
            <w:shd w:val="clear" w:color="auto" w:fill="auto"/>
            <w:noWrap/>
            <w:vAlign w:val="center"/>
            <w:hideMark/>
          </w:tcPr>
          <w:p w14:paraId="021DC525" w14:textId="77777777" w:rsidR="00A36191" w:rsidRPr="00746E61" w:rsidRDefault="00A36191"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7742</w:t>
            </w:r>
          </w:p>
        </w:tc>
        <w:tc>
          <w:tcPr>
            <w:tcW w:w="1429" w:type="dxa"/>
            <w:tcBorders>
              <w:top w:val="nil"/>
              <w:left w:val="nil"/>
              <w:bottom w:val="single" w:sz="4" w:space="0" w:color="auto"/>
              <w:right w:val="single" w:sz="4" w:space="0" w:color="auto"/>
            </w:tcBorders>
            <w:shd w:val="clear" w:color="auto" w:fill="auto"/>
            <w:noWrap/>
            <w:vAlign w:val="center"/>
            <w:hideMark/>
          </w:tcPr>
          <w:p w14:paraId="4B20BD09" w14:textId="77777777" w:rsidR="00A36191" w:rsidRPr="00746E61" w:rsidRDefault="00A36191"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791</w:t>
            </w:r>
          </w:p>
        </w:tc>
        <w:tc>
          <w:tcPr>
            <w:tcW w:w="1460" w:type="dxa"/>
            <w:tcBorders>
              <w:top w:val="nil"/>
              <w:left w:val="nil"/>
              <w:bottom w:val="single" w:sz="4" w:space="0" w:color="auto"/>
              <w:right w:val="single" w:sz="4" w:space="0" w:color="auto"/>
            </w:tcBorders>
            <w:shd w:val="clear" w:color="auto" w:fill="auto"/>
            <w:noWrap/>
            <w:vAlign w:val="center"/>
            <w:hideMark/>
          </w:tcPr>
          <w:p w14:paraId="4200DCA3" w14:textId="77777777" w:rsidR="00A36191" w:rsidRPr="00746E61" w:rsidRDefault="00A36191"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10%</w:t>
            </w:r>
          </w:p>
        </w:tc>
      </w:tr>
      <w:tr w:rsidR="00A36191" w:rsidRPr="00746E61" w14:paraId="2B7EC457" w14:textId="77777777" w:rsidTr="00A36191">
        <w:trPr>
          <w:trHeight w:val="290"/>
          <w:jc w:val="center"/>
        </w:trPr>
        <w:tc>
          <w:tcPr>
            <w:tcW w:w="2639" w:type="dxa"/>
            <w:tcBorders>
              <w:top w:val="nil"/>
              <w:left w:val="single" w:sz="4" w:space="0" w:color="auto"/>
              <w:bottom w:val="single" w:sz="4" w:space="0" w:color="auto"/>
              <w:right w:val="single" w:sz="4" w:space="0" w:color="auto"/>
            </w:tcBorders>
            <w:shd w:val="clear" w:color="auto" w:fill="auto"/>
            <w:noWrap/>
            <w:vAlign w:val="center"/>
            <w:hideMark/>
          </w:tcPr>
          <w:p w14:paraId="17456865" w14:textId="77777777" w:rsidR="00A36191" w:rsidRPr="00746E61" w:rsidRDefault="00A36191" w:rsidP="00746E61">
            <w:pPr>
              <w:spacing w:line="276" w:lineRule="auto"/>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Violencia Doméstica</w:t>
            </w:r>
          </w:p>
        </w:tc>
        <w:tc>
          <w:tcPr>
            <w:tcW w:w="1160" w:type="dxa"/>
            <w:tcBorders>
              <w:top w:val="nil"/>
              <w:left w:val="nil"/>
              <w:bottom w:val="single" w:sz="4" w:space="0" w:color="auto"/>
              <w:right w:val="single" w:sz="4" w:space="0" w:color="auto"/>
            </w:tcBorders>
            <w:shd w:val="clear" w:color="auto" w:fill="auto"/>
            <w:noWrap/>
            <w:vAlign w:val="center"/>
            <w:hideMark/>
          </w:tcPr>
          <w:p w14:paraId="5CC29600" w14:textId="77777777" w:rsidR="00A36191" w:rsidRPr="00746E61" w:rsidRDefault="00A36191"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11458</w:t>
            </w:r>
          </w:p>
        </w:tc>
        <w:tc>
          <w:tcPr>
            <w:tcW w:w="1429" w:type="dxa"/>
            <w:tcBorders>
              <w:top w:val="nil"/>
              <w:left w:val="nil"/>
              <w:bottom w:val="single" w:sz="4" w:space="0" w:color="auto"/>
              <w:right w:val="single" w:sz="4" w:space="0" w:color="auto"/>
            </w:tcBorders>
            <w:shd w:val="clear" w:color="auto" w:fill="auto"/>
            <w:noWrap/>
            <w:vAlign w:val="center"/>
            <w:hideMark/>
          </w:tcPr>
          <w:p w14:paraId="30015764" w14:textId="77777777" w:rsidR="00A36191" w:rsidRPr="00746E61" w:rsidRDefault="00A36191"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998</w:t>
            </w:r>
          </w:p>
        </w:tc>
        <w:tc>
          <w:tcPr>
            <w:tcW w:w="1460" w:type="dxa"/>
            <w:tcBorders>
              <w:top w:val="nil"/>
              <w:left w:val="nil"/>
              <w:bottom w:val="single" w:sz="4" w:space="0" w:color="auto"/>
              <w:right w:val="single" w:sz="4" w:space="0" w:color="auto"/>
            </w:tcBorders>
            <w:shd w:val="clear" w:color="auto" w:fill="auto"/>
            <w:noWrap/>
            <w:vAlign w:val="center"/>
            <w:hideMark/>
          </w:tcPr>
          <w:p w14:paraId="3E82658E" w14:textId="77777777" w:rsidR="00A36191" w:rsidRPr="00746E61" w:rsidRDefault="00A36191"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9%</w:t>
            </w:r>
          </w:p>
        </w:tc>
      </w:tr>
      <w:tr w:rsidR="00A36191" w:rsidRPr="00746E61" w14:paraId="4C49AD81" w14:textId="77777777" w:rsidTr="00A36191">
        <w:trPr>
          <w:trHeight w:val="290"/>
          <w:jc w:val="center"/>
        </w:trPr>
        <w:tc>
          <w:tcPr>
            <w:tcW w:w="2639" w:type="dxa"/>
            <w:tcBorders>
              <w:top w:val="nil"/>
              <w:left w:val="single" w:sz="4" w:space="0" w:color="auto"/>
              <w:bottom w:val="single" w:sz="4" w:space="0" w:color="auto"/>
              <w:right w:val="single" w:sz="4" w:space="0" w:color="auto"/>
            </w:tcBorders>
            <w:shd w:val="clear" w:color="auto" w:fill="auto"/>
            <w:noWrap/>
            <w:vAlign w:val="center"/>
            <w:hideMark/>
          </w:tcPr>
          <w:p w14:paraId="393F0995" w14:textId="77777777" w:rsidR="00A36191" w:rsidRPr="00746E61" w:rsidRDefault="00A36191" w:rsidP="00746E61">
            <w:pPr>
              <w:spacing w:line="276" w:lineRule="auto"/>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Contravencional</w:t>
            </w:r>
          </w:p>
        </w:tc>
        <w:tc>
          <w:tcPr>
            <w:tcW w:w="1160" w:type="dxa"/>
            <w:tcBorders>
              <w:top w:val="nil"/>
              <w:left w:val="nil"/>
              <w:bottom w:val="single" w:sz="4" w:space="0" w:color="auto"/>
              <w:right w:val="single" w:sz="4" w:space="0" w:color="auto"/>
            </w:tcBorders>
            <w:shd w:val="clear" w:color="auto" w:fill="auto"/>
            <w:noWrap/>
            <w:vAlign w:val="center"/>
            <w:hideMark/>
          </w:tcPr>
          <w:p w14:paraId="425F7A03" w14:textId="77777777" w:rsidR="00A36191" w:rsidRPr="00746E61" w:rsidRDefault="00A36191"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6373</w:t>
            </w:r>
          </w:p>
        </w:tc>
        <w:tc>
          <w:tcPr>
            <w:tcW w:w="1429" w:type="dxa"/>
            <w:tcBorders>
              <w:top w:val="nil"/>
              <w:left w:val="nil"/>
              <w:bottom w:val="single" w:sz="4" w:space="0" w:color="auto"/>
              <w:right w:val="single" w:sz="4" w:space="0" w:color="auto"/>
            </w:tcBorders>
            <w:shd w:val="clear" w:color="auto" w:fill="auto"/>
            <w:noWrap/>
            <w:vAlign w:val="center"/>
            <w:hideMark/>
          </w:tcPr>
          <w:p w14:paraId="63D8999B" w14:textId="77777777" w:rsidR="00A36191" w:rsidRPr="00746E61" w:rsidRDefault="00A36191"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520</w:t>
            </w:r>
          </w:p>
        </w:tc>
        <w:tc>
          <w:tcPr>
            <w:tcW w:w="1460" w:type="dxa"/>
            <w:tcBorders>
              <w:top w:val="nil"/>
              <w:left w:val="nil"/>
              <w:bottom w:val="single" w:sz="4" w:space="0" w:color="auto"/>
              <w:right w:val="single" w:sz="4" w:space="0" w:color="auto"/>
            </w:tcBorders>
            <w:shd w:val="clear" w:color="auto" w:fill="auto"/>
            <w:noWrap/>
            <w:vAlign w:val="center"/>
            <w:hideMark/>
          </w:tcPr>
          <w:p w14:paraId="0789CB52" w14:textId="77777777" w:rsidR="00A36191" w:rsidRPr="00746E61" w:rsidRDefault="00A36191"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8%</w:t>
            </w:r>
          </w:p>
        </w:tc>
      </w:tr>
      <w:tr w:rsidR="00A36191" w:rsidRPr="00746E61" w14:paraId="2767B364" w14:textId="77777777" w:rsidTr="00A36191">
        <w:trPr>
          <w:trHeight w:val="290"/>
          <w:jc w:val="center"/>
        </w:trPr>
        <w:tc>
          <w:tcPr>
            <w:tcW w:w="2639" w:type="dxa"/>
            <w:tcBorders>
              <w:top w:val="nil"/>
              <w:left w:val="single" w:sz="4" w:space="0" w:color="auto"/>
              <w:bottom w:val="single" w:sz="4" w:space="0" w:color="auto"/>
              <w:right w:val="single" w:sz="4" w:space="0" w:color="auto"/>
            </w:tcBorders>
            <w:shd w:val="clear" w:color="auto" w:fill="auto"/>
            <w:noWrap/>
            <w:vAlign w:val="center"/>
            <w:hideMark/>
          </w:tcPr>
          <w:p w14:paraId="419207DA" w14:textId="77777777" w:rsidR="00A36191" w:rsidRPr="00746E61" w:rsidRDefault="00A36191" w:rsidP="00746E61">
            <w:pPr>
              <w:spacing w:line="276" w:lineRule="auto"/>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Pensiones Alimentarias</w:t>
            </w:r>
          </w:p>
        </w:tc>
        <w:tc>
          <w:tcPr>
            <w:tcW w:w="1160" w:type="dxa"/>
            <w:tcBorders>
              <w:top w:val="nil"/>
              <w:left w:val="nil"/>
              <w:bottom w:val="single" w:sz="4" w:space="0" w:color="auto"/>
              <w:right w:val="single" w:sz="4" w:space="0" w:color="auto"/>
            </w:tcBorders>
            <w:shd w:val="clear" w:color="auto" w:fill="auto"/>
            <w:noWrap/>
            <w:vAlign w:val="center"/>
            <w:hideMark/>
          </w:tcPr>
          <w:p w14:paraId="1A4415CE" w14:textId="77777777" w:rsidR="00A36191" w:rsidRPr="00746E61" w:rsidRDefault="00A36191"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14850</w:t>
            </w:r>
          </w:p>
        </w:tc>
        <w:tc>
          <w:tcPr>
            <w:tcW w:w="1429" w:type="dxa"/>
            <w:tcBorders>
              <w:top w:val="nil"/>
              <w:left w:val="nil"/>
              <w:bottom w:val="single" w:sz="4" w:space="0" w:color="auto"/>
              <w:right w:val="single" w:sz="4" w:space="0" w:color="auto"/>
            </w:tcBorders>
            <w:shd w:val="clear" w:color="auto" w:fill="auto"/>
            <w:noWrap/>
            <w:vAlign w:val="center"/>
            <w:hideMark/>
          </w:tcPr>
          <w:p w14:paraId="410550FC" w14:textId="77777777" w:rsidR="00A36191" w:rsidRPr="00746E61" w:rsidRDefault="00A36191"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456</w:t>
            </w:r>
          </w:p>
        </w:tc>
        <w:tc>
          <w:tcPr>
            <w:tcW w:w="1460" w:type="dxa"/>
            <w:tcBorders>
              <w:top w:val="nil"/>
              <w:left w:val="nil"/>
              <w:bottom w:val="single" w:sz="4" w:space="0" w:color="auto"/>
              <w:right w:val="single" w:sz="4" w:space="0" w:color="auto"/>
            </w:tcBorders>
            <w:shd w:val="clear" w:color="auto" w:fill="auto"/>
            <w:noWrap/>
            <w:vAlign w:val="center"/>
            <w:hideMark/>
          </w:tcPr>
          <w:p w14:paraId="0400A286" w14:textId="77777777" w:rsidR="00A36191" w:rsidRPr="00746E61" w:rsidRDefault="00A36191"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3%</w:t>
            </w:r>
          </w:p>
        </w:tc>
      </w:tr>
      <w:tr w:rsidR="00A36191" w:rsidRPr="00746E61" w14:paraId="5E729084" w14:textId="77777777" w:rsidTr="00A36191">
        <w:trPr>
          <w:trHeight w:val="290"/>
          <w:jc w:val="center"/>
        </w:trPr>
        <w:tc>
          <w:tcPr>
            <w:tcW w:w="2639" w:type="dxa"/>
            <w:tcBorders>
              <w:top w:val="nil"/>
              <w:left w:val="single" w:sz="4" w:space="0" w:color="auto"/>
              <w:bottom w:val="single" w:sz="4" w:space="0" w:color="auto"/>
              <w:right w:val="single" w:sz="4" w:space="0" w:color="auto"/>
            </w:tcBorders>
            <w:shd w:val="clear" w:color="auto" w:fill="auto"/>
            <w:noWrap/>
            <w:vAlign w:val="center"/>
            <w:hideMark/>
          </w:tcPr>
          <w:p w14:paraId="5059CC75" w14:textId="77777777" w:rsidR="00A36191" w:rsidRPr="00746E61" w:rsidRDefault="00A36191" w:rsidP="00746E61">
            <w:pPr>
              <w:spacing w:line="276" w:lineRule="auto"/>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Tránsito</w:t>
            </w:r>
          </w:p>
        </w:tc>
        <w:tc>
          <w:tcPr>
            <w:tcW w:w="1160" w:type="dxa"/>
            <w:tcBorders>
              <w:top w:val="nil"/>
              <w:left w:val="nil"/>
              <w:bottom w:val="single" w:sz="4" w:space="0" w:color="auto"/>
              <w:right w:val="single" w:sz="4" w:space="0" w:color="auto"/>
            </w:tcBorders>
            <w:shd w:val="clear" w:color="auto" w:fill="auto"/>
            <w:noWrap/>
            <w:vAlign w:val="center"/>
            <w:hideMark/>
          </w:tcPr>
          <w:p w14:paraId="20058923" w14:textId="77777777" w:rsidR="00A36191" w:rsidRPr="00746E61" w:rsidRDefault="00A36191"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4609</w:t>
            </w:r>
          </w:p>
        </w:tc>
        <w:tc>
          <w:tcPr>
            <w:tcW w:w="1429" w:type="dxa"/>
            <w:tcBorders>
              <w:top w:val="nil"/>
              <w:left w:val="nil"/>
              <w:bottom w:val="single" w:sz="4" w:space="0" w:color="auto"/>
              <w:right w:val="single" w:sz="4" w:space="0" w:color="auto"/>
            </w:tcBorders>
            <w:shd w:val="clear" w:color="auto" w:fill="auto"/>
            <w:noWrap/>
            <w:vAlign w:val="center"/>
            <w:hideMark/>
          </w:tcPr>
          <w:p w14:paraId="0F6AB505" w14:textId="77777777" w:rsidR="00A36191" w:rsidRPr="00746E61" w:rsidRDefault="00A36191"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56</w:t>
            </w:r>
          </w:p>
        </w:tc>
        <w:tc>
          <w:tcPr>
            <w:tcW w:w="1460" w:type="dxa"/>
            <w:tcBorders>
              <w:top w:val="nil"/>
              <w:left w:val="nil"/>
              <w:bottom w:val="single" w:sz="4" w:space="0" w:color="auto"/>
              <w:right w:val="single" w:sz="4" w:space="0" w:color="auto"/>
            </w:tcBorders>
            <w:shd w:val="clear" w:color="auto" w:fill="auto"/>
            <w:noWrap/>
            <w:vAlign w:val="center"/>
            <w:hideMark/>
          </w:tcPr>
          <w:p w14:paraId="0BAF483A" w14:textId="77777777" w:rsidR="00A36191" w:rsidRPr="00746E61" w:rsidRDefault="00A36191"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w:t>
            </w:r>
          </w:p>
        </w:tc>
      </w:tr>
      <w:tr w:rsidR="00A36191" w:rsidRPr="00746E61" w14:paraId="5982704E" w14:textId="77777777" w:rsidTr="00A36191">
        <w:trPr>
          <w:trHeight w:val="290"/>
          <w:jc w:val="center"/>
        </w:trPr>
        <w:tc>
          <w:tcPr>
            <w:tcW w:w="2639" w:type="dxa"/>
            <w:tcBorders>
              <w:top w:val="nil"/>
              <w:left w:val="single" w:sz="4" w:space="0" w:color="auto"/>
              <w:bottom w:val="single" w:sz="4" w:space="0" w:color="auto"/>
              <w:right w:val="single" w:sz="4" w:space="0" w:color="auto"/>
            </w:tcBorders>
            <w:shd w:val="clear" w:color="000000" w:fill="DDEBF7"/>
            <w:noWrap/>
            <w:vAlign w:val="center"/>
            <w:hideMark/>
          </w:tcPr>
          <w:p w14:paraId="6C1F01AD" w14:textId="77777777" w:rsidR="00A36191" w:rsidRPr="00746E61" w:rsidRDefault="00A36191" w:rsidP="00746E61">
            <w:pPr>
              <w:spacing w:line="276" w:lineRule="auto"/>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Penal</w:t>
            </w:r>
          </w:p>
        </w:tc>
        <w:tc>
          <w:tcPr>
            <w:tcW w:w="1160" w:type="dxa"/>
            <w:tcBorders>
              <w:top w:val="nil"/>
              <w:left w:val="nil"/>
              <w:bottom w:val="single" w:sz="4" w:space="0" w:color="auto"/>
              <w:right w:val="single" w:sz="4" w:space="0" w:color="auto"/>
            </w:tcBorders>
            <w:shd w:val="clear" w:color="000000" w:fill="DDEBF7"/>
            <w:noWrap/>
            <w:vAlign w:val="center"/>
            <w:hideMark/>
          </w:tcPr>
          <w:p w14:paraId="7C902EFF" w14:textId="77777777" w:rsidR="00A36191" w:rsidRPr="00746E61" w:rsidRDefault="00A36191"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41140</w:t>
            </w:r>
          </w:p>
        </w:tc>
        <w:tc>
          <w:tcPr>
            <w:tcW w:w="1429" w:type="dxa"/>
            <w:tcBorders>
              <w:top w:val="nil"/>
              <w:left w:val="nil"/>
              <w:bottom w:val="single" w:sz="4" w:space="0" w:color="auto"/>
              <w:right w:val="single" w:sz="4" w:space="0" w:color="auto"/>
            </w:tcBorders>
            <w:shd w:val="clear" w:color="000000" w:fill="DDEBF7"/>
            <w:noWrap/>
            <w:vAlign w:val="center"/>
            <w:hideMark/>
          </w:tcPr>
          <w:p w14:paraId="4267F53B" w14:textId="77777777" w:rsidR="00A36191" w:rsidRPr="00746E61" w:rsidRDefault="00A36191"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7252</w:t>
            </w:r>
          </w:p>
        </w:tc>
        <w:tc>
          <w:tcPr>
            <w:tcW w:w="1460" w:type="dxa"/>
            <w:tcBorders>
              <w:top w:val="nil"/>
              <w:left w:val="nil"/>
              <w:bottom w:val="single" w:sz="4" w:space="0" w:color="auto"/>
              <w:right w:val="single" w:sz="4" w:space="0" w:color="auto"/>
            </w:tcBorders>
            <w:shd w:val="clear" w:color="000000" w:fill="DDEBF7"/>
            <w:noWrap/>
            <w:vAlign w:val="center"/>
            <w:hideMark/>
          </w:tcPr>
          <w:p w14:paraId="2937B75F" w14:textId="77777777" w:rsidR="00A36191" w:rsidRPr="00746E61" w:rsidRDefault="00A36191"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18%</w:t>
            </w:r>
          </w:p>
        </w:tc>
      </w:tr>
      <w:tr w:rsidR="00A36191" w:rsidRPr="00746E61" w14:paraId="0AFD5BBD" w14:textId="77777777" w:rsidTr="00A36191">
        <w:trPr>
          <w:trHeight w:val="290"/>
          <w:jc w:val="center"/>
        </w:trPr>
        <w:tc>
          <w:tcPr>
            <w:tcW w:w="2639" w:type="dxa"/>
            <w:tcBorders>
              <w:top w:val="nil"/>
              <w:left w:val="single" w:sz="4" w:space="0" w:color="auto"/>
              <w:bottom w:val="single" w:sz="4" w:space="0" w:color="auto"/>
              <w:right w:val="single" w:sz="4" w:space="0" w:color="auto"/>
            </w:tcBorders>
            <w:shd w:val="clear" w:color="auto" w:fill="auto"/>
            <w:noWrap/>
            <w:vAlign w:val="center"/>
            <w:hideMark/>
          </w:tcPr>
          <w:p w14:paraId="7C1B5466" w14:textId="77777777" w:rsidR="00A36191" w:rsidRPr="00746E61" w:rsidRDefault="00A36191" w:rsidP="00746E61">
            <w:pPr>
              <w:spacing w:line="276" w:lineRule="auto"/>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Juzgado de Ejecución de la Pena</w:t>
            </w:r>
          </w:p>
        </w:tc>
        <w:tc>
          <w:tcPr>
            <w:tcW w:w="1160" w:type="dxa"/>
            <w:tcBorders>
              <w:top w:val="nil"/>
              <w:left w:val="nil"/>
              <w:bottom w:val="single" w:sz="4" w:space="0" w:color="auto"/>
              <w:right w:val="single" w:sz="4" w:space="0" w:color="auto"/>
            </w:tcBorders>
            <w:shd w:val="clear" w:color="auto" w:fill="auto"/>
            <w:noWrap/>
            <w:vAlign w:val="center"/>
            <w:hideMark/>
          </w:tcPr>
          <w:p w14:paraId="3F81B4C1" w14:textId="77777777" w:rsidR="00A36191" w:rsidRPr="00746E61" w:rsidRDefault="00A36191"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1162</w:t>
            </w:r>
          </w:p>
        </w:tc>
        <w:tc>
          <w:tcPr>
            <w:tcW w:w="1429" w:type="dxa"/>
            <w:tcBorders>
              <w:top w:val="nil"/>
              <w:left w:val="nil"/>
              <w:bottom w:val="single" w:sz="4" w:space="0" w:color="auto"/>
              <w:right w:val="single" w:sz="4" w:space="0" w:color="auto"/>
            </w:tcBorders>
            <w:shd w:val="clear" w:color="auto" w:fill="auto"/>
            <w:noWrap/>
            <w:vAlign w:val="center"/>
            <w:hideMark/>
          </w:tcPr>
          <w:p w14:paraId="6E0038EF" w14:textId="77777777" w:rsidR="00A36191" w:rsidRPr="00746E61" w:rsidRDefault="00A36191"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904</w:t>
            </w:r>
          </w:p>
        </w:tc>
        <w:tc>
          <w:tcPr>
            <w:tcW w:w="1460" w:type="dxa"/>
            <w:tcBorders>
              <w:top w:val="nil"/>
              <w:left w:val="nil"/>
              <w:bottom w:val="single" w:sz="4" w:space="0" w:color="auto"/>
              <w:right w:val="single" w:sz="4" w:space="0" w:color="auto"/>
            </w:tcBorders>
            <w:shd w:val="clear" w:color="auto" w:fill="auto"/>
            <w:noWrap/>
            <w:vAlign w:val="center"/>
            <w:hideMark/>
          </w:tcPr>
          <w:p w14:paraId="19952D73" w14:textId="77777777" w:rsidR="00A36191" w:rsidRPr="00746E61" w:rsidRDefault="00A36191"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78%</w:t>
            </w:r>
          </w:p>
        </w:tc>
      </w:tr>
      <w:tr w:rsidR="00A36191" w:rsidRPr="00746E61" w14:paraId="2FF188DB" w14:textId="77777777" w:rsidTr="00A36191">
        <w:trPr>
          <w:trHeight w:val="290"/>
          <w:jc w:val="center"/>
        </w:trPr>
        <w:tc>
          <w:tcPr>
            <w:tcW w:w="2639" w:type="dxa"/>
            <w:tcBorders>
              <w:top w:val="nil"/>
              <w:left w:val="single" w:sz="4" w:space="0" w:color="auto"/>
              <w:bottom w:val="single" w:sz="4" w:space="0" w:color="auto"/>
              <w:right w:val="single" w:sz="4" w:space="0" w:color="auto"/>
            </w:tcBorders>
            <w:shd w:val="clear" w:color="auto" w:fill="auto"/>
            <w:noWrap/>
            <w:vAlign w:val="center"/>
            <w:hideMark/>
          </w:tcPr>
          <w:p w14:paraId="34B515A9" w14:textId="77777777" w:rsidR="00A36191" w:rsidRPr="00746E61" w:rsidRDefault="00A36191" w:rsidP="00746E61">
            <w:pPr>
              <w:spacing w:line="276" w:lineRule="auto"/>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Juzgado Penal Juvenil</w:t>
            </w:r>
          </w:p>
        </w:tc>
        <w:tc>
          <w:tcPr>
            <w:tcW w:w="1160" w:type="dxa"/>
            <w:tcBorders>
              <w:top w:val="nil"/>
              <w:left w:val="nil"/>
              <w:bottom w:val="single" w:sz="4" w:space="0" w:color="auto"/>
              <w:right w:val="single" w:sz="4" w:space="0" w:color="auto"/>
            </w:tcBorders>
            <w:shd w:val="clear" w:color="auto" w:fill="auto"/>
            <w:noWrap/>
            <w:vAlign w:val="center"/>
            <w:hideMark/>
          </w:tcPr>
          <w:p w14:paraId="220CD07C" w14:textId="77777777" w:rsidR="00A36191" w:rsidRPr="00746E61" w:rsidRDefault="00A36191"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2853</w:t>
            </w:r>
          </w:p>
        </w:tc>
        <w:tc>
          <w:tcPr>
            <w:tcW w:w="1429" w:type="dxa"/>
            <w:tcBorders>
              <w:top w:val="nil"/>
              <w:left w:val="nil"/>
              <w:bottom w:val="single" w:sz="4" w:space="0" w:color="auto"/>
              <w:right w:val="single" w:sz="4" w:space="0" w:color="auto"/>
            </w:tcBorders>
            <w:shd w:val="clear" w:color="auto" w:fill="auto"/>
            <w:noWrap/>
            <w:vAlign w:val="center"/>
            <w:hideMark/>
          </w:tcPr>
          <w:p w14:paraId="60A6E196" w14:textId="77777777" w:rsidR="00A36191" w:rsidRPr="00746E61" w:rsidRDefault="00A36191"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771</w:t>
            </w:r>
          </w:p>
        </w:tc>
        <w:tc>
          <w:tcPr>
            <w:tcW w:w="1460" w:type="dxa"/>
            <w:tcBorders>
              <w:top w:val="nil"/>
              <w:left w:val="nil"/>
              <w:bottom w:val="single" w:sz="4" w:space="0" w:color="auto"/>
              <w:right w:val="single" w:sz="4" w:space="0" w:color="auto"/>
            </w:tcBorders>
            <w:shd w:val="clear" w:color="auto" w:fill="auto"/>
            <w:noWrap/>
            <w:vAlign w:val="center"/>
            <w:hideMark/>
          </w:tcPr>
          <w:p w14:paraId="7D292EB3" w14:textId="77777777" w:rsidR="00A36191" w:rsidRPr="00746E61" w:rsidRDefault="00A36191"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27%</w:t>
            </w:r>
          </w:p>
        </w:tc>
      </w:tr>
      <w:tr w:rsidR="00A36191" w:rsidRPr="00746E61" w14:paraId="051BB4D6" w14:textId="77777777" w:rsidTr="00A36191">
        <w:trPr>
          <w:trHeight w:val="290"/>
          <w:jc w:val="center"/>
        </w:trPr>
        <w:tc>
          <w:tcPr>
            <w:tcW w:w="2639" w:type="dxa"/>
            <w:tcBorders>
              <w:top w:val="nil"/>
              <w:left w:val="single" w:sz="4" w:space="0" w:color="auto"/>
              <w:bottom w:val="single" w:sz="4" w:space="0" w:color="auto"/>
              <w:right w:val="single" w:sz="4" w:space="0" w:color="auto"/>
            </w:tcBorders>
            <w:shd w:val="clear" w:color="auto" w:fill="auto"/>
            <w:noWrap/>
            <w:vAlign w:val="center"/>
            <w:hideMark/>
          </w:tcPr>
          <w:p w14:paraId="601C0EE6" w14:textId="77777777" w:rsidR="00A36191" w:rsidRPr="00746E61" w:rsidRDefault="00A36191" w:rsidP="00746E61">
            <w:pPr>
              <w:spacing w:line="276" w:lineRule="auto"/>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Juzgado Penal</w:t>
            </w:r>
          </w:p>
        </w:tc>
        <w:tc>
          <w:tcPr>
            <w:tcW w:w="1160" w:type="dxa"/>
            <w:tcBorders>
              <w:top w:val="nil"/>
              <w:left w:val="nil"/>
              <w:bottom w:val="single" w:sz="4" w:space="0" w:color="auto"/>
              <w:right w:val="single" w:sz="4" w:space="0" w:color="auto"/>
            </w:tcBorders>
            <w:shd w:val="clear" w:color="auto" w:fill="auto"/>
            <w:noWrap/>
            <w:vAlign w:val="center"/>
            <w:hideMark/>
          </w:tcPr>
          <w:p w14:paraId="2F74897D" w14:textId="77777777" w:rsidR="00A36191" w:rsidRPr="00746E61" w:rsidRDefault="00A36191"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22745</w:t>
            </w:r>
          </w:p>
        </w:tc>
        <w:tc>
          <w:tcPr>
            <w:tcW w:w="1429" w:type="dxa"/>
            <w:tcBorders>
              <w:top w:val="nil"/>
              <w:left w:val="nil"/>
              <w:bottom w:val="single" w:sz="4" w:space="0" w:color="auto"/>
              <w:right w:val="single" w:sz="4" w:space="0" w:color="auto"/>
            </w:tcBorders>
            <w:shd w:val="clear" w:color="auto" w:fill="auto"/>
            <w:noWrap/>
            <w:vAlign w:val="center"/>
            <w:hideMark/>
          </w:tcPr>
          <w:p w14:paraId="24CB4486" w14:textId="77777777" w:rsidR="00A36191" w:rsidRPr="00746E61" w:rsidRDefault="00A36191"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5193</w:t>
            </w:r>
          </w:p>
        </w:tc>
        <w:tc>
          <w:tcPr>
            <w:tcW w:w="1460" w:type="dxa"/>
            <w:tcBorders>
              <w:top w:val="nil"/>
              <w:left w:val="nil"/>
              <w:bottom w:val="single" w:sz="4" w:space="0" w:color="auto"/>
              <w:right w:val="single" w:sz="4" w:space="0" w:color="auto"/>
            </w:tcBorders>
            <w:shd w:val="clear" w:color="auto" w:fill="auto"/>
            <w:noWrap/>
            <w:vAlign w:val="center"/>
            <w:hideMark/>
          </w:tcPr>
          <w:p w14:paraId="2510806E" w14:textId="77777777" w:rsidR="00A36191" w:rsidRPr="00746E61" w:rsidRDefault="00A36191"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23%</w:t>
            </w:r>
          </w:p>
        </w:tc>
      </w:tr>
      <w:tr w:rsidR="00A36191" w:rsidRPr="00746E61" w14:paraId="77B670F4" w14:textId="77777777" w:rsidTr="00A36191">
        <w:trPr>
          <w:trHeight w:val="290"/>
          <w:jc w:val="center"/>
        </w:trPr>
        <w:tc>
          <w:tcPr>
            <w:tcW w:w="2639" w:type="dxa"/>
            <w:tcBorders>
              <w:top w:val="nil"/>
              <w:left w:val="single" w:sz="4" w:space="0" w:color="auto"/>
              <w:bottom w:val="single" w:sz="4" w:space="0" w:color="auto"/>
              <w:right w:val="single" w:sz="4" w:space="0" w:color="auto"/>
            </w:tcBorders>
            <w:shd w:val="clear" w:color="auto" w:fill="auto"/>
            <w:noWrap/>
            <w:vAlign w:val="center"/>
            <w:hideMark/>
          </w:tcPr>
          <w:p w14:paraId="12F5240D" w14:textId="77777777" w:rsidR="00A36191" w:rsidRPr="00746E61" w:rsidRDefault="00A36191" w:rsidP="00746E61">
            <w:pPr>
              <w:spacing w:line="276" w:lineRule="auto"/>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Tribunal Penal</w:t>
            </w:r>
          </w:p>
        </w:tc>
        <w:tc>
          <w:tcPr>
            <w:tcW w:w="1160" w:type="dxa"/>
            <w:tcBorders>
              <w:top w:val="nil"/>
              <w:left w:val="nil"/>
              <w:bottom w:val="single" w:sz="4" w:space="0" w:color="auto"/>
              <w:right w:val="single" w:sz="4" w:space="0" w:color="auto"/>
            </w:tcBorders>
            <w:shd w:val="clear" w:color="auto" w:fill="auto"/>
            <w:noWrap/>
            <w:vAlign w:val="center"/>
            <w:hideMark/>
          </w:tcPr>
          <w:p w14:paraId="6174C3F0" w14:textId="77777777" w:rsidR="00A36191" w:rsidRPr="00746E61" w:rsidRDefault="00A36191"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10059</w:t>
            </w:r>
          </w:p>
        </w:tc>
        <w:tc>
          <w:tcPr>
            <w:tcW w:w="1429" w:type="dxa"/>
            <w:tcBorders>
              <w:top w:val="nil"/>
              <w:left w:val="nil"/>
              <w:bottom w:val="single" w:sz="4" w:space="0" w:color="auto"/>
              <w:right w:val="single" w:sz="4" w:space="0" w:color="auto"/>
            </w:tcBorders>
            <w:shd w:val="clear" w:color="auto" w:fill="auto"/>
            <w:noWrap/>
            <w:vAlign w:val="center"/>
            <w:hideMark/>
          </w:tcPr>
          <w:p w14:paraId="578DB763" w14:textId="77777777" w:rsidR="00A36191" w:rsidRPr="00746E61" w:rsidRDefault="00A36191"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302</w:t>
            </w:r>
          </w:p>
        </w:tc>
        <w:tc>
          <w:tcPr>
            <w:tcW w:w="1460" w:type="dxa"/>
            <w:tcBorders>
              <w:top w:val="nil"/>
              <w:left w:val="nil"/>
              <w:bottom w:val="single" w:sz="4" w:space="0" w:color="auto"/>
              <w:right w:val="single" w:sz="4" w:space="0" w:color="auto"/>
            </w:tcBorders>
            <w:shd w:val="clear" w:color="auto" w:fill="auto"/>
            <w:noWrap/>
            <w:vAlign w:val="center"/>
            <w:hideMark/>
          </w:tcPr>
          <w:p w14:paraId="72C12BB3" w14:textId="77777777" w:rsidR="00A36191" w:rsidRPr="00746E61" w:rsidRDefault="00A36191"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3%</w:t>
            </w:r>
          </w:p>
        </w:tc>
      </w:tr>
      <w:tr w:rsidR="00A36191" w:rsidRPr="00746E61" w14:paraId="0E049729" w14:textId="77777777" w:rsidTr="00A36191">
        <w:trPr>
          <w:trHeight w:val="290"/>
          <w:jc w:val="center"/>
        </w:trPr>
        <w:tc>
          <w:tcPr>
            <w:tcW w:w="2639" w:type="dxa"/>
            <w:tcBorders>
              <w:top w:val="nil"/>
              <w:left w:val="single" w:sz="4" w:space="0" w:color="auto"/>
              <w:bottom w:val="single" w:sz="4" w:space="0" w:color="auto"/>
              <w:right w:val="single" w:sz="4" w:space="0" w:color="auto"/>
            </w:tcBorders>
            <w:shd w:val="clear" w:color="auto" w:fill="auto"/>
            <w:noWrap/>
            <w:vAlign w:val="center"/>
            <w:hideMark/>
          </w:tcPr>
          <w:p w14:paraId="2D183575" w14:textId="43C40F7E" w:rsidR="00A36191" w:rsidRPr="00746E61" w:rsidRDefault="00A36191" w:rsidP="00746E61">
            <w:pPr>
              <w:spacing w:line="276" w:lineRule="auto"/>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Tribunal Penal (Flagrancia)</w:t>
            </w:r>
          </w:p>
        </w:tc>
        <w:tc>
          <w:tcPr>
            <w:tcW w:w="1160" w:type="dxa"/>
            <w:tcBorders>
              <w:top w:val="nil"/>
              <w:left w:val="nil"/>
              <w:bottom w:val="single" w:sz="4" w:space="0" w:color="auto"/>
              <w:right w:val="single" w:sz="4" w:space="0" w:color="auto"/>
            </w:tcBorders>
            <w:shd w:val="clear" w:color="auto" w:fill="auto"/>
            <w:noWrap/>
            <w:vAlign w:val="center"/>
            <w:hideMark/>
          </w:tcPr>
          <w:p w14:paraId="14C783E0" w14:textId="77777777" w:rsidR="00A36191" w:rsidRPr="00746E61" w:rsidRDefault="00A36191"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4321</w:t>
            </w:r>
          </w:p>
        </w:tc>
        <w:tc>
          <w:tcPr>
            <w:tcW w:w="1429" w:type="dxa"/>
            <w:tcBorders>
              <w:top w:val="nil"/>
              <w:left w:val="nil"/>
              <w:bottom w:val="single" w:sz="4" w:space="0" w:color="auto"/>
              <w:right w:val="single" w:sz="4" w:space="0" w:color="auto"/>
            </w:tcBorders>
            <w:shd w:val="clear" w:color="auto" w:fill="auto"/>
            <w:noWrap/>
            <w:vAlign w:val="center"/>
            <w:hideMark/>
          </w:tcPr>
          <w:p w14:paraId="451AEEF5" w14:textId="77777777" w:rsidR="00A36191" w:rsidRPr="00746E61" w:rsidRDefault="00A36191"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82</w:t>
            </w:r>
          </w:p>
        </w:tc>
        <w:tc>
          <w:tcPr>
            <w:tcW w:w="1460" w:type="dxa"/>
            <w:tcBorders>
              <w:top w:val="nil"/>
              <w:left w:val="nil"/>
              <w:bottom w:val="single" w:sz="4" w:space="0" w:color="auto"/>
              <w:right w:val="single" w:sz="4" w:space="0" w:color="auto"/>
            </w:tcBorders>
            <w:shd w:val="clear" w:color="auto" w:fill="auto"/>
            <w:noWrap/>
            <w:vAlign w:val="center"/>
            <w:hideMark/>
          </w:tcPr>
          <w:p w14:paraId="354E0AE4" w14:textId="77777777" w:rsidR="00A36191" w:rsidRPr="00746E61" w:rsidRDefault="00A36191"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2%</w:t>
            </w:r>
          </w:p>
        </w:tc>
      </w:tr>
    </w:tbl>
    <w:p w14:paraId="598944F1" w14:textId="77777777" w:rsidR="00A36191" w:rsidRPr="00746E61" w:rsidRDefault="004406D5" w:rsidP="00746E61">
      <w:pPr>
        <w:spacing w:after="160" w:line="276" w:lineRule="auto"/>
        <w:jc w:val="both"/>
        <w:rPr>
          <w:rFonts w:ascii="Book Antiqua" w:hAnsi="Book Antiqua" w:cs="Calibri"/>
          <w:color w:val="000000"/>
          <w:sz w:val="20"/>
          <w:szCs w:val="20"/>
          <w:lang w:eastAsia="es-CR"/>
        </w:rPr>
      </w:pPr>
      <w:r w:rsidRPr="00746E61">
        <w:rPr>
          <w:rFonts w:ascii="Book Antiqua" w:hAnsi="Book Antiqua" w:cs="Calibri"/>
          <w:color w:val="000000"/>
          <w:sz w:val="20"/>
          <w:szCs w:val="20"/>
          <w:lang w:eastAsia="es-CR"/>
        </w:rPr>
        <w:t xml:space="preserve">Nota: el porcentaje de </w:t>
      </w:r>
      <w:r w:rsidR="004A465A" w:rsidRPr="00746E61">
        <w:rPr>
          <w:rFonts w:ascii="Book Antiqua" w:hAnsi="Book Antiqua" w:cs="Calibri"/>
          <w:color w:val="000000"/>
          <w:sz w:val="20"/>
          <w:szCs w:val="20"/>
          <w:lang w:eastAsia="es-CR"/>
        </w:rPr>
        <w:t>videoconferencia</w:t>
      </w:r>
      <w:r w:rsidRPr="00746E61">
        <w:rPr>
          <w:rFonts w:ascii="Book Antiqua" w:hAnsi="Book Antiqua" w:cs="Calibri"/>
          <w:color w:val="000000"/>
          <w:sz w:val="20"/>
          <w:szCs w:val="20"/>
          <w:lang w:eastAsia="es-CR"/>
        </w:rPr>
        <w:t xml:space="preserve"> se refiere a la relación proporcional de estas </w:t>
      </w:r>
      <w:r w:rsidR="00A36191" w:rsidRPr="00746E61">
        <w:rPr>
          <w:rFonts w:ascii="Book Antiqua" w:hAnsi="Book Antiqua" w:cs="Calibri"/>
          <w:color w:val="000000"/>
          <w:sz w:val="20"/>
          <w:szCs w:val="20"/>
          <w:lang w:eastAsia="es-CR"/>
        </w:rPr>
        <w:t>con respecto a</w:t>
      </w:r>
      <w:r w:rsidRPr="00746E61">
        <w:rPr>
          <w:rFonts w:ascii="Book Antiqua" w:hAnsi="Book Antiqua" w:cs="Calibri"/>
          <w:color w:val="000000"/>
          <w:sz w:val="20"/>
          <w:szCs w:val="20"/>
          <w:lang w:eastAsia="es-CR"/>
        </w:rPr>
        <w:t xml:space="preserve"> las audiencias realizadas; es decir, videoconferencia/realizadas.</w:t>
      </w:r>
    </w:p>
    <w:p w14:paraId="22EE3FD8" w14:textId="2D0E6574" w:rsidR="00A36191" w:rsidRPr="00746E61" w:rsidRDefault="0059268A" w:rsidP="00746E61">
      <w:pPr>
        <w:spacing w:after="160" w:line="276" w:lineRule="auto"/>
        <w:jc w:val="both"/>
        <w:rPr>
          <w:rFonts w:ascii="Book Antiqua" w:hAnsi="Book Antiqua" w:cs="Calibri"/>
          <w:color w:val="000000"/>
          <w:sz w:val="20"/>
          <w:szCs w:val="20"/>
          <w:lang w:eastAsia="es-CR"/>
        </w:rPr>
      </w:pPr>
      <w:r w:rsidRPr="00746E61">
        <w:rPr>
          <w:rFonts w:ascii="Book Antiqua" w:hAnsi="Book Antiqua" w:cs="Calibri"/>
          <w:b/>
          <w:bCs/>
          <w:color w:val="000000"/>
          <w:sz w:val="20"/>
          <w:szCs w:val="20"/>
          <w:lang w:eastAsia="es-CR"/>
        </w:rPr>
        <w:t>Fuente:</w:t>
      </w:r>
      <w:r w:rsidRPr="00746E61">
        <w:rPr>
          <w:rFonts w:ascii="Book Antiqua" w:hAnsi="Book Antiqua" w:cs="Calibri"/>
          <w:color w:val="000000"/>
          <w:sz w:val="20"/>
          <w:szCs w:val="20"/>
          <w:lang w:eastAsia="es-CR"/>
        </w:rPr>
        <w:t xml:space="preserve"> Elaboración propia a partir de las estadísticas del Subproceso de Estadística</w:t>
      </w:r>
    </w:p>
    <w:p w14:paraId="27DFE493" w14:textId="157A2644" w:rsidR="008D7DB8" w:rsidRPr="00746E61" w:rsidRDefault="00224747" w:rsidP="00746E61">
      <w:pPr>
        <w:spacing w:after="160" w:line="276" w:lineRule="auto"/>
        <w:jc w:val="both"/>
        <w:rPr>
          <w:rFonts w:ascii="Book Antiqua" w:hAnsi="Book Antiqua"/>
          <w:lang w:val="es-ES_tradnl" w:eastAsia="en-US"/>
        </w:rPr>
      </w:pPr>
      <w:r>
        <w:rPr>
          <w:rFonts w:ascii="Book Antiqua" w:hAnsi="Book Antiqua"/>
          <w:lang w:val="es-ES_tradnl" w:eastAsia="en-US"/>
        </w:rPr>
        <w:t xml:space="preserve">El comportamiento de la virtualidad se comporta de acuerdo con su especificidad. </w:t>
      </w:r>
      <w:r w:rsidR="00945C91" w:rsidRPr="00746E61">
        <w:rPr>
          <w:rFonts w:ascii="Book Antiqua" w:hAnsi="Book Antiqua"/>
          <w:lang w:val="es-ES_tradnl" w:eastAsia="en-US"/>
        </w:rPr>
        <w:t xml:space="preserve">La materia que reporta la mayor cantidad de audiencias virtuales es Laboral con </w:t>
      </w:r>
      <w:r w:rsidR="00A36191" w:rsidRPr="00746E61">
        <w:rPr>
          <w:rFonts w:ascii="Book Antiqua" w:hAnsi="Book Antiqua"/>
          <w:lang w:val="es-ES_tradnl" w:eastAsia="en-US"/>
        </w:rPr>
        <w:t>7350</w:t>
      </w:r>
      <w:r w:rsidR="004406D5" w:rsidRPr="00746E61">
        <w:rPr>
          <w:rFonts w:ascii="Book Antiqua" w:hAnsi="Book Antiqua"/>
          <w:lang w:val="es-ES_tradnl" w:eastAsia="en-US"/>
        </w:rPr>
        <w:t xml:space="preserve"> efectuadas</w:t>
      </w:r>
      <w:r w:rsidR="007D17BA" w:rsidRPr="00746E61">
        <w:rPr>
          <w:rFonts w:ascii="Book Antiqua" w:hAnsi="Book Antiqua"/>
          <w:lang w:val="es-ES_tradnl" w:eastAsia="en-US"/>
        </w:rPr>
        <w:t xml:space="preserve">, esto se originó a partir </w:t>
      </w:r>
      <w:r w:rsidR="004406D5" w:rsidRPr="00746E61">
        <w:rPr>
          <w:rFonts w:ascii="Book Antiqua" w:hAnsi="Book Antiqua"/>
          <w:lang w:val="es-ES_tradnl" w:eastAsia="en-US"/>
        </w:rPr>
        <w:t>del 2021,</w:t>
      </w:r>
      <w:r w:rsidR="007D17BA" w:rsidRPr="00746E61">
        <w:rPr>
          <w:rFonts w:ascii="Book Antiqua" w:hAnsi="Book Antiqua"/>
          <w:lang w:val="es-ES_tradnl" w:eastAsia="en-US"/>
        </w:rPr>
        <w:t xml:space="preserve"> con las nuevas disposiciones emitidas por la Corte y el seguimiento que se ha dado en la jurisdicción laboral, es importante destacar que mediante el informe 7-PLA-MI-2021 y 13-CJL-2020 57</w:t>
      </w:r>
      <w:r w:rsidR="00FF34AD" w:rsidRPr="00746E61">
        <w:rPr>
          <w:rFonts w:ascii="Book Antiqua" w:hAnsi="Book Antiqua"/>
          <w:lang w:val="es-ES_tradnl" w:eastAsia="en-US"/>
        </w:rPr>
        <w:t>2</w:t>
      </w:r>
      <w:r w:rsidR="007D17BA" w:rsidRPr="00746E61">
        <w:rPr>
          <w:rFonts w:ascii="Book Antiqua" w:hAnsi="Book Antiqua"/>
          <w:lang w:val="es-ES_tradnl" w:eastAsia="en-US"/>
        </w:rPr>
        <w:t xml:space="preserve">-PLA-21 se definieron nuevas cuotas de fallo y celebración de audiencias, incorporando una segregación por cuantía, en total se pasó de 12 audiencias </w:t>
      </w:r>
      <w:r w:rsidR="00FF34AD" w:rsidRPr="00746E61">
        <w:rPr>
          <w:rFonts w:ascii="Book Antiqua" w:hAnsi="Book Antiqua"/>
          <w:lang w:val="es-ES_tradnl" w:eastAsia="en-US"/>
        </w:rPr>
        <w:t xml:space="preserve">a solicitar 16 audiencias (10 de menor y 6 de mayor cuantía), la cuota de 16 asuntos fenecidos por sentencia a 19. En el caso del Juzgado de Trabajo de Pococí, la cuota pasó a 25 sentencias y 12 audiencias, al tener una proporción en la entrada de Seguridad Social de 40%, superior a sus homólogos. </w:t>
      </w:r>
    </w:p>
    <w:p w14:paraId="013082C8" w14:textId="36BA7A44" w:rsidR="00584987" w:rsidRPr="00746E61" w:rsidRDefault="00FF34AD" w:rsidP="00746E61">
      <w:pPr>
        <w:spacing w:after="160" w:line="276" w:lineRule="auto"/>
        <w:jc w:val="both"/>
        <w:rPr>
          <w:rFonts w:ascii="Book Antiqua" w:hAnsi="Book Antiqua"/>
          <w:lang w:val="es-ES_tradnl" w:eastAsia="en-US"/>
        </w:rPr>
      </w:pPr>
      <w:r w:rsidRPr="00746E61">
        <w:rPr>
          <w:rFonts w:ascii="Book Antiqua" w:hAnsi="Book Antiqua"/>
          <w:lang w:val="es-ES_tradnl" w:eastAsia="en-US"/>
        </w:rPr>
        <w:t>El acuerdo del Consejo Superior donde se autorizaron esos parámetros de producción fue aprobado en sesión 7-2021 del 26 de enero de 2021, artículo XL (informe 7-PLA-MI-2021) y el 13-CJL-2020 571-PLA-21, se aprobó en la sesión 49-21 del 15 de junio de 2021, artículo XII.</w:t>
      </w:r>
      <w:r w:rsidR="00224747">
        <w:rPr>
          <w:rFonts w:ascii="Book Antiqua" w:hAnsi="Book Antiqua"/>
          <w:lang w:val="es-ES_tradnl" w:eastAsia="en-US"/>
        </w:rPr>
        <w:t xml:space="preserve"> Esto impulsa la recuperación de las audiencias que no se habían podido realizar en el 2020. </w:t>
      </w:r>
    </w:p>
    <w:p w14:paraId="016020AF" w14:textId="2DE94B7A" w:rsidR="00584987" w:rsidRPr="00746E61" w:rsidRDefault="00584987" w:rsidP="00746E61">
      <w:pPr>
        <w:spacing w:after="160" w:line="276" w:lineRule="auto"/>
        <w:jc w:val="both"/>
        <w:rPr>
          <w:rFonts w:ascii="Book Antiqua" w:hAnsi="Book Antiqua"/>
          <w:lang w:val="es-ES_tradnl" w:eastAsia="en-US"/>
        </w:rPr>
      </w:pPr>
    </w:p>
    <w:p w14:paraId="54705472" w14:textId="77777777" w:rsidR="006F775A" w:rsidRDefault="00222669" w:rsidP="00746E61">
      <w:pPr>
        <w:spacing w:after="160" w:line="276" w:lineRule="auto"/>
        <w:jc w:val="center"/>
        <w:rPr>
          <w:rFonts w:ascii="Book Antiqua" w:hAnsi="Book Antiqua"/>
          <w:b/>
          <w:bCs/>
          <w:lang w:val="es-ES_tradnl" w:eastAsia="en-US"/>
        </w:rPr>
      </w:pPr>
      <w:r w:rsidRPr="00746E61">
        <w:rPr>
          <w:rFonts w:ascii="Book Antiqua" w:hAnsi="Book Antiqua"/>
          <w:b/>
          <w:bCs/>
          <w:lang w:val="es-ES_tradnl" w:eastAsia="en-US"/>
        </w:rPr>
        <w:t xml:space="preserve">Cuadro </w:t>
      </w:r>
      <w:r w:rsidR="00FA7824" w:rsidRPr="00746E61">
        <w:rPr>
          <w:rFonts w:ascii="Book Antiqua" w:hAnsi="Book Antiqua"/>
          <w:b/>
          <w:bCs/>
          <w:lang w:val="es-ES_tradnl" w:eastAsia="en-US"/>
        </w:rPr>
        <w:t>1</w:t>
      </w:r>
      <w:r w:rsidR="00BD04F8" w:rsidRPr="00746E61">
        <w:rPr>
          <w:rFonts w:ascii="Book Antiqua" w:hAnsi="Book Antiqua"/>
          <w:b/>
          <w:bCs/>
          <w:lang w:val="es-ES_tradnl" w:eastAsia="en-US"/>
        </w:rPr>
        <w:t>2</w:t>
      </w:r>
    </w:p>
    <w:p w14:paraId="2C3D4D18" w14:textId="2457B966" w:rsidR="00B63061" w:rsidRPr="00746E61" w:rsidRDefault="008D7DB8" w:rsidP="00746E61">
      <w:pPr>
        <w:spacing w:after="160" w:line="276" w:lineRule="auto"/>
        <w:jc w:val="center"/>
        <w:rPr>
          <w:rFonts w:ascii="Book Antiqua" w:hAnsi="Book Antiqua"/>
          <w:b/>
          <w:bCs/>
          <w:lang w:val="es-ES_tradnl" w:eastAsia="en-US"/>
        </w:rPr>
      </w:pPr>
      <w:r w:rsidRPr="00746E61">
        <w:rPr>
          <w:rFonts w:ascii="Book Antiqua" w:hAnsi="Book Antiqua"/>
          <w:b/>
          <w:bCs/>
          <w:lang w:val="es-ES_tradnl" w:eastAsia="en-US"/>
        </w:rPr>
        <w:t>U</w:t>
      </w:r>
      <w:r w:rsidR="00222669" w:rsidRPr="00746E61">
        <w:rPr>
          <w:rFonts w:ascii="Book Antiqua" w:hAnsi="Book Antiqua"/>
          <w:b/>
          <w:bCs/>
          <w:lang w:val="es-ES_tradnl" w:eastAsia="en-US"/>
        </w:rPr>
        <w:t>tilización de la videoconferencia</w:t>
      </w:r>
      <w:r w:rsidRPr="00746E61">
        <w:rPr>
          <w:rFonts w:ascii="Book Antiqua" w:hAnsi="Book Antiqua"/>
          <w:b/>
          <w:bCs/>
          <w:lang w:val="es-ES_tradnl" w:eastAsia="en-US"/>
        </w:rPr>
        <w:t xml:space="preserve"> entre </w:t>
      </w:r>
    </w:p>
    <w:p w14:paraId="0A15ABAF" w14:textId="14398562" w:rsidR="00AE5448" w:rsidRPr="00746E61" w:rsidRDefault="008D7DB8" w:rsidP="00746E61">
      <w:pPr>
        <w:spacing w:after="160" w:line="276" w:lineRule="auto"/>
        <w:jc w:val="center"/>
        <w:rPr>
          <w:rFonts w:ascii="Book Antiqua" w:hAnsi="Book Antiqua"/>
          <w:b/>
          <w:bCs/>
          <w:lang w:val="es-ES_tradnl" w:eastAsia="en-US"/>
        </w:rPr>
      </w:pPr>
      <w:r w:rsidRPr="00746E61">
        <w:rPr>
          <w:rFonts w:ascii="Book Antiqua" w:hAnsi="Book Antiqua"/>
          <w:b/>
          <w:bCs/>
          <w:lang w:val="es-ES_tradnl" w:eastAsia="en-US"/>
        </w:rPr>
        <w:t xml:space="preserve">enero y </w:t>
      </w:r>
      <w:r w:rsidR="00B63061" w:rsidRPr="00746E61">
        <w:rPr>
          <w:rFonts w:ascii="Book Antiqua" w:hAnsi="Book Antiqua"/>
          <w:b/>
          <w:bCs/>
          <w:lang w:val="es-ES_tradnl" w:eastAsia="en-US"/>
        </w:rPr>
        <w:t>setiembre</w:t>
      </w:r>
      <w:r w:rsidR="00584987" w:rsidRPr="00746E61">
        <w:rPr>
          <w:rFonts w:ascii="Book Antiqua" w:hAnsi="Book Antiqua"/>
          <w:b/>
          <w:bCs/>
          <w:lang w:val="es-ES_tradnl" w:eastAsia="en-US"/>
        </w:rPr>
        <w:t xml:space="preserve"> </w:t>
      </w:r>
      <w:r w:rsidRPr="00746E61">
        <w:rPr>
          <w:rFonts w:ascii="Book Antiqua" w:hAnsi="Book Antiqua"/>
          <w:b/>
          <w:bCs/>
          <w:lang w:val="es-ES_tradnl" w:eastAsia="en-US"/>
        </w:rPr>
        <w:t>2021 por materia</w:t>
      </w:r>
      <w:r w:rsidR="005E7001">
        <w:rPr>
          <w:rFonts w:ascii="Book Antiqua" w:hAnsi="Book Antiqua"/>
          <w:b/>
          <w:bCs/>
          <w:lang w:val="es-ES_tradnl" w:eastAsia="en-US"/>
        </w:rPr>
        <w:t xml:space="preserve"> (datos registrados en el Sistema SIGMA) </w:t>
      </w:r>
    </w:p>
    <w:tbl>
      <w:tblPr>
        <w:tblW w:w="10630" w:type="dxa"/>
        <w:jc w:val="center"/>
        <w:tblCellMar>
          <w:left w:w="70" w:type="dxa"/>
          <w:right w:w="70" w:type="dxa"/>
        </w:tblCellMar>
        <w:tblLook w:val="04A0" w:firstRow="1" w:lastRow="0" w:firstColumn="1" w:lastColumn="0" w:noHBand="0" w:noVBand="1"/>
      </w:tblPr>
      <w:tblGrid>
        <w:gridCol w:w="2432"/>
        <w:gridCol w:w="682"/>
        <w:gridCol w:w="850"/>
        <w:gridCol w:w="851"/>
        <w:gridCol w:w="850"/>
        <w:gridCol w:w="851"/>
        <w:gridCol w:w="850"/>
        <w:gridCol w:w="709"/>
        <w:gridCol w:w="851"/>
        <w:gridCol w:w="708"/>
        <w:gridCol w:w="996"/>
      </w:tblGrid>
      <w:tr w:rsidR="004941E4" w:rsidRPr="00746E61" w14:paraId="3B6C361A" w14:textId="77777777" w:rsidTr="00B74477">
        <w:trPr>
          <w:trHeight w:val="536"/>
          <w:jc w:val="center"/>
        </w:trPr>
        <w:tc>
          <w:tcPr>
            <w:tcW w:w="2432" w:type="dxa"/>
            <w:tcBorders>
              <w:top w:val="single" w:sz="4" w:space="0" w:color="auto"/>
              <w:left w:val="single" w:sz="4" w:space="0" w:color="auto"/>
              <w:bottom w:val="single" w:sz="4" w:space="0" w:color="auto"/>
              <w:right w:val="single" w:sz="4" w:space="0" w:color="auto"/>
            </w:tcBorders>
            <w:shd w:val="clear" w:color="000000" w:fill="305496"/>
            <w:noWrap/>
            <w:vAlign w:val="center"/>
            <w:hideMark/>
          </w:tcPr>
          <w:p w14:paraId="28D5BD76" w14:textId="77777777" w:rsidR="004941E4" w:rsidRPr="00746E61" w:rsidRDefault="004941E4" w:rsidP="00746E61">
            <w:pPr>
              <w:spacing w:line="276" w:lineRule="auto"/>
              <w:jc w:val="center"/>
              <w:rPr>
                <w:rFonts w:ascii="Book Antiqua" w:hAnsi="Book Antiqua" w:cs="Calibri"/>
                <w:b/>
                <w:bCs/>
                <w:color w:val="FFFFFF"/>
                <w:sz w:val="16"/>
                <w:szCs w:val="16"/>
                <w:lang w:eastAsia="es-CR"/>
              </w:rPr>
            </w:pPr>
            <w:r w:rsidRPr="00746E61">
              <w:rPr>
                <w:rFonts w:ascii="Book Antiqua" w:hAnsi="Book Antiqua" w:cs="Calibri"/>
                <w:b/>
                <w:bCs/>
                <w:color w:val="FFFFFF"/>
                <w:sz w:val="16"/>
                <w:szCs w:val="16"/>
                <w:lang w:eastAsia="es-CR"/>
              </w:rPr>
              <w:t>Materia</w:t>
            </w:r>
          </w:p>
        </w:tc>
        <w:tc>
          <w:tcPr>
            <w:tcW w:w="682" w:type="dxa"/>
            <w:tcBorders>
              <w:top w:val="single" w:sz="4" w:space="0" w:color="auto"/>
              <w:left w:val="nil"/>
              <w:bottom w:val="single" w:sz="4" w:space="0" w:color="auto"/>
              <w:right w:val="single" w:sz="4" w:space="0" w:color="auto"/>
            </w:tcBorders>
            <w:shd w:val="clear" w:color="000000" w:fill="305496"/>
            <w:noWrap/>
            <w:vAlign w:val="center"/>
            <w:hideMark/>
          </w:tcPr>
          <w:p w14:paraId="2AD20D71" w14:textId="77777777" w:rsidR="004941E4" w:rsidRPr="00746E61" w:rsidRDefault="004941E4" w:rsidP="00746E61">
            <w:pPr>
              <w:spacing w:line="276" w:lineRule="auto"/>
              <w:jc w:val="center"/>
              <w:rPr>
                <w:rFonts w:ascii="Book Antiqua" w:hAnsi="Book Antiqua" w:cs="Calibri"/>
                <w:b/>
                <w:bCs/>
                <w:color w:val="FFFFFF"/>
                <w:sz w:val="16"/>
                <w:szCs w:val="16"/>
                <w:lang w:eastAsia="es-CR"/>
              </w:rPr>
            </w:pPr>
            <w:r w:rsidRPr="00746E61">
              <w:rPr>
                <w:rFonts w:ascii="Book Antiqua" w:hAnsi="Book Antiqua" w:cs="Calibri"/>
                <w:b/>
                <w:bCs/>
                <w:color w:val="FFFFFF"/>
                <w:sz w:val="16"/>
                <w:szCs w:val="16"/>
                <w:lang w:eastAsia="es-CR"/>
              </w:rPr>
              <w:t>ene-21</w:t>
            </w:r>
          </w:p>
        </w:tc>
        <w:tc>
          <w:tcPr>
            <w:tcW w:w="850" w:type="dxa"/>
            <w:tcBorders>
              <w:top w:val="single" w:sz="4" w:space="0" w:color="auto"/>
              <w:left w:val="nil"/>
              <w:bottom w:val="single" w:sz="4" w:space="0" w:color="auto"/>
              <w:right w:val="single" w:sz="4" w:space="0" w:color="auto"/>
            </w:tcBorders>
            <w:shd w:val="clear" w:color="000000" w:fill="305496"/>
            <w:noWrap/>
            <w:vAlign w:val="center"/>
            <w:hideMark/>
          </w:tcPr>
          <w:p w14:paraId="575A7D05" w14:textId="77777777" w:rsidR="004941E4" w:rsidRPr="00746E61" w:rsidRDefault="004941E4" w:rsidP="00746E61">
            <w:pPr>
              <w:spacing w:line="276" w:lineRule="auto"/>
              <w:jc w:val="center"/>
              <w:rPr>
                <w:rFonts w:ascii="Book Antiqua" w:hAnsi="Book Antiqua" w:cs="Calibri"/>
                <w:b/>
                <w:bCs/>
                <w:color w:val="FFFFFF"/>
                <w:sz w:val="16"/>
                <w:szCs w:val="16"/>
                <w:lang w:eastAsia="es-CR"/>
              </w:rPr>
            </w:pPr>
            <w:r w:rsidRPr="00746E61">
              <w:rPr>
                <w:rFonts w:ascii="Book Antiqua" w:hAnsi="Book Antiqua" w:cs="Calibri"/>
                <w:b/>
                <w:bCs/>
                <w:color w:val="FFFFFF"/>
                <w:sz w:val="16"/>
                <w:szCs w:val="16"/>
                <w:lang w:eastAsia="es-CR"/>
              </w:rPr>
              <w:t>feb-21</w:t>
            </w:r>
          </w:p>
        </w:tc>
        <w:tc>
          <w:tcPr>
            <w:tcW w:w="851" w:type="dxa"/>
            <w:tcBorders>
              <w:top w:val="single" w:sz="4" w:space="0" w:color="auto"/>
              <w:left w:val="nil"/>
              <w:bottom w:val="single" w:sz="4" w:space="0" w:color="auto"/>
              <w:right w:val="single" w:sz="4" w:space="0" w:color="auto"/>
            </w:tcBorders>
            <w:shd w:val="clear" w:color="000000" w:fill="305496"/>
            <w:noWrap/>
            <w:vAlign w:val="center"/>
            <w:hideMark/>
          </w:tcPr>
          <w:p w14:paraId="457B01E8" w14:textId="77777777" w:rsidR="004941E4" w:rsidRPr="00746E61" w:rsidRDefault="004941E4" w:rsidP="00746E61">
            <w:pPr>
              <w:spacing w:line="276" w:lineRule="auto"/>
              <w:jc w:val="center"/>
              <w:rPr>
                <w:rFonts w:ascii="Book Antiqua" w:hAnsi="Book Antiqua" w:cs="Calibri"/>
                <w:b/>
                <w:bCs/>
                <w:color w:val="FFFFFF"/>
                <w:sz w:val="16"/>
                <w:szCs w:val="16"/>
                <w:lang w:eastAsia="es-CR"/>
              </w:rPr>
            </w:pPr>
            <w:r w:rsidRPr="00746E61">
              <w:rPr>
                <w:rFonts w:ascii="Book Antiqua" w:hAnsi="Book Antiqua" w:cs="Calibri"/>
                <w:b/>
                <w:bCs/>
                <w:color w:val="FFFFFF"/>
                <w:sz w:val="16"/>
                <w:szCs w:val="16"/>
                <w:lang w:eastAsia="es-CR"/>
              </w:rPr>
              <w:t>mar-21</w:t>
            </w:r>
          </w:p>
        </w:tc>
        <w:tc>
          <w:tcPr>
            <w:tcW w:w="850" w:type="dxa"/>
            <w:tcBorders>
              <w:top w:val="single" w:sz="4" w:space="0" w:color="auto"/>
              <w:left w:val="nil"/>
              <w:bottom w:val="single" w:sz="4" w:space="0" w:color="auto"/>
              <w:right w:val="single" w:sz="4" w:space="0" w:color="auto"/>
            </w:tcBorders>
            <w:shd w:val="clear" w:color="000000" w:fill="305496"/>
            <w:noWrap/>
            <w:vAlign w:val="center"/>
            <w:hideMark/>
          </w:tcPr>
          <w:p w14:paraId="1B04FA00" w14:textId="77777777" w:rsidR="004941E4" w:rsidRPr="00746E61" w:rsidRDefault="004941E4" w:rsidP="00746E61">
            <w:pPr>
              <w:spacing w:line="276" w:lineRule="auto"/>
              <w:jc w:val="center"/>
              <w:rPr>
                <w:rFonts w:ascii="Book Antiqua" w:hAnsi="Book Antiqua" w:cs="Calibri"/>
                <w:b/>
                <w:bCs/>
                <w:color w:val="FFFFFF"/>
                <w:sz w:val="16"/>
                <w:szCs w:val="16"/>
                <w:lang w:eastAsia="es-CR"/>
              </w:rPr>
            </w:pPr>
            <w:r w:rsidRPr="00746E61">
              <w:rPr>
                <w:rFonts w:ascii="Book Antiqua" w:hAnsi="Book Antiqua" w:cs="Calibri"/>
                <w:b/>
                <w:bCs/>
                <w:color w:val="FFFFFF"/>
                <w:sz w:val="16"/>
                <w:szCs w:val="16"/>
                <w:lang w:eastAsia="es-CR"/>
              </w:rPr>
              <w:t>abr-21</w:t>
            </w:r>
          </w:p>
        </w:tc>
        <w:tc>
          <w:tcPr>
            <w:tcW w:w="851" w:type="dxa"/>
            <w:tcBorders>
              <w:top w:val="single" w:sz="4" w:space="0" w:color="auto"/>
              <w:left w:val="nil"/>
              <w:bottom w:val="single" w:sz="4" w:space="0" w:color="auto"/>
              <w:right w:val="single" w:sz="4" w:space="0" w:color="auto"/>
            </w:tcBorders>
            <w:shd w:val="clear" w:color="000000" w:fill="305496"/>
            <w:noWrap/>
            <w:vAlign w:val="center"/>
            <w:hideMark/>
          </w:tcPr>
          <w:p w14:paraId="28F787E0" w14:textId="77777777" w:rsidR="004941E4" w:rsidRPr="00746E61" w:rsidRDefault="004941E4" w:rsidP="00746E61">
            <w:pPr>
              <w:spacing w:line="276" w:lineRule="auto"/>
              <w:jc w:val="center"/>
              <w:rPr>
                <w:rFonts w:ascii="Book Antiqua" w:hAnsi="Book Antiqua" w:cs="Calibri"/>
                <w:b/>
                <w:bCs/>
                <w:color w:val="FFFFFF"/>
                <w:sz w:val="16"/>
                <w:szCs w:val="16"/>
                <w:lang w:eastAsia="es-CR"/>
              </w:rPr>
            </w:pPr>
            <w:r w:rsidRPr="00746E61">
              <w:rPr>
                <w:rFonts w:ascii="Book Antiqua" w:hAnsi="Book Antiqua" w:cs="Calibri"/>
                <w:b/>
                <w:bCs/>
                <w:color w:val="FFFFFF"/>
                <w:sz w:val="16"/>
                <w:szCs w:val="16"/>
                <w:lang w:eastAsia="es-CR"/>
              </w:rPr>
              <w:t>may-21</w:t>
            </w:r>
          </w:p>
        </w:tc>
        <w:tc>
          <w:tcPr>
            <w:tcW w:w="850" w:type="dxa"/>
            <w:tcBorders>
              <w:top w:val="single" w:sz="4" w:space="0" w:color="auto"/>
              <w:left w:val="nil"/>
              <w:bottom w:val="single" w:sz="4" w:space="0" w:color="auto"/>
              <w:right w:val="single" w:sz="4" w:space="0" w:color="auto"/>
            </w:tcBorders>
            <w:shd w:val="clear" w:color="000000" w:fill="305496"/>
            <w:noWrap/>
            <w:vAlign w:val="center"/>
            <w:hideMark/>
          </w:tcPr>
          <w:p w14:paraId="3B2466DB" w14:textId="77777777" w:rsidR="004941E4" w:rsidRPr="00746E61" w:rsidRDefault="004941E4" w:rsidP="00746E61">
            <w:pPr>
              <w:spacing w:line="276" w:lineRule="auto"/>
              <w:jc w:val="center"/>
              <w:rPr>
                <w:rFonts w:ascii="Book Antiqua" w:hAnsi="Book Antiqua" w:cs="Calibri"/>
                <w:b/>
                <w:bCs/>
                <w:color w:val="FFFFFF"/>
                <w:sz w:val="16"/>
                <w:szCs w:val="16"/>
                <w:lang w:eastAsia="es-CR"/>
              </w:rPr>
            </w:pPr>
            <w:r w:rsidRPr="00746E61">
              <w:rPr>
                <w:rFonts w:ascii="Book Antiqua" w:hAnsi="Book Antiqua" w:cs="Calibri"/>
                <w:b/>
                <w:bCs/>
                <w:color w:val="FFFFFF"/>
                <w:sz w:val="16"/>
                <w:szCs w:val="16"/>
                <w:lang w:eastAsia="es-CR"/>
              </w:rPr>
              <w:t>jun-21</w:t>
            </w:r>
          </w:p>
        </w:tc>
        <w:tc>
          <w:tcPr>
            <w:tcW w:w="709" w:type="dxa"/>
            <w:tcBorders>
              <w:top w:val="single" w:sz="4" w:space="0" w:color="auto"/>
              <w:left w:val="nil"/>
              <w:bottom w:val="single" w:sz="4" w:space="0" w:color="auto"/>
              <w:right w:val="single" w:sz="4" w:space="0" w:color="auto"/>
            </w:tcBorders>
            <w:shd w:val="clear" w:color="000000" w:fill="305496"/>
            <w:noWrap/>
            <w:vAlign w:val="center"/>
            <w:hideMark/>
          </w:tcPr>
          <w:p w14:paraId="7E8AA829" w14:textId="77777777" w:rsidR="004941E4" w:rsidRPr="00746E61" w:rsidRDefault="004941E4" w:rsidP="00746E61">
            <w:pPr>
              <w:spacing w:line="276" w:lineRule="auto"/>
              <w:jc w:val="center"/>
              <w:rPr>
                <w:rFonts w:ascii="Book Antiqua" w:hAnsi="Book Antiqua" w:cs="Calibri"/>
                <w:b/>
                <w:bCs/>
                <w:color w:val="FFFFFF"/>
                <w:sz w:val="16"/>
                <w:szCs w:val="16"/>
                <w:lang w:eastAsia="es-CR"/>
              </w:rPr>
            </w:pPr>
            <w:r w:rsidRPr="00746E61">
              <w:rPr>
                <w:rFonts w:ascii="Book Antiqua" w:hAnsi="Book Antiqua" w:cs="Calibri"/>
                <w:b/>
                <w:bCs/>
                <w:color w:val="FFFFFF"/>
                <w:sz w:val="16"/>
                <w:szCs w:val="16"/>
                <w:lang w:eastAsia="es-CR"/>
              </w:rPr>
              <w:t>jul-21</w:t>
            </w:r>
          </w:p>
        </w:tc>
        <w:tc>
          <w:tcPr>
            <w:tcW w:w="851" w:type="dxa"/>
            <w:tcBorders>
              <w:top w:val="single" w:sz="4" w:space="0" w:color="auto"/>
              <w:left w:val="nil"/>
              <w:bottom w:val="single" w:sz="4" w:space="0" w:color="auto"/>
              <w:right w:val="single" w:sz="4" w:space="0" w:color="auto"/>
            </w:tcBorders>
            <w:shd w:val="clear" w:color="000000" w:fill="305496"/>
            <w:noWrap/>
            <w:vAlign w:val="center"/>
            <w:hideMark/>
          </w:tcPr>
          <w:p w14:paraId="28622D79" w14:textId="77777777" w:rsidR="004941E4" w:rsidRPr="00746E61" w:rsidRDefault="004941E4" w:rsidP="00746E61">
            <w:pPr>
              <w:spacing w:line="276" w:lineRule="auto"/>
              <w:jc w:val="center"/>
              <w:rPr>
                <w:rFonts w:ascii="Book Antiqua" w:hAnsi="Book Antiqua" w:cs="Calibri"/>
                <w:b/>
                <w:bCs/>
                <w:color w:val="FFFFFF"/>
                <w:sz w:val="16"/>
                <w:szCs w:val="16"/>
                <w:lang w:eastAsia="es-CR"/>
              </w:rPr>
            </w:pPr>
            <w:r w:rsidRPr="00746E61">
              <w:rPr>
                <w:rFonts w:ascii="Book Antiqua" w:hAnsi="Book Antiqua" w:cs="Calibri"/>
                <w:b/>
                <w:bCs/>
                <w:color w:val="FFFFFF"/>
                <w:sz w:val="16"/>
                <w:szCs w:val="16"/>
                <w:lang w:eastAsia="es-CR"/>
              </w:rPr>
              <w:t>ago-21</w:t>
            </w:r>
          </w:p>
        </w:tc>
        <w:tc>
          <w:tcPr>
            <w:tcW w:w="708" w:type="dxa"/>
            <w:tcBorders>
              <w:top w:val="single" w:sz="4" w:space="0" w:color="auto"/>
              <w:left w:val="nil"/>
              <w:bottom w:val="single" w:sz="4" w:space="0" w:color="auto"/>
              <w:right w:val="single" w:sz="4" w:space="0" w:color="auto"/>
            </w:tcBorders>
            <w:shd w:val="clear" w:color="000000" w:fill="305496"/>
            <w:noWrap/>
            <w:vAlign w:val="center"/>
            <w:hideMark/>
          </w:tcPr>
          <w:p w14:paraId="5977491B" w14:textId="77777777" w:rsidR="004941E4" w:rsidRPr="00746E61" w:rsidRDefault="004941E4" w:rsidP="00746E61">
            <w:pPr>
              <w:spacing w:line="276" w:lineRule="auto"/>
              <w:jc w:val="center"/>
              <w:rPr>
                <w:rFonts w:ascii="Book Antiqua" w:hAnsi="Book Antiqua" w:cs="Calibri"/>
                <w:b/>
                <w:bCs/>
                <w:color w:val="FFFFFF"/>
                <w:sz w:val="16"/>
                <w:szCs w:val="16"/>
                <w:lang w:eastAsia="es-CR"/>
              </w:rPr>
            </w:pPr>
            <w:r w:rsidRPr="00746E61">
              <w:rPr>
                <w:rFonts w:ascii="Book Antiqua" w:hAnsi="Book Antiqua" w:cs="Calibri"/>
                <w:b/>
                <w:bCs/>
                <w:color w:val="FFFFFF"/>
                <w:sz w:val="16"/>
                <w:szCs w:val="16"/>
                <w:lang w:eastAsia="es-CR"/>
              </w:rPr>
              <w:t>sep-21</w:t>
            </w:r>
          </w:p>
        </w:tc>
        <w:tc>
          <w:tcPr>
            <w:tcW w:w="996" w:type="dxa"/>
            <w:tcBorders>
              <w:top w:val="single" w:sz="4" w:space="0" w:color="auto"/>
              <w:left w:val="nil"/>
              <w:bottom w:val="single" w:sz="4" w:space="0" w:color="auto"/>
              <w:right w:val="single" w:sz="4" w:space="0" w:color="auto"/>
            </w:tcBorders>
            <w:shd w:val="clear" w:color="000000" w:fill="305496"/>
            <w:vAlign w:val="center"/>
            <w:hideMark/>
          </w:tcPr>
          <w:p w14:paraId="503C7BF5" w14:textId="77777777" w:rsidR="004941E4" w:rsidRPr="00746E61" w:rsidRDefault="004941E4" w:rsidP="00746E61">
            <w:pPr>
              <w:spacing w:line="276" w:lineRule="auto"/>
              <w:jc w:val="center"/>
              <w:rPr>
                <w:rFonts w:ascii="Book Antiqua" w:hAnsi="Book Antiqua" w:cs="Calibri"/>
                <w:b/>
                <w:bCs/>
                <w:color w:val="FFFFFF"/>
                <w:sz w:val="16"/>
                <w:szCs w:val="16"/>
                <w:lang w:eastAsia="es-CR"/>
              </w:rPr>
            </w:pPr>
            <w:r w:rsidRPr="00746E61">
              <w:rPr>
                <w:rFonts w:ascii="Book Antiqua" w:hAnsi="Book Antiqua" w:cs="Calibri"/>
                <w:b/>
                <w:bCs/>
                <w:color w:val="FFFFFF"/>
                <w:sz w:val="16"/>
                <w:szCs w:val="16"/>
                <w:lang w:eastAsia="es-CR"/>
              </w:rPr>
              <w:t>Total general</w:t>
            </w:r>
          </w:p>
        </w:tc>
      </w:tr>
      <w:tr w:rsidR="004941E4" w:rsidRPr="00746E61" w14:paraId="5BE08F02" w14:textId="77777777" w:rsidTr="00B74477">
        <w:trPr>
          <w:trHeight w:val="235"/>
          <w:jc w:val="center"/>
        </w:trPr>
        <w:tc>
          <w:tcPr>
            <w:tcW w:w="2432" w:type="dxa"/>
            <w:tcBorders>
              <w:top w:val="nil"/>
              <w:left w:val="single" w:sz="4" w:space="0" w:color="auto"/>
              <w:bottom w:val="single" w:sz="4" w:space="0" w:color="auto"/>
              <w:right w:val="single" w:sz="4" w:space="0" w:color="auto"/>
            </w:tcBorders>
            <w:shd w:val="clear" w:color="000000" w:fill="DDEBF7"/>
            <w:noWrap/>
            <w:vAlign w:val="center"/>
            <w:hideMark/>
          </w:tcPr>
          <w:p w14:paraId="416463F4" w14:textId="77777777" w:rsidR="004941E4" w:rsidRPr="00746E61" w:rsidRDefault="004941E4" w:rsidP="00746E61">
            <w:pPr>
              <w:spacing w:line="276" w:lineRule="auto"/>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Total General</w:t>
            </w:r>
          </w:p>
        </w:tc>
        <w:tc>
          <w:tcPr>
            <w:tcW w:w="682" w:type="dxa"/>
            <w:tcBorders>
              <w:top w:val="nil"/>
              <w:left w:val="nil"/>
              <w:bottom w:val="single" w:sz="4" w:space="0" w:color="auto"/>
              <w:right w:val="single" w:sz="4" w:space="0" w:color="auto"/>
            </w:tcBorders>
            <w:shd w:val="clear" w:color="000000" w:fill="DDEBF7"/>
            <w:noWrap/>
            <w:vAlign w:val="center"/>
            <w:hideMark/>
          </w:tcPr>
          <w:p w14:paraId="435B5FAE" w14:textId="77777777" w:rsidR="004941E4" w:rsidRPr="00746E61" w:rsidRDefault="004941E4"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1532</w:t>
            </w:r>
          </w:p>
        </w:tc>
        <w:tc>
          <w:tcPr>
            <w:tcW w:w="850" w:type="dxa"/>
            <w:tcBorders>
              <w:top w:val="nil"/>
              <w:left w:val="nil"/>
              <w:bottom w:val="single" w:sz="4" w:space="0" w:color="auto"/>
              <w:right w:val="single" w:sz="4" w:space="0" w:color="auto"/>
            </w:tcBorders>
            <w:shd w:val="clear" w:color="000000" w:fill="DDEBF7"/>
            <w:noWrap/>
            <w:vAlign w:val="center"/>
            <w:hideMark/>
          </w:tcPr>
          <w:p w14:paraId="23728076" w14:textId="77777777" w:rsidR="004941E4" w:rsidRPr="00746E61" w:rsidRDefault="004941E4"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1715</w:t>
            </w:r>
          </w:p>
        </w:tc>
        <w:tc>
          <w:tcPr>
            <w:tcW w:w="851" w:type="dxa"/>
            <w:tcBorders>
              <w:top w:val="nil"/>
              <w:left w:val="nil"/>
              <w:bottom w:val="single" w:sz="4" w:space="0" w:color="auto"/>
              <w:right w:val="single" w:sz="4" w:space="0" w:color="auto"/>
            </w:tcBorders>
            <w:shd w:val="clear" w:color="000000" w:fill="DDEBF7"/>
            <w:noWrap/>
            <w:vAlign w:val="center"/>
            <w:hideMark/>
          </w:tcPr>
          <w:p w14:paraId="7AB6F812" w14:textId="77777777" w:rsidR="004941E4" w:rsidRPr="00746E61" w:rsidRDefault="004941E4"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1806</w:t>
            </w:r>
          </w:p>
        </w:tc>
        <w:tc>
          <w:tcPr>
            <w:tcW w:w="850" w:type="dxa"/>
            <w:tcBorders>
              <w:top w:val="nil"/>
              <w:left w:val="nil"/>
              <w:bottom w:val="single" w:sz="4" w:space="0" w:color="auto"/>
              <w:right w:val="single" w:sz="4" w:space="0" w:color="auto"/>
            </w:tcBorders>
            <w:shd w:val="clear" w:color="000000" w:fill="DDEBF7"/>
            <w:noWrap/>
            <w:vAlign w:val="center"/>
            <w:hideMark/>
          </w:tcPr>
          <w:p w14:paraId="5857B623" w14:textId="77777777" w:rsidR="004941E4" w:rsidRPr="00746E61" w:rsidRDefault="004941E4"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2384</w:t>
            </w:r>
          </w:p>
        </w:tc>
        <w:tc>
          <w:tcPr>
            <w:tcW w:w="851" w:type="dxa"/>
            <w:tcBorders>
              <w:top w:val="nil"/>
              <w:left w:val="nil"/>
              <w:bottom w:val="single" w:sz="4" w:space="0" w:color="auto"/>
              <w:right w:val="single" w:sz="4" w:space="0" w:color="auto"/>
            </w:tcBorders>
            <w:shd w:val="clear" w:color="000000" w:fill="DDEBF7"/>
            <w:noWrap/>
            <w:vAlign w:val="center"/>
            <w:hideMark/>
          </w:tcPr>
          <w:p w14:paraId="37F33043" w14:textId="77777777" w:rsidR="004941E4" w:rsidRPr="00746E61" w:rsidRDefault="004941E4"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2286</w:t>
            </w:r>
          </w:p>
        </w:tc>
        <w:tc>
          <w:tcPr>
            <w:tcW w:w="850" w:type="dxa"/>
            <w:tcBorders>
              <w:top w:val="nil"/>
              <w:left w:val="nil"/>
              <w:bottom w:val="single" w:sz="4" w:space="0" w:color="auto"/>
              <w:right w:val="single" w:sz="4" w:space="0" w:color="auto"/>
            </w:tcBorders>
            <w:shd w:val="clear" w:color="000000" w:fill="DDEBF7"/>
            <w:noWrap/>
            <w:vAlign w:val="center"/>
            <w:hideMark/>
          </w:tcPr>
          <w:p w14:paraId="078F4220" w14:textId="77777777" w:rsidR="004941E4" w:rsidRPr="00746E61" w:rsidRDefault="004941E4"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2543</w:t>
            </w:r>
          </w:p>
        </w:tc>
        <w:tc>
          <w:tcPr>
            <w:tcW w:w="709" w:type="dxa"/>
            <w:tcBorders>
              <w:top w:val="nil"/>
              <w:left w:val="nil"/>
              <w:bottom w:val="single" w:sz="4" w:space="0" w:color="auto"/>
              <w:right w:val="single" w:sz="4" w:space="0" w:color="auto"/>
            </w:tcBorders>
            <w:shd w:val="clear" w:color="000000" w:fill="DDEBF7"/>
            <w:noWrap/>
            <w:vAlign w:val="center"/>
            <w:hideMark/>
          </w:tcPr>
          <w:p w14:paraId="1DE8798D" w14:textId="77777777" w:rsidR="004941E4" w:rsidRPr="00746E61" w:rsidRDefault="004941E4"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2236</w:t>
            </w:r>
          </w:p>
        </w:tc>
        <w:tc>
          <w:tcPr>
            <w:tcW w:w="851" w:type="dxa"/>
            <w:tcBorders>
              <w:top w:val="nil"/>
              <w:left w:val="nil"/>
              <w:bottom w:val="single" w:sz="4" w:space="0" w:color="auto"/>
              <w:right w:val="single" w:sz="4" w:space="0" w:color="auto"/>
            </w:tcBorders>
            <w:shd w:val="clear" w:color="000000" w:fill="DDEBF7"/>
            <w:noWrap/>
            <w:vAlign w:val="center"/>
            <w:hideMark/>
          </w:tcPr>
          <w:p w14:paraId="7A8BEB57" w14:textId="77777777" w:rsidR="004941E4" w:rsidRPr="00746E61" w:rsidRDefault="004941E4"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2503</w:t>
            </w:r>
          </w:p>
        </w:tc>
        <w:tc>
          <w:tcPr>
            <w:tcW w:w="708" w:type="dxa"/>
            <w:tcBorders>
              <w:top w:val="nil"/>
              <w:left w:val="nil"/>
              <w:bottom w:val="single" w:sz="4" w:space="0" w:color="auto"/>
              <w:right w:val="single" w:sz="4" w:space="0" w:color="auto"/>
            </w:tcBorders>
            <w:shd w:val="clear" w:color="000000" w:fill="DDEBF7"/>
            <w:noWrap/>
            <w:vAlign w:val="center"/>
            <w:hideMark/>
          </w:tcPr>
          <w:p w14:paraId="64D04FA1" w14:textId="77777777" w:rsidR="004941E4" w:rsidRPr="00746E61" w:rsidRDefault="004941E4"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2632</w:t>
            </w:r>
          </w:p>
        </w:tc>
        <w:tc>
          <w:tcPr>
            <w:tcW w:w="996" w:type="dxa"/>
            <w:tcBorders>
              <w:top w:val="nil"/>
              <w:left w:val="nil"/>
              <w:bottom w:val="single" w:sz="4" w:space="0" w:color="auto"/>
              <w:right w:val="single" w:sz="4" w:space="0" w:color="auto"/>
            </w:tcBorders>
            <w:shd w:val="clear" w:color="000000" w:fill="DDEBF7"/>
            <w:noWrap/>
            <w:vAlign w:val="center"/>
            <w:hideMark/>
          </w:tcPr>
          <w:p w14:paraId="268BCA67" w14:textId="77777777" w:rsidR="004941E4" w:rsidRPr="00746E61" w:rsidRDefault="004941E4"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19637</w:t>
            </w:r>
          </w:p>
        </w:tc>
      </w:tr>
      <w:tr w:rsidR="004941E4" w:rsidRPr="00746E61" w14:paraId="6D5A7B9E" w14:textId="77777777" w:rsidTr="00B74477">
        <w:trPr>
          <w:trHeight w:val="235"/>
          <w:jc w:val="center"/>
        </w:trPr>
        <w:tc>
          <w:tcPr>
            <w:tcW w:w="2432" w:type="dxa"/>
            <w:tcBorders>
              <w:top w:val="nil"/>
              <w:left w:val="single" w:sz="4" w:space="0" w:color="auto"/>
              <w:bottom w:val="single" w:sz="4" w:space="0" w:color="auto"/>
              <w:right w:val="single" w:sz="4" w:space="0" w:color="auto"/>
            </w:tcBorders>
            <w:shd w:val="clear" w:color="000000" w:fill="DDEBF7"/>
            <w:noWrap/>
            <w:vAlign w:val="center"/>
            <w:hideMark/>
          </w:tcPr>
          <w:p w14:paraId="50DB2567" w14:textId="77777777" w:rsidR="004941E4" w:rsidRPr="00746E61" w:rsidRDefault="004941E4" w:rsidP="00746E61">
            <w:pPr>
              <w:spacing w:line="276" w:lineRule="auto"/>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No Penal</w:t>
            </w:r>
          </w:p>
        </w:tc>
        <w:tc>
          <w:tcPr>
            <w:tcW w:w="682" w:type="dxa"/>
            <w:tcBorders>
              <w:top w:val="nil"/>
              <w:left w:val="nil"/>
              <w:bottom w:val="single" w:sz="4" w:space="0" w:color="auto"/>
              <w:right w:val="single" w:sz="4" w:space="0" w:color="auto"/>
            </w:tcBorders>
            <w:shd w:val="clear" w:color="000000" w:fill="DDEBF7"/>
            <w:noWrap/>
            <w:vAlign w:val="center"/>
            <w:hideMark/>
          </w:tcPr>
          <w:p w14:paraId="0236CCEB" w14:textId="77777777" w:rsidR="004941E4" w:rsidRPr="00746E61" w:rsidRDefault="004941E4"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887</w:t>
            </w:r>
          </w:p>
        </w:tc>
        <w:tc>
          <w:tcPr>
            <w:tcW w:w="850" w:type="dxa"/>
            <w:tcBorders>
              <w:top w:val="nil"/>
              <w:left w:val="nil"/>
              <w:bottom w:val="single" w:sz="4" w:space="0" w:color="auto"/>
              <w:right w:val="single" w:sz="4" w:space="0" w:color="auto"/>
            </w:tcBorders>
            <w:shd w:val="clear" w:color="000000" w:fill="DDEBF7"/>
            <w:noWrap/>
            <w:vAlign w:val="center"/>
            <w:hideMark/>
          </w:tcPr>
          <w:p w14:paraId="0B600773" w14:textId="77777777" w:rsidR="004941E4" w:rsidRPr="00746E61" w:rsidRDefault="004941E4"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1067</w:t>
            </w:r>
          </w:p>
        </w:tc>
        <w:tc>
          <w:tcPr>
            <w:tcW w:w="851" w:type="dxa"/>
            <w:tcBorders>
              <w:top w:val="nil"/>
              <w:left w:val="nil"/>
              <w:bottom w:val="single" w:sz="4" w:space="0" w:color="auto"/>
              <w:right w:val="single" w:sz="4" w:space="0" w:color="auto"/>
            </w:tcBorders>
            <w:shd w:val="clear" w:color="000000" w:fill="DDEBF7"/>
            <w:noWrap/>
            <w:vAlign w:val="center"/>
            <w:hideMark/>
          </w:tcPr>
          <w:p w14:paraId="7E0A8378" w14:textId="77777777" w:rsidR="004941E4" w:rsidRPr="00746E61" w:rsidRDefault="004941E4"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1165</w:t>
            </w:r>
          </w:p>
        </w:tc>
        <w:tc>
          <w:tcPr>
            <w:tcW w:w="850" w:type="dxa"/>
            <w:tcBorders>
              <w:top w:val="nil"/>
              <w:left w:val="nil"/>
              <w:bottom w:val="single" w:sz="4" w:space="0" w:color="auto"/>
              <w:right w:val="single" w:sz="4" w:space="0" w:color="auto"/>
            </w:tcBorders>
            <w:shd w:val="clear" w:color="000000" w:fill="DDEBF7"/>
            <w:noWrap/>
            <w:vAlign w:val="center"/>
            <w:hideMark/>
          </w:tcPr>
          <w:p w14:paraId="7462885E" w14:textId="77777777" w:rsidR="004941E4" w:rsidRPr="00746E61" w:rsidRDefault="004941E4"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1543</w:t>
            </w:r>
          </w:p>
        </w:tc>
        <w:tc>
          <w:tcPr>
            <w:tcW w:w="851" w:type="dxa"/>
            <w:tcBorders>
              <w:top w:val="nil"/>
              <w:left w:val="nil"/>
              <w:bottom w:val="single" w:sz="4" w:space="0" w:color="auto"/>
              <w:right w:val="single" w:sz="4" w:space="0" w:color="auto"/>
            </w:tcBorders>
            <w:shd w:val="clear" w:color="000000" w:fill="DDEBF7"/>
            <w:noWrap/>
            <w:vAlign w:val="center"/>
            <w:hideMark/>
          </w:tcPr>
          <w:p w14:paraId="031683E6" w14:textId="77777777" w:rsidR="004941E4" w:rsidRPr="00746E61" w:rsidRDefault="004941E4"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1437</w:t>
            </w:r>
          </w:p>
        </w:tc>
        <w:tc>
          <w:tcPr>
            <w:tcW w:w="850" w:type="dxa"/>
            <w:tcBorders>
              <w:top w:val="nil"/>
              <w:left w:val="nil"/>
              <w:bottom w:val="single" w:sz="4" w:space="0" w:color="auto"/>
              <w:right w:val="single" w:sz="4" w:space="0" w:color="auto"/>
            </w:tcBorders>
            <w:shd w:val="clear" w:color="000000" w:fill="DDEBF7"/>
            <w:noWrap/>
            <w:vAlign w:val="center"/>
            <w:hideMark/>
          </w:tcPr>
          <w:p w14:paraId="11CECAE0" w14:textId="77777777" w:rsidR="004941E4" w:rsidRPr="00746E61" w:rsidRDefault="004941E4"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1667</w:t>
            </w:r>
          </w:p>
        </w:tc>
        <w:tc>
          <w:tcPr>
            <w:tcW w:w="709" w:type="dxa"/>
            <w:tcBorders>
              <w:top w:val="nil"/>
              <w:left w:val="nil"/>
              <w:bottom w:val="single" w:sz="4" w:space="0" w:color="auto"/>
              <w:right w:val="single" w:sz="4" w:space="0" w:color="auto"/>
            </w:tcBorders>
            <w:shd w:val="clear" w:color="000000" w:fill="DDEBF7"/>
            <w:noWrap/>
            <w:vAlign w:val="center"/>
            <w:hideMark/>
          </w:tcPr>
          <w:p w14:paraId="4549AF52" w14:textId="77777777" w:rsidR="004941E4" w:rsidRPr="00746E61" w:rsidRDefault="004941E4"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1348</w:t>
            </w:r>
          </w:p>
        </w:tc>
        <w:tc>
          <w:tcPr>
            <w:tcW w:w="851" w:type="dxa"/>
            <w:tcBorders>
              <w:top w:val="nil"/>
              <w:left w:val="nil"/>
              <w:bottom w:val="single" w:sz="4" w:space="0" w:color="auto"/>
              <w:right w:val="single" w:sz="4" w:space="0" w:color="auto"/>
            </w:tcBorders>
            <w:shd w:val="clear" w:color="000000" w:fill="DDEBF7"/>
            <w:noWrap/>
            <w:vAlign w:val="center"/>
            <w:hideMark/>
          </w:tcPr>
          <w:p w14:paraId="36D7B342" w14:textId="77777777" w:rsidR="004941E4" w:rsidRPr="00746E61" w:rsidRDefault="004941E4"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1633</w:t>
            </w:r>
          </w:p>
        </w:tc>
        <w:tc>
          <w:tcPr>
            <w:tcW w:w="708" w:type="dxa"/>
            <w:tcBorders>
              <w:top w:val="nil"/>
              <w:left w:val="nil"/>
              <w:bottom w:val="single" w:sz="4" w:space="0" w:color="auto"/>
              <w:right w:val="single" w:sz="4" w:space="0" w:color="auto"/>
            </w:tcBorders>
            <w:shd w:val="clear" w:color="000000" w:fill="DDEBF7"/>
            <w:noWrap/>
            <w:vAlign w:val="center"/>
            <w:hideMark/>
          </w:tcPr>
          <w:p w14:paraId="0C04B5FC" w14:textId="77777777" w:rsidR="004941E4" w:rsidRPr="00746E61" w:rsidRDefault="004941E4"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1638</w:t>
            </w:r>
          </w:p>
        </w:tc>
        <w:tc>
          <w:tcPr>
            <w:tcW w:w="996" w:type="dxa"/>
            <w:tcBorders>
              <w:top w:val="nil"/>
              <w:left w:val="nil"/>
              <w:bottom w:val="single" w:sz="4" w:space="0" w:color="auto"/>
              <w:right w:val="single" w:sz="4" w:space="0" w:color="auto"/>
            </w:tcBorders>
            <w:shd w:val="clear" w:color="000000" w:fill="DDEBF7"/>
            <w:noWrap/>
            <w:vAlign w:val="center"/>
            <w:hideMark/>
          </w:tcPr>
          <w:p w14:paraId="2BC63135" w14:textId="77777777" w:rsidR="004941E4" w:rsidRPr="00746E61" w:rsidRDefault="004941E4"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12385</w:t>
            </w:r>
          </w:p>
        </w:tc>
      </w:tr>
      <w:tr w:rsidR="00B74477" w:rsidRPr="00746E61" w14:paraId="3E99B4F8" w14:textId="77777777" w:rsidTr="00B74477">
        <w:trPr>
          <w:trHeight w:val="235"/>
          <w:jc w:val="center"/>
        </w:trPr>
        <w:tc>
          <w:tcPr>
            <w:tcW w:w="2432" w:type="dxa"/>
            <w:tcBorders>
              <w:top w:val="nil"/>
              <w:left w:val="single" w:sz="4" w:space="0" w:color="auto"/>
              <w:bottom w:val="single" w:sz="4" w:space="0" w:color="auto"/>
              <w:right w:val="single" w:sz="4" w:space="0" w:color="auto"/>
            </w:tcBorders>
            <w:shd w:val="clear" w:color="auto" w:fill="auto"/>
            <w:noWrap/>
            <w:vAlign w:val="center"/>
            <w:hideMark/>
          </w:tcPr>
          <w:p w14:paraId="43455389" w14:textId="77777777" w:rsidR="004941E4" w:rsidRPr="00746E61" w:rsidRDefault="004941E4" w:rsidP="00746E61">
            <w:pPr>
              <w:spacing w:line="276" w:lineRule="auto"/>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Agrario</w:t>
            </w:r>
          </w:p>
        </w:tc>
        <w:tc>
          <w:tcPr>
            <w:tcW w:w="682" w:type="dxa"/>
            <w:tcBorders>
              <w:top w:val="nil"/>
              <w:left w:val="nil"/>
              <w:bottom w:val="single" w:sz="4" w:space="0" w:color="auto"/>
              <w:right w:val="single" w:sz="4" w:space="0" w:color="auto"/>
            </w:tcBorders>
            <w:shd w:val="clear" w:color="auto" w:fill="auto"/>
            <w:noWrap/>
            <w:vAlign w:val="center"/>
            <w:hideMark/>
          </w:tcPr>
          <w:p w14:paraId="55A2816A"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22</w:t>
            </w:r>
          </w:p>
        </w:tc>
        <w:tc>
          <w:tcPr>
            <w:tcW w:w="850" w:type="dxa"/>
            <w:tcBorders>
              <w:top w:val="nil"/>
              <w:left w:val="nil"/>
              <w:bottom w:val="single" w:sz="4" w:space="0" w:color="auto"/>
              <w:right w:val="single" w:sz="4" w:space="0" w:color="auto"/>
            </w:tcBorders>
            <w:shd w:val="clear" w:color="auto" w:fill="auto"/>
            <w:noWrap/>
            <w:vAlign w:val="center"/>
            <w:hideMark/>
          </w:tcPr>
          <w:p w14:paraId="564BA6C2"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27</w:t>
            </w:r>
          </w:p>
        </w:tc>
        <w:tc>
          <w:tcPr>
            <w:tcW w:w="851" w:type="dxa"/>
            <w:tcBorders>
              <w:top w:val="nil"/>
              <w:left w:val="nil"/>
              <w:bottom w:val="single" w:sz="4" w:space="0" w:color="auto"/>
              <w:right w:val="single" w:sz="4" w:space="0" w:color="auto"/>
            </w:tcBorders>
            <w:shd w:val="clear" w:color="auto" w:fill="auto"/>
            <w:noWrap/>
            <w:vAlign w:val="center"/>
            <w:hideMark/>
          </w:tcPr>
          <w:p w14:paraId="2F4945DB"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13</w:t>
            </w:r>
          </w:p>
        </w:tc>
        <w:tc>
          <w:tcPr>
            <w:tcW w:w="850" w:type="dxa"/>
            <w:tcBorders>
              <w:top w:val="nil"/>
              <w:left w:val="nil"/>
              <w:bottom w:val="single" w:sz="4" w:space="0" w:color="auto"/>
              <w:right w:val="single" w:sz="4" w:space="0" w:color="auto"/>
            </w:tcBorders>
            <w:shd w:val="clear" w:color="auto" w:fill="auto"/>
            <w:noWrap/>
            <w:vAlign w:val="center"/>
            <w:hideMark/>
          </w:tcPr>
          <w:p w14:paraId="2909B32F"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19</w:t>
            </w:r>
          </w:p>
        </w:tc>
        <w:tc>
          <w:tcPr>
            <w:tcW w:w="851" w:type="dxa"/>
            <w:tcBorders>
              <w:top w:val="nil"/>
              <w:left w:val="nil"/>
              <w:bottom w:val="single" w:sz="4" w:space="0" w:color="auto"/>
              <w:right w:val="single" w:sz="4" w:space="0" w:color="auto"/>
            </w:tcBorders>
            <w:shd w:val="clear" w:color="auto" w:fill="auto"/>
            <w:noWrap/>
            <w:vAlign w:val="center"/>
            <w:hideMark/>
          </w:tcPr>
          <w:p w14:paraId="742BD6A1"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29</w:t>
            </w:r>
          </w:p>
        </w:tc>
        <w:tc>
          <w:tcPr>
            <w:tcW w:w="850" w:type="dxa"/>
            <w:tcBorders>
              <w:top w:val="nil"/>
              <w:left w:val="nil"/>
              <w:bottom w:val="single" w:sz="4" w:space="0" w:color="auto"/>
              <w:right w:val="single" w:sz="4" w:space="0" w:color="auto"/>
            </w:tcBorders>
            <w:shd w:val="clear" w:color="auto" w:fill="auto"/>
            <w:noWrap/>
            <w:vAlign w:val="center"/>
            <w:hideMark/>
          </w:tcPr>
          <w:p w14:paraId="50D5E668"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18</w:t>
            </w:r>
          </w:p>
        </w:tc>
        <w:tc>
          <w:tcPr>
            <w:tcW w:w="709" w:type="dxa"/>
            <w:tcBorders>
              <w:top w:val="nil"/>
              <w:left w:val="nil"/>
              <w:bottom w:val="single" w:sz="4" w:space="0" w:color="auto"/>
              <w:right w:val="single" w:sz="4" w:space="0" w:color="auto"/>
            </w:tcBorders>
            <w:shd w:val="clear" w:color="auto" w:fill="auto"/>
            <w:noWrap/>
            <w:vAlign w:val="center"/>
            <w:hideMark/>
          </w:tcPr>
          <w:p w14:paraId="38F510CD"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16</w:t>
            </w:r>
          </w:p>
        </w:tc>
        <w:tc>
          <w:tcPr>
            <w:tcW w:w="851" w:type="dxa"/>
            <w:tcBorders>
              <w:top w:val="nil"/>
              <w:left w:val="nil"/>
              <w:bottom w:val="single" w:sz="4" w:space="0" w:color="auto"/>
              <w:right w:val="single" w:sz="4" w:space="0" w:color="auto"/>
            </w:tcBorders>
            <w:shd w:val="clear" w:color="auto" w:fill="auto"/>
            <w:noWrap/>
            <w:vAlign w:val="center"/>
            <w:hideMark/>
          </w:tcPr>
          <w:p w14:paraId="2C926D54"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23</w:t>
            </w:r>
          </w:p>
        </w:tc>
        <w:tc>
          <w:tcPr>
            <w:tcW w:w="708" w:type="dxa"/>
            <w:tcBorders>
              <w:top w:val="nil"/>
              <w:left w:val="nil"/>
              <w:bottom w:val="single" w:sz="4" w:space="0" w:color="auto"/>
              <w:right w:val="single" w:sz="4" w:space="0" w:color="auto"/>
            </w:tcBorders>
            <w:shd w:val="clear" w:color="auto" w:fill="auto"/>
            <w:noWrap/>
            <w:vAlign w:val="center"/>
            <w:hideMark/>
          </w:tcPr>
          <w:p w14:paraId="0878F5BA"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37</w:t>
            </w:r>
          </w:p>
        </w:tc>
        <w:tc>
          <w:tcPr>
            <w:tcW w:w="996" w:type="dxa"/>
            <w:tcBorders>
              <w:top w:val="nil"/>
              <w:left w:val="nil"/>
              <w:bottom w:val="single" w:sz="4" w:space="0" w:color="auto"/>
              <w:right w:val="single" w:sz="4" w:space="0" w:color="auto"/>
            </w:tcBorders>
            <w:shd w:val="clear" w:color="auto" w:fill="auto"/>
            <w:noWrap/>
            <w:vAlign w:val="center"/>
            <w:hideMark/>
          </w:tcPr>
          <w:p w14:paraId="23779B9E"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204</w:t>
            </w:r>
          </w:p>
        </w:tc>
      </w:tr>
      <w:tr w:rsidR="00B74477" w:rsidRPr="00746E61" w14:paraId="5432A058" w14:textId="77777777" w:rsidTr="00B74477">
        <w:trPr>
          <w:trHeight w:val="235"/>
          <w:jc w:val="center"/>
        </w:trPr>
        <w:tc>
          <w:tcPr>
            <w:tcW w:w="2432" w:type="dxa"/>
            <w:tcBorders>
              <w:top w:val="nil"/>
              <w:left w:val="single" w:sz="4" w:space="0" w:color="auto"/>
              <w:bottom w:val="single" w:sz="4" w:space="0" w:color="auto"/>
              <w:right w:val="single" w:sz="4" w:space="0" w:color="auto"/>
            </w:tcBorders>
            <w:shd w:val="clear" w:color="auto" w:fill="auto"/>
            <w:noWrap/>
            <w:vAlign w:val="center"/>
            <w:hideMark/>
          </w:tcPr>
          <w:p w14:paraId="29C06D41" w14:textId="77777777" w:rsidR="004941E4" w:rsidRPr="00746E61" w:rsidRDefault="004941E4" w:rsidP="00746E61">
            <w:pPr>
              <w:spacing w:line="276" w:lineRule="auto"/>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Civil</w:t>
            </w:r>
          </w:p>
        </w:tc>
        <w:tc>
          <w:tcPr>
            <w:tcW w:w="682" w:type="dxa"/>
            <w:tcBorders>
              <w:top w:val="nil"/>
              <w:left w:val="nil"/>
              <w:bottom w:val="single" w:sz="4" w:space="0" w:color="auto"/>
              <w:right w:val="single" w:sz="4" w:space="0" w:color="auto"/>
            </w:tcBorders>
            <w:shd w:val="clear" w:color="auto" w:fill="auto"/>
            <w:noWrap/>
            <w:vAlign w:val="center"/>
            <w:hideMark/>
          </w:tcPr>
          <w:p w14:paraId="562C2450"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139</w:t>
            </w:r>
          </w:p>
        </w:tc>
        <w:tc>
          <w:tcPr>
            <w:tcW w:w="850" w:type="dxa"/>
            <w:tcBorders>
              <w:top w:val="nil"/>
              <w:left w:val="nil"/>
              <w:bottom w:val="single" w:sz="4" w:space="0" w:color="auto"/>
              <w:right w:val="single" w:sz="4" w:space="0" w:color="auto"/>
            </w:tcBorders>
            <w:shd w:val="clear" w:color="auto" w:fill="auto"/>
            <w:noWrap/>
            <w:vAlign w:val="center"/>
            <w:hideMark/>
          </w:tcPr>
          <w:p w14:paraId="7679F8C3"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170</w:t>
            </w:r>
          </w:p>
        </w:tc>
        <w:tc>
          <w:tcPr>
            <w:tcW w:w="851" w:type="dxa"/>
            <w:tcBorders>
              <w:top w:val="nil"/>
              <w:left w:val="nil"/>
              <w:bottom w:val="single" w:sz="4" w:space="0" w:color="auto"/>
              <w:right w:val="single" w:sz="4" w:space="0" w:color="auto"/>
            </w:tcBorders>
            <w:shd w:val="clear" w:color="auto" w:fill="auto"/>
            <w:noWrap/>
            <w:vAlign w:val="center"/>
            <w:hideMark/>
          </w:tcPr>
          <w:p w14:paraId="404939AA"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199</w:t>
            </w:r>
          </w:p>
        </w:tc>
        <w:tc>
          <w:tcPr>
            <w:tcW w:w="850" w:type="dxa"/>
            <w:tcBorders>
              <w:top w:val="nil"/>
              <w:left w:val="nil"/>
              <w:bottom w:val="single" w:sz="4" w:space="0" w:color="auto"/>
              <w:right w:val="single" w:sz="4" w:space="0" w:color="auto"/>
            </w:tcBorders>
            <w:shd w:val="clear" w:color="auto" w:fill="auto"/>
            <w:noWrap/>
            <w:vAlign w:val="center"/>
            <w:hideMark/>
          </w:tcPr>
          <w:p w14:paraId="54360D17"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196</w:t>
            </w:r>
          </w:p>
        </w:tc>
        <w:tc>
          <w:tcPr>
            <w:tcW w:w="851" w:type="dxa"/>
            <w:tcBorders>
              <w:top w:val="nil"/>
              <w:left w:val="nil"/>
              <w:bottom w:val="single" w:sz="4" w:space="0" w:color="auto"/>
              <w:right w:val="single" w:sz="4" w:space="0" w:color="auto"/>
            </w:tcBorders>
            <w:shd w:val="clear" w:color="auto" w:fill="auto"/>
            <w:noWrap/>
            <w:vAlign w:val="center"/>
            <w:hideMark/>
          </w:tcPr>
          <w:p w14:paraId="38A11F7F"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169</w:t>
            </w:r>
          </w:p>
        </w:tc>
        <w:tc>
          <w:tcPr>
            <w:tcW w:w="850" w:type="dxa"/>
            <w:tcBorders>
              <w:top w:val="nil"/>
              <w:left w:val="nil"/>
              <w:bottom w:val="single" w:sz="4" w:space="0" w:color="auto"/>
              <w:right w:val="single" w:sz="4" w:space="0" w:color="auto"/>
            </w:tcBorders>
            <w:shd w:val="clear" w:color="auto" w:fill="auto"/>
            <w:noWrap/>
            <w:vAlign w:val="center"/>
            <w:hideMark/>
          </w:tcPr>
          <w:p w14:paraId="18421372"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207</w:t>
            </w:r>
          </w:p>
        </w:tc>
        <w:tc>
          <w:tcPr>
            <w:tcW w:w="709" w:type="dxa"/>
            <w:tcBorders>
              <w:top w:val="nil"/>
              <w:left w:val="nil"/>
              <w:bottom w:val="single" w:sz="4" w:space="0" w:color="auto"/>
              <w:right w:val="single" w:sz="4" w:space="0" w:color="auto"/>
            </w:tcBorders>
            <w:shd w:val="clear" w:color="auto" w:fill="auto"/>
            <w:noWrap/>
            <w:vAlign w:val="center"/>
            <w:hideMark/>
          </w:tcPr>
          <w:p w14:paraId="39F0BAC1"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168</w:t>
            </w:r>
          </w:p>
        </w:tc>
        <w:tc>
          <w:tcPr>
            <w:tcW w:w="851" w:type="dxa"/>
            <w:tcBorders>
              <w:top w:val="nil"/>
              <w:left w:val="nil"/>
              <w:bottom w:val="single" w:sz="4" w:space="0" w:color="auto"/>
              <w:right w:val="single" w:sz="4" w:space="0" w:color="auto"/>
            </w:tcBorders>
            <w:shd w:val="clear" w:color="auto" w:fill="auto"/>
            <w:noWrap/>
            <w:vAlign w:val="center"/>
            <w:hideMark/>
          </w:tcPr>
          <w:p w14:paraId="63395CBF"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196</w:t>
            </w:r>
          </w:p>
        </w:tc>
        <w:tc>
          <w:tcPr>
            <w:tcW w:w="708" w:type="dxa"/>
            <w:tcBorders>
              <w:top w:val="nil"/>
              <w:left w:val="nil"/>
              <w:bottom w:val="single" w:sz="4" w:space="0" w:color="auto"/>
              <w:right w:val="single" w:sz="4" w:space="0" w:color="auto"/>
            </w:tcBorders>
            <w:shd w:val="clear" w:color="auto" w:fill="auto"/>
            <w:noWrap/>
            <w:vAlign w:val="center"/>
            <w:hideMark/>
          </w:tcPr>
          <w:p w14:paraId="2AA7F50A"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209</w:t>
            </w:r>
          </w:p>
        </w:tc>
        <w:tc>
          <w:tcPr>
            <w:tcW w:w="996" w:type="dxa"/>
            <w:tcBorders>
              <w:top w:val="nil"/>
              <w:left w:val="nil"/>
              <w:bottom w:val="single" w:sz="4" w:space="0" w:color="auto"/>
              <w:right w:val="single" w:sz="4" w:space="0" w:color="auto"/>
            </w:tcBorders>
            <w:shd w:val="clear" w:color="auto" w:fill="auto"/>
            <w:noWrap/>
            <w:vAlign w:val="center"/>
            <w:hideMark/>
          </w:tcPr>
          <w:p w14:paraId="08703875"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1653</w:t>
            </w:r>
          </w:p>
        </w:tc>
      </w:tr>
      <w:tr w:rsidR="00B74477" w:rsidRPr="00746E61" w14:paraId="17986730" w14:textId="77777777" w:rsidTr="00B74477">
        <w:trPr>
          <w:trHeight w:val="235"/>
          <w:jc w:val="center"/>
        </w:trPr>
        <w:tc>
          <w:tcPr>
            <w:tcW w:w="2432" w:type="dxa"/>
            <w:tcBorders>
              <w:top w:val="nil"/>
              <w:left w:val="single" w:sz="4" w:space="0" w:color="auto"/>
              <w:bottom w:val="single" w:sz="4" w:space="0" w:color="auto"/>
              <w:right w:val="single" w:sz="4" w:space="0" w:color="auto"/>
            </w:tcBorders>
            <w:shd w:val="clear" w:color="auto" w:fill="auto"/>
            <w:noWrap/>
            <w:vAlign w:val="center"/>
            <w:hideMark/>
          </w:tcPr>
          <w:p w14:paraId="353E2085" w14:textId="77777777" w:rsidR="004941E4" w:rsidRPr="00746E61" w:rsidRDefault="004941E4" w:rsidP="00746E61">
            <w:pPr>
              <w:spacing w:line="276" w:lineRule="auto"/>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Contencioso</w:t>
            </w:r>
          </w:p>
        </w:tc>
        <w:tc>
          <w:tcPr>
            <w:tcW w:w="682" w:type="dxa"/>
            <w:tcBorders>
              <w:top w:val="nil"/>
              <w:left w:val="nil"/>
              <w:bottom w:val="single" w:sz="4" w:space="0" w:color="auto"/>
              <w:right w:val="single" w:sz="4" w:space="0" w:color="auto"/>
            </w:tcBorders>
            <w:shd w:val="clear" w:color="auto" w:fill="auto"/>
            <w:noWrap/>
            <w:vAlign w:val="center"/>
            <w:hideMark/>
          </w:tcPr>
          <w:p w14:paraId="2B724BE9"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31</w:t>
            </w:r>
          </w:p>
        </w:tc>
        <w:tc>
          <w:tcPr>
            <w:tcW w:w="850" w:type="dxa"/>
            <w:tcBorders>
              <w:top w:val="nil"/>
              <w:left w:val="nil"/>
              <w:bottom w:val="single" w:sz="4" w:space="0" w:color="auto"/>
              <w:right w:val="single" w:sz="4" w:space="0" w:color="auto"/>
            </w:tcBorders>
            <w:shd w:val="clear" w:color="auto" w:fill="auto"/>
            <w:noWrap/>
            <w:vAlign w:val="center"/>
            <w:hideMark/>
          </w:tcPr>
          <w:p w14:paraId="5AD6E8F5"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27</w:t>
            </w:r>
          </w:p>
        </w:tc>
        <w:tc>
          <w:tcPr>
            <w:tcW w:w="851" w:type="dxa"/>
            <w:tcBorders>
              <w:top w:val="nil"/>
              <w:left w:val="nil"/>
              <w:bottom w:val="single" w:sz="4" w:space="0" w:color="auto"/>
              <w:right w:val="single" w:sz="4" w:space="0" w:color="auto"/>
            </w:tcBorders>
            <w:shd w:val="clear" w:color="auto" w:fill="auto"/>
            <w:noWrap/>
            <w:vAlign w:val="center"/>
            <w:hideMark/>
          </w:tcPr>
          <w:p w14:paraId="01B3EB81"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32</w:t>
            </w:r>
          </w:p>
        </w:tc>
        <w:tc>
          <w:tcPr>
            <w:tcW w:w="850" w:type="dxa"/>
            <w:tcBorders>
              <w:top w:val="nil"/>
              <w:left w:val="nil"/>
              <w:bottom w:val="single" w:sz="4" w:space="0" w:color="auto"/>
              <w:right w:val="single" w:sz="4" w:space="0" w:color="auto"/>
            </w:tcBorders>
            <w:shd w:val="clear" w:color="auto" w:fill="auto"/>
            <w:noWrap/>
            <w:vAlign w:val="center"/>
            <w:hideMark/>
          </w:tcPr>
          <w:p w14:paraId="6E5E67F0"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24</w:t>
            </w:r>
          </w:p>
        </w:tc>
        <w:tc>
          <w:tcPr>
            <w:tcW w:w="851" w:type="dxa"/>
            <w:tcBorders>
              <w:top w:val="nil"/>
              <w:left w:val="nil"/>
              <w:bottom w:val="single" w:sz="4" w:space="0" w:color="auto"/>
              <w:right w:val="single" w:sz="4" w:space="0" w:color="auto"/>
            </w:tcBorders>
            <w:shd w:val="clear" w:color="auto" w:fill="auto"/>
            <w:noWrap/>
            <w:vAlign w:val="center"/>
            <w:hideMark/>
          </w:tcPr>
          <w:p w14:paraId="36C6453F"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40</w:t>
            </w:r>
          </w:p>
        </w:tc>
        <w:tc>
          <w:tcPr>
            <w:tcW w:w="850" w:type="dxa"/>
            <w:tcBorders>
              <w:top w:val="nil"/>
              <w:left w:val="nil"/>
              <w:bottom w:val="single" w:sz="4" w:space="0" w:color="auto"/>
              <w:right w:val="single" w:sz="4" w:space="0" w:color="auto"/>
            </w:tcBorders>
            <w:shd w:val="clear" w:color="auto" w:fill="auto"/>
            <w:noWrap/>
            <w:vAlign w:val="center"/>
            <w:hideMark/>
          </w:tcPr>
          <w:p w14:paraId="6F5B5162"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35</w:t>
            </w:r>
          </w:p>
        </w:tc>
        <w:tc>
          <w:tcPr>
            <w:tcW w:w="709" w:type="dxa"/>
            <w:tcBorders>
              <w:top w:val="nil"/>
              <w:left w:val="nil"/>
              <w:bottom w:val="single" w:sz="4" w:space="0" w:color="auto"/>
              <w:right w:val="single" w:sz="4" w:space="0" w:color="auto"/>
            </w:tcBorders>
            <w:shd w:val="clear" w:color="auto" w:fill="auto"/>
            <w:noWrap/>
            <w:vAlign w:val="center"/>
            <w:hideMark/>
          </w:tcPr>
          <w:p w14:paraId="1D4E1217"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35</w:t>
            </w:r>
          </w:p>
        </w:tc>
        <w:tc>
          <w:tcPr>
            <w:tcW w:w="851" w:type="dxa"/>
            <w:tcBorders>
              <w:top w:val="nil"/>
              <w:left w:val="nil"/>
              <w:bottom w:val="single" w:sz="4" w:space="0" w:color="auto"/>
              <w:right w:val="single" w:sz="4" w:space="0" w:color="auto"/>
            </w:tcBorders>
            <w:shd w:val="clear" w:color="auto" w:fill="auto"/>
            <w:noWrap/>
            <w:vAlign w:val="center"/>
            <w:hideMark/>
          </w:tcPr>
          <w:p w14:paraId="5718CF00"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60</w:t>
            </w:r>
          </w:p>
        </w:tc>
        <w:tc>
          <w:tcPr>
            <w:tcW w:w="708" w:type="dxa"/>
            <w:tcBorders>
              <w:top w:val="nil"/>
              <w:left w:val="nil"/>
              <w:bottom w:val="single" w:sz="4" w:space="0" w:color="auto"/>
              <w:right w:val="single" w:sz="4" w:space="0" w:color="auto"/>
            </w:tcBorders>
            <w:shd w:val="clear" w:color="auto" w:fill="auto"/>
            <w:noWrap/>
            <w:vAlign w:val="center"/>
            <w:hideMark/>
          </w:tcPr>
          <w:p w14:paraId="6DCA1A40"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73</w:t>
            </w:r>
          </w:p>
        </w:tc>
        <w:tc>
          <w:tcPr>
            <w:tcW w:w="996" w:type="dxa"/>
            <w:tcBorders>
              <w:top w:val="nil"/>
              <w:left w:val="nil"/>
              <w:bottom w:val="single" w:sz="4" w:space="0" w:color="auto"/>
              <w:right w:val="single" w:sz="4" w:space="0" w:color="auto"/>
            </w:tcBorders>
            <w:shd w:val="clear" w:color="auto" w:fill="auto"/>
            <w:noWrap/>
            <w:vAlign w:val="center"/>
            <w:hideMark/>
          </w:tcPr>
          <w:p w14:paraId="7D5DEEA0"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357</w:t>
            </w:r>
          </w:p>
        </w:tc>
      </w:tr>
      <w:tr w:rsidR="00B74477" w:rsidRPr="00746E61" w14:paraId="63E1E668" w14:textId="77777777" w:rsidTr="00B74477">
        <w:trPr>
          <w:trHeight w:val="235"/>
          <w:jc w:val="center"/>
        </w:trPr>
        <w:tc>
          <w:tcPr>
            <w:tcW w:w="2432" w:type="dxa"/>
            <w:tcBorders>
              <w:top w:val="nil"/>
              <w:left w:val="single" w:sz="4" w:space="0" w:color="auto"/>
              <w:bottom w:val="single" w:sz="4" w:space="0" w:color="auto"/>
              <w:right w:val="single" w:sz="4" w:space="0" w:color="auto"/>
            </w:tcBorders>
            <w:shd w:val="clear" w:color="auto" w:fill="auto"/>
            <w:noWrap/>
            <w:vAlign w:val="center"/>
            <w:hideMark/>
          </w:tcPr>
          <w:p w14:paraId="4CBB680A" w14:textId="77777777" w:rsidR="004941E4" w:rsidRPr="00746E61" w:rsidRDefault="004941E4" w:rsidP="00746E61">
            <w:pPr>
              <w:spacing w:line="276" w:lineRule="auto"/>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Contravencional</w:t>
            </w:r>
          </w:p>
        </w:tc>
        <w:tc>
          <w:tcPr>
            <w:tcW w:w="682" w:type="dxa"/>
            <w:tcBorders>
              <w:top w:val="nil"/>
              <w:left w:val="nil"/>
              <w:bottom w:val="single" w:sz="4" w:space="0" w:color="auto"/>
              <w:right w:val="single" w:sz="4" w:space="0" w:color="auto"/>
            </w:tcBorders>
            <w:shd w:val="clear" w:color="auto" w:fill="auto"/>
            <w:noWrap/>
            <w:vAlign w:val="center"/>
            <w:hideMark/>
          </w:tcPr>
          <w:p w14:paraId="4C932C09"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13</w:t>
            </w:r>
          </w:p>
        </w:tc>
        <w:tc>
          <w:tcPr>
            <w:tcW w:w="850" w:type="dxa"/>
            <w:tcBorders>
              <w:top w:val="nil"/>
              <w:left w:val="nil"/>
              <w:bottom w:val="single" w:sz="4" w:space="0" w:color="auto"/>
              <w:right w:val="single" w:sz="4" w:space="0" w:color="auto"/>
            </w:tcBorders>
            <w:shd w:val="clear" w:color="auto" w:fill="auto"/>
            <w:noWrap/>
            <w:vAlign w:val="center"/>
            <w:hideMark/>
          </w:tcPr>
          <w:p w14:paraId="450D3E65"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50</w:t>
            </w:r>
          </w:p>
        </w:tc>
        <w:tc>
          <w:tcPr>
            <w:tcW w:w="851" w:type="dxa"/>
            <w:tcBorders>
              <w:top w:val="nil"/>
              <w:left w:val="nil"/>
              <w:bottom w:val="single" w:sz="4" w:space="0" w:color="auto"/>
              <w:right w:val="single" w:sz="4" w:space="0" w:color="auto"/>
            </w:tcBorders>
            <w:shd w:val="clear" w:color="auto" w:fill="auto"/>
            <w:noWrap/>
            <w:vAlign w:val="center"/>
            <w:hideMark/>
          </w:tcPr>
          <w:p w14:paraId="281F7C77"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52</w:t>
            </w:r>
          </w:p>
        </w:tc>
        <w:tc>
          <w:tcPr>
            <w:tcW w:w="850" w:type="dxa"/>
            <w:tcBorders>
              <w:top w:val="nil"/>
              <w:left w:val="nil"/>
              <w:bottom w:val="single" w:sz="4" w:space="0" w:color="auto"/>
              <w:right w:val="single" w:sz="4" w:space="0" w:color="auto"/>
            </w:tcBorders>
            <w:shd w:val="clear" w:color="auto" w:fill="auto"/>
            <w:noWrap/>
            <w:vAlign w:val="center"/>
            <w:hideMark/>
          </w:tcPr>
          <w:p w14:paraId="5AF6978D"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55</w:t>
            </w:r>
          </w:p>
        </w:tc>
        <w:tc>
          <w:tcPr>
            <w:tcW w:w="851" w:type="dxa"/>
            <w:tcBorders>
              <w:top w:val="nil"/>
              <w:left w:val="nil"/>
              <w:bottom w:val="single" w:sz="4" w:space="0" w:color="auto"/>
              <w:right w:val="single" w:sz="4" w:space="0" w:color="auto"/>
            </w:tcBorders>
            <w:shd w:val="clear" w:color="auto" w:fill="auto"/>
            <w:noWrap/>
            <w:vAlign w:val="center"/>
            <w:hideMark/>
          </w:tcPr>
          <w:p w14:paraId="4120F083"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56</w:t>
            </w:r>
          </w:p>
        </w:tc>
        <w:tc>
          <w:tcPr>
            <w:tcW w:w="850" w:type="dxa"/>
            <w:tcBorders>
              <w:top w:val="nil"/>
              <w:left w:val="nil"/>
              <w:bottom w:val="single" w:sz="4" w:space="0" w:color="auto"/>
              <w:right w:val="single" w:sz="4" w:space="0" w:color="auto"/>
            </w:tcBorders>
            <w:shd w:val="clear" w:color="auto" w:fill="auto"/>
            <w:noWrap/>
            <w:vAlign w:val="center"/>
            <w:hideMark/>
          </w:tcPr>
          <w:p w14:paraId="27B7A7D6"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82</w:t>
            </w:r>
          </w:p>
        </w:tc>
        <w:tc>
          <w:tcPr>
            <w:tcW w:w="709" w:type="dxa"/>
            <w:tcBorders>
              <w:top w:val="nil"/>
              <w:left w:val="nil"/>
              <w:bottom w:val="single" w:sz="4" w:space="0" w:color="auto"/>
              <w:right w:val="single" w:sz="4" w:space="0" w:color="auto"/>
            </w:tcBorders>
            <w:shd w:val="clear" w:color="auto" w:fill="auto"/>
            <w:noWrap/>
            <w:vAlign w:val="center"/>
            <w:hideMark/>
          </w:tcPr>
          <w:p w14:paraId="4BAE72D7"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42</w:t>
            </w:r>
          </w:p>
        </w:tc>
        <w:tc>
          <w:tcPr>
            <w:tcW w:w="851" w:type="dxa"/>
            <w:tcBorders>
              <w:top w:val="nil"/>
              <w:left w:val="nil"/>
              <w:bottom w:val="single" w:sz="4" w:space="0" w:color="auto"/>
              <w:right w:val="single" w:sz="4" w:space="0" w:color="auto"/>
            </w:tcBorders>
            <w:shd w:val="clear" w:color="auto" w:fill="auto"/>
            <w:noWrap/>
            <w:vAlign w:val="center"/>
            <w:hideMark/>
          </w:tcPr>
          <w:p w14:paraId="7E78817C"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89</w:t>
            </w:r>
          </w:p>
        </w:tc>
        <w:tc>
          <w:tcPr>
            <w:tcW w:w="708" w:type="dxa"/>
            <w:tcBorders>
              <w:top w:val="nil"/>
              <w:left w:val="nil"/>
              <w:bottom w:val="single" w:sz="4" w:space="0" w:color="auto"/>
              <w:right w:val="single" w:sz="4" w:space="0" w:color="auto"/>
            </w:tcBorders>
            <w:shd w:val="clear" w:color="auto" w:fill="auto"/>
            <w:noWrap/>
            <w:vAlign w:val="center"/>
            <w:hideMark/>
          </w:tcPr>
          <w:p w14:paraId="700C7B03"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81</w:t>
            </w:r>
          </w:p>
        </w:tc>
        <w:tc>
          <w:tcPr>
            <w:tcW w:w="996" w:type="dxa"/>
            <w:tcBorders>
              <w:top w:val="nil"/>
              <w:left w:val="nil"/>
              <w:bottom w:val="single" w:sz="4" w:space="0" w:color="auto"/>
              <w:right w:val="single" w:sz="4" w:space="0" w:color="auto"/>
            </w:tcBorders>
            <w:shd w:val="clear" w:color="auto" w:fill="auto"/>
            <w:noWrap/>
            <w:vAlign w:val="center"/>
            <w:hideMark/>
          </w:tcPr>
          <w:p w14:paraId="29D823CB"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520</w:t>
            </w:r>
          </w:p>
        </w:tc>
      </w:tr>
      <w:tr w:rsidR="00B74477" w:rsidRPr="00746E61" w14:paraId="13B5F7D6" w14:textId="77777777" w:rsidTr="00B74477">
        <w:trPr>
          <w:trHeight w:val="235"/>
          <w:jc w:val="center"/>
        </w:trPr>
        <w:tc>
          <w:tcPr>
            <w:tcW w:w="2432" w:type="dxa"/>
            <w:tcBorders>
              <w:top w:val="nil"/>
              <w:left w:val="single" w:sz="4" w:space="0" w:color="auto"/>
              <w:bottom w:val="single" w:sz="4" w:space="0" w:color="auto"/>
              <w:right w:val="single" w:sz="4" w:space="0" w:color="auto"/>
            </w:tcBorders>
            <w:shd w:val="clear" w:color="auto" w:fill="auto"/>
            <w:noWrap/>
            <w:vAlign w:val="center"/>
            <w:hideMark/>
          </w:tcPr>
          <w:p w14:paraId="6C50FE71" w14:textId="77777777" w:rsidR="004941E4" w:rsidRPr="00746E61" w:rsidRDefault="004941E4" w:rsidP="00746E61">
            <w:pPr>
              <w:spacing w:line="276" w:lineRule="auto"/>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Familia</w:t>
            </w:r>
          </w:p>
        </w:tc>
        <w:tc>
          <w:tcPr>
            <w:tcW w:w="682" w:type="dxa"/>
            <w:tcBorders>
              <w:top w:val="nil"/>
              <w:left w:val="nil"/>
              <w:bottom w:val="single" w:sz="4" w:space="0" w:color="auto"/>
              <w:right w:val="single" w:sz="4" w:space="0" w:color="auto"/>
            </w:tcBorders>
            <w:shd w:val="clear" w:color="auto" w:fill="auto"/>
            <w:noWrap/>
            <w:vAlign w:val="center"/>
            <w:hideMark/>
          </w:tcPr>
          <w:p w14:paraId="7A3E2D02"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83</w:t>
            </w:r>
          </w:p>
        </w:tc>
        <w:tc>
          <w:tcPr>
            <w:tcW w:w="850" w:type="dxa"/>
            <w:tcBorders>
              <w:top w:val="nil"/>
              <w:left w:val="nil"/>
              <w:bottom w:val="single" w:sz="4" w:space="0" w:color="auto"/>
              <w:right w:val="single" w:sz="4" w:space="0" w:color="auto"/>
            </w:tcBorders>
            <w:shd w:val="clear" w:color="auto" w:fill="auto"/>
            <w:noWrap/>
            <w:vAlign w:val="center"/>
            <w:hideMark/>
          </w:tcPr>
          <w:p w14:paraId="3E519E96"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84</w:t>
            </w:r>
          </w:p>
        </w:tc>
        <w:tc>
          <w:tcPr>
            <w:tcW w:w="851" w:type="dxa"/>
            <w:tcBorders>
              <w:top w:val="nil"/>
              <w:left w:val="nil"/>
              <w:bottom w:val="single" w:sz="4" w:space="0" w:color="auto"/>
              <w:right w:val="single" w:sz="4" w:space="0" w:color="auto"/>
            </w:tcBorders>
            <w:shd w:val="clear" w:color="auto" w:fill="auto"/>
            <w:noWrap/>
            <w:vAlign w:val="center"/>
            <w:hideMark/>
          </w:tcPr>
          <w:p w14:paraId="5C3DB9E1"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74</w:t>
            </w:r>
          </w:p>
        </w:tc>
        <w:tc>
          <w:tcPr>
            <w:tcW w:w="850" w:type="dxa"/>
            <w:tcBorders>
              <w:top w:val="nil"/>
              <w:left w:val="nil"/>
              <w:bottom w:val="single" w:sz="4" w:space="0" w:color="auto"/>
              <w:right w:val="single" w:sz="4" w:space="0" w:color="auto"/>
            </w:tcBorders>
            <w:shd w:val="clear" w:color="auto" w:fill="auto"/>
            <w:noWrap/>
            <w:vAlign w:val="center"/>
            <w:hideMark/>
          </w:tcPr>
          <w:p w14:paraId="4710E154"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100</w:t>
            </w:r>
          </w:p>
        </w:tc>
        <w:tc>
          <w:tcPr>
            <w:tcW w:w="851" w:type="dxa"/>
            <w:tcBorders>
              <w:top w:val="nil"/>
              <w:left w:val="nil"/>
              <w:bottom w:val="single" w:sz="4" w:space="0" w:color="auto"/>
              <w:right w:val="single" w:sz="4" w:space="0" w:color="auto"/>
            </w:tcBorders>
            <w:shd w:val="clear" w:color="auto" w:fill="auto"/>
            <w:noWrap/>
            <w:vAlign w:val="center"/>
            <w:hideMark/>
          </w:tcPr>
          <w:p w14:paraId="6DA11F44"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101</w:t>
            </w:r>
          </w:p>
        </w:tc>
        <w:tc>
          <w:tcPr>
            <w:tcW w:w="850" w:type="dxa"/>
            <w:tcBorders>
              <w:top w:val="nil"/>
              <w:left w:val="nil"/>
              <w:bottom w:val="single" w:sz="4" w:space="0" w:color="auto"/>
              <w:right w:val="single" w:sz="4" w:space="0" w:color="auto"/>
            </w:tcBorders>
            <w:shd w:val="clear" w:color="auto" w:fill="auto"/>
            <w:noWrap/>
            <w:vAlign w:val="center"/>
            <w:hideMark/>
          </w:tcPr>
          <w:p w14:paraId="5939660B"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94</w:t>
            </w:r>
          </w:p>
        </w:tc>
        <w:tc>
          <w:tcPr>
            <w:tcW w:w="709" w:type="dxa"/>
            <w:tcBorders>
              <w:top w:val="nil"/>
              <w:left w:val="nil"/>
              <w:bottom w:val="single" w:sz="4" w:space="0" w:color="auto"/>
              <w:right w:val="single" w:sz="4" w:space="0" w:color="auto"/>
            </w:tcBorders>
            <w:shd w:val="clear" w:color="auto" w:fill="auto"/>
            <w:noWrap/>
            <w:vAlign w:val="center"/>
            <w:hideMark/>
          </w:tcPr>
          <w:p w14:paraId="0A0C9508"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58</w:t>
            </w:r>
          </w:p>
        </w:tc>
        <w:tc>
          <w:tcPr>
            <w:tcW w:w="851" w:type="dxa"/>
            <w:tcBorders>
              <w:top w:val="nil"/>
              <w:left w:val="nil"/>
              <w:bottom w:val="single" w:sz="4" w:space="0" w:color="auto"/>
              <w:right w:val="single" w:sz="4" w:space="0" w:color="auto"/>
            </w:tcBorders>
            <w:shd w:val="clear" w:color="auto" w:fill="auto"/>
            <w:noWrap/>
            <w:vAlign w:val="center"/>
            <w:hideMark/>
          </w:tcPr>
          <w:p w14:paraId="1FBE1000"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110</w:t>
            </w:r>
          </w:p>
        </w:tc>
        <w:tc>
          <w:tcPr>
            <w:tcW w:w="708" w:type="dxa"/>
            <w:tcBorders>
              <w:top w:val="nil"/>
              <w:left w:val="nil"/>
              <w:bottom w:val="single" w:sz="4" w:space="0" w:color="auto"/>
              <w:right w:val="single" w:sz="4" w:space="0" w:color="auto"/>
            </w:tcBorders>
            <w:shd w:val="clear" w:color="auto" w:fill="auto"/>
            <w:noWrap/>
            <w:vAlign w:val="center"/>
            <w:hideMark/>
          </w:tcPr>
          <w:p w14:paraId="59789D66"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87</w:t>
            </w:r>
          </w:p>
        </w:tc>
        <w:tc>
          <w:tcPr>
            <w:tcW w:w="996" w:type="dxa"/>
            <w:tcBorders>
              <w:top w:val="nil"/>
              <w:left w:val="nil"/>
              <w:bottom w:val="single" w:sz="4" w:space="0" w:color="auto"/>
              <w:right w:val="single" w:sz="4" w:space="0" w:color="auto"/>
            </w:tcBorders>
            <w:shd w:val="clear" w:color="auto" w:fill="auto"/>
            <w:noWrap/>
            <w:vAlign w:val="center"/>
            <w:hideMark/>
          </w:tcPr>
          <w:p w14:paraId="033B4440"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791</w:t>
            </w:r>
          </w:p>
        </w:tc>
      </w:tr>
      <w:tr w:rsidR="00B74477" w:rsidRPr="00746E61" w14:paraId="2F3CA3DC" w14:textId="77777777" w:rsidTr="00B74477">
        <w:trPr>
          <w:trHeight w:val="235"/>
          <w:jc w:val="center"/>
        </w:trPr>
        <w:tc>
          <w:tcPr>
            <w:tcW w:w="2432" w:type="dxa"/>
            <w:tcBorders>
              <w:top w:val="nil"/>
              <w:left w:val="single" w:sz="4" w:space="0" w:color="auto"/>
              <w:bottom w:val="single" w:sz="4" w:space="0" w:color="auto"/>
              <w:right w:val="single" w:sz="4" w:space="0" w:color="auto"/>
            </w:tcBorders>
            <w:shd w:val="clear" w:color="auto" w:fill="auto"/>
            <w:noWrap/>
            <w:vAlign w:val="center"/>
            <w:hideMark/>
          </w:tcPr>
          <w:p w14:paraId="46F18324" w14:textId="77777777" w:rsidR="004941E4" w:rsidRPr="00746E61" w:rsidRDefault="004941E4" w:rsidP="00746E61">
            <w:pPr>
              <w:spacing w:line="276" w:lineRule="auto"/>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Pensiones Alimentarias</w:t>
            </w:r>
          </w:p>
        </w:tc>
        <w:tc>
          <w:tcPr>
            <w:tcW w:w="682" w:type="dxa"/>
            <w:tcBorders>
              <w:top w:val="nil"/>
              <w:left w:val="nil"/>
              <w:bottom w:val="single" w:sz="4" w:space="0" w:color="auto"/>
              <w:right w:val="single" w:sz="4" w:space="0" w:color="auto"/>
            </w:tcBorders>
            <w:shd w:val="clear" w:color="auto" w:fill="auto"/>
            <w:noWrap/>
            <w:vAlign w:val="center"/>
            <w:hideMark/>
          </w:tcPr>
          <w:p w14:paraId="3A40E7FA"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24</w:t>
            </w:r>
          </w:p>
        </w:tc>
        <w:tc>
          <w:tcPr>
            <w:tcW w:w="850" w:type="dxa"/>
            <w:tcBorders>
              <w:top w:val="nil"/>
              <w:left w:val="nil"/>
              <w:bottom w:val="single" w:sz="4" w:space="0" w:color="auto"/>
              <w:right w:val="single" w:sz="4" w:space="0" w:color="auto"/>
            </w:tcBorders>
            <w:shd w:val="clear" w:color="auto" w:fill="auto"/>
            <w:noWrap/>
            <w:vAlign w:val="center"/>
            <w:hideMark/>
          </w:tcPr>
          <w:p w14:paraId="67102AE0"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60</w:t>
            </w:r>
          </w:p>
        </w:tc>
        <w:tc>
          <w:tcPr>
            <w:tcW w:w="851" w:type="dxa"/>
            <w:tcBorders>
              <w:top w:val="nil"/>
              <w:left w:val="nil"/>
              <w:bottom w:val="single" w:sz="4" w:space="0" w:color="auto"/>
              <w:right w:val="single" w:sz="4" w:space="0" w:color="auto"/>
            </w:tcBorders>
            <w:shd w:val="clear" w:color="auto" w:fill="auto"/>
            <w:noWrap/>
            <w:vAlign w:val="center"/>
            <w:hideMark/>
          </w:tcPr>
          <w:p w14:paraId="7249B108"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54</w:t>
            </w:r>
          </w:p>
        </w:tc>
        <w:tc>
          <w:tcPr>
            <w:tcW w:w="850" w:type="dxa"/>
            <w:tcBorders>
              <w:top w:val="nil"/>
              <w:left w:val="nil"/>
              <w:bottom w:val="single" w:sz="4" w:space="0" w:color="auto"/>
              <w:right w:val="single" w:sz="4" w:space="0" w:color="auto"/>
            </w:tcBorders>
            <w:shd w:val="clear" w:color="auto" w:fill="auto"/>
            <w:noWrap/>
            <w:vAlign w:val="center"/>
            <w:hideMark/>
          </w:tcPr>
          <w:p w14:paraId="1019820F"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57</w:t>
            </w:r>
          </w:p>
        </w:tc>
        <w:tc>
          <w:tcPr>
            <w:tcW w:w="851" w:type="dxa"/>
            <w:tcBorders>
              <w:top w:val="nil"/>
              <w:left w:val="nil"/>
              <w:bottom w:val="single" w:sz="4" w:space="0" w:color="auto"/>
              <w:right w:val="single" w:sz="4" w:space="0" w:color="auto"/>
            </w:tcBorders>
            <w:shd w:val="clear" w:color="auto" w:fill="auto"/>
            <w:noWrap/>
            <w:vAlign w:val="center"/>
            <w:hideMark/>
          </w:tcPr>
          <w:p w14:paraId="3D9F408F"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39</w:t>
            </w:r>
          </w:p>
        </w:tc>
        <w:tc>
          <w:tcPr>
            <w:tcW w:w="850" w:type="dxa"/>
            <w:tcBorders>
              <w:top w:val="nil"/>
              <w:left w:val="nil"/>
              <w:bottom w:val="single" w:sz="4" w:space="0" w:color="auto"/>
              <w:right w:val="single" w:sz="4" w:space="0" w:color="auto"/>
            </w:tcBorders>
            <w:shd w:val="clear" w:color="auto" w:fill="auto"/>
            <w:noWrap/>
            <w:vAlign w:val="center"/>
            <w:hideMark/>
          </w:tcPr>
          <w:p w14:paraId="217C6FE3"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51</w:t>
            </w:r>
          </w:p>
        </w:tc>
        <w:tc>
          <w:tcPr>
            <w:tcW w:w="709" w:type="dxa"/>
            <w:tcBorders>
              <w:top w:val="nil"/>
              <w:left w:val="nil"/>
              <w:bottom w:val="single" w:sz="4" w:space="0" w:color="auto"/>
              <w:right w:val="single" w:sz="4" w:space="0" w:color="auto"/>
            </w:tcBorders>
            <w:shd w:val="clear" w:color="auto" w:fill="auto"/>
            <w:noWrap/>
            <w:vAlign w:val="center"/>
            <w:hideMark/>
          </w:tcPr>
          <w:p w14:paraId="3DDD2B4F"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54</w:t>
            </w:r>
          </w:p>
        </w:tc>
        <w:tc>
          <w:tcPr>
            <w:tcW w:w="851" w:type="dxa"/>
            <w:tcBorders>
              <w:top w:val="nil"/>
              <w:left w:val="nil"/>
              <w:bottom w:val="single" w:sz="4" w:space="0" w:color="auto"/>
              <w:right w:val="single" w:sz="4" w:space="0" w:color="auto"/>
            </w:tcBorders>
            <w:shd w:val="clear" w:color="auto" w:fill="auto"/>
            <w:noWrap/>
            <w:vAlign w:val="center"/>
            <w:hideMark/>
          </w:tcPr>
          <w:p w14:paraId="68D3595A"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59</w:t>
            </w:r>
          </w:p>
        </w:tc>
        <w:tc>
          <w:tcPr>
            <w:tcW w:w="708" w:type="dxa"/>
            <w:tcBorders>
              <w:top w:val="nil"/>
              <w:left w:val="nil"/>
              <w:bottom w:val="single" w:sz="4" w:space="0" w:color="auto"/>
              <w:right w:val="single" w:sz="4" w:space="0" w:color="auto"/>
            </w:tcBorders>
            <w:shd w:val="clear" w:color="auto" w:fill="auto"/>
            <w:noWrap/>
            <w:vAlign w:val="center"/>
            <w:hideMark/>
          </w:tcPr>
          <w:p w14:paraId="0F17C1DE"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58</w:t>
            </w:r>
          </w:p>
        </w:tc>
        <w:tc>
          <w:tcPr>
            <w:tcW w:w="996" w:type="dxa"/>
            <w:tcBorders>
              <w:top w:val="nil"/>
              <w:left w:val="nil"/>
              <w:bottom w:val="single" w:sz="4" w:space="0" w:color="auto"/>
              <w:right w:val="single" w:sz="4" w:space="0" w:color="auto"/>
            </w:tcBorders>
            <w:shd w:val="clear" w:color="auto" w:fill="auto"/>
            <w:noWrap/>
            <w:vAlign w:val="center"/>
            <w:hideMark/>
          </w:tcPr>
          <w:p w14:paraId="1D7511E8"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456</w:t>
            </w:r>
          </w:p>
        </w:tc>
      </w:tr>
      <w:tr w:rsidR="00B74477" w:rsidRPr="00746E61" w14:paraId="3C48E259" w14:textId="77777777" w:rsidTr="00B74477">
        <w:trPr>
          <w:trHeight w:val="235"/>
          <w:jc w:val="center"/>
        </w:trPr>
        <w:tc>
          <w:tcPr>
            <w:tcW w:w="2432" w:type="dxa"/>
            <w:tcBorders>
              <w:top w:val="nil"/>
              <w:left w:val="single" w:sz="4" w:space="0" w:color="auto"/>
              <w:bottom w:val="single" w:sz="4" w:space="0" w:color="auto"/>
              <w:right w:val="single" w:sz="4" w:space="0" w:color="auto"/>
            </w:tcBorders>
            <w:shd w:val="clear" w:color="auto" w:fill="auto"/>
            <w:noWrap/>
            <w:vAlign w:val="center"/>
            <w:hideMark/>
          </w:tcPr>
          <w:p w14:paraId="4466F9B3" w14:textId="77777777" w:rsidR="004941E4" w:rsidRPr="00746E61" w:rsidRDefault="004941E4" w:rsidP="00746E61">
            <w:pPr>
              <w:spacing w:line="276" w:lineRule="auto"/>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Trabajo</w:t>
            </w:r>
          </w:p>
        </w:tc>
        <w:tc>
          <w:tcPr>
            <w:tcW w:w="682" w:type="dxa"/>
            <w:tcBorders>
              <w:top w:val="nil"/>
              <w:left w:val="nil"/>
              <w:bottom w:val="single" w:sz="4" w:space="0" w:color="auto"/>
              <w:right w:val="single" w:sz="4" w:space="0" w:color="auto"/>
            </w:tcBorders>
            <w:shd w:val="clear" w:color="auto" w:fill="auto"/>
            <w:noWrap/>
            <w:vAlign w:val="center"/>
            <w:hideMark/>
          </w:tcPr>
          <w:p w14:paraId="3D862C82"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518</w:t>
            </w:r>
          </w:p>
        </w:tc>
        <w:tc>
          <w:tcPr>
            <w:tcW w:w="850" w:type="dxa"/>
            <w:tcBorders>
              <w:top w:val="nil"/>
              <w:left w:val="nil"/>
              <w:bottom w:val="single" w:sz="4" w:space="0" w:color="auto"/>
              <w:right w:val="single" w:sz="4" w:space="0" w:color="auto"/>
            </w:tcBorders>
            <w:shd w:val="clear" w:color="auto" w:fill="auto"/>
            <w:noWrap/>
            <w:vAlign w:val="center"/>
            <w:hideMark/>
          </w:tcPr>
          <w:p w14:paraId="5F6640F4"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621</w:t>
            </w:r>
          </w:p>
        </w:tc>
        <w:tc>
          <w:tcPr>
            <w:tcW w:w="851" w:type="dxa"/>
            <w:tcBorders>
              <w:top w:val="nil"/>
              <w:left w:val="nil"/>
              <w:bottom w:val="single" w:sz="4" w:space="0" w:color="auto"/>
              <w:right w:val="single" w:sz="4" w:space="0" w:color="auto"/>
            </w:tcBorders>
            <w:shd w:val="clear" w:color="auto" w:fill="auto"/>
            <w:noWrap/>
            <w:vAlign w:val="center"/>
            <w:hideMark/>
          </w:tcPr>
          <w:p w14:paraId="70D6C6A6"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681</w:t>
            </w:r>
          </w:p>
        </w:tc>
        <w:tc>
          <w:tcPr>
            <w:tcW w:w="850" w:type="dxa"/>
            <w:tcBorders>
              <w:top w:val="nil"/>
              <w:left w:val="nil"/>
              <w:bottom w:val="single" w:sz="4" w:space="0" w:color="auto"/>
              <w:right w:val="single" w:sz="4" w:space="0" w:color="auto"/>
            </w:tcBorders>
            <w:shd w:val="clear" w:color="auto" w:fill="auto"/>
            <w:noWrap/>
            <w:vAlign w:val="center"/>
            <w:hideMark/>
          </w:tcPr>
          <w:p w14:paraId="7A8FD1BA"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882</w:t>
            </w:r>
          </w:p>
        </w:tc>
        <w:tc>
          <w:tcPr>
            <w:tcW w:w="851" w:type="dxa"/>
            <w:tcBorders>
              <w:top w:val="nil"/>
              <w:left w:val="nil"/>
              <w:bottom w:val="single" w:sz="4" w:space="0" w:color="auto"/>
              <w:right w:val="single" w:sz="4" w:space="0" w:color="auto"/>
            </w:tcBorders>
            <w:shd w:val="clear" w:color="auto" w:fill="auto"/>
            <w:noWrap/>
            <w:vAlign w:val="center"/>
            <w:hideMark/>
          </w:tcPr>
          <w:p w14:paraId="7A6DBD7C"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845</w:t>
            </w:r>
          </w:p>
        </w:tc>
        <w:tc>
          <w:tcPr>
            <w:tcW w:w="850" w:type="dxa"/>
            <w:tcBorders>
              <w:top w:val="nil"/>
              <w:left w:val="nil"/>
              <w:bottom w:val="single" w:sz="4" w:space="0" w:color="auto"/>
              <w:right w:val="single" w:sz="4" w:space="0" w:color="auto"/>
            </w:tcBorders>
            <w:shd w:val="clear" w:color="auto" w:fill="auto"/>
            <w:noWrap/>
            <w:vAlign w:val="center"/>
            <w:hideMark/>
          </w:tcPr>
          <w:p w14:paraId="5F0B340F"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1025</w:t>
            </w:r>
          </w:p>
        </w:tc>
        <w:tc>
          <w:tcPr>
            <w:tcW w:w="709" w:type="dxa"/>
            <w:tcBorders>
              <w:top w:val="nil"/>
              <w:left w:val="nil"/>
              <w:bottom w:val="single" w:sz="4" w:space="0" w:color="auto"/>
              <w:right w:val="single" w:sz="4" w:space="0" w:color="auto"/>
            </w:tcBorders>
            <w:shd w:val="clear" w:color="auto" w:fill="auto"/>
            <w:noWrap/>
            <w:vAlign w:val="center"/>
            <w:hideMark/>
          </w:tcPr>
          <w:p w14:paraId="4BD90096"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841</w:t>
            </w:r>
          </w:p>
        </w:tc>
        <w:tc>
          <w:tcPr>
            <w:tcW w:w="851" w:type="dxa"/>
            <w:tcBorders>
              <w:top w:val="nil"/>
              <w:left w:val="nil"/>
              <w:bottom w:val="single" w:sz="4" w:space="0" w:color="auto"/>
              <w:right w:val="single" w:sz="4" w:space="0" w:color="auto"/>
            </w:tcBorders>
            <w:shd w:val="clear" w:color="auto" w:fill="auto"/>
            <w:noWrap/>
            <w:vAlign w:val="center"/>
            <w:hideMark/>
          </w:tcPr>
          <w:p w14:paraId="5EF84BDD"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967</w:t>
            </w:r>
          </w:p>
        </w:tc>
        <w:tc>
          <w:tcPr>
            <w:tcW w:w="708" w:type="dxa"/>
            <w:tcBorders>
              <w:top w:val="nil"/>
              <w:left w:val="nil"/>
              <w:bottom w:val="single" w:sz="4" w:space="0" w:color="auto"/>
              <w:right w:val="single" w:sz="4" w:space="0" w:color="auto"/>
            </w:tcBorders>
            <w:shd w:val="clear" w:color="auto" w:fill="auto"/>
            <w:noWrap/>
            <w:vAlign w:val="center"/>
            <w:hideMark/>
          </w:tcPr>
          <w:p w14:paraId="76834129"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970</w:t>
            </w:r>
          </w:p>
        </w:tc>
        <w:tc>
          <w:tcPr>
            <w:tcW w:w="996" w:type="dxa"/>
            <w:tcBorders>
              <w:top w:val="nil"/>
              <w:left w:val="nil"/>
              <w:bottom w:val="single" w:sz="4" w:space="0" w:color="auto"/>
              <w:right w:val="single" w:sz="4" w:space="0" w:color="auto"/>
            </w:tcBorders>
            <w:shd w:val="clear" w:color="auto" w:fill="auto"/>
            <w:noWrap/>
            <w:vAlign w:val="center"/>
            <w:hideMark/>
          </w:tcPr>
          <w:p w14:paraId="2467C6F8"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7350</w:t>
            </w:r>
          </w:p>
        </w:tc>
      </w:tr>
      <w:tr w:rsidR="00B74477" w:rsidRPr="00746E61" w14:paraId="6BE72FAE" w14:textId="77777777" w:rsidTr="00B74477">
        <w:trPr>
          <w:trHeight w:val="235"/>
          <w:jc w:val="center"/>
        </w:trPr>
        <w:tc>
          <w:tcPr>
            <w:tcW w:w="2432" w:type="dxa"/>
            <w:tcBorders>
              <w:top w:val="nil"/>
              <w:left w:val="single" w:sz="4" w:space="0" w:color="auto"/>
              <w:bottom w:val="single" w:sz="4" w:space="0" w:color="auto"/>
              <w:right w:val="single" w:sz="4" w:space="0" w:color="auto"/>
            </w:tcBorders>
            <w:shd w:val="clear" w:color="auto" w:fill="auto"/>
            <w:noWrap/>
            <w:vAlign w:val="center"/>
            <w:hideMark/>
          </w:tcPr>
          <w:p w14:paraId="53204A65" w14:textId="77777777" w:rsidR="004941E4" w:rsidRPr="00746E61" w:rsidRDefault="004941E4" w:rsidP="00746E61">
            <w:pPr>
              <w:spacing w:line="276" w:lineRule="auto"/>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Tránsito</w:t>
            </w:r>
          </w:p>
        </w:tc>
        <w:tc>
          <w:tcPr>
            <w:tcW w:w="682" w:type="dxa"/>
            <w:tcBorders>
              <w:top w:val="nil"/>
              <w:left w:val="nil"/>
              <w:bottom w:val="single" w:sz="4" w:space="0" w:color="auto"/>
              <w:right w:val="single" w:sz="4" w:space="0" w:color="auto"/>
            </w:tcBorders>
            <w:shd w:val="clear" w:color="auto" w:fill="auto"/>
            <w:noWrap/>
            <w:vAlign w:val="center"/>
            <w:hideMark/>
          </w:tcPr>
          <w:p w14:paraId="18D2EB45"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4</w:t>
            </w:r>
          </w:p>
        </w:tc>
        <w:tc>
          <w:tcPr>
            <w:tcW w:w="850" w:type="dxa"/>
            <w:tcBorders>
              <w:top w:val="nil"/>
              <w:left w:val="nil"/>
              <w:bottom w:val="single" w:sz="4" w:space="0" w:color="auto"/>
              <w:right w:val="single" w:sz="4" w:space="0" w:color="auto"/>
            </w:tcBorders>
            <w:shd w:val="clear" w:color="auto" w:fill="auto"/>
            <w:noWrap/>
            <w:vAlign w:val="center"/>
            <w:hideMark/>
          </w:tcPr>
          <w:p w14:paraId="6E988317"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2</w:t>
            </w:r>
          </w:p>
        </w:tc>
        <w:tc>
          <w:tcPr>
            <w:tcW w:w="851" w:type="dxa"/>
            <w:tcBorders>
              <w:top w:val="nil"/>
              <w:left w:val="nil"/>
              <w:bottom w:val="single" w:sz="4" w:space="0" w:color="auto"/>
              <w:right w:val="single" w:sz="4" w:space="0" w:color="auto"/>
            </w:tcBorders>
            <w:shd w:val="clear" w:color="auto" w:fill="auto"/>
            <w:noWrap/>
            <w:vAlign w:val="center"/>
            <w:hideMark/>
          </w:tcPr>
          <w:p w14:paraId="6BE9FF11"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3</w:t>
            </w:r>
          </w:p>
        </w:tc>
        <w:tc>
          <w:tcPr>
            <w:tcW w:w="850" w:type="dxa"/>
            <w:tcBorders>
              <w:top w:val="nil"/>
              <w:left w:val="nil"/>
              <w:bottom w:val="single" w:sz="4" w:space="0" w:color="auto"/>
              <w:right w:val="single" w:sz="4" w:space="0" w:color="auto"/>
            </w:tcBorders>
            <w:shd w:val="clear" w:color="auto" w:fill="auto"/>
            <w:noWrap/>
            <w:vAlign w:val="center"/>
            <w:hideMark/>
          </w:tcPr>
          <w:p w14:paraId="0AEB16CE"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w:t>
            </w:r>
          </w:p>
        </w:tc>
        <w:tc>
          <w:tcPr>
            <w:tcW w:w="851" w:type="dxa"/>
            <w:tcBorders>
              <w:top w:val="nil"/>
              <w:left w:val="nil"/>
              <w:bottom w:val="single" w:sz="4" w:space="0" w:color="auto"/>
              <w:right w:val="single" w:sz="4" w:space="0" w:color="auto"/>
            </w:tcBorders>
            <w:shd w:val="clear" w:color="auto" w:fill="auto"/>
            <w:noWrap/>
            <w:vAlign w:val="center"/>
            <w:hideMark/>
          </w:tcPr>
          <w:p w14:paraId="77D69867"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3</w:t>
            </w:r>
          </w:p>
        </w:tc>
        <w:tc>
          <w:tcPr>
            <w:tcW w:w="850" w:type="dxa"/>
            <w:tcBorders>
              <w:top w:val="nil"/>
              <w:left w:val="nil"/>
              <w:bottom w:val="single" w:sz="4" w:space="0" w:color="auto"/>
              <w:right w:val="single" w:sz="4" w:space="0" w:color="auto"/>
            </w:tcBorders>
            <w:shd w:val="clear" w:color="auto" w:fill="auto"/>
            <w:noWrap/>
            <w:vAlign w:val="center"/>
            <w:hideMark/>
          </w:tcPr>
          <w:p w14:paraId="7EA190C3"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9</w:t>
            </w:r>
          </w:p>
        </w:tc>
        <w:tc>
          <w:tcPr>
            <w:tcW w:w="709" w:type="dxa"/>
            <w:tcBorders>
              <w:top w:val="nil"/>
              <w:left w:val="nil"/>
              <w:bottom w:val="single" w:sz="4" w:space="0" w:color="auto"/>
              <w:right w:val="single" w:sz="4" w:space="0" w:color="auto"/>
            </w:tcBorders>
            <w:shd w:val="clear" w:color="auto" w:fill="auto"/>
            <w:noWrap/>
            <w:vAlign w:val="center"/>
            <w:hideMark/>
          </w:tcPr>
          <w:p w14:paraId="173B9808"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10</w:t>
            </w:r>
          </w:p>
        </w:tc>
        <w:tc>
          <w:tcPr>
            <w:tcW w:w="851" w:type="dxa"/>
            <w:tcBorders>
              <w:top w:val="nil"/>
              <w:left w:val="nil"/>
              <w:bottom w:val="single" w:sz="4" w:space="0" w:color="auto"/>
              <w:right w:val="single" w:sz="4" w:space="0" w:color="auto"/>
            </w:tcBorders>
            <w:shd w:val="clear" w:color="auto" w:fill="auto"/>
            <w:noWrap/>
            <w:vAlign w:val="center"/>
            <w:hideMark/>
          </w:tcPr>
          <w:p w14:paraId="644422E0"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12</w:t>
            </w:r>
          </w:p>
        </w:tc>
        <w:tc>
          <w:tcPr>
            <w:tcW w:w="708" w:type="dxa"/>
            <w:tcBorders>
              <w:top w:val="nil"/>
              <w:left w:val="nil"/>
              <w:bottom w:val="single" w:sz="4" w:space="0" w:color="auto"/>
              <w:right w:val="single" w:sz="4" w:space="0" w:color="auto"/>
            </w:tcBorders>
            <w:shd w:val="clear" w:color="auto" w:fill="auto"/>
            <w:noWrap/>
            <w:vAlign w:val="center"/>
            <w:hideMark/>
          </w:tcPr>
          <w:p w14:paraId="24FADF84"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12</w:t>
            </w:r>
          </w:p>
        </w:tc>
        <w:tc>
          <w:tcPr>
            <w:tcW w:w="996" w:type="dxa"/>
            <w:tcBorders>
              <w:top w:val="nil"/>
              <w:left w:val="nil"/>
              <w:bottom w:val="single" w:sz="4" w:space="0" w:color="auto"/>
              <w:right w:val="single" w:sz="4" w:space="0" w:color="auto"/>
            </w:tcBorders>
            <w:shd w:val="clear" w:color="auto" w:fill="auto"/>
            <w:noWrap/>
            <w:vAlign w:val="center"/>
            <w:hideMark/>
          </w:tcPr>
          <w:p w14:paraId="475D9342"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56</w:t>
            </w:r>
          </w:p>
        </w:tc>
      </w:tr>
      <w:tr w:rsidR="00B74477" w:rsidRPr="00746E61" w14:paraId="4490BD56" w14:textId="77777777" w:rsidTr="00B74477">
        <w:trPr>
          <w:trHeight w:val="235"/>
          <w:jc w:val="center"/>
        </w:trPr>
        <w:tc>
          <w:tcPr>
            <w:tcW w:w="2432" w:type="dxa"/>
            <w:tcBorders>
              <w:top w:val="nil"/>
              <w:left w:val="single" w:sz="4" w:space="0" w:color="auto"/>
              <w:bottom w:val="single" w:sz="4" w:space="0" w:color="auto"/>
              <w:right w:val="single" w:sz="4" w:space="0" w:color="auto"/>
            </w:tcBorders>
            <w:shd w:val="clear" w:color="auto" w:fill="auto"/>
            <w:noWrap/>
            <w:vAlign w:val="center"/>
            <w:hideMark/>
          </w:tcPr>
          <w:p w14:paraId="1F1D04D9" w14:textId="77777777" w:rsidR="004941E4" w:rsidRPr="00746E61" w:rsidRDefault="004941E4" w:rsidP="00746E61">
            <w:pPr>
              <w:spacing w:line="276" w:lineRule="auto"/>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Violencia Doméstica</w:t>
            </w:r>
          </w:p>
        </w:tc>
        <w:tc>
          <w:tcPr>
            <w:tcW w:w="682" w:type="dxa"/>
            <w:tcBorders>
              <w:top w:val="nil"/>
              <w:left w:val="nil"/>
              <w:bottom w:val="single" w:sz="4" w:space="0" w:color="auto"/>
              <w:right w:val="single" w:sz="4" w:space="0" w:color="auto"/>
            </w:tcBorders>
            <w:shd w:val="clear" w:color="auto" w:fill="auto"/>
            <w:noWrap/>
            <w:vAlign w:val="center"/>
            <w:hideMark/>
          </w:tcPr>
          <w:p w14:paraId="374FBC32"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53</w:t>
            </w:r>
          </w:p>
        </w:tc>
        <w:tc>
          <w:tcPr>
            <w:tcW w:w="850" w:type="dxa"/>
            <w:tcBorders>
              <w:top w:val="nil"/>
              <w:left w:val="nil"/>
              <w:bottom w:val="single" w:sz="4" w:space="0" w:color="auto"/>
              <w:right w:val="single" w:sz="4" w:space="0" w:color="auto"/>
            </w:tcBorders>
            <w:shd w:val="clear" w:color="auto" w:fill="auto"/>
            <w:noWrap/>
            <w:vAlign w:val="center"/>
            <w:hideMark/>
          </w:tcPr>
          <w:p w14:paraId="08F388F5"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26</w:t>
            </w:r>
          </w:p>
        </w:tc>
        <w:tc>
          <w:tcPr>
            <w:tcW w:w="851" w:type="dxa"/>
            <w:tcBorders>
              <w:top w:val="nil"/>
              <w:left w:val="nil"/>
              <w:bottom w:val="single" w:sz="4" w:space="0" w:color="auto"/>
              <w:right w:val="single" w:sz="4" w:space="0" w:color="auto"/>
            </w:tcBorders>
            <w:shd w:val="clear" w:color="auto" w:fill="auto"/>
            <w:noWrap/>
            <w:vAlign w:val="center"/>
            <w:hideMark/>
          </w:tcPr>
          <w:p w14:paraId="01D9DABA"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57</w:t>
            </w:r>
          </w:p>
        </w:tc>
        <w:tc>
          <w:tcPr>
            <w:tcW w:w="850" w:type="dxa"/>
            <w:tcBorders>
              <w:top w:val="nil"/>
              <w:left w:val="nil"/>
              <w:bottom w:val="single" w:sz="4" w:space="0" w:color="auto"/>
              <w:right w:val="single" w:sz="4" w:space="0" w:color="auto"/>
            </w:tcBorders>
            <w:shd w:val="clear" w:color="auto" w:fill="auto"/>
            <w:noWrap/>
            <w:vAlign w:val="center"/>
            <w:hideMark/>
          </w:tcPr>
          <w:p w14:paraId="1DA8BC22"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209</w:t>
            </w:r>
          </w:p>
        </w:tc>
        <w:tc>
          <w:tcPr>
            <w:tcW w:w="851" w:type="dxa"/>
            <w:tcBorders>
              <w:top w:val="nil"/>
              <w:left w:val="nil"/>
              <w:bottom w:val="single" w:sz="4" w:space="0" w:color="auto"/>
              <w:right w:val="single" w:sz="4" w:space="0" w:color="auto"/>
            </w:tcBorders>
            <w:shd w:val="clear" w:color="auto" w:fill="auto"/>
            <w:noWrap/>
            <w:vAlign w:val="center"/>
            <w:hideMark/>
          </w:tcPr>
          <w:p w14:paraId="6D461E6C"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155</w:t>
            </w:r>
          </w:p>
        </w:tc>
        <w:tc>
          <w:tcPr>
            <w:tcW w:w="850" w:type="dxa"/>
            <w:tcBorders>
              <w:top w:val="nil"/>
              <w:left w:val="nil"/>
              <w:bottom w:val="single" w:sz="4" w:space="0" w:color="auto"/>
              <w:right w:val="single" w:sz="4" w:space="0" w:color="auto"/>
            </w:tcBorders>
            <w:shd w:val="clear" w:color="auto" w:fill="auto"/>
            <w:noWrap/>
            <w:vAlign w:val="center"/>
            <w:hideMark/>
          </w:tcPr>
          <w:p w14:paraId="3609FD50"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146</w:t>
            </w:r>
          </w:p>
        </w:tc>
        <w:tc>
          <w:tcPr>
            <w:tcW w:w="709" w:type="dxa"/>
            <w:tcBorders>
              <w:top w:val="nil"/>
              <w:left w:val="nil"/>
              <w:bottom w:val="single" w:sz="4" w:space="0" w:color="auto"/>
              <w:right w:val="single" w:sz="4" w:space="0" w:color="auto"/>
            </w:tcBorders>
            <w:shd w:val="clear" w:color="auto" w:fill="auto"/>
            <w:noWrap/>
            <w:vAlign w:val="center"/>
            <w:hideMark/>
          </w:tcPr>
          <w:p w14:paraId="3847A514"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124</w:t>
            </w:r>
          </w:p>
        </w:tc>
        <w:tc>
          <w:tcPr>
            <w:tcW w:w="851" w:type="dxa"/>
            <w:tcBorders>
              <w:top w:val="nil"/>
              <w:left w:val="nil"/>
              <w:bottom w:val="single" w:sz="4" w:space="0" w:color="auto"/>
              <w:right w:val="single" w:sz="4" w:space="0" w:color="auto"/>
            </w:tcBorders>
            <w:shd w:val="clear" w:color="auto" w:fill="auto"/>
            <w:noWrap/>
            <w:vAlign w:val="center"/>
            <w:hideMark/>
          </w:tcPr>
          <w:p w14:paraId="2F94C0E4"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117</w:t>
            </w:r>
          </w:p>
        </w:tc>
        <w:tc>
          <w:tcPr>
            <w:tcW w:w="708" w:type="dxa"/>
            <w:tcBorders>
              <w:top w:val="nil"/>
              <w:left w:val="nil"/>
              <w:bottom w:val="single" w:sz="4" w:space="0" w:color="auto"/>
              <w:right w:val="single" w:sz="4" w:space="0" w:color="auto"/>
            </w:tcBorders>
            <w:shd w:val="clear" w:color="auto" w:fill="auto"/>
            <w:noWrap/>
            <w:vAlign w:val="center"/>
            <w:hideMark/>
          </w:tcPr>
          <w:p w14:paraId="78B8AF62"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111</w:t>
            </w:r>
          </w:p>
        </w:tc>
        <w:tc>
          <w:tcPr>
            <w:tcW w:w="996" w:type="dxa"/>
            <w:tcBorders>
              <w:top w:val="nil"/>
              <w:left w:val="nil"/>
              <w:bottom w:val="single" w:sz="4" w:space="0" w:color="auto"/>
              <w:right w:val="single" w:sz="4" w:space="0" w:color="auto"/>
            </w:tcBorders>
            <w:shd w:val="clear" w:color="auto" w:fill="auto"/>
            <w:noWrap/>
            <w:vAlign w:val="center"/>
            <w:hideMark/>
          </w:tcPr>
          <w:p w14:paraId="602D4A85"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998</w:t>
            </w:r>
          </w:p>
        </w:tc>
      </w:tr>
      <w:tr w:rsidR="004941E4" w:rsidRPr="00746E61" w14:paraId="12F50E4E" w14:textId="77777777" w:rsidTr="00B74477">
        <w:trPr>
          <w:trHeight w:val="235"/>
          <w:jc w:val="center"/>
        </w:trPr>
        <w:tc>
          <w:tcPr>
            <w:tcW w:w="2432" w:type="dxa"/>
            <w:tcBorders>
              <w:top w:val="nil"/>
              <w:left w:val="single" w:sz="4" w:space="0" w:color="auto"/>
              <w:bottom w:val="single" w:sz="4" w:space="0" w:color="auto"/>
              <w:right w:val="single" w:sz="4" w:space="0" w:color="auto"/>
            </w:tcBorders>
            <w:shd w:val="clear" w:color="000000" w:fill="DDEBF7"/>
            <w:noWrap/>
            <w:vAlign w:val="center"/>
            <w:hideMark/>
          </w:tcPr>
          <w:p w14:paraId="7FBC7118" w14:textId="77777777" w:rsidR="004941E4" w:rsidRPr="00746E61" w:rsidRDefault="004941E4" w:rsidP="00746E61">
            <w:pPr>
              <w:spacing w:line="276" w:lineRule="auto"/>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Penal</w:t>
            </w:r>
          </w:p>
        </w:tc>
        <w:tc>
          <w:tcPr>
            <w:tcW w:w="682" w:type="dxa"/>
            <w:tcBorders>
              <w:top w:val="nil"/>
              <w:left w:val="nil"/>
              <w:bottom w:val="single" w:sz="4" w:space="0" w:color="auto"/>
              <w:right w:val="single" w:sz="4" w:space="0" w:color="auto"/>
            </w:tcBorders>
            <w:shd w:val="clear" w:color="000000" w:fill="DDEBF7"/>
            <w:noWrap/>
            <w:vAlign w:val="center"/>
            <w:hideMark/>
          </w:tcPr>
          <w:p w14:paraId="7B4B9249" w14:textId="77777777" w:rsidR="004941E4" w:rsidRPr="00746E61" w:rsidRDefault="004941E4"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645</w:t>
            </w:r>
          </w:p>
        </w:tc>
        <w:tc>
          <w:tcPr>
            <w:tcW w:w="850" w:type="dxa"/>
            <w:tcBorders>
              <w:top w:val="nil"/>
              <w:left w:val="nil"/>
              <w:bottom w:val="single" w:sz="4" w:space="0" w:color="auto"/>
              <w:right w:val="single" w:sz="4" w:space="0" w:color="auto"/>
            </w:tcBorders>
            <w:shd w:val="clear" w:color="000000" w:fill="DDEBF7"/>
            <w:noWrap/>
            <w:vAlign w:val="center"/>
            <w:hideMark/>
          </w:tcPr>
          <w:p w14:paraId="1D38025E" w14:textId="77777777" w:rsidR="004941E4" w:rsidRPr="00746E61" w:rsidRDefault="004941E4"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648</w:t>
            </w:r>
          </w:p>
        </w:tc>
        <w:tc>
          <w:tcPr>
            <w:tcW w:w="851" w:type="dxa"/>
            <w:tcBorders>
              <w:top w:val="nil"/>
              <w:left w:val="nil"/>
              <w:bottom w:val="single" w:sz="4" w:space="0" w:color="auto"/>
              <w:right w:val="single" w:sz="4" w:space="0" w:color="auto"/>
            </w:tcBorders>
            <w:shd w:val="clear" w:color="000000" w:fill="DDEBF7"/>
            <w:noWrap/>
            <w:vAlign w:val="center"/>
            <w:hideMark/>
          </w:tcPr>
          <w:p w14:paraId="08BF8FC4" w14:textId="77777777" w:rsidR="004941E4" w:rsidRPr="00746E61" w:rsidRDefault="004941E4"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641</w:t>
            </w:r>
          </w:p>
        </w:tc>
        <w:tc>
          <w:tcPr>
            <w:tcW w:w="850" w:type="dxa"/>
            <w:tcBorders>
              <w:top w:val="nil"/>
              <w:left w:val="nil"/>
              <w:bottom w:val="single" w:sz="4" w:space="0" w:color="auto"/>
              <w:right w:val="single" w:sz="4" w:space="0" w:color="auto"/>
            </w:tcBorders>
            <w:shd w:val="clear" w:color="000000" w:fill="DDEBF7"/>
            <w:noWrap/>
            <w:vAlign w:val="center"/>
            <w:hideMark/>
          </w:tcPr>
          <w:p w14:paraId="37FB0DD9" w14:textId="77777777" w:rsidR="004941E4" w:rsidRPr="00746E61" w:rsidRDefault="004941E4"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841</w:t>
            </w:r>
          </w:p>
        </w:tc>
        <w:tc>
          <w:tcPr>
            <w:tcW w:w="851" w:type="dxa"/>
            <w:tcBorders>
              <w:top w:val="nil"/>
              <w:left w:val="nil"/>
              <w:bottom w:val="single" w:sz="4" w:space="0" w:color="auto"/>
              <w:right w:val="single" w:sz="4" w:space="0" w:color="auto"/>
            </w:tcBorders>
            <w:shd w:val="clear" w:color="000000" w:fill="DDEBF7"/>
            <w:noWrap/>
            <w:vAlign w:val="center"/>
            <w:hideMark/>
          </w:tcPr>
          <w:p w14:paraId="354F07CA" w14:textId="77777777" w:rsidR="004941E4" w:rsidRPr="00746E61" w:rsidRDefault="004941E4"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849</w:t>
            </w:r>
          </w:p>
        </w:tc>
        <w:tc>
          <w:tcPr>
            <w:tcW w:w="850" w:type="dxa"/>
            <w:tcBorders>
              <w:top w:val="nil"/>
              <w:left w:val="nil"/>
              <w:bottom w:val="single" w:sz="4" w:space="0" w:color="auto"/>
              <w:right w:val="single" w:sz="4" w:space="0" w:color="auto"/>
            </w:tcBorders>
            <w:shd w:val="clear" w:color="000000" w:fill="DDEBF7"/>
            <w:noWrap/>
            <w:vAlign w:val="center"/>
            <w:hideMark/>
          </w:tcPr>
          <w:p w14:paraId="33EA8E93" w14:textId="77777777" w:rsidR="004941E4" w:rsidRPr="00746E61" w:rsidRDefault="004941E4"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876</w:t>
            </w:r>
          </w:p>
        </w:tc>
        <w:tc>
          <w:tcPr>
            <w:tcW w:w="709" w:type="dxa"/>
            <w:tcBorders>
              <w:top w:val="nil"/>
              <w:left w:val="nil"/>
              <w:bottom w:val="single" w:sz="4" w:space="0" w:color="auto"/>
              <w:right w:val="single" w:sz="4" w:space="0" w:color="auto"/>
            </w:tcBorders>
            <w:shd w:val="clear" w:color="000000" w:fill="DDEBF7"/>
            <w:noWrap/>
            <w:vAlign w:val="center"/>
            <w:hideMark/>
          </w:tcPr>
          <w:p w14:paraId="486C6E1A" w14:textId="77777777" w:rsidR="004941E4" w:rsidRPr="00746E61" w:rsidRDefault="004941E4"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888</w:t>
            </w:r>
          </w:p>
        </w:tc>
        <w:tc>
          <w:tcPr>
            <w:tcW w:w="851" w:type="dxa"/>
            <w:tcBorders>
              <w:top w:val="nil"/>
              <w:left w:val="nil"/>
              <w:bottom w:val="single" w:sz="4" w:space="0" w:color="auto"/>
              <w:right w:val="single" w:sz="4" w:space="0" w:color="auto"/>
            </w:tcBorders>
            <w:shd w:val="clear" w:color="000000" w:fill="DDEBF7"/>
            <w:noWrap/>
            <w:vAlign w:val="center"/>
            <w:hideMark/>
          </w:tcPr>
          <w:p w14:paraId="02C8A6FA" w14:textId="77777777" w:rsidR="004941E4" w:rsidRPr="00746E61" w:rsidRDefault="004941E4"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870</w:t>
            </w:r>
          </w:p>
        </w:tc>
        <w:tc>
          <w:tcPr>
            <w:tcW w:w="708" w:type="dxa"/>
            <w:tcBorders>
              <w:top w:val="nil"/>
              <w:left w:val="nil"/>
              <w:bottom w:val="single" w:sz="4" w:space="0" w:color="auto"/>
              <w:right w:val="single" w:sz="4" w:space="0" w:color="auto"/>
            </w:tcBorders>
            <w:shd w:val="clear" w:color="000000" w:fill="DDEBF7"/>
            <w:noWrap/>
            <w:vAlign w:val="center"/>
            <w:hideMark/>
          </w:tcPr>
          <w:p w14:paraId="66BA7BE4" w14:textId="77777777" w:rsidR="004941E4" w:rsidRPr="00746E61" w:rsidRDefault="004941E4"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994</w:t>
            </w:r>
          </w:p>
        </w:tc>
        <w:tc>
          <w:tcPr>
            <w:tcW w:w="996" w:type="dxa"/>
            <w:tcBorders>
              <w:top w:val="nil"/>
              <w:left w:val="nil"/>
              <w:bottom w:val="single" w:sz="4" w:space="0" w:color="auto"/>
              <w:right w:val="single" w:sz="4" w:space="0" w:color="auto"/>
            </w:tcBorders>
            <w:shd w:val="clear" w:color="000000" w:fill="DDEBF7"/>
            <w:noWrap/>
            <w:vAlign w:val="center"/>
            <w:hideMark/>
          </w:tcPr>
          <w:p w14:paraId="1B2FC714" w14:textId="77777777" w:rsidR="004941E4" w:rsidRPr="00746E61" w:rsidRDefault="004941E4"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7252</w:t>
            </w:r>
          </w:p>
        </w:tc>
      </w:tr>
      <w:tr w:rsidR="00B74477" w:rsidRPr="00746E61" w14:paraId="37AB6EFF" w14:textId="77777777" w:rsidTr="00B74477">
        <w:trPr>
          <w:trHeight w:val="235"/>
          <w:jc w:val="center"/>
        </w:trPr>
        <w:tc>
          <w:tcPr>
            <w:tcW w:w="2432" w:type="dxa"/>
            <w:tcBorders>
              <w:top w:val="nil"/>
              <w:left w:val="single" w:sz="4" w:space="0" w:color="auto"/>
              <w:bottom w:val="single" w:sz="4" w:space="0" w:color="auto"/>
              <w:right w:val="single" w:sz="4" w:space="0" w:color="auto"/>
            </w:tcBorders>
            <w:shd w:val="clear" w:color="auto" w:fill="auto"/>
            <w:noWrap/>
            <w:vAlign w:val="center"/>
            <w:hideMark/>
          </w:tcPr>
          <w:p w14:paraId="5E32771D" w14:textId="77777777" w:rsidR="004941E4" w:rsidRPr="00746E61" w:rsidRDefault="004941E4" w:rsidP="00746E61">
            <w:pPr>
              <w:spacing w:line="276" w:lineRule="auto"/>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Juzgado de Ejecución de la Pena</w:t>
            </w:r>
          </w:p>
        </w:tc>
        <w:tc>
          <w:tcPr>
            <w:tcW w:w="682" w:type="dxa"/>
            <w:tcBorders>
              <w:top w:val="nil"/>
              <w:left w:val="nil"/>
              <w:bottom w:val="single" w:sz="4" w:space="0" w:color="auto"/>
              <w:right w:val="single" w:sz="4" w:space="0" w:color="auto"/>
            </w:tcBorders>
            <w:shd w:val="clear" w:color="auto" w:fill="auto"/>
            <w:noWrap/>
            <w:vAlign w:val="center"/>
            <w:hideMark/>
          </w:tcPr>
          <w:p w14:paraId="511076E4"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29</w:t>
            </w:r>
          </w:p>
        </w:tc>
        <w:tc>
          <w:tcPr>
            <w:tcW w:w="850" w:type="dxa"/>
            <w:tcBorders>
              <w:top w:val="nil"/>
              <w:left w:val="nil"/>
              <w:bottom w:val="single" w:sz="4" w:space="0" w:color="auto"/>
              <w:right w:val="single" w:sz="4" w:space="0" w:color="auto"/>
            </w:tcBorders>
            <w:shd w:val="clear" w:color="auto" w:fill="auto"/>
            <w:noWrap/>
            <w:vAlign w:val="center"/>
            <w:hideMark/>
          </w:tcPr>
          <w:p w14:paraId="7FADDD1E"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13</w:t>
            </w:r>
          </w:p>
        </w:tc>
        <w:tc>
          <w:tcPr>
            <w:tcW w:w="851" w:type="dxa"/>
            <w:tcBorders>
              <w:top w:val="nil"/>
              <w:left w:val="nil"/>
              <w:bottom w:val="single" w:sz="4" w:space="0" w:color="auto"/>
              <w:right w:val="single" w:sz="4" w:space="0" w:color="auto"/>
            </w:tcBorders>
            <w:shd w:val="clear" w:color="auto" w:fill="auto"/>
            <w:noWrap/>
            <w:vAlign w:val="center"/>
            <w:hideMark/>
          </w:tcPr>
          <w:p w14:paraId="4C08D55D"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0</w:t>
            </w:r>
          </w:p>
        </w:tc>
        <w:tc>
          <w:tcPr>
            <w:tcW w:w="850" w:type="dxa"/>
            <w:tcBorders>
              <w:top w:val="nil"/>
              <w:left w:val="nil"/>
              <w:bottom w:val="single" w:sz="4" w:space="0" w:color="auto"/>
              <w:right w:val="single" w:sz="4" w:space="0" w:color="auto"/>
            </w:tcBorders>
            <w:shd w:val="clear" w:color="auto" w:fill="auto"/>
            <w:noWrap/>
            <w:vAlign w:val="center"/>
            <w:hideMark/>
          </w:tcPr>
          <w:p w14:paraId="09EE283B"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103</w:t>
            </w:r>
          </w:p>
        </w:tc>
        <w:tc>
          <w:tcPr>
            <w:tcW w:w="851" w:type="dxa"/>
            <w:tcBorders>
              <w:top w:val="nil"/>
              <w:left w:val="nil"/>
              <w:bottom w:val="single" w:sz="4" w:space="0" w:color="auto"/>
              <w:right w:val="single" w:sz="4" w:space="0" w:color="auto"/>
            </w:tcBorders>
            <w:shd w:val="clear" w:color="auto" w:fill="auto"/>
            <w:noWrap/>
            <w:vAlign w:val="center"/>
            <w:hideMark/>
          </w:tcPr>
          <w:p w14:paraId="108A11F0"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119</w:t>
            </w:r>
          </w:p>
        </w:tc>
        <w:tc>
          <w:tcPr>
            <w:tcW w:w="850" w:type="dxa"/>
            <w:tcBorders>
              <w:top w:val="nil"/>
              <w:left w:val="nil"/>
              <w:bottom w:val="single" w:sz="4" w:space="0" w:color="auto"/>
              <w:right w:val="single" w:sz="4" w:space="0" w:color="auto"/>
            </w:tcBorders>
            <w:shd w:val="clear" w:color="auto" w:fill="auto"/>
            <w:noWrap/>
            <w:vAlign w:val="center"/>
            <w:hideMark/>
          </w:tcPr>
          <w:p w14:paraId="1BDEE800"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129</w:t>
            </w:r>
          </w:p>
        </w:tc>
        <w:tc>
          <w:tcPr>
            <w:tcW w:w="709" w:type="dxa"/>
            <w:tcBorders>
              <w:top w:val="nil"/>
              <w:left w:val="nil"/>
              <w:bottom w:val="single" w:sz="4" w:space="0" w:color="auto"/>
              <w:right w:val="single" w:sz="4" w:space="0" w:color="auto"/>
            </w:tcBorders>
            <w:shd w:val="clear" w:color="auto" w:fill="auto"/>
            <w:noWrap/>
            <w:vAlign w:val="center"/>
            <w:hideMark/>
          </w:tcPr>
          <w:p w14:paraId="51770A3C"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149</w:t>
            </w:r>
          </w:p>
        </w:tc>
        <w:tc>
          <w:tcPr>
            <w:tcW w:w="851" w:type="dxa"/>
            <w:tcBorders>
              <w:top w:val="nil"/>
              <w:left w:val="nil"/>
              <w:bottom w:val="single" w:sz="4" w:space="0" w:color="auto"/>
              <w:right w:val="single" w:sz="4" w:space="0" w:color="auto"/>
            </w:tcBorders>
            <w:shd w:val="clear" w:color="auto" w:fill="auto"/>
            <w:noWrap/>
            <w:vAlign w:val="center"/>
            <w:hideMark/>
          </w:tcPr>
          <w:p w14:paraId="5ED08F83"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164</w:t>
            </w:r>
          </w:p>
        </w:tc>
        <w:tc>
          <w:tcPr>
            <w:tcW w:w="708" w:type="dxa"/>
            <w:tcBorders>
              <w:top w:val="nil"/>
              <w:left w:val="nil"/>
              <w:bottom w:val="single" w:sz="4" w:space="0" w:color="auto"/>
              <w:right w:val="single" w:sz="4" w:space="0" w:color="auto"/>
            </w:tcBorders>
            <w:shd w:val="clear" w:color="auto" w:fill="auto"/>
            <w:noWrap/>
            <w:vAlign w:val="center"/>
            <w:hideMark/>
          </w:tcPr>
          <w:p w14:paraId="021E8E21"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198</w:t>
            </w:r>
          </w:p>
        </w:tc>
        <w:tc>
          <w:tcPr>
            <w:tcW w:w="996" w:type="dxa"/>
            <w:tcBorders>
              <w:top w:val="nil"/>
              <w:left w:val="nil"/>
              <w:bottom w:val="single" w:sz="4" w:space="0" w:color="auto"/>
              <w:right w:val="single" w:sz="4" w:space="0" w:color="auto"/>
            </w:tcBorders>
            <w:shd w:val="clear" w:color="auto" w:fill="auto"/>
            <w:noWrap/>
            <w:vAlign w:val="center"/>
            <w:hideMark/>
          </w:tcPr>
          <w:p w14:paraId="693F2CED"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904</w:t>
            </w:r>
          </w:p>
        </w:tc>
      </w:tr>
      <w:tr w:rsidR="00B74477" w:rsidRPr="00746E61" w14:paraId="6EBE3F33" w14:textId="77777777" w:rsidTr="00B74477">
        <w:trPr>
          <w:trHeight w:val="235"/>
          <w:jc w:val="center"/>
        </w:trPr>
        <w:tc>
          <w:tcPr>
            <w:tcW w:w="2432" w:type="dxa"/>
            <w:tcBorders>
              <w:top w:val="nil"/>
              <w:left w:val="single" w:sz="4" w:space="0" w:color="auto"/>
              <w:bottom w:val="single" w:sz="4" w:space="0" w:color="auto"/>
              <w:right w:val="single" w:sz="4" w:space="0" w:color="auto"/>
            </w:tcBorders>
            <w:shd w:val="clear" w:color="auto" w:fill="auto"/>
            <w:noWrap/>
            <w:vAlign w:val="center"/>
            <w:hideMark/>
          </w:tcPr>
          <w:p w14:paraId="46CDF086" w14:textId="77777777" w:rsidR="004941E4" w:rsidRPr="00746E61" w:rsidRDefault="004941E4" w:rsidP="00746E61">
            <w:pPr>
              <w:spacing w:line="276" w:lineRule="auto"/>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Juzgado Penal</w:t>
            </w:r>
          </w:p>
        </w:tc>
        <w:tc>
          <w:tcPr>
            <w:tcW w:w="682" w:type="dxa"/>
            <w:tcBorders>
              <w:top w:val="nil"/>
              <w:left w:val="nil"/>
              <w:bottom w:val="single" w:sz="4" w:space="0" w:color="auto"/>
              <w:right w:val="single" w:sz="4" w:space="0" w:color="auto"/>
            </w:tcBorders>
            <w:shd w:val="clear" w:color="auto" w:fill="auto"/>
            <w:noWrap/>
            <w:vAlign w:val="center"/>
            <w:hideMark/>
          </w:tcPr>
          <w:p w14:paraId="65910DE2"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499</w:t>
            </w:r>
          </w:p>
        </w:tc>
        <w:tc>
          <w:tcPr>
            <w:tcW w:w="850" w:type="dxa"/>
            <w:tcBorders>
              <w:top w:val="nil"/>
              <w:left w:val="nil"/>
              <w:bottom w:val="single" w:sz="4" w:space="0" w:color="auto"/>
              <w:right w:val="single" w:sz="4" w:space="0" w:color="auto"/>
            </w:tcBorders>
            <w:shd w:val="clear" w:color="auto" w:fill="auto"/>
            <w:noWrap/>
            <w:vAlign w:val="center"/>
            <w:hideMark/>
          </w:tcPr>
          <w:p w14:paraId="08CE82B4"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512</w:t>
            </w:r>
          </w:p>
        </w:tc>
        <w:tc>
          <w:tcPr>
            <w:tcW w:w="851" w:type="dxa"/>
            <w:tcBorders>
              <w:top w:val="nil"/>
              <w:left w:val="nil"/>
              <w:bottom w:val="single" w:sz="4" w:space="0" w:color="auto"/>
              <w:right w:val="single" w:sz="4" w:space="0" w:color="auto"/>
            </w:tcBorders>
            <w:shd w:val="clear" w:color="auto" w:fill="auto"/>
            <w:noWrap/>
            <w:vAlign w:val="center"/>
            <w:hideMark/>
          </w:tcPr>
          <w:p w14:paraId="7578E092"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538</w:t>
            </w:r>
          </w:p>
        </w:tc>
        <w:tc>
          <w:tcPr>
            <w:tcW w:w="850" w:type="dxa"/>
            <w:tcBorders>
              <w:top w:val="nil"/>
              <w:left w:val="nil"/>
              <w:bottom w:val="single" w:sz="4" w:space="0" w:color="auto"/>
              <w:right w:val="single" w:sz="4" w:space="0" w:color="auto"/>
            </w:tcBorders>
            <w:shd w:val="clear" w:color="auto" w:fill="auto"/>
            <w:noWrap/>
            <w:vAlign w:val="center"/>
            <w:hideMark/>
          </w:tcPr>
          <w:p w14:paraId="394C2F2F"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637</w:t>
            </w:r>
          </w:p>
        </w:tc>
        <w:tc>
          <w:tcPr>
            <w:tcW w:w="851" w:type="dxa"/>
            <w:tcBorders>
              <w:top w:val="nil"/>
              <w:left w:val="nil"/>
              <w:bottom w:val="single" w:sz="4" w:space="0" w:color="auto"/>
              <w:right w:val="single" w:sz="4" w:space="0" w:color="auto"/>
            </w:tcBorders>
            <w:shd w:val="clear" w:color="auto" w:fill="auto"/>
            <w:noWrap/>
            <w:vAlign w:val="center"/>
            <w:hideMark/>
          </w:tcPr>
          <w:p w14:paraId="3ABAF883"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594</w:t>
            </w:r>
          </w:p>
        </w:tc>
        <w:tc>
          <w:tcPr>
            <w:tcW w:w="850" w:type="dxa"/>
            <w:tcBorders>
              <w:top w:val="nil"/>
              <w:left w:val="nil"/>
              <w:bottom w:val="single" w:sz="4" w:space="0" w:color="auto"/>
              <w:right w:val="single" w:sz="4" w:space="0" w:color="auto"/>
            </w:tcBorders>
            <w:shd w:val="clear" w:color="auto" w:fill="auto"/>
            <w:noWrap/>
            <w:vAlign w:val="center"/>
            <w:hideMark/>
          </w:tcPr>
          <w:p w14:paraId="31DC9CA5"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595</w:t>
            </w:r>
          </w:p>
        </w:tc>
        <w:tc>
          <w:tcPr>
            <w:tcW w:w="709" w:type="dxa"/>
            <w:tcBorders>
              <w:top w:val="nil"/>
              <w:left w:val="nil"/>
              <w:bottom w:val="single" w:sz="4" w:space="0" w:color="auto"/>
              <w:right w:val="single" w:sz="4" w:space="0" w:color="auto"/>
            </w:tcBorders>
            <w:shd w:val="clear" w:color="auto" w:fill="auto"/>
            <w:noWrap/>
            <w:vAlign w:val="center"/>
            <w:hideMark/>
          </w:tcPr>
          <w:p w14:paraId="777244B9"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569</w:t>
            </w:r>
          </w:p>
        </w:tc>
        <w:tc>
          <w:tcPr>
            <w:tcW w:w="851" w:type="dxa"/>
            <w:tcBorders>
              <w:top w:val="nil"/>
              <w:left w:val="nil"/>
              <w:bottom w:val="single" w:sz="4" w:space="0" w:color="auto"/>
              <w:right w:val="single" w:sz="4" w:space="0" w:color="auto"/>
            </w:tcBorders>
            <w:shd w:val="clear" w:color="auto" w:fill="auto"/>
            <w:noWrap/>
            <w:vAlign w:val="center"/>
            <w:hideMark/>
          </w:tcPr>
          <w:p w14:paraId="75C364CA"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586</w:t>
            </w:r>
          </w:p>
        </w:tc>
        <w:tc>
          <w:tcPr>
            <w:tcW w:w="708" w:type="dxa"/>
            <w:tcBorders>
              <w:top w:val="nil"/>
              <w:left w:val="nil"/>
              <w:bottom w:val="single" w:sz="4" w:space="0" w:color="auto"/>
              <w:right w:val="single" w:sz="4" w:space="0" w:color="auto"/>
            </w:tcBorders>
            <w:shd w:val="clear" w:color="auto" w:fill="auto"/>
            <w:noWrap/>
            <w:vAlign w:val="center"/>
            <w:hideMark/>
          </w:tcPr>
          <w:p w14:paraId="63FE95B0"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663</w:t>
            </w:r>
          </w:p>
        </w:tc>
        <w:tc>
          <w:tcPr>
            <w:tcW w:w="996" w:type="dxa"/>
            <w:tcBorders>
              <w:top w:val="nil"/>
              <w:left w:val="nil"/>
              <w:bottom w:val="single" w:sz="4" w:space="0" w:color="auto"/>
              <w:right w:val="single" w:sz="4" w:space="0" w:color="auto"/>
            </w:tcBorders>
            <w:shd w:val="clear" w:color="auto" w:fill="auto"/>
            <w:noWrap/>
            <w:vAlign w:val="center"/>
            <w:hideMark/>
          </w:tcPr>
          <w:p w14:paraId="38C167F7"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5193</w:t>
            </w:r>
          </w:p>
        </w:tc>
      </w:tr>
      <w:tr w:rsidR="00B74477" w:rsidRPr="00746E61" w14:paraId="3E1C22EA" w14:textId="77777777" w:rsidTr="00B74477">
        <w:trPr>
          <w:trHeight w:val="235"/>
          <w:jc w:val="center"/>
        </w:trPr>
        <w:tc>
          <w:tcPr>
            <w:tcW w:w="2432" w:type="dxa"/>
            <w:tcBorders>
              <w:top w:val="nil"/>
              <w:left w:val="single" w:sz="4" w:space="0" w:color="auto"/>
              <w:bottom w:val="single" w:sz="4" w:space="0" w:color="auto"/>
              <w:right w:val="single" w:sz="4" w:space="0" w:color="auto"/>
            </w:tcBorders>
            <w:shd w:val="clear" w:color="auto" w:fill="auto"/>
            <w:noWrap/>
            <w:vAlign w:val="center"/>
            <w:hideMark/>
          </w:tcPr>
          <w:p w14:paraId="138B8AE1" w14:textId="77777777" w:rsidR="004941E4" w:rsidRPr="00746E61" w:rsidRDefault="004941E4" w:rsidP="00746E61">
            <w:pPr>
              <w:spacing w:line="276" w:lineRule="auto"/>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Juzgado Penal Juvenil</w:t>
            </w:r>
          </w:p>
        </w:tc>
        <w:tc>
          <w:tcPr>
            <w:tcW w:w="682" w:type="dxa"/>
            <w:tcBorders>
              <w:top w:val="nil"/>
              <w:left w:val="nil"/>
              <w:bottom w:val="single" w:sz="4" w:space="0" w:color="auto"/>
              <w:right w:val="single" w:sz="4" w:space="0" w:color="auto"/>
            </w:tcBorders>
            <w:shd w:val="clear" w:color="auto" w:fill="auto"/>
            <w:noWrap/>
            <w:vAlign w:val="center"/>
            <w:hideMark/>
          </w:tcPr>
          <w:p w14:paraId="6B5B9D3F"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67</w:t>
            </w:r>
          </w:p>
        </w:tc>
        <w:tc>
          <w:tcPr>
            <w:tcW w:w="850" w:type="dxa"/>
            <w:tcBorders>
              <w:top w:val="nil"/>
              <w:left w:val="nil"/>
              <w:bottom w:val="single" w:sz="4" w:space="0" w:color="auto"/>
              <w:right w:val="single" w:sz="4" w:space="0" w:color="auto"/>
            </w:tcBorders>
            <w:shd w:val="clear" w:color="auto" w:fill="auto"/>
            <w:noWrap/>
            <w:vAlign w:val="center"/>
            <w:hideMark/>
          </w:tcPr>
          <w:p w14:paraId="34AC6CFA"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99</w:t>
            </w:r>
          </w:p>
        </w:tc>
        <w:tc>
          <w:tcPr>
            <w:tcW w:w="851" w:type="dxa"/>
            <w:tcBorders>
              <w:top w:val="nil"/>
              <w:left w:val="nil"/>
              <w:bottom w:val="single" w:sz="4" w:space="0" w:color="auto"/>
              <w:right w:val="single" w:sz="4" w:space="0" w:color="auto"/>
            </w:tcBorders>
            <w:shd w:val="clear" w:color="auto" w:fill="auto"/>
            <w:noWrap/>
            <w:vAlign w:val="center"/>
            <w:hideMark/>
          </w:tcPr>
          <w:p w14:paraId="55DD8CA9"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86</w:t>
            </w:r>
          </w:p>
        </w:tc>
        <w:tc>
          <w:tcPr>
            <w:tcW w:w="850" w:type="dxa"/>
            <w:tcBorders>
              <w:top w:val="nil"/>
              <w:left w:val="nil"/>
              <w:bottom w:val="single" w:sz="4" w:space="0" w:color="auto"/>
              <w:right w:val="single" w:sz="4" w:space="0" w:color="auto"/>
            </w:tcBorders>
            <w:shd w:val="clear" w:color="auto" w:fill="auto"/>
            <w:noWrap/>
            <w:vAlign w:val="center"/>
            <w:hideMark/>
          </w:tcPr>
          <w:p w14:paraId="2F6A0111"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75</w:t>
            </w:r>
          </w:p>
        </w:tc>
        <w:tc>
          <w:tcPr>
            <w:tcW w:w="851" w:type="dxa"/>
            <w:tcBorders>
              <w:top w:val="nil"/>
              <w:left w:val="nil"/>
              <w:bottom w:val="single" w:sz="4" w:space="0" w:color="auto"/>
              <w:right w:val="single" w:sz="4" w:space="0" w:color="auto"/>
            </w:tcBorders>
            <w:shd w:val="clear" w:color="auto" w:fill="auto"/>
            <w:noWrap/>
            <w:vAlign w:val="center"/>
            <w:hideMark/>
          </w:tcPr>
          <w:p w14:paraId="10B7C292"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81</w:t>
            </w:r>
          </w:p>
        </w:tc>
        <w:tc>
          <w:tcPr>
            <w:tcW w:w="850" w:type="dxa"/>
            <w:tcBorders>
              <w:top w:val="nil"/>
              <w:left w:val="nil"/>
              <w:bottom w:val="single" w:sz="4" w:space="0" w:color="auto"/>
              <w:right w:val="single" w:sz="4" w:space="0" w:color="auto"/>
            </w:tcBorders>
            <w:shd w:val="clear" w:color="auto" w:fill="auto"/>
            <w:noWrap/>
            <w:vAlign w:val="center"/>
            <w:hideMark/>
          </w:tcPr>
          <w:p w14:paraId="74B002E6"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79</w:t>
            </w:r>
          </w:p>
        </w:tc>
        <w:tc>
          <w:tcPr>
            <w:tcW w:w="709" w:type="dxa"/>
            <w:tcBorders>
              <w:top w:val="nil"/>
              <w:left w:val="nil"/>
              <w:bottom w:val="single" w:sz="4" w:space="0" w:color="auto"/>
              <w:right w:val="single" w:sz="4" w:space="0" w:color="auto"/>
            </w:tcBorders>
            <w:shd w:val="clear" w:color="auto" w:fill="auto"/>
            <w:noWrap/>
            <w:vAlign w:val="center"/>
            <w:hideMark/>
          </w:tcPr>
          <w:p w14:paraId="1F6C23AC"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109</w:t>
            </w:r>
          </w:p>
        </w:tc>
        <w:tc>
          <w:tcPr>
            <w:tcW w:w="851" w:type="dxa"/>
            <w:tcBorders>
              <w:top w:val="nil"/>
              <w:left w:val="nil"/>
              <w:bottom w:val="single" w:sz="4" w:space="0" w:color="auto"/>
              <w:right w:val="single" w:sz="4" w:space="0" w:color="auto"/>
            </w:tcBorders>
            <w:shd w:val="clear" w:color="auto" w:fill="auto"/>
            <w:noWrap/>
            <w:vAlign w:val="center"/>
            <w:hideMark/>
          </w:tcPr>
          <w:p w14:paraId="12A1498A"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84</w:t>
            </w:r>
          </w:p>
        </w:tc>
        <w:tc>
          <w:tcPr>
            <w:tcW w:w="708" w:type="dxa"/>
            <w:tcBorders>
              <w:top w:val="nil"/>
              <w:left w:val="nil"/>
              <w:bottom w:val="single" w:sz="4" w:space="0" w:color="auto"/>
              <w:right w:val="single" w:sz="4" w:space="0" w:color="auto"/>
            </w:tcBorders>
            <w:shd w:val="clear" w:color="auto" w:fill="auto"/>
            <w:noWrap/>
            <w:vAlign w:val="center"/>
            <w:hideMark/>
          </w:tcPr>
          <w:p w14:paraId="508EF49F"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91</w:t>
            </w:r>
          </w:p>
        </w:tc>
        <w:tc>
          <w:tcPr>
            <w:tcW w:w="996" w:type="dxa"/>
            <w:tcBorders>
              <w:top w:val="nil"/>
              <w:left w:val="nil"/>
              <w:bottom w:val="single" w:sz="4" w:space="0" w:color="auto"/>
              <w:right w:val="single" w:sz="4" w:space="0" w:color="auto"/>
            </w:tcBorders>
            <w:shd w:val="clear" w:color="auto" w:fill="auto"/>
            <w:noWrap/>
            <w:vAlign w:val="center"/>
            <w:hideMark/>
          </w:tcPr>
          <w:p w14:paraId="174B482A"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771</w:t>
            </w:r>
          </w:p>
        </w:tc>
      </w:tr>
      <w:tr w:rsidR="00B74477" w:rsidRPr="00746E61" w14:paraId="1C6C44C9" w14:textId="77777777" w:rsidTr="00B74477">
        <w:trPr>
          <w:trHeight w:val="235"/>
          <w:jc w:val="center"/>
        </w:trPr>
        <w:tc>
          <w:tcPr>
            <w:tcW w:w="2432" w:type="dxa"/>
            <w:tcBorders>
              <w:top w:val="nil"/>
              <w:left w:val="single" w:sz="4" w:space="0" w:color="auto"/>
              <w:bottom w:val="single" w:sz="4" w:space="0" w:color="auto"/>
              <w:right w:val="single" w:sz="4" w:space="0" w:color="auto"/>
            </w:tcBorders>
            <w:shd w:val="clear" w:color="auto" w:fill="auto"/>
            <w:noWrap/>
            <w:vAlign w:val="center"/>
            <w:hideMark/>
          </w:tcPr>
          <w:p w14:paraId="58743290" w14:textId="77777777" w:rsidR="004941E4" w:rsidRPr="00746E61" w:rsidRDefault="004941E4" w:rsidP="00746E61">
            <w:pPr>
              <w:spacing w:line="276" w:lineRule="auto"/>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Tribunal Penal</w:t>
            </w:r>
          </w:p>
        </w:tc>
        <w:tc>
          <w:tcPr>
            <w:tcW w:w="682" w:type="dxa"/>
            <w:tcBorders>
              <w:top w:val="nil"/>
              <w:left w:val="nil"/>
              <w:bottom w:val="single" w:sz="4" w:space="0" w:color="auto"/>
              <w:right w:val="single" w:sz="4" w:space="0" w:color="auto"/>
            </w:tcBorders>
            <w:shd w:val="clear" w:color="auto" w:fill="auto"/>
            <w:noWrap/>
            <w:vAlign w:val="center"/>
            <w:hideMark/>
          </w:tcPr>
          <w:p w14:paraId="7CC4AA0E"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38</w:t>
            </w:r>
          </w:p>
        </w:tc>
        <w:tc>
          <w:tcPr>
            <w:tcW w:w="850" w:type="dxa"/>
            <w:tcBorders>
              <w:top w:val="nil"/>
              <w:left w:val="nil"/>
              <w:bottom w:val="single" w:sz="4" w:space="0" w:color="auto"/>
              <w:right w:val="single" w:sz="4" w:space="0" w:color="auto"/>
            </w:tcBorders>
            <w:shd w:val="clear" w:color="auto" w:fill="auto"/>
            <w:noWrap/>
            <w:vAlign w:val="center"/>
            <w:hideMark/>
          </w:tcPr>
          <w:p w14:paraId="1FBCE2EF"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15</w:t>
            </w:r>
          </w:p>
        </w:tc>
        <w:tc>
          <w:tcPr>
            <w:tcW w:w="851" w:type="dxa"/>
            <w:tcBorders>
              <w:top w:val="nil"/>
              <w:left w:val="nil"/>
              <w:bottom w:val="single" w:sz="4" w:space="0" w:color="auto"/>
              <w:right w:val="single" w:sz="4" w:space="0" w:color="auto"/>
            </w:tcBorders>
            <w:shd w:val="clear" w:color="auto" w:fill="auto"/>
            <w:noWrap/>
            <w:vAlign w:val="center"/>
            <w:hideMark/>
          </w:tcPr>
          <w:p w14:paraId="2C5AAA71"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14</w:t>
            </w:r>
          </w:p>
        </w:tc>
        <w:tc>
          <w:tcPr>
            <w:tcW w:w="850" w:type="dxa"/>
            <w:tcBorders>
              <w:top w:val="nil"/>
              <w:left w:val="nil"/>
              <w:bottom w:val="single" w:sz="4" w:space="0" w:color="auto"/>
              <w:right w:val="single" w:sz="4" w:space="0" w:color="auto"/>
            </w:tcBorders>
            <w:shd w:val="clear" w:color="auto" w:fill="auto"/>
            <w:noWrap/>
            <w:vAlign w:val="center"/>
            <w:hideMark/>
          </w:tcPr>
          <w:p w14:paraId="2D496CB2"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23</w:t>
            </w:r>
          </w:p>
        </w:tc>
        <w:tc>
          <w:tcPr>
            <w:tcW w:w="851" w:type="dxa"/>
            <w:tcBorders>
              <w:top w:val="nil"/>
              <w:left w:val="nil"/>
              <w:bottom w:val="single" w:sz="4" w:space="0" w:color="auto"/>
              <w:right w:val="single" w:sz="4" w:space="0" w:color="auto"/>
            </w:tcBorders>
            <w:shd w:val="clear" w:color="auto" w:fill="auto"/>
            <w:noWrap/>
            <w:vAlign w:val="center"/>
            <w:hideMark/>
          </w:tcPr>
          <w:p w14:paraId="74DBB29E"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44</w:t>
            </w:r>
          </w:p>
        </w:tc>
        <w:tc>
          <w:tcPr>
            <w:tcW w:w="850" w:type="dxa"/>
            <w:tcBorders>
              <w:top w:val="nil"/>
              <w:left w:val="nil"/>
              <w:bottom w:val="single" w:sz="4" w:space="0" w:color="auto"/>
              <w:right w:val="single" w:sz="4" w:space="0" w:color="auto"/>
            </w:tcBorders>
            <w:shd w:val="clear" w:color="auto" w:fill="auto"/>
            <w:noWrap/>
            <w:vAlign w:val="center"/>
            <w:hideMark/>
          </w:tcPr>
          <w:p w14:paraId="2B603BF4"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59</w:t>
            </w:r>
          </w:p>
        </w:tc>
        <w:tc>
          <w:tcPr>
            <w:tcW w:w="709" w:type="dxa"/>
            <w:tcBorders>
              <w:top w:val="nil"/>
              <w:left w:val="nil"/>
              <w:bottom w:val="single" w:sz="4" w:space="0" w:color="auto"/>
              <w:right w:val="single" w:sz="4" w:space="0" w:color="auto"/>
            </w:tcBorders>
            <w:shd w:val="clear" w:color="auto" w:fill="auto"/>
            <w:noWrap/>
            <w:vAlign w:val="center"/>
            <w:hideMark/>
          </w:tcPr>
          <w:p w14:paraId="25E8D07D"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53</w:t>
            </w:r>
          </w:p>
        </w:tc>
        <w:tc>
          <w:tcPr>
            <w:tcW w:w="851" w:type="dxa"/>
            <w:tcBorders>
              <w:top w:val="nil"/>
              <w:left w:val="nil"/>
              <w:bottom w:val="single" w:sz="4" w:space="0" w:color="auto"/>
              <w:right w:val="single" w:sz="4" w:space="0" w:color="auto"/>
            </w:tcBorders>
            <w:shd w:val="clear" w:color="auto" w:fill="auto"/>
            <w:noWrap/>
            <w:vAlign w:val="center"/>
            <w:hideMark/>
          </w:tcPr>
          <w:p w14:paraId="6F9324DF"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29</w:t>
            </w:r>
          </w:p>
        </w:tc>
        <w:tc>
          <w:tcPr>
            <w:tcW w:w="708" w:type="dxa"/>
            <w:tcBorders>
              <w:top w:val="nil"/>
              <w:left w:val="nil"/>
              <w:bottom w:val="single" w:sz="4" w:space="0" w:color="auto"/>
              <w:right w:val="single" w:sz="4" w:space="0" w:color="auto"/>
            </w:tcBorders>
            <w:shd w:val="clear" w:color="auto" w:fill="auto"/>
            <w:noWrap/>
            <w:vAlign w:val="center"/>
            <w:hideMark/>
          </w:tcPr>
          <w:p w14:paraId="7AFA7A91"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27</w:t>
            </w:r>
          </w:p>
        </w:tc>
        <w:tc>
          <w:tcPr>
            <w:tcW w:w="996" w:type="dxa"/>
            <w:tcBorders>
              <w:top w:val="nil"/>
              <w:left w:val="nil"/>
              <w:bottom w:val="single" w:sz="4" w:space="0" w:color="auto"/>
              <w:right w:val="single" w:sz="4" w:space="0" w:color="auto"/>
            </w:tcBorders>
            <w:shd w:val="clear" w:color="auto" w:fill="auto"/>
            <w:noWrap/>
            <w:vAlign w:val="center"/>
            <w:hideMark/>
          </w:tcPr>
          <w:p w14:paraId="763CFABE"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302</w:t>
            </w:r>
          </w:p>
        </w:tc>
      </w:tr>
      <w:tr w:rsidR="00B74477" w:rsidRPr="00746E61" w14:paraId="18C3BCFE" w14:textId="77777777" w:rsidTr="00B74477">
        <w:trPr>
          <w:trHeight w:val="235"/>
          <w:jc w:val="center"/>
        </w:trPr>
        <w:tc>
          <w:tcPr>
            <w:tcW w:w="2432" w:type="dxa"/>
            <w:tcBorders>
              <w:top w:val="nil"/>
              <w:left w:val="single" w:sz="4" w:space="0" w:color="auto"/>
              <w:bottom w:val="single" w:sz="4" w:space="0" w:color="auto"/>
              <w:right w:val="single" w:sz="4" w:space="0" w:color="auto"/>
            </w:tcBorders>
            <w:shd w:val="clear" w:color="auto" w:fill="auto"/>
            <w:noWrap/>
            <w:vAlign w:val="center"/>
            <w:hideMark/>
          </w:tcPr>
          <w:p w14:paraId="00978CF1" w14:textId="55E1E74E" w:rsidR="004941E4" w:rsidRPr="00746E61" w:rsidRDefault="004941E4" w:rsidP="00746E61">
            <w:pPr>
              <w:spacing w:line="276" w:lineRule="auto"/>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 xml:space="preserve">Tribunal </w:t>
            </w:r>
            <w:r w:rsidR="00B74477" w:rsidRPr="00746E61">
              <w:rPr>
                <w:rFonts w:ascii="Book Antiqua" w:hAnsi="Book Antiqua" w:cs="Calibri"/>
                <w:color w:val="000000"/>
                <w:sz w:val="16"/>
                <w:szCs w:val="16"/>
                <w:lang w:eastAsia="es-CR"/>
              </w:rPr>
              <w:t>Penal (</w:t>
            </w:r>
            <w:r w:rsidRPr="00746E61">
              <w:rPr>
                <w:rFonts w:ascii="Book Antiqua" w:hAnsi="Book Antiqua" w:cs="Calibri"/>
                <w:color w:val="000000"/>
                <w:sz w:val="16"/>
                <w:szCs w:val="16"/>
                <w:lang w:eastAsia="es-CR"/>
              </w:rPr>
              <w:t>Flagrancia)</w:t>
            </w:r>
          </w:p>
        </w:tc>
        <w:tc>
          <w:tcPr>
            <w:tcW w:w="682" w:type="dxa"/>
            <w:tcBorders>
              <w:top w:val="nil"/>
              <w:left w:val="nil"/>
              <w:bottom w:val="single" w:sz="4" w:space="0" w:color="auto"/>
              <w:right w:val="single" w:sz="4" w:space="0" w:color="auto"/>
            </w:tcBorders>
            <w:shd w:val="clear" w:color="auto" w:fill="auto"/>
            <w:noWrap/>
            <w:vAlign w:val="center"/>
            <w:hideMark/>
          </w:tcPr>
          <w:p w14:paraId="5106BCB0"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12</w:t>
            </w:r>
          </w:p>
        </w:tc>
        <w:tc>
          <w:tcPr>
            <w:tcW w:w="850" w:type="dxa"/>
            <w:tcBorders>
              <w:top w:val="nil"/>
              <w:left w:val="nil"/>
              <w:bottom w:val="single" w:sz="4" w:space="0" w:color="auto"/>
              <w:right w:val="single" w:sz="4" w:space="0" w:color="auto"/>
            </w:tcBorders>
            <w:shd w:val="clear" w:color="auto" w:fill="auto"/>
            <w:noWrap/>
            <w:vAlign w:val="center"/>
            <w:hideMark/>
          </w:tcPr>
          <w:p w14:paraId="0A817C31"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9</w:t>
            </w:r>
          </w:p>
        </w:tc>
        <w:tc>
          <w:tcPr>
            <w:tcW w:w="851" w:type="dxa"/>
            <w:tcBorders>
              <w:top w:val="nil"/>
              <w:left w:val="nil"/>
              <w:bottom w:val="single" w:sz="4" w:space="0" w:color="auto"/>
              <w:right w:val="single" w:sz="4" w:space="0" w:color="auto"/>
            </w:tcBorders>
            <w:shd w:val="clear" w:color="auto" w:fill="auto"/>
            <w:noWrap/>
            <w:vAlign w:val="center"/>
            <w:hideMark/>
          </w:tcPr>
          <w:p w14:paraId="248610FC"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3</w:t>
            </w:r>
          </w:p>
        </w:tc>
        <w:tc>
          <w:tcPr>
            <w:tcW w:w="850" w:type="dxa"/>
            <w:tcBorders>
              <w:top w:val="nil"/>
              <w:left w:val="nil"/>
              <w:bottom w:val="single" w:sz="4" w:space="0" w:color="auto"/>
              <w:right w:val="single" w:sz="4" w:space="0" w:color="auto"/>
            </w:tcBorders>
            <w:shd w:val="clear" w:color="auto" w:fill="auto"/>
            <w:noWrap/>
            <w:vAlign w:val="center"/>
            <w:hideMark/>
          </w:tcPr>
          <w:p w14:paraId="46465B54"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3</w:t>
            </w:r>
          </w:p>
        </w:tc>
        <w:tc>
          <w:tcPr>
            <w:tcW w:w="851" w:type="dxa"/>
            <w:tcBorders>
              <w:top w:val="nil"/>
              <w:left w:val="nil"/>
              <w:bottom w:val="single" w:sz="4" w:space="0" w:color="auto"/>
              <w:right w:val="single" w:sz="4" w:space="0" w:color="auto"/>
            </w:tcBorders>
            <w:shd w:val="clear" w:color="auto" w:fill="auto"/>
            <w:noWrap/>
            <w:vAlign w:val="center"/>
            <w:hideMark/>
          </w:tcPr>
          <w:p w14:paraId="142A7FCF"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11</w:t>
            </w:r>
          </w:p>
        </w:tc>
        <w:tc>
          <w:tcPr>
            <w:tcW w:w="850" w:type="dxa"/>
            <w:tcBorders>
              <w:top w:val="nil"/>
              <w:left w:val="nil"/>
              <w:bottom w:val="single" w:sz="4" w:space="0" w:color="auto"/>
              <w:right w:val="single" w:sz="4" w:space="0" w:color="auto"/>
            </w:tcBorders>
            <w:shd w:val="clear" w:color="auto" w:fill="auto"/>
            <w:noWrap/>
            <w:vAlign w:val="center"/>
            <w:hideMark/>
          </w:tcPr>
          <w:p w14:paraId="3D75D6F4"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14</w:t>
            </w:r>
          </w:p>
        </w:tc>
        <w:tc>
          <w:tcPr>
            <w:tcW w:w="709" w:type="dxa"/>
            <w:tcBorders>
              <w:top w:val="nil"/>
              <w:left w:val="nil"/>
              <w:bottom w:val="single" w:sz="4" w:space="0" w:color="auto"/>
              <w:right w:val="single" w:sz="4" w:space="0" w:color="auto"/>
            </w:tcBorders>
            <w:shd w:val="clear" w:color="auto" w:fill="auto"/>
            <w:noWrap/>
            <w:vAlign w:val="center"/>
            <w:hideMark/>
          </w:tcPr>
          <w:p w14:paraId="6CC435AA"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8</w:t>
            </w:r>
          </w:p>
        </w:tc>
        <w:tc>
          <w:tcPr>
            <w:tcW w:w="851" w:type="dxa"/>
            <w:tcBorders>
              <w:top w:val="nil"/>
              <w:left w:val="nil"/>
              <w:bottom w:val="single" w:sz="4" w:space="0" w:color="auto"/>
              <w:right w:val="single" w:sz="4" w:space="0" w:color="auto"/>
            </w:tcBorders>
            <w:shd w:val="clear" w:color="auto" w:fill="auto"/>
            <w:noWrap/>
            <w:vAlign w:val="center"/>
            <w:hideMark/>
          </w:tcPr>
          <w:p w14:paraId="3E4BB198"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7</w:t>
            </w:r>
          </w:p>
        </w:tc>
        <w:tc>
          <w:tcPr>
            <w:tcW w:w="708" w:type="dxa"/>
            <w:tcBorders>
              <w:top w:val="nil"/>
              <w:left w:val="nil"/>
              <w:bottom w:val="single" w:sz="4" w:space="0" w:color="auto"/>
              <w:right w:val="single" w:sz="4" w:space="0" w:color="auto"/>
            </w:tcBorders>
            <w:shd w:val="clear" w:color="auto" w:fill="auto"/>
            <w:noWrap/>
            <w:vAlign w:val="center"/>
            <w:hideMark/>
          </w:tcPr>
          <w:p w14:paraId="78E8F15A"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15</w:t>
            </w:r>
          </w:p>
        </w:tc>
        <w:tc>
          <w:tcPr>
            <w:tcW w:w="996" w:type="dxa"/>
            <w:tcBorders>
              <w:top w:val="nil"/>
              <w:left w:val="nil"/>
              <w:bottom w:val="single" w:sz="4" w:space="0" w:color="auto"/>
              <w:right w:val="single" w:sz="4" w:space="0" w:color="auto"/>
            </w:tcBorders>
            <w:shd w:val="clear" w:color="auto" w:fill="auto"/>
            <w:noWrap/>
            <w:vAlign w:val="center"/>
            <w:hideMark/>
          </w:tcPr>
          <w:p w14:paraId="1B80016F" w14:textId="77777777" w:rsidR="004941E4" w:rsidRPr="00746E61" w:rsidRDefault="004941E4"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82</w:t>
            </w:r>
          </w:p>
        </w:tc>
      </w:tr>
    </w:tbl>
    <w:p w14:paraId="5C7E6438" w14:textId="77777777" w:rsidR="0059268A" w:rsidRPr="00746E61" w:rsidRDefault="0059268A" w:rsidP="00746E61">
      <w:pPr>
        <w:spacing w:after="160" w:line="276" w:lineRule="auto"/>
        <w:jc w:val="both"/>
        <w:rPr>
          <w:rFonts w:ascii="Book Antiqua" w:hAnsi="Book Antiqua"/>
          <w:lang w:val="es-ES_tradnl" w:eastAsia="en-US"/>
        </w:rPr>
      </w:pPr>
      <w:r w:rsidRPr="00746E61">
        <w:rPr>
          <w:rFonts w:ascii="Book Antiqua" w:hAnsi="Book Antiqua" w:cs="Calibri"/>
          <w:b/>
          <w:bCs/>
          <w:color w:val="000000"/>
          <w:sz w:val="20"/>
          <w:szCs w:val="20"/>
          <w:lang w:eastAsia="es-CR"/>
        </w:rPr>
        <w:t>Fuente:</w:t>
      </w:r>
      <w:r w:rsidRPr="00746E61">
        <w:rPr>
          <w:rFonts w:ascii="Book Antiqua" w:hAnsi="Book Antiqua" w:cs="Calibri"/>
          <w:color w:val="000000"/>
          <w:sz w:val="20"/>
          <w:szCs w:val="20"/>
          <w:lang w:eastAsia="es-CR"/>
        </w:rPr>
        <w:t xml:space="preserve"> Elaboración propia a partir de las estadísticas del Subproceso de Estadística</w:t>
      </w:r>
      <w:r w:rsidRPr="00746E61">
        <w:rPr>
          <w:rFonts w:ascii="Book Antiqua" w:hAnsi="Book Antiqua"/>
          <w:lang w:val="es-ES_tradnl" w:eastAsia="en-US"/>
        </w:rPr>
        <w:t xml:space="preserve"> </w:t>
      </w:r>
    </w:p>
    <w:p w14:paraId="7DD43366" w14:textId="5B384236" w:rsidR="00985591" w:rsidRPr="00746E61" w:rsidRDefault="00AF216E" w:rsidP="00746E61">
      <w:pPr>
        <w:spacing w:after="160" w:line="276" w:lineRule="auto"/>
        <w:jc w:val="both"/>
        <w:rPr>
          <w:rFonts w:ascii="Book Antiqua" w:hAnsi="Book Antiqua"/>
          <w:lang w:val="es-ES_tradnl" w:eastAsia="en-US"/>
        </w:rPr>
      </w:pPr>
      <w:r w:rsidRPr="00746E61">
        <w:rPr>
          <w:rFonts w:ascii="Book Antiqua" w:hAnsi="Book Antiqua"/>
          <w:lang w:val="es-ES_tradnl" w:eastAsia="en-US"/>
        </w:rPr>
        <w:t xml:space="preserve">En el caso de la materia penal según el protocolo de aplicación de la videoconferencia, circular 102-2020, se promoverá siempre la presencialidad y sólo en casos muy justificados se desarrollarán las videoconferencias por circuito cerrado de televisión, lo cual incide en que la materia penal </w:t>
      </w:r>
      <w:r w:rsidR="008954A6" w:rsidRPr="00746E61">
        <w:rPr>
          <w:rFonts w:ascii="Book Antiqua" w:hAnsi="Book Antiqua"/>
          <w:lang w:val="es-ES_tradnl" w:eastAsia="en-US"/>
        </w:rPr>
        <w:t>se</w:t>
      </w:r>
      <w:r w:rsidR="00682455" w:rsidRPr="00746E61">
        <w:rPr>
          <w:rFonts w:ascii="Book Antiqua" w:hAnsi="Book Antiqua"/>
          <w:lang w:val="es-ES_tradnl" w:eastAsia="en-US"/>
        </w:rPr>
        <w:t xml:space="preserve"> </w:t>
      </w:r>
      <w:r w:rsidRPr="00746E61">
        <w:rPr>
          <w:rFonts w:ascii="Book Antiqua" w:hAnsi="Book Antiqua"/>
          <w:lang w:val="es-ES_tradnl" w:eastAsia="en-US"/>
        </w:rPr>
        <w:t>report</w:t>
      </w:r>
      <w:r w:rsidR="00682455" w:rsidRPr="00746E61">
        <w:rPr>
          <w:rFonts w:ascii="Book Antiqua" w:hAnsi="Book Antiqua"/>
          <w:lang w:val="es-ES_tradnl" w:eastAsia="en-US"/>
        </w:rPr>
        <w:t>a</w:t>
      </w:r>
      <w:r w:rsidRPr="00746E61">
        <w:rPr>
          <w:rFonts w:ascii="Book Antiqua" w:hAnsi="Book Antiqua"/>
          <w:lang w:val="es-ES_tradnl" w:eastAsia="en-US"/>
        </w:rPr>
        <w:t xml:space="preserve"> un </w:t>
      </w:r>
      <w:r w:rsidR="00584987" w:rsidRPr="00746E61">
        <w:rPr>
          <w:rFonts w:ascii="Book Antiqua" w:hAnsi="Book Antiqua"/>
          <w:lang w:val="es-ES_tradnl" w:eastAsia="en-US"/>
        </w:rPr>
        <w:t>1</w:t>
      </w:r>
      <w:r w:rsidR="000979F8" w:rsidRPr="00746E61">
        <w:rPr>
          <w:rFonts w:ascii="Book Antiqua" w:hAnsi="Book Antiqua"/>
          <w:lang w:val="es-ES_tradnl" w:eastAsia="en-US"/>
        </w:rPr>
        <w:t>8</w:t>
      </w:r>
      <w:r w:rsidRPr="00746E61">
        <w:rPr>
          <w:rFonts w:ascii="Book Antiqua" w:hAnsi="Book Antiqua"/>
          <w:lang w:val="es-ES_tradnl" w:eastAsia="en-US"/>
        </w:rPr>
        <w:t xml:space="preserve">% de todas sus audiencias </w:t>
      </w:r>
      <w:r w:rsidR="00350753" w:rsidRPr="00746E61">
        <w:rPr>
          <w:rFonts w:ascii="Book Antiqua" w:hAnsi="Book Antiqua"/>
          <w:lang w:val="es-ES_tradnl" w:eastAsia="en-US"/>
        </w:rPr>
        <w:t>mediante esa técnica, adicionalmente por la naturaleza de la materia, la presencialidad está vinculada directamente a su funcionamiento y servicio públic</w:t>
      </w:r>
      <w:r w:rsidR="00243F14">
        <w:rPr>
          <w:rFonts w:ascii="Book Antiqua" w:hAnsi="Book Antiqua"/>
          <w:lang w:val="es-ES_tradnl" w:eastAsia="en-US"/>
        </w:rPr>
        <w:t>o, de manera más específica Flagrancia y el Tribunal Penal tienen porcentajes de menos de un 3%.</w:t>
      </w:r>
    </w:p>
    <w:p w14:paraId="3B06E411" w14:textId="1C56CF16" w:rsidR="00081221" w:rsidRDefault="00081221">
      <w:pPr>
        <w:rPr>
          <w:rFonts w:ascii="Book Antiqua" w:eastAsia="Calibri" w:hAnsi="Book Antiqua" w:cs="Arial"/>
          <w:b/>
          <w:color w:val="000000" w:themeColor="text1"/>
          <w:kern w:val="32"/>
          <w:szCs w:val="22"/>
          <w:lang w:val="es-ES_tradnl" w:eastAsia="en-US"/>
        </w:rPr>
      </w:pPr>
    </w:p>
    <w:p w14:paraId="101C1CC6" w14:textId="6F476D72" w:rsidR="00222669" w:rsidRPr="00746E61" w:rsidRDefault="00D57B06" w:rsidP="00746E61">
      <w:pPr>
        <w:pStyle w:val="Ttulo1"/>
        <w:spacing w:line="276" w:lineRule="auto"/>
      </w:pPr>
      <w:r w:rsidRPr="00746E61">
        <w:t xml:space="preserve">CAPITULO III. COMPORTAMIENTO </w:t>
      </w:r>
      <w:r w:rsidR="007C4D30" w:rsidRPr="00746E61">
        <w:t>DEL BALANCE GENERAL POR OFICINA DE LA MATERIA PENAL</w:t>
      </w:r>
    </w:p>
    <w:p w14:paraId="360D1212" w14:textId="2E7AFB41" w:rsidR="00D57B06" w:rsidRPr="00746E61" w:rsidRDefault="00D57B06" w:rsidP="00746E61">
      <w:pPr>
        <w:spacing w:line="276" w:lineRule="auto"/>
        <w:rPr>
          <w:rFonts w:ascii="Book Antiqua" w:hAnsi="Book Antiqua"/>
          <w:b/>
          <w:bCs/>
          <w:lang w:val="es-ES_tradnl" w:eastAsia="en-US"/>
        </w:rPr>
      </w:pPr>
    </w:p>
    <w:p w14:paraId="07787DB0" w14:textId="722090D1" w:rsidR="00060B8A" w:rsidRPr="00746E61" w:rsidRDefault="1AFF14EF" w:rsidP="57A79FF7">
      <w:pPr>
        <w:tabs>
          <w:tab w:val="left" w:pos="426"/>
        </w:tabs>
        <w:spacing w:line="276" w:lineRule="auto"/>
        <w:jc w:val="both"/>
        <w:outlineLvl w:val="1"/>
        <w:rPr>
          <w:b/>
          <w:color w:val="000000" w:themeColor="text1"/>
          <w:lang w:eastAsia="es-CR"/>
        </w:rPr>
      </w:pPr>
      <w:r w:rsidRPr="57A79FF7">
        <w:rPr>
          <w:rFonts w:ascii="Book Antiqua" w:hAnsi="Book Antiqua"/>
          <w:b/>
          <w:bCs/>
          <w:color w:val="000000" w:themeColor="text1"/>
        </w:rPr>
        <w:t xml:space="preserve">3.1 </w:t>
      </w:r>
      <w:r w:rsidR="00060B8A" w:rsidRPr="00746E61">
        <w:rPr>
          <w:rFonts w:ascii="Book Antiqua" w:hAnsi="Book Antiqua"/>
          <w:b/>
          <w:bCs/>
          <w:color w:val="000000" w:themeColor="text1"/>
        </w:rPr>
        <w:t xml:space="preserve">Juzgados Penales </w:t>
      </w:r>
    </w:p>
    <w:p w14:paraId="60E2552E" w14:textId="160A174F" w:rsidR="00143B45" w:rsidRPr="00746E61" w:rsidRDefault="00143B45" w:rsidP="00746E61">
      <w:pPr>
        <w:spacing w:line="276" w:lineRule="auto"/>
        <w:rPr>
          <w:rFonts w:ascii="Book Antiqua" w:hAnsi="Book Antiqua"/>
          <w:b/>
          <w:bCs/>
          <w:lang w:val="es-ES_tradnl" w:eastAsia="en-US"/>
        </w:rPr>
      </w:pPr>
    </w:p>
    <w:p w14:paraId="2CF57FCD" w14:textId="32F26518" w:rsidR="00143B45" w:rsidRPr="00746E61" w:rsidRDefault="29A81027" w:rsidP="57A79FF7">
      <w:pPr>
        <w:spacing w:line="276" w:lineRule="auto"/>
        <w:outlineLvl w:val="2"/>
        <w:rPr>
          <w:b/>
          <w:lang w:val="es-ES" w:eastAsia="en-US"/>
        </w:rPr>
      </w:pPr>
      <w:r w:rsidRPr="57A79FF7">
        <w:rPr>
          <w:rFonts w:ascii="Book Antiqua" w:hAnsi="Book Antiqua"/>
          <w:b/>
          <w:bCs/>
          <w:lang w:val="es-ES" w:eastAsia="en-US"/>
        </w:rPr>
        <w:t xml:space="preserve">3.1.1 </w:t>
      </w:r>
      <w:r w:rsidR="00060B8A" w:rsidRPr="57A79FF7">
        <w:rPr>
          <w:rFonts w:ascii="Book Antiqua" w:hAnsi="Book Antiqua"/>
          <w:b/>
          <w:lang w:val="es-ES" w:eastAsia="en-US"/>
        </w:rPr>
        <w:t>Asuntos nuevos</w:t>
      </w:r>
    </w:p>
    <w:p w14:paraId="0711440E" w14:textId="4DAFB18A" w:rsidR="000236C5" w:rsidRPr="00746E61" w:rsidRDefault="000236C5" w:rsidP="00746E61">
      <w:pPr>
        <w:spacing w:line="276" w:lineRule="auto"/>
        <w:rPr>
          <w:rFonts w:ascii="Book Antiqua" w:hAnsi="Book Antiqua"/>
          <w:b/>
          <w:bCs/>
          <w:highlight w:val="yellow"/>
          <w:lang w:val="es-ES_tradnl" w:eastAsia="en-US"/>
        </w:rPr>
      </w:pPr>
    </w:p>
    <w:p w14:paraId="683AD951" w14:textId="59EF29C2" w:rsidR="000236C5" w:rsidRPr="00746E61" w:rsidRDefault="006241C9" w:rsidP="00746E61">
      <w:pPr>
        <w:spacing w:line="276" w:lineRule="auto"/>
        <w:jc w:val="both"/>
        <w:rPr>
          <w:rFonts w:ascii="Book Antiqua" w:hAnsi="Book Antiqua"/>
          <w:b/>
          <w:bCs/>
          <w:highlight w:val="yellow"/>
          <w:lang w:val="es-ES_tradnl" w:eastAsia="en-US"/>
        </w:rPr>
      </w:pPr>
      <w:r w:rsidRPr="00746E61">
        <w:rPr>
          <w:rFonts w:ascii="Book Antiqua" w:hAnsi="Book Antiqua" w:cs="Arial"/>
        </w:rPr>
        <w:t>Para identificar el comportamiento que vienen presentando los juzgados penales a lo largo del tiempo, en cuanto a la entrada de asuntos nuevos se procedió a efectuar el análisis comparativo del periodo comprendido entre enero del año 2019 al mes de setiembre del 2021, resultados que se expresan a través del siguiente cuadro:</w:t>
      </w:r>
    </w:p>
    <w:p w14:paraId="4BBF25FF" w14:textId="77777777" w:rsidR="000236C5" w:rsidRPr="00746E61" w:rsidRDefault="000236C5" w:rsidP="00746E61">
      <w:pPr>
        <w:widowControl w:val="0"/>
        <w:autoSpaceDE w:val="0"/>
        <w:spacing w:line="276" w:lineRule="auto"/>
        <w:ind w:right="51"/>
        <w:rPr>
          <w:rFonts w:ascii="Book Antiqua" w:hAnsi="Book Antiqua" w:cs="Arial"/>
          <w:b/>
          <w:bCs/>
        </w:rPr>
      </w:pPr>
    </w:p>
    <w:p w14:paraId="21708FD8" w14:textId="67CBF9A7" w:rsidR="000236C5" w:rsidRPr="006F775A" w:rsidRDefault="000236C5" w:rsidP="00746E61">
      <w:pPr>
        <w:widowControl w:val="0"/>
        <w:autoSpaceDE w:val="0"/>
        <w:spacing w:line="276" w:lineRule="auto"/>
        <w:ind w:left="1080" w:right="51"/>
        <w:jc w:val="center"/>
        <w:rPr>
          <w:rFonts w:ascii="Book Antiqua" w:hAnsi="Book Antiqua" w:cs="Arial"/>
          <w:b/>
          <w:bCs/>
        </w:rPr>
      </w:pPr>
      <w:r w:rsidRPr="006F775A">
        <w:rPr>
          <w:rFonts w:ascii="Book Antiqua" w:hAnsi="Book Antiqua" w:cs="Arial"/>
          <w:b/>
          <w:bCs/>
        </w:rPr>
        <w:t>Cuadro 13</w:t>
      </w:r>
    </w:p>
    <w:p w14:paraId="764B070A" w14:textId="77777777" w:rsidR="000236C5" w:rsidRPr="006F775A" w:rsidRDefault="000236C5" w:rsidP="00746E61">
      <w:pPr>
        <w:widowControl w:val="0"/>
        <w:autoSpaceDE w:val="0"/>
        <w:spacing w:line="276" w:lineRule="auto"/>
        <w:ind w:left="1080" w:right="51"/>
        <w:jc w:val="center"/>
        <w:rPr>
          <w:rFonts w:ascii="Book Antiqua" w:hAnsi="Book Antiqua" w:cs="Arial"/>
          <w:b/>
          <w:bCs/>
        </w:rPr>
      </w:pPr>
      <w:r w:rsidRPr="006F775A">
        <w:rPr>
          <w:rFonts w:ascii="Book Antiqua" w:hAnsi="Book Antiqua" w:cs="Arial"/>
          <w:b/>
          <w:bCs/>
        </w:rPr>
        <w:t>Promedio mensual de asuntos entrados en los Juzgados Penales</w:t>
      </w:r>
    </w:p>
    <w:p w14:paraId="59FC9709" w14:textId="4AC64C50" w:rsidR="000236C5" w:rsidRPr="006F775A" w:rsidRDefault="000236C5" w:rsidP="00746E61">
      <w:pPr>
        <w:widowControl w:val="0"/>
        <w:autoSpaceDE w:val="0"/>
        <w:spacing w:line="276" w:lineRule="auto"/>
        <w:ind w:left="1080" w:right="51"/>
        <w:jc w:val="center"/>
        <w:rPr>
          <w:rFonts w:ascii="Book Antiqua" w:hAnsi="Book Antiqua" w:cs="Arial"/>
          <w:b/>
          <w:bCs/>
        </w:rPr>
      </w:pPr>
      <w:r w:rsidRPr="006F775A">
        <w:rPr>
          <w:rFonts w:ascii="Book Antiqua" w:hAnsi="Book Antiqua" w:cs="Arial"/>
          <w:b/>
          <w:bCs/>
        </w:rPr>
        <w:t xml:space="preserve">entre el periodo comprendido de enero 2019 a </w:t>
      </w:r>
      <w:r w:rsidR="006241C9" w:rsidRPr="006F775A">
        <w:rPr>
          <w:rFonts w:ascii="Book Antiqua" w:hAnsi="Book Antiqua" w:cs="Arial"/>
          <w:b/>
          <w:bCs/>
        </w:rPr>
        <w:t>setiembre</w:t>
      </w:r>
      <w:r w:rsidRPr="006F775A">
        <w:rPr>
          <w:rFonts w:ascii="Book Antiqua" w:hAnsi="Book Antiqua" w:cs="Arial"/>
          <w:b/>
          <w:bCs/>
        </w:rPr>
        <w:t xml:space="preserve"> de 2021</w:t>
      </w:r>
    </w:p>
    <w:tbl>
      <w:tblPr>
        <w:tblW w:w="9201" w:type="dxa"/>
        <w:tblCellMar>
          <w:left w:w="70" w:type="dxa"/>
          <w:right w:w="70" w:type="dxa"/>
        </w:tblCellMar>
        <w:tblLook w:val="04A0" w:firstRow="1" w:lastRow="0" w:firstColumn="1" w:lastColumn="0" w:noHBand="0" w:noVBand="1"/>
      </w:tblPr>
      <w:tblGrid>
        <w:gridCol w:w="2984"/>
        <w:gridCol w:w="907"/>
        <w:gridCol w:w="907"/>
        <w:gridCol w:w="907"/>
        <w:gridCol w:w="1749"/>
        <w:gridCol w:w="1749"/>
      </w:tblGrid>
      <w:tr w:rsidR="00081DAD" w:rsidRPr="00746E61" w14:paraId="3D0E9C03" w14:textId="77777777" w:rsidTr="00081DAD">
        <w:trPr>
          <w:trHeight w:val="843"/>
        </w:trPr>
        <w:tc>
          <w:tcPr>
            <w:tcW w:w="3068"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3858D9B8" w14:textId="77777777" w:rsidR="00081DAD" w:rsidRPr="00746E61" w:rsidRDefault="00081DAD" w:rsidP="00746E61">
            <w:pPr>
              <w:spacing w:line="276" w:lineRule="auto"/>
              <w:jc w:val="center"/>
              <w:rPr>
                <w:rFonts w:ascii="Book Antiqua" w:hAnsi="Book Antiqua" w:cs="Calibri"/>
                <w:b/>
                <w:bCs/>
                <w:color w:val="FFFFFF"/>
                <w:sz w:val="16"/>
                <w:szCs w:val="16"/>
                <w:lang w:eastAsia="es-CR"/>
              </w:rPr>
            </w:pPr>
            <w:r w:rsidRPr="00746E61">
              <w:rPr>
                <w:rFonts w:ascii="Book Antiqua" w:hAnsi="Book Antiqua" w:cs="Calibri"/>
                <w:b/>
                <w:bCs/>
                <w:color w:val="FFFFFF"/>
                <w:sz w:val="16"/>
                <w:szCs w:val="16"/>
                <w:lang w:eastAsia="es-CR"/>
              </w:rPr>
              <w:t>Despachos</w:t>
            </w:r>
          </w:p>
        </w:tc>
        <w:tc>
          <w:tcPr>
            <w:tcW w:w="929" w:type="dxa"/>
            <w:tcBorders>
              <w:top w:val="single" w:sz="4" w:space="0" w:color="auto"/>
              <w:left w:val="nil"/>
              <w:bottom w:val="single" w:sz="4" w:space="0" w:color="auto"/>
              <w:right w:val="single" w:sz="4" w:space="0" w:color="auto"/>
            </w:tcBorders>
            <w:shd w:val="clear" w:color="000000" w:fill="305496"/>
            <w:vAlign w:val="center"/>
            <w:hideMark/>
          </w:tcPr>
          <w:p w14:paraId="43A54C19" w14:textId="77777777" w:rsidR="00081DAD" w:rsidRPr="00746E61" w:rsidRDefault="00081DAD" w:rsidP="00746E61">
            <w:pPr>
              <w:spacing w:line="276" w:lineRule="auto"/>
              <w:jc w:val="center"/>
              <w:rPr>
                <w:rFonts w:ascii="Book Antiqua" w:hAnsi="Book Antiqua" w:cs="Calibri"/>
                <w:b/>
                <w:bCs/>
                <w:color w:val="FFFFFF"/>
                <w:sz w:val="16"/>
                <w:szCs w:val="16"/>
                <w:lang w:eastAsia="es-CR"/>
              </w:rPr>
            </w:pPr>
            <w:r w:rsidRPr="00746E61">
              <w:rPr>
                <w:rFonts w:ascii="Book Antiqua" w:hAnsi="Book Antiqua" w:cs="Calibri"/>
                <w:b/>
                <w:bCs/>
                <w:color w:val="FFFFFF"/>
                <w:sz w:val="16"/>
                <w:szCs w:val="16"/>
                <w:lang w:eastAsia="es-CR"/>
              </w:rPr>
              <w:t>Promedio mensual de Entrada 2019</w:t>
            </w:r>
          </w:p>
        </w:tc>
        <w:tc>
          <w:tcPr>
            <w:tcW w:w="929" w:type="dxa"/>
            <w:tcBorders>
              <w:top w:val="single" w:sz="4" w:space="0" w:color="auto"/>
              <w:left w:val="nil"/>
              <w:bottom w:val="single" w:sz="4" w:space="0" w:color="auto"/>
              <w:right w:val="single" w:sz="4" w:space="0" w:color="auto"/>
            </w:tcBorders>
            <w:shd w:val="clear" w:color="000000" w:fill="305496"/>
            <w:vAlign w:val="center"/>
            <w:hideMark/>
          </w:tcPr>
          <w:p w14:paraId="37653645" w14:textId="77777777" w:rsidR="00081DAD" w:rsidRPr="00746E61" w:rsidRDefault="00081DAD" w:rsidP="00746E61">
            <w:pPr>
              <w:spacing w:line="276" w:lineRule="auto"/>
              <w:jc w:val="center"/>
              <w:rPr>
                <w:rFonts w:ascii="Book Antiqua" w:hAnsi="Book Antiqua" w:cs="Calibri"/>
                <w:b/>
                <w:bCs/>
                <w:color w:val="FFFFFF"/>
                <w:sz w:val="16"/>
                <w:szCs w:val="16"/>
                <w:lang w:eastAsia="es-CR"/>
              </w:rPr>
            </w:pPr>
            <w:r w:rsidRPr="00746E61">
              <w:rPr>
                <w:rFonts w:ascii="Book Antiqua" w:hAnsi="Book Antiqua" w:cs="Calibri"/>
                <w:b/>
                <w:bCs/>
                <w:color w:val="FFFFFF"/>
                <w:sz w:val="16"/>
                <w:szCs w:val="16"/>
                <w:lang w:eastAsia="es-CR"/>
              </w:rPr>
              <w:t>Promedio mensual de Entrada 2020</w:t>
            </w:r>
          </w:p>
        </w:tc>
        <w:tc>
          <w:tcPr>
            <w:tcW w:w="929" w:type="dxa"/>
            <w:tcBorders>
              <w:top w:val="single" w:sz="4" w:space="0" w:color="auto"/>
              <w:left w:val="nil"/>
              <w:bottom w:val="single" w:sz="4" w:space="0" w:color="auto"/>
              <w:right w:val="single" w:sz="4" w:space="0" w:color="auto"/>
            </w:tcBorders>
            <w:shd w:val="clear" w:color="000000" w:fill="305496"/>
            <w:vAlign w:val="center"/>
            <w:hideMark/>
          </w:tcPr>
          <w:p w14:paraId="40DFD114" w14:textId="77777777" w:rsidR="00081DAD" w:rsidRPr="00746E61" w:rsidRDefault="00081DAD" w:rsidP="00746E61">
            <w:pPr>
              <w:spacing w:line="276" w:lineRule="auto"/>
              <w:jc w:val="center"/>
              <w:rPr>
                <w:rFonts w:ascii="Book Antiqua" w:hAnsi="Book Antiqua" w:cs="Calibri"/>
                <w:b/>
                <w:bCs/>
                <w:color w:val="FFFFFF"/>
                <w:sz w:val="16"/>
                <w:szCs w:val="16"/>
                <w:lang w:eastAsia="es-CR"/>
              </w:rPr>
            </w:pPr>
            <w:r w:rsidRPr="00746E61">
              <w:rPr>
                <w:rFonts w:ascii="Book Antiqua" w:hAnsi="Book Antiqua" w:cs="Calibri"/>
                <w:b/>
                <w:bCs/>
                <w:color w:val="FFFFFF"/>
                <w:sz w:val="16"/>
                <w:szCs w:val="16"/>
                <w:lang w:eastAsia="es-CR"/>
              </w:rPr>
              <w:t>Promedio mensual de Entrada 2021</w:t>
            </w:r>
          </w:p>
        </w:tc>
        <w:tc>
          <w:tcPr>
            <w:tcW w:w="1673" w:type="dxa"/>
            <w:tcBorders>
              <w:top w:val="single" w:sz="4" w:space="0" w:color="auto"/>
              <w:left w:val="nil"/>
              <w:bottom w:val="single" w:sz="4" w:space="0" w:color="auto"/>
              <w:right w:val="single" w:sz="4" w:space="0" w:color="auto"/>
            </w:tcBorders>
            <w:shd w:val="clear" w:color="000000" w:fill="DDEBF7"/>
            <w:vAlign w:val="center"/>
            <w:hideMark/>
          </w:tcPr>
          <w:p w14:paraId="6564C833" w14:textId="77777777" w:rsidR="00081DAD" w:rsidRPr="00746E61" w:rsidRDefault="00081DAD" w:rsidP="00746E61">
            <w:pPr>
              <w:spacing w:line="276" w:lineRule="auto"/>
              <w:jc w:val="center"/>
              <w:rPr>
                <w:rFonts w:ascii="Book Antiqua" w:hAnsi="Book Antiqua" w:cs="Calibri"/>
                <w:b/>
                <w:bCs/>
                <w:color w:val="3A3838"/>
                <w:sz w:val="16"/>
                <w:szCs w:val="16"/>
                <w:lang w:eastAsia="es-CR"/>
              </w:rPr>
            </w:pPr>
            <w:r w:rsidRPr="00746E61">
              <w:rPr>
                <w:rFonts w:ascii="Book Antiqua" w:hAnsi="Book Antiqua" w:cs="Calibri"/>
                <w:b/>
                <w:bCs/>
                <w:color w:val="3A3838"/>
                <w:sz w:val="16"/>
                <w:szCs w:val="16"/>
                <w:lang w:eastAsia="es-CR"/>
              </w:rPr>
              <w:t>Aumento/disminución 2021vs2019</w:t>
            </w:r>
          </w:p>
        </w:tc>
        <w:tc>
          <w:tcPr>
            <w:tcW w:w="1673" w:type="dxa"/>
            <w:tcBorders>
              <w:top w:val="single" w:sz="4" w:space="0" w:color="auto"/>
              <w:left w:val="nil"/>
              <w:bottom w:val="single" w:sz="4" w:space="0" w:color="auto"/>
              <w:right w:val="single" w:sz="4" w:space="0" w:color="auto"/>
            </w:tcBorders>
            <w:shd w:val="clear" w:color="000000" w:fill="DDEBF7"/>
            <w:vAlign w:val="center"/>
            <w:hideMark/>
          </w:tcPr>
          <w:p w14:paraId="666147DB" w14:textId="77777777" w:rsidR="00081DAD" w:rsidRPr="00746E61" w:rsidRDefault="00081DAD" w:rsidP="00746E61">
            <w:pPr>
              <w:spacing w:line="276" w:lineRule="auto"/>
              <w:jc w:val="center"/>
              <w:rPr>
                <w:rFonts w:ascii="Book Antiqua" w:hAnsi="Book Antiqua" w:cs="Calibri"/>
                <w:b/>
                <w:bCs/>
                <w:color w:val="3A3838"/>
                <w:sz w:val="16"/>
                <w:szCs w:val="16"/>
                <w:lang w:eastAsia="es-CR"/>
              </w:rPr>
            </w:pPr>
            <w:r w:rsidRPr="00746E61">
              <w:rPr>
                <w:rFonts w:ascii="Book Antiqua" w:hAnsi="Book Antiqua" w:cs="Calibri"/>
                <w:b/>
                <w:bCs/>
                <w:color w:val="3A3838"/>
                <w:sz w:val="16"/>
                <w:szCs w:val="16"/>
                <w:lang w:eastAsia="es-CR"/>
              </w:rPr>
              <w:t>Aumento/disminución 2021vs2020</w:t>
            </w:r>
          </w:p>
        </w:tc>
      </w:tr>
      <w:tr w:rsidR="005E22EC" w:rsidRPr="00746E61" w14:paraId="13074C8B" w14:textId="77777777" w:rsidTr="005E22EC">
        <w:trPr>
          <w:trHeight w:val="249"/>
        </w:trPr>
        <w:tc>
          <w:tcPr>
            <w:tcW w:w="3068"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483F7CD" w14:textId="77777777" w:rsidR="00081DAD" w:rsidRPr="00746E61" w:rsidRDefault="00081DAD"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Cóbano</w:t>
            </w:r>
          </w:p>
        </w:tc>
        <w:tc>
          <w:tcPr>
            <w:tcW w:w="929" w:type="dxa"/>
            <w:tcBorders>
              <w:top w:val="nil"/>
              <w:left w:val="nil"/>
              <w:bottom w:val="single" w:sz="4" w:space="0" w:color="auto"/>
              <w:right w:val="single" w:sz="4" w:space="0" w:color="auto"/>
            </w:tcBorders>
            <w:shd w:val="clear" w:color="auto" w:fill="F2F2F2" w:themeFill="background1" w:themeFillShade="F2"/>
            <w:noWrap/>
            <w:vAlign w:val="center"/>
            <w:hideMark/>
          </w:tcPr>
          <w:p w14:paraId="05C67614"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35</w:t>
            </w:r>
          </w:p>
        </w:tc>
        <w:tc>
          <w:tcPr>
            <w:tcW w:w="929" w:type="dxa"/>
            <w:tcBorders>
              <w:top w:val="nil"/>
              <w:left w:val="nil"/>
              <w:bottom w:val="single" w:sz="4" w:space="0" w:color="auto"/>
              <w:right w:val="single" w:sz="4" w:space="0" w:color="auto"/>
            </w:tcBorders>
            <w:shd w:val="clear" w:color="auto" w:fill="F2F2F2" w:themeFill="background1" w:themeFillShade="F2"/>
            <w:noWrap/>
            <w:vAlign w:val="center"/>
            <w:hideMark/>
          </w:tcPr>
          <w:p w14:paraId="29AC8175"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32</w:t>
            </w:r>
          </w:p>
        </w:tc>
        <w:tc>
          <w:tcPr>
            <w:tcW w:w="929" w:type="dxa"/>
            <w:tcBorders>
              <w:top w:val="nil"/>
              <w:left w:val="nil"/>
              <w:bottom w:val="single" w:sz="4" w:space="0" w:color="auto"/>
              <w:right w:val="single" w:sz="4" w:space="0" w:color="auto"/>
            </w:tcBorders>
            <w:shd w:val="clear" w:color="auto" w:fill="F2F2F2" w:themeFill="background1" w:themeFillShade="F2"/>
            <w:noWrap/>
            <w:vAlign w:val="center"/>
            <w:hideMark/>
          </w:tcPr>
          <w:p w14:paraId="59EF3514"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53</w:t>
            </w:r>
          </w:p>
        </w:tc>
        <w:tc>
          <w:tcPr>
            <w:tcW w:w="1673" w:type="dxa"/>
            <w:tcBorders>
              <w:top w:val="nil"/>
              <w:left w:val="nil"/>
              <w:bottom w:val="single" w:sz="4" w:space="0" w:color="auto"/>
              <w:right w:val="single" w:sz="4" w:space="0" w:color="auto"/>
            </w:tcBorders>
            <w:shd w:val="clear" w:color="auto" w:fill="F2F2F2" w:themeFill="background1" w:themeFillShade="F2"/>
            <w:vAlign w:val="center"/>
            <w:hideMark/>
          </w:tcPr>
          <w:p w14:paraId="48D4165C"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48,98%</w:t>
            </w:r>
          </w:p>
        </w:tc>
        <w:tc>
          <w:tcPr>
            <w:tcW w:w="1673" w:type="dxa"/>
            <w:tcBorders>
              <w:top w:val="nil"/>
              <w:left w:val="nil"/>
              <w:bottom w:val="single" w:sz="4" w:space="0" w:color="auto"/>
              <w:right w:val="single" w:sz="4" w:space="0" w:color="auto"/>
            </w:tcBorders>
            <w:shd w:val="clear" w:color="auto" w:fill="F2F2F2" w:themeFill="background1" w:themeFillShade="F2"/>
            <w:vAlign w:val="center"/>
            <w:hideMark/>
          </w:tcPr>
          <w:p w14:paraId="0B6A95F3"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64,71%</w:t>
            </w:r>
          </w:p>
        </w:tc>
      </w:tr>
      <w:tr w:rsidR="00081DAD" w:rsidRPr="00746E61" w14:paraId="661CA462" w14:textId="77777777" w:rsidTr="00081DAD">
        <w:trPr>
          <w:trHeight w:val="249"/>
        </w:trPr>
        <w:tc>
          <w:tcPr>
            <w:tcW w:w="3068" w:type="dxa"/>
            <w:tcBorders>
              <w:top w:val="nil"/>
              <w:left w:val="single" w:sz="4" w:space="0" w:color="auto"/>
              <w:bottom w:val="single" w:sz="4" w:space="0" w:color="auto"/>
              <w:right w:val="single" w:sz="4" w:space="0" w:color="auto"/>
            </w:tcBorders>
            <w:shd w:val="clear" w:color="auto" w:fill="auto"/>
            <w:noWrap/>
            <w:vAlign w:val="center"/>
            <w:hideMark/>
          </w:tcPr>
          <w:p w14:paraId="1A102BFE" w14:textId="77777777" w:rsidR="00081DAD" w:rsidRPr="00746E61" w:rsidRDefault="00081DAD"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Los Chiles</w:t>
            </w:r>
          </w:p>
        </w:tc>
        <w:tc>
          <w:tcPr>
            <w:tcW w:w="929" w:type="dxa"/>
            <w:tcBorders>
              <w:top w:val="nil"/>
              <w:left w:val="nil"/>
              <w:bottom w:val="single" w:sz="4" w:space="0" w:color="auto"/>
              <w:right w:val="single" w:sz="4" w:space="0" w:color="auto"/>
            </w:tcBorders>
            <w:shd w:val="clear" w:color="auto" w:fill="auto"/>
            <w:noWrap/>
            <w:vAlign w:val="center"/>
            <w:hideMark/>
          </w:tcPr>
          <w:p w14:paraId="79746B4A"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63</w:t>
            </w:r>
          </w:p>
        </w:tc>
        <w:tc>
          <w:tcPr>
            <w:tcW w:w="929" w:type="dxa"/>
            <w:tcBorders>
              <w:top w:val="nil"/>
              <w:left w:val="nil"/>
              <w:bottom w:val="single" w:sz="4" w:space="0" w:color="auto"/>
              <w:right w:val="single" w:sz="4" w:space="0" w:color="auto"/>
            </w:tcBorders>
            <w:shd w:val="clear" w:color="auto" w:fill="auto"/>
            <w:noWrap/>
            <w:vAlign w:val="center"/>
            <w:hideMark/>
          </w:tcPr>
          <w:p w14:paraId="0244E2AF"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63</w:t>
            </w:r>
          </w:p>
        </w:tc>
        <w:tc>
          <w:tcPr>
            <w:tcW w:w="929" w:type="dxa"/>
            <w:tcBorders>
              <w:top w:val="nil"/>
              <w:left w:val="nil"/>
              <w:bottom w:val="single" w:sz="4" w:space="0" w:color="auto"/>
              <w:right w:val="single" w:sz="4" w:space="0" w:color="auto"/>
            </w:tcBorders>
            <w:shd w:val="clear" w:color="auto" w:fill="auto"/>
            <w:noWrap/>
            <w:vAlign w:val="center"/>
            <w:hideMark/>
          </w:tcPr>
          <w:p w14:paraId="27B8FD29"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85</w:t>
            </w:r>
          </w:p>
        </w:tc>
        <w:tc>
          <w:tcPr>
            <w:tcW w:w="1673" w:type="dxa"/>
            <w:tcBorders>
              <w:top w:val="nil"/>
              <w:left w:val="nil"/>
              <w:bottom w:val="single" w:sz="4" w:space="0" w:color="auto"/>
              <w:right w:val="single" w:sz="4" w:space="0" w:color="auto"/>
            </w:tcBorders>
            <w:shd w:val="clear" w:color="auto" w:fill="auto"/>
            <w:vAlign w:val="center"/>
            <w:hideMark/>
          </w:tcPr>
          <w:p w14:paraId="7ED4E077"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35,54%</w:t>
            </w:r>
          </w:p>
        </w:tc>
        <w:tc>
          <w:tcPr>
            <w:tcW w:w="1673" w:type="dxa"/>
            <w:tcBorders>
              <w:top w:val="nil"/>
              <w:left w:val="nil"/>
              <w:bottom w:val="single" w:sz="4" w:space="0" w:color="auto"/>
              <w:right w:val="single" w:sz="4" w:space="0" w:color="auto"/>
            </w:tcBorders>
            <w:shd w:val="clear" w:color="auto" w:fill="auto"/>
            <w:vAlign w:val="center"/>
            <w:hideMark/>
          </w:tcPr>
          <w:p w14:paraId="47B42C84"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34,21%</w:t>
            </w:r>
          </w:p>
        </w:tc>
      </w:tr>
      <w:tr w:rsidR="00081DAD" w:rsidRPr="00746E61" w14:paraId="4B81EC88" w14:textId="77777777" w:rsidTr="00081DAD">
        <w:trPr>
          <w:trHeight w:val="249"/>
        </w:trPr>
        <w:tc>
          <w:tcPr>
            <w:tcW w:w="3068" w:type="dxa"/>
            <w:tcBorders>
              <w:top w:val="nil"/>
              <w:left w:val="single" w:sz="4" w:space="0" w:color="auto"/>
              <w:bottom w:val="single" w:sz="4" w:space="0" w:color="auto"/>
              <w:right w:val="single" w:sz="4" w:space="0" w:color="auto"/>
            </w:tcBorders>
            <w:shd w:val="clear" w:color="auto" w:fill="auto"/>
            <w:noWrap/>
            <w:vAlign w:val="center"/>
            <w:hideMark/>
          </w:tcPr>
          <w:p w14:paraId="73DB3B09" w14:textId="77777777" w:rsidR="00081DAD" w:rsidRPr="00746E61" w:rsidRDefault="00081DAD"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 xml:space="preserve">Juzgado Penal de Desamparados </w:t>
            </w:r>
          </w:p>
        </w:tc>
        <w:tc>
          <w:tcPr>
            <w:tcW w:w="929" w:type="dxa"/>
            <w:tcBorders>
              <w:top w:val="nil"/>
              <w:left w:val="nil"/>
              <w:bottom w:val="single" w:sz="4" w:space="0" w:color="auto"/>
              <w:right w:val="single" w:sz="4" w:space="0" w:color="auto"/>
            </w:tcBorders>
            <w:shd w:val="clear" w:color="auto" w:fill="auto"/>
            <w:noWrap/>
            <w:vAlign w:val="center"/>
            <w:hideMark/>
          </w:tcPr>
          <w:p w14:paraId="3C74B6A4"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412</w:t>
            </w:r>
          </w:p>
        </w:tc>
        <w:tc>
          <w:tcPr>
            <w:tcW w:w="929" w:type="dxa"/>
            <w:tcBorders>
              <w:top w:val="nil"/>
              <w:left w:val="nil"/>
              <w:bottom w:val="single" w:sz="4" w:space="0" w:color="auto"/>
              <w:right w:val="single" w:sz="4" w:space="0" w:color="auto"/>
            </w:tcBorders>
            <w:shd w:val="clear" w:color="auto" w:fill="auto"/>
            <w:noWrap/>
            <w:vAlign w:val="center"/>
            <w:hideMark/>
          </w:tcPr>
          <w:p w14:paraId="648F7A7B"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439</w:t>
            </w:r>
          </w:p>
        </w:tc>
        <w:tc>
          <w:tcPr>
            <w:tcW w:w="929" w:type="dxa"/>
            <w:tcBorders>
              <w:top w:val="nil"/>
              <w:left w:val="nil"/>
              <w:bottom w:val="single" w:sz="4" w:space="0" w:color="auto"/>
              <w:right w:val="single" w:sz="4" w:space="0" w:color="auto"/>
            </w:tcBorders>
            <w:shd w:val="clear" w:color="auto" w:fill="auto"/>
            <w:noWrap/>
            <w:vAlign w:val="center"/>
            <w:hideMark/>
          </w:tcPr>
          <w:p w14:paraId="6F5AB6C5"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518</w:t>
            </w:r>
          </w:p>
        </w:tc>
        <w:tc>
          <w:tcPr>
            <w:tcW w:w="1673" w:type="dxa"/>
            <w:tcBorders>
              <w:top w:val="nil"/>
              <w:left w:val="nil"/>
              <w:bottom w:val="single" w:sz="4" w:space="0" w:color="auto"/>
              <w:right w:val="single" w:sz="4" w:space="0" w:color="auto"/>
            </w:tcBorders>
            <w:shd w:val="clear" w:color="auto" w:fill="auto"/>
            <w:vAlign w:val="center"/>
            <w:hideMark/>
          </w:tcPr>
          <w:p w14:paraId="06228799"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25,53%</w:t>
            </w:r>
          </w:p>
        </w:tc>
        <w:tc>
          <w:tcPr>
            <w:tcW w:w="1673" w:type="dxa"/>
            <w:tcBorders>
              <w:top w:val="nil"/>
              <w:left w:val="nil"/>
              <w:bottom w:val="single" w:sz="4" w:space="0" w:color="auto"/>
              <w:right w:val="single" w:sz="4" w:space="0" w:color="auto"/>
            </w:tcBorders>
            <w:shd w:val="clear" w:color="auto" w:fill="auto"/>
            <w:vAlign w:val="center"/>
            <w:hideMark/>
          </w:tcPr>
          <w:p w14:paraId="75B8BEF0"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17,83%</w:t>
            </w:r>
          </w:p>
        </w:tc>
      </w:tr>
      <w:tr w:rsidR="00081DAD" w:rsidRPr="00746E61" w14:paraId="5C2E5738" w14:textId="77777777" w:rsidTr="00081DAD">
        <w:trPr>
          <w:trHeight w:val="249"/>
        </w:trPr>
        <w:tc>
          <w:tcPr>
            <w:tcW w:w="3068" w:type="dxa"/>
            <w:tcBorders>
              <w:top w:val="nil"/>
              <w:left w:val="single" w:sz="4" w:space="0" w:color="auto"/>
              <w:bottom w:val="single" w:sz="4" w:space="0" w:color="auto"/>
              <w:right w:val="single" w:sz="4" w:space="0" w:color="auto"/>
            </w:tcBorders>
            <w:shd w:val="clear" w:color="auto" w:fill="auto"/>
            <w:noWrap/>
            <w:vAlign w:val="center"/>
            <w:hideMark/>
          </w:tcPr>
          <w:p w14:paraId="525BF43F" w14:textId="77777777" w:rsidR="00081DAD" w:rsidRPr="00746E61" w:rsidRDefault="00081DAD"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Upala</w:t>
            </w:r>
          </w:p>
        </w:tc>
        <w:tc>
          <w:tcPr>
            <w:tcW w:w="929" w:type="dxa"/>
            <w:tcBorders>
              <w:top w:val="nil"/>
              <w:left w:val="nil"/>
              <w:bottom w:val="single" w:sz="4" w:space="0" w:color="auto"/>
              <w:right w:val="single" w:sz="4" w:space="0" w:color="auto"/>
            </w:tcBorders>
            <w:shd w:val="clear" w:color="auto" w:fill="auto"/>
            <w:noWrap/>
            <w:vAlign w:val="center"/>
            <w:hideMark/>
          </w:tcPr>
          <w:p w14:paraId="2CB602BC"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148</w:t>
            </w:r>
          </w:p>
        </w:tc>
        <w:tc>
          <w:tcPr>
            <w:tcW w:w="929" w:type="dxa"/>
            <w:tcBorders>
              <w:top w:val="nil"/>
              <w:left w:val="nil"/>
              <w:bottom w:val="single" w:sz="4" w:space="0" w:color="auto"/>
              <w:right w:val="single" w:sz="4" w:space="0" w:color="auto"/>
            </w:tcBorders>
            <w:shd w:val="clear" w:color="auto" w:fill="auto"/>
            <w:noWrap/>
            <w:vAlign w:val="center"/>
            <w:hideMark/>
          </w:tcPr>
          <w:p w14:paraId="5D93A4B6"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143</w:t>
            </w:r>
          </w:p>
        </w:tc>
        <w:tc>
          <w:tcPr>
            <w:tcW w:w="929" w:type="dxa"/>
            <w:tcBorders>
              <w:top w:val="nil"/>
              <w:left w:val="nil"/>
              <w:bottom w:val="single" w:sz="4" w:space="0" w:color="auto"/>
              <w:right w:val="single" w:sz="4" w:space="0" w:color="auto"/>
            </w:tcBorders>
            <w:shd w:val="clear" w:color="auto" w:fill="auto"/>
            <w:noWrap/>
            <w:vAlign w:val="center"/>
            <w:hideMark/>
          </w:tcPr>
          <w:p w14:paraId="0422BFB9"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185</w:t>
            </w:r>
          </w:p>
        </w:tc>
        <w:tc>
          <w:tcPr>
            <w:tcW w:w="1673" w:type="dxa"/>
            <w:tcBorders>
              <w:top w:val="nil"/>
              <w:left w:val="nil"/>
              <w:bottom w:val="single" w:sz="4" w:space="0" w:color="auto"/>
              <w:right w:val="single" w:sz="4" w:space="0" w:color="auto"/>
            </w:tcBorders>
            <w:shd w:val="clear" w:color="auto" w:fill="auto"/>
            <w:vAlign w:val="center"/>
            <w:hideMark/>
          </w:tcPr>
          <w:p w14:paraId="4421DB5F"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24,97%</w:t>
            </w:r>
          </w:p>
        </w:tc>
        <w:tc>
          <w:tcPr>
            <w:tcW w:w="1673" w:type="dxa"/>
            <w:tcBorders>
              <w:top w:val="nil"/>
              <w:left w:val="nil"/>
              <w:bottom w:val="single" w:sz="4" w:space="0" w:color="auto"/>
              <w:right w:val="single" w:sz="4" w:space="0" w:color="auto"/>
            </w:tcBorders>
            <w:shd w:val="clear" w:color="auto" w:fill="auto"/>
            <w:vAlign w:val="center"/>
            <w:hideMark/>
          </w:tcPr>
          <w:p w14:paraId="61E9AA12"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29,31%</w:t>
            </w:r>
          </w:p>
        </w:tc>
      </w:tr>
      <w:tr w:rsidR="00081DAD" w:rsidRPr="00746E61" w14:paraId="69D3EA70" w14:textId="77777777" w:rsidTr="00081DAD">
        <w:trPr>
          <w:trHeight w:val="249"/>
        </w:trPr>
        <w:tc>
          <w:tcPr>
            <w:tcW w:w="3068" w:type="dxa"/>
            <w:tcBorders>
              <w:top w:val="nil"/>
              <w:left w:val="single" w:sz="4" w:space="0" w:color="auto"/>
              <w:bottom w:val="single" w:sz="4" w:space="0" w:color="auto"/>
              <w:right w:val="single" w:sz="4" w:space="0" w:color="auto"/>
            </w:tcBorders>
            <w:shd w:val="clear" w:color="auto" w:fill="auto"/>
            <w:noWrap/>
            <w:vAlign w:val="center"/>
            <w:hideMark/>
          </w:tcPr>
          <w:p w14:paraId="78D4E1A6" w14:textId="77777777" w:rsidR="00081DAD" w:rsidRPr="00746E61" w:rsidRDefault="00081DAD"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Quepos</w:t>
            </w:r>
          </w:p>
        </w:tc>
        <w:tc>
          <w:tcPr>
            <w:tcW w:w="929" w:type="dxa"/>
            <w:tcBorders>
              <w:top w:val="nil"/>
              <w:left w:val="nil"/>
              <w:bottom w:val="single" w:sz="4" w:space="0" w:color="auto"/>
              <w:right w:val="single" w:sz="4" w:space="0" w:color="auto"/>
            </w:tcBorders>
            <w:shd w:val="clear" w:color="auto" w:fill="auto"/>
            <w:noWrap/>
            <w:vAlign w:val="center"/>
            <w:hideMark/>
          </w:tcPr>
          <w:p w14:paraId="19E18323"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151</w:t>
            </w:r>
          </w:p>
        </w:tc>
        <w:tc>
          <w:tcPr>
            <w:tcW w:w="929" w:type="dxa"/>
            <w:tcBorders>
              <w:top w:val="nil"/>
              <w:left w:val="nil"/>
              <w:bottom w:val="single" w:sz="4" w:space="0" w:color="auto"/>
              <w:right w:val="single" w:sz="4" w:space="0" w:color="auto"/>
            </w:tcBorders>
            <w:shd w:val="clear" w:color="auto" w:fill="auto"/>
            <w:noWrap/>
            <w:vAlign w:val="center"/>
            <w:hideMark/>
          </w:tcPr>
          <w:p w14:paraId="7B70837E"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182</w:t>
            </w:r>
          </w:p>
        </w:tc>
        <w:tc>
          <w:tcPr>
            <w:tcW w:w="929" w:type="dxa"/>
            <w:tcBorders>
              <w:top w:val="nil"/>
              <w:left w:val="nil"/>
              <w:bottom w:val="single" w:sz="4" w:space="0" w:color="auto"/>
              <w:right w:val="single" w:sz="4" w:space="0" w:color="auto"/>
            </w:tcBorders>
            <w:shd w:val="clear" w:color="auto" w:fill="auto"/>
            <w:noWrap/>
            <w:vAlign w:val="center"/>
            <w:hideMark/>
          </w:tcPr>
          <w:p w14:paraId="2671784E"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186</w:t>
            </w:r>
          </w:p>
        </w:tc>
        <w:tc>
          <w:tcPr>
            <w:tcW w:w="1673" w:type="dxa"/>
            <w:tcBorders>
              <w:top w:val="nil"/>
              <w:left w:val="nil"/>
              <w:bottom w:val="single" w:sz="4" w:space="0" w:color="auto"/>
              <w:right w:val="single" w:sz="4" w:space="0" w:color="auto"/>
            </w:tcBorders>
            <w:shd w:val="clear" w:color="auto" w:fill="auto"/>
            <w:vAlign w:val="center"/>
            <w:hideMark/>
          </w:tcPr>
          <w:p w14:paraId="6A2101CE"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23,39%</w:t>
            </w:r>
          </w:p>
        </w:tc>
        <w:tc>
          <w:tcPr>
            <w:tcW w:w="1673" w:type="dxa"/>
            <w:tcBorders>
              <w:top w:val="nil"/>
              <w:left w:val="nil"/>
              <w:bottom w:val="single" w:sz="4" w:space="0" w:color="auto"/>
              <w:right w:val="single" w:sz="4" w:space="0" w:color="auto"/>
            </w:tcBorders>
            <w:shd w:val="clear" w:color="auto" w:fill="auto"/>
            <w:vAlign w:val="center"/>
            <w:hideMark/>
          </w:tcPr>
          <w:p w14:paraId="0F4F21E4"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2,35%</w:t>
            </w:r>
          </w:p>
        </w:tc>
      </w:tr>
      <w:tr w:rsidR="00081DAD" w:rsidRPr="00746E61" w14:paraId="2E73979E" w14:textId="77777777" w:rsidTr="00081DAD">
        <w:trPr>
          <w:trHeight w:val="249"/>
        </w:trPr>
        <w:tc>
          <w:tcPr>
            <w:tcW w:w="3068" w:type="dxa"/>
            <w:tcBorders>
              <w:top w:val="nil"/>
              <w:left w:val="single" w:sz="4" w:space="0" w:color="auto"/>
              <w:bottom w:val="single" w:sz="4" w:space="0" w:color="auto"/>
              <w:right w:val="single" w:sz="4" w:space="0" w:color="auto"/>
            </w:tcBorders>
            <w:shd w:val="clear" w:color="auto" w:fill="auto"/>
            <w:noWrap/>
            <w:vAlign w:val="center"/>
            <w:hideMark/>
          </w:tcPr>
          <w:p w14:paraId="01D5B6E3" w14:textId="77777777" w:rsidR="00081DAD" w:rsidRPr="00746E61" w:rsidRDefault="00081DAD"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Sarapiquí</w:t>
            </w:r>
          </w:p>
        </w:tc>
        <w:tc>
          <w:tcPr>
            <w:tcW w:w="929" w:type="dxa"/>
            <w:tcBorders>
              <w:top w:val="nil"/>
              <w:left w:val="nil"/>
              <w:bottom w:val="single" w:sz="4" w:space="0" w:color="auto"/>
              <w:right w:val="single" w:sz="4" w:space="0" w:color="auto"/>
            </w:tcBorders>
            <w:shd w:val="clear" w:color="auto" w:fill="auto"/>
            <w:noWrap/>
            <w:vAlign w:val="center"/>
            <w:hideMark/>
          </w:tcPr>
          <w:p w14:paraId="7ED5E107"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128</w:t>
            </w:r>
          </w:p>
        </w:tc>
        <w:tc>
          <w:tcPr>
            <w:tcW w:w="929" w:type="dxa"/>
            <w:tcBorders>
              <w:top w:val="nil"/>
              <w:left w:val="nil"/>
              <w:bottom w:val="single" w:sz="4" w:space="0" w:color="auto"/>
              <w:right w:val="single" w:sz="4" w:space="0" w:color="auto"/>
            </w:tcBorders>
            <w:shd w:val="clear" w:color="auto" w:fill="auto"/>
            <w:noWrap/>
            <w:vAlign w:val="center"/>
            <w:hideMark/>
          </w:tcPr>
          <w:p w14:paraId="6E26BD15"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142</w:t>
            </w:r>
          </w:p>
        </w:tc>
        <w:tc>
          <w:tcPr>
            <w:tcW w:w="929" w:type="dxa"/>
            <w:tcBorders>
              <w:top w:val="nil"/>
              <w:left w:val="nil"/>
              <w:bottom w:val="single" w:sz="4" w:space="0" w:color="auto"/>
              <w:right w:val="single" w:sz="4" w:space="0" w:color="auto"/>
            </w:tcBorders>
            <w:shd w:val="clear" w:color="auto" w:fill="auto"/>
            <w:noWrap/>
            <w:vAlign w:val="center"/>
            <w:hideMark/>
          </w:tcPr>
          <w:p w14:paraId="5F30C2FE"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158</w:t>
            </w:r>
          </w:p>
        </w:tc>
        <w:tc>
          <w:tcPr>
            <w:tcW w:w="1673" w:type="dxa"/>
            <w:tcBorders>
              <w:top w:val="nil"/>
              <w:left w:val="nil"/>
              <w:bottom w:val="single" w:sz="4" w:space="0" w:color="auto"/>
              <w:right w:val="single" w:sz="4" w:space="0" w:color="auto"/>
            </w:tcBorders>
            <w:shd w:val="clear" w:color="auto" w:fill="auto"/>
            <w:vAlign w:val="center"/>
            <w:hideMark/>
          </w:tcPr>
          <w:p w14:paraId="6CB5678F"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23,16%</w:t>
            </w:r>
          </w:p>
        </w:tc>
        <w:tc>
          <w:tcPr>
            <w:tcW w:w="1673" w:type="dxa"/>
            <w:tcBorders>
              <w:top w:val="nil"/>
              <w:left w:val="nil"/>
              <w:bottom w:val="single" w:sz="4" w:space="0" w:color="auto"/>
              <w:right w:val="single" w:sz="4" w:space="0" w:color="auto"/>
            </w:tcBorders>
            <w:shd w:val="clear" w:color="auto" w:fill="auto"/>
            <w:vAlign w:val="center"/>
            <w:hideMark/>
          </w:tcPr>
          <w:p w14:paraId="0652B843"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11,02%</w:t>
            </w:r>
          </w:p>
        </w:tc>
      </w:tr>
      <w:tr w:rsidR="00081DAD" w:rsidRPr="00746E61" w14:paraId="3F9F2CC8" w14:textId="77777777" w:rsidTr="00081DAD">
        <w:trPr>
          <w:trHeight w:val="249"/>
        </w:trPr>
        <w:tc>
          <w:tcPr>
            <w:tcW w:w="3068" w:type="dxa"/>
            <w:tcBorders>
              <w:top w:val="nil"/>
              <w:left w:val="single" w:sz="4" w:space="0" w:color="auto"/>
              <w:bottom w:val="single" w:sz="4" w:space="0" w:color="auto"/>
              <w:right w:val="single" w:sz="4" w:space="0" w:color="auto"/>
            </w:tcBorders>
            <w:shd w:val="clear" w:color="auto" w:fill="auto"/>
            <w:noWrap/>
            <w:vAlign w:val="center"/>
            <w:hideMark/>
          </w:tcPr>
          <w:p w14:paraId="238C417F" w14:textId="77777777" w:rsidR="00081DAD" w:rsidRPr="00746E61" w:rsidRDefault="00081DAD"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Osa</w:t>
            </w:r>
          </w:p>
        </w:tc>
        <w:tc>
          <w:tcPr>
            <w:tcW w:w="929" w:type="dxa"/>
            <w:tcBorders>
              <w:top w:val="nil"/>
              <w:left w:val="nil"/>
              <w:bottom w:val="single" w:sz="4" w:space="0" w:color="auto"/>
              <w:right w:val="single" w:sz="4" w:space="0" w:color="auto"/>
            </w:tcBorders>
            <w:shd w:val="clear" w:color="auto" w:fill="auto"/>
            <w:noWrap/>
            <w:vAlign w:val="center"/>
            <w:hideMark/>
          </w:tcPr>
          <w:p w14:paraId="56B96859"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121</w:t>
            </w:r>
          </w:p>
        </w:tc>
        <w:tc>
          <w:tcPr>
            <w:tcW w:w="929" w:type="dxa"/>
            <w:tcBorders>
              <w:top w:val="nil"/>
              <w:left w:val="nil"/>
              <w:bottom w:val="single" w:sz="4" w:space="0" w:color="auto"/>
              <w:right w:val="single" w:sz="4" w:space="0" w:color="auto"/>
            </w:tcBorders>
            <w:shd w:val="clear" w:color="auto" w:fill="auto"/>
            <w:noWrap/>
            <w:vAlign w:val="center"/>
            <w:hideMark/>
          </w:tcPr>
          <w:p w14:paraId="21E4F58D"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118</w:t>
            </w:r>
          </w:p>
        </w:tc>
        <w:tc>
          <w:tcPr>
            <w:tcW w:w="929" w:type="dxa"/>
            <w:tcBorders>
              <w:top w:val="nil"/>
              <w:left w:val="nil"/>
              <w:bottom w:val="single" w:sz="4" w:space="0" w:color="auto"/>
              <w:right w:val="single" w:sz="4" w:space="0" w:color="auto"/>
            </w:tcBorders>
            <w:shd w:val="clear" w:color="auto" w:fill="auto"/>
            <w:noWrap/>
            <w:vAlign w:val="center"/>
            <w:hideMark/>
          </w:tcPr>
          <w:p w14:paraId="67ACE62E"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148</w:t>
            </w:r>
          </w:p>
        </w:tc>
        <w:tc>
          <w:tcPr>
            <w:tcW w:w="1673" w:type="dxa"/>
            <w:tcBorders>
              <w:top w:val="nil"/>
              <w:left w:val="nil"/>
              <w:bottom w:val="single" w:sz="4" w:space="0" w:color="auto"/>
              <w:right w:val="single" w:sz="4" w:space="0" w:color="auto"/>
            </w:tcBorders>
            <w:shd w:val="clear" w:color="auto" w:fill="auto"/>
            <w:vAlign w:val="center"/>
            <w:hideMark/>
          </w:tcPr>
          <w:p w14:paraId="6F07693F"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22,27%</w:t>
            </w:r>
          </w:p>
        </w:tc>
        <w:tc>
          <w:tcPr>
            <w:tcW w:w="1673" w:type="dxa"/>
            <w:tcBorders>
              <w:top w:val="nil"/>
              <w:left w:val="nil"/>
              <w:bottom w:val="single" w:sz="4" w:space="0" w:color="auto"/>
              <w:right w:val="single" w:sz="4" w:space="0" w:color="auto"/>
            </w:tcBorders>
            <w:shd w:val="clear" w:color="auto" w:fill="auto"/>
            <w:vAlign w:val="center"/>
            <w:hideMark/>
          </w:tcPr>
          <w:p w14:paraId="0A5D7D5E"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26,25%</w:t>
            </w:r>
          </w:p>
        </w:tc>
      </w:tr>
      <w:tr w:rsidR="00081DAD" w:rsidRPr="00746E61" w14:paraId="43D80487" w14:textId="77777777" w:rsidTr="00081DAD">
        <w:trPr>
          <w:trHeight w:val="249"/>
        </w:trPr>
        <w:tc>
          <w:tcPr>
            <w:tcW w:w="3068" w:type="dxa"/>
            <w:tcBorders>
              <w:top w:val="nil"/>
              <w:left w:val="single" w:sz="4" w:space="0" w:color="auto"/>
              <w:bottom w:val="single" w:sz="4" w:space="0" w:color="auto"/>
              <w:right w:val="single" w:sz="4" w:space="0" w:color="auto"/>
            </w:tcBorders>
            <w:shd w:val="clear" w:color="auto" w:fill="auto"/>
            <w:noWrap/>
            <w:vAlign w:val="center"/>
            <w:hideMark/>
          </w:tcPr>
          <w:p w14:paraId="5885BFE2" w14:textId="77777777" w:rsidR="00081DAD" w:rsidRPr="00746E61" w:rsidRDefault="00081DAD"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Talamanca</w:t>
            </w:r>
          </w:p>
        </w:tc>
        <w:tc>
          <w:tcPr>
            <w:tcW w:w="929" w:type="dxa"/>
            <w:tcBorders>
              <w:top w:val="nil"/>
              <w:left w:val="nil"/>
              <w:bottom w:val="single" w:sz="4" w:space="0" w:color="auto"/>
              <w:right w:val="single" w:sz="4" w:space="0" w:color="auto"/>
            </w:tcBorders>
            <w:shd w:val="clear" w:color="auto" w:fill="auto"/>
            <w:noWrap/>
            <w:vAlign w:val="center"/>
            <w:hideMark/>
          </w:tcPr>
          <w:p w14:paraId="1E1F2908"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106</w:t>
            </w:r>
          </w:p>
        </w:tc>
        <w:tc>
          <w:tcPr>
            <w:tcW w:w="929" w:type="dxa"/>
            <w:tcBorders>
              <w:top w:val="nil"/>
              <w:left w:val="nil"/>
              <w:bottom w:val="single" w:sz="4" w:space="0" w:color="auto"/>
              <w:right w:val="single" w:sz="4" w:space="0" w:color="auto"/>
            </w:tcBorders>
            <w:shd w:val="clear" w:color="auto" w:fill="auto"/>
            <w:noWrap/>
            <w:vAlign w:val="center"/>
            <w:hideMark/>
          </w:tcPr>
          <w:p w14:paraId="2C75C8E9"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107</w:t>
            </w:r>
          </w:p>
        </w:tc>
        <w:tc>
          <w:tcPr>
            <w:tcW w:w="929" w:type="dxa"/>
            <w:tcBorders>
              <w:top w:val="nil"/>
              <w:left w:val="nil"/>
              <w:bottom w:val="single" w:sz="4" w:space="0" w:color="auto"/>
              <w:right w:val="single" w:sz="4" w:space="0" w:color="auto"/>
            </w:tcBorders>
            <w:shd w:val="clear" w:color="auto" w:fill="auto"/>
            <w:noWrap/>
            <w:vAlign w:val="center"/>
            <w:hideMark/>
          </w:tcPr>
          <w:p w14:paraId="3DA9648B"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125</w:t>
            </w:r>
          </w:p>
        </w:tc>
        <w:tc>
          <w:tcPr>
            <w:tcW w:w="1673" w:type="dxa"/>
            <w:tcBorders>
              <w:top w:val="nil"/>
              <w:left w:val="nil"/>
              <w:bottom w:val="single" w:sz="4" w:space="0" w:color="auto"/>
              <w:right w:val="single" w:sz="4" w:space="0" w:color="auto"/>
            </w:tcBorders>
            <w:shd w:val="clear" w:color="auto" w:fill="auto"/>
            <w:vAlign w:val="center"/>
            <w:hideMark/>
          </w:tcPr>
          <w:p w14:paraId="2682F06E"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17,99%</w:t>
            </w:r>
          </w:p>
        </w:tc>
        <w:tc>
          <w:tcPr>
            <w:tcW w:w="1673" w:type="dxa"/>
            <w:tcBorders>
              <w:top w:val="nil"/>
              <w:left w:val="nil"/>
              <w:bottom w:val="single" w:sz="4" w:space="0" w:color="auto"/>
              <w:right w:val="single" w:sz="4" w:space="0" w:color="auto"/>
            </w:tcBorders>
            <w:shd w:val="clear" w:color="auto" w:fill="auto"/>
            <w:vAlign w:val="center"/>
            <w:hideMark/>
          </w:tcPr>
          <w:p w14:paraId="084E6DD4"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16,72%</w:t>
            </w:r>
          </w:p>
        </w:tc>
      </w:tr>
      <w:tr w:rsidR="00081DAD" w:rsidRPr="00746E61" w14:paraId="4B77A30B" w14:textId="77777777" w:rsidTr="00081DAD">
        <w:trPr>
          <w:trHeight w:val="249"/>
        </w:trPr>
        <w:tc>
          <w:tcPr>
            <w:tcW w:w="3068" w:type="dxa"/>
            <w:tcBorders>
              <w:top w:val="nil"/>
              <w:left w:val="single" w:sz="4" w:space="0" w:color="auto"/>
              <w:bottom w:val="single" w:sz="4" w:space="0" w:color="auto"/>
              <w:right w:val="single" w:sz="4" w:space="0" w:color="auto"/>
            </w:tcBorders>
            <w:shd w:val="clear" w:color="auto" w:fill="auto"/>
            <w:noWrap/>
            <w:vAlign w:val="center"/>
            <w:hideMark/>
          </w:tcPr>
          <w:p w14:paraId="513296D1" w14:textId="77777777" w:rsidR="00081DAD" w:rsidRPr="00746E61" w:rsidRDefault="00081DAD"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Turrialba</w:t>
            </w:r>
          </w:p>
        </w:tc>
        <w:tc>
          <w:tcPr>
            <w:tcW w:w="929" w:type="dxa"/>
            <w:tcBorders>
              <w:top w:val="nil"/>
              <w:left w:val="nil"/>
              <w:bottom w:val="single" w:sz="4" w:space="0" w:color="auto"/>
              <w:right w:val="single" w:sz="4" w:space="0" w:color="auto"/>
            </w:tcBorders>
            <w:shd w:val="clear" w:color="auto" w:fill="auto"/>
            <w:noWrap/>
            <w:vAlign w:val="center"/>
            <w:hideMark/>
          </w:tcPr>
          <w:p w14:paraId="1CD0BFB9"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216</w:t>
            </w:r>
          </w:p>
        </w:tc>
        <w:tc>
          <w:tcPr>
            <w:tcW w:w="929" w:type="dxa"/>
            <w:tcBorders>
              <w:top w:val="nil"/>
              <w:left w:val="nil"/>
              <w:bottom w:val="single" w:sz="4" w:space="0" w:color="auto"/>
              <w:right w:val="single" w:sz="4" w:space="0" w:color="auto"/>
            </w:tcBorders>
            <w:shd w:val="clear" w:color="auto" w:fill="auto"/>
            <w:noWrap/>
            <w:vAlign w:val="center"/>
            <w:hideMark/>
          </w:tcPr>
          <w:p w14:paraId="0F57CFFC"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285</w:t>
            </w:r>
          </w:p>
        </w:tc>
        <w:tc>
          <w:tcPr>
            <w:tcW w:w="929" w:type="dxa"/>
            <w:tcBorders>
              <w:top w:val="nil"/>
              <w:left w:val="nil"/>
              <w:bottom w:val="single" w:sz="4" w:space="0" w:color="auto"/>
              <w:right w:val="single" w:sz="4" w:space="0" w:color="auto"/>
            </w:tcBorders>
            <w:shd w:val="clear" w:color="auto" w:fill="auto"/>
            <w:noWrap/>
            <w:vAlign w:val="center"/>
            <w:hideMark/>
          </w:tcPr>
          <w:p w14:paraId="36D2BDBB"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254</w:t>
            </w:r>
          </w:p>
        </w:tc>
        <w:tc>
          <w:tcPr>
            <w:tcW w:w="1673" w:type="dxa"/>
            <w:tcBorders>
              <w:top w:val="nil"/>
              <w:left w:val="nil"/>
              <w:bottom w:val="single" w:sz="4" w:space="0" w:color="auto"/>
              <w:right w:val="single" w:sz="4" w:space="0" w:color="auto"/>
            </w:tcBorders>
            <w:shd w:val="clear" w:color="auto" w:fill="auto"/>
            <w:vAlign w:val="center"/>
            <w:hideMark/>
          </w:tcPr>
          <w:p w14:paraId="4DC577D7"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17,39%</w:t>
            </w:r>
          </w:p>
        </w:tc>
        <w:tc>
          <w:tcPr>
            <w:tcW w:w="1673" w:type="dxa"/>
            <w:tcBorders>
              <w:top w:val="nil"/>
              <w:left w:val="nil"/>
              <w:bottom w:val="single" w:sz="4" w:space="0" w:color="auto"/>
              <w:right w:val="single" w:sz="4" w:space="0" w:color="auto"/>
            </w:tcBorders>
            <w:shd w:val="clear" w:color="auto" w:fill="auto"/>
            <w:vAlign w:val="center"/>
            <w:hideMark/>
          </w:tcPr>
          <w:p w14:paraId="2B9342D5"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-10,99%</w:t>
            </w:r>
          </w:p>
        </w:tc>
      </w:tr>
      <w:tr w:rsidR="00081DAD" w:rsidRPr="00746E61" w14:paraId="53C4E9A7" w14:textId="77777777" w:rsidTr="00081DAD">
        <w:trPr>
          <w:trHeight w:val="249"/>
        </w:trPr>
        <w:tc>
          <w:tcPr>
            <w:tcW w:w="3068" w:type="dxa"/>
            <w:tcBorders>
              <w:top w:val="nil"/>
              <w:left w:val="single" w:sz="4" w:space="0" w:color="auto"/>
              <w:bottom w:val="single" w:sz="4" w:space="0" w:color="auto"/>
              <w:right w:val="single" w:sz="4" w:space="0" w:color="auto"/>
            </w:tcBorders>
            <w:shd w:val="clear" w:color="auto" w:fill="auto"/>
            <w:noWrap/>
            <w:vAlign w:val="center"/>
            <w:hideMark/>
          </w:tcPr>
          <w:p w14:paraId="47B6C9A4" w14:textId="77777777" w:rsidR="00081DAD" w:rsidRPr="00746E61" w:rsidRDefault="00081DAD"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Grecia</w:t>
            </w:r>
          </w:p>
        </w:tc>
        <w:tc>
          <w:tcPr>
            <w:tcW w:w="929" w:type="dxa"/>
            <w:tcBorders>
              <w:top w:val="nil"/>
              <w:left w:val="nil"/>
              <w:bottom w:val="single" w:sz="4" w:space="0" w:color="auto"/>
              <w:right w:val="single" w:sz="4" w:space="0" w:color="auto"/>
            </w:tcBorders>
            <w:shd w:val="clear" w:color="auto" w:fill="auto"/>
            <w:noWrap/>
            <w:vAlign w:val="center"/>
            <w:hideMark/>
          </w:tcPr>
          <w:p w14:paraId="4A6280F4"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171</w:t>
            </w:r>
          </w:p>
        </w:tc>
        <w:tc>
          <w:tcPr>
            <w:tcW w:w="929" w:type="dxa"/>
            <w:tcBorders>
              <w:top w:val="nil"/>
              <w:left w:val="nil"/>
              <w:bottom w:val="single" w:sz="4" w:space="0" w:color="auto"/>
              <w:right w:val="single" w:sz="4" w:space="0" w:color="auto"/>
            </w:tcBorders>
            <w:shd w:val="clear" w:color="auto" w:fill="auto"/>
            <w:noWrap/>
            <w:vAlign w:val="center"/>
            <w:hideMark/>
          </w:tcPr>
          <w:p w14:paraId="3FF9EB74"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172</w:t>
            </w:r>
          </w:p>
        </w:tc>
        <w:tc>
          <w:tcPr>
            <w:tcW w:w="929" w:type="dxa"/>
            <w:tcBorders>
              <w:top w:val="nil"/>
              <w:left w:val="nil"/>
              <w:bottom w:val="single" w:sz="4" w:space="0" w:color="auto"/>
              <w:right w:val="single" w:sz="4" w:space="0" w:color="auto"/>
            </w:tcBorders>
            <w:shd w:val="clear" w:color="auto" w:fill="auto"/>
            <w:noWrap/>
            <w:vAlign w:val="center"/>
            <w:hideMark/>
          </w:tcPr>
          <w:p w14:paraId="71CAA0AC"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195</w:t>
            </w:r>
          </w:p>
        </w:tc>
        <w:tc>
          <w:tcPr>
            <w:tcW w:w="1673" w:type="dxa"/>
            <w:tcBorders>
              <w:top w:val="nil"/>
              <w:left w:val="nil"/>
              <w:bottom w:val="single" w:sz="4" w:space="0" w:color="auto"/>
              <w:right w:val="single" w:sz="4" w:space="0" w:color="auto"/>
            </w:tcBorders>
            <w:shd w:val="clear" w:color="auto" w:fill="auto"/>
            <w:vAlign w:val="center"/>
            <w:hideMark/>
          </w:tcPr>
          <w:p w14:paraId="0582D708"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14,28%</w:t>
            </w:r>
          </w:p>
        </w:tc>
        <w:tc>
          <w:tcPr>
            <w:tcW w:w="1673" w:type="dxa"/>
            <w:tcBorders>
              <w:top w:val="nil"/>
              <w:left w:val="nil"/>
              <w:bottom w:val="single" w:sz="4" w:space="0" w:color="auto"/>
              <w:right w:val="single" w:sz="4" w:space="0" w:color="auto"/>
            </w:tcBorders>
            <w:shd w:val="clear" w:color="auto" w:fill="auto"/>
            <w:vAlign w:val="center"/>
            <w:hideMark/>
          </w:tcPr>
          <w:p w14:paraId="077FFACB"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13,46%</w:t>
            </w:r>
          </w:p>
        </w:tc>
      </w:tr>
      <w:tr w:rsidR="00081DAD" w:rsidRPr="00746E61" w14:paraId="1FD954DA" w14:textId="77777777" w:rsidTr="00081DAD">
        <w:trPr>
          <w:trHeight w:val="249"/>
        </w:trPr>
        <w:tc>
          <w:tcPr>
            <w:tcW w:w="3068" w:type="dxa"/>
            <w:tcBorders>
              <w:top w:val="nil"/>
              <w:left w:val="single" w:sz="4" w:space="0" w:color="auto"/>
              <w:bottom w:val="single" w:sz="4" w:space="0" w:color="auto"/>
              <w:right w:val="single" w:sz="4" w:space="0" w:color="auto"/>
            </w:tcBorders>
            <w:shd w:val="clear" w:color="auto" w:fill="auto"/>
            <w:noWrap/>
            <w:vAlign w:val="center"/>
            <w:hideMark/>
          </w:tcPr>
          <w:p w14:paraId="44449671" w14:textId="77777777" w:rsidR="00081DAD" w:rsidRPr="00746E61" w:rsidRDefault="00081DAD"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Goicochea</w:t>
            </w:r>
          </w:p>
        </w:tc>
        <w:tc>
          <w:tcPr>
            <w:tcW w:w="929" w:type="dxa"/>
            <w:tcBorders>
              <w:top w:val="nil"/>
              <w:left w:val="nil"/>
              <w:bottom w:val="single" w:sz="4" w:space="0" w:color="auto"/>
              <w:right w:val="single" w:sz="4" w:space="0" w:color="auto"/>
            </w:tcBorders>
            <w:shd w:val="clear" w:color="auto" w:fill="auto"/>
            <w:noWrap/>
            <w:vAlign w:val="center"/>
            <w:hideMark/>
          </w:tcPr>
          <w:p w14:paraId="164C40AC"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855</w:t>
            </w:r>
          </w:p>
        </w:tc>
        <w:tc>
          <w:tcPr>
            <w:tcW w:w="929" w:type="dxa"/>
            <w:tcBorders>
              <w:top w:val="nil"/>
              <w:left w:val="nil"/>
              <w:bottom w:val="single" w:sz="4" w:space="0" w:color="auto"/>
              <w:right w:val="single" w:sz="4" w:space="0" w:color="auto"/>
            </w:tcBorders>
            <w:shd w:val="clear" w:color="auto" w:fill="auto"/>
            <w:noWrap/>
            <w:vAlign w:val="center"/>
            <w:hideMark/>
          </w:tcPr>
          <w:p w14:paraId="0659D53D"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955</w:t>
            </w:r>
          </w:p>
        </w:tc>
        <w:tc>
          <w:tcPr>
            <w:tcW w:w="929" w:type="dxa"/>
            <w:tcBorders>
              <w:top w:val="nil"/>
              <w:left w:val="nil"/>
              <w:bottom w:val="single" w:sz="4" w:space="0" w:color="auto"/>
              <w:right w:val="single" w:sz="4" w:space="0" w:color="auto"/>
            </w:tcBorders>
            <w:shd w:val="clear" w:color="auto" w:fill="auto"/>
            <w:noWrap/>
            <w:vAlign w:val="center"/>
            <w:hideMark/>
          </w:tcPr>
          <w:p w14:paraId="3F5634F7"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922</w:t>
            </w:r>
          </w:p>
        </w:tc>
        <w:tc>
          <w:tcPr>
            <w:tcW w:w="1673" w:type="dxa"/>
            <w:tcBorders>
              <w:top w:val="nil"/>
              <w:left w:val="nil"/>
              <w:bottom w:val="single" w:sz="4" w:space="0" w:color="auto"/>
              <w:right w:val="single" w:sz="4" w:space="0" w:color="auto"/>
            </w:tcBorders>
            <w:shd w:val="clear" w:color="auto" w:fill="auto"/>
            <w:vAlign w:val="center"/>
            <w:hideMark/>
          </w:tcPr>
          <w:p w14:paraId="693ABD39"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7,86%</w:t>
            </w:r>
          </w:p>
        </w:tc>
        <w:tc>
          <w:tcPr>
            <w:tcW w:w="1673" w:type="dxa"/>
            <w:tcBorders>
              <w:top w:val="nil"/>
              <w:left w:val="nil"/>
              <w:bottom w:val="single" w:sz="4" w:space="0" w:color="auto"/>
              <w:right w:val="single" w:sz="4" w:space="0" w:color="auto"/>
            </w:tcBorders>
            <w:shd w:val="clear" w:color="auto" w:fill="auto"/>
            <w:vAlign w:val="center"/>
            <w:hideMark/>
          </w:tcPr>
          <w:p w14:paraId="0D7A1737"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-3,44%</w:t>
            </w:r>
          </w:p>
        </w:tc>
      </w:tr>
      <w:tr w:rsidR="00081DAD" w:rsidRPr="00746E61" w14:paraId="5A580CC2" w14:textId="77777777" w:rsidTr="00081DAD">
        <w:trPr>
          <w:trHeight w:val="249"/>
        </w:trPr>
        <w:tc>
          <w:tcPr>
            <w:tcW w:w="3068" w:type="dxa"/>
            <w:tcBorders>
              <w:top w:val="nil"/>
              <w:left w:val="single" w:sz="4" w:space="0" w:color="auto"/>
              <w:bottom w:val="single" w:sz="4" w:space="0" w:color="auto"/>
              <w:right w:val="single" w:sz="4" w:space="0" w:color="auto"/>
            </w:tcBorders>
            <w:shd w:val="clear" w:color="auto" w:fill="auto"/>
            <w:noWrap/>
            <w:vAlign w:val="center"/>
            <w:hideMark/>
          </w:tcPr>
          <w:p w14:paraId="6F98E7B0" w14:textId="77777777" w:rsidR="00081DAD" w:rsidRPr="00746E61" w:rsidRDefault="00081DAD"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Pococí</w:t>
            </w:r>
          </w:p>
        </w:tc>
        <w:tc>
          <w:tcPr>
            <w:tcW w:w="929" w:type="dxa"/>
            <w:tcBorders>
              <w:top w:val="nil"/>
              <w:left w:val="nil"/>
              <w:bottom w:val="single" w:sz="4" w:space="0" w:color="auto"/>
              <w:right w:val="single" w:sz="4" w:space="0" w:color="auto"/>
            </w:tcBorders>
            <w:shd w:val="clear" w:color="auto" w:fill="auto"/>
            <w:noWrap/>
            <w:vAlign w:val="center"/>
            <w:hideMark/>
          </w:tcPr>
          <w:p w14:paraId="57FD497E"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365</w:t>
            </w:r>
          </w:p>
        </w:tc>
        <w:tc>
          <w:tcPr>
            <w:tcW w:w="929" w:type="dxa"/>
            <w:tcBorders>
              <w:top w:val="nil"/>
              <w:left w:val="nil"/>
              <w:bottom w:val="single" w:sz="4" w:space="0" w:color="auto"/>
              <w:right w:val="single" w:sz="4" w:space="0" w:color="auto"/>
            </w:tcBorders>
            <w:shd w:val="clear" w:color="auto" w:fill="auto"/>
            <w:noWrap/>
            <w:vAlign w:val="center"/>
            <w:hideMark/>
          </w:tcPr>
          <w:p w14:paraId="2AF938AC"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401</w:t>
            </w:r>
          </w:p>
        </w:tc>
        <w:tc>
          <w:tcPr>
            <w:tcW w:w="929" w:type="dxa"/>
            <w:tcBorders>
              <w:top w:val="nil"/>
              <w:left w:val="nil"/>
              <w:bottom w:val="single" w:sz="4" w:space="0" w:color="auto"/>
              <w:right w:val="single" w:sz="4" w:space="0" w:color="auto"/>
            </w:tcBorders>
            <w:shd w:val="clear" w:color="auto" w:fill="auto"/>
            <w:noWrap/>
            <w:vAlign w:val="center"/>
            <w:hideMark/>
          </w:tcPr>
          <w:p w14:paraId="35FFE66B"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386</w:t>
            </w:r>
          </w:p>
        </w:tc>
        <w:tc>
          <w:tcPr>
            <w:tcW w:w="1673" w:type="dxa"/>
            <w:tcBorders>
              <w:top w:val="nil"/>
              <w:left w:val="nil"/>
              <w:bottom w:val="single" w:sz="4" w:space="0" w:color="auto"/>
              <w:right w:val="single" w:sz="4" w:space="0" w:color="auto"/>
            </w:tcBorders>
            <w:shd w:val="clear" w:color="auto" w:fill="auto"/>
            <w:vAlign w:val="center"/>
            <w:hideMark/>
          </w:tcPr>
          <w:p w14:paraId="353758BC"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5,74%</w:t>
            </w:r>
          </w:p>
        </w:tc>
        <w:tc>
          <w:tcPr>
            <w:tcW w:w="1673" w:type="dxa"/>
            <w:tcBorders>
              <w:top w:val="nil"/>
              <w:left w:val="nil"/>
              <w:bottom w:val="single" w:sz="4" w:space="0" w:color="auto"/>
              <w:right w:val="single" w:sz="4" w:space="0" w:color="auto"/>
            </w:tcBorders>
            <w:shd w:val="clear" w:color="auto" w:fill="auto"/>
            <w:vAlign w:val="center"/>
            <w:hideMark/>
          </w:tcPr>
          <w:p w14:paraId="2753F12D"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-3,77%</w:t>
            </w:r>
          </w:p>
        </w:tc>
      </w:tr>
      <w:tr w:rsidR="00081DAD" w:rsidRPr="00746E61" w14:paraId="2F4FACC8" w14:textId="77777777" w:rsidTr="00081DAD">
        <w:trPr>
          <w:trHeight w:val="249"/>
        </w:trPr>
        <w:tc>
          <w:tcPr>
            <w:tcW w:w="3068" w:type="dxa"/>
            <w:tcBorders>
              <w:top w:val="nil"/>
              <w:left w:val="single" w:sz="4" w:space="0" w:color="auto"/>
              <w:bottom w:val="single" w:sz="4" w:space="0" w:color="auto"/>
              <w:right w:val="single" w:sz="4" w:space="0" w:color="auto"/>
            </w:tcBorders>
            <w:shd w:val="clear" w:color="auto" w:fill="auto"/>
            <w:noWrap/>
            <w:vAlign w:val="center"/>
            <w:hideMark/>
          </w:tcPr>
          <w:p w14:paraId="7EEE5E44" w14:textId="77777777" w:rsidR="00081DAD" w:rsidRPr="00746E61" w:rsidRDefault="00081DAD"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Cañas</w:t>
            </w:r>
          </w:p>
        </w:tc>
        <w:tc>
          <w:tcPr>
            <w:tcW w:w="929" w:type="dxa"/>
            <w:tcBorders>
              <w:top w:val="nil"/>
              <w:left w:val="nil"/>
              <w:bottom w:val="single" w:sz="4" w:space="0" w:color="auto"/>
              <w:right w:val="single" w:sz="4" w:space="0" w:color="auto"/>
            </w:tcBorders>
            <w:shd w:val="clear" w:color="auto" w:fill="auto"/>
            <w:noWrap/>
            <w:vAlign w:val="center"/>
            <w:hideMark/>
          </w:tcPr>
          <w:p w14:paraId="19A35735"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145</w:t>
            </w:r>
          </w:p>
        </w:tc>
        <w:tc>
          <w:tcPr>
            <w:tcW w:w="929" w:type="dxa"/>
            <w:tcBorders>
              <w:top w:val="nil"/>
              <w:left w:val="nil"/>
              <w:bottom w:val="single" w:sz="4" w:space="0" w:color="auto"/>
              <w:right w:val="single" w:sz="4" w:space="0" w:color="auto"/>
            </w:tcBorders>
            <w:shd w:val="clear" w:color="auto" w:fill="auto"/>
            <w:noWrap/>
            <w:vAlign w:val="center"/>
            <w:hideMark/>
          </w:tcPr>
          <w:p w14:paraId="2A555383"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149</w:t>
            </w:r>
          </w:p>
        </w:tc>
        <w:tc>
          <w:tcPr>
            <w:tcW w:w="929" w:type="dxa"/>
            <w:tcBorders>
              <w:top w:val="nil"/>
              <w:left w:val="nil"/>
              <w:bottom w:val="single" w:sz="4" w:space="0" w:color="auto"/>
              <w:right w:val="single" w:sz="4" w:space="0" w:color="auto"/>
            </w:tcBorders>
            <w:shd w:val="clear" w:color="auto" w:fill="auto"/>
            <w:noWrap/>
            <w:vAlign w:val="center"/>
            <w:hideMark/>
          </w:tcPr>
          <w:p w14:paraId="26719877"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151</w:t>
            </w:r>
          </w:p>
        </w:tc>
        <w:tc>
          <w:tcPr>
            <w:tcW w:w="1673" w:type="dxa"/>
            <w:tcBorders>
              <w:top w:val="nil"/>
              <w:left w:val="nil"/>
              <w:bottom w:val="single" w:sz="4" w:space="0" w:color="auto"/>
              <w:right w:val="single" w:sz="4" w:space="0" w:color="auto"/>
            </w:tcBorders>
            <w:shd w:val="clear" w:color="auto" w:fill="auto"/>
            <w:vAlign w:val="center"/>
            <w:hideMark/>
          </w:tcPr>
          <w:p w14:paraId="6EF2D8D5"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4,03%</w:t>
            </w:r>
          </w:p>
        </w:tc>
        <w:tc>
          <w:tcPr>
            <w:tcW w:w="1673" w:type="dxa"/>
            <w:tcBorders>
              <w:top w:val="nil"/>
              <w:left w:val="nil"/>
              <w:bottom w:val="single" w:sz="4" w:space="0" w:color="auto"/>
              <w:right w:val="single" w:sz="4" w:space="0" w:color="auto"/>
            </w:tcBorders>
            <w:shd w:val="clear" w:color="auto" w:fill="auto"/>
            <w:vAlign w:val="center"/>
            <w:hideMark/>
          </w:tcPr>
          <w:p w14:paraId="757547C8"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1,06%</w:t>
            </w:r>
          </w:p>
        </w:tc>
      </w:tr>
      <w:tr w:rsidR="00081DAD" w:rsidRPr="00746E61" w14:paraId="2F27B62A" w14:textId="77777777" w:rsidTr="00081DAD">
        <w:trPr>
          <w:trHeight w:val="249"/>
        </w:trPr>
        <w:tc>
          <w:tcPr>
            <w:tcW w:w="3068" w:type="dxa"/>
            <w:tcBorders>
              <w:top w:val="nil"/>
              <w:left w:val="single" w:sz="4" w:space="0" w:color="auto"/>
              <w:bottom w:val="single" w:sz="4" w:space="0" w:color="auto"/>
              <w:right w:val="single" w:sz="4" w:space="0" w:color="auto"/>
            </w:tcBorders>
            <w:shd w:val="clear" w:color="auto" w:fill="auto"/>
            <w:noWrap/>
            <w:vAlign w:val="center"/>
            <w:hideMark/>
          </w:tcPr>
          <w:p w14:paraId="1EA44881" w14:textId="77777777" w:rsidR="00081DAD" w:rsidRPr="00746E61" w:rsidRDefault="00081DAD"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Liberia</w:t>
            </w:r>
          </w:p>
        </w:tc>
        <w:tc>
          <w:tcPr>
            <w:tcW w:w="929" w:type="dxa"/>
            <w:tcBorders>
              <w:top w:val="nil"/>
              <w:left w:val="nil"/>
              <w:bottom w:val="single" w:sz="4" w:space="0" w:color="auto"/>
              <w:right w:val="single" w:sz="4" w:space="0" w:color="auto"/>
            </w:tcBorders>
            <w:shd w:val="clear" w:color="auto" w:fill="auto"/>
            <w:noWrap/>
            <w:vAlign w:val="center"/>
            <w:hideMark/>
          </w:tcPr>
          <w:p w14:paraId="1F7E3A28"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274</w:t>
            </w:r>
          </w:p>
        </w:tc>
        <w:tc>
          <w:tcPr>
            <w:tcW w:w="929" w:type="dxa"/>
            <w:tcBorders>
              <w:top w:val="nil"/>
              <w:left w:val="nil"/>
              <w:bottom w:val="single" w:sz="4" w:space="0" w:color="auto"/>
              <w:right w:val="single" w:sz="4" w:space="0" w:color="auto"/>
            </w:tcBorders>
            <w:shd w:val="clear" w:color="auto" w:fill="auto"/>
            <w:noWrap/>
            <w:vAlign w:val="center"/>
            <w:hideMark/>
          </w:tcPr>
          <w:p w14:paraId="4889DA56"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262</w:t>
            </w:r>
          </w:p>
        </w:tc>
        <w:tc>
          <w:tcPr>
            <w:tcW w:w="929" w:type="dxa"/>
            <w:tcBorders>
              <w:top w:val="nil"/>
              <w:left w:val="nil"/>
              <w:bottom w:val="single" w:sz="4" w:space="0" w:color="auto"/>
              <w:right w:val="single" w:sz="4" w:space="0" w:color="auto"/>
            </w:tcBorders>
            <w:shd w:val="clear" w:color="auto" w:fill="auto"/>
            <w:noWrap/>
            <w:vAlign w:val="center"/>
            <w:hideMark/>
          </w:tcPr>
          <w:p w14:paraId="6B89EBDB"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282</w:t>
            </w:r>
          </w:p>
        </w:tc>
        <w:tc>
          <w:tcPr>
            <w:tcW w:w="1673" w:type="dxa"/>
            <w:tcBorders>
              <w:top w:val="nil"/>
              <w:left w:val="nil"/>
              <w:bottom w:val="single" w:sz="4" w:space="0" w:color="auto"/>
              <w:right w:val="single" w:sz="4" w:space="0" w:color="auto"/>
            </w:tcBorders>
            <w:shd w:val="clear" w:color="auto" w:fill="auto"/>
            <w:vAlign w:val="center"/>
            <w:hideMark/>
          </w:tcPr>
          <w:p w14:paraId="252A2FDD"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2,88%</w:t>
            </w:r>
          </w:p>
        </w:tc>
        <w:tc>
          <w:tcPr>
            <w:tcW w:w="1673" w:type="dxa"/>
            <w:tcBorders>
              <w:top w:val="nil"/>
              <w:left w:val="nil"/>
              <w:bottom w:val="single" w:sz="4" w:space="0" w:color="auto"/>
              <w:right w:val="single" w:sz="4" w:space="0" w:color="auto"/>
            </w:tcBorders>
            <w:shd w:val="clear" w:color="auto" w:fill="auto"/>
            <w:vAlign w:val="center"/>
            <w:hideMark/>
          </w:tcPr>
          <w:p w14:paraId="5E7AFC23"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7,66%</w:t>
            </w:r>
          </w:p>
        </w:tc>
      </w:tr>
      <w:tr w:rsidR="00081DAD" w:rsidRPr="00746E61" w14:paraId="605C3BFB" w14:textId="77777777" w:rsidTr="00081DAD">
        <w:trPr>
          <w:trHeight w:val="249"/>
        </w:trPr>
        <w:tc>
          <w:tcPr>
            <w:tcW w:w="3068" w:type="dxa"/>
            <w:tcBorders>
              <w:top w:val="nil"/>
              <w:left w:val="single" w:sz="4" w:space="0" w:color="auto"/>
              <w:bottom w:val="single" w:sz="4" w:space="0" w:color="auto"/>
              <w:right w:val="single" w:sz="4" w:space="0" w:color="auto"/>
            </w:tcBorders>
            <w:shd w:val="clear" w:color="auto" w:fill="auto"/>
            <w:noWrap/>
            <w:vAlign w:val="center"/>
            <w:hideMark/>
          </w:tcPr>
          <w:p w14:paraId="21842EDE" w14:textId="77777777" w:rsidR="00081DAD" w:rsidRPr="00746E61" w:rsidRDefault="00081DAD"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Heredia</w:t>
            </w:r>
          </w:p>
        </w:tc>
        <w:tc>
          <w:tcPr>
            <w:tcW w:w="929" w:type="dxa"/>
            <w:tcBorders>
              <w:top w:val="nil"/>
              <w:left w:val="nil"/>
              <w:bottom w:val="single" w:sz="4" w:space="0" w:color="auto"/>
              <w:right w:val="single" w:sz="4" w:space="0" w:color="auto"/>
            </w:tcBorders>
            <w:shd w:val="clear" w:color="auto" w:fill="auto"/>
            <w:noWrap/>
            <w:vAlign w:val="center"/>
            <w:hideMark/>
          </w:tcPr>
          <w:p w14:paraId="6706CAAB"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458</w:t>
            </w:r>
          </w:p>
        </w:tc>
        <w:tc>
          <w:tcPr>
            <w:tcW w:w="929" w:type="dxa"/>
            <w:tcBorders>
              <w:top w:val="nil"/>
              <w:left w:val="nil"/>
              <w:bottom w:val="single" w:sz="4" w:space="0" w:color="auto"/>
              <w:right w:val="single" w:sz="4" w:space="0" w:color="auto"/>
            </w:tcBorders>
            <w:shd w:val="clear" w:color="auto" w:fill="auto"/>
            <w:noWrap/>
            <w:vAlign w:val="center"/>
            <w:hideMark/>
          </w:tcPr>
          <w:p w14:paraId="0A9A0207"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488</w:t>
            </w:r>
          </w:p>
        </w:tc>
        <w:tc>
          <w:tcPr>
            <w:tcW w:w="929" w:type="dxa"/>
            <w:tcBorders>
              <w:top w:val="nil"/>
              <w:left w:val="nil"/>
              <w:bottom w:val="single" w:sz="4" w:space="0" w:color="auto"/>
              <w:right w:val="single" w:sz="4" w:space="0" w:color="auto"/>
            </w:tcBorders>
            <w:shd w:val="clear" w:color="auto" w:fill="auto"/>
            <w:noWrap/>
            <w:vAlign w:val="center"/>
            <w:hideMark/>
          </w:tcPr>
          <w:p w14:paraId="514C7C57"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470</w:t>
            </w:r>
          </w:p>
        </w:tc>
        <w:tc>
          <w:tcPr>
            <w:tcW w:w="1673" w:type="dxa"/>
            <w:tcBorders>
              <w:top w:val="nil"/>
              <w:left w:val="nil"/>
              <w:bottom w:val="single" w:sz="4" w:space="0" w:color="auto"/>
              <w:right w:val="single" w:sz="4" w:space="0" w:color="auto"/>
            </w:tcBorders>
            <w:shd w:val="clear" w:color="auto" w:fill="auto"/>
            <w:vAlign w:val="center"/>
            <w:hideMark/>
          </w:tcPr>
          <w:p w14:paraId="7E4AFF7A"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2,69%</w:t>
            </w:r>
          </w:p>
        </w:tc>
        <w:tc>
          <w:tcPr>
            <w:tcW w:w="1673" w:type="dxa"/>
            <w:tcBorders>
              <w:top w:val="nil"/>
              <w:left w:val="nil"/>
              <w:bottom w:val="single" w:sz="4" w:space="0" w:color="auto"/>
              <w:right w:val="single" w:sz="4" w:space="0" w:color="auto"/>
            </w:tcBorders>
            <w:shd w:val="clear" w:color="auto" w:fill="auto"/>
            <w:vAlign w:val="center"/>
            <w:hideMark/>
          </w:tcPr>
          <w:p w14:paraId="1E37DE6A"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-3,59%</w:t>
            </w:r>
          </w:p>
        </w:tc>
      </w:tr>
      <w:tr w:rsidR="00081DAD" w:rsidRPr="00746E61" w14:paraId="1203DD15" w14:textId="77777777" w:rsidTr="00081DAD">
        <w:trPr>
          <w:trHeight w:val="249"/>
        </w:trPr>
        <w:tc>
          <w:tcPr>
            <w:tcW w:w="3068" w:type="dxa"/>
            <w:tcBorders>
              <w:top w:val="nil"/>
              <w:left w:val="single" w:sz="4" w:space="0" w:color="auto"/>
              <w:bottom w:val="single" w:sz="4" w:space="0" w:color="auto"/>
              <w:right w:val="single" w:sz="4" w:space="0" w:color="auto"/>
            </w:tcBorders>
            <w:shd w:val="clear" w:color="auto" w:fill="auto"/>
            <w:noWrap/>
            <w:vAlign w:val="center"/>
            <w:hideMark/>
          </w:tcPr>
          <w:p w14:paraId="4D760438" w14:textId="77777777" w:rsidR="00081DAD" w:rsidRPr="00746E61" w:rsidRDefault="00081DAD"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Atenas</w:t>
            </w:r>
          </w:p>
        </w:tc>
        <w:tc>
          <w:tcPr>
            <w:tcW w:w="929" w:type="dxa"/>
            <w:tcBorders>
              <w:top w:val="nil"/>
              <w:left w:val="nil"/>
              <w:bottom w:val="single" w:sz="4" w:space="0" w:color="auto"/>
              <w:right w:val="single" w:sz="4" w:space="0" w:color="auto"/>
            </w:tcBorders>
            <w:shd w:val="clear" w:color="auto" w:fill="auto"/>
            <w:noWrap/>
            <w:vAlign w:val="center"/>
            <w:hideMark/>
          </w:tcPr>
          <w:p w14:paraId="438CB1BC"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112</w:t>
            </w:r>
          </w:p>
        </w:tc>
        <w:tc>
          <w:tcPr>
            <w:tcW w:w="929" w:type="dxa"/>
            <w:tcBorders>
              <w:top w:val="nil"/>
              <w:left w:val="nil"/>
              <w:bottom w:val="single" w:sz="4" w:space="0" w:color="auto"/>
              <w:right w:val="single" w:sz="4" w:space="0" w:color="auto"/>
            </w:tcBorders>
            <w:shd w:val="clear" w:color="auto" w:fill="auto"/>
            <w:noWrap/>
            <w:vAlign w:val="center"/>
            <w:hideMark/>
          </w:tcPr>
          <w:p w14:paraId="078B4787"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101</w:t>
            </w:r>
          </w:p>
        </w:tc>
        <w:tc>
          <w:tcPr>
            <w:tcW w:w="929" w:type="dxa"/>
            <w:tcBorders>
              <w:top w:val="nil"/>
              <w:left w:val="nil"/>
              <w:bottom w:val="single" w:sz="4" w:space="0" w:color="auto"/>
              <w:right w:val="single" w:sz="4" w:space="0" w:color="auto"/>
            </w:tcBorders>
            <w:shd w:val="clear" w:color="auto" w:fill="auto"/>
            <w:noWrap/>
            <w:vAlign w:val="center"/>
            <w:hideMark/>
          </w:tcPr>
          <w:p w14:paraId="0543AB70"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113</w:t>
            </w:r>
          </w:p>
        </w:tc>
        <w:tc>
          <w:tcPr>
            <w:tcW w:w="1673" w:type="dxa"/>
            <w:tcBorders>
              <w:top w:val="nil"/>
              <w:left w:val="nil"/>
              <w:bottom w:val="single" w:sz="4" w:space="0" w:color="auto"/>
              <w:right w:val="single" w:sz="4" w:space="0" w:color="auto"/>
            </w:tcBorders>
            <w:shd w:val="clear" w:color="auto" w:fill="auto"/>
            <w:vAlign w:val="center"/>
            <w:hideMark/>
          </w:tcPr>
          <w:p w14:paraId="10148D4E"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1,06%</w:t>
            </w:r>
          </w:p>
        </w:tc>
        <w:tc>
          <w:tcPr>
            <w:tcW w:w="1673" w:type="dxa"/>
            <w:tcBorders>
              <w:top w:val="nil"/>
              <w:left w:val="nil"/>
              <w:bottom w:val="single" w:sz="4" w:space="0" w:color="auto"/>
              <w:right w:val="single" w:sz="4" w:space="0" w:color="auto"/>
            </w:tcBorders>
            <w:shd w:val="clear" w:color="auto" w:fill="auto"/>
            <w:vAlign w:val="center"/>
            <w:hideMark/>
          </w:tcPr>
          <w:p w14:paraId="7F7DA3DA"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11,53%</w:t>
            </w:r>
          </w:p>
        </w:tc>
      </w:tr>
      <w:tr w:rsidR="00081DAD" w:rsidRPr="00746E61" w14:paraId="3EC6443C" w14:textId="77777777" w:rsidTr="00081DAD">
        <w:trPr>
          <w:trHeight w:val="249"/>
        </w:trPr>
        <w:tc>
          <w:tcPr>
            <w:tcW w:w="3068" w:type="dxa"/>
            <w:tcBorders>
              <w:top w:val="nil"/>
              <w:left w:val="single" w:sz="4" w:space="0" w:color="auto"/>
              <w:bottom w:val="single" w:sz="4" w:space="0" w:color="auto"/>
              <w:right w:val="single" w:sz="4" w:space="0" w:color="auto"/>
            </w:tcBorders>
            <w:shd w:val="clear" w:color="auto" w:fill="auto"/>
            <w:noWrap/>
            <w:vAlign w:val="center"/>
            <w:hideMark/>
          </w:tcPr>
          <w:p w14:paraId="39451DE9" w14:textId="77777777" w:rsidR="00081DAD" w:rsidRPr="00746E61" w:rsidRDefault="00081DAD"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Corredores</w:t>
            </w:r>
          </w:p>
        </w:tc>
        <w:tc>
          <w:tcPr>
            <w:tcW w:w="929" w:type="dxa"/>
            <w:tcBorders>
              <w:top w:val="nil"/>
              <w:left w:val="nil"/>
              <w:bottom w:val="single" w:sz="4" w:space="0" w:color="auto"/>
              <w:right w:val="single" w:sz="4" w:space="0" w:color="auto"/>
            </w:tcBorders>
            <w:shd w:val="clear" w:color="auto" w:fill="auto"/>
            <w:noWrap/>
            <w:vAlign w:val="center"/>
            <w:hideMark/>
          </w:tcPr>
          <w:p w14:paraId="2B993EB9"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128</w:t>
            </w:r>
          </w:p>
        </w:tc>
        <w:tc>
          <w:tcPr>
            <w:tcW w:w="929" w:type="dxa"/>
            <w:tcBorders>
              <w:top w:val="nil"/>
              <w:left w:val="nil"/>
              <w:bottom w:val="single" w:sz="4" w:space="0" w:color="auto"/>
              <w:right w:val="single" w:sz="4" w:space="0" w:color="auto"/>
            </w:tcBorders>
            <w:shd w:val="clear" w:color="auto" w:fill="auto"/>
            <w:noWrap/>
            <w:vAlign w:val="center"/>
            <w:hideMark/>
          </w:tcPr>
          <w:p w14:paraId="31081932"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143</w:t>
            </w:r>
          </w:p>
        </w:tc>
        <w:tc>
          <w:tcPr>
            <w:tcW w:w="929" w:type="dxa"/>
            <w:tcBorders>
              <w:top w:val="nil"/>
              <w:left w:val="nil"/>
              <w:bottom w:val="single" w:sz="4" w:space="0" w:color="auto"/>
              <w:right w:val="single" w:sz="4" w:space="0" w:color="auto"/>
            </w:tcBorders>
            <w:shd w:val="clear" w:color="auto" w:fill="auto"/>
            <w:noWrap/>
            <w:vAlign w:val="center"/>
            <w:hideMark/>
          </w:tcPr>
          <w:p w14:paraId="1EBB72C6"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128</w:t>
            </w:r>
          </w:p>
        </w:tc>
        <w:tc>
          <w:tcPr>
            <w:tcW w:w="1673" w:type="dxa"/>
            <w:tcBorders>
              <w:top w:val="nil"/>
              <w:left w:val="nil"/>
              <w:bottom w:val="single" w:sz="4" w:space="0" w:color="auto"/>
              <w:right w:val="single" w:sz="4" w:space="0" w:color="auto"/>
            </w:tcBorders>
            <w:shd w:val="clear" w:color="auto" w:fill="auto"/>
            <w:vAlign w:val="center"/>
            <w:hideMark/>
          </w:tcPr>
          <w:p w14:paraId="182EE714"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-0,04%</w:t>
            </w:r>
          </w:p>
        </w:tc>
        <w:tc>
          <w:tcPr>
            <w:tcW w:w="1673" w:type="dxa"/>
            <w:tcBorders>
              <w:top w:val="nil"/>
              <w:left w:val="nil"/>
              <w:bottom w:val="single" w:sz="4" w:space="0" w:color="auto"/>
              <w:right w:val="single" w:sz="4" w:space="0" w:color="auto"/>
            </w:tcBorders>
            <w:shd w:val="clear" w:color="auto" w:fill="auto"/>
            <w:vAlign w:val="center"/>
            <w:hideMark/>
          </w:tcPr>
          <w:p w14:paraId="5A63B93D"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-10,61%</w:t>
            </w:r>
          </w:p>
        </w:tc>
      </w:tr>
      <w:tr w:rsidR="00081DAD" w:rsidRPr="00746E61" w14:paraId="1A04B8B9" w14:textId="77777777" w:rsidTr="00081DAD">
        <w:trPr>
          <w:trHeight w:val="249"/>
        </w:trPr>
        <w:tc>
          <w:tcPr>
            <w:tcW w:w="3068" w:type="dxa"/>
            <w:tcBorders>
              <w:top w:val="nil"/>
              <w:left w:val="single" w:sz="4" w:space="0" w:color="auto"/>
              <w:bottom w:val="single" w:sz="4" w:space="0" w:color="auto"/>
              <w:right w:val="single" w:sz="4" w:space="0" w:color="auto"/>
            </w:tcBorders>
            <w:shd w:val="clear" w:color="auto" w:fill="auto"/>
            <w:noWrap/>
            <w:vAlign w:val="center"/>
            <w:hideMark/>
          </w:tcPr>
          <w:p w14:paraId="57347AED" w14:textId="77777777" w:rsidR="00081DAD" w:rsidRPr="00746E61" w:rsidRDefault="00081DAD"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Cartago</w:t>
            </w:r>
          </w:p>
        </w:tc>
        <w:tc>
          <w:tcPr>
            <w:tcW w:w="929" w:type="dxa"/>
            <w:tcBorders>
              <w:top w:val="nil"/>
              <w:left w:val="nil"/>
              <w:bottom w:val="single" w:sz="4" w:space="0" w:color="auto"/>
              <w:right w:val="single" w:sz="4" w:space="0" w:color="auto"/>
            </w:tcBorders>
            <w:shd w:val="clear" w:color="auto" w:fill="auto"/>
            <w:noWrap/>
            <w:vAlign w:val="center"/>
            <w:hideMark/>
          </w:tcPr>
          <w:p w14:paraId="135CBABB"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576</w:t>
            </w:r>
          </w:p>
        </w:tc>
        <w:tc>
          <w:tcPr>
            <w:tcW w:w="929" w:type="dxa"/>
            <w:tcBorders>
              <w:top w:val="nil"/>
              <w:left w:val="nil"/>
              <w:bottom w:val="single" w:sz="4" w:space="0" w:color="auto"/>
              <w:right w:val="single" w:sz="4" w:space="0" w:color="auto"/>
            </w:tcBorders>
            <w:shd w:val="clear" w:color="auto" w:fill="auto"/>
            <w:noWrap/>
            <w:vAlign w:val="center"/>
            <w:hideMark/>
          </w:tcPr>
          <w:p w14:paraId="6774493C"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586</w:t>
            </w:r>
          </w:p>
        </w:tc>
        <w:tc>
          <w:tcPr>
            <w:tcW w:w="929" w:type="dxa"/>
            <w:tcBorders>
              <w:top w:val="nil"/>
              <w:left w:val="nil"/>
              <w:bottom w:val="single" w:sz="4" w:space="0" w:color="auto"/>
              <w:right w:val="single" w:sz="4" w:space="0" w:color="auto"/>
            </w:tcBorders>
            <w:shd w:val="clear" w:color="auto" w:fill="auto"/>
            <w:noWrap/>
            <w:vAlign w:val="center"/>
            <w:hideMark/>
          </w:tcPr>
          <w:p w14:paraId="732A7090"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553</w:t>
            </w:r>
          </w:p>
        </w:tc>
        <w:tc>
          <w:tcPr>
            <w:tcW w:w="1673" w:type="dxa"/>
            <w:tcBorders>
              <w:top w:val="nil"/>
              <w:left w:val="nil"/>
              <w:bottom w:val="single" w:sz="4" w:space="0" w:color="auto"/>
              <w:right w:val="single" w:sz="4" w:space="0" w:color="auto"/>
            </w:tcBorders>
            <w:shd w:val="clear" w:color="auto" w:fill="auto"/>
            <w:vAlign w:val="center"/>
            <w:hideMark/>
          </w:tcPr>
          <w:p w14:paraId="3E2D487D"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-3,94%</w:t>
            </w:r>
          </w:p>
        </w:tc>
        <w:tc>
          <w:tcPr>
            <w:tcW w:w="1673" w:type="dxa"/>
            <w:tcBorders>
              <w:top w:val="nil"/>
              <w:left w:val="nil"/>
              <w:bottom w:val="single" w:sz="4" w:space="0" w:color="auto"/>
              <w:right w:val="single" w:sz="4" w:space="0" w:color="auto"/>
            </w:tcBorders>
            <w:shd w:val="clear" w:color="auto" w:fill="auto"/>
            <w:vAlign w:val="center"/>
            <w:hideMark/>
          </w:tcPr>
          <w:p w14:paraId="6A42A6C5"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-5,48%</w:t>
            </w:r>
          </w:p>
        </w:tc>
      </w:tr>
      <w:tr w:rsidR="00081DAD" w:rsidRPr="00746E61" w14:paraId="10147E54" w14:textId="77777777" w:rsidTr="00081DAD">
        <w:trPr>
          <w:trHeight w:val="249"/>
        </w:trPr>
        <w:tc>
          <w:tcPr>
            <w:tcW w:w="3068" w:type="dxa"/>
            <w:tcBorders>
              <w:top w:val="nil"/>
              <w:left w:val="single" w:sz="4" w:space="0" w:color="auto"/>
              <w:bottom w:val="single" w:sz="4" w:space="0" w:color="auto"/>
              <w:right w:val="single" w:sz="4" w:space="0" w:color="auto"/>
            </w:tcBorders>
            <w:shd w:val="clear" w:color="auto" w:fill="auto"/>
            <w:noWrap/>
            <w:vAlign w:val="center"/>
            <w:hideMark/>
          </w:tcPr>
          <w:p w14:paraId="422F4CED" w14:textId="77777777" w:rsidR="00081DAD" w:rsidRPr="00746E61" w:rsidRDefault="00081DAD"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Coto Brus</w:t>
            </w:r>
          </w:p>
        </w:tc>
        <w:tc>
          <w:tcPr>
            <w:tcW w:w="929" w:type="dxa"/>
            <w:tcBorders>
              <w:top w:val="nil"/>
              <w:left w:val="nil"/>
              <w:bottom w:val="single" w:sz="4" w:space="0" w:color="auto"/>
              <w:right w:val="single" w:sz="4" w:space="0" w:color="auto"/>
            </w:tcBorders>
            <w:shd w:val="clear" w:color="auto" w:fill="auto"/>
            <w:noWrap/>
            <w:vAlign w:val="center"/>
            <w:hideMark/>
          </w:tcPr>
          <w:p w14:paraId="2BA6F106"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98</w:t>
            </w:r>
          </w:p>
        </w:tc>
        <w:tc>
          <w:tcPr>
            <w:tcW w:w="929" w:type="dxa"/>
            <w:tcBorders>
              <w:top w:val="nil"/>
              <w:left w:val="nil"/>
              <w:bottom w:val="single" w:sz="4" w:space="0" w:color="auto"/>
              <w:right w:val="single" w:sz="4" w:space="0" w:color="auto"/>
            </w:tcBorders>
            <w:shd w:val="clear" w:color="auto" w:fill="auto"/>
            <w:noWrap/>
            <w:vAlign w:val="center"/>
            <w:hideMark/>
          </w:tcPr>
          <w:p w14:paraId="3E792D40"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94</w:t>
            </w:r>
          </w:p>
        </w:tc>
        <w:tc>
          <w:tcPr>
            <w:tcW w:w="929" w:type="dxa"/>
            <w:tcBorders>
              <w:top w:val="nil"/>
              <w:left w:val="nil"/>
              <w:bottom w:val="single" w:sz="4" w:space="0" w:color="auto"/>
              <w:right w:val="single" w:sz="4" w:space="0" w:color="auto"/>
            </w:tcBorders>
            <w:shd w:val="clear" w:color="auto" w:fill="auto"/>
            <w:noWrap/>
            <w:vAlign w:val="center"/>
            <w:hideMark/>
          </w:tcPr>
          <w:p w14:paraId="49C9C152"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92</w:t>
            </w:r>
          </w:p>
        </w:tc>
        <w:tc>
          <w:tcPr>
            <w:tcW w:w="1673" w:type="dxa"/>
            <w:tcBorders>
              <w:top w:val="nil"/>
              <w:left w:val="nil"/>
              <w:bottom w:val="single" w:sz="4" w:space="0" w:color="auto"/>
              <w:right w:val="single" w:sz="4" w:space="0" w:color="auto"/>
            </w:tcBorders>
            <w:shd w:val="clear" w:color="auto" w:fill="auto"/>
            <w:vAlign w:val="center"/>
            <w:hideMark/>
          </w:tcPr>
          <w:p w14:paraId="5C0A5528"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-6,06%</w:t>
            </w:r>
          </w:p>
        </w:tc>
        <w:tc>
          <w:tcPr>
            <w:tcW w:w="1673" w:type="dxa"/>
            <w:tcBorders>
              <w:top w:val="nil"/>
              <w:left w:val="nil"/>
              <w:bottom w:val="single" w:sz="4" w:space="0" w:color="auto"/>
              <w:right w:val="single" w:sz="4" w:space="0" w:color="auto"/>
            </w:tcBorders>
            <w:shd w:val="clear" w:color="auto" w:fill="auto"/>
            <w:vAlign w:val="center"/>
            <w:hideMark/>
          </w:tcPr>
          <w:p w14:paraId="1371CEBA"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-2,70%</w:t>
            </w:r>
          </w:p>
        </w:tc>
      </w:tr>
      <w:tr w:rsidR="00081DAD" w:rsidRPr="00746E61" w14:paraId="39587D33" w14:textId="77777777" w:rsidTr="00081DAD">
        <w:trPr>
          <w:trHeight w:val="249"/>
        </w:trPr>
        <w:tc>
          <w:tcPr>
            <w:tcW w:w="3068" w:type="dxa"/>
            <w:tcBorders>
              <w:top w:val="nil"/>
              <w:left w:val="single" w:sz="4" w:space="0" w:color="auto"/>
              <w:bottom w:val="single" w:sz="4" w:space="0" w:color="auto"/>
              <w:right w:val="single" w:sz="4" w:space="0" w:color="auto"/>
            </w:tcBorders>
            <w:shd w:val="clear" w:color="auto" w:fill="auto"/>
            <w:noWrap/>
            <w:vAlign w:val="center"/>
            <w:hideMark/>
          </w:tcPr>
          <w:p w14:paraId="7D3F1E4D" w14:textId="77777777" w:rsidR="00081DAD" w:rsidRPr="00746E61" w:rsidRDefault="00081DAD"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Hatillo</w:t>
            </w:r>
          </w:p>
        </w:tc>
        <w:tc>
          <w:tcPr>
            <w:tcW w:w="929" w:type="dxa"/>
            <w:tcBorders>
              <w:top w:val="nil"/>
              <w:left w:val="nil"/>
              <w:bottom w:val="single" w:sz="4" w:space="0" w:color="auto"/>
              <w:right w:val="single" w:sz="4" w:space="0" w:color="auto"/>
            </w:tcBorders>
            <w:shd w:val="clear" w:color="auto" w:fill="auto"/>
            <w:noWrap/>
            <w:vAlign w:val="center"/>
            <w:hideMark/>
          </w:tcPr>
          <w:p w14:paraId="797A5C3E"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345</w:t>
            </w:r>
          </w:p>
        </w:tc>
        <w:tc>
          <w:tcPr>
            <w:tcW w:w="929" w:type="dxa"/>
            <w:tcBorders>
              <w:top w:val="nil"/>
              <w:left w:val="nil"/>
              <w:bottom w:val="single" w:sz="4" w:space="0" w:color="auto"/>
              <w:right w:val="single" w:sz="4" w:space="0" w:color="auto"/>
            </w:tcBorders>
            <w:shd w:val="clear" w:color="auto" w:fill="auto"/>
            <w:noWrap/>
            <w:vAlign w:val="center"/>
            <w:hideMark/>
          </w:tcPr>
          <w:p w14:paraId="6631A27E"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403</w:t>
            </w:r>
          </w:p>
        </w:tc>
        <w:tc>
          <w:tcPr>
            <w:tcW w:w="929" w:type="dxa"/>
            <w:tcBorders>
              <w:top w:val="nil"/>
              <w:left w:val="nil"/>
              <w:bottom w:val="single" w:sz="4" w:space="0" w:color="auto"/>
              <w:right w:val="single" w:sz="4" w:space="0" w:color="auto"/>
            </w:tcBorders>
            <w:shd w:val="clear" w:color="auto" w:fill="auto"/>
            <w:noWrap/>
            <w:vAlign w:val="center"/>
            <w:hideMark/>
          </w:tcPr>
          <w:p w14:paraId="1933B23D"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324</w:t>
            </w:r>
          </w:p>
        </w:tc>
        <w:tc>
          <w:tcPr>
            <w:tcW w:w="1673" w:type="dxa"/>
            <w:tcBorders>
              <w:top w:val="nil"/>
              <w:left w:val="nil"/>
              <w:bottom w:val="single" w:sz="4" w:space="0" w:color="auto"/>
              <w:right w:val="single" w:sz="4" w:space="0" w:color="auto"/>
            </w:tcBorders>
            <w:shd w:val="clear" w:color="auto" w:fill="auto"/>
            <w:vAlign w:val="center"/>
            <w:hideMark/>
          </w:tcPr>
          <w:p w14:paraId="6F49884D"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-6,07%</w:t>
            </w:r>
          </w:p>
        </w:tc>
        <w:tc>
          <w:tcPr>
            <w:tcW w:w="1673" w:type="dxa"/>
            <w:tcBorders>
              <w:top w:val="nil"/>
              <w:left w:val="nil"/>
              <w:bottom w:val="single" w:sz="4" w:space="0" w:color="auto"/>
              <w:right w:val="single" w:sz="4" w:space="0" w:color="auto"/>
            </w:tcBorders>
            <w:shd w:val="clear" w:color="auto" w:fill="auto"/>
            <w:vAlign w:val="center"/>
            <w:hideMark/>
          </w:tcPr>
          <w:p w14:paraId="72FEF060"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-19,47%</w:t>
            </w:r>
          </w:p>
        </w:tc>
      </w:tr>
      <w:tr w:rsidR="00081DAD" w:rsidRPr="00746E61" w14:paraId="7ECAECCD" w14:textId="77777777" w:rsidTr="00081DAD">
        <w:trPr>
          <w:trHeight w:val="249"/>
        </w:trPr>
        <w:tc>
          <w:tcPr>
            <w:tcW w:w="3068" w:type="dxa"/>
            <w:tcBorders>
              <w:top w:val="nil"/>
              <w:left w:val="single" w:sz="4" w:space="0" w:color="auto"/>
              <w:bottom w:val="single" w:sz="4" w:space="0" w:color="auto"/>
              <w:right w:val="single" w:sz="4" w:space="0" w:color="auto"/>
            </w:tcBorders>
            <w:shd w:val="clear" w:color="auto" w:fill="auto"/>
            <w:noWrap/>
            <w:vAlign w:val="center"/>
            <w:hideMark/>
          </w:tcPr>
          <w:p w14:paraId="12C7DDC7" w14:textId="77777777" w:rsidR="00081DAD" w:rsidRPr="00746E61" w:rsidRDefault="00081DAD"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San Ramón</w:t>
            </w:r>
          </w:p>
        </w:tc>
        <w:tc>
          <w:tcPr>
            <w:tcW w:w="929" w:type="dxa"/>
            <w:tcBorders>
              <w:top w:val="nil"/>
              <w:left w:val="nil"/>
              <w:bottom w:val="single" w:sz="4" w:space="0" w:color="auto"/>
              <w:right w:val="single" w:sz="4" w:space="0" w:color="auto"/>
            </w:tcBorders>
            <w:shd w:val="clear" w:color="auto" w:fill="auto"/>
            <w:noWrap/>
            <w:vAlign w:val="center"/>
            <w:hideMark/>
          </w:tcPr>
          <w:p w14:paraId="1893E360"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173</w:t>
            </w:r>
          </w:p>
        </w:tc>
        <w:tc>
          <w:tcPr>
            <w:tcW w:w="929" w:type="dxa"/>
            <w:tcBorders>
              <w:top w:val="nil"/>
              <w:left w:val="nil"/>
              <w:bottom w:val="single" w:sz="4" w:space="0" w:color="auto"/>
              <w:right w:val="single" w:sz="4" w:space="0" w:color="auto"/>
            </w:tcBorders>
            <w:shd w:val="clear" w:color="auto" w:fill="auto"/>
            <w:noWrap/>
            <w:vAlign w:val="center"/>
            <w:hideMark/>
          </w:tcPr>
          <w:p w14:paraId="7C86A9AC"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148</w:t>
            </w:r>
          </w:p>
        </w:tc>
        <w:tc>
          <w:tcPr>
            <w:tcW w:w="929" w:type="dxa"/>
            <w:tcBorders>
              <w:top w:val="nil"/>
              <w:left w:val="nil"/>
              <w:bottom w:val="single" w:sz="4" w:space="0" w:color="auto"/>
              <w:right w:val="single" w:sz="4" w:space="0" w:color="auto"/>
            </w:tcBorders>
            <w:shd w:val="clear" w:color="auto" w:fill="auto"/>
            <w:noWrap/>
            <w:vAlign w:val="center"/>
            <w:hideMark/>
          </w:tcPr>
          <w:p w14:paraId="5528167B"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161</w:t>
            </w:r>
          </w:p>
        </w:tc>
        <w:tc>
          <w:tcPr>
            <w:tcW w:w="1673" w:type="dxa"/>
            <w:tcBorders>
              <w:top w:val="nil"/>
              <w:left w:val="nil"/>
              <w:bottom w:val="single" w:sz="4" w:space="0" w:color="auto"/>
              <w:right w:val="single" w:sz="4" w:space="0" w:color="auto"/>
            </w:tcBorders>
            <w:shd w:val="clear" w:color="auto" w:fill="auto"/>
            <w:vAlign w:val="center"/>
            <w:hideMark/>
          </w:tcPr>
          <w:p w14:paraId="7DF35535"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-7,20%</w:t>
            </w:r>
          </w:p>
        </w:tc>
        <w:tc>
          <w:tcPr>
            <w:tcW w:w="1673" w:type="dxa"/>
            <w:tcBorders>
              <w:top w:val="nil"/>
              <w:left w:val="nil"/>
              <w:bottom w:val="single" w:sz="4" w:space="0" w:color="auto"/>
              <w:right w:val="single" w:sz="4" w:space="0" w:color="auto"/>
            </w:tcBorders>
            <w:shd w:val="clear" w:color="auto" w:fill="auto"/>
            <w:vAlign w:val="center"/>
            <w:hideMark/>
          </w:tcPr>
          <w:p w14:paraId="7B18BB00"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8,87%</w:t>
            </w:r>
          </w:p>
        </w:tc>
      </w:tr>
      <w:tr w:rsidR="00081DAD" w:rsidRPr="00746E61" w14:paraId="1E32A816" w14:textId="77777777" w:rsidTr="00081DAD">
        <w:trPr>
          <w:trHeight w:val="249"/>
        </w:trPr>
        <w:tc>
          <w:tcPr>
            <w:tcW w:w="3068" w:type="dxa"/>
            <w:tcBorders>
              <w:top w:val="nil"/>
              <w:left w:val="single" w:sz="4" w:space="0" w:color="auto"/>
              <w:bottom w:val="single" w:sz="4" w:space="0" w:color="auto"/>
              <w:right w:val="single" w:sz="4" w:space="0" w:color="auto"/>
            </w:tcBorders>
            <w:shd w:val="clear" w:color="auto" w:fill="auto"/>
            <w:noWrap/>
            <w:vAlign w:val="center"/>
            <w:hideMark/>
          </w:tcPr>
          <w:p w14:paraId="49EB73C7" w14:textId="77777777" w:rsidR="00081DAD" w:rsidRPr="00746E61" w:rsidRDefault="00081DAD"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Siquirres</w:t>
            </w:r>
          </w:p>
        </w:tc>
        <w:tc>
          <w:tcPr>
            <w:tcW w:w="929" w:type="dxa"/>
            <w:tcBorders>
              <w:top w:val="nil"/>
              <w:left w:val="nil"/>
              <w:bottom w:val="single" w:sz="4" w:space="0" w:color="auto"/>
              <w:right w:val="single" w:sz="4" w:space="0" w:color="auto"/>
            </w:tcBorders>
            <w:shd w:val="clear" w:color="auto" w:fill="auto"/>
            <w:noWrap/>
            <w:vAlign w:val="center"/>
            <w:hideMark/>
          </w:tcPr>
          <w:p w14:paraId="68C56425"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199</w:t>
            </w:r>
          </w:p>
        </w:tc>
        <w:tc>
          <w:tcPr>
            <w:tcW w:w="929" w:type="dxa"/>
            <w:tcBorders>
              <w:top w:val="nil"/>
              <w:left w:val="nil"/>
              <w:bottom w:val="single" w:sz="4" w:space="0" w:color="auto"/>
              <w:right w:val="single" w:sz="4" w:space="0" w:color="auto"/>
            </w:tcBorders>
            <w:shd w:val="clear" w:color="auto" w:fill="auto"/>
            <w:noWrap/>
            <w:vAlign w:val="center"/>
            <w:hideMark/>
          </w:tcPr>
          <w:p w14:paraId="779FCAE3"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174</w:t>
            </w:r>
          </w:p>
        </w:tc>
        <w:tc>
          <w:tcPr>
            <w:tcW w:w="929" w:type="dxa"/>
            <w:tcBorders>
              <w:top w:val="nil"/>
              <w:left w:val="nil"/>
              <w:bottom w:val="single" w:sz="4" w:space="0" w:color="auto"/>
              <w:right w:val="single" w:sz="4" w:space="0" w:color="auto"/>
            </w:tcBorders>
            <w:shd w:val="clear" w:color="auto" w:fill="auto"/>
            <w:noWrap/>
            <w:vAlign w:val="center"/>
            <w:hideMark/>
          </w:tcPr>
          <w:p w14:paraId="48375270"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184</w:t>
            </w:r>
          </w:p>
        </w:tc>
        <w:tc>
          <w:tcPr>
            <w:tcW w:w="1673" w:type="dxa"/>
            <w:tcBorders>
              <w:top w:val="nil"/>
              <w:left w:val="nil"/>
              <w:bottom w:val="single" w:sz="4" w:space="0" w:color="auto"/>
              <w:right w:val="single" w:sz="4" w:space="0" w:color="auto"/>
            </w:tcBorders>
            <w:shd w:val="clear" w:color="auto" w:fill="auto"/>
            <w:vAlign w:val="center"/>
            <w:hideMark/>
          </w:tcPr>
          <w:p w14:paraId="0D6262CA"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-7,87%</w:t>
            </w:r>
          </w:p>
        </w:tc>
        <w:tc>
          <w:tcPr>
            <w:tcW w:w="1673" w:type="dxa"/>
            <w:tcBorders>
              <w:top w:val="nil"/>
              <w:left w:val="nil"/>
              <w:bottom w:val="single" w:sz="4" w:space="0" w:color="auto"/>
              <w:right w:val="single" w:sz="4" w:space="0" w:color="auto"/>
            </w:tcBorders>
            <w:shd w:val="clear" w:color="auto" w:fill="auto"/>
            <w:vAlign w:val="center"/>
            <w:hideMark/>
          </w:tcPr>
          <w:p w14:paraId="12749988"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5,86%</w:t>
            </w:r>
          </w:p>
        </w:tc>
      </w:tr>
      <w:tr w:rsidR="00081DAD" w:rsidRPr="00746E61" w14:paraId="100CA4CB" w14:textId="77777777" w:rsidTr="00081DAD">
        <w:trPr>
          <w:trHeight w:val="249"/>
        </w:trPr>
        <w:tc>
          <w:tcPr>
            <w:tcW w:w="3068" w:type="dxa"/>
            <w:tcBorders>
              <w:top w:val="nil"/>
              <w:left w:val="single" w:sz="4" w:space="0" w:color="auto"/>
              <w:bottom w:val="single" w:sz="4" w:space="0" w:color="auto"/>
              <w:right w:val="single" w:sz="4" w:space="0" w:color="auto"/>
            </w:tcBorders>
            <w:shd w:val="clear" w:color="auto" w:fill="auto"/>
            <w:noWrap/>
            <w:vAlign w:val="center"/>
            <w:hideMark/>
          </w:tcPr>
          <w:p w14:paraId="186717E1" w14:textId="77777777" w:rsidR="00081DAD" w:rsidRPr="00746E61" w:rsidRDefault="00081DAD"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La Fortuna</w:t>
            </w:r>
          </w:p>
        </w:tc>
        <w:tc>
          <w:tcPr>
            <w:tcW w:w="929" w:type="dxa"/>
            <w:tcBorders>
              <w:top w:val="nil"/>
              <w:left w:val="nil"/>
              <w:bottom w:val="single" w:sz="4" w:space="0" w:color="auto"/>
              <w:right w:val="single" w:sz="4" w:space="0" w:color="auto"/>
            </w:tcBorders>
            <w:shd w:val="clear" w:color="auto" w:fill="auto"/>
            <w:noWrap/>
            <w:vAlign w:val="center"/>
            <w:hideMark/>
          </w:tcPr>
          <w:p w14:paraId="460BDBF1"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87</w:t>
            </w:r>
          </w:p>
        </w:tc>
        <w:tc>
          <w:tcPr>
            <w:tcW w:w="929" w:type="dxa"/>
            <w:tcBorders>
              <w:top w:val="nil"/>
              <w:left w:val="nil"/>
              <w:bottom w:val="single" w:sz="4" w:space="0" w:color="auto"/>
              <w:right w:val="single" w:sz="4" w:space="0" w:color="auto"/>
            </w:tcBorders>
            <w:shd w:val="clear" w:color="auto" w:fill="auto"/>
            <w:noWrap/>
            <w:vAlign w:val="center"/>
            <w:hideMark/>
          </w:tcPr>
          <w:p w14:paraId="50019826"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92</w:t>
            </w:r>
          </w:p>
        </w:tc>
        <w:tc>
          <w:tcPr>
            <w:tcW w:w="929" w:type="dxa"/>
            <w:tcBorders>
              <w:top w:val="nil"/>
              <w:left w:val="nil"/>
              <w:bottom w:val="single" w:sz="4" w:space="0" w:color="auto"/>
              <w:right w:val="single" w:sz="4" w:space="0" w:color="auto"/>
            </w:tcBorders>
            <w:shd w:val="clear" w:color="auto" w:fill="auto"/>
            <w:noWrap/>
            <w:vAlign w:val="center"/>
            <w:hideMark/>
          </w:tcPr>
          <w:p w14:paraId="6836BD59"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79</w:t>
            </w:r>
          </w:p>
        </w:tc>
        <w:tc>
          <w:tcPr>
            <w:tcW w:w="1673" w:type="dxa"/>
            <w:tcBorders>
              <w:top w:val="nil"/>
              <w:left w:val="nil"/>
              <w:bottom w:val="single" w:sz="4" w:space="0" w:color="auto"/>
              <w:right w:val="single" w:sz="4" w:space="0" w:color="auto"/>
            </w:tcBorders>
            <w:shd w:val="clear" w:color="auto" w:fill="auto"/>
            <w:vAlign w:val="center"/>
            <w:hideMark/>
          </w:tcPr>
          <w:p w14:paraId="170AED7B"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-9,41%</w:t>
            </w:r>
          </w:p>
        </w:tc>
        <w:tc>
          <w:tcPr>
            <w:tcW w:w="1673" w:type="dxa"/>
            <w:tcBorders>
              <w:top w:val="nil"/>
              <w:left w:val="nil"/>
              <w:bottom w:val="single" w:sz="4" w:space="0" w:color="auto"/>
              <w:right w:val="single" w:sz="4" w:space="0" w:color="auto"/>
            </w:tcBorders>
            <w:shd w:val="clear" w:color="auto" w:fill="auto"/>
            <w:vAlign w:val="center"/>
            <w:hideMark/>
          </w:tcPr>
          <w:p w14:paraId="19453B9D"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-14,82%</w:t>
            </w:r>
          </w:p>
        </w:tc>
      </w:tr>
      <w:tr w:rsidR="00081DAD" w:rsidRPr="00746E61" w14:paraId="56F0D3DE" w14:textId="77777777" w:rsidTr="00081DAD">
        <w:trPr>
          <w:trHeight w:val="249"/>
        </w:trPr>
        <w:tc>
          <w:tcPr>
            <w:tcW w:w="3068" w:type="dxa"/>
            <w:tcBorders>
              <w:top w:val="nil"/>
              <w:left w:val="single" w:sz="4" w:space="0" w:color="auto"/>
              <w:bottom w:val="single" w:sz="4" w:space="0" w:color="auto"/>
              <w:right w:val="single" w:sz="4" w:space="0" w:color="auto"/>
            </w:tcBorders>
            <w:shd w:val="clear" w:color="auto" w:fill="auto"/>
            <w:noWrap/>
            <w:vAlign w:val="center"/>
            <w:hideMark/>
          </w:tcPr>
          <w:p w14:paraId="501AC069" w14:textId="77777777" w:rsidR="00081DAD" w:rsidRPr="00746E61" w:rsidRDefault="00081DAD"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Nicoya</w:t>
            </w:r>
          </w:p>
        </w:tc>
        <w:tc>
          <w:tcPr>
            <w:tcW w:w="929" w:type="dxa"/>
            <w:tcBorders>
              <w:top w:val="nil"/>
              <w:left w:val="nil"/>
              <w:bottom w:val="single" w:sz="4" w:space="0" w:color="auto"/>
              <w:right w:val="single" w:sz="4" w:space="0" w:color="auto"/>
            </w:tcBorders>
            <w:shd w:val="clear" w:color="auto" w:fill="auto"/>
            <w:noWrap/>
            <w:vAlign w:val="center"/>
            <w:hideMark/>
          </w:tcPr>
          <w:p w14:paraId="2D544C9E"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225</w:t>
            </w:r>
          </w:p>
        </w:tc>
        <w:tc>
          <w:tcPr>
            <w:tcW w:w="929" w:type="dxa"/>
            <w:tcBorders>
              <w:top w:val="nil"/>
              <w:left w:val="nil"/>
              <w:bottom w:val="single" w:sz="4" w:space="0" w:color="auto"/>
              <w:right w:val="single" w:sz="4" w:space="0" w:color="auto"/>
            </w:tcBorders>
            <w:shd w:val="clear" w:color="auto" w:fill="auto"/>
            <w:noWrap/>
            <w:vAlign w:val="center"/>
            <w:hideMark/>
          </w:tcPr>
          <w:p w14:paraId="160C2663"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193</w:t>
            </w:r>
          </w:p>
        </w:tc>
        <w:tc>
          <w:tcPr>
            <w:tcW w:w="929" w:type="dxa"/>
            <w:tcBorders>
              <w:top w:val="nil"/>
              <w:left w:val="nil"/>
              <w:bottom w:val="single" w:sz="4" w:space="0" w:color="auto"/>
              <w:right w:val="single" w:sz="4" w:space="0" w:color="auto"/>
            </w:tcBorders>
            <w:shd w:val="clear" w:color="auto" w:fill="auto"/>
            <w:noWrap/>
            <w:vAlign w:val="center"/>
            <w:hideMark/>
          </w:tcPr>
          <w:p w14:paraId="6B296766"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199</w:t>
            </w:r>
          </w:p>
        </w:tc>
        <w:tc>
          <w:tcPr>
            <w:tcW w:w="1673" w:type="dxa"/>
            <w:tcBorders>
              <w:top w:val="nil"/>
              <w:left w:val="nil"/>
              <w:bottom w:val="single" w:sz="4" w:space="0" w:color="auto"/>
              <w:right w:val="single" w:sz="4" w:space="0" w:color="auto"/>
            </w:tcBorders>
            <w:shd w:val="clear" w:color="auto" w:fill="auto"/>
            <w:vAlign w:val="center"/>
            <w:hideMark/>
          </w:tcPr>
          <w:p w14:paraId="2E70A02D"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-11,82%</w:t>
            </w:r>
          </w:p>
        </w:tc>
        <w:tc>
          <w:tcPr>
            <w:tcW w:w="1673" w:type="dxa"/>
            <w:tcBorders>
              <w:top w:val="nil"/>
              <w:left w:val="nil"/>
              <w:bottom w:val="single" w:sz="4" w:space="0" w:color="auto"/>
              <w:right w:val="single" w:sz="4" w:space="0" w:color="auto"/>
            </w:tcBorders>
            <w:shd w:val="clear" w:color="auto" w:fill="auto"/>
            <w:vAlign w:val="center"/>
            <w:hideMark/>
          </w:tcPr>
          <w:p w14:paraId="31BDBC62"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2,92%</w:t>
            </w:r>
          </w:p>
        </w:tc>
      </w:tr>
      <w:tr w:rsidR="00081DAD" w:rsidRPr="00746E61" w14:paraId="76C93F28" w14:textId="77777777" w:rsidTr="00081DAD">
        <w:trPr>
          <w:trHeight w:val="249"/>
        </w:trPr>
        <w:tc>
          <w:tcPr>
            <w:tcW w:w="3068" w:type="dxa"/>
            <w:tcBorders>
              <w:top w:val="nil"/>
              <w:left w:val="single" w:sz="4" w:space="0" w:color="auto"/>
              <w:bottom w:val="single" w:sz="4" w:space="0" w:color="auto"/>
              <w:right w:val="single" w:sz="4" w:space="0" w:color="auto"/>
            </w:tcBorders>
            <w:shd w:val="clear" w:color="auto" w:fill="auto"/>
            <w:noWrap/>
            <w:vAlign w:val="center"/>
            <w:hideMark/>
          </w:tcPr>
          <w:p w14:paraId="6FFCC470" w14:textId="77777777" w:rsidR="00081DAD" w:rsidRPr="00746E61" w:rsidRDefault="00081DAD"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Santa Cruz</w:t>
            </w:r>
          </w:p>
        </w:tc>
        <w:tc>
          <w:tcPr>
            <w:tcW w:w="929" w:type="dxa"/>
            <w:tcBorders>
              <w:top w:val="nil"/>
              <w:left w:val="nil"/>
              <w:bottom w:val="single" w:sz="4" w:space="0" w:color="auto"/>
              <w:right w:val="single" w:sz="4" w:space="0" w:color="auto"/>
            </w:tcBorders>
            <w:shd w:val="clear" w:color="auto" w:fill="auto"/>
            <w:noWrap/>
            <w:vAlign w:val="center"/>
            <w:hideMark/>
          </w:tcPr>
          <w:p w14:paraId="4F08DFE4"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311</w:t>
            </w:r>
          </w:p>
        </w:tc>
        <w:tc>
          <w:tcPr>
            <w:tcW w:w="929" w:type="dxa"/>
            <w:tcBorders>
              <w:top w:val="nil"/>
              <w:left w:val="nil"/>
              <w:bottom w:val="single" w:sz="4" w:space="0" w:color="auto"/>
              <w:right w:val="single" w:sz="4" w:space="0" w:color="auto"/>
            </w:tcBorders>
            <w:shd w:val="clear" w:color="auto" w:fill="auto"/>
            <w:noWrap/>
            <w:vAlign w:val="center"/>
            <w:hideMark/>
          </w:tcPr>
          <w:p w14:paraId="22821A8D"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292</w:t>
            </w:r>
          </w:p>
        </w:tc>
        <w:tc>
          <w:tcPr>
            <w:tcW w:w="929" w:type="dxa"/>
            <w:tcBorders>
              <w:top w:val="nil"/>
              <w:left w:val="nil"/>
              <w:bottom w:val="single" w:sz="4" w:space="0" w:color="auto"/>
              <w:right w:val="single" w:sz="4" w:space="0" w:color="auto"/>
            </w:tcBorders>
            <w:shd w:val="clear" w:color="auto" w:fill="auto"/>
            <w:noWrap/>
            <w:vAlign w:val="center"/>
            <w:hideMark/>
          </w:tcPr>
          <w:p w14:paraId="74415C33"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267</w:t>
            </w:r>
          </w:p>
        </w:tc>
        <w:tc>
          <w:tcPr>
            <w:tcW w:w="1673" w:type="dxa"/>
            <w:tcBorders>
              <w:top w:val="nil"/>
              <w:left w:val="nil"/>
              <w:bottom w:val="single" w:sz="4" w:space="0" w:color="auto"/>
              <w:right w:val="single" w:sz="4" w:space="0" w:color="auto"/>
            </w:tcBorders>
            <w:shd w:val="clear" w:color="auto" w:fill="auto"/>
            <w:vAlign w:val="center"/>
            <w:hideMark/>
          </w:tcPr>
          <w:p w14:paraId="0A7B0D96"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-14,25%</w:t>
            </w:r>
          </w:p>
        </w:tc>
        <w:tc>
          <w:tcPr>
            <w:tcW w:w="1673" w:type="dxa"/>
            <w:tcBorders>
              <w:top w:val="nil"/>
              <w:left w:val="nil"/>
              <w:bottom w:val="single" w:sz="4" w:space="0" w:color="auto"/>
              <w:right w:val="single" w:sz="4" w:space="0" w:color="auto"/>
            </w:tcBorders>
            <w:shd w:val="clear" w:color="auto" w:fill="auto"/>
            <w:vAlign w:val="center"/>
            <w:hideMark/>
          </w:tcPr>
          <w:p w14:paraId="2DC4ED1D"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-8,58%</w:t>
            </w:r>
          </w:p>
        </w:tc>
      </w:tr>
      <w:tr w:rsidR="00081DAD" w:rsidRPr="00746E61" w14:paraId="32678E9D" w14:textId="77777777" w:rsidTr="00081DAD">
        <w:trPr>
          <w:trHeight w:val="249"/>
        </w:trPr>
        <w:tc>
          <w:tcPr>
            <w:tcW w:w="3068" w:type="dxa"/>
            <w:tcBorders>
              <w:top w:val="nil"/>
              <w:left w:val="single" w:sz="4" w:space="0" w:color="auto"/>
              <w:bottom w:val="single" w:sz="4" w:space="0" w:color="auto"/>
              <w:right w:val="single" w:sz="4" w:space="0" w:color="auto"/>
            </w:tcBorders>
            <w:shd w:val="clear" w:color="auto" w:fill="auto"/>
            <w:noWrap/>
            <w:vAlign w:val="center"/>
            <w:hideMark/>
          </w:tcPr>
          <w:p w14:paraId="2188E8A1" w14:textId="77777777" w:rsidR="00081DAD" w:rsidRPr="00746E61" w:rsidRDefault="00081DAD"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Puriscal</w:t>
            </w:r>
          </w:p>
        </w:tc>
        <w:tc>
          <w:tcPr>
            <w:tcW w:w="929" w:type="dxa"/>
            <w:tcBorders>
              <w:top w:val="nil"/>
              <w:left w:val="nil"/>
              <w:bottom w:val="single" w:sz="4" w:space="0" w:color="auto"/>
              <w:right w:val="single" w:sz="4" w:space="0" w:color="auto"/>
            </w:tcBorders>
            <w:shd w:val="clear" w:color="auto" w:fill="auto"/>
            <w:noWrap/>
            <w:vAlign w:val="center"/>
            <w:hideMark/>
          </w:tcPr>
          <w:p w14:paraId="1C512F26"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100</w:t>
            </w:r>
          </w:p>
        </w:tc>
        <w:tc>
          <w:tcPr>
            <w:tcW w:w="929" w:type="dxa"/>
            <w:tcBorders>
              <w:top w:val="nil"/>
              <w:left w:val="nil"/>
              <w:bottom w:val="single" w:sz="4" w:space="0" w:color="auto"/>
              <w:right w:val="single" w:sz="4" w:space="0" w:color="auto"/>
            </w:tcBorders>
            <w:shd w:val="clear" w:color="auto" w:fill="auto"/>
            <w:noWrap/>
            <w:vAlign w:val="center"/>
            <w:hideMark/>
          </w:tcPr>
          <w:p w14:paraId="718A834B"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87</w:t>
            </w:r>
          </w:p>
        </w:tc>
        <w:tc>
          <w:tcPr>
            <w:tcW w:w="929" w:type="dxa"/>
            <w:tcBorders>
              <w:top w:val="nil"/>
              <w:left w:val="nil"/>
              <w:bottom w:val="single" w:sz="4" w:space="0" w:color="auto"/>
              <w:right w:val="single" w:sz="4" w:space="0" w:color="auto"/>
            </w:tcBorders>
            <w:shd w:val="clear" w:color="auto" w:fill="auto"/>
            <w:noWrap/>
            <w:vAlign w:val="center"/>
            <w:hideMark/>
          </w:tcPr>
          <w:p w14:paraId="69DBC0D1"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85</w:t>
            </w:r>
          </w:p>
        </w:tc>
        <w:tc>
          <w:tcPr>
            <w:tcW w:w="1673" w:type="dxa"/>
            <w:tcBorders>
              <w:top w:val="nil"/>
              <w:left w:val="nil"/>
              <w:bottom w:val="single" w:sz="4" w:space="0" w:color="auto"/>
              <w:right w:val="single" w:sz="4" w:space="0" w:color="auto"/>
            </w:tcBorders>
            <w:shd w:val="clear" w:color="auto" w:fill="auto"/>
            <w:vAlign w:val="center"/>
            <w:hideMark/>
          </w:tcPr>
          <w:p w14:paraId="2E80F369"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-14,89%</w:t>
            </w:r>
          </w:p>
        </w:tc>
        <w:tc>
          <w:tcPr>
            <w:tcW w:w="1673" w:type="dxa"/>
            <w:tcBorders>
              <w:top w:val="nil"/>
              <w:left w:val="nil"/>
              <w:bottom w:val="single" w:sz="4" w:space="0" w:color="auto"/>
              <w:right w:val="single" w:sz="4" w:space="0" w:color="auto"/>
            </w:tcBorders>
            <w:shd w:val="clear" w:color="auto" w:fill="auto"/>
            <w:vAlign w:val="center"/>
            <w:hideMark/>
          </w:tcPr>
          <w:p w14:paraId="2406C2B0"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-1,45%</w:t>
            </w:r>
          </w:p>
        </w:tc>
      </w:tr>
      <w:tr w:rsidR="00081DAD" w:rsidRPr="00746E61" w14:paraId="3F53B5C3" w14:textId="77777777" w:rsidTr="00081DAD">
        <w:trPr>
          <w:trHeight w:val="249"/>
        </w:trPr>
        <w:tc>
          <w:tcPr>
            <w:tcW w:w="3068" w:type="dxa"/>
            <w:tcBorders>
              <w:top w:val="nil"/>
              <w:left w:val="single" w:sz="4" w:space="0" w:color="auto"/>
              <w:bottom w:val="single" w:sz="4" w:space="0" w:color="auto"/>
              <w:right w:val="single" w:sz="4" w:space="0" w:color="auto"/>
            </w:tcBorders>
            <w:shd w:val="clear" w:color="auto" w:fill="auto"/>
            <w:noWrap/>
            <w:vAlign w:val="center"/>
            <w:hideMark/>
          </w:tcPr>
          <w:p w14:paraId="49D6EB1C" w14:textId="77777777" w:rsidR="00081DAD" w:rsidRPr="00746E61" w:rsidRDefault="00081DAD"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La Unión</w:t>
            </w:r>
          </w:p>
        </w:tc>
        <w:tc>
          <w:tcPr>
            <w:tcW w:w="929" w:type="dxa"/>
            <w:tcBorders>
              <w:top w:val="nil"/>
              <w:left w:val="nil"/>
              <w:bottom w:val="single" w:sz="4" w:space="0" w:color="auto"/>
              <w:right w:val="single" w:sz="4" w:space="0" w:color="auto"/>
            </w:tcBorders>
            <w:shd w:val="clear" w:color="auto" w:fill="auto"/>
            <w:noWrap/>
            <w:vAlign w:val="center"/>
            <w:hideMark/>
          </w:tcPr>
          <w:p w14:paraId="5506755A"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177</w:t>
            </w:r>
          </w:p>
        </w:tc>
        <w:tc>
          <w:tcPr>
            <w:tcW w:w="929" w:type="dxa"/>
            <w:tcBorders>
              <w:top w:val="nil"/>
              <w:left w:val="nil"/>
              <w:bottom w:val="single" w:sz="4" w:space="0" w:color="auto"/>
              <w:right w:val="single" w:sz="4" w:space="0" w:color="auto"/>
            </w:tcBorders>
            <w:shd w:val="clear" w:color="auto" w:fill="auto"/>
            <w:noWrap/>
            <w:vAlign w:val="center"/>
            <w:hideMark/>
          </w:tcPr>
          <w:p w14:paraId="73D0D1E9"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152</w:t>
            </w:r>
          </w:p>
        </w:tc>
        <w:tc>
          <w:tcPr>
            <w:tcW w:w="929" w:type="dxa"/>
            <w:tcBorders>
              <w:top w:val="nil"/>
              <w:left w:val="nil"/>
              <w:bottom w:val="single" w:sz="4" w:space="0" w:color="auto"/>
              <w:right w:val="single" w:sz="4" w:space="0" w:color="auto"/>
            </w:tcBorders>
            <w:shd w:val="clear" w:color="auto" w:fill="auto"/>
            <w:noWrap/>
            <w:vAlign w:val="center"/>
            <w:hideMark/>
          </w:tcPr>
          <w:p w14:paraId="2D11DE24"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148</w:t>
            </w:r>
          </w:p>
        </w:tc>
        <w:tc>
          <w:tcPr>
            <w:tcW w:w="1673" w:type="dxa"/>
            <w:tcBorders>
              <w:top w:val="nil"/>
              <w:left w:val="nil"/>
              <w:bottom w:val="single" w:sz="4" w:space="0" w:color="auto"/>
              <w:right w:val="single" w:sz="4" w:space="0" w:color="auto"/>
            </w:tcBorders>
            <w:shd w:val="clear" w:color="auto" w:fill="auto"/>
            <w:vAlign w:val="center"/>
            <w:hideMark/>
          </w:tcPr>
          <w:p w14:paraId="2183E6B8"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-16,22%</w:t>
            </w:r>
          </w:p>
        </w:tc>
        <w:tc>
          <w:tcPr>
            <w:tcW w:w="1673" w:type="dxa"/>
            <w:tcBorders>
              <w:top w:val="nil"/>
              <w:left w:val="nil"/>
              <w:bottom w:val="single" w:sz="4" w:space="0" w:color="auto"/>
              <w:right w:val="single" w:sz="4" w:space="0" w:color="auto"/>
            </w:tcBorders>
            <w:shd w:val="clear" w:color="auto" w:fill="auto"/>
            <w:vAlign w:val="center"/>
            <w:hideMark/>
          </w:tcPr>
          <w:p w14:paraId="5C36D9F0"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-2,44%</w:t>
            </w:r>
          </w:p>
        </w:tc>
      </w:tr>
      <w:tr w:rsidR="00081DAD" w:rsidRPr="00746E61" w14:paraId="1164CEE9" w14:textId="77777777" w:rsidTr="00081DAD">
        <w:trPr>
          <w:trHeight w:val="249"/>
        </w:trPr>
        <w:tc>
          <w:tcPr>
            <w:tcW w:w="3068" w:type="dxa"/>
            <w:tcBorders>
              <w:top w:val="nil"/>
              <w:left w:val="single" w:sz="4" w:space="0" w:color="auto"/>
              <w:bottom w:val="single" w:sz="4" w:space="0" w:color="auto"/>
              <w:right w:val="single" w:sz="4" w:space="0" w:color="auto"/>
            </w:tcBorders>
            <w:shd w:val="clear" w:color="auto" w:fill="auto"/>
            <w:noWrap/>
            <w:vAlign w:val="center"/>
            <w:hideMark/>
          </w:tcPr>
          <w:p w14:paraId="0970D10F" w14:textId="77777777" w:rsidR="00081DAD" w:rsidRPr="00746E61" w:rsidRDefault="00081DAD"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Limón</w:t>
            </w:r>
          </w:p>
        </w:tc>
        <w:tc>
          <w:tcPr>
            <w:tcW w:w="929" w:type="dxa"/>
            <w:tcBorders>
              <w:top w:val="nil"/>
              <w:left w:val="nil"/>
              <w:bottom w:val="single" w:sz="4" w:space="0" w:color="auto"/>
              <w:right w:val="single" w:sz="4" w:space="0" w:color="auto"/>
            </w:tcBorders>
            <w:shd w:val="clear" w:color="auto" w:fill="auto"/>
            <w:noWrap/>
            <w:vAlign w:val="center"/>
            <w:hideMark/>
          </w:tcPr>
          <w:p w14:paraId="4810F069"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290</w:t>
            </w:r>
          </w:p>
        </w:tc>
        <w:tc>
          <w:tcPr>
            <w:tcW w:w="929" w:type="dxa"/>
            <w:tcBorders>
              <w:top w:val="nil"/>
              <w:left w:val="nil"/>
              <w:bottom w:val="single" w:sz="4" w:space="0" w:color="auto"/>
              <w:right w:val="single" w:sz="4" w:space="0" w:color="auto"/>
            </w:tcBorders>
            <w:shd w:val="clear" w:color="auto" w:fill="auto"/>
            <w:noWrap/>
            <w:vAlign w:val="center"/>
            <w:hideMark/>
          </w:tcPr>
          <w:p w14:paraId="4CE3BC51"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235</w:t>
            </w:r>
          </w:p>
        </w:tc>
        <w:tc>
          <w:tcPr>
            <w:tcW w:w="929" w:type="dxa"/>
            <w:tcBorders>
              <w:top w:val="nil"/>
              <w:left w:val="nil"/>
              <w:bottom w:val="single" w:sz="4" w:space="0" w:color="auto"/>
              <w:right w:val="single" w:sz="4" w:space="0" w:color="auto"/>
            </w:tcBorders>
            <w:shd w:val="clear" w:color="auto" w:fill="auto"/>
            <w:noWrap/>
            <w:vAlign w:val="center"/>
            <w:hideMark/>
          </w:tcPr>
          <w:p w14:paraId="57BC56E7"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242</w:t>
            </w:r>
          </w:p>
        </w:tc>
        <w:tc>
          <w:tcPr>
            <w:tcW w:w="1673" w:type="dxa"/>
            <w:tcBorders>
              <w:top w:val="nil"/>
              <w:left w:val="nil"/>
              <w:bottom w:val="single" w:sz="4" w:space="0" w:color="auto"/>
              <w:right w:val="single" w:sz="4" w:space="0" w:color="auto"/>
            </w:tcBorders>
            <w:shd w:val="clear" w:color="auto" w:fill="auto"/>
            <w:vAlign w:val="center"/>
            <w:hideMark/>
          </w:tcPr>
          <w:p w14:paraId="6F5EAFD6"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-16,62%</w:t>
            </w:r>
          </w:p>
        </w:tc>
        <w:tc>
          <w:tcPr>
            <w:tcW w:w="1673" w:type="dxa"/>
            <w:tcBorders>
              <w:top w:val="nil"/>
              <w:left w:val="nil"/>
              <w:bottom w:val="single" w:sz="4" w:space="0" w:color="auto"/>
              <w:right w:val="single" w:sz="4" w:space="0" w:color="auto"/>
            </w:tcBorders>
            <w:shd w:val="clear" w:color="auto" w:fill="auto"/>
            <w:vAlign w:val="center"/>
            <w:hideMark/>
          </w:tcPr>
          <w:p w14:paraId="1E8C8F5E"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2,85%</w:t>
            </w:r>
          </w:p>
        </w:tc>
      </w:tr>
      <w:tr w:rsidR="00081DAD" w:rsidRPr="00746E61" w14:paraId="46A041A9" w14:textId="77777777" w:rsidTr="00081DAD">
        <w:trPr>
          <w:trHeight w:val="249"/>
        </w:trPr>
        <w:tc>
          <w:tcPr>
            <w:tcW w:w="3068" w:type="dxa"/>
            <w:tcBorders>
              <w:top w:val="nil"/>
              <w:left w:val="single" w:sz="4" w:space="0" w:color="auto"/>
              <w:bottom w:val="single" w:sz="4" w:space="0" w:color="auto"/>
              <w:right w:val="single" w:sz="4" w:space="0" w:color="auto"/>
            </w:tcBorders>
            <w:shd w:val="clear" w:color="auto" w:fill="auto"/>
            <w:noWrap/>
            <w:vAlign w:val="center"/>
            <w:hideMark/>
          </w:tcPr>
          <w:p w14:paraId="6362783D" w14:textId="77777777" w:rsidR="00081DAD" w:rsidRPr="00746E61" w:rsidRDefault="00081DAD"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San Joaquín de Flores</w:t>
            </w:r>
          </w:p>
        </w:tc>
        <w:tc>
          <w:tcPr>
            <w:tcW w:w="929" w:type="dxa"/>
            <w:tcBorders>
              <w:top w:val="nil"/>
              <w:left w:val="nil"/>
              <w:bottom w:val="single" w:sz="4" w:space="0" w:color="auto"/>
              <w:right w:val="single" w:sz="4" w:space="0" w:color="auto"/>
            </w:tcBorders>
            <w:shd w:val="clear" w:color="auto" w:fill="auto"/>
            <w:noWrap/>
            <w:vAlign w:val="center"/>
            <w:hideMark/>
          </w:tcPr>
          <w:p w14:paraId="53ABB3D2"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134</w:t>
            </w:r>
          </w:p>
        </w:tc>
        <w:tc>
          <w:tcPr>
            <w:tcW w:w="929" w:type="dxa"/>
            <w:tcBorders>
              <w:top w:val="nil"/>
              <w:left w:val="nil"/>
              <w:bottom w:val="single" w:sz="4" w:space="0" w:color="auto"/>
              <w:right w:val="single" w:sz="4" w:space="0" w:color="auto"/>
            </w:tcBorders>
            <w:shd w:val="clear" w:color="auto" w:fill="auto"/>
            <w:noWrap/>
            <w:vAlign w:val="center"/>
            <w:hideMark/>
          </w:tcPr>
          <w:p w14:paraId="7D1E5C32"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125</w:t>
            </w:r>
          </w:p>
        </w:tc>
        <w:tc>
          <w:tcPr>
            <w:tcW w:w="929" w:type="dxa"/>
            <w:tcBorders>
              <w:top w:val="nil"/>
              <w:left w:val="nil"/>
              <w:bottom w:val="single" w:sz="4" w:space="0" w:color="auto"/>
              <w:right w:val="single" w:sz="4" w:space="0" w:color="auto"/>
            </w:tcBorders>
            <w:shd w:val="clear" w:color="auto" w:fill="auto"/>
            <w:noWrap/>
            <w:vAlign w:val="center"/>
            <w:hideMark/>
          </w:tcPr>
          <w:p w14:paraId="10C3F35C"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110</w:t>
            </w:r>
          </w:p>
        </w:tc>
        <w:tc>
          <w:tcPr>
            <w:tcW w:w="1673" w:type="dxa"/>
            <w:tcBorders>
              <w:top w:val="nil"/>
              <w:left w:val="nil"/>
              <w:bottom w:val="single" w:sz="4" w:space="0" w:color="auto"/>
              <w:right w:val="single" w:sz="4" w:space="0" w:color="auto"/>
            </w:tcBorders>
            <w:shd w:val="clear" w:color="auto" w:fill="auto"/>
            <w:vAlign w:val="center"/>
            <w:hideMark/>
          </w:tcPr>
          <w:p w14:paraId="485BDA60"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-18,06%</w:t>
            </w:r>
          </w:p>
        </w:tc>
        <w:tc>
          <w:tcPr>
            <w:tcW w:w="1673" w:type="dxa"/>
            <w:tcBorders>
              <w:top w:val="nil"/>
              <w:left w:val="nil"/>
              <w:bottom w:val="single" w:sz="4" w:space="0" w:color="auto"/>
              <w:right w:val="single" w:sz="4" w:space="0" w:color="auto"/>
            </w:tcBorders>
            <w:shd w:val="clear" w:color="auto" w:fill="auto"/>
            <w:vAlign w:val="center"/>
            <w:hideMark/>
          </w:tcPr>
          <w:p w14:paraId="06D5796F"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-12,05%</w:t>
            </w:r>
          </w:p>
        </w:tc>
      </w:tr>
      <w:tr w:rsidR="00081DAD" w:rsidRPr="00746E61" w14:paraId="12332A9B" w14:textId="77777777" w:rsidTr="00081DAD">
        <w:trPr>
          <w:trHeight w:val="249"/>
        </w:trPr>
        <w:tc>
          <w:tcPr>
            <w:tcW w:w="3068" w:type="dxa"/>
            <w:tcBorders>
              <w:top w:val="nil"/>
              <w:left w:val="single" w:sz="4" w:space="0" w:color="auto"/>
              <w:bottom w:val="single" w:sz="4" w:space="0" w:color="auto"/>
              <w:right w:val="single" w:sz="4" w:space="0" w:color="auto"/>
            </w:tcBorders>
            <w:shd w:val="clear" w:color="auto" w:fill="auto"/>
            <w:noWrap/>
            <w:vAlign w:val="center"/>
            <w:hideMark/>
          </w:tcPr>
          <w:p w14:paraId="0D03BBED" w14:textId="77777777" w:rsidR="00081DAD" w:rsidRPr="00746E61" w:rsidRDefault="00081DAD"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Pavas</w:t>
            </w:r>
          </w:p>
        </w:tc>
        <w:tc>
          <w:tcPr>
            <w:tcW w:w="929" w:type="dxa"/>
            <w:tcBorders>
              <w:top w:val="nil"/>
              <w:left w:val="nil"/>
              <w:bottom w:val="single" w:sz="4" w:space="0" w:color="auto"/>
              <w:right w:val="single" w:sz="4" w:space="0" w:color="auto"/>
            </w:tcBorders>
            <w:shd w:val="clear" w:color="auto" w:fill="auto"/>
            <w:noWrap/>
            <w:vAlign w:val="center"/>
            <w:hideMark/>
          </w:tcPr>
          <w:p w14:paraId="634D2A2B"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507</w:t>
            </w:r>
          </w:p>
        </w:tc>
        <w:tc>
          <w:tcPr>
            <w:tcW w:w="929" w:type="dxa"/>
            <w:tcBorders>
              <w:top w:val="nil"/>
              <w:left w:val="nil"/>
              <w:bottom w:val="single" w:sz="4" w:space="0" w:color="auto"/>
              <w:right w:val="single" w:sz="4" w:space="0" w:color="auto"/>
            </w:tcBorders>
            <w:shd w:val="clear" w:color="auto" w:fill="auto"/>
            <w:noWrap/>
            <w:vAlign w:val="center"/>
            <w:hideMark/>
          </w:tcPr>
          <w:p w14:paraId="2257A0DE"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383</w:t>
            </w:r>
          </w:p>
        </w:tc>
        <w:tc>
          <w:tcPr>
            <w:tcW w:w="929" w:type="dxa"/>
            <w:tcBorders>
              <w:top w:val="nil"/>
              <w:left w:val="nil"/>
              <w:bottom w:val="single" w:sz="4" w:space="0" w:color="auto"/>
              <w:right w:val="single" w:sz="4" w:space="0" w:color="auto"/>
            </w:tcBorders>
            <w:shd w:val="clear" w:color="auto" w:fill="auto"/>
            <w:noWrap/>
            <w:vAlign w:val="center"/>
            <w:hideMark/>
          </w:tcPr>
          <w:p w14:paraId="16C3380C"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412</w:t>
            </w:r>
          </w:p>
        </w:tc>
        <w:tc>
          <w:tcPr>
            <w:tcW w:w="1673" w:type="dxa"/>
            <w:tcBorders>
              <w:top w:val="nil"/>
              <w:left w:val="nil"/>
              <w:bottom w:val="single" w:sz="4" w:space="0" w:color="auto"/>
              <w:right w:val="single" w:sz="4" w:space="0" w:color="auto"/>
            </w:tcBorders>
            <w:shd w:val="clear" w:color="auto" w:fill="auto"/>
            <w:vAlign w:val="center"/>
            <w:hideMark/>
          </w:tcPr>
          <w:p w14:paraId="5A49DE34"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-18,77%</w:t>
            </w:r>
          </w:p>
        </w:tc>
        <w:tc>
          <w:tcPr>
            <w:tcW w:w="1673" w:type="dxa"/>
            <w:tcBorders>
              <w:top w:val="nil"/>
              <w:left w:val="nil"/>
              <w:bottom w:val="single" w:sz="4" w:space="0" w:color="auto"/>
              <w:right w:val="single" w:sz="4" w:space="0" w:color="auto"/>
            </w:tcBorders>
            <w:shd w:val="clear" w:color="auto" w:fill="auto"/>
            <w:vAlign w:val="center"/>
            <w:hideMark/>
          </w:tcPr>
          <w:p w14:paraId="5EDE536B"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7,42%</w:t>
            </w:r>
          </w:p>
        </w:tc>
      </w:tr>
      <w:tr w:rsidR="00081DAD" w:rsidRPr="00746E61" w14:paraId="5100AC94" w14:textId="77777777" w:rsidTr="00081DAD">
        <w:trPr>
          <w:trHeight w:val="249"/>
        </w:trPr>
        <w:tc>
          <w:tcPr>
            <w:tcW w:w="3068" w:type="dxa"/>
            <w:tcBorders>
              <w:top w:val="nil"/>
              <w:left w:val="single" w:sz="4" w:space="0" w:color="auto"/>
              <w:bottom w:val="single" w:sz="4" w:space="0" w:color="auto"/>
              <w:right w:val="single" w:sz="4" w:space="0" w:color="auto"/>
            </w:tcBorders>
            <w:shd w:val="clear" w:color="auto" w:fill="auto"/>
            <w:noWrap/>
            <w:vAlign w:val="center"/>
            <w:hideMark/>
          </w:tcPr>
          <w:p w14:paraId="4FF64404" w14:textId="77777777" w:rsidR="00081DAD" w:rsidRPr="00746E61" w:rsidRDefault="00081DAD"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Alajuela</w:t>
            </w:r>
          </w:p>
        </w:tc>
        <w:tc>
          <w:tcPr>
            <w:tcW w:w="929" w:type="dxa"/>
            <w:tcBorders>
              <w:top w:val="nil"/>
              <w:left w:val="nil"/>
              <w:bottom w:val="single" w:sz="4" w:space="0" w:color="auto"/>
              <w:right w:val="single" w:sz="4" w:space="0" w:color="auto"/>
            </w:tcBorders>
            <w:shd w:val="clear" w:color="auto" w:fill="auto"/>
            <w:noWrap/>
            <w:vAlign w:val="center"/>
            <w:hideMark/>
          </w:tcPr>
          <w:p w14:paraId="359C20C6"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923</w:t>
            </w:r>
          </w:p>
        </w:tc>
        <w:tc>
          <w:tcPr>
            <w:tcW w:w="929" w:type="dxa"/>
            <w:tcBorders>
              <w:top w:val="nil"/>
              <w:left w:val="nil"/>
              <w:bottom w:val="single" w:sz="4" w:space="0" w:color="auto"/>
              <w:right w:val="single" w:sz="4" w:space="0" w:color="auto"/>
            </w:tcBorders>
            <w:shd w:val="clear" w:color="auto" w:fill="auto"/>
            <w:noWrap/>
            <w:vAlign w:val="center"/>
            <w:hideMark/>
          </w:tcPr>
          <w:p w14:paraId="41A2252B"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704</w:t>
            </w:r>
          </w:p>
        </w:tc>
        <w:tc>
          <w:tcPr>
            <w:tcW w:w="929" w:type="dxa"/>
            <w:tcBorders>
              <w:top w:val="nil"/>
              <w:left w:val="nil"/>
              <w:bottom w:val="single" w:sz="4" w:space="0" w:color="auto"/>
              <w:right w:val="single" w:sz="4" w:space="0" w:color="auto"/>
            </w:tcBorders>
            <w:shd w:val="clear" w:color="auto" w:fill="auto"/>
            <w:noWrap/>
            <w:vAlign w:val="center"/>
            <w:hideMark/>
          </w:tcPr>
          <w:p w14:paraId="0478C947"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734</w:t>
            </w:r>
          </w:p>
        </w:tc>
        <w:tc>
          <w:tcPr>
            <w:tcW w:w="1673" w:type="dxa"/>
            <w:tcBorders>
              <w:top w:val="nil"/>
              <w:left w:val="nil"/>
              <w:bottom w:val="single" w:sz="4" w:space="0" w:color="auto"/>
              <w:right w:val="single" w:sz="4" w:space="0" w:color="auto"/>
            </w:tcBorders>
            <w:shd w:val="clear" w:color="auto" w:fill="auto"/>
            <w:vAlign w:val="center"/>
            <w:hideMark/>
          </w:tcPr>
          <w:p w14:paraId="28CE566D"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-20,45%</w:t>
            </w:r>
          </w:p>
        </w:tc>
        <w:tc>
          <w:tcPr>
            <w:tcW w:w="1673" w:type="dxa"/>
            <w:tcBorders>
              <w:top w:val="nil"/>
              <w:left w:val="nil"/>
              <w:bottom w:val="single" w:sz="4" w:space="0" w:color="auto"/>
              <w:right w:val="single" w:sz="4" w:space="0" w:color="auto"/>
            </w:tcBorders>
            <w:shd w:val="clear" w:color="auto" w:fill="auto"/>
            <w:vAlign w:val="center"/>
            <w:hideMark/>
          </w:tcPr>
          <w:p w14:paraId="0ED65ED4"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4,23%</w:t>
            </w:r>
          </w:p>
        </w:tc>
      </w:tr>
      <w:tr w:rsidR="00081DAD" w:rsidRPr="00746E61" w14:paraId="3C690D49" w14:textId="77777777" w:rsidTr="00081DAD">
        <w:trPr>
          <w:trHeight w:val="249"/>
        </w:trPr>
        <w:tc>
          <w:tcPr>
            <w:tcW w:w="3068" w:type="dxa"/>
            <w:tcBorders>
              <w:top w:val="nil"/>
              <w:left w:val="single" w:sz="4" w:space="0" w:color="auto"/>
              <w:bottom w:val="single" w:sz="4" w:space="0" w:color="auto"/>
              <w:right w:val="single" w:sz="4" w:space="0" w:color="auto"/>
            </w:tcBorders>
            <w:shd w:val="clear" w:color="auto" w:fill="auto"/>
            <w:noWrap/>
            <w:vAlign w:val="center"/>
            <w:hideMark/>
          </w:tcPr>
          <w:p w14:paraId="21E98122" w14:textId="77777777" w:rsidR="00081DAD" w:rsidRPr="00746E61" w:rsidRDefault="00081DAD"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San Carlos</w:t>
            </w:r>
          </w:p>
        </w:tc>
        <w:tc>
          <w:tcPr>
            <w:tcW w:w="929" w:type="dxa"/>
            <w:tcBorders>
              <w:top w:val="nil"/>
              <w:left w:val="nil"/>
              <w:bottom w:val="single" w:sz="4" w:space="0" w:color="auto"/>
              <w:right w:val="single" w:sz="4" w:space="0" w:color="auto"/>
            </w:tcBorders>
            <w:shd w:val="clear" w:color="auto" w:fill="auto"/>
            <w:noWrap/>
            <w:vAlign w:val="center"/>
            <w:hideMark/>
          </w:tcPr>
          <w:p w14:paraId="160BC740"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415</w:t>
            </w:r>
          </w:p>
        </w:tc>
        <w:tc>
          <w:tcPr>
            <w:tcW w:w="929" w:type="dxa"/>
            <w:tcBorders>
              <w:top w:val="nil"/>
              <w:left w:val="nil"/>
              <w:bottom w:val="single" w:sz="4" w:space="0" w:color="auto"/>
              <w:right w:val="single" w:sz="4" w:space="0" w:color="auto"/>
            </w:tcBorders>
            <w:shd w:val="clear" w:color="auto" w:fill="auto"/>
            <w:noWrap/>
            <w:vAlign w:val="center"/>
            <w:hideMark/>
          </w:tcPr>
          <w:p w14:paraId="5CE7AA2E"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330</w:t>
            </w:r>
          </w:p>
        </w:tc>
        <w:tc>
          <w:tcPr>
            <w:tcW w:w="929" w:type="dxa"/>
            <w:tcBorders>
              <w:top w:val="nil"/>
              <w:left w:val="nil"/>
              <w:bottom w:val="single" w:sz="4" w:space="0" w:color="auto"/>
              <w:right w:val="single" w:sz="4" w:space="0" w:color="auto"/>
            </w:tcBorders>
            <w:shd w:val="clear" w:color="auto" w:fill="auto"/>
            <w:noWrap/>
            <w:vAlign w:val="center"/>
            <w:hideMark/>
          </w:tcPr>
          <w:p w14:paraId="3E788EF0"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327</w:t>
            </w:r>
          </w:p>
        </w:tc>
        <w:tc>
          <w:tcPr>
            <w:tcW w:w="1673" w:type="dxa"/>
            <w:tcBorders>
              <w:top w:val="nil"/>
              <w:left w:val="nil"/>
              <w:bottom w:val="single" w:sz="4" w:space="0" w:color="auto"/>
              <w:right w:val="single" w:sz="4" w:space="0" w:color="auto"/>
            </w:tcBorders>
            <w:shd w:val="clear" w:color="auto" w:fill="auto"/>
            <w:vAlign w:val="center"/>
            <w:hideMark/>
          </w:tcPr>
          <w:p w14:paraId="32105A11"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-21,10%</w:t>
            </w:r>
          </w:p>
        </w:tc>
        <w:tc>
          <w:tcPr>
            <w:tcW w:w="1673" w:type="dxa"/>
            <w:tcBorders>
              <w:top w:val="nil"/>
              <w:left w:val="nil"/>
              <w:bottom w:val="single" w:sz="4" w:space="0" w:color="auto"/>
              <w:right w:val="single" w:sz="4" w:space="0" w:color="auto"/>
            </w:tcBorders>
            <w:shd w:val="clear" w:color="auto" w:fill="auto"/>
            <w:vAlign w:val="center"/>
            <w:hideMark/>
          </w:tcPr>
          <w:p w14:paraId="385BFF97"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-0,81%</w:t>
            </w:r>
          </w:p>
        </w:tc>
      </w:tr>
      <w:tr w:rsidR="00081DAD" w:rsidRPr="00746E61" w14:paraId="63509CFF" w14:textId="77777777" w:rsidTr="00081DAD">
        <w:trPr>
          <w:trHeight w:val="249"/>
        </w:trPr>
        <w:tc>
          <w:tcPr>
            <w:tcW w:w="3068" w:type="dxa"/>
            <w:tcBorders>
              <w:top w:val="nil"/>
              <w:left w:val="single" w:sz="4" w:space="0" w:color="auto"/>
              <w:bottom w:val="single" w:sz="4" w:space="0" w:color="auto"/>
              <w:right w:val="single" w:sz="4" w:space="0" w:color="auto"/>
            </w:tcBorders>
            <w:shd w:val="clear" w:color="auto" w:fill="auto"/>
            <w:noWrap/>
            <w:vAlign w:val="center"/>
            <w:hideMark/>
          </w:tcPr>
          <w:p w14:paraId="252F83A9" w14:textId="77777777" w:rsidR="00081DAD" w:rsidRPr="00746E61" w:rsidRDefault="00081DAD"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San José</w:t>
            </w:r>
          </w:p>
        </w:tc>
        <w:tc>
          <w:tcPr>
            <w:tcW w:w="929" w:type="dxa"/>
            <w:tcBorders>
              <w:top w:val="nil"/>
              <w:left w:val="nil"/>
              <w:bottom w:val="single" w:sz="4" w:space="0" w:color="auto"/>
              <w:right w:val="single" w:sz="4" w:space="0" w:color="auto"/>
            </w:tcBorders>
            <w:shd w:val="clear" w:color="auto" w:fill="auto"/>
            <w:noWrap/>
            <w:vAlign w:val="center"/>
            <w:hideMark/>
          </w:tcPr>
          <w:p w14:paraId="2ADAB194"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1084</w:t>
            </w:r>
          </w:p>
        </w:tc>
        <w:tc>
          <w:tcPr>
            <w:tcW w:w="929" w:type="dxa"/>
            <w:tcBorders>
              <w:top w:val="nil"/>
              <w:left w:val="nil"/>
              <w:bottom w:val="single" w:sz="4" w:space="0" w:color="auto"/>
              <w:right w:val="single" w:sz="4" w:space="0" w:color="auto"/>
            </w:tcBorders>
            <w:shd w:val="clear" w:color="auto" w:fill="auto"/>
            <w:noWrap/>
            <w:vAlign w:val="center"/>
            <w:hideMark/>
          </w:tcPr>
          <w:p w14:paraId="22DB43AC"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979</w:t>
            </w:r>
          </w:p>
        </w:tc>
        <w:tc>
          <w:tcPr>
            <w:tcW w:w="929" w:type="dxa"/>
            <w:tcBorders>
              <w:top w:val="nil"/>
              <w:left w:val="nil"/>
              <w:bottom w:val="single" w:sz="4" w:space="0" w:color="auto"/>
              <w:right w:val="single" w:sz="4" w:space="0" w:color="auto"/>
            </w:tcBorders>
            <w:shd w:val="clear" w:color="auto" w:fill="auto"/>
            <w:noWrap/>
            <w:vAlign w:val="center"/>
            <w:hideMark/>
          </w:tcPr>
          <w:p w14:paraId="50BFED35"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855</w:t>
            </w:r>
          </w:p>
        </w:tc>
        <w:tc>
          <w:tcPr>
            <w:tcW w:w="1673" w:type="dxa"/>
            <w:tcBorders>
              <w:top w:val="nil"/>
              <w:left w:val="nil"/>
              <w:bottom w:val="single" w:sz="4" w:space="0" w:color="auto"/>
              <w:right w:val="single" w:sz="4" w:space="0" w:color="auto"/>
            </w:tcBorders>
            <w:shd w:val="clear" w:color="auto" w:fill="auto"/>
            <w:vAlign w:val="center"/>
            <w:hideMark/>
          </w:tcPr>
          <w:p w14:paraId="6DFBEE48"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-21,11%</w:t>
            </w:r>
          </w:p>
        </w:tc>
        <w:tc>
          <w:tcPr>
            <w:tcW w:w="1673" w:type="dxa"/>
            <w:tcBorders>
              <w:top w:val="nil"/>
              <w:left w:val="nil"/>
              <w:bottom w:val="single" w:sz="4" w:space="0" w:color="auto"/>
              <w:right w:val="single" w:sz="4" w:space="0" w:color="auto"/>
            </w:tcBorders>
            <w:shd w:val="clear" w:color="auto" w:fill="auto"/>
            <w:vAlign w:val="center"/>
            <w:hideMark/>
          </w:tcPr>
          <w:p w14:paraId="74F12CCD"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-12,69%</w:t>
            </w:r>
          </w:p>
        </w:tc>
      </w:tr>
      <w:tr w:rsidR="00081DAD" w:rsidRPr="00746E61" w14:paraId="49D7FF54" w14:textId="77777777" w:rsidTr="00081DAD">
        <w:trPr>
          <w:trHeight w:val="249"/>
        </w:trPr>
        <w:tc>
          <w:tcPr>
            <w:tcW w:w="3068" w:type="dxa"/>
            <w:tcBorders>
              <w:top w:val="nil"/>
              <w:left w:val="single" w:sz="4" w:space="0" w:color="auto"/>
              <w:bottom w:val="single" w:sz="4" w:space="0" w:color="auto"/>
              <w:right w:val="single" w:sz="4" w:space="0" w:color="auto"/>
            </w:tcBorders>
            <w:shd w:val="clear" w:color="auto" w:fill="auto"/>
            <w:noWrap/>
            <w:vAlign w:val="center"/>
            <w:hideMark/>
          </w:tcPr>
          <w:p w14:paraId="26A3CB77" w14:textId="77777777" w:rsidR="00081DAD" w:rsidRPr="00746E61" w:rsidRDefault="00081DAD"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Golfito</w:t>
            </w:r>
          </w:p>
        </w:tc>
        <w:tc>
          <w:tcPr>
            <w:tcW w:w="929" w:type="dxa"/>
            <w:tcBorders>
              <w:top w:val="nil"/>
              <w:left w:val="nil"/>
              <w:bottom w:val="single" w:sz="4" w:space="0" w:color="auto"/>
              <w:right w:val="single" w:sz="4" w:space="0" w:color="auto"/>
            </w:tcBorders>
            <w:shd w:val="clear" w:color="auto" w:fill="auto"/>
            <w:noWrap/>
            <w:vAlign w:val="center"/>
            <w:hideMark/>
          </w:tcPr>
          <w:p w14:paraId="74C14C20"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170</w:t>
            </w:r>
          </w:p>
        </w:tc>
        <w:tc>
          <w:tcPr>
            <w:tcW w:w="929" w:type="dxa"/>
            <w:tcBorders>
              <w:top w:val="nil"/>
              <w:left w:val="nil"/>
              <w:bottom w:val="single" w:sz="4" w:space="0" w:color="auto"/>
              <w:right w:val="single" w:sz="4" w:space="0" w:color="auto"/>
            </w:tcBorders>
            <w:shd w:val="clear" w:color="auto" w:fill="auto"/>
            <w:noWrap/>
            <w:vAlign w:val="center"/>
            <w:hideMark/>
          </w:tcPr>
          <w:p w14:paraId="369254CC"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142</w:t>
            </w:r>
          </w:p>
        </w:tc>
        <w:tc>
          <w:tcPr>
            <w:tcW w:w="929" w:type="dxa"/>
            <w:tcBorders>
              <w:top w:val="nil"/>
              <w:left w:val="nil"/>
              <w:bottom w:val="single" w:sz="4" w:space="0" w:color="auto"/>
              <w:right w:val="single" w:sz="4" w:space="0" w:color="auto"/>
            </w:tcBorders>
            <w:shd w:val="clear" w:color="auto" w:fill="auto"/>
            <w:noWrap/>
            <w:vAlign w:val="center"/>
            <w:hideMark/>
          </w:tcPr>
          <w:p w14:paraId="26CBE29D"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131</w:t>
            </w:r>
          </w:p>
        </w:tc>
        <w:tc>
          <w:tcPr>
            <w:tcW w:w="1673" w:type="dxa"/>
            <w:tcBorders>
              <w:top w:val="nil"/>
              <w:left w:val="nil"/>
              <w:bottom w:val="single" w:sz="4" w:space="0" w:color="auto"/>
              <w:right w:val="single" w:sz="4" w:space="0" w:color="auto"/>
            </w:tcBorders>
            <w:shd w:val="clear" w:color="auto" w:fill="auto"/>
            <w:vAlign w:val="center"/>
            <w:hideMark/>
          </w:tcPr>
          <w:p w14:paraId="76C165F7"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-23,00%</w:t>
            </w:r>
          </w:p>
        </w:tc>
        <w:tc>
          <w:tcPr>
            <w:tcW w:w="1673" w:type="dxa"/>
            <w:tcBorders>
              <w:top w:val="nil"/>
              <w:left w:val="nil"/>
              <w:bottom w:val="single" w:sz="4" w:space="0" w:color="auto"/>
              <w:right w:val="single" w:sz="4" w:space="0" w:color="auto"/>
            </w:tcBorders>
            <w:shd w:val="clear" w:color="auto" w:fill="auto"/>
            <w:vAlign w:val="center"/>
            <w:hideMark/>
          </w:tcPr>
          <w:p w14:paraId="7471B920"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-7,87%</w:t>
            </w:r>
          </w:p>
        </w:tc>
      </w:tr>
      <w:tr w:rsidR="00081DAD" w:rsidRPr="00746E61" w14:paraId="1D52E782" w14:textId="77777777" w:rsidTr="00081DAD">
        <w:trPr>
          <w:trHeight w:val="249"/>
        </w:trPr>
        <w:tc>
          <w:tcPr>
            <w:tcW w:w="3068" w:type="dxa"/>
            <w:tcBorders>
              <w:top w:val="nil"/>
              <w:left w:val="single" w:sz="4" w:space="0" w:color="auto"/>
              <w:bottom w:val="single" w:sz="4" w:space="0" w:color="auto"/>
              <w:right w:val="single" w:sz="4" w:space="0" w:color="auto"/>
            </w:tcBorders>
            <w:shd w:val="clear" w:color="auto" w:fill="auto"/>
            <w:noWrap/>
            <w:vAlign w:val="center"/>
            <w:hideMark/>
          </w:tcPr>
          <w:p w14:paraId="7E6B1958" w14:textId="77777777" w:rsidR="00081DAD" w:rsidRPr="00746E61" w:rsidRDefault="00081DAD"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Puntarenas</w:t>
            </w:r>
          </w:p>
        </w:tc>
        <w:tc>
          <w:tcPr>
            <w:tcW w:w="929" w:type="dxa"/>
            <w:tcBorders>
              <w:top w:val="nil"/>
              <w:left w:val="nil"/>
              <w:bottom w:val="single" w:sz="4" w:space="0" w:color="auto"/>
              <w:right w:val="single" w:sz="4" w:space="0" w:color="auto"/>
            </w:tcBorders>
            <w:shd w:val="clear" w:color="auto" w:fill="auto"/>
            <w:noWrap/>
            <w:vAlign w:val="center"/>
            <w:hideMark/>
          </w:tcPr>
          <w:p w14:paraId="6DB85162"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361</w:t>
            </w:r>
          </w:p>
        </w:tc>
        <w:tc>
          <w:tcPr>
            <w:tcW w:w="929" w:type="dxa"/>
            <w:tcBorders>
              <w:top w:val="nil"/>
              <w:left w:val="nil"/>
              <w:bottom w:val="single" w:sz="4" w:space="0" w:color="auto"/>
              <w:right w:val="single" w:sz="4" w:space="0" w:color="auto"/>
            </w:tcBorders>
            <w:shd w:val="clear" w:color="auto" w:fill="auto"/>
            <w:noWrap/>
            <w:vAlign w:val="center"/>
            <w:hideMark/>
          </w:tcPr>
          <w:p w14:paraId="531705BA"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271</w:t>
            </w:r>
          </w:p>
        </w:tc>
        <w:tc>
          <w:tcPr>
            <w:tcW w:w="929" w:type="dxa"/>
            <w:tcBorders>
              <w:top w:val="nil"/>
              <w:left w:val="nil"/>
              <w:bottom w:val="single" w:sz="4" w:space="0" w:color="auto"/>
              <w:right w:val="single" w:sz="4" w:space="0" w:color="auto"/>
            </w:tcBorders>
            <w:shd w:val="clear" w:color="auto" w:fill="auto"/>
            <w:noWrap/>
            <w:vAlign w:val="center"/>
            <w:hideMark/>
          </w:tcPr>
          <w:p w14:paraId="3543846B"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275</w:t>
            </w:r>
          </w:p>
        </w:tc>
        <w:tc>
          <w:tcPr>
            <w:tcW w:w="1673" w:type="dxa"/>
            <w:tcBorders>
              <w:top w:val="nil"/>
              <w:left w:val="nil"/>
              <w:bottom w:val="single" w:sz="4" w:space="0" w:color="auto"/>
              <w:right w:val="single" w:sz="4" w:space="0" w:color="auto"/>
            </w:tcBorders>
            <w:shd w:val="clear" w:color="auto" w:fill="auto"/>
            <w:vAlign w:val="center"/>
            <w:hideMark/>
          </w:tcPr>
          <w:p w14:paraId="7A3BBA29"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-23,78%</w:t>
            </w:r>
          </w:p>
        </w:tc>
        <w:tc>
          <w:tcPr>
            <w:tcW w:w="1673" w:type="dxa"/>
            <w:tcBorders>
              <w:top w:val="nil"/>
              <w:left w:val="nil"/>
              <w:bottom w:val="single" w:sz="4" w:space="0" w:color="auto"/>
              <w:right w:val="single" w:sz="4" w:space="0" w:color="auto"/>
            </w:tcBorders>
            <w:shd w:val="clear" w:color="auto" w:fill="auto"/>
            <w:vAlign w:val="center"/>
            <w:hideMark/>
          </w:tcPr>
          <w:p w14:paraId="6061A70F"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1,55%</w:t>
            </w:r>
          </w:p>
        </w:tc>
      </w:tr>
      <w:tr w:rsidR="00081DAD" w:rsidRPr="00746E61" w14:paraId="1A14976A" w14:textId="77777777" w:rsidTr="00081DAD">
        <w:trPr>
          <w:trHeight w:val="249"/>
        </w:trPr>
        <w:tc>
          <w:tcPr>
            <w:tcW w:w="3068" w:type="dxa"/>
            <w:tcBorders>
              <w:top w:val="nil"/>
              <w:left w:val="single" w:sz="4" w:space="0" w:color="auto"/>
              <w:bottom w:val="single" w:sz="4" w:space="0" w:color="auto"/>
              <w:right w:val="single" w:sz="4" w:space="0" w:color="auto"/>
            </w:tcBorders>
            <w:shd w:val="clear" w:color="auto" w:fill="auto"/>
            <w:noWrap/>
            <w:vAlign w:val="center"/>
            <w:hideMark/>
          </w:tcPr>
          <w:p w14:paraId="10881FC6" w14:textId="77777777" w:rsidR="00081DAD" w:rsidRPr="00746E61" w:rsidRDefault="00081DAD"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Pérez Zeledón</w:t>
            </w:r>
          </w:p>
        </w:tc>
        <w:tc>
          <w:tcPr>
            <w:tcW w:w="929" w:type="dxa"/>
            <w:tcBorders>
              <w:top w:val="nil"/>
              <w:left w:val="nil"/>
              <w:bottom w:val="single" w:sz="4" w:space="0" w:color="auto"/>
              <w:right w:val="single" w:sz="4" w:space="0" w:color="auto"/>
            </w:tcBorders>
            <w:shd w:val="clear" w:color="auto" w:fill="auto"/>
            <w:noWrap/>
            <w:vAlign w:val="center"/>
            <w:hideMark/>
          </w:tcPr>
          <w:p w14:paraId="5137B596"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391</w:t>
            </w:r>
          </w:p>
        </w:tc>
        <w:tc>
          <w:tcPr>
            <w:tcW w:w="929" w:type="dxa"/>
            <w:tcBorders>
              <w:top w:val="nil"/>
              <w:left w:val="nil"/>
              <w:bottom w:val="single" w:sz="4" w:space="0" w:color="auto"/>
              <w:right w:val="single" w:sz="4" w:space="0" w:color="auto"/>
            </w:tcBorders>
            <w:shd w:val="clear" w:color="auto" w:fill="auto"/>
            <w:noWrap/>
            <w:vAlign w:val="center"/>
            <w:hideMark/>
          </w:tcPr>
          <w:p w14:paraId="613E2058"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281</w:t>
            </w:r>
          </w:p>
        </w:tc>
        <w:tc>
          <w:tcPr>
            <w:tcW w:w="929" w:type="dxa"/>
            <w:tcBorders>
              <w:top w:val="nil"/>
              <w:left w:val="nil"/>
              <w:bottom w:val="single" w:sz="4" w:space="0" w:color="auto"/>
              <w:right w:val="single" w:sz="4" w:space="0" w:color="auto"/>
            </w:tcBorders>
            <w:shd w:val="clear" w:color="auto" w:fill="auto"/>
            <w:noWrap/>
            <w:vAlign w:val="center"/>
            <w:hideMark/>
          </w:tcPr>
          <w:p w14:paraId="276BBC8B"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267</w:t>
            </w:r>
          </w:p>
        </w:tc>
        <w:tc>
          <w:tcPr>
            <w:tcW w:w="1673" w:type="dxa"/>
            <w:tcBorders>
              <w:top w:val="nil"/>
              <w:left w:val="nil"/>
              <w:bottom w:val="single" w:sz="4" w:space="0" w:color="auto"/>
              <w:right w:val="single" w:sz="4" w:space="0" w:color="auto"/>
            </w:tcBorders>
            <w:shd w:val="clear" w:color="auto" w:fill="auto"/>
            <w:vAlign w:val="center"/>
            <w:hideMark/>
          </w:tcPr>
          <w:p w14:paraId="6B2CDB8A"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-31,57%</w:t>
            </w:r>
          </w:p>
        </w:tc>
        <w:tc>
          <w:tcPr>
            <w:tcW w:w="1673" w:type="dxa"/>
            <w:tcBorders>
              <w:top w:val="nil"/>
              <w:left w:val="nil"/>
              <w:bottom w:val="single" w:sz="4" w:space="0" w:color="auto"/>
              <w:right w:val="single" w:sz="4" w:space="0" w:color="auto"/>
            </w:tcBorders>
            <w:shd w:val="clear" w:color="auto" w:fill="auto"/>
            <w:vAlign w:val="center"/>
            <w:hideMark/>
          </w:tcPr>
          <w:p w14:paraId="32EF1C11"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-4,74%</w:t>
            </w:r>
          </w:p>
        </w:tc>
      </w:tr>
      <w:tr w:rsidR="00081DAD" w:rsidRPr="00746E61" w14:paraId="19180633" w14:textId="77777777" w:rsidTr="00081DAD">
        <w:trPr>
          <w:trHeight w:val="249"/>
        </w:trPr>
        <w:tc>
          <w:tcPr>
            <w:tcW w:w="3068" w:type="dxa"/>
            <w:tcBorders>
              <w:top w:val="nil"/>
              <w:left w:val="single" w:sz="4" w:space="0" w:color="auto"/>
              <w:bottom w:val="single" w:sz="4" w:space="0" w:color="auto"/>
              <w:right w:val="single" w:sz="4" w:space="0" w:color="auto"/>
            </w:tcBorders>
            <w:shd w:val="clear" w:color="auto" w:fill="auto"/>
            <w:noWrap/>
            <w:vAlign w:val="center"/>
            <w:hideMark/>
          </w:tcPr>
          <w:p w14:paraId="23016BD1" w14:textId="77777777" w:rsidR="00081DAD" w:rsidRPr="00746E61" w:rsidRDefault="00081DAD"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Garabito</w:t>
            </w:r>
          </w:p>
        </w:tc>
        <w:tc>
          <w:tcPr>
            <w:tcW w:w="929" w:type="dxa"/>
            <w:tcBorders>
              <w:top w:val="nil"/>
              <w:left w:val="nil"/>
              <w:bottom w:val="single" w:sz="4" w:space="0" w:color="auto"/>
              <w:right w:val="single" w:sz="4" w:space="0" w:color="auto"/>
            </w:tcBorders>
            <w:shd w:val="clear" w:color="auto" w:fill="auto"/>
            <w:noWrap/>
            <w:vAlign w:val="center"/>
            <w:hideMark/>
          </w:tcPr>
          <w:p w14:paraId="0891EE25"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166</w:t>
            </w:r>
          </w:p>
        </w:tc>
        <w:tc>
          <w:tcPr>
            <w:tcW w:w="929" w:type="dxa"/>
            <w:tcBorders>
              <w:top w:val="nil"/>
              <w:left w:val="nil"/>
              <w:bottom w:val="single" w:sz="4" w:space="0" w:color="auto"/>
              <w:right w:val="single" w:sz="4" w:space="0" w:color="auto"/>
            </w:tcBorders>
            <w:shd w:val="clear" w:color="auto" w:fill="auto"/>
            <w:noWrap/>
            <w:vAlign w:val="center"/>
            <w:hideMark/>
          </w:tcPr>
          <w:p w14:paraId="6169C447"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100</w:t>
            </w:r>
          </w:p>
        </w:tc>
        <w:tc>
          <w:tcPr>
            <w:tcW w:w="929" w:type="dxa"/>
            <w:tcBorders>
              <w:top w:val="nil"/>
              <w:left w:val="nil"/>
              <w:bottom w:val="single" w:sz="4" w:space="0" w:color="auto"/>
              <w:right w:val="single" w:sz="4" w:space="0" w:color="auto"/>
            </w:tcBorders>
            <w:shd w:val="clear" w:color="auto" w:fill="auto"/>
            <w:noWrap/>
            <w:vAlign w:val="center"/>
            <w:hideMark/>
          </w:tcPr>
          <w:p w14:paraId="319BB288"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110</w:t>
            </w:r>
          </w:p>
        </w:tc>
        <w:tc>
          <w:tcPr>
            <w:tcW w:w="1673" w:type="dxa"/>
            <w:tcBorders>
              <w:top w:val="nil"/>
              <w:left w:val="nil"/>
              <w:bottom w:val="single" w:sz="4" w:space="0" w:color="auto"/>
              <w:right w:val="single" w:sz="4" w:space="0" w:color="auto"/>
            </w:tcBorders>
            <w:shd w:val="clear" w:color="auto" w:fill="auto"/>
            <w:vAlign w:val="center"/>
            <w:hideMark/>
          </w:tcPr>
          <w:p w14:paraId="3D1CE3F9"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-33,97%</w:t>
            </w:r>
          </w:p>
        </w:tc>
        <w:tc>
          <w:tcPr>
            <w:tcW w:w="1673" w:type="dxa"/>
            <w:tcBorders>
              <w:top w:val="nil"/>
              <w:left w:val="nil"/>
              <w:bottom w:val="single" w:sz="4" w:space="0" w:color="auto"/>
              <w:right w:val="single" w:sz="4" w:space="0" w:color="auto"/>
            </w:tcBorders>
            <w:shd w:val="clear" w:color="auto" w:fill="auto"/>
            <w:vAlign w:val="center"/>
            <w:hideMark/>
          </w:tcPr>
          <w:p w14:paraId="186295C3"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10,16%</w:t>
            </w:r>
          </w:p>
        </w:tc>
      </w:tr>
      <w:tr w:rsidR="00081DAD" w:rsidRPr="00746E61" w14:paraId="1BB4185C" w14:textId="77777777" w:rsidTr="00081DAD">
        <w:trPr>
          <w:trHeight w:val="249"/>
        </w:trPr>
        <w:tc>
          <w:tcPr>
            <w:tcW w:w="3068" w:type="dxa"/>
            <w:tcBorders>
              <w:top w:val="nil"/>
              <w:left w:val="single" w:sz="4" w:space="0" w:color="auto"/>
              <w:bottom w:val="single" w:sz="4" w:space="0" w:color="auto"/>
              <w:right w:val="single" w:sz="4" w:space="0" w:color="auto"/>
            </w:tcBorders>
            <w:shd w:val="clear" w:color="auto" w:fill="auto"/>
            <w:noWrap/>
            <w:vAlign w:val="center"/>
            <w:hideMark/>
          </w:tcPr>
          <w:p w14:paraId="49B29A62" w14:textId="77777777" w:rsidR="00081DAD" w:rsidRPr="00746E61" w:rsidRDefault="00081DAD"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Batán</w:t>
            </w:r>
          </w:p>
        </w:tc>
        <w:tc>
          <w:tcPr>
            <w:tcW w:w="929" w:type="dxa"/>
            <w:tcBorders>
              <w:top w:val="nil"/>
              <w:left w:val="nil"/>
              <w:bottom w:val="single" w:sz="4" w:space="0" w:color="auto"/>
              <w:right w:val="single" w:sz="4" w:space="0" w:color="auto"/>
            </w:tcBorders>
            <w:shd w:val="clear" w:color="auto" w:fill="auto"/>
            <w:noWrap/>
            <w:vAlign w:val="center"/>
            <w:hideMark/>
          </w:tcPr>
          <w:p w14:paraId="63D982DB"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122</w:t>
            </w:r>
          </w:p>
        </w:tc>
        <w:tc>
          <w:tcPr>
            <w:tcW w:w="929" w:type="dxa"/>
            <w:tcBorders>
              <w:top w:val="nil"/>
              <w:left w:val="nil"/>
              <w:bottom w:val="single" w:sz="4" w:space="0" w:color="auto"/>
              <w:right w:val="single" w:sz="4" w:space="0" w:color="auto"/>
            </w:tcBorders>
            <w:shd w:val="clear" w:color="auto" w:fill="auto"/>
            <w:noWrap/>
            <w:vAlign w:val="center"/>
            <w:hideMark/>
          </w:tcPr>
          <w:p w14:paraId="2A7E02EC"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90</w:t>
            </w:r>
          </w:p>
        </w:tc>
        <w:tc>
          <w:tcPr>
            <w:tcW w:w="929" w:type="dxa"/>
            <w:tcBorders>
              <w:top w:val="nil"/>
              <w:left w:val="nil"/>
              <w:bottom w:val="single" w:sz="4" w:space="0" w:color="auto"/>
              <w:right w:val="single" w:sz="4" w:space="0" w:color="auto"/>
            </w:tcBorders>
            <w:shd w:val="clear" w:color="auto" w:fill="auto"/>
            <w:noWrap/>
            <w:vAlign w:val="center"/>
            <w:hideMark/>
          </w:tcPr>
          <w:p w14:paraId="3F42D8C6"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63</w:t>
            </w:r>
          </w:p>
        </w:tc>
        <w:tc>
          <w:tcPr>
            <w:tcW w:w="1673" w:type="dxa"/>
            <w:tcBorders>
              <w:top w:val="nil"/>
              <w:left w:val="nil"/>
              <w:bottom w:val="single" w:sz="4" w:space="0" w:color="auto"/>
              <w:right w:val="single" w:sz="4" w:space="0" w:color="auto"/>
            </w:tcBorders>
            <w:shd w:val="clear" w:color="auto" w:fill="auto"/>
            <w:vAlign w:val="center"/>
            <w:hideMark/>
          </w:tcPr>
          <w:p w14:paraId="0282F0E3"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-48,77%</w:t>
            </w:r>
          </w:p>
        </w:tc>
        <w:tc>
          <w:tcPr>
            <w:tcW w:w="1673" w:type="dxa"/>
            <w:tcBorders>
              <w:top w:val="nil"/>
              <w:left w:val="nil"/>
              <w:bottom w:val="single" w:sz="4" w:space="0" w:color="auto"/>
              <w:right w:val="single" w:sz="4" w:space="0" w:color="auto"/>
            </w:tcBorders>
            <w:shd w:val="clear" w:color="auto" w:fill="auto"/>
            <w:vAlign w:val="center"/>
            <w:hideMark/>
          </w:tcPr>
          <w:p w14:paraId="745FD67B"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-30,15%</w:t>
            </w:r>
          </w:p>
        </w:tc>
      </w:tr>
      <w:tr w:rsidR="005E22EC" w:rsidRPr="00746E61" w14:paraId="49302376" w14:textId="77777777" w:rsidTr="005E22EC">
        <w:trPr>
          <w:trHeight w:val="249"/>
        </w:trPr>
        <w:tc>
          <w:tcPr>
            <w:tcW w:w="3068"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7174C93" w14:textId="77777777" w:rsidR="00081DAD" w:rsidRPr="00746E61" w:rsidRDefault="00081DAD"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Buenos Aires</w:t>
            </w:r>
          </w:p>
        </w:tc>
        <w:tc>
          <w:tcPr>
            <w:tcW w:w="929" w:type="dxa"/>
            <w:tcBorders>
              <w:top w:val="nil"/>
              <w:left w:val="nil"/>
              <w:bottom w:val="single" w:sz="4" w:space="0" w:color="auto"/>
              <w:right w:val="single" w:sz="4" w:space="0" w:color="auto"/>
            </w:tcBorders>
            <w:shd w:val="clear" w:color="auto" w:fill="F2F2F2" w:themeFill="background1" w:themeFillShade="F2"/>
            <w:noWrap/>
            <w:vAlign w:val="center"/>
            <w:hideMark/>
          </w:tcPr>
          <w:p w14:paraId="03E1845D"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160</w:t>
            </w:r>
          </w:p>
        </w:tc>
        <w:tc>
          <w:tcPr>
            <w:tcW w:w="929" w:type="dxa"/>
            <w:tcBorders>
              <w:top w:val="nil"/>
              <w:left w:val="nil"/>
              <w:bottom w:val="single" w:sz="4" w:space="0" w:color="auto"/>
              <w:right w:val="single" w:sz="4" w:space="0" w:color="auto"/>
            </w:tcBorders>
            <w:shd w:val="clear" w:color="auto" w:fill="F2F2F2" w:themeFill="background1" w:themeFillShade="F2"/>
            <w:noWrap/>
            <w:vAlign w:val="center"/>
            <w:hideMark/>
          </w:tcPr>
          <w:p w14:paraId="7D9F98E8"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94</w:t>
            </w:r>
          </w:p>
        </w:tc>
        <w:tc>
          <w:tcPr>
            <w:tcW w:w="929" w:type="dxa"/>
            <w:tcBorders>
              <w:top w:val="nil"/>
              <w:left w:val="nil"/>
              <w:bottom w:val="single" w:sz="4" w:space="0" w:color="auto"/>
              <w:right w:val="single" w:sz="4" w:space="0" w:color="auto"/>
            </w:tcBorders>
            <w:shd w:val="clear" w:color="auto" w:fill="F2F2F2" w:themeFill="background1" w:themeFillShade="F2"/>
            <w:noWrap/>
            <w:vAlign w:val="center"/>
            <w:hideMark/>
          </w:tcPr>
          <w:p w14:paraId="6EB9F42A"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68</w:t>
            </w:r>
          </w:p>
        </w:tc>
        <w:tc>
          <w:tcPr>
            <w:tcW w:w="1673" w:type="dxa"/>
            <w:tcBorders>
              <w:top w:val="nil"/>
              <w:left w:val="nil"/>
              <w:bottom w:val="single" w:sz="4" w:space="0" w:color="auto"/>
              <w:right w:val="single" w:sz="4" w:space="0" w:color="auto"/>
            </w:tcBorders>
            <w:shd w:val="clear" w:color="auto" w:fill="F2F2F2" w:themeFill="background1" w:themeFillShade="F2"/>
            <w:vAlign w:val="center"/>
            <w:hideMark/>
          </w:tcPr>
          <w:p w14:paraId="6ED8E112"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-57,63%</w:t>
            </w:r>
          </w:p>
        </w:tc>
        <w:tc>
          <w:tcPr>
            <w:tcW w:w="1673" w:type="dxa"/>
            <w:tcBorders>
              <w:top w:val="nil"/>
              <w:left w:val="nil"/>
              <w:bottom w:val="single" w:sz="4" w:space="0" w:color="auto"/>
              <w:right w:val="single" w:sz="4" w:space="0" w:color="auto"/>
            </w:tcBorders>
            <w:shd w:val="clear" w:color="auto" w:fill="F2F2F2" w:themeFill="background1" w:themeFillShade="F2"/>
            <w:vAlign w:val="center"/>
            <w:hideMark/>
          </w:tcPr>
          <w:p w14:paraId="113F6C73" w14:textId="77777777" w:rsidR="00081DAD" w:rsidRPr="00746E61" w:rsidRDefault="00081DA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-27,73%</w:t>
            </w:r>
          </w:p>
        </w:tc>
      </w:tr>
      <w:tr w:rsidR="00081DAD" w:rsidRPr="00746E61" w14:paraId="435E88CF" w14:textId="77777777" w:rsidTr="00081DAD">
        <w:trPr>
          <w:trHeight w:val="249"/>
        </w:trPr>
        <w:tc>
          <w:tcPr>
            <w:tcW w:w="3068" w:type="dxa"/>
            <w:tcBorders>
              <w:top w:val="nil"/>
              <w:left w:val="single" w:sz="4" w:space="0" w:color="auto"/>
              <w:bottom w:val="single" w:sz="4" w:space="0" w:color="auto"/>
              <w:right w:val="single" w:sz="4" w:space="0" w:color="auto"/>
            </w:tcBorders>
            <w:shd w:val="clear" w:color="auto" w:fill="auto"/>
            <w:vAlign w:val="center"/>
            <w:hideMark/>
          </w:tcPr>
          <w:p w14:paraId="56CD3BBC" w14:textId="77777777" w:rsidR="00081DAD" w:rsidRPr="00746E61" w:rsidRDefault="00081DAD" w:rsidP="00746E61">
            <w:pPr>
              <w:spacing w:line="276" w:lineRule="auto"/>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Total</w:t>
            </w:r>
          </w:p>
        </w:tc>
        <w:tc>
          <w:tcPr>
            <w:tcW w:w="929" w:type="dxa"/>
            <w:tcBorders>
              <w:top w:val="nil"/>
              <w:left w:val="nil"/>
              <w:bottom w:val="single" w:sz="4" w:space="0" w:color="auto"/>
              <w:right w:val="single" w:sz="4" w:space="0" w:color="auto"/>
            </w:tcBorders>
            <w:shd w:val="clear" w:color="auto" w:fill="auto"/>
            <w:vAlign w:val="center"/>
            <w:hideMark/>
          </w:tcPr>
          <w:p w14:paraId="1A797B48" w14:textId="77777777" w:rsidR="00081DAD" w:rsidRPr="00746E61" w:rsidRDefault="00081DAD"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10903</w:t>
            </w:r>
          </w:p>
        </w:tc>
        <w:tc>
          <w:tcPr>
            <w:tcW w:w="929" w:type="dxa"/>
            <w:tcBorders>
              <w:top w:val="nil"/>
              <w:left w:val="nil"/>
              <w:bottom w:val="single" w:sz="4" w:space="0" w:color="auto"/>
              <w:right w:val="single" w:sz="4" w:space="0" w:color="auto"/>
            </w:tcBorders>
            <w:shd w:val="clear" w:color="auto" w:fill="auto"/>
            <w:vAlign w:val="center"/>
            <w:hideMark/>
          </w:tcPr>
          <w:p w14:paraId="417B46C8" w14:textId="77777777" w:rsidR="00081DAD" w:rsidRPr="00746E61" w:rsidRDefault="00081DAD"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10136</w:t>
            </w:r>
          </w:p>
        </w:tc>
        <w:tc>
          <w:tcPr>
            <w:tcW w:w="929" w:type="dxa"/>
            <w:tcBorders>
              <w:top w:val="nil"/>
              <w:left w:val="nil"/>
              <w:bottom w:val="single" w:sz="4" w:space="0" w:color="auto"/>
              <w:right w:val="single" w:sz="4" w:space="0" w:color="auto"/>
            </w:tcBorders>
            <w:shd w:val="clear" w:color="auto" w:fill="auto"/>
            <w:vAlign w:val="center"/>
            <w:hideMark/>
          </w:tcPr>
          <w:p w14:paraId="31574764" w14:textId="77777777" w:rsidR="00081DAD" w:rsidRPr="00746E61" w:rsidRDefault="00081DAD"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10044</w:t>
            </w:r>
          </w:p>
        </w:tc>
        <w:tc>
          <w:tcPr>
            <w:tcW w:w="1673" w:type="dxa"/>
            <w:tcBorders>
              <w:top w:val="nil"/>
              <w:left w:val="nil"/>
              <w:bottom w:val="single" w:sz="4" w:space="0" w:color="auto"/>
              <w:right w:val="single" w:sz="4" w:space="0" w:color="auto"/>
            </w:tcBorders>
            <w:shd w:val="clear" w:color="auto" w:fill="auto"/>
            <w:vAlign w:val="center"/>
            <w:hideMark/>
          </w:tcPr>
          <w:p w14:paraId="7C5A8DE8" w14:textId="77777777" w:rsidR="00081DAD" w:rsidRPr="00746E61" w:rsidRDefault="00081DAD"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-7,88%</w:t>
            </w:r>
          </w:p>
        </w:tc>
        <w:tc>
          <w:tcPr>
            <w:tcW w:w="1673" w:type="dxa"/>
            <w:tcBorders>
              <w:top w:val="nil"/>
              <w:left w:val="nil"/>
              <w:bottom w:val="single" w:sz="4" w:space="0" w:color="auto"/>
              <w:right w:val="single" w:sz="4" w:space="0" w:color="auto"/>
            </w:tcBorders>
            <w:shd w:val="clear" w:color="auto" w:fill="auto"/>
            <w:vAlign w:val="center"/>
            <w:hideMark/>
          </w:tcPr>
          <w:p w14:paraId="39030188" w14:textId="77777777" w:rsidR="00081DAD" w:rsidRPr="00746E61" w:rsidRDefault="00081DAD"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-0,91%</w:t>
            </w:r>
          </w:p>
        </w:tc>
      </w:tr>
    </w:tbl>
    <w:p w14:paraId="3D27F02E" w14:textId="646052E3" w:rsidR="000236C5" w:rsidRPr="00746E61" w:rsidRDefault="0059268A" w:rsidP="00746E61">
      <w:pPr>
        <w:spacing w:line="276" w:lineRule="auto"/>
        <w:jc w:val="center"/>
        <w:rPr>
          <w:rFonts w:ascii="Book Antiqua" w:hAnsi="Book Antiqua"/>
          <w:b/>
          <w:bCs/>
          <w:lang w:val="es-ES_tradnl" w:eastAsia="en-US"/>
        </w:rPr>
      </w:pPr>
      <w:r w:rsidRPr="00746E61">
        <w:rPr>
          <w:rFonts w:ascii="Book Antiqua" w:hAnsi="Book Antiqua" w:cs="Calibri"/>
          <w:b/>
          <w:bCs/>
          <w:color w:val="000000"/>
          <w:sz w:val="20"/>
          <w:szCs w:val="20"/>
          <w:lang w:eastAsia="es-CR"/>
        </w:rPr>
        <w:t>Fuente:</w:t>
      </w:r>
      <w:r w:rsidRPr="00746E61">
        <w:rPr>
          <w:rFonts w:ascii="Book Antiqua" w:hAnsi="Book Antiqua" w:cs="Calibri"/>
          <w:color w:val="000000"/>
          <w:sz w:val="20"/>
          <w:szCs w:val="20"/>
          <w:lang w:eastAsia="es-CR"/>
        </w:rPr>
        <w:t xml:space="preserve"> Elaboración propia a partir de las estadísticas del Subproceso de Estadística</w:t>
      </w:r>
    </w:p>
    <w:p w14:paraId="3FE9AA21" w14:textId="79A51C3D" w:rsidR="0001329C" w:rsidRPr="00746E61" w:rsidRDefault="0001329C" w:rsidP="00746E61">
      <w:pPr>
        <w:spacing w:line="276" w:lineRule="auto"/>
        <w:jc w:val="center"/>
        <w:rPr>
          <w:rFonts w:ascii="Book Antiqua" w:hAnsi="Book Antiqua"/>
          <w:b/>
          <w:bCs/>
          <w:lang w:val="es-ES_tradnl" w:eastAsia="en-US"/>
        </w:rPr>
      </w:pPr>
    </w:p>
    <w:p w14:paraId="04B0956F" w14:textId="430C0ABD" w:rsidR="000F6D84" w:rsidRPr="00746E61" w:rsidRDefault="00421831" w:rsidP="00746E61">
      <w:pPr>
        <w:widowControl w:val="0"/>
        <w:autoSpaceDE w:val="0"/>
        <w:spacing w:line="276" w:lineRule="auto"/>
        <w:ind w:right="51"/>
        <w:jc w:val="both"/>
        <w:rPr>
          <w:rFonts w:ascii="Book Antiqua" w:hAnsi="Book Antiqua" w:cs="Arial"/>
        </w:rPr>
      </w:pPr>
      <w:bookmarkStart w:id="7" w:name="_Hlk87885467"/>
      <w:r w:rsidRPr="00746E61">
        <w:rPr>
          <w:rFonts w:ascii="Book Antiqua" w:hAnsi="Book Antiqua" w:cs="Arial"/>
        </w:rPr>
        <w:t xml:space="preserve">Contabilizando la entrada de asuntos </w:t>
      </w:r>
      <w:r w:rsidR="00773F66" w:rsidRPr="00746E61">
        <w:rPr>
          <w:rFonts w:ascii="Book Antiqua" w:hAnsi="Book Antiqua" w:cs="Arial"/>
        </w:rPr>
        <w:t xml:space="preserve">nuevos </w:t>
      </w:r>
      <w:r w:rsidRPr="00746E61">
        <w:rPr>
          <w:rFonts w:ascii="Book Antiqua" w:hAnsi="Book Antiqua" w:cs="Arial"/>
        </w:rPr>
        <w:t xml:space="preserve">en todos los despachos, se logra determinar un impacto en cuanto al decrecimiento de esta variable, propiamente se evidencia una </w:t>
      </w:r>
      <w:r w:rsidR="00773F66" w:rsidRPr="00746E61">
        <w:rPr>
          <w:rFonts w:ascii="Book Antiqua" w:hAnsi="Book Antiqua" w:cs="Arial"/>
        </w:rPr>
        <w:t>disminución</w:t>
      </w:r>
      <w:r w:rsidRPr="00746E61">
        <w:rPr>
          <w:rFonts w:ascii="Book Antiqua" w:hAnsi="Book Antiqua" w:cs="Arial"/>
        </w:rPr>
        <w:t xml:space="preserve"> general del </w:t>
      </w:r>
      <w:r w:rsidR="00773F66" w:rsidRPr="00746E61">
        <w:rPr>
          <w:rFonts w:ascii="Book Antiqua" w:hAnsi="Book Antiqua" w:cs="Arial"/>
        </w:rPr>
        <w:t xml:space="preserve">7.88% </w:t>
      </w:r>
      <w:r w:rsidRPr="00746E61">
        <w:rPr>
          <w:rFonts w:ascii="Book Antiqua" w:hAnsi="Book Antiqua" w:cs="Arial"/>
        </w:rPr>
        <w:t>en comparación con el 2019</w:t>
      </w:r>
      <w:r w:rsidR="00773F66" w:rsidRPr="00746E61">
        <w:rPr>
          <w:rFonts w:ascii="Book Antiqua" w:hAnsi="Book Antiqua" w:cs="Arial"/>
        </w:rPr>
        <w:t xml:space="preserve"> y 0.91% con respecto al 2020</w:t>
      </w:r>
      <w:bookmarkEnd w:id="7"/>
      <w:r w:rsidR="00773F66" w:rsidRPr="00746E61">
        <w:rPr>
          <w:rFonts w:ascii="Book Antiqua" w:hAnsi="Book Antiqua" w:cs="Arial"/>
        </w:rPr>
        <w:t>.</w:t>
      </w:r>
      <w:r w:rsidR="00773F66" w:rsidRPr="00746E61">
        <w:rPr>
          <w:rFonts w:ascii="Book Antiqua" w:hAnsi="Book Antiqua"/>
        </w:rPr>
        <w:t xml:space="preserve"> </w:t>
      </w:r>
      <w:r w:rsidR="005E7001">
        <w:rPr>
          <w:rFonts w:ascii="Book Antiqua" w:hAnsi="Book Antiqua"/>
        </w:rPr>
        <w:t xml:space="preserve">Sin embargo, estas disminuciones no son significativas, por lo que se puede indicar que la tendencia en la entrada de asuntos en los Juzgados Penales en los tres años se ha mantenido muy constante, producto de lo que llega de las diferentes Fiscalías. </w:t>
      </w:r>
      <w:r w:rsidR="00773F66" w:rsidRPr="00746E61">
        <w:rPr>
          <w:rFonts w:ascii="Book Antiqua" w:hAnsi="Book Antiqua" w:cs="Arial"/>
        </w:rPr>
        <w:t xml:space="preserve">Al desglosar las cifras por oficinas, se observa que 16 de los 39 despachos mostraron un aumento en su carga de trabajo, siendo </w:t>
      </w:r>
      <w:r w:rsidR="00AE7EEB" w:rsidRPr="00746E61">
        <w:rPr>
          <w:rFonts w:ascii="Book Antiqua" w:hAnsi="Book Antiqua" w:cs="Arial"/>
        </w:rPr>
        <w:t>el Juzgado Penal</w:t>
      </w:r>
      <w:r w:rsidR="00773F66" w:rsidRPr="00746E61">
        <w:rPr>
          <w:rFonts w:ascii="Book Antiqua" w:hAnsi="Book Antiqua" w:cs="Arial"/>
        </w:rPr>
        <w:t xml:space="preserve"> de </w:t>
      </w:r>
      <w:r w:rsidR="00AE7EEB" w:rsidRPr="00746E61">
        <w:rPr>
          <w:rFonts w:ascii="Book Antiqua" w:hAnsi="Book Antiqua" w:cs="Arial"/>
        </w:rPr>
        <w:t>Cóbano</w:t>
      </w:r>
      <w:r w:rsidR="00773F66" w:rsidRPr="00746E61">
        <w:rPr>
          <w:rFonts w:ascii="Book Antiqua" w:hAnsi="Book Antiqua" w:cs="Arial"/>
        </w:rPr>
        <w:t xml:space="preserve"> quien </w:t>
      </w:r>
      <w:r w:rsidR="00420A30" w:rsidRPr="00746E61">
        <w:rPr>
          <w:rFonts w:ascii="Book Antiqua" w:hAnsi="Book Antiqua" w:cs="Arial"/>
        </w:rPr>
        <w:t>reflejó</w:t>
      </w:r>
      <w:r w:rsidR="00773F66" w:rsidRPr="00746E61">
        <w:rPr>
          <w:rFonts w:ascii="Book Antiqua" w:hAnsi="Book Antiqua" w:cs="Arial"/>
        </w:rPr>
        <w:t xml:space="preserve"> un mayor porcentaje de aumento, a saber </w:t>
      </w:r>
      <w:r w:rsidR="00AE7EEB" w:rsidRPr="00746E61">
        <w:rPr>
          <w:rFonts w:ascii="Book Antiqua" w:hAnsi="Book Antiqua" w:cs="Arial"/>
        </w:rPr>
        <w:t>48</w:t>
      </w:r>
      <w:r w:rsidR="00773F66" w:rsidRPr="00746E61">
        <w:rPr>
          <w:rFonts w:ascii="Book Antiqua" w:hAnsi="Book Antiqua" w:cs="Arial"/>
        </w:rPr>
        <w:t>.</w:t>
      </w:r>
      <w:r w:rsidR="00AE7EEB" w:rsidRPr="00746E61">
        <w:rPr>
          <w:rFonts w:ascii="Book Antiqua" w:hAnsi="Book Antiqua" w:cs="Arial"/>
        </w:rPr>
        <w:t>98</w:t>
      </w:r>
      <w:r w:rsidR="00773F66" w:rsidRPr="00746E61">
        <w:rPr>
          <w:rFonts w:ascii="Book Antiqua" w:hAnsi="Book Antiqua" w:cs="Arial"/>
        </w:rPr>
        <w:t>%</w:t>
      </w:r>
      <w:r w:rsidR="00C82AA9" w:rsidRPr="00746E61">
        <w:rPr>
          <w:rFonts w:ascii="Book Antiqua" w:hAnsi="Book Antiqua" w:cs="Arial"/>
        </w:rPr>
        <w:t xml:space="preserve"> versus el 2019 y 64.71% en relación con el 2020. </w:t>
      </w:r>
      <w:r w:rsidR="00CA5D34" w:rsidRPr="00746E61">
        <w:rPr>
          <w:rFonts w:ascii="Book Antiqua" w:hAnsi="Book Antiqua" w:cs="Arial"/>
        </w:rPr>
        <w:t xml:space="preserve">Caso contrario, de las 23 oficinas que presentaron disminución en su entrada, </w:t>
      </w:r>
      <w:r w:rsidR="00420A30" w:rsidRPr="00746E61">
        <w:rPr>
          <w:rFonts w:ascii="Book Antiqua" w:hAnsi="Book Antiqua" w:cs="Arial"/>
        </w:rPr>
        <w:t xml:space="preserve">el </w:t>
      </w:r>
      <w:r w:rsidR="00243F14">
        <w:rPr>
          <w:rFonts w:ascii="Book Antiqua" w:hAnsi="Book Antiqua" w:cs="Arial"/>
        </w:rPr>
        <w:t>J</w:t>
      </w:r>
      <w:r w:rsidR="00420A30" w:rsidRPr="00746E61">
        <w:rPr>
          <w:rFonts w:ascii="Book Antiqua" w:hAnsi="Book Antiqua" w:cs="Arial"/>
        </w:rPr>
        <w:t xml:space="preserve">uzgado </w:t>
      </w:r>
      <w:r w:rsidR="00243F14">
        <w:rPr>
          <w:rFonts w:ascii="Book Antiqua" w:hAnsi="Book Antiqua" w:cs="Arial"/>
        </w:rPr>
        <w:t>P</w:t>
      </w:r>
      <w:r w:rsidR="00420A30" w:rsidRPr="00746E61">
        <w:rPr>
          <w:rFonts w:ascii="Book Antiqua" w:hAnsi="Book Antiqua" w:cs="Arial"/>
        </w:rPr>
        <w:t>enal de Buenos Aires fue quién mostró mayor decrecimiento, a saber 57</w:t>
      </w:r>
      <w:r w:rsidR="00D270C2" w:rsidRPr="00746E61">
        <w:rPr>
          <w:rFonts w:ascii="Book Antiqua" w:hAnsi="Book Antiqua" w:cs="Arial"/>
        </w:rPr>
        <w:t>.</w:t>
      </w:r>
      <w:r w:rsidR="00420A30" w:rsidRPr="00746E61">
        <w:rPr>
          <w:rFonts w:ascii="Book Antiqua" w:hAnsi="Book Antiqua" w:cs="Arial"/>
        </w:rPr>
        <w:t>63% y 27.73% respectivamente.</w:t>
      </w:r>
      <w:r w:rsidR="00BA4BE8">
        <w:rPr>
          <w:rFonts w:ascii="Book Antiqua" w:hAnsi="Book Antiqua" w:cs="Arial"/>
        </w:rPr>
        <w:t xml:space="preserve"> </w:t>
      </w:r>
    </w:p>
    <w:p w14:paraId="4E393B9B" w14:textId="2B416BB8" w:rsidR="000F6D84" w:rsidRPr="00746E61" w:rsidRDefault="000F6D84" w:rsidP="00746E61">
      <w:pPr>
        <w:spacing w:line="276" w:lineRule="auto"/>
        <w:jc w:val="center"/>
        <w:rPr>
          <w:rFonts w:ascii="Book Antiqua" w:hAnsi="Book Antiqua"/>
          <w:b/>
          <w:bCs/>
          <w:lang w:val="es-ES_tradnl" w:eastAsia="en-US"/>
        </w:rPr>
      </w:pPr>
    </w:p>
    <w:p w14:paraId="07CE46F7" w14:textId="03D076C3" w:rsidR="009B5F88" w:rsidRPr="00F17F06" w:rsidRDefault="00F17F06" w:rsidP="00A437F3">
      <w:pPr>
        <w:spacing w:line="276" w:lineRule="auto"/>
        <w:rPr>
          <w:rFonts w:ascii="Book Antiqua" w:hAnsi="Book Antiqua"/>
          <w:lang w:val="es-ES_tradnl" w:eastAsia="en-US"/>
        </w:rPr>
      </w:pPr>
      <w:r w:rsidRPr="00BF7F5F">
        <w:rPr>
          <w:rFonts w:ascii="Book Antiqua" w:hAnsi="Book Antiqua"/>
          <w:lang w:val="es-ES_tradnl" w:eastAsia="en-US"/>
        </w:rPr>
        <w:t>Una de las actividades que también se realiza en la etapa intermedia es la atención de solicitudes, a octubre de 2021 se habían atendido 19666 solicitudes, tal como se detalla en la siguiente figura:</w:t>
      </w:r>
    </w:p>
    <w:p w14:paraId="2DA4C76B" w14:textId="7432B7A7" w:rsidR="00A437F3" w:rsidRPr="00746E61" w:rsidRDefault="00A437F3" w:rsidP="00A437F3">
      <w:pPr>
        <w:spacing w:line="276" w:lineRule="auto"/>
        <w:rPr>
          <w:rFonts w:ascii="Book Antiqua" w:hAnsi="Book Antiqua"/>
          <w:b/>
          <w:bCs/>
          <w:lang w:val="es-ES_tradnl" w:eastAsia="en-US"/>
        </w:rPr>
      </w:pPr>
      <w:r w:rsidRPr="00F17F06">
        <w:rPr>
          <w:rFonts w:ascii="Book Antiqua" w:hAnsi="Book Antiqua"/>
          <w:b/>
          <w:bCs/>
          <w:noProof/>
          <w:highlight w:val="green"/>
          <w:lang w:val="es-ES_tradnl" w:eastAsia="en-US"/>
        </w:rPr>
        <w:drawing>
          <wp:inline distT="0" distB="0" distL="0" distR="0" wp14:anchorId="7B62EE38" wp14:editId="13D64F50">
            <wp:extent cx="5850255" cy="3117215"/>
            <wp:effectExtent l="0" t="0" r="0" b="6985"/>
            <wp:docPr id="47" name="Imagen 47"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descr="Interfaz de usuario gráfica, Aplicación, Tabla&#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50255" cy="3117215"/>
                    </a:xfrm>
                    <a:prstGeom prst="rect">
                      <a:avLst/>
                    </a:prstGeom>
                    <a:noFill/>
                    <a:ln>
                      <a:noFill/>
                    </a:ln>
                  </pic:spPr>
                </pic:pic>
              </a:graphicData>
            </a:graphic>
          </wp:inline>
        </w:drawing>
      </w:r>
    </w:p>
    <w:p w14:paraId="22659441" w14:textId="77777777" w:rsidR="00F17F06" w:rsidRDefault="00F17F06" w:rsidP="00F17F06">
      <w:pPr>
        <w:pStyle w:val="Prrafodelista"/>
        <w:spacing w:line="276" w:lineRule="auto"/>
        <w:ind w:left="1080"/>
        <w:outlineLvl w:val="2"/>
        <w:rPr>
          <w:rFonts w:ascii="Book Antiqua" w:hAnsi="Book Antiqua"/>
          <w:b/>
          <w:bCs/>
          <w:lang w:val="es-ES_tradnl" w:eastAsia="en-US"/>
        </w:rPr>
      </w:pPr>
    </w:p>
    <w:p w14:paraId="2C4C4E52" w14:textId="4D6E9AA3" w:rsidR="000236C5" w:rsidRPr="00746E61" w:rsidRDefault="0CEBAF1A" w:rsidP="57A79FF7">
      <w:pPr>
        <w:spacing w:line="276" w:lineRule="auto"/>
        <w:outlineLvl w:val="2"/>
        <w:rPr>
          <w:b/>
          <w:lang w:val="es-ES" w:eastAsia="en-US"/>
        </w:rPr>
      </w:pPr>
      <w:r w:rsidRPr="57A79FF7">
        <w:rPr>
          <w:rFonts w:ascii="Book Antiqua" w:hAnsi="Book Antiqua"/>
          <w:b/>
          <w:bCs/>
          <w:lang w:val="es-ES" w:eastAsia="en-US"/>
        </w:rPr>
        <w:t xml:space="preserve">3.1.2 </w:t>
      </w:r>
      <w:r w:rsidR="000236C5" w:rsidRPr="57A79FF7">
        <w:rPr>
          <w:rFonts w:ascii="Book Antiqua" w:hAnsi="Book Antiqua"/>
          <w:b/>
          <w:lang w:val="es-ES" w:eastAsia="en-US"/>
        </w:rPr>
        <w:t>Asuntos terminados</w:t>
      </w:r>
    </w:p>
    <w:p w14:paraId="06656896" w14:textId="77777777" w:rsidR="000236C5" w:rsidRPr="00746E61" w:rsidRDefault="000236C5" w:rsidP="00746E61">
      <w:pPr>
        <w:spacing w:line="276" w:lineRule="auto"/>
        <w:rPr>
          <w:rFonts w:ascii="Book Antiqua" w:hAnsi="Book Antiqua"/>
          <w:b/>
          <w:bCs/>
          <w:highlight w:val="yellow"/>
          <w:lang w:val="es-ES_tradnl" w:eastAsia="en-US"/>
        </w:rPr>
      </w:pPr>
    </w:p>
    <w:p w14:paraId="1C9DEEE4" w14:textId="6F03677C" w:rsidR="000F6D84" w:rsidRPr="00746E61" w:rsidRDefault="000F6D84" w:rsidP="00746E61">
      <w:pPr>
        <w:widowControl w:val="0"/>
        <w:autoSpaceDE w:val="0"/>
        <w:spacing w:line="276" w:lineRule="auto"/>
        <w:ind w:right="51"/>
        <w:jc w:val="both"/>
        <w:rPr>
          <w:rFonts w:ascii="Book Antiqua" w:hAnsi="Book Antiqua" w:cs="Arial"/>
        </w:rPr>
      </w:pPr>
      <w:bookmarkStart w:id="8" w:name="_Hlk87885648"/>
      <w:r w:rsidRPr="00746E61">
        <w:rPr>
          <w:rFonts w:ascii="Book Antiqua" w:hAnsi="Book Antiqua" w:cs="Arial"/>
        </w:rPr>
        <w:t xml:space="preserve">Del análisis de los asuntos finalizados </w:t>
      </w:r>
      <w:r w:rsidR="00204BD7" w:rsidRPr="00746E61">
        <w:rPr>
          <w:rFonts w:ascii="Book Antiqua" w:hAnsi="Book Antiqua" w:cs="Arial"/>
        </w:rPr>
        <w:t xml:space="preserve">se obtuvo a nivel general, una leve disminución del 1.21% contra el 2019, no </w:t>
      </w:r>
      <w:r w:rsidR="004F02C0" w:rsidRPr="00746E61">
        <w:rPr>
          <w:rFonts w:ascii="Book Antiqua" w:hAnsi="Book Antiqua" w:cs="Arial"/>
        </w:rPr>
        <w:t>obstante,</w:t>
      </w:r>
      <w:r w:rsidR="00204BD7" w:rsidRPr="00746E61">
        <w:rPr>
          <w:rFonts w:ascii="Book Antiqua" w:hAnsi="Book Antiqua" w:cs="Arial"/>
        </w:rPr>
        <w:t xml:space="preserve"> un alza del 9.40% versus el año 2020.</w:t>
      </w:r>
    </w:p>
    <w:bookmarkEnd w:id="8"/>
    <w:p w14:paraId="2DD3AACD" w14:textId="28128D41" w:rsidR="000236C5" w:rsidRPr="00746E61" w:rsidRDefault="000236C5" w:rsidP="00746E61">
      <w:pPr>
        <w:spacing w:line="276" w:lineRule="auto"/>
        <w:jc w:val="center"/>
        <w:rPr>
          <w:rFonts w:ascii="Book Antiqua" w:hAnsi="Book Antiqua"/>
          <w:b/>
          <w:bCs/>
          <w:lang w:val="es-ES_tradnl" w:eastAsia="en-US"/>
        </w:rPr>
      </w:pPr>
    </w:p>
    <w:p w14:paraId="25252952" w14:textId="2898B21C" w:rsidR="000236C5" w:rsidRPr="00746E61" w:rsidRDefault="000236C5" w:rsidP="00746E61">
      <w:pPr>
        <w:spacing w:line="276" w:lineRule="auto"/>
        <w:jc w:val="both"/>
        <w:rPr>
          <w:rFonts w:ascii="Book Antiqua" w:hAnsi="Book Antiqua" w:cs="Arial"/>
        </w:rPr>
      </w:pPr>
      <w:r w:rsidRPr="00746E61">
        <w:rPr>
          <w:rFonts w:ascii="Book Antiqua" w:hAnsi="Book Antiqua" w:cs="Arial"/>
        </w:rPr>
        <w:t xml:space="preserve">Seguidamente, en el </w:t>
      </w:r>
      <w:r w:rsidRPr="00746E61">
        <w:rPr>
          <w:rFonts w:ascii="Book Antiqua" w:hAnsi="Book Antiqua" w:cs="Arial"/>
          <w:b/>
          <w:bCs/>
        </w:rPr>
        <w:t>Cuadro 14,</w:t>
      </w:r>
      <w:r w:rsidRPr="00746E61">
        <w:rPr>
          <w:rFonts w:ascii="Book Antiqua" w:hAnsi="Book Antiqua" w:cs="Arial"/>
        </w:rPr>
        <w:t xml:space="preserve"> se registran los datos mencionados.</w:t>
      </w:r>
    </w:p>
    <w:p w14:paraId="59FA1310" w14:textId="77777777" w:rsidR="000236C5" w:rsidRPr="00746E61" w:rsidRDefault="000236C5" w:rsidP="00746E61">
      <w:pPr>
        <w:spacing w:line="276" w:lineRule="auto"/>
        <w:jc w:val="both"/>
        <w:rPr>
          <w:rFonts w:ascii="Book Antiqua" w:hAnsi="Book Antiqua" w:cs="Arial"/>
        </w:rPr>
      </w:pPr>
    </w:p>
    <w:p w14:paraId="69BA3064" w14:textId="28E8DD22" w:rsidR="000236C5" w:rsidRPr="00746E61" w:rsidRDefault="000236C5" w:rsidP="00746E61">
      <w:pPr>
        <w:widowControl w:val="0"/>
        <w:autoSpaceDE w:val="0"/>
        <w:spacing w:line="276" w:lineRule="auto"/>
        <w:ind w:right="51"/>
        <w:jc w:val="center"/>
        <w:rPr>
          <w:rFonts w:ascii="Book Antiqua" w:hAnsi="Book Antiqua" w:cs="Arial"/>
          <w:b/>
          <w:bCs/>
        </w:rPr>
      </w:pPr>
      <w:r w:rsidRPr="00746E61">
        <w:rPr>
          <w:rFonts w:ascii="Book Antiqua" w:hAnsi="Book Antiqua" w:cs="Arial"/>
          <w:b/>
          <w:bCs/>
        </w:rPr>
        <w:t>Cuadro 14</w:t>
      </w:r>
    </w:p>
    <w:p w14:paraId="26DF5588" w14:textId="63293442" w:rsidR="000236C5" w:rsidRPr="00746E61" w:rsidRDefault="000236C5" w:rsidP="00746E61">
      <w:pPr>
        <w:widowControl w:val="0"/>
        <w:autoSpaceDE w:val="0"/>
        <w:spacing w:line="276" w:lineRule="auto"/>
        <w:ind w:right="51"/>
        <w:jc w:val="center"/>
        <w:rPr>
          <w:rFonts w:ascii="Book Antiqua" w:hAnsi="Book Antiqua" w:cs="Arial"/>
        </w:rPr>
      </w:pPr>
      <w:r w:rsidRPr="00746E61">
        <w:rPr>
          <w:rFonts w:ascii="Book Antiqua" w:hAnsi="Book Antiqua" w:cs="Arial"/>
        </w:rPr>
        <w:t>Promedio mensual de asuntos terminados en los Juzgados Penales</w:t>
      </w:r>
    </w:p>
    <w:p w14:paraId="6AC1BAB9" w14:textId="518CB0F4" w:rsidR="000236C5" w:rsidRPr="00746E61" w:rsidRDefault="000236C5" w:rsidP="00746E61">
      <w:pPr>
        <w:widowControl w:val="0"/>
        <w:autoSpaceDE w:val="0"/>
        <w:spacing w:line="276" w:lineRule="auto"/>
        <w:ind w:right="51"/>
        <w:jc w:val="center"/>
        <w:rPr>
          <w:rFonts w:ascii="Book Antiqua" w:hAnsi="Book Antiqua" w:cs="Arial"/>
        </w:rPr>
      </w:pPr>
      <w:r w:rsidRPr="00746E61">
        <w:rPr>
          <w:rFonts w:ascii="Book Antiqua" w:hAnsi="Book Antiqua" w:cs="Arial"/>
        </w:rPr>
        <w:t xml:space="preserve">entre el periodo comprendido de enero 2019 a </w:t>
      </w:r>
      <w:r w:rsidR="003D0919" w:rsidRPr="00746E61">
        <w:rPr>
          <w:rFonts w:ascii="Book Antiqua" w:hAnsi="Book Antiqua" w:cs="Arial"/>
        </w:rPr>
        <w:t>setiembre</w:t>
      </w:r>
      <w:r w:rsidRPr="00746E61">
        <w:rPr>
          <w:rFonts w:ascii="Book Antiqua" w:hAnsi="Book Antiqua" w:cs="Arial"/>
        </w:rPr>
        <w:t xml:space="preserve"> de 2021</w:t>
      </w:r>
    </w:p>
    <w:tbl>
      <w:tblPr>
        <w:tblW w:w="10177" w:type="dxa"/>
        <w:jc w:val="center"/>
        <w:tblCellMar>
          <w:left w:w="70" w:type="dxa"/>
          <w:right w:w="70" w:type="dxa"/>
        </w:tblCellMar>
        <w:tblLook w:val="04A0" w:firstRow="1" w:lastRow="0" w:firstColumn="1" w:lastColumn="0" w:noHBand="0" w:noVBand="1"/>
      </w:tblPr>
      <w:tblGrid>
        <w:gridCol w:w="3307"/>
        <w:gridCol w:w="1129"/>
        <w:gridCol w:w="1129"/>
        <w:gridCol w:w="1020"/>
        <w:gridCol w:w="1796"/>
        <w:gridCol w:w="1796"/>
      </w:tblGrid>
      <w:tr w:rsidR="003011FF" w:rsidRPr="00746E61" w14:paraId="20DE55B0" w14:textId="77777777" w:rsidTr="003011FF">
        <w:trPr>
          <w:trHeight w:val="841"/>
          <w:jc w:val="center"/>
        </w:trPr>
        <w:tc>
          <w:tcPr>
            <w:tcW w:w="3307"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74F3CBA6" w14:textId="77777777" w:rsidR="003011FF" w:rsidRPr="00746E61" w:rsidRDefault="003011FF" w:rsidP="00746E61">
            <w:pPr>
              <w:spacing w:line="276" w:lineRule="auto"/>
              <w:jc w:val="center"/>
              <w:rPr>
                <w:rFonts w:ascii="Book Antiqua" w:hAnsi="Book Antiqua" w:cs="Calibri"/>
                <w:b/>
                <w:bCs/>
                <w:color w:val="FFFFFF"/>
                <w:sz w:val="16"/>
                <w:szCs w:val="16"/>
                <w:lang w:eastAsia="es-CR"/>
              </w:rPr>
            </w:pPr>
            <w:r w:rsidRPr="00746E61">
              <w:rPr>
                <w:rFonts w:ascii="Book Antiqua" w:hAnsi="Book Antiqua" w:cs="Calibri"/>
                <w:b/>
                <w:bCs/>
                <w:color w:val="FFFFFF"/>
                <w:sz w:val="16"/>
                <w:szCs w:val="16"/>
                <w:lang w:eastAsia="es-CR"/>
              </w:rPr>
              <w:t>Despachos</w:t>
            </w:r>
          </w:p>
        </w:tc>
        <w:tc>
          <w:tcPr>
            <w:tcW w:w="1129" w:type="dxa"/>
            <w:tcBorders>
              <w:top w:val="single" w:sz="4" w:space="0" w:color="auto"/>
              <w:left w:val="nil"/>
              <w:bottom w:val="single" w:sz="4" w:space="0" w:color="auto"/>
              <w:right w:val="single" w:sz="4" w:space="0" w:color="auto"/>
            </w:tcBorders>
            <w:shd w:val="clear" w:color="000000" w:fill="305496"/>
            <w:vAlign w:val="center"/>
            <w:hideMark/>
          </w:tcPr>
          <w:p w14:paraId="47D89E3C" w14:textId="77777777" w:rsidR="003011FF" w:rsidRPr="00746E61" w:rsidRDefault="003011FF" w:rsidP="00746E61">
            <w:pPr>
              <w:spacing w:line="276" w:lineRule="auto"/>
              <w:jc w:val="center"/>
              <w:rPr>
                <w:rFonts w:ascii="Book Antiqua" w:hAnsi="Book Antiqua" w:cs="Calibri"/>
                <w:b/>
                <w:bCs/>
                <w:color w:val="FFFFFF"/>
                <w:sz w:val="16"/>
                <w:szCs w:val="16"/>
                <w:lang w:eastAsia="es-CR"/>
              </w:rPr>
            </w:pPr>
            <w:r w:rsidRPr="00746E61">
              <w:rPr>
                <w:rFonts w:ascii="Book Antiqua" w:hAnsi="Book Antiqua" w:cs="Calibri"/>
                <w:b/>
                <w:bCs/>
                <w:color w:val="FFFFFF"/>
                <w:sz w:val="16"/>
                <w:szCs w:val="16"/>
                <w:lang w:eastAsia="es-CR"/>
              </w:rPr>
              <w:t>Promedio mensual de Terminados 2019</w:t>
            </w:r>
          </w:p>
        </w:tc>
        <w:tc>
          <w:tcPr>
            <w:tcW w:w="1129" w:type="dxa"/>
            <w:tcBorders>
              <w:top w:val="single" w:sz="4" w:space="0" w:color="auto"/>
              <w:left w:val="nil"/>
              <w:bottom w:val="single" w:sz="4" w:space="0" w:color="auto"/>
              <w:right w:val="single" w:sz="4" w:space="0" w:color="auto"/>
            </w:tcBorders>
            <w:shd w:val="clear" w:color="000000" w:fill="305496"/>
            <w:vAlign w:val="center"/>
            <w:hideMark/>
          </w:tcPr>
          <w:p w14:paraId="5C3B323F" w14:textId="77777777" w:rsidR="003011FF" w:rsidRPr="00746E61" w:rsidRDefault="003011FF" w:rsidP="00746E61">
            <w:pPr>
              <w:spacing w:line="276" w:lineRule="auto"/>
              <w:jc w:val="center"/>
              <w:rPr>
                <w:rFonts w:ascii="Book Antiqua" w:hAnsi="Book Antiqua" w:cs="Calibri"/>
                <w:b/>
                <w:bCs/>
                <w:color w:val="FFFFFF"/>
                <w:sz w:val="16"/>
                <w:szCs w:val="16"/>
                <w:lang w:eastAsia="es-CR"/>
              </w:rPr>
            </w:pPr>
            <w:r w:rsidRPr="00746E61">
              <w:rPr>
                <w:rFonts w:ascii="Book Antiqua" w:hAnsi="Book Antiqua" w:cs="Calibri"/>
                <w:b/>
                <w:bCs/>
                <w:color w:val="FFFFFF"/>
                <w:sz w:val="16"/>
                <w:szCs w:val="16"/>
                <w:lang w:eastAsia="es-CR"/>
              </w:rPr>
              <w:t>Promedio mensual de Terminados 2020</w:t>
            </w:r>
          </w:p>
        </w:tc>
        <w:tc>
          <w:tcPr>
            <w:tcW w:w="1020" w:type="dxa"/>
            <w:tcBorders>
              <w:top w:val="single" w:sz="4" w:space="0" w:color="auto"/>
              <w:left w:val="nil"/>
              <w:bottom w:val="single" w:sz="4" w:space="0" w:color="auto"/>
              <w:right w:val="single" w:sz="4" w:space="0" w:color="auto"/>
            </w:tcBorders>
            <w:shd w:val="clear" w:color="000000" w:fill="305496"/>
            <w:vAlign w:val="center"/>
            <w:hideMark/>
          </w:tcPr>
          <w:p w14:paraId="66037B8B" w14:textId="77777777" w:rsidR="003011FF" w:rsidRPr="00746E61" w:rsidRDefault="003011FF" w:rsidP="00746E61">
            <w:pPr>
              <w:spacing w:line="276" w:lineRule="auto"/>
              <w:jc w:val="center"/>
              <w:rPr>
                <w:rFonts w:ascii="Book Antiqua" w:hAnsi="Book Antiqua" w:cs="Calibri"/>
                <w:b/>
                <w:bCs/>
                <w:color w:val="FFFFFF"/>
                <w:sz w:val="16"/>
                <w:szCs w:val="16"/>
                <w:lang w:eastAsia="es-CR"/>
              </w:rPr>
            </w:pPr>
            <w:r w:rsidRPr="00746E61">
              <w:rPr>
                <w:rFonts w:ascii="Book Antiqua" w:hAnsi="Book Antiqua" w:cs="Calibri"/>
                <w:b/>
                <w:bCs/>
                <w:color w:val="FFFFFF"/>
                <w:sz w:val="16"/>
                <w:szCs w:val="16"/>
                <w:lang w:eastAsia="es-CR"/>
              </w:rPr>
              <w:t>Promedio mensual de Terminados 2021</w:t>
            </w:r>
          </w:p>
        </w:tc>
        <w:tc>
          <w:tcPr>
            <w:tcW w:w="1796" w:type="dxa"/>
            <w:tcBorders>
              <w:top w:val="single" w:sz="4" w:space="0" w:color="auto"/>
              <w:left w:val="nil"/>
              <w:bottom w:val="single" w:sz="4" w:space="0" w:color="auto"/>
              <w:right w:val="single" w:sz="4" w:space="0" w:color="auto"/>
            </w:tcBorders>
            <w:shd w:val="clear" w:color="000000" w:fill="DDEBF7"/>
            <w:vAlign w:val="center"/>
            <w:hideMark/>
          </w:tcPr>
          <w:p w14:paraId="2EA7697A" w14:textId="77777777" w:rsidR="003011FF" w:rsidRPr="00746E61" w:rsidRDefault="003011FF" w:rsidP="00746E61">
            <w:pPr>
              <w:spacing w:line="276" w:lineRule="auto"/>
              <w:jc w:val="center"/>
              <w:rPr>
                <w:rFonts w:ascii="Book Antiqua" w:hAnsi="Book Antiqua" w:cs="Calibri"/>
                <w:b/>
                <w:bCs/>
                <w:color w:val="3A3838"/>
                <w:sz w:val="16"/>
                <w:szCs w:val="16"/>
                <w:lang w:eastAsia="es-CR"/>
              </w:rPr>
            </w:pPr>
            <w:r w:rsidRPr="00746E61">
              <w:rPr>
                <w:rFonts w:ascii="Book Antiqua" w:hAnsi="Book Antiqua" w:cs="Calibri"/>
                <w:b/>
                <w:bCs/>
                <w:color w:val="3A3838"/>
                <w:sz w:val="16"/>
                <w:szCs w:val="16"/>
                <w:lang w:eastAsia="es-CR"/>
              </w:rPr>
              <w:t>Aumento/disminución 2021vs2019</w:t>
            </w:r>
          </w:p>
        </w:tc>
        <w:tc>
          <w:tcPr>
            <w:tcW w:w="1796" w:type="dxa"/>
            <w:tcBorders>
              <w:top w:val="single" w:sz="4" w:space="0" w:color="auto"/>
              <w:left w:val="nil"/>
              <w:bottom w:val="single" w:sz="4" w:space="0" w:color="auto"/>
              <w:right w:val="single" w:sz="4" w:space="0" w:color="auto"/>
            </w:tcBorders>
            <w:shd w:val="clear" w:color="000000" w:fill="DDEBF7"/>
            <w:vAlign w:val="center"/>
            <w:hideMark/>
          </w:tcPr>
          <w:p w14:paraId="678628F6" w14:textId="77777777" w:rsidR="003011FF" w:rsidRPr="00746E61" w:rsidRDefault="003011FF" w:rsidP="00746E61">
            <w:pPr>
              <w:spacing w:line="276" w:lineRule="auto"/>
              <w:jc w:val="center"/>
              <w:rPr>
                <w:rFonts w:ascii="Book Antiqua" w:hAnsi="Book Antiqua" w:cs="Calibri"/>
                <w:b/>
                <w:bCs/>
                <w:color w:val="3A3838"/>
                <w:sz w:val="16"/>
                <w:szCs w:val="16"/>
                <w:lang w:eastAsia="es-CR"/>
              </w:rPr>
            </w:pPr>
            <w:r w:rsidRPr="00746E61">
              <w:rPr>
                <w:rFonts w:ascii="Book Antiqua" w:hAnsi="Book Antiqua" w:cs="Calibri"/>
                <w:b/>
                <w:bCs/>
                <w:color w:val="3A3838"/>
                <w:sz w:val="16"/>
                <w:szCs w:val="16"/>
                <w:lang w:eastAsia="es-CR"/>
              </w:rPr>
              <w:t>Aumento/disminución 2021vs2020</w:t>
            </w:r>
          </w:p>
        </w:tc>
      </w:tr>
      <w:tr w:rsidR="003011FF" w:rsidRPr="00746E61" w14:paraId="2F8B5CB0" w14:textId="77777777" w:rsidTr="003011FF">
        <w:trPr>
          <w:trHeight w:val="248"/>
          <w:jc w:val="center"/>
        </w:trPr>
        <w:tc>
          <w:tcPr>
            <w:tcW w:w="3307"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C89FF22" w14:textId="77777777" w:rsidR="003011FF" w:rsidRPr="00746E61" w:rsidRDefault="003011FF"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Osa</w:t>
            </w:r>
          </w:p>
        </w:tc>
        <w:tc>
          <w:tcPr>
            <w:tcW w:w="1129" w:type="dxa"/>
            <w:tcBorders>
              <w:top w:val="nil"/>
              <w:left w:val="nil"/>
              <w:bottom w:val="single" w:sz="4" w:space="0" w:color="auto"/>
              <w:right w:val="single" w:sz="4" w:space="0" w:color="auto"/>
            </w:tcBorders>
            <w:shd w:val="clear" w:color="auto" w:fill="F2F2F2" w:themeFill="background1" w:themeFillShade="F2"/>
            <w:noWrap/>
            <w:vAlign w:val="center"/>
            <w:hideMark/>
          </w:tcPr>
          <w:p w14:paraId="250D65B0"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135</w:t>
            </w:r>
          </w:p>
        </w:tc>
        <w:tc>
          <w:tcPr>
            <w:tcW w:w="1129" w:type="dxa"/>
            <w:tcBorders>
              <w:top w:val="nil"/>
              <w:left w:val="nil"/>
              <w:bottom w:val="single" w:sz="4" w:space="0" w:color="auto"/>
              <w:right w:val="single" w:sz="4" w:space="0" w:color="auto"/>
            </w:tcBorders>
            <w:shd w:val="clear" w:color="auto" w:fill="F2F2F2" w:themeFill="background1" w:themeFillShade="F2"/>
            <w:noWrap/>
            <w:vAlign w:val="center"/>
            <w:hideMark/>
          </w:tcPr>
          <w:p w14:paraId="0E02DC78"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76</w:t>
            </w:r>
          </w:p>
        </w:tc>
        <w:tc>
          <w:tcPr>
            <w:tcW w:w="1020" w:type="dxa"/>
            <w:tcBorders>
              <w:top w:val="nil"/>
              <w:left w:val="nil"/>
              <w:bottom w:val="single" w:sz="4" w:space="0" w:color="auto"/>
              <w:right w:val="single" w:sz="4" w:space="0" w:color="auto"/>
            </w:tcBorders>
            <w:shd w:val="clear" w:color="auto" w:fill="F2F2F2" w:themeFill="background1" w:themeFillShade="F2"/>
            <w:noWrap/>
            <w:vAlign w:val="center"/>
            <w:hideMark/>
          </w:tcPr>
          <w:p w14:paraId="1ED09EAB"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202</w:t>
            </w:r>
          </w:p>
        </w:tc>
        <w:tc>
          <w:tcPr>
            <w:tcW w:w="1796" w:type="dxa"/>
            <w:tcBorders>
              <w:top w:val="nil"/>
              <w:left w:val="nil"/>
              <w:bottom w:val="single" w:sz="4" w:space="0" w:color="auto"/>
              <w:right w:val="single" w:sz="4" w:space="0" w:color="auto"/>
            </w:tcBorders>
            <w:shd w:val="clear" w:color="auto" w:fill="F2F2F2" w:themeFill="background1" w:themeFillShade="F2"/>
            <w:vAlign w:val="center"/>
            <w:hideMark/>
          </w:tcPr>
          <w:p w14:paraId="4463CD01" w14:textId="77777777" w:rsidR="003011FF" w:rsidRPr="00746E61" w:rsidRDefault="003011F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49,98%</w:t>
            </w:r>
          </w:p>
        </w:tc>
        <w:tc>
          <w:tcPr>
            <w:tcW w:w="1796" w:type="dxa"/>
            <w:tcBorders>
              <w:top w:val="nil"/>
              <w:left w:val="nil"/>
              <w:bottom w:val="single" w:sz="4" w:space="0" w:color="auto"/>
              <w:right w:val="single" w:sz="4" w:space="0" w:color="auto"/>
            </w:tcBorders>
            <w:shd w:val="clear" w:color="auto" w:fill="F2F2F2" w:themeFill="background1" w:themeFillShade="F2"/>
            <w:vAlign w:val="center"/>
            <w:hideMark/>
          </w:tcPr>
          <w:p w14:paraId="43BC72C2" w14:textId="77777777" w:rsidR="003011FF" w:rsidRPr="00746E61" w:rsidRDefault="003011F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166,10%</w:t>
            </w:r>
          </w:p>
        </w:tc>
      </w:tr>
      <w:tr w:rsidR="003011FF" w:rsidRPr="00746E61" w14:paraId="4DB5ABAA" w14:textId="77777777" w:rsidTr="003011FF">
        <w:trPr>
          <w:trHeight w:val="248"/>
          <w:jc w:val="center"/>
        </w:trPr>
        <w:tc>
          <w:tcPr>
            <w:tcW w:w="3307" w:type="dxa"/>
            <w:tcBorders>
              <w:top w:val="nil"/>
              <w:left w:val="single" w:sz="4" w:space="0" w:color="auto"/>
              <w:bottom w:val="single" w:sz="4" w:space="0" w:color="auto"/>
              <w:right w:val="single" w:sz="4" w:space="0" w:color="auto"/>
            </w:tcBorders>
            <w:shd w:val="clear" w:color="auto" w:fill="auto"/>
            <w:noWrap/>
            <w:vAlign w:val="center"/>
            <w:hideMark/>
          </w:tcPr>
          <w:p w14:paraId="106F881C" w14:textId="77777777" w:rsidR="003011FF" w:rsidRPr="00746E61" w:rsidRDefault="003011FF"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 xml:space="preserve">Juzgado Penal de Desamparados </w:t>
            </w:r>
          </w:p>
        </w:tc>
        <w:tc>
          <w:tcPr>
            <w:tcW w:w="1129" w:type="dxa"/>
            <w:tcBorders>
              <w:top w:val="nil"/>
              <w:left w:val="nil"/>
              <w:bottom w:val="single" w:sz="4" w:space="0" w:color="auto"/>
              <w:right w:val="single" w:sz="4" w:space="0" w:color="auto"/>
            </w:tcBorders>
            <w:shd w:val="clear" w:color="auto" w:fill="auto"/>
            <w:noWrap/>
            <w:vAlign w:val="center"/>
            <w:hideMark/>
          </w:tcPr>
          <w:p w14:paraId="21C5482E"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359</w:t>
            </w:r>
          </w:p>
        </w:tc>
        <w:tc>
          <w:tcPr>
            <w:tcW w:w="1129" w:type="dxa"/>
            <w:tcBorders>
              <w:top w:val="nil"/>
              <w:left w:val="nil"/>
              <w:bottom w:val="single" w:sz="4" w:space="0" w:color="auto"/>
              <w:right w:val="single" w:sz="4" w:space="0" w:color="auto"/>
            </w:tcBorders>
            <w:shd w:val="clear" w:color="auto" w:fill="auto"/>
            <w:noWrap/>
            <w:vAlign w:val="center"/>
            <w:hideMark/>
          </w:tcPr>
          <w:p w14:paraId="286ED46B"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533</w:t>
            </w:r>
          </w:p>
        </w:tc>
        <w:tc>
          <w:tcPr>
            <w:tcW w:w="1020" w:type="dxa"/>
            <w:tcBorders>
              <w:top w:val="nil"/>
              <w:left w:val="nil"/>
              <w:bottom w:val="single" w:sz="4" w:space="0" w:color="auto"/>
              <w:right w:val="single" w:sz="4" w:space="0" w:color="auto"/>
            </w:tcBorders>
            <w:shd w:val="clear" w:color="auto" w:fill="auto"/>
            <w:noWrap/>
            <w:vAlign w:val="center"/>
            <w:hideMark/>
          </w:tcPr>
          <w:p w14:paraId="3ED7E031"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520</w:t>
            </w:r>
          </w:p>
        </w:tc>
        <w:tc>
          <w:tcPr>
            <w:tcW w:w="1796" w:type="dxa"/>
            <w:tcBorders>
              <w:top w:val="nil"/>
              <w:left w:val="nil"/>
              <w:bottom w:val="single" w:sz="4" w:space="0" w:color="auto"/>
              <w:right w:val="single" w:sz="4" w:space="0" w:color="auto"/>
            </w:tcBorders>
            <w:shd w:val="clear" w:color="auto" w:fill="auto"/>
            <w:vAlign w:val="center"/>
            <w:hideMark/>
          </w:tcPr>
          <w:p w14:paraId="7AC0910A" w14:textId="77777777" w:rsidR="003011FF" w:rsidRPr="00746E61" w:rsidRDefault="003011F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44,88%</w:t>
            </w:r>
          </w:p>
        </w:tc>
        <w:tc>
          <w:tcPr>
            <w:tcW w:w="1796" w:type="dxa"/>
            <w:tcBorders>
              <w:top w:val="nil"/>
              <w:left w:val="nil"/>
              <w:bottom w:val="single" w:sz="4" w:space="0" w:color="auto"/>
              <w:right w:val="single" w:sz="4" w:space="0" w:color="auto"/>
            </w:tcBorders>
            <w:shd w:val="clear" w:color="auto" w:fill="auto"/>
            <w:vAlign w:val="center"/>
            <w:hideMark/>
          </w:tcPr>
          <w:p w14:paraId="48891349" w14:textId="77777777" w:rsidR="003011FF" w:rsidRPr="00746E61" w:rsidRDefault="003011F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-2,49%</w:t>
            </w:r>
          </w:p>
        </w:tc>
      </w:tr>
      <w:tr w:rsidR="003011FF" w:rsidRPr="00746E61" w14:paraId="6CEBC7CB" w14:textId="77777777" w:rsidTr="003011FF">
        <w:trPr>
          <w:trHeight w:val="248"/>
          <w:jc w:val="center"/>
        </w:trPr>
        <w:tc>
          <w:tcPr>
            <w:tcW w:w="3307" w:type="dxa"/>
            <w:tcBorders>
              <w:top w:val="nil"/>
              <w:left w:val="single" w:sz="4" w:space="0" w:color="auto"/>
              <w:bottom w:val="single" w:sz="4" w:space="0" w:color="auto"/>
              <w:right w:val="single" w:sz="4" w:space="0" w:color="auto"/>
            </w:tcBorders>
            <w:shd w:val="clear" w:color="auto" w:fill="auto"/>
            <w:noWrap/>
            <w:vAlign w:val="center"/>
            <w:hideMark/>
          </w:tcPr>
          <w:p w14:paraId="4D8771EC" w14:textId="77777777" w:rsidR="003011FF" w:rsidRPr="00746E61" w:rsidRDefault="003011FF"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Upala</w:t>
            </w:r>
          </w:p>
        </w:tc>
        <w:tc>
          <w:tcPr>
            <w:tcW w:w="1129" w:type="dxa"/>
            <w:tcBorders>
              <w:top w:val="nil"/>
              <w:left w:val="nil"/>
              <w:bottom w:val="single" w:sz="4" w:space="0" w:color="auto"/>
              <w:right w:val="single" w:sz="4" w:space="0" w:color="auto"/>
            </w:tcBorders>
            <w:shd w:val="clear" w:color="auto" w:fill="auto"/>
            <w:noWrap/>
            <w:vAlign w:val="center"/>
            <w:hideMark/>
          </w:tcPr>
          <w:p w14:paraId="602A4A6B"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143</w:t>
            </w:r>
          </w:p>
        </w:tc>
        <w:tc>
          <w:tcPr>
            <w:tcW w:w="1129" w:type="dxa"/>
            <w:tcBorders>
              <w:top w:val="nil"/>
              <w:left w:val="nil"/>
              <w:bottom w:val="single" w:sz="4" w:space="0" w:color="auto"/>
              <w:right w:val="single" w:sz="4" w:space="0" w:color="auto"/>
            </w:tcBorders>
            <w:shd w:val="clear" w:color="auto" w:fill="auto"/>
            <w:noWrap/>
            <w:vAlign w:val="center"/>
            <w:hideMark/>
          </w:tcPr>
          <w:p w14:paraId="5175C2FC"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147</w:t>
            </w:r>
          </w:p>
        </w:tc>
        <w:tc>
          <w:tcPr>
            <w:tcW w:w="1020" w:type="dxa"/>
            <w:tcBorders>
              <w:top w:val="nil"/>
              <w:left w:val="nil"/>
              <w:bottom w:val="single" w:sz="4" w:space="0" w:color="auto"/>
              <w:right w:val="single" w:sz="4" w:space="0" w:color="auto"/>
            </w:tcBorders>
            <w:shd w:val="clear" w:color="auto" w:fill="auto"/>
            <w:noWrap/>
            <w:vAlign w:val="center"/>
            <w:hideMark/>
          </w:tcPr>
          <w:p w14:paraId="2DC62EC4"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199</w:t>
            </w:r>
          </w:p>
        </w:tc>
        <w:tc>
          <w:tcPr>
            <w:tcW w:w="1796" w:type="dxa"/>
            <w:tcBorders>
              <w:top w:val="nil"/>
              <w:left w:val="nil"/>
              <w:bottom w:val="single" w:sz="4" w:space="0" w:color="auto"/>
              <w:right w:val="single" w:sz="4" w:space="0" w:color="auto"/>
            </w:tcBorders>
            <w:shd w:val="clear" w:color="auto" w:fill="auto"/>
            <w:vAlign w:val="center"/>
            <w:hideMark/>
          </w:tcPr>
          <w:p w14:paraId="26FCDA4A" w14:textId="77777777" w:rsidR="003011FF" w:rsidRPr="00746E61" w:rsidRDefault="003011F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39,78%</w:t>
            </w:r>
          </w:p>
        </w:tc>
        <w:tc>
          <w:tcPr>
            <w:tcW w:w="1796" w:type="dxa"/>
            <w:tcBorders>
              <w:top w:val="nil"/>
              <w:left w:val="nil"/>
              <w:bottom w:val="single" w:sz="4" w:space="0" w:color="auto"/>
              <w:right w:val="single" w:sz="4" w:space="0" w:color="auto"/>
            </w:tcBorders>
            <w:shd w:val="clear" w:color="auto" w:fill="auto"/>
            <w:vAlign w:val="center"/>
            <w:hideMark/>
          </w:tcPr>
          <w:p w14:paraId="4D4F0E7E" w14:textId="77777777" w:rsidR="003011FF" w:rsidRPr="00746E61" w:rsidRDefault="003011F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35,64%</w:t>
            </w:r>
          </w:p>
        </w:tc>
      </w:tr>
      <w:tr w:rsidR="003011FF" w:rsidRPr="00746E61" w14:paraId="687138AB" w14:textId="77777777" w:rsidTr="003011FF">
        <w:trPr>
          <w:trHeight w:val="248"/>
          <w:jc w:val="center"/>
        </w:trPr>
        <w:tc>
          <w:tcPr>
            <w:tcW w:w="3307" w:type="dxa"/>
            <w:tcBorders>
              <w:top w:val="nil"/>
              <w:left w:val="single" w:sz="4" w:space="0" w:color="auto"/>
              <w:bottom w:val="single" w:sz="4" w:space="0" w:color="auto"/>
              <w:right w:val="single" w:sz="4" w:space="0" w:color="auto"/>
            </w:tcBorders>
            <w:shd w:val="clear" w:color="auto" w:fill="auto"/>
            <w:noWrap/>
            <w:vAlign w:val="center"/>
            <w:hideMark/>
          </w:tcPr>
          <w:p w14:paraId="2C5CB6A6" w14:textId="77777777" w:rsidR="003011FF" w:rsidRPr="00746E61" w:rsidRDefault="003011FF"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Cóbano</w:t>
            </w:r>
          </w:p>
        </w:tc>
        <w:tc>
          <w:tcPr>
            <w:tcW w:w="1129" w:type="dxa"/>
            <w:tcBorders>
              <w:top w:val="nil"/>
              <w:left w:val="nil"/>
              <w:bottom w:val="single" w:sz="4" w:space="0" w:color="auto"/>
              <w:right w:val="single" w:sz="4" w:space="0" w:color="auto"/>
            </w:tcBorders>
            <w:shd w:val="clear" w:color="auto" w:fill="auto"/>
            <w:noWrap/>
            <w:vAlign w:val="center"/>
            <w:hideMark/>
          </w:tcPr>
          <w:p w14:paraId="7BD7DA8A"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39</w:t>
            </w:r>
          </w:p>
        </w:tc>
        <w:tc>
          <w:tcPr>
            <w:tcW w:w="1129" w:type="dxa"/>
            <w:tcBorders>
              <w:top w:val="nil"/>
              <w:left w:val="nil"/>
              <w:bottom w:val="single" w:sz="4" w:space="0" w:color="auto"/>
              <w:right w:val="single" w:sz="4" w:space="0" w:color="auto"/>
            </w:tcBorders>
            <w:shd w:val="clear" w:color="auto" w:fill="auto"/>
            <w:noWrap/>
            <w:vAlign w:val="center"/>
            <w:hideMark/>
          </w:tcPr>
          <w:p w14:paraId="22E7D0FA"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37</w:t>
            </w:r>
          </w:p>
        </w:tc>
        <w:tc>
          <w:tcPr>
            <w:tcW w:w="1020" w:type="dxa"/>
            <w:tcBorders>
              <w:top w:val="nil"/>
              <w:left w:val="nil"/>
              <w:bottom w:val="single" w:sz="4" w:space="0" w:color="auto"/>
              <w:right w:val="single" w:sz="4" w:space="0" w:color="auto"/>
            </w:tcBorders>
            <w:shd w:val="clear" w:color="auto" w:fill="auto"/>
            <w:noWrap/>
            <w:vAlign w:val="center"/>
            <w:hideMark/>
          </w:tcPr>
          <w:p w14:paraId="3248CF94"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54</w:t>
            </w:r>
          </w:p>
        </w:tc>
        <w:tc>
          <w:tcPr>
            <w:tcW w:w="1796" w:type="dxa"/>
            <w:tcBorders>
              <w:top w:val="nil"/>
              <w:left w:val="nil"/>
              <w:bottom w:val="single" w:sz="4" w:space="0" w:color="auto"/>
              <w:right w:val="single" w:sz="4" w:space="0" w:color="auto"/>
            </w:tcBorders>
            <w:shd w:val="clear" w:color="auto" w:fill="auto"/>
            <w:vAlign w:val="center"/>
            <w:hideMark/>
          </w:tcPr>
          <w:p w14:paraId="2E50228E" w14:textId="77777777" w:rsidR="003011FF" w:rsidRPr="00746E61" w:rsidRDefault="003011F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39,64%</w:t>
            </w:r>
          </w:p>
        </w:tc>
        <w:tc>
          <w:tcPr>
            <w:tcW w:w="1796" w:type="dxa"/>
            <w:tcBorders>
              <w:top w:val="nil"/>
              <w:left w:val="nil"/>
              <w:bottom w:val="single" w:sz="4" w:space="0" w:color="auto"/>
              <w:right w:val="single" w:sz="4" w:space="0" w:color="auto"/>
            </w:tcBorders>
            <w:shd w:val="clear" w:color="auto" w:fill="auto"/>
            <w:vAlign w:val="center"/>
            <w:hideMark/>
          </w:tcPr>
          <w:p w14:paraId="534A677E" w14:textId="77777777" w:rsidR="003011FF" w:rsidRPr="00746E61" w:rsidRDefault="003011F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46,35%</w:t>
            </w:r>
          </w:p>
        </w:tc>
      </w:tr>
      <w:tr w:rsidR="003011FF" w:rsidRPr="00746E61" w14:paraId="7364ACC1" w14:textId="77777777" w:rsidTr="003011FF">
        <w:trPr>
          <w:trHeight w:val="248"/>
          <w:jc w:val="center"/>
        </w:trPr>
        <w:tc>
          <w:tcPr>
            <w:tcW w:w="3307" w:type="dxa"/>
            <w:tcBorders>
              <w:top w:val="nil"/>
              <w:left w:val="single" w:sz="4" w:space="0" w:color="auto"/>
              <w:bottom w:val="single" w:sz="4" w:space="0" w:color="auto"/>
              <w:right w:val="single" w:sz="4" w:space="0" w:color="auto"/>
            </w:tcBorders>
            <w:shd w:val="clear" w:color="auto" w:fill="auto"/>
            <w:noWrap/>
            <w:vAlign w:val="center"/>
            <w:hideMark/>
          </w:tcPr>
          <w:p w14:paraId="5A97E78A" w14:textId="77777777" w:rsidR="003011FF" w:rsidRPr="00746E61" w:rsidRDefault="003011FF"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Liberia</w:t>
            </w:r>
          </w:p>
        </w:tc>
        <w:tc>
          <w:tcPr>
            <w:tcW w:w="1129" w:type="dxa"/>
            <w:tcBorders>
              <w:top w:val="nil"/>
              <w:left w:val="nil"/>
              <w:bottom w:val="single" w:sz="4" w:space="0" w:color="auto"/>
              <w:right w:val="single" w:sz="4" w:space="0" w:color="auto"/>
            </w:tcBorders>
            <w:shd w:val="clear" w:color="auto" w:fill="auto"/>
            <w:noWrap/>
            <w:vAlign w:val="center"/>
            <w:hideMark/>
          </w:tcPr>
          <w:p w14:paraId="109A76CC"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264</w:t>
            </w:r>
          </w:p>
        </w:tc>
        <w:tc>
          <w:tcPr>
            <w:tcW w:w="1129" w:type="dxa"/>
            <w:tcBorders>
              <w:top w:val="nil"/>
              <w:left w:val="nil"/>
              <w:bottom w:val="single" w:sz="4" w:space="0" w:color="auto"/>
              <w:right w:val="single" w:sz="4" w:space="0" w:color="auto"/>
            </w:tcBorders>
            <w:shd w:val="clear" w:color="auto" w:fill="auto"/>
            <w:noWrap/>
            <w:vAlign w:val="center"/>
            <w:hideMark/>
          </w:tcPr>
          <w:p w14:paraId="10CC2589"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235</w:t>
            </w:r>
          </w:p>
        </w:tc>
        <w:tc>
          <w:tcPr>
            <w:tcW w:w="1020" w:type="dxa"/>
            <w:tcBorders>
              <w:top w:val="nil"/>
              <w:left w:val="nil"/>
              <w:bottom w:val="single" w:sz="4" w:space="0" w:color="auto"/>
              <w:right w:val="single" w:sz="4" w:space="0" w:color="auto"/>
            </w:tcBorders>
            <w:shd w:val="clear" w:color="auto" w:fill="auto"/>
            <w:noWrap/>
            <w:vAlign w:val="center"/>
            <w:hideMark/>
          </w:tcPr>
          <w:p w14:paraId="02C8BFCE"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340</w:t>
            </w:r>
          </w:p>
        </w:tc>
        <w:tc>
          <w:tcPr>
            <w:tcW w:w="1796" w:type="dxa"/>
            <w:tcBorders>
              <w:top w:val="nil"/>
              <w:left w:val="nil"/>
              <w:bottom w:val="single" w:sz="4" w:space="0" w:color="auto"/>
              <w:right w:val="single" w:sz="4" w:space="0" w:color="auto"/>
            </w:tcBorders>
            <w:shd w:val="clear" w:color="auto" w:fill="auto"/>
            <w:vAlign w:val="center"/>
            <w:hideMark/>
          </w:tcPr>
          <w:p w14:paraId="6A72FCCD" w14:textId="77777777" w:rsidR="003011FF" w:rsidRPr="00746E61" w:rsidRDefault="003011F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28,70%</w:t>
            </w:r>
          </w:p>
        </w:tc>
        <w:tc>
          <w:tcPr>
            <w:tcW w:w="1796" w:type="dxa"/>
            <w:tcBorders>
              <w:top w:val="nil"/>
              <w:left w:val="nil"/>
              <w:bottom w:val="single" w:sz="4" w:space="0" w:color="auto"/>
              <w:right w:val="single" w:sz="4" w:space="0" w:color="auto"/>
            </w:tcBorders>
            <w:shd w:val="clear" w:color="auto" w:fill="auto"/>
            <w:vAlign w:val="center"/>
            <w:hideMark/>
          </w:tcPr>
          <w:p w14:paraId="585942CE" w14:textId="77777777" w:rsidR="003011FF" w:rsidRPr="00746E61" w:rsidRDefault="003011F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44,94%</w:t>
            </w:r>
          </w:p>
        </w:tc>
      </w:tr>
      <w:tr w:rsidR="003011FF" w:rsidRPr="00746E61" w14:paraId="18534627" w14:textId="77777777" w:rsidTr="003011FF">
        <w:trPr>
          <w:trHeight w:val="248"/>
          <w:jc w:val="center"/>
        </w:trPr>
        <w:tc>
          <w:tcPr>
            <w:tcW w:w="3307" w:type="dxa"/>
            <w:tcBorders>
              <w:top w:val="nil"/>
              <w:left w:val="single" w:sz="4" w:space="0" w:color="auto"/>
              <w:bottom w:val="single" w:sz="4" w:space="0" w:color="auto"/>
              <w:right w:val="single" w:sz="4" w:space="0" w:color="auto"/>
            </w:tcBorders>
            <w:shd w:val="clear" w:color="auto" w:fill="auto"/>
            <w:noWrap/>
            <w:vAlign w:val="center"/>
            <w:hideMark/>
          </w:tcPr>
          <w:p w14:paraId="784452BC" w14:textId="77777777" w:rsidR="003011FF" w:rsidRPr="00746E61" w:rsidRDefault="003011FF"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Talamanca</w:t>
            </w:r>
          </w:p>
        </w:tc>
        <w:tc>
          <w:tcPr>
            <w:tcW w:w="1129" w:type="dxa"/>
            <w:tcBorders>
              <w:top w:val="nil"/>
              <w:left w:val="nil"/>
              <w:bottom w:val="single" w:sz="4" w:space="0" w:color="auto"/>
              <w:right w:val="single" w:sz="4" w:space="0" w:color="auto"/>
            </w:tcBorders>
            <w:shd w:val="clear" w:color="auto" w:fill="auto"/>
            <w:noWrap/>
            <w:vAlign w:val="center"/>
            <w:hideMark/>
          </w:tcPr>
          <w:p w14:paraId="7026E26A"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113</w:t>
            </w:r>
          </w:p>
        </w:tc>
        <w:tc>
          <w:tcPr>
            <w:tcW w:w="1129" w:type="dxa"/>
            <w:tcBorders>
              <w:top w:val="nil"/>
              <w:left w:val="nil"/>
              <w:bottom w:val="single" w:sz="4" w:space="0" w:color="auto"/>
              <w:right w:val="single" w:sz="4" w:space="0" w:color="auto"/>
            </w:tcBorders>
            <w:shd w:val="clear" w:color="auto" w:fill="auto"/>
            <w:noWrap/>
            <w:vAlign w:val="center"/>
            <w:hideMark/>
          </w:tcPr>
          <w:p w14:paraId="1EC900E9"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135</w:t>
            </w:r>
          </w:p>
        </w:tc>
        <w:tc>
          <w:tcPr>
            <w:tcW w:w="1020" w:type="dxa"/>
            <w:tcBorders>
              <w:top w:val="nil"/>
              <w:left w:val="nil"/>
              <w:bottom w:val="single" w:sz="4" w:space="0" w:color="auto"/>
              <w:right w:val="single" w:sz="4" w:space="0" w:color="auto"/>
            </w:tcBorders>
            <w:shd w:val="clear" w:color="auto" w:fill="auto"/>
            <w:noWrap/>
            <w:vAlign w:val="center"/>
            <w:hideMark/>
          </w:tcPr>
          <w:p w14:paraId="20349CA0"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144</w:t>
            </w:r>
          </w:p>
        </w:tc>
        <w:tc>
          <w:tcPr>
            <w:tcW w:w="1796" w:type="dxa"/>
            <w:tcBorders>
              <w:top w:val="nil"/>
              <w:left w:val="nil"/>
              <w:bottom w:val="single" w:sz="4" w:space="0" w:color="auto"/>
              <w:right w:val="single" w:sz="4" w:space="0" w:color="auto"/>
            </w:tcBorders>
            <w:shd w:val="clear" w:color="auto" w:fill="auto"/>
            <w:vAlign w:val="center"/>
            <w:hideMark/>
          </w:tcPr>
          <w:p w14:paraId="1D695F86" w14:textId="77777777" w:rsidR="003011FF" w:rsidRPr="00746E61" w:rsidRDefault="003011F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26,85%</w:t>
            </w:r>
          </w:p>
        </w:tc>
        <w:tc>
          <w:tcPr>
            <w:tcW w:w="1796" w:type="dxa"/>
            <w:tcBorders>
              <w:top w:val="nil"/>
              <w:left w:val="nil"/>
              <w:bottom w:val="single" w:sz="4" w:space="0" w:color="auto"/>
              <w:right w:val="single" w:sz="4" w:space="0" w:color="auto"/>
            </w:tcBorders>
            <w:shd w:val="clear" w:color="auto" w:fill="auto"/>
            <w:vAlign w:val="center"/>
            <w:hideMark/>
          </w:tcPr>
          <w:p w14:paraId="6E825066" w14:textId="77777777" w:rsidR="003011FF" w:rsidRPr="00746E61" w:rsidRDefault="003011F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6,62%</w:t>
            </w:r>
          </w:p>
        </w:tc>
      </w:tr>
      <w:tr w:rsidR="003011FF" w:rsidRPr="00746E61" w14:paraId="3E259ADD" w14:textId="77777777" w:rsidTr="003011FF">
        <w:trPr>
          <w:trHeight w:val="248"/>
          <w:jc w:val="center"/>
        </w:trPr>
        <w:tc>
          <w:tcPr>
            <w:tcW w:w="3307" w:type="dxa"/>
            <w:tcBorders>
              <w:top w:val="nil"/>
              <w:left w:val="single" w:sz="4" w:space="0" w:color="auto"/>
              <w:bottom w:val="single" w:sz="4" w:space="0" w:color="auto"/>
              <w:right w:val="single" w:sz="4" w:space="0" w:color="auto"/>
            </w:tcBorders>
            <w:shd w:val="clear" w:color="auto" w:fill="auto"/>
            <w:noWrap/>
            <w:vAlign w:val="center"/>
            <w:hideMark/>
          </w:tcPr>
          <w:p w14:paraId="4DB70BA0" w14:textId="77777777" w:rsidR="003011FF" w:rsidRPr="00746E61" w:rsidRDefault="003011FF"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Quepos</w:t>
            </w:r>
          </w:p>
        </w:tc>
        <w:tc>
          <w:tcPr>
            <w:tcW w:w="1129" w:type="dxa"/>
            <w:tcBorders>
              <w:top w:val="nil"/>
              <w:left w:val="nil"/>
              <w:bottom w:val="single" w:sz="4" w:space="0" w:color="auto"/>
              <w:right w:val="single" w:sz="4" w:space="0" w:color="auto"/>
            </w:tcBorders>
            <w:shd w:val="clear" w:color="auto" w:fill="auto"/>
            <w:noWrap/>
            <w:vAlign w:val="center"/>
            <w:hideMark/>
          </w:tcPr>
          <w:p w14:paraId="0245E194"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164</w:t>
            </w:r>
          </w:p>
        </w:tc>
        <w:tc>
          <w:tcPr>
            <w:tcW w:w="1129" w:type="dxa"/>
            <w:tcBorders>
              <w:top w:val="nil"/>
              <w:left w:val="nil"/>
              <w:bottom w:val="single" w:sz="4" w:space="0" w:color="auto"/>
              <w:right w:val="single" w:sz="4" w:space="0" w:color="auto"/>
            </w:tcBorders>
            <w:shd w:val="clear" w:color="auto" w:fill="auto"/>
            <w:noWrap/>
            <w:vAlign w:val="center"/>
            <w:hideMark/>
          </w:tcPr>
          <w:p w14:paraId="4DEBA62F"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187</w:t>
            </w:r>
          </w:p>
        </w:tc>
        <w:tc>
          <w:tcPr>
            <w:tcW w:w="1020" w:type="dxa"/>
            <w:tcBorders>
              <w:top w:val="nil"/>
              <w:left w:val="nil"/>
              <w:bottom w:val="single" w:sz="4" w:space="0" w:color="auto"/>
              <w:right w:val="single" w:sz="4" w:space="0" w:color="auto"/>
            </w:tcBorders>
            <w:shd w:val="clear" w:color="auto" w:fill="auto"/>
            <w:noWrap/>
            <w:vAlign w:val="center"/>
            <w:hideMark/>
          </w:tcPr>
          <w:p w14:paraId="6453347D"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202</w:t>
            </w:r>
          </w:p>
        </w:tc>
        <w:tc>
          <w:tcPr>
            <w:tcW w:w="1796" w:type="dxa"/>
            <w:tcBorders>
              <w:top w:val="nil"/>
              <w:left w:val="nil"/>
              <w:bottom w:val="single" w:sz="4" w:space="0" w:color="auto"/>
              <w:right w:val="single" w:sz="4" w:space="0" w:color="auto"/>
            </w:tcBorders>
            <w:shd w:val="clear" w:color="auto" w:fill="auto"/>
            <w:vAlign w:val="center"/>
            <w:hideMark/>
          </w:tcPr>
          <w:p w14:paraId="671180F7" w14:textId="77777777" w:rsidR="003011FF" w:rsidRPr="00746E61" w:rsidRDefault="003011F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23,36%</w:t>
            </w:r>
          </w:p>
        </w:tc>
        <w:tc>
          <w:tcPr>
            <w:tcW w:w="1796" w:type="dxa"/>
            <w:tcBorders>
              <w:top w:val="nil"/>
              <w:left w:val="nil"/>
              <w:bottom w:val="single" w:sz="4" w:space="0" w:color="auto"/>
              <w:right w:val="single" w:sz="4" w:space="0" w:color="auto"/>
            </w:tcBorders>
            <w:shd w:val="clear" w:color="auto" w:fill="auto"/>
            <w:vAlign w:val="center"/>
            <w:hideMark/>
          </w:tcPr>
          <w:p w14:paraId="258D709A" w14:textId="77777777" w:rsidR="003011FF" w:rsidRPr="00746E61" w:rsidRDefault="003011F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7,93%</w:t>
            </w:r>
          </w:p>
        </w:tc>
      </w:tr>
      <w:tr w:rsidR="003011FF" w:rsidRPr="00746E61" w14:paraId="34D6ADC4" w14:textId="77777777" w:rsidTr="003011FF">
        <w:trPr>
          <w:trHeight w:val="248"/>
          <w:jc w:val="center"/>
        </w:trPr>
        <w:tc>
          <w:tcPr>
            <w:tcW w:w="3307" w:type="dxa"/>
            <w:tcBorders>
              <w:top w:val="nil"/>
              <w:left w:val="single" w:sz="4" w:space="0" w:color="auto"/>
              <w:bottom w:val="single" w:sz="4" w:space="0" w:color="auto"/>
              <w:right w:val="single" w:sz="4" w:space="0" w:color="auto"/>
            </w:tcBorders>
            <w:shd w:val="clear" w:color="auto" w:fill="auto"/>
            <w:noWrap/>
            <w:vAlign w:val="center"/>
            <w:hideMark/>
          </w:tcPr>
          <w:p w14:paraId="43B2DEBC" w14:textId="77777777" w:rsidR="003011FF" w:rsidRPr="00746E61" w:rsidRDefault="003011FF"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Garabito</w:t>
            </w:r>
          </w:p>
        </w:tc>
        <w:tc>
          <w:tcPr>
            <w:tcW w:w="1129" w:type="dxa"/>
            <w:tcBorders>
              <w:top w:val="nil"/>
              <w:left w:val="nil"/>
              <w:bottom w:val="single" w:sz="4" w:space="0" w:color="auto"/>
              <w:right w:val="single" w:sz="4" w:space="0" w:color="auto"/>
            </w:tcBorders>
            <w:shd w:val="clear" w:color="auto" w:fill="auto"/>
            <w:noWrap/>
            <w:vAlign w:val="center"/>
            <w:hideMark/>
          </w:tcPr>
          <w:p w14:paraId="4017B2F4"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106</w:t>
            </w:r>
          </w:p>
        </w:tc>
        <w:tc>
          <w:tcPr>
            <w:tcW w:w="1129" w:type="dxa"/>
            <w:tcBorders>
              <w:top w:val="nil"/>
              <w:left w:val="nil"/>
              <w:bottom w:val="single" w:sz="4" w:space="0" w:color="auto"/>
              <w:right w:val="single" w:sz="4" w:space="0" w:color="auto"/>
            </w:tcBorders>
            <w:shd w:val="clear" w:color="auto" w:fill="auto"/>
            <w:noWrap/>
            <w:vAlign w:val="center"/>
            <w:hideMark/>
          </w:tcPr>
          <w:p w14:paraId="6839209E"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190</w:t>
            </w:r>
          </w:p>
        </w:tc>
        <w:tc>
          <w:tcPr>
            <w:tcW w:w="1020" w:type="dxa"/>
            <w:tcBorders>
              <w:top w:val="nil"/>
              <w:left w:val="nil"/>
              <w:bottom w:val="single" w:sz="4" w:space="0" w:color="auto"/>
              <w:right w:val="single" w:sz="4" w:space="0" w:color="auto"/>
            </w:tcBorders>
            <w:shd w:val="clear" w:color="auto" w:fill="auto"/>
            <w:noWrap/>
            <w:vAlign w:val="center"/>
            <w:hideMark/>
          </w:tcPr>
          <w:p w14:paraId="72A52F67"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128</w:t>
            </w:r>
          </w:p>
        </w:tc>
        <w:tc>
          <w:tcPr>
            <w:tcW w:w="1796" w:type="dxa"/>
            <w:tcBorders>
              <w:top w:val="nil"/>
              <w:left w:val="nil"/>
              <w:bottom w:val="single" w:sz="4" w:space="0" w:color="auto"/>
              <w:right w:val="single" w:sz="4" w:space="0" w:color="auto"/>
            </w:tcBorders>
            <w:shd w:val="clear" w:color="auto" w:fill="auto"/>
            <w:vAlign w:val="center"/>
            <w:hideMark/>
          </w:tcPr>
          <w:p w14:paraId="461872BC" w14:textId="77777777" w:rsidR="003011FF" w:rsidRPr="00746E61" w:rsidRDefault="003011F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19,87%</w:t>
            </w:r>
          </w:p>
        </w:tc>
        <w:tc>
          <w:tcPr>
            <w:tcW w:w="1796" w:type="dxa"/>
            <w:tcBorders>
              <w:top w:val="nil"/>
              <w:left w:val="nil"/>
              <w:bottom w:val="single" w:sz="4" w:space="0" w:color="auto"/>
              <w:right w:val="single" w:sz="4" w:space="0" w:color="auto"/>
            </w:tcBorders>
            <w:shd w:val="clear" w:color="auto" w:fill="auto"/>
            <w:vAlign w:val="center"/>
            <w:hideMark/>
          </w:tcPr>
          <w:p w14:paraId="32F67AED" w14:textId="77777777" w:rsidR="003011FF" w:rsidRPr="00746E61" w:rsidRDefault="003011F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-32,77%</w:t>
            </w:r>
          </w:p>
        </w:tc>
      </w:tr>
      <w:tr w:rsidR="003011FF" w:rsidRPr="00746E61" w14:paraId="339DE91B" w14:textId="77777777" w:rsidTr="003011FF">
        <w:trPr>
          <w:trHeight w:val="248"/>
          <w:jc w:val="center"/>
        </w:trPr>
        <w:tc>
          <w:tcPr>
            <w:tcW w:w="3307" w:type="dxa"/>
            <w:tcBorders>
              <w:top w:val="nil"/>
              <w:left w:val="single" w:sz="4" w:space="0" w:color="auto"/>
              <w:bottom w:val="single" w:sz="4" w:space="0" w:color="auto"/>
              <w:right w:val="single" w:sz="4" w:space="0" w:color="auto"/>
            </w:tcBorders>
            <w:shd w:val="clear" w:color="auto" w:fill="auto"/>
            <w:noWrap/>
            <w:vAlign w:val="center"/>
            <w:hideMark/>
          </w:tcPr>
          <w:p w14:paraId="2AD4FF9D" w14:textId="77777777" w:rsidR="003011FF" w:rsidRPr="00746E61" w:rsidRDefault="003011FF"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Pococí</w:t>
            </w:r>
          </w:p>
        </w:tc>
        <w:tc>
          <w:tcPr>
            <w:tcW w:w="1129" w:type="dxa"/>
            <w:tcBorders>
              <w:top w:val="nil"/>
              <w:left w:val="nil"/>
              <w:bottom w:val="single" w:sz="4" w:space="0" w:color="auto"/>
              <w:right w:val="single" w:sz="4" w:space="0" w:color="auto"/>
            </w:tcBorders>
            <w:shd w:val="clear" w:color="auto" w:fill="auto"/>
            <w:noWrap/>
            <w:vAlign w:val="center"/>
            <w:hideMark/>
          </w:tcPr>
          <w:p w14:paraId="485EE17B"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448</w:t>
            </w:r>
          </w:p>
        </w:tc>
        <w:tc>
          <w:tcPr>
            <w:tcW w:w="1129" w:type="dxa"/>
            <w:tcBorders>
              <w:top w:val="nil"/>
              <w:left w:val="nil"/>
              <w:bottom w:val="single" w:sz="4" w:space="0" w:color="auto"/>
              <w:right w:val="single" w:sz="4" w:space="0" w:color="auto"/>
            </w:tcBorders>
            <w:shd w:val="clear" w:color="auto" w:fill="auto"/>
            <w:noWrap/>
            <w:vAlign w:val="center"/>
            <w:hideMark/>
          </w:tcPr>
          <w:p w14:paraId="7AFD1567"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350</w:t>
            </w:r>
          </w:p>
        </w:tc>
        <w:tc>
          <w:tcPr>
            <w:tcW w:w="1020" w:type="dxa"/>
            <w:tcBorders>
              <w:top w:val="nil"/>
              <w:left w:val="nil"/>
              <w:bottom w:val="single" w:sz="4" w:space="0" w:color="auto"/>
              <w:right w:val="single" w:sz="4" w:space="0" w:color="auto"/>
            </w:tcBorders>
            <w:shd w:val="clear" w:color="auto" w:fill="auto"/>
            <w:noWrap/>
            <w:vAlign w:val="center"/>
            <w:hideMark/>
          </w:tcPr>
          <w:p w14:paraId="5A2B1BEF"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531</w:t>
            </w:r>
          </w:p>
        </w:tc>
        <w:tc>
          <w:tcPr>
            <w:tcW w:w="1796" w:type="dxa"/>
            <w:tcBorders>
              <w:top w:val="nil"/>
              <w:left w:val="nil"/>
              <w:bottom w:val="single" w:sz="4" w:space="0" w:color="auto"/>
              <w:right w:val="single" w:sz="4" w:space="0" w:color="auto"/>
            </w:tcBorders>
            <w:shd w:val="clear" w:color="auto" w:fill="auto"/>
            <w:vAlign w:val="center"/>
            <w:hideMark/>
          </w:tcPr>
          <w:p w14:paraId="42DB820E" w14:textId="77777777" w:rsidR="003011FF" w:rsidRPr="00746E61" w:rsidRDefault="003011F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18,66%</w:t>
            </w:r>
          </w:p>
        </w:tc>
        <w:tc>
          <w:tcPr>
            <w:tcW w:w="1796" w:type="dxa"/>
            <w:tcBorders>
              <w:top w:val="nil"/>
              <w:left w:val="nil"/>
              <w:bottom w:val="single" w:sz="4" w:space="0" w:color="auto"/>
              <w:right w:val="single" w:sz="4" w:space="0" w:color="auto"/>
            </w:tcBorders>
            <w:shd w:val="clear" w:color="auto" w:fill="auto"/>
            <w:vAlign w:val="center"/>
            <w:hideMark/>
          </w:tcPr>
          <w:p w14:paraId="7A1931F1" w14:textId="77777777" w:rsidR="003011FF" w:rsidRPr="00746E61" w:rsidRDefault="003011F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51,74%</w:t>
            </w:r>
          </w:p>
        </w:tc>
      </w:tr>
      <w:tr w:rsidR="003011FF" w:rsidRPr="00746E61" w14:paraId="2291E216" w14:textId="77777777" w:rsidTr="003011FF">
        <w:trPr>
          <w:trHeight w:val="248"/>
          <w:jc w:val="center"/>
        </w:trPr>
        <w:tc>
          <w:tcPr>
            <w:tcW w:w="3307" w:type="dxa"/>
            <w:tcBorders>
              <w:top w:val="nil"/>
              <w:left w:val="single" w:sz="4" w:space="0" w:color="auto"/>
              <w:bottom w:val="single" w:sz="4" w:space="0" w:color="auto"/>
              <w:right w:val="single" w:sz="4" w:space="0" w:color="auto"/>
            </w:tcBorders>
            <w:shd w:val="clear" w:color="auto" w:fill="auto"/>
            <w:noWrap/>
            <w:vAlign w:val="center"/>
            <w:hideMark/>
          </w:tcPr>
          <w:p w14:paraId="4C0482B4" w14:textId="77777777" w:rsidR="003011FF" w:rsidRPr="00746E61" w:rsidRDefault="003011FF"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Los Chiles</w:t>
            </w:r>
          </w:p>
        </w:tc>
        <w:tc>
          <w:tcPr>
            <w:tcW w:w="1129" w:type="dxa"/>
            <w:tcBorders>
              <w:top w:val="nil"/>
              <w:left w:val="nil"/>
              <w:bottom w:val="single" w:sz="4" w:space="0" w:color="auto"/>
              <w:right w:val="single" w:sz="4" w:space="0" w:color="auto"/>
            </w:tcBorders>
            <w:shd w:val="clear" w:color="auto" w:fill="auto"/>
            <w:noWrap/>
            <w:vAlign w:val="center"/>
            <w:hideMark/>
          </w:tcPr>
          <w:p w14:paraId="641721AF"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67</w:t>
            </w:r>
          </w:p>
        </w:tc>
        <w:tc>
          <w:tcPr>
            <w:tcW w:w="1129" w:type="dxa"/>
            <w:tcBorders>
              <w:top w:val="nil"/>
              <w:left w:val="nil"/>
              <w:bottom w:val="single" w:sz="4" w:space="0" w:color="auto"/>
              <w:right w:val="single" w:sz="4" w:space="0" w:color="auto"/>
            </w:tcBorders>
            <w:shd w:val="clear" w:color="auto" w:fill="auto"/>
            <w:noWrap/>
            <w:vAlign w:val="center"/>
            <w:hideMark/>
          </w:tcPr>
          <w:p w14:paraId="66741ECC"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69</w:t>
            </w:r>
          </w:p>
        </w:tc>
        <w:tc>
          <w:tcPr>
            <w:tcW w:w="1020" w:type="dxa"/>
            <w:tcBorders>
              <w:top w:val="nil"/>
              <w:left w:val="nil"/>
              <w:bottom w:val="single" w:sz="4" w:space="0" w:color="auto"/>
              <w:right w:val="single" w:sz="4" w:space="0" w:color="auto"/>
            </w:tcBorders>
            <w:shd w:val="clear" w:color="auto" w:fill="auto"/>
            <w:noWrap/>
            <w:vAlign w:val="center"/>
            <w:hideMark/>
          </w:tcPr>
          <w:p w14:paraId="0FCE6B5A"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78</w:t>
            </w:r>
          </w:p>
        </w:tc>
        <w:tc>
          <w:tcPr>
            <w:tcW w:w="1796" w:type="dxa"/>
            <w:tcBorders>
              <w:top w:val="nil"/>
              <w:left w:val="nil"/>
              <w:bottom w:val="single" w:sz="4" w:space="0" w:color="auto"/>
              <w:right w:val="single" w:sz="4" w:space="0" w:color="auto"/>
            </w:tcBorders>
            <w:shd w:val="clear" w:color="auto" w:fill="auto"/>
            <w:vAlign w:val="center"/>
            <w:hideMark/>
          </w:tcPr>
          <w:p w14:paraId="7CF91D1B" w14:textId="77777777" w:rsidR="003011FF" w:rsidRPr="00746E61" w:rsidRDefault="003011F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17,51%</w:t>
            </w:r>
          </w:p>
        </w:tc>
        <w:tc>
          <w:tcPr>
            <w:tcW w:w="1796" w:type="dxa"/>
            <w:tcBorders>
              <w:top w:val="nil"/>
              <w:left w:val="nil"/>
              <w:bottom w:val="single" w:sz="4" w:space="0" w:color="auto"/>
              <w:right w:val="single" w:sz="4" w:space="0" w:color="auto"/>
            </w:tcBorders>
            <w:shd w:val="clear" w:color="auto" w:fill="auto"/>
            <w:vAlign w:val="center"/>
            <w:hideMark/>
          </w:tcPr>
          <w:p w14:paraId="7BDE8499" w14:textId="77777777" w:rsidR="003011FF" w:rsidRPr="00746E61" w:rsidRDefault="003011F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13,86%</w:t>
            </w:r>
          </w:p>
        </w:tc>
      </w:tr>
      <w:tr w:rsidR="003011FF" w:rsidRPr="00746E61" w14:paraId="71682DBD" w14:textId="77777777" w:rsidTr="003011FF">
        <w:trPr>
          <w:trHeight w:val="248"/>
          <w:jc w:val="center"/>
        </w:trPr>
        <w:tc>
          <w:tcPr>
            <w:tcW w:w="3307" w:type="dxa"/>
            <w:tcBorders>
              <w:top w:val="nil"/>
              <w:left w:val="single" w:sz="4" w:space="0" w:color="auto"/>
              <w:bottom w:val="single" w:sz="4" w:space="0" w:color="auto"/>
              <w:right w:val="single" w:sz="4" w:space="0" w:color="auto"/>
            </w:tcBorders>
            <w:shd w:val="clear" w:color="auto" w:fill="auto"/>
            <w:noWrap/>
            <w:vAlign w:val="center"/>
            <w:hideMark/>
          </w:tcPr>
          <w:p w14:paraId="519B2D40" w14:textId="77777777" w:rsidR="003011FF" w:rsidRPr="00746E61" w:rsidRDefault="003011FF"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Siquirres</w:t>
            </w:r>
          </w:p>
        </w:tc>
        <w:tc>
          <w:tcPr>
            <w:tcW w:w="1129" w:type="dxa"/>
            <w:tcBorders>
              <w:top w:val="nil"/>
              <w:left w:val="nil"/>
              <w:bottom w:val="single" w:sz="4" w:space="0" w:color="auto"/>
              <w:right w:val="single" w:sz="4" w:space="0" w:color="auto"/>
            </w:tcBorders>
            <w:shd w:val="clear" w:color="auto" w:fill="auto"/>
            <w:noWrap/>
            <w:vAlign w:val="center"/>
            <w:hideMark/>
          </w:tcPr>
          <w:p w14:paraId="4923C020"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189</w:t>
            </w:r>
          </w:p>
        </w:tc>
        <w:tc>
          <w:tcPr>
            <w:tcW w:w="1129" w:type="dxa"/>
            <w:tcBorders>
              <w:top w:val="nil"/>
              <w:left w:val="nil"/>
              <w:bottom w:val="single" w:sz="4" w:space="0" w:color="auto"/>
              <w:right w:val="single" w:sz="4" w:space="0" w:color="auto"/>
            </w:tcBorders>
            <w:shd w:val="clear" w:color="auto" w:fill="auto"/>
            <w:noWrap/>
            <w:vAlign w:val="center"/>
            <w:hideMark/>
          </w:tcPr>
          <w:p w14:paraId="7B8E5739"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212</w:t>
            </w:r>
          </w:p>
        </w:tc>
        <w:tc>
          <w:tcPr>
            <w:tcW w:w="1020" w:type="dxa"/>
            <w:tcBorders>
              <w:top w:val="nil"/>
              <w:left w:val="nil"/>
              <w:bottom w:val="single" w:sz="4" w:space="0" w:color="auto"/>
              <w:right w:val="single" w:sz="4" w:space="0" w:color="auto"/>
            </w:tcBorders>
            <w:shd w:val="clear" w:color="auto" w:fill="auto"/>
            <w:noWrap/>
            <w:vAlign w:val="center"/>
            <w:hideMark/>
          </w:tcPr>
          <w:p w14:paraId="1EB5307A"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219</w:t>
            </w:r>
          </w:p>
        </w:tc>
        <w:tc>
          <w:tcPr>
            <w:tcW w:w="1796" w:type="dxa"/>
            <w:tcBorders>
              <w:top w:val="nil"/>
              <w:left w:val="nil"/>
              <w:bottom w:val="single" w:sz="4" w:space="0" w:color="auto"/>
              <w:right w:val="single" w:sz="4" w:space="0" w:color="auto"/>
            </w:tcBorders>
            <w:shd w:val="clear" w:color="auto" w:fill="auto"/>
            <w:vAlign w:val="center"/>
            <w:hideMark/>
          </w:tcPr>
          <w:p w14:paraId="28117B15" w14:textId="77777777" w:rsidR="003011FF" w:rsidRPr="00746E61" w:rsidRDefault="003011F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15,51%</w:t>
            </w:r>
          </w:p>
        </w:tc>
        <w:tc>
          <w:tcPr>
            <w:tcW w:w="1796" w:type="dxa"/>
            <w:tcBorders>
              <w:top w:val="nil"/>
              <w:left w:val="nil"/>
              <w:bottom w:val="single" w:sz="4" w:space="0" w:color="auto"/>
              <w:right w:val="single" w:sz="4" w:space="0" w:color="auto"/>
            </w:tcBorders>
            <w:shd w:val="clear" w:color="auto" w:fill="auto"/>
            <w:vAlign w:val="center"/>
            <w:hideMark/>
          </w:tcPr>
          <w:p w14:paraId="41ABA866" w14:textId="77777777" w:rsidR="003011FF" w:rsidRPr="00746E61" w:rsidRDefault="003011F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2,89%</w:t>
            </w:r>
          </w:p>
        </w:tc>
      </w:tr>
      <w:tr w:rsidR="003011FF" w:rsidRPr="00746E61" w14:paraId="13FE8092" w14:textId="77777777" w:rsidTr="003011FF">
        <w:trPr>
          <w:trHeight w:val="248"/>
          <w:jc w:val="center"/>
        </w:trPr>
        <w:tc>
          <w:tcPr>
            <w:tcW w:w="3307" w:type="dxa"/>
            <w:tcBorders>
              <w:top w:val="nil"/>
              <w:left w:val="single" w:sz="4" w:space="0" w:color="auto"/>
              <w:bottom w:val="single" w:sz="4" w:space="0" w:color="auto"/>
              <w:right w:val="single" w:sz="4" w:space="0" w:color="auto"/>
            </w:tcBorders>
            <w:shd w:val="clear" w:color="auto" w:fill="auto"/>
            <w:noWrap/>
            <w:vAlign w:val="center"/>
            <w:hideMark/>
          </w:tcPr>
          <w:p w14:paraId="44AF9FF3" w14:textId="77777777" w:rsidR="003011FF" w:rsidRPr="00746E61" w:rsidRDefault="003011FF"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La Fortuna</w:t>
            </w:r>
          </w:p>
        </w:tc>
        <w:tc>
          <w:tcPr>
            <w:tcW w:w="1129" w:type="dxa"/>
            <w:tcBorders>
              <w:top w:val="nil"/>
              <w:left w:val="nil"/>
              <w:bottom w:val="single" w:sz="4" w:space="0" w:color="auto"/>
              <w:right w:val="single" w:sz="4" w:space="0" w:color="auto"/>
            </w:tcBorders>
            <w:shd w:val="clear" w:color="auto" w:fill="auto"/>
            <w:noWrap/>
            <w:vAlign w:val="center"/>
            <w:hideMark/>
          </w:tcPr>
          <w:p w14:paraId="20980386"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87</w:t>
            </w:r>
          </w:p>
        </w:tc>
        <w:tc>
          <w:tcPr>
            <w:tcW w:w="1129" w:type="dxa"/>
            <w:tcBorders>
              <w:top w:val="nil"/>
              <w:left w:val="nil"/>
              <w:bottom w:val="single" w:sz="4" w:space="0" w:color="auto"/>
              <w:right w:val="single" w:sz="4" w:space="0" w:color="auto"/>
            </w:tcBorders>
            <w:shd w:val="clear" w:color="auto" w:fill="auto"/>
            <w:noWrap/>
            <w:vAlign w:val="center"/>
            <w:hideMark/>
          </w:tcPr>
          <w:p w14:paraId="02CBE1C8"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89</w:t>
            </w:r>
          </w:p>
        </w:tc>
        <w:tc>
          <w:tcPr>
            <w:tcW w:w="1020" w:type="dxa"/>
            <w:tcBorders>
              <w:top w:val="nil"/>
              <w:left w:val="nil"/>
              <w:bottom w:val="single" w:sz="4" w:space="0" w:color="auto"/>
              <w:right w:val="single" w:sz="4" w:space="0" w:color="auto"/>
            </w:tcBorders>
            <w:shd w:val="clear" w:color="auto" w:fill="auto"/>
            <w:noWrap/>
            <w:vAlign w:val="center"/>
            <w:hideMark/>
          </w:tcPr>
          <w:p w14:paraId="62A16EAD"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100</w:t>
            </w:r>
          </w:p>
        </w:tc>
        <w:tc>
          <w:tcPr>
            <w:tcW w:w="1796" w:type="dxa"/>
            <w:tcBorders>
              <w:top w:val="nil"/>
              <w:left w:val="nil"/>
              <w:bottom w:val="single" w:sz="4" w:space="0" w:color="auto"/>
              <w:right w:val="single" w:sz="4" w:space="0" w:color="auto"/>
            </w:tcBorders>
            <w:shd w:val="clear" w:color="auto" w:fill="auto"/>
            <w:vAlign w:val="center"/>
            <w:hideMark/>
          </w:tcPr>
          <w:p w14:paraId="661FC574" w14:textId="77777777" w:rsidR="003011FF" w:rsidRPr="00746E61" w:rsidRDefault="003011F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14,62%</w:t>
            </w:r>
          </w:p>
        </w:tc>
        <w:tc>
          <w:tcPr>
            <w:tcW w:w="1796" w:type="dxa"/>
            <w:tcBorders>
              <w:top w:val="nil"/>
              <w:left w:val="nil"/>
              <w:bottom w:val="single" w:sz="4" w:space="0" w:color="auto"/>
              <w:right w:val="single" w:sz="4" w:space="0" w:color="auto"/>
            </w:tcBorders>
            <w:shd w:val="clear" w:color="auto" w:fill="auto"/>
            <w:vAlign w:val="center"/>
            <w:hideMark/>
          </w:tcPr>
          <w:p w14:paraId="6BE6E57B" w14:textId="77777777" w:rsidR="003011FF" w:rsidRPr="00746E61" w:rsidRDefault="003011F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11,88%</w:t>
            </w:r>
          </w:p>
        </w:tc>
      </w:tr>
      <w:tr w:rsidR="003011FF" w:rsidRPr="00746E61" w14:paraId="4926BE53" w14:textId="77777777" w:rsidTr="003011FF">
        <w:trPr>
          <w:trHeight w:val="248"/>
          <w:jc w:val="center"/>
        </w:trPr>
        <w:tc>
          <w:tcPr>
            <w:tcW w:w="3307" w:type="dxa"/>
            <w:tcBorders>
              <w:top w:val="nil"/>
              <w:left w:val="single" w:sz="4" w:space="0" w:color="auto"/>
              <w:bottom w:val="single" w:sz="4" w:space="0" w:color="auto"/>
              <w:right w:val="single" w:sz="4" w:space="0" w:color="auto"/>
            </w:tcBorders>
            <w:shd w:val="clear" w:color="auto" w:fill="auto"/>
            <w:noWrap/>
            <w:vAlign w:val="center"/>
            <w:hideMark/>
          </w:tcPr>
          <w:p w14:paraId="25970F46" w14:textId="77777777" w:rsidR="003011FF" w:rsidRPr="00746E61" w:rsidRDefault="003011FF"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Turrialba</w:t>
            </w:r>
          </w:p>
        </w:tc>
        <w:tc>
          <w:tcPr>
            <w:tcW w:w="1129" w:type="dxa"/>
            <w:tcBorders>
              <w:top w:val="nil"/>
              <w:left w:val="nil"/>
              <w:bottom w:val="single" w:sz="4" w:space="0" w:color="auto"/>
              <w:right w:val="single" w:sz="4" w:space="0" w:color="auto"/>
            </w:tcBorders>
            <w:shd w:val="clear" w:color="auto" w:fill="auto"/>
            <w:noWrap/>
            <w:vAlign w:val="center"/>
            <w:hideMark/>
          </w:tcPr>
          <w:p w14:paraId="2F31A6AE"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252</w:t>
            </w:r>
          </w:p>
        </w:tc>
        <w:tc>
          <w:tcPr>
            <w:tcW w:w="1129" w:type="dxa"/>
            <w:tcBorders>
              <w:top w:val="nil"/>
              <w:left w:val="nil"/>
              <w:bottom w:val="single" w:sz="4" w:space="0" w:color="auto"/>
              <w:right w:val="single" w:sz="4" w:space="0" w:color="auto"/>
            </w:tcBorders>
            <w:shd w:val="clear" w:color="auto" w:fill="auto"/>
            <w:noWrap/>
            <w:vAlign w:val="center"/>
            <w:hideMark/>
          </w:tcPr>
          <w:p w14:paraId="1ED4282C"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280</w:t>
            </w:r>
          </w:p>
        </w:tc>
        <w:tc>
          <w:tcPr>
            <w:tcW w:w="1020" w:type="dxa"/>
            <w:tcBorders>
              <w:top w:val="nil"/>
              <w:left w:val="nil"/>
              <w:bottom w:val="single" w:sz="4" w:space="0" w:color="auto"/>
              <w:right w:val="single" w:sz="4" w:space="0" w:color="auto"/>
            </w:tcBorders>
            <w:shd w:val="clear" w:color="auto" w:fill="auto"/>
            <w:noWrap/>
            <w:vAlign w:val="center"/>
            <w:hideMark/>
          </w:tcPr>
          <w:p w14:paraId="4C15D3FC"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287</w:t>
            </w:r>
          </w:p>
        </w:tc>
        <w:tc>
          <w:tcPr>
            <w:tcW w:w="1796" w:type="dxa"/>
            <w:tcBorders>
              <w:top w:val="nil"/>
              <w:left w:val="nil"/>
              <w:bottom w:val="single" w:sz="4" w:space="0" w:color="auto"/>
              <w:right w:val="single" w:sz="4" w:space="0" w:color="auto"/>
            </w:tcBorders>
            <w:shd w:val="clear" w:color="auto" w:fill="auto"/>
            <w:vAlign w:val="center"/>
            <w:hideMark/>
          </w:tcPr>
          <w:p w14:paraId="7C7246A1" w14:textId="77777777" w:rsidR="003011FF" w:rsidRPr="00746E61" w:rsidRDefault="003011F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13,77%</w:t>
            </w:r>
          </w:p>
        </w:tc>
        <w:tc>
          <w:tcPr>
            <w:tcW w:w="1796" w:type="dxa"/>
            <w:tcBorders>
              <w:top w:val="nil"/>
              <w:left w:val="nil"/>
              <w:bottom w:val="single" w:sz="4" w:space="0" w:color="auto"/>
              <w:right w:val="single" w:sz="4" w:space="0" w:color="auto"/>
            </w:tcBorders>
            <w:shd w:val="clear" w:color="auto" w:fill="auto"/>
            <w:vAlign w:val="center"/>
            <w:hideMark/>
          </w:tcPr>
          <w:p w14:paraId="470C97C2" w14:textId="77777777" w:rsidR="003011FF" w:rsidRPr="00746E61" w:rsidRDefault="003011F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2,33%</w:t>
            </w:r>
          </w:p>
        </w:tc>
      </w:tr>
      <w:tr w:rsidR="003011FF" w:rsidRPr="00746E61" w14:paraId="4DB4B5DA" w14:textId="77777777" w:rsidTr="003011FF">
        <w:trPr>
          <w:trHeight w:val="248"/>
          <w:jc w:val="center"/>
        </w:trPr>
        <w:tc>
          <w:tcPr>
            <w:tcW w:w="3307" w:type="dxa"/>
            <w:tcBorders>
              <w:top w:val="nil"/>
              <w:left w:val="single" w:sz="4" w:space="0" w:color="auto"/>
              <w:bottom w:val="single" w:sz="4" w:space="0" w:color="auto"/>
              <w:right w:val="single" w:sz="4" w:space="0" w:color="auto"/>
            </w:tcBorders>
            <w:shd w:val="clear" w:color="auto" w:fill="auto"/>
            <w:noWrap/>
            <w:vAlign w:val="center"/>
            <w:hideMark/>
          </w:tcPr>
          <w:p w14:paraId="6E604F9D" w14:textId="77777777" w:rsidR="003011FF" w:rsidRPr="00746E61" w:rsidRDefault="003011FF"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Goicochea</w:t>
            </w:r>
          </w:p>
        </w:tc>
        <w:tc>
          <w:tcPr>
            <w:tcW w:w="1129" w:type="dxa"/>
            <w:tcBorders>
              <w:top w:val="nil"/>
              <w:left w:val="nil"/>
              <w:bottom w:val="single" w:sz="4" w:space="0" w:color="auto"/>
              <w:right w:val="single" w:sz="4" w:space="0" w:color="auto"/>
            </w:tcBorders>
            <w:shd w:val="clear" w:color="auto" w:fill="auto"/>
            <w:noWrap/>
            <w:vAlign w:val="center"/>
            <w:hideMark/>
          </w:tcPr>
          <w:p w14:paraId="7FDB3597"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928</w:t>
            </w:r>
          </w:p>
        </w:tc>
        <w:tc>
          <w:tcPr>
            <w:tcW w:w="1129" w:type="dxa"/>
            <w:tcBorders>
              <w:top w:val="nil"/>
              <w:left w:val="nil"/>
              <w:bottom w:val="single" w:sz="4" w:space="0" w:color="auto"/>
              <w:right w:val="single" w:sz="4" w:space="0" w:color="auto"/>
            </w:tcBorders>
            <w:shd w:val="clear" w:color="auto" w:fill="auto"/>
            <w:noWrap/>
            <w:vAlign w:val="center"/>
            <w:hideMark/>
          </w:tcPr>
          <w:p w14:paraId="17A3CFEE"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1045</w:t>
            </w:r>
          </w:p>
        </w:tc>
        <w:tc>
          <w:tcPr>
            <w:tcW w:w="1020" w:type="dxa"/>
            <w:tcBorders>
              <w:top w:val="nil"/>
              <w:left w:val="nil"/>
              <w:bottom w:val="single" w:sz="4" w:space="0" w:color="auto"/>
              <w:right w:val="single" w:sz="4" w:space="0" w:color="auto"/>
            </w:tcBorders>
            <w:shd w:val="clear" w:color="auto" w:fill="auto"/>
            <w:noWrap/>
            <w:vAlign w:val="center"/>
            <w:hideMark/>
          </w:tcPr>
          <w:p w14:paraId="026C8A7F"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1037</w:t>
            </w:r>
          </w:p>
        </w:tc>
        <w:tc>
          <w:tcPr>
            <w:tcW w:w="1796" w:type="dxa"/>
            <w:tcBorders>
              <w:top w:val="nil"/>
              <w:left w:val="nil"/>
              <w:bottom w:val="single" w:sz="4" w:space="0" w:color="auto"/>
              <w:right w:val="single" w:sz="4" w:space="0" w:color="auto"/>
            </w:tcBorders>
            <w:shd w:val="clear" w:color="auto" w:fill="auto"/>
            <w:vAlign w:val="center"/>
            <w:hideMark/>
          </w:tcPr>
          <w:p w14:paraId="1909E3FC" w14:textId="77777777" w:rsidR="003011FF" w:rsidRPr="00746E61" w:rsidRDefault="003011F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11,67%</w:t>
            </w:r>
          </w:p>
        </w:tc>
        <w:tc>
          <w:tcPr>
            <w:tcW w:w="1796" w:type="dxa"/>
            <w:tcBorders>
              <w:top w:val="nil"/>
              <w:left w:val="nil"/>
              <w:bottom w:val="single" w:sz="4" w:space="0" w:color="auto"/>
              <w:right w:val="single" w:sz="4" w:space="0" w:color="auto"/>
            </w:tcBorders>
            <w:shd w:val="clear" w:color="auto" w:fill="auto"/>
            <w:vAlign w:val="center"/>
            <w:hideMark/>
          </w:tcPr>
          <w:p w14:paraId="2B7BF6B8" w14:textId="77777777" w:rsidR="003011FF" w:rsidRPr="00746E61" w:rsidRDefault="003011F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-0,74%</w:t>
            </w:r>
          </w:p>
        </w:tc>
      </w:tr>
      <w:tr w:rsidR="003011FF" w:rsidRPr="00746E61" w14:paraId="5FCB0623" w14:textId="77777777" w:rsidTr="003011FF">
        <w:trPr>
          <w:trHeight w:val="248"/>
          <w:jc w:val="center"/>
        </w:trPr>
        <w:tc>
          <w:tcPr>
            <w:tcW w:w="3307" w:type="dxa"/>
            <w:tcBorders>
              <w:top w:val="nil"/>
              <w:left w:val="single" w:sz="4" w:space="0" w:color="auto"/>
              <w:bottom w:val="single" w:sz="4" w:space="0" w:color="auto"/>
              <w:right w:val="single" w:sz="4" w:space="0" w:color="auto"/>
            </w:tcBorders>
            <w:shd w:val="clear" w:color="auto" w:fill="auto"/>
            <w:noWrap/>
            <w:vAlign w:val="center"/>
            <w:hideMark/>
          </w:tcPr>
          <w:p w14:paraId="28B15133" w14:textId="77777777" w:rsidR="003011FF" w:rsidRPr="00746E61" w:rsidRDefault="003011FF"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Grecia</w:t>
            </w:r>
          </w:p>
        </w:tc>
        <w:tc>
          <w:tcPr>
            <w:tcW w:w="1129" w:type="dxa"/>
            <w:tcBorders>
              <w:top w:val="nil"/>
              <w:left w:val="nil"/>
              <w:bottom w:val="single" w:sz="4" w:space="0" w:color="auto"/>
              <w:right w:val="single" w:sz="4" w:space="0" w:color="auto"/>
            </w:tcBorders>
            <w:shd w:val="clear" w:color="auto" w:fill="auto"/>
            <w:noWrap/>
            <w:vAlign w:val="center"/>
            <w:hideMark/>
          </w:tcPr>
          <w:p w14:paraId="3584E5AC"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175</w:t>
            </w:r>
          </w:p>
        </w:tc>
        <w:tc>
          <w:tcPr>
            <w:tcW w:w="1129" w:type="dxa"/>
            <w:tcBorders>
              <w:top w:val="nil"/>
              <w:left w:val="nil"/>
              <w:bottom w:val="single" w:sz="4" w:space="0" w:color="auto"/>
              <w:right w:val="single" w:sz="4" w:space="0" w:color="auto"/>
            </w:tcBorders>
            <w:shd w:val="clear" w:color="auto" w:fill="auto"/>
            <w:noWrap/>
            <w:vAlign w:val="center"/>
            <w:hideMark/>
          </w:tcPr>
          <w:p w14:paraId="466BD0A6"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175</w:t>
            </w:r>
          </w:p>
        </w:tc>
        <w:tc>
          <w:tcPr>
            <w:tcW w:w="1020" w:type="dxa"/>
            <w:tcBorders>
              <w:top w:val="nil"/>
              <w:left w:val="nil"/>
              <w:bottom w:val="single" w:sz="4" w:space="0" w:color="auto"/>
              <w:right w:val="single" w:sz="4" w:space="0" w:color="auto"/>
            </w:tcBorders>
            <w:shd w:val="clear" w:color="auto" w:fill="auto"/>
            <w:noWrap/>
            <w:vAlign w:val="center"/>
            <w:hideMark/>
          </w:tcPr>
          <w:p w14:paraId="31304FFD"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194</w:t>
            </w:r>
          </w:p>
        </w:tc>
        <w:tc>
          <w:tcPr>
            <w:tcW w:w="1796" w:type="dxa"/>
            <w:tcBorders>
              <w:top w:val="nil"/>
              <w:left w:val="nil"/>
              <w:bottom w:val="single" w:sz="4" w:space="0" w:color="auto"/>
              <w:right w:val="single" w:sz="4" w:space="0" w:color="auto"/>
            </w:tcBorders>
            <w:shd w:val="clear" w:color="auto" w:fill="auto"/>
            <w:vAlign w:val="center"/>
            <w:hideMark/>
          </w:tcPr>
          <w:p w14:paraId="25797507" w14:textId="77777777" w:rsidR="003011FF" w:rsidRPr="00746E61" w:rsidRDefault="003011F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10,75%</w:t>
            </w:r>
          </w:p>
        </w:tc>
        <w:tc>
          <w:tcPr>
            <w:tcW w:w="1796" w:type="dxa"/>
            <w:tcBorders>
              <w:top w:val="nil"/>
              <w:left w:val="nil"/>
              <w:bottom w:val="single" w:sz="4" w:space="0" w:color="auto"/>
              <w:right w:val="single" w:sz="4" w:space="0" w:color="auto"/>
            </w:tcBorders>
            <w:shd w:val="clear" w:color="auto" w:fill="auto"/>
            <w:vAlign w:val="center"/>
            <w:hideMark/>
          </w:tcPr>
          <w:p w14:paraId="3F8B5866" w14:textId="77777777" w:rsidR="003011FF" w:rsidRPr="00746E61" w:rsidRDefault="003011F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10,36%</w:t>
            </w:r>
          </w:p>
        </w:tc>
      </w:tr>
      <w:tr w:rsidR="003011FF" w:rsidRPr="00746E61" w14:paraId="4A6FF17E" w14:textId="77777777" w:rsidTr="003011FF">
        <w:trPr>
          <w:trHeight w:val="248"/>
          <w:jc w:val="center"/>
        </w:trPr>
        <w:tc>
          <w:tcPr>
            <w:tcW w:w="3307" w:type="dxa"/>
            <w:tcBorders>
              <w:top w:val="nil"/>
              <w:left w:val="single" w:sz="4" w:space="0" w:color="auto"/>
              <w:bottom w:val="single" w:sz="4" w:space="0" w:color="auto"/>
              <w:right w:val="single" w:sz="4" w:space="0" w:color="auto"/>
            </w:tcBorders>
            <w:shd w:val="clear" w:color="auto" w:fill="auto"/>
            <w:noWrap/>
            <w:vAlign w:val="center"/>
            <w:hideMark/>
          </w:tcPr>
          <w:p w14:paraId="0AB758B1" w14:textId="77777777" w:rsidR="003011FF" w:rsidRPr="00746E61" w:rsidRDefault="003011FF"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Atenas</w:t>
            </w:r>
          </w:p>
        </w:tc>
        <w:tc>
          <w:tcPr>
            <w:tcW w:w="1129" w:type="dxa"/>
            <w:tcBorders>
              <w:top w:val="nil"/>
              <w:left w:val="nil"/>
              <w:bottom w:val="single" w:sz="4" w:space="0" w:color="auto"/>
              <w:right w:val="single" w:sz="4" w:space="0" w:color="auto"/>
            </w:tcBorders>
            <w:shd w:val="clear" w:color="auto" w:fill="auto"/>
            <w:noWrap/>
            <w:vAlign w:val="center"/>
            <w:hideMark/>
          </w:tcPr>
          <w:p w14:paraId="36D227F6"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117</w:t>
            </w:r>
          </w:p>
        </w:tc>
        <w:tc>
          <w:tcPr>
            <w:tcW w:w="1129" w:type="dxa"/>
            <w:tcBorders>
              <w:top w:val="nil"/>
              <w:left w:val="nil"/>
              <w:bottom w:val="single" w:sz="4" w:space="0" w:color="auto"/>
              <w:right w:val="single" w:sz="4" w:space="0" w:color="auto"/>
            </w:tcBorders>
            <w:shd w:val="clear" w:color="auto" w:fill="auto"/>
            <w:noWrap/>
            <w:vAlign w:val="center"/>
            <w:hideMark/>
          </w:tcPr>
          <w:p w14:paraId="3753E1E8"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95</w:t>
            </w:r>
          </w:p>
        </w:tc>
        <w:tc>
          <w:tcPr>
            <w:tcW w:w="1020" w:type="dxa"/>
            <w:tcBorders>
              <w:top w:val="nil"/>
              <w:left w:val="nil"/>
              <w:bottom w:val="single" w:sz="4" w:space="0" w:color="auto"/>
              <w:right w:val="single" w:sz="4" w:space="0" w:color="auto"/>
            </w:tcBorders>
            <w:shd w:val="clear" w:color="auto" w:fill="auto"/>
            <w:noWrap/>
            <w:vAlign w:val="center"/>
            <w:hideMark/>
          </w:tcPr>
          <w:p w14:paraId="280E5D72"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127</w:t>
            </w:r>
          </w:p>
        </w:tc>
        <w:tc>
          <w:tcPr>
            <w:tcW w:w="1796" w:type="dxa"/>
            <w:tcBorders>
              <w:top w:val="nil"/>
              <w:left w:val="nil"/>
              <w:bottom w:val="single" w:sz="4" w:space="0" w:color="auto"/>
              <w:right w:val="single" w:sz="4" w:space="0" w:color="auto"/>
            </w:tcBorders>
            <w:shd w:val="clear" w:color="auto" w:fill="auto"/>
            <w:vAlign w:val="center"/>
            <w:hideMark/>
          </w:tcPr>
          <w:p w14:paraId="4A23A1ED" w14:textId="77777777" w:rsidR="003011FF" w:rsidRPr="00746E61" w:rsidRDefault="003011F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7,91%</w:t>
            </w:r>
          </w:p>
        </w:tc>
        <w:tc>
          <w:tcPr>
            <w:tcW w:w="1796" w:type="dxa"/>
            <w:tcBorders>
              <w:top w:val="nil"/>
              <w:left w:val="nil"/>
              <w:bottom w:val="single" w:sz="4" w:space="0" w:color="auto"/>
              <w:right w:val="single" w:sz="4" w:space="0" w:color="auto"/>
            </w:tcBorders>
            <w:shd w:val="clear" w:color="auto" w:fill="auto"/>
            <w:vAlign w:val="center"/>
            <w:hideMark/>
          </w:tcPr>
          <w:p w14:paraId="5407CDD3" w14:textId="77777777" w:rsidR="003011FF" w:rsidRPr="00746E61" w:rsidRDefault="003011F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33,22%</w:t>
            </w:r>
          </w:p>
        </w:tc>
      </w:tr>
      <w:tr w:rsidR="003011FF" w:rsidRPr="00746E61" w14:paraId="6DA4DEBD" w14:textId="77777777" w:rsidTr="003011FF">
        <w:trPr>
          <w:trHeight w:val="248"/>
          <w:jc w:val="center"/>
        </w:trPr>
        <w:tc>
          <w:tcPr>
            <w:tcW w:w="3307" w:type="dxa"/>
            <w:tcBorders>
              <w:top w:val="nil"/>
              <w:left w:val="single" w:sz="4" w:space="0" w:color="auto"/>
              <w:bottom w:val="single" w:sz="4" w:space="0" w:color="auto"/>
              <w:right w:val="single" w:sz="4" w:space="0" w:color="auto"/>
            </w:tcBorders>
            <w:shd w:val="clear" w:color="auto" w:fill="auto"/>
            <w:noWrap/>
            <w:vAlign w:val="center"/>
            <w:hideMark/>
          </w:tcPr>
          <w:p w14:paraId="43904072" w14:textId="77777777" w:rsidR="003011FF" w:rsidRPr="00746E61" w:rsidRDefault="003011FF"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Cañas</w:t>
            </w:r>
          </w:p>
        </w:tc>
        <w:tc>
          <w:tcPr>
            <w:tcW w:w="1129" w:type="dxa"/>
            <w:tcBorders>
              <w:top w:val="nil"/>
              <w:left w:val="nil"/>
              <w:bottom w:val="single" w:sz="4" w:space="0" w:color="auto"/>
              <w:right w:val="single" w:sz="4" w:space="0" w:color="auto"/>
            </w:tcBorders>
            <w:shd w:val="clear" w:color="auto" w:fill="auto"/>
            <w:noWrap/>
            <w:vAlign w:val="center"/>
            <w:hideMark/>
          </w:tcPr>
          <w:p w14:paraId="10052ECF"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156</w:t>
            </w:r>
          </w:p>
        </w:tc>
        <w:tc>
          <w:tcPr>
            <w:tcW w:w="1129" w:type="dxa"/>
            <w:tcBorders>
              <w:top w:val="nil"/>
              <w:left w:val="nil"/>
              <w:bottom w:val="single" w:sz="4" w:space="0" w:color="auto"/>
              <w:right w:val="single" w:sz="4" w:space="0" w:color="auto"/>
            </w:tcBorders>
            <w:shd w:val="clear" w:color="auto" w:fill="auto"/>
            <w:noWrap/>
            <w:vAlign w:val="center"/>
            <w:hideMark/>
          </w:tcPr>
          <w:p w14:paraId="31E16310"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154</w:t>
            </w:r>
          </w:p>
        </w:tc>
        <w:tc>
          <w:tcPr>
            <w:tcW w:w="1020" w:type="dxa"/>
            <w:tcBorders>
              <w:top w:val="nil"/>
              <w:left w:val="nil"/>
              <w:bottom w:val="single" w:sz="4" w:space="0" w:color="auto"/>
              <w:right w:val="single" w:sz="4" w:space="0" w:color="auto"/>
            </w:tcBorders>
            <w:shd w:val="clear" w:color="auto" w:fill="auto"/>
            <w:noWrap/>
            <w:vAlign w:val="center"/>
            <w:hideMark/>
          </w:tcPr>
          <w:p w14:paraId="2EA22891"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166</w:t>
            </w:r>
          </w:p>
        </w:tc>
        <w:tc>
          <w:tcPr>
            <w:tcW w:w="1796" w:type="dxa"/>
            <w:tcBorders>
              <w:top w:val="nil"/>
              <w:left w:val="nil"/>
              <w:bottom w:val="single" w:sz="4" w:space="0" w:color="auto"/>
              <w:right w:val="single" w:sz="4" w:space="0" w:color="auto"/>
            </w:tcBorders>
            <w:shd w:val="clear" w:color="auto" w:fill="auto"/>
            <w:vAlign w:val="center"/>
            <w:hideMark/>
          </w:tcPr>
          <w:p w14:paraId="1DFB0EA8" w14:textId="77777777" w:rsidR="003011FF" w:rsidRPr="00746E61" w:rsidRDefault="003011F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6,14%</w:t>
            </w:r>
          </w:p>
        </w:tc>
        <w:tc>
          <w:tcPr>
            <w:tcW w:w="1796" w:type="dxa"/>
            <w:tcBorders>
              <w:top w:val="nil"/>
              <w:left w:val="nil"/>
              <w:bottom w:val="single" w:sz="4" w:space="0" w:color="auto"/>
              <w:right w:val="single" w:sz="4" w:space="0" w:color="auto"/>
            </w:tcBorders>
            <w:shd w:val="clear" w:color="auto" w:fill="auto"/>
            <w:vAlign w:val="center"/>
            <w:hideMark/>
          </w:tcPr>
          <w:p w14:paraId="436DFD8D" w14:textId="77777777" w:rsidR="003011FF" w:rsidRPr="00746E61" w:rsidRDefault="003011F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7,98%</w:t>
            </w:r>
          </w:p>
        </w:tc>
      </w:tr>
      <w:tr w:rsidR="003011FF" w:rsidRPr="00746E61" w14:paraId="49E52029" w14:textId="77777777" w:rsidTr="003011FF">
        <w:trPr>
          <w:trHeight w:val="248"/>
          <w:jc w:val="center"/>
        </w:trPr>
        <w:tc>
          <w:tcPr>
            <w:tcW w:w="3307" w:type="dxa"/>
            <w:tcBorders>
              <w:top w:val="nil"/>
              <w:left w:val="single" w:sz="4" w:space="0" w:color="auto"/>
              <w:bottom w:val="single" w:sz="4" w:space="0" w:color="auto"/>
              <w:right w:val="single" w:sz="4" w:space="0" w:color="auto"/>
            </w:tcBorders>
            <w:shd w:val="clear" w:color="auto" w:fill="auto"/>
            <w:noWrap/>
            <w:vAlign w:val="center"/>
            <w:hideMark/>
          </w:tcPr>
          <w:p w14:paraId="6901F4AA" w14:textId="77777777" w:rsidR="003011FF" w:rsidRPr="00746E61" w:rsidRDefault="003011FF"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San Carlos</w:t>
            </w:r>
          </w:p>
        </w:tc>
        <w:tc>
          <w:tcPr>
            <w:tcW w:w="1129" w:type="dxa"/>
            <w:tcBorders>
              <w:top w:val="nil"/>
              <w:left w:val="nil"/>
              <w:bottom w:val="single" w:sz="4" w:space="0" w:color="auto"/>
              <w:right w:val="single" w:sz="4" w:space="0" w:color="auto"/>
            </w:tcBorders>
            <w:shd w:val="clear" w:color="auto" w:fill="auto"/>
            <w:noWrap/>
            <w:vAlign w:val="center"/>
            <w:hideMark/>
          </w:tcPr>
          <w:p w14:paraId="0B140F47"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452</w:t>
            </w:r>
          </w:p>
        </w:tc>
        <w:tc>
          <w:tcPr>
            <w:tcW w:w="1129" w:type="dxa"/>
            <w:tcBorders>
              <w:top w:val="nil"/>
              <w:left w:val="nil"/>
              <w:bottom w:val="single" w:sz="4" w:space="0" w:color="auto"/>
              <w:right w:val="single" w:sz="4" w:space="0" w:color="auto"/>
            </w:tcBorders>
            <w:shd w:val="clear" w:color="auto" w:fill="auto"/>
            <w:noWrap/>
            <w:vAlign w:val="center"/>
            <w:hideMark/>
          </w:tcPr>
          <w:p w14:paraId="1B9AD164"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284</w:t>
            </w:r>
          </w:p>
        </w:tc>
        <w:tc>
          <w:tcPr>
            <w:tcW w:w="1020" w:type="dxa"/>
            <w:tcBorders>
              <w:top w:val="nil"/>
              <w:left w:val="nil"/>
              <w:bottom w:val="single" w:sz="4" w:space="0" w:color="auto"/>
              <w:right w:val="single" w:sz="4" w:space="0" w:color="auto"/>
            </w:tcBorders>
            <w:shd w:val="clear" w:color="auto" w:fill="auto"/>
            <w:noWrap/>
            <w:vAlign w:val="center"/>
            <w:hideMark/>
          </w:tcPr>
          <w:p w14:paraId="1D5F9E74"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459</w:t>
            </w:r>
          </w:p>
        </w:tc>
        <w:tc>
          <w:tcPr>
            <w:tcW w:w="1796" w:type="dxa"/>
            <w:tcBorders>
              <w:top w:val="nil"/>
              <w:left w:val="nil"/>
              <w:bottom w:val="single" w:sz="4" w:space="0" w:color="auto"/>
              <w:right w:val="single" w:sz="4" w:space="0" w:color="auto"/>
            </w:tcBorders>
            <w:shd w:val="clear" w:color="auto" w:fill="auto"/>
            <w:vAlign w:val="center"/>
            <w:hideMark/>
          </w:tcPr>
          <w:p w14:paraId="784E99A9" w14:textId="77777777" w:rsidR="003011FF" w:rsidRPr="00746E61" w:rsidRDefault="003011F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1,64%</w:t>
            </w:r>
          </w:p>
        </w:tc>
        <w:tc>
          <w:tcPr>
            <w:tcW w:w="1796" w:type="dxa"/>
            <w:tcBorders>
              <w:top w:val="nil"/>
              <w:left w:val="nil"/>
              <w:bottom w:val="single" w:sz="4" w:space="0" w:color="auto"/>
              <w:right w:val="single" w:sz="4" w:space="0" w:color="auto"/>
            </w:tcBorders>
            <w:shd w:val="clear" w:color="auto" w:fill="auto"/>
            <w:vAlign w:val="center"/>
            <w:hideMark/>
          </w:tcPr>
          <w:p w14:paraId="7A69DA35" w14:textId="77777777" w:rsidR="003011FF" w:rsidRPr="00746E61" w:rsidRDefault="003011F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61,35%</w:t>
            </w:r>
          </w:p>
        </w:tc>
      </w:tr>
      <w:tr w:rsidR="003011FF" w:rsidRPr="00746E61" w14:paraId="38D1E748" w14:textId="77777777" w:rsidTr="003011FF">
        <w:trPr>
          <w:trHeight w:val="248"/>
          <w:jc w:val="center"/>
        </w:trPr>
        <w:tc>
          <w:tcPr>
            <w:tcW w:w="3307" w:type="dxa"/>
            <w:tcBorders>
              <w:top w:val="nil"/>
              <w:left w:val="single" w:sz="4" w:space="0" w:color="auto"/>
              <w:bottom w:val="single" w:sz="4" w:space="0" w:color="auto"/>
              <w:right w:val="single" w:sz="4" w:space="0" w:color="auto"/>
            </w:tcBorders>
            <w:shd w:val="clear" w:color="auto" w:fill="auto"/>
            <w:noWrap/>
            <w:vAlign w:val="center"/>
            <w:hideMark/>
          </w:tcPr>
          <w:p w14:paraId="760F96F0" w14:textId="77777777" w:rsidR="003011FF" w:rsidRPr="00746E61" w:rsidRDefault="003011FF"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Hatillo</w:t>
            </w:r>
          </w:p>
        </w:tc>
        <w:tc>
          <w:tcPr>
            <w:tcW w:w="1129" w:type="dxa"/>
            <w:tcBorders>
              <w:top w:val="nil"/>
              <w:left w:val="nil"/>
              <w:bottom w:val="single" w:sz="4" w:space="0" w:color="auto"/>
              <w:right w:val="single" w:sz="4" w:space="0" w:color="auto"/>
            </w:tcBorders>
            <w:shd w:val="clear" w:color="auto" w:fill="auto"/>
            <w:noWrap/>
            <w:vAlign w:val="center"/>
            <w:hideMark/>
          </w:tcPr>
          <w:p w14:paraId="4F1E716B"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399</w:t>
            </w:r>
          </w:p>
        </w:tc>
        <w:tc>
          <w:tcPr>
            <w:tcW w:w="1129" w:type="dxa"/>
            <w:tcBorders>
              <w:top w:val="nil"/>
              <w:left w:val="nil"/>
              <w:bottom w:val="single" w:sz="4" w:space="0" w:color="auto"/>
              <w:right w:val="single" w:sz="4" w:space="0" w:color="auto"/>
            </w:tcBorders>
            <w:shd w:val="clear" w:color="auto" w:fill="auto"/>
            <w:noWrap/>
            <w:vAlign w:val="center"/>
            <w:hideMark/>
          </w:tcPr>
          <w:p w14:paraId="5DF1F601"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371</w:t>
            </w:r>
          </w:p>
        </w:tc>
        <w:tc>
          <w:tcPr>
            <w:tcW w:w="1020" w:type="dxa"/>
            <w:tcBorders>
              <w:top w:val="nil"/>
              <w:left w:val="nil"/>
              <w:bottom w:val="single" w:sz="4" w:space="0" w:color="auto"/>
              <w:right w:val="single" w:sz="4" w:space="0" w:color="auto"/>
            </w:tcBorders>
            <w:shd w:val="clear" w:color="auto" w:fill="auto"/>
            <w:noWrap/>
            <w:vAlign w:val="center"/>
            <w:hideMark/>
          </w:tcPr>
          <w:p w14:paraId="26775FED"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405</w:t>
            </w:r>
          </w:p>
        </w:tc>
        <w:tc>
          <w:tcPr>
            <w:tcW w:w="1796" w:type="dxa"/>
            <w:tcBorders>
              <w:top w:val="nil"/>
              <w:left w:val="nil"/>
              <w:bottom w:val="single" w:sz="4" w:space="0" w:color="auto"/>
              <w:right w:val="single" w:sz="4" w:space="0" w:color="auto"/>
            </w:tcBorders>
            <w:shd w:val="clear" w:color="auto" w:fill="auto"/>
            <w:vAlign w:val="center"/>
            <w:hideMark/>
          </w:tcPr>
          <w:p w14:paraId="4CA7DF96" w14:textId="77777777" w:rsidR="003011FF" w:rsidRPr="00746E61" w:rsidRDefault="003011F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1,51%</w:t>
            </w:r>
          </w:p>
        </w:tc>
        <w:tc>
          <w:tcPr>
            <w:tcW w:w="1796" w:type="dxa"/>
            <w:tcBorders>
              <w:top w:val="nil"/>
              <w:left w:val="nil"/>
              <w:bottom w:val="single" w:sz="4" w:space="0" w:color="auto"/>
              <w:right w:val="single" w:sz="4" w:space="0" w:color="auto"/>
            </w:tcBorders>
            <w:shd w:val="clear" w:color="auto" w:fill="auto"/>
            <w:vAlign w:val="center"/>
            <w:hideMark/>
          </w:tcPr>
          <w:p w14:paraId="5F396B30" w14:textId="77777777" w:rsidR="003011FF" w:rsidRPr="00746E61" w:rsidRDefault="003011F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9,21%</w:t>
            </w:r>
          </w:p>
        </w:tc>
      </w:tr>
      <w:tr w:rsidR="003011FF" w:rsidRPr="00746E61" w14:paraId="1281494F" w14:textId="77777777" w:rsidTr="003011FF">
        <w:trPr>
          <w:trHeight w:val="248"/>
          <w:jc w:val="center"/>
        </w:trPr>
        <w:tc>
          <w:tcPr>
            <w:tcW w:w="3307" w:type="dxa"/>
            <w:tcBorders>
              <w:top w:val="nil"/>
              <w:left w:val="single" w:sz="4" w:space="0" w:color="auto"/>
              <w:bottom w:val="single" w:sz="4" w:space="0" w:color="auto"/>
              <w:right w:val="single" w:sz="4" w:space="0" w:color="auto"/>
            </w:tcBorders>
            <w:shd w:val="clear" w:color="auto" w:fill="auto"/>
            <w:noWrap/>
            <w:vAlign w:val="center"/>
            <w:hideMark/>
          </w:tcPr>
          <w:p w14:paraId="67A27CA3" w14:textId="77777777" w:rsidR="003011FF" w:rsidRPr="00746E61" w:rsidRDefault="003011FF"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Sarapiquí</w:t>
            </w:r>
          </w:p>
        </w:tc>
        <w:tc>
          <w:tcPr>
            <w:tcW w:w="1129" w:type="dxa"/>
            <w:tcBorders>
              <w:top w:val="nil"/>
              <w:left w:val="nil"/>
              <w:bottom w:val="single" w:sz="4" w:space="0" w:color="auto"/>
              <w:right w:val="single" w:sz="4" w:space="0" w:color="auto"/>
            </w:tcBorders>
            <w:shd w:val="clear" w:color="auto" w:fill="auto"/>
            <w:noWrap/>
            <w:vAlign w:val="center"/>
            <w:hideMark/>
          </w:tcPr>
          <w:p w14:paraId="5F945DFE"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168</w:t>
            </w:r>
          </w:p>
        </w:tc>
        <w:tc>
          <w:tcPr>
            <w:tcW w:w="1129" w:type="dxa"/>
            <w:tcBorders>
              <w:top w:val="nil"/>
              <w:left w:val="nil"/>
              <w:bottom w:val="single" w:sz="4" w:space="0" w:color="auto"/>
              <w:right w:val="single" w:sz="4" w:space="0" w:color="auto"/>
            </w:tcBorders>
            <w:shd w:val="clear" w:color="auto" w:fill="auto"/>
            <w:noWrap/>
            <w:vAlign w:val="center"/>
            <w:hideMark/>
          </w:tcPr>
          <w:p w14:paraId="59E6BEE0"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141</w:t>
            </w:r>
          </w:p>
        </w:tc>
        <w:tc>
          <w:tcPr>
            <w:tcW w:w="1020" w:type="dxa"/>
            <w:tcBorders>
              <w:top w:val="nil"/>
              <w:left w:val="nil"/>
              <w:bottom w:val="single" w:sz="4" w:space="0" w:color="auto"/>
              <w:right w:val="single" w:sz="4" w:space="0" w:color="auto"/>
            </w:tcBorders>
            <w:shd w:val="clear" w:color="auto" w:fill="auto"/>
            <w:noWrap/>
            <w:vAlign w:val="center"/>
            <w:hideMark/>
          </w:tcPr>
          <w:p w14:paraId="04357CE8"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169</w:t>
            </w:r>
          </w:p>
        </w:tc>
        <w:tc>
          <w:tcPr>
            <w:tcW w:w="1796" w:type="dxa"/>
            <w:tcBorders>
              <w:top w:val="nil"/>
              <w:left w:val="nil"/>
              <w:bottom w:val="single" w:sz="4" w:space="0" w:color="auto"/>
              <w:right w:val="single" w:sz="4" w:space="0" w:color="auto"/>
            </w:tcBorders>
            <w:shd w:val="clear" w:color="auto" w:fill="auto"/>
            <w:vAlign w:val="center"/>
            <w:hideMark/>
          </w:tcPr>
          <w:p w14:paraId="1305887B" w14:textId="77777777" w:rsidR="003011FF" w:rsidRPr="00746E61" w:rsidRDefault="003011F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0,93%</w:t>
            </w:r>
          </w:p>
        </w:tc>
        <w:tc>
          <w:tcPr>
            <w:tcW w:w="1796" w:type="dxa"/>
            <w:tcBorders>
              <w:top w:val="nil"/>
              <w:left w:val="nil"/>
              <w:bottom w:val="single" w:sz="4" w:space="0" w:color="auto"/>
              <w:right w:val="single" w:sz="4" w:space="0" w:color="auto"/>
            </w:tcBorders>
            <w:shd w:val="clear" w:color="auto" w:fill="auto"/>
            <w:vAlign w:val="center"/>
            <w:hideMark/>
          </w:tcPr>
          <w:p w14:paraId="56519300" w14:textId="77777777" w:rsidR="003011FF" w:rsidRPr="00746E61" w:rsidRDefault="003011F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20,01%</w:t>
            </w:r>
          </w:p>
        </w:tc>
      </w:tr>
      <w:tr w:rsidR="003011FF" w:rsidRPr="00746E61" w14:paraId="3DF82C5B" w14:textId="77777777" w:rsidTr="003011FF">
        <w:trPr>
          <w:trHeight w:val="248"/>
          <w:jc w:val="center"/>
        </w:trPr>
        <w:tc>
          <w:tcPr>
            <w:tcW w:w="3307" w:type="dxa"/>
            <w:tcBorders>
              <w:top w:val="nil"/>
              <w:left w:val="single" w:sz="4" w:space="0" w:color="auto"/>
              <w:bottom w:val="single" w:sz="4" w:space="0" w:color="auto"/>
              <w:right w:val="single" w:sz="4" w:space="0" w:color="auto"/>
            </w:tcBorders>
            <w:shd w:val="clear" w:color="auto" w:fill="auto"/>
            <w:noWrap/>
            <w:vAlign w:val="center"/>
            <w:hideMark/>
          </w:tcPr>
          <w:p w14:paraId="04E61B2B" w14:textId="77777777" w:rsidR="003011FF" w:rsidRPr="00746E61" w:rsidRDefault="003011FF"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Cartago</w:t>
            </w:r>
          </w:p>
        </w:tc>
        <w:tc>
          <w:tcPr>
            <w:tcW w:w="1129" w:type="dxa"/>
            <w:tcBorders>
              <w:top w:val="nil"/>
              <w:left w:val="nil"/>
              <w:bottom w:val="single" w:sz="4" w:space="0" w:color="auto"/>
              <w:right w:val="single" w:sz="4" w:space="0" w:color="auto"/>
            </w:tcBorders>
            <w:shd w:val="clear" w:color="auto" w:fill="auto"/>
            <w:noWrap/>
            <w:vAlign w:val="center"/>
            <w:hideMark/>
          </w:tcPr>
          <w:p w14:paraId="0AACEE55"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654</w:t>
            </w:r>
          </w:p>
        </w:tc>
        <w:tc>
          <w:tcPr>
            <w:tcW w:w="1129" w:type="dxa"/>
            <w:tcBorders>
              <w:top w:val="nil"/>
              <w:left w:val="nil"/>
              <w:bottom w:val="single" w:sz="4" w:space="0" w:color="auto"/>
              <w:right w:val="single" w:sz="4" w:space="0" w:color="auto"/>
            </w:tcBorders>
            <w:shd w:val="clear" w:color="auto" w:fill="auto"/>
            <w:noWrap/>
            <w:vAlign w:val="center"/>
            <w:hideMark/>
          </w:tcPr>
          <w:p w14:paraId="273FDEB7"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593</w:t>
            </w:r>
          </w:p>
        </w:tc>
        <w:tc>
          <w:tcPr>
            <w:tcW w:w="1020" w:type="dxa"/>
            <w:tcBorders>
              <w:top w:val="nil"/>
              <w:left w:val="nil"/>
              <w:bottom w:val="single" w:sz="4" w:space="0" w:color="auto"/>
              <w:right w:val="single" w:sz="4" w:space="0" w:color="auto"/>
            </w:tcBorders>
            <w:shd w:val="clear" w:color="auto" w:fill="auto"/>
            <w:noWrap/>
            <w:vAlign w:val="center"/>
            <w:hideMark/>
          </w:tcPr>
          <w:p w14:paraId="584FCFEC"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658</w:t>
            </w:r>
          </w:p>
        </w:tc>
        <w:tc>
          <w:tcPr>
            <w:tcW w:w="1796" w:type="dxa"/>
            <w:tcBorders>
              <w:top w:val="nil"/>
              <w:left w:val="nil"/>
              <w:bottom w:val="single" w:sz="4" w:space="0" w:color="auto"/>
              <w:right w:val="single" w:sz="4" w:space="0" w:color="auto"/>
            </w:tcBorders>
            <w:shd w:val="clear" w:color="auto" w:fill="auto"/>
            <w:vAlign w:val="center"/>
            <w:hideMark/>
          </w:tcPr>
          <w:p w14:paraId="08E8687B" w14:textId="77777777" w:rsidR="003011FF" w:rsidRPr="00746E61" w:rsidRDefault="003011F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0,50%</w:t>
            </w:r>
          </w:p>
        </w:tc>
        <w:tc>
          <w:tcPr>
            <w:tcW w:w="1796" w:type="dxa"/>
            <w:tcBorders>
              <w:top w:val="nil"/>
              <w:left w:val="nil"/>
              <w:bottom w:val="single" w:sz="4" w:space="0" w:color="auto"/>
              <w:right w:val="single" w:sz="4" w:space="0" w:color="auto"/>
            </w:tcBorders>
            <w:shd w:val="clear" w:color="auto" w:fill="auto"/>
            <w:vAlign w:val="center"/>
            <w:hideMark/>
          </w:tcPr>
          <w:p w14:paraId="56FCDEB2" w14:textId="77777777" w:rsidR="003011FF" w:rsidRPr="00746E61" w:rsidRDefault="003011F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10,84%</w:t>
            </w:r>
          </w:p>
        </w:tc>
      </w:tr>
      <w:tr w:rsidR="003011FF" w:rsidRPr="00746E61" w14:paraId="5F0C0061" w14:textId="77777777" w:rsidTr="003011FF">
        <w:trPr>
          <w:trHeight w:val="248"/>
          <w:jc w:val="center"/>
        </w:trPr>
        <w:tc>
          <w:tcPr>
            <w:tcW w:w="3307" w:type="dxa"/>
            <w:tcBorders>
              <w:top w:val="nil"/>
              <w:left w:val="single" w:sz="4" w:space="0" w:color="auto"/>
              <w:bottom w:val="single" w:sz="4" w:space="0" w:color="auto"/>
              <w:right w:val="single" w:sz="4" w:space="0" w:color="auto"/>
            </w:tcBorders>
            <w:shd w:val="clear" w:color="auto" w:fill="auto"/>
            <w:noWrap/>
            <w:vAlign w:val="center"/>
            <w:hideMark/>
          </w:tcPr>
          <w:p w14:paraId="74CA62CA" w14:textId="77777777" w:rsidR="003011FF" w:rsidRPr="00746E61" w:rsidRDefault="003011FF"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Heredia</w:t>
            </w:r>
          </w:p>
        </w:tc>
        <w:tc>
          <w:tcPr>
            <w:tcW w:w="1129" w:type="dxa"/>
            <w:tcBorders>
              <w:top w:val="nil"/>
              <w:left w:val="nil"/>
              <w:bottom w:val="single" w:sz="4" w:space="0" w:color="auto"/>
              <w:right w:val="single" w:sz="4" w:space="0" w:color="auto"/>
            </w:tcBorders>
            <w:shd w:val="clear" w:color="auto" w:fill="auto"/>
            <w:noWrap/>
            <w:vAlign w:val="center"/>
            <w:hideMark/>
          </w:tcPr>
          <w:p w14:paraId="133CE761"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576</w:t>
            </w:r>
          </w:p>
        </w:tc>
        <w:tc>
          <w:tcPr>
            <w:tcW w:w="1129" w:type="dxa"/>
            <w:tcBorders>
              <w:top w:val="nil"/>
              <w:left w:val="nil"/>
              <w:bottom w:val="single" w:sz="4" w:space="0" w:color="auto"/>
              <w:right w:val="single" w:sz="4" w:space="0" w:color="auto"/>
            </w:tcBorders>
            <w:shd w:val="clear" w:color="auto" w:fill="auto"/>
            <w:noWrap/>
            <w:vAlign w:val="center"/>
            <w:hideMark/>
          </w:tcPr>
          <w:p w14:paraId="228541CB"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495</w:t>
            </w:r>
          </w:p>
        </w:tc>
        <w:tc>
          <w:tcPr>
            <w:tcW w:w="1020" w:type="dxa"/>
            <w:tcBorders>
              <w:top w:val="nil"/>
              <w:left w:val="nil"/>
              <w:bottom w:val="single" w:sz="4" w:space="0" w:color="auto"/>
              <w:right w:val="single" w:sz="4" w:space="0" w:color="auto"/>
            </w:tcBorders>
            <w:shd w:val="clear" w:color="auto" w:fill="auto"/>
            <w:noWrap/>
            <w:vAlign w:val="center"/>
            <w:hideMark/>
          </w:tcPr>
          <w:p w14:paraId="6D39BC25"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558</w:t>
            </w:r>
          </w:p>
        </w:tc>
        <w:tc>
          <w:tcPr>
            <w:tcW w:w="1796" w:type="dxa"/>
            <w:tcBorders>
              <w:top w:val="nil"/>
              <w:left w:val="nil"/>
              <w:bottom w:val="single" w:sz="4" w:space="0" w:color="auto"/>
              <w:right w:val="single" w:sz="4" w:space="0" w:color="auto"/>
            </w:tcBorders>
            <w:shd w:val="clear" w:color="auto" w:fill="auto"/>
            <w:vAlign w:val="center"/>
            <w:hideMark/>
          </w:tcPr>
          <w:p w14:paraId="5AF3C882" w14:textId="77777777" w:rsidR="003011FF" w:rsidRPr="00746E61" w:rsidRDefault="003011F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-3,21%</w:t>
            </w:r>
          </w:p>
        </w:tc>
        <w:tc>
          <w:tcPr>
            <w:tcW w:w="1796" w:type="dxa"/>
            <w:tcBorders>
              <w:top w:val="nil"/>
              <w:left w:val="nil"/>
              <w:bottom w:val="single" w:sz="4" w:space="0" w:color="auto"/>
              <w:right w:val="single" w:sz="4" w:space="0" w:color="auto"/>
            </w:tcBorders>
            <w:shd w:val="clear" w:color="auto" w:fill="auto"/>
            <w:vAlign w:val="center"/>
            <w:hideMark/>
          </w:tcPr>
          <w:p w14:paraId="556000D0" w14:textId="77777777" w:rsidR="003011FF" w:rsidRPr="00746E61" w:rsidRDefault="003011F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12,76%</w:t>
            </w:r>
          </w:p>
        </w:tc>
      </w:tr>
      <w:tr w:rsidR="003011FF" w:rsidRPr="00746E61" w14:paraId="6AB4F238" w14:textId="77777777" w:rsidTr="003011FF">
        <w:trPr>
          <w:trHeight w:val="248"/>
          <w:jc w:val="center"/>
        </w:trPr>
        <w:tc>
          <w:tcPr>
            <w:tcW w:w="3307" w:type="dxa"/>
            <w:tcBorders>
              <w:top w:val="nil"/>
              <w:left w:val="single" w:sz="4" w:space="0" w:color="auto"/>
              <w:bottom w:val="single" w:sz="4" w:space="0" w:color="auto"/>
              <w:right w:val="single" w:sz="4" w:space="0" w:color="auto"/>
            </w:tcBorders>
            <w:shd w:val="clear" w:color="auto" w:fill="auto"/>
            <w:noWrap/>
            <w:vAlign w:val="center"/>
            <w:hideMark/>
          </w:tcPr>
          <w:p w14:paraId="6A777AC1" w14:textId="77777777" w:rsidR="003011FF" w:rsidRPr="00746E61" w:rsidRDefault="003011FF"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Golfito</w:t>
            </w:r>
          </w:p>
        </w:tc>
        <w:tc>
          <w:tcPr>
            <w:tcW w:w="1129" w:type="dxa"/>
            <w:tcBorders>
              <w:top w:val="nil"/>
              <w:left w:val="nil"/>
              <w:bottom w:val="single" w:sz="4" w:space="0" w:color="auto"/>
              <w:right w:val="single" w:sz="4" w:space="0" w:color="auto"/>
            </w:tcBorders>
            <w:shd w:val="clear" w:color="auto" w:fill="auto"/>
            <w:noWrap/>
            <w:vAlign w:val="center"/>
            <w:hideMark/>
          </w:tcPr>
          <w:p w14:paraId="04AD1F13"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151</w:t>
            </w:r>
          </w:p>
        </w:tc>
        <w:tc>
          <w:tcPr>
            <w:tcW w:w="1129" w:type="dxa"/>
            <w:tcBorders>
              <w:top w:val="nil"/>
              <w:left w:val="nil"/>
              <w:bottom w:val="single" w:sz="4" w:space="0" w:color="auto"/>
              <w:right w:val="single" w:sz="4" w:space="0" w:color="auto"/>
            </w:tcBorders>
            <w:shd w:val="clear" w:color="auto" w:fill="auto"/>
            <w:noWrap/>
            <w:vAlign w:val="center"/>
            <w:hideMark/>
          </w:tcPr>
          <w:p w14:paraId="008DD108"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164</w:t>
            </w:r>
          </w:p>
        </w:tc>
        <w:tc>
          <w:tcPr>
            <w:tcW w:w="1020" w:type="dxa"/>
            <w:tcBorders>
              <w:top w:val="nil"/>
              <w:left w:val="nil"/>
              <w:bottom w:val="single" w:sz="4" w:space="0" w:color="auto"/>
              <w:right w:val="single" w:sz="4" w:space="0" w:color="auto"/>
            </w:tcBorders>
            <w:shd w:val="clear" w:color="auto" w:fill="auto"/>
            <w:noWrap/>
            <w:vAlign w:val="center"/>
            <w:hideMark/>
          </w:tcPr>
          <w:p w14:paraId="5B98CB10"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146</w:t>
            </w:r>
          </w:p>
        </w:tc>
        <w:tc>
          <w:tcPr>
            <w:tcW w:w="1796" w:type="dxa"/>
            <w:tcBorders>
              <w:top w:val="nil"/>
              <w:left w:val="nil"/>
              <w:bottom w:val="single" w:sz="4" w:space="0" w:color="auto"/>
              <w:right w:val="single" w:sz="4" w:space="0" w:color="auto"/>
            </w:tcBorders>
            <w:shd w:val="clear" w:color="auto" w:fill="auto"/>
            <w:vAlign w:val="center"/>
            <w:hideMark/>
          </w:tcPr>
          <w:p w14:paraId="0FB316A2" w14:textId="77777777" w:rsidR="003011FF" w:rsidRPr="00746E61" w:rsidRDefault="003011F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-3,69%</w:t>
            </w:r>
          </w:p>
        </w:tc>
        <w:tc>
          <w:tcPr>
            <w:tcW w:w="1796" w:type="dxa"/>
            <w:tcBorders>
              <w:top w:val="nil"/>
              <w:left w:val="nil"/>
              <w:bottom w:val="single" w:sz="4" w:space="0" w:color="auto"/>
              <w:right w:val="single" w:sz="4" w:space="0" w:color="auto"/>
            </w:tcBorders>
            <w:shd w:val="clear" w:color="auto" w:fill="auto"/>
            <w:vAlign w:val="center"/>
            <w:hideMark/>
          </w:tcPr>
          <w:p w14:paraId="6478006B" w14:textId="77777777" w:rsidR="003011FF" w:rsidRPr="00746E61" w:rsidRDefault="003011F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-11,07%</w:t>
            </w:r>
          </w:p>
        </w:tc>
      </w:tr>
      <w:tr w:rsidR="003011FF" w:rsidRPr="00746E61" w14:paraId="1F69C36C" w14:textId="77777777" w:rsidTr="003011FF">
        <w:trPr>
          <w:trHeight w:val="248"/>
          <w:jc w:val="center"/>
        </w:trPr>
        <w:tc>
          <w:tcPr>
            <w:tcW w:w="3307" w:type="dxa"/>
            <w:tcBorders>
              <w:top w:val="nil"/>
              <w:left w:val="single" w:sz="4" w:space="0" w:color="auto"/>
              <w:bottom w:val="single" w:sz="4" w:space="0" w:color="auto"/>
              <w:right w:val="single" w:sz="4" w:space="0" w:color="auto"/>
            </w:tcBorders>
            <w:shd w:val="clear" w:color="auto" w:fill="auto"/>
            <w:noWrap/>
            <w:vAlign w:val="center"/>
            <w:hideMark/>
          </w:tcPr>
          <w:p w14:paraId="3ABD3705" w14:textId="77777777" w:rsidR="003011FF" w:rsidRPr="00746E61" w:rsidRDefault="003011FF"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Pavas</w:t>
            </w:r>
          </w:p>
        </w:tc>
        <w:tc>
          <w:tcPr>
            <w:tcW w:w="1129" w:type="dxa"/>
            <w:tcBorders>
              <w:top w:val="nil"/>
              <w:left w:val="nil"/>
              <w:bottom w:val="single" w:sz="4" w:space="0" w:color="auto"/>
              <w:right w:val="single" w:sz="4" w:space="0" w:color="auto"/>
            </w:tcBorders>
            <w:shd w:val="clear" w:color="auto" w:fill="auto"/>
            <w:noWrap/>
            <w:vAlign w:val="center"/>
            <w:hideMark/>
          </w:tcPr>
          <w:p w14:paraId="07F48B25"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433</w:t>
            </w:r>
          </w:p>
        </w:tc>
        <w:tc>
          <w:tcPr>
            <w:tcW w:w="1129" w:type="dxa"/>
            <w:tcBorders>
              <w:top w:val="nil"/>
              <w:left w:val="nil"/>
              <w:bottom w:val="single" w:sz="4" w:space="0" w:color="auto"/>
              <w:right w:val="single" w:sz="4" w:space="0" w:color="auto"/>
            </w:tcBorders>
            <w:shd w:val="clear" w:color="auto" w:fill="auto"/>
            <w:noWrap/>
            <w:vAlign w:val="center"/>
            <w:hideMark/>
          </w:tcPr>
          <w:p w14:paraId="4B8AB321"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432</w:t>
            </w:r>
          </w:p>
        </w:tc>
        <w:tc>
          <w:tcPr>
            <w:tcW w:w="1020" w:type="dxa"/>
            <w:tcBorders>
              <w:top w:val="nil"/>
              <w:left w:val="nil"/>
              <w:bottom w:val="single" w:sz="4" w:space="0" w:color="auto"/>
              <w:right w:val="single" w:sz="4" w:space="0" w:color="auto"/>
            </w:tcBorders>
            <w:shd w:val="clear" w:color="auto" w:fill="auto"/>
            <w:noWrap/>
            <w:vAlign w:val="center"/>
            <w:hideMark/>
          </w:tcPr>
          <w:p w14:paraId="2306C4AB"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416</w:t>
            </w:r>
          </w:p>
        </w:tc>
        <w:tc>
          <w:tcPr>
            <w:tcW w:w="1796" w:type="dxa"/>
            <w:tcBorders>
              <w:top w:val="nil"/>
              <w:left w:val="nil"/>
              <w:bottom w:val="single" w:sz="4" w:space="0" w:color="auto"/>
              <w:right w:val="single" w:sz="4" w:space="0" w:color="auto"/>
            </w:tcBorders>
            <w:shd w:val="clear" w:color="auto" w:fill="auto"/>
            <w:vAlign w:val="center"/>
            <w:hideMark/>
          </w:tcPr>
          <w:p w14:paraId="55B39921" w14:textId="77777777" w:rsidR="003011FF" w:rsidRPr="00746E61" w:rsidRDefault="003011F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-3,92%</w:t>
            </w:r>
          </w:p>
        </w:tc>
        <w:tc>
          <w:tcPr>
            <w:tcW w:w="1796" w:type="dxa"/>
            <w:tcBorders>
              <w:top w:val="nil"/>
              <w:left w:val="nil"/>
              <w:bottom w:val="single" w:sz="4" w:space="0" w:color="auto"/>
              <w:right w:val="single" w:sz="4" w:space="0" w:color="auto"/>
            </w:tcBorders>
            <w:shd w:val="clear" w:color="auto" w:fill="auto"/>
            <w:vAlign w:val="center"/>
            <w:hideMark/>
          </w:tcPr>
          <w:p w14:paraId="66066BFD" w14:textId="77777777" w:rsidR="003011FF" w:rsidRPr="00746E61" w:rsidRDefault="003011F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-3,68%</w:t>
            </w:r>
          </w:p>
        </w:tc>
      </w:tr>
      <w:tr w:rsidR="003011FF" w:rsidRPr="00746E61" w14:paraId="7D8649A0" w14:textId="77777777" w:rsidTr="003011FF">
        <w:trPr>
          <w:trHeight w:val="248"/>
          <w:jc w:val="center"/>
        </w:trPr>
        <w:tc>
          <w:tcPr>
            <w:tcW w:w="3307" w:type="dxa"/>
            <w:tcBorders>
              <w:top w:val="nil"/>
              <w:left w:val="single" w:sz="4" w:space="0" w:color="auto"/>
              <w:bottom w:val="single" w:sz="4" w:space="0" w:color="auto"/>
              <w:right w:val="single" w:sz="4" w:space="0" w:color="auto"/>
            </w:tcBorders>
            <w:shd w:val="clear" w:color="auto" w:fill="auto"/>
            <w:noWrap/>
            <w:vAlign w:val="center"/>
            <w:hideMark/>
          </w:tcPr>
          <w:p w14:paraId="377AB909" w14:textId="77777777" w:rsidR="003011FF" w:rsidRPr="00746E61" w:rsidRDefault="003011FF"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Santa Cruz</w:t>
            </w:r>
          </w:p>
        </w:tc>
        <w:tc>
          <w:tcPr>
            <w:tcW w:w="1129" w:type="dxa"/>
            <w:tcBorders>
              <w:top w:val="nil"/>
              <w:left w:val="nil"/>
              <w:bottom w:val="single" w:sz="4" w:space="0" w:color="auto"/>
              <w:right w:val="single" w:sz="4" w:space="0" w:color="auto"/>
            </w:tcBorders>
            <w:shd w:val="clear" w:color="auto" w:fill="auto"/>
            <w:noWrap/>
            <w:vAlign w:val="center"/>
            <w:hideMark/>
          </w:tcPr>
          <w:p w14:paraId="7A196DF3"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332</w:t>
            </w:r>
          </w:p>
        </w:tc>
        <w:tc>
          <w:tcPr>
            <w:tcW w:w="1129" w:type="dxa"/>
            <w:tcBorders>
              <w:top w:val="nil"/>
              <w:left w:val="nil"/>
              <w:bottom w:val="single" w:sz="4" w:space="0" w:color="auto"/>
              <w:right w:val="single" w:sz="4" w:space="0" w:color="auto"/>
            </w:tcBorders>
            <w:shd w:val="clear" w:color="auto" w:fill="auto"/>
            <w:noWrap/>
            <w:vAlign w:val="center"/>
            <w:hideMark/>
          </w:tcPr>
          <w:p w14:paraId="3C9C01C2"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274</w:t>
            </w:r>
          </w:p>
        </w:tc>
        <w:tc>
          <w:tcPr>
            <w:tcW w:w="1020" w:type="dxa"/>
            <w:tcBorders>
              <w:top w:val="nil"/>
              <w:left w:val="nil"/>
              <w:bottom w:val="single" w:sz="4" w:space="0" w:color="auto"/>
              <w:right w:val="single" w:sz="4" w:space="0" w:color="auto"/>
            </w:tcBorders>
            <w:shd w:val="clear" w:color="auto" w:fill="auto"/>
            <w:noWrap/>
            <w:vAlign w:val="center"/>
            <w:hideMark/>
          </w:tcPr>
          <w:p w14:paraId="47FC3A54"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311</w:t>
            </w:r>
          </w:p>
        </w:tc>
        <w:tc>
          <w:tcPr>
            <w:tcW w:w="1796" w:type="dxa"/>
            <w:tcBorders>
              <w:top w:val="nil"/>
              <w:left w:val="nil"/>
              <w:bottom w:val="single" w:sz="4" w:space="0" w:color="auto"/>
              <w:right w:val="single" w:sz="4" w:space="0" w:color="auto"/>
            </w:tcBorders>
            <w:shd w:val="clear" w:color="auto" w:fill="auto"/>
            <w:vAlign w:val="center"/>
            <w:hideMark/>
          </w:tcPr>
          <w:p w14:paraId="325693F7" w14:textId="77777777" w:rsidR="003011FF" w:rsidRPr="00746E61" w:rsidRDefault="003011F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-6,25%</w:t>
            </w:r>
          </w:p>
        </w:tc>
        <w:tc>
          <w:tcPr>
            <w:tcW w:w="1796" w:type="dxa"/>
            <w:tcBorders>
              <w:top w:val="nil"/>
              <w:left w:val="nil"/>
              <w:bottom w:val="single" w:sz="4" w:space="0" w:color="auto"/>
              <w:right w:val="single" w:sz="4" w:space="0" w:color="auto"/>
            </w:tcBorders>
            <w:shd w:val="clear" w:color="auto" w:fill="auto"/>
            <w:vAlign w:val="center"/>
            <w:hideMark/>
          </w:tcPr>
          <w:p w14:paraId="3E773057" w14:textId="77777777" w:rsidR="003011FF" w:rsidRPr="00746E61" w:rsidRDefault="003011F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13,64%</w:t>
            </w:r>
          </w:p>
        </w:tc>
      </w:tr>
      <w:tr w:rsidR="003011FF" w:rsidRPr="00746E61" w14:paraId="7415F9BC" w14:textId="77777777" w:rsidTr="003011FF">
        <w:trPr>
          <w:trHeight w:val="248"/>
          <w:jc w:val="center"/>
        </w:trPr>
        <w:tc>
          <w:tcPr>
            <w:tcW w:w="3307" w:type="dxa"/>
            <w:tcBorders>
              <w:top w:val="nil"/>
              <w:left w:val="single" w:sz="4" w:space="0" w:color="auto"/>
              <w:bottom w:val="single" w:sz="4" w:space="0" w:color="auto"/>
              <w:right w:val="single" w:sz="4" w:space="0" w:color="auto"/>
            </w:tcBorders>
            <w:shd w:val="clear" w:color="auto" w:fill="auto"/>
            <w:noWrap/>
            <w:vAlign w:val="center"/>
            <w:hideMark/>
          </w:tcPr>
          <w:p w14:paraId="23C37F08" w14:textId="77777777" w:rsidR="003011FF" w:rsidRPr="00746E61" w:rsidRDefault="003011FF"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Corredores</w:t>
            </w:r>
          </w:p>
        </w:tc>
        <w:tc>
          <w:tcPr>
            <w:tcW w:w="1129" w:type="dxa"/>
            <w:tcBorders>
              <w:top w:val="nil"/>
              <w:left w:val="nil"/>
              <w:bottom w:val="single" w:sz="4" w:space="0" w:color="auto"/>
              <w:right w:val="single" w:sz="4" w:space="0" w:color="auto"/>
            </w:tcBorders>
            <w:shd w:val="clear" w:color="auto" w:fill="auto"/>
            <w:noWrap/>
            <w:vAlign w:val="center"/>
            <w:hideMark/>
          </w:tcPr>
          <w:p w14:paraId="1DED0BC8"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150</w:t>
            </w:r>
          </w:p>
        </w:tc>
        <w:tc>
          <w:tcPr>
            <w:tcW w:w="1129" w:type="dxa"/>
            <w:tcBorders>
              <w:top w:val="nil"/>
              <w:left w:val="nil"/>
              <w:bottom w:val="single" w:sz="4" w:space="0" w:color="auto"/>
              <w:right w:val="single" w:sz="4" w:space="0" w:color="auto"/>
            </w:tcBorders>
            <w:shd w:val="clear" w:color="auto" w:fill="auto"/>
            <w:noWrap/>
            <w:vAlign w:val="center"/>
            <w:hideMark/>
          </w:tcPr>
          <w:p w14:paraId="29E9C223"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150</w:t>
            </w:r>
          </w:p>
        </w:tc>
        <w:tc>
          <w:tcPr>
            <w:tcW w:w="1020" w:type="dxa"/>
            <w:tcBorders>
              <w:top w:val="nil"/>
              <w:left w:val="nil"/>
              <w:bottom w:val="single" w:sz="4" w:space="0" w:color="auto"/>
              <w:right w:val="single" w:sz="4" w:space="0" w:color="auto"/>
            </w:tcBorders>
            <w:shd w:val="clear" w:color="auto" w:fill="auto"/>
            <w:noWrap/>
            <w:vAlign w:val="center"/>
            <w:hideMark/>
          </w:tcPr>
          <w:p w14:paraId="07C98153"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137</w:t>
            </w:r>
          </w:p>
        </w:tc>
        <w:tc>
          <w:tcPr>
            <w:tcW w:w="1796" w:type="dxa"/>
            <w:tcBorders>
              <w:top w:val="nil"/>
              <w:left w:val="nil"/>
              <w:bottom w:val="single" w:sz="4" w:space="0" w:color="auto"/>
              <w:right w:val="single" w:sz="4" w:space="0" w:color="auto"/>
            </w:tcBorders>
            <w:shd w:val="clear" w:color="auto" w:fill="auto"/>
            <w:vAlign w:val="center"/>
            <w:hideMark/>
          </w:tcPr>
          <w:p w14:paraId="58730100" w14:textId="77777777" w:rsidR="003011FF" w:rsidRPr="00746E61" w:rsidRDefault="003011F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-8,49%</w:t>
            </w:r>
          </w:p>
        </w:tc>
        <w:tc>
          <w:tcPr>
            <w:tcW w:w="1796" w:type="dxa"/>
            <w:tcBorders>
              <w:top w:val="nil"/>
              <w:left w:val="nil"/>
              <w:bottom w:val="single" w:sz="4" w:space="0" w:color="auto"/>
              <w:right w:val="single" w:sz="4" w:space="0" w:color="auto"/>
            </w:tcBorders>
            <w:shd w:val="clear" w:color="auto" w:fill="auto"/>
            <w:vAlign w:val="center"/>
            <w:hideMark/>
          </w:tcPr>
          <w:p w14:paraId="4EFA5183" w14:textId="77777777" w:rsidR="003011FF" w:rsidRPr="00746E61" w:rsidRDefault="003011F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-8,71%</w:t>
            </w:r>
          </w:p>
        </w:tc>
      </w:tr>
      <w:tr w:rsidR="003011FF" w:rsidRPr="00746E61" w14:paraId="6947E676" w14:textId="77777777" w:rsidTr="003011FF">
        <w:trPr>
          <w:trHeight w:val="248"/>
          <w:jc w:val="center"/>
        </w:trPr>
        <w:tc>
          <w:tcPr>
            <w:tcW w:w="3307" w:type="dxa"/>
            <w:tcBorders>
              <w:top w:val="nil"/>
              <w:left w:val="single" w:sz="4" w:space="0" w:color="auto"/>
              <w:bottom w:val="single" w:sz="4" w:space="0" w:color="auto"/>
              <w:right w:val="single" w:sz="4" w:space="0" w:color="auto"/>
            </w:tcBorders>
            <w:shd w:val="clear" w:color="auto" w:fill="auto"/>
            <w:noWrap/>
            <w:vAlign w:val="center"/>
            <w:hideMark/>
          </w:tcPr>
          <w:p w14:paraId="0A1A97C3" w14:textId="77777777" w:rsidR="003011FF" w:rsidRPr="00746E61" w:rsidRDefault="003011FF"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Alajuela</w:t>
            </w:r>
          </w:p>
        </w:tc>
        <w:tc>
          <w:tcPr>
            <w:tcW w:w="1129" w:type="dxa"/>
            <w:tcBorders>
              <w:top w:val="nil"/>
              <w:left w:val="nil"/>
              <w:bottom w:val="single" w:sz="4" w:space="0" w:color="auto"/>
              <w:right w:val="single" w:sz="4" w:space="0" w:color="auto"/>
            </w:tcBorders>
            <w:shd w:val="clear" w:color="auto" w:fill="auto"/>
            <w:noWrap/>
            <w:vAlign w:val="center"/>
            <w:hideMark/>
          </w:tcPr>
          <w:p w14:paraId="393CCE0F"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966</w:t>
            </w:r>
          </w:p>
        </w:tc>
        <w:tc>
          <w:tcPr>
            <w:tcW w:w="1129" w:type="dxa"/>
            <w:tcBorders>
              <w:top w:val="nil"/>
              <w:left w:val="nil"/>
              <w:bottom w:val="single" w:sz="4" w:space="0" w:color="auto"/>
              <w:right w:val="single" w:sz="4" w:space="0" w:color="auto"/>
            </w:tcBorders>
            <w:shd w:val="clear" w:color="auto" w:fill="auto"/>
            <w:noWrap/>
            <w:vAlign w:val="center"/>
            <w:hideMark/>
          </w:tcPr>
          <w:p w14:paraId="6CB9F475"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713</w:t>
            </w:r>
          </w:p>
        </w:tc>
        <w:tc>
          <w:tcPr>
            <w:tcW w:w="1020" w:type="dxa"/>
            <w:tcBorders>
              <w:top w:val="nil"/>
              <w:left w:val="nil"/>
              <w:bottom w:val="single" w:sz="4" w:space="0" w:color="auto"/>
              <w:right w:val="single" w:sz="4" w:space="0" w:color="auto"/>
            </w:tcBorders>
            <w:shd w:val="clear" w:color="auto" w:fill="auto"/>
            <w:noWrap/>
            <w:vAlign w:val="center"/>
            <w:hideMark/>
          </w:tcPr>
          <w:p w14:paraId="34E412A2"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870</w:t>
            </w:r>
          </w:p>
        </w:tc>
        <w:tc>
          <w:tcPr>
            <w:tcW w:w="1796" w:type="dxa"/>
            <w:tcBorders>
              <w:top w:val="nil"/>
              <w:left w:val="nil"/>
              <w:bottom w:val="single" w:sz="4" w:space="0" w:color="auto"/>
              <w:right w:val="single" w:sz="4" w:space="0" w:color="auto"/>
            </w:tcBorders>
            <w:shd w:val="clear" w:color="auto" w:fill="auto"/>
            <w:vAlign w:val="center"/>
            <w:hideMark/>
          </w:tcPr>
          <w:p w14:paraId="2CAB9A82" w14:textId="77777777" w:rsidR="003011FF" w:rsidRPr="00746E61" w:rsidRDefault="003011F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-9,89%</w:t>
            </w:r>
          </w:p>
        </w:tc>
        <w:tc>
          <w:tcPr>
            <w:tcW w:w="1796" w:type="dxa"/>
            <w:tcBorders>
              <w:top w:val="nil"/>
              <w:left w:val="nil"/>
              <w:bottom w:val="single" w:sz="4" w:space="0" w:color="auto"/>
              <w:right w:val="single" w:sz="4" w:space="0" w:color="auto"/>
            </w:tcBorders>
            <w:shd w:val="clear" w:color="auto" w:fill="auto"/>
            <w:vAlign w:val="center"/>
            <w:hideMark/>
          </w:tcPr>
          <w:p w14:paraId="4E5335E8" w14:textId="77777777" w:rsidR="003011FF" w:rsidRPr="00746E61" w:rsidRDefault="003011F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22,10%</w:t>
            </w:r>
          </w:p>
        </w:tc>
      </w:tr>
      <w:tr w:rsidR="003011FF" w:rsidRPr="00746E61" w14:paraId="6D303E69" w14:textId="77777777" w:rsidTr="003011FF">
        <w:trPr>
          <w:trHeight w:val="248"/>
          <w:jc w:val="center"/>
        </w:trPr>
        <w:tc>
          <w:tcPr>
            <w:tcW w:w="3307" w:type="dxa"/>
            <w:tcBorders>
              <w:top w:val="nil"/>
              <w:left w:val="single" w:sz="4" w:space="0" w:color="auto"/>
              <w:bottom w:val="single" w:sz="4" w:space="0" w:color="auto"/>
              <w:right w:val="single" w:sz="4" w:space="0" w:color="auto"/>
            </w:tcBorders>
            <w:shd w:val="clear" w:color="auto" w:fill="auto"/>
            <w:noWrap/>
            <w:vAlign w:val="center"/>
            <w:hideMark/>
          </w:tcPr>
          <w:p w14:paraId="06612D43" w14:textId="77777777" w:rsidR="003011FF" w:rsidRPr="00746E61" w:rsidRDefault="003011FF"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San Joaquín de Flores</w:t>
            </w:r>
          </w:p>
        </w:tc>
        <w:tc>
          <w:tcPr>
            <w:tcW w:w="1129" w:type="dxa"/>
            <w:tcBorders>
              <w:top w:val="nil"/>
              <w:left w:val="nil"/>
              <w:bottom w:val="single" w:sz="4" w:space="0" w:color="auto"/>
              <w:right w:val="single" w:sz="4" w:space="0" w:color="auto"/>
            </w:tcBorders>
            <w:shd w:val="clear" w:color="auto" w:fill="auto"/>
            <w:noWrap/>
            <w:vAlign w:val="center"/>
            <w:hideMark/>
          </w:tcPr>
          <w:p w14:paraId="5912287F"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154</w:t>
            </w:r>
          </w:p>
        </w:tc>
        <w:tc>
          <w:tcPr>
            <w:tcW w:w="1129" w:type="dxa"/>
            <w:tcBorders>
              <w:top w:val="nil"/>
              <w:left w:val="nil"/>
              <w:bottom w:val="single" w:sz="4" w:space="0" w:color="auto"/>
              <w:right w:val="single" w:sz="4" w:space="0" w:color="auto"/>
            </w:tcBorders>
            <w:shd w:val="clear" w:color="auto" w:fill="auto"/>
            <w:noWrap/>
            <w:vAlign w:val="center"/>
            <w:hideMark/>
          </w:tcPr>
          <w:p w14:paraId="28A88314"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133</w:t>
            </w:r>
          </w:p>
        </w:tc>
        <w:tc>
          <w:tcPr>
            <w:tcW w:w="1020" w:type="dxa"/>
            <w:tcBorders>
              <w:top w:val="nil"/>
              <w:left w:val="nil"/>
              <w:bottom w:val="single" w:sz="4" w:space="0" w:color="auto"/>
              <w:right w:val="single" w:sz="4" w:space="0" w:color="auto"/>
            </w:tcBorders>
            <w:shd w:val="clear" w:color="auto" w:fill="auto"/>
            <w:noWrap/>
            <w:vAlign w:val="center"/>
            <w:hideMark/>
          </w:tcPr>
          <w:p w14:paraId="63B9622B"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136</w:t>
            </w:r>
          </w:p>
        </w:tc>
        <w:tc>
          <w:tcPr>
            <w:tcW w:w="1796" w:type="dxa"/>
            <w:tcBorders>
              <w:top w:val="nil"/>
              <w:left w:val="nil"/>
              <w:bottom w:val="single" w:sz="4" w:space="0" w:color="auto"/>
              <w:right w:val="single" w:sz="4" w:space="0" w:color="auto"/>
            </w:tcBorders>
            <w:shd w:val="clear" w:color="auto" w:fill="auto"/>
            <w:vAlign w:val="center"/>
            <w:hideMark/>
          </w:tcPr>
          <w:p w14:paraId="59F7E589" w14:textId="77777777" w:rsidR="003011FF" w:rsidRPr="00746E61" w:rsidRDefault="003011F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-11,71%</w:t>
            </w:r>
          </w:p>
        </w:tc>
        <w:tc>
          <w:tcPr>
            <w:tcW w:w="1796" w:type="dxa"/>
            <w:tcBorders>
              <w:top w:val="nil"/>
              <w:left w:val="nil"/>
              <w:bottom w:val="single" w:sz="4" w:space="0" w:color="auto"/>
              <w:right w:val="single" w:sz="4" w:space="0" w:color="auto"/>
            </w:tcBorders>
            <w:shd w:val="clear" w:color="auto" w:fill="auto"/>
            <w:vAlign w:val="center"/>
            <w:hideMark/>
          </w:tcPr>
          <w:p w14:paraId="162D916A" w14:textId="77777777" w:rsidR="003011FF" w:rsidRPr="00746E61" w:rsidRDefault="003011F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2,38%</w:t>
            </w:r>
          </w:p>
        </w:tc>
      </w:tr>
      <w:tr w:rsidR="003011FF" w:rsidRPr="00746E61" w14:paraId="79DC560A" w14:textId="77777777" w:rsidTr="003011FF">
        <w:trPr>
          <w:trHeight w:val="248"/>
          <w:jc w:val="center"/>
        </w:trPr>
        <w:tc>
          <w:tcPr>
            <w:tcW w:w="3307" w:type="dxa"/>
            <w:tcBorders>
              <w:top w:val="nil"/>
              <w:left w:val="single" w:sz="4" w:space="0" w:color="auto"/>
              <w:bottom w:val="single" w:sz="4" w:space="0" w:color="auto"/>
              <w:right w:val="single" w:sz="4" w:space="0" w:color="auto"/>
            </w:tcBorders>
            <w:shd w:val="clear" w:color="auto" w:fill="auto"/>
            <w:noWrap/>
            <w:vAlign w:val="center"/>
            <w:hideMark/>
          </w:tcPr>
          <w:p w14:paraId="6ED7371B" w14:textId="77777777" w:rsidR="003011FF" w:rsidRPr="00746E61" w:rsidRDefault="003011FF"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Puriscal</w:t>
            </w:r>
          </w:p>
        </w:tc>
        <w:tc>
          <w:tcPr>
            <w:tcW w:w="1129" w:type="dxa"/>
            <w:tcBorders>
              <w:top w:val="nil"/>
              <w:left w:val="nil"/>
              <w:bottom w:val="single" w:sz="4" w:space="0" w:color="auto"/>
              <w:right w:val="single" w:sz="4" w:space="0" w:color="auto"/>
            </w:tcBorders>
            <w:shd w:val="clear" w:color="auto" w:fill="auto"/>
            <w:noWrap/>
            <w:vAlign w:val="center"/>
            <w:hideMark/>
          </w:tcPr>
          <w:p w14:paraId="5169F57A"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101</w:t>
            </w:r>
          </w:p>
        </w:tc>
        <w:tc>
          <w:tcPr>
            <w:tcW w:w="1129" w:type="dxa"/>
            <w:tcBorders>
              <w:top w:val="nil"/>
              <w:left w:val="nil"/>
              <w:bottom w:val="single" w:sz="4" w:space="0" w:color="auto"/>
              <w:right w:val="single" w:sz="4" w:space="0" w:color="auto"/>
            </w:tcBorders>
            <w:shd w:val="clear" w:color="auto" w:fill="auto"/>
            <w:noWrap/>
            <w:vAlign w:val="center"/>
            <w:hideMark/>
          </w:tcPr>
          <w:p w14:paraId="68FB2E19"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101</w:t>
            </w:r>
          </w:p>
        </w:tc>
        <w:tc>
          <w:tcPr>
            <w:tcW w:w="1020" w:type="dxa"/>
            <w:tcBorders>
              <w:top w:val="nil"/>
              <w:left w:val="nil"/>
              <w:bottom w:val="single" w:sz="4" w:space="0" w:color="auto"/>
              <w:right w:val="single" w:sz="4" w:space="0" w:color="auto"/>
            </w:tcBorders>
            <w:shd w:val="clear" w:color="auto" w:fill="auto"/>
            <w:noWrap/>
            <w:vAlign w:val="center"/>
            <w:hideMark/>
          </w:tcPr>
          <w:p w14:paraId="07245AB0"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88</w:t>
            </w:r>
          </w:p>
        </w:tc>
        <w:tc>
          <w:tcPr>
            <w:tcW w:w="1796" w:type="dxa"/>
            <w:tcBorders>
              <w:top w:val="nil"/>
              <w:left w:val="nil"/>
              <w:bottom w:val="single" w:sz="4" w:space="0" w:color="auto"/>
              <w:right w:val="single" w:sz="4" w:space="0" w:color="auto"/>
            </w:tcBorders>
            <w:shd w:val="clear" w:color="auto" w:fill="auto"/>
            <w:vAlign w:val="center"/>
            <w:hideMark/>
          </w:tcPr>
          <w:p w14:paraId="18B7D11B" w14:textId="77777777" w:rsidR="003011FF" w:rsidRPr="00746E61" w:rsidRDefault="003011F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-12,43%</w:t>
            </w:r>
          </w:p>
        </w:tc>
        <w:tc>
          <w:tcPr>
            <w:tcW w:w="1796" w:type="dxa"/>
            <w:tcBorders>
              <w:top w:val="nil"/>
              <w:left w:val="nil"/>
              <w:bottom w:val="single" w:sz="4" w:space="0" w:color="auto"/>
              <w:right w:val="single" w:sz="4" w:space="0" w:color="auto"/>
            </w:tcBorders>
            <w:shd w:val="clear" w:color="auto" w:fill="auto"/>
            <w:vAlign w:val="center"/>
            <w:hideMark/>
          </w:tcPr>
          <w:p w14:paraId="5EDDB101" w14:textId="77777777" w:rsidR="003011FF" w:rsidRPr="00746E61" w:rsidRDefault="003011F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-12,50%</w:t>
            </w:r>
          </w:p>
        </w:tc>
      </w:tr>
      <w:tr w:rsidR="003011FF" w:rsidRPr="00746E61" w14:paraId="4A588D5C" w14:textId="77777777" w:rsidTr="003011FF">
        <w:trPr>
          <w:trHeight w:val="248"/>
          <w:jc w:val="center"/>
        </w:trPr>
        <w:tc>
          <w:tcPr>
            <w:tcW w:w="3307" w:type="dxa"/>
            <w:tcBorders>
              <w:top w:val="nil"/>
              <w:left w:val="single" w:sz="4" w:space="0" w:color="auto"/>
              <w:bottom w:val="single" w:sz="4" w:space="0" w:color="auto"/>
              <w:right w:val="single" w:sz="4" w:space="0" w:color="auto"/>
            </w:tcBorders>
            <w:shd w:val="clear" w:color="auto" w:fill="auto"/>
            <w:noWrap/>
            <w:vAlign w:val="center"/>
            <w:hideMark/>
          </w:tcPr>
          <w:p w14:paraId="14DDC64E" w14:textId="77777777" w:rsidR="003011FF" w:rsidRPr="00746E61" w:rsidRDefault="003011FF"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La Unión</w:t>
            </w:r>
          </w:p>
        </w:tc>
        <w:tc>
          <w:tcPr>
            <w:tcW w:w="1129" w:type="dxa"/>
            <w:tcBorders>
              <w:top w:val="nil"/>
              <w:left w:val="nil"/>
              <w:bottom w:val="single" w:sz="4" w:space="0" w:color="auto"/>
              <w:right w:val="single" w:sz="4" w:space="0" w:color="auto"/>
            </w:tcBorders>
            <w:shd w:val="clear" w:color="auto" w:fill="auto"/>
            <w:noWrap/>
            <w:vAlign w:val="center"/>
            <w:hideMark/>
          </w:tcPr>
          <w:p w14:paraId="1B0D5DCE"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205</w:t>
            </w:r>
          </w:p>
        </w:tc>
        <w:tc>
          <w:tcPr>
            <w:tcW w:w="1129" w:type="dxa"/>
            <w:tcBorders>
              <w:top w:val="nil"/>
              <w:left w:val="nil"/>
              <w:bottom w:val="single" w:sz="4" w:space="0" w:color="auto"/>
              <w:right w:val="single" w:sz="4" w:space="0" w:color="auto"/>
            </w:tcBorders>
            <w:shd w:val="clear" w:color="auto" w:fill="auto"/>
            <w:noWrap/>
            <w:vAlign w:val="center"/>
            <w:hideMark/>
          </w:tcPr>
          <w:p w14:paraId="6AD4558A"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146</w:t>
            </w:r>
          </w:p>
        </w:tc>
        <w:tc>
          <w:tcPr>
            <w:tcW w:w="1020" w:type="dxa"/>
            <w:tcBorders>
              <w:top w:val="nil"/>
              <w:left w:val="nil"/>
              <w:bottom w:val="single" w:sz="4" w:space="0" w:color="auto"/>
              <w:right w:val="single" w:sz="4" w:space="0" w:color="auto"/>
            </w:tcBorders>
            <w:shd w:val="clear" w:color="auto" w:fill="auto"/>
            <w:noWrap/>
            <w:vAlign w:val="center"/>
            <w:hideMark/>
          </w:tcPr>
          <w:p w14:paraId="6EE287B1"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179</w:t>
            </w:r>
          </w:p>
        </w:tc>
        <w:tc>
          <w:tcPr>
            <w:tcW w:w="1796" w:type="dxa"/>
            <w:tcBorders>
              <w:top w:val="nil"/>
              <w:left w:val="nil"/>
              <w:bottom w:val="single" w:sz="4" w:space="0" w:color="auto"/>
              <w:right w:val="single" w:sz="4" w:space="0" w:color="auto"/>
            </w:tcBorders>
            <w:shd w:val="clear" w:color="auto" w:fill="auto"/>
            <w:vAlign w:val="center"/>
            <w:hideMark/>
          </w:tcPr>
          <w:p w14:paraId="037C752F" w14:textId="77777777" w:rsidR="003011FF" w:rsidRPr="00746E61" w:rsidRDefault="003011F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-13,06%</w:t>
            </w:r>
          </w:p>
        </w:tc>
        <w:tc>
          <w:tcPr>
            <w:tcW w:w="1796" w:type="dxa"/>
            <w:tcBorders>
              <w:top w:val="nil"/>
              <w:left w:val="nil"/>
              <w:bottom w:val="single" w:sz="4" w:space="0" w:color="auto"/>
              <w:right w:val="single" w:sz="4" w:space="0" w:color="auto"/>
            </w:tcBorders>
            <w:shd w:val="clear" w:color="auto" w:fill="auto"/>
            <w:vAlign w:val="center"/>
            <w:hideMark/>
          </w:tcPr>
          <w:p w14:paraId="58A8447E" w14:textId="77777777" w:rsidR="003011FF" w:rsidRPr="00746E61" w:rsidRDefault="003011F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22,28%</w:t>
            </w:r>
          </w:p>
        </w:tc>
      </w:tr>
      <w:tr w:rsidR="003011FF" w:rsidRPr="00746E61" w14:paraId="1871F2C2" w14:textId="77777777" w:rsidTr="003011FF">
        <w:trPr>
          <w:trHeight w:val="248"/>
          <w:jc w:val="center"/>
        </w:trPr>
        <w:tc>
          <w:tcPr>
            <w:tcW w:w="3307" w:type="dxa"/>
            <w:tcBorders>
              <w:top w:val="nil"/>
              <w:left w:val="single" w:sz="4" w:space="0" w:color="auto"/>
              <w:bottom w:val="single" w:sz="4" w:space="0" w:color="auto"/>
              <w:right w:val="single" w:sz="4" w:space="0" w:color="auto"/>
            </w:tcBorders>
            <w:shd w:val="clear" w:color="auto" w:fill="auto"/>
            <w:noWrap/>
            <w:vAlign w:val="center"/>
            <w:hideMark/>
          </w:tcPr>
          <w:p w14:paraId="4233D85D" w14:textId="77777777" w:rsidR="003011FF" w:rsidRPr="00746E61" w:rsidRDefault="003011FF"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Nicoya</w:t>
            </w:r>
          </w:p>
        </w:tc>
        <w:tc>
          <w:tcPr>
            <w:tcW w:w="1129" w:type="dxa"/>
            <w:tcBorders>
              <w:top w:val="nil"/>
              <w:left w:val="nil"/>
              <w:bottom w:val="single" w:sz="4" w:space="0" w:color="auto"/>
              <w:right w:val="single" w:sz="4" w:space="0" w:color="auto"/>
            </w:tcBorders>
            <w:shd w:val="clear" w:color="auto" w:fill="auto"/>
            <w:noWrap/>
            <w:vAlign w:val="center"/>
            <w:hideMark/>
          </w:tcPr>
          <w:p w14:paraId="5A004EBC"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240</w:t>
            </w:r>
          </w:p>
        </w:tc>
        <w:tc>
          <w:tcPr>
            <w:tcW w:w="1129" w:type="dxa"/>
            <w:tcBorders>
              <w:top w:val="nil"/>
              <w:left w:val="nil"/>
              <w:bottom w:val="single" w:sz="4" w:space="0" w:color="auto"/>
              <w:right w:val="single" w:sz="4" w:space="0" w:color="auto"/>
            </w:tcBorders>
            <w:shd w:val="clear" w:color="auto" w:fill="auto"/>
            <w:noWrap/>
            <w:vAlign w:val="center"/>
            <w:hideMark/>
          </w:tcPr>
          <w:p w14:paraId="58D9722A"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194</w:t>
            </w:r>
          </w:p>
        </w:tc>
        <w:tc>
          <w:tcPr>
            <w:tcW w:w="1020" w:type="dxa"/>
            <w:tcBorders>
              <w:top w:val="nil"/>
              <w:left w:val="nil"/>
              <w:bottom w:val="single" w:sz="4" w:space="0" w:color="auto"/>
              <w:right w:val="single" w:sz="4" w:space="0" w:color="auto"/>
            </w:tcBorders>
            <w:shd w:val="clear" w:color="auto" w:fill="auto"/>
            <w:noWrap/>
            <w:vAlign w:val="center"/>
            <w:hideMark/>
          </w:tcPr>
          <w:p w14:paraId="28FD965E"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208</w:t>
            </w:r>
          </w:p>
        </w:tc>
        <w:tc>
          <w:tcPr>
            <w:tcW w:w="1796" w:type="dxa"/>
            <w:tcBorders>
              <w:top w:val="nil"/>
              <w:left w:val="nil"/>
              <w:bottom w:val="single" w:sz="4" w:space="0" w:color="auto"/>
              <w:right w:val="single" w:sz="4" w:space="0" w:color="auto"/>
            </w:tcBorders>
            <w:shd w:val="clear" w:color="auto" w:fill="auto"/>
            <w:vAlign w:val="center"/>
            <w:hideMark/>
          </w:tcPr>
          <w:p w14:paraId="237E5736" w14:textId="77777777" w:rsidR="003011FF" w:rsidRPr="00746E61" w:rsidRDefault="003011F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-13,41%</w:t>
            </w:r>
          </w:p>
        </w:tc>
        <w:tc>
          <w:tcPr>
            <w:tcW w:w="1796" w:type="dxa"/>
            <w:tcBorders>
              <w:top w:val="nil"/>
              <w:left w:val="nil"/>
              <w:bottom w:val="single" w:sz="4" w:space="0" w:color="auto"/>
              <w:right w:val="single" w:sz="4" w:space="0" w:color="auto"/>
            </w:tcBorders>
            <w:shd w:val="clear" w:color="auto" w:fill="auto"/>
            <w:vAlign w:val="center"/>
            <w:hideMark/>
          </w:tcPr>
          <w:p w14:paraId="40E47BE6" w14:textId="77777777" w:rsidR="003011FF" w:rsidRPr="00746E61" w:rsidRDefault="003011F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7,13%</w:t>
            </w:r>
          </w:p>
        </w:tc>
      </w:tr>
      <w:tr w:rsidR="003011FF" w:rsidRPr="00746E61" w14:paraId="0BC470B1" w14:textId="77777777" w:rsidTr="003011FF">
        <w:trPr>
          <w:trHeight w:val="248"/>
          <w:jc w:val="center"/>
        </w:trPr>
        <w:tc>
          <w:tcPr>
            <w:tcW w:w="3307" w:type="dxa"/>
            <w:tcBorders>
              <w:top w:val="nil"/>
              <w:left w:val="single" w:sz="4" w:space="0" w:color="auto"/>
              <w:bottom w:val="single" w:sz="4" w:space="0" w:color="auto"/>
              <w:right w:val="single" w:sz="4" w:space="0" w:color="auto"/>
            </w:tcBorders>
            <w:shd w:val="clear" w:color="auto" w:fill="auto"/>
            <w:noWrap/>
            <w:vAlign w:val="center"/>
            <w:hideMark/>
          </w:tcPr>
          <w:p w14:paraId="667ACBE6" w14:textId="77777777" w:rsidR="003011FF" w:rsidRPr="00746E61" w:rsidRDefault="003011FF"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Limón</w:t>
            </w:r>
          </w:p>
        </w:tc>
        <w:tc>
          <w:tcPr>
            <w:tcW w:w="1129" w:type="dxa"/>
            <w:tcBorders>
              <w:top w:val="nil"/>
              <w:left w:val="nil"/>
              <w:bottom w:val="single" w:sz="4" w:space="0" w:color="auto"/>
              <w:right w:val="single" w:sz="4" w:space="0" w:color="auto"/>
            </w:tcBorders>
            <w:shd w:val="clear" w:color="auto" w:fill="auto"/>
            <w:noWrap/>
            <w:vAlign w:val="center"/>
            <w:hideMark/>
          </w:tcPr>
          <w:p w14:paraId="0FED2514"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340</w:t>
            </w:r>
          </w:p>
        </w:tc>
        <w:tc>
          <w:tcPr>
            <w:tcW w:w="1129" w:type="dxa"/>
            <w:tcBorders>
              <w:top w:val="nil"/>
              <w:left w:val="nil"/>
              <w:bottom w:val="single" w:sz="4" w:space="0" w:color="auto"/>
              <w:right w:val="single" w:sz="4" w:space="0" w:color="auto"/>
            </w:tcBorders>
            <w:shd w:val="clear" w:color="auto" w:fill="auto"/>
            <w:noWrap/>
            <w:vAlign w:val="center"/>
            <w:hideMark/>
          </w:tcPr>
          <w:p w14:paraId="17B420AC"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240</w:t>
            </w:r>
          </w:p>
        </w:tc>
        <w:tc>
          <w:tcPr>
            <w:tcW w:w="1020" w:type="dxa"/>
            <w:tcBorders>
              <w:top w:val="nil"/>
              <w:left w:val="nil"/>
              <w:bottom w:val="single" w:sz="4" w:space="0" w:color="auto"/>
              <w:right w:val="single" w:sz="4" w:space="0" w:color="auto"/>
            </w:tcBorders>
            <w:shd w:val="clear" w:color="auto" w:fill="auto"/>
            <w:noWrap/>
            <w:vAlign w:val="center"/>
            <w:hideMark/>
          </w:tcPr>
          <w:p w14:paraId="745626FF"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291</w:t>
            </w:r>
          </w:p>
        </w:tc>
        <w:tc>
          <w:tcPr>
            <w:tcW w:w="1796" w:type="dxa"/>
            <w:tcBorders>
              <w:top w:val="nil"/>
              <w:left w:val="nil"/>
              <w:bottom w:val="single" w:sz="4" w:space="0" w:color="auto"/>
              <w:right w:val="single" w:sz="4" w:space="0" w:color="auto"/>
            </w:tcBorders>
            <w:shd w:val="clear" w:color="auto" w:fill="auto"/>
            <w:vAlign w:val="center"/>
            <w:hideMark/>
          </w:tcPr>
          <w:p w14:paraId="2822ED8A" w14:textId="77777777" w:rsidR="003011FF" w:rsidRPr="00746E61" w:rsidRDefault="003011F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-14,58%</w:t>
            </w:r>
          </w:p>
        </w:tc>
        <w:tc>
          <w:tcPr>
            <w:tcW w:w="1796" w:type="dxa"/>
            <w:tcBorders>
              <w:top w:val="nil"/>
              <w:left w:val="nil"/>
              <w:bottom w:val="single" w:sz="4" w:space="0" w:color="auto"/>
              <w:right w:val="single" w:sz="4" w:space="0" w:color="auto"/>
            </w:tcBorders>
            <w:shd w:val="clear" w:color="auto" w:fill="auto"/>
            <w:vAlign w:val="center"/>
            <w:hideMark/>
          </w:tcPr>
          <w:p w14:paraId="5EFF85FF" w14:textId="77777777" w:rsidR="003011FF" w:rsidRPr="00746E61" w:rsidRDefault="003011F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20,95%</w:t>
            </w:r>
          </w:p>
        </w:tc>
      </w:tr>
      <w:tr w:rsidR="003011FF" w:rsidRPr="00746E61" w14:paraId="378EF1CE" w14:textId="77777777" w:rsidTr="003011FF">
        <w:trPr>
          <w:trHeight w:val="248"/>
          <w:jc w:val="center"/>
        </w:trPr>
        <w:tc>
          <w:tcPr>
            <w:tcW w:w="3307" w:type="dxa"/>
            <w:tcBorders>
              <w:top w:val="nil"/>
              <w:left w:val="single" w:sz="4" w:space="0" w:color="auto"/>
              <w:bottom w:val="single" w:sz="4" w:space="0" w:color="auto"/>
              <w:right w:val="single" w:sz="4" w:space="0" w:color="auto"/>
            </w:tcBorders>
            <w:shd w:val="clear" w:color="auto" w:fill="auto"/>
            <w:noWrap/>
            <w:vAlign w:val="center"/>
            <w:hideMark/>
          </w:tcPr>
          <w:p w14:paraId="0A23DCBE" w14:textId="77777777" w:rsidR="003011FF" w:rsidRPr="00746E61" w:rsidRDefault="003011FF"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Coto Brus</w:t>
            </w:r>
          </w:p>
        </w:tc>
        <w:tc>
          <w:tcPr>
            <w:tcW w:w="1129" w:type="dxa"/>
            <w:tcBorders>
              <w:top w:val="nil"/>
              <w:left w:val="nil"/>
              <w:bottom w:val="single" w:sz="4" w:space="0" w:color="auto"/>
              <w:right w:val="single" w:sz="4" w:space="0" w:color="auto"/>
            </w:tcBorders>
            <w:shd w:val="clear" w:color="auto" w:fill="auto"/>
            <w:noWrap/>
            <w:vAlign w:val="center"/>
            <w:hideMark/>
          </w:tcPr>
          <w:p w14:paraId="1CD81F78"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105</w:t>
            </w:r>
          </w:p>
        </w:tc>
        <w:tc>
          <w:tcPr>
            <w:tcW w:w="1129" w:type="dxa"/>
            <w:tcBorders>
              <w:top w:val="nil"/>
              <w:left w:val="nil"/>
              <w:bottom w:val="single" w:sz="4" w:space="0" w:color="auto"/>
              <w:right w:val="single" w:sz="4" w:space="0" w:color="auto"/>
            </w:tcBorders>
            <w:shd w:val="clear" w:color="auto" w:fill="auto"/>
            <w:noWrap/>
            <w:vAlign w:val="center"/>
            <w:hideMark/>
          </w:tcPr>
          <w:p w14:paraId="2A3C0C25"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98</w:t>
            </w:r>
          </w:p>
        </w:tc>
        <w:tc>
          <w:tcPr>
            <w:tcW w:w="1020" w:type="dxa"/>
            <w:tcBorders>
              <w:top w:val="nil"/>
              <w:left w:val="nil"/>
              <w:bottom w:val="single" w:sz="4" w:space="0" w:color="auto"/>
              <w:right w:val="single" w:sz="4" w:space="0" w:color="auto"/>
            </w:tcBorders>
            <w:shd w:val="clear" w:color="auto" w:fill="auto"/>
            <w:noWrap/>
            <w:vAlign w:val="center"/>
            <w:hideMark/>
          </w:tcPr>
          <w:p w14:paraId="5CAAC134"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89</w:t>
            </w:r>
          </w:p>
        </w:tc>
        <w:tc>
          <w:tcPr>
            <w:tcW w:w="1796" w:type="dxa"/>
            <w:tcBorders>
              <w:top w:val="nil"/>
              <w:left w:val="nil"/>
              <w:bottom w:val="single" w:sz="4" w:space="0" w:color="auto"/>
              <w:right w:val="single" w:sz="4" w:space="0" w:color="auto"/>
            </w:tcBorders>
            <w:shd w:val="clear" w:color="auto" w:fill="auto"/>
            <w:vAlign w:val="center"/>
            <w:hideMark/>
          </w:tcPr>
          <w:p w14:paraId="1DC2D8F6" w14:textId="77777777" w:rsidR="003011FF" w:rsidRPr="00746E61" w:rsidRDefault="003011F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-15,02%</w:t>
            </w:r>
          </w:p>
        </w:tc>
        <w:tc>
          <w:tcPr>
            <w:tcW w:w="1796" w:type="dxa"/>
            <w:tcBorders>
              <w:top w:val="nil"/>
              <w:left w:val="nil"/>
              <w:bottom w:val="single" w:sz="4" w:space="0" w:color="auto"/>
              <w:right w:val="single" w:sz="4" w:space="0" w:color="auto"/>
            </w:tcBorders>
            <w:shd w:val="clear" w:color="auto" w:fill="auto"/>
            <w:vAlign w:val="center"/>
            <w:hideMark/>
          </w:tcPr>
          <w:p w14:paraId="570A0C83" w14:textId="77777777" w:rsidR="003011FF" w:rsidRPr="00746E61" w:rsidRDefault="003011F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-9,57%</w:t>
            </w:r>
          </w:p>
        </w:tc>
      </w:tr>
      <w:tr w:rsidR="003011FF" w:rsidRPr="00746E61" w14:paraId="7F810ECF" w14:textId="77777777" w:rsidTr="003011FF">
        <w:trPr>
          <w:trHeight w:val="248"/>
          <w:jc w:val="center"/>
        </w:trPr>
        <w:tc>
          <w:tcPr>
            <w:tcW w:w="3307" w:type="dxa"/>
            <w:tcBorders>
              <w:top w:val="nil"/>
              <w:left w:val="single" w:sz="4" w:space="0" w:color="auto"/>
              <w:bottom w:val="single" w:sz="4" w:space="0" w:color="auto"/>
              <w:right w:val="single" w:sz="4" w:space="0" w:color="auto"/>
            </w:tcBorders>
            <w:shd w:val="clear" w:color="auto" w:fill="auto"/>
            <w:noWrap/>
            <w:vAlign w:val="center"/>
            <w:hideMark/>
          </w:tcPr>
          <w:p w14:paraId="01DF3B1D" w14:textId="77777777" w:rsidR="003011FF" w:rsidRPr="00746E61" w:rsidRDefault="003011FF"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San Ramón</w:t>
            </w:r>
          </w:p>
        </w:tc>
        <w:tc>
          <w:tcPr>
            <w:tcW w:w="1129" w:type="dxa"/>
            <w:tcBorders>
              <w:top w:val="nil"/>
              <w:left w:val="nil"/>
              <w:bottom w:val="single" w:sz="4" w:space="0" w:color="auto"/>
              <w:right w:val="single" w:sz="4" w:space="0" w:color="auto"/>
            </w:tcBorders>
            <w:shd w:val="clear" w:color="auto" w:fill="auto"/>
            <w:noWrap/>
            <w:vAlign w:val="center"/>
            <w:hideMark/>
          </w:tcPr>
          <w:p w14:paraId="6BEB81C1"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212</w:t>
            </w:r>
          </w:p>
        </w:tc>
        <w:tc>
          <w:tcPr>
            <w:tcW w:w="1129" w:type="dxa"/>
            <w:tcBorders>
              <w:top w:val="nil"/>
              <w:left w:val="nil"/>
              <w:bottom w:val="single" w:sz="4" w:space="0" w:color="auto"/>
              <w:right w:val="single" w:sz="4" w:space="0" w:color="auto"/>
            </w:tcBorders>
            <w:shd w:val="clear" w:color="auto" w:fill="auto"/>
            <w:noWrap/>
            <w:vAlign w:val="center"/>
            <w:hideMark/>
          </w:tcPr>
          <w:p w14:paraId="44DDA820"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161</w:t>
            </w:r>
          </w:p>
        </w:tc>
        <w:tc>
          <w:tcPr>
            <w:tcW w:w="1020" w:type="dxa"/>
            <w:tcBorders>
              <w:top w:val="nil"/>
              <w:left w:val="nil"/>
              <w:bottom w:val="single" w:sz="4" w:space="0" w:color="auto"/>
              <w:right w:val="single" w:sz="4" w:space="0" w:color="auto"/>
            </w:tcBorders>
            <w:shd w:val="clear" w:color="auto" w:fill="auto"/>
            <w:noWrap/>
            <w:vAlign w:val="center"/>
            <w:hideMark/>
          </w:tcPr>
          <w:p w14:paraId="0687AA79"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178</w:t>
            </w:r>
          </w:p>
        </w:tc>
        <w:tc>
          <w:tcPr>
            <w:tcW w:w="1796" w:type="dxa"/>
            <w:tcBorders>
              <w:top w:val="nil"/>
              <w:left w:val="nil"/>
              <w:bottom w:val="single" w:sz="4" w:space="0" w:color="auto"/>
              <w:right w:val="single" w:sz="4" w:space="0" w:color="auto"/>
            </w:tcBorders>
            <w:shd w:val="clear" w:color="auto" w:fill="auto"/>
            <w:vAlign w:val="center"/>
            <w:hideMark/>
          </w:tcPr>
          <w:p w14:paraId="1DA38514" w14:textId="77777777" w:rsidR="003011FF" w:rsidRPr="00746E61" w:rsidRDefault="003011F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-15,91%</w:t>
            </w:r>
          </w:p>
        </w:tc>
        <w:tc>
          <w:tcPr>
            <w:tcW w:w="1796" w:type="dxa"/>
            <w:tcBorders>
              <w:top w:val="nil"/>
              <w:left w:val="nil"/>
              <w:bottom w:val="single" w:sz="4" w:space="0" w:color="auto"/>
              <w:right w:val="single" w:sz="4" w:space="0" w:color="auto"/>
            </w:tcBorders>
            <w:shd w:val="clear" w:color="auto" w:fill="auto"/>
            <w:vAlign w:val="center"/>
            <w:hideMark/>
          </w:tcPr>
          <w:p w14:paraId="25350EAF" w14:textId="77777777" w:rsidR="003011FF" w:rsidRPr="00746E61" w:rsidRDefault="003011F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10,73%</w:t>
            </w:r>
          </w:p>
        </w:tc>
      </w:tr>
      <w:tr w:rsidR="003011FF" w:rsidRPr="00746E61" w14:paraId="0BF9C062" w14:textId="77777777" w:rsidTr="003011FF">
        <w:trPr>
          <w:trHeight w:val="248"/>
          <w:jc w:val="center"/>
        </w:trPr>
        <w:tc>
          <w:tcPr>
            <w:tcW w:w="3307" w:type="dxa"/>
            <w:tcBorders>
              <w:top w:val="nil"/>
              <w:left w:val="single" w:sz="4" w:space="0" w:color="auto"/>
              <w:bottom w:val="single" w:sz="4" w:space="0" w:color="auto"/>
              <w:right w:val="single" w:sz="4" w:space="0" w:color="auto"/>
            </w:tcBorders>
            <w:shd w:val="clear" w:color="auto" w:fill="auto"/>
            <w:noWrap/>
            <w:vAlign w:val="center"/>
            <w:hideMark/>
          </w:tcPr>
          <w:p w14:paraId="15222718" w14:textId="77777777" w:rsidR="003011FF" w:rsidRPr="00746E61" w:rsidRDefault="003011FF"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San José</w:t>
            </w:r>
          </w:p>
        </w:tc>
        <w:tc>
          <w:tcPr>
            <w:tcW w:w="1129" w:type="dxa"/>
            <w:tcBorders>
              <w:top w:val="nil"/>
              <w:left w:val="nil"/>
              <w:bottom w:val="single" w:sz="4" w:space="0" w:color="auto"/>
              <w:right w:val="single" w:sz="4" w:space="0" w:color="auto"/>
            </w:tcBorders>
            <w:shd w:val="clear" w:color="auto" w:fill="auto"/>
            <w:noWrap/>
            <w:vAlign w:val="center"/>
            <w:hideMark/>
          </w:tcPr>
          <w:p w14:paraId="5A427BFD"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1201</w:t>
            </w:r>
          </w:p>
        </w:tc>
        <w:tc>
          <w:tcPr>
            <w:tcW w:w="1129" w:type="dxa"/>
            <w:tcBorders>
              <w:top w:val="nil"/>
              <w:left w:val="nil"/>
              <w:bottom w:val="single" w:sz="4" w:space="0" w:color="auto"/>
              <w:right w:val="single" w:sz="4" w:space="0" w:color="auto"/>
            </w:tcBorders>
            <w:shd w:val="clear" w:color="auto" w:fill="auto"/>
            <w:noWrap/>
            <w:vAlign w:val="center"/>
            <w:hideMark/>
          </w:tcPr>
          <w:p w14:paraId="439B828F"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1018</w:t>
            </w:r>
          </w:p>
        </w:tc>
        <w:tc>
          <w:tcPr>
            <w:tcW w:w="1020" w:type="dxa"/>
            <w:tcBorders>
              <w:top w:val="nil"/>
              <w:left w:val="nil"/>
              <w:bottom w:val="single" w:sz="4" w:space="0" w:color="auto"/>
              <w:right w:val="single" w:sz="4" w:space="0" w:color="auto"/>
            </w:tcBorders>
            <w:shd w:val="clear" w:color="auto" w:fill="auto"/>
            <w:noWrap/>
            <w:vAlign w:val="center"/>
            <w:hideMark/>
          </w:tcPr>
          <w:p w14:paraId="3FEC8622"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985</w:t>
            </w:r>
          </w:p>
        </w:tc>
        <w:tc>
          <w:tcPr>
            <w:tcW w:w="1796" w:type="dxa"/>
            <w:tcBorders>
              <w:top w:val="nil"/>
              <w:left w:val="nil"/>
              <w:bottom w:val="single" w:sz="4" w:space="0" w:color="auto"/>
              <w:right w:val="single" w:sz="4" w:space="0" w:color="auto"/>
            </w:tcBorders>
            <w:shd w:val="clear" w:color="auto" w:fill="auto"/>
            <w:vAlign w:val="center"/>
            <w:hideMark/>
          </w:tcPr>
          <w:p w14:paraId="6FE2AC8D" w14:textId="77777777" w:rsidR="003011FF" w:rsidRPr="00746E61" w:rsidRDefault="003011F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-17,97%</w:t>
            </w:r>
          </w:p>
        </w:tc>
        <w:tc>
          <w:tcPr>
            <w:tcW w:w="1796" w:type="dxa"/>
            <w:tcBorders>
              <w:top w:val="nil"/>
              <w:left w:val="nil"/>
              <w:bottom w:val="single" w:sz="4" w:space="0" w:color="auto"/>
              <w:right w:val="single" w:sz="4" w:space="0" w:color="auto"/>
            </w:tcBorders>
            <w:shd w:val="clear" w:color="auto" w:fill="auto"/>
            <w:vAlign w:val="center"/>
            <w:hideMark/>
          </w:tcPr>
          <w:p w14:paraId="66029422" w14:textId="77777777" w:rsidR="003011FF" w:rsidRPr="00746E61" w:rsidRDefault="003011F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-3,27%</w:t>
            </w:r>
          </w:p>
        </w:tc>
      </w:tr>
      <w:tr w:rsidR="003011FF" w:rsidRPr="00746E61" w14:paraId="36791BF8" w14:textId="77777777" w:rsidTr="003011FF">
        <w:trPr>
          <w:trHeight w:val="248"/>
          <w:jc w:val="center"/>
        </w:trPr>
        <w:tc>
          <w:tcPr>
            <w:tcW w:w="3307" w:type="dxa"/>
            <w:tcBorders>
              <w:top w:val="nil"/>
              <w:left w:val="single" w:sz="4" w:space="0" w:color="auto"/>
              <w:bottom w:val="single" w:sz="4" w:space="0" w:color="auto"/>
              <w:right w:val="single" w:sz="4" w:space="0" w:color="auto"/>
            </w:tcBorders>
            <w:shd w:val="clear" w:color="auto" w:fill="auto"/>
            <w:noWrap/>
            <w:vAlign w:val="center"/>
            <w:hideMark/>
          </w:tcPr>
          <w:p w14:paraId="075635E3" w14:textId="77777777" w:rsidR="003011FF" w:rsidRPr="00746E61" w:rsidRDefault="003011FF"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Puntarenas</w:t>
            </w:r>
          </w:p>
        </w:tc>
        <w:tc>
          <w:tcPr>
            <w:tcW w:w="1129" w:type="dxa"/>
            <w:tcBorders>
              <w:top w:val="nil"/>
              <w:left w:val="nil"/>
              <w:bottom w:val="single" w:sz="4" w:space="0" w:color="auto"/>
              <w:right w:val="single" w:sz="4" w:space="0" w:color="auto"/>
            </w:tcBorders>
            <w:shd w:val="clear" w:color="auto" w:fill="auto"/>
            <w:noWrap/>
            <w:vAlign w:val="center"/>
            <w:hideMark/>
          </w:tcPr>
          <w:p w14:paraId="115E077B"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402</w:t>
            </w:r>
          </w:p>
        </w:tc>
        <w:tc>
          <w:tcPr>
            <w:tcW w:w="1129" w:type="dxa"/>
            <w:tcBorders>
              <w:top w:val="nil"/>
              <w:left w:val="nil"/>
              <w:bottom w:val="single" w:sz="4" w:space="0" w:color="auto"/>
              <w:right w:val="single" w:sz="4" w:space="0" w:color="auto"/>
            </w:tcBorders>
            <w:shd w:val="clear" w:color="auto" w:fill="auto"/>
            <w:noWrap/>
            <w:vAlign w:val="center"/>
            <w:hideMark/>
          </w:tcPr>
          <w:p w14:paraId="5F51AE22"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285</w:t>
            </w:r>
          </w:p>
        </w:tc>
        <w:tc>
          <w:tcPr>
            <w:tcW w:w="1020" w:type="dxa"/>
            <w:tcBorders>
              <w:top w:val="nil"/>
              <w:left w:val="nil"/>
              <w:bottom w:val="single" w:sz="4" w:space="0" w:color="auto"/>
              <w:right w:val="single" w:sz="4" w:space="0" w:color="auto"/>
            </w:tcBorders>
            <w:shd w:val="clear" w:color="auto" w:fill="auto"/>
            <w:noWrap/>
            <w:vAlign w:val="center"/>
            <w:hideMark/>
          </w:tcPr>
          <w:p w14:paraId="5B922DE2"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301</w:t>
            </w:r>
          </w:p>
        </w:tc>
        <w:tc>
          <w:tcPr>
            <w:tcW w:w="1796" w:type="dxa"/>
            <w:tcBorders>
              <w:top w:val="nil"/>
              <w:left w:val="nil"/>
              <w:bottom w:val="single" w:sz="4" w:space="0" w:color="auto"/>
              <w:right w:val="single" w:sz="4" w:space="0" w:color="auto"/>
            </w:tcBorders>
            <w:shd w:val="clear" w:color="auto" w:fill="auto"/>
            <w:vAlign w:val="center"/>
            <w:hideMark/>
          </w:tcPr>
          <w:p w14:paraId="11F727A6" w14:textId="77777777" w:rsidR="003011FF" w:rsidRPr="00746E61" w:rsidRDefault="003011F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-24,98%</w:t>
            </w:r>
          </w:p>
        </w:tc>
        <w:tc>
          <w:tcPr>
            <w:tcW w:w="1796" w:type="dxa"/>
            <w:tcBorders>
              <w:top w:val="nil"/>
              <w:left w:val="nil"/>
              <w:bottom w:val="single" w:sz="4" w:space="0" w:color="auto"/>
              <w:right w:val="single" w:sz="4" w:space="0" w:color="auto"/>
            </w:tcBorders>
            <w:shd w:val="clear" w:color="auto" w:fill="auto"/>
            <w:vAlign w:val="center"/>
            <w:hideMark/>
          </w:tcPr>
          <w:p w14:paraId="51B8B809" w14:textId="77777777" w:rsidR="003011FF" w:rsidRPr="00746E61" w:rsidRDefault="003011F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5,73%</w:t>
            </w:r>
          </w:p>
        </w:tc>
      </w:tr>
      <w:tr w:rsidR="003011FF" w:rsidRPr="00746E61" w14:paraId="2F12B68D" w14:textId="77777777" w:rsidTr="003011FF">
        <w:trPr>
          <w:trHeight w:val="248"/>
          <w:jc w:val="center"/>
        </w:trPr>
        <w:tc>
          <w:tcPr>
            <w:tcW w:w="3307" w:type="dxa"/>
            <w:tcBorders>
              <w:top w:val="nil"/>
              <w:left w:val="single" w:sz="4" w:space="0" w:color="auto"/>
              <w:bottom w:val="single" w:sz="4" w:space="0" w:color="auto"/>
              <w:right w:val="single" w:sz="4" w:space="0" w:color="auto"/>
            </w:tcBorders>
            <w:shd w:val="clear" w:color="auto" w:fill="auto"/>
            <w:noWrap/>
            <w:vAlign w:val="center"/>
            <w:hideMark/>
          </w:tcPr>
          <w:p w14:paraId="5F32C5BE" w14:textId="77777777" w:rsidR="003011FF" w:rsidRPr="00746E61" w:rsidRDefault="003011FF"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Batán</w:t>
            </w:r>
          </w:p>
        </w:tc>
        <w:tc>
          <w:tcPr>
            <w:tcW w:w="1129" w:type="dxa"/>
            <w:tcBorders>
              <w:top w:val="nil"/>
              <w:left w:val="nil"/>
              <w:bottom w:val="single" w:sz="4" w:space="0" w:color="auto"/>
              <w:right w:val="single" w:sz="4" w:space="0" w:color="auto"/>
            </w:tcBorders>
            <w:shd w:val="clear" w:color="auto" w:fill="auto"/>
            <w:noWrap/>
            <w:vAlign w:val="center"/>
            <w:hideMark/>
          </w:tcPr>
          <w:p w14:paraId="39D90342"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110</w:t>
            </w:r>
          </w:p>
        </w:tc>
        <w:tc>
          <w:tcPr>
            <w:tcW w:w="1129" w:type="dxa"/>
            <w:tcBorders>
              <w:top w:val="nil"/>
              <w:left w:val="nil"/>
              <w:bottom w:val="single" w:sz="4" w:space="0" w:color="auto"/>
              <w:right w:val="single" w:sz="4" w:space="0" w:color="auto"/>
            </w:tcBorders>
            <w:shd w:val="clear" w:color="auto" w:fill="auto"/>
            <w:noWrap/>
            <w:vAlign w:val="center"/>
            <w:hideMark/>
          </w:tcPr>
          <w:p w14:paraId="555ED0C5"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116</w:t>
            </w:r>
          </w:p>
        </w:tc>
        <w:tc>
          <w:tcPr>
            <w:tcW w:w="1020" w:type="dxa"/>
            <w:tcBorders>
              <w:top w:val="nil"/>
              <w:left w:val="nil"/>
              <w:bottom w:val="single" w:sz="4" w:space="0" w:color="auto"/>
              <w:right w:val="single" w:sz="4" w:space="0" w:color="auto"/>
            </w:tcBorders>
            <w:shd w:val="clear" w:color="auto" w:fill="auto"/>
            <w:noWrap/>
            <w:vAlign w:val="center"/>
            <w:hideMark/>
          </w:tcPr>
          <w:p w14:paraId="317BEE95"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81</w:t>
            </w:r>
          </w:p>
        </w:tc>
        <w:tc>
          <w:tcPr>
            <w:tcW w:w="1796" w:type="dxa"/>
            <w:tcBorders>
              <w:top w:val="nil"/>
              <w:left w:val="nil"/>
              <w:bottom w:val="single" w:sz="4" w:space="0" w:color="auto"/>
              <w:right w:val="single" w:sz="4" w:space="0" w:color="auto"/>
            </w:tcBorders>
            <w:shd w:val="clear" w:color="auto" w:fill="auto"/>
            <w:vAlign w:val="center"/>
            <w:hideMark/>
          </w:tcPr>
          <w:p w14:paraId="7A7C9BDF" w14:textId="77777777" w:rsidR="003011FF" w:rsidRPr="00746E61" w:rsidRDefault="003011F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-26,41%</w:t>
            </w:r>
          </w:p>
        </w:tc>
        <w:tc>
          <w:tcPr>
            <w:tcW w:w="1796" w:type="dxa"/>
            <w:tcBorders>
              <w:top w:val="nil"/>
              <w:left w:val="nil"/>
              <w:bottom w:val="single" w:sz="4" w:space="0" w:color="auto"/>
              <w:right w:val="single" w:sz="4" w:space="0" w:color="auto"/>
            </w:tcBorders>
            <w:shd w:val="clear" w:color="auto" w:fill="auto"/>
            <w:vAlign w:val="center"/>
            <w:hideMark/>
          </w:tcPr>
          <w:p w14:paraId="1974C0BC" w14:textId="77777777" w:rsidR="003011FF" w:rsidRPr="00746E61" w:rsidRDefault="003011F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-30,74%</w:t>
            </w:r>
          </w:p>
        </w:tc>
      </w:tr>
      <w:tr w:rsidR="003011FF" w:rsidRPr="00746E61" w14:paraId="380392A4" w14:textId="77777777" w:rsidTr="003011FF">
        <w:trPr>
          <w:trHeight w:val="248"/>
          <w:jc w:val="center"/>
        </w:trPr>
        <w:tc>
          <w:tcPr>
            <w:tcW w:w="3307" w:type="dxa"/>
            <w:tcBorders>
              <w:top w:val="nil"/>
              <w:left w:val="single" w:sz="4" w:space="0" w:color="auto"/>
              <w:bottom w:val="single" w:sz="4" w:space="0" w:color="auto"/>
              <w:right w:val="single" w:sz="4" w:space="0" w:color="auto"/>
            </w:tcBorders>
            <w:shd w:val="clear" w:color="auto" w:fill="auto"/>
            <w:noWrap/>
            <w:vAlign w:val="center"/>
            <w:hideMark/>
          </w:tcPr>
          <w:p w14:paraId="7BF21948" w14:textId="77777777" w:rsidR="003011FF" w:rsidRPr="00746E61" w:rsidRDefault="003011FF"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Pérez Zeledón</w:t>
            </w:r>
          </w:p>
        </w:tc>
        <w:tc>
          <w:tcPr>
            <w:tcW w:w="1129" w:type="dxa"/>
            <w:tcBorders>
              <w:top w:val="nil"/>
              <w:left w:val="nil"/>
              <w:bottom w:val="single" w:sz="4" w:space="0" w:color="auto"/>
              <w:right w:val="single" w:sz="4" w:space="0" w:color="auto"/>
            </w:tcBorders>
            <w:shd w:val="clear" w:color="auto" w:fill="auto"/>
            <w:noWrap/>
            <w:vAlign w:val="center"/>
            <w:hideMark/>
          </w:tcPr>
          <w:p w14:paraId="11C0EC19"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442</w:t>
            </w:r>
          </w:p>
        </w:tc>
        <w:tc>
          <w:tcPr>
            <w:tcW w:w="1129" w:type="dxa"/>
            <w:tcBorders>
              <w:top w:val="nil"/>
              <w:left w:val="nil"/>
              <w:bottom w:val="single" w:sz="4" w:space="0" w:color="auto"/>
              <w:right w:val="single" w:sz="4" w:space="0" w:color="auto"/>
            </w:tcBorders>
            <w:shd w:val="clear" w:color="auto" w:fill="auto"/>
            <w:noWrap/>
            <w:vAlign w:val="center"/>
            <w:hideMark/>
          </w:tcPr>
          <w:p w14:paraId="312E482F"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310</w:t>
            </w:r>
          </w:p>
        </w:tc>
        <w:tc>
          <w:tcPr>
            <w:tcW w:w="1020" w:type="dxa"/>
            <w:tcBorders>
              <w:top w:val="nil"/>
              <w:left w:val="nil"/>
              <w:bottom w:val="single" w:sz="4" w:space="0" w:color="auto"/>
              <w:right w:val="single" w:sz="4" w:space="0" w:color="auto"/>
            </w:tcBorders>
            <w:shd w:val="clear" w:color="auto" w:fill="auto"/>
            <w:noWrap/>
            <w:vAlign w:val="center"/>
            <w:hideMark/>
          </w:tcPr>
          <w:p w14:paraId="57940964"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305</w:t>
            </w:r>
          </w:p>
        </w:tc>
        <w:tc>
          <w:tcPr>
            <w:tcW w:w="1796" w:type="dxa"/>
            <w:tcBorders>
              <w:top w:val="nil"/>
              <w:left w:val="nil"/>
              <w:bottom w:val="single" w:sz="4" w:space="0" w:color="auto"/>
              <w:right w:val="single" w:sz="4" w:space="0" w:color="auto"/>
            </w:tcBorders>
            <w:shd w:val="clear" w:color="auto" w:fill="auto"/>
            <w:vAlign w:val="center"/>
            <w:hideMark/>
          </w:tcPr>
          <w:p w14:paraId="653924C2" w14:textId="77777777" w:rsidR="003011FF" w:rsidRPr="00746E61" w:rsidRDefault="003011F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-31,03%</w:t>
            </w:r>
          </w:p>
        </w:tc>
        <w:tc>
          <w:tcPr>
            <w:tcW w:w="1796" w:type="dxa"/>
            <w:tcBorders>
              <w:top w:val="nil"/>
              <w:left w:val="nil"/>
              <w:bottom w:val="single" w:sz="4" w:space="0" w:color="auto"/>
              <w:right w:val="single" w:sz="4" w:space="0" w:color="auto"/>
            </w:tcBorders>
            <w:shd w:val="clear" w:color="auto" w:fill="auto"/>
            <w:vAlign w:val="center"/>
            <w:hideMark/>
          </w:tcPr>
          <w:p w14:paraId="5C4401BD" w14:textId="77777777" w:rsidR="003011FF" w:rsidRPr="00746E61" w:rsidRDefault="003011F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-1,49%</w:t>
            </w:r>
          </w:p>
        </w:tc>
      </w:tr>
      <w:tr w:rsidR="001237D2" w:rsidRPr="00746E61" w14:paraId="15C234E5" w14:textId="77777777" w:rsidTr="001237D2">
        <w:trPr>
          <w:trHeight w:val="248"/>
          <w:jc w:val="center"/>
        </w:trPr>
        <w:tc>
          <w:tcPr>
            <w:tcW w:w="3307"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C1D7564" w14:textId="77777777" w:rsidR="003011FF" w:rsidRPr="00746E61" w:rsidRDefault="003011FF"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Buenos Aires</w:t>
            </w:r>
          </w:p>
        </w:tc>
        <w:tc>
          <w:tcPr>
            <w:tcW w:w="1129" w:type="dxa"/>
            <w:tcBorders>
              <w:top w:val="nil"/>
              <w:left w:val="nil"/>
              <w:bottom w:val="single" w:sz="4" w:space="0" w:color="auto"/>
              <w:right w:val="single" w:sz="4" w:space="0" w:color="auto"/>
            </w:tcBorders>
            <w:shd w:val="clear" w:color="auto" w:fill="F2F2F2" w:themeFill="background1" w:themeFillShade="F2"/>
            <w:noWrap/>
            <w:vAlign w:val="center"/>
            <w:hideMark/>
          </w:tcPr>
          <w:p w14:paraId="112D790A"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164</w:t>
            </w:r>
          </w:p>
        </w:tc>
        <w:tc>
          <w:tcPr>
            <w:tcW w:w="1129" w:type="dxa"/>
            <w:tcBorders>
              <w:top w:val="nil"/>
              <w:left w:val="nil"/>
              <w:bottom w:val="single" w:sz="4" w:space="0" w:color="auto"/>
              <w:right w:val="single" w:sz="4" w:space="0" w:color="auto"/>
            </w:tcBorders>
            <w:shd w:val="clear" w:color="auto" w:fill="F2F2F2" w:themeFill="background1" w:themeFillShade="F2"/>
            <w:noWrap/>
            <w:vAlign w:val="center"/>
            <w:hideMark/>
          </w:tcPr>
          <w:p w14:paraId="188923EA"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137</w:t>
            </w:r>
          </w:p>
        </w:tc>
        <w:tc>
          <w:tcPr>
            <w:tcW w:w="1020" w:type="dxa"/>
            <w:tcBorders>
              <w:top w:val="nil"/>
              <w:left w:val="nil"/>
              <w:bottom w:val="single" w:sz="4" w:space="0" w:color="auto"/>
              <w:right w:val="single" w:sz="4" w:space="0" w:color="auto"/>
            </w:tcBorders>
            <w:shd w:val="clear" w:color="auto" w:fill="F2F2F2" w:themeFill="background1" w:themeFillShade="F2"/>
            <w:noWrap/>
            <w:vAlign w:val="center"/>
            <w:hideMark/>
          </w:tcPr>
          <w:p w14:paraId="60339316" w14:textId="77777777" w:rsidR="003011FF" w:rsidRPr="00746E61" w:rsidRDefault="003011FF" w:rsidP="00746E61">
            <w:pPr>
              <w:spacing w:line="276" w:lineRule="auto"/>
              <w:jc w:val="center"/>
              <w:rPr>
                <w:rFonts w:ascii="Book Antiqua" w:hAnsi="Book Antiqua" w:cs="Calibri"/>
                <w:color w:val="000000"/>
                <w:sz w:val="16"/>
                <w:szCs w:val="16"/>
                <w:lang w:eastAsia="es-CR"/>
              </w:rPr>
            </w:pPr>
            <w:r w:rsidRPr="00746E61">
              <w:rPr>
                <w:rFonts w:ascii="Book Antiqua" w:hAnsi="Book Antiqua" w:cs="Calibri"/>
                <w:color w:val="000000"/>
                <w:sz w:val="16"/>
                <w:szCs w:val="16"/>
                <w:lang w:eastAsia="es-CR"/>
              </w:rPr>
              <w:t>62</w:t>
            </w:r>
          </w:p>
        </w:tc>
        <w:tc>
          <w:tcPr>
            <w:tcW w:w="1796" w:type="dxa"/>
            <w:tcBorders>
              <w:top w:val="nil"/>
              <w:left w:val="nil"/>
              <w:bottom w:val="single" w:sz="4" w:space="0" w:color="auto"/>
              <w:right w:val="single" w:sz="4" w:space="0" w:color="auto"/>
            </w:tcBorders>
            <w:shd w:val="clear" w:color="auto" w:fill="F2F2F2" w:themeFill="background1" w:themeFillShade="F2"/>
            <w:vAlign w:val="center"/>
            <w:hideMark/>
          </w:tcPr>
          <w:p w14:paraId="359E8CFB" w14:textId="77777777" w:rsidR="003011FF" w:rsidRPr="00746E61" w:rsidRDefault="003011F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-62,38%</w:t>
            </w:r>
          </w:p>
        </w:tc>
        <w:tc>
          <w:tcPr>
            <w:tcW w:w="1796" w:type="dxa"/>
            <w:tcBorders>
              <w:top w:val="nil"/>
              <w:left w:val="nil"/>
              <w:bottom w:val="single" w:sz="4" w:space="0" w:color="auto"/>
              <w:right w:val="single" w:sz="4" w:space="0" w:color="auto"/>
            </w:tcBorders>
            <w:shd w:val="clear" w:color="auto" w:fill="F2F2F2" w:themeFill="background1" w:themeFillShade="F2"/>
            <w:vAlign w:val="center"/>
            <w:hideMark/>
          </w:tcPr>
          <w:p w14:paraId="1E9358CB" w14:textId="77777777" w:rsidR="003011FF" w:rsidRPr="00746E61" w:rsidRDefault="003011F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-54,79%</w:t>
            </w:r>
          </w:p>
        </w:tc>
      </w:tr>
      <w:tr w:rsidR="003011FF" w:rsidRPr="00746E61" w14:paraId="61C629A1" w14:textId="77777777" w:rsidTr="003011FF">
        <w:trPr>
          <w:trHeight w:val="248"/>
          <w:jc w:val="center"/>
        </w:trPr>
        <w:tc>
          <w:tcPr>
            <w:tcW w:w="3307" w:type="dxa"/>
            <w:tcBorders>
              <w:top w:val="nil"/>
              <w:left w:val="single" w:sz="4" w:space="0" w:color="auto"/>
              <w:bottom w:val="single" w:sz="4" w:space="0" w:color="auto"/>
              <w:right w:val="single" w:sz="4" w:space="0" w:color="auto"/>
            </w:tcBorders>
            <w:shd w:val="clear" w:color="auto" w:fill="auto"/>
            <w:vAlign w:val="center"/>
            <w:hideMark/>
          </w:tcPr>
          <w:p w14:paraId="5674042A" w14:textId="77777777" w:rsidR="003011FF" w:rsidRPr="00746E61" w:rsidRDefault="003011FF" w:rsidP="00746E61">
            <w:pPr>
              <w:spacing w:line="276" w:lineRule="auto"/>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Total</w:t>
            </w:r>
          </w:p>
        </w:tc>
        <w:tc>
          <w:tcPr>
            <w:tcW w:w="1129" w:type="dxa"/>
            <w:tcBorders>
              <w:top w:val="nil"/>
              <w:left w:val="nil"/>
              <w:bottom w:val="single" w:sz="4" w:space="0" w:color="auto"/>
              <w:right w:val="single" w:sz="4" w:space="0" w:color="auto"/>
            </w:tcBorders>
            <w:shd w:val="clear" w:color="auto" w:fill="auto"/>
            <w:vAlign w:val="center"/>
            <w:hideMark/>
          </w:tcPr>
          <w:p w14:paraId="3BD0AA55" w14:textId="77777777" w:rsidR="003011FF" w:rsidRPr="00746E61" w:rsidRDefault="003011FF"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11699</w:t>
            </w:r>
          </w:p>
        </w:tc>
        <w:tc>
          <w:tcPr>
            <w:tcW w:w="1129" w:type="dxa"/>
            <w:tcBorders>
              <w:top w:val="nil"/>
              <w:left w:val="nil"/>
              <w:bottom w:val="single" w:sz="4" w:space="0" w:color="auto"/>
              <w:right w:val="single" w:sz="4" w:space="0" w:color="auto"/>
            </w:tcBorders>
            <w:shd w:val="clear" w:color="auto" w:fill="auto"/>
            <w:vAlign w:val="center"/>
            <w:hideMark/>
          </w:tcPr>
          <w:p w14:paraId="4F234802" w14:textId="77777777" w:rsidR="003011FF" w:rsidRPr="00746E61" w:rsidRDefault="003011FF"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10565</w:t>
            </w:r>
          </w:p>
        </w:tc>
        <w:tc>
          <w:tcPr>
            <w:tcW w:w="1020" w:type="dxa"/>
            <w:tcBorders>
              <w:top w:val="nil"/>
              <w:left w:val="nil"/>
              <w:bottom w:val="single" w:sz="4" w:space="0" w:color="auto"/>
              <w:right w:val="single" w:sz="4" w:space="0" w:color="auto"/>
            </w:tcBorders>
            <w:shd w:val="clear" w:color="auto" w:fill="auto"/>
            <w:vAlign w:val="center"/>
            <w:hideMark/>
          </w:tcPr>
          <w:p w14:paraId="178E595C" w14:textId="77777777" w:rsidR="003011FF" w:rsidRPr="00746E61" w:rsidRDefault="003011FF"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11558</w:t>
            </w:r>
          </w:p>
        </w:tc>
        <w:tc>
          <w:tcPr>
            <w:tcW w:w="1796" w:type="dxa"/>
            <w:tcBorders>
              <w:top w:val="nil"/>
              <w:left w:val="nil"/>
              <w:bottom w:val="single" w:sz="4" w:space="0" w:color="auto"/>
              <w:right w:val="single" w:sz="4" w:space="0" w:color="auto"/>
            </w:tcBorders>
            <w:shd w:val="clear" w:color="auto" w:fill="auto"/>
            <w:vAlign w:val="center"/>
            <w:hideMark/>
          </w:tcPr>
          <w:p w14:paraId="4B06CFB9" w14:textId="77777777" w:rsidR="003011FF" w:rsidRPr="00746E61" w:rsidRDefault="003011FF"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-1,21%</w:t>
            </w:r>
          </w:p>
        </w:tc>
        <w:tc>
          <w:tcPr>
            <w:tcW w:w="1796" w:type="dxa"/>
            <w:tcBorders>
              <w:top w:val="nil"/>
              <w:left w:val="nil"/>
              <w:bottom w:val="single" w:sz="4" w:space="0" w:color="auto"/>
              <w:right w:val="single" w:sz="4" w:space="0" w:color="auto"/>
            </w:tcBorders>
            <w:shd w:val="clear" w:color="auto" w:fill="auto"/>
            <w:vAlign w:val="center"/>
            <w:hideMark/>
          </w:tcPr>
          <w:p w14:paraId="5F5BD9FA" w14:textId="77777777" w:rsidR="003011FF" w:rsidRPr="00746E61" w:rsidRDefault="003011FF"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9,40%</w:t>
            </w:r>
          </w:p>
        </w:tc>
      </w:tr>
    </w:tbl>
    <w:p w14:paraId="60CCF8A5" w14:textId="075770CF" w:rsidR="00E61A77" w:rsidRPr="00746E61" w:rsidRDefault="003011FF" w:rsidP="00746E61">
      <w:pPr>
        <w:spacing w:line="276" w:lineRule="auto"/>
        <w:jc w:val="center"/>
        <w:rPr>
          <w:rFonts w:ascii="Book Antiqua" w:hAnsi="Book Antiqua" w:cs="Calibri"/>
          <w:color w:val="000000"/>
          <w:sz w:val="20"/>
          <w:szCs w:val="20"/>
          <w:lang w:eastAsia="es-CR"/>
        </w:rPr>
      </w:pPr>
      <w:r w:rsidRPr="00746E61">
        <w:rPr>
          <w:rFonts w:ascii="Book Antiqua" w:hAnsi="Book Antiqua" w:cs="Calibri"/>
          <w:b/>
          <w:bCs/>
          <w:color w:val="000000"/>
          <w:sz w:val="20"/>
          <w:szCs w:val="20"/>
          <w:lang w:eastAsia="es-CR"/>
        </w:rPr>
        <w:t>Fuente:</w:t>
      </w:r>
      <w:r w:rsidRPr="00746E61">
        <w:rPr>
          <w:rFonts w:ascii="Book Antiqua" w:hAnsi="Book Antiqua" w:cs="Calibri"/>
          <w:color w:val="000000"/>
          <w:sz w:val="20"/>
          <w:szCs w:val="20"/>
          <w:lang w:eastAsia="es-CR"/>
        </w:rPr>
        <w:t xml:space="preserve"> Elaboración propia a partir de las estadísticas del Subproceso de Estadística</w:t>
      </w:r>
    </w:p>
    <w:p w14:paraId="408F5D23" w14:textId="77777777" w:rsidR="003011FF" w:rsidRPr="00746E61" w:rsidRDefault="003011FF" w:rsidP="00746E61">
      <w:pPr>
        <w:spacing w:line="276" w:lineRule="auto"/>
        <w:jc w:val="center"/>
        <w:rPr>
          <w:rFonts w:ascii="Book Antiqua" w:hAnsi="Book Antiqua"/>
          <w:b/>
          <w:bCs/>
          <w:lang w:val="es-ES_tradnl" w:eastAsia="en-US"/>
        </w:rPr>
      </w:pPr>
    </w:p>
    <w:p w14:paraId="39C057B6" w14:textId="0FEE9404" w:rsidR="000F6D84" w:rsidRPr="00746E61" w:rsidRDefault="000F6D84" w:rsidP="00746E61">
      <w:pPr>
        <w:spacing w:line="276" w:lineRule="auto"/>
        <w:jc w:val="both"/>
        <w:rPr>
          <w:rFonts w:ascii="Book Antiqua" w:hAnsi="Book Antiqua" w:cs="Arial"/>
        </w:rPr>
      </w:pPr>
      <w:r w:rsidRPr="00746E61">
        <w:rPr>
          <w:rFonts w:ascii="Book Antiqua" w:hAnsi="Book Antiqua" w:cs="Arial"/>
        </w:rPr>
        <w:t xml:space="preserve">Del cuadro anterior se denota que, </w:t>
      </w:r>
      <w:r w:rsidR="00DF6F0F" w:rsidRPr="00746E61">
        <w:rPr>
          <w:rFonts w:ascii="Book Antiqua" w:hAnsi="Book Antiqua" w:cs="Arial"/>
        </w:rPr>
        <w:t xml:space="preserve">en comparación con el 2019, </w:t>
      </w:r>
      <w:r w:rsidR="00FE475F" w:rsidRPr="00746E61">
        <w:rPr>
          <w:rFonts w:ascii="Book Antiqua" w:hAnsi="Book Antiqua" w:cs="Arial"/>
        </w:rPr>
        <w:t xml:space="preserve">21 de 39 oficinas, </w:t>
      </w:r>
      <w:r w:rsidR="00B96011" w:rsidRPr="00746E61">
        <w:rPr>
          <w:rFonts w:ascii="Book Antiqua" w:hAnsi="Book Antiqua" w:cs="Arial"/>
        </w:rPr>
        <w:t>obtuvieron</w:t>
      </w:r>
      <w:r w:rsidR="00FE475F" w:rsidRPr="00746E61">
        <w:rPr>
          <w:rFonts w:ascii="Book Antiqua" w:hAnsi="Book Antiqua" w:cs="Arial"/>
        </w:rPr>
        <w:t xml:space="preserve"> </w:t>
      </w:r>
      <w:r w:rsidR="00B96011" w:rsidRPr="00746E61">
        <w:rPr>
          <w:rFonts w:ascii="Book Antiqua" w:hAnsi="Book Antiqua" w:cs="Arial"/>
        </w:rPr>
        <w:t xml:space="preserve">un </w:t>
      </w:r>
      <w:r w:rsidR="00FE475F" w:rsidRPr="00746E61">
        <w:rPr>
          <w:rFonts w:ascii="Book Antiqua" w:hAnsi="Book Antiqua" w:cs="Arial"/>
        </w:rPr>
        <w:t xml:space="preserve">incremento promedio de 18.77% de asuntos culminados, el resto, presentó un descrecimiento promedio de 16.35%. El </w:t>
      </w:r>
      <w:r w:rsidRPr="00746E61">
        <w:rPr>
          <w:rFonts w:ascii="Book Antiqua" w:hAnsi="Book Antiqua" w:cs="Arial"/>
        </w:rPr>
        <w:t xml:space="preserve">Juzgado Penal de Osa </w:t>
      </w:r>
      <w:r w:rsidR="004C4930" w:rsidRPr="00746E61">
        <w:rPr>
          <w:rFonts w:ascii="Book Antiqua" w:hAnsi="Book Antiqua" w:cs="Arial"/>
        </w:rPr>
        <w:t>refleja</w:t>
      </w:r>
      <w:r w:rsidRPr="00746E61">
        <w:rPr>
          <w:rFonts w:ascii="Book Antiqua" w:hAnsi="Book Antiqua" w:cs="Arial"/>
        </w:rPr>
        <w:t xml:space="preserve"> el mayor incremento en la cantidad de asuntos </w:t>
      </w:r>
      <w:r w:rsidR="004C4930" w:rsidRPr="00746E61">
        <w:rPr>
          <w:rFonts w:ascii="Book Antiqua" w:hAnsi="Book Antiqua" w:cs="Arial"/>
        </w:rPr>
        <w:t>culminados</w:t>
      </w:r>
      <w:r w:rsidR="00867B30" w:rsidRPr="00746E61">
        <w:rPr>
          <w:rFonts w:ascii="Book Antiqua" w:hAnsi="Book Antiqua" w:cs="Arial"/>
        </w:rPr>
        <w:t xml:space="preserve"> </w:t>
      </w:r>
      <w:r w:rsidR="00376CB3" w:rsidRPr="00746E61">
        <w:rPr>
          <w:rFonts w:ascii="Book Antiqua" w:hAnsi="Book Antiqua" w:cs="Arial"/>
        </w:rPr>
        <w:t>con 49.98</w:t>
      </w:r>
      <w:r w:rsidR="00867B30" w:rsidRPr="00746E61">
        <w:rPr>
          <w:rFonts w:ascii="Book Antiqua" w:hAnsi="Book Antiqua" w:cs="Arial"/>
        </w:rPr>
        <w:t xml:space="preserve">% </w:t>
      </w:r>
      <w:r w:rsidR="00B96011" w:rsidRPr="00746E61">
        <w:rPr>
          <w:rFonts w:ascii="Book Antiqua" w:hAnsi="Book Antiqua" w:cs="Arial"/>
        </w:rPr>
        <w:t xml:space="preserve">y </w:t>
      </w:r>
      <w:r w:rsidRPr="00746E61">
        <w:rPr>
          <w:rFonts w:ascii="Book Antiqua" w:hAnsi="Book Antiqua" w:cs="Arial"/>
        </w:rPr>
        <w:t xml:space="preserve">el Juzgado Penal de Buenos Aires es la oficina que tuvo la mayor disminución en la </w:t>
      </w:r>
      <w:r w:rsidR="00B96011" w:rsidRPr="00746E61">
        <w:rPr>
          <w:rFonts w:ascii="Book Antiqua" w:hAnsi="Book Antiqua" w:cs="Arial"/>
        </w:rPr>
        <w:t>dicha</w:t>
      </w:r>
      <w:r w:rsidRPr="00746E61">
        <w:rPr>
          <w:rFonts w:ascii="Book Antiqua" w:hAnsi="Book Antiqua" w:cs="Arial"/>
        </w:rPr>
        <w:t xml:space="preserve"> variable con un 6</w:t>
      </w:r>
      <w:r w:rsidR="00376CB3" w:rsidRPr="00746E61">
        <w:rPr>
          <w:rFonts w:ascii="Book Antiqua" w:hAnsi="Book Antiqua" w:cs="Arial"/>
        </w:rPr>
        <w:t>2</w:t>
      </w:r>
      <w:r w:rsidR="00D26C6D" w:rsidRPr="00746E61">
        <w:rPr>
          <w:rFonts w:ascii="Book Antiqua" w:hAnsi="Book Antiqua" w:cs="Arial"/>
        </w:rPr>
        <w:t>.</w:t>
      </w:r>
      <w:r w:rsidR="00376CB3" w:rsidRPr="00746E61">
        <w:rPr>
          <w:rFonts w:ascii="Book Antiqua" w:hAnsi="Book Antiqua" w:cs="Arial"/>
        </w:rPr>
        <w:t>38</w:t>
      </w:r>
      <w:r w:rsidR="00243F14">
        <w:rPr>
          <w:rFonts w:ascii="Book Antiqua" w:hAnsi="Book Antiqua" w:cs="Arial"/>
        </w:rPr>
        <w:t>% con respecto al 2019</w:t>
      </w:r>
      <w:r w:rsidR="00B96011" w:rsidRPr="00746E61">
        <w:rPr>
          <w:rFonts w:ascii="Book Antiqua" w:hAnsi="Book Antiqua" w:cs="Arial"/>
        </w:rPr>
        <w:t>.</w:t>
      </w:r>
      <w:r w:rsidR="004C4930" w:rsidRPr="00746E61">
        <w:rPr>
          <w:rFonts w:ascii="Book Antiqua" w:hAnsi="Book Antiqua" w:cs="Arial"/>
        </w:rPr>
        <w:t xml:space="preserve"> </w:t>
      </w:r>
      <w:r w:rsidRPr="00746E61">
        <w:rPr>
          <w:rFonts w:ascii="Book Antiqua" w:hAnsi="Book Antiqua" w:cs="Arial"/>
        </w:rPr>
        <w:t xml:space="preserve">Cabe señalar que, la disminución de los asuntos terminados de esta oficina se encuentra relacionada con </w:t>
      </w:r>
      <w:r w:rsidR="004C4930" w:rsidRPr="00746E61">
        <w:rPr>
          <w:rFonts w:ascii="Book Antiqua" w:hAnsi="Book Antiqua" w:cs="Arial"/>
        </w:rPr>
        <w:t>el descenso</w:t>
      </w:r>
      <w:r w:rsidRPr="00746E61">
        <w:rPr>
          <w:rFonts w:ascii="Book Antiqua" w:hAnsi="Book Antiqua" w:cs="Arial"/>
        </w:rPr>
        <w:t xml:space="preserve"> en la cantidad de los asuntos entrados.</w:t>
      </w:r>
    </w:p>
    <w:p w14:paraId="58617D47" w14:textId="1FC07E9E" w:rsidR="004C4930" w:rsidRPr="00746E61" w:rsidRDefault="000F6D84" w:rsidP="00746E61">
      <w:pPr>
        <w:spacing w:line="276" w:lineRule="auto"/>
        <w:jc w:val="both"/>
        <w:rPr>
          <w:rFonts w:ascii="Book Antiqua" w:hAnsi="Book Antiqua" w:cs="Arial"/>
        </w:rPr>
      </w:pPr>
      <w:r w:rsidRPr="00746E61">
        <w:rPr>
          <w:rFonts w:ascii="Book Antiqua" w:hAnsi="Book Antiqua" w:cs="Arial"/>
        </w:rPr>
        <w:t xml:space="preserve"> </w:t>
      </w:r>
    </w:p>
    <w:p w14:paraId="7BFE5F71" w14:textId="418C5A9F" w:rsidR="00E61A77" w:rsidRDefault="00FA74A5" w:rsidP="00FA74A5">
      <w:pPr>
        <w:spacing w:line="276" w:lineRule="auto"/>
        <w:jc w:val="both"/>
        <w:rPr>
          <w:rFonts w:ascii="Book Antiqua" w:hAnsi="Book Antiqua"/>
          <w:b/>
          <w:bCs/>
          <w:lang w:val="es-ES_tradnl" w:eastAsia="en-US"/>
        </w:rPr>
      </w:pPr>
      <w:r w:rsidRPr="00BF7F5F">
        <w:rPr>
          <w:rFonts w:ascii="Book Antiqua" w:hAnsi="Book Antiqua"/>
          <w:b/>
          <w:bCs/>
          <w:lang w:val="es-ES_tradnl" w:eastAsia="en-US"/>
        </w:rPr>
        <w:t>En los juzgados penales también se dictan medidas alternas, las cuales hacen que el expediente no termine de manera inmediata pero lo deja a un plazo de cumplimiento de un acuerdo, a continuación se logra ver las que se hicieron en el 2021:</w:t>
      </w:r>
    </w:p>
    <w:p w14:paraId="1339CC3C" w14:textId="2B5CCA94" w:rsidR="00FA74A5" w:rsidRDefault="00FA74A5" w:rsidP="00FA74A5">
      <w:pPr>
        <w:spacing w:line="276" w:lineRule="auto"/>
        <w:rPr>
          <w:rFonts w:ascii="Book Antiqua" w:hAnsi="Book Antiqua"/>
          <w:b/>
          <w:bCs/>
          <w:lang w:val="es-ES_tradnl" w:eastAsia="en-US"/>
        </w:rPr>
      </w:pPr>
    </w:p>
    <w:p w14:paraId="21D44CC2" w14:textId="7F974851" w:rsidR="00FA74A5" w:rsidRDefault="00FA74A5" w:rsidP="57A79FF7">
      <w:pPr>
        <w:spacing w:line="276" w:lineRule="auto"/>
        <w:jc w:val="center"/>
        <w:rPr>
          <w:rFonts w:ascii="Book Antiqua" w:hAnsi="Book Antiqua"/>
          <w:b/>
          <w:lang w:val="es-ES" w:eastAsia="en-US"/>
        </w:rPr>
      </w:pPr>
      <w:r>
        <w:rPr>
          <w:noProof/>
        </w:rPr>
        <w:drawing>
          <wp:inline distT="0" distB="0" distL="0" distR="0" wp14:anchorId="6AE09CB9" wp14:editId="3535A8B0">
            <wp:extent cx="5143500" cy="2926080"/>
            <wp:effectExtent l="0" t="0" r="0" b="7620"/>
            <wp:docPr id="43" name="Imagen 4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pic:nvPicPr>
                  <pic:blipFill>
                    <a:blip r:embed="rId17">
                      <a:extLst>
                        <a:ext uri="{28A0092B-C50C-407E-A947-70E740481C1C}">
                          <a14:useLocalDpi xmlns:a14="http://schemas.microsoft.com/office/drawing/2010/main" val="0"/>
                        </a:ext>
                      </a:extLst>
                    </a:blip>
                    <a:stretch>
                      <a:fillRect/>
                    </a:stretch>
                  </pic:blipFill>
                  <pic:spPr>
                    <a:xfrm>
                      <a:off x="0" y="0"/>
                      <a:ext cx="5143500" cy="2926080"/>
                    </a:xfrm>
                    <a:prstGeom prst="rect">
                      <a:avLst/>
                    </a:prstGeom>
                  </pic:spPr>
                </pic:pic>
              </a:graphicData>
            </a:graphic>
          </wp:inline>
        </w:drawing>
      </w:r>
    </w:p>
    <w:p w14:paraId="592BCBE5" w14:textId="77777777" w:rsidR="00FA74A5" w:rsidRPr="00746E61" w:rsidRDefault="00FA74A5" w:rsidP="00FA74A5">
      <w:pPr>
        <w:spacing w:line="276" w:lineRule="auto"/>
        <w:rPr>
          <w:rFonts w:ascii="Book Antiqua" w:hAnsi="Book Antiqua"/>
          <w:b/>
          <w:bCs/>
          <w:lang w:val="es-ES_tradnl" w:eastAsia="en-US"/>
        </w:rPr>
      </w:pPr>
    </w:p>
    <w:p w14:paraId="370F31DD" w14:textId="019182A6" w:rsidR="00FA73F2" w:rsidRPr="00746E61" w:rsidRDefault="00B81DEC" w:rsidP="57A79FF7">
      <w:pPr>
        <w:widowControl w:val="0"/>
        <w:autoSpaceDE w:val="0"/>
        <w:spacing w:line="276" w:lineRule="auto"/>
        <w:ind w:right="51"/>
        <w:outlineLvl w:val="2"/>
        <w:rPr>
          <w:b/>
        </w:rPr>
      </w:pPr>
      <w:r w:rsidRPr="57A79FF7">
        <w:rPr>
          <w:rFonts w:ascii="Book Antiqua" w:hAnsi="Book Antiqua" w:cs="Arial"/>
          <w:b/>
          <w:bCs/>
        </w:rPr>
        <w:t xml:space="preserve">3.1.3 </w:t>
      </w:r>
      <w:r w:rsidR="00FA73F2" w:rsidRPr="00746E61">
        <w:rPr>
          <w:rFonts w:ascii="Book Antiqua" w:hAnsi="Book Antiqua" w:cs="Arial"/>
          <w:b/>
          <w:bCs/>
        </w:rPr>
        <w:t xml:space="preserve">Circulante en </w:t>
      </w:r>
      <w:r w:rsidR="00576CD7" w:rsidRPr="00746E61">
        <w:rPr>
          <w:rFonts w:ascii="Book Antiqua" w:hAnsi="Book Antiqua" w:cs="Arial"/>
          <w:b/>
          <w:bCs/>
        </w:rPr>
        <w:t>t</w:t>
      </w:r>
      <w:r w:rsidR="00FA73F2" w:rsidRPr="00746E61">
        <w:rPr>
          <w:rFonts w:ascii="Book Antiqua" w:hAnsi="Book Antiqua" w:cs="Arial"/>
          <w:b/>
          <w:bCs/>
        </w:rPr>
        <w:t>rámite</w:t>
      </w:r>
    </w:p>
    <w:p w14:paraId="5CF8AAAC" w14:textId="77777777" w:rsidR="00FA73F2" w:rsidRPr="00746E61" w:rsidRDefault="00FA73F2" w:rsidP="00746E61">
      <w:pPr>
        <w:spacing w:line="276" w:lineRule="auto"/>
        <w:jc w:val="both"/>
        <w:rPr>
          <w:rFonts w:ascii="Book Antiqua" w:hAnsi="Book Antiqua" w:cs="Arial"/>
        </w:rPr>
      </w:pPr>
    </w:p>
    <w:p w14:paraId="454A3703" w14:textId="3A6774F1" w:rsidR="0022372D" w:rsidRPr="00746E61" w:rsidRDefault="002A698F" w:rsidP="00746E61">
      <w:pPr>
        <w:spacing w:line="276" w:lineRule="auto"/>
        <w:jc w:val="both"/>
        <w:rPr>
          <w:rFonts w:ascii="Book Antiqua" w:hAnsi="Book Antiqua" w:cs="Arial"/>
        </w:rPr>
      </w:pPr>
      <w:r w:rsidRPr="00746E61">
        <w:rPr>
          <w:rFonts w:ascii="Book Antiqua" w:hAnsi="Book Antiqua" w:cs="Arial"/>
        </w:rPr>
        <w:t xml:space="preserve">Del análisis del circulante en </w:t>
      </w:r>
      <w:r w:rsidR="004C4930" w:rsidRPr="00746E61">
        <w:rPr>
          <w:rFonts w:ascii="Book Antiqua" w:hAnsi="Book Antiqua" w:cs="Arial"/>
        </w:rPr>
        <w:t xml:space="preserve">estado en </w:t>
      </w:r>
      <w:r w:rsidRPr="00746E61">
        <w:rPr>
          <w:rFonts w:ascii="Book Antiqua" w:hAnsi="Book Antiqua" w:cs="Arial"/>
        </w:rPr>
        <w:t xml:space="preserve">trámite </w:t>
      </w:r>
      <w:r w:rsidR="004C4930" w:rsidRPr="00746E61">
        <w:rPr>
          <w:rFonts w:ascii="Book Antiqua" w:hAnsi="Book Antiqua" w:cs="Arial"/>
        </w:rPr>
        <w:t xml:space="preserve">se identifica </w:t>
      </w:r>
      <w:r w:rsidR="002C714E" w:rsidRPr="00746E61">
        <w:rPr>
          <w:rFonts w:ascii="Book Antiqua" w:hAnsi="Book Antiqua" w:cs="Arial"/>
        </w:rPr>
        <w:t>un decrecimiento</w:t>
      </w:r>
      <w:r w:rsidR="0022372D" w:rsidRPr="00746E61">
        <w:rPr>
          <w:rFonts w:ascii="Book Antiqua" w:hAnsi="Book Antiqua" w:cs="Arial"/>
        </w:rPr>
        <w:t xml:space="preserve"> del 8.29% con respecto </w:t>
      </w:r>
      <w:r w:rsidR="0014168A" w:rsidRPr="00746E61">
        <w:rPr>
          <w:rFonts w:ascii="Book Antiqua" w:hAnsi="Book Antiqua" w:cs="Arial"/>
        </w:rPr>
        <w:t>a</w:t>
      </w:r>
      <w:r w:rsidR="0022372D" w:rsidRPr="00746E61">
        <w:rPr>
          <w:rFonts w:ascii="Book Antiqua" w:hAnsi="Book Antiqua" w:cs="Arial"/>
        </w:rPr>
        <w:t>l periodo 2019 y 25.13% versus el 2020.</w:t>
      </w:r>
    </w:p>
    <w:p w14:paraId="2277EF99" w14:textId="77777777" w:rsidR="00FA73F2" w:rsidRPr="00746E61" w:rsidRDefault="00FA73F2" w:rsidP="00746E61">
      <w:pPr>
        <w:widowControl w:val="0"/>
        <w:autoSpaceDE w:val="0"/>
        <w:spacing w:line="276" w:lineRule="auto"/>
        <w:ind w:right="51"/>
        <w:rPr>
          <w:rFonts w:ascii="Book Antiqua" w:hAnsi="Book Antiqua" w:cs="Arial"/>
        </w:rPr>
      </w:pPr>
    </w:p>
    <w:p w14:paraId="6E2F7DA5" w14:textId="1F58C26F" w:rsidR="00FA73F2" w:rsidRPr="00746E61" w:rsidRDefault="00FA73F2" w:rsidP="00746E61">
      <w:pPr>
        <w:widowControl w:val="0"/>
        <w:autoSpaceDE w:val="0"/>
        <w:spacing w:line="276" w:lineRule="auto"/>
        <w:ind w:right="51"/>
        <w:rPr>
          <w:rFonts w:ascii="Book Antiqua" w:hAnsi="Book Antiqua" w:cs="Arial"/>
          <w:b/>
          <w:bCs/>
        </w:rPr>
      </w:pPr>
      <w:r w:rsidRPr="00746E61">
        <w:rPr>
          <w:rFonts w:ascii="Book Antiqua" w:hAnsi="Book Antiqua" w:cs="Arial"/>
        </w:rPr>
        <w:t xml:space="preserve">Seguidamente, el </w:t>
      </w:r>
      <w:r w:rsidRPr="00746E61">
        <w:rPr>
          <w:rFonts w:ascii="Book Antiqua" w:hAnsi="Book Antiqua" w:cs="Arial"/>
          <w:b/>
          <w:bCs/>
        </w:rPr>
        <w:t>Cuadro 15</w:t>
      </w:r>
      <w:r w:rsidRPr="00746E61">
        <w:rPr>
          <w:rFonts w:ascii="Book Antiqua" w:hAnsi="Book Antiqua" w:cs="Arial"/>
        </w:rPr>
        <w:t>, muestra lo expuesto.</w:t>
      </w:r>
    </w:p>
    <w:p w14:paraId="2EF42492" w14:textId="3FF3F399" w:rsidR="00BF7F5F" w:rsidRDefault="00BF7F5F">
      <w:pPr>
        <w:rPr>
          <w:rFonts w:ascii="Book Antiqua" w:hAnsi="Book Antiqua" w:cs="Arial"/>
        </w:rPr>
      </w:pPr>
      <w:r>
        <w:rPr>
          <w:rFonts w:ascii="Book Antiqua" w:hAnsi="Book Antiqua" w:cs="Arial"/>
        </w:rPr>
        <w:br w:type="page"/>
      </w:r>
    </w:p>
    <w:p w14:paraId="0CD51864" w14:textId="77777777" w:rsidR="00FA73F2" w:rsidRPr="00746E61" w:rsidRDefault="00FA73F2" w:rsidP="00746E61">
      <w:pPr>
        <w:spacing w:line="276" w:lineRule="auto"/>
        <w:jc w:val="both"/>
        <w:rPr>
          <w:rFonts w:ascii="Book Antiqua" w:hAnsi="Book Antiqua" w:cs="Arial"/>
        </w:rPr>
      </w:pPr>
    </w:p>
    <w:p w14:paraId="672BB1CE" w14:textId="78649142" w:rsidR="00FA73F2" w:rsidRPr="00746E61" w:rsidRDefault="00FA73F2" w:rsidP="00746E61">
      <w:pPr>
        <w:widowControl w:val="0"/>
        <w:autoSpaceDE w:val="0"/>
        <w:spacing w:line="276" w:lineRule="auto"/>
        <w:ind w:right="51"/>
        <w:jc w:val="center"/>
        <w:rPr>
          <w:rFonts w:ascii="Book Antiqua" w:hAnsi="Book Antiqua" w:cs="Arial"/>
          <w:b/>
          <w:bCs/>
        </w:rPr>
      </w:pPr>
      <w:r w:rsidRPr="00746E61">
        <w:rPr>
          <w:rFonts w:ascii="Book Antiqua" w:hAnsi="Book Antiqua" w:cs="Arial"/>
          <w:b/>
          <w:bCs/>
        </w:rPr>
        <w:t xml:space="preserve">Cuadro </w:t>
      </w:r>
      <w:r w:rsidR="0087206C" w:rsidRPr="00746E61">
        <w:rPr>
          <w:rFonts w:ascii="Book Antiqua" w:hAnsi="Book Antiqua" w:cs="Arial"/>
          <w:b/>
          <w:bCs/>
        </w:rPr>
        <w:t>15</w:t>
      </w:r>
    </w:p>
    <w:p w14:paraId="12511197" w14:textId="77777777" w:rsidR="00FA73F2" w:rsidRPr="00746E61" w:rsidRDefault="00FA73F2" w:rsidP="00746E61">
      <w:pPr>
        <w:widowControl w:val="0"/>
        <w:autoSpaceDE w:val="0"/>
        <w:spacing w:line="276" w:lineRule="auto"/>
        <w:ind w:right="51"/>
        <w:jc w:val="center"/>
        <w:rPr>
          <w:rFonts w:ascii="Book Antiqua" w:hAnsi="Book Antiqua" w:cs="Arial"/>
        </w:rPr>
      </w:pPr>
      <w:r w:rsidRPr="00746E61">
        <w:rPr>
          <w:rFonts w:ascii="Book Antiqua" w:hAnsi="Book Antiqua" w:cs="Arial"/>
        </w:rPr>
        <w:t xml:space="preserve">Cantidad de circulante en trámite de los Juzgados Penales </w:t>
      </w:r>
    </w:p>
    <w:p w14:paraId="4B1C9AF5" w14:textId="29A37626" w:rsidR="00FA73F2" w:rsidRPr="00746E61" w:rsidRDefault="00FA73F2" w:rsidP="00746E61">
      <w:pPr>
        <w:widowControl w:val="0"/>
        <w:autoSpaceDE w:val="0"/>
        <w:spacing w:line="276" w:lineRule="auto"/>
        <w:ind w:right="51"/>
        <w:jc w:val="center"/>
        <w:rPr>
          <w:rFonts w:ascii="Book Antiqua" w:hAnsi="Book Antiqua" w:cs="Arial"/>
        </w:rPr>
      </w:pPr>
      <w:r w:rsidRPr="00746E61">
        <w:rPr>
          <w:rFonts w:ascii="Book Antiqua" w:hAnsi="Book Antiqua" w:cs="Arial"/>
        </w:rPr>
        <w:t xml:space="preserve">Al finalizar los años 2019, 2020 y mes de </w:t>
      </w:r>
      <w:r w:rsidR="004C4930" w:rsidRPr="00746E61">
        <w:rPr>
          <w:rFonts w:ascii="Book Antiqua" w:hAnsi="Book Antiqua" w:cs="Arial"/>
        </w:rPr>
        <w:t>setiembre</w:t>
      </w:r>
      <w:r w:rsidRPr="00746E61">
        <w:rPr>
          <w:rFonts w:ascii="Book Antiqua" w:hAnsi="Book Antiqua" w:cs="Arial"/>
        </w:rPr>
        <w:t xml:space="preserve"> de 2021</w:t>
      </w:r>
    </w:p>
    <w:tbl>
      <w:tblPr>
        <w:tblW w:w="9601" w:type="dxa"/>
        <w:jc w:val="center"/>
        <w:tblCellMar>
          <w:left w:w="70" w:type="dxa"/>
          <w:right w:w="70" w:type="dxa"/>
        </w:tblCellMar>
        <w:tblLook w:val="04A0" w:firstRow="1" w:lastRow="0" w:firstColumn="1" w:lastColumn="0" w:noHBand="0" w:noVBand="1"/>
      </w:tblPr>
      <w:tblGrid>
        <w:gridCol w:w="2985"/>
        <w:gridCol w:w="1008"/>
        <w:gridCol w:w="1008"/>
        <w:gridCol w:w="1008"/>
        <w:gridCol w:w="1796"/>
        <w:gridCol w:w="1796"/>
      </w:tblGrid>
      <w:tr w:rsidR="001237D2" w:rsidRPr="00746E61" w14:paraId="7E230F2F" w14:textId="77777777" w:rsidTr="001237D2">
        <w:trPr>
          <w:trHeight w:val="660"/>
          <w:jc w:val="center"/>
        </w:trPr>
        <w:tc>
          <w:tcPr>
            <w:tcW w:w="2985"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134D8E21" w14:textId="77777777" w:rsidR="001237D2" w:rsidRPr="00746E61" w:rsidRDefault="001237D2" w:rsidP="00746E61">
            <w:pPr>
              <w:spacing w:line="276" w:lineRule="auto"/>
              <w:jc w:val="center"/>
              <w:rPr>
                <w:rFonts w:ascii="Book Antiqua" w:hAnsi="Book Antiqua" w:cs="Calibri"/>
                <w:b/>
                <w:bCs/>
                <w:color w:val="FFFFFF"/>
                <w:sz w:val="16"/>
                <w:szCs w:val="16"/>
                <w:lang w:eastAsia="es-CR"/>
              </w:rPr>
            </w:pPr>
            <w:r w:rsidRPr="00746E61">
              <w:rPr>
                <w:rFonts w:ascii="Book Antiqua" w:hAnsi="Book Antiqua" w:cs="Calibri"/>
                <w:b/>
                <w:bCs/>
                <w:color w:val="FFFFFF"/>
                <w:sz w:val="16"/>
                <w:szCs w:val="16"/>
                <w:lang w:eastAsia="es-CR"/>
              </w:rPr>
              <w:t>Despachos</w:t>
            </w:r>
          </w:p>
        </w:tc>
        <w:tc>
          <w:tcPr>
            <w:tcW w:w="1008" w:type="dxa"/>
            <w:tcBorders>
              <w:top w:val="single" w:sz="4" w:space="0" w:color="auto"/>
              <w:left w:val="nil"/>
              <w:bottom w:val="single" w:sz="4" w:space="0" w:color="auto"/>
              <w:right w:val="single" w:sz="4" w:space="0" w:color="auto"/>
            </w:tcBorders>
            <w:shd w:val="clear" w:color="000000" w:fill="305496"/>
            <w:vAlign w:val="center"/>
            <w:hideMark/>
          </w:tcPr>
          <w:p w14:paraId="21525431" w14:textId="77777777" w:rsidR="001237D2" w:rsidRPr="00746E61" w:rsidRDefault="001237D2" w:rsidP="00746E61">
            <w:pPr>
              <w:spacing w:line="276" w:lineRule="auto"/>
              <w:jc w:val="center"/>
              <w:rPr>
                <w:rFonts w:ascii="Book Antiqua" w:hAnsi="Book Antiqua" w:cs="Calibri"/>
                <w:b/>
                <w:bCs/>
                <w:color w:val="FFFFFF"/>
                <w:sz w:val="16"/>
                <w:szCs w:val="16"/>
                <w:lang w:eastAsia="es-CR"/>
              </w:rPr>
            </w:pPr>
            <w:r w:rsidRPr="00746E61">
              <w:rPr>
                <w:rFonts w:ascii="Book Antiqua" w:hAnsi="Book Antiqua" w:cs="Calibri"/>
                <w:b/>
                <w:bCs/>
                <w:color w:val="FFFFFF"/>
                <w:sz w:val="16"/>
                <w:szCs w:val="16"/>
                <w:lang w:eastAsia="es-CR"/>
              </w:rPr>
              <w:t>Circulante en Trámite 2019</w:t>
            </w:r>
          </w:p>
        </w:tc>
        <w:tc>
          <w:tcPr>
            <w:tcW w:w="1008" w:type="dxa"/>
            <w:tcBorders>
              <w:top w:val="single" w:sz="4" w:space="0" w:color="auto"/>
              <w:left w:val="nil"/>
              <w:bottom w:val="single" w:sz="4" w:space="0" w:color="auto"/>
              <w:right w:val="single" w:sz="4" w:space="0" w:color="auto"/>
            </w:tcBorders>
            <w:shd w:val="clear" w:color="000000" w:fill="305496"/>
            <w:vAlign w:val="center"/>
            <w:hideMark/>
          </w:tcPr>
          <w:p w14:paraId="6E74AB39" w14:textId="77777777" w:rsidR="001237D2" w:rsidRPr="00746E61" w:rsidRDefault="001237D2" w:rsidP="00746E61">
            <w:pPr>
              <w:spacing w:line="276" w:lineRule="auto"/>
              <w:jc w:val="center"/>
              <w:rPr>
                <w:rFonts w:ascii="Book Antiqua" w:hAnsi="Book Antiqua" w:cs="Calibri"/>
                <w:b/>
                <w:bCs/>
                <w:color w:val="FFFFFF"/>
                <w:sz w:val="16"/>
                <w:szCs w:val="16"/>
                <w:lang w:eastAsia="es-CR"/>
              </w:rPr>
            </w:pPr>
            <w:r w:rsidRPr="00746E61">
              <w:rPr>
                <w:rFonts w:ascii="Book Antiqua" w:hAnsi="Book Antiqua" w:cs="Calibri"/>
                <w:b/>
                <w:bCs/>
                <w:color w:val="FFFFFF"/>
                <w:sz w:val="16"/>
                <w:szCs w:val="16"/>
                <w:lang w:eastAsia="es-CR"/>
              </w:rPr>
              <w:t>Circulante en Trámite 2020</w:t>
            </w:r>
          </w:p>
        </w:tc>
        <w:tc>
          <w:tcPr>
            <w:tcW w:w="1008" w:type="dxa"/>
            <w:tcBorders>
              <w:top w:val="single" w:sz="4" w:space="0" w:color="auto"/>
              <w:left w:val="nil"/>
              <w:bottom w:val="single" w:sz="4" w:space="0" w:color="auto"/>
              <w:right w:val="single" w:sz="4" w:space="0" w:color="auto"/>
            </w:tcBorders>
            <w:shd w:val="clear" w:color="000000" w:fill="305496"/>
            <w:vAlign w:val="center"/>
            <w:hideMark/>
          </w:tcPr>
          <w:p w14:paraId="0CD9983B" w14:textId="77777777" w:rsidR="001237D2" w:rsidRPr="00746E61" w:rsidRDefault="001237D2" w:rsidP="00746E61">
            <w:pPr>
              <w:spacing w:line="276" w:lineRule="auto"/>
              <w:jc w:val="center"/>
              <w:rPr>
                <w:rFonts w:ascii="Book Antiqua" w:hAnsi="Book Antiqua" w:cs="Calibri"/>
                <w:b/>
                <w:bCs/>
                <w:color w:val="FFFFFF"/>
                <w:sz w:val="16"/>
                <w:szCs w:val="16"/>
                <w:lang w:eastAsia="es-CR"/>
              </w:rPr>
            </w:pPr>
            <w:r w:rsidRPr="00746E61">
              <w:rPr>
                <w:rFonts w:ascii="Book Antiqua" w:hAnsi="Book Antiqua" w:cs="Calibri"/>
                <w:b/>
                <w:bCs/>
                <w:color w:val="FFFFFF"/>
                <w:sz w:val="16"/>
                <w:szCs w:val="16"/>
                <w:lang w:eastAsia="es-CR"/>
              </w:rPr>
              <w:t>Circulante en Trámite 2021</w:t>
            </w:r>
          </w:p>
        </w:tc>
        <w:tc>
          <w:tcPr>
            <w:tcW w:w="1796" w:type="dxa"/>
            <w:tcBorders>
              <w:top w:val="single" w:sz="4" w:space="0" w:color="auto"/>
              <w:left w:val="nil"/>
              <w:bottom w:val="single" w:sz="4" w:space="0" w:color="auto"/>
              <w:right w:val="single" w:sz="4" w:space="0" w:color="auto"/>
            </w:tcBorders>
            <w:shd w:val="clear" w:color="000000" w:fill="DDEBF7"/>
            <w:vAlign w:val="center"/>
            <w:hideMark/>
          </w:tcPr>
          <w:p w14:paraId="12B1BFEA" w14:textId="77777777" w:rsidR="001237D2" w:rsidRPr="00746E61" w:rsidRDefault="001237D2" w:rsidP="00746E61">
            <w:pPr>
              <w:spacing w:line="276" w:lineRule="auto"/>
              <w:jc w:val="center"/>
              <w:rPr>
                <w:rFonts w:ascii="Book Antiqua" w:hAnsi="Book Antiqua" w:cs="Calibri"/>
                <w:b/>
                <w:bCs/>
                <w:color w:val="3A3838"/>
                <w:sz w:val="16"/>
                <w:szCs w:val="16"/>
                <w:lang w:eastAsia="es-CR"/>
              </w:rPr>
            </w:pPr>
            <w:r w:rsidRPr="00746E61">
              <w:rPr>
                <w:rFonts w:ascii="Book Antiqua" w:hAnsi="Book Antiqua" w:cs="Calibri"/>
                <w:b/>
                <w:bCs/>
                <w:color w:val="3A3838"/>
                <w:sz w:val="16"/>
                <w:szCs w:val="16"/>
                <w:lang w:eastAsia="es-CR"/>
              </w:rPr>
              <w:t>Aumento/disminución 2021vs2019</w:t>
            </w:r>
          </w:p>
        </w:tc>
        <w:tc>
          <w:tcPr>
            <w:tcW w:w="1796" w:type="dxa"/>
            <w:tcBorders>
              <w:top w:val="single" w:sz="4" w:space="0" w:color="auto"/>
              <w:left w:val="nil"/>
              <w:bottom w:val="single" w:sz="4" w:space="0" w:color="auto"/>
              <w:right w:val="single" w:sz="4" w:space="0" w:color="auto"/>
            </w:tcBorders>
            <w:shd w:val="clear" w:color="000000" w:fill="DDEBF7"/>
            <w:vAlign w:val="center"/>
            <w:hideMark/>
          </w:tcPr>
          <w:p w14:paraId="481C3B7D" w14:textId="77777777" w:rsidR="001237D2" w:rsidRPr="00746E61" w:rsidRDefault="001237D2" w:rsidP="00746E61">
            <w:pPr>
              <w:spacing w:line="276" w:lineRule="auto"/>
              <w:jc w:val="center"/>
              <w:rPr>
                <w:rFonts w:ascii="Book Antiqua" w:hAnsi="Book Antiqua" w:cs="Calibri"/>
                <w:b/>
                <w:bCs/>
                <w:color w:val="3A3838"/>
                <w:sz w:val="16"/>
                <w:szCs w:val="16"/>
                <w:lang w:eastAsia="es-CR"/>
              </w:rPr>
            </w:pPr>
            <w:r w:rsidRPr="00746E61">
              <w:rPr>
                <w:rFonts w:ascii="Book Antiqua" w:hAnsi="Book Antiqua" w:cs="Calibri"/>
                <w:b/>
                <w:bCs/>
                <w:color w:val="3A3838"/>
                <w:sz w:val="16"/>
                <w:szCs w:val="16"/>
                <w:lang w:eastAsia="es-CR"/>
              </w:rPr>
              <w:t>Aumento/disminución 2021vs2020</w:t>
            </w:r>
          </w:p>
        </w:tc>
      </w:tr>
      <w:tr w:rsidR="001237D2" w:rsidRPr="00746E61" w14:paraId="300FE56E" w14:textId="77777777" w:rsidTr="001237D2">
        <w:trPr>
          <w:trHeight w:val="290"/>
          <w:jc w:val="center"/>
        </w:trPr>
        <w:tc>
          <w:tcPr>
            <w:tcW w:w="298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20A8A0B" w14:textId="77777777" w:rsidR="001237D2" w:rsidRPr="00746E61" w:rsidRDefault="001237D2"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Osa</w:t>
            </w:r>
          </w:p>
        </w:tc>
        <w:tc>
          <w:tcPr>
            <w:tcW w:w="1008" w:type="dxa"/>
            <w:tcBorders>
              <w:top w:val="nil"/>
              <w:left w:val="nil"/>
              <w:bottom w:val="single" w:sz="4" w:space="0" w:color="auto"/>
              <w:right w:val="single" w:sz="4" w:space="0" w:color="auto"/>
            </w:tcBorders>
            <w:shd w:val="clear" w:color="auto" w:fill="F2F2F2" w:themeFill="background1" w:themeFillShade="F2"/>
            <w:noWrap/>
            <w:vAlign w:val="center"/>
            <w:hideMark/>
          </w:tcPr>
          <w:p w14:paraId="095E872A"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173</w:t>
            </w:r>
          </w:p>
        </w:tc>
        <w:tc>
          <w:tcPr>
            <w:tcW w:w="1008" w:type="dxa"/>
            <w:tcBorders>
              <w:top w:val="nil"/>
              <w:left w:val="nil"/>
              <w:bottom w:val="single" w:sz="4" w:space="0" w:color="auto"/>
              <w:right w:val="single" w:sz="4" w:space="0" w:color="auto"/>
            </w:tcBorders>
            <w:shd w:val="clear" w:color="auto" w:fill="F2F2F2" w:themeFill="background1" w:themeFillShade="F2"/>
            <w:noWrap/>
            <w:vAlign w:val="center"/>
            <w:hideMark/>
          </w:tcPr>
          <w:p w14:paraId="0A740E75"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781</w:t>
            </w:r>
          </w:p>
        </w:tc>
        <w:tc>
          <w:tcPr>
            <w:tcW w:w="1008" w:type="dxa"/>
            <w:tcBorders>
              <w:top w:val="nil"/>
              <w:left w:val="nil"/>
              <w:bottom w:val="single" w:sz="4" w:space="0" w:color="auto"/>
              <w:right w:val="single" w:sz="4" w:space="0" w:color="auto"/>
            </w:tcBorders>
            <w:shd w:val="clear" w:color="auto" w:fill="F2F2F2" w:themeFill="background1" w:themeFillShade="F2"/>
            <w:noWrap/>
            <w:vAlign w:val="center"/>
            <w:hideMark/>
          </w:tcPr>
          <w:p w14:paraId="215B5AD3"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450</w:t>
            </w:r>
          </w:p>
        </w:tc>
        <w:tc>
          <w:tcPr>
            <w:tcW w:w="1796" w:type="dxa"/>
            <w:tcBorders>
              <w:top w:val="nil"/>
              <w:left w:val="nil"/>
              <w:bottom w:val="single" w:sz="4" w:space="0" w:color="auto"/>
              <w:right w:val="single" w:sz="4" w:space="0" w:color="auto"/>
            </w:tcBorders>
            <w:shd w:val="clear" w:color="auto" w:fill="F2F2F2" w:themeFill="background1" w:themeFillShade="F2"/>
            <w:vAlign w:val="center"/>
            <w:hideMark/>
          </w:tcPr>
          <w:p w14:paraId="48B80C98"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160,12%</w:t>
            </w:r>
          </w:p>
        </w:tc>
        <w:tc>
          <w:tcPr>
            <w:tcW w:w="1796" w:type="dxa"/>
            <w:tcBorders>
              <w:top w:val="nil"/>
              <w:left w:val="nil"/>
              <w:bottom w:val="single" w:sz="4" w:space="0" w:color="auto"/>
              <w:right w:val="single" w:sz="4" w:space="0" w:color="auto"/>
            </w:tcBorders>
            <w:shd w:val="clear" w:color="auto" w:fill="F2F2F2" w:themeFill="background1" w:themeFillShade="F2"/>
            <w:vAlign w:val="center"/>
            <w:hideMark/>
          </w:tcPr>
          <w:p w14:paraId="57C8090C"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-42,38%</w:t>
            </w:r>
          </w:p>
        </w:tc>
      </w:tr>
      <w:tr w:rsidR="001237D2" w:rsidRPr="00746E61" w14:paraId="4229064B" w14:textId="77777777" w:rsidTr="001237D2">
        <w:trPr>
          <w:trHeight w:val="290"/>
          <w:jc w:val="center"/>
        </w:trPr>
        <w:tc>
          <w:tcPr>
            <w:tcW w:w="2985" w:type="dxa"/>
            <w:tcBorders>
              <w:top w:val="nil"/>
              <w:left w:val="single" w:sz="4" w:space="0" w:color="auto"/>
              <w:bottom w:val="single" w:sz="4" w:space="0" w:color="auto"/>
              <w:right w:val="single" w:sz="4" w:space="0" w:color="auto"/>
            </w:tcBorders>
            <w:shd w:val="clear" w:color="auto" w:fill="auto"/>
            <w:noWrap/>
            <w:vAlign w:val="center"/>
            <w:hideMark/>
          </w:tcPr>
          <w:p w14:paraId="6CE17F28" w14:textId="77777777" w:rsidR="001237D2" w:rsidRPr="00746E61" w:rsidRDefault="001237D2"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Sarapiquí</w:t>
            </w:r>
          </w:p>
        </w:tc>
        <w:tc>
          <w:tcPr>
            <w:tcW w:w="1008" w:type="dxa"/>
            <w:tcBorders>
              <w:top w:val="nil"/>
              <w:left w:val="nil"/>
              <w:bottom w:val="single" w:sz="4" w:space="0" w:color="auto"/>
              <w:right w:val="single" w:sz="4" w:space="0" w:color="auto"/>
            </w:tcBorders>
            <w:shd w:val="clear" w:color="auto" w:fill="auto"/>
            <w:noWrap/>
            <w:vAlign w:val="center"/>
            <w:hideMark/>
          </w:tcPr>
          <w:p w14:paraId="21D80557"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127</w:t>
            </w:r>
          </w:p>
        </w:tc>
        <w:tc>
          <w:tcPr>
            <w:tcW w:w="1008" w:type="dxa"/>
            <w:tcBorders>
              <w:top w:val="nil"/>
              <w:left w:val="nil"/>
              <w:bottom w:val="single" w:sz="4" w:space="0" w:color="auto"/>
              <w:right w:val="single" w:sz="4" w:space="0" w:color="auto"/>
            </w:tcBorders>
            <w:shd w:val="clear" w:color="auto" w:fill="auto"/>
            <w:noWrap/>
            <w:vAlign w:val="center"/>
            <w:hideMark/>
          </w:tcPr>
          <w:p w14:paraId="77518BFB"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253</w:t>
            </w:r>
          </w:p>
        </w:tc>
        <w:tc>
          <w:tcPr>
            <w:tcW w:w="1008" w:type="dxa"/>
            <w:tcBorders>
              <w:top w:val="nil"/>
              <w:left w:val="nil"/>
              <w:bottom w:val="single" w:sz="4" w:space="0" w:color="auto"/>
              <w:right w:val="single" w:sz="4" w:space="0" w:color="auto"/>
            </w:tcBorders>
            <w:shd w:val="clear" w:color="auto" w:fill="auto"/>
            <w:noWrap/>
            <w:vAlign w:val="center"/>
            <w:hideMark/>
          </w:tcPr>
          <w:p w14:paraId="0E7410ED"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296</w:t>
            </w:r>
          </w:p>
        </w:tc>
        <w:tc>
          <w:tcPr>
            <w:tcW w:w="1796" w:type="dxa"/>
            <w:tcBorders>
              <w:top w:val="nil"/>
              <w:left w:val="nil"/>
              <w:bottom w:val="single" w:sz="4" w:space="0" w:color="auto"/>
              <w:right w:val="single" w:sz="4" w:space="0" w:color="auto"/>
            </w:tcBorders>
            <w:shd w:val="clear" w:color="auto" w:fill="auto"/>
            <w:vAlign w:val="center"/>
            <w:hideMark/>
          </w:tcPr>
          <w:p w14:paraId="15BA0794"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133,07%</w:t>
            </w:r>
          </w:p>
        </w:tc>
        <w:tc>
          <w:tcPr>
            <w:tcW w:w="1796" w:type="dxa"/>
            <w:tcBorders>
              <w:top w:val="nil"/>
              <w:left w:val="nil"/>
              <w:bottom w:val="single" w:sz="4" w:space="0" w:color="auto"/>
              <w:right w:val="single" w:sz="4" w:space="0" w:color="auto"/>
            </w:tcBorders>
            <w:shd w:val="clear" w:color="auto" w:fill="auto"/>
            <w:vAlign w:val="center"/>
            <w:hideMark/>
          </w:tcPr>
          <w:p w14:paraId="1CC16414"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17,00%</w:t>
            </w:r>
          </w:p>
        </w:tc>
      </w:tr>
      <w:tr w:rsidR="001237D2" w:rsidRPr="00746E61" w14:paraId="7B044F73" w14:textId="77777777" w:rsidTr="001237D2">
        <w:trPr>
          <w:trHeight w:val="290"/>
          <w:jc w:val="center"/>
        </w:trPr>
        <w:tc>
          <w:tcPr>
            <w:tcW w:w="2985" w:type="dxa"/>
            <w:tcBorders>
              <w:top w:val="nil"/>
              <w:left w:val="single" w:sz="4" w:space="0" w:color="auto"/>
              <w:bottom w:val="single" w:sz="4" w:space="0" w:color="auto"/>
              <w:right w:val="single" w:sz="4" w:space="0" w:color="auto"/>
            </w:tcBorders>
            <w:shd w:val="clear" w:color="auto" w:fill="auto"/>
            <w:noWrap/>
            <w:vAlign w:val="center"/>
            <w:hideMark/>
          </w:tcPr>
          <w:p w14:paraId="3AE33979" w14:textId="77777777" w:rsidR="001237D2" w:rsidRPr="00746E61" w:rsidRDefault="001237D2"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La Unión</w:t>
            </w:r>
          </w:p>
        </w:tc>
        <w:tc>
          <w:tcPr>
            <w:tcW w:w="1008" w:type="dxa"/>
            <w:tcBorders>
              <w:top w:val="nil"/>
              <w:left w:val="nil"/>
              <w:bottom w:val="single" w:sz="4" w:space="0" w:color="auto"/>
              <w:right w:val="single" w:sz="4" w:space="0" w:color="auto"/>
            </w:tcBorders>
            <w:shd w:val="clear" w:color="auto" w:fill="auto"/>
            <w:noWrap/>
            <w:vAlign w:val="center"/>
            <w:hideMark/>
          </w:tcPr>
          <w:p w14:paraId="3A20A2B6"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146</w:t>
            </w:r>
          </w:p>
        </w:tc>
        <w:tc>
          <w:tcPr>
            <w:tcW w:w="1008" w:type="dxa"/>
            <w:tcBorders>
              <w:top w:val="nil"/>
              <w:left w:val="nil"/>
              <w:bottom w:val="single" w:sz="4" w:space="0" w:color="auto"/>
              <w:right w:val="single" w:sz="4" w:space="0" w:color="auto"/>
            </w:tcBorders>
            <w:shd w:val="clear" w:color="auto" w:fill="auto"/>
            <w:noWrap/>
            <w:vAlign w:val="center"/>
            <w:hideMark/>
          </w:tcPr>
          <w:p w14:paraId="110EEC19"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466</w:t>
            </w:r>
          </w:p>
        </w:tc>
        <w:tc>
          <w:tcPr>
            <w:tcW w:w="1008" w:type="dxa"/>
            <w:tcBorders>
              <w:top w:val="nil"/>
              <w:left w:val="nil"/>
              <w:bottom w:val="single" w:sz="4" w:space="0" w:color="auto"/>
              <w:right w:val="single" w:sz="4" w:space="0" w:color="auto"/>
            </w:tcBorders>
            <w:shd w:val="clear" w:color="auto" w:fill="auto"/>
            <w:noWrap/>
            <w:vAlign w:val="center"/>
            <w:hideMark/>
          </w:tcPr>
          <w:p w14:paraId="0484359B"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297</w:t>
            </w:r>
          </w:p>
        </w:tc>
        <w:tc>
          <w:tcPr>
            <w:tcW w:w="1796" w:type="dxa"/>
            <w:tcBorders>
              <w:top w:val="nil"/>
              <w:left w:val="nil"/>
              <w:bottom w:val="single" w:sz="4" w:space="0" w:color="auto"/>
              <w:right w:val="single" w:sz="4" w:space="0" w:color="auto"/>
            </w:tcBorders>
            <w:shd w:val="clear" w:color="auto" w:fill="auto"/>
            <w:vAlign w:val="center"/>
            <w:hideMark/>
          </w:tcPr>
          <w:p w14:paraId="5F092976"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103,42%</w:t>
            </w:r>
          </w:p>
        </w:tc>
        <w:tc>
          <w:tcPr>
            <w:tcW w:w="1796" w:type="dxa"/>
            <w:tcBorders>
              <w:top w:val="nil"/>
              <w:left w:val="nil"/>
              <w:bottom w:val="single" w:sz="4" w:space="0" w:color="auto"/>
              <w:right w:val="single" w:sz="4" w:space="0" w:color="auto"/>
            </w:tcBorders>
            <w:shd w:val="clear" w:color="auto" w:fill="auto"/>
            <w:vAlign w:val="center"/>
            <w:hideMark/>
          </w:tcPr>
          <w:p w14:paraId="7D888FDF"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-36,27%</w:t>
            </w:r>
          </w:p>
        </w:tc>
      </w:tr>
      <w:tr w:rsidR="001237D2" w:rsidRPr="00746E61" w14:paraId="36FF69A7" w14:textId="77777777" w:rsidTr="001237D2">
        <w:trPr>
          <w:trHeight w:val="290"/>
          <w:jc w:val="center"/>
        </w:trPr>
        <w:tc>
          <w:tcPr>
            <w:tcW w:w="2985" w:type="dxa"/>
            <w:tcBorders>
              <w:top w:val="nil"/>
              <w:left w:val="single" w:sz="4" w:space="0" w:color="auto"/>
              <w:bottom w:val="single" w:sz="4" w:space="0" w:color="auto"/>
              <w:right w:val="single" w:sz="4" w:space="0" w:color="auto"/>
            </w:tcBorders>
            <w:shd w:val="clear" w:color="auto" w:fill="auto"/>
            <w:noWrap/>
            <w:vAlign w:val="center"/>
            <w:hideMark/>
          </w:tcPr>
          <w:p w14:paraId="6F68EF47" w14:textId="77777777" w:rsidR="001237D2" w:rsidRPr="00746E61" w:rsidRDefault="001237D2"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Atenas</w:t>
            </w:r>
          </w:p>
        </w:tc>
        <w:tc>
          <w:tcPr>
            <w:tcW w:w="1008" w:type="dxa"/>
            <w:tcBorders>
              <w:top w:val="nil"/>
              <w:left w:val="nil"/>
              <w:bottom w:val="single" w:sz="4" w:space="0" w:color="auto"/>
              <w:right w:val="single" w:sz="4" w:space="0" w:color="auto"/>
            </w:tcBorders>
            <w:shd w:val="clear" w:color="auto" w:fill="auto"/>
            <w:noWrap/>
            <w:vAlign w:val="center"/>
            <w:hideMark/>
          </w:tcPr>
          <w:p w14:paraId="27B0646A"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81</w:t>
            </w:r>
          </w:p>
        </w:tc>
        <w:tc>
          <w:tcPr>
            <w:tcW w:w="1008" w:type="dxa"/>
            <w:tcBorders>
              <w:top w:val="nil"/>
              <w:left w:val="nil"/>
              <w:bottom w:val="single" w:sz="4" w:space="0" w:color="auto"/>
              <w:right w:val="single" w:sz="4" w:space="0" w:color="auto"/>
            </w:tcBorders>
            <w:shd w:val="clear" w:color="auto" w:fill="auto"/>
            <w:noWrap/>
            <w:vAlign w:val="center"/>
            <w:hideMark/>
          </w:tcPr>
          <w:p w14:paraId="35090675"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226</w:t>
            </w:r>
          </w:p>
        </w:tc>
        <w:tc>
          <w:tcPr>
            <w:tcW w:w="1008" w:type="dxa"/>
            <w:tcBorders>
              <w:top w:val="nil"/>
              <w:left w:val="nil"/>
              <w:bottom w:val="single" w:sz="4" w:space="0" w:color="auto"/>
              <w:right w:val="single" w:sz="4" w:space="0" w:color="auto"/>
            </w:tcBorders>
            <w:shd w:val="clear" w:color="auto" w:fill="auto"/>
            <w:noWrap/>
            <w:vAlign w:val="center"/>
            <w:hideMark/>
          </w:tcPr>
          <w:p w14:paraId="36498913"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159</w:t>
            </w:r>
          </w:p>
        </w:tc>
        <w:tc>
          <w:tcPr>
            <w:tcW w:w="1796" w:type="dxa"/>
            <w:tcBorders>
              <w:top w:val="nil"/>
              <w:left w:val="nil"/>
              <w:bottom w:val="single" w:sz="4" w:space="0" w:color="auto"/>
              <w:right w:val="single" w:sz="4" w:space="0" w:color="auto"/>
            </w:tcBorders>
            <w:shd w:val="clear" w:color="auto" w:fill="auto"/>
            <w:vAlign w:val="center"/>
            <w:hideMark/>
          </w:tcPr>
          <w:p w14:paraId="3E1C7E30"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96,30%</w:t>
            </w:r>
          </w:p>
        </w:tc>
        <w:tc>
          <w:tcPr>
            <w:tcW w:w="1796" w:type="dxa"/>
            <w:tcBorders>
              <w:top w:val="nil"/>
              <w:left w:val="nil"/>
              <w:bottom w:val="single" w:sz="4" w:space="0" w:color="auto"/>
              <w:right w:val="single" w:sz="4" w:space="0" w:color="auto"/>
            </w:tcBorders>
            <w:shd w:val="clear" w:color="auto" w:fill="auto"/>
            <w:vAlign w:val="center"/>
            <w:hideMark/>
          </w:tcPr>
          <w:p w14:paraId="6621BA92"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-29,65%</w:t>
            </w:r>
          </w:p>
        </w:tc>
      </w:tr>
      <w:tr w:rsidR="001237D2" w:rsidRPr="00746E61" w14:paraId="3D3F24B4" w14:textId="77777777" w:rsidTr="001237D2">
        <w:trPr>
          <w:trHeight w:val="290"/>
          <w:jc w:val="center"/>
        </w:trPr>
        <w:tc>
          <w:tcPr>
            <w:tcW w:w="2985" w:type="dxa"/>
            <w:tcBorders>
              <w:top w:val="nil"/>
              <w:left w:val="single" w:sz="4" w:space="0" w:color="auto"/>
              <w:bottom w:val="single" w:sz="4" w:space="0" w:color="auto"/>
              <w:right w:val="single" w:sz="4" w:space="0" w:color="auto"/>
            </w:tcBorders>
            <w:shd w:val="clear" w:color="auto" w:fill="auto"/>
            <w:noWrap/>
            <w:vAlign w:val="center"/>
            <w:hideMark/>
          </w:tcPr>
          <w:p w14:paraId="7F84F3BF" w14:textId="77777777" w:rsidR="001237D2" w:rsidRPr="00746E61" w:rsidRDefault="001237D2"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Cóbano</w:t>
            </w:r>
          </w:p>
        </w:tc>
        <w:tc>
          <w:tcPr>
            <w:tcW w:w="1008" w:type="dxa"/>
            <w:tcBorders>
              <w:top w:val="nil"/>
              <w:left w:val="nil"/>
              <w:bottom w:val="single" w:sz="4" w:space="0" w:color="auto"/>
              <w:right w:val="single" w:sz="4" w:space="0" w:color="auto"/>
            </w:tcBorders>
            <w:shd w:val="clear" w:color="auto" w:fill="auto"/>
            <w:noWrap/>
            <w:vAlign w:val="center"/>
            <w:hideMark/>
          </w:tcPr>
          <w:p w14:paraId="2A87DC8D"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20</w:t>
            </w:r>
          </w:p>
        </w:tc>
        <w:tc>
          <w:tcPr>
            <w:tcW w:w="1008" w:type="dxa"/>
            <w:tcBorders>
              <w:top w:val="nil"/>
              <w:left w:val="nil"/>
              <w:bottom w:val="single" w:sz="4" w:space="0" w:color="auto"/>
              <w:right w:val="single" w:sz="4" w:space="0" w:color="auto"/>
            </w:tcBorders>
            <w:shd w:val="clear" w:color="auto" w:fill="auto"/>
            <w:noWrap/>
            <w:vAlign w:val="center"/>
            <w:hideMark/>
          </w:tcPr>
          <w:p w14:paraId="3924D1EF"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11</w:t>
            </w:r>
          </w:p>
        </w:tc>
        <w:tc>
          <w:tcPr>
            <w:tcW w:w="1008" w:type="dxa"/>
            <w:tcBorders>
              <w:top w:val="nil"/>
              <w:left w:val="nil"/>
              <w:bottom w:val="single" w:sz="4" w:space="0" w:color="auto"/>
              <w:right w:val="single" w:sz="4" w:space="0" w:color="auto"/>
            </w:tcBorders>
            <w:shd w:val="clear" w:color="auto" w:fill="auto"/>
            <w:noWrap/>
            <w:vAlign w:val="center"/>
            <w:hideMark/>
          </w:tcPr>
          <w:p w14:paraId="549686F4"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36</w:t>
            </w:r>
          </w:p>
        </w:tc>
        <w:tc>
          <w:tcPr>
            <w:tcW w:w="1796" w:type="dxa"/>
            <w:tcBorders>
              <w:top w:val="nil"/>
              <w:left w:val="nil"/>
              <w:bottom w:val="single" w:sz="4" w:space="0" w:color="auto"/>
              <w:right w:val="single" w:sz="4" w:space="0" w:color="auto"/>
            </w:tcBorders>
            <w:shd w:val="clear" w:color="auto" w:fill="auto"/>
            <w:vAlign w:val="center"/>
            <w:hideMark/>
          </w:tcPr>
          <w:p w14:paraId="2DC42345"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80,00%</w:t>
            </w:r>
          </w:p>
        </w:tc>
        <w:tc>
          <w:tcPr>
            <w:tcW w:w="1796" w:type="dxa"/>
            <w:tcBorders>
              <w:top w:val="nil"/>
              <w:left w:val="nil"/>
              <w:bottom w:val="single" w:sz="4" w:space="0" w:color="auto"/>
              <w:right w:val="single" w:sz="4" w:space="0" w:color="auto"/>
            </w:tcBorders>
            <w:shd w:val="clear" w:color="auto" w:fill="auto"/>
            <w:vAlign w:val="center"/>
            <w:hideMark/>
          </w:tcPr>
          <w:p w14:paraId="5889E5BB"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227,27%</w:t>
            </w:r>
          </w:p>
        </w:tc>
      </w:tr>
      <w:tr w:rsidR="001237D2" w:rsidRPr="00746E61" w14:paraId="7431B556" w14:textId="77777777" w:rsidTr="001237D2">
        <w:trPr>
          <w:trHeight w:val="290"/>
          <w:jc w:val="center"/>
        </w:trPr>
        <w:tc>
          <w:tcPr>
            <w:tcW w:w="2985" w:type="dxa"/>
            <w:tcBorders>
              <w:top w:val="nil"/>
              <w:left w:val="single" w:sz="4" w:space="0" w:color="auto"/>
              <w:bottom w:val="single" w:sz="4" w:space="0" w:color="auto"/>
              <w:right w:val="single" w:sz="4" w:space="0" w:color="auto"/>
            </w:tcBorders>
            <w:shd w:val="clear" w:color="auto" w:fill="auto"/>
            <w:noWrap/>
            <w:vAlign w:val="center"/>
            <w:hideMark/>
          </w:tcPr>
          <w:p w14:paraId="3A6FEB34" w14:textId="77777777" w:rsidR="001237D2" w:rsidRPr="00746E61" w:rsidRDefault="001237D2"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Coto Brus</w:t>
            </w:r>
          </w:p>
        </w:tc>
        <w:tc>
          <w:tcPr>
            <w:tcW w:w="1008" w:type="dxa"/>
            <w:tcBorders>
              <w:top w:val="nil"/>
              <w:left w:val="nil"/>
              <w:bottom w:val="single" w:sz="4" w:space="0" w:color="auto"/>
              <w:right w:val="single" w:sz="4" w:space="0" w:color="auto"/>
            </w:tcBorders>
            <w:shd w:val="clear" w:color="auto" w:fill="auto"/>
            <w:noWrap/>
            <w:vAlign w:val="center"/>
            <w:hideMark/>
          </w:tcPr>
          <w:p w14:paraId="729EED40"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49</w:t>
            </w:r>
          </w:p>
        </w:tc>
        <w:tc>
          <w:tcPr>
            <w:tcW w:w="1008" w:type="dxa"/>
            <w:tcBorders>
              <w:top w:val="nil"/>
              <w:left w:val="nil"/>
              <w:bottom w:val="single" w:sz="4" w:space="0" w:color="auto"/>
              <w:right w:val="single" w:sz="4" w:space="0" w:color="auto"/>
            </w:tcBorders>
            <w:shd w:val="clear" w:color="auto" w:fill="auto"/>
            <w:noWrap/>
            <w:vAlign w:val="center"/>
            <w:hideMark/>
          </w:tcPr>
          <w:p w14:paraId="56009567"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29</w:t>
            </w:r>
          </w:p>
        </w:tc>
        <w:tc>
          <w:tcPr>
            <w:tcW w:w="1008" w:type="dxa"/>
            <w:tcBorders>
              <w:top w:val="nil"/>
              <w:left w:val="nil"/>
              <w:bottom w:val="single" w:sz="4" w:space="0" w:color="auto"/>
              <w:right w:val="single" w:sz="4" w:space="0" w:color="auto"/>
            </w:tcBorders>
            <w:shd w:val="clear" w:color="auto" w:fill="auto"/>
            <w:noWrap/>
            <w:vAlign w:val="center"/>
            <w:hideMark/>
          </w:tcPr>
          <w:p w14:paraId="6F7072A5"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85</w:t>
            </w:r>
          </w:p>
        </w:tc>
        <w:tc>
          <w:tcPr>
            <w:tcW w:w="1796" w:type="dxa"/>
            <w:tcBorders>
              <w:top w:val="nil"/>
              <w:left w:val="nil"/>
              <w:bottom w:val="single" w:sz="4" w:space="0" w:color="auto"/>
              <w:right w:val="single" w:sz="4" w:space="0" w:color="auto"/>
            </w:tcBorders>
            <w:shd w:val="clear" w:color="auto" w:fill="auto"/>
            <w:vAlign w:val="center"/>
            <w:hideMark/>
          </w:tcPr>
          <w:p w14:paraId="47EB292A"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73,47%</w:t>
            </w:r>
          </w:p>
        </w:tc>
        <w:tc>
          <w:tcPr>
            <w:tcW w:w="1796" w:type="dxa"/>
            <w:tcBorders>
              <w:top w:val="nil"/>
              <w:left w:val="nil"/>
              <w:bottom w:val="single" w:sz="4" w:space="0" w:color="auto"/>
              <w:right w:val="single" w:sz="4" w:space="0" w:color="auto"/>
            </w:tcBorders>
            <w:shd w:val="clear" w:color="auto" w:fill="auto"/>
            <w:vAlign w:val="center"/>
            <w:hideMark/>
          </w:tcPr>
          <w:p w14:paraId="2397089A"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193,10%</w:t>
            </w:r>
          </w:p>
        </w:tc>
      </w:tr>
      <w:tr w:rsidR="001237D2" w:rsidRPr="00746E61" w14:paraId="2B62852C" w14:textId="77777777" w:rsidTr="001237D2">
        <w:trPr>
          <w:trHeight w:val="290"/>
          <w:jc w:val="center"/>
        </w:trPr>
        <w:tc>
          <w:tcPr>
            <w:tcW w:w="2985" w:type="dxa"/>
            <w:tcBorders>
              <w:top w:val="nil"/>
              <w:left w:val="single" w:sz="4" w:space="0" w:color="auto"/>
              <w:bottom w:val="single" w:sz="4" w:space="0" w:color="auto"/>
              <w:right w:val="single" w:sz="4" w:space="0" w:color="auto"/>
            </w:tcBorders>
            <w:shd w:val="clear" w:color="auto" w:fill="auto"/>
            <w:noWrap/>
            <w:vAlign w:val="center"/>
            <w:hideMark/>
          </w:tcPr>
          <w:p w14:paraId="3206A9B1" w14:textId="77777777" w:rsidR="001237D2" w:rsidRPr="00746E61" w:rsidRDefault="001237D2"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Cañas</w:t>
            </w:r>
          </w:p>
        </w:tc>
        <w:tc>
          <w:tcPr>
            <w:tcW w:w="1008" w:type="dxa"/>
            <w:tcBorders>
              <w:top w:val="nil"/>
              <w:left w:val="nil"/>
              <w:bottom w:val="single" w:sz="4" w:space="0" w:color="auto"/>
              <w:right w:val="single" w:sz="4" w:space="0" w:color="auto"/>
            </w:tcBorders>
            <w:shd w:val="clear" w:color="auto" w:fill="auto"/>
            <w:noWrap/>
            <w:vAlign w:val="center"/>
            <w:hideMark/>
          </w:tcPr>
          <w:p w14:paraId="44A8B21C"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44</w:t>
            </w:r>
          </w:p>
        </w:tc>
        <w:tc>
          <w:tcPr>
            <w:tcW w:w="1008" w:type="dxa"/>
            <w:tcBorders>
              <w:top w:val="nil"/>
              <w:left w:val="nil"/>
              <w:bottom w:val="single" w:sz="4" w:space="0" w:color="auto"/>
              <w:right w:val="single" w:sz="4" w:space="0" w:color="auto"/>
            </w:tcBorders>
            <w:shd w:val="clear" w:color="auto" w:fill="auto"/>
            <w:noWrap/>
            <w:vAlign w:val="center"/>
            <w:hideMark/>
          </w:tcPr>
          <w:p w14:paraId="16C5A89A"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104</w:t>
            </w:r>
          </w:p>
        </w:tc>
        <w:tc>
          <w:tcPr>
            <w:tcW w:w="1008" w:type="dxa"/>
            <w:tcBorders>
              <w:top w:val="nil"/>
              <w:left w:val="nil"/>
              <w:bottom w:val="single" w:sz="4" w:space="0" w:color="auto"/>
              <w:right w:val="single" w:sz="4" w:space="0" w:color="auto"/>
            </w:tcBorders>
            <w:shd w:val="clear" w:color="auto" w:fill="auto"/>
            <w:noWrap/>
            <w:vAlign w:val="center"/>
            <w:hideMark/>
          </w:tcPr>
          <w:p w14:paraId="37E1D9E9"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76</w:t>
            </w:r>
          </w:p>
        </w:tc>
        <w:tc>
          <w:tcPr>
            <w:tcW w:w="1796" w:type="dxa"/>
            <w:tcBorders>
              <w:top w:val="nil"/>
              <w:left w:val="nil"/>
              <w:bottom w:val="single" w:sz="4" w:space="0" w:color="auto"/>
              <w:right w:val="single" w:sz="4" w:space="0" w:color="auto"/>
            </w:tcBorders>
            <w:shd w:val="clear" w:color="auto" w:fill="auto"/>
            <w:vAlign w:val="center"/>
            <w:hideMark/>
          </w:tcPr>
          <w:p w14:paraId="6E71A1CC"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72,73%</w:t>
            </w:r>
          </w:p>
        </w:tc>
        <w:tc>
          <w:tcPr>
            <w:tcW w:w="1796" w:type="dxa"/>
            <w:tcBorders>
              <w:top w:val="nil"/>
              <w:left w:val="nil"/>
              <w:bottom w:val="single" w:sz="4" w:space="0" w:color="auto"/>
              <w:right w:val="single" w:sz="4" w:space="0" w:color="auto"/>
            </w:tcBorders>
            <w:shd w:val="clear" w:color="auto" w:fill="auto"/>
            <w:vAlign w:val="center"/>
            <w:hideMark/>
          </w:tcPr>
          <w:p w14:paraId="18590D5E"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-26,92%</w:t>
            </w:r>
          </w:p>
        </w:tc>
      </w:tr>
      <w:tr w:rsidR="001237D2" w:rsidRPr="00746E61" w14:paraId="3E0A1349" w14:textId="77777777" w:rsidTr="001237D2">
        <w:trPr>
          <w:trHeight w:val="290"/>
          <w:jc w:val="center"/>
        </w:trPr>
        <w:tc>
          <w:tcPr>
            <w:tcW w:w="298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D9BC165" w14:textId="77777777" w:rsidR="001237D2" w:rsidRPr="00746E61" w:rsidRDefault="001237D2"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Los Chiles</w:t>
            </w:r>
          </w:p>
        </w:tc>
        <w:tc>
          <w:tcPr>
            <w:tcW w:w="1008" w:type="dxa"/>
            <w:tcBorders>
              <w:top w:val="nil"/>
              <w:left w:val="nil"/>
              <w:bottom w:val="single" w:sz="4" w:space="0" w:color="auto"/>
              <w:right w:val="single" w:sz="4" w:space="0" w:color="auto"/>
            </w:tcBorders>
            <w:shd w:val="clear" w:color="auto" w:fill="F2F2F2" w:themeFill="background1" w:themeFillShade="F2"/>
            <w:noWrap/>
            <w:vAlign w:val="center"/>
            <w:hideMark/>
          </w:tcPr>
          <w:p w14:paraId="5B574CC8"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62</w:t>
            </w:r>
          </w:p>
        </w:tc>
        <w:tc>
          <w:tcPr>
            <w:tcW w:w="1008" w:type="dxa"/>
            <w:tcBorders>
              <w:top w:val="nil"/>
              <w:left w:val="nil"/>
              <w:bottom w:val="single" w:sz="4" w:space="0" w:color="auto"/>
              <w:right w:val="single" w:sz="4" w:space="0" w:color="auto"/>
            </w:tcBorders>
            <w:shd w:val="clear" w:color="auto" w:fill="F2F2F2" w:themeFill="background1" w:themeFillShade="F2"/>
            <w:noWrap/>
            <w:vAlign w:val="center"/>
            <w:hideMark/>
          </w:tcPr>
          <w:p w14:paraId="3F296FB2"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23</w:t>
            </w:r>
          </w:p>
        </w:tc>
        <w:tc>
          <w:tcPr>
            <w:tcW w:w="1008" w:type="dxa"/>
            <w:tcBorders>
              <w:top w:val="nil"/>
              <w:left w:val="nil"/>
              <w:bottom w:val="single" w:sz="4" w:space="0" w:color="auto"/>
              <w:right w:val="single" w:sz="4" w:space="0" w:color="auto"/>
            </w:tcBorders>
            <w:shd w:val="clear" w:color="auto" w:fill="F2F2F2" w:themeFill="background1" w:themeFillShade="F2"/>
            <w:noWrap/>
            <w:vAlign w:val="center"/>
            <w:hideMark/>
          </w:tcPr>
          <w:p w14:paraId="33AECDBE"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90</w:t>
            </w:r>
          </w:p>
        </w:tc>
        <w:tc>
          <w:tcPr>
            <w:tcW w:w="1796" w:type="dxa"/>
            <w:tcBorders>
              <w:top w:val="nil"/>
              <w:left w:val="nil"/>
              <w:bottom w:val="single" w:sz="4" w:space="0" w:color="auto"/>
              <w:right w:val="single" w:sz="4" w:space="0" w:color="auto"/>
            </w:tcBorders>
            <w:shd w:val="clear" w:color="auto" w:fill="F2F2F2" w:themeFill="background1" w:themeFillShade="F2"/>
            <w:vAlign w:val="center"/>
            <w:hideMark/>
          </w:tcPr>
          <w:p w14:paraId="5417AFD7"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45,16%</w:t>
            </w:r>
          </w:p>
        </w:tc>
        <w:tc>
          <w:tcPr>
            <w:tcW w:w="1796" w:type="dxa"/>
            <w:tcBorders>
              <w:top w:val="nil"/>
              <w:left w:val="nil"/>
              <w:bottom w:val="single" w:sz="4" w:space="0" w:color="auto"/>
              <w:right w:val="single" w:sz="4" w:space="0" w:color="auto"/>
            </w:tcBorders>
            <w:shd w:val="clear" w:color="auto" w:fill="F2F2F2" w:themeFill="background1" w:themeFillShade="F2"/>
            <w:vAlign w:val="center"/>
            <w:hideMark/>
          </w:tcPr>
          <w:p w14:paraId="2BC19F54"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291,30%</w:t>
            </w:r>
          </w:p>
        </w:tc>
      </w:tr>
      <w:tr w:rsidR="001237D2" w:rsidRPr="00746E61" w14:paraId="58F01D86" w14:textId="77777777" w:rsidTr="001237D2">
        <w:trPr>
          <w:trHeight w:val="290"/>
          <w:jc w:val="center"/>
        </w:trPr>
        <w:tc>
          <w:tcPr>
            <w:tcW w:w="2985" w:type="dxa"/>
            <w:tcBorders>
              <w:top w:val="nil"/>
              <w:left w:val="single" w:sz="4" w:space="0" w:color="auto"/>
              <w:bottom w:val="single" w:sz="4" w:space="0" w:color="auto"/>
              <w:right w:val="single" w:sz="4" w:space="0" w:color="auto"/>
            </w:tcBorders>
            <w:shd w:val="clear" w:color="auto" w:fill="auto"/>
            <w:noWrap/>
            <w:vAlign w:val="center"/>
            <w:hideMark/>
          </w:tcPr>
          <w:p w14:paraId="2392B315" w14:textId="77777777" w:rsidR="001237D2" w:rsidRPr="00746E61" w:rsidRDefault="001237D2"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Grecia</w:t>
            </w:r>
          </w:p>
        </w:tc>
        <w:tc>
          <w:tcPr>
            <w:tcW w:w="1008" w:type="dxa"/>
            <w:tcBorders>
              <w:top w:val="nil"/>
              <w:left w:val="nil"/>
              <w:bottom w:val="single" w:sz="4" w:space="0" w:color="auto"/>
              <w:right w:val="single" w:sz="4" w:space="0" w:color="auto"/>
            </w:tcBorders>
            <w:shd w:val="clear" w:color="auto" w:fill="auto"/>
            <w:noWrap/>
            <w:vAlign w:val="center"/>
            <w:hideMark/>
          </w:tcPr>
          <w:p w14:paraId="4DED051E"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158</w:t>
            </w:r>
          </w:p>
        </w:tc>
        <w:tc>
          <w:tcPr>
            <w:tcW w:w="1008" w:type="dxa"/>
            <w:tcBorders>
              <w:top w:val="nil"/>
              <w:left w:val="nil"/>
              <w:bottom w:val="single" w:sz="4" w:space="0" w:color="auto"/>
              <w:right w:val="single" w:sz="4" w:space="0" w:color="auto"/>
            </w:tcBorders>
            <w:shd w:val="clear" w:color="auto" w:fill="auto"/>
            <w:noWrap/>
            <w:vAlign w:val="center"/>
            <w:hideMark/>
          </w:tcPr>
          <w:p w14:paraId="18EA3D99"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167</w:t>
            </w:r>
          </w:p>
        </w:tc>
        <w:tc>
          <w:tcPr>
            <w:tcW w:w="1008" w:type="dxa"/>
            <w:tcBorders>
              <w:top w:val="nil"/>
              <w:left w:val="nil"/>
              <w:bottom w:val="single" w:sz="4" w:space="0" w:color="auto"/>
              <w:right w:val="single" w:sz="4" w:space="0" w:color="auto"/>
            </w:tcBorders>
            <w:shd w:val="clear" w:color="auto" w:fill="auto"/>
            <w:noWrap/>
            <w:vAlign w:val="center"/>
            <w:hideMark/>
          </w:tcPr>
          <w:p w14:paraId="6D49C70F"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228</w:t>
            </w:r>
          </w:p>
        </w:tc>
        <w:tc>
          <w:tcPr>
            <w:tcW w:w="1796" w:type="dxa"/>
            <w:tcBorders>
              <w:top w:val="nil"/>
              <w:left w:val="nil"/>
              <w:bottom w:val="single" w:sz="4" w:space="0" w:color="auto"/>
              <w:right w:val="single" w:sz="4" w:space="0" w:color="auto"/>
            </w:tcBorders>
            <w:shd w:val="clear" w:color="auto" w:fill="auto"/>
            <w:vAlign w:val="center"/>
            <w:hideMark/>
          </w:tcPr>
          <w:p w14:paraId="4266784B"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44,30%</w:t>
            </w:r>
          </w:p>
        </w:tc>
        <w:tc>
          <w:tcPr>
            <w:tcW w:w="1796" w:type="dxa"/>
            <w:tcBorders>
              <w:top w:val="nil"/>
              <w:left w:val="nil"/>
              <w:bottom w:val="single" w:sz="4" w:space="0" w:color="auto"/>
              <w:right w:val="single" w:sz="4" w:space="0" w:color="auto"/>
            </w:tcBorders>
            <w:shd w:val="clear" w:color="auto" w:fill="auto"/>
            <w:vAlign w:val="center"/>
            <w:hideMark/>
          </w:tcPr>
          <w:p w14:paraId="7021BA2C"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36,53%</w:t>
            </w:r>
          </w:p>
        </w:tc>
      </w:tr>
      <w:tr w:rsidR="001237D2" w:rsidRPr="00746E61" w14:paraId="7378CBA5" w14:textId="77777777" w:rsidTr="001237D2">
        <w:trPr>
          <w:trHeight w:val="290"/>
          <w:jc w:val="center"/>
        </w:trPr>
        <w:tc>
          <w:tcPr>
            <w:tcW w:w="2985" w:type="dxa"/>
            <w:tcBorders>
              <w:top w:val="nil"/>
              <w:left w:val="single" w:sz="4" w:space="0" w:color="auto"/>
              <w:bottom w:val="single" w:sz="4" w:space="0" w:color="auto"/>
              <w:right w:val="single" w:sz="4" w:space="0" w:color="auto"/>
            </w:tcBorders>
            <w:shd w:val="clear" w:color="auto" w:fill="auto"/>
            <w:noWrap/>
            <w:vAlign w:val="center"/>
            <w:hideMark/>
          </w:tcPr>
          <w:p w14:paraId="0EA97B1E" w14:textId="77777777" w:rsidR="001237D2" w:rsidRPr="00746E61" w:rsidRDefault="001237D2"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Nicoya</w:t>
            </w:r>
          </w:p>
        </w:tc>
        <w:tc>
          <w:tcPr>
            <w:tcW w:w="1008" w:type="dxa"/>
            <w:tcBorders>
              <w:top w:val="nil"/>
              <w:left w:val="nil"/>
              <w:bottom w:val="single" w:sz="4" w:space="0" w:color="auto"/>
              <w:right w:val="single" w:sz="4" w:space="0" w:color="auto"/>
            </w:tcBorders>
            <w:shd w:val="clear" w:color="auto" w:fill="auto"/>
            <w:noWrap/>
            <w:vAlign w:val="center"/>
            <w:hideMark/>
          </w:tcPr>
          <w:p w14:paraId="16E4F4C9"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243</w:t>
            </w:r>
          </w:p>
        </w:tc>
        <w:tc>
          <w:tcPr>
            <w:tcW w:w="1008" w:type="dxa"/>
            <w:tcBorders>
              <w:top w:val="nil"/>
              <w:left w:val="nil"/>
              <w:bottom w:val="single" w:sz="4" w:space="0" w:color="auto"/>
              <w:right w:val="single" w:sz="4" w:space="0" w:color="auto"/>
            </w:tcBorders>
            <w:shd w:val="clear" w:color="auto" w:fill="auto"/>
            <w:noWrap/>
            <w:vAlign w:val="center"/>
            <w:hideMark/>
          </w:tcPr>
          <w:p w14:paraId="688F700D"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370</w:t>
            </w:r>
          </w:p>
        </w:tc>
        <w:tc>
          <w:tcPr>
            <w:tcW w:w="1008" w:type="dxa"/>
            <w:tcBorders>
              <w:top w:val="nil"/>
              <w:left w:val="nil"/>
              <w:bottom w:val="single" w:sz="4" w:space="0" w:color="auto"/>
              <w:right w:val="single" w:sz="4" w:space="0" w:color="auto"/>
            </w:tcBorders>
            <w:shd w:val="clear" w:color="auto" w:fill="auto"/>
            <w:noWrap/>
            <w:vAlign w:val="center"/>
            <w:hideMark/>
          </w:tcPr>
          <w:p w14:paraId="61CA82EE"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336</w:t>
            </w:r>
          </w:p>
        </w:tc>
        <w:tc>
          <w:tcPr>
            <w:tcW w:w="1796" w:type="dxa"/>
            <w:tcBorders>
              <w:top w:val="nil"/>
              <w:left w:val="nil"/>
              <w:bottom w:val="single" w:sz="4" w:space="0" w:color="auto"/>
              <w:right w:val="single" w:sz="4" w:space="0" w:color="auto"/>
            </w:tcBorders>
            <w:shd w:val="clear" w:color="auto" w:fill="auto"/>
            <w:vAlign w:val="center"/>
            <w:hideMark/>
          </w:tcPr>
          <w:p w14:paraId="310DC6FE"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38,27%</w:t>
            </w:r>
          </w:p>
        </w:tc>
        <w:tc>
          <w:tcPr>
            <w:tcW w:w="1796" w:type="dxa"/>
            <w:tcBorders>
              <w:top w:val="nil"/>
              <w:left w:val="nil"/>
              <w:bottom w:val="single" w:sz="4" w:space="0" w:color="auto"/>
              <w:right w:val="single" w:sz="4" w:space="0" w:color="auto"/>
            </w:tcBorders>
            <w:shd w:val="clear" w:color="auto" w:fill="auto"/>
            <w:vAlign w:val="center"/>
            <w:hideMark/>
          </w:tcPr>
          <w:p w14:paraId="7897D2A4"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-9,19%</w:t>
            </w:r>
          </w:p>
        </w:tc>
      </w:tr>
      <w:tr w:rsidR="001237D2" w:rsidRPr="00746E61" w14:paraId="624EB5FF" w14:textId="77777777" w:rsidTr="001237D2">
        <w:trPr>
          <w:trHeight w:val="290"/>
          <w:jc w:val="center"/>
        </w:trPr>
        <w:tc>
          <w:tcPr>
            <w:tcW w:w="2985" w:type="dxa"/>
            <w:tcBorders>
              <w:top w:val="nil"/>
              <w:left w:val="single" w:sz="4" w:space="0" w:color="auto"/>
              <w:bottom w:val="single" w:sz="4" w:space="0" w:color="auto"/>
              <w:right w:val="single" w:sz="4" w:space="0" w:color="auto"/>
            </w:tcBorders>
            <w:shd w:val="clear" w:color="auto" w:fill="auto"/>
            <w:noWrap/>
            <w:vAlign w:val="center"/>
            <w:hideMark/>
          </w:tcPr>
          <w:p w14:paraId="7C2972B2" w14:textId="77777777" w:rsidR="001237D2" w:rsidRPr="00746E61" w:rsidRDefault="001237D2"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San Ramón</w:t>
            </w:r>
          </w:p>
        </w:tc>
        <w:tc>
          <w:tcPr>
            <w:tcW w:w="1008" w:type="dxa"/>
            <w:tcBorders>
              <w:top w:val="nil"/>
              <w:left w:val="nil"/>
              <w:bottom w:val="single" w:sz="4" w:space="0" w:color="auto"/>
              <w:right w:val="single" w:sz="4" w:space="0" w:color="auto"/>
            </w:tcBorders>
            <w:shd w:val="clear" w:color="auto" w:fill="auto"/>
            <w:noWrap/>
            <w:vAlign w:val="center"/>
            <w:hideMark/>
          </w:tcPr>
          <w:p w14:paraId="5D221D4F"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276</w:t>
            </w:r>
          </w:p>
        </w:tc>
        <w:tc>
          <w:tcPr>
            <w:tcW w:w="1008" w:type="dxa"/>
            <w:tcBorders>
              <w:top w:val="nil"/>
              <w:left w:val="nil"/>
              <w:bottom w:val="single" w:sz="4" w:space="0" w:color="auto"/>
              <w:right w:val="single" w:sz="4" w:space="0" w:color="auto"/>
            </w:tcBorders>
            <w:shd w:val="clear" w:color="auto" w:fill="auto"/>
            <w:noWrap/>
            <w:vAlign w:val="center"/>
            <w:hideMark/>
          </w:tcPr>
          <w:p w14:paraId="00CB4947"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356</w:t>
            </w:r>
          </w:p>
        </w:tc>
        <w:tc>
          <w:tcPr>
            <w:tcW w:w="1008" w:type="dxa"/>
            <w:tcBorders>
              <w:top w:val="nil"/>
              <w:left w:val="nil"/>
              <w:bottom w:val="single" w:sz="4" w:space="0" w:color="auto"/>
              <w:right w:val="single" w:sz="4" w:space="0" w:color="auto"/>
            </w:tcBorders>
            <w:shd w:val="clear" w:color="auto" w:fill="auto"/>
            <w:noWrap/>
            <w:vAlign w:val="center"/>
            <w:hideMark/>
          </w:tcPr>
          <w:p w14:paraId="11C6D9A6"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366</w:t>
            </w:r>
          </w:p>
        </w:tc>
        <w:tc>
          <w:tcPr>
            <w:tcW w:w="1796" w:type="dxa"/>
            <w:tcBorders>
              <w:top w:val="nil"/>
              <w:left w:val="nil"/>
              <w:bottom w:val="single" w:sz="4" w:space="0" w:color="auto"/>
              <w:right w:val="single" w:sz="4" w:space="0" w:color="auto"/>
            </w:tcBorders>
            <w:shd w:val="clear" w:color="auto" w:fill="auto"/>
            <w:vAlign w:val="center"/>
            <w:hideMark/>
          </w:tcPr>
          <w:p w14:paraId="14987945"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32,61%</w:t>
            </w:r>
          </w:p>
        </w:tc>
        <w:tc>
          <w:tcPr>
            <w:tcW w:w="1796" w:type="dxa"/>
            <w:tcBorders>
              <w:top w:val="nil"/>
              <w:left w:val="nil"/>
              <w:bottom w:val="single" w:sz="4" w:space="0" w:color="auto"/>
              <w:right w:val="single" w:sz="4" w:space="0" w:color="auto"/>
            </w:tcBorders>
            <w:shd w:val="clear" w:color="auto" w:fill="auto"/>
            <w:vAlign w:val="center"/>
            <w:hideMark/>
          </w:tcPr>
          <w:p w14:paraId="38710161"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2,81%</w:t>
            </w:r>
          </w:p>
        </w:tc>
      </w:tr>
      <w:tr w:rsidR="001237D2" w:rsidRPr="00746E61" w14:paraId="7F626030" w14:textId="77777777" w:rsidTr="001237D2">
        <w:trPr>
          <w:trHeight w:val="290"/>
          <w:jc w:val="center"/>
        </w:trPr>
        <w:tc>
          <w:tcPr>
            <w:tcW w:w="2985" w:type="dxa"/>
            <w:tcBorders>
              <w:top w:val="nil"/>
              <w:left w:val="single" w:sz="4" w:space="0" w:color="auto"/>
              <w:bottom w:val="single" w:sz="4" w:space="0" w:color="auto"/>
              <w:right w:val="single" w:sz="4" w:space="0" w:color="auto"/>
            </w:tcBorders>
            <w:shd w:val="clear" w:color="auto" w:fill="auto"/>
            <w:noWrap/>
            <w:vAlign w:val="center"/>
            <w:hideMark/>
          </w:tcPr>
          <w:p w14:paraId="00A8F260" w14:textId="77777777" w:rsidR="001237D2" w:rsidRPr="00746E61" w:rsidRDefault="001237D2"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Pococí</w:t>
            </w:r>
          </w:p>
        </w:tc>
        <w:tc>
          <w:tcPr>
            <w:tcW w:w="1008" w:type="dxa"/>
            <w:tcBorders>
              <w:top w:val="nil"/>
              <w:left w:val="nil"/>
              <w:bottom w:val="single" w:sz="4" w:space="0" w:color="auto"/>
              <w:right w:val="single" w:sz="4" w:space="0" w:color="auto"/>
            </w:tcBorders>
            <w:shd w:val="clear" w:color="auto" w:fill="auto"/>
            <w:noWrap/>
            <w:vAlign w:val="center"/>
            <w:hideMark/>
          </w:tcPr>
          <w:p w14:paraId="6C66EE37"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1339</w:t>
            </w:r>
          </w:p>
        </w:tc>
        <w:tc>
          <w:tcPr>
            <w:tcW w:w="1008" w:type="dxa"/>
            <w:tcBorders>
              <w:top w:val="nil"/>
              <w:left w:val="nil"/>
              <w:bottom w:val="single" w:sz="4" w:space="0" w:color="auto"/>
              <w:right w:val="single" w:sz="4" w:space="0" w:color="auto"/>
            </w:tcBorders>
            <w:shd w:val="clear" w:color="auto" w:fill="auto"/>
            <w:noWrap/>
            <w:vAlign w:val="center"/>
            <w:hideMark/>
          </w:tcPr>
          <w:p w14:paraId="43CDADAA"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2584</w:t>
            </w:r>
          </w:p>
        </w:tc>
        <w:tc>
          <w:tcPr>
            <w:tcW w:w="1008" w:type="dxa"/>
            <w:tcBorders>
              <w:top w:val="nil"/>
              <w:left w:val="nil"/>
              <w:bottom w:val="single" w:sz="4" w:space="0" w:color="auto"/>
              <w:right w:val="single" w:sz="4" w:space="0" w:color="auto"/>
            </w:tcBorders>
            <w:shd w:val="clear" w:color="auto" w:fill="auto"/>
            <w:noWrap/>
            <w:vAlign w:val="center"/>
            <w:hideMark/>
          </w:tcPr>
          <w:p w14:paraId="448C3789"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1774</w:t>
            </w:r>
          </w:p>
        </w:tc>
        <w:tc>
          <w:tcPr>
            <w:tcW w:w="1796" w:type="dxa"/>
            <w:tcBorders>
              <w:top w:val="nil"/>
              <w:left w:val="nil"/>
              <w:bottom w:val="single" w:sz="4" w:space="0" w:color="auto"/>
              <w:right w:val="single" w:sz="4" w:space="0" w:color="auto"/>
            </w:tcBorders>
            <w:shd w:val="clear" w:color="auto" w:fill="auto"/>
            <w:vAlign w:val="center"/>
            <w:hideMark/>
          </w:tcPr>
          <w:p w14:paraId="523B685F"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32,49%</w:t>
            </w:r>
          </w:p>
        </w:tc>
        <w:tc>
          <w:tcPr>
            <w:tcW w:w="1796" w:type="dxa"/>
            <w:tcBorders>
              <w:top w:val="nil"/>
              <w:left w:val="nil"/>
              <w:bottom w:val="single" w:sz="4" w:space="0" w:color="auto"/>
              <w:right w:val="single" w:sz="4" w:space="0" w:color="auto"/>
            </w:tcBorders>
            <w:shd w:val="clear" w:color="auto" w:fill="auto"/>
            <w:vAlign w:val="center"/>
            <w:hideMark/>
          </w:tcPr>
          <w:p w14:paraId="4C1FEA0A"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-31,35%</w:t>
            </w:r>
          </w:p>
        </w:tc>
      </w:tr>
      <w:tr w:rsidR="001237D2" w:rsidRPr="00746E61" w14:paraId="0C9EADC4" w14:textId="77777777" w:rsidTr="001237D2">
        <w:trPr>
          <w:trHeight w:val="290"/>
          <w:jc w:val="center"/>
        </w:trPr>
        <w:tc>
          <w:tcPr>
            <w:tcW w:w="2985" w:type="dxa"/>
            <w:tcBorders>
              <w:top w:val="nil"/>
              <w:left w:val="single" w:sz="4" w:space="0" w:color="auto"/>
              <w:bottom w:val="single" w:sz="4" w:space="0" w:color="auto"/>
              <w:right w:val="single" w:sz="4" w:space="0" w:color="auto"/>
            </w:tcBorders>
            <w:shd w:val="clear" w:color="auto" w:fill="auto"/>
            <w:noWrap/>
            <w:vAlign w:val="center"/>
            <w:hideMark/>
          </w:tcPr>
          <w:p w14:paraId="7C111A7A" w14:textId="77777777" w:rsidR="001237D2" w:rsidRPr="00746E61" w:rsidRDefault="001237D2"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San José</w:t>
            </w:r>
          </w:p>
        </w:tc>
        <w:tc>
          <w:tcPr>
            <w:tcW w:w="1008" w:type="dxa"/>
            <w:tcBorders>
              <w:top w:val="nil"/>
              <w:left w:val="nil"/>
              <w:bottom w:val="single" w:sz="4" w:space="0" w:color="auto"/>
              <w:right w:val="single" w:sz="4" w:space="0" w:color="auto"/>
            </w:tcBorders>
            <w:shd w:val="clear" w:color="auto" w:fill="auto"/>
            <w:noWrap/>
            <w:vAlign w:val="center"/>
            <w:hideMark/>
          </w:tcPr>
          <w:p w14:paraId="3731C311"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2139</w:t>
            </w:r>
          </w:p>
        </w:tc>
        <w:tc>
          <w:tcPr>
            <w:tcW w:w="1008" w:type="dxa"/>
            <w:tcBorders>
              <w:top w:val="nil"/>
              <w:left w:val="nil"/>
              <w:bottom w:val="single" w:sz="4" w:space="0" w:color="auto"/>
              <w:right w:val="single" w:sz="4" w:space="0" w:color="auto"/>
            </w:tcBorders>
            <w:shd w:val="clear" w:color="auto" w:fill="auto"/>
            <w:noWrap/>
            <w:vAlign w:val="center"/>
            <w:hideMark/>
          </w:tcPr>
          <w:p w14:paraId="0B1529B0"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3102</w:t>
            </w:r>
          </w:p>
        </w:tc>
        <w:tc>
          <w:tcPr>
            <w:tcW w:w="1008" w:type="dxa"/>
            <w:tcBorders>
              <w:top w:val="nil"/>
              <w:left w:val="nil"/>
              <w:bottom w:val="single" w:sz="4" w:space="0" w:color="auto"/>
              <w:right w:val="single" w:sz="4" w:space="0" w:color="auto"/>
            </w:tcBorders>
            <w:shd w:val="clear" w:color="auto" w:fill="auto"/>
            <w:noWrap/>
            <w:vAlign w:val="center"/>
            <w:hideMark/>
          </w:tcPr>
          <w:p w14:paraId="45ECF57E"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2723</w:t>
            </w:r>
          </w:p>
        </w:tc>
        <w:tc>
          <w:tcPr>
            <w:tcW w:w="1796" w:type="dxa"/>
            <w:tcBorders>
              <w:top w:val="nil"/>
              <w:left w:val="nil"/>
              <w:bottom w:val="single" w:sz="4" w:space="0" w:color="auto"/>
              <w:right w:val="single" w:sz="4" w:space="0" w:color="auto"/>
            </w:tcBorders>
            <w:shd w:val="clear" w:color="auto" w:fill="auto"/>
            <w:vAlign w:val="center"/>
            <w:hideMark/>
          </w:tcPr>
          <w:p w14:paraId="2E92B13A"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27,30%</w:t>
            </w:r>
          </w:p>
        </w:tc>
        <w:tc>
          <w:tcPr>
            <w:tcW w:w="1796" w:type="dxa"/>
            <w:tcBorders>
              <w:top w:val="nil"/>
              <w:left w:val="nil"/>
              <w:bottom w:val="single" w:sz="4" w:space="0" w:color="auto"/>
              <w:right w:val="single" w:sz="4" w:space="0" w:color="auto"/>
            </w:tcBorders>
            <w:shd w:val="clear" w:color="auto" w:fill="auto"/>
            <w:vAlign w:val="center"/>
            <w:hideMark/>
          </w:tcPr>
          <w:p w14:paraId="4CA5B85D"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-12,22%</w:t>
            </w:r>
          </w:p>
        </w:tc>
      </w:tr>
      <w:tr w:rsidR="001237D2" w:rsidRPr="00746E61" w14:paraId="46BF3D13" w14:textId="77777777" w:rsidTr="001237D2">
        <w:trPr>
          <w:trHeight w:val="290"/>
          <w:jc w:val="center"/>
        </w:trPr>
        <w:tc>
          <w:tcPr>
            <w:tcW w:w="2985" w:type="dxa"/>
            <w:tcBorders>
              <w:top w:val="nil"/>
              <w:left w:val="single" w:sz="4" w:space="0" w:color="auto"/>
              <w:bottom w:val="single" w:sz="4" w:space="0" w:color="auto"/>
              <w:right w:val="single" w:sz="4" w:space="0" w:color="auto"/>
            </w:tcBorders>
            <w:shd w:val="clear" w:color="auto" w:fill="auto"/>
            <w:noWrap/>
            <w:vAlign w:val="center"/>
            <w:hideMark/>
          </w:tcPr>
          <w:p w14:paraId="3E7CF3D9" w14:textId="77777777" w:rsidR="001237D2" w:rsidRPr="00746E61" w:rsidRDefault="001237D2"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Santa Cruz</w:t>
            </w:r>
          </w:p>
        </w:tc>
        <w:tc>
          <w:tcPr>
            <w:tcW w:w="1008" w:type="dxa"/>
            <w:tcBorders>
              <w:top w:val="nil"/>
              <w:left w:val="nil"/>
              <w:bottom w:val="single" w:sz="4" w:space="0" w:color="auto"/>
              <w:right w:val="single" w:sz="4" w:space="0" w:color="auto"/>
            </w:tcBorders>
            <w:shd w:val="clear" w:color="auto" w:fill="auto"/>
            <w:noWrap/>
            <w:vAlign w:val="center"/>
            <w:hideMark/>
          </w:tcPr>
          <w:p w14:paraId="5AA395C9"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439</w:t>
            </w:r>
          </w:p>
        </w:tc>
        <w:tc>
          <w:tcPr>
            <w:tcW w:w="1008" w:type="dxa"/>
            <w:tcBorders>
              <w:top w:val="nil"/>
              <w:left w:val="nil"/>
              <w:bottom w:val="single" w:sz="4" w:space="0" w:color="auto"/>
              <w:right w:val="single" w:sz="4" w:space="0" w:color="auto"/>
            </w:tcBorders>
            <w:shd w:val="clear" w:color="auto" w:fill="auto"/>
            <w:noWrap/>
            <w:vAlign w:val="center"/>
            <w:hideMark/>
          </w:tcPr>
          <w:p w14:paraId="50B62493"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811</w:t>
            </w:r>
          </w:p>
        </w:tc>
        <w:tc>
          <w:tcPr>
            <w:tcW w:w="1008" w:type="dxa"/>
            <w:tcBorders>
              <w:top w:val="nil"/>
              <w:left w:val="nil"/>
              <w:bottom w:val="single" w:sz="4" w:space="0" w:color="auto"/>
              <w:right w:val="single" w:sz="4" w:space="0" w:color="auto"/>
            </w:tcBorders>
            <w:shd w:val="clear" w:color="auto" w:fill="auto"/>
            <w:noWrap/>
            <w:vAlign w:val="center"/>
            <w:hideMark/>
          </w:tcPr>
          <w:p w14:paraId="76A5EC19"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536</w:t>
            </w:r>
          </w:p>
        </w:tc>
        <w:tc>
          <w:tcPr>
            <w:tcW w:w="1796" w:type="dxa"/>
            <w:tcBorders>
              <w:top w:val="nil"/>
              <w:left w:val="nil"/>
              <w:bottom w:val="single" w:sz="4" w:space="0" w:color="auto"/>
              <w:right w:val="single" w:sz="4" w:space="0" w:color="auto"/>
            </w:tcBorders>
            <w:shd w:val="clear" w:color="auto" w:fill="auto"/>
            <w:vAlign w:val="center"/>
            <w:hideMark/>
          </w:tcPr>
          <w:p w14:paraId="565F6CF9"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22,10%</w:t>
            </w:r>
          </w:p>
        </w:tc>
        <w:tc>
          <w:tcPr>
            <w:tcW w:w="1796" w:type="dxa"/>
            <w:tcBorders>
              <w:top w:val="nil"/>
              <w:left w:val="nil"/>
              <w:bottom w:val="single" w:sz="4" w:space="0" w:color="auto"/>
              <w:right w:val="single" w:sz="4" w:space="0" w:color="auto"/>
            </w:tcBorders>
            <w:shd w:val="clear" w:color="auto" w:fill="auto"/>
            <w:vAlign w:val="center"/>
            <w:hideMark/>
          </w:tcPr>
          <w:p w14:paraId="25E469E5"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-33,91%</w:t>
            </w:r>
          </w:p>
        </w:tc>
      </w:tr>
      <w:tr w:rsidR="001237D2" w:rsidRPr="00746E61" w14:paraId="0D474CF4" w14:textId="77777777" w:rsidTr="001237D2">
        <w:trPr>
          <w:trHeight w:val="290"/>
          <w:jc w:val="center"/>
        </w:trPr>
        <w:tc>
          <w:tcPr>
            <w:tcW w:w="2985" w:type="dxa"/>
            <w:tcBorders>
              <w:top w:val="nil"/>
              <w:left w:val="single" w:sz="4" w:space="0" w:color="auto"/>
              <w:bottom w:val="single" w:sz="4" w:space="0" w:color="auto"/>
              <w:right w:val="single" w:sz="4" w:space="0" w:color="auto"/>
            </w:tcBorders>
            <w:shd w:val="clear" w:color="auto" w:fill="auto"/>
            <w:noWrap/>
            <w:vAlign w:val="center"/>
            <w:hideMark/>
          </w:tcPr>
          <w:p w14:paraId="3196D54C" w14:textId="77777777" w:rsidR="001237D2" w:rsidRPr="00746E61" w:rsidRDefault="001237D2"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Goicochea</w:t>
            </w:r>
          </w:p>
        </w:tc>
        <w:tc>
          <w:tcPr>
            <w:tcW w:w="1008" w:type="dxa"/>
            <w:tcBorders>
              <w:top w:val="nil"/>
              <w:left w:val="nil"/>
              <w:bottom w:val="single" w:sz="4" w:space="0" w:color="auto"/>
              <w:right w:val="single" w:sz="4" w:space="0" w:color="auto"/>
            </w:tcBorders>
            <w:shd w:val="clear" w:color="auto" w:fill="auto"/>
            <w:noWrap/>
            <w:vAlign w:val="center"/>
            <w:hideMark/>
          </w:tcPr>
          <w:p w14:paraId="0281A4D2"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629</w:t>
            </w:r>
          </w:p>
        </w:tc>
        <w:tc>
          <w:tcPr>
            <w:tcW w:w="1008" w:type="dxa"/>
            <w:tcBorders>
              <w:top w:val="nil"/>
              <w:left w:val="nil"/>
              <w:bottom w:val="single" w:sz="4" w:space="0" w:color="auto"/>
              <w:right w:val="single" w:sz="4" w:space="0" w:color="auto"/>
            </w:tcBorders>
            <w:shd w:val="clear" w:color="auto" w:fill="auto"/>
            <w:noWrap/>
            <w:vAlign w:val="center"/>
            <w:hideMark/>
          </w:tcPr>
          <w:p w14:paraId="429CC875"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814</w:t>
            </w:r>
          </w:p>
        </w:tc>
        <w:tc>
          <w:tcPr>
            <w:tcW w:w="1008" w:type="dxa"/>
            <w:tcBorders>
              <w:top w:val="nil"/>
              <w:left w:val="nil"/>
              <w:bottom w:val="single" w:sz="4" w:space="0" w:color="auto"/>
              <w:right w:val="single" w:sz="4" w:space="0" w:color="auto"/>
            </w:tcBorders>
            <w:shd w:val="clear" w:color="auto" w:fill="auto"/>
            <w:noWrap/>
            <w:vAlign w:val="center"/>
            <w:hideMark/>
          </w:tcPr>
          <w:p w14:paraId="13C304E1"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728</w:t>
            </w:r>
          </w:p>
        </w:tc>
        <w:tc>
          <w:tcPr>
            <w:tcW w:w="1796" w:type="dxa"/>
            <w:tcBorders>
              <w:top w:val="nil"/>
              <w:left w:val="nil"/>
              <w:bottom w:val="single" w:sz="4" w:space="0" w:color="auto"/>
              <w:right w:val="single" w:sz="4" w:space="0" w:color="auto"/>
            </w:tcBorders>
            <w:shd w:val="clear" w:color="auto" w:fill="auto"/>
            <w:vAlign w:val="center"/>
            <w:hideMark/>
          </w:tcPr>
          <w:p w14:paraId="3B9EE416"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15,74%</w:t>
            </w:r>
          </w:p>
        </w:tc>
        <w:tc>
          <w:tcPr>
            <w:tcW w:w="1796" w:type="dxa"/>
            <w:tcBorders>
              <w:top w:val="nil"/>
              <w:left w:val="nil"/>
              <w:bottom w:val="single" w:sz="4" w:space="0" w:color="auto"/>
              <w:right w:val="single" w:sz="4" w:space="0" w:color="auto"/>
            </w:tcBorders>
            <w:shd w:val="clear" w:color="auto" w:fill="auto"/>
            <w:vAlign w:val="center"/>
            <w:hideMark/>
          </w:tcPr>
          <w:p w14:paraId="59A0EA3F"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-10,57%</w:t>
            </w:r>
          </w:p>
        </w:tc>
      </w:tr>
      <w:tr w:rsidR="001237D2" w:rsidRPr="00746E61" w14:paraId="79A5E56E" w14:textId="77777777" w:rsidTr="001237D2">
        <w:trPr>
          <w:trHeight w:val="290"/>
          <w:jc w:val="center"/>
        </w:trPr>
        <w:tc>
          <w:tcPr>
            <w:tcW w:w="2985" w:type="dxa"/>
            <w:tcBorders>
              <w:top w:val="nil"/>
              <w:left w:val="single" w:sz="4" w:space="0" w:color="auto"/>
              <w:bottom w:val="single" w:sz="4" w:space="0" w:color="auto"/>
              <w:right w:val="single" w:sz="4" w:space="0" w:color="auto"/>
            </w:tcBorders>
            <w:shd w:val="clear" w:color="auto" w:fill="auto"/>
            <w:noWrap/>
            <w:vAlign w:val="center"/>
            <w:hideMark/>
          </w:tcPr>
          <w:p w14:paraId="035FECDC" w14:textId="77777777" w:rsidR="001237D2" w:rsidRPr="00746E61" w:rsidRDefault="001237D2"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Hatillo</w:t>
            </w:r>
          </w:p>
        </w:tc>
        <w:tc>
          <w:tcPr>
            <w:tcW w:w="1008" w:type="dxa"/>
            <w:tcBorders>
              <w:top w:val="nil"/>
              <w:left w:val="nil"/>
              <w:bottom w:val="single" w:sz="4" w:space="0" w:color="auto"/>
              <w:right w:val="single" w:sz="4" w:space="0" w:color="auto"/>
            </w:tcBorders>
            <w:shd w:val="clear" w:color="auto" w:fill="auto"/>
            <w:noWrap/>
            <w:vAlign w:val="center"/>
            <w:hideMark/>
          </w:tcPr>
          <w:p w14:paraId="120E5A97"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1166</w:t>
            </w:r>
          </w:p>
        </w:tc>
        <w:tc>
          <w:tcPr>
            <w:tcW w:w="1008" w:type="dxa"/>
            <w:tcBorders>
              <w:top w:val="nil"/>
              <w:left w:val="nil"/>
              <w:bottom w:val="single" w:sz="4" w:space="0" w:color="auto"/>
              <w:right w:val="single" w:sz="4" w:space="0" w:color="auto"/>
            </w:tcBorders>
            <w:shd w:val="clear" w:color="auto" w:fill="auto"/>
            <w:noWrap/>
            <w:vAlign w:val="center"/>
            <w:hideMark/>
          </w:tcPr>
          <w:p w14:paraId="4BB5FBD7"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1804</w:t>
            </w:r>
          </w:p>
        </w:tc>
        <w:tc>
          <w:tcPr>
            <w:tcW w:w="1008" w:type="dxa"/>
            <w:tcBorders>
              <w:top w:val="nil"/>
              <w:left w:val="nil"/>
              <w:bottom w:val="single" w:sz="4" w:space="0" w:color="auto"/>
              <w:right w:val="single" w:sz="4" w:space="0" w:color="auto"/>
            </w:tcBorders>
            <w:shd w:val="clear" w:color="auto" w:fill="auto"/>
            <w:noWrap/>
            <w:vAlign w:val="center"/>
            <w:hideMark/>
          </w:tcPr>
          <w:p w14:paraId="1F8B4EA9"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1333</w:t>
            </w:r>
          </w:p>
        </w:tc>
        <w:tc>
          <w:tcPr>
            <w:tcW w:w="1796" w:type="dxa"/>
            <w:tcBorders>
              <w:top w:val="nil"/>
              <w:left w:val="nil"/>
              <w:bottom w:val="single" w:sz="4" w:space="0" w:color="auto"/>
              <w:right w:val="single" w:sz="4" w:space="0" w:color="auto"/>
            </w:tcBorders>
            <w:shd w:val="clear" w:color="auto" w:fill="auto"/>
            <w:vAlign w:val="center"/>
            <w:hideMark/>
          </w:tcPr>
          <w:p w14:paraId="3E555DEB"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14,32%</w:t>
            </w:r>
          </w:p>
        </w:tc>
        <w:tc>
          <w:tcPr>
            <w:tcW w:w="1796" w:type="dxa"/>
            <w:tcBorders>
              <w:top w:val="nil"/>
              <w:left w:val="nil"/>
              <w:bottom w:val="single" w:sz="4" w:space="0" w:color="auto"/>
              <w:right w:val="single" w:sz="4" w:space="0" w:color="auto"/>
            </w:tcBorders>
            <w:shd w:val="clear" w:color="auto" w:fill="auto"/>
            <w:vAlign w:val="center"/>
            <w:hideMark/>
          </w:tcPr>
          <w:p w14:paraId="6C00E6DF"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-26,11%</w:t>
            </w:r>
          </w:p>
        </w:tc>
      </w:tr>
      <w:tr w:rsidR="001237D2" w:rsidRPr="00746E61" w14:paraId="58E71EA6" w14:textId="77777777" w:rsidTr="001237D2">
        <w:trPr>
          <w:trHeight w:val="290"/>
          <w:jc w:val="center"/>
        </w:trPr>
        <w:tc>
          <w:tcPr>
            <w:tcW w:w="2985" w:type="dxa"/>
            <w:tcBorders>
              <w:top w:val="nil"/>
              <w:left w:val="single" w:sz="4" w:space="0" w:color="auto"/>
              <w:bottom w:val="single" w:sz="4" w:space="0" w:color="auto"/>
              <w:right w:val="single" w:sz="4" w:space="0" w:color="auto"/>
            </w:tcBorders>
            <w:shd w:val="clear" w:color="auto" w:fill="auto"/>
            <w:noWrap/>
            <w:vAlign w:val="center"/>
            <w:hideMark/>
          </w:tcPr>
          <w:p w14:paraId="6C5FA6DE" w14:textId="77777777" w:rsidR="001237D2" w:rsidRPr="00746E61" w:rsidRDefault="001237D2"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Quepos</w:t>
            </w:r>
          </w:p>
        </w:tc>
        <w:tc>
          <w:tcPr>
            <w:tcW w:w="1008" w:type="dxa"/>
            <w:tcBorders>
              <w:top w:val="nil"/>
              <w:left w:val="nil"/>
              <w:bottom w:val="single" w:sz="4" w:space="0" w:color="auto"/>
              <w:right w:val="single" w:sz="4" w:space="0" w:color="auto"/>
            </w:tcBorders>
            <w:shd w:val="clear" w:color="auto" w:fill="auto"/>
            <w:noWrap/>
            <w:vAlign w:val="center"/>
            <w:hideMark/>
          </w:tcPr>
          <w:p w14:paraId="2C9180DF"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57</w:t>
            </w:r>
          </w:p>
        </w:tc>
        <w:tc>
          <w:tcPr>
            <w:tcW w:w="1008" w:type="dxa"/>
            <w:tcBorders>
              <w:top w:val="nil"/>
              <w:left w:val="nil"/>
              <w:bottom w:val="single" w:sz="4" w:space="0" w:color="auto"/>
              <w:right w:val="single" w:sz="4" w:space="0" w:color="auto"/>
            </w:tcBorders>
            <w:shd w:val="clear" w:color="auto" w:fill="auto"/>
            <w:noWrap/>
            <w:vAlign w:val="center"/>
            <w:hideMark/>
          </w:tcPr>
          <w:p w14:paraId="6509A5FA"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84</w:t>
            </w:r>
          </w:p>
        </w:tc>
        <w:tc>
          <w:tcPr>
            <w:tcW w:w="1008" w:type="dxa"/>
            <w:tcBorders>
              <w:top w:val="nil"/>
              <w:left w:val="nil"/>
              <w:bottom w:val="single" w:sz="4" w:space="0" w:color="auto"/>
              <w:right w:val="single" w:sz="4" w:space="0" w:color="auto"/>
            </w:tcBorders>
            <w:shd w:val="clear" w:color="auto" w:fill="auto"/>
            <w:noWrap/>
            <w:vAlign w:val="center"/>
            <w:hideMark/>
          </w:tcPr>
          <w:p w14:paraId="3E316626"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65</w:t>
            </w:r>
          </w:p>
        </w:tc>
        <w:tc>
          <w:tcPr>
            <w:tcW w:w="1796" w:type="dxa"/>
            <w:tcBorders>
              <w:top w:val="nil"/>
              <w:left w:val="nil"/>
              <w:bottom w:val="single" w:sz="4" w:space="0" w:color="auto"/>
              <w:right w:val="single" w:sz="4" w:space="0" w:color="auto"/>
            </w:tcBorders>
            <w:shd w:val="clear" w:color="auto" w:fill="auto"/>
            <w:vAlign w:val="center"/>
            <w:hideMark/>
          </w:tcPr>
          <w:p w14:paraId="0828A317"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14,04%</w:t>
            </w:r>
          </w:p>
        </w:tc>
        <w:tc>
          <w:tcPr>
            <w:tcW w:w="1796" w:type="dxa"/>
            <w:tcBorders>
              <w:top w:val="nil"/>
              <w:left w:val="nil"/>
              <w:bottom w:val="single" w:sz="4" w:space="0" w:color="auto"/>
              <w:right w:val="single" w:sz="4" w:space="0" w:color="auto"/>
            </w:tcBorders>
            <w:shd w:val="clear" w:color="auto" w:fill="auto"/>
            <w:vAlign w:val="center"/>
            <w:hideMark/>
          </w:tcPr>
          <w:p w14:paraId="1A055052"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-22,62%</w:t>
            </w:r>
          </w:p>
        </w:tc>
      </w:tr>
      <w:tr w:rsidR="001237D2" w:rsidRPr="00746E61" w14:paraId="7E30F624" w14:textId="77777777" w:rsidTr="001237D2">
        <w:trPr>
          <w:trHeight w:val="290"/>
          <w:jc w:val="center"/>
        </w:trPr>
        <w:tc>
          <w:tcPr>
            <w:tcW w:w="2985" w:type="dxa"/>
            <w:tcBorders>
              <w:top w:val="nil"/>
              <w:left w:val="single" w:sz="4" w:space="0" w:color="auto"/>
              <w:bottom w:val="single" w:sz="4" w:space="0" w:color="auto"/>
              <w:right w:val="single" w:sz="4" w:space="0" w:color="auto"/>
            </w:tcBorders>
            <w:shd w:val="clear" w:color="auto" w:fill="auto"/>
            <w:noWrap/>
            <w:vAlign w:val="center"/>
            <w:hideMark/>
          </w:tcPr>
          <w:p w14:paraId="358F9D5F" w14:textId="77777777" w:rsidR="001237D2" w:rsidRPr="00746E61" w:rsidRDefault="001237D2"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Liberia</w:t>
            </w:r>
          </w:p>
        </w:tc>
        <w:tc>
          <w:tcPr>
            <w:tcW w:w="1008" w:type="dxa"/>
            <w:tcBorders>
              <w:top w:val="nil"/>
              <w:left w:val="nil"/>
              <w:bottom w:val="single" w:sz="4" w:space="0" w:color="auto"/>
              <w:right w:val="single" w:sz="4" w:space="0" w:color="auto"/>
            </w:tcBorders>
            <w:shd w:val="clear" w:color="auto" w:fill="auto"/>
            <w:noWrap/>
            <w:vAlign w:val="center"/>
            <w:hideMark/>
          </w:tcPr>
          <w:p w14:paraId="619521E6"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790</w:t>
            </w:r>
          </w:p>
        </w:tc>
        <w:tc>
          <w:tcPr>
            <w:tcW w:w="1008" w:type="dxa"/>
            <w:tcBorders>
              <w:top w:val="nil"/>
              <w:left w:val="nil"/>
              <w:bottom w:val="single" w:sz="4" w:space="0" w:color="auto"/>
              <w:right w:val="single" w:sz="4" w:space="0" w:color="auto"/>
            </w:tcBorders>
            <w:shd w:val="clear" w:color="auto" w:fill="auto"/>
            <w:noWrap/>
            <w:vAlign w:val="center"/>
            <w:hideMark/>
          </w:tcPr>
          <w:p w14:paraId="31424CF9"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1211</w:t>
            </w:r>
          </w:p>
        </w:tc>
        <w:tc>
          <w:tcPr>
            <w:tcW w:w="1008" w:type="dxa"/>
            <w:tcBorders>
              <w:top w:val="nil"/>
              <w:left w:val="nil"/>
              <w:bottom w:val="single" w:sz="4" w:space="0" w:color="auto"/>
              <w:right w:val="single" w:sz="4" w:space="0" w:color="auto"/>
            </w:tcBorders>
            <w:shd w:val="clear" w:color="auto" w:fill="auto"/>
            <w:noWrap/>
            <w:vAlign w:val="center"/>
            <w:hideMark/>
          </w:tcPr>
          <w:p w14:paraId="578FACD2"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880</w:t>
            </w:r>
          </w:p>
        </w:tc>
        <w:tc>
          <w:tcPr>
            <w:tcW w:w="1796" w:type="dxa"/>
            <w:tcBorders>
              <w:top w:val="nil"/>
              <w:left w:val="nil"/>
              <w:bottom w:val="single" w:sz="4" w:space="0" w:color="auto"/>
              <w:right w:val="single" w:sz="4" w:space="0" w:color="auto"/>
            </w:tcBorders>
            <w:shd w:val="clear" w:color="auto" w:fill="auto"/>
            <w:vAlign w:val="center"/>
            <w:hideMark/>
          </w:tcPr>
          <w:p w14:paraId="3DE5CF41"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11,39%</w:t>
            </w:r>
          </w:p>
        </w:tc>
        <w:tc>
          <w:tcPr>
            <w:tcW w:w="1796" w:type="dxa"/>
            <w:tcBorders>
              <w:top w:val="nil"/>
              <w:left w:val="nil"/>
              <w:bottom w:val="single" w:sz="4" w:space="0" w:color="auto"/>
              <w:right w:val="single" w:sz="4" w:space="0" w:color="auto"/>
            </w:tcBorders>
            <w:shd w:val="clear" w:color="auto" w:fill="auto"/>
            <w:vAlign w:val="center"/>
            <w:hideMark/>
          </w:tcPr>
          <w:p w14:paraId="344CB7B9"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-27,33%</w:t>
            </w:r>
          </w:p>
        </w:tc>
      </w:tr>
      <w:tr w:rsidR="001237D2" w:rsidRPr="00746E61" w14:paraId="0FC830FA" w14:textId="77777777" w:rsidTr="001237D2">
        <w:trPr>
          <w:trHeight w:val="290"/>
          <w:jc w:val="center"/>
        </w:trPr>
        <w:tc>
          <w:tcPr>
            <w:tcW w:w="2985" w:type="dxa"/>
            <w:tcBorders>
              <w:top w:val="nil"/>
              <w:left w:val="single" w:sz="4" w:space="0" w:color="auto"/>
              <w:bottom w:val="single" w:sz="4" w:space="0" w:color="auto"/>
              <w:right w:val="single" w:sz="4" w:space="0" w:color="auto"/>
            </w:tcBorders>
            <w:shd w:val="clear" w:color="auto" w:fill="auto"/>
            <w:noWrap/>
            <w:vAlign w:val="center"/>
            <w:hideMark/>
          </w:tcPr>
          <w:p w14:paraId="375FBD49" w14:textId="77777777" w:rsidR="001237D2" w:rsidRPr="00746E61" w:rsidRDefault="001237D2"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Cartago</w:t>
            </w:r>
          </w:p>
        </w:tc>
        <w:tc>
          <w:tcPr>
            <w:tcW w:w="1008" w:type="dxa"/>
            <w:tcBorders>
              <w:top w:val="nil"/>
              <w:left w:val="nil"/>
              <w:bottom w:val="single" w:sz="4" w:space="0" w:color="auto"/>
              <w:right w:val="single" w:sz="4" w:space="0" w:color="auto"/>
            </w:tcBorders>
            <w:shd w:val="clear" w:color="auto" w:fill="auto"/>
            <w:noWrap/>
            <w:vAlign w:val="center"/>
            <w:hideMark/>
          </w:tcPr>
          <w:p w14:paraId="6EED7D3F"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583</w:t>
            </w:r>
          </w:p>
        </w:tc>
        <w:tc>
          <w:tcPr>
            <w:tcW w:w="1008" w:type="dxa"/>
            <w:tcBorders>
              <w:top w:val="nil"/>
              <w:left w:val="nil"/>
              <w:bottom w:val="single" w:sz="4" w:space="0" w:color="auto"/>
              <w:right w:val="single" w:sz="4" w:space="0" w:color="auto"/>
            </w:tcBorders>
            <w:shd w:val="clear" w:color="auto" w:fill="auto"/>
            <w:noWrap/>
            <w:vAlign w:val="center"/>
            <w:hideMark/>
          </w:tcPr>
          <w:p w14:paraId="27EAD106"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1121</w:t>
            </w:r>
          </w:p>
        </w:tc>
        <w:tc>
          <w:tcPr>
            <w:tcW w:w="1008" w:type="dxa"/>
            <w:tcBorders>
              <w:top w:val="nil"/>
              <w:left w:val="nil"/>
              <w:bottom w:val="single" w:sz="4" w:space="0" w:color="auto"/>
              <w:right w:val="single" w:sz="4" w:space="0" w:color="auto"/>
            </w:tcBorders>
            <w:shd w:val="clear" w:color="auto" w:fill="auto"/>
            <w:noWrap/>
            <w:vAlign w:val="center"/>
            <w:hideMark/>
          </w:tcPr>
          <w:p w14:paraId="7661A5D3"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630</w:t>
            </w:r>
          </w:p>
        </w:tc>
        <w:tc>
          <w:tcPr>
            <w:tcW w:w="1796" w:type="dxa"/>
            <w:tcBorders>
              <w:top w:val="nil"/>
              <w:left w:val="nil"/>
              <w:bottom w:val="single" w:sz="4" w:space="0" w:color="auto"/>
              <w:right w:val="single" w:sz="4" w:space="0" w:color="auto"/>
            </w:tcBorders>
            <w:shd w:val="clear" w:color="auto" w:fill="auto"/>
            <w:vAlign w:val="center"/>
            <w:hideMark/>
          </w:tcPr>
          <w:p w14:paraId="1B2376E8"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8,06%</w:t>
            </w:r>
          </w:p>
        </w:tc>
        <w:tc>
          <w:tcPr>
            <w:tcW w:w="1796" w:type="dxa"/>
            <w:tcBorders>
              <w:top w:val="nil"/>
              <w:left w:val="nil"/>
              <w:bottom w:val="single" w:sz="4" w:space="0" w:color="auto"/>
              <w:right w:val="single" w:sz="4" w:space="0" w:color="auto"/>
            </w:tcBorders>
            <w:shd w:val="clear" w:color="auto" w:fill="auto"/>
            <w:vAlign w:val="center"/>
            <w:hideMark/>
          </w:tcPr>
          <w:p w14:paraId="3A956172"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-43,80%</w:t>
            </w:r>
          </w:p>
        </w:tc>
      </w:tr>
      <w:tr w:rsidR="001237D2" w:rsidRPr="00746E61" w14:paraId="70B17BD6" w14:textId="77777777" w:rsidTr="001237D2">
        <w:trPr>
          <w:trHeight w:val="290"/>
          <w:jc w:val="center"/>
        </w:trPr>
        <w:tc>
          <w:tcPr>
            <w:tcW w:w="2985" w:type="dxa"/>
            <w:tcBorders>
              <w:top w:val="nil"/>
              <w:left w:val="single" w:sz="4" w:space="0" w:color="auto"/>
              <w:bottom w:val="single" w:sz="4" w:space="0" w:color="auto"/>
              <w:right w:val="single" w:sz="4" w:space="0" w:color="auto"/>
            </w:tcBorders>
            <w:shd w:val="clear" w:color="auto" w:fill="auto"/>
            <w:noWrap/>
            <w:vAlign w:val="center"/>
            <w:hideMark/>
          </w:tcPr>
          <w:p w14:paraId="0E0BA324" w14:textId="77777777" w:rsidR="001237D2" w:rsidRPr="00746E61" w:rsidRDefault="001237D2"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Pavas</w:t>
            </w:r>
          </w:p>
        </w:tc>
        <w:tc>
          <w:tcPr>
            <w:tcW w:w="1008" w:type="dxa"/>
            <w:tcBorders>
              <w:top w:val="nil"/>
              <w:left w:val="nil"/>
              <w:bottom w:val="single" w:sz="4" w:space="0" w:color="auto"/>
              <w:right w:val="single" w:sz="4" w:space="0" w:color="auto"/>
            </w:tcBorders>
            <w:shd w:val="clear" w:color="auto" w:fill="auto"/>
            <w:noWrap/>
            <w:vAlign w:val="center"/>
            <w:hideMark/>
          </w:tcPr>
          <w:p w14:paraId="6F7E5805"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2025</w:t>
            </w:r>
          </w:p>
        </w:tc>
        <w:tc>
          <w:tcPr>
            <w:tcW w:w="1008" w:type="dxa"/>
            <w:tcBorders>
              <w:top w:val="nil"/>
              <w:left w:val="nil"/>
              <w:bottom w:val="single" w:sz="4" w:space="0" w:color="auto"/>
              <w:right w:val="single" w:sz="4" w:space="0" w:color="auto"/>
            </w:tcBorders>
            <w:shd w:val="clear" w:color="auto" w:fill="auto"/>
            <w:noWrap/>
            <w:vAlign w:val="center"/>
            <w:hideMark/>
          </w:tcPr>
          <w:p w14:paraId="5D039DA4"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1941</w:t>
            </w:r>
          </w:p>
        </w:tc>
        <w:tc>
          <w:tcPr>
            <w:tcW w:w="1008" w:type="dxa"/>
            <w:tcBorders>
              <w:top w:val="nil"/>
              <w:left w:val="nil"/>
              <w:bottom w:val="single" w:sz="4" w:space="0" w:color="auto"/>
              <w:right w:val="single" w:sz="4" w:space="0" w:color="auto"/>
            </w:tcBorders>
            <w:shd w:val="clear" w:color="auto" w:fill="auto"/>
            <w:noWrap/>
            <w:vAlign w:val="center"/>
            <w:hideMark/>
          </w:tcPr>
          <w:p w14:paraId="6EC39715"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2124</w:t>
            </w:r>
          </w:p>
        </w:tc>
        <w:tc>
          <w:tcPr>
            <w:tcW w:w="1796" w:type="dxa"/>
            <w:tcBorders>
              <w:top w:val="nil"/>
              <w:left w:val="nil"/>
              <w:bottom w:val="single" w:sz="4" w:space="0" w:color="auto"/>
              <w:right w:val="single" w:sz="4" w:space="0" w:color="auto"/>
            </w:tcBorders>
            <w:shd w:val="clear" w:color="auto" w:fill="auto"/>
            <w:vAlign w:val="center"/>
            <w:hideMark/>
          </w:tcPr>
          <w:p w14:paraId="60880028"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4,89%</w:t>
            </w:r>
          </w:p>
        </w:tc>
        <w:tc>
          <w:tcPr>
            <w:tcW w:w="1796" w:type="dxa"/>
            <w:tcBorders>
              <w:top w:val="nil"/>
              <w:left w:val="nil"/>
              <w:bottom w:val="single" w:sz="4" w:space="0" w:color="auto"/>
              <w:right w:val="single" w:sz="4" w:space="0" w:color="auto"/>
            </w:tcBorders>
            <w:shd w:val="clear" w:color="auto" w:fill="auto"/>
            <w:vAlign w:val="center"/>
            <w:hideMark/>
          </w:tcPr>
          <w:p w14:paraId="5C7ADE5D"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9,43%</w:t>
            </w:r>
          </w:p>
        </w:tc>
      </w:tr>
      <w:tr w:rsidR="001237D2" w:rsidRPr="00746E61" w14:paraId="5D57D2A5" w14:textId="77777777" w:rsidTr="001237D2">
        <w:trPr>
          <w:trHeight w:val="290"/>
          <w:jc w:val="center"/>
        </w:trPr>
        <w:tc>
          <w:tcPr>
            <w:tcW w:w="2985" w:type="dxa"/>
            <w:tcBorders>
              <w:top w:val="nil"/>
              <w:left w:val="single" w:sz="4" w:space="0" w:color="auto"/>
              <w:bottom w:val="single" w:sz="4" w:space="0" w:color="auto"/>
              <w:right w:val="single" w:sz="4" w:space="0" w:color="auto"/>
            </w:tcBorders>
            <w:shd w:val="clear" w:color="auto" w:fill="auto"/>
            <w:noWrap/>
            <w:vAlign w:val="center"/>
            <w:hideMark/>
          </w:tcPr>
          <w:p w14:paraId="63E8A9B7" w14:textId="77777777" w:rsidR="001237D2" w:rsidRPr="00746E61" w:rsidRDefault="001237D2"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Turrialba</w:t>
            </w:r>
          </w:p>
        </w:tc>
        <w:tc>
          <w:tcPr>
            <w:tcW w:w="1008" w:type="dxa"/>
            <w:tcBorders>
              <w:top w:val="nil"/>
              <w:left w:val="nil"/>
              <w:bottom w:val="single" w:sz="4" w:space="0" w:color="auto"/>
              <w:right w:val="single" w:sz="4" w:space="0" w:color="auto"/>
            </w:tcBorders>
            <w:shd w:val="clear" w:color="auto" w:fill="auto"/>
            <w:noWrap/>
            <w:vAlign w:val="center"/>
            <w:hideMark/>
          </w:tcPr>
          <w:p w14:paraId="6FC3BDC0"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642</w:t>
            </w:r>
          </w:p>
        </w:tc>
        <w:tc>
          <w:tcPr>
            <w:tcW w:w="1008" w:type="dxa"/>
            <w:tcBorders>
              <w:top w:val="nil"/>
              <w:left w:val="nil"/>
              <w:bottom w:val="single" w:sz="4" w:space="0" w:color="auto"/>
              <w:right w:val="single" w:sz="4" w:space="0" w:color="auto"/>
            </w:tcBorders>
            <w:shd w:val="clear" w:color="auto" w:fill="auto"/>
            <w:noWrap/>
            <w:vAlign w:val="center"/>
            <w:hideMark/>
          </w:tcPr>
          <w:p w14:paraId="43535AA6"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856</w:t>
            </w:r>
          </w:p>
        </w:tc>
        <w:tc>
          <w:tcPr>
            <w:tcW w:w="1008" w:type="dxa"/>
            <w:tcBorders>
              <w:top w:val="nil"/>
              <w:left w:val="nil"/>
              <w:bottom w:val="single" w:sz="4" w:space="0" w:color="auto"/>
              <w:right w:val="single" w:sz="4" w:space="0" w:color="auto"/>
            </w:tcBorders>
            <w:shd w:val="clear" w:color="auto" w:fill="auto"/>
            <w:noWrap/>
            <w:vAlign w:val="center"/>
            <w:hideMark/>
          </w:tcPr>
          <w:p w14:paraId="6FC95B5B"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665</w:t>
            </w:r>
          </w:p>
        </w:tc>
        <w:tc>
          <w:tcPr>
            <w:tcW w:w="1796" w:type="dxa"/>
            <w:tcBorders>
              <w:top w:val="nil"/>
              <w:left w:val="nil"/>
              <w:bottom w:val="single" w:sz="4" w:space="0" w:color="auto"/>
              <w:right w:val="single" w:sz="4" w:space="0" w:color="auto"/>
            </w:tcBorders>
            <w:shd w:val="clear" w:color="auto" w:fill="auto"/>
            <w:vAlign w:val="center"/>
            <w:hideMark/>
          </w:tcPr>
          <w:p w14:paraId="1AC2B616"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3,58%</w:t>
            </w:r>
          </w:p>
        </w:tc>
        <w:tc>
          <w:tcPr>
            <w:tcW w:w="1796" w:type="dxa"/>
            <w:tcBorders>
              <w:top w:val="nil"/>
              <w:left w:val="nil"/>
              <w:bottom w:val="single" w:sz="4" w:space="0" w:color="auto"/>
              <w:right w:val="single" w:sz="4" w:space="0" w:color="auto"/>
            </w:tcBorders>
            <w:shd w:val="clear" w:color="auto" w:fill="auto"/>
            <w:vAlign w:val="center"/>
            <w:hideMark/>
          </w:tcPr>
          <w:p w14:paraId="3AD01F91"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-22,31%</w:t>
            </w:r>
          </w:p>
        </w:tc>
      </w:tr>
      <w:tr w:rsidR="001237D2" w:rsidRPr="00746E61" w14:paraId="74ABAF3B" w14:textId="77777777" w:rsidTr="001237D2">
        <w:trPr>
          <w:trHeight w:val="290"/>
          <w:jc w:val="center"/>
        </w:trPr>
        <w:tc>
          <w:tcPr>
            <w:tcW w:w="2985" w:type="dxa"/>
            <w:tcBorders>
              <w:top w:val="nil"/>
              <w:left w:val="single" w:sz="4" w:space="0" w:color="auto"/>
              <w:bottom w:val="single" w:sz="4" w:space="0" w:color="auto"/>
              <w:right w:val="single" w:sz="4" w:space="0" w:color="auto"/>
            </w:tcBorders>
            <w:shd w:val="clear" w:color="auto" w:fill="auto"/>
            <w:noWrap/>
            <w:vAlign w:val="center"/>
            <w:hideMark/>
          </w:tcPr>
          <w:p w14:paraId="0D38DD09" w14:textId="77777777" w:rsidR="001237D2" w:rsidRPr="00746E61" w:rsidRDefault="001237D2"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Heredia</w:t>
            </w:r>
          </w:p>
        </w:tc>
        <w:tc>
          <w:tcPr>
            <w:tcW w:w="1008" w:type="dxa"/>
            <w:tcBorders>
              <w:top w:val="nil"/>
              <w:left w:val="nil"/>
              <w:bottom w:val="single" w:sz="4" w:space="0" w:color="auto"/>
              <w:right w:val="single" w:sz="4" w:space="0" w:color="auto"/>
            </w:tcBorders>
            <w:shd w:val="clear" w:color="auto" w:fill="auto"/>
            <w:noWrap/>
            <w:vAlign w:val="center"/>
            <w:hideMark/>
          </w:tcPr>
          <w:p w14:paraId="5984549F"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325</w:t>
            </w:r>
          </w:p>
        </w:tc>
        <w:tc>
          <w:tcPr>
            <w:tcW w:w="1008" w:type="dxa"/>
            <w:tcBorders>
              <w:top w:val="nil"/>
              <w:left w:val="nil"/>
              <w:bottom w:val="single" w:sz="4" w:space="0" w:color="auto"/>
              <w:right w:val="single" w:sz="4" w:space="0" w:color="auto"/>
            </w:tcBorders>
            <w:shd w:val="clear" w:color="auto" w:fill="auto"/>
            <w:noWrap/>
            <w:vAlign w:val="center"/>
            <w:hideMark/>
          </w:tcPr>
          <w:p w14:paraId="44AF3400"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705</w:t>
            </w:r>
          </w:p>
        </w:tc>
        <w:tc>
          <w:tcPr>
            <w:tcW w:w="1008" w:type="dxa"/>
            <w:tcBorders>
              <w:top w:val="nil"/>
              <w:left w:val="nil"/>
              <w:bottom w:val="single" w:sz="4" w:space="0" w:color="auto"/>
              <w:right w:val="single" w:sz="4" w:space="0" w:color="auto"/>
            </w:tcBorders>
            <w:shd w:val="clear" w:color="auto" w:fill="auto"/>
            <w:noWrap/>
            <w:vAlign w:val="center"/>
            <w:hideMark/>
          </w:tcPr>
          <w:p w14:paraId="106AAE7B"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283</w:t>
            </w:r>
          </w:p>
        </w:tc>
        <w:tc>
          <w:tcPr>
            <w:tcW w:w="1796" w:type="dxa"/>
            <w:tcBorders>
              <w:top w:val="nil"/>
              <w:left w:val="nil"/>
              <w:bottom w:val="single" w:sz="4" w:space="0" w:color="auto"/>
              <w:right w:val="single" w:sz="4" w:space="0" w:color="auto"/>
            </w:tcBorders>
            <w:shd w:val="clear" w:color="auto" w:fill="auto"/>
            <w:vAlign w:val="center"/>
            <w:hideMark/>
          </w:tcPr>
          <w:p w14:paraId="67B46D49"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-12,92%</w:t>
            </w:r>
          </w:p>
        </w:tc>
        <w:tc>
          <w:tcPr>
            <w:tcW w:w="1796" w:type="dxa"/>
            <w:tcBorders>
              <w:top w:val="nil"/>
              <w:left w:val="nil"/>
              <w:bottom w:val="single" w:sz="4" w:space="0" w:color="auto"/>
              <w:right w:val="single" w:sz="4" w:space="0" w:color="auto"/>
            </w:tcBorders>
            <w:shd w:val="clear" w:color="auto" w:fill="auto"/>
            <w:vAlign w:val="center"/>
            <w:hideMark/>
          </w:tcPr>
          <w:p w14:paraId="0FD18A1A"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-59,86%</w:t>
            </w:r>
          </w:p>
        </w:tc>
      </w:tr>
      <w:tr w:rsidR="001237D2" w:rsidRPr="00746E61" w14:paraId="069553F2" w14:textId="77777777" w:rsidTr="001237D2">
        <w:trPr>
          <w:trHeight w:val="290"/>
          <w:jc w:val="center"/>
        </w:trPr>
        <w:tc>
          <w:tcPr>
            <w:tcW w:w="2985" w:type="dxa"/>
            <w:tcBorders>
              <w:top w:val="nil"/>
              <w:left w:val="single" w:sz="4" w:space="0" w:color="auto"/>
              <w:bottom w:val="single" w:sz="4" w:space="0" w:color="auto"/>
              <w:right w:val="single" w:sz="4" w:space="0" w:color="auto"/>
            </w:tcBorders>
            <w:shd w:val="clear" w:color="auto" w:fill="auto"/>
            <w:noWrap/>
            <w:vAlign w:val="center"/>
            <w:hideMark/>
          </w:tcPr>
          <w:p w14:paraId="796E5594" w14:textId="77777777" w:rsidR="001237D2" w:rsidRPr="00746E61" w:rsidRDefault="001237D2"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Alajuela</w:t>
            </w:r>
          </w:p>
        </w:tc>
        <w:tc>
          <w:tcPr>
            <w:tcW w:w="1008" w:type="dxa"/>
            <w:tcBorders>
              <w:top w:val="nil"/>
              <w:left w:val="nil"/>
              <w:bottom w:val="single" w:sz="4" w:space="0" w:color="auto"/>
              <w:right w:val="single" w:sz="4" w:space="0" w:color="auto"/>
            </w:tcBorders>
            <w:shd w:val="clear" w:color="auto" w:fill="auto"/>
            <w:noWrap/>
            <w:vAlign w:val="center"/>
            <w:hideMark/>
          </w:tcPr>
          <w:p w14:paraId="18D60561"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1998</w:t>
            </w:r>
          </w:p>
        </w:tc>
        <w:tc>
          <w:tcPr>
            <w:tcW w:w="1008" w:type="dxa"/>
            <w:tcBorders>
              <w:top w:val="nil"/>
              <w:left w:val="nil"/>
              <w:bottom w:val="single" w:sz="4" w:space="0" w:color="auto"/>
              <w:right w:val="single" w:sz="4" w:space="0" w:color="auto"/>
            </w:tcBorders>
            <w:shd w:val="clear" w:color="auto" w:fill="auto"/>
            <w:noWrap/>
            <w:vAlign w:val="center"/>
            <w:hideMark/>
          </w:tcPr>
          <w:p w14:paraId="65992264"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2659</w:t>
            </w:r>
          </w:p>
        </w:tc>
        <w:tc>
          <w:tcPr>
            <w:tcW w:w="1008" w:type="dxa"/>
            <w:tcBorders>
              <w:top w:val="nil"/>
              <w:left w:val="nil"/>
              <w:bottom w:val="single" w:sz="4" w:space="0" w:color="auto"/>
              <w:right w:val="single" w:sz="4" w:space="0" w:color="auto"/>
            </w:tcBorders>
            <w:shd w:val="clear" w:color="auto" w:fill="auto"/>
            <w:noWrap/>
            <w:vAlign w:val="center"/>
            <w:hideMark/>
          </w:tcPr>
          <w:p w14:paraId="3EC95375"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1719</w:t>
            </w:r>
          </w:p>
        </w:tc>
        <w:tc>
          <w:tcPr>
            <w:tcW w:w="1796" w:type="dxa"/>
            <w:tcBorders>
              <w:top w:val="nil"/>
              <w:left w:val="nil"/>
              <w:bottom w:val="single" w:sz="4" w:space="0" w:color="auto"/>
              <w:right w:val="single" w:sz="4" w:space="0" w:color="auto"/>
            </w:tcBorders>
            <w:shd w:val="clear" w:color="auto" w:fill="auto"/>
            <w:vAlign w:val="center"/>
            <w:hideMark/>
          </w:tcPr>
          <w:p w14:paraId="4C939661"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-13,96%</w:t>
            </w:r>
          </w:p>
        </w:tc>
        <w:tc>
          <w:tcPr>
            <w:tcW w:w="1796" w:type="dxa"/>
            <w:tcBorders>
              <w:top w:val="nil"/>
              <w:left w:val="nil"/>
              <w:bottom w:val="single" w:sz="4" w:space="0" w:color="auto"/>
              <w:right w:val="single" w:sz="4" w:space="0" w:color="auto"/>
            </w:tcBorders>
            <w:shd w:val="clear" w:color="auto" w:fill="auto"/>
            <w:vAlign w:val="center"/>
            <w:hideMark/>
          </w:tcPr>
          <w:p w14:paraId="54FCF023"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-35,35%</w:t>
            </w:r>
          </w:p>
        </w:tc>
      </w:tr>
      <w:tr w:rsidR="001237D2" w:rsidRPr="00746E61" w14:paraId="0F5417AB" w14:textId="77777777" w:rsidTr="001237D2">
        <w:trPr>
          <w:trHeight w:val="290"/>
          <w:jc w:val="center"/>
        </w:trPr>
        <w:tc>
          <w:tcPr>
            <w:tcW w:w="2985" w:type="dxa"/>
            <w:tcBorders>
              <w:top w:val="nil"/>
              <w:left w:val="single" w:sz="4" w:space="0" w:color="auto"/>
              <w:bottom w:val="single" w:sz="4" w:space="0" w:color="auto"/>
              <w:right w:val="single" w:sz="4" w:space="0" w:color="auto"/>
            </w:tcBorders>
            <w:shd w:val="clear" w:color="auto" w:fill="auto"/>
            <w:noWrap/>
            <w:vAlign w:val="center"/>
            <w:hideMark/>
          </w:tcPr>
          <w:p w14:paraId="29C22D9A" w14:textId="77777777" w:rsidR="001237D2" w:rsidRPr="00746E61" w:rsidRDefault="001237D2"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San Joaquín de Flores</w:t>
            </w:r>
          </w:p>
        </w:tc>
        <w:tc>
          <w:tcPr>
            <w:tcW w:w="1008" w:type="dxa"/>
            <w:tcBorders>
              <w:top w:val="nil"/>
              <w:left w:val="nil"/>
              <w:bottom w:val="single" w:sz="4" w:space="0" w:color="auto"/>
              <w:right w:val="single" w:sz="4" w:space="0" w:color="auto"/>
            </w:tcBorders>
            <w:shd w:val="clear" w:color="auto" w:fill="auto"/>
            <w:noWrap/>
            <w:vAlign w:val="center"/>
            <w:hideMark/>
          </w:tcPr>
          <w:p w14:paraId="195C39C0"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86</w:t>
            </w:r>
          </w:p>
        </w:tc>
        <w:tc>
          <w:tcPr>
            <w:tcW w:w="1008" w:type="dxa"/>
            <w:tcBorders>
              <w:top w:val="nil"/>
              <w:left w:val="nil"/>
              <w:bottom w:val="single" w:sz="4" w:space="0" w:color="auto"/>
              <w:right w:val="single" w:sz="4" w:space="0" w:color="auto"/>
            </w:tcBorders>
            <w:shd w:val="clear" w:color="auto" w:fill="auto"/>
            <w:noWrap/>
            <w:vAlign w:val="center"/>
            <w:hideMark/>
          </w:tcPr>
          <w:p w14:paraId="02203533"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150</w:t>
            </w:r>
          </w:p>
        </w:tc>
        <w:tc>
          <w:tcPr>
            <w:tcW w:w="1008" w:type="dxa"/>
            <w:tcBorders>
              <w:top w:val="nil"/>
              <w:left w:val="nil"/>
              <w:bottom w:val="single" w:sz="4" w:space="0" w:color="auto"/>
              <w:right w:val="single" w:sz="4" w:space="0" w:color="auto"/>
            </w:tcBorders>
            <w:shd w:val="clear" w:color="auto" w:fill="auto"/>
            <w:noWrap/>
            <w:vAlign w:val="center"/>
            <w:hideMark/>
          </w:tcPr>
          <w:p w14:paraId="28A58CB7"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70</w:t>
            </w:r>
          </w:p>
        </w:tc>
        <w:tc>
          <w:tcPr>
            <w:tcW w:w="1796" w:type="dxa"/>
            <w:tcBorders>
              <w:top w:val="nil"/>
              <w:left w:val="nil"/>
              <w:bottom w:val="single" w:sz="4" w:space="0" w:color="auto"/>
              <w:right w:val="single" w:sz="4" w:space="0" w:color="auto"/>
            </w:tcBorders>
            <w:shd w:val="clear" w:color="auto" w:fill="auto"/>
            <w:vAlign w:val="center"/>
            <w:hideMark/>
          </w:tcPr>
          <w:p w14:paraId="7214223F"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-18,60%</w:t>
            </w:r>
          </w:p>
        </w:tc>
        <w:tc>
          <w:tcPr>
            <w:tcW w:w="1796" w:type="dxa"/>
            <w:tcBorders>
              <w:top w:val="nil"/>
              <w:left w:val="nil"/>
              <w:bottom w:val="single" w:sz="4" w:space="0" w:color="auto"/>
              <w:right w:val="single" w:sz="4" w:space="0" w:color="auto"/>
            </w:tcBorders>
            <w:shd w:val="clear" w:color="auto" w:fill="auto"/>
            <w:vAlign w:val="center"/>
            <w:hideMark/>
          </w:tcPr>
          <w:p w14:paraId="0972AC99"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-53,33%</w:t>
            </w:r>
          </w:p>
        </w:tc>
      </w:tr>
      <w:tr w:rsidR="001237D2" w:rsidRPr="00746E61" w14:paraId="62E58E2C" w14:textId="77777777" w:rsidTr="001237D2">
        <w:trPr>
          <w:trHeight w:val="290"/>
          <w:jc w:val="center"/>
        </w:trPr>
        <w:tc>
          <w:tcPr>
            <w:tcW w:w="2985" w:type="dxa"/>
            <w:tcBorders>
              <w:top w:val="nil"/>
              <w:left w:val="single" w:sz="4" w:space="0" w:color="auto"/>
              <w:bottom w:val="single" w:sz="4" w:space="0" w:color="auto"/>
              <w:right w:val="single" w:sz="4" w:space="0" w:color="auto"/>
            </w:tcBorders>
            <w:shd w:val="clear" w:color="auto" w:fill="auto"/>
            <w:noWrap/>
            <w:vAlign w:val="center"/>
            <w:hideMark/>
          </w:tcPr>
          <w:p w14:paraId="281CA36F" w14:textId="77777777" w:rsidR="001237D2" w:rsidRPr="00746E61" w:rsidRDefault="001237D2"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Upala</w:t>
            </w:r>
          </w:p>
        </w:tc>
        <w:tc>
          <w:tcPr>
            <w:tcW w:w="1008" w:type="dxa"/>
            <w:tcBorders>
              <w:top w:val="nil"/>
              <w:left w:val="nil"/>
              <w:bottom w:val="single" w:sz="4" w:space="0" w:color="auto"/>
              <w:right w:val="single" w:sz="4" w:space="0" w:color="auto"/>
            </w:tcBorders>
            <w:shd w:val="clear" w:color="auto" w:fill="auto"/>
            <w:noWrap/>
            <w:vAlign w:val="center"/>
            <w:hideMark/>
          </w:tcPr>
          <w:p w14:paraId="6DB6A885"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236</w:t>
            </w:r>
          </w:p>
        </w:tc>
        <w:tc>
          <w:tcPr>
            <w:tcW w:w="1008" w:type="dxa"/>
            <w:tcBorders>
              <w:top w:val="nil"/>
              <w:left w:val="nil"/>
              <w:bottom w:val="single" w:sz="4" w:space="0" w:color="auto"/>
              <w:right w:val="single" w:sz="4" w:space="0" w:color="auto"/>
            </w:tcBorders>
            <w:shd w:val="clear" w:color="auto" w:fill="auto"/>
            <w:noWrap/>
            <w:vAlign w:val="center"/>
            <w:hideMark/>
          </w:tcPr>
          <w:p w14:paraId="136BF64C"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265</w:t>
            </w:r>
          </w:p>
        </w:tc>
        <w:tc>
          <w:tcPr>
            <w:tcW w:w="1008" w:type="dxa"/>
            <w:tcBorders>
              <w:top w:val="nil"/>
              <w:left w:val="nil"/>
              <w:bottom w:val="single" w:sz="4" w:space="0" w:color="auto"/>
              <w:right w:val="single" w:sz="4" w:space="0" w:color="auto"/>
            </w:tcBorders>
            <w:shd w:val="clear" w:color="auto" w:fill="auto"/>
            <w:noWrap/>
            <w:vAlign w:val="center"/>
            <w:hideMark/>
          </w:tcPr>
          <w:p w14:paraId="2FD47E61"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185</w:t>
            </w:r>
          </w:p>
        </w:tc>
        <w:tc>
          <w:tcPr>
            <w:tcW w:w="1796" w:type="dxa"/>
            <w:tcBorders>
              <w:top w:val="nil"/>
              <w:left w:val="nil"/>
              <w:bottom w:val="single" w:sz="4" w:space="0" w:color="auto"/>
              <w:right w:val="single" w:sz="4" w:space="0" w:color="auto"/>
            </w:tcBorders>
            <w:shd w:val="clear" w:color="auto" w:fill="auto"/>
            <w:vAlign w:val="center"/>
            <w:hideMark/>
          </w:tcPr>
          <w:p w14:paraId="06010EA2"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-21,61%</w:t>
            </w:r>
          </w:p>
        </w:tc>
        <w:tc>
          <w:tcPr>
            <w:tcW w:w="1796" w:type="dxa"/>
            <w:tcBorders>
              <w:top w:val="nil"/>
              <w:left w:val="nil"/>
              <w:bottom w:val="single" w:sz="4" w:space="0" w:color="auto"/>
              <w:right w:val="single" w:sz="4" w:space="0" w:color="auto"/>
            </w:tcBorders>
            <w:shd w:val="clear" w:color="auto" w:fill="auto"/>
            <w:vAlign w:val="center"/>
            <w:hideMark/>
          </w:tcPr>
          <w:p w14:paraId="719B0396"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-30,19%</w:t>
            </w:r>
          </w:p>
        </w:tc>
      </w:tr>
      <w:tr w:rsidR="001237D2" w:rsidRPr="00746E61" w14:paraId="61DA4FC5" w14:textId="77777777" w:rsidTr="001237D2">
        <w:trPr>
          <w:trHeight w:val="290"/>
          <w:jc w:val="center"/>
        </w:trPr>
        <w:tc>
          <w:tcPr>
            <w:tcW w:w="2985" w:type="dxa"/>
            <w:tcBorders>
              <w:top w:val="nil"/>
              <w:left w:val="single" w:sz="4" w:space="0" w:color="auto"/>
              <w:bottom w:val="single" w:sz="4" w:space="0" w:color="auto"/>
              <w:right w:val="single" w:sz="4" w:space="0" w:color="auto"/>
            </w:tcBorders>
            <w:shd w:val="clear" w:color="auto" w:fill="auto"/>
            <w:noWrap/>
            <w:vAlign w:val="center"/>
            <w:hideMark/>
          </w:tcPr>
          <w:p w14:paraId="1B8C116B" w14:textId="77777777" w:rsidR="001237D2" w:rsidRPr="00746E61" w:rsidRDefault="001237D2"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San Carlos</w:t>
            </w:r>
          </w:p>
        </w:tc>
        <w:tc>
          <w:tcPr>
            <w:tcW w:w="1008" w:type="dxa"/>
            <w:tcBorders>
              <w:top w:val="nil"/>
              <w:left w:val="nil"/>
              <w:bottom w:val="single" w:sz="4" w:space="0" w:color="auto"/>
              <w:right w:val="single" w:sz="4" w:space="0" w:color="auto"/>
            </w:tcBorders>
            <w:shd w:val="clear" w:color="auto" w:fill="auto"/>
            <w:noWrap/>
            <w:vAlign w:val="center"/>
            <w:hideMark/>
          </w:tcPr>
          <w:p w14:paraId="6784EAC5"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1029</w:t>
            </w:r>
          </w:p>
        </w:tc>
        <w:tc>
          <w:tcPr>
            <w:tcW w:w="1008" w:type="dxa"/>
            <w:tcBorders>
              <w:top w:val="nil"/>
              <w:left w:val="nil"/>
              <w:bottom w:val="single" w:sz="4" w:space="0" w:color="auto"/>
              <w:right w:val="single" w:sz="4" w:space="0" w:color="auto"/>
            </w:tcBorders>
            <w:shd w:val="clear" w:color="auto" w:fill="auto"/>
            <w:noWrap/>
            <w:vAlign w:val="center"/>
            <w:hideMark/>
          </w:tcPr>
          <w:p w14:paraId="712F6A8B"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1731</w:t>
            </w:r>
          </w:p>
        </w:tc>
        <w:tc>
          <w:tcPr>
            <w:tcW w:w="1008" w:type="dxa"/>
            <w:tcBorders>
              <w:top w:val="nil"/>
              <w:left w:val="nil"/>
              <w:bottom w:val="single" w:sz="4" w:space="0" w:color="auto"/>
              <w:right w:val="single" w:sz="4" w:space="0" w:color="auto"/>
            </w:tcBorders>
            <w:shd w:val="clear" w:color="auto" w:fill="auto"/>
            <w:noWrap/>
            <w:vAlign w:val="center"/>
            <w:hideMark/>
          </w:tcPr>
          <w:p w14:paraId="431754AD"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799</w:t>
            </w:r>
          </w:p>
        </w:tc>
        <w:tc>
          <w:tcPr>
            <w:tcW w:w="1796" w:type="dxa"/>
            <w:tcBorders>
              <w:top w:val="nil"/>
              <w:left w:val="nil"/>
              <w:bottom w:val="single" w:sz="4" w:space="0" w:color="auto"/>
              <w:right w:val="single" w:sz="4" w:space="0" w:color="auto"/>
            </w:tcBorders>
            <w:shd w:val="clear" w:color="auto" w:fill="auto"/>
            <w:vAlign w:val="center"/>
            <w:hideMark/>
          </w:tcPr>
          <w:p w14:paraId="71184630"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-22,35%</w:t>
            </w:r>
          </w:p>
        </w:tc>
        <w:tc>
          <w:tcPr>
            <w:tcW w:w="1796" w:type="dxa"/>
            <w:tcBorders>
              <w:top w:val="nil"/>
              <w:left w:val="nil"/>
              <w:bottom w:val="single" w:sz="4" w:space="0" w:color="auto"/>
              <w:right w:val="single" w:sz="4" w:space="0" w:color="auto"/>
            </w:tcBorders>
            <w:shd w:val="clear" w:color="auto" w:fill="auto"/>
            <w:vAlign w:val="center"/>
            <w:hideMark/>
          </w:tcPr>
          <w:p w14:paraId="4B499B5E"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-53,84%</w:t>
            </w:r>
          </w:p>
        </w:tc>
      </w:tr>
      <w:tr w:rsidR="001237D2" w:rsidRPr="00746E61" w14:paraId="6B7EB9EF" w14:textId="77777777" w:rsidTr="001237D2">
        <w:trPr>
          <w:trHeight w:val="290"/>
          <w:jc w:val="center"/>
        </w:trPr>
        <w:tc>
          <w:tcPr>
            <w:tcW w:w="2985" w:type="dxa"/>
            <w:tcBorders>
              <w:top w:val="nil"/>
              <w:left w:val="single" w:sz="4" w:space="0" w:color="auto"/>
              <w:bottom w:val="single" w:sz="4" w:space="0" w:color="auto"/>
              <w:right w:val="single" w:sz="4" w:space="0" w:color="auto"/>
            </w:tcBorders>
            <w:shd w:val="clear" w:color="auto" w:fill="auto"/>
            <w:noWrap/>
            <w:vAlign w:val="center"/>
            <w:hideMark/>
          </w:tcPr>
          <w:p w14:paraId="0F33249E" w14:textId="77777777" w:rsidR="001237D2" w:rsidRPr="00746E61" w:rsidRDefault="001237D2"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Puriscal</w:t>
            </w:r>
          </w:p>
        </w:tc>
        <w:tc>
          <w:tcPr>
            <w:tcW w:w="1008" w:type="dxa"/>
            <w:tcBorders>
              <w:top w:val="nil"/>
              <w:left w:val="nil"/>
              <w:bottom w:val="single" w:sz="4" w:space="0" w:color="auto"/>
              <w:right w:val="single" w:sz="4" w:space="0" w:color="auto"/>
            </w:tcBorders>
            <w:shd w:val="clear" w:color="auto" w:fill="auto"/>
            <w:noWrap/>
            <w:vAlign w:val="center"/>
            <w:hideMark/>
          </w:tcPr>
          <w:p w14:paraId="38107207"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369</w:t>
            </w:r>
          </w:p>
        </w:tc>
        <w:tc>
          <w:tcPr>
            <w:tcW w:w="1008" w:type="dxa"/>
            <w:tcBorders>
              <w:top w:val="nil"/>
              <w:left w:val="nil"/>
              <w:bottom w:val="single" w:sz="4" w:space="0" w:color="auto"/>
              <w:right w:val="single" w:sz="4" w:space="0" w:color="auto"/>
            </w:tcBorders>
            <w:shd w:val="clear" w:color="auto" w:fill="auto"/>
            <w:noWrap/>
            <w:vAlign w:val="center"/>
            <w:hideMark/>
          </w:tcPr>
          <w:p w14:paraId="69F34BF6"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299</w:t>
            </w:r>
          </w:p>
        </w:tc>
        <w:tc>
          <w:tcPr>
            <w:tcW w:w="1008" w:type="dxa"/>
            <w:tcBorders>
              <w:top w:val="nil"/>
              <w:left w:val="nil"/>
              <w:bottom w:val="single" w:sz="4" w:space="0" w:color="auto"/>
              <w:right w:val="single" w:sz="4" w:space="0" w:color="auto"/>
            </w:tcBorders>
            <w:shd w:val="clear" w:color="auto" w:fill="auto"/>
            <w:noWrap/>
            <w:vAlign w:val="center"/>
            <w:hideMark/>
          </w:tcPr>
          <w:p w14:paraId="35B5F8E8"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261</w:t>
            </w:r>
          </w:p>
        </w:tc>
        <w:tc>
          <w:tcPr>
            <w:tcW w:w="1796" w:type="dxa"/>
            <w:tcBorders>
              <w:top w:val="nil"/>
              <w:left w:val="nil"/>
              <w:bottom w:val="single" w:sz="4" w:space="0" w:color="auto"/>
              <w:right w:val="single" w:sz="4" w:space="0" w:color="auto"/>
            </w:tcBorders>
            <w:shd w:val="clear" w:color="auto" w:fill="auto"/>
            <w:vAlign w:val="center"/>
            <w:hideMark/>
          </w:tcPr>
          <w:p w14:paraId="211A9C46"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-29,27%</w:t>
            </w:r>
          </w:p>
        </w:tc>
        <w:tc>
          <w:tcPr>
            <w:tcW w:w="1796" w:type="dxa"/>
            <w:tcBorders>
              <w:top w:val="nil"/>
              <w:left w:val="nil"/>
              <w:bottom w:val="single" w:sz="4" w:space="0" w:color="auto"/>
              <w:right w:val="single" w:sz="4" w:space="0" w:color="auto"/>
            </w:tcBorders>
            <w:shd w:val="clear" w:color="auto" w:fill="auto"/>
            <w:vAlign w:val="center"/>
            <w:hideMark/>
          </w:tcPr>
          <w:p w14:paraId="14E9E18E"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-12,71%</w:t>
            </w:r>
          </w:p>
        </w:tc>
      </w:tr>
      <w:tr w:rsidR="001237D2" w:rsidRPr="00746E61" w14:paraId="01B413F2" w14:textId="77777777" w:rsidTr="001237D2">
        <w:trPr>
          <w:trHeight w:val="290"/>
          <w:jc w:val="center"/>
        </w:trPr>
        <w:tc>
          <w:tcPr>
            <w:tcW w:w="2985" w:type="dxa"/>
            <w:tcBorders>
              <w:top w:val="nil"/>
              <w:left w:val="single" w:sz="4" w:space="0" w:color="auto"/>
              <w:bottom w:val="single" w:sz="4" w:space="0" w:color="auto"/>
              <w:right w:val="single" w:sz="4" w:space="0" w:color="auto"/>
            </w:tcBorders>
            <w:shd w:val="clear" w:color="auto" w:fill="auto"/>
            <w:noWrap/>
            <w:vAlign w:val="center"/>
            <w:hideMark/>
          </w:tcPr>
          <w:p w14:paraId="77AFEC40" w14:textId="77777777" w:rsidR="001237D2" w:rsidRPr="00746E61" w:rsidRDefault="001237D2"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 xml:space="preserve">Juzgado Penal de Desamparados </w:t>
            </w:r>
          </w:p>
        </w:tc>
        <w:tc>
          <w:tcPr>
            <w:tcW w:w="1008" w:type="dxa"/>
            <w:tcBorders>
              <w:top w:val="nil"/>
              <w:left w:val="nil"/>
              <w:bottom w:val="single" w:sz="4" w:space="0" w:color="auto"/>
              <w:right w:val="single" w:sz="4" w:space="0" w:color="auto"/>
            </w:tcBorders>
            <w:shd w:val="clear" w:color="auto" w:fill="auto"/>
            <w:noWrap/>
            <w:vAlign w:val="center"/>
            <w:hideMark/>
          </w:tcPr>
          <w:p w14:paraId="330738C7"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1556</w:t>
            </w:r>
          </w:p>
        </w:tc>
        <w:tc>
          <w:tcPr>
            <w:tcW w:w="1008" w:type="dxa"/>
            <w:tcBorders>
              <w:top w:val="nil"/>
              <w:left w:val="nil"/>
              <w:bottom w:val="single" w:sz="4" w:space="0" w:color="auto"/>
              <w:right w:val="single" w:sz="4" w:space="0" w:color="auto"/>
            </w:tcBorders>
            <w:shd w:val="clear" w:color="auto" w:fill="auto"/>
            <w:noWrap/>
            <w:vAlign w:val="center"/>
            <w:hideMark/>
          </w:tcPr>
          <w:p w14:paraId="371A08EE"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783</w:t>
            </w:r>
          </w:p>
        </w:tc>
        <w:tc>
          <w:tcPr>
            <w:tcW w:w="1008" w:type="dxa"/>
            <w:tcBorders>
              <w:top w:val="nil"/>
              <w:left w:val="nil"/>
              <w:bottom w:val="single" w:sz="4" w:space="0" w:color="auto"/>
              <w:right w:val="single" w:sz="4" w:space="0" w:color="auto"/>
            </w:tcBorders>
            <w:shd w:val="clear" w:color="auto" w:fill="auto"/>
            <w:noWrap/>
            <w:vAlign w:val="center"/>
            <w:hideMark/>
          </w:tcPr>
          <w:p w14:paraId="7CD555BE"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1059</w:t>
            </w:r>
          </w:p>
        </w:tc>
        <w:tc>
          <w:tcPr>
            <w:tcW w:w="1796" w:type="dxa"/>
            <w:tcBorders>
              <w:top w:val="nil"/>
              <w:left w:val="nil"/>
              <w:bottom w:val="single" w:sz="4" w:space="0" w:color="auto"/>
              <w:right w:val="single" w:sz="4" w:space="0" w:color="auto"/>
            </w:tcBorders>
            <w:shd w:val="clear" w:color="auto" w:fill="auto"/>
            <w:vAlign w:val="center"/>
            <w:hideMark/>
          </w:tcPr>
          <w:p w14:paraId="1F475E93"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-31,94%</w:t>
            </w:r>
          </w:p>
        </w:tc>
        <w:tc>
          <w:tcPr>
            <w:tcW w:w="1796" w:type="dxa"/>
            <w:tcBorders>
              <w:top w:val="nil"/>
              <w:left w:val="nil"/>
              <w:bottom w:val="single" w:sz="4" w:space="0" w:color="auto"/>
              <w:right w:val="single" w:sz="4" w:space="0" w:color="auto"/>
            </w:tcBorders>
            <w:shd w:val="clear" w:color="auto" w:fill="auto"/>
            <w:vAlign w:val="center"/>
            <w:hideMark/>
          </w:tcPr>
          <w:p w14:paraId="1003ED52"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35,25%</w:t>
            </w:r>
          </w:p>
        </w:tc>
      </w:tr>
      <w:tr w:rsidR="001237D2" w:rsidRPr="00746E61" w14:paraId="793509F6" w14:textId="77777777" w:rsidTr="001237D2">
        <w:trPr>
          <w:trHeight w:val="290"/>
          <w:jc w:val="center"/>
        </w:trPr>
        <w:tc>
          <w:tcPr>
            <w:tcW w:w="2985" w:type="dxa"/>
            <w:tcBorders>
              <w:top w:val="nil"/>
              <w:left w:val="single" w:sz="4" w:space="0" w:color="auto"/>
              <w:bottom w:val="single" w:sz="4" w:space="0" w:color="auto"/>
              <w:right w:val="single" w:sz="4" w:space="0" w:color="auto"/>
            </w:tcBorders>
            <w:shd w:val="clear" w:color="auto" w:fill="auto"/>
            <w:noWrap/>
            <w:vAlign w:val="center"/>
            <w:hideMark/>
          </w:tcPr>
          <w:p w14:paraId="746DE462" w14:textId="77777777" w:rsidR="001237D2" w:rsidRPr="00746E61" w:rsidRDefault="001237D2"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Puntarenas</w:t>
            </w:r>
          </w:p>
        </w:tc>
        <w:tc>
          <w:tcPr>
            <w:tcW w:w="1008" w:type="dxa"/>
            <w:tcBorders>
              <w:top w:val="nil"/>
              <w:left w:val="nil"/>
              <w:bottom w:val="single" w:sz="4" w:space="0" w:color="auto"/>
              <w:right w:val="single" w:sz="4" w:space="0" w:color="auto"/>
            </w:tcBorders>
            <w:shd w:val="clear" w:color="auto" w:fill="auto"/>
            <w:noWrap/>
            <w:vAlign w:val="center"/>
            <w:hideMark/>
          </w:tcPr>
          <w:p w14:paraId="36DF69A8"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277</w:t>
            </w:r>
          </w:p>
        </w:tc>
        <w:tc>
          <w:tcPr>
            <w:tcW w:w="1008" w:type="dxa"/>
            <w:tcBorders>
              <w:top w:val="nil"/>
              <w:left w:val="nil"/>
              <w:bottom w:val="single" w:sz="4" w:space="0" w:color="auto"/>
              <w:right w:val="single" w:sz="4" w:space="0" w:color="auto"/>
            </w:tcBorders>
            <w:shd w:val="clear" w:color="auto" w:fill="auto"/>
            <w:noWrap/>
            <w:vAlign w:val="center"/>
            <w:hideMark/>
          </w:tcPr>
          <w:p w14:paraId="33E52BB9"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272</w:t>
            </w:r>
          </w:p>
        </w:tc>
        <w:tc>
          <w:tcPr>
            <w:tcW w:w="1008" w:type="dxa"/>
            <w:tcBorders>
              <w:top w:val="nil"/>
              <w:left w:val="nil"/>
              <w:bottom w:val="single" w:sz="4" w:space="0" w:color="auto"/>
              <w:right w:val="single" w:sz="4" w:space="0" w:color="auto"/>
            </w:tcBorders>
            <w:shd w:val="clear" w:color="auto" w:fill="auto"/>
            <w:noWrap/>
            <w:vAlign w:val="center"/>
            <w:hideMark/>
          </w:tcPr>
          <w:p w14:paraId="79CB1BF0"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186</w:t>
            </w:r>
          </w:p>
        </w:tc>
        <w:tc>
          <w:tcPr>
            <w:tcW w:w="1796" w:type="dxa"/>
            <w:tcBorders>
              <w:top w:val="nil"/>
              <w:left w:val="nil"/>
              <w:bottom w:val="single" w:sz="4" w:space="0" w:color="auto"/>
              <w:right w:val="single" w:sz="4" w:space="0" w:color="auto"/>
            </w:tcBorders>
            <w:shd w:val="clear" w:color="auto" w:fill="auto"/>
            <w:vAlign w:val="center"/>
            <w:hideMark/>
          </w:tcPr>
          <w:p w14:paraId="7FFBCE2E"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-32,85%</w:t>
            </w:r>
          </w:p>
        </w:tc>
        <w:tc>
          <w:tcPr>
            <w:tcW w:w="1796" w:type="dxa"/>
            <w:tcBorders>
              <w:top w:val="nil"/>
              <w:left w:val="nil"/>
              <w:bottom w:val="single" w:sz="4" w:space="0" w:color="auto"/>
              <w:right w:val="single" w:sz="4" w:space="0" w:color="auto"/>
            </w:tcBorders>
            <w:shd w:val="clear" w:color="auto" w:fill="auto"/>
            <w:vAlign w:val="center"/>
            <w:hideMark/>
          </w:tcPr>
          <w:p w14:paraId="7A21AE9F"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-31,62%</w:t>
            </w:r>
          </w:p>
        </w:tc>
      </w:tr>
      <w:tr w:rsidR="001237D2" w:rsidRPr="00746E61" w14:paraId="6F28B92E" w14:textId="77777777" w:rsidTr="001237D2">
        <w:trPr>
          <w:trHeight w:val="290"/>
          <w:jc w:val="center"/>
        </w:trPr>
        <w:tc>
          <w:tcPr>
            <w:tcW w:w="2985" w:type="dxa"/>
            <w:tcBorders>
              <w:top w:val="nil"/>
              <w:left w:val="single" w:sz="4" w:space="0" w:color="auto"/>
              <w:bottom w:val="single" w:sz="4" w:space="0" w:color="auto"/>
              <w:right w:val="single" w:sz="4" w:space="0" w:color="auto"/>
            </w:tcBorders>
            <w:shd w:val="clear" w:color="auto" w:fill="auto"/>
            <w:noWrap/>
            <w:vAlign w:val="center"/>
            <w:hideMark/>
          </w:tcPr>
          <w:p w14:paraId="02CC1A7B" w14:textId="77777777" w:rsidR="001237D2" w:rsidRPr="00746E61" w:rsidRDefault="001237D2"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Limón</w:t>
            </w:r>
          </w:p>
        </w:tc>
        <w:tc>
          <w:tcPr>
            <w:tcW w:w="1008" w:type="dxa"/>
            <w:tcBorders>
              <w:top w:val="nil"/>
              <w:left w:val="nil"/>
              <w:bottom w:val="single" w:sz="4" w:space="0" w:color="auto"/>
              <w:right w:val="single" w:sz="4" w:space="0" w:color="auto"/>
            </w:tcBorders>
            <w:shd w:val="clear" w:color="auto" w:fill="auto"/>
            <w:noWrap/>
            <w:vAlign w:val="center"/>
            <w:hideMark/>
          </w:tcPr>
          <w:p w14:paraId="6B209AC0"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624</w:t>
            </w:r>
          </w:p>
        </w:tc>
        <w:tc>
          <w:tcPr>
            <w:tcW w:w="1008" w:type="dxa"/>
            <w:tcBorders>
              <w:top w:val="nil"/>
              <w:left w:val="nil"/>
              <w:bottom w:val="single" w:sz="4" w:space="0" w:color="auto"/>
              <w:right w:val="single" w:sz="4" w:space="0" w:color="auto"/>
            </w:tcBorders>
            <w:shd w:val="clear" w:color="auto" w:fill="auto"/>
            <w:noWrap/>
            <w:vAlign w:val="center"/>
            <w:hideMark/>
          </w:tcPr>
          <w:p w14:paraId="5CDDAF30"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776</w:t>
            </w:r>
          </w:p>
        </w:tc>
        <w:tc>
          <w:tcPr>
            <w:tcW w:w="1008" w:type="dxa"/>
            <w:tcBorders>
              <w:top w:val="nil"/>
              <w:left w:val="nil"/>
              <w:bottom w:val="single" w:sz="4" w:space="0" w:color="auto"/>
              <w:right w:val="single" w:sz="4" w:space="0" w:color="auto"/>
            </w:tcBorders>
            <w:shd w:val="clear" w:color="auto" w:fill="auto"/>
            <w:noWrap/>
            <w:vAlign w:val="center"/>
            <w:hideMark/>
          </w:tcPr>
          <w:p w14:paraId="3F96A386"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382</w:t>
            </w:r>
          </w:p>
        </w:tc>
        <w:tc>
          <w:tcPr>
            <w:tcW w:w="1796" w:type="dxa"/>
            <w:tcBorders>
              <w:top w:val="nil"/>
              <w:left w:val="nil"/>
              <w:bottom w:val="single" w:sz="4" w:space="0" w:color="auto"/>
              <w:right w:val="single" w:sz="4" w:space="0" w:color="auto"/>
            </w:tcBorders>
            <w:shd w:val="clear" w:color="auto" w:fill="auto"/>
            <w:vAlign w:val="center"/>
            <w:hideMark/>
          </w:tcPr>
          <w:p w14:paraId="110C126A"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-38,78%</w:t>
            </w:r>
          </w:p>
        </w:tc>
        <w:tc>
          <w:tcPr>
            <w:tcW w:w="1796" w:type="dxa"/>
            <w:tcBorders>
              <w:top w:val="nil"/>
              <w:left w:val="nil"/>
              <w:bottom w:val="single" w:sz="4" w:space="0" w:color="auto"/>
              <w:right w:val="single" w:sz="4" w:space="0" w:color="auto"/>
            </w:tcBorders>
            <w:shd w:val="clear" w:color="auto" w:fill="auto"/>
            <w:vAlign w:val="center"/>
            <w:hideMark/>
          </w:tcPr>
          <w:p w14:paraId="172B31F8"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-50,77%</w:t>
            </w:r>
          </w:p>
        </w:tc>
      </w:tr>
      <w:tr w:rsidR="001237D2" w:rsidRPr="00746E61" w14:paraId="25404B4D" w14:textId="77777777" w:rsidTr="001237D2">
        <w:trPr>
          <w:trHeight w:val="290"/>
          <w:jc w:val="center"/>
        </w:trPr>
        <w:tc>
          <w:tcPr>
            <w:tcW w:w="2985" w:type="dxa"/>
            <w:tcBorders>
              <w:top w:val="nil"/>
              <w:left w:val="single" w:sz="4" w:space="0" w:color="auto"/>
              <w:bottom w:val="single" w:sz="4" w:space="0" w:color="auto"/>
              <w:right w:val="single" w:sz="4" w:space="0" w:color="auto"/>
            </w:tcBorders>
            <w:shd w:val="clear" w:color="auto" w:fill="auto"/>
            <w:noWrap/>
            <w:vAlign w:val="center"/>
            <w:hideMark/>
          </w:tcPr>
          <w:p w14:paraId="0854FB7F" w14:textId="77777777" w:rsidR="001237D2" w:rsidRPr="00746E61" w:rsidRDefault="001237D2"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Buenos Aires</w:t>
            </w:r>
          </w:p>
        </w:tc>
        <w:tc>
          <w:tcPr>
            <w:tcW w:w="1008" w:type="dxa"/>
            <w:tcBorders>
              <w:top w:val="nil"/>
              <w:left w:val="nil"/>
              <w:bottom w:val="single" w:sz="4" w:space="0" w:color="auto"/>
              <w:right w:val="single" w:sz="4" w:space="0" w:color="auto"/>
            </w:tcBorders>
            <w:shd w:val="clear" w:color="auto" w:fill="auto"/>
            <w:noWrap/>
            <w:vAlign w:val="center"/>
            <w:hideMark/>
          </w:tcPr>
          <w:p w14:paraId="3F40EC43"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541</w:t>
            </w:r>
          </w:p>
        </w:tc>
        <w:tc>
          <w:tcPr>
            <w:tcW w:w="1008" w:type="dxa"/>
            <w:tcBorders>
              <w:top w:val="nil"/>
              <w:left w:val="nil"/>
              <w:bottom w:val="single" w:sz="4" w:space="0" w:color="auto"/>
              <w:right w:val="single" w:sz="4" w:space="0" w:color="auto"/>
            </w:tcBorders>
            <w:shd w:val="clear" w:color="auto" w:fill="auto"/>
            <w:noWrap/>
            <w:vAlign w:val="center"/>
            <w:hideMark/>
          </w:tcPr>
          <w:p w14:paraId="38B497DD"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125</w:t>
            </w:r>
          </w:p>
        </w:tc>
        <w:tc>
          <w:tcPr>
            <w:tcW w:w="1008" w:type="dxa"/>
            <w:tcBorders>
              <w:top w:val="nil"/>
              <w:left w:val="nil"/>
              <w:bottom w:val="single" w:sz="4" w:space="0" w:color="auto"/>
              <w:right w:val="single" w:sz="4" w:space="0" w:color="auto"/>
            </w:tcBorders>
            <w:shd w:val="clear" w:color="auto" w:fill="auto"/>
            <w:noWrap/>
            <w:vAlign w:val="center"/>
            <w:hideMark/>
          </w:tcPr>
          <w:p w14:paraId="0332C4BE"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229</w:t>
            </w:r>
          </w:p>
        </w:tc>
        <w:tc>
          <w:tcPr>
            <w:tcW w:w="1796" w:type="dxa"/>
            <w:tcBorders>
              <w:top w:val="nil"/>
              <w:left w:val="nil"/>
              <w:bottom w:val="single" w:sz="4" w:space="0" w:color="auto"/>
              <w:right w:val="single" w:sz="4" w:space="0" w:color="auto"/>
            </w:tcBorders>
            <w:shd w:val="clear" w:color="auto" w:fill="auto"/>
            <w:vAlign w:val="center"/>
            <w:hideMark/>
          </w:tcPr>
          <w:p w14:paraId="4DB25D20"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-57,67%</w:t>
            </w:r>
          </w:p>
        </w:tc>
        <w:tc>
          <w:tcPr>
            <w:tcW w:w="1796" w:type="dxa"/>
            <w:tcBorders>
              <w:top w:val="nil"/>
              <w:left w:val="nil"/>
              <w:bottom w:val="single" w:sz="4" w:space="0" w:color="auto"/>
              <w:right w:val="single" w:sz="4" w:space="0" w:color="auto"/>
            </w:tcBorders>
            <w:shd w:val="clear" w:color="auto" w:fill="auto"/>
            <w:vAlign w:val="center"/>
            <w:hideMark/>
          </w:tcPr>
          <w:p w14:paraId="4EAB85FE"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83,20%</w:t>
            </w:r>
          </w:p>
        </w:tc>
      </w:tr>
      <w:tr w:rsidR="001237D2" w:rsidRPr="00746E61" w14:paraId="432CE12D" w14:textId="77777777" w:rsidTr="001237D2">
        <w:trPr>
          <w:trHeight w:val="290"/>
          <w:jc w:val="center"/>
        </w:trPr>
        <w:tc>
          <w:tcPr>
            <w:tcW w:w="2985" w:type="dxa"/>
            <w:tcBorders>
              <w:top w:val="nil"/>
              <w:left w:val="single" w:sz="4" w:space="0" w:color="auto"/>
              <w:bottom w:val="single" w:sz="4" w:space="0" w:color="auto"/>
              <w:right w:val="single" w:sz="4" w:space="0" w:color="auto"/>
            </w:tcBorders>
            <w:shd w:val="clear" w:color="auto" w:fill="auto"/>
            <w:noWrap/>
            <w:vAlign w:val="center"/>
            <w:hideMark/>
          </w:tcPr>
          <w:p w14:paraId="2E957D46" w14:textId="77777777" w:rsidR="001237D2" w:rsidRPr="00746E61" w:rsidRDefault="001237D2"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Corredores</w:t>
            </w:r>
          </w:p>
        </w:tc>
        <w:tc>
          <w:tcPr>
            <w:tcW w:w="1008" w:type="dxa"/>
            <w:tcBorders>
              <w:top w:val="nil"/>
              <w:left w:val="nil"/>
              <w:bottom w:val="single" w:sz="4" w:space="0" w:color="auto"/>
              <w:right w:val="single" w:sz="4" w:space="0" w:color="auto"/>
            </w:tcBorders>
            <w:shd w:val="clear" w:color="auto" w:fill="auto"/>
            <w:noWrap/>
            <w:vAlign w:val="center"/>
            <w:hideMark/>
          </w:tcPr>
          <w:p w14:paraId="37F3B807"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157</w:t>
            </w:r>
          </w:p>
        </w:tc>
        <w:tc>
          <w:tcPr>
            <w:tcW w:w="1008" w:type="dxa"/>
            <w:tcBorders>
              <w:top w:val="nil"/>
              <w:left w:val="nil"/>
              <w:bottom w:val="single" w:sz="4" w:space="0" w:color="auto"/>
              <w:right w:val="single" w:sz="4" w:space="0" w:color="auto"/>
            </w:tcBorders>
            <w:shd w:val="clear" w:color="auto" w:fill="auto"/>
            <w:noWrap/>
            <w:vAlign w:val="center"/>
            <w:hideMark/>
          </w:tcPr>
          <w:p w14:paraId="1BE7B6F7"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102</w:t>
            </w:r>
          </w:p>
        </w:tc>
        <w:tc>
          <w:tcPr>
            <w:tcW w:w="1008" w:type="dxa"/>
            <w:tcBorders>
              <w:top w:val="nil"/>
              <w:left w:val="nil"/>
              <w:bottom w:val="single" w:sz="4" w:space="0" w:color="auto"/>
              <w:right w:val="single" w:sz="4" w:space="0" w:color="auto"/>
            </w:tcBorders>
            <w:shd w:val="clear" w:color="auto" w:fill="auto"/>
            <w:noWrap/>
            <w:vAlign w:val="center"/>
            <w:hideMark/>
          </w:tcPr>
          <w:p w14:paraId="2362F414"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63</w:t>
            </w:r>
          </w:p>
        </w:tc>
        <w:tc>
          <w:tcPr>
            <w:tcW w:w="1796" w:type="dxa"/>
            <w:tcBorders>
              <w:top w:val="nil"/>
              <w:left w:val="nil"/>
              <w:bottom w:val="single" w:sz="4" w:space="0" w:color="auto"/>
              <w:right w:val="single" w:sz="4" w:space="0" w:color="auto"/>
            </w:tcBorders>
            <w:shd w:val="clear" w:color="auto" w:fill="auto"/>
            <w:vAlign w:val="center"/>
            <w:hideMark/>
          </w:tcPr>
          <w:p w14:paraId="263A6EA5"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-59,87%</w:t>
            </w:r>
          </w:p>
        </w:tc>
        <w:tc>
          <w:tcPr>
            <w:tcW w:w="1796" w:type="dxa"/>
            <w:tcBorders>
              <w:top w:val="nil"/>
              <w:left w:val="nil"/>
              <w:bottom w:val="single" w:sz="4" w:space="0" w:color="auto"/>
              <w:right w:val="single" w:sz="4" w:space="0" w:color="auto"/>
            </w:tcBorders>
            <w:shd w:val="clear" w:color="auto" w:fill="auto"/>
            <w:vAlign w:val="center"/>
            <w:hideMark/>
          </w:tcPr>
          <w:p w14:paraId="2AB37F71"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-38,24%</w:t>
            </w:r>
          </w:p>
        </w:tc>
      </w:tr>
      <w:tr w:rsidR="001237D2" w:rsidRPr="00746E61" w14:paraId="41A94B1B" w14:textId="77777777" w:rsidTr="001237D2">
        <w:trPr>
          <w:trHeight w:val="290"/>
          <w:jc w:val="center"/>
        </w:trPr>
        <w:tc>
          <w:tcPr>
            <w:tcW w:w="2985" w:type="dxa"/>
            <w:tcBorders>
              <w:top w:val="nil"/>
              <w:left w:val="single" w:sz="4" w:space="0" w:color="auto"/>
              <w:bottom w:val="single" w:sz="4" w:space="0" w:color="auto"/>
              <w:right w:val="single" w:sz="4" w:space="0" w:color="auto"/>
            </w:tcBorders>
            <w:shd w:val="clear" w:color="auto" w:fill="auto"/>
            <w:noWrap/>
            <w:vAlign w:val="center"/>
            <w:hideMark/>
          </w:tcPr>
          <w:p w14:paraId="2BC74DFF" w14:textId="77777777" w:rsidR="001237D2" w:rsidRPr="00746E61" w:rsidRDefault="001237D2"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Talamanca</w:t>
            </w:r>
          </w:p>
        </w:tc>
        <w:tc>
          <w:tcPr>
            <w:tcW w:w="1008" w:type="dxa"/>
            <w:tcBorders>
              <w:top w:val="nil"/>
              <w:left w:val="nil"/>
              <w:bottom w:val="single" w:sz="4" w:space="0" w:color="auto"/>
              <w:right w:val="single" w:sz="4" w:space="0" w:color="auto"/>
            </w:tcBorders>
            <w:shd w:val="clear" w:color="auto" w:fill="auto"/>
            <w:noWrap/>
            <w:vAlign w:val="center"/>
            <w:hideMark/>
          </w:tcPr>
          <w:p w14:paraId="1807F087"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303</w:t>
            </w:r>
          </w:p>
        </w:tc>
        <w:tc>
          <w:tcPr>
            <w:tcW w:w="1008" w:type="dxa"/>
            <w:tcBorders>
              <w:top w:val="nil"/>
              <w:left w:val="nil"/>
              <w:bottom w:val="single" w:sz="4" w:space="0" w:color="auto"/>
              <w:right w:val="single" w:sz="4" w:space="0" w:color="auto"/>
            </w:tcBorders>
            <w:shd w:val="clear" w:color="auto" w:fill="auto"/>
            <w:noWrap/>
            <w:vAlign w:val="center"/>
            <w:hideMark/>
          </w:tcPr>
          <w:p w14:paraId="03A32A10"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187</w:t>
            </w:r>
          </w:p>
        </w:tc>
        <w:tc>
          <w:tcPr>
            <w:tcW w:w="1008" w:type="dxa"/>
            <w:tcBorders>
              <w:top w:val="nil"/>
              <w:left w:val="nil"/>
              <w:bottom w:val="single" w:sz="4" w:space="0" w:color="auto"/>
              <w:right w:val="single" w:sz="4" w:space="0" w:color="auto"/>
            </w:tcBorders>
            <w:shd w:val="clear" w:color="auto" w:fill="auto"/>
            <w:noWrap/>
            <w:vAlign w:val="center"/>
            <w:hideMark/>
          </w:tcPr>
          <w:p w14:paraId="25915213"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118</w:t>
            </w:r>
          </w:p>
        </w:tc>
        <w:tc>
          <w:tcPr>
            <w:tcW w:w="1796" w:type="dxa"/>
            <w:tcBorders>
              <w:top w:val="nil"/>
              <w:left w:val="nil"/>
              <w:bottom w:val="single" w:sz="4" w:space="0" w:color="auto"/>
              <w:right w:val="single" w:sz="4" w:space="0" w:color="auto"/>
            </w:tcBorders>
            <w:shd w:val="clear" w:color="auto" w:fill="auto"/>
            <w:vAlign w:val="center"/>
            <w:hideMark/>
          </w:tcPr>
          <w:p w14:paraId="53066776"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-61,06%</w:t>
            </w:r>
          </w:p>
        </w:tc>
        <w:tc>
          <w:tcPr>
            <w:tcW w:w="1796" w:type="dxa"/>
            <w:tcBorders>
              <w:top w:val="nil"/>
              <w:left w:val="nil"/>
              <w:bottom w:val="single" w:sz="4" w:space="0" w:color="auto"/>
              <w:right w:val="single" w:sz="4" w:space="0" w:color="auto"/>
            </w:tcBorders>
            <w:shd w:val="clear" w:color="auto" w:fill="auto"/>
            <w:vAlign w:val="center"/>
            <w:hideMark/>
          </w:tcPr>
          <w:p w14:paraId="37BBFB6D"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-36,90%</w:t>
            </w:r>
          </w:p>
        </w:tc>
      </w:tr>
      <w:tr w:rsidR="001237D2" w:rsidRPr="00746E61" w14:paraId="09C5D6D8" w14:textId="77777777" w:rsidTr="001237D2">
        <w:trPr>
          <w:trHeight w:val="290"/>
          <w:jc w:val="center"/>
        </w:trPr>
        <w:tc>
          <w:tcPr>
            <w:tcW w:w="2985" w:type="dxa"/>
            <w:tcBorders>
              <w:top w:val="nil"/>
              <w:left w:val="single" w:sz="4" w:space="0" w:color="auto"/>
              <w:bottom w:val="single" w:sz="4" w:space="0" w:color="auto"/>
              <w:right w:val="single" w:sz="4" w:space="0" w:color="auto"/>
            </w:tcBorders>
            <w:shd w:val="clear" w:color="auto" w:fill="auto"/>
            <w:noWrap/>
            <w:vAlign w:val="center"/>
            <w:hideMark/>
          </w:tcPr>
          <w:p w14:paraId="16B321BA" w14:textId="77777777" w:rsidR="001237D2" w:rsidRPr="00746E61" w:rsidRDefault="001237D2"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Pérez Zeledón</w:t>
            </w:r>
          </w:p>
        </w:tc>
        <w:tc>
          <w:tcPr>
            <w:tcW w:w="1008" w:type="dxa"/>
            <w:tcBorders>
              <w:top w:val="nil"/>
              <w:left w:val="nil"/>
              <w:bottom w:val="single" w:sz="4" w:space="0" w:color="auto"/>
              <w:right w:val="single" w:sz="4" w:space="0" w:color="auto"/>
            </w:tcBorders>
            <w:shd w:val="clear" w:color="auto" w:fill="auto"/>
            <w:noWrap/>
            <w:vAlign w:val="center"/>
            <w:hideMark/>
          </w:tcPr>
          <w:p w14:paraId="7121AB04"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280</w:t>
            </w:r>
          </w:p>
        </w:tc>
        <w:tc>
          <w:tcPr>
            <w:tcW w:w="1008" w:type="dxa"/>
            <w:tcBorders>
              <w:top w:val="nil"/>
              <w:left w:val="nil"/>
              <w:bottom w:val="single" w:sz="4" w:space="0" w:color="auto"/>
              <w:right w:val="single" w:sz="4" w:space="0" w:color="auto"/>
            </w:tcBorders>
            <w:shd w:val="clear" w:color="auto" w:fill="auto"/>
            <w:noWrap/>
            <w:vAlign w:val="center"/>
            <w:hideMark/>
          </w:tcPr>
          <w:p w14:paraId="33AABF7A"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240</w:t>
            </w:r>
          </w:p>
        </w:tc>
        <w:tc>
          <w:tcPr>
            <w:tcW w:w="1008" w:type="dxa"/>
            <w:tcBorders>
              <w:top w:val="nil"/>
              <w:left w:val="nil"/>
              <w:bottom w:val="single" w:sz="4" w:space="0" w:color="auto"/>
              <w:right w:val="single" w:sz="4" w:space="0" w:color="auto"/>
            </w:tcBorders>
            <w:shd w:val="clear" w:color="auto" w:fill="auto"/>
            <w:noWrap/>
            <w:vAlign w:val="center"/>
            <w:hideMark/>
          </w:tcPr>
          <w:p w14:paraId="38806B16"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107</w:t>
            </w:r>
          </w:p>
        </w:tc>
        <w:tc>
          <w:tcPr>
            <w:tcW w:w="1796" w:type="dxa"/>
            <w:tcBorders>
              <w:top w:val="nil"/>
              <w:left w:val="nil"/>
              <w:bottom w:val="single" w:sz="4" w:space="0" w:color="auto"/>
              <w:right w:val="single" w:sz="4" w:space="0" w:color="auto"/>
            </w:tcBorders>
            <w:shd w:val="clear" w:color="auto" w:fill="auto"/>
            <w:vAlign w:val="center"/>
            <w:hideMark/>
          </w:tcPr>
          <w:p w14:paraId="3198F493"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-61,79%</w:t>
            </w:r>
          </w:p>
        </w:tc>
        <w:tc>
          <w:tcPr>
            <w:tcW w:w="1796" w:type="dxa"/>
            <w:tcBorders>
              <w:top w:val="nil"/>
              <w:left w:val="nil"/>
              <w:bottom w:val="single" w:sz="4" w:space="0" w:color="auto"/>
              <w:right w:val="single" w:sz="4" w:space="0" w:color="auto"/>
            </w:tcBorders>
            <w:shd w:val="clear" w:color="auto" w:fill="auto"/>
            <w:vAlign w:val="center"/>
            <w:hideMark/>
          </w:tcPr>
          <w:p w14:paraId="53EB6D1D"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-55,42%</w:t>
            </w:r>
          </w:p>
        </w:tc>
      </w:tr>
      <w:tr w:rsidR="001237D2" w:rsidRPr="00746E61" w14:paraId="1D4AD585" w14:textId="77777777" w:rsidTr="001237D2">
        <w:trPr>
          <w:trHeight w:val="290"/>
          <w:jc w:val="center"/>
        </w:trPr>
        <w:tc>
          <w:tcPr>
            <w:tcW w:w="2985" w:type="dxa"/>
            <w:tcBorders>
              <w:top w:val="nil"/>
              <w:left w:val="single" w:sz="4" w:space="0" w:color="auto"/>
              <w:bottom w:val="single" w:sz="4" w:space="0" w:color="auto"/>
              <w:right w:val="single" w:sz="4" w:space="0" w:color="auto"/>
            </w:tcBorders>
            <w:shd w:val="clear" w:color="auto" w:fill="auto"/>
            <w:noWrap/>
            <w:vAlign w:val="center"/>
            <w:hideMark/>
          </w:tcPr>
          <w:p w14:paraId="05CFBFC4" w14:textId="77777777" w:rsidR="001237D2" w:rsidRPr="00746E61" w:rsidRDefault="001237D2"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La Fortuna</w:t>
            </w:r>
          </w:p>
        </w:tc>
        <w:tc>
          <w:tcPr>
            <w:tcW w:w="1008" w:type="dxa"/>
            <w:tcBorders>
              <w:top w:val="nil"/>
              <w:left w:val="nil"/>
              <w:bottom w:val="single" w:sz="4" w:space="0" w:color="auto"/>
              <w:right w:val="single" w:sz="4" w:space="0" w:color="auto"/>
            </w:tcBorders>
            <w:shd w:val="clear" w:color="auto" w:fill="auto"/>
            <w:noWrap/>
            <w:vAlign w:val="center"/>
            <w:hideMark/>
          </w:tcPr>
          <w:p w14:paraId="0DFC6486"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176</w:t>
            </w:r>
          </w:p>
        </w:tc>
        <w:tc>
          <w:tcPr>
            <w:tcW w:w="1008" w:type="dxa"/>
            <w:tcBorders>
              <w:top w:val="nil"/>
              <w:left w:val="nil"/>
              <w:bottom w:val="single" w:sz="4" w:space="0" w:color="auto"/>
              <w:right w:val="single" w:sz="4" w:space="0" w:color="auto"/>
            </w:tcBorders>
            <w:shd w:val="clear" w:color="auto" w:fill="auto"/>
            <w:noWrap/>
            <w:vAlign w:val="center"/>
            <w:hideMark/>
          </w:tcPr>
          <w:p w14:paraId="26A92380"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236</w:t>
            </w:r>
          </w:p>
        </w:tc>
        <w:tc>
          <w:tcPr>
            <w:tcW w:w="1008" w:type="dxa"/>
            <w:tcBorders>
              <w:top w:val="nil"/>
              <w:left w:val="nil"/>
              <w:bottom w:val="single" w:sz="4" w:space="0" w:color="auto"/>
              <w:right w:val="single" w:sz="4" w:space="0" w:color="auto"/>
            </w:tcBorders>
            <w:shd w:val="clear" w:color="auto" w:fill="auto"/>
            <w:noWrap/>
            <w:vAlign w:val="center"/>
            <w:hideMark/>
          </w:tcPr>
          <w:p w14:paraId="41C3AF88"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67</w:t>
            </w:r>
          </w:p>
        </w:tc>
        <w:tc>
          <w:tcPr>
            <w:tcW w:w="1796" w:type="dxa"/>
            <w:tcBorders>
              <w:top w:val="nil"/>
              <w:left w:val="nil"/>
              <w:bottom w:val="single" w:sz="4" w:space="0" w:color="auto"/>
              <w:right w:val="single" w:sz="4" w:space="0" w:color="auto"/>
            </w:tcBorders>
            <w:shd w:val="clear" w:color="auto" w:fill="auto"/>
            <w:vAlign w:val="center"/>
            <w:hideMark/>
          </w:tcPr>
          <w:p w14:paraId="0B31B992"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-61,93%</w:t>
            </w:r>
          </w:p>
        </w:tc>
        <w:tc>
          <w:tcPr>
            <w:tcW w:w="1796" w:type="dxa"/>
            <w:tcBorders>
              <w:top w:val="nil"/>
              <w:left w:val="nil"/>
              <w:bottom w:val="single" w:sz="4" w:space="0" w:color="auto"/>
              <w:right w:val="single" w:sz="4" w:space="0" w:color="auto"/>
            </w:tcBorders>
            <w:shd w:val="clear" w:color="auto" w:fill="auto"/>
            <w:vAlign w:val="center"/>
            <w:hideMark/>
          </w:tcPr>
          <w:p w14:paraId="0DA8BC42"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-71,61%</w:t>
            </w:r>
          </w:p>
        </w:tc>
      </w:tr>
      <w:tr w:rsidR="001237D2" w:rsidRPr="00746E61" w14:paraId="16C108AC" w14:textId="77777777" w:rsidTr="001237D2">
        <w:trPr>
          <w:trHeight w:val="290"/>
          <w:jc w:val="center"/>
        </w:trPr>
        <w:tc>
          <w:tcPr>
            <w:tcW w:w="2985" w:type="dxa"/>
            <w:tcBorders>
              <w:top w:val="nil"/>
              <w:left w:val="single" w:sz="4" w:space="0" w:color="auto"/>
              <w:bottom w:val="single" w:sz="4" w:space="0" w:color="auto"/>
              <w:right w:val="single" w:sz="4" w:space="0" w:color="auto"/>
            </w:tcBorders>
            <w:shd w:val="clear" w:color="auto" w:fill="auto"/>
            <w:noWrap/>
            <w:vAlign w:val="center"/>
            <w:hideMark/>
          </w:tcPr>
          <w:p w14:paraId="5AEE02DE" w14:textId="77777777" w:rsidR="001237D2" w:rsidRPr="00746E61" w:rsidRDefault="001237D2"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Golfito</w:t>
            </w:r>
          </w:p>
        </w:tc>
        <w:tc>
          <w:tcPr>
            <w:tcW w:w="1008" w:type="dxa"/>
            <w:tcBorders>
              <w:top w:val="nil"/>
              <w:left w:val="nil"/>
              <w:bottom w:val="single" w:sz="4" w:space="0" w:color="auto"/>
              <w:right w:val="single" w:sz="4" w:space="0" w:color="auto"/>
            </w:tcBorders>
            <w:shd w:val="clear" w:color="auto" w:fill="auto"/>
            <w:noWrap/>
            <w:vAlign w:val="center"/>
            <w:hideMark/>
          </w:tcPr>
          <w:p w14:paraId="77F0D749"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399</w:t>
            </w:r>
          </w:p>
        </w:tc>
        <w:tc>
          <w:tcPr>
            <w:tcW w:w="1008" w:type="dxa"/>
            <w:tcBorders>
              <w:top w:val="nil"/>
              <w:left w:val="nil"/>
              <w:bottom w:val="single" w:sz="4" w:space="0" w:color="auto"/>
              <w:right w:val="single" w:sz="4" w:space="0" w:color="auto"/>
            </w:tcBorders>
            <w:shd w:val="clear" w:color="auto" w:fill="auto"/>
            <w:noWrap/>
            <w:vAlign w:val="center"/>
            <w:hideMark/>
          </w:tcPr>
          <w:p w14:paraId="6D800726"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237</w:t>
            </w:r>
          </w:p>
        </w:tc>
        <w:tc>
          <w:tcPr>
            <w:tcW w:w="1008" w:type="dxa"/>
            <w:tcBorders>
              <w:top w:val="nil"/>
              <w:left w:val="nil"/>
              <w:bottom w:val="single" w:sz="4" w:space="0" w:color="auto"/>
              <w:right w:val="single" w:sz="4" w:space="0" w:color="auto"/>
            </w:tcBorders>
            <w:shd w:val="clear" w:color="auto" w:fill="auto"/>
            <w:noWrap/>
            <w:vAlign w:val="center"/>
            <w:hideMark/>
          </w:tcPr>
          <w:p w14:paraId="639F31EA"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150</w:t>
            </w:r>
          </w:p>
        </w:tc>
        <w:tc>
          <w:tcPr>
            <w:tcW w:w="1796" w:type="dxa"/>
            <w:tcBorders>
              <w:top w:val="nil"/>
              <w:left w:val="nil"/>
              <w:bottom w:val="single" w:sz="4" w:space="0" w:color="auto"/>
              <w:right w:val="single" w:sz="4" w:space="0" w:color="auto"/>
            </w:tcBorders>
            <w:shd w:val="clear" w:color="auto" w:fill="auto"/>
            <w:vAlign w:val="center"/>
            <w:hideMark/>
          </w:tcPr>
          <w:p w14:paraId="6D4ADA9C"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-62,41%</w:t>
            </w:r>
          </w:p>
        </w:tc>
        <w:tc>
          <w:tcPr>
            <w:tcW w:w="1796" w:type="dxa"/>
            <w:tcBorders>
              <w:top w:val="nil"/>
              <w:left w:val="nil"/>
              <w:bottom w:val="single" w:sz="4" w:space="0" w:color="auto"/>
              <w:right w:val="single" w:sz="4" w:space="0" w:color="auto"/>
            </w:tcBorders>
            <w:shd w:val="clear" w:color="auto" w:fill="auto"/>
            <w:vAlign w:val="center"/>
            <w:hideMark/>
          </w:tcPr>
          <w:p w14:paraId="6BB1957F"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-36,71%</w:t>
            </w:r>
          </w:p>
        </w:tc>
      </w:tr>
      <w:tr w:rsidR="001237D2" w:rsidRPr="00746E61" w14:paraId="126CA83A" w14:textId="77777777" w:rsidTr="001237D2">
        <w:trPr>
          <w:trHeight w:val="290"/>
          <w:jc w:val="center"/>
        </w:trPr>
        <w:tc>
          <w:tcPr>
            <w:tcW w:w="2985" w:type="dxa"/>
            <w:tcBorders>
              <w:top w:val="nil"/>
              <w:left w:val="single" w:sz="4" w:space="0" w:color="auto"/>
              <w:bottom w:val="single" w:sz="4" w:space="0" w:color="auto"/>
              <w:right w:val="single" w:sz="4" w:space="0" w:color="auto"/>
            </w:tcBorders>
            <w:shd w:val="clear" w:color="auto" w:fill="auto"/>
            <w:noWrap/>
            <w:vAlign w:val="center"/>
            <w:hideMark/>
          </w:tcPr>
          <w:p w14:paraId="067678BE" w14:textId="77777777" w:rsidR="001237D2" w:rsidRPr="00746E61" w:rsidRDefault="001237D2"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Garabito</w:t>
            </w:r>
          </w:p>
        </w:tc>
        <w:tc>
          <w:tcPr>
            <w:tcW w:w="1008" w:type="dxa"/>
            <w:tcBorders>
              <w:top w:val="nil"/>
              <w:left w:val="nil"/>
              <w:bottom w:val="single" w:sz="4" w:space="0" w:color="auto"/>
              <w:right w:val="single" w:sz="4" w:space="0" w:color="auto"/>
            </w:tcBorders>
            <w:shd w:val="clear" w:color="auto" w:fill="auto"/>
            <w:noWrap/>
            <w:vAlign w:val="center"/>
            <w:hideMark/>
          </w:tcPr>
          <w:p w14:paraId="0A02C4BA"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1143</w:t>
            </w:r>
          </w:p>
        </w:tc>
        <w:tc>
          <w:tcPr>
            <w:tcW w:w="1008" w:type="dxa"/>
            <w:tcBorders>
              <w:top w:val="nil"/>
              <w:left w:val="nil"/>
              <w:bottom w:val="single" w:sz="4" w:space="0" w:color="auto"/>
              <w:right w:val="single" w:sz="4" w:space="0" w:color="auto"/>
            </w:tcBorders>
            <w:shd w:val="clear" w:color="auto" w:fill="auto"/>
            <w:noWrap/>
            <w:vAlign w:val="center"/>
            <w:hideMark/>
          </w:tcPr>
          <w:p w14:paraId="2741D3C9"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247</w:t>
            </w:r>
          </w:p>
        </w:tc>
        <w:tc>
          <w:tcPr>
            <w:tcW w:w="1008" w:type="dxa"/>
            <w:tcBorders>
              <w:top w:val="nil"/>
              <w:left w:val="nil"/>
              <w:bottom w:val="single" w:sz="4" w:space="0" w:color="auto"/>
              <w:right w:val="single" w:sz="4" w:space="0" w:color="auto"/>
            </w:tcBorders>
            <w:shd w:val="clear" w:color="auto" w:fill="auto"/>
            <w:noWrap/>
            <w:vAlign w:val="center"/>
            <w:hideMark/>
          </w:tcPr>
          <w:p w14:paraId="2366930C"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159</w:t>
            </w:r>
          </w:p>
        </w:tc>
        <w:tc>
          <w:tcPr>
            <w:tcW w:w="1796" w:type="dxa"/>
            <w:tcBorders>
              <w:top w:val="nil"/>
              <w:left w:val="nil"/>
              <w:bottom w:val="single" w:sz="4" w:space="0" w:color="auto"/>
              <w:right w:val="single" w:sz="4" w:space="0" w:color="auto"/>
            </w:tcBorders>
            <w:shd w:val="clear" w:color="auto" w:fill="auto"/>
            <w:vAlign w:val="center"/>
            <w:hideMark/>
          </w:tcPr>
          <w:p w14:paraId="312402B6"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-86,09%</w:t>
            </w:r>
          </w:p>
        </w:tc>
        <w:tc>
          <w:tcPr>
            <w:tcW w:w="1796" w:type="dxa"/>
            <w:tcBorders>
              <w:top w:val="nil"/>
              <w:left w:val="nil"/>
              <w:bottom w:val="single" w:sz="4" w:space="0" w:color="auto"/>
              <w:right w:val="single" w:sz="4" w:space="0" w:color="auto"/>
            </w:tcBorders>
            <w:shd w:val="clear" w:color="auto" w:fill="auto"/>
            <w:vAlign w:val="center"/>
            <w:hideMark/>
          </w:tcPr>
          <w:p w14:paraId="4D88C14E"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-35,63%</w:t>
            </w:r>
          </w:p>
        </w:tc>
      </w:tr>
      <w:tr w:rsidR="001237D2" w:rsidRPr="00746E61" w14:paraId="516FF342" w14:textId="77777777" w:rsidTr="001237D2">
        <w:trPr>
          <w:trHeight w:val="290"/>
          <w:jc w:val="center"/>
        </w:trPr>
        <w:tc>
          <w:tcPr>
            <w:tcW w:w="2985" w:type="dxa"/>
            <w:tcBorders>
              <w:top w:val="nil"/>
              <w:left w:val="single" w:sz="4" w:space="0" w:color="auto"/>
              <w:bottom w:val="single" w:sz="4" w:space="0" w:color="auto"/>
              <w:right w:val="single" w:sz="4" w:space="0" w:color="auto"/>
            </w:tcBorders>
            <w:shd w:val="clear" w:color="auto" w:fill="auto"/>
            <w:noWrap/>
            <w:vAlign w:val="center"/>
            <w:hideMark/>
          </w:tcPr>
          <w:p w14:paraId="6D7E7935" w14:textId="77777777" w:rsidR="001237D2" w:rsidRPr="00746E61" w:rsidRDefault="001237D2"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Siquirres</w:t>
            </w:r>
          </w:p>
        </w:tc>
        <w:tc>
          <w:tcPr>
            <w:tcW w:w="1008" w:type="dxa"/>
            <w:tcBorders>
              <w:top w:val="nil"/>
              <w:left w:val="nil"/>
              <w:bottom w:val="single" w:sz="4" w:space="0" w:color="auto"/>
              <w:right w:val="single" w:sz="4" w:space="0" w:color="auto"/>
            </w:tcBorders>
            <w:shd w:val="clear" w:color="auto" w:fill="auto"/>
            <w:noWrap/>
            <w:vAlign w:val="center"/>
            <w:hideMark/>
          </w:tcPr>
          <w:p w14:paraId="27FCD2AD"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587</w:t>
            </w:r>
          </w:p>
        </w:tc>
        <w:tc>
          <w:tcPr>
            <w:tcW w:w="1008" w:type="dxa"/>
            <w:tcBorders>
              <w:top w:val="nil"/>
              <w:left w:val="nil"/>
              <w:bottom w:val="single" w:sz="4" w:space="0" w:color="auto"/>
              <w:right w:val="single" w:sz="4" w:space="0" w:color="auto"/>
            </w:tcBorders>
            <w:shd w:val="clear" w:color="auto" w:fill="auto"/>
            <w:noWrap/>
            <w:vAlign w:val="center"/>
            <w:hideMark/>
          </w:tcPr>
          <w:p w14:paraId="292B0A65"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230</w:t>
            </w:r>
          </w:p>
        </w:tc>
        <w:tc>
          <w:tcPr>
            <w:tcW w:w="1008" w:type="dxa"/>
            <w:tcBorders>
              <w:top w:val="nil"/>
              <w:left w:val="nil"/>
              <w:bottom w:val="single" w:sz="4" w:space="0" w:color="auto"/>
              <w:right w:val="single" w:sz="4" w:space="0" w:color="auto"/>
            </w:tcBorders>
            <w:shd w:val="clear" w:color="auto" w:fill="auto"/>
            <w:noWrap/>
            <w:vAlign w:val="center"/>
            <w:hideMark/>
          </w:tcPr>
          <w:p w14:paraId="733A8C78"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74</w:t>
            </w:r>
          </w:p>
        </w:tc>
        <w:tc>
          <w:tcPr>
            <w:tcW w:w="1796" w:type="dxa"/>
            <w:tcBorders>
              <w:top w:val="nil"/>
              <w:left w:val="nil"/>
              <w:bottom w:val="single" w:sz="4" w:space="0" w:color="auto"/>
              <w:right w:val="single" w:sz="4" w:space="0" w:color="auto"/>
            </w:tcBorders>
            <w:shd w:val="clear" w:color="auto" w:fill="auto"/>
            <w:vAlign w:val="center"/>
            <w:hideMark/>
          </w:tcPr>
          <w:p w14:paraId="282BD83F"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-87,39%</w:t>
            </w:r>
          </w:p>
        </w:tc>
        <w:tc>
          <w:tcPr>
            <w:tcW w:w="1796" w:type="dxa"/>
            <w:tcBorders>
              <w:top w:val="nil"/>
              <w:left w:val="nil"/>
              <w:bottom w:val="single" w:sz="4" w:space="0" w:color="auto"/>
              <w:right w:val="single" w:sz="4" w:space="0" w:color="auto"/>
            </w:tcBorders>
            <w:shd w:val="clear" w:color="auto" w:fill="auto"/>
            <w:vAlign w:val="center"/>
            <w:hideMark/>
          </w:tcPr>
          <w:p w14:paraId="3513BE15"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-67,83%</w:t>
            </w:r>
          </w:p>
        </w:tc>
      </w:tr>
      <w:tr w:rsidR="001237D2" w:rsidRPr="00746E61" w14:paraId="4DEF8416" w14:textId="77777777" w:rsidTr="001237D2">
        <w:trPr>
          <w:trHeight w:val="290"/>
          <w:jc w:val="center"/>
        </w:trPr>
        <w:tc>
          <w:tcPr>
            <w:tcW w:w="298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ED41DB1" w14:textId="77777777" w:rsidR="001237D2" w:rsidRPr="00746E61" w:rsidRDefault="001237D2"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Penal de Batán</w:t>
            </w:r>
          </w:p>
        </w:tc>
        <w:tc>
          <w:tcPr>
            <w:tcW w:w="1008" w:type="dxa"/>
            <w:tcBorders>
              <w:top w:val="nil"/>
              <w:left w:val="nil"/>
              <w:bottom w:val="single" w:sz="4" w:space="0" w:color="auto"/>
              <w:right w:val="single" w:sz="4" w:space="0" w:color="auto"/>
            </w:tcBorders>
            <w:shd w:val="clear" w:color="auto" w:fill="F2F2F2" w:themeFill="background1" w:themeFillShade="F2"/>
            <w:noWrap/>
            <w:vAlign w:val="center"/>
            <w:hideMark/>
          </w:tcPr>
          <w:p w14:paraId="3A83ECA9"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334</w:t>
            </w:r>
          </w:p>
        </w:tc>
        <w:tc>
          <w:tcPr>
            <w:tcW w:w="1008" w:type="dxa"/>
            <w:tcBorders>
              <w:top w:val="nil"/>
              <w:left w:val="nil"/>
              <w:bottom w:val="single" w:sz="4" w:space="0" w:color="auto"/>
              <w:right w:val="single" w:sz="4" w:space="0" w:color="auto"/>
            </w:tcBorders>
            <w:shd w:val="clear" w:color="auto" w:fill="F2F2F2" w:themeFill="background1" w:themeFillShade="F2"/>
            <w:noWrap/>
            <w:vAlign w:val="center"/>
            <w:hideMark/>
          </w:tcPr>
          <w:p w14:paraId="721AF5AB"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109</w:t>
            </w:r>
          </w:p>
        </w:tc>
        <w:tc>
          <w:tcPr>
            <w:tcW w:w="1008" w:type="dxa"/>
            <w:tcBorders>
              <w:top w:val="nil"/>
              <w:left w:val="nil"/>
              <w:bottom w:val="single" w:sz="4" w:space="0" w:color="auto"/>
              <w:right w:val="single" w:sz="4" w:space="0" w:color="auto"/>
            </w:tcBorders>
            <w:shd w:val="clear" w:color="auto" w:fill="F2F2F2" w:themeFill="background1" w:themeFillShade="F2"/>
            <w:noWrap/>
            <w:vAlign w:val="center"/>
            <w:hideMark/>
          </w:tcPr>
          <w:p w14:paraId="0F4F9F01"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28</w:t>
            </w:r>
          </w:p>
        </w:tc>
        <w:tc>
          <w:tcPr>
            <w:tcW w:w="1796" w:type="dxa"/>
            <w:tcBorders>
              <w:top w:val="nil"/>
              <w:left w:val="nil"/>
              <w:bottom w:val="single" w:sz="4" w:space="0" w:color="auto"/>
              <w:right w:val="single" w:sz="4" w:space="0" w:color="auto"/>
            </w:tcBorders>
            <w:shd w:val="clear" w:color="auto" w:fill="F2F2F2" w:themeFill="background1" w:themeFillShade="F2"/>
            <w:vAlign w:val="center"/>
            <w:hideMark/>
          </w:tcPr>
          <w:p w14:paraId="7C93A2D4"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-91,62%</w:t>
            </w:r>
          </w:p>
        </w:tc>
        <w:tc>
          <w:tcPr>
            <w:tcW w:w="1796" w:type="dxa"/>
            <w:tcBorders>
              <w:top w:val="nil"/>
              <w:left w:val="nil"/>
              <w:bottom w:val="single" w:sz="4" w:space="0" w:color="auto"/>
              <w:right w:val="single" w:sz="4" w:space="0" w:color="auto"/>
            </w:tcBorders>
            <w:shd w:val="clear" w:color="auto" w:fill="F2F2F2" w:themeFill="background1" w:themeFillShade="F2"/>
            <w:vAlign w:val="center"/>
            <w:hideMark/>
          </w:tcPr>
          <w:p w14:paraId="46DAAB6E" w14:textId="77777777" w:rsidR="001237D2" w:rsidRPr="00746E61" w:rsidRDefault="001237D2"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-74,31%</w:t>
            </w:r>
          </w:p>
        </w:tc>
      </w:tr>
      <w:tr w:rsidR="001237D2" w:rsidRPr="00746E61" w14:paraId="363EA90E" w14:textId="77777777" w:rsidTr="001237D2">
        <w:trPr>
          <w:trHeight w:val="290"/>
          <w:jc w:val="center"/>
        </w:trPr>
        <w:tc>
          <w:tcPr>
            <w:tcW w:w="2985" w:type="dxa"/>
            <w:tcBorders>
              <w:top w:val="nil"/>
              <w:left w:val="single" w:sz="4" w:space="0" w:color="auto"/>
              <w:bottom w:val="single" w:sz="4" w:space="0" w:color="auto"/>
              <w:right w:val="single" w:sz="4" w:space="0" w:color="auto"/>
            </w:tcBorders>
            <w:shd w:val="clear" w:color="auto" w:fill="auto"/>
            <w:vAlign w:val="center"/>
            <w:hideMark/>
          </w:tcPr>
          <w:p w14:paraId="78AB13C2" w14:textId="77777777" w:rsidR="001237D2" w:rsidRPr="00746E61" w:rsidRDefault="001237D2" w:rsidP="00746E61">
            <w:pPr>
              <w:spacing w:line="276" w:lineRule="auto"/>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Total</w:t>
            </w:r>
          </w:p>
        </w:tc>
        <w:tc>
          <w:tcPr>
            <w:tcW w:w="1008" w:type="dxa"/>
            <w:tcBorders>
              <w:top w:val="nil"/>
              <w:left w:val="nil"/>
              <w:bottom w:val="single" w:sz="4" w:space="0" w:color="auto"/>
              <w:right w:val="single" w:sz="4" w:space="0" w:color="auto"/>
            </w:tcBorders>
            <w:shd w:val="clear" w:color="auto" w:fill="auto"/>
            <w:vAlign w:val="center"/>
            <w:hideMark/>
          </w:tcPr>
          <w:p w14:paraId="5621FC86" w14:textId="77777777" w:rsidR="001237D2" w:rsidRPr="00746E61" w:rsidRDefault="001237D2"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21608</w:t>
            </w:r>
          </w:p>
        </w:tc>
        <w:tc>
          <w:tcPr>
            <w:tcW w:w="1008" w:type="dxa"/>
            <w:tcBorders>
              <w:top w:val="nil"/>
              <w:left w:val="nil"/>
              <w:bottom w:val="single" w:sz="4" w:space="0" w:color="auto"/>
              <w:right w:val="single" w:sz="4" w:space="0" w:color="auto"/>
            </w:tcBorders>
            <w:shd w:val="clear" w:color="auto" w:fill="auto"/>
            <w:vAlign w:val="center"/>
            <w:hideMark/>
          </w:tcPr>
          <w:p w14:paraId="70E1950A" w14:textId="77777777" w:rsidR="001237D2" w:rsidRPr="00746E61" w:rsidRDefault="001237D2"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26467</w:t>
            </w:r>
          </w:p>
        </w:tc>
        <w:tc>
          <w:tcPr>
            <w:tcW w:w="1008" w:type="dxa"/>
            <w:tcBorders>
              <w:top w:val="nil"/>
              <w:left w:val="nil"/>
              <w:bottom w:val="single" w:sz="4" w:space="0" w:color="auto"/>
              <w:right w:val="single" w:sz="4" w:space="0" w:color="auto"/>
            </w:tcBorders>
            <w:shd w:val="clear" w:color="auto" w:fill="auto"/>
            <w:vAlign w:val="center"/>
            <w:hideMark/>
          </w:tcPr>
          <w:p w14:paraId="191FA436" w14:textId="77777777" w:rsidR="001237D2" w:rsidRPr="00746E61" w:rsidRDefault="001237D2"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19816</w:t>
            </w:r>
          </w:p>
        </w:tc>
        <w:tc>
          <w:tcPr>
            <w:tcW w:w="1796" w:type="dxa"/>
            <w:tcBorders>
              <w:top w:val="nil"/>
              <w:left w:val="nil"/>
              <w:bottom w:val="single" w:sz="4" w:space="0" w:color="auto"/>
              <w:right w:val="single" w:sz="4" w:space="0" w:color="auto"/>
            </w:tcBorders>
            <w:shd w:val="clear" w:color="auto" w:fill="auto"/>
            <w:vAlign w:val="center"/>
            <w:hideMark/>
          </w:tcPr>
          <w:p w14:paraId="6DEB5D98" w14:textId="77777777" w:rsidR="001237D2" w:rsidRPr="00746E61" w:rsidRDefault="001237D2"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-8,29%</w:t>
            </w:r>
          </w:p>
        </w:tc>
        <w:tc>
          <w:tcPr>
            <w:tcW w:w="1796" w:type="dxa"/>
            <w:tcBorders>
              <w:top w:val="nil"/>
              <w:left w:val="nil"/>
              <w:bottom w:val="single" w:sz="4" w:space="0" w:color="auto"/>
              <w:right w:val="single" w:sz="4" w:space="0" w:color="auto"/>
            </w:tcBorders>
            <w:shd w:val="clear" w:color="auto" w:fill="auto"/>
            <w:vAlign w:val="center"/>
            <w:hideMark/>
          </w:tcPr>
          <w:p w14:paraId="79726FF9" w14:textId="77777777" w:rsidR="001237D2" w:rsidRPr="00746E61" w:rsidRDefault="001237D2"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-25,13%</w:t>
            </w:r>
          </w:p>
        </w:tc>
      </w:tr>
    </w:tbl>
    <w:p w14:paraId="3767143A" w14:textId="407B39E5" w:rsidR="00FA73F2" w:rsidRPr="00746E61" w:rsidRDefault="0059268A" w:rsidP="00746E61">
      <w:pPr>
        <w:spacing w:line="276" w:lineRule="auto"/>
        <w:jc w:val="center"/>
        <w:rPr>
          <w:rFonts w:ascii="Book Antiqua" w:hAnsi="Book Antiqua"/>
          <w:b/>
          <w:bCs/>
          <w:lang w:val="es-ES_tradnl" w:eastAsia="en-US"/>
        </w:rPr>
      </w:pPr>
      <w:r w:rsidRPr="00746E61">
        <w:rPr>
          <w:rFonts w:ascii="Book Antiqua" w:hAnsi="Book Antiqua" w:cs="Calibri"/>
          <w:b/>
          <w:bCs/>
          <w:color w:val="000000"/>
          <w:sz w:val="20"/>
          <w:szCs w:val="20"/>
          <w:lang w:eastAsia="es-CR"/>
        </w:rPr>
        <w:t>Fuente:</w:t>
      </w:r>
      <w:r w:rsidRPr="00746E61">
        <w:rPr>
          <w:rFonts w:ascii="Book Antiqua" w:hAnsi="Book Antiqua" w:cs="Calibri"/>
          <w:color w:val="000000"/>
          <w:sz w:val="20"/>
          <w:szCs w:val="20"/>
          <w:lang w:eastAsia="es-CR"/>
        </w:rPr>
        <w:t xml:space="preserve"> Elaboración propia a partir de las estadísticas del Subproceso de Estadística</w:t>
      </w:r>
    </w:p>
    <w:p w14:paraId="4072F9FF" w14:textId="15ED912B" w:rsidR="00602C99" w:rsidRPr="00746E61" w:rsidRDefault="00602C99" w:rsidP="00746E61">
      <w:pPr>
        <w:spacing w:line="276" w:lineRule="auto"/>
        <w:jc w:val="center"/>
        <w:rPr>
          <w:rFonts w:ascii="Book Antiqua" w:hAnsi="Book Antiqua"/>
          <w:b/>
          <w:bCs/>
          <w:lang w:val="es-ES_tradnl" w:eastAsia="en-US"/>
        </w:rPr>
      </w:pPr>
    </w:p>
    <w:p w14:paraId="1720AEF6" w14:textId="051F025D" w:rsidR="002A698F" w:rsidRPr="00746E61" w:rsidRDefault="002A698F" w:rsidP="00746E61">
      <w:pPr>
        <w:spacing w:line="276" w:lineRule="auto"/>
        <w:jc w:val="both"/>
        <w:rPr>
          <w:rFonts w:ascii="Book Antiqua" w:hAnsi="Book Antiqua" w:cs="Arial"/>
        </w:rPr>
      </w:pPr>
      <w:r w:rsidRPr="00746E61">
        <w:rPr>
          <w:rFonts w:ascii="Book Antiqua" w:hAnsi="Book Antiqua" w:cs="Arial"/>
        </w:rPr>
        <w:t xml:space="preserve">De la información anterior se observa que, el Juzgado Penal de </w:t>
      </w:r>
      <w:r w:rsidR="00A7627B" w:rsidRPr="00746E61">
        <w:rPr>
          <w:rFonts w:ascii="Book Antiqua" w:hAnsi="Book Antiqua" w:cs="Arial"/>
        </w:rPr>
        <w:t>Batán</w:t>
      </w:r>
      <w:r w:rsidRPr="00746E61">
        <w:rPr>
          <w:rFonts w:ascii="Book Antiqua" w:hAnsi="Book Antiqua" w:cs="Arial"/>
        </w:rPr>
        <w:t xml:space="preserve"> es la oficina que presenta la mayor disminución en el circulante en trámite de </w:t>
      </w:r>
      <w:r w:rsidR="00A7627B" w:rsidRPr="00746E61">
        <w:rPr>
          <w:rFonts w:ascii="Book Antiqua" w:hAnsi="Book Antiqua" w:cs="Arial"/>
        </w:rPr>
        <w:t>setiembre</w:t>
      </w:r>
      <w:r w:rsidRPr="00746E61">
        <w:rPr>
          <w:rFonts w:ascii="Book Antiqua" w:hAnsi="Book Antiqua" w:cs="Arial"/>
        </w:rPr>
        <w:t xml:space="preserve"> 2021 en </w:t>
      </w:r>
      <w:r w:rsidR="00A7627B" w:rsidRPr="00746E61">
        <w:rPr>
          <w:rFonts w:ascii="Book Antiqua" w:hAnsi="Book Antiqua" w:cs="Arial"/>
        </w:rPr>
        <w:t>relación con los dos periodos de comparación; 91.62% y 74.31% respectivamente.</w:t>
      </w:r>
    </w:p>
    <w:p w14:paraId="5BE4BFE0" w14:textId="77777777" w:rsidR="002A698F" w:rsidRPr="00746E61" w:rsidRDefault="002A698F" w:rsidP="00746E61">
      <w:pPr>
        <w:spacing w:line="276" w:lineRule="auto"/>
        <w:jc w:val="both"/>
        <w:rPr>
          <w:rFonts w:ascii="Book Antiqua" w:hAnsi="Book Antiqua" w:cs="Arial"/>
          <w:highlight w:val="yellow"/>
        </w:rPr>
      </w:pPr>
    </w:p>
    <w:p w14:paraId="71A1CA2A" w14:textId="0501A9C2" w:rsidR="002A698F" w:rsidRPr="00746E61" w:rsidRDefault="0095137F" w:rsidP="00746E61">
      <w:pPr>
        <w:spacing w:line="276" w:lineRule="auto"/>
        <w:jc w:val="both"/>
        <w:rPr>
          <w:rFonts w:ascii="Book Antiqua" w:hAnsi="Book Antiqua" w:cs="Arial"/>
        </w:rPr>
      </w:pPr>
      <w:r w:rsidRPr="00746E61">
        <w:rPr>
          <w:rFonts w:ascii="Book Antiqua" w:hAnsi="Book Antiqua" w:cs="Arial"/>
        </w:rPr>
        <w:t>En cuanto a los despachos</w:t>
      </w:r>
      <w:r w:rsidR="002A698F" w:rsidRPr="00746E61">
        <w:rPr>
          <w:rFonts w:ascii="Book Antiqua" w:hAnsi="Book Antiqua" w:cs="Arial"/>
        </w:rPr>
        <w:t xml:space="preserve"> que </w:t>
      </w:r>
      <w:r w:rsidRPr="00746E61">
        <w:rPr>
          <w:rFonts w:ascii="Book Antiqua" w:hAnsi="Book Antiqua" w:cs="Arial"/>
        </w:rPr>
        <w:t>presentaron</w:t>
      </w:r>
      <w:r w:rsidR="002A698F" w:rsidRPr="00746E61">
        <w:rPr>
          <w:rFonts w:ascii="Book Antiqua" w:hAnsi="Book Antiqua" w:cs="Arial"/>
        </w:rPr>
        <w:t xml:space="preserve"> el mayor incremento en el circulante en trámite de </w:t>
      </w:r>
      <w:r w:rsidR="00A7627B" w:rsidRPr="00746E61">
        <w:rPr>
          <w:rFonts w:ascii="Book Antiqua" w:hAnsi="Book Antiqua" w:cs="Arial"/>
        </w:rPr>
        <w:t>setiembre</w:t>
      </w:r>
      <w:r w:rsidR="002A698F" w:rsidRPr="00746E61">
        <w:rPr>
          <w:rFonts w:ascii="Book Antiqua" w:hAnsi="Book Antiqua" w:cs="Arial"/>
        </w:rPr>
        <w:t xml:space="preserve"> 2021 con respecto al dato de diciembre 2019 es el Juzgado Penal de Osa con un </w:t>
      </w:r>
      <w:r w:rsidR="00A7627B" w:rsidRPr="00746E61">
        <w:rPr>
          <w:rFonts w:ascii="Book Antiqua" w:hAnsi="Book Antiqua" w:cs="Arial"/>
        </w:rPr>
        <w:t>160</w:t>
      </w:r>
      <w:r w:rsidR="00D26C6D" w:rsidRPr="00746E61">
        <w:rPr>
          <w:rFonts w:ascii="Book Antiqua" w:hAnsi="Book Antiqua" w:cs="Arial"/>
        </w:rPr>
        <w:t>.</w:t>
      </w:r>
      <w:r w:rsidR="00A7627B" w:rsidRPr="00746E61">
        <w:rPr>
          <w:rFonts w:ascii="Book Antiqua" w:hAnsi="Book Antiqua" w:cs="Arial"/>
        </w:rPr>
        <w:t>12</w:t>
      </w:r>
      <w:r w:rsidR="002A698F" w:rsidRPr="00746E61">
        <w:rPr>
          <w:rFonts w:ascii="Book Antiqua" w:hAnsi="Book Antiqua" w:cs="Arial"/>
        </w:rPr>
        <w:t>%</w:t>
      </w:r>
      <w:r w:rsidRPr="00746E61">
        <w:rPr>
          <w:rFonts w:ascii="Book Antiqua" w:hAnsi="Book Antiqua" w:cs="Arial"/>
        </w:rPr>
        <w:t xml:space="preserve"> y el Juzgado Penal de los Chiles con un 291.30% en relación con el 2020</w:t>
      </w:r>
      <w:r w:rsidR="002A698F" w:rsidRPr="00746E61">
        <w:rPr>
          <w:rFonts w:ascii="Book Antiqua" w:hAnsi="Book Antiqua" w:cs="Arial"/>
        </w:rPr>
        <w:t xml:space="preserve">. </w:t>
      </w:r>
    </w:p>
    <w:p w14:paraId="66D5ACA2" w14:textId="77777777" w:rsidR="002A698F" w:rsidRPr="00746E61" w:rsidRDefault="002A698F" w:rsidP="00746E61">
      <w:pPr>
        <w:spacing w:line="276" w:lineRule="auto"/>
        <w:jc w:val="both"/>
        <w:rPr>
          <w:rFonts w:ascii="Book Antiqua" w:hAnsi="Book Antiqua" w:cs="Arial"/>
          <w:highlight w:val="yellow"/>
        </w:rPr>
      </w:pPr>
    </w:p>
    <w:p w14:paraId="4AC8D36C" w14:textId="48151C4E" w:rsidR="00602C99" w:rsidRPr="00746E61" w:rsidRDefault="1726CE21" w:rsidP="57A79FF7">
      <w:pPr>
        <w:tabs>
          <w:tab w:val="left" w:pos="426"/>
        </w:tabs>
        <w:spacing w:line="276" w:lineRule="auto"/>
        <w:jc w:val="both"/>
        <w:outlineLvl w:val="1"/>
        <w:rPr>
          <w:b/>
          <w:color w:val="000000" w:themeColor="text1"/>
          <w:lang w:eastAsia="es-CR"/>
        </w:rPr>
      </w:pPr>
      <w:r w:rsidRPr="57A79FF7">
        <w:rPr>
          <w:rFonts w:ascii="Book Antiqua" w:hAnsi="Book Antiqua"/>
          <w:b/>
          <w:bCs/>
          <w:color w:val="000000" w:themeColor="text1"/>
        </w:rPr>
        <w:t xml:space="preserve">3.2 </w:t>
      </w:r>
      <w:r w:rsidR="00A844EF" w:rsidRPr="00746E61">
        <w:rPr>
          <w:rFonts w:ascii="Book Antiqua" w:hAnsi="Book Antiqua"/>
          <w:b/>
          <w:bCs/>
          <w:color w:val="000000" w:themeColor="text1"/>
        </w:rPr>
        <w:t>Tribunales Penales</w:t>
      </w:r>
    </w:p>
    <w:p w14:paraId="1563C252" w14:textId="77777777" w:rsidR="00602C99" w:rsidRPr="00746E61" w:rsidRDefault="00602C99" w:rsidP="00746E61">
      <w:pPr>
        <w:spacing w:line="276" w:lineRule="auto"/>
        <w:rPr>
          <w:rFonts w:ascii="Book Antiqua" w:hAnsi="Book Antiqua"/>
          <w:b/>
          <w:bCs/>
          <w:lang w:val="es-ES_tradnl" w:eastAsia="en-US"/>
        </w:rPr>
      </w:pPr>
    </w:p>
    <w:p w14:paraId="2F228B1F" w14:textId="609A7E35" w:rsidR="00602C99" w:rsidRPr="00746E61" w:rsidRDefault="3E1A9E74" w:rsidP="57A79FF7">
      <w:pPr>
        <w:spacing w:line="276" w:lineRule="auto"/>
        <w:outlineLvl w:val="2"/>
        <w:rPr>
          <w:b/>
          <w:lang w:val="es-ES" w:eastAsia="en-US"/>
        </w:rPr>
      </w:pPr>
      <w:r w:rsidRPr="57A79FF7">
        <w:rPr>
          <w:rFonts w:ascii="Book Antiqua" w:hAnsi="Book Antiqua"/>
          <w:b/>
          <w:bCs/>
          <w:lang w:val="es-ES" w:eastAsia="en-US"/>
        </w:rPr>
        <w:t xml:space="preserve">3.2.1 </w:t>
      </w:r>
      <w:r w:rsidR="00602C99" w:rsidRPr="57A79FF7">
        <w:rPr>
          <w:rFonts w:ascii="Book Antiqua" w:hAnsi="Book Antiqua"/>
          <w:b/>
          <w:lang w:val="es-ES" w:eastAsia="en-US"/>
        </w:rPr>
        <w:t>Asuntos nuevos</w:t>
      </w:r>
    </w:p>
    <w:p w14:paraId="31152A36" w14:textId="77777777" w:rsidR="00A844EF" w:rsidRPr="00746E61" w:rsidRDefault="00A844EF" w:rsidP="00746E61">
      <w:pPr>
        <w:spacing w:line="276" w:lineRule="auto"/>
        <w:ind w:left="360"/>
        <w:rPr>
          <w:rFonts w:ascii="Book Antiqua" w:hAnsi="Book Antiqua"/>
          <w:b/>
          <w:bCs/>
          <w:highlight w:val="yellow"/>
          <w:lang w:val="es-ES_tradnl" w:eastAsia="en-US"/>
        </w:rPr>
      </w:pPr>
    </w:p>
    <w:p w14:paraId="1E260D2C" w14:textId="3F09ED78" w:rsidR="00A844EF" w:rsidRPr="00746E61" w:rsidRDefault="00480069" w:rsidP="00746E61">
      <w:pPr>
        <w:spacing w:line="276" w:lineRule="auto"/>
        <w:jc w:val="both"/>
        <w:rPr>
          <w:rFonts w:ascii="Book Antiqua" w:hAnsi="Book Antiqua" w:cs="Arial"/>
        </w:rPr>
      </w:pPr>
      <w:r w:rsidRPr="00746E61">
        <w:rPr>
          <w:rFonts w:ascii="Book Antiqua" w:hAnsi="Book Antiqua" w:cs="Arial"/>
        </w:rPr>
        <w:t>A continuación, se detalla el promedio de entrada mensual en los Tribunales de Juicio considerando los años 2019, 2020 y 2021, así como un análisis de aumento y disminución entre los citados períodos.</w:t>
      </w:r>
    </w:p>
    <w:p w14:paraId="7AE7EB0F" w14:textId="77777777" w:rsidR="00480069" w:rsidRPr="00746E61" w:rsidRDefault="00480069" w:rsidP="00746E61">
      <w:pPr>
        <w:spacing w:line="276" w:lineRule="auto"/>
        <w:rPr>
          <w:rFonts w:ascii="Book Antiqua" w:hAnsi="Book Antiqua"/>
          <w:b/>
          <w:bCs/>
          <w:highlight w:val="yellow"/>
          <w:lang w:val="es-ES_tradnl" w:eastAsia="en-US"/>
        </w:rPr>
      </w:pPr>
    </w:p>
    <w:p w14:paraId="12AB5179" w14:textId="40AD92C8" w:rsidR="00A844EF" w:rsidRPr="00746E61" w:rsidRDefault="00A844EF" w:rsidP="00746E61">
      <w:pPr>
        <w:widowControl w:val="0"/>
        <w:autoSpaceDE w:val="0"/>
        <w:spacing w:line="276" w:lineRule="auto"/>
        <w:ind w:left="1080" w:right="51"/>
        <w:jc w:val="center"/>
        <w:rPr>
          <w:rFonts w:ascii="Book Antiqua" w:hAnsi="Book Antiqua" w:cs="Arial"/>
          <w:b/>
          <w:bCs/>
        </w:rPr>
      </w:pPr>
      <w:r w:rsidRPr="00746E61">
        <w:rPr>
          <w:rFonts w:ascii="Book Antiqua" w:hAnsi="Book Antiqua" w:cs="Arial"/>
          <w:b/>
          <w:bCs/>
        </w:rPr>
        <w:t>Cuadro 16</w:t>
      </w:r>
    </w:p>
    <w:p w14:paraId="5161559D" w14:textId="77777777" w:rsidR="00A844EF" w:rsidRPr="00746E61" w:rsidRDefault="00A844EF" w:rsidP="00746E61">
      <w:pPr>
        <w:widowControl w:val="0"/>
        <w:autoSpaceDE w:val="0"/>
        <w:spacing w:line="276" w:lineRule="auto"/>
        <w:ind w:left="1080" w:right="51"/>
        <w:jc w:val="center"/>
        <w:rPr>
          <w:rFonts w:ascii="Book Antiqua" w:hAnsi="Book Antiqua" w:cs="Arial"/>
        </w:rPr>
      </w:pPr>
      <w:r w:rsidRPr="00746E61">
        <w:rPr>
          <w:rFonts w:ascii="Book Antiqua" w:hAnsi="Book Antiqua" w:cs="Arial"/>
        </w:rPr>
        <w:t>Promedio mensual de asuntos entrados en los Tribunales Penales</w:t>
      </w:r>
    </w:p>
    <w:p w14:paraId="1E1E4CE4" w14:textId="3B712215" w:rsidR="00A844EF" w:rsidRPr="00746E61" w:rsidRDefault="00A844EF" w:rsidP="00746E61">
      <w:pPr>
        <w:widowControl w:val="0"/>
        <w:autoSpaceDE w:val="0"/>
        <w:spacing w:line="276" w:lineRule="auto"/>
        <w:ind w:left="1080" w:right="51"/>
        <w:jc w:val="center"/>
        <w:rPr>
          <w:rFonts w:ascii="Book Antiqua" w:hAnsi="Book Antiqua" w:cs="Arial"/>
        </w:rPr>
      </w:pPr>
      <w:r w:rsidRPr="00746E61">
        <w:rPr>
          <w:rFonts w:ascii="Book Antiqua" w:hAnsi="Book Antiqua" w:cs="Arial"/>
        </w:rPr>
        <w:t xml:space="preserve">entre el periodo comprendido de enero 2019 a </w:t>
      </w:r>
      <w:r w:rsidR="0095137F" w:rsidRPr="00746E61">
        <w:rPr>
          <w:rFonts w:ascii="Book Antiqua" w:hAnsi="Book Antiqua" w:cs="Arial"/>
        </w:rPr>
        <w:t>setiembre</w:t>
      </w:r>
      <w:r w:rsidRPr="00746E61">
        <w:rPr>
          <w:rFonts w:ascii="Book Antiqua" w:hAnsi="Book Antiqua" w:cs="Arial"/>
        </w:rPr>
        <w:t xml:space="preserve"> de 2021</w:t>
      </w:r>
    </w:p>
    <w:tbl>
      <w:tblPr>
        <w:tblW w:w="10343" w:type="dxa"/>
        <w:jc w:val="center"/>
        <w:tblCellMar>
          <w:left w:w="70" w:type="dxa"/>
          <w:right w:w="70" w:type="dxa"/>
        </w:tblCellMar>
        <w:tblLook w:val="04A0" w:firstRow="1" w:lastRow="0" w:firstColumn="1" w:lastColumn="0" w:noHBand="0" w:noVBand="1"/>
      </w:tblPr>
      <w:tblGrid>
        <w:gridCol w:w="3240"/>
        <w:gridCol w:w="1052"/>
        <w:gridCol w:w="1052"/>
        <w:gridCol w:w="1052"/>
        <w:gridCol w:w="1963"/>
        <w:gridCol w:w="1984"/>
      </w:tblGrid>
      <w:tr w:rsidR="00295A8E" w:rsidRPr="00746E61" w14:paraId="7898B6E4" w14:textId="77777777" w:rsidTr="00295A8E">
        <w:trPr>
          <w:trHeight w:val="1040"/>
          <w:jc w:val="center"/>
        </w:trPr>
        <w:tc>
          <w:tcPr>
            <w:tcW w:w="3240"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7B05E9FD" w14:textId="77777777" w:rsidR="00295A8E" w:rsidRPr="00746E61" w:rsidRDefault="00295A8E" w:rsidP="00746E61">
            <w:pPr>
              <w:spacing w:line="276" w:lineRule="auto"/>
              <w:jc w:val="center"/>
              <w:rPr>
                <w:rFonts w:ascii="Book Antiqua" w:hAnsi="Book Antiqua" w:cs="Calibri"/>
                <w:b/>
                <w:bCs/>
                <w:color w:val="FFFFFF"/>
                <w:sz w:val="16"/>
                <w:szCs w:val="16"/>
                <w:lang w:eastAsia="es-CR"/>
              </w:rPr>
            </w:pPr>
            <w:r w:rsidRPr="00746E61">
              <w:rPr>
                <w:rFonts w:ascii="Book Antiqua" w:hAnsi="Book Antiqua" w:cs="Calibri"/>
                <w:b/>
                <w:bCs/>
                <w:color w:val="FFFFFF"/>
                <w:sz w:val="16"/>
                <w:szCs w:val="16"/>
                <w:lang w:eastAsia="es-CR"/>
              </w:rPr>
              <w:t>Despachos</w:t>
            </w:r>
          </w:p>
        </w:tc>
        <w:tc>
          <w:tcPr>
            <w:tcW w:w="1052" w:type="dxa"/>
            <w:tcBorders>
              <w:top w:val="single" w:sz="4" w:space="0" w:color="auto"/>
              <w:left w:val="nil"/>
              <w:bottom w:val="single" w:sz="4" w:space="0" w:color="auto"/>
              <w:right w:val="single" w:sz="4" w:space="0" w:color="auto"/>
            </w:tcBorders>
            <w:shd w:val="clear" w:color="000000" w:fill="305496"/>
            <w:vAlign w:val="center"/>
            <w:hideMark/>
          </w:tcPr>
          <w:p w14:paraId="2CEE7EDB" w14:textId="77777777" w:rsidR="00295A8E" w:rsidRPr="00746E61" w:rsidRDefault="00295A8E" w:rsidP="00746E61">
            <w:pPr>
              <w:spacing w:line="276" w:lineRule="auto"/>
              <w:jc w:val="center"/>
              <w:rPr>
                <w:rFonts w:ascii="Book Antiqua" w:hAnsi="Book Antiqua" w:cs="Calibri"/>
                <w:b/>
                <w:bCs/>
                <w:color w:val="FFFFFF"/>
                <w:sz w:val="16"/>
                <w:szCs w:val="16"/>
                <w:lang w:eastAsia="es-CR"/>
              </w:rPr>
            </w:pPr>
            <w:r w:rsidRPr="00746E61">
              <w:rPr>
                <w:rFonts w:ascii="Book Antiqua" w:hAnsi="Book Antiqua" w:cs="Calibri"/>
                <w:b/>
                <w:bCs/>
                <w:color w:val="FFFFFF"/>
                <w:sz w:val="16"/>
                <w:szCs w:val="16"/>
                <w:lang w:eastAsia="es-CR"/>
              </w:rPr>
              <w:t>Promedio mensual de Entrada 2019</w:t>
            </w:r>
          </w:p>
        </w:tc>
        <w:tc>
          <w:tcPr>
            <w:tcW w:w="1052" w:type="dxa"/>
            <w:tcBorders>
              <w:top w:val="single" w:sz="4" w:space="0" w:color="auto"/>
              <w:left w:val="nil"/>
              <w:bottom w:val="single" w:sz="4" w:space="0" w:color="auto"/>
              <w:right w:val="single" w:sz="4" w:space="0" w:color="auto"/>
            </w:tcBorders>
            <w:shd w:val="clear" w:color="000000" w:fill="305496"/>
            <w:vAlign w:val="center"/>
            <w:hideMark/>
          </w:tcPr>
          <w:p w14:paraId="5485596B" w14:textId="77777777" w:rsidR="00295A8E" w:rsidRPr="00746E61" w:rsidRDefault="00295A8E" w:rsidP="00746E61">
            <w:pPr>
              <w:spacing w:line="276" w:lineRule="auto"/>
              <w:jc w:val="center"/>
              <w:rPr>
                <w:rFonts w:ascii="Book Antiqua" w:hAnsi="Book Antiqua" w:cs="Calibri"/>
                <w:b/>
                <w:bCs/>
                <w:color w:val="FFFFFF"/>
                <w:sz w:val="16"/>
                <w:szCs w:val="16"/>
                <w:lang w:eastAsia="es-CR"/>
              </w:rPr>
            </w:pPr>
            <w:r w:rsidRPr="00746E61">
              <w:rPr>
                <w:rFonts w:ascii="Book Antiqua" w:hAnsi="Book Antiqua" w:cs="Calibri"/>
                <w:b/>
                <w:bCs/>
                <w:color w:val="FFFFFF"/>
                <w:sz w:val="16"/>
                <w:szCs w:val="16"/>
                <w:lang w:eastAsia="es-CR"/>
              </w:rPr>
              <w:t>Promedio mensual de Entrada 2020</w:t>
            </w:r>
          </w:p>
        </w:tc>
        <w:tc>
          <w:tcPr>
            <w:tcW w:w="1052" w:type="dxa"/>
            <w:tcBorders>
              <w:top w:val="single" w:sz="4" w:space="0" w:color="auto"/>
              <w:left w:val="nil"/>
              <w:bottom w:val="single" w:sz="4" w:space="0" w:color="auto"/>
              <w:right w:val="single" w:sz="4" w:space="0" w:color="auto"/>
            </w:tcBorders>
            <w:shd w:val="clear" w:color="000000" w:fill="305496"/>
            <w:vAlign w:val="center"/>
            <w:hideMark/>
          </w:tcPr>
          <w:p w14:paraId="1AC4511D" w14:textId="77777777" w:rsidR="00295A8E" w:rsidRPr="00746E61" w:rsidRDefault="00295A8E" w:rsidP="00746E61">
            <w:pPr>
              <w:spacing w:line="276" w:lineRule="auto"/>
              <w:jc w:val="center"/>
              <w:rPr>
                <w:rFonts w:ascii="Book Antiqua" w:hAnsi="Book Antiqua" w:cs="Calibri"/>
                <w:b/>
                <w:bCs/>
                <w:color w:val="FFFFFF"/>
                <w:sz w:val="16"/>
                <w:szCs w:val="16"/>
                <w:lang w:eastAsia="es-CR"/>
              </w:rPr>
            </w:pPr>
            <w:r w:rsidRPr="00746E61">
              <w:rPr>
                <w:rFonts w:ascii="Book Antiqua" w:hAnsi="Book Antiqua" w:cs="Calibri"/>
                <w:b/>
                <w:bCs/>
                <w:color w:val="FFFFFF"/>
                <w:sz w:val="16"/>
                <w:szCs w:val="16"/>
                <w:lang w:eastAsia="es-CR"/>
              </w:rPr>
              <w:t>Promedio mensual de Entrada 2021</w:t>
            </w:r>
          </w:p>
        </w:tc>
        <w:tc>
          <w:tcPr>
            <w:tcW w:w="1963" w:type="dxa"/>
            <w:tcBorders>
              <w:top w:val="single" w:sz="4" w:space="0" w:color="auto"/>
              <w:left w:val="nil"/>
              <w:bottom w:val="single" w:sz="4" w:space="0" w:color="auto"/>
              <w:right w:val="single" w:sz="4" w:space="0" w:color="auto"/>
            </w:tcBorders>
            <w:shd w:val="clear" w:color="000000" w:fill="DDEBF7"/>
            <w:vAlign w:val="center"/>
            <w:hideMark/>
          </w:tcPr>
          <w:p w14:paraId="786886F2" w14:textId="77777777" w:rsidR="00295A8E" w:rsidRPr="00746E61" w:rsidRDefault="00295A8E" w:rsidP="00746E61">
            <w:pPr>
              <w:spacing w:line="276" w:lineRule="auto"/>
              <w:jc w:val="center"/>
              <w:rPr>
                <w:rFonts w:ascii="Book Antiqua" w:hAnsi="Book Antiqua" w:cs="Calibri"/>
                <w:b/>
                <w:bCs/>
                <w:color w:val="3A3838"/>
                <w:sz w:val="16"/>
                <w:szCs w:val="16"/>
                <w:lang w:eastAsia="es-CR"/>
              </w:rPr>
            </w:pPr>
            <w:r w:rsidRPr="00746E61">
              <w:rPr>
                <w:rFonts w:ascii="Book Antiqua" w:hAnsi="Book Antiqua" w:cs="Calibri"/>
                <w:b/>
                <w:bCs/>
                <w:color w:val="3A3838"/>
                <w:sz w:val="16"/>
                <w:szCs w:val="16"/>
                <w:lang w:eastAsia="es-CR"/>
              </w:rPr>
              <w:t>Aumento/disminución 2021vs2019</w:t>
            </w:r>
          </w:p>
        </w:tc>
        <w:tc>
          <w:tcPr>
            <w:tcW w:w="1984" w:type="dxa"/>
            <w:tcBorders>
              <w:top w:val="single" w:sz="4" w:space="0" w:color="auto"/>
              <w:left w:val="nil"/>
              <w:bottom w:val="single" w:sz="4" w:space="0" w:color="auto"/>
              <w:right w:val="single" w:sz="4" w:space="0" w:color="auto"/>
            </w:tcBorders>
            <w:shd w:val="clear" w:color="000000" w:fill="DDEBF7"/>
            <w:vAlign w:val="center"/>
            <w:hideMark/>
          </w:tcPr>
          <w:p w14:paraId="5D0DE1B5" w14:textId="77777777" w:rsidR="00295A8E" w:rsidRPr="00746E61" w:rsidRDefault="00295A8E" w:rsidP="00746E61">
            <w:pPr>
              <w:spacing w:line="276" w:lineRule="auto"/>
              <w:jc w:val="center"/>
              <w:rPr>
                <w:rFonts w:ascii="Book Antiqua" w:hAnsi="Book Antiqua" w:cs="Calibri"/>
                <w:b/>
                <w:bCs/>
                <w:color w:val="3A3838"/>
                <w:sz w:val="16"/>
                <w:szCs w:val="16"/>
                <w:lang w:eastAsia="es-CR"/>
              </w:rPr>
            </w:pPr>
            <w:r w:rsidRPr="00746E61">
              <w:rPr>
                <w:rFonts w:ascii="Book Antiqua" w:hAnsi="Book Antiqua" w:cs="Calibri"/>
                <w:b/>
                <w:bCs/>
                <w:color w:val="3A3838"/>
                <w:sz w:val="16"/>
                <w:szCs w:val="16"/>
                <w:lang w:eastAsia="es-CR"/>
              </w:rPr>
              <w:t>Aumento/disminución 2021vs2020</w:t>
            </w:r>
          </w:p>
        </w:tc>
      </w:tr>
      <w:tr w:rsidR="00295A8E" w:rsidRPr="00746E61" w14:paraId="3FDB4961" w14:textId="77777777" w:rsidTr="00295A8E">
        <w:trPr>
          <w:trHeight w:val="290"/>
          <w:jc w:val="center"/>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14:paraId="15AD3660" w14:textId="77777777" w:rsidR="00295A8E" w:rsidRPr="00746E61" w:rsidRDefault="00295A8E"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Penal de Sarapiquí</w:t>
            </w:r>
          </w:p>
        </w:tc>
        <w:tc>
          <w:tcPr>
            <w:tcW w:w="1052" w:type="dxa"/>
            <w:tcBorders>
              <w:top w:val="nil"/>
              <w:left w:val="nil"/>
              <w:bottom w:val="single" w:sz="4" w:space="0" w:color="auto"/>
              <w:right w:val="single" w:sz="4" w:space="0" w:color="auto"/>
            </w:tcBorders>
            <w:shd w:val="clear" w:color="auto" w:fill="auto"/>
            <w:noWrap/>
            <w:vAlign w:val="center"/>
            <w:hideMark/>
          </w:tcPr>
          <w:p w14:paraId="310BC9EE"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14</w:t>
            </w:r>
          </w:p>
        </w:tc>
        <w:tc>
          <w:tcPr>
            <w:tcW w:w="1052" w:type="dxa"/>
            <w:tcBorders>
              <w:top w:val="nil"/>
              <w:left w:val="nil"/>
              <w:bottom w:val="single" w:sz="4" w:space="0" w:color="auto"/>
              <w:right w:val="single" w:sz="4" w:space="0" w:color="auto"/>
            </w:tcBorders>
            <w:shd w:val="clear" w:color="auto" w:fill="auto"/>
            <w:noWrap/>
            <w:vAlign w:val="center"/>
            <w:hideMark/>
          </w:tcPr>
          <w:p w14:paraId="2C4E8D1F"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19</w:t>
            </w:r>
          </w:p>
        </w:tc>
        <w:tc>
          <w:tcPr>
            <w:tcW w:w="1052" w:type="dxa"/>
            <w:tcBorders>
              <w:top w:val="nil"/>
              <w:left w:val="nil"/>
              <w:bottom w:val="single" w:sz="4" w:space="0" w:color="auto"/>
              <w:right w:val="single" w:sz="4" w:space="0" w:color="auto"/>
            </w:tcBorders>
            <w:shd w:val="clear" w:color="auto" w:fill="auto"/>
            <w:noWrap/>
            <w:vAlign w:val="center"/>
            <w:hideMark/>
          </w:tcPr>
          <w:p w14:paraId="5C88BA0C"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24</w:t>
            </w:r>
          </w:p>
        </w:tc>
        <w:tc>
          <w:tcPr>
            <w:tcW w:w="1963" w:type="dxa"/>
            <w:tcBorders>
              <w:top w:val="nil"/>
              <w:left w:val="nil"/>
              <w:bottom w:val="single" w:sz="4" w:space="0" w:color="auto"/>
              <w:right w:val="single" w:sz="4" w:space="0" w:color="auto"/>
            </w:tcBorders>
            <w:shd w:val="clear" w:color="auto" w:fill="auto"/>
            <w:vAlign w:val="center"/>
            <w:hideMark/>
          </w:tcPr>
          <w:p w14:paraId="04564BC2"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66,46%</w:t>
            </w:r>
          </w:p>
        </w:tc>
        <w:tc>
          <w:tcPr>
            <w:tcW w:w="1984" w:type="dxa"/>
            <w:tcBorders>
              <w:top w:val="nil"/>
              <w:left w:val="nil"/>
              <w:bottom w:val="single" w:sz="4" w:space="0" w:color="auto"/>
              <w:right w:val="single" w:sz="4" w:space="0" w:color="auto"/>
            </w:tcBorders>
            <w:shd w:val="clear" w:color="auto" w:fill="auto"/>
            <w:vAlign w:val="center"/>
            <w:hideMark/>
          </w:tcPr>
          <w:p w14:paraId="7DA50C71"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25,03%</w:t>
            </w:r>
          </w:p>
        </w:tc>
      </w:tr>
      <w:tr w:rsidR="00295A8E" w:rsidRPr="00746E61" w14:paraId="6E4AE5D6" w14:textId="77777777" w:rsidTr="00295A8E">
        <w:trPr>
          <w:trHeight w:val="290"/>
          <w:jc w:val="center"/>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14:paraId="5A9AF1AB" w14:textId="77777777" w:rsidR="00295A8E" w:rsidRPr="00746E61" w:rsidRDefault="00295A8E"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Penal de Quepos</w:t>
            </w:r>
          </w:p>
        </w:tc>
        <w:tc>
          <w:tcPr>
            <w:tcW w:w="1052" w:type="dxa"/>
            <w:tcBorders>
              <w:top w:val="nil"/>
              <w:left w:val="nil"/>
              <w:bottom w:val="single" w:sz="4" w:space="0" w:color="auto"/>
              <w:right w:val="single" w:sz="4" w:space="0" w:color="auto"/>
            </w:tcBorders>
            <w:shd w:val="clear" w:color="auto" w:fill="auto"/>
            <w:noWrap/>
            <w:vAlign w:val="center"/>
            <w:hideMark/>
          </w:tcPr>
          <w:p w14:paraId="05360863"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24</w:t>
            </w:r>
          </w:p>
        </w:tc>
        <w:tc>
          <w:tcPr>
            <w:tcW w:w="1052" w:type="dxa"/>
            <w:tcBorders>
              <w:top w:val="nil"/>
              <w:left w:val="nil"/>
              <w:bottom w:val="single" w:sz="4" w:space="0" w:color="auto"/>
              <w:right w:val="single" w:sz="4" w:space="0" w:color="auto"/>
            </w:tcBorders>
            <w:shd w:val="clear" w:color="auto" w:fill="auto"/>
            <w:noWrap/>
            <w:vAlign w:val="center"/>
            <w:hideMark/>
          </w:tcPr>
          <w:p w14:paraId="04EC7A96"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34</w:t>
            </w:r>
          </w:p>
        </w:tc>
        <w:tc>
          <w:tcPr>
            <w:tcW w:w="1052" w:type="dxa"/>
            <w:tcBorders>
              <w:top w:val="nil"/>
              <w:left w:val="nil"/>
              <w:bottom w:val="single" w:sz="4" w:space="0" w:color="auto"/>
              <w:right w:val="single" w:sz="4" w:space="0" w:color="auto"/>
            </w:tcBorders>
            <w:shd w:val="clear" w:color="auto" w:fill="auto"/>
            <w:noWrap/>
            <w:vAlign w:val="center"/>
            <w:hideMark/>
          </w:tcPr>
          <w:p w14:paraId="7F277DF1"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37</w:t>
            </w:r>
          </w:p>
        </w:tc>
        <w:tc>
          <w:tcPr>
            <w:tcW w:w="1963" w:type="dxa"/>
            <w:tcBorders>
              <w:top w:val="nil"/>
              <w:left w:val="nil"/>
              <w:bottom w:val="single" w:sz="4" w:space="0" w:color="auto"/>
              <w:right w:val="single" w:sz="4" w:space="0" w:color="auto"/>
            </w:tcBorders>
            <w:shd w:val="clear" w:color="auto" w:fill="auto"/>
            <w:vAlign w:val="center"/>
            <w:hideMark/>
          </w:tcPr>
          <w:p w14:paraId="29178242"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53,02%</w:t>
            </w:r>
          </w:p>
        </w:tc>
        <w:tc>
          <w:tcPr>
            <w:tcW w:w="1984" w:type="dxa"/>
            <w:tcBorders>
              <w:top w:val="nil"/>
              <w:left w:val="nil"/>
              <w:bottom w:val="single" w:sz="4" w:space="0" w:color="auto"/>
              <w:right w:val="single" w:sz="4" w:space="0" w:color="auto"/>
            </w:tcBorders>
            <w:shd w:val="clear" w:color="auto" w:fill="auto"/>
            <w:vAlign w:val="center"/>
            <w:hideMark/>
          </w:tcPr>
          <w:p w14:paraId="05ECF3A0"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7,47%</w:t>
            </w:r>
          </w:p>
        </w:tc>
      </w:tr>
      <w:tr w:rsidR="00295A8E" w:rsidRPr="00746E61" w14:paraId="03EDB4D7" w14:textId="77777777" w:rsidTr="003A31AE">
        <w:trPr>
          <w:trHeight w:val="290"/>
          <w:jc w:val="center"/>
        </w:trPr>
        <w:tc>
          <w:tcPr>
            <w:tcW w:w="324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A604318" w14:textId="77777777" w:rsidR="00295A8E" w:rsidRPr="00746E61" w:rsidRDefault="00295A8E"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 xml:space="preserve">Tribunal Penal de Cartago </w:t>
            </w:r>
          </w:p>
        </w:tc>
        <w:tc>
          <w:tcPr>
            <w:tcW w:w="1052" w:type="dxa"/>
            <w:tcBorders>
              <w:top w:val="nil"/>
              <w:left w:val="nil"/>
              <w:bottom w:val="single" w:sz="4" w:space="0" w:color="auto"/>
              <w:right w:val="single" w:sz="4" w:space="0" w:color="auto"/>
            </w:tcBorders>
            <w:shd w:val="clear" w:color="auto" w:fill="F2F2F2" w:themeFill="background1" w:themeFillShade="F2"/>
            <w:noWrap/>
            <w:vAlign w:val="center"/>
            <w:hideMark/>
          </w:tcPr>
          <w:p w14:paraId="69FACF66"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86</w:t>
            </w:r>
          </w:p>
        </w:tc>
        <w:tc>
          <w:tcPr>
            <w:tcW w:w="1052" w:type="dxa"/>
            <w:tcBorders>
              <w:top w:val="nil"/>
              <w:left w:val="nil"/>
              <w:bottom w:val="single" w:sz="4" w:space="0" w:color="auto"/>
              <w:right w:val="single" w:sz="4" w:space="0" w:color="auto"/>
            </w:tcBorders>
            <w:shd w:val="clear" w:color="auto" w:fill="F2F2F2" w:themeFill="background1" w:themeFillShade="F2"/>
            <w:noWrap/>
            <w:vAlign w:val="center"/>
            <w:hideMark/>
          </w:tcPr>
          <w:p w14:paraId="55F37A88"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74</w:t>
            </w:r>
          </w:p>
        </w:tc>
        <w:tc>
          <w:tcPr>
            <w:tcW w:w="1052" w:type="dxa"/>
            <w:tcBorders>
              <w:top w:val="nil"/>
              <w:left w:val="nil"/>
              <w:bottom w:val="single" w:sz="4" w:space="0" w:color="auto"/>
              <w:right w:val="single" w:sz="4" w:space="0" w:color="auto"/>
            </w:tcBorders>
            <w:shd w:val="clear" w:color="auto" w:fill="F2F2F2" w:themeFill="background1" w:themeFillShade="F2"/>
            <w:noWrap/>
            <w:vAlign w:val="center"/>
            <w:hideMark/>
          </w:tcPr>
          <w:p w14:paraId="78B0A49F"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118</w:t>
            </w:r>
          </w:p>
        </w:tc>
        <w:tc>
          <w:tcPr>
            <w:tcW w:w="1963" w:type="dxa"/>
            <w:tcBorders>
              <w:top w:val="nil"/>
              <w:left w:val="nil"/>
              <w:bottom w:val="single" w:sz="4" w:space="0" w:color="auto"/>
              <w:right w:val="single" w:sz="4" w:space="0" w:color="auto"/>
            </w:tcBorders>
            <w:shd w:val="clear" w:color="auto" w:fill="F2F2F2" w:themeFill="background1" w:themeFillShade="F2"/>
            <w:vAlign w:val="center"/>
            <w:hideMark/>
          </w:tcPr>
          <w:p w14:paraId="2BA85336"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37,12%</w:t>
            </w:r>
          </w:p>
        </w:tc>
        <w:tc>
          <w:tcPr>
            <w:tcW w:w="1984" w:type="dxa"/>
            <w:tcBorders>
              <w:top w:val="nil"/>
              <w:left w:val="nil"/>
              <w:bottom w:val="single" w:sz="4" w:space="0" w:color="auto"/>
              <w:right w:val="single" w:sz="4" w:space="0" w:color="auto"/>
            </w:tcBorders>
            <w:shd w:val="clear" w:color="auto" w:fill="F2F2F2" w:themeFill="background1" w:themeFillShade="F2"/>
            <w:vAlign w:val="center"/>
            <w:hideMark/>
          </w:tcPr>
          <w:p w14:paraId="738D045F"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60,23%</w:t>
            </w:r>
          </w:p>
        </w:tc>
      </w:tr>
      <w:tr w:rsidR="00295A8E" w:rsidRPr="00746E61" w14:paraId="46FFCC7F" w14:textId="77777777" w:rsidTr="00295A8E">
        <w:trPr>
          <w:trHeight w:val="290"/>
          <w:jc w:val="center"/>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14:paraId="513F4730" w14:textId="77777777" w:rsidR="00295A8E" w:rsidRPr="00746E61" w:rsidRDefault="00295A8E"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Penal de Heredia</w:t>
            </w:r>
          </w:p>
        </w:tc>
        <w:tc>
          <w:tcPr>
            <w:tcW w:w="1052" w:type="dxa"/>
            <w:tcBorders>
              <w:top w:val="nil"/>
              <w:left w:val="nil"/>
              <w:bottom w:val="single" w:sz="4" w:space="0" w:color="auto"/>
              <w:right w:val="single" w:sz="4" w:space="0" w:color="auto"/>
            </w:tcBorders>
            <w:shd w:val="clear" w:color="auto" w:fill="auto"/>
            <w:noWrap/>
            <w:vAlign w:val="center"/>
            <w:hideMark/>
          </w:tcPr>
          <w:p w14:paraId="039AE74A"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74</w:t>
            </w:r>
          </w:p>
        </w:tc>
        <w:tc>
          <w:tcPr>
            <w:tcW w:w="1052" w:type="dxa"/>
            <w:tcBorders>
              <w:top w:val="nil"/>
              <w:left w:val="nil"/>
              <w:bottom w:val="single" w:sz="4" w:space="0" w:color="auto"/>
              <w:right w:val="single" w:sz="4" w:space="0" w:color="auto"/>
            </w:tcBorders>
            <w:shd w:val="clear" w:color="auto" w:fill="auto"/>
            <w:noWrap/>
            <w:vAlign w:val="center"/>
            <w:hideMark/>
          </w:tcPr>
          <w:p w14:paraId="68A7B61B"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56</w:t>
            </w:r>
          </w:p>
        </w:tc>
        <w:tc>
          <w:tcPr>
            <w:tcW w:w="1052" w:type="dxa"/>
            <w:tcBorders>
              <w:top w:val="nil"/>
              <w:left w:val="nil"/>
              <w:bottom w:val="single" w:sz="4" w:space="0" w:color="auto"/>
              <w:right w:val="single" w:sz="4" w:space="0" w:color="auto"/>
            </w:tcBorders>
            <w:shd w:val="clear" w:color="auto" w:fill="auto"/>
            <w:noWrap/>
            <w:vAlign w:val="center"/>
            <w:hideMark/>
          </w:tcPr>
          <w:p w14:paraId="05021ACE"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98</w:t>
            </w:r>
          </w:p>
        </w:tc>
        <w:tc>
          <w:tcPr>
            <w:tcW w:w="1963" w:type="dxa"/>
            <w:tcBorders>
              <w:top w:val="nil"/>
              <w:left w:val="nil"/>
              <w:bottom w:val="single" w:sz="4" w:space="0" w:color="auto"/>
              <w:right w:val="single" w:sz="4" w:space="0" w:color="auto"/>
            </w:tcBorders>
            <w:shd w:val="clear" w:color="auto" w:fill="auto"/>
            <w:vAlign w:val="center"/>
            <w:hideMark/>
          </w:tcPr>
          <w:p w14:paraId="3CCB0104"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32,19%</w:t>
            </w:r>
          </w:p>
        </w:tc>
        <w:tc>
          <w:tcPr>
            <w:tcW w:w="1984" w:type="dxa"/>
            <w:tcBorders>
              <w:top w:val="nil"/>
              <w:left w:val="nil"/>
              <w:bottom w:val="single" w:sz="4" w:space="0" w:color="auto"/>
              <w:right w:val="single" w:sz="4" w:space="0" w:color="auto"/>
            </w:tcBorders>
            <w:shd w:val="clear" w:color="auto" w:fill="auto"/>
            <w:vAlign w:val="center"/>
            <w:hideMark/>
          </w:tcPr>
          <w:p w14:paraId="52F2C86D"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73,83%</w:t>
            </w:r>
          </w:p>
        </w:tc>
      </w:tr>
      <w:tr w:rsidR="00295A8E" w:rsidRPr="00746E61" w14:paraId="00106B3B" w14:textId="77777777" w:rsidTr="00295A8E">
        <w:trPr>
          <w:trHeight w:val="290"/>
          <w:jc w:val="center"/>
        </w:trPr>
        <w:tc>
          <w:tcPr>
            <w:tcW w:w="324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E55083D" w14:textId="77777777" w:rsidR="00295A8E" w:rsidRPr="00746E61" w:rsidRDefault="00295A8E"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Penal de Alajuela</w:t>
            </w:r>
          </w:p>
        </w:tc>
        <w:tc>
          <w:tcPr>
            <w:tcW w:w="1052" w:type="dxa"/>
            <w:tcBorders>
              <w:top w:val="nil"/>
              <w:left w:val="nil"/>
              <w:bottom w:val="single" w:sz="4" w:space="0" w:color="auto"/>
              <w:right w:val="single" w:sz="4" w:space="0" w:color="auto"/>
            </w:tcBorders>
            <w:shd w:val="clear" w:color="auto" w:fill="F2F2F2" w:themeFill="background1" w:themeFillShade="F2"/>
            <w:noWrap/>
            <w:vAlign w:val="center"/>
            <w:hideMark/>
          </w:tcPr>
          <w:p w14:paraId="7F29FFC5"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127</w:t>
            </w:r>
          </w:p>
        </w:tc>
        <w:tc>
          <w:tcPr>
            <w:tcW w:w="1052" w:type="dxa"/>
            <w:tcBorders>
              <w:top w:val="nil"/>
              <w:left w:val="nil"/>
              <w:bottom w:val="single" w:sz="4" w:space="0" w:color="auto"/>
              <w:right w:val="single" w:sz="4" w:space="0" w:color="auto"/>
            </w:tcBorders>
            <w:shd w:val="clear" w:color="auto" w:fill="F2F2F2" w:themeFill="background1" w:themeFillShade="F2"/>
            <w:noWrap/>
            <w:vAlign w:val="center"/>
            <w:hideMark/>
          </w:tcPr>
          <w:p w14:paraId="09463330"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82</w:t>
            </w:r>
          </w:p>
        </w:tc>
        <w:tc>
          <w:tcPr>
            <w:tcW w:w="1052" w:type="dxa"/>
            <w:tcBorders>
              <w:top w:val="nil"/>
              <w:left w:val="nil"/>
              <w:bottom w:val="single" w:sz="4" w:space="0" w:color="auto"/>
              <w:right w:val="single" w:sz="4" w:space="0" w:color="auto"/>
            </w:tcBorders>
            <w:shd w:val="clear" w:color="auto" w:fill="F2F2F2" w:themeFill="background1" w:themeFillShade="F2"/>
            <w:noWrap/>
            <w:vAlign w:val="center"/>
            <w:hideMark/>
          </w:tcPr>
          <w:p w14:paraId="65266D69"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166</w:t>
            </w:r>
          </w:p>
        </w:tc>
        <w:tc>
          <w:tcPr>
            <w:tcW w:w="1963" w:type="dxa"/>
            <w:tcBorders>
              <w:top w:val="nil"/>
              <w:left w:val="nil"/>
              <w:bottom w:val="single" w:sz="4" w:space="0" w:color="auto"/>
              <w:right w:val="single" w:sz="4" w:space="0" w:color="auto"/>
            </w:tcBorders>
            <w:shd w:val="clear" w:color="auto" w:fill="F2F2F2" w:themeFill="background1" w:themeFillShade="F2"/>
            <w:vAlign w:val="center"/>
            <w:hideMark/>
          </w:tcPr>
          <w:p w14:paraId="0E403F19"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31,15%</w:t>
            </w:r>
          </w:p>
        </w:tc>
        <w:tc>
          <w:tcPr>
            <w:tcW w:w="1984" w:type="dxa"/>
            <w:tcBorders>
              <w:top w:val="nil"/>
              <w:left w:val="nil"/>
              <w:bottom w:val="single" w:sz="4" w:space="0" w:color="auto"/>
              <w:right w:val="single" w:sz="4" w:space="0" w:color="auto"/>
            </w:tcBorders>
            <w:shd w:val="clear" w:color="auto" w:fill="F2F2F2" w:themeFill="background1" w:themeFillShade="F2"/>
            <w:vAlign w:val="center"/>
            <w:hideMark/>
          </w:tcPr>
          <w:p w14:paraId="51C14F6A"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102,69%</w:t>
            </w:r>
          </w:p>
        </w:tc>
      </w:tr>
      <w:tr w:rsidR="00295A8E" w:rsidRPr="00746E61" w14:paraId="11F5DEE3" w14:textId="77777777" w:rsidTr="00295A8E">
        <w:trPr>
          <w:trHeight w:val="290"/>
          <w:jc w:val="center"/>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14:paraId="10EE621F" w14:textId="77777777" w:rsidR="00295A8E" w:rsidRPr="00746E61" w:rsidRDefault="00295A8E"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Penal de San Carlos</w:t>
            </w:r>
          </w:p>
        </w:tc>
        <w:tc>
          <w:tcPr>
            <w:tcW w:w="1052" w:type="dxa"/>
            <w:tcBorders>
              <w:top w:val="nil"/>
              <w:left w:val="nil"/>
              <w:bottom w:val="single" w:sz="4" w:space="0" w:color="auto"/>
              <w:right w:val="single" w:sz="4" w:space="0" w:color="auto"/>
            </w:tcBorders>
            <w:shd w:val="clear" w:color="auto" w:fill="auto"/>
            <w:noWrap/>
            <w:vAlign w:val="center"/>
            <w:hideMark/>
          </w:tcPr>
          <w:p w14:paraId="2436EEC5"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56</w:t>
            </w:r>
          </w:p>
        </w:tc>
        <w:tc>
          <w:tcPr>
            <w:tcW w:w="1052" w:type="dxa"/>
            <w:tcBorders>
              <w:top w:val="nil"/>
              <w:left w:val="nil"/>
              <w:bottom w:val="single" w:sz="4" w:space="0" w:color="auto"/>
              <w:right w:val="single" w:sz="4" w:space="0" w:color="auto"/>
            </w:tcBorders>
            <w:shd w:val="clear" w:color="auto" w:fill="auto"/>
            <w:noWrap/>
            <w:vAlign w:val="center"/>
            <w:hideMark/>
          </w:tcPr>
          <w:p w14:paraId="6A72C2D7"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44</w:t>
            </w:r>
          </w:p>
        </w:tc>
        <w:tc>
          <w:tcPr>
            <w:tcW w:w="1052" w:type="dxa"/>
            <w:tcBorders>
              <w:top w:val="nil"/>
              <w:left w:val="nil"/>
              <w:bottom w:val="single" w:sz="4" w:space="0" w:color="auto"/>
              <w:right w:val="single" w:sz="4" w:space="0" w:color="auto"/>
            </w:tcBorders>
            <w:shd w:val="clear" w:color="auto" w:fill="auto"/>
            <w:noWrap/>
            <w:vAlign w:val="center"/>
            <w:hideMark/>
          </w:tcPr>
          <w:p w14:paraId="4FA9A079"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71</w:t>
            </w:r>
          </w:p>
        </w:tc>
        <w:tc>
          <w:tcPr>
            <w:tcW w:w="1963" w:type="dxa"/>
            <w:tcBorders>
              <w:top w:val="nil"/>
              <w:left w:val="nil"/>
              <w:bottom w:val="single" w:sz="4" w:space="0" w:color="auto"/>
              <w:right w:val="single" w:sz="4" w:space="0" w:color="auto"/>
            </w:tcBorders>
            <w:shd w:val="clear" w:color="auto" w:fill="auto"/>
            <w:vAlign w:val="center"/>
            <w:hideMark/>
          </w:tcPr>
          <w:p w14:paraId="397E3127"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27,07%</w:t>
            </w:r>
          </w:p>
        </w:tc>
        <w:tc>
          <w:tcPr>
            <w:tcW w:w="1984" w:type="dxa"/>
            <w:tcBorders>
              <w:top w:val="nil"/>
              <w:left w:val="nil"/>
              <w:bottom w:val="single" w:sz="4" w:space="0" w:color="auto"/>
              <w:right w:val="single" w:sz="4" w:space="0" w:color="auto"/>
            </w:tcBorders>
            <w:shd w:val="clear" w:color="auto" w:fill="auto"/>
            <w:vAlign w:val="center"/>
            <w:hideMark/>
          </w:tcPr>
          <w:p w14:paraId="39306DED"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62,00%</w:t>
            </w:r>
          </w:p>
        </w:tc>
      </w:tr>
      <w:tr w:rsidR="00295A8E" w:rsidRPr="00746E61" w14:paraId="60367E8F" w14:textId="77777777" w:rsidTr="00295A8E">
        <w:trPr>
          <w:trHeight w:val="290"/>
          <w:jc w:val="center"/>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14:paraId="20747060" w14:textId="77777777" w:rsidR="00295A8E" w:rsidRPr="00746E61" w:rsidRDefault="00295A8E"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Penal de Cañas</w:t>
            </w:r>
          </w:p>
        </w:tc>
        <w:tc>
          <w:tcPr>
            <w:tcW w:w="1052" w:type="dxa"/>
            <w:tcBorders>
              <w:top w:val="nil"/>
              <w:left w:val="nil"/>
              <w:bottom w:val="single" w:sz="4" w:space="0" w:color="auto"/>
              <w:right w:val="single" w:sz="4" w:space="0" w:color="auto"/>
            </w:tcBorders>
            <w:shd w:val="clear" w:color="auto" w:fill="auto"/>
            <w:noWrap/>
            <w:vAlign w:val="center"/>
            <w:hideMark/>
          </w:tcPr>
          <w:p w14:paraId="2E07D869"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30</w:t>
            </w:r>
          </w:p>
        </w:tc>
        <w:tc>
          <w:tcPr>
            <w:tcW w:w="1052" w:type="dxa"/>
            <w:tcBorders>
              <w:top w:val="nil"/>
              <w:left w:val="nil"/>
              <w:bottom w:val="single" w:sz="4" w:space="0" w:color="auto"/>
              <w:right w:val="single" w:sz="4" w:space="0" w:color="auto"/>
            </w:tcBorders>
            <w:shd w:val="clear" w:color="auto" w:fill="auto"/>
            <w:noWrap/>
            <w:vAlign w:val="center"/>
            <w:hideMark/>
          </w:tcPr>
          <w:p w14:paraId="7E05FD32"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29</w:t>
            </w:r>
          </w:p>
        </w:tc>
        <w:tc>
          <w:tcPr>
            <w:tcW w:w="1052" w:type="dxa"/>
            <w:tcBorders>
              <w:top w:val="nil"/>
              <w:left w:val="nil"/>
              <w:bottom w:val="single" w:sz="4" w:space="0" w:color="auto"/>
              <w:right w:val="single" w:sz="4" w:space="0" w:color="auto"/>
            </w:tcBorders>
            <w:shd w:val="clear" w:color="auto" w:fill="auto"/>
            <w:noWrap/>
            <w:vAlign w:val="center"/>
            <w:hideMark/>
          </w:tcPr>
          <w:p w14:paraId="46CF6B30"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38</w:t>
            </w:r>
          </w:p>
        </w:tc>
        <w:tc>
          <w:tcPr>
            <w:tcW w:w="1963" w:type="dxa"/>
            <w:tcBorders>
              <w:top w:val="nil"/>
              <w:left w:val="nil"/>
              <w:bottom w:val="single" w:sz="4" w:space="0" w:color="auto"/>
              <w:right w:val="single" w:sz="4" w:space="0" w:color="auto"/>
            </w:tcBorders>
            <w:shd w:val="clear" w:color="auto" w:fill="auto"/>
            <w:vAlign w:val="center"/>
            <w:hideMark/>
          </w:tcPr>
          <w:p w14:paraId="1E4FEC60"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26,03%</w:t>
            </w:r>
          </w:p>
        </w:tc>
        <w:tc>
          <w:tcPr>
            <w:tcW w:w="1984" w:type="dxa"/>
            <w:tcBorders>
              <w:top w:val="nil"/>
              <w:left w:val="nil"/>
              <w:bottom w:val="single" w:sz="4" w:space="0" w:color="auto"/>
              <w:right w:val="single" w:sz="4" w:space="0" w:color="auto"/>
            </w:tcBorders>
            <w:shd w:val="clear" w:color="auto" w:fill="auto"/>
            <w:vAlign w:val="center"/>
            <w:hideMark/>
          </w:tcPr>
          <w:p w14:paraId="7B2BF3D7"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29,11%</w:t>
            </w:r>
          </w:p>
        </w:tc>
      </w:tr>
      <w:tr w:rsidR="00295A8E" w:rsidRPr="00746E61" w14:paraId="6AA9FECF" w14:textId="77777777" w:rsidTr="00295A8E">
        <w:trPr>
          <w:trHeight w:val="290"/>
          <w:jc w:val="center"/>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14:paraId="25A20CBE" w14:textId="77777777" w:rsidR="00295A8E" w:rsidRPr="00746E61" w:rsidRDefault="00295A8E"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Penal de Goicochea</w:t>
            </w:r>
          </w:p>
        </w:tc>
        <w:tc>
          <w:tcPr>
            <w:tcW w:w="1052" w:type="dxa"/>
            <w:tcBorders>
              <w:top w:val="nil"/>
              <w:left w:val="nil"/>
              <w:bottom w:val="single" w:sz="4" w:space="0" w:color="auto"/>
              <w:right w:val="single" w:sz="4" w:space="0" w:color="auto"/>
            </w:tcBorders>
            <w:shd w:val="clear" w:color="auto" w:fill="auto"/>
            <w:noWrap/>
            <w:vAlign w:val="center"/>
            <w:hideMark/>
          </w:tcPr>
          <w:p w14:paraId="54CF91DD"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67</w:t>
            </w:r>
          </w:p>
        </w:tc>
        <w:tc>
          <w:tcPr>
            <w:tcW w:w="1052" w:type="dxa"/>
            <w:tcBorders>
              <w:top w:val="nil"/>
              <w:left w:val="nil"/>
              <w:bottom w:val="single" w:sz="4" w:space="0" w:color="auto"/>
              <w:right w:val="single" w:sz="4" w:space="0" w:color="auto"/>
            </w:tcBorders>
            <w:shd w:val="clear" w:color="auto" w:fill="auto"/>
            <w:noWrap/>
            <w:vAlign w:val="center"/>
            <w:hideMark/>
          </w:tcPr>
          <w:p w14:paraId="3A1BB802"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64</w:t>
            </w:r>
          </w:p>
        </w:tc>
        <w:tc>
          <w:tcPr>
            <w:tcW w:w="1052" w:type="dxa"/>
            <w:tcBorders>
              <w:top w:val="nil"/>
              <w:left w:val="nil"/>
              <w:bottom w:val="single" w:sz="4" w:space="0" w:color="auto"/>
              <w:right w:val="single" w:sz="4" w:space="0" w:color="auto"/>
            </w:tcBorders>
            <w:shd w:val="clear" w:color="auto" w:fill="auto"/>
            <w:noWrap/>
            <w:vAlign w:val="center"/>
            <w:hideMark/>
          </w:tcPr>
          <w:p w14:paraId="546EEDB5"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84</w:t>
            </w:r>
          </w:p>
        </w:tc>
        <w:tc>
          <w:tcPr>
            <w:tcW w:w="1963" w:type="dxa"/>
            <w:tcBorders>
              <w:top w:val="nil"/>
              <w:left w:val="nil"/>
              <w:bottom w:val="single" w:sz="4" w:space="0" w:color="auto"/>
              <w:right w:val="single" w:sz="4" w:space="0" w:color="auto"/>
            </w:tcBorders>
            <w:shd w:val="clear" w:color="auto" w:fill="auto"/>
            <w:vAlign w:val="center"/>
            <w:hideMark/>
          </w:tcPr>
          <w:p w14:paraId="3EA20F72"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24,83%</w:t>
            </w:r>
          </w:p>
        </w:tc>
        <w:tc>
          <w:tcPr>
            <w:tcW w:w="1984" w:type="dxa"/>
            <w:tcBorders>
              <w:top w:val="nil"/>
              <w:left w:val="nil"/>
              <w:bottom w:val="single" w:sz="4" w:space="0" w:color="auto"/>
              <w:right w:val="single" w:sz="4" w:space="0" w:color="auto"/>
            </w:tcBorders>
            <w:shd w:val="clear" w:color="auto" w:fill="auto"/>
            <w:vAlign w:val="center"/>
            <w:hideMark/>
          </w:tcPr>
          <w:p w14:paraId="6A376852"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31,43%</w:t>
            </w:r>
          </w:p>
        </w:tc>
      </w:tr>
      <w:tr w:rsidR="00295A8E" w:rsidRPr="00746E61" w14:paraId="32C41CEE" w14:textId="77777777" w:rsidTr="00295A8E">
        <w:trPr>
          <w:trHeight w:val="290"/>
          <w:jc w:val="center"/>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14:paraId="16A1300E" w14:textId="77777777" w:rsidR="00295A8E" w:rsidRPr="00746E61" w:rsidRDefault="00295A8E"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Penal de Grecia</w:t>
            </w:r>
          </w:p>
        </w:tc>
        <w:tc>
          <w:tcPr>
            <w:tcW w:w="1052" w:type="dxa"/>
            <w:tcBorders>
              <w:top w:val="nil"/>
              <w:left w:val="nil"/>
              <w:bottom w:val="single" w:sz="4" w:space="0" w:color="auto"/>
              <w:right w:val="single" w:sz="4" w:space="0" w:color="auto"/>
            </w:tcBorders>
            <w:shd w:val="clear" w:color="auto" w:fill="auto"/>
            <w:noWrap/>
            <w:vAlign w:val="center"/>
            <w:hideMark/>
          </w:tcPr>
          <w:p w14:paraId="40BD4F4B"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16</w:t>
            </w:r>
          </w:p>
        </w:tc>
        <w:tc>
          <w:tcPr>
            <w:tcW w:w="1052" w:type="dxa"/>
            <w:tcBorders>
              <w:top w:val="nil"/>
              <w:left w:val="nil"/>
              <w:bottom w:val="single" w:sz="4" w:space="0" w:color="auto"/>
              <w:right w:val="single" w:sz="4" w:space="0" w:color="auto"/>
            </w:tcBorders>
            <w:shd w:val="clear" w:color="auto" w:fill="auto"/>
            <w:noWrap/>
            <w:vAlign w:val="center"/>
            <w:hideMark/>
          </w:tcPr>
          <w:p w14:paraId="3997D1A7"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19</w:t>
            </w:r>
          </w:p>
        </w:tc>
        <w:tc>
          <w:tcPr>
            <w:tcW w:w="1052" w:type="dxa"/>
            <w:tcBorders>
              <w:top w:val="nil"/>
              <w:left w:val="nil"/>
              <w:bottom w:val="single" w:sz="4" w:space="0" w:color="auto"/>
              <w:right w:val="single" w:sz="4" w:space="0" w:color="auto"/>
            </w:tcBorders>
            <w:shd w:val="clear" w:color="auto" w:fill="auto"/>
            <w:noWrap/>
            <w:vAlign w:val="center"/>
            <w:hideMark/>
          </w:tcPr>
          <w:p w14:paraId="1052D29B"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20</w:t>
            </w:r>
          </w:p>
        </w:tc>
        <w:tc>
          <w:tcPr>
            <w:tcW w:w="1963" w:type="dxa"/>
            <w:tcBorders>
              <w:top w:val="nil"/>
              <w:left w:val="nil"/>
              <w:bottom w:val="single" w:sz="4" w:space="0" w:color="auto"/>
              <w:right w:val="single" w:sz="4" w:space="0" w:color="auto"/>
            </w:tcBorders>
            <w:shd w:val="clear" w:color="auto" w:fill="auto"/>
            <w:vAlign w:val="center"/>
            <w:hideMark/>
          </w:tcPr>
          <w:p w14:paraId="54663D1A"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24,40%</w:t>
            </w:r>
          </w:p>
        </w:tc>
        <w:tc>
          <w:tcPr>
            <w:tcW w:w="1984" w:type="dxa"/>
            <w:tcBorders>
              <w:top w:val="nil"/>
              <w:left w:val="nil"/>
              <w:bottom w:val="single" w:sz="4" w:space="0" w:color="auto"/>
              <w:right w:val="single" w:sz="4" w:space="0" w:color="auto"/>
            </w:tcBorders>
            <w:shd w:val="clear" w:color="auto" w:fill="auto"/>
            <w:vAlign w:val="center"/>
            <w:hideMark/>
          </w:tcPr>
          <w:p w14:paraId="71430282"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4,43%</w:t>
            </w:r>
          </w:p>
        </w:tc>
      </w:tr>
      <w:tr w:rsidR="00295A8E" w:rsidRPr="00746E61" w14:paraId="047F9F94" w14:textId="77777777" w:rsidTr="00295A8E">
        <w:trPr>
          <w:trHeight w:val="290"/>
          <w:jc w:val="center"/>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14:paraId="289698ED" w14:textId="77777777" w:rsidR="00295A8E" w:rsidRPr="00746E61" w:rsidRDefault="00295A8E"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Penal de San Ramón</w:t>
            </w:r>
          </w:p>
        </w:tc>
        <w:tc>
          <w:tcPr>
            <w:tcW w:w="1052" w:type="dxa"/>
            <w:tcBorders>
              <w:top w:val="nil"/>
              <w:left w:val="nil"/>
              <w:bottom w:val="single" w:sz="4" w:space="0" w:color="auto"/>
              <w:right w:val="single" w:sz="4" w:space="0" w:color="auto"/>
            </w:tcBorders>
            <w:shd w:val="clear" w:color="auto" w:fill="auto"/>
            <w:noWrap/>
            <w:vAlign w:val="center"/>
            <w:hideMark/>
          </w:tcPr>
          <w:p w14:paraId="347573FF"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17</w:t>
            </w:r>
          </w:p>
        </w:tc>
        <w:tc>
          <w:tcPr>
            <w:tcW w:w="1052" w:type="dxa"/>
            <w:tcBorders>
              <w:top w:val="nil"/>
              <w:left w:val="nil"/>
              <w:bottom w:val="single" w:sz="4" w:space="0" w:color="auto"/>
              <w:right w:val="single" w:sz="4" w:space="0" w:color="auto"/>
            </w:tcBorders>
            <w:shd w:val="clear" w:color="auto" w:fill="auto"/>
            <w:noWrap/>
            <w:vAlign w:val="center"/>
            <w:hideMark/>
          </w:tcPr>
          <w:p w14:paraId="18EFC472"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15</w:t>
            </w:r>
          </w:p>
        </w:tc>
        <w:tc>
          <w:tcPr>
            <w:tcW w:w="1052" w:type="dxa"/>
            <w:tcBorders>
              <w:top w:val="nil"/>
              <w:left w:val="nil"/>
              <w:bottom w:val="single" w:sz="4" w:space="0" w:color="auto"/>
              <w:right w:val="single" w:sz="4" w:space="0" w:color="auto"/>
            </w:tcBorders>
            <w:shd w:val="clear" w:color="auto" w:fill="auto"/>
            <w:noWrap/>
            <w:vAlign w:val="center"/>
            <w:hideMark/>
          </w:tcPr>
          <w:p w14:paraId="415015D7"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21</w:t>
            </w:r>
          </w:p>
        </w:tc>
        <w:tc>
          <w:tcPr>
            <w:tcW w:w="1963" w:type="dxa"/>
            <w:tcBorders>
              <w:top w:val="nil"/>
              <w:left w:val="nil"/>
              <w:bottom w:val="single" w:sz="4" w:space="0" w:color="auto"/>
              <w:right w:val="single" w:sz="4" w:space="0" w:color="auto"/>
            </w:tcBorders>
            <w:shd w:val="clear" w:color="auto" w:fill="auto"/>
            <w:vAlign w:val="center"/>
            <w:hideMark/>
          </w:tcPr>
          <w:p w14:paraId="3862BD6F"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22,01%</w:t>
            </w:r>
          </w:p>
        </w:tc>
        <w:tc>
          <w:tcPr>
            <w:tcW w:w="1984" w:type="dxa"/>
            <w:tcBorders>
              <w:top w:val="nil"/>
              <w:left w:val="nil"/>
              <w:bottom w:val="single" w:sz="4" w:space="0" w:color="auto"/>
              <w:right w:val="single" w:sz="4" w:space="0" w:color="auto"/>
            </w:tcBorders>
            <w:shd w:val="clear" w:color="auto" w:fill="auto"/>
            <w:vAlign w:val="center"/>
            <w:hideMark/>
          </w:tcPr>
          <w:p w14:paraId="3F0A2D7B"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37,00%</w:t>
            </w:r>
          </w:p>
        </w:tc>
      </w:tr>
      <w:tr w:rsidR="00295A8E" w:rsidRPr="00746E61" w14:paraId="34A93766" w14:textId="77777777" w:rsidTr="00295A8E">
        <w:trPr>
          <w:trHeight w:val="290"/>
          <w:jc w:val="center"/>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14:paraId="2F19A6B7" w14:textId="77777777" w:rsidR="00295A8E" w:rsidRPr="00746E61" w:rsidRDefault="00295A8E"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Penal de Liberia</w:t>
            </w:r>
          </w:p>
        </w:tc>
        <w:tc>
          <w:tcPr>
            <w:tcW w:w="1052" w:type="dxa"/>
            <w:tcBorders>
              <w:top w:val="nil"/>
              <w:left w:val="nil"/>
              <w:bottom w:val="single" w:sz="4" w:space="0" w:color="auto"/>
              <w:right w:val="single" w:sz="4" w:space="0" w:color="auto"/>
            </w:tcBorders>
            <w:shd w:val="clear" w:color="auto" w:fill="auto"/>
            <w:noWrap/>
            <w:vAlign w:val="center"/>
            <w:hideMark/>
          </w:tcPr>
          <w:p w14:paraId="061D8BEE"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46</w:t>
            </w:r>
          </w:p>
        </w:tc>
        <w:tc>
          <w:tcPr>
            <w:tcW w:w="1052" w:type="dxa"/>
            <w:tcBorders>
              <w:top w:val="nil"/>
              <w:left w:val="nil"/>
              <w:bottom w:val="single" w:sz="4" w:space="0" w:color="auto"/>
              <w:right w:val="single" w:sz="4" w:space="0" w:color="auto"/>
            </w:tcBorders>
            <w:shd w:val="clear" w:color="auto" w:fill="auto"/>
            <w:noWrap/>
            <w:vAlign w:val="center"/>
            <w:hideMark/>
          </w:tcPr>
          <w:p w14:paraId="368DEDF2"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34</w:t>
            </w:r>
          </w:p>
        </w:tc>
        <w:tc>
          <w:tcPr>
            <w:tcW w:w="1052" w:type="dxa"/>
            <w:tcBorders>
              <w:top w:val="nil"/>
              <w:left w:val="nil"/>
              <w:bottom w:val="single" w:sz="4" w:space="0" w:color="auto"/>
              <w:right w:val="single" w:sz="4" w:space="0" w:color="auto"/>
            </w:tcBorders>
            <w:shd w:val="clear" w:color="auto" w:fill="auto"/>
            <w:noWrap/>
            <w:vAlign w:val="center"/>
            <w:hideMark/>
          </w:tcPr>
          <w:p w14:paraId="7DEE3780"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50</w:t>
            </w:r>
          </w:p>
        </w:tc>
        <w:tc>
          <w:tcPr>
            <w:tcW w:w="1963" w:type="dxa"/>
            <w:tcBorders>
              <w:top w:val="nil"/>
              <w:left w:val="nil"/>
              <w:bottom w:val="single" w:sz="4" w:space="0" w:color="auto"/>
              <w:right w:val="single" w:sz="4" w:space="0" w:color="auto"/>
            </w:tcBorders>
            <w:shd w:val="clear" w:color="auto" w:fill="auto"/>
            <w:vAlign w:val="center"/>
            <w:hideMark/>
          </w:tcPr>
          <w:p w14:paraId="36D41A7E"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9,69%</w:t>
            </w:r>
          </w:p>
        </w:tc>
        <w:tc>
          <w:tcPr>
            <w:tcW w:w="1984" w:type="dxa"/>
            <w:tcBorders>
              <w:top w:val="nil"/>
              <w:left w:val="nil"/>
              <w:bottom w:val="single" w:sz="4" w:space="0" w:color="auto"/>
              <w:right w:val="single" w:sz="4" w:space="0" w:color="auto"/>
            </w:tcBorders>
            <w:shd w:val="clear" w:color="auto" w:fill="auto"/>
            <w:vAlign w:val="center"/>
            <w:hideMark/>
          </w:tcPr>
          <w:p w14:paraId="02092A52"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49,56%</w:t>
            </w:r>
          </w:p>
        </w:tc>
      </w:tr>
      <w:tr w:rsidR="00295A8E" w:rsidRPr="00746E61" w14:paraId="7C2549D0" w14:textId="77777777" w:rsidTr="00295A8E">
        <w:trPr>
          <w:trHeight w:val="290"/>
          <w:jc w:val="center"/>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14:paraId="5ABF12F5" w14:textId="77777777" w:rsidR="00295A8E" w:rsidRPr="00746E61" w:rsidRDefault="00295A8E"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Penal de Pérez Zeledón</w:t>
            </w:r>
          </w:p>
        </w:tc>
        <w:tc>
          <w:tcPr>
            <w:tcW w:w="1052" w:type="dxa"/>
            <w:tcBorders>
              <w:top w:val="nil"/>
              <w:left w:val="nil"/>
              <w:bottom w:val="single" w:sz="4" w:space="0" w:color="auto"/>
              <w:right w:val="single" w:sz="4" w:space="0" w:color="auto"/>
            </w:tcBorders>
            <w:shd w:val="clear" w:color="auto" w:fill="auto"/>
            <w:noWrap/>
            <w:vAlign w:val="center"/>
            <w:hideMark/>
          </w:tcPr>
          <w:p w14:paraId="6F4715BF"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47</w:t>
            </w:r>
          </w:p>
        </w:tc>
        <w:tc>
          <w:tcPr>
            <w:tcW w:w="1052" w:type="dxa"/>
            <w:tcBorders>
              <w:top w:val="nil"/>
              <w:left w:val="nil"/>
              <w:bottom w:val="single" w:sz="4" w:space="0" w:color="auto"/>
              <w:right w:val="single" w:sz="4" w:space="0" w:color="auto"/>
            </w:tcBorders>
            <w:shd w:val="clear" w:color="auto" w:fill="auto"/>
            <w:noWrap/>
            <w:vAlign w:val="center"/>
            <w:hideMark/>
          </w:tcPr>
          <w:p w14:paraId="151A2AF0"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42</w:t>
            </w:r>
          </w:p>
        </w:tc>
        <w:tc>
          <w:tcPr>
            <w:tcW w:w="1052" w:type="dxa"/>
            <w:tcBorders>
              <w:top w:val="nil"/>
              <w:left w:val="nil"/>
              <w:bottom w:val="single" w:sz="4" w:space="0" w:color="auto"/>
              <w:right w:val="single" w:sz="4" w:space="0" w:color="auto"/>
            </w:tcBorders>
            <w:shd w:val="clear" w:color="auto" w:fill="auto"/>
            <w:noWrap/>
            <w:vAlign w:val="center"/>
            <w:hideMark/>
          </w:tcPr>
          <w:p w14:paraId="27EDF80E"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52</w:t>
            </w:r>
          </w:p>
        </w:tc>
        <w:tc>
          <w:tcPr>
            <w:tcW w:w="1963" w:type="dxa"/>
            <w:tcBorders>
              <w:top w:val="nil"/>
              <w:left w:val="nil"/>
              <w:bottom w:val="single" w:sz="4" w:space="0" w:color="auto"/>
              <w:right w:val="single" w:sz="4" w:space="0" w:color="auto"/>
            </w:tcBorders>
            <w:shd w:val="clear" w:color="auto" w:fill="auto"/>
            <w:vAlign w:val="center"/>
            <w:hideMark/>
          </w:tcPr>
          <w:p w14:paraId="6F51F3C5"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9,46%</w:t>
            </w:r>
          </w:p>
        </w:tc>
        <w:tc>
          <w:tcPr>
            <w:tcW w:w="1984" w:type="dxa"/>
            <w:tcBorders>
              <w:top w:val="nil"/>
              <w:left w:val="nil"/>
              <w:bottom w:val="single" w:sz="4" w:space="0" w:color="auto"/>
              <w:right w:val="single" w:sz="4" w:space="0" w:color="auto"/>
            </w:tcBorders>
            <w:shd w:val="clear" w:color="auto" w:fill="auto"/>
            <w:vAlign w:val="center"/>
            <w:hideMark/>
          </w:tcPr>
          <w:p w14:paraId="3601BFBB"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21,83%</w:t>
            </w:r>
          </w:p>
        </w:tc>
      </w:tr>
      <w:tr w:rsidR="00295A8E" w:rsidRPr="00746E61" w14:paraId="37F3E0D3" w14:textId="77777777" w:rsidTr="00295A8E">
        <w:trPr>
          <w:trHeight w:val="290"/>
          <w:jc w:val="center"/>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14:paraId="3D8DAB72" w14:textId="77777777" w:rsidR="00295A8E" w:rsidRPr="00746E61" w:rsidRDefault="00295A8E"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Penal de Limón</w:t>
            </w:r>
          </w:p>
        </w:tc>
        <w:tc>
          <w:tcPr>
            <w:tcW w:w="1052" w:type="dxa"/>
            <w:tcBorders>
              <w:top w:val="nil"/>
              <w:left w:val="nil"/>
              <w:bottom w:val="single" w:sz="4" w:space="0" w:color="auto"/>
              <w:right w:val="single" w:sz="4" w:space="0" w:color="auto"/>
            </w:tcBorders>
            <w:shd w:val="clear" w:color="auto" w:fill="auto"/>
            <w:noWrap/>
            <w:vAlign w:val="center"/>
            <w:hideMark/>
          </w:tcPr>
          <w:p w14:paraId="7EF70A0E"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113</w:t>
            </w:r>
          </w:p>
        </w:tc>
        <w:tc>
          <w:tcPr>
            <w:tcW w:w="1052" w:type="dxa"/>
            <w:tcBorders>
              <w:top w:val="nil"/>
              <w:left w:val="nil"/>
              <w:bottom w:val="single" w:sz="4" w:space="0" w:color="auto"/>
              <w:right w:val="single" w:sz="4" w:space="0" w:color="auto"/>
            </w:tcBorders>
            <w:shd w:val="clear" w:color="auto" w:fill="auto"/>
            <w:noWrap/>
            <w:vAlign w:val="center"/>
            <w:hideMark/>
          </w:tcPr>
          <w:p w14:paraId="6649AC86"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91</w:t>
            </w:r>
          </w:p>
        </w:tc>
        <w:tc>
          <w:tcPr>
            <w:tcW w:w="1052" w:type="dxa"/>
            <w:tcBorders>
              <w:top w:val="nil"/>
              <w:left w:val="nil"/>
              <w:bottom w:val="single" w:sz="4" w:space="0" w:color="auto"/>
              <w:right w:val="single" w:sz="4" w:space="0" w:color="auto"/>
            </w:tcBorders>
            <w:shd w:val="clear" w:color="auto" w:fill="auto"/>
            <w:noWrap/>
            <w:vAlign w:val="center"/>
            <w:hideMark/>
          </w:tcPr>
          <w:p w14:paraId="336C912F"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115</w:t>
            </w:r>
          </w:p>
        </w:tc>
        <w:tc>
          <w:tcPr>
            <w:tcW w:w="1963" w:type="dxa"/>
            <w:tcBorders>
              <w:top w:val="nil"/>
              <w:left w:val="nil"/>
              <w:bottom w:val="single" w:sz="4" w:space="0" w:color="auto"/>
              <w:right w:val="single" w:sz="4" w:space="0" w:color="auto"/>
            </w:tcBorders>
            <w:shd w:val="clear" w:color="auto" w:fill="auto"/>
            <w:vAlign w:val="center"/>
            <w:hideMark/>
          </w:tcPr>
          <w:p w14:paraId="670A7F41"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1,63%</w:t>
            </w:r>
          </w:p>
        </w:tc>
        <w:tc>
          <w:tcPr>
            <w:tcW w:w="1984" w:type="dxa"/>
            <w:tcBorders>
              <w:top w:val="nil"/>
              <w:left w:val="nil"/>
              <w:bottom w:val="single" w:sz="4" w:space="0" w:color="auto"/>
              <w:right w:val="single" w:sz="4" w:space="0" w:color="auto"/>
            </w:tcBorders>
            <w:shd w:val="clear" w:color="auto" w:fill="auto"/>
            <w:vAlign w:val="center"/>
            <w:hideMark/>
          </w:tcPr>
          <w:p w14:paraId="18C0CFE2"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26,29%</w:t>
            </w:r>
          </w:p>
        </w:tc>
      </w:tr>
      <w:tr w:rsidR="00295A8E" w:rsidRPr="00746E61" w14:paraId="32AEA1B5" w14:textId="77777777" w:rsidTr="00295A8E">
        <w:trPr>
          <w:trHeight w:val="290"/>
          <w:jc w:val="center"/>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14:paraId="2204E2AF" w14:textId="77777777" w:rsidR="00295A8E" w:rsidRPr="00746E61" w:rsidRDefault="00295A8E"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Penal de Osa</w:t>
            </w:r>
          </w:p>
        </w:tc>
        <w:tc>
          <w:tcPr>
            <w:tcW w:w="1052" w:type="dxa"/>
            <w:tcBorders>
              <w:top w:val="nil"/>
              <w:left w:val="nil"/>
              <w:bottom w:val="single" w:sz="4" w:space="0" w:color="auto"/>
              <w:right w:val="single" w:sz="4" w:space="0" w:color="auto"/>
            </w:tcBorders>
            <w:shd w:val="clear" w:color="auto" w:fill="auto"/>
            <w:noWrap/>
            <w:vAlign w:val="center"/>
            <w:hideMark/>
          </w:tcPr>
          <w:p w14:paraId="307919DC"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13</w:t>
            </w:r>
          </w:p>
        </w:tc>
        <w:tc>
          <w:tcPr>
            <w:tcW w:w="1052" w:type="dxa"/>
            <w:tcBorders>
              <w:top w:val="nil"/>
              <w:left w:val="nil"/>
              <w:bottom w:val="single" w:sz="4" w:space="0" w:color="auto"/>
              <w:right w:val="single" w:sz="4" w:space="0" w:color="auto"/>
            </w:tcBorders>
            <w:shd w:val="clear" w:color="auto" w:fill="auto"/>
            <w:noWrap/>
            <w:vAlign w:val="center"/>
            <w:hideMark/>
          </w:tcPr>
          <w:p w14:paraId="30E1CEEF"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13</w:t>
            </w:r>
          </w:p>
        </w:tc>
        <w:tc>
          <w:tcPr>
            <w:tcW w:w="1052" w:type="dxa"/>
            <w:tcBorders>
              <w:top w:val="nil"/>
              <w:left w:val="nil"/>
              <w:bottom w:val="single" w:sz="4" w:space="0" w:color="auto"/>
              <w:right w:val="single" w:sz="4" w:space="0" w:color="auto"/>
            </w:tcBorders>
            <w:shd w:val="clear" w:color="auto" w:fill="auto"/>
            <w:noWrap/>
            <w:vAlign w:val="center"/>
            <w:hideMark/>
          </w:tcPr>
          <w:p w14:paraId="61CC81A3"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13</w:t>
            </w:r>
          </w:p>
        </w:tc>
        <w:tc>
          <w:tcPr>
            <w:tcW w:w="1963" w:type="dxa"/>
            <w:tcBorders>
              <w:top w:val="nil"/>
              <w:left w:val="nil"/>
              <w:bottom w:val="single" w:sz="4" w:space="0" w:color="auto"/>
              <w:right w:val="single" w:sz="4" w:space="0" w:color="auto"/>
            </w:tcBorders>
            <w:shd w:val="clear" w:color="auto" w:fill="auto"/>
            <w:vAlign w:val="center"/>
            <w:hideMark/>
          </w:tcPr>
          <w:p w14:paraId="7D9629BF"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0,66%</w:t>
            </w:r>
          </w:p>
        </w:tc>
        <w:tc>
          <w:tcPr>
            <w:tcW w:w="1984" w:type="dxa"/>
            <w:tcBorders>
              <w:top w:val="nil"/>
              <w:left w:val="nil"/>
              <w:bottom w:val="single" w:sz="4" w:space="0" w:color="auto"/>
              <w:right w:val="single" w:sz="4" w:space="0" w:color="auto"/>
            </w:tcBorders>
            <w:shd w:val="clear" w:color="auto" w:fill="auto"/>
            <w:vAlign w:val="center"/>
            <w:hideMark/>
          </w:tcPr>
          <w:p w14:paraId="04CC74EF"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-3,42%</w:t>
            </w:r>
          </w:p>
        </w:tc>
      </w:tr>
      <w:tr w:rsidR="00295A8E" w:rsidRPr="00746E61" w14:paraId="1CF124DC" w14:textId="77777777" w:rsidTr="00295A8E">
        <w:trPr>
          <w:trHeight w:val="290"/>
          <w:jc w:val="center"/>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14:paraId="707E6F06" w14:textId="77777777" w:rsidR="00295A8E" w:rsidRPr="00746E61" w:rsidRDefault="00295A8E"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Penal de Desamparados</w:t>
            </w:r>
          </w:p>
        </w:tc>
        <w:tc>
          <w:tcPr>
            <w:tcW w:w="1052" w:type="dxa"/>
            <w:tcBorders>
              <w:top w:val="nil"/>
              <w:left w:val="nil"/>
              <w:bottom w:val="single" w:sz="4" w:space="0" w:color="auto"/>
              <w:right w:val="single" w:sz="4" w:space="0" w:color="auto"/>
            </w:tcBorders>
            <w:shd w:val="clear" w:color="auto" w:fill="auto"/>
            <w:noWrap/>
            <w:vAlign w:val="center"/>
            <w:hideMark/>
          </w:tcPr>
          <w:p w14:paraId="3D7623F4"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37</w:t>
            </w:r>
          </w:p>
        </w:tc>
        <w:tc>
          <w:tcPr>
            <w:tcW w:w="1052" w:type="dxa"/>
            <w:tcBorders>
              <w:top w:val="nil"/>
              <w:left w:val="nil"/>
              <w:bottom w:val="single" w:sz="4" w:space="0" w:color="auto"/>
              <w:right w:val="single" w:sz="4" w:space="0" w:color="auto"/>
            </w:tcBorders>
            <w:shd w:val="clear" w:color="auto" w:fill="auto"/>
            <w:noWrap/>
            <w:vAlign w:val="center"/>
            <w:hideMark/>
          </w:tcPr>
          <w:p w14:paraId="784E1B55"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26</w:t>
            </w:r>
          </w:p>
        </w:tc>
        <w:tc>
          <w:tcPr>
            <w:tcW w:w="1052" w:type="dxa"/>
            <w:tcBorders>
              <w:top w:val="nil"/>
              <w:left w:val="nil"/>
              <w:bottom w:val="single" w:sz="4" w:space="0" w:color="auto"/>
              <w:right w:val="single" w:sz="4" w:space="0" w:color="auto"/>
            </w:tcBorders>
            <w:shd w:val="clear" w:color="auto" w:fill="auto"/>
            <w:noWrap/>
            <w:vAlign w:val="center"/>
            <w:hideMark/>
          </w:tcPr>
          <w:p w14:paraId="677B87F5"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37</w:t>
            </w:r>
          </w:p>
        </w:tc>
        <w:tc>
          <w:tcPr>
            <w:tcW w:w="1963" w:type="dxa"/>
            <w:tcBorders>
              <w:top w:val="nil"/>
              <w:left w:val="nil"/>
              <w:bottom w:val="single" w:sz="4" w:space="0" w:color="auto"/>
              <w:right w:val="single" w:sz="4" w:space="0" w:color="auto"/>
            </w:tcBorders>
            <w:shd w:val="clear" w:color="auto" w:fill="auto"/>
            <w:vAlign w:val="center"/>
            <w:hideMark/>
          </w:tcPr>
          <w:p w14:paraId="091BBA6B"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0,63%</w:t>
            </w:r>
          </w:p>
        </w:tc>
        <w:tc>
          <w:tcPr>
            <w:tcW w:w="1984" w:type="dxa"/>
            <w:tcBorders>
              <w:top w:val="nil"/>
              <w:left w:val="nil"/>
              <w:bottom w:val="single" w:sz="4" w:space="0" w:color="auto"/>
              <w:right w:val="single" w:sz="4" w:space="0" w:color="auto"/>
            </w:tcBorders>
            <w:shd w:val="clear" w:color="auto" w:fill="auto"/>
            <w:vAlign w:val="center"/>
            <w:hideMark/>
          </w:tcPr>
          <w:p w14:paraId="07CB4A61"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39,93%</w:t>
            </w:r>
          </w:p>
        </w:tc>
      </w:tr>
      <w:tr w:rsidR="00295A8E" w:rsidRPr="00746E61" w14:paraId="57B78F1C" w14:textId="77777777" w:rsidTr="00295A8E">
        <w:trPr>
          <w:trHeight w:val="290"/>
          <w:jc w:val="center"/>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14:paraId="6A1FD98C" w14:textId="77777777" w:rsidR="00295A8E" w:rsidRPr="00746E61" w:rsidRDefault="00295A8E"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Penal de Santa Cruz</w:t>
            </w:r>
          </w:p>
        </w:tc>
        <w:tc>
          <w:tcPr>
            <w:tcW w:w="1052" w:type="dxa"/>
            <w:tcBorders>
              <w:top w:val="nil"/>
              <w:left w:val="nil"/>
              <w:bottom w:val="single" w:sz="4" w:space="0" w:color="auto"/>
              <w:right w:val="single" w:sz="4" w:space="0" w:color="auto"/>
            </w:tcBorders>
            <w:shd w:val="clear" w:color="auto" w:fill="auto"/>
            <w:noWrap/>
            <w:vAlign w:val="center"/>
            <w:hideMark/>
          </w:tcPr>
          <w:p w14:paraId="62E9B097"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40</w:t>
            </w:r>
          </w:p>
        </w:tc>
        <w:tc>
          <w:tcPr>
            <w:tcW w:w="1052" w:type="dxa"/>
            <w:tcBorders>
              <w:top w:val="nil"/>
              <w:left w:val="nil"/>
              <w:bottom w:val="single" w:sz="4" w:space="0" w:color="auto"/>
              <w:right w:val="single" w:sz="4" w:space="0" w:color="auto"/>
            </w:tcBorders>
            <w:shd w:val="clear" w:color="auto" w:fill="auto"/>
            <w:noWrap/>
            <w:vAlign w:val="center"/>
            <w:hideMark/>
          </w:tcPr>
          <w:p w14:paraId="3A287DCD"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24</w:t>
            </w:r>
          </w:p>
        </w:tc>
        <w:tc>
          <w:tcPr>
            <w:tcW w:w="1052" w:type="dxa"/>
            <w:tcBorders>
              <w:top w:val="nil"/>
              <w:left w:val="nil"/>
              <w:bottom w:val="single" w:sz="4" w:space="0" w:color="auto"/>
              <w:right w:val="single" w:sz="4" w:space="0" w:color="auto"/>
            </w:tcBorders>
            <w:shd w:val="clear" w:color="auto" w:fill="auto"/>
            <w:noWrap/>
            <w:vAlign w:val="center"/>
            <w:hideMark/>
          </w:tcPr>
          <w:p w14:paraId="3E6EFF5C"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39</w:t>
            </w:r>
          </w:p>
        </w:tc>
        <w:tc>
          <w:tcPr>
            <w:tcW w:w="1963" w:type="dxa"/>
            <w:tcBorders>
              <w:top w:val="nil"/>
              <w:left w:val="nil"/>
              <w:bottom w:val="single" w:sz="4" w:space="0" w:color="auto"/>
              <w:right w:val="single" w:sz="4" w:space="0" w:color="auto"/>
            </w:tcBorders>
            <w:shd w:val="clear" w:color="auto" w:fill="auto"/>
            <w:vAlign w:val="center"/>
            <w:hideMark/>
          </w:tcPr>
          <w:p w14:paraId="434736C0"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-0,81%</w:t>
            </w:r>
          </w:p>
        </w:tc>
        <w:tc>
          <w:tcPr>
            <w:tcW w:w="1984" w:type="dxa"/>
            <w:tcBorders>
              <w:top w:val="nil"/>
              <w:left w:val="nil"/>
              <w:bottom w:val="single" w:sz="4" w:space="0" w:color="auto"/>
              <w:right w:val="single" w:sz="4" w:space="0" w:color="auto"/>
            </w:tcBorders>
            <w:shd w:val="clear" w:color="auto" w:fill="auto"/>
            <w:vAlign w:val="center"/>
            <w:hideMark/>
          </w:tcPr>
          <w:p w14:paraId="1E0C44C9"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61,23%</w:t>
            </w:r>
          </w:p>
        </w:tc>
      </w:tr>
      <w:tr w:rsidR="00295A8E" w:rsidRPr="00746E61" w14:paraId="7D0A14FA" w14:textId="77777777" w:rsidTr="00295A8E">
        <w:trPr>
          <w:trHeight w:val="290"/>
          <w:jc w:val="center"/>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14:paraId="37FA18F0" w14:textId="77777777" w:rsidR="00295A8E" w:rsidRPr="00746E61" w:rsidRDefault="00295A8E"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Penal de San José</w:t>
            </w:r>
          </w:p>
        </w:tc>
        <w:tc>
          <w:tcPr>
            <w:tcW w:w="1052" w:type="dxa"/>
            <w:tcBorders>
              <w:top w:val="nil"/>
              <w:left w:val="nil"/>
              <w:bottom w:val="single" w:sz="4" w:space="0" w:color="auto"/>
              <w:right w:val="single" w:sz="4" w:space="0" w:color="auto"/>
            </w:tcBorders>
            <w:shd w:val="clear" w:color="auto" w:fill="auto"/>
            <w:noWrap/>
            <w:vAlign w:val="center"/>
            <w:hideMark/>
          </w:tcPr>
          <w:p w14:paraId="109B7B05"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108</w:t>
            </w:r>
          </w:p>
        </w:tc>
        <w:tc>
          <w:tcPr>
            <w:tcW w:w="1052" w:type="dxa"/>
            <w:tcBorders>
              <w:top w:val="nil"/>
              <w:left w:val="nil"/>
              <w:bottom w:val="single" w:sz="4" w:space="0" w:color="auto"/>
              <w:right w:val="single" w:sz="4" w:space="0" w:color="auto"/>
            </w:tcBorders>
            <w:shd w:val="clear" w:color="auto" w:fill="auto"/>
            <w:noWrap/>
            <w:vAlign w:val="center"/>
            <w:hideMark/>
          </w:tcPr>
          <w:p w14:paraId="37CB1B66"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58</w:t>
            </w:r>
          </w:p>
        </w:tc>
        <w:tc>
          <w:tcPr>
            <w:tcW w:w="1052" w:type="dxa"/>
            <w:tcBorders>
              <w:top w:val="nil"/>
              <w:left w:val="nil"/>
              <w:bottom w:val="single" w:sz="4" w:space="0" w:color="auto"/>
              <w:right w:val="single" w:sz="4" w:space="0" w:color="auto"/>
            </w:tcBorders>
            <w:shd w:val="clear" w:color="auto" w:fill="auto"/>
            <w:noWrap/>
            <w:vAlign w:val="center"/>
            <w:hideMark/>
          </w:tcPr>
          <w:p w14:paraId="05E6F4D2"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104</w:t>
            </w:r>
          </w:p>
        </w:tc>
        <w:tc>
          <w:tcPr>
            <w:tcW w:w="1963" w:type="dxa"/>
            <w:tcBorders>
              <w:top w:val="nil"/>
              <w:left w:val="nil"/>
              <w:bottom w:val="single" w:sz="4" w:space="0" w:color="auto"/>
              <w:right w:val="single" w:sz="4" w:space="0" w:color="auto"/>
            </w:tcBorders>
            <w:shd w:val="clear" w:color="auto" w:fill="auto"/>
            <w:vAlign w:val="center"/>
            <w:hideMark/>
          </w:tcPr>
          <w:p w14:paraId="084ACAD3"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-3,89%</w:t>
            </w:r>
          </w:p>
        </w:tc>
        <w:tc>
          <w:tcPr>
            <w:tcW w:w="1984" w:type="dxa"/>
            <w:tcBorders>
              <w:top w:val="nil"/>
              <w:left w:val="nil"/>
              <w:bottom w:val="single" w:sz="4" w:space="0" w:color="auto"/>
              <w:right w:val="single" w:sz="4" w:space="0" w:color="auto"/>
            </w:tcBorders>
            <w:shd w:val="clear" w:color="auto" w:fill="auto"/>
            <w:vAlign w:val="center"/>
            <w:hideMark/>
          </w:tcPr>
          <w:p w14:paraId="3853AC69"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78,97%</w:t>
            </w:r>
          </w:p>
        </w:tc>
      </w:tr>
      <w:tr w:rsidR="00295A8E" w:rsidRPr="00746E61" w14:paraId="5C8FF5D0" w14:textId="77777777" w:rsidTr="00295A8E">
        <w:trPr>
          <w:trHeight w:val="290"/>
          <w:jc w:val="center"/>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14:paraId="06D3BD0D" w14:textId="77777777" w:rsidR="00295A8E" w:rsidRPr="00746E61" w:rsidRDefault="00295A8E"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Penal de Puntarenas</w:t>
            </w:r>
          </w:p>
        </w:tc>
        <w:tc>
          <w:tcPr>
            <w:tcW w:w="1052" w:type="dxa"/>
            <w:tcBorders>
              <w:top w:val="nil"/>
              <w:left w:val="nil"/>
              <w:bottom w:val="single" w:sz="4" w:space="0" w:color="auto"/>
              <w:right w:val="single" w:sz="4" w:space="0" w:color="auto"/>
            </w:tcBorders>
            <w:shd w:val="clear" w:color="auto" w:fill="auto"/>
            <w:noWrap/>
            <w:vAlign w:val="center"/>
            <w:hideMark/>
          </w:tcPr>
          <w:p w14:paraId="04084383"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60</w:t>
            </w:r>
          </w:p>
        </w:tc>
        <w:tc>
          <w:tcPr>
            <w:tcW w:w="1052" w:type="dxa"/>
            <w:tcBorders>
              <w:top w:val="nil"/>
              <w:left w:val="nil"/>
              <w:bottom w:val="single" w:sz="4" w:space="0" w:color="auto"/>
              <w:right w:val="single" w:sz="4" w:space="0" w:color="auto"/>
            </w:tcBorders>
            <w:shd w:val="clear" w:color="auto" w:fill="auto"/>
            <w:noWrap/>
            <w:vAlign w:val="center"/>
            <w:hideMark/>
          </w:tcPr>
          <w:p w14:paraId="4C12BD60"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51</w:t>
            </w:r>
          </w:p>
        </w:tc>
        <w:tc>
          <w:tcPr>
            <w:tcW w:w="1052" w:type="dxa"/>
            <w:tcBorders>
              <w:top w:val="nil"/>
              <w:left w:val="nil"/>
              <w:bottom w:val="single" w:sz="4" w:space="0" w:color="auto"/>
              <w:right w:val="single" w:sz="4" w:space="0" w:color="auto"/>
            </w:tcBorders>
            <w:shd w:val="clear" w:color="auto" w:fill="auto"/>
            <w:noWrap/>
            <w:vAlign w:val="center"/>
            <w:hideMark/>
          </w:tcPr>
          <w:p w14:paraId="05F7DBFA"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57</w:t>
            </w:r>
          </w:p>
        </w:tc>
        <w:tc>
          <w:tcPr>
            <w:tcW w:w="1963" w:type="dxa"/>
            <w:tcBorders>
              <w:top w:val="nil"/>
              <w:left w:val="nil"/>
              <w:bottom w:val="single" w:sz="4" w:space="0" w:color="auto"/>
              <w:right w:val="single" w:sz="4" w:space="0" w:color="auto"/>
            </w:tcBorders>
            <w:shd w:val="clear" w:color="auto" w:fill="auto"/>
            <w:vAlign w:val="center"/>
            <w:hideMark/>
          </w:tcPr>
          <w:p w14:paraId="10BEBFF8"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-6,10%</w:t>
            </w:r>
          </w:p>
        </w:tc>
        <w:tc>
          <w:tcPr>
            <w:tcW w:w="1984" w:type="dxa"/>
            <w:tcBorders>
              <w:top w:val="nil"/>
              <w:left w:val="nil"/>
              <w:bottom w:val="single" w:sz="4" w:space="0" w:color="auto"/>
              <w:right w:val="single" w:sz="4" w:space="0" w:color="auto"/>
            </w:tcBorders>
            <w:shd w:val="clear" w:color="auto" w:fill="auto"/>
            <w:vAlign w:val="center"/>
            <w:hideMark/>
          </w:tcPr>
          <w:p w14:paraId="00D73EC7"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11,49%</w:t>
            </w:r>
          </w:p>
        </w:tc>
      </w:tr>
      <w:tr w:rsidR="00295A8E" w:rsidRPr="00746E61" w14:paraId="311001DC" w14:textId="77777777" w:rsidTr="00295A8E">
        <w:trPr>
          <w:trHeight w:val="290"/>
          <w:jc w:val="center"/>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14:paraId="19D61C22" w14:textId="77777777" w:rsidR="00295A8E" w:rsidRPr="00746E61" w:rsidRDefault="00295A8E"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Penal de Corredores</w:t>
            </w:r>
          </w:p>
        </w:tc>
        <w:tc>
          <w:tcPr>
            <w:tcW w:w="1052" w:type="dxa"/>
            <w:tcBorders>
              <w:top w:val="nil"/>
              <w:left w:val="nil"/>
              <w:bottom w:val="single" w:sz="4" w:space="0" w:color="auto"/>
              <w:right w:val="single" w:sz="4" w:space="0" w:color="auto"/>
            </w:tcBorders>
            <w:shd w:val="clear" w:color="auto" w:fill="auto"/>
            <w:noWrap/>
            <w:vAlign w:val="center"/>
            <w:hideMark/>
          </w:tcPr>
          <w:p w14:paraId="4602150D"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36</w:t>
            </w:r>
          </w:p>
        </w:tc>
        <w:tc>
          <w:tcPr>
            <w:tcW w:w="1052" w:type="dxa"/>
            <w:tcBorders>
              <w:top w:val="nil"/>
              <w:left w:val="nil"/>
              <w:bottom w:val="single" w:sz="4" w:space="0" w:color="auto"/>
              <w:right w:val="single" w:sz="4" w:space="0" w:color="auto"/>
            </w:tcBorders>
            <w:shd w:val="clear" w:color="auto" w:fill="auto"/>
            <w:noWrap/>
            <w:vAlign w:val="center"/>
            <w:hideMark/>
          </w:tcPr>
          <w:p w14:paraId="58EE5F40"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36</w:t>
            </w:r>
          </w:p>
        </w:tc>
        <w:tc>
          <w:tcPr>
            <w:tcW w:w="1052" w:type="dxa"/>
            <w:tcBorders>
              <w:top w:val="nil"/>
              <w:left w:val="nil"/>
              <w:bottom w:val="single" w:sz="4" w:space="0" w:color="auto"/>
              <w:right w:val="single" w:sz="4" w:space="0" w:color="auto"/>
            </w:tcBorders>
            <w:shd w:val="clear" w:color="auto" w:fill="auto"/>
            <w:noWrap/>
            <w:vAlign w:val="center"/>
            <w:hideMark/>
          </w:tcPr>
          <w:p w14:paraId="4BC8F7AF"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34</w:t>
            </w:r>
          </w:p>
        </w:tc>
        <w:tc>
          <w:tcPr>
            <w:tcW w:w="1963" w:type="dxa"/>
            <w:tcBorders>
              <w:top w:val="nil"/>
              <w:left w:val="nil"/>
              <w:bottom w:val="single" w:sz="4" w:space="0" w:color="auto"/>
              <w:right w:val="single" w:sz="4" w:space="0" w:color="auto"/>
            </w:tcBorders>
            <w:shd w:val="clear" w:color="auto" w:fill="auto"/>
            <w:vAlign w:val="center"/>
            <w:hideMark/>
          </w:tcPr>
          <w:p w14:paraId="77D2E1D1"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-6,34%</w:t>
            </w:r>
          </w:p>
        </w:tc>
        <w:tc>
          <w:tcPr>
            <w:tcW w:w="1984" w:type="dxa"/>
            <w:tcBorders>
              <w:top w:val="nil"/>
              <w:left w:val="nil"/>
              <w:bottom w:val="single" w:sz="4" w:space="0" w:color="auto"/>
              <w:right w:val="single" w:sz="4" w:space="0" w:color="auto"/>
            </w:tcBorders>
            <w:shd w:val="clear" w:color="auto" w:fill="auto"/>
            <w:vAlign w:val="center"/>
            <w:hideMark/>
          </w:tcPr>
          <w:p w14:paraId="702E08AF"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-6,80%</w:t>
            </w:r>
          </w:p>
        </w:tc>
      </w:tr>
      <w:tr w:rsidR="00295A8E" w:rsidRPr="00746E61" w14:paraId="33A0D2F1" w14:textId="77777777" w:rsidTr="00295A8E">
        <w:trPr>
          <w:trHeight w:val="290"/>
          <w:jc w:val="center"/>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14:paraId="4E241822" w14:textId="77777777" w:rsidR="00295A8E" w:rsidRPr="00746E61" w:rsidRDefault="00295A8E"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Penal de Golfito</w:t>
            </w:r>
          </w:p>
        </w:tc>
        <w:tc>
          <w:tcPr>
            <w:tcW w:w="1052" w:type="dxa"/>
            <w:tcBorders>
              <w:top w:val="nil"/>
              <w:left w:val="nil"/>
              <w:bottom w:val="single" w:sz="4" w:space="0" w:color="auto"/>
              <w:right w:val="single" w:sz="4" w:space="0" w:color="auto"/>
            </w:tcBorders>
            <w:shd w:val="clear" w:color="auto" w:fill="auto"/>
            <w:noWrap/>
            <w:vAlign w:val="center"/>
            <w:hideMark/>
          </w:tcPr>
          <w:p w14:paraId="59BEA791"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19</w:t>
            </w:r>
          </w:p>
        </w:tc>
        <w:tc>
          <w:tcPr>
            <w:tcW w:w="1052" w:type="dxa"/>
            <w:tcBorders>
              <w:top w:val="nil"/>
              <w:left w:val="nil"/>
              <w:bottom w:val="single" w:sz="4" w:space="0" w:color="auto"/>
              <w:right w:val="single" w:sz="4" w:space="0" w:color="auto"/>
            </w:tcBorders>
            <w:shd w:val="clear" w:color="auto" w:fill="auto"/>
            <w:noWrap/>
            <w:vAlign w:val="center"/>
            <w:hideMark/>
          </w:tcPr>
          <w:p w14:paraId="022F5001"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11</w:t>
            </w:r>
          </w:p>
        </w:tc>
        <w:tc>
          <w:tcPr>
            <w:tcW w:w="1052" w:type="dxa"/>
            <w:tcBorders>
              <w:top w:val="nil"/>
              <w:left w:val="nil"/>
              <w:bottom w:val="single" w:sz="4" w:space="0" w:color="auto"/>
              <w:right w:val="single" w:sz="4" w:space="0" w:color="auto"/>
            </w:tcBorders>
            <w:shd w:val="clear" w:color="auto" w:fill="auto"/>
            <w:noWrap/>
            <w:vAlign w:val="center"/>
            <w:hideMark/>
          </w:tcPr>
          <w:p w14:paraId="6C1CE02C"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18</w:t>
            </w:r>
          </w:p>
        </w:tc>
        <w:tc>
          <w:tcPr>
            <w:tcW w:w="1963" w:type="dxa"/>
            <w:tcBorders>
              <w:top w:val="nil"/>
              <w:left w:val="nil"/>
              <w:bottom w:val="single" w:sz="4" w:space="0" w:color="auto"/>
              <w:right w:val="single" w:sz="4" w:space="0" w:color="auto"/>
            </w:tcBorders>
            <w:shd w:val="clear" w:color="auto" w:fill="auto"/>
            <w:vAlign w:val="center"/>
            <w:hideMark/>
          </w:tcPr>
          <w:p w14:paraId="2AD0DF77"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-8,32%</w:t>
            </w:r>
          </w:p>
        </w:tc>
        <w:tc>
          <w:tcPr>
            <w:tcW w:w="1984" w:type="dxa"/>
            <w:tcBorders>
              <w:top w:val="nil"/>
              <w:left w:val="nil"/>
              <w:bottom w:val="single" w:sz="4" w:space="0" w:color="auto"/>
              <w:right w:val="single" w:sz="4" w:space="0" w:color="auto"/>
            </w:tcBorders>
            <w:shd w:val="clear" w:color="auto" w:fill="auto"/>
            <w:vAlign w:val="center"/>
            <w:hideMark/>
          </w:tcPr>
          <w:p w14:paraId="2A199CCB"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63,81%</w:t>
            </w:r>
          </w:p>
        </w:tc>
      </w:tr>
      <w:tr w:rsidR="00295A8E" w:rsidRPr="00746E61" w14:paraId="0235B6E4" w14:textId="77777777" w:rsidTr="00295A8E">
        <w:trPr>
          <w:trHeight w:val="290"/>
          <w:jc w:val="center"/>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14:paraId="3BC92E0F" w14:textId="77777777" w:rsidR="00295A8E" w:rsidRPr="00746E61" w:rsidRDefault="00295A8E"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Penal de Pococí</w:t>
            </w:r>
          </w:p>
        </w:tc>
        <w:tc>
          <w:tcPr>
            <w:tcW w:w="1052" w:type="dxa"/>
            <w:tcBorders>
              <w:top w:val="nil"/>
              <w:left w:val="nil"/>
              <w:bottom w:val="single" w:sz="4" w:space="0" w:color="auto"/>
              <w:right w:val="single" w:sz="4" w:space="0" w:color="auto"/>
            </w:tcBorders>
            <w:shd w:val="clear" w:color="auto" w:fill="auto"/>
            <w:noWrap/>
            <w:vAlign w:val="center"/>
            <w:hideMark/>
          </w:tcPr>
          <w:p w14:paraId="2FF8CC5E"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59</w:t>
            </w:r>
          </w:p>
        </w:tc>
        <w:tc>
          <w:tcPr>
            <w:tcW w:w="1052" w:type="dxa"/>
            <w:tcBorders>
              <w:top w:val="nil"/>
              <w:left w:val="nil"/>
              <w:bottom w:val="single" w:sz="4" w:space="0" w:color="auto"/>
              <w:right w:val="single" w:sz="4" w:space="0" w:color="auto"/>
            </w:tcBorders>
            <w:shd w:val="clear" w:color="auto" w:fill="auto"/>
            <w:noWrap/>
            <w:vAlign w:val="center"/>
            <w:hideMark/>
          </w:tcPr>
          <w:p w14:paraId="76C50098"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35</w:t>
            </w:r>
          </w:p>
        </w:tc>
        <w:tc>
          <w:tcPr>
            <w:tcW w:w="1052" w:type="dxa"/>
            <w:tcBorders>
              <w:top w:val="nil"/>
              <w:left w:val="nil"/>
              <w:bottom w:val="single" w:sz="4" w:space="0" w:color="auto"/>
              <w:right w:val="single" w:sz="4" w:space="0" w:color="auto"/>
            </w:tcBorders>
            <w:shd w:val="clear" w:color="auto" w:fill="auto"/>
            <w:noWrap/>
            <w:vAlign w:val="center"/>
            <w:hideMark/>
          </w:tcPr>
          <w:p w14:paraId="7EB4CE3C"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52</w:t>
            </w:r>
          </w:p>
        </w:tc>
        <w:tc>
          <w:tcPr>
            <w:tcW w:w="1963" w:type="dxa"/>
            <w:tcBorders>
              <w:top w:val="nil"/>
              <w:left w:val="nil"/>
              <w:bottom w:val="single" w:sz="4" w:space="0" w:color="auto"/>
              <w:right w:val="single" w:sz="4" w:space="0" w:color="auto"/>
            </w:tcBorders>
            <w:shd w:val="clear" w:color="auto" w:fill="auto"/>
            <w:vAlign w:val="center"/>
            <w:hideMark/>
          </w:tcPr>
          <w:p w14:paraId="7958E049"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-10,90%</w:t>
            </w:r>
          </w:p>
        </w:tc>
        <w:tc>
          <w:tcPr>
            <w:tcW w:w="1984" w:type="dxa"/>
            <w:tcBorders>
              <w:top w:val="nil"/>
              <w:left w:val="nil"/>
              <w:bottom w:val="single" w:sz="4" w:space="0" w:color="auto"/>
              <w:right w:val="single" w:sz="4" w:space="0" w:color="auto"/>
            </w:tcBorders>
            <w:shd w:val="clear" w:color="auto" w:fill="auto"/>
            <w:vAlign w:val="center"/>
            <w:hideMark/>
          </w:tcPr>
          <w:p w14:paraId="61A14089"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51,02%</w:t>
            </w:r>
          </w:p>
        </w:tc>
      </w:tr>
      <w:tr w:rsidR="00295A8E" w:rsidRPr="00746E61" w14:paraId="74088EE3" w14:textId="77777777" w:rsidTr="00295A8E">
        <w:trPr>
          <w:trHeight w:val="290"/>
          <w:jc w:val="center"/>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14:paraId="61B60A9D" w14:textId="77777777" w:rsidR="00295A8E" w:rsidRPr="00746E61" w:rsidRDefault="00295A8E"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Penal de Pavas</w:t>
            </w:r>
          </w:p>
        </w:tc>
        <w:tc>
          <w:tcPr>
            <w:tcW w:w="1052" w:type="dxa"/>
            <w:tcBorders>
              <w:top w:val="nil"/>
              <w:left w:val="nil"/>
              <w:bottom w:val="single" w:sz="4" w:space="0" w:color="auto"/>
              <w:right w:val="single" w:sz="4" w:space="0" w:color="auto"/>
            </w:tcBorders>
            <w:shd w:val="clear" w:color="auto" w:fill="auto"/>
            <w:noWrap/>
            <w:vAlign w:val="center"/>
            <w:hideMark/>
          </w:tcPr>
          <w:p w14:paraId="1FC21550"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93</w:t>
            </w:r>
          </w:p>
        </w:tc>
        <w:tc>
          <w:tcPr>
            <w:tcW w:w="1052" w:type="dxa"/>
            <w:tcBorders>
              <w:top w:val="nil"/>
              <w:left w:val="nil"/>
              <w:bottom w:val="single" w:sz="4" w:space="0" w:color="auto"/>
              <w:right w:val="single" w:sz="4" w:space="0" w:color="auto"/>
            </w:tcBorders>
            <w:shd w:val="clear" w:color="auto" w:fill="auto"/>
            <w:noWrap/>
            <w:vAlign w:val="center"/>
            <w:hideMark/>
          </w:tcPr>
          <w:p w14:paraId="73B8543C"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46</w:t>
            </w:r>
          </w:p>
        </w:tc>
        <w:tc>
          <w:tcPr>
            <w:tcW w:w="1052" w:type="dxa"/>
            <w:tcBorders>
              <w:top w:val="nil"/>
              <w:left w:val="nil"/>
              <w:bottom w:val="single" w:sz="4" w:space="0" w:color="auto"/>
              <w:right w:val="single" w:sz="4" w:space="0" w:color="auto"/>
            </w:tcBorders>
            <w:shd w:val="clear" w:color="auto" w:fill="auto"/>
            <w:noWrap/>
            <w:vAlign w:val="center"/>
            <w:hideMark/>
          </w:tcPr>
          <w:p w14:paraId="01846827"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82</w:t>
            </w:r>
          </w:p>
        </w:tc>
        <w:tc>
          <w:tcPr>
            <w:tcW w:w="1963" w:type="dxa"/>
            <w:tcBorders>
              <w:top w:val="nil"/>
              <w:left w:val="nil"/>
              <w:bottom w:val="single" w:sz="4" w:space="0" w:color="auto"/>
              <w:right w:val="single" w:sz="4" w:space="0" w:color="auto"/>
            </w:tcBorders>
            <w:shd w:val="clear" w:color="auto" w:fill="auto"/>
            <w:vAlign w:val="center"/>
            <w:hideMark/>
          </w:tcPr>
          <w:p w14:paraId="4F9C5870"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-11,81%</w:t>
            </w:r>
          </w:p>
        </w:tc>
        <w:tc>
          <w:tcPr>
            <w:tcW w:w="1984" w:type="dxa"/>
            <w:tcBorders>
              <w:top w:val="nil"/>
              <w:left w:val="nil"/>
              <w:bottom w:val="single" w:sz="4" w:space="0" w:color="auto"/>
              <w:right w:val="single" w:sz="4" w:space="0" w:color="auto"/>
            </w:tcBorders>
            <w:shd w:val="clear" w:color="auto" w:fill="auto"/>
            <w:vAlign w:val="center"/>
            <w:hideMark/>
          </w:tcPr>
          <w:p w14:paraId="3BF9AA57"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75,88%</w:t>
            </w:r>
          </w:p>
        </w:tc>
      </w:tr>
      <w:tr w:rsidR="00295A8E" w:rsidRPr="00746E61" w14:paraId="0BABDEE3" w14:textId="77777777" w:rsidTr="00295A8E">
        <w:trPr>
          <w:trHeight w:val="290"/>
          <w:jc w:val="center"/>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14:paraId="075E9F04" w14:textId="77777777" w:rsidR="00295A8E" w:rsidRPr="00746E61" w:rsidRDefault="00295A8E"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Penal de Siquirres</w:t>
            </w:r>
          </w:p>
        </w:tc>
        <w:tc>
          <w:tcPr>
            <w:tcW w:w="1052" w:type="dxa"/>
            <w:tcBorders>
              <w:top w:val="nil"/>
              <w:left w:val="nil"/>
              <w:bottom w:val="single" w:sz="4" w:space="0" w:color="auto"/>
              <w:right w:val="single" w:sz="4" w:space="0" w:color="auto"/>
            </w:tcBorders>
            <w:shd w:val="clear" w:color="auto" w:fill="auto"/>
            <w:noWrap/>
            <w:vAlign w:val="center"/>
            <w:hideMark/>
          </w:tcPr>
          <w:p w14:paraId="54071C5E"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27</w:t>
            </w:r>
          </w:p>
        </w:tc>
        <w:tc>
          <w:tcPr>
            <w:tcW w:w="1052" w:type="dxa"/>
            <w:tcBorders>
              <w:top w:val="nil"/>
              <w:left w:val="nil"/>
              <w:bottom w:val="single" w:sz="4" w:space="0" w:color="auto"/>
              <w:right w:val="single" w:sz="4" w:space="0" w:color="auto"/>
            </w:tcBorders>
            <w:shd w:val="clear" w:color="auto" w:fill="auto"/>
            <w:noWrap/>
            <w:vAlign w:val="center"/>
            <w:hideMark/>
          </w:tcPr>
          <w:p w14:paraId="2FD819AA"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23</w:t>
            </w:r>
          </w:p>
        </w:tc>
        <w:tc>
          <w:tcPr>
            <w:tcW w:w="1052" w:type="dxa"/>
            <w:tcBorders>
              <w:top w:val="nil"/>
              <w:left w:val="nil"/>
              <w:bottom w:val="single" w:sz="4" w:space="0" w:color="auto"/>
              <w:right w:val="single" w:sz="4" w:space="0" w:color="auto"/>
            </w:tcBorders>
            <w:shd w:val="clear" w:color="auto" w:fill="auto"/>
            <w:noWrap/>
            <w:vAlign w:val="center"/>
            <w:hideMark/>
          </w:tcPr>
          <w:p w14:paraId="105D6E98"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23</w:t>
            </w:r>
          </w:p>
        </w:tc>
        <w:tc>
          <w:tcPr>
            <w:tcW w:w="1963" w:type="dxa"/>
            <w:tcBorders>
              <w:top w:val="nil"/>
              <w:left w:val="nil"/>
              <w:bottom w:val="single" w:sz="4" w:space="0" w:color="auto"/>
              <w:right w:val="single" w:sz="4" w:space="0" w:color="auto"/>
            </w:tcBorders>
            <w:shd w:val="clear" w:color="auto" w:fill="auto"/>
            <w:vAlign w:val="center"/>
            <w:hideMark/>
          </w:tcPr>
          <w:p w14:paraId="6B687CE8"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-15,86%</w:t>
            </w:r>
          </w:p>
        </w:tc>
        <w:tc>
          <w:tcPr>
            <w:tcW w:w="1984" w:type="dxa"/>
            <w:tcBorders>
              <w:top w:val="nil"/>
              <w:left w:val="nil"/>
              <w:bottom w:val="single" w:sz="4" w:space="0" w:color="auto"/>
              <w:right w:val="single" w:sz="4" w:space="0" w:color="auto"/>
            </w:tcBorders>
            <w:shd w:val="clear" w:color="auto" w:fill="auto"/>
            <w:vAlign w:val="center"/>
            <w:hideMark/>
          </w:tcPr>
          <w:p w14:paraId="228CB942"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-3,01%</w:t>
            </w:r>
          </w:p>
        </w:tc>
      </w:tr>
      <w:tr w:rsidR="00295A8E" w:rsidRPr="00746E61" w14:paraId="422FEA01" w14:textId="77777777" w:rsidTr="00295A8E">
        <w:trPr>
          <w:trHeight w:val="290"/>
          <w:jc w:val="center"/>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14:paraId="5B926FFF" w14:textId="77777777" w:rsidR="00295A8E" w:rsidRPr="00746E61" w:rsidRDefault="00295A8E"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Penal de Turrialba</w:t>
            </w:r>
          </w:p>
        </w:tc>
        <w:tc>
          <w:tcPr>
            <w:tcW w:w="1052" w:type="dxa"/>
            <w:tcBorders>
              <w:top w:val="nil"/>
              <w:left w:val="nil"/>
              <w:bottom w:val="single" w:sz="4" w:space="0" w:color="auto"/>
              <w:right w:val="single" w:sz="4" w:space="0" w:color="auto"/>
            </w:tcBorders>
            <w:shd w:val="clear" w:color="auto" w:fill="auto"/>
            <w:noWrap/>
            <w:vAlign w:val="center"/>
            <w:hideMark/>
          </w:tcPr>
          <w:p w14:paraId="1BDF790F"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27</w:t>
            </w:r>
          </w:p>
        </w:tc>
        <w:tc>
          <w:tcPr>
            <w:tcW w:w="1052" w:type="dxa"/>
            <w:tcBorders>
              <w:top w:val="nil"/>
              <w:left w:val="nil"/>
              <w:bottom w:val="single" w:sz="4" w:space="0" w:color="auto"/>
              <w:right w:val="single" w:sz="4" w:space="0" w:color="auto"/>
            </w:tcBorders>
            <w:shd w:val="clear" w:color="auto" w:fill="auto"/>
            <w:noWrap/>
            <w:vAlign w:val="center"/>
            <w:hideMark/>
          </w:tcPr>
          <w:p w14:paraId="6733EBBF"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21</w:t>
            </w:r>
          </w:p>
        </w:tc>
        <w:tc>
          <w:tcPr>
            <w:tcW w:w="1052" w:type="dxa"/>
            <w:tcBorders>
              <w:top w:val="nil"/>
              <w:left w:val="nil"/>
              <w:bottom w:val="single" w:sz="4" w:space="0" w:color="auto"/>
              <w:right w:val="single" w:sz="4" w:space="0" w:color="auto"/>
            </w:tcBorders>
            <w:shd w:val="clear" w:color="auto" w:fill="auto"/>
            <w:noWrap/>
            <w:vAlign w:val="center"/>
            <w:hideMark/>
          </w:tcPr>
          <w:p w14:paraId="4DE7DA2C"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22</w:t>
            </w:r>
          </w:p>
        </w:tc>
        <w:tc>
          <w:tcPr>
            <w:tcW w:w="1963" w:type="dxa"/>
            <w:tcBorders>
              <w:top w:val="nil"/>
              <w:left w:val="nil"/>
              <w:bottom w:val="single" w:sz="4" w:space="0" w:color="auto"/>
              <w:right w:val="single" w:sz="4" w:space="0" w:color="auto"/>
            </w:tcBorders>
            <w:shd w:val="clear" w:color="auto" w:fill="auto"/>
            <w:vAlign w:val="center"/>
            <w:hideMark/>
          </w:tcPr>
          <w:p w14:paraId="52A9B761"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-16,89%</w:t>
            </w:r>
          </w:p>
        </w:tc>
        <w:tc>
          <w:tcPr>
            <w:tcW w:w="1984" w:type="dxa"/>
            <w:tcBorders>
              <w:top w:val="nil"/>
              <w:left w:val="nil"/>
              <w:bottom w:val="single" w:sz="4" w:space="0" w:color="auto"/>
              <w:right w:val="single" w:sz="4" w:space="0" w:color="auto"/>
            </w:tcBorders>
            <w:shd w:val="clear" w:color="auto" w:fill="auto"/>
            <w:vAlign w:val="center"/>
            <w:hideMark/>
          </w:tcPr>
          <w:p w14:paraId="53ECE592"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6,90%</w:t>
            </w:r>
          </w:p>
        </w:tc>
      </w:tr>
      <w:tr w:rsidR="00295A8E" w:rsidRPr="00746E61" w14:paraId="36A112C9" w14:textId="77777777" w:rsidTr="00295A8E">
        <w:trPr>
          <w:trHeight w:val="290"/>
          <w:jc w:val="center"/>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14:paraId="43310BA5" w14:textId="77777777" w:rsidR="00295A8E" w:rsidRPr="00746E61" w:rsidRDefault="00295A8E"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Penal de Nicoya</w:t>
            </w:r>
          </w:p>
        </w:tc>
        <w:tc>
          <w:tcPr>
            <w:tcW w:w="1052" w:type="dxa"/>
            <w:tcBorders>
              <w:top w:val="nil"/>
              <w:left w:val="nil"/>
              <w:bottom w:val="single" w:sz="4" w:space="0" w:color="auto"/>
              <w:right w:val="single" w:sz="4" w:space="0" w:color="auto"/>
            </w:tcBorders>
            <w:shd w:val="clear" w:color="auto" w:fill="auto"/>
            <w:noWrap/>
            <w:vAlign w:val="center"/>
            <w:hideMark/>
          </w:tcPr>
          <w:p w14:paraId="4B988644"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33</w:t>
            </w:r>
          </w:p>
        </w:tc>
        <w:tc>
          <w:tcPr>
            <w:tcW w:w="1052" w:type="dxa"/>
            <w:tcBorders>
              <w:top w:val="nil"/>
              <w:left w:val="nil"/>
              <w:bottom w:val="single" w:sz="4" w:space="0" w:color="auto"/>
              <w:right w:val="single" w:sz="4" w:space="0" w:color="auto"/>
            </w:tcBorders>
            <w:shd w:val="clear" w:color="auto" w:fill="auto"/>
            <w:noWrap/>
            <w:vAlign w:val="center"/>
            <w:hideMark/>
          </w:tcPr>
          <w:p w14:paraId="3563C9ED"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19</w:t>
            </w:r>
          </w:p>
        </w:tc>
        <w:tc>
          <w:tcPr>
            <w:tcW w:w="1052" w:type="dxa"/>
            <w:tcBorders>
              <w:top w:val="nil"/>
              <w:left w:val="nil"/>
              <w:bottom w:val="single" w:sz="4" w:space="0" w:color="auto"/>
              <w:right w:val="single" w:sz="4" w:space="0" w:color="auto"/>
            </w:tcBorders>
            <w:shd w:val="clear" w:color="auto" w:fill="auto"/>
            <w:noWrap/>
            <w:vAlign w:val="center"/>
            <w:hideMark/>
          </w:tcPr>
          <w:p w14:paraId="5046602A"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24</w:t>
            </w:r>
          </w:p>
        </w:tc>
        <w:tc>
          <w:tcPr>
            <w:tcW w:w="1963" w:type="dxa"/>
            <w:tcBorders>
              <w:top w:val="nil"/>
              <w:left w:val="nil"/>
              <w:bottom w:val="single" w:sz="4" w:space="0" w:color="auto"/>
              <w:right w:val="single" w:sz="4" w:space="0" w:color="auto"/>
            </w:tcBorders>
            <w:shd w:val="clear" w:color="auto" w:fill="auto"/>
            <w:vAlign w:val="center"/>
            <w:hideMark/>
          </w:tcPr>
          <w:p w14:paraId="36E407A5"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-27,94%</w:t>
            </w:r>
          </w:p>
        </w:tc>
        <w:tc>
          <w:tcPr>
            <w:tcW w:w="1984" w:type="dxa"/>
            <w:tcBorders>
              <w:top w:val="nil"/>
              <w:left w:val="nil"/>
              <w:bottom w:val="single" w:sz="4" w:space="0" w:color="auto"/>
              <w:right w:val="single" w:sz="4" w:space="0" w:color="auto"/>
            </w:tcBorders>
            <w:shd w:val="clear" w:color="auto" w:fill="auto"/>
            <w:vAlign w:val="center"/>
            <w:hideMark/>
          </w:tcPr>
          <w:p w14:paraId="65061D5B" w14:textId="77777777" w:rsidR="00295A8E" w:rsidRPr="00746E61" w:rsidRDefault="00295A8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23,20%</w:t>
            </w:r>
          </w:p>
        </w:tc>
      </w:tr>
      <w:tr w:rsidR="00295A8E" w:rsidRPr="00746E61" w14:paraId="3D7FD20C" w14:textId="77777777" w:rsidTr="00295A8E">
        <w:trPr>
          <w:trHeight w:val="290"/>
          <w:jc w:val="center"/>
        </w:trPr>
        <w:tc>
          <w:tcPr>
            <w:tcW w:w="3240" w:type="dxa"/>
            <w:tcBorders>
              <w:top w:val="nil"/>
              <w:left w:val="single" w:sz="4" w:space="0" w:color="auto"/>
              <w:bottom w:val="single" w:sz="4" w:space="0" w:color="auto"/>
              <w:right w:val="single" w:sz="4" w:space="0" w:color="auto"/>
            </w:tcBorders>
            <w:shd w:val="clear" w:color="auto" w:fill="auto"/>
            <w:vAlign w:val="center"/>
            <w:hideMark/>
          </w:tcPr>
          <w:p w14:paraId="5C5A83FB" w14:textId="77777777" w:rsidR="00295A8E" w:rsidRPr="00746E61" w:rsidRDefault="00295A8E" w:rsidP="00746E61">
            <w:pPr>
              <w:spacing w:line="276" w:lineRule="auto"/>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Total</w:t>
            </w:r>
          </w:p>
        </w:tc>
        <w:tc>
          <w:tcPr>
            <w:tcW w:w="1052" w:type="dxa"/>
            <w:tcBorders>
              <w:top w:val="nil"/>
              <w:left w:val="nil"/>
              <w:bottom w:val="single" w:sz="4" w:space="0" w:color="auto"/>
              <w:right w:val="single" w:sz="4" w:space="0" w:color="auto"/>
            </w:tcBorders>
            <w:shd w:val="clear" w:color="auto" w:fill="auto"/>
            <w:vAlign w:val="center"/>
            <w:hideMark/>
          </w:tcPr>
          <w:p w14:paraId="178621A8" w14:textId="77777777" w:rsidR="00295A8E" w:rsidRPr="00746E61" w:rsidRDefault="00295A8E"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1269</w:t>
            </w:r>
          </w:p>
        </w:tc>
        <w:tc>
          <w:tcPr>
            <w:tcW w:w="1052" w:type="dxa"/>
            <w:tcBorders>
              <w:top w:val="nil"/>
              <w:left w:val="nil"/>
              <w:bottom w:val="single" w:sz="4" w:space="0" w:color="auto"/>
              <w:right w:val="single" w:sz="4" w:space="0" w:color="auto"/>
            </w:tcBorders>
            <w:shd w:val="clear" w:color="auto" w:fill="auto"/>
            <w:vAlign w:val="center"/>
            <w:hideMark/>
          </w:tcPr>
          <w:p w14:paraId="0FC5EBF9" w14:textId="77777777" w:rsidR="00295A8E" w:rsidRPr="00746E61" w:rsidRDefault="00295A8E"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969</w:t>
            </w:r>
          </w:p>
        </w:tc>
        <w:tc>
          <w:tcPr>
            <w:tcW w:w="1052" w:type="dxa"/>
            <w:tcBorders>
              <w:top w:val="nil"/>
              <w:left w:val="nil"/>
              <w:bottom w:val="single" w:sz="4" w:space="0" w:color="auto"/>
              <w:right w:val="single" w:sz="4" w:space="0" w:color="auto"/>
            </w:tcBorders>
            <w:shd w:val="clear" w:color="auto" w:fill="auto"/>
            <w:vAlign w:val="center"/>
            <w:hideMark/>
          </w:tcPr>
          <w:p w14:paraId="36FA5CF0" w14:textId="77777777" w:rsidR="00295A8E" w:rsidRPr="00746E61" w:rsidRDefault="00295A8E"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1398</w:t>
            </w:r>
          </w:p>
        </w:tc>
        <w:tc>
          <w:tcPr>
            <w:tcW w:w="1963" w:type="dxa"/>
            <w:tcBorders>
              <w:top w:val="nil"/>
              <w:left w:val="nil"/>
              <w:bottom w:val="single" w:sz="4" w:space="0" w:color="auto"/>
              <w:right w:val="single" w:sz="4" w:space="0" w:color="auto"/>
            </w:tcBorders>
            <w:shd w:val="clear" w:color="auto" w:fill="auto"/>
            <w:vAlign w:val="center"/>
            <w:hideMark/>
          </w:tcPr>
          <w:p w14:paraId="3DCC46D8" w14:textId="77777777" w:rsidR="00295A8E" w:rsidRPr="00746E61" w:rsidRDefault="00295A8E"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10,13%</w:t>
            </w:r>
          </w:p>
        </w:tc>
        <w:tc>
          <w:tcPr>
            <w:tcW w:w="1984" w:type="dxa"/>
            <w:tcBorders>
              <w:top w:val="nil"/>
              <w:left w:val="nil"/>
              <w:bottom w:val="single" w:sz="4" w:space="0" w:color="auto"/>
              <w:right w:val="single" w:sz="4" w:space="0" w:color="auto"/>
            </w:tcBorders>
            <w:shd w:val="clear" w:color="auto" w:fill="auto"/>
            <w:vAlign w:val="center"/>
            <w:hideMark/>
          </w:tcPr>
          <w:p w14:paraId="60C69645" w14:textId="77777777" w:rsidR="00295A8E" w:rsidRPr="00746E61" w:rsidRDefault="00295A8E"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44,29%</w:t>
            </w:r>
          </w:p>
        </w:tc>
      </w:tr>
    </w:tbl>
    <w:p w14:paraId="0F241615" w14:textId="6CEA177F" w:rsidR="00A844EF" w:rsidRPr="00746E61" w:rsidRDefault="0059268A" w:rsidP="00746E61">
      <w:pPr>
        <w:spacing w:line="276" w:lineRule="auto"/>
        <w:jc w:val="center"/>
        <w:rPr>
          <w:rFonts w:ascii="Book Antiqua" w:hAnsi="Book Antiqua" w:cs="Calibri"/>
          <w:color w:val="000000"/>
          <w:sz w:val="20"/>
          <w:szCs w:val="20"/>
          <w:lang w:eastAsia="es-CR"/>
        </w:rPr>
      </w:pPr>
      <w:bookmarkStart w:id="9" w:name="_Hlk82618946"/>
      <w:r w:rsidRPr="00746E61">
        <w:rPr>
          <w:rFonts w:ascii="Book Antiqua" w:hAnsi="Book Antiqua" w:cs="Calibri"/>
          <w:b/>
          <w:bCs/>
          <w:color w:val="000000"/>
          <w:sz w:val="20"/>
          <w:szCs w:val="20"/>
          <w:lang w:eastAsia="es-CR"/>
        </w:rPr>
        <w:t>Fuente</w:t>
      </w:r>
      <w:r w:rsidR="00A844EF" w:rsidRPr="00746E61">
        <w:rPr>
          <w:rFonts w:ascii="Book Antiqua" w:hAnsi="Book Antiqua" w:cs="Calibri"/>
          <w:b/>
          <w:bCs/>
          <w:color w:val="000000"/>
          <w:sz w:val="20"/>
          <w:szCs w:val="20"/>
          <w:lang w:eastAsia="es-CR"/>
        </w:rPr>
        <w:t>:</w:t>
      </w:r>
      <w:r w:rsidR="00A844EF" w:rsidRPr="00746E61">
        <w:rPr>
          <w:rFonts w:ascii="Book Antiqua" w:hAnsi="Book Antiqua" w:cs="Calibri"/>
          <w:color w:val="000000"/>
          <w:sz w:val="20"/>
          <w:szCs w:val="20"/>
          <w:lang w:eastAsia="es-CR"/>
        </w:rPr>
        <w:t xml:space="preserve"> </w:t>
      </w:r>
      <w:r w:rsidRPr="00746E61">
        <w:rPr>
          <w:rFonts w:ascii="Book Antiqua" w:hAnsi="Book Antiqua" w:cs="Calibri"/>
          <w:color w:val="000000"/>
          <w:sz w:val="20"/>
          <w:szCs w:val="20"/>
          <w:lang w:eastAsia="es-CR"/>
        </w:rPr>
        <w:t>Elaboración propia a partir de las estadísticas del Subproceso de Estadística</w:t>
      </w:r>
    </w:p>
    <w:bookmarkEnd w:id="9"/>
    <w:p w14:paraId="27A401F9" w14:textId="2E318FD1" w:rsidR="00A844EF" w:rsidRPr="00746E61" w:rsidRDefault="00A844EF" w:rsidP="00746E61">
      <w:pPr>
        <w:spacing w:line="276" w:lineRule="auto"/>
        <w:jc w:val="center"/>
        <w:rPr>
          <w:rFonts w:ascii="Book Antiqua" w:hAnsi="Book Antiqua" w:cs="Calibri"/>
          <w:color w:val="000000"/>
          <w:sz w:val="20"/>
          <w:szCs w:val="20"/>
          <w:lang w:eastAsia="es-CR"/>
        </w:rPr>
      </w:pPr>
    </w:p>
    <w:p w14:paraId="01ACABE6" w14:textId="1B3765C7" w:rsidR="00480069" w:rsidRPr="00746E61" w:rsidRDefault="00480069" w:rsidP="00746E61">
      <w:pPr>
        <w:spacing w:line="276" w:lineRule="auto"/>
        <w:jc w:val="both"/>
        <w:rPr>
          <w:rFonts w:ascii="Book Antiqua" w:hAnsi="Book Antiqua" w:cs="Arial"/>
        </w:rPr>
      </w:pPr>
      <w:r w:rsidRPr="00746E61">
        <w:rPr>
          <w:rFonts w:ascii="Book Antiqua" w:hAnsi="Book Antiqua" w:cs="Arial"/>
        </w:rPr>
        <w:t>De acuerdo con el cuadro anterior, se destaca que para el período 2021 el despacho que refleja la entrada más alta es el Tribunal Penal de Alajuela con un promedio mensual 1</w:t>
      </w:r>
      <w:r w:rsidR="000E1E88" w:rsidRPr="00746E61">
        <w:rPr>
          <w:rFonts w:ascii="Book Antiqua" w:hAnsi="Book Antiqua" w:cs="Arial"/>
        </w:rPr>
        <w:t>66</w:t>
      </w:r>
      <w:r w:rsidRPr="00746E61">
        <w:rPr>
          <w:rFonts w:ascii="Book Antiqua" w:hAnsi="Book Antiqua" w:cs="Arial"/>
        </w:rPr>
        <w:t xml:space="preserve"> asuntos, en segundo lugar, está el Tribunal Penal de Cartago con 1</w:t>
      </w:r>
      <w:r w:rsidR="000E1E88" w:rsidRPr="00746E61">
        <w:rPr>
          <w:rFonts w:ascii="Book Antiqua" w:hAnsi="Book Antiqua" w:cs="Arial"/>
        </w:rPr>
        <w:t>18</w:t>
      </w:r>
      <w:r w:rsidRPr="00746E61">
        <w:rPr>
          <w:rFonts w:ascii="Book Antiqua" w:hAnsi="Book Antiqua" w:cs="Arial"/>
        </w:rPr>
        <w:t xml:space="preserve"> asuntos, </w:t>
      </w:r>
      <w:r w:rsidR="000E1E88" w:rsidRPr="00746E61">
        <w:rPr>
          <w:rFonts w:ascii="Book Antiqua" w:hAnsi="Book Antiqua" w:cs="Arial"/>
        </w:rPr>
        <w:t xml:space="preserve">y </w:t>
      </w:r>
      <w:r w:rsidRPr="00746E61">
        <w:rPr>
          <w:rFonts w:ascii="Book Antiqua" w:hAnsi="Book Antiqua" w:cs="Arial"/>
        </w:rPr>
        <w:t>luego Limón con 1</w:t>
      </w:r>
      <w:r w:rsidR="000E1E88" w:rsidRPr="00746E61">
        <w:rPr>
          <w:rFonts w:ascii="Book Antiqua" w:hAnsi="Book Antiqua" w:cs="Arial"/>
        </w:rPr>
        <w:t>15</w:t>
      </w:r>
      <w:r w:rsidRPr="00746E61">
        <w:rPr>
          <w:rFonts w:ascii="Book Antiqua" w:hAnsi="Book Antiqua" w:cs="Arial"/>
        </w:rPr>
        <w:t xml:space="preserve"> asuntos mensuales</w:t>
      </w:r>
      <w:r w:rsidR="000E1E88" w:rsidRPr="00746E61">
        <w:rPr>
          <w:rFonts w:ascii="Book Antiqua" w:hAnsi="Book Antiqua" w:cs="Arial"/>
        </w:rPr>
        <w:t>;</w:t>
      </w:r>
      <w:r w:rsidRPr="00746E61">
        <w:rPr>
          <w:rFonts w:ascii="Book Antiqua" w:hAnsi="Book Antiqua" w:cs="Arial"/>
        </w:rPr>
        <w:t xml:space="preserve"> </w:t>
      </w:r>
      <w:r w:rsidR="000E1E88" w:rsidRPr="00746E61">
        <w:rPr>
          <w:rFonts w:ascii="Book Antiqua" w:hAnsi="Book Antiqua" w:cs="Arial"/>
        </w:rPr>
        <w:t>esos</w:t>
      </w:r>
      <w:r w:rsidRPr="00746E61">
        <w:rPr>
          <w:rFonts w:ascii="Book Antiqua" w:hAnsi="Book Antiqua" w:cs="Arial"/>
        </w:rPr>
        <w:t xml:space="preserve"> son los despachos que muestran una mayor entrada mensual durante el 2021, superando inclusive los 100 asuntos al mes.</w:t>
      </w:r>
    </w:p>
    <w:p w14:paraId="584B4C6D" w14:textId="77777777" w:rsidR="00480069" w:rsidRPr="00746E61" w:rsidRDefault="00480069" w:rsidP="00746E61">
      <w:pPr>
        <w:spacing w:line="276" w:lineRule="auto"/>
        <w:jc w:val="both"/>
        <w:rPr>
          <w:rFonts w:ascii="Book Antiqua" w:hAnsi="Book Antiqua" w:cs="Arial"/>
        </w:rPr>
      </w:pPr>
    </w:p>
    <w:p w14:paraId="5BBFE271" w14:textId="69B9B92C" w:rsidR="00480069" w:rsidRPr="00746E61" w:rsidRDefault="00480069" w:rsidP="00746E61">
      <w:pPr>
        <w:spacing w:line="276" w:lineRule="auto"/>
        <w:jc w:val="both"/>
        <w:rPr>
          <w:rFonts w:ascii="Book Antiqua" w:hAnsi="Book Antiqua" w:cs="Arial"/>
        </w:rPr>
      </w:pPr>
      <w:r w:rsidRPr="00746E61">
        <w:rPr>
          <w:rFonts w:ascii="Book Antiqua" w:hAnsi="Book Antiqua" w:cs="Arial"/>
        </w:rPr>
        <w:t xml:space="preserve">Por otra parte, analizando el promedio de entrada del </w:t>
      </w:r>
      <w:r w:rsidR="00100502" w:rsidRPr="00746E61">
        <w:rPr>
          <w:rFonts w:ascii="Book Antiqua" w:hAnsi="Book Antiqua" w:cs="Arial"/>
        </w:rPr>
        <w:t>2021</w:t>
      </w:r>
      <w:r w:rsidRPr="00746E61">
        <w:rPr>
          <w:rFonts w:ascii="Book Antiqua" w:hAnsi="Book Antiqua" w:cs="Arial"/>
        </w:rPr>
        <w:t xml:space="preserve"> versus el promedio de entrada </w:t>
      </w:r>
      <w:r w:rsidR="00100502" w:rsidRPr="00746E61">
        <w:rPr>
          <w:rFonts w:ascii="Book Antiqua" w:hAnsi="Book Antiqua" w:cs="Arial"/>
        </w:rPr>
        <w:t>de los periodos de estudio</w:t>
      </w:r>
      <w:r w:rsidRPr="00746E61">
        <w:rPr>
          <w:rFonts w:ascii="Book Antiqua" w:hAnsi="Book Antiqua" w:cs="Arial"/>
        </w:rPr>
        <w:t xml:space="preserve">, </w:t>
      </w:r>
      <w:r w:rsidR="00100502" w:rsidRPr="00746E61">
        <w:rPr>
          <w:rFonts w:ascii="Book Antiqua" w:hAnsi="Book Antiqua" w:cs="Arial"/>
        </w:rPr>
        <w:t xml:space="preserve">los </w:t>
      </w:r>
      <w:r w:rsidRPr="00746E61">
        <w:rPr>
          <w:rFonts w:ascii="Book Antiqua" w:hAnsi="Book Antiqua" w:cs="Arial"/>
        </w:rPr>
        <w:t>despacho</w:t>
      </w:r>
      <w:r w:rsidR="00100502" w:rsidRPr="00746E61">
        <w:rPr>
          <w:rFonts w:ascii="Book Antiqua" w:hAnsi="Book Antiqua" w:cs="Arial"/>
        </w:rPr>
        <w:t>s</w:t>
      </w:r>
      <w:r w:rsidRPr="00746E61">
        <w:rPr>
          <w:rFonts w:ascii="Book Antiqua" w:hAnsi="Book Antiqua" w:cs="Arial"/>
        </w:rPr>
        <w:t xml:space="preserve"> que refleja</w:t>
      </w:r>
      <w:r w:rsidR="00100502" w:rsidRPr="00746E61">
        <w:rPr>
          <w:rFonts w:ascii="Book Antiqua" w:hAnsi="Book Antiqua" w:cs="Arial"/>
        </w:rPr>
        <w:t>n</w:t>
      </w:r>
      <w:r w:rsidRPr="00746E61">
        <w:rPr>
          <w:rFonts w:ascii="Book Antiqua" w:hAnsi="Book Antiqua" w:cs="Arial"/>
        </w:rPr>
        <w:t xml:space="preserve"> un mayor crecimiento </w:t>
      </w:r>
      <w:r w:rsidR="00B10507" w:rsidRPr="00746E61">
        <w:rPr>
          <w:rFonts w:ascii="Book Antiqua" w:hAnsi="Book Antiqua" w:cs="Arial"/>
        </w:rPr>
        <w:t xml:space="preserve">son </w:t>
      </w:r>
      <w:r w:rsidRPr="00746E61">
        <w:rPr>
          <w:rFonts w:ascii="Book Antiqua" w:hAnsi="Book Antiqua" w:cs="Arial"/>
        </w:rPr>
        <w:t xml:space="preserve">el Tribunal Penal de </w:t>
      </w:r>
      <w:r w:rsidR="004E3B5E" w:rsidRPr="00746E61">
        <w:rPr>
          <w:rFonts w:ascii="Book Antiqua" w:hAnsi="Book Antiqua" w:cs="Arial"/>
        </w:rPr>
        <w:t>Sarapiquí</w:t>
      </w:r>
      <w:r w:rsidRPr="00746E61">
        <w:rPr>
          <w:rFonts w:ascii="Book Antiqua" w:hAnsi="Book Antiqua" w:cs="Arial"/>
        </w:rPr>
        <w:t xml:space="preserve"> con un </w:t>
      </w:r>
      <w:r w:rsidR="004E3B5E" w:rsidRPr="00746E61">
        <w:rPr>
          <w:rFonts w:ascii="Book Antiqua" w:hAnsi="Book Antiqua" w:cs="Arial"/>
        </w:rPr>
        <w:t>66.45</w:t>
      </w:r>
      <w:r w:rsidRPr="00746E61">
        <w:rPr>
          <w:rFonts w:ascii="Book Antiqua" w:hAnsi="Book Antiqua" w:cs="Arial"/>
        </w:rPr>
        <w:t>%</w:t>
      </w:r>
      <w:r w:rsidR="004E3B5E" w:rsidRPr="00746E61">
        <w:rPr>
          <w:rFonts w:ascii="Book Antiqua" w:hAnsi="Book Antiqua" w:cs="Arial"/>
        </w:rPr>
        <w:t xml:space="preserve"> </w:t>
      </w:r>
      <w:r w:rsidR="00FC7692" w:rsidRPr="00746E61">
        <w:rPr>
          <w:rFonts w:ascii="Book Antiqua" w:hAnsi="Book Antiqua" w:cs="Arial"/>
        </w:rPr>
        <w:t>en relación con</w:t>
      </w:r>
      <w:r w:rsidR="004E3B5E" w:rsidRPr="00746E61">
        <w:rPr>
          <w:rFonts w:ascii="Book Antiqua" w:hAnsi="Book Antiqua" w:cs="Arial"/>
        </w:rPr>
        <w:t xml:space="preserve"> el 2019</w:t>
      </w:r>
      <w:r w:rsidRPr="00746E61">
        <w:rPr>
          <w:rFonts w:ascii="Book Antiqua" w:hAnsi="Book Antiqua" w:cs="Arial"/>
        </w:rPr>
        <w:t xml:space="preserve">, seguidamente el Tribunal Penal de </w:t>
      </w:r>
      <w:r w:rsidR="007D2C05" w:rsidRPr="00746E61">
        <w:rPr>
          <w:rFonts w:ascii="Book Antiqua" w:hAnsi="Book Antiqua" w:cs="Arial"/>
        </w:rPr>
        <w:t>Alajuela</w:t>
      </w:r>
      <w:r w:rsidRPr="00746E61">
        <w:rPr>
          <w:rFonts w:ascii="Book Antiqua" w:hAnsi="Book Antiqua" w:cs="Arial"/>
        </w:rPr>
        <w:t xml:space="preserve"> con un </w:t>
      </w:r>
      <w:r w:rsidR="007D2C05" w:rsidRPr="00746E61">
        <w:rPr>
          <w:rFonts w:ascii="Book Antiqua" w:hAnsi="Book Antiqua" w:cs="Arial"/>
        </w:rPr>
        <w:t>102</w:t>
      </w:r>
      <w:r w:rsidR="002A698F" w:rsidRPr="00746E61">
        <w:rPr>
          <w:rFonts w:ascii="Book Antiqua" w:hAnsi="Book Antiqua" w:cs="Arial"/>
        </w:rPr>
        <w:t>.</w:t>
      </w:r>
      <w:r w:rsidR="007D2C05" w:rsidRPr="00746E61">
        <w:rPr>
          <w:rFonts w:ascii="Book Antiqua" w:hAnsi="Book Antiqua" w:cs="Arial"/>
        </w:rPr>
        <w:t>69</w:t>
      </w:r>
      <w:r w:rsidRPr="00746E61">
        <w:rPr>
          <w:rFonts w:ascii="Book Antiqua" w:hAnsi="Book Antiqua" w:cs="Arial"/>
        </w:rPr>
        <w:t xml:space="preserve">% </w:t>
      </w:r>
      <w:r w:rsidR="007D2C05" w:rsidRPr="00746E61">
        <w:rPr>
          <w:rFonts w:ascii="Book Antiqua" w:hAnsi="Book Antiqua" w:cs="Arial"/>
        </w:rPr>
        <w:t>con respecto al 2020.</w:t>
      </w:r>
    </w:p>
    <w:p w14:paraId="3E671806" w14:textId="77777777" w:rsidR="00480069" w:rsidRPr="00746E61" w:rsidRDefault="00480069" w:rsidP="00746E61">
      <w:pPr>
        <w:spacing w:line="276" w:lineRule="auto"/>
        <w:jc w:val="center"/>
        <w:rPr>
          <w:rFonts w:ascii="Book Antiqua" w:hAnsi="Book Antiqua" w:cs="Calibri"/>
          <w:color w:val="000000"/>
          <w:sz w:val="20"/>
          <w:szCs w:val="20"/>
          <w:lang w:eastAsia="es-CR"/>
        </w:rPr>
      </w:pPr>
    </w:p>
    <w:p w14:paraId="6120AB03" w14:textId="7AA1B93E" w:rsidR="00A844EF" w:rsidRPr="00294C66" w:rsidRDefault="00294C66" w:rsidP="00294C66">
      <w:pPr>
        <w:spacing w:line="276" w:lineRule="auto"/>
        <w:jc w:val="both"/>
        <w:rPr>
          <w:rFonts w:ascii="Book Antiqua" w:hAnsi="Book Antiqua" w:cs="Arial"/>
        </w:rPr>
      </w:pPr>
      <w:r w:rsidRPr="00294C66">
        <w:rPr>
          <w:rFonts w:ascii="Book Antiqua" w:hAnsi="Book Antiqua" w:cs="Arial"/>
        </w:rPr>
        <w:t xml:space="preserve">Lo que se resalta, es que los Tribunales Penales han experimentado de forma exponencial un incremento en su entrada de asuntos desde el año 2019, y con el impacto en la imposibilidad de realizar audiencias presenciales, así como no poder tener celdas a disposición para el traslado de detenidos e impactados porque el Ministerio de Justicia no recibió a tiempo a la población privada de libertad, ha ocasionado que la carga de trabajo en estos despachos se haya incrementado en el tiempo. </w:t>
      </w:r>
    </w:p>
    <w:p w14:paraId="689E7838" w14:textId="77777777" w:rsidR="00C913FE" w:rsidRPr="00746E61" w:rsidRDefault="00C913FE" w:rsidP="00746E61">
      <w:pPr>
        <w:spacing w:line="276" w:lineRule="auto"/>
        <w:jc w:val="center"/>
        <w:rPr>
          <w:rFonts w:ascii="Book Antiqua" w:hAnsi="Book Antiqua" w:cs="Calibri"/>
          <w:color w:val="000000"/>
          <w:sz w:val="20"/>
          <w:szCs w:val="20"/>
          <w:lang w:eastAsia="es-CR"/>
        </w:rPr>
      </w:pPr>
    </w:p>
    <w:p w14:paraId="3B11FEB0" w14:textId="45EAE57E" w:rsidR="00A844EF" w:rsidRPr="00746E61" w:rsidRDefault="65981E7B" w:rsidP="57A79FF7">
      <w:pPr>
        <w:spacing w:line="276" w:lineRule="auto"/>
        <w:outlineLvl w:val="2"/>
        <w:rPr>
          <w:b/>
          <w:lang w:val="es-ES" w:eastAsia="en-US"/>
        </w:rPr>
      </w:pPr>
      <w:r w:rsidRPr="57A79FF7">
        <w:rPr>
          <w:rFonts w:ascii="Book Antiqua" w:hAnsi="Book Antiqua"/>
          <w:b/>
          <w:bCs/>
          <w:lang w:val="es-ES" w:eastAsia="en-US"/>
        </w:rPr>
        <w:t xml:space="preserve">3.2.2 </w:t>
      </w:r>
      <w:r w:rsidR="00A844EF" w:rsidRPr="57A79FF7">
        <w:rPr>
          <w:rFonts w:ascii="Book Antiqua" w:hAnsi="Book Antiqua"/>
          <w:b/>
          <w:lang w:val="es-ES" w:eastAsia="en-US"/>
        </w:rPr>
        <w:t>Asuntos terminados</w:t>
      </w:r>
    </w:p>
    <w:p w14:paraId="7D6673EC" w14:textId="36588CED" w:rsidR="00A844EF" w:rsidRPr="00746E61" w:rsidRDefault="00A844EF" w:rsidP="00746E61">
      <w:pPr>
        <w:spacing w:line="276" w:lineRule="auto"/>
        <w:ind w:left="360"/>
        <w:rPr>
          <w:rFonts w:ascii="Book Antiqua" w:hAnsi="Book Antiqua"/>
          <w:b/>
          <w:bCs/>
          <w:highlight w:val="yellow"/>
          <w:lang w:val="es-ES_tradnl" w:eastAsia="en-US"/>
        </w:rPr>
      </w:pPr>
    </w:p>
    <w:p w14:paraId="47850108" w14:textId="77777777" w:rsidR="00480069" w:rsidRPr="00746E61" w:rsidRDefault="00480069" w:rsidP="00746E61">
      <w:pPr>
        <w:widowControl w:val="0"/>
        <w:autoSpaceDE w:val="0"/>
        <w:spacing w:line="276" w:lineRule="auto"/>
        <w:ind w:right="51"/>
        <w:jc w:val="both"/>
        <w:rPr>
          <w:rFonts w:ascii="Book Antiqua" w:hAnsi="Book Antiqua"/>
          <w:b/>
          <w:bCs/>
          <w:lang w:val="es-ES_tradnl" w:eastAsia="en-US"/>
        </w:rPr>
      </w:pPr>
      <w:r w:rsidRPr="00746E61">
        <w:rPr>
          <w:rFonts w:ascii="Book Antiqua" w:hAnsi="Book Antiqua" w:cs="Arial"/>
        </w:rPr>
        <w:t>A continuación, se detalla el promedio de asuntos terminados al mes en los Tribunales de Juicio considerando los años 2019, 2020 y 2021, así como un análisis de aumento y disminución entre los citados períodos.</w:t>
      </w:r>
    </w:p>
    <w:p w14:paraId="7E232208" w14:textId="77777777" w:rsidR="002B4AFA" w:rsidRPr="00746E61" w:rsidRDefault="002B4AFA" w:rsidP="00746E61">
      <w:pPr>
        <w:spacing w:line="276" w:lineRule="auto"/>
        <w:ind w:left="360"/>
        <w:rPr>
          <w:rFonts w:ascii="Book Antiqua" w:hAnsi="Book Antiqua"/>
          <w:b/>
          <w:bCs/>
          <w:highlight w:val="yellow"/>
          <w:lang w:val="es-ES_tradnl" w:eastAsia="en-US"/>
        </w:rPr>
      </w:pPr>
    </w:p>
    <w:p w14:paraId="230524C0" w14:textId="661565B4" w:rsidR="00A844EF" w:rsidRDefault="00A844EF" w:rsidP="00746E61">
      <w:pPr>
        <w:spacing w:line="276" w:lineRule="auto"/>
        <w:jc w:val="both"/>
        <w:rPr>
          <w:rFonts w:ascii="Book Antiqua" w:hAnsi="Book Antiqua" w:cs="Arial"/>
        </w:rPr>
      </w:pPr>
      <w:r w:rsidRPr="00746E61">
        <w:rPr>
          <w:rFonts w:ascii="Book Antiqua" w:hAnsi="Book Antiqua" w:cs="Arial"/>
        </w:rPr>
        <w:t xml:space="preserve">Seguidamente, en el </w:t>
      </w:r>
      <w:r w:rsidRPr="00746E61">
        <w:rPr>
          <w:rFonts w:ascii="Book Antiqua" w:hAnsi="Book Antiqua" w:cs="Arial"/>
          <w:b/>
          <w:bCs/>
        </w:rPr>
        <w:t>Cuadro 1</w:t>
      </w:r>
      <w:r w:rsidR="00C619D5" w:rsidRPr="00746E61">
        <w:rPr>
          <w:rFonts w:ascii="Book Antiqua" w:hAnsi="Book Antiqua" w:cs="Arial"/>
          <w:b/>
          <w:bCs/>
        </w:rPr>
        <w:t>7</w:t>
      </w:r>
      <w:r w:rsidRPr="00746E61">
        <w:rPr>
          <w:rFonts w:ascii="Book Antiqua" w:hAnsi="Book Antiqua" w:cs="Arial"/>
          <w:b/>
          <w:bCs/>
        </w:rPr>
        <w:t>,</w:t>
      </w:r>
      <w:r w:rsidRPr="00746E61">
        <w:rPr>
          <w:rFonts w:ascii="Book Antiqua" w:hAnsi="Book Antiqua" w:cs="Arial"/>
        </w:rPr>
        <w:t xml:space="preserve"> se registran los datos mencionados.</w:t>
      </w:r>
    </w:p>
    <w:p w14:paraId="5DEB9F21" w14:textId="77777777" w:rsidR="00BF7F5F" w:rsidRPr="00746E61" w:rsidRDefault="00BF7F5F" w:rsidP="00746E61">
      <w:pPr>
        <w:spacing w:line="276" w:lineRule="auto"/>
        <w:jc w:val="both"/>
        <w:rPr>
          <w:rFonts w:ascii="Book Antiqua" w:hAnsi="Book Antiqua" w:cs="Arial"/>
        </w:rPr>
      </w:pPr>
    </w:p>
    <w:p w14:paraId="71BD3929" w14:textId="0F1EC904" w:rsidR="00A844EF" w:rsidRPr="00746E61" w:rsidRDefault="00A844EF" w:rsidP="00746E61">
      <w:pPr>
        <w:widowControl w:val="0"/>
        <w:autoSpaceDE w:val="0"/>
        <w:spacing w:line="276" w:lineRule="auto"/>
        <w:ind w:right="51"/>
        <w:jc w:val="center"/>
        <w:rPr>
          <w:rFonts w:ascii="Book Antiqua" w:hAnsi="Book Antiqua" w:cs="Arial"/>
          <w:b/>
          <w:bCs/>
        </w:rPr>
      </w:pPr>
      <w:r w:rsidRPr="00746E61">
        <w:rPr>
          <w:rFonts w:ascii="Book Antiqua" w:hAnsi="Book Antiqua" w:cs="Arial"/>
          <w:b/>
          <w:bCs/>
        </w:rPr>
        <w:t xml:space="preserve">Cuadro </w:t>
      </w:r>
      <w:r w:rsidR="00C619D5" w:rsidRPr="00746E61">
        <w:rPr>
          <w:rFonts w:ascii="Book Antiqua" w:hAnsi="Book Antiqua" w:cs="Arial"/>
          <w:b/>
          <w:bCs/>
        </w:rPr>
        <w:t>17</w:t>
      </w:r>
    </w:p>
    <w:p w14:paraId="0346D382" w14:textId="77777777" w:rsidR="00A844EF" w:rsidRPr="00746E61" w:rsidRDefault="00A844EF" w:rsidP="00746E61">
      <w:pPr>
        <w:widowControl w:val="0"/>
        <w:autoSpaceDE w:val="0"/>
        <w:spacing w:line="276" w:lineRule="auto"/>
        <w:ind w:right="51"/>
        <w:jc w:val="center"/>
        <w:rPr>
          <w:rFonts w:ascii="Book Antiqua" w:hAnsi="Book Antiqua" w:cs="Arial"/>
        </w:rPr>
      </w:pPr>
      <w:r w:rsidRPr="00746E61">
        <w:rPr>
          <w:rFonts w:ascii="Book Antiqua" w:hAnsi="Book Antiqua" w:cs="Arial"/>
        </w:rPr>
        <w:t>Promedio mensual de asuntos terminados en los Tribunales Penales</w:t>
      </w:r>
    </w:p>
    <w:p w14:paraId="4F2CCE35" w14:textId="528F25A5" w:rsidR="00A844EF" w:rsidRPr="00746E61" w:rsidRDefault="00A844EF" w:rsidP="00746E61">
      <w:pPr>
        <w:widowControl w:val="0"/>
        <w:autoSpaceDE w:val="0"/>
        <w:spacing w:line="276" w:lineRule="auto"/>
        <w:ind w:right="51"/>
        <w:jc w:val="center"/>
        <w:rPr>
          <w:rFonts w:ascii="Book Antiqua" w:hAnsi="Book Antiqua" w:cs="Arial"/>
        </w:rPr>
      </w:pPr>
      <w:r w:rsidRPr="00746E61">
        <w:rPr>
          <w:rFonts w:ascii="Book Antiqua" w:hAnsi="Book Antiqua" w:cs="Arial"/>
        </w:rPr>
        <w:t xml:space="preserve">entre el periodo comprendido de enero 2019 a </w:t>
      </w:r>
      <w:r w:rsidR="00B10507" w:rsidRPr="00746E61">
        <w:rPr>
          <w:rFonts w:ascii="Book Antiqua" w:hAnsi="Book Antiqua" w:cs="Arial"/>
        </w:rPr>
        <w:t>setiembre</w:t>
      </w:r>
      <w:r w:rsidRPr="00746E61">
        <w:rPr>
          <w:rFonts w:ascii="Book Antiqua" w:hAnsi="Book Antiqua" w:cs="Arial"/>
        </w:rPr>
        <w:t xml:space="preserve"> de 2021</w:t>
      </w:r>
    </w:p>
    <w:tbl>
      <w:tblPr>
        <w:tblW w:w="10064" w:type="dxa"/>
        <w:jc w:val="center"/>
        <w:tblCellMar>
          <w:left w:w="70" w:type="dxa"/>
          <w:right w:w="70" w:type="dxa"/>
        </w:tblCellMar>
        <w:tblLook w:val="04A0" w:firstRow="1" w:lastRow="0" w:firstColumn="1" w:lastColumn="0" w:noHBand="0" w:noVBand="1"/>
      </w:tblPr>
      <w:tblGrid>
        <w:gridCol w:w="2666"/>
        <w:gridCol w:w="1130"/>
        <w:gridCol w:w="1130"/>
        <w:gridCol w:w="1130"/>
        <w:gridCol w:w="2100"/>
        <w:gridCol w:w="1908"/>
      </w:tblGrid>
      <w:tr w:rsidR="00B10507" w:rsidRPr="00746E61" w14:paraId="79847C25" w14:textId="77777777" w:rsidTr="00B10507">
        <w:trPr>
          <w:trHeight w:val="1040"/>
          <w:jc w:val="center"/>
        </w:trPr>
        <w:tc>
          <w:tcPr>
            <w:tcW w:w="2666"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3F5E0B65" w14:textId="77777777" w:rsidR="00B10507" w:rsidRPr="00746E61" w:rsidRDefault="00B10507" w:rsidP="00746E61">
            <w:pPr>
              <w:spacing w:line="276" w:lineRule="auto"/>
              <w:jc w:val="center"/>
              <w:rPr>
                <w:rFonts w:ascii="Book Antiqua" w:hAnsi="Book Antiqua" w:cs="Calibri"/>
                <w:b/>
                <w:bCs/>
                <w:color w:val="FFFFFF"/>
                <w:sz w:val="16"/>
                <w:szCs w:val="16"/>
                <w:lang w:eastAsia="es-CR"/>
              </w:rPr>
            </w:pPr>
            <w:bookmarkStart w:id="10" w:name="_Hlk89217551"/>
            <w:r w:rsidRPr="00746E61">
              <w:rPr>
                <w:rFonts w:ascii="Book Antiqua" w:hAnsi="Book Antiqua" w:cs="Calibri"/>
                <w:b/>
                <w:bCs/>
                <w:color w:val="FFFFFF"/>
                <w:sz w:val="16"/>
                <w:szCs w:val="16"/>
                <w:lang w:eastAsia="es-CR"/>
              </w:rPr>
              <w:t>Despachos</w:t>
            </w:r>
          </w:p>
        </w:tc>
        <w:tc>
          <w:tcPr>
            <w:tcW w:w="1130" w:type="dxa"/>
            <w:tcBorders>
              <w:top w:val="single" w:sz="4" w:space="0" w:color="auto"/>
              <w:left w:val="nil"/>
              <w:bottom w:val="single" w:sz="4" w:space="0" w:color="auto"/>
              <w:right w:val="single" w:sz="4" w:space="0" w:color="auto"/>
            </w:tcBorders>
            <w:shd w:val="clear" w:color="000000" w:fill="305496"/>
            <w:vAlign w:val="center"/>
            <w:hideMark/>
          </w:tcPr>
          <w:p w14:paraId="15E80772" w14:textId="77777777" w:rsidR="00B10507" w:rsidRPr="00746E61" w:rsidRDefault="00B10507" w:rsidP="00746E61">
            <w:pPr>
              <w:spacing w:line="276" w:lineRule="auto"/>
              <w:jc w:val="center"/>
              <w:rPr>
                <w:rFonts w:ascii="Book Antiqua" w:hAnsi="Book Antiqua" w:cs="Calibri"/>
                <w:b/>
                <w:bCs/>
                <w:color w:val="FFFFFF"/>
                <w:sz w:val="16"/>
                <w:szCs w:val="16"/>
                <w:lang w:eastAsia="es-CR"/>
              </w:rPr>
            </w:pPr>
            <w:r w:rsidRPr="00746E61">
              <w:rPr>
                <w:rFonts w:ascii="Book Antiqua" w:hAnsi="Book Antiqua" w:cs="Calibri"/>
                <w:b/>
                <w:bCs/>
                <w:color w:val="FFFFFF"/>
                <w:sz w:val="16"/>
                <w:szCs w:val="16"/>
                <w:lang w:eastAsia="es-CR"/>
              </w:rPr>
              <w:t>Promedio mensual de Terminados 2019</w:t>
            </w:r>
          </w:p>
        </w:tc>
        <w:tc>
          <w:tcPr>
            <w:tcW w:w="1130" w:type="dxa"/>
            <w:tcBorders>
              <w:top w:val="single" w:sz="4" w:space="0" w:color="auto"/>
              <w:left w:val="nil"/>
              <w:bottom w:val="single" w:sz="4" w:space="0" w:color="auto"/>
              <w:right w:val="single" w:sz="4" w:space="0" w:color="auto"/>
            </w:tcBorders>
            <w:shd w:val="clear" w:color="000000" w:fill="305496"/>
            <w:vAlign w:val="center"/>
            <w:hideMark/>
          </w:tcPr>
          <w:p w14:paraId="01726D85" w14:textId="77777777" w:rsidR="00B10507" w:rsidRPr="00746E61" w:rsidRDefault="00B10507" w:rsidP="00746E61">
            <w:pPr>
              <w:spacing w:line="276" w:lineRule="auto"/>
              <w:jc w:val="center"/>
              <w:rPr>
                <w:rFonts w:ascii="Book Antiqua" w:hAnsi="Book Antiqua" w:cs="Calibri"/>
                <w:b/>
                <w:bCs/>
                <w:color w:val="FFFFFF"/>
                <w:sz w:val="16"/>
                <w:szCs w:val="16"/>
                <w:lang w:eastAsia="es-CR"/>
              </w:rPr>
            </w:pPr>
            <w:r w:rsidRPr="00746E61">
              <w:rPr>
                <w:rFonts w:ascii="Book Antiqua" w:hAnsi="Book Antiqua" w:cs="Calibri"/>
                <w:b/>
                <w:bCs/>
                <w:color w:val="FFFFFF"/>
                <w:sz w:val="16"/>
                <w:szCs w:val="16"/>
                <w:lang w:eastAsia="es-CR"/>
              </w:rPr>
              <w:t>Promedio mensual de Terminados 2020</w:t>
            </w:r>
          </w:p>
        </w:tc>
        <w:tc>
          <w:tcPr>
            <w:tcW w:w="1130" w:type="dxa"/>
            <w:tcBorders>
              <w:top w:val="single" w:sz="4" w:space="0" w:color="auto"/>
              <w:left w:val="nil"/>
              <w:bottom w:val="single" w:sz="4" w:space="0" w:color="auto"/>
              <w:right w:val="single" w:sz="4" w:space="0" w:color="auto"/>
            </w:tcBorders>
            <w:shd w:val="clear" w:color="000000" w:fill="305496"/>
            <w:vAlign w:val="center"/>
            <w:hideMark/>
          </w:tcPr>
          <w:p w14:paraId="1DE03746" w14:textId="77777777" w:rsidR="00B10507" w:rsidRPr="00746E61" w:rsidRDefault="00B10507" w:rsidP="00746E61">
            <w:pPr>
              <w:spacing w:line="276" w:lineRule="auto"/>
              <w:jc w:val="center"/>
              <w:rPr>
                <w:rFonts w:ascii="Book Antiqua" w:hAnsi="Book Antiqua" w:cs="Calibri"/>
                <w:b/>
                <w:bCs/>
                <w:color w:val="FFFFFF"/>
                <w:sz w:val="16"/>
                <w:szCs w:val="16"/>
                <w:lang w:eastAsia="es-CR"/>
              </w:rPr>
            </w:pPr>
            <w:r w:rsidRPr="00746E61">
              <w:rPr>
                <w:rFonts w:ascii="Book Antiqua" w:hAnsi="Book Antiqua" w:cs="Calibri"/>
                <w:b/>
                <w:bCs/>
                <w:color w:val="FFFFFF"/>
                <w:sz w:val="16"/>
                <w:szCs w:val="16"/>
                <w:lang w:eastAsia="es-CR"/>
              </w:rPr>
              <w:t>Promedio mensual de Terminados 2021</w:t>
            </w:r>
          </w:p>
        </w:tc>
        <w:tc>
          <w:tcPr>
            <w:tcW w:w="2100" w:type="dxa"/>
            <w:tcBorders>
              <w:top w:val="single" w:sz="4" w:space="0" w:color="auto"/>
              <w:left w:val="nil"/>
              <w:bottom w:val="single" w:sz="4" w:space="0" w:color="auto"/>
              <w:right w:val="single" w:sz="4" w:space="0" w:color="auto"/>
            </w:tcBorders>
            <w:shd w:val="clear" w:color="000000" w:fill="DDEBF7"/>
            <w:vAlign w:val="center"/>
            <w:hideMark/>
          </w:tcPr>
          <w:p w14:paraId="3DB5357F" w14:textId="77777777" w:rsidR="00B10507" w:rsidRPr="00746E61" w:rsidRDefault="00B10507" w:rsidP="00746E61">
            <w:pPr>
              <w:spacing w:line="276" w:lineRule="auto"/>
              <w:jc w:val="center"/>
              <w:rPr>
                <w:rFonts w:ascii="Book Antiqua" w:hAnsi="Book Antiqua" w:cs="Calibri"/>
                <w:b/>
                <w:bCs/>
                <w:color w:val="3A3838"/>
                <w:sz w:val="16"/>
                <w:szCs w:val="16"/>
                <w:lang w:eastAsia="es-CR"/>
              </w:rPr>
            </w:pPr>
            <w:r w:rsidRPr="00746E61">
              <w:rPr>
                <w:rFonts w:ascii="Book Antiqua" w:hAnsi="Book Antiqua" w:cs="Calibri"/>
                <w:b/>
                <w:bCs/>
                <w:color w:val="3A3838"/>
                <w:sz w:val="16"/>
                <w:szCs w:val="16"/>
                <w:lang w:eastAsia="es-CR"/>
              </w:rPr>
              <w:t>Aumento/disminución 2021vs2019</w:t>
            </w:r>
          </w:p>
        </w:tc>
        <w:tc>
          <w:tcPr>
            <w:tcW w:w="1908" w:type="dxa"/>
            <w:tcBorders>
              <w:top w:val="single" w:sz="4" w:space="0" w:color="auto"/>
              <w:left w:val="nil"/>
              <w:bottom w:val="single" w:sz="4" w:space="0" w:color="auto"/>
              <w:right w:val="single" w:sz="4" w:space="0" w:color="auto"/>
            </w:tcBorders>
            <w:shd w:val="clear" w:color="000000" w:fill="DDEBF7"/>
            <w:vAlign w:val="center"/>
            <w:hideMark/>
          </w:tcPr>
          <w:p w14:paraId="6BD22FE6" w14:textId="77777777" w:rsidR="00B10507" w:rsidRPr="00746E61" w:rsidRDefault="00B10507" w:rsidP="00746E61">
            <w:pPr>
              <w:spacing w:line="276" w:lineRule="auto"/>
              <w:jc w:val="center"/>
              <w:rPr>
                <w:rFonts w:ascii="Book Antiqua" w:hAnsi="Book Antiqua" w:cs="Calibri"/>
                <w:b/>
                <w:bCs/>
                <w:color w:val="3A3838"/>
                <w:sz w:val="16"/>
                <w:szCs w:val="16"/>
                <w:lang w:eastAsia="es-CR"/>
              </w:rPr>
            </w:pPr>
            <w:r w:rsidRPr="00746E61">
              <w:rPr>
                <w:rFonts w:ascii="Book Antiqua" w:hAnsi="Book Antiqua" w:cs="Calibri"/>
                <w:b/>
                <w:bCs/>
                <w:color w:val="3A3838"/>
                <w:sz w:val="16"/>
                <w:szCs w:val="16"/>
                <w:lang w:eastAsia="es-CR"/>
              </w:rPr>
              <w:t>Aumento/disminución 2021vs2020</w:t>
            </w:r>
          </w:p>
        </w:tc>
      </w:tr>
      <w:tr w:rsidR="00B10507" w:rsidRPr="00746E61" w14:paraId="4716F839" w14:textId="77777777" w:rsidTr="00B10507">
        <w:trPr>
          <w:trHeight w:val="290"/>
          <w:jc w:val="center"/>
        </w:trPr>
        <w:tc>
          <w:tcPr>
            <w:tcW w:w="2666"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6A9B7F5D" w14:textId="77777777" w:rsidR="00B10507" w:rsidRPr="00746E61" w:rsidRDefault="00B10507" w:rsidP="00746E61">
            <w:pPr>
              <w:spacing w:line="276" w:lineRule="auto"/>
              <w:rPr>
                <w:rFonts w:ascii="Book Antiqua" w:hAnsi="Book Antiqua"/>
                <w:color w:val="000000"/>
                <w:sz w:val="16"/>
                <w:szCs w:val="16"/>
                <w:lang w:eastAsia="es-CR"/>
              </w:rPr>
            </w:pPr>
            <w:r w:rsidRPr="00746E61">
              <w:rPr>
                <w:rFonts w:ascii="Book Antiqua" w:hAnsi="Book Antiqua"/>
                <w:color w:val="000000"/>
                <w:sz w:val="16"/>
                <w:szCs w:val="16"/>
                <w:lang w:eastAsia="es-CR"/>
              </w:rPr>
              <w:t>Tribunal Penal de San José</w:t>
            </w:r>
          </w:p>
        </w:tc>
        <w:tc>
          <w:tcPr>
            <w:tcW w:w="1130" w:type="dxa"/>
            <w:tcBorders>
              <w:top w:val="nil"/>
              <w:left w:val="nil"/>
              <w:bottom w:val="single" w:sz="4" w:space="0" w:color="auto"/>
              <w:right w:val="single" w:sz="4" w:space="0" w:color="auto"/>
            </w:tcBorders>
            <w:shd w:val="clear" w:color="auto" w:fill="F2F2F2" w:themeFill="background1" w:themeFillShade="F2"/>
            <w:noWrap/>
            <w:vAlign w:val="bottom"/>
            <w:hideMark/>
          </w:tcPr>
          <w:p w14:paraId="6A721096" w14:textId="77777777" w:rsidR="00B10507" w:rsidRPr="00746E61" w:rsidRDefault="00B10507" w:rsidP="00746E61">
            <w:pPr>
              <w:spacing w:line="276" w:lineRule="auto"/>
              <w:jc w:val="center"/>
              <w:rPr>
                <w:rFonts w:ascii="Book Antiqua" w:hAnsi="Book Antiqua"/>
                <w:color w:val="000000"/>
                <w:sz w:val="16"/>
                <w:szCs w:val="16"/>
                <w:lang w:eastAsia="es-CR"/>
              </w:rPr>
            </w:pPr>
            <w:r w:rsidRPr="00746E61">
              <w:rPr>
                <w:rFonts w:ascii="Book Antiqua" w:hAnsi="Book Antiqua"/>
                <w:color w:val="000000"/>
                <w:sz w:val="16"/>
                <w:szCs w:val="16"/>
                <w:lang w:eastAsia="es-CR"/>
              </w:rPr>
              <w:t>144</w:t>
            </w:r>
          </w:p>
        </w:tc>
        <w:tc>
          <w:tcPr>
            <w:tcW w:w="1130" w:type="dxa"/>
            <w:tcBorders>
              <w:top w:val="nil"/>
              <w:left w:val="nil"/>
              <w:bottom w:val="single" w:sz="4" w:space="0" w:color="auto"/>
              <w:right w:val="single" w:sz="4" w:space="0" w:color="auto"/>
            </w:tcBorders>
            <w:shd w:val="clear" w:color="auto" w:fill="F2F2F2" w:themeFill="background1" w:themeFillShade="F2"/>
            <w:noWrap/>
            <w:vAlign w:val="bottom"/>
            <w:hideMark/>
          </w:tcPr>
          <w:p w14:paraId="34F349B9" w14:textId="77777777" w:rsidR="00B10507" w:rsidRPr="00746E61" w:rsidRDefault="00B10507" w:rsidP="00746E61">
            <w:pPr>
              <w:spacing w:line="276" w:lineRule="auto"/>
              <w:jc w:val="center"/>
              <w:rPr>
                <w:rFonts w:ascii="Book Antiqua" w:hAnsi="Book Antiqua"/>
                <w:color w:val="000000"/>
                <w:sz w:val="16"/>
                <w:szCs w:val="16"/>
                <w:lang w:eastAsia="es-CR"/>
              </w:rPr>
            </w:pPr>
            <w:r w:rsidRPr="00746E61">
              <w:rPr>
                <w:rFonts w:ascii="Book Antiqua" w:hAnsi="Book Antiqua"/>
                <w:color w:val="000000"/>
                <w:sz w:val="16"/>
                <w:szCs w:val="16"/>
                <w:lang w:eastAsia="es-CR"/>
              </w:rPr>
              <w:t>80</w:t>
            </w:r>
          </w:p>
        </w:tc>
        <w:tc>
          <w:tcPr>
            <w:tcW w:w="1130" w:type="dxa"/>
            <w:tcBorders>
              <w:top w:val="nil"/>
              <w:left w:val="nil"/>
              <w:bottom w:val="single" w:sz="4" w:space="0" w:color="auto"/>
              <w:right w:val="single" w:sz="4" w:space="0" w:color="auto"/>
            </w:tcBorders>
            <w:shd w:val="clear" w:color="auto" w:fill="F2F2F2" w:themeFill="background1" w:themeFillShade="F2"/>
            <w:noWrap/>
            <w:vAlign w:val="bottom"/>
            <w:hideMark/>
          </w:tcPr>
          <w:p w14:paraId="74600204" w14:textId="77777777" w:rsidR="00B10507" w:rsidRPr="00746E61" w:rsidRDefault="00B10507" w:rsidP="00746E61">
            <w:pPr>
              <w:spacing w:line="276" w:lineRule="auto"/>
              <w:jc w:val="center"/>
              <w:rPr>
                <w:rFonts w:ascii="Book Antiqua" w:hAnsi="Book Antiqua"/>
                <w:color w:val="000000"/>
                <w:sz w:val="16"/>
                <w:szCs w:val="16"/>
                <w:lang w:eastAsia="es-CR"/>
              </w:rPr>
            </w:pPr>
            <w:r w:rsidRPr="00746E61">
              <w:rPr>
                <w:rFonts w:ascii="Book Antiqua" w:hAnsi="Book Antiqua"/>
                <w:color w:val="000000"/>
                <w:sz w:val="16"/>
                <w:szCs w:val="16"/>
                <w:lang w:eastAsia="es-CR"/>
              </w:rPr>
              <w:t>104</w:t>
            </w:r>
          </w:p>
        </w:tc>
        <w:tc>
          <w:tcPr>
            <w:tcW w:w="2100" w:type="dxa"/>
            <w:tcBorders>
              <w:top w:val="nil"/>
              <w:left w:val="nil"/>
              <w:bottom w:val="single" w:sz="4" w:space="0" w:color="auto"/>
              <w:right w:val="single" w:sz="4" w:space="0" w:color="auto"/>
            </w:tcBorders>
            <w:shd w:val="clear" w:color="auto" w:fill="F2F2F2" w:themeFill="background1" w:themeFillShade="F2"/>
            <w:vAlign w:val="center"/>
            <w:hideMark/>
          </w:tcPr>
          <w:p w14:paraId="223A3C0E" w14:textId="77777777" w:rsidR="00B10507" w:rsidRPr="00746E61" w:rsidRDefault="00B10507"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-28,04%</w:t>
            </w:r>
          </w:p>
        </w:tc>
        <w:tc>
          <w:tcPr>
            <w:tcW w:w="1908" w:type="dxa"/>
            <w:tcBorders>
              <w:top w:val="nil"/>
              <w:left w:val="nil"/>
              <w:bottom w:val="single" w:sz="4" w:space="0" w:color="auto"/>
              <w:right w:val="single" w:sz="4" w:space="0" w:color="auto"/>
            </w:tcBorders>
            <w:shd w:val="clear" w:color="auto" w:fill="F2F2F2" w:themeFill="background1" w:themeFillShade="F2"/>
            <w:vAlign w:val="center"/>
            <w:hideMark/>
          </w:tcPr>
          <w:p w14:paraId="2F1EAE71" w14:textId="77777777" w:rsidR="00B10507" w:rsidRPr="00746E61" w:rsidRDefault="00B10507"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29,28%</w:t>
            </w:r>
          </w:p>
        </w:tc>
      </w:tr>
      <w:tr w:rsidR="00B10507" w:rsidRPr="00746E61" w14:paraId="250853F4" w14:textId="77777777" w:rsidTr="00B10507">
        <w:trPr>
          <w:trHeight w:val="290"/>
          <w:jc w:val="center"/>
        </w:trPr>
        <w:tc>
          <w:tcPr>
            <w:tcW w:w="2666" w:type="dxa"/>
            <w:tcBorders>
              <w:top w:val="nil"/>
              <w:left w:val="single" w:sz="4" w:space="0" w:color="auto"/>
              <w:bottom w:val="single" w:sz="4" w:space="0" w:color="auto"/>
              <w:right w:val="single" w:sz="4" w:space="0" w:color="auto"/>
            </w:tcBorders>
            <w:shd w:val="clear" w:color="auto" w:fill="auto"/>
            <w:noWrap/>
            <w:vAlign w:val="bottom"/>
            <w:hideMark/>
          </w:tcPr>
          <w:p w14:paraId="573D6E02" w14:textId="77777777" w:rsidR="00B10507" w:rsidRPr="00746E61" w:rsidRDefault="00B10507" w:rsidP="00746E61">
            <w:pPr>
              <w:spacing w:line="276" w:lineRule="auto"/>
              <w:rPr>
                <w:rFonts w:ascii="Book Antiqua" w:hAnsi="Book Antiqua"/>
                <w:color w:val="000000"/>
                <w:sz w:val="16"/>
                <w:szCs w:val="16"/>
                <w:lang w:eastAsia="es-CR"/>
              </w:rPr>
            </w:pPr>
            <w:r w:rsidRPr="00746E61">
              <w:rPr>
                <w:rFonts w:ascii="Book Antiqua" w:hAnsi="Book Antiqua"/>
                <w:color w:val="000000"/>
                <w:sz w:val="16"/>
                <w:szCs w:val="16"/>
                <w:lang w:eastAsia="es-CR"/>
              </w:rPr>
              <w:t>Tribunal Penal de Goicochea</w:t>
            </w:r>
          </w:p>
        </w:tc>
        <w:tc>
          <w:tcPr>
            <w:tcW w:w="1130" w:type="dxa"/>
            <w:tcBorders>
              <w:top w:val="nil"/>
              <w:left w:val="nil"/>
              <w:bottom w:val="single" w:sz="4" w:space="0" w:color="auto"/>
              <w:right w:val="single" w:sz="4" w:space="0" w:color="auto"/>
            </w:tcBorders>
            <w:shd w:val="clear" w:color="auto" w:fill="auto"/>
            <w:noWrap/>
            <w:vAlign w:val="bottom"/>
            <w:hideMark/>
          </w:tcPr>
          <w:p w14:paraId="6AB2319E" w14:textId="77777777" w:rsidR="00B10507" w:rsidRPr="00746E61" w:rsidRDefault="00B10507" w:rsidP="00746E61">
            <w:pPr>
              <w:spacing w:line="276" w:lineRule="auto"/>
              <w:jc w:val="center"/>
              <w:rPr>
                <w:rFonts w:ascii="Book Antiqua" w:hAnsi="Book Antiqua"/>
                <w:color w:val="000000"/>
                <w:sz w:val="16"/>
                <w:szCs w:val="16"/>
                <w:lang w:eastAsia="es-CR"/>
              </w:rPr>
            </w:pPr>
            <w:r w:rsidRPr="00746E61">
              <w:rPr>
                <w:rFonts w:ascii="Book Antiqua" w:hAnsi="Book Antiqua"/>
                <w:color w:val="000000"/>
                <w:sz w:val="16"/>
                <w:szCs w:val="16"/>
                <w:lang w:eastAsia="es-CR"/>
              </w:rPr>
              <w:t>86</w:t>
            </w:r>
          </w:p>
        </w:tc>
        <w:tc>
          <w:tcPr>
            <w:tcW w:w="1130" w:type="dxa"/>
            <w:tcBorders>
              <w:top w:val="nil"/>
              <w:left w:val="nil"/>
              <w:bottom w:val="single" w:sz="4" w:space="0" w:color="auto"/>
              <w:right w:val="single" w:sz="4" w:space="0" w:color="auto"/>
            </w:tcBorders>
            <w:shd w:val="clear" w:color="auto" w:fill="auto"/>
            <w:noWrap/>
            <w:vAlign w:val="bottom"/>
            <w:hideMark/>
          </w:tcPr>
          <w:p w14:paraId="51267402" w14:textId="77777777" w:rsidR="00B10507" w:rsidRPr="00746E61" w:rsidRDefault="00B10507" w:rsidP="00746E61">
            <w:pPr>
              <w:spacing w:line="276" w:lineRule="auto"/>
              <w:jc w:val="center"/>
              <w:rPr>
                <w:rFonts w:ascii="Book Antiqua" w:hAnsi="Book Antiqua"/>
                <w:color w:val="000000"/>
                <w:sz w:val="16"/>
                <w:szCs w:val="16"/>
                <w:lang w:eastAsia="es-CR"/>
              </w:rPr>
            </w:pPr>
            <w:r w:rsidRPr="00746E61">
              <w:rPr>
                <w:rFonts w:ascii="Book Antiqua" w:hAnsi="Book Antiqua"/>
                <w:color w:val="000000"/>
                <w:sz w:val="16"/>
                <w:szCs w:val="16"/>
                <w:lang w:eastAsia="es-CR"/>
              </w:rPr>
              <w:t>46</w:t>
            </w:r>
          </w:p>
        </w:tc>
        <w:tc>
          <w:tcPr>
            <w:tcW w:w="1130" w:type="dxa"/>
            <w:tcBorders>
              <w:top w:val="nil"/>
              <w:left w:val="nil"/>
              <w:bottom w:val="single" w:sz="4" w:space="0" w:color="auto"/>
              <w:right w:val="single" w:sz="4" w:space="0" w:color="auto"/>
            </w:tcBorders>
            <w:shd w:val="clear" w:color="auto" w:fill="auto"/>
            <w:noWrap/>
            <w:vAlign w:val="bottom"/>
            <w:hideMark/>
          </w:tcPr>
          <w:p w14:paraId="4B3D42FF" w14:textId="77777777" w:rsidR="00B10507" w:rsidRPr="00746E61" w:rsidRDefault="00B10507" w:rsidP="00746E61">
            <w:pPr>
              <w:spacing w:line="276" w:lineRule="auto"/>
              <w:jc w:val="center"/>
              <w:rPr>
                <w:rFonts w:ascii="Book Antiqua" w:hAnsi="Book Antiqua"/>
                <w:color w:val="000000"/>
                <w:sz w:val="16"/>
                <w:szCs w:val="16"/>
                <w:lang w:eastAsia="es-CR"/>
              </w:rPr>
            </w:pPr>
            <w:r w:rsidRPr="00746E61">
              <w:rPr>
                <w:rFonts w:ascii="Book Antiqua" w:hAnsi="Book Antiqua"/>
                <w:color w:val="000000"/>
                <w:sz w:val="16"/>
                <w:szCs w:val="16"/>
                <w:lang w:eastAsia="es-CR"/>
              </w:rPr>
              <w:t>83</w:t>
            </w:r>
          </w:p>
        </w:tc>
        <w:tc>
          <w:tcPr>
            <w:tcW w:w="2100" w:type="dxa"/>
            <w:tcBorders>
              <w:top w:val="nil"/>
              <w:left w:val="nil"/>
              <w:bottom w:val="single" w:sz="4" w:space="0" w:color="auto"/>
              <w:right w:val="single" w:sz="4" w:space="0" w:color="auto"/>
            </w:tcBorders>
            <w:shd w:val="clear" w:color="auto" w:fill="auto"/>
            <w:vAlign w:val="center"/>
            <w:hideMark/>
          </w:tcPr>
          <w:p w14:paraId="08401B6A" w14:textId="77777777" w:rsidR="00B10507" w:rsidRPr="00746E61" w:rsidRDefault="00B10507"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-3,48%</w:t>
            </w:r>
          </w:p>
        </w:tc>
        <w:tc>
          <w:tcPr>
            <w:tcW w:w="1908" w:type="dxa"/>
            <w:tcBorders>
              <w:top w:val="nil"/>
              <w:left w:val="nil"/>
              <w:bottom w:val="single" w:sz="4" w:space="0" w:color="auto"/>
              <w:right w:val="single" w:sz="4" w:space="0" w:color="auto"/>
            </w:tcBorders>
            <w:shd w:val="clear" w:color="auto" w:fill="auto"/>
            <w:vAlign w:val="center"/>
            <w:hideMark/>
          </w:tcPr>
          <w:p w14:paraId="1E685EC4" w14:textId="77777777" w:rsidR="00B10507" w:rsidRPr="00746E61" w:rsidRDefault="00B10507"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78,59%</w:t>
            </w:r>
          </w:p>
        </w:tc>
      </w:tr>
      <w:tr w:rsidR="00B10507" w:rsidRPr="00746E61" w14:paraId="5C6465B0" w14:textId="77777777" w:rsidTr="00081DAD">
        <w:trPr>
          <w:trHeight w:val="290"/>
          <w:jc w:val="center"/>
        </w:trPr>
        <w:tc>
          <w:tcPr>
            <w:tcW w:w="2666"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4B898DCF" w14:textId="77777777" w:rsidR="00B10507" w:rsidRPr="00746E61" w:rsidRDefault="00B10507" w:rsidP="00746E61">
            <w:pPr>
              <w:spacing w:line="276" w:lineRule="auto"/>
              <w:rPr>
                <w:rFonts w:ascii="Book Antiqua" w:hAnsi="Book Antiqua"/>
                <w:color w:val="000000"/>
                <w:sz w:val="16"/>
                <w:szCs w:val="16"/>
                <w:lang w:eastAsia="es-CR"/>
              </w:rPr>
            </w:pPr>
            <w:r w:rsidRPr="00746E61">
              <w:rPr>
                <w:rFonts w:ascii="Book Antiqua" w:hAnsi="Book Antiqua"/>
                <w:color w:val="000000"/>
                <w:sz w:val="16"/>
                <w:szCs w:val="16"/>
                <w:lang w:eastAsia="es-CR"/>
              </w:rPr>
              <w:t>Tribunal Penal de Pavas</w:t>
            </w:r>
          </w:p>
        </w:tc>
        <w:tc>
          <w:tcPr>
            <w:tcW w:w="1130" w:type="dxa"/>
            <w:tcBorders>
              <w:top w:val="nil"/>
              <w:left w:val="nil"/>
              <w:bottom w:val="single" w:sz="4" w:space="0" w:color="auto"/>
              <w:right w:val="single" w:sz="4" w:space="0" w:color="auto"/>
            </w:tcBorders>
            <w:shd w:val="clear" w:color="auto" w:fill="F2F2F2" w:themeFill="background1" w:themeFillShade="F2"/>
            <w:noWrap/>
            <w:vAlign w:val="bottom"/>
            <w:hideMark/>
          </w:tcPr>
          <w:p w14:paraId="771213B0" w14:textId="77777777" w:rsidR="00B10507" w:rsidRPr="00746E61" w:rsidRDefault="00B10507" w:rsidP="00746E61">
            <w:pPr>
              <w:spacing w:line="276" w:lineRule="auto"/>
              <w:jc w:val="center"/>
              <w:rPr>
                <w:rFonts w:ascii="Book Antiqua" w:hAnsi="Book Antiqua"/>
                <w:color w:val="000000"/>
                <w:sz w:val="16"/>
                <w:szCs w:val="16"/>
                <w:lang w:eastAsia="es-CR"/>
              </w:rPr>
            </w:pPr>
            <w:r w:rsidRPr="00746E61">
              <w:rPr>
                <w:rFonts w:ascii="Book Antiqua" w:hAnsi="Book Antiqua"/>
                <w:color w:val="000000"/>
                <w:sz w:val="16"/>
                <w:szCs w:val="16"/>
                <w:lang w:eastAsia="es-CR"/>
              </w:rPr>
              <w:t>110</w:t>
            </w:r>
          </w:p>
        </w:tc>
        <w:tc>
          <w:tcPr>
            <w:tcW w:w="1130" w:type="dxa"/>
            <w:tcBorders>
              <w:top w:val="nil"/>
              <w:left w:val="nil"/>
              <w:bottom w:val="single" w:sz="4" w:space="0" w:color="auto"/>
              <w:right w:val="single" w:sz="4" w:space="0" w:color="auto"/>
            </w:tcBorders>
            <w:shd w:val="clear" w:color="auto" w:fill="F2F2F2" w:themeFill="background1" w:themeFillShade="F2"/>
            <w:noWrap/>
            <w:vAlign w:val="bottom"/>
            <w:hideMark/>
          </w:tcPr>
          <w:p w14:paraId="0B8A50CF" w14:textId="77777777" w:rsidR="00B10507" w:rsidRPr="00746E61" w:rsidRDefault="00B10507" w:rsidP="00746E61">
            <w:pPr>
              <w:spacing w:line="276" w:lineRule="auto"/>
              <w:jc w:val="center"/>
              <w:rPr>
                <w:rFonts w:ascii="Book Antiqua" w:hAnsi="Book Antiqua"/>
                <w:color w:val="000000"/>
                <w:sz w:val="16"/>
                <w:szCs w:val="16"/>
                <w:lang w:eastAsia="es-CR"/>
              </w:rPr>
            </w:pPr>
            <w:r w:rsidRPr="00746E61">
              <w:rPr>
                <w:rFonts w:ascii="Book Antiqua" w:hAnsi="Book Antiqua"/>
                <w:color w:val="000000"/>
                <w:sz w:val="16"/>
                <w:szCs w:val="16"/>
                <w:lang w:eastAsia="es-CR"/>
              </w:rPr>
              <w:t>93</w:t>
            </w:r>
          </w:p>
        </w:tc>
        <w:tc>
          <w:tcPr>
            <w:tcW w:w="1130" w:type="dxa"/>
            <w:tcBorders>
              <w:top w:val="nil"/>
              <w:left w:val="nil"/>
              <w:bottom w:val="single" w:sz="4" w:space="0" w:color="auto"/>
              <w:right w:val="single" w:sz="4" w:space="0" w:color="auto"/>
            </w:tcBorders>
            <w:shd w:val="clear" w:color="auto" w:fill="F2F2F2" w:themeFill="background1" w:themeFillShade="F2"/>
            <w:noWrap/>
            <w:vAlign w:val="bottom"/>
            <w:hideMark/>
          </w:tcPr>
          <w:p w14:paraId="544AD111" w14:textId="77777777" w:rsidR="00B10507" w:rsidRPr="00746E61" w:rsidRDefault="00B10507" w:rsidP="00746E61">
            <w:pPr>
              <w:spacing w:line="276" w:lineRule="auto"/>
              <w:jc w:val="center"/>
              <w:rPr>
                <w:rFonts w:ascii="Book Antiqua" w:hAnsi="Book Antiqua"/>
                <w:color w:val="000000"/>
                <w:sz w:val="16"/>
                <w:szCs w:val="16"/>
                <w:lang w:eastAsia="es-CR"/>
              </w:rPr>
            </w:pPr>
            <w:r w:rsidRPr="00746E61">
              <w:rPr>
                <w:rFonts w:ascii="Book Antiqua" w:hAnsi="Book Antiqua"/>
                <w:color w:val="000000"/>
                <w:sz w:val="16"/>
                <w:szCs w:val="16"/>
                <w:lang w:eastAsia="es-CR"/>
              </w:rPr>
              <w:t>96</w:t>
            </w:r>
          </w:p>
        </w:tc>
        <w:tc>
          <w:tcPr>
            <w:tcW w:w="2100" w:type="dxa"/>
            <w:tcBorders>
              <w:top w:val="nil"/>
              <w:left w:val="nil"/>
              <w:bottom w:val="single" w:sz="4" w:space="0" w:color="auto"/>
              <w:right w:val="single" w:sz="4" w:space="0" w:color="auto"/>
            </w:tcBorders>
            <w:shd w:val="clear" w:color="auto" w:fill="F2F2F2" w:themeFill="background1" w:themeFillShade="F2"/>
            <w:vAlign w:val="center"/>
            <w:hideMark/>
          </w:tcPr>
          <w:p w14:paraId="55435809" w14:textId="77777777" w:rsidR="00B10507" w:rsidRPr="00746E61" w:rsidRDefault="00B10507"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-12,19%</w:t>
            </w:r>
          </w:p>
        </w:tc>
        <w:tc>
          <w:tcPr>
            <w:tcW w:w="1908" w:type="dxa"/>
            <w:tcBorders>
              <w:top w:val="nil"/>
              <w:left w:val="nil"/>
              <w:bottom w:val="single" w:sz="4" w:space="0" w:color="auto"/>
              <w:right w:val="single" w:sz="4" w:space="0" w:color="auto"/>
            </w:tcBorders>
            <w:shd w:val="clear" w:color="auto" w:fill="F2F2F2" w:themeFill="background1" w:themeFillShade="F2"/>
            <w:vAlign w:val="center"/>
            <w:hideMark/>
          </w:tcPr>
          <w:p w14:paraId="13952977" w14:textId="77777777" w:rsidR="00B10507" w:rsidRPr="00746E61" w:rsidRDefault="00B10507"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3,21%</w:t>
            </w:r>
          </w:p>
        </w:tc>
      </w:tr>
      <w:tr w:rsidR="00B10507" w:rsidRPr="00746E61" w14:paraId="63FAC17B" w14:textId="77777777" w:rsidTr="00B10507">
        <w:trPr>
          <w:trHeight w:val="290"/>
          <w:jc w:val="center"/>
        </w:trPr>
        <w:tc>
          <w:tcPr>
            <w:tcW w:w="2666" w:type="dxa"/>
            <w:tcBorders>
              <w:top w:val="nil"/>
              <w:left w:val="single" w:sz="4" w:space="0" w:color="auto"/>
              <w:bottom w:val="single" w:sz="4" w:space="0" w:color="auto"/>
              <w:right w:val="single" w:sz="4" w:space="0" w:color="auto"/>
            </w:tcBorders>
            <w:shd w:val="clear" w:color="auto" w:fill="auto"/>
            <w:noWrap/>
            <w:vAlign w:val="bottom"/>
            <w:hideMark/>
          </w:tcPr>
          <w:p w14:paraId="129DF844" w14:textId="77777777" w:rsidR="00B10507" w:rsidRPr="00746E61" w:rsidRDefault="00B10507" w:rsidP="00746E61">
            <w:pPr>
              <w:spacing w:line="276" w:lineRule="auto"/>
              <w:rPr>
                <w:rFonts w:ascii="Book Antiqua" w:hAnsi="Book Antiqua"/>
                <w:color w:val="000000"/>
                <w:sz w:val="16"/>
                <w:szCs w:val="16"/>
                <w:lang w:eastAsia="es-CR"/>
              </w:rPr>
            </w:pPr>
            <w:r w:rsidRPr="00746E61">
              <w:rPr>
                <w:rFonts w:ascii="Book Antiqua" w:hAnsi="Book Antiqua"/>
                <w:color w:val="000000"/>
                <w:sz w:val="16"/>
                <w:szCs w:val="16"/>
                <w:lang w:eastAsia="es-CR"/>
              </w:rPr>
              <w:t>Tribunal Penal de Desamparados</w:t>
            </w:r>
          </w:p>
        </w:tc>
        <w:tc>
          <w:tcPr>
            <w:tcW w:w="1130" w:type="dxa"/>
            <w:tcBorders>
              <w:top w:val="nil"/>
              <w:left w:val="nil"/>
              <w:bottom w:val="single" w:sz="4" w:space="0" w:color="auto"/>
              <w:right w:val="single" w:sz="4" w:space="0" w:color="auto"/>
            </w:tcBorders>
            <w:shd w:val="clear" w:color="auto" w:fill="auto"/>
            <w:noWrap/>
            <w:vAlign w:val="bottom"/>
            <w:hideMark/>
          </w:tcPr>
          <w:p w14:paraId="514A0EAF" w14:textId="77777777" w:rsidR="00B10507" w:rsidRPr="00746E61" w:rsidRDefault="00B10507" w:rsidP="00746E61">
            <w:pPr>
              <w:spacing w:line="276" w:lineRule="auto"/>
              <w:jc w:val="center"/>
              <w:rPr>
                <w:rFonts w:ascii="Book Antiqua" w:hAnsi="Book Antiqua"/>
                <w:color w:val="000000"/>
                <w:sz w:val="16"/>
                <w:szCs w:val="16"/>
                <w:lang w:eastAsia="es-CR"/>
              </w:rPr>
            </w:pPr>
            <w:r w:rsidRPr="00746E61">
              <w:rPr>
                <w:rFonts w:ascii="Book Antiqua" w:hAnsi="Book Antiqua"/>
                <w:color w:val="000000"/>
                <w:sz w:val="16"/>
                <w:szCs w:val="16"/>
                <w:lang w:eastAsia="es-CR"/>
              </w:rPr>
              <w:t>45</w:t>
            </w:r>
          </w:p>
        </w:tc>
        <w:tc>
          <w:tcPr>
            <w:tcW w:w="1130" w:type="dxa"/>
            <w:tcBorders>
              <w:top w:val="nil"/>
              <w:left w:val="nil"/>
              <w:bottom w:val="single" w:sz="4" w:space="0" w:color="auto"/>
              <w:right w:val="single" w:sz="4" w:space="0" w:color="auto"/>
            </w:tcBorders>
            <w:shd w:val="clear" w:color="auto" w:fill="auto"/>
            <w:noWrap/>
            <w:vAlign w:val="bottom"/>
            <w:hideMark/>
          </w:tcPr>
          <w:p w14:paraId="21224271" w14:textId="77777777" w:rsidR="00B10507" w:rsidRPr="00746E61" w:rsidRDefault="00B10507" w:rsidP="00746E61">
            <w:pPr>
              <w:spacing w:line="276" w:lineRule="auto"/>
              <w:jc w:val="center"/>
              <w:rPr>
                <w:rFonts w:ascii="Book Antiqua" w:hAnsi="Book Antiqua"/>
                <w:color w:val="000000"/>
                <w:sz w:val="16"/>
                <w:szCs w:val="16"/>
                <w:lang w:eastAsia="es-CR"/>
              </w:rPr>
            </w:pPr>
            <w:r w:rsidRPr="00746E61">
              <w:rPr>
                <w:rFonts w:ascii="Book Antiqua" w:hAnsi="Book Antiqua"/>
                <w:color w:val="000000"/>
                <w:sz w:val="16"/>
                <w:szCs w:val="16"/>
                <w:lang w:eastAsia="es-CR"/>
              </w:rPr>
              <w:t>30</w:t>
            </w:r>
          </w:p>
        </w:tc>
        <w:tc>
          <w:tcPr>
            <w:tcW w:w="1130" w:type="dxa"/>
            <w:tcBorders>
              <w:top w:val="nil"/>
              <w:left w:val="nil"/>
              <w:bottom w:val="single" w:sz="4" w:space="0" w:color="auto"/>
              <w:right w:val="single" w:sz="4" w:space="0" w:color="auto"/>
            </w:tcBorders>
            <w:shd w:val="clear" w:color="auto" w:fill="auto"/>
            <w:noWrap/>
            <w:vAlign w:val="bottom"/>
            <w:hideMark/>
          </w:tcPr>
          <w:p w14:paraId="3A5BADFC" w14:textId="77777777" w:rsidR="00B10507" w:rsidRPr="00746E61" w:rsidRDefault="00B10507" w:rsidP="00746E61">
            <w:pPr>
              <w:spacing w:line="276" w:lineRule="auto"/>
              <w:jc w:val="center"/>
              <w:rPr>
                <w:rFonts w:ascii="Book Antiqua" w:hAnsi="Book Antiqua"/>
                <w:color w:val="000000"/>
                <w:sz w:val="16"/>
                <w:szCs w:val="16"/>
                <w:lang w:eastAsia="es-CR"/>
              </w:rPr>
            </w:pPr>
            <w:r w:rsidRPr="00746E61">
              <w:rPr>
                <w:rFonts w:ascii="Book Antiqua" w:hAnsi="Book Antiqua"/>
                <w:color w:val="000000"/>
                <w:sz w:val="16"/>
                <w:szCs w:val="16"/>
                <w:lang w:eastAsia="es-CR"/>
              </w:rPr>
              <w:t>39</w:t>
            </w:r>
          </w:p>
        </w:tc>
        <w:tc>
          <w:tcPr>
            <w:tcW w:w="2100" w:type="dxa"/>
            <w:tcBorders>
              <w:top w:val="nil"/>
              <w:left w:val="nil"/>
              <w:bottom w:val="single" w:sz="4" w:space="0" w:color="auto"/>
              <w:right w:val="single" w:sz="4" w:space="0" w:color="auto"/>
            </w:tcBorders>
            <w:shd w:val="clear" w:color="auto" w:fill="auto"/>
            <w:vAlign w:val="center"/>
            <w:hideMark/>
          </w:tcPr>
          <w:p w14:paraId="6A2E7A94" w14:textId="77777777" w:rsidR="00B10507" w:rsidRPr="00746E61" w:rsidRDefault="00B10507"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-13,93%</w:t>
            </w:r>
          </w:p>
        </w:tc>
        <w:tc>
          <w:tcPr>
            <w:tcW w:w="1908" w:type="dxa"/>
            <w:tcBorders>
              <w:top w:val="nil"/>
              <w:left w:val="nil"/>
              <w:bottom w:val="single" w:sz="4" w:space="0" w:color="auto"/>
              <w:right w:val="single" w:sz="4" w:space="0" w:color="auto"/>
            </w:tcBorders>
            <w:shd w:val="clear" w:color="auto" w:fill="auto"/>
            <w:vAlign w:val="center"/>
            <w:hideMark/>
          </w:tcPr>
          <w:p w14:paraId="14217E66" w14:textId="77777777" w:rsidR="00B10507" w:rsidRPr="00746E61" w:rsidRDefault="00B10507"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30,00%</w:t>
            </w:r>
          </w:p>
        </w:tc>
      </w:tr>
      <w:tr w:rsidR="00B10507" w:rsidRPr="00746E61" w14:paraId="60AEA5A3" w14:textId="77777777" w:rsidTr="003A31AE">
        <w:trPr>
          <w:trHeight w:val="290"/>
          <w:jc w:val="center"/>
        </w:trPr>
        <w:tc>
          <w:tcPr>
            <w:tcW w:w="2666"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25DD6EE4" w14:textId="77777777" w:rsidR="00B10507" w:rsidRPr="00746E61" w:rsidRDefault="00B10507" w:rsidP="00746E61">
            <w:pPr>
              <w:spacing w:line="276" w:lineRule="auto"/>
              <w:rPr>
                <w:rFonts w:ascii="Book Antiqua" w:hAnsi="Book Antiqua"/>
                <w:color w:val="000000"/>
                <w:sz w:val="16"/>
                <w:szCs w:val="16"/>
                <w:lang w:eastAsia="es-CR"/>
              </w:rPr>
            </w:pPr>
            <w:r w:rsidRPr="00746E61">
              <w:rPr>
                <w:rFonts w:ascii="Book Antiqua" w:hAnsi="Book Antiqua"/>
                <w:color w:val="000000"/>
                <w:sz w:val="16"/>
                <w:szCs w:val="16"/>
                <w:lang w:eastAsia="es-CR"/>
              </w:rPr>
              <w:t>Tribunal Penal de Alajuela</w:t>
            </w:r>
          </w:p>
        </w:tc>
        <w:tc>
          <w:tcPr>
            <w:tcW w:w="1130" w:type="dxa"/>
            <w:tcBorders>
              <w:top w:val="nil"/>
              <w:left w:val="nil"/>
              <w:bottom w:val="single" w:sz="4" w:space="0" w:color="auto"/>
              <w:right w:val="single" w:sz="4" w:space="0" w:color="auto"/>
            </w:tcBorders>
            <w:shd w:val="clear" w:color="auto" w:fill="F2F2F2" w:themeFill="background1" w:themeFillShade="F2"/>
            <w:noWrap/>
            <w:vAlign w:val="bottom"/>
            <w:hideMark/>
          </w:tcPr>
          <w:p w14:paraId="3AF3E730" w14:textId="77777777" w:rsidR="00B10507" w:rsidRPr="00746E61" w:rsidRDefault="00B10507" w:rsidP="00746E61">
            <w:pPr>
              <w:spacing w:line="276" w:lineRule="auto"/>
              <w:jc w:val="center"/>
              <w:rPr>
                <w:rFonts w:ascii="Book Antiqua" w:hAnsi="Book Antiqua"/>
                <w:color w:val="000000"/>
                <w:sz w:val="16"/>
                <w:szCs w:val="16"/>
                <w:lang w:eastAsia="es-CR"/>
              </w:rPr>
            </w:pPr>
            <w:r w:rsidRPr="00746E61">
              <w:rPr>
                <w:rFonts w:ascii="Book Antiqua" w:hAnsi="Book Antiqua"/>
                <w:color w:val="000000"/>
                <w:sz w:val="16"/>
                <w:szCs w:val="16"/>
                <w:lang w:eastAsia="es-CR"/>
              </w:rPr>
              <w:t>93</w:t>
            </w:r>
          </w:p>
        </w:tc>
        <w:tc>
          <w:tcPr>
            <w:tcW w:w="1130" w:type="dxa"/>
            <w:tcBorders>
              <w:top w:val="nil"/>
              <w:left w:val="nil"/>
              <w:bottom w:val="single" w:sz="4" w:space="0" w:color="auto"/>
              <w:right w:val="single" w:sz="4" w:space="0" w:color="auto"/>
            </w:tcBorders>
            <w:shd w:val="clear" w:color="auto" w:fill="F2F2F2" w:themeFill="background1" w:themeFillShade="F2"/>
            <w:noWrap/>
            <w:vAlign w:val="bottom"/>
            <w:hideMark/>
          </w:tcPr>
          <w:p w14:paraId="39F8E56B" w14:textId="77777777" w:rsidR="00B10507" w:rsidRPr="00746E61" w:rsidRDefault="00B10507" w:rsidP="00746E61">
            <w:pPr>
              <w:spacing w:line="276" w:lineRule="auto"/>
              <w:jc w:val="center"/>
              <w:rPr>
                <w:rFonts w:ascii="Book Antiqua" w:hAnsi="Book Antiqua"/>
                <w:color w:val="000000"/>
                <w:sz w:val="16"/>
                <w:szCs w:val="16"/>
                <w:lang w:eastAsia="es-CR"/>
              </w:rPr>
            </w:pPr>
            <w:r w:rsidRPr="00746E61">
              <w:rPr>
                <w:rFonts w:ascii="Book Antiqua" w:hAnsi="Book Antiqua"/>
                <w:color w:val="000000"/>
                <w:sz w:val="16"/>
                <w:szCs w:val="16"/>
                <w:lang w:eastAsia="es-CR"/>
              </w:rPr>
              <w:t>58</w:t>
            </w:r>
          </w:p>
        </w:tc>
        <w:tc>
          <w:tcPr>
            <w:tcW w:w="1130" w:type="dxa"/>
            <w:tcBorders>
              <w:top w:val="nil"/>
              <w:left w:val="nil"/>
              <w:bottom w:val="single" w:sz="4" w:space="0" w:color="auto"/>
              <w:right w:val="single" w:sz="4" w:space="0" w:color="auto"/>
            </w:tcBorders>
            <w:shd w:val="clear" w:color="auto" w:fill="F2F2F2" w:themeFill="background1" w:themeFillShade="F2"/>
            <w:noWrap/>
            <w:vAlign w:val="bottom"/>
            <w:hideMark/>
          </w:tcPr>
          <w:p w14:paraId="1C861091" w14:textId="77777777" w:rsidR="00B10507" w:rsidRPr="00746E61" w:rsidRDefault="00B10507" w:rsidP="00746E61">
            <w:pPr>
              <w:spacing w:line="276" w:lineRule="auto"/>
              <w:jc w:val="center"/>
              <w:rPr>
                <w:rFonts w:ascii="Book Antiqua" w:hAnsi="Book Antiqua"/>
                <w:color w:val="000000"/>
                <w:sz w:val="16"/>
                <w:szCs w:val="16"/>
                <w:lang w:eastAsia="es-CR"/>
              </w:rPr>
            </w:pPr>
            <w:r w:rsidRPr="00746E61">
              <w:rPr>
                <w:rFonts w:ascii="Book Antiqua" w:hAnsi="Book Antiqua"/>
                <w:color w:val="000000"/>
                <w:sz w:val="16"/>
                <w:szCs w:val="16"/>
                <w:lang w:eastAsia="es-CR"/>
              </w:rPr>
              <w:t>80</w:t>
            </w:r>
          </w:p>
        </w:tc>
        <w:tc>
          <w:tcPr>
            <w:tcW w:w="2100" w:type="dxa"/>
            <w:tcBorders>
              <w:top w:val="nil"/>
              <w:left w:val="nil"/>
              <w:bottom w:val="single" w:sz="4" w:space="0" w:color="auto"/>
              <w:right w:val="single" w:sz="4" w:space="0" w:color="auto"/>
            </w:tcBorders>
            <w:shd w:val="clear" w:color="auto" w:fill="F2F2F2" w:themeFill="background1" w:themeFillShade="F2"/>
            <w:vAlign w:val="center"/>
            <w:hideMark/>
          </w:tcPr>
          <w:p w14:paraId="5E364438" w14:textId="77777777" w:rsidR="00B10507" w:rsidRPr="00746E61" w:rsidRDefault="00B10507"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-14,00%</w:t>
            </w:r>
          </w:p>
        </w:tc>
        <w:tc>
          <w:tcPr>
            <w:tcW w:w="1908" w:type="dxa"/>
            <w:tcBorders>
              <w:top w:val="nil"/>
              <w:left w:val="nil"/>
              <w:bottom w:val="single" w:sz="4" w:space="0" w:color="auto"/>
              <w:right w:val="single" w:sz="4" w:space="0" w:color="auto"/>
            </w:tcBorders>
            <w:shd w:val="clear" w:color="auto" w:fill="F2F2F2" w:themeFill="background1" w:themeFillShade="F2"/>
            <w:vAlign w:val="center"/>
            <w:hideMark/>
          </w:tcPr>
          <w:p w14:paraId="62E4055D" w14:textId="77777777" w:rsidR="00B10507" w:rsidRPr="00746E61" w:rsidRDefault="00B10507"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37,20%</w:t>
            </w:r>
          </w:p>
        </w:tc>
      </w:tr>
      <w:tr w:rsidR="00B10507" w:rsidRPr="00746E61" w14:paraId="258D4253" w14:textId="77777777" w:rsidTr="00B10507">
        <w:trPr>
          <w:trHeight w:val="290"/>
          <w:jc w:val="center"/>
        </w:trPr>
        <w:tc>
          <w:tcPr>
            <w:tcW w:w="2666" w:type="dxa"/>
            <w:tcBorders>
              <w:top w:val="nil"/>
              <w:left w:val="single" w:sz="4" w:space="0" w:color="auto"/>
              <w:bottom w:val="single" w:sz="4" w:space="0" w:color="auto"/>
              <w:right w:val="single" w:sz="4" w:space="0" w:color="auto"/>
            </w:tcBorders>
            <w:shd w:val="clear" w:color="auto" w:fill="auto"/>
            <w:noWrap/>
            <w:vAlign w:val="bottom"/>
            <w:hideMark/>
          </w:tcPr>
          <w:p w14:paraId="27154ACA" w14:textId="77777777" w:rsidR="00B10507" w:rsidRPr="00746E61" w:rsidRDefault="00B10507" w:rsidP="00746E61">
            <w:pPr>
              <w:spacing w:line="276" w:lineRule="auto"/>
              <w:rPr>
                <w:rFonts w:ascii="Book Antiqua" w:hAnsi="Book Antiqua"/>
                <w:color w:val="000000"/>
                <w:sz w:val="16"/>
                <w:szCs w:val="16"/>
                <w:lang w:eastAsia="es-CR"/>
              </w:rPr>
            </w:pPr>
            <w:r w:rsidRPr="00746E61">
              <w:rPr>
                <w:rFonts w:ascii="Book Antiqua" w:hAnsi="Book Antiqua"/>
                <w:color w:val="000000"/>
                <w:sz w:val="16"/>
                <w:szCs w:val="16"/>
                <w:lang w:eastAsia="es-CR"/>
              </w:rPr>
              <w:t>Tribunal Penal de San Carlos</w:t>
            </w:r>
          </w:p>
        </w:tc>
        <w:tc>
          <w:tcPr>
            <w:tcW w:w="1130" w:type="dxa"/>
            <w:tcBorders>
              <w:top w:val="nil"/>
              <w:left w:val="nil"/>
              <w:bottom w:val="single" w:sz="4" w:space="0" w:color="auto"/>
              <w:right w:val="single" w:sz="4" w:space="0" w:color="auto"/>
            </w:tcBorders>
            <w:shd w:val="clear" w:color="auto" w:fill="auto"/>
            <w:noWrap/>
            <w:vAlign w:val="bottom"/>
            <w:hideMark/>
          </w:tcPr>
          <w:p w14:paraId="76E2E26C" w14:textId="77777777" w:rsidR="00B10507" w:rsidRPr="00746E61" w:rsidRDefault="00B10507" w:rsidP="00746E61">
            <w:pPr>
              <w:spacing w:line="276" w:lineRule="auto"/>
              <w:jc w:val="center"/>
              <w:rPr>
                <w:rFonts w:ascii="Book Antiqua" w:hAnsi="Book Antiqua"/>
                <w:color w:val="000000"/>
                <w:sz w:val="16"/>
                <w:szCs w:val="16"/>
                <w:lang w:eastAsia="es-CR"/>
              </w:rPr>
            </w:pPr>
            <w:r w:rsidRPr="00746E61">
              <w:rPr>
                <w:rFonts w:ascii="Book Antiqua" w:hAnsi="Book Antiqua"/>
                <w:color w:val="000000"/>
                <w:sz w:val="16"/>
                <w:szCs w:val="16"/>
                <w:lang w:eastAsia="es-CR"/>
              </w:rPr>
              <w:t>55</w:t>
            </w:r>
          </w:p>
        </w:tc>
        <w:tc>
          <w:tcPr>
            <w:tcW w:w="1130" w:type="dxa"/>
            <w:tcBorders>
              <w:top w:val="nil"/>
              <w:left w:val="nil"/>
              <w:bottom w:val="single" w:sz="4" w:space="0" w:color="auto"/>
              <w:right w:val="single" w:sz="4" w:space="0" w:color="auto"/>
            </w:tcBorders>
            <w:shd w:val="clear" w:color="auto" w:fill="auto"/>
            <w:noWrap/>
            <w:vAlign w:val="bottom"/>
            <w:hideMark/>
          </w:tcPr>
          <w:p w14:paraId="79154E87" w14:textId="77777777" w:rsidR="00B10507" w:rsidRPr="00746E61" w:rsidRDefault="00B10507" w:rsidP="00746E61">
            <w:pPr>
              <w:spacing w:line="276" w:lineRule="auto"/>
              <w:jc w:val="center"/>
              <w:rPr>
                <w:rFonts w:ascii="Book Antiqua" w:hAnsi="Book Antiqua"/>
                <w:color w:val="000000"/>
                <w:sz w:val="16"/>
                <w:szCs w:val="16"/>
                <w:lang w:eastAsia="es-CR"/>
              </w:rPr>
            </w:pPr>
            <w:r w:rsidRPr="00746E61">
              <w:rPr>
                <w:rFonts w:ascii="Book Antiqua" w:hAnsi="Book Antiqua"/>
                <w:color w:val="000000"/>
                <w:sz w:val="16"/>
                <w:szCs w:val="16"/>
                <w:lang w:eastAsia="es-CR"/>
              </w:rPr>
              <w:t>34</w:t>
            </w:r>
          </w:p>
        </w:tc>
        <w:tc>
          <w:tcPr>
            <w:tcW w:w="1130" w:type="dxa"/>
            <w:tcBorders>
              <w:top w:val="nil"/>
              <w:left w:val="nil"/>
              <w:bottom w:val="single" w:sz="4" w:space="0" w:color="auto"/>
              <w:right w:val="single" w:sz="4" w:space="0" w:color="auto"/>
            </w:tcBorders>
            <w:shd w:val="clear" w:color="auto" w:fill="auto"/>
            <w:noWrap/>
            <w:vAlign w:val="bottom"/>
            <w:hideMark/>
          </w:tcPr>
          <w:p w14:paraId="417296A4" w14:textId="77777777" w:rsidR="00B10507" w:rsidRPr="00746E61" w:rsidRDefault="00B10507" w:rsidP="00746E61">
            <w:pPr>
              <w:spacing w:line="276" w:lineRule="auto"/>
              <w:jc w:val="center"/>
              <w:rPr>
                <w:rFonts w:ascii="Book Antiqua" w:hAnsi="Book Antiqua"/>
                <w:color w:val="000000"/>
                <w:sz w:val="16"/>
                <w:szCs w:val="16"/>
                <w:lang w:eastAsia="es-CR"/>
              </w:rPr>
            </w:pPr>
            <w:r w:rsidRPr="00746E61">
              <w:rPr>
                <w:rFonts w:ascii="Book Antiqua" w:hAnsi="Book Antiqua"/>
                <w:color w:val="000000"/>
                <w:sz w:val="16"/>
                <w:szCs w:val="16"/>
                <w:lang w:eastAsia="es-CR"/>
              </w:rPr>
              <w:t>53</w:t>
            </w:r>
          </w:p>
        </w:tc>
        <w:tc>
          <w:tcPr>
            <w:tcW w:w="2100" w:type="dxa"/>
            <w:tcBorders>
              <w:top w:val="nil"/>
              <w:left w:val="nil"/>
              <w:bottom w:val="single" w:sz="4" w:space="0" w:color="auto"/>
              <w:right w:val="single" w:sz="4" w:space="0" w:color="auto"/>
            </w:tcBorders>
            <w:shd w:val="clear" w:color="auto" w:fill="auto"/>
            <w:vAlign w:val="center"/>
            <w:hideMark/>
          </w:tcPr>
          <w:p w14:paraId="6409E652" w14:textId="77777777" w:rsidR="00B10507" w:rsidRPr="00746E61" w:rsidRDefault="00B10507"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-3,90%</w:t>
            </w:r>
          </w:p>
        </w:tc>
        <w:tc>
          <w:tcPr>
            <w:tcW w:w="1908" w:type="dxa"/>
            <w:tcBorders>
              <w:top w:val="nil"/>
              <w:left w:val="nil"/>
              <w:bottom w:val="single" w:sz="4" w:space="0" w:color="auto"/>
              <w:right w:val="single" w:sz="4" w:space="0" w:color="auto"/>
            </w:tcBorders>
            <w:shd w:val="clear" w:color="auto" w:fill="auto"/>
            <w:vAlign w:val="center"/>
            <w:hideMark/>
          </w:tcPr>
          <w:p w14:paraId="6AD5C256" w14:textId="77777777" w:rsidR="00B10507" w:rsidRPr="00746E61" w:rsidRDefault="00B10507"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54,41%</w:t>
            </w:r>
          </w:p>
        </w:tc>
      </w:tr>
      <w:tr w:rsidR="00B10507" w:rsidRPr="00746E61" w14:paraId="60493FBF" w14:textId="77777777" w:rsidTr="00B10507">
        <w:trPr>
          <w:trHeight w:val="290"/>
          <w:jc w:val="center"/>
        </w:trPr>
        <w:tc>
          <w:tcPr>
            <w:tcW w:w="2666" w:type="dxa"/>
            <w:tcBorders>
              <w:top w:val="nil"/>
              <w:left w:val="single" w:sz="4" w:space="0" w:color="auto"/>
              <w:bottom w:val="single" w:sz="4" w:space="0" w:color="auto"/>
              <w:right w:val="single" w:sz="4" w:space="0" w:color="auto"/>
            </w:tcBorders>
            <w:shd w:val="clear" w:color="auto" w:fill="auto"/>
            <w:noWrap/>
            <w:vAlign w:val="bottom"/>
            <w:hideMark/>
          </w:tcPr>
          <w:p w14:paraId="37361EFA" w14:textId="77777777" w:rsidR="00B10507" w:rsidRPr="00746E61" w:rsidRDefault="00B10507" w:rsidP="00746E61">
            <w:pPr>
              <w:spacing w:line="276" w:lineRule="auto"/>
              <w:rPr>
                <w:rFonts w:ascii="Book Antiqua" w:hAnsi="Book Antiqua"/>
                <w:color w:val="000000"/>
                <w:sz w:val="16"/>
                <w:szCs w:val="16"/>
                <w:lang w:eastAsia="es-CR"/>
              </w:rPr>
            </w:pPr>
            <w:r w:rsidRPr="00746E61">
              <w:rPr>
                <w:rFonts w:ascii="Book Antiqua" w:hAnsi="Book Antiqua"/>
                <w:color w:val="000000"/>
                <w:sz w:val="16"/>
                <w:szCs w:val="16"/>
                <w:lang w:eastAsia="es-CR"/>
              </w:rPr>
              <w:t>Tribunal Penal de San Ramón</w:t>
            </w:r>
          </w:p>
        </w:tc>
        <w:tc>
          <w:tcPr>
            <w:tcW w:w="1130" w:type="dxa"/>
            <w:tcBorders>
              <w:top w:val="nil"/>
              <w:left w:val="nil"/>
              <w:bottom w:val="single" w:sz="4" w:space="0" w:color="auto"/>
              <w:right w:val="single" w:sz="4" w:space="0" w:color="auto"/>
            </w:tcBorders>
            <w:shd w:val="clear" w:color="auto" w:fill="auto"/>
            <w:noWrap/>
            <w:vAlign w:val="bottom"/>
            <w:hideMark/>
          </w:tcPr>
          <w:p w14:paraId="324F38D5" w14:textId="77777777" w:rsidR="00B10507" w:rsidRPr="00746E61" w:rsidRDefault="00B10507" w:rsidP="00746E61">
            <w:pPr>
              <w:spacing w:line="276" w:lineRule="auto"/>
              <w:jc w:val="center"/>
              <w:rPr>
                <w:rFonts w:ascii="Book Antiqua" w:hAnsi="Book Antiqua"/>
                <w:color w:val="000000"/>
                <w:sz w:val="16"/>
                <w:szCs w:val="16"/>
                <w:lang w:eastAsia="es-CR"/>
              </w:rPr>
            </w:pPr>
            <w:r w:rsidRPr="00746E61">
              <w:rPr>
                <w:rFonts w:ascii="Book Antiqua" w:hAnsi="Book Antiqua"/>
                <w:color w:val="000000"/>
                <w:sz w:val="16"/>
                <w:szCs w:val="16"/>
                <w:lang w:eastAsia="es-CR"/>
              </w:rPr>
              <w:t>27</w:t>
            </w:r>
          </w:p>
        </w:tc>
        <w:tc>
          <w:tcPr>
            <w:tcW w:w="1130" w:type="dxa"/>
            <w:tcBorders>
              <w:top w:val="nil"/>
              <w:left w:val="nil"/>
              <w:bottom w:val="single" w:sz="4" w:space="0" w:color="auto"/>
              <w:right w:val="single" w:sz="4" w:space="0" w:color="auto"/>
            </w:tcBorders>
            <w:shd w:val="clear" w:color="auto" w:fill="auto"/>
            <w:noWrap/>
            <w:vAlign w:val="bottom"/>
            <w:hideMark/>
          </w:tcPr>
          <w:p w14:paraId="24441F51" w14:textId="77777777" w:rsidR="00B10507" w:rsidRPr="00746E61" w:rsidRDefault="00B10507" w:rsidP="00746E61">
            <w:pPr>
              <w:spacing w:line="276" w:lineRule="auto"/>
              <w:jc w:val="center"/>
              <w:rPr>
                <w:rFonts w:ascii="Book Antiqua" w:hAnsi="Book Antiqua"/>
                <w:color w:val="000000"/>
                <w:sz w:val="16"/>
                <w:szCs w:val="16"/>
                <w:lang w:eastAsia="es-CR"/>
              </w:rPr>
            </w:pPr>
            <w:r w:rsidRPr="00746E61">
              <w:rPr>
                <w:rFonts w:ascii="Book Antiqua" w:hAnsi="Book Antiqua"/>
                <w:color w:val="000000"/>
                <w:sz w:val="16"/>
                <w:szCs w:val="16"/>
                <w:lang w:eastAsia="es-CR"/>
              </w:rPr>
              <w:t>18</w:t>
            </w:r>
          </w:p>
        </w:tc>
        <w:tc>
          <w:tcPr>
            <w:tcW w:w="1130" w:type="dxa"/>
            <w:tcBorders>
              <w:top w:val="nil"/>
              <w:left w:val="nil"/>
              <w:bottom w:val="single" w:sz="4" w:space="0" w:color="auto"/>
              <w:right w:val="single" w:sz="4" w:space="0" w:color="auto"/>
            </w:tcBorders>
            <w:shd w:val="clear" w:color="auto" w:fill="auto"/>
            <w:noWrap/>
            <w:vAlign w:val="bottom"/>
            <w:hideMark/>
          </w:tcPr>
          <w:p w14:paraId="64723B64" w14:textId="77777777" w:rsidR="00B10507" w:rsidRPr="00746E61" w:rsidRDefault="00B10507" w:rsidP="00746E61">
            <w:pPr>
              <w:spacing w:line="276" w:lineRule="auto"/>
              <w:jc w:val="center"/>
              <w:rPr>
                <w:rFonts w:ascii="Book Antiqua" w:hAnsi="Book Antiqua"/>
                <w:color w:val="000000"/>
                <w:sz w:val="16"/>
                <w:szCs w:val="16"/>
                <w:lang w:eastAsia="es-CR"/>
              </w:rPr>
            </w:pPr>
            <w:r w:rsidRPr="00746E61">
              <w:rPr>
                <w:rFonts w:ascii="Book Antiqua" w:hAnsi="Book Antiqua"/>
                <w:color w:val="000000"/>
                <w:sz w:val="16"/>
                <w:szCs w:val="16"/>
                <w:lang w:eastAsia="es-CR"/>
              </w:rPr>
              <w:t>22</w:t>
            </w:r>
          </w:p>
        </w:tc>
        <w:tc>
          <w:tcPr>
            <w:tcW w:w="2100" w:type="dxa"/>
            <w:tcBorders>
              <w:top w:val="nil"/>
              <w:left w:val="nil"/>
              <w:bottom w:val="single" w:sz="4" w:space="0" w:color="auto"/>
              <w:right w:val="single" w:sz="4" w:space="0" w:color="auto"/>
            </w:tcBorders>
            <w:shd w:val="clear" w:color="auto" w:fill="auto"/>
            <w:vAlign w:val="center"/>
            <w:hideMark/>
          </w:tcPr>
          <w:p w14:paraId="0D5D6AC9" w14:textId="77777777" w:rsidR="00B10507" w:rsidRPr="00746E61" w:rsidRDefault="00B10507"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-15,45%</w:t>
            </w:r>
          </w:p>
        </w:tc>
        <w:tc>
          <w:tcPr>
            <w:tcW w:w="1908" w:type="dxa"/>
            <w:tcBorders>
              <w:top w:val="nil"/>
              <w:left w:val="nil"/>
              <w:bottom w:val="single" w:sz="4" w:space="0" w:color="auto"/>
              <w:right w:val="single" w:sz="4" w:space="0" w:color="auto"/>
            </w:tcBorders>
            <w:shd w:val="clear" w:color="auto" w:fill="auto"/>
            <w:vAlign w:val="center"/>
            <w:hideMark/>
          </w:tcPr>
          <w:p w14:paraId="53D6535F" w14:textId="77777777" w:rsidR="00B10507" w:rsidRPr="00746E61" w:rsidRDefault="00B10507"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23,31%</w:t>
            </w:r>
          </w:p>
        </w:tc>
      </w:tr>
      <w:tr w:rsidR="00B10507" w:rsidRPr="00746E61" w14:paraId="597770B2" w14:textId="77777777" w:rsidTr="00B10507">
        <w:trPr>
          <w:trHeight w:val="290"/>
          <w:jc w:val="center"/>
        </w:trPr>
        <w:tc>
          <w:tcPr>
            <w:tcW w:w="2666" w:type="dxa"/>
            <w:tcBorders>
              <w:top w:val="nil"/>
              <w:left w:val="single" w:sz="4" w:space="0" w:color="auto"/>
              <w:bottom w:val="single" w:sz="4" w:space="0" w:color="auto"/>
              <w:right w:val="single" w:sz="4" w:space="0" w:color="auto"/>
            </w:tcBorders>
            <w:shd w:val="clear" w:color="auto" w:fill="auto"/>
            <w:noWrap/>
            <w:vAlign w:val="bottom"/>
            <w:hideMark/>
          </w:tcPr>
          <w:p w14:paraId="751F733A" w14:textId="77777777" w:rsidR="00B10507" w:rsidRPr="00746E61" w:rsidRDefault="00B10507" w:rsidP="00746E61">
            <w:pPr>
              <w:spacing w:line="276" w:lineRule="auto"/>
              <w:rPr>
                <w:rFonts w:ascii="Book Antiqua" w:hAnsi="Book Antiqua"/>
                <w:color w:val="000000"/>
                <w:sz w:val="16"/>
                <w:szCs w:val="16"/>
                <w:lang w:eastAsia="es-CR"/>
              </w:rPr>
            </w:pPr>
            <w:r w:rsidRPr="00746E61">
              <w:rPr>
                <w:rFonts w:ascii="Book Antiqua" w:hAnsi="Book Antiqua"/>
                <w:color w:val="000000"/>
                <w:sz w:val="16"/>
                <w:szCs w:val="16"/>
                <w:lang w:eastAsia="es-CR"/>
              </w:rPr>
              <w:t>Tribunal Penal de Grecia</w:t>
            </w:r>
          </w:p>
        </w:tc>
        <w:tc>
          <w:tcPr>
            <w:tcW w:w="1130" w:type="dxa"/>
            <w:tcBorders>
              <w:top w:val="nil"/>
              <w:left w:val="nil"/>
              <w:bottom w:val="single" w:sz="4" w:space="0" w:color="auto"/>
              <w:right w:val="single" w:sz="4" w:space="0" w:color="auto"/>
            </w:tcBorders>
            <w:shd w:val="clear" w:color="auto" w:fill="auto"/>
            <w:noWrap/>
            <w:vAlign w:val="bottom"/>
            <w:hideMark/>
          </w:tcPr>
          <w:p w14:paraId="5294670A" w14:textId="77777777" w:rsidR="00B10507" w:rsidRPr="00746E61" w:rsidRDefault="00B10507" w:rsidP="00746E61">
            <w:pPr>
              <w:spacing w:line="276" w:lineRule="auto"/>
              <w:jc w:val="center"/>
              <w:rPr>
                <w:rFonts w:ascii="Book Antiqua" w:hAnsi="Book Antiqua"/>
                <w:color w:val="000000"/>
                <w:sz w:val="16"/>
                <w:szCs w:val="16"/>
                <w:lang w:eastAsia="es-CR"/>
              </w:rPr>
            </w:pPr>
            <w:r w:rsidRPr="00746E61">
              <w:rPr>
                <w:rFonts w:ascii="Book Antiqua" w:hAnsi="Book Antiqua"/>
                <w:color w:val="000000"/>
                <w:sz w:val="16"/>
                <w:szCs w:val="16"/>
                <w:lang w:eastAsia="es-CR"/>
              </w:rPr>
              <w:t>16</w:t>
            </w:r>
          </w:p>
        </w:tc>
        <w:tc>
          <w:tcPr>
            <w:tcW w:w="1130" w:type="dxa"/>
            <w:tcBorders>
              <w:top w:val="nil"/>
              <w:left w:val="nil"/>
              <w:bottom w:val="single" w:sz="4" w:space="0" w:color="auto"/>
              <w:right w:val="single" w:sz="4" w:space="0" w:color="auto"/>
            </w:tcBorders>
            <w:shd w:val="clear" w:color="auto" w:fill="auto"/>
            <w:noWrap/>
            <w:vAlign w:val="bottom"/>
            <w:hideMark/>
          </w:tcPr>
          <w:p w14:paraId="2241C4EC" w14:textId="77777777" w:rsidR="00B10507" w:rsidRPr="00746E61" w:rsidRDefault="00B10507" w:rsidP="00746E61">
            <w:pPr>
              <w:spacing w:line="276" w:lineRule="auto"/>
              <w:jc w:val="center"/>
              <w:rPr>
                <w:rFonts w:ascii="Book Antiqua" w:hAnsi="Book Antiqua"/>
                <w:color w:val="000000"/>
                <w:sz w:val="16"/>
                <w:szCs w:val="16"/>
                <w:lang w:eastAsia="es-CR"/>
              </w:rPr>
            </w:pPr>
            <w:r w:rsidRPr="00746E61">
              <w:rPr>
                <w:rFonts w:ascii="Book Antiqua" w:hAnsi="Book Antiqua"/>
                <w:color w:val="000000"/>
                <w:sz w:val="16"/>
                <w:szCs w:val="16"/>
                <w:lang w:eastAsia="es-CR"/>
              </w:rPr>
              <w:t>19</w:t>
            </w:r>
          </w:p>
        </w:tc>
        <w:tc>
          <w:tcPr>
            <w:tcW w:w="1130" w:type="dxa"/>
            <w:tcBorders>
              <w:top w:val="nil"/>
              <w:left w:val="nil"/>
              <w:bottom w:val="single" w:sz="4" w:space="0" w:color="auto"/>
              <w:right w:val="single" w:sz="4" w:space="0" w:color="auto"/>
            </w:tcBorders>
            <w:shd w:val="clear" w:color="auto" w:fill="auto"/>
            <w:noWrap/>
            <w:vAlign w:val="bottom"/>
            <w:hideMark/>
          </w:tcPr>
          <w:p w14:paraId="502C66DA" w14:textId="77777777" w:rsidR="00B10507" w:rsidRPr="00746E61" w:rsidRDefault="00B10507" w:rsidP="00746E61">
            <w:pPr>
              <w:spacing w:line="276" w:lineRule="auto"/>
              <w:jc w:val="center"/>
              <w:rPr>
                <w:rFonts w:ascii="Book Antiqua" w:hAnsi="Book Antiqua"/>
                <w:color w:val="000000"/>
                <w:sz w:val="16"/>
                <w:szCs w:val="16"/>
                <w:lang w:eastAsia="es-CR"/>
              </w:rPr>
            </w:pPr>
            <w:r w:rsidRPr="00746E61">
              <w:rPr>
                <w:rFonts w:ascii="Book Antiqua" w:hAnsi="Book Antiqua"/>
                <w:color w:val="000000"/>
                <w:sz w:val="16"/>
                <w:szCs w:val="16"/>
                <w:lang w:eastAsia="es-CR"/>
              </w:rPr>
              <w:t>18</w:t>
            </w:r>
          </w:p>
        </w:tc>
        <w:tc>
          <w:tcPr>
            <w:tcW w:w="2100" w:type="dxa"/>
            <w:tcBorders>
              <w:top w:val="nil"/>
              <w:left w:val="nil"/>
              <w:bottom w:val="single" w:sz="4" w:space="0" w:color="auto"/>
              <w:right w:val="single" w:sz="4" w:space="0" w:color="auto"/>
            </w:tcBorders>
            <w:shd w:val="clear" w:color="auto" w:fill="auto"/>
            <w:vAlign w:val="center"/>
            <w:hideMark/>
          </w:tcPr>
          <w:p w14:paraId="5272A039" w14:textId="77777777" w:rsidR="00B10507" w:rsidRPr="00746E61" w:rsidRDefault="00B10507"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13,45%</w:t>
            </w:r>
          </w:p>
        </w:tc>
        <w:tc>
          <w:tcPr>
            <w:tcW w:w="1908" w:type="dxa"/>
            <w:tcBorders>
              <w:top w:val="nil"/>
              <w:left w:val="nil"/>
              <w:bottom w:val="single" w:sz="4" w:space="0" w:color="auto"/>
              <w:right w:val="single" w:sz="4" w:space="0" w:color="auto"/>
            </w:tcBorders>
            <w:shd w:val="clear" w:color="auto" w:fill="auto"/>
            <w:vAlign w:val="center"/>
            <w:hideMark/>
          </w:tcPr>
          <w:p w14:paraId="12797B2F" w14:textId="77777777" w:rsidR="00B10507" w:rsidRPr="00746E61" w:rsidRDefault="00B10507"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-5,01%</w:t>
            </w:r>
          </w:p>
        </w:tc>
      </w:tr>
      <w:tr w:rsidR="00B10507" w:rsidRPr="00746E61" w14:paraId="379D0BBE" w14:textId="77777777" w:rsidTr="00B10507">
        <w:trPr>
          <w:trHeight w:val="290"/>
          <w:jc w:val="center"/>
        </w:trPr>
        <w:tc>
          <w:tcPr>
            <w:tcW w:w="2666" w:type="dxa"/>
            <w:tcBorders>
              <w:top w:val="nil"/>
              <w:left w:val="single" w:sz="4" w:space="0" w:color="auto"/>
              <w:bottom w:val="single" w:sz="4" w:space="0" w:color="auto"/>
              <w:right w:val="single" w:sz="4" w:space="0" w:color="auto"/>
            </w:tcBorders>
            <w:shd w:val="clear" w:color="auto" w:fill="auto"/>
            <w:noWrap/>
            <w:vAlign w:val="bottom"/>
            <w:hideMark/>
          </w:tcPr>
          <w:p w14:paraId="562B4676" w14:textId="77777777" w:rsidR="00B10507" w:rsidRPr="00746E61" w:rsidRDefault="00B10507" w:rsidP="00746E61">
            <w:pPr>
              <w:spacing w:line="276" w:lineRule="auto"/>
              <w:rPr>
                <w:rFonts w:ascii="Book Antiqua" w:hAnsi="Book Antiqua"/>
                <w:color w:val="000000"/>
                <w:sz w:val="16"/>
                <w:szCs w:val="16"/>
                <w:lang w:eastAsia="es-CR"/>
              </w:rPr>
            </w:pPr>
            <w:r w:rsidRPr="00746E61">
              <w:rPr>
                <w:rFonts w:ascii="Book Antiqua" w:hAnsi="Book Antiqua"/>
                <w:color w:val="000000"/>
                <w:sz w:val="16"/>
                <w:szCs w:val="16"/>
                <w:lang w:eastAsia="es-CR"/>
              </w:rPr>
              <w:t xml:space="preserve">Tribunal Penal de Cartago </w:t>
            </w:r>
          </w:p>
        </w:tc>
        <w:tc>
          <w:tcPr>
            <w:tcW w:w="1130" w:type="dxa"/>
            <w:tcBorders>
              <w:top w:val="nil"/>
              <w:left w:val="nil"/>
              <w:bottom w:val="single" w:sz="4" w:space="0" w:color="auto"/>
              <w:right w:val="single" w:sz="4" w:space="0" w:color="auto"/>
            </w:tcBorders>
            <w:shd w:val="clear" w:color="auto" w:fill="auto"/>
            <w:noWrap/>
            <w:vAlign w:val="bottom"/>
            <w:hideMark/>
          </w:tcPr>
          <w:p w14:paraId="553B08FD" w14:textId="77777777" w:rsidR="00B10507" w:rsidRPr="00746E61" w:rsidRDefault="00B10507" w:rsidP="00746E61">
            <w:pPr>
              <w:spacing w:line="276" w:lineRule="auto"/>
              <w:jc w:val="center"/>
              <w:rPr>
                <w:rFonts w:ascii="Book Antiqua" w:hAnsi="Book Antiqua"/>
                <w:color w:val="000000"/>
                <w:sz w:val="16"/>
                <w:szCs w:val="16"/>
                <w:lang w:eastAsia="es-CR"/>
              </w:rPr>
            </w:pPr>
            <w:r w:rsidRPr="00746E61">
              <w:rPr>
                <w:rFonts w:ascii="Book Antiqua" w:hAnsi="Book Antiqua"/>
                <w:color w:val="000000"/>
                <w:sz w:val="16"/>
                <w:szCs w:val="16"/>
                <w:lang w:eastAsia="es-CR"/>
              </w:rPr>
              <w:t>102</w:t>
            </w:r>
          </w:p>
        </w:tc>
        <w:tc>
          <w:tcPr>
            <w:tcW w:w="1130" w:type="dxa"/>
            <w:tcBorders>
              <w:top w:val="nil"/>
              <w:left w:val="nil"/>
              <w:bottom w:val="single" w:sz="4" w:space="0" w:color="auto"/>
              <w:right w:val="single" w:sz="4" w:space="0" w:color="auto"/>
            </w:tcBorders>
            <w:shd w:val="clear" w:color="auto" w:fill="auto"/>
            <w:noWrap/>
            <w:vAlign w:val="bottom"/>
            <w:hideMark/>
          </w:tcPr>
          <w:p w14:paraId="54D4AFDF" w14:textId="77777777" w:rsidR="00B10507" w:rsidRPr="00746E61" w:rsidRDefault="00B10507" w:rsidP="00746E61">
            <w:pPr>
              <w:spacing w:line="276" w:lineRule="auto"/>
              <w:jc w:val="center"/>
              <w:rPr>
                <w:rFonts w:ascii="Book Antiqua" w:hAnsi="Book Antiqua"/>
                <w:color w:val="000000"/>
                <w:sz w:val="16"/>
                <w:szCs w:val="16"/>
                <w:lang w:eastAsia="es-CR"/>
              </w:rPr>
            </w:pPr>
            <w:r w:rsidRPr="00746E61">
              <w:rPr>
                <w:rFonts w:ascii="Book Antiqua" w:hAnsi="Book Antiqua"/>
                <w:color w:val="000000"/>
                <w:sz w:val="16"/>
                <w:szCs w:val="16"/>
                <w:lang w:eastAsia="es-CR"/>
              </w:rPr>
              <w:t>69</w:t>
            </w:r>
          </w:p>
        </w:tc>
        <w:tc>
          <w:tcPr>
            <w:tcW w:w="1130" w:type="dxa"/>
            <w:tcBorders>
              <w:top w:val="nil"/>
              <w:left w:val="nil"/>
              <w:bottom w:val="single" w:sz="4" w:space="0" w:color="auto"/>
              <w:right w:val="single" w:sz="4" w:space="0" w:color="auto"/>
            </w:tcBorders>
            <w:shd w:val="clear" w:color="auto" w:fill="auto"/>
            <w:noWrap/>
            <w:vAlign w:val="bottom"/>
            <w:hideMark/>
          </w:tcPr>
          <w:p w14:paraId="7E6BCF4E" w14:textId="77777777" w:rsidR="00B10507" w:rsidRPr="00746E61" w:rsidRDefault="00B10507" w:rsidP="00746E61">
            <w:pPr>
              <w:spacing w:line="276" w:lineRule="auto"/>
              <w:jc w:val="center"/>
              <w:rPr>
                <w:rFonts w:ascii="Book Antiqua" w:hAnsi="Book Antiqua"/>
                <w:color w:val="000000"/>
                <w:sz w:val="16"/>
                <w:szCs w:val="16"/>
                <w:lang w:eastAsia="es-CR"/>
              </w:rPr>
            </w:pPr>
            <w:r w:rsidRPr="00746E61">
              <w:rPr>
                <w:rFonts w:ascii="Book Antiqua" w:hAnsi="Book Antiqua"/>
                <w:color w:val="000000"/>
                <w:sz w:val="16"/>
                <w:szCs w:val="16"/>
                <w:lang w:eastAsia="es-CR"/>
              </w:rPr>
              <w:t>76</w:t>
            </w:r>
          </w:p>
        </w:tc>
        <w:tc>
          <w:tcPr>
            <w:tcW w:w="2100" w:type="dxa"/>
            <w:tcBorders>
              <w:top w:val="nil"/>
              <w:left w:val="nil"/>
              <w:bottom w:val="single" w:sz="4" w:space="0" w:color="auto"/>
              <w:right w:val="single" w:sz="4" w:space="0" w:color="auto"/>
            </w:tcBorders>
            <w:shd w:val="clear" w:color="auto" w:fill="auto"/>
            <w:vAlign w:val="center"/>
            <w:hideMark/>
          </w:tcPr>
          <w:p w14:paraId="08FCE69D" w14:textId="77777777" w:rsidR="00B10507" w:rsidRPr="00746E61" w:rsidRDefault="00B10507"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-25,16%</w:t>
            </w:r>
          </w:p>
        </w:tc>
        <w:tc>
          <w:tcPr>
            <w:tcW w:w="1908" w:type="dxa"/>
            <w:tcBorders>
              <w:top w:val="nil"/>
              <w:left w:val="nil"/>
              <w:bottom w:val="single" w:sz="4" w:space="0" w:color="auto"/>
              <w:right w:val="single" w:sz="4" w:space="0" w:color="auto"/>
            </w:tcBorders>
            <w:shd w:val="clear" w:color="auto" w:fill="auto"/>
            <w:vAlign w:val="center"/>
            <w:hideMark/>
          </w:tcPr>
          <w:p w14:paraId="6927D180" w14:textId="77777777" w:rsidR="00B10507" w:rsidRPr="00746E61" w:rsidRDefault="00B10507"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11,09%</w:t>
            </w:r>
          </w:p>
        </w:tc>
      </w:tr>
      <w:tr w:rsidR="00B10507" w:rsidRPr="00746E61" w14:paraId="22A16EC1" w14:textId="77777777" w:rsidTr="00B10507">
        <w:trPr>
          <w:trHeight w:val="290"/>
          <w:jc w:val="center"/>
        </w:trPr>
        <w:tc>
          <w:tcPr>
            <w:tcW w:w="2666" w:type="dxa"/>
            <w:tcBorders>
              <w:top w:val="nil"/>
              <w:left w:val="single" w:sz="4" w:space="0" w:color="auto"/>
              <w:bottom w:val="single" w:sz="4" w:space="0" w:color="auto"/>
              <w:right w:val="single" w:sz="4" w:space="0" w:color="auto"/>
            </w:tcBorders>
            <w:shd w:val="clear" w:color="auto" w:fill="auto"/>
            <w:noWrap/>
            <w:vAlign w:val="bottom"/>
            <w:hideMark/>
          </w:tcPr>
          <w:p w14:paraId="1ED8559C" w14:textId="77777777" w:rsidR="00B10507" w:rsidRPr="00746E61" w:rsidRDefault="00B10507" w:rsidP="00746E61">
            <w:pPr>
              <w:spacing w:line="276" w:lineRule="auto"/>
              <w:rPr>
                <w:rFonts w:ascii="Book Antiqua" w:hAnsi="Book Antiqua"/>
                <w:color w:val="000000"/>
                <w:sz w:val="16"/>
                <w:szCs w:val="16"/>
                <w:lang w:eastAsia="es-CR"/>
              </w:rPr>
            </w:pPr>
            <w:r w:rsidRPr="00746E61">
              <w:rPr>
                <w:rFonts w:ascii="Book Antiqua" w:hAnsi="Book Antiqua"/>
                <w:color w:val="000000"/>
                <w:sz w:val="16"/>
                <w:szCs w:val="16"/>
                <w:lang w:eastAsia="es-CR"/>
              </w:rPr>
              <w:t>Tribunal Penal de Turrialba</w:t>
            </w:r>
          </w:p>
        </w:tc>
        <w:tc>
          <w:tcPr>
            <w:tcW w:w="1130" w:type="dxa"/>
            <w:tcBorders>
              <w:top w:val="nil"/>
              <w:left w:val="nil"/>
              <w:bottom w:val="single" w:sz="4" w:space="0" w:color="auto"/>
              <w:right w:val="single" w:sz="4" w:space="0" w:color="auto"/>
            </w:tcBorders>
            <w:shd w:val="clear" w:color="auto" w:fill="auto"/>
            <w:noWrap/>
            <w:vAlign w:val="bottom"/>
            <w:hideMark/>
          </w:tcPr>
          <w:p w14:paraId="6C59167D" w14:textId="77777777" w:rsidR="00B10507" w:rsidRPr="00746E61" w:rsidRDefault="00B10507" w:rsidP="00746E61">
            <w:pPr>
              <w:spacing w:line="276" w:lineRule="auto"/>
              <w:jc w:val="center"/>
              <w:rPr>
                <w:rFonts w:ascii="Book Antiqua" w:hAnsi="Book Antiqua"/>
                <w:color w:val="000000"/>
                <w:sz w:val="16"/>
                <w:szCs w:val="16"/>
                <w:lang w:eastAsia="es-CR"/>
              </w:rPr>
            </w:pPr>
            <w:r w:rsidRPr="00746E61">
              <w:rPr>
                <w:rFonts w:ascii="Book Antiqua" w:hAnsi="Book Antiqua"/>
                <w:color w:val="000000"/>
                <w:sz w:val="16"/>
                <w:szCs w:val="16"/>
                <w:lang w:eastAsia="es-CR"/>
              </w:rPr>
              <w:t>21</w:t>
            </w:r>
          </w:p>
        </w:tc>
        <w:tc>
          <w:tcPr>
            <w:tcW w:w="1130" w:type="dxa"/>
            <w:tcBorders>
              <w:top w:val="nil"/>
              <w:left w:val="nil"/>
              <w:bottom w:val="single" w:sz="4" w:space="0" w:color="auto"/>
              <w:right w:val="single" w:sz="4" w:space="0" w:color="auto"/>
            </w:tcBorders>
            <w:shd w:val="clear" w:color="auto" w:fill="auto"/>
            <w:noWrap/>
            <w:vAlign w:val="bottom"/>
            <w:hideMark/>
          </w:tcPr>
          <w:p w14:paraId="30C0AAEE" w14:textId="77777777" w:rsidR="00B10507" w:rsidRPr="00746E61" w:rsidRDefault="00B10507" w:rsidP="00746E61">
            <w:pPr>
              <w:spacing w:line="276" w:lineRule="auto"/>
              <w:jc w:val="center"/>
              <w:rPr>
                <w:rFonts w:ascii="Book Antiqua" w:hAnsi="Book Antiqua"/>
                <w:color w:val="000000"/>
                <w:sz w:val="16"/>
                <w:szCs w:val="16"/>
                <w:lang w:eastAsia="es-CR"/>
              </w:rPr>
            </w:pPr>
            <w:r w:rsidRPr="00746E61">
              <w:rPr>
                <w:rFonts w:ascii="Book Antiqua" w:hAnsi="Book Antiqua"/>
                <w:color w:val="000000"/>
                <w:sz w:val="16"/>
                <w:szCs w:val="16"/>
                <w:lang w:eastAsia="es-CR"/>
              </w:rPr>
              <w:t>20</w:t>
            </w:r>
          </w:p>
        </w:tc>
        <w:tc>
          <w:tcPr>
            <w:tcW w:w="1130" w:type="dxa"/>
            <w:tcBorders>
              <w:top w:val="nil"/>
              <w:left w:val="nil"/>
              <w:bottom w:val="single" w:sz="4" w:space="0" w:color="auto"/>
              <w:right w:val="single" w:sz="4" w:space="0" w:color="auto"/>
            </w:tcBorders>
            <w:shd w:val="clear" w:color="auto" w:fill="auto"/>
            <w:noWrap/>
            <w:vAlign w:val="bottom"/>
            <w:hideMark/>
          </w:tcPr>
          <w:p w14:paraId="6A6A2721" w14:textId="77777777" w:rsidR="00B10507" w:rsidRPr="00746E61" w:rsidRDefault="00B10507" w:rsidP="00746E61">
            <w:pPr>
              <w:spacing w:line="276" w:lineRule="auto"/>
              <w:jc w:val="center"/>
              <w:rPr>
                <w:rFonts w:ascii="Book Antiqua" w:hAnsi="Book Antiqua"/>
                <w:color w:val="000000"/>
                <w:sz w:val="16"/>
                <w:szCs w:val="16"/>
                <w:lang w:eastAsia="es-CR"/>
              </w:rPr>
            </w:pPr>
            <w:r w:rsidRPr="00746E61">
              <w:rPr>
                <w:rFonts w:ascii="Book Antiqua" w:hAnsi="Book Antiqua"/>
                <w:color w:val="000000"/>
                <w:sz w:val="16"/>
                <w:szCs w:val="16"/>
                <w:lang w:eastAsia="es-CR"/>
              </w:rPr>
              <w:t>24</w:t>
            </w:r>
          </w:p>
        </w:tc>
        <w:tc>
          <w:tcPr>
            <w:tcW w:w="2100" w:type="dxa"/>
            <w:tcBorders>
              <w:top w:val="nil"/>
              <w:left w:val="nil"/>
              <w:bottom w:val="single" w:sz="4" w:space="0" w:color="auto"/>
              <w:right w:val="single" w:sz="4" w:space="0" w:color="auto"/>
            </w:tcBorders>
            <w:shd w:val="clear" w:color="auto" w:fill="auto"/>
            <w:vAlign w:val="center"/>
            <w:hideMark/>
          </w:tcPr>
          <w:p w14:paraId="056BFF73" w14:textId="77777777" w:rsidR="00B10507" w:rsidRPr="00746E61" w:rsidRDefault="00B10507"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11,48%</w:t>
            </w:r>
          </w:p>
        </w:tc>
        <w:tc>
          <w:tcPr>
            <w:tcW w:w="1908" w:type="dxa"/>
            <w:tcBorders>
              <w:top w:val="nil"/>
              <w:left w:val="nil"/>
              <w:bottom w:val="single" w:sz="4" w:space="0" w:color="auto"/>
              <w:right w:val="single" w:sz="4" w:space="0" w:color="auto"/>
            </w:tcBorders>
            <w:shd w:val="clear" w:color="auto" w:fill="auto"/>
            <w:vAlign w:val="center"/>
            <w:hideMark/>
          </w:tcPr>
          <w:p w14:paraId="1B3385D1" w14:textId="77777777" w:rsidR="00B10507" w:rsidRPr="00746E61" w:rsidRDefault="00B10507"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18,88%</w:t>
            </w:r>
          </w:p>
        </w:tc>
      </w:tr>
      <w:tr w:rsidR="00B10507" w:rsidRPr="00746E61" w14:paraId="783C94DC" w14:textId="77777777" w:rsidTr="00B10507">
        <w:trPr>
          <w:trHeight w:val="290"/>
          <w:jc w:val="center"/>
        </w:trPr>
        <w:tc>
          <w:tcPr>
            <w:tcW w:w="2666" w:type="dxa"/>
            <w:tcBorders>
              <w:top w:val="nil"/>
              <w:left w:val="single" w:sz="4" w:space="0" w:color="auto"/>
              <w:bottom w:val="single" w:sz="4" w:space="0" w:color="auto"/>
              <w:right w:val="single" w:sz="4" w:space="0" w:color="auto"/>
            </w:tcBorders>
            <w:shd w:val="clear" w:color="auto" w:fill="auto"/>
            <w:noWrap/>
            <w:vAlign w:val="bottom"/>
            <w:hideMark/>
          </w:tcPr>
          <w:p w14:paraId="2622B510" w14:textId="77777777" w:rsidR="00B10507" w:rsidRPr="00746E61" w:rsidRDefault="00B10507" w:rsidP="00746E61">
            <w:pPr>
              <w:spacing w:line="276" w:lineRule="auto"/>
              <w:rPr>
                <w:rFonts w:ascii="Book Antiqua" w:hAnsi="Book Antiqua"/>
                <w:color w:val="000000"/>
                <w:sz w:val="16"/>
                <w:szCs w:val="16"/>
                <w:lang w:eastAsia="es-CR"/>
              </w:rPr>
            </w:pPr>
            <w:r w:rsidRPr="00746E61">
              <w:rPr>
                <w:rFonts w:ascii="Book Antiqua" w:hAnsi="Book Antiqua"/>
                <w:color w:val="000000"/>
                <w:sz w:val="16"/>
                <w:szCs w:val="16"/>
                <w:lang w:eastAsia="es-CR"/>
              </w:rPr>
              <w:t>Tribunal Penal de Heredia</w:t>
            </w:r>
          </w:p>
        </w:tc>
        <w:tc>
          <w:tcPr>
            <w:tcW w:w="1130" w:type="dxa"/>
            <w:tcBorders>
              <w:top w:val="nil"/>
              <w:left w:val="nil"/>
              <w:bottom w:val="single" w:sz="4" w:space="0" w:color="auto"/>
              <w:right w:val="single" w:sz="4" w:space="0" w:color="auto"/>
            </w:tcBorders>
            <w:shd w:val="clear" w:color="auto" w:fill="auto"/>
            <w:noWrap/>
            <w:vAlign w:val="bottom"/>
            <w:hideMark/>
          </w:tcPr>
          <w:p w14:paraId="1C88DD37" w14:textId="77777777" w:rsidR="00B10507" w:rsidRPr="00746E61" w:rsidRDefault="00B10507" w:rsidP="00746E61">
            <w:pPr>
              <w:spacing w:line="276" w:lineRule="auto"/>
              <w:jc w:val="center"/>
              <w:rPr>
                <w:rFonts w:ascii="Book Antiqua" w:hAnsi="Book Antiqua"/>
                <w:color w:val="000000"/>
                <w:sz w:val="16"/>
                <w:szCs w:val="16"/>
                <w:lang w:eastAsia="es-CR"/>
              </w:rPr>
            </w:pPr>
            <w:r w:rsidRPr="00746E61">
              <w:rPr>
                <w:rFonts w:ascii="Book Antiqua" w:hAnsi="Book Antiqua"/>
                <w:color w:val="000000"/>
                <w:sz w:val="16"/>
                <w:szCs w:val="16"/>
                <w:lang w:eastAsia="es-CR"/>
              </w:rPr>
              <w:t>99</w:t>
            </w:r>
          </w:p>
        </w:tc>
        <w:tc>
          <w:tcPr>
            <w:tcW w:w="1130" w:type="dxa"/>
            <w:tcBorders>
              <w:top w:val="nil"/>
              <w:left w:val="nil"/>
              <w:bottom w:val="single" w:sz="4" w:space="0" w:color="auto"/>
              <w:right w:val="single" w:sz="4" w:space="0" w:color="auto"/>
            </w:tcBorders>
            <w:shd w:val="clear" w:color="auto" w:fill="auto"/>
            <w:noWrap/>
            <w:vAlign w:val="bottom"/>
            <w:hideMark/>
          </w:tcPr>
          <w:p w14:paraId="499B3583" w14:textId="77777777" w:rsidR="00B10507" w:rsidRPr="00746E61" w:rsidRDefault="00B10507" w:rsidP="00746E61">
            <w:pPr>
              <w:spacing w:line="276" w:lineRule="auto"/>
              <w:jc w:val="center"/>
              <w:rPr>
                <w:rFonts w:ascii="Book Antiqua" w:hAnsi="Book Antiqua"/>
                <w:color w:val="000000"/>
                <w:sz w:val="16"/>
                <w:szCs w:val="16"/>
                <w:lang w:eastAsia="es-CR"/>
              </w:rPr>
            </w:pPr>
            <w:r w:rsidRPr="00746E61">
              <w:rPr>
                <w:rFonts w:ascii="Book Antiqua" w:hAnsi="Book Antiqua"/>
                <w:color w:val="000000"/>
                <w:sz w:val="16"/>
                <w:szCs w:val="16"/>
                <w:lang w:eastAsia="es-CR"/>
              </w:rPr>
              <w:t>51</w:t>
            </w:r>
          </w:p>
        </w:tc>
        <w:tc>
          <w:tcPr>
            <w:tcW w:w="1130" w:type="dxa"/>
            <w:tcBorders>
              <w:top w:val="nil"/>
              <w:left w:val="nil"/>
              <w:bottom w:val="single" w:sz="4" w:space="0" w:color="auto"/>
              <w:right w:val="single" w:sz="4" w:space="0" w:color="auto"/>
            </w:tcBorders>
            <w:shd w:val="clear" w:color="auto" w:fill="auto"/>
            <w:noWrap/>
            <w:vAlign w:val="bottom"/>
            <w:hideMark/>
          </w:tcPr>
          <w:p w14:paraId="6260B4B6" w14:textId="77777777" w:rsidR="00B10507" w:rsidRPr="00746E61" w:rsidRDefault="00B10507" w:rsidP="00746E61">
            <w:pPr>
              <w:spacing w:line="276" w:lineRule="auto"/>
              <w:jc w:val="center"/>
              <w:rPr>
                <w:rFonts w:ascii="Book Antiqua" w:hAnsi="Book Antiqua"/>
                <w:color w:val="000000"/>
                <w:sz w:val="16"/>
                <w:szCs w:val="16"/>
                <w:lang w:eastAsia="es-CR"/>
              </w:rPr>
            </w:pPr>
            <w:r w:rsidRPr="00746E61">
              <w:rPr>
                <w:rFonts w:ascii="Book Antiqua" w:hAnsi="Book Antiqua"/>
                <w:color w:val="000000"/>
                <w:sz w:val="16"/>
                <w:szCs w:val="16"/>
                <w:lang w:eastAsia="es-CR"/>
              </w:rPr>
              <w:t>57</w:t>
            </w:r>
          </w:p>
        </w:tc>
        <w:tc>
          <w:tcPr>
            <w:tcW w:w="2100" w:type="dxa"/>
            <w:tcBorders>
              <w:top w:val="nil"/>
              <w:left w:val="nil"/>
              <w:bottom w:val="single" w:sz="4" w:space="0" w:color="auto"/>
              <w:right w:val="single" w:sz="4" w:space="0" w:color="auto"/>
            </w:tcBorders>
            <w:shd w:val="clear" w:color="auto" w:fill="auto"/>
            <w:vAlign w:val="center"/>
            <w:hideMark/>
          </w:tcPr>
          <w:p w14:paraId="330186F4" w14:textId="77777777" w:rsidR="00B10507" w:rsidRPr="00746E61" w:rsidRDefault="00B10507"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-42,56%</w:t>
            </w:r>
          </w:p>
        </w:tc>
        <w:tc>
          <w:tcPr>
            <w:tcW w:w="1908" w:type="dxa"/>
            <w:tcBorders>
              <w:top w:val="nil"/>
              <w:left w:val="nil"/>
              <w:bottom w:val="single" w:sz="4" w:space="0" w:color="auto"/>
              <w:right w:val="single" w:sz="4" w:space="0" w:color="auto"/>
            </w:tcBorders>
            <w:shd w:val="clear" w:color="auto" w:fill="auto"/>
            <w:vAlign w:val="center"/>
            <w:hideMark/>
          </w:tcPr>
          <w:p w14:paraId="5CA31A80" w14:textId="77777777" w:rsidR="00B10507" w:rsidRPr="00746E61" w:rsidRDefault="00B10507"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11,37%</w:t>
            </w:r>
          </w:p>
        </w:tc>
      </w:tr>
      <w:tr w:rsidR="00B10507" w:rsidRPr="00746E61" w14:paraId="46D42E65" w14:textId="77777777" w:rsidTr="003A31AE">
        <w:trPr>
          <w:trHeight w:val="290"/>
          <w:jc w:val="center"/>
        </w:trPr>
        <w:tc>
          <w:tcPr>
            <w:tcW w:w="2666"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4727BF7F" w14:textId="77777777" w:rsidR="00B10507" w:rsidRPr="00746E61" w:rsidRDefault="00B10507" w:rsidP="00746E61">
            <w:pPr>
              <w:spacing w:line="276" w:lineRule="auto"/>
              <w:rPr>
                <w:rFonts w:ascii="Book Antiqua" w:hAnsi="Book Antiqua"/>
                <w:color w:val="000000"/>
                <w:sz w:val="16"/>
                <w:szCs w:val="16"/>
                <w:lang w:eastAsia="es-CR"/>
              </w:rPr>
            </w:pPr>
            <w:r w:rsidRPr="00746E61">
              <w:rPr>
                <w:rFonts w:ascii="Book Antiqua" w:hAnsi="Book Antiqua"/>
                <w:color w:val="000000"/>
                <w:sz w:val="16"/>
                <w:szCs w:val="16"/>
                <w:lang w:eastAsia="es-CR"/>
              </w:rPr>
              <w:t>Tribunal Penal de Sarapiquí</w:t>
            </w:r>
          </w:p>
        </w:tc>
        <w:tc>
          <w:tcPr>
            <w:tcW w:w="1130" w:type="dxa"/>
            <w:tcBorders>
              <w:top w:val="nil"/>
              <w:left w:val="nil"/>
              <w:bottom w:val="single" w:sz="4" w:space="0" w:color="auto"/>
              <w:right w:val="single" w:sz="4" w:space="0" w:color="auto"/>
            </w:tcBorders>
            <w:shd w:val="clear" w:color="auto" w:fill="F2F2F2" w:themeFill="background1" w:themeFillShade="F2"/>
            <w:noWrap/>
            <w:vAlign w:val="bottom"/>
            <w:hideMark/>
          </w:tcPr>
          <w:p w14:paraId="5AEA437A" w14:textId="77777777" w:rsidR="00B10507" w:rsidRPr="00746E61" w:rsidRDefault="00B10507" w:rsidP="00746E61">
            <w:pPr>
              <w:spacing w:line="276" w:lineRule="auto"/>
              <w:jc w:val="center"/>
              <w:rPr>
                <w:rFonts w:ascii="Book Antiqua" w:hAnsi="Book Antiqua"/>
                <w:color w:val="000000"/>
                <w:sz w:val="16"/>
                <w:szCs w:val="16"/>
                <w:lang w:eastAsia="es-CR"/>
              </w:rPr>
            </w:pPr>
            <w:r w:rsidRPr="00746E61">
              <w:rPr>
                <w:rFonts w:ascii="Book Antiqua" w:hAnsi="Book Antiqua"/>
                <w:color w:val="000000"/>
                <w:sz w:val="16"/>
                <w:szCs w:val="16"/>
                <w:lang w:eastAsia="es-CR"/>
              </w:rPr>
              <w:t>16</w:t>
            </w:r>
          </w:p>
        </w:tc>
        <w:tc>
          <w:tcPr>
            <w:tcW w:w="1130" w:type="dxa"/>
            <w:tcBorders>
              <w:top w:val="nil"/>
              <w:left w:val="nil"/>
              <w:bottom w:val="single" w:sz="4" w:space="0" w:color="auto"/>
              <w:right w:val="single" w:sz="4" w:space="0" w:color="auto"/>
            </w:tcBorders>
            <w:shd w:val="clear" w:color="auto" w:fill="F2F2F2" w:themeFill="background1" w:themeFillShade="F2"/>
            <w:noWrap/>
            <w:vAlign w:val="bottom"/>
            <w:hideMark/>
          </w:tcPr>
          <w:p w14:paraId="682B7F14" w14:textId="77777777" w:rsidR="00B10507" w:rsidRPr="00746E61" w:rsidRDefault="00B10507" w:rsidP="00746E61">
            <w:pPr>
              <w:spacing w:line="276" w:lineRule="auto"/>
              <w:jc w:val="center"/>
              <w:rPr>
                <w:rFonts w:ascii="Book Antiqua" w:hAnsi="Book Antiqua"/>
                <w:color w:val="000000"/>
                <w:sz w:val="16"/>
                <w:szCs w:val="16"/>
                <w:lang w:eastAsia="es-CR"/>
              </w:rPr>
            </w:pPr>
            <w:r w:rsidRPr="00746E61">
              <w:rPr>
                <w:rFonts w:ascii="Book Antiqua" w:hAnsi="Book Antiqua"/>
                <w:color w:val="000000"/>
                <w:sz w:val="16"/>
                <w:szCs w:val="16"/>
                <w:lang w:eastAsia="es-CR"/>
              </w:rPr>
              <w:t>25</w:t>
            </w:r>
          </w:p>
        </w:tc>
        <w:tc>
          <w:tcPr>
            <w:tcW w:w="1130" w:type="dxa"/>
            <w:tcBorders>
              <w:top w:val="nil"/>
              <w:left w:val="nil"/>
              <w:bottom w:val="single" w:sz="4" w:space="0" w:color="auto"/>
              <w:right w:val="single" w:sz="4" w:space="0" w:color="auto"/>
            </w:tcBorders>
            <w:shd w:val="clear" w:color="auto" w:fill="F2F2F2" w:themeFill="background1" w:themeFillShade="F2"/>
            <w:noWrap/>
            <w:vAlign w:val="bottom"/>
            <w:hideMark/>
          </w:tcPr>
          <w:p w14:paraId="67B70159" w14:textId="77777777" w:rsidR="00B10507" w:rsidRPr="00746E61" w:rsidRDefault="00B10507" w:rsidP="00746E61">
            <w:pPr>
              <w:spacing w:line="276" w:lineRule="auto"/>
              <w:jc w:val="center"/>
              <w:rPr>
                <w:rFonts w:ascii="Book Antiqua" w:hAnsi="Book Antiqua"/>
                <w:color w:val="000000"/>
                <w:sz w:val="16"/>
                <w:szCs w:val="16"/>
                <w:lang w:eastAsia="es-CR"/>
              </w:rPr>
            </w:pPr>
            <w:r w:rsidRPr="00746E61">
              <w:rPr>
                <w:rFonts w:ascii="Book Antiqua" w:hAnsi="Book Antiqua"/>
                <w:color w:val="000000"/>
                <w:sz w:val="16"/>
                <w:szCs w:val="16"/>
                <w:lang w:eastAsia="es-CR"/>
              </w:rPr>
              <w:t>23</w:t>
            </w:r>
          </w:p>
        </w:tc>
        <w:tc>
          <w:tcPr>
            <w:tcW w:w="2100" w:type="dxa"/>
            <w:tcBorders>
              <w:top w:val="nil"/>
              <w:left w:val="nil"/>
              <w:bottom w:val="single" w:sz="4" w:space="0" w:color="auto"/>
              <w:right w:val="single" w:sz="4" w:space="0" w:color="auto"/>
            </w:tcBorders>
            <w:shd w:val="clear" w:color="auto" w:fill="F2F2F2" w:themeFill="background1" w:themeFillShade="F2"/>
            <w:vAlign w:val="center"/>
            <w:hideMark/>
          </w:tcPr>
          <w:p w14:paraId="72BBA06D" w14:textId="77777777" w:rsidR="00B10507" w:rsidRPr="00746E61" w:rsidRDefault="00B10507"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44,92%</w:t>
            </w:r>
          </w:p>
        </w:tc>
        <w:tc>
          <w:tcPr>
            <w:tcW w:w="1908" w:type="dxa"/>
            <w:tcBorders>
              <w:top w:val="nil"/>
              <w:left w:val="nil"/>
              <w:bottom w:val="single" w:sz="4" w:space="0" w:color="auto"/>
              <w:right w:val="single" w:sz="4" w:space="0" w:color="auto"/>
            </w:tcBorders>
            <w:shd w:val="clear" w:color="auto" w:fill="F2F2F2" w:themeFill="background1" w:themeFillShade="F2"/>
            <w:vAlign w:val="center"/>
            <w:hideMark/>
          </w:tcPr>
          <w:p w14:paraId="2306616C" w14:textId="77777777" w:rsidR="00B10507" w:rsidRPr="00746E61" w:rsidRDefault="00B10507"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-6,35%</w:t>
            </w:r>
          </w:p>
        </w:tc>
      </w:tr>
      <w:tr w:rsidR="00B10507" w:rsidRPr="00746E61" w14:paraId="18205644" w14:textId="77777777" w:rsidTr="00B10507">
        <w:trPr>
          <w:trHeight w:val="290"/>
          <w:jc w:val="center"/>
        </w:trPr>
        <w:tc>
          <w:tcPr>
            <w:tcW w:w="2666" w:type="dxa"/>
            <w:tcBorders>
              <w:top w:val="nil"/>
              <w:left w:val="single" w:sz="4" w:space="0" w:color="auto"/>
              <w:bottom w:val="single" w:sz="4" w:space="0" w:color="auto"/>
              <w:right w:val="single" w:sz="4" w:space="0" w:color="auto"/>
            </w:tcBorders>
            <w:shd w:val="clear" w:color="auto" w:fill="auto"/>
            <w:noWrap/>
            <w:vAlign w:val="bottom"/>
            <w:hideMark/>
          </w:tcPr>
          <w:p w14:paraId="5504C171" w14:textId="77777777" w:rsidR="00B10507" w:rsidRPr="00746E61" w:rsidRDefault="00B10507" w:rsidP="00746E61">
            <w:pPr>
              <w:spacing w:line="276" w:lineRule="auto"/>
              <w:rPr>
                <w:rFonts w:ascii="Book Antiqua" w:hAnsi="Book Antiqua"/>
                <w:color w:val="000000"/>
                <w:sz w:val="16"/>
                <w:szCs w:val="16"/>
                <w:lang w:eastAsia="es-CR"/>
              </w:rPr>
            </w:pPr>
            <w:r w:rsidRPr="00746E61">
              <w:rPr>
                <w:rFonts w:ascii="Book Antiqua" w:hAnsi="Book Antiqua"/>
                <w:color w:val="000000"/>
                <w:sz w:val="16"/>
                <w:szCs w:val="16"/>
                <w:lang w:eastAsia="es-CR"/>
              </w:rPr>
              <w:t>Tribunal Penal de Liberia</w:t>
            </w:r>
          </w:p>
        </w:tc>
        <w:tc>
          <w:tcPr>
            <w:tcW w:w="1130" w:type="dxa"/>
            <w:tcBorders>
              <w:top w:val="nil"/>
              <w:left w:val="nil"/>
              <w:bottom w:val="single" w:sz="4" w:space="0" w:color="auto"/>
              <w:right w:val="single" w:sz="4" w:space="0" w:color="auto"/>
            </w:tcBorders>
            <w:shd w:val="clear" w:color="auto" w:fill="auto"/>
            <w:noWrap/>
            <w:vAlign w:val="bottom"/>
            <w:hideMark/>
          </w:tcPr>
          <w:p w14:paraId="327DE358" w14:textId="77777777" w:rsidR="00B10507" w:rsidRPr="00746E61" w:rsidRDefault="00B10507" w:rsidP="00746E61">
            <w:pPr>
              <w:spacing w:line="276" w:lineRule="auto"/>
              <w:jc w:val="center"/>
              <w:rPr>
                <w:rFonts w:ascii="Book Antiqua" w:hAnsi="Book Antiqua"/>
                <w:color w:val="000000"/>
                <w:sz w:val="16"/>
                <w:szCs w:val="16"/>
                <w:lang w:eastAsia="es-CR"/>
              </w:rPr>
            </w:pPr>
            <w:r w:rsidRPr="00746E61">
              <w:rPr>
                <w:rFonts w:ascii="Book Antiqua" w:hAnsi="Book Antiqua"/>
                <w:color w:val="000000"/>
                <w:sz w:val="16"/>
                <w:szCs w:val="16"/>
                <w:lang w:eastAsia="es-CR"/>
              </w:rPr>
              <w:t>73</w:t>
            </w:r>
          </w:p>
        </w:tc>
        <w:tc>
          <w:tcPr>
            <w:tcW w:w="1130" w:type="dxa"/>
            <w:tcBorders>
              <w:top w:val="nil"/>
              <w:left w:val="nil"/>
              <w:bottom w:val="single" w:sz="4" w:space="0" w:color="auto"/>
              <w:right w:val="single" w:sz="4" w:space="0" w:color="auto"/>
            </w:tcBorders>
            <w:shd w:val="clear" w:color="auto" w:fill="auto"/>
            <w:noWrap/>
            <w:vAlign w:val="bottom"/>
            <w:hideMark/>
          </w:tcPr>
          <w:p w14:paraId="228771E6" w14:textId="77777777" w:rsidR="00B10507" w:rsidRPr="00746E61" w:rsidRDefault="00B10507" w:rsidP="00746E61">
            <w:pPr>
              <w:spacing w:line="276" w:lineRule="auto"/>
              <w:jc w:val="center"/>
              <w:rPr>
                <w:rFonts w:ascii="Book Antiqua" w:hAnsi="Book Antiqua"/>
                <w:color w:val="000000"/>
                <w:sz w:val="16"/>
                <w:szCs w:val="16"/>
                <w:lang w:eastAsia="es-CR"/>
              </w:rPr>
            </w:pPr>
            <w:r w:rsidRPr="00746E61">
              <w:rPr>
                <w:rFonts w:ascii="Book Antiqua" w:hAnsi="Book Antiqua"/>
                <w:color w:val="000000"/>
                <w:sz w:val="16"/>
                <w:szCs w:val="16"/>
                <w:lang w:eastAsia="es-CR"/>
              </w:rPr>
              <w:t>37</w:t>
            </w:r>
          </w:p>
        </w:tc>
        <w:tc>
          <w:tcPr>
            <w:tcW w:w="1130" w:type="dxa"/>
            <w:tcBorders>
              <w:top w:val="nil"/>
              <w:left w:val="nil"/>
              <w:bottom w:val="single" w:sz="4" w:space="0" w:color="auto"/>
              <w:right w:val="single" w:sz="4" w:space="0" w:color="auto"/>
            </w:tcBorders>
            <w:shd w:val="clear" w:color="auto" w:fill="auto"/>
            <w:noWrap/>
            <w:vAlign w:val="bottom"/>
            <w:hideMark/>
          </w:tcPr>
          <w:p w14:paraId="4129509B" w14:textId="77777777" w:rsidR="00B10507" w:rsidRPr="00746E61" w:rsidRDefault="00B10507" w:rsidP="00746E61">
            <w:pPr>
              <w:spacing w:line="276" w:lineRule="auto"/>
              <w:jc w:val="center"/>
              <w:rPr>
                <w:rFonts w:ascii="Book Antiqua" w:hAnsi="Book Antiqua"/>
                <w:color w:val="000000"/>
                <w:sz w:val="16"/>
                <w:szCs w:val="16"/>
                <w:lang w:eastAsia="es-CR"/>
              </w:rPr>
            </w:pPr>
            <w:r w:rsidRPr="00746E61">
              <w:rPr>
                <w:rFonts w:ascii="Book Antiqua" w:hAnsi="Book Antiqua"/>
                <w:color w:val="000000"/>
                <w:sz w:val="16"/>
                <w:szCs w:val="16"/>
                <w:lang w:eastAsia="es-CR"/>
              </w:rPr>
              <w:t>50</w:t>
            </w:r>
          </w:p>
        </w:tc>
        <w:tc>
          <w:tcPr>
            <w:tcW w:w="2100" w:type="dxa"/>
            <w:tcBorders>
              <w:top w:val="nil"/>
              <w:left w:val="nil"/>
              <w:bottom w:val="single" w:sz="4" w:space="0" w:color="auto"/>
              <w:right w:val="single" w:sz="4" w:space="0" w:color="auto"/>
            </w:tcBorders>
            <w:shd w:val="clear" w:color="auto" w:fill="auto"/>
            <w:vAlign w:val="center"/>
            <w:hideMark/>
          </w:tcPr>
          <w:p w14:paraId="69063228" w14:textId="77777777" w:rsidR="00B10507" w:rsidRPr="00746E61" w:rsidRDefault="00B10507"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-31,71%</w:t>
            </w:r>
          </w:p>
        </w:tc>
        <w:tc>
          <w:tcPr>
            <w:tcW w:w="1908" w:type="dxa"/>
            <w:tcBorders>
              <w:top w:val="nil"/>
              <w:left w:val="nil"/>
              <w:bottom w:val="single" w:sz="4" w:space="0" w:color="auto"/>
              <w:right w:val="single" w:sz="4" w:space="0" w:color="auto"/>
            </w:tcBorders>
            <w:shd w:val="clear" w:color="auto" w:fill="auto"/>
            <w:vAlign w:val="center"/>
            <w:hideMark/>
          </w:tcPr>
          <w:p w14:paraId="2DBF1F4B" w14:textId="77777777" w:rsidR="00B10507" w:rsidRPr="00746E61" w:rsidRDefault="00B10507"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34,59%</w:t>
            </w:r>
          </w:p>
        </w:tc>
      </w:tr>
      <w:tr w:rsidR="00B10507" w:rsidRPr="00746E61" w14:paraId="6D44E821" w14:textId="77777777" w:rsidTr="00B10507">
        <w:trPr>
          <w:trHeight w:val="290"/>
          <w:jc w:val="center"/>
        </w:trPr>
        <w:tc>
          <w:tcPr>
            <w:tcW w:w="2666" w:type="dxa"/>
            <w:tcBorders>
              <w:top w:val="nil"/>
              <w:left w:val="single" w:sz="4" w:space="0" w:color="auto"/>
              <w:bottom w:val="single" w:sz="4" w:space="0" w:color="auto"/>
              <w:right w:val="single" w:sz="4" w:space="0" w:color="auto"/>
            </w:tcBorders>
            <w:shd w:val="clear" w:color="auto" w:fill="auto"/>
            <w:noWrap/>
            <w:vAlign w:val="bottom"/>
            <w:hideMark/>
          </w:tcPr>
          <w:p w14:paraId="2B9A3643" w14:textId="77777777" w:rsidR="00B10507" w:rsidRPr="00746E61" w:rsidRDefault="00B10507" w:rsidP="00746E61">
            <w:pPr>
              <w:spacing w:line="276" w:lineRule="auto"/>
              <w:rPr>
                <w:rFonts w:ascii="Book Antiqua" w:hAnsi="Book Antiqua"/>
                <w:color w:val="000000"/>
                <w:sz w:val="16"/>
                <w:szCs w:val="16"/>
                <w:lang w:eastAsia="es-CR"/>
              </w:rPr>
            </w:pPr>
            <w:r w:rsidRPr="00746E61">
              <w:rPr>
                <w:rFonts w:ascii="Book Antiqua" w:hAnsi="Book Antiqua"/>
                <w:color w:val="000000"/>
                <w:sz w:val="16"/>
                <w:szCs w:val="16"/>
                <w:lang w:eastAsia="es-CR"/>
              </w:rPr>
              <w:t>Tribunal Penal de Cañas</w:t>
            </w:r>
          </w:p>
        </w:tc>
        <w:tc>
          <w:tcPr>
            <w:tcW w:w="1130" w:type="dxa"/>
            <w:tcBorders>
              <w:top w:val="nil"/>
              <w:left w:val="nil"/>
              <w:bottom w:val="single" w:sz="4" w:space="0" w:color="auto"/>
              <w:right w:val="single" w:sz="4" w:space="0" w:color="auto"/>
            </w:tcBorders>
            <w:shd w:val="clear" w:color="auto" w:fill="auto"/>
            <w:noWrap/>
            <w:vAlign w:val="bottom"/>
            <w:hideMark/>
          </w:tcPr>
          <w:p w14:paraId="56206DB9" w14:textId="77777777" w:rsidR="00B10507" w:rsidRPr="00746E61" w:rsidRDefault="00B10507" w:rsidP="00746E61">
            <w:pPr>
              <w:spacing w:line="276" w:lineRule="auto"/>
              <w:jc w:val="center"/>
              <w:rPr>
                <w:rFonts w:ascii="Book Antiqua" w:hAnsi="Book Antiqua"/>
                <w:color w:val="000000"/>
                <w:sz w:val="16"/>
                <w:szCs w:val="16"/>
                <w:lang w:eastAsia="es-CR"/>
              </w:rPr>
            </w:pPr>
            <w:r w:rsidRPr="00746E61">
              <w:rPr>
                <w:rFonts w:ascii="Book Antiqua" w:hAnsi="Book Antiqua"/>
                <w:color w:val="000000"/>
                <w:sz w:val="16"/>
                <w:szCs w:val="16"/>
                <w:lang w:eastAsia="es-CR"/>
              </w:rPr>
              <w:t>32</w:t>
            </w:r>
          </w:p>
        </w:tc>
        <w:tc>
          <w:tcPr>
            <w:tcW w:w="1130" w:type="dxa"/>
            <w:tcBorders>
              <w:top w:val="nil"/>
              <w:left w:val="nil"/>
              <w:bottom w:val="single" w:sz="4" w:space="0" w:color="auto"/>
              <w:right w:val="single" w:sz="4" w:space="0" w:color="auto"/>
            </w:tcBorders>
            <w:shd w:val="clear" w:color="auto" w:fill="auto"/>
            <w:noWrap/>
            <w:vAlign w:val="bottom"/>
            <w:hideMark/>
          </w:tcPr>
          <w:p w14:paraId="351E33B1" w14:textId="77777777" w:rsidR="00B10507" w:rsidRPr="00746E61" w:rsidRDefault="00B10507" w:rsidP="00746E61">
            <w:pPr>
              <w:spacing w:line="276" w:lineRule="auto"/>
              <w:jc w:val="center"/>
              <w:rPr>
                <w:rFonts w:ascii="Book Antiqua" w:hAnsi="Book Antiqua"/>
                <w:color w:val="000000"/>
                <w:sz w:val="16"/>
                <w:szCs w:val="16"/>
                <w:lang w:eastAsia="es-CR"/>
              </w:rPr>
            </w:pPr>
            <w:r w:rsidRPr="00746E61">
              <w:rPr>
                <w:rFonts w:ascii="Book Antiqua" w:hAnsi="Book Antiqua"/>
                <w:color w:val="000000"/>
                <w:sz w:val="16"/>
                <w:szCs w:val="16"/>
                <w:lang w:eastAsia="es-CR"/>
              </w:rPr>
              <w:t>22</w:t>
            </w:r>
          </w:p>
        </w:tc>
        <w:tc>
          <w:tcPr>
            <w:tcW w:w="1130" w:type="dxa"/>
            <w:tcBorders>
              <w:top w:val="nil"/>
              <w:left w:val="nil"/>
              <w:bottom w:val="single" w:sz="4" w:space="0" w:color="auto"/>
              <w:right w:val="single" w:sz="4" w:space="0" w:color="auto"/>
            </w:tcBorders>
            <w:shd w:val="clear" w:color="auto" w:fill="auto"/>
            <w:noWrap/>
            <w:vAlign w:val="bottom"/>
            <w:hideMark/>
          </w:tcPr>
          <w:p w14:paraId="62B1CCD7" w14:textId="77777777" w:rsidR="00B10507" w:rsidRPr="00746E61" w:rsidRDefault="00B10507" w:rsidP="00746E61">
            <w:pPr>
              <w:spacing w:line="276" w:lineRule="auto"/>
              <w:jc w:val="center"/>
              <w:rPr>
                <w:rFonts w:ascii="Book Antiqua" w:hAnsi="Book Antiqua"/>
                <w:color w:val="000000"/>
                <w:sz w:val="16"/>
                <w:szCs w:val="16"/>
                <w:lang w:eastAsia="es-CR"/>
              </w:rPr>
            </w:pPr>
            <w:r w:rsidRPr="00746E61">
              <w:rPr>
                <w:rFonts w:ascii="Book Antiqua" w:hAnsi="Book Antiqua"/>
                <w:color w:val="000000"/>
                <w:sz w:val="16"/>
                <w:szCs w:val="16"/>
                <w:lang w:eastAsia="es-CR"/>
              </w:rPr>
              <w:t>32</w:t>
            </w:r>
          </w:p>
        </w:tc>
        <w:tc>
          <w:tcPr>
            <w:tcW w:w="2100" w:type="dxa"/>
            <w:tcBorders>
              <w:top w:val="nil"/>
              <w:left w:val="nil"/>
              <w:bottom w:val="single" w:sz="4" w:space="0" w:color="auto"/>
              <w:right w:val="single" w:sz="4" w:space="0" w:color="auto"/>
            </w:tcBorders>
            <w:shd w:val="clear" w:color="auto" w:fill="auto"/>
            <w:vAlign w:val="center"/>
            <w:hideMark/>
          </w:tcPr>
          <w:p w14:paraId="5A0C2F24" w14:textId="77777777" w:rsidR="00B10507" w:rsidRPr="00746E61" w:rsidRDefault="00B10507"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-0,27%</w:t>
            </w:r>
          </w:p>
        </w:tc>
        <w:tc>
          <w:tcPr>
            <w:tcW w:w="1908" w:type="dxa"/>
            <w:tcBorders>
              <w:top w:val="nil"/>
              <w:left w:val="nil"/>
              <w:bottom w:val="single" w:sz="4" w:space="0" w:color="auto"/>
              <w:right w:val="single" w:sz="4" w:space="0" w:color="auto"/>
            </w:tcBorders>
            <w:shd w:val="clear" w:color="auto" w:fill="auto"/>
            <w:vAlign w:val="center"/>
            <w:hideMark/>
          </w:tcPr>
          <w:p w14:paraId="20796C85" w14:textId="77777777" w:rsidR="00B10507" w:rsidRPr="00746E61" w:rsidRDefault="00B10507"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47,12%</w:t>
            </w:r>
          </w:p>
        </w:tc>
      </w:tr>
      <w:tr w:rsidR="00B10507" w:rsidRPr="00746E61" w14:paraId="6FFB3B85" w14:textId="77777777" w:rsidTr="00B10507">
        <w:trPr>
          <w:trHeight w:val="290"/>
          <w:jc w:val="center"/>
        </w:trPr>
        <w:tc>
          <w:tcPr>
            <w:tcW w:w="2666" w:type="dxa"/>
            <w:tcBorders>
              <w:top w:val="nil"/>
              <w:left w:val="single" w:sz="4" w:space="0" w:color="auto"/>
              <w:bottom w:val="single" w:sz="4" w:space="0" w:color="auto"/>
              <w:right w:val="single" w:sz="4" w:space="0" w:color="auto"/>
            </w:tcBorders>
            <w:shd w:val="clear" w:color="auto" w:fill="auto"/>
            <w:noWrap/>
            <w:vAlign w:val="bottom"/>
            <w:hideMark/>
          </w:tcPr>
          <w:p w14:paraId="078A3493" w14:textId="77777777" w:rsidR="00B10507" w:rsidRPr="00746E61" w:rsidRDefault="00B10507" w:rsidP="00746E61">
            <w:pPr>
              <w:spacing w:line="276" w:lineRule="auto"/>
              <w:rPr>
                <w:rFonts w:ascii="Book Antiqua" w:hAnsi="Book Antiqua"/>
                <w:color w:val="000000"/>
                <w:sz w:val="16"/>
                <w:szCs w:val="16"/>
                <w:lang w:eastAsia="es-CR"/>
              </w:rPr>
            </w:pPr>
            <w:r w:rsidRPr="00746E61">
              <w:rPr>
                <w:rFonts w:ascii="Book Antiqua" w:hAnsi="Book Antiqua"/>
                <w:color w:val="000000"/>
                <w:sz w:val="16"/>
                <w:szCs w:val="16"/>
                <w:lang w:eastAsia="es-CR"/>
              </w:rPr>
              <w:t>Tribunal Penal de Nicoya</w:t>
            </w:r>
          </w:p>
        </w:tc>
        <w:tc>
          <w:tcPr>
            <w:tcW w:w="1130" w:type="dxa"/>
            <w:tcBorders>
              <w:top w:val="nil"/>
              <w:left w:val="nil"/>
              <w:bottom w:val="single" w:sz="4" w:space="0" w:color="auto"/>
              <w:right w:val="single" w:sz="4" w:space="0" w:color="auto"/>
            </w:tcBorders>
            <w:shd w:val="clear" w:color="auto" w:fill="auto"/>
            <w:noWrap/>
            <w:vAlign w:val="bottom"/>
            <w:hideMark/>
          </w:tcPr>
          <w:p w14:paraId="5C0FA52C" w14:textId="77777777" w:rsidR="00B10507" w:rsidRPr="00746E61" w:rsidRDefault="00B10507" w:rsidP="00746E61">
            <w:pPr>
              <w:spacing w:line="276" w:lineRule="auto"/>
              <w:jc w:val="center"/>
              <w:rPr>
                <w:rFonts w:ascii="Book Antiqua" w:hAnsi="Book Antiqua"/>
                <w:color w:val="000000"/>
                <w:sz w:val="16"/>
                <w:szCs w:val="16"/>
                <w:lang w:eastAsia="es-CR"/>
              </w:rPr>
            </w:pPr>
            <w:r w:rsidRPr="00746E61">
              <w:rPr>
                <w:rFonts w:ascii="Book Antiqua" w:hAnsi="Book Antiqua"/>
                <w:color w:val="000000"/>
                <w:sz w:val="16"/>
                <w:szCs w:val="16"/>
                <w:lang w:eastAsia="es-CR"/>
              </w:rPr>
              <w:t>39</w:t>
            </w:r>
          </w:p>
        </w:tc>
        <w:tc>
          <w:tcPr>
            <w:tcW w:w="1130" w:type="dxa"/>
            <w:tcBorders>
              <w:top w:val="nil"/>
              <w:left w:val="nil"/>
              <w:bottom w:val="single" w:sz="4" w:space="0" w:color="auto"/>
              <w:right w:val="single" w:sz="4" w:space="0" w:color="auto"/>
            </w:tcBorders>
            <w:shd w:val="clear" w:color="auto" w:fill="auto"/>
            <w:noWrap/>
            <w:vAlign w:val="bottom"/>
            <w:hideMark/>
          </w:tcPr>
          <w:p w14:paraId="5F40648C" w14:textId="77777777" w:rsidR="00B10507" w:rsidRPr="00746E61" w:rsidRDefault="00B10507" w:rsidP="00746E61">
            <w:pPr>
              <w:spacing w:line="276" w:lineRule="auto"/>
              <w:jc w:val="center"/>
              <w:rPr>
                <w:rFonts w:ascii="Book Antiqua" w:hAnsi="Book Antiqua"/>
                <w:color w:val="000000"/>
                <w:sz w:val="16"/>
                <w:szCs w:val="16"/>
                <w:lang w:eastAsia="es-CR"/>
              </w:rPr>
            </w:pPr>
            <w:r w:rsidRPr="00746E61">
              <w:rPr>
                <w:rFonts w:ascii="Book Antiqua" w:hAnsi="Book Antiqua"/>
                <w:color w:val="000000"/>
                <w:sz w:val="16"/>
                <w:szCs w:val="16"/>
                <w:lang w:eastAsia="es-CR"/>
              </w:rPr>
              <w:t>22</w:t>
            </w:r>
          </w:p>
        </w:tc>
        <w:tc>
          <w:tcPr>
            <w:tcW w:w="1130" w:type="dxa"/>
            <w:tcBorders>
              <w:top w:val="nil"/>
              <w:left w:val="nil"/>
              <w:bottom w:val="single" w:sz="4" w:space="0" w:color="auto"/>
              <w:right w:val="single" w:sz="4" w:space="0" w:color="auto"/>
            </w:tcBorders>
            <w:shd w:val="clear" w:color="auto" w:fill="auto"/>
            <w:noWrap/>
            <w:vAlign w:val="bottom"/>
            <w:hideMark/>
          </w:tcPr>
          <w:p w14:paraId="445E275A" w14:textId="77777777" w:rsidR="00B10507" w:rsidRPr="00746E61" w:rsidRDefault="00B10507" w:rsidP="00746E61">
            <w:pPr>
              <w:spacing w:line="276" w:lineRule="auto"/>
              <w:jc w:val="center"/>
              <w:rPr>
                <w:rFonts w:ascii="Book Antiqua" w:hAnsi="Book Antiqua"/>
                <w:color w:val="000000"/>
                <w:sz w:val="16"/>
                <w:szCs w:val="16"/>
                <w:lang w:eastAsia="es-CR"/>
              </w:rPr>
            </w:pPr>
            <w:r w:rsidRPr="00746E61">
              <w:rPr>
                <w:rFonts w:ascii="Book Antiqua" w:hAnsi="Book Antiqua"/>
                <w:color w:val="000000"/>
                <w:sz w:val="16"/>
                <w:szCs w:val="16"/>
                <w:lang w:eastAsia="es-CR"/>
              </w:rPr>
              <w:t>22</w:t>
            </w:r>
          </w:p>
        </w:tc>
        <w:tc>
          <w:tcPr>
            <w:tcW w:w="2100" w:type="dxa"/>
            <w:tcBorders>
              <w:top w:val="nil"/>
              <w:left w:val="nil"/>
              <w:bottom w:val="single" w:sz="4" w:space="0" w:color="auto"/>
              <w:right w:val="single" w:sz="4" w:space="0" w:color="auto"/>
            </w:tcBorders>
            <w:shd w:val="clear" w:color="auto" w:fill="auto"/>
            <w:vAlign w:val="center"/>
            <w:hideMark/>
          </w:tcPr>
          <w:p w14:paraId="6B186F06" w14:textId="77777777" w:rsidR="00B10507" w:rsidRPr="00746E61" w:rsidRDefault="00B10507"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-42,85%</w:t>
            </w:r>
          </w:p>
        </w:tc>
        <w:tc>
          <w:tcPr>
            <w:tcW w:w="1908" w:type="dxa"/>
            <w:tcBorders>
              <w:top w:val="nil"/>
              <w:left w:val="nil"/>
              <w:bottom w:val="single" w:sz="4" w:space="0" w:color="auto"/>
              <w:right w:val="single" w:sz="4" w:space="0" w:color="auto"/>
            </w:tcBorders>
            <w:shd w:val="clear" w:color="auto" w:fill="auto"/>
            <w:vAlign w:val="center"/>
            <w:hideMark/>
          </w:tcPr>
          <w:p w14:paraId="23683663" w14:textId="77777777" w:rsidR="00B10507" w:rsidRPr="00746E61" w:rsidRDefault="00B10507"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1,81%</w:t>
            </w:r>
          </w:p>
        </w:tc>
      </w:tr>
      <w:tr w:rsidR="00B10507" w:rsidRPr="00746E61" w14:paraId="6FB23FC5" w14:textId="77777777" w:rsidTr="00B10507">
        <w:trPr>
          <w:trHeight w:val="290"/>
          <w:jc w:val="center"/>
        </w:trPr>
        <w:tc>
          <w:tcPr>
            <w:tcW w:w="2666" w:type="dxa"/>
            <w:tcBorders>
              <w:top w:val="nil"/>
              <w:left w:val="single" w:sz="4" w:space="0" w:color="auto"/>
              <w:bottom w:val="single" w:sz="4" w:space="0" w:color="auto"/>
              <w:right w:val="single" w:sz="4" w:space="0" w:color="auto"/>
            </w:tcBorders>
            <w:shd w:val="clear" w:color="auto" w:fill="auto"/>
            <w:noWrap/>
            <w:vAlign w:val="bottom"/>
            <w:hideMark/>
          </w:tcPr>
          <w:p w14:paraId="14274911" w14:textId="77777777" w:rsidR="00B10507" w:rsidRPr="00746E61" w:rsidRDefault="00B10507" w:rsidP="00746E61">
            <w:pPr>
              <w:spacing w:line="276" w:lineRule="auto"/>
              <w:rPr>
                <w:rFonts w:ascii="Book Antiqua" w:hAnsi="Book Antiqua"/>
                <w:color w:val="000000"/>
                <w:sz w:val="16"/>
                <w:szCs w:val="16"/>
                <w:lang w:eastAsia="es-CR"/>
              </w:rPr>
            </w:pPr>
            <w:r w:rsidRPr="00746E61">
              <w:rPr>
                <w:rFonts w:ascii="Book Antiqua" w:hAnsi="Book Antiqua"/>
                <w:color w:val="000000"/>
                <w:sz w:val="16"/>
                <w:szCs w:val="16"/>
                <w:lang w:eastAsia="es-CR"/>
              </w:rPr>
              <w:t>Tribunal Penal de Santa Cruz</w:t>
            </w:r>
          </w:p>
        </w:tc>
        <w:tc>
          <w:tcPr>
            <w:tcW w:w="1130" w:type="dxa"/>
            <w:tcBorders>
              <w:top w:val="nil"/>
              <w:left w:val="nil"/>
              <w:bottom w:val="single" w:sz="4" w:space="0" w:color="auto"/>
              <w:right w:val="single" w:sz="4" w:space="0" w:color="auto"/>
            </w:tcBorders>
            <w:shd w:val="clear" w:color="auto" w:fill="auto"/>
            <w:noWrap/>
            <w:vAlign w:val="bottom"/>
            <w:hideMark/>
          </w:tcPr>
          <w:p w14:paraId="422ACC72" w14:textId="77777777" w:rsidR="00B10507" w:rsidRPr="00746E61" w:rsidRDefault="00B10507" w:rsidP="00746E61">
            <w:pPr>
              <w:spacing w:line="276" w:lineRule="auto"/>
              <w:jc w:val="center"/>
              <w:rPr>
                <w:rFonts w:ascii="Book Antiqua" w:hAnsi="Book Antiqua"/>
                <w:color w:val="000000"/>
                <w:sz w:val="16"/>
                <w:szCs w:val="16"/>
                <w:lang w:eastAsia="es-CR"/>
              </w:rPr>
            </w:pPr>
            <w:r w:rsidRPr="00746E61">
              <w:rPr>
                <w:rFonts w:ascii="Book Antiqua" w:hAnsi="Book Antiqua"/>
                <w:color w:val="000000"/>
                <w:sz w:val="16"/>
                <w:szCs w:val="16"/>
                <w:lang w:eastAsia="es-CR"/>
              </w:rPr>
              <w:t>42</w:t>
            </w:r>
          </w:p>
        </w:tc>
        <w:tc>
          <w:tcPr>
            <w:tcW w:w="1130" w:type="dxa"/>
            <w:tcBorders>
              <w:top w:val="nil"/>
              <w:left w:val="nil"/>
              <w:bottom w:val="single" w:sz="4" w:space="0" w:color="auto"/>
              <w:right w:val="single" w:sz="4" w:space="0" w:color="auto"/>
            </w:tcBorders>
            <w:shd w:val="clear" w:color="auto" w:fill="auto"/>
            <w:noWrap/>
            <w:vAlign w:val="bottom"/>
            <w:hideMark/>
          </w:tcPr>
          <w:p w14:paraId="7EF1FEE3" w14:textId="77777777" w:rsidR="00B10507" w:rsidRPr="00746E61" w:rsidRDefault="00B10507" w:rsidP="00746E61">
            <w:pPr>
              <w:spacing w:line="276" w:lineRule="auto"/>
              <w:jc w:val="center"/>
              <w:rPr>
                <w:rFonts w:ascii="Book Antiqua" w:hAnsi="Book Antiqua"/>
                <w:color w:val="000000"/>
                <w:sz w:val="16"/>
                <w:szCs w:val="16"/>
                <w:lang w:eastAsia="es-CR"/>
              </w:rPr>
            </w:pPr>
            <w:r w:rsidRPr="00746E61">
              <w:rPr>
                <w:rFonts w:ascii="Book Antiqua" w:hAnsi="Book Antiqua"/>
                <w:color w:val="000000"/>
                <w:sz w:val="16"/>
                <w:szCs w:val="16"/>
                <w:lang w:eastAsia="es-CR"/>
              </w:rPr>
              <w:t>27</w:t>
            </w:r>
          </w:p>
        </w:tc>
        <w:tc>
          <w:tcPr>
            <w:tcW w:w="1130" w:type="dxa"/>
            <w:tcBorders>
              <w:top w:val="nil"/>
              <w:left w:val="nil"/>
              <w:bottom w:val="single" w:sz="4" w:space="0" w:color="auto"/>
              <w:right w:val="single" w:sz="4" w:space="0" w:color="auto"/>
            </w:tcBorders>
            <w:shd w:val="clear" w:color="auto" w:fill="auto"/>
            <w:noWrap/>
            <w:vAlign w:val="bottom"/>
            <w:hideMark/>
          </w:tcPr>
          <w:p w14:paraId="24CC43A0" w14:textId="77777777" w:rsidR="00B10507" w:rsidRPr="00746E61" w:rsidRDefault="00B10507" w:rsidP="00746E61">
            <w:pPr>
              <w:spacing w:line="276" w:lineRule="auto"/>
              <w:jc w:val="center"/>
              <w:rPr>
                <w:rFonts w:ascii="Book Antiqua" w:hAnsi="Book Antiqua"/>
                <w:color w:val="000000"/>
                <w:sz w:val="16"/>
                <w:szCs w:val="16"/>
                <w:lang w:eastAsia="es-CR"/>
              </w:rPr>
            </w:pPr>
            <w:r w:rsidRPr="00746E61">
              <w:rPr>
                <w:rFonts w:ascii="Book Antiqua" w:hAnsi="Book Antiqua"/>
                <w:color w:val="000000"/>
                <w:sz w:val="16"/>
                <w:szCs w:val="16"/>
                <w:lang w:eastAsia="es-CR"/>
              </w:rPr>
              <w:t>31</w:t>
            </w:r>
          </w:p>
        </w:tc>
        <w:tc>
          <w:tcPr>
            <w:tcW w:w="2100" w:type="dxa"/>
            <w:tcBorders>
              <w:top w:val="nil"/>
              <w:left w:val="nil"/>
              <w:bottom w:val="single" w:sz="4" w:space="0" w:color="auto"/>
              <w:right w:val="single" w:sz="4" w:space="0" w:color="auto"/>
            </w:tcBorders>
            <w:shd w:val="clear" w:color="auto" w:fill="auto"/>
            <w:vAlign w:val="center"/>
            <w:hideMark/>
          </w:tcPr>
          <w:p w14:paraId="4B4B2006" w14:textId="77777777" w:rsidR="00B10507" w:rsidRPr="00746E61" w:rsidRDefault="00B10507"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-27,25%</w:t>
            </w:r>
          </w:p>
        </w:tc>
        <w:tc>
          <w:tcPr>
            <w:tcW w:w="1908" w:type="dxa"/>
            <w:tcBorders>
              <w:top w:val="nil"/>
              <w:left w:val="nil"/>
              <w:bottom w:val="single" w:sz="4" w:space="0" w:color="auto"/>
              <w:right w:val="single" w:sz="4" w:space="0" w:color="auto"/>
            </w:tcBorders>
            <w:shd w:val="clear" w:color="auto" w:fill="auto"/>
            <w:vAlign w:val="center"/>
            <w:hideMark/>
          </w:tcPr>
          <w:p w14:paraId="1C186A49" w14:textId="77777777" w:rsidR="00B10507" w:rsidRPr="00746E61" w:rsidRDefault="00B10507"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14,71%</w:t>
            </w:r>
          </w:p>
        </w:tc>
      </w:tr>
      <w:tr w:rsidR="00B10507" w:rsidRPr="00746E61" w14:paraId="41A3DFC2" w14:textId="77777777" w:rsidTr="00B10507">
        <w:trPr>
          <w:trHeight w:val="290"/>
          <w:jc w:val="center"/>
        </w:trPr>
        <w:tc>
          <w:tcPr>
            <w:tcW w:w="2666" w:type="dxa"/>
            <w:tcBorders>
              <w:top w:val="nil"/>
              <w:left w:val="single" w:sz="4" w:space="0" w:color="auto"/>
              <w:bottom w:val="single" w:sz="4" w:space="0" w:color="auto"/>
              <w:right w:val="single" w:sz="4" w:space="0" w:color="auto"/>
            </w:tcBorders>
            <w:shd w:val="clear" w:color="auto" w:fill="auto"/>
            <w:noWrap/>
            <w:vAlign w:val="bottom"/>
            <w:hideMark/>
          </w:tcPr>
          <w:p w14:paraId="24454CD3" w14:textId="77777777" w:rsidR="00B10507" w:rsidRPr="00746E61" w:rsidRDefault="00B10507" w:rsidP="00746E61">
            <w:pPr>
              <w:spacing w:line="276" w:lineRule="auto"/>
              <w:rPr>
                <w:rFonts w:ascii="Book Antiqua" w:hAnsi="Book Antiqua"/>
                <w:color w:val="000000"/>
                <w:sz w:val="16"/>
                <w:szCs w:val="16"/>
                <w:lang w:eastAsia="es-CR"/>
              </w:rPr>
            </w:pPr>
            <w:r w:rsidRPr="00746E61">
              <w:rPr>
                <w:rFonts w:ascii="Book Antiqua" w:hAnsi="Book Antiqua"/>
                <w:color w:val="000000"/>
                <w:sz w:val="16"/>
                <w:szCs w:val="16"/>
                <w:lang w:eastAsia="es-CR"/>
              </w:rPr>
              <w:t>Tribunal Penal de Puntarenas</w:t>
            </w:r>
          </w:p>
        </w:tc>
        <w:tc>
          <w:tcPr>
            <w:tcW w:w="1130" w:type="dxa"/>
            <w:tcBorders>
              <w:top w:val="nil"/>
              <w:left w:val="nil"/>
              <w:bottom w:val="single" w:sz="4" w:space="0" w:color="auto"/>
              <w:right w:val="single" w:sz="4" w:space="0" w:color="auto"/>
            </w:tcBorders>
            <w:shd w:val="clear" w:color="auto" w:fill="auto"/>
            <w:noWrap/>
            <w:vAlign w:val="bottom"/>
            <w:hideMark/>
          </w:tcPr>
          <w:p w14:paraId="11A0EFA1" w14:textId="77777777" w:rsidR="00B10507" w:rsidRPr="00746E61" w:rsidRDefault="00B10507" w:rsidP="00746E61">
            <w:pPr>
              <w:spacing w:line="276" w:lineRule="auto"/>
              <w:jc w:val="center"/>
              <w:rPr>
                <w:rFonts w:ascii="Book Antiqua" w:hAnsi="Book Antiqua"/>
                <w:color w:val="000000"/>
                <w:sz w:val="16"/>
                <w:szCs w:val="16"/>
                <w:lang w:eastAsia="es-CR"/>
              </w:rPr>
            </w:pPr>
            <w:r w:rsidRPr="00746E61">
              <w:rPr>
                <w:rFonts w:ascii="Book Antiqua" w:hAnsi="Book Antiqua"/>
                <w:color w:val="000000"/>
                <w:sz w:val="16"/>
                <w:szCs w:val="16"/>
                <w:lang w:eastAsia="es-CR"/>
              </w:rPr>
              <w:t>82</w:t>
            </w:r>
          </w:p>
        </w:tc>
        <w:tc>
          <w:tcPr>
            <w:tcW w:w="1130" w:type="dxa"/>
            <w:tcBorders>
              <w:top w:val="nil"/>
              <w:left w:val="nil"/>
              <w:bottom w:val="single" w:sz="4" w:space="0" w:color="auto"/>
              <w:right w:val="single" w:sz="4" w:space="0" w:color="auto"/>
            </w:tcBorders>
            <w:shd w:val="clear" w:color="auto" w:fill="auto"/>
            <w:noWrap/>
            <w:vAlign w:val="bottom"/>
            <w:hideMark/>
          </w:tcPr>
          <w:p w14:paraId="6615B712" w14:textId="77777777" w:rsidR="00B10507" w:rsidRPr="00746E61" w:rsidRDefault="00B10507" w:rsidP="00746E61">
            <w:pPr>
              <w:spacing w:line="276" w:lineRule="auto"/>
              <w:jc w:val="center"/>
              <w:rPr>
                <w:rFonts w:ascii="Book Antiqua" w:hAnsi="Book Antiqua"/>
                <w:color w:val="000000"/>
                <w:sz w:val="16"/>
                <w:szCs w:val="16"/>
                <w:lang w:eastAsia="es-CR"/>
              </w:rPr>
            </w:pPr>
            <w:r w:rsidRPr="00746E61">
              <w:rPr>
                <w:rFonts w:ascii="Book Antiqua" w:hAnsi="Book Antiqua"/>
                <w:color w:val="000000"/>
                <w:sz w:val="16"/>
                <w:szCs w:val="16"/>
                <w:lang w:eastAsia="es-CR"/>
              </w:rPr>
              <w:t>48</w:t>
            </w:r>
          </w:p>
        </w:tc>
        <w:tc>
          <w:tcPr>
            <w:tcW w:w="1130" w:type="dxa"/>
            <w:tcBorders>
              <w:top w:val="nil"/>
              <w:left w:val="nil"/>
              <w:bottom w:val="single" w:sz="4" w:space="0" w:color="auto"/>
              <w:right w:val="single" w:sz="4" w:space="0" w:color="auto"/>
            </w:tcBorders>
            <w:shd w:val="clear" w:color="auto" w:fill="auto"/>
            <w:noWrap/>
            <w:vAlign w:val="bottom"/>
            <w:hideMark/>
          </w:tcPr>
          <w:p w14:paraId="6A1D2798" w14:textId="77777777" w:rsidR="00B10507" w:rsidRPr="00746E61" w:rsidRDefault="00B10507" w:rsidP="00746E61">
            <w:pPr>
              <w:spacing w:line="276" w:lineRule="auto"/>
              <w:jc w:val="center"/>
              <w:rPr>
                <w:rFonts w:ascii="Book Antiqua" w:hAnsi="Book Antiqua"/>
                <w:color w:val="000000"/>
                <w:sz w:val="16"/>
                <w:szCs w:val="16"/>
                <w:lang w:eastAsia="es-CR"/>
              </w:rPr>
            </w:pPr>
            <w:r w:rsidRPr="00746E61">
              <w:rPr>
                <w:rFonts w:ascii="Book Antiqua" w:hAnsi="Book Antiqua"/>
                <w:color w:val="000000"/>
                <w:sz w:val="16"/>
                <w:szCs w:val="16"/>
                <w:lang w:eastAsia="es-CR"/>
              </w:rPr>
              <w:t>56</w:t>
            </w:r>
          </w:p>
        </w:tc>
        <w:tc>
          <w:tcPr>
            <w:tcW w:w="2100" w:type="dxa"/>
            <w:tcBorders>
              <w:top w:val="nil"/>
              <w:left w:val="nil"/>
              <w:bottom w:val="single" w:sz="4" w:space="0" w:color="auto"/>
              <w:right w:val="single" w:sz="4" w:space="0" w:color="auto"/>
            </w:tcBorders>
            <w:shd w:val="clear" w:color="auto" w:fill="auto"/>
            <w:vAlign w:val="center"/>
            <w:hideMark/>
          </w:tcPr>
          <w:p w14:paraId="7B84EE4C" w14:textId="77777777" w:rsidR="00B10507" w:rsidRPr="00746E61" w:rsidRDefault="00B10507"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-32,47%</w:t>
            </w:r>
          </w:p>
        </w:tc>
        <w:tc>
          <w:tcPr>
            <w:tcW w:w="1908" w:type="dxa"/>
            <w:tcBorders>
              <w:top w:val="nil"/>
              <w:left w:val="nil"/>
              <w:bottom w:val="single" w:sz="4" w:space="0" w:color="auto"/>
              <w:right w:val="single" w:sz="4" w:space="0" w:color="auto"/>
            </w:tcBorders>
            <w:shd w:val="clear" w:color="auto" w:fill="auto"/>
            <w:vAlign w:val="center"/>
            <w:hideMark/>
          </w:tcPr>
          <w:p w14:paraId="35B6D205" w14:textId="77777777" w:rsidR="00B10507" w:rsidRPr="00746E61" w:rsidRDefault="00B10507"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15,72%</w:t>
            </w:r>
          </w:p>
        </w:tc>
      </w:tr>
      <w:tr w:rsidR="00B10507" w:rsidRPr="00746E61" w14:paraId="4E9B795B" w14:textId="77777777" w:rsidTr="00B10507">
        <w:trPr>
          <w:trHeight w:val="290"/>
          <w:jc w:val="center"/>
        </w:trPr>
        <w:tc>
          <w:tcPr>
            <w:tcW w:w="2666" w:type="dxa"/>
            <w:tcBorders>
              <w:top w:val="nil"/>
              <w:left w:val="single" w:sz="4" w:space="0" w:color="auto"/>
              <w:bottom w:val="single" w:sz="4" w:space="0" w:color="auto"/>
              <w:right w:val="single" w:sz="4" w:space="0" w:color="auto"/>
            </w:tcBorders>
            <w:shd w:val="clear" w:color="auto" w:fill="auto"/>
            <w:noWrap/>
            <w:vAlign w:val="bottom"/>
            <w:hideMark/>
          </w:tcPr>
          <w:p w14:paraId="46CBFC6E" w14:textId="77777777" w:rsidR="00B10507" w:rsidRPr="00746E61" w:rsidRDefault="00B10507" w:rsidP="00746E61">
            <w:pPr>
              <w:spacing w:line="276" w:lineRule="auto"/>
              <w:rPr>
                <w:rFonts w:ascii="Book Antiqua" w:hAnsi="Book Antiqua"/>
                <w:color w:val="000000"/>
                <w:sz w:val="16"/>
                <w:szCs w:val="16"/>
                <w:lang w:eastAsia="es-CR"/>
              </w:rPr>
            </w:pPr>
            <w:r w:rsidRPr="00746E61">
              <w:rPr>
                <w:rFonts w:ascii="Book Antiqua" w:hAnsi="Book Antiqua"/>
                <w:color w:val="000000"/>
                <w:sz w:val="16"/>
                <w:szCs w:val="16"/>
                <w:lang w:eastAsia="es-CR"/>
              </w:rPr>
              <w:t>Tribunal Penal de Quepos</w:t>
            </w:r>
          </w:p>
        </w:tc>
        <w:tc>
          <w:tcPr>
            <w:tcW w:w="1130" w:type="dxa"/>
            <w:tcBorders>
              <w:top w:val="nil"/>
              <w:left w:val="nil"/>
              <w:bottom w:val="single" w:sz="4" w:space="0" w:color="auto"/>
              <w:right w:val="single" w:sz="4" w:space="0" w:color="auto"/>
            </w:tcBorders>
            <w:shd w:val="clear" w:color="auto" w:fill="auto"/>
            <w:noWrap/>
            <w:vAlign w:val="bottom"/>
            <w:hideMark/>
          </w:tcPr>
          <w:p w14:paraId="1A9FD178" w14:textId="77777777" w:rsidR="00B10507" w:rsidRPr="00746E61" w:rsidRDefault="00B10507" w:rsidP="00746E61">
            <w:pPr>
              <w:spacing w:line="276" w:lineRule="auto"/>
              <w:jc w:val="center"/>
              <w:rPr>
                <w:rFonts w:ascii="Book Antiqua" w:hAnsi="Book Antiqua"/>
                <w:color w:val="000000"/>
                <w:sz w:val="16"/>
                <w:szCs w:val="16"/>
                <w:lang w:eastAsia="es-CR"/>
              </w:rPr>
            </w:pPr>
            <w:r w:rsidRPr="00746E61">
              <w:rPr>
                <w:rFonts w:ascii="Book Antiqua" w:hAnsi="Book Antiqua"/>
                <w:color w:val="000000"/>
                <w:sz w:val="16"/>
                <w:szCs w:val="16"/>
                <w:lang w:eastAsia="es-CR"/>
              </w:rPr>
              <w:t>21</w:t>
            </w:r>
          </w:p>
        </w:tc>
        <w:tc>
          <w:tcPr>
            <w:tcW w:w="1130" w:type="dxa"/>
            <w:tcBorders>
              <w:top w:val="nil"/>
              <w:left w:val="nil"/>
              <w:bottom w:val="single" w:sz="4" w:space="0" w:color="auto"/>
              <w:right w:val="single" w:sz="4" w:space="0" w:color="auto"/>
            </w:tcBorders>
            <w:shd w:val="clear" w:color="auto" w:fill="auto"/>
            <w:noWrap/>
            <w:vAlign w:val="bottom"/>
            <w:hideMark/>
          </w:tcPr>
          <w:p w14:paraId="0033A357" w14:textId="77777777" w:rsidR="00B10507" w:rsidRPr="00746E61" w:rsidRDefault="00B10507" w:rsidP="00746E61">
            <w:pPr>
              <w:spacing w:line="276" w:lineRule="auto"/>
              <w:jc w:val="center"/>
              <w:rPr>
                <w:rFonts w:ascii="Book Antiqua" w:hAnsi="Book Antiqua"/>
                <w:color w:val="000000"/>
                <w:sz w:val="16"/>
                <w:szCs w:val="16"/>
                <w:lang w:eastAsia="es-CR"/>
              </w:rPr>
            </w:pPr>
            <w:r w:rsidRPr="00746E61">
              <w:rPr>
                <w:rFonts w:ascii="Book Antiqua" w:hAnsi="Book Antiqua"/>
                <w:color w:val="000000"/>
                <w:sz w:val="16"/>
                <w:szCs w:val="16"/>
                <w:lang w:eastAsia="es-CR"/>
              </w:rPr>
              <w:t>21</w:t>
            </w:r>
          </w:p>
        </w:tc>
        <w:tc>
          <w:tcPr>
            <w:tcW w:w="1130" w:type="dxa"/>
            <w:tcBorders>
              <w:top w:val="nil"/>
              <w:left w:val="nil"/>
              <w:bottom w:val="single" w:sz="4" w:space="0" w:color="auto"/>
              <w:right w:val="single" w:sz="4" w:space="0" w:color="auto"/>
            </w:tcBorders>
            <w:shd w:val="clear" w:color="auto" w:fill="auto"/>
            <w:noWrap/>
            <w:vAlign w:val="bottom"/>
            <w:hideMark/>
          </w:tcPr>
          <w:p w14:paraId="580E03AA" w14:textId="77777777" w:rsidR="00B10507" w:rsidRPr="00746E61" w:rsidRDefault="00B10507" w:rsidP="00746E61">
            <w:pPr>
              <w:spacing w:line="276" w:lineRule="auto"/>
              <w:jc w:val="center"/>
              <w:rPr>
                <w:rFonts w:ascii="Book Antiqua" w:hAnsi="Book Antiqua"/>
                <w:color w:val="000000"/>
                <w:sz w:val="16"/>
                <w:szCs w:val="16"/>
                <w:lang w:eastAsia="es-CR"/>
              </w:rPr>
            </w:pPr>
            <w:r w:rsidRPr="00746E61">
              <w:rPr>
                <w:rFonts w:ascii="Book Antiqua" w:hAnsi="Book Antiqua"/>
                <w:color w:val="000000"/>
                <w:sz w:val="16"/>
                <w:szCs w:val="16"/>
                <w:lang w:eastAsia="es-CR"/>
              </w:rPr>
              <w:t>24</w:t>
            </w:r>
          </w:p>
        </w:tc>
        <w:tc>
          <w:tcPr>
            <w:tcW w:w="2100" w:type="dxa"/>
            <w:tcBorders>
              <w:top w:val="nil"/>
              <w:left w:val="nil"/>
              <w:bottom w:val="single" w:sz="4" w:space="0" w:color="auto"/>
              <w:right w:val="single" w:sz="4" w:space="0" w:color="auto"/>
            </w:tcBorders>
            <w:shd w:val="clear" w:color="auto" w:fill="auto"/>
            <w:vAlign w:val="center"/>
            <w:hideMark/>
          </w:tcPr>
          <w:p w14:paraId="2CAF8067" w14:textId="77777777" w:rsidR="00B10507" w:rsidRPr="00746E61" w:rsidRDefault="00B10507"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15,67%</w:t>
            </w:r>
          </w:p>
        </w:tc>
        <w:tc>
          <w:tcPr>
            <w:tcW w:w="1908" w:type="dxa"/>
            <w:tcBorders>
              <w:top w:val="nil"/>
              <w:left w:val="nil"/>
              <w:bottom w:val="single" w:sz="4" w:space="0" w:color="auto"/>
              <w:right w:val="single" w:sz="4" w:space="0" w:color="auto"/>
            </w:tcBorders>
            <w:shd w:val="clear" w:color="auto" w:fill="auto"/>
            <w:vAlign w:val="center"/>
            <w:hideMark/>
          </w:tcPr>
          <w:p w14:paraId="63DDCA01" w14:textId="77777777" w:rsidR="00B10507" w:rsidRPr="00746E61" w:rsidRDefault="00B10507"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18,15%</w:t>
            </w:r>
          </w:p>
        </w:tc>
      </w:tr>
      <w:tr w:rsidR="00B10507" w:rsidRPr="00746E61" w14:paraId="47E900E9" w14:textId="77777777" w:rsidTr="00B10507">
        <w:trPr>
          <w:trHeight w:val="290"/>
          <w:jc w:val="center"/>
        </w:trPr>
        <w:tc>
          <w:tcPr>
            <w:tcW w:w="2666" w:type="dxa"/>
            <w:tcBorders>
              <w:top w:val="nil"/>
              <w:left w:val="single" w:sz="4" w:space="0" w:color="auto"/>
              <w:bottom w:val="single" w:sz="4" w:space="0" w:color="auto"/>
              <w:right w:val="single" w:sz="4" w:space="0" w:color="auto"/>
            </w:tcBorders>
            <w:shd w:val="clear" w:color="auto" w:fill="auto"/>
            <w:noWrap/>
            <w:vAlign w:val="bottom"/>
            <w:hideMark/>
          </w:tcPr>
          <w:p w14:paraId="3D8B6E9A" w14:textId="77777777" w:rsidR="00B10507" w:rsidRPr="00746E61" w:rsidRDefault="00B10507" w:rsidP="00746E61">
            <w:pPr>
              <w:spacing w:line="276" w:lineRule="auto"/>
              <w:rPr>
                <w:rFonts w:ascii="Book Antiqua" w:hAnsi="Book Antiqua"/>
                <w:color w:val="000000"/>
                <w:sz w:val="16"/>
                <w:szCs w:val="16"/>
                <w:lang w:eastAsia="es-CR"/>
              </w:rPr>
            </w:pPr>
            <w:r w:rsidRPr="00746E61">
              <w:rPr>
                <w:rFonts w:ascii="Book Antiqua" w:hAnsi="Book Antiqua"/>
                <w:color w:val="000000"/>
                <w:sz w:val="16"/>
                <w:szCs w:val="16"/>
                <w:lang w:eastAsia="es-CR"/>
              </w:rPr>
              <w:t>Tribunal Penal de Pérez Zeledón</w:t>
            </w:r>
          </w:p>
        </w:tc>
        <w:tc>
          <w:tcPr>
            <w:tcW w:w="1130" w:type="dxa"/>
            <w:tcBorders>
              <w:top w:val="nil"/>
              <w:left w:val="nil"/>
              <w:bottom w:val="single" w:sz="4" w:space="0" w:color="auto"/>
              <w:right w:val="single" w:sz="4" w:space="0" w:color="auto"/>
            </w:tcBorders>
            <w:shd w:val="clear" w:color="auto" w:fill="auto"/>
            <w:noWrap/>
            <w:vAlign w:val="bottom"/>
            <w:hideMark/>
          </w:tcPr>
          <w:p w14:paraId="291EDBEB" w14:textId="77777777" w:rsidR="00B10507" w:rsidRPr="00746E61" w:rsidRDefault="00B10507" w:rsidP="00746E61">
            <w:pPr>
              <w:spacing w:line="276" w:lineRule="auto"/>
              <w:jc w:val="center"/>
              <w:rPr>
                <w:rFonts w:ascii="Book Antiqua" w:hAnsi="Book Antiqua"/>
                <w:color w:val="000000"/>
                <w:sz w:val="16"/>
                <w:szCs w:val="16"/>
                <w:lang w:eastAsia="es-CR"/>
              </w:rPr>
            </w:pPr>
            <w:r w:rsidRPr="00746E61">
              <w:rPr>
                <w:rFonts w:ascii="Book Antiqua" w:hAnsi="Book Antiqua"/>
                <w:color w:val="000000"/>
                <w:sz w:val="16"/>
                <w:szCs w:val="16"/>
                <w:lang w:eastAsia="es-CR"/>
              </w:rPr>
              <w:t>49</w:t>
            </w:r>
          </w:p>
        </w:tc>
        <w:tc>
          <w:tcPr>
            <w:tcW w:w="1130" w:type="dxa"/>
            <w:tcBorders>
              <w:top w:val="nil"/>
              <w:left w:val="nil"/>
              <w:bottom w:val="single" w:sz="4" w:space="0" w:color="auto"/>
              <w:right w:val="single" w:sz="4" w:space="0" w:color="auto"/>
            </w:tcBorders>
            <w:shd w:val="clear" w:color="auto" w:fill="auto"/>
            <w:noWrap/>
            <w:vAlign w:val="bottom"/>
            <w:hideMark/>
          </w:tcPr>
          <w:p w14:paraId="1FE79546" w14:textId="77777777" w:rsidR="00B10507" w:rsidRPr="00746E61" w:rsidRDefault="00B10507" w:rsidP="00746E61">
            <w:pPr>
              <w:spacing w:line="276" w:lineRule="auto"/>
              <w:jc w:val="center"/>
              <w:rPr>
                <w:rFonts w:ascii="Book Antiqua" w:hAnsi="Book Antiqua"/>
                <w:color w:val="000000"/>
                <w:sz w:val="16"/>
                <w:szCs w:val="16"/>
                <w:lang w:eastAsia="es-CR"/>
              </w:rPr>
            </w:pPr>
            <w:r w:rsidRPr="00746E61">
              <w:rPr>
                <w:rFonts w:ascii="Book Antiqua" w:hAnsi="Book Antiqua"/>
                <w:color w:val="000000"/>
                <w:sz w:val="16"/>
                <w:szCs w:val="16"/>
                <w:lang w:eastAsia="es-CR"/>
              </w:rPr>
              <w:t>43</w:t>
            </w:r>
          </w:p>
        </w:tc>
        <w:tc>
          <w:tcPr>
            <w:tcW w:w="1130" w:type="dxa"/>
            <w:tcBorders>
              <w:top w:val="nil"/>
              <w:left w:val="nil"/>
              <w:bottom w:val="single" w:sz="4" w:space="0" w:color="auto"/>
              <w:right w:val="single" w:sz="4" w:space="0" w:color="auto"/>
            </w:tcBorders>
            <w:shd w:val="clear" w:color="auto" w:fill="auto"/>
            <w:noWrap/>
            <w:vAlign w:val="bottom"/>
            <w:hideMark/>
          </w:tcPr>
          <w:p w14:paraId="12565C2C" w14:textId="77777777" w:rsidR="00B10507" w:rsidRPr="00746E61" w:rsidRDefault="00B10507" w:rsidP="00746E61">
            <w:pPr>
              <w:spacing w:line="276" w:lineRule="auto"/>
              <w:jc w:val="center"/>
              <w:rPr>
                <w:rFonts w:ascii="Book Antiqua" w:hAnsi="Book Antiqua"/>
                <w:color w:val="000000"/>
                <w:sz w:val="16"/>
                <w:szCs w:val="16"/>
                <w:lang w:eastAsia="es-CR"/>
              </w:rPr>
            </w:pPr>
            <w:r w:rsidRPr="00746E61">
              <w:rPr>
                <w:rFonts w:ascii="Book Antiqua" w:hAnsi="Book Antiqua"/>
                <w:color w:val="000000"/>
                <w:sz w:val="16"/>
                <w:szCs w:val="16"/>
                <w:lang w:eastAsia="es-CR"/>
              </w:rPr>
              <w:t>48</w:t>
            </w:r>
          </w:p>
        </w:tc>
        <w:tc>
          <w:tcPr>
            <w:tcW w:w="2100" w:type="dxa"/>
            <w:tcBorders>
              <w:top w:val="nil"/>
              <w:left w:val="nil"/>
              <w:bottom w:val="single" w:sz="4" w:space="0" w:color="auto"/>
              <w:right w:val="single" w:sz="4" w:space="0" w:color="auto"/>
            </w:tcBorders>
            <w:shd w:val="clear" w:color="auto" w:fill="auto"/>
            <w:vAlign w:val="center"/>
            <w:hideMark/>
          </w:tcPr>
          <w:p w14:paraId="161AD13D" w14:textId="77777777" w:rsidR="00B10507" w:rsidRPr="00746E61" w:rsidRDefault="00B10507"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-0,37%</w:t>
            </w:r>
          </w:p>
        </w:tc>
        <w:tc>
          <w:tcPr>
            <w:tcW w:w="1908" w:type="dxa"/>
            <w:tcBorders>
              <w:top w:val="nil"/>
              <w:left w:val="nil"/>
              <w:bottom w:val="single" w:sz="4" w:space="0" w:color="auto"/>
              <w:right w:val="single" w:sz="4" w:space="0" w:color="auto"/>
            </w:tcBorders>
            <w:shd w:val="clear" w:color="auto" w:fill="auto"/>
            <w:vAlign w:val="center"/>
            <w:hideMark/>
          </w:tcPr>
          <w:p w14:paraId="1DD9CF0E" w14:textId="77777777" w:rsidR="00B10507" w:rsidRPr="00746E61" w:rsidRDefault="00B10507"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12,86%</w:t>
            </w:r>
          </w:p>
        </w:tc>
      </w:tr>
      <w:tr w:rsidR="00B10507" w:rsidRPr="00746E61" w14:paraId="4604BCD6" w14:textId="77777777" w:rsidTr="00B10507">
        <w:trPr>
          <w:trHeight w:val="290"/>
          <w:jc w:val="center"/>
        </w:trPr>
        <w:tc>
          <w:tcPr>
            <w:tcW w:w="2666" w:type="dxa"/>
            <w:tcBorders>
              <w:top w:val="nil"/>
              <w:left w:val="single" w:sz="4" w:space="0" w:color="auto"/>
              <w:bottom w:val="single" w:sz="4" w:space="0" w:color="auto"/>
              <w:right w:val="single" w:sz="4" w:space="0" w:color="auto"/>
            </w:tcBorders>
            <w:shd w:val="clear" w:color="auto" w:fill="auto"/>
            <w:noWrap/>
            <w:vAlign w:val="bottom"/>
            <w:hideMark/>
          </w:tcPr>
          <w:p w14:paraId="50D4C6A8" w14:textId="77777777" w:rsidR="00B10507" w:rsidRPr="00746E61" w:rsidRDefault="00B10507" w:rsidP="00746E61">
            <w:pPr>
              <w:spacing w:line="276" w:lineRule="auto"/>
              <w:rPr>
                <w:rFonts w:ascii="Book Antiqua" w:hAnsi="Book Antiqua"/>
                <w:color w:val="000000"/>
                <w:sz w:val="16"/>
                <w:szCs w:val="16"/>
                <w:lang w:eastAsia="es-CR"/>
              </w:rPr>
            </w:pPr>
            <w:r w:rsidRPr="00746E61">
              <w:rPr>
                <w:rFonts w:ascii="Book Antiqua" w:hAnsi="Book Antiqua"/>
                <w:color w:val="000000"/>
                <w:sz w:val="16"/>
                <w:szCs w:val="16"/>
                <w:lang w:eastAsia="es-CR"/>
              </w:rPr>
              <w:t>Tribunal Penal de Golfito</w:t>
            </w:r>
          </w:p>
        </w:tc>
        <w:tc>
          <w:tcPr>
            <w:tcW w:w="1130" w:type="dxa"/>
            <w:tcBorders>
              <w:top w:val="nil"/>
              <w:left w:val="nil"/>
              <w:bottom w:val="single" w:sz="4" w:space="0" w:color="auto"/>
              <w:right w:val="single" w:sz="4" w:space="0" w:color="auto"/>
            </w:tcBorders>
            <w:shd w:val="clear" w:color="auto" w:fill="auto"/>
            <w:noWrap/>
            <w:vAlign w:val="bottom"/>
            <w:hideMark/>
          </w:tcPr>
          <w:p w14:paraId="0DD5F6F9" w14:textId="77777777" w:rsidR="00B10507" w:rsidRPr="00746E61" w:rsidRDefault="00B10507" w:rsidP="00746E61">
            <w:pPr>
              <w:spacing w:line="276" w:lineRule="auto"/>
              <w:jc w:val="center"/>
              <w:rPr>
                <w:rFonts w:ascii="Book Antiqua" w:hAnsi="Book Antiqua"/>
                <w:color w:val="000000"/>
                <w:sz w:val="16"/>
                <w:szCs w:val="16"/>
                <w:lang w:eastAsia="es-CR"/>
              </w:rPr>
            </w:pPr>
            <w:r w:rsidRPr="00746E61">
              <w:rPr>
                <w:rFonts w:ascii="Book Antiqua" w:hAnsi="Book Antiqua"/>
                <w:color w:val="000000"/>
                <w:sz w:val="16"/>
                <w:szCs w:val="16"/>
                <w:lang w:eastAsia="es-CR"/>
              </w:rPr>
              <w:t>29</w:t>
            </w:r>
          </w:p>
        </w:tc>
        <w:tc>
          <w:tcPr>
            <w:tcW w:w="1130" w:type="dxa"/>
            <w:tcBorders>
              <w:top w:val="nil"/>
              <w:left w:val="nil"/>
              <w:bottom w:val="single" w:sz="4" w:space="0" w:color="auto"/>
              <w:right w:val="single" w:sz="4" w:space="0" w:color="auto"/>
            </w:tcBorders>
            <w:shd w:val="clear" w:color="auto" w:fill="auto"/>
            <w:noWrap/>
            <w:vAlign w:val="bottom"/>
            <w:hideMark/>
          </w:tcPr>
          <w:p w14:paraId="64705D0F" w14:textId="77777777" w:rsidR="00B10507" w:rsidRPr="00746E61" w:rsidRDefault="00B10507" w:rsidP="00746E61">
            <w:pPr>
              <w:spacing w:line="276" w:lineRule="auto"/>
              <w:jc w:val="center"/>
              <w:rPr>
                <w:rFonts w:ascii="Book Antiqua" w:hAnsi="Book Antiqua"/>
                <w:color w:val="000000"/>
                <w:sz w:val="16"/>
                <w:szCs w:val="16"/>
                <w:lang w:eastAsia="es-CR"/>
              </w:rPr>
            </w:pPr>
            <w:r w:rsidRPr="00746E61">
              <w:rPr>
                <w:rFonts w:ascii="Book Antiqua" w:hAnsi="Book Antiqua"/>
                <w:color w:val="000000"/>
                <w:sz w:val="16"/>
                <w:szCs w:val="16"/>
                <w:lang w:eastAsia="es-CR"/>
              </w:rPr>
              <w:t>19</w:t>
            </w:r>
          </w:p>
        </w:tc>
        <w:tc>
          <w:tcPr>
            <w:tcW w:w="1130" w:type="dxa"/>
            <w:tcBorders>
              <w:top w:val="nil"/>
              <w:left w:val="nil"/>
              <w:bottom w:val="single" w:sz="4" w:space="0" w:color="auto"/>
              <w:right w:val="single" w:sz="4" w:space="0" w:color="auto"/>
            </w:tcBorders>
            <w:shd w:val="clear" w:color="auto" w:fill="auto"/>
            <w:noWrap/>
            <w:vAlign w:val="bottom"/>
            <w:hideMark/>
          </w:tcPr>
          <w:p w14:paraId="45AF07E7" w14:textId="77777777" w:rsidR="00B10507" w:rsidRPr="00746E61" w:rsidRDefault="00B10507" w:rsidP="00746E61">
            <w:pPr>
              <w:spacing w:line="276" w:lineRule="auto"/>
              <w:jc w:val="center"/>
              <w:rPr>
                <w:rFonts w:ascii="Book Antiqua" w:hAnsi="Book Antiqua"/>
                <w:color w:val="000000"/>
                <w:sz w:val="16"/>
                <w:szCs w:val="16"/>
                <w:lang w:eastAsia="es-CR"/>
              </w:rPr>
            </w:pPr>
            <w:r w:rsidRPr="00746E61">
              <w:rPr>
                <w:rFonts w:ascii="Book Antiqua" w:hAnsi="Book Antiqua"/>
                <w:color w:val="000000"/>
                <w:sz w:val="16"/>
                <w:szCs w:val="16"/>
                <w:lang w:eastAsia="es-CR"/>
              </w:rPr>
              <w:t>11</w:t>
            </w:r>
          </w:p>
        </w:tc>
        <w:tc>
          <w:tcPr>
            <w:tcW w:w="2100" w:type="dxa"/>
            <w:tcBorders>
              <w:top w:val="nil"/>
              <w:left w:val="nil"/>
              <w:bottom w:val="single" w:sz="4" w:space="0" w:color="auto"/>
              <w:right w:val="single" w:sz="4" w:space="0" w:color="auto"/>
            </w:tcBorders>
            <w:shd w:val="clear" w:color="auto" w:fill="auto"/>
            <w:vAlign w:val="center"/>
            <w:hideMark/>
          </w:tcPr>
          <w:p w14:paraId="66CF01A2" w14:textId="77777777" w:rsidR="00B10507" w:rsidRPr="00746E61" w:rsidRDefault="00B10507"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-62,36%</w:t>
            </w:r>
          </w:p>
        </w:tc>
        <w:tc>
          <w:tcPr>
            <w:tcW w:w="1908" w:type="dxa"/>
            <w:tcBorders>
              <w:top w:val="nil"/>
              <w:left w:val="nil"/>
              <w:bottom w:val="single" w:sz="4" w:space="0" w:color="auto"/>
              <w:right w:val="single" w:sz="4" w:space="0" w:color="auto"/>
            </w:tcBorders>
            <w:shd w:val="clear" w:color="auto" w:fill="auto"/>
            <w:vAlign w:val="center"/>
            <w:hideMark/>
          </w:tcPr>
          <w:p w14:paraId="2E7E8017" w14:textId="77777777" w:rsidR="00B10507" w:rsidRPr="00746E61" w:rsidRDefault="00B10507"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-42,21%</w:t>
            </w:r>
          </w:p>
        </w:tc>
      </w:tr>
      <w:tr w:rsidR="00B10507" w:rsidRPr="00746E61" w14:paraId="6F57B60D" w14:textId="77777777" w:rsidTr="00B10507">
        <w:trPr>
          <w:trHeight w:val="290"/>
          <w:jc w:val="center"/>
        </w:trPr>
        <w:tc>
          <w:tcPr>
            <w:tcW w:w="2666" w:type="dxa"/>
            <w:tcBorders>
              <w:top w:val="nil"/>
              <w:left w:val="single" w:sz="4" w:space="0" w:color="auto"/>
              <w:bottom w:val="single" w:sz="4" w:space="0" w:color="auto"/>
              <w:right w:val="single" w:sz="4" w:space="0" w:color="auto"/>
            </w:tcBorders>
            <w:shd w:val="clear" w:color="auto" w:fill="auto"/>
            <w:noWrap/>
            <w:vAlign w:val="bottom"/>
            <w:hideMark/>
          </w:tcPr>
          <w:p w14:paraId="3ECD2659" w14:textId="77777777" w:rsidR="00B10507" w:rsidRPr="00746E61" w:rsidRDefault="00B10507" w:rsidP="00746E61">
            <w:pPr>
              <w:spacing w:line="276" w:lineRule="auto"/>
              <w:rPr>
                <w:rFonts w:ascii="Book Antiqua" w:hAnsi="Book Antiqua"/>
                <w:color w:val="000000"/>
                <w:sz w:val="16"/>
                <w:szCs w:val="16"/>
                <w:lang w:eastAsia="es-CR"/>
              </w:rPr>
            </w:pPr>
            <w:r w:rsidRPr="00746E61">
              <w:rPr>
                <w:rFonts w:ascii="Book Antiqua" w:hAnsi="Book Antiqua"/>
                <w:color w:val="000000"/>
                <w:sz w:val="16"/>
                <w:szCs w:val="16"/>
                <w:lang w:eastAsia="es-CR"/>
              </w:rPr>
              <w:t>Tribunal Penal de Osa</w:t>
            </w:r>
          </w:p>
        </w:tc>
        <w:tc>
          <w:tcPr>
            <w:tcW w:w="1130" w:type="dxa"/>
            <w:tcBorders>
              <w:top w:val="nil"/>
              <w:left w:val="nil"/>
              <w:bottom w:val="single" w:sz="4" w:space="0" w:color="auto"/>
              <w:right w:val="single" w:sz="4" w:space="0" w:color="auto"/>
            </w:tcBorders>
            <w:shd w:val="clear" w:color="auto" w:fill="auto"/>
            <w:noWrap/>
            <w:vAlign w:val="bottom"/>
            <w:hideMark/>
          </w:tcPr>
          <w:p w14:paraId="5F44FE8B" w14:textId="77777777" w:rsidR="00B10507" w:rsidRPr="00746E61" w:rsidRDefault="00B10507" w:rsidP="00746E61">
            <w:pPr>
              <w:spacing w:line="276" w:lineRule="auto"/>
              <w:jc w:val="center"/>
              <w:rPr>
                <w:rFonts w:ascii="Book Antiqua" w:hAnsi="Book Antiqua"/>
                <w:color w:val="000000"/>
                <w:sz w:val="16"/>
                <w:szCs w:val="16"/>
                <w:lang w:eastAsia="es-CR"/>
              </w:rPr>
            </w:pPr>
            <w:r w:rsidRPr="00746E61">
              <w:rPr>
                <w:rFonts w:ascii="Book Antiqua" w:hAnsi="Book Antiqua"/>
                <w:color w:val="000000"/>
                <w:sz w:val="16"/>
                <w:szCs w:val="16"/>
                <w:lang w:eastAsia="es-CR"/>
              </w:rPr>
              <w:t>20</w:t>
            </w:r>
          </w:p>
        </w:tc>
        <w:tc>
          <w:tcPr>
            <w:tcW w:w="1130" w:type="dxa"/>
            <w:tcBorders>
              <w:top w:val="nil"/>
              <w:left w:val="nil"/>
              <w:bottom w:val="single" w:sz="4" w:space="0" w:color="auto"/>
              <w:right w:val="single" w:sz="4" w:space="0" w:color="auto"/>
            </w:tcBorders>
            <w:shd w:val="clear" w:color="auto" w:fill="auto"/>
            <w:noWrap/>
            <w:vAlign w:val="bottom"/>
            <w:hideMark/>
          </w:tcPr>
          <w:p w14:paraId="74E60F02" w14:textId="77777777" w:rsidR="00B10507" w:rsidRPr="00746E61" w:rsidRDefault="00B10507" w:rsidP="00746E61">
            <w:pPr>
              <w:spacing w:line="276" w:lineRule="auto"/>
              <w:jc w:val="center"/>
              <w:rPr>
                <w:rFonts w:ascii="Book Antiqua" w:hAnsi="Book Antiqua"/>
                <w:color w:val="000000"/>
                <w:sz w:val="16"/>
                <w:szCs w:val="16"/>
                <w:lang w:eastAsia="es-CR"/>
              </w:rPr>
            </w:pPr>
            <w:r w:rsidRPr="00746E61">
              <w:rPr>
                <w:rFonts w:ascii="Book Antiqua" w:hAnsi="Book Antiqua"/>
                <w:color w:val="000000"/>
                <w:sz w:val="16"/>
                <w:szCs w:val="16"/>
                <w:lang w:eastAsia="es-CR"/>
              </w:rPr>
              <w:t>17</w:t>
            </w:r>
          </w:p>
        </w:tc>
        <w:tc>
          <w:tcPr>
            <w:tcW w:w="1130" w:type="dxa"/>
            <w:tcBorders>
              <w:top w:val="nil"/>
              <w:left w:val="nil"/>
              <w:bottom w:val="single" w:sz="4" w:space="0" w:color="auto"/>
              <w:right w:val="single" w:sz="4" w:space="0" w:color="auto"/>
            </w:tcBorders>
            <w:shd w:val="clear" w:color="auto" w:fill="auto"/>
            <w:noWrap/>
            <w:vAlign w:val="bottom"/>
            <w:hideMark/>
          </w:tcPr>
          <w:p w14:paraId="38DAAAE0" w14:textId="77777777" w:rsidR="00B10507" w:rsidRPr="00746E61" w:rsidRDefault="00B10507" w:rsidP="00746E61">
            <w:pPr>
              <w:spacing w:line="276" w:lineRule="auto"/>
              <w:jc w:val="center"/>
              <w:rPr>
                <w:rFonts w:ascii="Book Antiqua" w:hAnsi="Book Antiqua"/>
                <w:color w:val="000000"/>
                <w:sz w:val="16"/>
                <w:szCs w:val="16"/>
                <w:lang w:eastAsia="es-CR"/>
              </w:rPr>
            </w:pPr>
            <w:r w:rsidRPr="00746E61">
              <w:rPr>
                <w:rFonts w:ascii="Book Antiqua" w:hAnsi="Book Antiqua"/>
                <w:color w:val="000000"/>
                <w:sz w:val="16"/>
                <w:szCs w:val="16"/>
                <w:lang w:eastAsia="es-CR"/>
              </w:rPr>
              <w:t>19</w:t>
            </w:r>
          </w:p>
        </w:tc>
        <w:tc>
          <w:tcPr>
            <w:tcW w:w="2100" w:type="dxa"/>
            <w:tcBorders>
              <w:top w:val="nil"/>
              <w:left w:val="nil"/>
              <w:bottom w:val="single" w:sz="4" w:space="0" w:color="auto"/>
              <w:right w:val="single" w:sz="4" w:space="0" w:color="auto"/>
            </w:tcBorders>
            <w:shd w:val="clear" w:color="auto" w:fill="auto"/>
            <w:vAlign w:val="center"/>
            <w:hideMark/>
          </w:tcPr>
          <w:p w14:paraId="37DA23A0" w14:textId="77777777" w:rsidR="00B10507" w:rsidRPr="00746E61" w:rsidRDefault="00B10507"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-5,29%</w:t>
            </w:r>
          </w:p>
        </w:tc>
        <w:tc>
          <w:tcPr>
            <w:tcW w:w="1908" w:type="dxa"/>
            <w:tcBorders>
              <w:top w:val="nil"/>
              <w:left w:val="nil"/>
              <w:bottom w:val="single" w:sz="4" w:space="0" w:color="auto"/>
              <w:right w:val="single" w:sz="4" w:space="0" w:color="auto"/>
            </w:tcBorders>
            <w:shd w:val="clear" w:color="auto" w:fill="auto"/>
            <w:vAlign w:val="center"/>
            <w:hideMark/>
          </w:tcPr>
          <w:p w14:paraId="46957935" w14:textId="77777777" w:rsidR="00B10507" w:rsidRPr="00746E61" w:rsidRDefault="00B10507"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14,56%</w:t>
            </w:r>
          </w:p>
        </w:tc>
      </w:tr>
      <w:tr w:rsidR="00B10507" w:rsidRPr="00746E61" w14:paraId="2A35D3AE" w14:textId="77777777" w:rsidTr="00B10507">
        <w:trPr>
          <w:trHeight w:val="290"/>
          <w:jc w:val="center"/>
        </w:trPr>
        <w:tc>
          <w:tcPr>
            <w:tcW w:w="2666" w:type="dxa"/>
            <w:tcBorders>
              <w:top w:val="nil"/>
              <w:left w:val="single" w:sz="4" w:space="0" w:color="auto"/>
              <w:bottom w:val="single" w:sz="4" w:space="0" w:color="auto"/>
              <w:right w:val="single" w:sz="4" w:space="0" w:color="auto"/>
            </w:tcBorders>
            <w:shd w:val="clear" w:color="auto" w:fill="auto"/>
            <w:noWrap/>
            <w:vAlign w:val="bottom"/>
            <w:hideMark/>
          </w:tcPr>
          <w:p w14:paraId="12EFFBB9" w14:textId="77777777" w:rsidR="00B10507" w:rsidRPr="00746E61" w:rsidRDefault="00B10507" w:rsidP="00746E61">
            <w:pPr>
              <w:spacing w:line="276" w:lineRule="auto"/>
              <w:rPr>
                <w:rFonts w:ascii="Book Antiqua" w:hAnsi="Book Antiqua"/>
                <w:color w:val="000000"/>
                <w:sz w:val="16"/>
                <w:szCs w:val="16"/>
                <w:lang w:eastAsia="es-CR"/>
              </w:rPr>
            </w:pPr>
            <w:r w:rsidRPr="00746E61">
              <w:rPr>
                <w:rFonts w:ascii="Book Antiqua" w:hAnsi="Book Antiqua"/>
                <w:color w:val="000000"/>
                <w:sz w:val="16"/>
                <w:szCs w:val="16"/>
                <w:lang w:eastAsia="es-CR"/>
              </w:rPr>
              <w:t>Tribunal Penal de Corredores</w:t>
            </w:r>
          </w:p>
        </w:tc>
        <w:tc>
          <w:tcPr>
            <w:tcW w:w="1130" w:type="dxa"/>
            <w:tcBorders>
              <w:top w:val="nil"/>
              <w:left w:val="nil"/>
              <w:bottom w:val="single" w:sz="4" w:space="0" w:color="auto"/>
              <w:right w:val="single" w:sz="4" w:space="0" w:color="auto"/>
            </w:tcBorders>
            <w:shd w:val="clear" w:color="auto" w:fill="auto"/>
            <w:noWrap/>
            <w:vAlign w:val="bottom"/>
            <w:hideMark/>
          </w:tcPr>
          <w:p w14:paraId="1B98AA5F" w14:textId="77777777" w:rsidR="00B10507" w:rsidRPr="00746E61" w:rsidRDefault="00B10507" w:rsidP="00746E61">
            <w:pPr>
              <w:spacing w:line="276" w:lineRule="auto"/>
              <w:jc w:val="center"/>
              <w:rPr>
                <w:rFonts w:ascii="Book Antiqua" w:hAnsi="Book Antiqua"/>
                <w:color w:val="000000"/>
                <w:sz w:val="16"/>
                <w:szCs w:val="16"/>
                <w:lang w:eastAsia="es-CR"/>
              </w:rPr>
            </w:pPr>
            <w:r w:rsidRPr="00746E61">
              <w:rPr>
                <w:rFonts w:ascii="Book Antiqua" w:hAnsi="Book Antiqua"/>
                <w:color w:val="000000"/>
                <w:sz w:val="16"/>
                <w:szCs w:val="16"/>
                <w:lang w:eastAsia="es-CR"/>
              </w:rPr>
              <w:t>41</w:t>
            </w:r>
          </w:p>
        </w:tc>
        <w:tc>
          <w:tcPr>
            <w:tcW w:w="1130" w:type="dxa"/>
            <w:tcBorders>
              <w:top w:val="nil"/>
              <w:left w:val="nil"/>
              <w:bottom w:val="single" w:sz="4" w:space="0" w:color="auto"/>
              <w:right w:val="single" w:sz="4" w:space="0" w:color="auto"/>
            </w:tcBorders>
            <w:shd w:val="clear" w:color="auto" w:fill="auto"/>
            <w:noWrap/>
            <w:vAlign w:val="bottom"/>
            <w:hideMark/>
          </w:tcPr>
          <w:p w14:paraId="4ACCC0E6" w14:textId="77777777" w:rsidR="00B10507" w:rsidRPr="00746E61" w:rsidRDefault="00B10507" w:rsidP="00746E61">
            <w:pPr>
              <w:spacing w:line="276" w:lineRule="auto"/>
              <w:jc w:val="center"/>
              <w:rPr>
                <w:rFonts w:ascii="Book Antiqua" w:hAnsi="Book Antiqua"/>
                <w:color w:val="000000"/>
                <w:sz w:val="16"/>
                <w:szCs w:val="16"/>
                <w:lang w:eastAsia="es-CR"/>
              </w:rPr>
            </w:pPr>
            <w:r w:rsidRPr="00746E61">
              <w:rPr>
                <w:rFonts w:ascii="Book Antiqua" w:hAnsi="Book Antiqua"/>
                <w:color w:val="000000"/>
                <w:sz w:val="16"/>
                <w:szCs w:val="16"/>
                <w:lang w:eastAsia="es-CR"/>
              </w:rPr>
              <w:t>30</w:t>
            </w:r>
          </w:p>
        </w:tc>
        <w:tc>
          <w:tcPr>
            <w:tcW w:w="1130" w:type="dxa"/>
            <w:tcBorders>
              <w:top w:val="nil"/>
              <w:left w:val="nil"/>
              <w:bottom w:val="single" w:sz="4" w:space="0" w:color="auto"/>
              <w:right w:val="single" w:sz="4" w:space="0" w:color="auto"/>
            </w:tcBorders>
            <w:shd w:val="clear" w:color="auto" w:fill="auto"/>
            <w:noWrap/>
            <w:vAlign w:val="bottom"/>
            <w:hideMark/>
          </w:tcPr>
          <w:p w14:paraId="2C110ED9" w14:textId="77777777" w:rsidR="00B10507" w:rsidRPr="00746E61" w:rsidRDefault="00B10507" w:rsidP="00746E61">
            <w:pPr>
              <w:spacing w:line="276" w:lineRule="auto"/>
              <w:jc w:val="center"/>
              <w:rPr>
                <w:rFonts w:ascii="Book Antiqua" w:hAnsi="Book Antiqua"/>
                <w:color w:val="000000"/>
                <w:sz w:val="16"/>
                <w:szCs w:val="16"/>
                <w:lang w:eastAsia="es-CR"/>
              </w:rPr>
            </w:pPr>
            <w:r w:rsidRPr="00746E61">
              <w:rPr>
                <w:rFonts w:ascii="Book Antiqua" w:hAnsi="Book Antiqua"/>
                <w:color w:val="000000"/>
                <w:sz w:val="16"/>
                <w:szCs w:val="16"/>
                <w:lang w:eastAsia="es-CR"/>
              </w:rPr>
              <w:t>39</w:t>
            </w:r>
          </w:p>
        </w:tc>
        <w:tc>
          <w:tcPr>
            <w:tcW w:w="2100" w:type="dxa"/>
            <w:tcBorders>
              <w:top w:val="nil"/>
              <w:left w:val="nil"/>
              <w:bottom w:val="single" w:sz="4" w:space="0" w:color="auto"/>
              <w:right w:val="single" w:sz="4" w:space="0" w:color="auto"/>
            </w:tcBorders>
            <w:shd w:val="clear" w:color="auto" w:fill="auto"/>
            <w:vAlign w:val="center"/>
            <w:hideMark/>
          </w:tcPr>
          <w:p w14:paraId="257365C3" w14:textId="77777777" w:rsidR="00B10507" w:rsidRPr="00746E61" w:rsidRDefault="00B10507"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-3,69%</w:t>
            </w:r>
          </w:p>
        </w:tc>
        <w:tc>
          <w:tcPr>
            <w:tcW w:w="1908" w:type="dxa"/>
            <w:tcBorders>
              <w:top w:val="nil"/>
              <w:left w:val="nil"/>
              <w:bottom w:val="single" w:sz="4" w:space="0" w:color="auto"/>
              <w:right w:val="single" w:sz="4" w:space="0" w:color="auto"/>
            </w:tcBorders>
            <w:shd w:val="clear" w:color="auto" w:fill="auto"/>
            <w:vAlign w:val="center"/>
            <w:hideMark/>
          </w:tcPr>
          <w:p w14:paraId="5713B5E4" w14:textId="77777777" w:rsidR="00B10507" w:rsidRPr="00746E61" w:rsidRDefault="00B10507"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31,17%</w:t>
            </w:r>
          </w:p>
        </w:tc>
      </w:tr>
      <w:tr w:rsidR="00B10507" w:rsidRPr="00746E61" w14:paraId="754C7A0D" w14:textId="77777777" w:rsidTr="00081DAD">
        <w:trPr>
          <w:trHeight w:val="290"/>
          <w:jc w:val="center"/>
        </w:trPr>
        <w:tc>
          <w:tcPr>
            <w:tcW w:w="2666"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6E068A9B" w14:textId="77777777" w:rsidR="00B10507" w:rsidRPr="00746E61" w:rsidRDefault="00B10507" w:rsidP="00746E61">
            <w:pPr>
              <w:spacing w:line="276" w:lineRule="auto"/>
              <w:rPr>
                <w:rFonts w:ascii="Book Antiqua" w:hAnsi="Book Antiqua"/>
                <w:color w:val="000000"/>
                <w:sz w:val="16"/>
                <w:szCs w:val="16"/>
                <w:lang w:eastAsia="es-CR"/>
              </w:rPr>
            </w:pPr>
            <w:r w:rsidRPr="00746E61">
              <w:rPr>
                <w:rFonts w:ascii="Book Antiqua" w:hAnsi="Book Antiqua"/>
                <w:color w:val="000000"/>
                <w:sz w:val="16"/>
                <w:szCs w:val="16"/>
                <w:lang w:eastAsia="es-CR"/>
              </w:rPr>
              <w:t>Tribunal Penal de Limón</w:t>
            </w:r>
          </w:p>
        </w:tc>
        <w:tc>
          <w:tcPr>
            <w:tcW w:w="1130" w:type="dxa"/>
            <w:tcBorders>
              <w:top w:val="nil"/>
              <w:left w:val="nil"/>
              <w:bottom w:val="single" w:sz="4" w:space="0" w:color="auto"/>
              <w:right w:val="single" w:sz="4" w:space="0" w:color="auto"/>
            </w:tcBorders>
            <w:shd w:val="clear" w:color="auto" w:fill="F2F2F2" w:themeFill="background1" w:themeFillShade="F2"/>
            <w:noWrap/>
            <w:vAlign w:val="bottom"/>
            <w:hideMark/>
          </w:tcPr>
          <w:p w14:paraId="0C0058B1" w14:textId="77777777" w:rsidR="00B10507" w:rsidRPr="00746E61" w:rsidRDefault="00B10507" w:rsidP="00746E61">
            <w:pPr>
              <w:spacing w:line="276" w:lineRule="auto"/>
              <w:jc w:val="center"/>
              <w:rPr>
                <w:rFonts w:ascii="Book Antiqua" w:hAnsi="Book Antiqua"/>
                <w:color w:val="000000"/>
                <w:sz w:val="16"/>
                <w:szCs w:val="16"/>
                <w:lang w:eastAsia="es-CR"/>
              </w:rPr>
            </w:pPr>
            <w:r w:rsidRPr="00746E61">
              <w:rPr>
                <w:rFonts w:ascii="Book Antiqua" w:hAnsi="Book Antiqua"/>
                <w:color w:val="000000"/>
                <w:sz w:val="16"/>
                <w:szCs w:val="16"/>
                <w:lang w:eastAsia="es-CR"/>
              </w:rPr>
              <w:t>130</w:t>
            </w:r>
          </w:p>
        </w:tc>
        <w:tc>
          <w:tcPr>
            <w:tcW w:w="1130" w:type="dxa"/>
            <w:tcBorders>
              <w:top w:val="nil"/>
              <w:left w:val="nil"/>
              <w:bottom w:val="single" w:sz="4" w:space="0" w:color="auto"/>
              <w:right w:val="single" w:sz="4" w:space="0" w:color="auto"/>
            </w:tcBorders>
            <w:shd w:val="clear" w:color="auto" w:fill="F2F2F2" w:themeFill="background1" w:themeFillShade="F2"/>
            <w:noWrap/>
            <w:vAlign w:val="bottom"/>
            <w:hideMark/>
          </w:tcPr>
          <w:p w14:paraId="045745DC" w14:textId="77777777" w:rsidR="00B10507" w:rsidRPr="00746E61" w:rsidRDefault="00B10507" w:rsidP="00746E61">
            <w:pPr>
              <w:spacing w:line="276" w:lineRule="auto"/>
              <w:jc w:val="center"/>
              <w:rPr>
                <w:rFonts w:ascii="Book Antiqua" w:hAnsi="Book Antiqua"/>
                <w:color w:val="000000"/>
                <w:sz w:val="16"/>
                <w:szCs w:val="16"/>
                <w:lang w:eastAsia="es-CR"/>
              </w:rPr>
            </w:pPr>
            <w:r w:rsidRPr="00746E61">
              <w:rPr>
                <w:rFonts w:ascii="Book Antiqua" w:hAnsi="Book Antiqua"/>
                <w:color w:val="000000"/>
                <w:sz w:val="16"/>
                <w:szCs w:val="16"/>
                <w:lang w:eastAsia="es-CR"/>
              </w:rPr>
              <w:t>79</w:t>
            </w:r>
          </w:p>
        </w:tc>
        <w:tc>
          <w:tcPr>
            <w:tcW w:w="1130" w:type="dxa"/>
            <w:tcBorders>
              <w:top w:val="nil"/>
              <w:left w:val="nil"/>
              <w:bottom w:val="single" w:sz="4" w:space="0" w:color="auto"/>
              <w:right w:val="single" w:sz="4" w:space="0" w:color="auto"/>
            </w:tcBorders>
            <w:shd w:val="clear" w:color="auto" w:fill="F2F2F2" w:themeFill="background1" w:themeFillShade="F2"/>
            <w:noWrap/>
            <w:vAlign w:val="bottom"/>
            <w:hideMark/>
          </w:tcPr>
          <w:p w14:paraId="231FCE4F" w14:textId="77777777" w:rsidR="00B10507" w:rsidRPr="00746E61" w:rsidRDefault="00B10507" w:rsidP="00746E61">
            <w:pPr>
              <w:spacing w:line="276" w:lineRule="auto"/>
              <w:jc w:val="center"/>
              <w:rPr>
                <w:rFonts w:ascii="Book Antiqua" w:hAnsi="Book Antiqua"/>
                <w:color w:val="000000"/>
                <w:sz w:val="16"/>
                <w:szCs w:val="16"/>
                <w:lang w:eastAsia="es-CR"/>
              </w:rPr>
            </w:pPr>
            <w:r w:rsidRPr="00746E61">
              <w:rPr>
                <w:rFonts w:ascii="Book Antiqua" w:hAnsi="Book Antiqua"/>
                <w:color w:val="000000"/>
                <w:sz w:val="16"/>
                <w:szCs w:val="16"/>
                <w:lang w:eastAsia="es-CR"/>
              </w:rPr>
              <w:t>88</w:t>
            </w:r>
          </w:p>
        </w:tc>
        <w:tc>
          <w:tcPr>
            <w:tcW w:w="2100" w:type="dxa"/>
            <w:tcBorders>
              <w:top w:val="nil"/>
              <w:left w:val="nil"/>
              <w:bottom w:val="single" w:sz="4" w:space="0" w:color="auto"/>
              <w:right w:val="single" w:sz="4" w:space="0" w:color="auto"/>
            </w:tcBorders>
            <w:shd w:val="clear" w:color="auto" w:fill="F2F2F2" w:themeFill="background1" w:themeFillShade="F2"/>
            <w:vAlign w:val="center"/>
            <w:hideMark/>
          </w:tcPr>
          <w:p w14:paraId="163A67D2" w14:textId="77777777" w:rsidR="00B10507" w:rsidRPr="00746E61" w:rsidRDefault="00B10507"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-31,92%</w:t>
            </w:r>
          </w:p>
        </w:tc>
        <w:tc>
          <w:tcPr>
            <w:tcW w:w="1908" w:type="dxa"/>
            <w:tcBorders>
              <w:top w:val="nil"/>
              <w:left w:val="nil"/>
              <w:bottom w:val="single" w:sz="4" w:space="0" w:color="auto"/>
              <w:right w:val="single" w:sz="4" w:space="0" w:color="auto"/>
            </w:tcBorders>
            <w:shd w:val="clear" w:color="auto" w:fill="F2F2F2" w:themeFill="background1" w:themeFillShade="F2"/>
            <w:vAlign w:val="center"/>
            <w:hideMark/>
          </w:tcPr>
          <w:p w14:paraId="59ADA2D4" w14:textId="77777777" w:rsidR="00B10507" w:rsidRPr="00746E61" w:rsidRDefault="00B10507"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12,08%</w:t>
            </w:r>
          </w:p>
        </w:tc>
      </w:tr>
      <w:tr w:rsidR="00B10507" w:rsidRPr="00746E61" w14:paraId="43124AB7" w14:textId="77777777" w:rsidTr="00B10507">
        <w:trPr>
          <w:trHeight w:val="290"/>
          <w:jc w:val="center"/>
        </w:trPr>
        <w:tc>
          <w:tcPr>
            <w:tcW w:w="2666" w:type="dxa"/>
            <w:tcBorders>
              <w:top w:val="nil"/>
              <w:left w:val="single" w:sz="4" w:space="0" w:color="auto"/>
              <w:bottom w:val="single" w:sz="4" w:space="0" w:color="auto"/>
              <w:right w:val="single" w:sz="4" w:space="0" w:color="auto"/>
            </w:tcBorders>
            <w:shd w:val="clear" w:color="auto" w:fill="auto"/>
            <w:noWrap/>
            <w:vAlign w:val="bottom"/>
            <w:hideMark/>
          </w:tcPr>
          <w:p w14:paraId="11F3392A" w14:textId="77777777" w:rsidR="00B10507" w:rsidRPr="00746E61" w:rsidRDefault="00B10507" w:rsidP="00746E61">
            <w:pPr>
              <w:spacing w:line="276" w:lineRule="auto"/>
              <w:rPr>
                <w:rFonts w:ascii="Book Antiqua" w:hAnsi="Book Antiqua"/>
                <w:color w:val="000000"/>
                <w:sz w:val="16"/>
                <w:szCs w:val="16"/>
                <w:lang w:eastAsia="es-CR"/>
              </w:rPr>
            </w:pPr>
            <w:r w:rsidRPr="00746E61">
              <w:rPr>
                <w:rFonts w:ascii="Book Antiqua" w:hAnsi="Book Antiqua"/>
                <w:color w:val="000000"/>
                <w:sz w:val="16"/>
                <w:szCs w:val="16"/>
                <w:lang w:eastAsia="es-CR"/>
              </w:rPr>
              <w:t>Tribunal Penal de Pococí</w:t>
            </w:r>
          </w:p>
        </w:tc>
        <w:tc>
          <w:tcPr>
            <w:tcW w:w="1130" w:type="dxa"/>
            <w:tcBorders>
              <w:top w:val="nil"/>
              <w:left w:val="nil"/>
              <w:bottom w:val="single" w:sz="4" w:space="0" w:color="auto"/>
              <w:right w:val="single" w:sz="4" w:space="0" w:color="auto"/>
            </w:tcBorders>
            <w:shd w:val="clear" w:color="auto" w:fill="auto"/>
            <w:noWrap/>
            <w:vAlign w:val="bottom"/>
            <w:hideMark/>
          </w:tcPr>
          <w:p w14:paraId="3AE4BE39" w14:textId="77777777" w:rsidR="00B10507" w:rsidRPr="00746E61" w:rsidRDefault="00B10507" w:rsidP="00746E61">
            <w:pPr>
              <w:spacing w:line="276" w:lineRule="auto"/>
              <w:jc w:val="center"/>
              <w:rPr>
                <w:rFonts w:ascii="Book Antiqua" w:hAnsi="Book Antiqua"/>
                <w:color w:val="000000"/>
                <w:sz w:val="16"/>
                <w:szCs w:val="16"/>
                <w:lang w:eastAsia="es-CR"/>
              </w:rPr>
            </w:pPr>
            <w:r w:rsidRPr="00746E61">
              <w:rPr>
                <w:rFonts w:ascii="Book Antiqua" w:hAnsi="Book Antiqua"/>
                <w:color w:val="000000"/>
                <w:sz w:val="16"/>
                <w:szCs w:val="16"/>
                <w:lang w:eastAsia="es-CR"/>
              </w:rPr>
              <w:t>72</w:t>
            </w:r>
          </w:p>
        </w:tc>
        <w:tc>
          <w:tcPr>
            <w:tcW w:w="1130" w:type="dxa"/>
            <w:tcBorders>
              <w:top w:val="nil"/>
              <w:left w:val="nil"/>
              <w:bottom w:val="single" w:sz="4" w:space="0" w:color="auto"/>
              <w:right w:val="single" w:sz="4" w:space="0" w:color="auto"/>
            </w:tcBorders>
            <w:shd w:val="clear" w:color="auto" w:fill="auto"/>
            <w:noWrap/>
            <w:vAlign w:val="bottom"/>
            <w:hideMark/>
          </w:tcPr>
          <w:p w14:paraId="746272DC" w14:textId="77777777" w:rsidR="00B10507" w:rsidRPr="00746E61" w:rsidRDefault="00B10507" w:rsidP="00746E61">
            <w:pPr>
              <w:spacing w:line="276" w:lineRule="auto"/>
              <w:jc w:val="center"/>
              <w:rPr>
                <w:rFonts w:ascii="Book Antiqua" w:hAnsi="Book Antiqua"/>
                <w:color w:val="000000"/>
                <w:sz w:val="16"/>
                <w:szCs w:val="16"/>
                <w:lang w:eastAsia="es-CR"/>
              </w:rPr>
            </w:pPr>
            <w:r w:rsidRPr="00746E61">
              <w:rPr>
                <w:rFonts w:ascii="Book Antiqua" w:hAnsi="Book Antiqua"/>
                <w:color w:val="000000"/>
                <w:sz w:val="16"/>
                <w:szCs w:val="16"/>
                <w:lang w:eastAsia="es-CR"/>
              </w:rPr>
              <w:t>43</w:t>
            </w:r>
          </w:p>
        </w:tc>
        <w:tc>
          <w:tcPr>
            <w:tcW w:w="1130" w:type="dxa"/>
            <w:tcBorders>
              <w:top w:val="nil"/>
              <w:left w:val="nil"/>
              <w:bottom w:val="single" w:sz="4" w:space="0" w:color="auto"/>
              <w:right w:val="single" w:sz="4" w:space="0" w:color="auto"/>
            </w:tcBorders>
            <w:shd w:val="clear" w:color="auto" w:fill="auto"/>
            <w:noWrap/>
            <w:vAlign w:val="bottom"/>
            <w:hideMark/>
          </w:tcPr>
          <w:p w14:paraId="7FDD602C" w14:textId="77777777" w:rsidR="00B10507" w:rsidRPr="00746E61" w:rsidRDefault="00B10507" w:rsidP="00746E61">
            <w:pPr>
              <w:spacing w:line="276" w:lineRule="auto"/>
              <w:jc w:val="center"/>
              <w:rPr>
                <w:rFonts w:ascii="Book Antiqua" w:hAnsi="Book Antiqua"/>
                <w:color w:val="000000"/>
                <w:sz w:val="16"/>
                <w:szCs w:val="16"/>
                <w:lang w:eastAsia="es-CR"/>
              </w:rPr>
            </w:pPr>
            <w:r w:rsidRPr="00746E61">
              <w:rPr>
                <w:rFonts w:ascii="Book Antiqua" w:hAnsi="Book Antiqua"/>
                <w:color w:val="000000"/>
                <w:sz w:val="16"/>
                <w:szCs w:val="16"/>
                <w:lang w:eastAsia="es-CR"/>
              </w:rPr>
              <w:t>50</w:t>
            </w:r>
          </w:p>
        </w:tc>
        <w:tc>
          <w:tcPr>
            <w:tcW w:w="2100" w:type="dxa"/>
            <w:tcBorders>
              <w:top w:val="nil"/>
              <w:left w:val="nil"/>
              <w:bottom w:val="single" w:sz="4" w:space="0" w:color="auto"/>
              <w:right w:val="single" w:sz="4" w:space="0" w:color="auto"/>
            </w:tcBorders>
            <w:shd w:val="clear" w:color="auto" w:fill="auto"/>
            <w:vAlign w:val="center"/>
            <w:hideMark/>
          </w:tcPr>
          <w:p w14:paraId="6ABF7ABB" w14:textId="77777777" w:rsidR="00B10507" w:rsidRPr="00746E61" w:rsidRDefault="00B10507"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-30,98%</w:t>
            </w:r>
          </w:p>
        </w:tc>
        <w:tc>
          <w:tcPr>
            <w:tcW w:w="1908" w:type="dxa"/>
            <w:tcBorders>
              <w:top w:val="nil"/>
              <w:left w:val="nil"/>
              <w:bottom w:val="single" w:sz="4" w:space="0" w:color="auto"/>
              <w:right w:val="single" w:sz="4" w:space="0" w:color="auto"/>
            </w:tcBorders>
            <w:shd w:val="clear" w:color="auto" w:fill="auto"/>
            <w:vAlign w:val="center"/>
            <w:hideMark/>
          </w:tcPr>
          <w:p w14:paraId="4ED456C9" w14:textId="77777777" w:rsidR="00B10507" w:rsidRPr="00746E61" w:rsidRDefault="00B10507"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15,03%</w:t>
            </w:r>
          </w:p>
        </w:tc>
      </w:tr>
      <w:tr w:rsidR="00B10507" w:rsidRPr="00746E61" w14:paraId="56997205" w14:textId="77777777" w:rsidTr="00B10507">
        <w:trPr>
          <w:trHeight w:val="290"/>
          <w:jc w:val="center"/>
        </w:trPr>
        <w:tc>
          <w:tcPr>
            <w:tcW w:w="2666" w:type="dxa"/>
            <w:tcBorders>
              <w:top w:val="nil"/>
              <w:left w:val="single" w:sz="4" w:space="0" w:color="auto"/>
              <w:bottom w:val="single" w:sz="4" w:space="0" w:color="auto"/>
              <w:right w:val="single" w:sz="4" w:space="0" w:color="auto"/>
            </w:tcBorders>
            <w:shd w:val="clear" w:color="auto" w:fill="auto"/>
            <w:noWrap/>
            <w:vAlign w:val="bottom"/>
            <w:hideMark/>
          </w:tcPr>
          <w:p w14:paraId="2FC92553" w14:textId="77777777" w:rsidR="00B10507" w:rsidRPr="00746E61" w:rsidRDefault="00B10507" w:rsidP="00746E61">
            <w:pPr>
              <w:spacing w:line="276" w:lineRule="auto"/>
              <w:rPr>
                <w:rFonts w:ascii="Book Antiqua" w:hAnsi="Book Antiqua"/>
                <w:color w:val="000000"/>
                <w:sz w:val="16"/>
                <w:szCs w:val="16"/>
                <w:lang w:eastAsia="es-CR"/>
              </w:rPr>
            </w:pPr>
            <w:r w:rsidRPr="00746E61">
              <w:rPr>
                <w:rFonts w:ascii="Book Antiqua" w:hAnsi="Book Antiqua"/>
                <w:color w:val="000000"/>
                <w:sz w:val="16"/>
                <w:szCs w:val="16"/>
                <w:lang w:eastAsia="es-CR"/>
              </w:rPr>
              <w:t>Tribunal Penal de Siquirres</w:t>
            </w:r>
          </w:p>
        </w:tc>
        <w:tc>
          <w:tcPr>
            <w:tcW w:w="1130" w:type="dxa"/>
            <w:tcBorders>
              <w:top w:val="nil"/>
              <w:left w:val="nil"/>
              <w:bottom w:val="single" w:sz="4" w:space="0" w:color="auto"/>
              <w:right w:val="single" w:sz="4" w:space="0" w:color="auto"/>
            </w:tcBorders>
            <w:shd w:val="clear" w:color="auto" w:fill="auto"/>
            <w:noWrap/>
            <w:vAlign w:val="bottom"/>
            <w:hideMark/>
          </w:tcPr>
          <w:p w14:paraId="52A9A8A2" w14:textId="77777777" w:rsidR="00B10507" w:rsidRPr="00746E61" w:rsidRDefault="00B10507" w:rsidP="00746E61">
            <w:pPr>
              <w:spacing w:line="276" w:lineRule="auto"/>
              <w:jc w:val="center"/>
              <w:rPr>
                <w:rFonts w:ascii="Book Antiqua" w:hAnsi="Book Antiqua"/>
                <w:color w:val="000000"/>
                <w:sz w:val="16"/>
                <w:szCs w:val="16"/>
                <w:lang w:eastAsia="es-CR"/>
              </w:rPr>
            </w:pPr>
            <w:r w:rsidRPr="00746E61">
              <w:rPr>
                <w:rFonts w:ascii="Book Antiqua" w:hAnsi="Book Antiqua"/>
                <w:color w:val="000000"/>
                <w:sz w:val="16"/>
                <w:szCs w:val="16"/>
                <w:lang w:eastAsia="es-CR"/>
              </w:rPr>
              <w:t>30</w:t>
            </w:r>
          </w:p>
        </w:tc>
        <w:tc>
          <w:tcPr>
            <w:tcW w:w="1130" w:type="dxa"/>
            <w:tcBorders>
              <w:top w:val="nil"/>
              <w:left w:val="nil"/>
              <w:bottom w:val="single" w:sz="4" w:space="0" w:color="auto"/>
              <w:right w:val="single" w:sz="4" w:space="0" w:color="auto"/>
            </w:tcBorders>
            <w:shd w:val="clear" w:color="auto" w:fill="auto"/>
            <w:noWrap/>
            <w:vAlign w:val="bottom"/>
            <w:hideMark/>
          </w:tcPr>
          <w:p w14:paraId="51B733A1" w14:textId="77777777" w:rsidR="00B10507" w:rsidRPr="00746E61" w:rsidRDefault="00B10507" w:rsidP="00746E61">
            <w:pPr>
              <w:spacing w:line="276" w:lineRule="auto"/>
              <w:jc w:val="center"/>
              <w:rPr>
                <w:rFonts w:ascii="Book Antiqua" w:hAnsi="Book Antiqua"/>
                <w:color w:val="000000"/>
                <w:sz w:val="16"/>
                <w:szCs w:val="16"/>
                <w:lang w:eastAsia="es-CR"/>
              </w:rPr>
            </w:pPr>
            <w:r w:rsidRPr="00746E61">
              <w:rPr>
                <w:rFonts w:ascii="Book Antiqua" w:hAnsi="Book Antiqua"/>
                <w:color w:val="000000"/>
                <w:sz w:val="16"/>
                <w:szCs w:val="16"/>
                <w:lang w:eastAsia="es-CR"/>
              </w:rPr>
              <w:t>23</w:t>
            </w:r>
          </w:p>
        </w:tc>
        <w:tc>
          <w:tcPr>
            <w:tcW w:w="1130" w:type="dxa"/>
            <w:tcBorders>
              <w:top w:val="nil"/>
              <w:left w:val="nil"/>
              <w:bottom w:val="single" w:sz="4" w:space="0" w:color="auto"/>
              <w:right w:val="single" w:sz="4" w:space="0" w:color="auto"/>
            </w:tcBorders>
            <w:shd w:val="clear" w:color="auto" w:fill="auto"/>
            <w:noWrap/>
            <w:vAlign w:val="bottom"/>
            <w:hideMark/>
          </w:tcPr>
          <w:p w14:paraId="7C448D16" w14:textId="77777777" w:rsidR="00B10507" w:rsidRPr="00746E61" w:rsidRDefault="00B10507" w:rsidP="00746E61">
            <w:pPr>
              <w:spacing w:line="276" w:lineRule="auto"/>
              <w:jc w:val="center"/>
              <w:rPr>
                <w:rFonts w:ascii="Book Antiqua" w:hAnsi="Book Antiqua"/>
                <w:color w:val="000000"/>
                <w:sz w:val="16"/>
                <w:szCs w:val="16"/>
                <w:lang w:eastAsia="es-CR"/>
              </w:rPr>
            </w:pPr>
            <w:r w:rsidRPr="00746E61">
              <w:rPr>
                <w:rFonts w:ascii="Book Antiqua" w:hAnsi="Book Antiqua"/>
                <w:color w:val="000000"/>
                <w:sz w:val="16"/>
                <w:szCs w:val="16"/>
                <w:lang w:eastAsia="es-CR"/>
              </w:rPr>
              <w:t>34</w:t>
            </w:r>
          </w:p>
        </w:tc>
        <w:tc>
          <w:tcPr>
            <w:tcW w:w="2100" w:type="dxa"/>
            <w:tcBorders>
              <w:top w:val="nil"/>
              <w:left w:val="nil"/>
              <w:bottom w:val="single" w:sz="4" w:space="0" w:color="auto"/>
              <w:right w:val="single" w:sz="4" w:space="0" w:color="auto"/>
            </w:tcBorders>
            <w:shd w:val="clear" w:color="auto" w:fill="auto"/>
            <w:vAlign w:val="center"/>
            <w:hideMark/>
          </w:tcPr>
          <w:p w14:paraId="6CE590E2" w14:textId="77777777" w:rsidR="00B10507" w:rsidRPr="00746E61" w:rsidRDefault="00B10507"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15,61%</w:t>
            </w:r>
          </w:p>
        </w:tc>
        <w:tc>
          <w:tcPr>
            <w:tcW w:w="1908" w:type="dxa"/>
            <w:tcBorders>
              <w:top w:val="nil"/>
              <w:left w:val="nil"/>
              <w:bottom w:val="single" w:sz="4" w:space="0" w:color="auto"/>
              <w:right w:val="single" w:sz="4" w:space="0" w:color="auto"/>
            </w:tcBorders>
            <w:shd w:val="clear" w:color="auto" w:fill="auto"/>
            <w:vAlign w:val="center"/>
            <w:hideMark/>
          </w:tcPr>
          <w:p w14:paraId="3DF40CBD" w14:textId="77777777" w:rsidR="00B10507" w:rsidRPr="00746E61" w:rsidRDefault="00B10507"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50,52%</w:t>
            </w:r>
          </w:p>
        </w:tc>
      </w:tr>
      <w:tr w:rsidR="00B10507" w:rsidRPr="00746E61" w14:paraId="1F493AFA" w14:textId="77777777" w:rsidTr="00B10507">
        <w:trPr>
          <w:trHeight w:val="290"/>
          <w:jc w:val="center"/>
        </w:trPr>
        <w:tc>
          <w:tcPr>
            <w:tcW w:w="2666" w:type="dxa"/>
            <w:tcBorders>
              <w:top w:val="nil"/>
              <w:left w:val="single" w:sz="4" w:space="0" w:color="auto"/>
              <w:bottom w:val="single" w:sz="4" w:space="0" w:color="auto"/>
              <w:right w:val="single" w:sz="4" w:space="0" w:color="auto"/>
            </w:tcBorders>
            <w:shd w:val="clear" w:color="auto" w:fill="auto"/>
            <w:vAlign w:val="center"/>
            <w:hideMark/>
          </w:tcPr>
          <w:p w14:paraId="57B80EF8" w14:textId="77777777" w:rsidR="00B10507" w:rsidRPr="00746E61" w:rsidRDefault="00B10507" w:rsidP="00746E61">
            <w:pPr>
              <w:spacing w:line="276" w:lineRule="auto"/>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Total</w:t>
            </w:r>
          </w:p>
        </w:tc>
        <w:tc>
          <w:tcPr>
            <w:tcW w:w="1130" w:type="dxa"/>
            <w:tcBorders>
              <w:top w:val="nil"/>
              <w:left w:val="nil"/>
              <w:bottom w:val="single" w:sz="4" w:space="0" w:color="auto"/>
              <w:right w:val="single" w:sz="4" w:space="0" w:color="auto"/>
            </w:tcBorders>
            <w:shd w:val="clear" w:color="auto" w:fill="auto"/>
            <w:vAlign w:val="center"/>
            <w:hideMark/>
          </w:tcPr>
          <w:p w14:paraId="4B23222D" w14:textId="77777777" w:rsidR="00B10507" w:rsidRPr="00746E61" w:rsidRDefault="00B10507"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1472</w:t>
            </w:r>
          </w:p>
        </w:tc>
        <w:tc>
          <w:tcPr>
            <w:tcW w:w="1130" w:type="dxa"/>
            <w:tcBorders>
              <w:top w:val="nil"/>
              <w:left w:val="nil"/>
              <w:bottom w:val="single" w:sz="4" w:space="0" w:color="auto"/>
              <w:right w:val="single" w:sz="4" w:space="0" w:color="auto"/>
            </w:tcBorders>
            <w:shd w:val="clear" w:color="auto" w:fill="auto"/>
            <w:vAlign w:val="center"/>
            <w:hideMark/>
          </w:tcPr>
          <w:p w14:paraId="1DE2E946" w14:textId="77777777" w:rsidR="00B10507" w:rsidRPr="00746E61" w:rsidRDefault="00B10507"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972</w:t>
            </w:r>
          </w:p>
        </w:tc>
        <w:tc>
          <w:tcPr>
            <w:tcW w:w="1130" w:type="dxa"/>
            <w:tcBorders>
              <w:top w:val="nil"/>
              <w:left w:val="nil"/>
              <w:bottom w:val="single" w:sz="4" w:space="0" w:color="auto"/>
              <w:right w:val="single" w:sz="4" w:space="0" w:color="auto"/>
            </w:tcBorders>
            <w:shd w:val="clear" w:color="auto" w:fill="auto"/>
            <w:vAlign w:val="center"/>
            <w:hideMark/>
          </w:tcPr>
          <w:p w14:paraId="251BDC80" w14:textId="77777777" w:rsidR="00B10507" w:rsidRPr="00746E61" w:rsidRDefault="00B10507"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1179</w:t>
            </w:r>
          </w:p>
        </w:tc>
        <w:tc>
          <w:tcPr>
            <w:tcW w:w="2100" w:type="dxa"/>
            <w:tcBorders>
              <w:top w:val="nil"/>
              <w:left w:val="nil"/>
              <w:bottom w:val="single" w:sz="4" w:space="0" w:color="auto"/>
              <w:right w:val="single" w:sz="4" w:space="0" w:color="auto"/>
            </w:tcBorders>
            <w:shd w:val="clear" w:color="auto" w:fill="auto"/>
            <w:vAlign w:val="center"/>
            <w:hideMark/>
          </w:tcPr>
          <w:p w14:paraId="38E6EB93" w14:textId="77777777" w:rsidR="00B10507" w:rsidRPr="00746E61" w:rsidRDefault="00B10507"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-19,93%</w:t>
            </w:r>
          </w:p>
        </w:tc>
        <w:tc>
          <w:tcPr>
            <w:tcW w:w="1908" w:type="dxa"/>
            <w:tcBorders>
              <w:top w:val="nil"/>
              <w:left w:val="nil"/>
              <w:bottom w:val="single" w:sz="4" w:space="0" w:color="auto"/>
              <w:right w:val="single" w:sz="4" w:space="0" w:color="auto"/>
            </w:tcBorders>
            <w:shd w:val="clear" w:color="auto" w:fill="auto"/>
            <w:vAlign w:val="center"/>
            <w:hideMark/>
          </w:tcPr>
          <w:p w14:paraId="0DE82E69" w14:textId="77777777" w:rsidR="00B10507" w:rsidRPr="00746E61" w:rsidRDefault="00B10507"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21,22%</w:t>
            </w:r>
          </w:p>
        </w:tc>
      </w:tr>
    </w:tbl>
    <w:bookmarkEnd w:id="10"/>
    <w:p w14:paraId="1A5AA8A9" w14:textId="5AFDD101" w:rsidR="00A844EF" w:rsidRPr="00746E61" w:rsidRDefault="0059268A" w:rsidP="00746E61">
      <w:pPr>
        <w:spacing w:line="276" w:lineRule="auto"/>
        <w:jc w:val="center"/>
        <w:rPr>
          <w:rFonts w:ascii="Book Antiqua" w:hAnsi="Book Antiqua" w:cs="Calibri"/>
          <w:color w:val="000000"/>
          <w:sz w:val="20"/>
          <w:szCs w:val="20"/>
          <w:lang w:eastAsia="es-CR"/>
        </w:rPr>
      </w:pPr>
      <w:r w:rsidRPr="00746E61">
        <w:rPr>
          <w:rFonts w:ascii="Book Antiqua" w:hAnsi="Book Antiqua" w:cs="Calibri"/>
          <w:b/>
          <w:bCs/>
          <w:color w:val="000000"/>
          <w:sz w:val="20"/>
          <w:szCs w:val="20"/>
          <w:lang w:eastAsia="es-CR"/>
        </w:rPr>
        <w:t>Fuente:</w:t>
      </w:r>
      <w:r w:rsidRPr="00746E61">
        <w:rPr>
          <w:rFonts w:ascii="Book Antiqua" w:hAnsi="Book Antiqua" w:cs="Calibri"/>
          <w:color w:val="000000"/>
          <w:sz w:val="20"/>
          <w:szCs w:val="20"/>
          <w:lang w:eastAsia="es-CR"/>
        </w:rPr>
        <w:t xml:space="preserve"> Elaboración propia a partir de las estadísticas del Subproceso de Estadística</w:t>
      </w:r>
    </w:p>
    <w:p w14:paraId="564801E2" w14:textId="237D11DF" w:rsidR="004472F8" w:rsidRPr="00746E61" w:rsidRDefault="004472F8" w:rsidP="00746E61">
      <w:pPr>
        <w:spacing w:line="276" w:lineRule="auto"/>
        <w:ind w:left="360"/>
        <w:rPr>
          <w:rFonts w:ascii="Book Antiqua" w:hAnsi="Book Antiqua" w:cs="Calibri"/>
          <w:color w:val="000000"/>
          <w:sz w:val="20"/>
          <w:szCs w:val="20"/>
          <w:lang w:eastAsia="es-CR"/>
        </w:rPr>
      </w:pPr>
    </w:p>
    <w:p w14:paraId="67F69CF4" w14:textId="1E9A208E" w:rsidR="004472F8" w:rsidRPr="00746E61" w:rsidRDefault="004472F8" w:rsidP="00746E61">
      <w:pPr>
        <w:spacing w:line="276" w:lineRule="auto"/>
        <w:jc w:val="both"/>
        <w:rPr>
          <w:rFonts w:ascii="Book Antiqua" w:hAnsi="Book Antiqua" w:cs="Arial"/>
        </w:rPr>
      </w:pPr>
      <w:r w:rsidRPr="00746E61">
        <w:rPr>
          <w:rFonts w:ascii="Book Antiqua" w:hAnsi="Book Antiqua" w:cs="Arial"/>
        </w:rPr>
        <w:t>De acuerdo con el cuadro anterior, se destaca que para el período 2021 el despacho que refleja la mayor cantidad de asuntos terminados es el Tribunal Penal de San José con un promedio mensual 10</w:t>
      </w:r>
      <w:r w:rsidR="00B10507" w:rsidRPr="00746E61">
        <w:rPr>
          <w:rFonts w:ascii="Book Antiqua" w:hAnsi="Book Antiqua" w:cs="Arial"/>
        </w:rPr>
        <w:t>4</w:t>
      </w:r>
      <w:r w:rsidRPr="00746E61">
        <w:rPr>
          <w:rFonts w:ascii="Book Antiqua" w:hAnsi="Book Antiqua" w:cs="Arial"/>
        </w:rPr>
        <w:t xml:space="preserve"> asuntos, en segundo lugar, está el Tribunal Penal de Pavas con 9</w:t>
      </w:r>
      <w:r w:rsidR="00B10507" w:rsidRPr="00746E61">
        <w:rPr>
          <w:rFonts w:ascii="Book Antiqua" w:hAnsi="Book Antiqua" w:cs="Arial"/>
        </w:rPr>
        <w:t>6</w:t>
      </w:r>
      <w:r w:rsidRPr="00746E61">
        <w:rPr>
          <w:rFonts w:ascii="Book Antiqua" w:hAnsi="Book Antiqua" w:cs="Arial"/>
        </w:rPr>
        <w:t xml:space="preserve"> asuntos, luego</w:t>
      </w:r>
      <w:r w:rsidR="00B10507" w:rsidRPr="00746E61">
        <w:rPr>
          <w:rFonts w:ascii="Book Antiqua" w:hAnsi="Book Antiqua" w:cs="Arial"/>
        </w:rPr>
        <w:t xml:space="preserve"> Limón</w:t>
      </w:r>
      <w:r w:rsidRPr="00746E61">
        <w:rPr>
          <w:rFonts w:ascii="Book Antiqua" w:hAnsi="Book Antiqua" w:cs="Arial"/>
        </w:rPr>
        <w:t xml:space="preserve"> con 8</w:t>
      </w:r>
      <w:r w:rsidR="00B10507" w:rsidRPr="00746E61">
        <w:rPr>
          <w:rFonts w:ascii="Book Antiqua" w:hAnsi="Book Antiqua" w:cs="Arial"/>
        </w:rPr>
        <w:t>8</w:t>
      </w:r>
      <w:r w:rsidRPr="00746E61">
        <w:rPr>
          <w:rFonts w:ascii="Book Antiqua" w:hAnsi="Book Antiqua" w:cs="Arial"/>
        </w:rPr>
        <w:t xml:space="preserve"> asuntos mensuales</w:t>
      </w:r>
      <w:r w:rsidR="00B10507" w:rsidRPr="00746E61">
        <w:rPr>
          <w:rFonts w:ascii="Book Antiqua" w:hAnsi="Book Antiqua" w:cs="Arial"/>
        </w:rPr>
        <w:t>.</w:t>
      </w:r>
    </w:p>
    <w:p w14:paraId="7AF01D72" w14:textId="77777777" w:rsidR="004472F8" w:rsidRPr="00746E61" w:rsidRDefault="004472F8" w:rsidP="00746E61">
      <w:pPr>
        <w:spacing w:line="276" w:lineRule="auto"/>
        <w:jc w:val="both"/>
        <w:rPr>
          <w:rFonts w:ascii="Book Antiqua" w:hAnsi="Book Antiqua" w:cs="Arial"/>
        </w:rPr>
      </w:pPr>
    </w:p>
    <w:p w14:paraId="3A41E031" w14:textId="2AEA7864" w:rsidR="00B10507" w:rsidRPr="00BF7F5F" w:rsidRDefault="00B10507" w:rsidP="00746E61">
      <w:pPr>
        <w:spacing w:line="276" w:lineRule="auto"/>
        <w:jc w:val="both"/>
        <w:rPr>
          <w:rFonts w:ascii="Book Antiqua" w:hAnsi="Book Antiqua" w:cs="Arial"/>
        </w:rPr>
      </w:pPr>
      <w:r w:rsidRPr="00746E61">
        <w:rPr>
          <w:rFonts w:ascii="Book Antiqua" w:hAnsi="Book Antiqua" w:cs="Arial"/>
        </w:rPr>
        <w:t xml:space="preserve">Por otra parte, analizando el promedio de registros finalizados del 2021 versus el promedio de terminados de los periodos de </w:t>
      </w:r>
      <w:r w:rsidR="00081DAD" w:rsidRPr="00746E61">
        <w:rPr>
          <w:rFonts w:ascii="Book Antiqua" w:hAnsi="Book Antiqua" w:cs="Arial"/>
        </w:rPr>
        <w:t>comparación</w:t>
      </w:r>
      <w:r w:rsidRPr="00746E61">
        <w:rPr>
          <w:rFonts w:ascii="Book Antiqua" w:hAnsi="Book Antiqua" w:cs="Arial"/>
        </w:rPr>
        <w:t xml:space="preserve">, los despachos que reflejan un mayor crecimiento son el Tribunal Penal de Sarapiquí con un 66.45% </w:t>
      </w:r>
      <w:r w:rsidR="00FC7692" w:rsidRPr="00746E61">
        <w:rPr>
          <w:rFonts w:ascii="Book Antiqua" w:hAnsi="Book Antiqua" w:cs="Arial"/>
        </w:rPr>
        <w:t>en relación con</w:t>
      </w:r>
      <w:r w:rsidRPr="00746E61">
        <w:rPr>
          <w:rFonts w:ascii="Book Antiqua" w:hAnsi="Book Antiqua" w:cs="Arial"/>
        </w:rPr>
        <w:t xml:space="preserve"> el </w:t>
      </w:r>
      <w:r w:rsidRPr="00BF7F5F">
        <w:rPr>
          <w:rFonts w:ascii="Book Antiqua" w:hAnsi="Book Antiqua" w:cs="Arial"/>
        </w:rPr>
        <w:t>2019, seguidamente el Tribunal Penal de Alajuela con un 102.69% con respecto al 2020.</w:t>
      </w:r>
    </w:p>
    <w:p w14:paraId="10235887" w14:textId="2DF54D11" w:rsidR="004472F8" w:rsidRPr="00BF7F5F" w:rsidRDefault="004472F8" w:rsidP="00F17F06">
      <w:pPr>
        <w:spacing w:line="276" w:lineRule="auto"/>
        <w:rPr>
          <w:rFonts w:ascii="Book Antiqua" w:hAnsi="Book Antiqua" w:cs="Calibri"/>
          <w:color w:val="000000"/>
          <w:sz w:val="20"/>
          <w:szCs w:val="20"/>
          <w:lang w:eastAsia="es-CR"/>
        </w:rPr>
      </w:pPr>
    </w:p>
    <w:p w14:paraId="369A5BA5" w14:textId="2502B6DF" w:rsidR="00F17F06" w:rsidRDefault="00F17F06" w:rsidP="00F17F06">
      <w:pPr>
        <w:spacing w:line="276" w:lineRule="auto"/>
        <w:jc w:val="both"/>
        <w:rPr>
          <w:rFonts w:ascii="Book Antiqua" w:hAnsi="Book Antiqua" w:cs="Arial"/>
        </w:rPr>
      </w:pPr>
      <w:r w:rsidRPr="00BF7F5F">
        <w:rPr>
          <w:rFonts w:ascii="Book Antiqua" w:hAnsi="Book Antiqua" w:cs="Arial"/>
        </w:rPr>
        <w:t>Debe considerarse que en el 2019, existieron una serie de Tribunales que contaron con planes de trabajo, los cuales generaron una producción de 353 asuntos, los cuales dejaron de ser prorrogados a partir de abril de 2020, debe indicarse que aproximadamente un 20% de esa producción equivalía a medidas alternas que quedaban con un plazo de cumplimiento, por lo cual se esperaba que se estuvieran finalizando 282 asuntos, si esa misma producción se sumara al 2021</w:t>
      </w:r>
      <w:r w:rsidR="00323F64" w:rsidRPr="00BF7F5F">
        <w:rPr>
          <w:rFonts w:ascii="Book Antiqua" w:hAnsi="Book Antiqua" w:cs="Arial"/>
        </w:rPr>
        <w:t>, el número crecería a 1461, prácticamente el mismo valor que se tenía en el 2019.</w:t>
      </w:r>
      <w:r w:rsidRPr="00BF7F5F">
        <w:rPr>
          <w:rFonts w:ascii="Book Antiqua" w:hAnsi="Book Antiqua" w:cs="Arial"/>
        </w:rPr>
        <w:t xml:space="preserve"> </w:t>
      </w:r>
      <w:r w:rsidR="00323F64" w:rsidRPr="00BF7F5F">
        <w:rPr>
          <w:rFonts w:ascii="Book Antiqua" w:hAnsi="Book Antiqua" w:cs="Arial"/>
        </w:rPr>
        <w:t>A continuación de visualiza un desglose del apoyo que recibieron los diferentes Tribunales durante el 2019:</w:t>
      </w:r>
    </w:p>
    <w:p w14:paraId="26597709" w14:textId="51386B09" w:rsidR="00F17F06" w:rsidRDefault="00F17F06" w:rsidP="00F17F06">
      <w:pPr>
        <w:spacing w:line="276" w:lineRule="auto"/>
        <w:jc w:val="both"/>
        <w:rPr>
          <w:rFonts w:ascii="Book Antiqua" w:hAnsi="Book Antiqua" w:cs="Arial"/>
        </w:rPr>
      </w:pPr>
    </w:p>
    <w:tbl>
      <w:tblPr>
        <w:tblW w:w="6320" w:type="dxa"/>
        <w:jc w:val="center"/>
        <w:tblCellMar>
          <w:left w:w="70" w:type="dxa"/>
          <w:right w:w="70" w:type="dxa"/>
        </w:tblCellMar>
        <w:tblLook w:val="04A0" w:firstRow="1" w:lastRow="0" w:firstColumn="1" w:lastColumn="0" w:noHBand="0" w:noVBand="1"/>
      </w:tblPr>
      <w:tblGrid>
        <w:gridCol w:w="1800"/>
        <w:gridCol w:w="3280"/>
        <w:gridCol w:w="1240"/>
      </w:tblGrid>
      <w:tr w:rsidR="00F17F06" w:rsidRPr="00F17F06" w14:paraId="3F8A76CA" w14:textId="77777777" w:rsidTr="00323F64">
        <w:trPr>
          <w:trHeight w:val="288"/>
          <w:jc w:val="center"/>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037F52" w14:textId="77777777" w:rsidR="00F17F06" w:rsidRPr="00F17F06" w:rsidRDefault="00F17F06" w:rsidP="00F17F06">
            <w:pPr>
              <w:jc w:val="center"/>
              <w:rPr>
                <w:rFonts w:ascii="Book Antiqua" w:hAnsi="Book Antiqua" w:cs="Calibri"/>
                <w:color w:val="000000"/>
                <w:sz w:val="20"/>
                <w:szCs w:val="20"/>
                <w:lang w:eastAsia="es-CR"/>
              </w:rPr>
            </w:pPr>
            <w:r w:rsidRPr="00F17F06">
              <w:rPr>
                <w:rFonts w:ascii="Book Antiqua" w:hAnsi="Book Antiqua" w:cs="Calibri"/>
                <w:color w:val="000000"/>
                <w:sz w:val="20"/>
                <w:szCs w:val="20"/>
                <w:lang w:eastAsia="es-CR"/>
              </w:rPr>
              <w:t>Despacho</w:t>
            </w:r>
          </w:p>
        </w:tc>
        <w:tc>
          <w:tcPr>
            <w:tcW w:w="3280" w:type="dxa"/>
            <w:tcBorders>
              <w:top w:val="single" w:sz="4" w:space="0" w:color="auto"/>
              <w:left w:val="nil"/>
              <w:bottom w:val="single" w:sz="4" w:space="0" w:color="auto"/>
              <w:right w:val="single" w:sz="4" w:space="0" w:color="auto"/>
            </w:tcBorders>
            <w:shd w:val="clear" w:color="auto" w:fill="auto"/>
            <w:vAlign w:val="center"/>
            <w:hideMark/>
          </w:tcPr>
          <w:p w14:paraId="413831B9" w14:textId="77777777" w:rsidR="00F17F06" w:rsidRPr="00F17F06" w:rsidRDefault="00F17F06" w:rsidP="00F17F06">
            <w:pPr>
              <w:jc w:val="center"/>
              <w:rPr>
                <w:rFonts w:ascii="Book Antiqua" w:hAnsi="Book Antiqua" w:cs="Calibri"/>
                <w:color w:val="000000"/>
                <w:sz w:val="20"/>
                <w:szCs w:val="20"/>
                <w:lang w:eastAsia="es-CR"/>
              </w:rPr>
            </w:pPr>
            <w:r w:rsidRPr="00F17F06">
              <w:rPr>
                <w:rFonts w:ascii="Book Antiqua" w:hAnsi="Book Antiqua" w:cs="Calibri"/>
                <w:color w:val="000000"/>
                <w:sz w:val="20"/>
                <w:szCs w:val="20"/>
                <w:lang w:eastAsia="es-CR"/>
              </w:rPr>
              <w:t>Recurso extra</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23D8643E" w14:textId="77777777" w:rsidR="00F17F06" w:rsidRPr="00F17F06" w:rsidRDefault="00F17F06" w:rsidP="00F17F06">
            <w:pPr>
              <w:jc w:val="center"/>
              <w:rPr>
                <w:rFonts w:ascii="Book Antiqua" w:hAnsi="Book Antiqua" w:cs="Calibri"/>
                <w:color w:val="000000"/>
                <w:sz w:val="20"/>
                <w:szCs w:val="20"/>
                <w:lang w:eastAsia="es-CR"/>
              </w:rPr>
            </w:pPr>
            <w:r w:rsidRPr="00F17F06">
              <w:rPr>
                <w:rFonts w:ascii="Book Antiqua" w:hAnsi="Book Antiqua" w:cs="Calibri"/>
                <w:color w:val="000000"/>
                <w:sz w:val="20"/>
                <w:szCs w:val="20"/>
                <w:lang w:eastAsia="es-CR"/>
              </w:rPr>
              <w:t>Parámetro</w:t>
            </w:r>
          </w:p>
        </w:tc>
      </w:tr>
      <w:tr w:rsidR="00F17F06" w:rsidRPr="00F17F06" w14:paraId="1DBC52E1" w14:textId="77777777" w:rsidTr="00323F64">
        <w:trPr>
          <w:trHeight w:val="288"/>
          <w:jc w:val="center"/>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3DFBFC2C" w14:textId="77777777" w:rsidR="00F17F06" w:rsidRPr="00F17F06" w:rsidRDefault="00F17F06" w:rsidP="00F17F06">
            <w:pPr>
              <w:jc w:val="center"/>
              <w:rPr>
                <w:rFonts w:ascii="Book Antiqua" w:hAnsi="Book Antiqua" w:cs="Calibri"/>
                <w:color w:val="000000"/>
                <w:sz w:val="20"/>
                <w:szCs w:val="20"/>
                <w:lang w:eastAsia="es-CR"/>
              </w:rPr>
            </w:pPr>
            <w:r w:rsidRPr="00F17F06">
              <w:rPr>
                <w:rFonts w:ascii="Book Antiqua" w:hAnsi="Book Antiqua" w:cs="Calibri"/>
                <w:color w:val="000000"/>
                <w:sz w:val="20"/>
                <w:szCs w:val="20"/>
                <w:lang w:eastAsia="es-CR"/>
              </w:rPr>
              <w:t>Puntarenas</w:t>
            </w:r>
          </w:p>
        </w:tc>
        <w:tc>
          <w:tcPr>
            <w:tcW w:w="3280" w:type="dxa"/>
            <w:tcBorders>
              <w:top w:val="nil"/>
              <w:left w:val="nil"/>
              <w:bottom w:val="single" w:sz="4" w:space="0" w:color="auto"/>
              <w:right w:val="single" w:sz="4" w:space="0" w:color="auto"/>
            </w:tcBorders>
            <w:shd w:val="clear" w:color="auto" w:fill="auto"/>
            <w:vAlign w:val="center"/>
            <w:hideMark/>
          </w:tcPr>
          <w:p w14:paraId="07060731" w14:textId="77777777" w:rsidR="00F17F06" w:rsidRPr="00F17F06" w:rsidRDefault="00F17F06" w:rsidP="00F17F06">
            <w:pPr>
              <w:jc w:val="center"/>
              <w:rPr>
                <w:rFonts w:ascii="Book Antiqua" w:hAnsi="Book Antiqua" w:cs="Calibri"/>
                <w:color w:val="000000"/>
                <w:sz w:val="20"/>
                <w:szCs w:val="20"/>
                <w:lang w:eastAsia="es-CR"/>
              </w:rPr>
            </w:pPr>
            <w:r w:rsidRPr="00F17F06">
              <w:rPr>
                <w:rFonts w:ascii="Book Antiqua" w:hAnsi="Book Antiqua" w:cs="Calibri"/>
                <w:color w:val="000000"/>
                <w:sz w:val="20"/>
                <w:szCs w:val="20"/>
                <w:lang w:eastAsia="es-CR"/>
              </w:rPr>
              <w:t>1 sección Colegiada</w:t>
            </w:r>
          </w:p>
        </w:tc>
        <w:tc>
          <w:tcPr>
            <w:tcW w:w="1240" w:type="dxa"/>
            <w:tcBorders>
              <w:top w:val="nil"/>
              <w:left w:val="nil"/>
              <w:bottom w:val="single" w:sz="4" w:space="0" w:color="auto"/>
              <w:right w:val="single" w:sz="4" w:space="0" w:color="auto"/>
            </w:tcBorders>
            <w:shd w:val="clear" w:color="auto" w:fill="auto"/>
            <w:vAlign w:val="center"/>
            <w:hideMark/>
          </w:tcPr>
          <w:p w14:paraId="0D4EA929" w14:textId="77777777" w:rsidR="00F17F06" w:rsidRPr="00F17F06" w:rsidRDefault="00F17F06" w:rsidP="00F17F06">
            <w:pPr>
              <w:jc w:val="center"/>
              <w:rPr>
                <w:rFonts w:ascii="Book Antiqua" w:hAnsi="Book Antiqua" w:cs="Calibri"/>
                <w:color w:val="000000"/>
                <w:sz w:val="20"/>
                <w:szCs w:val="20"/>
                <w:lang w:eastAsia="es-CR"/>
              </w:rPr>
            </w:pPr>
            <w:r w:rsidRPr="00F17F06">
              <w:rPr>
                <w:rFonts w:ascii="Book Antiqua" w:hAnsi="Book Antiqua" w:cs="Calibri"/>
                <w:color w:val="000000"/>
                <w:sz w:val="20"/>
                <w:szCs w:val="20"/>
                <w:lang w:eastAsia="es-CR"/>
              </w:rPr>
              <w:t>15</w:t>
            </w:r>
          </w:p>
        </w:tc>
      </w:tr>
      <w:tr w:rsidR="00F17F06" w:rsidRPr="00F17F06" w14:paraId="5565153B" w14:textId="77777777" w:rsidTr="00323F64">
        <w:trPr>
          <w:trHeight w:val="288"/>
          <w:jc w:val="center"/>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5CC43211" w14:textId="77777777" w:rsidR="00F17F06" w:rsidRPr="00F17F06" w:rsidRDefault="00F17F06" w:rsidP="00F17F06">
            <w:pPr>
              <w:jc w:val="center"/>
              <w:rPr>
                <w:rFonts w:ascii="Book Antiqua" w:hAnsi="Book Antiqua" w:cs="Calibri"/>
                <w:color w:val="000000"/>
                <w:sz w:val="20"/>
                <w:szCs w:val="20"/>
                <w:lang w:eastAsia="es-CR"/>
              </w:rPr>
            </w:pPr>
            <w:r w:rsidRPr="00F17F06">
              <w:rPr>
                <w:rFonts w:ascii="Book Antiqua" w:hAnsi="Book Antiqua" w:cs="Calibri"/>
                <w:color w:val="000000"/>
                <w:sz w:val="20"/>
                <w:szCs w:val="20"/>
                <w:lang w:eastAsia="es-CR"/>
              </w:rPr>
              <w:t>Heredia</w:t>
            </w:r>
          </w:p>
        </w:tc>
        <w:tc>
          <w:tcPr>
            <w:tcW w:w="3280" w:type="dxa"/>
            <w:tcBorders>
              <w:top w:val="nil"/>
              <w:left w:val="nil"/>
              <w:bottom w:val="single" w:sz="4" w:space="0" w:color="auto"/>
              <w:right w:val="single" w:sz="4" w:space="0" w:color="auto"/>
            </w:tcBorders>
            <w:shd w:val="clear" w:color="auto" w:fill="auto"/>
            <w:vAlign w:val="center"/>
            <w:hideMark/>
          </w:tcPr>
          <w:p w14:paraId="6DC19615" w14:textId="77777777" w:rsidR="00F17F06" w:rsidRPr="00F17F06" w:rsidRDefault="00F17F06" w:rsidP="00F17F06">
            <w:pPr>
              <w:jc w:val="center"/>
              <w:rPr>
                <w:rFonts w:ascii="Book Antiqua" w:hAnsi="Book Antiqua" w:cs="Calibri"/>
                <w:color w:val="000000"/>
                <w:sz w:val="20"/>
                <w:szCs w:val="20"/>
                <w:lang w:eastAsia="es-CR"/>
              </w:rPr>
            </w:pPr>
            <w:r w:rsidRPr="00F17F06">
              <w:rPr>
                <w:rFonts w:ascii="Book Antiqua" w:hAnsi="Book Antiqua" w:cs="Calibri"/>
                <w:color w:val="000000"/>
                <w:sz w:val="20"/>
                <w:szCs w:val="20"/>
                <w:lang w:eastAsia="es-CR"/>
              </w:rPr>
              <w:t>2 Jueces unipersonales</w:t>
            </w:r>
          </w:p>
        </w:tc>
        <w:tc>
          <w:tcPr>
            <w:tcW w:w="1240" w:type="dxa"/>
            <w:tcBorders>
              <w:top w:val="nil"/>
              <w:left w:val="nil"/>
              <w:bottom w:val="single" w:sz="4" w:space="0" w:color="auto"/>
              <w:right w:val="single" w:sz="4" w:space="0" w:color="auto"/>
            </w:tcBorders>
            <w:shd w:val="clear" w:color="auto" w:fill="auto"/>
            <w:vAlign w:val="center"/>
            <w:hideMark/>
          </w:tcPr>
          <w:p w14:paraId="36A790A7" w14:textId="77777777" w:rsidR="00F17F06" w:rsidRPr="00F17F06" w:rsidRDefault="00F17F06" w:rsidP="00F17F06">
            <w:pPr>
              <w:jc w:val="center"/>
              <w:rPr>
                <w:rFonts w:ascii="Book Antiqua" w:hAnsi="Book Antiqua" w:cs="Calibri"/>
                <w:color w:val="000000"/>
                <w:sz w:val="20"/>
                <w:szCs w:val="20"/>
                <w:lang w:eastAsia="es-CR"/>
              </w:rPr>
            </w:pPr>
            <w:r w:rsidRPr="00F17F06">
              <w:rPr>
                <w:rFonts w:ascii="Book Antiqua" w:hAnsi="Book Antiqua" w:cs="Calibri"/>
                <w:color w:val="000000"/>
                <w:sz w:val="20"/>
                <w:szCs w:val="20"/>
                <w:lang w:eastAsia="es-CR"/>
              </w:rPr>
              <w:t>40</w:t>
            </w:r>
          </w:p>
        </w:tc>
      </w:tr>
      <w:tr w:rsidR="00F17F06" w:rsidRPr="00F17F06" w14:paraId="2302FC85" w14:textId="77777777" w:rsidTr="00323F64">
        <w:trPr>
          <w:trHeight w:val="288"/>
          <w:jc w:val="center"/>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21EC6BFA" w14:textId="77777777" w:rsidR="00F17F06" w:rsidRPr="00F17F06" w:rsidRDefault="00F17F06" w:rsidP="00F17F06">
            <w:pPr>
              <w:jc w:val="center"/>
              <w:rPr>
                <w:rFonts w:ascii="Book Antiqua" w:hAnsi="Book Antiqua" w:cs="Calibri"/>
                <w:color w:val="000000"/>
                <w:sz w:val="20"/>
                <w:szCs w:val="20"/>
                <w:lang w:eastAsia="es-CR"/>
              </w:rPr>
            </w:pPr>
            <w:r w:rsidRPr="00F17F06">
              <w:rPr>
                <w:rFonts w:ascii="Book Antiqua" w:hAnsi="Book Antiqua" w:cs="Calibri"/>
                <w:color w:val="000000"/>
                <w:sz w:val="20"/>
                <w:szCs w:val="20"/>
                <w:lang w:eastAsia="es-CR"/>
              </w:rPr>
              <w:t>Cartago</w:t>
            </w:r>
          </w:p>
        </w:tc>
        <w:tc>
          <w:tcPr>
            <w:tcW w:w="3280" w:type="dxa"/>
            <w:tcBorders>
              <w:top w:val="nil"/>
              <w:left w:val="nil"/>
              <w:bottom w:val="single" w:sz="4" w:space="0" w:color="auto"/>
              <w:right w:val="single" w:sz="4" w:space="0" w:color="auto"/>
            </w:tcBorders>
            <w:shd w:val="clear" w:color="auto" w:fill="auto"/>
            <w:vAlign w:val="center"/>
            <w:hideMark/>
          </w:tcPr>
          <w:p w14:paraId="05F70CBF" w14:textId="77777777" w:rsidR="00F17F06" w:rsidRPr="00F17F06" w:rsidRDefault="00F17F06" w:rsidP="00F17F06">
            <w:pPr>
              <w:jc w:val="center"/>
              <w:rPr>
                <w:rFonts w:ascii="Book Antiqua" w:hAnsi="Book Antiqua" w:cs="Calibri"/>
                <w:color w:val="000000"/>
                <w:sz w:val="20"/>
                <w:szCs w:val="20"/>
                <w:lang w:eastAsia="es-CR"/>
              </w:rPr>
            </w:pPr>
            <w:r w:rsidRPr="00F17F06">
              <w:rPr>
                <w:rFonts w:ascii="Book Antiqua" w:hAnsi="Book Antiqua" w:cs="Calibri"/>
                <w:color w:val="000000"/>
                <w:sz w:val="20"/>
                <w:szCs w:val="20"/>
                <w:lang w:eastAsia="es-CR"/>
              </w:rPr>
              <w:t>1 Sección Colegiada</w:t>
            </w:r>
          </w:p>
        </w:tc>
        <w:tc>
          <w:tcPr>
            <w:tcW w:w="1240" w:type="dxa"/>
            <w:tcBorders>
              <w:top w:val="nil"/>
              <w:left w:val="nil"/>
              <w:bottom w:val="single" w:sz="4" w:space="0" w:color="auto"/>
              <w:right w:val="single" w:sz="4" w:space="0" w:color="auto"/>
            </w:tcBorders>
            <w:shd w:val="clear" w:color="auto" w:fill="auto"/>
            <w:vAlign w:val="center"/>
            <w:hideMark/>
          </w:tcPr>
          <w:p w14:paraId="71B0B454" w14:textId="77777777" w:rsidR="00F17F06" w:rsidRPr="00F17F06" w:rsidRDefault="00F17F06" w:rsidP="00F17F06">
            <w:pPr>
              <w:jc w:val="center"/>
              <w:rPr>
                <w:rFonts w:ascii="Book Antiqua" w:hAnsi="Book Antiqua" w:cs="Calibri"/>
                <w:color w:val="000000"/>
                <w:sz w:val="20"/>
                <w:szCs w:val="20"/>
                <w:lang w:eastAsia="es-CR"/>
              </w:rPr>
            </w:pPr>
            <w:r w:rsidRPr="00F17F06">
              <w:rPr>
                <w:rFonts w:ascii="Book Antiqua" w:hAnsi="Book Antiqua" w:cs="Calibri"/>
                <w:color w:val="000000"/>
                <w:sz w:val="20"/>
                <w:szCs w:val="20"/>
                <w:lang w:eastAsia="es-CR"/>
              </w:rPr>
              <w:t>15</w:t>
            </w:r>
          </w:p>
        </w:tc>
      </w:tr>
      <w:tr w:rsidR="00F17F06" w:rsidRPr="00F17F06" w14:paraId="7E0387F9" w14:textId="77777777" w:rsidTr="00323F64">
        <w:trPr>
          <w:trHeight w:val="288"/>
          <w:jc w:val="center"/>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449E337D" w14:textId="77777777" w:rsidR="00F17F06" w:rsidRPr="00F17F06" w:rsidRDefault="00F17F06" w:rsidP="00F17F06">
            <w:pPr>
              <w:jc w:val="center"/>
              <w:rPr>
                <w:rFonts w:ascii="Book Antiqua" w:hAnsi="Book Antiqua" w:cs="Calibri"/>
                <w:color w:val="000000"/>
                <w:sz w:val="20"/>
                <w:szCs w:val="20"/>
                <w:lang w:eastAsia="es-CR"/>
              </w:rPr>
            </w:pPr>
            <w:r w:rsidRPr="00F17F06">
              <w:rPr>
                <w:rFonts w:ascii="Book Antiqua" w:hAnsi="Book Antiqua" w:cs="Calibri"/>
                <w:color w:val="000000"/>
                <w:sz w:val="20"/>
                <w:szCs w:val="20"/>
                <w:lang w:eastAsia="es-CR"/>
              </w:rPr>
              <w:t>Goicoechea</w:t>
            </w:r>
          </w:p>
        </w:tc>
        <w:tc>
          <w:tcPr>
            <w:tcW w:w="3280" w:type="dxa"/>
            <w:tcBorders>
              <w:top w:val="nil"/>
              <w:left w:val="nil"/>
              <w:bottom w:val="single" w:sz="4" w:space="0" w:color="auto"/>
              <w:right w:val="single" w:sz="4" w:space="0" w:color="auto"/>
            </w:tcBorders>
            <w:shd w:val="clear" w:color="auto" w:fill="auto"/>
            <w:vAlign w:val="center"/>
            <w:hideMark/>
          </w:tcPr>
          <w:p w14:paraId="042A0C98" w14:textId="77777777" w:rsidR="00F17F06" w:rsidRPr="00F17F06" w:rsidRDefault="00F17F06" w:rsidP="00F17F06">
            <w:pPr>
              <w:jc w:val="center"/>
              <w:rPr>
                <w:rFonts w:ascii="Book Antiqua" w:hAnsi="Book Antiqua" w:cs="Calibri"/>
                <w:color w:val="000000"/>
                <w:sz w:val="20"/>
                <w:szCs w:val="20"/>
                <w:lang w:eastAsia="es-CR"/>
              </w:rPr>
            </w:pPr>
            <w:r w:rsidRPr="00F17F06">
              <w:rPr>
                <w:rFonts w:ascii="Book Antiqua" w:hAnsi="Book Antiqua" w:cs="Calibri"/>
                <w:color w:val="000000"/>
                <w:sz w:val="20"/>
                <w:szCs w:val="20"/>
                <w:lang w:eastAsia="es-CR"/>
              </w:rPr>
              <w:t>2 Jueces unipersonales</w:t>
            </w:r>
          </w:p>
        </w:tc>
        <w:tc>
          <w:tcPr>
            <w:tcW w:w="1240" w:type="dxa"/>
            <w:tcBorders>
              <w:top w:val="nil"/>
              <w:left w:val="nil"/>
              <w:bottom w:val="single" w:sz="4" w:space="0" w:color="auto"/>
              <w:right w:val="single" w:sz="4" w:space="0" w:color="auto"/>
            </w:tcBorders>
            <w:shd w:val="clear" w:color="auto" w:fill="auto"/>
            <w:vAlign w:val="center"/>
            <w:hideMark/>
          </w:tcPr>
          <w:p w14:paraId="5C31CFF3" w14:textId="77777777" w:rsidR="00F17F06" w:rsidRPr="00F17F06" w:rsidRDefault="00F17F06" w:rsidP="00F17F06">
            <w:pPr>
              <w:jc w:val="center"/>
              <w:rPr>
                <w:rFonts w:ascii="Book Antiqua" w:hAnsi="Book Antiqua" w:cs="Calibri"/>
                <w:color w:val="000000"/>
                <w:sz w:val="20"/>
                <w:szCs w:val="20"/>
                <w:lang w:eastAsia="es-CR"/>
              </w:rPr>
            </w:pPr>
            <w:r w:rsidRPr="00F17F06">
              <w:rPr>
                <w:rFonts w:ascii="Book Antiqua" w:hAnsi="Book Antiqua" w:cs="Calibri"/>
                <w:color w:val="000000"/>
                <w:sz w:val="20"/>
                <w:szCs w:val="20"/>
                <w:lang w:eastAsia="es-CR"/>
              </w:rPr>
              <w:t>40</w:t>
            </w:r>
          </w:p>
        </w:tc>
      </w:tr>
      <w:tr w:rsidR="00F17F06" w:rsidRPr="00F17F06" w14:paraId="6A79541A" w14:textId="77777777" w:rsidTr="00323F64">
        <w:trPr>
          <w:trHeight w:val="288"/>
          <w:jc w:val="center"/>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68844E78" w14:textId="77777777" w:rsidR="00F17F06" w:rsidRPr="00F17F06" w:rsidRDefault="00F17F06" w:rsidP="00F17F06">
            <w:pPr>
              <w:jc w:val="center"/>
              <w:rPr>
                <w:rFonts w:ascii="Book Antiqua" w:hAnsi="Book Antiqua" w:cs="Calibri"/>
                <w:color w:val="000000"/>
                <w:sz w:val="20"/>
                <w:szCs w:val="20"/>
                <w:lang w:eastAsia="es-CR"/>
              </w:rPr>
            </w:pPr>
            <w:r w:rsidRPr="00F17F06">
              <w:rPr>
                <w:rFonts w:ascii="Book Antiqua" w:hAnsi="Book Antiqua" w:cs="Calibri"/>
                <w:color w:val="000000"/>
                <w:sz w:val="20"/>
                <w:szCs w:val="20"/>
                <w:lang w:eastAsia="es-CR"/>
              </w:rPr>
              <w:t>Limón</w:t>
            </w:r>
          </w:p>
        </w:tc>
        <w:tc>
          <w:tcPr>
            <w:tcW w:w="3280" w:type="dxa"/>
            <w:tcBorders>
              <w:top w:val="nil"/>
              <w:left w:val="nil"/>
              <w:bottom w:val="single" w:sz="4" w:space="0" w:color="auto"/>
              <w:right w:val="single" w:sz="4" w:space="0" w:color="auto"/>
            </w:tcBorders>
            <w:shd w:val="clear" w:color="auto" w:fill="auto"/>
            <w:vAlign w:val="center"/>
            <w:hideMark/>
          </w:tcPr>
          <w:p w14:paraId="36C34AE7" w14:textId="77777777" w:rsidR="00F17F06" w:rsidRPr="00F17F06" w:rsidRDefault="00F17F06" w:rsidP="00F17F06">
            <w:pPr>
              <w:jc w:val="center"/>
              <w:rPr>
                <w:rFonts w:ascii="Book Antiqua" w:hAnsi="Book Antiqua" w:cs="Calibri"/>
                <w:color w:val="000000"/>
                <w:sz w:val="20"/>
                <w:szCs w:val="20"/>
                <w:lang w:eastAsia="es-CR"/>
              </w:rPr>
            </w:pPr>
            <w:r w:rsidRPr="00F17F06">
              <w:rPr>
                <w:rFonts w:ascii="Book Antiqua" w:hAnsi="Book Antiqua" w:cs="Calibri"/>
                <w:color w:val="000000"/>
                <w:sz w:val="20"/>
                <w:szCs w:val="20"/>
                <w:lang w:eastAsia="es-CR"/>
              </w:rPr>
              <w:t>3 Jueces Unipersonales</w:t>
            </w:r>
          </w:p>
        </w:tc>
        <w:tc>
          <w:tcPr>
            <w:tcW w:w="1240" w:type="dxa"/>
            <w:tcBorders>
              <w:top w:val="nil"/>
              <w:left w:val="nil"/>
              <w:bottom w:val="single" w:sz="4" w:space="0" w:color="auto"/>
              <w:right w:val="single" w:sz="4" w:space="0" w:color="auto"/>
            </w:tcBorders>
            <w:shd w:val="clear" w:color="auto" w:fill="auto"/>
            <w:vAlign w:val="center"/>
            <w:hideMark/>
          </w:tcPr>
          <w:p w14:paraId="7D1D5CAD" w14:textId="77777777" w:rsidR="00F17F06" w:rsidRPr="00F17F06" w:rsidRDefault="00F17F06" w:rsidP="00F17F06">
            <w:pPr>
              <w:jc w:val="center"/>
              <w:rPr>
                <w:rFonts w:ascii="Book Antiqua" w:hAnsi="Book Antiqua" w:cs="Calibri"/>
                <w:color w:val="000000"/>
                <w:sz w:val="20"/>
                <w:szCs w:val="20"/>
                <w:lang w:eastAsia="es-CR"/>
              </w:rPr>
            </w:pPr>
            <w:r w:rsidRPr="00F17F06">
              <w:rPr>
                <w:rFonts w:ascii="Book Antiqua" w:hAnsi="Book Antiqua" w:cs="Calibri"/>
                <w:color w:val="000000"/>
                <w:sz w:val="20"/>
                <w:szCs w:val="20"/>
                <w:lang w:eastAsia="es-CR"/>
              </w:rPr>
              <w:t>60</w:t>
            </w:r>
          </w:p>
        </w:tc>
      </w:tr>
      <w:tr w:rsidR="00F17F06" w:rsidRPr="00F17F06" w14:paraId="0E2F072A" w14:textId="77777777" w:rsidTr="00323F64">
        <w:trPr>
          <w:trHeight w:val="288"/>
          <w:jc w:val="center"/>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4B9C6201" w14:textId="77777777" w:rsidR="00F17F06" w:rsidRPr="00F17F06" w:rsidRDefault="00F17F06" w:rsidP="00F17F06">
            <w:pPr>
              <w:jc w:val="center"/>
              <w:rPr>
                <w:rFonts w:ascii="Book Antiqua" w:hAnsi="Book Antiqua" w:cs="Calibri"/>
                <w:color w:val="000000"/>
                <w:sz w:val="20"/>
                <w:szCs w:val="20"/>
                <w:lang w:eastAsia="es-CR"/>
              </w:rPr>
            </w:pPr>
            <w:r w:rsidRPr="00F17F06">
              <w:rPr>
                <w:rFonts w:ascii="Book Antiqua" w:hAnsi="Book Antiqua" w:cs="Calibri"/>
                <w:color w:val="000000"/>
                <w:sz w:val="20"/>
                <w:szCs w:val="20"/>
                <w:lang w:eastAsia="es-CR"/>
              </w:rPr>
              <w:t>Pavas</w:t>
            </w:r>
          </w:p>
        </w:tc>
        <w:tc>
          <w:tcPr>
            <w:tcW w:w="3280" w:type="dxa"/>
            <w:tcBorders>
              <w:top w:val="nil"/>
              <w:left w:val="nil"/>
              <w:bottom w:val="single" w:sz="4" w:space="0" w:color="auto"/>
              <w:right w:val="single" w:sz="4" w:space="0" w:color="auto"/>
            </w:tcBorders>
            <w:shd w:val="clear" w:color="auto" w:fill="auto"/>
            <w:vAlign w:val="center"/>
            <w:hideMark/>
          </w:tcPr>
          <w:p w14:paraId="4968A42B" w14:textId="77777777" w:rsidR="00F17F06" w:rsidRPr="00F17F06" w:rsidRDefault="00F17F06" w:rsidP="00F17F06">
            <w:pPr>
              <w:jc w:val="center"/>
              <w:rPr>
                <w:rFonts w:ascii="Book Antiqua" w:hAnsi="Book Antiqua" w:cs="Calibri"/>
                <w:color w:val="000000"/>
                <w:sz w:val="20"/>
                <w:szCs w:val="20"/>
                <w:lang w:eastAsia="es-CR"/>
              </w:rPr>
            </w:pPr>
            <w:r w:rsidRPr="00F17F06">
              <w:rPr>
                <w:rFonts w:ascii="Book Antiqua" w:hAnsi="Book Antiqua" w:cs="Calibri"/>
                <w:color w:val="000000"/>
                <w:sz w:val="20"/>
                <w:szCs w:val="20"/>
                <w:lang w:eastAsia="es-CR"/>
              </w:rPr>
              <w:t>2 secciones colegiadas</w:t>
            </w:r>
          </w:p>
        </w:tc>
        <w:tc>
          <w:tcPr>
            <w:tcW w:w="1240" w:type="dxa"/>
            <w:tcBorders>
              <w:top w:val="nil"/>
              <w:left w:val="nil"/>
              <w:bottom w:val="single" w:sz="4" w:space="0" w:color="auto"/>
              <w:right w:val="single" w:sz="4" w:space="0" w:color="auto"/>
            </w:tcBorders>
            <w:shd w:val="clear" w:color="auto" w:fill="auto"/>
            <w:vAlign w:val="center"/>
            <w:hideMark/>
          </w:tcPr>
          <w:p w14:paraId="4E6EDD5D" w14:textId="77777777" w:rsidR="00F17F06" w:rsidRPr="00F17F06" w:rsidRDefault="00F17F06" w:rsidP="00F17F06">
            <w:pPr>
              <w:jc w:val="center"/>
              <w:rPr>
                <w:rFonts w:ascii="Book Antiqua" w:hAnsi="Book Antiqua" w:cs="Calibri"/>
                <w:color w:val="000000"/>
                <w:sz w:val="20"/>
                <w:szCs w:val="20"/>
                <w:lang w:eastAsia="es-CR"/>
              </w:rPr>
            </w:pPr>
            <w:r w:rsidRPr="00F17F06">
              <w:rPr>
                <w:rFonts w:ascii="Book Antiqua" w:hAnsi="Book Antiqua" w:cs="Calibri"/>
                <w:color w:val="000000"/>
                <w:sz w:val="20"/>
                <w:szCs w:val="20"/>
                <w:lang w:eastAsia="es-CR"/>
              </w:rPr>
              <w:t>30</w:t>
            </w:r>
          </w:p>
        </w:tc>
      </w:tr>
      <w:tr w:rsidR="00F17F06" w:rsidRPr="00F17F06" w14:paraId="53202BDE" w14:textId="77777777" w:rsidTr="00323F64">
        <w:trPr>
          <w:trHeight w:val="288"/>
          <w:jc w:val="center"/>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3D328996" w14:textId="77777777" w:rsidR="00F17F06" w:rsidRPr="00F17F06" w:rsidRDefault="00F17F06" w:rsidP="00F17F06">
            <w:pPr>
              <w:jc w:val="center"/>
              <w:rPr>
                <w:rFonts w:ascii="Book Antiqua" w:hAnsi="Book Antiqua" w:cs="Calibri"/>
                <w:color w:val="000000"/>
                <w:sz w:val="20"/>
                <w:szCs w:val="20"/>
                <w:lang w:eastAsia="es-CR"/>
              </w:rPr>
            </w:pPr>
            <w:r w:rsidRPr="00F17F06">
              <w:rPr>
                <w:rFonts w:ascii="Book Antiqua" w:hAnsi="Book Antiqua" w:cs="Calibri"/>
                <w:color w:val="000000"/>
                <w:sz w:val="20"/>
                <w:szCs w:val="20"/>
                <w:lang w:eastAsia="es-CR"/>
              </w:rPr>
              <w:t>Nicoya</w:t>
            </w:r>
          </w:p>
        </w:tc>
        <w:tc>
          <w:tcPr>
            <w:tcW w:w="3280" w:type="dxa"/>
            <w:tcBorders>
              <w:top w:val="nil"/>
              <w:left w:val="nil"/>
              <w:bottom w:val="single" w:sz="4" w:space="0" w:color="auto"/>
              <w:right w:val="single" w:sz="4" w:space="0" w:color="auto"/>
            </w:tcBorders>
            <w:shd w:val="clear" w:color="auto" w:fill="auto"/>
            <w:vAlign w:val="center"/>
            <w:hideMark/>
          </w:tcPr>
          <w:p w14:paraId="56D5033A" w14:textId="77777777" w:rsidR="00F17F06" w:rsidRPr="00F17F06" w:rsidRDefault="00F17F06" w:rsidP="00F17F06">
            <w:pPr>
              <w:jc w:val="center"/>
              <w:rPr>
                <w:rFonts w:ascii="Book Antiqua" w:hAnsi="Book Antiqua" w:cs="Calibri"/>
                <w:color w:val="000000"/>
                <w:sz w:val="20"/>
                <w:szCs w:val="20"/>
                <w:lang w:eastAsia="es-CR"/>
              </w:rPr>
            </w:pPr>
            <w:r w:rsidRPr="00F17F06">
              <w:rPr>
                <w:rFonts w:ascii="Book Antiqua" w:hAnsi="Book Antiqua" w:cs="Calibri"/>
                <w:color w:val="000000"/>
                <w:sz w:val="20"/>
                <w:szCs w:val="20"/>
                <w:lang w:eastAsia="es-CR"/>
              </w:rPr>
              <w:t>1 Juez Unipersonal</w:t>
            </w:r>
          </w:p>
        </w:tc>
        <w:tc>
          <w:tcPr>
            <w:tcW w:w="1240" w:type="dxa"/>
            <w:tcBorders>
              <w:top w:val="nil"/>
              <w:left w:val="nil"/>
              <w:bottom w:val="single" w:sz="4" w:space="0" w:color="auto"/>
              <w:right w:val="single" w:sz="4" w:space="0" w:color="auto"/>
            </w:tcBorders>
            <w:shd w:val="clear" w:color="auto" w:fill="auto"/>
            <w:vAlign w:val="center"/>
            <w:hideMark/>
          </w:tcPr>
          <w:p w14:paraId="44E9A9B4" w14:textId="77777777" w:rsidR="00F17F06" w:rsidRPr="00F17F06" w:rsidRDefault="00F17F06" w:rsidP="00F17F06">
            <w:pPr>
              <w:jc w:val="center"/>
              <w:rPr>
                <w:rFonts w:ascii="Book Antiqua" w:hAnsi="Book Antiqua" w:cs="Calibri"/>
                <w:color w:val="000000"/>
                <w:sz w:val="20"/>
                <w:szCs w:val="20"/>
                <w:lang w:eastAsia="es-CR"/>
              </w:rPr>
            </w:pPr>
            <w:r w:rsidRPr="00F17F06">
              <w:rPr>
                <w:rFonts w:ascii="Book Antiqua" w:hAnsi="Book Antiqua" w:cs="Calibri"/>
                <w:color w:val="000000"/>
                <w:sz w:val="20"/>
                <w:szCs w:val="20"/>
                <w:lang w:eastAsia="es-CR"/>
              </w:rPr>
              <w:t>20</w:t>
            </w:r>
          </w:p>
        </w:tc>
      </w:tr>
      <w:tr w:rsidR="00F17F06" w:rsidRPr="00F17F06" w14:paraId="5B77240E" w14:textId="77777777" w:rsidTr="00323F64">
        <w:trPr>
          <w:trHeight w:val="552"/>
          <w:jc w:val="center"/>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143FB672" w14:textId="77777777" w:rsidR="00F17F06" w:rsidRPr="00F17F06" w:rsidRDefault="00F17F06" w:rsidP="00F17F06">
            <w:pPr>
              <w:jc w:val="center"/>
              <w:rPr>
                <w:rFonts w:ascii="Book Antiqua" w:hAnsi="Book Antiqua" w:cs="Calibri"/>
                <w:color w:val="000000"/>
                <w:sz w:val="20"/>
                <w:szCs w:val="20"/>
                <w:lang w:eastAsia="es-CR"/>
              </w:rPr>
            </w:pPr>
            <w:r w:rsidRPr="00F17F06">
              <w:rPr>
                <w:rFonts w:ascii="Book Antiqua" w:hAnsi="Book Antiqua" w:cs="Calibri"/>
                <w:color w:val="000000"/>
                <w:sz w:val="20"/>
                <w:szCs w:val="20"/>
                <w:lang w:eastAsia="es-CR"/>
              </w:rPr>
              <w:t>Liberia</w:t>
            </w:r>
          </w:p>
        </w:tc>
        <w:tc>
          <w:tcPr>
            <w:tcW w:w="3280" w:type="dxa"/>
            <w:tcBorders>
              <w:top w:val="nil"/>
              <w:left w:val="nil"/>
              <w:bottom w:val="single" w:sz="4" w:space="0" w:color="auto"/>
              <w:right w:val="single" w:sz="4" w:space="0" w:color="auto"/>
            </w:tcBorders>
            <w:shd w:val="clear" w:color="auto" w:fill="auto"/>
            <w:vAlign w:val="center"/>
            <w:hideMark/>
          </w:tcPr>
          <w:p w14:paraId="6B47023C" w14:textId="77777777" w:rsidR="00F17F06" w:rsidRPr="00F17F06" w:rsidRDefault="00F17F06" w:rsidP="00F17F06">
            <w:pPr>
              <w:jc w:val="center"/>
              <w:rPr>
                <w:rFonts w:ascii="Book Antiqua" w:hAnsi="Book Antiqua" w:cs="Calibri"/>
                <w:color w:val="000000"/>
                <w:sz w:val="20"/>
                <w:szCs w:val="20"/>
                <w:lang w:eastAsia="es-CR"/>
              </w:rPr>
            </w:pPr>
            <w:r w:rsidRPr="00F17F06">
              <w:rPr>
                <w:rFonts w:ascii="Book Antiqua" w:hAnsi="Book Antiqua" w:cs="Calibri"/>
                <w:color w:val="000000"/>
                <w:sz w:val="20"/>
                <w:szCs w:val="20"/>
                <w:lang w:eastAsia="es-CR"/>
              </w:rPr>
              <w:t>2 Jueces unipersonales (1 extra para completar sección colegiada)</w:t>
            </w:r>
          </w:p>
        </w:tc>
        <w:tc>
          <w:tcPr>
            <w:tcW w:w="1240" w:type="dxa"/>
            <w:tcBorders>
              <w:top w:val="nil"/>
              <w:left w:val="nil"/>
              <w:bottom w:val="single" w:sz="4" w:space="0" w:color="auto"/>
              <w:right w:val="single" w:sz="4" w:space="0" w:color="auto"/>
            </w:tcBorders>
            <w:shd w:val="clear" w:color="auto" w:fill="auto"/>
            <w:vAlign w:val="center"/>
            <w:hideMark/>
          </w:tcPr>
          <w:p w14:paraId="1E2DBB4C" w14:textId="77777777" w:rsidR="00F17F06" w:rsidRPr="00F17F06" w:rsidRDefault="00F17F06" w:rsidP="00F17F06">
            <w:pPr>
              <w:jc w:val="center"/>
              <w:rPr>
                <w:rFonts w:ascii="Book Antiqua" w:hAnsi="Book Antiqua" w:cs="Calibri"/>
                <w:color w:val="000000"/>
                <w:sz w:val="20"/>
                <w:szCs w:val="20"/>
                <w:lang w:eastAsia="es-CR"/>
              </w:rPr>
            </w:pPr>
            <w:r w:rsidRPr="00F17F06">
              <w:rPr>
                <w:rFonts w:ascii="Book Antiqua" w:hAnsi="Book Antiqua" w:cs="Calibri"/>
                <w:color w:val="000000"/>
                <w:sz w:val="20"/>
                <w:szCs w:val="20"/>
                <w:lang w:eastAsia="es-CR"/>
              </w:rPr>
              <w:t>40</w:t>
            </w:r>
          </w:p>
        </w:tc>
      </w:tr>
      <w:tr w:rsidR="00F17F06" w:rsidRPr="00F17F06" w14:paraId="6903A441" w14:textId="77777777" w:rsidTr="00323F64">
        <w:trPr>
          <w:trHeight w:val="288"/>
          <w:jc w:val="center"/>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04AF17F0" w14:textId="77777777" w:rsidR="00F17F06" w:rsidRPr="00F17F06" w:rsidRDefault="00F17F06" w:rsidP="00F17F06">
            <w:pPr>
              <w:jc w:val="center"/>
              <w:rPr>
                <w:rFonts w:ascii="Book Antiqua" w:hAnsi="Book Antiqua" w:cs="Calibri"/>
                <w:color w:val="000000"/>
                <w:sz w:val="20"/>
                <w:szCs w:val="20"/>
                <w:lang w:eastAsia="es-CR"/>
              </w:rPr>
            </w:pPr>
            <w:r w:rsidRPr="00F17F06">
              <w:rPr>
                <w:rFonts w:ascii="Book Antiqua" w:hAnsi="Book Antiqua" w:cs="Calibri"/>
                <w:color w:val="000000"/>
                <w:sz w:val="20"/>
                <w:szCs w:val="20"/>
                <w:lang w:eastAsia="es-CR"/>
              </w:rPr>
              <w:t>Guápiles</w:t>
            </w:r>
          </w:p>
        </w:tc>
        <w:tc>
          <w:tcPr>
            <w:tcW w:w="3280" w:type="dxa"/>
            <w:tcBorders>
              <w:top w:val="nil"/>
              <w:left w:val="nil"/>
              <w:bottom w:val="single" w:sz="4" w:space="0" w:color="auto"/>
              <w:right w:val="single" w:sz="4" w:space="0" w:color="auto"/>
            </w:tcBorders>
            <w:shd w:val="clear" w:color="auto" w:fill="auto"/>
            <w:vAlign w:val="center"/>
            <w:hideMark/>
          </w:tcPr>
          <w:p w14:paraId="4C360669" w14:textId="77777777" w:rsidR="00F17F06" w:rsidRPr="00F17F06" w:rsidRDefault="00F17F06" w:rsidP="00F17F06">
            <w:pPr>
              <w:jc w:val="center"/>
              <w:rPr>
                <w:rFonts w:ascii="Book Antiqua" w:hAnsi="Book Antiqua" w:cs="Calibri"/>
                <w:color w:val="000000"/>
                <w:sz w:val="20"/>
                <w:szCs w:val="20"/>
                <w:lang w:eastAsia="es-CR"/>
              </w:rPr>
            </w:pPr>
            <w:r w:rsidRPr="00F17F06">
              <w:rPr>
                <w:rFonts w:ascii="Book Antiqua" w:hAnsi="Book Antiqua" w:cs="Calibri"/>
                <w:color w:val="000000"/>
                <w:sz w:val="20"/>
                <w:szCs w:val="20"/>
                <w:lang w:eastAsia="es-CR"/>
              </w:rPr>
              <w:t>1 Juez Unipersonal</w:t>
            </w:r>
          </w:p>
        </w:tc>
        <w:tc>
          <w:tcPr>
            <w:tcW w:w="1240" w:type="dxa"/>
            <w:tcBorders>
              <w:top w:val="nil"/>
              <w:left w:val="nil"/>
              <w:bottom w:val="single" w:sz="4" w:space="0" w:color="auto"/>
              <w:right w:val="single" w:sz="4" w:space="0" w:color="auto"/>
            </w:tcBorders>
            <w:shd w:val="clear" w:color="auto" w:fill="auto"/>
            <w:vAlign w:val="center"/>
            <w:hideMark/>
          </w:tcPr>
          <w:p w14:paraId="4FA0DB23" w14:textId="77777777" w:rsidR="00F17F06" w:rsidRPr="00F17F06" w:rsidRDefault="00F17F06" w:rsidP="00F17F06">
            <w:pPr>
              <w:jc w:val="center"/>
              <w:rPr>
                <w:rFonts w:ascii="Book Antiqua" w:hAnsi="Book Antiqua" w:cs="Calibri"/>
                <w:color w:val="000000"/>
                <w:sz w:val="20"/>
                <w:szCs w:val="20"/>
                <w:lang w:eastAsia="es-CR"/>
              </w:rPr>
            </w:pPr>
            <w:r w:rsidRPr="00F17F06">
              <w:rPr>
                <w:rFonts w:ascii="Book Antiqua" w:hAnsi="Book Antiqua" w:cs="Calibri"/>
                <w:color w:val="000000"/>
                <w:sz w:val="20"/>
                <w:szCs w:val="20"/>
                <w:lang w:eastAsia="es-CR"/>
              </w:rPr>
              <w:t>20</w:t>
            </w:r>
          </w:p>
        </w:tc>
      </w:tr>
      <w:tr w:rsidR="00F17F06" w:rsidRPr="00F17F06" w14:paraId="39D53764" w14:textId="77777777" w:rsidTr="00323F64">
        <w:trPr>
          <w:trHeight w:val="288"/>
          <w:jc w:val="center"/>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4BC149F3" w14:textId="77777777" w:rsidR="00F17F06" w:rsidRPr="00F17F06" w:rsidRDefault="00F17F06" w:rsidP="00F17F06">
            <w:pPr>
              <w:jc w:val="center"/>
              <w:rPr>
                <w:rFonts w:ascii="Book Antiqua" w:hAnsi="Book Antiqua" w:cs="Calibri"/>
                <w:color w:val="000000"/>
                <w:sz w:val="20"/>
                <w:szCs w:val="20"/>
                <w:lang w:eastAsia="es-CR"/>
              </w:rPr>
            </w:pPr>
            <w:r w:rsidRPr="00F17F06">
              <w:rPr>
                <w:rFonts w:ascii="Book Antiqua" w:hAnsi="Book Antiqua" w:cs="Calibri"/>
                <w:color w:val="000000"/>
                <w:sz w:val="20"/>
                <w:szCs w:val="20"/>
                <w:lang w:eastAsia="es-CR"/>
              </w:rPr>
              <w:t>Corredores</w:t>
            </w:r>
          </w:p>
        </w:tc>
        <w:tc>
          <w:tcPr>
            <w:tcW w:w="3280" w:type="dxa"/>
            <w:tcBorders>
              <w:top w:val="nil"/>
              <w:left w:val="nil"/>
              <w:bottom w:val="single" w:sz="4" w:space="0" w:color="auto"/>
              <w:right w:val="single" w:sz="4" w:space="0" w:color="auto"/>
            </w:tcBorders>
            <w:shd w:val="clear" w:color="auto" w:fill="auto"/>
            <w:vAlign w:val="center"/>
            <w:hideMark/>
          </w:tcPr>
          <w:p w14:paraId="513EBE2D" w14:textId="77777777" w:rsidR="00F17F06" w:rsidRPr="00F17F06" w:rsidRDefault="00F17F06" w:rsidP="00F17F06">
            <w:pPr>
              <w:jc w:val="center"/>
              <w:rPr>
                <w:rFonts w:ascii="Book Antiqua" w:hAnsi="Book Antiqua" w:cs="Calibri"/>
                <w:color w:val="000000"/>
                <w:sz w:val="20"/>
                <w:szCs w:val="20"/>
                <w:lang w:eastAsia="es-CR"/>
              </w:rPr>
            </w:pPr>
            <w:r w:rsidRPr="00F17F06">
              <w:rPr>
                <w:rFonts w:ascii="Book Antiqua" w:hAnsi="Book Antiqua" w:cs="Calibri"/>
                <w:color w:val="000000"/>
                <w:sz w:val="20"/>
                <w:szCs w:val="20"/>
                <w:lang w:eastAsia="es-CR"/>
              </w:rPr>
              <w:t>1 sección Colegiada</w:t>
            </w:r>
          </w:p>
        </w:tc>
        <w:tc>
          <w:tcPr>
            <w:tcW w:w="1240" w:type="dxa"/>
            <w:tcBorders>
              <w:top w:val="nil"/>
              <w:left w:val="nil"/>
              <w:bottom w:val="single" w:sz="4" w:space="0" w:color="auto"/>
              <w:right w:val="single" w:sz="4" w:space="0" w:color="auto"/>
            </w:tcBorders>
            <w:shd w:val="clear" w:color="auto" w:fill="auto"/>
            <w:vAlign w:val="center"/>
            <w:hideMark/>
          </w:tcPr>
          <w:p w14:paraId="6F12A873" w14:textId="77777777" w:rsidR="00F17F06" w:rsidRPr="00F17F06" w:rsidRDefault="00F17F06" w:rsidP="00F17F06">
            <w:pPr>
              <w:jc w:val="center"/>
              <w:rPr>
                <w:rFonts w:ascii="Book Antiqua" w:hAnsi="Book Antiqua" w:cs="Calibri"/>
                <w:color w:val="000000"/>
                <w:sz w:val="20"/>
                <w:szCs w:val="20"/>
                <w:lang w:eastAsia="es-CR"/>
              </w:rPr>
            </w:pPr>
            <w:r w:rsidRPr="00F17F06">
              <w:rPr>
                <w:rFonts w:ascii="Book Antiqua" w:hAnsi="Book Antiqua" w:cs="Calibri"/>
                <w:color w:val="000000"/>
                <w:sz w:val="20"/>
                <w:szCs w:val="20"/>
                <w:lang w:eastAsia="es-CR"/>
              </w:rPr>
              <w:t>15</w:t>
            </w:r>
          </w:p>
        </w:tc>
      </w:tr>
      <w:tr w:rsidR="00F17F06" w:rsidRPr="00F17F06" w14:paraId="5469C5E7" w14:textId="77777777" w:rsidTr="00323F64">
        <w:trPr>
          <w:trHeight w:val="288"/>
          <w:jc w:val="center"/>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43BADBA8" w14:textId="77777777" w:rsidR="00F17F06" w:rsidRPr="00F17F06" w:rsidRDefault="00F17F06" w:rsidP="00F17F06">
            <w:pPr>
              <w:jc w:val="center"/>
              <w:rPr>
                <w:rFonts w:ascii="Book Antiqua" w:hAnsi="Book Antiqua" w:cs="Calibri"/>
                <w:color w:val="000000"/>
                <w:sz w:val="20"/>
                <w:szCs w:val="20"/>
                <w:lang w:eastAsia="es-CR"/>
              </w:rPr>
            </w:pPr>
            <w:r w:rsidRPr="00F17F06">
              <w:rPr>
                <w:rFonts w:ascii="Book Antiqua" w:hAnsi="Book Antiqua" w:cs="Calibri"/>
                <w:color w:val="000000"/>
                <w:sz w:val="20"/>
                <w:szCs w:val="20"/>
                <w:lang w:eastAsia="es-CR"/>
              </w:rPr>
              <w:t>Golfito</w:t>
            </w:r>
          </w:p>
        </w:tc>
        <w:tc>
          <w:tcPr>
            <w:tcW w:w="3280" w:type="dxa"/>
            <w:tcBorders>
              <w:top w:val="nil"/>
              <w:left w:val="nil"/>
              <w:bottom w:val="single" w:sz="4" w:space="0" w:color="auto"/>
              <w:right w:val="single" w:sz="4" w:space="0" w:color="auto"/>
            </w:tcBorders>
            <w:shd w:val="clear" w:color="auto" w:fill="auto"/>
            <w:vAlign w:val="center"/>
            <w:hideMark/>
          </w:tcPr>
          <w:p w14:paraId="72899E2F" w14:textId="77777777" w:rsidR="00F17F06" w:rsidRPr="00F17F06" w:rsidRDefault="00F17F06" w:rsidP="00F17F06">
            <w:pPr>
              <w:jc w:val="center"/>
              <w:rPr>
                <w:rFonts w:ascii="Book Antiqua" w:hAnsi="Book Antiqua" w:cs="Calibri"/>
                <w:color w:val="000000"/>
                <w:sz w:val="20"/>
                <w:szCs w:val="20"/>
                <w:lang w:eastAsia="es-CR"/>
              </w:rPr>
            </w:pPr>
            <w:r w:rsidRPr="00F17F06">
              <w:rPr>
                <w:rFonts w:ascii="Book Antiqua" w:hAnsi="Book Antiqua" w:cs="Calibri"/>
                <w:color w:val="000000"/>
                <w:sz w:val="20"/>
                <w:szCs w:val="20"/>
                <w:lang w:eastAsia="es-CR"/>
              </w:rPr>
              <w:t>1 Juez Unipersonal</w:t>
            </w:r>
          </w:p>
        </w:tc>
        <w:tc>
          <w:tcPr>
            <w:tcW w:w="1240" w:type="dxa"/>
            <w:tcBorders>
              <w:top w:val="nil"/>
              <w:left w:val="nil"/>
              <w:bottom w:val="single" w:sz="4" w:space="0" w:color="auto"/>
              <w:right w:val="single" w:sz="4" w:space="0" w:color="auto"/>
            </w:tcBorders>
            <w:shd w:val="clear" w:color="auto" w:fill="auto"/>
            <w:vAlign w:val="center"/>
            <w:hideMark/>
          </w:tcPr>
          <w:p w14:paraId="24866F55" w14:textId="77777777" w:rsidR="00F17F06" w:rsidRPr="00F17F06" w:rsidRDefault="00F17F06" w:rsidP="00F17F06">
            <w:pPr>
              <w:jc w:val="center"/>
              <w:rPr>
                <w:rFonts w:ascii="Book Antiqua" w:hAnsi="Book Antiqua" w:cs="Calibri"/>
                <w:color w:val="000000"/>
                <w:sz w:val="20"/>
                <w:szCs w:val="20"/>
                <w:lang w:eastAsia="es-CR"/>
              </w:rPr>
            </w:pPr>
            <w:r w:rsidRPr="00F17F06">
              <w:rPr>
                <w:rFonts w:ascii="Book Antiqua" w:hAnsi="Book Antiqua" w:cs="Calibri"/>
                <w:color w:val="000000"/>
                <w:sz w:val="20"/>
                <w:szCs w:val="20"/>
                <w:lang w:eastAsia="es-CR"/>
              </w:rPr>
              <w:t>15</w:t>
            </w:r>
          </w:p>
        </w:tc>
      </w:tr>
      <w:tr w:rsidR="00F17F06" w:rsidRPr="00F17F06" w14:paraId="1A85E369" w14:textId="77777777" w:rsidTr="00323F64">
        <w:trPr>
          <w:trHeight w:val="288"/>
          <w:jc w:val="center"/>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78DA0755" w14:textId="77777777" w:rsidR="00F17F06" w:rsidRPr="00F17F06" w:rsidRDefault="00F17F06" w:rsidP="00F17F06">
            <w:pPr>
              <w:jc w:val="center"/>
              <w:rPr>
                <w:rFonts w:ascii="Book Antiqua" w:hAnsi="Book Antiqua" w:cs="Calibri"/>
                <w:color w:val="000000"/>
                <w:sz w:val="20"/>
                <w:szCs w:val="20"/>
                <w:lang w:eastAsia="es-CR"/>
              </w:rPr>
            </w:pPr>
            <w:r w:rsidRPr="00F17F06">
              <w:rPr>
                <w:rFonts w:ascii="Book Antiqua" w:hAnsi="Book Antiqua" w:cs="Calibri"/>
                <w:color w:val="000000"/>
                <w:sz w:val="20"/>
                <w:szCs w:val="20"/>
                <w:lang w:eastAsia="es-CR"/>
              </w:rPr>
              <w:t>San José</w:t>
            </w:r>
          </w:p>
        </w:tc>
        <w:tc>
          <w:tcPr>
            <w:tcW w:w="3280" w:type="dxa"/>
            <w:tcBorders>
              <w:top w:val="nil"/>
              <w:left w:val="nil"/>
              <w:bottom w:val="single" w:sz="4" w:space="0" w:color="auto"/>
              <w:right w:val="single" w:sz="4" w:space="0" w:color="auto"/>
            </w:tcBorders>
            <w:shd w:val="clear" w:color="auto" w:fill="auto"/>
            <w:vAlign w:val="center"/>
            <w:hideMark/>
          </w:tcPr>
          <w:p w14:paraId="5F582E9B" w14:textId="77777777" w:rsidR="00F17F06" w:rsidRPr="00F17F06" w:rsidRDefault="00F17F06" w:rsidP="00F17F06">
            <w:pPr>
              <w:jc w:val="center"/>
              <w:rPr>
                <w:rFonts w:ascii="Book Antiqua" w:hAnsi="Book Antiqua" w:cs="Calibri"/>
                <w:color w:val="000000"/>
                <w:sz w:val="20"/>
                <w:szCs w:val="20"/>
                <w:lang w:eastAsia="es-CR"/>
              </w:rPr>
            </w:pPr>
            <w:r w:rsidRPr="00F17F06">
              <w:rPr>
                <w:rFonts w:ascii="Book Antiqua" w:hAnsi="Book Antiqua" w:cs="Calibri"/>
                <w:color w:val="000000"/>
                <w:sz w:val="20"/>
                <w:szCs w:val="20"/>
                <w:lang w:eastAsia="es-CR"/>
              </w:rPr>
              <w:t>1 sección Colegiada</w:t>
            </w:r>
          </w:p>
        </w:tc>
        <w:tc>
          <w:tcPr>
            <w:tcW w:w="1240" w:type="dxa"/>
            <w:tcBorders>
              <w:top w:val="nil"/>
              <w:left w:val="nil"/>
              <w:bottom w:val="single" w:sz="4" w:space="0" w:color="auto"/>
              <w:right w:val="single" w:sz="4" w:space="0" w:color="auto"/>
            </w:tcBorders>
            <w:shd w:val="clear" w:color="auto" w:fill="auto"/>
            <w:vAlign w:val="center"/>
            <w:hideMark/>
          </w:tcPr>
          <w:p w14:paraId="5500CB58" w14:textId="77777777" w:rsidR="00F17F06" w:rsidRPr="00F17F06" w:rsidRDefault="00F17F06" w:rsidP="00F17F06">
            <w:pPr>
              <w:jc w:val="center"/>
              <w:rPr>
                <w:rFonts w:ascii="Book Antiqua" w:hAnsi="Book Antiqua" w:cs="Calibri"/>
                <w:color w:val="000000"/>
                <w:sz w:val="20"/>
                <w:szCs w:val="20"/>
                <w:lang w:eastAsia="es-CR"/>
              </w:rPr>
            </w:pPr>
            <w:r w:rsidRPr="00F17F06">
              <w:rPr>
                <w:rFonts w:ascii="Book Antiqua" w:hAnsi="Book Antiqua" w:cs="Calibri"/>
                <w:color w:val="000000"/>
                <w:sz w:val="20"/>
                <w:szCs w:val="20"/>
                <w:lang w:eastAsia="es-CR"/>
              </w:rPr>
              <w:t>15</w:t>
            </w:r>
          </w:p>
        </w:tc>
      </w:tr>
      <w:tr w:rsidR="00F17F06" w:rsidRPr="00F17F06" w14:paraId="35C330B0" w14:textId="77777777" w:rsidTr="00323F64">
        <w:trPr>
          <w:trHeight w:val="288"/>
          <w:jc w:val="center"/>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1D71F0F6" w14:textId="77777777" w:rsidR="00F17F06" w:rsidRPr="00F17F06" w:rsidRDefault="00F17F06" w:rsidP="00F17F06">
            <w:pPr>
              <w:jc w:val="center"/>
              <w:rPr>
                <w:rFonts w:ascii="Book Antiqua" w:hAnsi="Book Antiqua" w:cs="Calibri"/>
                <w:color w:val="000000"/>
                <w:sz w:val="20"/>
                <w:szCs w:val="20"/>
                <w:lang w:eastAsia="es-CR"/>
              </w:rPr>
            </w:pPr>
            <w:r w:rsidRPr="00F17F06">
              <w:rPr>
                <w:rFonts w:ascii="Book Antiqua" w:hAnsi="Book Antiqua" w:cs="Calibri"/>
                <w:color w:val="000000"/>
                <w:sz w:val="20"/>
                <w:szCs w:val="20"/>
                <w:lang w:eastAsia="es-CR"/>
              </w:rPr>
              <w:t>Alajuela</w:t>
            </w:r>
          </w:p>
        </w:tc>
        <w:tc>
          <w:tcPr>
            <w:tcW w:w="3280" w:type="dxa"/>
            <w:tcBorders>
              <w:top w:val="nil"/>
              <w:left w:val="nil"/>
              <w:bottom w:val="single" w:sz="4" w:space="0" w:color="auto"/>
              <w:right w:val="single" w:sz="4" w:space="0" w:color="auto"/>
            </w:tcBorders>
            <w:shd w:val="clear" w:color="auto" w:fill="auto"/>
            <w:vAlign w:val="center"/>
            <w:hideMark/>
          </w:tcPr>
          <w:p w14:paraId="3735E196" w14:textId="77777777" w:rsidR="00F17F06" w:rsidRPr="00F17F06" w:rsidRDefault="00F17F06" w:rsidP="00F17F06">
            <w:pPr>
              <w:jc w:val="center"/>
              <w:rPr>
                <w:rFonts w:ascii="Book Antiqua" w:hAnsi="Book Antiqua" w:cs="Calibri"/>
                <w:color w:val="000000"/>
                <w:sz w:val="20"/>
                <w:szCs w:val="20"/>
                <w:lang w:eastAsia="es-CR"/>
              </w:rPr>
            </w:pPr>
            <w:r w:rsidRPr="00F17F06">
              <w:rPr>
                <w:rFonts w:ascii="Book Antiqua" w:hAnsi="Book Antiqua" w:cs="Calibri"/>
                <w:color w:val="000000"/>
                <w:sz w:val="20"/>
                <w:szCs w:val="20"/>
                <w:lang w:eastAsia="es-CR"/>
              </w:rPr>
              <w:t>1 Sección Mixta</w:t>
            </w:r>
          </w:p>
        </w:tc>
        <w:tc>
          <w:tcPr>
            <w:tcW w:w="1240" w:type="dxa"/>
            <w:tcBorders>
              <w:top w:val="nil"/>
              <w:left w:val="nil"/>
              <w:bottom w:val="single" w:sz="4" w:space="0" w:color="auto"/>
              <w:right w:val="single" w:sz="4" w:space="0" w:color="auto"/>
            </w:tcBorders>
            <w:shd w:val="clear" w:color="auto" w:fill="auto"/>
            <w:vAlign w:val="center"/>
            <w:hideMark/>
          </w:tcPr>
          <w:p w14:paraId="291C17A0" w14:textId="77777777" w:rsidR="00F17F06" w:rsidRPr="00F17F06" w:rsidRDefault="00F17F06" w:rsidP="00F17F06">
            <w:pPr>
              <w:jc w:val="center"/>
              <w:rPr>
                <w:rFonts w:ascii="Book Antiqua" w:hAnsi="Book Antiqua" w:cs="Calibri"/>
                <w:color w:val="000000"/>
                <w:sz w:val="20"/>
                <w:szCs w:val="20"/>
                <w:lang w:eastAsia="es-CR"/>
              </w:rPr>
            </w:pPr>
            <w:r w:rsidRPr="00F17F06">
              <w:rPr>
                <w:rFonts w:ascii="Book Antiqua" w:hAnsi="Book Antiqua" w:cs="Calibri"/>
                <w:color w:val="000000"/>
                <w:sz w:val="20"/>
                <w:szCs w:val="20"/>
                <w:lang w:eastAsia="es-CR"/>
              </w:rPr>
              <w:t>28</w:t>
            </w:r>
          </w:p>
        </w:tc>
      </w:tr>
      <w:tr w:rsidR="00F17F06" w:rsidRPr="00F17F06" w14:paraId="751E5316" w14:textId="77777777" w:rsidTr="00323F64">
        <w:trPr>
          <w:trHeight w:val="288"/>
          <w:jc w:val="center"/>
        </w:trPr>
        <w:tc>
          <w:tcPr>
            <w:tcW w:w="50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2FA86E" w14:textId="77777777" w:rsidR="00F17F06" w:rsidRPr="00F17F06" w:rsidRDefault="00F17F06" w:rsidP="00F17F06">
            <w:pPr>
              <w:jc w:val="center"/>
              <w:rPr>
                <w:rFonts w:ascii="Book Antiqua" w:hAnsi="Book Antiqua" w:cs="Calibri"/>
                <w:color w:val="000000"/>
                <w:sz w:val="20"/>
                <w:szCs w:val="20"/>
                <w:lang w:eastAsia="es-CR"/>
              </w:rPr>
            </w:pPr>
            <w:r w:rsidRPr="00F17F06">
              <w:rPr>
                <w:rFonts w:ascii="Book Antiqua" w:hAnsi="Book Antiqua" w:cs="Calibri"/>
                <w:color w:val="000000"/>
                <w:sz w:val="20"/>
                <w:szCs w:val="20"/>
                <w:lang w:eastAsia="es-CR"/>
              </w:rPr>
              <w:t>Total</w:t>
            </w:r>
          </w:p>
        </w:tc>
        <w:tc>
          <w:tcPr>
            <w:tcW w:w="1240" w:type="dxa"/>
            <w:tcBorders>
              <w:top w:val="nil"/>
              <w:left w:val="nil"/>
              <w:bottom w:val="single" w:sz="4" w:space="0" w:color="auto"/>
              <w:right w:val="single" w:sz="4" w:space="0" w:color="auto"/>
            </w:tcBorders>
            <w:shd w:val="clear" w:color="auto" w:fill="auto"/>
            <w:vAlign w:val="center"/>
            <w:hideMark/>
          </w:tcPr>
          <w:p w14:paraId="6B5D4B4A" w14:textId="77777777" w:rsidR="00F17F06" w:rsidRPr="00F17F06" w:rsidRDefault="00F17F06" w:rsidP="00F17F06">
            <w:pPr>
              <w:jc w:val="center"/>
              <w:rPr>
                <w:rFonts w:ascii="Book Antiqua" w:hAnsi="Book Antiqua" w:cs="Calibri"/>
                <w:color w:val="000000"/>
                <w:sz w:val="20"/>
                <w:szCs w:val="20"/>
                <w:lang w:eastAsia="es-CR"/>
              </w:rPr>
            </w:pPr>
            <w:r w:rsidRPr="00F17F06">
              <w:rPr>
                <w:rFonts w:ascii="Book Antiqua" w:hAnsi="Book Antiqua" w:cs="Calibri"/>
                <w:color w:val="000000"/>
                <w:sz w:val="20"/>
                <w:szCs w:val="20"/>
                <w:lang w:eastAsia="es-CR"/>
              </w:rPr>
              <w:t>353</w:t>
            </w:r>
          </w:p>
        </w:tc>
      </w:tr>
    </w:tbl>
    <w:p w14:paraId="7C6F1F25" w14:textId="77777777" w:rsidR="00F17F06" w:rsidRPr="00F17F06" w:rsidRDefault="00F17F06" w:rsidP="00F17F06">
      <w:pPr>
        <w:spacing w:line="276" w:lineRule="auto"/>
        <w:jc w:val="both"/>
        <w:rPr>
          <w:rFonts w:ascii="Book Antiqua" w:hAnsi="Book Antiqua" w:cs="Arial"/>
        </w:rPr>
      </w:pPr>
    </w:p>
    <w:p w14:paraId="362C39DE" w14:textId="59B4D0B7" w:rsidR="00B10507" w:rsidRPr="00746E61" w:rsidRDefault="00B10507" w:rsidP="00746E61">
      <w:pPr>
        <w:spacing w:line="276" w:lineRule="auto"/>
        <w:ind w:left="360"/>
        <w:rPr>
          <w:rFonts w:ascii="Book Antiqua" w:hAnsi="Book Antiqua" w:cs="Calibri"/>
          <w:color w:val="000000"/>
          <w:sz w:val="20"/>
          <w:szCs w:val="20"/>
          <w:lang w:eastAsia="es-CR"/>
        </w:rPr>
      </w:pPr>
    </w:p>
    <w:p w14:paraId="08B7D8DF" w14:textId="10079511" w:rsidR="00B10507" w:rsidRPr="00746E61" w:rsidRDefault="00B10507" w:rsidP="00746E61">
      <w:pPr>
        <w:spacing w:line="276" w:lineRule="auto"/>
        <w:ind w:left="360"/>
        <w:rPr>
          <w:rFonts w:ascii="Book Antiqua" w:hAnsi="Book Antiqua" w:cs="Calibri"/>
          <w:color w:val="000000"/>
          <w:sz w:val="20"/>
          <w:szCs w:val="20"/>
          <w:lang w:eastAsia="es-CR"/>
        </w:rPr>
      </w:pPr>
    </w:p>
    <w:p w14:paraId="23D8C2FB" w14:textId="6505E6A0" w:rsidR="00C619D5" w:rsidRPr="00746E61" w:rsidRDefault="3AD531F3" w:rsidP="57A79FF7">
      <w:pPr>
        <w:spacing w:line="276" w:lineRule="auto"/>
        <w:outlineLvl w:val="2"/>
        <w:rPr>
          <w:b/>
          <w:lang w:val="es-ES" w:eastAsia="en-US"/>
        </w:rPr>
      </w:pPr>
      <w:r w:rsidRPr="57A79FF7">
        <w:rPr>
          <w:rFonts w:ascii="Book Antiqua" w:hAnsi="Book Antiqua"/>
          <w:b/>
          <w:bCs/>
          <w:lang w:val="es-ES" w:eastAsia="en-US"/>
        </w:rPr>
        <w:t xml:space="preserve">3.2.3 </w:t>
      </w:r>
      <w:r w:rsidR="00C619D5" w:rsidRPr="57A79FF7">
        <w:rPr>
          <w:rFonts w:ascii="Book Antiqua" w:hAnsi="Book Antiqua"/>
          <w:b/>
          <w:lang w:val="es-ES" w:eastAsia="en-US"/>
        </w:rPr>
        <w:t xml:space="preserve">Circulante en </w:t>
      </w:r>
      <w:r w:rsidR="00576CD7" w:rsidRPr="57A79FF7">
        <w:rPr>
          <w:rFonts w:ascii="Book Antiqua" w:hAnsi="Book Antiqua"/>
          <w:b/>
          <w:lang w:val="es-ES" w:eastAsia="en-US"/>
        </w:rPr>
        <w:t>t</w:t>
      </w:r>
      <w:r w:rsidR="00C619D5" w:rsidRPr="57A79FF7">
        <w:rPr>
          <w:rFonts w:ascii="Book Antiqua" w:hAnsi="Book Antiqua"/>
          <w:b/>
          <w:lang w:val="es-ES" w:eastAsia="en-US"/>
        </w:rPr>
        <w:t>rámite</w:t>
      </w:r>
    </w:p>
    <w:p w14:paraId="5E679DEF" w14:textId="42D1B417" w:rsidR="00C619D5" w:rsidRPr="00746E61" w:rsidRDefault="00C619D5" w:rsidP="00746E61">
      <w:pPr>
        <w:spacing w:line="276" w:lineRule="auto"/>
        <w:rPr>
          <w:rFonts w:ascii="Book Antiqua" w:hAnsi="Book Antiqua"/>
          <w:b/>
          <w:bCs/>
          <w:lang w:val="es-ES_tradnl" w:eastAsia="en-US"/>
        </w:rPr>
      </w:pPr>
    </w:p>
    <w:p w14:paraId="2958EC68" w14:textId="77777777" w:rsidR="00334D2B" w:rsidRPr="00746E61" w:rsidRDefault="00334D2B" w:rsidP="00746E61">
      <w:pPr>
        <w:widowControl w:val="0"/>
        <w:autoSpaceDE w:val="0"/>
        <w:spacing w:line="276" w:lineRule="auto"/>
        <w:ind w:right="51"/>
        <w:jc w:val="both"/>
        <w:rPr>
          <w:rFonts w:ascii="Book Antiqua" w:hAnsi="Book Antiqua"/>
          <w:b/>
          <w:bCs/>
          <w:lang w:val="es-ES_tradnl" w:eastAsia="en-US"/>
        </w:rPr>
      </w:pPr>
      <w:r w:rsidRPr="00746E61">
        <w:rPr>
          <w:rFonts w:ascii="Book Antiqua" w:hAnsi="Book Antiqua" w:cs="Arial"/>
        </w:rPr>
        <w:t>A continuación, se detalla el circulante en trámite con el que cerraron los Tribunales de Juicio considerando los años 2019, 2020 y agosto 2021, así como un análisis de aumento y disminución entre los citados períodos.</w:t>
      </w:r>
    </w:p>
    <w:p w14:paraId="64020152" w14:textId="77777777" w:rsidR="00C619D5" w:rsidRPr="00746E61" w:rsidRDefault="00C619D5" w:rsidP="00746E61">
      <w:pPr>
        <w:widowControl w:val="0"/>
        <w:autoSpaceDE w:val="0"/>
        <w:spacing w:line="276" w:lineRule="auto"/>
        <w:ind w:right="51"/>
        <w:rPr>
          <w:rFonts w:ascii="Book Antiqua" w:hAnsi="Book Antiqua" w:cs="Arial"/>
        </w:rPr>
      </w:pPr>
    </w:p>
    <w:p w14:paraId="3BF99C81" w14:textId="0C47F6BE" w:rsidR="00C619D5" w:rsidRPr="00746E61" w:rsidRDefault="00C619D5" w:rsidP="00746E61">
      <w:pPr>
        <w:widowControl w:val="0"/>
        <w:autoSpaceDE w:val="0"/>
        <w:spacing w:line="276" w:lineRule="auto"/>
        <w:ind w:right="51"/>
        <w:rPr>
          <w:rFonts w:ascii="Book Antiqua" w:hAnsi="Book Antiqua" w:cs="Arial"/>
          <w:b/>
          <w:bCs/>
        </w:rPr>
      </w:pPr>
      <w:r w:rsidRPr="00746E61">
        <w:rPr>
          <w:rFonts w:ascii="Book Antiqua" w:hAnsi="Book Antiqua" w:cs="Arial"/>
        </w:rPr>
        <w:t xml:space="preserve">Seguidamente, el </w:t>
      </w:r>
      <w:r w:rsidRPr="00746E61">
        <w:rPr>
          <w:rFonts w:ascii="Book Antiqua" w:hAnsi="Book Antiqua" w:cs="Arial"/>
          <w:b/>
          <w:bCs/>
        </w:rPr>
        <w:t>Cuadro 18</w:t>
      </w:r>
      <w:r w:rsidRPr="00746E61">
        <w:rPr>
          <w:rFonts w:ascii="Book Antiqua" w:hAnsi="Book Antiqua" w:cs="Arial"/>
        </w:rPr>
        <w:t>, muestra lo expuesto.</w:t>
      </w:r>
    </w:p>
    <w:p w14:paraId="01F6B37F" w14:textId="5B86ABF1" w:rsidR="00C619D5" w:rsidRPr="00746E61" w:rsidRDefault="00C619D5" w:rsidP="00746E61">
      <w:pPr>
        <w:spacing w:line="276" w:lineRule="auto"/>
        <w:jc w:val="center"/>
        <w:rPr>
          <w:rFonts w:ascii="Book Antiqua" w:hAnsi="Book Antiqua"/>
          <w:b/>
          <w:bCs/>
          <w:lang w:val="es-ES_tradnl" w:eastAsia="en-US"/>
        </w:rPr>
      </w:pPr>
    </w:p>
    <w:p w14:paraId="211D0E63" w14:textId="0AA6F0AB" w:rsidR="00C619D5" w:rsidRPr="00746E61" w:rsidRDefault="00C619D5" w:rsidP="00746E61">
      <w:pPr>
        <w:widowControl w:val="0"/>
        <w:autoSpaceDE w:val="0"/>
        <w:spacing w:line="276" w:lineRule="auto"/>
        <w:ind w:right="51"/>
        <w:jc w:val="center"/>
        <w:rPr>
          <w:rFonts w:ascii="Book Antiqua" w:hAnsi="Book Antiqua" w:cs="Arial"/>
          <w:b/>
          <w:bCs/>
        </w:rPr>
      </w:pPr>
      <w:r w:rsidRPr="00746E61">
        <w:rPr>
          <w:rFonts w:ascii="Book Antiqua" w:hAnsi="Book Antiqua" w:cs="Arial"/>
          <w:b/>
          <w:bCs/>
        </w:rPr>
        <w:t>Cuadro 18</w:t>
      </w:r>
    </w:p>
    <w:p w14:paraId="72BDAE59" w14:textId="77777777" w:rsidR="00C619D5" w:rsidRPr="00746E61" w:rsidRDefault="00C619D5" w:rsidP="00746E61">
      <w:pPr>
        <w:widowControl w:val="0"/>
        <w:autoSpaceDE w:val="0"/>
        <w:spacing w:line="276" w:lineRule="auto"/>
        <w:ind w:right="51"/>
        <w:jc w:val="center"/>
        <w:rPr>
          <w:rFonts w:ascii="Book Antiqua" w:hAnsi="Book Antiqua" w:cs="Arial"/>
        </w:rPr>
      </w:pPr>
      <w:r w:rsidRPr="00746E61">
        <w:rPr>
          <w:rFonts w:ascii="Book Antiqua" w:hAnsi="Book Antiqua" w:cs="Arial"/>
        </w:rPr>
        <w:t xml:space="preserve">Cantidad de circulante en trámite de los Tribunales Penales </w:t>
      </w:r>
    </w:p>
    <w:p w14:paraId="71D689FC" w14:textId="5E536455" w:rsidR="00C619D5" w:rsidRPr="00746E61" w:rsidRDefault="00C619D5" w:rsidP="00746E61">
      <w:pPr>
        <w:widowControl w:val="0"/>
        <w:autoSpaceDE w:val="0"/>
        <w:spacing w:line="276" w:lineRule="auto"/>
        <w:ind w:right="51"/>
        <w:jc w:val="center"/>
        <w:rPr>
          <w:rFonts w:ascii="Book Antiqua" w:hAnsi="Book Antiqua" w:cs="Arial"/>
        </w:rPr>
      </w:pPr>
      <w:r w:rsidRPr="00746E61">
        <w:rPr>
          <w:rFonts w:ascii="Book Antiqua" w:hAnsi="Book Antiqua" w:cs="Arial"/>
        </w:rPr>
        <w:t xml:space="preserve">Al finalizar los años 2019, 2020 y mes de </w:t>
      </w:r>
      <w:r w:rsidR="00A57A86" w:rsidRPr="00746E61">
        <w:rPr>
          <w:rFonts w:ascii="Book Antiqua" w:hAnsi="Book Antiqua" w:cs="Arial"/>
        </w:rPr>
        <w:t>setiembre</w:t>
      </w:r>
      <w:r w:rsidRPr="00746E61">
        <w:rPr>
          <w:rFonts w:ascii="Book Antiqua" w:hAnsi="Book Antiqua" w:cs="Arial"/>
        </w:rPr>
        <w:t xml:space="preserve"> de 2021</w:t>
      </w:r>
    </w:p>
    <w:tbl>
      <w:tblPr>
        <w:tblW w:w="10201" w:type="dxa"/>
        <w:jc w:val="center"/>
        <w:tblCellMar>
          <w:left w:w="70" w:type="dxa"/>
          <w:right w:w="70" w:type="dxa"/>
        </w:tblCellMar>
        <w:tblLook w:val="04A0" w:firstRow="1" w:lastRow="0" w:firstColumn="1" w:lastColumn="0" w:noHBand="0" w:noVBand="1"/>
      </w:tblPr>
      <w:tblGrid>
        <w:gridCol w:w="3159"/>
        <w:gridCol w:w="1079"/>
        <w:gridCol w:w="1079"/>
        <w:gridCol w:w="1079"/>
        <w:gridCol w:w="1963"/>
        <w:gridCol w:w="1842"/>
      </w:tblGrid>
      <w:tr w:rsidR="00A57A86" w:rsidRPr="00746E61" w14:paraId="350AA364" w14:textId="77777777" w:rsidTr="00A57A86">
        <w:trPr>
          <w:trHeight w:val="780"/>
          <w:jc w:val="center"/>
        </w:trPr>
        <w:tc>
          <w:tcPr>
            <w:tcW w:w="3159"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2986AA77" w14:textId="77777777" w:rsidR="00A57A86" w:rsidRPr="00746E61" w:rsidRDefault="00A57A86" w:rsidP="00746E61">
            <w:pPr>
              <w:spacing w:line="276" w:lineRule="auto"/>
              <w:jc w:val="center"/>
              <w:rPr>
                <w:rFonts w:ascii="Book Antiqua" w:hAnsi="Book Antiqua" w:cs="Calibri"/>
                <w:b/>
                <w:bCs/>
                <w:color w:val="FFFFFF"/>
                <w:sz w:val="16"/>
                <w:szCs w:val="16"/>
                <w:lang w:eastAsia="es-CR"/>
              </w:rPr>
            </w:pPr>
            <w:r w:rsidRPr="00746E61">
              <w:rPr>
                <w:rFonts w:ascii="Book Antiqua" w:hAnsi="Book Antiqua" w:cs="Calibri"/>
                <w:b/>
                <w:bCs/>
                <w:color w:val="FFFFFF"/>
                <w:sz w:val="16"/>
                <w:szCs w:val="16"/>
                <w:lang w:eastAsia="es-CR"/>
              </w:rPr>
              <w:t>Despachos</w:t>
            </w:r>
          </w:p>
        </w:tc>
        <w:tc>
          <w:tcPr>
            <w:tcW w:w="1079" w:type="dxa"/>
            <w:tcBorders>
              <w:top w:val="single" w:sz="4" w:space="0" w:color="auto"/>
              <w:left w:val="nil"/>
              <w:bottom w:val="single" w:sz="4" w:space="0" w:color="auto"/>
              <w:right w:val="single" w:sz="4" w:space="0" w:color="auto"/>
            </w:tcBorders>
            <w:shd w:val="clear" w:color="000000" w:fill="305496"/>
            <w:vAlign w:val="center"/>
            <w:hideMark/>
          </w:tcPr>
          <w:p w14:paraId="2E46714C" w14:textId="77777777" w:rsidR="00A57A86" w:rsidRPr="00746E61" w:rsidRDefault="00A57A86" w:rsidP="00746E61">
            <w:pPr>
              <w:spacing w:line="276" w:lineRule="auto"/>
              <w:jc w:val="center"/>
              <w:rPr>
                <w:rFonts w:ascii="Book Antiqua" w:hAnsi="Book Antiqua" w:cs="Calibri"/>
                <w:b/>
                <w:bCs/>
                <w:color w:val="FFFFFF"/>
                <w:sz w:val="16"/>
                <w:szCs w:val="16"/>
                <w:lang w:eastAsia="es-CR"/>
              </w:rPr>
            </w:pPr>
            <w:r w:rsidRPr="00746E61">
              <w:rPr>
                <w:rFonts w:ascii="Book Antiqua" w:hAnsi="Book Antiqua" w:cs="Calibri"/>
                <w:b/>
                <w:bCs/>
                <w:color w:val="FFFFFF"/>
                <w:sz w:val="16"/>
                <w:szCs w:val="16"/>
                <w:lang w:eastAsia="es-CR"/>
              </w:rPr>
              <w:t>Circulante en Trámite 2019</w:t>
            </w:r>
          </w:p>
        </w:tc>
        <w:tc>
          <w:tcPr>
            <w:tcW w:w="1079" w:type="dxa"/>
            <w:tcBorders>
              <w:top w:val="single" w:sz="4" w:space="0" w:color="auto"/>
              <w:left w:val="nil"/>
              <w:bottom w:val="single" w:sz="4" w:space="0" w:color="auto"/>
              <w:right w:val="single" w:sz="4" w:space="0" w:color="auto"/>
            </w:tcBorders>
            <w:shd w:val="clear" w:color="000000" w:fill="305496"/>
            <w:vAlign w:val="center"/>
            <w:hideMark/>
          </w:tcPr>
          <w:p w14:paraId="5F7530D2" w14:textId="77777777" w:rsidR="00A57A86" w:rsidRPr="00746E61" w:rsidRDefault="00A57A86" w:rsidP="00746E61">
            <w:pPr>
              <w:spacing w:line="276" w:lineRule="auto"/>
              <w:jc w:val="center"/>
              <w:rPr>
                <w:rFonts w:ascii="Book Antiqua" w:hAnsi="Book Antiqua" w:cs="Calibri"/>
                <w:b/>
                <w:bCs/>
                <w:color w:val="FFFFFF"/>
                <w:sz w:val="16"/>
                <w:szCs w:val="16"/>
                <w:lang w:eastAsia="es-CR"/>
              </w:rPr>
            </w:pPr>
            <w:r w:rsidRPr="00746E61">
              <w:rPr>
                <w:rFonts w:ascii="Book Antiqua" w:hAnsi="Book Antiqua" w:cs="Calibri"/>
                <w:b/>
                <w:bCs/>
                <w:color w:val="FFFFFF"/>
                <w:sz w:val="16"/>
                <w:szCs w:val="16"/>
                <w:lang w:eastAsia="es-CR"/>
              </w:rPr>
              <w:t>Circulante en Trámite 2020</w:t>
            </w:r>
          </w:p>
        </w:tc>
        <w:tc>
          <w:tcPr>
            <w:tcW w:w="1079" w:type="dxa"/>
            <w:tcBorders>
              <w:top w:val="single" w:sz="4" w:space="0" w:color="auto"/>
              <w:left w:val="nil"/>
              <w:bottom w:val="single" w:sz="4" w:space="0" w:color="auto"/>
              <w:right w:val="single" w:sz="4" w:space="0" w:color="auto"/>
            </w:tcBorders>
            <w:shd w:val="clear" w:color="000000" w:fill="305496"/>
            <w:vAlign w:val="center"/>
            <w:hideMark/>
          </w:tcPr>
          <w:p w14:paraId="2DDEDBAE" w14:textId="77777777" w:rsidR="00A57A86" w:rsidRPr="00746E61" w:rsidRDefault="00A57A86" w:rsidP="00746E61">
            <w:pPr>
              <w:spacing w:line="276" w:lineRule="auto"/>
              <w:jc w:val="center"/>
              <w:rPr>
                <w:rFonts w:ascii="Book Antiqua" w:hAnsi="Book Antiqua" w:cs="Calibri"/>
                <w:b/>
                <w:bCs/>
                <w:color w:val="FFFFFF"/>
                <w:sz w:val="16"/>
                <w:szCs w:val="16"/>
                <w:lang w:eastAsia="es-CR"/>
              </w:rPr>
            </w:pPr>
            <w:r w:rsidRPr="00746E61">
              <w:rPr>
                <w:rFonts w:ascii="Book Antiqua" w:hAnsi="Book Antiqua" w:cs="Calibri"/>
                <w:b/>
                <w:bCs/>
                <w:color w:val="FFFFFF"/>
                <w:sz w:val="16"/>
                <w:szCs w:val="16"/>
                <w:lang w:eastAsia="es-CR"/>
              </w:rPr>
              <w:t>Circulante en Trámite 2021</w:t>
            </w:r>
          </w:p>
        </w:tc>
        <w:tc>
          <w:tcPr>
            <w:tcW w:w="1963" w:type="dxa"/>
            <w:tcBorders>
              <w:top w:val="single" w:sz="4" w:space="0" w:color="auto"/>
              <w:left w:val="nil"/>
              <w:bottom w:val="single" w:sz="4" w:space="0" w:color="auto"/>
              <w:right w:val="single" w:sz="4" w:space="0" w:color="auto"/>
            </w:tcBorders>
            <w:shd w:val="clear" w:color="000000" w:fill="DDEBF7"/>
            <w:vAlign w:val="center"/>
            <w:hideMark/>
          </w:tcPr>
          <w:p w14:paraId="599E718F" w14:textId="77777777" w:rsidR="00A57A86" w:rsidRPr="00746E61" w:rsidRDefault="00A57A86" w:rsidP="00746E61">
            <w:pPr>
              <w:spacing w:line="276" w:lineRule="auto"/>
              <w:jc w:val="center"/>
              <w:rPr>
                <w:rFonts w:ascii="Book Antiqua" w:hAnsi="Book Antiqua" w:cs="Calibri"/>
                <w:b/>
                <w:bCs/>
                <w:color w:val="3A3838"/>
                <w:sz w:val="16"/>
                <w:szCs w:val="16"/>
                <w:lang w:eastAsia="es-CR"/>
              </w:rPr>
            </w:pPr>
            <w:r w:rsidRPr="00746E61">
              <w:rPr>
                <w:rFonts w:ascii="Book Antiqua" w:hAnsi="Book Antiqua" w:cs="Calibri"/>
                <w:b/>
                <w:bCs/>
                <w:color w:val="3A3838"/>
                <w:sz w:val="16"/>
                <w:szCs w:val="16"/>
                <w:lang w:eastAsia="es-CR"/>
              </w:rPr>
              <w:t>Aumento/disminución 2021vs2019</w:t>
            </w:r>
          </w:p>
        </w:tc>
        <w:tc>
          <w:tcPr>
            <w:tcW w:w="1842" w:type="dxa"/>
            <w:tcBorders>
              <w:top w:val="single" w:sz="4" w:space="0" w:color="auto"/>
              <w:left w:val="nil"/>
              <w:bottom w:val="single" w:sz="4" w:space="0" w:color="auto"/>
              <w:right w:val="single" w:sz="4" w:space="0" w:color="auto"/>
            </w:tcBorders>
            <w:shd w:val="clear" w:color="000000" w:fill="DDEBF7"/>
            <w:vAlign w:val="center"/>
            <w:hideMark/>
          </w:tcPr>
          <w:p w14:paraId="2E776280" w14:textId="77777777" w:rsidR="00A57A86" w:rsidRPr="00746E61" w:rsidRDefault="00A57A86" w:rsidP="00746E61">
            <w:pPr>
              <w:spacing w:line="276" w:lineRule="auto"/>
              <w:jc w:val="center"/>
              <w:rPr>
                <w:rFonts w:ascii="Book Antiqua" w:hAnsi="Book Antiqua" w:cs="Calibri"/>
                <w:b/>
                <w:bCs/>
                <w:color w:val="3A3838"/>
                <w:sz w:val="16"/>
                <w:szCs w:val="16"/>
                <w:lang w:eastAsia="es-CR"/>
              </w:rPr>
            </w:pPr>
            <w:r w:rsidRPr="00746E61">
              <w:rPr>
                <w:rFonts w:ascii="Book Antiqua" w:hAnsi="Book Antiqua" w:cs="Calibri"/>
                <w:b/>
                <w:bCs/>
                <w:color w:val="3A3838"/>
                <w:sz w:val="16"/>
                <w:szCs w:val="16"/>
                <w:lang w:eastAsia="es-CR"/>
              </w:rPr>
              <w:t>Aumento/disminución 2021vs2020</w:t>
            </w:r>
          </w:p>
        </w:tc>
      </w:tr>
      <w:tr w:rsidR="00A57A86" w:rsidRPr="00746E61" w14:paraId="37E4A3D6" w14:textId="77777777" w:rsidTr="00752BB0">
        <w:trPr>
          <w:trHeight w:val="290"/>
          <w:jc w:val="center"/>
        </w:trPr>
        <w:tc>
          <w:tcPr>
            <w:tcW w:w="3159"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42AF377" w14:textId="77777777" w:rsidR="00A57A86" w:rsidRPr="00746E61" w:rsidRDefault="00A57A86"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Penal de San Carlos</w:t>
            </w:r>
          </w:p>
        </w:tc>
        <w:tc>
          <w:tcPr>
            <w:tcW w:w="1079" w:type="dxa"/>
            <w:tcBorders>
              <w:top w:val="nil"/>
              <w:left w:val="nil"/>
              <w:bottom w:val="single" w:sz="4" w:space="0" w:color="auto"/>
              <w:right w:val="single" w:sz="4" w:space="0" w:color="auto"/>
            </w:tcBorders>
            <w:shd w:val="clear" w:color="auto" w:fill="F2F2F2" w:themeFill="background1" w:themeFillShade="F2"/>
            <w:noWrap/>
            <w:vAlign w:val="center"/>
            <w:hideMark/>
          </w:tcPr>
          <w:p w14:paraId="2ECB08A7"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319</w:t>
            </w:r>
          </w:p>
        </w:tc>
        <w:tc>
          <w:tcPr>
            <w:tcW w:w="1079" w:type="dxa"/>
            <w:tcBorders>
              <w:top w:val="nil"/>
              <w:left w:val="nil"/>
              <w:bottom w:val="single" w:sz="4" w:space="0" w:color="auto"/>
              <w:right w:val="single" w:sz="4" w:space="0" w:color="auto"/>
            </w:tcBorders>
            <w:shd w:val="clear" w:color="auto" w:fill="F2F2F2" w:themeFill="background1" w:themeFillShade="F2"/>
            <w:noWrap/>
            <w:vAlign w:val="center"/>
            <w:hideMark/>
          </w:tcPr>
          <w:p w14:paraId="3E17C237"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525</w:t>
            </w:r>
          </w:p>
        </w:tc>
        <w:tc>
          <w:tcPr>
            <w:tcW w:w="1079" w:type="dxa"/>
            <w:tcBorders>
              <w:top w:val="nil"/>
              <w:left w:val="nil"/>
              <w:bottom w:val="single" w:sz="4" w:space="0" w:color="auto"/>
              <w:right w:val="single" w:sz="4" w:space="0" w:color="auto"/>
            </w:tcBorders>
            <w:shd w:val="clear" w:color="auto" w:fill="F2F2F2" w:themeFill="background1" w:themeFillShade="F2"/>
            <w:noWrap/>
            <w:vAlign w:val="center"/>
            <w:hideMark/>
          </w:tcPr>
          <w:p w14:paraId="30827FC3"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698</w:t>
            </w:r>
          </w:p>
        </w:tc>
        <w:tc>
          <w:tcPr>
            <w:tcW w:w="1963" w:type="dxa"/>
            <w:tcBorders>
              <w:top w:val="nil"/>
              <w:left w:val="nil"/>
              <w:bottom w:val="single" w:sz="4" w:space="0" w:color="auto"/>
              <w:right w:val="single" w:sz="4" w:space="0" w:color="auto"/>
            </w:tcBorders>
            <w:shd w:val="clear" w:color="auto" w:fill="F2F2F2" w:themeFill="background1" w:themeFillShade="F2"/>
            <w:vAlign w:val="center"/>
            <w:hideMark/>
          </w:tcPr>
          <w:p w14:paraId="196C3622"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118,81%</w:t>
            </w:r>
          </w:p>
        </w:tc>
        <w:tc>
          <w:tcPr>
            <w:tcW w:w="1842" w:type="dxa"/>
            <w:tcBorders>
              <w:top w:val="nil"/>
              <w:left w:val="nil"/>
              <w:bottom w:val="single" w:sz="4" w:space="0" w:color="auto"/>
              <w:right w:val="single" w:sz="4" w:space="0" w:color="auto"/>
            </w:tcBorders>
            <w:shd w:val="clear" w:color="auto" w:fill="F2F2F2" w:themeFill="background1" w:themeFillShade="F2"/>
            <w:vAlign w:val="center"/>
            <w:hideMark/>
          </w:tcPr>
          <w:p w14:paraId="6765651B"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32,95%</w:t>
            </w:r>
          </w:p>
        </w:tc>
      </w:tr>
      <w:tr w:rsidR="00A57A86" w:rsidRPr="00746E61" w14:paraId="7DF4B0F3" w14:textId="77777777" w:rsidTr="00752BB0">
        <w:trPr>
          <w:trHeight w:val="290"/>
          <w:jc w:val="center"/>
        </w:trPr>
        <w:tc>
          <w:tcPr>
            <w:tcW w:w="3159"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96E1937" w14:textId="77777777" w:rsidR="00A57A86" w:rsidRPr="00746E61" w:rsidRDefault="00A57A86"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Penal de Pérez Zeledón</w:t>
            </w:r>
          </w:p>
        </w:tc>
        <w:tc>
          <w:tcPr>
            <w:tcW w:w="1079" w:type="dxa"/>
            <w:tcBorders>
              <w:top w:val="nil"/>
              <w:left w:val="nil"/>
              <w:bottom w:val="single" w:sz="4" w:space="0" w:color="auto"/>
              <w:right w:val="single" w:sz="4" w:space="0" w:color="auto"/>
            </w:tcBorders>
            <w:shd w:val="clear" w:color="auto" w:fill="F2F2F2" w:themeFill="background1" w:themeFillShade="F2"/>
            <w:noWrap/>
            <w:vAlign w:val="center"/>
            <w:hideMark/>
          </w:tcPr>
          <w:p w14:paraId="6FCA2FF7"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177</w:t>
            </w:r>
          </w:p>
        </w:tc>
        <w:tc>
          <w:tcPr>
            <w:tcW w:w="1079" w:type="dxa"/>
            <w:tcBorders>
              <w:top w:val="nil"/>
              <w:left w:val="nil"/>
              <w:bottom w:val="single" w:sz="4" w:space="0" w:color="auto"/>
              <w:right w:val="single" w:sz="4" w:space="0" w:color="auto"/>
            </w:tcBorders>
            <w:shd w:val="clear" w:color="auto" w:fill="F2F2F2" w:themeFill="background1" w:themeFillShade="F2"/>
            <w:noWrap/>
            <w:vAlign w:val="center"/>
            <w:hideMark/>
          </w:tcPr>
          <w:p w14:paraId="3A9F0088"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270</w:t>
            </w:r>
          </w:p>
        </w:tc>
        <w:tc>
          <w:tcPr>
            <w:tcW w:w="1079" w:type="dxa"/>
            <w:tcBorders>
              <w:top w:val="nil"/>
              <w:left w:val="nil"/>
              <w:bottom w:val="single" w:sz="4" w:space="0" w:color="auto"/>
              <w:right w:val="single" w:sz="4" w:space="0" w:color="auto"/>
            </w:tcBorders>
            <w:shd w:val="clear" w:color="auto" w:fill="F2F2F2" w:themeFill="background1" w:themeFillShade="F2"/>
            <w:noWrap/>
            <w:vAlign w:val="center"/>
            <w:hideMark/>
          </w:tcPr>
          <w:p w14:paraId="00E4272B"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358</w:t>
            </w:r>
          </w:p>
        </w:tc>
        <w:tc>
          <w:tcPr>
            <w:tcW w:w="1963" w:type="dxa"/>
            <w:tcBorders>
              <w:top w:val="nil"/>
              <w:left w:val="nil"/>
              <w:bottom w:val="single" w:sz="4" w:space="0" w:color="auto"/>
              <w:right w:val="single" w:sz="4" w:space="0" w:color="auto"/>
            </w:tcBorders>
            <w:shd w:val="clear" w:color="auto" w:fill="F2F2F2" w:themeFill="background1" w:themeFillShade="F2"/>
            <w:vAlign w:val="center"/>
            <w:hideMark/>
          </w:tcPr>
          <w:p w14:paraId="4BBF5438"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102,26%</w:t>
            </w:r>
          </w:p>
        </w:tc>
        <w:tc>
          <w:tcPr>
            <w:tcW w:w="1842" w:type="dxa"/>
            <w:tcBorders>
              <w:top w:val="nil"/>
              <w:left w:val="nil"/>
              <w:bottom w:val="single" w:sz="4" w:space="0" w:color="auto"/>
              <w:right w:val="single" w:sz="4" w:space="0" w:color="auto"/>
            </w:tcBorders>
            <w:shd w:val="clear" w:color="auto" w:fill="F2F2F2" w:themeFill="background1" w:themeFillShade="F2"/>
            <w:vAlign w:val="center"/>
            <w:hideMark/>
          </w:tcPr>
          <w:p w14:paraId="060EB9A5"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32,59%</w:t>
            </w:r>
          </w:p>
        </w:tc>
      </w:tr>
      <w:tr w:rsidR="00A57A86" w:rsidRPr="00746E61" w14:paraId="67819043" w14:textId="77777777" w:rsidTr="002604DF">
        <w:trPr>
          <w:trHeight w:val="290"/>
          <w:jc w:val="center"/>
        </w:trPr>
        <w:tc>
          <w:tcPr>
            <w:tcW w:w="3159"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F355B74" w14:textId="77777777" w:rsidR="00A57A86" w:rsidRPr="00746E61" w:rsidRDefault="00A57A86"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Penal de Alajuela</w:t>
            </w:r>
          </w:p>
        </w:tc>
        <w:tc>
          <w:tcPr>
            <w:tcW w:w="1079" w:type="dxa"/>
            <w:tcBorders>
              <w:top w:val="nil"/>
              <w:left w:val="nil"/>
              <w:bottom w:val="single" w:sz="4" w:space="0" w:color="auto"/>
              <w:right w:val="single" w:sz="4" w:space="0" w:color="auto"/>
            </w:tcBorders>
            <w:shd w:val="clear" w:color="auto" w:fill="F2F2F2" w:themeFill="background1" w:themeFillShade="F2"/>
            <w:noWrap/>
            <w:vAlign w:val="center"/>
            <w:hideMark/>
          </w:tcPr>
          <w:p w14:paraId="2D0250AD"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1257</w:t>
            </w:r>
          </w:p>
        </w:tc>
        <w:tc>
          <w:tcPr>
            <w:tcW w:w="1079" w:type="dxa"/>
            <w:tcBorders>
              <w:top w:val="nil"/>
              <w:left w:val="nil"/>
              <w:bottom w:val="single" w:sz="4" w:space="0" w:color="auto"/>
              <w:right w:val="single" w:sz="4" w:space="0" w:color="auto"/>
            </w:tcBorders>
            <w:shd w:val="clear" w:color="auto" w:fill="F2F2F2" w:themeFill="background1" w:themeFillShade="F2"/>
            <w:noWrap/>
            <w:vAlign w:val="center"/>
            <w:hideMark/>
          </w:tcPr>
          <w:p w14:paraId="4CDDC707"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1643</w:t>
            </w:r>
          </w:p>
        </w:tc>
        <w:tc>
          <w:tcPr>
            <w:tcW w:w="1079" w:type="dxa"/>
            <w:tcBorders>
              <w:top w:val="nil"/>
              <w:left w:val="nil"/>
              <w:bottom w:val="single" w:sz="4" w:space="0" w:color="auto"/>
              <w:right w:val="single" w:sz="4" w:space="0" w:color="auto"/>
            </w:tcBorders>
            <w:shd w:val="clear" w:color="auto" w:fill="F2F2F2" w:themeFill="background1" w:themeFillShade="F2"/>
            <w:noWrap/>
            <w:vAlign w:val="center"/>
            <w:hideMark/>
          </w:tcPr>
          <w:p w14:paraId="73292AA3"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2513</w:t>
            </w:r>
          </w:p>
        </w:tc>
        <w:tc>
          <w:tcPr>
            <w:tcW w:w="1963" w:type="dxa"/>
            <w:tcBorders>
              <w:top w:val="nil"/>
              <w:left w:val="nil"/>
              <w:bottom w:val="single" w:sz="4" w:space="0" w:color="auto"/>
              <w:right w:val="single" w:sz="4" w:space="0" w:color="auto"/>
            </w:tcBorders>
            <w:shd w:val="clear" w:color="auto" w:fill="F2F2F2" w:themeFill="background1" w:themeFillShade="F2"/>
            <w:vAlign w:val="center"/>
            <w:hideMark/>
          </w:tcPr>
          <w:p w14:paraId="0D5599EB"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99,92%</w:t>
            </w:r>
          </w:p>
        </w:tc>
        <w:tc>
          <w:tcPr>
            <w:tcW w:w="1842" w:type="dxa"/>
            <w:tcBorders>
              <w:top w:val="nil"/>
              <w:left w:val="nil"/>
              <w:bottom w:val="single" w:sz="4" w:space="0" w:color="auto"/>
              <w:right w:val="single" w:sz="4" w:space="0" w:color="auto"/>
            </w:tcBorders>
            <w:shd w:val="clear" w:color="auto" w:fill="F2F2F2" w:themeFill="background1" w:themeFillShade="F2"/>
            <w:vAlign w:val="center"/>
            <w:hideMark/>
          </w:tcPr>
          <w:p w14:paraId="27FE72A9"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52,95%</w:t>
            </w:r>
          </w:p>
        </w:tc>
      </w:tr>
      <w:tr w:rsidR="00A57A86" w:rsidRPr="00746E61" w14:paraId="4A8B5E7B" w14:textId="77777777" w:rsidTr="00A57A86">
        <w:trPr>
          <w:trHeight w:val="301"/>
          <w:jc w:val="center"/>
        </w:trPr>
        <w:tc>
          <w:tcPr>
            <w:tcW w:w="3159" w:type="dxa"/>
            <w:tcBorders>
              <w:top w:val="nil"/>
              <w:left w:val="single" w:sz="4" w:space="0" w:color="auto"/>
              <w:bottom w:val="single" w:sz="4" w:space="0" w:color="auto"/>
              <w:right w:val="single" w:sz="4" w:space="0" w:color="auto"/>
            </w:tcBorders>
            <w:shd w:val="clear" w:color="auto" w:fill="auto"/>
            <w:noWrap/>
            <w:vAlign w:val="center"/>
            <w:hideMark/>
          </w:tcPr>
          <w:p w14:paraId="7088567E" w14:textId="77777777" w:rsidR="00A57A86" w:rsidRPr="00746E61" w:rsidRDefault="00A57A86"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Penal de Quepos</w:t>
            </w:r>
          </w:p>
        </w:tc>
        <w:tc>
          <w:tcPr>
            <w:tcW w:w="1079" w:type="dxa"/>
            <w:tcBorders>
              <w:top w:val="nil"/>
              <w:left w:val="nil"/>
              <w:bottom w:val="single" w:sz="4" w:space="0" w:color="auto"/>
              <w:right w:val="single" w:sz="4" w:space="0" w:color="auto"/>
            </w:tcBorders>
            <w:shd w:val="clear" w:color="auto" w:fill="auto"/>
            <w:noWrap/>
            <w:vAlign w:val="center"/>
            <w:hideMark/>
          </w:tcPr>
          <w:p w14:paraId="396B1F27"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328</w:t>
            </w:r>
          </w:p>
        </w:tc>
        <w:tc>
          <w:tcPr>
            <w:tcW w:w="1079" w:type="dxa"/>
            <w:tcBorders>
              <w:top w:val="nil"/>
              <w:left w:val="nil"/>
              <w:bottom w:val="single" w:sz="4" w:space="0" w:color="auto"/>
              <w:right w:val="single" w:sz="4" w:space="0" w:color="auto"/>
            </w:tcBorders>
            <w:shd w:val="clear" w:color="auto" w:fill="auto"/>
            <w:noWrap/>
            <w:vAlign w:val="center"/>
            <w:hideMark/>
          </w:tcPr>
          <w:p w14:paraId="5D96ECEA"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491</w:t>
            </w:r>
          </w:p>
        </w:tc>
        <w:tc>
          <w:tcPr>
            <w:tcW w:w="1079" w:type="dxa"/>
            <w:tcBorders>
              <w:top w:val="nil"/>
              <w:left w:val="nil"/>
              <w:bottom w:val="single" w:sz="4" w:space="0" w:color="auto"/>
              <w:right w:val="single" w:sz="4" w:space="0" w:color="auto"/>
            </w:tcBorders>
            <w:shd w:val="clear" w:color="auto" w:fill="auto"/>
            <w:noWrap/>
            <w:vAlign w:val="center"/>
            <w:hideMark/>
          </w:tcPr>
          <w:p w14:paraId="020BAD5F"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608</w:t>
            </w:r>
          </w:p>
        </w:tc>
        <w:tc>
          <w:tcPr>
            <w:tcW w:w="1963" w:type="dxa"/>
            <w:tcBorders>
              <w:top w:val="nil"/>
              <w:left w:val="nil"/>
              <w:bottom w:val="single" w:sz="4" w:space="0" w:color="auto"/>
              <w:right w:val="single" w:sz="4" w:space="0" w:color="auto"/>
            </w:tcBorders>
            <w:shd w:val="clear" w:color="auto" w:fill="auto"/>
            <w:vAlign w:val="center"/>
            <w:hideMark/>
          </w:tcPr>
          <w:p w14:paraId="1506B941"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85,37%</w:t>
            </w:r>
          </w:p>
        </w:tc>
        <w:tc>
          <w:tcPr>
            <w:tcW w:w="1842" w:type="dxa"/>
            <w:tcBorders>
              <w:top w:val="nil"/>
              <w:left w:val="nil"/>
              <w:bottom w:val="single" w:sz="4" w:space="0" w:color="auto"/>
              <w:right w:val="single" w:sz="4" w:space="0" w:color="auto"/>
            </w:tcBorders>
            <w:shd w:val="clear" w:color="auto" w:fill="auto"/>
            <w:vAlign w:val="center"/>
            <w:hideMark/>
          </w:tcPr>
          <w:p w14:paraId="3DFDBEBE"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23,83%</w:t>
            </w:r>
          </w:p>
        </w:tc>
      </w:tr>
      <w:tr w:rsidR="00A57A86" w:rsidRPr="00746E61" w14:paraId="48E253C4" w14:textId="77777777" w:rsidTr="00A57A86">
        <w:trPr>
          <w:trHeight w:val="290"/>
          <w:jc w:val="center"/>
        </w:trPr>
        <w:tc>
          <w:tcPr>
            <w:tcW w:w="3159" w:type="dxa"/>
            <w:tcBorders>
              <w:top w:val="nil"/>
              <w:left w:val="single" w:sz="4" w:space="0" w:color="auto"/>
              <w:bottom w:val="single" w:sz="4" w:space="0" w:color="auto"/>
              <w:right w:val="single" w:sz="4" w:space="0" w:color="auto"/>
            </w:tcBorders>
            <w:shd w:val="clear" w:color="auto" w:fill="auto"/>
            <w:noWrap/>
            <w:vAlign w:val="center"/>
            <w:hideMark/>
          </w:tcPr>
          <w:p w14:paraId="5FB47E42" w14:textId="77777777" w:rsidR="00A57A86" w:rsidRPr="00746E61" w:rsidRDefault="00A57A86"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Penal de Grecia</w:t>
            </w:r>
          </w:p>
        </w:tc>
        <w:tc>
          <w:tcPr>
            <w:tcW w:w="1079" w:type="dxa"/>
            <w:tcBorders>
              <w:top w:val="nil"/>
              <w:left w:val="nil"/>
              <w:bottom w:val="single" w:sz="4" w:space="0" w:color="auto"/>
              <w:right w:val="single" w:sz="4" w:space="0" w:color="auto"/>
            </w:tcBorders>
            <w:shd w:val="clear" w:color="auto" w:fill="auto"/>
            <w:noWrap/>
            <w:vAlign w:val="center"/>
            <w:hideMark/>
          </w:tcPr>
          <w:p w14:paraId="2A5C8132"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88</w:t>
            </w:r>
          </w:p>
        </w:tc>
        <w:tc>
          <w:tcPr>
            <w:tcW w:w="1079" w:type="dxa"/>
            <w:tcBorders>
              <w:top w:val="nil"/>
              <w:left w:val="nil"/>
              <w:bottom w:val="single" w:sz="4" w:space="0" w:color="auto"/>
              <w:right w:val="single" w:sz="4" w:space="0" w:color="auto"/>
            </w:tcBorders>
            <w:shd w:val="clear" w:color="auto" w:fill="auto"/>
            <w:noWrap/>
            <w:vAlign w:val="center"/>
            <w:hideMark/>
          </w:tcPr>
          <w:p w14:paraId="39D51F20"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111</w:t>
            </w:r>
          </w:p>
        </w:tc>
        <w:tc>
          <w:tcPr>
            <w:tcW w:w="1079" w:type="dxa"/>
            <w:tcBorders>
              <w:top w:val="nil"/>
              <w:left w:val="nil"/>
              <w:bottom w:val="single" w:sz="4" w:space="0" w:color="auto"/>
              <w:right w:val="single" w:sz="4" w:space="0" w:color="auto"/>
            </w:tcBorders>
            <w:shd w:val="clear" w:color="auto" w:fill="auto"/>
            <w:noWrap/>
            <w:vAlign w:val="center"/>
            <w:hideMark/>
          </w:tcPr>
          <w:p w14:paraId="4017DECC"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153</w:t>
            </w:r>
          </w:p>
        </w:tc>
        <w:tc>
          <w:tcPr>
            <w:tcW w:w="1963" w:type="dxa"/>
            <w:tcBorders>
              <w:top w:val="nil"/>
              <w:left w:val="nil"/>
              <w:bottom w:val="single" w:sz="4" w:space="0" w:color="auto"/>
              <w:right w:val="single" w:sz="4" w:space="0" w:color="auto"/>
            </w:tcBorders>
            <w:shd w:val="clear" w:color="auto" w:fill="auto"/>
            <w:vAlign w:val="center"/>
            <w:hideMark/>
          </w:tcPr>
          <w:p w14:paraId="6ECB1F95"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73,86%</w:t>
            </w:r>
          </w:p>
        </w:tc>
        <w:tc>
          <w:tcPr>
            <w:tcW w:w="1842" w:type="dxa"/>
            <w:tcBorders>
              <w:top w:val="nil"/>
              <w:left w:val="nil"/>
              <w:bottom w:val="single" w:sz="4" w:space="0" w:color="auto"/>
              <w:right w:val="single" w:sz="4" w:space="0" w:color="auto"/>
            </w:tcBorders>
            <w:shd w:val="clear" w:color="auto" w:fill="auto"/>
            <w:vAlign w:val="center"/>
            <w:hideMark/>
          </w:tcPr>
          <w:p w14:paraId="0187916A"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37,84%</w:t>
            </w:r>
          </w:p>
        </w:tc>
      </w:tr>
      <w:tr w:rsidR="00A57A86" w:rsidRPr="00746E61" w14:paraId="659375A1" w14:textId="77777777" w:rsidTr="00A57A86">
        <w:trPr>
          <w:trHeight w:val="290"/>
          <w:jc w:val="center"/>
        </w:trPr>
        <w:tc>
          <w:tcPr>
            <w:tcW w:w="3159" w:type="dxa"/>
            <w:tcBorders>
              <w:top w:val="nil"/>
              <w:left w:val="single" w:sz="4" w:space="0" w:color="auto"/>
              <w:bottom w:val="single" w:sz="4" w:space="0" w:color="auto"/>
              <w:right w:val="single" w:sz="4" w:space="0" w:color="auto"/>
            </w:tcBorders>
            <w:shd w:val="clear" w:color="auto" w:fill="auto"/>
            <w:noWrap/>
            <w:vAlign w:val="center"/>
            <w:hideMark/>
          </w:tcPr>
          <w:p w14:paraId="2DB47241" w14:textId="77777777" w:rsidR="00A57A86" w:rsidRPr="00746E61" w:rsidRDefault="00A57A86"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Penal de Cañas</w:t>
            </w:r>
          </w:p>
        </w:tc>
        <w:tc>
          <w:tcPr>
            <w:tcW w:w="1079" w:type="dxa"/>
            <w:tcBorders>
              <w:top w:val="nil"/>
              <w:left w:val="nil"/>
              <w:bottom w:val="single" w:sz="4" w:space="0" w:color="auto"/>
              <w:right w:val="single" w:sz="4" w:space="0" w:color="auto"/>
            </w:tcBorders>
            <w:shd w:val="clear" w:color="auto" w:fill="auto"/>
            <w:noWrap/>
            <w:vAlign w:val="center"/>
            <w:hideMark/>
          </w:tcPr>
          <w:p w14:paraId="7E8FE3B4"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354</w:t>
            </w:r>
          </w:p>
        </w:tc>
        <w:tc>
          <w:tcPr>
            <w:tcW w:w="1079" w:type="dxa"/>
            <w:tcBorders>
              <w:top w:val="nil"/>
              <w:left w:val="nil"/>
              <w:bottom w:val="single" w:sz="4" w:space="0" w:color="auto"/>
              <w:right w:val="single" w:sz="4" w:space="0" w:color="auto"/>
            </w:tcBorders>
            <w:shd w:val="clear" w:color="auto" w:fill="auto"/>
            <w:noWrap/>
            <w:vAlign w:val="center"/>
            <w:hideMark/>
          </w:tcPr>
          <w:p w14:paraId="711F6427"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482</w:t>
            </w:r>
          </w:p>
        </w:tc>
        <w:tc>
          <w:tcPr>
            <w:tcW w:w="1079" w:type="dxa"/>
            <w:tcBorders>
              <w:top w:val="nil"/>
              <w:left w:val="nil"/>
              <w:bottom w:val="single" w:sz="4" w:space="0" w:color="auto"/>
              <w:right w:val="single" w:sz="4" w:space="0" w:color="auto"/>
            </w:tcBorders>
            <w:shd w:val="clear" w:color="auto" w:fill="auto"/>
            <w:noWrap/>
            <w:vAlign w:val="center"/>
            <w:hideMark/>
          </w:tcPr>
          <w:p w14:paraId="5C521E6F"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571</w:t>
            </w:r>
          </w:p>
        </w:tc>
        <w:tc>
          <w:tcPr>
            <w:tcW w:w="1963" w:type="dxa"/>
            <w:tcBorders>
              <w:top w:val="nil"/>
              <w:left w:val="nil"/>
              <w:bottom w:val="single" w:sz="4" w:space="0" w:color="auto"/>
              <w:right w:val="single" w:sz="4" w:space="0" w:color="auto"/>
            </w:tcBorders>
            <w:shd w:val="clear" w:color="auto" w:fill="auto"/>
            <w:vAlign w:val="center"/>
            <w:hideMark/>
          </w:tcPr>
          <w:p w14:paraId="55666250"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61,30%</w:t>
            </w:r>
          </w:p>
        </w:tc>
        <w:tc>
          <w:tcPr>
            <w:tcW w:w="1842" w:type="dxa"/>
            <w:tcBorders>
              <w:top w:val="nil"/>
              <w:left w:val="nil"/>
              <w:bottom w:val="single" w:sz="4" w:space="0" w:color="auto"/>
              <w:right w:val="single" w:sz="4" w:space="0" w:color="auto"/>
            </w:tcBorders>
            <w:shd w:val="clear" w:color="auto" w:fill="auto"/>
            <w:vAlign w:val="center"/>
            <w:hideMark/>
          </w:tcPr>
          <w:p w14:paraId="53D676AC"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18,46%</w:t>
            </w:r>
          </w:p>
        </w:tc>
      </w:tr>
      <w:tr w:rsidR="00A57A86" w:rsidRPr="00746E61" w14:paraId="246ACC23" w14:textId="77777777" w:rsidTr="00A57A86">
        <w:trPr>
          <w:trHeight w:val="290"/>
          <w:jc w:val="center"/>
        </w:trPr>
        <w:tc>
          <w:tcPr>
            <w:tcW w:w="3159" w:type="dxa"/>
            <w:tcBorders>
              <w:top w:val="nil"/>
              <w:left w:val="single" w:sz="4" w:space="0" w:color="auto"/>
              <w:bottom w:val="single" w:sz="4" w:space="0" w:color="auto"/>
              <w:right w:val="single" w:sz="4" w:space="0" w:color="auto"/>
            </w:tcBorders>
            <w:shd w:val="clear" w:color="auto" w:fill="auto"/>
            <w:noWrap/>
            <w:vAlign w:val="center"/>
            <w:hideMark/>
          </w:tcPr>
          <w:p w14:paraId="651496D3" w14:textId="77777777" w:rsidR="00A57A86" w:rsidRPr="00746E61" w:rsidRDefault="00A57A86"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 xml:space="preserve">Tribunal Penal de Cartago </w:t>
            </w:r>
          </w:p>
        </w:tc>
        <w:tc>
          <w:tcPr>
            <w:tcW w:w="1079" w:type="dxa"/>
            <w:tcBorders>
              <w:top w:val="nil"/>
              <w:left w:val="nil"/>
              <w:bottom w:val="single" w:sz="4" w:space="0" w:color="auto"/>
              <w:right w:val="single" w:sz="4" w:space="0" w:color="auto"/>
            </w:tcBorders>
            <w:shd w:val="clear" w:color="auto" w:fill="auto"/>
            <w:noWrap/>
            <w:vAlign w:val="center"/>
            <w:hideMark/>
          </w:tcPr>
          <w:p w14:paraId="61EB07B9"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1004</w:t>
            </w:r>
          </w:p>
        </w:tc>
        <w:tc>
          <w:tcPr>
            <w:tcW w:w="1079" w:type="dxa"/>
            <w:tcBorders>
              <w:top w:val="nil"/>
              <w:left w:val="nil"/>
              <w:bottom w:val="single" w:sz="4" w:space="0" w:color="auto"/>
              <w:right w:val="single" w:sz="4" w:space="0" w:color="auto"/>
            </w:tcBorders>
            <w:shd w:val="clear" w:color="auto" w:fill="auto"/>
            <w:noWrap/>
            <w:vAlign w:val="center"/>
            <w:hideMark/>
          </w:tcPr>
          <w:p w14:paraId="109433B4"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1165</w:t>
            </w:r>
          </w:p>
        </w:tc>
        <w:tc>
          <w:tcPr>
            <w:tcW w:w="1079" w:type="dxa"/>
            <w:tcBorders>
              <w:top w:val="nil"/>
              <w:left w:val="nil"/>
              <w:bottom w:val="single" w:sz="4" w:space="0" w:color="auto"/>
              <w:right w:val="single" w:sz="4" w:space="0" w:color="auto"/>
            </w:tcBorders>
            <w:shd w:val="clear" w:color="auto" w:fill="auto"/>
            <w:noWrap/>
            <w:vAlign w:val="center"/>
            <w:hideMark/>
          </w:tcPr>
          <w:p w14:paraId="20903EA9"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1606</w:t>
            </w:r>
          </w:p>
        </w:tc>
        <w:tc>
          <w:tcPr>
            <w:tcW w:w="1963" w:type="dxa"/>
            <w:tcBorders>
              <w:top w:val="nil"/>
              <w:left w:val="nil"/>
              <w:bottom w:val="single" w:sz="4" w:space="0" w:color="auto"/>
              <w:right w:val="single" w:sz="4" w:space="0" w:color="auto"/>
            </w:tcBorders>
            <w:shd w:val="clear" w:color="auto" w:fill="auto"/>
            <w:vAlign w:val="center"/>
            <w:hideMark/>
          </w:tcPr>
          <w:p w14:paraId="58C08AB2"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59,96%</w:t>
            </w:r>
          </w:p>
        </w:tc>
        <w:tc>
          <w:tcPr>
            <w:tcW w:w="1842" w:type="dxa"/>
            <w:tcBorders>
              <w:top w:val="nil"/>
              <w:left w:val="nil"/>
              <w:bottom w:val="single" w:sz="4" w:space="0" w:color="auto"/>
              <w:right w:val="single" w:sz="4" w:space="0" w:color="auto"/>
            </w:tcBorders>
            <w:shd w:val="clear" w:color="auto" w:fill="auto"/>
            <w:vAlign w:val="center"/>
            <w:hideMark/>
          </w:tcPr>
          <w:p w14:paraId="6D95BC6E"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37,85%</w:t>
            </w:r>
          </w:p>
        </w:tc>
      </w:tr>
      <w:tr w:rsidR="00A57A86" w:rsidRPr="00746E61" w14:paraId="23B65BC7" w14:textId="77777777" w:rsidTr="00A57A86">
        <w:trPr>
          <w:trHeight w:val="290"/>
          <w:jc w:val="center"/>
        </w:trPr>
        <w:tc>
          <w:tcPr>
            <w:tcW w:w="3159" w:type="dxa"/>
            <w:tcBorders>
              <w:top w:val="nil"/>
              <w:left w:val="single" w:sz="4" w:space="0" w:color="auto"/>
              <w:bottom w:val="single" w:sz="4" w:space="0" w:color="auto"/>
              <w:right w:val="single" w:sz="4" w:space="0" w:color="auto"/>
            </w:tcBorders>
            <w:shd w:val="clear" w:color="auto" w:fill="auto"/>
            <w:noWrap/>
            <w:vAlign w:val="center"/>
            <w:hideMark/>
          </w:tcPr>
          <w:p w14:paraId="30261E14" w14:textId="77777777" w:rsidR="00A57A86" w:rsidRPr="00746E61" w:rsidRDefault="00A57A86"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Penal de Heredia</w:t>
            </w:r>
          </w:p>
        </w:tc>
        <w:tc>
          <w:tcPr>
            <w:tcW w:w="1079" w:type="dxa"/>
            <w:tcBorders>
              <w:top w:val="nil"/>
              <w:left w:val="nil"/>
              <w:bottom w:val="single" w:sz="4" w:space="0" w:color="auto"/>
              <w:right w:val="single" w:sz="4" w:space="0" w:color="auto"/>
            </w:tcBorders>
            <w:shd w:val="clear" w:color="auto" w:fill="auto"/>
            <w:noWrap/>
            <w:vAlign w:val="center"/>
            <w:hideMark/>
          </w:tcPr>
          <w:p w14:paraId="415CA40E"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1149</w:t>
            </w:r>
          </w:p>
        </w:tc>
        <w:tc>
          <w:tcPr>
            <w:tcW w:w="1079" w:type="dxa"/>
            <w:tcBorders>
              <w:top w:val="nil"/>
              <w:left w:val="nil"/>
              <w:bottom w:val="single" w:sz="4" w:space="0" w:color="auto"/>
              <w:right w:val="single" w:sz="4" w:space="0" w:color="auto"/>
            </w:tcBorders>
            <w:shd w:val="clear" w:color="auto" w:fill="auto"/>
            <w:noWrap/>
            <w:vAlign w:val="center"/>
            <w:hideMark/>
          </w:tcPr>
          <w:p w14:paraId="1A0E8F2B"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1379</w:t>
            </w:r>
          </w:p>
        </w:tc>
        <w:tc>
          <w:tcPr>
            <w:tcW w:w="1079" w:type="dxa"/>
            <w:tcBorders>
              <w:top w:val="nil"/>
              <w:left w:val="nil"/>
              <w:bottom w:val="single" w:sz="4" w:space="0" w:color="auto"/>
              <w:right w:val="single" w:sz="4" w:space="0" w:color="auto"/>
            </w:tcBorders>
            <w:shd w:val="clear" w:color="auto" w:fill="auto"/>
            <w:noWrap/>
            <w:vAlign w:val="center"/>
            <w:hideMark/>
          </w:tcPr>
          <w:p w14:paraId="3B97358B"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1827</w:t>
            </w:r>
          </w:p>
        </w:tc>
        <w:tc>
          <w:tcPr>
            <w:tcW w:w="1963" w:type="dxa"/>
            <w:tcBorders>
              <w:top w:val="nil"/>
              <w:left w:val="nil"/>
              <w:bottom w:val="single" w:sz="4" w:space="0" w:color="auto"/>
              <w:right w:val="single" w:sz="4" w:space="0" w:color="auto"/>
            </w:tcBorders>
            <w:shd w:val="clear" w:color="auto" w:fill="auto"/>
            <w:vAlign w:val="center"/>
            <w:hideMark/>
          </w:tcPr>
          <w:p w14:paraId="32EDF5EE"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59,01%</w:t>
            </w:r>
          </w:p>
        </w:tc>
        <w:tc>
          <w:tcPr>
            <w:tcW w:w="1842" w:type="dxa"/>
            <w:tcBorders>
              <w:top w:val="nil"/>
              <w:left w:val="nil"/>
              <w:bottom w:val="single" w:sz="4" w:space="0" w:color="auto"/>
              <w:right w:val="single" w:sz="4" w:space="0" w:color="auto"/>
            </w:tcBorders>
            <w:shd w:val="clear" w:color="auto" w:fill="auto"/>
            <w:vAlign w:val="center"/>
            <w:hideMark/>
          </w:tcPr>
          <w:p w14:paraId="6E007C88"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32,49%</w:t>
            </w:r>
          </w:p>
        </w:tc>
      </w:tr>
      <w:tr w:rsidR="00A57A86" w:rsidRPr="00746E61" w14:paraId="103C4BA9" w14:textId="77777777" w:rsidTr="002604DF">
        <w:trPr>
          <w:trHeight w:val="290"/>
          <w:jc w:val="center"/>
        </w:trPr>
        <w:tc>
          <w:tcPr>
            <w:tcW w:w="3159"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5EBAA33" w14:textId="77777777" w:rsidR="00A57A86" w:rsidRPr="00746E61" w:rsidRDefault="00A57A86"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Penal de Goicochea</w:t>
            </w:r>
          </w:p>
        </w:tc>
        <w:tc>
          <w:tcPr>
            <w:tcW w:w="1079" w:type="dxa"/>
            <w:tcBorders>
              <w:top w:val="nil"/>
              <w:left w:val="nil"/>
              <w:bottom w:val="single" w:sz="4" w:space="0" w:color="auto"/>
              <w:right w:val="single" w:sz="4" w:space="0" w:color="auto"/>
            </w:tcBorders>
            <w:shd w:val="clear" w:color="auto" w:fill="F2F2F2" w:themeFill="background1" w:themeFillShade="F2"/>
            <w:noWrap/>
            <w:vAlign w:val="center"/>
            <w:hideMark/>
          </w:tcPr>
          <w:p w14:paraId="5CED3640"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1501</w:t>
            </w:r>
          </w:p>
        </w:tc>
        <w:tc>
          <w:tcPr>
            <w:tcW w:w="1079" w:type="dxa"/>
            <w:tcBorders>
              <w:top w:val="nil"/>
              <w:left w:val="nil"/>
              <w:bottom w:val="single" w:sz="4" w:space="0" w:color="auto"/>
              <w:right w:val="single" w:sz="4" w:space="0" w:color="auto"/>
            </w:tcBorders>
            <w:shd w:val="clear" w:color="auto" w:fill="F2F2F2" w:themeFill="background1" w:themeFillShade="F2"/>
            <w:noWrap/>
            <w:vAlign w:val="center"/>
            <w:hideMark/>
          </w:tcPr>
          <w:p w14:paraId="13471948"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1843</w:t>
            </w:r>
          </w:p>
        </w:tc>
        <w:tc>
          <w:tcPr>
            <w:tcW w:w="1079" w:type="dxa"/>
            <w:tcBorders>
              <w:top w:val="nil"/>
              <w:left w:val="nil"/>
              <w:bottom w:val="single" w:sz="4" w:space="0" w:color="auto"/>
              <w:right w:val="single" w:sz="4" w:space="0" w:color="auto"/>
            </w:tcBorders>
            <w:shd w:val="clear" w:color="auto" w:fill="F2F2F2" w:themeFill="background1" w:themeFillShade="F2"/>
            <w:noWrap/>
            <w:vAlign w:val="center"/>
            <w:hideMark/>
          </w:tcPr>
          <w:p w14:paraId="29A1A571"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1949</w:t>
            </w:r>
          </w:p>
        </w:tc>
        <w:tc>
          <w:tcPr>
            <w:tcW w:w="1963" w:type="dxa"/>
            <w:tcBorders>
              <w:top w:val="nil"/>
              <w:left w:val="nil"/>
              <w:bottom w:val="single" w:sz="4" w:space="0" w:color="auto"/>
              <w:right w:val="single" w:sz="4" w:space="0" w:color="auto"/>
            </w:tcBorders>
            <w:shd w:val="clear" w:color="auto" w:fill="F2F2F2" w:themeFill="background1" w:themeFillShade="F2"/>
            <w:vAlign w:val="center"/>
            <w:hideMark/>
          </w:tcPr>
          <w:p w14:paraId="3954A210"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29,85%</w:t>
            </w:r>
          </w:p>
        </w:tc>
        <w:tc>
          <w:tcPr>
            <w:tcW w:w="1842" w:type="dxa"/>
            <w:tcBorders>
              <w:top w:val="nil"/>
              <w:left w:val="nil"/>
              <w:bottom w:val="single" w:sz="4" w:space="0" w:color="auto"/>
              <w:right w:val="single" w:sz="4" w:space="0" w:color="auto"/>
            </w:tcBorders>
            <w:shd w:val="clear" w:color="auto" w:fill="F2F2F2" w:themeFill="background1" w:themeFillShade="F2"/>
            <w:vAlign w:val="center"/>
            <w:hideMark/>
          </w:tcPr>
          <w:p w14:paraId="7EDA1A9F"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5,75%</w:t>
            </w:r>
          </w:p>
        </w:tc>
      </w:tr>
      <w:tr w:rsidR="00A57A86" w:rsidRPr="00746E61" w14:paraId="23F9C897" w14:textId="77777777" w:rsidTr="00A57A86">
        <w:trPr>
          <w:trHeight w:val="290"/>
          <w:jc w:val="center"/>
        </w:trPr>
        <w:tc>
          <w:tcPr>
            <w:tcW w:w="3159" w:type="dxa"/>
            <w:tcBorders>
              <w:top w:val="nil"/>
              <w:left w:val="single" w:sz="4" w:space="0" w:color="auto"/>
              <w:bottom w:val="single" w:sz="4" w:space="0" w:color="auto"/>
              <w:right w:val="single" w:sz="4" w:space="0" w:color="auto"/>
            </w:tcBorders>
            <w:shd w:val="clear" w:color="auto" w:fill="auto"/>
            <w:noWrap/>
            <w:vAlign w:val="center"/>
            <w:hideMark/>
          </w:tcPr>
          <w:p w14:paraId="742F5CA5" w14:textId="77777777" w:rsidR="00A57A86" w:rsidRPr="00746E61" w:rsidRDefault="00A57A86"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Penal de Desamparados</w:t>
            </w:r>
          </w:p>
        </w:tc>
        <w:tc>
          <w:tcPr>
            <w:tcW w:w="1079" w:type="dxa"/>
            <w:tcBorders>
              <w:top w:val="nil"/>
              <w:left w:val="nil"/>
              <w:bottom w:val="single" w:sz="4" w:space="0" w:color="auto"/>
              <w:right w:val="single" w:sz="4" w:space="0" w:color="auto"/>
            </w:tcBorders>
            <w:shd w:val="clear" w:color="auto" w:fill="auto"/>
            <w:noWrap/>
            <w:vAlign w:val="center"/>
            <w:hideMark/>
          </w:tcPr>
          <w:p w14:paraId="5802265E"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214</w:t>
            </w:r>
          </w:p>
        </w:tc>
        <w:tc>
          <w:tcPr>
            <w:tcW w:w="1079" w:type="dxa"/>
            <w:tcBorders>
              <w:top w:val="nil"/>
              <w:left w:val="nil"/>
              <w:bottom w:val="single" w:sz="4" w:space="0" w:color="auto"/>
              <w:right w:val="single" w:sz="4" w:space="0" w:color="auto"/>
            </w:tcBorders>
            <w:shd w:val="clear" w:color="auto" w:fill="auto"/>
            <w:noWrap/>
            <w:vAlign w:val="center"/>
            <w:hideMark/>
          </w:tcPr>
          <w:p w14:paraId="6586CAE0"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266</w:t>
            </w:r>
          </w:p>
        </w:tc>
        <w:tc>
          <w:tcPr>
            <w:tcW w:w="1079" w:type="dxa"/>
            <w:tcBorders>
              <w:top w:val="nil"/>
              <w:left w:val="nil"/>
              <w:bottom w:val="single" w:sz="4" w:space="0" w:color="auto"/>
              <w:right w:val="single" w:sz="4" w:space="0" w:color="auto"/>
            </w:tcBorders>
            <w:shd w:val="clear" w:color="auto" w:fill="auto"/>
            <w:noWrap/>
            <w:vAlign w:val="center"/>
            <w:hideMark/>
          </w:tcPr>
          <w:p w14:paraId="7F21CE56"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277</w:t>
            </w:r>
          </w:p>
        </w:tc>
        <w:tc>
          <w:tcPr>
            <w:tcW w:w="1963" w:type="dxa"/>
            <w:tcBorders>
              <w:top w:val="nil"/>
              <w:left w:val="nil"/>
              <w:bottom w:val="single" w:sz="4" w:space="0" w:color="auto"/>
              <w:right w:val="single" w:sz="4" w:space="0" w:color="auto"/>
            </w:tcBorders>
            <w:shd w:val="clear" w:color="auto" w:fill="auto"/>
            <w:vAlign w:val="center"/>
            <w:hideMark/>
          </w:tcPr>
          <w:p w14:paraId="4EF5A6B6"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29,44%</w:t>
            </w:r>
          </w:p>
        </w:tc>
        <w:tc>
          <w:tcPr>
            <w:tcW w:w="1842" w:type="dxa"/>
            <w:tcBorders>
              <w:top w:val="nil"/>
              <w:left w:val="nil"/>
              <w:bottom w:val="single" w:sz="4" w:space="0" w:color="auto"/>
              <w:right w:val="single" w:sz="4" w:space="0" w:color="auto"/>
            </w:tcBorders>
            <w:shd w:val="clear" w:color="auto" w:fill="auto"/>
            <w:vAlign w:val="center"/>
            <w:hideMark/>
          </w:tcPr>
          <w:p w14:paraId="41097C7E"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4,14%</w:t>
            </w:r>
          </w:p>
        </w:tc>
      </w:tr>
      <w:tr w:rsidR="00A57A86" w:rsidRPr="00746E61" w14:paraId="2552C849" w14:textId="77777777" w:rsidTr="002604DF">
        <w:trPr>
          <w:trHeight w:val="290"/>
          <w:jc w:val="center"/>
        </w:trPr>
        <w:tc>
          <w:tcPr>
            <w:tcW w:w="3159"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0910207" w14:textId="77777777" w:rsidR="00A57A86" w:rsidRPr="00746E61" w:rsidRDefault="00A57A86"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Penal de Limón</w:t>
            </w:r>
          </w:p>
        </w:tc>
        <w:tc>
          <w:tcPr>
            <w:tcW w:w="1079" w:type="dxa"/>
            <w:tcBorders>
              <w:top w:val="nil"/>
              <w:left w:val="nil"/>
              <w:bottom w:val="single" w:sz="4" w:space="0" w:color="auto"/>
              <w:right w:val="single" w:sz="4" w:space="0" w:color="auto"/>
            </w:tcBorders>
            <w:shd w:val="clear" w:color="auto" w:fill="F2F2F2" w:themeFill="background1" w:themeFillShade="F2"/>
            <w:noWrap/>
            <w:vAlign w:val="center"/>
            <w:hideMark/>
          </w:tcPr>
          <w:p w14:paraId="160790BA"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2189</w:t>
            </w:r>
          </w:p>
        </w:tc>
        <w:tc>
          <w:tcPr>
            <w:tcW w:w="1079" w:type="dxa"/>
            <w:tcBorders>
              <w:top w:val="nil"/>
              <w:left w:val="nil"/>
              <w:bottom w:val="single" w:sz="4" w:space="0" w:color="auto"/>
              <w:right w:val="single" w:sz="4" w:space="0" w:color="auto"/>
            </w:tcBorders>
            <w:shd w:val="clear" w:color="auto" w:fill="F2F2F2" w:themeFill="background1" w:themeFillShade="F2"/>
            <w:noWrap/>
            <w:vAlign w:val="center"/>
            <w:hideMark/>
          </w:tcPr>
          <w:p w14:paraId="3B47DC4E"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2547</w:t>
            </w:r>
          </w:p>
        </w:tc>
        <w:tc>
          <w:tcPr>
            <w:tcW w:w="1079" w:type="dxa"/>
            <w:tcBorders>
              <w:top w:val="nil"/>
              <w:left w:val="nil"/>
              <w:bottom w:val="single" w:sz="4" w:space="0" w:color="auto"/>
              <w:right w:val="single" w:sz="4" w:space="0" w:color="auto"/>
            </w:tcBorders>
            <w:shd w:val="clear" w:color="auto" w:fill="F2F2F2" w:themeFill="background1" w:themeFillShade="F2"/>
            <w:noWrap/>
            <w:vAlign w:val="center"/>
            <w:hideMark/>
          </w:tcPr>
          <w:p w14:paraId="4EDB60AC"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2789</w:t>
            </w:r>
          </w:p>
        </w:tc>
        <w:tc>
          <w:tcPr>
            <w:tcW w:w="1963" w:type="dxa"/>
            <w:tcBorders>
              <w:top w:val="nil"/>
              <w:left w:val="nil"/>
              <w:bottom w:val="single" w:sz="4" w:space="0" w:color="auto"/>
              <w:right w:val="single" w:sz="4" w:space="0" w:color="auto"/>
            </w:tcBorders>
            <w:shd w:val="clear" w:color="auto" w:fill="F2F2F2" w:themeFill="background1" w:themeFillShade="F2"/>
            <w:vAlign w:val="center"/>
            <w:hideMark/>
          </w:tcPr>
          <w:p w14:paraId="51187323"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27,41%</w:t>
            </w:r>
          </w:p>
        </w:tc>
        <w:tc>
          <w:tcPr>
            <w:tcW w:w="1842" w:type="dxa"/>
            <w:tcBorders>
              <w:top w:val="nil"/>
              <w:left w:val="nil"/>
              <w:bottom w:val="single" w:sz="4" w:space="0" w:color="auto"/>
              <w:right w:val="single" w:sz="4" w:space="0" w:color="auto"/>
            </w:tcBorders>
            <w:shd w:val="clear" w:color="auto" w:fill="F2F2F2" w:themeFill="background1" w:themeFillShade="F2"/>
            <w:vAlign w:val="center"/>
            <w:hideMark/>
          </w:tcPr>
          <w:p w14:paraId="3205D896"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9,50%</w:t>
            </w:r>
          </w:p>
        </w:tc>
      </w:tr>
      <w:tr w:rsidR="00A57A86" w:rsidRPr="00746E61" w14:paraId="4C285CAE" w14:textId="77777777" w:rsidTr="00A57A86">
        <w:trPr>
          <w:trHeight w:val="290"/>
          <w:jc w:val="center"/>
        </w:trPr>
        <w:tc>
          <w:tcPr>
            <w:tcW w:w="3159" w:type="dxa"/>
            <w:tcBorders>
              <w:top w:val="nil"/>
              <w:left w:val="single" w:sz="4" w:space="0" w:color="auto"/>
              <w:bottom w:val="single" w:sz="4" w:space="0" w:color="auto"/>
              <w:right w:val="single" w:sz="4" w:space="0" w:color="auto"/>
            </w:tcBorders>
            <w:shd w:val="clear" w:color="auto" w:fill="auto"/>
            <w:noWrap/>
            <w:vAlign w:val="center"/>
            <w:hideMark/>
          </w:tcPr>
          <w:p w14:paraId="73DA7188" w14:textId="77777777" w:rsidR="00A57A86" w:rsidRPr="00746E61" w:rsidRDefault="00A57A86"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Penal de Puntarenas</w:t>
            </w:r>
          </w:p>
        </w:tc>
        <w:tc>
          <w:tcPr>
            <w:tcW w:w="1079" w:type="dxa"/>
            <w:tcBorders>
              <w:top w:val="nil"/>
              <w:left w:val="nil"/>
              <w:bottom w:val="single" w:sz="4" w:space="0" w:color="auto"/>
              <w:right w:val="single" w:sz="4" w:space="0" w:color="auto"/>
            </w:tcBorders>
            <w:shd w:val="clear" w:color="auto" w:fill="auto"/>
            <w:noWrap/>
            <w:vAlign w:val="center"/>
            <w:hideMark/>
          </w:tcPr>
          <w:p w14:paraId="1E426685"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739</w:t>
            </w:r>
          </w:p>
        </w:tc>
        <w:tc>
          <w:tcPr>
            <w:tcW w:w="1079" w:type="dxa"/>
            <w:tcBorders>
              <w:top w:val="nil"/>
              <w:left w:val="nil"/>
              <w:bottom w:val="single" w:sz="4" w:space="0" w:color="auto"/>
              <w:right w:val="single" w:sz="4" w:space="0" w:color="auto"/>
            </w:tcBorders>
            <w:shd w:val="clear" w:color="auto" w:fill="auto"/>
            <w:noWrap/>
            <w:vAlign w:val="center"/>
            <w:hideMark/>
          </w:tcPr>
          <w:p w14:paraId="7463B662"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895</w:t>
            </w:r>
          </w:p>
        </w:tc>
        <w:tc>
          <w:tcPr>
            <w:tcW w:w="1079" w:type="dxa"/>
            <w:tcBorders>
              <w:top w:val="nil"/>
              <w:left w:val="nil"/>
              <w:bottom w:val="single" w:sz="4" w:space="0" w:color="auto"/>
              <w:right w:val="single" w:sz="4" w:space="0" w:color="auto"/>
            </w:tcBorders>
            <w:shd w:val="clear" w:color="auto" w:fill="auto"/>
            <w:noWrap/>
            <w:vAlign w:val="center"/>
            <w:hideMark/>
          </w:tcPr>
          <w:p w14:paraId="3058C50A"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932</w:t>
            </w:r>
          </w:p>
        </w:tc>
        <w:tc>
          <w:tcPr>
            <w:tcW w:w="1963" w:type="dxa"/>
            <w:tcBorders>
              <w:top w:val="nil"/>
              <w:left w:val="nil"/>
              <w:bottom w:val="single" w:sz="4" w:space="0" w:color="auto"/>
              <w:right w:val="single" w:sz="4" w:space="0" w:color="auto"/>
            </w:tcBorders>
            <w:shd w:val="clear" w:color="auto" w:fill="auto"/>
            <w:vAlign w:val="center"/>
            <w:hideMark/>
          </w:tcPr>
          <w:p w14:paraId="588BD8CA"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26,12%</w:t>
            </w:r>
          </w:p>
        </w:tc>
        <w:tc>
          <w:tcPr>
            <w:tcW w:w="1842" w:type="dxa"/>
            <w:tcBorders>
              <w:top w:val="nil"/>
              <w:left w:val="nil"/>
              <w:bottom w:val="single" w:sz="4" w:space="0" w:color="auto"/>
              <w:right w:val="single" w:sz="4" w:space="0" w:color="auto"/>
            </w:tcBorders>
            <w:shd w:val="clear" w:color="auto" w:fill="auto"/>
            <w:vAlign w:val="center"/>
            <w:hideMark/>
          </w:tcPr>
          <w:p w14:paraId="08089427"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4,13%</w:t>
            </w:r>
          </w:p>
        </w:tc>
      </w:tr>
      <w:tr w:rsidR="00A57A86" w:rsidRPr="00746E61" w14:paraId="42D933DB" w14:textId="77777777" w:rsidTr="00A57A86">
        <w:trPr>
          <w:trHeight w:val="290"/>
          <w:jc w:val="center"/>
        </w:trPr>
        <w:tc>
          <w:tcPr>
            <w:tcW w:w="3159" w:type="dxa"/>
            <w:tcBorders>
              <w:top w:val="nil"/>
              <w:left w:val="single" w:sz="4" w:space="0" w:color="auto"/>
              <w:bottom w:val="single" w:sz="4" w:space="0" w:color="auto"/>
              <w:right w:val="single" w:sz="4" w:space="0" w:color="auto"/>
            </w:tcBorders>
            <w:shd w:val="clear" w:color="auto" w:fill="auto"/>
            <w:noWrap/>
            <w:vAlign w:val="center"/>
            <w:hideMark/>
          </w:tcPr>
          <w:p w14:paraId="4378681C" w14:textId="77777777" w:rsidR="00A57A86" w:rsidRPr="00746E61" w:rsidRDefault="00A57A86"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Penal de Santa Cruz</w:t>
            </w:r>
          </w:p>
        </w:tc>
        <w:tc>
          <w:tcPr>
            <w:tcW w:w="1079" w:type="dxa"/>
            <w:tcBorders>
              <w:top w:val="nil"/>
              <w:left w:val="nil"/>
              <w:bottom w:val="single" w:sz="4" w:space="0" w:color="auto"/>
              <w:right w:val="single" w:sz="4" w:space="0" w:color="auto"/>
            </w:tcBorders>
            <w:shd w:val="clear" w:color="auto" w:fill="auto"/>
            <w:noWrap/>
            <w:vAlign w:val="center"/>
            <w:hideMark/>
          </w:tcPr>
          <w:p w14:paraId="7D3EDF66"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749</w:t>
            </w:r>
          </w:p>
        </w:tc>
        <w:tc>
          <w:tcPr>
            <w:tcW w:w="1079" w:type="dxa"/>
            <w:tcBorders>
              <w:top w:val="nil"/>
              <w:left w:val="nil"/>
              <w:bottom w:val="single" w:sz="4" w:space="0" w:color="auto"/>
              <w:right w:val="single" w:sz="4" w:space="0" w:color="auto"/>
            </w:tcBorders>
            <w:shd w:val="clear" w:color="auto" w:fill="auto"/>
            <w:noWrap/>
            <w:vAlign w:val="center"/>
            <w:hideMark/>
          </w:tcPr>
          <w:p w14:paraId="700D351A"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810</w:t>
            </w:r>
          </w:p>
        </w:tc>
        <w:tc>
          <w:tcPr>
            <w:tcW w:w="1079" w:type="dxa"/>
            <w:tcBorders>
              <w:top w:val="nil"/>
              <w:left w:val="nil"/>
              <w:bottom w:val="single" w:sz="4" w:space="0" w:color="auto"/>
              <w:right w:val="single" w:sz="4" w:space="0" w:color="auto"/>
            </w:tcBorders>
            <w:shd w:val="clear" w:color="auto" w:fill="auto"/>
            <w:noWrap/>
            <w:vAlign w:val="center"/>
            <w:hideMark/>
          </w:tcPr>
          <w:p w14:paraId="45BB19C3"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939</w:t>
            </w:r>
          </w:p>
        </w:tc>
        <w:tc>
          <w:tcPr>
            <w:tcW w:w="1963" w:type="dxa"/>
            <w:tcBorders>
              <w:top w:val="nil"/>
              <w:left w:val="nil"/>
              <w:bottom w:val="single" w:sz="4" w:space="0" w:color="auto"/>
              <w:right w:val="single" w:sz="4" w:space="0" w:color="auto"/>
            </w:tcBorders>
            <w:shd w:val="clear" w:color="auto" w:fill="auto"/>
            <w:vAlign w:val="center"/>
            <w:hideMark/>
          </w:tcPr>
          <w:p w14:paraId="35D8164C"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25,37%</w:t>
            </w:r>
          </w:p>
        </w:tc>
        <w:tc>
          <w:tcPr>
            <w:tcW w:w="1842" w:type="dxa"/>
            <w:tcBorders>
              <w:top w:val="nil"/>
              <w:left w:val="nil"/>
              <w:bottom w:val="single" w:sz="4" w:space="0" w:color="auto"/>
              <w:right w:val="single" w:sz="4" w:space="0" w:color="auto"/>
            </w:tcBorders>
            <w:shd w:val="clear" w:color="auto" w:fill="auto"/>
            <w:vAlign w:val="center"/>
            <w:hideMark/>
          </w:tcPr>
          <w:p w14:paraId="3DDC2DE3"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15,93%</w:t>
            </w:r>
          </w:p>
        </w:tc>
      </w:tr>
      <w:tr w:rsidR="00A57A86" w:rsidRPr="00746E61" w14:paraId="7448203B" w14:textId="77777777" w:rsidTr="00A57A86">
        <w:trPr>
          <w:trHeight w:val="290"/>
          <w:jc w:val="center"/>
        </w:trPr>
        <w:tc>
          <w:tcPr>
            <w:tcW w:w="3159" w:type="dxa"/>
            <w:tcBorders>
              <w:top w:val="nil"/>
              <w:left w:val="single" w:sz="4" w:space="0" w:color="auto"/>
              <w:bottom w:val="single" w:sz="4" w:space="0" w:color="auto"/>
              <w:right w:val="single" w:sz="4" w:space="0" w:color="auto"/>
            </w:tcBorders>
            <w:shd w:val="clear" w:color="auto" w:fill="auto"/>
            <w:noWrap/>
            <w:vAlign w:val="center"/>
            <w:hideMark/>
          </w:tcPr>
          <w:p w14:paraId="21A742F5" w14:textId="77777777" w:rsidR="00A57A86" w:rsidRPr="00746E61" w:rsidRDefault="00A57A86"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Penal de San Ramón</w:t>
            </w:r>
          </w:p>
        </w:tc>
        <w:tc>
          <w:tcPr>
            <w:tcW w:w="1079" w:type="dxa"/>
            <w:tcBorders>
              <w:top w:val="nil"/>
              <w:left w:val="nil"/>
              <w:bottom w:val="single" w:sz="4" w:space="0" w:color="auto"/>
              <w:right w:val="single" w:sz="4" w:space="0" w:color="auto"/>
            </w:tcBorders>
            <w:shd w:val="clear" w:color="auto" w:fill="auto"/>
            <w:noWrap/>
            <w:vAlign w:val="center"/>
            <w:hideMark/>
          </w:tcPr>
          <w:p w14:paraId="28C08826"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135</w:t>
            </w:r>
          </w:p>
        </w:tc>
        <w:tc>
          <w:tcPr>
            <w:tcW w:w="1079" w:type="dxa"/>
            <w:tcBorders>
              <w:top w:val="nil"/>
              <w:left w:val="nil"/>
              <w:bottom w:val="single" w:sz="4" w:space="0" w:color="auto"/>
              <w:right w:val="single" w:sz="4" w:space="0" w:color="auto"/>
            </w:tcBorders>
            <w:shd w:val="clear" w:color="auto" w:fill="auto"/>
            <w:noWrap/>
            <w:vAlign w:val="center"/>
            <w:hideMark/>
          </w:tcPr>
          <w:p w14:paraId="7D33D6CB"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167</w:t>
            </w:r>
          </w:p>
        </w:tc>
        <w:tc>
          <w:tcPr>
            <w:tcW w:w="1079" w:type="dxa"/>
            <w:tcBorders>
              <w:top w:val="nil"/>
              <w:left w:val="nil"/>
              <w:bottom w:val="single" w:sz="4" w:space="0" w:color="auto"/>
              <w:right w:val="single" w:sz="4" w:space="0" w:color="auto"/>
            </w:tcBorders>
            <w:shd w:val="clear" w:color="auto" w:fill="auto"/>
            <w:noWrap/>
            <w:vAlign w:val="center"/>
            <w:hideMark/>
          </w:tcPr>
          <w:p w14:paraId="48C42467"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168</w:t>
            </w:r>
          </w:p>
        </w:tc>
        <w:tc>
          <w:tcPr>
            <w:tcW w:w="1963" w:type="dxa"/>
            <w:tcBorders>
              <w:top w:val="nil"/>
              <w:left w:val="nil"/>
              <w:bottom w:val="single" w:sz="4" w:space="0" w:color="auto"/>
              <w:right w:val="single" w:sz="4" w:space="0" w:color="auto"/>
            </w:tcBorders>
            <w:shd w:val="clear" w:color="auto" w:fill="auto"/>
            <w:vAlign w:val="center"/>
            <w:hideMark/>
          </w:tcPr>
          <w:p w14:paraId="27B56A99"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24,44%</w:t>
            </w:r>
          </w:p>
        </w:tc>
        <w:tc>
          <w:tcPr>
            <w:tcW w:w="1842" w:type="dxa"/>
            <w:tcBorders>
              <w:top w:val="nil"/>
              <w:left w:val="nil"/>
              <w:bottom w:val="single" w:sz="4" w:space="0" w:color="auto"/>
              <w:right w:val="single" w:sz="4" w:space="0" w:color="auto"/>
            </w:tcBorders>
            <w:shd w:val="clear" w:color="auto" w:fill="auto"/>
            <w:vAlign w:val="center"/>
            <w:hideMark/>
          </w:tcPr>
          <w:p w14:paraId="75C727A0"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0,60%</w:t>
            </w:r>
          </w:p>
        </w:tc>
      </w:tr>
      <w:tr w:rsidR="00A57A86" w:rsidRPr="00746E61" w14:paraId="18B13D97" w14:textId="77777777" w:rsidTr="00A57A86">
        <w:trPr>
          <w:trHeight w:val="290"/>
          <w:jc w:val="center"/>
        </w:trPr>
        <w:tc>
          <w:tcPr>
            <w:tcW w:w="3159" w:type="dxa"/>
            <w:tcBorders>
              <w:top w:val="nil"/>
              <w:left w:val="single" w:sz="4" w:space="0" w:color="auto"/>
              <w:bottom w:val="single" w:sz="4" w:space="0" w:color="auto"/>
              <w:right w:val="single" w:sz="4" w:space="0" w:color="auto"/>
            </w:tcBorders>
            <w:shd w:val="clear" w:color="auto" w:fill="auto"/>
            <w:noWrap/>
            <w:vAlign w:val="center"/>
            <w:hideMark/>
          </w:tcPr>
          <w:p w14:paraId="0E09620F" w14:textId="77777777" w:rsidR="00A57A86" w:rsidRPr="00746E61" w:rsidRDefault="00A57A86"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Penal de Nicoya</w:t>
            </w:r>
          </w:p>
        </w:tc>
        <w:tc>
          <w:tcPr>
            <w:tcW w:w="1079" w:type="dxa"/>
            <w:tcBorders>
              <w:top w:val="nil"/>
              <w:left w:val="nil"/>
              <w:bottom w:val="single" w:sz="4" w:space="0" w:color="auto"/>
              <w:right w:val="single" w:sz="4" w:space="0" w:color="auto"/>
            </w:tcBorders>
            <w:shd w:val="clear" w:color="auto" w:fill="auto"/>
            <w:noWrap/>
            <w:vAlign w:val="center"/>
            <w:hideMark/>
          </w:tcPr>
          <w:p w14:paraId="19039F36"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698</w:t>
            </w:r>
          </w:p>
        </w:tc>
        <w:tc>
          <w:tcPr>
            <w:tcW w:w="1079" w:type="dxa"/>
            <w:tcBorders>
              <w:top w:val="nil"/>
              <w:left w:val="nil"/>
              <w:bottom w:val="single" w:sz="4" w:space="0" w:color="auto"/>
              <w:right w:val="single" w:sz="4" w:space="0" w:color="auto"/>
            </w:tcBorders>
            <w:shd w:val="clear" w:color="auto" w:fill="auto"/>
            <w:noWrap/>
            <w:vAlign w:val="center"/>
            <w:hideMark/>
          </w:tcPr>
          <w:p w14:paraId="3AFF9237"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781</w:t>
            </w:r>
          </w:p>
        </w:tc>
        <w:tc>
          <w:tcPr>
            <w:tcW w:w="1079" w:type="dxa"/>
            <w:tcBorders>
              <w:top w:val="nil"/>
              <w:left w:val="nil"/>
              <w:bottom w:val="single" w:sz="4" w:space="0" w:color="auto"/>
              <w:right w:val="single" w:sz="4" w:space="0" w:color="auto"/>
            </w:tcBorders>
            <w:shd w:val="clear" w:color="auto" w:fill="auto"/>
            <w:noWrap/>
            <w:vAlign w:val="center"/>
            <w:hideMark/>
          </w:tcPr>
          <w:p w14:paraId="79991946"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818</w:t>
            </w:r>
          </w:p>
        </w:tc>
        <w:tc>
          <w:tcPr>
            <w:tcW w:w="1963" w:type="dxa"/>
            <w:tcBorders>
              <w:top w:val="nil"/>
              <w:left w:val="nil"/>
              <w:bottom w:val="single" w:sz="4" w:space="0" w:color="auto"/>
              <w:right w:val="single" w:sz="4" w:space="0" w:color="auto"/>
            </w:tcBorders>
            <w:shd w:val="clear" w:color="auto" w:fill="auto"/>
            <w:vAlign w:val="center"/>
            <w:hideMark/>
          </w:tcPr>
          <w:p w14:paraId="016B95B5"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17,19%</w:t>
            </w:r>
          </w:p>
        </w:tc>
        <w:tc>
          <w:tcPr>
            <w:tcW w:w="1842" w:type="dxa"/>
            <w:tcBorders>
              <w:top w:val="nil"/>
              <w:left w:val="nil"/>
              <w:bottom w:val="single" w:sz="4" w:space="0" w:color="auto"/>
              <w:right w:val="single" w:sz="4" w:space="0" w:color="auto"/>
            </w:tcBorders>
            <w:shd w:val="clear" w:color="auto" w:fill="auto"/>
            <w:vAlign w:val="center"/>
            <w:hideMark/>
          </w:tcPr>
          <w:p w14:paraId="175AFD39"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4,74%</w:t>
            </w:r>
          </w:p>
        </w:tc>
      </w:tr>
      <w:tr w:rsidR="00A57A86" w:rsidRPr="00746E61" w14:paraId="1F05690A" w14:textId="77777777" w:rsidTr="00A57A86">
        <w:trPr>
          <w:trHeight w:val="290"/>
          <w:jc w:val="center"/>
        </w:trPr>
        <w:tc>
          <w:tcPr>
            <w:tcW w:w="3159" w:type="dxa"/>
            <w:tcBorders>
              <w:top w:val="nil"/>
              <w:left w:val="single" w:sz="4" w:space="0" w:color="auto"/>
              <w:bottom w:val="single" w:sz="4" w:space="0" w:color="auto"/>
              <w:right w:val="single" w:sz="4" w:space="0" w:color="auto"/>
            </w:tcBorders>
            <w:shd w:val="clear" w:color="auto" w:fill="auto"/>
            <w:noWrap/>
            <w:vAlign w:val="center"/>
            <w:hideMark/>
          </w:tcPr>
          <w:p w14:paraId="62948C94" w14:textId="77777777" w:rsidR="00A57A86" w:rsidRPr="00746E61" w:rsidRDefault="00A57A86"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Penal de Corredores</w:t>
            </w:r>
          </w:p>
        </w:tc>
        <w:tc>
          <w:tcPr>
            <w:tcW w:w="1079" w:type="dxa"/>
            <w:tcBorders>
              <w:top w:val="nil"/>
              <w:left w:val="nil"/>
              <w:bottom w:val="single" w:sz="4" w:space="0" w:color="auto"/>
              <w:right w:val="single" w:sz="4" w:space="0" w:color="auto"/>
            </w:tcBorders>
            <w:shd w:val="clear" w:color="auto" w:fill="auto"/>
            <w:noWrap/>
            <w:vAlign w:val="center"/>
            <w:hideMark/>
          </w:tcPr>
          <w:p w14:paraId="77E1ED3B"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728</w:t>
            </w:r>
          </w:p>
        </w:tc>
        <w:tc>
          <w:tcPr>
            <w:tcW w:w="1079" w:type="dxa"/>
            <w:tcBorders>
              <w:top w:val="nil"/>
              <w:left w:val="nil"/>
              <w:bottom w:val="single" w:sz="4" w:space="0" w:color="auto"/>
              <w:right w:val="single" w:sz="4" w:space="0" w:color="auto"/>
            </w:tcBorders>
            <w:shd w:val="clear" w:color="auto" w:fill="auto"/>
            <w:noWrap/>
            <w:vAlign w:val="center"/>
            <w:hideMark/>
          </w:tcPr>
          <w:p w14:paraId="3156E253"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881</w:t>
            </w:r>
          </w:p>
        </w:tc>
        <w:tc>
          <w:tcPr>
            <w:tcW w:w="1079" w:type="dxa"/>
            <w:tcBorders>
              <w:top w:val="nil"/>
              <w:left w:val="nil"/>
              <w:bottom w:val="single" w:sz="4" w:space="0" w:color="auto"/>
              <w:right w:val="single" w:sz="4" w:space="0" w:color="auto"/>
            </w:tcBorders>
            <w:shd w:val="clear" w:color="auto" w:fill="auto"/>
            <w:noWrap/>
            <w:vAlign w:val="center"/>
            <w:hideMark/>
          </w:tcPr>
          <w:p w14:paraId="6D356796"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851</w:t>
            </w:r>
          </w:p>
        </w:tc>
        <w:tc>
          <w:tcPr>
            <w:tcW w:w="1963" w:type="dxa"/>
            <w:tcBorders>
              <w:top w:val="nil"/>
              <w:left w:val="nil"/>
              <w:bottom w:val="single" w:sz="4" w:space="0" w:color="auto"/>
              <w:right w:val="single" w:sz="4" w:space="0" w:color="auto"/>
            </w:tcBorders>
            <w:shd w:val="clear" w:color="auto" w:fill="auto"/>
            <w:vAlign w:val="center"/>
            <w:hideMark/>
          </w:tcPr>
          <w:p w14:paraId="34D3D2BD"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16,90%</w:t>
            </w:r>
          </w:p>
        </w:tc>
        <w:tc>
          <w:tcPr>
            <w:tcW w:w="1842" w:type="dxa"/>
            <w:tcBorders>
              <w:top w:val="nil"/>
              <w:left w:val="nil"/>
              <w:bottom w:val="single" w:sz="4" w:space="0" w:color="auto"/>
              <w:right w:val="single" w:sz="4" w:space="0" w:color="auto"/>
            </w:tcBorders>
            <w:shd w:val="clear" w:color="auto" w:fill="auto"/>
            <w:vAlign w:val="center"/>
            <w:hideMark/>
          </w:tcPr>
          <w:p w14:paraId="3D487035"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-3,41%</w:t>
            </w:r>
          </w:p>
        </w:tc>
      </w:tr>
      <w:tr w:rsidR="00A57A86" w:rsidRPr="00746E61" w14:paraId="509DE3E8" w14:textId="77777777" w:rsidTr="00A57A86">
        <w:trPr>
          <w:trHeight w:val="290"/>
          <w:jc w:val="center"/>
        </w:trPr>
        <w:tc>
          <w:tcPr>
            <w:tcW w:w="3159" w:type="dxa"/>
            <w:tcBorders>
              <w:top w:val="nil"/>
              <w:left w:val="single" w:sz="4" w:space="0" w:color="auto"/>
              <w:bottom w:val="single" w:sz="4" w:space="0" w:color="auto"/>
              <w:right w:val="single" w:sz="4" w:space="0" w:color="auto"/>
            </w:tcBorders>
            <w:shd w:val="clear" w:color="auto" w:fill="auto"/>
            <w:noWrap/>
            <w:vAlign w:val="center"/>
            <w:hideMark/>
          </w:tcPr>
          <w:p w14:paraId="2D9B588F" w14:textId="77777777" w:rsidR="00A57A86" w:rsidRPr="00746E61" w:rsidRDefault="00A57A86"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Penal de Liberia</w:t>
            </w:r>
          </w:p>
        </w:tc>
        <w:tc>
          <w:tcPr>
            <w:tcW w:w="1079" w:type="dxa"/>
            <w:tcBorders>
              <w:top w:val="nil"/>
              <w:left w:val="nil"/>
              <w:bottom w:val="single" w:sz="4" w:space="0" w:color="auto"/>
              <w:right w:val="single" w:sz="4" w:space="0" w:color="auto"/>
            </w:tcBorders>
            <w:shd w:val="clear" w:color="auto" w:fill="auto"/>
            <w:noWrap/>
            <w:vAlign w:val="center"/>
            <w:hideMark/>
          </w:tcPr>
          <w:p w14:paraId="3BA13B11"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960</w:t>
            </w:r>
          </w:p>
        </w:tc>
        <w:tc>
          <w:tcPr>
            <w:tcW w:w="1079" w:type="dxa"/>
            <w:tcBorders>
              <w:top w:val="nil"/>
              <w:left w:val="nil"/>
              <w:bottom w:val="single" w:sz="4" w:space="0" w:color="auto"/>
              <w:right w:val="single" w:sz="4" w:space="0" w:color="auto"/>
            </w:tcBorders>
            <w:shd w:val="clear" w:color="auto" w:fill="auto"/>
            <w:noWrap/>
            <w:vAlign w:val="center"/>
            <w:hideMark/>
          </w:tcPr>
          <w:p w14:paraId="3363E234"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1077</w:t>
            </w:r>
          </w:p>
        </w:tc>
        <w:tc>
          <w:tcPr>
            <w:tcW w:w="1079" w:type="dxa"/>
            <w:tcBorders>
              <w:top w:val="nil"/>
              <w:left w:val="nil"/>
              <w:bottom w:val="single" w:sz="4" w:space="0" w:color="auto"/>
              <w:right w:val="single" w:sz="4" w:space="0" w:color="auto"/>
            </w:tcBorders>
            <w:shd w:val="clear" w:color="auto" w:fill="auto"/>
            <w:noWrap/>
            <w:vAlign w:val="center"/>
            <w:hideMark/>
          </w:tcPr>
          <w:p w14:paraId="19E9B55E"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1121</w:t>
            </w:r>
          </w:p>
        </w:tc>
        <w:tc>
          <w:tcPr>
            <w:tcW w:w="1963" w:type="dxa"/>
            <w:tcBorders>
              <w:top w:val="nil"/>
              <w:left w:val="nil"/>
              <w:bottom w:val="single" w:sz="4" w:space="0" w:color="auto"/>
              <w:right w:val="single" w:sz="4" w:space="0" w:color="auto"/>
            </w:tcBorders>
            <w:shd w:val="clear" w:color="auto" w:fill="auto"/>
            <w:vAlign w:val="center"/>
            <w:hideMark/>
          </w:tcPr>
          <w:p w14:paraId="35DF8DC6"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16,77%</w:t>
            </w:r>
          </w:p>
        </w:tc>
        <w:tc>
          <w:tcPr>
            <w:tcW w:w="1842" w:type="dxa"/>
            <w:tcBorders>
              <w:top w:val="nil"/>
              <w:left w:val="nil"/>
              <w:bottom w:val="single" w:sz="4" w:space="0" w:color="auto"/>
              <w:right w:val="single" w:sz="4" w:space="0" w:color="auto"/>
            </w:tcBorders>
            <w:shd w:val="clear" w:color="auto" w:fill="auto"/>
            <w:vAlign w:val="center"/>
            <w:hideMark/>
          </w:tcPr>
          <w:p w14:paraId="5C4EA85D"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4,09%</w:t>
            </w:r>
          </w:p>
        </w:tc>
      </w:tr>
      <w:tr w:rsidR="00A57A86" w:rsidRPr="00746E61" w14:paraId="258390C5" w14:textId="77777777" w:rsidTr="00A57A86">
        <w:trPr>
          <w:trHeight w:val="290"/>
          <w:jc w:val="center"/>
        </w:trPr>
        <w:tc>
          <w:tcPr>
            <w:tcW w:w="3159" w:type="dxa"/>
            <w:tcBorders>
              <w:top w:val="nil"/>
              <w:left w:val="single" w:sz="4" w:space="0" w:color="auto"/>
              <w:bottom w:val="single" w:sz="4" w:space="0" w:color="auto"/>
              <w:right w:val="single" w:sz="4" w:space="0" w:color="auto"/>
            </w:tcBorders>
            <w:shd w:val="clear" w:color="auto" w:fill="auto"/>
            <w:noWrap/>
            <w:vAlign w:val="center"/>
            <w:hideMark/>
          </w:tcPr>
          <w:p w14:paraId="543D193E" w14:textId="77777777" w:rsidR="00A57A86" w:rsidRPr="00746E61" w:rsidRDefault="00A57A86"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Penal de Golfito</w:t>
            </w:r>
          </w:p>
        </w:tc>
        <w:tc>
          <w:tcPr>
            <w:tcW w:w="1079" w:type="dxa"/>
            <w:tcBorders>
              <w:top w:val="nil"/>
              <w:left w:val="nil"/>
              <w:bottom w:val="single" w:sz="4" w:space="0" w:color="auto"/>
              <w:right w:val="single" w:sz="4" w:space="0" w:color="auto"/>
            </w:tcBorders>
            <w:shd w:val="clear" w:color="auto" w:fill="auto"/>
            <w:noWrap/>
            <w:vAlign w:val="center"/>
            <w:hideMark/>
          </w:tcPr>
          <w:p w14:paraId="46FE30D2"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368</w:t>
            </w:r>
          </w:p>
        </w:tc>
        <w:tc>
          <w:tcPr>
            <w:tcW w:w="1079" w:type="dxa"/>
            <w:tcBorders>
              <w:top w:val="nil"/>
              <w:left w:val="nil"/>
              <w:bottom w:val="single" w:sz="4" w:space="0" w:color="auto"/>
              <w:right w:val="single" w:sz="4" w:space="0" w:color="auto"/>
            </w:tcBorders>
            <w:shd w:val="clear" w:color="auto" w:fill="auto"/>
            <w:noWrap/>
            <w:vAlign w:val="center"/>
            <w:hideMark/>
          </w:tcPr>
          <w:p w14:paraId="20A3C534"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336</w:t>
            </w:r>
          </w:p>
        </w:tc>
        <w:tc>
          <w:tcPr>
            <w:tcW w:w="1079" w:type="dxa"/>
            <w:tcBorders>
              <w:top w:val="nil"/>
              <w:left w:val="nil"/>
              <w:bottom w:val="single" w:sz="4" w:space="0" w:color="auto"/>
              <w:right w:val="single" w:sz="4" w:space="0" w:color="auto"/>
            </w:tcBorders>
            <w:shd w:val="clear" w:color="auto" w:fill="auto"/>
            <w:noWrap/>
            <w:vAlign w:val="center"/>
            <w:hideMark/>
          </w:tcPr>
          <w:p w14:paraId="45D1185C"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427</w:t>
            </w:r>
          </w:p>
        </w:tc>
        <w:tc>
          <w:tcPr>
            <w:tcW w:w="1963" w:type="dxa"/>
            <w:tcBorders>
              <w:top w:val="nil"/>
              <w:left w:val="nil"/>
              <w:bottom w:val="single" w:sz="4" w:space="0" w:color="auto"/>
              <w:right w:val="single" w:sz="4" w:space="0" w:color="auto"/>
            </w:tcBorders>
            <w:shd w:val="clear" w:color="auto" w:fill="auto"/>
            <w:vAlign w:val="center"/>
            <w:hideMark/>
          </w:tcPr>
          <w:p w14:paraId="01A04B4E"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16,03%</w:t>
            </w:r>
          </w:p>
        </w:tc>
        <w:tc>
          <w:tcPr>
            <w:tcW w:w="1842" w:type="dxa"/>
            <w:tcBorders>
              <w:top w:val="nil"/>
              <w:left w:val="nil"/>
              <w:bottom w:val="single" w:sz="4" w:space="0" w:color="auto"/>
              <w:right w:val="single" w:sz="4" w:space="0" w:color="auto"/>
            </w:tcBorders>
            <w:shd w:val="clear" w:color="auto" w:fill="auto"/>
            <w:vAlign w:val="center"/>
            <w:hideMark/>
          </w:tcPr>
          <w:p w14:paraId="7D75A68E"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27,08%</w:t>
            </w:r>
          </w:p>
        </w:tc>
      </w:tr>
      <w:tr w:rsidR="00A57A86" w:rsidRPr="00746E61" w14:paraId="2D56308E" w14:textId="77777777" w:rsidTr="00A57A86">
        <w:trPr>
          <w:trHeight w:val="290"/>
          <w:jc w:val="center"/>
        </w:trPr>
        <w:tc>
          <w:tcPr>
            <w:tcW w:w="3159" w:type="dxa"/>
            <w:tcBorders>
              <w:top w:val="nil"/>
              <w:left w:val="single" w:sz="4" w:space="0" w:color="auto"/>
              <w:bottom w:val="single" w:sz="4" w:space="0" w:color="auto"/>
              <w:right w:val="single" w:sz="4" w:space="0" w:color="auto"/>
            </w:tcBorders>
            <w:shd w:val="clear" w:color="auto" w:fill="auto"/>
            <w:noWrap/>
            <w:vAlign w:val="center"/>
            <w:hideMark/>
          </w:tcPr>
          <w:p w14:paraId="4355AC42" w14:textId="77777777" w:rsidR="00A57A86" w:rsidRPr="00746E61" w:rsidRDefault="00A57A86"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Penal de San José</w:t>
            </w:r>
          </w:p>
        </w:tc>
        <w:tc>
          <w:tcPr>
            <w:tcW w:w="1079" w:type="dxa"/>
            <w:tcBorders>
              <w:top w:val="nil"/>
              <w:left w:val="nil"/>
              <w:bottom w:val="single" w:sz="4" w:space="0" w:color="auto"/>
              <w:right w:val="single" w:sz="4" w:space="0" w:color="auto"/>
            </w:tcBorders>
            <w:shd w:val="clear" w:color="auto" w:fill="auto"/>
            <w:noWrap/>
            <w:vAlign w:val="center"/>
            <w:hideMark/>
          </w:tcPr>
          <w:p w14:paraId="48BE3FE2"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1060</w:t>
            </w:r>
          </w:p>
        </w:tc>
        <w:tc>
          <w:tcPr>
            <w:tcW w:w="1079" w:type="dxa"/>
            <w:tcBorders>
              <w:top w:val="nil"/>
              <w:left w:val="nil"/>
              <w:bottom w:val="single" w:sz="4" w:space="0" w:color="auto"/>
              <w:right w:val="single" w:sz="4" w:space="0" w:color="auto"/>
            </w:tcBorders>
            <w:shd w:val="clear" w:color="auto" w:fill="auto"/>
            <w:noWrap/>
            <w:vAlign w:val="center"/>
            <w:hideMark/>
          </w:tcPr>
          <w:p w14:paraId="45A5AE1F"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1086</w:t>
            </w:r>
          </w:p>
        </w:tc>
        <w:tc>
          <w:tcPr>
            <w:tcW w:w="1079" w:type="dxa"/>
            <w:tcBorders>
              <w:top w:val="nil"/>
              <w:left w:val="nil"/>
              <w:bottom w:val="single" w:sz="4" w:space="0" w:color="auto"/>
              <w:right w:val="single" w:sz="4" w:space="0" w:color="auto"/>
            </w:tcBorders>
            <w:shd w:val="clear" w:color="auto" w:fill="auto"/>
            <w:noWrap/>
            <w:vAlign w:val="center"/>
            <w:hideMark/>
          </w:tcPr>
          <w:p w14:paraId="0015C01F"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1215</w:t>
            </w:r>
          </w:p>
        </w:tc>
        <w:tc>
          <w:tcPr>
            <w:tcW w:w="1963" w:type="dxa"/>
            <w:tcBorders>
              <w:top w:val="nil"/>
              <w:left w:val="nil"/>
              <w:bottom w:val="single" w:sz="4" w:space="0" w:color="auto"/>
              <w:right w:val="single" w:sz="4" w:space="0" w:color="auto"/>
            </w:tcBorders>
            <w:shd w:val="clear" w:color="auto" w:fill="auto"/>
            <w:vAlign w:val="center"/>
            <w:hideMark/>
          </w:tcPr>
          <w:p w14:paraId="5D78051B"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14,62%</w:t>
            </w:r>
          </w:p>
        </w:tc>
        <w:tc>
          <w:tcPr>
            <w:tcW w:w="1842" w:type="dxa"/>
            <w:tcBorders>
              <w:top w:val="nil"/>
              <w:left w:val="nil"/>
              <w:bottom w:val="single" w:sz="4" w:space="0" w:color="auto"/>
              <w:right w:val="single" w:sz="4" w:space="0" w:color="auto"/>
            </w:tcBorders>
            <w:shd w:val="clear" w:color="auto" w:fill="auto"/>
            <w:vAlign w:val="center"/>
            <w:hideMark/>
          </w:tcPr>
          <w:p w14:paraId="6068BE37"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11,88%</w:t>
            </w:r>
          </w:p>
        </w:tc>
      </w:tr>
      <w:tr w:rsidR="00A57A86" w:rsidRPr="00746E61" w14:paraId="7D834C68" w14:textId="77777777" w:rsidTr="00A57A86">
        <w:trPr>
          <w:trHeight w:val="290"/>
          <w:jc w:val="center"/>
        </w:trPr>
        <w:tc>
          <w:tcPr>
            <w:tcW w:w="3159" w:type="dxa"/>
            <w:tcBorders>
              <w:top w:val="nil"/>
              <w:left w:val="single" w:sz="4" w:space="0" w:color="auto"/>
              <w:bottom w:val="single" w:sz="4" w:space="0" w:color="auto"/>
              <w:right w:val="single" w:sz="4" w:space="0" w:color="auto"/>
            </w:tcBorders>
            <w:shd w:val="clear" w:color="auto" w:fill="auto"/>
            <w:noWrap/>
            <w:vAlign w:val="center"/>
            <w:hideMark/>
          </w:tcPr>
          <w:p w14:paraId="5E9172A1" w14:textId="77777777" w:rsidR="00A57A86" w:rsidRPr="00746E61" w:rsidRDefault="00A57A86"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Penal de Turrialba</w:t>
            </w:r>
          </w:p>
        </w:tc>
        <w:tc>
          <w:tcPr>
            <w:tcW w:w="1079" w:type="dxa"/>
            <w:tcBorders>
              <w:top w:val="nil"/>
              <w:left w:val="nil"/>
              <w:bottom w:val="single" w:sz="4" w:space="0" w:color="auto"/>
              <w:right w:val="single" w:sz="4" w:space="0" w:color="auto"/>
            </w:tcBorders>
            <w:shd w:val="clear" w:color="auto" w:fill="auto"/>
            <w:noWrap/>
            <w:vAlign w:val="center"/>
            <w:hideMark/>
          </w:tcPr>
          <w:p w14:paraId="0CE7696D"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569</w:t>
            </w:r>
          </w:p>
        </w:tc>
        <w:tc>
          <w:tcPr>
            <w:tcW w:w="1079" w:type="dxa"/>
            <w:tcBorders>
              <w:top w:val="nil"/>
              <w:left w:val="nil"/>
              <w:bottom w:val="single" w:sz="4" w:space="0" w:color="auto"/>
              <w:right w:val="single" w:sz="4" w:space="0" w:color="auto"/>
            </w:tcBorders>
            <w:shd w:val="clear" w:color="auto" w:fill="auto"/>
            <w:noWrap/>
            <w:vAlign w:val="center"/>
            <w:hideMark/>
          </w:tcPr>
          <w:p w14:paraId="24C43365"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617</w:t>
            </w:r>
          </w:p>
        </w:tc>
        <w:tc>
          <w:tcPr>
            <w:tcW w:w="1079" w:type="dxa"/>
            <w:tcBorders>
              <w:top w:val="nil"/>
              <w:left w:val="nil"/>
              <w:bottom w:val="single" w:sz="4" w:space="0" w:color="auto"/>
              <w:right w:val="single" w:sz="4" w:space="0" w:color="auto"/>
            </w:tcBorders>
            <w:shd w:val="clear" w:color="auto" w:fill="auto"/>
            <w:noWrap/>
            <w:vAlign w:val="center"/>
            <w:hideMark/>
          </w:tcPr>
          <w:p w14:paraId="15F47765"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637</w:t>
            </w:r>
          </w:p>
        </w:tc>
        <w:tc>
          <w:tcPr>
            <w:tcW w:w="1963" w:type="dxa"/>
            <w:tcBorders>
              <w:top w:val="nil"/>
              <w:left w:val="nil"/>
              <w:bottom w:val="single" w:sz="4" w:space="0" w:color="auto"/>
              <w:right w:val="single" w:sz="4" w:space="0" w:color="auto"/>
            </w:tcBorders>
            <w:shd w:val="clear" w:color="auto" w:fill="auto"/>
            <w:vAlign w:val="center"/>
            <w:hideMark/>
          </w:tcPr>
          <w:p w14:paraId="5E951F07"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11,95%</w:t>
            </w:r>
          </w:p>
        </w:tc>
        <w:tc>
          <w:tcPr>
            <w:tcW w:w="1842" w:type="dxa"/>
            <w:tcBorders>
              <w:top w:val="nil"/>
              <w:left w:val="nil"/>
              <w:bottom w:val="single" w:sz="4" w:space="0" w:color="auto"/>
              <w:right w:val="single" w:sz="4" w:space="0" w:color="auto"/>
            </w:tcBorders>
            <w:shd w:val="clear" w:color="auto" w:fill="auto"/>
            <w:vAlign w:val="center"/>
            <w:hideMark/>
          </w:tcPr>
          <w:p w14:paraId="19D4385F"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3,24%</w:t>
            </w:r>
          </w:p>
        </w:tc>
      </w:tr>
      <w:tr w:rsidR="00A57A86" w:rsidRPr="00746E61" w14:paraId="416F4588" w14:textId="77777777" w:rsidTr="00A57A86">
        <w:trPr>
          <w:trHeight w:val="290"/>
          <w:jc w:val="center"/>
        </w:trPr>
        <w:tc>
          <w:tcPr>
            <w:tcW w:w="3159" w:type="dxa"/>
            <w:tcBorders>
              <w:top w:val="nil"/>
              <w:left w:val="single" w:sz="4" w:space="0" w:color="auto"/>
              <w:bottom w:val="single" w:sz="4" w:space="0" w:color="auto"/>
              <w:right w:val="single" w:sz="4" w:space="0" w:color="auto"/>
            </w:tcBorders>
            <w:shd w:val="clear" w:color="auto" w:fill="auto"/>
            <w:noWrap/>
            <w:vAlign w:val="center"/>
            <w:hideMark/>
          </w:tcPr>
          <w:p w14:paraId="31171EF4" w14:textId="77777777" w:rsidR="00A57A86" w:rsidRPr="00746E61" w:rsidRDefault="00A57A86"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Penal de Sarapiquí</w:t>
            </w:r>
          </w:p>
        </w:tc>
        <w:tc>
          <w:tcPr>
            <w:tcW w:w="1079" w:type="dxa"/>
            <w:tcBorders>
              <w:top w:val="nil"/>
              <w:left w:val="nil"/>
              <w:bottom w:val="single" w:sz="4" w:space="0" w:color="auto"/>
              <w:right w:val="single" w:sz="4" w:space="0" w:color="auto"/>
            </w:tcBorders>
            <w:shd w:val="clear" w:color="auto" w:fill="auto"/>
            <w:noWrap/>
            <w:vAlign w:val="center"/>
            <w:hideMark/>
          </w:tcPr>
          <w:p w14:paraId="5F0B4324"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287</w:t>
            </w:r>
          </w:p>
        </w:tc>
        <w:tc>
          <w:tcPr>
            <w:tcW w:w="1079" w:type="dxa"/>
            <w:tcBorders>
              <w:top w:val="nil"/>
              <w:left w:val="nil"/>
              <w:bottom w:val="single" w:sz="4" w:space="0" w:color="auto"/>
              <w:right w:val="single" w:sz="4" w:space="0" w:color="auto"/>
            </w:tcBorders>
            <w:shd w:val="clear" w:color="auto" w:fill="auto"/>
            <w:noWrap/>
            <w:vAlign w:val="center"/>
            <w:hideMark/>
          </w:tcPr>
          <w:p w14:paraId="4E1BA760"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250</w:t>
            </w:r>
          </w:p>
        </w:tc>
        <w:tc>
          <w:tcPr>
            <w:tcW w:w="1079" w:type="dxa"/>
            <w:tcBorders>
              <w:top w:val="nil"/>
              <w:left w:val="nil"/>
              <w:bottom w:val="single" w:sz="4" w:space="0" w:color="auto"/>
              <w:right w:val="single" w:sz="4" w:space="0" w:color="auto"/>
            </w:tcBorders>
            <w:shd w:val="clear" w:color="auto" w:fill="auto"/>
            <w:noWrap/>
            <w:vAlign w:val="center"/>
            <w:hideMark/>
          </w:tcPr>
          <w:p w14:paraId="15F0EBEA"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303</w:t>
            </w:r>
          </w:p>
        </w:tc>
        <w:tc>
          <w:tcPr>
            <w:tcW w:w="1963" w:type="dxa"/>
            <w:tcBorders>
              <w:top w:val="nil"/>
              <w:left w:val="nil"/>
              <w:bottom w:val="single" w:sz="4" w:space="0" w:color="auto"/>
              <w:right w:val="single" w:sz="4" w:space="0" w:color="auto"/>
            </w:tcBorders>
            <w:shd w:val="clear" w:color="auto" w:fill="auto"/>
            <w:vAlign w:val="center"/>
            <w:hideMark/>
          </w:tcPr>
          <w:p w14:paraId="569721E9"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5,57%</w:t>
            </w:r>
          </w:p>
        </w:tc>
        <w:tc>
          <w:tcPr>
            <w:tcW w:w="1842" w:type="dxa"/>
            <w:tcBorders>
              <w:top w:val="nil"/>
              <w:left w:val="nil"/>
              <w:bottom w:val="single" w:sz="4" w:space="0" w:color="auto"/>
              <w:right w:val="single" w:sz="4" w:space="0" w:color="auto"/>
            </w:tcBorders>
            <w:shd w:val="clear" w:color="auto" w:fill="auto"/>
            <w:vAlign w:val="center"/>
            <w:hideMark/>
          </w:tcPr>
          <w:p w14:paraId="7EFCC06E"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21,20%</w:t>
            </w:r>
          </w:p>
        </w:tc>
      </w:tr>
      <w:tr w:rsidR="00A57A86" w:rsidRPr="00746E61" w14:paraId="0148823E" w14:textId="77777777" w:rsidTr="00A57A86">
        <w:trPr>
          <w:trHeight w:val="290"/>
          <w:jc w:val="center"/>
        </w:trPr>
        <w:tc>
          <w:tcPr>
            <w:tcW w:w="3159" w:type="dxa"/>
            <w:tcBorders>
              <w:top w:val="nil"/>
              <w:left w:val="single" w:sz="4" w:space="0" w:color="auto"/>
              <w:bottom w:val="single" w:sz="4" w:space="0" w:color="auto"/>
              <w:right w:val="single" w:sz="4" w:space="0" w:color="auto"/>
            </w:tcBorders>
            <w:shd w:val="clear" w:color="auto" w:fill="auto"/>
            <w:noWrap/>
            <w:vAlign w:val="center"/>
            <w:hideMark/>
          </w:tcPr>
          <w:p w14:paraId="64CB38C3" w14:textId="77777777" w:rsidR="00A57A86" w:rsidRPr="00746E61" w:rsidRDefault="00A57A86"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Penal de Pococí</w:t>
            </w:r>
          </w:p>
        </w:tc>
        <w:tc>
          <w:tcPr>
            <w:tcW w:w="1079" w:type="dxa"/>
            <w:tcBorders>
              <w:top w:val="nil"/>
              <w:left w:val="nil"/>
              <w:bottom w:val="single" w:sz="4" w:space="0" w:color="auto"/>
              <w:right w:val="single" w:sz="4" w:space="0" w:color="auto"/>
            </w:tcBorders>
            <w:shd w:val="clear" w:color="auto" w:fill="auto"/>
            <w:noWrap/>
            <w:vAlign w:val="center"/>
            <w:hideMark/>
          </w:tcPr>
          <w:p w14:paraId="634D802E"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1235</w:t>
            </w:r>
          </w:p>
        </w:tc>
        <w:tc>
          <w:tcPr>
            <w:tcW w:w="1079" w:type="dxa"/>
            <w:tcBorders>
              <w:top w:val="nil"/>
              <w:left w:val="nil"/>
              <w:bottom w:val="single" w:sz="4" w:space="0" w:color="auto"/>
              <w:right w:val="single" w:sz="4" w:space="0" w:color="auto"/>
            </w:tcBorders>
            <w:shd w:val="clear" w:color="auto" w:fill="auto"/>
            <w:noWrap/>
            <w:vAlign w:val="center"/>
            <w:hideMark/>
          </w:tcPr>
          <w:p w14:paraId="2F3B61C5"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1220</w:t>
            </w:r>
          </w:p>
        </w:tc>
        <w:tc>
          <w:tcPr>
            <w:tcW w:w="1079" w:type="dxa"/>
            <w:tcBorders>
              <w:top w:val="nil"/>
              <w:left w:val="nil"/>
              <w:bottom w:val="single" w:sz="4" w:space="0" w:color="auto"/>
              <w:right w:val="single" w:sz="4" w:space="0" w:color="auto"/>
            </w:tcBorders>
            <w:shd w:val="clear" w:color="auto" w:fill="auto"/>
            <w:noWrap/>
            <w:vAlign w:val="center"/>
            <w:hideMark/>
          </w:tcPr>
          <w:p w14:paraId="14227C1D"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1279</w:t>
            </w:r>
          </w:p>
        </w:tc>
        <w:tc>
          <w:tcPr>
            <w:tcW w:w="1963" w:type="dxa"/>
            <w:tcBorders>
              <w:top w:val="nil"/>
              <w:left w:val="nil"/>
              <w:bottom w:val="single" w:sz="4" w:space="0" w:color="auto"/>
              <w:right w:val="single" w:sz="4" w:space="0" w:color="auto"/>
            </w:tcBorders>
            <w:shd w:val="clear" w:color="auto" w:fill="auto"/>
            <w:vAlign w:val="center"/>
            <w:hideMark/>
          </w:tcPr>
          <w:p w14:paraId="0A002B32"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3,56%</w:t>
            </w:r>
          </w:p>
        </w:tc>
        <w:tc>
          <w:tcPr>
            <w:tcW w:w="1842" w:type="dxa"/>
            <w:tcBorders>
              <w:top w:val="nil"/>
              <w:left w:val="nil"/>
              <w:bottom w:val="single" w:sz="4" w:space="0" w:color="auto"/>
              <w:right w:val="single" w:sz="4" w:space="0" w:color="auto"/>
            </w:tcBorders>
            <w:shd w:val="clear" w:color="auto" w:fill="auto"/>
            <w:vAlign w:val="center"/>
            <w:hideMark/>
          </w:tcPr>
          <w:p w14:paraId="4385DBA8"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4,84%</w:t>
            </w:r>
          </w:p>
        </w:tc>
      </w:tr>
      <w:tr w:rsidR="00A57A86" w:rsidRPr="00746E61" w14:paraId="25BA074E" w14:textId="77777777" w:rsidTr="00A57A86">
        <w:trPr>
          <w:trHeight w:val="290"/>
          <w:jc w:val="center"/>
        </w:trPr>
        <w:tc>
          <w:tcPr>
            <w:tcW w:w="3159" w:type="dxa"/>
            <w:tcBorders>
              <w:top w:val="nil"/>
              <w:left w:val="single" w:sz="4" w:space="0" w:color="auto"/>
              <w:bottom w:val="single" w:sz="4" w:space="0" w:color="auto"/>
              <w:right w:val="single" w:sz="4" w:space="0" w:color="auto"/>
            </w:tcBorders>
            <w:shd w:val="clear" w:color="auto" w:fill="auto"/>
            <w:noWrap/>
            <w:vAlign w:val="center"/>
            <w:hideMark/>
          </w:tcPr>
          <w:p w14:paraId="55B93F91" w14:textId="77777777" w:rsidR="00A57A86" w:rsidRPr="00746E61" w:rsidRDefault="00A57A86"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Penal de Siquirres</w:t>
            </w:r>
          </w:p>
        </w:tc>
        <w:tc>
          <w:tcPr>
            <w:tcW w:w="1079" w:type="dxa"/>
            <w:tcBorders>
              <w:top w:val="nil"/>
              <w:left w:val="nil"/>
              <w:bottom w:val="single" w:sz="4" w:space="0" w:color="auto"/>
              <w:right w:val="single" w:sz="4" w:space="0" w:color="auto"/>
            </w:tcBorders>
            <w:shd w:val="clear" w:color="auto" w:fill="auto"/>
            <w:noWrap/>
            <w:vAlign w:val="center"/>
            <w:hideMark/>
          </w:tcPr>
          <w:p w14:paraId="3EC87C9D"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368</w:t>
            </w:r>
          </w:p>
        </w:tc>
        <w:tc>
          <w:tcPr>
            <w:tcW w:w="1079" w:type="dxa"/>
            <w:tcBorders>
              <w:top w:val="nil"/>
              <w:left w:val="nil"/>
              <w:bottom w:val="single" w:sz="4" w:space="0" w:color="auto"/>
              <w:right w:val="single" w:sz="4" w:space="0" w:color="auto"/>
            </w:tcBorders>
            <w:shd w:val="clear" w:color="auto" w:fill="auto"/>
            <w:noWrap/>
            <w:vAlign w:val="center"/>
            <w:hideMark/>
          </w:tcPr>
          <w:p w14:paraId="2C61574C"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414</w:t>
            </w:r>
          </w:p>
        </w:tc>
        <w:tc>
          <w:tcPr>
            <w:tcW w:w="1079" w:type="dxa"/>
            <w:tcBorders>
              <w:top w:val="nil"/>
              <w:left w:val="nil"/>
              <w:bottom w:val="single" w:sz="4" w:space="0" w:color="auto"/>
              <w:right w:val="single" w:sz="4" w:space="0" w:color="auto"/>
            </w:tcBorders>
            <w:shd w:val="clear" w:color="auto" w:fill="auto"/>
            <w:noWrap/>
            <w:vAlign w:val="center"/>
            <w:hideMark/>
          </w:tcPr>
          <w:p w14:paraId="2D5EC44B"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320</w:t>
            </w:r>
          </w:p>
        </w:tc>
        <w:tc>
          <w:tcPr>
            <w:tcW w:w="1963" w:type="dxa"/>
            <w:tcBorders>
              <w:top w:val="nil"/>
              <w:left w:val="nil"/>
              <w:bottom w:val="single" w:sz="4" w:space="0" w:color="auto"/>
              <w:right w:val="single" w:sz="4" w:space="0" w:color="auto"/>
            </w:tcBorders>
            <w:shd w:val="clear" w:color="auto" w:fill="auto"/>
            <w:vAlign w:val="center"/>
            <w:hideMark/>
          </w:tcPr>
          <w:p w14:paraId="279D483D"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-13,04%</w:t>
            </w:r>
          </w:p>
        </w:tc>
        <w:tc>
          <w:tcPr>
            <w:tcW w:w="1842" w:type="dxa"/>
            <w:tcBorders>
              <w:top w:val="nil"/>
              <w:left w:val="nil"/>
              <w:bottom w:val="single" w:sz="4" w:space="0" w:color="auto"/>
              <w:right w:val="single" w:sz="4" w:space="0" w:color="auto"/>
            </w:tcBorders>
            <w:shd w:val="clear" w:color="auto" w:fill="auto"/>
            <w:vAlign w:val="center"/>
            <w:hideMark/>
          </w:tcPr>
          <w:p w14:paraId="57E92194"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-22,71%</w:t>
            </w:r>
          </w:p>
        </w:tc>
      </w:tr>
      <w:tr w:rsidR="00A57A86" w:rsidRPr="00746E61" w14:paraId="0EF38BE0" w14:textId="77777777" w:rsidTr="00A57A86">
        <w:trPr>
          <w:trHeight w:val="290"/>
          <w:jc w:val="center"/>
        </w:trPr>
        <w:tc>
          <w:tcPr>
            <w:tcW w:w="3159" w:type="dxa"/>
            <w:tcBorders>
              <w:top w:val="nil"/>
              <w:left w:val="single" w:sz="4" w:space="0" w:color="auto"/>
              <w:bottom w:val="single" w:sz="4" w:space="0" w:color="auto"/>
              <w:right w:val="single" w:sz="4" w:space="0" w:color="auto"/>
            </w:tcBorders>
            <w:shd w:val="clear" w:color="auto" w:fill="auto"/>
            <w:noWrap/>
            <w:vAlign w:val="center"/>
            <w:hideMark/>
          </w:tcPr>
          <w:p w14:paraId="6CB6FB53" w14:textId="77777777" w:rsidR="00A57A86" w:rsidRPr="00746E61" w:rsidRDefault="00A57A86"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Penal de Pavas</w:t>
            </w:r>
          </w:p>
        </w:tc>
        <w:tc>
          <w:tcPr>
            <w:tcW w:w="1079" w:type="dxa"/>
            <w:tcBorders>
              <w:top w:val="nil"/>
              <w:left w:val="nil"/>
              <w:bottom w:val="single" w:sz="4" w:space="0" w:color="auto"/>
              <w:right w:val="single" w:sz="4" w:space="0" w:color="auto"/>
            </w:tcBorders>
            <w:shd w:val="clear" w:color="auto" w:fill="auto"/>
            <w:noWrap/>
            <w:vAlign w:val="center"/>
            <w:hideMark/>
          </w:tcPr>
          <w:p w14:paraId="42D47DA3"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1639</w:t>
            </w:r>
          </w:p>
        </w:tc>
        <w:tc>
          <w:tcPr>
            <w:tcW w:w="1079" w:type="dxa"/>
            <w:tcBorders>
              <w:top w:val="nil"/>
              <w:left w:val="nil"/>
              <w:bottom w:val="single" w:sz="4" w:space="0" w:color="auto"/>
              <w:right w:val="single" w:sz="4" w:space="0" w:color="auto"/>
            </w:tcBorders>
            <w:shd w:val="clear" w:color="auto" w:fill="auto"/>
            <w:noWrap/>
            <w:vAlign w:val="center"/>
            <w:hideMark/>
          </w:tcPr>
          <w:p w14:paraId="6CE4B200"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1329</w:t>
            </w:r>
          </w:p>
        </w:tc>
        <w:tc>
          <w:tcPr>
            <w:tcW w:w="1079" w:type="dxa"/>
            <w:tcBorders>
              <w:top w:val="nil"/>
              <w:left w:val="nil"/>
              <w:bottom w:val="single" w:sz="4" w:space="0" w:color="auto"/>
              <w:right w:val="single" w:sz="4" w:space="0" w:color="auto"/>
            </w:tcBorders>
            <w:shd w:val="clear" w:color="auto" w:fill="auto"/>
            <w:noWrap/>
            <w:vAlign w:val="center"/>
            <w:hideMark/>
          </w:tcPr>
          <w:p w14:paraId="1C8D9766"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1249</w:t>
            </w:r>
          </w:p>
        </w:tc>
        <w:tc>
          <w:tcPr>
            <w:tcW w:w="1963" w:type="dxa"/>
            <w:tcBorders>
              <w:top w:val="nil"/>
              <w:left w:val="nil"/>
              <w:bottom w:val="single" w:sz="4" w:space="0" w:color="auto"/>
              <w:right w:val="single" w:sz="4" w:space="0" w:color="auto"/>
            </w:tcBorders>
            <w:shd w:val="clear" w:color="auto" w:fill="auto"/>
            <w:vAlign w:val="center"/>
            <w:hideMark/>
          </w:tcPr>
          <w:p w14:paraId="7EF5DF05"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-23,79%</w:t>
            </w:r>
          </w:p>
        </w:tc>
        <w:tc>
          <w:tcPr>
            <w:tcW w:w="1842" w:type="dxa"/>
            <w:tcBorders>
              <w:top w:val="nil"/>
              <w:left w:val="nil"/>
              <w:bottom w:val="single" w:sz="4" w:space="0" w:color="auto"/>
              <w:right w:val="single" w:sz="4" w:space="0" w:color="auto"/>
            </w:tcBorders>
            <w:shd w:val="clear" w:color="auto" w:fill="auto"/>
            <w:vAlign w:val="center"/>
            <w:hideMark/>
          </w:tcPr>
          <w:p w14:paraId="3979C125"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-6,02%</w:t>
            </w:r>
          </w:p>
        </w:tc>
      </w:tr>
      <w:tr w:rsidR="00A57A86" w:rsidRPr="00746E61" w14:paraId="6CF48B78" w14:textId="77777777" w:rsidTr="00A57A86">
        <w:trPr>
          <w:trHeight w:val="290"/>
          <w:jc w:val="center"/>
        </w:trPr>
        <w:tc>
          <w:tcPr>
            <w:tcW w:w="3159" w:type="dxa"/>
            <w:tcBorders>
              <w:top w:val="nil"/>
              <w:left w:val="single" w:sz="4" w:space="0" w:color="auto"/>
              <w:bottom w:val="single" w:sz="4" w:space="0" w:color="auto"/>
              <w:right w:val="single" w:sz="4" w:space="0" w:color="auto"/>
            </w:tcBorders>
            <w:shd w:val="clear" w:color="auto" w:fill="auto"/>
            <w:noWrap/>
            <w:vAlign w:val="center"/>
            <w:hideMark/>
          </w:tcPr>
          <w:p w14:paraId="3049C547" w14:textId="77777777" w:rsidR="00A57A86" w:rsidRPr="00746E61" w:rsidRDefault="00A57A86"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Penal de Osa</w:t>
            </w:r>
          </w:p>
        </w:tc>
        <w:tc>
          <w:tcPr>
            <w:tcW w:w="1079" w:type="dxa"/>
            <w:tcBorders>
              <w:top w:val="nil"/>
              <w:left w:val="nil"/>
              <w:bottom w:val="single" w:sz="4" w:space="0" w:color="auto"/>
              <w:right w:val="single" w:sz="4" w:space="0" w:color="auto"/>
            </w:tcBorders>
            <w:shd w:val="clear" w:color="auto" w:fill="auto"/>
            <w:noWrap/>
            <w:vAlign w:val="center"/>
            <w:hideMark/>
          </w:tcPr>
          <w:p w14:paraId="1921F16A"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80</w:t>
            </w:r>
          </w:p>
        </w:tc>
        <w:tc>
          <w:tcPr>
            <w:tcW w:w="1079" w:type="dxa"/>
            <w:tcBorders>
              <w:top w:val="nil"/>
              <w:left w:val="nil"/>
              <w:bottom w:val="single" w:sz="4" w:space="0" w:color="auto"/>
              <w:right w:val="single" w:sz="4" w:space="0" w:color="auto"/>
            </w:tcBorders>
            <w:shd w:val="clear" w:color="auto" w:fill="auto"/>
            <w:noWrap/>
            <w:vAlign w:val="center"/>
            <w:hideMark/>
          </w:tcPr>
          <w:p w14:paraId="463720F6"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77</w:t>
            </w:r>
          </w:p>
        </w:tc>
        <w:tc>
          <w:tcPr>
            <w:tcW w:w="1079" w:type="dxa"/>
            <w:tcBorders>
              <w:top w:val="nil"/>
              <w:left w:val="nil"/>
              <w:bottom w:val="single" w:sz="4" w:space="0" w:color="auto"/>
              <w:right w:val="single" w:sz="4" w:space="0" w:color="auto"/>
            </w:tcBorders>
            <w:shd w:val="clear" w:color="auto" w:fill="auto"/>
            <w:noWrap/>
            <w:vAlign w:val="center"/>
            <w:hideMark/>
          </w:tcPr>
          <w:p w14:paraId="4BF852B6"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59</w:t>
            </w:r>
          </w:p>
        </w:tc>
        <w:tc>
          <w:tcPr>
            <w:tcW w:w="1963" w:type="dxa"/>
            <w:tcBorders>
              <w:top w:val="nil"/>
              <w:left w:val="nil"/>
              <w:bottom w:val="single" w:sz="4" w:space="0" w:color="auto"/>
              <w:right w:val="single" w:sz="4" w:space="0" w:color="auto"/>
            </w:tcBorders>
            <w:shd w:val="clear" w:color="auto" w:fill="auto"/>
            <w:vAlign w:val="center"/>
            <w:hideMark/>
          </w:tcPr>
          <w:p w14:paraId="1089E5B0"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-26,25%</w:t>
            </w:r>
          </w:p>
        </w:tc>
        <w:tc>
          <w:tcPr>
            <w:tcW w:w="1842" w:type="dxa"/>
            <w:tcBorders>
              <w:top w:val="nil"/>
              <w:left w:val="nil"/>
              <w:bottom w:val="single" w:sz="4" w:space="0" w:color="auto"/>
              <w:right w:val="single" w:sz="4" w:space="0" w:color="auto"/>
            </w:tcBorders>
            <w:shd w:val="clear" w:color="auto" w:fill="auto"/>
            <w:vAlign w:val="center"/>
            <w:hideMark/>
          </w:tcPr>
          <w:p w14:paraId="153D550D" w14:textId="77777777" w:rsidR="00A57A86" w:rsidRPr="00746E61" w:rsidRDefault="00A57A8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-23,38%</w:t>
            </w:r>
          </w:p>
        </w:tc>
      </w:tr>
      <w:tr w:rsidR="00A57A86" w:rsidRPr="00746E61" w14:paraId="09BC9C7C" w14:textId="77777777" w:rsidTr="00A57A86">
        <w:trPr>
          <w:trHeight w:val="290"/>
          <w:jc w:val="center"/>
        </w:trPr>
        <w:tc>
          <w:tcPr>
            <w:tcW w:w="3159" w:type="dxa"/>
            <w:tcBorders>
              <w:top w:val="nil"/>
              <w:left w:val="single" w:sz="4" w:space="0" w:color="auto"/>
              <w:bottom w:val="single" w:sz="4" w:space="0" w:color="auto"/>
              <w:right w:val="single" w:sz="4" w:space="0" w:color="auto"/>
            </w:tcBorders>
            <w:shd w:val="clear" w:color="auto" w:fill="auto"/>
            <w:vAlign w:val="center"/>
            <w:hideMark/>
          </w:tcPr>
          <w:p w14:paraId="7C9759D3" w14:textId="77777777" w:rsidR="00A57A86" w:rsidRPr="00746E61" w:rsidRDefault="00A57A86" w:rsidP="00746E61">
            <w:pPr>
              <w:spacing w:line="276" w:lineRule="auto"/>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Total</w:t>
            </w:r>
          </w:p>
        </w:tc>
        <w:tc>
          <w:tcPr>
            <w:tcW w:w="1079" w:type="dxa"/>
            <w:tcBorders>
              <w:top w:val="nil"/>
              <w:left w:val="nil"/>
              <w:bottom w:val="single" w:sz="4" w:space="0" w:color="auto"/>
              <w:right w:val="single" w:sz="4" w:space="0" w:color="auto"/>
            </w:tcBorders>
            <w:shd w:val="clear" w:color="auto" w:fill="auto"/>
            <w:vAlign w:val="center"/>
            <w:hideMark/>
          </w:tcPr>
          <w:p w14:paraId="555DEEC2" w14:textId="77777777" w:rsidR="00A57A86" w:rsidRPr="00746E61" w:rsidRDefault="00A57A86"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18195</w:t>
            </w:r>
          </w:p>
        </w:tc>
        <w:tc>
          <w:tcPr>
            <w:tcW w:w="1079" w:type="dxa"/>
            <w:tcBorders>
              <w:top w:val="nil"/>
              <w:left w:val="nil"/>
              <w:bottom w:val="single" w:sz="4" w:space="0" w:color="auto"/>
              <w:right w:val="single" w:sz="4" w:space="0" w:color="auto"/>
            </w:tcBorders>
            <w:shd w:val="clear" w:color="auto" w:fill="auto"/>
            <w:vAlign w:val="center"/>
            <w:hideMark/>
          </w:tcPr>
          <w:p w14:paraId="0F9D731A" w14:textId="77777777" w:rsidR="00A57A86" w:rsidRPr="00746E61" w:rsidRDefault="00A57A86"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20662</w:t>
            </w:r>
          </w:p>
        </w:tc>
        <w:tc>
          <w:tcPr>
            <w:tcW w:w="1079" w:type="dxa"/>
            <w:tcBorders>
              <w:top w:val="nil"/>
              <w:left w:val="nil"/>
              <w:bottom w:val="single" w:sz="4" w:space="0" w:color="auto"/>
              <w:right w:val="single" w:sz="4" w:space="0" w:color="auto"/>
            </w:tcBorders>
            <w:shd w:val="clear" w:color="auto" w:fill="auto"/>
            <w:vAlign w:val="center"/>
            <w:hideMark/>
          </w:tcPr>
          <w:p w14:paraId="26557221" w14:textId="77777777" w:rsidR="00A57A86" w:rsidRPr="00746E61" w:rsidRDefault="00A57A86"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23667</w:t>
            </w:r>
          </w:p>
        </w:tc>
        <w:tc>
          <w:tcPr>
            <w:tcW w:w="1963" w:type="dxa"/>
            <w:tcBorders>
              <w:top w:val="nil"/>
              <w:left w:val="nil"/>
              <w:bottom w:val="single" w:sz="4" w:space="0" w:color="auto"/>
              <w:right w:val="single" w:sz="4" w:space="0" w:color="auto"/>
            </w:tcBorders>
            <w:shd w:val="clear" w:color="auto" w:fill="auto"/>
            <w:vAlign w:val="center"/>
            <w:hideMark/>
          </w:tcPr>
          <w:p w14:paraId="370832FB" w14:textId="77777777" w:rsidR="00A57A86" w:rsidRPr="00746E61" w:rsidRDefault="00A57A86"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30,07%</w:t>
            </w:r>
          </w:p>
        </w:tc>
        <w:tc>
          <w:tcPr>
            <w:tcW w:w="1842" w:type="dxa"/>
            <w:tcBorders>
              <w:top w:val="nil"/>
              <w:left w:val="nil"/>
              <w:bottom w:val="single" w:sz="4" w:space="0" w:color="auto"/>
              <w:right w:val="single" w:sz="4" w:space="0" w:color="auto"/>
            </w:tcBorders>
            <w:shd w:val="clear" w:color="auto" w:fill="auto"/>
            <w:vAlign w:val="center"/>
            <w:hideMark/>
          </w:tcPr>
          <w:p w14:paraId="50989C9A" w14:textId="77777777" w:rsidR="00A57A86" w:rsidRPr="00746E61" w:rsidRDefault="00A57A86"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14,54%</w:t>
            </w:r>
          </w:p>
        </w:tc>
      </w:tr>
    </w:tbl>
    <w:p w14:paraId="587F278C" w14:textId="205DEF0C" w:rsidR="00C619D5" w:rsidRPr="00746E61" w:rsidRDefault="0059268A" w:rsidP="00746E61">
      <w:pPr>
        <w:spacing w:line="276" w:lineRule="auto"/>
        <w:jc w:val="center"/>
        <w:rPr>
          <w:rFonts w:ascii="Book Antiqua" w:hAnsi="Book Antiqua"/>
          <w:b/>
          <w:bCs/>
          <w:lang w:val="es-ES_tradnl" w:eastAsia="en-US"/>
        </w:rPr>
      </w:pPr>
      <w:r w:rsidRPr="00746E61">
        <w:rPr>
          <w:rFonts w:ascii="Book Antiqua" w:hAnsi="Book Antiqua" w:cs="Calibri"/>
          <w:b/>
          <w:bCs/>
          <w:color w:val="000000"/>
          <w:sz w:val="20"/>
          <w:szCs w:val="20"/>
          <w:lang w:eastAsia="es-CR"/>
        </w:rPr>
        <w:t>Fuente:</w:t>
      </w:r>
      <w:r w:rsidRPr="00746E61">
        <w:rPr>
          <w:rFonts w:ascii="Book Antiqua" w:hAnsi="Book Antiqua" w:cs="Calibri"/>
          <w:color w:val="000000"/>
          <w:sz w:val="20"/>
          <w:szCs w:val="20"/>
          <w:lang w:eastAsia="es-CR"/>
        </w:rPr>
        <w:t xml:space="preserve"> Elaboración propia a partir de las estadísticas del Subproceso de Estadística</w:t>
      </w:r>
    </w:p>
    <w:p w14:paraId="36DBCC7A" w14:textId="4EA8700E" w:rsidR="002B4AFA" w:rsidRPr="00746E61" w:rsidRDefault="002B4AFA" w:rsidP="00746E61">
      <w:pPr>
        <w:spacing w:line="276" w:lineRule="auto"/>
        <w:jc w:val="center"/>
        <w:rPr>
          <w:rFonts w:ascii="Book Antiqua" w:hAnsi="Book Antiqua"/>
          <w:b/>
          <w:bCs/>
          <w:lang w:val="es-ES_tradnl" w:eastAsia="en-US"/>
        </w:rPr>
      </w:pPr>
    </w:p>
    <w:p w14:paraId="09F49BE9" w14:textId="4A125D5E" w:rsidR="00747290" w:rsidRPr="00746E61" w:rsidRDefault="00747290" w:rsidP="00746E61">
      <w:pPr>
        <w:spacing w:line="276" w:lineRule="auto"/>
        <w:jc w:val="both"/>
        <w:rPr>
          <w:rFonts w:ascii="Book Antiqua" w:hAnsi="Book Antiqua" w:cs="Arial"/>
        </w:rPr>
      </w:pPr>
      <w:r w:rsidRPr="00746E61">
        <w:rPr>
          <w:rFonts w:ascii="Book Antiqua" w:hAnsi="Book Antiqua" w:cs="Arial"/>
        </w:rPr>
        <w:t>De acuerdo con el cuadro anterior, se destaca que para el período 2021 el despacho que refleja la mayor cantidad de asuntos en circulante en trámite es el Tribunal Penal de Limón con 27</w:t>
      </w:r>
      <w:r w:rsidR="002604DF" w:rsidRPr="00746E61">
        <w:rPr>
          <w:rFonts w:ascii="Book Antiqua" w:hAnsi="Book Antiqua" w:cs="Arial"/>
        </w:rPr>
        <w:t>89</w:t>
      </w:r>
      <w:r w:rsidRPr="00746E61">
        <w:rPr>
          <w:rFonts w:ascii="Book Antiqua" w:hAnsi="Book Antiqua" w:cs="Arial"/>
        </w:rPr>
        <w:t xml:space="preserve"> asuntos, en segundo lugar, está el Tribunal Penal de Alajuela con 25</w:t>
      </w:r>
      <w:r w:rsidR="002604DF" w:rsidRPr="00746E61">
        <w:rPr>
          <w:rFonts w:ascii="Book Antiqua" w:hAnsi="Book Antiqua" w:cs="Arial"/>
        </w:rPr>
        <w:t>13</w:t>
      </w:r>
      <w:r w:rsidRPr="00746E61">
        <w:rPr>
          <w:rFonts w:ascii="Book Antiqua" w:hAnsi="Book Antiqua" w:cs="Arial"/>
        </w:rPr>
        <w:t xml:space="preserve"> asuntos, luego Goicoechea con 1</w:t>
      </w:r>
      <w:r w:rsidR="002604DF" w:rsidRPr="00746E61">
        <w:rPr>
          <w:rFonts w:ascii="Book Antiqua" w:hAnsi="Book Antiqua" w:cs="Arial"/>
        </w:rPr>
        <w:t>949</w:t>
      </w:r>
      <w:r w:rsidRPr="00746E61">
        <w:rPr>
          <w:rFonts w:ascii="Book Antiqua" w:hAnsi="Book Antiqua" w:cs="Arial"/>
        </w:rPr>
        <w:t xml:space="preserve"> </w:t>
      </w:r>
      <w:r w:rsidR="002604DF" w:rsidRPr="00746E61">
        <w:rPr>
          <w:rFonts w:ascii="Book Antiqua" w:hAnsi="Book Antiqua" w:cs="Arial"/>
        </w:rPr>
        <w:t>registros.</w:t>
      </w:r>
    </w:p>
    <w:p w14:paraId="3D94BF35" w14:textId="0E783451" w:rsidR="006E61BF" w:rsidRPr="00746E61" w:rsidRDefault="006E61BF" w:rsidP="00746E61">
      <w:pPr>
        <w:spacing w:line="276" w:lineRule="auto"/>
        <w:jc w:val="both"/>
        <w:rPr>
          <w:rFonts w:ascii="Book Antiqua" w:hAnsi="Book Antiqua" w:cs="Arial"/>
        </w:rPr>
      </w:pPr>
    </w:p>
    <w:p w14:paraId="347BB5A8" w14:textId="417C7C17" w:rsidR="006E61BF" w:rsidRPr="00746E61" w:rsidRDefault="006E61BF" w:rsidP="00746E61">
      <w:pPr>
        <w:spacing w:line="276" w:lineRule="auto"/>
        <w:jc w:val="both"/>
        <w:rPr>
          <w:rFonts w:ascii="Book Antiqua" w:hAnsi="Book Antiqua" w:cs="Arial"/>
        </w:rPr>
      </w:pPr>
      <w:bookmarkStart w:id="11" w:name="_Hlk87891955"/>
      <w:r w:rsidRPr="00746E61">
        <w:rPr>
          <w:rFonts w:ascii="Book Antiqua" w:hAnsi="Book Antiqua" w:cs="Arial"/>
        </w:rPr>
        <w:t xml:space="preserve">En cuanto al </w:t>
      </w:r>
      <w:r w:rsidR="00752BB0" w:rsidRPr="00746E61">
        <w:rPr>
          <w:rFonts w:ascii="Book Antiqua" w:hAnsi="Book Antiqua" w:cs="Arial"/>
        </w:rPr>
        <w:t>cálculo</w:t>
      </w:r>
      <w:r w:rsidRPr="00746E61">
        <w:rPr>
          <w:rFonts w:ascii="Book Antiqua" w:hAnsi="Book Antiqua" w:cs="Arial"/>
        </w:rPr>
        <w:t xml:space="preserve"> de porcentaje de aumento y disminución</w:t>
      </w:r>
      <w:r w:rsidR="00EB1A1D" w:rsidRPr="00746E61">
        <w:rPr>
          <w:rFonts w:ascii="Book Antiqua" w:hAnsi="Book Antiqua" w:cs="Arial"/>
        </w:rPr>
        <w:t xml:space="preserve"> del circulante en trámite</w:t>
      </w:r>
      <w:r w:rsidR="00FC7692" w:rsidRPr="00746E61">
        <w:rPr>
          <w:rFonts w:ascii="Book Antiqua" w:hAnsi="Book Antiqua" w:cs="Arial"/>
        </w:rPr>
        <w:t>, se obtiene que los tres despachos que reflejan mayor incremento en relación con el periodo previo a la emergencia nacional son San Carlos</w:t>
      </w:r>
      <w:r w:rsidR="003B33AC" w:rsidRPr="00746E61">
        <w:rPr>
          <w:rFonts w:ascii="Book Antiqua" w:hAnsi="Book Antiqua" w:cs="Arial"/>
        </w:rPr>
        <w:t xml:space="preserve"> que asciende en 379 casos (118.81%</w:t>
      </w:r>
      <w:r w:rsidR="00601F30" w:rsidRPr="00746E61">
        <w:rPr>
          <w:rFonts w:ascii="Book Antiqua" w:hAnsi="Book Antiqua" w:cs="Arial"/>
        </w:rPr>
        <w:t>),</w:t>
      </w:r>
      <w:r w:rsidR="003B33AC" w:rsidRPr="00746E61">
        <w:rPr>
          <w:rFonts w:ascii="Book Antiqua" w:hAnsi="Book Antiqua" w:cs="Arial"/>
        </w:rPr>
        <w:t xml:space="preserve"> </w:t>
      </w:r>
      <w:r w:rsidR="00752BB0" w:rsidRPr="00746E61">
        <w:rPr>
          <w:rFonts w:ascii="Book Antiqua" w:hAnsi="Book Antiqua" w:cs="Arial"/>
        </w:rPr>
        <w:t xml:space="preserve">Pérez Zeledón </w:t>
      </w:r>
      <w:r w:rsidR="003B33AC" w:rsidRPr="00746E61">
        <w:rPr>
          <w:rFonts w:ascii="Book Antiqua" w:hAnsi="Book Antiqua" w:cs="Arial"/>
        </w:rPr>
        <w:t>aumenta en 181 registros (102.26%) y</w:t>
      </w:r>
      <w:r w:rsidR="00752BB0" w:rsidRPr="00746E61">
        <w:rPr>
          <w:rFonts w:ascii="Book Antiqua" w:hAnsi="Book Antiqua" w:cs="Arial"/>
        </w:rPr>
        <w:t xml:space="preserve"> Alajuela</w:t>
      </w:r>
      <w:r w:rsidR="003B33AC" w:rsidRPr="00746E61">
        <w:rPr>
          <w:rFonts w:ascii="Book Antiqua" w:hAnsi="Book Antiqua" w:cs="Arial"/>
        </w:rPr>
        <w:t xml:space="preserve"> en</w:t>
      </w:r>
      <w:r w:rsidR="008C0A2C" w:rsidRPr="00746E61">
        <w:rPr>
          <w:rFonts w:ascii="Book Antiqua" w:hAnsi="Book Antiqua" w:cs="Arial"/>
        </w:rPr>
        <w:t xml:space="preserve"> 1256 expedientes (</w:t>
      </w:r>
      <w:r w:rsidR="00752BB0" w:rsidRPr="00746E61">
        <w:rPr>
          <w:rFonts w:ascii="Book Antiqua" w:hAnsi="Book Antiqua" w:cs="Arial"/>
        </w:rPr>
        <w:t>99.92%</w:t>
      </w:r>
      <w:r w:rsidR="008C0A2C" w:rsidRPr="00746E61">
        <w:rPr>
          <w:rFonts w:ascii="Book Antiqua" w:hAnsi="Book Antiqua" w:cs="Arial"/>
        </w:rPr>
        <w:t>)</w:t>
      </w:r>
      <w:bookmarkEnd w:id="11"/>
      <w:r w:rsidR="008C0A2C" w:rsidRPr="00746E61">
        <w:rPr>
          <w:rFonts w:ascii="Book Antiqua" w:hAnsi="Book Antiqua" w:cs="Arial"/>
        </w:rPr>
        <w:t>.</w:t>
      </w:r>
      <w:r w:rsidR="00752BB0" w:rsidRPr="00746E61">
        <w:rPr>
          <w:rFonts w:ascii="Book Antiqua" w:hAnsi="Book Antiqua" w:cs="Arial"/>
        </w:rPr>
        <w:t xml:space="preserve"> </w:t>
      </w:r>
    </w:p>
    <w:p w14:paraId="127067A6" w14:textId="7D4514A8" w:rsidR="00C619D5" w:rsidRPr="00746E61" w:rsidRDefault="00C619D5" w:rsidP="00BF7F5F">
      <w:pPr>
        <w:spacing w:line="276" w:lineRule="auto"/>
        <w:rPr>
          <w:rFonts w:ascii="Book Antiqua" w:hAnsi="Book Antiqua"/>
          <w:b/>
          <w:bCs/>
          <w:lang w:val="es-ES_tradnl" w:eastAsia="en-US"/>
        </w:rPr>
      </w:pPr>
    </w:p>
    <w:p w14:paraId="1083A540" w14:textId="074DB604" w:rsidR="00C619D5" w:rsidRPr="00746E61" w:rsidRDefault="18E4EB82" w:rsidP="57A79FF7">
      <w:pPr>
        <w:tabs>
          <w:tab w:val="left" w:pos="426"/>
        </w:tabs>
        <w:spacing w:line="276" w:lineRule="auto"/>
        <w:jc w:val="both"/>
        <w:outlineLvl w:val="1"/>
        <w:rPr>
          <w:b/>
          <w:color w:val="000000" w:themeColor="text1"/>
          <w:lang w:eastAsia="es-CR"/>
        </w:rPr>
      </w:pPr>
      <w:r w:rsidRPr="57A79FF7">
        <w:rPr>
          <w:rFonts w:ascii="Book Antiqua" w:hAnsi="Book Antiqua"/>
          <w:b/>
          <w:bCs/>
          <w:color w:val="000000" w:themeColor="text1"/>
        </w:rPr>
        <w:t xml:space="preserve">3.3 </w:t>
      </w:r>
      <w:r w:rsidR="00C619D5" w:rsidRPr="00746E61">
        <w:rPr>
          <w:rFonts w:ascii="Book Antiqua" w:hAnsi="Book Antiqua"/>
          <w:b/>
          <w:bCs/>
          <w:color w:val="000000" w:themeColor="text1"/>
        </w:rPr>
        <w:t>Tribunal</w:t>
      </w:r>
      <w:r w:rsidR="00576CD7" w:rsidRPr="00746E61">
        <w:rPr>
          <w:rFonts w:ascii="Book Antiqua" w:hAnsi="Book Antiqua"/>
          <w:b/>
          <w:bCs/>
          <w:color w:val="000000" w:themeColor="text1"/>
        </w:rPr>
        <w:t xml:space="preserve"> y Secciones de Flagrancia</w:t>
      </w:r>
    </w:p>
    <w:p w14:paraId="2567459E" w14:textId="77777777" w:rsidR="00C619D5" w:rsidRPr="00746E61" w:rsidRDefault="00C619D5" w:rsidP="00746E61">
      <w:pPr>
        <w:spacing w:line="276" w:lineRule="auto"/>
        <w:rPr>
          <w:rFonts w:ascii="Book Antiqua" w:hAnsi="Book Antiqua"/>
          <w:b/>
          <w:bCs/>
          <w:lang w:val="es-ES_tradnl" w:eastAsia="en-US"/>
        </w:rPr>
      </w:pPr>
    </w:p>
    <w:p w14:paraId="05E68F2D" w14:textId="0197F6E5" w:rsidR="00C619D5" w:rsidRPr="00746E61" w:rsidRDefault="76419214" w:rsidP="57A79FF7">
      <w:pPr>
        <w:spacing w:line="276" w:lineRule="auto"/>
        <w:outlineLvl w:val="2"/>
        <w:rPr>
          <w:b/>
          <w:lang w:val="es-ES" w:eastAsia="en-US"/>
        </w:rPr>
      </w:pPr>
      <w:r w:rsidRPr="57A79FF7">
        <w:rPr>
          <w:rFonts w:ascii="Book Antiqua" w:hAnsi="Book Antiqua"/>
          <w:b/>
          <w:bCs/>
          <w:lang w:val="es-ES" w:eastAsia="en-US"/>
        </w:rPr>
        <w:t xml:space="preserve">3.3.1 </w:t>
      </w:r>
      <w:r w:rsidR="00C619D5" w:rsidRPr="57A79FF7">
        <w:rPr>
          <w:rFonts w:ascii="Book Antiqua" w:hAnsi="Book Antiqua"/>
          <w:b/>
          <w:lang w:val="es-ES" w:eastAsia="en-US"/>
        </w:rPr>
        <w:t>Asuntos nuevos</w:t>
      </w:r>
    </w:p>
    <w:p w14:paraId="5E366A90" w14:textId="353DDDB5" w:rsidR="00C619D5" w:rsidRPr="00746E61" w:rsidRDefault="00C619D5" w:rsidP="00746E61">
      <w:pPr>
        <w:spacing w:line="276" w:lineRule="auto"/>
        <w:jc w:val="center"/>
        <w:rPr>
          <w:rFonts w:ascii="Book Antiqua" w:hAnsi="Book Antiqua"/>
          <w:b/>
          <w:bCs/>
          <w:lang w:val="es-ES_tradnl" w:eastAsia="en-US"/>
        </w:rPr>
      </w:pPr>
    </w:p>
    <w:p w14:paraId="3C4E0A82" w14:textId="2ABDEDF2" w:rsidR="00315D26" w:rsidRPr="00746E61" w:rsidRDefault="00315D26" w:rsidP="00746E61">
      <w:pPr>
        <w:widowControl w:val="0"/>
        <w:autoSpaceDE w:val="0"/>
        <w:spacing w:line="276" w:lineRule="auto"/>
        <w:ind w:right="51"/>
        <w:jc w:val="both"/>
        <w:rPr>
          <w:rFonts w:ascii="Book Antiqua" w:hAnsi="Book Antiqua"/>
          <w:b/>
          <w:bCs/>
          <w:lang w:val="es-ES_tradnl" w:eastAsia="en-US"/>
        </w:rPr>
      </w:pPr>
      <w:r w:rsidRPr="00746E61">
        <w:rPr>
          <w:rFonts w:ascii="Book Antiqua" w:hAnsi="Book Antiqua" w:cs="Arial"/>
        </w:rPr>
        <w:t xml:space="preserve">Para determinar el comportamiento que vienen presentando las secciones de Flagrancia a lo largo del tiempo, en cuanto a la entrada de asuntos nuevos se procedió a efectuar el análisis comparativo del periodo comprendido entre enero del año 2019 al mes de </w:t>
      </w:r>
      <w:r w:rsidR="00F86AD5" w:rsidRPr="00746E61">
        <w:rPr>
          <w:rFonts w:ascii="Book Antiqua" w:hAnsi="Book Antiqua" w:cs="Arial"/>
        </w:rPr>
        <w:t>setiembre</w:t>
      </w:r>
      <w:r w:rsidRPr="00746E61">
        <w:rPr>
          <w:rFonts w:ascii="Book Antiqua" w:hAnsi="Book Antiqua" w:cs="Arial"/>
        </w:rPr>
        <w:t xml:space="preserve"> del 2021, resultados que se expresan a través del siguiente cuadro:</w:t>
      </w:r>
    </w:p>
    <w:p w14:paraId="0EAA2132" w14:textId="77777777" w:rsidR="00576CD7" w:rsidRPr="00746E61" w:rsidRDefault="00576CD7" w:rsidP="00746E61">
      <w:pPr>
        <w:widowControl w:val="0"/>
        <w:autoSpaceDE w:val="0"/>
        <w:spacing w:line="276" w:lineRule="auto"/>
        <w:ind w:left="1080" w:right="51"/>
        <w:jc w:val="center"/>
        <w:rPr>
          <w:rFonts w:ascii="Book Antiqua" w:hAnsi="Book Antiqua" w:cs="Arial"/>
          <w:b/>
          <w:bCs/>
        </w:rPr>
      </w:pPr>
    </w:p>
    <w:p w14:paraId="35604B9D" w14:textId="246EE852" w:rsidR="00576CD7" w:rsidRPr="00746E61" w:rsidRDefault="00576CD7" w:rsidP="00746E61">
      <w:pPr>
        <w:widowControl w:val="0"/>
        <w:autoSpaceDE w:val="0"/>
        <w:spacing w:line="276" w:lineRule="auto"/>
        <w:ind w:left="1080" w:right="51"/>
        <w:jc w:val="center"/>
        <w:rPr>
          <w:rFonts w:ascii="Book Antiqua" w:hAnsi="Book Antiqua" w:cs="Arial"/>
          <w:b/>
          <w:bCs/>
        </w:rPr>
      </w:pPr>
      <w:r w:rsidRPr="00746E61">
        <w:rPr>
          <w:rFonts w:ascii="Book Antiqua" w:hAnsi="Book Antiqua" w:cs="Arial"/>
          <w:b/>
          <w:bCs/>
        </w:rPr>
        <w:t>Cuadro 19</w:t>
      </w:r>
    </w:p>
    <w:p w14:paraId="4A419E60" w14:textId="41FF3414" w:rsidR="00576CD7" w:rsidRPr="00746E61" w:rsidRDefault="00576CD7" w:rsidP="00746E61">
      <w:pPr>
        <w:widowControl w:val="0"/>
        <w:autoSpaceDE w:val="0"/>
        <w:spacing w:line="276" w:lineRule="auto"/>
        <w:ind w:left="1080" w:right="51"/>
        <w:jc w:val="center"/>
        <w:rPr>
          <w:rFonts w:ascii="Book Antiqua" w:hAnsi="Book Antiqua" w:cs="Arial"/>
        </w:rPr>
      </w:pPr>
      <w:r w:rsidRPr="00746E61">
        <w:rPr>
          <w:rFonts w:ascii="Book Antiqua" w:hAnsi="Book Antiqua" w:cs="Arial"/>
        </w:rPr>
        <w:t xml:space="preserve">Promedio mensual de asuntos entrados en los Tribunales y Secciones de Flagrancia entre el periodo comprendido de enero 2019 a </w:t>
      </w:r>
      <w:r w:rsidR="00F86AD5" w:rsidRPr="00746E61">
        <w:rPr>
          <w:rFonts w:ascii="Book Antiqua" w:hAnsi="Book Antiqua" w:cs="Arial"/>
        </w:rPr>
        <w:t>setiembre</w:t>
      </w:r>
      <w:r w:rsidRPr="00746E61">
        <w:rPr>
          <w:rFonts w:ascii="Book Antiqua" w:hAnsi="Book Antiqua" w:cs="Arial"/>
        </w:rPr>
        <w:t xml:space="preserve"> de 2021</w:t>
      </w:r>
    </w:p>
    <w:tbl>
      <w:tblPr>
        <w:tblW w:w="9776" w:type="dxa"/>
        <w:jc w:val="center"/>
        <w:tblCellMar>
          <w:left w:w="70" w:type="dxa"/>
          <w:right w:w="70" w:type="dxa"/>
        </w:tblCellMar>
        <w:tblLook w:val="04A0" w:firstRow="1" w:lastRow="0" w:firstColumn="1" w:lastColumn="0" w:noHBand="0" w:noVBand="1"/>
      </w:tblPr>
      <w:tblGrid>
        <w:gridCol w:w="3256"/>
        <w:gridCol w:w="992"/>
        <w:gridCol w:w="995"/>
        <w:gridCol w:w="1037"/>
        <w:gridCol w:w="1796"/>
        <w:gridCol w:w="1796"/>
      </w:tblGrid>
      <w:tr w:rsidR="00F86AD5" w:rsidRPr="00746E61" w14:paraId="59487107" w14:textId="77777777" w:rsidTr="00F86AD5">
        <w:trPr>
          <w:trHeight w:val="916"/>
          <w:jc w:val="center"/>
        </w:trPr>
        <w:tc>
          <w:tcPr>
            <w:tcW w:w="3256"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73BC378A" w14:textId="77777777" w:rsidR="00F86AD5" w:rsidRPr="00746E61" w:rsidRDefault="00F86AD5" w:rsidP="00746E61">
            <w:pPr>
              <w:spacing w:line="276" w:lineRule="auto"/>
              <w:jc w:val="center"/>
              <w:rPr>
                <w:rFonts w:ascii="Book Antiqua" w:hAnsi="Book Antiqua" w:cs="Calibri"/>
                <w:b/>
                <w:bCs/>
                <w:color w:val="FFFFFF"/>
                <w:sz w:val="16"/>
                <w:szCs w:val="16"/>
                <w:lang w:eastAsia="es-CR"/>
              </w:rPr>
            </w:pPr>
            <w:r w:rsidRPr="00746E61">
              <w:rPr>
                <w:rFonts w:ascii="Book Antiqua" w:hAnsi="Book Antiqua" w:cs="Calibri"/>
                <w:b/>
                <w:bCs/>
                <w:color w:val="FFFFFF"/>
                <w:sz w:val="16"/>
                <w:szCs w:val="16"/>
                <w:lang w:eastAsia="es-CR"/>
              </w:rPr>
              <w:t>Despachos</w:t>
            </w:r>
          </w:p>
        </w:tc>
        <w:tc>
          <w:tcPr>
            <w:tcW w:w="992" w:type="dxa"/>
            <w:tcBorders>
              <w:top w:val="single" w:sz="4" w:space="0" w:color="auto"/>
              <w:left w:val="nil"/>
              <w:bottom w:val="single" w:sz="4" w:space="0" w:color="auto"/>
              <w:right w:val="single" w:sz="4" w:space="0" w:color="auto"/>
            </w:tcBorders>
            <w:shd w:val="clear" w:color="000000" w:fill="305496"/>
            <w:vAlign w:val="center"/>
            <w:hideMark/>
          </w:tcPr>
          <w:p w14:paraId="16AB9662" w14:textId="77777777" w:rsidR="00F86AD5" w:rsidRPr="00746E61" w:rsidRDefault="00F86AD5" w:rsidP="00746E61">
            <w:pPr>
              <w:spacing w:line="276" w:lineRule="auto"/>
              <w:jc w:val="center"/>
              <w:rPr>
                <w:rFonts w:ascii="Book Antiqua" w:hAnsi="Book Antiqua" w:cs="Calibri"/>
                <w:b/>
                <w:bCs/>
                <w:color w:val="FFFFFF"/>
                <w:sz w:val="16"/>
                <w:szCs w:val="16"/>
                <w:lang w:eastAsia="es-CR"/>
              </w:rPr>
            </w:pPr>
            <w:r w:rsidRPr="00746E61">
              <w:rPr>
                <w:rFonts w:ascii="Book Antiqua" w:hAnsi="Book Antiqua" w:cs="Calibri"/>
                <w:b/>
                <w:bCs/>
                <w:color w:val="FFFFFF"/>
                <w:sz w:val="16"/>
                <w:szCs w:val="16"/>
                <w:lang w:eastAsia="es-CR"/>
              </w:rPr>
              <w:t>Promedio mensual de Entrada 2019</w:t>
            </w:r>
          </w:p>
        </w:tc>
        <w:tc>
          <w:tcPr>
            <w:tcW w:w="995" w:type="dxa"/>
            <w:tcBorders>
              <w:top w:val="single" w:sz="4" w:space="0" w:color="auto"/>
              <w:left w:val="nil"/>
              <w:bottom w:val="single" w:sz="4" w:space="0" w:color="auto"/>
              <w:right w:val="single" w:sz="4" w:space="0" w:color="auto"/>
            </w:tcBorders>
            <w:shd w:val="clear" w:color="000000" w:fill="305496"/>
            <w:vAlign w:val="center"/>
            <w:hideMark/>
          </w:tcPr>
          <w:p w14:paraId="4FB4DAC8" w14:textId="77777777" w:rsidR="00F86AD5" w:rsidRPr="00746E61" w:rsidRDefault="00F86AD5" w:rsidP="00746E61">
            <w:pPr>
              <w:spacing w:line="276" w:lineRule="auto"/>
              <w:jc w:val="center"/>
              <w:rPr>
                <w:rFonts w:ascii="Book Antiqua" w:hAnsi="Book Antiqua" w:cs="Calibri"/>
                <w:b/>
                <w:bCs/>
                <w:color w:val="FFFFFF"/>
                <w:sz w:val="16"/>
                <w:szCs w:val="16"/>
                <w:lang w:eastAsia="es-CR"/>
              </w:rPr>
            </w:pPr>
            <w:r w:rsidRPr="00746E61">
              <w:rPr>
                <w:rFonts w:ascii="Book Antiqua" w:hAnsi="Book Antiqua" w:cs="Calibri"/>
                <w:b/>
                <w:bCs/>
                <w:color w:val="FFFFFF"/>
                <w:sz w:val="16"/>
                <w:szCs w:val="16"/>
                <w:lang w:eastAsia="es-CR"/>
              </w:rPr>
              <w:t>Promedio mensual de Entrada 2020</w:t>
            </w:r>
          </w:p>
        </w:tc>
        <w:tc>
          <w:tcPr>
            <w:tcW w:w="1037" w:type="dxa"/>
            <w:tcBorders>
              <w:top w:val="single" w:sz="4" w:space="0" w:color="auto"/>
              <w:left w:val="nil"/>
              <w:bottom w:val="single" w:sz="4" w:space="0" w:color="auto"/>
              <w:right w:val="single" w:sz="4" w:space="0" w:color="auto"/>
            </w:tcBorders>
            <w:shd w:val="clear" w:color="000000" w:fill="305496"/>
            <w:vAlign w:val="center"/>
            <w:hideMark/>
          </w:tcPr>
          <w:p w14:paraId="683A18CC" w14:textId="77777777" w:rsidR="00F86AD5" w:rsidRPr="00746E61" w:rsidRDefault="00F86AD5" w:rsidP="00746E61">
            <w:pPr>
              <w:spacing w:line="276" w:lineRule="auto"/>
              <w:jc w:val="center"/>
              <w:rPr>
                <w:rFonts w:ascii="Book Antiqua" w:hAnsi="Book Antiqua" w:cs="Calibri"/>
                <w:b/>
                <w:bCs/>
                <w:color w:val="FFFFFF"/>
                <w:sz w:val="16"/>
                <w:szCs w:val="16"/>
                <w:lang w:eastAsia="es-CR"/>
              </w:rPr>
            </w:pPr>
            <w:r w:rsidRPr="00746E61">
              <w:rPr>
                <w:rFonts w:ascii="Book Antiqua" w:hAnsi="Book Antiqua" w:cs="Calibri"/>
                <w:b/>
                <w:bCs/>
                <w:color w:val="FFFFFF"/>
                <w:sz w:val="16"/>
                <w:szCs w:val="16"/>
                <w:lang w:eastAsia="es-CR"/>
              </w:rPr>
              <w:t>Promedio mensual de Entrada 2021</w:t>
            </w:r>
          </w:p>
        </w:tc>
        <w:tc>
          <w:tcPr>
            <w:tcW w:w="1796" w:type="dxa"/>
            <w:tcBorders>
              <w:top w:val="single" w:sz="4" w:space="0" w:color="auto"/>
              <w:left w:val="nil"/>
              <w:bottom w:val="single" w:sz="4" w:space="0" w:color="auto"/>
              <w:right w:val="single" w:sz="4" w:space="0" w:color="auto"/>
            </w:tcBorders>
            <w:shd w:val="clear" w:color="000000" w:fill="DDEBF7"/>
            <w:vAlign w:val="center"/>
            <w:hideMark/>
          </w:tcPr>
          <w:p w14:paraId="17D64AC4" w14:textId="77777777" w:rsidR="00F86AD5" w:rsidRPr="00746E61" w:rsidRDefault="00F86AD5" w:rsidP="00746E61">
            <w:pPr>
              <w:spacing w:line="276" w:lineRule="auto"/>
              <w:jc w:val="center"/>
              <w:rPr>
                <w:rFonts w:ascii="Book Antiqua" w:hAnsi="Book Antiqua" w:cs="Calibri"/>
                <w:b/>
                <w:bCs/>
                <w:color w:val="3A3838"/>
                <w:sz w:val="16"/>
                <w:szCs w:val="16"/>
                <w:lang w:eastAsia="es-CR"/>
              </w:rPr>
            </w:pPr>
            <w:r w:rsidRPr="00746E61">
              <w:rPr>
                <w:rFonts w:ascii="Book Antiqua" w:hAnsi="Book Antiqua" w:cs="Calibri"/>
                <w:b/>
                <w:bCs/>
                <w:color w:val="3A3838"/>
                <w:sz w:val="16"/>
                <w:szCs w:val="16"/>
                <w:lang w:eastAsia="es-CR"/>
              </w:rPr>
              <w:t>Aumento/disminución 2021vs2019</w:t>
            </w:r>
          </w:p>
        </w:tc>
        <w:tc>
          <w:tcPr>
            <w:tcW w:w="1700" w:type="dxa"/>
            <w:tcBorders>
              <w:top w:val="single" w:sz="4" w:space="0" w:color="auto"/>
              <w:left w:val="nil"/>
              <w:bottom w:val="single" w:sz="4" w:space="0" w:color="auto"/>
              <w:right w:val="single" w:sz="4" w:space="0" w:color="auto"/>
            </w:tcBorders>
            <w:shd w:val="clear" w:color="000000" w:fill="DDEBF7"/>
            <w:vAlign w:val="center"/>
            <w:hideMark/>
          </w:tcPr>
          <w:p w14:paraId="12FEEFF6" w14:textId="77777777" w:rsidR="00F86AD5" w:rsidRPr="00746E61" w:rsidRDefault="00F86AD5" w:rsidP="00746E61">
            <w:pPr>
              <w:spacing w:line="276" w:lineRule="auto"/>
              <w:jc w:val="center"/>
              <w:rPr>
                <w:rFonts w:ascii="Book Antiqua" w:hAnsi="Book Antiqua" w:cs="Calibri"/>
                <w:b/>
                <w:bCs/>
                <w:color w:val="3A3838"/>
                <w:sz w:val="16"/>
                <w:szCs w:val="16"/>
                <w:lang w:eastAsia="es-CR"/>
              </w:rPr>
            </w:pPr>
            <w:r w:rsidRPr="00746E61">
              <w:rPr>
                <w:rFonts w:ascii="Book Antiqua" w:hAnsi="Book Antiqua" w:cs="Calibri"/>
                <w:b/>
                <w:bCs/>
                <w:color w:val="3A3838"/>
                <w:sz w:val="16"/>
                <w:szCs w:val="16"/>
                <w:lang w:eastAsia="es-CR"/>
              </w:rPr>
              <w:t>Aumento/disminución 2021vs2020</w:t>
            </w:r>
          </w:p>
        </w:tc>
      </w:tr>
      <w:tr w:rsidR="00F86AD5" w:rsidRPr="00746E61" w14:paraId="2276E898" w14:textId="77777777" w:rsidTr="001839AE">
        <w:trPr>
          <w:trHeight w:val="255"/>
          <w:jc w:val="center"/>
        </w:trPr>
        <w:tc>
          <w:tcPr>
            <w:tcW w:w="3256"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B251061" w14:textId="77777777" w:rsidR="00F86AD5" w:rsidRPr="00746E61" w:rsidRDefault="00F86AD5"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de Flagrancia de Limón</w:t>
            </w:r>
          </w:p>
        </w:tc>
        <w:tc>
          <w:tcPr>
            <w:tcW w:w="992" w:type="dxa"/>
            <w:tcBorders>
              <w:top w:val="nil"/>
              <w:left w:val="nil"/>
              <w:bottom w:val="single" w:sz="4" w:space="0" w:color="auto"/>
              <w:right w:val="single" w:sz="4" w:space="0" w:color="auto"/>
            </w:tcBorders>
            <w:shd w:val="clear" w:color="auto" w:fill="F2F2F2" w:themeFill="background1" w:themeFillShade="F2"/>
            <w:noWrap/>
            <w:vAlign w:val="center"/>
            <w:hideMark/>
          </w:tcPr>
          <w:p w14:paraId="67F23639" w14:textId="77777777" w:rsidR="00F86AD5" w:rsidRPr="00746E61" w:rsidRDefault="00F86AD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5</w:t>
            </w:r>
          </w:p>
        </w:tc>
        <w:tc>
          <w:tcPr>
            <w:tcW w:w="995" w:type="dxa"/>
            <w:tcBorders>
              <w:top w:val="nil"/>
              <w:left w:val="nil"/>
              <w:bottom w:val="single" w:sz="4" w:space="0" w:color="auto"/>
              <w:right w:val="single" w:sz="4" w:space="0" w:color="auto"/>
            </w:tcBorders>
            <w:shd w:val="clear" w:color="auto" w:fill="F2F2F2" w:themeFill="background1" w:themeFillShade="F2"/>
            <w:noWrap/>
            <w:vAlign w:val="center"/>
            <w:hideMark/>
          </w:tcPr>
          <w:p w14:paraId="52171281" w14:textId="77777777" w:rsidR="00F86AD5" w:rsidRPr="00746E61" w:rsidRDefault="00F86AD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27</w:t>
            </w:r>
          </w:p>
        </w:tc>
        <w:tc>
          <w:tcPr>
            <w:tcW w:w="1037" w:type="dxa"/>
            <w:tcBorders>
              <w:top w:val="nil"/>
              <w:left w:val="nil"/>
              <w:bottom w:val="single" w:sz="4" w:space="0" w:color="auto"/>
              <w:right w:val="single" w:sz="4" w:space="0" w:color="auto"/>
            </w:tcBorders>
            <w:shd w:val="clear" w:color="auto" w:fill="F2F2F2" w:themeFill="background1" w:themeFillShade="F2"/>
            <w:noWrap/>
            <w:vAlign w:val="center"/>
            <w:hideMark/>
          </w:tcPr>
          <w:p w14:paraId="5A2DCAFC" w14:textId="77777777" w:rsidR="00F86AD5" w:rsidRPr="00746E61" w:rsidRDefault="00F86AD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35</w:t>
            </w:r>
          </w:p>
        </w:tc>
        <w:tc>
          <w:tcPr>
            <w:tcW w:w="1796" w:type="dxa"/>
            <w:tcBorders>
              <w:top w:val="nil"/>
              <w:left w:val="nil"/>
              <w:bottom w:val="single" w:sz="4" w:space="0" w:color="auto"/>
              <w:right w:val="single" w:sz="4" w:space="0" w:color="auto"/>
            </w:tcBorders>
            <w:shd w:val="clear" w:color="auto" w:fill="F2F2F2" w:themeFill="background1" w:themeFillShade="F2"/>
            <w:vAlign w:val="center"/>
            <w:hideMark/>
          </w:tcPr>
          <w:p w14:paraId="29D10382" w14:textId="77777777" w:rsidR="00F86AD5" w:rsidRPr="00746E61" w:rsidRDefault="00F86AD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555,15%</w:t>
            </w:r>
          </w:p>
        </w:tc>
        <w:tc>
          <w:tcPr>
            <w:tcW w:w="1700" w:type="dxa"/>
            <w:tcBorders>
              <w:top w:val="nil"/>
              <w:left w:val="nil"/>
              <w:bottom w:val="single" w:sz="4" w:space="0" w:color="auto"/>
              <w:right w:val="single" w:sz="4" w:space="0" w:color="auto"/>
            </w:tcBorders>
            <w:shd w:val="clear" w:color="auto" w:fill="F2F2F2" w:themeFill="background1" w:themeFillShade="F2"/>
            <w:vAlign w:val="center"/>
            <w:hideMark/>
          </w:tcPr>
          <w:p w14:paraId="52806386" w14:textId="77777777" w:rsidR="00F86AD5" w:rsidRPr="00746E61" w:rsidRDefault="00F86AD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30,59%</w:t>
            </w:r>
          </w:p>
        </w:tc>
      </w:tr>
      <w:tr w:rsidR="00F86AD5" w:rsidRPr="00746E61" w14:paraId="7387BE4F" w14:textId="77777777" w:rsidTr="001839AE">
        <w:trPr>
          <w:trHeight w:val="255"/>
          <w:jc w:val="center"/>
        </w:trPr>
        <w:tc>
          <w:tcPr>
            <w:tcW w:w="3256"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6C5CBB0" w14:textId="77777777" w:rsidR="00F86AD5" w:rsidRPr="00746E61" w:rsidRDefault="00F86AD5"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de Flagrancia de Alajuela</w:t>
            </w:r>
          </w:p>
        </w:tc>
        <w:tc>
          <w:tcPr>
            <w:tcW w:w="992" w:type="dxa"/>
            <w:tcBorders>
              <w:top w:val="nil"/>
              <w:left w:val="nil"/>
              <w:bottom w:val="single" w:sz="4" w:space="0" w:color="auto"/>
              <w:right w:val="single" w:sz="4" w:space="0" w:color="auto"/>
            </w:tcBorders>
            <w:shd w:val="clear" w:color="auto" w:fill="F2F2F2" w:themeFill="background1" w:themeFillShade="F2"/>
            <w:noWrap/>
            <w:vAlign w:val="center"/>
            <w:hideMark/>
          </w:tcPr>
          <w:p w14:paraId="2D23E8D1" w14:textId="77777777" w:rsidR="00F86AD5" w:rsidRPr="00746E61" w:rsidRDefault="00F86AD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18</w:t>
            </w:r>
          </w:p>
        </w:tc>
        <w:tc>
          <w:tcPr>
            <w:tcW w:w="995" w:type="dxa"/>
            <w:tcBorders>
              <w:top w:val="nil"/>
              <w:left w:val="nil"/>
              <w:bottom w:val="single" w:sz="4" w:space="0" w:color="auto"/>
              <w:right w:val="single" w:sz="4" w:space="0" w:color="auto"/>
            </w:tcBorders>
            <w:shd w:val="clear" w:color="auto" w:fill="F2F2F2" w:themeFill="background1" w:themeFillShade="F2"/>
            <w:noWrap/>
            <w:vAlign w:val="center"/>
            <w:hideMark/>
          </w:tcPr>
          <w:p w14:paraId="55A77783" w14:textId="77777777" w:rsidR="00F86AD5" w:rsidRPr="00746E61" w:rsidRDefault="00F86AD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24</w:t>
            </w:r>
          </w:p>
        </w:tc>
        <w:tc>
          <w:tcPr>
            <w:tcW w:w="1037" w:type="dxa"/>
            <w:tcBorders>
              <w:top w:val="nil"/>
              <w:left w:val="nil"/>
              <w:bottom w:val="single" w:sz="4" w:space="0" w:color="auto"/>
              <w:right w:val="single" w:sz="4" w:space="0" w:color="auto"/>
            </w:tcBorders>
            <w:shd w:val="clear" w:color="auto" w:fill="F2F2F2" w:themeFill="background1" w:themeFillShade="F2"/>
            <w:noWrap/>
            <w:vAlign w:val="center"/>
            <w:hideMark/>
          </w:tcPr>
          <w:p w14:paraId="14A0B169" w14:textId="77777777" w:rsidR="00F86AD5" w:rsidRPr="00746E61" w:rsidRDefault="00F86AD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85</w:t>
            </w:r>
          </w:p>
        </w:tc>
        <w:tc>
          <w:tcPr>
            <w:tcW w:w="1796" w:type="dxa"/>
            <w:tcBorders>
              <w:top w:val="nil"/>
              <w:left w:val="nil"/>
              <w:bottom w:val="single" w:sz="4" w:space="0" w:color="auto"/>
              <w:right w:val="single" w:sz="4" w:space="0" w:color="auto"/>
            </w:tcBorders>
            <w:shd w:val="clear" w:color="auto" w:fill="F2F2F2" w:themeFill="background1" w:themeFillShade="F2"/>
            <w:vAlign w:val="center"/>
            <w:hideMark/>
          </w:tcPr>
          <w:p w14:paraId="73C2D44B" w14:textId="77777777" w:rsidR="00F86AD5" w:rsidRPr="00746E61" w:rsidRDefault="00F86AD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360,05%</w:t>
            </w:r>
          </w:p>
        </w:tc>
        <w:tc>
          <w:tcPr>
            <w:tcW w:w="1700" w:type="dxa"/>
            <w:tcBorders>
              <w:top w:val="nil"/>
              <w:left w:val="nil"/>
              <w:bottom w:val="single" w:sz="4" w:space="0" w:color="auto"/>
              <w:right w:val="single" w:sz="4" w:space="0" w:color="auto"/>
            </w:tcBorders>
            <w:shd w:val="clear" w:color="auto" w:fill="F2F2F2" w:themeFill="background1" w:themeFillShade="F2"/>
            <w:vAlign w:val="center"/>
            <w:hideMark/>
          </w:tcPr>
          <w:p w14:paraId="14574892" w14:textId="77777777" w:rsidR="00F86AD5" w:rsidRPr="00746E61" w:rsidRDefault="00F86AD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247,97%</w:t>
            </w:r>
          </w:p>
        </w:tc>
      </w:tr>
      <w:tr w:rsidR="00F86AD5" w:rsidRPr="00746E61" w14:paraId="3AF694A6" w14:textId="77777777" w:rsidTr="00F86AD5">
        <w:trPr>
          <w:trHeight w:val="255"/>
          <w:jc w:val="center"/>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399CE286" w14:textId="77777777" w:rsidR="00F86AD5" w:rsidRPr="00746E61" w:rsidRDefault="00F86AD5"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de Flagrancia de San Ramón</w:t>
            </w:r>
          </w:p>
        </w:tc>
        <w:tc>
          <w:tcPr>
            <w:tcW w:w="992" w:type="dxa"/>
            <w:tcBorders>
              <w:top w:val="nil"/>
              <w:left w:val="nil"/>
              <w:bottom w:val="single" w:sz="4" w:space="0" w:color="auto"/>
              <w:right w:val="single" w:sz="4" w:space="0" w:color="auto"/>
            </w:tcBorders>
            <w:shd w:val="clear" w:color="auto" w:fill="auto"/>
            <w:noWrap/>
            <w:vAlign w:val="center"/>
            <w:hideMark/>
          </w:tcPr>
          <w:p w14:paraId="52AAF20A" w14:textId="77777777" w:rsidR="00F86AD5" w:rsidRPr="00746E61" w:rsidRDefault="00F86AD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39</w:t>
            </w:r>
          </w:p>
        </w:tc>
        <w:tc>
          <w:tcPr>
            <w:tcW w:w="995" w:type="dxa"/>
            <w:tcBorders>
              <w:top w:val="nil"/>
              <w:left w:val="nil"/>
              <w:bottom w:val="single" w:sz="4" w:space="0" w:color="auto"/>
              <w:right w:val="single" w:sz="4" w:space="0" w:color="auto"/>
            </w:tcBorders>
            <w:shd w:val="clear" w:color="auto" w:fill="auto"/>
            <w:noWrap/>
            <w:vAlign w:val="center"/>
            <w:hideMark/>
          </w:tcPr>
          <w:p w14:paraId="03144ECA" w14:textId="77777777" w:rsidR="00F86AD5" w:rsidRPr="00746E61" w:rsidRDefault="00F86AD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50</w:t>
            </w:r>
          </w:p>
        </w:tc>
        <w:tc>
          <w:tcPr>
            <w:tcW w:w="1037" w:type="dxa"/>
            <w:tcBorders>
              <w:top w:val="nil"/>
              <w:left w:val="nil"/>
              <w:bottom w:val="single" w:sz="4" w:space="0" w:color="auto"/>
              <w:right w:val="single" w:sz="4" w:space="0" w:color="auto"/>
            </w:tcBorders>
            <w:shd w:val="clear" w:color="auto" w:fill="auto"/>
            <w:noWrap/>
            <w:vAlign w:val="center"/>
            <w:hideMark/>
          </w:tcPr>
          <w:p w14:paraId="3D1F571A" w14:textId="77777777" w:rsidR="00F86AD5" w:rsidRPr="00746E61" w:rsidRDefault="00F86AD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54</w:t>
            </w:r>
          </w:p>
        </w:tc>
        <w:tc>
          <w:tcPr>
            <w:tcW w:w="1796" w:type="dxa"/>
            <w:tcBorders>
              <w:top w:val="nil"/>
              <w:left w:val="nil"/>
              <w:bottom w:val="single" w:sz="4" w:space="0" w:color="auto"/>
              <w:right w:val="single" w:sz="4" w:space="0" w:color="auto"/>
            </w:tcBorders>
            <w:shd w:val="clear" w:color="auto" w:fill="auto"/>
            <w:vAlign w:val="center"/>
            <w:hideMark/>
          </w:tcPr>
          <w:p w14:paraId="765D515E" w14:textId="77777777" w:rsidR="00F86AD5" w:rsidRPr="00746E61" w:rsidRDefault="00F86AD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35,94%</w:t>
            </w:r>
          </w:p>
        </w:tc>
        <w:tc>
          <w:tcPr>
            <w:tcW w:w="1700" w:type="dxa"/>
            <w:tcBorders>
              <w:top w:val="nil"/>
              <w:left w:val="nil"/>
              <w:bottom w:val="single" w:sz="4" w:space="0" w:color="auto"/>
              <w:right w:val="single" w:sz="4" w:space="0" w:color="auto"/>
            </w:tcBorders>
            <w:shd w:val="clear" w:color="auto" w:fill="auto"/>
            <w:vAlign w:val="center"/>
            <w:hideMark/>
          </w:tcPr>
          <w:p w14:paraId="75077A95" w14:textId="77777777" w:rsidR="00F86AD5" w:rsidRPr="00746E61" w:rsidRDefault="00F86AD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6,40%</w:t>
            </w:r>
          </w:p>
        </w:tc>
      </w:tr>
      <w:tr w:rsidR="00F86AD5" w:rsidRPr="00746E61" w14:paraId="5DA163AE" w14:textId="77777777" w:rsidTr="00F86AD5">
        <w:trPr>
          <w:trHeight w:val="255"/>
          <w:jc w:val="center"/>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20B17B26" w14:textId="77777777" w:rsidR="00F86AD5" w:rsidRPr="00746E61" w:rsidRDefault="00F86AD5"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de Flagrancia de Cartago</w:t>
            </w:r>
          </w:p>
        </w:tc>
        <w:tc>
          <w:tcPr>
            <w:tcW w:w="992" w:type="dxa"/>
            <w:tcBorders>
              <w:top w:val="nil"/>
              <w:left w:val="nil"/>
              <w:bottom w:val="single" w:sz="4" w:space="0" w:color="auto"/>
              <w:right w:val="single" w:sz="4" w:space="0" w:color="auto"/>
            </w:tcBorders>
            <w:shd w:val="clear" w:color="auto" w:fill="auto"/>
            <w:noWrap/>
            <w:vAlign w:val="center"/>
            <w:hideMark/>
          </w:tcPr>
          <w:p w14:paraId="53CE2849" w14:textId="77777777" w:rsidR="00F86AD5" w:rsidRPr="00746E61" w:rsidRDefault="00F86AD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31</w:t>
            </w:r>
          </w:p>
        </w:tc>
        <w:tc>
          <w:tcPr>
            <w:tcW w:w="995" w:type="dxa"/>
            <w:tcBorders>
              <w:top w:val="nil"/>
              <w:left w:val="nil"/>
              <w:bottom w:val="single" w:sz="4" w:space="0" w:color="auto"/>
              <w:right w:val="single" w:sz="4" w:space="0" w:color="auto"/>
            </w:tcBorders>
            <w:shd w:val="clear" w:color="auto" w:fill="auto"/>
            <w:noWrap/>
            <w:vAlign w:val="center"/>
            <w:hideMark/>
          </w:tcPr>
          <w:p w14:paraId="26EC5D4D" w14:textId="77777777" w:rsidR="00F86AD5" w:rsidRPr="00746E61" w:rsidRDefault="00F86AD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39</w:t>
            </w:r>
          </w:p>
        </w:tc>
        <w:tc>
          <w:tcPr>
            <w:tcW w:w="1037" w:type="dxa"/>
            <w:tcBorders>
              <w:top w:val="nil"/>
              <w:left w:val="nil"/>
              <w:bottom w:val="single" w:sz="4" w:space="0" w:color="auto"/>
              <w:right w:val="single" w:sz="4" w:space="0" w:color="auto"/>
            </w:tcBorders>
            <w:shd w:val="clear" w:color="auto" w:fill="auto"/>
            <w:noWrap/>
            <w:vAlign w:val="center"/>
            <w:hideMark/>
          </w:tcPr>
          <w:p w14:paraId="54C41236" w14:textId="77777777" w:rsidR="00F86AD5" w:rsidRPr="00746E61" w:rsidRDefault="00F86AD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42</w:t>
            </w:r>
          </w:p>
        </w:tc>
        <w:tc>
          <w:tcPr>
            <w:tcW w:w="1796" w:type="dxa"/>
            <w:tcBorders>
              <w:top w:val="nil"/>
              <w:left w:val="nil"/>
              <w:bottom w:val="single" w:sz="4" w:space="0" w:color="auto"/>
              <w:right w:val="single" w:sz="4" w:space="0" w:color="auto"/>
            </w:tcBorders>
            <w:shd w:val="clear" w:color="auto" w:fill="auto"/>
            <w:vAlign w:val="center"/>
            <w:hideMark/>
          </w:tcPr>
          <w:p w14:paraId="00FB8726" w14:textId="77777777" w:rsidR="00F86AD5" w:rsidRPr="00746E61" w:rsidRDefault="00F86AD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35,40%</w:t>
            </w:r>
          </w:p>
        </w:tc>
        <w:tc>
          <w:tcPr>
            <w:tcW w:w="1700" w:type="dxa"/>
            <w:tcBorders>
              <w:top w:val="nil"/>
              <w:left w:val="nil"/>
              <w:bottom w:val="single" w:sz="4" w:space="0" w:color="auto"/>
              <w:right w:val="single" w:sz="4" w:space="0" w:color="auto"/>
            </w:tcBorders>
            <w:shd w:val="clear" w:color="auto" w:fill="auto"/>
            <w:vAlign w:val="center"/>
            <w:hideMark/>
          </w:tcPr>
          <w:p w14:paraId="4C7C7500" w14:textId="77777777" w:rsidR="00F86AD5" w:rsidRPr="00746E61" w:rsidRDefault="00F86AD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7,33%</w:t>
            </w:r>
          </w:p>
        </w:tc>
      </w:tr>
      <w:tr w:rsidR="00F86AD5" w:rsidRPr="00746E61" w14:paraId="56586678" w14:textId="77777777" w:rsidTr="00F86AD5">
        <w:trPr>
          <w:trHeight w:val="255"/>
          <w:jc w:val="center"/>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1379F7FC" w14:textId="77777777" w:rsidR="00F86AD5" w:rsidRPr="00746E61" w:rsidRDefault="00F86AD5"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de Flagrancia de San Carlos</w:t>
            </w:r>
          </w:p>
        </w:tc>
        <w:tc>
          <w:tcPr>
            <w:tcW w:w="992" w:type="dxa"/>
            <w:tcBorders>
              <w:top w:val="nil"/>
              <w:left w:val="nil"/>
              <w:bottom w:val="single" w:sz="4" w:space="0" w:color="auto"/>
              <w:right w:val="single" w:sz="4" w:space="0" w:color="auto"/>
            </w:tcBorders>
            <w:shd w:val="clear" w:color="auto" w:fill="auto"/>
            <w:noWrap/>
            <w:vAlign w:val="center"/>
            <w:hideMark/>
          </w:tcPr>
          <w:p w14:paraId="492B35FE" w14:textId="77777777" w:rsidR="00F86AD5" w:rsidRPr="00746E61" w:rsidRDefault="00F86AD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54</w:t>
            </w:r>
          </w:p>
        </w:tc>
        <w:tc>
          <w:tcPr>
            <w:tcW w:w="995" w:type="dxa"/>
            <w:tcBorders>
              <w:top w:val="nil"/>
              <w:left w:val="nil"/>
              <w:bottom w:val="single" w:sz="4" w:space="0" w:color="auto"/>
              <w:right w:val="single" w:sz="4" w:space="0" w:color="auto"/>
            </w:tcBorders>
            <w:shd w:val="clear" w:color="auto" w:fill="auto"/>
            <w:noWrap/>
            <w:vAlign w:val="center"/>
            <w:hideMark/>
          </w:tcPr>
          <w:p w14:paraId="19C33B00" w14:textId="77777777" w:rsidR="00F86AD5" w:rsidRPr="00746E61" w:rsidRDefault="00F86AD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53</w:t>
            </w:r>
          </w:p>
        </w:tc>
        <w:tc>
          <w:tcPr>
            <w:tcW w:w="1037" w:type="dxa"/>
            <w:tcBorders>
              <w:top w:val="nil"/>
              <w:left w:val="nil"/>
              <w:bottom w:val="single" w:sz="4" w:space="0" w:color="auto"/>
              <w:right w:val="single" w:sz="4" w:space="0" w:color="auto"/>
            </w:tcBorders>
            <w:shd w:val="clear" w:color="auto" w:fill="auto"/>
            <w:noWrap/>
            <w:vAlign w:val="center"/>
            <w:hideMark/>
          </w:tcPr>
          <w:p w14:paraId="71BB2DCA" w14:textId="77777777" w:rsidR="00F86AD5" w:rsidRPr="00746E61" w:rsidRDefault="00F86AD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67</w:t>
            </w:r>
          </w:p>
        </w:tc>
        <w:tc>
          <w:tcPr>
            <w:tcW w:w="1796" w:type="dxa"/>
            <w:tcBorders>
              <w:top w:val="nil"/>
              <w:left w:val="nil"/>
              <w:bottom w:val="single" w:sz="4" w:space="0" w:color="auto"/>
              <w:right w:val="single" w:sz="4" w:space="0" w:color="auto"/>
            </w:tcBorders>
            <w:shd w:val="clear" w:color="auto" w:fill="auto"/>
            <w:vAlign w:val="center"/>
            <w:hideMark/>
          </w:tcPr>
          <w:p w14:paraId="34D88077" w14:textId="77777777" w:rsidR="00F86AD5" w:rsidRPr="00746E61" w:rsidRDefault="00F86AD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23,46%</w:t>
            </w:r>
          </w:p>
        </w:tc>
        <w:tc>
          <w:tcPr>
            <w:tcW w:w="1700" w:type="dxa"/>
            <w:tcBorders>
              <w:top w:val="nil"/>
              <w:left w:val="nil"/>
              <w:bottom w:val="single" w:sz="4" w:space="0" w:color="auto"/>
              <w:right w:val="single" w:sz="4" w:space="0" w:color="auto"/>
            </w:tcBorders>
            <w:shd w:val="clear" w:color="auto" w:fill="auto"/>
            <w:vAlign w:val="center"/>
            <w:hideMark/>
          </w:tcPr>
          <w:p w14:paraId="70C5263A" w14:textId="77777777" w:rsidR="00F86AD5" w:rsidRPr="00746E61" w:rsidRDefault="00F86AD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26,15%</w:t>
            </w:r>
          </w:p>
        </w:tc>
      </w:tr>
      <w:tr w:rsidR="00F86AD5" w:rsidRPr="00746E61" w14:paraId="0A34A2C1" w14:textId="77777777" w:rsidTr="00F86AD5">
        <w:trPr>
          <w:trHeight w:val="255"/>
          <w:jc w:val="center"/>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185FFCE9" w14:textId="77777777" w:rsidR="00F86AD5" w:rsidRPr="00746E61" w:rsidRDefault="00F86AD5"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de Flagrancia de Heredia</w:t>
            </w:r>
          </w:p>
        </w:tc>
        <w:tc>
          <w:tcPr>
            <w:tcW w:w="992" w:type="dxa"/>
            <w:tcBorders>
              <w:top w:val="nil"/>
              <w:left w:val="nil"/>
              <w:bottom w:val="single" w:sz="4" w:space="0" w:color="auto"/>
              <w:right w:val="single" w:sz="4" w:space="0" w:color="auto"/>
            </w:tcBorders>
            <w:shd w:val="clear" w:color="auto" w:fill="auto"/>
            <w:noWrap/>
            <w:vAlign w:val="center"/>
            <w:hideMark/>
          </w:tcPr>
          <w:p w14:paraId="35763F07" w14:textId="77777777" w:rsidR="00F86AD5" w:rsidRPr="00746E61" w:rsidRDefault="00F86AD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80</w:t>
            </w:r>
          </w:p>
        </w:tc>
        <w:tc>
          <w:tcPr>
            <w:tcW w:w="995" w:type="dxa"/>
            <w:tcBorders>
              <w:top w:val="nil"/>
              <w:left w:val="nil"/>
              <w:bottom w:val="single" w:sz="4" w:space="0" w:color="auto"/>
              <w:right w:val="single" w:sz="4" w:space="0" w:color="auto"/>
            </w:tcBorders>
            <w:shd w:val="clear" w:color="auto" w:fill="auto"/>
            <w:noWrap/>
            <w:vAlign w:val="center"/>
            <w:hideMark/>
          </w:tcPr>
          <w:p w14:paraId="145CB4DB" w14:textId="77777777" w:rsidR="00F86AD5" w:rsidRPr="00746E61" w:rsidRDefault="00F86AD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80</w:t>
            </w:r>
          </w:p>
        </w:tc>
        <w:tc>
          <w:tcPr>
            <w:tcW w:w="1037" w:type="dxa"/>
            <w:tcBorders>
              <w:top w:val="nil"/>
              <w:left w:val="nil"/>
              <w:bottom w:val="single" w:sz="4" w:space="0" w:color="auto"/>
              <w:right w:val="single" w:sz="4" w:space="0" w:color="auto"/>
            </w:tcBorders>
            <w:shd w:val="clear" w:color="auto" w:fill="auto"/>
            <w:noWrap/>
            <w:vAlign w:val="center"/>
            <w:hideMark/>
          </w:tcPr>
          <w:p w14:paraId="4392E9B5" w14:textId="77777777" w:rsidR="00F86AD5" w:rsidRPr="00746E61" w:rsidRDefault="00F86AD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94</w:t>
            </w:r>
          </w:p>
        </w:tc>
        <w:tc>
          <w:tcPr>
            <w:tcW w:w="1796" w:type="dxa"/>
            <w:tcBorders>
              <w:top w:val="nil"/>
              <w:left w:val="nil"/>
              <w:bottom w:val="single" w:sz="4" w:space="0" w:color="auto"/>
              <w:right w:val="single" w:sz="4" w:space="0" w:color="auto"/>
            </w:tcBorders>
            <w:shd w:val="clear" w:color="auto" w:fill="auto"/>
            <w:vAlign w:val="center"/>
            <w:hideMark/>
          </w:tcPr>
          <w:p w14:paraId="761CAEC6" w14:textId="77777777" w:rsidR="00F86AD5" w:rsidRPr="00746E61" w:rsidRDefault="00F86AD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18,02%</w:t>
            </w:r>
          </w:p>
        </w:tc>
        <w:tc>
          <w:tcPr>
            <w:tcW w:w="1700" w:type="dxa"/>
            <w:tcBorders>
              <w:top w:val="nil"/>
              <w:left w:val="nil"/>
              <w:bottom w:val="single" w:sz="4" w:space="0" w:color="auto"/>
              <w:right w:val="single" w:sz="4" w:space="0" w:color="auto"/>
            </w:tcBorders>
            <w:shd w:val="clear" w:color="auto" w:fill="auto"/>
            <w:vAlign w:val="center"/>
            <w:hideMark/>
          </w:tcPr>
          <w:p w14:paraId="4569E2F5" w14:textId="77777777" w:rsidR="00F86AD5" w:rsidRPr="00746E61" w:rsidRDefault="00F86AD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17,50%</w:t>
            </w:r>
          </w:p>
        </w:tc>
      </w:tr>
      <w:tr w:rsidR="00F86AD5" w:rsidRPr="00746E61" w14:paraId="4A5DE56E" w14:textId="77777777" w:rsidTr="00F86AD5">
        <w:trPr>
          <w:trHeight w:val="255"/>
          <w:jc w:val="center"/>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2054801C" w14:textId="77777777" w:rsidR="00F86AD5" w:rsidRPr="00746E61" w:rsidRDefault="00F86AD5"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de Flagrancia de Corredores</w:t>
            </w:r>
          </w:p>
        </w:tc>
        <w:tc>
          <w:tcPr>
            <w:tcW w:w="992" w:type="dxa"/>
            <w:tcBorders>
              <w:top w:val="nil"/>
              <w:left w:val="nil"/>
              <w:bottom w:val="single" w:sz="4" w:space="0" w:color="auto"/>
              <w:right w:val="single" w:sz="4" w:space="0" w:color="auto"/>
            </w:tcBorders>
            <w:shd w:val="clear" w:color="auto" w:fill="auto"/>
            <w:noWrap/>
            <w:vAlign w:val="center"/>
            <w:hideMark/>
          </w:tcPr>
          <w:p w14:paraId="64C37C46" w14:textId="77777777" w:rsidR="00F86AD5" w:rsidRPr="00746E61" w:rsidRDefault="00F86AD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37</w:t>
            </w:r>
          </w:p>
        </w:tc>
        <w:tc>
          <w:tcPr>
            <w:tcW w:w="995" w:type="dxa"/>
            <w:tcBorders>
              <w:top w:val="nil"/>
              <w:left w:val="nil"/>
              <w:bottom w:val="single" w:sz="4" w:space="0" w:color="auto"/>
              <w:right w:val="single" w:sz="4" w:space="0" w:color="auto"/>
            </w:tcBorders>
            <w:shd w:val="clear" w:color="auto" w:fill="auto"/>
            <w:noWrap/>
            <w:vAlign w:val="center"/>
            <w:hideMark/>
          </w:tcPr>
          <w:p w14:paraId="3A837BEC" w14:textId="77777777" w:rsidR="00F86AD5" w:rsidRPr="00746E61" w:rsidRDefault="00F86AD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34</w:t>
            </w:r>
          </w:p>
        </w:tc>
        <w:tc>
          <w:tcPr>
            <w:tcW w:w="1037" w:type="dxa"/>
            <w:tcBorders>
              <w:top w:val="nil"/>
              <w:left w:val="nil"/>
              <w:bottom w:val="single" w:sz="4" w:space="0" w:color="auto"/>
              <w:right w:val="single" w:sz="4" w:space="0" w:color="auto"/>
            </w:tcBorders>
            <w:shd w:val="clear" w:color="auto" w:fill="auto"/>
            <w:noWrap/>
            <w:vAlign w:val="center"/>
            <w:hideMark/>
          </w:tcPr>
          <w:p w14:paraId="6135D530" w14:textId="77777777" w:rsidR="00F86AD5" w:rsidRPr="00746E61" w:rsidRDefault="00F86AD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43</w:t>
            </w:r>
          </w:p>
        </w:tc>
        <w:tc>
          <w:tcPr>
            <w:tcW w:w="1796" w:type="dxa"/>
            <w:tcBorders>
              <w:top w:val="nil"/>
              <w:left w:val="nil"/>
              <w:bottom w:val="single" w:sz="4" w:space="0" w:color="auto"/>
              <w:right w:val="single" w:sz="4" w:space="0" w:color="auto"/>
            </w:tcBorders>
            <w:shd w:val="clear" w:color="auto" w:fill="auto"/>
            <w:vAlign w:val="center"/>
            <w:hideMark/>
          </w:tcPr>
          <w:p w14:paraId="69408513" w14:textId="77777777" w:rsidR="00F86AD5" w:rsidRPr="00746E61" w:rsidRDefault="00F86AD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17,12%</w:t>
            </w:r>
          </w:p>
        </w:tc>
        <w:tc>
          <w:tcPr>
            <w:tcW w:w="1700" w:type="dxa"/>
            <w:tcBorders>
              <w:top w:val="nil"/>
              <w:left w:val="nil"/>
              <w:bottom w:val="single" w:sz="4" w:space="0" w:color="auto"/>
              <w:right w:val="single" w:sz="4" w:space="0" w:color="auto"/>
            </w:tcBorders>
            <w:shd w:val="clear" w:color="auto" w:fill="auto"/>
            <w:vAlign w:val="center"/>
            <w:hideMark/>
          </w:tcPr>
          <w:p w14:paraId="6B3E26A8" w14:textId="77777777" w:rsidR="00F86AD5" w:rsidRPr="00746E61" w:rsidRDefault="00F86AD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28,86%</w:t>
            </w:r>
          </w:p>
        </w:tc>
      </w:tr>
      <w:tr w:rsidR="00F86AD5" w:rsidRPr="00746E61" w14:paraId="5B5BBCDA" w14:textId="77777777" w:rsidTr="00F86AD5">
        <w:trPr>
          <w:trHeight w:val="255"/>
          <w:jc w:val="center"/>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0F37841B" w14:textId="77777777" w:rsidR="00F86AD5" w:rsidRPr="00746E61" w:rsidRDefault="00F86AD5"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de Flagrancia de Liberia</w:t>
            </w:r>
          </w:p>
        </w:tc>
        <w:tc>
          <w:tcPr>
            <w:tcW w:w="992" w:type="dxa"/>
            <w:tcBorders>
              <w:top w:val="nil"/>
              <w:left w:val="nil"/>
              <w:bottom w:val="single" w:sz="4" w:space="0" w:color="auto"/>
              <w:right w:val="single" w:sz="4" w:space="0" w:color="auto"/>
            </w:tcBorders>
            <w:shd w:val="clear" w:color="auto" w:fill="auto"/>
            <w:noWrap/>
            <w:vAlign w:val="center"/>
            <w:hideMark/>
          </w:tcPr>
          <w:p w14:paraId="5FD3BCCC" w14:textId="77777777" w:rsidR="00F86AD5" w:rsidRPr="00746E61" w:rsidRDefault="00F86AD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62</w:t>
            </w:r>
          </w:p>
        </w:tc>
        <w:tc>
          <w:tcPr>
            <w:tcW w:w="995" w:type="dxa"/>
            <w:tcBorders>
              <w:top w:val="nil"/>
              <w:left w:val="nil"/>
              <w:bottom w:val="single" w:sz="4" w:space="0" w:color="auto"/>
              <w:right w:val="single" w:sz="4" w:space="0" w:color="auto"/>
            </w:tcBorders>
            <w:shd w:val="clear" w:color="auto" w:fill="auto"/>
            <w:noWrap/>
            <w:vAlign w:val="center"/>
            <w:hideMark/>
          </w:tcPr>
          <w:p w14:paraId="58FED8C4" w14:textId="77777777" w:rsidR="00F86AD5" w:rsidRPr="00746E61" w:rsidRDefault="00F86AD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66</w:t>
            </w:r>
          </w:p>
        </w:tc>
        <w:tc>
          <w:tcPr>
            <w:tcW w:w="1037" w:type="dxa"/>
            <w:tcBorders>
              <w:top w:val="nil"/>
              <w:left w:val="nil"/>
              <w:bottom w:val="single" w:sz="4" w:space="0" w:color="auto"/>
              <w:right w:val="single" w:sz="4" w:space="0" w:color="auto"/>
            </w:tcBorders>
            <w:shd w:val="clear" w:color="auto" w:fill="auto"/>
            <w:noWrap/>
            <w:vAlign w:val="center"/>
            <w:hideMark/>
          </w:tcPr>
          <w:p w14:paraId="43CEBE4E" w14:textId="77777777" w:rsidR="00F86AD5" w:rsidRPr="00746E61" w:rsidRDefault="00F86AD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71</w:t>
            </w:r>
          </w:p>
        </w:tc>
        <w:tc>
          <w:tcPr>
            <w:tcW w:w="1796" w:type="dxa"/>
            <w:tcBorders>
              <w:top w:val="nil"/>
              <w:left w:val="nil"/>
              <w:bottom w:val="single" w:sz="4" w:space="0" w:color="auto"/>
              <w:right w:val="single" w:sz="4" w:space="0" w:color="auto"/>
            </w:tcBorders>
            <w:shd w:val="clear" w:color="auto" w:fill="auto"/>
            <w:vAlign w:val="center"/>
            <w:hideMark/>
          </w:tcPr>
          <w:p w14:paraId="6D678DC6" w14:textId="77777777" w:rsidR="00F86AD5" w:rsidRPr="00746E61" w:rsidRDefault="00F86AD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14,74%</w:t>
            </w:r>
          </w:p>
        </w:tc>
        <w:tc>
          <w:tcPr>
            <w:tcW w:w="1700" w:type="dxa"/>
            <w:tcBorders>
              <w:top w:val="nil"/>
              <w:left w:val="nil"/>
              <w:bottom w:val="single" w:sz="4" w:space="0" w:color="auto"/>
              <w:right w:val="single" w:sz="4" w:space="0" w:color="auto"/>
            </w:tcBorders>
            <w:shd w:val="clear" w:color="auto" w:fill="auto"/>
            <w:vAlign w:val="center"/>
            <w:hideMark/>
          </w:tcPr>
          <w:p w14:paraId="38B6E429" w14:textId="77777777" w:rsidR="00F86AD5" w:rsidRPr="00746E61" w:rsidRDefault="00F86AD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7,95%</w:t>
            </w:r>
          </w:p>
        </w:tc>
      </w:tr>
      <w:tr w:rsidR="00F86AD5" w:rsidRPr="00746E61" w14:paraId="0AA4FD07" w14:textId="77777777" w:rsidTr="00F86AD5">
        <w:trPr>
          <w:trHeight w:val="255"/>
          <w:jc w:val="center"/>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6968EDBB" w14:textId="77777777" w:rsidR="00F86AD5" w:rsidRPr="00746E61" w:rsidRDefault="00F86AD5"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de Flagrancia de Puntarenas</w:t>
            </w:r>
          </w:p>
        </w:tc>
        <w:tc>
          <w:tcPr>
            <w:tcW w:w="992" w:type="dxa"/>
            <w:tcBorders>
              <w:top w:val="nil"/>
              <w:left w:val="nil"/>
              <w:bottom w:val="single" w:sz="4" w:space="0" w:color="auto"/>
              <w:right w:val="single" w:sz="4" w:space="0" w:color="auto"/>
            </w:tcBorders>
            <w:shd w:val="clear" w:color="auto" w:fill="auto"/>
            <w:noWrap/>
            <w:vAlign w:val="center"/>
            <w:hideMark/>
          </w:tcPr>
          <w:p w14:paraId="79750668" w14:textId="77777777" w:rsidR="00F86AD5" w:rsidRPr="00746E61" w:rsidRDefault="00F86AD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32</w:t>
            </w:r>
          </w:p>
        </w:tc>
        <w:tc>
          <w:tcPr>
            <w:tcW w:w="995" w:type="dxa"/>
            <w:tcBorders>
              <w:top w:val="nil"/>
              <w:left w:val="nil"/>
              <w:bottom w:val="single" w:sz="4" w:space="0" w:color="auto"/>
              <w:right w:val="single" w:sz="4" w:space="0" w:color="auto"/>
            </w:tcBorders>
            <w:shd w:val="clear" w:color="auto" w:fill="auto"/>
            <w:noWrap/>
            <w:vAlign w:val="center"/>
            <w:hideMark/>
          </w:tcPr>
          <w:p w14:paraId="1983BE11" w14:textId="77777777" w:rsidR="00F86AD5" w:rsidRPr="00746E61" w:rsidRDefault="00F86AD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39</w:t>
            </w:r>
          </w:p>
        </w:tc>
        <w:tc>
          <w:tcPr>
            <w:tcW w:w="1037" w:type="dxa"/>
            <w:tcBorders>
              <w:top w:val="nil"/>
              <w:left w:val="nil"/>
              <w:bottom w:val="single" w:sz="4" w:space="0" w:color="auto"/>
              <w:right w:val="single" w:sz="4" w:space="0" w:color="auto"/>
            </w:tcBorders>
            <w:shd w:val="clear" w:color="auto" w:fill="auto"/>
            <w:noWrap/>
            <w:vAlign w:val="center"/>
            <w:hideMark/>
          </w:tcPr>
          <w:p w14:paraId="6E1F566F" w14:textId="77777777" w:rsidR="00F86AD5" w:rsidRPr="00746E61" w:rsidRDefault="00F86AD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32</w:t>
            </w:r>
          </w:p>
        </w:tc>
        <w:tc>
          <w:tcPr>
            <w:tcW w:w="1796" w:type="dxa"/>
            <w:tcBorders>
              <w:top w:val="nil"/>
              <w:left w:val="nil"/>
              <w:bottom w:val="single" w:sz="4" w:space="0" w:color="auto"/>
              <w:right w:val="single" w:sz="4" w:space="0" w:color="auto"/>
            </w:tcBorders>
            <w:shd w:val="clear" w:color="auto" w:fill="auto"/>
            <w:vAlign w:val="center"/>
            <w:hideMark/>
          </w:tcPr>
          <w:p w14:paraId="4343CC5F" w14:textId="77777777" w:rsidR="00F86AD5" w:rsidRPr="00746E61" w:rsidRDefault="00F86AD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2,61%</w:t>
            </w:r>
          </w:p>
        </w:tc>
        <w:tc>
          <w:tcPr>
            <w:tcW w:w="1700" w:type="dxa"/>
            <w:tcBorders>
              <w:top w:val="nil"/>
              <w:left w:val="nil"/>
              <w:bottom w:val="single" w:sz="4" w:space="0" w:color="auto"/>
              <w:right w:val="single" w:sz="4" w:space="0" w:color="auto"/>
            </w:tcBorders>
            <w:shd w:val="clear" w:color="auto" w:fill="auto"/>
            <w:vAlign w:val="center"/>
            <w:hideMark/>
          </w:tcPr>
          <w:p w14:paraId="1B042FA8" w14:textId="77777777" w:rsidR="00F86AD5" w:rsidRPr="00746E61" w:rsidRDefault="00F86AD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-16,22%</w:t>
            </w:r>
          </w:p>
        </w:tc>
      </w:tr>
      <w:tr w:rsidR="00F86AD5" w:rsidRPr="00746E61" w14:paraId="70640E4D" w14:textId="77777777" w:rsidTr="00F86AD5">
        <w:trPr>
          <w:trHeight w:val="255"/>
          <w:jc w:val="center"/>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768BA379" w14:textId="77777777" w:rsidR="00F86AD5" w:rsidRPr="00746E61" w:rsidRDefault="00F86AD5"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de Flagrancia de San José</w:t>
            </w:r>
          </w:p>
        </w:tc>
        <w:tc>
          <w:tcPr>
            <w:tcW w:w="992" w:type="dxa"/>
            <w:tcBorders>
              <w:top w:val="nil"/>
              <w:left w:val="nil"/>
              <w:bottom w:val="single" w:sz="4" w:space="0" w:color="auto"/>
              <w:right w:val="single" w:sz="4" w:space="0" w:color="auto"/>
            </w:tcBorders>
            <w:shd w:val="clear" w:color="auto" w:fill="auto"/>
            <w:noWrap/>
            <w:vAlign w:val="center"/>
            <w:hideMark/>
          </w:tcPr>
          <w:p w14:paraId="660B400E" w14:textId="77777777" w:rsidR="00F86AD5" w:rsidRPr="00746E61" w:rsidRDefault="00F86AD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107</w:t>
            </w:r>
          </w:p>
        </w:tc>
        <w:tc>
          <w:tcPr>
            <w:tcW w:w="995" w:type="dxa"/>
            <w:tcBorders>
              <w:top w:val="nil"/>
              <w:left w:val="nil"/>
              <w:bottom w:val="single" w:sz="4" w:space="0" w:color="auto"/>
              <w:right w:val="single" w:sz="4" w:space="0" w:color="auto"/>
            </w:tcBorders>
            <w:shd w:val="clear" w:color="auto" w:fill="auto"/>
            <w:noWrap/>
            <w:vAlign w:val="center"/>
            <w:hideMark/>
          </w:tcPr>
          <w:p w14:paraId="58A556E4" w14:textId="77777777" w:rsidR="00F86AD5" w:rsidRPr="00746E61" w:rsidRDefault="00F86AD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110</w:t>
            </w:r>
          </w:p>
        </w:tc>
        <w:tc>
          <w:tcPr>
            <w:tcW w:w="1037" w:type="dxa"/>
            <w:tcBorders>
              <w:top w:val="nil"/>
              <w:left w:val="nil"/>
              <w:bottom w:val="single" w:sz="4" w:space="0" w:color="auto"/>
              <w:right w:val="single" w:sz="4" w:space="0" w:color="auto"/>
            </w:tcBorders>
            <w:shd w:val="clear" w:color="auto" w:fill="auto"/>
            <w:noWrap/>
            <w:vAlign w:val="center"/>
            <w:hideMark/>
          </w:tcPr>
          <w:p w14:paraId="5A0341B1" w14:textId="77777777" w:rsidR="00F86AD5" w:rsidRPr="00746E61" w:rsidRDefault="00F86AD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100</w:t>
            </w:r>
          </w:p>
        </w:tc>
        <w:tc>
          <w:tcPr>
            <w:tcW w:w="1796" w:type="dxa"/>
            <w:tcBorders>
              <w:top w:val="nil"/>
              <w:left w:val="nil"/>
              <w:bottom w:val="single" w:sz="4" w:space="0" w:color="auto"/>
              <w:right w:val="single" w:sz="4" w:space="0" w:color="auto"/>
            </w:tcBorders>
            <w:shd w:val="clear" w:color="auto" w:fill="auto"/>
            <w:vAlign w:val="center"/>
            <w:hideMark/>
          </w:tcPr>
          <w:p w14:paraId="49FC0D79" w14:textId="77777777" w:rsidR="00F86AD5" w:rsidRPr="00746E61" w:rsidRDefault="00F86AD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-5,92%</w:t>
            </w:r>
          </w:p>
        </w:tc>
        <w:tc>
          <w:tcPr>
            <w:tcW w:w="1700" w:type="dxa"/>
            <w:tcBorders>
              <w:top w:val="nil"/>
              <w:left w:val="nil"/>
              <w:bottom w:val="single" w:sz="4" w:space="0" w:color="auto"/>
              <w:right w:val="single" w:sz="4" w:space="0" w:color="auto"/>
            </w:tcBorders>
            <w:shd w:val="clear" w:color="auto" w:fill="auto"/>
            <w:vAlign w:val="center"/>
            <w:hideMark/>
          </w:tcPr>
          <w:p w14:paraId="659DC38E" w14:textId="77777777" w:rsidR="00F86AD5" w:rsidRPr="00746E61" w:rsidRDefault="00F86AD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-8,36%</w:t>
            </w:r>
          </w:p>
        </w:tc>
      </w:tr>
      <w:tr w:rsidR="00F86AD5" w:rsidRPr="00746E61" w14:paraId="45FB0BB6" w14:textId="77777777" w:rsidTr="00F86AD5">
        <w:trPr>
          <w:trHeight w:val="255"/>
          <w:jc w:val="center"/>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49859982" w14:textId="77777777" w:rsidR="00F86AD5" w:rsidRPr="00746E61" w:rsidRDefault="00F86AD5"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de Flagrancia de Goicochea</w:t>
            </w:r>
          </w:p>
        </w:tc>
        <w:tc>
          <w:tcPr>
            <w:tcW w:w="992" w:type="dxa"/>
            <w:tcBorders>
              <w:top w:val="nil"/>
              <w:left w:val="nil"/>
              <w:bottom w:val="single" w:sz="4" w:space="0" w:color="auto"/>
              <w:right w:val="single" w:sz="4" w:space="0" w:color="auto"/>
            </w:tcBorders>
            <w:shd w:val="clear" w:color="auto" w:fill="auto"/>
            <w:noWrap/>
            <w:vAlign w:val="center"/>
            <w:hideMark/>
          </w:tcPr>
          <w:p w14:paraId="255EDBAE" w14:textId="77777777" w:rsidR="00F86AD5" w:rsidRPr="00746E61" w:rsidRDefault="00F86AD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97</w:t>
            </w:r>
          </w:p>
        </w:tc>
        <w:tc>
          <w:tcPr>
            <w:tcW w:w="995" w:type="dxa"/>
            <w:tcBorders>
              <w:top w:val="nil"/>
              <w:left w:val="nil"/>
              <w:bottom w:val="single" w:sz="4" w:space="0" w:color="auto"/>
              <w:right w:val="single" w:sz="4" w:space="0" w:color="auto"/>
            </w:tcBorders>
            <w:shd w:val="clear" w:color="auto" w:fill="auto"/>
            <w:noWrap/>
            <w:vAlign w:val="center"/>
            <w:hideMark/>
          </w:tcPr>
          <w:p w14:paraId="431E78AE" w14:textId="77777777" w:rsidR="00F86AD5" w:rsidRPr="00746E61" w:rsidRDefault="00F86AD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80</w:t>
            </w:r>
          </w:p>
        </w:tc>
        <w:tc>
          <w:tcPr>
            <w:tcW w:w="1037" w:type="dxa"/>
            <w:tcBorders>
              <w:top w:val="nil"/>
              <w:left w:val="nil"/>
              <w:bottom w:val="single" w:sz="4" w:space="0" w:color="auto"/>
              <w:right w:val="single" w:sz="4" w:space="0" w:color="auto"/>
            </w:tcBorders>
            <w:shd w:val="clear" w:color="auto" w:fill="auto"/>
            <w:noWrap/>
            <w:vAlign w:val="center"/>
            <w:hideMark/>
          </w:tcPr>
          <w:p w14:paraId="03087638" w14:textId="77777777" w:rsidR="00F86AD5" w:rsidRPr="00746E61" w:rsidRDefault="00F86AD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87</w:t>
            </w:r>
          </w:p>
        </w:tc>
        <w:tc>
          <w:tcPr>
            <w:tcW w:w="1796" w:type="dxa"/>
            <w:tcBorders>
              <w:top w:val="nil"/>
              <w:left w:val="nil"/>
              <w:bottom w:val="single" w:sz="4" w:space="0" w:color="auto"/>
              <w:right w:val="single" w:sz="4" w:space="0" w:color="auto"/>
            </w:tcBorders>
            <w:shd w:val="clear" w:color="auto" w:fill="auto"/>
            <w:vAlign w:val="center"/>
            <w:hideMark/>
          </w:tcPr>
          <w:p w14:paraId="76ABEEFF" w14:textId="77777777" w:rsidR="00F86AD5" w:rsidRPr="00746E61" w:rsidRDefault="00F86AD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-9,70%</w:t>
            </w:r>
          </w:p>
        </w:tc>
        <w:tc>
          <w:tcPr>
            <w:tcW w:w="1700" w:type="dxa"/>
            <w:tcBorders>
              <w:top w:val="nil"/>
              <w:left w:val="nil"/>
              <w:bottom w:val="single" w:sz="4" w:space="0" w:color="auto"/>
              <w:right w:val="single" w:sz="4" w:space="0" w:color="auto"/>
            </w:tcBorders>
            <w:shd w:val="clear" w:color="auto" w:fill="auto"/>
            <w:vAlign w:val="center"/>
            <w:hideMark/>
          </w:tcPr>
          <w:p w14:paraId="3CFCB6BB" w14:textId="77777777" w:rsidR="00F86AD5" w:rsidRPr="00746E61" w:rsidRDefault="00F86AD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9,02%</w:t>
            </w:r>
          </w:p>
        </w:tc>
      </w:tr>
      <w:tr w:rsidR="00F86AD5" w:rsidRPr="00746E61" w14:paraId="2E3ABC59" w14:textId="77777777" w:rsidTr="00F86AD5">
        <w:trPr>
          <w:trHeight w:val="255"/>
          <w:jc w:val="center"/>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4AFD0E8C" w14:textId="77777777" w:rsidR="00F86AD5" w:rsidRPr="00746E61" w:rsidRDefault="00F86AD5"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de Flagrancia de Santa Cruz</w:t>
            </w:r>
          </w:p>
        </w:tc>
        <w:tc>
          <w:tcPr>
            <w:tcW w:w="992" w:type="dxa"/>
            <w:tcBorders>
              <w:top w:val="nil"/>
              <w:left w:val="nil"/>
              <w:bottom w:val="single" w:sz="4" w:space="0" w:color="auto"/>
              <w:right w:val="single" w:sz="4" w:space="0" w:color="auto"/>
            </w:tcBorders>
            <w:shd w:val="clear" w:color="auto" w:fill="auto"/>
            <w:noWrap/>
            <w:vAlign w:val="center"/>
            <w:hideMark/>
          </w:tcPr>
          <w:p w14:paraId="6923EAFF" w14:textId="77777777" w:rsidR="00F86AD5" w:rsidRPr="00746E61" w:rsidRDefault="00F86AD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52</w:t>
            </w:r>
          </w:p>
        </w:tc>
        <w:tc>
          <w:tcPr>
            <w:tcW w:w="995" w:type="dxa"/>
            <w:tcBorders>
              <w:top w:val="nil"/>
              <w:left w:val="nil"/>
              <w:bottom w:val="single" w:sz="4" w:space="0" w:color="auto"/>
              <w:right w:val="single" w:sz="4" w:space="0" w:color="auto"/>
            </w:tcBorders>
            <w:shd w:val="clear" w:color="auto" w:fill="auto"/>
            <w:noWrap/>
            <w:vAlign w:val="center"/>
            <w:hideMark/>
          </w:tcPr>
          <w:p w14:paraId="21FB262F" w14:textId="77777777" w:rsidR="00F86AD5" w:rsidRPr="00746E61" w:rsidRDefault="00F86AD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41</w:t>
            </w:r>
          </w:p>
        </w:tc>
        <w:tc>
          <w:tcPr>
            <w:tcW w:w="1037" w:type="dxa"/>
            <w:tcBorders>
              <w:top w:val="nil"/>
              <w:left w:val="nil"/>
              <w:bottom w:val="single" w:sz="4" w:space="0" w:color="auto"/>
              <w:right w:val="single" w:sz="4" w:space="0" w:color="auto"/>
            </w:tcBorders>
            <w:shd w:val="clear" w:color="auto" w:fill="auto"/>
            <w:noWrap/>
            <w:vAlign w:val="center"/>
            <w:hideMark/>
          </w:tcPr>
          <w:p w14:paraId="3AF4A1FB" w14:textId="77777777" w:rsidR="00F86AD5" w:rsidRPr="00746E61" w:rsidRDefault="00F86AD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46</w:t>
            </w:r>
          </w:p>
        </w:tc>
        <w:tc>
          <w:tcPr>
            <w:tcW w:w="1796" w:type="dxa"/>
            <w:tcBorders>
              <w:top w:val="nil"/>
              <w:left w:val="nil"/>
              <w:bottom w:val="single" w:sz="4" w:space="0" w:color="auto"/>
              <w:right w:val="single" w:sz="4" w:space="0" w:color="auto"/>
            </w:tcBorders>
            <w:shd w:val="clear" w:color="auto" w:fill="auto"/>
            <w:vAlign w:val="center"/>
            <w:hideMark/>
          </w:tcPr>
          <w:p w14:paraId="55F6E9E8" w14:textId="77777777" w:rsidR="00F86AD5" w:rsidRPr="00746E61" w:rsidRDefault="00F86AD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-10,79%</w:t>
            </w:r>
          </w:p>
        </w:tc>
        <w:tc>
          <w:tcPr>
            <w:tcW w:w="1700" w:type="dxa"/>
            <w:tcBorders>
              <w:top w:val="nil"/>
              <w:left w:val="nil"/>
              <w:bottom w:val="single" w:sz="4" w:space="0" w:color="auto"/>
              <w:right w:val="single" w:sz="4" w:space="0" w:color="auto"/>
            </w:tcBorders>
            <w:shd w:val="clear" w:color="auto" w:fill="auto"/>
            <w:vAlign w:val="center"/>
            <w:hideMark/>
          </w:tcPr>
          <w:p w14:paraId="7C784D4F" w14:textId="77777777" w:rsidR="00F86AD5" w:rsidRPr="00746E61" w:rsidRDefault="00F86AD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12,67%</w:t>
            </w:r>
          </w:p>
        </w:tc>
      </w:tr>
      <w:tr w:rsidR="00F86AD5" w:rsidRPr="00746E61" w14:paraId="2C99B7BC" w14:textId="77777777" w:rsidTr="00F86AD5">
        <w:trPr>
          <w:trHeight w:val="255"/>
          <w:jc w:val="center"/>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1E58647F" w14:textId="77777777" w:rsidR="00F86AD5" w:rsidRPr="00746E61" w:rsidRDefault="00F86AD5"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de Flagrancia de Pococí</w:t>
            </w:r>
          </w:p>
        </w:tc>
        <w:tc>
          <w:tcPr>
            <w:tcW w:w="992" w:type="dxa"/>
            <w:tcBorders>
              <w:top w:val="nil"/>
              <w:left w:val="nil"/>
              <w:bottom w:val="single" w:sz="4" w:space="0" w:color="auto"/>
              <w:right w:val="single" w:sz="4" w:space="0" w:color="auto"/>
            </w:tcBorders>
            <w:shd w:val="clear" w:color="auto" w:fill="auto"/>
            <w:noWrap/>
            <w:vAlign w:val="center"/>
            <w:hideMark/>
          </w:tcPr>
          <w:p w14:paraId="40141E86" w14:textId="77777777" w:rsidR="00F86AD5" w:rsidRPr="00746E61" w:rsidRDefault="00F86AD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42</w:t>
            </w:r>
          </w:p>
        </w:tc>
        <w:tc>
          <w:tcPr>
            <w:tcW w:w="995" w:type="dxa"/>
            <w:tcBorders>
              <w:top w:val="nil"/>
              <w:left w:val="nil"/>
              <w:bottom w:val="single" w:sz="4" w:space="0" w:color="auto"/>
              <w:right w:val="single" w:sz="4" w:space="0" w:color="auto"/>
            </w:tcBorders>
            <w:shd w:val="clear" w:color="auto" w:fill="auto"/>
            <w:noWrap/>
            <w:vAlign w:val="center"/>
            <w:hideMark/>
          </w:tcPr>
          <w:p w14:paraId="5EE3D1F8" w14:textId="77777777" w:rsidR="00F86AD5" w:rsidRPr="00746E61" w:rsidRDefault="00F86AD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35</w:t>
            </w:r>
          </w:p>
        </w:tc>
        <w:tc>
          <w:tcPr>
            <w:tcW w:w="1037" w:type="dxa"/>
            <w:tcBorders>
              <w:top w:val="nil"/>
              <w:left w:val="nil"/>
              <w:bottom w:val="single" w:sz="4" w:space="0" w:color="auto"/>
              <w:right w:val="single" w:sz="4" w:space="0" w:color="auto"/>
            </w:tcBorders>
            <w:shd w:val="clear" w:color="auto" w:fill="auto"/>
            <w:noWrap/>
            <w:vAlign w:val="center"/>
            <w:hideMark/>
          </w:tcPr>
          <w:p w14:paraId="64FB0862" w14:textId="77777777" w:rsidR="00F86AD5" w:rsidRPr="00746E61" w:rsidRDefault="00F86AD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37</w:t>
            </w:r>
          </w:p>
        </w:tc>
        <w:tc>
          <w:tcPr>
            <w:tcW w:w="1796" w:type="dxa"/>
            <w:tcBorders>
              <w:top w:val="nil"/>
              <w:left w:val="nil"/>
              <w:bottom w:val="single" w:sz="4" w:space="0" w:color="auto"/>
              <w:right w:val="single" w:sz="4" w:space="0" w:color="auto"/>
            </w:tcBorders>
            <w:shd w:val="clear" w:color="auto" w:fill="auto"/>
            <w:vAlign w:val="center"/>
            <w:hideMark/>
          </w:tcPr>
          <w:p w14:paraId="0D7D8A05" w14:textId="77777777" w:rsidR="00F86AD5" w:rsidRPr="00746E61" w:rsidRDefault="00F86AD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-12,50%</w:t>
            </w:r>
          </w:p>
        </w:tc>
        <w:tc>
          <w:tcPr>
            <w:tcW w:w="1700" w:type="dxa"/>
            <w:tcBorders>
              <w:top w:val="nil"/>
              <w:left w:val="nil"/>
              <w:bottom w:val="single" w:sz="4" w:space="0" w:color="auto"/>
              <w:right w:val="single" w:sz="4" w:space="0" w:color="auto"/>
            </w:tcBorders>
            <w:shd w:val="clear" w:color="auto" w:fill="auto"/>
            <w:vAlign w:val="center"/>
            <w:hideMark/>
          </w:tcPr>
          <w:p w14:paraId="2424A34E" w14:textId="77777777" w:rsidR="00F86AD5" w:rsidRPr="00746E61" w:rsidRDefault="00F86AD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7,52%</w:t>
            </w:r>
          </w:p>
        </w:tc>
      </w:tr>
      <w:tr w:rsidR="00F86AD5" w:rsidRPr="00746E61" w14:paraId="4EF2CCC9" w14:textId="77777777" w:rsidTr="001839AE">
        <w:trPr>
          <w:trHeight w:val="255"/>
          <w:jc w:val="center"/>
        </w:trPr>
        <w:tc>
          <w:tcPr>
            <w:tcW w:w="3256"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02A7D51" w14:textId="77777777" w:rsidR="00F86AD5" w:rsidRPr="00746E61" w:rsidRDefault="00F86AD5"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de Flagrancia de Pérez Zeledón</w:t>
            </w:r>
          </w:p>
        </w:tc>
        <w:tc>
          <w:tcPr>
            <w:tcW w:w="992" w:type="dxa"/>
            <w:tcBorders>
              <w:top w:val="nil"/>
              <w:left w:val="nil"/>
              <w:bottom w:val="single" w:sz="4" w:space="0" w:color="auto"/>
              <w:right w:val="single" w:sz="4" w:space="0" w:color="auto"/>
            </w:tcBorders>
            <w:shd w:val="clear" w:color="auto" w:fill="F2F2F2" w:themeFill="background1" w:themeFillShade="F2"/>
            <w:noWrap/>
            <w:vAlign w:val="center"/>
            <w:hideMark/>
          </w:tcPr>
          <w:p w14:paraId="191653FC" w14:textId="77777777" w:rsidR="00F86AD5" w:rsidRPr="00746E61" w:rsidRDefault="00F86AD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43</w:t>
            </w:r>
          </w:p>
        </w:tc>
        <w:tc>
          <w:tcPr>
            <w:tcW w:w="995" w:type="dxa"/>
            <w:tcBorders>
              <w:top w:val="nil"/>
              <w:left w:val="nil"/>
              <w:bottom w:val="single" w:sz="4" w:space="0" w:color="auto"/>
              <w:right w:val="single" w:sz="4" w:space="0" w:color="auto"/>
            </w:tcBorders>
            <w:shd w:val="clear" w:color="auto" w:fill="F2F2F2" w:themeFill="background1" w:themeFillShade="F2"/>
            <w:noWrap/>
            <w:vAlign w:val="center"/>
            <w:hideMark/>
          </w:tcPr>
          <w:p w14:paraId="08A0AFEF" w14:textId="77777777" w:rsidR="00F86AD5" w:rsidRPr="00746E61" w:rsidRDefault="00F86AD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43</w:t>
            </w:r>
          </w:p>
        </w:tc>
        <w:tc>
          <w:tcPr>
            <w:tcW w:w="1037" w:type="dxa"/>
            <w:tcBorders>
              <w:top w:val="nil"/>
              <w:left w:val="nil"/>
              <w:bottom w:val="single" w:sz="4" w:space="0" w:color="auto"/>
              <w:right w:val="single" w:sz="4" w:space="0" w:color="auto"/>
            </w:tcBorders>
            <w:shd w:val="clear" w:color="auto" w:fill="F2F2F2" w:themeFill="background1" w:themeFillShade="F2"/>
            <w:noWrap/>
            <w:vAlign w:val="center"/>
            <w:hideMark/>
          </w:tcPr>
          <w:p w14:paraId="178A1EF2" w14:textId="77777777" w:rsidR="00F86AD5" w:rsidRPr="00746E61" w:rsidRDefault="00F86AD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36</w:t>
            </w:r>
          </w:p>
        </w:tc>
        <w:tc>
          <w:tcPr>
            <w:tcW w:w="1796" w:type="dxa"/>
            <w:tcBorders>
              <w:top w:val="nil"/>
              <w:left w:val="nil"/>
              <w:bottom w:val="single" w:sz="4" w:space="0" w:color="auto"/>
              <w:right w:val="single" w:sz="4" w:space="0" w:color="auto"/>
            </w:tcBorders>
            <w:shd w:val="clear" w:color="auto" w:fill="F2F2F2" w:themeFill="background1" w:themeFillShade="F2"/>
            <w:vAlign w:val="center"/>
            <w:hideMark/>
          </w:tcPr>
          <w:p w14:paraId="28D1E974" w14:textId="77777777" w:rsidR="00F86AD5" w:rsidRPr="00746E61" w:rsidRDefault="00F86AD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-17,72%</w:t>
            </w:r>
          </w:p>
        </w:tc>
        <w:tc>
          <w:tcPr>
            <w:tcW w:w="1700" w:type="dxa"/>
            <w:tcBorders>
              <w:top w:val="nil"/>
              <w:left w:val="nil"/>
              <w:bottom w:val="single" w:sz="4" w:space="0" w:color="auto"/>
              <w:right w:val="single" w:sz="4" w:space="0" w:color="auto"/>
            </w:tcBorders>
            <w:shd w:val="clear" w:color="auto" w:fill="F2F2F2" w:themeFill="background1" w:themeFillShade="F2"/>
            <w:vAlign w:val="center"/>
            <w:hideMark/>
          </w:tcPr>
          <w:p w14:paraId="17F5E22E" w14:textId="77777777" w:rsidR="00F86AD5" w:rsidRPr="00746E61" w:rsidRDefault="00F86AD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-17,21%</w:t>
            </w:r>
          </w:p>
        </w:tc>
      </w:tr>
      <w:tr w:rsidR="00F86AD5" w:rsidRPr="00746E61" w14:paraId="1792670C" w14:textId="77777777" w:rsidTr="00F86AD5">
        <w:trPr>
          <w:trHeight w:val="255"/>
          <w:jc w:val="center"/>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53A71F33" w14:textId="77777777" w:rsidR="00F86AD5" w:rsidRPr="00746E61" w:rsidRDefault="00F86AD5" w:rsidP="00746E61">
            <w:pPr>
              <w:spacing w:line="276" w:lineRule="auto"/>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Total</w:t>
            </w:r>
          </w:p>
        </w:tc>
        <w:tc>
          <w:tcPr>
            <w:tcW w:w="992" w:type="dxa"/>
            <w:tcBorders>
              <w:top w:val="nil"/>
              <w:left w:val="nil"/>
              <w:bottom w:val="single" w:sz="4" w:space="0" w:color="auto"/>
              <w:right w:val="single" w:sz="4" w:space="0" w:color="auto"/>
            </w:tcBorders>
            <w:shd w:val="clear" w:color="auto" w:fill="auto"/>
            <w:vAlign w:val="center"/>
            <w:hideMark/>
          </w:tcPr>
          <w:p w14:paraId="4D64BBBF" w14:textId="77777777" w:rsidR="00F86AD5" w:rsidRPr="00746E61" w:rsidRDefault="00F86AD5"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700</w:t>
            </w:r>
          </w:p>
        </w:tc>
        <w:tc>
          <w:tcPr>
            <w:tcW w:w="995" w:type="dxa"/>
            <w:tcBorders>
              <w:top w:val="nil"/>
              <w:left w:val="nil"/>
              <w:bottom w:val="single" w:sz="4" w:space="0" w:color="auto"/>
              <w:right w:val="single" w:sz="4" w:space="0" w:color="auto"/>
            </w:tcBorders>
            <w:shd w:val="clear" w:color="auto" w:fill="auto"/>
            <w:vAlign w:val="center"/>
            <w:hideMark/>
          </w:tcPr>
          <w:p w14:paraId="2C836E85" w14:textId="77777777" w:rsidR="00F86AD5" w:rsidRPr="00746E61" w:rsidRDefault="00F86AD5"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721</w:t>
            </w:r>
          </w:p>
        </w:tc>
        <w:tc>
          <w:tcPr>
            <w:tcW w:w="1037" w:type="dxa"/>
            <w:tcBorders>
              <w:top w:val="nil"/>
              <w:left w:val="nil"/>
              <w:bottom w:val="single" w:sz="4" w:space="0" w:color="auto"/>
              <w:right w:val="single" w:sz="4" w:space="0" w:color="auto"/>
            </w:tcBorders>
            <w:shd w:val="clear" w:color="auto" w:fill="auto"/>
            <w:vAlign w:val="center"/>
            <w:hideMark/>
          </w:tcPr>
          <w:p w14:paraId="4933BFE1" w14:textId="77777777" w:rsidR="00F86AD5" w:rsidRPr="00746E61" w:rsidRDefault="00F86AD5"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831</w:t>
            </w:r>
          </w:p>
        </w:tc>
        <w:tc>
          <w:tcPr>
            <w:tcW w:w="1796" w:type="dxa"/>
            <w:tcBorders>
              <w:top w:val="nil"/>
              <w:left w:val="nil"/>
              <w:bottom w:val="single" w:sz="4" w:space="0" w:color="auto"/>
              <w:right w:val="single" w:sz="4" w:space="0" w:color="auto"/>
            </w:tcBorders>
            <w:shd w:val="clear" w:color="auto" w:fill="auto"/>
            <w:vAlign w:val="center"/>
            <w:hideMark/>
          </w:tcPr>
          <w:p w14:paraId="6154F33A" w14:textId="77777777" w:rsidR="00F86AD5" w:rsidRPr="00746E61" w:rsidRDefault="00F86AD5"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18,61%</w:t>
            </w:r>
          </w:p>
        </w:tc>
        <w:tc>
          <w:tcPr>
            <w:tcW w:w="1700" w:type="dxa"/>
            <w:tcBorders>
              <w:top w:val="nil"/>
              <w:left w:val="nil"/>
              <w:bottom w:val="single" w:sz="4" w:space="0" w:color="auto"/>
              <w:right w:val="single" w:sz="4" w:space="0" w:color="auto"/>
            </w:tcBorders>
            <w:shd w:val="clear" w:color="auto" w:fill="auto"/>
            <w:vAlign w:val="center"/>
            <w:hideMark/>
          </w:tcPr>
          <w:p w14:paraId="1303E5C5" w14:textId="77777777" w:rsidR="00F86AD5" w:rsidRPr="00746E61" w:rsidRDefault="00F86AD5"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15,25%</w:t>
            </w:r>
          </w:p>
        </w:tc>
      </w:tr>
    </w:tbl>
    <w:p w14:paraId="23166C15" w14:textId="5814E641" w:rsidR="00576CD7" w:rsidRPr="00746E61" w:rsidRDefault="0059268A" w:rsidP="00746E61">
      <w:pPr>
        <w:spacing w:line="276" w:lineRule="auto"/>
        <w:jc w:val="center"/>
        <w:rPr>
          <w:rFonts w:ascii="Book Antiqua" w:hAnsi="Book Antiqua"/>
          <w:b/>
          <w:bCs/>
          <w:lang w:val="es-ES_tradnl" w:eastAsia="en-US"/>
        </w:rPr>
      </w:pPr>
      <w:r w:rsidRPr="00746E61">
        <w:rPr>
          <w:rFonts w:ascii="Book Antiqua" w:hAnsi="Book Antiqua" w:cs="Calibri"/>
          <w:b/>
          <w:bCs/>
          <w:color w:val="000000"/>
          <w:sz w:val="20"/>
          <w:szCs w:val="20"/>
          <w:lang w:eastAsia="es-CR"/>
        </w:rPr>
        <w:t>Fuente:</w:t>
      </w:r>
      <w:r w:rsidRPr="00746E61">
        <w:rPr>
          <w:rFonts w:ascii="Book Antiqua" w:hAnsi="Book Antiqua" w:cs="Calibri"/>
          <w:color w:val="000000"/>
          <w:sz w:val="20"/>
          <w:szCs w:val="20"/>
          <w:lang w:eastAsia="es-CR"/>
        </w:rPr>
        <w:t xml:space="preserve"> Elaboración propia a partir de las estadísticas del Subproceso de Estadística</w:t>
      </w:r>
    </w:p>
    <w:p w14:paraId="1F83C93E" w14:textId="1BEF26E9" w:rsidR="002B4AFA" w:rsidRPr="00746E61" w:rsidRDefault="002B4AFA" w:rsidP="00746E61">
      <w:pPr>
        <w:spacing w:line="276" w:lineRule="auto"/>
        <w:jc w:val="center"/>
        <w:rPr>
          <w:rFonts w:ascii="Book Antiqua" w:hAnsi="Book Antiqua"/>
          <w:b/>
          <w:bCs/>
          <w:lang w:val="es-ES_tradnl" w:eastAsia="en-US"/>
        </w:rPr>
      </w:pPr>
    </w:p>
    <w:p w14:paraId="2347C220" w14:textId="3B178F50" w:rsidR="00315D26" w:rsidRPr="00746E61" w:rsidRDefault="00315D26" w:rsidP="00746E61">
      <w:pPr>
        <w:spacing w:line="276" w:lineRule="auto"/>
        <w:jc w:val="both"/>
        <w:rPr>
          <w:rFonts w:ascii="Book Antiqua" w:hAnsi="Book Antiqua" w:cs="Arial"/>
        </w:rPr>
      </w:pPr>
      <w:r w:rsidRPr="00746E61">
        <w:rPr>
          <w:rFonts w:ascii="Book Antiqua" w:hAnsi="Book Antiqua" w:cs="Arial"/>
        </w:rPr>
        <w:t>Periodo 2019 versus 2021: Contabilizando la entrada de asuntos en todos los despachos, se logra determinar un impacto en cuanto al aumento de esta variable, propiamente se evidencia un crecimiento general del 18</w:t>
      </w:r>
      <w:r w:rsidR="00680CEA" w:rsidRPr="00746E61">
        <w:rPr>
          <w:rFonts w:ascii="Book Antiqua" w:hAnsi="Book Antiqua" w:cs="Arial"/>
        </w:rPr>
        <w:t>.61</w:t>
      </w:r>
      <w:r w:rsidRPr="00746E61">
        <w:rPr>
          <w:rFonts w:ascii="Book Antiqua" w:hAnsi="Book Antiqua" w:cs="Arial"/>
        </w:rPr>
        <w:t>% del 2021 en comparación con el 2019. Al desglosar las cifras por oficinas, se observa que 9 de los 14 despachos mostraron un aumento en su carga de trabajo, siendo la Sección de Flagrancia de Limón quien mostró un mayor porcentaje de aumento, a saber 5</w:t>
      </w:r>
      <w:r w:rsidR="00680CEA" w:rsidRPr="00746E61">
        <w:rPr>
          <w:rFonts w:ascii="Book Antiqua" w:hAnsi="Book Antiqua" w:cs="Arial"/>
        </w:rPr>
        <w:t>55</w:t>
      </w:r>
      <w:r w:rsidR="00C30902" w:rsidRPr="00746E61">
        <w:rPr>
          <w:rFonts w:ascii="Book Antiqua" w:hAnsi="Book Antiqua" w:cs="Arial"/>
        </w:rPr>
        <w:t>.</w:t>
      </w:r>
      <w:r w:rsidR="00680CEA" w:rsidRPr="00746E61">
        <w:rPr>
          <w:rFonts w:ascii="Book Antiqua" w:hAnsi="Book Antiqua" w:cs="Arial"/>
        </w:rPr>
        <w:t>15</w:t>
      </w:r>
      <w:r w:rsidRPr="00746E61">
        <w:rPr>
          <w:rFonts w:ascii="Book Antiqua" w:hAnsi="Book Antiqua" w:cs="Arial"/>
        </w:rPr>
        <w:t>%, por otra parte, se hace referencia a la Sección de Flagrancia de Pérez Zeledón quien mostró mayor disminución en su entrada, a saber 1</w:t>
      </w:r>
      <w:r w:rsidR="00680CEA" w:rsidRPr="00746E61">
        <w:rPr>
          <w:rFonts w:ascii="Book Antiqua" w:hAnsi="Book Antiqua" w:cs="Arial"/>
        </w:rPr>
        <w:t>7</w:t>
      </w:r>
      <w:r w:rsidRPr="00746E61">
        <w:rPr>
          <w:rFonts w:ascii="Book Antiqua" w:hAnsi="Book Antiqua" w:cs="Arial"/>
        </w:rPr>
        <w:t>.</w:t>
      </w:r>
      <w:r w:rsidR="00680CEA" w:rsidRPr="00746E61">
        <w:rPr>
          <w:rFonts w:ascii="Book Antiqua" w:hAnsi="Book Antiqua" w:cs="Arial"/>
        </w:rPr>
        <w:t>72</w:t>
      </w:r>
      <w:r w:rsidRPr="00746E61">
        <w:rPr>
          <w:rFonts w:ascii="Book Antiqua" w:hAnsi="Book Antiqua" w:cs="Arial"/>
        </w:rPr>
        <w:t>%. Se destaca entre las secciones que mostraron crecimiento a la sección de Flagrancia de Limón, la cual pasó de recibir en promedio 5 asuntos al mes a 3</w:t>
      </w:r>
      <w:r w:rsidR="00680CEA" w:rsidRPr="00746E61">
        <w:rPr>
          <w:rFonts w:ascii="Book Antiqua" w:hAnsi="Book Antiqua" w:cs="Arial"/>
        </w:rPr>
        <w:t>4</w:t>
      </w:r>
      <w:r w:rsidRPr="00746E61">
        <w:rPr>
          <w:rFonts w:ascii="Book Antiqua" w:hAnsi="Book Antiqua" w:cs="Arial"/>
        </w:rPr>
        <w:t xml:space="preserve"> asuntos durante el 2021, mostrando con ello un aumento significativo del 5</w:t>
      </w:r>
      <w:r w:rsidR="00680CEA" w:rsidRPr="00746E61">
        <w:rPr>
          <w:rFonts w:ascii="Book Antiqua" w:hAnsi="Book Antiqua" w:cs="Arial"/>
        </w:rPr>
        <w:t>55.15</w:t>
      </w:r>
      <w:r w:rsidRPr="00746E61">
        <w:rPr>
          <w:rFonts w:ascii="Book Antiqua" w:hAnsi="Book Antiqua" w:cs="Arial"/>
        </w:rPr>
        <w:t xml:space="preserve">%, dicha variación en el comportamiento data de la aplicación de propuestas de mejora producto del rediseño de procesos realizado a finales del año 2019, el cual implicó en primera instancia el traslado de un equipo de trabajo unipersonal a la jornada diurna y que posteriormente derivó en el traslado de todo el equipo de flagrancia a la jornada diurna, lo cual tuvo un impacto positivo en el aumento de los asuntos entrados propios de la jurisdicción de flagrancia. </w:t>
      </w:r>
    </w:p>
    <w:p w14:paraId="40B488AB" w14:textId="3F9CC4AE" w:rsidR="00315D26" w:rsidRPr="00746E61" w:rsidRDefault="00315D26" w:rsidP="00746E61">
      <w:pPr>
        <w:spacing w:line="276" w:lineRule="auto"/>
        <w:jc w:val="center"/>
        <w:rPr>
          <w:rFonts w:ascii="Book Antiqua" w:hAnsi="Book Antiqua"/>
          <w:b/>
          <w:bCs/>
          <w:lang w:val="es-ES_tradnl" w:eastAsia="en-US"/>
        </w:rPr>
      </w:pPr>
    </w:p>
    <w:p w14:paraId="2A308123" w14:textId="21600A6A" w:rsidR="00C30902" w:rsidRPr="00746E61" w:rsidRDefault="00C30902" w:rsidP="00746E61">
      <w:pPr>
        <w:spacing w:line="276" w:lineRule="auto"/>
        <w:jc w:val="both"/>
        <w:rPr>
          <w:rFonts w:ascii="Book Antiqua" w:hAnsi="Book Antiqua" w:cs="Arial"/>
        </w:rPr>
      </w:pPr>
      <w:r w:rsidRPr="00746E61">
        <w:rPr>
          <w:rFonts w:ascii="Book Antiqua" w:hAnsi="Book Antiqua" w:cs="Arial"/>
        </w:rPr>
        <w:t xml:space="preserve">Periodo 2020 versus 2021: Se logra determinar un impacto en cuanto al aumento de la cantidad de asuntos entrados, propiamente se evidencia un crecimiento general del </w:t>
      </w:r>
      <w:r w:rsidR="00680CEA" w:rsidRPr="00746E61">
        <w:rPr>
          <w:rFonts w:ascii="Book Antiqua" w:hAnsi="Book Antiqua" w:cs="Arial"/>
        </w:rPr>
        <w:t>30</w:t>
      </w:r>
      <w:r w:rsidR="008E6264" w:rsidRPr="00746E61">
        <w:rPr>
          <w:rFonts w:ascii="Book Antiqua" w:hAnsi="Book Antiqua" w:cs="Arial"/>
        </w:rPr>
        <w:t>.</w:t>
      </w:r>
      <w:r w:rsidR="00680CEA" w:rsidRPr="00746E61">
        <w:rPr>
          <w:rFonts w:ascii="Book Antiqua" w:hAnsi="Book Antiqua" w:cs="Arial"/>
        </w:rPr>
        <w:t>59</w:t>
      </w:r>
      <w:r w:rsidRPr="00746E61">
        <w:rPr>
          <w:rFonts w:ascii="Book Antiqua" w:hAnsi="Book Antiqua" w:cs="Arial"/>
        </w:rPr>
        <w:t xml:space="preserve">% del 2021 en comparación con el 2020. Al respecto se observa que 11 de los 14 despachos mostraron un aumento en su carga de trabajo, siendo la Sección de Flagrancia de Alajuela quien mostró un mayor porcentaje de aumento, a saber </w:t>
      </w:r>
      <w:r w:rsidR="003B33AC" w:rsidRPr="00746E61">
        <w:rPr>
          <w:rFonts w:ascii="Book Antiqua" w:hAnsi="Book Antiqua" w:cs="Arial"/>
        </w:rPr>
        <w:t>247</w:t>
      </w:r>
      <w:r w:rsidR="008E6264" w:rsidRPr="00746E61">
        <w:rPr>
          <w:rFonts w:ascii="Book Antiqua" w:hAnsi="Book Antiqua" w:cs="Arial"/>
        </w:rPr>
        <w:t>.</w:t>
      </w:r>
      <w:r w:rsidR="003B33AC" w:rsidRPr="00746E61">
        <w:rPr>
          <w:rFonts w:ascii="Book Antiqua" w:hAnsi="Book Antiqua" w:cs="Arial"/>
        </w:rPr>
        <w:t>97</w:t>
      </w:r>
      <w:r w:rsidRPr="00746E61">
        <w:rPr>
          <w:rFonts w:ascii="Book Antiqua" w:hAnsi="Book Antiqua" w:cs="Arial"/>
        </w:rPr>
        <w:t>%, por otra parte, se hace referencia a la Sección de Flagrancia de Pérez Zeledón quien mostró mayor disminución en su entrada, a saber 1</w:t>
      </w:r>
      <w:r w:rsidR="003B33AC" w:rsidRPr="00746E61">
        <w:rPr>
          <w:rFonts w:ascii="Book Antiqua" w:hAnsi="Book Antiqua" w:cs="Arial"/>
        </w:rPr>
        <w:t>7</w:t>
      </w:r>
      <w:r w:rsidR="008E6264" w:rsidRPr="00746E61">
        <w:rPr>
          <w:rFonts w:ascii="Book Antiqua" w:hAnsi="Book Antiqua" w:cs="Arial"/>
        </w:rPr>
        <w:t>.</w:t>
      </w:r>
      <w:r w:rsidR="003B33AC" w:rsidRPr="00746E61">
        <w:rPr>
          <w:rFonts w:ascii="Book Antiqua" w:hAnsi="Book Antiqua" w:cs="Arial"/>
        </w:rPr>
        <w:t>21</w:t>
      </w:r>
      <w:r w:rsidRPr="00746E61">
        <w:rPr>
          <w:rFonts w:ascii="Book Antiqua" w:hAnsi="Book Antiqua" w:cs="Arial"/>
        </w:rPr>
        <w:t xml:space="preserve">%. </w:t>
      </w:r>
    </w:p>
    <w:p w14:paraId="21D6ECDD" w14:textId="77777777" w:rsidR="00C30902" w:rsidRPr="00746E61" w:rsidRDefault="00C30902" w:rsidP="00746E61">
      <w:pPr>
        <w:spacing w:line="276" w:lineRule="auto"/>
        <w:jc w:val="both"/>
        <w:rPr>
          <w:rFonts w:ascii="Book Antiqua" w:hAnsi="Book Antiqua" w:cs="Arial"/>
        </w:rPr>
      </w:pPr>
    </w:p>
    <w:p w14:paraId="4D49A942" w14:textId="31C4E539" w:rsidR="00C30902" w:rsidRPr="00746E61" w:rsidRDefault="00C30902" w:rsidP="00746E61">
      <w:pPr>
        <w:spacing w:line="276" w:lineRule="auto"/>
        <w:jc w:val="both"/>
        <w:rPr>
          <w:rFonts w:ascii="Book Antiqua" w:hAnsi="Book Antiqua" w:cs="Arial"/>
        </w:rPr>
      </w:pPr>
      <w:r w:rsidRPr="00746E61">
        <w:rPr>
          <w:rFonts w:ascii="Book Antiqua" w:hAnsi="Book Antiqua" w:cs="Arial"/>
        </w:rPr>
        <w:t>En términos generales, realizado en análisis comparativo antes de la pandemia de COVID-19 y durante la misma, se logra determinar que para ambos periodos la carga de trabajo en cuanto a la entrada de asuntos aumentó en un 18</w:t>
      </w:r>
      <w:r w:rsidR="003B33AC" w:rsidRPr="00746E61">
        <w:rPr>
          <w:rFonts w:ascii="Book Antiqua" w:hAnsi="Book Antiqua" w:cs="Arial"/>
        </w:rPr>
        <w:t>.61</w:t>
      </w:r>
      <w:r w:rsidRPr="00746E61">
        <w:rPr>
          <w:rFonts w:ascii="Book Antiqua" w:hAnsi="Book Antiqua" w:cs="Arial"/>
        </w:rPr>
        <w:t>% y un 1</w:t>
      </w:r>
      <w:r w:rsidR="003B33AC" w:rsidRPr="00746E61">
        <w:rPr>
          <w:rFonts w:ascii="Book Antiqua" w:hAnsi="Book Antiqua" w:cs="Arial"/>
        </w:rPr>
        <w:t>5</w:t>
      </w:r>
      <w:r w:rsidR="008E6264" w:rsidRPr="00746E61">
        <w:rPr>
          <w:rFonts w:ascii="Book Antiqua" w:hAnsi="Book Antiqua" w:cs="Arial"/>
        </w:rPr>
        <w:t>.</w:t>
      </w:r>
      <w:r w:rsidR="003B33AC" w:rsidRPr="00746E61">
        <w:rPr>
          <w:rFonts w:ascii="Book Antiqua" w:hAnsi="Book Antiqua" w:cs="Arial"/>
        </w:rPr>
        <w:t>2</w:t>
      </w:r>
      <w:r w:rsidRPr="00746E61">
        <w:rPr>
          <w:rFonts w:ascii="Book Antiqua" w:hAnsi="Book Antiqua" w:cs="Arial"/>
        </w:rPr>
        <w:t xml:space="preserve">5% respectivamente; las secciones de Flagrancia </w:t>
      </w:r>
      <w:r w:rsidR="00787F9D">
        <w:rPr>
          <w:rFonts w:ascii="Book Antiqua" w:hAnsi="Book Antiqua" w:cs="Arial"/>
        </w:rPr>
        <w:t xml:space="preserve">han mejorado </w:t>
      </w:r>
      <w:r w:rsidRPr="00746E61">
        <w:rPr>
          <w:rFonts w:ascii="Book Antiqua" w:hAnsi="Book Antiqua" w:cs="Arial"/>
        </w:rPr>
        <w:t>en cuanto a sus cargas de trabajo</w:t>
      </w:r>
      <w:r w:rsidR="00787F9D">
        <w:rPr>
          <w:rFonts w:ascii="Book Antiqua" w:hAnsi="Book Antiqua" w:cs="Arial"/>
        </w:rPr>
        <w:t xml:space="preserve"> y como se visualizó en párrafos anteriores también se </w:t>
      </w:r>
      <w:proofErr w:type="spellStart"/>
      <w:r w:rsidR="00787F9D">
        <w:rPr>
          <w:rFonts w:ascii="Book Antiqua" w:hAnsi="Book Antiqua" w:cs="Arial"/>
        </w:rPr>
        <w:t>logro</w:t>
      </w:r>
      <w:proofErr w:type="spellEnd"/>
      <w:r w:rsidR="00787F9D">
        <w:rPr>
          <w:rFonts w:ascii="Book Antiqua" w:hAnsi="Book Antiqua" w:cs="Arial"/>
        </w:rPr>
        <w:t xml:space="preserve"> en Flagrancia un alto porcentaje de efectividad de sus audiencias principalmente por su particularidad procesal. </w:t>
      </w:r>
    </w:p>
    <w:p w14:paraId="7C322132" w14:textId="77777777" w:rsidR="00C30902" w:rsidRPr="00746E61" w:rsidRDefault="00C30902" w:rsidP="00746E61">
      <w:pPr>
        <w:spacing w:line="276" w:lineRule="auto"/>
        <w:jc w:val="center"/>
        <w:rPr>
          <w:rFonts w:ascii="Book Antiqua" w:hAnsi="Book Antiqua"/>
          <w:b/>
          <w:bCs/>
          <w:lang w:val="es-ES_tradnl" w:eastAsia="en-US"/>
        </w:rPr>
      </w:pPr>
    </w:p>
    <w:p w14:paraId="3C3CEC8F" w14:textId="77777777" w:rsidR="00315D26" w:rsidRPr="00746E61" w:rsidRDefault="00315D26" w:rsidP="00746E61">
      <w:pPr>
        <w:spacing w:line="276" w:lineRule="auto"/>
        <w:jc w:val="center"/>
        <w:rPr>
          <w:rFonts w:ascii="Book Antiqua" w:hAnsi="Book Antiqua"/>
          <w:b/>
          <w:bCs/>
          <w:lang w:val="es-ES_tradnl" w:eastAsia="en-US"/>
        </w:rPr>
      </w:pPr>
    </w:p>
    <w:p w14:paraId="5CD3308B" w14:textId="44E304C4" w:rsidR="00576CD7" w:rsidRPr="00746E61" w:rsidRDefault="7BAB4E04" w:rsidP="57A79FF7">
      <w:pPr>
        <w:spacing w:line="276" w:lineRule="auto"/>
        <w:outlineLvl w:val="2"/>
        <w:rPr>
          <w:b/>
          <w:lang w:val="es-ES" w:eastAsia="en-US"/>
        </w:rPr>
      </w:pPr>
      <w:r w:rsidRPr="57A79FF7">
        <w:rPr>
          <w:rFonts w:ascii="Book Antiqua" w:hAnsi="Book Antiqua"/>
          <w:b/>
          <w:bCs/>
          <w:lang w:val="es-ES" w:eastAsia="en-US"/>
        </w:rPr>
        <w:t xml:space="preserve">3.3.2 </w:t>
      </w:r>
      <w:r w:rsidR="00576CD7" w:rsidRPr="57A79FF7">
        <w:rPr>
          <w:rFonts w:ascii="Book Antiqua" w:hAnsi="Book Antiqua"/>
          <w:b/>
          <w:lang w:val="es-ES" w:eastAsia="en-US"/>
        </w:rPr>
        <w:t>Asuntos terminados</w:t>
      </w:r>
    </w:p>
    <w:p w14:paraId="6301F2F9" w14:textId="3359CED1" w:rsidR="00576CD7" w:rsidRPr="00746E61" w:rsidRDefault="00576CD7" w:rsidP="00746E61">
      <w:pPr>
        <w:spacing w:line="276" w:lineRule="auto"/>
        <w:jc w:val="center"/>
        <w:rPr>
          <w:rFonts w:ascii="Book Antiqua" w:hAnsi="Book Antiqua"/>
          <w:b/>
          <w:bCs/>
          <w:lang w:val="es-ES_tradnl" w:eastAsia="en-US"/>
        </w:rPr>
      </w:pPr>
    </w:p>
    <w:p w14:paraId="79ACAC6B" w14:textId="5903044B" w:rsidR="0019663A" w:rsidRPr="00746E61" w:rsidRDefault="0019663A" w:rsidP="00746E61">
      <w:pPr>
        <w:widowControl w:val="0"/>
        <w:autoSpaceDE w:val="0"/>
        <w:spacing w:line="276" w:lineRule="auto"/>
        <w:ind w:right="51"/>
        <w:jc w:val="both"/>
        <w:rPr>
          <w:rFonts w:ascii="Book Antiqua" w:hAnsi="Book Antiqua"/>
          <w:b/>
          <w:bCs/>
          <w:lang w:val="es-ES_tradnl" w:eastAsia="en-US"/>
        </w:rPr>
      </w:pPr>
      <w:r w:rsidRPr="00746E61">
        <w:rPr>
          <w:rFonts w:ascii="Book Antiqua" w:hAnsi="Book Antiqua" w:cs="Arial"/>
        </w:rPr>
        <w:t xml:space="preserve">Para determinar el comportamiento presentado por las secciones de Flagrancia a lo largo del tiempo, en cuanto a la cantidad de asuntos terminados se procedió a efectuar un análisis comparativo del periodo comprendido entre enero del año 2019 al mes de </w:t>
      </w:r>
      <w:r w:rsidR="001839AE" w:rsidRPr="00746E61">
        <w:rPr>
          <w:rFonts w:ascii="Book Antiqua" w:hAnsi="Book Antiqua" w:cs="Arial"/>
        </w:rPr>
        <w:t>setiembre</w:t>
      </w:r>
      <w:r w:rsidRPr="00746E61">
        <w:rPr>
          <w:rFonts w:ascii="Book Antiqua" w:hAnsi="Book Antiqua" w:cs="Arial"/>
        </w:rPr>
        <w:t xml:space="preserve"> del 2021, resultados que se expresan a través del siguiente cuadro:</w:t>
      </w:r>
    </w:p>
    <w:p w14:paraId="0FBCE9A3" w14:textId="77777777" w:rsidR="002475B7" w:rsidRPr="00746E61" w:rsidRDefault="002475B7" w:rsidP="00746E61">
      <w:pPr>
        <w:spacing w:line="276" w:lineRule="auto"/>
        <w:jc w:val="both"/>
        <w:rPr>
          <w:rFonts w:ascii="Book Antiqua" w:hAnsi="Book Antiqua" w:cs="Arial"/>
        </w:rPr>
      </w:pPr>
    </w:p>
    <w:p w14:paraId="7EA44087" w14:textId="1DCC16C8" w:rsidR="00E61A77" w:rsidRPr="00746E61" w:rsidRDefault="002475B7" w:rsidP="00746E61">
      <w:pPr>
        <w:spacing w:line="276" w:lineRule="auto"/>
        <w:jc w:val="both"/>
        <w:rPr>
          <w:rFonts w:ascii="Book Antiqua" w:hAnsi="Book Antiqua" w:cs="Arial"/>
        </w:rPr>
      </w:pPr>
      <w:r w:rsidRPr="00746E61">
        <w:rPr>
          <w:rFonts w:ascii="Book Antiqua" w:hAnsi="Book Antiqua" w:cs="Arial"/>
        </w:rPr>
        <w:t xml:space="preserve">Seguidamente, en el </w:t>
      </w:r>
      <w:r w:rsidRPr="00746E61">
        <w:rPr>
          <w:rFonts w:ascii="Book Antiqua" w:hAnsi="Book Antiqua" w:cs="Arial"/>
          <w:b/>
          <w:bCs/>
        </w:rPr>
        <w:t>Cuadro 20,</w:t>
      </w:r>
      <w:r w:rsidRPr="00746E61">
        <w:rPr>
          <w:rFonts w:ascii="Book Antiqua" w:hAnsi="Book Antiqua" w:cs="Arial"/>
        </w:rPr>
        <w:t xml:space="preserve"> se registran los datos mencionados.</w:t>
      </w:r>
    </w:p>
    <w:p w14:paraId="55DC2052" w14:textId="0BBA618D" w:rsidR="00BF7F5F" w:rsidRDefault="00BF7F5F">
      <w:pPr>
        <w:rPr>
          <w:rFonts w:ascii="Book Antiqua" w:hAnsi="Book Antiqua"/>
          <w:b/>
          <w:bCs/>
          <w:lang w:val="es-ES_tradnl" w:eastAsia="en-US"/>
        </w:rPr>
      </w:pPr>
      <w:r>
        <w:rPr>
          <w:rFonts w:ascii="Book Antiqua" w:hAnsi="Book Antiqua"/>
          <w:b/>
          <w:bCs/>
          <w:lang w:val="es-ES_tradnl" w:eastAsia="en-US"/>
        </w:rPr>
        <w:br w:type="page"/>
      </w:r>
    </w:p>
    <w:p w14:paraId="083D0557" w14:textId="77777777" w:rsidR="00E61A77" w:rsidRPr="00746E61" w:rsidRDefault="00E61A77" w:rsidP="00746E61">
      <w:pPr>
        <w:spacing w:line="276" w:lineRule="auto"/>
        <w:jc w:val="center"/>
        <w:rPr>
          <w:rFonts w:ascii="Book Antiqua" w:hAnsi="Book Antiqua"/>
          <w:b/>
          <w:bCs/>
          <w:lang w:val="es-ES_tradnl" w:eastAsia="en-US"/>
        </w:rPr>
      </w:pPr>
    </w:p>
    <w:p w14:paraId="4003648F" w14:textId="7E4C72C6" w:rsidR="002475B7" w:rsidRPr="00746E61" w:rsidRDefault="002475B7" w:rsidP="00746E61">
      <w:pPr>
        <w:spacing w:line="276" w:lineRule="auto"/>
        <w:jc w:val="center"/>
        <w:rPr>
          <w:rFonts w:ascii="Book Antiqua" w:hAnsi="Book Antiqua"/>
          <w:b/>
          <w:bCs/>
          <w:lang w:val="es-ES_tradnl" w:eastAsia="en-US"/>
        </w:rPr>
      </w:pPr>
      <w:r w:rsidRPr="00746E61">
        <w:rPr>
          <w:rFonts w:ascii="Book Antiqua" w:hAnsi="Book Antiqua"/>
          <w:b/>
          <w:bCs/>
          <w:lang w:val="es-ES_tradnl" w:eastAsia="en-US"/>
        </w:rPr>
        <w:t>Cuadro 20</w:t>
      </w:r>
    </w:p>
    <w:p w14:paraId="175FF2C8" w14:textId="5661F075" w:rsidR="002475B7" w:rsidRPr="00746E61" w:rsidRDefault="002475B7" w:rsidP="00746E61">
      <w:pPr>
        <w:spacing w:line="276" w:lineRule="auto"/>
        <w:jc w:val="center"/>
        <w:rPr>
          <w:rFonts w:ascii="Book Antiqua" w:hAnsi="Book Antiqua"/>
          <w:lang w:val="es-ES_tradnl" w:eastAsia="en-US"/>
        </w:rPr>
      </w:pPr>
      <w:r w:rsidRPr="00746E61">
        <w:rPr>
          <w:rFonts w:ascii="Book Antiqua" w:hAnsi="Book Antiqua"/>
          <w:lang w:val="es-ES_tradnl" w:eastAsia="en-US"/>
        </w:rPr>
        <w:t xml:space="preserve">Promedio mensual de asuntos terminados en los Tribunales y Secciones de Flagrancia entre el periodo comprendido de enero 2019 a </w:t>
      </w:r>
      <w:r w:rsidR="001839AE" w:rsidRPr="00746E61">
        <w:rPr>
          <w:rFonts w:ascii="Book Antiqua" w:hAnsi="Book Antiqua"/>
          <w:lang w:val="es-ES_tradnl" w:eastAsia="en-US"/>
        </w:rPr>
        <w:t>setiembre</w:t>
      </w:r>
      <w:r w:rsidRPr="00746E61">
        <w:rPr>
          <w:rFonts w:ascii="Book Antiqua" w:hAnsi="Book Antiqua"/>
          <w:lang w:val="es-ES_tradnl" w:eastAsia="en-US"/>
        </w:rPr>
        <w:t xml:space="preserve"> de 2021</w:t>
      </w:r>
    </w:p>
    <w:tbl>
      <w:tblPr>
        <w:tblW w:w="10220" w:type="dxa"/>
        <w:jc w:val="center"/>
        <w:tblCellMar>
          <w:left w:w="70" w:type="dxa"/>
          <w:right w:w="70" w:type="dxa"/>
        </w:tblCellMar>
        <w:tblLook w:val="04A0" w:firstRow="1" w:lastRow="0" w:firstColumn="1" w:lastColumn="0" w:noHBand="0" w:noVBand="1"/>
      </w:tblPr>
      <w:tblGrid>
        <w:gridCol w:w="3568"/>
        <w:gridCol w:w="1020"/>
        <w:gridCol w:w="1020"/>
        <w:gridCol w:w="1020"/>
        <w:gridCol w:w="1796"/>
        <w:gridCol w:w="1796"/>
      </w:tblGrid>
      <w:tr w:rsidR="001839AE" w:rsidRPr="00746E61" w14:paraId="2676D888" w14:textId="77777777" w:rsidTr="001839AE">
        <w:trPr>
          <w:trHeight w:val="931"/>
          <w:jc w:val="center"/>
        </w:trPr>
        <w:tc>
          <w:tcPr>
            <w:tcW w:w="3568"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01D64E98" w14:textId="77777777" w:rsidR="001839AE" w:rsidRPr="00746E61" w:rsidRDefault="001839AE" w:rsidP="00746E61">
            <w:pPr>
              <w:spacing w:line="276" w:lineRule="auto"/>
              <w:jc w:val="center"/>
              <w:rPr>
                <w:rFonts w:ascii="Book Antiqua" w:hAnsi="Book Antiqua" w:cs="Calibri"/>
                <w:b/>
                <w:bCs/>
                <w:color w:val="FFFFFF"/>
                <w:sz w:val="16"/>
                <w:szCs w:val="16"/>
                <w:lang w:eastAsia="es-CR"/>
              </w:rPr>
            </w:pPr>
            <w:r w:rsidRPr="00746E61">
              <w:rPr>
                <w:rFonts w:ascii="Book Antiqua" w:hAnsi="Book Antiqua" w:cs="Calibri"/>
                <w:b/>
                <w:bCs/>
                <w:color w:val="FFFFFF"/>
                <w:sz w:val="16"/>
                <w:szCs w:val="16"/>
                <w:lang w:eastAsia="es-CR"/>
              </w:rPr>
              <w:t>Despachos</w:t>
            </w:r>
          </w:p>
        </w:tc>
        <w:tc>
          <w:tcPr>
            <w:tcW w:w="1020" w:type="dxa"/>
            <w:tcBorders>
              <w:top w:val="single" w:sz="4" w:space="0" w:color="auto"/>
              <w:left w:val="nil"/>
              <w:bottom w:val="single" w:sz="4" w:space="0" w:color="auto"/>
              <w:right w:val="single" w:sz="4" w:space="0" w:color="auto"/>
            </w:tcBorders>
            <w:shd w:val="clear" w:color="000000" w:fill="305496"/>
            <w:vAlign w:val="center"/>
            <w:hideMark/>
          </w:tcPr>
          <w:p w14:paraId="1591D784" w14:textId="77777777" w:rsidR="001839AE" w:rsidRPr="00746E61" w:rsidRDefault="001839AE" w:rsidP="00746E61">
            <w:pPr>
              <w:spacing w:line="276" w:lineRule="auto"/>
              <w:jc w:val="center"/>
              <w:rPr>
                <w:rFonts w:ascii="Book Antiqua" w:hAnsi="Book Antiqua" w:cs="Calibri"/>
                <w:b/>
                <w:bCs/>
                <w:color w:val="FFFFFF"/>
                <w:sz w:val="16"/>
                <w:szCs w:val="16"/>
                <w:lang w:eastAsia="es-CR"/>
              </w:rPr>
            </w:pPr>
            <w:r w:rsidRPr="00746E61">
              <w:rPr>
                <w:rFonts w:ascii="Book Antiqua" w:hAnsi="Book Antiqua" w:cs="Calibri"/>
                <w:b/>
                <w:bCs/>
                <w:color w:val="FFFFFF"/>
                <w:sz w:val="16"/>
                <w:szCs w:val="16"/>
                <w:lang w:eastAsia="es-CR"/>
              </w:rPr>
              <w:t>Promedio mensual de Terminados 2019</w:t>
            </w:r>
          </w:p>
        </w:tc>
        <w:tc>
          <w:tcPr>
            <w:tcW w:w="1020" w:type="dxa"/>
            <w:tcBorders>
              <w:top w:val="single" w:sz="4" w:space="0" w:color="auto"/>
              <w:left w:val="nil"/>
              <w:bottom w:val="single" w:sz="4" w:space="0" w:color="auto"/>
              <w:right w:val="single" w:sz="4" w:space="0" w:color="auto"/>
            </w:tcBorders>
            <w:shd w:val="clear" w:color="000000" w:fill="305496"/>
            <w:vAlign w:val="center"/>
            <w:hideMark/>
          </w:tcPr>
          <w:p w14:paraId="1705A293" w14:textId="77777777" w:rsidR="001839AE" w:rsidRPr="00746E61" w:rsidRDefault="001839AE" w:rsidP="00746E61">
            <w:pPr>
              <w:spacing w:line="276" w:lineRule="auto"/>
              <w:jc w:val="center"/>
              <w:rPr>
                <w:rFonts w:ascii="Book Antiqua" w:hAnsi="Book Antiqua" w:cs="Calibri"/>
                <w:b/>
                <w:bCs/>
                <w:color w:val="FFFFFF"/>
                <w:sz w:val="16"/>
                <w:szCs w:val="16"/>
                <w:lang w:eastAsia="es-CR"/>
              </w:rPr>
            </w:pPr>
            <w:r w:rsidRPr="00746E61">
              <w:rPr>
                <w:rFonts w:ascii="Book Antiqua" w:hAnsi="Book Antiqua" w:cs="Calibri"/>
                <w:b/>
                <w:bCs/>
                <w:color w:val="FFFFFF"/>
                <w:sz w:val="16"/>
                <w:szCs w:val="16"/>
                <w:lang w:eastAsia="es-CR"/>
              </w:rPr>
              <w:t>Promedio mensual de Terminados 2020</w:t>
            </w:r>
          </w:p>
        </w:tc>
        <w:tc>
          <w:tcPr>
            <w:tcW w:w="1020" w:type="dxa"/>
            <w:tcBorders>
              <w:top w:val="single" w:sz="4" w:space="0" w:color="auto"/>
              <w:left w:val="nil"/>
              <w:bottom w:val="single" w:sz="4" w:space="0" w:color="auto"/>
              <w:right w:val="single" w:sz="4" w:space="0" w:color="auto"/>
            </w:tcBorders>
            <w:shd w:val="clear" w:color="000000" w:fill="305496"/>
            <w:vAlign w:val="center"/>
            <w:hideMark/>
          </w:tcPr>
          <w:p w14:paraId="4E3A8DAF" w14:textId="77777777" w:rsidR="001839AE" w:rsidRPr="00746E61" w:rsidRDefault="001839AE" w:rsidP="00746E61">
            <w:pPr>
              <w:spacing w:line="276" w:lineRule="auto"/>
              <w:jc w:val="center"/>
              <w:rPr>
                <w:rFonts w:ascii="Book Antiqua" w:hAnsi="Book Antiqua" w:cs="Calibri"/>
                <w:b/>
                <w:bCs/>
                <w:color w:val="FFFFFF"/>
                <w:sz w:val="16"/>
                <w:szCs w:val="16"/>
                <w:lang w:eastAsia="es-CR"/>
              </w:rPr>
            </w:pPr>
            <w:r w:rsidRPr="00746E61">
              <w:rPr>
                <w:rFonts w:ascii="Book Antiqua" w:hAnsi="Book Antiqua" w:cs="Calibri"/>
                <w:b/>
                <w:bCs/>
                <w:color w:val="FFFFFF"/>
                <w:sz w:val="16"/>
                <w:szCs w:val="16"/>
                <w:lang w:eastAsia="es-CR"/>
              </w:rPr>
              <w:t>Promedio mensual de Terminados 2021</w:t>
            </w:r>
          </w:p>
        </w:tc>
        <w:tc>
          <w:tcPr>
            <w:tcW w:w="1796" w:type="dxa"/>
            <w:tcBorders>
              <w:top w:val="single" w:sz="4" w:space="0" w:color="auto"/>
              <w:left w:val="nil"/>
              <w:bottom w:val="single" w:sz="4" w:space="0" w:color="auto"/>
              <w:right w:val="single" w:sz="4" w:space="0" w:color="auto"/>
            </w:tcBorders>
            <w:shd w:val="clear" w:color="000000" w:fill="DDEBF7"/>
            <w:vAlign w:val="center"/>
            <w:hideMark/>
          </w:tcPr>
          <w:p w14:paraId="375A59D4" w14:textId="77777777" w:rsidR="001839AE" w:rsidRPr="00746E61" w:rsidRDefault="001839AE" w:rsidP="00746E61">
            <w:pPr>
              <w:spacing w:line="276" w:lineRule="auto"/>
              <w:jc w:val="center"/>
              <w:rPr>
                <w:rFonts w:ascii="Book Antiqua" w:hAnsi="Book Antiqua" w:cs="Calibri"/>
                <w:b/>
                <w:bCs/>
                <w:color w:val="3A3838"/>
                <w:sz w:val="16"/>
                <w:szCs w:val="16"/>
                <w:lang w:eastAsia="es-CR"/>
              </w:rPr>
            </w:pPr>
            <w:r w:rsidRPr="00746E61">
              <w:rPr>
                <w:rFonts w:ascii="Book Antiqua" w:hAnsi="Book Antiqua" w:cs="Calibri"/>
                <w:b/>
                <w:bCs/>
                <w:color w:val="3A3838"/>
                <w:sz w:val="16"/>
                <w:szCs w:val="16"/>
                <w:lang w:eastAsia="es-CR"/>
              </w:rPr>
              <w:t>Aumento/disminución 2021vs2019</w:t>
            </w:r>
          </w:p>
        </w:tc>
        <w:tc>
          <w:tcPr>
            <w:tcW w:w="1796" w:type="dxa"/>
            <w:tcBorders>
              <w:top w:val="single" w:sz="4" w:space="0" w:color="auto"/>
              <w:left w:val="nil"/>
              <w:bottom w:val="single" w:sz="4" w:space="0" w:color="auto"/>
              <w:right w:val="single" w:sz="4" w:space="0" w:color="auto"/>
            </w:tcBorders>
            <w:shd w:val="clear" w:color="000000" w:fill="DDEBF7"/>
            <w:vAlign w:val="center"/>
            <w:hideMark/>
          </w:tcPr>
          <w:p w14:paraId="2034D908" w14:textId="77777777" w:rsidR="001839AE" w:rsidRPr="00746E61" w:rsidRDefault="001839AE" w:rsidP="00746E61">
            <w:pPr>
              <w:spacing w:line="276" w:lineRule="auto"/>
              <w:jc w:val="center"/>
              <w:rPr>
                <w:rFonts w:ascii="Book Antiqua" w:hAnsi="Book Antiqua" w:cs="Calibri"/>
                <w:b/>
                <w:bCs/>
                <w:color w:val="3A3838"/>
                <w:sz w:val="16"/>
                <w:szCs w:val="16"/>
                <w:lang w:eastAsia="es-CR"/>
              </w:rPr>
            </w:pPr>
            <w:r w:rsidRPr="00746E61">
              <w:rPr>
                <w:rFonts w:ascii="Book Antiqua" w:hAnsi="Book Antiqua" w:cs="Calibri"/>
                <w:b/>
                <w:bCs/>
                <w:color w:val="3A3838"/>
                <w:sz w:val="16"/>
                <w:szCs w:val="16"/>
                <w:lang w:eastAsia="es-CR"/>
              </w:rPr>
              <w:t>Aumento/disminución 2021vs2020</w:t>
            </w:r>
          </w:p>
        </w:tc>
      </w:tr>
      <w:tr w:rsidR="00CB035D" w:rsidRPr="00746E61" w14:paraId="1A9EDDD0" w14:textId="77777777" w:rsidTr="00CB035D">
        <w:trPr>
          <w:trHeight w:val="259"/>
          <w:jc w:val="center"/>
        </w:trPr>
        <w:tc>
          <w:tcPr>
            <w:tcW w:w="3568"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85D9DF7" w14:textId="77777777" w:rsidR="001839AE" w:rsidRPr="00746E61" w:rsidRDefault="001839AE"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de Flagrancia de Liberia</w:t>
            </w:r>
          </w:p>
        </w:tc>
        <w:tc>
          <w:tcPr>
            <w:tcW w:w="1020" w:type="dxa"/>
            <w:tcBorders>
              <w:top w:val="nil"/>
              <w:left w:val="nil"/>
              <w:bottom w:val="single" w:sz="4" w:space="0" w:color="auto"/>
              <w:right w:val="single" w:sz="4" w:space="0" w:color="auto"/>
            </w:tcBorders>
            <w:shd w:val="clear" w:color="auto" w:fill="F2F2F2" w:themeFill="background1" w:themeFillShade="F2"/>
            <w:noWrap/>
            <w:vAlign w:val="center"/>
            <w:hideMark/>
          </w:tcPr>
          <w:p w14:paraId="7A81EE49" w14:textId="77777777" w:rsidR="001839AE" w:rsidRPr="00746E61" w:rsidRDefault="001839A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53</w:t>
            </w:r>
          </w:p>
        </w:tc>
        <w:tc>
          <w:tcPr>
            <w:tcW w:w="1020" w:type="dxa"/>
            <w:tcBorders>
              <w:top w:val="nil"/>
              <w:left w:val="nil"/>
              <w:bottom w:val="single" w:sz="4" w:space="0" w:color="auto"/>
              <w:right w:val="single" w:sz="4" w:space="0" w:color="auto"/>
            </w:tcBorders>
            <w:shd w:val="clear" w:color="auto" w:fill="F2F2F2" w:themeFill="background1" w:themeFillShade="F2"/>
            <w:noWrap/>
            <w:vAlign w:val="center"/>
            <w:hideMark/>
          </w:tcPr>
          <w:p w14:paraId="659F5363" w14:textId="77777777" w:rsidR="001839AE" w:rsidRPr="00746E61" w:rsidRDefault="001839A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61</w:t>
            </w:r>
          </w:p>
        </w:tc>
        <w:tc>
          <w:tcPr>
            <w:tcW w:w="1020" w:type="dxa"/>
            <w:tcBorders>
              <w:top w:val="nil"/>
              <w:left w:val="nil"/>
              <w:bottom w:val="single" w:sz="4" w:space="0" w:color="auto"/>
              <w:right w:val="single" w:sz="4" w:space="0" w:color="auto"/>
            </w:tcBorders>
            <w:shd w:val="clear" w:color="auto" w:fill="F2F2F2" w:themeFill="background1" w:themeFillShade="F2"/>
            <w:noWrap/>
            <w:vAlign w:val="center"/>
            <w:hideMark/>
          </w:tcPr>
          <w:p w14:paraId="2C4EFA52" w14:textId="77777777" w:rsidR="001839AE" w:rsidRPr="00746E61" w:rsidRDefault="001839A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74</w:t>
            </w:r>
          </w:p>
        </w:tc>
        <w:tc>
          <w:tcPr>
            <w:tcW w:w="1796" w:type="dxa"/>
            <w:tcBorders>
              <w:top w:val="nil"/>
              <w:left w:val="nil"/>
              <w:bottom w:val="single" w:sz="4" w:space="0" w:color="auto"/>
              <w:right w:val="single" w:sz="4" w:space="0" w:color="auto"/>
            </w:tcBorders>
            <w:shd w:val="clear" w:color="auto" w:fill="F2F2F2" w:themeFill="background1" w:themeFillShade="F2"/>
            <w:vAlign w:val="center"/>
            <w:hideMark/>
          </w:tcPr>
          <w:p w14:paraId="6CE5F134" w14:textId="77777777" w:rsidR="001839AE" w:rsidRPr="00746E61" w:rsidRDefault="001839A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39,97%</w:t>
            </w:r>
          </w:p>
        </w:tc>
        <w:tc>
          <w:tcPr>
            <w:tcW w:w="1796" w:type="dxa"/>
            <w:tcBorders>
              <w:top w:val="nil"/>
              <w:left w:val="nil"/>
              <w:bottom w:val="single" w:sz="4" w:space="0" w:color="auto"/>
              <w:right w:val="single" w:sz="4" w:space="0" w:color="auto"/>
            </w:tcBorders>
            <w:shd w:val="clear" w:color="auto" w:fill="F2F2F2" w:themeFill="background1" w:themeFillShade="F2"/>
            <w:vAlign w:val="center"/>
            <w:hideMark/>
          </w:tcPr>
          <w:p w14:paraId="4C635ACA" w14:textId="77777777" w:rsidR="001839AE" w:rsidRPr="00746E61" w:rsidRDefault="001839A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21,29%</w:t>
            </w:r>
          </w:p>
        </w:tc>
      </w:tr>
      <w:tr w:rsidR="001839AE" w:rsidRPr="00746E61" w14:paraId="0B51692B" w14:textId="77777777" w:rsidTr="001839AE">
        <w:trPr>
          <w:trHeight w:val="259"/>
          <w:jc w:val="center"/>
        </w:trPr>
        <w:tc>
          <w:tcPr>
            <w:tcW w:w="3568" w:type="dxa"/>
            <w:tcBorders>
              <w:top w:val="nil"/>
              <w:left w:val="single" w:sz="4" w:space="0" w:color="auto"/>
              <w:bottom w:val="single" w:sz="4" w:space="0" w:color="auto"/>
              <w:right w:val="single" w:sz="4" w:space="0" w:color="auto"/>
            </w:tcBorders>
            <w:shd w:val="clear" w:color="auto" w:fill="auto"/>
            <w:noWrap/>
            <w:vAlign w:val="center"/>
            <w:hideMark/>
          </w:tcPr>
          <w:p w14:paraId="5BB033A7" w14:textId="77777777" w:rsidR="001839AE" w:rsidRPr="00746E61" w:rsidRDefault="001839AE"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de Flagrancia de Alajuela</w:t>
            </w:r>
          </w:p>
        </w:tc>
        <w:tc>
          <w:tcPr>
            <w:tcW w:w="1020" w:type="dxa"/>
            <w:tcBorders>
              <w:top w:val="nil"/>
              <w:left w:val="nil"/>
              <w:bottom w:val="single" w:sz="4" w:space="0" w:color="auto"/>
              <w:right w:val="single" w:sz="4" w:space="0" w:color="auto"/>
            </w:tcBorders>
            <w:shd w:val="clear" w:color="auto" w:fill="auto"/>
            <w:noWrap/>
            <w:vAlign w:val="center"/>
            <w:hideMark/>
          </w:tcPr>
          <w:p w14:paraId="11BA6543" w14:textId="77777777" w:rsidR="001839AE" w:rsidRPr="00746E61" w:rsidRDefault="001839A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24</w:t>
            </w:r>
          </w:p>
        </w:tc>
        <w:tc>
          <w:tcPr>
            <w:tcW w:w="1020" w:type="dxa"/>
            <w:tcBorders>
              <w:top w:val="nil"/>
              <w:left w:val="nil"/>
              <w:bottom w:val="single" w:sz="4" w:space="0" w:color="auto"/>
              <w:right w:val="single" w:sz="4" w:space="0" w:color="auto"/>
            </w:tcBorders>
            <w:shd w:val="clear" w:color="auto" w:fill="auto"/>
            <w:noWrap/>
            <w:vAlign w:val="center"/>
            <w:hideMark/>
          </w:tcPr>
          <w:p w14:paraId="36CB7BC7" w14:textId="77777777" w:rsidR="001839AE" w:rsidRPr="00746E61" w:rsidRDefault="001839A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22</w:t>
            </w:r>
          </w:p>
        </w:tc>
        <w:tc>
          <w:tcPr>
            <w:tcW w:w="1020" w:type="dxa"/>
            <w:tcBorders>
              <w:top w:val="nil"/>
              <w:left w:val="nil"/>
              <w:bottom w:val="single" w:sz="4" w:space="0" w:color="auto"/>
              <w:right w:val="single" w:sz="4" w:space="0" w:color="auto"/>
            </w:tcBorders>
            <w:shd w:val="clear" w:color="auto" w:fill="auto"/>
            <w:noWrap/>
            <w:vAlign w:val="center"/>
            <w:hideMark/>
          </w:tcPr>
          <w:p w14:paraId="3758633A" w14:textId="77777777" w:rsidR="001839AE" w:rsidRPr="00746E61" w:rsidRDefault="001839A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30</w:t>
            </w:r>
          </w:p>
        </w:tc>
        <w:tc>
          <w:tcPr>
            <w:tcW w:w="1796" w:type="dxa"/>
            <w:tcBorders>
              <w:top w:val="nil"/>
              <w:left w:val="nil"/>
              <w:bottom w:val="single" w:sz="4" w:space="0" w:color="auto"/>
              <w:right w:val="single" w:sz="4" w:space="0" w:color="auto"/>
            </w:tcBorders>
            <w:shd w:val="clear" w:color="auto" w:fill="auto"/>
            <w:vAlign w:val="center"/>
            <w:hideMark/>
          </w:tcPr>
          <w:p w14:paraId="54E36B0E" w14:textId="77777777" w:rsidR="001839AE" w:rsidRPr="00746E61" w:rsidRDefault="001839A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24,89%</w:t>
            </w:r>
          </w:p>
        </w:tc>
        <w:tc>
          <w:tcPr>
            <w:tcW w:w="1796" w:type="dxa"/>
            <w:tcBorders>
              <w:top w:val="nil"/>
              <w:left w:val="nil"/>
              <w:bottom w:val="single" w:sz="4" w:space="0" w:color="auto"/>
              <w:right w:val="single" w:sz="4" w:space="0" w:color="auto"/>
            </w:tcBorders>
            <w:shd w:val="clear" w:color="auto" w:fill="auto"/>
            <w:vAlign w:val="center"/>
            <w:hideMark/>
          </w:tcPr>
          <w:p w14:paraId="338EE0C3" w14:textId="77777777" w:rsidR="001839AE" w:rsidRPr="00746E61" w:rsidRDefault="001839A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31,31%</w:t>
            </w:r>
          </w:p>
        </w:tc>
      </w:tr>
      <w:tr w:rsidR="001839AE" w:rsidRPr="00746E61" w14:paraId="623B7E72" w14:textId="77777777" w:rsidTr="001839AE">
        <w:trPr>
          <w:trHeight w:val="259"/>
          <w:jc w:val="center"/>
        </w:trPr>
        <w:tc>
          <w:tcPr>
            <w:tcW w:w="3568" w:type="dxa"/>
            <w:tcBorders>
              <w:top w:val="nil"/>
              <w:left w:val="single" w:sz="4" w:space="0" w:color="auto"/>
              <w:bottom w:val="single" w:sz="4" w:space="0" w:color="auto"/>
              <w:right w:val="single" w:sz="4" w:space="0" w:color="auto"/>
            </w:tcBorders>
            <w:shd w:val="clear" w:color="auto" w:fill="auto"/>
            <w:noWrap/>
            <w:vAlign w:val="center"/>
            <w:hideMark/>
          </w:tcPr>
          <w:p w14:paraId="4D3C3F4F" w14:textId="77777777" w:rsidR="001839AE" w:rsidRPr="00746E61" w:rsidRDefault="001839AE"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de Flagrancia de San Ramón</w:t>
            </w:r>
          </w:p>
        </w:tc>
        <w:tc>
          <w:tcPr>
            <w:tcW w:w="1020" w:type="dxa"/>
            <w:tcBorders>
              <w:top w:val="nil"/>
              <w:left w:val="nil"/>
              <w:bottom w:val="single" w:sz="4" w:space="0" w:color="auto"/>
              <w:right w:val="single" w:sz="4" w:space="0" w:color="auto"/>
            </w:tcBorders>
            <w:shd w:val="clear" w:color="auto" w:fill="auto"/>
            <w:noWrap/>
            <w:vAlign w:val="center"/>
            <w:hideMark/>
          </w:tcPr>
          <w:p w14:paraId="1B558561" w14:textId="77777777" w:rsidR="001839AE" w:rsidRPr="00746E61" w:rsidRDefault="001839A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38</w:t>
            </w:r>
          </w:p>
        </w:tc>
        <w:tc>
          <w:tcPr>
            <w:tcW w:w="1020" w:type="dxa"/>
            <w:tcBorders>
              <w:top w:val="nil"/>
              <w:left w:val="nil"/>
              <w:bottom w:val="single" w:sz="4" w:space="0" w:color="auto"/>
              <w:right w:val="single" w:sz="4" w:space="0" w:color="auto"/>
            </w:tcBorders>
            <w:shd w:val="clear" w:color="auto" w:fill="auto"/>
            <w:noWrap/>
            <w:vAlign w:val="center"/>
            <w:hideMark/>
          </w:tcPr>
          <w:p w14:paraId="3AEA9F3F" w14:textId="77777777" w:rsidR="001839AE" w:rsidRPr="00746E61" w:rsidRDefault="001839A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46</w:t>
            </w:r>
          </w:p>
        </w:tc>
        <w:tc>
          <w:tcPr>
            <w:tcW w:w="1020" w:type="dxa"/>
            <w:tcBorders>
              <w:top w:val="nil"/>
              <w:left w:val="nil"/>
              <w:bottom w:val="single" w:sz="4" w:space="0" w:color="auto"/>
              <w:right w:val="single" w:sz="4" w:space="0" w:color="auto"/>
            </w:tcBorders>
            <w:shd w:val="clear" w:color="auto" w:fill="auto"/>
            <w:noWrap/>
            <w:vAlign w:val="center"/>
            <w:hideMark/>
          </w:tcPr>
          <w:p w14:paraId="55EC18E4" w14:textId="77777777" w:rsidR="001839AE" w:rsidRPr="00746E61" w:rsidRDefault="001839A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48</w:t>
            </w:r>
          </w:p>
        </w:tc>
        <w:tc>
          <w:tcPr>
            <w:tcW w:w="1796" w:type="dxa"/>
            <w:tcBorders>
              <w:top w:val="nil"/>
              <w:left w:val="nil"/>
              <w:bottom w:val="single" w:sz="4" w:space="0" w:color="auto"/>
              <w:right w:val="single" w:sz="4" w:space="0" w:color="auto"/>
            </w:tcBorders>
            <w:shd w:val="clear" w:color="auto" w:fill="auto"/>
            <w:vAlign w:val="center"/>
            <w:hideMark/>
          </w:tcPr>
          <w:p w14:paraId="5D83B6F9" w14:textId="77777777" w:rsidR="001839AE" w:rsidRPr="00746E61" w:rsidRDefault="001839A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23,77%</w:t>
            </w:r>
          </w:p>
        </w:tc>
        <w:tc>
          <w:tcPr>
            <w:tcW w:w="1796" w:type="dxa"/>
            <w:tcBorders>
              <w:top w:val="nil"/>
              <w:left w:val="nil"/>
              <w:bottom w:val="single" w:sz="4" w:space="0" w:color="auto"/>
              <w:right w:val="single" w:sz="4" w:space="0" w:color="auto"/>
            </w:tcBorders>
            <w:shd w:val="clear" w:color="auto" w:fill="auto"/>
            <w:vAlign w:val="center"/>
            <w:hideMark/>
          </w:tcPr>
          <w:p w14:paraId="210F47A0" w14:textId="77777777" w:rsidR="001839AE" w:rsidRPr="00746E61" w:rsidRDefault="001839A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4,23%</w:t>
            </w:r>
          </w:p>
        </w:tc>
      </w:tr>
      <w:tr w:rsidR="001839AE" w:rsidRPr="00746E61" w14:paraId="1F67E873" w14:textId="77777777" w:rsidTr="001839AE">
        <w:trPr>
          <w:trHeight w:val="259"/>
          <w:jc w:val="center"/>
        </w:trPr>
        <w:tc>
          <w:tcPr>
            <w:tcW w:w="3568" w:type="dxa"/>
            <w:tcBorders>
              <w:top w:val="nil"/>
              <w:left w:val="single" w:sz="4" w:space="0" w:color="auto"/>
              <w:bottom w:val="single" w:sz="4" w:space="0" w:color="auto"/>
              <w:right w:val="single" w:sz="4" w:space="0" w:color="auto"/>
            </w:tcBorders>
            <w:shd w:val="clear" w:color="auto" w:fill="auto"/>
            <w:noWrap/>
            <w:vAlign w:val="center"/>
            <w:hideMark/>
          </w:tcPr>
          <w:p w14:paraId="1F6EB388" w14:textId="77777777" w:rsidR="001839AE" w:rsidRPr="00746E61" w:rsidRDefault="001839AE"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de Flagrancia de San Carlos</w:t>
            </w:r>
          </w:p>
        </w:tc>
        <w:tc>
          <w:tcPr>
            <w:tcW w:w="1020" w:type="dxa"/>
            <w:tcBorders>
              <w:top w:val="nil"/>
              <w:left w:val="nil"/>
              <w:bottom w:val="single" w:sz="4" w:space="0" w:color="auto"/>
              <w:right w:val="single" w:sz="4" w:space="0" w:color="auto"/>
            </w:tcBorders>
            <w:shd w:val="clear" w:color="auto" w:fill="auto"/>
            <w:noWrap/>
            <w:vAlign w:val="center"/>
            <w:hideMark/>
          </w:tcPr>
          <w:p w14:paraId="74EA3342" w14:textId="77777777" w:rsidR="001839AE" w:rsidRPr="00746E61" w:rsidRDefault="001839A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55</w:t>
            </w:r>
          </w:p>
        </w:tc>
        <w:tc>
          <w:tcPr>
            <w:tcW w:w="1020" w:type="dxa"/>
            <w:tcBorders>
              <w:top w:val="nil"/>
              <w:left w:val="nil"/>
              <w:bottom w:val="single" w:sz="4" w:space="0" w:color="auto"/>
              <w:right w:val="single" w:sz="4" w:space="0" w:color="auto"/>
            </w:tcBorders>
            <w:shd w:val="clear" w:color="auto" w:fill="auto"/>
            <w:noWrap/>
            <w:vAlign w:val="center"/>
            <w:hideMark/>
          </w:tcPr>
          <w:p w14:paraId="57BD566C" w14:textId="77777777" w:rsidR="001839AE" w:rsidRPr="00746E61" w:rsidRDefault="001839A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46</w:t>
            </w:r>
          </w:p>
        </w:tc>
        <w:tc>
          <w:tcPr>
            <w:tcW w:w="1020" w:type="dxa"/>
            <w:tcBorders>
              <w:top w:val="nil"/>
              <w:left w:val="nil"/>
              <w:bottom w:val="single" w:sz="4" w:space="0" w:color="auto"/>
              <w:right w:val="single" w:sz="4" w:space="0" w:color="auto"/>
            </w:tcBorders>
            <w:shd w:val="clear" w:color="auto" w:fill="auto"/>
            <w:noWrap/>
            <w:vAlign w:val="center"/>
            <w:hideMark/>
          </w:tcPr>
          <w:p w14:paraId="15A9595C" w14:textId="77777777" w:rsidR="001839AE" w:rsidRPr="00746E61" w:rsidRDefault="001839A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68</w:t>
            </w:r>
          </w:p>
        </w:tc>
        <w:tc>
          <w:tcPr>
            <w:tcW w:w="1796" w:type="dxa"/>
            <w:tcBorders>
              <w:top w:val="nil"/>
              <w:left w:val="nil"/>
              <w:bottom w:val="single" w:sz="4" w:space="0" w:color="auto"/>
              <w:right w:val="single" w:sz="4" w:space="0" w:color="auto"/>
            </w:tcBorders>
            <w:shd w:val="clear" w:color="auto" w:fill="auto"/>
            <w:vAlign w:val="center"/>
            <w:hideMark/>
          </w:tcPr>
          <w:p w14:paraId="1CD5D605" w14:textId="77777777" w:rsidR="001839AE" w:rsidRPr="00746E61" w:rsidRDefault="001839A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23,60%</w:t>
            </w:r>
          </w:p>
        </w:tc>
        <w:tc>
          <w:tcPr>
            <w:tcW w:w="1796" w:type="dxa"/>
            <w:tcBorders>
              <w:top w:val="nil"/>
              <w:left w:val="nil"/>
              <w:bottom w:val="single" w:sz="4" w:space="0" w:color="auto"/>
              <w:right w:val="single" w:sz="4" w:space="0" w:color="auto"/>
            </w:tcBorders>
            <w:shd w:val="clear" w:color="auto" w:fill="auto"/>
            <w:vAlign w:val="center"/>
            <w:hideMark/>
          </w:tcPr>
          <w:p w14:paraId="52804F1D" w14:textId="77777777" w:rsidR="001839AE" w:rsidRPr="00746E61" w:rsidRDefault="001839A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46,81%</w:t>
            </w:r>
          </w:p>
        </w:tc>
      </w:tr>
      <w:tr w:rsidR="001839AE" w:rsidRPr="00746E61" w14:paraId="2005DED0" w14:textId="77777777" w:rsidTr="001839AE">
        <w:trPr>
          <w:trHeight w:val="259"/>
          <w:jc w:val="center"/>
        </w:trPr>
        <w:tc>
          <w:tcPr>
            <w:tcW w:w="3568" w:type="dxa"/>
            <w:tcBorders>
              <w:top w:val="nil"/>
              <w:left w:val="single" w:sz="4" w:space="0" w:color="auto"/>
              <w:bottom w:val="single" w:sz="4" w:space="0" w:color="auto"/>
              <w:right w:val="single" w:sz="4" w:space="0" w:color="auto"/>
            </w:tcBorders>
            <w:shd w:val="clear" w:color="auto" w:fill="auto"/>
            <w:noWrap/>
            <w:vAlign w:val="center"/>
            <w:hideMark/>
          </w:tcPr>
          <w:p w14:paraId="704D403E" w14:textId="77777777" w:rsidR="001839AE" w:rsidRPr="00746E61" w:rsidRDefault="001839AE"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de Flagrancia de Cartago</w:t>
            </w:r>
          </w:p>
        </w:tc>
        <w:tc>
          <w:tcPr>
            <w:tcW w:w="1020" w:type="dxa"/>
            <w:tcBorders>
              <w:top w:val="nil"/>
              <w:left w:val="nil"/>
              <w:bottom w:val="single" w:sz="4" w:space="0" w:color="auto"/>
              <w:right w:val="single" w:sz="4" w:space="0" w:color="auto"/>
            </w:tcBorders>
            <w:shd w:val="clear" w:color="auto" w:fill="auto"/>
            <w:noWrap/>
            <w:vAlign w:val="center"/>
            <w:hideMark/>
          </w:tcPr>
          <w:p w14:paraId="5EA67AC4" w14:textId="77777777" w:rsidR="001839AE" w:rsidRPr="00746E61" w:rsidRDefault="001839A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29</w:t>
            </w:r>
          </w:p>
        </w:tc>
        <w:tc>
          <w:tcPr>
            <w:tcW w:w="1020" w:type="dxa"/>
            <w:tcBorders>
              <w:top w:val="nil"/>
              <w:left w:val="nil"/>
              <w:bottom w:val="single" w:sz="4" w:space="0" w:color="auto"/>
              <w:right w:val="single" w:sz="4" w:space="0" w:color="auto"/>
            </w:tcBorders>
            <w:shd w:val="clear" w:color="auto" w:fill="auto"/>
            <w:noWrap/>
            <w:vAlign w:val="center"/>
            <w:hideMark/>
          </w:tcPr>
          <w:p w14:paraId="33C08EF1" w14:textId="77777777" w:rsidR="001839AE" w:rsidRPr="00746E61" w:rsidRDefault="001839A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36</w:t>
            </w:r>
          </w:p>
        </w:tc>
        <w:tc>
          <w:tcPr>
            <w:tcW w:w="1020" w:type="dxa"/>
            <w:tcBorders>
              <w:top w:val="nil"/>
              <w:left w:val="nil"/>
              <w:bottom w:val="single" w:sz="4" w:space="0" w:color="auto"/>
              <w:right w:val="single" w:sz="4" w:space="0" w:color="auto"/>
            </w:tcBorders>
            <w:shd w:val="clear" w:color="auto" w:fill="auto"/>
            <w:noWrap/>
            <w:vAlign w:val="center"/>
            <w:hideMark/>
          </w:tcPr>
          <w:p w14:paraId="7D386FF1" w14:textId="77777777" w:rsidR="001839AE" w:rsidRPr="00746E61" w:rsidRDefault="001839A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33</w:t>
            </w:r>
          </w:p>
        </w:tc>
        <w:tc>
          <w:tcPr>
            <w:tcW w:w="1796" w:type="dxa"/>
            <w:tcBorders>
              <w:top w:val="nil"/>
              <w:left w:val="nil"/>
              <w:bottom w:val="single" w:sz="4" w:space="0" w:color="auto"/>
              <w:right w:val="single" w:sz="4" w:space="0" w:color="auto"/>
            </w:tcBorders>
            <w:shd w:val="clear" w:color="auto" w:fill="auto"/>
            <w:vAlign w:val="center"/>
            <w:hideMark/>
          </w:tcPr>
          <w:p w14:paraId="792B59D2" w14:textId="77777777" w:rsidR="001839AE" w:rsidRPr="00746E61" w:rsidRDefault="001839A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14,25%</w:t>
            </w:r>
          </w:p>
        </w:tc>
        <w:tc>
          <w:tcPr>
            <w:tcW w:w="1796" w:type="dxa"/>
            <w:tcBorders>
              <w:top w:val="nil"/>
              <w:left w:val="nil"/>
              <w:bottom w:val="single" w:sz="4" w:space="0" w:color="auto"/>
              <w:right w:val="single" w:sz="4" w:space="0" w:color="auto"/>
            </w:tcBorders>
            <w:shd w:val="clear" w:color="auto" w:fill="auto"/>
            <w:vAlign w:val="center"/>
            <w:hideMark/>
          </w:tcPr>
          <w:p w14:paraId="0F21D570" w14:textId="77777777" w:rsidR="001839AE" w:rsidRPr="00746E61" w:rsidRDefault="001839A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-8,32%</w:t>
            </w:r>
          </w:p>
        </w:tc>
      </w:tr>
      <w:tr w:rsidR="001839AE" w:rsidRPr="00746E61" w14:paraId="0C04242A" w14:textId="77777777" w:rsidTr="001839AE">
        <w:trPr>
          <w:trHeight w:val="259"/>
          <w:jc w:val="center"/>
        </w:trPr>
        <w:tc>
          <w:tcPr>
            <w:tcW w:w="3568" w:type="dxa"/>
            <w:tcBorders>
              <w:top w:val="nil"/>
              <w:left w:val="single" w:sz="4" w:space="0" w:color="auto"/>
              <w:bottom w:val="single" w:sz="4" w:space="0" w:color="auto"/>
              <w:right w:val="single" w:sz="4" w:space="0" w:color="auto"/>
            </w:tcBorders>
            <w:shd w:val="clear" w:color="auto" w:fill="auto"/>
            <w:noWrap/>
            <w:vAlign w:val="center"/>
            <w:hideMark/>
          </w:tcPr>
          <w:p w14:paraId="1C41A316" w14:textId="77777777" w:rsidR="001839AE" w:rsidRPr="00746E61" w:rsidRDefault="001839AE"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de Flagrancia de Goicochea</w:t>
            </w:r>
          </w:p>
        </w:tc>
        <w:tc>
          <w:tcPr>
            <w:tcW w:w="1020" w:type="dxa"/>
            <w:tcBorders>
              <w:top w:val="nil"/>
              <w:left w:val="nil"/>
              <w:bottom w:val="single" w:sz="4" w:space="0" w:color="auto"/>
              <w:right w:val="single" w:sz="4" w:space="0" w:color="auto"/>
            </w:tcBorders>
            <w:shd w:val="clear" w:color="auto" w:fill="auto"/>
            <w:noWrap/>
            <w:vAlign w:val="center"/>
            <w:hideMark/>
          </w:tcPr>
          <w:p w14:paraId="1D1A4E73" w14:textId="77777777" w:rsidR="001839AE" w:rsidRPr="00746E61" w:rsidRDefault="001839A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95</w:t>
            </w:r>
          </w:p>
        </w:tc>
        <w:tc>
          <w:tcPr>
            <w:tcW w:w="1020" w:type="dxa"/>
            <w:tcBorders>
              <w:top w:val="nil"/>
              <w:left w:val="nil"/>
              <w:bottom w:val="single" w:sz="4" w:space="0" w:color="auto"/>
              <w:right w:val="single" w:sz="4" w:space="0" w:color="auto"/>
            </w:tcBorders>
            <w:shd w:val="clear" w:color="auto" w:fill="auto"/>
            <w:noWrap/>
            <w:vAlign w:val="center"/>
            <w:hideMark/>
          </w:tcPr>
          <w:p w14:paraId="154041E2" w14:textId="77777777" w:rsidR="001839AE" w:rsidRPr="00746E61" w:rsidRDefault="001839A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90</w:t>
            </w:r>
          </w:p>
        </w:tc>
        <w:tc>
          <w:tcPr>
            <w:tcW w:w="1020" w:type="dxa"/>
            <w:tcBorders>
              <w:top w:val="nil"/>
              <w:left w:val="nil"/>
              <w:bottom w:val="single" w:sz="4" w:space="0" w:color="auto"/>
              <w:right w:val="single" w:sz="4" w:space="0" w:color="auto"/>
            </w:tcBorders>
            <w:shd w:val="clear" w:color="auto" w:fill="auto"/>
            <w:noWrap/>
            <w:vAlign w:val="center"/>
            <w:hideMark/>
          </w:tcPr>
          <w:p w14:paraId="5D2C461A" w14:textId="77777777" w:rsidR="001839AE" w:rsidRPr="00746E61" w:rsidRDefault="001839A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109</w:t>
            </w:r>
          </w:p>
        </w:tc>
        <w:tc>
          <w:tcPr>
            <w:tcW w:w="1796" w:type="dxa"/>
            <w:tcBorders>
              <w:top w:val="nil"/>
              <w:left w:val="nil"/>
              <w:bottom w:val="single" w:sz="4" w:space="0" w:color="auto"/>
              <w:right w:val="single" w:sz="4" w:space="0" w:color="auto"/>
            </w:tcBorders>
            <w:shd w:val="clear" w:color="auto" w:fill="auto"/>
            <w:vAlign w:val="center"/>
            <w:hideMark/>
          </w:tcPr>
          <w:p w14:paraId="068A4CD5" w14:textId="77777777" w:rsidR="001839AE" w:rsidRPr="00746E61" w:rsidRDefault="001839A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13,97%</w:t>
            </w:r>
          </w:p>
        </w:tc>
        <w:tc>
          <w:tcPr>
            <w:tcW w:w="1796" w:type="dxa"/>
            <w:tcBorders>
              <w:top w:val="nil"/>
              <w:left w:val="nil"/>
              <w:bottom w:val="single" w:sz="4" w:space="0" w:color="auto"/>
              <w:right w:val="single" w:sz="4" w:space="0" w:color="auto"/>
            </w:tcBorders>
            <w:shd w:val="clear" w:color="auto" w:fill="auto"/>
            <w:vAlign w:val="center"/>
            <w:hideMark/>
          </w:tcPr>
          <w:p w14:paraId="02B244C0" w14:textId="77777777" w:rsidR="001839AE" w:rsidRPr="00746E61" w:rsidRDefault="001839A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20,25%</w:t>
            </w:r>
          </w:p>
        </w:tc>
      </w:tr>
      <w:tr w:rsidR="001839AE" w:rsidRPr="00746E61" w14:paraId="601A676E" w14:textId="77777777" w:rsidTr="001839AE">
        <w:trPr>
          <w:trHeight w:val="259"/>
          <w:jc w:val="center"/>
        </w:trPr>
        <w:tc>
          <w:tcPr>
            <w:tcW w:w="3568" w:type="dxa"/>
            <w:tcBorders>
              <w:top w:val="nil"/>
              <w:left w:val="single" w:sz="4" w:space="0" w:color="auto"/>
              <w:bottom w:val="single" w:sz="4" w:space="0" w:color="auto"/>
              <w:right w:val="single" w:sz="4" w:space="0" w:color="auto"/>
            </w:tcBorders>
            <w:shd w:val="clear" w:color="auto" w:fill="auto"/>
            <w:noWrap/>
            <w:vAlign w:val="center"/>
            <w:hideMark/>
          </w:tcPr>
          <w:p w14:paraId="15EC0B65" w14:textId="77777777" w:rsidR="001839AE" w:rsidRPr="00746E61" w:rsidRDefault="001839AE"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de Flagrancia de Heredia</w:t>
            </w:r>
          </w:p>
        </w:tc>
        <w:tc>
          <w:tcPr>
            <w:tcW w:w="1020" w:type="dxa"/>
            <w:tcBorders>
              <w:top w:val="nil"/>
              <w:left w:val="nil"/>
              <w:bottom w:val="single" w:sz="4" w:space="0" w:color="auto"/>
              <w:right w:val="single" w:sz="4" w:space="0" w:color="auto"/>
            </w:tcBorders>
            <w:shd w:val="clear" w:color="auto" w:fill="auto"/>
            <w:noWrap/>
            <w:vAlign w:val="center"/>
            <w:hideMark/>
          </w:tcPr>
          <w:p w14:paraId="1B7DEBA4" w14:textId="77777777" w:rsidR="001839AE" w:rsidRPr="00746E61" w:rsidRDefault="001839A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92</w:t>
            </w:r>
          </w:p>
        </w:tc>
        <w:tc>
          <w:tcPr>
            <w:tcW w:w="1020" w:type="dxa"/>
            <w:tcBorders>
              <w:top w:val="nil"/>
              <w:left w:val="nil"/>
              <w:bottom w:val="single" w:sz="4" w:space="0" w:color="auto"/>
              <w:right w:val="single" w:sz="4" w:space="0" w:color="auto"/>
            </w:tcBorders>
            <w:shd w:val="clear" w:color="auto" w:fill="auto"/>
            <w:noWrap/>
            <w:vAlign w:val="center"/>
            <w:hideMark/>
          </w:tcPr>
          <w:p w14:paraId="48C5A185" w14:textId="77777777" w:rsidR="001839AE" w:rsidRPr="00746E61" w:rsidRDefault="001839A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90</w:t>
            </w:r>
          </w:p>
        </w:tc>
        <w:tc>
          <w:tcPr>
            <w:tcW w:w="1020" w:type="dxa"/>
            <w:tcBorders>
              <w:top w:val="nil"/>
              <w:left w:val="nil"/>
              <w:bottom w:val="single" w:sz="4" w:space="0" w:color="auto"/>
              <w:right w:val="single" w:sz="4" w:space="0" w:color="auto"/>
            </w:tcBorders>
            <w:shd w:val="clear" w:color="auto" w:fill="auto"/>
            <w:noWrap/>
            <w:vAlign w:val="center"/>
            <w:hideMark/>
          </w:tcPr>
          <w:p w14:paraId="60D25095" w14:textId="77777777" w:rsidR="001839AE" w:rsidRPr="00746E61" w:rsidRDefault="001839A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104</w:t>
            </w:r>
          </w:p>
        </w:tc>
        <w:tc>
          <w:tcPr>
            <w:tcW w:w="1796" w:type="dxa"/>
            <w:tcBorders>
              <w:top w:val="nil"/>
              <w:left w:val="nil"/>
              <w:bottom w:val="single" w:sz="4" w:space="0" w:color="auto"/>
              <w:right w:val="single" w:sz="4" w:space="0" w:color="auto"/>
            </w:tcBorders>
            <w:shd w:val="clear" w:color="auto" w:fill="auto"/>
            <w:vAlign w:val="center"/>
            <w:hideMark/>
          </w:tcPr>
          <w:p w14:paraId="7F6A3D71" w14:textId="77777777" w:rsidR="001839AE" w:rsidRPr="00746E61" w:rsidRDefault="001839A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13,21%</w:t>
            </w:r>
          </w:p>
        </w:tc>
        <w:tc>
          <w:tcPr>
            <w:tcW w:w="1796" w:type="dxa"/>
            <w:tcBorders>
              <w:top w:val="nil"/>
              <w:left w:val="nil"/>
              <w:bottom w:val="single" w:sz="4" w:space="0" w:color="auto"/>
              <w:right w:val="single" w:sz="4" w:space="0" w:color="auto"/>
            </w:tcBorders>
            <w:shd w:val="clear" w:color="auto" w:fill="auto"/>
            <w:vAlign w:val="center"/>
            <w:hideMark/>
          </w:tcPr>
          <w:p w14:paraId="29C405AC" w14:textId="77777777" w:rsidR="001839AE" w:rsidRPr="00746E61" w:rsidRDefault="001839A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14,99%</w:t>
            </w:r>
          </w:p>
        </w:tc>
      </w:tr>
      <w:tr w:rsidR="001839AE" w:rsidRPr="00746E61" w14:paraId="2C1FC3E3" w14:textId="77777777" w:rsidTr="001839AE">
        <w:trPr>
          <w:trHeight w:val="259"/>
          <w:jc w:val="center"/>
        </w:trPr>
        <w:tc>
          <w:tcPr>
            <w:tcW w:w="3568" w:type="dxa"/>
            <w:tcBorders>
              <w:top w:val="nil"/>
              <w:left w:val="single" w:sz="4" w:space="0" w:color="auto"/>
              <w:bottom w:val="single" w:sz="4" w:space="0" w:color="auto"/>
              <w:right w:val="single" w:sz="4" w:space="0" w:color="auto"/>
            </w:tcBorders>
            <w:shd w:val="clear" w:color="auto" w:fill="auto"/>
            <w:noWrap/>
            <w:vAlign w:val="center"/>
            <w:hideMark/>
          </w:tcPr>
          <w:p w14:paraId="6FFEDFE5" w14:textId="77777777" w:rsidR="001839AE" w:rsidRPr="00746E61" w:rsidRDefault="001839AE"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de Flagrancia de Limón</w:t>
            </w:r>
          </w:p>
        </w:tc>
        <w:tc>
          <w:tcPr>
            <w:tcW w:w="1020" w:type="dxa"/>
            <w:tcBorders>
              <w:top w:val="nil"/>
              <w:left w:val="nil"/>
              <w:bottom w:val="single" w:sz="4" w:space="0" w:color="auto"/>
              <w:right w:val="single" w:sz="4" w:space="0" w:color="auto"/>
            </w:tcBorders>
            <w:shd w:val="clear" w:color="auto" w:fill="auto"/>
            <w:noWrap/>
            <w:vAlign w:val="center"/>
            <w:hideMark/>
          </w:tcPr>
          <w:p w14:paraId="1FE0347A" w14:textId="77777777" w:rsidR="001839AE" w:rsidRPr="00746E61" w:rsidRDefault="001839A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17</w:t>
            </w:r>
          </w:p>
        </w:tc>
        <w:tc>
          <w:tcPr>
            <w:tcW w:w="1020" w:type="dxa"/>
            <w:tcBorders>
              <w:top w:val="nil"/>
              <w:left w:val="nil"/>
              <w:bottom w:val="single" w:sz="4" w:space="0" w:color="auto"/>
              <w:right w:val="single" w:sz="4" w:space="0" w:color="auto"/>
            </w:tcBorders>
            <w:shd w:val="clear" w:color="auto" w:fill="auto"/>
            <w:noWrap/>
            <w:vAlign w:val="center"/>
            <w:hideMark/>
          </w:tcPr>
          <w:p w14:paraId="7749EF87" w14:textId="77777777" w:rsidR="001839AE" w:rsidRPr="00746E61" w:rsidRDefault="001839A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21</w:t>
            </w:r>
          </w:p>
        </w:tc>
        <w:tc>
          <w:tcPr>
            <w:tcW w:w="1020" w:type="dxa"/>
            <w:tcBorders>
              <w:top w:val="nil"/>
              <w:left w:val="nil"/>
              <w:bottom w:val="single" w:sz="4" w:space="0" w:color="auto"/>
              <w:right w:val="single" w:sz="4" w:space="0" w:color="auto"/>
            </w:tcBorders>
            <w:shd w:val="clear" w:color="auto" w:fill="auto"/>
            <w:noWrap/>
            <w:vAlign w:val="center"/>
            <w:hideMark/>
          </w:tcPr>
          <w:p w14:paraId="6A770B9F" w14:textId="77777777" w:rsidR="001839AE" w:rsidRPr="00746E61" w:rsidRDefault="001839A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19</w:t>
            </w:r>
          </w:p>
        </w:tc>
        <w:tc>
          <w:tcPr>
            <w:tcW w:w="1796" w:type="dxa"/>
            <w:tcBorders>
              <w:top w:val="nil"/>
              <w:left w:val="nil"/>
              <w:bottom w:val="single" w:sz="4" w:space="0" w:color="auto"/>
              <w:right w:val="single" w:sz="4" w:space="0" w:color="auto"/>
            </w:tcBorders>
            <w:shd w:val="clear" w:color="auto" w:fill="auto"/>
            <w:vAlign w:val="center"/>
            <w:hideMark/>
          </w:tcPr>
          <w:p w14:paraId="7405BD15" w14:textId="77777777" w:rsidR="001839AE" w:rsidRPr="00746E61" w:rsidRDefault="001839A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12,57%</w:t>
            </w:r>
          </w:p>
        </w:tc>
        <w:tc>
          <w:tcPr>
            <w:tcW w:w="1796" w:type="dxa"/>
            <w:tcBorders>
              <w:top w:val="nil"/>
              <w:left w:val="nil"/>
              <w:bottom w:val="single" w:sz="4" w:space="0" w:color="auto"/>
              <w:right w:val="single" w:sz="4" w:space="0" w:color="auto"/>
            </w:tcBorders>
            <w:shd w:val="clear" w:color="auto" w:fill="auto"/>
            <w:vAlign w:val="center"/>
            <w:hideMark/>
          </w:tcPr>
          <w:p w14:paraId="1B33C52B" w14:textId="77777777" w:rsidR="001839AE" w:rsidRPr="00746E61" w:rsidRDefault="001839A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-9,01%</w:t>
            </w:r>
          </w:p>
        </w:tc>
      </w:tr>
      <w:tr w:rsidR="001839AE" w:rsidRPr="00746E61" w14:paraId="61B72C96" w14:textId="77777777" w:rsidTr="001839AE">
        <w:trPr>
          <w:trHeight w:val="259"/>
          <w:jc w:val="center"/>
        </w:trPr>
        <w:tc>
          <w:tcPr>
            <w:tcW w:w="3568" w:type="dxa"/>
            <w:tcBorders>
              <w:top w:val="nil"/>
              <w:left w:val="single" w:sz="4" w:space="0" w:color="auto"/>
              <w:bottom w:val="single" w:sz="4" w:space="0" w:color="auto"/>
              <w:right w:val="single" w:sz="4" w:space="0" w:color="auto"/>
            </w:tcBorders>
            <w:shd w:val="clear" w:color="auto" w:fill="auto"/>
            <w:noWrap/>
            <w:vAlign w:val="center"/>
            <w:hideMark/>
          </w:tcPr>
          <w:p w14:paraId="59AA96F5" w14:textId="77777777" w:rsidR="001839AE" w:rsidRPr="00746E61" w:rsidRDefault="001839AE"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de Flagrancia de Corredores</w:t>
            </w:r>
          </w:p>
        </w:tc>
        <w:tc>
          <w:tcPr>
            <w:tcW w:w="1020" w:type="dxa"/>
            <w:tcBorders>
              <w:top w:val="nil"/>
              <w:left w:val="nil"/>
              <w:bottom w:val="single" w:sz="4" w:space="0" w:color="auto"/>
              <w:right w:val="single" w:sz="4" w:space="0" w:color="auto"/>
            </w:tcBorders>
            <w:shd w:val="clear" w:color="auto" w:fill="auto"/>
            <w:noWrap/>
            <w:vAlign w:val="center"/>
            <w:hideMark/>
          </w:tcPr>
          <w:p w14:paraId="006E1764" w14:textId="77777777" w:rsidR="001839AE" w:rsidRPr="00746E61" w:rsidRDefault="001839A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45</w:t>
            </w:r>
          </w:p>
        </w:tc>
        <w:tc>
          <w:tcPr>
            <w:tcW w:w="1020" w:type="dxa"/>
            <w:tcBorders>
              <w:top w:val="nil"/>
              <w:left w:val="nil"/>
              <w:bottom w:val="single" w:sz="4" w:space="0" w:color="auto"/>
              <w:right w:val="single" w:sz="4" w:space="0" w:color="auto"/>
            </w:tcBorders>
            <w:shd w:val="clear" w:color="auto" w:fill="auto"/>
            <w:noWrap/>
            <w:vAlign w:val="center"/>
            <w:hideMark/>
          </w:tcPr>
          <w:p w14:paraId="1A83F766" w14:textId="77777777" w:rsidR="001839AE" w:rsidRPr="00746E61" w:rsidRDefault="001839A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34</w:t>
            </w:r>
          </w:p>
        </w:tc>
        <w:tc>
          <w:tcPr>
            <w:tcW w:w="1020" w:type="dxa"/>
            <w:tcBorders>
              <w:top w:val="nil"/>
              <w:left w:val="nil"/>
              <w:bottom w:val="single" w:sz="4" w:space="0" w:color="auto"/>
              <w:right w:val="single" w:sz="4" w:space="0" w:color="auto"/>
            </w:tcBorders>
            <w:shd w:val="clear" w:color="auto" w:fill="auto"/>
            <w:noWrap/>
            <w:vAlign w:val="center"/>
            <w:hideMark/>
          </w:tcPr>
          <w:p w14:paraId="53B6D401" w14:textId="77777777" w:rsidR="001839AE" w:rsidRPr="00746E61" w:rsidRDefault="001839A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47</w:t>
            </w:r>
          </w:p>
        </w:tc>
        <w:tc>
          <w:tcPr>
            <w:tcW w:w="1796" w:type="dxa"/>
            <w:tcBorders>
              <w:top w:val="nil"/>
              <w:left w:val="nil"/>
              <w:bottom w:val="single" w:sz="4" w:space="0" w:color="auto"/>
              <w:right w:val="single" w:sz="4" w:space="0" w:color="auto"/>
            </w:tcBorders>
            <w:shd w:val="clear" w:color="auto" w:fill="auto"/>
            <w:vAlign w:val="center"/>
            <w:hideMark/>
          </w:tcPr>
          <w:p w14:paraId="27F00870" w14:textId="77777777" w:rsidR="001839AE" w:rsidRPr="00746E61" w:rsidRDefault="001839A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2,83%</w:t>
            </w:r>
          </w:p>
        </w:tc>
        <w:tc>
          <w:tcPr>
            <w:tcW w:w="1796" w:type="dxa"/>
            <w:tcBorders>
              <w:top w:val="nil"/>
              <w:left w:val="nil"/>
              <w:bottom w:val="single" w:sz="4" w:space="0" w:color="auto"/>
              <w:right w:val="single" w:sz="4" w:space="0" w:color="auto"/>
            </w:tcBorders>
            <w:shd w:val="clear" w:color="auto" w:fill="auto"/>
            <w:vAlign w:val="center"/>
            <w:hideMark/>
          </w:tcPr>
          <w:p w14:paraId="3E807938" w14:textId="77777777" w:rsidR="001839AE" w:rsidRPr="00746E61" w:rsidRDefault="001839A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35,77%</w:t>
            </w:r>
          </w:p>
        </w:tc>
      </w:tr>
      <w:tr w:rsidR="001839AE" w:rsidRPr="00746E61" w14:paraId="76506C75" w14:textId="77777777" w:rsidTr="001839AE">
        <w:trPr>
          <w:trHeight w:val="259"/>
          <w:jc w:val="center"/>
        </w:trPr>
        <w:tc>
          <w:tcPr>
            <w:tcW w:w="3568" w:type="dxa"/>
            <w:tcBorders>
              <w:top w:val="nil"/>
              <w:left w:val="single" w:sz="4" w:space="0" w:color="auto"/>
              <w:bottom w:val="single" w:sz="4" w:space="0" w:color="auto"/>
              <w:right w:val="single" w:sz="4" w:space="0" w:color="auto"/>
            </w:tcBorders>
            <w:shd w:val="clear" w:color="auto" w:fill="auto"/>
            <w:noWrap/>
            <w:vAlign w:val="center"/>
            <w:hideMark/>
          </w:tcPr>
          <w:p w14:paraId="4B366F20" w14:textId="77777777" w:rsidR="001839AE" w:rsidRPr="00746E61" w:rsidRDefault="001839AE"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de Flagrancia de Puntarenas</w:t>
            </w:r>
          </w:p>
        </w:tc>
        <w:tc>
          <w:tcPr>
            <w:tcW w:w="1020" w:type="dxa"/>
            <w:tcBorders>
              <w:top w:val="nil"/>
              <w:left w:val="nil"/>
              <w:bottom w:val="single" w:sz="4" w:space="0" w:color="auto"/>
              <w:right w:val="single" w:sz="4" w:space="0" w:color="auto"/>
            </w:tcBorders>
            <w:shd w:val="clear" w:color="auto" w:fill="auto"/>
            <w:noWrap/>
            <w:vAlign w:val="center"/>
            <w:hideMark/>
          </w:tcPr>
          <w:p w14:paraId="02520967" w14:textId="77777777" w:rsidR="001839AE" w:rsidRPr="00746E61" w:rsidRDefault="001839A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37</w:t>
            </w:r>
          </w:p>
        </w:tc>
        <w:tc>
          <w:tcPr>
            <w:tcW w:w="1020" w:type="dxa"/>
            <w:tcBorders>
              <w:top w:val="nil"/>
              <w:left w:val="nil"/>
              <w:bottom w:val="single" w:sz="4" w:space="0" w:color="auto"/>
              <w:right w:val="single" w:sz="4" w:space="0" w:color="auto"/>
            </w:tcBorders>
            <w:shd w:val="clear" w:color="auto" w:fill="auto"/>
            <w:noWrap/>
            <w:vAlign w:val="center"/>
            <w:hideMark/>
          </w:tcPr>
          <w:p w14:paraId="203F61AD" w14:textId="77777777" w:rsidR="001839AE" w:rsidRPr="00746E61" w:rsidRDefault="001839A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37</w:t>
            </w:r>
          </w:p>
        </w:tc>
        <w:tc>
          <w:tcPr>
            <w:tcW w:w="1020" w:type="dxa"/>
            <w:tcBorders>
              <w:top w:val="nil"/>
              <w:left w:val="nil"/>
              <w:bottom w:val="single" w:sz="4" w:space="0" w:color="auto"/>
              <w:right w:val="single" w:sz="4" w:space="0" w:color="auto"/>
            </w:tcBorders>
            <w:shd w:val="clear" w:color="auto" w:fill="auto"/>
            <w:noWrap/>
            <w:vAlign w:val="center"/>
            <w:hideMark/>
          </w:tcPr>
          <w:p w14:paraId="3A92F89A" w14:textId="77777777" w:rsidR="001839AE" w:rsidRPr="00746E61" w:rsidRDefault="001839A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36</w:t>
            </w:r>
          </w:p>
        </w:tc>
        <w:tc>
          <w:tcPr>
            <w:tcW w:w="1796" w:type="dxa"/>
            <w:tcBorders>
              <w:top w:val="nil"/>
              <w:left w:val="nil"/>
              <w:bottom w:val="single" w:sz="4" w:space="0" w:color="auto"/>
              <w:right w:val="single" w:sz="4" w:space="0" w:color="auto"/>
            </w:tcBorders>
            <w:shd w:val="clear" w:color="auto" w:fill="auto"/>
            <w:vAlign w:val="center"/>
            <w:hideMark/>
          </w:tcPr>
          <w:p w14:paraId="3357F2C1" w14:textId="77777777" w:rsidR="001839AE" w:rsidRPr="00746E61" w:rsidRDefault="001839A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-2,39%</w:t>
            </w:r>
          </w:p>
        </w:tc>
        <w:tc>
          <w:tcPr>
            <w:tcW w:w="1796" w:type="dxa"/>
            <w:tcBorders>
              <w:top w:val="nil"/>
              <w:left w:val="nil"/>
              <w:bottom w:val="single" w:sz="4" w:space="0" w:color="auto"/>
              <w:right w:val="single" w:sz="4" w:space="0" w:color="auto"/>
            </w:tcBorders>
            <w:shd w:val="clear" w:color="auto" w:fill="auto"/>
            <w:vAlign w:val="center"/>
            <w:hideMark/>
          </w:tcPr>
          <w:p w14:paraId="5008A28A" w14:textId="77777777" w:rsidR="001839AE" w:rsidRPr="00746E61" w:rsidRDefault="001839A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-1,21%</w:t>
            </w:r>
          </w:p>
        </w:tc>
      </w:tr>
      <w:tr w:rsidR="001839AE" w:rsidRPr="00746E61" w14:paraId="57A324E1" w14:textId="77777777" w:rsidTr="001839AE">
        <w:trPr>
          <w:trHeight w:val="259"/>
          <w:jc w:val="center"/>
        </w:trPr>
        <w:tc>
          <w:tcPr>
            <w:tcW w:w="3568" w:type="dxa"/>
            <w:tcBorders>
              <w:top w:val="nil"/>
              <w:left w:val="single" w:sz="4" w:space="0" w:color="auto"/>
              <w:bottom w:val="single" w:sz="4" w:space="0" w:color="auto"/>
              <w:right w:val="single" w:sz="4" w:space="0" w:color="auto"/>
            </w:tcBorders>
            <w:shd w:val="clear" w:color="auto" w:fill="auto"/>
            <w:noWrap/>
            <w:vAlign w:val="center"/>
            <w:hideMark/>
          </w:tcPr>
          <w:p w14:paraId="065DCD07" w14:textId="77777777" w:rsidR="001839AE" w:rsidRPr="00746E61" w:rsidRDefault="001839AE"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de Flagrancia de San José</w:t>
            </w:r>
          </w:p>
        </w:tc>
        <w:tc>
          <w:tcPr>
            <w:tcW w:w="1020" w:type="dxa"/>
            <w:tcBorders>
              <w:top w:val="nil"/>
              <w:left w:val="nil"/>
              <w:bottom w:val="single" w:sz="4" w:space="0" w:color="auto"/>
              <w:right w:val="single" w:sz="4" w:space="0" w:color="auto"/>
            </w:tcBorders>
            <w:shd w:val="clear" w:color="auto" w:fill="auto"/>
            <w:noWrap/>
            <w:vAlign w:val="center"/>
            <w:hideMark/>
          </w:tcPr>
          <w:p w14:paraId="578F3738" w14:textId="77777777" w:rsidR="001839AE" w:rsidRPr="00746E61" w:rsidRDefault="001839A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125</w:t>
            </w:r>
          </w:p>
        </w:tc>
        <w:tc>
          <w:tcPr>
            <w:tcW w:w="1020" w:type="dxa"/>
            <w:tcBorders>
              <w:top w:val="nil"/>
              <w:left w:val="nil"/>
              <w:bottom w:val="single" w:sz="4" w:space="0" w:color="auto"/>
              <w:right w:val="single" w:sz="4" w:space="0" w:color="auto"/>
            </w:tcBorders>
            <w:shd w:val="clear" w:color="auto" w:fill="auto"/>
            <w:noWrap/>
            <w:vAlign w:val="center"/>
            <w:hideMark/>
          </w:tcPr>
          <w:p w14:paraId="2C464998" w14:textId="77777777" w:rsidR="001839AE" w:rsidRPr="00746E61" w:rsidRDefault="001839A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113</w:t>
            </w:r>
          </w:p>
        </w:tc>
        <w:tc>
          <w:tcPr>
            <w:tcW w:w="1020" w:type="dxa"/>
            <w:tcBorders>
              <w:top w:val="nil"/>
              <w:left w:val="nil"/>
              <w:bottom w:val="single" w:sz="4" w:space="0" w:color="auto"/>
              <w:right w:val="single" w:sz="4" w:space="0" w:color="auto"/>
            </w:tcBorders>
            <w:shd w:val="clear" w:color="auto" w:fill="auto"/>
            <w:noWrap/>
            <w:vAlign w:val="center"/>
            <w:hideMark/>
          </w:tcPr>
          <w:p w14:paraId="1F82156D" w14:textId="77777777" w:rsidR="001839AE" w:rsidRPr="00746E61" w:rsidRDefault="001839A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106</w:t>
            </w:r>
          </w:p>
        </w:tc>
        <w:tc>
          <w:tcPr>
            <w:tcW w:w="1796" w:type="dxa"/>
            <w:tcBorders>
              <w:top w:val="nil"/>
              <w:left w:val="nil"/>
              <w:bottom w:val="single" w:sz="4" w:space="0" w:color="auto"/>
              <w:right w:val="single" w:sz="4" w:space="0" w:color="auto"/>
            </w:tcBorders>
            <w:shd w:val="clear" w:color="auto" w:fill="auto"/>
            <w:vAlign w:val="center"/>
            <w:hideMark/>
          </w:tcPr>
          <w:p w14:paraId="5C7CBBD4" w14:textId="77777777" w:rsidR="001839AE" w:rsidRPr="00746E61" w:rsidRDefault="001839A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-15,22%</w:t>
            </w:r>
          </w:p>
        </w:tc>
        <w:tc>
          <w:tcPr>
            <w:tcW w:w="1796" w:type="dxa"/>
            <w:tcBorders>
              <w:top w:val="nil"/>
              <w:left w:val="nil"/>
              <w:bottom w:val="single" w:sz="4" w:space="0" w:color="auto"/>
              <w:right w:val="single" w:sz="4" w:space="0" w:color="auto"/>
            </w:tcBorders>
            <w:shd w:val="clear" w:color="auto" w:fill="auto"/>
            <w:vAlign w:val="center"/>
            <w:hideMark/>
          </w:tcPr>
          <w:p w14:paraId="383EADED" w14:textId="77777777" w:rsidR="001839AE" w:rsidRPr="00746E61" w:rsidRDefault="001839A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-6,35%</w:t>
            </w:r>
          </w:p>
        </w:tc>
      </w:tr>
      <w:tr w:rsidR="001839AE" w:rsidRPr="00746E61" w14:paraId="7CE487BB" w14:textId="77777777" w:rsidTr="001839AE">
        <w:trPr>
          <w:trHeight w:val="259"/>
          <w:jc w:val="center"/>
        </w:trPr>
        <w:tc>
          <w:tcPr>
            <w:tcW w:w="3568" w:type="dxa"/>
            <w:tcBorders>
              <w:top w:val="nil"/>
              <w:left w:val="single" w:sz="4" w:space="0" w:color="auto"/>
              <w:bottom w:val="single" w:sz="4" w:space="0" w:color="auto"/>
              <w:right w:val="single" w:sz="4" w:space="0" w:color="auto"/>
            </w:tcBorders>
            <w:shd w:val="clear" w:color="auto" w:fill="auto"/>
            <w:noWrap/>
            <w:vAlign w:val="center"/>
            <w:hideMark/>
          </w:tcPr>
          <w:p w14:paraId="28CAA607" w14:textId="77777777" w:rsidR="001839AE" w:rsidRPr="00746E61" w:rsidRDefault="001839AE"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de Flagrancia de Pococí</w:t>
            </w:r>
          </w:p>
        </w:tc>
        <w:tc>
          <w:tcPr>
            <w:tcW w:w="1020" w:type="dxa"/>
            <w:tcBorders>
              <w:top w:val="nil"/>
              <w:left w:val="nil"/>
              <w:bottom w:val="single" w:sz="4" w:space="0" w:color="auto"/>
              <w:right w:val="single" w:sz="4" w:space="0" w:color="auto"/>
            </w:tcBorders>
            <w:shd w:val="clear" w:color="auto" w:fill="auto"/>
            <w:noWrap/>
            <w:vAlign w:val="center"/>
            <w:hideMark/>
          </w:tcPr>
          <w:p w14:paraId="01502FAA" w14:textId="77777777" w:rsidR="001839AE" w:rsidRPr="00746E61" w:rsidRDefault="001839A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64</w:t>
            </w:r>
          </w:p>
        </w:tc>
        <w:tc>
          <w:tcPr>
            <w:tcW w:w="1020" w:type="dxa"/>
            <w:tcBorders>
              <w:top w:val="nil"/>
              <w:left w:val="nil"/>
              <w:bottom w:val="single" w:sz="4" w:space="0" w:color="auto"/>
              <w:right w:val="single" w:sz="4" w:space="0" w:color="auto"/>
            </w:tcBorders>
            <w:shd w:val="clear" w:color="auto" w:fill="auto"/>
            <w:noWrap/>
            <w:vAlign w:val="center"/>
            <w:hideMark/>
          </w:tcPr>
          <w:p w14:paraId="7C414D6B" w14:textId="77777777" w:rsidR="001839AE" w:rsidRPr="00746E61" w:rsidRDefault="001839A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50</w:t>
            </w:r>
          </w:p>
        </w:tc>
        <w:tc>
          <w:tcPr>
            <w:tcW w:w="1020" w:type="dxa"/>
            <w:tcBorders>
              <w:top w:val="nil"/>
              <w:left w:val="nil"/>
              <w:bottom w:val="single" w:sz="4" w:space="0" w:color="auto"/>
              <w:right w:val="single" w:sz="4" w:space="0" w:color="auto"/>
            </w:tcBorders>
            <w:shd w:val="clear" w:color="auto" w:fill="auto"/>
            <w:noWrap/>
            <w:vAlign w:val="center"/>
            <w:hideMark/>
          </w:tcPr>
          <w:p w14:paraId="7043F8B5" w14:textId="77777777" w:rsidR="001839AE" w:rsidRPr="00746E61" w:rsidRDefault="001839A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53</w:t>
            </w:r>
          </w:p>
        </w:tc>
        <w:tc>
          <w:tcPr>
            <w:tcW w:w="1796" w:type="dxa"/>
            <w:tcBorders>
              <w:top w:val="nil"/>
              <w:left w:val="nil"/>
              <w:bottom w:val="single" w:sz="4" w:space="0" w:color="auto"/>
              <w:right w:val="single" w:sz="4" w:space="0" w:color="auto"/>
            </w:tcBorders>
            <w:shd w:val="clear" w:color="auto" w:fill="auto"/>
            <w:vAlign w:val="center"/>
            <w:hideMark/>
          </w:tcPr>
          <w:p w14:paraId="7AA92047" w14:textId="77777777" w:rsidR="001839AE" w:rsidRPr="00746E61" w:rsidRDefault="001839A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-17,28%</w:t>
            </w:r>
          </w:p>
        </w:tc>
        <w:tc>
          <w:tcPr>
            <w:tcW w:w="1796" w:type="dxa"/>
            <w:tcBorders>
              <w:top w:val="nil"/>
              <w:left w:val="nil"/>
              <w:bottom w:val="single" w:sz="4" w:space="0" w:color="auto"/>
              <w:right w:val="single" w:sz="4" w:space="0" w:color="auto"/>
            </w:tcBorders>
            <w:shd w:val="clear" w:color="auto" w:fill="auto"/>
            <w:vAlign w:val="center"/>
            <w:hideMark/>
          </w:tcPr>
          <w:p w14:paraId="45482C9E" w14:textId="77777777" w:rsidR="001839AE" w:rsidRPr="00746E61" w:rsidRDefault="001839A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6,55%</w:t>
            </w:r>
          </w:p>
        </w:tc>
      </w:tr>
      <w:tr w:rsidR="001839AE" w:rsidRPr="00746E61" w14:paraId="2927D1AF" w14:textId="77777777" w:rsidTr="001839AE">
        <w:trPr>
          <w:trHeight w:val="259"/>
          <w:jc w:val="center"/>
        </w:trPr>
        <w:tc>
          <w:tcPr>
            <w:tcW w:w="3568" w:type="dxa"/>
            <w:tcBorders>
              <w:top w:val="nil"/>
              <w:left w:val="single" w:sz="4" w:space="0" w:color="auto"/>
              <w:bottom w:val="single" w:sz="4" w:space="0" w:color="auto"/>
              <w:right w:val="single" w:sz="4" w:space="0" w:color="auto"/>
            </w:tcBorders>
            <w:shd w:val="clear" w:color="auto" w:fill="auto"/>
            <w:noWrap/>
            <w:vAlign w:val="center"/>
            <w:hideMark/>
          </w:tcPr>
          <w:p w14:paraId="66380512" w14:textId="77777777" w:rsidR="001839AE" w:rsidRPr="00746E61" w:rsidRDefault="001839AE"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de Flagrancia de Santa Cruz</w:t>
            </w:r>
          </w:p>
        </w:tc>
        <w:tc>
          <w:tcPr>
            <w:tcW w:w="1020" w:type="dxa"/>
            <w:tcBorders>
              <w:top w:val="nil"/>
              <w:left w:val="nil"/>
              <w:bottom w:val="single" w:sz="4" w:space="0" w:color="auto"/>
              <w:right w:val="single" w:sz="4" w:space="0" w:color="auto"/>
            </w:tcBorders>
            <w:shd w:val="clear" w:color="auto" w:fill="auto"/>
            <w:noWrap/>
            <w:vAlign w:val="center"/>
            <w:hideMark/>
          </w:tcPr>
          <w:p w14:paraId="0E27725D" w14:textId="77777777" w:rsidR="001839AE" w:rsidRPr="00746E61" w:rsidRDefault="001839A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62</w:t>
            </w:r>
          </w:p>
        </w:tc>
        <w:tc>
          <w:tcPr>
            <w:tcW w:w="1020" w:type="dxa"/>
            <w:tcBorders>
              <w:top w:val="nil"/>
              <w:left w:val="nil"/>
              <w:bottom w:val="single" w:sz="4" w:space="0" w:color="auto"/>
              <w:right w:val="single" w:sz="4" w:space="0" w:color="auto"/>
            </w:tcBorders>
            <w:shd w:val="clear" w:color="auto" w:fill="auto"/>
            <w:noWrap/>
            <w:vAlign w:val="center"/>
            <w:hideMark/>
          </w:tcPr>
          <w:p w14:paraId="1A5AFFB4" w14:textId="77777777" w:rsidR="001839AE" w:rsidRPr="00746E61" w:rsidRDefault="001839A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54</w:t>
            </w:r>
          </w:p>
        </w:tc>
        <w:tc>
          <w:tcPr>
            <w:tcW w:w="1020" w:type="dxa"/>
            <w:tcBorders>
              <w:top w:val="nil"/>
              <w:left w:val="nil"/>
              <w:bottom w:val="single" w:sz="4" w:space="0" w:color="auto"/>
              <w:right w:val="single" w:sz="4" w:space="0" w:color="auto"/>
            </w:tcBorders>
            <w:shd w:val="clear" w:color="auto" w:fill="auto"/>
            <w:noWrap/>
            <w:vAlign w:val="center"/>
            <w:hideMark/>
          </w:tcPr>
          <w:p w14:paraId="30104C6C" w14:textId="77777777" w:rsidR="001839AE" w:rsidRPr="00746E61" w:rsidRDefault="001839A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49</w:t>
            </w:r>
          </w:p>
        </w:tc>
        <w:tc>
          <w:tcPr>
            <w:tcW w:w="1796" w:type="dxa"/>
            <w:tcBorders>
              <w:top w:val="nil"/>
              <w:left w:val="nil"/>
              <w:bottom w:val="single" w:sz="4" w:space="0" w:color="auto"/>
              <w:right w:val="single" w:sz="4" w:space="0" w:color="auto"/>
            </w:tcBorders>
            <w:shd w:val="clear" w:color="auto" w:fill="auto"/>
            <w:vAlign w:val="center"/>
            <w:hideMark/>
          </w:tcPr>
          <w:p w14:paraId="7C508F44" w14:textId="77777777" w:rsidR="001839AE" w:rsidRPr="00746E61" w:rsidRDefault="001839A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-20,86%</w:t>
            </w:r>
          </w:p>
        </w:tc>
        <w:tc>
          <w:tcPr>
            <w:tcW w:w="1796" w:type="dxa"/>
            <w:tcBorders>
              <w:top w:val="nil"/>
              <w:left w:val="nil"/>
              <w:bottom w:val="single" w:sz="4" w:space="0" w:color="auto"/>
              <w:right w:val="single" w:sz="4" w:space="0" w:color="auto"/>
            </w:tcBorders>
            <w:shd w:val="clear" w:color="auto" w:fill="auto"/>
            <w:vAlign w:val="center"/>
            <w:hideMark/>
          </w:tcPr>
          <w:p w14:paraId="39952135" w14:textId="77777777" w:rsidR="001839AE" w:rsidRPr="00746E61" w:rsidRDefault="001839A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-9,51%</w:t>
            </w:r>
          </w:p>
        </w:tc>
      </w:tr>
      <w:tr w:rsidR="00CB035D" w:rsidRPr="00746E61" w14:paraId="736A4CE6" w14:textId="77777777" w:rsidTr="00CB035D">
        <w:trPr>
          <w:trHeight w:val="259"/>
          <w:jc w:val="center"/>
        </w:trPr>
        <w:tc>
          <w:tcPr>
            <w:tcW w:w="3568"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7A401D5" w14:textId="77777777" w:rsidR="001839AE" w:rsidRPr="00746E61" w:rsidRDefault="001839AE"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de Flagrancia de Pérez Zeledón</w:t>
            </w:r>
          </w:p>
        </w:tc>
        <w:tc>
          <w:tcPr>
            <w:tcW w:w="1020" w:type="dxa"/>
            <w:tcBorders>
              <w:top w:val="nil"/>
              <w:left w:val="nil"/>
              <w:bottom w:val="single" w:sz="4" w:space="0" w:color="auto"/>
              <w:right w:val="single" w:sz="4" w:space="0" w:color="auto"/>
            </w:tcBorders>
            <w:shd w:val="clear" w:color="auto" w:fill="F2F2F2" w:themeFill="background1" w:themeFillShade="F2"/>
            <w:noWrap/>
            <w:vAlign w:val="center"/>
            <w:hideMark/>
          </w:tcPr>
          <w:p w14:paraId="69E751B8" w14:textId="77777777" w:rsidR="001839AE" w:rsidRPr="00746E61" w:rsidRDefault="001839A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59</w:t>
            </w:r>
          </w:p>
        </w:tc>
        <w:tc>
          <w:tcPr>
            <w:tcW w:w="1020" w:type="dxa"/>
            <w:tcBorders>
              <w:top w:val="nil"/>
              <w:left w:val="nil"/>
              <w:bottom w:val="single" w:sz="4" w:space="0" w:color="auto"/>
              <w:right w:val="single" w:sz="4" w:space="0" w:color="auto"/>
            </w:tcBorders>
            <w:shd w:val="clear" w:color="auto" w:fill="F2F2F2" w:themeFill="background1" w:themeFillShade="F2"/>
            <w:noWrap/>
            <w:vAlign w:val="center"/>
            <w:hideMark/>
          </w:tcPr>
          <w:p w14:paraId="6A36FE18" w14:textId="77777777" w:rsidR="001839AE" w:rsidRPr="00746E61" w:rsidRDefault="001839A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55</w:t>
            </w:r>
          </w:p>
        </w:tc>
        <w:tc>
          <w:tcPr>
            <w:tcW w:w="1020" w:type="dxa"/>
            <w:tcBorders>
              <w:top w:val="nil"/>
              <w:left w:val="nil"/>
              <w:bottom w:val="single" w:sz="4" w:space="0" w:color="auto"/>
              <w:right w:val="single" w:sz="4" w:space="0" w:color="auto"/>
            </w:tcBorders>
            <w:shd w:val="clear" w:color="auto" w:fill="F2F2F2" w:themeFill="background1" w:themeFillShade="F2"/>
            <w:noWrap/>
            <w:vAlign w:val="center"/>
            <w:hideMark/>
          </w:tcPr>
          <w:p w14:paraId="5ABEE164" w14:textId="77777777" w:rsidR="001839AE" w:rsidRPr="00746E61" w:rsidRDefault="001839A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46</w:t>
            </w:r>
          </w:p>
        </w:tc>
        <w:tc>
          <w:tcPr>
            <w:tcW w:w="1796" w:type="dxa"/>
            <w:tcBorders>
              <w:top w:val="nil"/>
              <w:left w:val="nil"/>
              <w:bottom w:val="single" w:sz="4" w:space="0" w:color="auto"/>
              <w:right w:val="single" w:sz="4" w:space="0" w:color="auto"/>
            </w:tcBorders>
            <w:shd w:val="clear" w:color="auto" w:fill="F2F2F2" w:themeFill="background1" w:themeFillShade="F2"/>
            <w:vAlign w:val="center"/>
            <w:hideMark/>
          </w:tcPr>
          <w:p w14:paraId="67D9B123" w14:textId="77777777" w:rsidR="001839AE" w:rsidRPr="00746E61" w:rsidRDefault="001839A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-22,33%</w:t>
            </w:r>
          </w:p>
        </w:tc>
        <w:tc>
          <w:tcPr>
            <w:tcW w:w="1796" w:type="dxa"/>
            <w:tcBorders>
              <w:top w:val="nil"/>
              <w:left w:val="nil"/>
              <w:bottom w:val="single" w:sz="4" w:space="0" w:color="auto"/>
              <w:right w:val="single" w:sz="4" w:space="0" w:color="auto"/>
            </w:tcBorders>
            <w:shd w:val="clear" w:color="auto" w:fill="F2F2F2" w:themeFill="background1" w:themeFillShade="F2"/>
            <w:vAlign w:val="center"/>
            <w:hideMark/>
          </w:tcPr>
          <w:p w14:paraId="256D7691" w14:textId="77777777" w:rsidR="001839AE" w:rsidRPr="00746E61" w:rsidRDefault="001839AE"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-15,50%</w:t>
            </w:r>
          </w:p>
        </w:tc>
      </w:tr>
      <w:tr w:rsidR="001839AE" w:rsidRPr="00746E61" w14:paraId="604536D6" w14:textId="77777777" w:rsidTr="001839AE">
        <w:trPr>
          <w:trHeight w:val="259"/>
          <w:jc w:val="center"/>
        </w:trPr>
        <w:tc>
          <w:tcPr>
            <w:tcW w:w="3568" w:type="dxa"/>
            <w:tcBorders>
              <w:top w:val="nil"/>
              <w:left w:val="single" w:sz="4" w:space="0" w:color="auto"/>
              <w:bottom w:val="single" w:sz="4" w:space="0" w:color="auto"/>
              <w:right w:val="single" w:sz="4" w:space="0" w:color="auto"/>
            </w:tcBorders>
            <w:shd w:val="clear" w:color="auto" w:fill="auto"/>
            <w:vAlign w:val="center"/>
            <w:hideMark/>
          </w:tcPr>
          <w:p w14:paraId="5015048C" w14:textId="77777777" w:rsidR="001839AE" w:rsidRPr="00746E61" w:rsidRDefault="001839AE" w:rsidP="00746E61">
            <w:pPr>
              <w:spacing w:line="276" w:lineRule="auto"/>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Total</w:t>
            </w:r>
          </w:p>
        </w:tc>
        <w:tc>
          <w:tcPr>
            <w:tcW w:w="1020" w:type="dxa"/>
            <w:tcBorders>
              <w:top w:val="nil"/>
              <w:left w:val="nil"/>
              <w:bottom w:val="single" w:sz="4" w:space="0" w:color="auto"/>
              <w:right w:val="single" w:sz="4" w:space="0" w:color="auto"/>
            </w:tcBorders>
            <w:shd w:val="clear" w:color="auto" w:fill="auto"/>
            <w:vAlign w:val="center"/>
            <w:hideMark/>
          </w:tcPr>
          <w:p w14:paraId="515C4567" w14:textId="77777777" w:rsidR="001839AE" w:rsidRPr="00746E61" w:rsidRDefault="001839AE"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796</w:t>
            </w:r>
          </w:p>
        </w:tc>
        <w:tc>
          <w:tcPr>
            <w:tcW w:w="1020" w:type="dxa"/>
            <w:tcBorders>
              <w:top w:val="nil"/>
              <w:left w:val="nil"/>
              <w:bottom w:val="single" w:sz="4" w:space="0" w:color="auto"/>
              <w:right w:val="single" w:sz="4" w:space="0" w:color="auto"/>
            </w:tcBorders>
            <w:shd w:val="clear" w:color="auto" w:fill="auto"/>
            <w:vAlign w:val="center"/>
            <w:hideMark/>
          </w:tcPr>
          <w:p w14:paraId="5BDF5263" w14:textId="77777777" w:rsidR="001839AE" w:rsidRPr="00746E61" w:rsidRDefault="001839AE"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756</w:t>
            </w:r>
          </w:p>
        </w:tc>
        <w:tc>
          <w:tcPr>
            <w:tcW w:w="1020" w:type="dxa"/>
            <w:tcBorders>
              <w:top w:val="nil"/>
              <w:left w:val="nil"/>
              <w:bottom w:val="single" w:sz="4" w:space="0" w:color="auto"/>
              <w:right w:val="single" w:sz="4" w:space="0" w:color="auto"/>
            </w:tcBorders>
            <w:shd w:val="clear" w:color="auto" w:fill="auto"/>
            <w:vAlign w:val="center"/>
            <w:hideMark/>
          </w:tcPr>
          <w:p w14:paraId="2168953B" w14:textId="77777777" w:rsidR="001839AE" w:rsidRPr="00746E61" w:rsidRDefault="001839AE"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821</w:t>
            </w:r>
          </w:p>
        </w:tc>
        <w:tc>
          <w:tcPr>
            <w:tcW w:w="1796" w:type="dxa"/>
            <w:tcBorders>
              <w:top w:val="nil"/>
              <w:left w:val="nil"/>
              <w:bottom w:val="single" w:sz="4" w:space="0" w:color="auto"/>
              <w:right w:val="single" w:sz="4" w:space="0" w:color="auto"/>
            </w:tcBorders>
            <w:shd w:val="clear" w:color="auto" w:fill="auto"/>
            <w:vAlign w:val="center"/>
            <w:hideMark/>
          </w:tcPr>
          <w:p w14:paraId="4431B62D" w14:textId="77777777" w:rsidR="001839AE" w:rsidRPr="00746E61" w:rsidRDefault="001839AE"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3,14%</w:t>
            </w:r>
          </w:p>
        </w:tc>
        <w:tc>
          <w:tcPr>
            <w:tcW w:w="1796" w:type="dxa"/>
            <w:tcBorders>
              <w:top w:val="nil"/>
              <w:left w:val="nil"/>
              <w:bottom w:val="single" w:sz="4" w:space="0" w:color="auto"/>
              <w:right w:val="single" w:sz="4" w:space="0" w:color="auto"/>
            </w:tcBorders>
            <w:shd w:val="clear" w:color="auto" w:fill="auto"/>
            <w:vAlign w:val="center"/>
            <w:hideMark/>
          </w:tcPr>
          <w:p w14:paraId="4226A999" w14:textId="77777777" w:rsidR="001839AE" w:rsidRPr="00746E61" w:rsidRDefault="001839AE"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8,57%</w:t>
            </w:r>
          </w:p>
        </w:tc>
      </w:tr>
    </w:tbl>
    <w:p w14:paraId="1F22925C" w14:textId="7FDC2350" w:rsidR="00CA61CA" w:rsidRPr="00746E61" w:rsidRDefault="0059268A" w:rsidP="00746E61">
      <w:pPr>
        <w:spacing w:line="276" w:lineRule="auto"/>
        <w:jc w:val="center"/>
        <w:rPr>
          <w:rFonts w:ascii="Book Antiqua" w:hAnsi="Book Antiqua" w:cs="Calibri"/>
          <w:color w:val="000000"/>
          <w:sz w:val="20"/>
          <w:szCs w:val="20"/>
          <w:lang w:eastAsia="es-CR"/>
        </w:rPr>
      </w:pPr>
      <w:r w:rsidRPr="00746E61">
        <w:rPr>
          <w:rFonts w:ascii="Book Antiqua" w:hAnsi="Book Antiqua" w:cs="Calibri"/>
          <w:b/>
          <w:bCs/>
          <w:color w:val="000000"/>
          <w:sz w:val="20"/>
          <w:szCs w:val="20"/>
          <w:lang w:eastAsia="es-CR"/>
        </w:rPr>
        <w:t>Fuente:</w:t>
      </w:r>
      <w:r w:rsidRPr="00746E61">
        <w:rPr>
          <w:rFonts w:ascii="Book Antiqua" w:hAnsi="Book Antiqua" w:cs="Calibri"/>
          <w:color w:val="000000"/>
          <w:sz w:val="20"/>
          <w:szCs w:val="20"/>
          <w:lang w:eastAsia="es-CR"/>
        </w:rPr>
        <w:t xml:space="preserve"> Elaboración propia a partir de las estadísticas del Subproceso de Estadística</w:t>
      </w:r>
    </w:p>
    <w:p w14:paraId="7B1D76AD" w14:textId="77777777" w:rsidR="00E7716C" w:rsidRDefault="00787F9D" w:rsidP="00746E61">
      <w:pPr>
        <w:spacing w:line="276" w:lineRule="auto"/>
        <w:rPr>
          <w:rFonts w:ascii="Book Antiqua" w:hAnsi="Book Antiqua"/>
          <w:lang w:val="es-ES_tradnl" w:eastAsia="en-US"/>
        </w:rPr>
      </w:pPr>
      <w:r>
        <w:rPr>
          <w:rFonts w:ascii="Book Antiqua" w:hAnsi="Book Antiqua"/>
          <w:lang w:val="es-ES_tradnl" w:eastAsia="en-US"/>
        </w:rPr>
        <w:t>Nota</w:t>
      </w:r>
      <w:r w:rsidR="00E7716C">
        <w:rPr>
          <w:rFonts w:ascii="Book Antiqua" w:hAnsi="Book Antiqua"/>
          <w:lang w:val="es-ES_tradnl" w:eastAsia="en-US"/>
        </w:rPr>
        <w:t>s</w:t>
      </w:r>
      <w:r>
        <w:rPr>
          <w:rFonts w:ascii="Book Antiqua" w:hAnsi="Book Antiqua"/>
          <w:lang w:val="es-ES_tradnl" w:eastAsia="en-US"/>
        </w:rPr>
        <w:t xml:space="preserve">: </w:t>
      </w:r>
    </w:p>
    <w:p w14:paraId="613C1D7F" w14:textId="16947528" w:rsidR="00E7716C" w:rsidRDefault="00E7716C" w:rsidP="00E7716C">
      <w:pPr>
        <w:pStyle w:val="Prrafodelista"/>
        <w:spacing w:line="276" w:lineRule="auto"/>
        <w:ind w:left="720"/>
        <w:rPr>
          <w:rFonts w:ascii="Book Antiqua" w:hAnsi="Book Antiqua"/>
          <w:sz w:val="22"/>
          <w:szCs w:val="22"/>
          <w:lang w:val="es-ES_tradnl" w:eastAsia="en-US"/>
        </w:rPr>
      </w:pPr>
    </w:p>
    <w:p w14:paraId="22822446" w14:textId="69BBB5D8" w:rsidR="0019663A" w:rsidRPr="00E7716C" w:rsidRDefault="00787F9D" w:rsidP="0073399F">
      <w:pPr>
        <w:pStyle w:val="Prrafodelista"/>
        <w:numPr>
          <w:ilvl w:val="0"/>
          <w:numId w:val="22"/>
        </w:numPr>
        <w:spacing w:line="276" w:lineRule="auto"/>
        <w:rPr>
          <w:rFonts w:ascii="Book Antiqua" w:hAnsi="Book Antiqua"/>
          <w:sz w:val="22"/>
          <w:szCs w:val="22"/>
          <w:lang w:val="es-ES_tradnl" w:eastAsia="en-US"/>
        </w:rPr>
      </w:pPr>
      <w:r w:rsidRPr="00E7716C">
        <w:rPr>
          <w:rFonts w:ascii="Book Antiqua" w:hAnsi="Book Antiqua"/>
          <w:sz w:val="22"/>
          <w:szCs w:val="22"/>
          <w:lang w:val="es-ES_tradnl" w:eastAsia="en-US"/>
        </w:rPr>
        <w:t>Flagrancia en Limón se traslada para el día en el 2021.</w:t>
      </w:r>
    </w:p>
    <w:p w14:paraId="24A15B9C" w14:textId="7288276F" w:rsidR="00787F9D" w:rsidRPr="00E7716C" w:rsidRDefault="00787F9D" w:rsidP="0073399F">
      <w:pPr>
        <w:pStyle w:val="Prrafodelista"/>
        <w:numPr>
          <w:ilvl w:val="0"/>
          <w:numId w:val="22"/>
        </w:numPr>
        <w:spacing w:line="276" w:lineRule="auto"/>
        <w:rPr>
          <w:rFonts w:ascii="Book Antiqua" w:hAnsi="Book Antiqua"/>
          <w:sz w:val="22"/>
          <w:szCs w:val="22"/>
          <w:lang w:val="es-ES_tradnl" w:eastAsia="en-US"/>
        </w:rPr>
      </w:pPr>
      <w:r w:rsidRPr="00E7716C">
        <w:rPr>
          <w:rFonts w:ascii="Book Antiqua" w:hAnsi="Book Antiqua"/>
          <w:sz w:val="22"/>
          <w:szCs w:val="22"/>
          <w:lang w:val="es-ES_tradnl" w:eastAsia="en-US"/>
        </w:rPr>
        <w:t>Flagrancia Heredia traslada una sección en horario del día.</w:t>
      </w:r>
    </w:p>
    <w:p w14:paraId="62183C93" w14:textId="585F503A" w:rsidR="00787F9D" w:rsidRDefault="00787F9D" w:rsidP="0073399F">
      <w:pPr>
        <w:pStyle w:val="Prrafodelista"/>
        <w:numPr>
          <w:ilvl w:val="0"/>
          <w:numId w:val="22"/>
        </w:numPr>
        <w:spacing w:line="276" w:lineRule="auto"/>
        <w:rPr>
          <w:rFonts w:ascii="Book Antiqua" w:hAnsi="Book Antiqua"/>
          <w:sz w:val="22"/>
          <w:szCs w:val="22"/>
          <w:lang w:val="es-ES_tradnl" w:eastAsia="en-US"/>
        </w:rPr>
      </w:pPr>
      <w:r w:rsidRPr="00E7716C">
        <w:rPr>
          <w:rFonts w:ascii="Book Antiqua" w:hAnsi="Book Antiqua"/>
          <w:sz w:val="22"/>
          <w:szCs w:val="22"/>
          <w:lang w:val="es-ES_tradnl" w:eastAsia="en-US"/>
        </w:rPr>
        <w:t>Flagrancia de San José</w:t>
      </w:r>
      <w:r w:rsidR="00E7716C" w:rsidRPr="00E7716C">
        <w:rPr>
          <w:rFonts w:ascii="Book Antiqua" w:hAnsi="Book Antiqua"/>
          <w:sz w:val="22"/>
          <w:szCs w:val="22"/>
          <w:lang w:val="es-ES_tradnl" w:eastAsia="en-US"/>
        </w:rPr>
        <w:t xml:space="preserve"> cierra una sección y se traslada al ordinario y asumen         Flagrancia Goicoechea en el 2021. </w:t>
      </w:r>
    </w:p>
    <w:p w14:paraId="5B95B2F6" w14:textId="5248A6F8" w:rsidR="00E7716C" w:rsidRDefault="00E7716C" w:rsidP="0073399F">
      <w:pPr>
        <w:pStyle w:val="Prrafodelista"/>
        <w:numPr>
          <w:ilvl w:val="0"/>
          <w:numId w:val="22"/>
        </w:numPr>
        <w:spacing w:line="276" w:lineRule="auto"/>
        <w:rPr>
          <w:rFonts w:ascii="Book Antiqua" w:hAnsi="Book Antiqua"/>
          <w:sz w:val="22"/>
          <w:szCs w:val="22"/>
          <w:lang w:val="es-ES_tradnl" w:eastAsia="en-US"/>
        </w:rPr>
      </w:pPr>
      <w:r>
        <w:rPr>
          <w:rFonts w:ascii="Book Antiqua" w:hAnsi="Book Antiqua"/>
          <w:sz w:val="22"/>
          <w:szCs w:val="22"/>
          <w:lang w:val="es-ES_tradnl" w:eastAsia="en-US"/>
        </w:rPr>
        <w:t>Las secciones de Flagrancia en su mayoría colaboran con la atención de asuntos ordinarios.</w:t>
      </w:r>
    </w:p>
    <w:p w14:paraId="483A53A8" w14:textId="77777777" w:rsidR="00E7716C" w:rsidRPr="00E7716C" w:rsidRDefault="00E7716C" w:rsidP="00E7716C">
      <w:pPr>
        <w:pStyle w:val="Prrafodelista"/>
        <w:spacing w:line="276" w:lineRule="auto"/>
        <w:ind w:left="720"/>
        <w:rPr>
          <w:rFonts w:ascii="Book Antiqua" w:hAnsi="Book Antiqua"/>
          <w:sz w:val="22"/>
          <w:szCs w:val="22"/>
          <w:lang w:val="es-ES_tradnl" w:eastAsia="en-US"/>
        </w:rPr>
      </w:pPr>
    </w:p>
    <w:p w14:paraId="3E94A65F" w14:textId="0EBBCE3C" w:rsidR="0019663A" w:rsidRPr="00746E61" w:rsidRDefault="0019663A" w:rsidP="00746E61">
      <w:pPr>
        <w:spacing w:line="276" w:lineRule="auto"/>
        <w:jc w:val="both"/>
        <w:rPr>
          <w:rFonts w:ascii="Book Antiqua" w:hAnsi="Book Antiqua" w:cs="Arial"/>
        </w:rPr>
      </w:pPr>
      <w:r w:rsidRPr="00746E61">
        <w:rPr>
          <w:rFonts w:ascii="Book Antiqua" w:hAnsi="Book Antiqua" w:cs="Arial"/>
        </w:rPr>
        <w:t xml:space="preserve">Periodo 2019 versus 2021: Para este periodo tomando en consideración a todos los despachos en estudio, se logra determinar un crecimiento general del </w:t>
      </w:r>
      <w:r w:rsidR="001839AE" w:rsidRPr="00746E61">
        <w:rPr>
          <w:rFonts w:ascii="Book Antiqua" w:hAnsi="Book Antiqua" w:cs="Arial"/>
        </w:rPr>
        <w:t>3</w:t>
      </w:r>
      <w:r w:rsidRPr="00746E61">
        <w:rPr>
          <w:rFonts w:ascii="Book Antiqua" w:hAnsi="Book Antiqua" w:cs="Arial"/>
        </w:rPr>
        <w:t>.</w:t>
      </w:r>
      <w:r w:rsidR="001839AE" w:rsidRPr="00746E61">
        <w:rPr>
          <w:rFonts w:ascii="Book Antiqua" w:hAnsi="Book Antiqua" w:cs="Arial"/>
        </w:rPr>
        <w:t>14</w:t>
      </w:r>
      <w:r w:rsidRPr="00746E61">
        <w:rPr>
          <w:rFonts w:ascii="Book Antiqua" w:hAnsi="Book Antiqua" w:cs="Arial"/>
        </w:rPr>
        <w:t xml:space="preserve">% en la cantidad de asuntos terminados del 2021 en comparación con el 2019. Al desglosar las cifras por oficinas, se observa que 9 de los 14 despachos mostraron un aumento en la cantidad de asuntos finalizados, siendo la Sección de Flagrancia de Liberia quien mostró un mayor porcentaje de aumento, a saber </w:t>
      </w:r>
      <w:r w:rsidR="00CB035D" w:rsidRPr="00746E61">
        <w:rPr>
          <w:rFonts w:ascii="Book Antiqua" w:hAnsi="Book Antiqua" w:cs="Arial"/>
        </w:rPr>
        <w:t>39</w:t>
      </w:r>
      <w:r w:rsidRPr="00746E61">
        <w:rPr>
          <w:rFonts w:ascii="Book Antiqua" w:hAnsi="Book Antiqua" w:cs="Arial"/>
        </w:rPr>
        <w:t>.</w:t>
      </w:r>
      <w:r w:rsidR="00CB035D" w:rsidRPr="00746E61">
        <w:rPr>
          <w:rFonts w:ascii="Book Antiqua" w:hAnsi="Book Antiqua" w:cs="Arial"/>
        </w:rPr>
        <w:t>97</w:t>
      </w:r>
      <w:r w:rsidRPr="00746E61">
        <w:rPr>
          <w:rFonts w:ascii="Book Antiqua" w:hAnsi="Book Antiqua" w:cs="Arial"/>
        </w:rPr>
        <w:t xml:space="preserve">%, por otra parte, se hace referencia a la Sección de Flagrancia de </w:t>
      </w:r>
      <w:r w:rsidR="00CB035D" w:rsidRPr="00746E61">
        <w:rPr>
          <w:rFonts w:ascii="Book Antiqua" w:hAnsi="Book Antiqua" w:cs="Arial"/>
        </w:rPr>
        <w:t>Pérez Zeledón</w:t>
      </w:r>
      <w:r w:rsidRPr="00746E61">
        <w:rPr>
          <w:rFonts w:ascii="Book Antiqua" w:hAnsi="Book Antiqua" w:cs="Arial"/>
        </w:rPr>
        <w:t xml:space="preserve"> quien mostró mayor decrecimiento en los asuntos terminados con respecto al periodo anterior, a saber </w:t>
      </w:r>
      <w:r w:rsidR="00CB035D" w:rsidRPr="00746E61">
        <w:rPr>
          <w:rFonts w:ascii="Book Antiqua" w:hAnsi="Book Antiqua" w:cs="Arial"/>
        </w:rPr>
        <w:t>22.33</w:t>
      </w:r>
      <w:r w:rsidRPr="00746E61">
        <w:rPr>
          <w:rFonts w:ascii="Book Antiqua" w:hAnsi="Book Antiqua" w:cs="Arial"/>
        </w:rPr>
        <w:t xml:space="preserve">%. </w:t>
      </w:r>
    </w:p>
    <w:p w14:paraId="67BF695E" w14:textId="77777777" w:rsidR="0019663A" w:rsidRPr="00746E61" w:rsidRDefault="0019663A" w:rsidP="00746E61">
      <w:pPr>
        <w:spacing w:line="276" w:lineRule="auto"/>
        <w:jc w:val="both"/>
        <w:rPr>
          <w:rFonts w:ascii="Book Antiqua" w:hAnsi="Book Antiqua" w:cs="Arial"/>
        </w:rPr>
      </w:pPr>
    </w:p>
    <w:p w14:paraId="353A39B4" w14:textId="70431B76" w:rsidR="0019663A" w:rsidRPr="00746E61" w:rsidRDefault="0019663A" w:rsidP="00746E61">
      <w:pPr>
        <w:spacing w:line="276" w:lineRule="auto"/>
        <w:jc w:val="both"/>
        <w:rPr>
          <w:rFonts w:ascii="Book Antiqua" w:hAnsi="Book Antiqua" w:cs="Arial"/>
        </w:rPr>
      </w:pPr>
      <w:r w:rsidRPr="00746E61">
        <w:rPr>
          <w:rFonts w:ascii="Book Antiqua" w:hAnsi="Book Antiqua" w:cs="Arial"/>
        </w:rPr>
        <w:t xml:space="preserve">Periodo 2020 versus 2021: Se logra determinar un mayor impacto en cuanto al aumento de la cantidad de asuntos terminados, propiamente se evidencia un crecimiento general del </w:t>
      </w:r>
      <w:r w:rsidR="00CB035D" w:rsidRPr="00746E61">
        <w:rPr>
          <w:rFonts w:ascii="Book Antiqua" w:hAnsi="Book Antiqua" w:cs="Arial"/>
        </w:rPr>
        <w:t>8</w:t>
      </w:r>
      <w:r w:rsidRPr="00746E61">
        <w:rPr>
          <w:rFonts w:ascii="Book Antiqua" w:hAnsi="Book Antiqua" w:cs="Arial"/>
        </w:rPr>
        <w:t>.5</w:t>
      </w:r>
      <w:r w:rsidR="00CB035D" w:rsidRPr="00746E61">
        <w:rPr>
          <w:rFonts w:ascii="Book Antiqua" w:hAnsi="Book Antiqua" w:cs="Arial"/>
        </w:rPr>
        <w:t>7</w:t>
      </w:r>
      <w:r w:rsidRPr="00746E61">
        <w:rPr>
          <w:rFonts w:ascii="Book Antiqua" w:hAnsi="Book Antiqua" w:cs="Arial"/>
        </w:rPr>
        <w:t xml:space="preserve">% del 2021 en comparación con el 2020. Al respecto se observa que </w:t>
      </w:r>
      <w:r w:rsidR="00CB035D" w:rsidRPr="00746E61">
        <w:rPr>
          <w:rFonts w:ascii="Book Antiqua" w:hAnsi="Book Antiqua" w:cs="Arial"/>
        </w:rPr>
        <w:t>8</w:t>
      </w:r>
      <w:r w:rsidRPr="00746E61">
        <w:rPr>
          <w:rFonts w:ascii="Book Antiqua" w:hAnsi="Book Antiqua" w:cs="Arial"/>
        </w:rPr>
        <w:t xml:space="preserve"> de los 14 despachos mostraron un aumento en su carga de trabajo, siendo la Sección de Flagrancia de San Carlos quien mostró un mayor porcentaje de aumento, a saber 4</w:t>
      </w:r>
      <w:r w:rsidR="00CB035D" w:rsidRPr="00746E61">
        <w:rPr>
          <w:rFonts w:ascii="Book Antiqua" w:hAnsi="Book Antiqua" w:cs="Arial"/>
        </w:rPr>
        <w:t>6</w:t>
      </w:r>
      <w:r w:rsidRPr="00746E61">
        <w:rPr>
          <w:rFonts w:ascii="Book Antiqua" w:hAnsi="Book Antiqua" w:cs="Arial"/>
        </w:rPr>
        <w:t>.</w:t>
      </w:r>
      <w:r w:rsidR="00CB035D" w:rsidRPr="00746E61">
        <w:rPr>
          <w:rFonts w:ascii="Book Antiqua" w:hAnsi="Book Antiqua" w:cs="Arial"/>
        </w:rPr>
        <w:t>81</w:t>
      </w:r>
      <w:r w:rsidRPr="00746E61">
        <w:rPr>
          <w:rFonts w:ascii="Book Antiqua" w:hAnsi="Book Antiqua" w:cs="Arial"/>
        </w:rPr>
        <w:t xml:space="preserve">%, por otra parte, se hace referencia a la Sección de Flagrancia de Pérez Zeledón quien mostró mayor disminución en los asuntos finalizados con respecto al periodo anterior, a saber </w:t>
      </w:r>
      <w:r w:rsidR="00CB035D" w:rsidRPr="00746E61">
        <w:rPr>
          <w:rFonts w:ascii="Book Antiqua" w:hAnsi="Book Antiqua" w:cs="Arial"/>
        </w:rPr>
        <w:t>15</w:t>
      </w:r>
      <w:r w:rsidRPr="00746E61">
        <w:rPr>
          <w:rFonts w:ascii="Book Antiqua" w:hAnsi="Book Antiqua" w:cs="Arial"/>
        </w:rPr>
        <w:t>.</w:t>
      </w:r>
      <w:r w:rsidR="00CB035D" w:rsidRPr="00746E61">
        <w:rPr>
          <w:rFonts w:ascii="Book Antiqua" w:hAnsi="Book Antiqua" w:cs="Arial"/>
        </w:rPr>
        <w:t>50</w:t>
      </w:r>
      <w:r w:rsidRPr="00746E61">
        <w:rPr>
          <w:rFonts w:ascii="Book Antiqua" w:hAnsi="Book Antiqua" w:cs="Arial"/>
        </w:rPr>
        <w:t xml:space="preserve">%. </w:t>
      </w:r>
    </w:p>
    <w:p w14:paraId="15C48037" w14:textId="77777777" w:rsidR="0019663A" w:rsidRPr="00746E61" w:rsidRDefault="0019663A" w:rsidP="00746E61">
      <w:pPr>
        <w:spacing w:line="276" w:lineRule="auto"/>
        <w:jc w:val="both"/>
        <w:rPr>
          <w:rFonts w:ascii="Book Antiqua" w:hAnsi="Book Antiqua" w:cs="Arial"/>
        </w:rPr>
      </w:pPr>
    </w:p>
    <w:p w14:paraId="2E777EF2" w14:textId="2C7D1EBB" w:rsidR="0019663A" w:rsidRPr="00746E61" w:rsidRDefault="0019663A" w:rsidP="00746E61">
      <w:pPr>
        <w:spacing w:line="276" w:lineRule="auto"/>
        <w:jc w:val="both"/>
        <w:rPr>
          <w:rFonts w:ascii="Book Antiqua" w:hAnsi="Book Antiqua" w:cs="Arial"/>
        </w:rPr>
      </w:pPr>
      <w:r w:rsidRPr="00746E61">
        <w:rPr>
          <w:rFonts w:ascii="Book Antiqua" w:hAnsi="Book Antiqua" w:cs="Arial"/>
        </w:rPr>
        <w:t xml:space="preserve">En términos generales, realizado en análisis comparativo antes de la pandemia de COVID-19 y durante la misma, se logra determinar que para ambos periodos la cantidad de asuntos finalizados aumentó en un </w:t>
      </w:r>
      <w:r w:rsidR="00CB035D" w:rsidRPr="00746E61">
        <w:rPr>
          <w:rFonts w:ascii="Book Antiqua" w:hAnsi="Book Antiqua" w:cs="Arial"/>
        </w:rPr>
        <w:t>3</w:t>
      </w:r>
      <w:r w:rsidR="00840A42" w:rsidRPr="00746E61">
        <w:rPr>
          <w:rFonts w:ascii="Book Antiqua" w:hAnsi="Book Antiqua" w:cs="Arial"/>
        </w:rPr>
        <w:t>.</w:t>
      </w:r>
      <w:r w:rsidR="00CB035D" w:rsidRPr="00746E61">
        <w:rPr>
          <w:rFonts w:ascii="Book Antiqua" w:hAnsi="Book Antiqua" w:cs="Arial"/>
        </w:rPr>
        <w:t>14</w:t>
      </w:r>
      <w:r w:rsidRPr="00746E61">
        <w:rPr>
          <w:rFonts w:ascii="Book Antiqua" w:hAnsi="Book Antiqua" w:cs="Arial"/>
        </w:rPr>
        <w:t xml:space="preserve">% y un </w:t>
      </w:r>
      <w:r w:rsidR="00CB035D" w:rsidRPr="00746E61">
        <w:rPr>
          <w:rFonts w:ascii="Book Antiqua" w:hAnsi="Book Antiqua" w:cs="Arial"/>
        </w:rPr>
        <w:t>8</w:t>
      </w:r>
      <w:r w:rsidR="00840A42" w:rsidRPr="00746E61">
        <w:rPr>
          <w:rFonts w:ascii="Book Antiqua" w:hAnsi="Book Antiqua" w:cs="Arial"/>
        </w:rPr>
        <w:t>.</w:t>
      </w:r>
      <w:r w:rsidRPr="00746E61">
        <w:rPr>
          <w:rFonts w:ascii="Book Antiqua" w:hAnsi="Book Antiqua" w:cs="Arial"/>
        </w:rPr>
        <w:t>5</w:t>
      </w:r>
      <w:r w:rsidR="00CB035D" w:rsidRPr="00746E61">
        <w:rPr>
          <w:rFonts w:ascii="Book Antiqua" w:hAnsi="Book Antiqua" w:cs="Arial"/>
        </w:rPr>
        <w:t>7</w:t>
      </w:r>
      <w:r w:rsidRPr="00746E61">
        <w:rPr>
          <w:rFonts w:ascii="Book Antiqua" w:hAnsi="Book Antiqua" w:cs="Arial"/>
        </w:rPr>
        <w:t xml:space="preserve">% respectivamente. </w:t>
      </w:r>
      <w:r w:rsidR="00787F9D">
        <w:rPr>
          <w:rFonts w:ascii="Book Antiqua" w:hAnsi="Book Antiqua" w:cs="Arial"/>
        </w:rPr>
        <w:t xml:space="preserve">Lo que evidencia también los esfuerzos institucionales por parte del Proyecto de Mejora Penal por impulsar la maximización de los recursos en este procedimiento penal. </w:t>
      </w:r>
    </w:p>
    <w:p w14:paraId="394DCFE6" w14:textId="77777777" w:rsidR="0019663A" w:rsidRPr="00746E61" w:rsidRDefault="0019663A" w:rsidP="00746E61">
      <w:pPr>
        <w:spacing w:line="276" w:lineRule="auto"/>
        <w:jc w:val="both"/>
        <w:rPr>
          <w:rFonts w:ascii="Book Antiqua" w:hAnsi="Book Antiqua" w:cs="Arial"/>
        </w:rPr>
      </w:pPr>
    </w:p>
    <w:p w14:paraId="76F2FDAB" w14:textId="13A7940D" w:rsidR="00E61A77" w:rsidRPr="00746E61" w:rsidRDefault="2EFAFFF7" w:rsidP="57A79FF7">
      <w:pPr>
        <w:spacing w:line="276" w:lineRule="auto"/>
        <w:outlineLvl w:val="2"/>
        <w:rPr>
          <w:b/>
          <w:lang w:val="es-ES" w:eastAsia="en-US"/>
        </w:rPr>
      </w:pPr>
      <w:r w:rsidRPr="57A79FF7">
        <w:rPr>
          <w:rFonts w:ascii="Book Antiqua" w:hAnsi="Book Antiqua"/>
          <w:b/>
          <w:bCs/>
          <w:lang w:val="es-ES" w:eastAsia="en-US"/>
        </w:rPr>
        <w:t xml:space="preserve">3.3.3 </w:t>
      </w:r>
      <w:r w:rsidR="00E61A77" w:rsidRPr="57A79FF7">
        <w:rPr>
          <w:rFonts w:ascii="Book Antiqua" w:hAnsi="Book Antiqua"/>
          <w:b/>
          <w:lang w:val="es-ES" w:eastAsia="en-US"/>
        </w:rPr>
        <w:t>Circulante en trámite</w:t>
      </w:r>
    </w:p>
    <w:p w14:paraId="62FA7564" w14:textId="77777777" w:rsidR="00E61A77" w:rsidRPr="00746E61" w:rsidRDefault="00E61A77" w:rsidP="00746E61">
      <w:pPr>
        <w:spacing w:line="276" w:lineRule="auto"/>
        <w:jc w:val="center"/>
        <w:rPr>
          <w:rFonts w:ascii="Book Antiqua" w:hAnsi="Book Antiqua"/>
          <w:b/>
          <w:bCs/>
          <w:lang w:val="es-ES_tradnl" w:eastAsia="en-US"/>
        </w:rPr>
      </w:pPr>
    </w:p>
    <w:p w14:paraId="1A1A71F2" w14:textId="407D52DD" w:rsidR="00617B8B" w:rsidRPr="00BF7F5F" w:rsidRDefault="00617B8B" w:rsidP="00746E61">
      <w:pPr>
        <w:spacing w:line="276" w:lineRule="auto"/>
        <w:jc w:val="both"/>
        <w:rPr>
          <w:rFonts w:ascii="Book Antiqua" w:hAnsi="Book Antiqua" w:cs="Arial"/>
        </w:rPr>
      </w:pPr>
      <w:r w:rsidRPr="00746E61">
        <w:rPr>
          <w:rFonts w:ascii="Book Antiqua" w:hAnsi="Book Antiqua" w:cs="Arial"/>
        </w:rPr>
        <w:t xml:space="preserve">La variable del circulante en trámite gira en función de la cantidad de asuntos entradas y la capacidad de los despachos para atender esos asuntos, en ese sentido si el despacho no logra durante el mes terminar lo que ingresa, la diferencia pasa a ser circulante en </w:t>
      </w:r>
      <w:r w:rsidRPr="00BF7F5F">
        <w:rPr>
          <w:rFonts w:ascii="Book Antiqua" w:hAnsi="Book Antiqua" w:cs="Arial"/>
        </w:rPr>
        <w:t xml:space="preserve">trámite. </w:t>
      </w:r>
    </w:p>
    <w:p w14:paraId="22E0BE9B" w14:textId="22FCFD61" w:rsidR="00FA74A5" w:rsidRPr="00BF7F5F" w:rsidRDefault="00FA74A5" w:rsidP="00746E61">
      <w:pPr>
        <w:spacing w:line="276" w:lineRule="auto"/>
        <w:jc w:val="both"/>
        <w:rPr>
          <w:rFonts w:ascii="Book Antiqua" w:hAnsi="Book Antiqua" w:cs="Arial"/>
        </w:rPr>
      </w:pPr>
    </w:p>
    <w:p w14:paraId="5E912723" w14:textId="027C5655" w:rsidR="00FA74A5" w:rsidRPr="00746E61" w:rsidRDefault="00FA74A5" w:rsidP="00746E61">
      <w:pPr>
        <w:spacing w:line="276" w:lineRule="auto"/>
        <w:jc w:val="both"/>
        <w:rPr>
          <w:rFonts w:ascii="Book Antiqua" w:hAnsi="Book Antiqua" w:cs="Arial"/>
        </w:rPr>
      </w:pPr>
      <w:r w:rsidRPr="00BF7F5F">
        <w:rPr>
          <w:rFonts w:ascii="Book Antiqua" w:hAnsi="Book Antiqua" w:cs="Arial"/>
        </w:rPr>
        <w:t>La institución ha realizado una serie de medidas para incrementar la entrada a flagrancia, situación que ha provocado un incremento del circulante, lo cual se logra ver como positivo, que este crezca en un 21% para poder dar un mejor aprovechamiento al recurso.</w:t>
      </w:r>
    </w:p>
    <w:p w14:paraId="03921900" w14:textId="77777777" w:rsidR="00617B8B" w:rsidRPr="00746E61" w:rsidRDefault="00617B8B" w:rsidP="00746E61">
      <w:pPr>
        <w:spacing w:line="276" w:lineRule="auto"/>
        <w:jc w:val="both"/>
        <w:rPr>
          <w:rFonts w:ascii="Book Antiqua" w:hAnsi="Book Antiqua" w:cs="Arial"/>
        </w:rPr>
      </w:pPr>
    </w:p>
    <w:p w14:paraId="16D5BE70" w14:textId="77777777" w:rsidR="00617B8B" w:rsidRPr="00746E61" w:rsidRDefault="00617B8B" w:rsidP="00746E61">
      <w:pPr>
        <w:spacing w:line="276" w:lineRule="auto"/>
        <w:jc w:val="both"/>
        <w:rPr>
          <w:rFonts w:ascii="Book Antiqua" w:hAnsi="Book Antiqua" w:cs="Arial"/>
        </w:rPr>
      </w:pPr>
      <w:r w:rsidRPr="00746E61">
        <w:rPr>
          <w:rFonts w:ascii="Book Antiqua" w:hAnsi="Book Antiqua" w:cs="Arial"/>
        </w:rPr>
        <w:t>Dicho lo anterior, se procede a mostrar los resultados obtenidos en cuanto al comportamiento del circulante en trámite durante los dos periodos en estudio.</w:t>
      </w:r>
    </w:p>
    <w:p w14:paraId="7981785A" w14:textId="1803EAD6" w:rsidR="00E61A77" w:rsidRPr="00746E61" w:rsidRDefault="00E61A77" w:rsidP="00746E61">
      <w:pPr>
        <w:spacing w:line="276" w:lineRule="auto"/>
        <w:jc w:val="center"/>
        <w:rPr>
          <w:rFonts w:ascii="Book Antiqua" w:hAnsi="Book Antiqua"/>
          <w:lang w:val="es-ES_tradnl" w:eastAsia="en-US"/>
        </w:rPr>
      </w:pPr>
    </w:p>
    <w:p w14:paraId="0C620FD5" w14:textId="77777777" w:rsidR="00E61A77" w:rsidRPr="00746E61" w:rsidRDefault="00E61A77" w:rsidP="00746E61">
      <w:pPr>
        <w:spacing w:line="276" w:lineRule="auto"/>
        <w:jc w:val="both"/>
        <w:rPr>
          <w:rFonts w:ascii="Book Antiqua" w:hAnsi="Book Antiqua" w:cs="Arial"/>
        </w:rPr>
      </w:pPr>
    </w:p>
    <w:p w14:paraId="29061AD9" w14:textId="3EE97502" w:rsidR="00E61A77" w:rsidRPr="00746E61" w:rsidRDefault="00E61A77" w:rsidP="00746E61">
      <w:pPr>
        <w:widowControl w:val="0"/>
        <w:autoSpaceDE w:val="0"/>
        <w:spacing w:line="276" w:lineRule="auto"/>
        <w:ind w:right="51"/>
        <w:jc w:val="center"/>
        <w:rPr>
          <w:rFonts w:ascii="Book Antiqua" w:hAnsi="Book Antiqua" w:cs="Arial"/>
          <w:b/>
          <w:bCs/>
        </w:rPr>
      </w:pPr>
      <w:r w:rsidRPr="00746E61">
        <w:rPr>
          <w:rFonts w:ascii="Book Antiqua" w:hAnsi="Book Antiqua" w:cs="Arial"/>
          <w:b/>
          <w:bCs/>
        </w:rPr>
        <w:t>Cuadro 21</w:t>
      </w:r>
    </w:p>
    <w:p w14:paraId="6A40C0B6" w14:textId="77777777" w:rsidR="00E61A77" w:rsidRPr="00746E61" w:rsidRDefault="00E61A77" w:rsidP="00746E61">
      <w:pPr>
        <w:widowControl w:val="0"/>
        <w:autoSpaceDE w:val="0"/>
        <w:spacing w:line="276" w:lineRule="auto"/>
        <w:ind w:right="51"/>
        <w:jc w:val="center"/>
        <w:rPr>
          <w:rFonts w:ascii="Book Antiqua" w:hAnsi="Book Antiqua" w:cs="Arial"/>
        </w:rPr>
      </w:pPr>
      <w:r w:rsidRPr="00746E61">
        <w:rPr>
          <w:rFonts w:ascii="Book Antiqua" w:hAnsi="Book Antiqua" w:cs="Arial"/>
        </w:rPr>
        <w:t>Cantidad de circulante en trámite de los Tribunales y Secciones de Flagrancia</w:t>
      </w:r>
    </w:p>
    <w:p w14:paraId="423B664C" w14:textId="0AE10C9D" w:rsidR="00E61A77" w:rsidRPr="00746E61" w:rsidRDefault="00E61A77" w:rsidP="00746E61">
      <w:pPr>
        <w:widowControl w:val="0"/>
        <w:autoSpaceDE w:val="0"/>
        <w:spacing w:line="276" w:lineRule="auto"/>
        <w:ind w:right="51"/>
        <w:jc w:val="center"/>
        <w:rPr>
          <w:rFonts w:ascii="Book Antiqua" w:hAnsi="Book Antiqua" w:cs="Arial"/>
        </w:rPr>
      </w:pPr>
      <w:r w:rsidRPr="00746E61">
        <w:rPr>
          <w:rFonts w:ascii="Book Antiqua" w:hAnsi="Book Antiqua" w:cs="Arial"/>
        </w:rPr>
        <w:t xml:space="preserve">Al finalizar los años 2019, 2020 y mes de </w:t>
      </w:r>
      <w:r w:rsidR="00C24024" w:rsidRPr="00746E61">
        <w:rPr>
          <w:rFonts w:ascii="Book Antiqua" w:hAnsi="Book Antiqua" w:cs="Arial"/>
        </w:rPr>
        <w:t>setiembre</w:t>
      </w:r>
      <w:r w:rsidRPr="00746E61">
        <w:rPr>
          <w:rFonts w:ascii="Book Antiqua" w:hAnsi="Book Antiqua" w:cs="Arial"/>
        </w:rPr>
        <w:t xml:space="preserve"> de 2021</w:t>
      </w:r>
    </w:p>
    <w:tbl>
      <w:tblPr>
        <w:tblW w:w="10285" w:type="dxa"/>
        <w:jc w:val="center"/>
        <w:tblCellMar>
          <w:left w:w="70" w:type="dxa"/>
          <w:right w:w="70" w:type="dxa"/>
        </w:tblCellMar>
        <w:tblLook w:val="04A0" w:firstRow="1" w:lastRow="0" w:firstColumn="1" w:lastColumn="0" w:noHBand="0" w:noVBand="1"/>
      </w:tblPr>
      <w:tblGrid>
        <w:gridCol w:w="3118"/>
        <w:gridCol w:w="1276"/>
        <w:gridCol w:w="1134"/>
        <w:gridCol w:w="1165"/>
        <w:gridCol w:w="1796"/>
        <w:gridCol w:w="1796"/>
      </w:tblGrid>
      <w:tr w:rsidR="00C24024" w:rsidRPr="00746E61" w14:paraId="3054CAFB" w14:textId="77777777" w:rsidTr="00C24024">
        <w:trPr>
          <w:trHeight w:val="622"/>
          <w:jc w:val="center"/>
        </w:trPr>
        <w:tc>
          <w:tcPr>
            <w:tcW w:w="3118"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0B22C328" w14:textId="77777777" w:rsidR="00C24024" w:rsidRPr="00746E61" w:rsidRDefault="00C24024" w:rsidP="00746E61">
            <w:pPr>
              <w:spacing w:line="276" w:lineRule="auto"/>
              <w:jc w:val="center"/>
              <w:rPr>
                <w:rFonts w:ascii="Book Antiqua" w:hAnsi="Book Antiqua" w:cs="Calibri"/>
                <w:b/>
                <w:bCs/>
                <w:color w:val="FFFFFF"/>
                <w:sz w:val="16"/>
                <w:szCs w:val="16"/>
                <w:lang w:eastAsia="es-CR"/>
              </w:rPr>
            </w:pPr>
            <w:r w:rsidRPr="00746E61">
              <w:rPr>
                <w:rFonts w:ascii="Book Antiqua" w:hAnsi="Book Antiqua" w:cs="Calibri"/>
                <w:b/>
                <w:bCs/>
                <w:color w:val="FFFFFF"/>
                <w:sz w:val="16"/>
                <w:szCs w:val="16"/>
                <w:lang w:eastAsia="es-CR"/>
              </w:rPr>
              <w:t>Despachos</w:t>
            </w:r>
          </w:p>
        </w:tc>
        <w:tc>
          <w:tcPr>
            <w:tcW w:w="1276" w:type="dxa"/>
            <w:tcBorders>
              <w:top w:val="single" w:sz="4" w:space="0" w:color="auto"/>
              <w:left w:val="nil"/>
              <w:bottom w:val="single" w:sz="4" w:space="0" w:color="auto"/>
              <w:right w:val="single" w:sz="4" w:space="0" w:color="auto"/>
            </w:tcBorders>
            <w:shd w:val="clear" w:color="000000" w:fill="305496"/>
            <w:vAlign w:val="center"/>
            <w:hideMark/>
          </w:tcPr>
          <w:p w14:paraId="4FA592C0" w14:textId="77777777" w:rsidR="00C24024" w:rsidRPr="00746E61" w:rsidRDefault="00C24024" w:rsidP="00746E61">
            <w:pPr>
              <w:spacing w:line="276" w:lineRule="auto"/>
              <w:jc w:val="center"/>
              <w:rPr>
                <w:rFonts w:ascii="Book Antiqua" w:hAnsi="Book Antiqua" w:cs="Calibri"/>
                <w:b/>
                <w:bCs/>
                <w:color w:val="FFFFFF"/>
                <w:sz w:val="16"/>
                <w:szCs w:val="16"/>
                <w:lang w:eastAsia="es-CR"/>
              </w:rPr>
            </w:pPr>
            <w:r w:rsidRPr="00746E61">
              <w:rPr>
                <w:rFonts w:ascii="Book Antiqua" w:hAnsi="Book Antiqua" w:cs="Calibri"/>
                <w:b/>
                <w:bCs/>
                <w:color w:val="FFFFFF"/>
                <w:sz w:val="16"/>
                <w:szCs w:val="16"/>
                <w:lang w:eastAsia="es-CR"/>
              </w:rPr>
              <w:t>Circulante en Trámite 2019</w:t>
            </w:r>
          </w:p>
        </w:tc>
        <w:tc>
          <w:tcPr>
            <w:tcW w:w="1134" w:type="dxa"/>
            <w:tcBorders>
              <w:top w:val="single" w:sz="4" w:space="0" w:color="auto"/>
              <w:left w:val="nil"/>
              <w:bottom w:val="single" w:sz="4" w:space="0" w:color="auto"/>
              <w:right w:val="single" w:sz="4" w:space="0" w:color="auto"/>
            </w:tcBorders>
            <w:shd w:val="clear" w:color="000000" w:fill="305496"/>
            <w:vAlign w:val="center"/>
            <w:hideMark/>
          </w:tcPr>
          <w:p w14:paraId="1DFBA995" w14:textId="77777777" w:rsidR="00C24024" w:rsidRPr="00746E61" w:rsidRDefault="00C24024" w:rsidP="00746E61">
            <w:pPr>
              <w:spacing w:line="276" w:lineRule="auto"/>
              <w:jc w:val="center"/>
              <w:rPr>
                <w:rFonts w:ascii="Book Antiqua" w:hAnsi="Book Antiqua" w:cs="Calibri"/>
                <w:b/>
                <w:bCs/>
                <w:color w:val="FFFFFF"/>
                <w:sz w:val="16"/>
                <w:szCs w:val="16"/>
                <w:lang w:eastAsia="es-CR"/>
              </w:rPr>
            </w:pPr>
            <w:r w:rsidRPr="00746E61">
              <w:rPr>
                <w:rFonts w:ascii="Book Antiqua" w:hAnsi="Book Antiqua" w:cs="Calibri"/>
                <w:b/>
                <w:bCs/>
                <w:color w:val="FFFFFF"/>
                <w:sz w:val="16"/>
                <w:szCs w:val="16"/>
                <w:lang w:eastAsia="es-CR"/>
              </w:rPr>
              <w:t>Circulante en Trámite 2020</w:t>
            </w:r>
          </w:p>
        </w:tc>
        <w:tc>
          <w:tcPr>
            <w:tcW w:w="1165" w:type="dxa"/>
            <w:tcBorders>
              <w:top w:val="single" w:sz="4" w:space="0" w:color="auto"/>
              <w:left w:val="nil"/>
              <w:bottom w:val="single" w:sz="4" w:space="0" w:color="auto"/>
              <w:right w:val="single" w:sz="4" w:space="0" w:color="auto"/>
            </w:tcBorders>
            <w:shd w:val="clear" w:color="000000" w:fill="305496"/>
            <w:vAlign w:val="center"/>
            <w:hideMark/>
          </w:tcPr>
          <w:p w14:paraId="5AA57B84" w14:textId="77777777" w:rsidR="00C24024" w:rsidRPr="00746E61" w:rsidRDefault="00C24024" w:rsidP="00746E61">
            <w:pPr>
              <w:spacing w:line="276" w:lineRule="auto"/>
              <w:jc w:val="center"/>
              <w:rPr>
                <w:rFonts w:ascii="Book Antiqua" w:hAnsi="Book Antiqua" w:cs="Calibri"/>
                <w:b/>
                <w:bCs/>
                <w:color w:val="FFFFFF"/>
                <w:sz w:val="16"/>
                <w:szCs w:val="16"/>
                <w:lang w:eastAsia="es-CR"/>
              </w:rPr>
            </w:pPr>
            <w:r w:rsidRPr="00746E61">
              <w:rPr>
                <w:rFonts w:ascii="Book Antiqua" w:hAnsi="Book Antiqua" w:cs="Calibri"/>
                <w:b/>
                <w:bCs/>
                <w:color w:val="FFFFFF"/>
                <w:sz w:val="16"/>
                <w:szCs w:val="16"/>
                <w:lang w:eastAsia="es-CR"/>
              </w:rPr>
              <w:t>Circulante en Trámite 2021</w:t>
            </w:r>
          </w:p>
        </w:tc>
        <w:tc>
          <w:tcPr>
            <w:tcW w:w="1796" w:type="dxa"/>
            <w:tcBorders>
              <w:top w:val="single" w:sz="4" w:space="0" w:color="auto"/>
              <w:left w:val="nil"/>
              <w:bottom w:val="single" w:sz="4" w:space="0" w:color="auto"/>
              <w:right w:val="single" w:sz="4" w:space="0" w:color="auto"/>
            </w:tcBorders>
            <w:shd w:val="clear" w:color="000000" w:fill="DDEBF7"/>
            <w:vAlign w:val="center"/>
            <w:hideMark/>
          </w:tcPr>
          <w:p w14:paraId="19804E3F" w14:textId="77777777" w:rsidR="00C24024" w:rsidRPr="00746E61" w:rsidRDefault="00C24024" w:rsidP="00746E61">
            <w:pPr>
              <w:spacing w:line="276" w:lineRule="auto"/>
              <w:jc w:val="center"/>
              <w:rPr>
                <w:rFonts w:ascii="Book Antiqua" w:hAnsi="Book Antiqua" w:cs="Calibri"/>
                <w:b/>
                <w:bCs/>
                <w:color w:val="3A3838"/>
                <w:sz w:val="16"/>
                <w:szCs w:val="16"/>
                <w:lang w:eastAsia="es-CR"/>
              </w:rPr>
            </w:pPr>
            <w:r w:rsidRPr="00746E61">
              <w:rPr>
                <w:rFonts w:ascii="Book Antiqua" w:hAnsi="Book Antiqua" w:cs="Calibri"/>
                <w:b/>
                <w:bCs/>
                <w:color w:val="3A3838"/>
                <w:sz w:val="16"/>
                <w:szCs w:val="16"/>
                <w:lang w:eastAsia="es-CR"/>
              </w:rPr>
              <w:t>Aumento/disminución 2021vs2019</w:t>
            </w:r>
          </w:p>
        </w:tc>
        <w:tc>
          <w:tcPr>
            <w:tcW w:w="1796" w:type="dxa"/>
            <w:tcBorders>
              <w:top w:val="single" w:sz="4" w:space="0" w:color="auto"/>
              <w:left w:val="nil"/>
              <w:bottom w:val="single" w:sz="4" w:space="0" w:color="auto"/>
              <w:right w:val="single" w:sz="4" w:space="0" w:color="auto"/>
            </w:tcBorders>
            <w:shd w:val="clear" w:color="000000" w:fill="DDEBF7"/>
            <w:vAlign w:val="center"/>
            <w:hideMark/>
          </w:tcPr>
          <w:p w14:paraId="6A4691D0" w14:textId="77777777" w:rsidR="00C24024" w:rsidRPr="00746E61" w:rsidRDefault="00C24024" w:rsidP="00746E61">
            <w:pPr>
              <w:spacing w:line="276" w:lineRule="auto"/>
              <w:jc w:val="center"/>
              <w:rPr>
                <w:rFonts w:ascii="Book Antiqua" w:hAnsi="Book Antiqua" w:cs="Calibri"/>
                <w:b/>
                <w:bCs/>
                <w:color w:val="3A3838"/>
                <w:sz w:val="16"/>
                <w:szCs w:val="16"/>
                <w:lang w:eastAsia="es-CR"/>
              </w:rPr>
            </w:pPr>
            <w:r w:rsidRPr="00746E61">
              <w:rPr>
                <w:rFonts w:ascii="Book Antiqua" w:hAnsi="Book Antiqua" w:cs="Calibri"/>
                <w:b/>
                <w:bCs/>
                <w:color w:val="3A3838"/>
                <w:sz w:val="16"/>
                <w:szCs w:val="16"/>
                <w:lang w:eastAsia="es-CR"/>
              </w:rPr>
              <w:t>Aumento/disminución 2021vs2020</w:t>
            </w:r>
          </w:p>
        </w:tc>
      </w:tr>
      <w:tr w:rsidR="00C24024" w:rsidRPr="00746E61" w14:paraId="528627B5" w14:textId="77777777" w:rsidTr="00CE7F39">
        <w:trPr>
          <w:trHeight w:val="231"/>
          <w:jc w:val="center"/>
        </w:trPr>
        <w:tc>
          <w:tcPr>
            <w:tcW w:w="3118"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FFBC0AC" w14:textId="77777777" w:rsidR="00C24024" w:rsidRPr="00746E61" w:rsidRDefault="00C24024"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de Flagrancia de Alajuela</w:t>
            </w:r>
          </w:p>
        </w:tc>
        <w:tc>
          <w:tcPr>
            <w:tcW w:w="1276" w:type="dxa"/>
            <w:tcBorders>
              <w:top w:val="nil"/>
              <w:left w:val="nil"/>
              <w:bottom w:val="single" w:sz="4" w:space="0" w:color="auto"/>
              <w:right w:val="single" w:sz="4" w:space="0" w:color="auto"/>
            </w:tcBorders>
            <w:shd w:val="clear" w:color="auto" w:fill="F2F2F2" w:themeFill="background1" w:themeFillShade="F2"/>
            <w:noWrap/>
            <w:vAlign w:val="center"/>
            <w:hideMark/>
          </w:tcPr>
          <w:p w14:paraId="381B56E2" w14:textId="77777777" w:rsidR="00C24024" w:rsidRPr="00746E61" w:rsidRDefault="00C24024"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7</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0BE0F21F" w14:textId="77777777" w:rsidR="00C24024" w:rsidRPr="00746E61" w:rsidRDefault="00C24024"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22</w:t>
            </w:r>
          </w:p>
        </w:tc>
        <w:tc>
          <w:tcPr>
            <w:tcW w:w="1165" w:type="dxa"/>
            <w:tcBorders>
              <w:top w:val="nil"/>
              <w:left w:val="nil"/>
              <w:bottom w:val="single" w:sz="4" w:space="0" w:color="auto"/>
              <w:right w:val="single" w:sz="4" w:space="0" w:color="auto"/>
            </w:tcBorders>
            <w:shd w:val="clear" w:color="auto" w:fill="F2F2F2" w:themeFill="background1" w:themeFillShade="F2"/>
            <w:noWrap/>
            <w:vAlign w:val="center"/>
            <w:hideMark/>
          </w:tcPr>
          <w:p w14:paraId="4FB556D1" w14:textId="77777777" w:rsidR="00C24024" w:rsidRPr="00746E61" w:rsidRDefault="00C24024"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74</w:t>
            </w:r>
          </w:p>
        </w:tc>
        <w:tc>
          <w:tcPr>
            <w:tcW w:w="1796" w:type="dxa"/>
            <w:tcBorders>
              <w:top w:val="nil"/>
              <w:left w:val="nil"/>
              <w:bottom w:val="single" w:sz="4" w:space="0" w:color="auto"/>
              <w:right w:val="single" w:sz="4" w:space="0" w:color="auto"/>
            </w:tcBorders>
            <w:shd w:val="clear" w:color="auto" w:fill="F2F2F2" w:themeFill="background1" w:themeFillShade="F2"/>
            <w:vAlign w:val="center"/>
            <w:hideMark/>
          </w:tcPr>
          <w:p w14:paraId="7AD07BAB" w14:textId="77777777" w:rsidR="00C24024" w:rsidRPr="00746E61" w:rsidRDefault="00C24024"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957,14%</w:t>
            </w:r>
          </w:p>
        </w:tc>
        <w:tc>
          <w:tcPr>
            <w:tcW w:w="1796" w:type="dxa"/>
            <w:tcBorders>
              <w:top w:val="nil"/>
              <w:left w:val="nil"/>
              <w:bottom w:val="single" w:sz="4" w:space="0" w:color="auto"/>
              <w:right w:val="single" w:sz="4" w:space="0" w:color="auto"/>
            </w:tcBorders>
            <w:shd w:val="clear" w:color="auto" w:fill="F2F2F2" w:themeFill="background1" w:themeFillShade="F2"/>
            <w:vAlign w:val="center"/>
            <w:hideMark/>
          </w:tcPr>
          <w:p w14:paraId="2B2556F8" w14:textId="77777777" w:rsidR="00C24024" w:rsidRPr="00746E61" w:rsidRDefault="00C24024"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236,36%</w:t>
            </w:r>
          </w:p>
        </w:tc>
      </w:tr>
      <w:tr w:rsidR="00C24024" w:rsidRPr="00746E61" w14:paraId="32FEC34C" w14:textId="77777777" w:rsidTr="00C24024">
        <w:trPr>
          <w:trHeight w:val="231"/>
          <w:jc w:val="center"/>
        </w:trPr>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7FAE2CC2" w14:textId="77777777" w:rsidR="00C24024" w:rsidRPr="00746E61" w:rsidRDefault="00C24024"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de Flagrancia de Limón</w:t>
            </w:r>
          </w:p>
        </w:tc>
        <w:tc>
          <w:tcPr>
            <w:tcW w:w="1276" w:type="dxa"/>
            <w:tcBorders>
              <w:top w:val="nil"/>
              <w:left w:val="nil"/>
              <w:bottom w:val="single" w:sz="4" w:space="0" w:color="auto"/>
              <w:right w:val="single" w:sz="4" w:space="0" w:color="auto"/>
            </w:tcBorders>
            <w:shd w:val="clear" w:color="auto" w:fill="auto"/>
            <w:noWrap/>
            <w:vAlign w:val="center"/>
            <w:hideMark/>
          </w:tcPr>
          <w:p w14:paraId="57F7FECB" w14:textId="77777777" w:rsidR="00C24024" w:rsidRPr="00746E61" w:rsidRDefault="00C24024"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14</w:t>
            </w:r>
          </w:p>
        </w:tc>
        <w:tc>
          <w:tcPr>
            <w:tcW w:w="1134" w:type="dxa"/>
            <w:tcBorders>
              <w:top w:val="nil"/>
              <w:left w:val="nil"/>
              <w:bottom w:val="single" w:sz="4" w:space="0" w:color="auto"/>
              <w:right w:val="single" w:sz="4" w:space="0" w:color="auto"/>
            </w:tcBorders>
            <w:shd w:val="clear" w:color="auto" w:fill="auto"/>
            <w:noWrap/>
            <w:vAlign w:val="center"/>
            <w:hideMark/>
          </w:tcPr>
          <w:p w14:paraId="5FF69660" w14:textId="77777777" w:rsidR="00C24024" w:rsidRPr="00746E61" w:rsidRDefault="00C24024"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47</w:t>
            </w:r>
          </w:p>
        </w:tc>
        <w:tc>
          <w:tcPr>
            <w:tcW w:w="1165" w:type="dxa"/>
            <w:tcBorders>
              <w:top w:val="nil"/>
              <w:left w:val="nil"/>
              <w:bottom w:val="single" w:sz="4" w:space="0" w:color="auto"/>
              <w:right w:val="single" w:sz="4" w:space="0" w:color="auto"/>
            </w:tcBorders>
            <w:shd w:val="clear" w:color="auto" w:fill="auto"/>
            <w:noWrap/>
            <w:vAlign w:val="center"/>
            <w:hideMark/>
          </w:tcPr>
          <w:p w14:paraId="11F3B88B" w14:textId="77777777" w:rsidR="00C24024" w:rsidRPr="00746E61" w:rsidRDefault="00C24024"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41</w:t>
            </w:r>
          </w:p>
        </w:tc>
        <w:tc>
          <w:tcPr>
            <w:tcW w:w="1796" w:type="dxa"/>
            <w:tcBorders>
              <w:top w:val="nil"/>
              <w:left w:val="nil"/>
              <w:bottom w:val="single" w:sz="4" w:space="0" w:color="auto"/>
              <w:right w:val="single" w:sz="4" w:space="0" w:color="auto"/>
            </w:tcBorders>
            <w:shd w:val="clear" w:color="auto" w:fill="auto"/>
            <w:vAlign w:val="center"/>
            <w:hideMark/>
          </w:tcPr>
          <w:p w14:paraId="4DFB73E7" w14:textId="77777777" w:rsidR="00C24024" w:rsidRPr="00746E61" w:rsidRDefault="00C24024"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192,86%</w:t>
            </w:r>
          </w:p>
        </w:tc>
        <w:tc>
          <w:tcPr>
            <w:tcW w:w="1796" w:type="dxa"/>
            <w:tcBorders>
              <w:top w:val="nil"/>
              <w:left w:val="nil"/>
              <w:bottom w:val="single" w:sz="4" w:space="0" w:color="auto"/>
              <w:right w:val="single" w:sz="4" w:space="0" w:color="auto"/>
            </w:tcBorders>
            <w:shd w:val="clear" w:color="auto" w:fill="auto"/>
            <w:vAlign w:val="center"/>
            <w:hideMark/>
          </w:tcPr>
          <w:p w14:paraId="429A42BA" w14:textId="77777777" w:rsidR="00C24024" w:rsidRPr="00746E61" w:rsidRDefault="00C24024"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-12,77%</w:t>
            </w:r>
          </w:p>
        </w:tc>
      </w:tr>
      <w:tr w:rsidR="00C24024" w:rsidRPr="00746E61" w14:paraId="574E5716" w14:textId="77777777" w:rsidTr="00C24024">
        <w:trPr>
          <w:trHeight w:val="231"/>
          <w:jc w:val="center"/>
        </w:trPr>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7296F966" w14:textId="77777777" w:rsidR="00C24024" w:rsidRPr="00746E61" w:rsidRDefault="00C24024"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de Flagrancia de Liberia</w:t>
            </w:r>
          </w:p>
        </w:tc>
        <w:tc>
          <w:tcPr>
            <w:tcW w:w="1276" w:type="dxa"/>
            <w:tcBorders>
              <w:top w:val="nil"/>
              <w:left w:val="nil"/>
              <w:bottom w:val="single" w:sz="4" w:space="0" w:color="auto"/>
              <w:right w:val="single" w:sz="4" w:space="0" w:color="auto"/>
            </w:tcBorders>
            <w:shd w:val="clear" w:color="auto" w:fill="auto"/>
            <w:noWrap/>
            <w:vAlign w:val="center"/>
            <w:hideMark/>
          </w:tcPr>
          <w:p w14:paraId="24EAA023" w14:textId="77777777" w:rsidR="00C24024" w:rsidRPr="00746E61" w:rsidRDefault="00C24024"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399</w:t>
            </w:r>
          </w:p>
        </w:tc>
        <w:tc>
          <w:tcPr>
            <w:tcW w:w="1134" w:type="dxa"/>
            <w:tcBorders>
              <w:top w:val="nil"/>
              <w:left w:val="nil"/>
              <w:bottom w:val="single" w:sz="4" w:space="0" w:color="auto"/>
              <w:right w:val="single" w:sz="4" w:space="0" w:color="auto"/>
            </w:tcBorders>
            <w:shd w:val="clear" w:color="auto" w:fill="auto"/>
            <w:noWrap/>
            <w:vAlign w:val="center"/>
            <w:hideMark/>
          </w:tcPr>
          <w:p w14:paraId="580E2FB6" w14:textId="77777777" w:rsidR="00C24024" w:rsidRPr="00746E61" w:rsidRDefault="00C24024"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577</w:t>
            </w:r>
          </w:p>
        </w:tc>
        <w:tc>
          <w:tcPr>
            <w:tcW w:w="1165" w:type="dxa"/>
            <w:tcBorders>
              <w:top w:val="nil"/>
              <w:left w:val="nil"/>
              <w:bottom w:val="single" w:sz="4" w:space="0" w:color="auto"/>
              <w:right w:val="single" w:sz="4" w:space="0" w:color="auto"/>
            </w:tcBorders>
            <w:shd w:val="clear" w:color="auto" w:fill="auto"/>
            <w:noWrap/>
            <w:vAlign w:val="center"/>
            <w:hideMark/>
          </w:tcPr>
          <w:p w14:paraId="33494085" w14:textId="77777777" w:rsidR="00C24024" w:rsidRPr="00746E61" w:rsidRDefault="00C24024"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626</w:t>
            </w:r>
          </w:p>
        </w:tc>
        <w:tc>
          <w:tcPr>
            <w:tcW w:w="1796" w:type="dxa"/>
            <w:tcBorders>
              <w:top w:val="nil"/>
              <w:left w:val="nil"/>
              <w:bottom w:val="single" w:sz="4" w:space="0" w:color="auto"/>
              <w:right w:val="single" w:sz="4" w:space="0" w:color="auto"/>
            </w:tcBorders>
            <w:shd w:val="clear" w:color="auto" w:fill="auto"/>
            <w:vAlign w:val="center"/>
            <w:hideMark/>
          </w:tcPr>
          <w:p w14:paraId="1C3CFB45" w14:textId="77777777" w:rsidR="00C24024" w:rsidRPr="00746E61" w:rsidRDefault="00C24024"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56,89%</w:t>
            </w:r>
          </w:p>
        </w:tc>
        <w:tc>
          <w:tcPr>
            <w:tcW w:w="1796" w:type="dxa"/>
            <w:tcBorders>
              <w:top w:val="nil"/>
              <w:left w:val="nil"/>
              <w:bottom w:val="single" w:sz="4" w:space="0" w:color="auto"/>
              <w:right w:val="single" w:sz="4" w:space="0" w:color="auto"/>
            </w:tcBorders>
            <w:shd w:val="clear" w:color="auto" w:fill="auto"/>
            <w:vAlign w:val="center"/>
            <w:hideMark/>
          </w:tcPr>
          <w:p w14:paraId="6A804E72" w14:textId="77777777" w:rsidR="00C24024" w:rsidRPr="00746E61" w:rsidRDefault="00C24024"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8,49%</w:t>
            </w:r>
          </w:p>
        </w:tc>
      </w:tr>
      <w:tr w:rsidR="00C24024" w:rsidRPr="00746E61" w14:paraId="037165C1" w14:textId="77777777" w:rsidTr="00C24024">
        <w:trPr>
          <w:trHeight w:val="231"/>
          <w:jc w:val="center"/>
        </w:trPr>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736FC181" w14:textId="77777777" w:rsidR="00C24024" w:rsidRPr="00746E61" w:rsidRDefault="00C24024"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de Flagrancia de San Carlos</w:t>
            </w:r>
          </w:p>
        </w:tc>
        <w:tc>
          <w:tcPr>
            <w:tcW w:w="1276" w:type="dxa"/>
            <w:tcBorders>
              <w:top w:val="nil"/>
              <w:left w:val="nil"/>
              <w:bottom w:val="single" w:sz="4" w:space="0" w:color="auto"/>
              <w:right w:val="single" w:sz="4" w:space="0" w:color="auto"/>
            </w:tcBorders>
            <w:shd w:val="clear" w:color="auto" w:fill="auto"/>
            <w:noWrap/>
            <w:vAlign w:val="center"/>
            <w:hideMark/>
          </w:tcPr>
          <w:p w14:paraId="215F5BE4" w14:textId="77777777" w:rsidR="00C24024" w:rsidRPr="00746E61" w:rsidRDefault="00C24024"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233</w:t>
            </w:r>
          </w:p>
        </w:tc>
        <w:tc>
          <w:tcPr>
            <w:tcW w:w="1134" w:type="dxa"/>
            <w:tcBorders>
              <w:top w:val="nil"/>
              <w:left w:val="nil"/>
              <w:bottom w:val="single" w:sz="4" w:space="0" w:color="auto"/>
              <w:right w:val="single" w:sz="4" w:space="0" w:color="auto"/>
            </w:tcBorders>
            <w:shd w:val="clear" w:color="auto" w:fill="auto"/>
            <w:noWrap/>
            <w:vAlign w:val="center"/>
            <w:hideMark/>
          </w:tcPr>
          <w:p w14:paraId="6254EE34" w14:textId="77777777" w:rsidR="00C24024" w:rsidRPr="00746E61" w:rsidRDefault="00C24024"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388</w:t>
            </w:r>
          </w:p>
        </w:tc>
        <w:tc>
          <w:tcPr>
            <w:tcW w:w="1165" w:type="dxa"/>
            <w:tcBorders>
              <w:top w:val="nil"/>
              <w:left w:val="nil"/>
              <w:bottom w:val="single" w:sz="4" w:space="0" w:color="auto"/>
              <w:right w:val="single" w:sz="4" w:space="0" w:color="auto"/>
            </w:tcBorders>
            <w:shd w:val="clear" w:color="auto" w:fill="auto"/>
            <w:noWrap/>
            <w:vAlign w:val="center"/>
            <w:hideMark/>
          </w:tcPr>
          <w:p w14:paraId="6F431974" w14:textId="77777777" w:rsidR="00C24024" w:rsidRPr="00746E61" w:rsidRDefault="00C24024"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353</w:t>
            </w:r>
          </w:p>
        </w:tc>
        <w:tc>
          <w:tcPr>
            <w:tcW w:w="1796" w:type="dxa"/>
            <w:tcBorders>
              <w:top w:val="nil"/>
              <w:left w:val="nil"/>
              <w:bottom w:val="single" w:sz="4" w:space="0" w:color="auto"/>
              <w:right w:val="single" w:sz="4" w:space="0" w:color="auto"/>
            </w:tcBorders>
            <w:shd w:val="clear" w:color="auto" w:fill="auto"/>
            <w:vAlign w:val="center"/>
            <w:hideMark/>
          </w:tcPr>
          <w:p w14:paraId="7C346BCD" w14:textId="77777777" w:rsidR="00C24024" w:rsidRPr="00746E61" w:rsidRDefault="00C24024"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51,50%</w:t>
            </w:r>
          </w:p>
        </w:tc>
        <w:tc>
          <w:tcPr>
            <w:tcW w:w="1796" w:type="dxa"/>
            <w:tcBorders>
              <w:top w:val="nil"/>
              <w:left w:val="nil"/>
              <w:bottom w:val="single" w:sz="4" w:space="0" w:color="auto"/>
              <w:right w:val="single" w:sz="4" w:space="0" w:color="auto"/>
            </w:tcBorders>
            <w:shd w:val="clear" w:color="auto" w:fill="auto"/>
            <w:vAlign w:val="center"/>
            <w:hideMark/>
          </w:tcPr>
          <w:p w14:paraId="021890A3" w14:textId="77777777" w:rsidR="00C24024" w:rsidRPr="00746E61" w:rsidRDefault="00C24024"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-9,02%</w:t>
            </w:r>
          </w:p>
        </w:tc>
      </w:tr>
      <w:tr w:rsidR="00C24024" w:rsidRPr="00746E61" w14:paraId="52A42317" w14:textId="77777777" w:rsidTr="00C24024">
        <w:trPr>
          <w:trHeight w:val="231"/>
          <w:jc w:val="center"/>
        </w:trPr>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30595ADC" w14:textId="77777777" w:rsidR="00C24024" w:rsidRPr="00746E61" w:rsidRDefault="00C24024"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de Flagrancia de Corredores</w:t>
            </w:r>
          </w:p>
        </w:tc>
        <w:tc>
          <w:tcPr>
            <w:tcW w:w="1276" w:type="dxa"/>
            <w:tcBorders>
              <w:top w:val="nil"/>
              <w:left w:val="nil"/>
              <w:bottom w:val="single" w:sz="4" w:space="0" w:color="auto"/>
              <w:right w:val="single" w:sz="4" w:space="0" w:color="auto"/>
            </w:tcBorders>
            <w:shd w:val="clear" w:color="auto" w:fill="auto"/>
            <w:noWrap/>
            <w:vAlign w:val="center"/>
            <w:hideMark/>
          </w:tcPr>
          <w:p w14:paraId="6EFF67CD" w14:textId="77777777" w:rsidR="00C24024" w:rsidRPr="00746E61" w:rsidRDefault="00C24024"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87</w:t>
            </w:r>
          </w:p>
        </w:tc>
        <w:tc>
          <w:tcPr>
            <w:tcW w:w="1134" w:type="dxa"/>
            <w:tcBorders>
              <w:top w:val="nil"/>
              <w:left w:val="nil"/>
              <w:bottom w:val="single" w:sz="4" w:space="0" w:color="auto"/>
              <w:right w:val="single" w:sz="4" w:space="0" w:color="auto"/>
            </w:tcBorders>
            <w:shd w:val="clear" w:color="auto" w:fill="auto"/>
            <w:noWrap/>
            <w:vAlign w:val="center"/>
            <w:hideMark/>
          </w:tcPr>
          <w:p w14:paraId="573E15C6" w14:textId="77777777" w:rsidR="00C24024" w:rsidRPr="00746E61" w:rsidRDefault="00C24024"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148</w:t>
            </w:r>
          </w:p>
        </w:tc>
        <w:tc>
          <w:tcPr>
            <w:tcW w:w="1165" w:type="dxa"/>
            <w:tcBorders>
              <w:top w:val="nil"/>
              <w:left w:val="nil"/>
              <w:bottom w:val="single" w:sz="4" w:space="0" w:color="auto"/>
              <w:right w:val="single" w:sz="4" w:space="0" w:color="auto"/>
            </w:tcBorders>
            <w:shd w:val="clear" w:color="auto" w:fill="auto"/>
            <w:noWrap/>
            <w:vAlign w:val="center"/>
            <w:hideMark/>
          </w:tcPr>
          <w:p w14:paraId="03D63D8D" w14:textId="77777777" w:rsidR="00C24024" w:rsidRPr="00746E61" w:rsidRDefault="00C24024"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118</w:t>
            </w:r>
          </w:p>
        </w:tc>
        <w:tc>
          <w:tcPr>
            <w:tcW w:w="1796" w:type="dxa"/>
            <w:tcBorders>
              <w:top w:val="nil"/>
              <w:left w:val="nil"/>
              <w:bottom w:val="single" w:sz="4" w:space="0" w:color="auto"/>
              <w:right w:val="single" w:sz="4" w:space="0" w:color="auto"/>
            </w:tcBorders>
            <w:shd w:val="clear" w:color="auto" w:fill="auto"/>
            <w:vAlign w:val="center"/>
            <w:hideMark/>
          </w:tcPr>
          <w:p w14:paraId="4D03FDEC" w14:textId="77777777" w:rsidR="00C24024" w:rsidRPr="00746E61" w:rsidRDefault="00C24024"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35,63%</w:t>
            </w:r>
          </w:p>
        </w:tc>
        <w:tc>
          <w:tcPr>
            <w:tcW w:w="1796" w:type="dxa"/>
            <w:tcBorders>
              <w:top w:val="nil"/>
              <w:left w:val="nil"/>
              <w:bottom w:val="single" w:sz="4" w:space="0" w:color="auto"/>
              <w:right w:val="single" w:sz="4" w:space="0" w:color="auto"/>
            </w:tcBorders>
            <w:shd w:val="clear" w:color="auto" w:fill="auto"/>
            <w:vAlign w:val="center"/>
            <w:hideMark/>
          </w:tcPr>
          <w:p w14:paraId="2D312D50" w14:textId="77777777" w:rsidR="00C24024" w:rsidRPr="00746E61" w:rsidRDefault="00C24024"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-20,27%</w:t>
            </w:r>
          </w:p>
        </w:tc>
      </w:tr>
      <w:tr w:rsidR="00C24024" w:rsidRPr="00746E61" w14:paraId="2879913F" w14:textId="77777777" w:rsidTr="00C24024">
        <w:trPr>
          <w:trHeight w:val="231"/>
          <w:jc w:val="center"/>
        </w:trPr>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7DE2F8B3" w14:textId="77777777" w:rsidR="00C24024" w:rsidRPr="00746E61" w:rsidRDefault="00C24024"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de Flagrancia de Cartago</w:t>
            </w:r>
          </w:p>
        </w:tc>
        <w:tc>
          <w:tcPr>
            <w:tcW w:w="1276" w:type="dxa"/>
            <w:tcBorders>
              <w:top w:val="nil"/>
              <w:left w:val="nil"/>
              <w:bottom w:val="single" w:sz="4" w:space="0" w:color="auto"/>
              <w:right w:val="single" w:sz="4" w:space="0" w:color="auto"/>
            </w:tcBorders>
            <w:shd w:val="clear" w:color="auto" w:fill="auto"/>
            <w:noWrap/>
            <w:vAlign w:val="center"/>
            <w:hideMark/>
          </w:tcPr>
          <w:p w14:paraId="076BF8F2" w14:textId="77777777" w:rsidR="00C24024" w:rsidRPr="00746E61" w:rsidRDefault="00C24024"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75</w:t>
            </w:r>
          </w:p>
        </w:tc>
        <w:tc>
          <w:tcPr>
            <w:tcW w:w="1134" w:type="dxa"/>
            <w:tcBorders>
              <w:top w:val="nil"/>
              <w:left w:val="nil"/>
              <w:bottom w:val="single" w:sz="4" w:space="0" w:color="auto"/>
              <w:right w:val="single" w:sz="4" w:space="0" w:color="auto"/>
            </w:tcBorders>
            <w:shd w:val="clear" w:color="auto" w:fill="auto"/>
            <w:noWrap/>
            <w:vAlign w:val="center"/>
            <w:hideMark/>
          </w:tcPr>
          <w:p w14:paraId="543A1096" w14:textId="77777777" w:rsidR="00C24024" w:rsidRPr="00746E61" w:rsidRDefault="00C24024"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84</w:t>
            </w:r>
          </w:p>
        </w:tc>
        <w:tc>
          <w:tcPr>
            <w:tcW w:w="1165" w:type="dxa"/>
            <w:tcBorders>
              <w:top w:val="nil"/>
              <w:left w:val="nil"/>
              <w:bottom w:val="single" w:sz="4" w:space="0" w:color="auto"/>
              <w:right w:val="single" w:sz="4" w:space="0" w:color="auto"/>
            </w:tcBorders>
            <w:shd w:val="clear" w:color="auto" w:fill="auto"/>
            <w:noWrap/>
            <w:vAlign w:val="center"/>
            <w:hideMark/>
          </w:tcPr>
          <w:p w14:paraId="529B3EEE" w14:textId="77777777" w:rsidR="00C24024" w:rsidRPr="00746E61" w:rsidRDefault="00C24024"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91</w:t>
            </w:r>
          </w:p>
        </w:tc>
        <w:tc>
          <w:tcPr>
            <w:tcW w:w="1796" w:type="dxa"/>
            <w:tcBorders>
              <w:top w:val="nil"/>
              <w:left w:val="nil"/>
              <w:bottom w:val="single" w:sz="4" w:space="0" w:color="auto"/>
              <w:right w:val="single" w:sz="4" w:space="0" w:color="auto"/>
            </w:tcBorders>
            <w:shd w:val="clear" w:color="auto" w:fill="auto"/>
            <w:vAlign w:val="center"/>
            <w:hideMark/>
          </w:tcPr>
          <w:p w14:paraId="28CA14A4" w14:textId="77777777" w:rsidR="00C24024" w:rsidRPr="00746E61" w:rsidRDefault="00C24024"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21,33%</w:t>
            </w:r>
          </w:p>
        </w:tc>
        <w:tc>
          <w:tcPr>
            <w:tcW w:w="1796" w:type="dxa"/>
            <w:tcBorders>
              <w:top w:val="nil"/>
              <w:left w:val="nil"/>
              <w:bottom w:val="single" w:sz="4" w:space="0" w:color="auto"/>
              <w:right w:val="single" w:sz="4" w:space="0" w:color="auto"/>
            </w:tcBorders>
            <w:shd w:val="clear" w:color="auto" w:fill="auto"/>
            <w:vAlign w:val="center"/>
            <w:hideMark/>
          </w:tcPr>
          <w:p w14:paraId="6B86ABCC" w14:textId="77777777" w:rsidR="00C24024" w:rsidRPr="00746E61" w:rsidRDefault="00C24024"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8,33%</w:t>
            </w:r>
          </w:p>
        </w:tc>
      </w:tr>
      <w:tr w:rsidR="00C24024" w:rsidRPr="00746E61" w14:paraId="3541D689" w14:textId="77777777" w:rsidTr="00C24024">
        <w:trPr>
          <w:trHeight w:val="231"/>
          <w:jc w:val="center"/>
        </w:trPr>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5AC5D329" w14:textId="77777777" w:rsidR="00C24024" w:rsidRPr="00746E61" w:rsidRDefault="00C24024"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de Flagrancia de Goicochea</w:t>
            </w:r>
          </w:p>
        </w:tc>
        <w:tc>
          <w:tcPr>
            <w:tcW w:w="1276" w:type="dxa"/>
            <w:tcBorders>
              <w:top w:val="nil"/>
              <w:left w:val="nil"/>
              <w:bottom w:val="single" w:sz="4" w:space="0" w:color="auto"/>
              <w:right w:val="single" w:sz="4" w:space="0" w:color="auto"/>
            </w:tcBorders>
            <w:shd w:val="clear" w:color="auto" w:fill="auto"/>
            <w:noWrap/>
            <w:vAlign w:val="center"/>
            <w:hideMark/>
          </w:tcPr>
          <w:p w14:paraId="7242AB5A" w14:textId="77777777" w:rsidR="00C24024" w:rsidRPr="00746E61" w:rsidRDefault="00C24024"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72</w:t>
            </w:r>
          </w:p>
        </w:tc>
        <w:tc>
          <w:tcPr>
            <w:tcW w:w="1134" w:type="dxa"/>
            <w:tcBorders>
              <w:top w:val="nil"/>
              <w:left w:val="nil"/>
              <w:bottom w:val="single" w:sz="4" w:space="0" w:color="auto"/>
              <w:right w:val="single" w:sz="4" w:space="0" w:color="auto"/>
            </w:tcBorders>
            <w:shd w:val="clear" w:color="auto" w:fill="auto"/>
            <w:noWrap/>
            <w:vAlign w:val="center"/>
            <w:hideMark/>
          </w:tcPr>
          <w:p w14:paraId="02B48546" w14:textId="77777777" w:rsidR="00C24024" w:rsidRPr="00746E61" w:rsidRDefault="00C24024"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78</w:t>
            </w:r>
          </w:p>
        </w:tc>
        <w:tc>
          <w:tcPr>
            <w:tcW w:w="1165" w:type="dxa"/>
            <w:tcBorders>
              <w:top w:val="nil"/>
              <w:left w:val="nil"/>
              <w:bottom w:val="single" w:sz="4" w:space="0" w:color="auto"/>
              <w:right w:val="single" w:sz="4" w:space="0" w:color="auto"/>
            </w:tcBorders>
            <w:shd w:val="clear" w:color="auto" w:fill="auto"/>
            <w:noWrap/>
            <w:vAlign w:val="center"/>
            <w:hideMark/>
          </w:tcPr>
          <w:p w14:paraId="62697F5B" w14:textId="77777777" w:rsidR="00C24024" w:rsidRPr="00746E61" w:rsidRDefault="00C24024"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86</w:t>
            </w:r>
          </w:p>
        </w:tc>
        <w:tc>
          <w:tcPr>
            <w:tcW w:w="1796" w:type="dxa"/>
            <w:tcBorders>
              <w:top w:val="nil"/>
              <w:left w:val="nil"/>
              <w:bottom w:val="single" w:sz="4" w:space="0" w:color="auto"/>
              <w:right w:val="single" w:sz="4" w:space="0" w:color="auto"/>
            </w:tcBorders>
            <w:shd w:val="clear" w:color="auto" w:fill="auto"/>
            <w:vAlign w:val="center"/>
            <w:hideMark/>
          </w:tcPr>
          <w:p w14:paraId="0447B75B" w14:textId="77777777" w:rsidR="00C24024" w:rsidRPr="00746E61" w:rsidRDefault="00C24024"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19,44%</w:t>
            </w:r>
          </w:p>
        </w:tc>
        <w:tc>
          <w:tcPr>
            <w:tcW w:w="1796" w:type="dxa"/>
            <w:tcBorders>
              <w:top w:val="nil"/>
              <w:left w:val="nil"/>
              <w:bottom w:val="single" w:sz="4" w:space="0" w:color="auto"/>
              <w:right w:val="single" w:sz="4" w:space="0" w:color="auto"/>
            </w:tcBorders>
            <w:shd w:val="clear" w:color="auto" w:fill="auto"/>
            <w:vAlign w:val="center"/>
            <w:hideMark/>
          </w:tcPr>
          <w:p w14:paraId="4E51DAC0" w14:textId="77777777" w:rsidR="00C24024" w:rsidRPr="00746E61" w:rsidRDefault="00C24024"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10,26%</w:t>
            </w:r>
          </w:p>
        </w:tc>
      </w:tr>
      <w:tr w:rsidR="00C24024" w:rsidRPr="00746E61" w14:paraId="517076F5" w14:textId="77777777" w:rsidTr="00C24024">
        <w:trPr>
          <w:trHeight w:val="231"/>
          <w:jc w:val="center"/>
        </w:trPr>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39D016FE" w14:textId="77777777" w:rsidR="00C24024" w:rsidRPr="00746E61" w:rsidRDefault="00C24024"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de Flagrancia de Puntarenas</w:t>
            </w:r>
          </w:p>
        </w:tc>
        <w:tc>
          <w:tcPr>
            <w:tcW w:w="1276" w:type="dxa"/>
            <w:tcBorders>
              <w:top w:val="nil"/>
              <w:left w:val="nil"/>
              <w:bottom w:val="single" w:sz="4" w:space="0" w:color="auto"/>
              <w:right w:val="single" w:sz="4" w:space="0" w:color="auto"/>
            </w:tcBorders>
            <w:shd w:val="clear" w:color="auto" w:fill="auto"/>
            <w:noWrap/>
            <w:vAlign w:val="center"/>
            <w:hideMark/>
          </w:tcPr>
          <w:p w14:paraId="7F0EE436" w14:textId="77777777" w:rsidR="00C24024" w:rsidRPr="00746E61" w:rsidRDefault="00C24024"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37</w:t>
            </w:r>
          </w:p>
        </w:tc>
        <w:tc>
          <w:tcPr>
            <w:tcW w:w="1134" w:type="dxa"/>
            <w:tcBorders>
              <w:top w:val="nil"/>
              <w:left w:val="nil"/>
              <w:bottom w:val="single" w:sz="4" w:space="0" w:color="auto"/>
              <w:right w:val="single" w:sz="4" w:space="0" w:color="auto"/>
            </w:tcBorders>
            <w:shd w:val="clear" w:color="auto" w:fill="auto"/>
            <w:noWrap/>
            <w:vAlign w:val="center"/>
            <w:hideMark/>
          </w:tcPr>
          <w:p w14:paraId="7955F8EE" w14:textId="77777777" w:rsidR="00C24024" w:rsidRPr="00746E61" w:rsidRDefault="00C24024"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57</w:t>
            </w:r>
          </w:p>
        </w:tc>
        <w:tc>
          <w:tcPr>
            <w:tcW w:w="1165" w:type="dxa"/>
            <w:tcBorders>
              <w:top w:val="nil"/>
              <w:left w:val="nil"/>
              <w:bottom w:val="single" w:sz="4" w:space="0" w:color="auto"/>
              <w:right w:val="single" w:sz="4" w:space="0" w:color="auto"/>
            </w:tcBorders>
            <w:shd w:val="clear" w:color="auto" w:fill="auto"/>
            <w:noWrap/>
            <w:vAlign w:val="center"/>
            <w:hideMark/>
          </w:tcPr>
          <w:p w14:paraId="723BB27A" w14:textId="77777777" w:rsidR="00C24024" w:rsidRPr="00746E61" w:rsidRDefault="00C24024"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43</w:t>
            </w:r>
          </w:p>
        </w:tc>
        <w:tc>
          <w:tcPr>
            <w:tcW w:w="1796" w:type="dxa"/>
            <w:tcBorders>
              <w:top w:val="nil"/>
              <w:left w:val="nil"/>
              <w:bottom w:val="single" w:sz="4" w:space="0" w:color="auto"/>
              <w:right w:val="single" w:sz="4" w:space="0" w:color="auto"/>
            </w:tcBorders>
            <w:shd w:val="clear" w:color="auto" w:fill="auto"/>
            <w:vAlign w:val="center"/>
            <w:hideMark/>
          </w:tcPr>
          <w:p w14:paraId="773AE170" w14:textId="77777777" w:rsidR="00C24024" w:rsidRPr="00746E61" w:rsidRDefault="00C24024"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16,22%</w:t>
            </w:r>
          </w:p>
        </w:tc>
        <w:tc>
          <w:tcPr>
            <w:tcW w:w="1796" w:type="dxa"/>
            <w:tcBorders>
              <w:top w:val="nil"/>
              <w:left w:val="nil"/>
              <w:bottom w:val="single" w:sz="4" w:space="0" w:color="auto"/>
              <w:right w:val="single" w:sz="4" w:space="0" w:color="auto"/>
            </w:tcBorders>
            <w:shd w:val="clear" w:color="auto" w:fill="auto"/>
            <w:vAlign w:val="center"/>
            <w:hideMark/>
          </w:tcPr>
          <w:p w14:paraId="28E76DEA" w14:textId="77777777" w:rsidR="00C24024" w:rsidRPr="00746E61" w:rsidRDefault="00C24024"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-24,56%</w:t>
            </w:r>
          </w:p>
        </w:tc>
      </w:tr>
      <w:tr w:rsidR="00C24024" w:rsidRPr="00746E61" w14:paraId="6E193079" w14:textId="77777777" w:rsidTr="00C24024">
        <w:trPr>
          <w:trHeight w:val="231"/>
          <w:jc w:val="center"/>
        </w:trPr>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629083BF" w14:textId="77777777" w:rsidR="00C24024" w:rsidRPr="00746E61" w:rsidRDefault="00C24024"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de Flagrancia de San Ramón</w:t>
            </w:r>
          </w:p>
        </w:tc>
        <w:tc>
          <w:tcPr>
            <w:tcW w:w="1276" w:type="dxa"/>
            <w:tcBorders>
              <w:top w:val="nil"/>
              <w:left w:val="nil"/>
              <w:bottom w:val="single" w:sz="4" w:space="0" w:color="auto"/>
              <w:right w:val="single" w:sz="4" w:space="0" w:color="auto"/>
            </w:tcBorders>
            <w:shd w:val="clear" w:color="auto" w:fill="auto"/>
            <w:noWrap/>
            <w:vAlign w:val="center"/>
            <w:hideMark/>
          </w:tcPr>
          <w:p w14:paraId="5D1B220F" w14:textId="77777777" w:rsidR="00C24024" w:rsidRPr="00746E61" w:rsidRDefault="00C24024"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78</w:t>
            </w:r>
          </w:p>
        </w:tc>
        <w:tc>
          <w:tcPr>
            <w:tcW w:w="1134" w:type="dxa"/>
            <w:tcBorders>
              <w:top w:val="nil"/>
              <w:left w:val="nil"/>
              <w:bottom w:val="single" w:sz="4" w:space="0" w:color="auto"/>
              <w:right w:val="single" w:sz="4" w:space="0" w:color="auto"/>
            </w:tcBorders>
            <w:shd w:val="clear" w:color="auto" w:fill="auto"/>
            <w:noWrap/>
            <w:vAlign w:val="center"/>
            <w:hideMark/>
          </w:tcPr>
          <w:p w14:paraId="74F673F6" w14:textId="77777777" w:rsidR="00C24024" w:rsidRPr="00746E61" w:rsidRDefault="00C24024"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67</w:t>
            </w:r>
          </w:p>
        </w:tc>
        <w:tc>
          <w:tcPr>
            <w:tcW w:w="1165" w:type="dxa"/>
            <w:tcBorders>
              <w:top w:val="nil"/>
              <w:left w:val="nil"/>
              <w:bottom w:val="single" w:sz="4" w:space="0" w:color="auto"/>
              <w:right w:val="single" w:sz="4" w:space="0" w:color="auto"/>
            </w:tcBorders>
            <w:shd w:val="clear" w:color="auto" w:fill="auto"/>
            <w:noWrap/>
            <w:vAlign w:val="center"/>
            <w:hideMark/>
          </w:tcPr>
          <w:p w14:paraId="2DCB8E64" w14:textId="77777777" w:rsidR="00C24024" w:rsidRPr="00746E61" w:rsidRDefault="00C24024"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81</w:t>
            </w:r>
          </w:p>
        </w:tc>
        <w:tc>
          <w:tcPr>
            <w:tcW w:w="1796" w:type="dxa"/>
            <w:tcBorders>
              <w:top w:val="nil"/>
              <w:left w:val="nil"/>
              <w:bottom w:val="single" w:sz="4" w:space="0" w:color="auto"/>
              <w:right w:val="single" w:sz="4" w:space="0" w:color="auto"/>
            </w:tcBorders>
            <w:shd w:val="clear" w:color="auto" w:fill="auto"/>
            <w:vAlign w:val="center"/>
            <w:hideMark/>
          </w:tcPr>
          <w:p w14:paraId="75226D10" w14:textId="77777777" w:rsidR="00C24024" w:rsidRPr="00746E61" w:rsidRDefault="00C24024"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3,85%</w:t>
            </w:r>
          </w:p>
        </w:tc>
        <w:tc>
          <w:tcPr>
            <w:tcW w:w="1796" w:type="dxa"/>
            <w:tcBorders>
              <w:top w:val="nil"/>
              <w:left w:val="nil"/>
              <w:bottom w:val="single" w:sz="4" w:space="0" w:color="auto"/>
              <w:right w:val="single" w:sz="4" w:space="0" w:color="auto"/>
            </w:tcBorders>
            <w:shd w:val="clear" w:color="auto" w:fill="auto"/>
            <w:vAlign w:val="center"/>
            <w:hideMark/>
          </w:tcPr>
          <w:p w14:paraId="44BEFDBE" w14:textId="77777777" w:rsidR="00C24024" w:rsidRPr="00746E61" w:rsidRDefault="00C24024"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20,90%</w:t>
            </w:r>
          </w:p>
        </w:tc>
      </w:tr>
      <w:tr w:rsidR="00C24024" w:rsidRPr="00746E61" w14:paraId="6CBF8CED" w14:textId="77777777" w:rsidTr="00C24024">
        <w:trPr>
          <w:trHeight w:val="231"/>
          <w:jc w:val="center"/>
        </w:trPr>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5765729D" w14:textId="77777777" w:rsidR="00C24024" w:rsidRPr="00746E61" w:rsidRDefault="00C24024"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de Flagrancia de San José</w:t>
            </w:r>
          </w:p>
        </w:tc>
        <w:tc>
          <w:tcPr>
            <w:tcW w:w="1276" w:type="dxa"/>
            <w:tcBorders>
              <w:top w:val="nil"/>
              <w:left w:val="nil"/>
              <w:bottom w:val="single" w:sz="4" w:space="0" w:color="auto"/>
              <w:right w:val="single" w:sz="4" w:space="0" w:color="auto"/>
            </w:tcBorders>
            <w:shd w:val="clear" w:color="auto" w:fill="auto"/>
            <w:noWrap/>
            <w:vAlign w:val="center"/>
            <w:hideMark/>
          </w:tcPr>
          <w:p w14:paraId="69EAD729" w14:textId="77777777" w:rsidR="00C24024" w:rsidRPr="00746E61" w:rsidRDefault="00C24024"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135</w:t>
            </w:r>
          </w:p>
        </w:tc>
        <w:tc>
          <w:tcPr>
            <w:tcW w:w="1134" w:type="dxa"/>
            <w:tcBorders>
              <w:top w:val="nil"/>
              <w:left w:val="nil"/>
              <w:bottom w:val="single" w:sz="4" w:space="0" w:color="auto"/>
              <w:right w:val="single" w:sz="4" w:space="0" w:color="auto"/>
            </w:tcBorders>
            <w:shd w:val="clear" w:color="auto" w:fill="auto"/>
            <w:noWrap/>
            <w:vAlign w:val="center"/>
            <w:hideMark/>
          </w:tcPr>
          <w:p w14:paraId="714D2FD6" w14:textId="77777777" w:rsidR="00C24024" w:rsidRPr="00746E61" w:rsidRDefault="00C24024"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179</w:t>
            </w:r>
          </w:p>
        </w:tc>
        <w:tc>
          <w:tcPr>
            <w:tcW w:w="1165" w:type="dxa"/>
            <w:tcBorders>
              <w:top w:val="nil"/>
              <w:left w:val="nil"/>
              <w:bottom w:val="single" w:sz="4" w:space="0" w:color="auto"/>
              <w:right w:val="single" w:sz="4" w:space="0" w:color="auto"/>
            </w:tcBorders>
            <w:shd w:val="clear" w:color="auto" w:fill="auto"/>
            <w:noWrap/>
            <w:vAlign w:val="center"/>
            <w:hideMark/>
          </w:tcPr>
          <w:p w14:paraId="39310CD1" w14:textId="77777777" w:rsidR="00C24024" w:rsidRPr="00746E61" w:rsidRDefault="00C24024"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122</w:t>
            </w:r>
          </w:p>
        </w:tc>
        <w:tc>
          <w:tcPr>
            <w:tcW w:w="1796" w:type="dxa"/>
            <w:tcBorders>
              <w:top w:val="nil"/>
              <w:left w:val="nil"/>
              <w:bottom w:val="single" w:sz="4" w:space="0" w:color="auto"/>
              <w:right w:val="single" w:sz="4" w:space="0" w:color="auto"/>
            </w:tcBorders>
            <w:shd w:val="clear" w:color="auto" w:fill="auto"/>
            <w:vAlign w:val="center"/>
            <w:hideMark/>
          </w:tcPr>
          <w:p w14:paraId="29C5934E" w14:textId="77777777" w:rsidR="00C24024" w:rsidRPr="00746E61" w:rsidRDefault="00C24024"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-9,63%</w:t>
            </w:r>
          </w:p>
        </w:tc>
        <w:tc>
          <w:tcPr>
            <w:tcW w:w="1796" w:type="dxa"/>
            <w:tcBorders>
              <w:top w:val="nil"/>
              <w:left w:val="nil"/>
              <w:bottom w:val="single" w:sz="4" w:space="0" w:color="auto"/>
              <w:right w:val="single" w:sz="4" w:space="0" w:color="auto"/>
            </w:tcBorders>
            <w:shd w:val="clear" w:color="auto" w:fill="auto"/>
            <w:vAlign w:val="center"/>
            <w:hideMark/>
          </w:tcPr>
          <w:p w14:paraId="1BB0E7F6" w14:textId="77777777" w:rsidR="00C24024" w:rsidRPr="00746E61" w:rsidRDefault="00C24024"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-31,84%</w:t>
            </w:r>
          </w:p>
        </w:tc>
      </w:tr>
      <w:tr w:rsidR="00C24024" w:rsidRPr="00746E61" w14:paraId="523826CF" w14:textId="77777777" w:rsidTr="00C24024">
        <w:trPr>
          <w:trHeight w:val="231"/>
          <w:jc w:val="center"/>
        </w:trPr>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0B8E41A8" w14:textId="77777777" w:rsidR="00C24024" w:rsidRPr="00746E61" w:rsidRDefault="00C24024"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de Flagrancia de Pococí</w:t>
            </w:r>
          </w:p>
        </w:tc>
        <w:tc>
          <w:tcPr>
            <w:tcW w:w="1276" w:type="dxa"/>
            <w:tcBorders>
              <w:top w:val="nil"/>
              <w:left w:val="nil"/>
              <w:bottom w:val="single" w:sz="4" w:space="0" w:color="auto"/>
              <w:right w:val="single" w:sz="4" w:space="0" w:color="auto"/>
            </w:tcBorders>
            <w:shd w:val="clear" w:color="auto" w:fill="auto"/>
            <w:noWrap/>
            <w:vAlign w:val="center"/>
            <w:hideMark/>
          </w:tcPr>
          <w:p w14:paraId="6B7990B0" w14:textId="77777777" w:rsidR="00C24024" w:rsidRPr="00746E61" w:rsidRDefault="00C24024"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37</w:t>
            </w:r>
          </w:p>
        </w:tc>
        <w:tc>
          <w:tcPr>
            <w:tcW w:w="1134" w:type="dxa"/>
            <w:tcBorders>
              <w:top w:val="nil"/>
              <w:left w:val="nil"/>
              <w:bottom w:val="single" w:sz="4" w:space="0" w:color="auto"/>
              <w:right w:val="single" w:sz="4" w:space="0" w:color="auto"/>
            </w:tcBorders>
            <w:shd w:val="clear" w:color="auto" w:fill="auto"/>
            <w:noWrap/>
            <w:vAlign w:val="center"/>
            <w:hideMark/>
          </w:tcPr>
          <w:p w14:paraId="31B094CB" w14:textId="77777777" w:rsidR="00C24024" w:rsidRPr="00746E61" w:rsidRDefault="00C24024"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43</w:t>
            </w:r>
          </w:p>
        </w:tc>
        <w:tc>
          <w:tcPr>
            <w:tcW w:w="1165" w:type="dxa"/>
            <w:tcBorders>
              <w:top w:val="nil"/>
              <w:left w:val="nil"/>
              <w:bottom w:val="single" w:sz="4" w:space="0" w:color="auto"/>
              <w:right w:val="single" w:sz="4" w:space="0" w:color="auto"/>
            </w:tcBorders>
            <w:shd w:val="clear" w:color="auto" w:fill="auto"/>
            <w:noWrap/>
            <w:vAlign w:val="center"/>
            <w:hideMark/>
          </w:tcPr>
          <w:p w14:paraId="5E48F61A" w14:textId="77777777" w:rsidR="00C24024" w:rsidRPr="00746E61" w:rsidRDefault="00C24024"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32</w:t>
            </w:r>
          </w:p>
        </w:tc>
        <w:tc>
          <w:tcPr>
            <w:tcW w:w="1796" w:type="dxa"/>
            <w:tcBorders>
              <w:top w:val="nil"/>
              <w:left w:val="nil"/>
              <w:bottom w:val="single" w:sz="4" w:space="0" w:color="auto"/>
              <w:right w:val="single" w:sz="4" w:space="0" w:color="auto"/>
            </w:tcBorders>
            <w:shd w:val="clear" w:color="auto" w:fill="auto"/>
            <w:vAlign w:val="center"/>
            <w:hideMark/>
          </w:tcPr>
          <w:p w14:paraId="301632CA" w14:textId="77777777" w:rsidR="00C24024" w:rsidRPr="00746E61" w:rsidRDefault="00C24024"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-13,51%</w:t>
            </w:r>
          </w:p>
        </w:tc>
        <w:tc>
          <w:tcPr>
            <w:tcW w:w="1796" w:type="dxa"/>
            <w:tcBorders>
              <w:top w:val="nil"/>
              <w:left w:val="nil"/>
              <w:bottom w:val="single" w:sz="4" w:space="0" w:color="auto"/>
              <w:right w:val="single" w:sz="4" w:space="0" w:color="auto"/>
            </w:tcBorders>
            <w:shd w:val="clear" w:color="auto" w:fill="auto"/>
            <w:vAlign w:val="center"/>
            <w:hideMark/>
          </w:tcPr>
          <w:p w14:paraId="5EA74613" w14:textId="77777777" w:rsidR="00C24024" w:rsidRPr="00746E61" w:rsidRDefault="00C24024"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-25,58%</w:t>
            </w:r>
          </w:p>
        </w:tc>
      </w:tr>
      <w:tr w:rsidR="00C24024" w:rsidRPr="00746E61" w14:paraId="779B35C3" w14:textId="77777777" w:rsidTr="00C24024">
        <w:trPr>
          <w:trHeight w:val="231"/>
          <w:jc w:val="center"/>
        </w:trPr>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4F35C038" w14:textId="77777777" w:rsidR="00C24024" w:rsidRPr="00746E61" w:rsidRDefault="00C24024"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de Flagrancia de Heredia</w:t>
            </w:r>
          </w:p>
        </w:tc>
        <w:tc>
          <w:tcPr>
            <w:tcW w:w="1276" w:type="dxa"/>
            <w:tcBorders>
              <w:top w:val="nil"/>
              <w:left w:val="nil"/>
              <w:bottom w:val="single" w:sz="4" w:space="0" w:color="auto"/>
              <w:right w:val="single" w:sz="4" w:space="0" w:color="auto"/>
            </w:tcBorders>
            <w:shd w:val="clear" w:color="auto" w:fill="auto"/>
            <w:noWrap/>
            <w:vAlign w:val="center"/>
            <w:hideMark/>
          </w:tcPr>
          <w:p w14:paraId="5C1C0932" w14:textId="77777777" w:rsidR="00C24024" w:rsidRPr="00746E61" w:rsidRDefault="00C24024"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175</w:t>
            </w:r>
          </w:p>
        </w:tc>
        <w:tc>
          <w:tcPr>
            <w:tcW w:w="1134" w:type="dxa"/>
            <w:tcBorders>
              <w:top w:val="nil"/>
              <w:left w:val="nil"/>
              <w:bottom w:val="single" w:sz="4" w:space="0" w:color="auto"/>
              <w:right w:val="single" w:sz="4" w:space="0" w:color="auto"/>
            </w:tcBorders>
            <w:shd w:val="clear" w:color="auto" w:fill="auto"/>
            <w:noWrap/>
            <w:vAlign w:val="center"/>
            <w:hideMark/>
          </w:tcPr>
          <w:p w14:paraId="3A99AFBC" w14:textId="77777777" w:rsidR="00C24024" w:rsidRPr="00746E61" w:rsidRDefault="00C24024"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226</w:t>
            </w:r>
          </w:p>
        </w:tc>
        <w:tc>
          <w:tcPr>
            <w:tcW w:w="1165" w:type="dxa"/>
            <w:tcBorders>
              <w:top w:val="nil"/>
              <w:left w:val="nil"/>
              <w:bottom w:val="single" w:sz="4" w:space="0" w:color="auto"/>
              <w:right w:val="single" w:sz="4" w:space="0" w:color="auto"/>
            </w:tcBorders>
            <w:shd w:val="clear" w:color="auto" w:fill="auto"/>
            <w:noWrap/>
            <w:vAlign w:val="center"/>
            <w:hideMark/>
          </w:tcPr>
          <w:p w14:paraId="34F7A0B4" w14:textId="77777777" w:rsidR="00C24024" w:rsidRPr="00746E61" w:rsidRDefault="00C24024"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123</w:t>
            </w:r>
          </w:p>
        </w:tc>
        <w:tc>
          <w:tcPr>
            <w:tcW w:w="1796" w:type="dxa"/>
            <w:tcBorders>
              <w:top w:val="nil"/>
              <w:left w:val="nil"/>
              <w:bottom w:val="single" w:sz="4" w:space="0" w:color="auto"/>
              <w:right w:val="single" w:sz="4" w:space="0" w:color="auto"/>
            </w:tcBorders>
            <w:shd w:val="clear" w:color="auto" w:fill="auto"/>
            <w:vAlign w:val="center"/>
            <w:hideMark/>
          </w:tcPr>
          <w:p w14:paraId="1ADCF854" w14:textId="77777777" w:rsidR="00C24024" w:rsidRPr="00746E61" w:rsidRDefault="00C24024"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-29,71%</w:t>
            </w:r>
          </w:p>
        </w:tc>
        <w:tc>
          <w:tcPr>
            <w:tcW w:w="1796" w:type="dxa"/>
            <w:tcBorders>
              <w:top w:val="nil"/>
              <w:left w:val="nil"/>
              <w:bottom w:val="single" w:sz="4" w:space="0" w:color="auto"/>
              <w:right w:val="single" w:sz="4" w:space="0" w:color="auto"/>
            </w:tcBorders>
            <w:shd w:val="clear" w:color="auto" w:fill="auto"/>
            <w:vAlign w:val="center"/>
            <w:hideMark/>
          </w:tcPr>
          <w:p w14:paraId="2A2F6750" w14:textId="77777777" w:rsidR="00C24024" w:rsidRPr="00746E61" w:rsidRDefault="00C24024"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-45,58%</w:t>
            </w:r>
          </w:p>
        </w:tc>
      </w:tr>
      <w:tr w:rsidR="00C24024" w:rsidRPr="00746E61" w14:paraId="059770D1" w14:textId="77777777" w:rsidTr="00C24024">
        <w:trPr>
          <w:trHeight w:val="231"/>
          <w:jc w:val="center"/>
        </w:trPr>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186A618B" w14:textId="77777777" w:rsidR="00C24024" w:rsidRPr="00746E61" w:rsidRDefault="00C24024"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de Flagrancia de Pérez Zeledón</w:t>
            </w:r>
          </w:p>
        </w:tc>
        <w:tc>
          <w:tcPr>
            <w:tcW w:w="1276" w:type="dxa"/>
            <w:tcBorders>
              <w:top w:val="nil"/>
              <w:left w:val="nil"/>
              <w:bottom w:val="single" w:sz="4" w:space="0" w:color="auto"/>
              <w:right w:val="single" w:sz="4" w:space="0" w:color="auto"/>
            </w:tcBorders>
            <w:shd w:val="clear" w:color="auto" w:fill="auto"/>
            <w:noWrap/>
            <w:vAlign w:val="center"/>
            <w:hideMark/>
          </w:tcPr>
          <w:p w14:paraId="442CD3F5" w14:textId="77777777" w:rsidR="00C24024" w:rsidRPr="00746E61" w:rsidRDefault="00C24024"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47</w:t>
            </w:r>
          </w:p>
        </w:tc>
        <w:tc>
          <w:tcPr>
            <w:tcW w:w="1134" w:type="dxa"/>
            <w:tcBorders>
              <w:top w:val="nil"/>
              <w:left w:val="nil"/>
              <w:bottom w:val="single" w:sz="4" w:space="0" w:color="auto"/>
              <w:right w:val="single" w:sz="4" w:space="0" w:color="auto"/>
            </w:tcBorders>
            <w:shd w:val="clear" w:color="auto" w:fill="auto"/>
            <w:noWrap/>
            <w:vAlign w:val="center"/>
            <w:hideMark/>
          </w:tcPr>
          <w:p w14:paraId="06CC3C44" w14:textId="77777777" w:rsidR="00C24024" w:rsidRPr="00746E61" w:rsidRDefault="00C24024"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33</w:t>
            </w:r>
          </w:p>
        </w:tc>
        <w:tc>
          <w:tcPr>
            <w:tcW w:w="1165" w:type="dxa"/>
            <w:tcBorders>
              <w:top w:val="nil"/>
              <w:left w:val="nil"/>
              <w:bottom w:val="single" w:sz="4" w:space="0" w:color="auto"/>
              <w:right w:val="single" w:sz="4" w:space="0" w:color="auto"/>
            </w:tcBorders>
            <w:shd w:val="clear" w:color="auto" w:fill="auto"/>
            <w:noWrap/>
            <w:vAlign w:val="center"/>
            <w:hideMark/>
          </w:tcPr>
          <w:p w14:paraId="6430C382" w14:textId="77777777" w:rsidR="00C24024" w:rsidRPr="00746E61" w:rsidRDefault="00C24024"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26</w:t>
            </w:r>
          </w:p>
        </w:tc>
        <w:tc>
          <w:tcPr>
            <w:tcW w:w="1796" w:type="dxa"/>
            <w:tcBorders>
              <w:top w:val="nil"/>
              <w:left w:val="nil"/>
              <w:bottom w:val="single" w:sz="4" w:space="0" w:color="auto"/>
              <w:right w:val="single" w:sz="4" w:space="0" w:color="auto"/>
            </w:tcBorders>
            <w:shd w:val="clear" w:color="auto" w:fill="auto"/>
            <w:vAlign w:val="center"/>
            <w:hideMark/>
          </w:tcPr>
          <w:p w14:paraId="3DC94504" w14:textId="77777777" w:rsidR="00C24024" w:rsidRPr="00746E61" w:rsidRDefault="00C24024"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-44,68%</w:t>
            </w:r>
          </w:p>
        </w:tc>
        <w:tc>
          <w:tcPr>
            <w:tcW w:w="1796" w:type="dxa"/>
            <w:tcBorders>
              <w:top w:val="nil"/>
              <w:left w:val="nil"/>
              <w:bottom w:val="single" w:sz="4" w:space="0" w:color="auto"/>
              <w:right w:val="single" w:sz="4" w:space="0" w:color="auto"/>
            </w:tcBorders>
            <w:shd w:val="clear" w:color="auto" w:fill="auto"/>
            <w:vAlign w:val="center"/>
            <w:hideMark/>
          </w:tcPr>
          <w:p w14:paraId="6D698EC8" w14:textId="77777777" w:rsidR="00C24024" w:rsidRPr="00746E61" w:rsidRDefault="00C24024"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-21,21%</w:t>
            </w:r>
          </w:p>
        </w:tc>
      </w:tr>
      <w:tr w:rsidR="00C24024" w:rsidRPr="00746E61" w14:paraId="21106BC0" w14:textId="77777777" w:rsidTr="00CE7F39">
        <w:trPr>
          <w:trHeight w:val="231"/>
          <w:jc w:val="center"/>
        </w:trPr>
        <w:tc>
          <w:tcPr>
            <w:tcW w:w="3118"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DCFB39B" w14:textId="77777777" w:rsidR="00C24024" w:rsidRPr="00746E61" w:rsidRDefault="00C24024"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de Flagrancia de Santa Cruz</w:t>
            </w:r>
          </w:p>
        </w:tc>
        <w:tc>
          <w:tcPr>
            <w:tcW w:w="1276" w:type="dxa"/>
            <w:tcBorders>
              <w:top w:val="nil"/>
              <w:left w:val="nil"/>
              <w:bottom w:val="single" w:sz="4" w:space="0" w:color="auto"/>
              <w:right w:val="single" w:sz="4" w:space="0" w:color="auto"/>
            </w:tcBorders>
            <w:shd w:val="clear" w:color="auto" w:fill="F2F2F2" w:themeFill="background1" w:themeFillShade="F2"/>
            <w:noWrap/>
            <w:vAlign w:val="center"/>
            <w:hideMark/>
          </w:tcPr>
          <w:p w14:paraId="442A0532" w14:textId="77777777" w:rsidR="00C24024" w:rsidRPr="00746E61" w:rsidRDefault="00C24024"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151</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1B16185F" w14:textId="77777777" w:rsidR="00C24024" w:rsidRPr="00746E61" w:rsidRDefault="00C24024"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112</w:t>
            </w:r>
          </w:p>
        </w:tc>
        <w:tc>
          <w:tcPr>
            <w:tcW w:w="1165" w:type="dxa"/>
            <w:tcBorders>
              <w:top w:val="nil"/>
              <w:left w:val="nil"/>
              <w:bottom w:val="single" w:sz="4" w:space="0" w:color="auto"/>
              <w:right w:val="single" w:sz="4" w:space="0" w:color="auto"/>
            </w:tcBorders>
            <w:shd w:val="clear" w:color="auto" w:fill="F2F2F2" w:themeFill="background1" w:themeFillShade="F2"/>
            <w:noWrap/>
            <w:vAlign w:val="center"/>
            <w:hideMark/>
          </w:tcPr>
          <w:p w14:paraId="39B1B9BF" w14:textId="77777777" w:rsidR="00C24024" w:rsidRPr="00746E61" w:rsidRDefault="00C24024"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53</w:t>
            </w:r>
          </w:p>
        </w:tc>
        <w:tc>
          <w:tcPr>
            <w:tcW w:w="1796" w:type="dxa"/>
            <w:tcBorders>
              <w:top w:val="nil"/>
              <w:left w:val="nil"/>
              <w:bottom w:val="single" w:sz="4" w:space="0" w:color="auto"/>
              <w:right w:val="single" w:sz="4" w:space="0" w:color="auto"/>
            </w:tcBorders>
            <w:shd w:val="clear" w:color="auto" w:fill="F2F2F2" w:themeFill="background1" w:themeFillShade="F2"/>
            <w:vAlign w:val="center"/>
            <w:hideMark/>
          </w:tcPr>
          <w:p w14:paraId="722FA7EE" w14:textId="77777777" w:rsidR="00C24024" w:rsidRPr="00746E61" w:rsidRDefault="00C24024"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-64,90%</w:t>
            </w:r>
          </w:p>
        </w:tc>
        <w:tc>
          <w:tcPr>
            <w:tcW w:w="1796" w:type="dxa"/>
            <w:tcBorders>
              <w:top w:val="nil"/>
              <w:left w:val="nil"/>
              <w:bottom w:val="single" w:sz="4" w:space="0" w:color="auto"/>
              <w:right w:val="single" w:sz="4" w:space="0" w:color="auto"/>
            </w:tcBorders>
            <w:shd w:val="clear" w:color="auto" w:fill="F2F2F2" w:themeFill="background1" w:themeFillShade="F2"/>
            <w:vAlign w:val="center"/>
            <w:hideMark/>
          </w:tcPr>
          <w:p w14:paraId="294A439B" w14:textId="77777777" w:rsidR="00C24024" w:rsidRPr="00746E61" w:rsidRDefault="00C24024"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-52,68%</w:t>
            </w:r>
          </w:p>
        </w:tc>
      </w:tr>
      <w:tr w:rsidR="00C24024" w:rsidRPr="00746E61" w14:paraId="264C7114" w14:textId="77777777" w:rsidTr="00C24024">
        <w:trPr>
          <w:trHeight w:val="231"/>
          <w:jc w:val="center"/>
        </w:trPr>
        <w:tc>
          <w:tcPr>
            <w:tcW w:w="3118" w:type="dxa"/>
            <w:tcBorders>
              <w:top w:val="nil"/>
              <w:left w:val="single" w:sz="4" w:space="0" w:color="auto"/>
              <w:bottom w:val="single" w:sz="4" w:space="0" w:color="auto"/>
              <w:right w:val="single" w:sz="4" w:space="0" w:color="auto"/>
            </w:tcBorders>
            <w:shd w:val="clear" w:color="auto" w:fill="auto"/>
            <w:vAlign w:val="center"/>
            <w:hideMark/>
          </w:tcPr>
          <w:p w14:paraId="0E026172" w14:textId="77777777" w:rsidR="00C24024" w:rsidRPr="00746E61" w:rsidRDefault="00C24024" w:rsidP="00746E61">
            <w:pPr>
              <w:spacing w:line="276" w:lineRule="auto"/>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Total</w:t>
            </w:r>
          </w:p>
        </w:tc>
        <w:tc>
          <w:tcPr>
            <w:tcW w:w="1276" w:type="dxa"/>
            <w:tcBorders>
              <w:top w:val="nil"/>
              <w:left w:val="nil"/>
              <w:bottom w:val="single" w:sz="4" w:space="0" w:color="auto"/>
              <w:right w:val="single" w:sz="4" w:space="0" w:color="auto"/>
            </w:tcBorders>
            <w:shd w:val="clear" w:color="auto" w:fill="auto"/>
            <w:vAlign w:val="center"/>
            <w:hideMark/>
          </w:tcPr>
          <w:p w14:paraId="0C610AD7" w14:textId="77777777" w:rsidR="00C24024" w:rsidRPr="00746E61" w:rsidRDefault="00C24024"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1547</w:t>
            </w:r>
          </w:p>
        </w:tc>
        <w:tc>
          <w:tcPr>
            <w:tcW w:w="1134" w:type="dxa"/>
            <w:tcBorders>
              <w:top w:val="nil"/>
              <w:left w:val="nil"/>
              <w:bottom w:val="single" w:sz="4" w:space="0" w:color="auto"/>
              <w:right w:val="single" w:sz="4" w:space="0" w:color="auto"/>
            </w:tcBorders>
            <w:shd w:val="clear" w:color="auto" w:fill="auto"/>
            <w:vAlign w:val="center"/>
            <w:hideMark/>
          </w:tcPr>
          <w:p w14:paraId="01E984F8" w14:textId="77777777" w:rsidR="00C24024" w:rsidRPr="00746E61" w:rsidRDefault="00C24024"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2061</w:t>
            </w:r>
          </w:p>
        </w:tc>
        <w:tc>
          <w:tcPr>
            <w:tcW w:w="1165" w:type="dxa"/>
            <w:tcBorders>
              <w:top w:val="nil"/>
              <w:left w:val="nil"/>
              <w:bottom w:val="single" w:sz="4" w:space="0" w:color="auto"/>
              <w:right w:val="single" w:sz="4" w:space="0" w:color="auto"/>
            </w:tcBorders>
            <w:shd w:val="clear" w:color="auto" w:fill="auto"/>
            <w:vAlign w:val="center"/>
            <w:hideMark/>
          </w:tcPr>
          <w:p w14:paraId="769ECDAC" w14:textId="77777777" w:rsidR="00C24024" w:rsidRPr="00746E61" w:rsidRDefault="00C24024"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1869</w:t>
            </w:r>
          </w:p>
        </w:tc>
        <w:tc>
          <w:tcPr>
            <w:tcW w:w="1796" w:type="dxa"/>
            <w:tcBorders>
              <w:top w:val="nil"/>
              <w:left w:val="nil"/>
              <w:bottom w:val="single" w:sz="4" w:space="0" w:color="auto"/>
              <w:right w:val="single" w:sz="4" w:space="0" w:color="auto"/>
            </w:tcBorders>
            <w:shd w:val="clear" w:color="auto" w:fill="auto"/>
            <w:vAlign w:val="center"/>
            <w:hideMark/>
          </w:tcPr>
          <w:p w14:paraId="45452670" w14:textId="77777777" w:rsidR="00C24024" w:rsidRPr="00746E61" w:rsidRDefault="00C24024"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20,81%</w:t>
            </w:r>
          </w:p>
        </w:tc>
        <w:tc>
          <w:tcPr>
            <w:tcW w:w="1796" w:type="dxa"/>
            <w:tcBorders>
              <w:top w:val="nil"/>
              <w:left w:val="nil"/>
              <w:bottom w:val="single" w:sz="4" w:space="0" w:color="auto"/>
              <w:right w:val="single" w:sz="4" w:space="0" w:color="auto"/>
            </w:tcBorders>
            <w:shd w:val="clear" w:color="auto" w:fill="auto"/>
            <w:vAlign w:val="center"/>
            <w:hideMark/>
          </w:tcPr>
          <w:p w14:paraId="08E07746" w14:textId="77777777" w:rsidR="00C24024" w:rsidRPr="00746E61" w:rsidRDefault="00C24024"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-9,32%</w:t>
            </w:r>
          </w:p>
        </w:tc>
      </w:tr>
    </w:tbl>
    <w:p w14:paraId="7EC22891" w14:textId="4A3072F8" w:rsidR="00E61A77" w:rsidRPr="00746E61" w:rsidRDefault="0059268A" w:rsidP="00746E61">
      <w:pPr>
        <w:spacing w:line="276" w:lineRule="auto"/>
        <w:jc w:val="center"/>
        <w:rPr>
          <w:rFonts w:ascii="Book Antiqua" w:hAnsi="Book Antiqua" w:cs="Calibri"/>
          <w:color w:val="000000"/>
          <w:sz w:val="20"/>
          <w:szCs w:val="20"/>
          <w:lang w:eastAsia="es-CR"/>
        </w:rPr>
      </w:pPr>
      <w:r w:rsidRPr="00746E61">
        <w:rPr>
          <w:rFonts w:ascii="Book Antiqua" w:hAnsi="Book Antiqua" w:cs="Calibri"/>
          <w:b/>
          <w:bCs/>
          <w:color w:val="000000"/>
          <w:sz w:val="20"/>
          <w:szCs w:val="20"/>
          <w:lang w:eastAsia="es-CR"/>
        </w:rPr>
        <w:t>Fuente:</w:t>
      </w:r>
      <w:r w:rsidRPr="00746E61">
        <w:rPr>
          <w:rFonts w:ascii="Book Antiqua" w:hAnsi="Book Antiqua" w:cs="Calibri"/>
          <w:color w:val="000000"/>
          <w:sz w:val="20"/>
          <w:szCs w:val="20"/>
          <w:lang w:eastAsia="es-CR"/>
        </w:rPr>
        <w:t xml:space="preserve"> Elaboración propia a partir de las estadísticas del Subproceso de Estadística</w:t>
      </w:r>
    </w:p>
    <w:p w14:paraId="6954CB56" w14:textId="612DBC0D" w:rsidR="00E61A77" w:rsidRPr="00746E61" w:rsidRDefault="00E61A77" w:rsidP="00746E61">
      <w:pPr>
        <w:spacing w:line="276" w:lineRule="auto"/>
        <w:jc w:val="center"/>
        <w:rPr>
          <w:rFonts w:ascii="Book Antiqua" w:hAnsi="Book Antiqua"/>
          <w:lang w:val="es-ES_tradnl" w:eastAsia="en-US"/>
        </w:rPr>
      </w:pPr>
    </w:p>
    <w:p w14:paraId="792E1F13" w14:textId="4F085B6A" w:rsidR="00E40C1C" w:rsidRPr="00746E61" w:rsidRDefault="00E40C1C" w:rsidP="00746E61">
      <w:pPr>
        <w:spacing w:line="276" w:lineRule="auto"/>
        <w:jc w:val="both"/>
        <w:rPr>
          <w:rFonts w:ascii="Book Antiqua" w:hAnsi="Book Antiqua" w:cs="Arial"/>
        </w:rPr>
      </w:pPr>
      <w:r w:rsidRPr="00746E61">
        <w:rPr>
          <w:rFonts w:ascii="Book Antiqua" w:hAnsi="Book Antiqua" w:cs="Arial"/>
        </w:rPr>
        <w:t>De la comparación entre 2019 v</w:t>
      </w:r>
      <w:r w:rsidR="00521BCD" w:rsidRPr="00746E61">
        <w:rPr>
          <w:rFonts w:ascii="Book Antiqua" w:hAnsi="Book Antiqua" w:cs="Arial"/>
        </w:rPr>
        <w:t>ersus</w:t>
      </w:r>
      <w:r w:rsidRPr="00746E61">
        <w:rPr>
          <w:rFonts w:ascii="Book Antiqua" w:hAnsi="Book Antiqua" w:cs="Arial"/>
        </w:rPr>
        <w:t xml:space="preserve"> 2021 se logra evidenciar un aumento en la cantidad del circulante en trámite del </w:t>
      </w:r>
      <w:r w:rsidR="00CE7F39" w:rsidRPr="00746E61">
        <w:rPr>
          <w:rFonts w:ascii="Book Antiqua" w:hAnsi="Book Antiqua" w:cs="Arial"/>
        </w:rPr>
        <w:t>20</w:t>
      </w:r>
      <w:r w:rsidR="00521BCD" w:rsidRPr="00746E61">
        <w:rPr>
          <w:rFonts w:ascii="Book Antiqua" w:hAnsi="Book Antiqua" w:cs="Arial"/>
        </w:rPr>
        <w:t>.</w:t>
      </w:r>
      <w:r w:rsidR="00CE7F39" w:rsidRPr="00746E61">
        <w:rPr>
          <w:rFonts w:ascii="Book Antiqua" w:hAnsi="Book Antiqua" w:cs="Arial"/>
        </w:rPr>
        <w:t>81</w:t>
      </w:r>
      <w:r w:rsidRPr="00746E61">
        <w:rPr>
          <w:rFonts w:ascii="Book Antiqua" w:hAnsi="Book Antiqua" w:cs="Arial"/>
        </w:rPr>
        <w:t xml:space="preserve">%, al respecto se tiene que, 9 de los 14 despachos mostraron un crecimiento de su circulante en trámite, siendo el Tribunal de Flagrancia de Alajuela quién aumento en mayor proporción dicho circulante con un </w:t>
      </w:r>
      <w:r w:rsidR="00CE7F39" w:rsidRPr="00746E61">
        <w:rPr>
          <w:rFonts w:ascii="Book Antiqua" w:hAnsi="Book Antiqua" w:cs="Arial"/>
        </w:rPr>
        <w:t>957</w:t>
      </w:r>
      <w:r w:rsidR="00521BCD" w:rsidRPr="00746E61">
        <w:rPr>
          <w:rFonts w:ascii="Book Antiqua" w:hAnsi="Book Antiqua" w:cs="Arial"/>
        </w:rPr>
        <w:t>.</w:t>
      </w:r>
      <w:r w:rsidR="00CE7F39" w:rsidRPr="00746E61">
        <w:rPr>
          <w:rFonts w:ascii="Book Antiqua" w:hAnsi="Book Antiqua" w:cs="Arial"/>
        </w:rPr>
        <w:t>14</w:t>
      </w:r>
      <w:r w:rsidRPr="00746E61">
        <w:rPr>
          <w:rFonts w:ascii="Book Antiqua" w:hAnsi="Book Antiqua" w:cs="Arial"/>
        </w:rPr>
        <w:t xml:space="preserve">%, caso contrario al Tribunal de Flagrancia de </w:t>
      </w:r>
      <w:r w:rsidR="00CE7F39" w:rsidRPr="00746E61">
        <w:rPr>
          <w:rFonts w:ascii="Book Antiqua" w:hAnsi="Book Antiqua" w:cs="Arial"/>
        </w:rPr>
        <w:t xml:space="preserve">Santa Cruz </w:t>
      </w:r>
      <w:r w:rsidRPr="00746E61">
        <w:rPr>
          <w:rFonts w:ascii="Book Antiqua" w:hAnsi="Book Antiqua" w:cs="Arial"/>
        </w:rPr>
        <w:t xml:space="preserve">quien de conformidad con la dinámica de trabajo presentada durante ese periodo disminuyó su circulante en </w:t>
      </w:r>
      <w:r w:rsidR="00B20B07" w:rsidRPr="00746E61">
        <w:rPr>
          <w:rFonts w:ascii="Book Antiqua" w:hAnsi="Book Antiqua" w:cs="Arial"/>
        </w:rPr>
        <w:t xml:space="preserve">un </w:t>
      </w:r>
      <w:r w:rsidR="00521BCD" w:rsidRPr="00746E61">
        <w:rPr>
          <w:rFonts w:ascii="Book Antiqua" w:hAnsi="Book Antiqua" w:cs="Arial"/>
        </w:rPr>
        <w:t>6</w:t>
      </w:r>
      <w:r w:rsidR="00B20B07" w:rsidRPr="00746E61">
        <w:rPr>
          <w:rFonts w:ascii="Book Antiqua" w:hAnsi="Book Antiqua" w:cs="Arial"/>
        </w:rPr>
        <w:t>4</w:t>
      </w:r>
      <w:r w:rsidR="00521BCD" w:rsidRPr="00746E61">
        <w:rPr>
          <w:rFonts w:ascii="Book Antiqua" w:hAnsi="Book Antiqua" w:cs="Arial"/>
        </w:rPr>
        <w:t>.</w:t>
      </w:r>
      <w:r w:rsidR="00B20B07" w:rsidRPr="00746E61">
        <w:rPr>
          <w:rFonts w:ascii="Book Antiqua" w:hAnsi="Book Antiqua" w:cs="Arial"/>
        </w:rPr>
        <w:t>90</w:t>
      </w:r>
      <w:r w:rsidRPr="00746E61">
        <w:rPr>
          <w:rFonts w:ascii="Book Antiqua" w:hAnsi="Book Antiqua" w:cs="Arial"/>
        </w:rPr>
        <w:t xml:space="preserve">%. </w:t>
      </w:r>
    </w:p>
    <w:p w14:paraId="796B01CD" w14:textId="77777777" w:rsidR="00E40C1C" w:rsidRPr="00746E61" w:rsidRDefault="00E40C1C" w:rsidP="00746E61">
      <w:pPr>
        <w:spacing w:line="276" w:lineRule="auto"/>
        <w:jc w:val="both"/>
        <w:rPr>
          <w:rFonts w:ascii="Book Antiqua" w:hAnsi="Book Antiqua" w:cs="Arial"/>
        </w:rPr>
      </w:pPr>
    </w:p>
    <w:p w14:paraId="193116E0" w14:textId="2BBCE618" w:rsidR="00E40C1C" w:rsidRPr="00746E61" w:rsidRDefault="00E40C1C" w:rsidP="00746E61">
      <w:pPr>
        <w:spacing w:line="276" w:lineRule="auto"/>
        <w:jc w:val="both"/>
        <w:rPr>
          <w:rFonts w:ascii="Book Antiqua" w:hAnsi="Book Antiqua" w:cs="Arial"/>
        </w:rPr>
      </w:pPr>
      <w:r w:rsidRPr="00746E61">
        <w:rPr>
          <w:rFonts w:ascii="Book Antiqua" w:hAnsi="Book Antiqua" w:cs="Arial"/>
        </w:rPr>
        <w:t xml:space="preserve">En relación con la comparación del 2020 </w:t>
      </w:r>
      <w:r w:rsidR="00521BCD" w:rsidRPr="00746E61">
        <w:rPr>
          <w:rFonts w:ascii="Book Antiqua" w:hAnsi="Book Antiqua" w:cs="Arial"/>
        </w:rPr>
        <w:t>versus</w:t>
      </w:r>
      <w:r w:rsidRPr="00746E61">
        <w:rPr>
          <w:rFonts w:ascii="Book Antiqua" w:hAnsi="Book Antiqua" w:cs="Arial"/>
        </w:rPr>
        <w:t xml:space="preserve"> 2021, se observa un decrecimiento general del circulante del </w:t>
      </w:r>
      <w:r w:rsidR="00B20B07" w:rsidRPr="00746E61">
        <w:rPr>
          <w:rFonts w:ascii="Book Antiqua" w:hAnsi="Book Antiqua" w:cs="Arial"/>
        </w:rPr>
        <w:t>9.32</w:t>
      </w:r>
      <w:r w:rsidR="00521BCD" w:rsidRPr="00746E61">
        <w:rPr>
          <w:rFonts w:ascii="Book Antiqua" w:hAnsi="Book Antiqua" w:cs="Arial"/>
        </w:rPr>
        <w:t>.</w:t>
      </w:r>
      <w:r w:rsidRPr="00746E61">
        <w:rPr>
          <w:rFonts w:ascii="Book Antiqua" w:hAnsi="Book Antiqua" w:cs="Arial"/>
        </w:rPr>
        <w:t xml:space="preserve">62%, donde </w:t>
      </w:r>
      <w:r w:rsidR="00B20B07" w:rsidRPr="00746E61">
        <w:rPr>
          <w:rFonts w:ascii="Book Antiqua" w:hAnsi="Book Antiqua" w:cs="Arial"/>
        </w:rPr>
        <w:t>9</w:t>
      </w:r>
      <w:r w:rsidRPr="00746E61">
        <w:rPr>
          <w:rFonts w:ascii="Book Antiqua" w:hAnsi="Book Antiqua" w:cs="Arial"/>
        </w:rPr>
        <w:t xml:space="preserve"> de los 14 despachos lograron disminuir su circulante, siendo el Tribunal de Flagrancia de </w:t>
      </w:r>
      <w:r w:rsidR="00B20B07" w:rsidRPr="00746E61">
        <w:rPr>
          <w:rFonts w:ascii="Book Antiqua" w:hAnsi="Book Antiqua" w:cs="Arial"/>
        </w:rPr>
        <w:t>Santa Cruz</w:t>
      </w:r>
      <w:r w:rsidRPr="00746E61">
        <w:rPr>
          <w:rFonts w:ascii="Book Antiqua" w:hAnsi="Book Antiqua" w:cs="Arial"/>
        </w:rPr>
        <w:t xml:space="preserve"> quién en mayor proporción disminuyó su circulante. </w:t>
      </w:r>
    </w:p>
    <w:p w14:paraId="32942A78" w14:textId="77777777" w:rsidR="00E40C1C" w:rsidRPr="00746E61" w:rsidRDefault="00E40C1C" w:rsidP="00746E61">
      <w:pPr>
        <w:spacing w:line="276" w:lineRule="auto"/>
        <w:jc w:val="center"/>
        <w:rPr>
          <w:rFonts w:ascii="Book Antiqua" w:hAnsi="Book Antiqua"/>
          <w:lang w:val="es-ES_tradnl" w:eastAsia="en-US"/>
        </w:rPr>
      </w:pPr>
    </w:p>
    <w:p w14:paraId="470AD966" w14:textId="77777777" w:rsidR="0001329C" w:rsidRPr="00746E61" w:rsidRDefault="0001329C" w:rsidP="00746E61">
      <w:pPr>
        <w:spacing w:line="276" w:lineRule="auto"/>
        <w:rPr>
          <w:rFonts w:ascii="Book Antiqua" w:hAnsi="Book Antiqua"/>
          <w:lang w:val="es-ES_tradnl" w:eastAsia="en-US"/>
        </w:rPr>
      </w:pPr>
    </w:p>
    <w:p w14:paraId="1AF95691" w14:textId="4EA54402" w:rsidR="0001329C" w:rsidRPr="00746E61" w:rsidRDefault="0FDA3B3B" w:rsidP="57A79FF7">
      <w:pPr>
        <w:tabs>
          <w:tab w:val="left" w:pos="426"/>
        </w:tabs>
        <w:spacing w:line="276" w:lineRule="auto"/>
        <w:jc w:val="both"/>
        <w:outlineLvl w:val="1"/>
        <w:rPr>
          <w:b/>
          <w:color w:val="000000" w:themeColor="text1"/>
          <w:lang w:eastAsia="es-CR"/>
        </w:rPr>
      </w:pPr>
      <w:r w:rsidRPr="57A79FF7">
        <w:rPr>
          <w:rFonts w:ascii="Book Antiqua" w:hAnsi="Book Antiqua"/>
          <w:b/>
          <w:bCs/>
          <w:color w:val="000000" w:themeColor="text1"/>
        </w:rPr>
        <w:t xml:space="preserve">3.4 </w:t>
      </w:r>
      <w:r w:rsidR="0001329C" w:rsidRPr="00746E61">
        <w:rPr>
          <w:rFonts w:ascii="Book Antiqua" w:hAnsi="Book Antiqua"/>
          <w:b/>
          <w:bCs/>
          <w:color w:val="000000" w:themeColor="text1"/>
        </w:rPr>
        <w:t>Juzgados de Ejecución de la Pena</w:t>
      </w:r>
    </w:p>
    <w:p w14:paraId="6A7ABD28" w14:textId="77777777" w:rsidR="0001329C" w:rsidRPr="00746E61" w:rsidRDefault="0001329C" w:rsidP="00746E61">
      <w:pPr>
        <w:spacing w:line="276" w:lineRule="auto"/>
        <w:rPr>
          <w:rFonts w:ascii="Book Antiqua" w:hAnsi="Book Antiqua"/>
          <w:b/>
          <w:bCs/>
          <w:lang w:val="es-ES_tradnl" w:eastAsia="en-US"/>
        </w:rPr>
      </w:pPr>
    </w:p>
    <w:p w14:paraId="01B7A87D" w14:textId="7B8D0F22" w:rsidR="0001329C" w:rsidRPr="00746E61" w:rsidRDefault="6259F64A" w:rsidP="57A79FF7">
      <w:pPr>
        <w:spacing w:line="276" w:lineRule="auto"/>
        <w:outlineLvl w:val="2"/>
        <w:rPr>
          <w:b/>
          <w:lang w:val="es-ES" w:eastAsia="en-US"/>
        </w:rPr>
      </w:pPr>
      <w:r w:rsidRPr="57A79FF7">
        <w:rPr>
          <w:rFonts w:ascii="Book Antiqua" w:hAnsi="Book Antiqua"/>
          <w:b/>
          <w:bCs/>
          <w:lang w:val="es-ES" w:eastAsia="en-US"/>
        </w:rPr>
        <w:t xml:space="preserve">3.4.1 </w:t>
      </w:r>
      <w:r w:rsidR="0001329C" w:rsidRPr="57A79FF7">
        <w:rPr>
          <w:rFonts w:ascii="Book Antiqua" w:hAnsi="Book Antiqua"/>
          <w:b/>
          <w:lang w:val="es-ES" w:eastAsia="en-US"/>
        </w:rPr>
        <w:t>Asuntos nuevos</w:t>
      </w:r>
    </w:p>
    <w:p w14:paraId="4716DA1F" w14:textId="01CDA9A1" w:rsidR="00FD1844" w:rsidRPr="00746E61" w:rsidRDefault="00FD1844" w:rsidP="00746E61">
      <w:pPr>
        <w:spacing w:line="276" w:lineRule="auto"/>
        <w:jc w:val="center"/>
        <w:rPr>
          <w:rFonts w:ascii="Book Antiqua" w:hAnsi="Book Antiqua"/>
          <w:lang w:val="es-ES_tradnl" w:eastAsia="en-US"/>
        </w:rPr>
      </w:pPr>
    </w:p>
    <w:p w14:paraId="47AA5C03" w14:textId="4E59D393" w:rsidR="0001329C" w:rsidRPr="00746E61" w:rsidRDefault="008D3668" w:rsidP="00746E61">
      <w:pPr>
        <w:spacing w:line="276" w:lineRule="auto"/>
        <w:jc w:val="both"/>
        <w:rPr>
          <w:rFonts w:ascii="Book Antiqua" w:hAnsi="Book Antiqua" w:cs="Arial"/>
        </w:rPr>
      </w:pPr>
      <w:bookmarkStart w:id="12" w:name="_Hlk87893088"/>
      <w:r w:rsidRPr="00746E61">
        <w:rPr>
          <w:rFonts w:ascii="Book Antiqua" w:hAnsi="Book Antiqua" w:cs="Arial"/>
        </w:rPr>
        <w:t xml:space="preserve">El promedio de entrada mensual de asuntos de nueva data de enero a </w:t>
      </w:r>
      <w:r w:rsidR="00B20B07" w:rsidRPr="00746E61">
        <w:rPr>
          <w:rFonts w:ascii="Book Antiqua" w:hAnsi="Book Antiqua" w:cs="Arial"/>
        </w:rPr>
        <w:t>setiembre</w:t>
      </w:r>
      <w:r w:rsidRPr="00746E61">
        <w:rPr>
          <w:rFonts w:ascii="Book Antiqua" w:hAnsi="Book Antiqua" w:cs="Arial"/>
        </w:rPr>
        <w:t xml:space="preserve"> de 2021 fue de 1</w:t>
      </w:r>
      <w:r w:rsidR="00B20B07" w:rsidRPr="00746E61">
        <w:rPr>
          <w:rFonts w:ascii="Book Antiqua" w:hAnsi="Book Antiqua" w:cs="Arial"/>
        </w:rPr>
        <w:t xml:space="preserve">476 </w:t>
      </w:r>
      <w:r w:rsidRPr="00746E61">
        <w:rPr>
          <w:rFonts w:ascii="Book Antiqua" w:hAnsi="Book Antiqua" w:cs="Arial"/>
        </w:rPr>
        <w:t xml:space="preserve">casos, lo que, representa, un incremento relevante, en relación con los dos periodos de comparación; siendo </w:t>
      </w:r>
      <w:r w:rsidR="00F963C2" w:rsidRPr="00746E61">
        <w:rPr>
          <w:rFonts w:ascii="Book Antiqua" w:hAnsi="Book Antiqua" w:cs="Arial"/>
        </w:rPr>
        <w:t xml:space="preserve">tasas de </w:t>
      </w:r>
      <w:r w:rsidRPr="00746E61">
        <w:rPr>
          <w:rFonts w:ascii="Book Antiqua" w:hAnsi="Book Antiqua" w:cs="Arial"/>
        </w:rPr>
        <w:t xml:space="preserve">un </w:t>
      </w:r>
      <w:r w:rsidR="00C74B3F" w:rsidRPr="00746E61">
        <w:rPr>
          <w:rFonts w:ascii="Book Antiqua" w:hAnsi="Book Antiqua" w:cs="Arial"/>
        </w:rPr>
        <w:t>19</w:t>
      </w:r>
      <w:r w:rsidRPr="00746E61">
        <w:rPr>
          <w:rFonts w:ascii="Book Antiqua" w:hAnsi="Book Antiqua" w:cs="Arial"/>
        </w:rPr>
        <w:t>.</w:t>
      </w:r>
      <w:r w:rsidR="00C74B3F" w:rsidRPr="00746E61">
        <w:rPr>
          <w:rFonts w:ascii="Book Antiqua" w:hAnsi="Book Antiqua" w:cs="Arial"/>
        </w:rPr>
        <w:t>61</w:t>
      </w:r>
      <w:r w:rsidRPr="00746E61">
        <w:rPr>
          <w:rFonts w:ascii="Book Antiqua" w:hAnsi="Book Antiqua" w:cs="Arial"/>
        </w:rPr>
        <w:t>% (</w:t>
      </w:r>
      <w:r w:rsidR="00C74B3F" w:rsidRPr="00746E61">
        <w:rPr>
          <w:rFonts w:ascii="Book Antiqua" w:hAnsi="Book Antiqua" w:cs="Arial"/>
        </w:rPr>
        <w:t>aumento mensual de 242 asuntos</w:t>
      </w:r>
      <w:r w:rsidRPr="00746E61">
        <w:rPr>
          <w:rFonts w:ascii="Book Antiqua" w:hAnsi="Book Antiqua" w:cs="Arial"/>
        </w:rPr>
        <w:t>) en relación con el año 2019 y un 1</w:t>
      </w:r>
      <w:r w:rsidR="00C74B3F" w:rsidRPr="00746E61">
        <w:rPr>
          <w:rFonts w:ascii="Book Antiqua" w:hAnsi="Book Antiqua" w:cs="Arial"/>
        </w:rPr>
        <w:t>2</w:t>
      </w:r>
      <w:r w:rsidRPr="00746E61">
        <w:rPr>
          <w:rFonts w:ascii="Book Antiqua" w:hAnsi="Book Antiqua" w:cs="Arial"/>
        </w:rPr>
        <w:t>.</w:t>
      </w:r>
      <w:r w:rsidR="00C74B3F" w:rsidRPr="00746E61">
        <w:rPr>
          <w:rFonts w:ascii="Book Antiqua" w:hAnsi="Book Antiqua" w:cs="Arial"/>
        </w:rPr>
        <w:t>15</w:t>
      </w:r>
      <w:r w:rsidRPr="00746E61">
        <w:rPr>
          <w:rFonts w:ascii="Book Antiqua" w:hAnsi="Book Antiqua" w:cs="Arial"/>
        </w:rPr>
        <w:t>% (</w:t>
      </w:r>
      <w:r w:rsidR="00C74B3F" w:rsidRPr="00746E61">
        <w:rPr>
          <w:rFonts w:ascii="Book Antiqua" w:hAnsi="Book Antiqua" w:cs="Arial"/>
        </w:rPr>
        <w:t>aumento mensual de 160 casos</w:t>
      </w:r>
      <w:r w:rsidR="00030245" w:rsidRPr="00746E61">
        <w:rPr>
          <w:rFonts w:ascii="Book Antiqua" w:hAnsi="Book Antiqua" w:cs="Arial"/>
        </w:rPr>
        <w:t>) con respecto al año anterior</w:t>
      </w:r>
      <w:bookmarkEnd w:id="12"/>
      <w:r w:rsidRPr="00746E61">
        <w:rPr>
          <w:rFonts w:ascii="Book Antiqua" w:hAnsi="Book Antiqua" w:cs="Arial"/>
        </w:rPr>
        <w:t xml:space="preserve">. Al segregar los datos según el despacho, se refleja que, la oficina con mayor incremento del promedio mensual </w:t>
      </w:r>
      <w:r w:rsidR="00F963C2" w:rsidRPr="00746E61">
        <w:rPr>
          <w:rFonts w:ascii="Book Antiqua" w:hAnsi="Book Antiqua" w:cs="Arial"/>
        </w:rPr>
        <w:t xml:space="preserve">en relación con el año previo a la emergencia nacional </w:t>
      </w:r>
      <w:r w:rsidRPr="00746E61">
        <w:rPr>
          <w:rFonts w:ascii="Book Antiqua" w:hAnsi="Book Antiqua" w:cs="Arial"/>
        </w:rPr>
        <w:t xml:space="preserve">es el Juzgado de Ejecución de la Penal de Alajuela con un </w:t>
      </w:r>
      <w:r w:rsidR="006E612F" w:rsidRPr="00746E61">
        <w:rPr>
          <w:rFonts w:ascii="Book Antiqua" w:hAnsi="Book Antiqua" w:cs="Arial"/>
        </w:rPr>
        <w:t>48</w:t>
      </w:r>
      <w:r w:rsidR="00F963C2" w:rsidRPr="00746E61">
        <w:rPr>
          <w:rFonts w:ascii="Book Antiqua" w:hAnsi="Book Antiqua" w:cs="Arial"/>
        </w:rPr>
        <w:t>.</w:t>
      </w:r>
      <w:r w:rsidR="006E612F" w:rsidRPr="00746E61">
        <w:rPr>
          <w:rFonts w:ascii="Book Antiqua" w:hAnsi="Book Antiqua" w:cs="Arial"/>
        </w:rPr>
        <w:t>78</w:t>
      </w:r>
      <w:r w:rsidR="00D972C2" w:rsidRPr="00746E61">
        <w:rPr>
          <w:rFonts w:ascii="Book Antiqua" w:hAnsi="Book Antiqua" w:cs="Arial"/>
        </w:rPr>
        <w:t>%</w:t>
      </w:r>
      <w:r w:rsidRPr="00746E61">
        <w:rPr>
          <w:rFonts w:ascii="Book Antiqua" w:hAnsi="Book Antiqua" w:cs="Arial"/>
        </w:rPr>
        <w:t>, tal como se logra apreciar en el siguiente cuadro:</w:t>
      </w:r>
    </w:p>
    <w:p w14:paraId="576BE6D2" w14:textId="77777777" w:rsidR="00030245" w:rsidRPr="00746E61" w:rsidRDefault="00030245" w:rsidP="00746E61">
      <w:pPr>
        <w:spacing w:line="276" w:lineRule="auto"/>
        <w:jc w:val="both"/>
        <w:rPr>
          <w:rFonts w:ascii="Book Antiqua" w:hAnsi="Book Antiqua" w:cs="Arial"/>
        </w:rPr>
      </w:pPr>
    </w:p>
    <w:p w14:paraId="6D98B794" w14:textId="04215408" w:rsidR="0001329C" w:rsidRPr="00746E61" w:rsidRDefault="0001329C" w:rsidP="00746E61">
      <w:pPr>
        <w:widowControl w:val="0"/>
        <w:autoSpaceDE w:val="0"/>
        <w:spacing w:line="276" w:lineRule="auto"/>
        <w:ind w:left="1080" w:right="51"/>
        <w:jc w:val="center"/>
        <w:rPr>
          <w:rFonts w:ascii="Book Antiqua" w:hAnsi="Book Antiqua" w:cs="Arial"/>
          <w:b/>
          <w:bCs/>
        </w:rPr>
      </w:pPr>
      <w:r w:rsidRPr="00746E61">
        <w:rPr>
          <w:rFonts w:ascii="Book Antiqua" w:hAnsi="Book Antiqua" w:cs="Arial"/>
          <w:b/>
          <w:bCs/>
        </w:rPr>
        <w:t>Cuadro 22</w:t>
      </w:r>
    </w:p>
    <w:p w14:paraId="01E403B7" w14:textId="29E6CA8A" w:rsidR="0001329C" w:rsidRPr="00746E61" w:rsidRDefault="0001329C" w:rsidP="00746E61">
      <w:pPr>
        <w:widowControl w:val="0"/>
        <w:autoSpaceDE w:val="0"/>
        <w:spacing w:line="276" w:lineRule="auto"/>
        <w:ind w:left="1080" w:right="51"/>
        <w:jc w:val="center"/>
        <w:rPr>
          <w:rFonts w:ascii="Book Antiqua" w:hAnsi="Book Antiqua" w:cs="Arial"/>
        </w:rPr>
      </w:pPr>
      <w:r w:rsidRPr="00746E61">
        <w:rPr>
          <w:rFonts w:ascii="Book Antiqua" w:hAnsi="Book Antiqua" w:cs="Arial"/>
        </w:rPr>
        <w:t xml:space="preserve">Promedio mensual de asuntos entrados en los Juzgados de Ejecución de la Pena entre el periodo comprendido de enero 2019 a </w:t>
      </w:r>
      <w:r w:rsidR="00B20B07" w:rsidRPr="00746E61">
        <w:rPr>
          <w:rFonts w:ascii="Book Antiqua" w:hAnsi="Book Antiqua" w:cs="Arial"/>
        </w:rPr>
        <w:t>setiembre</w:t>
      </w:r>
      <w:r w:rsidRPr="00746E61">
        <w:rPr>
          <w:rFonts w:ascii="Book Antiqua" w:hAnsi="Book Antiqua" w:cs="Arial"/>
        </w:rPr>
        <w:t xml:space="preserve"> de 2021</w:t>
      </w:r>
    </w:p>
    <w:tbl>
      <w:tblPr>
        <w:tblW w:w="10108" w:type="dxa"/>
        <w:jc w:val="center"/>
        <w:tblCellMar>
          <w:left w:w="70" w:type="dxa"/>
          <w:right w:w="70" w:type="dxa"/>
        </w:tblCellMar>
        <w:tblLook w:val="04A0" w:firstRow="1" w:lastRow="0" w:firstColumn="1" w:lastColumn="0" w:noHBand="0" w:noVBand="1"/>
      </w:tblPr>
      <w:tblGrid>
        <w:gridCol w:w="3545"/>
        <w:gridCol w:w="986"/>
        <w:gridCol w:w="1005"/>
        <w:gridCol w:w="980"/>
        <w:gridCol w:w="1796"/>
        <w:gridCol w:w="1796"/>
      </w:tblGrid>
      <w:tr w:rsidR="00C74B3F" w:rsidRPr="00746E61" w14:paraId="2B8E8100" w14:textId="77777777" w:rsidTr="00C74B3F">
        <w:trPr>
          <w:trHeight w:val="862"/>
          <w:jc w:val="center"/>
        </w:trPr>
        <w:tc>
          <w:tcPr>
            <w:tcW w:w="3545"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7BCEEEFE" w14:textId="77777777" w:rsidR="00C74B3F" w:rsidRPr="00746E61" w:rsidRDefault="00C74B3F" w:rsidP="00746E61">
            <w:pPr>
              <w:spacing w:line="276" w:lineRule="auto"/>
              <w:jc w:val="center"/>
              <w:rPr>
                <w:rFonts w:ascii="Book Antiqua" w:hAnsi="Book Antiqua" w:cs="Calibri"/>
                <w:b/>
                <w:bCs/>
                <w:color w:val="FFFFFF"/>
                <w:sz w:val="16"/>
                <w:szCs w:val="16"/>
                <w:lang w:eastAsia="es-CR"/>
              </w:rPr>
            </w:pPr>
            <w:r w:rsidRPr="00746E61">
              <w:rPr>
                <w:rFonts w:ascii="Book Antiqua" w:hAnsi="Book Antiqua" w:cs="Calibri"/>
                <w:b/>
                <w:bCs/>
                <w:color w:val="FFFFFF"/>
                <w:sz w:val="16"/>
                <w:szCs w:val="16"/>
                <w:lang w:eastAsia="es-CR"/>
              </w:rPr>
              <w:t>Despachos</w:t>
            </w:r>
          </w:p>
        </w:tc>
        <w:tc>
          <w:tcPr>
            <w:tcW w:w="986" w:type="dxa"/>
            <w:tcBorders>
              <w:top w:val="single" w:sz="4" w:space="0" w:color="auto"/>
              <w:left w:val="nil"/>
              <w:bottom w:val="single" w:sz="4" w:space="0" w:color="auto"/>
              <w:right w:val="single" w:sz="4" w:space="0" w:color="auto"/>
            </w:tcBorders>
            <w:shd w:val="clear" w:color="000000" w:fill="305496"/>
            <w:vAlign w:val="center"/>
            <w:hideMark/>
          </w:tcPr>
          <w:p w14:paraId="4CB37A0A" w14:textId="77777777" w:rsidR="00C74B3F" w:rsidRPr="00746E61" w:rsidRDefault="00C74B3F" w:rsidP="00746E61">
            <w:pPr>
              <w:spacing w:line="276" w:lineRule="auto"/>
              <w:jc w:val="center"/>
              <w:rPr>
                <w:rFonts w:ascii="Book Antiqua" w:hAnsi="Book Antiqua" w:cs="Calibri"/>
                <w:b/>
                <w:bCs/>
                <w:color w:val="FFFFFF"/>
                <w:sz w:val="16"/>
                <w:szCs w:val="16"/>
                <w:lang w:eastAsia="es-CR"/>
              </w:rPr>
            </w:pPr>
            <w:r w:rsidRPr="00746E61">
              <w:rPr>
                <w:rFonts w:ascii="Book Antiqua" w:hAnsi="Book Antiqua" w:cs="Calibri"/>
                <w:b/>
                <w:bCs/>
                <w:color w:val="FFFFFF"/>
                <w:sz w:val="16"/>
                <w:szCs w:val="16"/>
                <w:lang w:eastAsia="es-CR"/>
              </w:rPr>
              <w:t>Promedio mensual de Entrada 2019</w:t>
            </w:r>
          </w:p>
        </w:tc>
        <w:tc>
          <w:tcPr>
            <w:tcW w:w="1005" w:type="dxa"/>
            <w:tcBorders>
              <w:top w:val="single" w:sz="4" w:space="0" w:color="auto"/>
              <w:left w:val="nil"/>
              <w:bottom w:val="single" w:sz="4" w:space="0" w:color="auto"/>
              <w:right w:val="single" w:sz="4" w:space="0" w:color="auto"/>
            </w:tcBorders>
            <w:shd w:val="clear" w:color="000000" w:fill="305496"/>
            <w:vAlign w:val="center"/>
            <w:hideMark/>
          </w:tcPr>
          <w:p w14:paraId="1C5D9D8A" w14:textId="77777777" w:rsidR="00C74B3F" w:rsidRPr="00746E61" w:rsidRDefault="00C74B3F" w:rsidP="00746E61">
            <w:pPr>
              <w:spacing w:line="276" w:lineRule="auto"/>
              <w:jc w:val="center"/>
              <w:rPr>
                <w:rFonts w:ascii="Book Antiqua" w:hAnsi="Book Antiqua" w:cs="Calibri"/>
                <w:b/>
                <w:bCs/>
                <w:color w:val="FFFFFF"/>
                <w:sz w:val="16"/>
                <w:szCs w:val="16"/>
                <w:lang w:eastAsia="es-CR"/>
              </w:rPr>
            </w:pPr>
            <w:r w:rsidRPr="00746E61">
              <w:rPr>
                <w:rFonts w:ascii="Book Antiqua" w:hAnsi="Book Antiqua" w:cs="Calibri"/>
                <w:b/>
                <w:bCs/>
                <w:color w:val="FFFFFF"/>
                <w:sz w:val="16"/>
                <w:szCs w:val="16"/>
                <w:lang w:eastAsia="es-CR"/>
              </w:rPr>
              <w:t>Promedio mensual de Entrada 2020</w:t>
            </w:r>
          </w:p>
        </w:tc>
        <w:tc>
          <w:tcPr>
            <w:tcW w:w="980" w:type="dxa"/>
            <w:tcBorders>
              <w:top w:val="single" w:sz="4" w:space="0" w:color="auto"/>
              <w:left w:val="nil"/>
              <w:bottom w:val="single" w:sz="4" w:space="0" w:color="auto"/>
              <w:right w:val="single" w:sz="4" w:space="0" w:color="auto"/>
            </w:tcBorders>
            <w:shd w:val="clear" w:color="000000" w:fill="305496"/>
            <w:vAlign w:val="center"/>
            <w:hideMark/>
          </w:tcPr>
          <w:p w14:paraId="4E716AAF" w14:textId="77777777" w:rsidR="00C74B3F" w:rsidRPr="00746E61" w:rsidRDefault="00C74B3F" w:rsidP="00746E61">
            <w:pPr>
              <w:spacing w:line="276" w:lineRule="auto"/>
              <w:jc w:val="center"/>
              <w:rPr>
                <w:rFonts w:ascii="Book Antiqua" w:hAnsi="Book Antiqua" w:cs="Calibri"/>
                <w:b/>
                <w:bCs/>
                <w:color w:val="FFFFFF"/>
                <w:sz w:val="16"/>
                <w:szCs w:val="16"/>
                <w:lang w:eastAsia="es-CR"/>
              </w:rPr>
            </w:pPr>
            <w:r w:rsidRPr="00746E61">
              <w:rPr>
                <w:rFonts w:ascii="Book Antiqua" w:hAnsi="Book Antiqua" w:cs="Calibri"/>
                <w:b/>
                <w:bCs/>
                <w:color w:val="FFFFFF"/>
                <w:sz w:val="16"/>
                <w:szCs w:val="16"/>
                <w:lang w:eastAsia="es-CR"/>
              </w:rPr>
              <w:t>Promedio mensual de Entrada 2021</w:t>
            </w:r>
          </w:p>
        </w:tc>
        <w:tc>
          <w:tcPr>
            <w:tcW w:w="1796" w:type="dxa"/>
            <w:tcBorders>
              <w:top w:val="single" w:sz="4" w:space="0" w:color="auto"/>
              <w:left w:val="nil"/>
              <w:bottom w:val="single" w:sz="4" w:space="0" w:color="auto"/>
              <w:right w:val="single" w:sz="4" w:space="0" w:color="auto"/>
            </w:tcBorders>
            <w:shd w:val="clear" w:color="000000" w:fill="DDEBF7"/>
            <w:vAlign w:val="center"/>
            <w:hideMark/>
          </w:tcPr>
          <w:p w14:paraId="70169436" w14:textId="77777777" w:rsidR="00C74B3F" w:rsidRPr="00746E61" w:rsidRDefault="00C74B3F" w:rsidP="00746E61">
            <w:pPr>
              <w:spacing w:line="276" w:lineRule="auto"/>
              <w:jc w:val="center"/>
              <w:rPr>
                <w:rFonts w:ascii="Book Antiqua" w:hAnsi="Book Antiqua" w:cs="Calibri"/>
                <w:b/>
                <w:bCs/>
                <w:color w:val="3A3838"/>
                <w:sz w:val="16"/>
                <w:szCs w:val="16"/>
                <w:lang w:eastAsia="es-CR"/>
              </w:rPr>
            </w:pPr>
            <w:r w:rsidRPr="00746E61">
              <w:rPr>
                <w:rFonts w:ascii="Book Antiqua" w:hAnsi="Book Antiqua" w:cs="Calibri"/>
                <w:b/>
                <w:bCs/>
                <w:color w:val="3A3838"/>
                <w:sz w:val="16"/>
                <w:szCs w:val="16"/>
                <w:lang w:eastAsia="es-CR"/>
              </w:rPr>
              <w:t>Aumento/disminución 2021vs2019</w:t>
            </w:r>
          </w:p>
        </w:tc>
        <w:tc>
          <w:tcPr>
            <w:tcW w:w="1796" w:type="dxa"/>
            <w:tcBorders>
              <w:top w:val="single" w:sz="4" w:space="0" w:color="auto"/>
              <w:left w:val="nil"/>
              <w:bottom w:val="single" w:sz="4" w:space="0" w:color="auto"/>
              <w:right w:val="single" w:sz="4" w:space="0" w:color="auto"/>
            </w:tcBorders>
            <w:shd w:val="clear" w:color="000000" w:fill="DDEBF7"/>
            <w:vAlign w:val="center"/>
            <w:hideMark/>
          </w:tcPr>
          <w:p w14:paraId="2D40D740" w14:textId="77777777" w:rsidR="00C74B3F" w:rsidRPr="00746E61" w:rsidRDefault="00C74B3F" w:rsidP="00746E61">
            <w:pPr>
              <w:spacing w:line="276" w:lineRule="auto"/>
              <w:jc w:val="center"/>
              <w:rPr>
                <w:rFonts w:ascii="Book Antiqua" w:hAnsi="Book Antiqua" w:cs="Calibri"/>
                <w:b/>
                <w:bCs/>
                <w:color w:val="3A3838"/>
                <w:sz w:val="16"/>
                <w:szCs w:val="16"/>
                <w:lang w:eastAsia="es-CR"/>
              </w:rPr>
            </w:pPr>
            <w:r w:rsidRPr="00746E61">
              <w:rPr>
                <w:rFonts w:ascii="Book Antiqua" w:hAnsi="Book Antiqua" w:cs="Calibri"/>
                <w:b/>
                <w:bCs/>
                <w:color w:val="3A3838"/>
                <w:sz w:val="16"/>
                <w:szCs w:val="16"/>
                <w:lang w:eastAsia="es-CR"/>
              </w:rPr>
              <w:t>Aumento/disminución 2021vs2020</w:t>
            </w:r>
          </w:p>
        </w:tc>
      </w:tr>
      <w:tr w:rsidR="00C74B3F" w:rsidRPr="00746E61" w14:paraId="3F528B6A" w14:textId="77777777" w:rsidTr="006E612F">
        <w:trPr>
          <w:trHeight w:val="240"/>
          <w:jc w:val="center"/>
        </w:trPr>
        <w:tc>
          <w:tcPr>
            <w:tcW w:w="354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4F7B32C" w14:textId="77777777" w:rsidR="00C74B3F" w:rsidRPr="00746E61" w:rsidRDefault="00C74B3F"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Ejecución de la Pena de Alajuela</w:t>
            </w:r>
          </w:p>
        </w:tc>
        <w:tc>
          <w:tcPr>
            <w:tcW w:w="986" w:type="dxa"/>
            <w:tcBorders>
              <w:top w:val="nil"/>
              <w:left w:val="nil"/>
              <w:bottom w:val="single" w:sz="4" w:space="0" w:color="auto"/>
              <w:right w:val="single" w:sz="4" w:space="0" w:color="auto"/>
            </w:tcBorders>
            <w:shd w:val="clear" w:color="auto" w:fill="F2F2F2" w:themeFill="background1" w:themeFillShade="F2"/>
            <w:noWrap/>
            <w:vAlign w:val="center"/>
            <w:hideMark/>
          </w:tcPr>
          <w:p w14:paraId="7DA14E1C" w14:textId="77777777" w:rsidR="00C74B3F" w:rsidRPr="00746E61" w:rsidRDefault="00C74B3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538</w:t>
            </w:r>
          </w:p>
        </w:tc>
        <w:tc>
          <w:tcPr>
            <w:tcW w:w="1005" w:type="dxa"/>
            <w:tcBorders>
              <w:top w:val="nil"/>
              <w:left w:val="nil"/>
              <w:bottom w:val="single" w:sz="4" w:space="0" w:color="auto"/>
              <w:right w:val="single" w:sz="4" w:space="0" w:color="auto"/>
            </w:tcBorders>
            <w:shd w:val="clear" w:color="auto" w:fill="F2F2F2" w:themeFill="background1" w:themeFillShade="F2"/>
            <w:noWrap/>
            <w:vAlign w:val="center"/>
            <w:hideMark/>
          </w:tcPr>
          <w:p w14:paraId="303E920B" w14:textId="77777777" w:rsidR="00C74B3F" w:rsidRPr="00746E61" w:rsidRDefault="00C74B3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656</w:t>
            </w:r>
          </w:p>
        </w:tc>
        <w:tc>
          <w:tcPr>
            <w:tcW w:w="980" w:type="dxa"/>
            <w:tcBorders>
              <w:top w:val="nil"/>
              <w:left w:val="nil"/>
              <w:bottom w:val="single" w:sz="4" w:space="0" w:color="auto"/>
              <w:right w:val="single" w:sz="4" w:space="0" w:color="auto"/>
            </w:tcBorders>
            <w:shd w:val="clear" w:color="auto" w:fill="F2F2F2" w:themeFill="background1" w:themeFillShade="F2"/>
            <w:noWrap/>
            <w:vAlign w:val="center"/>
            <w:hideMark/>
          </w:tcPr>
          <w:p w14:paraId="6B756BDD" w14:textId="77777777" w:rsidR="00C74B3F" w:rsidRPr="00746E61" w:rsidRDefault="00C74B3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800</w:t>
            </w:r>
          </w:p>
        </w:tc>
        <w:tc>
          <w:tcPr>
            <w:tcW w:w="1796" w:type="dxa"/>
            <w:tcBorders>
              <w:top w:val="nil"/>
              <w:left w:val="nil"/>
              <w:bottom w:val="single" w:sz="4" w:space="0" w:color="auto"/>
              <w:right w:val="single" w:sz="4" w:space="0" w:color="auto"/>
            </w:tcBorders>
            <w:shd w:val="clear" w:color="auto" w:fill="F2F2F2" w:themeFill="background1" w:themeFillShade="F2"/>
            <w:vAlign w:val="center"/>
            <w:hideMark/>
          </w:tcPr>
          <w:p w14:paraId="12B7DC26" w14:textId="77777777" w:rsidR="00C74B3F" w:rsidRPr="00746E61" w:rsidRDefault="00C74B3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48,78%</w:t>
            </w:r>
          </w:p>
        </w:tc>
        <w:tc>
          <w:tcPr>
            <w:tcW w:w="1796" w:type="dxa"/>
            <w:tcBorders>
              <w:top w:val="nil"/>
              <w:left w:val="nil"/>
              <w:bottom w:val="single" w:sz="4" w:space="0" w:color="auto"/>
              <w:right w:val="single" w:sz="4" w:space="0" w:color="auto"/>
            </w:tcBorders>
            <w:shd w:val="clear" w:color="auto" w:fill="F2F2F2" w:themeFill="background1" w:themeFillShade="F2"/>
            <w:vAlign w:val="center"/>
            <w:hideMark/>
          </w:tcPr>
          <w:p w14:paraId="32854FC8" w14:textId="77777777" w:rsidR="00C74B3F" w:rsidRPr="00746E61" w:rsidRDefault="00C74B3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21,92%</w:t>
            </w:r>
          </w:p>
        </w:tc>
      </w:tr>
      <w:tr w:rsidR="00C74B3F" w:rsidRPr="00746E61" w14:paraId="433DAEC0" w14:textId="77777777" w:rsidTr="00C74B3F">
        <w:trPr>
          <w:trHeight w:val="240"/>
          <w:jc w:val="center"/>
        </w:trPr>
        <w:tc>
          <w:tcPr>
            <w:tcW w:w="3545" w:type="dxa"/>
            <w:tcBorders>
              <w:top w:val="nil"/>
              <w:left w:val="single" w:sz="4" w:space="0" w:color="auto"/>
              <w:bottom w:val="single" w:sz="4" w:space="0" w:color="auto"/>
              <w:right w:val="single" w:sz="4" w:space="0" w:color="auto"/>
            </w:tcBorders>
            <w:shd w:val="clear" w:color="auto" w:fill="auto"/>
            <w:noWrap/>
            <w:vAlign w:val="center"/>
            <w:hideMark/>
          </w:tcPr>
          <w:p w14:paraId="5CBB4097" w14:textId="77777777" w:rsidR="00C74B3F" w:rsidRPr="00746E61" w:rsidRDefault="00C74B3F"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Ejecución de La Pena de Liberia</w:t>
            </w:r>
          </w:p>
        </w:tc>
        <w:tc>
          <w:tcPr>
            <w:tcW w:w="986" w:type="dxa"/>
            <w:tcBorders>
              <w:top w:val="nil"/>
              <w:left w:val="nil"/>
              <w:bottom w:val="single" w:sz="4" w:space="0" w:color="auto"/>
              <w:right w:val="single" w:sz="4" w:space="0" w:color="auto"/>
            </w:tcBorders>
            <w:shd w:val="clear" w:color="auto" w:fill="auto"/>
            <w:noWrap/>
            <w:vAlign w:val="center"/>
            <w:hideMark/>
          </w:tcPr>
          <w:p w14:paraId="16A9CDF4" w14:textId="77777777" w:rsidR="00C74B3F" w:rsidRPr="00746E61" w:rsidRDefault="00C74B3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75</w:t>
            </w:r>
          </w:p>
        </w:tc>
        <w:tc>
          <w:tcPr>
            <w:tcW w:w="1005" w:type="dxa"/>
            <w:tcBorders>
              <w:top w:val="nil"/>
              <w:left w:val="nil"/>
              <w:bottom w:val="single" w:sz="4" w:space="0" w:color="auto"/>
              <w:right w:val="single" w:sz="4" w:space="0" w:color="auto"/>
            </w:tcBorders>
            <w:shd w:val="clear" w:color="auto" w:fill="auto"/>
            <w:noWrap/>
            <w:vAlign w:val="center"/>
            <w:hideMark/>
          </w:tcPr>
          <w:p w14:paraId="0B4ECF1A" w14:textId="77777777" w:rsidR="00C74B3F" w:rsidRPr="00746E61" w:rsidRDefault="00C74B3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77</w:t>
            </w:r>
          </w:p>
        </w:tc>
        <w:tc>
          <w:tcPr>
            <w:tcW w:w="980" w:type="dxa"/>
            <w:tcBorders>
              <w:top w:val="nil"/>
              <w:left w:val="nil"/>
              <w:bottom w:val="single" w:sz="4" w:space="0" w:color="auto"/>
              <w:right w:val="single" w:sz="4" w:space="0" w:color="auto"/>
            </w:tcBorders>
            <w:shd w:val="clear" w:color="auto" w:fill="auto"/>
            <w:noWrap/>
            <w:vAlign w:val="center"/>
            <w:hideMark/>
          </w:tcPr>
          <w:p w14:paraId="696BDA88" w14:textId="77777777" w:rsidR="00C74B3F" w:rsidRPr="00746E61" w:rsidRDefault="00C74B3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90</w:t>
            </w:r>
          </w:p>
        </w:tc>
        <w:tc>
          <w:tcPr>
            <w:tcW w:w="1796" w:type="dxa"/>
            <w:tcBorders>
              <w:top w:val="nil"/>
              <w:left w:val="nil"/>
              <w:bottom w:val="single" w:sz="4" w:space="0" w:color="auto"/>
              <w:right w:val="single" w:sz="4" w:space="0" w:color="auto"/>
            </w:tcBorders>
            <w:shd w:val="clear" w:color="auto" w:fill="auto"/>
            <w:vAlign w:val="center"/>
            <w:hideMark/>
          </w:tcPr>
          <w:p w14:paraId="69AB752F" w14:textId="77777777" w:rsidR="00C74B3F" w:rsidRPr="00746E61" w:rsidRDefault="00C74B3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18,63%</w:t>
            </w:r>
          </w:p>
        </w:tc>
        <w:tc>
          <w:tcPr>
            <w:tcW w:w="1796" w:type="dxa"/>
            <w:tcBorders>
              <w:top w:val="nil"/>
              <w:left w:val="nil"/>
              <w:bottom w:val="single" w:sz="4" w:space="0" w:color="auto"/>
              <w:right w:val="single" w:sz="4" w:space="0" w:color="auto"/>
            </w:tcBorders>
            <w:shd w:val="clear" w:color="auto" w:fill="auto"/>
            <w:vAlign w:val="center"/>
            <w:hideMark/>
          </w:tcPr>
          <w:p w14:paraId="71BB8DD9" w14:textId="77777777" w:rsidR="00C74B3F" w:rsidRPr="00746E61" w:rsidRDefault="00C74B3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15,64%</w:t>
            </w:r>
          </w:p>
        </w:tc>
      </w:tr>
      <w:tr w:rsidR="00C74B3F" w:rsidRPr="00746E61" w14:paraId="0BBC7EFD" w14:textId="77777777" w:rsidTr="00C74B3F">
        <w:trPr>
          <w:trHeight w:val="240"/>
          <w:jc w:val="center"/>
        </w:trPr>
        <w:tc>
          <w:tcPr>
            <w:tcW w:w="3545" w:type="dxa"/>
            <w:tcBorders>
              <w:top w:val="nil"/>
              <w:left w:val="single" w:sz="4" w:space="0" w:color="auto"/>
              <w:bottom w:val="single" w:sz="4" w:space="0" w:color="auto"/>
              <w:right w:val="single" w:sz="4" w:space="0" w:color="auto"/>
            </w:tcBorders>
            <w:shd w:val="clear" w:color="auto" w:fill="auto"/>
            <w:noWrap/>
            <w:vAlign w:val="center"/>
            <w:hideMark/>
          </w:tcPr>
          <w:p w14:paraId="3065CB66" w14:textId="77777777" w:rsidR="00C74B3F" w:rsidRPr="00746E61" w:rsidRDefault="00C74B3F"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Ejecución de La Pena de Puntarenas</w:t>
            </w:r>
          </w:p>
        </w:tc>
        <w:tc>
          <w:tcPr>
            <w:tcW w:w="986" w:type="dxa"/>
            <w:tcBorders>
              <w:top w:val="nil"/>
              <w:left w:val="nil"/>
              <w:bottom w:val="single" w:sz="4" w:space="0" w:color="auto"/>
              <w:right w:val="single" w:sz="4" w:space="0" w:color="auto"/>
            </w:tcBorders>
            <w:shd w:val="clear" w:color="auto" w:fill="auto"/>
            <w:noWrap/>
            <w:vAlign w:val="center"/>
            <w:hideMark/>
          </w:tcPr>
          <w:p w14:paraId="4C38E51D" w14:textId="77777777" w:rsidR="00C74B3F" w:rsidRPr="00746E61" w:rsidRDefault="00C74B3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67</w:t>
            </w:r>
          </w:p>
        </w:tc>
        <w:tc>
          <w:tcPr>
            <w:tcW w:w="1005" w:type="dxa"/>
            <w:tcBorders>
              <w:top w:val="nil"/>
              <w:left w:val="nil"/>
              <w:bottom w:val="single" w:sz="4" w:space="0" w:color="auto"/>
              <w:right w:val="single" w:sz="4" w:space="0" w:color="auto"/>
            </w:tcBorders>
            <w:shd w:val="clear" w:color="auto" w:fill="auto"/>
            <w:noWrap/>
            <w:vAlign w:val="center"/>
            <w:hideMark/>
          </w:tcPr>
          <w:p w14:paraId="3DBA7A4D" w14:textId="77777777" w:rsidR="00C74B3F" w:rsidRPr="00746E61" w:rsidRDefault="00C74B3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72</w:t>
            </w:r>
          </w:p>
        </w:tc>
        <w:tc>
          <w:tcPr>
            <w:tcW w:w="980" w:type="dxa"/>
            <w:tcBorders>
              <w:top w:val="nil"/>
              <w:left w:val="nil"/>
              <w:bottom w:val="single" w:sz="4" w:space="0" w:color="auto"/>
              <w:right w:val="single" w:sz="4" w:space="0" w:color="auto"/>
            </w:tcBorders>
            <w:shd w:val="clear" w:color="auto" w:fill="auto"/>
            <w:noWrap/>
            <w:vAlign w:val="center"/>
            <w:hideMark/>
          </w:tcPr>
          <w:p w14:paraId="35F2C3F9" w14:textId="77777777" w:rsidR="00C74B3F" w:rsidRPr="00746E61" w:rsidRDefault="00C74B3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68</w:t>
            </w:r>
          </w:p>
        </w:tc>
        <w:tc>
          <w:tcPr>
            <w:tcW w:w="1796" w:type="dxa"/>
            <w:tcBorders>
              <w:top w:val="nil"/>
              <w:left w:val="nil"/>
              <w:bottom w:val="single" w:sz="4" w:space="0" w:color="auto"/>
              <w:right w:val="single" w:sz="4" w:space="0" w:color="auto"/>
            </w:tcBorders>
            <w:shd w:val="clear" w:color="auto" w:fill="auto"/>
            <w:vAlign w:val="center"/>
            <w:hideMark/>
          </w:tcPr>
          <w:p w14:paraId="3D5505CB" w14:textId="77777777" w:rsidR="00C74B3F" w:rsidRPr="00746E61" w:rsidRDefault="00C74B3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2,71%</w:t>
            </w:r>
          </w:p>
        </w:tc>
        <w:tc>
          <w:tcPr>
            <w:tcW w:w="1796" w:type="dxa"/>
            <w:tcBorders>
              <w:top w:val="nil"/>
              <w:left w:val="nil"/>
              <w:bottom w:val="single" w:sz="4" w:space="0" w:color="auto"/>
              <w:right w:val="single" w:sz="4" w:space="0" w:color="auto"/>
            </w:tcBorders>
            <w:shd w:val="clear" w:color="auto" w:fill="auto"/>
            <w:vAlign w:val="center"/>
            <w:hideMark/>
          </w:tcPr>
          <w:p w14:paraId="01CC0A87" w14:textId="77777777" w:rsidR="00C74B3F" w:rsidRPr="00746E61" w:rsidRDefault="00C74B3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-5,49%</w:t>
            </w:r>
          </w:p>
        </w:tc>
      </w:tr>
      <w:tr w:rsidR="00C74B3F" w:rsidRPr="00746E61" w14:paraId="7B4634D5" w14:textId="77777777" w:rsidTr="00C74B3F">
        <w:trPr>
          <w:trHeight w:val="240"/>
          <w:jc w:val="center"/>
        </w:trPr>
        <w:tc>
          <w:tcPr>
            <w:tcW w:w="3545" w:type="dxa"/>
            <w:tcBorders>
              <w:top w:val="nil"/>
              <w:left w:val="single" w:sz="4" w:space="0" w:color="auto"/>
              <w:bottom w:val="single" w:sz="4" w:space="0" w:color="auto"/>
              <w:right w:val="single" w:sz="4" w:space="0" w:color="auto"/>
            </w:tcBorders>
            <w:shd w:val="clear" w:color="auto" w:fill="auto"/>
            <w:noWrap/>
            <w:vAlign w:val="center"/>
            <w:hideMark/>
          </w:tcPr>
          <w:p w14:paraId="59606E40" w14:textId="77777777" w:rsidR="00C74B3F" w:rsidRPr="00746E61" w:rsidRDefault="00C74B3F"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Ejecución de la Pena de San José</w:t>
            </w:r>
          </w:p>
        </w:tc>
        <w:tc>
          <w:tcPr>
            <w:tcW w:w="986" w:type="dxa"/>
            <w:tcBorders>
              <w:top w:val="nil"/>
              <w:left w:val="nil"/>
              <w:bottom w:val="single" w:sz="4" w:space="0" w:color="auto"/>
              <w:right w:val="single" w:sz="4" w:space="0" w:color="auto"/>
            </w:tcBorders>
            <w:shd w:val="clear" w:color="auto" w:fill="auto"/>
            <w:noWrap/>
            <w:vAlign w:val="center"/>
            <w:hideMark/>
          </w:tcPr>
          <w:p w14:paraId="637282E0" w14:textId="77777777" w:rsidR="00C74B3F" w:rsidRPr="00746E61" w:rsidRDefault="00C74B3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188</w:t>
            </w:r>
          </w:p>
        </w:tc>
        <w:tc>
          <w:tcPr>
            <w:tcW w:w="1005" w:type="dxa"/>
            <w:tcBorders>
              <w:top w:val="nil"/>
              <w:left w:val="nil"/>
              <w:bottom w:val="single" w:sz="4" w:space="0" w:color="auto"/>
              <w:right w:val="single" w:sz="4" w:space="0" w:color="auto"/>
            </w:tcBorders>
            <w:shd w:val="clear" w:color="auto" w:fill="auto"/>
            <w:noWrap/>
            <w:vAlign w:val="center"/>
            <w:hideMark/>
          </w:tcPr>
          <w:p w14:paraId="3B13C309" w14:textId="77777777" w:rsidR="00C74B3F" w:rsidRPr="00746E61" w:rsidRDefault="00C74B3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168</w:t>
            </w:r>
          </w:p>
        </w:tc>
        <w:tc>
          <w:tcPr>
            <w:tcW w:w="980" w:type="dxa"/>
            <w:tcBorders>
              <w:top w:val="nil"/>
              <w:left w:val="nil"/>
              <w:bottom w:val="single" w:sz="4" w:space="0" w:color="auto"/>
              <w:right w:val="single" w:sz="4" w:space="0" w:color="auto"/>
            </w:tcBorders>
            <w:shd w:val="clear" w:color="auto" w:fill="auto"/>
            <w:noWrap/>
            <w:vAlign w:val="center"/>
            <w:hideMark/>
          </w:tcPr>
          <w:p w14:paraId="002E0D2F" w14:textId="77777777" w:rsidR="00C74B3F" w:rsidRPr="00746E61" w:rsidRDefault="00C74B3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188</w:t>
            </w:r>
          </w:p>
        </w:tc>
        <w:tc>
          <w:tcPr>
            <w:tcW w:w="1796" w:type="dxa"/>
            <w:tcBorders>
              <w:top w:val="nil"/>
              <w:left w:val="nil"/>
              <w:bottom w:val="single" w:sz="4" w:space="0" w:color="auto"/>
              <w:right w:val="single" w:sz="4" w:space="0" w:color="auto"/>
            </w:tcBorders>
            <w:shd w:val="clear" w:color="auto" w:fill="auto"/>
            <w:vAlign w:val="center"/>
            <w:hideMark/>
          </w:tcPr>
          <w:p w14:paraId="01BC808C" w14:textId="77777777" w:rsidR="00C74B3F" w:rsidRPr="00746E61" w:rsidRDefault="00C74B3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-0,23%</w:t>
            </w:r>
          </w:p>
        </w:tc>
        <w:tc>
          <w:tcPr>
            <w:tcW w:w="1796" w:type="dxa"/>
            <w:tcBorders>
              <w:top w:val="nil"/>
              <w:left w:val="nil"/>
              <w:bottom w:val="single" w:sz="4" w:space="0" w:color="auto"/>
              <w:right w:val="single" w:sz="4" w:space="0" w:color="auto"/>
            </w:tcBorders>
            <w:shd w:val="clear" w:color="auto" w:fill="auto"/>
            <w:vAlign w:val="center"/>
            <w:hideMark/>
          </w:tcPr>
          <w:p w14:paraId="379C1E61" w14:textId="77777777" w:rsidR="00C74B3F" w:rsidRPr="00746E61" w:rsidRDefault="00C74B3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11,58%</w:t>
            </w:r>
          </w:p>
        </w:tc>
      </w:tr>
      <w:tr w:rsidR="00C74B3F" w:rsidRPr="00746E61" w14:paraId="01B30CA1" w14:textId="77777777" w:rsidTr="00C74B3F">
        <w:trPr>
          <w:trHeight w:val="240"/>
          <w:jc w:val="center"/>
        </w:trPr>
        <w:tc>
          <w:tcPr>
            <w:tcW w:w="3545" w:type="dxa"/>
            <w:tcBorders>
              <w:top w:val="nil"/>
              <w:left w:val="single" w:sz="4" w:space="0" w:color="auto"/>
              <w:bottom w:val="single" w:sz="4" w:space="0" w:color="auto"/>
              <w:right w:val="single" w:sz="4" w:space="0" w:color="auto"/>
            </w:tcBorders>
            <w:shd w:val="clear" w:color="auto" w:fill="auto"/>
            <w:noWrap/>
            <w:vAlign w:val="center"/>
            <w:hideMark/>
          </w:tcPr>
          <w:p w14:paraId="4F65C5D7" w14:textId="77777777" w:rsidR="00C74B3F" w:rsidRPr="00746E61" w:rsidRDefault="00C74B3F"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Ejecución de La Pena de Pococí</w:t>
            </w:r>
          </w:p>
        </w:tc>
        <w:tc>
          <w:tcPr>
            <w:tcW w:w="986" w:type="dxa"/>
            <w:tcBorders>
              <w:top w:val="nil"/>
              <w:left w:val="nil"/>
              <w:bottom w:val="single" w:sz="4" w:space="0" w:color="auto"/>
              <w:right w:val="single" w:sz="4" w:space="0" w:color="auto"/>
            </w:tcBorders>
            <w:shd w:val="clear" w:color="auto" w:fill="auto"/>
            <w:noWrap/>
            <w:vAlign w:val="center"/>
            <w:hideMark/>
          </w:tcPr>
          <w:p w14:paraId="0E63A9B1" w14:textId="77777777" w:rsidR="00C74B3F" w:rsidRPr="00746E61" w:rsidRDefault="00C74B3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124</w:t>
            </w:r>
          </w:p>
        </w:tc>
        <w:tc>
          <w:tcPr>
            <w:tcW w:w="1005" w:type="dxa"/>
            <w:tcBorders>
              <w:top w:val="nil"/>
              <w:left w:val="nil"/>
              <w:bottom w:val="single" w:sz="4" w:space="0" w:color="auto"/>
              <w:right w:val="single" w:sz="4" w:space="0" w:color="auto"/>
            </w:tcBorders>
            <w:shd w:val="clear" w:color="auto" w:fill="auto"/>
            <w:noWrap/>
            <w:vAlign w:val="center"/>
            <w:hideMark/>
          </w:tcPr>
          <w:p w14:paraId="2071A3F3" w14:textId="77777777" w:rsidR="00C74B3F" w:rsidRPr="00746E61" w:rsidRDefault="00C74B3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90</w:t>
            </w:r>
          </w:p>
        </w:tc>
        <w:tc>
          <w:tcPr>
            <w:tcW w:w="980" w:type="dxa"/>
            <w:tcBorders>
              <w:top w:val="nil"/>
              <w:left w:val="nil"/>
              <w:bottom w:val="single" w:sz="4" w:space="0" w:color="auto"/>
              <w:right w:val="single" w:sz="4" w:space="0" w:color="auto"/>
            </w:tcBorders>
            <w:shd w:val="clear" w:color="auto" w:fill="auto"/>
            <w:noWrap/>
            <w:vAlign w:val="center"/>
            <w:hideMark/>
          </w:tcPr>
          <w:p w14:paraId="42AB610B" w14:textId="77777777" w:rsidR="00C74B3F" w:rsidRPr="00746E61" w:rsidRDefault="00C74B3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116</w:t>
            </w:r>
          </w:p>
        </w:tc>
        <w:tc>
          <w:tcPr>
            <w:tcW w:w="1796" w:type="dxa"/>
            <w:tcBorders>
              <w:top w:val="nil"/>
              <w:left w:val="nil"/>
              <w:bottom w:val="single" w:sz="4" w:space="0" w:color="auto"/>
              <w:right w:val="single" w:sz="4" w:space="0" w:color="auto"/>
            </w:tcBorders>
            <w:shd w:val="clear" w:color="auto" w:fill="auto"/>
            <w:vAlign w:val="center"/>
            <w:hideMark/>
          </w:tcPr>
          <w:p w14:paraId="43B6AC93" w14:textId="77777777" w:rsidR="00C74B3F" w:rsidRPr="00746E61" w:rsidRDefault="00C74B3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-6,70%</w:t>
            </w:r>
          </w:p>
        </w:tc>
        <w:tc>
          <w:tcPr>
            <w:tcW w:w="1796" w:type="dxa"/>
            <w:tcBorders>
              <w:top w:val="nil"/>
              <w:left w:val="nil"/>
              <w:bottom w:val="single" w:sz="4" w:space="0" w:color="auto"/>
              <w:right w:val="single" w:sz="4" w:space="0" w:color="auto"/>
            </w:tcBorders>
            <w:shd w:val="clear" w:color="auto" w:fill="auto"/>
            <w:vAlign w:val="center"/>
            <w:hideMark/>
          </w:tcPr>
          <w:p w14:paraId="52076B7A" w14:textId="77777777" w:rsidR="00C74B3F" w:rsidRPr="00746E61" w:rsidRDefault="00C74B3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28,05%</w:t>
            </w:r>
          </w:p>
        </w:tc>
      </w:tr>
      <w:tr w:rsidR="00C74B3F" w:rsidRPr="00746E61" w14:paraId="2FBB8C49" w14:textId="77777777" w:rsidTr="00C74B3F">
        <w:trPr>
          <w:trHeight w:val="240"/>
          <w:jc w:val="center"/>
        </w:trPr>
        <w:tc>
          <w:tcPr>
            <w:tcW w:w="3545" w:type="dxa"/>
            <w:tcBorders>
              <w:top w:val="nil"/>
              <w:left w:val="single" w:sz="4" w:space="0" w:color="auto"/>
              <w:bottom w:val="single" w:sz="4" w:space="0" w:color="auto"/>
              <w:right w:val="single" w:sz="4" w:space="0" w:color="auto"/>
            </w:tcBorders>
            <w:shd w:val="clear" w:color="auto" w:fill="auto"/>
            <w:noWrap/>
            <w:vAlign w:val="center"/>
            <w:hideMark/>
          </w:tcPr>
          <w:p w14:paraId="4CF81FC7" w14:textId="77777777" w:rsidR="00C74B3F" w:rsidRPr="00746E61" w:rsidRDefault="00C74B3F"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Ejecución de la Pena de Limón</w:t>
            </w:r>
          </w:p>
        </w:tc>
        <w:tc>
          <w:tcPr>
            <w:tcW w:w="986" w:type="dxa"/>
            <w:tcBorders>
              <w:top w:val="nil"/>
              <w:left w:val="nil"/>
              <w:bottom w:val="single" w:sz="4" w:space="0" w:color="auto"/>
              <w:right w:val="single" w:sz="4" w:space="0" w:color="auto"/>
            </w:tcBorders>
            <w:shd w:val="clear" w:color="auto" w:fill="auto"/>
            <w:noWrap/>
            <w:vAlign w:val="center"/>
            <w:hideMark/>
          </w:tcPr>
          <w:p w14:paraId="65E80456" w14:textId="77777777" w:rsidR="00C74B3F" w:rsidRPr="00746E61" w:rsidRDefault="00C74B3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50</w:t>
            </w:r>
          </w:p>
        </w:tc>
        <w:tc>
          <w:tcPr>
            <w:tcW w:w="1005" w:type="dxa"/>
            <w:tcBorders>
              <w:top w:val="nil"/>
              <w:left w:val="nil"/>
              <w:bottom w:val="single" w:sz="4" w:space="0" w:color="auto"/>
              <w:right w:val="single" w:sz="4" w:space="0" w:color="auto"/>
            </w:tcBorders>
            <w:shd w:val="clear" w:color="auto" w:fill="auto"/>
            <w:noWrap/>
            <w:vAlign w:val="center"/>
            <w:hideMark/>
          </w:tcPr>
          <w:p w14:paraId="10FB4F6E" w14:textId="77777777" w:rsidR="00C74B3F" w:rsidRPr="00746E61" w:rsidRDefault="00C74B3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55</w:t>
            </w:r>
          </w:p>
        </w:tc>
        <w:tc>
          <w:tcPr>
            <w:tcW w:w="980" w:type="dxa"/>
            <w:tcBorders>
              <w:top w:val="nil"/>
              <w:left w:val="nil"/>
              <w:bottom w:val="single" w:sz="4" w:space="0" w:color="auto"/>
              <w:right w:val="single" w:sz="4" w:space="0" w:color="auto"/>
            </w:tcBorders>
            <w:shd w:val="clear" w:color="auto" w:fill="auto"/>
            <w:noWrap/>
            <w:vAlign w:val="center"/>
            <w:hideMark/>
          </w:tcPr>
          <w:p w14:paraId="1422EFED" w14:textId="77777777" w:rsidR="00C74B3F" w:rsidRPr="00746E61" w:rsidRDefault="00C74B3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44</w:t>
            </w:r>
          </w:p>
        </w:tc>
        <w:tc>
          <w:tcPr>
            <w:tcW w:w="1796" w:type="dxa"/>
            <w:tcBorders>
              <w:top w:val="nil"/>
              <w:left w:val="nil"/>
              <w:bottom w:val="single" w:sz="4" w:space="0" w:color="auto"/>
              <w:right w:val="single" w:sz="4" w:space="0" w:color="auto"/>
            </w:tcBorders>
            <w:shd w:val="clear" w:color="auto" w:fill="auto"/>
            <w:vAlign w:val="center"/>
            <w:hideMark/>
          </w:tcPr>
          <w:p w14:paraId="1B5B1D15" w14:textId="77777777" w:rsidR="00C74B3F" w:rsidRPr="00746E61" w:rsidRDefault="00C74B3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-10,42%</w:t>
            </w:r>
          </w:p>
        </w:tc>
        <w:tc>
          <w:tcPr>
            <w:tcW w:w="1796" w:type="dxa"/>
            <w:tcBorders>
              <w:top w:val="nil"/>
              <w:left w:val="nil"/>
              <w:bottom w:val="single" w:sz="4" w:space="0" w:color="auto"/>
              <w:right w:val="single" w:sz="4" w:space="0" w:color="auto"/>
            </w:tcBorders>
            <w:shd w:val="clear" w:color="auto" w:fill="auto"/>
            <w:vAlign w:val="center"/>
            <w:hideMark/>
          </w:tcPr>
          <w:p w14:paraId="11777B22" w14:textId="77777777" w:rsidR="00C74B3F" w:rsidRPr="00746E61" w:rsidRDefault="00C74B3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-19,78%</w:t>
            </w:r>
          </w:p>
        </w:tc>
      </w:tr>
      <w:tr w:rsidR="00C74B3F" w:rsidRPr="00746E61" w14:paraId="4E7D1007" w14:textId="77777777" w:rsidTr="00C74B3F">
        <w:trPr>
          <w:trHeight w:val="240"/>
          <w:jc w:val="center"/>
        </w:trPr>
        <w:tc>
          <w:tcPr>
            <w:tcW w:w="3545" w:type="dxa"/>
            <w:tcBorders>
              <w:top w:val="nil"/>
              <w:left w:val="single" w:sz="4" w:space="0" w:color="auto"/>
              <w:bottom w:val="single" w:sz="4" w:space="0" w:color="auto"/>
              <w:right w:val="single" w:sz="4" w:space="0" w:color="auto"/>
            </w:tcBorders>
            <w:shd w:val="clear" w:color="auto" w:fill="auto"/>
            <w:noWrap/>
            <w:vAlign w:val="center"/>
            <w:hideMark/>
          </w:tcPr>
          <w:p w14:paraId="4901AA8E" w14:textId="77777777" w:rsidR="00C74B3F" w:rsidRPr="00746E61" w:rsidRDefault="00C74B3F"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Ejecución de la Pena de Cartago</w:t>
            </w:r>
          </w:p>
        </w:tc>
        <w:tc>
          <w:tcPr>
            <w:tcW w:w="986" w:type="dxa"/>
            <w:tcBorders>
              <w:top w:val="nil"/>
              <w:left w:val="nil"/>
              <w:bottom w:val="single" w:sz="4" w:space="0" w:color="auto"/>
              <w:right w:val="single" w:sz="4" w:space="0" w:color="auto"/>
            </w:tcBorders>
            <w:shd w:val="clear" w:color="auto" w:fill="auto"/>
            <w:noWrap/>
            <w:vAlign w:val="center"/>
            <w:hideMark/>
          </w:tcPr>
          <w:p w14:paraId="5FF8E1DA" w14:textId="77777777" w:rsidR="00C74B3F" w:rsidRPr="00746E61" w:rsidRDefault="00C74B3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193</w:t>
            </w:r>
          </w:p>
        </w:tc>
        <w:tc>
          <w:tcPr>
            <w:tcW w:w="1005" w:type="dxa"/>
            <w:tcBorders>
              <w:top w:val="nil"/>
              <w:left w:val="nil"/>
              <w:bottom w:val="single" w:sz="4" w:space="0" w:color="auto"/>
              <w:right w:val="single" w:sz="4" w:space="0" w:color="auto"/>
            </w:tcBorders>
            <w:shd w:val="clear" w:color="auto" w:fill="auto"/>
            <w:noWrap/>
            <w:vAlign w:val="center"/>
            <w:hideMark/>
          </w:tcPr>
          <w:p w14:paraId="69FD40FC" w14:textId="77777777" w:rsidR="00C74B3F" w:rsidRPr="00746E61" w:rsidRDefault="00C74B3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196</w:t>
            </w:r>
          </w:p>
        </w:tc>
        <w:tc>
          <w:tcPr>
            <w:tcW w:w="980" w:type="dxa"/>
            <w:tcBorders>
              <w:top w:val="nil"/>
              <w:left w:val="nil"/>
              <w:bottom w:val="single" w:sz="4" w:space="0" w:color="auto"/>
              <w:right w:val="single" w:sz="4" w:space="0" w:color="auto"/>
            </w:tcBorders>
            <w:shd w:val="clear" w:color="auto" w:fill="auto"/>
            <w:noWrap/>
            <w:vAlign w:val="center"/>
            <w:hideMark/>
          </w:tcPr>
          <w:p w14:paraId="33B2E6C1" w14:textId="77777777" w:rsidR="00C74B3F" w:rsidRPr="00746E61" w:rsidRDefault="00C74B3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170</w:t>
            </w:r>
          </w:p>
        </w:tc>
        <w:tc>
          <w:tcPr>
            <w:tcW w:w="1796" w:type="dxa"/>
            <w:tcBorders>
              <w:top w:val="nil"/>
              <w:left w:val="nil"/>
              <w:bottom w:val="single" w:sz="4" w:space="0" w:color="auto"/>
              <w:right w:val="single" w:sz="4" w:space="0" w:color="auto"/>
            </w:tcBorders>
            <w:shd w:val="clear" w:color="auto" w:fill="auto"/>
            <w:vAlign w:val="center"/>
            <w:hideMark/>
          </w:tcPr>
          <w:p w14:paraId="714B4078" w14:textId="77777777" w:rsidR="00C74B3F" w:rsidRPr="00746E61" w:rsidRDefault="00C74B3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-11,60%</w:t>
            </w:r>
          </w:p>
        </w:tc>
        <w:tc>
          <w:tcPr>
            <w:tcW w:w="1796" w:type="dxa"/>
            <w:tcBorders>
              <w:top w:val="nil"/>
              <w:left w:val="nil"/>
              <w:bottom w:val="single" w:sz="4" w:space="0" w:color="auto"/>
              <w:right w:val="single" w:sz="4" w:space="0" w:color="auto"/>
            </w:tcBorders>
            <w:shd w:val="clear" w:color="auto" w:fill="auto"/>
            <w:vAlign w:val="center"/>
            <w:hideMark/>
          </w:tcPr>
          <w:p w14:paraId="6EF52AEF" w14:textId="77777777" w:rsidR="00C74B3F" w:rsidRPr="00746E61" w:rsidRDefault="00C74B3F"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-13,20%</w:t>
            </w:r>
          </w:p>
        </w:tc>
      </w:tr>
      <w:tr w:rsidR="00C74B3F" w:rsidRPr="00746E61" w14:paraId="49A61982" w14:textId="77777777" w:rsidTr="00C74B3F">
        <w:trPr>
          <w:trHeight w:val="240"/>
          <w:jc w:val="center"/>
        </w:trPr>
        <w:tc>
          <w:tcPr>
            <w:tcW w:w="3545" w:type="dxa"/>
            <w:tcBorders>
              <w:top w:val="nil"/>
              <w:left w:val="single" w:sz="4" w:space="0" w:color="auto"/>
              <w:bottom w:val="single" w:sz="4" w:space="0" w:color="auto"/>
              <w:right w:val="single" w:sz="4" w:space="0" w:color="auto"/>
            </w:tcBorders>
            <w:shd w:val="clear" w:color="auto" w:fill="auto"/>
            <w:vAlign w:val="center"/>
            <w:hideMark/>
          </w:tcPr>
          <w:p w14:paraId="2EDCCA77" w14:textId="77777777" w:rsidR="00C74B3F" w:rsidRPr="00746E61" w:rsidRDefault="00C74B3F" w:rsidP="00746E61">
            <w:pPr>
              <w:spacing w:line="276" w:lineRule="auto"/>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Total</w:t>
            </w:r>
          </w:p>
        </w:tc>
        <w:tc>
          <w:tcPr>
            <w:tcW w:w="986" w:type="dxa"/>
            <w:tcBorders>
              <w:top w:val="nil"/>
              <w:left w:val="nil"/>
              <w:bottom w:val="single" w:sz="4" w:space="0" w:color="auto"/>
              <w:right w:val="single" w:sz="4" w:space="0" w:color="auto"/>
            </w:tcBorders>
            <w:shd w:val="clear" w:color="auto" w:fill="auto"/>
            <w:vAlign w:val="center"/>
            <w:hideMark/>
          </w:tcPr>
          <w:p w14:paraId="674FFC9D" w14:textId="77777777" w:rsidR="00C74B3F" w:rsidRPr="00746E61" w:rsidRDefault="00C74B3F"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1234</w:t>
            </w:r>
          </w:p>
        </w:tc>
        <w:tc>
          <w:tcPr>
            <w:tcW w:w="1005" w:type="dxa"/>
            <w:tcBorders>
              <w:top w:val="nil"/>
              <w:left w:val="nil"/>
              <w:bottom w:val="single" w:sz="4" w:space="0" w:color="auto"/>
              <w:right w:val="single" w:sz="4" w:space="0" w:color="auto"/>
            </w:tcBorders>
            <w:shd w:val="clear" w:color="auto" w:fill="auto"/>
            <w:vAlign w:val="center"/>
            <w:hideMark/>
          </w:tcPr>
          <w:p w14:paraId="029AF485" w14:textId="77777777" w:rsidR="00C74B3F" w:rsidRPr="00746E61" w:rsidRDefault="00C74B3F"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1316</w:t>
            </w:r>
          </w:p>
        </w:tc>
        <w:tc>
          <w:tcPr>
            <w:tcW w:w="980" w:type="dxa"/>
            <w:tcBorders>
              <w:top w:val="nil"/>
              <w:left w:val="nil"/>
              <w:bottom w:val="single" w:sz="4" w:space="0" w:color="auto"/>
              <w:right w:val="single" w:sz="4" w:space="0" w:color="auto"/>
            </w:tcBorders>
            <w:shd w:val="clear" w:color="auto" w:fill="auto"/>
            <w:vAlign w:val="center"/>
            <w:hideMark/>
          </w:tcPr>
          <w:p w14:paraId="0DA351DC" w14:textId="77777777" w:rsidR="00C74B3F" w:rsidRPr="00746E61" w:rsidRDefault="00C74B3F"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1476</w:t>
            </w:r>
          </w:p>
        </w:tc>
        <w:tc>
          <w:tcPr>
            <w:tcW w:w="1796" w:type="dxa"/>
            <w:tcBorders>
              <w:top w:val="nil"/>
              <w:left w:val="nil"/>
              <w:bottom w:val="single" w:sz="4" w:space="0" w:color="auto"/>
              <w:right w:val="single" w:sz="4" w:space="0" w:color="auto"/>
            </w:tcBorders>
            <w:shd w:val="clear" w:color="auto" w:fill="auto"/>
            <w:vAlign w:val="center"/>
            <w:hideMark/>
          </w:tcPr>
          <w:p w14:paraId="4D881999" w14:textId="77777777" w:rsidR="00C74B3F" w:rsidRPr="00746E61" w:rsidRDefault="00C74B3F"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19,61%</w:t>
            </w:r>
          </w:p>
        </w:tc>
        <w:tc>
          <w:tcPr>
            <w:tcW w:w="1796" w:type="dxa"/>
            <w:tcBorders>
              <w:top w:val="nil"/>
              <w:left w:val="nil"/>
              <w:bottom w:val="single" w:sz="4" w:space="0" w:color="auto"/>
              <w:right w:val="single" w:sz="4" w:space="0" w:color="auto"/>
            </w:tcBorders>
            <w:shd w:val="clear" w:color="auto" w:fill="auto"/>
            <w:vAlign w:val="center"/>
            <w:hideMark/>
          </w:tcPr>
          <w:p w14:paraId="794AE7A8" w14:textId="77777777" w:rsidR="00C74B3F" w:rsidRPr="00746E61" w:rsidRDefault="00C74B3F"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12,15%</w:t>
            </w:r>
          </w:p>
        </w:tc>
      </w:tr>
    </w:tbl>
    <w:p w14:paraId="6882BC9F" w14:textId="3FB7822A" w:rsidR="0001329C" w:rsidRPr="00746E61" w:rsidRDefault="0059268A" w:rsidP="00746E61">
      <w:pPr>
        <w:spacing w:line="276" w:lineRule="auto"/>
        <w:jc w:val="center"/>
        <w:rPr>
          <w:rFonts w:ascii="Book Antiqua" w:hAnsi="Book Antiqua"/>
          <w:lang w:val="es-ES_tradnl" w:eastAsia="en-US"/>
        </w:rPr>
      </w:pPr>
      <w:r w:rsidRPr="00746E61">
        <w:rPr>
          <w:rFonts w:ascii="Book Antiqua" w:hAnsi="Book Antiqua" w:cs="Calibri"/>
          <w:b/>
          <w:bCs/>
          <w:color w:val="000000"/>
          <w:sz w:val="20"/>
          <w:szCs w:val="20"/>
          <w:lang w:eastAsia="es-CR"/>
        </w:rPr>
        <w:t>Fuente:</w:t>
      </w:r>
      <w:r w:rsidRPr="00746E61">
        <w:rPr>
          <w:rFonts w:ascii="Book Antiqua" w:hAnsi="Book Antiqua" w:cs="Calibri"/>
          <w:color w:val="000000"/>
          <w:sz w:val="20"/>
          <w:szCs w:val="20"/>
          <w:lang w:eastAsia="es-CR"/>
        </w:rPr>
        <w:t xml:space="preserve"> Elaboración propia a partir de las estadísticas del Subproceso de Estadística</w:t>
      </w:r>
    </w:p>
    <w:p w14:paraId="23998E5E" w14:textId="3B861F57" w:rsidR="0001329C" w:rsidRDefault="0001329C" w:rsidP="00746E61">
      <w:pPr>
        <w:spacing w:line="276" w:lineRule="auto"/>
        <w:jc w:val="center"/>
        <w:rPr>
          <w:rFonts w:ascii="Book Antiqua" w:hAnsi="Book Antiqua"/>
          <w:lang w:val="es-ES_tradnl" w:eastAsia="en-US"/>
        </w:rPr>
      </w:pPr>
    </w:p>
    <w:p w14:paraId="236D3069" w14:textId="4FD797E5" w:rsidR="00DE1834" w:rsidRDefault="00DE1834" w:rsidP="00DE1834">
      <w:pPr>
        <w:spacing w:line="276" w:lineRule="auto"/>
        <w:jc w:val="both"/>
        <w:rPr>
          <w:rFonts w:ascii="Book Antiqua" w:hAnsi="Book Antiqua"/>
          <w:lang w:val="es-ES_tradnl" w:eastAsia="en-US"/>
        </w:rPr>
      </w:pPr>
      <w:r>
        <w:rPr>
          <w:rFonts w:ascii="Book Antiqua" w:hAnsi="Book Antiqua"/>
          <w:lang w:val="es-ES_tradnl" w:eastAsia="en-US"/>
        </w:rPr>
        <w:t xml:space="preserve">Esta materia ha tenido especial impacto durante la pandemia, ya que, se ha incrementado la entrada de asuntos, con solicitudes de las personas privadas de libertad, lo que ha evolucionado en la forma de trabajo de estos despachos. </w:t>
      </w:r>
    </w:p>
    <w:p w14:paraId="1CEB1A1D" w14:textId="77777777" w:rsidR="00DE1834" w:rsidRPr="00746E61" w:rsidRDefault="00DE1834" w:rsidP="00DE1834">
      <w:pPr>
        <w:spacing w:line="276" w:lineRule="auto"/>
        <w:jc w:val="both"/>
        <w:rPr>
          <w:rFonts w:ascii="Book Antiqua" w:hAnsi="Book Antiqua"/>
          <w:lang w:val="es-ES_tradnl" w:eastAsia="en-US"/>
        </w:rPr>
      </w:pPr>
    </w:p>
    <w:p w14:paraId="1AA9A1A1" w14:textId="61C42E10" w:rsidR="0001329C" w:rsidRPr="00746E61" w:rsidRDefault="2335A859" w:rsidP="57A79FF7">
      <w:pPr>
        <w:spacing w:line="276" w:lineRule="auto"/>
        <w:outlineLvl w:val="2"/>
        <w:rPr>
          <w:b/>
          <w:lang w:val="es-ES" w:eastAsia="en-US"/>
        </w:rPr>
      </w:pPr>
      <w:r w:rsidRPr="57A79FF7">
        <w:rPr>
          <w:rFonts w:ascii="Book Antiqua" w:hAnsi="Book Antiqua"/>
          <w:b/>
          <w:bCs/>
          <w:lang w:val="es-ES" w:eastAsia="en-US"/>
        </w:rPr>
        <w:t xml:space="preserve">3.4.2 </w:t>
      </w:r>
      <w:r w:rsidR="0001329C" w:rsidRPr="57A79FF7">
        <w:rPr>
          <w:rFonts w:ascii="Book Antiqua" w:hAnsi="Book Antiqua"/>
          <w:b/>
          <w:lang w:val="es-ES" w:eastAsia="en-US"/>
        </w:rPr>
        <w:t>Asuntos terminados</w:t>
      </w:r>
    </w:p>
    <w:p w14:paraId="78AA5B00" w14:textId="77777777" w:rsidR="0001329C" w:rsidRPr="00746E61" w:rsidRDefault="0001329C" w:rsidP="00746E61">
      <w:pPr>
        <w:spacing w:line="276" w:lineRule="auto"/>
        <w:jc w:val="center"/>
        <w:rPr>
          <w:rFonts w:ascii="Book Antiqua" w:hAnsi="Book Antiqua"/>
          <w:b/>
          <w:bCs/>
          <w:lang w:val="es-ES_tradnl" w:eastAsia="en-US"/>
        </w:rPr>
      </w:pPr>
    </w:p>
    <w:p w14:paraId="4578E728" w14:textId="10C0B1F9" w:rsidR="0001329C" w:rsidRPr="00746E61" w:rsidRDefault="00F963C2" w:rsidP="00746E61">
      <w:pPr>
        <w:spacing w:line="276" w:lineRule="auto"/>
        <w:jc w:val="both"/>
        <w:rPr>
          <w:rFonts w:ascii="Book Antiqua" w:hAnsi="Book Antiqua" w:cs="Arial"/>
        </w:rPr>
      </w:pPr>
      <w:bookmarkStart w:id="13" w:name="_Hlk87893142"/>
      <w:r w:rsidRPr="00746E61">
        <w:rPr>
          <w:rFonts w:ascii="Book Antiqua" w:hAnsi="Book Antiqua" w:cs="Arial"/>
        </w:rPr>
        <w:t xml:space="preserve">En lo que concierna a los casos culminados de enero a </w:t>
      </w:r>
      <w:r w:rsidR="00D972C2" w:rsidRPr="00746E61">
        <w:rPr>
          <w:rFonts w:ascii="Book Antiqua" w:hAnsi="Book Antiqua" w:cs="Arial"/>
        </w:rPr>
        <w:t>setiembre</w:t>
      </w:r>
      <w:r w:rsidRPr="00746E61">
        <w:rPr>
          <w:rFonts w:ascii="Book Antiqua" w:hAnsi="Book Antiqua" w:cs="Arial"/>
        </w:rPr>
        <w:t xml:space="preserve"> del año en curso, se obtiene un promedio de terminados mensual de </w:t>
      </w:r>
      <w:r w:rsidR="004C1F04" w:rsidRPr="00746E61">
        <w:rPr>
          <w:rFonts w:ascii="Book Antiqua" w:hAnsi="Book Antiqua" w:cs="Arial"/>
        </w:rPr>
        <w:t>13</w:t>
      </w:r>
      <w:r w:rsidR="00D972C2" w:rsidRPr="00746E61">
        <w:rPr>
          <w:rFonts w:ascii="Book Antiqua" w:hAnsi="Book Antiqua" w:cs="Arial"/>
        </w:rPr>
        <w:t>5</w:t>
      </w:r>
      <w:r w:rsidR="004C1F04" w:rsidRPr="00746E61">
        <w:rPr>
          <w:rFonts w:ascii="Book Antiqua" w:hAnsi="Book Antiqua" w:cs="Arial"/>
        </w:rPr>
        <w:t>2</w:t>
      </w:r>
      <w:r w:rsidRPr="00746E61">
        <w:rPr>
          <w:rFonts w:ascii="Book Antiqua" w:hAnsi="Book Antiqua" w:cs="Arial"/>
        </w:rPr>
        <w:t xml:space="preserve"> asuntos, por lo que, </w:t>
      </w:r>
      <w:r w:rsidR="00E04437" w:rsidRPr="00746E61">
        <w:rPr>
          <w:rFonts w:ascii="Book Antiqua" w:hAnsi="Book Antiqua" w:cs="Arial"/>
        </w:rPr>
        <w:t xml:space="preserve">significa </w:t>
      </w:r>
      <w:r w:rsidR="00D761EB" w:rsidRPr="00746E61">
        <w:rPr>
          <w:rFonts w:ascii="Book Antiqua" w:hAnsi="Book Antiqua" w:cs="Arial"/>
        </w:rPr>
        <w:t xml:space="preserve">un </w:t>
      </w:r>
      <w:r w:rsidR="00E04437" w:rsidRPr="00746E61">
        <w:rPr>
          <w:rFonts w:ascii="Book Antiqua" w:hAnsi="Book Antiqua" w:cs="Arial"/>
        </w:rPr>
        <w:t xml:space="preserve">incremento </w:t>
      </w:r>
      <w:r w:rsidRPr="00746E61">
        <w:rPr>
          <w:rFonts w:ascii="Book Antiqua" w:hAnsi="Book Antiqua" w:cs="Arial"/>
        </w:rPr>
        <w:t xml:space="preserve">del </w:t>
      </w:r>
      <w:r w:rsidR="004C1F04" w:rsidRPr="00746E61">
        <w:rPr>
          <w:rFonts w:ascii="Book Antiqua" w:hAnsi="Book Antiqua" w:cs="Arial"/>
        </w:rPr>
        <w:t>2</w:t>
      </w:r>
      <w:r w:rsidR="00D972C2" w:rsidRPr="00746E61">
        <w:rPr>
          <w:rFonts w:ascii="Book Antiqua" w:hAnsi="Book Antiqua" w:cs="Arial"/>
        </w:rPr>
        <w:t>1</w:t>
      </w:r>
      <w:r w:rsidR="004C1F04" w:rsidRPr="00746E61">
        <w:rPr>
          <w:rFonts w:ascii="Book Antiqua" w:hAnsi="Book Antiqua" w:cs="Arial"/>
        </w:rPr>
        <w:t>.</w:t>
      </w:r>
      <w:r w:rsidR="00D972C2" w:rsidRPr="00746E61">
        <w:rPr>
          <w:rFonts w:ascii="Book Antiqua" w:hAnsi="Book Antiqua" w:cs="Arial"/>
        </w:rPr>
        <w:t>27</w:t>
      </w:r>
      <w:r w:rsidRPr="00746E61">
        <w:rPr>
          <w:rFonts w:ascii="Book Antiqua" w:hAnsi="Book Antiqua" w:cs="Arial"/>
        </w:rPr>
        <w:t xml:space="preserve">% </w:t>
      </w:r>
      <w:r w:rsidR="004C1F04" w:rsidRPr="00746E61">
        <w:rPr>
          <w:rFonts w:ascii="Book Antiqua" w:hAnsi="Book Antiqua" w:cs="Arial"/>
        </w:rPr>
        <w:t xml:space="preserve">y </w:t>
      </w:r>
      <w:r w:rsidR="00D972C2" w:rsidRPr="00746E61">
        <w:rPr>
          <w:rFonts w:ascii="Book Antiqua" w:hAnsi="Book Antiqua" w:cs="Arial"/>
        </w:rPr>
        <w:t>14</w:t>
      </w:r>
      <w:r w:rsidR="004C1F04" w:rsidRPr="00746E61">
        <w:rPr>
          <w:rFonts w:ascii="Book Antiqua" w:hAnsi="Book Antiqua" w:cs="Arial"/>
        </w:rPr>
        <w:t>.</w:t>
      </w:r>
      <w:r w:rsidR="00D972C2" w:rsidRPr="00746E61">
        <w:rPr>
          <w:rFonts w:ascii="Book Antiqua" w:hAnsi="Book Antiqua" w:cs="Arial"/>
        </w:rPr>
        <w:t>79</w:t>
      </w:r>
      <w:r w:rsidR="004C1F04" w:rsidRPr="00746E61">
        <w:rPr>
          <w:rFonts w:ascii="Book Antiqua" w:hAnsi="Book Antiqua" w:cs="Arial"/>
        </w:rPr>
        <w:t xml:space="preserve">% en </w:t>
      </w:r>
      <w:r w:rsidR="00BF460D" w:rsidRPr="00746E61">
        <w:rPr>
          <w:rFonts w:ascii="Book Antiqua" w:hAnsi="Book Antiqua" w:cs="Arial"/>
        </w:rPr>
        <w:t>comparación</w:t>
      </w:r>
      <w:r w:rsidR="004C1F04" w:rsidRPr="00746E61">
        <w:rPr>
          <w:rFonts w:ascii="Book Antiqua" w:hAnsi="Book Antiqua" w:cs="Arial"/>
        </w:rPr>
        <w:t xml:space="preserve"> </w:t>
      </w:r>
      <w:r w:rsidR="00BF460D" w:rsidRPr="00746E61">
        <w:rPr>
          <w:rFonts w:ascii="Book Antiqua" w:hAnsi="Book Antiqua" w:cs="Arial"/>
        </w:rPr>
        <w:t>con</w:t>
      </w:r>
      <w:r w:rsidR="004C1F04" w:rsidRPr="00746E61">
        <w:rPr>
          <w:rFonts w:ascii="Book Antiqua" w:hAnsi="Book Antiqua" w:cs="Arial"/>
        </w:rPr>
        <w:t xml:space="preserve"> los periodos 2019 y 2020 </w:t>
      </w:r>
      <w:r w:rsidR="00E04437" w:rsidRPr="00746E61">
        <w:rPr>
          <w:rFonts w:ascii="Book Antiqua" w:hAnsi="Book Antiqua" w:cs="Arial"/>
        </w:rPr>
        <w:t>respectivamente.</w:t>
      </w:r>
      <w:r w:rsidRPr="00746E61">
        <w:rPr>
          <w:rFonts w:ascii="Book Antiqua" w:hAnsi="Book Antiqua" w:cs="Arial"/>
        </w:rPr>
        <w:t xml:space="preserve"> </w:t>
      </w:r>
      <w:bookmarkEnd w:id="13"/>
      <w:r w:rsidR="00BF460D" w:rsidRPr="00746E61">
        <w:rPr>
          <w:rFonts w:ascii="Book Antiqua" w:hAnsi="Book Antiqua" w:cs="Arial"/>
        </w:rPr>
        <w:t xml:space="preserve">Importante resaltar </w:t>
      </w:r>
      <w:r w:rsidR="00CA5C2D" w:rsidRPr="00746E61">
        <w:rPr>
          <w:rFonts w:ascii="Book Antiqua" w:hAnsi="Book Antiqua" w:cs="Arial"/>
        </w:rPr>
        <w:t>que,</w:t>
      </w:r>
      <w:r w:rsidR="00BF460D" w:rsidRPr="00746E61">
        <w:rPr>
          <w:rFonts w:ascii="Book Antiqua" w:hAnsi="Book Antiqua" w:cs="Arial"/>
        </w:rPr>
        <w:t xml:space="preserve"> pese a las </w:t>
      </w:r>
      <w:r w:rsidR="00CA5C2D" w:rsidRPr="00746E61">
        <w:rPr>
          <w:rFonts w:ascii="Book Antiqua" w:hAnsi="Book Antiqua" w:cs="Arial"/>
        </w:rPr>
        <w:t xml:space="preserve">diversas </w:t>
      </w:r>
      <w:r w:rsidR="00BF460D" w:rsidRPr="00746E61">
        <w:rPr>
          <w:rFonts w:ascii="Book Antiqua" w:hAnsi="Book Antiqua" w:cs="Arial"/>
        </w:rPr>
        <w:t xml:space="preserve">medidas sanitarias, producto de la emergencia nacional, los juzgados de ejecución de la pena, excepto Puntarenas, </w:t>
      </w:r>
      <w:r w:rsidR="00174F3A" w:rsidRPr="00746E61">
        <w:rPr>
          <w:rFonts w:ascii="Book Antiqua" w:hAnsi="Book Antiqua" w:cs="Arial"/>
        </w:rPr>
        <w:t>logra</w:t>
      </w:r>
      <w:r w:rsidR="00CA5C2D" w:rsidRPr="00746E61">
        <w:rPr>
          <w:rFonts w:ascii="Book Antiqua" w:hAnsi="Book Antiqua" w:cs="Arial"/>
        </w:rPr>
        <w:t>n incrementar su promedio mensual.</w:t>
      </w:r>
      <w:r w:rsidR="004E0DFF">
        <w:rPr>
          <w:rFonts w:ascii="Book Antiqua" w:hAnsi="Book Antiqua" w:cs="Arial"/>
        </w:rPr>
        <w:t xml:space="preserve"> Esto debido al fuerte impulso que se le ha dado institucionalmente a la virtualidad para lograr resolver en tiempo y forma las necesidades de las personas privadas de libertad.</w:t>
      </w:r>
    </w:p>
    <w:p w14:paraId="729A65C7" w14:textId="77777777" w:rsidR="004A7D8B" w:rsidRPr="00746E61" w:rsidRDefault="004A7D8B" w:rsidP="00746E61">
      <w:pPr>
        <w:spacing w:line="276" w:lineRule="auto"/>
        <w:jc w:val="both"/>
        <w:rPr>
          <w:rFonts w:ascii="Book Antiqua" w:hAnsi="Book Antiqua" w:cs="Arial"/>
        </w:rPr>
      </w:pPr>
    </w:p>
    <w:p w14:paraId="4A48C398" w14:textId="56EC66C9" w:rsidR="0001329C" w:rsidRPr="00746E61" w:rsidRDefault="004A7D8B" w:rsidP="00746E61">
      <w:pPr>
        <w:spacing w:line="276" w:lineRule="auto"/>
        <w:jc w:val="both"/>
        <w:rPr>
          <w:rFonts w:ascii="Book Antiqua" w:hAnsi="Book Antiqua" w:cs="Arial"/>
        </w:rPr>
      </w:pPr>
      <w:r w:rsidRPr="00746E61">
        <w:rPr>
          <w:rFonts w:ascii="Book Antiqua" w:hAnsi="Book Antiqua" w:cs="Arial"/>
        </w:rPr>
        <w:t>En</w:t>
      </w:r>
      <w:r w:rsidR="0001329C" w:rsidRPr="00746E61">
        <w:rPr>
          <w:rFonts w:ascii="Book Antiqua" w:hAnsi="Book Antiqua" w:cs="Arial"/>
        </w:rPr>
        <w:t xml:space="preserve"> el </w:t>
      </w:r>
      <w:r w:rsidR="0001329C" w:rsidRPr="00746E61">
        <w:rPr>
          <w:rFonts w:ascii="Book Antiqua" w:hAnsi="Book Antiqua" w:cs="Arial"/>
          <w:b/>
          <w:bCs/>
        </w:rPr>
        <w:t>Cuadro 23,</w:t>
      </w:r>
      <w:r w:rsidR="0001329C" w:rsidRPr="00746E61">
        <w:rPr>
          <w:rFonts w:ascii="Book Antiqua" w:hAnsi="Book Antiqua" w:cs="Arial"/>
        </w:rPr>
        <w:t xml:space="preserve"> se registran los datos mencionados.</w:t>
      </w:r>
    </w:p>
    <w:p w14:paraId="0C245726" w14:textId="64A53D8E" w:rsidR="0001329C" w:rsidRPr="00746E61" w:rsidRDefault="0001329C" w:rsidP="00746E61">
      <w:pPr>
        <w:spacing w:line="276" w:lineRule="auto"/>
        <w:jc w:val="both"/>
        <w:rPr>
          <w:rFonts w:ascii="Book Antiqua" w:hAnsi="Book Antiqua" w:cs="Arial"/>
        </w:rPr>
      </w:pPr>
    </w:p>
    <w:p w14:paraId="32376B52" w14:textId="16E860C6" w:rsidR="00323191" w:rsidRPr="00746E61" w:rsidRDefault="00323191" w:rsidP="00746E61">
      <w:pPr>
        <w:widowControl w:val="0"/>
        <w:autoSpaceDE w:val="0"/>
        <w:spacing w:line="276" w:lineRule="auto"/>
        <w:ind w:left="1080" w:right="51"/>
        <w:jc w:val="center"/>
        <w:rPr>
          <w:rFonts w:ascii="Book Antiqua" w:hAnsi="Book Antiqua" w:cs="Arial"/>
          <w:b/>
          <w:bCs/>
        </w:rPr>
      </w:pPr>
      <w:r w:rsidRPr="00746E61">
        <w:rPr>
          <w:rFonts w:ascii="Book Antiqua" w:hAnsi="Book Antiqua" w:cs="Arial"/>
          <w:b/>
          <w:bCs/>
        </w:rPr>
        <w:t>Cuadro 23</w:t>
      </w:r>
    </w:p>
    <w:p w14:paraId="3B8B28B3" w14:textId="13E9D6EA" w:rsidR="00323191" w:rsidRPr="00746E61" w:rsidRDefault="00323191" w:rsidP="00746E61">
      <w:pPr>
        <w:spacing w:line="276" w:lineRule="auto"/>
        <w:jc w:val="center"/>
        <w:rPr>
          <w:rFonts w:ascii="Book Antiqua" w:hAnsi="Book Antiqua"/>
          <w:lang w:val="es-ES_tradnl" w:eastAsia="en-US"/>
        </w:rPr>
      </w:pPr>
      <w:r w:rsidRPr="00746E61">
        <w:rPr>
          <w:rFonts w:ascii="Book Antiqua" w:hAnsi="Book Antiqua"/>
          <w:lang w:val="es-ES_tradnl" w:eastAsia="en-US"/>
        </w:rPr>
        <w:t xml:space="preserve">Promedio mensual de asuntos terminados en los Juzgados de Ejecución de la Pena entre el periodo comprendido de enero 2019 a </w:t>
      </w:r>
      <w:r w:rsidR="00BF460D" w:rsidRPr="00746E61">
        <w:rPr>
          <w:rFonts w:ascii="Book Antiqua" w:hAnsi="Book Antiqua"/>
          <w:lang w:val="es-ES_tradnl" w:eastAsia="en-US"/>
        </w:rPr>
        <w:t>setiembre</w:t>
      </w:r>
      <w:r w:rsidRPr="00746E61">
        <w:rPr>
          <w:rFonts w:ascii="Book Antiqua" w:hAnsi="Book Antiqua"/>
          <w:lang w:val="es-ES_tradnl" w:eastAsia="en-US"/>
        </w:rPr>
        <w:t xml:space="preserve"> de 2021</w:t>
      </w:r>
    </w:p>
    <w:tbl>
      <w:tblPr>
        <w:tblW w:w="10105" w:type="dxa"/>
        <w:jc w:val="center"/>
        <w:tblCellMar>
          <w:left w:w="70" w:type="dxa"/>
          <w:right w:w="70" w:type="dxa"/>
        </w:tblCellMar>
        <w:tblLook w:val="04A0" w:firstRow="1" w:lastRow="0" w:firstColumn="1" w:lastColumn="0" w:noHBand="0" w:noVBand="1"/>
      </w:tblPr>
      <w:tblGrid>
        <w:gridCol w:w="3329"/>
        <w:gridCol w:w="1032"/>
        <w:gridCol w:w="1032"/>
        <w:gridCol w:w="1032"/>
        <w:gridCol w:w="1840"/>
        <w:gridCol w:w="1840"/>
      </w:tblGrid>
      <w:tr w:rsidR="00275965" w:rsidRPr="00746E61" w14:paraId="0EC5EE04" w14:textId="77777777" w:rsidTr="00275965">
        <w:trPr>
          <w:trHeight w:val="792"/>
          <w:jc w:val="center"/>
        </w:trPr>
        <w:tc>
          <w:tcPr>
            <w:tcW w:w="3329"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77947A3A" w14:textId="77777777" w:rsidR="00275965" w:rsidRPr="00746E61" w:rsidRDefault="00275965" w:rsidP="00746E61">
            <w:pPr>
              <w:spacing w:line="276" w:lineRule="auto"/>
              <w:jc w:val="center"/>
              <w:rPr>
                <w:rFonts w:ascii="Book Antiqua" w:hAnsi="Book Antiqua" w:cs="Calibri"/>
                <w:b/>
                <w:bCs/>
                <w:color w:val="FFFFFF"/>
                <w:sz w:val="16"/>
                <w:szCs w:val="16"/>
                <w:lang w:eastAsia="es-CR"/>
              </w:rPr>
            </w:pPr>
            <w:r w:rsidRPr="00746E61">
              <w:rPr>
                <w:rFonts w:ascii="Book Antiqua" w:hAnsi="Book Antiqua" w:cs="Calibri"/>
                <w:b/>
                <w:bCs/>
                <w:color w:val="FFFFFF"/>
                <w:sz w:val="16"/>
                <w:szCs w:val="16"/>
                <w:lang w:eastAsia="es-CR"/>
              </w:rPr>
              <w:t>Despachos</w:t>
            </w:r>
          </w:p>
        </w:tc>
        <w:tc>
          <w:tcPr>
            <w:tcW w:w="1032" w:type="dxa"/>
            <w:tcBorders>
              <w:top w:val="single" w:sz="4" w:space="0" w:color="auto"/>
              <w:left w:val="nil"/>
              <w:bottom w:val="single" w:sz="4" w:space="0" w:color="auto"/>
              <w:right w:val="single" w:sz="4" w:space="0" w:color="auto"/>
            </w:tcBorders>
            <w:shd w:val="clear" w:color="000000" w:fill="305496"/>
            <w:vAlign w:val="center"/>
            <w:hideMark/>
          </w:tcPr>
          <w:p w14:paraId="1621F4E4" w14:textId="77777777" w:rsidR="00275965" w:rsidRPr="00746E61" w:rsidRDefault="00275965" w:rsidP="00746E61">
            <w:pPr>
              <w:spacing w:line="276" w:lineRule="auto"/>
              <w:jc w:val="center"/>
              <w:rPr>
                <w:rFonts w:ascii="Book Antiqua" w:hAnsi="Book Antiqua" w:cs="Calibri"/>
                <w:b/>
                <w:bCs/>
                <w:color w:val="FFFFFF"/>
                <w:sz w:val="16"/>
                <w:szCs w:val="16"/>
                <w:lang w:eastAsia="es-CR"/>
              </w:rPr>
            </w:pPr>
            <w:r w:rsidRPr="00746E61">
              <w:rPr>
                <w:rFonts w:ascii="Book Antiqua" w:hAnsi="Book Antiqua" w:cs="Calibri"/>
                <w:b/>
                <w:bCs/>
                <w:color w:val="FFFFFF"/>
                <w:sz w:val="16"/>
                <w:szCs w:val="16"/>
                <w:lang w:eastAsia="es-CR"/>
              </w:rPr>
              <w:t>Promedio mensual de Terminados 2019</w:t>
            </w:r>
          </w:p>
        </w:tc>
        <w:tc>
          <w:tcPr>
            <w:tcW w:w="1032" w:type="dxa"/>
            <w:tcBorders>
              <w:top w:val="single" w:sz="4" w:space="0" w:color="auto"/>
              <w:left w:val="nil"/>
              <w:bottom w:val="single" w:sz="4" w:space="0" w:color="auto"/>
              <w:right w:val="single" w:sz="4" w:space="0" w:color="auto"/>
            </w:tcBorders>
            <w:shd w:val="clear" w:color="000000" w:fill="305496"/>
            <w:vAlign w:val="center"/>
            <w:hideMark/>
          </w:tcPr>
          <w:p w14:paraId="2FBC7F02" w14:textId="77777777" w:rsidR="00275965" w:rsidRPr="00746E61" w:rsidRDefault="00275965" w:rsidP="00746E61">
            <w:pPr>
              <w:spacing w:line="276" w:lineRule="auto"/>
              <w:jc w:val="center"/>
              <w:rPr>
                <w:rFonts w:ascii="Book Antiqua" w:hAnsi="Book Antiqua" w:cs="Calibri"/>
                <w:b/>
                <w:bCs/>
                <w:color w:val="FFFFFF"/>
                <w:sz w:val="16"/>
                <w:szCs w:val="16"/>
                <w:lang w:eastAsia="es-CR"/>
              </w:rPr>
            </w:pPr>
            <w:r w:rsidRPr="00746E61">
              <w:rPr>
                <w:rFonts w:ascii="Book Antiqua" w:hAnsi="Book Antiqua" w:cs="Calibri"/>
                <w:b/>
                <w:bCs/>
                <w:color w:val="FFFFFF"/>
                <w:sz w:val="16"/>
                <w:szCs w:val="16"/>
                <w:lang w:eastAsia="es-CR"/>
              </w:rPr>
              <w:t>Promedio mensual de Terminados 2020</w:t>
            </w:r>
          </w:p>
        </w:tc>
        <w:tc>
          <w:tcPr>
            <w:tcW w:w="1032" w:type="dxa"/>
            <w:tcBorders>
              <w:top w:val="single" w:sz="4" w:space="0" w:color="auto"/>
              <w:left w:val="nil"/>
              <w:bottom w:val="single" w:sz="4" w:space="0" w:color="auto"/>
              <w:right w:val="single" w:sz="4" w:space="0" w:color="auto"/>
            </w:tcBorders>
            <w:shd w:val="clear" w:color="000000" w:fill="305496"/>
            <w:vAlign w:val="center"/>
            <w:hideMark/>
          </w:tcPr>
          <w:p w14:paraId="6D6141B2" w14:textId="77777777" w:rsidR="00275965" w:rsidRPr="00746E61" w:rsidRDefault="00275965" w:rsidP="00746E61">
            <w:pPr>
              <w:spacing w:line="276" w:lineRule="auto"/>
              <w:jc w:val="center"/>
              <w:rPr>
                <w:rFonts w:ascii="Book Antiqua" w:hAnsi="Book Antiqua" w:cs="Calibri"/>
                <w:b/>
                <w:bCs/>
                <w:color w:val="FFFFFF"/>
                <w:sz w:val="16"/>
                <w:szCs w:val="16"/>
                <w:lang w:eastAsia="es-CR"/>
              </w:rPr>
            </w:pPr>
            <w:r w:rsidRPr="00746E61">
              <w:rPr>
                <w:rFonts w:ascii="Book Antiqua" w:hAnsi="Book Antiqua" w:cs="Calibri"/>
                <w:b/>
                <w:bCs/>
                <w:color w:val="FFFFFF"/>
                <w:sz w:val="16"/>
                <w:szCs w:val="16"/>
                <w:lang w:eastAsia="es-CR"/>
              </w:rPr>
              <w:t>Promedio mensual de Terminados 2021</w:t>
            </w:r>
          </w:p>
        </w:tc>
        <w:tc>
          <w:tcPr>
            <w:tcW w:w="1840" w:type="dxa"/>
            <w:tcBorders>
              <w:top w:val="single" w:sz="4" w:space="0" w:color="auto"/>
              <w:left w:val="nil"/>
              <w:bottom w:val="single" w:sz="4" w:space="0" w:color="auto"/>
              <w:right w:val="single" w:sz="4" w:space="0" w:color="auto"/>
            </w:tcBorders>
            <w:shd w:val="clear" w:color="000000" w:fill="DDEBF7"/>
            <w:vAlign w:val="center"/>
            <w:hideMark/>
          </w:tcPr>
          <w:p w14:paraId="47223EED" w14:textId="77777777" w:rsidR="00275965" w:rsidRPr="00746E61" w:rsidRDefault="00275965" w:rsidP="00746E61">
            <w:pPr>
              <w:spacing w:line="276" w:lineRule="auto"/>
              <w:jc w:val="center"/>
              <w:rPr>
                <w:rFonts w:ascii="Book Antiqua" w:hAnsi="Book Antiqua" w:cs="Calibri"/>
                <w:b/>
                <w:bCs/>
                <w:color w:val="3A3838"/>
                <w:sz w:val="16"/>
                <w:szCs w:val="16"/>
                <w:lang w:eastAsia="es-CR"/>
              </w:rPr>
            </w:pPr>
            <w:r w:rsidRPr="00746E61">
              <w:rPr>
                <w:rFonts w:ascii="Book Antiqua" w:hAnsi="Book Antiqua" w:cs="Calibri"/>
                <w:b/>
                <w:bCs/>
                <w:color w:val="3A3838"/>
                <w:sz w:val="16"/>
                <w:szCs w:val="16"/>
                <w:lang w:eastAsia="es-CR"/>
              </w:rPr>
              <w:t>Aumento/disminución 2021vs2019</w:t>
            </w:r>
          </w:p>
        </w:tc>
        <w:tc>
          <w:tcPr>
            <w:tcW w:w="1840" w:type="dxa"/>
            <w:tcBorders>
              <w:top w:val="single" w:sz="4" w:space="0" w:color="auto"/>
              <w:left w:val="nil"/>
              <w:bottom w:val="single" w:sz="4" w:space="0" w:color="auto"/>
              <w:right w:val="single" w:sz="4" w:space="0" w:color="auto"/>
            </w:tcBorders>
            <w:shd w:val="clear" w:color="000000" w:fill="DDEBF7"/>
            <w:vAlign w:val="center"/>
            <w:hideMark/>
          </w:tcPr>
          <w:p w14:paraId="07D4EE48" w14:textId="77777777" w:rsidR="00275965" w:rsidRPr="00746E61" w:rsidRDefault="00275965" w:rsidP="00746E61">
            <w:pPr>
              <w:spacing w:line="276" w:lineRule="auto"/>
              <w:jc w:val="center"/>
              <w:rPr>
                <w:rFonts w:ascii="Book Antiqua" w:hAnsi="Book Antiqua" w:cs="Calibri"/>
                <w:b/>
                <w:bCs/>
                <w:color w:val="3A3838"/>
                <w:sz w:val="16"/>
                <w:szCs w:val="16"/>
                <w:lang w:eastAsia="es-CR"/>
              </w:rPr>
            </w:pPr>
            <w:r w:rsidRPr="00746E61">
              <w:rPr>
                <w:rFonts w:ascii="Book Antiqua" w:hAnsi="Book Antiqua" w:cs="Calibri"/>
                <w:b/>
                <w:bCs/>
                <w:color w:val="3A3838"/>
                <w:sz w:val="16"/>
                <w:szCs w:val="16"/>
                <w:lang w:eastAsia="es-CR"/>
              </w:rPr>
              <w:t>Aumento/disminución 2021vs2020</w:t>
            </w:r>
          </w:p>
        </w:tc>
      </w:tr>
      <w:tr w:rsidR="00275965" w:rsidRPr="00746E61" w14:paraId="6BC47E9C" w14:textId="77777777" w:rsidTr="00275965">
        <w:trPr>
          <w:trHeight w:val="220"/>
          <w:jc w:val="center"/>
        </w:trPr>
        <w:tc>
          <w:tcPr>
            <w:tcW w:w="3329" w:type="dxa"/>
            <w:tcBorders>
              <w:top w:val="nil"/>
              <w:left w:val="single" w:sz="4" w:space="0" w:color="auto"/>
              <w:bottom w:val="single" w:sz="4" w:space="0" w:color="auto"/>
              <w:right w:val="single" w:sz="4" w:space="0" w:color="auto"/>
            </w:tcBorders>
            <w:shd w:val="clear" w:color="auto" w:fill="auto"/>
            <w:noWrap/>
            <w:vAlign w:val="center"/>
            <w:hideMark/>
          </w:tcPr>
          <w:p w14:paraId="5A48C939" w14:textId="77777777" w:rsidR="00275965" w:rsidRPr="00746E61" w:rsidRDefault="00275965"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Ejecución de la Pena de San José</w:t>
            </w:r>
          </w:p>
        </w:tc>
        <w:tc>
          <w:tcPr>
            <w:tcW w:w="1032" w:type="dxa"/>
            <w:tcBorders>
              <w:top w:val="nil"/>
              <w:left w:val="nil"/>
              <w:bottom w:val="single" w:sz="4" w:space="0" w:color="auto"/>
              <w:right w:val="single" w:sz="4" w:space="0" w:color="auto"/>
            </w:tcBorders>
            <w:shd w:val="clear" w:color="auto" w:fill="auto"/>
            <w:noWrap/>
            <w:vAlign w:val="center"/>
            <w:hideMark/>
          </w:tcPr>
          <w:p w14:paraId="355C6B45" w14:textId="77777777" w:rsidR="00275965" w:rsidRPr="00746E61" w:rsidRDefault="0027596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152</w:t>
            </w:r>
          </w:p>
        </w:tc>
        <w:tc>
          <w:tcPr>
            <w:tcW w:w="1032" w:type="dxa"/>
            <w:tcBorders>
              <w:top w:val="nil"/>
              <w:left w:val="nil"/>
              <w:bottom w:val="single" w:sz="4" w:space="0" w:color="auto"/>
              <w:right w:val="single" w:sz="4" w:space="0" w:color="auto"/>
            </w:tcBorders>
            <w:shd w:val="clear" w:color="auto" w:fill="auto"/>
            <w:noWrap/>
            <w:vAlign w:val="center"/>
            <w:hideMark/>
          </w:tcPr>
          <w:p w14:paraId="358C0E8F" w14:textId="77777777" w:rsidR="00275965" w:rsidRPr="00746E61" w:rsidRDefault="0027596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146</w:t>
            </w:r>
          </w:p>
        </w:tc>
        <w:tc>
          <w:tcPr>
            <w:tcW w:w="1032" w:type="dxa"/>
            <w:tcBorders>
              <w:top w:val="nil"/>
              <w:left w:val="nil"/>
              <w:bottom w:val="single" w:sz="4" w:space="0" w:color="auto"/>
              <w:right w:val="single" w:sz="4" w:space="0" w:color="auto"/>
            </w:tcBorders>
            <w:shd w:val="clear" w:color="auto" w:fill="auto"/>
            <w:noWrap/>
            <w:vAlign w:val="center"/>
            <w:hideMark/>
          </w:tcPr>
          <w:p w14:paraId="59174B48" w14:textId="77777777" w:rsidR="00275965" w:rsidRPr="00746E61" w:rsidRDefault="0027596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196</w:t>
            </w:r>
          </w:p>
        </w:tc>
        <w:tc>
          <w:tcPr>
            <w:tcW w:w="1840" w:type="dxa"/>
            <w:tcBorders>
              <w:top w:val="nil"/>
              <w:left w:val="nil"/>
              <w:bottom w:val="single" w:sz="4" w:space="0" w:color="auto"/>
              <w:right w:val="single" w:sz="4" w:space="0" w:color="auto"/>
            </w:tcBorders>
            <w:shd w:val="clear" w:color="auto" w:fill="auto"/>
            <w:vAlign w:val="center"/>
            <w:hideMark/>
          </w:tcPr>
          <w:p w14:paraId="6DAFDFFF" w14:textId="77777777" w:rsidR="00275965" w:rsidRPr="00746E61" w:rsidRDefault="0027596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29,64%</w:t>
            </w:r>
          </w:p>
        </w:tc>
        <w:tc>
          <w:tcPr>
            <w:tcW w:w="1840" w:type="dxa"/>
            <w:tcBorders>
              <w:top w:val="nil"/>
              <w:left w:val="nil"/>
              <w:bottom w:val="single" w:sz="4" w:space="0" w:color="auto"/>
              <w:right w:val="single" w:sz="4" w:space="0" w:color="auto"/>
            </w:tcBorders>
            <w:shd w:val="clear" w:color="auto" w:fill="auto"/>
            <w:vAlign w:val="center"/>
            <w:hideMark/>
          </w:tcPr>
          <w:p w14:paraId="0F31277C" w14:textId="77777777" w:rsidR="00275965" w:rsidRPr="00746E61" w:rsidRDefault="0027596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34,69%</w:t>
            </w:r>
          </w:p>
        </w:tc>
      </w:tr>
      <w:tr w:rsidR="00275965" w:rsidRPr="00746E61" w14:paraId="06315734" w14:textId="77777777" w:rsidTr="00275965">
        <w:trPr>
          <w:trHeight w:val="220"/>
          <w:jc w:val="center"/>
        </w:trPr>
        <w:tc>
          <w:tcPr>
            <w:tcW w:w="3329" w:type="dxa"/>
            <w:tcBorders>
              <w:top w:val="nil"/>
              <w:left w:val="single" w:sz="4" w:space="0" w:color="auto"/>
              <w:bottom w:val="single" w:sz="4" w:space="0" w:color="auto"/>
              <w:right w:val="single" w:sz="4" w:space="0" w:color="auto"/>
            </w:tcBorders>
            <w:shd w:val="clear" w:color="auto" w:fill="auto"/>
            <w:noWrap/>
            <w:vAlign w:val="center"/>
            <w:hideMark/>
          </w:tcPr>
          <w:p w14:paraId="6C3A1A35" w14:textId="77777777" w:rsidR="00275965" w:rsidRPr="00746E61" w:rsidRDefault="00275965"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Ejecución de la Pena de Alajuela</w:t>
            </w:r>
          </w:p>
        </w:tc>
        <w:tc>
          <w:tcPr>
            <w:tcW w:w="1032" w:type="dxa"/>
            <w:tcBorders>
              <w:top w:val="nil"/>
              <w:left w:val="nil"/>
              <w:bottom w:val="single" w:sz="4" w:space="0" w:color="auto"/>
              <w:right w:val="single" w:sz="4" w:space="0" w:color="auto"/>
            </w:tcBorders>
            <w:shd w:val="clear" w:color="auto" w:fill="auto"/>
            <w:noWrap/>
            <w:vAlign w:val="center"/>
            <w:hideMark/>
          </w:tcPr>
          <w:p w14:paraId="0C0C670E" w14:textId="77777777" w:rsidR="00275965" w:rsidRPr="00746E61" w:rsidRDefault="0027596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517</w:t>
            </w:r>
          </w:p>
        </w:tc>
        <w:tc>
          <w:tcPr>
            <w:tcW w:w="1032" w:type="dxa"/>
            <w:tcBorders>
              <w:top w:val="nil"/>
              <w:left w:val="nil"/>
              <w:bottom w:val="single" w:sz="4" w:space="0" w:color="auto"/>
              <w:right w:val="single" w:sz="4" w:space="0" w:color="auto"/>
            </w:tcBorders>
            <w:shd w:val="clear" w:color="auto" w:fill="auto"/>
            <w:noWrap/>
            <w:vAlign w:val="center"/>
            <w:hideMark/>
          </w:tcPr>
          <w:p w14:paraId="52DA4B0B" w14:textId="77777777" w:rsidR="00275965" w:rsidRPr="00746E61" w:rsidRDefault="0027596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551</w:t>
            </w:r>
          </w:p>
        </w:tc>
        <w:tc>
          <w:tcPr>
            <w:tcW w:w="1032" w:type="dxa"/>
            <w:tcBorders>
              <w:top w:val="nil"/>
              <w:left w:val="nil"/>
              <w:bottom w:val="single" w:sz="4" w:space="0" w:color="auto"/>
              <w:right w:val="single" w:sz="4" w:space="0" w:color="auto"/>
            </w:tcBorders>
            <w:shd w:val="clear" w:color="auto" w:fill="auto"/>
            <w:noWrap/>
            <w:vAlign w:val="center"/>
            <w:hideMark/>
          </w:tcPr>
          <w:p w14:paraId="1B7DBF5D" w14:textId="77777777" w:rsidR="00275965" w:rsidRPr="00746E61" w:rsidRDefault="0027596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663</w:t>
            </w:r>
          </w:p>
        </w:tc>
        <w:tc>
          <w:tcPr>
            <w:tcW w:w="1840" w:type="dxa"/>
            <w:tcBorders>
              <w:top w:val="nil"/>
              <w:left w:val="nil"/>
              <w:bottom w:val="single" w:sz="4" w:space="0" w:color="auto"/>
              <w:right w:val="single" w:sz="4" w:space="0" w:color="auto"/>
            </w:tcBorders>
            <w:shd w:val="clear" w:color="auto" w:fill="auto"/>
            <w:vAlign w:val="center"/>
            <w:hideMark/>
          </w:tcPr>
          <w:p w14:paraId="42230882" w14:textId="77777777" w:rsidR="00275965" w:rsidRPr="00746E61" w:rsidRDefault="0027596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28,32%</w:t>
            </w:r>
          </w:p>
        </w:tc>
        <w:tc>
          <w:tcPr>
            <w:tcW w:w="1840" w:type="dxa"/>
            <w:tcBorders>
              <w:top w:val="nil"/>
              <w:left w:val="nil"/>
              <w:bottom w:val="single" w:sz="4" w:space="0" w:color="auto"/>
              <w:right w:val="single" w:sz="4" w:space="0" w:color="auto"/>
            </w:tcBorders>
            <w:shd w:val="clear" w:color="auto" w:fill="auto"/>
            <w:vAlign w:val="center"/>
            <w:hideMark/>
          </w:tcPr>
          <w:p w14:paraId="550A4622" w14:textId="77777777" w:rsidR="00275965" w:rsidRPr="00746E61" w:rsidRDefault="0027596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20,43%</w:t>
            </w:r>
          </w:p>
        </w:tc>
      </w:tr>
      <w:tr w:rsidR="00275965" w:rsidRPr="00746E61" w14:paraId="5AD321A7" w14:textId="77777777" w:rsidTr="00275965">
        <w:trPr>
          <w:trHeight w:val="220"/>
          <w:jc w:val="center"/>
        </w:trPr>
        <w:tc>
          <w:tcPr>
            <w:tcW w:w="3329" w:type="dxa"/>
            <w:tcBorders>
              <w:top w:val="nil"/>
              <w:left w:val="single" w:sz="4" w:space="0" w:color="auto"/>
              <w:bottom w:val="single" w:sz="4" w:space="0" w:color="auto"/>
              <w:right w:val="single" w:sz="4" w:space="0" w:color="auto"/>
            </w:tcBorders>
            <w:shd w:val="clear" w:color="auto" w:fill="auto"/>
            <w:noWrap/>
            <w:vAlign w:val="center"/>
            <w:hideMark/>
          </w:tcPr>
          <w:p w14:paraId="2DEB18FE" w14:textId="77777777" w:rsidR="00275965" w:rsidRPr="00746E61" w:rsidRDefault="00275965"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Ejecución de La Pena de Liberia</w:t>
            </w:r>
          </w:p>
        </w:tc>
        <w:tc>
          <w:tcPr>
            <w:tcW w:w="1032" w:type="dxa"/>
            <w:tcBorders>
              <w:top w:val="nil"/>
              <w:left w:val="nil"/>
              <w:bottom w:val="single" w:sz="4" w:space="0" w:color="auto"/>
              <w:right w:val="single" w:sz="4" w:space="0" w:color="auto"/>
            </w:tcBorders>
            <w:shd w:val="clear" w:color="auto" w:fill="auto"/>
            <w:noWrap/>
            <w:vAlign w:val="center"/>
            <w:hideMark/>
          </w:tcPr>
          <w:p w14:paraId="2F2A9D78" w14:textId="77777777" w:rsidR="00275965" w:rsidRPr="00746E61" w:rsidRDefault="0027596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67</w:t>
            </w:r>
          </w:p>
        </w:tc>
        <w:tc>
          <w:tcPr>
            <w:tcW w:w="1032" w:type="dxa"/>
            <w:tcBorders>
              <w:top w:val="nil"/>
              <w:left w:val="nil"/>
              <w:bottom w:val="single" w:sz="4" w:space="0" w:color="auto"/>
              <w:right w:val="single" w:sz="4" w:space="0" w:color="auto"/>
            </w:tcBorders>
            <w:shd w:val="clear" w:color="auto" w:fill="auto"/>
            <w:noWrap/>
            <w:vAlign w:val="center"/>
            <w:hideMark/>
          </w:tcPr>
          <w:p w14:paraId="10E7CC3A" w14:textId="77777777" w:rsidR="00275965" w:rsidRPr="00746E61" w:rsidRDefault="0027596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59</w:t>
            </w:r>
          </w:p>
        </w:tc>
        <w:tc>
          <w:tcPr>
            <w:tcW w:w="1032" w:type="dxa"/>
            <w:tcBorders>
              <w:top w:val="nil"/>
              <w:left w:val="nil"/>
              <w:bottom w:val="single" w:sz="4" w:space="0" w:color="auto"/>
              <w:right w:val="single" w:sz="4" w:space="0" w:color="auto"/>
            </w:tcBorders>
            <w:shd w:val="clear" w:color="auto" w:fill="auto"/>
            <w:noWrap/>
            <w:vAlign w:val="center"/>
            <w:hideMark/>
          </w:tcPr>
          <w:p w14:paraId="2792996D" w14:textId="77777777" w:rsidR="00275965" w:rsidRPr="00746E61" w:rsidRDefault="0027596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84</w:t>
            </w:r>
          </w:p>
        </w:tc>
        <w:tc>
          <w:tcPr>
            <w:tcW w:w="1840" w:type="dxa"/>
            <w:tcBorders>
              <w:top w:val="nil"/>
              <w:left w:val="nil"/>
              <w:bottom w:val="single" w:sz="4" w:space="0" w:color="auto"/>
              <w:right w:val="single" w:sz="4" w:space="0" w:color="auto"/>
            </w:tcBorders>
            <w:shd w:val="clear" w:color="auto" w:fill="auto"/>
            <w:vAlign w:val="center"/>
            <w:hideMark/>
          </w:tcPr>
          <w:p w14:paraId="3E14A198" w14:textId="77777777" w:rsidR="00275965" w:rsidRPr="00746E61" w:rsidRDefault="0027596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25,37%</w:t>
            </w:r>
          </w:p>
        </w:tc>
        <w:tc>
          <w:tcPr>
            <w:tcW w:w="1840" w:type="dxa"/>
            <w:tcBorders>
              <w:top w:val="nil"/>
              <w:left w:val="nil"/>
              <w:bottom w:val="single" w:sz="4" w:space="0" w:color="auto"/>
              <w:right w:val="single" w:sz="4" w:space="0" w:color="auto"/>
            </w:tcBorders>
            <w:shd w:val="clear" w:color="auto" w:fill="auto"/>
            <w:vAlign w:val="center"/>
            <w:hideMark/>
          </w:tcPr>
          <w:p w14:paraId="38882A7F" w14:textId="77777777" w:rsidR="00275965" w:rsidRPr="00746E61" w:rsidRDefault="0027596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42,26%</w:t>
            </w:r>
          </w:p>
        </w:tc>
      </w:tr>
      <w:tr w:rsidR="00275965" w:rsidRPr="00746E61" w14:paraId="72B80508" w14:textId="77777777" w:rsidTr="00275965">
        <w:trPr>
          <w:trHeight w:val="220"/>
          <w:jc w:val="center"/>
        </w:trPr>
        <w:tc>
          <w:tcPr>
            <w:tcW w:w="3329" w:type="dxa"/>
            <w:tcBorders>
              <w:top w:val="nil"/>
              <w:left w:val="single" w:sz="4" w:space="0" w:color="auto"/>
              <w:bottom w:val="single" w:sz="4" w:space="0" w:color="auto"/>
              <w:right w:val="single" w:sz="4" w:space="0" w:color="auto"/>
            </w:tcBorders>
            <w:shd w:val="clear" w:color="auto" w:fill="auto"/>
            <w:noWrap/>
            <w:vAlign w:val="center"/>
            <w:hideMark/>
          </w:tcPr>
          <w:p w14:paraId="70BEE380" w14:textId="77777777" w:rsidR="00275965" w:rsidRPr="00746E61" w:rsidRDefault="00275965"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Ejecución de la Pena de Cartago</w:t>
            </w:r>
          </w:p>
        </w:tc>
        <w:tc>
          <w:tcPr>
            <w:tcW w:w="1032" w:type="dxa"/>
            <w:tcBorders>
              <w:top w:val="nil"/>
              <w:left w:val="nil"/>
              <w:bottom w:val="single" w:sz="4" w:space="0" w:color="auto"/>
              <w:right w:val="single" w:sz="4" w:space="0" w:color="auto"/>
            </w:tcBorders>
            <w:shd w:val="clear" w:color="auto" w:fill="auto"/>
            <w:noWrap/>
            <w:vAlign w:val="center"/>
            <w:hideMark/>
          </w:tcPr>
          <w:p w14:paraId="662A8B8D" w14:textId="77777777" w:rsidR="00275965" w:rsidRPr="00746E61" w:rsidRDefault="0027596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159</w:t>
            </w:r>
          </w:p>
        </w:tc>
        <w:tc>
          <w:tcPr>
            <w:tcW w:w="1032" w:type="dxa"/>
            <w:tcBorders>
              <w:top w:val="nil"/>
              <w:left w:val="nil"/>
              <w:bottom w:val="single" w:sz="4" w:space="0" w:color="auto"/>
              <w:right w:val="single" w:sz="4" w:space="0" w:color="auto"/>
            </w:tcBorders>
            <w:shd w:val="clear" w:color="auto" w:fill="auto"/>
            <w:noWrap/>
            <w:vAlign w:val="center"/>
            <w:hideMark/>
          </w:tcPr>
          <w:p w14:paraId="0938895A" w14:textId="77777777" w:rsidR="00275965" w:rsidRPr="00746E61" w:rsidRDefault="0027596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199</w:t>
            </w:r>
          </w:p>
        </w:tc>
        <w:tc>
          <w:tcPr>
            <w:tcW w:w="1032" w:type="dxa"/>
            <w:tcBorders>
              <w:top w:val="nil"/>
              <w:left w:val="nil"/>
              <w:bottom w:val="single" w:sz="4" w:space="0" w:color="auto"/>
              <w:right w:val="single" w:sz="4" w:space="0" w:color="auto"/>
            </w:tcBorders>
            <w:shd w:val="clear" w:color="auto" w:fill="auto"/>
            <w:noWrap/>
            <w:vAlign w:val="center"/>
            <w:hideMark/>
          </w:tcPr>
          <w:p w14:paraId="58F9EF1A" w14:textId="77777777" w:rsidR="00275965" w:rsidRPr="00746E61" w:rsidRDefault="0027596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185</w:t>
            </w:r>
          </w:p>
        </w:tc>
        <w:tc>
          <w:tcPr>
            <w:tcW w:w="1840" w:type="dxa"/>
            <w:tcBorders>
              <w:top w:val="nil"/>
              <w:left w:val="nil"/>
              <w:bottom w:val="single" w:sz="4" w:space="0" w:color="auto"/>
              <w:right w:val="single" w:sz="4" w:space="0" w:color="auto"/>
            </w:tcBorders>
            <w:shd w:val="clear" w:color="auto" w:fill="auto"/>
            <w:vAlign w:val="center"/>
            <w:hideMark/>
          </w:tcPr>
          <w:p w14:paraId="07569523" w14:textId="77777777" w:rsidR="00275965" w:rsidRPr="00746E61" w:rsidRDefault="0027596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16,71%</w:t>
            </w:r>
          </w:p>
        </w:tc>
        <w:tc>
          <w:tcPr>
            <w:tcW w:w="1840" w:type="dxa"/>
            <w:tcBorders>
              <w:top w:val="nil"/>
              <w:left w:val="nil"/>
              <w:bottom w:val="single" w:sz="4" w:space="0" w:color="auto"/>
              <w:right w:val="single" w:sz="4" w:space="0" w:color="auto"/>
            </w:tcBorders>
            <w:shd w:val="clear" w:color="auto" w:fill="auto"/>
            <w:vAlign w:val="center"/>
            <w:hideMark/>
          </w:tcPr>
          <w:p w14:paraId="1FA40747" w14:textId="77777777" w:rsidR="00275965" w:rsidRPr="00746E61" w:rsidRDefault="0027596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-7,16%</w:t>
            </w:r>
          </w:p>
        </w:tc>
      </w:tr>
      <w:tr w:rsidR="00275965" w:rsidRPr="00746E61" w14:paraId="3CD56417" w14:textId="77777777" w:rsidTr="00275965">
        <w:trPr>
          <w:trHeight w:val="220"/>
          <w:jc w:val="center"/>
        </w:trPr>
        <w:tc>
          <w:tcPr>
            <w:tcW w:w="3329" w:type="dxa"/>
            <w:tcBorders>
              <w:top w:val="nil"/>
              <w:left w:val="single" w:sz="4" w:space="0" w:color="auto"/>
              <w:bottom w:val="single" w:sz="4" w:space="0" w:color="auto"/>
              <w:right w:val="single" w:sz="4" w:space="0" w:color="auto"/>
            </w:tcBorders>
            <w:shd w:val="clear" w:color="auto" w:fill="auto"/>
            <w:noWrap/>
            <w:vAlign w:val="center"/>
            <w:hideMark/>
          </w:tcPr>
          <w:p w14:paraId="18A606BC" w14:textId="77777777" w:rsidR="00275965" w:rsidRPr="00746E61" w:rsidRDefault="00275965"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Ejecución de la Pena de Limón</w:t>
            </w:r>
          </w:p>
        </w:tc>
        <w:tc>
          <w:tcPr>
            <w:tcW w:w="1032" w:type="dxa"/>
            <w:tcBorders>
              <w:top w:val="nil"/>
              <w:left w:val="nil"/>
              <w:bottom w:val="single" w:sz="4" w:space="0" w:color="auto"/>
              <w:right w:val="single" w:sz="4" w:space="0" w:color="auto"/>
            </w:tcBorders>
            <w:shd w:val="clear" w:color="auto" w:fill="auto"/>
            <w:noWrap/>
            <w:vAlign w:val="center"/>
            <w:hideMark/>
          </w:tcPr>
          <w:p w14:paraId="345D1378" w14:textId="77777777" w:rsidR="00275965" w:rsidRPr="00746E61" w:rsidRDefault="0027596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49</w:t>
            </w:r>
          </w:p>
        </w:tc>
        <w:tc>
          <w:tcPr>
            <w:tcW w:w="1032" w:type="dxa"/>
            <w:tcBorders>
              <w:top w:val="nil"/>
              <w:left w:val="nil"/>
              <w:bottom w:val="single" w:sz="4" w:space="0" w:color="auto"/>
              <w:right w:val="single" w:sz="4" w:space="0" w:color="auto"/>
            </w:tcBorders>
            <w:shd w:val="clear" w:color="auto" w:fill="auto"/>
            <w:noWrap/>
            <w:vAlign w:val="center"/>
            <w:hideMark/>
          </w:tcPr>
          <w:p w14:paraId="71C0ACC5" w14:textId="77777777" w:rsidR="00275965" w:rsidRPr="00746E61" w:rsidRDefault="0027596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46</w:t>
            </w:r>
          </w:p>
        </w:tc>
        <w:tc>
          <w:tcPr>
            <w:tcW w:w="1032" w:type="dxa"/>
            <w:tcBorders>
              <w:top w:val="nil"/>
              <w:left w:val="nil"/>
              <w:bottom w:val="single" w:sz="4" w:space="0" w:color="auto"/>
              <w:right w:val="single" w:sz="4" w:space="0" w:color="auto"/>
            </w:tcBorders>
            <w:shd w:val="clear" w:color="auto" w:fill="auto"/>
            <w:noWrap/>
            <w:vAlign w:val="center"/>
            <w:hideMark/>
          </w:tcPr>
          <w:p w14:paraId="07B0FB07" w14:textId="77777777" w:rsidR="00275965" w:rsidRPr="00746E61" w:rsidRDefault="0027596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50</w:t>
            </w:r>
          </w:p>
        </w:tc>
        <w:tc>
          <w:tcPr>
            <w:tcW w:w="1840" w:type="dxa"/>
            <w:tcBorders>
              <w:top w:val="nil"/>
              <w:left w:val="nil"/>
              <w:bottom w:val="single" w:sz="4" w:space="0" w:color="auto"/>
              <w:right w:val="single" w:sz="4" w:space="0" w:color="auto"/>
            </w:tcBorders>
            <w:shd w:val="clear" w:color="auto" w:fill="auto"/>
            <w:vAlign w:val="center"/>
            <w:hideMark/>
          </w:tcPr>
          <w:p w14:paraId="2B9AFFF4" w14:textId="77777777" w:rsidR="00275965" w:rsidRPr="00746E61" w:rsidRDefault="0027596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3,75%</w:t>
            </w:r>
          </w:p>
        </w:tc>
        <w:tc>
          <w:tcPr>
            <w:tcW w:w="1840" w:type="dxa"/>
            <w:tcBorders>
              <w:top w:val="nil"/>
              <w:left w:val="nil"/>
              <w:bottom w:val="single" w:sz="4" w:space="0" w:color="auto"/>
              <w:right w:val="single" w:sz="4" w:space="0" w:color="auto"/>
            </w:tcBorders>
            <w:shd w:val="clear" w:color="auto" w:fill="auto"/>
            <w:vAlign w:val="center"/>
            <w:hideMark/>
          </w:tcPr>
          <w:p w14:paraId="745A0742" w14:textId="77777777" w:rsidR="00275965" w:rsidRPr="00746E61" w:rsidRDefault="0027596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9,57%</w:t>
            </w:r>
          </w:p>
        </w:tc>
      </w:tr>
      <w:tr w:rsidR="00275965" w:rsidRPr="00746E61" w14:paraId="3FC645B7" w14:textId="77777777" w:rsidTr="00275965">
        <w:trPr>
          <w:trHeight w:val="220"/>
          <w:jc w:val="center"/>
        </w:trPr>
        <w:tc>
          <w:tcPr>
            <w:tcW w:w="3329" w:type="dxa"/>
            <w:tcBorders>
              <w:top w:val="nil"/>
              <w:left w:val="single" w:sz="4" w:space="0" w:color="auto"/>
              <w:bottom w:val="single" w:sz="4" w:space="0" w:color="auto"/>
              <w:right w:val="single" w:sz="4" w:space="0" w:color="auto"/>
            </w:tcBorders>
            <w:shd w:val="clear" w:color="auto" w:fill="auto"/>
            <w:noWrap/>
            <w:vAlign w:val="center"/>
            <w:hideMark/>
          </w:tcPr>
          <w:p w14:paraId="616D9C99" w14:textId="77777777" w:rsidR="00275965" w:rsidRPr="00746E61" w:rsidRDefault="00275965"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Ejecución de La Pena de Pococí</w:t>
            </w:r>
          </w:p>
        </w:tc>
        <w:tc>
          <w:tcPr>
            <w:tcW w:w="1032" w:type="dxa"/>
            <w:tcBorders>
              <w:top w:val="nil"/>
              <w:left w:val="nil"/>
              <w:bottom w:val="single" w:sz="4" w:space="0" w:color="auto"/>
              <w:right w:val="single" w:sz="4" w:space="0" w:color="auto"/>
            </w:tcBorders>
            <w:shd w:val="clear" w:color="auto" w:fill="auto"/>
            <w:noWrap/>
            <w:vAlign w:val="center"/>
            <w:hideMark/>
          </w:tcPr>
          <w:p w14:paraId="451D760B" w14:textId="77777777" w:rsidR="00275965" w:rsidRPr="00746E61" w:rsidRDefault="0027596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102</w:t>
            </w:r>
          </w:p>
        </w:tc>
        <w:tc>
          <w:tcPr>
            <w:tcW w:w="1032" w:type="dxa"/>
            <w:tcBorders>
              <w:top w:val="nil"/>
              <w:left w:val="nil"/>
              <w:bottom w:val="single" w:sz="4" w:space="0" w:color="auto"/>
              <w:right w:val="single" w:sz="4" w:space="0" w:color="auto"/>
            </w:tcBorders>
            <w:shd w:val="clear" w:color="auto" w:fill="auto"/>
            <w:noWrap/>
            <w:vAlign w:val="center"/>
            <w:hideMark/>
          </w:tcPr>
          <w:p w14:paraId="16466362" w14:textId="77777777" w:rsidR="00275965" w:rsidRPr="00746E61" w:rsidRDefault="0027596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85</w:t>
            </w:r>
          </w:p>
        </w:tc>
        <w:tc>
          <w:tcPr>
            <w:tcW w:w="1032" w:type="dxa"/>
            <w:tcBorders>
              <w:top w:val="nil"/>
              <w:left w:val="nil"/>
              <w:bottom w:val="single" w:sz="4" w:space="0" w:color="auto"/>
              <w:right w:val="single" w:sz="4" w:space="0" w:color="auto"/>
            </w:tcBorders>
            <w:shd w:val="clear" w:color="auto" w:fill="auto"/>
            <w:noWrap/>
            <w:vAlign w:val="center"/>
            <w:hideMark/>
          </w:tcPr>
          <w:p w14:paraId="255F62D9" w14:textId="77777777" w:rsidR="00275965" w:rsidRPr="00746E61" w:rsidRDefault="0027596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103</w:t>
            </w:r>
          </w:p>
        </w:tc>
        <w:tc>
          <w:tcPr>
            <w:tcW w:w="1840" w:type="dxa"/>
            <w:tcBorders>
              <w:top w:val="nil"/>
              <w:left w:val="nil"/>
              <w:bottom w:val="single" w:sz="4" w:space="0" w:color="auto"/>
              <w:right w:val="single" w:sz="4" w:space="0" w:color="auto"/>
            </w:tcBorders>
            <w:shd w:val="clear" w:color="auto" w:fill="auto"/>
            <w:vAlign w:val="center"/>
            <w:hideMark/>
          </w:tcPr>
          <w:p w14:paraId="575FD3CE" w14:textId="77777777" w:rsidR="00275965" w:rsidRPr="00746E61" w:rsidRDefault="0027596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1,20%</w:t>
            </w:r>
          </w:p>
        </w:tc>
        <w:tc>
          <w:tcPr>
            <w:tcW w:w="1840" w:type="dxa"/>
            <w:tcBorders>
              <w:top w:val="nil"/>
              <w:left w:val="nil"/>
              <w:bottom w:val="single" w:sz="4" w:space="0" w:color="auto"/>
              <w:right w:val="single" w:sz="4" w:space="0" w:color="auto"/>
            </w:tcBorders>
            <w:shd w:val="clear" w:color="auto" w:fill="auto"/>
            <w:vAlign w:val="center"/>
            <w:hideMark/>
          </w:tcPr>
          <w:p w14:paraId="124D6FCA" w14:textId="77777777" w:rsidR="00275965" w:rsidRPr="00746E61" w:rsidRDefault="0027596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21,93%</w:t>
            </w:r>
          </w:p>
        </w:tc>
      </w:tr>
      <w:tr w:rsidR="00275965" w:rsidRPr="00746E61" w14:paraId="6597E6C2" w14:textId="77777777" w:rsidTr="00275965">
        <w:trPr>
          <w:trHeight w:val="220"/>
          <w:jc w:val="center"/>
        </w:trPr>
        <w:tc>
          <w:tcPr>
            <w:tcW w:w="3329" w:type="dxa"/>
            <w:tcBorders>
              <w:top w:val="nil"/>
              <w:left w:val="single" w:sz="4" w:space="0" w:color="auto"/>
              <w:bottom w:val="single" w:sz="4" w:space="0" w:color="auto"/>
              <w:right w:val="single" w:sz="4" w:space="0" w:color="auto"/>
            </w:tcBorders>
            <w:shd w:val="clear" w:color="auto" w:fill="auto"/>
            <w:noWrap/>
            <w:vAlign w:val="center"/>
            <w:hideMark/>
          </w:tcPr>
          <w:p w14:paraId="346D5333" w14:textId="77777777" w:rsidR="00275965" w:rsidRPr="00746E61" w:rsidRDefault="00275965"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Ejecución de La Pena de Puntarenas</w:t>
            </w:r>
          </w:p>
        </w:tc>
        <w:tc>
          <w:tcPr>
            <w:tcW w:w="1032" w:type="dxa"/>
            <w:tcBorders>
              <w:top w:val="nil"/>
              <w:left w:val="nil"/>
              <w:bottom w:val="single" w:sz="4" w:space="0" w:color="auto"/>
              <w:right w:val="single" w:sz="4" w:space="0" w:color="auto"/>
            </w:tcBorders>
            <w:shd w:val="clear" w:color="auto" w:fill="auto"/>
            <w:noWrap/>
            <w:vAlign w:val="center"/>
            <w:hideMark/>
          </w:tcPr>
          <w:p w14:paraId="611D9D92" w14:textId="77777777" w:rsidR="00275965" w:rsidRPr="00746E61" w:rsidRDefault="0027596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70</w:t>
            </w:r>
          </w:p>
        </w:tc>
        <w:tc>
          <w:tcPr>
            <w:tcW w:w="1032" w:type="dxa"/>
            <w:tcBorders>
              <w:top w:val="nil"/>
              <w:left w:val="nil"/>
              <w:bottom w:val="single" w:sz="4" w:space="0" w:color="auto"/>
              <w:right w:val="single" w:sz="4" w:space="0" w:color="auto"/>
            </w:tcBorders>
            <w:shd w:val="clear" w:color="auto" w:fill="auto"/>
            <w:noWrap/>
            <w:vAlign w:val="center"/>
            <w:hideMark/>
          </w:tcPr>
          <w:p w14:paraId="4832E645" w14:textId="77777777" w:rsidR="00275965" w:rsidRPr="00746E61" w:rsidRDefault="0027596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92</w:t>
            </w:r>
          </w:p>
        </w:tc>
        <w:tc>
          <w:tcPr>
            <w:tcW w:w="1032" w:type="dxa"/>
            <w:tcBorders>
              <w:top w:val="nil"/>
              <w:left w:val="nil"/>
              <w:bottom w:val="single" w:sz="4" w:space="0" w:color="auto"/>
              <w:right w:val="single" w:sz="4" w:space="0" w:color="auto"/>
            </w:tcBorders>
            <w:shd w:val="clear" w:color="auto" w:fill="auto"/>
            <w:noWrap/>
            <w:vAlign w:val="center"/>
            <w:hideMark/>
          </w:tcPr>
          <w:p w14:paraId="63B8C50C" w14:textId="77777777" w:rsidR="00275965" w:rsidRPr="00746E61" w:rsidRDefault="0027596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69</w:t>
            </w:r>
          </w:p>
        </w:tc>
        <w:tc>
          <w:tcPr>
            <w:tcW w:w="1840" w:type="dxa"/>
            <w:tcBorders>
              <w:top w:val="nil"/>
              <w:left w:val="nil"/>
              <w:bottom w:val="single" w:sz="4" w:space="0" w:color="auto"/>
              <w:right w:val="single" w:sz="4" w:space="0" w:color="auto"/>
            </w:tcBorders>
            <w:shd w:val="clear" w:color="auto" w:fill="auto"/>
            <w:vAlign w:val="center"/>
            <w:hideMark/>
          </w:tcPr>
          <w:p w14:paraId="426C5159" w14:textId="77777777" w:rsidR="00275965" w:rsidRPr="00746E61" w:rsidRDefault="0027596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-1,07%</w:t>
            </w:r>
          </w:p>
        </w:tc>
        <w:tc>
          <w:tcPr>
            <w:tcW w:w="1840" w:type="dxa"/>
            <w:tcBorders>
              <w:top w:val="nil"/>
              <w:left w:val="nil"/>
              <w:bottom w:val="single" w:sz="4" w:space="0" w:color="auto"/>
              <w:right w:val="single" w:sz="4" w:space="0" w:color="auto"/>
            </w:tcBorders>
            <w:shd w:val="clear" w:color="auto" w:fill="auto"/>
            <w:vAlign w:val="center"/>
            <w:hideMark/>
          </w:tcPr>
          <w:p w14:paraId="5079A410" w14:textId="77777777" w:rsidR="00275965" w:rsidRPr="00746E61" w:rsidRDefault="00275965"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-24,68%</w:t>
            </w:r>
          </w:p>
        </w:tc>
      </w:tr>
      <w:tr w:rsidR="00275965" w:rsidRPr="00746E61" w14:paraId="3D5F2647" w14:textId="77777777" w:rsidTr="00275965">
        <w:trPr>
          <w:trHeight w:val="220"/>
          <w:jc w:val="center"/>
        </w:trPr>
        <w:tc>
          <w:tcPr>
            <w:tcW w:w="3329" w:type="dxa"/>
            <w:tcBorders>
              <w:top w:val="nil"/>
              <w:left w:val="single" w:sz="4" w:space="0" w:color="auto"/>
              <w:bottom w:val="single" w:sz="4" w:space="0" w:color="auto"/>
              <w:right w:val="single" w:sz="4" w:space="0" w:color="auto"/>
            </w:tcBorders>
            <w:shd w:val="clear" w:color="auto" w:fill="auto"/>
            <w:vAlign w:val="center"/>
            <w:hideMark/>
          </w:tcPr>
          <w:p w14:paraId="0F7C7E5D" w14:textId="77777777" w:rsidR="00275965" w:rsidRPr="00746E61" w:rsidRDefault="00275965" w:rsidP="00746E61">
            <w:pPr>
              <w:spacing w:line="276" w:lineRule="auto"/>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Total</w:t>
            </w:r>
          </w:p>
        </w:tc>
        <w:tc>
          <w:tcPr>
            <w:tcW w:w="1032" w:type="dxa"/>
            <w:tcBorders>
              <w:top w:val="nil"/>
              <w:left w:val="nil"/>
              <w:bottom w:val="single" w:sz="4" w:space="0" w:color="auto"/>
              <w:right w:val="single" w:sz="4" w:space="0" w:color="auto"/>
            </w:tcBorders>
            <w:shd w:val="clear" w:color="auto" w:fill="auto"/>
            <w:vAlign w:val="center"/>
            <w:hideMark/>
          </w:tcPr>
          <w:p w14:paraId="3608801D" w14:textId="77777777" w:rsidR="00275965" w:rsidRPr="00746E61" w:rsidRDefault="00275965"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1115</w:t>
            </w:r>
          </w:p>
        </w:tc>
        <w:tc>
          <w:tcPr>
            <w:tcW w:w="1032" w:type="dxa"/>
            <w:tcBorders>
              <w:top w:val="nil"/>
              <w:left w:val="nil"/>
              <w:bottom w:val="single" w:sz="4" w:space="0" w:color="auto"/>
              <w:right w:val="single" w:sz="4" w:space="0" w:color="auto"/>
            </w:tcBorders>
            <w:shd w:val="clear" w:color="auto" w:fill="auto"/>
            <w:vAlign w:val="center"/>
            <w:hideMark/>
          </w:tcPr>
          <w:p w14:paraId="7F27B990" w14:textId="77777777" w:rsidR="00275965" w:rsidRPr="00746E61" w:rsidRDefault="00275965"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1178</w:t>
            </w:r>
          </w:p>
        </w:tc>
        <w:tc>
          <w:tcPr>
            <w:tcW w:w="1032" w:type="dxa"/>
            <w:tcBorders>
              <w:top w:val="nil"/>
              <w:left w:val="nil"/>
              <w:bottom w:val="single" w:sz="4" w:space="0" w:color="auto"/>
              <w:right w:val="single" w:sz="4" w:space="0" w:color="auto"/>
            </w:tcBorders>
            <w:shd w:val="clear" w:color="auto" w:fill="auto"/>
            <w:vAlign w:val="center"/>
            <w:hideMark/>
          </w:tcPr>
          <w:p w14:paraId="3206D222" w14:textId="77777777" w:rsidR="00275965" w:rsidRPr="00746E61" w:rsidRDefault="00275965"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1352</w:t>
            </w:r>
          </w:p>
        </w:tc>
        <w:tc>
          <w:tcPr>
            <w:tcW w:w="1840" w:type="dxa"/>
            <w:tcBorders>
              <w:top w:val="nil"/>
              <w:left w:val="nil"/>
              <w:bottom w:val="single" w:sz="4" w:space="0" w:color="auto"/>
              <w:right w:val="single" w:sz="4" w:space="0" w:color="auto"/>
            </w:tcBorders>
            <w:shd w:val="clear" w:color="auto" w:fill="auto"/>
            <w:vAlign w:val="center"/>
            <w:hideMark/>
          </w:tcPr>
          <w:p w14:paraId="4AB82FE7" w14:textId="77777777" w:rsidR="00275965" w:rsidRPr="00746E61" w:rsidRDefault="00275965"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21,27%</w:t>
            </w:r>
          </w:p>
        </w:tc>
        <w:tc>
          <w:tcPr>
            <w:tcW w:w="1840" w:type="dxa"/>
            <w:tcBorders>
              <w:top w:val="nil"/>
              <w:left w:val="nil"/>
              <w:bottom w:val="single" w:sz="4" w:space="0" w:color="auto"/>
              <w:right w:val="single" w:sz="4" w:space="0" w:color="auto"/>
            </w:tcBorders>
            <w:shd w:val="clear" w:color="auto" w:fill="auto"/>
            <w:vAlign w:val="center"/>
            <w:hideMark/>
          </w:tcPr>
          <w:p w14:paraId="17128AAF" w14:textId="77777777" w:rsidR="00275965" w:rsidRPr="00746E61" w:rsidRDefault="00275965"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14,79%</w:t>
            </w:r>
          </w:p>
        </w:tc>
      </w:tr>
    </w:tbl>
    <w:p w14:paraId="6E911423" w14:textId="3AF096C2" w:rsidR="004A7D8B" w:rsidRPr="00746E61" w:rsidRDefault="0059268A" w:rsidP="00746E61">
      <w:pPr>
        <w:spacing w:line="276" w:lineRule="auto"/>
        <w:jc w:val="center"/>
        <w:rPr>
          <w:rFonts w:ascii="Book Antiqua" w:hAnsi="Book Antiqua"/>
          <w:lang w:val="es-ES_tradnl" w:eastAsia="en-US"/>
        </w:rPr>
      </w:pPr>
      <w:r w:rsidRPr="00746E61">
        <w:rPr>
          <w:rFonts w:ascii="Book Antiqua" w:hAnsi="Book Antiqua" w:cs="Calibri"/>
          <w:b/>
          <w:bCs/>
          <w:color w:val="000000"/>
          <w:sz w:val="20"/>
          <w:szCs w:val="20"/>
          <w:lang w:eastAsia="es-CR"/>
        </w:rPr>
        <w:t>Fuente:</w:t>
      </w:r>
      <w:r w:rsidRPr="00746E61">
        <w:rPr>
          <w:rFonts w:ascii="Book Antiqua" w:hAnsi="Book Antiqua" w:cs="Calibri"/>
          <w:color w:val="000000"/>
          <w:sz w:val="20"/>
          <w:szCs w:val="20"/>
          <w:lang w:eastAsia="es-CR"/>
        </w:rPr>
        <w:t xml:space="preserve"> Elaboración propia a partir de las estadísticas del Subproceso de Estadística</w:t>
      </w:r>
    </w:p>
    <w:p w14:paraId="7C9D4F88" w14:textId="77777777" w:rsidR="004A7D8B" w:rsidRPr="00746E61" w:rsidRDefault="004A7D8B" w:rsidP="00746E61">
      <w:pPr>
        <w:spacing w:line="276" w:lineRule="auto"/>
        <w:jc w:val="center"/>
        <w:rPr>
          <w:rFonts w:ascii="Book Antiqua" w:hAnsi="Book Antiqua"/>
          <w:lang w:val="es-ES_tradnl" w:eastAsia="en-US"/>
        </w:rPr>
      </w:pPr>
    </w:p>
    <w:p w14:paraId="727FB7B2" w14:textId="73356F58" w:rsidR="0001329C" w:rsidRPr="00746E61" w:rsidRDefault="1445404A" w:rsidP="57A79FF7">
      <w:pPr>
        <w:spacing w:line="276" w:lineRule="auto"/>
        <w:outlineLvl w:val="2"/>
        <w:rPr>
          <w:b/>
          <w:lang w:val="es-ES" w:eastAsia="en-US"/>
        </w:rPr>
      </w:pPr>
      <w:r w:rsidRPr="57A79FF7">
        <w:rPr>
          <w:rFonts w:ascii="Book Antiqua" w:hAnsi="Book Antiqua"/>
          <w:b/>
          <w:bCs/>
          <w:lang w:val="es-ES" w:eastAsia="en-US"/>
        </w:rPr>
        <w:t xml:space="preserve">3.4.3 </w:t>
      </w:r>
      <w:r w:rsidR="0001329C" w:rsidRPr="57A79FF7">
        <w:rPr>
          <w:rFonts w:ascii="Book Antiqua" w:hAnsi="Book Antiqua"/>
          <w:b/>
          <w:lang w:val="es-ES" w:eastAsia="en-US"/>
        </w:rPr>
        <w:t>Circulante en trámite</w:t>
      </w:r>
    </w:p>
    <w:p w14:paraId="28B7252C" w14:textId="77777777" w:rsidR="0001329C" w:rsidRPr="00746E61" w:rsidRDefault="0001329C" w:rsidP="00746E61">
      <w:pPr>
        <w:spacing w:line="276" w:lineRule="auto"/>
        <w:jc w:val="center"/>
        <w:rPr>
          <w:rFonts w:ascii="Book Antiqua" w:hAnsi="Book Antiqua"/>
          <w:b/>
          <w:bCs/>
          <w:lang w:val="es-ES_tradnl" w:eastAsia="en-US"/>
        </w:rPr>
      </w:pPr>
    </w:p>
    <w:p w14:paraId="50EA26A1" w14:textId="7708ACB4" w:rsidR="000600CC" w:rsidRPr="00BF7F5F" w:rsidRDefault="000600CC" w:rsidP="00746E61">
      <w:pPr>
        <w:spacing w:line="276" w:lineRule="auto"/>
        <w:jc w:val="both"/>
        <w:rPr>
          <w:rFonts w:ascii="Book Antiqua" w:hAnsi="Book Antiqua" w:cs="Arial"/>
        </w:rPr>
      </w:pPr>
      <w:bookmarkStart w:id="14" w:name="_Hlk87893205"/>
      <w:r w:rsidRPr="00746E61">
        <w:rPr>
          <w:rFonts w:ascii="Book Antiqua" w:hAnsi="Book Antiqua" w:cs="Arial"/>
        </w:rPr>
        <w:t xml:space="preserve">Al concluir el mes de </w:t>
      </w:r>
      <w:r w:rsidR="00CA5C2D" w:rsidRPr="00746E61">
        <w:rPr>
          <w:rFonts w:ascii="Book Antiqua" w:hAnsi="Book Antiqua" w:cs="Arial"/>
        </w:rPr>
        <w:t>setiembre</w:t>
      </w:r>
      <w:r w:rsidRPr="00746E61">
        <w:rPr>
          <w:rFonts w:ascii="Book Antiqua" w:hAnsi="Book Antiqua" w:cs="Arial"/>
        </w:rPr>
        <w:t xml:space="preserve"> de 2021, se determina </w:t>
      </w:r>
      <w:r w:rsidR="00D761EB" w:rsidRPr="00746E61">
        <w:rPr>
          <w:rFonts w:ascii="Book Antiqua" w:hAnsi="Book Antiqua" w:cs="Arial"/>
        </w:rPr>
        <w:t>un crecimiento</w:t>
      </w:r>
      <w:r w:rsidRPr="00746E61">
        <w:rPr>
          <w:rFonts w:ascii="Book Antiqua" w:hAnsi="Book Antiqua" w:cs="Arial"/>
        </w:rPr>
        <w:t xml:space="preserve"> a nivel general del </w:t>
      </w:r>
      <w:r w:rsidR="00CA5C2D" w:rsidRPr="00746E61">
        <w:rPr>
          <w:rFonts w:ascii="Book Antiqua" w:hAnsi="Book Antiqua" w:cs="Arial"/>
        </w:rPr>
        <w:t>38</w:t>
      </w:r>
      <w:r w:rsidRPr="00746E61">
        <w:rPr>
          <w:rFonts w:ascii="Book Antiqua" w:hAnsi="Book Antiqua" w:cs="Arial"/>
        </w:rPr>
        <w:t>.</w:t>
      </w:r>
      <w:r w:rsidR="00CA5C2D" w:rsidRPr="00746E61">
        <w:rPr>
          <w:rFonts w:ascii="Book Antiqua" w:hAnsi="Book Antiqua" w:cs="Arial"/>
        </w:rPr>
        <w:t>47</w:t>
      </w:r>
      <w:r w:rsidRPr="00746E61">
        <w:rPr>
          <w:rFonts w:ascii="Book Antiqua" w:hAnsi="Book Antiqua" w:cs="Arial"/>
        </w:rPr>
        <w:t>% (en 2</w:t>
      </w:r>
      <w:r w:rsidR="00CA5C2D" w:rsidRPr="00746E61">
        <w:rPr>
          <w:rFonts w:ascii="Book Antiqua" w:hAnsi="Book Antiqua" w:cs="Arial"/>
        </w:rPr>
        <w:t>786</w:t>
      </w:r>
      <w:r w:rsidRPr="00746E61">
        <w:rPr>
          <w:rFonts w:ascii="Book Antiqua" w:hAnsi="Book Antiqua" w:cs="Arial"/>
        </w:rPr>
        <w:t xml:space="preserve"> expedientes) versus el 2019 y 1</w:t>
      </w:r>
      <w:r w:rsidR="00CA5C2D" w:rsidRPr="00746E61">
        <w:rPr>
          <w:rFonts w:ascii="Book Antiqua" w:hAnsi="Book Antiqua" w:cs="Arial"/>
        </w:rPr>
        <w:t>2</w:t>
      </w:r>
      <w:r w:rsidRPr="00746E61">
        <w:rPr>
          <w:rFonts w:ascii="Book Antiqua" w:hAnsi="Book Antiqua" w:cs="Arial"/>
        </w:rPr>
        <w:t>.</w:t>
      </w:r>
      <w:r w:rsidR="00CA5C2D" w:rsidRPr="00746E61">
        <w:rPr>
          <w:rFonts w:ascii="Book Antiqua" w:hAnsi="Book Antiqua" w:cs="Arial"/>
        </w:rPr>
        <w:t>84</w:t>
      </w:r>
      <w:r w:rsidRPr="00746E61">
        <w:rPr>
          <w:rFonts w:ascii="Book Antiqua" w:hAnsi="Book Antiqua" w:cs="Arial"/>
        </w:rPr>
        <w:t xml:space="preserve"> % (en 1</w:t>
      </w:r>
      <w:r w:rsidR="00CA5C2D" w:rsidRPr="00746E61">
        <w:rPr>
          <w:rFonts w:ascii="Book Antiqua" w:hAnsi="Book Antiqua" w:cs="Arial"/>
        </w:rPr>
        <w:t>141</w:t>
      </w:r>
      <w:r w:rsidRPr="00746E61">
        <w:rPr>
          <w:rFonts w:ascii="Book Antiqua" w:hAnsi="Book Antiqua" w:cs="Arial"/>
        </w:rPr>
        <w:t xml:space="preserve"> expedientes) con respecto al 2020</w:t>
      </w:r>
      <w:bookmarkEnd w:id="14"/>
      <w:r w:rsidRPr="00746E61">
        <w:rPr>
          <w:rFonts w:ascii="Book Antiqua" w:hAnsi="Book Antiqua" w:cs="Arial"/>
        </w:rPr>
        <w:t xml:space="preserve">. De los siete juzgados de ejecución de la pena, la oficina de Alajuela es la única que </w:t>
      </w:r>
      <w:r w:rsidR="000144F7" w:rsidRPr="00746E61">
        <w:rPr>
          <w:rFonts w:ascii="Book Antiqua" w:hAnsi="Book Antiqua" w:cs="Arial"/>
        </w:rPr>
        <w:t>alcanza</w:t>
      </w:r>
      <w:r w:rsidRPr="00746E61">
        <w:rPr>
          <w:rFonts w:ascii="Book Antiqua" w:hAnsi="Book Antiqua" w:cs="Arial"/>
        </w:rPr>
        <w:t xml:space="preserve"> un incremento superior al 100% (1</w:t>
      </w:r>
      <w:r w:rsidR="00D56EB8" w:rsidRPr="00746E61">
        <w:rPr>
          <w:rFonts w:ascii="Book Antiqua" w:hAnsi="Book Antiqua" w:cs="Arial"/>
        </w:rPr>
        <w:t>22.18</w:t>
      </w:r>
      <w:r w:rsidRPr="00746E61">
        <w:rPr>
          <w:rFonts w:ascii="Book Antiqua" w:hAnsi="Book Antiqua" w:cs="Arial"/>
        </w:rPr>
        <w:t>%) en relación con el 2019, lo cual obedece también al aumento importante de casos nuevos.</w:t>
      </w:r>
      <w:r w:rsidR="004E0DFF">
        <w:rPr>
          <w:rFonts w:ascii="Book Antiqua" w:hAnsi="Book Antiqua" w:cs="Arial"/>
        </w:rPr>
        <w:t xml:space="preserve"> Este despacho de Alajuela, gracias al proyecto penal, fue rediseñado y virtualizado, así como reforzado en recurso humano, lo que permitió dar una respuesta oportuna a las necesidades de la población </w:t>
      </w:r>
      <w:r w:rsidR="004E0DFF" w:rsidRPr="00BF7F5F">
        <w:rPr>
          <w:rFonts w:ascii="Book Antiqua" w:hAnsi="Book Antiqua" w:cs="Arial"/>
        </w:rPr>
        <w:t>que se atiende.</w:t>
      </w:r>
    </w:p>
    <w:p w14:paraId="22D66D94" w14:textId="17369ECF" w:rsidR="00FA74A5" w:rsidRPr="00BF7F5F" w:rsidRDefault="00FA74A5" w:rsidP="00746E61">
      <w:pPr>
        <w:spacing w:line="276" w:lineRule="auto"/>
        <w:jc w:val="both"/>
        <w:rPr>
          <w:rFonts w:ascii="Book Antiqua" w:hAnsi="Book Antiqua" w:cs="Arial"/>
        </w:rPr>
      </w:pPr>
    </w:p>
    <w:p w14:paraId="746B9586" w14:textId="768A83C0" w:rsidR="0001329C" w:rsidRPr="00BF7F5F" w:rsidRDefault="00FA74A5" w:rsidP="00FA74A5">
      <w:pPr>
        <w:spacing w:line="276" w:lineRule="auto"/>
        <w:jc w:val="both"/>
        <w:rPr>
          <w:rFonts w:ascii="Book Antiqua" w:hAnsi="Book Antiqua" w:cs="Arial"/>
          <w:b/>
          <w:bCs/>
        </w:rPr>
      </w:pPr>
      <w:r w:rsidRPr="00BF7F5F">
        <w:rPr>
          <w:rFonts w:ascii="Book Antiqua" w:hAnsi="Book Antiqua" w:cs="Arial"/>
        </w:rPr>
        <w:t xml:space="preserve">En ejecución de la pena se ha dado un crecimiento en la entrada, en los terminados y en el circulante, destacando que hay procesos en los cuales un expediente se queda largo tiempo activo (monitoreos electrónicos). </w:t>
      </w:r>
      <w:r w:rsidR="0001329C" w:rsidRPr="00BF7F5F">
        <w:rPr>
          <w:rFonts w:ascii="Book Antiqua" w:hAnsi="Book Antiqua" w:cs="Arial"/>
        </w:rPr>
        <w:t xml:space="preserve">En el </w:t>
      </w:r>
      <w:r w:rsidR="0001329C" w:rsidRPr="00BF7F5F">
        <w:rPr>
          <w:rFonts w:ascii="Book Antiqua" w:hAnsi="Book Antiqua" w:cs="Arial"/>
          <w:b/>
          <w:bCs/>
        </w:rPr>
        <w:t>Cuadro 2</w:t>
      </w:r>
      <w:r w:rsidR="00323191" w:rsidRPr="00BF7F5F">
        <w:rPr>
          <w:rFonts w:ascii="Book Antiqua" w:hAnsi="Book Antiqua" w:cs="Arial"/>
          <w:b/>
          <w:bCs/>
        </w:rPr>
        <w:t>4</w:t>
      </w:r>
      <w:r w:rsidR="0001329C" w:rsidRPr="00BF7F5F">
        <w:rPr>
          <w:rFonts w:ascii="Book Antiqua" w:hAnsi="Book Antiqua" w:cs="Arial"/>
        </w:rPr>
        <w:t>, muestra lo expuesto.</w:t>
      </w:r>
    </w:p>
    <w:p w14:paraId="40C37C90" w14:textId="3A370B54" w:rsidR="0001329C" w:rsidRPr="00BF7F5F" w:rsidRDefault="0001329C" w:rsidP="00746E61">
      <w:pPr>
        <w:spacing w:line="276" w:lineRule="auto"/>
        <w:jc w:val="center"/>
        <w:rPr>
          <w:rFonts w:ascii="Book Antiqua" w:hAnsi="Book Antiqua"/>
          <w:lang w:val="es-ES_tradnl" w:eastAsia="en-US"/>
        </w:rPr>
      </w:pPr>
    </w:p>
    <w:p w14:paraId="487F7A06" w14:textId="60706680" w:rsidR="00323191" w:rsidRPr="00746E61" w:rsidRDefault="00323191" w:rsidP="00746E61">
      <w:pPr>
        <w:widowControl w:val="0"/>
        <w:autoSpaceDE w:val="0"/>
        <w:spacing w:line="276" w:lineRule="auto"/>
        <w:ind w:right="51"/>
        <w:jc w:val="center"/>
        <w:rPr>
          <w:rFonts w:ascii="Book Antiqua" w:hAnsi="Book Antiqua" w:cs="Arial"/>
          <w:b/>
          <w:bCs/>
        </w:rPr>
      </w:pPr>
      <w:r w:rsidRPr="00BF7F5F">
        <w:rPr>
          <w:rFonts w:ascii="Book Antiqua" w:hAnsi="Book Antiqua" w:cs="Arial"/>
          <w:b/>
          <w:bCs/>
        </w:rPr>
        <w:t>Cuadro 2</w:t>
      </w:r>
      <w:r w:rsidR="00602295" w:rsidRPr="00BF7F5F">
        <w:rPr>
          <w:rFonts w:ascii="Book Antiqua" w:hAnsi="Book Antiqua" w:cs="Arial"/>
          <w:b/>
          <w:bCs/>
        </w:rPr>
        <w:t>4</w:t>
      </w:r>
    </w:p>
    <w:p w14:paraId="5D7902BB" w14:textId="729BB216" w:rsidR="00323191" w:rsidRPr="00746E61" w:rsidRDefault="00323191" w:rsidP="00746E61">
      <w:pPr>
        <w:widowControl w:val="0"/>
        <w:autoSpaceDE w:val="0"/>
        <w:spacing w:line="276" w:lineRule="auto"/>
        <w:ind w:right="51"/>
        <w:jc w:val="center"/>
        <w:rPr>
          <w:rFonts w:ascii="Book Antiqua" w:hAnsi="Book Antiqua" w:cs="Arial"/>
        </w:rPr>
      </w:pPr>
      <w:r w:rsidRPr="00746E61">
        <w:rPr>
          <w:rFonts w:ascii="Book Antiqua" w:hAnsi="Book Antiqua" w:cs="Arial"/>
        </w:rPr>
        <w:t xml:space="preserve">Cantidad de circulante en trámite de los </w:t>
      </w:r>
      <w:r w:rsidR="00602295" w:rsidRPr="00746E61">
        <w:rPr>
          <w:rFonts w:ascii="Book Antiqua" w:hAnsi="Book Antiqua" w:cs="Arial"/>
        </w:rPr>
        <w:t>Juzgados de Ejecución de la Pena</w:t>
      </w:r>
    </w:p>
    <w:p w14:paraId="066AB5E0" w14:textId="3E9A88F0" w:rsidR="00323191" w:rsidRPr="00746E61" w:rsidRDefault="00323191" w:rsidP="00746E61">
      <w:pPr>
        <w:widowControl w:val="0"/>
        <w:autoSpaceDE w:val="0"/>
        <w:spacing w:line="276" w:lineRule="auto"/>
        <w:ind w:right="51"/>
        <w:jc w:val="center"/>
        <w:rPr>
          <w:rFonts w:ascii="Book Antiqua" w:hAnsi="Book Antiqua" w:cs="Arial"/>
        </w:rPr>
      </w:pPr>
      <w:r w:rsidRPr="00746E61">
        <w:rPr>
          <w:rFonts w:ascii="Book Antiqua" w:hAnsi="Book Antiqua" w:cs="Arial"/>
        </w:rPr>
        <w:t xml:space="preserve">Al finalizar los años 2019, 2020 y mes de </w:t>
      </w:r>
      <w:r w:rsidR="00CA5C2D" w:rsidRPr="00746E61">
        <w:rPr>
          <w:rFonts w:ascii="Book Antiqua" w:hAnsi="Book Antiqua" w:cs="Arial"/>
        </w:rPr>
        <w:t>setiembre</w:t>
      </w:r>
      <w:r w:rsidRPr="00746E61">
        <w:rPr>
          <w:rFonts w:ascii="Book Antiqua" w:hAnsi="Book Antiqua" w:cs="Arial"/>
        </w:rPr>
        <w:t xml:space="preserve"> de 2021</w:t>
      </w:r>
    </w:p>
    <w:tbl>
      <w:tblPr>
        <w:tblW w:w="9971" w:type="dxa"/>
        <w:tblInd w:w="-147" w:type="dxa"/>
        <w:tblCellMar>
          <w:left w:w="70" w:type="dxa"/>
          <w:right w:w="70" w:type="dxa"/>
        </w:tblCellMar>
        <w:tblLook w:val="04A0" w:firstRow="1" w:lastRow="0" w:firstColumn="1" w:lastColumn="0" w:noHBand="0" w:noVBand="1"/>
      </w:tblPr>
      <w:tblGrid>
        <w:gridCol w:w="3119"/>
        <w:gridCol w:w="1269"/>
        <w:gridCol w:w="999"/>
        <w:gridCol w:w="992"/>
        <w:gridCol w:w="1796"/>
        <w:gridCol w:w="1796"/>
      </w:tblGrid>
      <w:tr w:rsidR="00CA5C2D" w:rsidRPr="00746E61" w14:paraId="7CF8C813" w14:textId="77777777" w:rsidTr="00CA5C2D">
        <w:trPr>
          <w:trHeight w:val="650"/>
        </w:trPr>
        <w:tc>
          <w:tcPr>
            <w:tcW w:w="3119"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0189DE7F" w14:textId="77777777" w:rsidR="00CA5C2D" w:rsidRPr="00746E61" w:rsidRDefault="00CA5C2D" w:rsidP="00746E61">
            <w:pPr>
              <w:spacing w:line="276" w:lineRule="auto"/>
              <w:jc w:val="center"/>
              <w:rPr>
                <w:rFonts w:ascii="Book Antiqua" w:hAnsi="Book Antiqua" w:cs="Calibri"/>
                <w:b/>
                <w:bCs/>
                <w:color w:val="FFFFFF"/>
                <w:sz w:val="16"/>
                <w:szCs w:val="16"/>
                <w:lang w:eastAsia="es-CR"/>
              </w:rPr>
            </w:pPr>
            <w:r w:rsidRPr="00746E61">
              <w:rPr>
                <w:rFonts w:ascii="Book Antiqua" w:hAnsi="Book Antiqua" w:cs="Calibri"/>
                <w:b/>
                <w:bCs/>
                <w:color w:val="FFFFFF"/>
                <w:sz w:val="16"/>
                <w:szCs w:val="16"/>
                <w:lang w:eastAsia="es-CR"/>
              </w:rPr>
              <w:t>Despachos</w:t>
            </w:r>
          </w:p>
        </w:tc>
        <w:tc>
          <w:tcPr>
            <w:tcW w:w="1269" w:type="dxa"/>
            <w:tcBorders>
              <w:top w:val="single" w:sz="4" w:space="0" w:color="auto"/>
              <w:left w:val="nil"/>
              <w:bottom w:val="single" w:sz="4" w:space="0" w:color="auto"/>
              <w:right w:val="single" w:sz="4" w:space="0" w:color="auto"/>
            </w:tcBorders>
            <w:shd w:val="clear" w:color="000000" w:fill="305496"/>
            <w:vAlign w:val="center"/>
            <w:hideMark/>
          </w:tcPr>
          <w:p w14:paraId="21296DE7" w14:textId="77777777" w:rsidR="00CA5C2D" w:rsidRPr="00746E61" w:rsidRDefault="00CA5C2D" w:rsidP="00746E61">
            <w:pPr>
              <w:spacing w:line="276" w:lineRule="auto"/>
              <w:jc w:val="center"/>
              <w:rPr>
                <w:rFonts w:ascii="Book Antiqua" w:hAnsi="Book Antiqua" w:cs="Calibri"/>
                <w:b/>
                <w:bCs/>
                <w:color w:val="FFFFFF"/>
                <w:sz w:val="16"/>
                <w:szCs w:val="16"/>
                <w:lang w:eastAsia="es-CR"/>
              </w:rPr>
            </w:pPr>
            <w:r w:rsidRPr="00746E61">
              <w:rPr>
                <w:rFonts w:ascii="Book Antiqua" w:hAnsi="Book Antiqua" w:cs="Calibri"/>
                <w:b/>
                <w:bCs/>
                <w:color w:val="FFFFFF"/>
                <w:sz w:val="16"/>
                <w:szCs w:val="16"/>
                <w:lang w:eastAsia="es-CR"/>
              </w:rPr>
              <w:t>Circulante en Trámite 2019</w:t>
            </w:r>
          </w:p>
        </w:tc>
        <w:tc>
          <w:tcPr>
            <w:tcW w:w="999" w:type="dxa"/>
            <w:tcBorders>
              <w:top w:val="single" w:sz="4" w:space="0" w:color="auto"/>
              <w:left w:val="nil"/>
              <w:bottom w:val="single" w:sz="4" w:space="0" w:color="auto"/>
              <w:right w:val="single" w:sz="4" w:space="0" w:color="auto"/>
            </w:tcBorders>
            <w:shd w:val="clear" w:color="000000" w:fill="305496"/>
            <w:vAlign w:val="center"/>
            <w:hideMark/>
          </w:tcPr>
          <w:p w14:paraId="4D6A0080" w14:textId="77777777" w:rsidR="00CA5C2D" w:rsidRPr="00746E61" w:rsidRDefault="00CA5C2D" w:rsidP="00746E61">
            <w:pPr>
              <w:spacing w:line="276" w:lineRule="auto"/>
              <w:jc w:val="center"/>
              <w:rPr>
                <w:rFonts w:ascii="Book Antiqua" w:hAnsi="Book Antiqua" w:cs="Calibri"/>
                <w:b/>
                <w:bCs/>
                <w:color w:val="FFFFFF"/>
                <w:sz w:val="16"/>
                <w:szCs w:val="16"/>
                <w:lang w:eastAsia="es-CR"/>
              </w:rPr>
            </w:pPr>
            <w:r w:rsidRPr="00746E61">
              <w:rPr>
                <w:rFonts w:ascii="Book Antiqua" w:hAnsi="Book Antiqua" w:cs="Calibri"/>
                <w:b/>
                <w:bCs/>
                <w:color w:val="FFFFFF"/>
                <w:sz w:val="16"/>
                <w:szCs w:val="16"/>
                <w:lang w:eastAsia="es-CR"/>
              </w:rPr>
              <w:t>Circulante en Trámite 2020</w:t>
            </w:r>
          </w:p>
        </w:tc>
        <w:tc>
          <w:tcPr>
            <w:tcW w:w="992" w:type="dxa"/>
            <w:tcBorders>
              <w:top w:val="single" w:sz="4" w:space="0" w:color="auto"/>
              <w:left w:val="nil"/>
              <w:bottom w:val="single" w:sz="4" w:space="0" w:color="auto"/>
              <w:right w:val="single" w:sz="4" w:space="0" w:color="auto"/>
            </w:tcBorders>
            <w:shd w:val="clear" w:color="000000" w:fill="305496"/>
            <w:vAlign w:val="center"/>
            <w:hideMark/>
          </w:tcPr>
          <w:p w14:paraId="76A1FBB6" w14:textId="77777777" w:rsidR="00CA5C2D" w:rsidRPr="00746E61" w:rsidRDefault="00CA5C2D" w:rsidP="00746E61">
            <w:pPr>
              <w:spacing w:line="276" w:lineRule="auto"/>
              <w:jc w:val="center"/>
              <w:rPr>
                <w:rFonts w:ascii="Book Antiqua" w:hAnsi="Book Antiqua" w:cs="Calibri"/>
                <w:b/>
                <w:bCs/>
                <w:color w:val="FFFFFF"/>
                <w:sz w:val="16"/>
                <w:szCs w:val="16"/>
                <w:lang w:eastAsia="es-CR"/>
              </w:rPr>
            </w:pPr>
            <w:r w:rsidRPr="00746E61">
              <w:rPr>
                <w:rFonts w:ascii="Book Antiqua" w:hAnsi="Book Antiqua" w:cs="Calibri"/>
                <w:b/>
                <w:bCs/>
                <w:color w:val="FFFFFF"/>
                <w:sz w:val="16"/>
                <w:szCs w:val="16"/>
                <w:lang w:eastAsia="es-CR"/>
              </w:rPr>
              <w:t>Circulante en Trámite 2021</w:t>
            </w:r>
          </w:p>
        </w:tc>
        <w:tc>
          <w:tcPr>
            <w:tcW w:w="1796" w:type="dxa"/>
            <w:tcBorders>
              <w:top w:val="single" w:sz="4" w:space="0" w:color="auto"/>
              <w:left w:val="nil"/>
              <w:bottom w:val="single" w:sz="4" w:space="0" w:color="auto"/>
              <w:right w:val="single" w:sz="4" w:space="0" w:color="auto"/>
            </w:tcBorders>
            <w:shd w:val="clear" w:color="000000" w:fill="DDEBF7"/>
            <w:vAlign w:val="center"/>
            <w:hideMark/>
          </w:tcPr>
          <w:p w14:paraId="3F42691B" w14:textId="77777777" w:rsidR="00CA5C2D" w:rsidRPr="00746E61" w:rsidRDefault="00CA5C2D" w:rsidP="00746E61">
            <w:pPr>
              <w:spacing w:line="276" w:lineRule="auto"/>
              <w:jc w:val="center"/>
              <w:rPr>
                <w:rFonts w:ascii="Book Antiqua" w:hAnsi="Book Antiqua" w:cs="Calibri"/>
                <w:b/>
                <w:bCs/>
                <w:color w:val="3A3838"/>
                <w:sz w:val="16"/>
                <w:szCs w:val="16"/>
                <w:lang w:eastAsia="es-CR"/>
              </w:rPr>
            </w:pPr>
            <w:r w:rsidRPr="00746E61">
              <w:rPr>
                <w:rFonts w:ascii="Book Antiqua" w:hAnsi="Book Antiqua" w:cs="Calibri"/>
                <w:b/>
                <w:bCs/>
                <w:color w:val="3A3838"/>
                <w:sz w:val="16"/>
                <w:szCs w:val="16"/>
                <w:lang w:eastAsia="es-CR"/>
              </w:rPr>
              <w:t>Aumento/disminución 2021vs2019</w:t>
            </w:r>
          </w:p>
        </w:tc>
        <w:tc>
          <w:tcPr>
            <w:tcW w:w="1796" w:type="dxa"/>
            <w:tcBorders>
              <w:top w:val="single" w:sz="4" w:space="0" w:color="auto"/>
              <w:left w:val="nil"/>
              <w:bottom w:val="single" w:sz="4" w:space="0" w:color="auto"/>
              <w:right w:val="single" w:sz="4" w:space="0" w:color="auto"/>
            </w:tcBorders>
            <w:shd w:val="clear" w:color="000000" w:fill="DDEBF7"/>
            <w:vAlign w:val="center"/>
            <w:hideMark/>
          </w:tcPr>
          <w:p w14:paraId="71C7118A" w14:textId="77777777" w:rsidR="00CA5C2D" w:rsidRPr="00746E61" w:rsidRDefault="00CA5C2D" w:rsidP="00746E61">
            <w:pPr>
              <w:spacing w:line="276" w:lineRule="auto"/>
              <w:jc w:val="center"/>
              <w:rPr>
                <w:rFonts w:ascii="Book Antiqua" w:hAnsi="Book Antiqua" w:cs="Calibri"/>
                <w:b/>
                <w:bCs/>
                <w:color w:val="3A3838"/>
                <w:sz w:val="16"/>
                <w:szCs w:val="16"/>
                <w:lang w:eastAsia="es-CR"/>
              </w:rPr>
            </w:pPr>
            <w:r w:rsidRPr="00746E61">
              <w:rPr>
                <w:rFonts w:ascii="Book Antiqua" w:hAnsi="Book Antiqua" w:cs="Calibri"/>
                <w:b/>
                <w:bCs/>
                <w:color w:val="3A3838"/>
                <w:sz w:val="16"/>
                <w:szCs w:val="16"/>
                <w:lang w:eastAsia="es-CR"/>
              </w:rPr>
              <w:t>Aumento/disminución 2021vs2020</w:t>
            </w:r>
          </w:p>
        </w:tc>
      </w:tr>
      <w:tr w:rsidR="00CA5C2D" w:rsidRPr="00746E61" w14:paraId="417DB6CF" w14:textId="77777777" w:rsidTr="00B34EF8">
        <w:trPr>
          <w:trHeight w:val="241"/>
        </w:trPr>
        <w:tc>
          <w:tcPr>
            <w:tcW w:w="3119"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F20854C" w14:textId="77777777" w:rsidR="00CA5C2D" w:rsidRPr="00746E61" w:rsidRDefault="00CA5C2D"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Ejecución de la Pena de Alajuela</w:t>
            </w:r>
          </w:p>
        </w:tc>
        <w:tc>
          <w:tcPr>
            <w:tcW w:w="1269" w:type="dxa"/>
            <w:tcBorders>
              <w:top w:val="nil"/>
              <w:left w:val="nil"/>
              <w:bottom w:val="single" w:sz="4" w:space="0" w:color="auto"/>
              <w:right w:val="single" w:sz="4" w:space="0" w:color="auto"/>
            </w:tcBorders>
            <w:shd w:val="clear" w:color="auto" w:fill="F2F2F2" w:themeFill="background1" w:themeFillShade="F2"/>
            <w:noWrap/>
            <w:vAlign w:val="center"/>
            <w:hideMark/>
          </w:tcPr>
          <w:p w14:paraId="4DA6B350" w14:textId="77777777" w:rsidR="00CA5C2D" w:rsidRPr="00746E61" w:rsidRDefault="00CA5C2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2011</w:t>
            </w:r>
          </w:p>
        </w:tc>
        <w:tc>
          <w:tcPr>
            <w:tcW w:w="999" w:type="dxa"/>
            <w:tcBorders>
              <w:top w:val="nil"/>
              <w:left w:val="nil"/>
              <w:bottom w:val="single" w:sz="4" w:space="0" w:color="auto"/>
              <w:right w:val="single" w:sz="4" w:space="0" w:color="auto"/>
            </w:tcBorders>
            <w:shd w:val="clear" w:color="auto" w:fill="F2F2F2" w:themeFill="background1" w:themeFillShade="F2"/>
            <w:noWrap/>
            <w:vAlign w:val="center"/>
            <w:hideMark/>
          </w:tcPr>
          <w:p w14:paraId="0F39E3E6" w14:textId="77777777" w:rsidR="00CA5C2D" w:rsidRPr="00746E61" w:rsidRDefault="00CA5C2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3241</w:t>
            </w:r>
          </w:p>
        </w:tc>
        <w:tc>
          <w:tcPr>
            <w:tcW w:w="992" w:type="dxa"/>
            <w:tcBorders>
              <w:top w:val="nil"/>
              <w:left w:val="nil"/>
              <w:bottom w:val="single" w:sz="4" w:space="0" w:color="auto"/>
              <w:right w:val="single" w:sz="4" w:space="0" w:color="auto"/>
            </w:tcBorders>
            <w:shd w:val="clear" w:color="auto" w:fill="F2F2F2" w:themeFill="background1" w:themeFillShade="F2"/>
            <w:noWrap/>
            <w:vAlign w:val="center"/>
            <w:hideMark/>
          </w:tcPr>
          <w:p w14:paraId="3AE8AE3F" w14:textId="77777777" w:rsidR="00CA5C2D" w:rsidRPr="00746E61" w:rsidRDefault="00CA5C2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4468</w:t>
            </w:r>
          </w:p>
        </w:tc>
        <w:tc>
          <w:tcPr>
            <w:tcW w:w="1796" w:type="dxa"/>
            <w:tcBorders>
              <w:top w:val="nil"/>
              <w:left w:val="nil"/>
              <w:bottom w:val="single" w:sz="4" w:space="0" w:color="auto"/>
              <w:right w:val="single" w:sz="4" w:space="0" w:color="auto"/>
            </w:tcBorders>
            <w:shd w:val="clear" w:color="auto" w:fill="F2F2F2" w:themeFill="background1" w:themeFillShade="F2"/>
            <w:vAlign w:val="center"/>
            <w:hideMark/>
          </w:tcPr>
          <w:p w14:paraId="0B716980" w14:textId="77777777" w:rsidR="00CA5C2D" w:rsidRPr="00746E61" w:rsidRDefault="00CA5C2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122,18%</w:t>
            </w:r>
          </w:p>
        </w:tc>
        <w:tc>
          <w:tcPr>
            <w:tcW w:w="1796" w:type="dxa"/>
            <w:tcBorders>
              <w:top w:val="nil"/>
              <w:left w:val="nil"/>
              <w:bottom w:val="single" w:sz="4" w:space="0" w:color="auto"/>
              <w:right w:val="single" w:sz="4" w:space="0" w:color="auto"/>
            </w:tcBorders>
            <w:shd w:val="clear" w:color="auto" w:fill="F2F2F2" w:themeFill="background1" w:themeFillShade="F2"/>
            <w:vAlign w:val="center"/>
            <w:hideMark/>
          </w:tcPr>
          <w:p w14:paraId="18E91956" w14:textId="77777777" w:rsidR="00CA5C2D" w:rsidRPr="00746E61" w:rsidRDefault="00CA5C2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37,86%</w:t>
            </w:r>
          </w:p>
        </w:tc>
      </w:tr>
      <w:tr w:rsidR="00CA5C2D" w:rsidRPr="00746E61" w14:paraId="6F1C6F20" w14:textId="77777777" w:rsidTr="00CA5C2D">
        <w:trPr>
          <w:trHeight w:val="241"/>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0EDAF061" w14:textId="77777777" w:rsidR="00CA5C2D" w:rsidRPr="00746E61" w:rsidRDefault="00CA5C2D"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Ejecución de La Pena de Liberia</w:t>
            </w:r>
          </w:p>
        </w:tc>
        <w:tc>
          <w:tcPr>
            <w:tcW w:w="1269" w:type="dxa"/>
            <w:tcBorders>
              <w:top w:val="nil"/>
              <w:left w:val="nil"/>
              <w:bottom w:val="single" w:sz="4" w:space="0" w:color="auto"/>
              <w:right w:val="single" w:sz="4" w:space="0" w:color="auto"/>
            </w:tcBorders>
            <w:shd w:val="clear" w:color="auto" w:fill="auto"/>
            <w:noWrap/>
            <w:vAlign w:val="center"/>
            <w:hideMark/>
          </w:tcPr>
          <w:p w14:paraId="0044702A" w14:textId="77777777" w:rsidR="00CA5C2D" w:rsidRPr="00746E61" w:rsidRDefault="00CA5C2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487</w:t>
            </w:r>
          </w:p>
        </w:tc>
        <w:tc>
          <w:tcPr>
            <w:tcW w:w="999" w:type="dxa"/>
            <w:tcBorders>
              <w:top w:val="nil"/>
              <w:left w:val="nil"/>
              <w:bottom w:val="single" w:sz="4" w:space="0" w:color="auto"/>
              <w:right w:val="single" w:sz="4" w:space="0" w:color="auto"/>
            </w:tcBorders>
            <w:shd w:val="clear" w:color="auto" w:fill="auto"/>
            <w:noWrap/>
            <w:vAlign w:val="center"/>
            <w:hideMark/>
          </w:tcPr>
          <w:p w14:paraId="5C8FB434" w14:textId="77777777" w:rsidR="00CA5C2D" w:rsidRPr="00746E61" w:rsidRDefault="00CA5C2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692</w:t>
            </w:r>
          </w:p>
        </w:tc>
        <w:tc>
          <w:tcPr>
            <w:tcW w:w="992" w:type="dxa"/>
            <w:tcBorders>
              <w:top w:val="nil"/>
              <w:left w:val="nil"/>
              <w:bottom w:val="single" w:sz="4" w:space="0" w:color="auto"/>
              <w:right w:val="single" w:sz="4" w:space="0" w:color="auto"/>
            </w:tcBorders>
            <w:shd w:val="clear" w:color="auto" w:fill="auto"/>
            <w:noWrap/>
            <w:vAlign w:val="center"/>
            <w:hideMark/>
          </w:tcPr>
          <w:p w14:paraId="10010A88" w14:textId="77777777" w:rsidR="00CA5C2D" w:rsidRPr="00746E61" w:rsidRDefault="00CA5C2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715</w:t>
            </w:r>
          </w:p>
        </w:tc>
        <w:tc>
          <w:tcPr>
            <w:tcW w:w="1796" w:type="dxa"/>
            <w:tcBorders>
              <w:top w:val="nil"/>
              <w:left w:val="nil"/>
              <w:bottom w:val="single" w:sz="4" w:space="0" w:color="auto"/>
              <w:right w:val="single" w:sz="4" w:space="0" w:color="auto"/>
            </w:tcBorders>
            <w:shd w:val="clear" w:color="auto" w:fill="auto"/>
            <w:vAlign w:val="center"/>
            <w:hideMark/>
          </w:tcPr>
          <w:p w14:paraId="12FDCAE4" w14:textId="77777777" w:rsidR="00CA5C2D" w:rsidRPr="00746E61" w:rsidRDefault="00CA5C2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46,82%</w:t>
            </w:r>
          </w:p>
        </w:tc>
        <w:tc>
          <w:tcPr>
            <w:tcW w:w="1796" w:type="dxa"/>
            <w:tcBorders>
              <w:top w:val="nil"/>
              <w:left w:val="nil"/>
              <w:bottom w:val="single" w:sz="4" w:space="0" w:color="auto"/>
              <w:right w:val="single" w:sz="4" w:space="0" w:color="auto"/>
            </w:tcBorders>
            <w:shd w:val="clear" w:color="auto" w:fill="auto"/>
            <w:vAlign w:val="center"/>
            <w:hideMark/>
          </w:tcPr>
          <w:p w14:paraId="2D5D4B3F" w14:textId="77777777" w:rsidR="00CA5C2D" w:rsidRPr="00746E61" w:rsidRDefault="00CA5C2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3,32%</w:t>
            </w:r>
          </w:p>
        </w:tc>
      </w:tr>
      <w:tr w:rsidR="00CA5C2D" w:rsidRPr="00746E61" w14:paraId="0CB7C0C3" w14:textId="77777777" w:rsidTr="00CA5C2D">
        <w:trPr>
          <w:trHeight w:val="241"/>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30E00427" w14:textId="77777777" w:rsidR="00CA5C2D" w:rsidRPr="00746E61" w:rsidRDefault="00CA5C2D"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Ejecución de la Pena de Limón</w:t>
            </w:r>
          </w:p>
        </w:tc>
        <w:tc>
          <w:tcPr>
            <w:tcW w:w="1269" w:type="dxa"/>
            <w:tcBorders>
              <w:top w:val="nil"/>
              <w:left w:val="nil"/>
              <w:bottom w:val="single" w:sz="4" w:space="0" w:color="auto"/>
              <w:right w:val="single" w:sz="4" w:space="0" w:color="auto"/>
            </w:tcBorders>
            <w:shd w:val="clear" w:color="auto" w:fill="auto"/>
            <w:noWrap/>
            <w:vAlign w:val="center"/>
            <w:hideMark/>
          </w:tcPr>
          <w:p w14:paraId="1D0C2ACE" w14:textId="77777777" w:rsidR="00CA5C2D" w:rsidRPr="00746E61" w:rsidRDefault="00CA5C2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210</w:t>
            </w:r>
          </w:p>
        </w:tc>
        <w:tc>
          <w:tcPr>
            <w:tcW w:w="999" w:type="dxa"/>
            <w:tcBorders>
              <w:top w:val="nil"/>
              <w:left w:val="nil"/>
              <w:bottom w:val="single" w:sz="4" w:space="0" w:color="auto"/>
              <w:right w:val="single" w:sz="4" w:space="0" w:color="auto"/>
            </w:tcBorders>
            <w:shd w:val="clear" w:color="auto" w:fill="auto"/>
            <w:noWrap/>
            <w:vAlign w:val="center"/>
            <w:hideMark/>
          </w:tcPr>
          <w:p w14:paraId="76D2E41E" w14:textId="77777777" w:rsidR="00CA5C2D" w:rsidRPr="00746E61" w:rsidRDefault="00CA5C2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317</w:t>
            </w:r>
          </w:p>
        </w:tc>
        <w:tc>
          <w:tcPr>
            <w:tcW w:w="992" w:type="dxa"/>
            <w:tcBorders>
              <w:top w:val="nil"/>
              <w:left w:val="nil"/>
              <w:bottom w:val="single" w:sz="4" w:space="0" w:color="auto"/>
              <w:right w:val="single" w:sz="4" w:space="0" w:color="auto"/>
            </w:tcBorders>
            <w:shd w:val="clear" w:color="auto" w:fill="auto"/>
            <w:noWrap/>
            <w:vAlign w:val="center"/>
            <w:hideMark/>
          </w:tcPr>
          <w:p w14:paraId="13865773" w14:textId="77777777" w:rsidR="00CA5C2D" w:rsidRPr="00746E61" w:rsidRDefault="00CA5C2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267</w:t>
            </w:r>
          </w:p>
        </w:tc>
        <w:tc>
          <w:tcPr>
            <w:tcW w:w="1796" w:type="dxa"/>
            <w:tcBorders>
              <w:top w:val="nil"/>
              <w:left w:val="nil"/>
              <w:bottom w:val="single" w:sz="4" w:space="0" w:color="auto"/>
              <w:right w:val="single" w:sz="4" w:space="0" w:color="auto"/>
            </w:tcBorders>
            <w:shd w:val="clear" w:color="auto" w:fill="auto"/>
            <w:vAlign w:val="center"/>
            <w:hideMark/>
          </w:tcPr>
          <w:p w14:paraId="23D596B1" w14:textId="77777777" w:rsidR="00CA5C2D" w:rsidRPr="00746E61" w:rsidRDefault="00CA5C2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27,14%</w:t>
            </w:r>
          </w:p>
        </w:tc>
        <w:tc>
          <w:tcPr>
            <w:tcW w:w="1796" w:type="dxa"/>
            <w:tcBorders>
              <w:top w:val="nil"/>
              <w:left w:val="nil"/>
              <w:bottom w:val="single" w:sz="4" w:space="0" w:color="auto"/>
              <w:right w:val="single" w:sz="4" w:space="0" w:color="auto"/>
            </w:tcBorders>
            <w:shd w:val="clear" w:color="auto" w:fill="auto"/>
            <w:vAlign w:val="center"/>
            <w:hideMark/>
          </w:tcPr>
          <w:p w14:paraId="5402DBD1" w14:textId="77777777" w:rsidR="00CA5C2D" w:rsidRPr="00746E61" w:rsidRDefault="00CA5C2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-15,77%</w:t>
            </w:r>
          </w:p>
        </w:tc>
      </w:tr>
      <w:tr w:rsidR="00CA5C2D" w:rsidRPr="00746E61" w14:paraId="43F05167" w14:textId="77777777" w:rsidTr="00CA5C2D">
        <w:trPr>
          <w:trHeight w:val="241"/>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006AB888" w14:textId="77777777" w:rsidR="00CA5C2D" w:rsidRPr="00746E61" w:rsidRDefault="00CA5C2D"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Ejecución de La Pena de Pococí</w:t>
            </w:r>
          </w:p>
        </w:tc>
        <w:tc>
          <w:tcPr>
            <w:tcW w:w="1269" w:type="dxa"/>
            <w:tcBorders>
              <w:top w:val="nil"/>
              <w:left w:val="nil"/>
              <w:bottom w:val="single" w:sz="4" w:space="0" w:color="auto"/>
              <w:right w:val="single" w:sz="4" w:space="0" w:color="auto"/>
            </w:tcBorders>
            <w:shd w:val="clear" w:color="auto" w:fill="auto"/>
            <w:noWrap/>
            <w:vAlign w:val="center"/>
            <w:hideMark/>
          </w:tcPr>
          <w:p w14:paraId="1935FC05" w14:textId="77777777" w:rsidR="00CA5C2D" w:rsidRPr="00746E61" w:rsidRDefault="00CA5C2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815</w:t>
            </w:r>
          </w:p>
        </w:tc>
        <w:tc>
          <w:tcPr>
            <w:tcW w:w="999" w:type="dxa"/>
            <w:tcBorders>
              <w:top w:val="nil"/>
              <w:left w:val="nil"/>
              <w:bottom w:val="single" w:sz="4" w:space="0" w:color="auto"/>
              <w:right w:val="single" w:sz="4" w:space="0" w:color="auto"/>
            </w:tcBorders>
            <w:shd w:val="clear" w:color="auto" w:fill="auto"/>
            <w:noWrap/>
            <w:vAlign w:val="center"/>
            <w:hideMark/>
          </w:tcPr>
          <w:p w14:paraId="471211A7" w14:textId="77777777" w:rsidR="00CA5C2D" w:rsidRPr="00746E61" w:rsidRDefault="00CA5C2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895</w:t>
            </w:r>
          </w:p>
        </w:tc>
        <w:tc>
          <w:tcPr>
            <w:tcW w:w="992" w:type="dxa"/>
            <w:tcBorders>
              <w:top w:val="nil"/>
              <w:left w:val="nil"/>
              <w:bottom w:val="single" w:sz="4" w:space="0" w:color="auto"/>
              <w:right w:val="single" w:sz="4" w:space="0" w:color="auto"/>
            </w:tcBorders>
            <w:shd w:val="clear" w:color="auto" w:fill="auto"/>
            <w:noWrap/>
            <w:vAlign w:val="center"/>
            <w:hideMark/>
          </w:tcPr>
          <w:p w14:paraId="1B3BFDBD" w14:textId="77777777" w:rsidR="00CA5C2D" w:rsidRPr="00746E61" w:rsidRDefault="00CA5C2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995</w:t>
            </w:r>
          </w:p>
        </w:tc>
        <w:tc>
          <w:tcPr>
            <w:tcW w:w="1796" w:type="dxa"/>
            <w:tcBorders>
              <w:top w:val="nil"/>
              <w:left w:val="nil"/>
              <w:bottom w:val="single" w:sz="4" w:space="0" w:color="auto"/>
              <w:right w:val="single" w:sz="4" w:space="0" w:color="auto"/>
            </w:tcBorders>
            <w:shd w:val="clear" w:color="auto" w:fill="auto"/>
            <w:vAlign w:val="center"/>
            <w:hideMark/>
          </w:tcPr>
          <w:p w14:paraId="6781F128" w14:textId="77777777" w:rsidR="00CA5C2D" w:rsidRPr="00746E61" w:rsidRDefault="00CA5C2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22,09%</w:t>
            </w:r>
          </w:p>
        </w:tc>
        <w:tc>
          <w:tcPr>
            <w:tcW w:w="1796" w:type="dxa"/>
            <w:tcBorders>
              <w:top w:val="nil"/>
              <w:left w:val="nil"/>
              <w:bottom w:val="single" w:sz="4" w:space="0" w:color="auto"/>
              <w:right w:val="single" w:sz="4" w:space="0" w:color="auto"/>
            </w:tcBorders>
            <w:shd w:val="clear" w:color="auto" w:fill="auto"/>
            <w:vAlign w:val="center"/>
            <w:hideMark/>
          </w:tcPr>
          <w:p w14:paraId="7F0D7FE4" w14:textId="77777777" w:rsidR="00CA5C2D" w:rsidRPr="00746E61" w:rsidRDefault="00CA5C2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11,17%</w:t>
            </w:r>
          </w:p>
        </w:tc>
      </w:tr>
      <w:tr w:rsidR="00CA5C2D" w:rsidRPr="00746E61" w14:paraId="1FC10036" w14:textId="77777777" w:rsidTr="00CA5C2D">
        <w:trPr>
          <w:trHeight w:val="241"/>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756FB4C1" w14:textId="77777777" w:rsidR="00CA5C2D" w:rsidRPr="00746E61" w:rsidRDefault="00CA5C2D"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Ejecución de la Pena de San José</w:t>
            </w:r>
          </w:p>
        </w:tc>
        <w:tc>
          <w:tcPr>
            <w:tcW w:w="1269" w:type="dxa"/>
            <w:tcBorders>
              <w:top w:val="nil"/>
              <w:left w:val="nil"/>
              <w:bottom w:val="single" w:sz="4" w:space="0" w:color="auto"/>
              <w:right w:val="single" w:sz="4" w:space="0" w:color="auto"/>
            </w:tcBorders>
            <w:shd w:val="clear" w:color="auto" w:fill="auto"/>
            <w:noWrap/>
            <w:vAlign w:val="center"/>
            <w:hideMark/>
          </w:tcPr>
          <w:p w14:paraId="5976563C" w14:textId="77777777" w:rsidR="00CA5C2D" w:rsidRPr="00746E61" w:rsidRDefault="00CA5C2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1748</w:t>
            </w:r>
          </w:p>
        </w:tc>
        <w:tc>
          <w:tcPr>
            <w:tcW w:w="999" w:type="dxa"/>
            <w:tcBorders>
              <w:top w:val="nil"/>
              <w:left w:val="nil"/>
              <w:bottom w:val="single" w:sz="4" w:space="0" w:color="auto"/>
              <w:right w:val="single" w:sz="4" w:space="0" w:color="auto"/>
            </w:tcBorders>
            <w:shd w:val="clear" w:color="auto" w:fill="auto"/>
            <w:noWrap/>
            <w:vAlign w:val="center"/>
            <w:hideMark/>
          </w:tcPr>
          <w:p w14:paraId="2BD71B08" w14:textId="77777777" w:rsidR="00CA5C2D" w:rsidRPr="00746E61" w:rsidRDefault="00CA5C2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2013</w:t>
            </w:r>
          </w:p>
        </w:tc>
        <w:tc>
          <w:tcPr>
            <w:tcW w:w="992" w:type="dxa"/>
            <w:tcBorders>
              <w:top w:val="nil"/>
              <w:left w:val="nil"/>
              <w:bottom w:val="single" w:sz="4" w:space="0" w:color="auto"/>
              <w:right w:val="single" w:sz="4" w:space="0" w:color="auto"/>
            </w:tcBorders>
            <w:shd w:val="clear" w:color="auto" w:fill="auto"/>
            <w:noWrap/>
            <w:vAlign w:val="center"/>
            <w:hideMark/>
          </w:tcPr>
          <w:p w14:paraId="7634D692" w14:textId="77777777" w:rsidR="00CA5C2D" w:rsidRPr="00746E61" w:rsidRDefault="00CA5C2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1945</w:t>
            </w:r>
          </w:p>
        </w:tc>
        <w:tc>
          <w:tcPr>
            <w:tcW w:w="1796" w:type="dxa"/>
            <w:tcBorders>
              <w:top w:val="nil"/>
              <w:left w:val="nil"/>
              <w:bottom w:val="single" w:sz="4" w:space="0" w:color="auto"/>
              <w:right w:val="single" w:sz="4" w:space="0" w:color="auto"/>
            </w:tcBorders>
            <w:shd w:val="clear" w:color="auto" w:fill="auto"/>
            <w:vAlign w:val="center"/>
            <w:hideMark/>
          </w:tcPr>
          <w:p w14:paraId="6418A8FB" w14:textId="77777777" w:rsidR="00CA5C2D" w:rsidRPr="00746E61" w:rsidRDefault="00CA5C2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11,27%</w:t>
            </w:r>
          </w:p>
        </w:tc>
        <w:tc>
          <w:tcPr>
            <w:tcW w:w="1796" w:type="dxa"/>
            <w:tcBorders>
              <w:top w:val="nil"/>
              <w:left w:val="nil"/>
              <w:bottom w:val="single" w:sz="4" w:space="0" w:color="auto"/>
              <w:right w:val="single" w:sz="4" w:space="0" w:color="auto"/>
            </w:tcBorders>
            <w:shd w:val="clear" w:color="auto" w:fill="auto"/>
            <w:vAlign w:val="center"/>
            <w:hideMark/>
          </w:tcPr>
          <w:p w14:paraId="21178E76" w14:textId="77777777" w:rsidR="00CA5C2D" w:rsidRPr="00746E61" w:rsidRDefault="00CA5C2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-3,38%</w:t>
            </w:r>
          </w:p>
        </w:tc>
      </w:tr>
      <w:tr w:rsidR="00CA5C2D" w:rsidRPr="00746E61" w14:paraId="1221F1C2" w14:textId="77777777" w:rsidTr="00CA5C2D">
        <w:trPr>
          <w:trHeight w:val="241"/>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4A31EC10" w14:textId="77777777" w:rsidR="00CA5C2D" w:rsidRPr="00746E61" w:rsidRDefault="00CA5C2D"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Ejecución de la Pena de Cartago</w:t>
            </w:r>
          </w:p>
        </w:tc>
        <w:tc>
          <w:tcPr>
            <w:tcW w:w="1269" w:type="dxa"/>
            <w:tcBorders>
              <w:top w:val="nil"/>
              <w:left w:val="nil"/>
              <w:bottom w:val="single" w:sz="4" w:space="0" w:color="auto"/>
              <w:right w:val="single" w:sz="4" w:space="0" w:color="auto"/>
            </w:tcBorders>
            <w:shd w:val="clear" w:color="auto" w:fill="auto"/>
            <w:noWrap/>
            <w:vAlign w:val="center"/>
            <w:hideMark/>
          </w:tcPr>
          <w:p w14:paraId="7839F07C" w14:textId="77777777" w:rsidR="00CA5C2D" w:rsidRPr="00746E61" w:rsidRDefault="00CA5C2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1528</w:t>
            </w:r>
          </w:p>
        </w:tc>
        <w:tc>
          <w:tcPr>
            <w:tcW w:w="999" w:type="dxa"/>
            <w:tcBorders>
              <w:top w:val="nil"/>
              <w:left w:val="nil"/>
              <w:bottom w:val="single" w:sz="4" w:space="0" w:color="auto"/>
              <w:right w:val="single" w:sz="4" w:space="0" w:color="auto"/>
            </w:tcBorders>
            <w:shd w:val="clear" w:color="auto" w:fill="auto"/>
            <w:noWrap/>
            <w:vAlign w:val="center"/>
            <w:hideMark/>
          </w:tcPr>
          <w:p w14:paraId="61CBBA9C" w14:textId="77777777" w:rsidR="00CA5C2D" w:rsidRPr="00746E61" w:rsidRDefault="00CA5C2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1497</w:t>
            </w:r>
          </w:p>
        </w:tc>
        <w:tc>
          <w:tcPr>
            <w:tcW w:w="992" w:type="dxa"/>
            <w:tcBorders>
              <w:top w:val="nil"/>
              <w:left w:val="nil"/>
              <w:bottom w:val="single" w:sz="4" w:space="0" w:color="auto"/>
              <w:right w:val="single" w:sz="4" w:space="0" w:color="auto"/>
            </w:tcBorders>
            <w:shd w:val="clear" w:color="auto" w:fill="auto"/>
            <w:noWrap/>
            <w:vAlign w:val="center"/>
            <w:hideMark/>
          </w:tcPr>
          <w:p w14:paraId="5FC2CC5C" w14:textId="77777777" w:rsidR="00CA5C2D" w:rsidRPr="00746E61" w:rsidRDefault="00CA5C2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1384</w:t>
            </w:r>
          </w:p>
        </w:tc>
        <w:tc>
          <w:tcPr>
            <w:tcW w:w="1796" w:type="dxa"/>
            <w:tcBorders>
              <w:top w:val="nil"/>
              <w:left w:val="nil"/>
              <w:bottom w:val="single" w:sz="4" w:space="0" w:color="auto"/>
              <w:right w:val="single" w:sz="4" w:space="0" w:color="auto"/>
            </w:tcBorders>
            <w:shd w:val="clear" w:color="auto" w:fill="auto"/>
            <w:vAlign w:val="center"/>
            <w:hideMark/>
          </w:tcPr>
          <w:p w14:paraId="4F26CF85" w14:textId="77777777" w:rsidR="00CA5C2D" w:rsidRPr="00746E61" w:rsidRDefault="00CA5C2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-9,42%</w:t>
            </w:r>
          </w:p>
        </w:tc>
        <w:tc>
          <w:tcPr>
            <w:tcW w:w="1796" w:type="dxa"/>
            <w:tcBorders>
              <w:top w:val="nil"/>
              <w:left w:val="nil"/>
              <w:bottom w:val="single" w:sz="4" w:space="0" w:color="auto"/>
              <w:right w:val="single" w:sz="4" w:space="0" w:color="auto"/>
            </w:tcBorders>
            <w:shd w:val="clear" w:color="auto" w:fill="auto"/>
            <w:vAlign w:val="center"/>
            <w:hideMark/>
          </w:tcPr>
          <w:p w14:paraId="1EF402F3" w14:textId="77777777" w:rsidR="00CA5C2D" w:rsidRPr="00746E61" w:rsidRDefault="00CA5C2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-7,55%</w:t>
            </w:r>
          </w:p>
        </w:tc>
      </w:tr>
      <w:tr w:rsidR="00CA5C2D" w:rsidRPr="00746E61" w14:paraId="2C9A8735" w14:textId="77777777" w:rsidTr="00CA5C2D">
        <w:trPr>
          <w:trHeight w:val="241"/>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3B444BE9" w14:textId="77777777" w:rsidR="00CA5C2D" w:rsidRPr="00746E61" w:rsidRDefault="00CA5C2D"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Juzgado Ejecución de La Pena de Puntarenas</w:t>
            </w:r>
          </w:p>
        </w:tc>
        <w:tc>
          <w:tcPr>
            <w:tcW w:w="1269" w:type="dxa"/>
            <w:tcBorders>
              <w:top w:val="nil"/>
              <w:left w:val="nil"/>
              <w:bottom w:val="single" w:sz="4" w:space="0" w:color="auto"/>
              <w:right w:val="single" w:sz="4" w:space="0" w:color="auto"/>
            </w:tcBorders>
            <w:shd w:val="clear" w:color="auto" w:fill="auto"/>
            <w:noWrap/>
            <w:vAlign w:val="center"/>
            <w:hideMark/>
          </w:tcPr>
          <w:p w14:paraId="4620F878" w14:textId="77777777" w:rsidR="00CA5C2D" w:rsidRPr="00746E61" w:rsidRDefault="00CA5C2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443</w:t>
            </w:r>
          </w:p>
        </w:tc>
        <w:tc>
          <w:tcPr>
            <w:tcW w:w="999" w:type="dxa"/>
            <w:tcBorders>
              <w:top w:val="nil"/>
              <w:left w:val="nil"/>
              <w:bottom w:val="single" w:sz="4" w:space="0" w:color="auto"/>
              <w:right w:val="single" w:sz="4" w:space="0" w:color="auto"/>
            </w:tcBorders>
            <w:shd w:val="clear" w:color="auto" w:fill="auto"/>
            <w:noWrap/>
            <w:vAlign w:val="center"/>
            <w:hideMark/>
          </w:tcPr>
          <w:p w14:paraId="79E8F0BA" w14:textId="77777777" w:rsidR="00CA5C2D" w:rsidRPr="00746E61" w:rsidRDefault="00CA5C2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232</w:t>
            </w:r>
          </w:p>
        </w:tc>
        <w:tc>
          <w:tcPr>
            <w:tcW w:w="992" w:type="dxa"/>
            <w:tcBorders>
              <w:top w:val="nil"/>
              <w:left w:val="nil"/>
              <w:bottom w:val="single" w:sz="4" w:space="0" w:color="auto"/>
              <w:right w:val="single" w:sz="4" w:space="0" w:color="auto"/>
            </w:tcBorders>
            <w:shd w:val="clear" w:color="auto" w:fill="auto"/>
            <w:noWrap/>
            <w:vAlign w:val="center"/>
            <w:hideMark/>
          </w:tcPr>
          <w:p w14:paraId="7868074D" w14:textId="77777777" w:rsidR="00CA5C2D" w:rsidRPr="00746E61" w:rsidRDefault="00CA5C2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254</w:t>
            </w:r>
          </w:p>
        </w:tc>
        <w:tc>
          <w:tcPr>
            <w:tcW w:w="1796" w:type="dxa"/>
            <w:tcBorders>
              <w:top w:val="nil"/>
              <w:left w:val="nil"/>
              <w:bottom w:val="single" w:sz="4" w:space="0" w:color="auto"/>
              <w:right w:val="single" w:sz="4" w:space="0" w:color="auto"/>
            </w:tcBorders>
            <w:shd w:val="clear" w:color="auto" w:fill="auto"/>
            <w:vAlign w:val="center"/>
            <w:hideMark/>
          </w:tcPr>
          <w:p w14:paraId="49ED1F5D" w14:textId="77777777" w:rsidR="00CA5C2D" w:rsidRPr="00746E61" w:rsidRDefault="00CA5C2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-42,66%</w:t>
            </w:r>
          </w:p>
        </w:tc>
        <w:tc>
          <w:tcPr>
            <w:tcW w:w="1796" w:type="dxa"/>
            <w:tcBorders>
              <w:top w:val="nil"/>
              <w:left w:val="nil"/>
              <w:bottom w:val="single" w:sz="4" w:space="0" w:color="auto"/>
              <w:right w:val="single" w:sz="4" w:space="0" w:color="auto"/>
            </w:tcBorders>
            <w:shd w:val="clear" w:color="auto" w:fill="auto"/>
            <w:vAlign w:val="center"/>
            <w:hideMark/>
          </w:tcPr>
          <w:p w14:paraId="28D91F82" w14:textId="77777777" w:rsidR="00CA5C2D" w:rsidRPr="00746E61" w:rsidRDefault="00CA5C2D"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9,48%</w:t>
            </w:r>
          </w:p>
        </w:tc>
      </w:tr>
      <w:tr w:rsidR="00CA5C2D" w:rsidRPr="00746E61" w14:paraId="0044EA1B" w14:textId="77777777" w:rsidTr="00CA5C2D">
        <w:trPr>
          <w:trHeight w:val="241"/>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3F41D2F2" w14:textId="77777777" w:rsidR="00CA5C2D" w:rsidRPr="00746E61" w:rsidRDefault="00CA5C2D" w:rsidP="00746E61">
            <w:pPr>
              <w:spacing w:line="276" w:lineRule="auto"/>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Total</w:t>
            </w:r>
          </w:p>
        </w:tc>
        <w:tc>
          <w:tcPr>
            <w:tcW w:w="1269" w:type="dxa"/>
            <w:tcBorders>
              <w:top w:val="nil"/>
              <w:left w:val="nil"/>
              <w:bottom w:val="single" w:sz="4" w:space="0" w:color="auto"/>
              <w:right w:val="single" w:sz="4" w:space="0" w:color="auto"/>
            </w:tcBorders>
            <w:shd w:val="clear" w:color="auto" w:fill="auto"/>
            <w:vAlign w:val="center"/>
            <w:hideMark/>
          </w:tcPr>
          <w:p w14:paraId="5B466DD2" w14:textId="77777777" w:rsidR="00CA5C2D" w:rsidRPr="00746E61" w:rsidRDefault="00CA5C2D"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7242</w:t>
            </w:r>
          </w:p>
        </w:tc>
        <w:tc>
          <w:tcPr>
            <w:tcW w:w="999" w:type="dxa"/>
            <w:tcBorders>
              <w:top w:val="nil"/>
              <w:left w:val="nil"/>
              <w:bottom w:val="single" w:sz="4" w:space="0" w:color="auto"/>
              <w:right w:val="single" w:sz="4" w:space="0" w:color="auto"/>
            </w:tcBorders>
            <w:shd w:val="clear" w:color="auto" w:fill="auto"/>
            <w:vAlign w:val="center"/>
            <w:hideMark/>
          </w:tcPr>
          <w:p w14:paraId="37EFFE4F" w14:textId="77777777" w:rsidR="00CA5C2D" w:rsidRPr="00746E61" w:rsidRDefault="00CA5C2D"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8887</w:t>
            </w:r>
          </w:p>
        </w:tc>
        <w:tc>
          <w:tcPr>
            <w:tcW w:w="992" w:type="dxa"/>
            <w:tcBorders>
              <w:top w:val="nil"/>
              <w:left w:val="nil"/>
              <w:bottom w:val="single" w:sz="4" w:space="0" w:color="auto"/>
              <w:right w:val="single" w:sz="4" w:space="0" w:color="auto"/>
            </w:tcBorders>
            <w:shd w:val="clear" w:color="auto" w:fill="auto"/>
            <w:vAlign w:val="center"/>
            <w:hideMark/>
          </w:tcPr>
          <w:p w14:paraId="0CFC018E" w14:textId="77777777" w:rsidR="00CA5C2D" w:rsidRPr="00746E61" w:rsidRDefault="00CA5C2D"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10028</w:t>
            </w:r>
          </w:p>
        </w:tc>
        <w:tc>
          <w:tcPr>
            <w:tcW w:w="1796" w:type="dxa"/>
            <w:tcBorders>
              <w:top w:val="nil"/>
              <w:left w:val="nil"/>
              <w:bottom w:val="single" w:sz="4" w:space="0" w:color="auto"/>
              <w:right w:val="single" w:sz="4" w:space="0" w:color="auto"/>
            </w:tcBorders>
            <w:shd w:val="clear" w:color="auto" w:fill="auto"/>
            <w:vAlign w:val="center"/>
            <w:hideMark/>
          </w:tcPr>
          <w:p w14:paraId="3AD46ACB" w14:textId="77777777" w:rsidR="00CA5C2D" w:rsidRPr="00746E61" w:rsidRDefault="00CA5C2D"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38,47%</w:t>
            </w:r>
          </w:p>
        </w:tc>
        <w:tc>
          <w:tcPr>
            <w:tcW w:w="1796" w:type="dxa"/>
            <w:tcBorders>
              <w:top w:val="nil"/>
              <w:left w:val="nil"/>
              <w:bottom w:val="single" w:sz="4" w:space="0" w:color="auto"/>
              <w:right w:val="single" w:sz="4" w:space="0" w:color="auto"/>
            </w:tcBorders>
            <w:shd w:val="clear" w:color="auto" w:fill="auto"/>
            <w:vAlign w:val="center"/>
            <w:hideMark/>
          </w:tcPr>
          <w:p w14:paraId="0211CF28" w14:textId="77777777" w:rsidR="00CA5C2D" w:rsidRPr="00746E61" w:rsidRDefault="00CA5C2D"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12,84%</w:t>
            </w:r>
          </w:p>
        </w:tc>
      </w:tr>
    </w:tbl>
    <w:p w14:paraId="43C5E7B9" w14:textId="3C5F9E2C" w:rsidR="00D761EB" w:rsidRPr="00746E61" w:rsidRDefault="0059268A" w:rsidP="00746E61">
      <w:pPr>
        <w:spacing w:line="276" w:lineRule="auto"/>
        <w:jc w:val="center"/>
        <w:rPr>
          <w:rFonts w:ascii="Book Antiqua" w:hAnsi="Book Antiqua" w:cs="Calibri"/>
          <w:color w:val="000000"/>
          <w:sz w:val="20"/>
          <w:szCs w:val="20"/>
          <w:lang w:eastAsia="es-CR"/>
        </w:rPr>
      </w:pPr>
      <w:r w:rsidRPr="00746E61">
        <w:rPr>
          <w:rFonts w:ascii="Book Antiqua" w:hAnsi="Book Antiqua" w:cs="Calibri"/>
          <w:b/>
          <w:bCs/>
          <w:color w:val="000000"/>
          <w:sz w:val="20"/>
          <w:szCs w:val="20"/>
          <w:lang w:eastAsia="es-CR"/>
        </w:rPr>
        <w:t>Fuente:</w:t>
      </w:r>
      <w:r w:rsidRPr="00746E61">
        <w:rPr>
          <w:rFonts w:ascii="Book Antiqua" w:hAnsi="Book Antiqua" w:cs="Calibri"/>
          <w:color w:val="000000"/>
          <w:sz w:val="20"/>
          <w:szCs w:val="20"/>
          <w:lang w:eastAsia="es-CR"/>
        </w:rPr>
        <w:t xml:space="preserve"> Elaboración propia a partir de las estadísticas del Subproceso de Estadística</w:t>
      </w:r>
    </w:p>
    <w:p w14:paraId="3B43DE58" w14:textId="35B5A013" w:rsidR="00CA5C2D" w:rsidRPr="00746E61" w:rsidRDefault="00CA5C2D" w:rsidP="00746E61">
      <w:pPr>
        <w:spacing w:line="276" w:lineRule="auto"/>
        <w:jc w:val="center"/>
        <w:rPr>
          <w:rFonts w:ascii="Book Antiqua" w:hAnsi="Book Antiqua" w:cs="Calibri"/>
          <w:color w:val="000000"/>
          <w:sz w:val="20"/>
          <w:szCs w:val="20"/>
          <w:lang w:eastAsia="es-CR"/>
        </w:rPr>
      </w:pPr>
    </w:p>
    <w:p w14:paraId="69AC49EA" w14:textId="77777777" w:rsidR="000B79A6" w:rsidRPr="00746E61" w:rsidRDefault="000B79A6" w:rsidP="00BF7F5F">
      <w:pPr>
        <w:spacing w:line="276" w:lineRule="auto"/>
        <w:rPr>
          <w:rFonts w:ascii="Book Antiqua" w:hAnsi="Book Antiqua"/>
          <w:lang w:val="es-ES_tradnl" w:eastAsia="en-US"/>
        </w:rPr>
      </w:pPr>
    </w:p>
    <w:p w14:paraId="3B707654" w14:textId="2C68C775" w:rsidR="00747468" w:rsidRPr="00746E61" w:rsidRDefault="30CE11B9" w:rsidP="57A79FF7">
      <w:pPr>
        <w:tabs>
          <w:tab w:val="left" w:pos="426"/>
        </w:tabs>
        <w:spacing w:line="276" w:lineRule="auto"/>
        <w:jc w:val="both"/>
        <w:outlineLvl w:val="1"/>
        <w:rPr>
          <w:b/>
          <w:color w:val="000000" w:themeColor="text1"/>
          <w:lang w:eastAsia="es-CR"/>
        </w:rPr>
      </w:pPr>
      <w:r w:rsidRPr="57A79FF7">
        <w:rPr>
          <w:rFonts w:ascii="Book Antiqua" w:hAnsi="Book Antiqua"/>
          <w:b/>
          <w:bCs/>
          <w:color w:val="000000" w:themeColor="text1"/>
        </w:rPr>
        <w:t xml:space="preserve">3.5 </w:t>
      </w:r>
      <w:r w:rsidR="00747468" w:rsidRPr="00746E61">
        <w:rPr>
          <w:rFonts w:ascii="Book Antiqua" w:hAnsi="Book Antiqua"/>
          <w:b/>
          <w:bCs/>
          <w:color w:val="000000" w:themeColor="text1"/>
        </w:rPr>
        <w:t>Tribunales de Apelación</w:t>
      </w:r>
    </w:p>
    <w:p w14:paraId="64784FDA" w14:textId="77777777" w:rsidR="00747468" w:rsidRPr="00746E61" w:rsidRDefault="00747468" w:rsidP="00746E61">
      <w:pPr>
        <w:spacing w:line="276" w:lineRule="auto"/>
        <w:rPr>
          <w:rFonts w:ascii="Book Antiqua" w:hAnsi="Book Antiqua"/>
          <w:b/>
          <w:bCs/>
          <w:lang w:val="es-ES_tradnl" w:eastAsia="en-US"/>
        </w:rPr>
      </w:pPr>
    </w:p>
    <w:p w14:paraId="769C4824" w14:textId="12D6B288" w:rsidR="00747468" w:rsidRPr="00746E61" w:rsidRDefault="29CAEBC1" w:rsidP="57A79FF7">
      <w:pPr>
        <w:spacing w:line="276" w:lineRule="auto"/>
        <w:outlineLvl w:val="2"/>
        <w:rPr>
          <w:b/>
          <w:lang w:val="es-ES" w:eastAsia="en-US"/>
        </w:rPr>
      </w:pPr>
      <w:r w:rsidRPr="57A79FF7">
        <w:rPr>
          <w:rFonts w:ascii="Book Antiqua" w:hAnsi="Book Antiqua"/>
          <w:b/>
          <w:bCs/>
          <w:lang w:val="es-ES" w:eastAsia="en-US"/>
        </w:rPr>
        <w:t xml:space="preserve">3.5.1 </w:t>
      </w:r>
      <w:r w:rsidR="00747468" w:rsidRPr="57A79FF7">
        <w:rPr>
          <w:rFonts w:ascii="Book Antiqua" w:hAnsi="Book Antiqua"/>
          <w:b/>
          <w:lang w:val="es-ES" w:eastAsia="en-US"/>
        </w:rPr>
        <w:t>Asuntos nuevos</w:t>
      </w:r>
    </w:p>
    <w:p w14:paraId="64888722" w14:textId="77777777" w:rsidR="00747468" w:rsidRPr="00746E61" w:rsidRDefault="00747468" w:rsidP="00746E61">
      <w:pPr>
        <w:spacing w:line="276" w:lineRule="auto"/>
        <w:jc w:val="center"/>
        <w:rPr>
          <w:rFonts w:ascii="Book Antiqua" w:hAnsi="Book Antiqua"/>
          <w:lang w:val="es-ES_tradnl" w:eastAsia="en-US"/>
        </w:rPr>
      </w:pPr>
    </w:p>
    <w:p w14:paraId="1386973F" w14:textId="67CE33FF" w:rsidR="00747468" w:rsidRPr="00746E61" w:rsidRDefault="00D761EB" w:rsidP="00746E61">
      <w:pPr>
        <w:spacing w:line="276" w:lineRule="auto"/>
        <w:jc w:val="both"/>
        <w:rPr>
          <w:rFonts w:ascii="Book Antiqua" w:hAnsi="Book Antiqua" w:cs="Arial"/>
        </w:rPr>
      </w:pPr>
      <w:bookmarkStart w:id="15" w:name="_Hlk87893278"/>
      <w:r w:rsidRPr="00746E61">
        <w:rPr>
          <w:rFonts w:ascii="Book Antiqua" w:hAnsi="Book Antiqua" w:cs="Arial"/>
        </w:rPr>
        <w:t xml:space="preserve">El promedio de entrada mensual de asuntos nuevos de enero a </w:t>
      </w:r>
      <w:r w:rsidR="00B43DD8" w:rsidRPr="00746E61">
        <w:rPr>
          <w:rFonts w:ascii="Book Antiqua" w:hAnsi="Book Antiqua" w:cs="Arial"/>
        </w:rPr>
        <w:t>setiembre</w:t>
      </w:r>
      <w:r w:rsidRPr="00746E61">
        <w:rPr>
          <w:rFonts w:ascii="Book Antiqua" w:hAnsi="Book Antiqua" w:cs="Arial"/>
        </w:rPr>
        <w:t xml:space="preserve"> de 2021 fue de 37</w:t>
      </w:r>
      <w:r w:rsidR="00B43DD8" w:rsidRPr="00746E61">
        <w:rPr>
          <w:rFonts w:ascii="Book Antiqua" w:hAnsi="Book Antiqua" w:cs="Arial"/>
        </w:rPr>
        <w:t>4</w:t>
      </w:r>
      <w:r w:rsidRPr="00746E61">
        <w:rPr>
          <w:rFonts w:ascii="Book Antiqua" w:hAnsi="Book Antiqua" w:cs="Arial"/>
        </w:rPr>
        <w:t xml:space="preserve"> casos, lo que, </w:t>
      </w:r>
      <w:r w:rsidR="001E40E7" w:rsidRPr="00746E61">
        <w:rPr>
          <w:rFonts w:ascii="Book Antiqua" w:hAnsi="Book Antiqua" w:cs="Arial"/>
        </w:rPr>
        <w:t>representa una leve disminución</w:t>
      </w:r>
      <w:r w:rsidR="00AE692A" w:rsidRPr="00746E61">
        <w:rPr>
          <w:rFonts w:ascii="Book Antiqua" w:hAnsi="Book Antiqua" w:cs="Arial"/>
        </w:rPr>
        <w:t xml:space="preserve"> general</w:t>
      </w:r>
      <w:r w:rsidR="001E40E7" w:rsidRPr="00746E61">
        <w:rPr>
          <w:rFonts w:ascii="Book Antiqua" w:hAnsi="Book Antiqua" w:cs="Arial"/>
        </w:rPr>
        <w:t xml:space="preserve"> </w:t>
      </w:r>
      <w:r w:rsidRPr="00746E61">
        <w:rPr>
          <w:rFonts w:ascii="Book Antiqua" w:hAnsi="Book Antiqua" w:cs="Arial"/>
        </w:rPr>
        <w:t xml:space="preserve">del </w:t>
      </w:r>
      <w:r w:rsidR="001E40E7" w:rsidRPr="00746E61">
        <w:rPr>
          <w:rFonts w:ascii="Book Antiqua" w:hAnsi="Book Antiqua" w:cs="Arial"/>
        </w:rPr>
        <w:t>0.</w:t>
      </w:r>
      <w:r w:rsidR="00B43DD8" w:rsidRPr="00746E61">
        <w:rPr>
          <w:rFonts w:ascii="Book Antiqua" w:hAnsi="Book Antiqua" w:cs="Arial"/>
        </w:rPr>
        <w:t>71</w:t>
      </w:r>
      <w:r w:rsidR="001E40E7" w:rsidRPr="00746E61">
        <w:rPr>
          <w:rFonts w:ascii="Book Antiqua" w:hAnsi="Book Antiqua" w:cs="Arial"/>
        </w:rPr>
        <w:t xml:space="preserve"> </w:t>
      </w:r>
      <w:r w:rsidRPr="00746E61">
        <w:rPr>
          <w:rFonts w:ascii="Book Antiqua" w:hAnsi="Book Antiqua" w:cs="Arial"/>
        </w:rPr>
        <w:t>%</w:t>
      </w:r>
      <w:r w:rsidR="001E40E7" w:rsidRPr="00746E61">
        <w:rPr>
          <w:rFonts w:ascii="Book Antiqua" w:hAnsi="Book Antiqua" w:cs="Arial"/>
        </w:rPr>
        <w:t xml:space="preserve"> </w:t>
      </w:r>
      <w:r w:rsidRPr="00746E61">
        <w:rPr>
          <w:rFonts w:ascii="Book Antiqua" w:hAnsi="Book Antiqua" w:cs="Arial"/>
        </w:rPr>
        <w:t>en relación con el año 2019</w:t>
      </w:r>
      <w:r w:rsidR="001E40E7" w:rsidRPr="00746E61">
        <w:rPr>
          <w:rFonts w:ascii="Book Antiqua" w:hAnsi="Book Antiqua" w:cs="Arial"/>
        </w:rPr>
        <w:t xml:space="preserve"> y un alza del 1</w:t>
      </w:r>
      <w:r w:rsidR="00B43DD8" w:rsidRPr="00746E61">
        <w:rPr>
          <w:rFonts w:ascii="Book Antiqua" w:hAnsi="Book Antiqua" w:cs="Arial"/>
        </w:rPr>
        <w:t>1</w:t>
      </w:r>
      <w:r w:rsidR="001E40E7" w:rsidRPr="00746E61">
        <w:rPr>
          <w:rFonts w:ascii="Book Antiqua" w:hAnsi="Book Antiqua" w:cs="Arial"/>
        </w:rPr>
        <w:t>.</w:t>
      </w:r>
      <w:r w:rsidR="00B43DD8" w:rsidRPr="00746E61">
        <w:rPr>
          <w:rFonts w:ascii="Book Antiqua" w:hAnsi="Book Antiqua" w:cs="Arial"/>
        </w:rPr>
        <w:t>74</w:t>
      </w:r>
      <w:r w:rsidR="001E40E7" w:rsidRPr="00746E61">
        <w:rPr>
          <w:rFonts w:ascii="Book Antiqua" w:hAnsi="Book Antiqua" w:cs="Arial"/>
        </w:rPr>
        <w:t>% con respecto al año 2020</w:t>
      </w:r>
      <w:bookmarkEnd w:id="15"/>
      <w:r w:rsidRPr="00746E61">
        <w:rPr>
          <w:rFonts w:ascii="Book Antiqua" w:hAnsi="Book Antiqua" w:cs="Arial"/>
        </w:rPr>
        <w:t xml:space="preserve">. Al </w:t>
      </w:r>
      <w:r w:rsidR="001E40E7" w:rsidRPr="00746E61">
        <w:rPr>
          <w:rFonts w:ascii="Book Antiqua" w:hAnsi="Book Antiqua" w:cs="Arial"/>
        </w:rPr>
        <w:t>desglosar</w:t>
      </w:r>
      <w:r w:rsidRPr="00746E61">
        <w:rPr>
          <w:rFonts w:ascii="Book Antiqua" w:hAnsi="Book Antiqua" w:cs="Arial"/>
        </w:rPr>
        <w:t xml:space="preserve"> los datos según el despacho, se </w:t>
      </w:r>
      <w:r w:rsidR="00AE692A" w:rsidRPr="00746E61">
        <w:rPr>
          <w:rFonts w:ascii="Book Antiqua" w:hAnsi="Book Antiqua" w:cs="Arial"/>
        </w:rPr>
        <w:t xml:space="preserve">visualiza que los </w:t>
      </w:r>
      <w:r w:rsidRPr="00746E61">
        <w:rPr>
          <w:rFonts w:ascii="Book Antiqua" w:hAnsi="Book Antiqua" w:cs="Arial"/>
        </w:rPr>
        <w:t>Tribunal</w:t>
      </w:r>
      <w:r w:rsidR="00AE692A" w:rsidRPr="00746E61">
        <w:rPr>
          <w:rFonts w:ascii="Book Antiqua" w:hAnsi="Book Antiqua" w:cs="Arial"/>
        </w:rPr>
        <w:t>es</w:t>
      </w:r>
      <w:r w:rsidRPr="00746E61">
        <w:rPr>
          <w:rFonts w:ascii="Book Antiqua" w:hAnsi="Book Antiqua" w:cs="Arial"/>
        </w:rPr>
        <w:t xml:space="preserve"> de Apelación de San Ramón</w:t>
      </w:r>
      <w:r w:rsidR="00AE692A" w:rsidRPr="00746E61">
        <w:rPr>
          <w:rFonts w:ascii="Book Antiqua" w:hAnsi="Book Antiqua" w:cs="Arial"/>
        </w:rPr>
        <w:t xml:space="preserve"> y Santa Cruz</w:t>
      </w:r>
      <w:r w:rsidRPr="00746E61">
        <w:rPr>
          <w:rFonts w:ascii="Book Antiqua" w:hAnsi="Book Antiqua" w:cs="Arial"/>
        </w:rPr>
        <w:t>,</w:t>
      </w:r>
      <w:r w:rsidR="00AE692A" w:rsidRPr="00746E61">
        <w:rPr>
          <w:rFonts w:ascii="Book Antiqua" w:hAnsi="Book Antiqua" w:cs="Arial"/>
        </w:rPr>
        <w:t xml:space="preserve"> </w:t>
      </w:r>
      <w:r w:rsidR="007C3326" w:rsidRPr="00746E61">
        <w:rPr>
          <w:rFonts w:ascii="Book Antiqua" w:hAnsi="Book Antiqua" w:cs="Arial"/>
        </w:rPr>
        <w:t>presentaron</w:t>
      </w:r>
      <w:r w:rsidR="00AE692A" w:rsidRPr="00746E61">
        <w:rPr>
          <w:rFonts w:ascii="Book Antiqua" w:hAnsi="Book Antiqua" w:cs="Arial"/>
        </w:rPr>
        <w:t xml:space="preserve"> </w:t>
      </w:r>
      <w:r w:rsidR="007C3326" w:rsidRPr="00746E61">
        <w:rPr>
          <w:rFonts w:ascii="Book Antiqua" w:hAnsi="Book Antiqua" w:cs="Arial"/>
        </w:rPr>
        <w:t>un incremento</w:t>
      </w:r>
      <w:r w:rsidR="00AE692A" w:rsidRPr="00746E61">
        <w:rPr>
          <w:rFonts w:ascii="Book Antiqua" w:hAnsi="Book Antiqua" w:cs="Arial"/>
        </w:rPr>
        <w:t xml:space="preserve"> </w:t>
      </w:r>
      <w:r w:rsidR="007C3326" w:rsidRPr="00746E61">
        <w:rPr>
          <w:rFonts w:ascii="Book Antiqua" w:hAnsi="Book Antiqua" w:cs="Arial"/>
        </w:rPr>
        <w:t>asuntos</w:t>
      </w:r>
      <w:r w:rsidR="00AE692A" w:rsidRPr="00746E61">
        <w:rPr>
          <w:rFonts w:ascii="Book Antiqua" w:hAnsi="Book Antiqua" w:cs="Arial"/>
        </w:rPr>
        <w:t xml:space="preserve"> nuevos en todos los periodos de análisis</w:t>
      </w:r>
      <w:r w:rsidR="0056107F" w:rsidRPr="00746E61">
        <w:rPr>
          <w:rFonts w:ascii="Book Antiqua" w:hAnsi="Book Antiqua" w:cs="Arial"/>
        </w:rPr>
        <w:t xml:space="preserve">, </w:t>
      </w:r>
      <w:r w:rsidRPr="00746E61">
        <w:rPr>
          <w:rFonts w:ascii="Book Antiqua" w:hAnsi="Book Antiqua" w:cs="Arial"/>
        </w:rPr>
        <w:t xml:space="preserve">tal como se logra </w:t>
      </w:r>
      <w:r w:rsidR="001E40E7" w:rsidRPr="00746E61">
        <w:rPr>
          <w:rFonts w:ascii="Book Antiqua" w:hAnsi="Book Antiqua" w:cs="Arial"/>
        </w:rPr>
        <w:t>observar</w:t>
      </w:r>
      <w:r w:rsidRPr="00746E61">
        <w:rPr>
          <w:rFonts w:ascii="Book Antiqua" w:hAnsi="Book Antiqua" w:cs="Arial"/>
        </w:rPr>
        <w:t xml:space="preserve"> en el siguiente cuadro:</w:t>
      </w:r>
    </w:p>
    <w:p w14:paraId="10F900BC" w14:textId="77777777" w:rsidR="0056107F" w:rsidRPr="00746E61" w:rsidRDefault="0056107F" w:rsidP="00746E61">
      <w:pPr>
        <w:spacing w:line="276" w:lineRule="auto"/>
        <w:jc w:val="both"/>
        <w:rPr>
          <w:rFonts w:ascii="Book Antiqua" w:hAnsi="Book Antiqua" w:cs="Arial"/>
        </w:rPr>
      </w:pPr>
    </w:p>
    <w:p w14:paraId="2D64F746" w14:textId="6A0F46E5" w:rsidR="00747468" w:rsidRPr="00746E61" w:rsidRDefault="00747468" w:rsidP="00746E61">
      <w:pPr>
        <w:widowControl w:val="0"/>
        <w:autoSpaceDE w:val="0"/>
        <w:spacing w:line="276" w:lineRule="auto"/>
        <w:ind w:left="1080" w:right="51"/>
        <w:jc w:val="center"/>
        <w:rPr>
          <w:rFonts w:ascii="Book Antiqua" w:hAnsi="Book Antiqua" w:cs="Arial"/>
          <w:b/>
          <w:bCs/>
        </w:rPr>
      </w:pPr>
      <w:r w:rsidRPr="00746E61">
        <w:rPr>
          <w:rFonts w:ascii="Book Antiqua" w:hAnsi="Book Antiqua" w:cs="Arial"/>
          <w:b/>
          <w:bCs/>
        </w:rPr>
        <w:t>Cuadro 25</w:t>
      </w:r>
    </w:p>
    <w:p w14:paraId="156EF26D" w14:textId="7836E017" w:rsidR="00747468" w:rsidRPr="00746E61" w:rsidRDefault="00747468" w:rsidP="00746E61">
      <w:pPr>
        <w:widowControl w:val="0"/>
        <w:autoSpaceDE w:val="0"/>
        <w:spacing w:line="276" w:lineRule="auto"/>
        <w:ind w:left="1080" w:right="51"/>
        <w:jc w:val="center"/>
        <w:rPr>
          <w:rFonts w:ascii="Book Antiqua" w:hAnsi="Book Antiqua" w:cs="Arial"/>
        </w:rPr>
      </w:pPr>
      <w:r w:rsidRPr="00746E61">
        <w:rPr>
          <w:rFonts w:ascii="Book Antiqua" w:hAnsi="Book Antiqua" w:cs="Arial"/>
        </w:rPr>
        <w:t xml:space="preserve">Promedio mensual de asuntos entrados en los Tribunales de Apelación entre el periodo comprendido de enero 2019 a </w:t>
      </w:r>
      <w:r w:rsidR="00B43DD8" w:rsidRPr="00746E61">
        <w:rPr>
          <w:rFonts w:ascii="Book Antiqua" w:hAnsi="Book Antiqua" w:cs="Arial"/>
        </w:rPr>
        <w:t>setiembre</w:t>
      </w:r>
      <w:r w:rsidRPr="00746E61">
        <w:rPr>
          <w:rFonts w:ascii="Book Antiqua" w:hAnsi="Book Antiqua" w:cs="Arial"/>
        </w:rPr>
        <w:t xml:space="preserve"> de 2021</w:t>
      </w:r>
    </w:p>
    <w:tbl>
      <w:tblPr>
        <w:tblW w:w="10485" w:type="dxa"/>
        <w:jc w:val="center"/>
        <w:tblCellMar>
          <w:left w:w="70" w:type="dxa"/>
          <w:right w:w="70" w:type="dxa"/>
        </w:tblCellMar>
        <w:tblLook w:val="04A0" w:firstRow="1" w:lastRow="0" w:firstColumn="1" w:lastColumn="0" w:noHBand="0" w:noVBand="1"/>
      </w:tblPr>
      <w:tblGrid>
        <w:gridCol w:w="3969"/>
        <w:gridCol w:w="992"/>
        <w:gridCol w:w="956"/>
        <w:gridCol w:w="983"/>
        <w:gridCol w:w="1796"/>
        <w:gridCol w:w="1796"/>
      </w:tblGrid>
      <w:tr w:rsidR="00B43DD8" w:rsidRPr="00746E61" w14:paraId="229F57C0" w14:textId="77777777" w:rsidTr="00B43DD8">
        <w:trPr>
          <w:trHeight w:val="824"/>
          <w:jc w:val="center"/>
        </w:trPr>
        <w:tc>
          <w:tcPr>
            <w:tcW w:w="3969"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28FF52D5" w14:textId="77777777" w:rsidR="00B43DD8" w:rsidRPr="00746E61" w:rsidRDefault="00B43DD8" w:rsidP="00746E61">
            <w:pPr>
              <w:spacing w:line="276" w:lineRule="auto"/>
              <w:jc w:val="center"/>
              <w:rPr>
                <w:rFonts w:ascii="Book Antiqua" w:hAnsi="Book Antiqua" w:cs="Calibri"/>
                <w:b/>
                <w:bCs/>
                <w:color w:val="FFFFFF"/>
                <w:sz w:val="16"/>
                <w:szCs w:val="16"/>
                <w:lang w:eastAsia="es-CR"/>
              </w:rPr>
            </w:pPr>
            <w:r w:rsidRPr="00746E61">
              <w:rPr>
                <w:rFonts w:ascii="Book Antiqua" w:hAnsi="Book Antiqua" w:cs="Calibri"/>
                <w:b/>
                <w:bCs/>
                <w:color w:val="FFFFFF"/>
                <w:sz w:val="16"/>
                <w:szCs w:val="16"/>
                <w:lang w:eastAsia="es-CR"/>
              </w:rPr>
              <w:t>Despachos</w:t>
            </w:r>
          </w:p>
        </w:tc>
        <w:tc>
          <w:tcPr>
            <w:tcW w:w="992" w:type="dxa"/>
            <w:tcBorders>
              <w:top w:val="single" w:sz="4" w:space="0" w:color="auto"/>
              <w:left w:val="nil"/>
              <w:bottom w:val="single" w:sz="4" w:space="0" w:color="auto"/>
              <w:right w:val="single" w:sz="4" w:space="0" w:color="auto"/>
            </w:tcBorders>
            <w:shd w:val="clear" w:color="000000" w:fill="305496"/>
            <w:vAlign w:val="center"/>
            <w:hideMark/>
          </w:tcPr>
          <w:p w14:paraId="66196BDA" w14:textId="77777777" w:rsidR="00B43DD8" w:rsidRPr="00746E61" w:rsidRDefault="00B43DD8" w:rsidP="00746E61">
            <w:pPr>
              <w:spacing w:line="276" w:lineRule="auto"/>
              <w:jc w:val="center"/>
              <w:rPr>
                <w:rFonts w:ascii="Book Antiqua" w:hAnsi="Book Antiqua" w:cs="Calibri"/>
                <w:b/>
                <w:bCs/>
                <w:color w:val="FFFFFF"/>
                <w:sz w:val="16"/>
                <w:szCs w:val="16"/>
                <w:lang w:eastAsia="es-CR"/>
              </w:rPr>
            </w:pPr>
            <w:r w:rsidRPr="00746E61">
              <w:rPr>
                <w:rFonts w:ascii="Book Antiqua" w:hAnsi="Book Antiqua" w:cs="Calibri"/>
                <w:b/>
                <w:bCs/>
                <w:color w:val="FFFFFF"/>
                <w:sz w:val="16"/>
                <w:szCs w:val="16"/>
                <w:lang w:eastAsia="es-CR"/>
              </w:rPr>
              <w:t>Promedio mensual de Entrada 2019</w:t>
            </w:r>
          </w:p>
        </w:tc>
        <w:tc>
          <w:tcPr>
            <w:tcW w:w="956" w:type="dxa"/>
            <w:tcBorders>
              <w:top w:val="single" w:sz="4" w:space="0" w:color="auto"/>
              <w:left w:val="nil"/>
              <w:bottom w:val="single" w:sz="4" w:space="0" w:color="auto"/>
              <w:right w:val="single" w:sz="4" w:space="0" w:color="auto"/>
            </w:tcBorders>
            <w:shd w:val="clear" w:color="000000" w:fill="305496"/>
            <w:vAlign w:val="center"/>
            <w:hideMark/>
          </w:tcPr>
          <w:p w14:paraId="784B7471" w14:textId="77777777" w:rsidR="00B43DD8" w:rsidRPr="00746E61" w:rsidRDefault="00B43DD8" w:rsidP="00746E61">
            <w:pPr>
              <w:spacing w:line="276" w:lineRule="auto"/>
              <w:jc w:val="center"/>
              <w:rPr>
                <w:rFonts w:ascii="Book Antiqua" w:hAnsi="Book Antiqua" w:cs="Calibri"/>
                <w:b/>
                <w:bCs/>
                <w:color w:val="FFFFFF"/>
                <w:sz w:val="16"/>
                <w:szCs w:val="16"/>
                <w:lang w:eastAsia="es-CR"/>
              </w:rPr>
            </w:pPr>
            <w:r w:rsidRPr="00746E61">
              <w:rPr>
                <w:rFonts w:ascii="Book Antiqua" w:hAnsi="Book Antiqua" w:cs="Calibri"/>
                <w:b/>
                <w:bCs/>
                <w:color w:val="FFFFFF"/>
                <w:sz w:val="16"/>
                <w:szCs w:val="16"/>
                <w:lang w:eastAsia="es-CR"/>
              </w:rPr>
              <w:t>Promedio mensual de Entrada 2020</w:t>
            </w:r>
          </w:p>
        </w:tc>
        <w:tc>
          <w:tcPr>
            <w:tcW w:w="983" w:type="dxa"/>
            <w:tcBorders>
              <w:top w:val="single" w:sz="4" w:space="0" w:color="auto"/>
              <w:left w:val="nil"/>
              <w:bottom w:val="single" w:sz="4" w:space="0" w:color="auto"/>
              <w:right w:val="single" w:sz="4" w:space="0" w:color="auto"/>
            </w:tcBorders>
            <w:shd w:val="clear" w:color="000000" w:fill="305496"/>
            <w:vAlign w:val="center"/>
            <w:hideMark/>
          </w:tcPr>
          <w:p w14:paraId="01BF02A0" w14:textId="77777777" w:rsidR="00B43DD8" w:rsidRPr="00746E61" w:rsidRDefault="00B43DD8" w:rsidP="00746E61">
            <w:pPr>
              <w:spacing w:line="276" w:lineRule="auto"/>
              <w:jc w:val="center"/>
              <w:rPr>
                <w:rFonts w:ascii="Book Antiqua" w:hAnsi="Book Antiqua" w:cs="Calibri"/>
                <w:b/>
                <w:bCs/>
                <w:color w:val="FFFFFF"/>
                <w:sz w:val="16"/>
                <w:szCs w:val="16"/>
                <w:lang w:eastAsia="es-CR"/>
              </w:rPr>
            </w:pPr>
            <w:r w:rsidRPr="00746E61">
              <w:rPr>
                <w:rFonts w:ascii="Book Antiqua" w:hAnsi="Book Antiqua" w:cs="Calibri"/>
                <w:b/>
                <w:bCs/>
                <w:color w:val="FFFFFF"/>
                <w:sz w:val="16"/>
                <w:szCs w:val="16"/>
                <w:lang w:eastAsia="es-CR"/>
              </w:rPr>
              <w:t>Promedio mensual de Entrada 2021</w:t>
            </w:r>
          </w:p>
        </w:tc>
        <w:tc>
          <w:tcPr>
            <w:tcW w:w="1803" w:type="dxa"/>
            <w:tcBorders>
              <w:top w:val="single" w:sz="4" w:space="0" w:color="auto"/>
              <w:left w:val="nil"/>
              <w:bottom w:val="single" w:sz="4" w:space="0" w:color="auto"/>
              <w:right w:val="single" w:sz="4" w:space="0" w:color="auto"/>
            </w:tcBorders>
            <w:shd w:val="clear" w:color="000000" w:fill="DDEBF7"/>
            <w:vAlign w:val="center"/>
            <w:hideMark/>
          </w:tcPr>
          <w:p w14:paraId="17D45313" w14:textId="77777777" w:rsidR="00B43DD8" w:rsidRPr="00746E61" w:rsidRDefault="00B43DD8" w:rsidP="00746E61">
            <w:pPr>
              <w:spacing w:line="276" w:lineRule="auto"/>
              <w:jc w:val="center"/>
              <w:rPr>
                <w:rFonts w:ascii="Book Antiqua" w:hAnsi="Book Antiqua" w:cs="Calibri"/>
                <w:b/>
                <w:bCs/>
                <w:color w:val="3A3838"/>
                <w:sz w:val="16"/>
                <w:szCs w:val="16"/>
                <w:lang w:eastAsia="es-CR"/>
              </w:rPr>
            </w:pPr>
            <w:r w:rsidRPr="00746E61">
              <w:rPr>
                <w:rFonts w:ascii="Book Antiqua" w:hAnsi="Book Antiqua" w:cs="Calibri"/>
                <w:b/>
                <w:bCs/>
                <w:color w:val="3A3838"/>
                <w:sz w:val="16"/>
                <w:szCs w:val="16"/>
                <w:lang w:eastAsia="es-CR"/>
              </w:rPr>
              <w:t>Aumento/disminución 2021vs2019</w:t>
            </w:r>
          </w:p>
        </w:tc>
        <w:tc>
          <w:tcPr>
            <w:tcW w:w="1782" w:type="dxa"/>
            <w:tcBorders>
              <w:top w:val="single" w:sz="4" w:space="0" w:color="auto"/>
              <w:left w:val="nil"/>
              <w:bottom w:val="single" w:sz="4" w:space="0" w:color="auto"/>
              <w:right w:val="single" w:sz="4" w:space="0" w:color="auto"/>
            </w:tcBorders>
            <w:shd w:val="clear" w:color="000000" w:fill="DDEBF7"/>
            <w:vAlign w:val="center"/>
            <w:hideMark/>
          </w:tcPr>
          <w:p w14:paraId="4783B40E" w14:textId="77777777" w:rsidR="00B43DD8" w:rsidRPr="00746E61" w:rsidRDefault="00B43DD8" w:rsidP="00746E61">
            <w:pPr>
              <w:spacing w:line="276" w:lineRule="auto"/>
              <w:jc w:val="center"/>
              <w:rPr>
                <w:rFonts w:ascii="Book Antiqua" w:hAnsi="Book Antiqua" w:cs="Calibri"/>
                <w:b/>
                <w:bCs/>
                <w:color w:val="3A3838"/>
                <w:sz w:val="16"/>
                <w:szCs w:val="16"/>
                <w:lang w:eastAsia="es-CR"/>
              </w:rPr>
            </w:pPr>
            <w:r w:rsidRPr="00746E61">
              <w:rPr>
                <w:rFonts w:ascii="Book Antiqua" w:hAnsi="Book Antiqua" w:cs="Calibri"/>
                <w:b/>
                <w:bCs/>
                <w:color w:val="3A3838"/>
                <w:sz w:val="16"/>
                <w:szCs w:val="16"/>
                <w:lang w:eastAsia="es-CR"/>
              </w:rPr>
              <w:t>Aumento/disminución 2021vs2020</w:t>
            </w:r>
          </w:p>
        </w:tc>
      </w:tr>
      <w:tr w:rsidR="00B43DD8" w:rsidRPr="00746E61" w14:paraId="0201E001" w14:textId="77777777" w:rsidTr="00B43DD8">
        <w:trPr>
          <w:trHeight w:val="229"/>
          <w:jc w:val="center"/>
        </w:trPr>
        <w:tc>
          <w:tcPr>
            <w:tcW w:w="3969" w:type="dxa"/>
            <w:tcBorders>
              <w:top w:val="nil"/>
              <w:left w:val="single" w:sz="4" w:space="0" w:color="auto"/>
              <w:bottom w:val="single" w:sz="4" w:space="0" w:color="auto"/>
              <w:right w:val="single" w:sz="4" w:space="0" w:color="auto"/>
            </w:tcBorders>
            <w:shd w:val="clear" w:color="auto" w:fill="auto"/>
            <w:noWrap/>
            <w:vAlign w:val="center"/>
            <w:hideMark/>
          </w:tcPr>
          <w:p w14:paraId="55F63259" w14:textId="77777777" w:rsidR="00B43DD8" w:rsidRPr="00746E61" w:rsidRDefault="00B43DD8"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de Apelación de la Sentencia de San Ramón</w:t>
            </w:r>
          </w:p>
        </w:tc>
        <w:tc>
          <w:tcPr>
            <w:tcW w:w="992" w:type="dxa"/>
            <w:tcBorders>
              <w:top w:val="nil"/>
              <w:left w:val="nil"/>
              <w:bottom w:val="single" w:sz="4" w:space="0" w:color="auto"/>
              <w:right w:val="single" w:sz="4" w:space="0" w:color="auto"/>
            </w:tcBorders>
            <w:shd w:val="clear" w:color="auto" w:fill="auto"/>
            <w:noWrap/>
            <w:vAlign w:val="center"/>
            <w:hideMark/>
          </w:tcPr>
          <w:p w14:paraId="60F652C0" w14:textId="77777777" w:rsidR="00B43DD8" w:rsidRPr="00746E61" w:rsidRDefault="00B43DD8"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92</w:t>
            </w:r>
          </w:p>
        </w:tc>
        <w:tc>
          <w:tcPr>
            <w:tcW w:w="956" w:type="dxa"/>
            <w:tcBorders>
              <w:top w:val="nil"/>
              <w:left w:val="nil"/>
              <w:bottom w:val="single" w:sz="4" w:space="0" w:color="auto"/>
              <w:right w:val="single" w:sz="4" w:space="0" w:color="auto"/>
            </w:tcBorders>
            <w:shd w:val="clear" w:color="auto" w:fill="auto"/>
            <w:noWrap/>
            <w:vAlign w:val="center"/>
            <w:hideMark/>
          </w:tcPr>
          <w:p w14:paraId="64D18875" w14:textId="77777777" w:rsidR="00B43DD8" w:rsidRPr="00746E61" w:rsidRDefault="00B43DD8"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90</w:t>
            </w:r>
          </w:p>
        </w:tc>
        <w:tc>
          <w:tcPr>
            <w:tcW w:w="983" w:type="dxa"/>
            <w:tcBorders>
              <w:top w:val="nil"/>
              <w:left w:val="nil"/>
              <w:bottom w:val="single" w:sz="4" w:space="0" w:color="auto"/>
              <w:right w:val="single" w:sz="4" w:space="0" w:color="auto"/>
            </w:tcBorders>
            <w:shd w:val="clear" w:color="auto" w:fill="auto"/>
            <w:noWrap/>
            <w:vAlign w:val="center"/>
            <w:hideMark/>
          </w:tcPr>
          <w:p w14:paraId="556CE23E" w14:textId="77777777" w:rsidR="00B43DD8" w:rsidRPr="00746E61" w:rsidRDefault="00B43DD8"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103</w:t>
            </w:r>
          </w:p>
        </w:tc>
        <w:tc>
          <w:tcPr>
            <w:tcW w:w="1803" w:type="dxa"/>
            <w:tcBorders>
              <w:top w:val="nil"/>
              <w:left w:val="nil"/>
              <w:bottom w:val="single" w:sz="4" w:space="0" w:color="auto"/>
              <w:right w:val="single" w:sz="4" w:space="0" w:color="auto"/>
            </w:tcBorders>
            <w:shd w:val="clear" w:color="auto" w:fill="auto"/>
            <w:vAlign w:val="center"/>
            <w:hideMark/>
          </w:tcPr>
          <w:p w14:paraId="4D305A63" w14:textId="77777777" w:rsidR="00B43DD8" w:rsidRPr="00746E61" w:rsidRDefault="00B43DD8"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11,74%</w:t>
            </w:r>
          </w:p>
        </w:tc>
        <w:tc>
          <w:tcPr>
            <w:tcW w:w="1782" w:type="dxa"/>
            <w:tcBorders>
              <w:top w:val="nil"/>
              <w:left w:val="nil"/>
              <w:bottom w:val="single" w:sz="4" w:space="0" w:color="auto"/>
              <w:right w:val="single" w:sz="4" w:space="0" w:color="auto"/>
            </w:tcBorders>
            <w:shd w:val="clear" w:color="auto" w:fill="auto"/>
            <w:vAlign w:val="center"/>
            <w:hideMark/>
          </w:tcPr>
          <w:p w14:paraId="53085717" w14:textId="77777777" w:rsidR="00B43DD8" w:rsidRPr="00746E61" w:rsidRDefault="00B43DD8"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14,38%</w:t>
            </w:r>
          </w:p>
        </w:tc>
      </w:tr>
      <w:tr w:rsidR="00B43DD8" w:rsidRPr="00746E61" w14:paraId="05BE5061" w14:textId="77777777" w:rsidTr="00B43DD8">
        <w:trPr>
          <w:trHeight w:val="229"/>
          <w:jc w:val="center"/>
        </w:trPr>
        <w:tc>
          <w:tcPr>
            <w:tcW w:w="3969" w:type="dxa"/>
            <w:tcBorders>
              <w:top w:val="nil"/>
              <w:left w:val="single" w:sz="4" w:space="0" w:color="auto"/>
              <w:bottom w:val="single" w:sz="4" w:space="0" w:color="auto"/>
              <w:right w:val="single" w:sz="4" w:space="0" w:color="auto"/>
            </w:tcBorders>
            <w:shd w:val="clear" w:color="auto" w:fill="auto"/>
            <w:noWrap/>
            <w:vAlign w:val="center"/>
            <w:hideMark/>
          </w:tcPr>
          <w:p w14:paraId="1CFB4741" w14:textId="77777777" w:rsidR="00B43DD8" w:rsidRPr="00746E61" w:rsidRDefault="00B43DD8"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de Apelación de la Sentencia de Santa Cruz</w:t>
            </w:r>
          </w:p>
        </w:tc>
        <w:tc>
          <w:tcPr>
            <w:tcW w:w="992" w:type="dxa"/>
            <w:tcBorders>
              <w:top w:val="nil"/>
              <w:left w:val="nil"/>
              <w:bottom w:val="single" w:sz="4" w:space="0" w:color="auto"/>
              <w:right w:val="single" w:sz="4" w:space="0" w:color="auto"/>
            </w:tcBorders>
            <w:shd w:val="clear" w:color="auto" w:fill="auto"/>
            <w:noWrap/>
            <w:vAlign w:val="center"/>
            <w:hideMark/>
          </w:tcPr>
          <w:p w14:paraId="6EE947A1" w14:textId="77777777" w:rsidR="00B43DD8" w:rsidRPr="00746E61" w:rsidRDefault="00B43DD8"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46</w:t>
            </w:r>
          </w:p>
        </w:tc>
        <w:tc>
          <w:tcPr>
            <w:tcW w:w="956" w:type="dxa"/>
            <w:tcBorders>
              <w:top w:val="nil"/>
              <w:left w:val="nil"/>
              <w:bottom w:val="single" w:sz="4" w:space="0" w:color="auto"/>
              <w:right w:val="single" w:sz="4" w:space="0" w:color="auto"/>
            </w:tcBorders>
            <w:shd w:val="clear" w:color="auto" w:fill="auto"/>
            <w:noWrap/>
            <w:vAlign w:val="center"/>
            <w:hideMark/>
          </w:tcPr>
          <w:p w14:paraId="066DD31E" w14:textId="77777777" w:rsidR="00B43DD8" w:rsidRPr="00746E61" w:rsidRDefault="00B43DD8"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42</w:t>
            </w:r>
          </w:p>
        </w:tc>
        <w:tc>
          <w:tcPr>
            <w:tcW w:w="983" w:type="dxa"/>
            <w:tcBorders>
              <w:top w:val="nil"/>
              <w:left w:val="nil"/>
              <w:bottom w:val="single" w:sz="4" w:space="0" w:color="auto"/>
              <w:right w:val="single" w:sz="4" w:space="0" w:color="auto"/>
            </w:tcBorders>
            <w:shd w:val="clear" w:color="auto" w:fill="auto"/>
            <w:noWrap/>
            <w:vAlign w:val="center"/>
            <w:hideMark/>
          </w:tcPr>
          <w:p w14:paraId="3E48E178" w14:textId="77777777" w:rsidR="00B43DD8" w:rsidRPr="00746E61" w:rsidRDefault="00B43DD8"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48</w:t>
            </w:r>
          </w:p>
        </w:tc>
        <w:tc>
          <w:tcPr>
            <w:tcW w:w="1803" w:type="dxa"/>
            <w:tcBorders>
              <w:top w:val="nil"/>
              <w:left w:val="nil"/>
              <w:bottom w:val="single" w:sz="4" w:space="0" w:color="auto"/>
              <w:right w:val="single" w:sz="4" w:space="0" w:color="auto"/>
            </w:tcBorders>
            <w:shd w:val="clear" w:color="auto" w:fill="auto"/>
            <w:vAlign w:val="center"/>
            <w:hideMark/>
          </w:tcPr>
          <w:p w14:paraId="0CFE7B95" w14:textId="77777777" w:rsidR="00B43DD8" w:rsidRPr="00746E61" w:rsidRDefault="00B43DD8"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4,46%</w:t>
            </w:r>
          </w:p>
        </w:tc>
        <w:tc>
          <w:tcPr>
            <w:tcW w:w="1782" w:type="dxa"/>
            <w:tcBorders>
              <w:top w:val="nil"/>
              <w:left w:val="nil"/>
              <w:bottom w:val="single" w:sz="4" w:space="0" w:color="auto"/>
              <w:right w:val="single" w:sz="4" w:space="0" w:color="auto"/>
            </w:tcBorders>
            <w:shd w:val="clear" w:color="auto" w:fill="auto"/>
            <w:vAlign w:val="center"/>
            <w:hideMark/>
          </w:tcPr>
          <w:p w14:paraId="19D7C571" w14:textId="77777777" w:rsidR="00B43DD8" w:rsidRPr="00746E61" w:rsidRDefault="00B43DD8"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14,56%</w:t>
            </w:r>
          </w:p>
        </w:tc>
      </w:tr>
      <w:tr w:rsidR="00B43DD8" w:rsidRPr="00746E61" w14:paraId="56C5CE9D" w14:textId="77777777" w:rsidTr="00B43DD8">
        <w:trPr>
          <w:trHeight w:val="229"/>
          <w:jc w:val="center"/>
        </w:trPr>
        <w:tc>
          <w:tcPr>
            <w:tcW w:w="3969" w:type="dxa"/>
            <w:tcBorders>
              <w:top w:val="nil"/>
              <w:left w:val="single" w:sz="4" w:space="0" w:color="auto"/>
              <w:bottom w:val="single" w:sz="4" w:space="0" w:color="auto"/>
              <w:right w:val="single" w:sz="4" w:space="0" w:color="auto"/>
            </w:tcBorders>
            <w:shd w:val="clear" w:color="auto" w:fill="auto"/>
            <w:noWrap/>
            <w:vAlign w:val="center"/>
            <w:hideMark/>
          </w:tcPr>
          <w:p w14:paraId="711E41EC" w14:textId="77777777" w:rsidR="00B43DD8" w:rsidRPr="00746E61" w:rsidRDefault="00B43DD8"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de Apelación de la Sentencia de Cartago</w:t>
            </w:r>
          </w:p>
        </w:tc>
        <w:tc>
          <w:tcPr>
            <w:tcW w:w="992" w:type="dxa"/>
            <w:tcBorders>
              <w:top w:val="nil"/>
              <w:left w:val="nil"/>
              <w:bottom w:val="single" w:sz="4" w:space="0" w:color="auto"/>
              <w:right w:val="single" w:sz="4" w:space="0" w:color="auto"/>
            </w:tcBorders>
            <w:shd w:val="clear" w:color="auto" w:fill="auto"/>
            <w:noWrap/>
            <w:vAlign w:val="center"/>
            <w:hideMark/>
          </w:tcPr>
          <w:p w14:paraId="30D3ECC7" w14:textId="77777777" w:rsidR="00B43DD8" w:rsidRPr="00746E61" w:rsidRDefault="00B43DD8"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61</w:t>
            </w:r>
          </w:p>
        </w:tc>
        <w:tc>
          <w:tcPr>
            <w:tcW w:w="956" w:type="dxa"/>
            <w:tcBorders>
              <w:top w:val="nil"/>
              <w:left w:val="nil"/>
              <w:bottom w:val="single" w:sz="4" w:space="0" w:color="auto"/>
              <w:right w:val="single" w:sz="4" w:space="0" w:color="auto"/>
            </w:tcBorders>
            <w:shd w:val="clear" w:color="auto" w:fill="auto"/>
            <w:noWrap/>
            <w:vAlign w:val="center"/>
            <w:hideMark/>
          </w:tcPr>
          <w:p w14:paraId="4D2F5374" w14:textId="77777777" w:rsidR="00B43DD8" w:rsidRPr="00746E61" w:rsidRDefault="00B43DD8"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58</w:t>
            </w:r>
          </w:p>
        </w:tc>
        <w:tc>
          <w:tcPr>
            <w:tcW w:w="983" w:type="dxa"/>
            <w:tcBorders>
              <w:top w:val="nil"/>
              <w:left w:val="nil"/>
              <w:bottom w:val="single" w:sz="4" w:space="0" w:color="auto"/>
              <w:right w:val="single" w:sz="4" w:space="0" w:color="auto"/>
            </w:tcBorders>
            <w:shd w:val="clear" w:color="auto" w:fill="auto"/>
            <w:noWrap/>
            <w:vAlign w:val="center"/>
            <w:hideMark/>
          </w:tcPr>
          <w:p w14:paraId="2BA155B8" w14:textId="77777777" w:rsidR="00B43DD8" w:rsidRPr="00746E61" w:rsidRDefault="00B43DD8"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58</w:t>
            </w:r>
          </w:p>
        </w:tc>
        <w:tc>
          <w:tcPr>
            <w:tcW w:w="1803" w:type="dxa"/>
            <w:tcBorders>
              <w:top w:val="nil"/>
              <w:left w:val="nil"/>
              <w:bottom w:val="single" w:sz="4" w:space="0" w:color="auto"/>
              <w:right w:val="single" w:sz="4" w:space="0" w:color="auto"/>
            </w:tcBorders>
            <w:shd w:val="clear" w:color="auto" w:fill="auto"/>
            <w:vAlign w:val="center"/>
            <w:hideMark/>
          </w:tcPr>
          <w:p w14:paraId="67623FBE" w14:textId="77777777" w:rsidR="00B43DD8" w:rsidRPr="00746E61" w:rsidRDefault="00B43DD8"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-5,54%</w:t>
            </w:r>
          </w:p>
        </w:tc>
        <w:tc>
          <w:tcPr>
            <w:tcW w:w="1782" w:type="dxa"/>
            <w:tcBorders>
              <w:top w:val="nil"/>
              <w:left w:val="nil"/>
              <w:bottom w:val="single" w:sz="4" w:space="0" w:color="auto"/>
              <w:right w:val="single" w:sz="4" w:space="0" w:color="auto"/>
            </w:tcBorders>
            <w:shd w:val="clear" w:color="auto" w:fill="auto"/>
            <w:vAlign w:val="center"/>
            <w:hideMark/>
          </w:tcPr>
          <w:p w14:paraId="3F345C4D" w14:textId="77777777" w:rsidR="00B43DD8" w:rsidRPr="00746E61" w:rsidRDefault="00B43DD8"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-0,33%</w:t>
            </w:r>
          </w:p>
        </w:tc>
      </w:tr>
      <w:tr w:rsidR="00B43DD8" w:rsidRPr="00746E61" w14:paraId="10F17239" w14:textId="77777777" w:rsidTr="00B43DD8">
        <w:trPr>
          <w:trHeight w:val="229"/>
          <w:jc w:val="center"/>
        </w:trPr>
        <w:tc>
          <w:tcPr>
            <w:tcW w:w="3969" w:type="dxa"/>
            <w:tcBorders>
              <w:top w:val="nil"/>
              <w:left w:val="single" w:sz="4" w:space="0" w:color="auto"/>
              <w:bottom w:val="single" w:sz="4" w:space="0" w:color="auto"/>
              <w:right w:val="single" w:sz="4" w:space="0" w:color="auto"/>
            </w:tcBorders>
            <w:shd w:val="clear" w:color="auto" w:fill="auto"/>
            <w:noWrap/>
            <w:vAlign w:val="center"/>
            <w:hideMark/>
          </w:tcPr>
          <w:p w14:paraId="7D94324D" w14:textId="77777777" w:rsidR="00B43DD8" w:rsidRPr="00746E61" w:rsidRDefault="00B43DD8"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de Apelación de la Sentencia de Goicochea</w:t>
            </w:r>
          </w:p>
        </w:tc>
        <w:tc>
          <w:tcPr>
            <w:tcW w:w="992" w:type="dxa"/>
            <w:tcBorders>
              <w:top w:val="nil"/>
              <w:left w:val="nil"/>
              <w:bottom w:val="single" w:sz="4" w:space="0" w:color="auto"/>
              <w:right w:val="single" w:sz="4" w:space="0" w:color="auto"/>
            </w:tcBorders>
            <w:shd w:val="clear" w:color="auto" w:fill="auto"/>
            <w:noWrap/>
            <w:vAlign w:val="center"/>
            <w:hideMark/>
          </w:tcPr>
          <w:p w14:paraId="395AA8F0" w14:textId="77777777" w:rsidR="00B43DD8" w:rsidRPr="00746E61" w:rsidRDefault="00B43DD8"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176</w:t>
            </w:r>
          </w:p>
        </w:tc>
        <w:tc>
          <w:tcPr>
            <w:tcW w:w="956" w:type="dxa"/>
            <w:tcBorders>
              <w:top w:val="nil"/>
              <w:left w:val="nil"/>
              <w:bottom w:val="single" w:sz="4" w:space="0" w:color="auto"/>
              <w:right w:val="single" w:sz="4" w:space="0" w:color="auto"/>
            </w:tcBorders>
            <w:shd w:val="clear" w:color="auto" w:fill="auto"/>
            <w:noWrap/>
            <w:vAlign w:val="center"/>
            <w:hideMark/>
          </w:tcPr>
          <w:p w14:paraId="660FC77E" w14:textId="77777777" w:rsidR="00B43DD8" w:rsidRPr="00746E61" w:rsidRDefault="00B43DD8"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144</w:t>
            </w:r>
          </w:p>
        </w:tc>
        <w:tc>
          <w:tcPr>
            <w:tcW w:w="983" w:type="dxa"/>
            <w:tcBorders>
              <w:top w:val="nil"/>
              <w:left w:val="nil"/>
              <w:bottom w:val="single" w:sz="4" w:space="0" w:color="auto"/>
              <w:right w:val="single" w:sz="4" w:space="0" w:color="auto"/>
            </w:tcBorders>
            <w:shd w:val="clear" w:color="auto" w:fill="auto"/>
            <w:noWrap/>
            <w:vAlign w:val="center"/>
            <w:hideMark/>
          </w:tcPr>
          <w:p w14:paraId="0665117B" w14:textId="77777777" w:rsidR="00B43DD8" w:rsidRPr="00746E61" w:rsidRDefault="00B43DD8"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164</w:t>
            </w:r>
          </w:p>
        </w:tc>
        <w:tc>
          <w:tcPr>
            <w:tcW w:w="1803" w:type="dxa"/>
            <w:tcBorders>
              <w:top w:val="nil"/>
              <w:left w:val="nil"/>
              <w:bottom w:val="single" w:sz="4" w:space="0" w:color="auto"/>
              <w:right w:val="single" w:sz="4" w:space="0" w:color="auto"/>
            </w:tcBorders>
            <w:shd w:val="clear" w:color="auto" w:fill="auto"/>
            <w:vAlign w:val="center"/>
            <w:hideMark/>
          </w:tcPr>
          <w:p w14:paraId="6E5C53F4" w14:textId="77777777" w:rsidR="00B43DD8" w:rsidRPr="00746E61" w:rsidRDefault="00B43DD8"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-6,92%</w:t>
            </w:r>
          </w:p>
        </w:tc>
        <w:tc>
          <w:tcPr>
            <w:tcW w:w="1782" w:type="dxa"/>
            <w:tcBorders>
              <w:top w:val="nil"/>
              <w:left w:val="nil"/>
              <w:bottom w:val="single" w:sz="4" w:space="0" w:color="auto"/>
              <w:right w:val="single" w:sz="4" w:space="0" w:color="auto"/>
            </w:tcBorders>
            <w:shd w:val="clear" w:color="auto" w:fill="auto"/>
            <w:vAlign w:val="center"/>
            <w:hideMark/>
          </w:tcPr>
          <w:p w14:paraId="670DA14A" w14:textId="77777777" w:rsidR="00B43DD8" w:rsidRPr="00746E61" w:rsidRDefault="00B43DD8"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14,12%</w:t>
            </w:r>
          </w:p>
        </w:tc>
      </w:tr>
      <w:tr w:rsidR="00B43DD8" w:rsidRPr="00746E61" w14:paraId="53C6CBF8" w14:textId="77777777" w:rsidTr="00B43DD8">
        <w:trPr>
          <w:trHeight w:val="229"/>
          <w:jc w:val="center"/>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19B79C1F" w14:textId="77777777" w:rsidR="00B43DD8" w:rsidRPr="00746E61" w:rsidRDefault="00B43DD8" w:rsidP="00746E61">
            <w:pPr>
              <w:spacing w:line="276" w:lineRule="auto"/>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Total</w:t>
            </w:r>
          </w:p>
        </w:tc>
        <w:tc>
          <w:tcPr>
            <w:tcW w:w="992" w:type="dxa"/>
            <w:tcBorders>
              <w:top w:val="nil"/>
              <w:left w:val="nil"/>
              <w:bottom w:val="single" w:sz="4" w:space="0" w:color="auto"/>
              <w:right w:val="single" w:sz="4" w:space="0" w:color="auto"/>
            </w:tcBorders>
            <w:shd w:val="clear" w:color="auto" w:fill="auto"/>
            <w:vAlign w:val="center"/>
            <w:hideMark/>
          </w:tcPr>
          <w:p w14:paraId="33ED1992" w14:textId="77777777" w:rsidR="00B43DD8" w:rsidRPr="00746E61" w:rsidRDefault="00B43DD8"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376</w:t>
            </w:r>
          </w:p>
        </w:tc>
        <w:tc>
          <w:tcPr>
            <w:tcW w:w="956" w:type="dxa"/>
            <w:tcBorders>
              <w:top w:val="nil"/>
              <w:left w:val="nil"/>
              <w:bottom w:val="single" w:sz="4" w:space="0" w:color="auto"/>
              <w:right w:val="single" w:sz="4" w:space="0" w:color="auto"/>
            </w:tcBorders>
            <w:shd w:val="clear" w:color="auto" w:fill="auto"/>
            <w:vAlign w:val="center"/>
            <w:hideMark/>
          </w:tcPr>
          <w:p w14:paraId="29FAB462" w14:textId="77777777" w:rsidR="00B43DD8" w:rsidRPr="00746E61" w:rsidRDefault="00B43DD8"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334</w:t>
            </w:r>
          </w:p>
        </w:tc>
        <w:tc>
          <w:tcPr>
            <w:tcW w:w="983" w:type="dxa"/>
            <w:tcBorders>
              <w:top w:val="nil"/>
              <w:left w:val="nil"/>
              <w:bottom w:val="single" w:sz="4" w:space="0" w:color="auto"/>
              <w:right w:val="single" w:sz="4" w:space="0" w:color="auto"/>
            </w:tcBorders>
            <w:shd w:val="clear" w:color="auto" w:fill="auto"/>
            <w:vAlign w:val="center"/>
            <w:hideMark/>
          </w:tcPr>
          <w:p w14:paraId="11E6CBE0" w14:textId="77777777" w:rsidR="00B43DD8" w:rsidRPr="00746E61" w:rsidRDefault="00B43DD8"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374</w:t>
            </w:r>
          </w:p>
        </w:tc>
        <w:tc>
          <w:tcPr>
            <w:tcW w:w="1803" w:type="dxa"/>
            <w:tcBorders>
              <w:top w:val="nil"/>
              <w:left w:val="nil"/>
              <w:bottom w:val="single" w:sz="4" w:space="0" w:color="auto"/>
              <w:right w:val="single" w:sz="4" w:space="0" w:color="auto"/>
            </w:tcBorders>
            <w:shd w:val="clear" w:color="auto" w:fill="auto"/>
            <w:vAlign w:val="center"/>
            <w:hideMark/>
          </w:tcPr>
          <w:p w14:paraId="5E2813A9" w14:textId="77777777" w:rsidR="00B43DD8" w:rsidRPr="00746E61" w:rsidRDefault="00B43DD8"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-0,71%</w:t>
            </w:r>
          </w:p>
        </w:tc>
        <w:tc>
          <w:tcPr>
            <w:tcW w:w="1782" w:type="dxa"/>
            <w:tcBorders>
              <w:top w:val="nil"/>
              <w:left w:val="nil"/>
              <w:bottom w:val="single" w:sz="4" w:space="0" w:color="auto"/>
              <w:right w:val="single" w:sz="4" w:space="0" w:color="auto"/>
            </w:tcBorders>
            <w:shd w:val="clear" w:color="auto" w:fill="auto"/>
            <w:vAlign w:val="center"/>
            <w:hideMark/>
          </w:tcPr>
          <w:p w14:paraId="42871894" w14:textId="77777777" w:rsidR="00B43DD8" w:rsidRPr="00746E61" w:rsidRDefault="00B43DD8"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11,74%</w:t>
            </w:r>
          </w:p>
        </w:tc>
      </w:tr>
    </w:tbl>
    <w:p w14:paraId="18E502D9" w14:textId="2D1EB017" w:rsidR="00602295" w:rsidRPr="00746E61" w:rsidRDefault="0059268A" w:rsidP="00746E61">
      <w:pPr>
        <w:spacing w:line="276" w:lineRule="auto"/>
        <w:jc w:val="center"/>
        <w:rPr>
          <w:rFonts w:ascii="Book Antiqua" w:hAnsi="Book Antiqua"/>
          <w:lang w:val="es-ES_tradnl" w:eastAsia="en-US"/>
        </w:rPr>
      </w:pPr>
      <w:r w:rsidRPr="00746E61">
        <w:rPr>
          <w:rFonts w:ascii="Book Antiqua" w:hAnsi="Book Antiqua" w:cs="Calibri"/>
          <w:b/>
          <w:bCs/>
          <w:color w:val="000000"/>
          <w:sz w:val="20"/>
          <w:szCs w:val="20"/>
          <w:lang w:eastAsia="es-CR"/>
        </w:rPr>
        <w:t>Fuente:</w:t>
      </w:r>
      <w:r w:rsidRPr="00746E61">
        <w:rPr>
          <w:rFonts w:ascii="Book Antiqua" w:hAnsi="Book Antiqua" w:cs="Calibri"/>
          <w:color w:val="000000"/>
          <w:sz w:val="20"/>
          <w:szCs w:val="20"/>
          <w:lang w:eastAsia="es-CR"/>
        </w:rPr>
        <w:t xml:space="preserve"> Elaboración propia a partir de las estadísticas del Subproceso de Estadística</w:t>
      </w:r>
    </w:p>
    <w:p w14:paraId="373648B9" w14:textId="77777777" w:rsidR="00747468" w:rsidRPr="00746E61" w:rsidRDefault="00747468" w:rsidP="00746E61">
      <w:pPr>
        <w:spacing w:line="276" w:lineRule="auto"/>
        <w:jc w:val="center"/>
        <w:rPr>
          <w:rFonts w:ascii="Book Antiqua" w:hAnsi="Book Antiqua"/>
          <w:lang w:val="es-ES_tradnl" w:eastAsia="en-US"/>
        </w:rPr>
      </w:pPr>
    </w:p>
    <w:p w14:paraId="6135C6A3" w14:textId="4C038DC7" w:rsidR="00747468" w:rsidRPr="00746E61" w:rsidRDefault="109C0FE1" w:rsidP="57A79FF7">
      <w:pPr>
        <w:spacing w:line="276" w:lineRule="auto"/>
        <w:outlineLvl w:val="2"/>
        <w:rPr>
          <w:b/>
          <w:lang w:val="es-ES" w:eastAsia="en-US"/>
        </w:rPr>
      </w:pPr>
      <w:r w:rsidRPr="57A79FF7">
        <w:rPr>
          <w:rFonts w:ascii="Book Antiqua" w:hAnsi="Book Antiqua"/>
          <w:b/>
          <w:bCs/>
          <w:lang w:val="es-ES" w:eastAsia="en-US"/>
        </w:rPr>
        <w:t xml:space="preserve">3.5.2 </w:t>
      </w:r>
      <w:r w:rsidR="00747468" w:rsidRPr="57A79FF7">
        <w:rPr>
          <w:rFonts w:ascii="Book Antiqua" w:hAnsi="Book Antiqua"/>
          <w:b/>
          <w:lang w:val="es-ES" w:eastAsia="en-US"/>
        </w:rPr>
        <w:t xml:space="preserve">Asuntos </w:t>
      </w:r>
      <w:r w:rsidR="0059268A" w:rsidRPr="57A79FF7">
        <w:rPr>
          <w:rFonts w:ascii="Book Antiqua" w:hAnsi="Book Antiqua"/>
          <w:b/>
          <w:lang w:val="es-ES" w:eastAsia="en-US"/>
        </w:rPr>
        <w:t>terminados</w:t>
      </w:r>
    </w:p>
    <w:p w14:paraId="7A8A28AD" w14:textId="60C416B8" w:rsidR="00747468" w:rsidRPr="00746E61" w:rsidRDefault="00747468" w:rsidP="00746E61">
      <w:pPr>
        <w:spacing w:line="276" w:lineRule="auto"/>
        <w:jc w:val="center"/>
        <w:rPr>
          <w:rFonts w:ascii="Book Antiqua" w:hAnsi="Book Antiqua"/>
          <w:b/>
          <w:bCs/>
          <w:lang w:val="es-ES_tradnl" w:eastAsia="en-US"/>
        </w:rPr>
      </w:pPr>
    </w:p>
    <w:p w14:paraId="73863A78" w14:textId="4F9E6813" w:rsidR="00747468" w:rsidRPr="00746E61" w:rsidRDefault="00E91DE3" w:rsidP="00746E61">
      <w:pPr>
        <w:spacing w:line="276" w:lineRule="auto"/>
        <w:jc w:val="both"/>
        <w:rPr>
          <w:rFonts w:ascii="Book Antiqua" w:hAnsi="Book Antiqua" w:cs="Arial"/>
        </w:rPr>
      </w:pPr>
      <w:bookmarkStart w:id="16" w:name="_Hlk87893364"/>
      <w:r w:rsidRPr="00746E61">
        <w:rPr>
          <w:rFonts w:ascii="Book Antiqua" w:hAnsi="Book Antiqua" w:cs="Arial"/>
        </w:rPr>
        <w:t>En lo que respecta a los casos culminados, se obtiene</w:t>
      </w:r>
      <w:r w:rsidR="00DB5B50" w:rsidRPr="00746E61">
        <w:rPr>
          <w:rFonts w:ascii="Book Antiqua" w:hAnsi="Book Antiqua" w:cs="Arial"/>
        </w:rPr>
        <w:t>n</w:t>
      </w:r>
      <w:r w:rsidRPr="00746E61">
        <w:rPr>
          <w:rFonts w:ascii="Book Antiqua" w:hAnsi="Book Antiqua" w:cs="Arial"/>
        </w:rPr>
        <w:t xml:space="preserve"> promedio</w:t>
      </w:r>
      <w:r w:rsidR="00026302" w:rsidRPr="00746E61">
        <w:rPr>
          <w:rFonts w:ascii="Book Antiqua" w:hAnsi="Book Antiqua" w:cs="Arial"/>
        </w:rPr>
        <w:t>s</w:t>
      </w:r>
      <w:r w:rsidRPr="00746E61">
        <w:rPr>
          <w:rFonts w:ascii="Book Antiqua" w:hAnsi="Book Antiqua" w:cs="Arial"/>
        </w:rPr>
        <w:t xml:space="preserve"> </w:t>
      </w:r>
      <w:r w:rsidR="00026302" w:rsidRPr="00746E61">
        <w:rPr>
          <w:rFonts w:ascii="Book Antiqua" w:hAnsi="Book Antiqua" w:cs="Arial"/>
        </w:rPr>
        <w:t xml:space="preserve">mensuales de terminados, </w:t>
      </w:r>
      <w:r w:rsidRPr="00746E61">
        <w:rPr>
          <w:rFonts w:ascii="Book Antiqua" w:hAnsi="Book Antiqua" w:cs="Arial"/>
        </w:rPr>
        <w:t xml:space="preserve">de </w:t>
      </w:r>
      <w:r w:rsidR="00026302" w:rsidRPr="00746E61">
        <w:rPr>
          <w:rFonts w:ascii="Book Antiqua" w:hAnsi="Book Antiqua" w:cs="Arial"/>
        </w:rPr>
        <w:t>377, 382 y 373 asuntos para el 2019, 2020 y 2021 respectivamente, lo que representa una tendencia constante</w:t>
      </w:r>
      <w:bookmarkEnd w:id="16"/>
      <w:r w:rsidR="00026302" w:rsidRPr="00746E61">
        <w:rPr>
          <w:rFonts w:ascii="Book Antiqua" w:hAnsi="Book Antiqua" w:cs="Arial"/>
        </w:rPr>
        <w:t xml:space="preserve">. </w:t>
      </w:r>
      <w:r w:rsidRPr="00746E61">
        <w:rPr>
          <w:rFonts w:ascii="Book Antiqua" w:hAnsi="Book Antiqua" w:cs="Arial"/>
        </w:rPr>
        <w:t xml:space="preserve">Los </w:t>
      </w:r>
      <w:r w:rsidR="00DB5B50" w:rsidRPr="00746E61">
        <w:rPr>
          <w:rFonts w:ascii="Book Antiqua" w:hAnsi="Book Antiqua" w:cs="Arial"/>
        </w:rPr>
        <w:t xml:space="preserve">únicos </w:t>
      </w:r>
      <w:r w:rsidRPr="00746E61">
        <w:rPr>
          <w:rFonts w:ascii="Book Antiqua" w:hAnsi="Book Antiqua" w:cs="Arial"/>
        </w:rPr>
        <w:t xml:space="preserve">despachos que presentan incremento de expedientes finalizados </w:t>
      </w:r>
      <w:r w:rsidR="00026302" w:rsidRPr="00746E61">
        <w:rPr>
          <w:rFonts w:ascii="Book Antiqua" w:hAnsi="Book Antiqua" w:cs="Arial"/>
        </w:rPr>
        <w:t xml:space="preserve">en relación con el 2019, </w:t>
      </w:r>
      <w:r w:rsidRPr="00746E61">
        <w:rPr>
          <w:rFonts w:ascii="Book Antiqua" w:hAnsi="Book Antiqua" w:cs="Arial"/>
        </w:rPr>
        <w:t>son el Tribunal de Apelación de San Ramón con 3</w:t>
      </w:r>
      <w:r w:rsidR="00DB65C0" w:rsidRPr="00746E61">
        <w:rPr>
          <w:rFonts w:ascii="Book Antiqua" w:hAnsi="Book Antiqua" w:cs="Arial"/>
        </w:rPr>
        <w:t>2.79</w:t>
      </w:r>
      <w:r w:rsidRPr="00746E61">
        <w:rPr>
          <w:rFonts w:ascii="Book Antiqua" w:hAnsi="Book Antiqua" w:cs="Arial"/>
        </w:rPr>
        <w:t xml:space="preserve">%, de seguido, el Tribunal de Apelación de Cartago con </w:t>
      </w:r>
      <w:r w:rsidR="00026302" w:rsidRPr="00746E61">
        <w:rPr>
          <w:rFonts w:ascii="Book Antiqua" w:hAnsi="Book Antiqua" w:cs="Arial"/>
        </w:rPr>
        <w:t>1</w:t>
      </w:r>
      <w:r w:rsidR="00DB65C0" w:rsidRPr="00746E61">
        <w:rPr>
          <w:rFonts w:ascii="Book Antiqua" w:hAnsi="Book Antiqua" w:cs="Arial"/>
        </w:rPr>
        <w:t>8.</w:t>
      </w:r>
      <w:r w:rsidR="00026302" w:rsidRPr="00746E61">
        <w:rPr>
          <w:rFonts w:ascii="Book Antiqua" w:hAnsi="Book Antiqua" w:cs="Arial"/>
        </w:rPr>
        <w:t>2</w:t>
      </w:r>
      <w:r w:rsidR="00DB65C0" w:rsidRPr="00746E61">
        <w:rPr>
          <w:rFonts w:ascii="Book Antiqua" w:hAnsi="Book Antiqua" w:cs="Arial"/>
        </w:rPr>
        <w:t>4</w:t>
      </w:r>
      <w:r w:rsidRPr="00746E61">
        <w:rPr>
          <w:rFonts w:ascii="Book Antiqua" w:hAnsi="Book Antiqua" w:cs="Arial"/>
        </w:rPr>
        <w:t xml:space="preserve">%. </w:t>
      </w:r>
      <w:r w:rsidR="00747468" w:rsidRPr="00746E61">
        <w:rPr>
          <w:rFonts w:ascii="Book Antiqua" w:hAnsi="Book Antiqua" w:cs="Arial"/>
        </w:rPr>
        <w:t xml:space="preserve">Seguidamente, en el </w:t>
      </w:r>
      <w:r w:rsidR="00747468" w:rsidRPr="00746E61">
        <w:rPr>
          <w:rFonts w:ascii="Book Antiqua" w:hAnsi="Book Antiqua" w:cs="Arial"/>
          <w:b/>
          <w:bCs/>
        </w:rPr>
        <w:t>Cuadro 26,</w:t>
      </w:r>
      <w:r w:rsidR="00747468" w:rsidRPr="00746E61">
        <w:rPr>
          <w:rFonts w:ascii="Book Antiqua" w:hAnsi="Book Antiqua" w:cs="Arial"/>
        </w:rPr>
        <w:t xml:space="preserve"> se registran los datos mencionados.</w:t>
      </w:r>
    </w:p>
    <w:p w14:paraId="7F7DF691" w14:textId="77777777" w:rsidR="00747468" w:rsidRPr="00746E61" w:rsidRDefault="00747468" w:rsidP="00746E61">
      <w:pPr>
        <w:spacing w:line="276" w:lineRule="auto"/>
        <w:jc w:val="both"/>
        <w:rPr>
          <w:rFonts w:ascii="Book Antiqua" w:hAnsi="Book Antiqua" w:cs="Arial"/>
        </w:rPr>
      </w:pPr>
    </w:p>
    <w:p w14:paraId="1E6904F3" w14:textId="4D9EABF9" w:rsidR="00747468" w:rsidRPr="00746E61" w:rsidRDefault="00747468" w:rsidP="00746E61">
      <w:pPr>
        <w:widowControl w:val="0"/>
        <w:autoSpaceDE w:val="0"/>
        <w:spacing w:line="276" w:lineRule="auto"/>
        <w:ind w:left="1080" w:right="51"/>
        <w:jc w:val="center"/>
        <w:rPr>
          <w:rFonts w:ascii="Book Antiqua" w:hAnsi="Book Antiqua" w:cs="Arial"/>
          <w:b/>
          <w:bCs/>
        </w:rPr>
      </w:pPr>
      <w:r w:rsidRPr="00746E61">
        <w:rPr>
          <w:rFonts w:ascii="Book Antiqua" w:hAnsi="Book Antiqua" w:cs="Arial"/>
          <w:b/>
          <w:bCs/>
        </w:rPr>
        <w:t>Cuadro 26</w:t>
      </w:r>
    </w:p>
    <w:p w14:paraId="25CE2CEF" w14:textId="77777777" w:rsidR="00747468" w:rsidRPr="00746E61" w:rsidRDefault="00747468" w:rsidP="00746E61">
      <w:pPr>
        <w:spacing w:line="276" w:lineRule="auto"/>
        <w:jc w:val="center"/>
        <w:rPr>
          <w:rFonts w:ascii="Book Antiqua" w:hAnsi="Book Antiqua"/>
          <w:lang w:val="es-ES_tradnl" w:eastAsia="en-US"/>
        </w:rPr>
      </w:pPr>
      <w:r w:rsidRPr="00746E61">
        <w:rPr>
          <w:rFonts w:ascii="Book Antiqua" w:hAnsi="Book Antiqua"/>
          <w:lang w:val="es-ES_tradnl" w:eastAsia="en-US"/>
        </w:rPr>
        <w:t>Promedio mensual de asuntos terminados en los Tribunales de Apelación</w:t>
      </w:r>
    </w:p>
    <w:p w14:paraId="3DEFA3E3" w14:textId="1D4F84ED" w:rsidR="00747468" w:rsidRPr="00746E61" w:rsidRDefault="00747468" w:rsidP="00746E61">
      <w:pPr>
        <w:spacing w:line="276" w:lineRule="auto"/>
        <w:jc w:val="center"/>
        <w:rPr>
          <w:rFonts w:ascii="Book Antiqua" w:hAnsi="Book Antiqua"/>
          <w:lang w:val="es-ES_tradnl" w:eastAsia="en-US"/>
        </w:rPr>
      </w:pPr>
      <w:r w:rsidRPr="00746E61">
        <w:rPr>
          <w:rFonts w:ascii="Book Antiqua" w:hAnsi="Book Antiqua"/>
          <w:lang w:val="es-ES_tradnl" w:eastAsia="en-US"/>
        </w:rPr>
        <w:t xml:space="preserve"> entre el periodo comprendido de enero 2019 a </w:t>
      </w:r>
      <w:r w:rsidR="005E7494" w:rsidRPr="00746E61">
        <w:rPr>
          <w:rFonts w:ascii="Book Antiqua" w:hAnsi="Book Antiqua"/>
          <w:lang w:val="es-ES_tradnl" w:eastAsia="en-US"/>
        </w:rPr>
        <w:t>setiembre</w:t>
      </w:r>
      <w:r w:rsidRPr="00746E61">
        <w:rPr>
          <w:rFonts w:ascii="Book Antiqua" w:hAnsi="Book Antiqua"/>
          <w:lang w:val="es-ES_tradnl" w:eastAsia="en-US"/>
        </w:rPr>
        <w:t xml:space="preserve"> de 2021</w:t>
      </w:r>
    </w:p>
    <w:tbl>
      <w:tblPr>
        <w:tblW w:w="10209" w:type="dxa"/>
        <w:jc w:val="center"/>
        <w:tblCellMar>
          <w:left w:w="70" w:type="dxa"/>
          <w:right w:w="70" w:type="dxa"/>
        </w:tblCellMar>
        <w:tblLook w:val="04A0" w:firstRow="1" w:lastRow="0" w:firstColumn="1" w:lastColumn="0" w:noHBand="0" w:noVBand="1"/>
      </w:tblPr>
      <w:tblGrid>
        <w:gridCol w:w="3909"/>
        <w:gridCol w:w="1020"/>
        <w:gridCol w:w="1020"/>
        <w:gridCol w:w="1020"/>
        <w:gridCol w:w="1796"/>
        <w:gridCol w:w="1796"/>
      </w:tblGrid>
      <w:tr w:rsidR="007C3326" w:rsidRPr="00746E61" w14:paraId="2BED4516" w14:textId="77777777" w:rsidTr="007C3326">
        <w:trPr>
          <w:trHeight w:val="708"/>
          <w:jc w:val="center"/>
        </w:trPr>
        <w:tc>
          <w:tcPr>
            <w:tcW w:w="3909"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1D01CC77" w14:textId="77777777" w:rsidR="007C3326" w:rsidRPr="00746E61" w:rsidRDefault="007C3326" w:rsidP="00746E61">
            <w:pPr>
              <w:spacing w:line="276" w:lineRule="auto"/>
              <w:jc w:val="center"/>
              <w:rPr>
                <w:rFonts w:ascii="Book Antiqua" w:hAnsi="Book Antiqua" w:cs="Calibri"/>
                <w:b/>
                <w:bCs/>
                <w:color w:val="FFFFFF"/>
                <w:sz w:val="16"/>
                <w:szCs w:val="16"/>
                <w:lang w:eastAsia="es-CR"/>
              </w:rPr>
            </w:pPr>
            <w:r w:rsidRPr="00746E61">
              <w:rPr>
                <w:rFonts w:ascii="Book Antiqua" w:hAnsi="Book Antiqua" w:cs="Calibri"/>
                <w:b/>
                <w:bCs/>
                <w:color w:val="FFFFFF"/>
                <w:sz w:val="16"/>
                <w:szCs w:val="16"/>
                <w:lang w:eastAsia="es-CR"/>
              </w:rPr>
              <w:t>Despachos</w:t>
            </w:r>
          </w:p>
        </w:tc>
        <w:tc>
          <w:tcPr>
            <w:tcW w:w="938" w:type="dxa"/>
            <w:tcBorders>
              <w:top w:val="single" w:sz="4" w:space="0" w:color="auto"/>
              <w:left w:val="nil"/>
              <w:bottom w:val="single" w:sz="4" w:space="0" w:color="auto"/>
              <w:right w:val="single" w:sz="4" w:space="0" w:color="auto"/>
            </w:tcBorders>
            <w:shd w:val="clear" w:color="000000" w:fill="305496"/>
            <w:vAlign w:val="center"/>
            <w:hideMark/>
          </w:tcPr>
          <w:p w14:paraId="690DAAB3" w14:textId="77777777" w:rsidR="007C3326" w:rsidRPr="00746E61" w:rsidRDefault="007C3326" w:rsidP="00746E61">
            <w:pPr>
              <w:spacing w:line="276" w:lineRule="auto"/>
              <w:jc w:val="center"/>
              <w:rPr>
                <w:rFonts w:ascii="Book Antiqua" w:hAnsi="Book Antiqua" w:cs="Calibri"/>
                <w:b/>
                <w:bCs/>
                <w:color w:val="FFFFFF"/>
                <w:sz w:val="16"/>
                <w:szCs w:val="16"/>
                <w:lang w:eastAsia="es-CR"/>
              </w:rPr>
            </w:pPr>
            <w:r w:rsidRPr="00746E61">
              <w:rPr>
                <w:rFonts w:ascii="Book Antiqua" w:hAnsi="Book Antiqua" w:cs="Calibri"/>
                <w:b/>
                <w:bCs/>
                <w:color w:val="FFFFFF"/>
                <w:sz w:val="16"/>
                <w:szCs w:val="16"/>
                <w:lang w:eastAsia="es-CR"/>
              </w:rPr>
              <w:t>Promedio mensual de Terminados 2019</w:t>
            </w:r>
          </w:p>
        </w:tc>
        <w:tc>
          <w:tcPr>
            <w:tcW w:w="938" w:type="dxa"/>
            <w:tcBorders>
              <w:top w:val="single" w:sz="4" w:space="0" w:color="auto"/>
              <w:left w:val="nil"/>
              <w:bottom w:val="single" w:sz="4" w:space="0" w:color="auto"/>
              <w:right w:val="single" w:sz="4" w:space="0" w:color="auto"/>
            </w:tcBorders>
            <w:shd w:val="clear" w:color="000000" w:fill="305496"/>
            <w:vAlign w:val="center"/>
            <w:hideMark/>
          </w:tcPr>
          <w:p w14:paraId="4C5A7B14" w14:textId="77777777" w:rsidR="007C3326" w:rsidRPr="00746E61" w:rsidRDefault="007C3326" w:rsidP="00746E61">
            <w:pPr>
              <w:spacing w:line="276" w:lineRule="auto"/>
              <w:jc w:val="center"/>
              <w:rPr>
                <w:rFonts w:ascii="Book Antiqua" w:hAnsi="Book Antiqua" w:cs="Calibri"/>
                <w:b/>
                <w:bCs/>
                <w:color w:val="FFFFFF"/>
                <w:sz w:val="16"/>
                <w:szCs w:val="16"/>
                <w:lang w:eastAsia="es-CR"/>
              </w:rPr>
            </w:pPr>
            <w:r w:rsidRPr="00746E61">
              <w:rPr>
                <w:rFonts w:ascii="Book Antiqua" w:hAnsi="Book Antiqua" w:cs="Calibri"/>
                <w:b/>
                <w:bCs/>
                <w:color w:val="FFFFFF"/>
                <w:sz w:val="16"/>
                <w:szCs w:val="16"/>
                <w:lang w:eastAsia="es-CR"/>
              </w:rPr>
              <w:t>Promedio mensual de Terminados 2020</w:t>
            </w:r>
          </w:p>
        </w:tc>
        <w:tc>
          <w:tcPr>
            <w:tcW w:w="938" w:type="dxa"/>
            <w:tcBorders>
              <w:top w:val="single" w:sz="4" w:space="0" w:color="auto"/>
              <w:left w:val="nil"/>
              <w:bottom w:val="single" w:sz="4" w:space="0" w:color="auto"/>
              <w:right w:val="single" w:sz="4" w:space="0" w:color="auto"/>
            </w:tcBorders>
            <w:shd w:val="clear" w:color="000000" w:fill="305496"/>
            <w:vAlign w:val="center"/>
            <w:hideMark/>
          </w:tcPr>
          <w:p w14:paraId="4630973D" w14:textId="77777777" w:rsidR="007C3326" w:rsidRPr="00746E61" w:rsidRDefault="007C3326" w:rsidP="00746E61">
            <w:pPr>
              <w:spacing w:line="276" w:lineRule="auto"/>
              <w:jc w:val="center"/>
              <w:rPr>
                <w:rFonts w:ascii="Book Antiqua" w:hAnsi="Book Antiqua" w:cs="Calibri"/>
                <w:b/>
                <w:bCs/>
                <w:color w:val="FFFFFF"/>
                <w:sz w:val="16"/>
                <w:szCs w:val="16"/>
                <w:lang w:eastAsia="es-CR"/>
              </w:rPr>
            </w:pPr>
            <w:r w:rsidRPr="00746E61">
              <w:rPr>
                <w:rFonts w:ascii="Book Antiqua" w:hAnsi="Book Antiqua" w:cs="Calibri"/>
                <w:b/>
                <w:bCs/>
                <w:color w:val="FFFFFF"/>
                <w:sz w:val="16"/>
                <w:szCs w:val="16"/>
                <w:lang w:eastAsia="es-CR"/>
              </w:rPr>
              <w:t>Promedio mensual de Terminados 2021</w:t>
            </w:r>
          </w:p>
        </w:tc>
        <w:tc>
          <w:tcPr>
            <w:tcW w:w="1743" w:type="dxa"/>
            <w:tcBorders>
              <w:top w:val="single" w:sz="4" w:space="0" w:color="auto"/>
              <w:left w:val="nil"/>
              <w:bottom w:val="single" w:sz="4" w:space="0" w:color="auto"/>
              <w:right w:val="single" w:sz="4" w:space="0" w:color="auto"/>
            </w:tcBorders>
            <w:shd w:val="clear" w:color="000000" w:fill="DDEBF7"/>
            <w:vAlign w:val="center"/>
            <w:hideMark/>
          </w:tcPr>
          <w:p w14:paraId="5126EB5B" w14:textId="77777777" w:rsidR="007C3326" w:rsidRPr="00746E61" w:rsidRDefault="007C3326" w:rsidP="00746E61">
            <w:pPr>
              <w:spacing w:line="276" w:lineRule="auto"/>
              <w:jc w:val="center"/>
              <w:rPr>
                <w:rFonts w:ascii="Book Antiqua" w:hAnsi="Book Antiqua" w:cs="Calibri"/>
                <w:b/>
                <w:bCs/>
                <w:color w:val="3A3838"/>
                <w:sz w:val="16"/>
                <w:szCs w:val="16"/>
                <w:lang w:eastAsia="es-CR"/>
              </w:rPr>
            </w:pPr>
            <w:r w:rsidRPr="00746E61">
              <w:rPr>
                <w:rFonts w:ascii="Book Antiqua" w:hAnsi="Book Antiqua" w:cs="Calibri"/>
                <w:b/>
                <w:bCs/>
                <w:color w:val="3A3838"/>
                <w:sz w:val="16"/>
                <w:szCs w:val="16"/>
                <w:lang w:eastAsia="es-CR"/>
              </w:rPr>
              <w:t>Aumento/disminución 2021vs2019</w:t>
            </w:r>
          </w:p>
        </w:tc>
        <w:tc>
          <w:tcPr>
            <w:tcW w:w="1743" w:type="dxa"/>
            <w:tcBorders>
              <w:top w:val="single" w:sz="4" w:space="0" w:color="auto"/>
              <w:left w:val="nil"/>
              <w:bottom w:val="single" w:sz="4" w:space="0" w:color="auto"/>
              <w:right w:val="single" w:sz="4" w:space="0" w:color="auto"/>
            </w:tcBorders>
            <w:shd w:val="clear" w:color="000000" w:fill="DDEBF7"/>
            <w:vAlign w:val="center"/>
            <w:hideMark/>
          </w:tcPr>
          <w:p w14:paraId="5D1FE6FC" w14:textId="77777777" w:rsidR="007C3326" w:rsidRPr="00746E61" w:rsidRDefault="007C3326" w:rsidP="00746E61">
            <w:pPr>
              <w:spacing w:line="276" w:lineRule="auto"/>
              <w:jc w:val="center"/>
              <w:rPr>
                <w:rFonts w:ascii="Book Antiqua" w:hAnsi="Book Antiqua" w:cs="Calibri"/>
                <w:b/>
                <w:bCs/>
                <w:color w:val="3A3838"/>
                <w:sz w:val="16"/>
                <w:szCs w:val="16"/>
                <w:lang w:eastAsia="es-CR"/>
              </w:rPr>
            </w:pPr>
            <w:r w:rsidRPr="00746E61">
              <w:rPr>
                <w:rFonts w:ascii="Book Antiqua" w:hAnsi="Book Antiqua" w:cs="Calibri"/>
                <w:b/>
                <w:bCs/>
                <w:color w:val="3A3838"/>
                <w:sz w:val="16"/>
                <w:szCs w:val="16"/>
                <w:lang w:eastAsia="es-CR"/>
              </w:rPr>
              <w:t>Aumento/disminución 2021vs2020</w:t>
            </w:r>
          </w:p>
        </w:tc>
      </w:tr>
      <w:tr w:rsidR="007C3326" w:rsidRPr="00746E61" w14:paraId="46954A5B" w14:textId="77777777" w:rsidTr="007C3326">
        <w:trPr>
          <w:trHeight w:val="197"/>
          <w:jc w:val="center"/>
        </w:trPr>
        <w:tc>
          <w:tcPr>
            <w:tcW w:w="3909" w:type="dxa"/>
            <w:tcBorders>
              <w:top w:val="nil"/>
              <w:left w:val="single" w:sz="4" w:space="0" w:color="auto"/>
              <w:bottom w:val="single" w:sz="4" w:space="0" w:color="auto"/>
              <w:right w:val="single" w:sz="4" w:space="0" w:color="auto"/>
            </w:tcBorders>
            <w:shd w:val="clear" w:color="auto" w:fill="auto"/>
            <w:noWrap/>
            <w:vAlign w:val="center"/>
            <w:hideMark/>
          </w:tcPr>
          <w:p w14:paraId="48803A47" w14:textId="77777777" w:rsidR="007C3326" w:rsidRPr="00746E61" w:rsidRDefault="007C3326"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de Apelación de la Sentencia de San Ramón</w:t>
            </w:r>
          </w:p>
        </w:tc>
        <w:tc>
          <w:tcPr>
            <w:tcW w:w="938" w:type="dxa"/>
            <w:tcBorders>
              <w:top w:val="nil"/>
              <w:left w:val="nil"/>
              <w:bottom w:val="single" w:sz="4" w:space="0" w:color="auto"/>
              <w:right w:val="single" w:sz="4" w:space="0" w:color="auto"/>
            </w:tcBorders>
            <w:shd w:val="clear" w:color="auto" w:fill="auto"/>
            <w:noWrap/>
            <w:vAlign w:val="center"/>
            <w:hideMark/>
          </w:tcPr>
          <w:p w14:paraId="7A489519" w14:textId="77777777" w:rsidR="007C3326" w:rsidRPr="00746E61" w:rsidRDefault="007C332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81</w:t>
            </w:r>
          </w:p>
        </w:tc>
        <w:tc>
          <w:tcPr>
            <w:tcW w:w="938" w:type="dxa"/>
            <w:tcBorders>
              <w:top w:val="nil"/>
              <w:left w:val="nil"/>
              <w:bottom w:val="single" w:sz="4" w:space="0" w:color="auto"/>
              <w:right w:val="single" w:sz="4" w:space="0" w:color="auto"/>
            </w:tcBorders>
            <w:shd w:val="clear" w:color="auto" w:fill="auto"/>
            <w:noWrap/>
            <w:vAlign w:val="center"/>
            <w:hideMark/>
          </w:tcPr>
          <w:p w14:paraId="4D8CE215" w14:textId="77777777" w:rsidR="007C3326" w:rsidRPr="00746E61" w:rsidRDefault="007C332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105</w:t>
            </w:r>
          </w:p>
        </w:tc>
        <w:tc>
          <w:tcPr>
            <w:tcW w:w="938" w:type="dxa"/>
            <w:tcBorders>
              <w:top w:val="nil"/>
              <w:left w:val="nil"/>
              <w:bottom w:val="single" w:sz="4" w:space="0" w:color="auto"/>
              <w:right w:val="single" w:sz="4" w:space="0" w:color="auto"/>
            </w:tcBorders>
            <w:shd w:val="clear" w:color="auto" w:fill="auto"/>
            <w:noWrap/>
            <w:vAlign w:val="center"/>
            <w:hideMark/>
          </w:tcPr>
          <w:p w14:paraId="30CA1F2A" w14:textId="77777777" w:rsidR="007C3326" w:rsidRPr="00746E61" w:rsidRDefault="007C332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108</w:t>
            </w:r>
          </w:p>
        </w:tc>
        <w:tc>
          <w:tcPr>
            <w:tcW w:w="1743" w:type="dxa"/>
            <w:tcBorders>
              <w:top w:val="nil"/>
              <w:left w:val="nil"/>
              <w:bottom w:val="single" w:sz="4" w:space="0" w:color="auto"/>
              <w:right w:val="single" w:sz="4" w:space="0" w:color="auto"/>
            </w:tcBorders>
            <w:shd w:val="clear" w:color="auto" w:fill="auto"/>
            <w:vAlign w:val="center"/>
            <w:hideMark/>
          </w:tcPr>
          <w:p w14:paraId="551A5870" w14:textId="77777777" w:rsidR="007C3326" w:rsidRPr="00746E61" w:rsidRDefault="007C332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32,79%</w:t>
            </w:r>
          </w:p>
        </w:tc>
        <w:tc>
          <w:tcPr>
            <w:tcW w:w="1743" w:type="dxa"/>
            <w:tcBorders>
              <w:top w:val="nil"/>
              <w:left w:val="nil"/>
              <w:bottom w:val="single" w:sz="4" w:space="0" w:color="auto"/>
              <w:right w:val="single" w:sz="4" w:space="0" w:color="auto"/>
            </w:tcBorders>
            <w:shd w:val="clear" w:color="auto" w:fill="auto"/>
            <w:vAlign w:val="center"/>
            <w:hideMark/>
          </w:tcPr>
          <w:p w14:paraId="6EBF93C8" w14:textId="77777777" w:rsidR="007C3326" w:rsidRPr="00746E61" w:rsidRDefault="007C332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2,34%</w:t>
            </w:r>
          </w:p>
        </w:tc>
      </w:tr>
      <w:tr w:rsidR="007C3326" w:rsidRPr="00746E61" w14:paraId="4035F165" w14:textId="77777777" w:rsidTr="007C3326">
        <w:trPr>
          <w:trHeight w:val="197"/>
          <w:jc w:val="center"/>
        </w:trPr>
        <w:tc>
          <w:tcPr>
            <w:tcW w:w="3909" w:type="dxa"/>
            <w:tcBorders>
              <w:top w:val="nil"/>
              <w:left w:val="single" w:sz="4" w:space="0" w:color="auto"/>
              <w:bottom w:val="single" w:sz="4" w:space="0" w:color="auto"/>
              <w:right w:val="single" w:sz="4" w:space="0" w:color="auto"/>
            </w:tcBorders>
            <w:shd w:val="clear" w:color="auto" w:fill="auto"/>
            <w:noWrap/>
            <w:vAlign w:val="center"/>
            <w:hideMark/>
          </w:tcPr>
          <w:p w14:paraId="685251B5" w14:textId="77777777" w:rsidR="007C3326" w:rsidRPr="00746E61" w:rsidRDefault="007C3326"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de Apelación de la Sentencia de Cartago</w:t>
            </w:r>
          </w:p>
        </w:tc>
        <w:tc>
          <w:tcPr>
            <w:tcW w:w="938" w:type="dxa"/>
            <w:tcBorders>
              <w:top w:val="nil"/>
              <w:left w:val="nil"/>
              <w:bottom w:val="single" w:sz="4" w:space="0" w:color="auto"/>
              <w:right w:val="single" w:sz="4" w:space="0" w:color="auto"/>
            </w:tcBorders>
            <w:shd w:val="clear" w:color="auto" w:fill="auto"/>
            <w:noWrap/>
            <w:vAlign w:val="center"/>
            <w:hideMark/>
          </w:tcPr>
          <w:p w14:paraId="391585FD" w14:textId="77777777" w:rsidR="007C3326" w:rsidRPr="00746E61" w:rsidRDefault="007C332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51</w:t>
            </w:r>
          </w:p>
        </w:tc>
        <w:tc>
          <w:tcPr>
            <w:tcW w:w="938" w:type="dxa"/>
            <w:tcBorders>
              <w:top w:val="nil"/>
              <w:left w:val="nil"/>
              <w:bottom w:val="single" w:sz="4" w:space="0" w:color="auto"/>
              <w:right w:val="single" w:sz="4" w:space="0" w:color="auto"/>
            </w:tcBorders>
            <w:shd w:val="clear" w:color="auto" w:fill="auto"/>
            <w:noWrap/>
            <w:vAlign w:val="center"/>
            <w:hideMark/>
          </w:tcPr>
          <w:p w14:paraId="09C210B5" w14:textId="77777777" w:rsidR="007C3326" w:rsidRPr="00746E61" w:rsidRDefault="007C332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62</w:t>
            </w:r>
          </w:p>
        </w:tc>
        <w:tc>
          <w:tcPr>
            <w:tcW w:w="938" w:type="dxa"/>
            <w:tcBorders>
              <w:top w:val="nil"/>
              <w:left w:val="nil"/>
              <w:bottom w:val="single" w:sz="4" w:space="0" w:color="auto"/>
              <w:right w:val="single" w:sz="4" w:space="0" w:color="auto"/>
            </w:tcBorders>
            <w:shd w:val="clear" w:color="auto" w:fill="auto"/>
            <w:noWrap/>
            <w:vAlign w:val="center"/>
            <w:hideMark/>
          </w:tcPr>
          <w:p w14:paraId="7507A267" w14:textId="77777777" w:rsidR="007C3326" w:rsidRPr="00746E61" w:rsidRDefault="007C332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60</w:t>
            </w:r>
          </w:p>
        </w:tc>
        <w:tc>
          <w:tcPr>
            <w:tcW w:w="1743" w:type="dxa"/>
            <w:tcBorders>
              <w:top w:val="nil"/>
              <w:left w:val="nil"/>
              <w:bottom w:val="single" w:sz="4" w:space="0" w:color="auto"/>
              <w:right w:val="single" w:sz="4" w:space="0" w:color="auto"/>
            </w:tcBorders>
            <w:shd w:val="clear" w:color="auto" w:fill="auto"/>
            <w:vAlign w:val="center"/>
            <w:hideMark/>
          </w:tcPr>
          <w:p w14:paraId="40EE4187" w14:textId="77777777" w:rsidR="007C3326" w:rsidRPr="00746E61" w:rsidRDefault="007C332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18,24%</w:t>
            </w:r>
          </w:p>
        </w:tc>
        <w:tc>
          <w:tcPr>
            <w:tcW w:w="1743" w:type="dxa"/>
            <w:tcBorders>
              <w:top w:val="nil"/>
              <w:left w:val="nil"/>
              <w:bottom w:val="single" w:sz="4" w:space="0" w:color="auto"/>
              <w:right w:val="single" w:sz="4" w:space="0" w:color="auto"/>
            </w:tcBorders>
            <w:shd w:val="clear" w:color="auto" w:fill="auto"/>
            <w:vAlign w:val="center"/>
            <w:hideMark/>
          </w:tcPr>
          <w:p w14:paraId="0F54B87B" w14:textId="77777777" w:rsidR="007C3326" w:rsidRPr="00746E61" w:rsidRDefault="007C332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-3,79%</w:t>
            </w:r>
          </w:p>
        </w:tc>
      </w:tr>
      <w:tr w:rsidR="007C3326" w:rsidRPr="00746E61" w14:paraId="1DE931A4" w14:textId="77777777" w:rsidTr="007C3326">
        <w:trPr>
          <w:trHeight w:val="197"/>
          <w:jc w:val="center"/>
        </w:trPr>
        <w:tc>
          <w:tcPr>
            <w:tcW w:w="3909" w:type="dxa"/>
            <w:tcBorders>
              <w:top w:val="nil"/>
              <w:left w:val="single" w:sz="4" w:space="0" w:color="auto"/>
              <w:bottom w:val="single" w:sz="4" w:space="0" w:color="auto"/>
              <w:right w:val="single" w:sz="4" w:space="0" w:color="auto"/>
            </w:tcBorders>
            <w:shd w:val="clear" w:color="auto" w:fill="auto"/>
            <w:noWrap/>
            <w:vAlign w:val="center"/>
            <w:hideMark/>
          </w:tcPr>
          <w:p w14:paraId="707A77B2" w14:textId="77777777" w:rsidR="007C3326" w:rsidRPr="00746E61" w:rsidRDefault="007C3326"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de Apelación de la Sentencia de Santa Cruz</w:t>
            </w:r>
          </w:p>
        </w:tc>
        <w:tc>
          <w:tcPr>
            <w:tcW w:w="938" w:type="dxa"/>
            <w:tcBorders>
              <w:top w:val="nil"/>
              <w:left w:val="nil"/>
              <w:bottom w:val="single" w:sz="4" w:space="0" w:color="auto"/>
              <w:right w:val="single" w:sz="4" w:space="0" w:color="auto"/>
            </w:tcBorders>
            <w:shd w:val="clear" w:color="auto" w:fill="auto"/>
            <w:noWrap/>
            <w:vAlign w:val="center"/>
            <w:hideMark/>
          </w:tcPr>
          <w:p w14:paraId="254ED6DC" w14:textId="77777777" w:rsidR="007C3326" w:rsidRPr="00746E61" w:rsidRDefault="007C332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56</w:t>
            </w:r>
          </w:p>
        </w:tc>
        <w:tc>
          <w:tcPr>
            <w:tcW w:w="938" w:type="dxa"/>
            <w:tcBorders>
              <w:top w:val="nil"/>
              <w:left w:val="nil"/>
              <w:bottom w:val="single" w:sz="4" w:space="0" w:color="auto"/>
              <w:right w:val="single" w:sz="4" w:space="0" w:color="auto"/>
            </w:tcBorders>
            <w:shd w:val="clear" w:color="auto" w:fill="auto"/>
            <w:noWrap/>
            <w:vAlign w:val="center"/>
            <w:hideMark/>
          </w:tcPr>
          <w:p w14:paraId="5C957EAD" w14:textId="77777777" w:rsidR="007C3326" w:rsidRPr="00746E61" w:rsidRDefault="007C332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46</w:t>
            </w:r>
          </w:p>
        </w:tc>
        <w:tc>
          <w:tcPr>
            <w:tcW w:w="938" w:type="dxa"/>
            <w:tcBorders>
              <w:top w:val="nil"/>
              <w:left w:val="nil"/>
              <w:bottom w:val="single" w:sz="4" w:space="0" w:color="auto"/>
              <w:right w:val="single" w:sz="4" w:space="0" w:color="auto"/>
            </w:tcBorders>
            <w:shd w:val="clear" w:color="auto" w:fill="auto"/>
            <w:noWrap/>
            <w:vAlign w:val="center"/>
            <w:hideMark/>
          </w:tcPr>
          <w:p w14:paraId="6E299AFF" w14:textId="77777777" w:rsidR="007C3326" w:rsidRPr="00746E61" w:rsidRDefault="007C332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47</w:t>
            </w:r>
          </w:p>
        </w:tc>
        <w:tc>
          <w:tcPr>
            <w:tcW w:w="1743" w:type="dxa"/>
            <w:tcBorders>
              <w:top w:val="nil"/>
              <w:left w:val="nil"/>
              <w:bottom w:val="single" w:sz="4" w:space="0" w:color="auto"/>
              <w:right w:val="single" w:sz="4" w:space="0" w:color="auto"/>
            </w:tcBorders>
            <w:shd w:val="clear" w:color="auto" w:fill="auto"/>
            <w:vAlign w:val="center"/>
            <w:hideMark/>
          </w:tcPr>
          <w:p w14:paraId="4D2C14E8" w14:textId="77777777" w:rsidR="007C3326" w:rsidRPr="00746E61" w:rsidRDefault="007C332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-15,22%</w:t>
            </w:r>
          </w:p>
        </w:tc>
        <w:tc>
          <w:tcPr>
            <w:tcW w:w="1743" w:type="dxa"/>
            <w:tcBorders>
              <w:top w:val="nil"/>
              <w:left w:val="nil"/>
              <w:bottom w:val="single" w:sz="4" w:space="0" w:color="auto"/>
              <w:right w:val="single" w:sz="4" w:space="0" w:color="auto"/>
            </w:tcBorders>
            <w:shd w:val="clear" w:color="auto" w:fill="auto"/>
            <w:vAlign w:val="center"/>
            <w:hideMark/>
          </w:tcPr>
          <w:p w14:paraId="2F2AF441" w14:textId="77777777" w:rsidR="007C3326" w:rsidRPr="00746E61" w:rsidRDefault="007C332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1,48%</w:t>
            </w:r>
          </w:p>
        </w:tc>
      </w:tr>
      <w:tr w:rsidR="007C3326" w:rsidRPr="00746E61" w14:paraId="2C655CFF" w14:textId="77777777" w:rsidTr="007C3326">
        <w:trPr>
          <w:trHeight w:val="197"/>
          <w:jc w:val="center"/>
        </w:trPr>
        <w:tc>
          <w:tcPr>
            <w:tcW w:w="3909" w:type="dxa"/>
            <w:tcBorders>
              <w:top w:val="nil"/>
              <w:left w:val="single" w:sz="4" w:space="0" w:color="auto"/>
              <w:bottom w:val="single" w:sz="4" w:space="0" w:color="auto"/>
              <w:right w:val="single" w:sz="4" w:space="0" w:color="auto"/>
            </w:tcBorders>
            <w:shd w:val="clear" w:color="auto" w:fill="auto"/>
            <w:noWrap/>
            <w:vAlign w:val="center"/>
            <w:hideMark/>
          </w:tcPr>
          <w:p w14:paraId="162213C2" w14:textId="77777777" w:rsidR="007C3326" w:rsidRPr="00746E61" w:rsidRDefault="007C3326"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de Apelación de la Sentencia de Goicochea</w:t>
            </w:r>
          </w:p>
        </w:tc>
        <w:tc>
          <w:tcPr>
            <w:tcW w:w="938" w:type="dxa"/>
            <w:tcBorders>
              <w:top w:val="nil"/>
              <w:left w:val="nil"/>
              <w:bottom w:val="single" w:sz="4" w:space="0" w:color="auto"/>
              <w:right w:val="single" w:sz="4" w:space="0" w:color="auto"/>
            </w:tcBorders>
            <w:shd w:val="clear" w:color="auto" w:fill="auto"/>
            <w:noWrap/>
            <w:vAlign w:val="center"/>
            <w:hideMark/>
          </w:tcPr>
          <w:p w14:paraId="345CAF47" w14:textId="77777777" w:rsidR="007C3326" w:rsidRPr="00746E61" w:rsidRDefault="007C332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190</w:t>
            </w:r>
          </w:p>
        </w:tc>
        <w:tc>
          <w:tcPr>
            <w:tcW w:w="938" w:type="dxa"/>
            <w:tcBorders>
              <w:top w:val="nil"/>
              <w:left w:val="nil"/>
              <w:bottom w:val="single" w:sz="4" w:space="0" w:color="auto"/>
              <w:right w:val="single" w:sz="4" w:space="0" w:color="auto"/>
            </w:tcBorders>
            <w:shd w:val="clear" w:color="auto" w:fill="auto"/>
            <w:noWrap/>
            <w:vAlign w:val="center"/>
            <w:hideMark/>
          </w:tcPr>
          <w:p w14:paraId="62BCFA4D" w14:textId="77777777" w:rsidR="007C3326" w:rsidRPr="00746E61" w:rsidRDefault="007C332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167</w:t>
            </w:r>
          </w:p>
        </w:tc>
        <w:tc>
          <w:tcPr>
            <w:tcW w:w="938" w:type="dxa"/>
            <w:tcBorders>
              <w:top w:val="nil"/>
              <w:left w:val="nil"/>
              <w:bottom w:val="single" w:sz="4" w:space="0" w:color="auto"/>
              <w:right w:val="single" w:sz="4" w:space="0" w:color="auto"/>
            </w:tcBorders>
            <w:shd w:val="clear" w:color="auto" w:fill="auto"/>
            <w:noWrap/>
            <w:vAlign w:val="center"/>
            <w:hideMark/>
          </w:tcPr>
          <w:p w14:paraId="06DB4F11" w14:textId="77777777" w:rsidR="007C3326" w:rsidRPr="00746E61" w:rsidRDefault="007C332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158</w:t>
            </w:r>
          </w:p>
        </w:tc>
        <w:tc>
          <w:tcPr>
            <w:tcW w:w="1743" w:type="dxa"/>
            <w:tcBorders>
              <w:top w:val="nil"/>
              <w:left w:val="nil"/>
              <w:bottom w:val="single" w:sz="4" w:space="0" w:color="auto"/>
              <w:right w:val="single" w:sz="4" w:space="0" w:color="auto"/>
            </w:tcBorders>
            <w:shd w:val="clear" w:color="auto" w:fill="auto"/>
            <w:vAlign w:val="center"/>
            <w:hideMark/>
          </w:tcPr>
          <w:p w14:paraId="2674F2A7" w14:textId="77777777" w:rsidR="007C3326" w:rsidRPr="00746E61" w:rsidRDefault="007C332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-16,67%</w:t>
            </w:r>
          </w:p>
        </w:tc>
        <w:tc>
          <w:tcPr>
            <w:tcW w:w="1743" w:type="dxa"/>
            <w:tcBorders>
              <w:top w:val="nil"/>
              <w:left w:val="nil"/>
              <w:bottom w:val="single" w:sz="4" w:space="0" w:color="auto"/>
              <w:right w:val="single" w:sz="4" w:space="0" w:color="auto"/>
            </w:tcBorders>
            <w:shd w:val="clear" w:color="auto" w:fill="auto"/>
            <w:vAlign w:val="center"/>
            <w:hideMark/>
          </w:tcPr>
          <w:p w14:paraId="6F8DC256" w14:textId="77777777" w:rsidR="007C3326" w:rsidRPr="00746E61" w:rsidRDefault="007C332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-5,65%</w:t>
            </w:r>
          </w:p>
        </w:tc>
      </w:tr>
      <w:tr w:rsidR="007C3326" w:rsidRPr="00746E61" w14:paraId="79CDB85F" w14:textId="77777777" w:rsidTr="007C3326">
        <w:trPr>
          <w:trHeight w:val="197"/>
          <w:jc w:val="center"/>
        </w:trPr>
        <w:tc>
          <w:tcPr>
            <w:tcW w:w="3909" w:type="dxa"/>
            <w:tcBorders>
              <w:top w:val="nil"/>
              <w:left w:val="single" w:sz="4" w:space="0" w:color="auto"/>
              <w:bottom w:val="single" w:sz="4" w:space="0" w:color="auto"/>
              <w:right w:val="single" w:sz="4" w:space="0" w:color="auto"/>
            </w:tcBorders>
            <w:shd w:val="clear" w:color="auto" w:fill="auto"/>
            <w:vAlign w:val="center"/>
            <w:hideMark/>
          </w:tcPr>
          <w:p w14:paraId="47AD70F0" w14:textId="77777777" w:rsidR="007C3326" w:rsidRPr="00746E61" w:rsidRDefault="007C3326" w:rsidP="00746E61">
            <w:pPr>
              <w:spacing w:line="276" w:lineRule="auto"/>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Total</w:t>
            </w:r>
          </w:p>
        </w:tc>
        <w:tc>
          <w:tcPr>
            <w:tcW w:w="938" w:type="dxa"/>
            <w:tcBorders>
              <w:top w:val="nil"/>
              <w:left w:val="nil"/>
              <w:bottom w:val="single" w:sz="4" w:space="0" w:color="auto"/>
              <w:right w:val="single" w:sz="4" w:space="0" w:color="auto"/>
            </w:tcBorders>
            <w:shd w:val="clear" w:color="auto" w:fill="auto"/>
            <w:vAlign w:val="center"/>
            <w:hideMark/>
          </w:tcPr>
          <w:p w14:paraId="63D279E8" w14:textId="77777777" w:rsidR="007C3326" w:rsidRPr="00746E61" w:rsidRDefault="007C3326"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377</w:t>
            </w:r>
          </w:p>
        </w:tc>
        <w:tc>
          <w:tcPr>
            <w:tcW w:w="938" w:type="dxa"/>
            <w:tcBorders>
              <w:top w:val="nil"/>
              <w:left w:val="nil"/>
              <w:bottom w:val="single" w:sz="4" w:space="0" w:color="auto"/>
              <w:right w:val="single" w:sz="4" w:space="0" w:color="auto"/>
            </w:tcBorders>
            <w:shd w:val="clear" w:color="auto" w:fill="auto"/>
            <w:vAlign w:val="center"/>
            <w:hideMark/>
          </w:tcPr>
          <w:p w14:paraId="1C9BA781" w14:textId="77777777" w:rsidR="007C3326" w:rsidRPr="00746E61" w:rsidRDefault="007C3326"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382</w:t>
            </w:r>
          </w:p>
        </w:tc>
        <w:tc>
          <w:tcPr>
            <w:tcW w:w="938" w:type="dxa"/>
            <w:tcBorders>
              <w:top w:val="nil"/>
              <w:left w:val="nil"/>
              <w:bottom w:val="single" w:sz="4" w:space="0" w:color="auto"/>
              <w:right w:val="single" w:sz="4" w:space="0" w:color="auto"/>
            </w:tcBorders>
            <w:shd w:val="clear" w:color="auto" w:fill="auto"/>
            <w:vAlign w:val="center"/>
            <w:hideMark/>
          </w:tcPr>
          <w:p w14:paraId="1A75BAC2" w14:textId="77777777" w:rsidR="007C3326" w:rsidRPr="00746E61" w:rsidRDefault="007C3326"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373</w:t>
            </w:r>
          </w:p>
        </w:tc>
        <w:tc>
          <w:tcPr>
            <w:tcW w:w="1743" w:type="dxa"/>
            <w:tcBorders>
              <w:top w:val="nil"/>
              <w:left w:val="nil"/>
              <w:bottom w:val="single" w:sz="4" w:space="0" w:color="auto"/>
              <w:right w:val="single" w:sz="4" w:space="0" w:color="auto"/>
            </w:tcBorders>
            <w:shd w:val="clear" w:color="auto" w:fill="auto"/>
            <w:vAlign w:val="center"/>
            <w:hideMark/>
          </w:tcPr>
          <w:p w14:paraId="318A757A" w14:textId="77777777" w:rsidR="007C3326" w:rsidRPr="00746E61" w:rsidRDefault="007C3326"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-1,13%</w:t>
            </w:r>
          </w:p>
        </w:tc>
        <w:tc>
          <w:tcPr>
            <w:tcW w:w="1743" w:type="dxa"/>
            <w:tcBorders>
              <w:top w:val="nil"/>
              <w:left w:val="nil"/>
              <w:bottom w:val="single" w:sz="4" w:space="0" w:color="auto"/>
              <w:right w:val="single" w:sz="4" w:space="0" w:color="auto"/>
            </w:tcBorders>
            <w:shd w:val="clear" w:color="auto" w:fill="auto"/>
            <w:vAlign w:val="center"/>
            <w:hideMark/>
          </w:tcPr>
          <w:p w14:paraId="27C98A5C" w14:textId="77777777" w:rsidR="007C3326" w:rsidRPr="00746E61" w:rsidRDefault="007C3326"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-2,28%</w:t>
            </w:r>
          </w:p>
        </w:tc>
      </w:tr>
    </w:tbl>
    <w:p w14:paraId="0A9D11A4" w14:textId="0D563D52" w:rsidR="00747468" w:rsidRPr="00746E61" w:rsidRDefault="0059268A" w:rsidP="00746E61">
      <w:pPr>
        <w:spacing w:line="276" w:lineRule="auto"/>
        <w:jc w:val="center"/>
        <w:rPr>
          <w:rFonts w:ascii="Book Antiqua" w:hAnsi="Book Antiqua"/>
          <w:lang w:val="es-ES_tradnl" w:eastAsia="en-US"/>
        </w:rPr>
      </w:pPr>
      <w:r w:rsidRPr="00746E61">
        <w:rPr>
          <w:rFonts w:ascii="Book Antiqua" w:hAnsi="Book Antiqua" w:cs="Calibri"/>
          <w:b/>
          <w:bCs/>
          <w:color w:val="000000"/>
          <w:sz w:val="20"/>
          <w:szCs w:val="20"/>
          <w:lang w:eastAsia="es-CR"/>
        </w:rPr>
        <w:t>Fuente:</w:t>
      </w:r>
      <w:r w:rsidRPr="00746E61">
        <w:rPr>
          <w:rFonts w:ascii="Book Antiqua" w:hAnsi="Book Antiqua" w:cs="Calibri"/>
          <w:color w:val="000000"/>
          <w:sz w:val="20"/>
          <w:szCs w:val="20"/>
          <w:lang w:eastAsia="es-CR"/>
        </w:rPr>
        <w:t xml:space="preserve"> Elaboración propia a partir de las estadísticas del Subproceso de Estadística</w:t>
      </w:r>
    </w:p>
    <w:p w14:paraId="0F19728E" w14:textId="77777777" w:rsidR="00DD7CC3" w:rsidRPr="00746E61" w:rsidRDefault="00DD7CC3" w:rsidP="00746E61">
      <w:pPr>
        <w:spacing w:line="276" w:lineRule="auto"/>
        <w:rPr>
          <w:rFonts w:ascii="Book Antiqua" w:hAnsi="Book Antiqua"/>
          <w:lang w:val="es-ES_tradnl" w:eastAsia="en-US"/>
        </w:rPr>
      </w:pPr>
    </w:p>
    <w:p w14:paraId="45DA2BFF" w14:textId="22D9AF34" w:rsidR="00BE0AC4" w:rsidRPr="00746E61" w:rsidRDefault="6DEC8BE5" w:rsidP="57A79FF7">
      <w:pPr>
        <w:spacing w:line="276" w:lineRule="auto"/>
        <w:outlineLvl w:val="2"/>
        <w:rPr>
          <w:b/>
          <w:lang w:val="es-ES" w:eastAsia="en-US"/>
        </w:rPr>
      </w:pPr>
      <w:r w:rsidRPr="57A79FF7">
        <w:rPr>
          <w:rFonts w:ascii="Book Antiqua" w:hAnsi="Book Antiqua"/>
          <w:b/>
          <w:bCs/>
          <w:lang w:val="es-ES" w:eastAsia="en-US"/>
        </w:rPr>
        <w:t xml:space="preserve">3.5.3 </w:t>
      </w:r>
      <w:r w:rsidR="00BE0AC4" w:rsidRPr="57A79FF7">
        <w:rPr>
          <w:rFonts w:ascii="Book Antiqua" w:hAnsi="Book Antiqua"/>
          <w:b/>
          <w:lang w:val="es-ES" w:eastAsia="en-US"/>
        </w:rPr>
        <w:t>Circulante en trámite</w:t>
      </w:r>
    </w:p>
    <w:p w14:paraId="5DD6B791" w14:textId="77777777" w:rsidR="00BE0AC4" w:rsidRPr="00746E61" w:rsidRDefault="00BE0AC4" w:rsidP="00746E61">
      <w:pPr>
        <w:spacing w:line="276" w:lineRule="auto"/>
        <w:jc w:val="center"/>
        <w:rPr>
          <w:rFonts w:ascii="Book Antiqua" w:hAnsi="Book Antiqua"/>
          <w:b/>
          <w:bCs/>
          <w:lang w:val="es-ES_tradnl" w:eastAsia="en-US"/>
        </w:rPr>
      </w:pPr>
    </w:p>
    <w:p w14:paraId="0E0EAA50" w14:textId="42A094FF" w:rsidR="005611B3" w:rsidRPr="00746E61" w:rsidRDefault="005611B3" w:rsidP="00746E61">
      <w:pPr>
        <w:spacing w:line="276" w:lineRule="auto"/>
        <w:jc w:val="both"/>
        <w:rPr>
          <w:rFonts w:ascii="Book Antiqua" w:hAnsi="Book Antiqua" w:cs="Arial"/>
        </w:rPr>
      </w:pPr>
      <w:r w:rsidRPr="00746E61">
        <w:rPr>
          <w:rFonts w:ascii="Book Antiqua" w:hAnsi="Book Antiqua" w:cs="Arial"/>
        </w:rPr>
        <w:t xml:space="preserve">Referente a los expedientes activos, se refleja </w:t>
      </w:r>
      <w:r w:rsidR="00C6351F" w:rsidRPr="00746E61">
        <w:rPr>
          <w:rFonts w:ascii="Book Antiqua" w:hAnsi="Book Antiqua" w:cs="Arial"/>
        </w:rPr>
        <w:t>al concluir</w:t>
      </w:r>
      <w:r w:rsidRPr="00746E61">
        <w:rPr>
          <w:rFonts w:ascii="Book Antiqua" w:hAnsi="Book Antiqua" w:cs="Arial"/>
        </w:rPr>
        <w:t xml:space="preserve"> </w:t>
      </w:r>
      <w:r w:rsidR="00DB65C0" w:rsidRPr="00746E61">
        <w:rPr>
          <w:rFonts w:ascii="Book Antiqua" w:hAnsi="Book Antiqua" w:cs="Arial"/>
        </w:rPr>
        <w:t>setiembre</w:t>
      </w:r>
      <w:r w:rsidRPr="00746E61">
        <w:rPr>
          <w:rFonts w:ascii="Book Antiqua" w:hAnsi="Book Antiqua" w:cs="Arial"/>
        </w:rPr>
        <w:t xml:space="preserve"> del presente año, una disminución general del </w:t>
      </w:r>
      <w:bookmarkStart w:id="17" w:name="_Hlk87893522"/>
      <w:r w:rsidRPr="00746E61">
        <w:rPr>
          <w:rFonts w:ascii="Book Antiqua" w:hAnsi="Book Antiqua" w:cs="Arial"/>
        </w:rPr>
        <w:t>3</w:t>
      </w:r>
      <w:r w:rsidR="00DB65C0" w:rsidRPr="00746E61">
        <w:rPr>
          <w:rFonts w:ascii="Book Antiqua" w:hAnsi="Book Antiqua" w:cs="Arial"/>
        </w:rPr>
        <w:t>3</w:t>
      </w:r>
      <w:r w:rsidR="00F54491" w:rsidRPr="00746E61">
        <w:rPr>
          <w:rFonts w:ascii="Book Antiqua" w:hAnsi="Book Antiqua" w:cs="Arial"/>
        </w:rPr>
        <w:t>.</w:t>
      </w:r>
      <w:r w:rsidR="00DB65C0" w:rsidRPr="00746E61">
        <w:rPr>
          <w:rFonts w:ascii="Book Antiqua" w:hAnsi="Book Antiqua" w:cs="Arial"/>
        </w:rPr>
        <w:t>64</w:t>
      </w:r>
      <w:r w:rsidRPr="00746E61">
        <w:rPr>
          <w:rFonts w:ascii="Book Antiqua" w:hAnsi="Book Antiqua" w:cs="Arial"/>
        </w:rPr>
        <w:t>% (en 4</w:t>
      </w:r>
      <w:r w:rsidR="00DB65C0" w:rsidRPr="00746E61">
        <w:rPr>
          <w:rFonts w:ascii="Book Antiqua" w:hAnsi="Book Antiqua" w:cs="Arial"/>
        </w:rPr>
        <w:t>36</w:t>
      </w:r>
      <w:r w:rsidRPr="00746E61">
        <w:rPr>
          <w:rFonts w:ascii="Book Antiqua" w:hAnsi="Book Antiqua" w:cs="Arial"/>
        </w:rPr>
        <w:t xml:space="preserve"> asuntos). </w:t>
      </w:r>
      <w:bookmarkEnd w:id="17"/>
      <w:r w:rsidRPr="00746E61">
        <w:rPr>
          <w:rFonts w:ascii="Book Antiqua" w:hAnsi="Book Antiqua" w:cs="Arial"/>
        </w:rPr>
        <w:t xml:space="preserve">Es importante destacar, que los cuatro </w:t>
      </w:r>
      <w:r w:rsidR="00625613" w:rsidRPr="00746E61">
        <w:rPr>
          <w:rFonts w:ascii="Book Antiqua" w:hAnsi="Book Antiqua" w:cs="Arial"/>
        </w:rPr>
        <w:t>T</w:t>
      </w:r>
      <w:r w:rsidRPr="00746E61">
        <w:rPr>
          <w:rFonts w:ascii="Book Antiqua" w:hAnsi="Book Antiqua" w:cs="Arial"/>
        </w:rPr>
        <w:t xml:space="preserve">ribunales de </w:t>
      </w:r>
      <w:r w:rsidR="00625613" w:rsidRPr="00746E61">
        <w:rPr>
          <w:rFonts w:ascii="Book Antiqua" w:hAnsi="Book Antiqua" w:cs="Arial"/>
        </w:rPr>
        <w:t>A</w:t>
      </w:r>
      <w:r w:rsidRPr="00746E61">
        <w:rPr>
          <w:rFonts w:ascii="Book Antiqua" w:hAnsi="Book Antiqua" w:cs="Arial"/>
        </w:rPr>
        <w:t>pelación logran disminuir de forma considerable su circulante. Lo anterior, en relación con el año 2019.</w:t>
      </w:r>
      <w:r w:rsidR="00560367" w:rsidRPr="00746E61">
        <w:rPr>
          <w:rFonts w:ascii="Book Antiqua" w:hAnsi="Book Antiqua" w:cs="Arial"/>
        </w:rPr>
        <w:t xml:space="preserve"> Por otro lado, en comparación con el año </w:t>
      </w:r>
      <w:r w:rsidR="00DB65C0" w:rsidRPr="00746E61">
        <w:rPr>
          <w:rFonts w:ascii="Book Antiqua" w:hAnsi="Book Antiqua" w:cs="Arial"/>
        </w:rPr>
        <w:t>2020</w:t>
      </w:r>
      <w:r w:rsidR="00560367" w:rsidRPr="00746E61">
        <w:rPr>
          <w:rFonts w:ascii="Book Antiqua" w:hAnsi="Book Antiqua" w:cs="Arial"/>
        </w:rPr>
        <w:t xml:space="preserve">, se visualiza un leve incremento general de los activos de un </w:t>
      </w:r>
      <w:r w:rsidR="00DB65C0" w:rsidRPr="00746E61">
        <w:rPr>
          <w:rFonts w:ascii="Book Antiqua" w:hAnsi="Book Antiqua" w:cs="Arial"/>
        </w:rPr>
        <w:t>3</w:t>
      </w:r>
      <w:r w:rsidR="00560367" w:rsidRPr="00746E61">
        <w:rPr>
          <w:rFonts w:ascii="Book Antiqua" w:hAnsi="Book Antiqua" w:cs="Arial"/>
        </w:rPr>
        <w:t>.</w:t>
      </w:r>
      <w:r w:rsidR="00DB65C0" w:rsidRPr="00746E61">
        <w:rPr>
          <w:rFonts w:ascii="Book Antiqua" w:hAnsi="Book Antiqua" w:cs="Arial"/>
        </w:rPr>
        <w:t>99</w:t>
      </w:r>
      <w:r w:rsidR="00560367" w:rsidRPr="00746E61">
        <w:rPr>
          <w:rFonts w:ascii="Book Antiqua" w:hAnsi="Book Antiqua" w:cs="Arial"/>
        </w:rPr>
        <w:t>%.</w:t>
      </w:r>
    </w:p>
    <w:p w14:paraId="56AC11DA" w14:textId="77777777" w:rsidR="00BE0AC4" w:rsidRPr="00746E61" w:rsidRDefault="00BE0AC4" w:rsidP="00746E61">
      <w:pPr>
        <w:spacing w:line="276" w:lineRule="auto"/>
        <w:jc w:val="center"/>
        <w:rPr>
          <w:rFonts w:ascii="Book Antiqua" w:hAnsi="Book Antiqua"/>
          <w:lang w:val="es-ES_tradnl" w:eastAsia="en-US"/>
        </w:rPr>
      </w:pPr>
    </w:p>
    <w:p w14:paraId="2235CEE2" w14:textId="0F8BBAA5" w:rsidR="00BF7F5F" w:rsidRDefault="00BE0AC4" w:rsidP="00746E61">
      <w:pPr>
        <w:widowControl w:val="0"/>
        <w:autoSpaceDE w:val="0"/>
        <w:spacing w:line="276" w:lineRule="auto"/>
        <w:ind w:right="51"/>
        <w:rPr>
          <w:rFonts w:ascii="Book Antiqua" w:hAnsi="Book Antiqua" w:cs="Arial"/>
        </w:rPr>
      </w:pPr>
      <w:r w:rsidRPr="00746E61">
        <w:rPr>
          <w:rFonts w:ascii="Book Antiqua" w:hAnsi="Book Antiqua" w:cs="Arial"/>
        </w:rPr>
        <w:t xml:space="preserve">En el </w:t>
      </w:r>
      <w:r w:rsidRPr="00746E61">
        <w:rPr>
          <w:rFonts w:ascii="Book Antiqua" w:hAnsi="Book Antiqua" w:cs="Arial"/>
          <w:b/>
          <w:bCs/>
        </w:rPr>
        <w:t>Cuadro 27</w:t>
      </w:r>
      <w:r w:rsidRPr="00746E61">
        <w:rPr>
          <w:rFonts w:ascii="Book Antiqua" w:hAnsi="Book Antiqua" w:cs="Arial"/>
        </w:rPr>
        <w:t>, muestra lo expuesto.</w:t>
      </w:r>
    </w:p>
    <w:p w14:paraId="7E83F6F2" w14:textId="77777777" w:rsidR="00BF7F5F" w:rsidRDefault="00BF7F5F">
      <w:pPr>
        <w:rPr>
          <w:rFonts w:ascii="Book Antiqua" w:hAnsi="Book Antiqua" w:cs="Arial"/>
        </w:rPr>
      </w:pPr>
      <w:r>
        <w:rPr>
          <w:rFonts w:ascii="Book Antiqua" w:hAnsi="Book Antiqua" w:cs="Arial"/>
        </w:rPr>
        <w:br w:type="page"/>
      </w:r>
    </w:p>
    <w:p w14:paraId="04035976" w14:textId="77777777" w:rsidR="00BE0AC4" w:rsidRPr="00746E61" w:rsidRDefault="00BE0AC4" w:rsidP="00746E61">
      <w:pPr>
        <w:widowControl w:val="0"/>
        <w:autoSpaceDE w:val="0"/>
        <w:spacing w:line="276" w:lineRule="auto"/>
        <w:ind w:right="51"/>
        <w:rPr>
          <w:rFonts w:ascii="Book Antiqua" w:hAnsi="Book Antiqua" w:cs="Arial"/>
          <w:b/>
          <w:bCs/>
        </w:rPr>
      </w:pPr>
    </w:p>
    <w:p w14:paraId="054E8328" w14:textId="77777777" w:rsidR="00BE0AC4" w:rsidRPr="00746E61" w:rsidRDefault="00BE0AC4" w:rsidP="00746E61">
      <w:pPr>
        <w:spacing w:line="276" w:lineRule="auto"/>
        <w:jc w:val="center"/>
        <w:rPr>
          <w:rFonts w:ascii="Book Antiqua" w:hAnsi="Book Antiqua"/>
          <w:lang w:val="es-ES_tradnl" w:eastAsia="en-US"/>
        </w:rPr>
      </w:pPr>
    </w:p>
    <w:p w14:paraId="300A3AD9" w14:textId="15F80E19" w:rsidR="00BE0AC4" w:rsidRPr="00746E61" w:rsidRDefault="00BE0AC4" w:rsidP="00746E61">
      <w:pPr>
        <w:widowControl w:val="0"/>
        <w:autoSpaceDE w:val="0"/>
        <w:spacing w:line="276" w:lineRule="auto"/>
        <w:ind w:right="51"/>
        <w:jc w:val="center"/>
        <w:rPr>
          <w:rFonts w:ascii="Book Antiqua" w:hAnsi="Book Antiqua" w:cs="Arial"/>
          <w:b/>
          <w:bCs/>
        </w:rPr>
      </w:pPr>
      <w:r w:rsidRPr="00746E61">
        <w:rPr>
          <w:rFonts w:ascii="Book Antiqua" w:hAnsi="Book Antiqua" w:cs="Arial"/>
          <w:b/>
          <w:bCs/>
        </w:rPr>
        <w:t>Cuadro 27</w:t>
      </w:r>
    </w:p>
    <w:p w14:paraId="13805BD8" w14:textId="222375A2" w:rsidR="00BE0AC4" w:rsidRPr="00746E61" w:rsidRDefault="00BE0AC4" w:rsidP="00746E61">
      <w:pPr>
        <w:widowControl w:val="0"/>
        <w:autoSpaceDE w:val="0"/>
        <w:spacing w:line="276" w:lineRule="auto"/>
        <w:ind w:right="51"/>
        <w:jc w:val="center"/>
        <w:rPr>
          <w:rFonts w:ascii="Book Antiqua" w:hAnsi="Book Antiqua" w:cs="Arial"/>
        </w:rPr>
      </w:pPr>
      <w:r w:rsidRPr="00746E61">
        <w:rPr>
          <w:rFonts w:ascii="Book Antiqua" w:hAnsi="Book Antiqua" w:cs="Arial"/>
        </w:rPr>
        <w:t xml:space="preserve">Cantidad de circulante en trámite de los </w:t>
      </w:r>
      <w:r w:rsidR="00F2319A" w:rsidRPr="00746E61">
        <w:rPr>
          <w:rFonts w:ascii="Book Antiqua" w:hAnsi="Book Antiqua" w:cs="Arial"/>
        </w:rPr>
        <w:t>Tribunales de Apelación</w:t>
      </w:r>
    </w:p>
    <w:p w14:paraId="1188B52D" w14:textId="09CC1706" w:rsidR="0059268A" w:rsidRPr="00746E61" w:rsidRDefault="00BE0AC4" w:rsidP="00746E61">
      <w:pPr>
        <w:widowControl w:val="0"/>
        <w:autoSpaceDE w:val="0"/>
        <w:spacing w:line="276" w:lineRule="auto"/>
        <w:ind w:right="51"/>
        <w:jc w:val="center"/>
        <w:rPr>
          <w:rFonts w:ascii="Book Antiqua" w:hAnsi="Book Antiqua" w:cs="Arial"/>
        </w:rPr>
      </w:pPr>
      <w:r w:rsidRPr="00746E61">
        <w:rPr>
          <w:rFonts w:ascii="Book Antiqua" w:hAnsi="Book Antiqua" w:cs="Arial"/>
        </w:rPr>
        <w:t xml:space="preserve">Al finalizar los años 2019, 2020 y mes de </w:t>
      </w:r>
      <w:r w:rsidR="00DB65C0" w:rsidRPr="00746E61">
        <w:rPr>
          <w:rFonts w:ascii="Book Antiqua" w:hAnsi="Book Antiqua" w:cs="Arial"/>
        </w:rPr>
        <w:t>setiembre</w:t>
      </w:r>
      <w:r w:rsidRPr="00746E61">
        <w:rPr>
          <w:rFonts w:ascii="Book Antiqua" w:hAnsi="Book Antiqua" w:cs="Arial"/>
        </w:rPr>
        <w:t xml:space="preserve"> de 2021</w:t>
      </w:r>
    </w:p>
    <w:tbl>
      <w:tblPr>
        <w:tblW w:w="10607" w:type="dxa"/>
        <w:jc w:val="center"/>
        <w:tblCellMar>
          <w:left w:w="70" w:type="dxa"/>
          <w:right w:w="70" w:type="dxa"/>
        </w:tblCellMar>
        <w:tblLook w:val="04A0" w:firstRow="1" w:lastRow="0" w:firstColumn="1" w:lastColumn="0" w:noHBand="0" w:noVBand="1"/>
      </w:tblPr>
      <w:tblGrid>
        <w:gridCol w:w="4210"/>
        <w:gridCol w:w="905"/>
        <w:gridCol w:w="905"/>
        <w:gridCol w:w="905"/>
        <w:gridCol w:w="1841"/>
        <w:gridCol w:w="1841"/>
      </w:tblGrid>
      <w:tr w:rsidR="00DB65C0" w:rsidRPr="00746E61" w14:paraId="3DAD1A0B" w14:textId="77777777" w:rsidTr="00DB65C0">
        <w:trPr>
          <w:trHeight w:val="549"/>
          <w:jc w:val="center"/>
        </w:trPr>
        <w:tc>
          <w:tcPr>
            <w:tcW w:w="4210"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5DCD5587" w14:textId="77777777" w:rsidR="00DB65C0" w:rsidRPr="00746E61" w:rsidRDefault="00DB65C0" w:rsidP="00746E61">
            <w:pPr>
              <w:spacing w:line="276" w:lineRule="auto"/>
              <w:jc w:val="center"/>
              <w:rPr>
                <w:rFonts w:ascii="Book Antiqua" w:hAnsi="Book Antiqua" w:cs="Calibri"/>
                <w:b/>
                <w:bCs/>
                <w:color w:val="FFFFFF"/>
                <w:sz w:val="16"/>
                <w:szCs w:val="16"/>
                <w:lang w:eastAsia="es-CR"/>
              </w:rPr>
            </w:pPr>
            <w:r w:rsidRPr="00746E61">
              <w:rPr>
                <w:rFonts w:ascii="Book Antiqua" w:hAnsi="Book Antiqua" w:cs="Calibri"/>
                <w:b/>
                <w:bCs/>
                <w:color w:val="FFFFFF"/>
                <w:sz w:val="16"/>
                <w:szCs w:val="16"/>
                <w:lang w:eastAsia="es-CR"/>
              </w:rPr>
              <w:t>Despachos</w:t>
            </w:r>
          </w:p>
        </w:tc>
        <w:tc>
          <w:tcPr>
            <w:tcW w:w="881" w:type="dxa"/>
            <w:tcBorders>
              <w:top w:val="single" w:sz="4" w:space="0" w:color="auto"/>
              <w:left w:val="nil"/>
              <w:bottom w:val="single" w:sz="4" w:space="0" w:color="auto"/>
              <w:right w:val="single" w:sz="4" w:space="0" w:color="auto"/>
            </w:tcBorders>
            <w:shd w:val="clear" w:color="000000" w:fill="305496"/>
            <w:vAlign w:val="center"/>
            <w:hideMark/>
          </w:tcPr>
          <w:p w14:paraId="29570D43" w14:textId="77777777" w:rsidR="00DB65C0" w:rsidRPr="00746E61" w:rsidRDefault="00DB65C0" w:rsidP="00746E61">
            <w:pPr>
              <w:spacing w:line="276" w:lineRule="auto"/>
              <w:jc w:val="center"/>
              <w:rPr>
                <w:rFonts w:ascii="Book Antiqua" w:hAnsi="Book Antiqua" w:cs="Calibri"/>
                <w:b/>
                <w:bCs/>
                <w:color w:val="FFFFFF"/>
                <w:sz w:val="16"/>
                <w:szCs w:val="16"/>
                <w:lang w:eastAsia="es-CR"/>
              </w:rPr>
            </w:pPr>
            <w:r w:rsidRPr="00746E61">
              <w:rPr>
                <w:rFonts w:ascii="Book Antiqua" w:hAnsi="Book Antiqua" w:cs="Calibri"/>
                <w:b/>
                <w:bCs/>
                <w:color w:val="FFFFFF"/>
                <w:sz w:val="16"/>
                <w:szCs w:val="16"/>
                <w:lang w:eastAsia="es-CR"/>
              </w:rPr>
              <w:t>Circulante en Trámite 2019</w:t>
            </w:r>
          </w:p>
        </w:tc>
        <w:tc>
          <w:tcPr>
            <w:tcW w:w="881" w:type="dxa"/>
            <w:tcBorders>
              <w:top w:val="single" w:sz="4" w:space="0" w:color="auto"/>
              <w:left w:val="nil"/>
              <w:bottom w:val="single" w:sz="4" w:space="0" w:color="auto"/>
              <w:right w:val="single" w:sz="4" w:space="0" w:color="auto"/>
            </w:tcBorders>
            <w:shd w:val="clear" w:color="000000" w:fill="305496"/>
            <w:vAlign w:val="center"/>
            <w:hideMark/>
          </w:tcPr>
          <w:p w14:paraId="0BA4886D" w14:textId="77777777" w:rsidR="00DB65C0" w:rsidRPr="00746E61" w:rsidRDefault="00DB65C0" w:rsidP="00746E61">
            <w:pPr>
              <w:spacing w:line="276" w:lineRule="auto"/>
              <w:jc w:val="center"/>
              <w:rPr>
                <w:rFonts w:ascii="Book Antiqua" w:hAnsi="Book Antiqua" w:cs="Calibri"/>
                <w:b/>
                <w:bCs/>
                <w:color w:val="FFFFFF"/>
                <w:sz w:val="16"/>
                <w:szCs w:val="16"/>
                <w:lang w:eastAsia="es-CR"/>
              </w:rPr>
            </w:pPr>
            <w:r w:rsidRPr="00746E61">
              <w:rPr>
                <w:rFonts w:ascii="Book Antiqua" w:hAnsi="Book Antiqua" w:cs="Calibri"/>
                <w:b/>
                <w:bCs/>
                <w:color w:val="FFFFFF"/>
                <w:sz w:val="16"/>
                <w:szCs w:val="16"/>
                <w:lang w:eastAsia="es-CR"/>
              </w:rPr>
              <w:t>Circulante en Trámite 2020</w:t>
            </w:r>
          </w:p>
        </w:tc>
        <w:tc>
          <w:tcPr>
            <w:tcW w:w="881" w:type="dxa"/>
            <w:tcBorders>
              <w:top w:val="single" w:sz="4" w:space="0" w:color="auto"/>
              <w:left w:val="nil"/>
              <w:bottom w:val="single" w:sz="4" w:space="0" w:color="auto"/>
              <w:right w:val="single" w:sz="4" w:space="0" w:color="auto"/>
            </w:tcBorders>
            <w:shd w:val="clear" w:color="000000" w:fill="305496"/>
            <w:vAlign w:val="center"/>
            <w:hideMark/>
          </w:tcPr>
          <w:p w14:paraId="42128335" w14:textId="77777777" w:rsidR="00DB65C0" w:rsidRPr="00746E61" w:rsidRDefault="00DB65C0" w:rsidP="00746E61">
            <w:pPr>
              <w:spacing w:line="276" w:lineRule="auto"/>
              <w:jc w:val="center"/>
              <w:rPr>
                <w:rFonts w:ascii="Book Antiqua" w:hAnsi="Book Antiqua" w:cs="Calibri"/>
                <w:b/>
                <w:bCs/>
                <w:color w:val="FFFFFF"/>
                <w:sz w:val="16"/>
                <w:szCs w:val="16"/>
                <w:lang w:eastAsia="es-CR"/>
              </w:rPr>
            </w:pPr>
            <w:r w:rsidRPr="00746E61">
              <w:rPr>
                <w:rFonts w:ascii="Book Antiqua" w:hAnsi="Book Antiqua" w:cs="Calibri"/>
                <w:b/>
                <w:bCs/>
                <w:color w:val="FFFFFF"/>
                <w:sz w:val="16"/>
                <w:szCs w:val="16"/>
                <w:lang w:eastAsia="es-CR"/>
              </w:rPr>
              <w:t>Circulante en Trámite 2021</w:t>
            </w:r>
          </w:p>
        </w:tc>
        <w:tc>
          <w:tcPr>
            <w:tcW w:w="1877" w:type="dxa"/>
            <w:tcBorders>
              <w:top w:val="single" w:sz="4" w:space="0" w:color="auto"/>
              <w:left w:val="nil"/>
              <w:bottom w:val="single" w:sz="4" w:space="0" w:color="auto"/>
              <w:right w:val="single" w:sz="4" w:space="0" w:color="auto"/>
            </w:tcBorders>
            <w:shd w:val="clear" w:color="000000" w:fill="DDEBF7"/>
            <w:vAlign w:val="center"/>
            <w:hideMark/>
          </w:tcPr>
          <w:p w14:paraId="5B405847" w14:textId="77777777" w:rsidR="00DB65C0" w:rsidRPr="00746E61" w:rsidRDefault="00DB65C0" w:rsidP="00746E61">
            <w:pPr>
              <w:spacing w:line="276" w:lineRule="auto"/>
              <w:jc w:val="center"/>
              <w:rPr>
                <w:rFonts w:ascii="Book Antiqua" w:hAnsi="Book Antiqua" w:cs="Calibri"/>
                <w:b/>
                <w:bCs/>
                <w:color w:val="3A3838"/>
                <w:sz w:val="16"/>
                <w:szCs w:val="16"/>
                <w:lang w:eastAsia="es-CR"/>
              </w:rPr>
            </w:pPr>
            <w:r w:rsidRPr="00746E61">
              <w:rPr>
                <w:rFonts w:ascii="Book Antiqua" w:hAnsi="Book Antiqua" w:cs="Calibri"/>
                <w:b/>
                <w:bCs/>
                <w:color w:val="3A3838"/>
                <w:sz w:val="16"/>
                <w:szCs w:val="16"/>
                <w:lang w:eastAsia="es-CR"/>
              </w:rPr>
              <w:t>Aumento/disminución 2021vs2019</w:t>
            </w:r>
          </w:p>
        </w:tc>
        <w:tc>
          <w:tcPr>
            <w:tcW w:w="1877" w:type="dxa"/>
            <w:tcBorders>
              <w:top w:val="single" w:sz="4" w:space="0" w:color="auto"/>
              <w:left w:val="nil"/>
              <w:bottom w:val="single" w:sz="4" w:space="0" w:color="auto"/>
              <w:right w:val="single" w:sz="4" w:space="0" w:color="auto"/>
            </w:tcBorders>
            <w:shd w:val="clear" w:color="000000" w:fill="DDEBF7"/>
            <w:vAlign w:val="center"/>
            <w:hideMark/>
          </w:tcPr>
          <w:p w14:paraId="4E877555" w14:textId="77777777" w:rsidR="00DB65C0" w:rsidRPr="00746E61" w:rsidRDefault="00DB65C0" w:rsidP="00746E61">
            <w:pPr>
              <w:spacing w:line="276" w:lineRule="auto"/>
              <w:jc w:val="center"/>
              <w:rPr>
                <w:rFonts w:ascii="Book Antiqua" w:hAnsi="Book Antiqua" w:cs="Calibri"/>
                <w:b/>
                <w:bCs/>
                <w:color w:val="3A3838"/>
                <w:sz w:val="16"/>
                <w:szCs w:val="16"/>
                <w:lang w:eastAsia="es-CR"/>
              </w:rPr>
            </w:pPr>
            <w:r w:rsidRPr="00746E61">
              <w:rPr>
                <w:rFonts w:ascii="Book Antiqua" w:hAnsi="Book Antiqua" w:cs="Calibri"/>
                <w:b/>
                <w:bCs/>
                <w:color w:val="3A3838"/>
                <w:sz w:val="16"/>
                <w:szCs w:val="16"/>
                <w:lang w:eastAsia="es-CR"/>
              </w:rPr>
              <w:t>Aumento/disminución 2021vs2020</w:t>
            </w:r>
          </w:p>
        </w:tc>
      </w:tr>
      <w:tr w:rsidR="00DB65C0" w:rsidRPr="00746E61" w14:paraId="3E5DB7FD" w14:textId="77777777" w:rsidTr="00DB65C0">
        <w:trPr>
          <w:trHeight w:val="204"/>
          <w:jc w:val="center"/>
        </w:trPr>
        <w:tc>
          <w:tcPr>
            <w:tcW w:w="4210" w:type="dxa"/>
            <w:tcBorders>
              <w:top w:val="nil"/>
              <w:left w:val="single" w:sz="4" w:space="0" w:color="auto"/>
              <w:bottom w:val="single" w:sz="4" w:space="0" w:color="auto"/>
              <w:right w:val="single" w:sz="4" w:space="0" w:color="auto"/>
            </w:tcBorders>
            <w:shd w:val="clear" w:color="auto" w:fill="auto"/>
            <w:noWrap/>
            <w:vAlign w:val="center"/>
            <w:hideMark/>
          </w:tcPr>
          <w:p w14:paraId="34CCDB82" w14:textId="77777777" w:rsidR="00DB65C0" w:rsidRPr="00746E61" w:rsidRDefault="00DB65C0"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de Apelación de la Sentencia de Santa Cruz</w:t>
            </w:r>
          </w:p>
        </w:tc>
        <w:tc>
          <w:tcPr>
            <w:tcW w:w="881" w:type="dxa"/>
            <w:tcBorders>
              <w:top w:val="nil"/>
              <w:left w:val="nil"/>
              <w:bottom w:val="single" w:sz="4" w:space="0" w:color="auto"/>
              <w:right w:val="single" w:sz="4" w:space="0" w:color="auto"/>
            </w:tcBorders>
            <w:shd w:val="clear" w:color="auto" w:fill="auto"/>
            <w:noWrap/>
            <w:vAlign w:val="center"/>
            <w:hideMark/>
          </w:tcPr>
          <w:p w14:paraId="320DD6F4" w14:textId="77777777" w:rsidR="00DB65C0" w:rsidRPr="00746E61" w:rsidRDefault="00DB65C0"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131</w:t>
            </w:r>
          </w:p>
        </w:tc>
        <w:tc>
          <w:tcPr>
            <w:tcW w:w="881" w:type="dxa"/>
            <w:tcBorders>
              <w:top w:val="nil"/>
              <w:left w:val="nil"/>
              <w:bottom w:val="single" w:sz="4" w:space="0" w:color="auto"/>
              <w:right w:val="single" w:sz="4" w:space="0" w:color="auto"/>
            </w:tcBorders>
            <w:shd w:val="clear" w:color="auto" w:fill="auto"/>
            <w:noWrap/>
            <w:vAlign w:val="center"/>
            <w:hideMark/>
          </w:tcPr>
          <w:p w14:paraId="57FC287A" w14:textId="77777777" w:rsidR="00DB65C0" w:rsidRPr="00746E61" w:rsidRDefault="00DB65C0"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84</w:t>
            </w:r>
          </w:p>
        </w:tc>
        <w:tc>
          <w:tcPr>
            <w:tcW w:w="881" w:type="dxa"/>
            <w:tcBorders>
              <w:top w:val="nil"/>
              <w:left w:val="nil"/>
              <w:bottom w:val="single" w:sz="4" w:space="0" w:color="auto"/>
              <w:right w:val="single" w:sz="4" w:space="0" w:color="auto"/>
            </w:tcBorders>
            <w:shd w:val="clear" w:color="auto" w:fill="auto"/>
            <w:noWrap/>
            <w:vAlign w:val="center"/>
            <w:hideMark/>
          </w:tcPr>
          <w:p w14:paraId="7FA9C85A" w14:textId="77777777" w:rsidR="00DB65C0" w:rsidRPr="00746E61" w:rsidRDefault="00DB65C0"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98</w:t>
            </w:r>
          </w:p>
        </w:tc>
        <w:tc>
          <w:tcPr>
            <w:tcW w:w="1877" w:type="dxa"/>
            <w:tcBorders>
              <w:top w:val="nil"/>
              <w:left w:val="nil"/>
              <w:bottom w:val="single" w:sz="4" w:space="0" w:color="auto"/>
              <w:right w:val="single" w:sz="4" w:space="0" w:color="auto"/>
            </w:tcBorders>
            <w:shd w:val="clear" w:color="auto" w:fill="auto"/>
            <w:vAlign w:val="center"/>
            <w:hideMark/>
          </w:tcPr>
          <w:p w14:paraId="2F782473" w14:textId="77777777" w:rsidR="00DB65C0" w:rsidRPr="00746E61" w:rsidRDefault="00DB65C0"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-25,19%</w:t>
            </w:r>
          </w:p>
        </w:tc>
        <w:tc>
          <w:tcPr>
            <w:tcW w:w="1877" w:type="dxa"/>
            <w:tcBorders>
              <w:top w:val="nil"/>
              <w:left w:val="nil"/>
              <w:bottom w:val="single" w:sz="4" w:space="0" w:color="auto"/>
              <w:right w:val="single" w:sz="4" w:space="0" w:color="auto"/>
            </w:tcBorders>
            <w:shd w:val="clear" w:color="auto" w:fill="auto"/>
            <w:vAlign w:val="center"/>
            <w:hideMark/>
          </w:tcPr>
          <w:p w14:paraId="2F1B1E14" w14:textId="77777777" w:rsidR="00DB65C0" w:rsidRPr="00746E61" w:rsidRDefault="00DB65C0"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16,67%</w:t>
            </w:r>
          </w:p>
        </w:tc>
      </w:tr>
      <w:tr w:rsidR="00DB65C0" w:rsidRPr="00746E61" w14:paraId="6B4903EC" w14:textId="77777777" w:rsidTr="00DB65C0">
        <w:trPr>
          <w:trHeight w:val="204"/>
          <w:jc w:val="center"/>
        </w:trPr>
        <w:tc>
          <w:tcPr>
            <w:tcW w:w="4210" w:type="dxa"/>
            <w:tcBorders>
              <w:top w:val="nil"/>
              <w:left w:val="single" w:sz="4" w:space="0" w:color="auto"/>
              <w:bottom w:val="single" w:sz="4" w:space="0" w:color="auto"/>
              <w:right w:val="single" w:sz="4" w:space="0" w:color="auto"/>
            </w:tcBorders>
            <w:shd w:val="clear" w:color="auto" w:fill="auto"/>
            <w:noWrap/>
            <w:vAlign w:val="center"/>
            <w:hideMark/>
          </w:tcPr>
          <w:p w14:paraId="2C682CC5" w14:textId="77777777" w:rsidR="00DB65C0" w:rsidRPr="00746E61" w:rsidRDefault="00DB65C0"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de Apelación de la Sentencia de Goicochea</w:t>
            </w:r>
          </w:p>
        </w:tc>
        <w:tc>
          <w:tcPr>
            <w:tcW w:w="881" w:type="dxa"/>
            <w:tcBorders>
              <w:top w:val="nil"/>
              <w:left w:val="nil"/>
              <w:bottom w:val="single" w:sz="4" w:space="0" w:color="auto"/>
              <w:right w:val="single" w:sz="4" w:space="0" w:color="auto"/>
            </w:tcBorders>
            <w:shd w:val="clear" w:color="auto" w:fill="auto"/>
            <w:noWrap/>
            <w:vAlign w:val="center"/>
            <w:hideMark/>
          </w:tcPr>
          <w:p w14:paraId="338A3C76" w14:textId="77777777" w:rsidR="00DB65C0" w:rsidRPr="00746E61" w:rsidRDefault="00DB65C0"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462</w:t>
            </w:r>
          </w:p>
        </w:tc>
        <w:tc>
          <w:tcPr>
            <w:tcW w:w="881" w:type="dxa"/>
            <w:tcBorders>
              <w:top w:val="nil"/>
              <w:left w:val="nil"/>
              <w:bottom w:val="single" w:sz="4" w:space="0" w:color="auto"/>
              <w:right w:val="single" w:sz="4" w:space="0" w:color="auto"/>
            </w:tcBorders>
            <w:shd w:val="clear" w:color="auto" w:fill="auto"/>
            <w:noWrap/>
            <w:vAlign w:val="center"/>
            <w:hideMark/>
          </w:tcPr>
          <w:p w14:paraId="593E4BDD" w14:textId="77777777" w:rsidR="00DB65C0" w:rsidRPr="00746E61" w:rsidRDefault="00DB65C0"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248</w:t>
            </w:r>
          </w:p>
        </w:tc>
        <w:tc>
          <w:tcPr>
            <w:tcW w:w="881" w:type="dxa"/>
            <w:tcBorders>
              <w:top w:val="nil"/>
              <w:left w:val="nil"/>
              <w:bottom w:val="single" w:sz="4" w:space="0" w:color="auto"/>
              <w:right w:val="single" w:sz="4" w:space="0" w:color="auto"/>
            </w:tcBorders>
            <w:shd w:val="clear" w:color="auto" w:fill="auto"/>
            <w:noWrap/>
            <w:vAlign w:val="center"/>
            <w:hideMark/>
          </w:tcPr>
          <w:p w14:paraId="45F144B0" w14:textId="77777777" w:rsidR="00DB65C0" w:rsidRPr="00746E61" w:rsidRDefault="00DB65C0"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315</w:t>
            </w:r>
          </w:p>
        </w:tc>
        <w:tc>
          <w:tcPr>
            <w:tcW w:w="1877" w:type="dxa"/>
            <w:tcBorders>
              <w:top w:val="nil"/>
              <w:left w:val="nil"/>
              <w:bottom w:val="single" w:sz="4" w:space="0" w:color="auto"/>
              <w:right w:val="single" w:sz="4" w:space="0" w:color="auto"/>
            </w:tcBorders>
            <w:shd w:val="clear" w:color="auto" w:fill="auto"/>
            <w:vAlign w:val="center"/>
            <w:hideMark/>
          </w:tcPr>
          <w:p w14:paraId="53E4E0E3" w14:textId="77777777" w:rsidR="00DB65C0" w:rsidRPr="00746E61" w:rsidRDefault="00DB65C0"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-31,82%</w:t>
            </w:r>
          </w:p>
        </w:tc>
        <w:tc>
          <w:tcPr>
            <w:tcW w:w="1877" w:type="dxa"/>
            <w:tcBorders>
              <w:top w:val="nil"/>
              <w:left w:val="nil"/>
              <w:bottom w:val="single" w:sz="4" w:space="0" w:color="auto"/>
              <w:right w:val="single" w:sz="4" w:space="0" w:color="auto"/>
            </w:tcBorders>
            <w:shd w:val="clear" w:color="auto" w:fill="auto"/>
            <w:vAlign w:val="center"/>
            <w:hideMark/>
          </w:tcPr>
          <w:p w14:paraId="0E945336" w14:textId="77777777" w:rsidR="00DB65C0" w:rsidRPr="00746E61" w:rsidRDefault="00DB65C0"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27,02%</w:t>
            </w:r>
          </w:p>
        </w:tc>
      </w:tr>
      <w:tr w:rsidR="00DB65C0" w:rsidRPr="00746E61" w14:paraId="5CD50C71" w14:textId="77777777" w:rsidTr="00DB65C0">
        <w:trPr>
          <w:trHeight w:val="204"/>
          <w:jc w:val="center"/>
        </w:trPr>
        <w:tc>
          <w:tcPr>
            <w:tcW w:w="4210" w:type="dxa"/>
            <w:tcBorders>
              <w:top w:val="nil"/>
              <w:left w:val="single" w:sz="4" w:space="0" w:color="auto"/>
              <w:bottom w:val="single" w:sz="4" w:space="0" w:color="auto"/>
              <w:right w:val="single" w:sz="4" w:space="0" w:color="auto"/>
            </w:tcBorders>
            <w:shd w:val="clear" w:color="auto" w:fill="auto"/>
            <w:noWrap/>
            <w:vAlign w:val="center"/>
            <w:hideMark/>
          </w:tcPr>
          <w:p w14:paraId="6B28759C" w14:textId="77777777" w:rsidR="00DB65C0" w:rsidRPr="00746E61" w:rsidRDefault="00DB65C0"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de Apelación de la Sentencia de Cartago</w:t>
            </w:r>
          </w:p>
        </w:tc>
        <w:tc>
          <w:tcPr>
            <w:tcW w:w="881" w:type="dxa"/>
            <w:tcBorders>
              <w:top w:val="nil"/>
              <w:left w:val="nil"/>
              <w:bottom w:val="single" w:sz="4" w:space="0" w:color="auto"/>
              <w:right w:val="single" w:sz="4" w:space="0" w:color="auto"/>
            </w:tcBorders>
            <w:shd w:val="clear" w:color="auto" w:fill="auto"/>
            <w:noWrap/>
            <w:vAlign w:val="center"/>
            <w:hideMark/>
          </w:tcPr>
          <w:p w14:paraId="0A34CBB3" w14:textId="77777777" w:rsidR="00DB65C0" w:rsidRPr="00746E61" w:rsidRDefault="00DB65C0"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211</w:t>
            </w:r>
          </w:p>
        </w:tc>
        <w:tc>
          <w:tcPr>
            <w:tcW w:w="881" w:type="dxa"/>
            <w:tcBorders>
              <w:top w:val="nil"/>
              <w:left w:val="nil"/>
              <w:bottom w:val="single" w:sz="4" w:space="0" w:color="auto"/>
              <w:right w:val="single" w:sz="4" w:space="0" w:color="auto"/>
            </w:tcBorders>
            <w:shd w:val="clear" w:color="auto" w:fill="auto"/>
            <w:noWrap/>
            <w:vAlign w:val="center"/>
            <w:hideMark/>
          </w:tcPr>
          <w:p w14:paraId="26774667" w14:textId="77777777" w:rsidR="00DB65C0" w:rsidRPr="00746E61" w:rsidRDefault="00DB65C0"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159</w:t>
            </w:r>
          </w:p>
        </w:tc>
        <w:tc>
          <w:tcPr>
            <w:tcW w:w="881" w:type="dxa"/>
            <w:tcBorders>
              <w:top w:val="nil"/>
              <w:left w:val="nil"/>
              <w:bottom w:val="single" w:sz="4" w:space="0" w:color="auto"/>
              <w:right w:val="single" w:sz="4" w:space="0" w:color="auto"/>
            </w:tcBorders>
            <w:shd w:val="clear" w:color="auto" w:fill="auto"/>
            <w:noWrap/>
            <w:vAlign w:val="center"/>
            <w:hideMark/>
          </w:tcPr>
          <w:p w14:paraId="48D4B5FC" w14:textId="77777777" w:rsidR="00DB65C0" w:rsidRPr="00746E61" w:rsidRDefault="00DB65C0"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140</w:t>
            </w:r>
          </w:p>
        </w:tc>
        <w:tc>
          <w:tcPr>
            <w:tcW w:w="1877" w:type="dxa"/>
            <w:tcBorders>
              <w:top w:val="nil"/>
              <w:left w:val="nil"/>
              <w:bottom w:val="single" w:sz="4" w:space="0" w:color="auto"/>
              <w:right w:val="single" w:sz="4" w:space="0" w:color="auto"/>
            </w:tcBorders>
            <w:shd w:val="clear" w:color="auto" w:fill="auto"/>
            <w:vAlign w:val="center"/>
            <w:hideMark/>
          </w:tcPr>
          <w:p w14:paraId="235652D9" w14:textId="77777777" w:rsidR="00DB65C0" w:rsidRPr="00746E61" w:rsidRDefault="00DB65C0"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-33,65%</w:t>
            </w:r>
          </w:p>
        </w:tc>
        <w:tc>
          <w:tcPr>
            <w:tcW w:w="1877" w:type="dxa"/>
            <w:tcBorders>
              <w:top w:val="nil"/>
              <w:left w:val="nil"/>
              <w:bottom w:val="single" w:sz="4" w:space="0" w:color="auto"/>
              <w:right w:val="single" w:sz="4" w:space="0" w:color="auto"/>
            </w:tcBorders>
            <w:shd w:val="clear" w:color="auto" w:fill="auto"/>
            <w:vAlign w:val="center"/>
            <w:hideMark/>
          </w:tcPr>
          <w:p w14:paraId="41B5218E" w14:textId="77777777" w:rsidR="00DB65C0" w:rsidRPr="00746E61" w:rsidRDefault="00DB65C0"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-11,95%</w:t>
            </w:r>
          </w:p>
        </w:tc>
      </w:tr>
      <w:tr w:rsidR="00DB65C0" w:rsidRPr="00746E61" w14:paraId="4DAF059B" w14:textId="77777777" w:rsidTr="00DB65C0">
        <w:trPr>
          <w:trHeight w:val="204"/>
          <w:jc w:val="center"/>
        </w:trPr>
        <w:tc>
          <w:tcPr>
            <w:tcW w:w="4210" w:type="dxa"/>
            <w:tcBorders>
              <w:top w:val="nil"/>
              <w:left w:val="single" w:sz="4" w:space="0" w:color="auto"/>
              <w:bottom w:val="single" w:sz="4" w:space="0" w:color="auto"/>
              <w:right w:val="single" w:sz="4" w:space="0" w:color="auto"/>
            </w:tcBorders>
            <w:shd w:val="clear" w:color="auto" w:fill="auto"/>
            <w:noWrap/>
            <w:vAlign w:val="center"/>
            <w:hideMark/>
          </w:tcPr>
          <w:p w14:paraId="744B2C4E" w14:textId="77777777" w:rsidR="00DB65C0" w:rsidRPr="00746E61" w:rsidRDefault="00DB65C0"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Tribunal de Apelación de la Sentencia de San Ramón</w:t>
            </w:r>
          </w:p>
        </w:tc>
        <w:tc>
          <w:tcPr>
            <w:tcW w:w="881" w:type="dxa"/>
            <w:tcBorders>
              <w:top w:val="nil"/>
              <w:left w:val="nil"/>
              <w:bottom w:val="single" w:sz="4" w:space="0" w:color="auto"/>
              <w:right w:val="single" w:sz="4" w:space="0" w:color="auto"/>
            </w:tcBorders>
            <w:shd w:val="clear" w:color="auto" w:fill="auto"/>
            <w:noWrap/>
            <w:vAlign w:val="center"/>
            <w:hideMark/>
          </w:tcPr>
          <w:p w14:paraId="02EFA3B3" w14:textId="77777777" w:rsidR="00DB65C0" w:rsidRPr="00746E61" w:rsidRDefault="00DB65C0"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492</w:t>
            </w:r>
          </w:p>
        </w:tc>
        <w:tc>
          <w:tcPr>
            <w:tcW w:w="881" w:type="dxa"/>
            <w:tcBorders>
              <w:top w:val="nil"/>
              <w:left w:val="nil"/>
              <w:bottom w:val="single" w:sz="4" w:space="0" w:color="auto"/>
              <w:right w:val="single" w:sz="4" w:space="0" w:color="auto"/>
            </w:tcBorders>
            <w:shd w:val="clear" w:color="auto" w:fill="auto"/>
            <w:noWrap/>
            <w:vAlign w:val="center"/>
            <w:hideMark/>
          </w:tcPr>
          <w:p w14:paraId="3E67CB24" w14:textId="77777777" w:rsidR="00DB65C0" w:rsidRPr="00746E61" w:rsidRDefault="00DB65C0"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336</w:t>
            </w:r>
          </w:p>
        </w:tc>
        <w:tc>
          <w:tcPr>
            <w:tcW w:w="881" w:type="dxa"/>
            <w:tcBorders>
              <w:top w:val="nil"/>
              <w:left w:val="nil"/>
              <w:bottom w:val="single" w:sz="4" w:space="0" w:color="auto"/>
              <w:right w:val="single" w:sz="4" w:space="0" w:color="auto"/>
            </w:tcBorders>
            <w:shd w:val="clear" w:color="auto" w:fill="auto"/>
            <w:noWrap/>
            <w:vAlign w:val="center"/>
            <w:hideMark/>
          </w:tcPr>
          <w:p w14:paraId="2EE8F800" w14:textId="77777777" w:rsidR="00DB65C0" w:rsidRPr="00746E61" w:rsidRDefault="00DB65C0"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307</w:t>
            </w:r>
          </w:p>
        </w:tc>
        <w:tc>
          <w:tcPr>
            <w:tcW w:w="1877" w:type="dxa"/>
            <w:tcBorders>
              <w:top w:val="nil"/>
              <w:left w:val="nil"/>
              <w:bottom w:val="single" w:sz="4" w:space="0" w:color="auto"/>
              <w:right w:val="single" w:sz="4" w:space="0" w:color="auto"/>
            </w:tcBorders>
            <w:shd w:val="clear" w:color="auto" w:fill="auto"/>
            <w:vAlign w:val="center"/>
            <w:hideMark/>
          </w:tcPr>
          <w:p w14:paraId="3A7EF343" w14:textId="77777777" w:rsidR="00DB65C0" w:rsidRPr="00746E61" w:rsidRDefault="00DB65C0"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-37,60%</w:t>
            </w:r>
          </w:p>
        </w:tc>
        <w:tc>
          <w:tcPr>
            <w:tcW w:w="1877" w:type="dxa"/>
            <w:tcBorders>
              <w:top w:val="nil"/>
              <w:left w:val="nil"/>
              <w:bottom w:val="single" w:sz="4" w:space="0" w:color="auto"/>
              <w:right w:val="single" w:sz="4" w:space="0" w:color="auto"/>
            </w:tcBorders>
            <w:shd w:val="clear" w:color="auto" w:fill="auto"/>
            <w:vAlign w:val="center"/>
            <w:hideMark/>
          </w:tcPr>
          <w:p w14:paraId="33473452" w14:textId="77777777" w:rsidR="00DB65C0" w:rsidRPr="00746E61" w:rsidRDefault="00DB65C0"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-8,63%</w:t>
            </w:r>
          </w:p>
        </w:tc>
      </w:tr>
      <w:tr w:rsidR="00DB65C0" w:rsidRPr="00746E61" w14:paraId="6B7F3FB0" w14:textId="77777777" w:rsidTr="00DB65C0">
        <w:trPr>
          <w:trHeight w:val="204"/>
          <w:jc w:val="center"/>
        </w:trPr>
        <w:tc>
          <w:tcPr>
            <w:tcW w:w="4210" w:type="dxa"/>
            <w:tcBorders>
              <w:top w:val="nil"/>
              <w:left w:val="single" w:sz="4" w:space="0" w:color="auto"/>
              <w:bottom w:val="single" w:sz="4" w:space="0" w:color="auto"/>
              <w:right w:val="single" w:sz="4" w:space="0" w:color="auto"/>
            </w:tcBorders>
            <w:shd w:val="clear" w:color="auto" w:fill="auto"/>
            <w:vAlign w:val="center"/>
            <w:hideMark/>
          </w:tcPr>
          <w:p w14:paraId="4E76E0A7" w14:textId="77777777" w:rsidR="00DB65C0" w:rsidRPr="00746E61" w:rsidRDefault="00DB65C0" w:rsidP="00746E61">
            <w:pPr>
              <w:spacing w:line="276" w:lineRule="auto"/>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Total</w:t>
            </w:r>
          </w:p>
        </w:tc>
        <w:tc>
          <w:tcPr>
            <w:tcW w:w="881" w:type="dxa"/>
            <w:tcBorders>
              <w:top w:val="nil"/>
              <w:left w:val="nil"/>
              <w:bottom w:val="single" w:sz="4" w:space="0" w:color="auto"/>
              <w:right w:val="single" w:sz="4" w:space="0" w:color="auto"/>
            </w:tcBorders>
            <w:shd w:val="clear" w:color="auto" w:fill="auto"/>
            <w:vAlign w:val="center"/>
            <w:hideMark/>
          </w:tcPr>
          <w:p w14:paraId="41953C3C" w14:textId="77777777" w:rsidR="00DB65C0" w:rsidRPr="00746E61" w:rsidRDefault="00DB65C0"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1296</w:t>
            </w:r>
          </w:p>
        </w:tc>
        <w:tc>
          <w:tcPr>
            <w:tcW w:w="881" w:type="dxa"/>
            <w:tcBorders>
              <w:top w:val="nil"/>
              <w:left w:val="nil"/>
              <w:bottom w:val="single" w:sz="4" w:space="0" w:color="auto"/>
              <w:right w:val="single" w:sz="4" w:space="0" w:color="auto"/>
            </w:tcBorders>
            <w:shd w:val="clear" w:color="auto" w:fill="auto"/>
            <w:vAlign w:val="center"/>
            <w:hideMark/>
          </w:tcPr>
          <w:p w14:paraId="1534B446" w14:textId="77777777" w:rsidR="00DB65C0" w:rsidRPr="00746E61" w:rsidRDefault="00DB65C0"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827</w:t>
            </w:r>
          </w:p>
        </w:tc>
        <w:tc>
          <w:tcPr>
            <w:tcW w:w="881" w:type="dxa"/>
            <w:tcBorders>
              <w:top w:val="nil"/>
              <w:left w:val="nil"/>
              <w:bottom w:val="single" w:sz="4" w:space="0" w:color="auto"/>
              <w:right w:val="single" w:sz="4" w:space="0" w:color="auto"/>
            </w:tcBorders>
            <w:shd w:val="clear" w:color="auto" w:fill="auto"/>
            <w:vAlign w:val="center"/>
            <w:hideMark/>
          </w:tcPr>
          <w:p w14:paraId="21F4992E" w14:textId="77777777" w:rsidR="00DB65C0" w:rsidRPr="00746E61" w:rsidRDefault="00DB65C0"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860</w:t>
            </w:r>
          </w:p>
        </w:tc>
        <w:tc>
          <w:tcPr>
            <w:tcW w:w="1877" w:type="dxa"/>
            <w:tcBorders>
              <w:top w:val="nil"/>
              <w:left w:val="nil"/>
              <w:bottom w:val="single" w:sz="4" w:space="0" w:color="auto"/>
              <w:right w:val="single" w:sz="4" w:space="0" w:color="auto"/>
            </w:tcBorders>
            <w:shd w:val="clear" w:color="auto" w:fill="auto"/>
            <w:vAlign w:val="center"/>
            <w:hideMark/>
          </w:tcPr>
          <w:p w14:paraId="3FA53295" w14:textId="77777777" w:rsidR="00DB65C0" w:rsidRPr="00746E61" w:rsidRDefault="00DB65C0"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-33,64%</w:t>
            </w:r>
          </w:p>
        </w:tc>
        <w:tc>
          <w:tcPr>
            <w:tcW w:w="1877" w:type="dxa"/>
            <w:tcBorders>
              <w:top w:val="nil"/>
              <w:left w:val="nil"/>
              <w:bottom w:val="single" w:sz="4" w:space="0" w:color="auto"/>
              <w:right w:val="single" w:sz="4" w:space="0" w:color="auto"/>
            </w:tcBorders>
            <w:shd w:val="clear" w:color="auto" w:fill="auto"/>
            <w:vAlign w:val="center"/>
            <w:hideMark/>
          </w:tcPr>
          <w:p w14:paraId="3F9252CC" w14:textId="77777777" w:rsidR="00DB65C0" w:rsidRPr="00746E61" w:rsidRDefault="00DB65C0" w:rsidP="00746E61">
            <w:pPr>
              <w:spacing w:line="276" w:lineRule="auto"/>
              <w:jc w:val="center"/>
              <w:rPr>
                <w:rFonts w:ascii="Book Antiqua" w:hAnsi="Book Antiqua" w:cs="Calibri"/>
                <w:b/>
                <w:bCs/>
                <w:color w:val="000000"/>
                <w:sz w:val="16"/>
                <w:szCs w:val="16"/>
                <w:lang w:eastAsia="es-CR"/>
              </w:rPr>
            </w:pPr>
            <w:r w:rsidRPr="00746E61">
              <w:rPr>
                <w:rFonts w:ascii="Book Antiqua" w:hAnsi="Book Antiqua" w:cs="Calibri"/>
                <w:b/>
                <w:bCs/>
                <w:color w:val="000000"/>
                <w:sz w:val="16"/>
                <w:szCs w:val="16"/>
                <w:lang w:eastAsia="es-CR"/>
              </w:rPr>
              <w:t>3,99%</w:t>
            </w:r>
          </w:p>
        </w:tc>
      </w:tr>
    </w:tbl>
    <w:p w14:paraId="54EDE48F" w14:textId="6B978FF1" w:rsidR="000144F7" w:rsidRPr="00746E61" w:rsidRDefault="00F2319A" w:rsidP="00746E61">
      <w:pPr>
        <w:spacing w:line="276" w:lineRule="auto"/>
        <w:jc w:val="center"/>
        <w:rPr>
          <w:rFonts w:ascii="Book Antiqua" w:hAnsi="Book Antiqua"/>
          <w:lang w:val="es-ES_tradnl" w:eastAsia="en-US"/>
        </w:rPr>
      </w:pPr>
      <w:r w:rsidRPr="00746E61">
        <w:rPr>
          <w:rFonts w:ascii="Book Antiqua" w:hAnsi="Book Antiqua" w:cs="Calibri"/>
          <w:b/>
          <w:bCs/>
          <w:color w:val="000000"/>
          <w:sz w:val="20"/>
          <w:szCs w:val="20"/>
          <w:lang w:eastAsia="es-CR"/>
        </w:rPr>
        <w:t>Fuente:</w:t>
      </w:r>
      <w:r w:rsidRPr="00746E61">
        <w:rPr>
          <w:rFonts w:ascii="Book Antiqua" w:hAnsi="Book Antiqua" w:cs="Calibri"/>
          <w:color w:val="000000"/>
          <w:sz w:val="20"/>
          <w:szCs w:val="20"/>
          <w:lang w:eastAsia="es-CR"/>
        </w:rPr>
        <w:t xml:space="preserve"> Elaboración propia a partir de las estadísticas del Subproceso de Estadística</w:t>
      </w:r>
    </w:p>
    <w:p w14:paraId="565D285F" w14:textId="77777777" w:rsidR="00081D36" w:rsidRPr="00746E61" w:rsidRDefault="00081D36" w:rsidP="00746E61">
      <w:pPr>
        <w:spacing w:line="276" w:lineRule="auto"/>
        <w:rPr>
          <w:rFonts w:ascii="Book Antiqua" w:hAnsi="Book Antiqua"/>
          <w:lang w:val="es-ES_tradnl" w:eastAsia="en-US"/>
        </w:rPr>
      </w:pPr>
    </w:p>
    <w:p w14:paraId="6BF60A1E" w14:textId="5217A723" w:rsidR="00AB7147" w:rsidRPr="00746E61" w:rsidRDefault="5F919E25" w:rsidP="57A79FF7">
      <w:pPr>
        <w:tabs>
          <w:tab w:val="left" w:pos="426"/>
        </w:tabs>
        <w:spacing w:line="276" w:lineRule="auto"/>
        <w:jc w:val="both"/>
        <w:outlineLvl w:val="1"/>
        <w:rPr>
          <w:b/>
          <w:color w:val="000000" w:themeColor="text1"/>
          <w:lang w:eastAsia="es-CR"/>
        </w:rPr>
      </w:pPr>
      <w:r w:rsidRPr="57A79FF7">
        <w:rPr>
          <w:rFonts w:ascii="Book Antiqua" w:hAnsi="Book Antiqua" w:cs="Calibri"/>
          <w:b/>
          <w:bCs/>
          <w:color w:val="000000" w:themeColor="text1"/>
          <w:lang w:eastAsia="es-CR"/>
        </w:rPr>
        <w:t xml:space="preserve">3.6 </w:t>
      </w:r>
      <w:r w:rsidR="00AB7147" w:rsidRPr="00746E61">
        <w:rPr>
          <w:rFonts w:ascii="Book Antiqua" w:hAnsi="Book Antiqua" w:cs="Calibri"/>
          <w:b/>
          <w:bCs/>
          <w:color w:val="000000" w:themeColor="text1"/>
          <w:lang w:eastAsia="es-CR"/>
        </w:rPr>
        <w:t>Sala Tercera</w:t>
      </w:r>
    </w:p>
    <w:p w14:paraId="58EF15C9" w14:textId="77777777" w:rsidR="00AB7147" w:rsidRPr="00746E61" w:rsidRDefault="00AB7147" w:rsidP="00746E61">
      <w:pPr>
        <w:spacing w:line="276" w:lineRule="auto"/>
        <w:rPr>
          <w:rFonts w:ascii="Book Antiqua" w:hAnsi="Book Antiqua"/>
          <w:b/>
          <w:bCs/>
          <w:lang w:val="es-ES_tradnl" w:eastAsia="en-US"/>
        </w:rPr>
      </w:pPr>
    </w:p>
    <w:p w14:paraId="6723A7A5" w14:textId="2E53D043" w:rsidR="00AB7147" w:rsidRPr="00746E61" w:rsidRDefault="4D39FB8A" w:rsidP="57A79FF7">
      <w:pPr>
        <w:spacing w:line="276" w:lineRule="auto"/>
        <w:outlineLvl w:val="1"/>
        <w:rPr>
          <w:b/>
          <w:lang w:val="es-ES" w:eastAsia="en-US"/>
        </w:rPr>
      </w:pPr>
      <w:r w:rsidRPr="57A79FF7">
        <w:rPr>
          <w:rFonts w:ascii="Book Antiqua" w:hAnsi="Book Antiqua"/>
          <w:b/>
          <w:bCs/>
          <w:lang w:val="es-ES" w:eastAsia="en-US"/>
        </w:rPr>
        <w:t xml:space="preserve">3.6.1 </w:t>
      </w:r>
      <w:r w:rsidR="00AB7147" w:rsidRPr="57A79FF7">
        <w:rPr>
          <w:rFonts w:ascii="Book Antiqua" w:hAnsi="Book Antiqua"/>
          <w:b/>
          <w:lang w:val="es-ES" w:eastAsia="en-US"/>
        </w:rPr>
        <w:t>Asuntos nuevos</w:t>
      </w:r>
    </w:p>
    <w:p w14:paraId="5DE346CC" w14:textId="77777777" w:rsidR="00AB7147" w:rsidRPr="00746E61" w:rsidRDefault="00AB7147" w:rsidP="00746E61">
      <w:pPr>
        <w:spacing w:line="276" w:lineRule="auto"/>
        <w:jc w:val="center"/>
        <w:rPr>
          <w:rFonts w:ascii="Book Antiqua" w:hAnsi="Book Antiqua"/>
          <w:lang w:val="es-ES_tradnl" w:eastAsia="en-US"/>
        </w:rPr>
      </w:pPr>
    </w:p>
    <w:p w14:paraId="23DFC2A8" w14:textId="687DAFD2" w:rsidR="00B22DCF" w:rsidRPr="00746E61" w:rsidRDefault="000144F7" w:rsidP="00746E61">
      <w:pPr>
        <w:widowControl w:val="0"/>
        <w:autoSpaceDE w:val="0"/>
        <w:spacing w:line="276" w:lineRule="auto"/>
        <w:ind w:right="51"/>
        <w:jc w:val="both"/>
        <w:rPr>
          <w:rFonts w:ascii="Book Antiqua" w:hAnsi="Book Antiqua" w:cs="Arial"/>
        </w:rPr>
      </w:pPr>
      <w:r w:rsidRPr="00746E61">
        <w:rPr>
          <w:rFonts w:ascii="Book Antiqua" w:hAnsi="Book Antiqua" w:cs="Arial"/>
        </w:rPr>
        <w:t xml:space="preserve">En lo que concierna a los </w:t>
      </w:r>
      <w:r w:rsidR="00B21804" w:rsidRPr="00746E61">
        <w:rPr>
          <w:rFonts w:ascii="Book Antiqua" w:hAnsi="Book Antiqua" w:cs="Arial"/>
        </w:rPr>
        <w:t xml:space="preserve">asuntos de nueva data </w:t>
      </w:r>
      <w:r w:rsidRPr="00746E61">
        <w:rPr>
          <w:rFonts w:ascii="Book Antiqua" w:hAnsi="Book Antiqua" w:cs="Arial"/>
        </w:rPr>
        <w:t xml:space="preserve">de enero a </w:t>
      </w:r>
      <w:r w:rsidR="00EA4D07" w:rsidRPr="00746E61">
        <w:rPr>
          <w:rFonts w:ascii="Book Antiqua" w:hAnsi="Book Antiqua" w:cs="Arial"/>
        </w:rPr>
        <w:t>setiembre</w:t>
      </w:r>
      <w:r w:rsidRPr="00746E61">
        <w:rPr>
          <w:rFonts w:ascii="Book Antiqua" w:hAnsi="Book Antiqua" w:cs="Arial"/>
        </w:rPr>
        <w:t xml:space="preserve"> del año en curso, se obtiene un promedio de </w:t>
      </w:r>
      <w:r w:rsidR="00B21804" w:rsidRPr="00746E61">
        <w:rPr>
          <w:rFonts w:ascii="Book Antiqua" w:hAnsi="Book Antiqua" w:cs="Arial"/>
        </w:rPr>
        <w:t>entrados</w:t>
      </w:r>
      <w:r w:rsidRPr="00746E61">
        <w:rPr>
          <w:rFonts w:ascii="Book Antiqua" w:hAnsi="Book Antiqua" w:cs="Arial"/>
        </w:rPr>
        <w:t xml:space="preserve"> mensual de 1</w:t>
      </w:r>
      <w:r w:rsidR="00EA4D07" w:rsidRPr="00746E61">
        <w:rPr>
          <w:rFonts w:ascii="Book Antiqua" w:hAnsi="Book Antiqua" w:cs="Arial"/>
        </w:rPr>
        <w:t>08</w:t>
      </w:r>
      <w:r w:rsidRPr="00746E61">
        <w:rPr>
          <w:rFonts w:ascii="Book Antiqua" w:hAnsi="Book Antiqua" w:cs="Arial"/>
        </w:rPr>
        <w:t xml:space="preserve"> asuntos, por lo que, significa un leve </w:t>
      </w:r>
      <w:r w:rsidR="00EA4D07" w:rsidRPr="00746E61">
        <w:rPr>
          <w:rFonts w:ascii="Book Antiqua" w:hAnsi="Book Antiqua" w:cs="Arial"/>
        </w:rPr>
        <w:t xml:space="preserve">decrecimiento </w:t>
      </w:r>
      <w:r w:rsidRPr="00746E61">
        <w:rPr>
          <w:rFonts w:ascii="Book Antiqua" w:hAnsi="Book Antiqua" w:cs="Arial"/>
        </w:rPr>
        <w:t xml:space="preserve">del </w:t>
      </w:r>
      <w:r w:rsidR="00EA4D07" w:rsidRPr="00746E61">
        <w:rPr>
          <w:rFonts w:ascii="Book Antiqua" w:hAnsi="Book Antiqua" w:cs="Arial"/>
        </w:rPr>
        <w:t>2</w:t>
      </w:r>
      <w:r w:rsidRPr="00746E61">
        <w:rPr>
          <w:rFonts w:ascii="Book Antiqua" w:hAnsi="Book Antiqua" w:cs="Arial"/>
        </w:rPr>
        <w:t>.</w:t>
      </w:r>
      <w:r w:rsidR="00EA4D07" w:rsidRPr="00746E61">
        <w:rPr>
          <w:rFonts w:ascii="Book Antiqua" w:hAnsi="Book Antiqua" w:cs="Arial"/>
        </w:rPr>
        <w:t>33</w:t>
      </w:r>
      <w:r w:rsidRPr="00746E61">
        <w:rPr>
          <w:rFonts w:ascii="Book Antiqua" w:hAnsi="Book Antiqua" w:cs="Arial"/>
        </w:rPr>
        <w:t xml:space="preserve">% y </w:t>
      </w:r>
      <w:r w:rsidR="00EA4D07" w:rsidRPr="00746E61">
        <w:rPr>
          <w:rFonts w:ascii="Book Antiqua" w:hAnsi="Book Antiqua" w:cs="Arial"/>
        </w:rPr>
        <w:t>2</w:t>
      </w:r>
      <w:r w:rsidRPr="00746E61">
        <w:rPr>
          <w:rFonts w:ascii="Book Antiqua" w:hAnsi="Book Antiqua" w:cs="Arial"/>
        </w:rPr>
        <w:t>.</w:t>
      </w:r>
      <w:r w:rsidR="00EA4D07" w:rsidRPr="00746E61">
        <w:rPr>
          <w:rFonts w:ascii="Book Antiqua" w:hAnsi="Book Antiqua" w:cs="Arial"/>
        </w:rPr>
        <w:t>25</w:t>
      </w:r>
      <w:r w:rsidRPr="00746E61">
        <w:rPr>
          <w:rFonts w:ascii="Book Antiqua" w:hAnsi="Book Antiqua" w:cs="Arial"/>
        </w:rPr>
        <w:t>% con respecto a los periodos 2019 y 2020.</w:t>
      </w:r>
      <w:r w:rsidR="00D16369">
        <w:rPr>
          <w:rFonts w:ascii="Book Antiqua" w:hAnsi="Book Antiqua" w:cs="Arial"/>
        </w:rPr>
        <w:t xml:space="preserve"> Este decrecimiento de forma absoluta representa en promedio mensual dos asuntos.</w:t>
      </w:r>
    </w:p>
    <w:p w14:paraId="2940C235" w14:textId="77777777" w:rsidR="00AB7147" w:rsidRPr="00746E61" w:rsidRDefault="00AB7147" w:rsidP="00746E61">
      <w:pPr>
        <w:spacing w:line="276" w:lineRule="auto"/>
        <w:rPr>
          <w:rFonts w:ascii="Book Antiqua" w:hAnsi="Book Antiqua"/>
          <w:b/>
          <w:bCs/>
          <w:highlight w:val="yellow"/>
          <w:lang w:val="es-ES_tradnl" w:eastAsia="en-US"/>
        </w:rPr>
      </w:pPr>
    </w:p>
    <w:p w14:paraId="34673B34" w14:textId="40E647CE" w:rsidR="00AB7147" w:rsidRPr="00746E61" w:rsidRDefault="00AB7147" w:rsidP="00746E61">
      <w:pPr>
        <w:widowControl w:val="0"/>
        <w:autoSpaceDE w:val="0"/>
        <w:spacing w:line="276" w:lineRule="auto"/>
        <w:ind w:left="1080" w:right="51"/>
        <w:jc w:val="center"/>
        <w:rPr>
          <w:rFonts w:ascii="Book Antiqua" w:hAnsi="Book Antiqua" w:cs="Arial"/>
          <w:b/>
          <w:bCs/>
        </w:rPr>
      </w:pPr>
      <w:r w:rsidRPr="00746E61">
        <w:rPr>
          <w:rFonts w:ascii="Book Antiqua" w:hAnsi="Book Antiqua" w:cs="Arial"/>
          <w:b/>
          <w:bCs/>
        </w:rPr>
        <w:t>Cuadro 28</w:t>
      </w:r>
    </w:p>
    <w:p w14:paraId="1F0C3245" w14:textId="06B13B5B" w:rsidR="00AB7147" w:rsidRPr="00746E61" w:rsidRDefault="00AB7147" w:rsidP="00746E61">
      <w:pPr>
        <w:widowControl w:val="0"/>
        <w:autoSpaceDE w:val="0"/>
        <w:spacing w:line="276" w:lineRule="auto"/>
        <w:ind w:left="1080" w:right="51"/>
        <w:jc w:val="center"/>
        <w:rPr>
          <w:rFonts w:ascii="Book Antiqua" w:hAnsi="Book Antiqua" w:cs="Arial"/>
        </w:rPr>
      </w:pPr>
      <w:r w:rsidRPr="00746E61">
        <w:rPr>
          <w:rFonts w:ascii="Book Antiqua" w:hAnsi="Book Antiqua" w:cs="Arial"/>
        </w:rPr>
        <w:t xml:space="preserve">Promedio mensual de asuntos entrados </w:t>
      </w:r>
      <w:r w:rsidR="006158CA" w:rsidRPr="00746E61">
        <w:rPr>
          <w:rFonts w:ascii="Book Antiqua" w:hAnsi="Book Antiqua" w:cs="Arial"/>
        </w:rPr>
        <w:t>de</w:t>
      </w:r>
      <w:r w:rsidRPr="00746E61">
        <w:rPr>
          <w:rFonts w:ascii="Book Antiqua" w:hAnsi="Book Antiqua" w:cs="Arial"/>
        </w:rPr>
        <w:t xml:space="preserve"> Sala Tercera entre el periodo comprendido de enero 2019 a </w:t>
      </w:r>
      <w:r w:rsidR="00EA4D07" w:rsidRPr="00746E61">
        <w:rPr>
          <w:rFonts w:ascii="Book Antiqua" w:hAnsi="Book Antiqua" w:cs="Arial"/>
        </w:rPr>
        <w:t xml:space="preserve">setiembre </w:t>
      </w:r>
      <w:r w:rsidRPr="00746E61">
        <w:rPr>
          <w:rFonts w:ascii="Book Antiqua" w:hAnsi="Book Antiqua" w:cs="Arial"/>
        </w:rPr>
        <w:t>de 2021</w:t>
      </w:r>
    </w:p>
    <w:tbl>
      <w:tblPr>
        <w:tblW w:w="9400" w:type="dxa"/>
        <w:tblCellMar>
          <w:left w:w="70" w:type="dxa"/>
          <w:right w:w="70" w:type="dxa"/>
        </w:tblCellMar>
        <w:tblLook w:val="04A0" w:firstRow="1" w:lastRow="0" w:firstColumn="1" w:lastColumn="0" w:noHBand="0" w:noVBand="1"/>
      </w:tblPr>
      <w:tblGrid>
        <w:gridCol w:w="1180"/>
        <w:gridCol w:w="1200"/>
        <w:gridCol w:w="1200"/>
        <w:gridCol w:w="1200"/>
        <w:gridCol w:w="2280"/>
        <w:gridCol w:w="2340"/>
      </w:tblGrid>
      <w:tr w:rsidR="00EA4D07" w:rsidRPr="00746E61" w14:paraId="7484DDEE" w14:textId="77777777" w:rsidTr="00EA4D07">
        <w:trPr>
          <w:trHeight w:val="1040"/>
        </w:trPr>
        <w:tc>
          <w:tcPr>
            <w:tcW w:w="1180"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7349191A" w14:textId="77777777" w:rsidR="00EA4D07" w:rsidRPr="00746E61" w:rsidRDefault="00EA4D07" w:rsidP="00746E61">
            <w:pPr>
              <w:spacing w:line="276" w:lineRule="auto"/>
              <w:jc w:val="center"/>
              <w:rPr>
                <w:rFonts w:ascii="Book Antiqua" w:hAnsi="Book Antiqua" w:cs="Calibri"/>
                <w:b/>
                <w:bCs/>
                <w:color w:val="FFFFFF"/>
                <w:sz w:val="16"/>
                <w:szCs w:val="16"/>
                <w:lang w:eastAsia="es-CR"/>
              </w:rPr>
            </w:pPr>
            <w:r w:rsidRPr="00746E61">
              <w:rPr>
                <w:rFonts w:ascii="Book Antiqua" w:hAnsi="Book Antiqua" w:cs="Calibri"/>
                <w:b/>
                <w:bCs/>
                <w:color w:val="FFFFFF"/>
                <w:sz w:val="16"/>
                <w:szCs w:val="16"/>
                <w:lang w:eastAsia="es-CR"/>
              </w:rPr>
              <w:t>Despacho</w:t>
            </w:r>
          </w:p>
        </w:tc>
        <w:tc>
          <w:tcPr>
            <w:tcW w:w="1200" w:type="dxa"/>
            <w:tcBorders>
              <w:top w:val="single" w:sz="4" w:space="0" w:color="auto"/>
              <w:left w:val="nil"/>
              <w:bottom w:val="single" w:sz="4" w:space="0" w:color="auto"/>
              <w:right w:val="single" w:sz="4" w:space="0" w:color="auto"/>
            </w:tcBorders>
            <w:shd w:val="clear" w:color="000000" w:fill="305496"/>
            <w:vAlign w:val="center"/>
            <w:hideMark/>
          </w:tcPr>
          <w:p w14:paraId="5654E451" w14:textId="77777777" w:rsidR="00EA4D07" w:rsidRPr="00746E61" w:rsidRDefault="00EA4D07" w:rsidP="00746E61">
            <w:pPr>
              <w:spacing w:line="276" w:lineRule="auto"/>
              <w:jc w:val="center"/>
              <w:rPr>
                <w:rFonts w:ascii="Book Antiqua" w:hAnsi="Book Antiqua" w:cs="Calibri"/>
                <w:b/>
                <w:bCs/>
                <w:color w:val="FFFFFF"/>
                <w:sz w:val="16"/>
                <w:szCs w:val="16"/>
                <w:lang w:eastAsia="es-CR"/>
              </w:rPr>
            </w:pPr>
            <w:r w:rsidRPr="00746E61">
              <w:rPr>
                <w:rFonts w:ascii="Book Antiqua" w:hAnsi="Book Antiqua" w:cs="Calibri"/>
                <w:b/>
                <w:bCs/>
                <w:color w:val="FFFFFF"/>
                <w:sz w:val="16"/>
                <w:szCs w:val="16"/>
                <w:lang w:eastAsia="es-CR"/>
              </w:rPr>
              <w:t>Promedio mensual de Entrada 2019</w:t>
            </w:r>
          </w:p>
        </w:tc>
        <w:tc>
          <w:tcPr>
            <w:tcW w:w="1200" w:type="dxa"/>
            <w:tcBorders>
              <w:top w:val="single" w:sz="4" w:space="0" w:color="auto"/>
              <w:left w:val="nil"/>
              <w:bottom w:val="single" w:sz="4" w:space="0" w:color="auto"/>
              <w:right w:val="single" w:sz="4" w:space="0" w:color="auto"/>
            </w:tcBorders>
            <w:shd w:val="clear" w:color="000000" w:fill="305496"/>
            <w:vAlign w:val="center"/>
            <w:hideMark/>
          </w:tcPr>
          <w:p w14:paraId="11C7EA98" w14:textId="77777777" w:rsidR="00EA4D07" w:rsidRPr="00746E61" w:rsidRDefault="00EA4D07" w:rsidP="00746E61">
            <w:pPr>
              <w:spacing w:line="276" w:lineRule="auto"/>
              <w:jc w:val="center"/>
              <w:rPr>
                <w:rFonts w:ascii="Book Antiqua" w:hAnsi="Book Antiqua" w:cs="Calibri"/>
                <w:b/>
                <w:bCs/>
                <w:color w:val="FFFFFF"/>
                <w:sz w:val="16"/>
                <w:szCs w:val="16"/>
                <w:lang w:eastAsia="es-CR"/>
              </w:rPr>
            </w:pPr>
            <w:r w:rsidRPr="00746E61">
              <w:rPr>
                <w:rFonts w:ascii="Book Antiqua" w:hAnsi="Book Antiqua" w:cs="Calibri"/>
                <w:b/>
                <w:bCs/>
                <w:color w:val="FFFFFF"/>
                <w:sz w:val="16"/>
                <w:szCs w:val="16"/>
                <w:lang w:eastAsia="es-CR"/>
              </w:rPr>
              <w:t>Promedio mensual de Entrada 2020</w:t>
            </w:r>
          </w:p>
        </w:tc>
        <w:tc>
          <w:tcPr>
            <w:tcW w:w="1200" w:type="dxa"/>
            <w:tcBorders>
              <w:top w:val="single" w:sz="4" w:space="0" w:color="auto"/>
              <w:left w:val="nil"/>
              <w:bottom w:val="single" w:sz="4" w:space="0" w:color="auto"/>
              <w:right w:val="single" w:sz="4" w:space="0" w:color="auto"/>
            </w:tcBorders>
            <w:shd w:val="clear" w:color="000000" w:fill="305496"/>
            <w:vAlign w:val="center"/>
            <w:hideMark/>
          </w:tcPr>
          <w:p w14:paraId="3D7F83AA" w14:textId="77777777" w:rsidR="00EA4D07" w:rsidRPr="00746E61" w:rsidRDefault="00EA4D07" w:rsidP="00746E61">
            <w:pPr>
              <w:spacing w:line="276" w:lineRule="auto"/>
              <w:jc w:val="center"/>
              <w:rPr>
                <w:rFonts w:ascii="Book Antiqua" w:hAnsi="Book Antiqua" w:cs="Calibri"/>
                <w:b/>
                <w:bCs/>
                <w:color w:val="FFFFFF"/>
                <w:sz w:val="16"/>
                <w:szCs w:val="16"/>
                <w:lang w:eastAsia="es-CR"/>
              </w:rPr>
            </w:pPr>
            <w:r w:rsidRPr="00746E61">
              <w:rPr>
                <w:rFonts w:ascii="Book Antiqua" w:hAnsi="Book Antiqua" w:cs="Calibri"/>
                <w:b/>
                <w:bCs/>
                <w:color w:val="FFFFFF"/>
                <w:sz w:val="16"/>
                <w:szCs w:val="16"/>
                <w:lang w:eastAsia="es-CR"/>
              </w:rPr>
              <w:t>Promedio mensual de Entrada 2021</w:t>
            </w:r>
          </w:p>
        </w:tc>
        <w:tc>
          <w:tcPr>
            <w:tcW w:w="2280" w:type="dxa"/>
            <w:tcBorders>
              <w:top w:val="single" w:sz="4" w:space="0" w:color="auto"/>
              <w:left w:val="nil"/>
              <w:bottom w:val="single" w:sz="4" w:space="0" w:color="auto"/>
              <w:right w:val="single" w:sz="4" w:space="0" w:color="auto"/>
            </w:tcBorders>
            <w:shd w:val="clear" w:color="000000" w:fill="DDEBF7"/>
            <w:vAlign w:val="center"/>
            <w:hideMark/>
          </w:tcPr>
          <w:p w14:paraId="5FEADE4F" w14:textId="77777777" w:rsidR="00EA4D07" w:rsidRPr="00746E61" w:rsidRDefault="00EA4D07" w:rsidP="00746E61">
            <w:pPr>
              <w:spacing w:line="276" w:lineRule="auto"/>
              <w:jc w:val="center"/>
              <w:rPr>
                <w:rFonts w:ascii="Book Antiqua" w:hAnsi="Book Antiqua" w:cs="Calibri"/>
                <w:b/>
                <w:bCs/>
                <w:color w:val="3A3838"/>
                <w:sz w:val="16"/>
                <w:szCs w:val="16"/>
                <w:lang w:eastAsia="es-CR"/>
              </w:rPr>
            </w:pPr>
            <w:r w:rsidRPr="00746E61">
              <w:rPr>
                <w:rFonts w:ascii="Book Antiqua" w:hAnsi="Book Antiqua" w:cs="Calibri"/>
                <w:b/>
                <w:bCs/>
                <w:color w:val="3A3838"/>
                <w:sz w:val="16"/>
                <w:szCs w:val="16"/>
                <w:lang w:eastAsia="es-CR"/>
              </w:rPr>
              <w:t>Aumento/disminución 2021vs2019</w:t>
            </w:r>
          </w:p>
        </w:tc>
        <w:tc>
          <w:tcPr>
            <w:tcW w:w="2340" w:type="dxa"/>
            <w:tcBorders>
              <w:top w:val="single" w:sz="4" w:space="0" w:color="auto"/>
              <w:left w:val="nil"/>
              <w:bottom w:val="single" w:sz="4" w:space="0" w:color="auto"/>
              <w:right w:val="single" w:sz="4" w:space="0" w:color="auto"/>
            </w:tcBorders>
            <w:shd w:val="clear" w:color="000000" w:fill="DDEBF7"/>
            <w:vAlign w:val="center"/>
            <w:hideMark/>
          </w:tcPr>
          <w:p w14:paraId="505F5676" w14:textId="77777777" w:rsidR="00EA4D07" w:rsidRPr="00746E61" w:rsidRDefault="00EA4D07" w:rsidP="00746E61">
            <w:pPr>
              <w:spacing w:line="276" w:lineRule="auto"/>
              <w:jc w:val="center"/>
              <w:rPr>
                <w:rFonts w:ascii="Book Antiqua" w:hAnsi="Book Antiqua" w:cs="Calibri"/>
                <w:b/>
                <w:bCs/>
                <w:color w:val="3A3838"/>
                <w:sz w:val="16"/>
                <w:szCs w:val="16"/>
                <w:lang w:eastAsia="es-CR"/>
              </w:rPr>
            </w:pPr>
            <w:r w:rsidRPr="00746E61">
              <w:rPr>
                <w:rFonts w:ascii="Book Antiqua" w:hAnsi="Book Antiqua" w:cs="Calibri"/>
                <w:b/>
                <w:bCs/>
                <w:color w:val="3A3838"/>
                <w:sz w:val="16"/>
                <w:szCs w:val="16"/>
                <w:lang w:eastAsia="es-CR"/>
              </w:rPr>
              <w:t>Aumento/disminución 2021vs2020</w:t>
            </w:r>
          </w:p>
        </w:tc>
      </w:tr>
      <w:tr w:rsidR="00EA4D07" w:rsidRPr="00746E61" w14:paraId="1EA1BB7E" w14:textId="77777777" w:rsidTr="00EA4D07">
        <w:trPr>
          <w:trHeight w:val="29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2842F756" w14:textId="77777777" w:rsidR="00EA4D07" w:rsidRPr="00746E61" w:rsidRDefault="00EA4D07"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Sala Tercera</w:t>
            </w:r>
          </w:p>
        </w:tc>
        <w:tc>
          <w:tcPr>
            <w:tcW w:w="1200" w:type="dxa"/>
            <w:tcBorders>
              <w:top w:val="nil"/>
              <w:left w:val="nil"/>
              <w:bottom w:val="single" w:sz="4" w:space="0" w:color="auto"/>
              <w:right w:val="single" w:sz="4" w:space="0" w:color="auto"/>
            </w:tcBorders>
            <w:shd w:val="clear" w:color="auto" w:fill="auto"/>
            <w:noWrap/>
            <w:vAlign w:val="center"/>
            <w:hideMark/>
          </w:tcPr>
          <w:p w14:paraId="2C176C18" w14:textId="77777777" w:rsidR="00EA4D07" w:rsidRPr="00746E61" w:rsidRDefault="00EA4D07"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111</w:t>
            </w:r>
          </w:p>
        </w:tc>
        <w:tc>
          <w:tcPr>
            <w:tcW w:w="1200" w:type="dxa"/>
            <w:tcBorders>
              <w:top w:val="nil"/>
              <w:left w:val="nil"/>
              <w:bottom w:val="single" w:sz="4" w:space="0" w:color="auto"/>
              <w:right w:val="single" w:sz="4" w:space="0" w:color="auto"/>
            </w:tcBorders>
            <w:shd w:val="clear" w:color="auto" w:fill="auto"/>
            <w:noWrap/>
            <w:vAlign w:val="center"/>
            <w:hideMark/>
          </w:tcPr>
          <w:p w14:paraId="199AA3FF" w14:textId="77777777" w:rsidR="00EA4D07" w:rsidRPr="00746E61" w:rsidRDefault="00EA4D07"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110</w:t>
            </w:r>
          </w:p>
        </w:tc>
        <w:tc>
          <w:tcPr>
            <w:tcW w:w="1200" w:type="dxa"/>
            <w:tcBorders>
              <w:top w:val="nil"/>
              <w:left w:val="nil"/>
              <w:bottom w:val="single" w:sz="4" w:space="0" w:color="auto"/>
              <w:right w:val="single" w:sz="4" w:space="0" w:color="auto"/>
            </w:tcBorders>
            <w:shd w:val="clear" w:color="auto" w:fill="auto"/>
            <w:noWrap/>
            <w:vAlign w:val="center"/>
            <w:hideMark/>
          </w:tcPr>
          <w:p w14:paraId="5C9227DB" w14:textId="77777777" w:rsidR="00EA4D07" w:rsidRPr="00746E61" w:rsidRDefault="00EA4D07"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108</w:t>
            </w:r>
          </w:p>
        </w:tc>
        <w:tc>
          <w:tcPr>
            <w:tcW w:w="2280" w:type="dxa"/>
            <w:tcBorders>
              <w:top w:val="nil"/>
              <w:left w:val="nil"/>
              <w:bottom w:val="single" w:sz="4" w:space="0" w:color="auto"/>
              <w:right w:val="single" w:sz="4" w:space="0" w:color="auto"/>
            </w:tcBorders>
            <w:shd w:val="clear" w:color="auto" w:fill="auto"/>
            <w:vAlign w:val="center"/>
            <w:hideMark/>
          </w:tcPr>
          <w:p w14:paraId="6E0FDB91" w14:textId="77777777" w:rsidR="00EA4D07" w:rsidRPr="00746E61" w:rsidRDefault="00EA4D07"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-2,33%</w:t>
            </w:r>
          </w:p>
        </w:tc>
        <w:tc>
          <w:tcPr>
            <w:tcW w:w="2340" w:type="dxa"/>
            <w:tcBorders>
              <w:top w:val="nil"/>
              <w:left w:val="nil"/>
              <w:bottom w:val="single" w:sz="4" w:space="0" w:color="auto"/>
              <w:right w:val="single" w:sz="4" w:space="0" w:color="auto"/>
            </w:tcBorders>
            <w:shd w:val="clear" w:color="auto" w:fill="auto"/>
            <w:vAlign w:val="center"/>
            <w:hideMark/>
          </w:tcPr>
          <w:p w14:paraId="71672FCD" w14:textId="77777777" w:rsidR="00EA4D07" w:rsidRPr="00746E61" w:rsidRDefault="00EA4D07"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-2,25%</w:t>
            </w:r>
          </w:p>
        </w:tc>
      </w:tr>
    </w:tbl>
    <w:p w14:paraId="76AA6069" w14:textId="77777777" w:rsidR="00AB7147" w:rsidRPr="00746E61" w:rsidRDefault="00AB7147" w:rsidP="00746E61">
      <w:pPr>
        <w:spacing w:line="276" w:lineRule="auto"/>
        <w:jc w:val="center"/>
        <w:rPr>
          <w:rFonts w:ascii="Book Antiqua" w:hAnsi="Book Antiqua"/>
          <w:lang w:val="es-ES_tradnl" w:eastAsia="en-US"/>
        </w:rPr>
      </w:pPr>
      <w:r w:rsidRPr="00746E61">
        <w:rPr>
          <w:rFonts w:ascii="Book Antiqua" w:hAnsi="Book Antiqua" w:cs="Calibri"/>
          <w:b/>
          <w:bCs/>
          <w:color w:val="000000"/>
          <w:sz w:val="20"/>
          <w:szCs w:val="20"/>
          <w:lang w:eastAsia="es-CR"/>
        </w:rPr>
        <w:t>Fuente:</w:t>
      </w:r>
      <w:r w:rsidRPr="00746E61">
        <w:rPr>
          <w:rFonts w:ascii="Book Antiqua" w:hAnsi="Book Antiqua" w:cs="Calibri"/>
          <w:color w:val="000000"/>
          <w:sz w:val="20"/>
          <w:szCs w:val="20"/>
          <w:lang w:eastAsia="es-CR"/>
        </w:rPr>
        <w:t xml:space="preserve"> Elaboración propia a partir de las estadísticas del Subproceso de Estadística</w:t>
      </w:r>
    </w:p>
    <w:p w14:paraId="0C30A329" w14:textId="77777777" w:rsidR="00713303" w:rsidRPr="00746E61" w:rsidRDefault="00713303" w:rsidP="00596061">
      <w:pPr>
        <w:spacing w:line="276" w:lineRule="auto"/>
        <w:rPr>
          <w:rFonts w:ascii="Book Antiqua" w:hAnsi="Book Antiqua"/>
          <w:lang w:val="es-ES_tradnl" w:eastAsia="en-US"/>
        </w:rPr>
      </w:pPr>
    </w:p>
    <w:p w14:paraId="720B3668" w14:textId="1D8C7D27" w:rsidR="00AB7147" w:rsidRPr="00746E61" w:rsidRDefault="110AD88B" w:rsidP="57A79FF7">
      <w:pPr>
        <w:spacing w:line="276" w:lineRule="auto"/>
        <w:outlineLvl w:val="2"/>
        <w:rPr>
          <w:b/>
          <w:lang w:val="es-ES" w:eastAsia="en-US"/>
        </w:rPr>
      </w:pPr>
      <w:r w:rsidRPr="57A79FF7">
        <w:rPr>
          <w:rFonts w:ascii="Book Antiqua" w:hAnsi="Book Antiqua"/>
          <w:b/>
          <w:bCs/>
          <w:lang w:val="es-ES" w:eastAsia="en-US"/>
        </w:rPr>
        <w:t xml:space="preserve">3.6.2 </w:t>
      </w:r>
      <w:r w:rsidR="00AB7147" w:rsidRPr="57A79FF7">
        <w:rPr>
          <w:rFonts w:ascii="Book Antiqua" w:hAnsi="Book Antiqua"/>
          <w:b/>
          <w:lang w:val="es-ES" w:eastAsia="en-US"/>
        </w:rPr>
        <w:t>Asuntos terminados</w:t>
      </w:r>
    </w:p>
    <w:p w14:paraId="33331617" w14:textId="77777777" w:rsidR="00AB7147" w:rsidRPr="00746E61" w:rsidRDefault="00AB7147" w:rsidP="00746E61">
      <w:pPr>
        <w:spacing w:line="276" w:lineRule="auto"/>
        <w:jc w:val="center"/>
        <w:rPr>
          <w:rFonts w:ascii="Book Antiqua" w:hAnsi="Book Antiqua"/>
          <w:b/>
          <w:bCs/>
          <w:lang w:val="es-ES_tradnl" w:eastAsia="en-US"/>
        </w:rPr>
      </w:pPr>
    </w:p>
    <w:p w14:paraId="49E32FD2" w14:textId="11FCBE23" w:rsidR="00AB7147" w:rsidRPr="00746E61" w:rsidRDefault="00085D4B" w:rsidP="00746E61">
      <w:pPr>
        <w:widowControl w:val="0"/>
        <w:autoSpaceDE w:val="0"/>
        <w:spacing w:line="276" w:lineRule="auto"/>
        <w:ind w:right="51"/>
        <w:jc w:val="both"/>
        <w:rPr>
          <w:rFonts w:ascii="Book Antiqua" w:hAnsi="Book Antiqua" w:cs="Arial"/>
        </w:rPr>
      </w:pPr>
      <w:r w:rsidRPr="00746E61">
        <w:rPr>
          <w:rFonts w:ascii="Book Antiqua" w:hAnsi="Book Antiqua" w:cs="Arial"/>
        </w:rPr>
        <w:t>De los casos culminados</w:t>
      </w:r>
      <w:r w:rsidR="001B1D04" w:rsidRPr="00746E61">
        <w:rPr>
          <w:rFonts w:ascii="Book Antiqua" w:hAnsi="Book Antiqua" w:cs="Arial"/>
        </w:rPr>
        <w:t>,</w:t>
      </w:r>
      <w:r w:rsidRPr="00746E61">
        <w:rPr>
          <w:rFonts w:ascii="Book Antiqua" w:hAnsi="Book Antiqua" w:cs="Arial"/>
        </w:rPr>
        <w:t xml:space="preserve"> </w:t>
      </w:r>
      <w:r w:rsidR="001B1D04" w:rsidRPr="00746E61">
        <w:rPr>
          <w:rFonts w:ascii="Book Antiqua" w:hAnsi="Book Antiqua" w:cs="Arial"/>
        </w:rPr>
        <w:t>se visualizan promedios mensuales similares</w:t>
      </w:r>
      <w:r w:rsidR="00FF3089" w:rsidRPr="00746E61">
        <w:rPr>
          <w:rFonts w:ascii="Book Antiqua" w:hAnsi="Book Antiqua" w:cs="Arial"/>
        </w:rPr>
        <w:t>; 111 para el 2019, 126 para el 2020 y 113 para el 2021</w:t>
      </w:r>
      <w:r w:rsidR="001B1D04" w:rsidRPr="00746E61">
        <w:rPr>
          <w:rFonts w:ascii="Book Antiqua" w:hAnsi="Book Antiqua" w:cs="Arial"/>
        </w:rPr>
        <w:t xml:space="preserve">, </w:t>
      </w:r>
      <w:r w:rsidR="00FF3089" w:rsidRPr="00746E61">
        <w:rPr>
          <w:rFonts w:ascii="Book Antiqua" w:hAnsi="Book Antiqua" w:cs="Arial"/>
        </w:rPr>
        <w:t>lo que significa</w:t>
      </w:r>
      <w:r w:rsidR="001B1D04" w:rsidRPr="00746E61">
        <w:rPr>
          <w:rFonts w:ascii="Book Antiqua" w:hAnsi="Book Antiqua" w:cs="Arial"/>
        </w:rPr>
        <w:t xml:space="preserve"> una tendencia constante entre los tres periodos de </w:t>
      </w:r>
      <w:r w:rsidR="00FF3089" w:rsidRPr="00746E61">
        <w:rPr>
          <w:rFonts w:ascii="Book Antiqua" w:hAnsi="Book Antiqua" w:cs="Arial"/>
        </w:rPr>
        <w:t>estudio</w:t>
      </w:r>
      <w:r w:rsidR="001B1D04" w:rsidRPr="00746E61">
        <w:rPr>
          <w:rFonts w:ascii="Book Antiqua" w:hAnsi="Book Antiqua" w:cs="Arial"/>
        </w:rPr>
        <w:t>.</w:t>
      </w:r>
      <w:r w:rsidR="00D16369">
        <w:rPr>
          <w:rFonts w:ascii="Book Antiqua" w:hAnsi="Book Antiqua" w:cs="Arial"/>
        </w:rPr>
        <w:t xml:space="preserve"> Esto significa que la carga de trabajo se ha mantenido </w:t>
      </w:r>
    </w:p>
    <w:p w14:paraId="67B5DD00" w14:textId="77777777" w:rsidR="00085D4B" w:rsidRPr="00746E61" w:rsidRDefault="00085D4B" w:rsidP="00746E61">
      <w:pPr>
        <w:widowControl w:val="0"/>
        <w:autoSpaceDE w:val="0"/>
        <w:spacing w:line="276" w:lineRule="auto"/>
        <w:ind w:right="51"/>
        <w:jc w:val="both"/>
        <w:rPr>
          <w:rFonts w:ascii="Book Antiqua" w:hAnsi="Book Antiqua" w:cs="Arial"/>
        </w:rPr>
      </w:pPr>
    </w:p>
    <w:p w14:paraId="2BAE5F5C" w14:textId="68718B6E" w:rsidR="00AB7147" w:rsidRPr="00746E61" w:rsidRDefault="00AB7147" w:rsidP="00746E61">
      <w:pPr>
        <w:spacing w:line="276" w:lineRule="auto"/>
        <w:jc w:val="both"/>
        <w:rPr>
          <w:rFonts w:ascii="Book Antiqua" w:hAnsi="Book Antiqua" w:cs="Arial"/>
        </w:rPr>
      </w:pPr>
      <w:r w:rsidRPr="00746E61">
        <w:rPr>
          <w:rFonts w:ascii="Book Antiqua" w:hAnsi="Book Antiqua" w:cs="Arial"/>
        </w:rPr>
        <w:t xml:space="preserve">Seguidamente, en el </w:t>
      </w:r>
      <w:r w:rsidRPr="00746E61">
        <w:rPr>
          <w:rFonts w:ascii="Book Antiqua" w:hAnsi="Book Antiqua" w:cs="Arial"/>
          <w:b/>
          <w:bCs/>
        </w:rPr>
        <w:t>Cuadro 29,</w:t>
      </w:r>
      <w:r w:rsidRPr="00746E61">
        <w:rPr>
          <w:rFonts w:ascii="Book Antiqua" w:hAnsi="Book Antiqua" w:cs="Arial"/>
        </w:rPr>
        <w:t xml:space="preserve"> se registran los datos mencionados.</w:t>
      </w:r>
    </w:p>
    <w:p w14:paraId="5B8D1E9E" w14:textId="77777777" w:rsidR="00AB7147" w:rsidRPr="00746E61" w:rsidRDefault="00AB7147" w:rsidP="00746E61">
      <w:pPr>
        <w:spacing w:line="276" w:lineRule="auto"/>
        <w:jc w:val="both"/>
        <w:rPr>
          <w:rFonts w:ascii="Book Antiqua" w:hAnsi="Book Antiqua" w:cs="Arial"/>
        </w:rPr>
      </w:pPr>
    </w:p>
    <w:p w14:paraId="4FDC7734" w14:textId="5CB765CB" w:rsidR="00AB7147" w:rsidRPr="00746E61" w:rsidRDefault="00AB7147" w:rsidP="00746E61">
      <w:pPr>
        <w:widowControl w:val="0"/>
        <w:autoSpaceDE w:val="0"/>
        <w:spacing w:line="276" w:lineRule="auto"/>
        <w:ind w:left="1080" w:right="51"/>
        <w:jc w:val="center"/>
        <w:rPr>
          <w:rFonts w:ascii="Book Antiqua" w:hAnsi="Book Antiqua" w:cs="Arial"/>
          <w:b/>
          <w:bCs/>
        </w:rPr>
      </w:pPr>
      <w:r w:rsidRPr="00746E61">
        <w:rPr>
          <w:rFonts w:ascii="Book Antiqua" w:hAnsi="Book Antiqua" w:cs="Arial"/>
          <w:b/>
          <w:bCs/>
        </w:rPr>
        <w:t>Cuadro 29</w:t>
      </w:r>
    </w:p>
    <w:p w14:paraId="57D5DDA1" w14:textId="7F4CEF81" w:rsidR="00AB7147" w:rsidRPr="00746E61" w:rsidRDefault="00AB7147" w:rsidP="00746E61">
      <w:pPr>
        <w:spacing w:line="276" w:lineRule="auto"/>
        <w:jc w:val="center"/>
        <w:rPr>
          <w:rFonts w:ascii="Book Antiqua" w:hAnsi="Book Antiqua"/>
          <w:lang w:val="es-ES_tradnl" w:eastAsia="en-US"/>
        </w:rPr>
      </w:pPr>
      <w:r w:rsidRPr="00746E61">
        <w:rPr>
          <w:rFonts w:ascii="Book Antiqua" w:hAnsi="Book Antiqua"/>
          <w:lang w:val="es-ES_tradnl" w:eastAsia="en-US"/>
        </w:rPr>
        <w:t xml:space="preserve">Promedio mensual de asuntos terminados </w:t>
      </w:r>
      <w:r w:rsidR="006158CA" w:rsidRPr="00746E61">
        <w:rPr>
          <w:rFonts w:ascii="Book Antiqua" w:hAnsi="Book Antiqua"/>
          <w:lang w:val="es-ES_tradnl" w:eastAsia="en-US"/>
        </w:rPr>
        <w:t>de</w:t>
      </w:r>
      <w:r w:rsidRPr="00746E61">
        <w:rPr>
          <w:rFonts w:ascii="Book Antiqua" w:hAnsi="Book Antiqua"/>
          <w:lang w:val="es-ES_tradnl" w:eastAsia="en-US"/>
        </w:rPr>
        <w:t xml:space="preserve"> Sala Tercera</w:t>
      </w:r>
    </w:p>
    <w:p w14:paraId="42A45E3A" w14:textId="60E83F42" w:rsidR="00AB7147" w:rsidRPr="00746E61" w:rsidRDefault="00AB7147" w:rsidP="00746E61">
      <w:pPr>
        <w:spacing w:line="276" w:lineRule="auto"/>
        <w:jc w:val="center"/>
        <w:rPr>
          <w:rFonts w:ascii="Book Antiqua" w:hAnsi="Book Antiqua"/>
          <w:lang w:val="es-ES_tradnl" w:eastAsia="en-US"/>
        </w:rPr>
      </w:pPr>
      <w:r w:rsidRPr="00746E61">
        <w:rPr>
          <w:rFonts w:ascii="Book Antiqua" w:hAnsi="Book Antiqua"/>
          <w:lang w:val="es-ES_tradnl" w:eastAsia="en-US"/>
        </w:rPr>
        <w:t xml:space="preserve"> entre el periodo comprendido de enero 2019 a </w:t>
      </w:r>
      <w:r w:rsidR="00FD6246" w:rsidRPr="00746E61">
        <w:rPr>
          <w:rFonts w:ascii="Book Antiqua" w:hAnsi="Book Antiqua"/>
          <w:lang w:val="es-ES_tradnl" w:eastAsia="en-US"/>
        </w:rPr>
        <w:t>setiembre</w:t>
      </w:r>
      <w:r w:rsidRPr="00746E61">
        <w:rPr>
          <w:rFonts w:ascii="Book Antiqua" w:hAnsi="Book Antiqua"/>
          <w:lang w:val="es-ES_tradnl" w:eastAsia="en-US"/>
        </w:rPr>
        <w:t xml:space="preserve"> de 2021</w:t>
      </w:r>
    </w:p>
    <w:tbl>
      <w:tblPr>
        <w:tblW w:w="9400" w:type="dxa"/>
        <w:jc w:val="center"/>
        <w:tblCellMar>
          <w:left w:w="70" w:type="dxa"/>
          <w:right w:w="70" w:type="dxa"/>
        </w:tblCellMar>
        <w:tblLook w:val="04A0" w:firstRow="1" w:lastRow="0" w:firstColumn="1" w:lastColumn="0" w:noHBand="0" w:noVBand="1"/>
      </w:tblPr>
      <w:tblGrid>
        <w:gridCol w:w="1180"/>
        <w:gridCol w:w="1200"/>
        <w:gridCol w:w="1200"/>
        <w:gridCol w:w="1200"/>
        <w:gridCol w:w="2280"/>
        <w:gridCol w:w="2340"/>
      </w:tblGrid>
      <w:tr w:rsidR="00FD6246" w:rsidRPr="00746E61" w14:paraId="51EC7F47" w14:textId="77777777" w:rsidTr="00FD6246">
        <w:trPr>
          <w:trHeight w:val="1040"/>
          <w:jc w:val="center"/>
        </w:trPr>
        <w:tc>
          <w:tcPr>
            <w:tcW w:w="1180"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09B693FE" w14:textId="77777777" w:rsidR="00FD6246" w:rsidRPr="00746E61" w:rsidRDefault="00FD6246" w:rsidP="00746E61">
            <w:pPr>
              <w:spacing w:line="276" w:lineRule="auto"/>
              <w:jc w:val="center"/>
              <w:rPr>
                <w:rFonts w:ascii="Book Antiqua" w:hAnsi="Book Antiqua" w:cs="Calibri"/>
                <w:b/>
                <w:bCs/>
                <w:color w:val="FFFFFF"/>
                <w:sz w:val="16"/>
                <w:szCs w:val="16"/>
                <w:lang w:eastAsia="es-CR"/>
              </w:rPr>
            </w:pPr>
            <w:r w:rsidRPr="00746E61">
              <w:rPr>
                <w:rFonts w:ascii="Book Antiqua" w:hAnsi="Book Antiqua" w:cs="Calibri"/>
                <w:b/>
                <w:bCs/>
                <w:color w:val="FFFFFF"/>
                <w:sz w:val="16"/>
                <w:szCs w:val="16"/>
                <w:lang w:eastAsia="es-CR"/>
              </w:rPr>
              <w:t>Despacho</w:t>
            </w:r>
          </w:p>
        </w:tc>
        <w:tc>
          <w:tcPr>
            <w:tcW w:w="1200" w:type="dxa"/>
            <w:tcBorders>
              <w:top w:val="single" w:sz="4" w:space="0" w:color="auto"/>
              <w:left w:val="nil"/>
              <w:bottom w:val="single" w:sz="4" w:space="0" w:color="auto"/>
              <w:right w:val="single" w:sz="4" w:space="0" w:color="auto"/>
            </w:tcBorders>
            <w:shd w:val="clear" w:color="000000" w:fill="305496"/>
            <w:vAlign w:val="center"/>
            <w:hideMark/>
          </w:tcPr>
          <w:p w14:paraId="3C583FF4" w14:textId="77777777" w:rsidR="00FD6246" w:rsidRPr="00746E61" w:rsidRDefault="00FD6246" w:rsidP="00746E61">
            <w:pPr>
              <w:spacing w:line="276" w:lineRule="auto"/>
              <w:jc w:val="center"/>
              <w:rPr>
                <w:rFonts w:ascii="Book Antiqua" w:hAnsi="Book Antiqua" w:cs="Calibri"/>
                <w:b/>
                <w:bCs/>
                <w:color w:val="FFFFFF"/>
                <w:sz w:val="16"/>
                <w:szCs w:val="16"/>
                <w:lang w:eastAsia="es-CR"/>
              </w:rPr>
            </w:pPr>
            <w:r w:rsidRPr="00746E61">
              <w:rPr>
                <w:rFonts w:ascii="Book Antiqua" w:hAnsi="Book Antiqua" w:cs="Calibri"/>
                <w:b/>
                <w:bCs/>
                <w:color w:val="FFFFFF"/>
                <w:sz w:val="16"/>
                <w:szCs w:val="16"/>
                <w:lang w:eastAsia="es-CR"/>
              </w:rPr>
              <w:t>Promedio mensual de Terminados 2019</w:t>
            </w:r>
          </w:p>
        </w:tc>
        <w:tc>
          <w:tcPr>
            <w:tcW w:w="1200" w:type="dxa"/>
            <w:tcBorders>
              <w:top w:val="single" w:sz="4" w:space="0" w:color="auto"/>
              <w:left w:val="nil"/>
              <w:bottom w:val="single" w:sz="4" w:space="0" w:color="auto"/>
              <w:right w:val="single" w:sz="4" w:space="0" w:color="auto"/>
            </w:tcBorders>
            <w:shd w:val="clear" w:color="000000" w:fill="305496"/>
            <w:vAlign w:val="center"/>
            <w:hideMark/>
          </w:tcPr>
          <w:p w14:paraId="209A54D3" w14:textId="77777777" w:rsidR="00FD6246" w:rsidRPr="00746E61" w:rsidRDefault="00FD6246" w:rsidP="00746E61">
            <w:pPr>
              <w:spacing w:line="276" w:lineRule="auto"/>
              <w:jc w:val="center"/>
              <w:rPr>
                <w:rFonts w:ascii="Book Antiqua" w:hAnsi="Book Antiqua" w:cs="Calibri"/>
                <w:b/>
                <w:bCs/>
                <w:color w:val="FFFFFF"/>
                <w:sz w:val="16"/>
                <w:szCs w:val="16"/>
                <w:lang w:eastAsia="es-CR"/>
              </w:rPr>
            </w:pPr>
            <w:r w:rsidRPr="00746E61">
              <w:rPr>
                <w:rFonts w:ascii="Book Antiqua" w:hAnsi="Book Antiqua" w:cs="Calibri"/>
                <w:b/>
                <w:bCs/>
                <w:color w:val="FFFFFF"/>
                <w:sz w:val="16"/>
                <w:szCs w:val="16"/>
                <w:lang w:eastAsia="es-CR"/>
              </w:rPr>
              <w:t>Promedio mensual de Terminados 2020</w:t>
            </w:r>
          </w:p>
        </w:tc>
        <w:tc>
          <w:tcPr>
            <w:tcW w:w="1200" w:type="dxa"/>
            <w:tcBorders>
              <w:top w:val="single" w:sz="4" w:space="0" w:color="auto"/>
              <w:left w:val="nil"/>
              <w:bottom w:val="single" w:sz="4" w:space="0" w:color="auto"/>
              <w:right w:val="single" w:sz="4" w:space="0" w:color="auto"/>
            </w:tcBorders>
            <w:shd w:val="clear" w:color="000000" w:fill="305496"/>
            <w:vAlign w:val="center"/>
            <w:hideMark/>
          </w:tcPr>
          <w:p w14:paraId="5BB4ECAE" w14:textId="77777777" w:rsidR="00FD6246" w:rsidRPr="00746E61" w:rsidRDefault="00FD6246" w:rsidP="00746E61">
            <w:pPr>
              <w:spacing w:line="276" w:lineRule="auto"/>
              <w:jc w:val="center"/>
              <w:rPr>
                <w:rFonts w:ascii="Book Antiqua" w:hAnsi="Book Antiqua" w:cs="Calibri"/>
                <w:b/>
                <w:bCs/>
                <w:color w:val="FFFFFF"/>
                <w:sz w:val="16"/>
                <w:szCs w:val="16"/>
                <w:lang w:eastAsia="es-CR"/>
              </w:rPr>
            </w:pPr>
            <w:r w:rsidRPr="00746E61">
              <w:rPr>
                <w:rFonts w:ascii="Book Antiqua" w:hAnsi="Book Antiqua" w:cs="Calibri"/>
                <w:b/>
                <w:bCs/>
                <w:color w:val="FFFFFF"/>
                <w:sz w:val="16"/>
                <w:szCs w:val="16"/>
                <w:lang w:eastAsia="es-CR"/>
              </w:rPr>
              <w:t>Promedio mensual de Terminados 2021</w:t>
            </w:r>
          </w:p>
        </w:tc>
        <w:tc>
          <w:tcPr>
            <w:tcW w:w="2280" w:type="dxa"/>
            <w:tcBorders>
              <w:top w:val="single" w:sz="4" w:space="0" w:color="auto"/>
              <w:left w:val="nil"/>
              <w:bottom w:val="single" w:sz="4" w:space="0" w:color="auto"/>
              <w:right w:val="single" w:sz="4" w:space="0" w:color="auto"/>
            </w:tcBorders>
            <w:shd w:val="clear" w:color="000000" w:fill="DDEBF7"/>
            <w:vAlign w:val="center"/>
            <w:hideMark/>
          </w:tcPr>
          <w:p w14:paraId="46E8BABC" w14:textId="77777777" w:rsidR="00FD6246" w:rsidRPr="00746E61" w:rsidRDefault="00FD6246" w:rsidP="00746E61">
            <w:pPr>
              <w:spacing w:line="276" w:lineRule="auto"/>
              <w:jc w:val="center"/>
              <w:rPr>
                <w:rFonts w:ascii="Book Antiqua" w:hAnsi="Book Antiqua" w:cs="Calibri"/>
                <w:b/>
                <w:bCs/>
                <w:color w:val="3A3838"/>
                <w:sz w:val="16"/>
                <w:szCs w:val="16"/>
                <w:lang w:eastAsia="es-CR"/>
              </w:rPr>
            </w:pPr>
            <w:r w:rsidRPr="00746E61">
              <w:rPr>
                <w:rFonts w:ascii="Book Antiqua" w:hAnsi="Book Antiqua" w:cs="Calibri"/>
                <w:b/>
                <w:bCs/>
                <w:color w:val="3A3838"/>
                <w:sz w:val="16"/>
                <w:szCs w:val="16"/>
                <w:lang w:eastAsia="es-CR"/>
              </w:rPr>
              <w:t>Aumento/disminución 2021vs2019</w:t>
            </w:r>
          </w:p>
        </w:tc>
        <w:tc>
          <w:tcPr>
            <w:tcW w:w="2340" w:type="dxa"/>
            <w:tcBorders>
              <w:top w:val="single" w:sz="4" w:space="0" w:color="auto"/>
              <w:left w:val="nil"/>
              <w:bottom w:val="single" w:sz="4" w:space="0" w:color="auto"/>
              <w:right w:val="single" w:sz="4" w:space="0" w:color="auto"/>
            </w:tcBorders>
            <w:shd w:val="clear" w:color="000000" w:fill="DDEBF7"/>
            <w:vAlign w:val="center"/>
            <w:hideMark/>
          </w:tcPr>
          <w:p w14:paraId="69508ADF" w14:textId="77777777" w:rsidR="00FD6246" w:rsidRPr="00746E61" w:rsidRDefault="00FD6246" w:rsidP="00746E61">
            <w:pPr>
              <w:spacing w:line="276" w:lineRule="auto"/>
              <w:jc w:val="center"/>
              <w:rPr>
                <w:rFonts w:ascii="Book Antiqua" w:hAnsi="Book Antiqua" w:cs="Calibri"/>
                <w:b/>
                <w:bCs/>
                <w:color w:val="3A3838"/>
                <w:sz w:val="16"/>
                <w:szCs w:val="16"/>
                <w:lang w:eastAsia="es-CR"/>
              </w:rPr>
            </w:pPr>
            <w:r w:rsidRPr="00746E61">
              <w:rPr>
                <w:rFonts w:ascii="Book Antiqua" w:hAnsi="Book Antiqua" w:cs="Calibri"/>
                <w:b/>
                <w:bCs/>
                <w:color w:val="3A3838"/>
                <w:sz w:val="16"/>
                <w:szCs w:val="16"/>
                <w:lang w:eastAsia="es-CR"/>
              </w:rPr>
              <w:t>Aumento/disminución 2021vs2020</w:t>
            </w:r>
          </w:p>
        </w:tc>
      </w:tr>
      <w:tr w:rsidR="00FD6246" w:rsidRPr="00746E61" w14:paraId="79A8EF96" w14:textId="77777777" w:rsidTr="00FD6246">
        <w:trPr>
          <w:trHeight w:val="290"/>
          <w:jc w:val="center"/>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78DBA0B4" w14:textId="77777777" w:rsidR="00FD6246" w:rsidRPr="00746E61" w:rsidRDefault="00FD6246"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Sala Tercera</w:t>
            </w:r>
          </w:p>
        </w:tc>
        <w:tc>
          <w:tcPr>
            <w:tcW w:w="1200" w:type="dxa"/>
            <w:tcBorders>
              <w:top w:val="nil"/>
              <w:left w:val="nil"/>
              <w:bottom w:val="single" w:sz="4" w:space="0" w:color="auto"/>
              <w:right w:val="single" w:sz="4" w:space="0" w:color="auto"/>
            </w:tcBorders>
            <w:shd w:val="clear" w:color="auto" w:fill="auto"/>
            <w:noWrap/>
            <w:vAlign w:val="center"/>
            <w:hideMark/>
          </w:tcPr>
          <w:p w14:paraId="1CB11866" w14:textId="77777777" w:rsidR="00FD6246" w:rsidRPr="00746E61" w:rsidRDefault="00FD624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111</w:t>
            </w:r>
          </w:p>
        </w:tc>
        <w:tc>
          <w:tcPr>
            <w:tcW w:w="1200" w:type="dxa"/>
            <w:tcBorders>
              <w:top w:val="nil"/>
              <w:left w:val="nil"/>
              <w:bottom w:val="single" w:sz="4" w:space="0" w:color="auto"/>
              <w:right w:val="single" w:sz="4" w:space="0" w:color="auto"/>
            </w:tcBorders>
            <w:shd w:val="clear" w:color="auto" w:fill="auto"/>
            <w:noWrap/>
            <w:vAlign w:val="center"/>
            <w:hideMark/>
          </w:tcPr>
          <w:p w14:paraId="5101B009" w14:textId="77777777" w:rsidR="00FD6246" w:rsidRPr="00746E61" w:rsidRDefault="00FD624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126</w:t>
            </w:r>
          </w:p>
        </w:tc>
        <w:tc>
          <w:tcPr>
            <w:tcW w:w="1200" w:type="dxa"/>
            <w:tcBorders>
              <w:top w:val="nil"/>
              <w:left w:val="nil"/>
              <w:bottom w:val="single" w:sz="4" w:space="0" w:color="auto"/>
              <w:right w:val="single" w:sz="4" w:space="0" w:color="auto"/>
            </w:tcBorders>
            <w:shd w:val="clear" w:color="auto" w:fill="auto"/>
            <w:noWrap/>
            <w:vAlign w:val="center"/>
            <w:hideMark/>
          </w:tcPr>
          <w:p w14:paraId="48CB1ED6" w14:textId="77777777" w:rsidR="00FD6246" w:rsidRPr="00746E61" w:rsidRDefault="00FD624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113</w:t>
            </w:r>
          </w:p>
        </w:tc>
        <w:tc>
          <w:tcPr>
            <w:tcW w:w="2280" w:type="dxa"/>
            <w:tcBorders>
              <w:top w:val="nil"/>
              <w:left w:val="nil"/>
              <w:bottom w:val="single" w:sz="4" w:space="0" w:color="auto"/>
              <w:right w:val="single" w:sz="4" w:space="0" w:color="auto"/>
            </w:tcBorders>
            <w:shd w:val="clear" w:color="auto" w:fill="auto"/>
            <w:vAlign w:val="center"/>
            <w:hideMark/>
          </w:tcPr>
          <w:p w14:paraId="336AE237" w14:textId="77777777" w:rsidR="00FD6246" w:rsidRPr="00746E61" w:rsidRDefault="00FD624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1,27%</w:t>
            </w:r>
          </w:p>
        </w:tc>
        <w:tc>
          <w:tcPr>
            <w:tcW w:w="2340" w:type="dxa"/>
            <w:tcBorders>
              <w:top w:val="nil"/>
              <w:left w:val="nil"/>
              <w:bottom w:val="single" w:sz="4" w:space="0" w:color="auto"/>
              <w:right w:val="single" w:sz="4" w:space="0" w:color="auto"/>
            </w:tcBorders>
            <w:shd w:val="clear" w:color="auto" w:fill="auto"/>
            <w:vAlign w:val="center"/>
            <w:hideMark/>
          </w:tcPr>
          <w:p w14:paraId="26753618" w14:textId="77777777" w:rsidR="00FD6246" w:rsidRPr="00746E61" w:rsidRDefault="00FD624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-10,27%</w:t>
            </w:r>
          </w:p>
        </w:tc>
      </w:tr>
    </w:tbl>
    <w:p w14:paraId="4DCF3F1B" w14:textId="77777777" w:rsidR="00AB7147" w:rsidRPr="00746E61" w:rsidRDefault="00AB7147" w:rsidP="00746E61">
      <w:pPr>
        <w:spacing w:line="276" w:lineRule="auto"/>
        <w:jc w:val="center"/>
        <w:rPr>
          <w:rFonts w:ascii="Book Antiqua" w:hAnsi="Book Antiqua"/>
          <w:lang w:val="es-ES_tradnl" w:eastAsia="en-US"/>
        </w:rPr>
      </w:pPr>
      <w:r w:rsidRPr="00746E61">
        <w:rPr>
          <w:rFonts w:ascii="Book Antiqua" w:hAnsi="Book Antiqua" w:cs="Calibri"/>
          <w:b/>
          <w:bCs/>
          <w:color w:val="000000"/>
          <w:sz w:val="20"/>
          <w:szCs w:val="20"/>
          <w:lang w:eastAsia="es-CR"/>
        </w:rPr>
        <w:t>Fuente:</w:t>
      </w:r>
      <w:r w:rsidRPr="00746E61">
        <w:rPr>
          <w:rFonts w:ascii="Book Antiqua" w:hAnsi="Book Antiqua" w:cs="Calibri"/>
          <w:color w:val="000000"/>
          <w:sz w:val="20"/>
          <w:szCs w:val="20"/>
          <w:lang w:eastAsia="es-CR"/>
        </w:rPr>
        <w:t xml:space="preserve"> Elaboración propia a partir de las estadísticas del Subproceso de Estadística</w:t>
      </w:r>
    </w:p>
    <w:p w14:paraId="5F9EC3A1" w14:textId="30C02C8C" w:rsidR="006158CA" w:rsidRDefault="006E2B36" w:rsidP="00746E61">
      <w:pPr>
        <w:spacing w:line="276" w:lineRule="auto"/>
        <w:rPr>
          <w:rFonts w:ascii="Book Antiqua" w:hAnsi="Book Antiqua"/>
          <w:lang w:val="es-ES_tradnl" w:eastAsia="en-US"/>
        </w:rPr>
      </w:pPr>
      <w:r>
        <w:rPr>
          <w:rFonts w:ascii="Book Antiqua" w:hAnsi="Book Antiqua"/>
          <w:lang w:val="es-ES_tradnl" w:eastAsia="en-US"/>
        </w:rPr>
        <w:t xml:space="preserve">Es importante señalar, que la Sala Tercera ha minimizado los plazos de respuesta, de tal forma que según los registros estadísticos se </w:t>
      </w:r>
      <w:proofErr w:type="spellStart"/>
      <w:r>
        <w:rPr>
          <w:rFonts w:ascii="Book Antiqua" w:hAnsi="Book Antiqua"/>
          <w:lang w:val="es-ES_tradnl" w:eastAsia="en-US"/>
        </w:rPr>
        <w:t>paso</w:t>
      </w:r>
      <w:proofErr w:type="spellEnd"/>
      <w:r>
        <w:rPr>
          <w:rFonts w:ascii="Book Antiqua" w:hAnsi="Book Antiqua"/>
          <w:lang w:val="es-ES_tradnl" w:eastAsia="en-US"/>
        </w:rPr>
        <w:t xml:space="preserve"> en promedio de 4.8 meses en el 2019 a 3.55 meses en el 2021.</w:t>
      </w:r>
    </w:p>
    <w:p w14:paraId="209AAA19" w14:textId="5779D69E" w:rsidR="006E2B36" w:rsidRPr="00746E61" w:rsidRDefault="006E2B36" w:rsidP="00746E61">
      <w:pPr>
        <w:spacing w:line="276" w:lineRule="auto"/>
        <w:rPr>
          <w:rFonts w:ascii="Book Antiqua" w:hAnsi="Book Antiqua"/>
          <w:lang w:val="es-ES_tradnl" w:eastAsia="en-US"/>
        </w:rPr>
      </w:pPr>
    </w:p>
    <w:p w14:paraId="294AFD3A" w14:textId="3DDE3FEC" w:rsidR="006158CA" w:rsidRPr="00746E61" w:rsidRDefault="3A77735B" w:rsidP="57A79FF7">
      <w:pPr>
        <w:spacing w:line="276" w:lineRule="auto"/>
        <w:outlineLvl w:val="2"/>
        <w:rPr>
          <w:rFonts w:ascii="Book Antiqua" w:hAnsi="Book Antiqua"/>
          <w:b/>
          <w:lang w:val="es-ES" w:eastAsia="en-US"/>
        </w:rPr>
      </w:pPr>
      <w:r w:rsidRPr="57A79FF7">
        <w:rPr>
          <w:rFonts w:ascii="Book Antiqua" w:hAnsi="Book Antiqua"/>
          <w:b/>
          <w:bCs/>
          <w:lang w:val="es-ES" w:eastAsia="en-US"/>
        </w:rPr>
        <w:t xml:space="preserve">3.6.3 </w:t>
      </w:r>
      <w:r w:rsidR="006158CA" w:rsidRPr="57A79FF7">
        <w:rPr>
          <w:rFonts w:ascii="Book Antiqua" w:hAnsi="Book Antiqua"/>
          <w:b/>
          <w:lang w:val="es-ES" w:eastAsia="en-US"/>
        </w:rPr>
        <w:t>Circulante en trámite</w:t>
      </w:r>
    </w:p>
    <w:p w14:paraId="3CE15650" w14:textId="77777777" w:rsidR="006158CA" w:rsidRPr="00746E61" w:rsidRDefault="006158CA" w:rsidP="00746E61">
      <w:pPr>
        <w:spacing w:line="276" w:lineRule="auto"/>
        <w:jc w:val="center"/>
        <w:rPr>
          <w:rFonts w:ascii="Book Antiqua" w:hAnsi="Book Antiqua"/>
          <w:b/>
          <w:bCs/>
          <w:lang w:val="es-ES_tradnl" w:eastAsia="en-US"/>
        </w:rPr>
      </w:pPr>
    </w:p>
    <w:p w14:paraId="197A603F" w14:textId="085776FC" w:rsidR="006158CA" w:rsidRPr="00746E61" w:rsidRDefault="00FF3089" w:rsidP="00746E61">
      <w:pPr>
        <w:widowControl w:val="0"/>
        <w:autoSpaceDE w:val="0"/>
        <w:spacing w:line="276" w:lineRule="auto"/>
        <w:ind w:right="51"/>
        <w:jc w:val="both"/>
        <w:rPr>
          <w:rFonts w:ascii="Book Antiqua" w:hAnsi="Book Antiqua" w:cs="Arial"/>
        </w:rPr>
      </w:pPr>
      <w:r w:rsidRPr="00746E61">
        <w:rPr>
          <w:rFonts w:ascii="Book Antiqua" w:hAnsi="Book Antiqua" w:cs="Arial"/>
        </w:rPr>
        <w:t xml:space="preserve">Al concluir el mes de </w:t>
      </w:r>
      <w:r w:rsidR="00FD6246" w:rsidRPr="00746E61">
        <w:rPr>
          <w:rFonts w:ascii="Book Antiqua" w:hAnsi="Book Antiqua" w:cs="Arial"/>
        </w:rPr>
        <w:t>setiembre</w:t>
      </w:r>
      <w:r w:rsidRPr="00746E61">
        <w:rPr>
          <w:rFonts w:ascii="Book Antiqua" w:hAnsi="Book Antiqua" w:cs="Arial"/>
        </w:rPr>
        <w:t xml:space="preserve"> de 2021, se refleja 3</w:t>
      </w:r>
      <w:r w:rsidR="00FD6246" w:rsidRPr="00746E61">
        <w:rPr>
          <w:rFonts w:ascii="Book Antiqua" w:hAnsi="Book Antiqua" w:cs="Arial"/>
        </w:rPr>
        <w:t>01</w:t>
      </w:r>
      <w:r w:rsidRPr="00746E61">
        <w:rPr>
          <w:rFonts w:ascii="Book Antiqua" w:hAnsi="Book Antiqua" w:cs="Arial"/>
        </w:rPr>
        <w:t xml:space="preserve"> causas pendientes de finalizar, lo que significa que, en comparación con diciembre de 2019, su circulante disminuyó en un </w:t>
      </w:r>
      <w:r w:rsidR="00FD6246" w:rsidRPr="00746E61">
        <w:rPr>
          <w:rFonts w:ascii="Book Antiqua" w:hAnsi="Book Antiqua" w:cs="Arial"/>
        </w:rPr>
        <w:t>35</w:t>
      </w:r>
      <w:r w:rsidRPr="00746E61">
        <w:rPr>
          <w:rFonts w:ascii="Book Antiqua" w:hAnsi="Book Antiqua" w:cs="Arial"/>
        </w:rPr>
        <w:t>.</w:t>
      </w:r>
      <w:r w:rsidR="00FD6246" w:rsidRPr="00746E61">
        <w:rPr>
          <w:rFonts w:ascii="Book Antiqua" w:hAnsi="Book Antiqua" w:cs="Arial"/>
        </w:rPr>
        <w:t>96</w:t>
      </w:r>
      <w:r w:rsidRPr="00746E61">
        <w:rPr>
          <w:rFonts w:ascii="Book Antiqua" w:hAnsi="Book Antiqua" w:cs="Arial"/>
        </w:rPr>
        <w:t>%</w:t>
      </w:r>
      <w:r w:rsidR="00F54491" w:rsidRPr="00746E61">
        <w:rPr>
          <w:rFonts w:ascii="Book Antiqua" w:hAnsi="Book Antiqua" w:cs="Arial"/>
        </w:rPr>
        <w:t xml:space="preserve"> y un </w:t>
      </w:r>
      <w:r w:rsidR="00FD6246" w:rsidRPr="00746E61">
        <w:rPr>
          <w:rFonts w:ascii="Book Antiqua" w:hAnsi="Book Antiqua" w:cs="Arial"/>
        </w:rPr>
        <w:t>6.52</w:t>
      </w:r>
      <w:r w:rsidR="00F54491" w:rsidRPr="00746E61">
        <w:rPr>
          <w:rFonts w:ascii="Book Antiqua" w:hAnsi="Book Antiqua" w:cs="Arial"/>
        </w:rPr>
        <w:t>% con respecto al año anterior.</w:t>
      </w:r>
      <w:r w:rsidR="00081D36" w:rsidRPr="00746E61">
        <w:rPr>
          <w:rFonts w:ascii="Book Antiqua" w:hAnsi="Book Antiqua" w:cs="Arial"/>
        </w:rPr>
        <w:t xml:space="preserve"> </w:t>
      </w:r>
      <w:r w:rsidR="006158CA" w:rsidRPr="00746E61">
        <w:rPr>
          <w:rFonts w:ascii="Book Antiqua" w:hAnsi="Book Antiqua" w:cs="Arial"/>
        </w:rPr>
        <w:t xml:space="preserve">En el </w:t>
      </w:r>
      <w:r w:rsidR="006158CA" w:rsidRPr="00746E61">
        <w:rPr>
          <w:rFonts w:ascii="Book Antiqua" w:hAnsi="Book Antiqua" w:cs="Arial"/>
          <w:b/>
          <w:bCs/>
        </w:rPr>
        <w:t>Cuadro 30</w:t>
      </w:r>
      <w:r w:rsidR="006158CA" w:rsidRPr="00746E61">
        <w:rPr>
          <w:rFonts w:ascii="Book Antiqua" w:hAnsi="Book Antiqua" w:cs="Arial"/>
        </w:rPr>
        <w:t>, muestra lo expuesto.</w:t>
      </w:r>
    </w:p>
    <w:p w14:paraId="6A23899D" w14:textId="77777777" w:rsidR="00081D36" w:rsidRPr="00746E61" w:rsidRDefault="00081D36" w:rsidP="00746E61">
      <w:pPr>
        <w:widowControl w:val="0"/>
        <w:autoSpaceDE w:val="0"/>
        <w:spacing w:line="276" w:lineRule="auto"/>
        <w:ind w:right="51"/>
        <w:jc w:val="both"/>
        <w:rPr>
          <w:rFonts w:ascii="Book Antiqua" w:hAnsi="Book Antiqua" w:cs="Arial"/>
        </w:rPr>
      </w:pPr>
    </w:p>
    <w:p w14:paraId="06CB038B" w14:textId="00C832D6" w:rsidR="006158CA" w:rsidRPr="00746E61" w:rsidRDefault="006158CA" w:rsidP="00746E61">
      <w:pPr>
        <w:widowControl w:val="0"/>
        <w:autoSpaceDE w:val="0"/>
        <w:spacing w:line="276" w:lineRule="auto"/>
        <w:ind w:right="51"/>
        <w:jc w:val="center"/>
        <w:rPr>
          <w:rFonts w:ascii="Book Antiqua" w:hAnsi="Book Antiqua" w:cs="Arial"/>
          <w:b/>
          <w:bCs/>
        </w:rPr>
      </w:pPr>
      <w:r w:rsidRPr="00746E61">
        <w:rPr>
          <w:rFonts w:ascii="Book Antiqua" w:hAnsi="Book Antiqua" w:cs="Arial"/>
          <w:b/>
          <w:bCs/>
        </w:rPr>
        <w:t>Cuadro 30</w:t>
      </w:r>
    </w:p>
    <w:p w14:paraId="355396E1" w14:textId="06BBA9B5" w:rsidR="006158CA" w:rsidRPr="00746E61" w:rsidRDefault="006158CA" w:rsidP="00746E61">
      <w:pPr>
        <w:widowControl w:val="0"/>
        <w:autoSpaceDE w:val="0"/>
        <w:spacing w:line="276" w:lineRule="auto"/>
        <w:ind w:right="51"/>
        <w:jc w:val="center"/>
        <w:rPr>
          <w:rFonts w:ascii="Book Antiqua" w:hAnsi="Book Antiqua" w:cs="Arial"/>
        </w:rPr>
      </w:pPr>
      <w:r w:rsidRPr="00746E61">
        <w:rPr>
          <w:rFonts w:ascii="Book Antiqua" w:hAnsi="Book Antiqua" w:cs="Arial"/>
        </w:rPr>
        <w:t>Cantidad de circulante en trámite de Sala Tercera</w:t>
      </w:r>
    </w:p>
    <w:p w14:paraId="62D01618" w14:textId="104C4111" w:rsidR="006158CA" w:rsidRPr="00746E61" w:rsidRDefault="006158CA" w:rsidP="00746E61">
      <w:pPr>
        <w:widowControl w:val="0"/>
        <w:autoSpaceDE w:val="0"/>
        <w:spacing w:line="276" w:lineRule="auto"/>
        <w:ind w:right="51"/>
        <w:jc w:val="center"/>
        <w:rPr>
          <w:rFonts w:ascii="Book Antiqua" w:hAnsi="Book Antiqua" w:cs="Arial"/>
        </w:rPr>
      </w:pPr>
      <w:r w:rsidRPr="00746E61">
        <w:rPr>
          <w:rFonts w:ascii="Book Antiqua" w:hAnsi="Book Antiqua" w:cs="Arial"/>
        </w:rPr>
        <w:t xml:space="preserve">Al finalizar los años 2019, 2020 y mes de </w:t>
      </w:r>
      <w:r w:rsidR="00FD6246" w:rsidRPr="00746E61">
        <w:rPr>
          <w:rFonts w:ascii="Book Antiqua" w:hAnsi="Book Antiqua" w:cs="Arial"/>
        </w:rPr>
        <w:t>setiembre</w:t>
      </w:r>
      <w:r w:rsidRPr="00746E61">
        <w:rPr>
          <w:rFonts w:ascii="Book Antiqua" w:hAnsi="Book Antiqua" w:cs="Arial"/>
        </w:rPr>
        <w:t xml:space="preserve"> de 2021</w:t>
      </w:r>
    </w:p>
    <w:tbl>
      <w:tblPr>
        <w:tblW w:w="9400" w:type="dxa"/>
        <w:jc w:val="center"/>
        <w:tblCellMar>
          <w:left w:w="70" w:type="dxa"/>
          <w:right w:w="70" w:type="dxa"/>
        </w:tblCellMar>
        <w:tblLook w:val="04A0" w:firstRow="1" w:lastRow="0" w:firstColumn="1" w:lastColumn="0" w:noHBand="0" w:noVBand="1"/>
      </w:tblPr>
      <w:tblGrid>
        <w:gridCol w:w="1180"/>
        <w:gridCol w:w="1200"/>
        <w:gridCol w:w="1200"/>
        <w:gridCol w:w="1200"/>
        <w:gridCol w:w="2280"/>
        <w:gridCol w:w="2340"/>
      </w:tblGrid>
      <w:tr w:rsidR="00FD6246" w:rsidRPr="00746E61" w14:paraId="1A0FF140" w14:textId="77777777" w:rsidTr="00FD6246">
        <w:trPr>
          <w:trHeight w:val="780"/>
          <w:jc w:val="center"/>
        </w:trPr>
        <w:tc>
          <w:tcPr>
            <w:tcW w:w="1180"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7EA7B55B" w14:textId="77777777" w:rsidR="00FD6246" w:rsidRPr="00746E61" w:rsidRDefault="00FD6246" w:rsidP="00746E61">
            <w:pPr>
              <w:spacing w:line="276" w:lineRule="auto"/>
              <w:jc w:val="center"/>
              <w:rPr>
                <w:rFonts w:ascii="Book Antiqua" w:hAnsi="Book Antiqua" w:cs="Calibri"/>
                <w:b/>
                <w:bCs/>
                <w:color w:val="FFFFFF"/>
                <w:sz w:val="16"/>
                <w:szCs w:val="16"/>
                <w:lang w:eastAsia="es-CR"/>
              </w:rPr>
            </w:pPr>
            <w:r w:rsidRPr="00746E61">
              <w:rPr>
                <w:rFonts w:ascii="Book Antiqua" w:hAnsi="Book Antiqua" w:cs="Calibri"/>
                <w:b/>
                <w:bCs/>
                <w:color w:val="FFFFFF"/>
                <w:sz w:val="16"/>
                <w:szCs w:val="16"/>
                <w:lang w:eastAsia="es-CR"/>
              </w:rPr>
              <w:t>Despacho</w:t>
            </w:r>
          </w:p>
        </w:tc>
        <w:tc>
          <w:tcPr>
            <w:tcW w:w="1200" w:type="dxa"/>
            <w:tcBorders>
              <w:top w:val="single" w:sz="4" w:space="0" w:color="auto"/>
              <w:left w:val="nil"/>
              <w:bottom w:val="single" w:sz="4" w:space="0" w:color="auto"/>
              <w:right w:val="single" w:sz="4" w:space="0" w:color="auto"/>
            </w:tcBorders>
            <w:shd w:val="clear" w:color="000000" w:fill="305496"/>
            <w:vAlign w:val="center"/>
            <w:hideMark/>
          </w:tcPr>
          <w:p w14:paraId="02E5725A" w14:textId="77777777" w:rsidR="00FD6246" w:rsidRPr="00746E61" w:rsidRDefault="00FD6246" w:rsidP="00746E61">
            <w:pPr>
              <w:spacing w:line="276" w:lineRule="auto"/>
              <w:jc w:val="center"/>
              <w:rPr>
                <w:rFonts w:ascii="Book Antiqua" w:hAnsi="Book Antiqua" w:cs="Calibri"/>
                <w:b/>
                <w:bCs/>
                <w:color w:val="FFFFFF"/>
                <w:sz w:val="16"/>
                <w:szCs w:val="16"/>
                <w:lang w:eastAsia="es-CR"/>
              </w:rPr>
            </w:pPr>
            <w:r w:rsidRPr="00746E61">
              <w:rPr>
                <w:rFonts w:ascii="Book Antiqua" w:hAnsi="Book Antiqua" w:cs="Calibri"/>
                <w:b/>
                <w:bCs/>
                <w:color w:val="FFFFFF"/>
                <w:sz w:val="16"/>
                <w:szCs w:val="16"/>
                <w:lang w:eastAsia="es-CR"/>
              </w:rPr>
              <w:t>Circulante en Trámite 2019</w:t>
            </w:r>
          </w:p>
        </w:tc>
        <w:tc>
          <w:tcPr>
            <w:tcW w:w="1200" w:type="dxa"/>
            <w:tcBorders>
              <w:top w:val="single" w:sz="4" w:space="0" w:color="auto"/>
              <w:left w:val="nil"/>
              <w:bottom w:val="single" w:sz="4" w:space="0" w:color="auto"/>
              <w:right w:val="single" w:sz="4" w:space="0" w:color="auto"/>
            </w:tcBorders>
            <w:shd w:val="clear" w:color="000000" w:fill="305496"/>
            <w:vAlign w:val="center"/>
            <w:hideMark/>
          </w:tcPr>
          <w:p w14:paraId="376097C6" w14:textId="77777777" w:rsidR="00FD6246" w:rsidRPr="00746E61" w:rsidRDefault="00FD6246" w:rsidP="00746E61">
            <w:pPr>
              <w:spacing w:line="276" w:lineRule="auto"/>
              <w:jc w:val="center"/>
              <w:rPr>
                <w:rFonts w:ascii="Book Antiqua" w:hAnsi="Book Antiqua" w:cs="Calibri"/>
                <w:b/>
                <w:bCs/>
                <w:color w:val="FFFFFF"/>
                <w:sz w:val="16"/>
                <w:szCs w:val="16"/>
                <w:lang w:eastAsia="es-CR"/>
              </w:rPr>
            </w:pPr>
            <w:r w:rsidRPr="00746E61">
              <w:rPr>
                <w:rFonts w:ascii="Book Antiqua" w:hAnsi="Book Antiqua" w:cs="Calibri"/>
                <w:b/>
                <w:bCs/>
                <w:color w:val="FFFFFF"/>
                <w:sz w:val="16"/>
                <w:szCs w:val="16"/>
                <w:lang w:eastAsia="es-CR"/>
              </w:rPr>
              <w:t>Circulante en Trámite 2020</w:t>
            </w:r>
          </w:p>
        </w:tc>
        <w:tc>
          <w:tcPr>
            <w:tcW w:w="1200" w:type="dxa"/>
            <w:tcBorders>
              <w:top w:val="single" w:sz="4" w:space="0" w:color="auto"/>
              <w:left w:val="nil"/>
              <w:bottom w:val="single" w:sz="4" w:space="0" w:color="auto"/>
              <w:right w:val="single" w:sz="4" w:space="0" w:color="auto"/>
            </w:tcBorders>
            <w:shd w:val="clear" w:color="000000" w:fill="305496"/>
            <w:vAlign w:val="center"/>
            <w:hideMark/>
          </w:tcPr>
          <w:p w14:paraId="0FAB5FCD" w14:textId="77777777" w:rsidR="00FD6246" w:rsidRPr="00746E61" w:rsidRDefault="00FD6246" w:rsidP="00746E61">
            <w:pPr>
              <w:spacing w:line="276" w:lineRule="auto"/>
              <w:jc w:val="center"/>
              <w:rPr>
                <w:rFonts w:ascii="Book Antiqua" w:hAnsi="Book Antiqua" w:cs="Calibri"/>
                <w:b/>
                <w:bCs/>
                <w:color w:val="FFFFFF"/>
                <w:sz w:val="16"/>
                <w:szCs w:val="16"/>
                <w:lang w:eastAsia="es-CR"/>
              </w:rPr>
            </w:pPr>
            <w:r w:rsidRPr="00746E61">
              <w:rPr>
                <w:rFonts w:ascii="Book Antiqua" w:hAnsi="Book Antiqua" w:cs="Calibri"/>
                <w:b/>
                <w:bCs/>
                <w:color w:val="FFFFFF"/>
                <w:sz w:val="16"/>
                <w:szCs w:val="16"/>
                <w:lang w:eastAsia="es-CR"/>
              </w:rPr>
              <w:t>Circulante en Trámite 2021</w:t>
            </w:r>
          </w:p>
        </w:tc>
        <w:tc>
          <w:tcPr>
            <w:tcW w:w="2280" w:type="dxa"/>
            <w:tcBorders>
              <w:top w:val="single" w:sz="4" w:space="0" w:color="auto"/>
              <w:left w:val="nil"/>
              <w:bottom w:val="single" w:sz="4" w:space="0" w:color="auto"/>
              <w:right w:val="single" w:sz="4" w:space="0" w:color="auto"/>
            </w:tcBorders>
            <w:shd w:val="clear" w:color="000000" w:fill="DDEBF7"/>
            <w:vAlign w:val="center"/>
            <w:hideMark/>
          </w:tcPr>
          <w:p w14:paraId="3C86EFEC" w14:textId="77777777" w:rsidR="00FD6246" w:rsidRPr="00746E61" w:rsidRDefault="00FD6246" w:rsidP="00746E61">
            <w:pPr>
              <w:spacing w:line="276" w:lineRule="auto"/>
              <w:jc w:val="center"/>
              <w:rPr>
                <w:rFonts w:ascii="Book Antiqua" w:hAnsi="Book Antiqua" w:cs="Calibri"/>
                <w:b/>
                <w:bCs/>
                <w:color w:val="3A3838"/>
                <w:sz w:val="16"/>
                <w:szCs w:val="16"/>
                <w:lang w:eastAsia="es-CR"/>
              </w:rPr>
            </w:pPr>
            <w:r w:rsidRPr="00746E61">
              <w:rPr>
                <w:rFonts w:ascii="Book Antiqua" w:hAnsi="Book Antiqua" w:cs="Calibri"/>
                <w:b/>
                <w:bCs/>
                <w:color w:val="3A3838"/>
                <w:sz w:val="16"/>
                <w:szCs w:val="16"/>
                <w:lang w:eastAsia="es-CR"/>
              </w:rPr>
              <w:t>Aumento/disminución 2021vs2019</w:t>
            </w:r>
          </w:p>
        </w:tc>
        <w:tc>
          <w:tcPr>
            <w:tcW w:w="2340" w:type="dxa"/>
            <w:tcBorders>
              <w:top w:val="single" w:sz="4" w:space="0" w:color="auto"/>
              <w:left w:val="nil"/>
              <w:bottom w:val="single" w:sz="4" w:space="0" w:color="auto"/>
              <w:right w:val="single" w:sz="4" w:space="0" w:color="auto"/>
            </w:tcBorders>
            <w:shd w:val="clear" w:color="000000" w:fill="DDEBF7"/>
            <w:vAlign w:val="center"/>
            <w:hideMark/>
          </w:tcPr>
          <w:p w14:paraId="1FAF1045" w14:textId="77777777" w:rsidR="00FD6246" w:rsidRPr="00746E61" w:rsidRDefault="00FD6246" w:rsidP="00746E61">
            <w:pPr>
              <w:spacing w:line="276" w:lineRule="auto"/>
              <w:jc w:val="center"/>
              <w:rPr>
                <w:rFonts w:ascii="Book Antiqua" w:hAnsi="Book Antiqua" w:cs="Calibri"/>
                <w:b/>
                <w:bCs/>
                <w:color w:val="3A3838"/>
                <w:sz w:val="16"/>
                <w:szCs w:val="16"/>
                <w:lang w:eastAsia="es-CR"/>
              </w:rPr>
            </w:pPr>
            <w:r w:rsidRPr="00746E61">
              <w:rPr>
                <w:rFonts w:ascii="Book Antiqua" w:hAnsi="Book Antiqua" w:cs="Calibri"/>
                <w:b/>
                <w:bCs/>
                <w:color w:val="3A3838"/>
                <w:sz w:val="16"/>
                <w:szCs w:val="16"/>
                <w:lang w:eastAsia="es-CR"/>
              </w:rPr>
              <w:t>Aumento/disminución 2021vs2020</w:t>
            </w:r>
          </w:p>
        </w:tc>
      </w:tr>
      <w:tr w:rsidR="00FD6246" w:rsidRPr="00746E61" w14:paraId="41BBAB82" w14:textId="77777777" w:rsidTr="00FD6246">
        <w:trPr>
          <w:trHeight w:val="290"/>
          <w:jc w:val="center"/>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70A6D0FB" w14:textId="77777777" w:rsidR="00FD6246" w:rsidRPr="00746E61" w:rsidRDefault="00FD6246" w:rsidP="00746E61">
            <w:pPr>
              <w:spacing w:line="276" w:lineRule="auto"/>
              <w:rPr>
                <w:rFonts w:ascii="Book Antiqua" w:hAnsi="Book Antiqua" w:cs="Calibri"/>
                <w:sz w:val="16"/>
                <w:szCs w:val="16"/>
                <w:lang w:eastAsia="es-CR"/>
              </w:rPr>
            </w:pPr>
            <w:r w:rsidRPr="00746E61">
              <w:rPr>
                <w:rFonts w:ascii="Book Antiqua" w:hAnsi="Book Antiqua" w:cs="Calibri"/>
                <w:sz w:val="16"/>
                <w:szCs w:val="16"/>
                <w:lang w:eastAsia="es-CR"/>
              </w:rPr>
              <w:t>Sala Tercera</w:t>
            </w:r>
          </w:p>
        </w:tc>
        <w:tc>
          <w:tcPr>
            <w:tcW w:w="1200" w:type="dxa"/>
            <w:tcBorders>
              <w:top w:val="nil"/>
              <w:left w:val="nil"/>
              <w:bottom w:val="single" w:sz="4" w:space="0" w:color="auto"/>
              <w:right w:val="single" w:sz="4" w:space="0" w:color="auto"/>
            </w:tcBorders>
            <w:shd w:val="clear" w:color="auto" w:fill="auto"/>
            <w:noWrap/>
            <w:vAlign w:val="center"/>
            <w:hideMark/>
          </w:tcPr>
          <w:p w14:paraId="4AAC17E2" w14:textId="77777777" w:rsidR="00FD6246" w:rsidRPr="00746E61" w:rsidRDefault="00FD624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470</w:t>
            </w:r>
          </w:p>
        </w:tc>
        <w:tc>
          <w:tcPr>
            <w:tcW w:w="1200" w:type="dxa"/>
            <w:tcBorders>
              <w:top w:val="nil"/>
              <w:left w:val="nil"/>
              <w:bottom w:val="single" w:sz="4" w:space="0" w:color="auto"/>
              <w:right w:val="single" w:sz="4" w:space="0" w:color="auto"/>
            </w:tcBorders>
            <w:shd w:val="clear" w:color="auto" w:fill="auto"/>
            <w:noWrap/>
            <w:vAlign w:val="center"/>
            <w:hideMark/>
          </w:tcPr>
          <w:p w14:paraId="471D05C1" w14:textId="77777777" w:rsidR="00FD6246" w:rsidRPr="00746E61" w:rsidRDefault="00FD624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322</w:t>
            </w:r>
          </w:p>
        </w:tc>
        <w:tc>
          <w:tcPr>
            <w:tcW w:w="1200" w:type="dxa"/>
            <w:tcBorders>
              <w:top w:val="nil"/>
              <w:left w:val="nil"/>
              <w:bottom w:val="single" w:sz="4" w:space="0" w:color="auto"/>
              <w:right w:val="single" w:sz="4" w:space="0" w:color="auto"/>
            </w:tcBorders>
            <w:shd w:val="clear" w:color="auto" w:fill="auto"/>
            <w:noWrap/>
            <w:vAlign w:val="center"/>
            <w:hideMark/>
          </w:tcPr>
          <w:p w14:paraId="3F728FFC" w14:textId="77777777" w:rsidR="00FD6246" w:rsidRPr="00746E61" w:rsidRDefault="00FD624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301</w:t>
            </w:r>
          </w:p>
        </w:tc>
        <w:tc>
          <w:tcPr>
            <w:tcW w:w="2280" w:type="dxa"/>
            <w:tcBorders>
              <w:top w:val="nil"/>
              <w:left w:val="nil"/>
              <w:bottom w:val="single" w:sz="4" w:space="0" w:color="auto"/>
              <w:right w:val="single" w:sz="4" w:space="0" w:color="auto"/>
            </w:tcBorders>
            <w:shd w:val="clear" w:color="auto" w:fill="auto"/>
            <w:vAlign w:val="center"/>
            <w:hideMark/>
          </w:tcPr>
          <w:p w14:paraId="290A8C57" w14:textId="77777777" w:rsidR="00FD6246" w:rsidRPr="00746E61" w:rsidRDefault="00FD624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-35,96%</w:t>
            </w:r>
          </w:p>
        </w:tc>
        <w:tc>
          <w:tcPr>
            <w:tcW w:w="2340" w:type="dxa"/>
            <w:tcBorders>
              <w:top w:val="nil"/>
              <w:left w:val="nil"/>
              <w:bottom w:val="single" w:sz="4" w:space="0" w:color="auto"/>
              <w:right w:val="single" w:sz="4" w:space="0" w:color="auto"/>
            </w:tcBorders>
            <w:shd w:val="clear" w:color="auto" w:fill="auto"/>
            <w:vAlign w:val="center"/>
            <w:hideMark/>
          </w:tcPr>
          <w:p w14:paraId="14B6BEA0" w14:textId="77777777" w:rsidR="00FD6246" w:rsidRPr="00746E61" w:rsidRDefault="00FD6246" w:rsidP="00746E61">
            <w:pPr>
              <w:spacing w:line="276" w:lineRule="auto"/>
              <w:jc w:val="center"/>
              <w:rPr>
                <w:rFonts w:ascii="Book Antiqua" w:hAnsi="Book Antiqua" w:cs="Calibri"/>
                <w:sz w:val="16"/>
                <w:szCs w:val="16"/>
                <w:lang w:eastAsia="es-CR"/>
              </w:rPr>
            </w:pPr>
            <w:r w:rsidRPr="00746E61">
              <w:rPr>
                <w:rFonts w:ascii="Book Antiqua" w:hAnsi="Book Antiqua" w:cs="Calibri"/>
                <w:sz w:val="16"/>
                <w:szCs w:val="16"/>
                <w:lang w:eastAsia="es-CR"/>
              </w:rPr>
              <w:t>-6,52%</w:t>
            </w:r>
          </w:p>
        </w:tc>
      </w:tr>
    </w:tbl>
    <w:p w14:paraId="1383FF1C" w14:textId="2DFE1A44" w:rsidR="00C239C5" w:rsidRPr="00746E61" w:rsidRDefault="00873638" w:rsidP="00746E61">
      <w:pPr>
        <w:spacing w:line="276" w:lineRule="auto"/>
        <w:jc w:val="center"/>
        <w:rPr>
          <w:rFonts w:ascii="Book Antiqua" w:hAnsi="Book Antiqua" w:cs="Calibri"/>
          <w:color w:val="000000"/>
          <w:sz w:val="20"/>
          <w:szCs w:val="20"/>
          <w:lang w:eastAsia="es-CR"/>
        </w:rPr>
      </w:pPr>
      <w:r w:rsidRPr="00746E61">
        <w:rPr>
          <w:rFonts w:ascii="Book Antiqua" w:hAnsi="Book Antiqua" w:cs="Calibri"/>
          <w:b/>
          <w:bCs/>
          <w:color w:val="000000"/>
          <w:sz w:val="20"/>
          <w:szCs w:val="20"/>
          <w:lang w:eastAsia="es-CR"/>
        </w:rPr>
        <w:t>Fuente:</w:t>
      </w:r>
      <w:r w:rsidRPr="00746E61">
        <w:rPr>
          <w:rFonts w:ascii="Book Antiqua" w:hAnsi="Book Antiqua" w:cs="Calibri"/>
          <w:color w:val="000000"/>
          <w:sz w:val="20"/>
          <w:szCs w:val="20"/>
          <w:lang w:eastAsia="es-CR"/>
        </w:rPr>
        <w:t xml:space="preserve"> Elaboración propia a partir de las estadísticas del Subproceso de Estadística</w:t>
      </w:r>
    </w:p>
    <w:p w14:paraId="08427EF2" w14:textId="7A0CAE07" w:rsidR="0014168A" w:rsidRPr="00746E61" w:rsidRDefault="0014168A" w:rsidP="00746E61">
      <w:pPr>
        <w:spacing w:line="276" w:lineRule="auto"/>
        <w:jc w:val="center"/>
        <w:rPr>
          <w:rFonts w:ascii="Book Antiqua" w:hAnsi="Book Antiqua" w:cs="Calibri"/>
          <w:color w:val="000000"/>
          <w:sz w:val="20"/>
          <w:szCs w:val="20"/>
          <w:lang w:eastAsia="es-CR"/>
        </w:rPr>
      </w:pPr>
    </w:p>
    <w:p w14:paraId="537D3183" w14:textId="77777777" w:rsidR="0014168A" w:rsidRPr="00746E61" w:rsidRDefault="0014168A" w:rsidP="00746E61">
      <w:pPr>
        <w:spacing w:line="276" w:lineRule="auto"/>
        <w:jc w:val="center"/>
        <w:rPr>
          <w:rFonts w:ascii="Book Antiqua" w:hAnsi="Book Antiqua"/>
          <w:lang w:val="es-ES_tradnl" w:eastAsia="en-US"/>
        </w:rPr>
      </w:pPr>
    </w:p>
    <w:p w14:paraId="3BDFEDF5" w14:textId="77777777" w:rsidR="000B79A6" w:rsidRDefault="000B79A6">
      <w:pPr>
        <w:rPr>
          <w:rFonts w:ascii="Book Antiqua" w:eastAsia="Calibri" w:hAnsi="Book Antiqua" w:cs="Arial"/>
          <w:b/>
          <w:bCs/>
          <w:color w:val="000000" w:themeColor="text1"/>
          <w:kern w:val="32"/>
          <w:szCs w:val="22"/>
          <w:lang w:val="es-ES_tradnl" w:eastAsia="en-US"/>
        </w:rPr>
      </w:pPr>
      <w:r>
        <w:rPr>
          <w:bCs/>
        </w:rPr>
        <w:br w:type="page"/>
      </w:r>
    </w:p>
    <w:p w14:paraId="7FF6AE06" w14:textId="77777777" w:rsidR="000B79A6" w:rsidRDefault="000B79A6" w:rsidP="00746E61">
      <w:pPr>
        <w:pStyle w:val="Ttulo1"/>
        <w:spacing w:line="276" w:lineRule="auto"/>
        <w:rPr>
          <w:bCs/>
        </w:rPr>
      </w:pPr>
    </w:p>
    <w:p w14:paraId="4D174D3F" w14:textId="18B8ADF7" w:rsidR="00776798" w:rsidRPr="00746E61" w:rsidRDefault="00776798" w:rsidP="00746E61">
      <w:pPr>
        <w:pStyle w:val="Ttulo1"/>
        <w:spacing w:line="276" w:lineRule="auto"/>
        <w:rPr>
          <w:b w:val="0"/>
          <w:bCs/>
        </w:rPr>
      </w:pPr>
      <w:r w:rsidRPr="00746E61">
        <w:rPr>
          <w:bCs/>
        </w:rPr>
        <w:t xml:space="preserve">CAPITULO </w:t>
      </w:r>
      <w:r w:rsidR="00222669" w:rsidRPr="00746E61">
        <w:rPr>
          <w:bCs/>
        </w:rPr>
        <w:t>I</w:t>
      </w:r>
      <w:r w:rsidR="00D57B06" w:rsidRPr="00746E61">
        <w:rPr>
          <w:bCs/>
        </w:rPr>
        <w:t>V</w:t>
      </w:r>
      <w:r w:rsidRPr="00746E61">
        <w:rPr>
          <w:bCs/>
        </w:rPr>
        <w:t xml:space="preserve">. RESULTADOS DE MATERIA PENAL </w:t>
      </w:r>
      <w:r w:rsidR="003108D8" w:rsidRPr="00746E61">
        <w:rPr>
          <w:bCs/>
        </w:rPr>
        <w:t xml:space="preserve">DE MAYO </w:t>
      </w:r>
    </w:p>
    <w:p w14:paraId="6FE3626B" w14:textId="77777777" w:rsidR="00776798" w:rsidRPr="00746E61" w:rsidRDefault="00776798" w:rsidP="00746E61">
      <w:pPr>
        <w:shd w:val="clear" w:color="auto" w:fill="FFFFFF" w:themeFill="background1"/>
        <w:spacing w:line="276" w:lineRule="auto"/>
        <w:jc w:val="both"/>
        <w:rPr>
          <w:rFonts w:ascii="Book Antiqua" w:hAnsi="Book Antiqua"/>
          <w:b/>
          <w:bCs/>
          <w:lang w:val="es-ES_tradnl" w:eastAsia="en-US"/>
        </w:rPr>
      </w:pPr>
    </w:p>
    <w:p w14:paraId="64F803E1" w14:textId="71087492" w:rsidR="00776798" w:rsidRPr="00746E61" w:rsidRDefault="36AEFFC6" w:rsidP="57A79FF7">
      <w:pPr>
        <w:tabs>
          <w:tab w:val="left" w:pos="426"/>
        </w:tabs>
        <w:spacing w:after="160" w:line="276" w:lineRule="auto"/>
        <w:contextualSpacing/>
        <w:outlineLvl w:val="1"/>
        <w:rPr>
          <w:b/>
          <w:color w:val="000000" w:themeColor="text1"/>
        </w:rPr>
      </w:pPr>
      <w:r w:rsidRPr="57A79FF7">
        <w:rPr>
          <w:rFonts w:ascii="Book Antiqua" w:hAnsi="Book Antiqua"/>
          <w:b/>
          <w:bCs/>
          <w:color w:val="000000" w:themeColor="text1"/>
        </w:rPr>
        <w:t xml:space="preserve">4. </w:t>
      </w:r>
      <w:r w:rsidR="00776798" w:rsidRPr="00746E61">
        <w:rPr>
          <w:rFonts w:ascii="Book Antiqua" w:hAnsi="Book Antiqua"/>
          <w:b/>
          <w:color w:val="000000" w:themeColor="text1"/>
        </w:rPr>
        <w:t xml:space="preserve">Seguimiento </w:t>
      </w:r>
      <w:r w:rsidR="00C239C5" w:rsidRPr="00746E61">
        <w:rPr>
          <w:rFonts w:ascii="Book Antiqua" w:hAnsi="Book Antiqua"/>
          <w:b/>
          <w:color w:val="000000" w:themeColor="text1"/>
        </w:rPr>
        <w:t xml:space="preserve">de </w:t>
      </w:r>
      <w:r w:rsidR="00776798" w:rsidRPr="00746E61">
        <w:rPr>
          <w:rFonts w:ascii="Book Antiqua" w:hAnsi="Book Antiqua"/>
          <w:b/>
          <w:color w:val="000000" w:themeColor="text1"/>
        </w:rPr>
        <w:t xml:space="preserve">resultados de materia penal </w:t>
      </w:r>
      <w:r w:rsidR="00C239C5" w:rsidRPr="00746E61">
        <w:rPr>
          <w:rFonts w:ascii="Book Antiqua" w:hAnsi="Book Antiqua"/>
          <w:b/>
          <w:color w:val="000000" w:themeColor="text1"/>
        </w:rPr>
        <w:t>d</w:t>
      </w:r>
      <w:r w:rsidR="00776798" w:rsidRPr="00746E61">
        <w:rPr>
          <w:rFonts w:ascii="Book Antiqua" w:hAnsi="Book Antiqua"/>
          <w:b/>
          <w:color w:val="000000" w:themeColor="text1"/>
        </w:rPr>
        <w:t xml:space="preserve">el mes de </w:t>
      </w:r>
      <w:r w:rsidR="00B54589" w:rsidRPr="00746E61">
        <w:rPr>
          <w:rFonts w:ascii="Book Antiqua" w:hAnsi="Book Antiqua"/>
          <w:b/>
          <w:color w:val="000000" w:themeColor="text1"/>
        </w:rPr>
        <w:t>mayo</w:t>
      </w:r>
    </w:p>
    <w:p w14:paraId="19B9C2BB" w14:textId="4D5D37A8" w:rsidR="00776798" w:rsidRPr="00746E61" w:rsidRDefault="00776798" w:rsidP="00746E61">
      <w:pPr>
        <w:spacing w:line="276" w:lineRule="auto"/>
        <w:jc w:val="both"/>
        <w:rPr>
          <w:rFonts w:ascii="Book Antiqua" w:hAnsi="Book Antiqua"/>
          <w:color w:val="000000" w:themeColor="text1"/>
        </w:rPr>
      </w:pPr>
      <w:r w:rsidRPr="00746E61">
        <w:rPr>
          <w:rFonts w:ascii="Book Antiqua" w:hAnsi="Book Antiqua"/>
          <w:color w:val="000000" w:themeColor="text1"/>
        </w:rPr>
        <w:t>La Dirección de Planificación a través de la circular 61-20, es la responsable del seguimiento de los resultados de los planes de trabajo de los Juzgados Penales, Tribunales de Juicio, Tribunal y Secciones de Flagrancia, Juzgados de Ejecución de la Pena, Tribunal de Apelación, Sala Tercera, semana a semana cada una de esas oficinas presenta sus datos y son revisados por profesionales de dicha dirección, quienes dan retroalimentación en el llenado de ellos por alguna inconsistencia y de manera mensual se sistematiza la información, circular 101-2020.</w:t>
      </w:r>
      <w:r w:rsidR="00945C91" w:rsidRPr="00746E61">
        <w:rPr>
          <w:rFonts w:ascii="Book Antiqua" w:hAnsi="Book Antiqua"/>
          <w:color w:val="000000" w:themeColor="text1"/>
        </w:rPr>
        <w:t xml:space="preserve"> De manera complementaria la Corte Plena en sesión N°12-2021 del 22 de marzo de 2021, artículo XVII reiteró los informes que se debían de rendir por las oficinas durante la emergencia Covid-19, indicando que a partir del mes de mayo estos serían mediante las matrices de indicadores de gestión</w:t>
      </w:r>
      <w:r w:rsidR="00C239C5" w:rsidRPr="00746E61">
        <w:rPr>
          <w:rFonts w:ascii="Book Antiqua" w:hAnsi="Book Antiqua"/>
          <w:color w:val="000000" w:themeColor="text1"/>
        </w:rPr>
        <w:t>, esto</w:t>
      </w:r>
      <w:r w:rsidR="003F0AA1" w:rsidRPr="00746E61">
        <w:rPr>
          <w:rFonts w:ascii="Book Antiqua" w:hAnsi="Book Antiqua"/>
          <w:color w:val="000000" w:themeColor="text1"/>
        </w:rPr>
        <w:t xml:space="preserve"> aplica</w:t>
      </w:r>
      <w:r w:rsidR="00C239C5" w:rsidRPr="00746E61">
        <w:rPr>
          <w:rFonts w:ascii="Book Antiqua" w:hAnsi="Book Antiqua"/>
          <w:color w:val="000000" w:themeColor="text1"/>
        </w:rPr>
        <w:t>, únicamente para Juzgados Penales, Tribunales Penale</w:t>
      </w:r>
      <w:r w:rsidR="00C75434" w:rsidRPr="00746E61">
        <w:rPr>
          <w:rFonts w:ascii="Book Antiqua" w:hAnsi="Book Antiqua"/>
          <w:color w:val="000000" w:themeColor="text1"/>
        </w:rPr>
        <w:t xml:space="preserve">s, </w:t>
      </w:r>
      <w:r w:rsidR="00C239C5" w:rsidRPr="00746E61">
        <w:rPr>
          <w:rFonts w:ascii="Book Antiqua" w:hAnsi="Book Antiqua"/>
          <w:color w:val="000000" w:themeColor="text1"/>
        </w:rPr>
        <w:t>Secciones de Flagrancia</w:t>
      </w:r>
      <w:r w:rsidR="00C75434" w:rsidRPr="00746E61">
        <w:rPr>
          <w:rFonts w:ascii="Book Antiqua" w:hAnsi="Book Antiqua"/>
          <w:color w:val="000000" w:themeColor="text1"/>
        </w:rPr>
        <w:t xml:space="preserve"> y Juzgados de Ejecución</w:t>
      </w:r>
      <w:r w:rsidR="00C239C5" w:rsidRPr="00746E61">
        <w:rPr>
          <w:rFonts w:ascii="Book Antiqua" w:hAnsi="Book Antiqua"/>
          <w:color w:val="000000" w:themeColor="text1"/>
        </w:rPr>
        <w:t>.</w:t>
      </w:r>
    </w:p>
    <w:p w14:paraId="3435332A" w14:textId="77F8A6A0" w:rsidR="00746E61" w:rsidRDefault="00746E61" w:rsidP="00985591">
      <w:pPr>
        <w:spacing w:line="276" w:lineRule="auto"/>
        <w:rPr>
          <w:rFonts w:ascii="Book Antiqua" w:hAnsi="Book Antiqua"/>
          <w:color w:val="000000" w:themeColor="text1"/>
        </w:rPr>
      </w:pPr>
    </w:p>
    <w:p w14:paraId="191D3633" w14:textId="77777777" w:rsidR="00746E61" w:rsidRPr="00C239C5" w:rsidRDefault="00746E61" w:rsidP="00985591">
      <w:pPr>
        <w:spacing w:line="276" w:lineRule="auto"/>
        <w:rPr>
          <w:rFonts w:ascii="Book Antiqua" w:hAnsi="Book Antiqua"/>
          <w:color w:val="000000" w:themeColor="text1"/>
        </w:rPr>
      </w:pPr>
    </w:p>
    <w:p w14:paraId="1A7988EC" w14:textId="5A8B685A" w:rsidR="00776798" w:rsidRPr="00234B22" w:rsidRDefault="47C71E67" w:rsidP="57A79FF7">
      <w:pPr>
        <w:spacing w:after="160" w:line="276" w:lineRule="auto"/>
        <w:contextualSpacing/>
        <w:jc w:val="both"/>
        <w:outlineLvl w:val="2"/>
        <w:rPr>
          <w:b/>
          <w:color w:val="000000" w:themeColor="text1"/>
        </w:rPr>
      </w:pPr>
      <w:r w:rsidRPr="57A79FF7">
        <w:rPr>
          <w:rFonts w:ascii="Book Antiqua" w:hAnsi="Book Antiqua"/>
          <w:b/>
          <w:bCs/>
          <w:color w:val="000000" w:themeColor="text1"/>
        </w:rPr>
        <w:t xml:space="preserve">4.1 </w:t>
      </w:r>
      <w:r w:rsidR="00B54589" w:rsidRPr="00234B22">
        <w:rPr>
          <w:rFonts w:ascii="Book Antiqua" w:hAnsi="Book Antiqua"/>
          <w:b/>
          <w:color w:val="000000" w:themeColor="text1"/>
        </w:rPr>
        <w:t>Resultado</w:t>
      </w:r>
      <w:r w:rsidR="00776798" w:rsidRPr="00234B22">
        <w:rPr>
          <w:rFonts w:ascii="Book Antiqua" w:hAnsi="Book Antiqua"/>
          <w:b/>
          <w:color w:val="000000" w:themeColor="text1"/>
        </w:rPr>
        <w:t xml:space="preserve"> de</w:t>
      </w:r>
      <w:r w:rsidR="0087206C" w:rsidRPr="00234B22">
        <w:rPr>
          <w:rFonts w:ascii="Book Antiqua" w:hAnsi="Book Antiqua"/>
          <w:b/>
          <w:color w:val="000000" w:themeColor="text1"/>
        </w:rPr>
        <w:t>l</w:t>
      </w:r>
      <w:r w:rsidR="00776798" w:rsidRPr="00234B22">
        <w:rPr>
          <w:rFonts w:ascii="Book Antiqua" w:hAnsi="Book Antiqua"/>
          <w:b/>
          <w:color w:val="000000" w:themeColor="text1"/>
        </w:rPr>
        <w:t xml:space="preserve"> desglose de actividades</w:t>
      </w:r>
      <w:r w:rsidR="003108D8" w:rsidRPr="00234B22">
        <w:rPr>
          <w:rFonts w:ascii="Book Antiqua" w:hAnsi="Book Antiqua"/>
          <w:b/>
          <w:color w:val="000000" w:themeColor="text1"/>
        </w:rPr>
        <w:t xml:space="preserve"> </w:t>
      </w:r>
      <w:r w:rsidR="00B54589" w:rsidRPr="00234B22">
        <w:rPr>
          <w:rFonts w:ascii="Book Antiqua" w:hAnsi="Book Antiqua"/>
          <w:b/>
          <w:color w:val="000000" w:themeColor="text1"/>
        </w:rPr>
        <w:t>principales</w:t>
      </w:r>
      <w:r w:rsidR="003108D8" w:rsidRPr="00234B22">
        <w:rPr>
          <w:rFonts w:ascii="Book Antiqua" w:hAnsi="Book Antiqua"/>
          <w:b/>
          <w:color w:val="000000" w:themeColor="text1"/>
        </w:rPr>
        <w:t xml:space="preserve"> del personal de la judicatura</w:t>
      </w:r>
    </w:p>
    <w:p w14:paraId="43867D42" w14:textId="77777777" w:rsidR="00776798" w:rsidRPr="00234B22" w:rsidRDefault="00776798" w:rsidP="00985591">
      <w:pPr>
        <w:pStyle w:val="Prrafodelista"/>
        <w:spacing w:line="276" w:lineRule="auto"/>
        <w:ind w:left="1080"/>
        <w:rPr>
          <w:rFonts w:ascii="Book Antiqua" w:hAnsi="Book Antiqua"/>
          <w:b/>
          <w:color w:val="000000" w:themeColor="text1"/>
        </w:rPr>
      </w:pPr>
    </w:p>
    <w:p w14:paraId="1980174F" w14:textId="6D4784B4" w:rsidR="00776798" w:rsidRPr="00234B22" w:rsidRDefault="2E9367AB" w:rsidP="57A79FF7">
      <w:pPr>
        <w:tabs>
          <w:tab w:val="left" w:pos="426"/>
        </w:tabs>
        <w:spacing w:line="276" w:lineRule="auto"/>
        <w:jc w:val="both"/>
        <w:outlineLvl w:val="2"/>
        <w:rPr>
          <w:b/>
          <w:color w:val="000000" w:themeColor="text1"/>
          <w:lang w:eastAsia="es-CR"/>
        </w:rPr>
      </w:pPr>
      <w:r w:rsidRPr="57A79FF7">
        <w:rPr>
          <w:rFonts w:ascii="Book Antiqua" w:hAnsi="Book Antiqua"/>
          <w:b/>
          <w:bCs/>
          <w:color w:val="000000" w:themeColor="text1"/>
        </w:rPr>
        <w:t xml:space="preserve">4.1.1 </w:t>
      </w:r>
      <w:r w:rsidR="00776798" w:rsidRPr="00234B22">
        <w:rPr>
          <w:rFonts w:ascii="Book Antiqua" w:hAnsi="Book Antiqua"/>
          <w:b/>
          <w:bCs/>
          <w:color w:val="000000" w:themeColor="text1"/>
        </w:rPr>
        <w:t>Juzgados Penales</w:t>
      </w:r>
      <w:r w:rsidR="003108D8" w:rsidRPr="00234B22">
        <w:rPr>
          <w:rFonts w:ascii="Book Antiqua" w:hAnsi="Book Antiqua"/>
          <w:b/>
          <w:bCs/>
          <w:color w:val="000000" w:themeColor="text1"/>
        </w:rPr>
        <w:t xml:space="preserve"> </w:t>
      </w:r>
    </w:p>
    <w:p w14:paraId="620AEC5E" w14:textId="77777777" w:rsidR="00776798" w:rsidRPr="000549BF" w:rsidRDefault="00776798" w:rsidP="00985591">
      <w:pPr>
        <w:pStyle w:val="Prrafodelista"/>
        <w:tabs>
          <w:tab w:val="left" w:pos="426"/>
        </w:tabs>
        <w:spacing w:line="276" w:lineRule="auto"/>
        <w:ind w:left="0"/>
        <w:jc w:val="both"/>
        <w:rPr>
          <w:rFonts w:ascii="Book Antiqua" w:hAnsi="Book Antiqua"/>
          <w:color w:val="000000" w:themeColor="text1"/>
        </w:rPr>
      </w:pPr>
    </w:p>
    <w:p w14:paraId="405CFF1D" w14:textId="77777777" w:rsidR="00713303" w:rsidRPr="005F2A2D" w:rsidRDefault="00713303" w:rsidP="00985591">
      <w:pPr>
        <w:spacing w:line="276" w:lineRule="auto"/>
        <w:jc w:val="both"/>
        <w:rPr>
          <w:rFonts w:ascii="Book Antiqua" w:hAnsi="Book Antiqua"/>
          <w:color w:val="000000"/>
        </w:rPr>
      </w:pPr>
      <w:r>
        <w:rPr>
          <w:rFonts w:ascii="Book Antiqua" w:hAnsi="Book Antiqua"/>
          <w:color w:val="000000"/>
          <w:lang w:val="es-ES"/>
        </w:rPr>
        <w:t xml:space="preserve">Según los datos reportados en las matrices de indicadores por los Juzgados Penales, </w:t>
      </w:r>
      <w:r w:rsidRPr="005F2A2D">
        <w:rPr>
          <w:rFonts w:ascii="Book Antiqua" w:hAnsi="Book Antiqua"/>
          <w:color w:val="000000"/>
        </w:rPr>
        <w:t>las</w:t>
      </w:r>
      <w:r>
        <w:rPr>
          <w:rFonts w:ascii="Book Antiqua" w:hAnsi="Book Antiqua"/>
          <w:color w:val="000000"/>
        </w:rPr>
        <w:t xml:space="preserve"> principales actividades efectuadas por el personal de la judicatura durante el mes de mayo del 2021 fueron: 8970 asuntos finalizados por desestimación, sobreseimientos y auto apertura a juicio, 2184 audiencias preliminares realizadas y 667 vistas orales efectuadas.</w:t>
      </w:r>
    </w:p>
    <w:p w14:paraId="581AB49A" w14:textId="27A5AC29" w:rsidR="00BF7F5F" w:rsidRDefault="00BF7F5F">
      <w:pPr>
        <w:rPr>
          <w:rFonts w:ascii="Book Antiqua" w:hAnsi="Book Antiqua" w:cs="Calibri"/>
          <w:color w:val="000000" w:themeColor="text1"/>
          <w:highlight w:val="green"/>
          <w:lang w:eastAsia="es-CR"/>
        </w:rPr>
      </w:pPr>
      <w:r>
        <w:rPr>
          <w:rFonts w:ascii="Book Antiqua" w:hAnsi="Book Antiqua" w:cs="Calibri"/>
          <w:color w:val="000000" w:themeColor="text1"/>
          <w:highlight w:val="green"/>
          <w:lang w:eastAsia="es-CR"/>
        </w:rPr>
        <w:br w:type="page"/>
      </w:r>
    </w:p>
    <w:p w14:paraId="19CA5951" w14:textId="77777777" w:rsidR="00776798" w:rsidRPr="000549BF" w:rsidRDefault="00776798" w:rsidP="00985591">
      <w:pPr>
        <w:pStyle w:val="Prrafodelista"/>
        <w:tabs>
          <w:tab w:val="left" w:pos="426"/>
        </w:tabs>
        <w:spacing w:line="276" w:lineRule="auto"/>
        <w:ind w:left="0"/>
        <w:jc w:val="both"/>
        <w:rPr>
          <w:rFonts w:ascii="Book Antiqua" w:hAnsi="Book Antiqua" w:cs="Calibri"/>
          <w:color w:val="000000" w:themeColor="text1"/>
          <w:highlight w:val="green"/>
          <w:lang w:eastAsia="es-CR"/>
        </w:rPr>
      </w:pPr>
    </w:p>
    <w:p w14:paraId="3B3192BF" w14:textId="65626F2F" w:rsidR="00DE41EA" w:rsidRPr="00336B79" w:rsidRDefault="00DE41EA" w:rsidP="00985591">
      <w:pPr>
        <w:spacing w:line="276" w:lineRule="auto"/>
        <w:jc w:val="center"/>
        <w:rPr>
          <w:rFonts w:ascii="Book Antiqua" w:hAnsi="Book Antiqua"/>
          <w:b/>
          <w:color w:val="000000"/>
        </w:rPr>
      </w:pPr>
      <w:r w:rsidRPr="00336B79">
        <w:rPr>
          <w:rFonts w:ascii="Book Antiqua" w:hAnsi="Book Antiqua"/>
          <w:b/>
          <w:color w:val="000000"/>
        </w:rPr>
        <w:t xml:space="preserve">Gráfico </w:t>
      </w:r>
      <w:r>
        <w:rPr>
          <w:rFonts w:ascii="Book Antiqua" w:hAnsi="Book Antiqua"/>
          <w:b/>
          <w:color w:val="000000"/>
        </w:rPr>
        <w:t>3</w:t>
      </w:r>
    </w:p>
    <w:p w14:paraId="77D7718A" w14:textId="77777777" w:rsidR="00DE41EA" w:rsidRPr="00F04863" w:rsidRDefault="00DE41EA" w:rsidP="00985591">
      <w:pPr>
        <w:spacing w:line="276" w:lineRule="auto"/>
        <w:jc w:val="center"/>
        <w:rPr>
          <w:rFonts w:ascii="Book Antiqua" w:hAnsi="Book Antiqua"/>
          <w:bCs/>
          <w:color w:val="000000"/>
        </w:rPr>
      </w:pPr>
      <w:r w:rsidRPr="00F04863">
        <w:rPr>
          <w:rFonts w:ascii="Book Antiqua" w:hAnsi="Book Antiqua"/>
          <w:bCs/>
          <w:color w:val="000000"/>
        </w:rPr>
        <w:t>Actividades principales efectuadas por el personal de la judicatura</w:t>
      </w:r>
    </w:p>
    <w:p w14:paraId="1F2BB844" w14:textId="3F0855BE" w:rsidR="00DE41EA" w:rsidRPr="00F04863" w:rsidRDefault="00DE41EA" w:rsidP="00985591">
      <w:pPr>
        <w:spacing w:line="276" w:lineRule="auto"/>
        <w:jc w:val="center"/>
        <w:rPr>
          <w:rFonts w:ascii="Book Antiqua" w:hAnsi="Book Antiqua"/>
          <w:bCs/>
          <w:color w:val="000000"/>
        </w:rPr>
      </w:pPr>
      <w:r w:rsidRPr="00F04863">
        <w:rPr>
          <w:rFonts w:ascii="Book Antiqua" w:hAnsi="Book Antiqua"/>
          <w:bCs/>
          <w:color w:val="000000"/>
        </w:rPr>
        <w:t>de los Juzgados Penales durante mayo de 2021</w:t>
      </w:r>
    </w:p>
    <w:p w14:paraId="3DCE3357" w14:textId="77777777" w:rsidR="00DE41EA" w:rsidRPr="00336B79" w:rsidRDefault="00DE41EA" w:rsidP="00985591">
      <w:pPr>
        <w:spacing w:line="276" w:lineRule="auto"/>
        <w:jc w:val="center"/>
        <w:rPr>
          <w:rFonts w:ascii="Book Antiqua" w:hAnsi="Book Antiqua"/>
          <w:b/>
          <w:color w:val="000000"/>
        </w:rPr>
      </w:pPr>
    </w:p>
    <w:p w14:paraId="65C27041" w14:textId="77777777" w:rsidR="00DE41EA" w:rsidRDefault="00DE41EA" w:rsidP="00985591">
      <w:pPr>
        <w:spacing w:line="276" w:lineRule="auto"/>
        <w:jc w:val="center"/>
        <w:rPr>
          <w:rFonts w:ascii="Book Antiqua" w:hAnsi="Book Antiqua"/>
          <w:color w:val="000000" w:themeColor="text1"/>
          <w:highlight w:val="green"/>
        </w:rPr>
      </w:pPr>
      <w:r w:rsidRPr="00FC5504">
        <w:rPr>
          <w:noProof/>
        </w:rPr>
        <w:drawing>
          <wp:inline distT="0" distB="0" distL="0" distR="0" wp14:anchorId="2CBB70A9" wp14:editId="30765CD2">
            <wp:extent cx="4388319" cy="2645764"/>
            <wp:effectExtent l="0" t="0" r="0" b="2540"/>
            <wp:docPr id="15" name="Gráfico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33DFFB8" w14:textId="77777777" w:rsidR="00E11445" w:rsidRDefault="00DE41EA" w:rsidP="00985591">
      <w:pPr>
        <w:spacing w:line="276" w:lineRule="auto"/>
        <w:jc w:val="center"/>
        <w:rPr>
          <w:rFonts w:ascii="Book Antiqua" w:hAnsi="Book Antiqua"/>
          <w:color w:val="000000"/>
          <w:sz w:val="20"/>
          <w:szCs w:val="20"/>
        </w:rPr>
      </w:pPr>
      <w:r w:rsidRPr="0013210E">
        <w:rPr>
          <w:rFonts w:ascii="Book Antiqua" w:hAnsi="Book Antiqua"/>
          <w:b/>
          <w:bCs/>
          <w:color w:val="000000"/>
          <w:sz w:val="20"/>
          <w:szCs w:val="20"/>
        </w:rPr>
        <w:t>Fuente:</w:t>
      </w:r>
      <w:r w:rsidRPr="00DE41EA">
        <w:rPr>
          <w:rFonts w:ascii="Book Antiqua" w:hAnsi="Book Antiqua"/>
          <w:color w:val="000000"/>
          <w:sz w:val="20"/>
          <w:szCs w:val="20"/>
        </w:rPr>
        <w:t xml:space="preserve"> </w:t>
      </w:r>
      <w:r w:rsidR="00512E40">
        <w:rPr>
          <w:rFonts w:ascii="Book Antiqua" w:hAnsi="Book Antiqua"/>
          <w:color w:val="000000"/>
          <w:sz w:val="20"/>
          <w:szCs w:val="20"/>
        </w:rPr>
        <w:t>Matriz de indicadores de Gestión</w:t>
      </w:r>
    </w:p>
    <w:p w14:paraId="6F29CC11" w14:textId="45A69DB1" w:rsidR="00E11445" w:rsidRDefault="00E11445" w:rsidP="00985591">
      <w:pPr>
        <w:spacing w:line="276" w:lineRule="auto"/>
        <w:jc w:val="center"/>
        <w:rPr>
          <w:rFonts w:ascii="Book Antiqua" w:hAnsi="Book Antiqua"/>
          <w:color w:val="000000"/>
          <w:sz w:val="20"/>
          <w:szCs w:val="20"/>
        </w:rPr>
      </w:pPr>
    </w:p>
    <w:p w14:paraId="23FC5B48" w14:textId="2C22222D" w:rsidR="00E11445" w:rsidRDefault="00E11445" w:rsidP="00985591">
      <w:pPr>
        <w:spacing w:line="276" w:lineRule="auto"/>
        <w:jc w:val="center"/>
        <w:rPr>
          <w:rFonts w:ascii="Book Antiqua" w:hAnsi="Book Antiqua"/>
          <w:color w:val="000000"/>
          <w:sz w:val="20"/>
          <w:szCs w:val="20"/>
        </w:rPr>
      </w:pPr>
    </w:p>
    <w:p w14:paraId="3485E54D" w14:textId="0FBA835B" w:rsidR="0019267B" w:rsidRDefault="0019267B" w:rsidP="00985591">
      <w:pPr>
        <w:spacing w:line="276" w:lineRule="auto"/>
        <w:jc w:val="center"/>
        <w:rPr>
          <w:rFonts w:ascii="Book Antiqua" w:hAnsi="Book Antiqua"/>
          <w:color w:val="000000"/>
          <w:sz w:val="20"/>
          <w:szCs w:val="20"/>
        </w:rPr>
      </w:pPr>
    </w:p>
    <w:p w14:paraId="31868DDB" w14:textId="1256E040" w:rsidR="00E11445" w:rsidRPr="00E54836" w:rsidRDefault="35752ECC" w:rsidP="57A79FF7">
      <w:pPr>
        <w:tabs>
          <w:tab w:val="left" w:pos="426"/>
        </w:tabs>
        <w:spacing w:line="276" w:lineRule="auto"/>
        <w:jc w:val="both"/>
        <w:outlineLvl w:val="2"/>
        <w:rPr>
          <w:b/>
          <w:color w:val="000000" w:themeColor="text1"/>
          <w:lang w:eastAsia="es-CR"/>
        </w:rPr>
      </w:pPr>
      <w:r w:rsidRPr="57A79FF7">
        <w:rPr>
          <w:rFonts w:ascii="Book Antiqua" w:hAnsi="Book Antiqua"/>
          <w:b/>
          <w:bCs/>
          <w:color w:val="000000" w:themeColor="text1"/>
        </w:rPr>
        <w:t xml:space="preserve">4.1.2 </w:t>
      </w:r>
      <w:r w:rsidR="00E11445" w:rsidRPr="00E54836">
        <w:rPr>
          <w:rFonts w:ascii="Book Antiqua" w:hAnsi="Book Antiqua"/>
          <w:b/>
          <w:bCs/>
          <w:color w:val="000000" w:themeColor="text1"/>
        </w:rPr>
        <w:t>Tribunales Penales</w:t>
      </w:r>
    </w:p>
    <w:p w14:paraId="11FCD0C5" w14:textId="77777777" w:rsidR="00E11445" w:rsidRPr="000549BF" w:rsidRDefault="00E11445" w:rsidP="00985591">
      <w:pPr>
        <w:pStyle w:val="Prrafodelista"/>
        <w:tabs>
          <w:tab w:val="left" w:pos="426"/>
        </w:tabs>
        <w:spacing w:line="276" w:lineRule="auto"/>
        <w:ind w:left="0"/>
        <w:jc w:val="both"/>
        <w:rPr>
          <w:rFonts w:ascii="Book Antiqua" w:hAnsi="Book Antiqua"/>
          <w:color w:val="000000" w:themeColor="text1"/>
        </w:rPr>
      </w:pPr>
    </w:p>
    <w:p w14:paraId="5F4708A2" w14:textId="574BC867" w:rsidR="00E11445" w:rsidRDefault="003D594E" w:rsidP="00985591">
      <w:pPr>
        <w:spacing w:line="276" w:lineRule="auto"/>
        <w:jc w:val="both"/>
        <w:rPr>
          <w:rFonts w:ascii="Book Antiqua" w:hAnsi="Book Antiqua"/>
          <w:b/>
          <w:color w:val="000000"/>
        </w:rPr>
      </w:pPr>
      <w:r w:rsidRPr="0010293C">
        <w:rPr>
          <w:rFonts w:ascii="Book Antiqua" w:hAnsi="Book Antiqua"/>
          <w:color w:val="000000"/>
        </w:rPr>
        <w:t xml:space="preserve">En los Tribunales Penales la actividad que se realiza con mayor proporción a nivel de </w:t>
      </w:r>
      <w:r w:rsidR="00244437">
        <w:rPr>
          <w:rFonts w:ascii="Book Antiqua" w:hAnsi="Book Antiqua"/>
          <w:color w:val="000000"/>
        </w:rPr>
        <w:t>del personal de la judicatura</w:t>
      </w:r>
      <w:r w:rsidRPr="0010293C">
        <w:rPr>
          <w:rFonts w:ascii="Book Antiqua" w:hAnsi="Book Antiqua"/>
          <w:color w:val="000000"/>
        </w:rPr>
        <w:t xml:space="preserve"> es la de sentencia dictada con 8</w:t>
      </w:r>
      <w:r w:rsidR="00B977C8">
        <w:rPr>
          <w:rFonts w:ascii="Book Antiqua" w:hAnsi="Book Antiqua"/>
          <w:color w:val="000000"/>
        </w:rPr>
        <w:t>89</w:t>
      </w:r>
      <w:r w:rsidRPr="0010293C">
        <w:rPr>
          <w:rFonts w:ascii="Book Antiqua" w:hAnsi="Book Antiqua"/>
          <w:color w:val="000000"/>
        </w:rPr>
        <w:t xml:space="preserve"> y recurso de apelación con 4</w:t>
      </w:r>
      <w:r w:rsidR="00B977C8">
        <w:rPr>
          <w:rFonts w:ascii="Book Antiqua" w:hAnsi="Book Antiqua"/>
          <w:color w:val="000000"/>
        </w:rPr>
        <w:t>27</w:t>
      </w:r>
      <w:r w:rsidRPr="0010293C">
        <w:rPr>
          <w:rFonts w:ascii="Book Antiqua" w:hAnsi="Book Antiqua"/>
          <w:color w:val="000000"/>
        </w:rPr>
        <w:t xml:space="preserve"> en una segunda posición. Mediante revisión de matrices de indicadores se logra determinar las principales labores de las personas juzgadoras, se tiene, además, el dictado de medidas alternas como una de las actividades que se realizan con más frecuencia.</w:t>
      </w:r>
    </w:p>
    <w:p w14:paraId="32033B40" w14:textId="77777777" w:rsidR="00BF7F5F" w:rsidRDefault="00BF7F5F">
      <w:pPr>
        <w:rPr>
          <w:rFonts w:ascii="Book Antiqua" w:hAnsi="Book Antiqua"/>
          <w:b/>
          <w:color w:val="000000"/>
        </w:rPr>
      </w:pPr>
      <w:r>
        <w:rPr>
          <w:rFonts w:ascii="Book Antiqua" w:hAnsi="Book Antiqua"/>
          <w:b/>
          <w:color w:val="000000"/>
        </w:rPr>
        <w:br w:type="page"/>
      </w:r>
    </w:p>
    <w:p w14:paraId="229BB030" w14:textId="02D149A7" w:rsidR="00E11445" w:rsidRPr="001F11BE" w:rsidRDefault="00E11445" w:rsidP="00985591">
      <w:pPr>
        <w:spacing w:line="276" w:lineRule="auto"/>
        <w:jc w:val="center"/>
        <w:rPr>
          <w:rFonts w:ascii="Book Antiqua" w:hAnsi="Book Antiqua"/>
          <w:b/>
          <w:color w:val="000000"/>
        </w:rPr>
      </w:pPr>
      <w:r w:rsidRPr="001F11BE">
        <w:rPr>
          <w:rFonts w:ascii="Book Antiqua" w:hAnsi="Book Antiqua"/>
          <w:b/>
          <w:color w:val="000000"/>
        </w:rPr>
        <w:t xml:space="preserve">Gráfico </w:t>
      </w:r>
      <w:r>
        <w:rPr>
          <w:rFonts w:ascii="Book Antiqua" w:hAnsi="Book Antiqua"/>
          <w:b/>
          <w:color w:val="000000"/>
        </w:rPr>
        <w:t>4</w:t>
      </w:r>
    </w:p>
    <w:p w14:paraId="49C2F296" w14:textId="77777777" w:rsidR="00E11445" w:rsidRPr="00B5501E" w:rsidRDefault="00E11445" w:rsidP="00985591">
      <w:pPr>
        <w:spacing w:line="276" w:lineRule="auto"/>
        <w:jc w:val="center"/>
        <w:rPr>
          <w:rFonts w:ascii="Book Antiqua" w:hAnsi="Book Antiqua"/>
          <w:bCs/>
          <w:color w:val="000000"/>
        </w:rPr>
      </w:pPr>
      <w:r w:rsidRPr="00B5501E">
        <w:rPr>
          <w:rFonts w:ascii="Book Antiqua" w:hAnsi="Book Antiqua"/>
          <w:bCs/>
          <w:color w:val="000000"/>
        </w:rPr>
        <w:t>Actividades principales efectuadas por el personal de la judicatura</w:t>
      </w:r>
    </w:p>
    <w:p w14:paraId="56E13377" w14:textId="77777777" w:rsidR="00E11445" w:rsidRPr="00B5501E" w:rsidRDefault="00E11445" w:rsidP="00985591">
      <w:pPr>
        <w:spacing w:line="276" w:lineRule="auto"/>
        <w:jc w:val="center"/>
        <w:rPr>
          <w:rFonts w:ascii="Book Antiqua" w:hAnsi="Book Antiqua"/>
          <w:bCs/>
          <w:color w:val="000000"/>
        </w:rPr>
      </w:pPr>
      <w:r w:rsidRPr="00B5501E">
        <w:rPr>
          <w:rFonts w:ascii="Book Antiqua" w:hAnsi="Book Antiqua"/>
          <w:bCs/>
          <w:color w:val="000000"/>
        </w:rPr>
        <w:t>de los Tribunales Penales durante mayo de 2021</w:t>
      </w:r>
    </w:p>
    <w:p w14:paraId="2709E1B5" w14:textId="7847E056" w:rsidR="00E11445" w:rsidRDefault="00B977C8" w:rsidP="00985591">
      <w:pPr>
        <w:spacing w:line="276" w:lineRule="auto"/>
        <w:jc w:val="center"/>
        <w:rPr>
          <w:rFonts w:ascii="Book Antiqua" w:hAnsi="Book Antiqua"/>
          <w:color w:val="000000" w:themeColor="text1"/>
          <w:highlight w:val="green"/>
        </w:rPr>
      </w:pPr>
      <w:r>
        <w:rPr>
          <w:noProof/>
        </w:rPr>
        <w:drawing>
          <wp:inline distT="0" distB="0" distL="0" distR="0" wp14:anchorId="78762B64" wp14:editId="686B87BF">
            <wp:extent cx="4575347" cy="3027491"/>
            <wp:effectExtent l="0" t="0" r="0" b="1905"/>
            <wp:docPr id="14" name="Gráfico 14">
              <a:extLst xmlns:a="http://schemas.openxmlformats.org/drawingml/2006/main">
                <a:ext uri="{FF2B5EF4-FFF2-40B4-BE49-F238E27FC236}">
                  <a16:creationId xmlns:a16="http://schemas.microsoft.com/office/drawing/2014/main" id="{B507C42B-2490-4798-85A9-98E1F7B3C9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124B34C" w14:textId="77777777" w:rsidR="00E11445" w:rsidRDefault="00E11445" w:rsidP="00985591">
      <w:pPr>
        <w:spacing w:line="276" w:lineRule="auto"/>
        <w:jc w:val="center"/>
        <w:rPr>
          <w:rFonts w:ascii="Book Antiqua" w:hAnsi="Book Antiqua"/>
          <w:color w:val="000000"/>
          <w:sz w:val="20"/>
          <w:szCs w:val="20"/>
        </w:rPr>
      </w:pPr>
      <w:r w:rsidRPr="0013210E">
        <w:rPr>
          <w:rFonts w:ascii="Book Antiqua" w:hAnsi="Book Antiqua"/>
          <w:b/>
          <w:bCs/>
          <w:color w:val="000000"/>
          <w:sz w:val="20"/>
          <w:szCs w:val="20"/>
        </w:rPr>
        <w:t>Fuente:</w:t>
      </w:r>
      <w:r w:rsidRPr="00DE41EA">
        <w:rPr>
          <w:rFonts w:ascii="Book Antiqua" w:hAnsi="Book Antiqua"/>
          <w:color w:val="000000"/>
          <w:sz w:val="20"/>
          <w:szCs w:val="20"/>
        </w:rPr>
        <w:t xml:space="preserve"> </w:t>
      </w:r>
      <w:r>
        <w:rPr>
          <w:rFonts w:ascii="Book Antiqua" w:hAnsi="Book Antiqua"/>
          <w:color w:val="000000"/>
          <w:sz w:val="20"/>
          <w:szCs w:val="20"/>
        </w:rPr>
        <w:t>Matriz de indicadores de Gestión</w:t>
      </w:r>
    </w:p>
    <w:p w14:paraId="423697FA" w14:textId="1B5C93A2" w:rsidR="00B5501E" w:rsidRDefault="00B5501E" w:rsidP="00985591">
      <w:pPr>
        <w:spacing w:line="276" w:lineRule="auto"/>
        <w:jc w:val="center"/>
        <w:rPr>
          <w:rFonts w:ascii="Book Antiqua" w:hAnsi="Book Antiqua"/>
          <w:color w:val="000000" w:themeColor="text1"/>
          <w:highlight w:val="green"/>
        </w:rPr>
      </w:pPr>
    </w:p>
    <w:p w14:paraId="49985E2E" w14:textId="77777777" w:rsidR="00B5501E" w:rsidRDefault="00B5501E" w:rsidP="00985591">
      <w:pPr>
        <w:spacing w:line="276" w:lineRule="auto"/>
        <w:jc w:val="center"/>
        <w:rPr>
          <w:rFonts w:ascii="Book Antiqua" w:hAnsi="Book Antiqua"/>
          <w:color w:val="000000" w:themeColor="text1"/>
          <w:highlight w:val="green"/>
        </w:rPr>
      </w:pPr>
    </w:p>
    <w:p w14:paraId="43712AE9" w14:textId="64500BC0" w:rsidR="00B5501E" w:rsidRPr="005158D8" w:rsidRDefault="7E705AE1" w:rsidP="57A79FF7">
      <w:pPr>
        <w:tabs>
          <w:tab w:val="left" w:pos="426"/>
        </w:tabs>
        <w:spacing w:line="276" w:lineRule="auto"/>
        <w:jc w:val="both"/>
        <w:outlineLvl w:val="1"/>
        <w:rPr>
          <w:b/>
          <w:color w:val="000000" w:themeColor="text1"/>
          <w:lang w:eastAsia="es-CR"/>
        </w:rPr>
      </w:pPr>
      <w:r w:rsidRPr="57A79FF7">
        <w:rPr>
          <w:rFonts w:ascii="Book Antiqua" w:hAnsi="Book Antiqua"/>
          <w:b/>
          <w:bCs/>
          <w:color w:val="000000" w:themeColor="text1"/>
        </w:rPr>
        <w:t xml:space="preserve">4.1.3 </w:t>
      </w:r>
      <w:r w:rsidR="00B5501E" w:rsidRPr="005158D8">
        <w:rPr>
          <w:rFonts w:ascii="Book Antiqua" w:hAnsi="Book Antiqua"/>
          <w:b/>
          <w:bCs/>
          <w:color w:val="000000" w:themeColor="text1"/>
        </w:rPr>
        <w:t>Tribunal y Secciones de Flagrancia</w:t>
      </w:r>
    </w:p>
    <w:p w14:paraId="6788055C" w14:textId="77777777" w:rsidR="00B5501E" w:rsidRPr="0078661F" w:rsidRDefault="00B5501E" w:rsidP="005158D8">
      <w:pPr>
        <w:pStyle w:val="Prrafodelista"/>
        <w:tabs>
          <w:tab w:val="left" w:pos="426"/>
        </w:tabs>
        <w:spacing w:line="276" w:lineRule="auto"/>
        <w:ind w:left="0"/>
        <w:jc w:val="both"/>
        <w:rPr>
          <w:rFonts w:ascii="Book Antiqua" w:hAnsi="Book Antiqua"/>
          <w:color w:val="000000" w:themeColor="text1"/>
        </w:rPr>
      </w:pPr>
    </w:p>
    <w:p w14:paraId="28142B7C" w14:textId="26C9E345" w:rsidR="00B5501E" w:rsidRDefault="005158D8" w:rsidP="005158D8">
      <w:pPr>
        <w:spacing w:line="276" w:lineRule="auto"/>
        <w:jc w:val="both"/>
        <w:rPr>
          <w:rFonts w:ascii="Book Antiqua" w:hAnsi="Book Antiqua"/>
          <w:color w:val="000000"/>
        </w:rPr>
      </w:pPr>
      <w:r w:rsidRPr="005158D8">
        <w:rPr>
          <w:rFonts w:ascii="Book Antiqua" w:hAnsi="Book Antiqua"/>
          <w:color w:val="000000"/>
        </w:rPr>
        <w:t>En materia de Flagrancia, a nivel de judicatura se toma cómo referente de las principales actividades las audiencias iniciales, las medidas alternas y la cantidad de sentencias dictadas, debido a lo anterior, se procedió a realizar un conteo de estas durante el mes en estudio, obteniendo cómo resultado que las personas juzgadoras realizaron un total de 781 audiencias iniciales, se lograron 589 medidas alternas y se dictaron un total de 584 sentencias.</w:t>
      </w:r>
    </w:p>
    <w:p w14:paraId="2A20983F" w14:textId="77777777" w:rsidR="005158D8" w:rsidRDefault="005158D8" w:rsidP="00985591">
      <w:pPr>
        <w:spacing w:line="276" w:lineRule="auto"/>
        <w:jc w:val="center"/>
        <w:rPr>
          <w:rFonts w:ascii="Book Antiqua" w:hAnsi="Book Antiqua"/>
          <w:color w:val="000000" w:themeColor="text1"/>
          <w:highlight w:val="green"/>
        </w:rPr>
      </w:pPr>
    </w:p>
    <w:p w14:paraId="6F4D069C" w14:textId="77777777" w:rsidR="00BF7F5F" w:rsidRDefault="00BF7F5F">
      <w:pPr>
        <w:rPr>
          <w:rFonts w:ascii="Book Antiqua" w:hAnsi="Book Antiqua"/>
          <w:b/>
          <w:color w:val="000000"/>
        </w:rPr>
      </w:pPr>
      <w:r>
        <w:rPr>
          <w:rFonts w:ascii="Book Antiqua" w:hAnsi="Book Antiqua"/>
          <w:b/>
          <w:color w:val="000000"/>
        </w:rPr>
        <w:br w:type="page"/>
      </w:r>
    </w:p>
    <w:p w14:paraId="28D503EC" w14:textId="4104C6D7" w:rsidR="00B5501E" w:rsidRPr="001F11BE" w:rsidRDefault="00B5501E" w:rsidP="00985591">
      <w:pPr>
        <w:spacing w:line="276" w:lineRule="auto"/>
        <w:jc w:val="center"/>
        <w:rPr>
          <w:rFonts w:ascii="Book Antiqua" w:hAnsi="Book Antiqua"/>
          <w:b/>
          <w:color w:val="000000"/>
        </w:rPr>
      </w:pPr>
      <w:r w:rsidRPr="001F11BE">
        <w:rPr>
          <w:rFonts w:ascii="Book Antiqua" w:hAnsi="Book Antiqua"/>
          <w:b/>
          <w:color w:val="000000"/>
        </w:rPr>
        <w:t xml:space="preserve">Gráfico </w:t>
      </w:r>
      <w:r>
        <w:rPr>
          <w:rFonts w:ascii="Book Antiqua" w:hAnsi="Book Antiqua"/>
          <w:b/>
          <w:color w:val="000000"/>
        </w:rPr>
        <w:t>5</w:t>
      </w:r>
    </w:p>
    <w:p w14:paraId="0F044057" w14:textId="77777777" w:rsidR="00B5501E" w:rsidRPr="00B5501E" w:rsidRDefault="00B5501E" w:rsidP="00985591">
      <w:pPr>
        <w:spacing w:line="276" w:lineRule="auto"/>
        <w:jc w:val="center"/>
        <w:rPr>
          <w:rFonts w:ascii="Book Antiqua" w:hAnsi="Book Antiqua"/>
          <w:bCs/>
          <w:color w:val="000000"/>
        </w:rPr>
      </w:pPr>
      <w:r w:rsidRPr="00B5501E">
        <w:rPr>
          <w:rFonts w:ascii="Book Antiqua" w:hAnsi="Book Antiqua"/>
          <w:bCs/>
          <w:color w:val="000000"/>
        </w:rPr>
        <w:t>Actividades principales efectuadas por el personal de la judicatura</w:t>
      </w:r>
    </w:p>
    <w:p w14:paraId="312507A6" w14:textId="77777777" w:rsidR="00B5501E" w:rsidRPr="00B5501E" w:rsidRDefault="00B5501E" w:rsidP="00985591">
      <w:pPr>
        <w:spacing w:line="276" w:lineRule="auto"/>
        <w:jc w:val="center"/>
        <w:rPr>
          <w:rFonts w:ascii="Book Antiqua" w:hAnsi="Book Antiqua"/>
          <w:bCs/>
          <w:color w:val="000000"/>
        </w:rPr>
      </w:pPr>
      <w:r w:rsidRPr="00B5501E">
        <w:rPr>
          <w:rFonts w:ascii="Book Antiqua" w:hAnsi="Book Antiqua"/>
          <w:bCs/>
          <w:color w:val="000000"/>
        </w:rPr>
        <w:t>de los Tribunales y Secciones de Flagrancia durante mayo de 2021</w:t>
      </w:r>
    </w:p>
    <w:p w14:paraId="62ADD16A" w14:textId="77777777" w:rsidR="00797D61" w:rsidRDefault="00797D61" w:rsidP="00985591">
      <w:pPr>
        <w:spacing w:line="276" w:lineRule="auto"/>
        <w:jc w:val="center"/>
        <w:rPr>
          <w:rFonts w:ascii="Book Antiqua" w:hAnsi="Book Antiqua"/>
          <w:color w:val="000000" w:themeColor="text1"/>
          <w:highlight w:val="green"/>
        </w:rPr>
      </w:pPr>
    </w:p>
    <w:p w14:paraId="6005C9E1" w14:textId="249870AC" w:rsidR="00797D61" w:rsidRDefault="008B70A9" w:rsidP="00985591">
      <w:pPr>
        <w:spacing w:line="276" w:lineRule="auto"/>
        <w:jc w:val="center"/>
        <w:rPr>
          <w:rFonts w:ascii="Book Antiqua" w:hAnsi="Book Antiqua"/>
          <w:color w:val="000000" w:themeColor="text1"/>
          <w:highlight w:val="green"/>
        </w:rPr>
      </w:pPr>
      <w:r>
        <w:rPr>
          <w:noProof/>
        </w:rPr>
        <w:drawing>
          <wp:inline distT="0" distB="0" distL="0" distR="0" wp14:anchorId="07273D25" wp14:editId="312E20B5">
            <wp:extent cx="4136922" cy="3072765"/>
            <wp:effectExtent l="0" t="0" r="0" b="0"/>
            <wp:docPr id="3" name="Gráfico 3">
              <a:extLst xmlns:a="http://schemas.openxmlformats.org/drawingml/2006/main">
                <a:ext uri="{FF2B5EF4-FFF2-40B4-BE49-F238E27FC236}">
                  <a16:creationId xmlns:a16="http://schemas.microsoft.com/office/drawing/2014/main" id="{D394B106-F4D1-4DED-A724-5D2A4069A3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B26A82A" w14:textId="450E4D2B" w:rsidR="00E04856" w:rsidRDefault="00797D61" w:rsidP="00985591">
      <w:pPr>
        <w:spacing w:line="276" w:lineRule="auto"/>
        <w:jc w:val="center"/>
        <w:rPr>
          <w:rFonts w:ascii="Book Antiqua" w:hAnsi="Book Antiqua"/>
          <w:color w:val="000000"/>
          <w:sz w:val="20"/>
          <w:szCs w:val="20"/>
        </w:rPr>
      </w:pPr>
      <w:r w:rsidRPr="0013210E">
        <w:rPr>
          <w:rFonts w:ascii="Book Antiqua" w:hAnsi="Book Antiqua"/>
          <w:b/>
          <w:bCs/>
          <w:color w:val="000000"/>
          <w:sz w:val="20"/>
          <w:szCs w:val="20"/>
        </w:rPr>
        <w:t>Fuente:</w:t>
      </w:r>
      <w:r w:rsidRPr="00DE41EA">
        <w:rPr>
          <w:rFonts w:ascii="Book Antiqua" w:hAnsi="Book Antiqua"/>
          <w:color w:val="000000"/>
          <w:sz w:val="20"/>
          <w:szCs w:val="20"/>
        </w:rPr>
        <w:t xml:space="preserve"> </w:t>
      </w:r>
      <w:r>
        <w:rPr>
          <w:rFonts w:ascii="Book Antiqua" w:hAnsi="Book Antiqua"/>
          <w:color w:val="000000"/>
          <w:sz w:val="20"/>
          <w:szCs w:val="20"/>
        </w:rPr>
        <w:t>Matriz de indicadores de Gestión</w:t>
      </w:r>
    </w:p>
    <w:p w14:paraId="778738BF" w14:textId="49E6D9B9" w:rsidR="00E04856" w:rsidRDefault="00E04856" w:rsidP="00985591">
      <w:pPr>
        <w:spacing w:line="276" w:lineRule="auto"/>
        <w:jc w:val="center"/>
        <w:rPr>
          <w:rFonts w:ascii="Book Antiqua" w:hAnsi="Book Antiqua"/>
          <w:color w:val="000000"/>
          <w:sz w:val="20"/>
          <w:szCs w:val="20"/>
        </w:rPr>
      </w:pPr>
    </w:p>
    <w:p w14:paraId="383B632D" w14:textId="1EDEB6DA" w:rsidR="002754DF" w:rsidRDefault="002754DF" w:rsidP="00985591">
      <w:pPr>
        <w:spacing w:line="276" w:lineRule="auto"/>
        <w:jc w:val="center"/>
        <w:rPr>
          <w:rFonts w:ascii="Book Antiqua" w:hAnsi="Book Antiqua"/>
          <w:color w:val="000000"/>
          <w:sz w:val="20"/>
          <w:szCs w:val="20"/>
        </w:rPr>
      </w:pPr>
    </w:p>
    <w:p w14:paraId="61198895" w14:textId="2B99AF98" w:rsidR="00261A99" w:rsidRDefault="00261A99" w:rsidP="00985591">
      <w:pPr>
        <w:spacing w:line="276" w:lineRule="auto"/>
        <w:jc w:val="center"/>
        <w:rPr>
          <w:rFonts w:ascii="Book Antiqua" w:hAnsi="Book Antiqua"/>
          <w:color w:val="000000"/>
          <w:sz w:val="20"/>
          <w:szCs w:val="20"/>
        </w:rPr>
      </w:pPr>
    </w:p>
    <w:p w14:paraId="41F23089" w14:textId="77777777" w:rsidR="00261A99" w:rsidRDefault="00261A99" w:rsidP="00985591">
      <w:pPr>
        <w:spacing w:line="276" w:lineRule="auto"/>
        <w:jc w:val="center"/>
        <w:rPr>
          <w:rFonts w:ascii="Book Antiqua" w:hAnsi="Book Antiqua"/>
          <w:color w:val="000000"/>
          <w:sz w:val="20"/>
          <w:szCs w:val="20"/>
        </w:rPr>
      </w:pPr>
    </w:p>
    <w:p w14:paraId="37539B85" w14:textId="3EFE3EEB" w:rsidR="00E04856" w:rsidRPr="00372E35" w:rsidRDefault="3BE86665" w:rsidP="57A79FF7">
      <w:pPr>
        <w:tabs>
          <w:tab w:val="left" w:pos="426"/>
        </w:tabs>
        <w:spacing w:line="276" w:lineRule="auto"/>
        <w:jc w:val="both"/>
        <w:outlineLvl w:val="1"/>
        <w:rPr>
          <w:b/>
          <w:color w:val="000000" w:themeColor="text1"/>
          <w:lang w:eastAsia="es-CR"/>
        </w:rPr>
      </w:pPr>
      <w:r w:rsidRPr="57A79FF7">
        <w:rPr>
          <w:rFonts w:ascii="Book Antiqua" w:hAnsi="Book Antiqua"/>
          <w:b/>
          <w:bCs/>
          <w:color w:val="000000" w:themeColor="text1"/>
        </w:rPr>
        <w:t xml:space="preserve">4.1.4 </w:t>
      </w:r>
      <w:r w:rsidR="00E04856" w:rsidRPr="00372E35">
        <w:rPr>
          <w:rFonts w:ascii="Book Antiqua" w:hAnsi="Book Antiqua"/>
          <w:b/>
          <w:bCs/>
          <w:color w:val="000000" w:themeColor="text1"/>
        </w:rPr>
        <w:t>Juzgados de Ejecución de la Pena</w:t>
      </w:r>
    </w:p>
    <w:p w14:paraId="1D81FBF5" w14:textId="77777777" w:rsidR="00E04856" w:rsidRPr="000549BF" w:rsidRDefault="00E04856" w:rsidP="00985591">
      <w:pPr>
        <w:pStyle w:val="Prrafodelista"/>
        <w:tabs>
          <w:tab w:val="left" w:pos="426"/>
        </w:tabs>
        <w:spacing w:line="276" w:lineRule="auto"/>
        <w:ind w:left="0"/>
        <w:jc w:val="both"/>
        <w:rPr>
          <w:rFonts w:ascii="Book Antiqua" w:hAnsi="Book Antiqua"/>
          <w:color w:val="000000" w:themeColor="text1"/>
        </w:rPr>
      </w:pPr>
    </w:p>
    <w:p w14:paraId="2E979B37" w14:textId="3B4BF01D" w:rsidR="002364AA" w:rsidRDefault="00914355" w:rsidP="00985591">
      <w:pPr>
        <w:spacing w:line="276" w:lineRule="auto"/>
        <w:jc w:val="both"/>
        <w:rPr>
          <w:rFonts w:ascii="Book Antiqua" w:hAnsi="Book Antiqua"/>
          <w:b/>
          <w:color w:val="000000"/>
        </w:rPr>
      </w:pPr>
      <w:r w:rsidRPr="00C7446B">
        <w:rPr>
          <w:rFonts w:ascii="Book Antiqua" w:hAnsi="Book Antiqua"/>
          <w:color w:val="000000" w:themeColor="text1"/>
        </w:rPr>
        <w:t>El personal de la judicatura de los Juzgados de Ejecución de la Pena</w:t>
      </w:r>
      <w:r w:rsidRPr="00914355">
        <w:rPr>
          <w:rFonts w:ascii="Book Antiqua" w:hAnsi="Book Antiqua"/>
          <w:color w:val="000000" w:themeColor="text1"/>
        </w:rPr>
        <w:t>, firmaron 5</w:t>
      </w:r>
      <w:r>
        <w:rPr>
          <w:rFonts w:ascii="Book Antiqua" w:hAnsi="Book Antiqua"/>
          <w:color w:val="000000" w:themeColor="text1"/>
        </w:rPr>
        <w:t>203</w:t>
      </w:r>
      <w:r w:rsidRPr="00914355">
        <w:rPr>
          <w:rFonts w:ascii="Book Antiqua" w:hAnsi="Book Antiqua"/>
          <w:color w:val="000000" w:themeColor="text1"/>
        </w:rPr>
        <w:t xml:space="preserve"> expedientes y finalizaron 1</w:t>
      </w:r>
      <w:r>
        <w:rPr>
          <w:rFonts w:ascii="Book Antiqua" w:hAnsi="Book Antiqua"/>
          <w:color w:val="000000" w:themeColor="text1"/>
        </w:rPr>
        <w:t>497</w:t>
      </w:r>
      <w:r w:rsidRPr="00914355">
        <w:rPr>
          <w:rFonts w:ascii="Book Antiqua" w:hAnsi="Book Antiqua"/>
          <w:color w:val="000000" w:themeColor="text1"/>
        </w:rPr>
        <w:t xml:space="preserve"> incidentes</w:t>
      </w:r>
      <w:r w:rsidRPr="00C7446B">
        <w:rPr>
          <w:rFonts w:ascii="Book Antiqua" w:hAnsi="Book Antiqua"/>
          <w:color w:val="000000" w:themeColor="text1"/>
        </w:rPr>
        <w:t xml:space="preserve">. </w:t>
      </w:r>
      <w:r w:rsidR="002364AA" w:rsidRPr="0010293C">
        <w:rPr>
          <w:rFonts w:ascii="Book Antiqua" w:hAnsi="Book Antiqua"/>
          <w:color w:val="000000"/>
        </w:rPr>
        <w:t xml:space="preserve">Mediante revisión de matrices de indicadores se logra determinar las principales labores de las personas juzgadoras, se tiene, además, </w:t>
      </w:r>
      <w:r w:rsidR="002364AA">
        <w:rPr>
          <w:rFonts w:ascii="Book Antiqua" w:hAnsi="Book Antiqua"/>
          <w:color w:val="000000"/>
        </w:rPr>
        <w:t>la realización de audiencias</w:t>
      </w:r>
      <w:r w:rsidR="002364AA" w:rsidRPr="0010293C">
        <w:rPr>
          <w:rFonts w:ascii="Book Antiqua" w:hAnsi="Book Antiqua"/>
          <w:color w:val="000000"/>
        </w:rPr>
        <w:t xml:space="preserve"> como una de las actividades que se </w:t>
      </w:r>
      <w:r w:rsidR="002364AA">
        <w:rPr>
          <w:rFonts w:ascii="Book Antiqua" w:hAnsi="Book Antiqua"/>
          <w:color w:val="000000"/>
        </w:rPr>
        <w:t>efectúa</w:t>
      </w:r>
      <w:r w:rsidR="002364AA" w:rsidRPr="0010293C">
        <w:rPr>
          <w:rFonts w:ascii="Book Antiqua" w:hAnsi="Book Antiqua"/>
          <w:color w:val="000000"/>
        </w:rPr>
        <w:t xml:space="preserve"> con más frecuencia.</w:t>
      </w:r>
    </w:p>
    <w:p w14:paraId="405108A5" w14:textId="092A6A7F" w:rsidR="002364AA" w:rsidRDefault="002364AA" w:rsidP="00985591">
      <w:pPr>
        <w:spacing w:line="276" w:lineRule="auto"/>
        <w:jc w:val="both"/>
        <w:rPr>
          <w:rFonts w:ascii="Book Antiqua" w:hAnsi="Book Antiqua"/>
          <w:color w:val="000000" w:themeColor="text1"/>
        </w:rPr>
      </w:pPr>
    </w:p>
    <w:p w14:paraId="3D111CF8" w14:textId="79038D13" w:rsidR="00BF7F5F" w:rsidRDefault="00BF7F5F">
      <w:pPr>
        <w:rPr>
          <w:rFonts w:ascii="Book Antiqua" w:hAnsi="Book Antiqua"/>
          <w:color w:val="000000" w:themeColor="text1"/>
          <w:highlight w:val="green"/>
        </w:rPr>
      </w:pPr>
      <w:r>
        <w:rPr>
          <w:rFonts w:ascii="Book Antiqua" w:hAnsi="Book Antiqua"/>
          <w:color w:val="000000" w:themeColor="text1"/>
          <w:highlight w:val="green"/>
        </w:rPr>
        <w:br w:type="page"/>
      </w:r>
    </w:p>
    <w:p w14:paraId="1847FC3A" w14:textId="77777777" w:rsidR="00E04856" w:rsidRDefault="00E04856" w:rsidP="00985591">
      <w:pPr>
        <w:spacing w:line="276" w:lineRule="auto"/>
        <w:jc w:val="center"/>
        <w:rPr>
          <w:rFonts w:ascii="Book Antiqua" w:hAnsi="Book Antiqua"/>
          <w:color w:val="000000" w:themeColor="text1"/>
          <w:highlight w:val="green"/>
        </w:rPr>
      </w:pPr>
    </w:p>
    <w:p w14:paraId="549135C7" w14:textId="57EE44B3" w:rsidR="00E04856" w:rsidRPr="001F11BE" w:rsidRDefault="00E04856" w:rsidP="00985591">
      <w:pPr>
        <w:spacing w:line="276" w:lineRule="auto"/>
        <w:jc w:val="center"/>
        <w:rPr>
          <w:rFonts w:ascii="Book Antiqua" w:hAnsi="Book Antiqua"/>
          <w:b/>
          <w:color w:val="000000"/>
        </w:rPr>
      </w:pPr>
      <w:r w:rsidRPr="001F11BE">
        <w:rPr>
          <w:rFonts w:ascii="Book Antiqua" w:hAnsi="Book Antiqua"/>
          <w:b/>
          <w:color w:val="000000"/>
        </w:rPr>
        <w:t xml:space="preserve">Gráfico </w:t>
      </w:r>
      <w:r w:rsidR="002754DF">
        <w:rPr>
          <w:rFonts w:ascii="Book Antiqua" w:hAnsi="Book Antiqua"/>
          <w:b/>
          <w:color w:val="000000"/>
        </w:rPr>
        <w:t>6</w:t>
      </w:r>
    </w:p>
    <w:p w14:paraId="61C8EB68" w14:textId="77777777" w:rsidR="00E04856" w:rsidRPr="00B5501E" w:rsidRDefault="00E04856" w:rsidP="00985591">
      <w:pPr>
        <w:spacing w:line="276" w:lineRule="auto"/>
        <w:jc w:val="center"/>
        <w:rPr>
          <w:rFonts w:ascii="Book Antiqua" w:hAnsi="Book Antiqua"/>
          <w:bCs/>
          <w:color w:val="000000"/>
        </w:rPr>
      </w:pPr>
      <w:r w:rsidRPr="00B5501E">
        <w:rPr>
          <w:rFonts w:ascii="Book Antiqua" w:hAnsi="Book Antiqua"/>
          <w:bCs/>
          <w:color w:val="000000"/>
        </w:rPr>
        <w:t>Actividades principales efectuadas por el personal de la judicatura</w:t>
      </w:r>
    </w:p>
    <w:p w14:paraId="73FBE5FF" w14:textId="3B1E4707" w:rsidR="00E04856" w:rsidRPr="00B5501E" w:rsidRDefault="00E04856" w:rsidP="00985591">
      <w:pPr>
        <w:spacing w:line="276" w:lineRule="auto"/>
        <w:jc w:val="center"/>
        <w:rPr>
          <w:rFonts w:ascii="Book Antiqua" w:hAnsi="Book Antiqua"/>
          <w:bCs/>
          <w:color w:val="000000"/>
        </w:rPr>
      </w:pPr>
      <w:r w:rsidRPr="00B5501E">
        <w:rPr>
          <w:rFonts w:ascii="Book Antiqua" w:hAnsi="Book Antiqua"/>
          <w:bCs/>
          <w:color w:val="000000"/>
        </w:rPr>
        <w:t xml:space="preserve">de los </w:t>
      </w:r>
      <w:r w:rsidR="002754DF">
        <w:rPr>
          <w:rFonts w:ascii="Book Antiqua" w:hAnsi="Book Antiqua"/>
          <w:bCs/>
          <w:color w:val="000000"/>
        </w:rPr>
        <w:t>Juzgados de Ejecución de la Pena</w:t>
      </w:r>
      <w:r w:rsidRPr="00B5501E">
        <w:rPr>
          <w:rFonts w:ascii="Book Antiqua" w:hAnsi="Book Antiqua"/>
          <w:bCs/>
          <w:color w:val="000000"/>
        </w:rPr>
        <w:t xml:space="preserve"> durante mayo de 2021</w:t>
      </w:r>
    </w:p>
    <w:p w14:paraId="3BE1C0C4" w14:textId="77777777" w:rsidR="002754DF" w:rsidRDefault="002754DF" w:rsidP="00985591">
      <w:pPr>
        <w:spacing w:line="276" w:lineRule="auto"/>
        <w:jc w:val="center"/>
        <w:rPr>
          <w:rFonts w:ascii="Book Antiqua" w:hAnsi="Book Antiqua"/>
          <w:color w:val="000000" w:themeColor="text1"/>
          <w:highlight w:val="green"/>
        </w:rPr>
      </w:pPr>
    </w:p>
    <w:p w14:paraId="355D3767" w14:textId="77777777" w:rsidR="002754DF" w:rsidRDefault="002754DF" w:rsidP="00985591">
      <w:pPr>
        <w:spacing w:line="276" w:lineRule="auto"/>
        <w:jc w:val="center"/>
        <w:rPr>
          <w:rFonts w:ascii="Book Antiqua" w:hAnsi="Book Antiqua"/>
          <w:color w:val="000000" w:themeColor="text1"/>
          <w:highlight w:val="green"/>
        </w:rPr>
      </w:pPr>
      <w:r>
        <w:rPr>
          <w:noProof/>
        </w:rPr>
        <w:drawing>
          <wp:inline distT="0" distB="0" distL="0" distR="0" wp14:anchorId="2D01722F" wp14:editId="084D7719">
            <wp:extent cx="3859200" cy="2306214"/>
            <wp:effectExtent l="0" t="0" r="8255" b="0"/>
            <wp:docPr id="31" name="Gráfico 31">
              <a:extLst xmlns:a="http://schemas.openxmlformats.org/drawingml/2006/main">
                <a:ext uri="{FF2B5EF4-FFF2-40B4-BE49-F238E27FC236}">
                  <a16:creationId xmlns:a16="http://schemas.microsoft.com/office/drawing/2014/main" id="{F3679656-E0A2-46A8-A32A-1A5BECDD30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42346A7" w14:textId="77777777" w:rsidR="002754DF" w:rsidRDefault="002754DF" w:rsidP="00985591">
      <w:pPr>
        <w:spacing w:line="276" w:lineRule="auto"/>
        <w:jc w:val="center"/>
        <w:rPr>
          <w:rFonts w:ascii="Book Antiqua" w:hAnsi="Book Antiqua"/>
          <w:color w:val="000000"/>
          <w:sz w:val="20"/>
          <w:szCs w:val="20"/>
        </w:rPr>
      </w:pPr>
      <w:r w:rsidRPr="0013210E">
        <w:rPr>
          <w:rFonts w:ascii="Book Antiqua" w:hAnsi="Book Antiqua"/>
          <w:b/>
          <w:bCs/>
          <w:color w:val="000000"/>
          <w:sz w:val="20"/>
          <w:szCs w:val="20"/>
        </w:rPr>
        <w:t>Fuente:</w:t>
      </w:r>
      <w:r w:rsidRPr="00DE41EA">
        <w:rPr>
          <w:rFonts w:ascii="Book Antiqua" w:hAnsi="Book Antiqua"/>
          <w:color w:val="000000"/>
          <w:sz w:val="20"/>
          <w:szCs w:val="20"/>
        </w:rPr>
        <w:t xml:space="preserve"> </w:t>
      </w:r>
      <w:r>
        <w:rPr>
          <w:rFonts w:ascii="Book Antiqua" w:hAnsi="Book Antiqua"/>
          <w:color w:val="000000"/>
          <w:sz w:val="20"/>
          <w:szCs w:val="20"/>
        </w:rPr>
        <w:t>Matriz de indicadores de Gestión</w:t>
      </w:r>
    </w:p>
    <w:p w14:paraId="33A7E961" w14:textId="72F881A0" w:rsidR="00661B71" w:rsidRDefault="00661B71" w:rsidP="00985591">
      <w:pPr>
        <w:spacing w:line="276" w:lineRule="auto"/>
        <w:rPr>
          <w:rFonts w:ascii="Book Antiqua" w:hAnsi="Book Antiqua"/>
          <w:color w:val="000000" w:themeColor="text1"/>
          <w:highlight w:val="green"/>
        </w:rPr>
      </w:pPr>
    </w:p>
    <w:p w14:paraId="4291DCDF" w14:textId="56F3CF1E" w:rsidR="00661B71" w:rsidRPr="0078661F" w:rsidRDefault="0078661F" w:rsidP="00985591">
      <w:pPr>
        <w:spacing w:line="276" w:lineRule="auto"/>
        <w:jc w:val="both"/>
        <w:rPr>
          <w:rFonts w:ascii="Book Antiqua" w:hAnsi="Book Antiqua"/>
          <w:color w:val="000000" w:themeColor="text1"/>
        </w:rPr>
      </w:pPr>
      <w:r>
        <w:rPr>
          <w:rFonts w:ascii="Book Antiqua" w:hAnsi="Book Antiqua"/>
          <w:color w:val="000000" w:themeColor="text1"/>
        </w:rPr>
        <w:t>Adicional, es i</w:t>
      </w:r>
      <w:r w:rsidR="00661B71" w:rsidRPr="0078661F">
        <w:rPr>
          <w:rFonts w:ascii="Book Antiqua" w:hAnsi="Book Antiqua"/>
          <w:color w:val="000000" w:themeColor="text1"/>
        </w:rPr>
        <w:t>mportante mencionar que, conforme la información consignada en las matrices de indicadores</w:t>
      </w:r>
      <w:r w:rsidR="00BB59A5" w:rsidRPr="0078661F">
        <w:rPr>
          <w:rFonts w:ascii="Book Antiqua" w:hAnsi="Book Antiqua"/>
          <w:color w:val="000000" w:themeColor="text1"/>
        </w:rPr>
        <w:t>, en promedio los juzgados de ejecución de la pena tardaron 50 días naturales en resolver un incidente de modificación de pena y 130 días en finalizar un incidente de queja, lo cual según indican los despachos obedece a que los Centros Penitenciarios presentan los informes en plazos extensos.</w:t>
      </w:r>
    </w:p>
    <w:p w14:paraId="41B75377" w14:textId="77777777" w:rsidR="002754DF" w:rsidRDefault="002754DF" w:rsidP="00985591">
      <w:pPr>
        <w:spacing w:line="276" w:lineRule="auto"/>
        <w:jc w:val="center"/>
        <w:rPr>
          <w:rFonts w:ascii="Book Antiqua" w:hAnsi="Book Antiqua"/>
          <w:color w:val="000000" w:themeColor="text1"/>
          <w:highlight w:val="green"/>
        </w:rPr>
      </w:pPr>
    </w:p>
    <w:p w14:paraId="7480101A" w14:textId="3BA5DEE8" w:rsidR="002754DF" w:rsidRPr="00250497" w:rsidRDefault="0FD2524C" w:rsidP="57A79FF7">
      <w:pPr>
        <w:tabs>
          <w:tab w:val="left" w:pos="426"/>
        </w:tabs>
        <w:spacing w:line="276" w:lineRule="auto"/>
        <w:jc w:val="both"/>
        <w:outlineLvl w:val="1"/>
        <w:rPr>
          <w:b/>
          <w:color w:val="000000" w:themeColor="text1"/>
          <w:lang w:eastAsia="es-CR"/>
        </w:rPr>
      </w:pPr>
      <w:r w:rsidRPr="57A79FF7">
        <w:rPr>
          <w:rFonts w:ascii="Book Antiqua" w:hAnsi="Book Antiqua"/>
          <w:b/>
          <w:bCs/>
          <w:color w:val="000000" w:themeColor="text1"/>
        </w:rPr>
        <w:t xml:space="preserve">4.1.5 </w:t>
      </w:r>
      <w:r w:rsidR="002754DF" w:rsidRPr="00250497">
        <w:rPr>
          <w:rFonts w:ascii="Book Antiqua" w:hAnsi="Book Antiqua"/>
          <w:b/>
          <w:bCs/>
          <w:color w:val="000000" w:themeColor="text1"/>
        </w:rPr>
        <w:t>Tribunales de Apelación de Sentencia</w:t>
      </w:r>
    </w:p>
    <w:p w14:paraId="6FF6A10B" w14:textId="77777777" w:rsidR="002754DF" w:rsidRPr="000549BF" w:rsidRDefault="002754DF" w:rsidP="00985591">
      <w:pPr>
        <w:pStyle w:val="Prrafodelista"/>
        <w:tabs>
          <w:tab w:val="left" w:pos="426"/>
        </w:tabs>
        <w:spacing w:line="276" w:lineRule="auto"/>
        <w:ind w:left="0"/>
        <w:jc w:val="both"/>
        <w:rPr>
          <w:rFonts w:ascii="Book Antiqua" w:hAnsi="Book Antiqua"/>
          <w:color w:val="000000" w:themeColor="text1"/>
        </w:rPr>
      </w:pPr>
    </w:p>
    <w:p w14:paraId="61F762DC" w14:textId="105B5AD0" w:rsidR="008E570B" w:rsidRDefault="00695E1E" w:rsidP="00985591">
      <w:pPr>
        <w:spacing w:line="276" w:lineRule="auto"/>
        <w:jc w:val="both"/>
        <w:rPr>
          <w:rFonts w:ascii="Book Antiqua" w:hAnsi="Book Antiqua"/>
          <w:color w:val="000000"/>
        </w:rPr>
      </w:pPr>
      <w:r>
        <w:rPr>
          <w:rFonts w:ascii="Book Antiqua" w:hAnsi="Book Antiqua"/>
          <w:color w:val="000000"/>
        </w:rPr>
        <w:t>A continuación, se detallan las principales labores realizadas por los Tribunales de Apelación de Sentencia durante el mes de mayo del 2021:</w:t>
      </w:r>
    </w:p>
    <w:p w14:paraId="35505285" w14:textId="1CA40D52" w:rsidR="00BF7F5F" w:rsidRDefault="00BF7F5F">
      <w:pPr>
        <w:rPr>
          <w:rFonts w:ascii="Book Antiqua" w:hAnsi="Book Antiqua"/>
          <w:color w:val="000000"/>
        </w:rPr>
      </w:pPr>
      <w:r>
        <w:rPr>
          <w:rFonts w:ascii="Book Antiqua" w:hAnsi="Book Antiqua"/>
          <w:color w:val="000000"/>
        </w:rPr>
        <w:br w:type="page"/>
      </w:r>
    </w:p>
    <w:p w14:paraId="5C9FCADE" w14:textId="77777777" w:rsidR="002754DF" w:rsidRDefault="002754DF" w:rsidP="00985591">
      <w:pPr>
        <w:spacing w:line="276" w:lineRule="auto"/>
        <w:jc w:val="center"/>
        <w:rPr>
          <w:rFonts w:ascii="Book Antiqua" w:hAnsi="Book Antiqua"/>
          <w:color w:val="000000" w:themeColor="text1"/>
          <w:highlight w:val="green"/>
        </w:rPr>
      </w:pPr>
    </w:p>
    <w:p w14:paraId="657A9646" w14:textId="10768FA4" w:rsidR="002754DF" w:rsidRPr="001F11BE" w:rsidRDefault="002754DF" w:rsidP="00985591">
      <w:pPr>
        <w:spacing w:line="276" w:lineRule="auto"/>
        <w:jc w:val="center"/>
        <w:rPr>
          <w:rFonts w:ascii="Book Antiqua" w:hAnsi="Book Antiqua"/>
          <w:b/>
          <w:color w:val="000000"/>
        </w:rPr>
      </w:pPr>
      <w:r w:rsidRPr="001F11BE">
        <w:rPr>
          <w:rFonts w:ascii="Book Antiqua" w:hAnsi="Book Antiqua"/>
          <w:b/>
          <w:color w:val="000000"/>
        </w:rPr>
        <w:t xml:space="preserve">Gráfico </w:t>
      </w:r>
      <w:r>
        <w:rPr>
          <w:rFonts w:ascii="Book Antiqua" w:hAnsi="Book Antiqua"/>
          <w:b/>
          <w:color w:val="000000"/>
        </w:rPr>
        <w:t>7</w:t>
      </w:r>
    </w:p>
    <w:p w14:paraId="2AE3F317" w14:textId="77777777" w:rsidR="002754DF" w:rsidRPr="00B5501E" w:rsidRDefault="002754DF" w:rsidP="00985591">
      <w:pPr>
        <w:spacing w:line="276" w:lineRule="auto"/>
        <w:jc w:val="center"/>
        <w:rPr>
          <w:rFonts w:ascii="Book Antiqua" w:hAnsi="Book Antiqua"/>
          <w:bCs/>
          <w:color w:val="000000"/>
        </w:rPr>
      </w:pPr>
      <w:r w:rsidRPr="00B5501E">
        <w:rPr>
          <w:rFonts w:ascii="Book Antiqua" w:hAnsi="Book Antiqua"/>
          <w:bCs/>
          <w:color w:val="000000"/>
        </w:rPr>
        <w:t>Actividades principales efectuadas por el personal de la judicatura</w:t>
      </w:r>
    </w:p>
    <w:p w14:paraId="05F19645" w14:textId="77CFF565" w:rsidR="002754DF" w:rsidRPr="00B5501E" w:rsidRDefault="002754DF" w:rsidP="00985591">
      <w:pPr>
        <w:spacing w:line="276" w:lineRule="auto"/>
        <w:jc w:val="center"/>
        <w:rPr>
          <w:rFonts w:ascii="Book Antiqua" w:hAnsi="Book Antiqua"/>
          <w:bCs/>
          <w:color w:val="000000"/>
        </w:rPr>
      </w:pPr>
      <w:r w:rsidRPr="00B5501E">
        <w:rPr>
          <w:rFonts w:ascii="Book Antiqua" w:hAnsi="Book Antiqua"/>
          <w:bCs/>
          <w:color w:val="000000"/>
        </w:rPr>
        <w:t xml:space="preserve">de los </w:t>
      </w:r>
      <w:r>
        <w:rPr>
          <w:rFonts w:ascii="Book Antiqua" w:hAnsi="Book Antiqua"/>
          <w:bCs/>
          <w:color w:val="000000"/>
        </w:rPr>
        <w:t>Tribunales de Apelación de Sentencia</w:t>
      </w:r>
      <w:r w:rsidRPr="00B5501E">
        <w:rPr>
          <w:rFonts w:ascii="Book Antiqua" w:hAnsi="Book Antiqua"/>
          <w:bCs/>
          <w:color w:val="000000"/>
        </w:rPr>
        <w:t xml:space="preserve"> durante mayo de 2021</w:t>
      </w:r>
    </w:p>
    <w:p w14:paraId="6D4104D9" w14:textId="77777777" w:rsidR="002754DF" w:rsidRDefault="002754DF" w:rsidP="00985591">
      <w:pPr>
        <w:spacing w:line="276" w:lineRule="auto"/>
        <w:jc w:val="center"/>
        <w:rPr>
          <w:rFonts w:ascii="Book Antiqua" w:hAnsi="Book Antiqua"/>
          <w:b/>
          <w:bCs/>
          <w:color w:val="000000"/>
          <w:sz w:val="20"/>
          <w:szCs w:val="20"/>
        </w:rPr>
      </w:pPr>
    </w:p>
    <w:p w14:paraId="7B92D6D9" w14:textId="77777777" w:rsidR="002754DF" w:rsidRDefault="002754DF" w:rsidP="00985591">
      <w:pPr>
        <w:spacing w:line="276" w:lineRule="auto"/>
        <w:jc w:val="center"/>
        <w:rPr>
          <w:rFonts w:ascii="Book Antiqua" w:hAnsi="Book Antiqua"/>
          <w:b/>
          <w:bCs/>
          <w:color w:val="000000"/>
          <w:sz w:val="20"/>
          <w:szCs w:val="20"/>
        </w:rPr>
      </w:pPr>
    </w:p>
    <w:p w14:paraId="52FF94A3" w14:textId="77777777" w:rsidR="002754DF" w:rsidRDefault="002754DF" w:rsidP="00985591">
      <w:pPr>
        <w:spacing w:line="276" w:lineRule="auto"/>
        <w:jc w:val="center"/>
        <w:rPr>
          <w:rFonts w:ascii="Book Antiqua" w:hAnsi="Book Antiqua"/>
          <w:b/>
          <w:bCs/>
          <w:color w:val="000000"/>
          <w:sz w:val="20"/>
          <w:szCs w:val="20"/>
        </w:rPr>
      </w:pPr>
    </w:p>
    <w:p w14:paraId="4ABEDF78" w14:textId="77777777" w:rsidR="002754DF" w:rsidRDefault="002754DF" w:rsidP="00985591">
      <w:pPr>
        <w:spacing w:line="276" w:lineRule="auto"/>
        <w:jc w:val="center"/>
        <w:rPr>
          <w:rFonts w:ascii="Book Antiqua" w:hAnsi="Book Antiqua"/>
          <w:b/>
          <w:bCs/>
          <w:color w:val="000000"/>
          <w:sz w:val="20"/>
          <w:szCs w:val="20"/>
        </w:rPr>
      </w:pPr>
    </w:p>
    <w:p w14:paraId="59AE39F8" w14:textId="4E84AD58" w:rsidR="002754DF" w:rsidRDefault="00695E1E" w:rsidP="00985591">
      <w:pPr>
        <w:spacing w:line="276" w:lineRule="auto"/>
        <w:jc w:val="center"/>
        <w:rPr>
          <w:rFonts w:ascii="Book Antiqua" w:hAnsi="Book Antiqua"/>
          <w:b/>
          <w:bCs/>
          <w:color w:val="000000"/>
          <w:sz w:val="20"/>
          <w:szCs w:val="20"/>
        </w:rPr>
      </w:pPr>
      <w:r w:rsidRPr="00D4121C">
        <w:rPr>
          <w:noProof/>
        </w:rPr>
        <w:drawing>
          <wp:inline distT="0" distB="0" distL="0" distR="0" wp14:anchorId="4E8A13B4" wp14:editId="22F5E5FC">
            <wp:extent cx="4176000" cy="2505600"/>
            <wp:effectExtent l="0" t="0" r="0" b="0"/>
            <wp:docPr id="2"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B9F0EAD" w14:textId="77777777" w:rsidR="008E570B" w:rsidRDefault="002754DF" w:rsidP="00985591">
      <w:pPr>
        <w:spacing w:line="276" w:lineRule="auto"/>
        <w:jc w:val="center"/>
        <w:rPr>
          <w:rFonts w:ascii="Book Antiqua" w:hAnsi="Book Antiqua"/>
          <w:color w:val="000000"/>
          <w:sz w:val="20"/>
          <w:szCs w:val="20"/>
        </w:rPr>
      </w:pPr>
      <w:r w:rsidRPr="0013210E">
        <w:rPr>
          <w:rFonts w:ascii="Book Antiqua" w:hAnsi="Book Antiqua"/>
          <w:b/>
          <w:bCs/>
          <w:color w:val="000000"/>
          <w:sz w:val="20"/>
          <w:szCs w:val="20"/>
        </w:rPr>
        <w:t>Fuente:</w:t>
      </w:r>
      <w:r w:rsidRPr="00DE41EA">
        <w:rPr>
          <w:rFonts w:ascii="Book Antiqua" w:hAnsi="Book Antiqua"/>
          <w:color w:val="000000"/>
          <w:sz w:val="20"/>
          <w:szCs w:val="20"/>
        </w:rPr>
        <w:t xml:space="preserve"> </w:t>
      </w:r>
      <w:r w:rsidRPr="002754DF">
        <w:rPr>
          <w:rFonts w:ascii="Book Antiqua" w:hAnsi="Book Antiqua"/>
          <w:color w:val="000000"/>
          <w:sz w:val="20"/>
          <w:szCs w:val="20"/>
        </w:rPr>
        <w:t>Elaboración propia a partir de datos suministrados por despachos según circular 61-2020</w:t>
      </w:r>
    </w:p>
    <w:p w14:paraId="6CA3C046" w14:textId="77777777" w:rsidR="008E570B" w:rsidRDefault="008E570B" w:rsidP="00985591">
      <w:pPr>
        <w:spacing w:line="276" w:lineRule="auto"/>
        <w:jc w:val="center"/>
        <w:rPr>
          <w:rFonts w:ascii="Book Antiqua" w:hAnsi="Book Antiqua"/>
          <w:color w:val="000000"/>
          <w:sz w:val="20"/>
          <w:szCs w:val="20"/>
        </w:rPr>
      </w:pPr>
    </w:p>
    <w:p w14:paraId="29B81337" w14:textId="760BE37A" w:rsidR="00250497" w:rsidRDefault="00250497" w:rsidP="00985591">
      <w:pPr>
        <w:spacing w:line="276" w:lineRule="auto"/>
        <w:jc w:val="both"/>
        <w:rPr>
          <w:rFonts w:ascii="Book Antiqua" w:hAnsi="Book Antiqua" w:cs="Arial"/>
        </w:rPr>
      </w:pPr>
      <w:r>
        <w:rPr>
          <w:rFonts w:ascii="Book Antiqua" w:hAnsi="Book Antiqua" w:cs="Arial"/>
        </w:rPr>
        <w:t>La principal labor realizada por los Tribunales de Apelación de Sentencia Penal fue el dictado de sentencias con 278 y la segunda labor más representativa fue la redacción de proyectos con 180, las cuales corresponden a labores características de apelación de sentencia.</w:t>
      </w:r>
    </w:p>
    <w:p w14:paraId="5AB83054" w14:textId="77777777" w:rsidR="00081D36" w:rsidRDefault="00081D36" w:rsidP="00081D36">
      <w:pPr>
        <w:spacing w:line="276" w:lineRule="auto"/>
        <w:rPr>
          <w:rFonts w:ascii="Book Antiqua" w:hAnsi="Book Antiqua"/>
          <w:color w:val="000000" w:themeColor="text1"/>
        </w:rPr>
      </w:pPr>
    </w:p>
    <w:p w14:paraId="0C891B05" w14:textId="623B95B1" w:rsidR="002754DF" w:rsidRPr="00081D36" w:rsidRDefault="7429DC1C" w:rsidP="57A79FF7">
      <w:pPr>
        <w:spacing w:line="276" w:lineRule="auto"/>
        <w:rPr>
          <w:color w:val="000000" w:themeColor="text1"/>
        </w:rPr>
      </w:pPr>
      <w:r w:rsidRPr="57A79FF7">
        <w:rPr>
          <w:rFonts w:ascii="Book Antiqua" w:hAnsi="Book Antiqua"/>
          <w:b/>
          <w:bCs/>
          <w:color w:val="000000" w:themeColor="text1"/>
        </w:rPr>
        <w:t xml:space="preserve">4.1.6 </w:t>
      </w:r>
      <w:r w:rsidR="002754DF" w:rsidRPr="00081D36">
        <w:rPr>
          <w:rFonts w:ascii="Book Antiqua" w:hAnsi="Book Antiqua"/>
          <w:b/>
          <w:bCs/>
          <w:color w:val="000000" w:themeColor="text1"/>
        </w:rPr>
        <w:t>Sala Tercera</w:t>
      </w:r>
    </w:p>
    <w:p w14:paraId="02DE5434" w14:textId="77777777" w:rsidR="002754DF" w:rsidRPr="000549BF" w:rsidRDefault="002754DF" w:rsidP="00985591">
      <w:pPr>
        <w:pStyle w:val="Prrafodelista"/>
        <w:tabs>
          <w:tab w:val="left" w:pos="426"/>
        </w:tabs>
        <w:spacing w:line="276" w:lineRule="auto"/>
        <w:ind w:left="0"/>
        <w:jc w:val="both"/>
        <w:rPr>
          <w:rFonts w:ascii="Book Antiqua" w:hAnsi="Book Antiqua"/>
          <w:color w:val="000000" w:themeColor="text1"/>
        </w:rPr>
      </w:pPr>
    </w:p>
    <w:p w14:paraId="41BA0A0D" w14:textId="69E01203" w:rsidR="003E307A" w:rsidRDefault="00372E35" w:rsidP="00985591">
      <w:pPr>
        <w:spacing w:line="276" w:lineRule="auto"/>
        <w:jc w:val="both"/>
        <w:rPr>
          <w:rFonts w:ascii="Book Antiqua" w:hAnsi="Book Antiqua"/>
          <w:color w:val="000000"/>
        </w:rPr>
      </w:pPr>
      <w:r w:rsidRPr="00372E35">
        <w:rPr>
          <w:rFonts w:ascii="Book Antiqua" w:hAnsi="Book Antiqua"/>
          <w:color w:val="000000"/>
        </w:rPr>
        <w:t xml:space="preserve">El personal Profesional de la Sala Tercera refleja la mayor cantidad de actividades en la variable </w:t>
      </w:r>
      <w:r>
        <w:rPr>
          <w:rFonts w:ascii="Book Antiqua" w:hAnsi="Book Antiqua"/>
          <w:color w:val="000000"/>
        </w:rPr>
        <w:t>de revisión de expedientes y resoluciones</w:t>
      </w:r>
      <w:r w:rsidR="008352A7">
        <w:rPr>
          <w:rFonts w:ascii="Book Antiqua" w:hAnsi="Book Antiqua"/>
          <w:color w:val="000000"/>
        </w:rPr>
        <w:t xml:space="preserve"> </w:t>
      </w:r>
      <w:r>
        <w:rPr>
          <w:rFonts w:ascii="Book Antiqua" w:hAnsi="Book Antiqua"/>
          <w:color w:val="000000"/>
        </w:rPr>
        <w:t xml:space="preserve">300, </w:t>
      </w:r>
      <w:r w:rsidRPr="00372E35">
        <w:rPr>
          <w:rFonts w:ascii="Book Antiqua" w:hAnsi="Book Antiqua"/>
          <w:color w:val="000000"/>
        </w:rPr>
        <w:t xml:space="preserve">clasificación de jurisprudencia </w:t>
      </w:r>
      <w:r w:rsidR="008352A7">
        <w:rPr>
          <w:rFonts w:ascii="Book Antiqua" w:hAnsi="Book Antiqua"/>
          <w:color w:val="000000"/>
        </w:rPr>
        <w:t>con 151</w:t>
      </w:r>
      <w:r w:rsidRPr="00372E35">
        <w:rPr>
          <w:rFonts w:ascii="Book Antiqua" w:hAnsi="Book Antiqua"/>
          <w:color w:val="000000"/>
        </w:rPr>
        <w:t xml:space="preserve">, </w:t>
      </w:r>
      <w:r w:rsidR="008352A7">
        <w:rPr>
          <w:rFonts w:ascii="Book Antiqua" w:hAnsi="Book Antiqua"/>
          <w:color w:val="000000"/>
        </w:rPr>
        <w:t>votaciones</w:t>
      </w:r>
      <w:r w:rsidRPr="00372E35">
        <w:rPr>
          <w:rFonts w:ascii="Book Antiqua" w:hAnsi="Book Antiqua"/>
          <w:color w:val="000000"/>
        </w:rPr>
        <w:t xml:space="preserve"> </w:t>
      </w:r>
      <w:r w:rsidR="008352A7">
        <w:rPr>
          <w:rFonts w:ascii="Book Antiqua" w:hAnsi="Book Antiqua"/>
          <w:color w:val="000000"/>
        </w:rPr>
        <w:t xml:space="preserve">143 </w:t>
      </w:r>
      <w:r w:rsidRPr="00372E35">
        <w:rPr>
          <w:rFonts w:ascii="Book Antiqua" w:hAnsi="Book Antiqua"/>
          <w:color w:val="000000"/>
        </w:rPr>
        <w:t xml:space="preserve">y </w:t>
      </w:r>
      <w:r w:rsidR="008352A7">
        <w:rPr>
          <w:rFonts w:ascii="Book Antiqua" w:hAnsi="Book Antiqua"/>
          <w:color w:val="000000"/>
        </w:rPr>
        <w:t>proyectos de resolución</w:t>
      </w:r>
      <w:r w:rsidRPr="00372E35">
        <w:rPr>
          <w:rFonts w:ascii="Book Antiqua" w:hAnsi="Book Antiqua"/>
          <w:color w:val="000000"/>
        </w:rPr>
        <w:t xml:space="preserve"> 1</w:t>
      </w:r>
      <w:r w:rsidR="008352A7">
        <w:rPr>
          <w:rFonts w:ascii="Book Antiqua" w:hAnsi="Book Antiqua"/>
          <w:color w:val="000000"/>
        </w:rPr>
        <w:t>21</w:t>
      </w:r>
      <w:r w:rsidRPr="00372E35">
        <w:rPr>
          <w:rFonts w:ascii="Book Antiqua" w:hAnsi="Book Antiqua"/>
          <w:color w:val="000000"/>
        </w:rPr>
        <w:t xml:space="preserve">. </w:t>
      </w:r>
    </w:p>
    <w:p w14:paraId="541FEA69" w14:textId="79369CCF" w:rsidR="00BF7F5F" w:rsidRDefault="00BF7F5F">
      <w:pPr>
        <w:rPr>
          <w:rFonts w:ascii="Book Antiqua" w:hAnsi="Book Antiqua"/>
          <w:color w:val="000000" w:themeColor="text1"/>
        </w:rPr>
      </w:pPr>
      <w:r>
        <w:rPr>
          <w:rFonts w:ascii="Book Antiqua" w:hAnsi="Book Antiqua"/>
          <w:color w:val="000000" w:themeColor="text1"/>
        </w:rPr>
        <w:br w:type="page"/>
      </w:r>
    </w:p>
    <w:p w14:paraId="3F2A9C32" w14:textId="77777777" w:rsidR="008352A7" w:rsidRDefault="008352A7" w:rsidP="00985591">
      <w:pPr>
        <w:spacing w:line="276" w:lineRule="auto"/>
        <w:jc w:val="both"/>
        <w:rPr>
          <w:rFonts w:ascii="Book Antiqua" w:hAnsi="Book Antiqua"/>
          <w:color w:val="000000" w:themeColor="text1"/>
        </w:rPr>
      </w:pPr>
    </w:p>
    <w:p w14:paraId="5E8FC01A" w14:textId="15E5F9FC" w:rsidR="002754DF" w:rsidRPr="001F11BE" w:rsidRDefault="002754DF" w:rsidP="00985591">
      <w:pPr>
        <w:spacing w:line="276" w:lineRule="auto"/>
        <w:jc w:val="center"/>
        <w:rPr>
          <w:rFonts w:ascii="Book Antiqua" w:hAnsi="Book Antiqua"/>
          <w:b/>
          <w:color w:val="000000"/>
        </w:rPr>
      </w:pPr>
      <w:r w:rsidRPr="001F11BE">
        <w:rPr>
          <w:rFonts w:ascii="Book Antiqua" w:hAnsi="Book Antiqua"/>
          <w:b/>
          <w:color w:val="000000"/>
        </w:rPr>
        <w:t xml:space="preserve">Gráfico </w:t>
      </w:r>
      <w:r>
        <w:rPr>
          <w:rFonts w:ascii="Book Antiqua" w:hAnsi="Book Antiqua"/>
          <w:b/>
          <w:color w:val="000000"/>
        </w:rPr>
        <w:t>8</w:t>
      </w:r>
    </w:p>
    <w:p w14:paraId="4BC99730" w14:textId="77777777" w:rsidR="002754DF" w:rsidRPr="00B5501E" w:rsidRDefault="002754DF" w:rsidP="00985591">
      <w:pPr>
        <w:spacing w:line="276" w:lineRule="auto"/>
        <w:jc w:val="center"/>
        <w:rPr>
          <w:rFonts w:ascii="Book Antiqua" w:hAnsi="Book Antiqua"/>
          <w:bCs/>
          <w:color w:val="000000"/>
        </w:rPr>
      </w:pPr>
      <w:r w:rsidRPr="00B5501E">
        <w:rPr>
          <w:rFonts w:ascii="Book Antiqua" w:hAnsi="Book Antiqua"/>
          <w:bCs/>
          <w:color w:val="000000"/>
        </w:rPr>
        <w:t>Actividades principales efectuadas por el personal de la judicatura</w:t>
      </w:r>
    </w:p>
    <w:p w14:paraId="0FB9E767" w14:textId="52FE21AD" w:rsidR="002754DF" w:rsidRPr="00B5501E" w:rsidRDefault="002754DF" w:rsidP="00985591">
      <w:pPr>
        <w:spacing w:line="276" w:lineRule="auto"/>
        <w:jc w:val="center"/>
        <w:rPr>
          <w:rFonts w:ascii="Book Antiqua" w:hAnsi="Book Antiqua"/>
          <w:bCs/>
          <w:color w:val="000000"/>
        </w:rPr>
      </w:pPr>
      <w:r w:rsidRPr="00B5501E">
        <w:rPr>
          <w:rFonts w:ascii="Book Antiqua" w:hAnsi="Book Antiqua"/>
          <w:bCs/>
          <w:color w:val="000000"/>
        </w:rPr>
        <w:t xml:space="preserve">de </w:t>
      </w:r>
      <w:r>
        <w:rPr>
          <w:rFonts w:ascii="Book Antiqua" w:hAnsi="Book Antiqua"/>
          <w:bCs/>
          <w:color w:val="000000"/>
        </w:rPr>
        <w:t>la Sala Tercera</w:t>
      </w:r>
      <w:r w:rsidRPr="00B5501E">
        <w:rPr>
          <w:rFonts w:ascii="Book Antiqua" w:hAnsi="Book Antiqua"/>
          <w:bCs/>
          <w:color w:val="000000"/>
        </w:rPr>
        <w:t xml:space="preserve"> durante mayo de 2021</w:t>
      </w:r>
    </w:p>
    <w:p w14:paraId="24FD466E" w14:textId="7A5EC87B" w:rsidR="00776798" w:rsidRDefault="00776798" w:rsidP="00985591">
      <w:pPr>
        <w:spacing w:line="276" w:lineRule="auto"/>
        <w:rPr>
          <w:rFonts w:ascii="Book Antiqua" w:hAnsi="Book Antiqua"/>
          <w:color w:val="000000" w:themeColor="text1"/>
        </w:rPr>
      </w:pPr>
    </w:p>
    <w:p w14:paraId="213E0056" w14:textId="1C15AAAD" w:rsidR="002754DF" w:rsidRDefault="002754DF" w:rsidP="00985591">
      <w:pPr>
        <w:spacing w:line="276" w:lineRule="auto"/>
        <w:jc w:val="center"/>
        <w:rPr>
          <w:rFonts w:ascii="Book Antiqua" w:hAnsi="Book Antiqua"/>
          <w:color w:val="000000" w:themeColor="text1"/>
        </w:rPr>
      </w:pPr>
      <w:r>
        <w:rPr>
          <w:noProof/>
        </w:rPr>
        <w:drawing>
          <wp:inline distT="0" distB="0" distL="0" distR="0" wp14:anchorId="7ED14BBB" wp14:editId="1B8CD062">
            <wp:extent cx="4572000" cy="2800350"/>
            <wp:effectExtent l="0" t="0" r="0" b="8255"/>
            <wp:docPr id="32" name="Gráfico 32">
              <a:extLst xmlns:a="http://schemas.openxmlformats.org/drawingml/2006/main">
                <a:ext uri="{FF2B5EF4-FFF2-40B4-BE49-F238E27FC236}">
                  <a16:creationId xmlns:a16="http://schemas.microsoft.com/office/drawing/2014/main" id="{2CD993AB-1E05-45CB-B8F0-9D7BE936CD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6416F11" w14:textId="518A664D" w:rsidR="002754DF" w:rsidRDefault="002754DF" w:rsidP="00985591">
      <w:pPr>
        <w:spacing w:line="276" w:lineRule="auto"/>
        <w:jc w:val="center"/>
        <w:rPr>
          <w:rFonts w:ascii="Book Antiqua" w:hAnsi="Book Antiqua"/>
          <w:color w:val="000000" w:themeColor="text1"/>
          <w:sz w:val="20"/>
          <w:szCs w:val="20"/>
        </w:rPr>
      </w:pPr>
      <w:r w:rsidRPr="0013210E">
        <w:rPr>
          <w:rFonts w:ascii="Book Antiqua" w:hAnsi="Book Antiqua"/>
          <w:b/>
          <w:bCs/>
          <w:color w:val="000000"/>
          <w:sz w:val="20"/>
          <w:szCs w:val="20"/>
        </w:rPr>
        <w:t>Fuente:</w:t>
      </w:r>
      <w:r w:rsidRPr="00DE41EA">
        <w:rPr>
          <w:rFonts w:ascii="Book Antiqua" w:hAnsi="Book Antiqua"/>
          <w:color w:val="000000"/>
          <w:sz w:val="20"/>
          <w:szCs w:val="20"/>
        </w:rPr>
        <w:t xml:space="preserve"> </w:t>
      </w:r>
      <w:r w:rsidRPr="002754DF">
        <w:rPr>
          <w:rFonts w:ascii="Book Antiqua" w:hAnsi="Book Antiqua"/>
          <w:color w:val="000000" w:themeColor="text1"/>
          <w:sz w:val="20"/>
          <w:szCs w:val="20"/>
        </w:rPr>
        <w:t>Elaboración propia a partir de datos suministrados por despachos según circular 61-2020</w:t>
      </w:r>
    </w:p>
    <w:p w14:paraId="057DD741" w14:textId="47B79142" w:rsidR="00AF4555" w:rsidRDefault="00AF4555" w:rsidP="00985591">
      <w:pPr>
        <w:spacing w:line="276" w:lineRule="auto"/>
        <w:rPr>
          <w:rFonts w:ascii="Book Antiqua" w:hAnsi="Book Antiqua"/>
          <w:color w:val="000000" w:themeColor="text1"/>
          <w:sz w:val="20"/>
          <w:szCs w:val="20"/>
        </w:rPr>
      </w:pPr>
    </w:p>
    <w:p w14:paraId="684C771A" w14:textId="58821063" w:rsidR="00AF4555" w:rsidRDefault="00AF4555" w:rsidP="00985591">
      <w:pPr>
        <w:spacing w:line="276" w:lineRule="auto"/>
        <w:jc w:val="center"/>
        <w:rPr>
          <w:rFonts w:ascii="Book Antiqua" w:hAnsi="Book Antiqua"/>
          <w:color w:val="000000" w:themeColor="text1"/>
          <w:sz w:val="20"/>
          <w:szCs w:val="20"/>
        </w:rPr>
      </w:pPr>
    </w:p>
    <w:p w14:paraId="10BB8E0B" w14:textId="0644FAF1" w:rsidR="00AF4555" w:rsidRDefault="00AF4555" w:rsidP="00985591">
      <w:pPr>
        <w:spacing w:line="276" w:lineRule="auto"/>
        <w:jc w:val="center"/>
        <w:rPr>
          <w:rFonts w:ascii="Book Antiqua" w:hAnsi="Book Antiqua"/>
          <w:color w:val="000000" w:themeColor="text1"/>
          <w:sz w:val="20"/>
          <w:szCs w:val="20"/>
        </w:rPr>
      </w:pPr>
    </w:p>
    <w:p w14:paraId="1F5B92D8" w14:textId="77777777" w:rsidR="00AF4555" w:rsidRDefault="00AF4555" w:rsidP="00985591">
      <w:pPr>
        <w:spacing w:line="276" w:lineRule="auto"/>
        <w:jc w:val="center"/>
        <w:rPr>
          <w:rFonts w:ascii="Book Antiqua" w:hAnsi="Book Antiqua"/>
          <w:color w:val="000000" w:themeColor="text1"/>
          <w:sz w:val="20"/>
          <w:szCs w:val="20"/>
        </w:rPr>
      </w:pPr>
    </w:p>
    <w:p w14:paraId="73E05846" w14:textId="25FB5EAE" w:rsidR="00776798" w:rsidRPr="00C075F3" w:rsidRDefault="38E7DD88" w:rsidP="57A79FF7">
      <w:pPr>
        <w:tabs>
          <w:tab w:val="left" w:pos="426"/>
        </w:tabs>
        <w:spacing w:after="160" w:line="276" w:lineRule="auto"/>
        <w:contextualSpacing/>
        <w:outlineLvl w:val="1"/>
        <w:rPr>
          <w:b/>
          <w:color w:val="000000" w:themeColor="text1"/>
        </w:rPr>
      </w:pPr>
      <w:r w:rsidRPr="57A79FF7">
        <w:rPr>
          <w:rFonts w:ascii="Book Antiqua" w:hAnsi="Book Antiqua"/>
          <w:b/>
          <w:bCs/>
          <w:color w:val="000000" w:themeColor="text1"/>
        </w:rPr>
        <w:t xml:space="preserve">4.2 </w:t>
      </w:r>
      <w:r w:rsidR="00776798" w:rsidRPr="00C075F3">
        <w:rPr>
          <w:rFonts w:ascii="Book Antiqua" w:hAnsi="Book Antiqua"/>
          <w:b/>
          <w:color w:val="000000" w:themeColor="text1"/>
        </w:rPr>
        <w:t>Cumplimiento de parámetros de producción</w:t>
      </w:r>
    </w:p>
    <w:p w14:paraId="00A76394" w14:textId="77777777" w:rsidR="00776798" w:rsidRPr="004F0E92" w:rsidRDefault="00776798" w:rsidP="00985591">
      <w:pPr>
        <w:spacing w:line="276" w:lineRule="auto"/>
        <w:rPr>
          <w:rFonts w:ascii="Book Antiqua" w:hAnsi="Book Antiqua"/>
          <w:b/>
          <w:color w:val="000000" w:themeColor="text1"/>
        </w:rPr>
      </w:pPr>
    </w:p>
    <w:p w14:paraId="30A3D8D8" w14:textId="01E8665F" w:rsidR="00776798" w:rsidRPr="004F0E92" w:rsidRDefault="00776798" w:rsidP="00985591">
      <w:pPr>
        <w:spacing w:line="276" w:lineRule="auto"/>
        <w:jc w:val="both"/>
        <w:rPr>
          <w:rFonts w:ascii="Book Antiqua" w:hAnsi="Book Antiqua"/>
          <w:color w:val="000000" w:themeColor="text1"/>
        </w:rPr>
      </w:pPr>
      <w:r w:rsidRPr="004F0E92">
        <w:rPr>
          <w:rFonts w:ascii="Book Antiqua" w:hAnsi="Book Antiqua"/>
          <w:color w:val="000000" w:themeColor="text1"/>
        </w:rPr>
        <w:t>La Circular 101-20</w:t>
      </w:r>
      <w:r w:rsidR="006A193F">
        <w:rPr>
          <w:rFonts w:ascii="Book Antiqua" w:hAnsi="Book Antiqua"/>
          <w:color w:val="000000" w:themeColor="text1"/>
        </w:rPr>
        <w:t>,</w:t>
      </w:r>
      <w:r w:rsidR="00AF4555">
        <w:rPr>
          <w:rFonts w:ascii="Book Antiqua" w:hAnsi="Book Antiqua"/>
          <w:color w:val="000000" w:themeColor="text1"/>
        </w:rPr>
        <w:t xml:space="preserve"> </w:t>
      </w:r>
      <w:r w:rsidRPr="004F0E92">
        <w:rPr>
          <w:rFonts w:ascii="Book Antiqua" w:hAnsi="Book Antiqua"/>
          <w:color w:val="000000" w:themeColor="text1"/>
        </w:rPr>
        <w:t>estableció parámetros de producción para las diferentes fases del proceso penal:</w:t>
      </w:r>
    </w:p>
    <w:p w14:paraId="78C9C76F" w14:textId="6FF4E788" w:rsidR="00617DE6" w:rsidRDefault="00617DE6" w:rsidP="00985591">
      <w:pPr>
        <w:spacing w:line="276" w:lineRule="auto"/>
        <w:jc w:val="both"/>
        <w:rPr>
          <w:rFonts w:ascii="Book Antiqua" w:hAnsi="Book Antiqua"/>
          <w:color w:val="000000" w:themeColor="text1"/>
        </w:rPr>
      </w:pPr>
    </w:p>
    <w:p w14:paraId="21633023" w14:textId="77777777" w:rsidR="00617DE6" w:rsidRPr="004F0E92" w:rsidRDefault="00617DE6" w:rsidP="00985591">
      <w:pPr>
        <w:spacing w:line="276" w:lineRule="auto"/>
        <w:jc w:val="both"/>
        <w:rPr>
          <w:rFonts w:ascii="Book Antiqua" w:hAnsi="Book Antiqua"/>
          <w:color w:val="000000" w:themeColor="text1"/>
        </w:rPr>
      </w:pPr>
    </w:p>
    <w:p w14:paraId="35B49F98" w14:textId="77777777" w:rsidR="00BF7F5F" w:rsidRDefault="00B05B2F" w:rsidP="00985591">
      <w:pPr>
        <w:spacing w:line="276" w:lineRule="auto"/>
        <w:jc w:val="center"/>
        <w:rPr>
          <w:rFonts w:ascii="Book Antiqua" w:hAnsi="Book Antiqua"/>
          <w:b/>
          <w:bCs/>
          <w:color w:val="000000" w:themeColor="text1"/>
        </w:rPr>
      </w:pPr>
      <w:r w:rsidRPr="00BF2ABA">
        <w:rPr>
          <w:rFonts w:ascii="Book Antiqua" w:hAnsi="Book Antiqua"/>
          <w:b/>
          <w:bCs/>
          <w:color w:val="000000" w:themeColor="text1"/>
        </w:rPr>
        <w:t xml:space="preserve">Cuadro </w:t>
      </w:r>
      <w:r w:rsidR="00AF4555">
        <w:rPr>
          <w:rFonts w:ascii="Book Antiqua" w:hAnsi="Book Antiqua"/>
          <w:b/>
          <w:bCs/>
          <w:color w:val="000000" w:themeColor="text1"/>
        </w:rPr>
        <w:t>31</w:t>
      </w:r>
    </w:p>
    <w:p w14:paraId="16143F4D" w14:textId="641FDED6" w:rsidR="00B05B2F" w:rsidRPr="00BF2ABA" w:rsidRDefault="00B05B2F" w:rsidP="00985591">
      <w:pPr>
        <w:spacing w:line="276" w:lineRule="auto"/>
        <w:jc w:val="center"/>
        <w:rPr>
          <w:rFonts w:ascii="Book Antiqua" w:hAnsi="Book Antiqua"/>
          <w:b/>
          <w:bCs/>
          <w:color w:val="000000" w:themeColor="text1"/>
        </w:rPr>
      </w:pPr>
      <w:r w:rsidRPr="00BF2ABA">
        <w:rPr>
          <w:rFonts w:ascii="Book Antiqua" w:hAnsi="Book Antiqua"/>
          <w:b/>
          <w:bCs/>
          <w:color w:val="000000" w:themeColor="text1"/>
        </w:rPr>
        <w:t>Parámetros de producción por fase de materia penal</w:t>
      </w:r>
    </w:p>
    <w:p w14:paraId="18C2932A" w14:textId="77777777" w:rsidR="00776798" w:rsidRPr="004F0E92" w:rsidRDefault="00776798" w:rsidP="00985591">
      <w:pPr>
        <w:spacing w:line="276" w:lineRule="auto"/>
        <w:rPr>
          <w:rFonts w:ascii="Book Antiqua" w:hAnsi="Book Antiqua"/>
          <w:color w:val="000000" w:themeColor="text1"/>
        </w:rPr>
      </w:pPr>
    </w:p>
    <w:tbl>
      <w:tblPr>
        <w:tblStyle w:val="Tablaconcuadrcula"/>
        <w:tblW w:w="9776" w:type="dxa"/>
        <w:tblLook w:val="04A0" w:firstRow="1" w:lastRow="0" w:firstColumn="1" w:lastColumn="0" w:noHBand="0" w:noVBand="1"/>
      </w:tblPr>
      <w:tblGrid>
        <w:gridCol w:w="1838"/>
        <w:gridCol w:w="3402"/>
        <w:gridCol w:w="4536"/>
      </w:tblGrid>
      <w:tr w:rsidR="00776798" w:rsidRPr="00677475" w14:paraId="54F5DF9F" w14:textId="77777777" w:rsidTr="00655DCB">
        <w:trPr>
          <w:trHeight w:val="397"/>
        </w:trPr>
        <w:tc>
          <w:tcPr>
            <w:tcW w:w="1838" w:type="dxa"/>
            <w:shd w:val="clear" w:color="auto" w:fill="2F5496" w:themeFill="accent1" w:themeFillShade="BF"/>
          </w:tcPr>
          <w:p w14:paraId="7B94762D" w14:textId="77777777" w:rsidR="00776798" w:rsidRPr="00677475" w:rsidRDefault="00776798" w:rsidP="00985591">
            <w:pPr>
              <w:spacing w:line="276" w:lineRule="auto"/>
              <w:jc w:val="center"/>
              <w:rPr>
                <w:rFonts w:ascii="Book Antiqua" w:hAnsi="Book Antiqua"/>
                <w:b/>
                <w:color w:val="FFFFFF" w:themeColor="background1"/>
                <w:sz w:val="20"/>
                <w:szCs w:val="20"/>
              </w:rPr>
            </w:pPr>
            <w:r w:rsidRPr="00677475">
              <w:rPr>
                <w:rFonts w:ascii="Book Antiqua" w:hAnsi="Book Antiqua"/>
                <w:b/>
                <w:color w:val="FFFFFF" w:themeColor="background1"/>
                <w:sz w:val="20"/>
                <w:szCs w:val="20"/>
              </w:rPr>
              <w:t>Fase</w:t>
            </w:r>
          </w:p>
        </w:tc>
        <w:tc>
          <w:tcPr>
            <w:tcW w:w="3402" w:type="dxa"/>
            <w:shd w:val="clear" w:color="auto" w:fill="2F5496" w:themeFill="accent1" w:themeFillShade="BF"/>
          </w:tcPr>
          <w:p w14:paraId="0986A296" w14:textId="77777777" w:rsidR="00776798" w:rsidRPr="00677475" w:rsidRDefault="00776798" w:rsidP="00985591">
            <w:pPr>
              <w:spacing w:line="276" w:lineRule="auto"/>
              <w:jc w:val="center"/>
              <w:rPr>
                <w:rFonts w:ascii="Book Antiqua" w:hAnsi="Book Antiqua"/>
                <w:b/>
                <w:color w:val="FFFFFF" w:themeColor="background1"/>
                <w:sz w:val="20"/>
                <w:szCs w:val="20"/>
              </w:rPr>
            </w:pPr>
            <w:r w:rsidRPr="00677475">
              <w:rPr>
                <w:rFonts w:ascii="Book Antiqua" w:hAnsi="Book Antiqua"/>
                <w:b/>
                <w:color w:val="FFFFFF" w:themeColor="background1"/>
                <w:sz w:val="20"/>
                <w:szCs w:val="20"/>
              </w:rPr>
              <w:t>Variable</w:t>
            </w:r>
          </w:p>
        </w:tc>
        <w:tc>
          <w:tcPr>
            <w:tcW w:w="4536" w:type="dxa"/>
            <w:shd w:val="clear" w:color="auto" w:fill="2F5496" w:themeFill="accent1" w:themeFillShade="BF"/>
          </w:tcPr>
          <w:p w14:paraId="0D180486" w14:textId="77777777" w:rsidR="00776798" w:rsidRPr="00677475" w:rsidRDefault="00776798" w:rsidP="00985591">
            <w:pPr>
              <w:spacing w:line="276" w:lineRule="auto"/>
              <w:jc w:val="center"/>
              <w:rPr>
                <w:rFonts w:ascii="Book Antiqua" w:hAnsi="Book Antiqua"/>
                <w:b/>
                <w:color w:val="FFFFFF" w:themeColor="background1"/>
                <w:sz w:val="20"/>
                <w:szCs w:val="20"/>
              </w:rPr>
            </w:pPr>
            <w:r w:rsidRPr="00677475">
              <w:rPr>
                <w:rFonts w:ascii="Book Antiqua" w:hAnsi="Book Antiqua"/>
                <w:b/>
                <w:color w:val="FFFFFF" w:themeColor="background1"/>
                <w:sz w:val="20"/>
                <w:szCs w:val="20"/>
              </w:rPr>
              <w:t>Parámetro</w:t>
            </w:r>
          </w:p>
          <w:p w14:paraId="6D724CB6" w14:textId="77777777" w:rsidR="00776798" w:rsidRPr="00677475" w:rsidRDefault="00776798" w:rsidP="00985591">
            <w:pPr>
              <w:spacing w:line="276" w:lineRule="auto"/>
              <w:jc w:val="center"/>
              <w:rPr>
                <w:rFonts w:ascii="Book Antiqua" w:hAnsi="Book Antiqua"/>
                <w:b/>
                <w:color w:val="FFFFFF" w:themeColor="background1"/>
                <w:sz w:val="20"/>
                <w:szCs w:val="20"/>
              </w:rPr>
            </w:pPr>
          </w:p>
        </w:tc>
      </w:tr>
      <w:tr w:rsidR="00776798" w:rsidRPr="00677475" w14:paraId="2314D84E" w14:textId="77777777" w:rsidTr="00655DCB">
        <w:tc>
          <w:tcPr>
            <w:tcW w:w="1838" w:type="dxa"/>
          </w:tcPr>
          <w:p w14:paraId="7790BA30" w14:textId="77777777" w:rsidR="00776798" w:rsidRPr="00677475" w:rsidRDefault="00776798" w:rsidP="00985591">
            <w:pPr>
              <w:spacing w:line="276" w:lineRule="auto"/>
              <w:jc w:val="center"/>
              <w:rPr>
                <w:rFonts w:ascii="Book Antiqua" w:hAnsi="Book Antiqua"/>
                <w:color w:val="000000" w:themeColor="text1"/>
                <w:sz w:val="20"/>
                <w:szCs w:val="20"/>
              </w:rPr>
            </w:pPr>
            <w:r w:rsidRPr="00677475">
              <w:rPr>
                <w:rFonts w:ascii="Book Antiqua" w:hAnsi="Book Antiqua"/>
                <w:color w:val="000000" w:themeColor="text1"/>
                <w:sz w:val="20"/>
                <w:szCs w:val="20"/>
              </w:rPr>
              <w:t>Preparatoria e Intermedia</w:t>
            </w:r>
          </w:p>
        </w:tc>
        <w:tc>
          <w:tcPr>
            <w:tcW w:w="3402" w:type="dxa"/>
          </w:tcPr>
          <w:p w14:paraId="0643C511" w14:textId="77777777" w:rsidR="00776798" w:rsidRPr="00677475" w:rsidRDefault="00776798" w:rsidP="00985591">
            <w:pPr>
              <w:spacing w:line="276" w:lineRule="auto"/>
              <w:jc w:val="center"/>
              <w:rPr>
                <w:rFonts w:ascii="Book Antiqua" w:hAnsi="Book Antiqua"/>
                <w:color w:val="000000" w:themeColor="text1"/>
                <w:sz w:val="20"/>
                <w:szCs w:val="20"/>
              </w:rPr>
            </w:pPr>
            <w:r w:rsidRPr="00677475">
              <w:rPr>
                <w:rFonts w:ascii="Book Antiqua" w:hAnsi="Book Antiqua"/>
                <w:color w:val="000000" w:themeColor="text1"/>
                <w:sz w:val="20"/>
                <w:szCs w:val="20"/>
              </w:rPr>
              <w:t>Desestimaciones, sobreseimientos y acusaciones</w:t>
            </w:r>
          </w:p>
        </w:tc>
        <w:tc>
          <w:tcPr>
            <w:tcW w:w="4536" w:type="dxa"/>
          </w:tcPr>
          <w:p w14:paraId="70EBD9F1" w14:textId="77777777" w:rsidR="00776798" w:rsidRPr="00677475" w:rsidRDefault="00776798" w:rsidP="00985591">
            <w:pPr>
              <w:spacing w:line="276" w:lineRule="auto"/>
              <w:jc w:val="both"/>
              <w:rPr>
                <w:rFonts w:ascii="Book Antiqua" w:hAnsi="Book Antiqua"/>
                <w:color w:val="000000" w:themeColor="text1"/>
                <w:sz w:val="20"/>
                <w:szCs w:val="20"/>
              </w:rPr>
            </w:pPr>
            <w:r w:rsidRPr="00677475">
              <w:rPr>
                <w:rFonts w:ascii="Book Antiqua" w:hAnsi="Book Antiqua"/>
                <w:color w:val="000000" w:themeColor="text1"/>
                <w:sz w:val="20"/>
                <w:szCs w:val="20"/>
              </w:rPr>
              <w:t>Al menos seis asuntos diarios resueltos de desestimación o sobreseimiento o acusación, por cada plaza de jueza o juez, que se encuentre en etapa intermedia. Los Despachos deberán tener al menos una Jueza o Juez que se encuentre atendiendo la etapa preparatoria.</w:t>
            </w:r>
          </w:p>
        </w:tc>
      </w:tr>
      <w:tr w:rsidR="00776798" w:rsidRPr="00677475" w14:paraId="4F00AE3A" w14:textId="77777777" w:rsidTr="00655DCB">
        <w:tc>
          <w:tcPr>
            <w:tcW w:w="1838" w:type="dxa"/>
          </w:tcPr>
          <w:p w14:paraId="1A3B0039" w14:textId="77777777" w:rsidR="00677475" w:rsidRDefault="00677475" w:rsidP="00985591">
            <w:pPr>
              <w:spacing w:line="276" w:lineRule="auto"/>
              <w:jc w:val="center"/>
              <w:rPr>
                <w:rFonts w:ascii="Book Antiqua" w:hAnsi="Book Antiqua"/>
                <w:color w:val="000000" w:themeColor="text1"/>
                <w:sz w:val="20"/>
                <w:szCs w:val="20"/>
              </w:rPr>
            </w:pPr>
          </w:p>
          <w:p w14:paraId="4285C966" w14:textId="77777777" w:rsidR="00677475" w:rsidRDefault="00677475" w:rsidP="00985591">
            <w:pPr>
              <w:spacing w:line="276" w:lineRule="auto"/>
              <w:jc w:val="center"/>
              <w:rPr>
                <w:rFonts w:ascii="Book Antiqua" w:hAnsi="Book Antiqua"/>
                <w:color w:val="000000" w:themeColor="text1"/>
                <w:sz w:val="20"/>
                <w:szCs w:val="20"/>
              </w:rPr>
            </w:pPr>
          </w:p>
          <w:p w14:paraId="71BAF596" w14:textId="64844CDE" w:rsidR="00776798" w:rsidRPr="00677475" w:rsidRDefault="00776798" w:rsidP="00985591">
            <w:pPr>
              <w:spacing w:line="276" w:lineRule="auto"/>
              <w:jc w:val="center"/>
              <w:rPr>
                <w:rFonts w:ascii="Book Antiqua" w:hAnsi="Book Antiqua"/>
                <w:color w:val="000000" w:themeColor="text1"/>
                <w:sz w:val="20"/>
                <w:szCs w:val="20"/>
              </w:rPr>
            </w:pPr>
            <w:r w:rsidRPr="00677475">
              <w:rPr>
                <w:rFonts w:ascii="Book Antiqua" w:hAnsi="Book Antiqua"/>
                <w:color w:val="000000" w:themeColor="text1"/>
                <w:sz w:val="20"/>
                <w:szCs w:val="20"/>
              </w:rPr>
              <w:t>Juicio</w:t>
            </w:r>
          </w:p>
        </w:tc>
        <w:tc>
          <w:tcPr>
            <w:tcW w:w="3402" w:type="dxa"/>
          </w:tcPr>
          <w:p w14:paraId="4FBF79E9" w14:textId="77777777" w:rsidR="00677475" w:rsidRDefault="00677475" w:rsidP="00985591">
            <w:pPr>
              <w:spacing w:line="276" w:lineRule="auto"/>
              <w:jc w:val="center"/>
              <w:rPr>
                <w:rFonts w:ascii="Book Antiqua" w:hAnsi="Book Antiqua"/>
                <w:color w:val="000000" w:themeColor="text1"/>
                <w:sz w:val="20"/>
                <w:szCs w:val="20"/>
              </w:rPr>
            </w:pPr>
          </w:p>
          <w:p w14:paraId="563099B4" w14:textId="77777777" w:rsidR="00677475" w:rsidRDefault="00677475" w:rsidP="00985591">
            <w:pPr>
              <w:spacing w:line="276" w:lineRule="auto"/>
              <w:jc w:val="center"/>
              <w:rPr>
                <w:rFonts w:ascii="Book Antiqua" w:hAnsi="Book Antiqua"/>
                <w:color w:val="000000" w:themeColor="text1"/>
                <w:sz w:val="20"/>
                <w:szCs w:val="20"/>
              </w:rPr>
            </w:pPr>
          </w:p>
          <w:p w14:paraId="2C6C5FBF" w14:textId="7FB4CD30" w:rsidR="00776798" w:rsidRPr="00677475" w:rsidRDefault="00776798" w:rsidP="00985591">
            <w:pPr>
              <w:spacing w:line="276" w:lineRule="auto"/>
              <w:jc w:val="center"/>
              <w:rPr>
                <w:rFonts w:ascii="Book Antiqua" w:hAnsi="Book Antiqua"/>
                <w:color w:val="000000" w:themeColor="text1"/>
                <w:sz w:val="20"/>
                <w:szCs w:val="20"/>
              </w:rPr>
            </w:pPr>
            <w:r w:rsidRPr="00677475">
              <w:rPr>
                <w:rFonts w:ascii="Book Antiqua" w:hAnsi="Book Antiqua"/>
                <w:color w:val="000000" w:themeColor="text1"/>
                <w:sz w:val="20"/>
                <w:szCs w:val="20"/>
              </w:rPr>
              <w:t>Sentencias y medidas alternas</w:t>
            </w:r>
          </w:p>
          <w:p w14:paraId="54A1FDB9" w14:textId="77777777" w:rsidR="00776798" w:rsidRPr="00677475" w:rsidRDefault="00776798" w:rsidP="00985591">
            <w:pPr>
              <w:spacing w:line="276" w:lineRule="auto"/>
              <w:jc w:val="center"/>
              <w:rPr>
                <w:rFonts w:ascii="Book Antiqua" w:hAnsi="Book Antiqua"/>
                <w:color w:val="000000" w:themeColor="text1"/>
                <w:sz w:val="20"/>
                <w:szCs w:val="20"/>
              </w:rPr>
            </w:pPr>
          </w:p>
        </w:tc>
        <w:tc>
          <w:tcPr>
            <w:tcW w:w="4536" w:type="dxa"/>
          </w:tcPr>
          <w:p w14:paraId="658F8C27" w14:textId="77777777" w:rsidR="00776798" w:rsidRPr="00677475" w:rsidRDefault="00776798" w:rsidP="00985591">
            <w:pPr>
              <w:pStyle w:val="Textosinformato"/>
              <w:spacing w:line="276" w:lineRule="auto"/>
              <w:jc w:val="both"/>
              <w:rPr>
                <w:rFonts w:ascii="Book Antiqua" w:hAnsi="Book Antiqua"/>
                <w:color w:val="000000" w:themeColor="text1"/>
                <w:sz w:val="20"/>
                <w:szCs w:val="20"/>
              </w:rPr>
            </w:pPr>
            <w:r w:rsidRPr="00677475">
              <w:rPr>
                <w:rFonts w:ascii="Book Antiqua" w:hAnsi="Book Antiqua"/>
                <w:color w:val="000000" w:themeColor="text1"/>
                <w:sz w:val="20"/>
                <w:szCs w:val="20"/>
              </w:rPr>
              <w:t>El parámetro de producción mensual será entre once a quince sentencias o medidas alternas por cada Sección Colegiada y entre quince a veinte sentencias o medidas alternas por cada Sección Unipersonal, mientras que las secciones mixtas tendrán un parámetro de treinta y dos sentencias o medidas alternas.</w:t>
            </w:r>
          </w:p>
        </w:tc>
      </w:tr>
      <w:tr w:rsidR="00776798" w:rsidRPr="00677475" w14:paraId="6C54CD25" w14:textId="77777777" w:rsidTr="00655DCB">
        <w:tc>
          <w:tcPr>
            <w:tcW w:w="1838" w:type="dxa"/>
          </w:tcPr>
          <w:p w14:paraId="7E7A2D30" w14:textId="77777777" w:rsidR="00677475" w:rsidRDefault="00677475" w:rsidP="00985591">
            <w:pPr>
              <w:spacing w:line="276" w:lineRule="auto"/>
              <w:jc w:val="center"/>
              <w:rPr>
                <w:rFonts w:ascii="Book Antiqua" w:hAnsi="Book Antiqua"/>
                <w:color w:val="000000" w:themeColor="text1"/>
                <w:sz w:val="20"/>
                <w:szCs w:val="20"/>
              </w:rPr>
            </w:pPr>
          </w:p>
          <w:p w14:paraId="022A26E2" w14:textId="77777777" w:rsidR="00677475" w:rsidRDefault="00677475" w:rsidP="00985591">
            <w:pPr>
              <w:spacing w:line="276" w:lineRule="auto"/>
              <w:jc w:val="center"/>
              <w:rPr>
                <w:rFonts w:ascii="Book Antiqua" w:hAnsi="Book Antiqua"/>
                <w:color w:val="000000" w:themeColor="text1"/>
                <w:sz w:val="20"/>
                <w:szCs w:val="20"/>
              </w:rPr>
            </w:pPr>
          </w:p>
          <w:p w14:paraId="6828BCC9" w14:textId="3024785C" w:rsidR="00776798" w:rsidRPr="00677475" w:rsidRDefault="00776798" w:rsidP="00985591">
            <w:pPr>
              <w:spacing w:line="276" w:lineRule="auto"/>
              <w:jc w:val="center"/>
              <w:rPr>
                <w:rFonts w:ascii="Book Antiqua" w:hAnsi="Book Antiqua"/>
                <w:color w:val="000000" w:themeColor="text1"/>
                <w:sz w:val="20"/>
                <w:szCs w:val="20"/>
              </w:rPr>
            </w:pPr>
            <w:r w:rsidRPr="00677475">
              <w:rPr>
                <w:rFonts w:ascii="Book Antiqua" w:hAnsi="Book Antiqua"/>
                <w:color w:val="000000" w:themeColor="text1"/>
                <w:sz w:val="20"/>
                <w:szCs w:val="20"/>
              </w:rPr>
              <w:t>Flagrancia</w:t>
            </w:r>
          </w:p>
        </w:tc>
        <w:tc>
          <w:tcPr>
            <w:tcW w:w="3402" w:type="dxa"/>
          </w:tcPr>
          <w:p w14:paraId="18819243" w14:textId="77777777" w:rsidR="00677475" w:rsidRDefault="00677475" w:rsidP="00985591">
            <w:pPr>
              <w:spacing w:line="276" w:lineRule="auto"/>
              <w:jc w:val="center"/>
              <w:rPr>
                <w:rFonts w:ascii="Book Antiqua" w:hAnsi="Book Antiqua"/>
                <w:color w:val="000000" w:themeColor="text1"/>
                <w:sz w:val="20"/>
                <w:szCs w:val="20"/>
              </w:rPr>
            </w:pPr>
          </w:p>
          <w:p w14:paraId="2AB1442E" w14:textId="77777777" w:rsidR="00677475" w:rsidRDefault="00677475" w:rsidP="00985591">
            <w:pPr>
              <w:spacing w:line="276" w:lineRule="auto"/>
              <w:jc w:val="center"/>
              <w:rPr>
                <w:rFonts w:ascii="Book Antiqua" w:hAnsi="Book Antiqua"/>
                <w:color w:val="000000" w:themeColor="text1"/>
                <w:sz w:val="20"/>
                <w:szCs w:val="20"/>
              </w:rPr>
            </w:pPr>
          </w:p>
          <w:p w14:paraId="7DDF636D" w14:textId="3DD4E064" w:rsidR="00776798" w:rsidRPr="00677475" w:rsidRDefault="00776798" w:rsidP="00985591">
            <w:pPr>
              <w:spacing w:line="276" w:lineRule="auto"/>
              <w:jc w:val="center"/>
              <w:rPr>
                <w:rFonts w:ascii="Book Antiqua" w:hAnsi="Book Antiqua"/>
                <w:color w:val="000000" w:themeColor="text1"/>
                <w:sz w:val="20"/>
                <w:szCs w:val="20"/>
              </w:rPr>
            </w:pPr>
            <w:r w:rsidRPr="00677475">
              <w:rPr>
                <w:rFonts w:ascii="Book Antiqua" w:hAnsi="Book Antiqua"/>
                <w:color w:val="000000" w:themeColor="text1"/>
                <w:sz w:val="20"/>
                <w:szCs w:val="20"/>
              </w:rPr>
              <w:t>Audiencias iniciales, sentencias y medidas alternas</w:t>
            </w:r>
          </w:p>
        </w:tc>
        <w:tc>
          <w:tcPr>
            <w:tcW w:w="4536" w:type="dxa"/>
          </w:tcPr>
          <w:p w14:paraId="7DF648D3" w14:textId="77777777" w:rsidR="00776798" w:rsidRPr="00677475" w:rsidRDefault="00776798" w:rsidP="00985591">
            <w:pPr>
              <w:spacing w:line="276" w:lineRule="auto"/>
              <w:jc w:val="both"/>
              <w:rPr>
                <w:rFonts w:ascii="Book Antiqua" w:hAnsi="Book Antiqua"/>
                <w:color w:val="000000" w:themeColor="text1"/>
                <w:sz w:val="20"/>
                <w:szCs w:val="20"/>
              </w:rPr>
            </w:pPr>
            <w:r w:rsidRPr="00677475">
              <w:rPr>
                <w:rFonts w:ascii="Book Antiqua" w:hAnsi="Book Antiqua"/>
                <w:color w:val="000000" w:themeColor="text1"/>
                <w:sz w:val="20"/>
                <w:szCs w:val="20"/>
              </w:rPr>
              <w:t>El parámetro de producción mensual será de treinta y cinco sentencias o medidas alternas o audiencias iniciales por cada plaza de judicatura, si no se logra llegar a esa cantidad con procesos de flagrancia, la Sección deberá colaborar con el procedimiento ordinario del Tribunal.</w:t>
            </w:r>
          </w:p>
        </w:tc>
      </w:tr>
      <w:tr w:rsidR="00776798" w:rsidRPr="00677475" w14:paraId="1CC62995" w14:textId="77777777" w:rsidTr="00655DCB">
        <w:tc>
          <w:tcPr>
            <w:tcW w:w="1838" w:type="dxa"/>
          </w:tcPr>
          <w:p w14:paraId="13D3A4D5" w14:textId="77777777" w:rsidR="00677475" w:rsidRDefault="00677475" w:rsidP="00985591">
            <w:pPr>
              <w:spacing w:line="276" w:lineRule="auto"/>
              <w:jc w:val="center"/>
              <w:rPr>
                <w:rFonts w:ascii="Book Antiqua" w:hAnsi="Book Antiqua"/>
                <w:color w:val="000000" w:themeColor="text1"/>
                <w:sz w:val="20"/>
                <w:szCs w:val="20"/>
              </w:rPr>
            </w:pPr>
          </w:p>
          <w:p w14:paraId="483C000A" w14:textId="77777777" w:rsidR="00677475" w:rsidRDefault="00677475" w:rsidP="00985591">
            <w:pPr>
              <w:spacing w:line="276" w:lineRule="auto"/>
              <w:jc w:val="center"/>
              <w:rPr>
                <w:rFonts w:ascii="Book Antiqua" w:hAnsi="Book Antiqua"/>
                <w:color w:val="000000" w:themeColor="text1"/>
                <w:sz w:val="20"/>
                <w:szCs w:val="20"/>
              </w:rPr>
            </w:pPr>
          </w:p>
          <w:p w14:paraId="13D54690" w14:textId="77777777" w:rsidR="00677475" w:rsidRDefault="00677475" w:rsidP="00985591">
            <w:pPr>
              <w:spacing w:line="276" w:lineRule="auto"/>
              <w:jc w:val="center"/>
              <w:rPr>
                <w:rFonts w:ascii="Book Antiqua" w:hAnsi="Book Antiqua"/>
                <w:color w:val="000000" w:themeColor="text1"/>
                <w:sz w:val="20"/>
                <w:szCs w:val="20"/>
              </w:rPr>
            </w:pPr>
          </w:p>
          <w:p w14:paraId="0C4F0672" w14:textId="40DA5AAC" w:rsidR="00776798" w:rsidRPr="00677475" w:rsidRDefault="00776798" w:rsidP="00985591">
            <w:pPr>
              <w:spacing w:line="276" w:lineRule="auto"/>
              <w:jc w:val="center"/>
              <w:rPr>
                <w:rFonts w:ascii="Book Antiqua" w:hAnsi="Book Antiqua"/>
                <w:color w:val="000000" w:themeColor="text1"/>
                <w:sz w:val="20"/>
                <w:szCs w:val="20"/>
              </w:rPr>
            </w:pPr>
            <w:r w:rsidRPr="00677475">
              <w:rPr>
                <w:rFonts w:ascii="Book Antiqua" w:hAnsi="Book Antiqua"/>
                <w:color w:val="000000" w:themeColor="text1"/>
                <w:sz w:val="20"/>
                <w:szCs w:val="20"/>
              </w:rPr>
              <w:t>Apelación</w:t>
            </w:r>
          </w:p>
        </w:tc>
        <w:tc>
          <w:tcPr>
            <w:tcW w:w="3402" w:type="dxa"/>
          </w:tcPr>
          <w:p w14:paraId="11EA0939" w14:textId="77777777" w:rsidR="00677475" w:rsidRDefault="00677475" w:rsidP="00985591">
            <w:pPr>
              <w:spacing w:line="276" w:lineRule="auto"/>
              <w:jc w:val="center"/>
              <w:rPr>
                <w:rFonts w:ascii="Book Antiqua" w:hAnsi="Book Antiqua"/>
                <w:color w:val="000000" w:themeColor="text1"/>
                <w:sz w:val="20"/>
                <w:szCs w:val="20"/>
              </w:rPr>
            </w:pPr>
          </w:p>
          <w:p w14:paraId="2D144954" w14:textId="77777777" w:rsidR="00677475" w:rsidRDefault="00677475" w:rsidP="00985591">
            <w:pPr>
              <w:spacing w:line="276" w:lineRule="auto"/>
              <w:jc w:val="center"/>
              <w:rPr>
                <w:rFonts w:ascii="Book Antiqua" w:hAnsi="Book Antiqua"/>
                <w:color w:val="000000" w:themeColor="text1"/>
                <w:sz w:val="20"/>
                <w:szCs w:val="20"/>
              </w:rPr>
            </w:pPr>
          </w:p>
          <w:p w14:paraId="0E604607" w14:textId="77777777" w:rsidR="00677475" w:rsidRDefault="00677475" w:rsidP="00985591">
            <w:pPr>
              <w:spacing w:line="276" w:lineRule="auto"/>
              <w:jc w:val="center"/>
              <w:rPr>
                <w:rFonts w:ascii="Book Antiqua" w:hAnsi="Book Antiqua"/>
                <w:color w:val="000000" w:themeColor="text1"/>
                <w:sz w:val="20"/>
                <w:szCs w:val="20"/>
              </w:rPr>
            </w:pPr>
          </w:p>
          <w:p w14:paraId="4EB6FC95" w14:textId="7E4DEBE9" w:rsidR="00776798" w:rsidRPr="00677475" w:rsidRDefault="00776798" w:rsidP="00985591">
            <w:pPr>
              <w:spacing w:line="276" w:lineRule="auto"/>
              <w:jc w:val="center"/>
              <w:rPr>
                <w:rFonts w:ascii="Book Antiqua" w:hAnsi="Book Antiqua"/>
                <w:color w:val="000000" w:themeColor="text1"/>
                <w:sz w:val="20"/>
                <w:szCs w:val="20"/>
              </w:rPr>
            </w:pPr>
            <w:r w:rsidRPr="00677475">
              <w:rPr>
                <w:rFonts w:ascii="Book Antiqua" w:hAnsi="Book Antiqua"/>
                <w:color w:val="000000" w:themeColor="text1"/>
                <w:sz w:val="20"/>
                <w:szCs w:val="20"/>
              </w:rPr>
              <w:t>Proyectos de resolución votados</w:t>
            </w:r>
          </w:p>
        </w:tc>
        <w:tc>
          <w:tcPr>
            <w:tcW w:w="4536" w:type="dxa"/>
          </w:tcPr>
          <w:p w14:paraId="5D04D0AB" w14:textId="77777777" w:rsidR="00776798" w:rsidRPr="00677475" w:rsidRDefault="00776798" w:rsidP="00985591">
            <w:pPr>
              <w:pStyle w:val="Textosinformato"/>
              <w:spacing w:line="276" w:lineRule="auto"/>
              <w:jc w:val="both"/>
              <w:rPr>
                <w:rFonts w:ascii="Book Antiqua" w:hAnsi="Book Antiqua"/>
                <w:color w:val="000000" w:themeColor="text1"/>
                <w:sz w:val="20"/>
                <w:szCs w:val="20"/>
              </w:rPr>
            </w:pPr>
            <w:r w:rsidRPr="00677475">
              <w:rPr>
                <w:rFonts w:ascii="Book Antiqua" w:hAnsi="Book Antiqua"/>
                <w:color w:val="000000" w:themeColor="text1"/>
                <w:sz w:val="20"/>
                <w:szCs w:val="20"/>
              </w:rPr>
              <w:t xml:space="preserve">El parámetro de producción semanal será entre dos y tres proyectos de resolución (Terminado, circulado y votado) por cada plaza de Jueza o Juez, lo cual equivale a 10 mensuales. Posterior a esto, el Consejo Superior en la Sesión 115-2020, artículo VI, ratificó la nueva propuesta de cuotas basadas en datos históricos (Goicoechea 8, San Ramón 8, Cartago 9 y Santa Cruz 10), hasta el que se realice el Rediseño de Procesos en cada una de estas oficinas. </w:t>
            </w:r>
          </w:p>
        </w:tc>
      </w:tr>
      <w:tr w:rsidR="00776798" w:rsidRPr="00677475" w14:paraId="02EA5020" w14:textId="77777777" w:rsidTr="00655DCB">
        <w:tc>
          <w:tcPr>
            <w:tcW w:w="1838" w:type="dxa"/>
          </w:tcPr>
          <w:p w14:paraId="50D7D487" w14:textId="77777777" w:rsidR="00677475" w:rsidRDefault="00677475" w:rsidP="00985591">
            <w:pPr>
              <w:spacing w:line="276" w:lineRule="auto"/>
              <w:jc w:val="center"/>
              <w:rPr>
                <w:rFonts w:ascii="Book Antiqua" w:hAnsi="Book Antiqua"/>
                <w:color w:val="000000" w:themeColor="text1"/>
                <w:sz w:val="20"/>
                <w:szCs w:val="20"/>
              </w:rPr>
            </w:pPr>
          </w:p>
          <w:p w14:paraId="7935FD76" w14:textId="1A447F64" w:rsidR="00776798" w:rsidRPr="00677475" w:rsidRDefault="00776798" w:rsidP="00985591">
            <w:pPr>
              <w:spacing w:line="276" w:lineRule="auto"/>
              <w:jc w:val="center"/>
              <w:rPr>
                <w:rFonts w:ascii="Book Antiqua" w:hAnsi="Book Antiqua"/>
                <w:color w:val="000000" w:themeColor="text1"/>
                <w:sz w:val="20"/>
                <w:szCs w:val="20"/>
              </w:rPr>
            </w:pPr>
            <w:r w:rsidRPr="00677475">
              <w:rPr>
                <w:rFonts w:ascii="Book Antiqua" w:hAnsi="Book Antiqua"/>
                <w:color w:val="000000" w:themeColor="text1"/>
                <w:sz w:val="20"/>
                <w:szCs w:val="20"/>
              </w:rPr>
              <w:t>Casación</w:t>
            </w:r>
          </w:p>
        </w:tc>
        <w:tc>
          <w:tcPr>
            <w:tcW w:w="3402" w:type="dxa"/>
          </w:tcPr>
          <w:p w14:paraId="4FD78635" w14:textId="77777777" w:rsidR="00677475" w:rsidRDefault="00677475" w:rsidP="00985591">
            <w:pPr>
              <w:spacing w:line="276" w:lineRule="auto"/>
              <w:jc w:val="center"/>
              <w:rPr>
                <w:rFonts w:ascii="Book Antiqua" w:hAnsi="Book Antiqua"/>
                <w:color w:val="000000" w:themeColor="text1"/>
                <w:sz w:val="20"/>
                <w:szCs w:val="20"/>
              </w:rPr>
            </w:pPr>
          </w:p>
          <w:p w14:paraId="27498AE2" w14:textId="7800C020" w:rsidR="00776798" w:rsidRPr="00677475" w:rsidRDefault="00776798" w:rsidP="00985591">
            <w:pPr>
              <w:spacing w:line="276" w:lineRule="auto"/>
              <w:jc w:val="center"/>
              <w:rPr>
                <w:rFonts w:ascii="Book Antiqua" w:hAnsi="Book Antiqua"/>
                <w:color w:val="000000" w:themeColor="text1"/>
                <w:sz w:val="20"/>
                <w:szCs w:val="20"/>
              </w:rPr>
            </w:pPr>
            <w:r w:rsidRPr="00677475">
              <w:rPr>
                <w:rFonts w:ascii="Book Antiqua" w:hAnsi="Book Antiqua"/>
                <w:color w:val="000000" w:themeColor="text1"/>
                <w:sz w:val="20"/>
                <w:szCs w:val="20"/>
              </w:rPr>
              <w:t>Proyectos de resolución</w:t>
            </w:r>
          </w:p>
        </w:tc>
        <w:tc>
          <w:tcPr>
            <w:tcW w:w="4536" w:type="dxa"/>
          </w:tcPr>
          <w:p w14:paraId="4B61D30C" w14:textId="74B51CA2" w:rsidR="00776798" w:rsidRPr="00677475" w:rsidRDefault="00776798" w:rsidP="00985591">
            <w:pPr>
              <w:pStyle w:val="Textosinformato"/>
              <w:spacing w:line="276" w:lineRule="auto"/>
              <w:jc w:val="both"/>
              <w:rPr>
                <w:rFonts w:ascii="Book Antiqua" w:hAnsi="Book Antiqua"/>
                <w:color w:val="000000" w:themeColor="text1"/>
                <w:sz w:val="20"/>
                <w:szCs w:val="20"/>
              </w:rPr>
            </w:pPr>
            <w:r w:rsidRPr="00677475">
              <w:rPr>
                <w:rFonts w:ascii="Book Antiqua" w:hAnsi="Book Antiqua"/>
                <w:color w:val="000000" w:themeColor="text1"/>
                <w:sz w:val="20"/>
                <w:szCs w:val="20"/>
              </w:rPr>
              <w:t xml:space="preserve">Seguirá brindando sus servicios ordinarios, </w:t>
            </w:r>
            <w:r w:rsidR="00AF4555" w:rsidRPr="00677475">
              <w:rPr>
                <w:rFonts w:ascii="Book Antiqua" w:hAnsi="Book Antiqua"/>
                <w:color w:val="000000" w:themeColor="text1"/>
                <w:sz w:val="20"/>
                <w:szCs w:val="20"/>
              </w:rPr>
              <w:t>los letrados</w:t>
            </w:r>
            <w:r w:rsidRPr="00677475">
              <w:rPr>
                <w:rFonts w:ascii="Book Antiqua" w:hAnsi="Book Antiqua"/>
                <w:color w:val="000000" w:themeColor="text1"/>
                <w:sz w:val="20"/>
                <w:szCs w:val="20"/>
              </w:rPr>
              <w:t xml:space="preserve"> tendrán un parámetro de producción de al menos dos proyectos por cada semana laboral, mientras se desarrolla el estudio de carga de trabajo de esa oficina.</w:t>
            </w:r>
          </w:p>
        </w:tc>
      </w:tr>
      <w:tr w:rsidR="00776798" w:rsidRPr="00677475" w14:paraId="548301F8" w14:textId="77777777" w:rsidTr="00655DCB">
        <w:tc>
          <w:tcPr>
            <w:tcW w:w="1838" w:type="dxa"/>
          </w:tcPr>
          <w:p w14:paraId="72108A27" w14:textId="77777777" w:rsidR="00776798" w:rsidRPr="00677475" w:rsidRDefault="00776798" w:rsidP="00985591">
            <w:pPr>
              <w:spacing w:line="276" w:lineRule="auto"/>
              <w:jc w:val="center"/>
              <w:rPr>
                <w:rFonts w:ascii="Book Antiqua" w:hAnsi="Book Antiqua"/>
                <w:color w:val="000000" w:themeColor="text1"/>
                <w:sz w:val="20"/>
                <w:szCs w:val="20"/>
              </w:rPr>
            </w:pPr>
            <w:r w:rsidRPr="00677475">
              <w:rPr>
                <w:rFonts w:ascii="Book Antiqua" w:hAnsi="Book Antiqua"/>
                <w:color w:val="000000" w:themeColor="text1"/>
                <w:sz w:val="20"/>
                <w:szCs w:val="20"/>
              </w:rPr>
              <w:t>Ejecución de la pena</w:t>
            </w:r>
          </w:p>
        </w:tc>
        <w:tc>
          <w:tcPr>
            <w:tcW w:w="3402" w:type="dxa"/>
          </w:tcPr>
          <w:p w14:paraId="7F90F2A7" w14:textId="1E0C4487" w:rsidR="00776798" w:rsidRPr="00677475" w:rsidRDefault="00776798" w:rsidP="00985591">
            <w:pPr>
              <w:spacing w:line="276" w:lineRule="auto"/>
              <w:jc w:val="center"/>
              <w:rPr>
                <w:rFonts w:ascii="Book Antiqua" w:hAnsi="Book Antiqua"/>
                <w:color w:val="000000" w:themeColor="text1"/>
                <w:sz w:val="20"/>
                <w:szCs w:val="20"/>
              </w:rPr>
            </w:pPr>
            <w:r w:rsidRPr="00677475">
              <w:rPr>
                <w:rFonts w:ascii="Book Antiqua" w:hAnsi="Book Antiqua"/>
                <w:color w:val="000000" w:themeColor="text1"/>
                <w:sz w:val="20"/>
                <w:szCs w:val="20"/>
              </w:rPr>
              <w:t>Firma de resoluciones</w:t>
            </w:r>
            <w:r w:rsidR="00EB0D87">
              <w:rPr>
                <w:rFonts w:ascii="Book Antiqua" w:hAnsi="Book Antiqua"/>
                <w:color w:val="000000" w:themeColor="text1"/>
                <w:sz w:val="20"/>
                <w:szCs w:val="20"/>
              </w:rPr>
              <w:t xml:space="preserve"> (expedientes)</w:t>
            </w:r>
            <w:r w:rsidRPr="00677475">
              <w:rPr>
                <w:rFonts w:ascii="Book Antiqua" w:hAnsi="Book Antiqua"/>
                <w:color w:val="000000" w:themeColor="text1"/>
                <w:sz w:val="20"/>
                <w:szCs w:val="20"/>
              </w:rPr>
              <w:t xml:space="preserve"> y </w:t>
            </w:r>
            <w:r w:rsidR="00AF4555" w:rsidRPr="00677475">
              <w:rPr>
                <w:rFonts w:ascii="Book Antiqua" w:hAnsi="Book Antiqua"/>
                <w:color w:val="000000" w:themeColor="text1"/>
                <w:sz w:val="20"/>
                <w:szCs w:val="20"/>
              </w:rPr>
              <w:t>Asuntos terminados</w:t>
            </w:r>
          </w:p>
        </w:tc>
        <w:tc>
          <w:tcPr>
            <w:tcW w:w="4536" w:type="dxa"/>
          </w:tcPr>
          <w:p w14:paraId="76B9E494" w14:textId="7C13299D" w:rsidR="00776798" w:rsidRPr="00677475" w:rsidRDefault="00776798" w:rsidP="00985591">
            <w:pPr>
              <w:spacing w:line="276" w:lineRule="auto"/>
              <w:jc w:val="both"/>
              <w:rPr>
                <w:rFonts w:ascii="Book Antiqua" w:hAnsi="Book Antiqua"/>
                <w:color w:val="000000" w:themeColor="text1"/>
                <w:sz w:val="20"/>
                <w:szCs w:val="20"/>
              </w:rPr>
            </w:pPr>
            <w:r w:rsidRPr="00677475">
              <w:rPr>
                <w:rFonts w:ascii="Book Antiqua" w:hAnsi="Book Antiqua"/>
                <w:color w:val="000000" w:themeColor="text1"/>
                <w:sz w:val="20"/>
                <w:szCs w:val="20"/>
              </w:rPr>
              <w:t xml:space="preserve">Tendrán un parámetro diario de cuatro </w:t>
            </w:r>
            <w:r w:rsidR="00AF4555" w:rsidRPr="00677475">
              <w:rPr>
                <w:rFonts w:ascii="Book Antiqua" w:hAnsi="Book Antiqua"/>
                <w:color w:val="000000" w:themeColor="text1"/>
                <w:sz w:val="20"/>
                <w:szCs w:val="20"/>
              </w:rPr>
              <w:t>asuntos terminados</w:t>
            </w:r>
            <w:r w:rsidRPr="00677475">
              <w:rPr>
                <w:rFonts w:ascii="Book Antiqua" w:hAnsi="Book Antiqua"/>
                <w:color w:val="000000" w:themeColor="text1"/>
                <w:sz w:val="20"/>
                <w:szCs w:val="20"/>
              </w:rPr>
              <w:t xml:space="preserve"> por cada plaza de judicatura y ocho proyectos diarios de resolución por cada plaza de Técnica o Técnico Judicial.</w:t>
            </w:r>
          </w:p>
        </w:tc>
      </w:tr>
    </w:tbl>
    <w:p w14:paraId="0883F333" w14:textId="77777777" w:rsidR="00F419C9" w:rsidRPr="004F0E92" w:rsidRDefault="00F419C9" w:rsidP="00985591">
      <w:pPr>
        <w:spacing w:line="276" w:lineRule="auto"/>
        <w:rPr>
          <w:rFonts w:ascii="Book Antiqua" w:hAnsi="Book Antiqua"/>
          <w:b/>
          <w:color w:val="000000" w:themeColor="text1"/>
        </w:rPr>
      </w:pPr>
    </w:p>
    <w:p w14:paraId="5A10D487" w14:textId="5B1D7695" w:rsidR="00776798" w:rsidRPr="004F0E92" w:rsidRDefault="00776798" w:rsidP="00985591">
      <w:pPr>
        <w:spacing w:line="276" w:lineRule="auto"/>
        <w:rPr>
          <w:rFonts w:ascii="Book Antiqua" w:hAnsi="Book Antiqua"/>
          <w:color w:val="000000" w:themeColor="text1"/>
        </w:rPr>
      </w:pPr>
      <w:r w:rsidRPr="004F0E92">
        <w:rPr>
          <w:rFonts w:ascii="Book Antiqua" w:hAnsi="Book Antiqua"/>
          <w:color w:val="000000" w:themeColor="text1"/>
        </w:rPr>
        <w:t xml:space="preserve">A continuación, se muestran los resultados de materia </w:t>
      </w:r>
      <w:r w:rsidR="00F419C9" w:rsidRPr="004F0E92">
        <w:rPr>
          <w:rFonts w:ascii="Book Antiqua" w:hAnsi="Book Antiqua"/>
          <w:color w:val="000000" w:themeColor="text1"/>
        </w:rPr>
        <w:t>P</w:t>
      </w:r>
      <w:r w:rsidRPr="004F0E92">
        <w:rPr>
          <w:rFonts w:ascii="Book Antiqua" w:hAnsi="Book Antiqua"/>
          <w:color w:val="000000" w:themeColor="text1"/>
        </w:rPr>
        <w:t>enal:</w:t>
      </w:r>
    </w:p>
    <w:p w14:paraId="30949460" w14:textId="753A7F8F" w:rsidR="00776798" w:rsidRDefault="00776798" w:rsidP="00985591">
      <w:pPr>
        <w:spacing w:line="276" w:lineRule="auto"/>
        <w:rPr>
          <w:rFonts w:ascii="Book Antiqua" w:hAnsi="Book Antiqua"/>
          <w:b/>
          <w:color w:val="000000" w:themeColor="text1"/>
        </w:rPr>
      </w:pPr>
    </w:p>
    <w:p w14:paraId="603C90C6" w14:textId="60B712B0" w:rsidR="00617DE6" w:rsidRDefault="00617DE6" w:rsidP="00985591">
      <w:pPr>
        <w:spacing w:line="276" w:lineRule="auto"/>
        <w:rPr>
          <w:rFonts w:ascii="Book Antiqua" w:hAnsi="Book Antiqua"/>
          <w:b/>
          <w:color w:val="000000" w:themeColor="text1"/>
        </w:rPr>
      </w:pPr>
    </w:p>
    <w:p w14:paraId="6A54D2AF" w14:textId="77777777" w:rsidR="00BF7F5F" w:rsidRPr="004F0E92" w:rsidRDefault="00BF7F5F" w:rsidP="00985591">
      <w:pPr>
        <w:spacing w:line="276" w:lineRule="auto"/>
        <w:rPr>
          <w:rFonts w:ascii="Book Antiqua" w:hAnsi="Book Antiqua"/>
          <w:b/>
          <w:color w:val="000000" w:themeColor="text1"/>
        </w:rPr>
      </w:pPr>
    </w:p>
    <w:p w14:paraId="4029466E" w14:textId="081E5535" w:rsidR="00776798" w:rsidRPr="00D8111F" w:rsidRDefault="7DAA8038" w:rsidP="57A79FF7">
      <w:pPr>
        <w:spacing w:after="160" w:line="276" w:lineRule="auto"/>
        <w:contextualSpacing/>
        <w:outlineLvl w:val="1"/>
        <w:rPr>
          <w:b/>
          <w:color w:val="000000" w:themeColor="text1"/>
        </w:rPr>
      </w:pPr>
      <w:r w:rsidRPr="57A79FF7">
        <w:rPr>
          <w:rFonts w:ascii="Book Antiqua" w:hAnsi="Book Antiqua"/>
          <w:b/>
          <w:bCs/>
          <w:color w:val="000000" w:themeColor="text1"/>
        </w:rPr>
        <w:t xml:space="preserve">4.2.1 </w:t>
      </w:r>
      <w:r w:rsidR="00776798" w:rsidRPr="00D8111F">
        <w:rPr>
          <w:rFonts w:ascii="Book Antiqua" w:hAnsi="Book Antiqua"/>
          <w:b/>
          <w:color w:val="000000" w:themeColor="text1"/>
        </w:rPr>
        <w:t>Juzgados Penales</w:t>
      </w:r>
    </w:p>
    <w:p w14:paraId="5C64391C" w14:textId="77777777" w:rsidR="00D8111F" w:rsidRDefault="00D8111F" w:rsidP="00985591">
      <w:pPr>
        <w:spacing w:line="276" w:lineRule="auto"/>
        <w:jc w:val="both"/>
        <w:rPr>
          <w:rFonts w:ascii="Book Antiqua" w:hAnsi="Book Antiqua"/>
          <w:color w:val="000000"/>
        </w:rPr>
      </w:pPr>
      <w:r w:rsidRPr="00D8111F">
        <w:rPr>
          <w:rFonts w:ascii="Book Antiqua" w:hAnsi="Book Antiqua"/>
          <w:color w:val="000000"/>
        </w:rPr>
        <w:t>Los Juzgados Penales, tiene un promedio general a nivel nacional de cumplimiento de un 100% del parámetro de producción. Se observa que el juzgado con mayor cumplimiento es Pérez Zeledón (243%) y el de menor cumplimiento Buenos Aires (23%).</w:t>
      </w:r>
    </w:p>
    <w:p w14:paraId="1ED506D6" w14:textId="0661436C" w:rsidR="00D8111F" w:rsidRPr="00D8111F" w:rsidRDefault="00D8111F" w:rsidP="00985591">
      <w:pPr>
        <w:spacing w:line="276" w:lineRule="auto"/>
        <w:jc w:val="both"/>
        <w:rPr>
          <w:rFonts w:ascii="Book Antiqua" w:hAnsi="Book Antiqua"/>
          <w:color w:val="000000"/>
        </w:rPr>
      </w:pPr>
      <w:r w:rsidRPr="00D8111F">
        <w:rPr>
          <w:rFonts w:ascii="Book Antiqua" w:hAnsi="Book Antiqua"/>
          <w:color w:val="000000"/>
        </w:rPr>
        <w:t xml:space="preserve"> </w:t>
      </w:r>
    </w:p>
    <w:p w14:paraId="1326658E" w14:textId="77777777" w:rsidR="00D8111F" w:rsidRDefault="00D8111F" w:rsidP="00985591">
      <w:pPr>
        <w:spacing w:line="276" w:lineRule="auto"/>
        <w:jc w:val="both"/>
        <w:rPr>
          <w:rFonts w:ascii="Book Antiqua" w:hAnsi="Book Antiqua"/>
          <w:color w:val="000000"/>
        </w:rPr>
      </w:pPr>
      <w:r w:rsidRPr="007E59D0">
        <w:rPr>
          <w:rFonts w:ascii="Book Antiqua" w:hAnsi="Book Antiqua"/>
          <w:color w:val="000000"/>
        </w:rPr>
        <w:t>En el siguiente cuadro se aprecia el detalle:</w:t>
      </w:r>
    </w:p>
    <w:p w14:paraId="4F2C3CBB" w14:textId="77777777" w:rsidR="00060EA9" w:rsidRPr="00060EA9" w:rsidRDefault="00060EA9" w:rsidP="00985591">
      <w:pPr>
        <w:spacing w:line="276" w:lineRule="auto"/>
        <w:jc w:val="both"/>
        <w:rPr>
          <w:rFonts w:ascii="Book Antiqua" w:hAnsi="Book Antiqua"/>
          <w:color w:val="000000" w:themeColor="text1"/>
          <w:highlight w:val="green"/>
        </w:rPr>
      </w:pPr>
    </w:p>
    <w:p w14:paraId="5765AD7C" w14:textId="19B2FC0D" w:rsidR="00776798" w:rsidRPr="00D8111F" w:rsidRDefault="00776798" w:rsidP="00985591">
      <w:pPr>
        <w:spacing w:line="276" w:lineRule="auto"/>
        <w:jc w:val="center"/>
        <w:rPr>
          <w:rFonts w:ascii="Book Antiqua" w:hAnsi="Book Antiqua"/>
          <w:b/>
          <w:color w:val="000000" w:themeColor="text1"/>
        </w:rPr>
      </w:pPr>
      <w:r w:rsidRPr="00D8111F">
        <w:rPr>
          <w:rFonts w:ascii="Book Antiqua" w:hAnsi="Book Antiqua"/>
          <w:b/>
          <w:color w:val="000000" w:themeColor="text1"/>
        </w:rPr>
        <w:t xml:space="preserve">Cuadro </w:t>
      </w:r>
      <w:r w:rsidR="00AF4555" w:rsidRPr="00D8111F">
        <w:rPr>
          <w:rFonts w:ascii="Book Antiqua" w:hAnsi="Book Antiqua"/>
          <w:b/>
          <w:color w:val="000000" w:themeColor="text1"/>
        </w:rPr>
        <w:t>32</w:t>
      </w:r>
    </w:p>
    <w:p w14:paraId="72BD4868" w14:textId="77777777" w:rsidR="00776798" w:rsidRPr="00D8111F" w:rsidRDefault="00776798" w:rsidP="00985591">
      <w:pPr>
        <w:spacing w:line="276" w:lineRule="auto"/>
        <w:jc w:val="center"/>
        <w:rPr>
          <w:rFonts w:ascii="Book Antiqua" w:hAnsi="Book Antiqua"/>
          <w:bCs/>
          <w:color w:val="000000" w:themeColor="text1"/>
        </w:rPr>
      </w:pPr>
      <w:r w:rsidRPr="00D8111F">
        <w:rPr>
          <w:rFonts w:ascii="Book Antiqua" w:hAnsi="Book Antiqua"/>
          <w:bCs/>
          <w:color w:val="000000" w:themeColor="text1"/>
        </w:rPr>
        <w:t xml:space="preserve">Cumplimiento del parámetro de producción </w:t>
      </w:r>
    </w:p>
    <w:p w14:paraId="628FC03B" w14:textId="16FDA5A2" w:rsidR="00776798" w:rsidRDefault="00776798" w:rsidP="00985591">
      <w:pPr>
        <w:spacing w:line="276" w:lineRule="auto"/>
        <w:jc w:val="center"/>
        <w:rPr>
          <w:rFonts w:ascii="Book Antiqua" w:hAnsi="Book Antiqua"/>
          <w:bCs/>
          <w:color w:val="000000" w:themeColor="text1"/>
        </w:rPr>
      </w:pPr>
      <w:r w:rsidRPr="00D8111F">
        <w:rPr>
          <w:rFonts w:ascii="Book Antiqua" w:hAnsi="Book Antiqua"/>
          <w:bCs/>
          <w:color w:val="000000" w:themeColor="text1"/>
        </w:rPr>
        <w:t xml:space="preserve">teórico de Juzgados Penales </w:t>
      </w:r>
      <w:r w:rsidR="00060EA9" w:rsidRPr="00D8111F">
        <w:rPr>
          <w:rFonts w:ascii="Book Antiqua" w:hAnsi="Book Antiqua"/>
          <w:bCs/>
          <w:color w:val="000000" w:themeColor="text1"/>
        </w:rPr>
        <w:t xml:space="preserve">durante </w:t>
      </w:r>
      <w:r w:rsidR="00AF4555" w:rsidRPr="00D8111F">
        <w:rPr>
          <w:rFonts w:ascii="Book Antiqua" w:hAnsi="Book Antiqua"/>
          <w:bCs/>
          <w:color w:val="000000" w:themeColor="text1"/>
        </w:rPr>
        <w:t>mayo</w:t>
      </w:r>
      <w:r w:rsidR="00060EA9" w:rsidRPr="00D8111F">
        <w:rPr>
          <w:rFonts w:ascii="Book Antiqua" w:hAnsi="Book Antiqua"/>
          <w:bCs/>
          <w:color w:val="000000" w:themeColor="text1"/>
        </w:rPr>
        <w:t xml:space="preserve"> 2021</w:t>
      </w:r>
    </w:p>
    <w:tbl>
      <w:tblPr>
        <w:tblW w:w="7792" w:type="dxa"/>
        <w:jc w:val="center"/>
        <w:tblCellMar>
          <w:left w:w="70" w:type="dxa"/>
          <w:right w:w="70" w:type="dxa"/>
        </w:tblCellMar>
        <w:tblLook w:val="04A0" w:firstRow="1" w:lastRow="0" w:firstColumn="1" w:lastColumn="0" w:noHBand="0" w:noVBand="1"/>
      </w:tblPr>
      <w:tblGrid>
        <w:gridCol w:w="5387"/>
        <w:gridCol w:w="2405"/>
      </w:tblGrid>
      <w:tr w:rsidR="006472D2" w:rsidRPr="00187106" w14:paraId="1A264469" w14:textId="77777777" w:rsidTr="00187106">
        <w:trPr>
          <w:trHeight w:val="1270"/>
          <w:jc w:val="center"/>
        </w:trPr>
        <w:tc>
          <w:tcPr>
            <w:tcW w:w="5387" w:type="dxa"/>
            <w:tcBorders>
              <w:top w:val="single" w:sz="4" w:space="0" w:color="808080"/>
              <w:left w:val="single" w:sz="4" w:space="0" w:color="808080"/>
              <w:bottom w:val="single" w:sz="4" w:space="0" w:color="808080"/>
              <w:right w:val="single" w:sz="4" w:space="0" w:color="808080"/>
            </w:tcBorders>
            <w:shd w:val="clear" w:color="000000" w:fill="305496"/>
            <w:noWrap/>
            <w:vAlign w:val="center"/>
            <w:hideMark/>
          </w:tcPr>
          <w:p w14:paraId="52E7816F" w14:textId="77777777" w:rsidR="006472D2" w:rsidRPr="00187106" w:rsidRDefault="006472D2" w:rsidP="006472D2">
            <w:pPr>
              <w:jc w:val="center"/>
              <w:rPr>
                <w:rFonts w:ascii="Book Antiqua" w:hAnsi="Book Antiqua" w:cs="Calibri"/>
                <w:b/>
                <w:bCs/>
                <w:color w:val="FFFFFF"/>
                <w:sz w:val="16"/>
                <w:szCs w:val="16"/>
                <w:lang w:eastAsia="es-CR"/>
              </w:rPr>
            </w:pPr>
            <w:r w:rsidRPr="00187106">
              <w:rPr>
                <w:rFonts w:ascii="Book Antiqua" w:hAnsi="Book Antiqua" w:cs="Calibri"/>
                <w:b/>
                <w:bCs/>
                <w:color w:val="FFFFFF"/>
                <w:sz w:val="16"/>
                <w:szCs w:val="16"/>
                <w:lang w:eastAsia="es-CR"/>
              </w:rPr>
              <w:t>Oficina</w:t>
            </w:r>
          </w:p>
        </w:tc>
        <w:tc>
          <w:tcPr>
            <w:tcW w:w="2405" w:type="dxa"/>
            <w:tcBorders>
              <w:top w:val="single" w:sz="4" w:space="0" w:color="808080"/>
              <w:left w:val="nil"/>
              <w:bottom w:val="single" w:sz="4" w:space="0" w:color="808080"/>
              <w:right w:val="single" w:sz="4" w:space="0" w:color="808080"/>
            </w:tcBorders>
            <w:shd w:val="clear" w:color="000000" w:fill="305496"/>
            <w:vAlign w:val="center"/>
            <w:hideMark/>
          </w:tcPr>
          <w:p w14:paraId="165D738A" w14:textId="285799BB" w:rsidR="006472D2" w:rsidRPr="00187106" w:rsidRDefault="006472D2" w:rsidP="006472D2">
            <w:pPr>
              <w:jc w:val="center"/>
              <w:rPr>
                <w:rFonts w:ascii="Book Antiqua" w:hAnsi="Book Antiqua" w:cs="Calibri"/>
                <w:b/>
                <w:bCs/>
                <w:color w:val="FFFFFF"/>
                <w:sz w:val="16"/>
                <w:szCs w:val="16"/>
                <w:lang w:eastAsia="es-CR"/>
              </w:rPr>
            </w:pPr>
            <w:r w:rsidRPr="00187106">
              <w:rPr>
                <w:rFonts w:ascii="Book Antiqua" w:hAnsi="Book Antiqua" w:cs="Calibri"/>
                <w:b/>
                <w:bCs/>
                <w:color w:val="FFFFFF"/>
                <w:sz w:val="16"/>
                <w:szCs w:val="16"/>
                <w:lang w:eastAsia="es-CR"/>
              </w:rPr>
              <w:t>Porcentaje de cumplimiento / desestimación / sobreseimientos / acusación</w:t>
            </w:r>
          </w:p>
        </w:tc>
      </w:tr>
      <w:tr w:rsidR="006472D2" w:rsidRPr="00187106" w14:paraId="38D221E0" w14:textId="77777777" w:rsidTr="00187106">
        <w:trPr>
          <w:trHeight w:val="290"/>
          <w:jc w:val="center"/>
        </w:trPr>
        <w:tc>
          <w:tcPr>
            <w:tcW w:w="5387" w:type="dxa"/>
            <w:tcBorders>
              <w:top w:val="nil"/>
              <w:left w:val="single" w:sz="4" w:space="0" w:color="808080"/>
              <w:bottom w:val="single" w:sz="4" w:space="0" w:color="808080"/>
              <w:right w:val="single" w:sz="4" w:space="0" w:color="808080"/>
            </w:tcBorders>
            <w:shd w:val="clear" w:color="auto" w:fill="auto"/>
            <w:noWrap/>
            <w:vAlign w:val="center"/>
            <w:hideMark/>
          </w:tcPr>
          <w:p w14:paraId="491B2A5D" w14:textId="77777777" w:rsidR="006472D2" w:rsidRPr="00187106" w:rsidRDefault="006472D2" w:rsidP="006472D2">
            <w:pPr>
              <w:rPr>
                <w:rFonts w:ascii="Book Antiqua" w:hAnsi="Book Antiqua" w:cs="Calibri"/>
                <w:color w:val="000000"/>
                <w:sz w:val="16"/>
                <w:szCs w:val="16"/>
                <w:lang w:eastAsia="es-CR"/>
              </w:rPr>
            </w:pPr>
            <w:r w:rsidRPr="00187106">
              <w:rPr>
                <w:rFonts w:ascii="Book Antiqua" w:hAnsi="Book Antiqua" w:cs="Calibri"/>
                <w:color w:val="000000"/>
                <w:sz w:val="16"/>
                <w:szCs w:val="16"/>
                <w:lang w:eastAsia="es-CR"/>
              </w:rPr>
              <w:t>Juzgado Penal del I Circuito Judicial de La Zona Sur</w:t>
            </w:r>
          </w:p>
        </w:tc>
        <w:tc>
          <w:tcPr>
            <w:tcW w:w="2405" w:type="dxa"/>
            <w:tcBorders>
              <w:top w:val="nil"/>
              <w:left w:val="nil"/>
              <w:bottom w:val="single" w:sz="4" w:space="0" w:color="808080"/>
              <w:right w:val="single" w:sz="4" w:space="0" w:color="808080"/>
            </w:tcBorders>
            <w:shd w:val="clear" w:color="auto" w:fill="auto"/>
            <w:noWrap/>
            <w:vAlign w:val="center"/>
            <w:hideMark/>
          </w:tcPr>
          <w:p w14:paraId="323510CC" w14:textId="77777777" w:rsidR="006472D2" w:rsidRPr="00187106" w:rsidRDefault="006472D2" w:rsidP="006472D2">
            <w:pPr>
              <w:jc w:val="center"/>
              <w:rPr>
                <w:rFonts w:ascii="Book Antiqua" w:hAnsi="Book Antiqua" w:cs="Calibri"/>
                <w:color w:val="000000"/>
                <w:sz w:val="16"/>
                <w:szCs w:val="16"/>
                <w:lang w:eastAsia="es-CR"/>
              </w:rPr>
            </w:pPr>
            <w:r w:rsidRPr="00187106">
              <w:rPr>
                <w:rFonts w:ascii="Book Antiqua" w:hAnsi="Book Antiqua" w:cs="Calibri"/>
                <w:color w:val="000000"/>
                <w:sz w:val="16"/>
                <w:szCs w:val="16"/>
                <w:lang w:eastAsia="es-CR"/>
              </w:rPr>
              <w:t>243%</w:t>
            </w:r>
          </w:p>
        </w:tc>
      </w:tr>
      <w:tr w:rsidR="006472D2" w:rsidRPr="00187106" w14:paraId="02AA38DD" w14:textId="77777777" w:rsidTr="00187106">
        <w:trPr>
          <w:trHeight w:val="290"/>
          <w:jc w:val="center"/>
        </w:trPr>
        <w:tc>
          <w:tcPr>
            <w:tcW w:w="5387" w:type="dxa"/>
            <w:tcBorders>
              <w:top w:val="nil"/>
              <w:left w:val="single" w:sz="4" w:space="0" w:color="808080"/>
              <w:bottom w:val="single" w:sz="4" w:space="0" w:color="808080"/>
              <w:right w:val="single" w:sz="4" w:space="0" w:color="808080"/>
            </w:tcBorders>
            <w:shd w:val="clear" w:color="auto" w:fill="auto"/>
            <w:noWrap/>
            <w:vAlign w:val="center"/>
            <w:hideMark/>
          </w:tcPr>
          <w:p w14:paraId="706A57F4" w14:textId="77777777" w:rsidR="006472D2" w:rsidRPr="00187106" w:rsidRDefault="006472D2" w:rsidP="006472D2">
            <w:pPr>
              <w:rPr>
                <w:rFonts w:ascii="Book Antiqua" w:hAnsi="Book Antiqua" w:cs="Calibri"/>
                <w:color w:val="000000"/>
                <w:sz w:val="16"/>
                <w:szCs w:val="16"/>
                <w:lang w:eastAsia="es-CR"/>
              </w:rPr>
            </w:pPr>
            <w:r w:rsidRPr="00187106">
              <w:rPr>
                <w:rFonts w:ascii="Book Antiqua" w:hAnsi="Book Antiqua" w:cs="Calibri"/>
                <w:color w:val="000000"/>
                <w:sz w:val="16"/>
                <w:szCs w:val="16"/>
                <w:lang w:eastAsia="es-CR"/>
              </w:rPr>
              <w:t>Juzgado Penal de Upala</w:t>
            </w:r>
          </w:p>
        </w:tc>
        <w:tc>
          <w:tcPr>
            <w:tcW w:w="2405" w:type="dxa"/>
            <w:tcBorders>
              <w:top w:val="nil"/>
              <w:left w:val="nil"/>
              <w:bottom w:val="single" w:sz="4" w:space="0" w:color="808080"/>
              <w:right w:val="single" w:sz="4" w:space="0" w:color="808080"/>
            </w:tcBorders>
            <w:shd w:val="clear" w:color="auto" w:fill="auto"/>
            <w:noWrap/>
            <w:vAlign w:val="center"/>
            <w:hideMark/>
          </w:tcPr>
          <w:p w14:paraId="3ABD13B7" w14:textId="77777777" w:rsidR="006472D2" w:rsidRPr="00187106" w:rsidRDefault="006472D2" w:rsidP="006472D2">
            <w:pPr>
              <w:jc w:val="center"/>
              <w:rPr>
                <w:rFonts w:ascii="Book Antiqua" w:hAnsi="Book Antiqua" w:cs="Calibri"/>
                <w:color w:val="000000"/>
                <w:sz w:val="16"/>
                <w:szCs w:val="16"/>
                <w:lang w:eastAsia="es-CR"/>
              </w:rPr>
            </w:pPr>
            <w:r w:rsidRPr="00187106">
              <w:rPr>
                <w:rFonts w:ascii="Book Antiqua" w:hAnsi="Book Antiqua" w:cs="Calibri"/>
                <w:color w:val="000000"/>
                <w:sz w:val="16"/>
                <w:szCs w:val="16"/>
                <w:lang w:eastAsia="es-CR"/>
              </w:rPr>
              <w:t>236%</w:t>
            </w:r>
          </w:p>
        </w:tc>
      </w:tr>
      <w:tr w:rsidR="006472D2" w:rsidRPr="00187106" w14:paraId="0566846F" w14:textId="77777777" w:rsidTr="00187106">
        <w:trPr>
          <w:trHeight w:val="290"/>
          <w:jc w:val="center"/>
        </w:trPr>
        <w:tc>
          <w:tcPr>
            <w:tcW w:w="5387" w:type="dxa"/>
            <w:tcBorders>
              <w:top w:val="nil"/>
              <w:left w:val="single" w:sz="4" w:space="0" w:color="808080"/>
              <w:bottom w:val="single" w:sz="4" w:space="0" w:color="808080"/>
              <w:right w:val="single" w:sz="4" w:space="0" w:color="808080"/>
            </w:tcBorders>
            <w:shd w:val="clear" w:color="auto" w:fill="auto"/>
            <w:noWrap/>
            <w:vAlign w:val="center"/>
            <w:hideMark/>
          </w:tcPr>
          <w:p w14:paraId="5754208B" w14:textId="77777777" w:rsidR="006472D2" w:rsidRPr="00187106" w:rsidRDefault="006472D2" w:rsidP="006472D2">
            <w:pPr>
              <w:rPr>
                <w:rFonts w:ascii="Book Antiqua" w:hAnsi="Book Antiqua" w:cs="Calibri"/>
                <w:color w:val="000000"/>
                <w:sz w:val="16"/>
                <w:szCs w:val="16"/>
                <w:lang w:eastAsia="es-CR"/>
              </w:rPr>
            </w:pPr>
            <w:r w:rsidRPr="00187106">
              <w:rPr>
                <w:rFonts w:ascii="Book Antiqua" w:hAnsi="Book Antiqua" w:cs="Calibri"/>
                <w:color w:val="000000"/>
                <w:sz w:val="16"/>
                <w:szCs w:val="16"/>
                <w:lang w:eastAsia="es-CR"/>
              </w:rPr>
              <w:t xml:space="preserve">Juzgado Penal de Santa Cruz </w:t>
            </w:r>
          </w:p>
        </w:tc>
        <w:tc>
          <w:tcPr>
            <w:tcW w:w="2405" w:type="dxa"/>
            <w:tcBorders>
              <w:top w:val="nil"/>
              <w:left w:val="nil"/>
              <w:bottom w:val="single" w:sz="4" w:space="0" w:color="808080"/>
              <w:right w:val="single" w:sz="4" w:space="0" w:color="808080"/>
            </w:tcBorders>
            <w:shd w:val="clear" w:color="auto" w:fill="auto"/>
            <w:noWrap/>
            <w:vAlign w:val="center"/>
            <w:hideMark/>
          </w:tcPr>
          <w:p w14:paraId="51715F6C" w14:textId="77777777" w:rsidR="006472D2" w:rsidRPr="00187106" w:rsidRDefault="006472D2" w:rsidP="006472D2">
            <w:pPr>
              <w:jc w:val="center"/>
              <w:rPr>
                <w:rFonts w:ascii="Book Antiqua" w:hAnsi="Book Antiqua" w:cs="Calibri"/>
                <w:color w:val="000000"/>
                <w:sz w:val="16"/>
                <w:szCs w:val="16"/>
                <w:lang w:eastAsia="es-CR"/>
              </w:rPr>
            </w:pPr>
            <w:r w:rsidRPr="00187106">
              <w:rPr>
                <w:rFonts w:ascii="Book Antiqua" w:hAnsi="Book Antiqua" w:cs="Calibri"/>
                <w:color w:val="000000"/>
                <w:sz w:val="16"/>
                <w:szCs w:val="16"/>
                <w:lang w:eastAsia="es-CR"/>
              </w:rPr>
              <w:t>217%</w:t>
            </w:r>
          </w:p>
        </w:tc>
      </w:tr>
      <w:tr w:rsidR="006472D2" w:rsidRPr="00187106" w14:paraId="15DDDB4B" w14:textId="77777777" w:rsidTr="00187106">
        <w:trPr>
          <w:trHeight w:val="290"/>
          <w:jc w:val="center"/>
        </w:trPr>
        <w:tc>
          <w:tcPr>
            <w:tcW w:w="5387" w:type="dxa"/>
            <w:tcBorders>
              <w:top w:val="nil"/>
              <w:left w:val="single" w:sz="4" w:space="0" w:color="808080"/>
              <w:bottom w:val="single" w:sz="4" w:space="0" w:color="808080"/>
              <w:right w:val="single" w:sz="4" w:space="0" w:color="808080"/>
            </w:tcBorders>
            <w:shd w:val="clear" w:color="auto" w:fill="auto"/>
            <w:noWrap/>
            <w:vAlign w:val="center"/>
            <w:hideMark/>
          </w:tcPr>
          <w:p w14:paraId="48F353C4" w14:textId="77777777" w:rsidR="006472D2" w:rsidRPr="00187106" w:rsidRDefault="006472D2" w:rsidP="006472D2">
            <w:pPr>
              <w:rPr>
                <w:rFonts w:ascii="Book Antiqua" w:hAnsi="Book Antiqua" w:cs="Calibri"/>
                <w:color w:val="000000"/>
                <w:sz w:val="16"/>
                <w:szCs w:val="16"/>
                <w:lang w:eastAsia="es-CR"/>
              </w:rPr>
            </w:pPr>
            <w:r w:rsidRPr="00187106">
              <w:rPr>
                <w:rFonts w:ascii="Book Antiqua" w:hAnsi="Book Antiqua" w:cs="Calibri"/>
                <w:color w:val="000000"/>
                <w:sz w:val="16"/>
                <w:szCs w:val="16"/>
                <w:lang w:eastAsia="es-CR"/>
              </w:rPr>
              <w:t xml:space="preserve">Juzgado Penal de Cañas </w:t>
            </w:r>
          </w:p>
        </w:tc>
        <w:tc>
          <w:tcPr>
            <w:tcW w:w="2405" w:type="dxa"/>
            <w:tcBorders>
              <w:top w:val="nil"/>
              <w:left w:val="nil"/>
              <w:bottom w:val="single" w:sz="4" w:space="0" w:color="808080"/>
              <w:right w:val="single" w:sz="4" w:space="0" w:color="808080"/>
            </w:tcBorders>
            <w:shd w:val="clear" w:color="auto" w:fill="auto"/>
            <w:noWrap/>
            <w:vAlign w:val="center"/>
            <w:hideMark/>
          </w:tcPr>
          <w:p w14:paraId="39E15DF2" w14:textId="77777777" w:rsidR="006472D2" w:rsidRPr="00187106" w:rsidRDefault="006472D2" w:rsidP="006472D2">
            <w:pPr>
              <w:jc w:val="center"/>
              <w:rPr>
                <w:rFonts w:ascii="Book Antiqua" w:hAnsi="Book Antiqua" w:cs="Calibri"/>
                <w:color w:val="000000"/>
                <w:sz w:val="16"/>
                <w:szCs w:val="16"/>
                <w:lang w:eastAsia="es-CR"/>
              </w:rPr>
            </w:pPr>
            <w:r w:rsidRPr="00187106">
              <w:rPr>
                <w:rFonts w:ascii="Book Antiqua" w:hAnsi="Book Antiqua" w:cs="Calibri"/>
                <w:color w:val="000000"/>
                <w:sz w:val="16"/>
                <w:szCs w:val="16"/>
                <w:lang w:eastAsia="es-CR"/>
              </w:rPr>
              <w:t>179%</w:t>
            </w:r>
          </w:p>
        </w:tc>
      </w:tr>
      <w:tr w:rsidR="006472D2" w:rsidRPr="00187106" w14:paraId="64409658" w14:textId="77777777" w:rsidTr="00187106">
        <w:trPr>
          <w:trHeight w:val="290"/>
          <w:jc w:val="center"/>
        </w:trPr>
        <w:tc>
          <w:tcPr>
            <w:tcW w:w="5387" w:type="dxa"/>
            <w:tcBorders>
              <w:top w:val="nil"/>
              <w:left w:val="single" w:sz="4" w:space="0" w:color="808080"/>
              <w:bottom w:val="single" w:sz="4" w:space="0" w:color="808080"/>
              <w:right w:val="single" w:sz="4" w:space="0" w:color="808080"/>
            </w:tcBorders>
            <w:shd w:val="clear" w:color="auto" w:fill="auto"/>
            <w:noWrap/>
            <w:vAlign w:val="center"/>
            <w:hideMark/>
          </w:tcPr>
          <w:p w14:paraId="7B327F92" w14:textId="228BCBD5" w:rsidR="006472D2" w:rsidRPr="00187106" w:rsidRDefault="006472D2" w:rsidP="006472D2">
            <w:pPr>
              <w:rPr>
                <w:rFonts w:ascii="Book Antiqua" w:hAnsi="Book Antiqua" w:cs="Calibri"/>
                <w:color w:val="000000"/>
                <w:sz w:val="16"/>
                <w:szCs w:val="16"/>
                <w:lang w:eastAsia="es-CR"/>
              </w:rPr>
            </w:pPr>
            <w:r w:rsidRPr="00187106">
              <w:rPr>
                <w:rFonts w:ascii="Book Antiqua" w:hAnsi="Book Antiqua" w:cs="Calibri"/>
                <w:color w:val="000000"/>
                <w:sz w:val="16"/>
                <w:szCs w:val="16"/>
                <w:lang w:eastAsia="es-CR"/>
              </w:rPr>
              <w:t xml:space="preserve">Juzgado Penal del </w:t>
            </w:r>
            <w:r w:rsidR="00187106" w:rsidRPr="00187106">
              <w:rPr>
                <w:rFonts w:ascii="Book Antiqua" w:hAnsi="Book Antiqua" w:cs="Calibri"/>
                <w:color w:val="000000"/>
                <w:sz w:val="16"/>
                <w:szCs w:val="16"/>
                <w:lang w:eastAsia="es-CR"/>
              </w:rPr>
              <w:t>II</w:t>
            </w:r>
            <w:r w:rsidRPr="00187106">
              <w:rPr>
                <w:rFonts w:ascii="Book Antiqua" w:hAnsi="Book Antiqua" w:cs="Calibri"/>
                <w:color w:val="000000"/>
                <w:sz w:val="16"/>
                <w:szCs w:val="16"/>
                <w:lang w:eastAsia="es-CR"/>
              </w:rPr>
              <w:t xml:space="preserve"> Circuito Judicial de Alajuela</w:t>
            </w:r>
          </w:p>
        </w:tc>
        <w:tc>
          <w:tcPr>
            <w:tcW w:w="2405" w:type="dxa"/>
            <w:tcBorders>
              <w:top w:val="nil"/>
              <w:left w:val="nil"/>
              <w:bottom w:val="single" w:sz="4" w:space="0" w:color="808080"/>
              <w:right w:val="single" w:sz="4" w:space="0" w:color="808080"/>
            </w:tcBorders>
            <w:shd w:val="clear" w:color="auto" w:fill="auto"/>
            <w:noWrap/>
            <w:vAlign w:val="center"/>
            <w:hideMark/>
          </w:tcPr>
          <w:p w14:paraId="5B54EE23" w14:textId="77777777" w:rsidR="006472D2" w:rsidRPr="00187106" w:rsidRDefault="006472D2" w:rsidP="006472D2">
            <w:pPr>
              <w:jc w:val="center"/>
              <w:rPr>
                <w:rFonts w:ascii="Book Antiqua" w:hAnsi="Book Antiqua" w:cs="Calibri"/>
                <w:color w:val="000000"/>
                <w:sz w:val="16"/>
                <w:szCs w:val="16"/>
                <w:lang w:eastAsia="es-CR"/>
              </w:rPr>
            </w:pPr>
            <w:r w:rsidRPr="00187106">
              <w:rPr>
                <w:rFonts w:ascii="Book Antiqua" w:hAnsi="Book Antiqua" w:cs="Calibri"/>
                <w:color w:val="000000"/>
                <w:sz w:val="16"/>
                <w:szCs w:val="16"/>
                <w:lang w:eastAsia="es-CR"/>
              </w:rPr>
              <w:t>164%</w:t>
            </w:r>
          </w:p>
        </w:tc>
      </w:tr>
      <w:tr w:rsidR="006472D2" w:rsidRPr="00187106" w14:paraId="38D98976" w14:textId="77777777" w:rsidTr="00187106">
        <w:trPr>
          <w:trHeight w:val="290"/>
          <w:jc w:val="center"/>
        </w:trPr>
        <w:tc>
          <w:tcPr>
            <w:tcW w:w="5387" w:type="dxa"/>
            <w:tcBorders>
              <w:top w:val="nil"/>
              <w:left w:val="single" w:sz="4" w:space="0" w:color="808080"/>
              <w:bottom w:val="single" w:sz="4" w:space="0" w:color="808080"/>
              <w:right w:val="single" w:sz="4" w:space="0" w:color="808080"/>
            </w:tcBorders>
            <w:shd w:val="clear" w:color="auto" w:fill="auto"/>
            <w:noWrap/>
            <w:vAlign w:val="center"/>
            <w:hideMark/>
          </w:tcPr>
          <w:p w14:paraId="1CD4A1CF" w14:textId="77777777" w:rsidR="006472D2" w:rsidRPr="00187106" w:rsidRDefault="006472D2" w:rsidP="006472D2">
            <w:pPr>
              <w:rPr>
                <w:rFonts w:ascii="Book Antiqua" w:hAnsi="Book Antiqua" w:cs="Calibri"/>
                <w:color w:val="000000"/>
                <w:sz w:val="16"/>
                <w:szCs w:val="16"/>
                <w:lang w:eastAsia="es-CR"/>
              </w:rPr>
            </w:pPr>
            <w:r w:rsidRPr="00187106">
              <w:rPr>
                <w:rFonts w:ascii="Book Antiqua" w:hAnsi="Book Antiqua" w:cs="Calibri"/>
                <w:color w:val="000000"/>
                <w:sz w:val="16"/>
                <w:szCs w:val="16"/>
                <w:lang w:eastAsia="es-CR"/>
              </w:rPr>
              <w:t>Juzgado Penal de Siquirres</w:t>
            </w:r>
          </w:p>
        </w:tc>
        <w:tc>
          <w:tcPr>
            <w:tcW w:w="2405" w:type="dxa"/>
            <w:tcBorders>
              <w:top w:val="nil"/>
              <w:left w:val="nil"/>
              <w:bottom w:val="single" w:sz="4" w:space="0" w:color="808080"/>
              <w:right w:val="single" w:sz="4" w:space="0" w:color="808080"/>
            </w:tcBorders>
            <w:shd w:val="clear" w:color="auto" w:fill="auto"/>
            <w:noWrap/>
            <w:vAlign w:val="center"/>
            <w:hideMark/>
          </w:tcPr>
          <w:p w14:paraId="245054FF" w14:textId="77777777" w:rsidR="006472D2" w:rsidRPr="00187106" w:rsidRDefault="006472D2" w:rsidP="006472D2">
            <w:pPr>
              <w:jc w:val="center"/>
              <w:rPr>
                <w:rFonts w:ascii="Book Antiqua" w:hAnsi="Book Antiqua" w:cs="Calibri"/>
                <w:color w:val="000000"/>
                <w:sz w:val="16"/>
                <w:szCs w:val="16"/>
                <w:lang w:eastAsia="es-CR"/>
              </w:rPr>
            </w:pPr>
            <w:r w:rsidRPr="00187106">
              <w:rPr>
                <w:rFonts w:ascii="Book Antiqua" w:hAnsi="Book Antiqua" w:cs="Calibri"/>
                <w:color w:val="000000"/>
                <w:sz w:val="16"/>
                <w:szCs w:val="16"/>
                <w:lang w:eastAsia="es-CR"/>
              </w:rPr>
              <w:t>156%</w:t>
            </w:r>
          </w:p>
        </w:tc>
      </w:tr>
      <w:tr w:rsidR="006472D2" w:rsidRPr="00187106" w14:paraId="2228642E" w14:textId="77777777" w:rsidTr="00187106">
        <w:trPr>
          <w:trHeight w:val="290"/>
          <w:jc w:val="center"/>
        </w:trPr>
        <w:tc>
          <w:tcPr>
            <w:tcW w:w="5387" w:type="dxa"/>
            <w:tcBorders>
              <w:top w:val="nil"/>
              <w:left w:val="single" w:sz="4" w:space="0" w:color="808080"/>
              <w:bottom w:val="single" w:sz="4" w:space="0" w:color="808080"/>
              <w:right w:val="single" w:sz="4" w:space="0" w:color="808080"/>
            </w:tcBorders>
            <w:shd w:val="clear" w:color="auto" w:fill="auto"/>
            <w:noWrap/>
            <w:vAlign w:val="center"/>
            <w:hideMark/>
          </w:tcPr>
          <w:p w14:paraId="0C7B5102" w14:textId="77777777" w:rsidR="006472D2" w:rsidRPr="00187106" w:rsidRDefault="006472D2" w:rsidP="006472D2">
            <w:pPr>
              <w:rPr>
                <w:rFonts w:ascii="Book Antiqua" w:hAnsi="Book Antiqua" w:cs="Calibri"/>
                <w:color w:val="000000"/>
                <w:sz w:val="16"/>
                <w:szCs w:val="16"/>
                <w:lang w:eastAsia="es-CR"/>
              </w:rPr>
            </w:pPr>
            <w:r w:rsidRPr="00187106">
              <w:rPr>
                <w:rFonts w:ascii="Book Antiqua" w:hAnsi="Book Antiqua" w:cs="Calibri"/>
                <w:color w:val="000000"/>
                <w:sz w:val="16"/>
                <w:szCs w:val="16"/>
                <w:lang w:eastAsia="es-CR"/>
              </w:rPr>
              <w:t>Juzgado Penal de Sarapiquí</w:t>
            </w:r>
          </w:p>
        </w:tc>
        <w:tc>
          <w:tcPr>
            <w:tcW w:w="2405" w:type="dxa"/>
            <w:tcBorders>
              <w:top w:val="nil"/>
              <w:left w:val="nil"/>
              <w:bottom w:val="single" w:sz="4" w:space="0" w:color="808080"/>
              <w:right w:val="single" w:sz="4" w:space="0" w:color="808080"/>
            </w:tcBorders>
            <w:shd w:val="clear" w:color="auto" w:fill="auto"/>
            <w:noWrap/>
            <w:vAlign w:val="center"/>
            <w:hideMark/>
          </w:tcPr>
          <w:p w14:paraId="71DF64BC" w14:textId="77777777" w:rsidR="006472D2" w:rsidRPr="00187106" w:rsidRDefault="006472D2" w:rsidP="006472D2">
            <w:pPr>
              <w:jc w:val="center"/>
              <w:rPr>
                <w:rFonts w:ascii="Book Antiqua" w:hAnsi="Book Antiqua" w:cs="Calibri"/>
                <w:color w:val="000000"/>
                <w:sz w:val="16"/>
                <w:szCs w:val="16"/>
                <w:lang w:eastAsia="es-CR"/>
              </w:rPr>
            </w:pPr>
            <w:r w:rsidRPr="00187106">
              <w:rPr>
                <w:rFonts w:ascii="Book Antiqua" w:hAnsi="Book Antiqua" w:cs="Calibri"/>
                <w:color w:val="000000"/>
                <w:sz w:val="16"/>
                <w:szCs w:val="16"/>
                <w:lang w:eastAsia="es-CR"/>
              </w:rPr>
              <w:t>138%</w:t>
            </w:r>
          </w:p>
        </w:tc>
      </w:tr>
      <w:tr w:rsidR="006472D2" w:rsidRPr="00187106" w14:paraId="1E73BB5A" w14:textId="77777777" w:rsidTr="00187106">
        <w:trPr>
          <w:trHeight w:val="290"/>
          <w:jc w:val="center"/>
        </w:trPr>
        <w:tc>
          <w:tcPr>
            <w:tcW w:w="5387" w:type="dxa"/>
            <w:tcBorders>
              <w:top w:val="nil"/>
              <w:left w:val="single" w:sz="4" w:space="0" w:color="808080"/>
              <w:bottom w:val="single" w:sz="4" w:space="0" w:color="808080"/>
              <w:right w:val="single" w:sz="4" w:space="0" w:color="808080"/>
            </w:tcBorders>
            <w:shd w:val="clear" w:color="auto" w:fill="auto"/>
            <w:noWrap/>
            <w:vAlign w:val="center"/>
            <w:hideMark/>
          </w:tcPr>
          <w:p w14:paraId="0297F123" w14:textId="77777777" w:rsidR="006472D2" w:rsidRPr="00187106" w:rsidRDefault="006472D2" w:rsidP="006472D2">
            <w:pPr>
              <w:rPr>
                <w:rFonts w:ascii="Book Antiqua" w:hAnsi="Book Antiqua" w:cs="Calibri"/>
                <w:color w:val="000000"/>
                <w:sz w:val="16"/>
                <w:szCs w:val="16"/>
                <w:lang w:eastAsia="es-CR"/>
              </w:rPr>
            </w:pPr>
            <w:r w:rsidRPr="00187106">
              <w:rPr>
                <w:rFonts w:ascii="Book Antiqua" w:hAnsi="Book Antiqua" w:cs="Calibri"/>
                <w:color w:val="000000"/>
                <w:sz w:val="16"/>
                <w:szCs w:val="16"/>
                <w:lang w:eastAsia="es-CR"/>
              </w:rPr>
              <w:t>Juzgado Penal de Cartago</w:t>
            </w:r>
          </w:p>
        </w:tc>
        <w:tc>
          <w:tcPr>
            <w:tcW w:w="2405" w:type="dxa"/>
            <w:tcBorders>
              <w:top w:val="nil"/>
              <w:left w:val="nil"/>
              <w:bottom w:val="single" w:sz="4" w:space="0" w:color="808080"/>
              <w:right w:val="single" w:sz="4" w:space="0" w:color="808080"/>
            </w:tcBorders>
            <w:shd w:val="clear" w:color="auto" w:fill="auto"/>
            <w:noWrap/>
            <w:vAlign w:val="center"/>
            <w:hideMark/>
          </w:tcPr>
          <w:p w14:paraId="1A0A7694" w14:textId="77777777" w:rsidR="006472D2" w:rsidRPr="00187106" w:rsidRDefault="006472D2" w:rsidP="006472D2">
            <w:pPr>
              <w:jc w:val="center"/>
              <w:rPr>
                <w:rFonts w:ascii="Book Antiqua" w:hAnsi="Book Antiqua" w:cs="Calibri"/>
                <w:color w:val="000000"/>
                <w:sz w:val="16"/>
                <w:szCs w:val="16"/>
                <w:lang w:eastAsia="es-CR"/>
              </w:rPr>
            </w:pPr>
            <w:r w:rsidRPr="00187106">
              <w:rPr>
                <w:rFonts w:ascii="Book Antiqua" w:hAnsi="Book Antiqua" w:cs="Calibri"/>
                <w:color w:val="000000"/>
                <w:sz w:val="16"/>
                <w:szCs w:val="16"/>
                <w:lang w:eastAsia="es-CR"/>
              </w:rPr>
              <w:t>118%</w:t>
            </w:r>
          </w:p>
        </w:tc>
      </w:tr>
      <w:tr w:rsidR="006472D2" w:rsidRPr="00187106" w14:paraId="76E319B3" w14:textId="77777777" w:rsidTr="00187106">
        <w:trPr>
          <w:trHeight w:val="290"/>
          <w:jc w:val="center"/>
        </w:trPr>
        <w:tc>
          <w:tcPr>
            <w:tcW w:w="5387" w:type="dxa"/>
            <w:tcBorders>
              <w:top w:val="nil"/>
              <w:left w:val="single" w:sz="4" w:space="0" w:color="808080"/>
              <w:bottom w:val="single" w:sz="4" w:space="0" w:color="808080"/>
              <w:right w:val="single" w:sz="4" w:space="0" w:color="808080"/>
            </w:tcBorders>
            <w:shd w:val="clear" w:color="auto" w:fill="auto"/>
            <w:noWrap/>
            <w:vAlign w:val="center"/>
            <w:hideMark/>
          </w:tcPr>
          <w:p w14:paraId="58E71CEC" w14:textId="77777777" w:rsidR="006472D2" w:rsidRPr="00187106" w:rsidRDefault="006472D2" w:rsidP="006472D2">
            <w:pPr>
              <w:rPr>
                <w:rFonts w:ascii="Book Antiqua" w:hAnsi="Book Antiqua" w:cs="Calibri"/>
                <w:color w:val="000000"/>
                <w:sz w:val="16"/>
                <w:szCs w:val="16"/>
                <w:lang w:eastAsia="es-CR"/>
              </w:rPr>
            </w:pPr>
            <w:r w:rsidRPr="00187106">
              <w:rPr>
                <w:rFonts w:ascii="Book Antiqua" w:hAnsi="Book Antiqua" w:cs="Calibri"/>
                <w:color w:val="000000"/>
                <w:sz w:val="16"/>
                <w:szCs w:val="16"/>
                <w:lang w:eastAsia="es-CR"/>
              </w:rPr>
              <w:t>Juzgado Penal de Quepos</w:t>
            </w:r>
          </w:p>
        </w:tc>
        <w:tc>
          <w:tcPr>
            <w:tcW w:w="2405" w:type="dxa"/>
            <w:tcBorders>
              <w:top w:val="nil"/>
              <w:left w:val="nil"/>
              <w:bottom w:val="single" w:sz="4" w:space="0" w:color="808080"/>
              <w:right w:val="single" w:sz="4" w:space="0" w:color="808080"/>
            </w:tcBorders>
            <w:shd w:val="clear" w:color="auto" w:fill="auto"/>
            <w:noWrap/>
            <w:vAlign w:val="center"/>
            <w:hideMark/>
          </w:tcPr>
          <w:p w14:paraId="354D7089" w14:textId="77777777" w:rsidR="006472D2" w:rsidRPr="00187106" w:rsidRDefault="006472D2" w:rsidP="006472D2">
            <w:pPr>
              <w:jc w:val="center"/>
              <w:rPr>
                <w:rFonts w:ascii="Book Antiqua" w:hAnsi="Book Antiqua" w:cs="Calibri"/>
                <w:color w:val="000000"/>
                <w:sz w:val="16"/>
                <w:szCs w:val="16"/>
                <w:lang w:eastAsia="es-CR"/>
              </w:rPr>
            </w:pPr>
            <w:r w:rsidRPr="00187106">
              <w:rPr>
                <w:rFonts w:ascii="Book Antiqua" w:hAnsi="Book Antiqua" w:cs="Calibri"/>
                <w:color w:val="000000"/>
                <w:sz w:val="16"/>
                <w:szCs w:val="16"/>
                <w:lang w:eastAsia="es-CR"/>
              </w:rPr>
              <w:t>116%</w:t>
            </w:r>
          </w:p>
        </w:tc>
      </w:tr>
      <w:tr w:rsidR="006472D2" w:rsidRPr="00187106" w14:paraId="462A094A" w14:textId="77777777" w:rsidTr="00187106">
        <w:trPr>
          <w:trHeight w:val="290"/>
          <w:jc w:val="center"/>
        </w:trPr>
        <w:tc>
          <w:tcPr>
            <w:tcW w:w="5387" w:type="dxa"/>
            <w:tcBorders>
              <w:top w:val="nil"/>
              <w:left w:val="single" w:sz="4" w:space="0" w:color="808080"/>
              <w:bottom w:val="single" w:sz="4" w:space="0" w:color="808080"/>
              <w:right w:val="single" w:sz="4" w:space="0" w:color="808080"/>
            </w:tcBorders>
            <w:shd w:val="clear" w:color="auto" w:fill="auto"/>
            <w:noWrap/>
            <w:vAlign w:val="center"/>
            <w:hideMark/>
          </w:tcPr>
          <w:p w14:paraId="015DD161" w14:textId="523DECCB" w:rsidR="006472D2" w:rsidRPr="00187106" w:rsidRDefault="006472D2" w:rsidP="006472D2">
            <w:pPr>
              <w:rPr>
                <w:rFonts w:ascii="Book Antiqua" w:hAnsi="Book Antiqua" w:cs="Calibri"/>
                <w:color w:val="000000"/>
                <w:sz w:val="16"/>
                <w:szCs w:val="16"/>
                <w:lang w:eastAsia="es-CR"/>
              </w:rPr>
            </w:pPr>
            <w:r w:rsidRPr="00187106">
              <w:rPr>
                <w:rFonts w:ascii="Book Antiqua" w:hAnsi="Book Antiqua" w:cs="Calibri"/>
                <w:color w:val="000000"/>
                <w:sz w:val="16"/>
                <w:szCs w:val="16"/>
                <w:lang w:eastAsia="es-CR"/>
              </w:rPr>
              <w:t xml:space="preserve">Juzgado Penal del </w:t>
            </w:r>
            <w:r w:rsidR="00596061" w:rsidRPr="00187106">
              <w:rPr>
                <w:rFonts w:ascii="Book Antiqua" w:hAnsi="Book Antiqua" w:cs="Calibri"/>
                <w:color w:val="000000"/>
                <w:sz w:val="16"/>
                <w:szCs w:val="16"/>
                <w:lang w:eastAsia="es-CR"/>
              </w:rPr>
              <w:t>II</w:t>
            </w:r>
            <w:r w:rsidRPr="00187106">
              <w:rPr>
                <w:rFonts w:ascii="Book Antiqua" w:hAnsi="Book Antiqua" w:cs="Calibri"/>
                <w:color w:val="000000"/>
                <w:sz w:val="16"/>
                <w:szCs w:val="16"/>
                <w:lang w:eastAsia="es-CR"/>
              </w:rPr>
              <w:t xml:space="preserve"> Circuito Judicial Guanacaste </w:t>
            </w:r>
          </w:p>
        </w:tc>
        <w:tc>
          <w:tcPr>
            <w:tcW w:w="2405" w:type="dxa"/>
            <w:tcBorders>
              <w:top w:val="nil"/>
              <w:left w:val="nil"/>
              <w:bottom w:val="single" w:sz="4" w:space="0" w:color="808080"/>
              <w:right w:val="single" w:sz="4" w:space="0" w:color="808080"/>
            </w:tcBorders>
            <w:shd w:val="clear" w:color="auto" w:fill="auto"/>
            <w:noWrap/>
            <w:vAlign w:val="center"/>
            <w:hideMark/>
          </w:tcPr>
          <w:p w14:paraId="073638B4" w14:textId="77777777" w:rsidR="006472D2" w:rsidRPr="00187106" w:rsidRDefault="006472D2" w:rsidP="006472D2">
            <w:pPr>
              <w:jc w:val="center"/>
              <w:rPr>
                <w:rFonts w:ascii="Book Antiqua" w:hAnsi="Book Antiqua" w:cs="Calibri"/>
                <w:color w:val="000000"/>
                <w:sz w:val="16"/>
                <w:szCs w:val="16"/>
                <w:lang w:eastAsia="es-CR"/>
              </w:rPr>
            </w:pPr>
            <w:r w:rsidRPr="00187106">
              <w:rPr>
                <w:rFonts w:ascii="Book Antiqua" w:hAnsi="Book Antiqua" w:cs="Calibri"/>
                <w:color w:val="000000"/>
                <w:sz w:val="16"/>
                <w:szCs w:val="16"/>
                <w:lang w:eastAsia="es-CR"/>
              </w:rPr>
              <w:t>116%</w:t>
            </w:r>
          </w:p>
        </w:tc>
      </w:tr>
      <w:tr w:rsidR="006472D2" w:rsidRPr="00187106" w14:paraId="55972E0D" w14:textId="77777777" w:rsidTr="00187106">
        <w:trPr>
          <w:trHeight w:val="290"/>
          <w:jc w:val="center"/>
        </w:trPr>
        <w:tc>
          <w:tcPr>
            <w:tcW w:w="5387" w:type="dxa"/>
            <w:tcBorders>
              <w:top w:val="nil"/>
              <w:left w:val="single" w:sz="4" w:space="0" w:color="808080"/>
              <w:bottom w:val="single" w:sz="4" w:space="0" w:color="808080"/>
              <w:right w:val="single" w:sz="4" w:space="0" w:color="808080"/>
            </w:tcBorders>
            <w:shd w:val="clear" w:color="auto" w:fill="auto"/>
            <w:noWrap/>
            <w:vAlign w:val="center"/>
            <w:hideMark/>
          </w:tcPr>
          <w:p w14:paraId="55B32E31" w14:textId="77777777" w:rsidR="006472D2" w:rsidRPr="00187106" w:rsidRDefault="006472D2" w:rsidP="006472D2">
            <w:pPr>
              <w:rPr>
                <w:rFonts w:ascii="Book Antiqua" w:hAnsi="Book Antiqua" w:cs="Calibri"/>
                <w:color w:val="000000"/>
                <w:sz w:val="16"/>
                <w:szCs w:val="16"/>
                <w:lang w:eastAsia="es-CR"/>
              </w:rPr>
            </w:pPr>
            <w:r w:rsidRPr="00187106">
              <w:rPr>
                <w:rFonts w:ascii="Book Antiqua" w:hAnsi="Book Antiqua" w:cs="Calibri"/>
                <w:color w:val="000000"/>
                <w:sz w:val="16"/>
                <w:szCs w:val="16"/>
                <w:lang w:eastAsia="es-CR"/>
              </w:rPr>
              <w:t xml:space="preserve">Juzgado Penal de Garabito </w:t>
            </w:r>
          </w:p>
        </w:tc>
        <w:tc>
          <w:tcPr>
            <w:tcW w:w="2405" w:type="dxa"/>
            <w:tcBorders>
              <w:top w:val="nil"/>
              <w:left w:val="nil"/>
              <w:bottom w:val="single" w:sz="4" w:space="0" w:color="808080"/>
              <w:right w:val="single" w:sz="4" w:space="0" w:color="808080"/>
            </w:tcBorders>
            <w:shd w:val="clear" w:color="auto" w:fill="auto"/>
            <w:noWrap/>
            <w:vAlign w:val="center"/>
            <w:hideMark/>
          </w:tcPr>
          <w:p w14:paraId="55FFE8EA" w14:textId="77777777" w:rsidR="006472D2" w:rsidRPr="00187106" w:rsidRDefault="006472D2" w:rsidP="006472D2">
            <w:pPr>
              <w:jc w:val="center"/>
              <w:rPr>
                <w:rFonts w:ascii="Book Antiqua" w:hAnsi="Book Antiqua" w:cs="Calibri"/>
                <w:color w:val="000000"/>
                <w:sz w:val="16"/>
                <w:szCs w:val="16"/>
                <w:lang w:eastAsia="es-CR"/>
              </w:rPr>
            </w:pPr>
            <w:r w:rsidRPr="00187106">
              <w:rPr>
                <w:rFonts w:ascii="Book Antiqua" w:hAnsi="Book Antiqua" w:cs="Calibri"/>
                <w:color w:val="000000"/>
                <w:sz w:val="16"/>
                <w:szCs w:val="16"/>
                <w:lang w:eastAsia="es-CR"/>
              </w:rPr>
              <w:t>111%</w:t>
            </w:r>
          </w:p>
        </w:tc>
      </w:tr>
      <w:tr w:rsidR="006472D2" w:rsidRPr="00187106" w14:paraId="63A1B4DC" w14:textId="77777777" w:rsidTr="00187106">
        <w:trPr>
          <w:trHeight w:val="290"/>
          <w:jc w:val="center"/>
        </w:trPr>
        <w:tc>
          <w:tcPr>
            <w:tcW w:w="5387" w:type="dxa"/>
            <w:tcBorders>
              <w:top w:val="nil"/>
              <w:left w:val="single" w:sz="4" w:space="0" w:color="808080"/>
              <w:bottom w:val="single" w:sz="4" w:space="0" w:color="808080"/>
              <w:right w:val="single" w:sz="4" w:space="0" w:color="808080"/>
            </w:tcBorders>
            <w:shd w:val="clear" w:color="auto" w:fill="auto"/>
            <w:noWrap/>
            <w:vAlign w:val="center"/>
            <w:hideMark/>
          </w:tcPr>
          <w:p w14:paraId="23CE88C8" w14:textId="77777777" w:rsidR="006472D2" w:rsidRPr="00187106" w:rsidRDefault="006472D2" w:rsidP="006472D2">
            <w:pPr>
              <w:rPr>
                <w:rFonts w:ascii="Book Antiqua" w:hAnsi="Book Antiqua" w:cs="Calibri"/>
                <w:color w:val="000000"/>
                <w:sz w:val="16"/>
                <w:szCs w:val="16"/>
                <w:lang w:eastAsia="es-CR"/>
              </w:rPr>
            </w:pPr>
            <w:r w:rsidRPr="00187106">
              <w:rPr>
                <w:rFonts w:ascii="Book Antiqua" w:hAnsi="Book Antiqua" w:cs="Calibri"/>
                <w:color w:val="000000"/>
                <w:sz w:val="16"/>
                <w:szCs w:val="16"/>
                <w:lang w:eastAsia="es-CR"/>
              </w:rPr>
              <w:t xml:space="preserve">Juzgado Penal de Hatillo </w:t>
            </w:r>
          </w:p>
        </w:tc>
        <w:tc>
          <w:tcPr>
            <w:tcW w:w="2405" w:type="dxa"/>
            <w:tcBorders>
              <w:top w:val="nil"/>
              <w:left w:val="nil"/>
              <w:bottom w:val="single" w:sz="4" w:space="0" w:color="808080"/>
              <w:right w:val="single" w:sz="4" w:space="0" w:color="808080"/>
            </w:tcBorders>
            <w:shd w:val="clear" w:color="auto" w:fill="auto"/>
            <w:noWrap/>
            <w:vAlign w:val="center"/>
            <w:hideMark/>
          </w:tcPr>
          <w:p w14:paraId="45623540" w14:textId="77777777" w:rsidR="006472D2" w:rsidRPr="00187106" w:rsidRDefault="006472D2" w:rsidP="006472D2">
            <w:pPr>
              <w:jc w:val="center"/>
              <w:rPr>
                <w:rFonts w:ascii="Book Antiqua" w:hAnsi="Book Antiqua" w:cs="Calibri"/>
                <w:color w:val="000000"/>
                <w:sz w:val="16"/>
                <w:szCs w:val="16"/>
                <w:lang w:eastAsia="es-CR"/>
              </w:rPr>
            </w:pPr>
            <w:r w:rsidRPr="00187106">
              <w:rPr>
                <w:rFonts w:ascii="Book Antiqua" w:hAnsi="Book Antiqua" w:cs="Calibri"/>
                <w:color w:val="000000"/>
                <w:sz w:val="16"/>
                <w:szCs w:val="16"/>
                <w:lang w:eastAsia="es-CR"/>
              </w:rPr>
              <w:t>109%</w:t>
            </w:r>
          </w:p>
        </w:tc>
      </w:tr>
      <w:tr w:rsidR="006472D2" w:rsidRPr="00187106" w14:paraId="7274458D" w14:textId="77777777" w:rsidTr="00187106">
        <w:trPr>
          <w:trHeight w:val="290"/>
          <w:jc w:val="center"/>
        </w:trPr>
        <w:tc>
          <w:tcPr>
            <w:tcW w:w="5387" w:type="dxa"/>
            <w:tcBorders>
              <w:top w:val="nil"/>
              <w:left w:val="single" w:sz="4" w:space="0" w:color="808080"/>
              <w:bottom w:val="single" w:sz="4" w:space="0" w:color="808080"/>
              <w:right w:val="single" w:sz="4" w:space="0" w:color="808080"/>
            </w:tcBorders>
            <w:shd w:val="clear" w:color="auto" w:fill="auto"/>
            <w:noWrap/>
            <w:vAlign w:val="center"/>
            <w:hideMark/>
          </w:tcPr>
          <w:p w14:paraId="4DA4493E" w14:textId="77777777" w:rsidR="006472D2" w:rsidRPr="00187106" w:rsidRDefault="006472D2" w:rsidP="006472D2">
            <w:pPr>
              <w:rPr>
                <w:rFonts w:ascii="Book Antiqua" w:hAnsi="Book Antiqua" w:cs="Calibri"/>
                <w:color w:val="000000"/>
                <w:sz w:val="16"/>
                <w:szCs w:val="16"/>
                <w:lang w:eastAsia="es-CR"/>
              </w:rPr>
            </w:pPr>
            <w:r w:rsidRPr="00187106">
              <w:rPr>
                <w:rFonts w:ascii="Book Antiqua" w:hAnsi="Book Antiqua" w:cs="Calibri"/>
                <w:color w:val="000000"/>
                <w:sz w:val="16"/>
                <w:szCs w:val="16"/>
                <w:lang w:eastAsia="es-CR"/>
              </w:rPr>
              <w:t xml:space="preserve">Juzgado Penal de San Joaquín de Flores </w:t>
            </w:r>
          </w:p>
        </w:tc>
        <w:tc>
          <w:tcPr>
            <w:tcW w:w="2405" w:type="dxa"/>
            <w:tcBorders>
              <w:top w:val="nil"/>
              <w:left w:val="nil"/>
              <w:bottom w:val="single" w:sz="4" w:space="0" w:color="808080"/>
              <w:right w:val="single" w:sz="4" w:space="0" w:color="808080"/>
            </w:tcBorders>
            <w:shd w:val="clear" w:color="auto" w:fill="auto"/>
            <w:noWrap/>
            <w:vAlign w:val="center"/>
            <w:hideMark/>
          </w:tcPr>
          <w:p w14:paraId="329AA9E3" w14:textId="77777777" w:rsidR="006472D2" w:rsidRPr="00187106" w:rsidRDefault="006472D2" w:rsidP="006472D2">
            <w:pPr>
              <w:jc w:val="center"/>
              <w:rPr>
                <w:rFonts w:ascii="Book Antiqua" w:hAnsi="Book Antiqua" w:cs="Calibri"/>
                <w:color w:val="000000"/>
                <w:sz w:val="16"/>
                <w:szCs w:val="16"/>
                <w:lang w:eastAsia="es-CR"/>
              </w:rPr>
            </w:pPr>
            <w:r w:rsidRPr="00187106">
              <w:rPr>
                <w:rFonts w:ascii="Book Antiqua" w:hAnsi="Book Antiqua" w:cs="Calibri"/>
                <w:color w:val="000000"/>
                <w:sz w:val="16"/>
                <w:szCs w:val="16"/>
                <w:lang w:eastAsia="es-CR"/>
              </w:rPr>
              <w:t>107%</w:t>
            </w:r>
          </w:p>
        </w:tc>
      </w:tr>
      <w:tr w:rsidR="006472D2" w:rsidRPr="00187106" w14:paraId="6B42E247" w14:textId="77777777" w:rsidTr="00187106">
        <w:trPr>
          <w:trHeight w:val="290"/>
          <w:jc w:val="center"/>
        </w:trPr>
        <w:tc>
          <w:tcPr>
            <w:tcW w:w="5387" w:type="dxa"/>
            <w:tcBorders>
              <w:top w:val="nil"/>
              <w:left w:val="single" w:sz="4" w:space="0" w:color="808080"/>
              <w:bottom w:val="single" w:sz="4" w:space="0" w:color="808080"/>
              <w:right w:val="single" w:sz="4" w:space="0" w:color="808080"/>
            </w:tcBorders>
            <w:shd w:val="clear" w:color="auto" w:fill="auto"/>
            <w:noWrap/>
            <w:vAlign w:val="center"/>
            <w:hideMark/>
          </w:tcPr>
          <w:p w14:paraId="719D1520" w14:textId="77777777" w:rsidR="006472D2" w:rsidRPr="00187106" w:rsidRDefault="006472D2" w:rsidP="006472D2">
            <w:pPr>
              <w:rPr>
                <w:rFonts w:ascii="Book Antiqua" w:hAnsi="Book Antiqua" w:cs="Calibri"/>
                <w:color w:val="000000"/>
                <w:sz w:val="16"/>
                <w:szCs w:val="16"/>
                <w:lang w:eastAsia="es-CR"/>
              </w:rPr>
            </w:pPr>
            <w:r w:rsidRPr="00187106">
              <w:rPr>
                <w:rFonts w:ascii="Book Antiqua" w:hAnsi="Book Antiqua" w:cs="Calibri"/>
                <w:color w:val="000000"/>
                <w:sz w:val="16"/>
                <w:szCs w:val="16"/>
                <w:lang w:eastAsia="es-CR"/>
              </w:rPr>
              <w:t>Juzgado Penal de Grecia</w:t>
            </w:r>
          </w:p>
        </w:tc>
        <w:tc>
          <w:tcPr>
            <w:tcW w:w="2405" w:type="dxa"/>
            <w:tcBorders>
              <w:top w:val="nil"/>
              <w:left w:val="nil"/>
              <w:bottom w:val="single" w:sz="4" w:space="0" w:color="808080"/>
              <w:right w:val="single" w:sz="4" w:space="0" w:color="808080"/>
            </w:tcBorders>
            <w:shd w:val="clear" w:color="auto" w:fill="auto"/>
            <w:noWrap/>
            <w:vAlign w:val="center"/>
            <w:hideMark/>
          </w:tcPr>
          <w:p w14:paraId="324063D6" w14:textId="77777777" w:rsidR="006472D2" w:rsidRPr="00187106" w:rsidRDefault="006472D2" w:rsidP="006472D2">
            <w:pPr>
              <w:jc w:val="center"/>
              <w:rPr>
                <w:rFonts w:ascii="Book Antiqua" w:hAnsi="Book Antiqua" w:cs="Calibri"/>
                <w:color w:val="000000"/>
                <w:sz w:val="16"/>
                <w:szCs w:val="16"/>
                <w:lang w:eastAsia="es-CR"/>
              </w:rPr>
            </w:pPr>
            <w:r w:rsidRPr="00187106">
              <w:rPr>
                <w:rFonts w:ascii="Book Antiqua" w:hAnsi="Book Antiqua" w:cs="Calibri"/>
                <w:color w:val="000000"/>
                <w:sz w:val="16"/>
                <w:szCs w:val="16"/>
                <w:lang w:eastAsia="es-CR"/>
              </w:rPr>
              <w:t>106%</w:t>
            </w:r>
          </w:p>
        </w:tc>
      </w:tr>
      <w:tr w:rsidR="006472D2" w:rsidRPr="00187106" w14:paraId="5F238F84" w14:textId="77777777" w:rsidTr="00187106">
        <w:trPr>
          <w:trHeight w:val="290"/>
          <w:jc w:val="center"/>
        </w:trPr>
        <w:tc>
          <w:tcPr>
            <w:tcW w:w="5387" w:type="dxa"/>
            <w:tcBorders>
              <w:top w:val="nil"/>
              <w:left w:val="single" w:sz="4" w:space="0" w:color="808080"/>
              <w:bottom w:val="single" w:sz="4" w:space="0" w:color="808080"/>
              <w:right w:val="single" w:sz="4" w:space="0" w:color="808080"/>
            </w:tcBorders>
            <w:shd w:val="clear" w:color="auto" w:fill="auto"/>
            <w:noWrap/>
            <w:vAlign w:val="center"/>
            <w:hideMark/>
          </w:tcPr>
          <w:p w14:paraId="7FEFC051" w14:textId="77777777" w:rsidR="006472D2" w:rsidRPr="00187106" w:rsidRDefault="006472D2" w:rsidP="006472D2">
            <w:pPr>
              <w:rPr>
                <w:rFonts w:ascii="Book Antiqua" w:hAnsi="Book Antiqua" w:cs="Calibri"/>
                <w:color w:val="000000"/>
                <w:sz w:val="16"/>
                <w:szCs w:val="16"/>
                <w:lang w:eastAsia="es-CR"/>
              </w:rPr>
            </w:pPr>
            <w:r w:rsidRPr="00187106">
              <w:rPr>
                <w:rFonts w:ascii="Book Antiqua" w:hAnsi="Book Antiqua" w:cs="Calibri"/>
                <w:color w:val="000000"/>
                <w:sz w:val="16"/>
                <w:szCs w:val="16"/>
                <w:lang w:eastAsia="es-CR"/>
              </w:rPr>
              <w:t>Juzgado Penal del I Circuito Judicial de Guanacaste</w:t>
            </w:r>
          </w:p>
        </w:tc>
        <w:tc>
          <w:tcPr>
            <w:tcW w:w="2405" w:type="dxa"/>
            <w:tcBorders>
              <w:top w:val="nil"/>
              <w:left w:val="nil"/>
              <w:bottom w:val="single" w:sz="4" w:space="0" w:color="808080"/>
              <w:right w:val="single" w:sz="4" w:space="0" w:color="808080"/>
            </w:tcBorders>
            <w:shd w:val="clear" w:color="auto" w:fill="auto"/>
            <w:noWrap/>
            <w:vAlign w:val="center"/>
            <w:hideMark/>
          </w:tcPr>
          <w:p w14:paraId="2BB1CD73" w14:textId="77777777" w:rsidR="006472D2" w:rsidRPr="00187106" w:rsidRDefault="006472D2" w:rsidP="006472D2">
            <w:pPr>
              <w:jc w:val="center"/>
              <w:rPr>
                <w:rFonts w:ascii="Book Antiqua" w:hAnsi="Book Antiqua" w:cs="Calibri"/>
                <w:color w:val="000000"/>
                <w:sz w:val="16"/>
                <w:szCs w:val="16"/>
                <w:lang w:eastAsia="es-CR"/>
              </w:rPr>
            </w:pPr>
            <w:r w:rsidRPr="00187106">
              <w:rPr>
                <w:rFonts w:ascii="Book Antiqua" w:hAnsi="Book Antiqua" w:cs="Calibri"/>
                <w:color w:val="000000"/>
                <w:sz w:val="16"/>
                <w:szCs w:val="16"/>
                <w:lang w:eastAsia="es-CR"/>
              </w:rPr>
              <w:t>104%</w:t>
            </w:r>
          </w:p>
        </w:tc>
      </w:tr>
      <w:tr w:rsidR="006472D2" w:rsidRPr="00187106" w14:paraId="15183732" w14:textId="77777777" w:rsidTr="00187106">
        <w:trPr>
          <w:trHeight w:val="290"/>
          <w:jc w:val="center"/>
        </w:trPr>
        <w:tc>
          <w:tcPr>
            <w:tcW w:w="5387" w:type="dxa"/>
            <w:tcBorders>
              <w:top w:val="nil"/>
              <w:left w:val="single" w:sz="4" w:space="0" w:color="808080"/>
              <w:bottom w:val="single" w:sz="4" w:space="0" w:color="808080"/>
              <w:right w:val="single" w:sz="4" w:space="0" w:color="808080"/>
            </w:tcBorders>
            <w:shd w:val="clear" w:color="auto" w:fill="auto"/>
            <w:noWrap/>
            <w:vAlign w:val="center"/>
            <w:hideMark/>
          </w:tcPr>
          <w:p w14:paraId="72459384" w14:textId="77777777" w:rsidR="006472D2" w:rsidRPr="00187106" w:rsidRDefault="006472D2" w:rsidP="006472D2">
            <w:pPr>
              <w:rPr>
                <w:rFonts w:ascii="Book Antiqua" w:hAnsi="Book Antiqua" w:cs="Calibri"/>
                <w:color w:val="000000"/>
                <w:sz w:val="16"/>
                <w:szCs w:val="16"/>
                <w:lang w:eastAsia="es-CR"/>
              </w:rPr>
            </w:pPr>
            <w:r w:rsidRPr="00187106">
              <w:rPr>
                <w:rFonts w:ascii="Book Antiqua" w:hAnsi="Book Antiqua" w:cs="Calibri"/>
                <w:color w:val="000000"/>
                <w:sz w:val="16"/>
                <w:szCs w:val="16"/>
                <w:lang w:eastAsia="es-CR"/>
              </w:rPr>
              <w:t xml:space="preserve">Juzgado Penal de Coto Brus </w:t>
            </w:r>
          </w:p>
        </w:tc>
        <w:tc>
          <w:tcPr>
            <w:tcW w:w="2405" w:type="dxa"/>
            <w:tcBorders>
              <w:top w:val="nil"/>
              <w:left w:val="nil"/>
              <w:bottom w:val="single" w:sz="4" w:space="0" w:color="808080"/>
              <w:right w:val="single" w:sz="4" w:space="0" w:color="808080"/>
            </w:tcBorders>
            <w:shd w:val="clear" w:color="auto" w:fill="auto"/>
            <w:noWrap/>
            <w:vAlign w:val="center"/>
            <w:hideMark/>
          </w:tcPr>
          <w:p w14:paraId="7239239D" w14:textId="77777777" w:rsidR="006472D2" w:rsidRPr="00187106" w:rsidRDefault="006472D2" w:rsidP="006472D2">
            <w:pPr>
              <w:jc w:val="center"/>
              <w:rPr>
                <w:rFonts w:ascii="Book Antiqua" w:hAnsi="Book Antiqua" w:cs="Calibri"/>
                <w:color w:val="000000"/>
                <w:sz w:val="16"/>
                <w:szCs w:val="16"/>
                <w:lang w:eastAsia="es-CR"/>
              </w:rPr>
            </w:pPr>
            <w:r w:rsidRPr="00187106">
              <w:rPr>
                <w:rFonts w:ascii="Book Antiqua" w:hAnsi="Book Antiqua" w:cs="Calibri"/>
                <w:color w:val="000000"/>
                <w:sz w:val="16"/>
                <w:szCs w:val="16"/>
                <w:lang w:eastAsia="es-CR"/>
              </w:rPr>
              <w:t>101%</w:t>
            </w:r>
          </w:p>
        </w:tc>
      </w:tr>
      <w:tr w:rsidR="006472D2" w:rsidRPr="00187106" w14:paraId="10CE11A0" w14:textId="77777777" w:rsidTr="00187106">
        <w:trPr>
          <w:trHeight w:val="290"/>
          <w:jc w:val="center"/>
        </w:trPr>
        <w:tc>
          <w:tcPr>
            <w:tcW w:w="5387" w:type="dxa"/>
            <w:tcBorders>
              <w:top w:val="nil"/>
              <w:left w:val="single" w:sz="4" w:space="0" w:color="808080"/>
              <w:bottom w:val="single" w:sz="4" w:space="0" w:color="808080"/>
              <w:right w:val="single" w:sz="4" w:space="0" w:color="808080"/>
            </w:tcBorders>
            <w:shd w:val="clear" w:color="auto" w:fill="auto"/>
            <w:noWrap/>
            <w:vAlign w:val="center"/>
            <w:hideMark/>
          </w:tcPr>
          <w:p w14:paraId="5D0A4810" w14:textId="77777777" w:rsidR="006472D2" w:rsidRPr="00187106" w:rsidRDefault="006472D2" w:rsidP="006472D2">
            <w:pPr>
              <w:rPr>
                <w:rFonts w:ascii="Book Antiqua" w:hAnsi="Book Antiqua" w:cs="Calibri"/>
                <w:color w:val="000000"/>
                <w:sz w:val="16"/>
                <w:szCs w:val="16"/>
                <w:lang w:eastAsia="es-CR"/>
              </w:rPr>
            </w:pPr>
            <w:r w:rsidRPr="00187106">
              <w:rPr>
                <w:rFonts w:ascii="Book Antiqua" w:hAnsi="Book Antiqua" w:cs="Calibri"/>
                <w:color w:val="000000"/>
                <w:sz w:val="16"/>
                <w:szCs w:val="16"/>
                <w:lang w:eastAsia="es-CR"/>
              </w:rPr>
              <w:t>Juzgado Penal de Turrialba</w:t>
            </w:r>
          </w:p>
        </w:tc>
        <w:tc>
          <w:tcPr>
            <w:tcW w:w="2405" w:type="dxa"/>
            <w:tcBorders>
              <w:top w:val="nil"/>
              <w:left w:val="nil"/>
              <w:bottom w:val="single" w:sz="4" w:space="0" w:color="808080"/>
              <w:right w:val="single" w:sz="4" w:space="0" w:color="808080"/>
            </w:tcBorders>
            <w:shd w:val="clear" w:color="auto" w:fill="auto"/>
            <w:noWrap/>
            <w:vAlign w:val="center"/>
            <w:hideMark/>
          </w:tcPr>
          <w:p w14:paraId="6E7B71EA" w14:textId="77777777" w:rsidR="006472D2" w:rsidRPr="00187106" w:rsidRDefault="006472D2" w:rsidP="006472D2">
            <w:pPr>
              <w:jc w:val="center"/>
              <w:rPr>
                <w:rFonts w:ascii="Book Antiqua" w:hAnsi="Book Antiqua" w:cs="Calibri"/>
                <w:color w:val="000000"/>
                <w:sz w:val="16"/>
                <w:szCs w:val="16"/>
                <w:lang w:eastAsia="es-CR"/>
              </w:rPr>
            </w:pPr>
            <w:r w:rsidRPr="00187106">
              <w:rPr>
                <w:rFonts w:ascii="Book Antiqua" w:hAnsi="Book Antiqua" w:cs="Calibri"/>
                <w:color w:val="000000"/>
                <w:sz w:val="16"/>
                <w:szCs w:val="16"/>
                <w:lang w:eastAsia="es-CR"/>
              </w:rPr>
              <w:t>93%</w:t>
            </w:r>
          </w:p>
        </w:tc>
      </w:tr>
      <w:tr w:rsidR="006472D2" w:rsidRPr="00187106" w14:paraId="6481CA7B" w14:textId="77777777" w:rsidTr="00187106">
        <w:trPr>
          <w:trHeight w:val="290"/>
          <w:jc w:val="center"/>
        </w:trPr>
        <w:tc>
          <w:tcPr>
            <w:tcW w:w="5387" w:type="dxa"/>
            <w:tcBorders>
              <w:top w:val="nil"/>
              <w:left w:val="single" w:sz="4" w:space="0" w:color="808080"/>
              <w:bottom w:val="single" w:sz="4" w:space="0" w:color="808080"/>
              <w:right w:val="single" w:sz="4" w:space="0" w:color="808080"/>
            </w:tcBorders>
            <w:shd w:val="clear" w:color="auto" w:fill="auto"/>
            <w:noWrap/>
            <w:vAlign w:val="center"/>
            <w:hideMark/>
          </w:tcPr>
          <w:p w14:paraId="4C86E517" w14:textId="3B507D64" w:rsidR="006472D2" w:rsidRPr="00187106" w:rsidRDefault="006472D2" w:rsidP="006472D2">
            <w:pPr>
              <w:rPr>
                <w:rFonts w:ascii="Book Antiqua" w:hAnsi="Book Antiqua" w:cs="Calibri"/>
                <w:color w:val="000000"/>
                <w:sz w:val="16"/>
                <w:szCs w:val="16"/>
                <w:lang w:eastAsia="es-CR"/>
              </w:rPr>
            </w:pPr>
            <w:r w:rsidRPr="00187106">
              <w:rPr>
                <w:rFonts w:ascii="Book Antiqua" w:hAnsi="Book Antiqua" w:cs="Calibri"/>
                <w:color w:val="000000"/>
                <w:sz w:val="16"/>
                <w:szCs w:val="16"/>
                <w:lang w:eastAsia="es-CR"/>
              </w:rPr>
              <w:t>Juzgado Penal del I Circuito Judicial de Alajuela, Sede Atenas</w:t>
            </w:r>
          </w:p>
        </w:tc>
        <w:tc>
          <w:tcPr>
            <w:tcW w:w="2405" w:type="dxa"/>
            <w:tcBorders>
              <w:top w:val="nil"/>
              <w:left w:val="nil"/>
              <w:bottom w:val="single" w:sz="4" w:space="0" w:color="808080"/>
              <w:right w:val="single" w:sz="4" w:space="0" w:color="808080"/>
            </w:tcBorders>
            <w:shd w:val="clear" w:color="auto" w:fill="auto"/>
            <w:noWrap/>
            <w:vAlign w:val="center"/>
            <w:hideMark/>
          </w:tcPr>
          <w:p w14:paraId="6E0F8582" w14:textId="77777777" w:rsidR="006472D2" w:rsidRPr="00187106" w:rsidRDefault="006472D2" w:rsidP="006472D2">
            <w:pPr>
              <w:jc w:val="center"/>
              <w:rPr>
                <w:rFonts w:ascii="Book Antiqua" w:hAnsi="Book Antiqua" w:cs="Calibri"/>
                <w:color w:val="000000"/>
                <w:sz w:val="16"/>
                <w:szCs w:val="16"/>
                <w:lang w:eastAsia="es-CR"/>
              </w:rPr>
            </w:pPr>
            <w:r w:rsidRPr="00187106">
              <w:rPr>
                <w:rFonts w:ascii="Book Antiqua" w:hAnsi="Book Antiqua" w:cs="Calibri"/>
                <w:color w:val="000000"/>
                <w:sz w:val="16"/>
                <w:szCs w:val="16"/>
                <w:lang w:eastAsia="es-CR"/>
              </w:rPr>
              <w:t>91%</w:t>
            </w:r>
          </w:p>
        </w:tc>
      </w:tr>
      <w:tr w:rsidR="006472D2" w:rsidRPr="00187106" w14:paraId="739C6E5D" w14:textId="77777777" w:rsidTr="00187106">
        <w:trPr>
          <w:trHeight w:val="290"/>
          <w:jc w:val="center"/>
        </w:trPr>
        <w:tc>
          <w:tcPr>
            <w:tcW w:w="5387" w:type="dxa"/>
            <w:tcBorders>
              <w:top w:val="nil"/>
              <w:left w:val="single" w:sz="4" w:space="0" w:color="808080"/>
              <w:bottom w:val="single" w:sz="4" w:space="0" w:color="808080"/>
              <w:right w:val="single" w:sz="4" w:space="0" w:color="808080"/>
            </w:tcBorders>
            <w:shd w:val="clear" w:color="auto" w:fill="auto"/>
            <w:noWrap/>
            <w:vAlign w:val="center"/>
            <w:hideMark/>
          </w:tcPr>
          <w:p w14:paraId="6241AD12" w14:textId="77777777" w:rsidR="006472D2" w:rsidRPr="00187106" w:rsidRDefault="006472D2" w:rsidP="006472D2">
            <w:pPr>
              <w:rPr>
                <w:rFonts w:ascii="Book Antiqua" w:hAnsi="Book Antiqua" w:cs="Calibri"/>
                <w:color w:val="000000"/>
                <w:sz w:val="16"/>
                <w:szCs w:val="16"/>
                <w:lang w:eastAsia="es-CR"/>
              </w:rPr>
            </w:pPr>
            <w:r w:rsidRPr="00187106">
              <w:rPr>
                <w:rFonts w:ascii="Book Antiqua" w:hAnsi="Book Antiqua" w:cs="Calibri"/>
                <w:color w:val="000000"/>
                <w:sz w:val="16"/>
                <w:szCs w:val="16"/>
                <w:lang w:eastAsia="es-CR"/>
              </w:rPr>
              <w:t xml:space="preserve">Juzgado Penal de La Unión </w:t>
            </w:r>
          </w:p>
        </w:tc>
        <w:tc>
          <w:tcPr>
            <w:tcW w:w="2405" w:type="dxa"/>
            <w:tcBorders>
              <w:top w:val="nil"/>
              <w:left w:val="nil"/>
              <w:bottom w:val="single" w:sz="4" w:space="0" w:color="808080"/>
              <w:right w:val="single" w:sz="4" w:space="0" w:color="808080"/>
            </w:tcBorders>
            <w:shd w:val="clear" w:color="auto" w:fill="auto"/>
            <w:noWrap/>
            <w:vAlign w:val="center"/>
            <w:hideMark/>
          </w:tcPr>
          <w:p w14:paraId="0C9963F5" w14:textId="77777777" w:rsidR="006472D2" w:rsidRPr="00187106" w:rsidRDefault="006472D2" w:rsidP="006472D2">
            <w:pPr>
              <w:jc w:val="center"/>
              <w:rPr>
                <w:rFonts w:ascii="Book Antiqua" w:hAnsi="Book Antiqua" w:cs="Calibri"/>
                <w:color w:val="000000"/>
                <w:sz w:val="16"/>
                <w:szCs w:val="16"/>
                <w:lang w:eastAsia="es-CR"/>
              </w:rPr>
            </w:pPr>
            <w:r w:rsidRPr="00187106">
              <w:rPr>
                <w:rFonts w:ascii="Book Antiqua" w:hAnsi="Book Antiqua" w:cs="Calibri"/>
                <w:color w:val="000000"/>
                <w:sz w:val="16"/>
                <w:szCs w:val="16"/>
                <w:lang w:eastAsia="es-CR"/>
              </w:rPr>
              <w:t>91%</w:t>
            </w:r>
          </w:p>
        </w:tc>
      </w:tr>
      <w:tr w:rsidR="006472D2" w:rsidRPr="00187106" w14:paraId="180FDD9F" w14:textId="77777777" w:rsidTr="00187106">
        <w:trPr>
          <w:trHeight w:val="290"/>
          <w:jc w:val="center"/>
        </w:trPr>
        <w:tc>
          <w:tcPr>
            <w:tcW w:w="5387" w:type="dxa"/>
            <w:tcBorders>
              <w:top w:val="nil"/>
              <w:left w:val="single" w:sz="4" w:space="0" w:color="808080"/>
              <w:bottom w:val="single" w:sz="4" w:space="0" w:color="808080"/>
              <w:right w:val="single" w:sz="4" w:space="0" w:color="808080"/>
            </w:tcBorders>
            <w:shd w:val="clear" w:color="auto" w:fill="auto"/>
            <w:noWrap/>
            <w:vAlign w:val="center"/>
            <w:hideMark/>
          </w:tcPr>
          <w:p w14:paraId="5342E71C" w14:textId="77777777" w:rsidR="006472D2" w:rsidRPr="00187106" w:rsidRDefault="006472D2" w:rsidP="006472D2">
            <w:pPr>
              <w:rPr>
                <w:rFonts w:ascii="Book Antiqua" w:hAnsi="Book Antiqua" w:cs="Calibri"/>
                <w:color w:val="000000"/>
                <w:sz w:val="16"/>
                <w:szCs w:val="16"/>
                <w:lang w:eastAsia="es-CR"/>
              </w:rPr>
            </w:pPr>
            <w:r w:rsidRPr="00187106">
              <w:rPr>
                <w:rFonts w:ascii="Book Antiqua" w:hAnsi="Book Antiqua" w:cs="Calibri"/>
                <w:color w:val="000000"/>
                <w:sz w:val="16"/>
                <w:szCs w:val="16"/>
                <w:lang w:eastAsia="es-CR"/>
              </w:rPr>
              <w:t xml:space="preserve">Juzgado Penal de Talamanca </w:t>
            </w:r>
          </w:p>
        </w:tc>
        <w:tc>
          <w:tcPr>
            <w:tcW w:w="2405" w:type="dxa"/>
            <w:tcBorders>
              <w:top w:val="nil"/>
              <w:left w:val="nil"/>
              <w:bottom w:val="single" w:sz="4" w:space="0" w:color="808080"/>
              <w:right w:val="single" w:sz="4" w:space="0" w:color="808080"/>
            </w:tcBorders>
            <w:shd w:val="clear" w:color="auto" w:fill="auto"/>
            <w:noWrap/>
            <w:vAlign w:val="center"/>
            <w:hideMark/>
          </w:tcPr>
          <w:p w14:paraId="48A90ACB" w14:textId="77777777" w:rsidR="006472D2" w:rsidRPr="00187106" w:rsidRDefault="006472D2" w:rsidP="006472D2">
            <w:pPr>
              <w:jc w:val="center"/>
              <w:rPr>
                <w:rFonts w:ascii="Book Antiqua" w:hAnsi="Book Antiqua" w:cs="Calibri"/>
                <w:color w:val="000000"/>
                <w:sz w:val="16"/>
                <w:szCs w:val="16"/>
                <w:lang w:eastAsia="es-CR"/>
              </w:rPr>
            </w:pPr>
            <w:r w:rsidRPr="00187106">
              <w:rPr>
                <w:rFonts w:ascii="Book Antiqua" w:hAnsi="Book Antiqua" w:cs="Calibri"/>
                <w:color w:val="000000"/>
                <w:sz w:val="16"/>
                <w:szCs w:val="16"/>
                <w:lang w:eastAsia="es-CR"/>
              </w:rPr>
              <w:t>89%</w:t>
            </w:r>
          </w:p>
        </w:tc>
      </w:tr>
      <w:tr w:rsidR="006472D2" w:rsidRPr="00187106" w14:paraId="6D66468F" w14:textId="77777777" w:rsidTr="00187106">
        <w:trPr>
          <w:trHeight w:val="290"/>
          <w:jc w:val="center"/>
        </w:trPr>
        <w:tc>
          <w:tcPr>
            <w:tcW w:w="5387" w:type="dxa"/>
            <w:tcBorders>
              <w:top w:val="nil"/>
              <w:left w:val="single" w:sz="4" w:space="0" w:color="808080"/>
              <w:bottom w:val="single" w:sz="4" w:space="0" w:color="808080"/>
              <w:right w:val="single" w:sz="4" w:space="0" w:color="808080"/>
            </w:tcBorders>
            <w:shd w:val="clear" w:color="auto" w:fill="auto"/>
            <w:noWrap/>
            <w:vAlign w:val="center"/>
            <w:hideMark/>
          </w:tcPr>
          <w:p w14:paraId="33B5E85E" w14:textId="77777777" w:rsidR="006472D2" w:rsidRPr="00187106" w:rsidRDefault="006472D2" w:rsidP="006472D2">
            <w:pPr>
              <w:rPr>
                <w:rFonts w:ascii="Book Antiqua" w:hAnsi="Book Antiqua" w:cs="Calibri"/>
                <w:color w:val="000000"/>
                <w:sz w:val="16"/>
                <w:szCs w:val="16"/>
                <w:lang w:eastAsia="es-CR"/>
              </w:rPr>
            </w:pPr>
            <w:r w:rsidRPr="00187106">
              <w:rPr>
                <w:rFonts w:ascii="Book Antiqua" w:hAnsi="Book Antiqua" w:cs="Calibri"/>
                <w:color w:val="000000"/>
                <w:sz w:val="16"/>
                <w:szCs w:val="16"/>
                <w:lang w:eastAsia="es-CR"/>
              </w:rPr>
              <w:t>Juzgado Penal de Puntarenas</w:t>
            </w:r>
          </w:p>
        </w:tc>
        <w:tc>
          <w:tcPr>
            <w:tcW w:w="2405" w:type="dxa"/>
            <w:tcBorders>
              <w:top w:val="nil"/>
              <w:left w:val="nil"/>
              <w:bottom w:val="single" w:sz="4" w:space="0" w:color="808080"/>
              <w:right w:val="single" w:sz="4" w:space="0" w:color="808080"/>
            </w:tcBorders>
            <w:shd w:val="clear" w:color="auto" w:fill="auto"/>
            <w:noWrap/>
            <w:vAlign w:val="center"/>
            <w:hideMark/>
          </w:tcPr>
          <w:p w14:paraId="64A01C30" w14:textId="77777777" w:rsidR="006472D2" w:rsidRPr="00187106" w:rsidRDefault="006472D2" w:rsidP="006472D2">
            <w:pPr>
              <w:jc w:val="center"/>
              <w:rPr>
                <w:rFonts w:ascii="Book Antiqua" w:hAnsi="Book Antiqua" w:cs="Calibri"/>
                <w:color w:val="000000"/>
                <w:sz w:val="16"/>
                <w:szCs w:val="16"/>
                <w:lang w:eastAsia="es-CR"/>
              </w:rPr>
            </w:pPr>
            <w:r w:rsidRPr="00187106">
              <w:rPr>
                <w:rFonts w:ascii="Book Antiqua" w:hAnsi="Book Antiqua" w:cs="Calibri"/>
                <w:color w:val="000000"/>
                <w:sz w:val="16"/>
                <w:szCs w:val="16"/>
                <w:lang w:eastAsia="es-CR"/>
              </w:rPr>
              <w:t>86%</w:t>
            </w:r>
          </w:p>
        </w:tc>
      </w:tr>
      <w:tr w:rsidR="006472D2" w:rsidRPr="00187106" w14:paraId="58B67117" w14:textId="77777777" w:rsidTr="00187106">
        <w:trPr>
          <w:trHeight w:val="290"/>
          <w:jc w:val="center"/>
        </w:trPr>
        <w:tc>
          <w:tcPr>
            <w:tcW w:w="5387" w:type="dxa"/>
            <w:tcBorders>
              <w:top w:val="nil"/>
              <w:left w:val="single" w:sz="4" w:space="0" w:color="808080"/>
              <w:bottom w:val="single" w:sz="4" w:space="0" w:color="808080"/>
              <w:right w:val="single" w:sz="4" w:space="0" w:color="808080"/>
            </w:tcBorders>
            <w:shd w:val="clear" w:color="auto" w:fill="auto"/>
            <w:noWrap/>
            <w:vAlign w:val="center"/>
            <w:hideMark/>
          </w:tcPr>
          <w:p w14:paraId="07ADD616" w14:textId="77777777" w:rsidR="006472D2" w:rsidRPr="00187106" w:rsidRDefault="006472D2" w:rsidP="006472D2">
            <w:pPr>
              <w:rPr>
                <w:rFonts w:ascii="Book Antiqua" w:hAnsi="Book Antiqua" w:cs="Calibri"/>
                <w:color w:val="000000"/>
                <w:sz w:val="16"/>
                <w:szCs w:val="16"/>
                <w:lang w:eastAsia="es-CR"/>
              </w:rPr>
            </w:pPr>
            <w:r w:rsidRPr="00187106">
              <w:rPr>
                <w:rFonts w:ascii="Book Antiqua" w:hAnsi="Book Antiqua" w:cs="Calibri"/>
                <w:color w:val="000000"/>
                <w:sz w:val="16"/>
                <w:szCs w:val="16"/>
                <w:lang w:eastAsia="es-CR"/>
              </w:rPr>
              <w:t>Juzgado Penal del I Circuito Judicial de La Zona Atlántica</w:t>
            </w:r>
          </w:p>
        </w:tc>
        <w:tc>
          <w:tcPr>
            <w:tcW w:w="2405" w:type="dxa"/>
            <w:tcBorders>
              <w:top w:val="nil"/>
              <w:left w:val="nil"/>
              <w:bottom w:val="single" w:sz="4" w:space="0" w:color="808080"/>
              <w:right w:val="single" w:sz="4" w:space="0" w:color="808080"/>
            </w:tcBorders>
            <w:shd w:val="clear" w:color="auto" w:fill="auto"/>
            <w:noWrap/>
            <w:vAlign w:val="center"/>
            <w:hideMark/>
          </w:tcPr>
          <w:p w14:paraId="32FAC077" w14:textId="77777777" w:rsidR="006472D2" w:rsidRPr="00187106" w:rsidRDefault="006472D2" w:rsidP="006472D2">
            <w:pPr>
              <w:jc w:val="center"/>
              <w:rPr>
                <w:rFonts w:ascii="Book Antiqua" w:hAnsi="Book Antiqua" w:cs="Calibri"/>
                <w:color w:val="000000"/>
                <w:sz w:val="16"/>
                <w:szCs w:val="16"/>
                <w:lang w:eastAsia="es-CR"/>
              </w:rPr>
            </w:pPr>
            <w:r w:rsidRPr="00187106">
              <w:rPr>
                <w:rFonts w:ascii="Book Antiqua" w:hAnsi="Book Antiqua" w:cs="Calibri"/>
                <w:color w:val="000000"/>
                <w:sz w:val="16"/>
                <w:szCs w:val="16"/>
                <w:lang w:eastAsia="es-CR"/>
              </w:rPr>
              <w:t>84%</w:t>
            </w:r>
          </w:p>
        </w:tc>
      </w:tr>
      <w:tr w:rsidR="006472D2" w:rsidRPr="00187106" w14:paraId="5565EC6D" w14:textId="77777777" w:rsidTr="00187106">
        <w:trPr>
          <w:trHeight w:val="290"/>
          <w:jc w:val="center"/>
        </w:trPr>
        <w:tc>
          <w:tcPr>
            <w:tcW w:w="5387" w:type="dxa"/>
            <w:tcBorders>
              <w:top w:val="nil"/>
              <w:left w:val="single" w:sz="4" w:space="0" w:color="808080"/>
              <w:bottom w:val="single" w:sz="4" w:space="0" w:color="808080"/>
              <w:right w:val="single" w:sz="4" w:space="0" w:color="808080"/>
            </w:tcBorders>
            <w:shd w:val="clear" w:color="auto" w:fill="auto"/>
            <w:noWrap/>
            <w:vAlign w:val="center"/>
            <w:hideMark/>
          </w:tcPr>
          <w:p w14:paraId="6A1D73B8" w14:textId="77777777" w:rsidR="006472D2" w:rsidRPr="00187106" w:rsidRDefault="006472D2" w:rsidP="006472D2">
            <w:pPr>
              <w:rPr>
                <w:rFonts w:ascii="Book Antiqua" w:hAnsi="Book Antiqua" w:cs="Calibri"/>
                <w:color w:val="000000"/>
                <w:sz w:val="16"/>
                <w:szCs w:val="16"/>
                <w:lang w:eastAsia="es-CR"/>
              </w:rPr>
            </w:pPr>
            <w:r w:rsidRPr="00187106">
              <w:rPr>
                <w:rFonts w:ascii="Book Antiqua" w:hAnsi="Book Antiqua" w:cs="Calibri"/>
                <w:color w:val="000000"/>
                <w:sz w:val="16"/>
                <w:szCs w:val="16"/>
                <w:lang w:eastAsia="es-CR"/>
              </w:rPr>
              <w:t>Juzgado Penal del I Circuito Judicial de Alajuela</w:t>
            </w:r>
          </w:p>
        </w:tc>
        <w:tc>
          <w:tcPr>
            <w:tcW w:w="2405" w:type="dxa"/>
            <w:tcBorders>
              <w:top w:val="nil"/>
              <w:left w:val="nil"/>
              <w:bottom w:val="single" w:sz="4" w:space="0" w:color="808080"/>
              <w:right w:val="single" w:sz="4" w:space="0" w:color="808080"/>
            </w:tcBorders>
            <w:shd w:val="clear" w:color="auto" w:fill="auto"/>
            <w:noWrap/>
            <w:vAlign w:val="center"/>
            <w:hideMark/>
          </w:tcPr>
          <w:p w14:paraId="06ED370F" w14:textId="77777777" w:rsidR="006472D2" w:rsidRPr="00187106" w:rsidRDefault="006472D2" w:rsidP="006472D2">
            <w:pPr>
              <w:jc w:val="center"/>
              <w:rPr>
                <w:rFonts w:ascii="Book Antiqua" w:hAnsi="Book Antiqua" w:cs="Calibri"/>
                <w:color w:val="000000"/>
                <w:sz w:val="16"/>
                <w:szCs w:val="16"/>
                <w:lang w:eastAsia="es-CR"/>
              </w:rPr>
            </w:pPr>
            <w:r w:rsidRPr="00187106">
              <w:rPr>
                <w:rFonts w:ascii="Book Antiqua" w:hAnsi="Book Antiqua" w:cs="Calibri"/>
                <w:color w:val="000000"/>
                <w:sz w:val="16"/>
                <w:szCs w:val="16"/>
                <w:lang w:eastAsia="es-CR"/>
              </w:rPr>
              <w:t>80%</w:t>
            </w:r>
          </w:p>
        </w:tc>
      </w:tr>
      <w:tr w:rsidR="006472D2" w:rsidRPr="00187106" w14:paraId="176CC52D" w14:textId="77777777" w:rsidTr="00187106">
        <w:trPr>
          <w:trHeight w:val="290"/>
          <w:jc w:val="center"/>
        </w:trPr>
        <w:tc>
          <w:tcPr>
            <w:tcW w:w="5387" w:type="dxa"/>
            <w:tcBorders>
              <w:top w:val="nil"/>
              <w:left w:val="single" w:sz="4" w:space="0" w:color="808080"/>
              <w:bottom w:val="single" w:sz="4" w:space="0" w:color="808080"/>
              <w:right w:val="single" w:sz="4" w:space="0" w:color="808080"/>
            </w:tcBorders>
            <w:shd w:val="clear" w:color="auto" w:fill="auto"/>
            <w:noWrap/>
            <w:vAlign w:val="center"/>
            <w:hideMark/>
          </w:tcPr>
          <w:p w14:paraId="422BF15B" w14:textId="77777777" w:rsidR="006472D2" w:rsidRPr="00187106" w:rsidRDefault="006472D2" w:rsidP="006472D2">
            <w:pPr>
              <w:rPr>
                <w:rFonts w:ascii="Book Antiqua" w:hAnsi="Book Antiqua" w:cs="Calibri"/>
                <w:color w:val="000000"/>
                <w:sz w:val="16"/>
                <w:szCs w:val="16"/>
                <w:lang w:eastAsia="es-CR"/>
              </w:rPr>
            </w:pPr>
            <w:r w:rsidRPr="00187106">
              <w:rPr>
                <w:rFonts w:ascii="Book Antiqua" w:hAnsi="Book Antiqua" w:cs="Calibri"/>
                <w:color w:val="000000"/>
                <w:sz w:val="16"/>
                <w:szCs w:val="16"/>
                <w:lang w:eastAsia="es-CR"/>
              </w:rPr>
              <w:t xml:space="preserve">Juzgado Penal de Heredia </w:t>
            </w:r>
          </w:p>
        </w:tc>
        <w:tc>
          <w:tcPr>
            <w:tcW w:w="2405" w:type="dxa"/>
            <w:tcBorders>
              <w:top w:val="nil"/>
              <w:left w:val="nil"/>
              <w:bottom w:val="single" w:sz="4" w:space="0" w:color="808080"/>
              <w:right w:val="single" w:sz="4" w:space="0" w:color="808080"/>
            </w:tcBorders>
            <w:shd w:val="clear" w:color="auto" w:fill="auto"/>
            <w:noWrap/>
            <w:vAlign w:val="center"/>
            <w:hideMark/>
          </w:tcPr>
          <w:p w14:paraId="2AD70F25" w14:textId="77777777" w:rsidR="006472D2" w:rsidRPr="00187106" w:rsidRDefault="006472D2" w:rsidP="006472D2">
            <w:pPr>
              <w:jc w:val="center"/>
              <w:rPr>
                <w:rFonts w:ascii="Book Antiqua" w:hAnsi="Book Antiqua" w:cs="Calibri"/>
                <w:color w:val="000000"/>
                <w:sz w:val="16"/>
                <w:szCs w:val="16"/>
                <w:lang w:eastAsia="es-CR"/>
              </w:rPr>
            </w:pPr>
            <w:r w:rsidRPr="00187106">
              <w:rPr>
                <w:rFonts w:ascii="Book Antiqua" w:hAnsi="Book Antiqua" w:cs="Calibri"/>
                <w:color w:val="000000"/>
                <w:sz w:val="16"/>
                <w:szCs w:val="16"/>
                <w:lang w:eastAsia="es-CR"/>
              </w:rPr>
              <w:t>80%</w:t>
            </w:r>
          </w:p>
        </w:tc>
      </w:tr>
      <w:tr w:rsidR="006472D2" w:rsidRPr="00187106" w14:paraId="2E99D14D" w14:textId="77777777" w:rsidTr="00187106">
        <w:trPr>
          <w:trHeight w:val="290"/>
          <w:jc w:val="center"/>
        </w:trPr>
        <w:tc>
          <w:tcPr>
            <w:tcW w:w="5387" w:type="dxa"/>
            <w:tcBorders>
              <w:top w:val="nil"/>
              <w:left w:val="single" w:sz="4" w:space="0" w:color="808080"/>
              <w:bottom w:val="single" w:sz="4" w:space="0" w:color="808080"/>
              <w:right w:val="single" w:sz="4" w:space="0" w:color="808080"/>
            </w:tcBorders>
            <w:shd w:val="clear" w:color="auto" w:fill="auto"/>
            <w:noWrap/>
            <w:vAlign w:val="center"/>
            <w:hideMark/>
          </w:tcPr>
          <w:p w14:paraId="42D514CE" w14:textId="77777777" w:rsidR="006472D2" w:rsidRPr="00187106" w:rsidRDefault="006472D2" w:rsidP="006472D2">
            <w:pPr>
              <w:rPr>
                <w:rFonts w:ascii="Book Antiqua" w:hAnsi="Book Antiqua" w:cs="Calibri"/>
                <w:color w:val="000000"/>
                <w:sz w:val="16"/>
                <w:szCs w:val="16"/>
                <w:lang w:eastAsia="es-CR"/>
              </w:rPr>
            </w:pPr>
            <w:r w:rsidRPr="00187106">
              <w:rPr>
                <w:rFonts w:ascii="Book Antiqua" w:hAnsi="Book Antiqua" w:cs="Calibri"/>
                <w:color w:val="000000"/>
                <w:sz w:val="16"/>
                <w:szCs w:val="16"/>
                <w:lang w:eastAsia="es-CR"/>
              </w:rPr>
              <w:t xml:space="preserve">Juzgado Penal de Puriscal </w:t>
            </w:r>
          </w:p>
        </w:tc>
        <w:tc>
          <w:tcPr>
            <w:tcW w:w="2405" w:type="dxa"/>
            <w:tcBorders>
              <w:top w:val="nil"/>
              <w:left w:val="nil"/>
              <w:bottom w:val="single" w:sz="4" w:space="0" w:color="808080"/>
              <w:right w:val="single" w:sz="4" w:space="0" w:color="808080"/>
            </w:tcBorders>
            <w:shd w:val="clear" w:color="auto" w:fill="auto"/>
            <w:noWrap/>
            <w:vAlign w:val="center"/>
            <w:hideMark/>
          </w:tcPr>
          <w:p w14:paraId="038C0B4A" w14:textId="77777777" w:rsidR="006472D2" w:rsidRPr="00187106" w:rsidRDefault="006472D2" w:rsidP="006472D2">
            <w:pPr>
              <w:jc w:val="center"/>
              <w:rPr>
                <w:rFonts w:ascii="Book Antiqua" w:hAnsi="Book Antiqua" w:cs="Calibri"/>
                <w:color w:val="000000"/>
                <w:sz w:val="16"/>
                <w:szCs w:val="16"/>
                <w:lang w:eastAsia="es-CR"/>
              </w:rPr>
            </w:pPr>
            <w:r w:rsidRPr="00187106">
              <w:rPr>
                <w:rFonts w:ascii="Book Antiqua" w:hAnsi="Book Antiqua" w:cs="Calibri"/>
                <w:color w:val="000000"/>
                <w:sz w:val="16"/>
                <w:szCs w:val="16"/>
                <w:lang w:eastAsia="es-CR"/>
              </w:rPr>
              <w:t>79%</w:t>
            </w:r>
          </w:p>
        </w:tc>
      </w:tr>
      <w:tr w:rsidR="006472D2" w:rsidRPr="00187106" w14:paraId="08EB3FE5" w14:textId="77777777" w:rsidTr="00187106">
        <w:trPr>
          <w:trHeight w:val="290"/>
          <w:jc w:val="center"/>
        </w:trPr>
        <w:tc>
          <w:tcPr>
            <w:tcW w:w="5387" w:type="dxa"/>
            <w:tcBorders>
              <w:top w:val="nil"/>
              <w:left w:val="single" w:sz="4" w:space="0" w:color="808080"/>
              <w:bottom w:val="single" w:sz="4" w:space="0" w:color="808080"/>
              <w:right w:val="single" w:sz="4" w:space="0" w:color="808080"/>
            </w:tcBorders>
            <w:shd w:val="clear" w:color="auto" w:fill="auto"/>
            <w:noWrap/>
            <w:vAlign w:val="center"/>
            <w:hideMark/>
          </w:tcPr>
          <w:p w14:paraId="5DFF5262" w14:textId="0852B332" w:rsidR="006472D2" w:rsidRPr="00187106" w:rsidRDefault="006472D2" w:rsidP="006472D2">
            <w:pPr>
              <w:rPr>
                <w:rFonts w:ascii="Book Antiqua" w:hAnsi="Book Antiqua" w:cs="Calibri"/>
                <w:color w:val="000000"/>
                <w:sz w:val="16"/>
                <w:szCs w:val="16"/>
                <w:lang w:eastAsia="es-CR"/>
              </w:rPr>
            </w:pPr>
            <w:r w:rsidRPr="00187106">
              <w:rPr>
                <w:rFonts w:ascii="Book Antiqua" w:hAnsi="Book Antiqua" w:cs="Calibri"/>
                <w:color w:val="000000"/>
                <w:sz w:val="16"/>
                <w:szCs w:val="16"/>
                <w:lang w:eastAsia="es-CR"/>
              </w:rPr>
              <w:t xml:space="preserve">Juzgado Penal de Pococí Guácimo </w:t>
            </w:r>
          </w:p>
        </w:tc>
        <w:tc>
          <w:tcPr>
            <w:tcW w:w="2405" w:type="dxa"/>
            <w:tcBorders>
              <w:top w:val="nil"/>
              <w:left w:val="nil"/>
              <w:bottom w:val="single" w:sz="4" w:space="0" w:color="808080"/>
              <w:right w:val="single" w:sz="4" w:space="0" w:color="808080"/>
            </w:tcBorders>
            <w:shd w:val="clear" w:color="auto" w:fill="auto"/>
            <w:noWrap/>
            <w:vAlign w:val="center"/>
            <w:hideMark/>
          </w:tcPr>
          <w:p w14:paraId="27086A85" w14:textId="77777777" w:rsidR="006472D2" w:rsidRPr="00187106" w:rsidRDefault="006472D2" w:rsidP="006472D2">
            <w:pPr>
              <w:jc w:val="center"/>
              <w:rPr>
                <w:rFonts w:ascii="Book Antiqua" w:hAnsi="Book Antiqua" w:cs="Calibri"/>
                <w:color w:val="000000"/>
                <w:sz w:val="16"/>
                <w:szCs w:val="16"/>
                <w:lang w:eastAsia="es-CR"/>
              </w:rPr>
            </w:pPr>
            <w:r w:rsidRPr="00187106">
              <w:rPr>
                <w:rFonts w:ascii="Book Antiqua" w:hAnsi="Book Antiqua" w:cs="Calibri"/>
                <w:color w:val="000000"/>
                <w:sz w:val="16"/>
                <w:szCs w:val="16"/>
                <w:lang w:eastAsia="es-CR"/>
              </w:rPr>
              <w:t>79%</w:t>
            </w:r>
          </w:p>
        </w:tc>
      </w:tr>
      <w:tr w:rsidR="006472D2" w:rsidRPr="00187106" w14:paraId="0FD6029B" w14:textId="77777777" w:rsidTr="00187106">
        <w:trPr>
          <w:trHeight w:val="290"/>
          <w:jc w:val="center"/>
        </w:trPr>
        <w:tc>
          <w:tcPr>
            <w:tcW w:w="5387" w:type="dxa"/>
            <w:tcBorders>
              <w:top w:val="nil"/>
              <w:left w:val="single" w:sz="4" w:space="0" w:color="808080"/>
              <w:bottom w:val="single" w:sz="4" w:space="0" w:color="808080"/>
              <w:right w:val="single" w:sz="4" w:space="0" w:color="808080"/>
            </w:tcBorders>
            <w:shd w:val="clear" w:color="auto" w:fill="auto"/>
            <w:noWrap/>
            <w:vAlign w:val="center"/>
            <w:hideMark/>
          </w:tcPr>
          <w:p w14:paraId="43FEE3EC" w14:textId="514CB646" w:rsidR="006472D2" w:rsidRPr="00187106" w:rsidRDefault="006472D2" w:rsidP="006472D2">
            <w:pPr>
              <w:rPr>
                <w:rFonts w:ascii="Book Antiqua" w:hAnsi="Book Antiqua" w:cs="Calibri"/>
                <w:color w:val="000000"/>
                <w:sz w:val="16"/>
                <w:szCs w:val="16"/>
                <w:lang w:eastAsia="es-CR"/>
              </w:rPr>
            </w:pPr>
            <w:r w:rsidRPr="00187106">
              <w:rPr>
                <w:rFonts w:ascii="Book Antiqua" w:hAnsi="Book Antiqua" w:cs="Calibri"/>
                <w:color w:val="000000"/>
                <w:sz w:val="16"/>
                <w:szCs w:val="16"/>
                <w:lang w:eastAsia="es-CR"/>
              </w:rPr>
              <w:t xml:space="preserve">Juzgado Penal del </w:t>
            </w:r>
            <w:r w:rsidR="00187106" w:rsidRPr="00187106">
              <w:rPr>
                <w:rFonts w:ascii="Book Antiqua" w:hAnsi="Book Antiqua" w:cs="Calibri"/>
                <w:color w:val="000000"/>
                <w:sz w:val="16"/>
                <w:szCs w:val="16"/>
                <w:lang w:eastAsia="es-CR"/>
              </w:rPr>
              <w:t>II</w:t>
            </w:r>
            <w:r w:rsidRPr="00187106">
              <w:rPr>
                <w:rFonts w:ascii="Book Antiqua" w:hAnsi="Book Antiqua" w:cs="Calibri"/>
                <w:color w:val="000000"/>
                <w:sz w:val="16"/>
                <w:szCs w:val="16"/>
                <w:lang w:eastAsia="es-CR"/>
              </w:rPr>
              <w:t xml:space="preserve"> Circuito Judicial de Alajuela, Sede Los Chiles</w:t>
            </w:r>
          </w:p>
        </w:tc>
        <w:tc>
          <w:tcPr>
            <w:tcW w:w="2405" w:type="dxa"/>
            <w:tcBorders>
              <w:top w:val="nil"/>
              <w:left w:val="nil"/>
              <w:bottom w:val="single" w:sz="4" w:space="0" w:color="808080"/>
              <w:right w:val="single" w:sz="4" w:space="0" w:color="808080"/>
            </w:tcBorders>
            <w:shd w:val="clear" w:color="auto" w:fill="auto"/>
            <w:noWrap/>
            <w:vAlign w:val="center"/>
            <w:hideMark/>
          </w:tcPr>
          <w:p w14:paraId="247AA343" w14:textId="77777777" w:rsidR="006472D2" w:rsidRPr="00187106" w:rsidRDefault="006472D2" w:rsidP="006472D2">
            <w:pPr>
              <w:jc w:val="center"/>
              <w:rPr>
                <w:rFonts w:ascii="Book Antiqua" w:hAnsi="Book Antiqua" w:cs="Calibri"/>
                <w:color w:val="000000"/>
                <w:sz w:val="16"/>
                <w:szCs w:val="16"/>
                <w:lang w:eastAsia="es-CR"/>
              </w:rPr>
            </w:pPr>
            <w:r w:rsidRPr="00187106">
              <w:rPr>
                <w:rFonts w:ascii="Book Antiqua" w:hAnsi="Book Antiqua" w:cs="Calibri"/>
                <w:color w:val="000000"/>
                <w:sz w:val="16"/>
                <w:szCs w:val="16"/>
                <w:lang w:eastAsia="es-CR"/>
              </w:rPr>
              <w:t>78%</w:t>
            </w:r>
          </w:p>
        </w:tc>
      </w:tr>
      <w:tr w:rsidR="006472D2" w:rsidRPr="00187106" w14:paraId="3FBAF0FE" w14:textId="77777777" w:rsidTr="00187106">
        <w:trPr>
          <w:trHeight w:val="290"/>
          <w:jc w:val="center"/>
        </w:trPr>
        <w:tc>
          <w:tcPr>
            <w:tcW w:w="5387" w:type="dxa"/>
            <w:tcBorders>
              <w:top w:val="nil"/>
              <w:left w:val="single" w:sz="4" w:space="0" w:color="808080"/>
              <w:bottom w:val="single" w:sz="4" w:space="0" w:color="808080"/>
              <w:right w:val="single" w:sz="4" w:space="0" w:color="808080"/>
            </w:tcBorders>
            <w:shd w:val="clear" w:color="auto" w:fill="auto"/>
            <w:noWrap/>
            <w:vAlign w:val="center"/>
            <w:hideMark/>
          </w:tcPr>
          <w:p w14:paraId="202EAFCE" w14:textId="2EB51FF8" w:rsidR="006472D2" w:rsidRPr="00187106" w:rsidRDefault="006472D2" w:rsidP="006472D2">
            <w:pPr>
              <w:rPr>
                <w:rFonts w:ascii="Book Antiqua" w:hAnsi="Book Antiqua" w:cs="Calibri"/>
                <w:color w:val="000000"/>
                <w:sz w:val="16"/>
                <w:szCs w:val="16"/>
                <w:lang w:eastAsia="es-CR"/>
              </w:rPr>
            </w:pPr>
            <w:r w:rsidRPr="00187106">
              <w:rPr>
                <w:rFonts w:ascii="Book Antiqua" w:hAnsi="Book Antiqua" w:cs="Calibri"/>
                <w:color w:val="000000"/>
                <w:sz w:val="16"/>
                <w:szCs w:val="16"/>
                <w:lang w:eastAsia="es-CR"/>
              </w:rPr>
              <w:t xml:space="preserve">Juzgado Penal del </w:t>
            </w:r>
            <w:r w:rsidR="00187106" w:rsidRPr="00187106">
              <w:rPr>
                <w:rFonts w:ascii="Book Antiqua" w:hAnsi="Book Antiqua" w:cs="Calibri"/>
                <w:color w:val="000000"/>
                <w:sz w:val="16"/>
                <w:szCs w:val="16"/>
                <w:lang w:eastAsia="es-CR"/>
              </w:rPr>
              <w:t>III</w:t>
            </w:r>
            <w:r w:rsidRPr="00187106">
              <w:rPr>
                <w:rFonts w:ascii="Book Antiqua" w:hAnsi="Book Antiqua" w:cs="Calibri"/>
                <w:color w:val="000000"/>
                <w:sz w:val="16"/>
                <w:szCs w:val="16"/>
                <w:lang w:eastAsia="es-CR"/>
              </w:rPr>
              <w:t xml:space="preserve"> Circuito Judicial de San José</w:t>
            </w:r>
          </w:p>
        </w:tc>
        <w:tc>
          <w:tcPr>
            <w:tcW w:w="2405" w:type="dxa"/>
            <w:tcBorders>
              <w:top w:val="nil"/>
              <w:left w:val="nil"/>
              <w:bottom w:val="single" w:sz="4" w:space="0" w:color="808080"/>
              <w:right w:val="single" w:sz="4" w:space="0" w:color="808080"/>
            </w:tcBorders>
            <w:shd w:val="clear" w:color="auto" w:fill="auto"/>
            <w:noWrap/>
            <w:vAlign w:val="center"/>
            <w:hideMark/>
          </w:tcPr>
          <w:p w14:paraId="3A1B2DDB" w14:textId="77777777" w:rsidR="006472D2" w:rsidRPr="00187106" w:rsidRDefault="006472D2" w:rsidP="006472D2">
            <w:pPr>
              <w:jc w:val="center"/>
              <w:rPr>
                <w:rFonts w:ascii="Book Antiqua" w:hAnsi="Book Antiqua" w:cs="Calibri"/>
                <w:color w:val="000000"/>
                <w:sz w:val="16"/>
                <w:szCs w:val="16"/>
                <w:lang w:eastAsia="es-CR"/>
              </w:rPr>
            </w:pPr>
            <w:r w:rsidRPr="00187106">
              <w:rPr>
                <w:rFonts w:ascii="Book Antiqua" w:hAnsi="Book Antiqua" w:cs="Calibri"/>
                <w:color w:val="000000"/>
                <w:sz w:val="16"/>
                <w:szCs w:val="16"/>
                <w:lang w:eastAsia="es-CR"/>
              </w:rPr>
              <w:t>77%</w:t>
            </w:r>
          </w:p>
        </w:tc>
      </w:tr>
      <w:tr w:rsidR="006472D2" w:rsidRPr="00187106" w14:paraId="4220DD14" w14:textId="77777777" w:rsidTr="00187106">
        <w:trPr>
          <w:trHeight w:val="290"/>
          <w:jc w:val="center"/>
        </w:trPr>
        <w:tc>
          <w:tcPr>
            <w:tcW w:w="5387" w:type="dxa"/>
            <w:tcBorders>
              <w:top w:val="nil"/>
              <w:left w:val="single" w:sz="4" w:space="0" w:color="808080"/>
              <w:bottom w:val="single" w:sz="4" w:space="0" w:color="808080"/>
              <w:right w:val="single" w:sz="4" w:space="0" w:color="808080"/>
            </w:tcBorders>
            <w:shd w:val="clear" w:color="auto" w:fill="auto"/>
            <w:noWrap/>
            <w:vAlign w:val="center"/>
            <w:hideMark/>
          </w:tcPr>
          <w:p w14:paraId="01BC103A" w14:textId="77777777" w:rsidR="006472D2" w:rsidRPr="00187106" w:rsidRDefault="006472D2" w:rsidP="006472D2">
            <w:pPr>
              <w:rPr>
                <w:rFonts w:ascii="Book Antiqua" w:hAnsi="Book Antiqua" w:cs="Calibri"/>
                <w:color w:val="000000"/>
                <w:sz w:val="16"/>
                <w:szCs w:val="16"/>
                <w:lang w:eastAsia="es-CR"/>
              </w:rPr>
            </w:pPr>
            <w:r w:rsidRPr="00187106">
              <w:rPr>
                <w:rFonts w:ascii="Book Antiqua" w:hAnsi="Book Antiqua" w:cs="Calibri"/>
                <w:color w:val="000000"/>
                <w:sz w:val="16"/>
                <w:szCs w:val="16"/>
                <w:lang w:eastAsia="es-CR"/>
              </w:rPr>
              <w:t xml:space="preserve">Juzgado Penal de Osa </w:t>
            </w:r>
          </w:p>
        </w:tc>
        <w:tc>
          <w:tcPr>
            <w:tcW w:w="2405" w:type="dxa"/>
            <w:tcBorders>
              <w:top w:val="nil"/>
              <w:left w:val="nil"/>
              <w:bottom w:val="single" w:sz="4" w:space="0" w:color="808080"/>
              <w:right w:val="single" w:sz="4" w:space="0" w:color="808080"/>
            </w:tcBorders>
            <w:shd w:val="clear" w:color="auto" w:fill="auto"/>
            <w:noWrap/>
            <w:vAlign w:val="center"/>
            <w:hideMark/>
          </w:tcPr>
          <w:p w14:paraId="26C72D48" w14:textId="77777777" w:rsidR="006472D2" w:rsidRPr="00187106" w:rsidRDefault="006472D2" w:rsidP="006472D2">
            <w:pPr>
              <w:jc w:val="center"/>
              <w:rPr>
                <w:rFonts w:ascii="Book Antiqua" w:hAnsi="Book Antiqua" w:cs="Calibri"/>
                <w:color w:val="000000"/>
                <w:sz w:val="16"/>
                <w:szCs w:val="16"/>
                <w:lang w:eastAsia="es-CR"/>
              </w:rPr>
            </w:pPr>
            <w:r w:rsidRPr="00187106">
              <w:rPr>
                <w:rFonts w:ascii="Book Antiqua" w:hAnsi="Book Antiqua" w:cs="Calibri"/>
                <w:color w:val="000000"/>
                <w:sz w:val="16"/>
                <w:szCs w:val="16"/>
                <w:lang w:eastAsia="es-CR"/>
              </w:rPr>
              <w:t>75%</w:t>
            </w:r>
          </w:p>
        </w:tc>
      </w:tr>
      <w:tr w:rsidR="006472D2" w:rsidRPr="00187106" w14:paraId="2219EAA4" w14:textId="77777777" w:rsidTr="00187106">
        <w:trPr>
          <w:trHeight w:val="290"/>
          <w:jc w:val="center"/>
        </w:trPr>
        <w:tc>
          <w:tcPr>
            <w:tcW w:w="5387" w:type="dxa"/>
            <w:tcBorders>
              <w:top w:val="nil"/>
              <w:left w:val="single" w:sz="4" w:space="0" w:color="808080"/>
              <w:bottom w:val="single" w:sz="4" w:space="0" w:color="808080"/>
              <w:right w:val="single" w:sz="4" w:space="0" w:color="808080"/>
            </w:tcBorders>
            <w:shd w:val="clear" w:color="auto" w:fill="auto"/>
            <w:noWrap/>
            <w:vAlign w:val="center"/>
            <w:hideMark/>
          </w:tcPr>
          <w:p w14:paraId="01CE2269" w14:textId="69D29F70" w:rsidR="006472D2" w:rsidRPr="00187106" w:rsidRDefault="006472D2" w:rsidP="006472D2">
            <w:pPr>
              <w:rPr>
                <w:rFonts w:ascii="Book Antiqua" w:hAnsi="Book Antiqua" w:cs="Calibri"/>
                <w:color w:val="000000"/>
                <w:sz w:val="16"/>
                <w:szCs w:val="16"/>
                <w:lang w:eastAsia="es-CR"/>
              </w:rPr>
            </w:pPr>
            <w:r w:rsidRPr="00187106">
              <w:rPr>
                <w:rFonts w:ascii="Book Antiqua" w:hAnsi="Book Antiqua" w:cs="Calibri"/>
                <w:color w:val="000000"/>
                <w:sz w:val="16"/>
                <w:szCs w:val="16"/>
                <w:lang w:eastAsia="es-CR"/>
              </w:rPr>
              <w:t xml:space="preserve">Juzgado Penal del </w:t>
            </w:r>
            <w:r w:rsidR="00187106" w:rsidRPr="00187106">
              <w:rPr>
                <w:rFonts w:ascii="Book Antiqua" w:hAnsi="Book Antiqua" w:cs="Calibri"/>
                <w:color w:val="000000"/>
                <w:sz w:val="16"/>
                <w:szCs w:val="16"/>
                <w:lang w:eastAsia="es-CR"/>
              </w:rPr>
              <w:t>II</w:t>
            </w:r>
            <w:r w:rsidRPr="00187106">
              <w:rPr>
                <w:rFonts w:ascii="Book Antiqua" w:hAnsi="Book Antiqua" w:cs="Calibri"/>
                <w:color w:val="000000"/>
                <w:sz w:val="16"/>
                <w:szCs w:val="16"/>
                <w:lang w:eastAsia="es-CR"/>
              </w:rPr>
              <w:t xml:space="preserve"> Circuito Judicial de La Zona Sur </w:t>
            </w:r>
          </w:p>
        </w:tc>
        <w:tc>
          <w:tcPr>
            <w:tcW w:w="2405" w:type="dxa"/>
            <w:tcBorders>
              <w:top w:val="nil"/>
              <w:left w:val="nil"/>
              <w:bottom w:val="single" w:sz="4" w:space="0" w:color="808080"/>
              <w:right w:val="single" w:sz="4" w:space="0" w:color="808080"/>
            </w:tcBorders>
            <w:shd w:val="clear" w:color="auto" w:fill="auto"/>
            <w:noWrap/>
            <w:vAlign w:val="center"/>
            <w:hideMark/>
          </w:tcPr>
          <w:p w14:paraId="5C0AB6F6" w14:textId="77777777" w:rsidR="006472D2" w:rsidRPr="00187106" w:rsidRDefault="006472D2" w:rsidP="006472D2">
            <w:pPr>
              <w:jc w:val="center"/>
              <w:rPr>
                <w:rFonts w:ascii="Book Antiqua" w:hAnsi="Book Antiqua" w:cs="Calibri"/>
                <w:color w:val="000000"/>
                <w:sz w:val="16"/>
                <w:szCs w:val="16"/>
                <w:lang w:eastAsia="es-CR"/>
              </w:rPr>
            </w:pPr>
            <w:r w:rsidRPr="00187106">
              <w:rPr>
                <w:rFonts w:ascii="Book Antiqua" w:hAnsi="Book Antiqua" w:cs="Calibri"/>
                <w:color w:val="000000"/>
                <w:sz w:val="16"/>
                <w:szCs w:val="16"/>
                <w:lang w:eastAsia="es-CR"/>
              </w:rPr>
              <w:t>73%</w:t>
            </w:r>
          </w:p>
        </w:tc>
      </w:tr>
      <w:tr w:rsidR="006472D2" w:rsidRPr="00187106" w14:paraId="53A1640F" w14:textId="77777777" w:rsidTr="00187106">
        <w:trPr>
          <w:trHeight w:val="290"/>
          <w:jc w:val="center"/>
        </w:trPr>
        <w:tc>
          <w:tcPr>
            <w:tcW w:w="5387" w:type="dxa"/>
            <w:tcBorders>
              <w:top w:val="nil"/>
              <w:left w:val="single" w:sz="4" w:space="0" w:color="808080"/>
              <w:bottom w:val="single" w:sz="4" w:space="0" w:color="808080"/>
              <w:right w:val="single" w:sz="4" w:space="0" w:color="808080"/>
            </w:tcBorders>
            <w:shd w:val="clear" w:color="auto" w:fill="auto"/>
            <w:noWrap/>
            <w:vAlign w:val="center"/>
            <w:hideMark/>
          </w:tcPr>
          <w:p w14:paraId="574B55F1" w14:textId="77777777" w:rsidR="006472D2" w:rsidRPr="00187106" w:rsidRDefault="006472D2" w:rsidP="006472D2">
            <w:pPr>
              <w:rPr>
                <w:rFonts w:ascii="Book Antiqua" w:hAnsi="Book Antiqua" w:cs="Calibri"/>
                <w:color w:val="000000"/>
                <w:sz w:val="16"/>
                <w:szCs w:val="16"/>
                <w:lang w:eastAsia="es-CR"/>
              </w:rPr>
            </w:pPr>
            <w:r w:rsidRPr="00187106">
              <w:rPr>
                <w:rFonts w:ascii="Book Antiqua" w:hAnsi="Book Antiqua" w:cs="Calibri"/>
                <w:color w:val="000000"/>
                <w:sz w:val="16"/>
                <w:szCs w:val="16"/>
                <w:lang w:eastAsia="es-CR"/>
              </w:rPr>
              <w:t>Juzgado Penal de Pavas</w:t>
            </w:r>
          </w:p>
        </w:tc>
        <w:tc>
          <w:tcPr>
            <w:tcW w:w="2405" w:type="dxa"/>
            <w:tcBorders>
              <w:top w:val="nil"/>
              <w:left w:val="nil"/>
              <w:bottom w:val="single" w:sz="4" w:space="0" w:color="808080"/>
              <w:right w:val="single" w:sz="4" w:space="0" w:color="808080"/>
            </w:tcBorders>
            <w:shd w:val="clear" w:color="auto" w:fill="auto"/>
            <w:noWrap/>
            <w:vAlign w:val="center"/>
            <w:hideMark/>
          </w:tcPr>
          <w:p w14:paraId="002CD985" w14:textId="77777777" w:rsidR="006472D2" w:rsidRPr="00187106" w:rsidRDefault="006472D2" w:rsidP="006472D2">
            <w:pPr>
              <w:jc w:val="center"/>
              <w:rPr>
                <w:rFonts w:ascii="Book Antiqua" w:hAnsi="Book Antiqua" w:cs="Calibri"/>
                <w:color w:val="000000"/>
                <w:sz w:val="16"/>
                <w:szCs w:val="16"/>
                <w:lang w:eastAsia="es-CR"/>
              </w:rPr>
            </w:pPr>
            <w:r w:rsidRPr="00187106">
              <w:rPr>
                <w:rFonts w:ascii="Book Antiqua" w:hAnsi="Book Antiqua" w:cs="Calibri"/>
                <w:color w:val="000000"/>
                <w:sz w:val="16"/>
                <w:szCs w:val="16"/>
                <w:lang w:eastAsia="es-CR"/>
              </w:rPr>
              <w:t>71%</w:t>
            </w:r>
          </w:p>
        </w:tc>
      </w:tr>
      <w:tr w:rsidR="006472D2" w:rsidRPr="00187106" w14:paraId="5415BA1E" w14:textId="77777777" w:rsidTr="00187106">
        <w:trPr>
          <w:trHeight w:val="290"/>
          <w:jc w:val="center"/>
        </w:trPr>
        <w:tc>
          <w:tcPr>
            <w:tcW w:w="5387" w:type="dxa"/>
            <w:tcBorders>
              <w:top w:val="nil"/>
              <w:left w:val="single" w:sz="4" w:space="0" w:color="808080"/>
              <w:bottom w:val="single" w:sz="4" w:space="0" w:color="808080"/>
              <w:right w:val="single" w:sz="4" w:space="0" w:color="808080"/>
            </w:tcBorders>
            <w:shd w:val="clear" w:color="auto" w:fill="auto"/>
            <w:noWrap/>
            <w:vAlign w:val="center"/>
            <w:hideMark/>
          </w:tcPr>
          <w:p w14:paraId="71887BC0" w14:textId="175B7C8A" w:rsidR="006472D2" w:rsidRPr="00187106" w:rsidRDefault="006472D2" w:rsidP="006472D2">
            <w:pPr>
              <w:rPr>
                <w:rFonts w:ascii="Book Antiqua" w:hAnsi="Book Antiqua" w:cs="Calibri"/>
                <w:color w:val="000000"/>
                <w:sz w:val="16"/>
                <w:szCs w:val="16"/>
                <w:lang w:eastAsia="es-CR"/>
              </w:rPr>
            </w:pPr>
            <w:r w:rsidRPr="00187106">
              <w:rPr>
                <w:rFonts w:ascii="Book Antiqua" w:hAnsi="Book Antiqua" w:cs="Calibri"/>
                <w:color w:val="000000"/>
                <w:sz w:val="16"/>
                <w:szCs w:val="16"/>
                <w:lang w:eastAsia="es-CR"/>
              </w:rPr>
              <w:t xml:space="preserve">Juzgado Penal del </w:t>
            </w:r>
            <w:r w:rsidR="00187106" w:rsidRPr="00187106">
              <w:rPr>
                <w:rFonts w:ascii="Book Antiqua" w:hAnsi="Book Antiqua" w:cs="Calibri"/>
                <w:color w:val="000000"/>
                <w:sz w:val="16"/>
                <w:szCs w:val="16"/>
                <w:lang w:eastAsia="es-CR"/>
              </w:rPr>
              <w:t>II</w:t>
            </w:r>
            <w:r w:rsidRPr="00187106">
              <w:rPr>
                <w:rFonts w:ascii="Book Antiqua" w:hAnsi="Book Antiqua" w:cs="Calibri"/>
                <w:color w:val="000000"/>
                <w:sz w:val="16"/>
                <w:szCs w:val="16"/>
                <w:lang w:eastAsia="es-CR"/>
              </w:rPr>
              <w:t xml:space="preserve"> Circuito Judicial de San José </w:t>
            </w:r>
          </w:p>
        </w:tc>
        <w:tc>
          <w:tcPr>
            <w:tcW w:w="2405" w:type="dxa"/>
            <w:tcBorders>
              <w:top w:val="nil"/>
              <w:left w:val="nil"/>
              <w:bottom w:val="single" w:sz="4" w:space="0" w:color="808080"/>
              <w:right w:val="single" w:sz="4" w:space="0" w:color="808080"/>
            </w:tcBorders>
            <w:shd w:val="clear" w:color="auto" w:fill="auto"/>
            <w:noWrap/>
            <w:vAlign w:val="center"/>
            <w:hideMark/>
          </w:tcPr>
          <w:p w14:paraId="1C0056FC" w14:textId="77777777" w:rsidR="006472D2" w:rsidRPr="00187106" w:rsidRDefault="006472D2" w:rsidP="006472D2">
            <w:pPr>
              <w:jc w:val="center"/>
              <w:rPr>
                <w:rFonts w:ascii="Book Antiqua" w:hAnsi="Book Antiqua" w:cs="Calibri"/>
                <w:color w:val="000000"/>
                <w:sz w:val="16"/>
                <w:szCs w:val="16"/>
                <w:lang w:eastAsia="es-CR"/>
              </w:rPr>
            </w:pPr>
            <w:r w:rsidRPr="00187106">
              <w:rPr>
                <w:rFonts w:ascii="Book Antiqua" w:hAnsi="Book Antiqua" w:cs="Calibri"/>
                <w:color w:val="000000"/>
                <w:sz w:val="16"/>
                <w:szCs w:val="16"/>
                <w:lang w:eastAsia="es-CR"/>
              </w:rPr>
              <w:t>67%</w:t>
            </w:r>
          </w:p>
        </w:tc>
      </w:tr>
      <w:tr w:rsidR="006472D2" w:rsidRPr="00187106" w14:paraId="4C3DC281" w14:textId="77777777" w:rsidTr="00187106">
        <w:trPr>
          <w:trHeight w:val="290"/>
          <w:jc w:val="center"/>
        </w:trPr>
        <w:tc>
          <w:tcPr>
            <w:tcW w:w="5387" w:type="dxa"/>
            <w:tcBorders>
              <w:top w:val="nil"/>
              <w:left w:val="single" w:sz="4" w:space="0" w:color="808080"/>
              <w:bottom w:val="single" w:sz="4" w:space="0" w:color="808080"/>
              <w:right w:val="single" w:sz="4" w:space="0" w:color="808080"/>
            </w:tcBorders>
            <w:shd w:val="clear" w:color="auto" w:fill="auto"/>
            <w:noWrap/>
            <w:vAlign w:val="center"/>
            <w:hideMark/>
          </w:tcPr>
          <w:p w14:paraId="6091F00E" w14:textId="4F2A956E" w:rsidR="006472D2" w:rsidRPr="00187106" w:rsidRDefault="006472D2" w:rsidP="006472D2">
            <w:pPr>
              <w:rPr>
                <w:rFonts w:ascii="Book Antiqua" w:hAnsi="Book Antiqua" w:cs="Calibri"/>
                <w:color w:val="000000"/>
                <w:sz w:val="16"/>
                <w:szCs w:val="16"/>
                <w:lang w:eastAsia="es-CR"/>
              </w:rPr>
            </w:pPr>
            <w:r w:rsidRPr="00187106">
              <w:rPr>
                <w:rFonts w:ascii="Book Antiqua" w:hAnsi="Book Antiqua" w:cs="Calibri"/>
                <w:color w:val="000000"/>
                <w:sz w:val="16"/>
                <w:szCs w:val="16"/>
                <w:lang w:eastAsia="es-CR"/>
              </w:rPr>
              <w:t xml:space="preserve">Juzgado Penal </w:t>
            </w:r>
            <w:r w:rsidR="00187106" w:rsidRPr="00187106">
              <w:rPr>
                <w:rFonts w:ascii="Book Antiqua" w:hAnsi="Book Antiqua" w:cs="Calibri"/>
                <w:color w:val="000000"/>
                <w:sz w:val="16"/>
                <w:szCs w:val="16"/>
                <w:lang w:eastAsia="es-CR"/>
              </w:rPr>
              <w:t>III</w:t>
            </w:r>
            <w:r w:rsidRPr="00187106">
              <w:rPr>
                <w:rFonts w:ascii="Book Antiqua" w:hAnsi="Book Antiqua" w:cs="Calibri"/>
                <w:color w:val="000000"/>
                <w:sz w:val="16"/>
                <w:szCs w:val="16"/>
                <w:lang w:eastAsia="es-CR"/>
              </w:rPr>
              <w:t xml:space="preserve"> Circuito Judicial de Alajuela </w:t>
            </w:r>
          </w:p>
        </w:tc>
        <w:tc>
          <w:tcPr>
            <w:tcW w:w="2405" w:type="dxa"/>
            <w:tcBorders>
              <w:top w:val="nil"/>
              <w:left w:val="nil"/>
              <w:bottom w:val="single" w:sz="4" w:space="0" w:color="808080"/>
              <w:right w:val="single" w:sz="4" w:space="0" w:color="808080"/>
            </w:tcBorders>
            <w:shd w:val="clear" w:color="auto" w:fill="auto"/>
            <w:noWrap/>
            <w:vAlign w:val="center"/>
            <w:hideMark/>
          </w:tcPr>
          <w:p w14:paraId="59B33D26" w14:textId="77777777" w:rsidR="006472D2" w:rsidRPr="00187106" w:rsidRDefault="006472D2" w:rsidP="006472D2">
            <w:pPr>
              <w:jc w:val="center"/>
              <w:rPr>
                <w:rFonts w:ascii="Book Antiqua" w:hAnsi="Book Antiqua" w:cs="Calibri"/>
                <w:color w:val="000000"/>
                <w:sz w:val="16"/>
                <w:szCs w:val="16"/>
                <w:lang w:eastAsia="es-CR"/>
              </w:rPr>
            </w:pPr>
            <w:r w:rsidRPr="00187106">
              <w:rPr>
                <w:rFonts w:ascii="Book Antiqua" w:hAnsi="Book Antiqua" w:cs="Calibri"/>
                <w:color w:val="000000"/>
                <w:sz w:val="16"/>
                <w:szCs w:val="16"/>
                <w:lang w:eastAsia="es-CR"/>
              </w:rPr>
              <w:t>63%</w:t>
            </w:r>
          </w:p>
        </w:tc>
      </w:tr>
      <w:tr w:rsidR="006472D2" w:rsidRPr="00187106" w14:paraId="0AA7A07D" w14:textId="77777777" w:rsidTr="00187106">
        <w:trPr>
          <w:trHeight w:val="290"/>
          <w:jc w:val="center"/>
        </w:trPr>
        <w:tc>
          <w:tcPr>
            <w:tcW w:w="5387" w:type="dxa"/>
            <w:tcBorders>
              <w:top w:val="nil"/>
              <w:left w:val="single" w:sz="4" w:space="0" w:color="808080"/>
              <w:bottom w:val="single" w:sz="4" w:space="0" w:color="808080"/>
              <w:right w:val="single" w:sz="4" w:space="0" w:color="808080"/>
            </w:tcBorders>
            <w:shd w:val="clear" w:color="auto" w:fill="auto"/>
            <w:noWrap/>
            <w:vAlign w:val="center"/>
            <w:hideMark/>
          </w:tcPr>
          <w:p w14:paraId="785BB7AF" w14:textId="77777777" w:rsidR="006472D2" w:rsidRPr="00187106" w:rsidRDefault="006472D2" w:rsidP="006472D2">
            <w:pPr>
              <w:rPr>
                <w:rFonts w:ascii="Book Antiqua" w:hAnsi="Book Antiqua" w:cs="Calibri"/>
                <w:color w:val="000000"/>
                <w:sz w:val="16"/>
                <w:szCs w:val="16"/>
                <w:lang w:eastAsia="es-CR"/>
              </w:rPr>
            </w:pPr>
            <w:r w:rsidRPr="00187106">
              <w:rPr>
                <w:rFonts w:ascii="Book Antiqua" w:hAnsi="Book Antiqua" w:cs="Calibri"/>
                <w:color w:val="000000"/>
                <w:sz w:val="16"/>
                <w:szCs w:val="16"/>
                <w:lang w:eastAsia="es-CR"/>
              </w:rPr>
              <w:t>Juzgado Penal del I Circuito Judicial de San José</w:t>
            </w:r>
          </w:p>
        </w:tc>
        <w:tc>
          <w:tcPr>
            <w:tcW w:w="2405" w:type="dxa"/>
            <w:tcBorders>
              <w:top w:val="nil"/>
              <w:left w:val="nil"/>
              <w:bottom w:val="single" w:sz="4" w:space="0" w:color="808080"/>
              <w:right w:val="single" w:sz="4" w:space="0" w:color="808080"/>
            </w:tcBorders>
            <w:shd w:val="clear" w:color="auto" w:fill="auto"/>
            <w:noWrap/>
            <w:vAlign w:val="center"/>
            <w:hideMark/>
          </w:tcPr>
          <w:p w14:paraId="71A2B932" w14:textId="77777777" w:rsidR="006472D2" w:rsidRPr="00187106" w:rsidRDefault="006472D2" w:rsidP="006472D2">
            <w:pPr>
              <w:jc w:val="center"/>
              <w:rPr>
                <w:rFonts w:ascii="Book Antiqua" w:hAnsi="Book Antiqua" w:cs="Calibri"/>
                <w:color w:val="000000"/>
                <w:sz w:val="16"/>
                <w:szCs w:val="16"/>
                <w:lang w:eastAsia="es-CR"/>
              </w:rPr>
            </w:pPr>
            <w:r w:rsidRPr="00187106">
              <w:rPr>
                <w:rFonts w:ascii="Book Antiqua" w:hAnsi="Book Antiqua" w:cs="Calibri"/>
                <w:color w:val="000000"/>
                <w:sz w:val="16"/>
                <w:szCs w:val="16"/>
                <w:lang w:eastAsia="es-CR"/>
              </w:rPr>
              <w:t>54%</w:t>
            </w:r>
          </w:p>
        </w:tc>
      </w:tr>
      <w:tr w:rsidR="006472D2" w:rsidRPr="00187106" w14:paraId="7D36A33A" w14:textId="77777777" w:rsidTr="00187106">
        <w:trPr>
          <w:trHeight w:val="290"/>
          <w:jc w:val="center"/>
        </w:trPr>
        <w:tc>
          <w:tcPr>
            <w:tcW w:w="5387" w:type="dxa"/>
            <w:tcBorders>
              <w:top w:val="nil"/>
              <w:left w:val="single" w:sz="4" w:space="0" w:color="808080"/>
              <w:bottom w:val="single" w:sz="4" w:space="0" w:color="808080"/>
              <w:right w:val="single" w:sz="4" w:space="0" w:color="808080"/>
            </w:tcBorders>
            <w:shd w:val="clear" w:color="auto" w:fill="auto"/>
            <w:noWrap/>
            <w:vAlign w:val="center"/>
            <w:hideMark/>
          </w:tcPr>
          <w:p w14:paraId="5BC48F7C" w14:textId="77777777" w:rsidR="006472D2" w:rsidRPr="00187106" w:rsidRDefault="006472D2" w:rsidP="006472D2">
            <w:pPr>
              <w:rPr>
                <w:rFonts w:ascii="Book Antiqua" w:hAnsi="Book Antiqua" w:cs="Calibri"/>
                <w:color w:val="000000"/>
                <w:sz w:val="16"/>
                <w:szCs w:val="16"/>
                <w:lang w:eastAsia="es-CR"/>
              </w:rPr>
            </w:pPr>
            <w:r w:rsidRPr="00187106">
              <w:rPr>
                <w:rFonts w:ascii="Book Antiqua" w:hAnsi="Book Antiqua" w:cs="Calibri"/>
                <w:color w:val="000000"/>
                <w:sz w:val="16"/>
                <w:szCs w:val="16"/>
                <w:lang w:eastAsia="es-CR"/>
              </w:rPr>
              <w:t>Juzgado Penal de Batán</w:t>
            </w:r>
          </w:p>
        </w:tc>
        <w:tc>
          <w:tcPr>
            <w:tcW w:w="2405" w:type="dxa"/>
            <w:tcBorders>
              <w:top w:val="nil"/>
              <w:left w:val="nil"/>
              <w:bottom w:val="single" w:sz="4" w:space="0" w:color="808080"/>
              <w:right w:val="single" w:sz="4" w:space="0" w:color="808080"/>
            </w:tcBorders>
            <w:shd w:val="clear" w:color="auto" w:fill="auto"/>
            <w:noWrap/>
            <w:vAlign w:val="center"/>
            <w:hideMark/>
          </w:tcPr>
          <w:p w14:paraId="1EC16B1B" w14:textId="77777777" w:rsidR="006472D2" w:rsidRPr="00187106" w:rsidRDefault="006472D2" w:rsidP="006472D2">
            <w:pPr>
              <w:jc w:val="center"/>
              <w:rPr>
                <w:rFonts w:ascii="Book Antiqua" w:hAnsi="Book Antiqua" w:cs="Calibri"/>
                <w:color w:val="000000"/>
                <w:sz w:val="16"/>
                <w:szCs w:val="16"/>
                <w:lang w:eastAsia="es-CR"/>
              </w:rPr>
            </w:pPr>
            <w:r w:rsidRPr="00187106">
              <w:rPr>
                <w:rFonts w:ascii="Book Antiqua" w:hAnsi="Book Antiqua" w:cs="Calibri"/>
                <w:color w:val="000000"/>
                <w:sz w:val="16"/>
                <w:szCs w:val="16"/>
                <w:lang w:eastAsia="es-CR"/>
              </w:rPr>
              <w:t>43%</w:t>
            </w:r>
          </w:p>
        </w:tc>
      </w:tr>
      <w:tr w:rsidR="006472D2" w:rsidRPr="00187106" w14:paraId="2FBF0869" w14:textId="77777777" w:rsidTr="00187106">
        <w:trPr>
          <w:trHeight w:val="290"/>
          <w:jc w:val="center"/>
        </w:trPr>
        <w:tc>
          <w:tcPr>
            <w:tcW w:w="5387" w:type="dxa"/>
            <w:tcBorders>
              <w:top w:val="nil"/>
              <w:left w:val="single" w:sz="4" w:space="0" w:color="808080"/>
              <w:bottom w:val="single" w:sz="4" w:space="0" w:color="808080"/>
              <w:right w:val="single" w:sz="4" w:space="0" w:color="808080"/>
            </w:tcBorders>
            <w:shd w:val="clear" w:color="auto" w:fill="auto"/>
            <w:noWrap/>
            <w:vAlign w:val="center"/>
            <w:hideMark/>
          </w:tcPr>
          <w:p w14:paraId="3420DFA8" w14:textId="77777777" w:rsidR="006472D2" w:rsidRPr="00187106" w:rsidRDefault="006472D2" w:rsidP="006472D2">
            <w:pPr>
              <w:rPr>
                <w:rFonts w:ascii="Book Antiqua" w:hAnsi="Book Antiqua" w:cs="Calibri"/>
                <w:color w:val="000000"/>
                <w:sz w:val="16"/>
                <w:szCs w:val="16"/>
                <w:lang w:eastAsia="es-CR"/>
              </w:rPr>
            </w:pPr>
            <w:r w:rsidRPr="00187106">
              <w:rPr>
                <w:rFonts w:ascii="Book Antiqua" w:hAnsi="Book Antiqua" w:cs="Calibri"/>
                <w:color w:val="000000"/>
                <w:sz w:val="16"/>
                <w:szCs w:val="16"/>
                <w:lang w:eastAsia="es-CR"/>
              </w:rPr>
              <w:t>Juzgado Penal de Puntarenas, Sede Cóbano</w:t>
            </w:r>
          </w:p>
        </w:tc>
        <w:tc>
          <w:tcPr>
            <w:tcW w:w="2405" w:type="dxa"/>
            <w:tcBorders>
              <w:top w:val="nil"/>
              <w:left w:val="nil"/>
              <w:bottom w:val="single" w:sz="4" w:space="0" w:color="808080"/>
              <w:right w:val="single" w:sz="4" w:space="0" w:color="808080"/>
            </w:tcBorders>
            <w:shd w:val="clear" w:color="auto" w:fill="auto"/>
            <w:noWrap/>
            <w:vAlign w:val="center"/>
            <w:hideMark/>
          </w:tcPr>
          <w:p w14:paraId="6C3105F9" w14:textId="77777777" w:rsidR="006472D2" w:rsidRPr="00187106" w:rsidRDefault="006472D2" w:rsidP="006472D2">
            <w:pPr>
              <w:jc w:val="center"/>
              <w:rPr>
                <w:rFonts w:ascii="Book Antiqua" w:hAnsi="Book Antiqua" w:cs="Calibri"/>
                <w:color w:val="000000"/>
                <w:sz w:val="16"/>
                <w:szCs w:val="16"/>
                <w:lang w:eastAsia="es-CR"/>
              </w:rPr>
            </w:pPr>
            <w:r w:rsidRPr="00187106">
              <w:rPr>
                <w:rFonts w:ascii="Book Antiqua" w:hAnsi="Book Antiqua" w:cs="Calibri"/>
                <w:color w:val="000000"/>
                <w:sz w:val="16"/>
                <w:szCs w:val="16"/>
                <w:lang w:eastAsia="es-CR"/>
              </w:rPr>
              <w:t>40%</w:t>
            </w:r>
          </w:p>
        </w:tc>
      </w:tr>
      <w:tr w:rsidR="006472D2" w:rsidRPr="00187106" w14:paraId="46972B5A" w14:textId="77777777" w:rsidTr="00187106">
        <w:trPr>
          <w:trHeight w:val="290"/>
          <w:jc w:val="center"/>
        </w:trPr>
        <w:tc>
          <w:tcPr>
            <w:tcW w:w="5387" w:type="dxa"/>
            <w:tcBorders>
              <w:top w:val="nil"/>
              <w:left w:val="single" w:sz="4" w:space="0" w:color="808080"/>
              <w:bottom w:val="single" w:sz="4" w:space="0" w:color="808080"/>
              <w:right w:val="single" w:sz="4" w:space="0" w:color="808080"/>
            </w:tcBorders>
            <w:shd w:val="clear" w:color="auto" w:fill="auto"/>
            <w:noWrap/>
            <w:vAlign w:val="center"/>
            <w:hideMark/>
          </w:tcPr>
          <w:p w14:paraId="4EB26DCC" w14:textId="14FDCFD6" w:rsidR="006472D2" w:rsidRPr="00187106" w:rsidRDefault="006472D2" w:rsidP="006472D2">
            <w:pPr>
              <w:rPr>
                <w:rFonts w:ascii="Book Antiqua" w:hAnsi="Book Antiqua" w:cs="Calibri"/>
                <w:color w:val="000000"/>
                <w:sz w:val="16"/>
                <w:szCs w:val="16"/>
                <w:lang w:eastAsia="es-CR"/>
              </w:rPr>
            </w:pPr>
            <w:r w:rsidRPr="00187106">
              <w:rPr>
                <w:rFonts w:ascii="Book Antiqua" w:hAnsi="Book Antiqua" w:cs="Calibri"/>
                <w:color w:val="000000"/>
                <w:sz w:val="16"/>
                <w:szCs w:val="16"/>
                <w:lang w:eastAsia="es-CR"/>
              </w:rPr>
              <w:t xml:space="preserve">Juzgado Penal del </w:t>
            </w:r>
            <w:r w:rsidR="00187106" w:rsidRPr="00187106">
              <w:rPr>
                <w:rFonts w:ascii="Book Antiqua" w:hAnsi="Book Antiqua" w:cs="Calibri"/>
                <w:color w:val="000000"/>
                <w:sz w:val="16"/>
                <w:szCs w:val="16"/>
                <w:lang w:eastAsia="es-CR"/>
              </w:rPr>
              <w:t>II</w:t>
            </w:r>
            <w:r w:rsidRPr="00187106">
              <w:rPr>
                <w:rFonts w:ascii="Book Antiqua" w:hAnsi="Book Antiqua" w:cs="Calibri"/>
                <w:color w:val="000000"/>
                <w:sz w:val="16"/>
                <w:szCs w:val="16"/>
                <w:lang w:eastAsia="es-CR"/>
              </w:rPr>
              <w:t xml:space="preserve"> Circuito Judicial de Alajuela, Sede La Fortuna</w:t>
            </w:r>
          </w:p>
        </w:tc>
        <w:tc>
          <w:tcPr>
            <w:tcW w:w="2405" w:type="dxa"/>
            <w:tcBorders>
              <w:top w:val="nil"/>
              <w:left w:val="nil"/>
              <w:bottom w:val="single" w:sz="4" w:space="0" w:color="808080"/>
              <w:right w:val="single" w:sz="4" w:space="0" w:color="808080"/>
            </w:tcBorders>
            <w:shd w:val="clear" w:color="auto" w:fill="auto"/>
            <w:noWrap/>
            <w:vAlign w:val="center"/>
            <w:hideMark/>
          </w:tcPr>
          <w:p w14:paraId="2E2B1A28" w14:textId="77777777" w:rsidR="006472D2" w:rsidRPr="00187106" w:rsidRDefault="006472D2" w:rsidP="006472D2">
            <w:pPr>
              <w:jc w:val="center"/>
              <w:rPr>
                <w:rFonts w:ascii="Book Antiqua" w:hAnsi="Book Antiqua" w:cs="Calibri"/>
                <w:color w:val="000000"/>
                <w:sz w:val="16"/>
                <w:szCs w:val="16"/>
                <w:lang w:eastAsia="es-CR"/>
              </w:rPr>
            </w:pPr>
            <w:r w:rsidRPr="00187106">
              <w:rPr>
                <w:rFonts w:ascii="Book Antiqua" w:hAnsi="Book Antiqua" w:cs="Calibri"/>
                <w:color w:val="000000"/>
                <w:sz w:val="16"/>
                <w:szCs w:val="16"/>
                <w:lang w:eastAsia="es-CR"/>
              </w:rPr>
              <w:t>33%</w:t>
            </w:r>
          </w:p>
        </w:tc>
      </w:tr>
      <w:tr w:rsidR="006472D2" w:rsidRPr="00187106" w14:paraId="541F3382" w14:textId="77777777" w:rsidTr="00187106">
        <w:trPr>
          <w:trHeight w:val="290"/>
          <w:jc w:val="center"/>
        </w:trPr>
        <w:tc>
          <w:tcPr>
            <w:tcW w:w="5387" w:type="dxa"/>
            <w:tcBorders>
              <w:top w:val="nil"/>
              <w:left w:val="single" w:sz="4" w:space="0" w:color="808080"/>
              <w:bottom w:val="single" w:sz="4" w:space="0" w:color="808080"/>
              <w:right w:val="single" w:sz="4" w:space="0" w:color="808080"/>
            </w:tcBorders>
            <w:shd w:val="clear" w:color="auto" w:fill="auto"/>
            <w:noWrap/>
            <w:vAlign w:val="center"/>
            <w:hideMark/>
          </w:tcPr>
          <w:p w14:paraId="3066E5BA" w14:textId="77777777" w:rsidR="006472D2" w:rsidRPr="00187106" w:rsidRDefault="006472D2" w:rsidP="006472D2">
            <w:pPr>
              <w:rPr>
                <w:rFonts w:ascii="Book Antiqua" w:hAnsi="Book Antiqua" w:cs="Calibri"/>
                <w:color w:val="000000"/>
                <w:sz w:val="16"/>
                <w:szCs w:val="16"/>
                <w:lang w:eastAsia="es-CR"/>
              </w:rPr>
            </w:pPr>
            <w:r w:rsidRPr="00187106">
              <w:rPr>
                <w:rFonts w:ascii="Book Antiqua" w:hAnsi="Book Antiqua" w:cs="Calibri"/>
                <w:color w:val="000000"/>
                <w:sz w:val="16"/>
                <w:szCs w:val="16"/>
                <w:lang w:eastAsia="es-CR"/>
              </w:rPr>
              <w:t xml:space="preserve">Juzgado Penal de Golfito </w:t>
            </w:r>
          </w:p>
        </w:tc>
        <w:tc>
          <w:tcPr>
            <w:tcW w:w="2405" w:type="dxa"/>
            <w:tcBorders>
              <w:top w:val="nil"/>
              <w:left w:val="nil"/>
              <w:bottom w:val="single" w:sz="4" w:space="0" w:color="808080"/>
              <w:right w:val="single" w:sz="4" w:space="0" w:color="808080"/>
            </w:tcBorders>
            <w:shd w:val="clear" w:color="auto" w:fill="auto"/>
            <w:noWrap/>
            <w:vAlign w:val="center"/>
            <w:hideMark/>
          </w:tcPr>
          <w:p w14:paraId="7687D5BA" w14:textId="77777777" w:rsidR="006472D2" w:rsidRPr="00187106" w:rsidRDefault="006472D2" w:rsidP="006472D2">
            <w:pPr>
              <w:jc w:val="center"/>
              <w:rPr>
                <w:rFonts w:ascii="Book Antiqua" w:hAnsi="Book Antiqua" w:cs="Calibri"/>
                <w:color w:val="000000"/>
                <w:sz w:val="16"/>
                <w:szCs w:val="16"/>
                <w:lang w:eastAsia="es-CR"/>
              </w:rPr>
            </w:pPr>
            <w:r w:rsidRPr="00187106">
              <w:rPr>
                <w:rFonts w:ascii="Book Antiqua" w:hAnsi="Book Antiqua" w:cs="Calibri"/>
                <w:color w:val="000000"/>
                <w:sz w:val="16"/>
                <w:szCs w:val="16"/>
                <w:lang w:eastAsia="es-CR"/>
              </w:rPr>
              <w:t>31%</w:t>
            </w:r>
          </w:p>
        </w:tc>
      </w:tr>
      <w:tr w:rsidR="006472D2" w:rsidRPr="00187106" w14:paraId="255F8F5C" w14:textId="77777777" w:rsidTr="00187106">
        <w:trPr>
          <w:trHeight w:val="290"/>
          <w:jc w:val="center"/>
        </w:trPr>
        <w:tc>
          <w:tcPr>
            <w:tcW w:w="5387" w:type="dxa"/>
            <w:tcBorders>
              <w:top w:val="nil"/>
              <w:left w:val="single" w:sz="4" w:space="0" w:color="808080"/>
              <w:bottom w:val="single" w:sz="4" w:space="0" w:color="808080"/>
              <w:right w:val="single" w:sz="4" w:space="0" w:color="808080"/>
            </w:tcBorders>
            <w:shd w:val="clear" w:color="auto" w:fill="auto"/>
            <w:noWrap/>
            <w:vAlign w:val="center"/>
            <w:hideMark/>
          </w:tcPr>
          <w:p w14:paraId="4C07F4A4" w14:textId="77777777" w:rsidR="006472D2" w:rsidRPr="00187106" w:rsidRDefault="006472D2" w:rsidP="006472D2">
            <w:pPr>
              <w:rPr>
                <w:rFonts w:ascii="Book Antiqua" w:hAnsi="Book Antiqua" w:cs="Calibri"/>
                <w:color w:val="000000"/>
                <w:sz w:val="16"/>
                <w:szCs w:val="16"/>
                <w:lang w:eastAsia="es-CR"/>
              </w:rPr>
            </w:pPr>
            <w:r w:rsidRPr="00187106">
              <w:rPr>
                <w:rFonts w:ascii="Book Antiqua" w:hAnsi="Book Antiqua" w:cs="Calibri"/>
                <w:color w:val="000000"/>
                <w:sz w:val="16"/>
                <w:szCs w:val="16"/>
                <w:lang w:eastAsia="es-CR"/>
              </w:rPr>
              <w:t xml:space="preserve">Juzgado Penal de Buenos Aires </w:t>
            </w:r>
          </w:p>
        </w:tc>
        <w:tc>
          <w:tcPr>
            <w:tcW w:w="2405" w:type="dxa"/>
            <w:tcBorders>
              <w:top w:val="nil"/>
              <w:left w:val="nil"/>
              <w:bottom w:val="single" w:sz="4" w:space="0" w:color="808080"/>
              <w:right w:val="single" w:sz="4" w:space="0" w:color="808080"/>
            </w:tcBorders>
            <w:shd w:val="clear" w:color="auto" w:fill="auto"/>
            <w:noWrap/>
            <w:vAlign w:val="center"/>
            <w:hideMark/>
          </w:tcPr>
          <w:p w14:paraId="68411F6D" w14:textId="77777777" w:rsidR="006472D2" w:rsidRPr="00187106" w:rsidRDefault="006472D2" w:rsidP="006472D2">
            <w:pPr>
              <w:jc w:val="center"/>
              <w:rPr>
                <w:rFonts w:ascii="Book Antiqua" w:hAnsi="Book Antiqua" w:cs="Calibri"/>
                <w:color w:val="000000"/>
                <w:sz w:val="16"/>
                <w:szCs w:val="16"/>
                <w:lang w:eastAsia="es-CR"/>
              </w:rPr>
            </w:pPr>
            <w:r w:rsidRPr="00187106">
              <w:rPr>
                <w:rFonts w:ascii="Book Antiqua" w:hAnsi="Book Antiqua" w:cs="Calibri"/>
                <w:color w:val="000000"/>
                <w:sz w:val="16"/>
                <w:szCs w:val="16"/>
                <w:lang w:eastAsia="es-CR"/>
              </w:rPr>
              <w:t>23%</w:t>
            </w:r>
          </w:p>
        </w:tc>
      </w:tr>
      <w:tr w:rsidR="006472D2" w:rsidRPr="00187106" w14:paraId="2DD2E60F" w14:textId="77777777" w:rsidTr="00187106">
        <w:trPr>
          <w:trHeight w:val="290"/>
          <w:jc w:val="center"/>
        </w:trPr>
        <w:tc>
          <w:tcPr>
            <w:tcW w:w="5387" w:type="dxa"/>
            <w:tcBorders>
              <w:top w:val="nil"/>
              <w:left w:val="single" w:sz="4" w:space="0" w:color="808080"/>
              <w:bottom w:val="single" w:sz="4" w:space="0" w:color="808080"/>
              <w:right w:val="single" w:sz="4" w:space="0" w:color="808080"/>
            </w:tcBorders>
            <w:shd w:val="clear" w:color="auto" w:fill="auto"/>
            <w:noWrap/>
            <w:vAlign w:val="center"/>
            <w:hideMark/>
          </w:tcPr>
          <w:p w14:paraId="5E0B9270" w14:textId="77777777" w:rsidR="006472D2" w:rsidRPr="00187106" w:rsidRDefault="006472D2" w:rsidP="006472D2">
            <w:pPr>
              <w:rPr>
                <w:rFonts w:ascii="Book Antiqua" w:hAnsi="Book Antiqua" w:cs="Calibri"/>
                <w:b/>
                <w:bCs/>
                <w:color w:val="000000"/>
                <w:sz w:val="16"/>
                <w:szCs w:val="16"/>
                <w:lang w:eastAsia="es-CR"/>
              </w:rPr>
            </w:pPr>
            <w:r w:rsidRPr="00187106">
              <w:rPr>
                <w:rFonts w:ascii="Book Antiqua" w:hAnsi="Book Antiqua" w:cs="Calibri"/>
                <w:b/>
                <w:bCs/>
                <w:color w:val="000000"/>
                <w:sz w:val="16"/>
                <w:szCs w:val="16"/>
                <w:lang w:eastAsia="es-CR"/>
              </w:rPr>
              <w:t>Promedio Global</w:t>
            </w:r>
          </w:p>
        </w:tc>
        <w:tc>
          <w:tcPr>
            <w:tcW w:w="2405" w:type="dxa"/>
            <w:tcBorders>
              <w:top w:val="nil"/>
              <w:left w:val="nil"/>
              <w:bottom w:val="single" w:sz="4" w:space="0" w:color="808080"/>
              <w:right w:val="single" w:sz="4" w:space="0" w:color="808080"/>
            </w:tcBorders>
            <w:shd w:val="clear" w:color="auto" w:fill="auto"/>
            <w:noWrap/>
            <w:vAlign w:val="center"/>
            <w:hideMark/>
          </w:tcPr>
          <w:p w14:paraId="7CFDC09B" w14:textId="77777777" w:rsidR="006472D2" w:rsidRPr="00187106" w:rsidRDefault="006472D2" w:rsidP="006472D2">
            <w:pPr>
              <w:jc w:val="center"/>
              <w:rPr>
                <w:rFonts w:ascii="Book Antiqua" w:hAnsi="Book Antiqua" w:cs="Calibri"/>
                <w:b/>
                <w:bCs/>
                <w:color w:val="000000"/>
                <w:sz w:val="16"/>
                <w:szCs w:val="16"/>
                <w:lang w:eastAsia="es-CR"/>
              </w:rPr>
            </w:pPr>
            <w:r w:rsidRPr="00187106">
              <w:rPr>
                <w:rFonts w:ascii="Book Antiqua" w:hAnsi="Book Antiqua" w:cs="Calibri"/>
                <w:b/>
                <w:bCs/>
                <w:color w:val="000000"/>
                <w:sz w:val="16"/>
                <w:szCs w:val="16"/>
                <w:lang w:eastAsia="es-CR"/>
              </w:rPr>
              <w:t>100%</w:t>
            </w:r>
          </w:p>
        </w:tc>
      </w:tr>
    </w:tbl>
    <w:p w14:paraId="6749F30C" w14:textId="77777777" w:rsidR="00677475" w:rsidRDefault="00677475" w:rsidP="00A5424E">
      <w:pPr>
        <w:spacing w:line="276" w:lineRule="auto"/>
        <w:jc w:val="center"/>
        <w:rPr>
          <w:rFonts w:ascii="Book Antiqua" w:hAnsi="Book Antiqua"/>
          <w:b/>
          <w:bCs/>
          <w:color w:val="000000" w:themeColor="text1"/>
          <w:sz w:val="20"/>
          <w:szCs w:val="20"/>
        </w:rPr>
      </w:pPr>
      <w:r w:rsidRPr="00677475">
        <w:rPr>
          <w:rFonts w:ascii="Book Antiqua" w:hAnsi="Book Antiqua"/>
          <w:b/>
          <w:bCs/>
          <w:color w:val="000000" w:themeColor="text1"/>
          <w:sz w:val="20"/>
          <w:szCs w:val="20"/>
        </w:rPr>
        <w:t xml:space="preserve">Fuente: </w:t>
      </w:r>
      <w:r w:rsidRPr="00677475">
        <w:rPr>
          <w:rFonts w:ascii="Book Antiqua" w:hAnsi="Book Antiqua"/>
          <w:color w:val="000000" w:themeColor="text1"/>
          <w:sz w:val="20"/>
          <w:szCs w:val="20"/>
        </w:rPr>
        <w:t>Matriz de indicadores de Gestión</w:t>
      </w:r>
    </w:p>
    <w:p w14:paraId="488292F8" w14:textId="77777777" w:rsidR="00724163" w:rsidRDefault="00724163" w:rsidP="00985591">
      <w:pPr>
        <w:spacing w:line="276" w:lineRule="auto"/>
        <w:jc w:val="both"/>
        <w:rPr>
          <w:rFonts w:ascii="Book Antiqua" w:hAnsi="Book Antiqua"/>
          <w:color w:val="000000" w:themeColor="text1"/>
        </w:rPr>
      </w:pPr>
    </w:p>
    <w:p w14:paraId="5A39F1A9" w14:textId="088D03DC" w:rsidR="00D8111F" w:rsidRDefault="00D8111F" w:rsidP="00985591">
      <w:pPr>
        <w:spacing w:line="276" w:lineRule="auto"/>
        <w:jc w:val="both"/>
        <w:rPr>
          <w:rFonts w:ascii="Book Antiqua" w:hAnsi="Book Antiqua"/>
          <w:lang w:eastAsia="es-CR"/>
        </w:rPr>
      </w:pPr>
      <w:r w:rsidRPr="004E0DD1">
        <w:rPr>
          <w:rFonts w:ascii="Book Antiqua" w:hAnsi="Book Antiqua"/>
          <w:lang w:eastAsia="es-CR"/>
        </w:rPr>
        <w:t xml:space="preserve">A pesar de </w:t>
      </w:r>
      <w:r>
        <w:rPr>
          <w:rFonts w:ascii="Book Antiqua" w:hAnsi="Book Antiqua"/>
          <w:lang w:eastAsia="es-CR"/>
        </w:rPr>
        <w:t>tener un promedio global del</w:t>
      </w:r>
      <w:r w:rsidRPr="004E0DD1">
        <w:rPr>
          <w:rFonts w:ascii="Book Antiqua" w:hAnsi="Book Antiqua"/>
          <w:lang w:eastAsia="es-CR"/>
        </w:rPr>
        <w:t xml:space="preserve"> </w:t>
      </w:r>
      <w:r>
        <w:rPr>
          <w:rFonts w:ascii="Book Antiqua" w:hAnsi="Book Antiqua"/>
          <w:lang w:eastAsia="es-CR"/>
        </w:rPr>
        <w:t>100</w:t>
      </w:r>
      <w:r w:rsidRPr="004E0DD1">
        <w:rPr>
          <w:rFonts w:ascii="Book Antiqua" w:hAnsi="Book Antiqua"/>
          <w:lang w:eastAsia="es-CR"/>
        </w:rPr>
        <w:t xml:space="preserve">% en la producción de los Juzgados Penales, aun así, hay despachos que se mantienen por debajo del 80% mínimo esperado, tales como </w:t>
      </w:r>
      <w:r>
        <w:rPr>
          <w:rFonts w:ascii="Book Antiqua" w:hAnsi="Book Antiqua"/>
          <w:lang w:eastAsia="es-CR"/>
        </w:rPr>
        <w:t>Puriscal, Pococí, Los Chiles, Desamparados, Osa, Corredores, Pavas, Goicoechea, San Ramón, San José, Batán, C</w:t>
      </w:r>
      <w:r w:rsidR="00E56E7A">
        <w:rPr>
          <w:rFonts w:ascii="Book Antiqua" w:hAnsi="Book Antiqua"/>
          <w:lang w:eastAsia="es-CR"/>
        </w:rPr>
        <w:t>ó</w:t>
      </w:r>
      <w:r>
        <w:rPr>
          <w:rFonts w:ascii="Book Antiqua" w:hAnsi="Book Antiqua"/>
          <w:lang w:eastAsia="es-CR"/>
        </w:rPr>
        <w:t>bano, la Fortuna, Golfito, y Buenos Aires</w:t>
      </w:r>
      <w:r w:rsidRPr="004E0DD1">
        <w:rPr>
          <w:rFonts w:ascii="Book Antiqua" w:hAnsi="Book Antiqua"/>
          <w:lang w:eastAsia="es-CR"/>
        </w:rPr>
        <w:t>.</w:t>
      </w:r>
    </w:p>
    <w:p w14:paraId="7BF8D607" w14:textId="77777777" w:rsidR="00D8111F" w:rsidRDefault="00D8111F" w:rsidP="00985591">
      <w:pPr>
        <w:spacing w:line="276" w:lineRule="auto"/>
        <w:jc w:val="both"/>
        <w:rPr>
          <w:rFonts w:ascii="Book Antiqua" w:hAnsi="Book Antiqua"/>
          <w:lang w:eastAsia="es-CR"/>
        </w:rPr>
      </w:pPr>
    </w:p>
    <w:p w14:paraId="1437D17E" w14:textId="51768F8E" w:rsidR="00D8111F" w:rsidRDefault="00D8111F" w:rsidP="00985591">
      <w:pPr>
        <w:spacing w:line="276" w:lineRule="auto"/>
        <w:jc w:val="both"/>
        <w:rPr>
          <w:rFonts w:ascii="Book Antiqua" w:hAnsi="Book Antiqua"/>
          <w:lang w:eastAsia="es-CR"/>
        </w:rPr>
      </w:pPr>
      <w:r>
        <w:rPr>
          <w:rFonts w:ascii="Book Antiqua" w:hAnsi="Book Antiqua"/>
          <w:lang w:eastAsia="es-CR"/>
        </w:rPr>
        <w:t>Es importante mencionar que el Juzgado de Pococí se encuentra en seguimiento por parte del Proyecto Penal con la elaboración de planes de trabajo para mejorar el rendimiento. En el caso de C</w:t>
      </w:r>
      <w:r w:rsidR="00E56E7A">
        <w:rPr>
          <w:rFonts w:ascii="Book Antiqua" w:hAnsi="Book Antiqua"/>
          <w:lang w:eastAsia="es-CR"/>
        </w:rPr>
        <w:t>ó</w:t>
      </w:r>
      <w:r>
        <w:rPr>
          <w:rFonts w:ascii="Book Antiqua" w:hAnsi="Book Antiqua"/>
          <w:lang w:eastAsia="es-CR"/>
        </w:rPr>
        <w:t>bano, es un despacho que tiene una entrada baja lo que dificulta el cumplimiento del parámetro.</w:t>
      </w:r>
    </w:p>
    <w:p w14:paraId="3C6C877F" w14:textId="77777777" w:rsidR="00D8111F" w:rsidRDefault="00D8111F" w:rsidP="00985591">
      <w:pPr>
        <w:spacing w:line="276" w:lineRule="auto"/>
        <w:jc w:val="both"/>
        <w:rPr>
          <w:rFonts w:ascii="Book Antiqua" w:hAnsi="Book Antiqua"/>
          <w:lang w:eastAsia="es-CR"/>
        </w:rPr>
      </w:pPr>
    </w:p>
    <w:p w14:paraId="2A96D9DF" w14:textId="77777777" w:rsidR="00D8111F" w:rsidRDefault="00D8111F" w:rsidP="00985591">
      <w:pPr>
        <w:spacing w:line="276" w:lineRule="auto"/>
        <w:jc w:val="both"/>
        <w:rPr>
          <w:rFonts w:ascii="Book Antiqua" w:hAnsi="Book Antiqua"/>
          <w:lang w:eastAsia="es-CR"/>
        </w:rPr>
      </w:pPr>
      <w:r>
        <w:rPr>
          <w:rFonts w:ascii="Book Antiqua" w:hAnsi="Book Antiqua"/>
          <w:lang w:eastAsia="es-CR"/>
        </w:rPr>
        <w:t>Los juzgados de Pavas y Goicoechea se encuentran en proceso de abordaje por parte del Proyecto de Mejora Integral del Proceso Penal de la Dirección de Planificación.</w:t>
      </w:r>
    </w:p>
    <w:p w14:paraId="78310578" w14:textId="77777777" w:rsidR="00D8111F" w:rsidRDefault="00D8111F" w:rsidP="00985591">
      <w:pPr>
        <w:spacing w:line="276" w:lineRule="auto"/>
        <w:jc w:val="both"/>
        <w:rPr>
          <w:rFonts w:ascii="Book Antiqua" w:hAnsi="Book Antiqua"/>
          <w:lang w:eastAsia="es-CR"/>
        </w:rPr>
      </w:pPr>
    </w:p>
    <w:p w14:paraId="0BABB50C" w14:textId="4993F4F8" w:rsidR="00D8111F" w:rsidRPr="004E0DD1" w:rsidRDefault="00D8111F" w:rsidP="00985591">
      <w:pPr>
        <w:spacing w:line="276" w:lineRule="auto"/>
        <w:jc w:val="both"/>
        <w:rPr>
          <w:rFonts w:ascii="Book Antiqua" w:hAnsi="Book Antiqua"/>
          <w:lang w:eastAsia="es-CR"/>
        </w:rPr>
      </w:pPr>
      <w:r>
        <w:rPr>
          <w:rFonts w:ascii="Book Antiqua" w:hAnsi="Book Antiqua"/>
          <w:lang w:eastAsia="es-CR"/>
        </w:rPr>
        <w:t>Los juzgados de Puriscal, Los Chiles, Desamparados, Osa, Corredores, San Ramón, San José, Batán, la Fortuna, Golfito, y Buenos Aires, l</w:t>
      </w:r>
      <w:r w:rsidRPr="004E0DD1">
        <w:rPr>
          <w:rFonts w:ascii="Book Antiqua" w:hAnsi="Book Antiqua"/>
          <w:lang w:eastAsia="es-CR"/>
        </w:rPr>
        <w:t>o que evidencia</w:t>
      </w:r>
      <w:r>
        <w:rPr>
          <w:rFonts w:ascii="Book Antiqua" w:hAnsi="Book Antiqua"/>
          <w:lang w:eastAsia="es-CR"/>
        </w:rPr>
        <w:t>n es</w:t>
      </w:r>
      <w:r w:rsidRPr="004E0DD1">
        <w:rPr>
          <w:rFonts w:ascii="Book Antiqua" w:hAnsi="Book Antiqua"/>
          <w:lang w:eastAsia="es-CR"/>
        </w:rPr>
        <w:t xml:space="preserve"> la necesidad de mejora </w:t>
      </w:r>
      <w:r>
        <w:rPr>
          <w:rFonts w:ascii="Book Antiqua" w:hAnsi="Book Antiqua"/>
          <w:lang w:eastAsia="es-CR"/>
        </w:rPr>
        <w:t xml:space="preserve">en </w:t>
      </w:r>
      <w:r w:rsidRPr="004E0DD1">
        <w:rPr>
          <w:rFonts w:ascii="Book Antiqua" w:hAnsi="Book Antiqua"/>
          <w:lang w:eastAsia="es-CR"/>
        </w:rPr>
        <w:t xml:space="preserve">su sistema de trabajo </w:t>
      </w:r>
      <w:r>
        <w:rPr>
          <w:rFonts w:ascii="Book Antiqua" w:hAnsi="Book Antiqua"/>
          <w:lang w:eastAsia="es-CR"/>
        </w:rPr>
        <w:t xml:space="preserve">con la implementación del modelo penal </w:t>
      </w:r>
      <w:r w:rsidRPr="004E0DD1">
        <w:rPr>
          <w:rFonts w:ascii="Book Antiqua" w:hAnsi="Book Antiqua"/>
          <w:lang w:eastAsia="es-CR"/>
        </w:rPr>
        <w:t>para incrementar el nivel de cumplimiento.</w:t>
      </w:r>
    </w:p>
    <w:p w14:paraId="344C3FB4" w14:textId="77777777" w:rsidR="00E56E7A" w:rsidRPr="004F0E92" w:rsidRDefault="00E56E7A" w:rsidP="00985591">
      <w:pPr>
        <w:spacing w:line="276" w:lineRule="auto"/>
        <w:rPr>
          <w:rFonts w:ascii="Book Antiqua" w:hAnsi="Book Antiqua"/>
          <w:b/>
          <w:color w:val="000000" w:themeColor="text1"/>
        </w:rPr>
      </w:pPr>
    </w:p>
    <w:p w14:paraId="04C1FB97" w14:textId="313598A9" w:rsidR="00776798" w:rsidRPr="00BD4989" w:rsidRDefault="4B976E92" w:rsidP="57A79FF7">
      <w:pPr>
        <w:spacing w:after="160" w:line="276" w:lineRule="auto"/>
        <w:contextualSpacing/>
        <w:outlineLvl w:val="1"/>
        <w:rPr>
          <w:b/>
          <w:color w:val="000000" w:themeColor="text1"/>
        </w:rPr>
      </w:pPr>
      <w:r w:rsidRPr="57A79FF7">
        <w:rPr>
          <w:rFonts w:ascii="Book Antiqua" w:hAnsi="Book Antiqua"/>
          <w:b/>
          <w:bCs/>
          <w:color w:val="000000" w:themeColor="text1"/>
        </w:rPr>
        <w:t xml:space="preserve">4.2.2 </w:t>
      </w:r>
      <w:r w:rsidR="00776798" w:rsidRPr="00BD4989">
        <w:rPr>
          <w:rFonts w:ascii="Book Antiqua" w:hAnsi="Book Antiqua"/>
          <w:b/>
          <w:color w:val="000000" w:themeColor="text1"/>
        </w:rPr>
        <w:t>Tribunal de Juicio</w:t>
      </w:r>
    </w:p>
    <w:p w14:paraId="67F5D277" w14:textId="767E18EE" w:rsidR="009B6941" w:rsidRPr="009B6941" w:rsidRDefault="009B6941" w:rsidP="00985591">
      <w:pPr>
        <w:spacing w:line="276" w:lineRule="auto"/>
        <w:jc w:val="both"/>
        <w:rPr>
          <w:rFonts w:ascii="Book Antiqua" w:hAnsi="Book Antiqua"/>
          <w:color w:val="000000" w:themeColor="text1"/>
        </w:rPr>
      </w:pPr>
      <w:bookmarkStart w:id="18" w:name="_Hlk87360971"/>
      <w:r w:rsidRPr="009B6941">
        <w:rPr>
          <w:rFonts w:ascii="Book Antiqua" w:hAnsi="Book Antiqua"/>
          <w:color w:val="000000" w:themeColor="text1"/>
        </w:rPr>
        <w:t xml:space="preserve">Los Tribunales de Juicio según las matrices de indicadores que presentan cuentan con </w:t>
      </w:r>
      <w:r w:rsidR="00B977C8">
        <w:rPr>
          <w:rFonts w:ascii="Book Antiqua" w:hAnsi="Book Antiqua"/>
          <w:color w:val="000000" w:themeColor="text1"/>
        </w:rPr>
        <w:t>88</w:t>
      </w:r>
      <w:r w:rsidRPr="009B6941">
        <w:rPr>
          <w:rFonts w:ascii="Book Antiqua" w:hAnsi="Book Antiqua"/>
          <w:color w:val="000000" w:themeColor="text1"/>
        </w:rPr>
        <w:t xml:space="preserve">% de cumplimiento en forma general a nivel nacional; por lo cual, se destaca el trabajo que estos han venido desarrollando con sus estructuras ordinarias, a pesar de que en la mayoría de los lugares fueron retirados los recursos de los planes remediales. </w:t>
      </w:r>
    </w:p>
    <w:p w14:paraId="5C9812C5" w14:textId="77777777" w:rsidR="009B6941" w:rsidRPr="009B6941" w:rsidRDefault="009B6941" w:rsidP="00985591">
      <w:pPr>
        <w:spacing w:line="276" w:lineRule="auto"/>
        <w:jc w:val="both"/>
        <w:rPr>
          <w:rFonts w:ascii="Book Antiqua" w:hAnsi="Book Antiqua"/>
          <w:color w:val="000000" w:themeColor="text1"/>
        </w:rPr>
      </w:pPr>
    </w:p>
    <w:p w14:paraId="5114ECDA" w14:textId="59729FB6" w:rsidR="009B6941" w:rsidRPr="009B6941" w:rsidRDefault="009B6941" w:rsidP="00985591">
      <w:pPr>
        <w:spacing w:line="276" w:lineRule="auto"/>
        <w:jc w:val="both"/>
        <w:rPr>
          <w:rFonts w:ascii="Book Antiqua" w:hAnsi="Book Antiqua"/>
          <w:color w:val="000000" w:themeColor="text1"/>
        </w:rPr>
      </w:pPr>
      <w:r w:rsidRPr="009B6941">
        <w:rPr>
          <w:rFonts w:ascii="Book Antiqua" w:hAnsi="Book Antiqua"/>
          <w:color w:val="000000" w:themeColor="text1"/>
        </w:rPr>
        <w:t xml:space="preserve">Se hace la observación que los datos están basados con las matrices de indicadores de los despachos; que tienen la responsabilidad de que el dato sea coincidente contra el Sistema </w:t>
      </w:r>
      <w:r w:rsidR="00C55AEF" w:rsidRPr="009B6941">
        <w:rPr>
          <w:rFonts w:ascii="Book Antiqua" w:hAnsi="Book Antiqua"/>
          <w:color w:val="000000" w:themeColor="text1"/>
        </w:rPr>
        <w:t xml:space="preserve">Sigma, </w:t>
      </w:r>
      <w:r w:rsidR="00C55AEF">
        <w:rPr>
          <w:rFonts w:ascii="Book Antiqua" w:hAnsi="Book Antiqua"/>
          <w:color w:val="000000" w:themeColor="text1"/>
        </w:rPr>
        <w:t xml:space="preserve">por lo que, </w:t>
      </w:r>
      <w:r w:rsidRPr="009B6941">
        <w:rPr>
          <w:rFonts w:ascii="Book Antiqua" w:hAnsi="Book Antiqua"/>
          <w:color w:val="000000" w:themeColor="text1"/>
        </w:rPr>
        <w:t>como parte de la revisión que hace la Dirección de Planificación también se va a poder visualizar una comparación de ese valor contra lo que genera el sistema.</w:t>
      </w:r>
    </w:p>
    <w:p w14:paraId="2ACF4681" w14:textId="77777777" w:rsidR="009B6941" w:rsidRPr="009B6941" w:rsidRDefault="009B6941" w:rsidP="00985591">
      <w:pPr>
        <w:spacing w:line="276" w:lineRule="auto"/>
        <w:jc w:val="both"/>
        <w:rPr>
          <w:rFonts w:ascii="Book Antiqua" w:hAnsi="Book Antiqua"/>
          <w:color w:val="000000" w:themeColor="text1"/>
        </w:rPr>
      </w:pPr>
    </w:p>
    <w:p w14:paraId="6CD09E80" w14:textId="668AC7E3" w:rsidR="009B6941" w:rsidRPr="009B6941" w:rsidRDefault="009B6941" w:rsidP="00985591">
      <w:pPr>
        <w:spacing w:line="276" w:lineRule="auto"/>
        <w:jc w:val="both"/>
        <w:rPr>
          <w:rFonts w:ascii="Book Antiqua" w:hAnsi="Book Antiqua"/>
          <w:color w:val="000000" w:themeColor="text1"/>
        </w:rPr>
      </w:pPr>
      <w:r w:rsidRPr="009B6941">
        <w:rPr>
          <w:rFonts w:ascii="Book Antiqua" w:hAnsi="Book Antiqua"/>
          <w:color w:val="000000" w:themeColor="text1"/>
        </w:rPr>
        <w:t xml:space="preserve">Importante señalar, que el Tribunal con mayor nivel de cumplimiento fue el Tribunal Penal del Segundo Circuito Judicial de la Zona Atlántica (Siquirres) con un 173% (es el dato reportado por el Tribunal sin embargo en </w:t>
      </w:r>
      <w:r w:rsidR="00B977C8">
        <w:rPr>
          <w:rFonts w:ascii="Book Antiqua" w:hAnsi="Book Antiqua"/>
          <w:color w:val="000000" w:themeColor="text1"/>
        </w:rPr>
        <w:t>la columna de</w:t>
      </w:r>
      <w:r w:rsidR="00687A14">
        <w:rPr>
          <w:rFonts w:ascii="Book Antiqua" w:hAnsi="Book Antiqua"/>
          <w:color w:val="000000" w:themeColor="text1"/>
        </w:rPr>
        <w:t xml:space="preserve"> datos de sigma se</w:t>
      </w:r>
      <w:r w:rsidRPr="009B6941">
        <w:rPr>
          <w:rFonts w:ascii="Book Antiqua" w:hAnsi="Book Antiqua"/>
          <w:color w:val="000000" w:themeColor="text1"/>
        </w:rPr>
        <w:t xml:space="preserve"> observa </w:t>
      </w:r>
      <w:r w:rsidR="00687A14">
        <w:rPr>
          <w:rFonts w:ascii="Book Antiqua" w:hAnsi="Book Antiqua"/>
          <w:color w:val="000000" w:themeColor="text1"/>
        </w:rPr>
        <w:t>un rendimiento del 163%</w:t>
      </w:r>
      <w:r w:rsidRPr="009B6941">
        <w:rPr>
          <w:rFonts w:ascii="Book Antiqua" w:hAnsi="Book Antiqua"/>
          <w:color w:val="000000" w:themeColor="text1"/>
        </w:rPr>
        <w:t>); en tanto, el de menor nivel de cumplimiento fue el Tribunal Penal Segundo Circuito Judicial de la Zona Sur (Golfito) con apenas un 41%.</w:t>
      </w:r>
    </w:p>
    <w:p w14:paraId="69674A4E" w14:textId="77777777" w:rsidR="00E47950" w:rsidRPr="009B6941" w:rsidRDefault="00E47950" w:rsidP="00985591">
      <w:pPr>
        <w:spacing w:line="276" w:lineRule="auto"/>
        <w:jc w:val="both"/>
        <w:rPr>
          <w:rFonts w:ascii="Book Antiqua" w:hAnsi="Book Antiqua"/>
          <w:color w:val="000000" w:themeColor="text1"/>
        </w:rPr>
      </w:pPr>
    </w:p>
    <w:p w14:paraId="7CB20A56" w14:textId="0D301D1D" w:rsidR="00724163" w:rsidRDefault="009B6941" w:rsidP="00985591">
      <w:pPr>
        <w:spacing w:line="276" w:lineRule="auto"/>
        <w:jc w:val="both"/>
        <w:rPr>
          <w:rFonts w:ascii="Book Antiqua" w:hAnsi="Book Antiqua"/>
          <w:color w:val="000000" w:themeColor="text1"/>
        </w:rPr>
      </w:pPr>
      <w:r w:rsidRPr="009B6941">
        <w:rPr>
          <w:rFonts w:ascii="Book Antiqua" w:hAnsi="Book Antiqua"/>
          <w:color w:val="000000" w:themeColor="text1"/>
        </w:rPr>
        <w:t>Las oficinas que reflejan un rendimiento inferior al 80% son: Tribunal Penal de Limón 79%, Tribunal Penal de Desamparados 73%, Tribunal Penal de Pérez Zeledón 73%, Tribunal Penal de Cartago 72%, Tribunal Penal de San José 67%, el Tribunal Penal de Grecia 58%, Tribunal Penal de Liberia 57%, Tribunal Penal de Goicoechea 56%, Tribunal Penal de Osa 53%</w:t>
      </w:r>
      <w:r w:rsidR="00687A14">
        <w:rPr>
          <w:rFonts w:ascii="Book Antiqua" w:hAnsi="Book Antiqua"/>
          <w:color w:val="000000" w:themeColor="text1"/>
        </w:rPr>
        <w:t>, Tribunal de Pavas 50%</w:t>
      </w:r>
      <w:r w:rsidRPr="009B6941">
        <w:rPr>
          <w:rFonts w:ascii="Book Antiqua" w:hAnsi="Book Antiqua"/>
          <w:color w:val="000000" w:themeColor="text1"/>
        </w:rPr>
        <w:t xml:space="preserve"> y Tribunal Penal de Golfito 41%.</w:t>
      </w:r>
    </w:p>
    <w:bookmarkEnd w:id="18"/>
    <w:p w14:paraId="436337D3" w14:textId="77777777" w:rsidR="009B6941" w:rsidRDefault="009B6941" w:rsidP="00985591">
      <w:pPr>
        <w:spacing w:line="276" w:lineRule="auto"/>
        <w:jc w:val="both"/>
        <w:rPr>
          <w:rFonts w:ascii="Book Antiqua" w:hAnsi="Book Antiqua"/>
          <w:b/>
          <w:color w:val="000000" w:themeColor="text1"/>
        </w:rPr>
      </w:pPr>
    </w:p>
    <w:p w14:paraId="6C718C25" w14:textId="66823E59" w:rsidR="00776798" w:rsidRPr="004F0E92" w:rsidRDefault="00776798" w:rsidP="00985591">
      <w:pPr>
        <w:spacing w:line="276" w:lineRule="auto"/>
        <w:jc w:val="center"/>
        <w:rPr>
          <w:rFonts w:ascii="Book Antiqua" w:hAnsi="Book Antiqua"/>
          <w:b/>
          <w:color w:val="000000" w:themeColor="text1"/>
        </w:rPr>
      </w:pPr>
      <w:r w:rsidRPr="004F0E92">
        <w:rPr>
          <w:rFonts w:ascii="Book Antiqua" w:hAnsi="Book Antiqua"/>
          <w:b/>
          <w:color w:val="000000" w:themeColor="text1"/>
        </w:rPr>
        <w:t xml:space="preserve">Cuadro </w:t>
      </w:r>
      <w:r w:rsidR="00AF4555">
        <w:rPr>
          <w:rFonts w:ascii="Book Antiqua" w:hAnsi="Book Antiqua"/>
          <w:b/>
          <w:color w:val="000000" w:themeColor="text1"/>
        </w:rPr>
        <w:t>3</w:t>
      </w:r>
      <w:r w:rsidR="00BA1F8B">
        <w:rPr>
          <w:rFonts w:ascii="Book Antiqua" w:hAnsi="Book Antiqua"/>
          <w:b/>
          <w:color w:val="000000" w:themeColor="text1"/>
        </w:rPr>
        <w:t>3</w:t>
      </w:r>
    </w:p>
    <w:p w14:paraId="1BD9CACD" w14:textId="77777777" w:rsidR="00A67A27" w:rsidRPr="00836AC0" w:rsidRDefault="00A67A27" w:rsidP="00985591">
      <w:pPr>
        <w:spacing w:line="276" w:lineRule="auto"/>
        <w:jc w:val="center"/>
        <w:rPr>
          <w:rFonts w:ascii="Book Antiqua" w:hAnsi="Book Antiqua"/>
          <w:bCs/>
          <w:color w:val="000000" w:themeColor="text1"/>
        </w:rPr>
      </w:pPr>
      <w:r w:rsidRPr="00836AC0">
        <w:rPr>
          <w:rFonts w:ascii="Book Antiqua" w:hAnsi="Book Antiqua"/>
          <w:bCs/>
          <w:color w:val="000000" w:themeColor="text1"/>
        </w:rPr>
        <w:t xml:space="preserve">Cumplimiento del parámetro de producción </w:t>
      </w:r>
    </w:p>
    <w:p w14:paraId="722C3109" w14:textId="6C34B4BB" w:rsidR="003A6272" w:rsidRPr="00836AC0" w:rsidRDefault="00A67A27" w:rsidP="00E56E7A">
      <w:pPr>
        <w:spacing w:line="276" w:lineRule="auto"/>
        <w:jc w:val="center"/>
        <w:rPr>
          <w:rFonts w:ascii="Book Antiqua" w:hAnsi="Book Antiqua"/>
          <w:bCs/>
          <w:color w:val="000000" w:themeColor="text1"/>
        </w:rPr>
      </w:pPr>
      <w:r w:rsidRPr="00836AC0">
        <w:rPr>
          <w:rFonts w:ascii="Book Antiqua" w:hAnsi="Book Antiqua"/>
          <w:bCs/>
          <w:color w:val="000000" w:themeColor="text1"/>
        </w:rPr>
        <w:t xml:space="preserve">teórico de Tribunales Penales durante </w:t>
      </w:r>
      <w:r w:rsidR="00AF4555" w:rsidRPr="00836AC0">
        <w:rPr>
          <w:rFonts w:ascii="Book Antiqua" w:hAnsi="Book Antiqua"/>
          <w:bCs/>
          <w:color w:val="000000" w:themeColor="text1"/>
        </w:rPr>
        <w:t>mayo</w:t>
      </w:r>
      <w:r w:rsidRPr="00836AC0">
        <w:rPr>
          <w:rFonts w:ascii="Book Antiqua" w:hAnsi="Book Antiqua"/>
          <w:bCs/>
          <w:color w:val="000000" w:themeColor="text1"/>
        </w:rPr>
        <w:t xml:space="preserve"> 2021</w:t>
      </w:r>
      <w:r w:rsidR="00BA1F8B">
        <w:rPr>
          <w:rFonts w:ascii="Book Antiqua" w:hAnsi="Book Antiqua"/>
          <w:bCs/>
          <w:color w:val="000000" w:themeColor="text1"/>
        </w:rPr>
        <w:t xml:space="preserve"> </w:t>
      </w:r>
    </w:p>
    <w:tbl>
      <w:tblPr>
        <w:tblW w:w="9639" w:type="dxa"/>
        <w:jc w:val="center"/>
        <w:tblCellMar>
          <w:left w:w="70" w:type="dxa"/>
          <w:right w:w="70" w:type="dxa"/>
        </w:tblCellMar>
        <w:tblLook w:val="04A0" w:firstRow="1" w:lastRow="0" w:firstColumn="1" w:lastColumn="0" w:noHBand="0" w:noVBand="1"/>
      </w:tblPr>
      <w:tblGrid>
        <w:gridCol w:w="6060"/>
        <w:gridCol w:w="1741"/>
        <w:gridCol w:w="1134"/>
        <w:gridCol w:w="704"/>
      </w:tblGrid>
      <w:tr w:rsidR="00B977C8" w:rsidRPr="007230D5" w14:paraId="075FC484" w14:textId="77777777" w:rsidTr="00777F64">
        <w:trPr>
          <w:trHeight w:val="720"/>
          <w:jc w:val="center"/>
        </w:trPr>
        <w:tc>
          <w:tcPr>
            <w:tcW w:w="6060" w:type="dxa"/>
            <w:vMerge w:val="restart"/>
            <w:tcBorders>
              <w:top w:val="single" w:sz="4" w:space="0" w:color="auto"/>
              <w:left w:val="single" w:sz="4" w:space="0" w:color="auto"/>
              <w:bottom w:val="single" w:sz="4" w:space="0" w:color="000000"/>
              <w:right w:val="single" w:sz="4" w:space="0" w:color="auto"/>
            </w:tcBorders>
            <w:shd w:val="clear" w:color="000000" w:fill="305496"/>
            <w:noWrap/>
            <w:vAlign w:val="center"/>
            <w:hideMark/>
          </w:tcPr>
          <w:p w14:paraId="60EC966F" w14:textId="77777777" w:rsidR="00B977C8" w:rsidRPr="007230D5" w:rsidRDefault="00B977C8" w:rsidP="00B977C8">
            <w:pPr>
              <w:jc w:val="center"/>
              <w:rPr>
                <w:rFonts w:ascii="Book Antiqua" w:hAnsi="Book Antiqua" w:cs="Calibri"/>
                <w:b/>
                <w:bCs/>
                <w:color w:val="FFFFFF"/>
                <w:sz w:val="16"/>
                <w:szCs w:val="16"/>
                <w:lang w:eastAsia="es-CR"/>
              </w:rPr>
            </w:pPr>
            <w:r w:rsidRPr="007230D5">
              <w:rPr>
                <w:rFonts w:ascii="Book Antiqua" w:hAnsi="Book Antiqua" w:cs="Calibri"/>
                <w:b/>
                <w:bCs/>
                <w:color w:val="FFFFFF"/>
                <w:sz w:val="16"/>
                <w:szCs w:val="16"/>
                <w:lang w:eastAsia="es-CR"/>
              </w:rPr>
              <w:t>Despacho</w:t>
            </w:r>
          </w:p>
        </w:tc>
        <w:tc>
          <w:tcPr>
            <w:tcW w:w="3579" w:type="dxa"/>
            <w:gridSpan w:val="3"/>
            <w:tcBorders>
              <w:top w:val="nil"/>
              <w:left w:val="single" w:sz="4" w:space="0" w:color="auto"/>
              <w:bottom w:val="single" w:sz="4" w:space="0" w:color="auto"/>
              <w:right w:val="nil"/>
            </w:tcBorders>
            <w:shd w:val="clear" w:color="000000" w:fill="305496"/>
            <w:vAlign w:val="center"/>
            <w:hideMark/>
          </w:tcPr>
          <w:p w14:paraId="6F5412BD" w14:textId="77777777" w:rsidR="00B977C8" w:rsidRPr="007230D5" w:rsidRDefault="00B977C8" w:rsidP="00B977C8">
            <w:pPr>
              <w:jc w:val="center"/>
              <w:rPr>
                <w:rFonts w:ascii="Book Antiqua" w:hAnsi="Book Antiqua" w:cs="Calibri"/>
                <w:b/>
                <w:bCs/>
                <w:color w:val="FFFFFF"/>
                <w:sz w:val="16"/>
                <w:szCs w:val="16"/>
                <w:lang w:eastAsia="es-CR"/>
              </w:rPr>
            </w:pPr>
            <w:r w:rsidRPr="007230D5">
              <w:rPr>
                <w:rFonts w:ascii="Book Antiqua" w:hAnsi="Book Antiqua" w:cs="Calibri"/>
                <w:b/>
                <w:bCs/>
                <w:color w:val="FFFFFF"/>
                <w:sz w:val="16"/>
                <w:szCs w:val="16"/>
                <w:lang w:eastAsia="es-CR"/>
              </w:rPr>
              <w:t xml:space="preserve">Porcentaje de cumplimiento Sentencias / Medida alterna </w:t>
            </w:r>
          </w:p>
        </w:tc>
      </w:tr>
      <w:tr w:rsidR="00B977C8" w:rsidRPr="007230D5" w14:paraId="78053766" w14:textId="77777777" w:rsidTr="00777F64">
        <w:trPr>
          <w:trHeight w:val="286"/>
          <w:jc w:val="center"/>
        </w:trPr>
        <w:tc>
          <w:tcPr>
            <w:tcW w:w="6060" w:type="dxa"/>
            <w:vMerge/>
            <w:tcBorders>
              <w:top w:val="single" w:sz="4" w:space="0" w:color="auto"/>
              <w:left w:val="single" w:sz="4" w:space="0" w:color="auto"/>
              <w:bottom w:val="single" w:sz="4" w:space="0" w:color="000000"/>
              <w:right w:val="single" w:sz="4" w:space="0" w:color="auto"/>
            </w:tcBorders>
            <w:vAlign w:val="center"/>
            <w:hideMark/>
          </w:tcPr>
          <w:p w14:paraId="0002A624" w14:textId="77777777" w:rsidR="00B977C8" w:rsidRPr="007230D5" w:rsidRDefault="00B977C8" w:rsidP="00B977C8">
            <w:pPr>
              <w:rPr>
                <w:rFonts w:ascii="Book Antiqua" w:hAnsi="Book Antiqua" w:cs="Calibri"/>
                <w:b/>
                <w:bCs/>
                <w:color w:val="FFFFFF"/>
                <w:sz w:val="16"/>
                <w:szCs w:val="16"/>
                <w:lang w:eastAsia="es-CR"/>
              </w:rPr>
            </w:pPr>
          </w:p>
        </w:tc>
        <w:tc>
          <w:tcPr>
            <w:tcW w:w="1741" w:type="dxa"/>
            <w:tcBorders>
              <w:top w:val="single" w:sz="4" w:space="0" w:color="auto"/>
              <w:left w:val="nil"/>
              <w:bottom w:val="single" w:sz="4" w:space="0" w:color="auto"/>
              <w:right w:val="single" w:sz="4" w:space="0" w:color="auto"/>
            </w:tcBorders>
            <w:shd w:val="clear" w:color="000000" w:fill="AEAAAA"/>
            <w:noWrap/>
            <w:vAlign w:val="center"/>
            <w:hideMark/>
          </w:tcPr>
          <w:p w14:paraId="00AC70AC" w14:textId="77777777" w:rsidR="00B977C8" w:rsidRPr="007230D5" w:rsidRDefault="00B977C8" w:rsidP="00B977C8">
            <w:pPr>
              <w:jc w:val="center"/>
              <w:rPr>
                <w:rFonts w:ascii="Book Antiqua" w:hAnsi="Book Antiqua" w:cs="Calibri"/>
                <w:b/>
                <w:bCs/>
                <w:color w:val="FFFFFF"/>
                <w:sz w:val="16"/>
                <w:szCs w:val="16"/>
                <w:lang w:eastAsia="es-CR"/>
              </w:rPr>
            </w:pPr>
            <w:r w:rsidRPr="007230D5">
              <w:rPr>
                <w:rFonts w:ascii="Book Antiqua" w:hAnsi="Book Antiqua" w:cs="Calibri"/>
                <w:b/>
                <w:bCs/>
                <w:color w:val="FFFFFF"/>
                <w:sz w:val="16"/>
                <w:szCs w:val="16"/>
                <w:lang w:eastAsia="es-CR"/>
              </w:rPr>
              <w:t>Indicadores</w:t>
            </w:r>
          </w:p>
        </w:tc>
        <w:tc>
          <w:tcPr>
            <w:tcW w:w="1134" w:type="dxa"/>
            <w:tcBorders>
              <w:top w:val="single" w:sz="4" w:space="0" w:color="auto"/>
              <w:left w:val="nil"/>
              <w:bottom w:val="single" w:sz="4" w:space="0" w:color="auto"/>
              <w:right w:val="single" w:sz="4" w:space="0" w:color="auto"/>
            </w:tcBorders>
            <w:shd w:val="clear" w:color="000000" w:fill="AEAAAA"/>
            <w:noWrap/>
            <w:vAlign w:val="center"/>
            <w:hideMark/>
          </w:tcPr>
          <w:p w14:paraId="726B35CC" w14:textId="77777777" w:rsidR="00B977C8" w:rsidRPr="007230D5" w:rsidRDefault="00B977C8" w:rsidP="00B977C8">
            <w:pPr>
              <w:jc w:val="center"/>
              <w:rPr>
                <w:rFonts w:ascii="Book Antiqua" w:hAnsi="Book Antiqua" w:cs="Calibri"/>
                <w:b/>
                <w:bCs/>
                <w:color w:val="FFFFFF"/>
                <w:sz w:val="16"/>
                <w:szCs w:val="16"/>
                <w:lang w:eastAsia="es-CR"/>
              </w:rPr>
            </w:pPr>
            <w:r w:rsidRPr="007230D5">
              <w:rPr>
                <w:rFonts w:ascii="Book Antiqua" w:hAnsi="Book Antiqua" w:cs="Calibri"/>
                <w:b/>
                <w:bCs/>
                <w:color w:val="FFFFFF"/>
                <w:sz w:val="16"/>
                <w:szCs w:val="16"/>
                <w:lang w:eastAsia="es-CR"/>
              </w:rPr>
              <w:t>Sigma</w:t>
            </w:r>
          </w:p>
        </w:tc>
        <w:tc>
          <w:tcPr>
            <w:tcW w:w="704" w:type="dxa"/>
            <w:tcBorders>
              <w:top w:val="single" w:sz="4" w:space="0" w:color="auto"/>
              <w:left w:val="nil"/>
              <w:bottom w:val="single" w:sz="4" w:space="0" w:color="auto"/>
              <w:right w:val="single" w:sz="4" w:space="0" w:color="auto"/>
            </w:tcBorders>
            <w:shd w:val="clear" w:color="000000" w:fill="AEAAAA"/>
            <w:noWrap/>
            <w:vAlign w:val="center"/>
            <w:hideMark/>
          </w:tcPr>
          <w:p w14:paraId="15FBCD71" w14:textId="77777777" w:rsidR="00B977C8" w:rsidRPr="007230D5" w:rsidRDefault="00B977C8" w:rsidP="00B977C8">
            <w:pPr>
              <w:jc w:val="center"/>
              <w:rPr>
                <w:rFonts w:ascii="Book Antiqua" w:hAnsi="Book Antiqua" w:cs="Calibri"/>
                <w:b/>
                <w:bCs/>
                <w:color w:val="FFFFFF"/>
                <w:sz w:val="16"/>
                <w:szCs w:val="16"/>
                <w:lang w:eastAsia="es-CR"/>
              </w:rPr>
            </w:pPr>
            <w:r w:rsidRPr="007230D5">
              <w:rPr>
                <w:rFonts w:ascii="Book Antiqua" w:hAnsi="Book Antiqua" w:cs="Calibri"/>
                <w:b/>
                <w:bCs/>
                <w:color w:val="FFFFFF"/>
                <w:sz w:val="16"/>
                <w:szCs w:val="16"/>
                <w:lang w:eastAsia="es-CR"/>
              </w:rPr>
              <w:t>Dif%</w:t>
            </w:r>
          </w:p>
        </w:tc>
      </w:tr>
      <w:tr w:rsidR="00B977C8" w:rsidRPr="007230D5" w14:paraId="6087D8A0" w14:textId="77777777" w:rsidTr="00777F64">
        <w:trPr>
          <w:trHeight w:val="286"/>
          <w:jc w:val="center"/>
        </w:trPr>
        <w:tc>
          <w:tcPr>
            <w:tcW w:w="6060" w:type="dxa"/>
            <w:tcBorders>
              <w:top w:val="nil"/>
              <w:left w:val="single" w:sz="4" w:space="0" w:color="auto"/>
              <w:bottom w:val="single" w:sz="4" w:space="0" w:color="auto"/>
              <w:right w:val="single" w:sz="4" w:space="0" w:color="auto"/>
            </w:tcBorders>
            <w:shd w:val="clear" w:color="auto" w:fill="auto"/>
            <w:noWrap/>
            <w:vAlign w:val="center"/>
            <w:hideMark/>
          </w:tcPr>
          <w:p w14:paraId="7B2B2B9A" w14:textId="77777777" w:rsidR="00B977C8" w:rsidRPr="007230D5" w:rsidRDefault="00B977C8" w:rsidP="00B977C8">
            <w:pP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Tribunal Penal del Segundo Circuito Judicial de la Zona Atlántica (Siquirres)</w:t>
            </w:r>
          </w:p>
        </w:tc>
        <w:tc>
          <w:tcPr>
            <w:tcW w:w="1741" w:type="dxa"/>
            <w:tcBorders>
              <w:top w:val="nil"/>
              <w:left w:val="nil"/>
              <w:bottom w:val="single" w:sz="4" w:space="0" w:color="auto"/>
              <w:right w:val="single" w:sz="4" w:space="0" w:color="auto"/>
            </w:tcBorders>
            <w:shd w:val="clear" w:color="auto" w:fill="auto"/>
            <w:noWrap/>
            <w:vAlign w:val="center"/>
            <w:hideMark/>
          </w:tcPr>
          <w:p w14:paraId="4234B459" w14:textId="77777777" w:rsidR="00B977C8" w:rsidRPr="007230D5" w:rsidRDefault="00B977C8" w:rsidP="00B977C8">
            <w:pPr>
              <w:jc w:val="cente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173%</w:t>
            </w:r>
          </w:p>
        </w:tc>
        <w:tc>
          <w:tcPr>
            <w:tcW w:w="1134" w:type="dxa"/>
            <w:tcBorders>
              <w:top w:val="nil"/>
              <w:left w:val="nil"/>
              <w:bottom w:val="single" w:sz="4" w:space="0" w:color="auto"/>
              <w:right w:val="single" w:sz="4" w:space="0" w:color="auto"/>
            </w:tcBorders>
            <w:shd w:val="clear" w:color="auto" w:fill="auto"/>
            <w:noWrap/>
            <w:vAlign w:val="center"/>
            <w:hideMark/>
          </w:tcPr>
          <w:p w14:paraId="7AF7887B" w14:textId="77777777" w:rsidR="00B977C8" w:rsidRPr="007230D5" w:rsidRDefault="00B977C8" w:rsidP="00B977C8">
            <w:pPr>
              <w:jc w:val="cente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163%</w:t>
            </w:r>
          </w:p>
        </w:tc>
        <w:tc>
          <w:tcPr>
            <w:tcW w:w="704" w:type="dxa"/>
            <w:tcBorders>
              <w:top w:val="nil"/>
              <w:left w:val="nil"/>
              <w:bottom w:val="single" w:sz="4" w:space="0" w:color="auto"/>
              <w:right w:val="single" w:sz="4" w:space="0" w:color="auto"/>
            </w:tcBorders>
            <w:shd w:val="clear" w:color="000000" w:fill="EDEDED"/>
            <w:noWrap/>
            <w:vAlign w:val="center"/>
            <w:hideMark/>
          </w:tcPr>
          <w:p w14:paraId="053BC1D6" w14:textId="77777777" w:rsidR="00B977C8" w:rsidRPr="007230D5" w:rsidRDefault="00B977C8" w:rsidP="00B977C8">
            <w:pPr>
              <w:jc w:val="cente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-10%</w:t>
            </w:r>
          </w:p>
        </w:tc>
      </w:tr>
      <w:tr w:rsidR="00B977C8" w:rsidRPr="007230D5" w14:paraId="4C380ED3" w14:textId="77777777" w:rsidTr="00777F64">
        <w:trPr>
          <w:trHeight w:val="286"/>
          <w:jc w:val="center"/>
        </w:trPr>
        <w:tc>
          <w:tcPr>
            <w:tcW w:w="6060" w:type="dxa"/>
            <w:tcBorders>
              <w:top w:val="nil"/>
              <w:left w:val="single" w:sz="4" w:space="0" w:color="auto"/>
              <w:bottom w:val="single" w:sz="4" w:space="0" w:color="auto"/>
              <w:right w:val="single" w:sz="4" w:space="0" w:color="auto"/>
            </w:tcBorders>
            <w:shd w:val="clear" w:color="auto" w:fill="auto"/>
            <w:noWrap/>
            <w:vAlign w:val="center"/>
            <w:hideMark/>
          </w:tcPr>
          <w:p w14:paraId="568E6091" w14:textId="6FA0D282" w:rsidR="00B977C8" w:rsidRPr="007230D5" w:rsidRDefault="00B977C8" w:rsidP="00B977C8">
            <w:pP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Tribunal Penal del Tercer Circuito Judicial de Alajuela (San Ramón)</w:t>
            </w:r>
          </w:p>
        </w:tc>
        <w:tc>
          <w:tcPr>
            <w:tcW w:w="1741" w:type="dxa"/>
            <w:tcBorders>
              <w:top w:val="nil"/>
              <w:left w:val="nil"/>
              <w:bottom w:val="single" w:sz="4" w:space="0" w:color="auto"/>
              <w:right w:val="single" w:sz="4" w:space="0" w:color="auto"/>
            </w:tcBorders>
            <w:shd w:val="clear" w:color="auto" w:fill="auto"/>
            <w:noWrap/>
            <w:vAlign w:val="center"/>
            <w:hideMark/>
          </w:tcPr>
          <w:p w14:paraId="2F1B90D7" w14:textId="77777777" w:rsidR="00B977C8" w:rsidRPr="007230D5" w:rsidRDefault="00B977C8" w:rsidP="00B977C8">
            <w:pPr>
              <w:jc w:val="cente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148%</w:t>
            </w:r>
          </w:p>
        </w:tc>
        <w:tc>
          <w:tcPr>
            <w:tcW w:w="1134" w:type="dxa"/>
            <w:tcBorders>
              <w:top w:val="nil"/>
              <w:left w:val="nil"/>
              <w:bottom w:val="single" w:sz="4" w:space="0" w:color="auto"/>
              <w:right w:val="single" w:sz="4" w:space="0" w:color="auto"/>
            </w:tcBorders>
            <w:shd w:val="clear" w:color="auto" w:fill="auto"/>
            <w:noWrap/>
            <w:vAlign w:val="center"/>
            <w:hideMark/>
          </w:tcPr>
          <w:p w14:paraId="4F904CBD" w14:textId="77777777" w:rsidR="00B977C8" w:rsidRPr="007230D5" w:rsidRDefault="00B977C8" w:rsidP="00B977C8">
            <w:pPr>
              <w:jc w:val="cente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224%</w:t>
            </w:r>
          </w:p>
        </w:tc>
        <w:tc>
          <w:tcPr>
            <w:tcW w:w="704" w:type="dxa"/>
            <w:tcBorders>
              <w:top w:val="nil"/>
              <w:left w:val="nil"/>
              <w:bottom w:val="single" w:sz="4" w:space="0" w:color="auto"/>
              <w:right w:val="single" w:sz="4" w:space="0" w:color="auto"/>
            </w:tcBorders>
            <w:shd w:val="clear" w:color="000000" w:fill="EDEDED"/>
            <w:noWrap/>
            <w:vAlign w:val="center"/>
            <w:hideMark/>
          </w:tcPr>
          <w:p w14:paraId="6DDCD72F" w14:textId="77777777" w:rsidR="00B977C8" w:rsidRPr="007230D5" w:rsidRDefault="00B977C8" w:rsidP="00B977C8">
            <w:pPr>
              <w:jc w:val="cente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76%</w:t>
            </w:r>
          </w:p>
        </w:tc>
      </w:tr>
      <w:tr w:rsidR="00B977C8" w:rsidRPr="007230D5" w14:paraId="3CEF69C2" w14:textId="77777777" w:rsidTr="00777F64">
        <w:trPr>
          <w:trHeight w:val="286"/>
          <w:jc w:val="center"/>
        </w:trPr>
        <w:tc>
          <w:tcPr>
            <w:tcW w:w="6060" w:type="dxa"/>
            <w:tcBorders>
              <w:top w:val="nil"/>
              <w:left w:val="single" w:sz="4" w:space="0" w:color="auto"/>
              <w:bottom w:val="single" w:sz="4" w:space="0" w:color="auto"/>
              <w:right w:val="single" w:sz="4" w:space="0" w:color="auto"/>
            </w:tcBorders>
            <w:shd w:val="clear" w:color="auto" w:fill="auto"/>
            <w:noWrap/>
            <w:vAlign w:val="center"/>
            <w:hideMark/>
          </w:tcPr>
          <w:p w14:paraId="1D9D8C19" w14:textId="77777777" w:rsidR="00B977C8" w:rsidRPr="007230D5" w:rsidRDefault="00B977C8" w:rsidP="00B977C8">
            <w:pP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Tribunal Penal de Puntarenas</w:t>
            </w:r>
          </w:p>
        </w:tc>
        <w:tc>
          <w:tcPr>
            <w:tcW w:w="1741" w:type="dxa"/>
            <w:tcBorders>
              <w:top w:val="nil"/>
              <w:left w:val="nil"/>
              <w:bottom w:val="single" w:sz="4" w:space="0" w:color="auto"/>
              <w:right w:val="single" w:sz="4" w:space="0" w:color="auto"/>
            </w:tcBorders>
            <w:shd w:val="clear" w:color="auto" w:fill="auto"/>
            <w:noWrap/>
            <w:vAlign w:val="center"/>
            <w:hideMark/>
          </w:tcPr>
          <w:p w14:paraId="40144D96" w14:textId="77777777" w:rsidR="00B977C8" w:rsidRPr="007230D5" w:rsidRDefault="00B977C8" w:rsidP="00B977C8">
            <w:pPr>
              <w:jc w:val="cente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130%</w:t>
            </w:r>
          </w:p>
        </w:tc>
        <w:tc>
          <w:tcPr>
            <w:tcW w:w="1134" w:type="dxa"/>
            <w:tcBorders>
              <w:top w:val="nil"/>
              <w:left w:val="nil"/>
              <w:bottom w:val="single" w:sz="4" w:space="0" w:color="auto"/>
              <w:right w:val="single" w:sz="4" w:space="0" w:color="auto"/>
            </w:tcBorders>
            <w:shd w:val="clear" w:color="auto" w:fill="auto"/>
            <w:noWrap/>
            <w:vAlign w:val="center"/>
            <w:hideMark/>
          </w:tcPr>
          <w:p w14:paraId="65F1374D" w14:textId="77777777" w:rsidR="00B977C8" w:rsidRPr="007230D5" w:rsidRDefault="00B977C8" w:rsidP="00B977C8">
            <w:pPr>
              <w:jc w:val="cente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112%</w:t>
            </w:r>
          </w:p>
        </w:tc>
        <w:tc>
          <w:tcPr>
            <w:tcW w:w="704" w:type="dxa"/>
            <w:tcBorders>
              <w:top w:val="nil"/>
              <w:left w:val="nil"/>
              <w:bottom w:val="single" w:sz="4" w:space="0" w:color="auto"/>
              <w:right w:val="single" w:sz="4" w:space="0" w:color="auto"/>
            </w:tcBorders>
            <w:shd w:val="clear" w:color="000000" w:fill="EDEDED"/>
            <w:noWrap/>
            <w:vAlign w:val="center"/>
            <w:hideMark/>
          </w:tcPr>
          <w:p w14:paraId="71E36D92" w14:textId="77777777" w:rsidR="00B977C8" w:rsidRPr="007230D5" w:rsidRDefault="00B977C8" w:rsidP="00B977C8">
            <w:pPr>
              <w:jc w:val="cente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-18%</w:t>
            </w:r>
          </w:p>
        </w:tc>
      </w:tr>
      <w:tr w:rsidR="00B977C8" w:rsidRPr="007230D5" w14:paraId="47B9005B" w14:textId="77777777" w:rsidTr="00777F64">
        <w:trPr>
          <w:trHeight w:val="286"/>
          <w:jc w:val="center"/>
        </w:trPr>
        <w:tc>
          <w:tcPr>
            <w:tcW w:w="6060" w:type="dxa"/>
            <w:tcBorders>
              <w:top w:val="nil"/>
              <w:left w:val="single" w:sz="4" w:space="0" w:color="auto"/>
              <w:bottom w:val="single" w:sz="4" w:space="0" w:color="auto"/>
              <w:right w:val="single" w:sz="4" w:space="0" w:color="auto"/>
            </w:tcBorders>
            <w:shd w:val="clear" w:color="auto" w:fill="auto"/>
            <w:noWrap/>
            <w:vAlign w:val="center"/>
            <w:hideMark/>
          </w:tcPr>
          <w:p w14:paraId="47B90AB9" w14:textId="77777777" w:rsidR="00B977C8" w:rsidRPr="007230D5" w:rsidRDefault="00B977C8" w:rsidP="00B977C8">
            <w:pP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Tribunal Penal del Primer Circuito Judicial de Guanacaste (Cañas)</w:t>
            </w:r>
          </w:p>
        </w:tc>
        <w:tc>
          <w:tcPr>
            <w:tcW w:w="1741" w:type="dxa"/>
            <w:tcBorders>
              <w:top w:val="nil"/>
              <w:left w:val="nil"/>
              <w:bottom w:val="single" w:sz="4" w:space="0" w:color="auto"/>
              <w:right w:val="single" w:sz="4" w:space="0" w:color="auto"/>
            </w:tcBorders>
            <w:shd w:val="clear" w:color="auto" w:fill="auto"/>
            <w:noWrap/>
            <w:vAlign w:val="center"/>
            <w:hideMark/>
          </w:tcPr>
          <w:p w14:paraId="20DD2D7B" w14:textId="77777777" w:rsidR="00B977C8" w:rsidRPr="007230D5" w:rsidRDefault="00B977C8" w:rsidP="00B977C8">
            <w:pPr>
              <w:jc w:val="cente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122%</w:t>
            </w:r>
          </w:p>
        </w:tc>
        <w:tc>
          <w:tcPr>
            <w:tcW w:w="1134" w:type="dxa"/>
            <w:tcBorders>
              <w:top w:val="nil"/>
              <w:left w:val="nil"/>
              <w:bottom w:val="single" w:sz="4" w:space="0" w:color="auto"/>
              <w:right w:val="single" w:sz="4" w:space="0" w:color="auto"/>
            </w:tcBorders>
            <w:shd w:val="clear" w:color="auto" w:fill="auto"/>
            <w:noWrap/>
            <w:vAlign w:val="center"/>
            <w:hideMark/>
          </w:tcPr>
          <w:p w14:paraId="60268C17" w14:textId="77777777" w:rsidR="00B977C8" w:rsidRPr="007230D5" w:rsidRDefault="00B977C8" w:rsidP="00B977C8">
            <w:pPr>
              <w:jc w:val="cente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128%</w:t>
            </w:r>
          </w:p>
        </w:tc>
        <w:tc>
          <w:tcPr>
            <w:tcW w:w="704" w:type="dxa"/>
            <w:tcBorders>
              <w:top w:val="nil"/>
              <w:left w:val="nil"/>
              <w:bottom w:val="single" w:sz="4" w:space="0" w:color="auto"/>
              <w:right w:val="single" w:sz="4" w:space="0" w:color="auto"/>
            </w:tcBorders>
            <w:shd w:val="clear" w:color="000000" w:fill="EDEDED"/>
            <w:noWrap/>
            <w:vAlign w:val="center"/>
            <w:hideMark/>
          </w:tcPr>
          <w:p w14:paraId="41D94857" w14:textId="77777777" w:rsidR="00B977C8" w:rsidRPr="007230D5" w:rsidRDefault="00B977C8" w:rsidP="00B977C8">
            <w:pPr>
              <w:jc w:val="cente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6%</w:t>
            </w:r>
          </w:p>
        </w:tc>
      </w:tr>
      <w:tr w:rsidR="00B977C8" w:rsidRPr="007230D5" w14:paraId="06709765" w14:textId="77777777" w:rsidTr="00777F64">
        <w:trPr>
          <w:trHeight w:val="286"/>
          <w:jc w:val="center"/>
        </w:trPr>
        <w:tc>
          <w:tcPr>
            <w:tcW w:w="6060" w:type="dxa"/>
            <w:tcBorders>
              <w:top w:val="nil"/>
              <w:left w:val="single" w:sz="4" w:space="0" w:color="auto"/>
              <w:bottom w:val="single" w:sz="4" w:space="0" w:color="auto"/>
              <w:right w:val="single" w:sz="4" w:space="0" w:color="auto"/>
            </w:tcBorders>
            <w:shd w:val="clear" w:color="auto" w:fill="auto"/>
            <w:noWrap/>
            <w:vAlign w:val="center"/>
            <w:hideMark/>
          </w:tcPr>
          <w:p w14:paraId="1F4F793A" w14:textId="77777777" w:rsidR="00B977C8" w:rsidRPr="007230D5" w:rsidRDefault="00B977C8" w:rsidP="00B977C8">
            <w:pP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Tribunal Penal del Segundo Circuito Judicial de Alajuela (San Carlos)</w:t>
            </w:r>
          </w:p>
        </w:tc>
        <w:tc>
          <w:tcPr>
            <w:tcW w:w="1741" w:type="dxa"/>
            <w:tcBorders>
              <w:top w:val="nil"/>
              <w:left w:val="nil"/>
              <w:bottom w:val="single" w:sz="4" w:space="0" w:color="auto"/>
              <w:right w:val="single" w:sz="4" w:space="0" w:color="auto"/>
            </w:tcBorders>
            <w:shd w:val="clear" w:color="auto" w:fill="auto"/>
            <w:noWrap/>
            <w:vAlign w:val="center"/>
            <w:hideMark/>
          </w:tcPr>
          <w:p w14:paraId="46EA7B90" w14:textId="77777777" w:rsidR="00B977C8" w:rsidRPr="007230D5" w:rsidRDefault="00B977C8" w:rsidP="00B977C8">
            <w:pPr>
              <w:jc w:val="cente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114%</w:t>
            </w:r>
          </w:p>
        </w:tc>
        <w:tc>
          <w:tcPr>
            <w:tcW w:w="1134" w:type="dxa"/>
            <w:tcBorders>
              <w:top w:val="nil"/>
              <w:left w:val="nil"/>
              <w:bottom w:val="single" w:sz="4" w:space="0" w:color="auto"/>
              <w:right w:val="single" w:sz="4" w:space="0" w:color="auto"/>
            </w:tcBorders>
            <w:shd w:val="clear" w:color="auto" w:fill="auto"/>
            <w:noWrap/>
            <w:vAlign w:val="center"/>
            <w:hideMark/>
          </w:tcPr>
          <w:p w14:paraId="2C9326D2" w14:textId="77777777" w:rsidR="00B977C8" w:rsidRPr="007230D5" w:rsidRDefault="00B977C8" w:rsidP="00B977C8">
            <w:pPr>
              <w:jc w:val="cente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102%</w:t>
            </w:r>
          </w:p>
        </w:tc>
        <w:tc>
          <w:tcPr>
            <w:tcW w:w="704" w:type="dxa"/>
            <w:tcBorders>
              <w:top w:val="nil"/>
              <w:left w:val="nil"/>
              <w:bottom w:val="single" w:sz="4" w:space="0" w:color="auto"/>
              <w:right w:val="single" w:sz="4" w:space="0" w:color="auto"/>
            </w:tcBorders>
            <w:shd w:val="clear" w:color="000000" w:fill="EDEDED"/>
            <w:noWrap/>
            <w:vAlign w:val="center"/>
            <w:hideMark/>
          </w:tcPr>
          <w:p w14:paraId="24450229" w14:textId="77777777" w:rsidR="00B977C8" w:rsidRPr="007230D5" w:rsidRDefault="00B977C8" w:rsidP="00B977C8">
            <w:pPr>
              <w:jc w:val="cente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-12%</w:t>
            </w:r>
          </w:p>
        </w:tc>
      </w:tr>
      <w:tr w:rsidR="00B977C8" w:rsidRPr="007230D5" w14:paraId="0D699D8F" w14:textId="77777777" w:rsidTr="00777F64">
        <w:trPr>
          <w:trHeight w:val="286"/>
          <w:jc w:val="center"/>
        </w:trPr>
        <w:tc>
          <w:tcPr>
            <w:tcW w:w="6060" w:type="dxa"/>
            <w:tcBorders>
              <w:top w:val="nil"/>
              <w:left w:val="single" w:sz="4" w:space="0" w:color="auto"/>
              <w:bottom w:val="single" w:sz="4" w:space="0" w:color="auto"/>
              <w:right w:val="single" w:sz="4" w:space="0" w:color="auto"/>
            </w:tcBorders>
            <w:shd w:val="clear" w:color="auto" w:fill="auto"/>
            <w:noWrap/>
            <w:vAlign w:val="center"/>
            <w:hideMark/>
          </w:tcPr>
          <w:p w14:paraId="286CAF85" w14:textId="77777777" w:rsidR="00B977C8" w:rsidRPr="007230D5" w:rsidRDefault="00B977C8" w:rsidP="00B977C8">
            <w:pP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Tribunal Penal del Segundo Circuito Judicial de Guanacaste (Nicoya)</w:t>
            </w:r>
          </w:p>
        </w:tc>
        <w:tc>
          <w:tcPr>
            <w:tcW w:w="1741" w:type="dxa"/>
            <w:tcBorders>
              <w:top w:val="nil"/>
              <w:left w:val="nil"/>
              <w:bottom w:val="single" w:sz="4" w:space="0" w:color="auto"/>
              <w:right w:val="single" w:sz="4" w:space="0" w:color="auto"/>
            </w:tcBorders>
            <w:shd w:val="clear" w:color="auto" w:fill="auto"/>
            <w:noWrap/>
            <w:vAlign w:val="center"/>
            <w:hideMark/>
          </w:tcPr>
          <w:p w14:paraId="6C965323" w14:textId="77777777" w:rsidR="00B977C8" w:rsidRPr="007230D5" w:rsidRDefault="00B977C8" w:rsidP="00B977C8">
            <w:pPr>
              <w:jc w:val="cente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104%</w:t>
            </w:r>
          </w:p>
        </w:tc>
        <w:tc>
          <w:tcPr>
            <w:tcW w:w="1134" w:type="dxa"/>
            <w:tcBorders>
              <w:top w:val="nil"/>
              <w:left w:val="nil"/>
              <w:bottom w:val="single" w:sz="4" w:space="0" w:color="auto"/>
              <w:right w:val="single" w:sz="4" w:space="0" w:color="auto"/>
            </w:tcBorders>
            <w:shd w:val="clear" w:color="auto" w:fill="auto"/>
            <w:noWrap/>
            <w:vAlign w:val="center"/>
            <w:hideMark/>
          </w:tcPr>
          <w:p w14:paraId="5E004D0A" w14:textId="77777777" w:rsidR="00B977C8" w:rsidRPr="007230D5" w:rsidRDefault="00B977C8" w:rsidP="00B977C8">
            <w:pPr>
              <w:jc w:val="cente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104%</w:t>
            </w:r>
          </w:p>
        </w:tc>
        <w:tc>
          <w:tcPr>
            <w:tcW w:w="704" w:type="dxa"/>
            <w:tcBorders>
              <w:top w:val="nil"/>
              <w:left w:val="nil"/>
              <w:bottom w:val="single" w:sz="4" w:space="0" w:color="auto"/>
              <w:right w:val="single" w:sz="4" w:space="0" w:color="auto"/>
            </w:tcBorders>
            <w:shd w:val="clear" w:color="000000" w:fill="EDEDED"/>
            <w:noWrap/>
            <w:vAlign w:val="center"/>
            <w:hideMark/>
          </w:tcPr>
          <w:p w14:paraId="4C98650E" w14:textId="77777777" w:rsidR="00B977C8" w:rsidRPr="007230D5" w:rsidRDefault="00B977C8" w:rsidP="00B977C8">
            <w:pPr>
              <w:jc w:val="cente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0%</w:t>
            </w:r>
          </w:p>
        </w:tc>
      </w:tr>
      <w:tr w:rsidR="00B977C8" w:rsidRPr="007230D5" w14:paraId="6AAC8C5D" w14:textId="77777777" w:rsidTr="00777F64">
        <w:trPr>
          <w:trHeight w:val="286"/>
          <w:jc w:val="center"/>
        </w:trPr>
        <w:tc>
          <w:tcPr>
            <w:tcW w:w="6060" w:type="dxa"/>
            <w:tcBorders>
              <w:top w:val="nil"/>
              <w:left w:val="single" w:sz="4" w:space="0" w:color="auto"/>
              <w:bottom w:val="single" w:sz="4" w:space="0" w:color="auto"/>
              <w:right w:val="single" w:sz="4" w:space="0" w:color="auto"/>
            </w:tcBorders>
            <w:shd w:val="clear" w:color="auto" w:fill="auto"/>
            <w:noWrap/>
            <w:vAlign w:val="center"/>
            <w:hideMark/>
          </w:tcPr>
          <w:p w14:paraId="27CE37C4" w14:textId="77777777" w:rsidR="00B977C8" w:rsidRPr="007230D5" w:rsidRDefault="00B977C8" w:rsidP="00B977C8">
            <w:pP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Tribunal Penal del Segundo Circuito Judicial de Guanacaste (Santa Cruz)</w:t>
            </w:r>
          </w:p>
        </w:tc>
        <w:tc>
          <w:tcPr>
            <w:tcW w:w="1741" w:type="dxa"/>
            <w:tcBorders>
              <w:top w:val="nil"/>
              <w:left w:val="nil"/>
              <w:bottom w:val="single" w:sz="4" w:space="0" w:color="auto"/>
              <w:right w:val="single" w:sz="4" w:space="0" w:color="auto"/>
            </w:tcBorders>
            <w:shd w:val="clear" w:color="auto" w:fill="auto"/>
            <w:noWrap/>
            <w:vAlign w:val="center"/>
            <w:hideMark/>
          </w:tcPr>
          <w:p w14:paraId="2D3E1240" w14:textId="77777777" w:rsidR="00B977C8" w:rsidRPr="007230D5" w:rsidRDefault="00B977C8" w:rsidP="00B977C8">
            <w:pPr>
              <w:jc w:val="cente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97%</w:t>
            </w:r>
          </w:p>
        </w:tc>
        <w:tc>
          <w:tcPr>
            <w:tcW w:w="1134" w:type="dxa"/>
            <w:tcBorders>
              <w:top w:val="nil"/>
              <w:left w:val="nil"/>
              <w:bottom w:val="single" w:sz="4" w:space="0" w:color="auto"/>
              <w:right w:val="single" w:sz="4" w:space="0" w:color="auto"/>
            </w:tcBorders>
            <w:shd w:val="clear" w:color="auto" w:fill="auto"/>
            <w:noWrap/>
            <w:vAlign w:val="center"/>
            <w:hideMark/>
          </w:tcPr>
          <w:p w14:paraId="414EF5FF" w14:textId="77777777" w:rsidR="00B977C8" w:rsidRPr="007230D5" w:rsidRDefault="00B977C8" w:rsidP="00B977C8">
            <w:pPr>
              <w:jc w:val="cente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110%</w:t>
            </w:r>
          </w:p>
        </w:tc>
        <w:tc>
          <w:tcPr>
            <w:tcW w:w="704" w:type="dxa"/>
            <w:tcBorders>
              <w:top w:val="nil"/>
              <w:left w:val="nil"/>
              <w:bottom w:val="single" w:sz="4" w:space="0" w:color="auto"/>
              <w:right w:val="single" w:sz="4" w:space="0" w:color="auto"/>
            </w:tcBorders>
            <w:shd w:val="clear" w:color="000000" w:fill="EDEDED"/>
            <w:noWrap/>
            <w:vAlign w:val="center"/>
            <w:hideMark/>
          </w:tcPr>
          <w:p w14:paraId="0D3FFBD3" w14:textId="77777777" w:rsidR="00B977C8" w:rsidRPr="007230D5" w:rsidRDefault="00B977C8" w:rsidP="00B977C8">
            <w:pPr>
              <w:jc w:val="cente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13%</w:t>
            </w:r>
          </w:p>
        </w:tc>
      </w:tr>
      <w:tr w:rsidR="00B977C8" w:rsidRPr="007230D5" w14:paraId="4D835A69" w14:textId="77777777" w:rsidTr="00777F64">
        <w:trPr>
          <w:trHeight w:val="286"/>
          <w:jc w:val="center"/>
        </w:trPr>
        <w:tc>
          <w:tcPr>
            <w:tcW w:w="6060" w:type="dxa"/>
            <w:tcBorders>
              <w:top w:val="nil"/>
              <w:left w:val="single" w:sz="4" w:space="0" w:color="auto"/>
              <w:bottom w:val="single" w:sz="4" w:space="0" w:color="auto"/>
              <w:right w:val="single" w:sz="4" w:space="0" w:color="auto"/>
            </w:tcBorders>
            <w:shd w:val="clear" w:color="auto" w:fill="auto"/>
            <w:noWrap/>
            <w:vAlign w:val="center"/>
            <w:hideMark/>
          </w:tcPr>
          <w:p w14:paraId="7891CD42" w14:textId="77777777" w:rsidR="00B977C8" w:rsidRPr="007230D5" w:rsidRDefault="00B977C8" w:rsidP="00B977C8">
            <w:pP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Tribunal Penal Primer Circuito Judicial de Alajuela</w:t>
            </w:r>
          </w:p>
        </w:tc>
        <w:tc>
          <w:tcPr>
            <w:tcW w:w="1741" w:type="dxa"/>
            <w:tcBorders>
              <w:top w:val="nil"/>
              <w:left w:val="nil"/>
              <w:bottom w:val="single" w:sz="4" w:space="0" w:color="auto"/>
              <w:right w:val="single" w:sz="4" w:space="0" w:color="auto"/>
            </w:tcBorders>
            <w:shd w:val="clear" w:color="auto" w:fill="auto"/>
            <w:noWrap/>
            <w:vAlign w:val="center"/>
            <w:hideMark/>
          </w:tcPr>
          <w:p w14:paraId="0C7C5863" w14:textId="77777777" w:rsidR="00B977C8" w:rsidRPr="007230D5" w:rsidRDefault="00B977C8" w:rsidP="00B977C8">
            <w:pPr>
              <w:jc w:val="cente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97%</w:t>
            </w:r>
          </w:p>
        </w:tc>
        <w:tc>
          <w:tcPr>
            <w:tcW w:w="1134" w:type="dxa"/>
            <w:tcBorders>
              <w:top w:val="nil"/>
              <w:left w:val="nil"/>
              <w:bottom w:val="single" w:sz="4" w:space="0" w:color="auto"/>
              <w:right w:val="single" w:sz="4" w:space="0" w:color="auto"/>
            </w:tcBorders>
            <w:shd w:val="clear" w:color="auto" w:fill="auto"/>
            <w:noWrap/>
            <w:vAlign w:val="center"/>
            <w:hideMark/>
          </w:tcPr>
          <w:p w14:paraId="195787BD" w14:textId="77777777" w:rsidR="00B977C8" w:rsidRPr="007230D5" w:rsidRDefault="00B977C8" w:rsidP="00B977C8">
            <w:pPr>
              <w:jc w:val="cente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172%</w:t>
            </w:r>
          </w:p>
        </w:tc>
        <w:tc>
          <w:tcPr>
            <w:tcW w:w="704" w:type="dxa"/>
            <w:tcBorders>
              <w:top w:val="nil"/>
              <w:left w:val="nil"/>
              <w:bottom w:val="single" w:sz="4" w:space="0" w:color="auto"/>
              <w:right w:val="single" w:sz="4" w:space="0" w:color="auto"/>
            </w:tcBorders>
            <w:shd w:val="clear" w:color="000000" w:fill="EDEDED"/>
            <w:noWrap/>
            <w:vAlign w:val="center"/>
            <w:hideMark/>
          </w:tcPr>
          <w:p w14:paraId="4DFF12DC" w14:textId="77777777" w:rsidR="00B977C8" w:rsidRPr="007230D5" w:rsidRDefault="00B977C8" w:rsidP="00B977C8">
            <w:pPr>
              <w:jc w:val="cente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76%</w:t>
            </w:r>
          </w:p>
        </w:tc>
      </w:tr>
      <w:tr w:rsidR="00B977C8" w:rsidRPr="007230D5" w14:paraId="61B46837" w14:textId="77777777" w:rsidTr="00777F64">
        <w:trPr>
          <w:trHeight w:val="286"/>
          <w:jc w:val="center"/>
        </w:trPr>
        <w:tc>
          <w:tcPr>
            <w:tcW w:w="6060" w:type="dxa"/>
            <w:tcBorders>
              <w:top w:val="nil"/>
              <w:left w:val="single" w:sz="4" w:space="0" w:color="auto"/>
              <w:bottom w:val="single" w:sz="4" w:space="0" w:color="auto"/>
              <w:right w:val="single" w:sz="4" w:space="0" w:color="auto"/>
            </w:tcBorders>
            <w:shd w:val="clear" w:color="auto" w:fill="auto"/>
            <w:noWrap/>
            <w:vAlign w:val="center"/>
            <w:hideMark/>
          </w:tcPr>
          <w:p w14:paraId="43305BD7" w14:textId="77777777" w:rsidR="00B977C8" w:rsidRPr="007230D5" w:rsidRDefault="00B977C8" w:rsidP="00B977C8">
            <w:pP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Tribunal Penal del Segundo Circuito Judicial de la Zona Atlántica (Guápiles)</w:t>
            </w:r>
          </w:p>
        </w:tc>
        <w:tc>
          <w:tcPr>
            <w:tcW w:w="1741" w:type="dxa"/>
            <w:tcBorders>
              <w:top w:val="nil"/>
              <w:left w:val="nil"/>
              <w:bottom w:val="single" w:sz="4" w:space="0" w:color="auto"/>
              <w:right w:val="single" w:sz="4" w:space="0" w:color="auto"/>
            </w:tcBorders>
            <w:shd w:val="clear" w:color="auto" w:fill="auto"/>
            <w:noWrap/>
            <w:vAlign w:val="center"/>
            <w:hideMark/>
          </w:tcPr>
          <w:p w14:paraId="31401DF3" w14:textId="77777777" w:rsidR="00B977C8" w:rsidRPr="007230D5" w:rsidRDefault="00B977C8" w:rsidP="00B977C8">
            <w:pPr>
              <w:jc w:val="cente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93%</w:t>
            </w:r>
          </w:p>
        </w:tc>
        <w:tc>
          <w:tcPr>
            <w:tcW w:w="1134" w:type="dxa"/>
            <w:tcBorders>
              <w:top w:val="nil"/>
              <w:left w:val="nil"/>
              <w:bottom w:val="single" w:sz="4" w:space="0" w:color="auto"/>
              <w:right w:val="single" w:sz="4" w:space="0" w:color="auto"/>
            </w:tcBorders>
            <w:shd w:val="clear" w:color="auto" w:fill="auto"/>
            <w:noWrap/>
            <w:vAlign w:val="center"/>
            <w:hideMark/>
          </w:tcPr>
          <w:p w14:paraId="03C9BAC3" w14:textId="77777777" w:rsidR="00B977C8" w:rsidRPr="007230D5" w:rsidRDefault="00B977C8" w:rsidP="00B977C8">
            <w:pPr>
              <w:jc w:val="cente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108%</w:t>
            </w:r>
          </w:p>
        </w:tc>
        <w:tc>
          <w:tcPr>
            <w:tcW w:w="704" w:type="dxa"/>
            <w:tcBorders>
              <w:top w:val="nil"/>
              <w:left w:val="nil"/>
              <w:bottom w:val="single" w:sz="4" w:space="0" w:color="auto"/>
              <w:right w:val="single" w:sz="4" w:space="0" w:color="auto"/>
            </w:tcBorders>
            <w:shd w:val="clear" w:color="000000" w:fill="EDEDED"/>
            <w:noWrap/>
            <w:vAlign w:val="center"/>
            <w:hideMark/>
          </w:tcPr>
          <w:p w14:paraId="6D0E8941" w14:textId="77777777" w:rsidR="00B977C8" w:rsidRPr="007230D5" w:rsidRDefault="00B977C8" w:rsidP="00B977C8">
            <w:pPr>
              <w:jc w:val="cente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15%</w:t>
            </w:r>
          </w:p>
        </w:tc>
      </w:tr>
      <w:tr w:rsidR="00B977C8" w:rsidRPr="007230D5" w14:paraId="76C9C4B4" w14:textId="77777777" w:rsidTr="00777F64">
        <w:trPr>
          <w:trHeight w:val="286"/>
          <w:jc w:val="center"/>
        </w:trPr>
        <w:tc>
          <w:tcPr>
            <w:tcW w:w="6060" w:type="dxa"/>
            <w:tcBorders>
              <w:top w:val="nil"/>
              <w:left w:val="single" w:sz="4" w:space="0" w:color="auto"/>
              <w:bottom w:val="single" w:sz="4" w:space="0" w:color="auto"/>
              <w:right w:val="single" w:sz="4" w:space="0" w:color="auto"/>
            </w:tcBorders>
            <w:shd w:val="clear" w:color="auto" w:fill="auto"/>
            <w:noWrap/>
            <w:vAlign w:val="center"/>
            <w:hideMark/>
          </w:tcPr>
          <w:p w14:paraId="610EEB82" w14:textId="77777777" w:rsidR="00B977C8" w:rsidRPr="007230D5" w:rsidRDefault="00B977C8" w:rsidP="00B977C8">
            <w:pP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 xml:space="preserve">Tribunal Penal de Heredia </w:t>
            </w:r>
          </w:p>
        </w:tc>
        <w:tc>
          <w:tcPr>
            <w:tcW w:w="1741" w:type="dxa"/>
            <w:tcBorders>
              <w:top w:val="nil"/>
              <w:left w:val="nil"/>
              <w:bottom w:val="single" w:sz="4" w:space="0" w:color="auto"/>
              <w:right w:val="single" w:sz="4" w:space="0" w:color="auto"/>
            </w:tcBorders>
            <w:shd w:val="clear" w:color="auto" w:fill="auto"/>
            <w:noWrap/>
            <w:vAlign w:val="center"/>
            <w:hideMark/>
          </w:tcPr>
          <w:p w14:paraId="146DB8CA" w14:textId="77777777" w:rsidR="00B977C8" w:rsidRPr="007230D5" w:rsidRDefault="00B977C8" w:rsidP="00B977C8">
            <w:pPr>
              <w:jc w:val="cente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92%</w:t>
            </w:r>
          </w:p>
        </w:tc>
        <w:tc>
          <w:tcPr>
            <w:tcW w:w="1134" w:type="dxa"/>
            <w:tcBorders>
              <w:top w:val="nil"/>
              <w:left w:val="nil"/>
              <w:bottom w:val="single" w:sz="4" w:space="0" w:color="auto"/>
              <w:right w:val="single" w:sz="4" w:space="0" w:color="auto"/>
            </w:tcBorders>
            <w:shd w:val="clear" w:color="auto" w:fill="auto"/>
            <w:noWrap/>
            <w:vAlign w:val="center"/>
            <w:hideMark/>
          </w:tcPr>
          <w:p w14:paraId="5056D9B3" w14:textId="77777777" w:rsidR="00B977C8" w:rsidRPr="007230D5" w:rsidRDefault="00B977C8" w:rsidP="00B977C8">
            <w:pPr>
              <w:jc w:val="cente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71%</w:t>
            </w:r>
          </w:p>
        </w:tc>
        <w:tc>
          <w:tcPr>
            <w:tcW w:w="704" w:type="dxa"/>
            <w:tcBorders>
              <w:top w:val="nil"/>
              <w:left w:val="nil"/>
              <w:bottom w:val="single" w:sz="4" w:space="0" w:color="auto"/>
              <w:right w:val="single" w:sz="4" w:space="0" w:color="auto"/>
            </w:tcBorders>
            <w:shd w:val="clear" w:color="000000" w:fill="EDEDED"/>
            <w:noWrap/>
            <w:vAlign w:val="center"/>
            <w:hideMark/>
          </w:tcPr>
          <w:p w14:paraId="2EEA8A56" w14:textId="77777777" w:rsidR="00B977C8" w:rsidRPr="007230D5" w:rsidRDefault="00B977C8" w:rsidP="00B977C8">
            <w:pPr>
              <w:jc w:val="cente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-22%</w:t>
            </w:r>
          </w:p>
        </w:tc>
      </w:tr>
      <w:tr w:rsidR="00B977C8" w:rsidRPr="007230D5" w14:paraId="055588CA" w14:textId="77777777" w:rsidTr="00777F64">
        <w:trPr>
          <w:trHeight w:val="286"/>
          <w:jc w:val="center"/>
        </w:trPr>
        <w:tc>
          <w:tcPr>
            <w:tcW w:w="6060" w:type="dxa"/>
            <w:tcBorders>
              <w:top w:val="nil"/>
              <w:left w:val="single" w:sz="4" w:space="0" w:color="auto"/>
              <w:bottom w:val="single" w:sz="4" w:space="0" w:color="auto"/>
              <w:right w:val="single" w:sz="4" w:space="0" w:color="auto"/>
            </w:tcBorders>
            <w:shd w:val="clear" w:color="auto" w:fill="auto"/>
            <w:noWrap/>
            <w:vAlign w:val="center"/>
            <w:hideMark/>
          </w:tcPr>
          <w:p w14:paraId="358C27D3" w14:textId="77777777" w:rsidR="00B977C8" w:rsidRPr="007230D5" w:rsidRDefault="00B977C8" w:rsidP="00B977C8">
            <w:pP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Tribunal Penal de Quepos</w:t>
            </w:r>
          </w:p>
        </w:tc>
        <w:tc>
          <w:tcPr>
            <w:tcW w:w="1741" w:type="dxa"/>
            <w:tcBorders>
              <w:top w:val="nil"/>
              <w:left w:val="nil"/>
              <w:bottom w:val="single" w:sz="4" w:space="0" w:color="auto"/>
              <w:right w:val="single" w:sz="4" w:space="0" w:color="auto"/>
            </w:tcBorders>
            <w:shd w:val="clear" w:color="auto" w:fill="auto"/>
            <w:noWrap/>
            <w:vAlign w:val="center"/>
            <w:hideMark/>
          </w:tcPr>
          <w:p w14:paraId="5CE09BFF" w14:textId="77777777" w:rsidR="00B977C8" w:rsidRPr="007230D5" w:rsidRDefault="00B977C8" w:rsidP="00B977C8">
            <w:pPr>
              <w:jc w:val="cente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91%</w:t>
            </w:r>
          </w:p>
        </w:tc>
        <w:tc>
          <w:tcPr>
            <w:tcW w:w="1134" w:type="dxa"/>
            <w:tcBorders>
              <w:top w:val="nil"/>
              <w:left w:val="nil"/>
              <w:bottom w:val="single" w:sz="4" w:space="0" w:color="auto"/>
              <w:right w:val="single" w:sz="4" w:space="0" w:color="auto"/>
            </w:tcBorders>
            <w:shd w:val="clear" w:color="auto" w:fill="auto"/>
            <w:noWrap/>
            <w:vAlign w:val="center"/>
            <w:hideMark/>
          </w:tcPr>
          <w:p w14:paraId="2FCD7761" w14:textId="77777777" w:rsidR="00B977C8" w:rsidRPr="007230D5" w:rsidRDefault="00B977C8" w:rsidP="00B977C8">
            <w:pPr>
              <w:jc w:val="cente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91%</w:t>
            </w:r>
          </w:p>
        </w:tc>
        <w:tc>
          <w:tcPr>
            <w:tcW w:w="704" w:type="dxa"/>
            <w:tcBorders>
              <w:top w:val="nil"/>
              <w:left w:val="nil"/>
              <w:bottom w:val="single" w:sz="4" w:space="0" w:color="auto"/>
              <w:right w:val="single" w:sz="4" w:space="0" w:color="auto"/>
            </w:tcBorders>
            <w:shd w:val="clear" w:color="000000" w:fill="EDEDED"/>
            <w:noWrap/>
            <w:vAlign w:val="center"/>
            <w:hideMark/>
          </w:tcPr>
          <w:p w14:paraId="786993BC" w14:textId="77777777" w:rsidR="00B977C8" w:rsidRPr="007230D5" w:rsidRDefault="00B977C8" w:rsidP="00B977C8">
            <w:pPr>
              <w:jc w:val="cente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0%</w:t>
            </w:r>
          </w:p>
        </w:tc>
      </w:tr>
      <w:tr w:rsidR="00B977C8" w:rsidRPr="007230D5" w14:paraId="75C822E1" w14:textId="77777777" w:rsidTr="00777F64">
        <w:trPr>
          <w:trHeight w:val="286"/>
          <w:jc w:val="center"/>
        </w:trPr>
        <w:tc>
          <w:tcPr>
            <w:tcW w:w="6060" w:type="dxa"/>
            <w:tcBorders>
              <w:top w:val="nil"/>
              <w:left w:val="single" w:sz="4" w:space="0" w:color="auto"/>
              <w:bottom w:val="single" w:sz="4" w:space="0" w:color="auto"/>
              <w:right w:val="single" w:sz="4" w:space="0" w:color="auto"/>
            </w:tcBorders>
            <w:shd w:val="clear" w:color="auto" w:fill="auto"/>
            <w:noWrap/>
            <w:vAlign w:val="center"/>
            <w:hideMark/>
          </w:tcPr>
          <w:p w14:paraId="3D6D59AA" w14:textId="77777777" w:rsidR="00B977C8" w:rsidRPr="007230D5" w:rsidRDefault="00B977C8" w:rsidP="00B977C8">
            <w:pP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Tribunal Penal de Turrialba</w:t>
            </w:r>
          </w:p>
        </w:tc>
        <w:tc>
          <w:tcPr>
            <w:tcW w:w="1741" w:type="dxa"/>
            <w:tcBorders>
              <w:top w:val="nil"/>
              <w:left w:val="nil"/>
              <w:bottom w:val="single" w:sz="4" w:space="0" w:color="auto"/>
              <w:right w:val="single" w:sz="4" w:space="0" w:color="auto"/>
            </w:tcBorders>
            <w:shd w:val="clear" w:color="auto" w:fill="auto"/>
            <w:noWrap/>
            <w:vAlign w:val="center"/>
            <w:hideMark/>
          </w:tcPr>
          <w:p w14:paraId="2715B603" w14:textId="77777777" w:rsidR="00B977C8" w:rsidRPr="007230D5" w:rsidRDefault="00B977C8" w:rsidP="00B977C8">
            <w:pPr>
              <w:jc w:val="cente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88%</w:t>
            </w:r>
          </w:p>
        </w:tc>
        <w:tc>
          <w:tcPr>
            <w:tcW w:w="1134" w:type="dxa"/>
            <w:tcBorders>
              <w:top w:val="nil"/>
              <w:left w:val="nil"/>
              <w:bottom w:val="single" w:sz="4" w:space="0" w:color="auto"/>
              <w:right w:val="single" w:sz="4" w:space="0" w:color="auto"/>
            </w:tcBorders>
            <w:shd w:val="clear" w:color="auto" w:fill="auto"/>
            <w:noWrap/>
            <w:vAlign w:val="center"/>
            <w:hideMark/>
          </w:tcPr>
          <w:p w14:paraId="06F4501C" w14:textId="77777777" w:rsidR="00B977C8" w:rsidRPr="007230D5" w:rsidRDefault="00B977C8" w:rsidP="00B977C8">
            <w:pPr>
              <w:jc w:val="cente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59%</w:t>
            </w:r>
          </w:p>
        </w:tc>
        <w:tc>
          <w:tcPr>
            <w:tcW w:w="704" w:type="dxa"/>
            <w:tcBorders>
              <w:top w:val="nil"/>
              <w:left w:val="nil"/>
              <w:bottom w:val="single" w:sz="4" w:space="0" w:color="auto"/>
              <w:right w:val="single" w:sz="4" w:space="0" w:color="auto"/>
            </w:tcBorders>
            <w:shd w:val="clear" w:color="000000" w:fill="EDEDED"/>
            <w:noWrap/>
            <w:vAlign w:val="center"/>
            <w:hideMark/>
          </w:tcPr>
          <w:p w14:paraId="65B1EC6E" w14:textId="77777777" w:rsidR="00B977C8" w:rsidRPr="007230D5" w:rsidRDefault="00B977C8" w:rsidP="00B977C8">
            <w:pPr>
              <w:jc w:val="cente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-28%</w:t>
            </w:r>
          </w:p>
        </w:tc>
      </w:tr>
      <w:tr w:rsidR="00B977C8" w:rsidRPr="007230D5" w14:paraId="7CA932DC" w14:textId="77777777" w:rsidTr="00777F64">
        <w:trPr>
          <w:trHeight w:val="286"/>
          <w:jc w:val="center"/>
        </w:trPr>
        <w:tc>
          <w:tcPr>
            <w:tcW w:w="6060" w:type="dxa"/>
            <w:tcBorders>
              <w:top w:val="nil"/>
              <w:left w:val="single" w:sz="4" w:space="0" w:color="auto"/>
              <w:bottom w:val="single" w:sz="4" w:space="0" w:color="auto"/>
              <w:right w:val="single" w:sz="4" w:space="0" w:color="auto"/>
            </w:tcBorders>
            <w:shd w:val="clear" w:color="auto" w:fill="auto"/>
            <w:noWrap/>
            <w:vAlign w:val="center"/>
            <w:hideMark/>
          </w:tcPr>
          <w:p w14:paraId="19EF19A9" w14:textId="77777777" w:rsidR="00B977C8" w:rsidRPr="007230D5" w:rsidRDefault="00B977C8" w:rsidP="00B977C8">
            <w:pP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Tribunal Penal de Sarapiquí</w:t>
            </w:r>
          </w:p>
        </w:tc>
        <w:tc>
          <w:tcPr>
            <w:tcW w:w="1741" w:type="dxa"/>
            <w:tcBorders>
              <w:top w:val="nil"/>
              <w:left w:val="nil"/>
              <w:bottom w:val="single" w:sz="4" w:space="0" w:color="auto"/>
              <w:right w:val="single" w:sz="4" w:space="0" w:color="auto"/>
            </w:tcBorders>
            <w:shd w:val="clear" w:color="auto" w:fill="auto"/>
            <w:noWrap/>
            <w:vAlign w:val="center"/>
            <w:hideMark/>
          </w:tcPr>
          <w:p w14:paraId="04B82F0E" w14:textId="77777777" w:rsidR="00B977C8" w:rsidRPr="007230D5" w:rsidRDefault="00B977C8" w:rsidP="00B977C8">
            <w:pPr>
              <w:jc w:val="cente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86%</w:t>
            </w:r>
          </w:p>
        </w:tc>
        <w:tc>
          <w:tcPr>
            <w:tcW w:w="1134" w:type="dxa"/>
            <w:tcBorders>
              <w:top w:val="nil"/>
              <w:left w:val="nil"/>
              <w:bottom w:val="single" w:sz="4" w:space="0" w:color="auto"/>
              <w:right w:val="single" w:sz="4" w:space="0" w:color="auto"/>
            </w:tcBorders>
            <w:shd w:val="clear" w:color="auto" w:fill="auto"/>
            <w:noWrap/>
            <w:vAlign w:val="center"/>
            <w:hideMark/>
          </w:tcPr>
          <w:p w14:paraId="28F1EA94" w14:textId="77777777" w:rsidR="00B977C8" w:rsidRPr="007230D5" w:rsidRDefault="00B977C8" w:rsidP="00B977C8">
            <w:pPr>
              <w:jc w:val="cente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79%</w:t>
            </w:r>
          </w:p>
        </w:tc>
        <w:tc>
          <w:tcPr>
            <w:tcW w:w="704" w:type="dxa"/>
            <w:tcBorders>
              <w:top w:val="nil"/>
              <w:left w:val="nil"/>
              <w:bottom w:val="single" w:sz="4" w:space="0" w:color="auto"/>
              <w:right w:val="single" w:sz="4" w:space="0" w:color="auto"/>
            </w:tcBorders>
            <w:shd w:val="clear" w:color="000000" w:fill="EDEDED"/>
            <w:noWrap/>
            <w:vAlign w:val="center"/>
            <w:hideMark/>
          </w:tcPr>
          <w:p w14:paraId="63C0F5F9" w14:textId="77777777" w:rsidR="00B977C8" w:rsidRPr="007230D5" w:rsidRDefault="00B977C8" w:rsidP="00B977C8">
            <w:pPr>
              <w:jc w:val="cente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-7%</w:t>
            </w:r>
          </w:p>
        </w:tc>
      </w:tr>
      <w:tr w:rsidR="00B977C8" w:rsidRPr="007230D5" w14:paraId="5284086A" w14:textId="77777777" w:rsidTr="00777F64">
        <w:trPr>
          <w:trHeight w:val="286"/>
          <w:jc w:val="center"/>
        </w:trPr>
        <w:tc>
          <w:tcPr>
            <w:tcW w:w="6060" w:type="dxa"/>
            <w:tcBorders>
              <w:top w:val="nil"/>
              <w:left w:val="single" w:sz="4" w:space="0" w:color="auto"/>
              <w:bottom w:val="single" w:sz="4" w:space="0" w:color="auto"/>
              <w:right w:val="single" w:sz="4" w:space="0" w:color="auto"/>
            </w:tcBorders>
            <w:shd w:val="clear" w:color="auto" w:fill="auto"/>
            <w:noWrap/>
            <w:vAlign w:val="center"/>
            <w:hideMark/>
          </w:tcPr>
          <w:p w14:paraId="02112739" w14:textId="77777777" w:rsidR="00B977C8" w:rsidRPr="007230D5" w:rsidRDefault="00B977C8" w:rsidP="00B977C8">
            <w:pP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Tribunal Penal Segundo Circuito Judicial de la Zona Sur (Corredores)</w:t>
            </w:r>
          </w:p>
        </w:tc>
        <w:tc>
          <w:tcPr>
            <w:tcW w:w="1741" w:type="dxa"/>
            <w:tcBorders>
              <w:top w:val="nil"/>
              <w:left w:val="nil"/>
              <w:bottom w:val="single" w:sz="4" w:space="0" w:color="auto"/>
              <w:right w:val="single" w:sz="4" w:space="0" w:color="auto"/>
            </w:tcBorders>
            <w:shd w:val="clear" w:color="auto" w:fill="auto"/>
            <w:noWrap/>
            <w:vAlign w:val="center"/>
            <w:hideMark/>
          </w:tcPr>
          <w:p w14:paraId="671A6E93" w14:textId="77777777" w:rsidR="00B977C8" w:rsidRPr="007230D5" w:rsidRDefault="00B977C8" w:rsidP="00B977C8">
            <w:pPr>
              <w:jc w:val="cente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86%</w:t>
            </w:r>
          </w:p>
        </w:tc>
        <w:tc>
          <w:tcPr>
            <w:tcW w:w="1134" w:type="dxa"/>
            <w:tcBorders>
              <w:top w:val="nil"/>
              <w:left w:val="nil"/>
              <w:bottom w:val="single" w:sz="4" w:space="0" w:color="auto"/>
              <w:right w:val="single" w:sz="4" w:space="0" w:color="auto"/>
            </w:tcBorders>
            <w:shd w:val="clear" w:color="auto" w:fill="auto"/>
            <w:noWrap/>
            <w:vAlign w:val="center"/>
            <w:hideMark/>
          </w:tcPr>
          <w:p w14:paraId="7C10F86F" w14:textId="77777777" w:rsidR="00B977C8" w:rsidRPr="007230D5" w:rsidRDefault="00B977C8" w:rsidP="00B977C8">
            <w:pPr>
              <w:jc w:val="cente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86%</w:t>
            </w:r>
          </w:p>
        </w:tc>
        <w:tc>
          <w:tcPr>
            <w:tcW w:w="704" w:type="dxa"/>
            <w:tcBorders>
              <w:top w:val="nil"/>
              <w:left w:val="nil"/>
              <w:bottom w:val="single" w:sz="4" w:space="0" w:color="auto"/>
              <w:right w:val="single" w:sz="4" w:space="0" w:color="auto"/>
            </w:tcBorders>
            <w:shd w:val="clear" w:color="000000" w:fill="EDEDED"/>
            <w:noWrap/>
            <w:vAlign w:val="center"/>
            <w:hideMark/>
          </w:tcPr>
          <w:p w14:paraId="3217B4E8" w14:textId="77777777" w:rsidR="00B977C8" w:rsidRPr="007230D5" w:rsidRDefault="00B977C8" w:rsidP="00B977C8">
            <w:pPr>
              <w:jc w:val="cente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0%</w:t>
            </w:r>
          </w:p>
        </w:tc>
      </w:tr>
      <w:tr w:rsidR="00B977C8" w:rsidRPr="007230D5" w14:paraId="44C0A3D8" w14:textId="77777777" w:rsidTr="00777F64">
        <w:trPr>
          <w:trHeight w:val="286"/>
          <w:jc w:val="center"/>
        </w:trPr>
        <w:tc>
          <w:tcPr>
            <w:tcW w:w="6060" w:type="dxa"/>
            <w:tcBorders>
              <w:top w:val="nil"/>
              <w:left w:val="single" w:sz="4" w:space="0" w:color="auto"/>
              <w:bottom w:val="single" w:sz="4" w:space="0" w:color="auto"/>
              <w:right w:val="single" w:sz="4" w:space="0" w:color="auto"/>
            </w:tcBorders>
            <w:shd w:val="clear" w:color="auto" w:fill="auto"/>
            <w:noWrap/>
            <w:vAlign w:val="center"/>
            <w:hideMark/>
          </w:tcPr>
          <w:p w14:paraId="2E43A612" w14:textId="77777777" w:rsidR="00B977C8" w:rsidRPr="007230D5" w:rsidRDefault="00B977C8" w:rsidP="00B977C8">
            <w:pP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Tribunal Penal del Primer Circuito Judicial de la Zona Atlántica (Limón)</w:t>
            </w:r>
          </w:p>
        </w:tc>
        <w:tc>
          <w:tcPr>
            <w:tcW w:w="1741" w:type="dxa"/>
            <w:tcBorders>
              <w:top w:val="nil"/>
              <w:left w:val="nil"/>
              <w:bottom w:val="single" w:sz="4" w:space="0" w:color="auto"/>
              <w:right w:val="single" w:sz="4" w:space="0" w:color="auto"/>
            </w:tcBorders>
            <w:shd w:val="clear" w:color="auto" w:fill="auto"/>
            <w:noWrap/>
            <w:vAlign w:val="center"/>
            <w:hideMark/>
          </w:tcPr>
          <w:p w14:paraId="7446D907" w14:textId="77777777" w:rsidR="00B977C8" w:rsidRPr="007230D5" w:rsidRDefault="00B977C8" w:rsidP="00B977C8">
            <w:pPr>
              <w:jc w:val="cente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79%</w:t>
            </w:r>
          </w:p>
        </w:tc>
        <w:tc>
          <w:tcPr>
            <w:tcW w:w="1134" w:type="dxa"/>
            <w:tcBorders>
              <w:top w:val="nil"/>
              <w:left w:val="nil"/>
              <w:bottom w:val="single" w:sz="4" w:space="0" w:color="auto"/>
              <w:right w:val="single" w:sz="4" w:space="0" w:color="auto"/>
            </w:tcBorders>
            <w:shd w:val="clear" w:color="auto" w:fill="auto"/>
            <w:noWrap/>
            <w:vAlign w:val="center"/>
            <w:hideMark/>
          </w:tcPr>
          <w:p w14:paraId="5D00CF3D" w14:textId="77777777" w:rsidR="00B977C8" w:rsidRPr="007230D5" w:rsidRDefault="00B977C8" w:rsidP="00B977C8">
            <w:pPr>
              <w:jc w:val="cente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102%</w:t>
            </w:r>
          </w:p>
        </w:tc>
        <w:tc>
          <w:tcPr>
            <w:tcW w:w="704" w:type="dxa"/>
            <w:tcBorders>
              <w:top w:val="nil"/>
              <w:left w:val="nil"/>
              <w:bottom w:val="single" w:sz="4" w:space="0" w:color="auto"/>
              <w:right w:val="single" w:sz="4" w:space="0" w:color="auto"/>
            </w:tcBorders>
            <w:shd w:val="clear" w:color="000000" w:fill="EDEDED"/>
            <w:noWrap/>
            <w:vAlign w:val="center"/>
            <w:hideMark/>
          </w:tcPr>
          <w:p w14:paraId="031B2E02" w14:textId="77777777" w:rsidR="00B977C8" w:rsidRPr="007230D5" w:rsidRDefault="00B977C8" w:rsidP="00B977C8">
            <w:pPr>
              <w:jc w:val="cente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23%</w:t>
            </w:r>
          </w:p>
        </w:tc>
      </w:tr>
      <w:tr w:rsidR="00B977C8" w:rsidRPr="007230D5" w14:paraId="3F911052" w14:textId="77777777" w:rsidTr="00777F64">
        <w:trPr>
          <w:trHeight w:val="286"/>
          <w:jc w:val="center"/>
        </w:trPr>
        <w:tc>
          <w:tcPr>
            <w:tcW w:w="6060" w:type="dxa"/>
            <w:tcBorders>
              <w:top w:val="nil"/>
              <w:left w:val="single" w:sz="4" w:space="0" w:color="auto"/>
              <w:bottom w:val="single" w:sz="4" w:space="0" w:color="auto"/>
              <w:right w:val="single" w:sz="4" w:space="0" w:color="auto"/>
            </w:tcBorders>
            <w:shd w:val="clear" w:color="auto" w:fill="auto"/>
            <w:noWrap/>
            <w:vAlign w:val="center"/>
            <w:hideMark/>
          </w:tcPr>
          <w:p w14:paraId="2D5A7A40" w14:textId="77777777" w:rsidR="00B977C8" w:rsidRPr="007230D5" w:rsidRDefault="00B977C8" w:rsidP="00B977C8">
            <w:pP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Tribunal Penal del Primer Circuito Judicial de la Zona Sur (Perez Zeledón)</w:t>
            </w:r>
          </w:p>
        </w:tc>
        <w:tc>
          <w:tcPr>
            <w:tcW w:w="1741" w:type="dxa"/>
            <w:tcBorders>
              <w:top w:val="nil"/>
              <w:left w:val="nil"/>
              <w:bottom w:val="single" w:sz="4" w:space="0" w:color="auto"/>
              <w:right w:val="single" w:sz="4" w:space="0" w:color="auto"/>
            </w:tcBorders>
            <w:shd w:val="clear" w:color="auto" w:fill="auto"/>
            <w:noWrap/>
            <w:vAlign w:val="center"/>
            <w:hideMark/>
          </w:tcPr>
          <w:p w14:paraId="0310BF7F" w14:textId="77777777" w:rsidR="00B977C8" w:rsidRPr="007230D5" w:rsidRDefault="00B977C8" w:rsidP="00B977C8">
            <w:pPr>
              <w:jc w:val="cente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73%</w:t>
            </w:r>
          </w:p>
        </w:tc>
        <w:tc>
          <w:tcPr>
            <w:tcW w:w="1134" w:type="dxa"/>
            <w:tcBorders>
              <w:top w:val="nil"/>
              <w:left w:val="nil"/>
              <w:bottom w:val="single" w:sz="4" w:space="0" w:color="auto"/>
              <w:right w:val="single" w:sz="4" w:space="0" w:color="auto"/>
            </w:tcBorders>
            <w:shd w:val="clear" w:color="auto" w:fill="auto"/>
            <w:noWrap/>
            <w:vAlign w:val="center"/>
            <w:hideMark/>
          </w:tcPr>
          <w:p w14:paraId="348F213C" w14:textId="77777777" w:rsidR="00B977C8" w:rsidRPr="007230D5" w:rsidRDefault="00B977C8" w:rsidP="00B977C8">
            <w:pPr>
              <w:jc w:val="cente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71%</w:t>
            </w:r>
          </w:p>
        </w:tc>
        <w:tc>
          <w:tcPr>
            <w:tcW w:w="704" w:type="dxa"/>
            <w:tcBorders>
              <w:top w:val="nil"/>
              <w:left w:val="nil"/>
              <w:bottom w:val="single" w:sz="4" w:space="0" w:color="auto"/>
              <w:right w:val="single" w:sz="4" w:space="0" w:color="auto"/>
            </w:tcBorders>
            <w:shd w:val="clear" w:color="000000" w:fill="EDEDED"/>
            <w:noWrap/>
            <w:vAlign w:val="center"/>
            <w:hideMark/>
          </w:tcPr>
          <w:p w14:paraId="71FADA2E" w14:textId="77777777" w:rsidR="00B977C8" w:rsidRPr="007230D5" w:rsidRDefault="00B977C8" w:rsidP="00B977C8">
            <w:pPr>
              <w:jc w:val="cente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-2%</w:t>
            </w:r>
          </w:p>
        </w:tc>
      </w:tr>
      <w:tr w:rsidR="00B977C8" w:rsidRPr="007230D5" w14:paraId="6407DB3D" w14:textId="77777777" w:rsidTr="00777F64">
        <w:trPr>
          <w:trHeight w:val="286"/>
          <w:jc w:val="center"/>
        </w:trPr>
        <w:tc>
          <w:tcPr>
            <w:tcW w:w="6060" w:type="dxa"/>
            <w:tcBorders>
              <w:top w:val="nil"/>
              <w:left w:val="single" w:sz="4" w:space="0" w:color="auto"/>
              <w:bottom w:val="single" w:sz="4" w:space="0" w:color="auto"/>
              <w:right w:val="single" w:sz="4" w:space="0" w:color="auto"/>
            </w:tcBorders>
            <w:shd w:val="clear" w:color="auto" w:fill="auto"/>
            <w:noWrap/>
            <w:vAlign w:val="center"/>
            <w:hideMark/>
          </w:tcPr>
          <w:p w14:paraId="3B2BEC23" w14:textId="77777777" w:rsidR="00B977C8" w:rsidRPr="007230D5" w:rsidRDefault="00B977C8" w:rsidP="00B977C8">
            <w:pP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Tribunal Penal del Tercer Circuito Judicial de San José (Desamparados)</w:t>
            </w:r>
          </w:p>
        </w:tc>
        <w:tc>
          <w:tcPr>
            <w:tcW w:w="1741" w:type="dxa"/>
            <w:tcBorders>
              <w:top w:val="nil"/>
              <w:left w:val="nil"/>
              <w:bottom w:val="single" w:sz="4" w:space="0" w:color="auto"/>
              <w:right w:val="single" w:sz="4" w:space="0" w:color="auto"/>
            </w:tcBorders>
            <w:shd w:val="clear" w:color="auto" w:fill="auto"/>
            <w:noWrap/>
            <w:vAlign w:val="center"/>
            <w:hideMark/>
          </w:tcPr>
          <w:p w14:paraId="1F0EC618" w14:textId="77777777" w:rsidR="00B977C8" w:rsidRPr="007230D5" w:rsidRDefault="00B977C8" w:rsidP="00B977C8">
            <w:pPr>
              <w:jc w:val="cente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73%</w:t>
            </w:r>
          </w:p>
        </w:tc>
        <w:tc>
          <w:tcPr>
            <w:tcW w:w="1134" w:type="dxa"/>
            <w:tcBorders>
              <w:top w:val="nil"/>
              <w:left w:val="nil"/>
              <w:bottom w:val="single" w:sz="4" w:space="0" w:color="auto"/>
              <w:right w:val="single" w:sz="4" w:space="0" w:color="auto"/>
            </w:tcBorders>
            <w:shd w:val="clear" w:color="auto" w:fill="auto"/>
            <w:noWrap/>
            <w:vAlign w:val="center"/>
            <w:hideMark/>
          </w:tcPr>
          <w:p w14:paraId="14D25638" w14:textId="77777777" w:rsidR="00B977C8" w:rsidRPr="007230D5" w:rsidRDefault="00B977C8" w:rsidP="00B977C8">
            <w:pPr>
              <w:jc w:val="cente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69%</w:t>
            </w:r>
          </w:p>
        </w:tc>
        <w:tc>
          <w:tcPr>
            <w:tcW w:w="704" w:type="dxa"/>
            <w:tcBorders>
              <w:top w:val="nil"/>
              <w:left w:val="nil"/>
              <w:bottom w:val="single" w:sz="4" w:space="0" w:color="auto"/>
              <w:right w:val="single" w:sz="4" w:space="0" w:color="auto"/>
            </w:tcBorders>
            <w:shd w:val="clear" w:color="000000" w:fill="EDEDED"/>
            <w:noWrap/>
            <w:vAlign w:val="center"/>
            <w:hideMark/>
          </w:tcPr>
          <w:p w14:paraId="64427177" w14:textId="77777777" w:rsidR="00B977C8" w:rsidRPr="007230D5" w:rsidRDefault="00B977C8" w:rsidP="00B977C8">
            <w:pPr>
              <w:jc w:val="cente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-4%</w:t>
            </w:r>
          </w:p>
        </w:tc>
      </w:tr>
      <w:tr w:rsidR="00B977C8" w:rsidRPr="007230D5" w14:paraId="330B02C0" w14:textId="77777777" w:rsidTr="00777F64">
        <w:trPr>
          <w:trHeight w:val="286"/>
          <w:jc w:val="center"/>
        </w:trPr>
        <w:tc>
          <w:tcPr>
            <w:tcW w:w="6060" w:type="dxa"/>
            <w:tcBorders>
              <w:top w:val="nil"/>
              <w:left w:val="single" w:sz="4" w:space="0" w:color="auto"/>
              <w:bottom w:val="single" w:sz="4" w:space="0" w:color="auto"/>
              <w:right w:val="single" w:sz="4" w:space="0" w:color="auto"/>
            </w:tcBorders>
            <w:shd w:val="clear" w:color="auto" w:fill="auto"/>
            <w:noWrap/>
            <w:vAlign w:val="center"/>
            <w:hideMark/>
          </w:tcPr>
          <w:p w14:paraId="1C729A6A" w14:textId="77777777" w:rsidR="00B977C8" w:rsidRPr="007230D5" w:rsidRDefault="00B977C8" w:rsidP="00B977C8">
            <w:pP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Tribunal Penal de Cartago</w:t>
            </w:r>
          </w:p>
        </w:tc>
        <w:tc>
          <w:tcPr>
            <w:tcW w:w="1741" w:type="dxa"/>
            <w:tcBorders>
              <w:top w:val="nil"/>
              <w:left w:val="nil"/>
              <w:bottom w:val="single" w:sz="4" w:space="0" w:color="auto"/>
              <w:right w:val="single" w:sz="4" w:space="0" w:color="auto"/>
            </w:tcBorders>
            <w:shd w:val="clear" w:color="auto" w:fill="auto"/>
            <w:noWrap/>
            <w:vAlign w:val="center"/>
            <w:hideMark/>
          </w:tcPr>
          <w:p w14:paraId="739A9385" w14:textId="77777777" w:rsidR="00B977C8" w:rsidRPr="007230D5" w:rsidRDefault="00B977C8" w:rsidP="00B977C8">
            <w:pPr>
              <w:jc w:val="cente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72%</w:t>
            </w:r>
          </w:p>
        </w:tc>
        <w:tc>
          <w:tcPr>
            <w:tcW w:w="1134" w:type="dxa"/>
            <w:tcBorders>
              <w:top w:val="nil"/>
              <w:left w:val="nil"/>
              <w:bottom w:val="single" w:sz="4" w:space="0" w:color="auto"/>
              <w:right w:val="single" w:sz="4" w:space="0" w:color="auto"/>
            </w:tcBorders>
            <w:shd w:val="clear" w:color="auto" w:fill="auto"/>
            <w:noWrap/>
            <w:vAlign w:val="center"/>
            <w:hideMark/>
          </w:tcPr>
          <w:p w14:paraId="0C1A4C4E" w14:textId="77777777" w:rsidR="00B977C8" w:rsidRPr="007230D5" w:rsidRDefault="00B977C8" w:rsidP="00B977C8">
            <w:pPr>
              <w:jc w:val="cente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64%</w:t>
            </w:r>
          </w:p>
        </w:tc>
        <w:tc>
          <w:tcPr>
            <w:tcW w:w="704" w:type="dxa"/>
            <w:tcBorders>
              <w:top w:val="nil"/>
              <w:left w:val="nil"/>
              <w:bottom w:val="single" w:sz="4" w:space="0" w:color="auto"/>
              <w:right w:val="single" w:sz="4" w:space="0" w:color="auto"/>
            </w:tcBorders>
            <w:shd w:val="clear" w:color="000000" w:fill="EDEDED"/>
            <w:noWrap/>
            <w:vAlign w:val="center"/>
            <w:hideMark/>
          </w:tcPr>
          <w:p w14:paraId="67EE10E5" w14:textId="77777777" w:rsidR="00B977C8" w:rsidRPr="007230D5" w:rsidRDefault="00B977C8" w:rsidP="00B977C8">
            <w:pPr>
              <w:jc w:val="cente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-8%</w:t>
            </w:r>
          </w:p>
        </w:tc>
      </w:tr>
      <w:tr w:rsidR="00B977C8" w:rsidRPr="007230D5" w14:paraId="777526C5" w14:textId="77777777" w:rsidTr="00777F64">
        <w:trPr>
          <w:trHeight w:val="286"/>
          <w:jc w:val="center"/>
        </w:trPr>
        <w:tc>
          <w:tcPr>
            <w:tcW w:w="6060" w:type="dxa"/>
            <w:tcBorders>
              <w:top w:val="nil"/>
              <w:left w:val="single" w:sz="4" w:space="0" w:color="auto"/>
              <w:bottom w:val="single" w:sz="4" w:space="0" w:color="auto"/>
              <w:right w:val="single" w:sz="4" w:space="0" w:color="auto"/>
            </w:tcBorders>
            <w:shd w:val="clear" w:color="auto" w:fill="auto"/>
            <w:noWrap/>
            <w:vAlign w:val="center"/>
            <w:hideMark/>
          </w:tcPr>
          <w:p w14:paraId="48754642" w14:textId="77777777" w:rsidR="00B977C8" w:rsidRPr="007230D5" w:rsidRDefault="00B977C8" w:rsidP="00B977C8">
            <w:pP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Tribunal Penal del Primer Circuito Judicial de San José</w:t>
            </w:r>
          </w:p>
        </w:tc>
        <w:tc>
          <w:tcPr>
            <w:tcW w:w="1741" w:type="dxa"/>
            <w:tcBorders>
              <w:top w:val="nil"/>
              <w:left w:val="nil"/>
              <w:bottom w:val="single" w:sz="4" w:space="0" w:color="auto"/>
              <w:right w:val="single" w:sz="4" w:space="0" w:color="auto"/>
            </w:tcBorders>
            <w:shd w:val="clear" w:color="auto" w:fill="auto"/>
            <w:noWrap/>
            <w:vAlign w:val="center"/>
            <w:hideMark/>
          </w:tcPr>
          <w:p w14:paraId="561528E4" w14:textId="77777777" w:rsidR="00B977C8" w:rsidRPr="007230D5" w:rsidRDefault="00B977C8" w:rsidP="00B977C8">
            <w:pPr>
              <w:jc w:val="cente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67%</w:t>
            </w:r>
          </w:p>
        </w:tc>
        <w:tc>
          <w:tcPr>
            <w:tcW w:w="1134" w:type="dxa"/>
            <w:tcBorders>
              <w:top w:val="nil"/>
              <w:left w:val="nil"/>
              <w:bottom w:val="single" w:sz="4" w:space="0" w:color="auto"/>
              <w:right w:val="single" w:sz="4" w:space="0" w:color="auto"/>
            </w:tcBorders>
            <w:shd w:val="clear" w:color="auto" w:fill="auto"/>
            <w:noWrap/>
            <w:vAlign w:val="center"/>
            <w:hideMark/>
          </w:tcPr>
          <w:p w14:paraId="04CEA7A5" w14:textId="77777777" w:rsidR="00B977C8" w:rsidRPr="007230D5" w:rsidRDefault="00B977C8" w:rsidP="00B977C8">
            <w:pPr>
              <w:jc w:val="cente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67%</w:t>
            </w:r>
          </w:p>
        </w:tc>
        <w:tc>
          <w:tcPr>
            <w:tcW w:w="704" w:type="dxa"/>
            <w:tcBorders>
              <w:top w:val="nil"/>
              <w:left w:val="nil"/>
              <w:bottom w:val="single" w:sz="4" w:space="0" w:color="auto"/>
              <w:right w:val="single" w:sz="4" w:space="0" w:color="auto"/>
            </w:tcBorders>
            <w:shd w:val="clear" w:color="000000" w:fill="EDEDED"/>
            <w:noWrap/>
            <w:vAlign w:val="center"/>
            <w:hideMark/>
          </w:tcPr>
          <w:p w14:paraId="07021F3D" w14:textId="77777777" w:rsidR="00B977C8" w:rsidRPr="007230D5" w:rsidRDefault="00B977C8" w:rsidP="00B977C8">
            <w:pPr>
              <w:jc w:val="cente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0%</w:t>
            </w:r>
          </w:p>
        </w:tc>
      </w:tr>
      <w:tr w:rsidR="00B977C8" w:rsidRPr="007230D5" w14:paraId="42DB687E" w14:textId="77777777" w:rsidTr="00777F64">
        <w:trPr>
          <w:trHeight w:val="286"/>
          <w:jc w:val="center"/>
        </w:trPr>
        <w:tc>
          <w:tcPr>
            <w:tcW w:w="6060" w:type="dxa"/>
            <w:tcBorders>
              <w:top w:val="nil"/>
              <w:left w:val="single" w:sz="4" w:space="0" w:color="auto"/>
              <w:bottom w:val="single" w:sz="4" w:space="0" w:color="auto"/>
              <w:right w:val="single" w:sz="4" w:space="0" w:color="auto"/>
            </w:tcBorders>
            <w:shd w:val="clear" w:color="auto" w:fill="auto"/>
            <w:noWrap/>
            <w:vAlign w:val="center"/>
            <w:hideMark/>
          </w:tcPr>
          <w:p w14:paraId="645D5BEF" w14:textId="114D9B8A" w:rsidR="00B977C8" w:rsidRPr="007230D5" w:rsidRDefault="00B977C8" w:rsidP="00B977C8">
            <w:pP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Tribunal Penal del Tercer Circuito Judicial de Alajuela Sede Grecia</w:t>
            </w:r>
          </w:p>
        </w:tc>
        <w:tc>
          <w:tcPr>
            <w:tcW w:w="1741" w:type="dxa"/>
            <w:tcBorders>
              <w:top w:val="nil"/>
              <w:left w:val="nil"/>
              <w:bottom w:val="single" w:sz="4" w:space="0" w:color="auto"/>
              <w:right w:val="single" w:sz="4" w:space="0" w:color="auto"/>
            </w:tcBorders>
            <w:shd w:val="clear" w:color="auto" w:fill="auto"/>
            <w:noWrap/>
            <w:vAlign w:val="center"/>
            <w:hideMark/>
          </w:tcPr>
          <w:p w14:paraId="6C9CD024" w14:textId="77777777" w:rsidR="00B977C8" w:rsidRPr="007230D5" w:rsidRDefault="00B977C8" w:rsidP="00B977C8">
            <w:pPr>
              <w:jc w:val="cente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58%</w:t>
            </w:r>
          </w:p>
        </w:tc>
        <w:tc>
          <w:tcPr>
            <w:tcW w:w="1134" w:type="dxa"/>
            <w:tcBorders>
              <w:top w:val="nil"/>
              <w:left w:val="nil"/>
              <w:bottom w:val="single" w:sz="4" w:space="0" w:color="auto"/>
              <w:right w:val="single" w:sz="4" w:space="0" w:color="auto"/>
            </w:tcBorders>
            <w:shd w:val="clear" w:color="auto" w:fill="auto"/>
            <w:noWrap/>
            <w:vAlign w:val="center"/>
            <w:hideMark/>
          </w:tcPr>
          <w:p w14:paraId="56E9D9A1" w14:textId="77777777" w:rsidR="00B977C8" w:rsidRPr="007230D5" w:rsidRDefault="00B977C8" w:rsidP="00B977C8">
            <w:pPr>
              <w:jc w:val="cente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50%</w:t>
            </w:r>
          </w:p>
        </w:tc>
        <w:tc>
          <w:tcPr>
            <w:tcW w:w="704" w:type="dxa"/>
            <w:tcBorders>
              <w:top w:val="nil"/>
              <w:left w:val="nil"/>
              <w:bottom w:val="single" w:sz="4" w:space="0" w:color="auto"/>
              <w:right w:val="single" w:sz="4" w:space="0" w:color="auto"/>
            </w:tcBorders>
            <w:shd w:val="clear" w:color="000000" w:fill="EDEDED"/>
            <w:noWrap/>
            <w:vAlign w:val="center"/>
            <w:hideMark/>
          </w:tcPr>
          <w:p w14:paraId="644EECB3" w14:textId="77777777" w:rsidR="00B977C8" w:rsidRPr="007230D5" w:rsidRDefault="00B977C8" w:rsidP="00B977C8">
            <w:pPr>
              <w:jc w:val="cente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-8%</w:t>
            </w:r>
          </w:p>
        </w:tc>
      </w:tr>
      <w:tr w:rsidR="00B977C8" w:rsidRPr="007230D5" w14:paraId="1E63C400" w14:textId="77777777" w:rsidTr="00777F64">
        <w:trPr>
          <w:trHeight w:val="286"/>
          <w:jc w:val="center"/>
        </w:trPr>
        <w:tc>
          <w:tcPr>
            <w:tcW w:w="6060" w:type="dxa"/>
            <w:tcBorders>
              <w:top w:val="nil"/>
              <w:left w:val="single" w:sz="4" w:space="0" w:color="auto"/>
              <w:bottom w:val="single" w:sz="4" w:space="0" w:color="auto"/>
              <w:right w:val="single" w:sz="4" w:space="0" w:color="auto"/>
            </w:tcBorders>
            <w:shd w:val="clear" w:color="auto" w:fill="auto"/>
            <w:noWrap/>
            <w:vAlign w:val="center"/>
            <w:hideMark/>
          </w:tcPr>
          <w:p w14:paraId="76447EF7" w14:textId="77777777" w:rsidR="00B977C8" w:rsidRPr="007230D5" w:rsidRDefault="00B977C8" w:rsidP="00B977C8">
            <w:pP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Tribunal Penal del Primer Circuito Judicial de Guanacaste (Liberia)</w:t>
            </w:r>
          </w:p>
        </w:tc>
        <w:tc>
          <w:tcPr>
            <w:tcW w:w="1741" w:type="dxa"/>
            <w:tcBorders>
              <w:top w:val="nil"/>
              <w:left w:val="nil"/>
              <w:bottom w:val="single" w:sz="4" w:space="0" w:color="auto"/>
              <w:right w:val="single" w:sz="4" w:space="0" w:color="auto"/>
            </w:tcBorders>
            <w:shd w:val="clear" w:color="auto" w:fill="auto"/>
            <w:noWrap/>
            <w:vAlign w:val="center"/>
            <w:hideMark/>
          </w:tcPr>
          <w:p w14:paraId="3CC7B7BA" w14:textId="77777777" w:rsidR="00B977C8" w:rsidRPr="007230D5" w:rsidRDefault="00B977C8" w:rsidP="00B977C8">
            <w:pPr>
              <w:jc w:val="cente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57%</w:t>
            </w:r>
          </w:p>
        </w:tc>
        <w:tc>
          <w:tcPr>
            <w:tcW w:w="1134" w:type="dxa"/>
            <w:tcBorders>
              <w:top w:val="nil"/>
              <w:left w:val="nil"/>
              <w:bottom w:val="single" w:sz="4" w:space="0" w:color="auto"/>
              <w:right w:val="single" w:sz="4" w:space="0" w:color="auto"/>
            </w:tcBorders>
            <w:shd w:val="clear" w:color="auto" w:fill="auto"/>
            <w:noWrap/>
            <w:vAlign w:val="center"/>
            <w:hideMark/>
          </w:tcPr>
          <w:p w14:paraId="54E026EC" w14:textId="77777777" w:rsidR="00B977C8" w:rsidRPr="007230D5" w:rsidRDefault="00B977C8" w:rsidP="00B977C8">
            <w:pPr>
              <w:jc w:val="cente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77%</w:t>
            </w:r>
          </w:p>
        </w:tc>
        <w:tc>
          <w:tcPr>
            <w:tcW w:w="704" w:type="dxa"/>
            <w:tcBorders>
              <w:top w:val="nil"/>
              <w:left w:val="nil"/>
              <w:bottom w:val="single" w:sz="4" w:space="0" w:color="auto"/>
              <w:right w:val="single" w:sz="4" w:space="0" w:color="auto"/>
            </w:tcBorders>
            <w:shd w:val="clear" w:color="000000" w:fill="EDEDED"/>
            <w:noWrap/>
            <w:vAlign w:val="center"/>
            <w:hideMark/>
          </w:tcPr>
          <w:p w14:paraId="36420919" w14:textId="77777777" w:rsidR="00B977C8" w:rsidRPr="007230D5" w:rsidRDefault="00B977C8" w:rsidP="00B977C8">
            <w:pPr>
              <w:jc w:val="cente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20%</w:t>
            </w:r>
          </w:p>
        </w:tc>
      </w:tr>
      <w:tr w:rsidR="00B977C8" w:rsidRPr="007230D5" w14:paraId="2D41B4E7" w14:textId="77777777" w:rsidTr="00777F64">
        <w:trPr>
          <w:trHeight w:val="286"/>
          <w:jc w:val="center"/>
        </w:trPr>
        <w:tc>
          <w:tcPr>
            <w:tcW w:w="6060" w:type="dxa"/>
            <w:tcBorders>
              <w:top w:val="nil"/>
              <w:left w:val="single" w:sz="4" w:space="0" w:color="auto"/>
              <w:bottom w:val="single" w:sz="4" w:space="0" w:color="auto"/>
              <w:right w:val="single" w:sz="4" w:space="0" w:color="auto"/>
            </w:tcBorders>
            <w:shd w:val="clear" w:color="auto" w:fill="auto"/>
            <w:noWrap/>
            <w:vAlign w:val="center"/>
            <w:hideMark/>
          </w:tcPr>
          <w:p w14:paraId="7462E526" w14:textId="45A51DC3" w:rsidR="00B977C8" w:rsidRPr="007230D5" w:rsidRDefault="00B977C8" w:rsidP="00B977C8">
            <w:pP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 xml:space="preserve">Tribunal Penal del Segundo Circuito Judicial de San </w:t>
            </w:r>
            <w:r w:rsidR="005D153C" w:rsidRPr="007230D5">
              <w:rPr>
                <w:rFonts w:ascii="Book Antiqua" w:hAnsi="Book Antiqua" w:cs="Calibri"/>
                <w:color w:val="000000"/>
                <w:sz w:val="16"/>
                <w:szCs w:val="16"/>
                <w:lang w:eastAsia="es-CR"/>
              </w:rPr>
              <w:t>José (</w:t>
            </w:r>
            <w:r w:rsidRPr="007230D5">
              <w:rPr>
                <w:rFonts w:ascii="Book Antiqua" w:hAnsi="Book Antiqua" w:cs="Calibri"/>
                <w:color w:val="000000"/>
                <w:sz w:val="16"/>
                <w:szCs w:val="16"/>
                <w:lang w:eastAsia="es-CR"/>
              </w:rPr>
              <w:t>Goicoechea)</w:t>
            </w:r>
          </w:p>
        </w:tc>
        <w:tc>
          <w:tcPr>
            <w:tcW w:w="1741" w:type="dxa"/>
            <w:tcBorders>
              <w:top w:val="nil"/>
              <w:left w:val="nil"/>
              <w:bottom w:val="single" w:sz="4" w:space="0" w:color="auto"/>
              <w:right w:val="single" w:sz="4" w:space="0" w:color="auto"/>
            </w:tcBorders>
            <w:shd w:val="clear" w:color="auto" w:fill="auto"/>
            <w:noWrap/>
            <w:vAlign w:val="center"/>
            <w:hideMark/>
          </w:tcPr>
          <w:p w14:paraId="10FDE901" w14:textId="77777777" w:rsidR="00B977C8" w:rsidRPr="007230D5" w:rsidRDefault="00B977C8" w:rsidP="00B977C8">
            <w:pPr>
              <w:jc w:val="cente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56%</w:t>
            </w:r>
          </w:p>
        </w:tc>
        <w:tc>
          <w:tcPr>
            <w:tcW w:w="1134" w:type="dxa"/>
            <w:tcBorders>
              <w:top w:val="nil"/>
              <w:left w:val="nil"/>
              <w:bottom w:val="single" w:sz="4" w:space="0" w:color="auto"/>
              <w:right w:val="single" w:sz="4" w:space="0" w:color="auto"/>
            </w:tcBorders>
            <w:shd w:val="clear" w:color="auto" w:fill="auto"/>
            <w:noWrap/>
            <w:vAlign w:val="center"/>
            <w:hideMark/>
          </w:tcPr>
          <w:p w14:paraId="77E08B20" w14:textId="77777777" w:rsidR="00B977C8" w:rsidRPr="007230D5" w:rsidRDefault="00B977C8" w:rsidP="00B977C8">
            <w:pPr>
              <w:jc w:val="cente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46%</w:t>
            </w:r>
          </w:p>
        </w:tc>
        <w:tc>
          <w:tcPr>
            <w:tcW w:w="704" w:type="dxa"/>
            <w:tcBorders>
              <w:top w:val="nil"/>
              <w:left w:val="nil"/>
              <w:bottom w:val="single" w:sz="4" w:space="0" w:color="auto"/>
              <w:right w:val="single" w:sz="4" w:space="0" w:color="auto"/>
            </w:tcBorders>
            <w:shd w:val="clear" w:color="000000" w:fill="EDEDED"/>
            <w:noWrap/>
            <w:vAlign w:val="center"/>
            <w:hideMark/>
          </w:tcPr>
          <w:p w14:paraId="7C463A91" w14:textId="77777777" w:rsidR="00B977C8" w:rsidRPr="007230D5" w:rsidRDefault="00B977C8" w:rsidP="00B977C8">
            <w:pPr>
              <w:jc w:val="cente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-10%</w:t>
            </w:r>
          </w:p>
        </w:tc>
      </w:tr>
      <w:tr w:rsidR="00B977C8" w:rsidRPr="007230D5" w14:paraId="7E77129C" w14:textId="77777777" w:rsidTr="00777F64">
        <w:trPr>
          <w:trHeight w:val="286"/>
          <w:jc w:val="center"/>
        </w:trPr>
        <w:tc>
          <w:tcPr>
            <w:tcW w:w="6060" w:type="dxa"/>
            <w:tcBorders>
              <w:top w:val="nil"/>
              <w:left w:val="single" w:sz="4" w:space="0" w:color="auto"/>
              <w:bottom w:val="single" w:sz="4" w:space="0" w:color="auto"/>
              <w:right w:val="single" w:sz="4" w:space="0" w:color="auto"/>
            </w:tcBorders>
            <w:shd w:val="clear" w:color="auto" w:fill="auto"/>
            <w:noWrap/>
            <w:vAlign w:val="center"/>
            <w:hideMark/>
          </w:tcPr>
          <w:p w14:paraId="4CC5CEDE" w14:textId="77777777" w:rsidR="00B977C8" w:rsidRPr="007230D5" w:rsidRDefault="00B977C8" w:rsidP="00B977C8">
            <w:pP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Tribunal Penal Segundo Circuito Judicial de la Zona Sur (Osa)</w:t>
            </w:r>
          </w:p>
        </w:tc>
        <w:tc>
          <w:tcPr>
            <w:tcW w:w="1741" w:type="dxa"/>
            <w:tcBorders>
              <w:top w:val="nil"/>
              <w:left w:val="nil"/>
              <w:bottom w:val="single" w:sz="4" w:space="0" w:color="auto"/>
              <w:right w:val="single" w:sz="4" w:space="0" w:color="auto"/>
            </w:tcBorders>
            <w:shd w:val="clear" w:color="auto" w:fill="auto"/>
            <w:noWrap/>
            <w:vAlign w:val="center"/>
            <w:hideMark/>
          </w:tcPr>
          <w:p w14:paraId="5B9E0964" w14:textId="77777777" w:rsidR="00B977C8" w:rsidRPr="007230D5" w:rsidRDefault="00B977C8" w:rsidP="00B977C8">
            <w:pPr>
              <w:jc w:val="cente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53%</w:t>
            </w:r>
          </w:p>
        </w:tc>
        <w:tc>
          <w:tcPr>
            <w:tcW w:w="1134" w:type="dxa"/>
            <w:tcBorders>
              <w:top w:val="nil"/>
              <w:left w:val="nil"/>
              <w:bottom w:val="single" w:sz="4" w:space="0" w:color="auto"/>
              <w:right w:val="single" w:sz="4" w:space="0" w:color="auto"/>
            </w:tcBorders>
            <w:shd w:val="clear" w:color="auto" w:fill="auto"/>
            <w:noWrap/>
            <w:vAlign w:val="center"/>
            <w:hideMark/>
          </w:tcPr>
          <w:p w14:paraId="58DB2D00" w14:textId="77777777" w:rsidR="00B977C8" w:rsidRPr="007230D5" w:rsidRDefault="00B977C8" w:rsidP="00B977C8">
            <w:pPr>
              <w:jc w:val="cente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47%</w:t>
            </w:r>
          </w:p>
        </w:tc>
        <w:tc>
          <w:tcPr>
            <w:tcW w:w="704" w:type="dxa"/>
            <w:tcBorders>
              <w:top w:val="nil"/>
              <w:left w:val="nil"/>
              <w:bottom w:val="single" w:sz="4" w:space="0" w:color="auto"/>
              <w:right w:val="single" w:sz="4" w:space="0" w:color="auto"/>
            </w:tcBorders>
            <w:shd w:val="clear" w:color="000000" w:fill="EDEDED"/>
            <w:noWrap/>
            <w:vAlign w:val="center"/>
            <w:hideMark/>
          </w:tcPr>
          <w:p w14:paraId="6B5A3383" w14:textId="77777777" w:rsidR="00B977C8" w:rsidRPr="007230D5" w:rsidRDefault="00B977C8" w:rsidP="00B977C8">
            <w:pPr>
              <w:jc w:val="cente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-6%</w:t>
            </w:r>
          </w:p>
        </w:tc>
      </w:tr>
      <w:tr w:rsidR="00B977C8" w:rsidRPr="007230D5" w14:paraId="0C5157F3" w14:textId="77777777" w:rsidTr="00777F64">
        <w:trPr>
          <w:trHeight w:val="286"/>
          <w:jc w:val="center"/>
        </w:trPr>
        <w:tc>
          <w:tcPr>
            <w:tcW w:w="6060" w:type="dxa"/>
            <w:tcBorders>
              <w:top w:val="nil"/>
              <w:left w:val="single" w:sz="4" w:space="0" w:color="auto"/>
              <w:bottom w:val="single" w:sz="4" w:space="0" w:color="auto"/>
              <w:right w:val="single" w:sz="4" w:space="0" w:color="auto"/>
            </w:tcBorders>
            <w:shd w:val="clear" w:color="auto" w:fill="auto"/>
            <w:noWrap/>
            <w:vAlign w:val="center"/>
            <w:hideMark/>
          </w:tcPr>
          <w:p w14:paraId="3911EBC6" w14:textId="77777777" w:rsidR="00B977C8" w:rsidRPr="007230D5" w:rsidRDefault="00B977C8" w:rsidP="00B977C8">
            <w:pP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Tribunal Penal del Tercer Circuito Judicial de San José Sede Suroeste (Pavas)</w:t>
            </w:r>
          </w:p>
        </w:tc>
        <w:tc>
          <w:tcPr>
            <w:tcW w:w="1741" w:type="dxa"/>
            <w:tcBorders>
              <w:top w:val="nil"/>
              <w:left w:val="nil"/>
              <w:bottom w:val="single" w:sz="4" w:space="0" w:color="auto"/>
              <w:right w:val="single" w:sz="4" w:space="0" w:color="auto"/>
            </w:tcBorders>
            <w:shd w:val="clear" w:color="auto" w:fill="auto"/>
            <w:noWrap/>
            <w:vAlign w:val="center"/>
            <w:hideMark/>
          </w:tcPr>
          <w:p w14:paraId="7F8EE391" w14:textId="77777777" w:rsidR="00B977C8" w:rsidRPr="007230D5" w:rsidRDefault="00B977C8" w:rsidP="00B977C8">
            <w:pPr>
              <w:jc w:val="cente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50%</w:t>
            </w:r>
          </w:p>
        </w:tc>
        <w:tc>
          <w:tcPr>
            <w:tcW w:w="1134" w:type="dxa"/>
            <w:tcBorders>
              <w:top w:val="nil"/>
              <w:left w:val="nil"/>
              <w:bottom w:val="single" w:sz="4" w:space="0" w:color="auto"/>
              <w:right w:val="single" w:sz="4" w:space="0" w:color="auto"/>
            </w:tcBorders>
            <w:shd w:val="clear" w:color="auto" w:fill="auto"/>
            <w:noWrap/>
            <w:vAlign w:val="center"/>
            <w:hideMark/>
          </w:tcPr>
          <w:p w14:paraId="27BD2D4F" w14:textId="77777777" w:rsidR="00B977C8" w:rsidRPr="007230D5" w:rsidRDefault="00B977C8" w:rsidP="00B977C8">
            <w:pPr>
              <w:jc w:val="cente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74%</w:t>
            </w:r>
          </w:p>
        </w:tc>
        <w:tc>
          <w:tcPr>
            <w:tcW w:w="704" w:type="dxa"/>
            <w:tcBorders>
              <w:top w:val="nil"/>
              <w:left w:val="nil"/>
              <w:bottom w:val="single" w:sz="4" w:space="0" w:color="auto"/>
              <w:right w:val="single" w:sz="4" w:space="0" w:color="auto"/>
            </w:tcBorders>
            <w:shd w:val="clear" w:color="000000" w:fill="EDEDED"/>
            <w:noWrap/>
            <w:vAlign w:val="center"/>
            <w:hideMark/>
          </w:tcPr>
          <w:p w14:paraId="1F7FFE73" w14:textId="77777777" w:rsidR="00B977C8" w:rsidRPr="007230D5" w:rsidRDefault="00B977C8" w:rsidP="00B977C8">
            <w:pPr>
              <w:jc w:val="cente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24%</w:t>
            </w:r>
          </w:p>
        </w:tc>
      </w:tr>
      <w:tr w:rsidR="00B977C8" w:rsidRPr="007230D5" w14:paraId="0BC70004" w14:textId="77777777" w:rsidTr="00777F64">
        <w:trPr>
          <w:trHeight w:val="286"/>
          <w:jc w:val="center"/>
        </w:trPr>
        <w:tc>
          <w:tcPr>
            <w:tcW w:w="6060" w:type="dxa"/>
            <w:tcBorders>
              <w:top w:val="nil"/>
              <w:left w:val="single" w:sz="4" w:space="0" w:color="auto"/>
              <w:bottom w:val="single" w:sz="4" w:space="0" w:color="auto"/>
              <w:right w:val="single" w:sz="4" w:space="0" w:color="auto"/>
            </w:tcBorders>
            <w:shd w:val="clear" w:color="auto" w:fill="auto"/>
            <w:noWrap/>
            <w:vAlign w:val="center"/>
            <w:hideMark/>
          </w:tcPr>
          <w:p w14:paraId="27A7B469" w14:textId="77777777" w:rsidR="00B977C8" w:rsidRPr="007230D5" w:rsidRDefault="00B977C8" w:rsidP="00B977C8">
            <w:pP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Tribunal Penal Segundo Circuito Judicial de la Zona Sur (Golfito)</w:t>
            </w:r>
          </w:p>
        </w:tc>
        <w:tc>
          <w:tcPr>
            <w:tcW w:w="1741" w:type="dxa"/>
            <w:tcBorders>
              <w:top w:val="nil"/>
              <w:left w:val="nil"/>
              <w:bottom w:val="single" w:sz="4" w:space="0" w:color="auto"/>
              <w:right w:val="single" w:sz="4" w:space="0" w:color="auto"/>
            </w:tcBorders>
            <w:shd w:val="clear" w:color="auto" w:fill="auto"/>
            <w:noWrap/>
            <w:vAlign w:val="center"/>
            <w:hideMark/>
          </w:tcPr>
          <w:p w14:paraId="67C0DD49" w14:textId="77777777" w:rsidR="00B977C8" w:rsidRPr="007230D5" w:rsidRDefault="00B977C8" w:rsidP="00B977C8">
            <w:pPr>
              <w:jc w:val="cente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41%</w:t>
            </w:r>
          </w:p>
        </w:tc>
        <w:tc>
          <w:tcPr>
            <w:tcW w:w="1134" w:type="dxa"/>
            <w:tcBorders>
              <w:top w:val="nil"/>
              <w:left w:val="nil"/>
              <w:bottom w:val="single" w:sz="4" w:space="0" w:color="auto"/>
              <w:right w:val="single" w:sz="4" w:space="0" w:color="auto"/>
            </w:tcBorders>
            <w:shd w:val="clear" w:color="auto" w:fill="auto"/>
            <w:noWrap/>
            <w:vAlign w:val="center"/>
            <w:hideMark/>
          </w:tcPr>
          <w:p w14:paraId="6CF61BC0" w14:textId="77777777" w:rsidR="00B977C8" w:rsidRPr="007230D5" w:rsidRDefault="00B977C8" w:rsidP="00B977C8">
            <w:pPr>
              <w:jc w:val="cente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41%</w:t>
            </w:r>
          </w:p>
        </w:tc>
        <w:tc>
          <w:tcPr>
            <w:tcW w:w="704" w:type="dxa"/>
            <w:tcBorders>
              <w:top w:val="nil"/>
              <w:left w:val="nil"/>
              <w:bottom w:val="single" w:sz="4" w:space="0" w:color="auto"/>
              <w:right w:val="single" w:sz="4" w:space="0" w:color="auto"/>
            </w:tcBorders>
            <w:shd w:val="clear" w:color="000000" w:fill="EDEDED"/>
            <w:noWrap/>
            <w:vAlign w:val="center"/>
            <w:hideMark/>
          </w:tcPr>
          <w:p w14:paraId="3893739C" w14:textId="77777777" w:rsidR="00B977C8" w:rsidRPr="007230D5" w:rsidRDefault="00B977C8" w:rsidP="00B977C8">
            <w:pPr>
              <w:jc w:val="cente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0%</w:t>
            </w:r>
          </w:p>
        </w:tc>
      </w:tr>
      <w:tr w:rsidR="00B977C8" w:rsidRPr="007230D5" w14:paraId="7A07BF0A" w14:textId="77777777" w:rsidTr="00777F64">
        <w:trPr>
          <w:trHeight w:val="286"/>
          <w:jc w:val="center"/>
        </w:trPr>
        <w:tc>
          <w:tcPr>
            <w:tcW w:w="6060" w:type="dxa"/>
            <w:tcBorders>
              <w:top w:val="nil"/>
              <w:left w:val="single" w:sz="4" w:space="0" w:color="auto"/>
              <w:bottom w:val="single" w:sz="4" w:space="0" w:color="auto"/>
              <w:right w:val="single" w:sz="4" w:space="0" w:color="auto"/>
            </w:tcBorders>
            <w:shd w:val="clear" w:color="auto" w:fill="auto"/>
            <w:noWrap/>
            <w:vAlign w:val="center"/>
            <w:hideMark/>
          </w:tcPr>
          <w:p w14:paraId="6C5852D9" w14:textId="77777777" w:rsidR="00B977C8" w:rsidRPr="007230D5" w:rsidRDefault="00B977C8" w:rsidP="00B977C8">
            <w:pPr>
              <w:rPr>
                <w:rFonts w:ascii="Book Antiqua" w:hAnsi="Book Antiqua" w:cs="Calibri"/>
                <w:b/>
                <w:bCs/>
                <w:color w:val="000000"/>
                <w:sz w:val="16"/>
                <w:szCs w:val="16"/>
                <w:lang w:eastAsia="es-CR"/>
              </w:rPr>
            </w:pPr>
            <w:r w:rsidRPr="007230D5">
              <w:rPr>
                <w:rFonts w:ascii="Book Antiqua" w:hAnsi="Book Antiqua" w:cs="Calibri"/>
                <w:b/>
                <w:bCs/>
                <w:color w:val="000000"/>
                <w:sz w:val="16"/>
                <w:szCs w:val="16"/>
                <w:lang w:eastAsia="es-CR"/>
              </w:rPr>
              <w:t>Promedio global</w:t>
            </w:r>
          </w:p>
        </w:tc>
        <w:tc>
          <w:tcPr>
            <w:tcW w:w="1741" w:type="dxa"/>
            <w:tcBorders>
              <w:top w:val="nil"/>
              <w:left w:val="nil"/>
              <w:bottom w:val="single" w:sz="4" w:space="0" w:color="auto"/>
              <w:right w:val="single" w:sz="4" w:space="0" w:color="auto"/>
            </w:tcBorders>
            <w:shd w:val="clear" w:color="auto" w:fill="auto"/>
            <w:noWrap/>
            <w:vAlign w:val="center"/>
            <w:hideMark/>
          </w:tcPr>
          <w:p w14:paraId="136F2DEB" w14:textId="77777777" w:rsidR="00B977C8" w:rsidRPr="007230D5" w:rsidRDefault="00B977C8" w:rsidP="00B977C8">
            <w:pPr>
              <w:jc w:val="center"/>
              <w:rPr>
                <w:rFonts w:ascii="Book Antiqua" w:hAnsi="Book Antiqua" w:cs="Calibri"/>
                <w:b/>
                <w:bCs/>
                <w:color w:val="000000"/>
                <w:sz w:val="16"/>
                <w:szCs w:val="16"/>
                <w:lang w:eastAsia="es-CR"/>
              </w:rPr>
            </w:pPr>
            <w:r w:rsidRPr="007230D5">
              <w:rPr>
                <w:rFonts w:ascii="Book Antiqua" w:hAnsi="Book Antiqua" w:cs="Calibri"/>
                <w:b/>
                <w:bCs/>
                <w:color w:val="000000"/>
                <w:sz w:val="16"/>
                <w:szCs w:val="16"/>
                <w:lang w:eastAsia="es-CR"/>
              </w:rPr>
              <w:t>88%</w:t>
            </w:r>
          </w:p>
        </w:tc>
        <w:tc>
          <w:tcPr>
            <w:tcW w:w="1134" w:type="dxa"/>
            <w:tcBorders>
              <w:top w:val="nil"/>
              <w:left w:val="nil"/>
              <w:bottom w:val="single" w:sz="4" w:space="0" w:color="auto"/>
              <w:right w:val="single" w:sz="4" w:space="0" w:color="auto"/>
            </w:tcBorders>
            <w:shd w:val="clear" w:color="auto" w:fill="auto"/>
            <w:noWrap/>
            <w:vAlign w:val="center"/>
            <w:hideMark/>
          </w:tcPr>
          <w:p w14:paraId="2B41572E" w14:textId="77777777" w:rsidR="00B977C8" w:rsidRPr="007230D5" w:rsidRDefault="00B977C8" w:rsidP="00B977C8">
            <w:pPr>
              <w:jc w:val="center"/>
              <w:rPr>
                <w:rFonts w:ascii="Book Antiqua" w:hAnsi="Book Antiqua" w:cs="Calibri"/>
                <w:b/>
                <w:bCs/>
                <w:color w:val="000000"/>
                <w:sz w:val="16"/>
                <w:szCs w:val="16"/>
                <w:lang w:eastAsia="es-CR"/>
              </w:rPr>
            </w:pPr>
            <w:r w:rsidRPr="007230D5">
              <w:rPr>
                <w:rFonts w:ascii="Book Antiqua" w:hAnsi="Book Antiqua" w:cs="Calibri"/>
                <w:b/>
                <w:bCs/>
                <w:color w:val="000000"/>
                <w:sz w:val="16"/>
                <w:szCs w:val="16"/>
                <w:lang w:eastAsia="es-CR"/>
              </w:rPr>
              <w:t>93%</w:t>
            </w:r>
          </w:p>
        </w:tc>
        <w:tc>
          <w:tcPr>
            <w:tcW w:w="704" w:type="dxa"/>
            <w:tcBorders>
              <w:top w:val="nil"/>
              <w:left w:val="nil"/>
              <w:bottom w:val="single" w:sz="4" w:space="0" w:color="auto"/>
              <w:right w:val="single" w:sz="4" w:space="0" w:color="auto"/>
            </w:tcBorders>
            <w:shd w:val="clear" w:color="000000" w:fill="EDEDED"/>
            <w:noWrap/>
            <w:vAlign w:val="center"/>
            <w:hideMark/>
          </w:tcPr>
          <w:p w14:paraId="04BA4C24" w14:textId="77777777" w:rsidR="00B977C8" w:rsidRPr="007230D5" w:rsidRDefault="00B977C8" w:rsidP="00B977C8">
            <w:pPr>
              <w:jc w:val="center"/>
              <w:rPr>
                <w:rFonts w:ascii="Book Antiqua" w:hAnsi="Book Antiqua" w:cs="Calibri"/>
                <w:color w:val="000000"/>
                <w:sz w:val="16"/>
                <w:szCs w:val="16"/>
                <w:lang w:eastAsia="es-CR"/>
              </w:rPr>
            </w:pPr>
            <w:r w:rsidRPr="007230D5">
              <w:rPr>
                <w:rFonts w:ascii="Book Antiqua" w:hAnsi="Book Antiqua" w:cs="Calibri"/>
                <w:color w:val="000000"/>
                <w:sz w:val="16"/>
                <w:szCs w:val="16"/>
                <w:lang w:eastAsia="es-CR"/>
              </w:rPr>
              <w:t>5%</w:t>
            </w:r>
          </w:p>
        </w:tc>
      </w:tr>
    </w:tbl>
    <w:p w14:paraId="02CA5A27" w14:textId="4D5D9A61" w:rsidR="00677475" w:rsidRDefault="00677475" w:rsidP="005D153C">
      <w:pPr>
        <w:spacing w:line="276" w:lineRule="auto"/>
        <w:jc w:val="center"/>
        <w:rPr>
          <w:rFonts w:ascii="Book Antiqua" w:hAnsi="Book Antiqua"/>
          <w:color w:val="000000" w:themeColor="text1"/>
          <w:sz w:val="20"/>
          <w:szCs w:val="20"/>
        </w:rPr>
      </w:pPr>
      <w:r w:rsidRPr="00677475">
        <w:rPr>
          <w:rFonts w:ascii="Book Antiqua" w:hAnsi="Book Antiqua"/>
          <w:b/>
          <w:bCs/>
          <w:color w:val="000000" w:themeColor="text1"/>
          <w:sz w:val="20"/>
          <w:szCs w:val="20"/>
        </w:rPr>
        <w:t xml:space="preserve">Fuente: </w:t>
      </w:r>
      <w:r w:rsidRPr="00677475">
        <w:rPr>
          <w:rFonts w:ascii="Book Antiqua" w:hAnsi="Book Antiqua"/>
          <w:color w:val="000000" w:themeColor="text1"/>
          <w:sz w:val="20"/>
          <w:szCs w:val="20"/>
        </w:rPr>
        <w:t>Matriz de indicadores de Gestión</w:t>
      </w:r>
      <w:r w:rsidR="005D153C">
        <w:rPr>
          <w:rFonts w:ascii="Book Antiqua" w:hAnsi="Book Antiqua"/>
          <w:color w:val="000000" w:themeColor="text1"/>
          <w:sz w:val="20"/>
          <w:szCs w:val="20"/>
        </w:rPr>
        <w:t xml:space="preserve"> y Sistema Sigma</w:t>
      </w:r>
    </w:p>
    <w:p w14:paraId="6F02DD4D" w14:textId="77777777" w:rsidR="00F419C9" w:rsidRPr="004F0E92" w:rsidRDefault="00F419C9" w:rsidP="00985591">
      <w:pPr>
        <w:spacing w:line="276" w:lineRule="auto"/>
        <w:jc w:val="both"/>
        <w:rPr>
          <w:rFonts w:ascii="Book Antiqua" w:hAnsi="Book Antiqua" w:cs="Calibri"/>
          <w:color w:val="000000"/>
          <w:lang w:eastAsia="es-CR"/>
        </w:rPr>
      </w:pPr>
    </w:p>
    <w:p w14:paraId="0C44F2C6" w14:textId="11F3EDA4" w:rsidR="0001382F" w:rsidRPr="0009337C" w:rsidRDefault="00AF566B" w:rsidP="00985591">
      <w:pPr>
        <w:spacing w:line="276" w:lineRule="auto"/>
        <w:jc w:val="both"/>
        <w:rPr>
          <w:rFonts w:ascii="Book Antiqua" w:hAnsi="Book Antiqua" w:cs="Calibri"/>
          <w:color w:val="000000"/>
          <w:lang w:eastAsia="es-CR"/>
        </w:rPr>
      </w:pPr>
      <w:r w:rsidRPr="0009337C">
        <w:rPr>
          <w:rFonts w:ascii="Book Antiqua" w:hAnsi="Book Antiqua" w:cs="Calibri"/>
          <w:color w:val="000000"/>
          <w:lang w:eastAsia="es-CR"/>
        </w:rPr>
        <w:t xml:space="preserve">Si bien es cierto el promedio global de cumplimiento en los Tribunales Penales es de un </w:t>
      </w:r>
      <w:r w:rsidR="005D153C">
        <w:rPr>
          <w:rFonts w:ascii="Book Antiqua" w:hAnsi="Book Antiqua" w:cs="Calibri"/>
          <w:color w:val="000000"/>
          <w:lang w:eastAsia="es-CR"/>
        </w:rPr>
        <w:t>88</w:t>
      </w:r>
      <w:r w:rsidRPr="0009337C">
        <w:rPr>
          <w:rFonts w:ascii="Book Antiqua" w:hAnsi="Book Antiqua" w:cs="Calibri"/>
          <w:color w:val="000000"/>
          <w:lang w:eastAsia="es-CR"/>
        </w:rPr>
        <w:t>%, aún hay oficinas que reflejan un porcentaje bajo de resolución. Dentro de las principales justificaciones se encuentra</w:t>
      </w:r>
      <w:r w:rsidR="0001382F" w:rsidRPr="0009337C">
        <w:rPr>
          <w:rFonts w:ascii="Book Antiqua" w:hAnsi="Book Antiqua" w:cs="Calibri"/>
          <w:color w:val="000000"/>
          <w:lang w:eastAsia="es-CR"/>
        </w:rPr>
        <w:t>:</w:t>
      </w:r>
      <w:r w:rsidRPr="0009337C">
        <w:rPr>
          <w:rFonts w:ascii="Book Antiqua" w:hAnsi="Book Antiqua" w:cs="Calibri"/>
          <w:color w:val="000000"/>
          <w:lang w:eastAsia="es-CR"/>
        </w:rPr>
        <w:t xml:space="preserve"> la declaratoria de alerta naranja en algunas de estas zonas, lo que provocó la suspensión de juicios y la programación de juicios con persona detenida, además casos positivos por covid-19 dentro del despacho, lo que provocó enviar a cuarentena a gran parte del personal; así como</w:t>
      </w:r>
      <w:r w:rsidR="0001382F" w:rsidRPr="0009337C">
        <w:rPr>
          <w:rFonts w:ascii="Book Antiqua" w:hAnsi="Book Antiqua" w:cs="Calibri"/>
          <w:color w:val="000000"/>
          <w:lang w:eastAsia="es-CR"/>
        </w:rPr>
        <w:t>,</w:t>
      </w:r>
      <w:r w:rsidRPr="0009337C">
        <w:rPr>
          <w:rFonts w:ascii="Book Antiqua" w:hAnsi="Book Antiqua" w:cs="Calibri"/>
          <w:color w:val="000000"/>
          <w:lang w:eastAsia="es-CR"/>
        </w:rPr>
        <w:t xml:space="preserve"> la atención de juicios complejos de varias semanas. </w:t>
      </w:r>
    </w:p>
    <w:p w14:paraId="5B52A1D9" w14:textId="77777777" w:rsidR="0001382F" w:rsidRPr="00677475" w:rsidRDefault="0001382F" w:rsidP="00985591">
      <w:pPr>
        <w:spacing w:line="276" w:lineRule="auto"/>
        <w:jc w:val="both"/>
        <w:rPr>
          <w:rFonts w:ascii="Book Antiqua" w:hAnsi="Book Antiqua" w:cs="Calibri"/>
          <w:color w:val="000000"/>
          <w:highlight w:val="yellow"/>
          <w:lang w:eastAsia="es-CR"/>
        </w:rPr>
      </w:pPr>
    </w:p>
    <w:p w14:paraId="05253747" w14:textId="27CF9E0B" w:rsidR="000574CE" w:rsidRDefault="00AF566B" w:rsidP="00E56E7A">
      <w:pPr>
        <w:spacing w:line="276" w:lineRule="auto"/>
        <w:jc w:val="both"/>
        <w:rPr>
          <w:rFonts w:ascii="Book Antiqua" w:hAnsi="Book Antiqua" w:cs="Calibri"/>
          <w:color w:val="000000"/>
          <w:lang w:eastAsia="es-CR"/>
        </w:rPr>
      </w:pPr>
      <w:r w:rsidRPr="003F0E61">
        <w:rPr>
          <w:rFonts w:ascii="Book Antiqua" w:hAnsi="Book Antiqua" w:cs="Calibri"/>
          <w:color w:val="000000"/>
          <w:lang w:eastAsia="es-CR"/>
        </w:rPr>
        <w:t xml:space="preserve">Como recomendación y dado que en todas las zonas las condiciones son distintas en cuanto a la disponibilidad de salas de juicio y acceso tecnológico, se sugiere </w:t>
      </w:r>
      <w:r w:rsidR="00682455" w:rsidRPr="003F0E61">
        <w:rPr>
          <w:rFonts w:ascii="Book Antiqua" w:hAnsi="Book Antiqua" w:cs="Calibri"/>
          <w:color w:val="000000"/>
          <w:lang w:eastAsia="es-CR"/>
        </w:rPr>
        <w:t xml:space="preserve">seguir </w:t>
      </w:r>
      <w:r w:rsidRPr="003F0E61">
        <w:rPr>
          <w:rFonts w:ascii="Book Antiqua" w:hAnsi="Book Antiqua" w:cs="Calibri"/>
          <w:color w:val="000000"/>
          <w:lang w:eastAsia="es-CR"/>
        </w:rPr>
        <w:t>valora</w:t>
      </w:r>
      <w:r w:rsidR="00682455" w:rsidRPr="003F0E61">
        <w:rPr>
          <w:rFonts w:ascii="Book Antiqua" w:hAnsi="Book Antiqua" w:cs="Calibri"/>
          <w:color w:val="000000"/>
          <w:lang w:eastAsia="es-CR"/>
        </w:rPr>
        <w:t>ndo</w:t>
      </w:r>
      <w:r w:rsidRPr="003F0E61">
        <w:rPr>
          <w:rFonts w:ascii="Book Antiqua" w:hAnsi="Book Antiqua" w:cs="Calibri"/>
          <w:color w:val="000000"/>
          <w:lang w:eastAsia="es-CR"/>
        </w:rPr>
        <w:t xml:space="preserve"> impulsar la posibilidad de realizar audiencias virtuales y atender asuntos de forma escrita</w:t>
      </w:r>
      <w:r w:rsidR="00682455" w:rsidRPr="003F0E61">
        <w:rPr>
          <w:rFonts w:ascii="Book Antiqua" w:hAnsi="Book Antiqua" w:cs="Calibri"/>
          <w:color w:val="000000"/>
          <w:lang w:eastAsia="es-CR"/>
        </w:rPr>
        <w:t>, pero se reconoce que la materia penal en su mayoría su forma de trabajo es presencial</w:t>
      </w:r>
      <w:r w:rsidR="006B6C6D">
        <w:rPr>
          <w:rFonts w:ascii="Book Antiqua" w:hAnsi="Book Antiqua" w:cs="Calibri"/>
          <w:color w:val="000000"/>
          <w:lang w:eastAsia="es-CR"/>
        </w:rPr>
        <w:t>.</w:t>
      </w:r>
    </w:p>
    <w:p w14:paraId="62EEC17F" w14:textId="77777777" w:rsidR="00FA33D3" w:rsidRPr="00E56E7A" w:rsidRDefault="00FA33D3" w:rsidP="00E56E7A">
      <w:pPr>
        <w:spacing w:line="276" w:lineRule="auto"/>
        <w:jc w:val="both"/>
        <w:rPr>
          <w:rFonts w:ascii="Book Antiqua" w:hAnsi="Book Antiqua" w:cs="Calibri"/>
          <w:color w:val="000000"/>
          <w:lang w:eastAsia="es-CR"/>
        </w:rPr>
      </w:pPr>
    </w:p>
    <w:p w14:paraId="6607F59B" w14:textId="5B9EF2DD" w:rsidR="00776798" w:rsidRPr="009C7AF0" w:rsidRDefault="7E3BF4EB" w:rsidP="57A79FF7">
      <w:pPr>
        <w:spacing w:after="160" w:line="276" w:lineRule="auto"/>
        <w:contextualSpacing/>
        <w:outlineLvl w:val="1"/>
        <w:rPr>
          <w:b/>
          <w:color w:val="000000" w:themeColor="text1"/>
        </w:rPr>
      </w:pPr>
      <w:r w:rsidRPr="57A79FF7">
        <w:rPr>
          <w:rFonts w:ascii="Book Antiqua" w:hAnsi="Book Antiqua"/>
          <w:b/>
          <w:bCs/>
          <w:color w:val="000000" w:themeColor="text1"/>
        </w:rPr>
        <w:t xml:space="preserve">4.2.3 </w:t>
      </w:r>
      <w:r w:rsidR="00776798" w:rsidRPr="009C7AF0">
        <w:rPr>
          <w:rFonts w:ascii="Book Antiqua" w:hAnsi="Book Antiqua"/>
          <w:b/>
          <w:color w:val="000000" w:themeColor="text1"/>
        </w:rPr>
        <w:t>Tribunal y Secciones de Flagrancia</w:t>
      </w:r>
    </w:p>
    <w:p w14:paraId="49A9F27C" w14:textId="77777777" w:rsidR="009C7AF0" w:rsidRPr="009C7AF0" w:rsidRDefault="009C7AF0" w:rsidP="009C7AF0">
      <w:pPr>
        <w:spacing w:line="276" w:lineRule="auto"/>
        <w:jc w:val="both"/>
        <w:rPr>
          <w:rFonts w:ascii="Book Antiqua" w:hAnsi="Book Antiqua"/>
          <w:color w:val="000000" w:themeColor="text1"/>
        </w:rPr>
      </w:pPr>
      <w:r w:rsidRPr="009C7AF0">
        <w:rPr>
          <w:rFonts w:ascii="Book Antiqua" w:hAnsi="Book Antiqua"/>
          <w:color w:val="000000" w:themeColor="text1"/>
        </w:rPr>
        <w:t>Las secciones de flagrancia tienen un parámetro de producción de 35 diligencias entre audiencias iniciales, sentencias o medidas alternas, por lo tanto, su comparación contra el valor teórico es de un 82% de manera global para todos los tribunales analizados a nivel nacional y considerando el soporte en la tramitación de asuntos del ordinario el rendimiento asciende a un 86%.</w:t>
      </w:r>
    </w:p>
    <w:p w14:paraId="17C85DE9" w14:textId="77777777" w:rsidR="009C7AF0" w:rsidRPr="009C7AF0" w:rsidRDefault="009C7AF0" w:rsidP="009C7AF0">
      <w:pPr>
        <w:spacing w:line="276" w:lineRule="auto"/>
        <w:jc w:val="both"/>
        <w:rPr>
          <w:rFonts w:ascii="Book Antiqua" w:hAnsi="Book Antiqua"/>
          <w:color w:val="000000" w:themeColor="text1"/>
        </w:rPr>
      </w:pPr>
    </w:p>
    <w:p w14:paraId="7CC76578" w14:textId="77777777" w:rsidR="009C7AF0" w:rsidRPr="009C7AF0" w:rsidRDefault="009C7AF0" w:rsidP="009C7AF0">
      <w:pPr>
        <w:spacing w:line="276" w:lineRule="auto"/>
        <w:jc w:val="both"/>
        <w:rPr>
          <w:rFonts w:ascii="Book Antiqua" w:hAnsi="Book Antiqua"/>
          <w:color w:val="000000" w:themeColor="text1"/>
        </w:rPr>
      </w:pPr>
      <w:r w:rsidRPr="009C7AF0">
        <w:rPr>
          <w:rFonts w:ascii="Book Antiqua" w:hAnsi="Book Antiqua"/>
          <w:color w:val="000000" w:themeColor="text1"/>
        </w:rPr>
        <w:t xml:space="preserve">El despacho con mayor nivel de producción es el Tribunal de Flagrancia del Primer Circuito Judicial de Alajuela, con un 221% y el de menor rendimiento fue el Tribunal de Flagrancia de Goicochea con un 39% del valor teórico; es decir, poco más de la tercera parte del parámetro establecido. </w:t>
      </w:r>
    </w:p>
    <w:p w14:paraId="088CA4C8" w14:textId="77777777" w:rsidR="009C7AF0" w:rsidRPr="009C7AF0" w:rsidRDefault="009C7AF0" w:rsidP="009C7AF0">
      <w:pPr>
        <w:spacing w:line="276" w:lineRule="auto"/>
        <w:jc w:val="both"/>
        <w:rPr>
          <w:rFonts w:ascii="Book Antiqua" w:hAnsi="Book Antiqua"/>
          <w:color w:val="000000" w:themeColor="text1"/>
        </w:rPr>
      </w:pPr>
    </w:p>
    <w:p w14:paraId="169A4D9F" w14:textId="77777777" w:rsidR="009C7AF0" w:rsidRPr="009C7AF0" w:rsidRDefault="009C7AF0" w:rsidP="009C7AF0">
      <w:pPr>
        <w:spacing w:line="276" w:lineRule="auto"/>
        <w:jc w:val="both"/>
        <w:rPr>
          <w:rFonts w:ascii="Book Antiqua" w:hAnsi="Book Antiqua"/>
          <w:color w:val="000000" w:themeColor="text1"/>
        </w:rPr>
      </w:pPr>
      <w:r w:rsidRPr="009C7AF0">
        <w:rPr>
          <w:rFonts w:ascii="Book Antiqua" w:hAnsi="Book Antiqua"/>
          <w:color w:val="000000" w:themeColor="text1"/>
        </w:rPr>
        <w:t xml:space="preserve">Se destaca que, de la totalidad de las oficinas del contexto de Flagrancia, Alajuela, Santa Cruz, Heredia, San Carlos y San Ramón son los únicos despachos que logran alcanzar un rendimiento igual o mayor al valor mínimo de producción con asuntos propios de la materia de Flagrancia. </w:t>
      </w:r>
    </w:p>
    <w:p w14:paraId="38A092BF" w14:textId="77777777" w:rsidR="009C7AF0" w:rsidRPr="009C7AF0" w:rsidRDefault="009C7AF0" w:rsidP="009C7AF0">
      <w:pPr>
        <w:spacing w:line="276" w:lineRule="auto"/>
        <w:jc w:val="both"/>
        <w:rPr>
          <w:rFonts w:ascii="Book Antiqua" w:hAnsi="Book Antiqua"/>
          <w:color w:val="000000" w:themeColor="text1"/>
        </w:rPr>
      </w:pPr>
    </w:p>
    <w:p w14:paraId="032A75E4" w14:textId="3545EA89" w:rsidR="009C7AF0" w:rsidRPr="009C7AF0" w:rsidRDefault="009C7AF0" w:rsidP="009C7AF0">
      <w:pPr>
        <w:spacing w:line="276" w:lineRule="auto"/>
        <w:jc w:val="both"/>
        <w:rPr>
          <w:rFonts w:ascii="Book Antiqua" w:hAnsi="Book Antiqua"/>
          <w:color w:val="000000" w:themeColor="text1"/>
        </w:rPr>
      </w:pPr>
      <w:r w:rsidRPr="009C7AF0">
        <w:rPr>
          <w:rFonts w:ascii="Book Antiqua" w:hAnsi="Book Antiqua"/>
          <w:color w:val="000000" w:themeColor="text1"/>
        </w:rPr>
        <w:t xml:space="preserve">En ese sentido, se hace la observación que actualmente existen despachos de Flagrancia </w:t>
      </w:r>
      <w:r w:rsidRPr="00E56E7A">
        <w:rPr>
          <w:rFonts w:ascii="Book Antiqua" w:hAnsi="Book Antiqua"/>
          <w:color w:val="000000" w:themeColor="text1"/>
        </w:rPr>
        <w:t xml:space="preserve">que brindan soporte a los Tribunales Ordinarios homólogos en la tramitación de asuntos propios de dicha dependencia, lo anterior, con el objetivo de maximizar el recurso humano y disminuir tiempos de respuesta, el detalle de lo anterior se amplía en el </w:t>
      </w:r>
      <w:r w:rsidR="007D1F33" w:rsidRPr="00E56E7A">
        <w:rPr>
          <w:rFonts w:ascii="Book Antiqua" w:hAnsi="Book Antiqua"/>
          <w:color w:val="000000" w:themeColor="text1"/>
        </w:rPr>
        <w:t>capítulo</w:t>
      </w:r>
      <w:r w:rsidRPr="00E56E7A">
        <w:rPr>
          <w:rFonts w:ascii="Book Antiqua" w:hAnsi="Book Antiqua"/>
          <w:color w:val="000000" w:themeColor="text1"/>
        </w:rPr>
        <w:t xml:space="preserve"> </w:t>
      </w:r>
      <w:r w:rsidR="00E56E7A" w:rsidRPr="00E56E7A">
        <w:rPr>
          <w:rFonts w:ascii="Book Antiqua" w:hAnsi="Book Antiqua"/>
          <w:color w:val="000000" w:themeColor="text1"/>
        </w:rPr>
        <w:t>I</w:t>
      </w:r>
      <w:r w:rsidRPr="00E56E7A">
        <w:rPr>
          <w:rFonts w:ascii="Book Antiqua" w:hAnsi="Book Antiqua"/>
          <w:color w:val="000000" w:themeColor="text1"/>
        </w:rPr>
        <w:t>X del presente informe.</w:t>
      </w:r>
      <w:r w:rsidRPr="009C7AF0">
        <w:rPr>
          <w:rFonts w:ascii="Book Antiqua" w:hAnsi="Book Antiqua"/>
          <w:color w:val="000000" w:themeColor="text1"/>
        </w:rPr>
        <w:t xml:space="preserve"> </w:t>
      </w:r>
    </w:p>
    <w:p w14:paraId="0EF970C4" w14:textId="77777777" w:rsidR="009C7AF0" w:rsidRPr="009C7AF0" w:rsidRDefault="009C7AF0" w:rsidP="009C7AF0">
      <w:pPr>
        <w:spacing w:line="276" w:lineRule="auto"/>
        <w:jc w:val="both"/>
        <w:rPr>
          <w:rFonts w:ascii="Book Antiqua" w:hAnsi="Book Antiqua"/>
          <w:color w:val="000000" w:themeColor="text1"/>
        </w:rPr>
      </w:pPr>
    </w:p>
    <w:p w14:paraId="1267C6E1" w14:textId="390E0F62" w:rsidR="009C7AF0" w:rsidRPr="009C7AF0" w:rsidRDefault="009C7AF0" w:rsidP="009C7AF0">
      <w:pPr>
        <w:spacing w:line="276" w:lineRule="auto"/>
        <w:jc w:val="both"/>
        <w:rPr>
          <w:rFonts w:ascii="Book Antiqua" w:hAnsi="Book Antiqua"/>
          <w:color w:val="000000" w:themeColor="text1"/>
        </w:rPr>
      </w:pPr>
      <w:r w:rsidRPr="009C7AF0">
        <w:rPr>
          <w:rFonts w:ascii="Book Antiqua" w:hAnsi="Book Antiqua"/>
          <w:color w:val="000000" w:themeColor="text1"/>
        </w:rPr>
        <w:t xml:space="preserve"> Dicho lo anterior, contabilizando el soporte que las oficinas del contexto de Flagrancia le dan al ordinario, Alajuela, Santa Cruz, Heredia, San Carlos y San Ramón continúan siendo los únicos despachos que logran alcanzar un porcentaje igual o mayor al valor mínimo esperado. </w:t>
      </w:r>
    </w:p>
    <w:p w14:paraId="32456EA5" w14:textId="77777777" w:rsidR="009C7AF0" w:rsidRPr="009C7AF0" w:rsidRDefault="009C7AF0" w:rsidP="009C7AF0">
      <w:pPr>
        <w:spacing w:line="276" w:lineRule="auto"/>
        <w:jc w:val="both"/>
        <w:rPr>
          <w:rFonts w:ascii="Book Antiqua" w:hAnsi="Book Antiqua"/>
          <w:color w:val="000000" w:themeColor="text1"/>
        </w:rPr>
      </w:pPr>
    </w:p>
    <w:p w14:paraId="33C86012" w14:textId="25A9A2A0" w:rsidR="00435FEA" w:rsidRDefault="009C7AF0" w:rsidP="009C7AF0">
      <w:pPr>
        <w:spacing w:line="276" w:lineRule="auto"/>
        <w:jc w:val="both"/>
        <w:rPr>
          <w:rFonts w:ascii="Book Antiqua" w:hAnsi="Book Antiqua"/>
          <w:color w:val="000000" w:themeColor="text1"/>
        </w:rPr>
      </w:pPr>
      <w:r w:rsidRPr="009C7AF0">
        <w:rPr>
          <w:rFonts w:ascii="Book Antiqua" w:hAnsi="Book Antiqua"/>
          <w:color w:val="000000" w:themeColor="text1"/>
        </w:rPr>
        <w:t>En relación con las oficinas que no cumplen con un porcentaje igual o mayor al valor mínimo esperado, resulta importante evidenciar la variación en el porcentaje de rendimiento que presentan las oficinas con el soporte al ordinario.</w:t>
      </w:r>
    </w:p>
    <w:p w14:paraId="77D0AA4A" w14:textId="1B21D4BE" w:rsidR="007D1F33" w:rsidRDefault="007D1F33" w:rsidP="009C7AF0">
      <w:pPr>
        <w:spacing w:line="276" w:lineRule="auto"/>
        <w:jc w:val="both"/>
        <w:rPr>
          <w:rFonts w:ascii="Book Antiqua" w:hAnsi="Book Antiqua"/>
          <w:color w:val="000000" w:themeColor="text1"/>
        </w:rPr>
      </w:pPr>
    </w:p>
    <w:p w14:paraId="7BEB3A3D" w14:textId="10AB5EDF" w:rsidR="007D1F33" w:rsidRDefault="007D1F33" w:rsidP="009C7AF0">
      <w:pPr>
        <w:spacing w:line="276" w:lineRule="auto"/>
        <w:jc w:val="both"/>
        <w:rPr>
          <w:rFonts w:ascii="Book Antiqua" w:hAnsi="Book Antiqua"/>
          <w:color w:val="000000" w:themeColor="text1"/>
        </w:rPr>
      </w:pPr>
      <w:r w:rsidRPr="007D1F33">
        <w:rPr>
          <w:rFonts w:ascii="Book Antiqua" w:hAnsi="Book Antiqua"/>
          <w:color w:val="000000" w:themeColor="text1"/>
        </w:rPr>
        <w:t>El detalle se aprecia en el siguiente cuadro:</w:t>
      </w:r>
    </w:p>
    <w:p w14:paraId="2C139F15" w14:textId="77777777" w:rsidR="007D1F33" w:rsidRDefault="007D1F33" w:rsidP="009C7AF0">
      <w:pPr>
        <w:spacing w:line="276" w:lineRule="auto"/>
        <w:jc w:val="both"/>
        <w:rPr>
          <w:rFonts w:ascii="Book Antiqua" w:hAnsi="Book Antiqua"/>
          <w:b/>
          <w:color w:val="000000" w:themeColor="text1"/>
        </w:rPr>
      </w:pPr>
    </w:p>
    <w:p w14:paraId="707E2DD4" w14:textId="036093C2" w:rsidR="00622109" w:rsidRPr="007D1F33" w:rsidRDefault="00622109" w:rsidP="00985591">
      <w:pPr>
        <w:spacing w:line="276" w:lineRule="auto"/>
        <w:jc w:val="center"/>
        <w:rPr>
          <w:rFonts w:ascii="Book Antiqua" w:hAnsi="Book Antiqua"/>
          <w:b/>
          <w:color w:val="000000" w:themeColor="text1"/>
        </w:rPr>
      </w:pPr>
      <w:r w:rsidRPr="007D1F33">
        <w:rPr>
          <w:rFonts w:ascii="Book Antiqua" w:hAnsi="Book Antiqua"/>
          <w:b/>
          <w:color w:val="000000" w:themeColor="text1"/>
        </w:rPr>
        <w:t xml:space="preserve">Cuadro </w:t>
      </w:r>
      <w:r w:rsidR="00EF017E" w:rsidRPr="007D1F33">
        <w:rPr>
          <w:rFonts w:ascii="Book Antiqua" w:hAnsi="Book Antiqua"/>
          <w:b/>
          <w:color w:val="000000" w:themeColor="text1"/>
        </w:rPr>
        <w:t>3</w:t>
      </w:r>
      <w:r w:rsidR="00B03152">
        <w:rPr>
          <w:rFonts w:ascii="Book Antiqua" w:hAnsi="Book Antiqua"/>
          <w:b/>
          <w:color w:val="000000" w:themeColor="text1"/>
        </w:rPr>
        <w:t>4</w:t>
      </w:r>
    </w:p>
    <w:p w14:paraId="33B10292" w14:textId="77777777" w:rsidR="00622109" w:rsidRPr="007D1F33" w:rsidRDefault="00622109" w:rsidP="00985591">
      <w:pPr>
        <w:spacing w:line="276" w:lineRule="auto"/>
        <w:jc w:val="center"/>
        <w:rPr>
          <w:rFonts w:ascii="Book Antiqua" w:hAnsi="Book Antiqua"/>
          <w:bCs/>
          <w:color w:val="000000" w:themeColor="text1"/>
        </w:rPr>
      </w:pPr>
      <w:r w:rsidRPr="007D1F33">
        <w:rPr>
          <w:rFonts w:ascii="Book Antiqua" w:hAnsi="Book Antiqua"/>
          <w:bCs/>
          <w:color w:val="000000" w:themeColor="text1"/>
        </w:rPr>
        <w:t xml:space="preserve">Cumplimiento del parámetro de producción teórico </w:t>
      </w:r>
    </w:p>
    <w:p w14:paraId="28BC6BE3" w14:textId="51BA33F0" w:rsidR="00622109" w:rsidRDefault="00622109" w:rsidP="00985591">
      <w:pPr>
        <w:spacing w:line="276" w:lineRule="auto"/>
        <w:jc w:val="center"/>
        <w:rPr>
          <w:rFonts w:ascii="Book Antiqua" w:hAnsi="Book Antiqua"/>
          <w:bCs/>
          <w:color w:val="000000" w:themeColor="text1"/>
        </w:rPr>
      </w:pPr>
      <w:r w:rsidRPr="007D1F33">
        <w:rPr>
          <w:rFonts w:ascii="Book Antiqua" w:hAnsi="Book Antiqua"/>
          <w:bCs/>
          <w:color w:val="000000" w:themeColor="text1"/>
        </w:rPr>
        <w:t xml:space="preserve">de Tribunales y Secciones de Flagrancia durante </w:t>
      </w:r>
      <w:r w:rsidR="00EF017E" w:rsidRPr="007D1F33">
        <w:rPr>
          <w:rFonts w:ascii="Book Antiqua" w:hAnsi="Book Antiqua"/>
          <w:bCs/>
          <w:color w:val="000000" w:themeColor="text1"/>
        </w:rPr>
        <w:t>mayo</w:t>
      </w:r>
      <w:r w:rsidRPr="007D1F33">
        <w:rPr>
          <w:rFonts w:ascii="Book Antiqua" w:hAnsi="Book Antiqua"/>
          <w:bCs/>
          <w:color w:val="000000" w:themeColor="text1"/>
        </w:rPr>
        <w:t xml:space="preserve"> 2021</w:t>
      </w:r>
    </w:p>
    <w:tbl>
      <w:tblPr>
        <w:tblW w:w="7650" w:type="dxa"/>
        <w:jc w:val="center"/>
        <w:tblCellMar>
          <w:left w:w="70" w:type="dxa"/>
          <w:right w:w="70" w:type="dxa"/>
        </w:tblCellMar>
        <w:tblLook w:val="04A0" w:firstRow="1" w:lastRow="0" w:firstColumn="1" w:lastColumn="0" w:noHBand="0" w:noVBand="1"/>
      </w:tblPr>
      <w:tblGrid>
        <w:gridCol w:w="3253"/>
        <w:gridCol w:w="1987"/>
        <w:gridCol w:w="2410"/>
      </w:tblGrid>
      <w:tr w:rsidR="008B70A9" w:rsidRPr="007D1F33" w14:paraId="1086C9AA" w14:textId="77777777" w:rsidTr="007D1F33">
        <w:trPr>
          <w:trHeight w:val="1090"/>
          <w:jc w:val="center"/>
        </w:trPr>
        <w:tc>
          <w:tcPr>
            <w:tcW w:w="3253" w:type="dxa"/>
            <w:tcBorders>
              <w:top w:val="single" w:sz="4" w:space="0" w:color="808080"/>
              <w:left w:val="single" w:sz="4" w:space="0" w:color="808080"/>
              <w:bottom w:val="single" w:sz="4" w:space="0" w:color="808080"/>
              <w:right w:val="single" w:sz="4" w:space="0" w:color="808080"/>
            </w:tcBorders>
            <w:shd w:val="clear" w:color="000000" w:fill="305496"/>
            <w:noWrap/>
            <w:vAlign w:val="center"/>
            <w:hideMark/>
          </w:tcPr>
          <w:p w14:paraId="31E5CC4E" w14:textId="77777777" w:rsidR="008B70A9" w:rsidRPr="007D1F33" w:rsidRDefault="008B70A9" w:rsidP="008B70A9">
            <w:pPr>
              <w:jc w:val="center"/>
              <w:rPr>
                <w:rFonts w:ascii="Book Antiqua" w:hAnsi="Book Antiqua" w:cs="Calibri"/>
                <w:b/>
                <w:bCs/>
                <w:color w:val="FFFFFF"/>
                <w:sz w:val="16"/>
                <w:szCs w:val="16"/>
                <w:lang w:eastAsia="es-CR"/>
              </w:rPr>
            </w:pPr>
            <w:r w:rsidRPr="007D1F33">
              <w:rPr>
                <w:rFonts w:ascii="Book Antiqua" w:hAnsi="Book Antiqua" w:cs="Calibri"/>
                <w:b/>
                <w:bCs/>
                <w:color w:val="FFFFFF"/>
                <w:sz w:val="16"/>
                <w:szCs w:val="16"/>
                <w:lang w:eastAsia="es-CR"/>
              </w:rPr>
              <w:t>Oficina</w:t>
            </w:r>
          </w:p>
        </w:tc>
        <w:tc>
          <w:tcPr>
            <w:tcW w:w="1987" w:type="dxa"/>
            <w:tcBorders>
              <w:top w:val="single" w:sz="4" w:space="0" w:color="808080"/>
              <w:left w:val="nil"/>
              <w:bottom w:val="single" w:sz="4" w:space="0" w:color="808080"/>
              <w:right w:val="single" w:sz="4" w:space="0" w:color="808080"/>
            </w:tcBorders>
            <w:shd w:val="clear" w:color="000000" w:fill="305496"/>
            <w:vAlign w:val="center"/>
            <w:hideMark/>
          </w:tcPr>
          <w:p w14:paraId="57DBAB58" w14:textId="77777777" w:rsidR="008B70A9" w:rsidRPr="007D1F33" w:rsidRDefault="008B70A9" w:rsidP="008B70A9">
            <w:pPr>
              <w:jc w:val="center"/>
              <w:rPr>
                <w:rFonts w:ascii="Book Antiqua" w:hAnsi="Book Antiqua" w:cs="Calibri"/>
                <w:b/>
                <w:bCs/>
                <w:color w:val="FFFFFF"/>
                <w:sz w:val="16"/>
                <w:szCs w:val="16"/>
                <w:lang w:eastAsia="es-CR"/>
              </w:rPr>
            </w:pPr>
            <w:r w:rsidRPr="007D1F33">
              <w:rPr>
                <w:rFonts w:ascii="Book Antiqua" w:hAnsi="Book Antiqua" w:cs="Calibri"/>
                <w:b/>
                <w:bCs/>
                <w:color w:val="FFFFFF"/>
                <w:sz w:val="16"/>
                <w:szCs w:val="16"/>
                <w:lang w:eastAsia="es-CR"/>
              </w:rPr>
              <w:t>% de cumplimiento de cuota</w:t>
            </w:r>
          </w:p>
        </w:tc>
        <w:tc>
          <w:tcPr>
            <w:tcW w:w="2410" w:type="dxa"/>
            <w:tcBorders>
              <w:top w:val="single" w:sz="4" w:space="0" w:color="808080"/>
              <w:left w:val="nil"/>
              <w:bottom w:val="single" w:sz="4" w:space="0" w:color="808080"/>
              <w:right w:val="single" w:sz="4" w:space="0" w:color="808080"/>
            </w:tcBorders>
            <w:shd w:val="clear" w:color="000000" w:fill="305496"/>
            <w:vAlign w:val="center"/>
            <w:hideMark/>
          </w:tcPr>
          <w:p w14:paraId="21493519" w14:textId="77777777" w:rsidR="008B70A9" w:rsidRPr="007D1F33" w:rsidRDefault="008B70A9" w:rsidP="008B70A9">
            <w:pPr>
              <w:jc w:val="center"/>
              <w:rPr>
                <w:rFonts w:ascii="Book Antiqua" w:hAnsi="Book Antiqua" w:cs="Calibri"/>
                <w:b/>
                <w:bCs/>
                <w:color w:val="FFFFFF"/>
                <w:sz w:val="16"/>
                <w:szCs w:val="16"/>
                <w:lang w:eastAsia="es-CR"/>
              </w:rPr>
            </w:pPr>
            <w:r w:rsidRPr="007D1F33">
              <w:rPr>
                <w:rFonts w:ascii="Book Antiqua" w:hAnsi="Book Antiqua" w:cs="Calibri"/>
                <w:b/>
                <w:bCs/>
                <w:color w:val="FFFFFF"/>
                <w:sz w:val="16"/>
                <w:szCs w:val="16"/>
                <w:lang w:eastAsia="es-CR"/>
              </w:rPr>
              <w:t>% de cumplimiento considerando colaboración al ordinario</w:t>
            </w:r>
          </w:p>
        </w:tc>
      </w:tr>
      <w:tr w:rsidR="008B70A9" w:rsidRPr="007D1F33" w14:paraId="15439D4D" w14:textId="77777777" w:rsidTr="007D1F33">
        <w:trPr>
          <w:trHeight w:val="290"/>
          <w:jc w:val="center"/>
        </w:trPr>
        <w:tc>
          <w:tcPr>
            <w:tcW w:w="3253" w:type="dxa"/>
            <w:tcBorders>
              <w:top w:val="nil"/>
              <w:left w:val="single" w:sz="4" w:space="0" w:color="808080"/>
              <w:bottom w:val="single" w:sz="4" w:space="0" w:color="808080"/>
              <w:right w:val="single" w:sz="4" w:space="0" w:color="808080"/>
            </w:tcBorders>
            <w:shd w:val="clear" w:color="auto" w:fill="auto"/>
            <w:noWrap/>
            <w:vAlign w:val="center"/>
            <w:hideMark/>
          </w:tcPr>
          <w:p w14:paraId="1DF34079" w14:textId="77777777" w:rsidR="008B70A9" w:rsidRPr="007D1F33" w:rsidRDefault="008B70A9" w:rsidP="008B70A9">
            <w:pPr>
              <w:rPr>
                <w:rFonts w:ascii="Book Antiqua" w:hAnsi="Book Antiqua" w:cs="Calibri"/>
                <w:color w:val="000000"/>
                <w:sz w:val="16"/>
                <w:szCs w:val="16"/>
                <w:lang w:eastAsia="es-CR"/>
              </w:rPr>
            </w:pPr>
            <w:r w:rsidRPr="007D1F33">
              <w:rPr>
                <w:rFonts w:ascii="Book Antiqua" w:hAnsi="Book Antiqua" w:cs="Calibri"/>
                <w:color w:val="000000"/>
                <w:sz w:val="16"/>
                <w:szCs w:val="16"/>
                <w:lang w:eastAsia="es-CR"/>
              </w:rPr>
              <w:t>Tribunal de Flagrancia de Alajuela</w:t>
            </w:r>
          </w:p>
        </w:tc>
        <w:tc>
          <w:tcPr>
            <w:tcW w:w="1987" w:type="dxa"/>
            <w:tcBorders>
              <w:top w:val="nil"/>
              <w:left w:val="nil"/>
              <w:bottom w:val="single" w:sz="4" w:space="0" w:color="808080"/>
              <w:right w:val="single" w:sz="4" w:space="0" w:color="808080"/>
            </w:tcBorders>
            <w:shd w:val="clear" w:color="auto" w:fill="auto"/>
            <w:noWrap/>
            <w:vAlign w:val="center"/>
            <w:hideMark/>
          </w:tcPr>
          <w:p w14:paraId="17FD20E6" w14:textId="77777777" w:rsidR="008B70A9" w:rsidRPr="007D1F33" w:rsidRDefault="008B70A9" w:rsidP="008B70A9">
            <w:pPr>
              <w:jc w:val="center"/>
              <w:rPr>
                <w:rFonts w:ascii="Book Antiqua" w:hAnsi="Book Antiqua" w:cs="Calibri"/>
                <w:color w:val="000000"/>
                <w:sz w:val="16"/>
                <w:szCs w:val="16"/>
                <w:lang w:eastAsia="es-CR"/>
              </w:rPr>
            </w:pPr>
            <w:r w:rsidRPr="007D1F33">
              <w:rPr>
                <w:rFonts w:ascii="Book Antiqua" w:hAnsi="Book Antiqua" w:cs="Calibri"/>
                <w:color w:val="000000"/>
                <w:sz w:val="16"/>
                <w:szCs w:val="16"/>
                <w:lang w:eastAsia="es-CR"/>
              </w:rPr>
              <w:t>221%</w:t>
            </w:r>
          </w:p>
        </w:tc>
        <w:tc>
          <w:tcPr>
            <w:tcW w:w="2410" w:type="dxa"/>
            <w:tcBorders>
              <w:top w:val="nil"/>
              <w:left w:val="nil"/>
              <w:bottom w:val="single" w:sz="4" w:space="0" w:color="808080"/>
              <w:right w:val="single" w:sz="4" w:space="0" w:color="808080"/>
            </w:tcBorders>
            <w:shd w:val="clear" w:color="auto" w:fill="auto"/>
            <w:noWrap/>
            <w:vAlign w:val="center"/>
            <w:hideMark/>
          </w:tcPr>
          <w:p w14:paraId="64E3E135" w14:textId="77777777" w:rsidR="008B70A9" w:rsidRPr="007D1F33" w:rsidRDefault="008B70A9" w:rsidP="008B70A9">
            <w:pPr>
              <w:jc w:val="center"/>
              <w:rPr>
                <w:rFonts w:ascii="Book Antiqua" w:hAnsi="Book Antiqua" w:cs="Calibri"/>
                <w:color w:val="000000"/>
                <w:sz w:val="16"/>
                <w:szCs w:val="16"/>
                <w:lang w:eastAsia="es-CR"/>
              </w:rPr>
            </w:pPr>
            <w:r w:rsidRPr="007D1F33">
              <w:rPr>
                <w:rFonts w:ascii="Book Antiqua" w:hAnsi="Book Antiqua" w:cs="Calibri"/>
                <w:color w:val="000000"/>
                <w:sz w:val="16"/>
                <w:szCs w:val="16"/>
                <w:lang w:eastAsia="es-CR"/>
              </w:rPr>
              <w:t>221%</w:t>
            </w:r>
          </w:p>
        </w:tc>
      </w:tr>
      <w:tr w:rsidR="008B70A9" w:rsidRPr="007D1F33" w14:paraId="4B0627B8" w14:textId="77777777" w:rsidTr="007D1F33">
        <w:trPr>
          <w:trHeight w:val="290"/>
          <w:jc w:val="center"/>
        </w:trPr>
        <w:tc>
          <w:tcPr>
            <w:tcW w:w="3253" w:type="dxa"/>
            <w:tcBorders>
              <w:top w:val="nil"/>
              <w:left w:val="single" w:sz="4" w:space="0" w:color="808080"/>
              <w:bottom w:val="single" w:sz="4" w:space="0" w:color="808080"/>
              <w:right w:val="single" w:sz="4" w:space="0" w:color="808080"/>
            </w:tcBorders>
            <w:shd w:val="clear" w:color="auto" w:fill="auto"/>
            <w:noWrap/>
            <w:vAlign w:val="center"/>
            <w:hideMark/>
          </w:tcPr>
          <w:p w14:paraId="5DF64DCA" w14:textId="77777777" w:rsidR="008B70A9" w:rsidRPr="007D1F33" w:rsidRDefault="008B70A9" w:rsidP="008B70A9">
            <w:pPr>
              <w:rPr>
                <w:rFonts w:ascii="Book Antiqua" w:hAnsi="Book Antiqua" w:cs="Calibri"/>
                <w:color w:val="000000"/>
                <w:sz w:val="16"/>
                <w:szCs w:val="16"/>
                <w:lang w:eastAsia="es-CR"/>
              </w:rPr>
            </w:pPr>
            <w:r w:rsidRPr="007D1F33">
              <w:rPr>
                <w:rFonts w:ascii="Book Antiqua" w:hAnsi="Book Antiqua" w:cs="Calibri"/>
                <w:color w:val="000000"/>
                <w:sz w:val="16"/>
                <w:szCs w:val="16"/>
                <w:lang w:eastAsia="es-CR"/>
              </w:rPr>
              <w:t>Tribunal de Flagrancia de Santa Cruz</w:t>
            </w:r>
          </w:p>
        </w:tc>
        <w:tc>
          <w:tcPr>
            <w:tcW w:w="1987" w:type="dxa"/>
            <w:tcBorders>
              <w:top w:val="nil"/>
              <w:left w:val="nil"/>
              <w:bottom w:val="single" w:sz="4" w:space="0" w:color="808080"/>
              <w:right w:val="single" w:sz="4" w:space="0" w:color="808080"/>
            </w:tcBorders>
            <w:shd w:val="clear" w:color="auto" w:fill="auto"/>
            <w:noWrap/>
            <w:vAlign w:val="center"/>
            <w:hideMark/>
          </w:tcPr>
          <w:p w14:paraId="4D132EC6" w14:textId="77777777" w:rsidR="008B70A9" w:rsidRPr="007D1F33" w:rsidRDefault="008B70A9" w:rsidP="008B70A9">
            <w:pPr>
              <w:jc w:val="center"/>
              <w:rPr>
                <w:rFonts w:ascii="Book Antiqua" w:hAnsi="Book Antiqua" w:cs="Calibri"/>
                <w:color w:val="000000"/>
                <w:sz w:val="16"/>
                <w:szCs w:val="16"/>
                <w:lang w:eastAsia="es-CR"/>
              </w:rPr>
            </w:pPr>
            <w:r w:rsidRPr="007D1F33">
              <w:rPr>
                <w:rFonts w:ascii="Book Antiqua" w:hAnsi="Book Antiqua" w:cs="Calibri"/>
                <w:color w:val="000000"/>
                <w:sz w:val="16"/>
                <w:szCs w:val="16"/>
                <w:lang w:eastAsia="es-CR"/>
              </w:rPr>
              <w:t>121%</w:t>
            </w:r>
          </w:p>
        </w:tc>
        <w:tc>
          <w:tcPr>
            <w:tcW w:w="2410" w:type="dxa"/>
            <w:tcBorders>
              <w:top w:val="nil"/>
              <w:left w:val="nil"/>
              <w:bottom w:val="single" w:sz="4" w:space="0" w:color="808080"/>
              <w:right w:val="single" w:sz="4" w:space="0" w:color="808080"/>
            </w:tcBorders>
            <w:shd w:val="clear" w:color="auto" w:fill="auto"/>
            <w:noWrap/>
            <w:vAlign w:val="center"/>
            <w:hideMark/>
          </w:tcPr>
          <w:p w14:paraId="73F64D73" w14:textId="77777777" w:rsidR="008B70A9" w:rsidRPr="007D1F33" w:rsidRDefault="008B70A9" w:rsidP="008B70A9">
            <w:pPr>
              <w:jc w:val="center"/>
              <w:rPr>
                <w:rFonts w:ascii="Book Antiqua" w:hAnsi="Book Antiqua" w:cs="Calibri"/>
                <w:color w:val="000000"/>
                <w:sz w:val="16"/>
                <w:szCs w:val="16"/>
                <w:lang w:eastAsia="es-CR"/>
              </w:rPr>
            </w:pPr>
            <w:r w:rsidRPr="007D1F33">
              <w:rPr>
                <w:rFonts w:ascii="Book Antiqua" w:hAnsi="Book Antiqua" w:cs="Calibri"/>
                <w:color w:val="000000"/>
                <w:sz w:val="16"/>
                <w:szCs w:val="16"/>
                <w:lang w:eastAsia="es-CR"/>
              </w:rPr>
              <w:t>125%</w:t>
            </w:r>
          </w:p>
        </w:tc>
      </w:tr>
      <w:tr w:rsidR="008B70A9" w:rsidRPr="007D1F33" w14:paraId="75FA44B5" w14:textId="77777777" w:rsidTr="007D1F33">
        <w:trPr>
          <w:trHeight w:val="290"/>
          <w:jc w:val="center"/>
        </w:trPr>
        <w:tc>
          <w:tcPr>
            <w:tcW w:w="3253" w:type="dxa"/>
            <w:tcBorders>
              <w:top w:val="nil"/>
              <w:left w:val="single" w:sz="4" w:space="0" w:color="808080"/>
              <w:bottom w:val="single" w:sz="4" w:space="0" w:color="808080"/>
              <w:right w:val="single" w:sz="4" w:space="0" w:color="808080"/>
            </w:tcBorders>
            <w:shd w:val="clear" w:color="auto" w:fill="auto"/>
            <w:noWrap/>
            <w:vAlign w:val="center"/>
            <w:hideMark/>
          </w:tcPr>
          <w:p w14:paraId="462E89E5" w14:textId="77777777" w:rsidR="008B70A9" w:rsidRPr="007D1F33" w:rsidRDefault="008B70A9" w:rsidP="008B70A9">
            <w:pPr>
              <w:rPr>
                <w:rFonts w:ascii="Book Antiqua" w:hAnsi="Book Antiqua" w:cs="Calibri"/>
                <w:color w:val="000000"/>
                <w:sz w:val="16"/>
                <w:szCs w:val="16"/>
                <w:lang w:eastAsia="es-CR"/>
              </w:rPr>
            </w:pPr>
            <w:r w:rsidRPr="007D1F33">
              <w:rPr>
                <w:rFonts w:ascii="Book Antiqua" w:hAnsi="Book Antiqua" w:cs="Calibri"/>
                <w:color w:val="000000"/>
                <w:sz w:val="16"/>
                <w:szCs w:val="16"/>
                <w:lang w:eastAsia="es-CR"/>
              </w:rPr>
              <w:t>Tribunal de Flagrancia de San Carlos</w:t>
            </w:r>
          </w:p>
        </w:tc>
        <w:tc>
          <w:tcPr>
            <w:tcW w:w="1987" w:type="dxa"/>
            <w:tcBorders>
              <w:top w:val="nil"/>
              <w:left w:val="nil"/>
              <w:bottom w:val="single" w:sz="4" w:space="0" w:color="808080"/>
              <w:right w:val="single" w:sz="4" w:space="0" w:color="808080"/>
            </w:tcBorders>
            <w:shd w:val="clear" w:color="auto" w:fill="auto"/>
            <w:noWrap/>
            <w:vAlign w:val="center"/>
            <w:hideMark/>
          </w:tcPr>
          <w:p w14:paraId="026CFE0C" w14:textId="77777777" w:rsidR="008B70A9" w:rsidRPr="007D1F33" w:rsidRDefault="008B70A9" w:rsidP="008B70A9">
            <w:pPr>
              <w:jc w:val="center"/>
              <w:rPr>
                <w:rFonts w:ascii="Book Antiqua" w:hAnsi="Book Antiqua" w:cs="Calibri"/>
                <w:color w:val="000000"/>
                <w:sz w:val="16"/>
                <w:szCs w:val="16"/>
                <w:lang w:eastAsia="es-CR"/>
              </w:rPr>
            </w:pPr>
            <w:r w:rsidRPr="007D1F33">
              <w:rPr>
                <w:rFonts w:ascii="Book Antiqua" w:hAnsi="Book Antiqua" w:cs="Calibri"/>
                <w:color w:val="000000"/>
                <w:sz w:val="16"/>
                <w:szCs w:val="16"/>
                <w:lang w:eastAsia="es-CR"/>
              </w:rPr>
              <w:t>101%</w:t>
            </w:r>
          </w:p>
        </w:tc>
        <w:tc>
          <w:tcPr>
            <w:tcW w:w="2410" w:type="dxa"/>
            <w:tcBorders>
              <w:top w:val="nil"/>
              <w:left w:val="nil"/>
              <w:bottom w:val="single" w:sz="4" w:space="0" w:color="808080"/>
              <w:right w:val="single" w:sz="4" w:space="0" w:color="808080"/>
            </w:tcBorders>
            <w:shd w:val="clear" w:color="auto" w:fill="auto"/>
            <w:noWrap/>
            <w:vAlign w:val="center"/>
            <w:hideMark/>
          </w:tcPr>
          <w:p w14:paraId="2A5ABC65" w14:textId="77777777" w:rsidR="008B70A9" w:rsidRPr="007D1F33" w:rsidRDefault="008B70A9" w:rsidP="008B70A9">
            <w:pPr>
              <w:jc w:val="center"/>
              <w:rPr>
                <w:rFonts w:ascii="Book Antiqua" w:hAnsi="Book Antiqua" w:cs="Calibri"/>
                <w:color w:val="000000"/>
                <w:sz w:val="16"/>
                <w:szCs w:val="16"/>
                <w:lang w:eastAsia="es-CR"/>
              </w:rPr>
            </w:pPr>
            <w:r w:rsidRPr="007D1F33">
              <w:rPr>
                <w:rFonts w:ascii="Book Antiqua" w:hAnsi="Book Antiqua" w:cs="Calibri"/>
                <w:color w:val="000000"/>
                <w:sz w:val="16"/>
                <w:szCs w:val="16"/>
                <w:lang w:eastAsia="es-CR"/>
              </w:rPr>
              <w:t>101%</w:t>
            </w:r>
          </w:p>
        </w:tc>
      </w:tr>
      <w:tr w:rsidR="008B70A9" w:rsidRPr="007D1F33" w14:paraId="38DE57F1" w14:textId="77777777" w:rsidTr="007D1F33">
        <w:trPr>
          <w:trHeight w:val="290"/>
          <w:jc w:val="center"/>
        </w:trPr>
        <w:tc>
          <w:tcPr>
            <w:tcW w:w="3253" w:type="dxa"/>
            <w:tcBorders>
              <w:top w:val="nil"/>
              <w:left w:val="single" w:sz="4" w:space="0" w:color="808080"/>
              <w:bottom w:val="single" w:sz="4" w:space="0" w:color="808080"/>
              <w:right w:val="single" w:sz="4" w:space="0" w:color="808080"/>
            </w:tcBorders>
            <w:shd w:val="clear" w:color="auto" w:fill="auto"/>
            <w:noWrap/>
            <w:vAlign w:val="center"/>
            <w:hideMark/>
          </w:tcPr>
          <w:p w14:paraId="1D2AD8AE" w14:textId="77777777" w:rsidR="008B70A9" w:rsidRPr="007D1F33" w:rsidRDefault="008B70A9" w:rsidP="008B70A9">
            <w:pPr>
              <w:rPr>
                <w:rFonts w:ascii="Book Antiqua" w:hAnsi="Book Antiqua" w:cs="Calibri"/>
                <w:color w:val="000000"/>
                <w:sz w:val="16"/>
                <w:szCs w:val="16"/>
                <w:lang w:eastAsia="es-CR"/>
              </w:rPr>
            </w:pPr>
            <w:r w:rsidRPr="007D1F33">
              <w:rPr>
                <w:rFonts w:ascii="Book Antiqua" w:hAnsi="Book Antiqua" w:cs="Calibri"/>
                <w:color w:val="000000"/>
                <w:sz w:val="16"/>
                <w:szCs w:val="16"/>
                <w:lang w:eastAsia="es-CR"/>
              </w:rPr>
              <w:t>Tribunal de Flagrancia de San Ramón</w:t>
            </w:r>
          </w:p>
        </w:tc>
        <w:tc>
          <w:tcPr>
            <w:tcW w:w="1987" w:type="dxa"/>
            <w:tcBorders>
              <w:top w:val="nil"/>
              <w:left w:val="nil"/>
              <w:bottom w:val="single" w:sz="4" w:space="0" w:color="808080"/>
              <w:right w:val="single" w:sz="4" w:space="0" w:color="808080"/>
            </w:tcBorders>
            <w:shd w:val="clear" w:color="auto" w:fill="auto"/>
            <w:noWrap/>
            <w:vAlign w:val="center"/>
            <w:hideMark/>
          </w:tcPr>
          <w:p w14:paraId="0FC747AE" w14:textId="77777777" w:rsidR="008B70A9" w:rsidRPr="007D1F33" w:rsidRDefault="008B70A9" w:rsidP="008B70A9">
            <w:pPr>
              <w:jc w:val="center"/>
              <w:rPr>
                <w:rFonts w:ascii="Book Antiqua" w:hAnsi="Book Antiqua" w:cs="Calibri"/>
                <w:color w:val="000000"/>
                <w:sz w:val="16"/>
                <w:szCs w:val="16"/>
                <w:lang w:eastAsia="es-CR"/>
              </w:rPr>
            </w:pPr>
            <w:r w:rsidRPr="007D1F33">
              <w:rPr>
                <w:rFonts w:ascii="Book Antiqua" w:hAnsi="Book Antiqua" w:cs="Calibri"/>
                <w:color w:val="000000"/>
                <w:sz w:val="16"/>
                <w:szCs w:val="16"/>
                <w:lang w:eastAsia="es-CR"/>
              </w:rPr>
              <w:t>101%</w:t>
            </w:r>
          </w:p>
        </w:tc>
        <w:tc>
          <w:tcPr>
            <w:tcW w:w="2410" w:type="dxa"/>
            <w:tcBorders>
              <w:top w:val="nil"/>
              <w:left w:val="nil"/>
              <w:bottom w:val="single" w:sz="4" w:space="0" w:color="808080"/>
              <w:right w:val="single" w:sz="4" w:space="0" w:color="808080"/>
            </w:tcBorders>
            <w:shd w:val="clear" w:color="auto" w:fill="auto"/>
            <w:noWrap/>
            <w:vAlign w:val="center"/>
            <w:hideMark/>
          </w:tcPr>
          <w:p w14:paraId="6B15A817" w14:textId="77777777" w:rsidR="008B70A9" w:rsidRPr="007D1F33" w:rsidRDefault="008B70A9" w:rsidP="008B70A9">
            <w:pPr>
              <w:jc w:val="center"/>
              <w:rPr>
                <w:rFonts w:ascii="Book Antiqua" w:hAnsi="Book Antiqua" w:cs="Calibri"/>
                <w:color w:val="000000"/>
                <w:sz w:val="16"/>
                <w:szCs w:val="16"/>
                <w:lang w:eastAsia="es-CR"/>
              </w:rPr>
            </w:pPr>
            <w:r w:rsidRPr="007D1F33">
              <w:rPr>
                <w:rFonts w:ascii="Book Antiqua" w:hAnsi="Book Antiqua" w:cs="Calibri"/>
                <w:color w:val="000000"/>
                <w:sz w:val="16"/>
                <w:szCs w:val="16"/>
                <w:lang w:eastAsia="es-CR"/>
              </w:rPr>
              <w:t>101%</w:t>
            </w:r>
          </w:p>
        </w:tc>
      </w:tr>
      <w:tr w:rsidR="008B70A9" w:rsidRPr="007D1F33" w14:paraId="1FAD8A3F" w14:textId="77777777" w:rsidTr="007D1F33">
        <w:trPr>
          <w:trHeight w:val="290"/>
          <w:jc w:val="center"/>
        </w:trPr>
        <w:tc>
          <w:tcPr>
            <w:tcW w:w="3253" w:type="dxa"/>
            <w:tcBorders>
              <w:top w:val="nil"/>
              <w:left w:val="single" w:sz="4" w:space="0" w:color="808080"/>
              <w:bottom w:val="single" w:sz="4" w:space="0" w:color="808080"/>
              <w:right w:val="single" w:sz="4" w:space="0" w:color="808080"/>
            </w:tcBorders>
            <w:shd w:val="clear" w:color="auto" w:fill="auto"/>
            <w:noWrap/>
            <w:vAlign w:val="center"/>
            <w:hideMark/>
          </w:tcPr>
          <w:p w14:paraId="44E08D72" w14:textId="77777777" w:rsidR="008B70A9" w:rsidRPr="007D1F33" w:rsidRDefault="008B70A9" w:rsidP="008B70A9">
            <w:pPr>
              <w:rPr>
                <w:rFonts w:ascii="Book Antiqua" w:hAnsi="Book Antiqua" w:cs="Calibri"/>
                <w:color w:val="000000"/>
                <w:sz w:val="16"/>
                <w:szCs w:val="16"/>
                <w:lang w:eastAsia="es-CR"/>
              </w:rPr>
            </w:pPr>
            <w:r w:rsidRPr="007D1F33">
              <w:rPr>
                <w:rFonts w:ascii="Book Antiqua" w:hAnsi="Book Antiqua" w:cs="Calibri"/>
                <w:color w:val="000000"/>
                <w:sz w:val="16"/>
                <w:szCs w:val="16"/>
                <w:lang w:eastAsia="es-CR"/>
              </w:rPr>
              <w:t>Tribunal de Flagrancia de Corredores</w:t>
            </w:r>
          </w:p>
        </w:tc>
        <w:tc>
          <w:tcPr>
            <w:tcW w:w="1987" w:type="dxa"/>
            <w:tcBorders>
              <w:top w:val="nil"/>
              <w:left w:val="nil"/>
              <w:bottom w:val="single" w:sz="4" w:space="0" w:color="808080"/>
              <w:right w:val="single" w:sz="4" w:space="0" w:color="808080"/>
            </w:tcBorders>
            <w:shd w:val="clear" w:color="auto" w:fill="auto"/>
            <w:noWrap/>
            <w:vAlign w:val="center"/>
            <w:hideMark/>
          </w:tcPr>
          <w:p w14:paraId="759F2088" w14:textId="77777777" w:rsidR="008B70A9" w:rsidRPr="007D1F33" w:rsidRDefault="008B70A9" w:rsidP="008B70A9">
            <w:pPr>
              <w:jc w:val="center"/>
              <w:rPr>
                <w:rFonts w:ascii="Book Antiqua" w:hAnsi="Book Antiqua" w:cs="Calibri"/>
                <w:color w:val="000000"/>
                <w:sz w:val="16"/>
                <w:szCs w:val="16"/>
                <w:lang w:eastAsia="es-CR"/>
              </w:rPr>
            </w:pPr>
            <w:r w:rsidRPr="007D1F33">
              <w:rPr>
                <w:rFonts w:ascii="Book Antiqua" w:hAnsi="Book Antiqua" w:cs="Calibri"/>
                <w:color w:val="000000"/>
                <w:sz w:val="16"/>
                <w:szCs w:val="16"/>
                <w:lang w:eastAsia="es-CR"/>
              </w:rPr>
              <w:t>66%</w:t>
            </w:r>
          </w:p>
        </w:tc>
        <w:tc>
          <w:tcPr>
            <w:tcW w:w="2410" w:type="dxa"/>
            <w:tcBorders>
              <w:top w:val="nil"/>
              <w:left w:val="nil"/>
              <w:bottom w:val="single" w:sz="4" w:space="0" w:color="808080"/>
              <w:right w:val="single" w:sz="4" w:space="0" w:color="808080"/>
            </w:tcBorders>
            <w:shd w:val="clear" w:color="auto" w:fill="auto"/>
            <w:noWrap/>
            <w:vAlign w:val="center"/>
            <w:hideMark/>
          </w:tcPr>
          <w:p w14:paraId="74B0049A" w14:textId="77777777" w:rsidR="008B70A9" w:rsidRPr="007D1F33" w:rsidRDefault="008B70A9" w:rsidP="008B70A9">
            <w:pPr>
              <w:jc w:val="center"/>
              <w:rPr>
                <w:rFonts w:ascii="Book Antiqua" w:hAnsi="Book Antiqua" w:cs="Calibri"/>
                <w:color w:val="000000"/>
                <w:sz w:val="16"/>
                <w:szCs w:val="16"/>
                <w:lang w:eastAsia="es-CR"/>
              </w:rPr>
            </w:pPr>
            <w:r w:rsidRPr="007D1F33">
              <w:rPr>
                <w:rFonts w:ascii="Book Antiqua" w:hAnsi="Book Antiqua" w:cs="Calibri"/>
                <w:color w:val="000000"/>
                <w:sz w:val="16"/>
                <w:szCs w:val="16"/>
                <w:lang w:eastAsia="es-CR"/>
              </w:rPr>
              <w:t>84%</w:t>
            </w:r>
          </w:p>
        </w:tc>
      </w:tr>
      <w:tr w:rsidR="008B70A9" w:rsidRPr="007D1F33" w14:paraId="336B9E42" w14:textId="77777777" w:rsidTr="007D1F33">
        <w:trPr>
          <w:trHeight w:val="290"/>
          <w:jc w:val="center"/>
        </w:trPr>
        <w:tc>
          <w:tcPr>
            <w:tcW w:w="3253" w:type="dxa"/>
            <w:tcBorders>
              <w:top w:val="nil"/>
              <w:left w:val="single" w:sz="4" w:space="0" w:color="808080"/>
              <w:bottom w:val="single" w:sz="4" w:space="0" w:color="808080"/>
              <w:right w:val="single" w:sz="4" w:space="0" w:color="808080"/>
            </w:tcBorders>
            <w:shd w:val="clear" w:color="auto" w:fill="auto"/>
            <w:noWrap/>
            <w:vAlign w:val="center"/>
            <w:hideMark/>
          </w:tcPr>
          <w:p w14:paraId="5F9D67EE" w14:textId="77777777" w:rsidR="008B70A9" w:rsidRPr="007D1F33" w:rsidRDefault="008B70A9" w:rsidP="008B70A9">
            <w:pPr>
              <w:rPr>
                <w:rFonts w:ascii="Book Antiqua" w:hAnsi="Book Antiqua" w:cs="Calibri"/>
                <w:color w:val="000000"/>
                <w:sz w:val="16"/>
                <w:szCs w:val="16"/>
                <w:lang w:eastAsia="es-CR"/>
              </w:rPr>
            </w:pPr>
            <w:r w:rsidRPr="007D1F33">
              <w:rPr>
                <w:rFonts w:ascii="Book Antiqua" w:hAnsi="Book Antiqua" w:cs="Calibri"/>
                <w:color w:val="000000"/>
                <w:sz w:val="16"/>
                <w:szCs w:val="16"/>
                <w:lang w:eastAsia="es-CR"/>
              </w:rPr>
              <w:t>Tribunal de Flagrancia de Liberia</w:t>
            </w:r>
          </w:p>
        </w:tc>
        <w:tc>
          <w:tcPr>
            <w:tcW w:w="1987" w:type="dxa"/>
            <w:tcBorders>
              <w:top w:val="nil"/>
              <w:left w:val="nil"/>
              <w:bottom w:val="single" w:sz="4" w:space="0" w:color="808080"/>
              <w:right w:val="single" w:sz="4" w:space="0" w:color="808080"/>
            </w:tcBorders>
            <w:shd w:val="clear" w:color="auto" w:fill="auto"/>
            <w:noWrap/>
            <w:vAlign w:val="center"/>
            <w:hideMark/>
          </w:tcPr>
          <w:p w14:paraId="34A8F585" w14:textId="77777777" w:rsidR="008B70A9" w:rsidRPr="007D1F33" w:rsidRDefault="008B70A9" w:rsidP="008B70A9">
            <w:pPr>
              <w:jc w:val="center"/>
              <w:rPr>
                <w:rFonts w:ascii="Book Antiqua" w:hAnsi="Book Antiqua" w:cs="Calibri"/>
                <w:color w:val="000000"/>
                <w:sz w:val="16"/>
                <w:szCs w:val="16"/>
                <w:lang w:eastAsia="es-CR"/>
              </w:rPr>
            </w:pPr>
            <w:r w:rsidRPr="007D1F33">
              <w:rPr>
                <w:rFonts w:ascii="Book Antiqua" w:hAnsi="Book Antiqua" w:cs="Calibri"/>
                <w:color w:val="000000"/>
                <w:sz w:val="16"/>
                <w:szCs w:val="16"/>
                <w:lang w:eastAsia="es-CR"/>
              </w:rPr>
              <w:t>79%</w:t>
            </w:r>
          </w:p>
        </w:tc>
        <w:tc>
          <w:tcPr>
            <w:tcW w:w="2410" w:type="dxa"/>
            <w:tcBorders>
              <w:top w:val="nil"/>
              <w:left w:val="nil"/>
              <w:bottom w:val="single" w:sz="4" w:space="0" w:color="808080"/>
              <w:right w:val="single" w:sz="4" w:space="0" w:color="808080"/>
            </w:tcBorders>
            <w:shd w:val="clear" w:color="auto" w:fill="auto"/>
            <w:noWrap/>
            <w:vAlign w:val="center"/>
            <w:hideMark/>
          </w:tcPr>
          <w:p w14:paraId="50DFC3E9" w14:textId="77777777" w:rsidR="008B70A9" w:rsidRPr="007D1F33" w:rsidRDefault="008B70A9" w:rsidP="008B70A9">
            <w:pPr>
              <w:jc w:val="center"/>
              <w:rPr>
                <w:rFonts w:ascii="Book Antiqua" w:hAnsi="Book Antiqua" w:cs="Calibri"/>
                <w:color w:val="000000"/>
                <w:sz w:val="16"/>
                <w:szCs w:val="16"/>
                <w:lang w:eastAsia="es-CR"/>
              </w:rPr>
            </w:pPr>
            <w:r w:rsidRPr="007D1F33">
              <w:rPr>
                <w:rFonts w:ascii="Book Antiqua" w:hAnsi="Book Antiqua" w:cs="Calibri"/>
                <w:color w:val="000000"/>
                <w:sz w:val="16"/>
                <w:szCs w:val="16"/>
                <w:lang w:eastAsia="es-CR"/>
              </w:rPr>
              <w:t>81%</w:t>
            </w:r>
          </w:p>
        </w:tc>
      </w:tr>
      <w:tr w:rsidR="008B70A9" w:rsidRPr="007D1F33" w14:paraId="297C4396" w14:textId="77777777" w:rsidTr="007D1F33">
        <w:trPr>
          <w:trHeight w:val="290"/>
          <w:jc w:val="center"/>
        </w:trPr>
        <w:tc>
          <w:tcPr>
            <w:tcW w:w="3253" w:type="dxa"/>
            <w:tcBorders>
              <w:top w:val="nil"/>
              <w:left w:val="single" w:sz="4" w:space="0" w:color="808080"/>
              <w:bottom w:val="single" w:sz="4" w:space="0" w:color="808080"/>
              <w:right w:val="single" w:sz="4" w:space="0" w:color="808080"/>
            </w:tcBorders>
            <w:shd w:val="clear" w:color="auto" w:fill="auto"/>
            <w:noWrap/>
            <w:vAlign w:val="center"/>
            <w:hideMark/>
          </w:tcPr>
          <w:p w14:paraId="42A310EF" w14:textId="77777777" w:rsidR="008B70A9" w:rsidRPr="007D1F33" w:rsidRDefault="008B70A9" w:rsidP="008B70A9">
            <w:pPr>
              <w:rPr>
                <w:rFonts w:ascii="Book Antiqua" w:hAnsi="Book Antiqua" w:cs="Calibri"/>
                <w:color w:val="000000"/>
                <w:sz w:val="16"/>
                <w:szCs w:val="16"/>
                <w:lang w:eastAsia="es-CR"/>
              </w:rPr>
            </w:pPr>
            <w:r w:rsidRPr="007D1F33">
              <w:rPr>
                <w:rFonts w:ascii="Book Antiqua" w:hAnsi="Book Antiqua" w:cs="Calibri"/>
                <w:color w:val="000000"/>
                <w:sz w:val="16"/>
                <w:szCs w:val="16"/>
                <w:lang w:eastAsia="es-CR"/>
              </w:rPr>
              <w:t>Tribunal de Flagrancia de Cartago</w:t>
            </w:r>
          </w:p>
        </w:tc>
        <w:tc>
          <w:tcPr>
            <w:tcW w:w="1987" w:type="dxa"/>
            <w:tcBorders>
              <w:top w:val="nil"/>
              <w:left w:val="nil"/>
              <w:bottom w:val="single" w:sz="4" w:space="0" w:color="808080"/>
              <w:right w:val="single" w:sz="4" w:space="0" w:color="808080"/>
            </w:tcBorders>
            <w:shd w:val="clear" w:color="auto" w:fill="auto"/>
            <w:noWrap/>
            <w:vAlign w:val="center"/>
            <w:hideMark/>
          </w:tcPr>
          <w:p w14:paraId="04CD7B31" w14:textId="77777777" w:rsidR="008B70A9" w:rsidRPr="007D1F33" w:rsidRDefault="008B70A9" w:rsidP="008B70A9">
            <w:pPr>
              <w:jc w:val="center"/>
              <w:rPr>
                <w:rFonts w:ascii="Book Antiqua" w:hAnsi="Book Antiqua" w:cs="Calibri"/>
                <w:color w:val="000000"/>
                <w:sz w:val="16"/>
                <w:szCs w:val="16"/>
                <w:lang w:eastAsia="es-CR"/>
              </w:rPr>
            </w:pPr>
            <w:r w:rsidRPr="007D1F33">
              <w:rPr>
                <w:rFonts w:ascii="Book Antiqua" w:hAnsi="Book Antiqua" w:cs="Calibri"/>
                <w:color w:val="000000"/>
                <w:sz w:val="16"/>
                <w:szCs w:val="16"/>
                <w:lang w:eastAsia="es-CR"/>
              </w:rPr>
              <w:t>66%</w:t>
            </w:r>
          </w:p>
        </w:tc>
        <w:tc>
          <w:tcPr>
            <w:tcW w:w="2410" w:type="dxa"/>
            <w:tcBorders>
              <w:top w:val="nil"/>
              <w:left w:val="nil"/>
              <w:bottom w:val="single" w:sz="4" w:space="0" w:color="808080"/>
              <w:right w:val="single" w:sz="4" w:space="0" w:color="808080"/>
            </w:tcBorders>
            <w:shd w:val="clear" w:color="auto" w:fill="auto"/>
            <w:noWrap/>
            <w:vAlign w:val="center"/>
            <w:hideMark/>
          </w:tcPr>
          <w:p w14:paraId="59FBBC86" w14:textId="77777777" w:rsidR="008B70A9" w:rsidRPr="007D1F33" w:rsidRDefault="008B70A9" w:rsidP="008B70A9">
            <w:pPr>
              <w:jc w:val="center"/>
              <w:rPr>
                <w:rFonts w:ascii="Book Antiqua" w:hAnsi="Book Antiqua" w:cs="Calibri"/>
                <w:color w:val="000000"/>
                <w:sz w:val="16"/>
                <w:szCs w:val="16"/>
                <w:lang w:eastAsia="es-CR"/>
              </w:rPr>
            </w:pPr>
            <w:r w:rsidRPr="007D1F33">
              <w:rPr>
                <w:rFonts w:ascii="Book Antiqua" w:hAnsi="Book Antiqua" w:cs="Calibri"/>
                <w:color w:val="000000"/>
                <w:sz w:val="16"/>
                <w:szCs w:val="16"/>
                <w:lang w:eastAsia="es-CR"/>
              </w:rPr>
              <w:t>67%</w:t>
            </w:r>
          </w:p>
        </w:tc>
      </w:tr>
      <w:tr w:rsidR="008B70A9" w:rsidRPr="007D1F33" w14:paraId="277163EE" w14:textId="77777777" w:rsidTr="007D1F33">
        <w:trPr>
          <w:trHeight w:val="290"/>
          <w:jc w:val="center"/>
        </w:trPr>
        <w:tc>
          <w:tcPr>
            <w:tcW w:w="3253" w:type="dxa"/>
            <w:tcBorders>
              <w:top w:val="nil"/>
              <w:left w:val="single" w:sz="4" w:space="0" w:color="808080"/>
              <w:bottom w:val="single" w:sz="4" w:space="0" w:color="808080"/>
              <w:right w:val="single" w:sz="4" w:space="0" w:color="808080"/>
            </w:tcBorders>
            <w:shd w:val="clear" w:color="auto" w:fill="auto"/>
            <w:noWrap/>
            <w:vAlign w:val="center"/>
            <w:hideMark/>
          </w:tcPr>
          <w:p w14:paraId="1F39A258" w14:textId="77777777" w:rsidR="008B70A9" w:rsidRPr="007D1F33" w:rsidRDefault="008B70A9" w:rsidP="008B70A9">
            <w:pPr>
              <w:rPr>
                <w:rFonts w:ascii="Book Antiqua" w:hAnsi="Book Antiqua" w:cs="Calibri"/>
                <w:color w:val="000000"/>
                <w:sz w:val="16"/>
                <w:szCs w:val="16"/>
                <w:lang w:eastAsia="es-CR"/>
              </w:rPr>
            </w:pPr>
            <w:r w:rsidRPr="007D1F33">
              <w:rPr>
                <w:rFonts w:ascii="Book Antiqua" w:hAnsi="Book Antiqua" w:cs="Calibri"/>
                <w:color w:val="000000"/>
                <w:sz w:val="16"/>
                <w:szCs w:val="16"/>
                <w:lang w:eastAsia="es-CR"/>
              </w:rPr>
              <w:t>Tribunal de Flagrancia de Puntarenas</w:t>
            </w:r>
          </w:p>
        </w:tc>
        <w:tc>
          <w:tcPr>
            <w:tcW w:w="1987" w:type="dxa"/>
            <w:tcBorders>
              <w:top w:val="nil"/>
              <w:left w:val="nil"/>
              <w:bottom w:val="single" w:sz="4" w:space="0" w:color="808080"/>
              <w:right w:val="single" w:sz="4" w:space="0" w:color="808080"/>
            </w:tcBorders>
            <w:shd w:val="clear" w:color="auto" w:fill="auto"/>
            <w:noWrap/>
            <w:vAlign w:val="center"/>
            <w:hideMark/>
          </w:tcPr>
          <w:p w14:paraId="0115BD13" w14:textId="77777777" w:rsidR="008B70A9" w:rsidRPr="007D1F33" w:rsidRDefault="008B70A9" w:rsidP="008B70A9">
            <w:pPr>
              <w:jc w:val="center"/>
              <w:rPr>
                <w:rFonts w:ascii="Book Antiqua" w:hAnsi="Book Antiqua" w:cs="Calibri"/>
                <w:color w:val="000000"/>
                <w:sz w:val="16"/>
                <w:szCs w:val="16"/>
                <w:lang w:eastAsia="es-CR"/>
              </w:rPr>
            </w:pPr>
            <w:r w:rsidRPr="007D1F33">
              <w:rPr>
                <w:rFonts w:ascii="Book Antiqua" w:hAnsi="Book Antiqua" w:cs="Calibri"/>
                <w:color w:val="000000"/>
                <w:sz w:val="16"/>
                <w:szCs w:val="16"/>
                <w:lang w:eastAsia="es-CR"/>
              </w:rPr>
              <w:t>52%</w:t>
            </w:r>
          </w:p>
        </w:tc>
        <w:tc>
          <w:tcPr>
            <w:tcW w:w="2410" w:type="dxa"/>
            <w:tcBorders>
              <w:top w:val="nil"/>
              <w:left w:val="nil"/>
              <w:bottom w:val="single" w:sz="4" w:space="0" w:color="808080"/>
              <w:right w:val="single" w:sz="4" w:space="0" w:color="808080"/>
            </w:tcBorders>
            <w:shd w:val="clear" w:color="auto" w:fill="auto"/>
            <w:noWrap/>
            <w:vAlign w:val="center"/>
            <w:hideMark/>
          </w:tcPr>
          <w:p w14:paraId="3A0330BC" w14:textId="77777777" w:rsidR="008B70A9" w:rsidRPr="007D1F33" w:rsidRDefault="008B70A9" w:rsidP="008B70A9">
            <w:pPr>
              <w:jc w:val="center"/>
              <w:rPr>
                <w:rFonts w:ascii="Book Antiqua" w:hAnsi="Book Antiqua" w:cs="Calibri"/>
                <w:color w:val="000000"/>
                <w:sz w:val="16"/>
                <w:szCs w:val="16"/>
                <w:lang w:eastAsia="es-CR"/>
              </w:rPr>
            </w:pPr>
            <w:r w:rsidRPr="007D1F33">
              <w:rPr>
                <w:rFonts w:ascii="Book Antiqua" w:hAnsi="Book Antiqua" w:cs="Calibri"/>
                <w:color w:val="000000"/>
                <w:sz w:val="16"/>
                <w:szCs w:val="16"/>
                <w:lang w:eastAsia="es-CR"/>
              </w:rPr>
              <w:t>64%</w:t>
            </w:r>
          </w:p>
        </w:tc>
      </w:tr>
      <w:tr w:rsidR="008B70A9" w:rsidRPr="007D1F33" w14:paraId="464D56A1" w14:textId="77777777" w:rsidTr="007D1F33">
        <w:trPr>
          <w:trHeight w:val="290"/>
          <w:jc w:val="center"/>
        </w:trPr>
        <w:tc>
          <w:tcPr>
            <w:tcW w:w="3253" w:type="dxa"/>
            <w:tcBorders>
              <w:top w:val="nil"/>
              <w:left w:val="single" w:sz="4" w:space="0" w:color="808080"/>
              <w:bottom w:val="single" w:sz="4" w:space="0" w:color="808080"/>
              <w:right w:val="single" w:sz="4" w:space="0" w:color="808080"/>
            </w:tcBorders>
            <w:shd w:val="clear" w:color="auto" w:fill="auto"/>
            <w:noWrap/>
            <w:vAlign w:val="center"/>
            <w:hideMark/>
          </w:tcPr>
          <w:p w14:paraId="44137947" w14:textId="77777777" w:rsidR="008B70A9" w:rsidRPr="007D1F33" w:rsidRDefault="008B70A9" w:rsidP="008B70A9">
            <w:pPr>
              <w:rPr>
                <w:rFonts w:ascii="Book Antiqua" w:hAnsi="Book Antiqua" w:cs="Calibri"/>
                <w:color w:val="000000"/>
                <w:sz w:val="16"/>
                <w:szCs w:val="16"/>
                <w:lang w:eastAsia="es-CR"/>
              </w:rPr>
            </w:pPr>
            <w:r w:rsidRPr="007D1F33">
              <w:rPr>
                <w:rFonts w:ascii="Book Antiqua" w:hAnsi="Book Antiqua" w:cs="Calibri"/>
                <w:color w:val="000000"/>
                <w:sz w:val="16"/>
                <w:szCs w:val="16"/>
                <w:lang w:eastAsia="es-CR"/>
              </w:rPr>
              <w:t>Tribunal de Flagrancia de Pococí</w:t>
            </w:r>
          </w:p>
        </w:tc>
        <w:tc>
          <w:tcPr>
            <w:tcW w:w="1987" w:type="dxa"/>
            <w:tcBorders>
              <w:top w:val="nil"/>
              <w:left w:val="nil"/>
              <w:bottom w:val="single" w:sz="4" w:space="0" w:color="808080"/>
              <w:right w:val="single" w:sz="4" w:space="0" w:color="808080"/>
            </w:tcBorders>
            <w:shd w:val="clear" w:color="auto" w:fill="auto"/>
            <w:noWrap/>
            <w:vAlign w:val="center"/>
            <w:hideMark/>
          </w:tcPr>
          <w:p w14:paraId="3A206E23" w14:textId="77777777" w:rsidR="008B70A9" w:rsidRPr="007D1F33" w:rsidRDefault="008B70A9" w:rsidP="008B70A9">
            <w:pPr>
              <w:jc w:val="center"/>
              <w:rPr>
                <w:rFonts w:ascii="Book Antiqua" w:hAnsi="Book Antiqua" w:cs="Calibri"/>
                <w:color w:val="000000"/>
                <w:sz w:val="16"/>
                <w:szCs w:val="16"/>
                <w:lang w:eastAsia="es-CR"/>
              </w:rPr>
            </w:pPr>
            <w:r w:rsidRPr="007D1F33">
              <w:rPr>
                <w:rFonts w:ascii="Book Antiqua" w:hAnsi="Book Antiqua" w:cs="Calibri"/>
                <w:color w:val="000000"/>
                <w:sz w:val="16"/>
                <w:szCs w:val="16"/>
                <w:lang w:eastAsia="es-CR"/>
              </w:rPr>
              <w:t>57%</w:t>
            </w:r>
          </w:p>
        </w:tc>
        <w:tc>
          <w:tcPr>
            <w:tcW w:w="2410" w:type="dxa"/>
            <w:tcBorders>
              <w:top w:val="nil"/>
              <w:left w:val="nil"/>
              <w:bottom w:val="single" w:sz="4" w:space="0" w:color="808080"/>
              <w:right w:val="single" w:sz="4" w:space="0" w:color="808080"/>
            </w:tcBorders>
            <w:shd w:val="clear" w:color="auto" w:fill="auto"/>
            <w:noWrap/>
            <w:vAlign w:val="center"/>
            <w:hideMark/>
          </w:tcPr>
          <w:p w14:paraId="092E0A49" w14:textId="77777777" w:rsidR="008B70A9" w:rsidRPr="007D1F33" w:rsidRDefault="008B70A9" w:rsidP="008B70A9">
            <w:pPr>
              <w:jc w:val="center"/>
              <w:rPr>
                <w:rFonts w:ascii="Book Antiqua" w:hAnsi="Book Antiqua" w:cs="Calibri"/>
                <w:color w:val="000000"/>
                <w:sz w:val="16"/>
                <w:szCs w:val="16"/>
                <w:lang w:eastAsia="es-CR"/>
              </w:rPr>
            </w:pPr>
            <w:r w:rsidRPr="007D1F33">
              <w:rPr>
                <w:rFonts w:ascii="Book Antiqua" w:hAnsi="Book Antiqua" w:cs="Calibri"/>
                <w:color w:val="000000"/>
                <w:sz w:val="16"/>
                <w:szCs w:val="16"/>
                <w:lang w:eastAsia="es-CR"/>
              </w:rPr>
              <w:t>60%</w:t>
            </w:r>
          </w:p>
        </w:tc>
      </w:tr>
      <w:tr w:rsidR="008B70A9" w:rsidRPr="007D1F33" w14:paraId="036ED0CD" w14:textId="77777777" w:rsidTr="007D1F33">
        <w:trPr>
          <w:trHeight w:val="290"/>
          <w:jc w:val="center"/>
        </w:trPr>
        <w:tc>
          <w:tcPr>
            <w:tcW w:w="3253" w:type="dxa"/>
            <w:tcBorders>
              <w:top w:val="nil"/>
              <w:left w:val="single" w:sz="4" w:space="0" w:color="808080"/>
              <w:bottom w:val="single" w:sz="4" w:space="0" w:color="808080"/>
              <w:right w:val="single" w:sz="4" w:space="0" w:color="808080"/>
            </w:tcBorders>
            <w:shd w:val="clear" w:color="auto" w:fill="auto"/>
            <w:noWrap/>
            <w:vAlign w:val="center"/>
            <w:hideMark/>
          </w:tcPr>
          <w:p w14:paraId="20013C9A" w14:textId="77777777" w:rsidR="008B70A9" w:rsidRPr="007D1F33" w:rsidRDefault="008B70A9" w:rsidP="008B70A9">
            <w:pPr>
              <w:rPr>
                <w:rFonts w:ascii="Book Antiqua" w:hAnsi="Book Antiqua" w:cs="Calibri"/>
                <w:color w:val="000000"/>
                <w:sz w:val="16"/>
                <w:szCs w:val="16"/>
                <w:lang w:eastAsia="es-CR"/>
              </w:rPr>
            </w:pPr>
            <w:r w:rsidRPr="007D1F33">
              <w:rPr>
                <w:rFonts w:ascii="Book Antiqua" w:hAnsi="Book Antiqua" w:cs="Calibri"/>
                <w:color w:val="000000"/>
                <w:sz w:val="16"/>
                <w:szCs w:val="16"/>
                <w:lang w:eastAsia="es-CR"/>
              </w:rPr>
              <w:t>Tribunal de Flagrancia de Limón</w:t>
            </w:r>
          </w:p>
        </w:tc>
        <w:tc>
          <w:tcPr>
            <w:tcW w:w="1987" w:type="dxa"/>
            <w:tcBorders>
              <w:top w:val="nil"/>
              <w:left w:val="nil"/>
              <w:bottom w:val="single" w:sz="4" w:space="0" w:color="808080"/>
              <w:right w:val="single" w:sz="4" w:space="0" w:color="808080"/>
            </w:tcBorders>
            <w:shd w:val="clear" w:color="auto" w:fill="auto"/>
            <w:noWrap/>
            <w:vAlign w:val="center"/>
            <w:hideMark/>
          </w:tcPr>
          <w:p w14:paraId="6A7E98D0" w14:textId="77777777" w:rsidR="008B70A9" w:rsidRPr="007D1F33" w:rsidRDefault="008B70A9" w:rsidP="008B70A9">
            <w:pPr>
              <w:jc w:val="center"/>
              <w:rPr>
                <w:rFonts w:ascii="Book Antiqua" w:hAnsi="Book Antiqua" w:cs="Calibri"/>
                <w:color w:val="000000"/>
                <w:sz w:val="16"/>
                <w:szCs w:val="16"/>
                <w:lang w:eastAsia="es-CR"/>
              </w:rPr>
            </w:pPr>
            <w:r w:rsidRPr="007D1F33">
              <w:rPr>
                <w:rFonts w:ascii="Book Antiqua" w:hAnsi="Book Antiqua" w:cs="Calibri"/>
                <w:color w:val="000000"/>
                <w:sz w:val="16"/>
                <w:szCs w:val="16"/>
                <w:lang w:eastAsia="es-CR"/>
              </w:rPr>
              <w:t>42%</w:t>
            </w:r>
          </w:p>
        </w:tc>
        <w:tc>
          <w:tcPr>
            <w:tcW w:w="2410" w:type="dxa"/>
            <w:tcBorders>
              <w:top w:val="nil"/>
              <w:left w:val="nil"/>
              <w:bottom w:val="single" w:sz="4" w:space="0" w:color="808080"/>
              <w:right w:val="single" w:sz="4" w:space="0" w:color="808080"/>
            </w:tcBorders>
            <w:shd w:val="clear" w:color="auto" w:fill="auto"/>
            <w:noWrap/>
            <w:vAlign w:val="center"/>
            <w:hideMark/>
          </w:tcPr>
          <w:p w14:paraId="15B95E99" w14:textId="77777777" w:rsidR="008B70A9" w:rsidRPr="007D1F33" w:rsidRDefault="008B70A9" w:rsidP="008B70A9">
            <w:pPr>
              <w:jc w:val="center"/>
              <w:rPr>
                <w:rFonts w:ascii="Book Antiqua" w:hAnsi="Book Antiqua" w:cs="Calibri"/>
                <w:color w:val="000000"/>
                <w:sz w:val="16"/>
                <w:szCs w:val="16"/>
                <w:lang w:eastAsia="es-CR"/>
              </w:rPr>
            </w:pPr>
            <w:r w:rsidRPr="007D1F33">
              <w:rPr>
                <w:rFonts w:ascii="Book Antiqua" w:hAnsi="Book Antiqua" w:cs="Calibri"/>
                <w:color w:val="000000"/>
                <w:sz w:val="16"/>
                <w:szCs w:val="16"/>
                <w:lang w:eastAsia="es-CR"/>
              </w:rPr>
              <w:t>53%</w:t>
            </w:r>
          </w:p>
        </w:tc>
      </w:tr>
      <w:tr w:rsidR="008B70A9" w:rsidRPr="007D1F33" w14:paraId="2EE938EA" w14:textId="77777777" w:rsidTr="007D1F33">
        <w:trPr>
          <w:trHeight w:val="290"/>
          <w:jc w:val="center"/>
        </w:trPr>
        <w:tc>
          <w:tcPr>
            <w:tcW w:w="3253" w:type="dxa"/>
            <w:tcBorders>
              <w:top w:val="nil"/>
              <w:left w:val="single" w:sz="4" w:space="0" w:color="808080"/>
              <w:bottom w:val="single" w:sz="4" w:space="0" w:color="808080"/>
              <w:right w:val="single" w:sz="4" w:space="0" w:color="808080"/>
            </w:tcBorders>
            <w:shd w:val="clear" w:color="auto" w:fill="auto"/>
            <w:noWrap/>
            <w:vAlign w:val="center"/>
            <w:hideMark/>
          </w:tcPr>
          <w:p w14:paraId="4D4D0B4F" w14:textId="77777777" w:rsidR="008B70A9" w:rsidRPr="007D1F33" w:rsidRDefault="008B70A9" w:rsidP="008B70A9">
            <w:pPr>
              <w:rPr>
                <w:rFonts w:ascii="Book Antiqua" w:hAnsi="Book Antiqua" w:cs="Calibri"/>
                <w:color w:val="000000"/>
                <w:sz w:val="16"/>
                <w:szCs w:val="16"/>
                <w:lang w:eastAsia="es-CR"/>
              </w:rPr>
            </w:pPr>
            <w:r w:rsidRPr="007D1F33">
              <w:rPr>
                <w:rFonts w:ascii="Book Antiqua" w:hAnsi="Book Antiqua" w:cs="Calibri"/>
                <w:color w:val="000000"/>
                <w:sz w:val="16"/>
                <w:szCs w:val="16"/>
                <w:lang w:eastAsia="es-CR"/>
              </w:rPr>
              <w:t>Tribunal de Flagrancia de Pérez Zeledón</w:t>
            </w:r>
          </w:p>
        </w:tc>
        <w:tc>
          <w:tcPr>
            <w:tcW w:w="1987" w:type="dxa"/>
            <w:tcBorders>
              <w:top w:val="nil"/>
              <w:left w:val="nil"/>
              <w:bottom w:val="single" w:sz="4" w:space="0" w:color="808080"/>
              <w:right w:val="single" w:sz="4" w:space="0" w:color="808080"/>
            </w:tcBorders>
            <w:shd w:val="clear" w:color="auto" w:fill="auto"/>
            <w:noWrap/>
            <w:vAlign w:val="center"/>
            <w:hideMark/>
          </w:tcPr>
          <w:p w14:paraId="1FB7B071" w14:textId="77777777" w:rsidR="008B70A9" w:rsidRPr="007D1F33" w:rsidRDefault="008B70A9" w:rsidP="008B70A9">
            <w:pPr>
              <w:jc w:val="center"/>
              <w:rPr>
                <w:rFonts w:ascii="Book Antiqua" w:hAnsi="Book Antiqua" w:cs="Calibri"/>
                <w:color w:val="000000"/>
                <w:sz w:val="16"/>
                <w:szCs w:val="16"/>
                <w:lang w:eastAsia="es-CR"/>
              </w:rPr>
            </w:pPr>
            <w:r w:rsidRPr="007D1F33">
              <w:rPr>
                <w:rFonts w:ascii="Book Antiqua" w:hAnsi="Book Antiqua" w:cs="Calibri"/>
                <w:color w:val="000000"/>
                <w:sz w:val="16"/>
                <w:szCs w:val="16"/>
                <w:lang w:eastAsia="es-CR"/>
              </w:rPr>
              <w:t>53%</w:t>
            </w:r>
          </w:p>
        </w:tc>
        <w:tc>
          <w:tcPr>
            <w:tcW w:w="2410" w:type="dxa"/>
            <w:tcBorders>
              <w:top w:val="nil"/>
              <w:left w:val="nil"/>
              <w:bottom w:val="single" w:sz="4" w:space="0" w:color="808080"/>
              <w:right w:val="single" w:sz="4" w:space="0" w:color="808080"/>
            </w:tcBorders>
            <w:shd w:val="clear" w:color="auto" w:fill="auto"/>
            <w:noWrap/>
            <w:vAlign w:val="center"/>
            <w:hideMark/>
          </w:tcPr>
          <w:p w14:paraId="64F89140" w14:textId="77777777" w:rsidR="008B70A9" w:rsidRPr="007D1F33" w:rsidRDefault="008B70A9" w:rsidP="008B70A9">
            <w:pPr>
              <w:jc w:val="center"/>
              <w:rPr>
                <w:rFonts w:ascii="Book Antiqua" w:hAnsi="Book Antiqua" w:cs="Calibri"/>
                <w:color w:val="000000"/>
                <w:sz w:val="16"/>
                <w:szCs w:val="16"/>
                <w:lang w:eastAsia="es-CR"/>
              </w:rPr>
            </w:pPr>
            <w:r w:rsidRPr="007D1F33">
              <w:rPr>
                <w:rFonts w:ascii="Book Antiqua" w:hAnsi="Book Antiqua" w:cs="Calibri"/>
                <w:color w:val="000000"/>
                <w:sz w:val="16"/>
                <w:szCs w:val="16"/>
                <w:lang w:eastAsia="es-CR"/>
              </w:rPr>
              <w:t>53%</w:t>
            </w:r>
          </w:p>
        </w:tc>
      </w:tr>
      <w:tr w:rsidR="008B70A9" w:rsidRPr="007D1F33" w14:paraId="730E4E93" w14:textId="77777777" w:rsidTr="007D1F33">
        <w:trPr>
          <w:trHeight w:val="290"/>
          <w:jc w:val="center"/>
        </w:trPr>
        <w:tc>
          <w:tcPr>
            <w:tcW w:w="3253" w:type="dxa"/>
            <w:tcBorders>
              <w:top w:val="nil"/>
              <w:left w:val="single" w:sz="4" w:space="0" w:color="808080"/>
              <w:bottom w:val="single" w:sz="4" w:space="0" w:color="808080"/>
              <w:right w:val="single" w:sz="4" w:space="0" w:color="808080"/>
            </w:tcBorders>
            <w:shd w:val="clear" w:color="auto" w:fill="auto"/>
            <w:noWrap/>
            <w:vAlign w:val="center"/>
            <w:hideMark/>
          </w:tcPr>
          <w:p w14:paraId="44393BBB" w14:textId="77777777" w:rsidR="008B70A9" w:rsidRPr="007D1F33" w:rsidRDefault="008B70A9" w:rsidP="008B70A9">
            <w:pPr>
              <w:rPr>
                <w:rFonts w:ascii="Book Antiqua" w:hAnsi="Book Antiqua" w:cs="Calibri"/>
                <w:color w:val="000000"/>
                <w:sz w:val="16"/>
                <w:szCs w:val="16"/>
                <w:lang w:eastAsia="es-CR"/>
              </w:rPr>
            </w:pPr>
            <w:r w:rsidRPr="007D1F33">
              <w:rPr>
                <w:rFonts w:ascii="Book Antiqua" w:hAnsi="Book Antiqua" w:cs="Calibri"/>
                <w:color w:val="000000"/>
                <w:sz w:val="16"/>
                <w:szCs w:val="16"/>
                <w:lang w:eastAsia="es-CR"/>
              </w:rPr>
              <w:t>Tribunal de Flagrancia de San José</w:t>
            </w:r>
          </w:p>
        </w:tc>
        <w:tc>
          <w:tcPr>
            <w:tcW w:w="1987" w:type="dxa"/>
            <w:tcBorders>
              <w:top w:val="nil"/>
              <w:left w:val="nil"/>
              <w:bottom w:val="single" w:sz="4" w:space="0" w:color="808080"/>
              <w:right w:val="single" w:sz="4" w:space="0" w:color="808080"/>
            </w:tcBorders>
            <w:shd w:val="clear" w:color="auto" w:fill="auto"/>
            <w:noWrap/>
            <w:vAlign w:val="center"/>
            <w:hideMark/>
          </w:tcPr>
          <w:p w14:paraId="62B53CCA" w14:textId="77777777" w:rsidR="008B70A9" w:rsidRPr="007D1F33" w:rsidRDefault="008B70A9" w:rsidP="008B70A9">
            <w:pPr>
              <w:jc w:val="center"/>
              <w:rPr>
                <w:rFonts w:ascii="Book Antiqua" w:hAnsi="Book Antiqua" w:cs="Calibri"/>
                <w:color w:val="000000"/>
                <w:sz w:val="16"/>
                <w:szCs w:val="16"/>
                <w:lang w:eastAsia="es-CR"/>
              </w:rPr>
            </w:pPr>
            <w:r w:rsidRPr="007D1F33">
              <w:rPr>
                <w:rFonts w:ascii="Book Antiqua" w:hAnsi="Book Antiqua" w:cs="Calibri"/>
                <w:color w:val="000000"/>
                <w:sz w:val="16"/>
                <w:szCs w:val="16"/>
                <w:lang w:eastAsia="es-CR"/>
              </w:rPr>
              <w:t>49%</w:t>
            </w:r>
          </w:p>
        </w:tc>
        <w:tc>
          <w:tcPr>
            <w:tcW w:w="2410" w:type="dxa"/>
            <w:tcBorders>
              <w:top w:val="nil"/>
              <w:left w:val="nil"/>
              <w:bottom w:val="single" w:sz="4" w:space="0" w:color="808080"/>
              <w:right w:val="single" w:sz="4" w:space="0" w:color="808080"/>
            </w:tcBorders>
            <w:shd w:val="clear" w:color="auto" w:fill="auto"/>
            <w:noWrap/>
            <w:vAlign w:val="center"/>
            <w:hideMark/>
          </w:tcPr>
          <w:p w14:paraId="5DE9F2A3" w14:textId="77777777" w:rsidR="008B70A9" w:rsidRPr="007D1F33" w:rsidRDefault="008B70A9" w:rsidP="008B70A9">
            <w:pPr>
              <w:jc w:val="center"/>
              <w:rPr>
                <w:rFonts w:ascii="Book Antiqua" w:hAnsi="Book Antiqua" w:cs="Calibri"/>
                <w:color w:val="000000"/>
                <w:sz w:val="16"/>
                <w:szCs w:val="16"/>
                <w:lang w:eastAsia="es-CR"/>
              </w:rPr>
            </w:pPr>
            <w:r w:rsidRPr="007D1F33">
              <w:rPr>
                <w:rFonts w:ascii="Book Antiqua" w:hAnsi="Book Antiqua" w:cs="Calibri"/>
                <w:color w:val="000000"/>
                <w:sz w:val="16"/>
                <w:szCs w:val="16"/>
                <w:lang w:eastAsia="es-CR"/>
              </w:rPr>
              <w:t>49%</w:t>
            </w:r>
          </w:p>
        </w:tc>
      </w:tr>
      <w:tr w:rsidR="008B70A9" w:rsidRPr="007D1F33" w14:paraId="70F27482" w14:textId="77777777" w:rsidTr="007D1F33">
        <w:trPr>
          <w:trHeight w:val="290"/>
          <w:jc w:val="center"/>
        </w:trPr>
        <w:tc>
          <w:tcPr>
            <w:tcW w:w="3253" w:type="dxa"/>
            <w:tcBorders>
              <w:top w:val="nil"/>
              <w:left w:val="single" w:sz="4" w:space="0" w:color="808080"/>
              <w:bottom w:val="single" w:sz="4" w:space="0" w:color="808080"/>
              <w:right w:val="single" w:sz="4" w:space="0" w:color="808080"/>
            </w:tcBorders>
            <w:shd w:val="clear" w:color="auto" w:fill="auto"/>
            <w:noWrap/>
            <w:vAlign w:val="center"/>
            <w:hideMark/>
          </w:tcPr>
          <w:p w14:paraId="06E944CF" w14:textId="0B9330DB" w:rsidR="008B70A9" w:rsidRPr="007D1F33" w:rsidRDefault="008B70A9" w:rsidP="008B70A9">
            <w:pPr>
              <w:rPr>
                <w:rFonts w:ascii="Book Antiqua" w:hAnsi="Book Antiqua" w:cs="Calibri"/>
                <w:color w:val="000000"/>
                <w:sz w:val="16"/>
                <w:szCs w:val="16"/>
                <w:lang w:eastAsia="es-CR"/>
              </w:rPr>
            </w:pPr>
            <w:r w:rsidRPr="007D1F33">
              <w:rPr>
                <w:rFonts w:ascii="Book Antiqua" w:hAnsi="Book Antiqua" w:cs="Calibri"/>
                <w:color w:val="000000"/>
                <w:sz w:val="16"/>
                <w:szCs w:val="16"/>
                <w:lang w:eastAsia="es-CR"/>
              </w:rPr>
              <w:t>Tribunal de Flagrancia de Goicochea</w:t>
            </w:r>
          </w:p>
        </w:tc>
        <w:tc>
          <w:tcPr>
            <w:tcW w:w="1987" w:type="dxa"/>
            <w:tcBorders>
              <w:top w:val="nil"/>
              <w:left w:val="nil"/>
              <w:bottom w:val="single" w:sz="4" w:space="0" w:color="808080"/>
              <w:right w:val="single" w:sz="4" w:space="0" w:color="808080"/>
            </w:tcBorders>
            <w:shd w:val="clear" w:color="auto" w:fill="auto"/>
            <w:noWrap/>
            <w:vAlign w:val="center"/>
            <w:hideMark/>
          </w:tcPr>
          <w:p w14:paraId="3E015FCA" w14:textId="77777777" w:rsidR="008B70A9" w:rsidRPr="007D1F33" w:rsidRDefault="008B70A9" w:rsidP="008B70A9">
            <w:pPr>
              <w:jc w:val="center"/>
              <w:rPr>
                <w:rFonts w:ascii="Book Antiqua" w:hAnsi="Book Antiqua" w:cs="Calibri"/>
                <w:color w:val="000000"/>
                <w:sz w:val="16"/>
                <w:szCs w:val="16"/>
                <w:lang w:eastAsia="es-CR"/>
              </w:rPr>
            </w:pPr>
            <w:r w:rsidRPr="007D1F33">
              <w:rPr>
                <w:rFonts w:ascii="Book Antiqua" w:hAnsi="Book Antiqua" w:cs="Calibri"/>
                <w:color w:val="000000"/>
                <w:sz w:val="16"/>
                <w:szCs w:val="16"/>
                <w:lang w:eastAsia="es-CR"/>
              </w:rPr>
              <w:t>39%</w:t>
            </w:r>
          </w:p>
        </w:tc>
        <w:tc>
          <w:tcPr>
            <w:tcW w:w="2410" w:type="dxa"/>
            <w:tcBorders>
              <w:top w:val="nil"/>
              <w:left w:val="nil"/>
              <w:bottom w:val="single" w:sz="4" w:space="0" w:color="808080"/>
              <w:right w:val="single" w:sz="4" w:space="0" w:color="808080"/>
            </w:tcBorders>
            <w:shd w:val="clear" w:color="auto" w:fill="auto"/>
            <w:noWrap/>
            <w:vAlign w:val="center"/>
            <w:hideMark/>
          </w:tcPr>
          <w:p w14:paraId="55C490C3" w14:textId="77777777" w:rsidR="008B70A9" w:rsidRPr="007D1F33" w:rsidRDefault="008B70A9" w:rsidP="008B70A9">
            <w:pPr>
              <w:jc w:val="center"/>
              <w:rPr>
                <w:rFonts w:ascii="Book Antiqua" w:hAnsi="Book Antiqua" w:cs="Calibri"/>
                <w:color w:val="000000"/>
                <w:sz w:val="16"/>
                <w:szCs w:val="16"/>
                <w:lang w:eastAsia="es-CR"/>
              </w:rPr>
            </w:pPr>
            <w:r w:rsidRPr="007D1F33">
              <w:rPr>
                <w:rFonts w:ascii="Book Antiqua" w:hAnsi="Book Antiqua" w:cs="Calibri"/>
                <w:color w:val="000000"/>
                <w:sz w:val="16"/>
                <w:szCs w:val="16"/>
                <w:lang w:eastAsia="es-CR"/>
              </w:rPr>
              <w:t>39%</w:t>
            </w:r>
          </w:p>
        </w:tc>
      </w:tr>
      <w:tr w:rsidR="008B70A9" w:rsidRPr="007D1F33" w14:paraId="02331A94" w14:textId="77777777" w:rsidTr="007D1F33">
        <w:trPr>
          <w:trHeight w:val="290"/>
          <w:jc w:val="center"/>
        </w:trPr>
        <w:tc>
          <w:tcPr>
            <w:tcW w:w="3253" w:type="dxa"/>
            <w:tcBorders>
              <w:top w:val="nil"/>
              <w:left w:val="single" w:sz="4" w:space="0" w:color="808080"/>
              <w:bottom w:val="single" w:sz="4" w:space="0" w:color="808080"/>
              <w:right w:val="single" w:sz="4" w:space="0" w:color="808080"/>
            </w:tcBorders>
            <w:shd w:val="clear" w:color="auto" w:fill="auto"/>
            <w:noWrap/>
            <w:vAlign w:val="center"/>
            <w:hideMark/>
          </w:tcPr>
          <w:p w14:paraId="206CA01B" w14:textId="4D562BF1" w:rsidR="008B70A9" w:rsidRPr="007D1F33" w:rsidRDefault="008B70A9" w:rsidP="008B70A9">
            <w:pPr>
              <w:rPr>
                <w:rFonts w:ascii="Book Antiqua" w:hAnsi="Book Antiqua" w:cs="Calibri"/>
                <w:color w:val="000000"/>
                <w:sz w:val="16"/>
                <w:szCs w:val="16"/>
                <w:lang w:eastAsia="es-CR"/>
              </w:rPr>
            </w:pPr>
            <w:r w:rsidRPr="007D1F33">
              <w:rPr>
                <w:rFonts w:ascii="Book Antiqua" w:hAnsi="Book Antiqua" w:cs="Calibri"/>
                <w:color w:val="000000"/>
                <w:sz w:val="16"/>
                <w:szCs w:val="16"/>
                <w:lang w:eastAsia="es-CR"/>
              </w:rPr>
              <w:t>Tribunal de Flagrancia de Heredia</w:t>
            </w:r>
          </w:p>
        </w:tc>
        <w:tc>
          <w:tcPr>
            <w:tcW w:w="1987" w:type="dxa"/>
            <w:tcBorders>
              <w:top w:val="nil"/>
              <w:left w:val="nil"/>
              <w:bottom w:val="single" w:sz="4" w:space="0" w:color="808080"/>
              <w:right w:val="single" w:sz="4" w:space="0" w:color="808080"/>
            </w:tcBorders>
            <w:shd w:val="clear" w:color="auto" w:fill="auto"/>
            <w:noWrap/>
            <w:vAlign w:val="center"/>
            <w:hideMark/>
          </w:tcPr>
          <w:p w14:paraId="0246EF79" w14:textId="77777777" w:rsidR="008B70A9" w:rsidRPr="007D1F33" w:rsidRDefault="008B70A9" w:rsidP="008B70A9">
            <w:pPr>
              <w:jc w:val="center"/>
              <w:rPr>
                <w:rFonts w:ascii="Book Antiqua" w:hAnsi="Book Antiqua" w:cs="Calibri"/>
                <w:color w:val="000000"/>
                <w:sz w:val="16"/>
                <w:szCs w:val="16"/>
                <w:lang w:eastAsia="es-CR"/>
              </w:rPr>
            </w:pPr>
            <w:r w:rsidRPr="007D1F33">
              <w:rPr>
                <w:rFonts w:ascii="Book Antiqua" w:hAnsi="Book Antiqua" w:cs="Calibri"/>
                <w:color w:val="000000"/>
                <w:sz w:val="16"/>
                <w:szCs w:val="16"/>
                <w:lang w:eastAsia="es-CR"/>
              </w:rPr>
              <w:t>102%</w:t>
            </w:r>
          </w:p>
        </w:tc>
        <w:tc>
          <w:tcPr>
            <w:tcW w:w="2410" w:type="dxa"/>
            <w:tcBorders>
              <w:top w:val="nil"/>
              <w:left w:val="nil"/>
              <w:bottom w:val="single" w:sz="4" w:space="0" w:color="808080"/>
              <w:right w:val="single" w:sz="4" w:space="0" w:color="808080"/>
            </w:tcBorders>
            <w:shd w:val="clear" w:color="auto" w:fill="auto"/>
            <w:noWrap/>
            <w:vAlign w:val="center"/>
            <w:hideMark/>
          </w:tcPr>
          <w:p w14:paraId="765DA941" w14:textId="77777777" w:rsidR="008B70A9" w:rsidRPr="007D1F33" w:rsidRDefault="008B70A9" w:rsidP="008B70A9">
            <w:pPr>
              <w:jc w:val="center"/>
              <w:rPr>
                <w:rFonts w:ascii="Book Antiqua" w:hAnsi="Book Antiqua" w:cs="Calibri"/>
                <w:color w:val="000000"/>
                <w:sz w:val="16"/>
                <w:szCs w:val="16"/>
                <w:lang w:eastAsia="es-CR"/>
              </w:rPr>
            </w:pPr>
            <w:r w:rsidRPr="007D1F33">
              <w:rPr>
                <w:rFonts w:ascii="Book Antiqua" w:hAnsi="Book Antiqua" w:cs="Calibri"/>
                <w:color w:val="000000"/>
                <w:sz w:val="16"/>
                <w:szCs w:val="16"/>
                <w:lang w:eastAsia="es-CR"/>
              </w:rPr>
              <w:t>102%</w:t>
            </w:r>
          </w:p>
        </w:tc>
      </w:tr>
      <w:tr w:rsidR="008B70A9" w:rsidRPr="007D1F33" w14:paraId="7892CE27" w14:textId="77777777" w:rsidTr="007D1F33">
        <w:trPr>
          <w:trHeight w:val="290"/>
          <w:jc w:val="center"/>
        </w:trPr>
        <w:tc>
          <w:tcPr>
            <w:tcW w:w="3253" w:type="dxa"/>
            <w:tcBorders>
              <w:top w:val="nil"/>
              <w:left w:val="single" w:sz="4" w:space="0" w:color="808080"/>
              <w:bottom w:val="single" w:sz="4" w:space="0" w:color="808080"/>
              <w:right w:val="single" w:sz="4" w:space="0" w:color="808080"/>
            </w:tcBorders>
            <w:shd w:val="clear" w:color="auto" w:fill="auto"/>
            <w:noWrap/>
            <w:vAlign w:val="center"/>
            <w:hideMark/>
          </w:tcPr>
          <w:p w14:paraId="7D8F62D3" w14:textId="77777777" w:rsidR="008B70A9" w:rsidRPr="007D1F33" w:rsidRDefault="008B70A9" w:rsidP="008B70A9">
            <w:pPr>
              <w:rPr>
                <w:rFonts w:ascii="Book Antiqua" w:hAnsi="Book Antiqua" w:cs="Calibri"/>
                <w:b/>
                <w:bCs/>
                <w:color w:val="000000"/>
                <w:sz w:val="16"/>
                <w:szCs w:val="16"/>
                <w:lang w:eastAsia="es-CR"/>
              </w:rPr>
            </w:pPr>
            <w:r w:rsidRPr="007D1F33">
              <w:rPr>
                <w:rFonts w:ascii="Book Antiqua" w:hAnsi="Book Antiqua" w:cs="Calibri"/>
                <w:b/>
                <w:bCs/>
                <w:color w:val="000000"/>
                <w:sz w:val="16"/>
                <w:szCs w:val="16"/>
                <w:lang w:eastAsia="es-CR"/>
              </w:rPr>
              <w:t>Promedio Global</w:t>
            </w:r>
          </w:p>
        </w:tc>
        <w:tc>
          <w:tcPr>
            <w:tcW w:w="1987" w:type="dxa"/>
            <w:tcBorders>
              <w:top w:val="nil"/>
              <w:left w:val="nil"/>
              <w:bottom w:val="single" w:sz="4" w:space="0" w:color="808080"/>
              <w:right w:val="single" w:sz="4" w:space="0" w:color="808080"/>
            </w:tcBorders>
            <w:shd w:val="clear" w:color="auto" w:fill="auto"/>
            <w:noWrap/>
            <w:vAlign w:val="center"/>
            <w:hideMark/>
          </w:tcPr>
          <w:p w14:paraId="00CF284D" w14:textId="77777777" w:rsidR="008B70A9" w:rsidRPr="007D1F33" w:rsidRDefault="008B70A9" w:rsidP="008B70A9">
            <w:pPr>
              <w:jc w:val="center"/>
              <w:rPr>
                <w:rFonts w:ascii="Book Antiqua" w:hAnsi="Book Antiqua" w:cs="Calibri"/>
                <w:b/>
                <w:bCs/>
                <w:color w:val="000000"/>
                <w:sz w:val="16"/>
                <w:szCs w:val="16"/>
                <w:lang w:eastAsia="es-CR"/>
              </w:rPr>
            </w:pPr>
            <w:r w:rsidRPr="007D1F33">
              <w:rPr>
                <w:rFonts w:ascii="Book Antiqua" w:hAnsi="Book Antiqua" w:cs="Calibri"/>
                <w:b/>
                <w:bCs/>
                <w:color w:val="000000"/>
                <w:sz w:val="16"/>
                <w:szCs w:val="16"/>
                <w:lang w:eastAsia="es-CR"/>
              </w:rPr>
              <w:t>82%</w:t>
            </w:r>
          </w:p>
        </w:tc>
        <w:tc>
          <w:tcPr>
            <w:tcW w:w="2410" w:type="dxa"/>
            <w:tcBorders>
              <w:top w:val="nil"/>
              <w:left w:val="nil"/>
              <w:bottom w:val="single" w:sz="4" w:space="0" w:color="808080"/>
              <w:right w:val="single" w:sz="4" w:space="0" w:color="808080"/>
            </w:tcBorders>
            <w:shd w:val="clear" w:color="auto" w:fill="auto"/>
            <w:noWrap/>
            <w:vAlign w:val="center"/>
            <w:hideMark/>
          </w:tcPr>
          <w:p w14:paraId="2649CEE4" w14:textId="77777777" w:rsidR="008B70A9" w:rsidRPr="007D1F33" w:rsidRDefault="008B70A9" w:rsidP="008B70A9">
            <w:pPr>
              <w:jc w:val="center"/>
              <w:rPr>
                <w:rFonts w:ascii="Book Antiqua" w:hAnsi="Book Antiqua" w:cs="Calibri"/>
                <w:b/>
                <w:bCs/>
                <w:color w:val="000000"/>
                <w:sz w:val="16"/>
                <w:szCs w:val="16"/>
                <w:lang w:eastAsia="es-CR"/>
              </w:rPr>
            </w:pPr>
            <w:r w:rsidRPr="007D1F33">
              <w:rPr>
                <w:rFonts w:ascii="Book Antiqua" w:hAnsi="Book Antiqua" w:cs="Calibri"/>
                <w:b/>
                <w:bCs/>
                <w:color w:val="000000"/>
                <w:sz w:val="16"/>
                <w:szCs w:val="16"/>
                <w:lang w:eastAsia="es-CR"/>
              </w:rPr>
              <w:t>86%</w:t>
            </w:r>
          </w:p>
        </w:tc>
      </w:tr>
    </w:tbl>
    <w:p w14:paraId="21BDEDA8" w14:textId="77777777" w:rsidR="0053279E" w:rsidRDefault="0053279E" w:rsidP="008B70A9">
      <w:pPr>
        <w:spacing w:line="276" w:lineRule="auto"/>
        <w:jc w:val="center"/>
        <w:rPr>
          <w:rFonts w:ascii="Book Antiqua" w:hAnsi="Book Antiqua"/>
          <w:b/>
          <w:bCs/>
          <w:color w:val="000000" w:themeColor="text1"/>
          <w:sz w:val="20"/>
          <w:szCs w:val="20"/>
        </w:rPr>
      </w:pPr>
      <w:r w:rsidRPr="00677475">
        <w:rPr>
          <w:rFonts w:ascii="Book Antiqua" w:hAnsi="Book Antiqua"/>
          <w:b/>
          <w:bCs/>
          <w:color w:val="000000" w:themeColor="text1"/>
          <w:sz w:val="20"/>
          <w:szCs w:val="20"/>
        </w:rPr>
        <w:t xml:space="preserve">Fuente: </w:t>
      </w:r>
      <w:r w:rsidRPr="00677475">
        <w:rPr>
          <w:rFonts w:ascii="Book Antiqua" w:hAnsi="Book Antiqua"/>
          <w:color w:val="000000" w:themeColor="text1"/>
          <w:sz w:val="20"/>
          <w:szCs w:val="20"/>
        </w:rPr>
        <w:t>Matriz de indicadores de Gestión</w:t>
      </w:r>
    </w:p>
    <w:p w14:paraId="24E01999" w14:textId="77777777" w:rsidR="00A7185B" w:rsidRPr="004F0E92" w:rsidRDefault="00A7185B" w:rsidP="00985591">
      <w:pPr>
        <w:spacing w:line="276" w:lineRule="auto"/>
        <w:jc w:val="center"/>
        <w:rPr>
          <w:rFonts w:ascii="Book Antiqua" w:hAnsi="Book Antiqua"/>
          <w:b/>
          <w:color w:val="000000" w:themeColor="text1"/>
        </w:rPr>
      </w:pPr>
    </w:p>
    <w:p w14:paraId="6827405F" w14:textId="77777777" w:rsidR="00F419C9" w:rsidRPr="000549BF" w:rsidRDefault="00F419C9" w:rsidP="00985591">
      <w:pPr>
        <w:spacing w:line="276" w:lineRule="auto"/>
        <w:rPr>
          <w:rFonts w:ascii="Book Antiqua" w:hAnsi="Book Antiqua"/>
          <w:b/>
          <w:color w:val="000000" w:themeColor="text1"/>
        </w:rPr>
      </w:pPr>
    </w:p>
    <w:p w14:paraId="0E964A15" w14:textId="7A269A86" w:rsidR="00776798" w:rsidRPr="000A5D59" w:rsidRDefault="746AA2A4" w:rsidP="57A79FF7">
      <w:pPr>
        <w:spacing w:after="160" w:line="276" w:lineRule="auto"/>
        <w:contextualSpacing/>
        <w:outlineLvl w:val="1"/>
        <w:rPr>
          <w:b/>
          <w:color w:val="000000" w:themeColor="text1"/>
        </w:rPr>
      </w:pPr>
      <w:r w:rsidRPr="57A79FF7">
        <w:rPr>
          <w:rFonts w:ascii="Book Antiqua" w:hAnsi="Book Antiqua"/>
          <w:b/>
          <w:bCs/>
          <w:color w:val="000000" w:themeColor="text1"/>
        </w:rPr>
        <w:t xml:space="preserve">4.2.4 </w:t>
      </w:r>
      <w:r w:rsidR="0053279E" w:rsidRPr="000A5D59">
        <w:rPr>
          <w:rFonts w:ascii="Book Antiqua" w:hAnsi="Book Antiqua"/>
          <w:b/>
          <w:color w:val="000000" w:themeColor="text1"/>
        </w:rPr>
        <w:t>Juzgados de Ejecución de la Pena</w:t>
      </w:r>
    </w:p>
    <w:p w14:paraId="0D9F06DD" w14:textId="3F8109AA" w:rsidR="0053279E" w:rsidRDefault="00B76E68" w:rsidP="00985591">
      <w:pPr>
        <w:spacing w:line="276" w:lineRule="auto"/>
        <w:jc w:val="both"/>
        <w:rPr>
          <w:rFonts w:ascii="Book Antiqua" w:hAnsi="Book Antiqua"/>
          <w:color w:val="000000" w:themeColor="text1"/>
        </w:rPr>
      </w:pPr>
      <w:r w:rsidRPr="00B76E68">
        <w:rPr>
          <w:rFonts w:ascii="Book Antiqua" w:hAnsi="Book Antiqua"/>
          <w:color w:val="000000" w:themeColor="text1"/>
        </w:rPr>
        <w:t xml:space="preserve">Los Juzgados de Ejecución de la Pena registran un </w:t>
      </w:r>
      <w:r>
        <w:rPr>
          <w:rFonts w:ascii="Book Antiqua" w:hAnsi="Book Antiqua"/>
          <w:color w:val="000000" w:themeColor="text1"/>
        </w:rPr>
        <w:t>93</w:t>
      </w:r>
      <w:r w:rsidRPr="00B76E68">
        <w:rPr>
          <w:rFonts w:ascii="Book Antiqua" w:hAnsi="Book Antiqua"/>
          <w:color w:val="000000" w:themeColor="text1"/>
        </w:rPr>
        <w:t xml:space="preserve">% en </w:t>
      </w:r>
      <w:r w:rsidR="003509D1">
        <w:rPr>
          <w:rFonts w:ascii="Book Antiqua" w:hAnsi="Book Antiqua"/>
          <w:color w:val="000000" w:themeColor="text1"/>
        </w:rPr>
        <w:t>incidentes</w:t>
      </w:r>
      <w:r>
        <w:rPr>
          <w:rFonts w:ascii="Book Antiqua" w:hAnsi="Book Antiqua"/>
          <w:color w:val="000000" w:themeColor="text1"/>
        </w:rPr>
        <w:t xml:space="preserve"> terminados </w:t>
      </w:r>
      <w:r w:rsidRPr="00B76E68">
        <w:rPr>
          <w:rFonts w:ascii="Book Antiqua" w:hAnsi="Book Antiqua"/>
          <w:color w:val="000000" w:themeColor="text1"/>
        </w:rPr>
        <w:t xml:space="preserve">y </w:t>
      </w:r>
      <w:r>
        <w:rPr>
          <w:rFonts w:ascii="Book Antiqua" w:hAnsi="Book Antiqua"/>
          <w:color w:val="000000" w:themeColor="text1"/>
        </w:rPr>
        <w:t>157</w:t>
      </w:r>
      <w:r w:rsidRPr="00B76E68">
        <w:rPr>
          <w:rFonts w:ascii="Book Antiqua" w:hAnsi="Book Antiqua"/>
          <w:color w:val="000000" w:themeColor="text1"/>
        </w:rPr>
        <w:t xml:space="preserve">% en firma de </w:t>
      </w:r>
      <w:r w:rsidR="008F2954">
        <w:rPr>
          <w:rFonts w:ascii="Book Antiqua" w:hAnsi="Book Antiqua"/>
          <w:color w:val="000000" w:themeColor="text1"/>
        </w:rPr>
        <w:t>expedientes</w:t>
      </w:r>
      <w:r w:rsidRPr="00B76E68">
        <w:rPr>
          <w:rFonts w:ascii="Book Antiqua" w:hAnsi="Book Antiqua"/>
          <w:color w:val="000000" w:themeColor="text1"/>
        </w:rPr>
        <w:t>.</w:t>
      </w:r>
    </w:p>
    <w:p w14:paraId="58D2E961" w14:textId="589713FF" w:rsidR="00B76E68" w:rsidRDefault="00B76E68" w:rsidP="00985591">
      <w:pPr>
        <w:spacing w:line="276" w:lineRule="auto"/>
        <w:jc w:val="both"/>
        <w:rPr>
          <w:rFonts w:ascii="Book Antiqua" w:hAnsi="Book Antiqua"/>
          <w:color w:val="000000" w:themeColor="text1"/>
        </w:rPr>
      </w:pPr>
    </w:p>
    <w:p w14:paraId="58E9CFE0" w14:textId="1A5BD3D3" w:rsidR="00B76E68" w:rsidRDefault="00B76E68" w:rsidP="00985591">
      <w:pPr>
        <w:spacing w:line="276" w:lineRule="auto"/>
        <w:jc w:val="both"/>
        <w:rPr>
          <w:rFonts w:ascii="Book Antiqua" w:hAnsi="Book Antiqua" w:cs="Calibri"/>
          <w:color w:val="000000"/>
          <w:sz w:val="22"/>
          <w:szCs w:val="22"/>
          <w:lang w:eastAsia="es-CR"/>
        </w:rPr>
      </w:pPr>
      <w:r>
        <w:rPr>
          <w:rFonts w:ascii="Book Antiqua" w:hAnsi="Book Antiqua"/>
          <w:color w:val="000000" w:themeColor="text1"/>
        </w:rPr>
        <w:t xml:space="preserve">Para el caso de los asuntos culminados el </w:t>
      </w:r>
      <w:r w:rsidRPr="00886704">
        <w:rPr>
          <w:rFonts w:ascii="Book Antiqua" w:hAnsi="Book Antiqua" w:cs="Calibri"/>
          <w:color w:val="000000"/>
          <w:sz w:val="22"/>
          <w:szCs w:val="22"/>
          <w:lang w:eastAsia="es-CR"/>
        </w:rPr>
        <w:t xml:space="preserve">Juzgado de Ejecución de la Pena del Primer Circuito Judicial de </w:t>
      </w:r>
      <w:r>
        <w:rPr>
          <w:rFonts w:ascii="Book Antiqua" w:hAnsi="Book Antiqua" w:cs="Calibri"/>
          <w:color w:val="000000"/>
          <w:sz w:val="22"/>
          <w:szCs w:val="22"/>
          <w:lang w:eastAsia="es-CR"/>
        </w:rPr>
        <w:t xml:space="preserve">Alajuela, reporta el mayor rendimiento con un 154% sobre el parámetro, y el </w:t>
      </w:r>
      <w:r w:rsidRPr="00886704">
        <w:rPr>
          <w:rFonts w:ascii="Book Antiqua" w:hAnsi="Book Antiqua" w:cs="Calibri"/>
          <w:color w:val="000000"/>
          <w:sz w:val="22"/>
          <w:szCs w:val="22"/>
          <w:lang w:eastAsia="es-CR"/>
        </w:rPr>
        <w:t>Juzgado de Ejecución de la Pena del Segundo Circuito Judicial de la Zona Atlántica (Guápiles)</w:t>
      </w:r>
      <w:r>
        <w:rPr>
          <w:rFonts w:ascii="Book Antiqua" w:hAnsi="Book Antiqua" w:cs="Calibri"/>
          <w:color w:val="000000"/>
          <w:sz w:val="22"/>
          <w:szCs w:val="22"/>
          <w:lang w:eastAsia="es-CR"/>
        </w:rPr>
        <w:t xml:space="preserve"> present</w:t>
      </w:r>
      <w:r w:rsidR="00561295">
        <w:rPr>
          <w:rFonts w:ascii="Book Antiqua" w:hAnsi="Book Antiqua" w:cs="Calibri"/>
          <w:color w:val="000000"/>
          <w:sz w:val="22"/>
          <w:szCs w:val="22"/>
          <w:lang w:eastAsia="es-CR"/>
        </w:rPr>
        <w:t>a</w:t>
      </w:r>
      <w:r>
        <w:rPr>
          <w:rFonts w:ascii="Book Antiqua" w:hAnsi="Book Antiqua" w:cs="Calibri"/>
          <w:color w:val="000000"/>
          <w:sz w:val="22"/>
          <w:szCs w:val="22"/>
          <w:lang w:eastAsia="es-CR"/>
        </w:rPr>
        <w:t xml:space="preserve">n el menor porcentaje con un </w:t>
      </w:r>
      <w:r w:rsidR="008F2954">
        <w:rPr>
          <w:rFonts w:ascii="Book Antiqua" w:hAnsi="Book Antiqua" w:cs="Calibri"/>
          <w:color w:val="000000"/>
          <w:sz w:val="22"/>
          <w:szCs w:val="22"/>
          <w:lang w:eastAsia="es-CR"/>
        </w:rPr>
        <w:t>56</w:t>
      </w:r>
      <w:r>
        <w:rPr>
          <w:rFonts w:ascii="Book Antiqua" w:hAnsi="Book Antiqua" w:cs="Calibri"/>
          <w:color w:val="000000"/>
          <w:sz w:val="22"/>
          <w:szCs w:val="22"/>
          <w:lang w:eastAsia="es-CR"/>
        </w:rPr>
        <w:t>%.</w:t>
      </w:r>
    </w:p>
    <w:p w14:paraId="36E70CFB" w14:textId="77777777" w:rsidR="00B76E68" w:rsidRPr="0053279E" w:rsidRDefault="00B76E68" w:rsidP="00985591">
      <w:pPr>
        <w:spacing w:line="276" w:lineRule="auto"/>
        <w:jc w:val="both"/>
        <w:rPr>
          <w:rFonts w:ascii="Book Antiqua" w:hAnsi="Book Antiqua"/>
          <w:color w:val="000000" w:themeColor="text1"/>
        </w:rPr>
      </w:pPr>
    </w:p>
    <w:p w14:paraId="25F3DED5" w14:textId="088E1A8F" w:rsidR="00435FEA" w:rsidRPr="004F0E92" w:rsidRDefault="0053279E" w:rsidP="00985591">
      <w:pPr>
        <w:spacing w:line="276" w:lineRule="auto"/>
        <w:jc w:val="both"/>
        <w:rPr>
          <w:rFonts w:ascii="Book Antiqua" w:hAnsi="Book Antiqua"/>
          <w:b/>
          <w:color w:val="000000" w:themeColor="text1"/>
        </w:rPr>
      </w:pPr>
      <w:r w:rsidRPr="0053279E">
        <w:rPr>
          <w:rFonts w:ascii="Book Antiqua" w:hAnsi="Book Antiqua"/>
          <w:color w:val="000000" w:themeColor="text1"/>
        </w:rPr>
        <w:t xml:space="preserve">El detalle se </w:t>
      </w:r>
      <w:r w:rsidR="00B76E68">
        <w:rPr>
          <w:rFonts w:ascii="Book Antiqua" w:hAnsi="Book Antiqua"/>
          <w:color w:val="000000" w:themeColor="text1"/>
        </w:rPr>
        <w:t>muestra</w:t>
      </w:r>
      <w:r w:rsidRPr="0053279E">
        <w:rPr>
          <w:rFonts w:ascii="Book Antiqua" w:hAnsi="Book Antiqua"/>
          <w:color w:val="000000" w:themeColor="text1"/>
        </w:rPr>
        <w:t xml:space="preserve"> en el siguiente cuadro.</w:t>
      </w:r>
    </w:p>
    <w:p w14:paraId="7B2280A2" w14:textId="3E5B483F" w:rsidR="00435FEA" w:rsidRDefault="00435FEA" w:rsidP="00985591">
      <w:pPr>
        <w:spacing w:line="276" w:lineRule="auto"/>
        <w:jc w:val="both"/>
        <w:rPr>
          <w:rFonts w:ascii="Book Antiqua" w:hAnsi="Book Antiqua"/>
          <w:color w:val="000000" w:themeColor="text1"/>
        </w:rPr>
      </w:pPr>
    </w:p>
    <w:p w14:paraId="4EEF6BFB" w14:textId="77777777" w:rsidR="006A710F" w:rsidRPr="000549BF" w:rsidRDefault="006A710F" w:rsidP="00985591">
      <w:pPr>
        <w:spacing w:line="276" w:lineRule="auto"/>
        <w:jc w:val="both"/>
        <w:rPr>
          <w:rFonts w:ascii="Book Antiqua" w:hAnsi="Book Antiqua"/>
          <w:color w:val="000000" w:themeColor="text1"/>
        </w:rPr>
      </w:pPr>
    </w:p>
    <w:p w14:paraId="67567578" w14:textId="4B4731B6" w:rsidR="00776798" w:rsidRPr="000549BF" w:rsidRDefault="00776798" w:rsidP="00985591">
      <w:pPr>
        <w:spacing w:line="276" w:lineRule="auto"/>
        <w:jc w:val="center"/>
        <w:rPr>
          <w:rFonts w:ascii="Book Antiqua" w:hAnsi="Book Antiqua"/>
          <w:b/>
          <w:color w:val="000000" w:themeColor="text1"/>
        </w:rPr>
      </w:pPr>
      <w:r w:rsidRPr="000549BF">
        <w:rPr>
          <w:rFonts w:ascii="Book Antiqua" w:hAnsi="Book Antiqua"/>
          <w:b/>
          <w:color w:val="000000" w:themeColor="text1"/>
        </w:rPr>
        <w:t xml:space="preserve">Cuadro </w:t>
      </w:r>
      <w:r w:rsidR="00921892">
        <w:rPr>
          <w:rFonts w:ascii="Book Antiqua" w:hAnsi="Book Antiqua"/>
          <w:b/>
          <w:color w:val="000000" w:themeColor="text1"/>
        </w:rPr>
        <w:t>3</w:t>
      </w:r>
      <w:r w:rsidR="00B03152">
        <w:rPr>
          <w:rFonts w:ascii="Book Antiqua" w:hAnsi="Book Antiqua"/>
          <w:b/>
          <w:color w:val="000000" w:themeColor="text1"/>
        </w:rPr>
        <w:t>5</w:t>
      </w:r>
    </w:p>
    <w:p w14:paraId="084F27CF" w14:textId="56A041D3" w:rsidR="00921892" w:rsidRPr="00921892" w:rsidRDefault="00921892" w:rsidP="00985591">
      <w:pPr>
        <w:spacing w:line="276" w:lineRule="auto"/>
        <w:jc w:val="center"/>
        <w:rPr>
          <w:rFonts w:ascii="Book Antiqua" w:hAnsi="Book Antiqua"/>
          <w:bCs/>
          <w:color w:val="000000" w:themeColor="text1"/>
        </w:rPr>
      </w:pPr>
      <w:r w:rsidRPr="00921892">
        <w:rPr>
          <w:rFonts w:ascii="Book Antiqua" w:hAnsi="Book Antiqua"/>
          <w:bCs/>
          <w:color w:val="000000" w:themeColor="text1"/>
        </w:rPr>
        <w:t xml:space="preserve">Cumplimiento del parámetro de producción teórico de </w:t>
      </w:r>
      <w:r w:rsidR="00EE0121">
        <w:rPr>
          <w:rFonts w:ascii="Book Antiqua" w:hAnsi="Book Antiqua"/>
          <w:bCs/>
          <w:color w:val="000000" w:themeColor="text1"/>
        </w:rPr>
        <w:t>incidentes</w:t>
      </w:r>
      <w:r>
        <w:rPr>
          <w:rFonts w:ascii="Book Antiqua" w:hAnsi="Book Antiqua"/>
          <w:bCs/>
          <w:color w:val="000000" w:themeColor="text1"/>
        </w:rPr>
        <w:t xml:space="preserve"> terminados</w:t>
      </w:r>
    </w:p>
    <w:p w14:paraId="3D49F78B" w14:textId="054AF0DB" w:rsidR="00921892" w:rsidRPr="00921892" w:rsidRDefault="00921892" w:rsidP="00B03152">
      <w:pPr>
        <w:spacing w:line="276" w:lineRule="auto"/>
        <w:jc w:val="center"/>
        <w:rPr>
          <w:rFonts w:ascii="Book Antiqua" w:hAnsi="Book Antiqua"/>
          <w:bCs/>
          <w:color w:val="000000" w:themeColor="text1"/>
        </w:rPr>
      </w:pPr>
      <w:r w:rsidRPr="00921892">
        <w:rPr>
          <w:rFonts w:ascii="Book Antiqua" w:hAnsi="Book Antiqua"/>
          <w:bCs/>
          <w:color w:val="000000" w:themeColor="text1"/>
        </w:rPr>
        <w:t xml:space="preserve"> Juzgados de Ejecución de la Pena durante </w:t>
      </w:r>
      <w:r>
        <w:rPr>
          <w:rFonts w:ascii="Book Antiqua" w:hAnsi="Book Antiqua"/>
          <w:bCs/>
          <w:color w:val="000000" w:themeColor="text1"/>
        </w:rPr>
        <w:t>mayo</w:t>
      </w:r>
      <w:r w:rsidRPr="00921892">
        <w:rPr>
          <w:rFonts w:ascii="Book Antiqua" w:hAnsi="Book Antiqua"/>
          <w:bCs/>
          <w:color w:val="000000" w:themeColor="text1"/>
        </w:rPr>
        <w:t xml:space="preserve"> 2021</w:t>
      </w:r>
    </w:p>
    <w:tbl>
      <w:tblPr>
        <w:tblW w:w="6461" w:type="dxa"/>
        <w:jc w:val="center"/>
        <w:tblCellMar>
          <w:left w:w="70" w:type="dxa"/>
          <w:right w:w="70" w:type="dxa"/>
        </w:tblCellMar>
        <w:tblLook w:val="04A0" w:firstRow="1" w:lastRow="0" w:firstColumn="1" w:lastColumn="0" w:noHBand="0" w:noVBand="1"/>
      </w:tblPr>
      <w:tblGrid>
        <w:gridCol w:w="3861"/>
        <w:gridCol w:w="2600"/>
      </w:tblGrid>
      <w:tr w:rsidR="00921892" w:rsidRPr="00F375FA" w14:paraId="48C3DD4E" w14:textId="77777777" w:rsidTr="00F375FA">
        <w:trPr>
          <w:trHeight w:val="780"/>
          <w:jc w:val="center"/>
        </w:trPr>
        <w:tc>
          <w:tcPr>
            <w:tcW w:w="3861" w:type="dxa"/>
            <w:tcBorders>
              <w:top w:val="single" w:sz="4" w:space="0" w:color="808080"/>
              <w:left w:val="single" w:sz="4" w:space="0" w:color="808080"/>
              <w:bottom w:val="single" w:sz="4" w:space="0" w:color="808080"/>
              <w:right w:val="single" w:sz="4" w:space="0" w:color="808080"/>
            </w:tcBorders>
            <w:shd w:val="clear" w:color="000000" w:fill="305496"/>
            <w:noWrap/>
            <w:vAlign w:val="center"/>
            <w:hideMark/>
          </w:tcPr>
          <w:p w14:paraId="4617EE1E" w14:textId="77777777" w:rsidR="00921892" w:rsidRPr="00F375FA" w:rsidRDefault="00921892" w:rsidP="00985591">
            <w:pPr>
              <w:spacing w:line="276" w:lineRule="auto"/>
              <w:jc w:val="center"/>
              <w:rPr>
                <w:rFonts w:ascii="Book Antiqua" w:hAnsi="Book Antiqua" w:cs="Calibri"/>
                <w:b/>
                <w:bCs/>
                <w:color w:val="FFFFFF"/>
                <w:sz w:val="16"/>
                <w:szCs w:val="16"/>
                <w:lang w:eastAsia="es-CR"/>
              </w:rPr>
            </w:pPr>
            <w:r w:rsidRPr="00F375FA">
              <w:rPr>
                <w:rFonts w:ascii="Book Antiqua" w:hAnsi="Book Antiqua" w:cs="Calibri"/>
                <w:b/>
                <w:bCs/>
                <w:color w:val="FFFFFF"/>
                <w:sz w:val="16"/>
                <w:szCs w:val="16"/>
                <w:lang w:eastAsia="es-CR"/>
              </w:rPr>
              <w:t>Oficina</w:t>
            </w:r>
          </w:p>
        </w:tc>
        <w:tc>
          <w:tcPr>
            <w:tcW w:w="2600" w:type="dxa"/>
            <w:tcBorders>
              <w:top w:val="single" w:sz="4" w:space="0" w:color="808080"/>
              <w:left w:val="nil"/>
              <w:bottom w:val="single" w:sz="4" w:space="0" w:color="808080"/>
              <w:right w:val="single" w:sz="4" w:space="0" w:color="808080"/>
            </w:tcBorders>
            <w:shd w:val="clear" w:color="000000" w:fill="305496"/>
            <w:vAlign w:val="center"/>
            <w:hideMark/>
          </w:tcPr>
          <w:p w14:paraId="1F16CD04" w14:textId="77777777" w:rsidR="00921892" w:rsidRPr="00F375FA" w:rsidRDefault="00921892" w:rsidP="00985591">
            <w:pPr>
              <w:spacing w:line="276" w:lineRule="auto"/>
              <w:jc w:val="center"/>
              <w:rPr>
                <w:rFonts w:ascii="Book Antiqua" w:hAnsi="Book Antiqua" w:cs="Calibri"/>
                <w:b/>
                <w:bCs/>
                <w:color w:val="FFFFFF"/>
                <w:sz w:val="16"/>
                <w:szCs w:val="16"/>
                <w:lang w:eastAsia="es-CR"/>
              </w:rPr>
            </w:pPr>
            <w:r w:rsidRPr="00F375FA">
              <w:rPr>
                <w:rFonts w:ascii="Book Antiqua" w:hAnsi="Book Antiqua" w:cs="Calibri"/>
                <w:b/>
                <w:bCs/>
                <w:color w:val="FFFFFF"/>
                <w:sz w:val="16"/>
                <w:szCs w:val="16"/>
                <w:lang w:eastAsia="es-CR"/>
              </w:rPr>
              <w:t>Porcentaje cumplimiento cuota teórica de asuntos terminados</w:t>
            </w:r>
          </w:p>
        </w:tc>
      </w:tr>
      <w:tr w:rsidR="00921892" w:rsidRPr="00F375FA" w14:paraId="04CDC884" w14:textId="77777777" w:rsidTr="00F375FA">
        <w:trPr>
          <w:trHeight w:val="290"/>
          <w:jc w:val="center"/>
        </w:trPr>
        <w:tc>
          <w:tcPr>
            <w:tcW w:w="38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0DE4C9" w14:textId="77777777" w:rsidR="00921892" w:rsidRPr="00F375FA" w:rsidRDefault="00921892" w:rsidP="00985591">
            <w:pPr>
              <w:spacing w:line="276" w:lineRule="auto"/>
              <w:rPr>
                <w:rFonts w:ascii="Book Antiqua" w:hAnsi="Book Antiqua" w:cs="Calibri"/>
                <w:sz w:val="16"/>
                <w:szCs w:val="16"/>
                <w:lang w:eastAsia="es-CR"/>
              </w:rPr>
            </w:pPr>
            <w:r w:rsidRPr="00F375FA">
              <w:rPr>
                <w:rFonts w:ascii="Book Antiqua" w:hAnsi="Book Antiqua" w:cs="Calibri"/>
                <w:sz w:val="16"/>
                <w:szCs w:val="16"/>
                <w:lang w:eastAsia="es-CR"/>
              </w:rPr>
              <w:t>Juzgado Ejecución de la Pena de Alajuela</w:t>
            </w:r>
          </w:p>
        </w:tc>
        <w:tc>
          <w:tcPr>
            <w:tcW w:w="2600" w:type="dxa"/>
            <w:tcBorders>
              <w:top w:val="nil"/>
              <w:left w:val="single" w:sz="4" w:space="0" w:color="808080"/>
              <w:bottom w:val="single" w:sz="4" w:space="0" w:color="808080"/>
              <w:right w:val="single" w:sz="4" w:space="0" w:color="808080"/>
            </w:tcBorders>
            <w:shd w:val="clear" w:color="auto" w:fill="auto"/>
            <w:noWrap/>
            <w:vAlign w:val="center"/>
            <w:hideMark/>
          </w:tcPr>
          <w:p w14:paraId="390EB8A1" w14:textId="77777777" w:rsidR="00921892" w:rsidRPr="00F375FA" w:rsidRDefault="00921892" w:rsidP="00985591">
            <w:pPr>
              <w:spacing w:line="276" w:lineRule="auto"/>
              <w:jc w:val="center"/>
              <w:rPr>
                <w:rFonts w:ascii="Book Antiqua" w:hAnsi="Book Antiqua" w:cs="Calibri"/>
                <w:color w:val="000000"/>
                <w:sz w:val="16"/>
                <w:szCs w:val="16"/>
                <w:lang w:eastAsia="es-CR"/>
              </w:rPr>
            </w:pPr>
            <w:r w:rsidRPr="00F375FA">
              <w:rPr>
                <w:rFonts w:ascii="Book Antiqua" w:hAnsi="Book Antiqua" w:cs="Calibri"/>
                <w:color w:val="000000"/>
                <w:sz w:val="16"/>
                <w:szCs w:val="16"/>
                <w:lang w:eastAsia="es-CR"/>
              </w:rPr>
              <w:t>154%</w:t>
            </w:r>
          </w:p>
        </w:tc>
      </w:tr>
      <w:tr w:rsidR="00921892" w:rsidRPr="00F375FA" w14:paraId="55B2ECAD" w14:textId="77777777" w:rsidTr="00F375FA">
        <w:trPr>
          <w:trHeight w:val="290"/>
          <w:jc w:val="center"/>
        </w:trPr>
        <w:tc>
          <w:tcPr>
            <w:tcW w:w="3861" w:type="dxa"/>
            <w:tcBorders>
              <w:top w:val="nil"/>
              <w:left w:val="single" w:sz="4" w:space="0" w:color="auto"/>
              <w:bottom w:val="single" w:sz="4" w:space="0" w:color="auto"/>
              <w:right w:val="single" w:sz="4" w:space="0" w:color="auto"/>
            </w:tcBorders>
            <w:shd w:val="clear" w:color="auto" w:fill="auto"/>
            <w:noWrap/>
            <w:vAlign w:val="center"/>
            <w:hideMark/>
          </w:tcPr>
          <w:p w14:paraId="65922321" w14:textId="77777777" w:rsidR="00921892" w:rsidRPr="00F375FA" w:rsidRDefault="00921892" w:rsidP="00985591">
            <w:pPr>
              <w:spacing w:line="276" w:lineRule="auto"/>
              <w:rPr>
                <w:rFonts w:ascii="Book Antiqua" w:hAnsi="Book Antiqua" w:cs="Calibri"/>
                <w:sz w:val="16"/>
                <w:szCs w:val="16"/>
                <w:lang w:eastAsia="es-CR"/>
              </w:rPr>
            </w:pPr>
            <w:r w:rsidRPr="00F375FA">
              <w:rPr>
                <w:rFonts w:ascii="Book Antiqua" w:hAnsi="Book Antiqua" w:cs="Calibri"/>
                <w:sz w:val="16"/>
                <w:szCs w:val="16"/>
                <w:lang w:eastAsia="es-CR"/>
              </w:rPr>
              <w:t>Juzgado Ejecución de la Pena de San José</w:t>
            </w:r>
          </w:p>
        </w:tc>
        <w:tc>
          <w:tcPr>
            <w:tcW w:w="2600" w:type="dxa"/>
            <w:tcBorders>
              <w:top w:val="nil"/>
              <w:left w:val="single" w:sz="4" w:space="0" w:color="808080"/>
              <w:bottom w:val="single" w:sz="4" w:space="0" w:color="808080"/>
              <w:right w:val="single" w:sz="4" w:space="0" w:color="808080"/>
            </w:tcBorders>
            <w:shd w:val="clear" w:color="auto" w:fill="auto"/>
            <w:noWrap/>
            <w:vAlign w:val="center"/>
            <w:hideMark/>
          </w:tcPr>
          <w:p w14:paraId="325A8527" w14:textId="77777777" w:rsidR="00921892" w:rsidRPr="00F375FA" w:rsidRDefault="00921892" w:rsidP="00985591">
            <w:pPr>
              <w:spacing w:line="276" w:lineRule="auto"/>
              <w:jc w:val="center"/>
              <w:rPr>
                <w:rFonts w:ascii="Book Antiqua" w:hAnsi="Book Antiqua" w:cs="Calibri"/>
                <w:color w:val="000000"/>
                <w:sz w:val="16"/>
                <w:szCs w:val="16"/>
                <w:lang w:eastAsia="es-CR"/>
              </w:rPr>
            </w:pPr>
            <w:r w:rsidRPr="00F375FA">
              <w:rPr>
                <w:rFonts w:ascii="Book Antiqua" w:hAnsi="Book Antiqua" w:cs="Calibri"/>
                <w:color w:val="000000"/>
                <w:sz w:val="16"/>
                <w:szCs w:val="16"/>
                <w:lang w:eastAsia="es-CR"/>
              </w:rPr>
              <w:t>134%</w:t>
            </w:r>
          </w:p>
        </w:tc>
      </w:tr>
      <w:tr w:rsidR="00921892" w:rsidRPr="00F375FA" w14:paraId="18D67E38" w14:textId="77777777" w:rsidTr="00F375FA">
        <w:trPr>
          <w:trHeight w:val="290"/>
          <w:jc w:val="center"/>
        </w:trPr>
        <w:tc>
          <w:tcPr>
            <w:tcW w:w="3861" w:type="dxa"/>
            <w:tcBorders>
              <w:top w:val="nil"/>
              <w:left w:val="single" w:sz="4" w:space="0" w:color="auto"/>
              <w:bottom w:val="single" w:sz="4" w:space="0" w:color="auto"/>
              <w:right w:val="single" w:sz="4" w:space="0" w:color="auto"/>
            </w:tcBorders>
            <w:shd w:val="clear" w:color="auto" w:fill="auto"/>
            <w:noWrap/>
            <w:vAlign w:val="center"/>
            <w:hideMark/>
          </w:tcPr>
          <w:p w14:paraId="4C2E9BF0" w14:textId="77777777" w:rsidR="00921892" w:rsidRPr="00F375FA" w:rsidRDefault="00921892" w:rsidP="00985591">
            <w:pPr>
              <w:spacing w:line="276" w:lineRule="auto"/>
              <w:rPr>
                <w:rFonts w:ascii="Book Antiqua" w:hAnsi="Book Antiqua" w:cs="Calibri"/>
                <w:sz w:val="16"/>
                <w:szCs w:val="16"/>
                <w:lang w:eastAsia="es-CR"/>
              </w:rPr>
            </w:pPr>
            <w:r w:rsidRPr="00F375FA">
              <w:rPr>
                <w:rFonts w:ascii="Book Antiqua" w:hAnsi="Book Antiqua" w:cs="Calibri"/>
                <w:sz w:val="16"/>
                <w:szCs w:val="16"/>
                <w:lang w:eastAsia="es-CR"/>
              </w:rPr>
              <w:t>Juzgado Ejecución de la Pena de Cartago</w:t>
            </w:r>
          </w:p>
        </w:tc>
        <w:tc>
          <w:tcPr>
            <w:tcW w:w="2600" w:type="dxa"/>
            <w:tcBorders>
              <w:top w:val="nil"/>
              <w:left w:val="single" w:sz="4" w:space="0" w:color="808080"/>
              <w:bottom w:val="single" w:sz="4" w:space="0" w:color="808080"/>
              <w:right w:val="single" w:sz="4" w:space="0" w:color="808080"/>
            </w:tcBorders>
            <w:shd w:val="clear" w:color="auto" w:fill="auto"/>
            <w:noWrap/>
            <w:vAlign w:val="center"/>
            <w:hideMark/>
          </w:tcPr>
          <w:p w14:paraId="33212007" w14:textId="77777777" w:rsidR="00921892" w:rsidRPr="00F375FA" w:rsidRDefault="00921892" w:rsidP="00985591">
            <w:pPr>
              <w:spacing w:line="276" w:lineRule="auto"/>
              <w:jc w:val="center"/>
              <w:rPr>
                <w:rFonts w:ascii="Book Antiqua" w:hAnsi="Book Antiqua" w:cs="Calibri"/>
                <w:color w:val="000000"/>
                <w:sz w:val="16"/>
                <w:szCs w:val="16"/>
                <w:lang w:eastAsia="es-CR"/>
              </w:rPr>
            </w:pPr>
            <w:r w:rsidRPr="00F375FA">
              <w:rPr>
                <w:rFonts w:ascii="Book Antiqua" w:hAnsi="Book Antiqua" w:cs="Calibri"/>
                <w:color w:val="000000"/>
                <w:sz w:val="16"/>
                <w:szCs w:val="16"/>
                <w:lang w:eastAsia="es-CR"/>
              </w:rPr>
              <w:t>103%</w:t>
            </w:r>
          </w:p>
        </w:tc>
      </w:tr>
      <w:tr w:rsidR="00921892" w:rsidRPr="00F375FA" w14:paraId="5EA24569" w14:textId="77777777" w:rsidTr="00F375FA">
        <w:trPr>
          <w:trHeight w:val="290"/>
          <w:jc w:val="center"/>
        </w:trPr>
        <w:tc>
          <w:tcPr>
            <w:tcW w:w="3861" w:type="dxa"/>
            <w:tcBorders>
              <w:top w:val="nil"/>
              <w:left w:val="single" w:sz="4" w:space="0" w:color="auto"/>
              <w:bottom w:val="single" w:sz="4" w:space="0" w:color="auto"/>
              <w:right w:val="single" w:sz="4" w:space="0" w:color="auto"/>
            </w:tcBorders>
            <w:shd w:val="clear" w:color="auto" w:fill="auto"/>
            <w:noWrap/>
            <w:vAlign w:val="center"/>
            <w:hideMark/>
          </w:tcPr>
          <w:p w14:paraId="77B4DD5E" w14:textId="77777777" w:rsidR="00921892" w:rsidRPr="00F375FA" w:rsidRDefault="00921892" w:rsidP="00985591">
            <w:pPr>
              <w:spacing w:line="276" w:lineRule="auto"/>
              <w:rPr>
                <w:rFonts w:ascii="Book Antiqua" w:hAnsi="Book Antiqua" w:cs="Calibri"/>
                <w:sz w:val="16"/>
                <w:szCs w:val="16"/>
                <w:lang w:eastAsia="es-CR"/>
              </w:rPr>
            </w:pPr>
            <w:r w:rsidRPr="00F375FA">
              <w:rPr>
                <w:rFonts w:ascii="Book Antiqua" w:hAnsi="Book Antiqua" w:cs="Calibri"/>
                <w:sz w:val="16"/>
                <w:szCs w:val="16"/>
                <w:lang w:eastAsia="es-CR"/>
              </w:rPr>
              <w:t>Juzgado Ejecución de La Pena de Puntarenas</w:t>
            </w:r>
          </w:p>
        </w:tc>
        <w:tc>
          <w:tcPr>
            <w:tcW w:w="2600" w:type="dxa"/>
            <w:tcBorders>
              <w:top w:val="nil"/>
              <w:left w:val="single" w:sz="4" w:space="0" w:color="808080"/>
              <w:bottom w:val="single" w:sz="4" w:space="0" w:color="808080"/>
              <w:right w:val="single" w:sz="4" w:space="0" w:color="808080"/>
            </w:tcBorders>
            <w:shd w:val="clear" w:color="auto" w:fill="auto"/>
            <w:noWrap/>
            <w:vAlign w:val="center"/>
            <w:hideMark/>
          </w:tcPr>
          <w:p w14:paraId="709D53BC" w14:textId="77777777" w:rsidR="00921892" w:rsidRPr="00F375FA" w:rsidRDefault="00921892" w:rsidP="00985591">
            <w:pPr>
              <w:spacing w:line="276" w:lineRule="auto"/>
              <w:jc w:val="center"/>
              <w:rPr>
                <w:rFonts w:ascii="Book Antiqua" w:hAnsi="Book Antiqua" w:cs="Calibri"/>
                <w:color w:val="000000"/>
                <w:sz w:val="16"/>
                <w:szCs w:val="16"/>
                <w:lang w:eastAsia="es-CR"/>
              </w:rPr>
            </w:pPr>
            <w:r w:rsidRPr="00F375FA">
              <w:rPr>
                <w:rFonts w:ascii="Book Antiqua" w:hAnsi="Book Antiqua" w:cs="Calibri"/>
                <w:color w:val="000000"/>
                <w:sz w:val="16"/>
                <w:szCs w:val="16"/>
                <w:lang w:eastAsia="es-CR"/>
              </w:rPr>
              <w:t>85%</w:t>
            </w:r>
          </w:p>
        </w:tc>
      </w:tr>
      <w:tr w:rsidR="00921892" w:rsidRPr="00F375FA" w14:paraId="555060DF" w14:textId="77777777" w:rsidTr="00F375FA">
        <w:trPr>
          <w:trHeight w:val="290"/>
          <w:jc w:val="center"/>
        </w:trPr>
        <w:tc>
          <w:tcPr>
            <w:tcW w:w="3861" w:type="dxa"/>
            <w:tcBorders>
              <w:top w:val="nil"/>
              <w:left w:val="single" w:sz="4" w:space="0" w:color="auto"/>
              <w:bottom w:val="single" w:sz="4" w:space="0" w:color="auto"/>
              <w:right w:val="single" w:sz="4" w:space="0" w:color="auto"/>
            </w:tcBorders>
            <w:shd w:val="clear" w:color="auto" w:fill="auto"/>
            <w:noWrap/>
            <w:vAlign w:val="center"/>
            <w:hideMark/>
          </w:tcPr>
          <w:p w14:paraId="124DBF90" w14:textId="77777777" w:rsidR="00921892" w:rsidRPr="00F375FA" w:rsidRDefault="00921892" w:rsidP="00985591">
            <w:pPr>
              <w:spacing w:line="276" w:lineRule="auto"/>
              <w:rPr>
                <w:rFonts w:ascii="Book Antiqua" w:hAnsi="Book Antiqua" w:cs="Calibri"/>
                <w:sz w:val="16"/>
                <w:szCs w:val="16"/>
                <w:lang w:eastAsia="es-CR"/>
              </w:rPr>
            </w:pPr>
            <w:r w:rsidRPr="00F375FA">
              <w:rPr>
                <w:rFonts w:ascii="Book Antiqua" w:hAnsi="Book Antiqua" w:cs="Calibri"/>
                <w:sz w:val="16"/>
                <w:szCs w:val="16"/>
                <w:lang w:eastAsia="es-CR"/>
              </w:rPr>
              <w:t>Juzgado Ejecución de la Pena de Limón</w:t>
            </w:r>
          </w:p>
        </w:tc>
        <w:tc>
          <w:tcPr>
            <w:tcW w:w="2600" w:type="dxa"/>
            <w:tcBorders>
              <w:top w:val="nil"/>
              <w:left w:val="single" w:sz="4" w:space="0" w:color="808080"/>
              <w:bottom w:val="single" w:sz="4" w:space="0" w:color="808080"/>
              <w:right w:val="single" w:sz="4" w:space="0" w:color="808080"/>
            </w:tcBorders>
            <w:shd w:val="clear" w:color="auto" w:fill="auto"/>
            <w:noWrap/>
            <w:vAlign w:val="center"/>
            <w:hideMark/>
          </w:tcPr>
          <w:p w14:paraId="4BBAB8CD" w14:textId="77777777" w:rsidR="00921892" w:rsidRPr="00F375FA" w:rsidRDefault="00921892" w:rsidP="00985591">
            <w:pPr>
              <w:spacing w:line="276" w:lineRule="auto"/>
              <w:jc w:val="center"/>
              <w:rPr>
                <w:rFonts w:ascii="Book Antiqua" w:hAnsi="Book Antiqua" w:cs="Calibri"/>
                <w:color w:val="000000"/>
                <w:sz w:val="16"/>
                <w:szCs w:val="16"/>
                <w:lang w:eastAsia="es-CR"/>
              </w:rPr>
            </w:pPr>
            <w:r w:rsidRPr="00F375FA">
              <w:rPr>
                <w:rFonts w:ascii="Book Antiqua" w:hAnsi="Book Antiqua" w:cs="Calibri"/>
                <w:color w:val="000000"/>
                <w:sz w:val="16"/>
                <w:szCs w:val="16"/>
                <w:lang w:eastAsia="es-CR"/>
              </w:rPr>
              <w:t>66%</w:t>
            </w:r>
          </w:p>
        </w:tc>
      </w:tr>
      <w:tr w:rsidR="00921892" w:rsidRPr="00F375FA" w14:paraId="142E559E" w14:textId="77777777" w:rsidTr="00F375FA">
        <w:trPr>
          <w:trHeight w:val="290"/>
          <w:jc w:val="center"/>
        </w:trPr>
        <w:tc>
          <w:tcPr>
            <w:tcW w:w="3861" w:type="dxa"/>
            <w:tcBorders>
              <w:top w:val="nil"/>
              <w:left w:val="single" w:sz="4" w:space="0" w:color="auto"/>
              <w:bottom w:val="single" w:sz="4" w:space="0" w:color="auto"/>
              <w:right w:val="single" w:sz="4" w:space="0" w:color="auto"/>
            </w:tcBorders>
            <w:shd w:val="clear" w:color="auto" w:fill="auto"/>
            <w:noWrap/>
            <w:vAlign w:val="center"/>
            <w:hideMark/>
          </w:tcPr>
          <w:p w14:paraId="07A12108" w14:textId="77777777" w:rsidR="00921892" w:rsidRPr="00F375FA" w:rsidRDefault="00921892" w:rsidP="00985591">
            <w:pPr>
              <w:spacing w:line="276" w:lineRule="auto"/>
              <w:rPr>
                <w:rFonts w:ascii="Book Antiqua" w:hAnsi="Book Antiqua" w:cs="Calibri"/>
                <w:sz w:val="16"/>
                <w:szCs w:val="16"/>
                <w:lang w:eastAsia="es-CR"/>
              </w:rPr>
            </w:pPr>
            <w:r w:rsidRPr="00F375FA">
              <w:rPr>
                <w:rFonts w:ascii="Book Antiqua" w:hAnsi="Book Antiqua" w:cs="Calibri"/>
                <w:sz w:val="16"/>
                <w:szCs w:val="16"/>
                <w:lang w:eastAsia="es-CR"/>
              </w:rPr>
              <w:t>Juzgado Ejecución de La Pena de Liberia</w:t>
            </w:r>
          </w:p>
        </w:tc>
        <w:tc>
          <w:tcPr>
            <w:tcW w:w="2600" w:type="dxa"/>
            <w:tcBorders>
              <w:top w:val="nil"/>
              <w:left w:val="single" w:sz="4" w:space="0" w:color="808080"/>
              <w:bottom w:val="single" w:sz="4" w:space="0" w:color="808080"/>
              <w:right w:val="single" w:sz="4" w:space="0" w:color="808080"/>
            </w:tcBorders>
            <w:shd w:val="clear" w:color="auto" w:fill="auto"/>
            <w:noWrap/>
            <w:vAlign w:val="center"/>
            <w:hideMark/>
          </w:tcPr>
          <w:p w14:paraId="4B7CF776" w14:textId="77777777" w:rsidR="00921892" w:rsidRPr="00F375FA" w:rsidRDefault="00921892" w:rsidP="00985591">
            <w:pPr>
              <w:spacing w:line="276" w:lineRule="auto"/>
              <w:jc w:val="center"/>
              <w:rPr>
                <w:rFonts w:ascii="Book Antiqua" w:hAnsi="Book Antiqua" w:cs="Calibri"/>
                <w:color w:val="000000"/>
                <w:sz w:val="16"/>
                <w:szCs w:val="16"/>
                <w:lang w:eastAsia="es-CR"/>
              </w:rPr>
            </w:pPr>
            <w:r w:rsidRPr="00F375FA">
              <w:rPr>
                <w:rFonts w:ascii="Book Antiqua" w:hAnsi="Book Antiqua" w:cs="Calibri"/>
                <w:color w:val="000000"/>
                <w:sz w:val="16"/>
                <w:szCs w:val="16"/>
                <w:lang w:eastAsia="es-CR"/>
              </w:rPr>
              <w:t>56%</w:t>
            </w:r>
          </w:p>
        </w:tc>
      </w:tr>
      <w:tr w:rsidR="00921892" w:rsidRPr="00F375FA" w14:paraId="3E67D699" w14:textId="77777777" w:rsidTr="00F375FA">
        <w:trPr>
          <w:trHeight w:val="290"/>
          <w:jc w:val="center"/>
        </w:trPr>
        <w:tc>
          <w:tcPr>
            <w:tcW w:w="3861" w:type="dxa"/>
            <w:tcBorders>
              <w:top w:val="nil"/>
              <w:left w:val="single" w:sz="4" w:space="0" w:color="auto"/>
              <w:bottom w:val="single" w:sz="4" w:space="0" w:color="auto"/>
              <w:right w:val="single" w:sz="4" w:space="0" w:color="auto"/>
            </w:tcBorders>
            <w:shd w:val="clear" w:color="auto" w:fill="auto"/>
            <w:noWrap/>
            <w:vAlign w:val="center"/>
            <w:hideMark/>
          </w:tcPr>
          <w:p w14:paraId="50974984" w14:textId="77777777" w:rsidR="00921892" w:rsidRPr="00F375FA" w:rsidRDefault="00921892" w:rsidP="00985591">
            <w:pPr>
              <w:spacing w:line="276" w:lineRule="auto"/>
              <w:rPr>
                <w:rFonts w:ascii="Book Antiqua" w:hAnsi="Book Antiqua" w:cs="Calibri"/>
                <w:sz w:val="16"/>
                <w:szCs w:val="16"/>
                <w:lang w:eastAsia="es-CR"/>
              </w:rPr>
            </w:pPr>
            <w:r w:rsidRPr="00F375FA">
              <w:rPr>
                <w:rFonts w:ascii="Book Antiqua" w:hAnsi="Book Antiqua" w:cs="Calibri"/>
                <w:sz w:val="16"/>
                <w:szCs w:val="16"/>
                <w:lang w:eastAsia="es-CR"/>
              </w:rPr>
              <w:t>Juzgado Ejecución de La Pena de Pococí</w:t>
            </w:r>
          </w:p>
        </w:tc>
        <w:tc>
          <w:tcPr>
            <w:tcW w:w="2600" w:type="dxa"/>
            <w:tcBorders>
              <w:top w:val="nil"/>
              <w:left w:val="single" w:sz="4" w:space="0" w:color="808080"/>
              <w:bottom w:val="single" w:sz="4" w:space="0" w:color="808080"/>
              <w:right w:val="single" w:sz="4" w:space="0" w:color="808080"/>
            </w:tcBorders>
            <w:shd w:val="clear" w:color="auto" w:fill="auto"/>
            <w:noWrap/>
            <w:vAlign w:val="center"/>
            <w:hideMark/>
          </w:tcPr>
          <w:p w14:paraId="56EC32DB" w14:textId="77777777" w:rsidR="00921892" w:rsidRPr="00F375FA" w:rsidRDefault="00921892" w:rsidP="00985591">
            <w:pPr>
              <w:spacing w:line="276" w:lineRule="auto"/>
              <w:jc w:val="center"/>
              <w:rPr>
                <w:rFonts w:ascii="Book Antiqua" w:hAnsi="Book Antiqua" w:cs="Calibri"/>
                <w:color w:val="000000"/>
                <w:sz w:val="16"/>
                <w:szCs w:val="16"/>
                <w:lang w:eastAsia="es-CR"/>
              </w:rPr>
            </w:pPr>
            <w:r w:rsidRPr="00F375FA">
              <w:rPr>
                <w:rFonts w:ascii="Book Antiqua" w:hAnsi="Book Antiqua" w:cs="Calibri"/>
                <w:color w:val="000000"/>
                <w:sz w:val="16"/>
                <w:szCs w:val="16"/>
                <w:lang w:eastAsia="es-CR"/>
              </w:rPr>
              <w:t>56%</w:t>
            </w:r>
          </w:p>
        </w:tc>
      </w:tr>
      <w:tr w:rsidR="00921892" w:rsidRPr="00F375FA" w14:paraId="0CC319D7" w14:textId="77777777" w:rsidTr="00F375FA">
        <w:trPr>
          <w:trHeight w:val="290"/>
          <w:jc w:val="center"/>
        </w:trPr>
        <w:tc>
          <w:tcPr>
            <w:tcW w:w="386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0A079A9" w14:textId="77777777" w:rsidR="00921892" w:rsidRPr="00F375FA" w:rsidRDefault="00921892" w:rsidP="00985591">
            <w:pPr>
              <w:spacing w:line="276" w:lineRule="auto"/>
              <w:rPr>
                <w:rFonts w:ascii="Book Antiqua" w:hAnsi="Book Antiqua" w:cs="Calibri"/>
                <w:b/>
                <w:bCs/>
                <w:color w:val="000000"/>
                <w:sz w:val="16"/>
                <w:szCs w:val="16"/>
                <w:lang w:eastAsia="es-CR"/>
              </w:rPr>
            </w:pPr>
            <w:r w:rsidRPr="00F375FA">
              <w:rPr>
                <w:rFonts w:ascii="Book Antiqua" w:hAnsi="Book Antiqua" w:cs="Calibri"/>
                <w:b/>
                <w:bCs/>
                <w:color w:val="000000"/>
                <w:sz w:val="16"/>
                <w:szCs w:val="16"/>
                <w:lang w:eastAsia="es-CR"/>
              </w:rPr>
              <w:t>Promedio Global</w:t>
            </w:r>
          </w:p>
        </w:tc>
        <w:tc>
          <w:tcPr>
            <w:tcW w:w="2600" w:type="dxa"/>
            <w:tcBorders>
              <w:top w:val="nil"/>
              <w:left w:val="nil"/>
              <w:bottom w:val="single" w:sz="4" w:space="0" w:color="808080"/>
              <w:right w:val="single" w:sz="4" w:space="0" w:color="808080"/>
            </w:tcBorders>
            <w:shd w:val="clear" w:color="auto" w:fill="auto"/>
            <w:noWrap/>
            <w:vAlign w:val="center"/>
            <w:hideMark/>
          </w:tcPr>
          <w:p w14:paraId="17680637" w14:textId="77777777" w:rsidR="00921892" w:rsidRPr="00F375FA" w:rsidRDefault="00921892" w:rsidP="00985591">
            <w:pPr>
              <w:spacing w:line="276" w:lineRule="auto"/>
              <w:jc w:val="center"/>
              <w:rPr>
                <w:rFonts w:ascii="Book Antiqua" w:hAnsi="Book Antiqua" w:cs="Calibri"/>
                <w:b/>
                <w:bCs/>
                <w:color w:val="000000"/>
                <w:sz w:val="16"/>
                <w:szCs w:val="16"/>
                <w:lang w:eastAsia="es-CR"/>
              </w:rPr>
            </w:pPr>
            <w:r w:rsidRPr="00F375FA">
              <w:rPr>
                <w:rFonts w:ascii="Book Antiqua" w:hAnsi="Book Antiqua" w:cs="Calibri"/>
                <w:b/>
                <w:bCs/>
                <w:color w:val="000000"/>
                <w:sz w:val="16"/>
                <w:szCs w:val="16"/>
                <w:lang w:eastAsia="es-CR"/>
              </w:rPr>
              <w:t>93%</w:t>
            </w:r>
          </w:p>
        </w:tc>
      </w:tr>
    </w:tbl>
    <w:p w14:paraId="46D57D00" w14:textId="0D8DB8C2" w:rsidR="00921892" w:rsidRDefault="00921892" w:rsidP="006A710F">
      <w:pPr>
        <w:spacing w:line="276" w:lineRule="auto"/>
        <w:jc w:val="center"/>
        <w:rPr>
          <w:rFonts w:ascii="Book Antiqua" w:hAnsi="Book Antiqua"/>
          <w:color w:val="000000" w:themeColor="text1"/>
          <w:sz w:val="20"/>
          <w:szCs w:val="20"/>
        </w:rPr>
      </w:pPr>
      <w:r w:rsidRPr="00677475">
        <w:rPr>
          <w:rFonts w:ascii="Book Antiqua" w:hAnsi="Book Antiqua"/>
          <w:b/>
          <w:bCs/>
          <w:color w:val="000000" w:themeColor="text1"/>
          <w:sz w:val="20"/>
          <w:szCs w:val="20"/>
        </w:rPr>
        <w:t xml:space="preserve">Fuente: </w:t>
      </w:r>
      <w:r w:rsidRPr="00677475">
        <w:rPr>
          <w:rFonts w:ascii="Book Antiqua" w:hAnsi="Book Antiqua"/>
          <w:color w:val="000000" w:themeColor="text1"/>
          <w:sz w:val="20"/>
          <w:szCs w:val="20"/>
        </w:rPr>
        <w:t>Matriz de indicadores de Gestión</w:t>
      </w:r>
    </w:p>
    <w:p w14:paraId="10F596FD" w14:textId="77777777" w:rsidR="006A710F" w:rsidRPr="006A710F" w:rsidRDefault="006A710F" w:rsidP="006A710F">
      <w:pPr>
        <w:spacing w:line="276" w:lineRule="auto"/>
        <w:jc w:val="center"/>
        <w:rPr>
          <w:rFonts w:ascii="Book Antiqua" w:hAnsi="Book Antiqua"/>
          <w:b/>
          <w:bCs/>
          <w:color w:val="000000" w:themeColor="text1"/>
          <w:sz w:val="20"/>
          <w:szCs w:val="20"/>
        </w:rPr>
      </w:pPr>
    </w:p>
    <w:p w14:paraId="072947CA" w14:textId="2145061D" w:rsidR="00921892" w:rsidRPr="008F2954" w:rsidRDefault="00921892" w:rsidP="00985591">
      <w:pPr>
        <w:spacing w:line="276" w:lineRule="auto"/>
        <w:rPr>
          <w:rFonts w:ascii="Book Antiqua" w:hAnsi="Book Antiqua"/>
          <w:bCs/>
          <w:color w:val="000000" w:themeColor="text1"/>
        </w:rPr>
      </w:pPr>
      <w:r w:rsidRPr="008F2954">
        <w:rPr>
          <w:rFonts w:ascii="Book Antiqua" w:hAnsi="Book Antiqua"/>
          <w:bCs/>
          <w:color w:val="000000" w:themeColor="text1"/>
        </w:rPr>
        <w:t xml:space="preserve">Con respecto a la firma de </w:t>
      </w:r>
      <w:r w:rsidR="008F2954" w:rsidRPr="008F2954">
        <w:rPr>
          <w:rFonts w:ascii="Book Antiqua" w:hAnsi="Book Antiqua"/>
          <w:bCs/>
          <w:color w:val="000000" w:themeColor="text1"/>
        </w:rPr>
        <w:t>expedientes</w:t>
      </w:r>
      <w:r w:rsidRPr="008F2954">
        <w:rPr>
          <w:rFonts w:ascii="Book Antiqua" w:hAnsi="Book Antiqua"/>
          <w:bCs/>
          <w:color w:val="000000" w:themeColor="text1"/>
        </w:rPr>
        <w:t xml:space="preserve"> a continuación se puede ver el detalle:</w:t>
      </w:r>
    </w:p>
    <w:p w14:paraId="55B3BB3E" w14:textId="77777777" w:rsidR="00921892" w:rsidRPr="00921892" w:rsidRDefault="00921892" w:rsidP="00985591">
      <w:pPr>
        <w:spacing w:line="276" w:lineRule="auto"/>
        <w:rPr>
          <w:rFonts w:ascii="Book Antiqua" w:hAnsi="Book Antiqua"/>
          <w:bCs/>
          <w:color w:val="000000" w:themeColor="text1"/>
          <w:highlight w:val="yellow"/>
        </w:rPr>
      </w:pPr>
    </w:p>
    <w:p w14:paraId="7BC2CE81" w14:textId="7B793195" w:rsidR="006A710F" w:rsidRPr="006A710F" w:rsidRDefault="00921892" w:rsidP="006A710F">
      <w:pPr>
        <w:spacing w:line="276" w:lineRule="auto"/>
        <w:jc w:val="both"/>
        <w:rPr>
          <w:rFonts w:ascii="Book Antiqua" w:hAnsi="Book Antiqua"/>
          <w:bCs/>
          <w:color w:val="000000" w:themeColor="text1"/>
        </w:rPr>
      </w:pPr>
      <w:r w:rsidRPr="003509D1">
        <w:rPr>
          <w:rFonts w:ascii="Book Antiqua" w:hAnsi="Book Antiqua"/>
          <w:bCs/>
          <w:color w:val="000000" w:themeColor="text1"/>
        </w:rPr>
        <w:t xml:space="preserve">Con base en el cuadro se aprecia que el </w:t>
      </w:r>
      <w:r w:rsidRPr="003509D1">
        <w:rPr>
          <w:rFonts w:ascii="Book Antiqua" w:hAnsi="Book Antiqua" w:cs="Calibri"/>
          <w:color w:val="000000"/>
          <w:lang w:eastAsia="es-CR"/>
        </w:rPr>
        <w:t xml:space="preserve">Juzgado de Ejecución de </w:t>
      </w:r>
      <w:r w:rsidR="00B76E68" w:rsidRPr="003509D1">
        <w:rPr>
          <w:rFonts w:ascii="Book Antiqua" w:hAnsi="Book Antiqua" w:cs="Calibri"/>
          <w:color w:val="000000"/>
          <w:lang w:eastAsia="es-CR"/>
        </w:rPr>
        <w:t>la Pena de San José</w:t>
      </w:r>
      <w:r w:rsidRPr="003509D1">
        <w:rPr>
          <w:rFonts w:ascii="Book Antiqua" w:hAnsi="Book Antiqua" w:cs="Calibri"/>
          <w:color w:val="000000"/>
          <w:lang w:eastAsia="es-CR"/>
        </w:rPr>
        <w:t xml:space="preserve">, presentan el mayor rendimiento general con un </w:t>
      </w:r>
      <w:r w:rsidR="008F2954" w:rsidRPr="003509D1">
        <w:rPr>
          <w:rFonts w:ascii="Book Antiqua" w:hAnsi="Book Antiqua" w:cs="Calibri"/>
          <w:color w:val="000000"/>
          <w:lang w:eastAsia="es-CR"/>
        </w:rPr>
        <w:t>232</w:t>
      </w:r>
      <w:r w:rsidRPr="003509D1">
        <w:rPr>
          <w:rFonts w:ascii="Book Antiqua" w:hAnsi="Book Antiqua" w:cs="Calibri"/>
          <w:color w:val="000000"/>
          <w:lang w:eastAsia="es-CR"/>
        </w:rPr>
        <w:t xml:space="preserve">% de cumplimiento, en tanto, el Juzgado de Ejecución de la Pena del Primer Circuito Judicial de </w:t>
      </w:r>
      <w:r w:rsidR="008F2954" w:rsidRPr="003509D1">
        <w:rPr>
          <w:rFonts w:ascii="Book Antiqua" w:hAnsi="Book Antiqua" w:cs="Calibri"/>
          <w:color w:val="000000"/>
          <w:lang w:eastAsia="es-CR"/>
        </w:rPr>
        <w:t>Guanacaste</w:t>
      </w:r>
      <w:r w:rsidRPr="003509D1">
        <w:rPr>
          <w:rFonts w:ascii="Book Antiqua" w:hAnsi="Book Antiqua" w:cs="Calibri"/>
          <w:color w:val="000000"/>
          <w:lang w:eastAsia="es-CR"/>
        </w:rPr>
        <w:t xml:space="preserve"> (L</w:t>
      </w:r>
      <w:r w:rsidR="008F2954" w:rsidRPr="003509D1">
        <w:rPr>
          <w:rFonts w:ascii="Book Antiqua" w:hAnsi="Book Antiqua" w:cs="Calibri"/>
          <w:color w:val="000000"/>
          <w:lang w:eastAsia="es-CR"/>
        </w:rPr>
        <w:t>iberia</w:t>
      </w:r>
      <w:r w:rsidRPr="003509D1">
        <w:rPr>
          <w:rFonts w:ascii="Book Antiqua" w:hAnsi="Book Antiqua" w:cs="Calibri"/>
          <w:color w:val="000000"/>
          <w:lang w:eastAsia="es-CR"/>
        </w:rPr>
        <w:t xml:space="preserve">) apenas cumple en un </w:t>
      </w:r>
      <w:r w:rsidR="008F2954" w:rsidRPr="003509D1">
        <w:rPr>
          <w:rFonts w:ascii="Book Antiqua" w:hAnsi="Book Antiqua" w:cs="Calibri"/>
          <w:color w:val="000000"/>
          <w:lang w:eastAsia="es-CR"/>
        </w:rPr>
        <w:t>87</w:t>
      </w:r>
      <w:r w:rsidRPr="003509D1">
        <w:rPr>
          <w:rFonts w:ascii="Book Antiqua" w:hAnsi="Book Antiqua" w:cs="Calibri"/>
          <w:color w:val="000000"/>
          <w:lang w:eastAsia="es-CR"/>
        </w:rPr>
        <w:t xml:space="preserve">%. En términos generales los despachos analizados cumplen en un </w:t>
      </w:r>
      <w:r w:rsidR="008F2954" w:rsidRPr="003509D1">
        <w:rPr>
          <w:rFonts w:ascii="Book Antiqua" w:hAnsi="Book Antiqua" w:cs="Calibri"/>
          <w:color w:val="000000"/>
          <w:lang w:eastAsia="es-CR"/>
        </w:rPr>
        <w:t>157</w:t>
      </w:r>
      <w:r w:rsidRPr="003509D1">
        <w:rPr>
          <w:rFonts w:ascii="Book Antiqua" w:hAnsi="Book Antiqua" w:cs="Calibri"/>
          <w:color w:val="000000"/>
          <w:lang w:eastAsia="es-CR"/>
        </w:rPr>
        <w:t>%.</w:t>
      </w:r>
    </w:p>
    <w:p w14:paraId="7B29B99C" w14:textId="01A214E9" w:rsidR="00921892" w:rsidRPr="00EC505D" w:rsidRDefault="00921892" w:rsidP="00985591">
      <w:pPr>
        <w:spacing w:line="276" w:lineRule="auto"/>
        <w:jc w:val="center"/>
        <w:rPr>
          <w:rFonts w:ascii="Book Antiqua" w:hAnsi="Book Antiqua"/>
          <w:b/>
          <w:color w:val="000000" w:themeColor="text1"/>
        </w:rPr>
      </w:pPr>
      <w:r w:rsidRPr="00EC505D">
        <w:rPr>
          <w:rFonts w:ascii="Book Antiqua" w:hAnsi="Book Antiqua"/>
          <w:b/>
          <w:color w:val="000000" w:themeColor="text1"/>
        </w:rPr>
        <w:t xml:space="preserve">Cuadro </w:t>
      </w:r>
      <w:r>
        <w:rPr>
          <w:rFonts w:ascii="Book Antiqua" w:hAnsi="Book Antiqua"/>
          <w:b/>
          <w:color w:val="000000" w:themeColor="text1"/>
        </w:rPr>
        <w:t>3</w:t>
      </w:r>
      <w:r w:rsidR="00B03152">
        <w:rPr>
          <w:rFonts w:ascii="Book Antiqua" w:hAnsi="Book Antiqua"/>
          <w:b/>
          <w:color w:val="000000" w:themeColor="text1"/>
        </w:rPr>
        <w:t>6</w:t>
      </w:r>
    </w:p>
    <w:p w14:paraId="32A8B783" w14:textId="2706BDF4" w:rsidR="00921892" w:rsidRPr="00921892" w:rsidRDefault="00921892" w:rsidP="00B03152">
      <w:pPr>
        <w:spacing w:line="276" w:lineRule="auto"/>
        <w:jc w:val="center"/>
        <w:rPr>
          <w:rFonts w:ascii="Book Antiqua" w:hAnsi="Book Antiqua"/>
          <w:bCs/>
          <w:color w:val="000000" w:themeColor="text1"/>
        </w:rPr>
      </w:pPr>
      <w:r w:rsidRPr="00921892">
        <w:rPr>
          <w:rFonts w:ascii="Book Antiqua" w:hAnsi="Book Antiqua"/>
          <w:bCs/>
          <w:color w:val="000000" w:themeColor="text1"/>
        </w:rPr>
        <w:t xml:space="preserve">Cumplimiento del parámetro de producción teórico de firma de </w:t>
      </w:r>
      <w:r w:rsidR="008F2954">
        <w:rPr>
          <w:rFonts w:ascii="Book Antiqua" w:hAnsi="Book Antiqua"/>
          <w:bCs/>
          <w:color w:val="000000" w:themeColor="text1"/>
        </w:rPr>
        <w:t>expedientes</w:t>
      </w:r>
      <w:r w:rsidRPr="00921892">
        <w:rPr>
          <w:rFonts w:ascii="Book Antiqua" w:hAnsi="Book Antiqua"/>
          <w:bCs/>
          <w:color w:val="000000" w:themeColor="text1"/>
        </w:rPr>
        <w:t xml:space="preserve"> </w:t>
      </w:r>
      <w:r w:rsidR="00AD0AF7">
        <w:rPr>
          <w:rFonts w:ascii="Book Antiqua" w:hAnsi="Book Antiqua"/>
          <w:bCs/>
          <w:color w:val="000000" w:themeColor="text1"/>
        </w:rPr>
        <w:t xml:space="preserve">de los </w:t>
      </w:r>
      <w:r w:rsidRPr="00921892">
        <w:rPr>
          <w:rFonts w:ascii="Book Antiqua" w:hAnsi="Book Antiqua"/>
          <w:bCs/>
          <w:color w:val="000000" w:themeColor="text1"/>
        </w:rPr>
        <w:t xml:space="preserve">Juzgados de Ejecución de la Penal durante </w:t>
      </w:r>
      <w:r>
        <w:rPr>
          <w:rFonts w:ascii="Book Antiqua" w:hAnsi="Book Antiqua"/>
          <w:bCs/>
          <w:color w:val="000000" w:themeColor="text1"/>
        </w:rPr>
        <w:t>mayo</w:t>
      </w:r>
      <w:r w:rsidRPr="00921892">
        <w:rPr>
          <w:rFonts w:ascii="Book Antiqua" w:hAnsi="Book Antiqua"/>
          <w:bCs/>
          <w:color w:val="000000" w:themeColor="text1"/>
        </w:rPr>
        <w:t xml:space="preserve"> 2021</w:t>
      </w:r>
    </w:p>
    <w:tbl>
      <w:tblPr>
        <w:tblW w:w="6715" w:type="dxa"/>
        <w:jc w:val="center"/>
        <w:tblCellMar>
          <w:left w:w="70" w:type="dxa"/>
          <w:right w:w="70" w:type="dxa"/>
        </w:tblCellMar>
        <w:tblLook w:val="04A0" w:firstRow="1" w:lastRow="0" w:firstColumn="1" w:lastColumn="0" w:noHBand="0" w:noVBand="1"/>
      </w:tblPr>
      <w:tblGrid>
        <w:gridCol w:w="4215"/>
        <w:gridCol w:w="2500"/>
      </w:tblGrid>
      <w:tr w:rsidR="00921892" w:rsidRPr="00F375FA" w14:paraId="18F48C63" w14:textId="77777777" w:rsidTr="00F375FA">
        <w:trPr>
          <w:trHeight w:val="780"/>
          <w:jc w:val="center"/>
        </w:trPr>
        <w:tc>
          <w:tcPr>
            <w:tcW w:w="4215" w:type="dxa"/>
            <w:tcBorders>
              <w:top w:val="single" w:sz="4" w:space="0" w:color="808080"/>
              <w:left w:val="single" w:sz="4" w:space="0" w:color="808080"/>
              <w:bottom w:val="single" w:sz="4" w:space="0" w:color="808080"/>
              <w:right w:val="single" w:sz="4" w:space="0" w:color="808080"/>
            </w:tcBorders>
            <w:shd w:val="clear" w:color="000000" w:fill="305496"/>
            <w:noWrap/>
            <w:vAlign w:val="center"/>
            <w:hideMark/>
          </w:tcPr>
          <w:p w14:paraId="1EECE2C8" w14:textId="77777777" w:rsidR="00921892" w:rsidRPr="00F375FA" w:rsidRDefault="00921892" w:rsidP="00985591">
            <w:pPr>
              <w:spacing w:line="276" w:lineRule="auto"/>
              <w:jc w:val="center"/>
              <w:rPr>
                <w:rFonts w:ascii="Book Antiqua" w:hAnsi="Book Antiqua" w:cs="Calibri"/>
                <w:b/>
                <w:bCs/>
                <w:color w:val="FFFFFF"/>
                <w:sz w:val="16"/>
                <w:szCs w:val="16"/>
                <w:lang w:eastAsia="es-CR"/>
              </w:rPr>
            </w:pPr>
            <w:r w:rsidRPr="00F375FA">
              <w:rPr>
                <w:rFonts w:ascii="Book Antiqua" w:hAnsi="Book Antiqua" w:cs="Calibri"/>
                <w:b/>
                <w:bCs/>
                <w:color w:val="FFFFFF"/>
                <w:sz w:val="16"/>
                <w:szCs w:val="16"/>
                <w:lang w:eastAsia="es-CR"/>
              </w:rPr>
              <w:t>Oficina</w:t>
            </w:r>
          </w:p>
        </w:tc>
        <w:tc>
          <w:tcPr>
            <w:tcW w:w="2500" w:type="dxa"/>
            <w:tcBorders>
              <w:top w:val="single" w:sz="4" w:space="0" w:color="808080"/>
              <w:left w:val="nil"/>
              <w:bottom w:val="single" w:sz="4" w:space="0" w:color="808080"/>
              <w:right w:val="single" w:sz="4" w:space="0" w:color="808080"/>
            </w:tcBorders>
            <w:shd w:val="clear" w:color="000000" w:fill="305496"/>
            <w:vAlign w:val="center"/>
            <w:hideMark/>
          </w:tcPr>
          <w:p w14:paraId="00C4CCE1" w14:textId="4CE80443" w:rsidR="00921892" w:rsidRPr="00F375FA" w:rsidRDefault="00921892" w:rsidP="00985591">
            <w:pPr>
              <w:spacing w:line="276" w:lineRule="auto"/>
              <w:jc w:val="center"/>
              <w:rPr>
                <w:rFonts w:ascii="Book Antiqua" w:hAnsi="Book Antiqua" w:cs="Calibri"/>
                <w:b/>
                <w:bCs/>
                <w:color w:val="FFFFFF"/>
                <w:sz w:val="16"/>
                <w:szCs w:val="16"/>
                <w:lang w:eastAsia="es-CR"/>
              </w:rPr>
            </w:pPr>
            <w:r w:rsidRPr="00F375FA">
              <w:rPr>
                <w:rFonts w:ascii="Book Antiqua" w:hAnsi="Book Antiqua" w:cs="Calibri"/>
                <w:b/>
                <w:bCs/>
                <w:color w:val="FFFFFF"/>
                <w:sz w:val="16"/>
                <w:szCs w:val="16"/>
                <w:lang w:eastAsia="es-CR"/>
              </w:rPr>
              <w:t xml:space="preserve">Porcentaje cumplimiento cuota teórica de firma de </w:t>
            </w:r>
            <w:r w:rsidR="00AD0AF7" w:rsidRPr="00F375FA">
              <w:rPr>
                <w:rFonts w:ascii="Book Antiqua" w:hAnsi="Book Antiqua" w:cs="Calibri"/>
                <w:b/>
                <w:bCs/>
                <w:color w:val="FFFFFF"/>
                <w:sz w:val="16"/>
                <w:szCs w:val="16"/>
                <w:lang w:eastAsia="es-CR"/>
              </w:rPr>
              <w:t>expedientes</w:t>
            </w:r>
          </w:p>
        </w:tc>
      </w:tr>
      <w:tr w:rsidR="00921892" w:rsidRPr="00F375FA" w14:paraId="4836B1DA" w14:textId="77777777" w:rsidTr="00F375FA">
        <w:trPr>
          <w:trHeight w:val="290"/>
          <w:jc w:val="center"/>
        </w:trPr>
        <w:tc>
          <w:tcPr>
            <w:tcW w:w="42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A71BA" w14:textId="77777777" w:rsidR="00921892" w:rsidRPr="00F375FA" w:rsidRDefault="00921892" w:rsidP="00985591">
            <w:pPr>
              <w:spacing w:line="276" w:lineRule="auto"/>
              <w:rPr>
                <w:rFonts w:ascii="Book Antiqua" w:hAnsi="Book Antiqua" w:cs="Calibri"/>
                <w:sz w:val="16"/>
                <w:szCs w:val="16"/>
                <w:lang w:eastAsia="es-CR"/>
              </w:rPr>
            </w:pPr>
            <w:r w:rsidRPr="00F375FA">
              <w:rPr>
                <w:rFonts w:ascii="Book Antiqua" w:hAnsi="Book Antiqua" w:cs="Calibri"/>
                <w:sz w:val="16"/>
                <w:szCs w:val="16"/>
                <w:lang w:eastAsia="es-CR"/>
              </w:rPr>
              <w:t>Juzgado Ejecución de la Pena de San José</w:t>
            </w:r>
          </w:p>
        </w:tc>
        <w:tc>
          <w:tcPr>
            <w:tcW w:w="2500" w:type="dxa"/>
            <w:tcBorders>
              <w:top w:val="nil"/>
              <w:left w:val="single" w:sz="4" w:space="0" w:color="808080"/>
              <w:bottom w:val="single" w:sz="4" w:space="0" w:color="808080"/>
              <w:right w:val="single" w:sz="4" w:space="0" w:color="808080"/>
            </w:tcBorders>
            <w:shd w:val="clear" w:color="auto" w:fill="auto"/>
            <w:noWrap/>
            <w:vAlign w:val="center"/>
            <w:hideMark/>
          </w:tcPr>
          <w:p w14:paraId="23A9E804" w14:textId="77777777" w:rsidR="00921892" w:rsidRPr="00F375FA" w:rsidRDefault="00921892" w:rsidP="00985591">
            <w:pPr>
              <w:spacing w:line="276" w:lineRule="auto"/>
              <w:jc w:val="center"/>
              <w:rPr>
                <w:rFonts w:ascii="Book Antiqua" w:hAnsi="Book Antiqua" w:cs="Calibri"/>
                <w:color w:val="000000"/>
                <w:sz w:val="16"/>
                <w:szCs w:val="16"/>
                <w:lang w:eastAsia="es-CR"/>
              </w:rPr>
            </w:pPr>
            <w:r w:rsidRPr="00F375FA">
              <w:rPr>
                <w:rFonts w:ascii="Book Antiqua" w:hAnsi="Book Antiqua" w:cs="Calibri"/>
                <w:color w:val="000000"/>
                <w:sz w:val="16"/>
                <w:szCs w:val="16"/>
                <w:lang w:eastAsia="es-CR"/>
              </w:rPr>
              <w:t>232%</w:t>
            </w:r>
          </w:p>
        </w:tc>
      </w:tr>
      <w:tr w:rsidR="00921892" w:rsidRPr="00F375FA" w14:paraId="44D30297" w14:textId="77777777" w:rsidTr="00F375FA">
        <w:trPr>
          <w:trHeight w:val="290"/>
          <w:jc w:val="center"/>
        </w:trPr>
        <w:tc>
          <w:tcPr>
            <w:tcW w:w="4215" w:type="dxa"/>
            <w:tcBorders>
              <w:top w:val="nil"/>
              <w:left w:val="single" w:sz="4" w:space="0" w:color="auto"/>
              <w:bottom w:val="single" w:sz="4" w:space="0" w:color="auto"/>
              <w:right w:val="single" w:sz="4" w:space="0" w:color="auto"/>
            </w:tcBorders>
            <w:shd w:val="clear" w:color="auto" w:fill="auto"/>
            <w:noWrap/>
            <w:vAlign w:val="center"/>
            <w:hideMark/>
          </w:tcPr>
          <w:p w14:paraId="7551CE36" w14:textId="77777777" w:rsidR="00921892" w:rsidRPr="00F375FA" w:rsidRDefault="00921892" w:rsidP="00985591">
            <w:pPr>
              <w:spacing w:line="276" w:lineRule="auto"/>
              <w:rPr>
                <w:rFonts w:ascii="Book Antiqua" w:hAnsi="Book Antiqua" w:cs="Calibri"/>
                <w:sz w:val="16"/>
                <w:szCs w:val="16"/>
                <w:lang w:eastAsia="es-CR"/>
              </w:rPr>
            </w:pPr>
            <w:r w:rsidRPr="00F375FA">
              <w:rPr>
                <w:rFonts w:ascii="Book Antiqua" w:hAnsi="Book Antiqua" w:cs="Calibri"/>
                <w:sz w:val="16"/>
                <w:szCs w:val="16"/>
                <w:lang w:eastAsia="es-CR"/>
              </w:rPr>
              <w:t>Juzgado Ejecución de la Pena de Alajuela</w:t>
            </w:r>
          </w:p>
        </w:tc>
        <w:tc>
          <w:tcPr>
            <w:tcW w:w="2500" w:type="dxa"/>
            <w:tcBorders>
              <w:top w:val="nil"/>
              <w:left w:val="single" w:sz="4" w:space="0" w:color="808080"/>
              <w:bottom w:val="single" w:sz="4" w:space="0" w:color="808080"/>
              <w:right w:val="single" w:sz="4" w:space="0" w:color="808080"/>
            </w:tcBorders>
            <w:shd w:val="clear" w:color="auto" w:fill="auto"/>
            <w:noWrap/>
            <w:vAlign w:val="center"/>
            <w:hideMark/>
          </w:tcPr>
          <w:p w14:paraId="5E60DB89" w14:textId="77777777" w:rsidR="00921892" w:rsidRPr="00F375FA" w:rsidRDefault="00921892" w:rsidP="00985591">
            <w:pPr>
              <w:spacing w:line="276" w:lineRule="auto"/>
              <w:jc w:val="center"/>
              <w:rPr>
                <w:rFonts w:ascii="Book Antiqua" w:hAnsi="Book Antiqua" w:cs="Calibri"/>
                <w:color w:val="000000"/>
                <w:sz w:val="16"/>
                <w:szCs w:val="16"/>
                <w:lang w:eastAsia="es-CR"/>
              </w:rPr>
            </w:pPr>
            <w:r w:rsidRPr="00F375FA">
              <w:rPr>
                <w:rFonts w:ascii="Book Antiqua" w:hAnsi="Book Antiqua" w:cs="Calibri"/>
                <w:color w:val="000000"/>
                <w:sz w:val="16"/>
                <w:szCs w:val="16"/>
                <w:lang w:eastAsia="es-CR"/>
              </w:rPr>
              <w:t>223%</w:t>
            </w:r>
          </w:p>
        </w:tc>
      </w:tr>
      <w:tr w:rsidR="00921892" w:rsidRPr="00F375FA" w14:paraId="3264FF63" w14:textId="77777777" w:rsidTr="00F375FA">
        <w:trPr>
          <w:trHeight w:val="290"/>
          <w:jc w:val="center"/>
        </w:trPr>
        <w:tc>
          <w:tcPr>
            <w:tcW w:w="4215" w:type="dxa"/>
            <w:tcBorders>
              <w:top w:val="nil"/>
              <w:left w:val="single" w:sz="4" w:space="0" w:color="auto"/>
              <w:bottom w:val="single" w:sz="4" w:space="0" w:color="auto"/>
              <w:right w:val="single" w:sz="4" w:space="0" w:color="auto"/>
            </w:tcBorders>
            <w:shd w:val="clear" w:color="auto" w:fill="auto"/>
            <w:noWrap/>
            <w:vAlign w:val="center"/>
            <w:hideMark/>
          </w:tcPr>
          <w:p w14:paraId="6E17434E" w14:textId="77777777" w:rsidR="00921892" w:rsidRPr="00F375FA" w:rsidRDefault="00921892" w:rsidP="00985591">
            <w:pPr>
              <w:spacing w:line="276" w:lineRule="auto"/>
              <w:rPr>
                <w:rFonts w:ascii="Book Antiqua" w:hAnsi="Book Antiqua" w:cs="Calibri"/>
                <w:sz w:val="16"/>
                <w:szCs w:val="16"/>
                <w:lang w:eastAsia="es-CR"/>
              </w:rPr>
            </w:pPr>
            <w:r w:rsidRPr="00F375FA">
              <w:rPr>
                <w:rFonts w:ascii="Book Antiqua" w:hAnsi="Book Antiqua" w:cs="Calibri"/>
                <w:sz w:val="16"/>
                <w:szCs w:val="16"/>
                <w:lang w:eastAsia="es-CR"/>
              </w:rPr>
              <w:t>Juzgado Ejecución de La Pena de Puntarenas</w:t>
            </w:r>
          </w:p>
        </w:tc>
        <w:tc>
          <w:tcPr>
            <w:tcW w:w="2500" w:type="dxa"/>
            <w:tcBorders>
              <w:top w:val="nil"/>
              <w:left w:val="single" w:sz="4" w:space="0" w:color="808080"/>
              <w:bottom w:val="single" w:sz="4" w:space="0" w:color="808080"/>
              <w:right w:val="single" w:sz="4" w:space="0" w:color="808080"/>
            </w:tcBorders>
            <w:shd w:val="clear" w:color="auto" w:fill="auto"/>
            <w:noWrap/>
            <w:vAlign w:val="center"/>
            <w:hideMark/>
          </w:tcPr>
          <w:p w14:paraId="0D7DE91F" w14:textId="77777777" w:rsidR="00921892" w:rsidRPr="00F375FA" w:rsidRDefault="00921892" w:rsidP="00985591">
            <w:pPr>
              <w:spacing w:line="276" w:lineRule="auto"/>
              <w:jc w:val="center"/>
              <w:rPr>
                <w:rFonts w:ascii="Book Antiqua" w:hAnsi="Book Antiqua" w:cs="Calibri"/>
                <w:color w:val="000000"/>
                <w:sz w:val="16"/>
                <w:szCs w:val="16"/>
                <w:lang w:eastAsia="es-CR"/>
              </w:rPr>
            </w:pPr>
            <w:r w:rsidRPr="00F375FA">
              <w:rPr>
                <w:rFonts w:ascii="Book Antiqua" w:hAnsi="Book Antiqua" w:cs="Calibri"/>
                <w:color w:val="000000"/>
                <w:sz w:val="16"/>
                <w:szCs w:val="16"/>
                <w:lang w:eastAsia="es-CR"/>
              </w:rPr>
              <w:t>177%</w:t>
            </w:r>
          </w:p>
        </w:tc>
      </w:tr>
      <w:tr w:rsidR="00921892" w:rsidRPr="00F375FA" w14:paraId="7FB7BCC0" w14:textId="77777777" w:rsidTr="00F375FA">
        <w:trPr>
          <w:trHeight w:val="290"/>
          <w:jc w:val="center"/>
        </w:trPr>
        <w:tc>
          <w:tcPr>
            <w:tcW w:w="4215" w:type="dxa"/>
            <w:tcBorders>
              <w:top w:val="nil"/>
              <w:left w:val="single" w:sz="4" w:space="0" w:color="auto"/>
              <w:bottom w:val="single" w:sz="4" w:space="0" w:color="auto"/>
              <w:right w:val="single" w:sz="4" w:space="0" w:color="auto"/>
            </w:tcBorders>
            <w:shd w:val="clear" w:color="auto" w:fill="auto"/>
            <w:noWrap/>
            <w:vAlign w:val="center"/>
            <w:hideMark/>
          </w:tcPr>
          <w:p w14:paraId="67A64A7C" w14:textId="77777777" w:rsidR="00921892" w:rsidRPr="00F375FA" w:rsidRDefault="00921892" w:rsidP="00985591">
            <w:pPr>
              <w:spacing w:line="276" w:lineRule="auto"/>
              <w:rPr>
                <w:rFonts w:ascii="Book Antiqua" w:hAnsi="Book Antiqua" w:cs="Calibri"/>
                <w:sz w:val="16"/>
                <w:szCs w:val="16"/>
                <w:lang w:eastAsia="es-CR"/>
              </w:rPr>
            </w:pPr>
            <w:r w:rsidRPr="00F375FA">
              <w:rPr>
                <w:rFonts w:ascii="Book Antiqua" w:hAnsi="Book Antiqua" w:cs="Calibri"/>
                <w:sz w:val="16"/>
                <w:szCs w:val="16"/>
                <w:lang w:eastAsia="es-CR"/>
              </w:rPr>
              <w:t>Juzgado Ejecución de La Pena de Pococí</w:t>
            </w:r>
          </w:p>
        </w:tc>
        <w:tc>
          <w:tcPr>
            <w:tcW w:w="2500" w:type="dxa"/>
            <w:tcBorders>
              <w:top w:val="nil"/>
              <w:left w:val="single" w:sz="4" w:space="0" w:color="808080"/>
              <w:bottom w:val="single" w:sz="4" w:space="0" w:color="808080"/>
              <w:right w:val="single" w:sz="4" w:space="0" w:color="808080"/>
            </w:tcBorders>
            <w:shd w:val="clear" w:color="auto" w:fill="auto"/>
            <w:noWrap/>
            <w:vAlign w:val="center"/>
            <w:hideMark/>
          </w:tcPr>
          <w:p w14:paraId="718468DC" w14:textId="77777777" w:rsidR="00921892" w:rsidRPr="00F375FA" w:rsidRDefault="00921892" w:rsidP="00985591">
            <w:pPr>
              <w:spacing w:line="276" w:lineRule="auto"/>
              <w:jc w:val="center"/>
              <w:rPr>
                <w:rFonts w:ascii="Book Antiqua" w:hAnsi="Book Antiqua" w:cs="Calibri"/>
                <w:color w:val="000000"/>
                <w:sz w:val="16"/>
                <w:szCs w:val="16"/>
                <w:lang w:eastAsia="es-CR"/>
              </w:rPr>
            </w:pPr>
            <w:r w:rsidRPr="00F375FA">
              <w:rPr>
                <w:rFonts w:ascii="Book Antiqua" w:hAnsi="Book Antiqua" w:cs="Calibri"/>
                <w:color w:val="000000"/>
                <w:sz w:val="16"/>
                <w:szCs w:val="16"/>
                <w:lang w:eastAsia="es-CR"/>
              </w:rPr>
              <w:t>159%</w:t>
            </w:r>
          </w:p>
        </w:tc>
      </w:tr>
      <w:tr w:rsidR="00921892" w:rsidRPr="00F375FA" w14:paraId="056296C2" w14:textId="77777777" w:rsidTr="00F375FA">
        <w:trPr>
          <w:trHeight w:val="290"/>
          <w:jc w:val="center"/>
        </w:trPr>
        <w:tc>
          <w:tcPr>
            <w:tcW w:w="4215" w:type="dxa"/>
            <w:tcBorders>
              <w:top w:val="nil"/>
              <w:left w:val="single" w:sz="4" w:space="0" w:color="auto"/>
              <w:bottom w:val="single" w:sz="4" w:space="0" w:color="auto"/>
              <w:right w:val="single" w:sz="4" w:space="0" w:color="auto"/>
            </w:tcBorders>
            <w:shd w:val="clear" w:color="auto" w:fill="auto"/>
            <w:noWrap/>
            <w:vAlign w:val="center"/>
            <w:hideMark/>
          </w:tcPr>
          <w:p w14:paraId="46D10344" w14:textId="77777777" w:rsidR="00921892" w:rsidRPr="00F375FA" w:rsidRDefault="00921892" w:rsidP="00985591">
            <w:pPr>
              <w:spacing w:line="276" w:lineRule="auto"/>
              <w:rPr>
                <w:rFonts w:ascii="Book Antiqua" w:hAnsi="Book Antiqua" w:cs="Calibri"/>
                <w:sz w:val="16"/>
                <w:szCs w:val="16"/>
                <w:lang w:eastAsia="es-CR"/>
              </w:rPr>
            </w:pPr>
            <w:r w:rsidRPr="00F375FA">
              <w:rPr>
                <w:rFonts w:ascii="Book Antiqua" w:hAnsi="Book Antiqua" w:cs="Calibri"/>
                <w:sz w:val="16"/>
                <w:szCs w:val="16"/>
                <w:lang w:eastAsia="es-CR"/>
              </w:rPr>
              <w:t>Juzgado Ejecución de la Pena de Limón</w:t>
            </w:r>
          </w:p>
        </w:tc>
        <w:tc>
          <w:tcPr>
            <w:tcW w:w="2500" w:type="dxa"/>
            <w:tcBorders>
              <w:top w:val="nil"/>
              <w:left w:val="single" w:sz="4" w:space="0" w:color="808080"/>
              <w:bottom w:val="single" w:sz="4" w:space="0" w:color="808080"/>
              <w:right w:val="single" w:sz="4" w:space="0" w:color="808080"/>
            </w:tcBorders>
            <w:shd w:val="clear" w:color="auto" w:fill="auto"/>
            <w:noWrap/>
            <w:vAlign w:val="center"/>
            <w:hideMark/>
          </w:tcPr>
          <w:p w14:paraId="5B7728BC" w14:textId="77777777" w:rsidR="00921892" w:rsidRPr="00F375FA" w:rsidRDefault="00921892" w:rsidP="00985591">
            <w:pPr>
              <w:spacing w:line="276" w:lineRule="auto"/>
              <w:jc w:val="center"/>
              <w:rPr>
                <w:rFonts w:ascii="Book Antiqua" w:hAnsi="Book Antiqua" w:cs="Calibri"/>
                <w:color w:val="000000"/>
                <w:sz w:val="16"/>
                <w:szCs w:val="16"/>
                <w:lang w:eastAsia="es-CR"/>
              </w:rPr>
            </w:pPr>
            <w:r w:rsidRPr="00F375FA">
              <w:rPr>
                <w:rFonts w:ascii="Book Antiqua" w:hAnsi="Book Antiqua" w:cs="Calibri"/>
                <w:color w:val="000000"/>
                <w:sz w:val="16"/>
                <w:szCs w:val="16"/>
                <w:lang w:eastAsia="es-CR"/>
              </w:rPr>
              <w:t>113%</w:t>
            </w:r>
          </w:p>
        </w:tc>
      </w:tr>
      <w:tr w:rsidR="00921892" w:rsidRPr="00F375FA" w14:paraId="3646619A" w14:textId="77777777" w:rsidTr="00F375FA">
        <w:trPr>
          <w:trHeight w:val="290"/>
          <w:jc w:val="center"/>
        </w:trPr>
        <w:tc>
          <w:tcPr>
            <w:tcW w:w="4215" w:type="dxa"/>
            <w:tcBorders>
              <w:top w:val="nil"/>
              <w:left w:val="single" w:sz="4" w:space="0" w:color="auto"/>
              <w:bottom w:val="single" w:sz="4" w:space="0" w:color="auto"/>
              <w:right w:val="single" w:sz="4" w:space="0" w:color="auto"/>
            </w:tcBorders>
            <w:shd w:val="clear" w:color="auto" w:fill="auto"/>
            <w:noWrap/>
            <w:vAlign w:val="center"/>
            <w:hideMark/>
          </w:tcPr>
          <w:p w14:paraId="323E3784" w14:textId="77777777" w:rsidR="00921892" w:rsidRPr="00F375FA" w:rsidRDefault="00921892" w:rsidP="00985591">
            <w:pPr>
              <w:spacing w:line="276" w:lineRule="auto"/>
              <w:rPr>
                <w:rFonts w:ascii="Book Antiqua" w:hAnsi="Book Antiqua" w:cs="Calibri"/>
                <w:sz w:val="16"/>
                <w:szCs w:val="16"/>
                <w:lang w:eastAsia="es-CR"/>
              </w:rPr>
            </w:pPr>
            <w:r w:rsidRPr="00F375FA">
              <w:rPr>
                <w:rFonts w:ascii="Book Antiqua" w:hAnsi="Book Antiqua" w:cs="Calibri"/>
                <w:sz w:val="16"/>
                <w:szCs w:val="16"/>
                <w:lang w:eastAsia="es-CR"/>
              </w:rPr>
              <w:t>Juzgado Ejecución de la Pena de Cartago</w:t>
            </w:r>
          </w:p>
        </w:tc>
        <w:tc>
          <w:tcPr>
            <w:tcW w:w="2500" w:type="dxa"/>
            <w:tcBorders>
              <w:top w:val="nil"/>
              <w:left w:val="single" w:sz="4" w:space="0" w:color="808080"/>
              <w:bottom w:val="single" w:sz="4" w:space="0" w:color="808080"/>
              <w:right w:val="single" w:sz="4" w:space="0" w:color="808080"/>
            </w:tcBorders>
            <w:shd w:val="clear" w:color="auto" w:fill="auto"/>
            <w:noWrap/>
            <w:vAlign w:val="center"/>
            <w:hideMark/>
          </w:tcPr>
          <w:p w14:paraId="17E48EC9" w14:textId="77777777" w:rsidR="00921892" w:rsidRPr="00F375FA" w:rsidRDefault="00921892" w:rsidP="00985591">
            <w:pPr>
              <w:spacing w:line="276" w:lineRule="auto"/>
              <w:jc w:val="center"/>
              <w:rPr>
                <w:rFonts w:ascii="Book Antiqua" w:hAnsi="Book Antiqua" w:cs="Calibri"/>
                <w:color w:val="000000"/>
                <w:sz w:val="16"/>
                <w:szCs w:val="16"/>
                <w:lang w:eastAsia="es-CR"/>
              </w:rPr>
            </w:pPr>
            <w:r w:rsidRPr="00F375FA">
              <w:rPr>
                <w:rFonts w:ascii="Book Antiqua" w:hAnsi="Book Antiqua" w:cs="Calibri"/>
                <w:color w:val="000000"/>
                <w:sz w:val="16"/>
                <w:szCs w:val="16"/>
                <w:lang w:eastAsia="es-CR"/>
              </w:rPr>
              <w:t>109%</w:t>
            </w:r>
          </w:p>
        </w:tc>
      </w:tr>
      <w:tr w:rsidR="00921892" w:rsidRPr="00F375FA" w14:paraId="4C70AB6D" w14:textId="77777777" w:rsidTr="00F375FA">
        <w:trPr>
          <w:trHeight w:val="290"/>
          <w:jc w:val="center"/>
        </w:trPr>
        <w:tc>
          <w:tcPr>
            <w:tcW w:w="4215" w:type="dxa"/>
            <w:tcBorders>
              <w:top w:val="nil"/>
              <w:left w:val="single" w:sz="4" w:space="0" w:color="auto"/>
              <w:bottom w:val="single" w:sz="4" w:space="0" w:color="auto"/>
              <w:right w:val="single" w:sz="4" w:space="0" w:color="auto"/>
            </w:tcBorders>
            <w:shd w:val="clear" w:color="auto" w:fill="auto"/>
            <w:noWrap/>
            <w:vAlign w:val="center"/>
            <w:hideMark/>
          </w:tcPr>
          <w:p w14:paraId="451B2DB5" w14:textId="77777777" w:rsidR="00921892" w:rsidRPr="00F375FA" w:rsidRDefault="00921892" w:rsidP="00985591">
            <w:pPr>
              <w:spacing w:line="276" w:lineRule="auto"/>
              <w:rPr>
                <w:rFonts w:ascii="Book Antiqua" w:hAnsi="Book Antiqua" w:cs="Calibri"/>
                <w:sz w:val="16"/>
                <w:szCs w:val="16"/>
                <w:lang w:eastAsia="es-CR"/>
              </w:rPr>
            </w:pPr>
            <w:r w:rsidRPr="00F375FA">
              <w:rPr>
                <w:rFonts w:ascii="Book Antiqua" w:hAnsi="Book Antiqua" w:cs="Calibri"/>
                <w:sz w:val="16"/>
                <w:szCs w:val="16"/>
                <w:lang w:eastAsia="es-CR"/>
              </w:rPr>
              <w:t>Juzgado Ejecución de La Pena de Liberia</w:t>
            </w:r>
          </w:p>
        </w:tc>
        <w:tc>
          <w:tcPr>
            <w:tcW w:w="2500" w:type="dxa"/>
            <w:tcBorders>
              <w:top w:val="nil"/>
              <w:left w:val="single" w:sz="4" w:space="0" w:color="808080"/>
              <w:bottom w:val="single" w:sz="4" w:space="0" w:color="808080"/>
              <w:right w:val="single" w:sz="4" w:space="0" w:color="808080"/>
            </w:tcBorders>
            <w:shd w:val="clear" w:color="auto" w:fill="auto"/>
            <w:noWrap/>
            <w:vAlign w:val="center"/>
            <w:hideMark/>
          </w:tcPr>
          <w:p w14:paraId="3EB54DA6" w14:textId="77777777" w:rsidR="00921892" w:rsidRPr="00F375FA" w:rsidRDefault="00921892" w:rsidP="00985591">
            <w:pPr>
              <w:spacing w:line="276" w:lineRule="auto"/>
              <w:jc w:val="center"/>
              <w:rPr>
                <w:rFonts w:ascii="Book Antiqua" w:hAnsi="Book Antiqua" w:cs="Calibri"/>
                <w:color w:val="000000"/>
                <w:sz w:val="16"/>
                <w:szCs w:val="16"/>
                <w:lang w:eastAsia="es-CR"/>
              </w:rPr>
            </w:pPr>
            <w:r w:rsidRPr="00F375FA">
              <w:rPr>
                <w:rFonts w:ascii="Book Antiqua" w:hAnsi="Book Antiqua" w:cs="Calibri"/>
                <w:color w:val="000000"/>
                <w:sz w:val="16"/>
                <w:szCs w:val="16"/>
                <w:lang w:eastAsia="es-CR"/>
              </w:rPr>
              <w:t>87%</w:t>
            </w:r>
          </w:p>
        </w:tc>
      </w:tr>
      <w:tr w:rsidR="00921892" w:rsidRPr="00F375FA" w14:paraId="70205E6F" w14:textId="77777777" w:rsidTr="00F375FA">
        <w:trPr>
          <w:trHeight w:val="290"/>
          <w:jc w:val="center"/>
        </w:trPr>
        <w:tc>
          <w:tcPr>
            <w:tcW w:w="4215"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96D5170" w14:textId="77777777" w:rsidR="00921892" w:rsidRPr="00F375FA" w:rsidRDefault="00921892" w:rsidP="00985591">
            <w:pPr>
              <w:spacing w:line="276" w:lineRule="auto"/>
              <w:rPr>
                <w:rFonts w:ascii="Book Antiqua" w:hAnsi="Book Antiqua" w:cs="Calibri"/>
                <w:b/>
                <w:bCs/>
                <w:color w:val="000000"/>
                <w:sz w:val="16"/>
                <w:szCs w:val="16"/>
                <w:lang w:eastAsia="es-CR"/>
              </w:rPr>
            </w:pPr>
            <w:r w:rsidRPr="00F375FA">
              <w:rPr>
                <w:rFonts w:ascii="Book Antiqua" w:hAnsi="Book Antiqua" w:cs="Calibri"/>
                <w:b/>
                <w:bCs/>
                <w:color w:val="000000"/>
                <w:sz w:val="16"/>
                <w:szCs w:val="16"/>
                <w:lang w:eastAsia="es-CR"/>
              </w:rPr>
              <w:t>Promedio Global</w:t>
            </w:r>
          </w:p>
        </w:tc>
        <w:tc>
          <w:tcPr>
            <w:tcW w:w="2500" w:type="dxa"/>
            <w:tcBorders>
              <w:top w:val="nil"/>
              <w:left w:val="nil"/>
              <w:bottom w:val="single" w:sz="4" w:space="0" w:color="808080"/>
              <w:right w:val="single" w:sz="4" w:space="0" w:color="808080"/>
            </w:tcBorders>
            <w:shd w:val="clear" w:color="auto" w:fill="auto"/>
            <w:noWrap/>
            <w:vAlign w:val="center"/>
            <w:hideMark/>
          </w:tcPr>
          <w:p w14:paraId="11D9EB30" w14:textId="77777777" w:rsidR="00921892" w:rsidRPr="00F375FA" w:rsidRDefault="00921892" w:rsidP="00985591">
            <w:pPr>
              <w:spacing w:line="276" w:lineRule="auto"/>
              <w:jc w:val="center"/>
              <w:rPr>
                <w:rFonts w:ascii="Book Antiqua" w:hAnsi="Book Antiqua" w:cs="Calibri"/>
                <w:b/>
                <w:bCs/>
                <w:color w:val="000000"/>
                <w:sz w:val="16"/>
                <w:szCs w:val="16"/>
                <w:lang w:eastAsia="es-CR"/>
              </w:rPr>
            </w:pPr>
            <w:r w:rsidRPr="00F375FA">
              <w:rPr>
                <w:rFonts w:ascii="Book Antiqua" w:hAnsi="Book Antiqua" w:cs="Calibri"/>
                <w:b/>
                <w:bCs/>
                <w:color w:val="000000"/>
                <w:sz w:val="16"/>
                <w:szCs w:val="16"/>
                <w:lang w:eastAsia="es-CR"/>
              </w:rPr>
              <w:t>157%</w:t>
            </w:r>
          </w:p>
        </w:tc>
      </w:tr>
    </w:tbl>
    <w:p w14:paraId="7B27B83D" w14:textId="7C820A23" w:rsidR="00F970F2" w:rsidRDefault="00921892" w:rsidP="00B03152">
      <w:pPr>
        <w:spacing w:line="276" w:lineRule="auto"/>
        <w:jc w:val="center"/>
        <w:rPr>
          <w:rFonts w:ascii="Book Antiqua" w:hAnsi="Book Antiqua"/>
          <w:color w:val="000000" w:themeColor="text1"/>
          <w:sz w:val="20"/>
          <w:szCs w:val="20"/>
        </w:rPr>
      </w:pPr>
      <w:r w:rsidRPr="00677475">
        <w:rPr>
          <w:rFonts w:ascii="Book Antiqua" w:hAnsi="Book Antiqua"/>
          <w:b/>
          <w:bCs/>
          <w:color w:val="000000" w:themeColor="text1"/>
          <w:sz w:val="20"/>
          <w:szCs w:val="20"/>
        </w:rPr>
        <w:t xml:space="preserve">Fuente: </w:t>
      </w:r>
      <w:r w:rsidRPr="00677475">
        <w:rPr>
          <w:rFonts w:ascii="Book Antiqua" w:hAnsi="Book Antiqua"/>
          <w:color w:val="000000" w:themeColor="text1"/>
          <w:sz w:val="20"/>
          <w:szCs w:val="20"/>
        </w:rPr>
        <w:t>Matriz de indicadores de Gestión</w:t>
      </w:r>
    </w:p>
    <w:p w14:paraId="23CBDB3A" w14:textId="5EA5F2F2" w:rsidR="00FA33D3" w:rsidRDefault="00FA33D3" w:rsidP="00B03152">
      <w:pPr>
        <w:spacing w:line="276" w:lineRule="auto"/>
        <w:jc w:val="center"/>
        <w:rPr>
          <w:rFonts w:ascii="Book Antiqua" w:hAnsi="Book Antiqua"/>
          <w:color w:val="000000" w:themeColor="text1"/>
          <w:sz w:val="20"/>
          <w:szCs w:val="20"/>
        </w:rPr>
      </w:pPr>
    </w:p>
    <w:p w14:paraId="1F661491" w14:textId="77777777" w:rsidR="00FA33D3" w:rsidRPr="00B03152" w:rsidRDefault="00FA33D3" w:rsidP="00B03152">
      <w:pPr>
        <w:spacing w:line="276" w:lineRule="auto"/>
        <w:jc w:val="center"/>
        <w:rPr>
          <w:rFonts w:ascii="Book Antiqua" w:hAnsi="Book Antiqua"/>
          <w:b/>
          <w:bCs/>
          <w:color w:val="000000" w:themeColor="text1"/>
          <w:sz w:val="20"/>
          <w:szCs w:val="20"/>
        </w:rPr>
      </w:pPr>
    </w:p>
    <w:p w14:paraId="7B3A27C2" w14:textId="7A07D5E4" w:rsidR="00F970F2" w:rsidRPr="00F970F2" w:rsidRDefault="101EB806" w:rsidP="57A79FF7">
      <w:pPr>
        <w:spacing w:after="160" w:line="276" w:lineRule="auto"/>
        <w:contextualSpacing/>
        <w:outlineLvl w:val="1"/>
        <w:rPr>
          <w:b/>
          <w:color w:val="000000" w:themeColor="text1"/>
        </w:rPr>
      </w:pPr>
      <w:r w:rsidRPr="57A79FF7">
        <w:rPr>
          <w:rFonts w:ascii="Book Antiqua" w:hAnsi="Book Antiqua"/>
          <w:b/>
          <w:bCs/>
          <w:color w:val="000000" w:themeColor="text1"/>
        </w:rPr>
        <w:t xml:space="preserve">4.2.5 </w:t>
      </w:r>
      <w:r w:rsidR="00F970F2" w:rsidRPr="00F970F2">
        <w:rPr>
          <w:rFonts w:ascii="Book Antiqua" w:hAnsi="Book Antiqua"/>
          <w:b/>
          <w:color w:val="000000" w:themeColor="text1"/>
        </w:rPr>
        <w:t>Tribunal de Apelación de la Sentencia Penal</w:t>
      </w:r>
    </w:p>
    <w:p w14:paraId="0114489F" w14:textId="7FB556AD" w:rsidR="00F970F2" w:rsidRPr="00F970F2" w:rsidRDefault="003D253A" w:rsidP="00985591">
      <w:pPr>
        <w:spacing w:line="276" w:lineRule="auto"/>
        <w:jc w:val="both"/>
        <w:rPr>
          <w:rFonts w:ascii="Book Antiqua" w:hAnsi="Book Antiqua"/>
          <w:color w:val="000000" w:themeColor="text1"/>
          <w:highlight w:val="yellow"/>
        </w:rPr>
      </w:pPr>
      <w:r w:rsidRPr="003D253A">
        <w:rPr>
          <w:rFonts w:ascii="Book Antiqua" w:hAnsi="Book Antiqua"/>
          <w:color w:val="000000"/>
        </w:rPr>
        <w:t>En sesión de Consejo Superior en sesión 100-20, celebrada el 20 de octubre del 2020, artículo XXXIX, aprobó el informe técnico 1351-PLA-OI-2020, relacionado con la revisión de las cuotas establecidas a los Tribunales de Apelación de Sentencia Penal, en el cual se estableció que el cálculo de cumplimiento mensual de la cuota de asuntos terminados por plaza de Jueza o Juez, sería con los datos históricos de cada despacho, por lo que a continuación se detalla la cuota esperada de asuntos terminados por Tribunal:</w:t>
      </w:r>
    </w:p>
    <w:p w14:paraId="13B1EE51" w14:textId="2C10555F" w:rsidR="00706063" w:rsidRPr="00F970F2" w:rsidRDefault="00706063" w:rsidP="00985591">
      <w:pPr>
        <w:spacing w:line="276" w:lineRule="auto"/>
        <w:jc w:val="both"/>
        <w:rPr>
          <w:rFonts w:ascii="Book Antiqua" w:hAnsi="Book Antiqua"/>
          <w:b/>
          <w:color w:val="000000" w:themeColor="text1"/>
          <w:highlight w:val="yellow"/>
        </w:rPr>
      </w:pPr>
      <w:r w:rsidRPr="00982EF3">
        <w:rPr>
          <w:noProof/>
        </w:rPr>
        <w:drawing>
          <wp:anchor distT="0" distB="0" distL="114300" distR="114300" simplePos="0" relativeHeight="251658240" behindDoc="1" locked="0" layoutInCell="1" allowOverlap="1" wp14:anchorId="09A7DCFB" wp14:editId="07D536E5">
            <wp:simplePos x="0" y="0"/>
            <wp:positionH relativeFrom="margin">
              <wp:posOffset>0</wp:posOffset>
            </wp:positionH>
            <wp:positionV relativeFrom="paragraph">
              <wp:posOffset>179705</wp:posOffset>
            </wp:positionV>
            <wp:extent cx="5744210" cy="667385"/>
            <wp:effectExtent l="0" t="0" r="8890" b="0"/>
            <wp:wrapTight wrapText="bothSides">
              <wp:wrapPolygon edited="0">
                <wp:start x="0" y="0"/>
                <wp:lineTo x="0" y="20963"/>
                <wp:lineTo x="19270" y="20963"/>
                <wp:lineTo x="19914" y="19730"/>
                <wp:lineTo x="21562" y="12331"/>
                <wp:lineTo x="21562"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4210" cy="667385"/>
                    </a:xfrm>
                    <a:prstGeom prst="rect">
                      <a:avLst/>
                    </a:prstGeom>
                    <a:noFill/>
                    <a:ln>
                      <a:noFill/>
                    </a:ln>
                  </pic:spPr>
                </pic:pic>
              </a:graphicData>
            </a:graphic>
            <wp14:sizeRelH relativeFrom="margin">
              <wp14:pctWidth>0</wp14:pctWidth>
            </wp14:sizeRelH>
          </wp:anchor>
        </w:drawing>
      </w:r>
    </w:p>
    <w:p w14:paraId="136D19AC" w14:textId="3E9560B6" w:rsidR="00706063" w:rsidRDefault="00706063" w:rsidP="00985591">
      <w:pPr>
        <w:shd w:val="clear" w:color="auto" w:fill="FFFFFF"/>
        <w:spacing w:line="276" w:lineRule="auto"/>
        <w:jc w:val="both"/>
        <w:rPr>
          <w:rFonts w:ascii="Book Antiqua" w:hAnsi="Book Antiqua"/>
        </w:rPr>
      </w:pPr>
      <w:r>
        <w:rPr>
          <w:rFonts w:ascii="Book Antiqua" w:hAnsi="Book Antiqua"/>
        </w:rPr>
        <w:t>A partir de las cuotas indicadas en el cuadro anterior, a continuación, se detalla el porcentaje de cumplimiento de estos despachos durante el mes de mayo 2021:</w:t>
      </w:r>
    </w:p>
    <w:p w14:paraId="1BDE2958" w14:textId="394DA5AC" w:rsidR="00F970F2" w:rsidRDefault="00F970F2" w:rsidP="00985591">
      <w:pPr>
        <w:spacing w:line="276" w:lineRule="auto"/>
        <w:rPr>
          <w:rFonts w:ascii="Book Antiqua" w:hAnsi="Book Antiqua"/>
          <w:b/>
          <w:color w:val="000000" w:themeColor="text1"/>
        </w:rPr>
      </w:pPr>
    </w:p>
    <w:p w14:paraId="34E4E392" w14:textId="682E2413" w:rsidR="00F970F2" w:rsidRPr="00B5156B" w:rsidRDefault="00F970F2" w:rsidP="00985591">
      <w:pPr>
        <w:spacing w:line="276" w:lineRule="auto"/>
        <w:jc w:val="center"/>
        <w:rPr>
          <w:rFonts w:ascii="Book Antiqua" w:hAnsi="Book Antiqua"/>
          <w:b/>
          <w:color w:val="000000" w:themeColor="text1"/>
        </w:rPr>
      </w:pPr>
      <w:r w:rsidRPr="00B5156B">
        <w:rPr>
          <w:rFonts w:ascii="Book Antiqua" w:hAnsi="Book Antiqua"/>
          <w:b/>
          <w:color w:val="000000" w:themeColor="text1"/>
        </w:rPr>
        <w:t>Cuadro 3</w:t>
      </w:r>
      <w:r w:rsidR="00B03152">
        <w:rPr>
          <w:rFonts w:ascii="Book Antiqua" w:hAnsi="Book Antiqua"/>
          <w:b/>
          <w:color w:val="000000" w:themeColor="text1"/>
        </w:rPr>
        <w:t>7</w:t>
      </w:r>
    </w:p>
    <w:p w14:paraId="4BFB2045" w14:textId="77777777" w:rsidR="00F970F2" w:rsidRPr="00B5156B" w:rsidRDefault="00F970F2" w:rsidP="00985591">
      <w:pPr>
        <w:spacing w:line="276" w:lineRule="auto"/>
        <w:jc w:val="center"/>
        <w:rPr>
          <w:rFonts w:ascii="Book Antiqua" w:hAnsi="Book Antiqua"/>
          <w:bCs/>
          <w:color w:val="000000" w:themeColor="text1"/>
        </w:rPr>
      </w:pPr>
      <w:r w:rsidRPr="00B5156B">
        <w:rPr>
          <w:rFonts w:ascii="Book Antiqua" w:hAnsi="Book Antiqua"/>
          <w:bCs/>
          <w:color w:val="000000" w:themeColor="text1"/>
        </w:rPr>
        <w:t xml:space="preserve">Cumplimiento del parámetro de producción </w:t>
      </w:r>
    </w:p>
    <w:p w14:paraId="34D11061" w14:textId="4D2ACDDC" w:rsidR="005F4AF4" w:rsidRPr="00346560" w:rsidRDefault="00F970F2" w:rsidP="00B03152">
      <w:pPr>
        <w:spacing w:line="276" w:lineRule="auto"/>
        <w:jc w:val="center"/>
        <w:rPr>
          <w:rFonts w:ascii="Book Antiqua" w:hAnsi="Book Antiqua"/>
          <w:bCs/>
          <w:color w:val="000000" w:themeColor="text1"/>
        </w:rPr>
      </w:pPr>
      <w:r w:rsidRPr="00B5156B">
        <w:rPr>
          <w:rFonts w:ascii="Book Antiqua" w:hAnsi="Book Antiqua"/>
          <w:bCs/>
          <w:color w:val="000000" w:themeColor="text1"/>
        </w:rPr>
        <w:t>teórico de Tribunales de Apelación durante mayo de 2021</w:t>
      </w:r>
    </w:p>
    <w:tbl>
      <w:tblPr>
        <w:tblW w:w="7276" w:type="dxa"/>
        <w:jc w:val="center"/>
        <w:tblCellMar>
          <w:left w:w="70" w:type="dxa"/>
          <w:right w:w="70" w:type="dxa"/>
        </w:tblCellMar>
        <w:tblLook w:val="04A0" w:firstRow="1" w:lastRow="0" w:firstColumn="1" w:lastColumn="0" w:noHBand="0" w:noVBand="1"/>
      </w:tblPr>
      <w:tblGrid>
        <w:gridCol w:w="5396"/>
        <w:gridCol w:w="1880"/>
      </w:tblGrid>
      <w:tr w:rsidR="003557F8" w:rsidRPr="009F0819" w14:paraId="2A953F5B" w14:textId="77777777" w:rsidTr="009F0819">
        <w:trPr>
          <w:trHeight w:val="930"/>
          <w:jc w:val="center"/>
        </w:trPr>
        <w:tc>
          <w:tcPr>
            <w:tcW w:w="5396" w:type="dxa"/>
            <w:tcBorders>
              <w:top w:val="single" w:sz="4" w:space="0" w:color="808080"/>
              <w:left w:val="single" w:sz="4" w:space="0" w:color="808080"/>
              <w:bottom w:val="single" w:sz="4" w:space="0" w:color="808080"/>
              <w:right w:val="single" w:sz="4" w:space="0" w:color="808080"/>
            </w:tcBorders>
            <w:shd w:val="clear" w:color="000000" w:fill="305496"/>
            <w:noWrap/>
            <w:vAlign w:val="center"/>
            <w:hideMark/>
          </w:tcPr>
          <w:p w14:paraId="139C8698" w14:textId="77777777" w:rsidR="003557F8" w:rsidRPr="009F0819" w:rsidRDefault="003557F8" w:rsidP="00985591">
            <w:pPr>
              <w:spacing w:line="276" w:lineRule="auto"/>
              <w:jc w:val="center"/>
              <w:rPr>
                <w:rFonts w:ascii="Book Antiqua" w:hAnsi="Book Antiqua" w:cs="Calibri"/>
                <w:b/>
                <w:bCs/>
                <w:color w:val="FFFFFF"/>
                <w:sz w:val="16"/>
                <w:szCs w:val="16"/>
                <w:lang w:eastAsia="es-CR"/>
              </w:rPr>
            </w:pPr>
            <w:r w:rsidRPr="009F0819">
              <w:rPr>
                <w:rFonts w:ascii="Book Antiqua" w:hAnsi="Book Antiqua" w:cs="Calibri"/>
                <w:b/>
                <w:bCs/>
                <w:color w:val="FFFFFF"/>
                <w:sz w:val="16"/>
                <w:szCs w:val="16"/>
                <w:lang w:eastAsia="es-CR"/>
              </w:rPr>
              <w:t>Oficina</w:t>
            </w:r>
          </w:p>
        </w:tc>
        <w:tc>
          <w:tcPr>
            <w:tcW w:w="1880" w:type="dxa"/>
            <w:tcBorders>
              <w:top w:val="single" w:sz="4" w:space="0" w:color="808080"/>
              <w:left w:val="nil"/>
              <w:bottom w:val="single" w:sz="4" w:space="0" w:color="808080"/>
              <w:right w:val="single" w:sz="4" w:space="0" w:color="808080"/>
            </w:tcBorders>
            <w:shd w:val="clear" w:color="000000" w:fill="305496"/>
            <w:vAlign w:val="center"/>
            <w:hideMark/>
          </w:tcPr>
          <w:p w14:paraId="76E42CBD" w14:textId="77777777" w:rsidR="003557F8" w:rsidRPr="009F0819" w:rsidRDefault="003557F8" w:rsidP="00985591">
            <w:pPr>
              <w:spacing w:line="276" w:lineRule="auto"/>
              <w:jc w:val="center"/>
              <w:rPr>
                <w:rFonts w:ascii="Book Antiqua" w:hAnsi="Book Antiqua" w:cs="Calibri"/>
                <w:b/>
                <w:bCs/>
                <w:color w:val="FFFFFF"/>
                <w:sz w:val="16"/>
                <w:szCs w:val="16"/>
                <w:lang w:eastAsia="es-CR"/>
              </w:rPr>
            </w:pPr>
            <w:r w:rsidRPr="009F0819">
              <w:rPr>
                <w:rFonts w:ascii="Book Antiqua" w:hAnsi="Book Antiqua" w:cs="Calibri"/>
                <w:b/>
                <w:bCs/>
                <w:color w:val="FFFFFF"/>
                <w:sz w:val="16"/>
                <w:szCs w:val="16"/>
                <w:lang w:eastAsia="es-CR"/>
              </w:rPr>
              <w:t>Porcentaje cumplimiento cuota teórica</w:t>
            </w:r>
          </w:p>
        </w:tc>
      </w:tr>
      <w:tr w:rsidR="003557F8" w:rsidRPr="009F0819" w14:paraId="022693F3" w14:textId="77777777" w:rsidTr="009F0819">
        <w:trPr>
          <w:trHeight w:val="310"/>
          <w:jc w:val="center"/>
        </w:trPr>
        <w:tc>
          <w:tcPr>
            <w:tcW w:w="5396" w:type="dxa"/>
            <w:tcBorders>
              <w:top w:val="nil"/>
              <w:left w:val="single" w:sz="4" w:space="0" w:color="808080"/>
              <w:bottom w:val="single" w:sz="4" w:space="0" w:color="808080"/>
              <w:right w:val="single" w:sz="4" w:space="0" w:color="808080"/>
            </w:tcBorders>
            <w:shd w:val="clear" w:color="auto" w:fill="auto"/>
            <w:noWrap/>
            <w:vAlign w:val="center"/>
            <w:hideMark/>
          </w:tcPr>
          <w:p w14:paraId="3AAC40BA" w14:textId="77777777" w:rsidR="003557F8" w:rsidRPr="009F0819" w:rsidRDefault="003557F8" w:rsidP="00985591">
            <w:pPr>
              <w:spacing w:line="276" w:lineRule="auto"/>
              <w:rPr>
                <w:rFonts w:ascii="Book Antiqua" w:hAnsi="Book Antiqua" w:cs="Calibri"/>
                <w:color w:val="000000"/>
                <w:sz w:val="16"/>
                <w:szCs w:val="16"/>
                <w:lang w:eastAsia="es-CR"/>
              </w:rPr>
            </w:pPr>
            <w:r w:rsidRPr="009F0819">
              <w:rPr>
                <w:rFonts w:ascii="Book Antiqua" w:hAnsi="Book Antiqua" w:cs="Calibri"/>
                <w:color w:val="000000"/>
                <w:sz w:val="16"/>
                <w:szCs w:val="16"/>
                <w:lang w:eastAsia="es-CR"/>
              </w:rPr>
              <w:t>Tribunal de Apelación de Sentencia Penal de San Ramón</w:t>
            </w:r>
          </w:p>
        </w:tc>
        <w:tc>
          <w:tcPr>
            <w:tcW w:w="1880" w:type="dxa"/>
            <w:tcBorders>
              <w:top w:val="nil"/>
              <w:left w:val="nil"/>
              <w:bottom w:val="single" w:sz="4" w:space="0" w:color="808080"/>
              <w:right w:val="single" w:sz="4" w:space="0" w:color="808080"/>
            </w:tcBorders>
            <w:shd w:val="clear" w:color="auto" w:fill="auto"/>
            <w:noWrap/>
            <w:vAlign w:val="center"/>
            <w:hideMark/>
          </w:tcPr>
          <w:p w14:paraId="7D3C0206" w14:textId="77777777" w:rsidR="003557F8" w:rsidRPr="009F0819" w:rsidRDefault="003557F8" w:rsidP="00985591">
            <w:pPr>
              <w:spacing w:line="276" w:lineRule="auto"/>
              <w:jc w:val="center"/>
              <w:rPr>
                <w:rFonts w:ascii="Book Antiqua" w:hAnsi="Book Antiqua" w:cs="Calibri"/>
                <w:color w:val="000000"/>
                <w:sz w:val="16"/>
                <w:szCs w:val="16"/>
                <w:lang w:eastAsia="es-CR"/>
              </w:rPr>
            </w:pPr>
            <w:r w:rsidRPr="009F0819">
              <w:rPr>
                <w:rFonts w:ascii="Book Antiqua" w:hAnsi="Book Antiqua" w:cs="Calibri"/>
                <w:color w:val="000000"/>
                <w:sz w:val="16"/>
                <w:szCs w:val="16"/>
                <w:lang w:eastAsia="es-CR"/>
              </w:rPr>
              <w:t>103%</w:t>
            </w:r>
          </w:p>
        </w:tc>
      </w:tr>
      <w:tr w:rsidR="003557F8" w:rsidRPr="009F0819" w14:paraId="21CB6CC0" w14:textId="77777777" w:rsidTr="009F0819">
        <w:trPr>
          <w:trHeight w:val="310"/>
          <w:jc w:val="center"/>
        </w:trPr>
        <w:tc>
          <w:tcPr>
            <w:tcW w:w="5396" w:type="dxa"/>
            <w:tcBorders>
              <w:top w:val="nil"/>
              <w:left w:val="single" w:sz="4" w:space="0" w:color="808080"/>
              <w:bottom w:val="single" w:sz="4" w:space="0" w:color="808080"/>
              <w:right w:val="single" w:sz="4" w:space="0" w:color="808080"/>
            </w:tcBorders>
            <w:shd w:val="clear" w:color="auto" w:fill="auto"/>
            <w:noWrap/>
            <w:vAlign w:val="center"/>
            <w:hideMark/>
          </w:tcPr>
          <w:p w14:paraId="1D0676D2" w14:textId="77777777" w:rsidR="003557F8" w:rsidRPr="009F0819" w:rsidRDefault="003557F8" w:rsidP="00985591">
            <w:pPr>
              <w:spacing w:line="276" w:lineRule="auto"/>
              <w:rPr>
                <w:rFonts w:ascii="Book Antiqua" w:hAnsi="Book Antiqua" w:cs="Calibri"/>
                <w:color w:val="000000"/>
                <w:sz w:val="16"/>
                <w:szCs w:val="16"/>
                <w:lang w:eastAsia="es-CR"/>
              </w:rPr>
            </w:pPr>
            <w:r w:rsidRPr="009F0819">
              <w:rPr>
                <w:rFonts w:ascii="Book Antiqua" w:hAnsi="Book Antiqua" w:cs="Calibri"/>
                <w:color w:val="000000"/>
                <w:sz w:val="16"/>
                <w:szCs w:val="16"/>
                <w:lang w:eastAsia="es-CR"/>
              </w:rPr>
              <w:t>Tribunal de Apelación de Sentencia Penal de Goicochea</w:t>
            </w:r>
          </w:p>
        </w:tc>
        <w:tc>
          <w:tcPr>
            <w:tcW w:w="1880" w:type="dxa"/>
            <w:tcBorders>
              <w:top w:val="nil"/>
              <w:left w:val="nil"/>
              <w:bottom w:val="single" w:sz="4" w:space="0" w:color="808080"/>
              <w:right w:val="single" w:sz="4" w:space="0" w:color="808080"/>
            </w:tcBorders>
            <w:shd w:val="clear" w:color="auto" w:fill="auto"/>
            <w:noWrap/>
            <w:vAlign w:val="center"/>
            <w:hideMark/>
          </w:tcPr>
          <w:p w14:paraId="1C0909D8" w14:textId="77777777" w:rsidR="003557F8" w:rsidRPr="009F0819" w:rsidRDefault="003557F8" w:rsidP="00985591">
            <w:pPr>
              <w:spacing w:line="276" w:lineRule="auto"/>
              <w:jc w:val="center"/>
              <w:rPr>
                <w:rFonts w:ascii="Book Antiqua" w:hAnsi="Book Antiqua" w:cs="Calibri"/>
                <w:color w:val="000000"/>
                <w:sz w:val="16"/>
                <w:szCs w:val="16"/>
                <w:lang w:eastAsia="es-CR"/>
              </w:rPr>
            </w:pPr>
            <w:r w:rsidRPr="009F0819">
              <w:rPr>
                <w:rFonts w:ascii="Book Antiqua" w:hAnsi="Book Antiqua" w:cs="Calibri"/>
                <w:color w:val="000000"/>
                <w:sz w:val="16"/>
                <w:szCs w:val="16"/>
                <w:lang w:eastAsia="es-CR"/>
              </w:rPr>
              <w:t>97%</w:t>
            </w:r>
          </w:p>
        </w:tc>
      </w:tr>
      <w:tr w:rsidR="003557F8" w:rsidRPr="009F0819" w14:paraId="1C482956" w14:textId="77777777" w:rsidTr="009F0819">
        <w:trPr>
          <w:trHeight w:val="310"/>
          <w:jc w:val="center"/>
        </w:trPr>
        <w:tc>
          <w:tcPr>
            <w:tcW w:w="5396" w:type="dxa"/>
            <w:tcBorders>
              <w:top w:val="nil"/>
              <w:left w:val="single" w:sz="4" w:space="0" w:color="808080"/>
              <w:bottom w:val="single" w:sz="4" w:space="0" w:color="808080"/>
              <w:right w:val="single" w:sz="4" w:space="0" w:color="808080"/>
            </w:tcBorders>
            <w:shd w:val="clear" w:color="auto" w:fill="auto"/>
            <w:noWrap/>
            <w:vAlign w:val="center"/>
            <w:hideMark/>
          </w:tcPr>
          <w:p w14:paraId="1417CDF5" w14:textId="77777777" w:rsidR="003557F8" w:rsidRPr="009F0819" w:rsidRDefault="003557F8" w:rsidP="00985591">
            <w:pPr>
              <w:spacing w:line="276" w:lineRule="auto"/>
              <w:rPr>
                <w:rFonts w:ascii="Book Antiqua" w:hAnsi="Book Antiqua" w:cs="Calibri"/>
                <w:color w:val="000000"/>
                <w:sz w:val="16"/>
                <w:szCs w:val="16"/>
                <w:lang w:eastAsia="es-CR"/>
              </w:rPr>
            </w:pPr>
            <w:r w:rsidRPr="009F0819">
              <w:rPr>
                <w:rFonts w:ascii="Book Antiqua" w:hAnsi="Book Antiqua" w:cs="Calibri"/>
                <w:color w:val="000000"/>
                <w:sz w:val="16"/>
                <w:szCs w:val="16"/>
                <w:lang w:eastAsia="es-CR"/>
              </w:rPr>
              <w:t>Tribunal de Apelación de Sentencia Penal de Cartago</w:t>
            </w:r>
          </w:p>
        </w:tc>
        <w:tc>
          <w:tcPr>
            <w:tcW w:w="1880" w:type="dxa"/>
            <w:tcBorders>
              <w:top w:val="nil"/>
              <w:left w:val="nil"/>
              <w:bottom w:val="single" w:sz="4" w:space="0" w:color="808080"/>
              <w:right w:val="single" w:sz="4" w:space="0" w:color="808080"/>
            </w:tcBorders>
            <w:shd w:val="clear" w:color="auto" w:fill="auto"/>
            <w:noWrap/>
            <w:vAlign w:val="center"/>
            <w:hideMark/>
          </w:tcPr>
          <w:p w14:paraId="7044D910" w14:textId="77777777" w:rsidR="003557F8" w:rsidRPr="009F0819" w:rsidRDefault="003557F8" w:rsidP="00985591">
            <w:pPr>
              <w:spacing w:line="276" w:lineRule="auto"/>
              <w:jc w:val="center"/>
              <w:rPr>
                <w:rFonts w:ascii="Book Antiqua" w:hAnsi="Book Antiqua" w:cs="Calibri"/>
                <w:color w:val="000000"/>
                <w:sz w:val="16"/>
                <w:szCs w:val="16"/>
                <w:lang w:eastAsia="es-CR"/>
              </w:rPr>
            </w:pPr>
            <w:r w:rsidRPr="009F0819">
              <w:rPr>
                <w:rFonts w:ascii="Book Antiqua" w:hAnsi="Book Antiqua" w:cs="Calibri"/>
                <w:color w:val="000000"/>
                <w:sz w:val="16"/>
                <w:szCs w:val="16"/>
                <w:lang w:eastAsia="es-CR"/>
              </w:rPr>
              <w:t>97%</w:t>
            </w:r>
          </w:p>
        </w:tc>
      </w:tr>
      <w:tr w:rsidR="003557F8" w:rsidRPr="009F0819" w14:paraId="09E9FCB8" w14:textId="77777777" w:rsidTr="009F0819">
        <w:trPr>
          <w:trHeight w:val="310"/>
          <w:jc w:val="center"/>
        </w:trPr>
        <w:tc>
          <w:tcPr>
            <w:tcW w:w="5396" w:type="dxa"/>
            <w:tcBorders>
              <w:top w:val="nil"/>
              <w:left w:val="single" w:sz="4" w:space="0" w:color="808080"/>
              <w:bottom w:val="single" w:sz="4" w:space="0" w:color="808080"/>
              <w:right w:val="single" w:sz="4" w:space="0" w:color="808080"/>
            </w:tcBorders>
            <w:shd w:val="clear" w:color="auto" w:fill="auto"/>
            <w:noWrap/>
            <w:vAlign w:val="center"/>
            <w:hideMark/>
          </w:tcPr>
          <w:p w14:paraId="176678B9" w14:textId="77777777" w:rsidR="003557F8" w:rsidRPr="009F0819" w:rsidRDefault="003557F8" w:rsidP="00985591">
            <w:pPr>
              <w:spacing w:line="276" w:lineRule="auto"/>
              <w:rPr>
                <w:rFonts w:ascii="Book Antiqua" w:hAnsi="Book Antiqua" w:cs="Calibri"/>
                <w:color w:val="000000"/>
                <w:sz w:val="16"/>
                <w:szCs w:val="16"/>
                <w:lang w:eastAsia="es-CR"/>
              </w:rPr>
            </w:pPr>
            <w:r w:rsidRPr="009F0819">
              <w:rPr>
                <w:rFonts w:ascii="Book Antiqua" w:hAnsi="Book Antiqua" w:cs="Calibri"/>
                <w:color w:val="000000"/>
                <w:sz w:val="16"/>
                <w:szCs w:val="16"/>
                <w:lang w:eastAsia="es-CR"/>
              </w:rPr>
              <w:t>Tribunal de Apelación de Sentencia Penal de Santa Cruz</w:t>
            </w:r>
          </w:p>
        </w:tc>
        <w:tc>
          <w:tcPr>
            <w:tcW w:w="1880" w:type="dxa"/>
            <w:tcBorders>
              <w:top w:val="nil"/>
              <w:left w:val="nil"/>
              <w:bottom w:val="single" w:sz="4" w:space="0" w:color="808080"/>
              <w:right w:val="single" w:sz="4" w:space="0" w:color="808080"/>
            </w:tcBorders>
            <w:shd w:val="clear" w:color="auto" w:fill="auto"/>
            <w:noWrap/>
            <w:vAlign w:val="center"/>
            <w:hideMark/>
          </w:tcPr>
          <w:p w14:paraId="513218B0" w14:textId="77777777" w:rsidR="003557F8" w:rsidRPr="009F0819" w:rsidRDefault="003557F8" w:rsidP="00985591">
            <w:pPr>
              <w:spacing w:line="276" w:lineRule="auto"/>
              <w:jc w:val="center"/>
              <w:rPr>
                <w:rFonts w:ascii="Book Antiqua" w:hAnsi="Book Antiqua" w:cs="Calibri"/>
                <w:color w:val="000000"/>
                <w:sz w:val="16"/>
                <w:szCs w:val="16"/>
                <w:lang w:eastAsia="es-CR"/>
              </w:rPr>
            </w:pPr>
            <w:r w:rsidRPr="009F0819">
              <w:rPr>
                <w:rFonts w:ascii="Book Antiqua" w:hAnsi="Book Antiqua" w:cs="Calibri"/>
                <w:color w:val="000000"/>
                <w:sz w:val="16"/>
                <w:szCs w:val="16"/>
                <w:lang w:eastAsia="es-CR"/>
              </w:rPr>
              <w:t>82%</w:t>
            </w:r>
          </w:p>
        </w:tc>
      </w:tr>
      <w:tr w:rsidR="003557F8" w:rsidRPr="009F0819" w14:paraId="492D2A2A" w14:textId="77777777" w:rsidTr="009F0819">
        <w:trPr>
          <w:trHeight w:val="310"/>
          <w:jc w:val="center"/>
        </w:trPr>
        <w:tc>
          <w:tcPr>
            <w:tcW w:w="5396" w:type="dxa"/>
            <w:tcBorders>
              <w:top w:val="nil"/>
              <w:left w:val="single" w:sz="4" w:space="0" w:color="808080"/>
              <w:bottom w:val="single" w:sz="4" w:space="0" w:color="808080"/>
              <w:right w:val="single" w:sz="4" w:space="0" w:color="808080"/>
            </w:tcBorders>
            <w:shd w:val="clear" w:color="auto" w:fill="auto"/>
            <w:noWrap/>
            <w:vAlign w:val="center"/>
            <w:hideMark/>
          </w:tcPr>
          <w:p w14:paraId="7090DE15" w14:textId="77777777" w:rsidR="003557F8" w:rsidRPr="009F0819" w:rsidRDefault="003557F8" w:rsidP="00985591">
            <w:pPr>
              <w:spacing w:line="276" w:lineRule="auto"/>
              <w:rPr>
                <w:rFonts w:ascii="Book Antiqua" w:hAnsi="Book Antiqua" w:cs="Calibri"/>
                <w:b/>
                <w:bCs/>
                <w:color w:val="000000"/>
                <w:sz w:val="16"/>
                <w:szCs w:val="16"/>
                <w:lang w:eastAsia="es-CR"/>
              </w:rPr>
            </w:pPr>
            <w:r w:rsidRPr="009F0819">
              <w:rPr>
                <w:rFonts w:ascii="Book Antiqua" w:hAnsi="Book Antiqua" w:cs="Calibri"/>
                <w:b/>
                <w:bCs/>
                <w:color w:val="000000"/>
                <w:sz w:val="16"/>
                <w:szCs w:val="16"/>
                <w:lang w:eastAsia="es-CR"/>
              </w:rPr>
              <w:t>Promedio Global</w:t>
            </w:r>
          </w:p>
        </w:tc>
        <w:tc>
          <w:tcPr>
            <w:tcW w:w="1880" w:type="dxa"/>
            <w:tcBorders>
              <w:top w:val="nil"/>
              <w:left w:val="nil"/>
              <w:bottom w:val="single" w:sz="4" w:space="0" w:color="808080"/>
              <w:right w:val="single" w:sz="4" w:space="0" w:color="808080"/>
            </w:tcBorders>
            <w:shd w:val="clear" w:color="auto" w:fill="auto"/>
            <w:noWrap/>
            <w:vAlign w:val="center"/>
            <w:hideMark/>
          </w:tcPr>
          <w:p w14:paraId="00A4B129" w14:textId="77777777" w:rsidR="003557F8" w:rsidRPr="009F0819" w:rsidRDefault="003557F8" w:rsidP="00985591">
            <w:pPr>
              <w:spacing w:line="276" w:lineRule="auto"/>
              <w:jc w:val="center"/>
              <w:rPr>
                <w:rFonts w:ascii="Book Antiqua" w:hAnsi="Book Antiqua" w:cs="Calibri"/>
                <w:b/>
                <w:bCs/>
                <w:color w:val="000000"/>
                <w:sz w:val="16"/>
                <w:szCs w:val="16"/>
                <w:lang w:eastAsia="es-CR"/>
              </w:rPr>
            </w:pPr>
            <w:r w:rsidRPr="009F0819">
              <w:rPr>
                <w:rFonts w:ascii="Book Antiqua" w:hAnsi="Book Antiqua" w:cs="Calibri"/>
                <w:b/>
                <w:bCs/>
                <w:color w:val="000000"/>
                <w:sz w:val="16"/>
                <w:szCs w:val="16"/>
                <w:lang w:eastAsia="es-CR"/>
              </w:rPr>
              <w:t>95%</w:t>
            </w:r>
          </w:p>
        </w:tc>
      </w:tr>
    </w:tbl>
    <w:p w14:paraId="2DCF265D" w14:textId="77777777" w:rsidR="00FA33D3" w:rsidRDefault="00FA33D3" w:rsidP="00FA33D3">
      <w:pPr>
        <w:spacing w:line="276" w:lineRule="auto"/>
        <w:ind w:firstLine="708"/>
        <w:jc w:val="center"/>
        <w:rPr>
          <w:rFonts w:ascii="Book Antiqua" w:hAnsi="Book Antiqua"/>
          <w:b/>
          <w:bCs/>
          <w:color w:val="000000"/>
          <w:sz w:val="20"/>
          <w:szCs w:val="20"/>
        </w:rPr>
      </w:pPr>
    </w:p>
    <w:p w14:paraId="353FFA85" w14:textId="4D46BD0B" w:rsidR="00706063" w:rsidRDefault="00706063" w:rsidP="00FA33D3">
      <w:pPr>
        <w:spacing w:line="276" w:lineRule="auto"/>
        <w:ind w:firstLine="708"/>
        <w:jc w:val="center"/>
        <w:rPr>
          <w:rFonts w:ascii="Book Antiqua" w:hAnsi="Book Antiqua"/>
          <w:color w:val="000000" w:themeColor="text1"/>
          <w:sz w:val="20"/>
          <w:szCs w:val="20"/>
        </w:rPr>
      </w:pPr>
      <w:r w:rsidRPr="0013210E">
        <w:rPr>
          <w:rFonts w:ascii="Book Antiqua" w:hAnsi="Book Antiqua"/>
          <w:b/>
          <w:bCs/>
          <w:color w:val="000000"/>
          <w:sz w:val="20"/>
          <w:szCs w:val="20"/>
        </w:rPr>
        <w:t>Fuente:</w:t>
      </w:r>
      <w:r w:rsidRPr="00DE41EA">
        <w:rPr>
          <w:rFonts w:ascii="Book Antiqua" w:hAnsi="Book Antiqua"/>
          <w:color w:val="000000"/>
          <w:sz w:val="20"/>
          <w:szCs w:val="20"/>
        </w:rPr>
        <w:t xml:space="preserve"> </w:t>
      </w:r>
      <w:r w:rsidRPr="002754DF">
        <w:rPr>
          <w:rFonts w:ascii="Book Antiqua" w:hAnsi="Book Antiqua"/>
          <w:color w:val="000000" w:themeColor="text1"/>
          <w:sz w:val="20"/>
          <w:szCs w:val="20"/>
        </w:rPr>
        <w:t>Elaboración propia a partir de datos suministrados por despachos según circular 61-2020</w:t>
      </w:r>
    </w:p>
    <w:p w14:paraId="584EBFEF" w14:textId="0B15AB9E" w:rsidR="00F970F2" w:rsidRDefault="00F970F2" w:rsidP="00985591">
      <w:pPr>
        <w:spacing w:line="276" w:lineRule="auto"/>
        <w:jc w:val="both"/>
        <w:rPr>
          <w:rFonts w:ascii="Book Antiqua" w:hAnsi="Book Antiqua"/>
          <w:b/>
          <w:color w:val="000000" w:themeColor="text1"/>
        </w:rPr>
      </w:pPr>
    </w:p>
    <w:p w14:paraId="26ADDD20" w14:textId="3C23FB8B" w:rsidR="00B5156B" w:rsidRPr="0048228F" w:rsidRDefault="00B5156B" w:rsidP="00985591">
      <w:pPr>
        <w:spacing w:line="276" w:lineRule="auto"/>
        <w:ind w:right="-1"/>
        <w:jc w:val="both"/>
        <w:rPr>
          <w:rFonts w:ascii="Book Antiqua" w:hAnsi="Book Antiqua"/>
          <w:color w:val="000000"/>
        </w:rPr>
      </w:pPr>
      <w:r>
        <w:rPr>
          <w:rFonts w:ascii="Book Antiqua" w:hAnsi="Book Antiqua" w:cs="Arial"/>
        </w:rPr>
        <w:t xml:space="preserve">De manera general los Tribunales de Apelación de Sentencia alcanzaron un porcentaje de cumplimiento del 95%. </w:t>
      </w:r>
      <w:r w:rsidRPr="0048228F">
        <w:rPr>
          <w:rFonts w:ascii="Book Antiqua" w:hAnsi="Book Antiqua"/>
          <w:color w:val="000000"/>
        </w:rPr>
        <w:t>Importante señalar que</w:t>
      </w:r>
      <w:r>
        <w:rPr>
          <w:rFonts w:ascii="Book Antiqua" w:hAnsi="Book Antiqua"/>
          <w:color w:val="000000"/>
        </w:rPr>
        <w:t xml:space="preserve">, </w:t>
      </w:r>
      <w:r w:rsidRPr="0048228F">
        <w:rPr>
          <w:rFonts w:ascii="Book Antiqua" w:hAnsi="Book Antiqua"/>
          <w:color w:val="000000"/>
        </w:rPr>
        <w:t xml:space="preserve">únicamente el Tribunal de Apelación de la Sentencia Penal de Santa Cruz, </w:t>
      </w:r>
      <w:r w:rsidR="009F0819">
        <w:rPr>
          <w:rFonts w:ascii="Book Antiqua" w:hAnsi="Book Antiqua"/>
          <w:color w:val="000000"/>
        </w:rPr>
        <w:t>obtuvo</w:t>
      </w:r>
      <w:r w:rsidRPr="0048228F">
        <w:rPr>
          <w:rFonts w:ascii="Book Antiqua" w:hAnsi="Book Antiqua"/>
          <w:color w:val="000000"/>
        </w:rPr>
        <w:t xml:space="preserve"> un porcentaje menor del 90%.  Por otro lado, el Tribunal de Apelación de la Sentencia Penal de San Ramón, excede el parámetro en un 3%, ya que alcanzó un nivel de rendimiento del 103% para este lapso. </w:t>
      </w:r>
    </w:p>
    <w:p w14:paraId="5965850B" w14:textId="77777777" w:rsidR="00B5156B" w:rsidRDefault="00B5156B" w:rsidP="00985591">
      <w:pPr>
        <w:spacing w:line="276" w:lineRule="auto"/>
        <w:jc w:val="both"/>
        <w:rPr>
          <w:rFonts w:ascii="Book Antiqua" w:hAnsi="Book Antiqua"/>
          <w:b/>
          <w:color w:val="000000" w:themeColor="text1"/>
        </w:rPr>
      </w:pPr>
    </w:p>
    <w:p w14:paraId="2FFDD7E3" w14:textId="77777777" w:rsidR="00F970F2" w:rsidRPr="004F0E92" w:rsidRDefault="00F970F2" w:rsidP="00985591">
      <w:pPr>
        <w:spacing w:line="276" w:lineRule="auto"/>
        <w:jc w:val="both"/>
        <w:rPr>
          <w:rFonts w:ascii="Book Antiqua" w:hAnsi="Book Antiqua"/>
          <w:b/>
          <w:color w:val="000000" w:themeColor="text1"/>
        </w:rPr>
      </w:pPr>
    </w:p>
    <w:p w14:paraId="38EE1B5F" w14:textId="1A579AF9" w:rsidR="00776798" w:rsidRPr="00143762" w:rsidRDefault="2DDB719B" w:rsidP="57A79FF7">
      <w:pPr>
        <w:spacing w:after="160" w:line="276" w:lineRule="auto"/>
        <w:contextualSpacing/>
        <w:outlineLvl w:val="1"/>
        <w:rPr>
          <w:b/>
          <w:color w:val="000000" w:themeColor="text1"/>
        </w:rPr>
      </w:pPr>
      <w:r w:rsidRPr="57A79FF7">
        <w:rPr>
          <w:rFonts w:ascii="Book Antiqua" w:hAnsi="Book Antiqua"/>
          <w:b/>
          <w:bCs/>
          <w:color w:val="000000" w:themeColor="text1"/>
        </w:rPr>
        <w:t xml:space="preserve">4.2.6 </w:t>
      </w:r>
      <w:r w:rsidR="00776798" w:rsidRPr="00143762">
        <w:rPr>
          <w:rFonts w:ascii="Book Antiqua" w:hAnsi="Book Antiqua"/>
          <w:b/>
          <w:color w:val="000000" w:themeColor="text1"/>
        </w:rPr>
        <w:t>Sala Tercera</w:t>
      </w:r>
    </w:p>
    <w:p w14:paraId="192ED55B" w14:textId="74CDAE8A" w:rsidR="00776798" w:rsidRPr="00143762" w:rsidRDefault="005643D7" w:rsidP="00985591">
      <w:pPr>
        <w:spacing w:line="276" w:lineRule="auto"/>
        <w:jc w:val="both"/>
        <w:rPr>
          <w:rFonts w:ascii="Book Antiqua" w:hAnsi="Book Antiqua"/>
          <w:color w:val="000000" w:themeColor="text1"/>
        </w:rPr>
      </w:pPr>
      <w:r w:rsidRPr="00143762">
        <w:rPr>
          <w:rFonts w:ascii="Book Antiqua" w:hAnsi="Book Antiqua"/>
          <w:color w:val="000000" w:themeColor="text1"/>
        </w:rPr>
        <w:t>En el caso de la Sala Tercera el promedio de producción</w:t>
      </w:r>
      <w:r w:rsidR="00AA6C40" w:rsidRPr="00143762">
        <w:rPr>
          <w:rFonts w:ascii="Book Antiqua" w:hAnsi="Book Antiqua"/>
          <w:color w:val="000000" w:themeColor="text1"/>
        </w:rPr>
        <w:t xml:space="preserve"> </w:t>
      </w:r>
      <w:r w:rsidR="00F970F2" w:rsidRPr="00143762">
        <w:rPr>
          <w:rFonts w:ascii="Book Antiqua" w:hAnsi="Book Antiqua"/>
          <w:color w:val="000000" w:themeColor="text1"/>
        </w:rPr>
        <w:t>general es</w:t>
      </w:r>
      <w:r w:rsidRPr="00143762">
        <w:rPr>
          <w:rFonts w:ascii="Book Antiqua" w:hAnsi="Book Antiqua"/>
          <w:color w:val="000000" w:themeColor="text1"/>
        </w:rPr>
        <w:t xml:space="preserve"> de un </w:t>
      </w:r>
      <w:r w:rsidR="00143762" w:rsidRPr="00143762">
        <w:rPr>
          <w:rFonts w:ascii="Book Antiqua" w:hAnsi="Book Antiqua"/>
          <w:color w:val="000000" w:themeColor="text1"/>
        </w:rPr>
        <w:t>95</w:t>
      </w:r>
      <w:r w:rsidRPr="00143762">
        <w:rPr>
          <w:rFonts w:ascii="Book Antiqua" w:hAnsi="Book Antiqua"/>
          <w:color w:val="000000" w:themeColor="text1"/>
        </w:rPr>
        <w:t>%, lo que muestra un</w:t>
      </w:r>
      <w:r w:rsidR="00143762" w:rsidRPr="00143762">
        <w:rPr>
          <w:rFonts w:ascii="Book Antiqua" w:hAnsi="Book Antiqua"/>
          <w:color w:val="000000" w:themeColor="text1"/>
        </w:rPr>
        <w:t>a</w:t>
      </w:r>
      <w:r w:rsidRPr="00143762">
        <w:rPr>
          <w:rFonts w:ascii="Book Antiqua" w:hAnsi="Book Antiqua"/>
          <w:color w:val="000000" w:themeColor="text1"/>
        </w:rPr>
        <w:t xml:space="preserve"> </w:t>
      </w:r>
      <w:r w:rsidR="00143762" w:rsidRPr="00143762">
        <w:rPr>
          <w:rFonts w:ascii="Book Antiqua" w:hAnsi="Book Antiqua"/>
          <w:color w:val="000000" w:themeColor="text1"/>
        </w:rPr>
        <w:t>disminución</w:t>
      </w:r>
      <w:r w:rsidRPr="00143762">
        <w:rPr>
          <w:rFonts w:ascii="Book Antiqua" w:hAnsi="Book Antiqua"/>
          <w:color w:val="000000" w:themeColor="text1"/>
        </w:rPr>
        <w:t xml:space="preserve"> con respecto </w:t>
      </w:r>
      <w:r w:rsidR="00AA6C40" w:rsidRPr="00143762">
        <w:rPr>
          <w:rFonts w:ascii="Book Antiqua" w:hAnsi="Book Antiqua"/>
          <w:color w:val="000000" w:themeColor="text1"/>
        </w:rPr>
        <w:t xml:space="preserve">a </w:t>
      </w:r>
      <w:r w:rsidR="00143762" w:rsidRPr="00143762">
        <w:rPr>
          <w:rFonts w:ascii="Book Antiqua" w:hAnsi="Book Antiqua"/>
          <w:color w:val="000000" w:themeColor="text1"/>
        </w:rPr>
        <w:t>abril</w:t>
      </w:r>
      <w:r w:rsidR="00143762">
        <w:rPr>
          <w:rFonts w:ascii="Book Antiqua" w:hAnsi="Book Antiqua"/>
          <w:color w:val="000000" w:themeColor="text1"/>
        </w:rPr>
        <w:t xml:space="preserve"> 2021</w:t>
      </w:r>
      <w:r w:rsidR="00AA6C40" w:rsidRPr="00143762">
        <w:rPr>
          <w:rFonts w:ascii="Book Antiqua" w:hAnsi="Book Antiqua"/>
          <w:color w:val="000000" w:themeColor="text1"/>
        </w:rPr>
        <w:t xml:space="preserve"> e</w:t>
      </w:r>
      <w:r w:rsidR="00346560">
        <w:rPr>
          <w:rFonts w:ascii="Book Antiqua" w:hAnsi="Book Antiqua"/>
          <w:color w:val="000000" w:themeColor="text1"/>
        </w:rPr>
        <w:t>n</w:t>
      </w:r>
      <w:r w:rsidR="00AA6C40" w:rsidRPr="00143762">
        <w:rPr>
          <w:rFonts w:ascii="Book Antiqua" w:hAnsi="Book Antiqua"/>
          <w:color w:val="000000" w:themeColor="text1"/>
        </w:rPr>
        <w:t xml:space="preserve"> un </w:t>
      </w:r>
      <w:r w:rsidR="00143762" w:rsidRPr="00143762">
        <w:rPr>
          <w:rFonts w:ascii="Book Antiqua" w:hAnsi="Book Antiqua"/>
          <w:color w:val="000000" w:themeColor="text1"/>
        </w:rPr>
        <w:t>7</w:t>
      </w:r>
      <w:r w:rsidR="00AA6C40" w:rsidRPr="00143762">
        <w:rPr>
          <w:rFonts w:ascii="Book Antiqua" w:hAnsi="Book Antiqua"/>
          <w:color w:val="000000" w:themeColor="text1"/>
        </w:rPr>
        <w:t>%</w:t>
      </w:r>
      <w:r w:rsidRPr="00143762">
        <w:rPr>
          <w:rFonts w:ascii="Book Antiqua" w:hAnsi="Book Antiqua"/>
          <w:color w:val="000000" w:themeColor="text1"/>
        </w:rPr>
        <w:t>, en el cual se había alcanzado un porcentaje de 1</w:t>
      </w:r>
      <w:r w:rsidR="00143762" w:rsidRPr="00143762">
        <w:rPr>
          <w:rFonts w:ascii="Book Antiqua" w:hAnsi="Book Antiqua"/>
          <w:color w:val="000000" w:themeColor="text1"/>
        </w:rPr>
        <w:t>03</w:t>
      </w:r>
      <w:r w:rsidRPr="00143762">
        <w:rPr>
          <w:rFonts w:ascii="Book Antiqua" w:hAnsi="Book Antiqua"/>
          <w:color w:val="000000" w:themeColor="text1"/>
        </w:rPr>
        <w:t xml:space="preserve">% </w:t>
      </w:r>
      <w:r w:rsidR="00AA6C40" w:rsidRPr="00143762">
        <w:rPr>
          <w:rFonts w:ascii="Book Antiqua" w:hAnsi="Book Antiqua"/>
          <w:color w:val="000000" w:themeColor="text1"/>
        </w:rPr>
        <w:t xml:space="preserve">de acuerdo con el parámetro de </w:t>
      </w:r>
      <w:r w:rsidRPr="00143762">
        <w:rPr>
          <w:rFonts w:ascii="Book Antiqua" w:hAnsi="Book Antiqua"/>
          <w:color w:val="000000" w:themeColor="text1"/>
        </w:rPr>
        <w:t>producción teórico</w:t>
      </w:r>
      <w:r w:rsidR="00AA6C40" w:rsidRPr="00143762">
        <w:rPr>
          <w:rFonts w:ascii="Book Antiqua" w:hAnsi="Book Antiqua"/>
          <w:color w:val="000000" w:themeColor="text1"/>
        </w:rPr>
        <w:t>. El detalle en el siguiente cuadro:</w:t>
      </w:r>
    </w:p>
    <w:p w14:paraId="0FAF736A" w14:textId="77777777" w:rsidR="005643D7" w:rsidRPr="00EC505D" w:rsidRDefault="005643D7" w:rsidP="00985591">
      <w:pPr>
        <w:spacing w:line="276" w:lineRule="auto"/>
        <w:jc w:val="both"/>
        <w:rPr>
          <w:rFonts w:ascii="Book Antiqua" w:hAnsi="Book Antiqua"/>
          <w:color w:val="000000" w:themeColor="text1"/>
        </w:rPr>
      </w:pPr>
    </w:p>
    <w:p w14:paraId="37BC55A4" w14:textId="6B0829AA" w:rsidR="000F674A" w:rsidRPr="00EC505D" w:rsidRDefault="000F674A" w:rsidP="00985591">
      <w:pPr>
        <w:spacing w:line="276" w:lineRule="auto"/>
        <w:jc w:val="center"/>
        <w:rPr>
          <w:rFonts w:ascii="Book Antiqua" w:hAnsi="Book Antiqua"/>
          <w:b/>
          <w:color w:val="000000" w:themeColor="text1"/>
        </w:rPr>
      </w:pPr>
      <w:r w:rsidRPr="00EC505D">
        <w:rPr>
          <w:rFonts w:ascii="Book Antiqua" w:hAnsi="Book Antiqua"/>
          <w:b/>
          <w:color w:val="000000" w:themeColor="text1"/>
        </w:rPr>
        <w:t xml:space="preserve">Cuadro </w:t>
      </w:r>
      <w:r w:rsidR="00F970F2">
        <w:rPr>
          <w:rFonts w:ascii="Book Antiqua" w:hAnsi="Book Antiqua"/>
          <w:b/>
          <w:color w:val="000000" w:themeColor="text1"/>
        </w:rPr>
        <w:t>3</w:t>
      </w:r>
      <w:r w:rsidR="00B03152">
        <w:rPr>
          <w:rFonts w:ascii="Book Antiqua" w:hAnsi="Book Antiqua"/>
          <w:b/>
          <w:color w:val="000000" w:themeColor="text1"/>
        </w:rPr>
        <w:t>8</w:t>
      </w:r>
    </w:p>
    <w:p w14:paraId="4F2E4E57" w14:textId="77777777" w:rsidR="000F674A" w:rsidRPr="00346560" w:rsidRDefault="000F674A" w:rsidP="00985591">
      <w:pPr>
        <w:spacing w:line="276" w:lineRule="auto"/>
        <w:jc w:val="center"/>
        <w:rPr>
          <w:rFonts w:ascii="Book Antiqua" w:hAnsi="Book Antiqua"/>
          <w:bCs/>
          <w:color w:val="000000" w:themeColor="text1"/>
        </w:rPr>
      </w:pPr>
      <w:r w:rsidRPr="00346560">
        <w:rPr>
          <w:rFonts w:ascii="Book Antiqua" w:hAnsi="Book Antiqua"/>
          <w:bCs/>
          <w:color w:val="000000" w:themeColor="text1"/>
        </w:rPr>
        <w:t xml:space="preserve">Cumplimiento del parámetro de producción </w:t>
      </w:r>
    </w:p>
    <w:p w14:paraId="2DDFC056" w14:textId="33335093" w:rsidR="0012174C" w:rsidRPr="00B03152" w:rsidRDefault="000F674A" w:rsidP="00B03152">
      <w:pPr>
        <w:spacing w:line="276" w:lineRule="auto"/>
        <w:jc w:val="center"/>
        <w:rPr>
          <w:rFonts w:ascii="Book Antiqua" w:hAnsi="Book Antiqua"/>
          <w:bCs/>
          <w:color w:val="000000" w:themeColor="text1"/>
        </w:rPr>
      </w:pPr>
      <w:r w:rsidRPr="00346560">
        <w:rPr>
          <w:rFonts w:ascii="Book Antiqua" w:hAnsi="Book Antiqua"/>
          <w:bCs/>
          <w:color w:val="000000" w:themeColor="text1"/>
        </w:rPr>
        <w:t xml:space="preserve">teórico de la Sala Tercera durante </w:t>
      </w:r>
      <w:r w:rsidR="00F970F2" w:rsidRPr="00346560">
        <w:rPr>
          <w:rFonts w:ascii="Book Antiqua" w:hAnsi="Book Antiqua"/>
          <w:bCs/>
          <w:color w:val="000000" w:themeColor="text1"/>
        </w:rPr>
        <w:t>mayo</w:t>
      </w:r>
      <w:r w:rsidRPr="00346560">
        <w:rPr>
          <w:rFonts w:ascii="Book Antiqua" w:hAnsi="Book Antiqua"/>
          <w:bCs/>
          <w:color w:val="000000" w:themeColor="text1"/>
        </w:rPr>
        <w:t xml:space="preserve"> 2021</w:t>
      </w:r>
    </w:p>
    <w:tbl>
      <w:tblPr>
        <w:tblW w:w="6571" w:type="dxa"/>
        <w:jc w:val="center"/>
        <w:tblCellMar>
          <w:left w:w="70" w:type="dxa"/>
          <w:right w:w="70" w:type="dxa"/>
        </w:tblCellMar>
        <w:tblLook w:val="04A0" w:firstRow="1" w:lastRow="0" w:firstColumn="1" w:lastColumn="0" w:noHBand="0" w:noVBand="1"/>
      </w:tblPr>
      <w:tblGrid>
        <w:gridCol w:w="4284"/>
        <w:gridCol w:w="2287"/>
      </w:tblGrid>
      <w:tr w:rsidR="0012174C" w:rsidRPr="009F0819" w14:paraId="29FE2E46" w14:textId="77777777" w:rsidTr="0012174C">
        <w:trPr>
          <w:trHeight w:val="448"/>
          <w:jc w:val="center"/>
        </w:trPr>
        <w:tc>
          <w:tcPr>
            <w:tcW w:w="4284" w:type="dxa"/>
            <w:tcBorders>
              <w:top w:val="single" w:sz="4" w:space="0" w:color="808080"/>
              <w:left w:val="single" w:sz="4" w:space="0" w:color="808080"/>
              <w:bottom w:val="single" w:sz="4" w:space="0" w:color="808080"/>
              <w:right w:val="single" w:sz="4" w:space="0" w:color="808080"/>
            </w:tcBorders>
            <w:shd w:val="clear" w:color="000000" w:fill="305496"/>
            <w:noWrap/>
            <w:vAlign w:val="center"/>
            <w:hideMark/>
          </w:tcPr>
          <w:p w14:paraId="5AE24D83" w14:textId="77777777" w:rsidR="0012174C" w:rsidRPr="009F0819" w:rsidRDefault="0012174C" w:rsidP="00985591">
            <w:pPr>
              <w:spacing w:line="276" w:lineRule="auto"/>
              <w:jc w:val="center"/>
              <w:rPr>
                <w:rFonts w:ascii="Book Antiqua" w:hAnsi="Book Antiqua" w:cs="Calibri"/>
                <w:b/>
                <w:bCs/>
                <w:color w:val="FFFFFF"/>
                <w:sz w:val="16"/>
                <w:szCs w:val="16"/>
                <w:lang w:eastAsia="es-CR"/>
              </w:rPr>
            </w:pPr>
            <w:r w:rsidRPr="009F0819">
              <w:rPr>
                <w:rFonts w:ascii="Book Antiqua" w:hAnsi="Book Antiqua" w:cs="Calibri"/>
                <w:b/>
                <w:bCs/>
                <w:color w:val="FFFFFF"/>
                <w:sz w:val="16"/>
                <w:szCs w:val="16"/>
                <w:lang w:eastAsia="es-CR"/>
              </w:rPr>
              <w:t>Oficina</w:t>
            </w:r>
          </w:p>
        </w:tc>
        <w:tc>
          <w:tcPr>
            <w:tcW w:w="2287" w:type="dxa"/>
            <w:tcBorders>
              <w:top w:val="single" w:sz="4" w:space="0" w:color="808080"/>
              <w:left w:val="nil"/>
              <w:bottom w:val="single" w:sz="4" w:space="0" w:color="808080"/>
              <w:right w:val="single" w:sz="4" w:space="0" w:color="808080"/>
            </w:tcBorders>
            <w:shd w:val="clear" w:color="000000" w:fill="305496"/>
            <w:vAlign w:val="center"/>
            <w:hideMark/>
          </w:tcPr>
          <w:p w14:paraId="36C47661" w14:textId="77777777" w:rsidR="0012174C" w:rsidRPr="009F0819" w:rsidRDefault="0012174C" w:rsidP="00985591">
            <w:pPr>
              <w:spacing w:line="276" w:lineRule="auto"/>
              <w:jc w:val="center"/>
              <w:rPr>
                <w:rFonts w:ascii="Book Antiqua" w:hAnsi="Book Antiqua" w:cs="Calibri"/>
                <w:b/>
                <w:bCs/>
                <w:color w:val="FFFFFF"/>
                <w:sz w:val="16"/>
                <w:szCs w:val="16"/>
                <w:lang w:eastAsia="es-CR"/>
              </w:rPr>
            </w:pPr>
            <w:r w:rsidRPr="009F0819">
              <w:rPr>
                <w:rFonts w:ascii="Book Antiqua" w:hAnsi="Book Antiqua" w:cs="Calibri"/>
                <w:b/>
                <w:bCs/>
                <w:color w:val="FFFFFF"/>
                <w:sz w:val="16"/>
                <w:szCs w:val="16"/>
                <w:lang w:eastAsia="es-CR"/>
              </w:rPr>
              <w:t xml:space="preserve">Porcentaje cumplimiento cuota teórica auto sentencias </w:t>
            </w:r>
          </w:p>
        </w:tc>
      </w:tr>
      <w:tr w:rsidR="0012174C" w:rsidRPr="009F0819" w14:paraId="22A57E19" w14:textId="77777777" w:rsidTr="0012174C">
        <w:trPr>
          <w:trHeight w:val="92"/>
          <w:jc w:val="center"/>
        </w:trPr>
        <w:tc>
          <w:tcPr>
            <w:tcW w:w="4284" w:type="dxa"/>
            <w:tcBorders>
              <w:top w:val="nil"/>
              <w:left w:val="single" w:sz="4" w:space="0" w:color="808080"/>
              <w:bottom w:val="single" w:sz="4" w:space="0" w:color="808080"/>
              <w:right w:val="single" w:sz="4" w:space="0" w:color="808080"/>
            </w:tcBorders>
            <w:shd w:val="clear" w:color="auto" w:fill="auto"/>
            <w:noWrap/>
            <w:vAlign w:val="center"/>
            <w:hideMark/>
          </w:tcPr>
          <w:p w14:paraId="1741EE67" w14:textId="77777777" w:rsidR="0012174C" w:rsidRPr="009F0819" w:rsidRDefault="0012174C" w:rsidP="00985591">
            <w:pPr>
              <w:spacing w:line="276" w:lineRule="auto"/>
              <w:jc w:val="center"/>
              <w:rPr>
                <w:rFonts w:ascii="Book Antiqua" w:hAnsi="Book Antiqua" w:cs="Calibri"/>
                <w:color w:val="000000"/>
                <w:sz w:val="16"/>
                <w:szCs w:val="16"/>
                <w:lang w:eastAsia="es-CR"/>
              </w:rPr>
            </w:pPr>
            <w:r w:rsidRPr="009F0819">
              <w:rPr>
                <w:rFonts w:ascii="Book Antiqua" w:hAnsi="Book Antiqua" w:cs="Calibri"/>
                <w:color w:val="000000"/>
                <w:sz w:val="16"/>
                <w:szCs w:val="16"/>
                <w:lang w:eastAsia="es-CR"/>
              </w:rPr>
              <w:t>Sala Tercera</w:t>
            </w:r>
          </w:p>
        </w:tc>
        <w:tc>
          <w:tcPr>
            <w:tcW w:w="2287" w:type="dxa"/>
            <w:tcBorders>
              <w:top w:val="nil"/>
              <w:left w:val="nil"/>
              <w:bottom w:val="single" w:sz="4" w:space="0" w:color="808080"/>
              <w:right w:val="single" w:sz="4" w:space="0" w:color="808080"/>
            </w:tcBorders>
            <w:shd w:val="clear" w:color="auto" w:fill="auto"/>
            <w:noWrap/>
            <w:vAlign w:val="center"/>
            <w:hideMark/>
          </w:tcPr>
          <w:p w14:paraId="57639705" w14:textId="77777777" w:rsidR="0012174C" w:rsidRPr="009F0819" w:rsidRDefault="0012174C" w:rsidP="00985591">
            <w:pPr>
              <w:spacing w:line="276" w:lineRule="auto"/>
              <w:jc w:val="center"/>
              <w:rPr>
                <w:rFonts w:ascii="Book Antiqua" w:hAnsi="Book Antiqua" w:cs="Calibri"/>
                <w:color w:val="000000"/>
                <w:sz w:val="16"/>
                <w:szCs w:val="16"/>
                <w:lang w:eastAsia="es-CR"/>
              </w:rPr>
            </w:pPr>
            <w:r w:rsidRPr="009F0819">
              <w:rPr>
                <w:rFonts w:ascii="Book Antiqua" w:hAnsi="Book Antiqua" w:cs="Calibri"/>
                <w:color w:val="000000"/>
                <w:sz w:val="16"/>
                <w:szCs w:val="16"/>
                <w:lang w:eastAsia="es-CR"/>
              </w:rPr>
              <w:t>95%</w:t>
            </w:r>
          </w:p>
        </w:tc>
      </w:tr>
    </w:tbl>
    <w:p w14:paraId="369591F6" w14:textId="77777777" w:rsidR="0012174C" w:rsidRDefault="0012174C" w:rsidP="00985591">
      <w:pPr>
        <w:spacing w:line="276" w:lineRule="auto"/>
        <w:jc w:val="center"/>
        <w:rPr>
          <w:rFonts w:ascii="Book Antiqua" w:hAnsi="Book Antiqua"/>
          <w:color w:val="000000" w:themeColor="text1"/>
          <w:sz w:val="20"/>
          <w:szCs w:val="20"/>
        </w:rPr>
      </w:pPr>
      <w:r w:rsidRPr="0013210E">
        <w:rPr>
          <w:rFonts w:ascii="Book Antiqua" w:hAnsi="Book Antiqua"/>
          <w:b/>
          <w:bCs/>
          <w:color w:val="000000"/>
          <w:sz w:val="20"/>
          <w:szCs w:val="20"/>
        </w:rPr>
        <w:t>Fuente:</w:t>
      </w:r>
      <w:r w:rsidRPr="00DE41EA">
        <w:rPr>
          <w:rFonts w:ascii="Book Antiqua" w:hAnsi="Book Antiqua"/>
          <w:color w:val="000000"/>
          <w:sz w:val="20"/>
          <w:szCs w:val="20"/>
        </w:rPr>
        <w:t xml:space="preserve"> </w:t>
      </w:r>
      <w:r w:rsidRPr="002754DF">
        <w:rPr>
          <w:rFonts w:ascii="Book Antiqua" w:hAnsi="Book Antiqua"/>
          <w:color w:val="000000" w:themeColor="text1"/>
          <w:sz w:val="20"/>
          <w:szCs w:val="20"/>
        </w:rPr>
        <w:t>Elaboración propia a partir de datos suministrados por despachos según circular 61-2020</w:t>
      </w:r>
    </w:p>
    <w:p w14:paraId="687C010E" w14:textId="77777777" w:rsidR="00F419C9" w:rsidRPr="00B03152" w:rsidRDefault="00F419C9" w:rsidP="00B03152">
      <w:pPr>
        <w:spacing w:after="160" w:line="276" w:lineRule="auto"/>
        <w:contextualSpacing/>
        <w:rPr>
          <w:rFonts w:ascii="Book Antiqua" w:hAnsi="Book Antiqua"/>
          <w:b/>
          <w:color w:val="000000" w:themeColor="text1"/>
        </w:rPr>
      </w:pPr>
    </w:p>
    <w:p w14:paraId="253C6CD1" w14:textId="11799172" w:rsidR="00776798" w:rsidRPr="002178AB" w:rsidRDefault="4623D2FA" w:rsidP="57A79FF7">
      <w:pPr>
        <w:tabs>
          <w:tab w:val="left" w:pos="284"/>
        </w:tabs>
        <w:spacing w:line="276" w:lineRule="auto"/>
        <w:outlineLvl w:val="1"/>
        <w:rPr>
          <w:rFonts w:ascii="Book Antiqua" w:hAnsi="Book Antiqua"/>
          <w:b/>
          <w:color w:val="000000" w:themeColor="text1"/>
        </w:rPr>
      </w:pPr>
      <w:r w:rsidRPr="57A79FF7">
        <w:rPr>
          <w:rFonts w:ascii="Book Antiqua" w:hAnsi="Book Antiqua"/>
          <w:b/>
          <w:bCs/>
          <w:color w:val="000000" w:themeColor="text1"/>
        </w:rPr>
        <w:t xml:space="preserve">4.3 </w:t>
      </w:r>
      <w:r w:rsidR="00776798" w:rsidRPr="002178AB">
        <w:rPr>
          <w:rFonts w:ascii="Book Antiqua" w:hAnsi="Book Antiqua"/>
          <w:b/>
          <w:color w:val="000000" w:themeColor="text1"/>
        </w:rPr>
        <w:t>Simulación de parámetros de producción</w:t>
      </w:r>
    </w:p>
    <w:p w14:paraId="1A27599B" w14:textId="77777777" w:rsidR="00776798" w:rsidRPr="00F970F2" w:rsidRDefault="00776798" w:rsidP="00985591">
      <w:pPr>
        <w:spacing w:line="276" w:lineRule="auto"/>
        <w:rPr>
          <w:rFonts w:ascii="Book Antiqua" w:hAnsi="Book Antiqua"/>
          <w:b/>
          <w:color w:val="000000" w:themeColor="text1"/>
          <w:highlight w:val="yellow"/>
        </w:rPr>
      </w:pPr>
    </w:p>
    <w:p w14:paraId="1003731F" w14:textId="38B20AE3" w:rsidR="00B152EF" w:rsidRPr="00B152EF" w:rsidRDefault="00776798" w:rsidP="00985591">
      <w:pPr>
        <w:spacing w:line="276" w:lineRule="auto"/>
        <w:jc w:val="both"/>
        <w:rPr>
          <w:rFonts w:ascii="Book Antiqua" w:hAnsi="Book Antiqua"/>
          <w:bCs/>
          <w:color w:val="000000" w:themeColor="text1"/>
        </w:rPr>
      </w:pPr>
      <w:r w:rsidRPr="002178AB">
        <w:rPr>
          <w:rFonts w:ascii="Book Antiqua" w:hAnsi="Book Antiqua"/>
          <w:bCs/>
          <w:color w:val="000000" w:themeColor="text1"/>
        </w:rPr>
        <w:t>Realizando una simulación de la producción de las diferentes oficinas de materia penal contra su parámetro teórico, se visualiza que los Tribunales de Juicio, Juzgados de Ejecución</w:t>
      </w:r>
      <w:r w:rsidR="00CF4F2F" w:rsidRPr="002178AB">
        <w:rPr>
          <w:rFonts w:ascii="Book Antiqua" w:hAnsi="Book Antiqua"/>
          <w:bCs/>
          <w:color w:val="000000" w:themeColor="text1"/>
        </w:rPr>
        <w:t>,</w:t>
      </w:r>
      <w:r w:rsidRPr="002178AB">
        <w:rPr>
          <w:rFonts w:ascii="Book Antiqua" w:hAnsi="Book Antiqua"/>
          <w:bCs/>
          <w:color w:val="000000" w:themeColor="text1"/>
        </w:rPr>
        <w:t xml:space="preserve"> </w:t>
      </w:r>
      <w:r w:rsidR="00CF4F2F" w:rsidRPr="002178AB">
        <w:rPr>
          <w:rFonts w:ascii="Book Antiqua" w:hAnsi="Book Antiqua"/>
          <w:bCs/>
          <w:color w:val="000000" w:themeColor="text1"/>
        </w:rPr>
        <w:t xml:space="preserve">sobrepasan en más de un 100% el </w:t>
      </w:r>
      <w:r w:rsidRPr="002178AB">
        <w:rPr>
          <w:rFonts w:ascii="Book Antiqua" w:hAnsi="Book Antiqua"/>
          <w:bCs/>
          <w:color w:val="000000" w:themeColor="text1"/>
        </w:rPr>
        <w:t xml:space="preserve">parámetro, </w:t>
      </w:r>
      <w:r w:rsidR="00CF4F2F" w:rsidRPr="002178AB">
        <w:rPr>
          <w:rFonts w:ascii="Book Antiqua" w:hAnsi="Book Antiqua"/>
          <w:bCs/>
          <w:color w:val="000000" w:themeColor="text1"/>
        </w:rPr>
        <w:t xml:space="preserve">en tanto, </w:t>
      </w:r>
      <w:r w:rsidRPr="002178AB">
        <w:rPr>
          <w:rFonts w:ascii="Book Antiqua" w:hAnsi="Book Antiqua"/>
          <w:bCs/>
          <w:color w:val="000000" w:themeColor="text1"/>
        </w:rPr>
        <w:t xml:space="preserve">que los Tribunales de Apelación, la Sala Tercera y Juzgados Penales superan el 80%, </w:t>
      </w:r>
      <w:r w:rsidRPr="00B152EF">
        <w:rPr>
          <w:rFonts w:ascii="Book Antiqua" w:hAnsi="Book Antiqua"/>
          <w:bCs/>
          <w:color w:val="000000" w:themeColor="text1"/>
        </w:rPr>
        <w:t xml:space="preserve">valor mínimo esperado. </w:t>
      </w:r>
      <w:r w:rsidR="00624059" w:rsidRPr="00B152EF">
        <w:rPr>
          <w:rFonts w:ascii="Book Antiqua" w:hAnsi="Book Antiqua"/>
          <w:bCs/>
          <w:color w:val="000000" w:themeColor="text1"/>
        </w:rPr>
        <w:t xml:space="preserve"> </w:t>
      </w:r>
      <w:r w:rsidR="00624059" w:rsidRPr="00B152EF">
        <w:rPr>
          <w:rFonts w:ascii="Book Antiqua" w:hAnsi="Book Antiqua"/>
        </w:rPr>
        <w:t xml:space="preserve">De acuerdo </w:t>
      </w:r>
      <w:r w:rsidR="00B152EF" w:rsidRPr="00B152EF">
        <w:rPr>
          <w:rFonts w:ascii="Book Antiqua" w:hAnsi="Book Antiqua"/>
        </w:rPr>
        <w:t>con este resultado se</w:t>
      </w:r>
      <w:r w:rsidR="00624059" w:rsidRPr="00B152EF">
        <w:rPr>
          <w:rFonts w:ascii="Book Antiqua" w:hAnsi="Book Antiqua"/>
        </w:rPr>
        <w:t xml:space="preserve"> destaca el alto compromiso del personal </w:t>
      </w:r>
      <w:r w:rsidR="005F1177" w:rsidRPr="00B152EF">
        <w:rPr>
          <w:rFonts w:ascii="Book Antiqua" w:hAnsi="Book Antiqua"/>
        </w:rPr>
        <w:t>de las oficinas</w:t>
      </w:r>
      <w:r w:rsidR="00624059" w:rsidRPr="00B152EF">
        <w:rPr>
          <w:rFonts w:ascii="Book Antiqua" w:hAnsi="Book Antiqua"/>
        </w:rPr>
        <w:t xml:space="preserve"> para atender sus labores, </w:t>
      </w:r>
      <w:r w:rsidR="00491570" w:rsidRPr="00B152EF">
        <w:rPr>
          <w:rFonts w:ascii="Book Antiqua" w:hAnsi="Book Antiqua"/>
        </w:rPr>
        <w:t>aún con</w:t>
      </w:r>
      <w:r w:rsidR="005F1177" w:rsidRPr="00B152EF">
        <w:rPr>
          <w:rFonts w:ascii="Book Antiqua" w:hAnsi="Book Antiqua"/>
        </w:rPr>
        <w:t xml:space="preserve"> </w:t>
      </w:r>
      <w:r w:rsidR="00DF103F" w:rsidRPr="00B152EF">
        <w:rPr>
          <w:rFonts w:ascii="Book Antiqua" w:hAnsi="Book Antiqua"/>
        </w:rPr>
        <w:t>el impacto</w:t>
      </w:r>
      <w:r w:rsidR="005F1177" w:rsidRPr="00B152EF">
        <w:rPr>
          <w:rFonts w:ascii="Book Antiqua" w:hAnsi="Book Antiqua"/>
        </w:rPr>
        <w:t xml:space="preserve"> sobre las </w:t>
      </w:r>
      <w:r w:rsidR="00B152EF" w:rsidRPr="00B152EF">
        <w:rPr>
          <w:rFonts w:ascii="Book Antiqua" w:hAnsi="Book Antiqua"/>
        </w:rPr>
        <w:t>oficinas de</w:t>
      </w:r>
      <w:r w:rsidR="00624059" w:rsidRPr="00B152EF">
        <w:rPr>
          <w:rFonts w:ascii="Book Antiqua" w:hAnsi="Book Antiqua"/>
        </w:rPr>
        <w:t xml:space="preserve"> las medidas que sanitarias que se han tomado. </w:t>
      </w:r>
      <w:r w:rsidR="005F1177" w:rsidRPr="00B152EF">
        <w:rPr>
          <w:rFonts w:ascii="Book Antiqua" w:hAnsi="Book Antiqua"/>
        </w:rPr>
        <w:t xml:space="preserve"> </w:t>
      </w:r>
    </w:p>
    <w:p w14:paraId="70223BD2" w14:textId="77777777" w:rsidR="00B152EF" w:rsidRPr="00B152EF" w:rsidRDefault="00B152EF" w:rsidP="00985591">
      <w:pPr>
        <w:spacing w:line="276" w:lineRule="auto"/>
        <w:jc w:val="both"/>
        <w:rPr>
          <w:rFonts w:ascii="Book Antiqua" w:hAnsi="Book Antiqua"/>
        </w:rPr>
      </w:pPr>
    </w:p>
    <w:p w14:paraId="0213513D" w14:textId="1E4F96B4" w:rsidR="00B152EF" w:rsidRPr="00B152EF" w:rsidRDefault="00B152EF" w:rsidP="00985591">
      <w:pPr>
        <w:spacing w:line="276" w:lineRule="auto"/>
        <w:jc w:val="both"/>
        <w:rPr>
          <w:rFonts w:ascii="Book Antiqua" w:hAnsi="Book Antiqua"/>
        </w:rPr>
      </w:pPr>
      <w:r w:rsidRPr="00B152EF">
        <w:rPr>
          <w:rFonts w:ascii="Book Antiqua" w:hAnsi="Book Antiqua"/>
        </w:rPr>
        <w:t>En el caso de Flagrancia hay que destacar que se parte de la entrada de asuntos en cada zona y que, como medida también han brindado colaboración con la carga de trabajo de los Tribunales Ordinarios con el fin de descongestionarlos.</w:t>
      </w:r>
    </w:p>
    <w:p w14:paraId="6A7C5BA1" w14:textId="77777777" w:rsidR="00B152EF" w:rsidRDefault="00B152EF" w:rsidP="00985591">
      <w:pPr>
        <w:spacing w:line="276" w:lineRule="auto"/>
        <w:jc w:val="both"/>
        <w:rPr>
          <w:rFonts w:ascii="Book Antiqua" w:hAnsi="Book Antiqua"/>
          <w:highlight w:val="yellow"/>
        </w:rPr>
      </w:pPr>
    </w:p>
    <w:p w14:paraId="55CA47C4" w14:textId="4C300D55" w:rsidR="00B152EF" w:rsidRPr="00C91B90" w:rsidRDefault="00B152EF" w:rsidP="00985591">
      <w:pPr>
        <w:spacing w:line="276" w:lineRule="auto"/>
        <w:jc w:val="both"/>
        <w:rPr>
          <w:rFonts w:ascii="Book Antiqua" w:hAnsi="Book Antiqua"/>
          <w:b/>
          <w:color w:val="000000" w:themeColor="text1"/>
        </w:rPr>
      </w:pPr>
      <w:r w:rsidRPr="00C91B90">
        <w:rPr>
          <w:rFonts w:ascii="Book Antiqua" w:hAnsi="Book Antiqua"/>
        </w:rPr>
        <w:t>Es necesario aclarar, que también se debe considerar en este período, las medidas que hay que tener en el uso de las celdas, con el fin de mantener el aforo mínimo, que impactan de forma negativa en la realización de juicios en las diferentes zonas. Siendo necesario potenciar en los casos que sea posible el empleo de los juicios y audiencias virtuales.</w:t>
      </w:r>
      <w:r w:rsidRPr="00C91B90">
        <w:rPr>
          <w:rFonts w:ascii="Book Antiqua" w:hAnsi="Book Antiqua"/>
          <w:b/>
          <w:color w:val="000000" w:themeColor="text1"/>
        </w:rPr>
        <w:t xml:space="preserve"> </w:t>
      </w:r>
    </w:p>
    <w:p w14:paraId="663F4448" w14:textId="0F37A9C7" w:rsidR="00B152EF" w:rsidRDefault="00B152EF" w:rsidP="00985591">
      <w:pPr>
        <w:spacing w:line="276" w:lineRule="auto"/>
        <w:jc w:val="both"/>
        <w:rPr>
          <w:rFonts w:ascii="Book Antiqua" w:hAnsi="Book Antiqua"/>
          <w:highlight w:val="yellow"/>
        </w:rPr>
      </w:pPr>
    </w:p>
    <w:p w14:paraId="5F44EE61" w14:textId="77777777" w:rsidR="009123AD" w:rsidRDefault="00DD5521" w:rsidP="00985591">
      <w:pPr>
        <w:spacing w:line="276" w:lineRule="auto"/>
        <w:jc w:val="both"/>
        <w:rPr>
          <w:rFonts w:ascii="Book Antiqua" w:hAnsi="Book Antiqua"/>
        </w:rPr>
      </w:pPr>
      <w:r w:rsidRPr="009123AD">
        <w:rPr>
          <w:rFonts w:ascii="Book Antiqua" w:hAnsi="Book Antiqua"/>
        </w:rPr>
        <w:t>De conformidad con lo expuesto anteriormente,</w:t>
      </w:r>
      <w:r w:rsidR="007470C9" w:rsidRPr="009123AD">
        <w:rPr>
          <w:rFonts w:ascii="Book Antiqua" w:hAnsi="Book Antiqua"/>
        </w:rPr>
        <w:t xml:space="preserve"> se desglosa</w:t>
      </w:r>
      <w:r w:rsidR="009123AD" w:rsidRPr="009123AD">
        <w:rPr>
          <w:rFonts w:ascii="Book Antiqua" w:hAnsi="Book Antiqua"/>
        </w:rPr>
        <w:t xml:space="preserve"> en</w:t>
      </w:r>
      <w:r w:rsidR="007470C9" w:rsidRPr="009123AD">
        <w:rPr>
          <w:rFonts w:ascii="Book Antiqua" w:hAnsi="Book Antiqua"/>
        </w:rPr>
        <w:t xml:space="preserve"> </w:t>
      </w:r>
      <w:r w:rsidR="009123AD" w:rsidRPr="009123AD">
        <w:rPr>
          <w:rFonts w:ascii="Book Antiqua" w:hAnsi="Book Antiqua"/>
        </w:rPr>
        <w:t>los siguientes recuadros el porcentaje de cumplimiento del parámetro de producción teórico a nivel nacional por tipo de oficina y variable considerada según despacho.</w:t>
      </w:r>
      <w:r w:rsidR="009123AD">
        <w:rPr>
          <w:rFonts w:ascii="Book Antiqua" w:hAnsi="Book Antiqua"/>
        </w:rPr>
        <w:t xml:space="preserve"> </w:t>
      </w:r>
    </w:p>
    <w:p w14:paraId="4924B372" w14:textId="77777777" w:rsidR="009123AD" w:rsidRDefault="009123AD" w:rsidP="00985591">
      <w:pPr>
        <w:spacing w:line="276" w:lineRule="auto"/>
        <w:jc w:val="both"/>
        <w:rPr>
          <w:rFonts w:ascii="Book Antiqua" w:hAnsi="Book Antiqua"/>
        </w:rPr>
      </w:pPr>
    </w:p>
    <w:p w14:paraId="412C7983" w14:textId="4C6260E0" w:rsidR="009123AD" w:rsidRDefault="009123AD" w:rsidP="00985591">
      <w:pPr>
        <w:spacing w:line="276" w:lineRule="auto"/>
        <w:jc w:val="both"/>
        <w:rPr>
          <w:rFonts w:ascii="Book Antiqua" w:hAnsi="Book Antiqua"/>
        </w:rPr>
      </w:pPr>
      <w:r>
        <w:rPr>
          <w:rFonts w:ascii="Book Antiqua" w:hAnsi="Book Antiqua"/>
        </w:rPr>
        <w:t>E</w:t>
      </w:r>
      <w:r w:rsidR="007470C9">
        <w:rPr>
          <w:rFonts w:ascii="Book Antiqua" w:hAnsi="Book Antiqua"/>
        </w:rPr>
        <w:t xml:space="preserve">n </w:t>
      </w:r>
      <w:r w:rsidR="0007285A">
        <w:rPr>
          <w:rFonts w:ascii="Book Antiqua" w:hAnsi="Book Antiqua"/>
        </w:rPr>
        <w:t xml:space="preserve">el </w:t>
      </w:r>
      <w:r w:rsidR="007470C9" w:rsidRPr="00B85E23">
        <w:rPr>
          <w:rFonts w:ascii="Book Antiqua" w:hAnsi="Book Antiqua"/>
          <w:b/>
          <w:bCs/>
        </w:rPr>
        <w:t xml:space="preserve">cuadro </w:t>
      </w:r>
      <w:r w:rsidR="00B03152">
        <w:rPr>
          <w:rFonts w:ascii="Book Antiqua" w:hAnsi="Book Antiqua"/>
          <w:b/>
          <w:bCs/>
        </w:rPr>
        <w:t>39</w:t>
      </w:r>
      <w:r w:rsidR="007470C9">
        <w:rPr>
          <w:rFonts w:ascii="Book Antiqua" w:hAnsi="Book Antiqua"/>
        </w:rPr>
        <w:t xml:space="preserve"> </w:t>
      </w:r>
      <w:r>
        <w:rPr>
          <w:rFonts w:ascii="Book Antiqua" w:hAnsi="Book Antiqua"/>
          <w:bCs/>
          <w:color w:val="000000" w:themeColor="text1"/>
        </w:rPr>
        <w:t xml:space="preserve">se inserta el resultado </w:t>
      </w:r>
      <w:r w:rsidR="0007285A" w:rsidRPr="00B85E23">
        <w:rPr>
          <w:rFonts w:ascii="Book Antiqua" w:hAnsi="Book Antiqua"/>
          <w:b/>
        </w:rPr>
        <w:t>de manera</w:t>
      </w:r>
      <w:r>
        <w:rPr>
          <w:rFonts w:ascii="Book Antiqua" w:hAnsi="Book Antiqua"/>
          <w:b/>
        </w:rPr>
        <w:t xml:space="preserve"> semanal, </w:t>
      </w:r>
      <w:r w:rsidR="0007285A">
        <w:rPr>
          <w:rFonts w:ascii="Book Antiqua" w:hAnsi="Book Antiqua"/>
        </w:rPr>
        <w:t xml:space="preserve">a partir de los datos </w:t>
      </w:r>
      <w:r w:rsidR="00DC0B65">
        <w:rPr>
          <w:rFonts w:ascii="Book Antiqua" w:hAnsi="Book Antiqua"/>
        </w:rPr>
        <w:t xml:space="preserve">de mayo 2020 a abril 2021, </w:t>
      </w:r>
      <w:r w:rsidR="00B85E23">
        <w:rPr>
          <w:rFonts w:ascii="Book Antiqua" w:hAnsi="Book Antiqua"/>
        </w:rPr>
        <w:t xml:space="preserve">suministrados </w:t>
      </w:r>
      <w:r w:rsidR="0007285A">
        <w:rPr>
          <w:rFonts w:ascii="Book Antiqua" w:hAnsi="Book Antiqua"/>
        </w:rPr>
        <w:t xml:space="preserve">por el personal </w:t>
      </w:r>
      <w:r w:rsidR="00DC0B65">
        <w:rPr>
          <w:rFonts w:ascii="Book Antiqua" w:hAnsi="Book Antiqua"/>
        </w:rPr>
        <w:t xml:space="preserve">de las oficinas </w:t>
      </w:r>
      <w:r w:rsidR="0007285A">
        <w:rPr>
          <w:rFonts w:ascii="Book Antiqua" w:hAnsi="Book Antiqua"/>
        </w:rPr>
        <w:t>mediante el informe de labores</w:t>
      </w:r>
      <w:r w:rsidR="00DC0B65">
        <w:rPr>
          <w:rFonts w:ascii="Book Antiqua" w:hAnsi="Book Antiqua"/>
        </w:rPr>
        <w:t xml:space="preserve"> One drive</w:t>
      </w:r>
      <w:r w:rsidR="0007285A">
        <w:rPr>
          <w:rFonts w:ascii="Book Antiqua" w:hAnsi="Book Antiqua"/>
        </w:rPr>
        <w:t xml:space="preserve"> (circular </w:t>
      </w:r>
      <w:r w:rsidR="00B85E23">
        <w:rPr>
          <w:rFonts w:ascii="Book Antiqua" w:hAnsi="Book Antiqua"/>
        </w:rPr>
        <w:t xml:space="preserve">61-20). </w:t>
      </w:r>
    </w:p>
    <w:p w14:paraId="4AC44BAF" w14:textId="67984C6B" w:rsidR="009123AD" w:rsidRDefault="009123AD" w:rsidP="00985591">
      <w:pPr>
        <w:spacing w:line="276" w:lineRule="auto"/>
        <w:jc w:val="both"/>
        <w:rPr>
          <w:rFonts w:ascii="Book Antiqua" w:hAnsi="Book Antiqua"/>
        </w:rPr>
      </w:pPr>
    </w:p>
    <w:p w14:paraId="58B88886" w14:textId="77777777" w:rsidR="009123AD" w:rsidRDefault="009123AD" w:rsidP="00985591">
      <w:pPr>
        <w:spacing w:line="276" w:lineRule="auto"/>
        <w:jc w:val="both"/>
        <w:rPr>
          <w:rFonts w:ascii="Book Antiqua" w:hAnsi="Book Antiqua"/>
        </w:rPr>
      </w:pPr>
    </w:p>
    <w:p w14:paraId="5D7B8880" w14:textId="0C16CB26" w:rsidR="009123AD" w:rsidRPr="00582DB9" w:rsidRDefault="009123AD" w:rsidP="00985591">
      <w:pPr>
        <w:spacing w:line="276" w:lineRule="auto"/>
        <w:jc w:val="center"/>
        <w:rPr>
          <w:rFonts w:ascii="Book Antiqua" w:hAnsi="Book Antiqua"/>
          <w:b/>
          <w:color w:val="000000" w:themeColor="text1"/>
        </w:rPr>
      </w:pPr>
      <w:r w:rsidRPr="00582DB9">
        <w:rPr>
          <w:rFonts w:ascii="Book Antiqua" w:hAnsi="Book Antiqua"/>
          <w:b/>
          <w:color w:val="000000" w:themeColor="text1"/>
        </w:rPr>
        <w:t xml:space="preserve">Cuadro </w:t>
      </w:r>
      <w:r w:rsidR="00B03152">
        <w:rPr>
          <w:rFonts w:ascii="Book Antiqua" w:hAnsi="Book Antiqua"/>
          <w:b/>
          <w:color w:val="000000" w:themeColor="text1"/>
        </w:rPr>
        <w:t>39</w:t>
      </w:r>
    </w:p>
    <w:p w14:paraId="67308996" w14:textId="77777777" w:rsidR="009123AD" w:rsidRPr="00582DB9" w:rsidRDefault="009123AD" w:rsidP="00985591">
      <w:pPr>
        <w:spacing w:line="276" w:lineRule="auto"/>
        <w:jc w:val="center"/>
        <w:rPr>
          <w:rFonts w:ascii="Book Antiqua" w:hAnsi="Book Antiqua"/>
          <w:bCs/>
          <w:color w:val="000000" w:themeColor="text1"/>
        </w:rPr>
      </w:pPr>
      <w:r w:rsidRPr="00582DB9">
        <w:rPr>
          <w:rFonts w:ascii="Book Antiqua" w:hAnsi="Book Antiqua"/>
          <w:bCs/>
          <w:color w:val="000000" w:themeColor="text1"/>
        </w:rPr>
        <w:t xml:space="preserve">Cumplimiento del parámetro de producción teórico de </w:t>
      </w:r>
    </w:p>
    <w:p w14:paraId="4C1B3FB2" w14:textId="77777777" w:rsidR="009123AD" w:rsidRPr="00C21306" w:rsidRDefault="009123AD" w:rsidP="00985591">
      <w:pPr>
        <w:spacing w:line="276" w:lineRule="auto"/>
        <w:jc w:val="center"/>
        <w:rPr>
          <w:rFonts w:ascii="Book Antiqua" w:hAnsi="Book Antiqua"/>
          <w:bCs/>
          <w:color w:val="000000" w:themeColor="text1"/>
        </w:rPr>
      </w:pPr>
      <w:r w:rsidRPr="00582DB9">
        <w:rPr>
          <w:rFonts w:ascii="Book Antiqua" w:hAnsi="Book Antiqua"/>
          <w:bCs/>
          <w:color w:val="000000" w:themeColor="text1"/>
        </w:rPr>
        <w:t>oficinas de materia penal desde el inicio de la medición de circular 61-2020</w:t>
      </w:r>
    </w:p>
    <w:tbl>
      <w:tblPr>
        <w:tblW w:w="10580" w:type="dxa"/>
        <w:jc w:val="center"/>
        <w:tblCellMar>
          <w:left w:w="70" w:type="dxa"/>
          <w:right w:w="70" w:type="dxa"/>
        </w:tblCellMar>
        <w:tblLook w:val="04A0" w:firstRow="1" w:lastRow="0" w:firstColumn="1" w:lastColumn="0" w:noHBand="0" w:noVBand="1"/>
      </w:tblPr>
      <w:tblGrid>
        <w:gridCol w:w="1200"/>
        <w:gridCol w:w="1740"/>
        <w:gridCol w:w="1200"/>
        <w:gridCol w:w="1360"/>
        <w:gridCol w:w="1200"/>
        <w:gridCol w:w="1340"/>
        <w:gridCol w:w="1340"/>
        <w:gridCol w:w="1200"/>
      </w:tblGrid>
      <w:tr w:rsidR="005814D5" w:rsidRPr="00B03152" w14:paraId="6A547E8B" w14:textId="77777777" w:rsidTr="00B03152">
        <w:trPr>
          <w:trHeight w:val="520"/>
          <w:jc w:val="center"/>
        </w:trPr>
        <w:tc>
          <w:tcPr>
            <w:tcW w:w="1200" w:type="dxa"/>
            <w:vMerge w:val="restart"/>
            <w:tcBorders>
              <w:top w:val="single" w:sz="4" w:space="0" w:color="auto"/>
              <w:left w:val="single" w:sz="4" w:space="0" w:color="auto"/>
              <w:bottom w:val="single" w:sz="4" w:space="0" w:color="auto"/>
              <w:right w:val="single" w:sz="4" w:space="0" w:color="auto"/>
            </w:tcBorders>
            <w:shd w:val="clear" w:color="000000" w:fill="305496"/>
            <w:vAlign w:val="center"/>
            <w:hideMark/>
          </w:tcPr>
          <w:p w14:paraId="3C4FAA68" w14:textId="77777777" w:rsidR="005814D5" w:rsidRPr="00B03152" w:rsidRDefault="005814D5" w:rsidP="00985591">
            <w:pPr>
              <w:spacing w:line="276" w:lineRule="auto"/>
              <w:jc w:val="center"/>
              <w:rPr>
                <w:rFonts w:ascii="Book Antiqua" w:hAnsi="Book Antiqua" w:cs="Calibri"/>
                <w:b/>
                <w:bCs/>
                <w:color w:val="FFFFFF"/>
                <w:sz w:val="16"/>
                <w:szCs w:val="16"/>
                <w:lang w:eastAsia="es-CR"/>
              </w:rPr>
            </w:pPr>
            <w:r w:rsidRPr="00B03152">
              <w:rPr>
                <w:rFonts w:ascii="Book Antiqua" w:hAnsi="Book Antiqua" w:cs="Calibri"/>
                <w:b/>
                <w:bCs/>
                <w:color w:val="FFFFFF"/>
                <w:sz w:val="16"/>
                <w:szCs w:val="16"/>
                <w:lang w:eastAsia="es-CR"/>
              </w:rPr>
              <w:t xml:space="preserve">Semana </w:t>
            </w:r>
          </w:p>
        </w:tc>
        <w:tc>
          <w:tcPr>
            <w:tcW w:w="1740" w:type="dxa"/>
            <w:tcBorders>
              <w:top w:val="single" w:sz="4" w:space="0" w:color="auto"/>
              <w:left w:val="nil"/>
              <w:bottom w:val="single" w:sz="4" w:space="0" w:color="auto"/>
              <w:right w:val="single" w:sz="4" w:space="0" w:color="auto"/>
            </w:tcBorders>
            <w:shd w:val="clear" w:color="000000" w:fill="305496"/>
            <w:vAlign w:val="center"/>
            <w:hideMark/>
          </w:tcPr>
          <w:p w14:paraId="574928C7" w14:textId="77777777" w:rsidR="005814D5" w:rsidRPr="00B03152" w:rsidRDefault="005814D5" w:rsidP="00985591">
            <w:pPr>
              <w:spacing w:line="276" w:lineRule="auto"/>
              <w:jc w:val="center"/>
              <w:rPr>
                <w:rFonts w:ascii="Book Antiqua" w:hAnsi="Book Antiqua" w:cs="Calibri"/>
                <w:b/>
                <w:bCs/>
                <w:color w:val="FFFFFF"/>
                <w:sz w:val="16"/>
                <w:szCs w:val="16"/>
                <w:lang w:eastAsia="es-CR"/>
              </w:rPr>
            </w:pPr>
            <w:r w:rsidRPr="00B03152">
              <w:rPr>
                <w:rFonts w:ascii="Book Antiqua" w:hAnsi="Book Antiqua" w:cs="Calibri"/>
                <w:b/>
                <w:bCs/>
                <w:color w:val="FFFFFF"/>
                <w:sz w:val="16"/>
                <w:szCs w:val="16"/>
                <w:lang w:eastAsia="es-CR"/>
              </w:rPr>
              <w:t>Juzgados Penales</w:t>
            </w:r>
          </w:p>
        </w:tc>
        <w:tc>
          <w:tcPr>
            <w:tcW w:w="1200" w:type="dxa"/>
            <w:tcBorders>
              <w:top w:val="single" w:sz="4" w:space="0" w:color="auto"/>
              <w:left w:val="nil"/>
              <w:bottom w:val="single" w:sz="4" w:space="0" w:color="auto"/>
              <w:right w:val="single" w:sz="4" w:space="0" w:color="auto"/>
            </w:tcBorders>
            <w:shd w:val="clear" w:color="000000" w:fill="305496"/>
            <w:vAlign w:val="center"/>
            <w:hideMark/>
          </w:tcPr>
          <w:p w14:paraId="2CAE41B2" w14:textId="77777777" w:rsidR="005814D5" w:rsidRPr="00B03152" w:rsidRDefault="005814D5" w:rsidP="00985591">
            <w:pPr>
              <w:spacing w:line="276" w:lineRule="auto"/>
              <w:jc w:val="center"/>
              <w:rPr>
                <w:rFonts w:ascii="Book Antiqua" w:hAnsi="Book Antiqua" w:cs="Calibri"/>
                <w:b/>
                <w:bCs/>
                <w:color w:val="FFFFFF"/>
                <w:sz w:val="16"/>
                <w:szCs w:val="16"/>
                <w:lang w:eastAsia="es-CR"/>
              </w:rPr>
            </w:pPr>
            <w:r w:rsidRPr="00B03152">
              <w:rPr>
                <w:rFonts w:ascii="Book Antiqua" w:hAnsi="Book Antiqua" w:cs="Calibri"/>
                <w:b/>
                <w:bCs/>
                <w:color w:val="FFFFFF"/>
                <w:sz w:val="16"/>
                <w:szCs w:val="16"/>
                <w:lang w:eastAsia="es-CR"/>
              </w:rPr>
              <w:t>Tribunales de Juicio</w:t>
            </w:r>
          </w:p>
        </w:tc>
        <w:tc>
          <w:tcPr>
            <w:tcW w:w="1360" w:type="dxa"/>
            <w:tcBorders>
              <w:top w:val="single" w:sz="4" w:space="0" w:color="auto"/>
              <w:left w:val="nil"/>
              <w:bottom w:val="single" w:sz="4" w:space="0" w:color="auto"/>
              <w:right w:val="single" w:sz="4" w:space="0" w:color="auto"/>
            </w:tcBorders>
            <w:shd w:val="clear" w:color="000000" w:fill="305496"/>
            <w:noWrap/>
            <w:vAlign w:val="center"/>
            <w:hideMark/>
          </w:tcPr>
          <w:p w14:paraId="341B169E" w14:textId="77777777" w:rsidR="005814D5" w:rsidRPr="00B03152" w:rsidRDefault="005814D5" w:rsidP="00985591">
            <w:pPr>
              <w:spacing w:line="276" w:lineRule="auto"/>
              <w:jc w:val="center"/>
              <w:rPr>
                <w:rFonts w:ascii="Book Antiqua" w:hAnsi="Book Antiqua" w:cs="Calibri"/>
                <w:b/>
                <w:bCs/>
                <w:color w:val="FFFFFF"/>
                <w:sz w:val="16"/>
                <w:szCs w:val="16"/>
                <w:lang w:eastAsia="es-CR"/>
              </w:rPr>
            </w:pPr>
            <w:r w:rsidRPr="00B03152">
              <w:rPr>
                <w:rFonts w:ascii="Book Antiqua" w:hAnsi="Book Antiqua" w:cs="Calibri"/>
                <w:b/>
                <w:bCs/>
                <w:color w:val="FFFFFF"/>
                <w:sz w:val="16"/>
                <w:szCs w:val="16"/>
                <w:lang w:eastAsia="es-CR"/>
              </w:rPr>
              <w:t>Flagrancia</w:t>
            </w:r>
          </w:p>
        </w:tc>
        <w:tc>
          <w:tcPr>
            <w:tcW w:w="2540" w:type="dxa"/>
            <w:gridSpan w:val="2"/>
            <w:tcBorders>
              <w:top w:val="single" w:sz="4" w:space="0" w:color="auto"/>
              <w:left w:val="nil"/>
              <w:bottom w:val="single" w:sz="4" w:space="0" w:color="auto"/>
              <w:right w:val="single" w:sz="4" w:space="0" w:color="auto"/>
            </w:tcBorders>
            <w:shd w:val="clear" w:color="000000" w:fill="305496"/>
            <w:noWrap/>
            <w:vAlign w:val="center"/>
            <w:hideMark/>
          </w:tcPr>
          <w:p w14:paraId="0E3F73C8" w14:textId="77777777" w:rsidR="005814D5" w:rsidRPr="00B03152" w:rsidRDefault="005814D5" w:rsidP="00985591">
            <w:pPr>
              <w:spacing w:line="276" w:lineRule="auto"/>
              <w:jc w:val="center"/>
              <w:rPr>
                <w:rFonts w:ascii="Book Antiqua" w:hAnsi="Book Antiqua" w:cs="Calibri"/>
                <w:b/>
                <w:bCs/>
                <w:color w:val="FFFFFF"/>
                <w:sz w:val="16"/>
                <w:szCs w:val="16"/>
                <w:lang w:eastAsia="es-CR"/>
              </w:rPr>
            </w:pPr>
            <w:r w:rsidRPr="00B03152">
              <w:rPr>
                <w:rFonts w:ascii="Book Antiqua" w:hAnsi="Book Antiqua" w:cs="Calibri"/>
                <w:b/>
                <w:bCs/>
                <w:color w:val="FFFFFF"/>
                <w:sz w:val="16"/>
                <w:szCs w:val="16"/>
                <w:lang w:eastAsia="es-CR"/>
              </w:rPr>
              <w:t>Ejecución</w:t>
            </w:r>
          </w:p>
        </w:tc>
        <w:tc>
          <w:tcPr>
            <w:tcW w:w="1340" w:type="dxa"/>
            <w:tcBorders>
              <w:top w:val="single" w:sz="4" w:space="0" w:color="auto"/>
              <w:left w:val="nil"/>
              <w:bottom w:val="single" w:sz="4" w:space="0" w:color="auto"/>
              <w:right w:val="single" w:sz="4" w:space="0" w:color="auto"/>
            </w:tcBorders>
            <w:shd w:val="clear" w:color="000000" w:fill="305496"/>
            <w:noWrap/>
            <w:vAlign w:val="center"/>
            <w:hideMark/>
          </w:tcPr>
          <w:p w14:paraId="334984F7" w14:textId="77777777" w:rsidR="005814D5" w:rsidRPr="00B03152" w:rsidRDefault="005814D5" w:rsidP="00985591">
            <w:pPr>
              <w:spacing w:line="276" w:lineRule="auto"/>
              <w:jc w:val="center"/>
              <w:rPr>
                <w:rFonts w:ascii="Book Antiqua" w:hAnsi="Book Antiqua" w:cs="Calibri"/>
                <w:b/>
                <w:bCs/>
                <w:color w:val="FFFFFF"/>
                <w:sz w:val="16"/>
                <w:szCs w:val="16"/>
                <w:lang w:eastAsia="es-CR"/>
              </w:rPr>
            </w:pPr>
            <w:r w:rsidRPr="00B03152">
              <w:rPr>
                <w:rFonts w:ascii="Book Antiqua" w:hAnsi="Book Antiqua" w:cs="Calibri"/>
                <w:b/>
                <w:bCs/>
                <w:color w:val="FFFFFF"/>
                <w:sz w:val="16"/>
                <w:szCs w:val="16"/>
                <w:lang w:eastAsia="es-CR"/>
              </w:rPr>
              <w:t>Apelación</w:t>
            </w:r>
          </w:p>
        </w:tc>
        <w:tc>
          <w:tcPr>
            <w:tcW w:w="1200" w:type="dxa"/>
            <w:tcBorders>
              <w:top w:val="single" w:sz="4" w:space="0" w:color="auto"/>
              <w:left w:val="nil"/>
              <w:bottom w:val="single" w:sz="4" w:space="0" w:color="auto"/>
              <w:right w:val="single" w:sz="4" w:space="0" w:color="auto"/>
            </w:tcBorders>
            <w:shd w:val="clear" w:color="000000" w:fill="305496"/>
            <w:noWrap/>
            <w:vAlign w:val="center"/>
            <w:hideMark/>
          </w:tcPr>
          <w:p w14:paraId="267ED23F" w14:textId="77777777" w:rsidR="005814D5" w:rsidRPr="00B03152" w:rsidRDefault="005814D5" w:rsidP="00985591">
            <w:pPr>
              <w:spacing w:line="276" w:lineRule="auto"/>
              <w:jc w:val="center"/>
              <w:rPr>
                <w:rFonts w:ascii="Book Antiqua" w:hAnsi="Book Antiqua" w:cs="Calibri"/>
                <w:b/>
                <w:bCs/>
                <w:color w:val="FFFFFF"/>
                <w:sz w:val="16"/>
                <w:szCs w:val="16"/>
                <w:lang w:eastAsia="es-CR"/>
              </w:rPr>
            </w:pPr>
            <w:r w:rsidRPr="00B03152">
              <w:rPr>
                <w:rFonts w:ascii="Book Antiqua" w:hAnsi="Book Antiqua" w:cs="Calibri"/>
                <w:b/>
                <w:bCs/>
                <w:color w:val="FFFFFF"/>
                <w:sz w:val="16"/>
                <w:szCs w:val="16"/>
                <w:lang w:eastAsia="es-CR"/>
              </w:rPr>
              <w:t>Sala Tercera</w:t>
            </w:r>
          </w:p>
        </w:tc>
      </w:tr>
      <w:tr w:rsidR="005814D5" w:rsidRPr="00B03152" w14:paraId="3BB6AE17" w14:textId="77777777" w:rsidTr="00B03152">
        <w:trPr>
          <w:trHeight w:val="1300"/>
          <w:jc w:val="center"/>
        </w:trPr>
        <w:tc>
          <w:tcPr>
            <w:tcW w:w="1200" w:type="dxa"/>
            <w:vMerge/>
            <w:tcBorders>
              <w:top w:val="single" w:sz="4" w:space="0" w:color="auto"/>
              <w:left w:val="single" w:sz="4" w:space="0" w:color="auto"/>
              <w:bottom w:val="single" w:sz="4" w:space="0" w:color="auto"/>
              <w:right w:val="single" w:sz="4" w:space="0" w:color="auto"/>
            </w:tcBorders>
            <w:vAlign w:val="center"/>
            <w:hideMark/>
          </w:tcPr>
          <w:p w14:paraId="46879B86" w14:textId="77777777" w:rsidR="005814D5" w:rsidRPr="00B03152" w:rsidRDefault="005814D5" w:rsidP="00985591">
            <w:pPr>
              <w:spacing w:line="276" w:lineRule="auto"/>
              <w:rPr>
                <w:rFonts w:ascii="Book Antiqua" w:hAnsi="Book Antiqua" w:cs="Calibri"/>
                <w:b/>
                <w:bCs/>
                <w:color w:val="FFFFFF"/>
                <w:sz w:val="16"/>
                <w:szCs w:val="16"/>
                <w:lang w:eastAsia="es-CR"/>
              </w:rPr>
            </w:pPr>
          </w:p>
        </w:tc>
        <w:tc>
          <w:tcPr>
            <w:tcW w:w="1740" w:type="dxa"/>
            <w:tcBorders>
              <w:top w:val="nil"/>
              <w:left w:val="nil"/>
              <w:bottom w:val="single" w:sz="4" w:space="0" w:color="auto"/>
              <w:right w:val="single" w:sz="4" w:space="0" w:color="auto"/>
            </w:tcBorders>
            <w:shd w:val="clear" w:color="000000" w:fill="305496"/>
            <w:vAlign w:val="center"/>
            <w:hideMark/>
          </w:tcPr>
          <w:p w14:paraId="5B663546" w14:textId="77777777" w:rsidR="005814D5" w:rsidRPr="00B03152" w:rsidRDefault="005814D5" w:rsidP="00985591">
            <w:pPr>
              <w:spacing w:line="276" w:lineRule="auto"/>
              <w:jc w:val="center"/>
              <w:rPr>
                <w:rFonts w:ascii="Book Antiqua" w:hAnsi="Book Antiqua" w:cs="Calibri"/>
                <w:b/>
                <w:bCs/>
                <w:color w:val="FFFFFF"/>
                <w:sz w:val="16"/>
                <w:szCs w:val="16"/>
                <w:lang w:eastAsia="es-CR"/>
              </w:rPr>
            </w:pPr>
            <w:r w:rsidRPr="00B03152">
              <w:rPr>
                <w:rFonts w:ascii="Book Antiqua" w:hAnsi="Book Antiqua" w:cs="Calibri"/>
                <w:b/>
                <w:bCs/>
                <w:color w:val="FFFFFF"/>
                <w:sz w:val="16"/>
                <w:szCs w:val="16"/>
                <w:lang w:eastAsia="es-CR"/>
              </w:rPr>
              <w:t>Desestimaciones, sobreseimientos y acusaciones</w:t>
            </w:r>
          </w:p>
        </w:tc>
        <w:tc>
          <w:tcPr>
            <w:tcW w:w="1200" w:type="dxa"/>
            <w:tcBorders>
              <w:top w:val="nil"/>
              <w:left w:val="nil"/>
              <w:bottom w:val="single" w:sz="4" w:space="0" w:color="auto"/>
              <w:right w:val="single" w:sz="4" w:space="0" w:color="auto"/>
            </w:tcBorders>
            <w:shd w:val="clear" w:color="000000" w:fill="305496"/>
            <w:vAlign w:val="center"/>
            <w:hideMark/>
          </w:tcPr>
          <w:p w14:paraId="7B16B736" w14:textId="77777777" w:rsidR="005814D5" w:rsidRPr="00B03152" w:rsidRDefault="005814D5" w:rsidP="00985591">
            <w:pPr>
              <w:spacing w:line="276" w:lineRule="auto"/>
              <w:jc w:val="center"/>
              <w:rPr>
                <w:rFonts w:ascii="Book Antiqua" w:hAnsi="Book Antiqua" w:cs="Calibri"/>
                <w:b/>
                <w:bCs/>
                <w:color w:val="FFFFFF"/>
                <w:sz w:val="16"/>
                <w:szCs w:val="16"/>
                <w:lang w:eastAsia="es-CR"/>
              </w:rPr>
            </w:pPr>
            <w:r w:rsidRPr="00B03152">
              <w:rPr>
                <w:rFonts w:ascii="Book Antiqua" w:hAnsi="Book Antiqua" w:cs="Calibri"/>
                <w:b/>
                <w:bCs/>
                <w:color w:val="FFFFFF"/>
                <w:sz w:val="16"/>
                <w:szCs w:val="16"/>
                <w:lang w:eastAsia="es-CR"/>
              </w:rPr>
              <w:t>Sentencias y medidas alternas</w:t>
            </w:r>
          </w:p>
        </w:tc>
        <w:tc>
          <w:tcPr>
            <w:tcW w:w="1360" w:type="dxa"/>
            <w:tcBorders>
              <w:top w:val="nil"/>
              <w:left w:val="nil"/>
              <w:bottom w:val="single" w:sz="4" w:space="0" w:color="auto"/>
              <w:right w:val="single" w:sz="4" w:space="0" w:color="auto"/>
            </w:tcBorders>
            <w:shd w:val="clear" w:color="000000" w:fill="305496"/>
            <w:vAlign w:val="center"/>
            <w:hideMark/>
          </w:tcPr>
          <w:p w14:paraId="317F8B54" w14:textId="77777777" w:rsidR="005814D5" w:rsidRPr="00B03152" w:rsidRDefault="005814D5" w:rsidP="00985591">
            <w:pPr>
              <w:spacing w:line="276" w:lineRule="auto"/>
              <w:jc w:val="center"/>
              <w:rPr>
                <w:rFonts w:ascii="Book Antiqua" w:hAnsi="Book Antiqua" w:cs="Calibri"/>
                <w:b/>
                <w:bCs/>
                <w:color w:val="FFFFFF"/>
                <w:sz w:val="16"/>
                <w:szCs w:val="16"/>
                <w:lang w:eastAsia="es-CR"/>
              </w:rPr>
            </w:pPr>
            <w:r w:rsidRPr="00B03152">
              <w:rPr>
                <w:rFonts w:ascii="Book Antiqua" w:hAnsi="Book Antiqua" w:cs="Calibri"/>
                <w:b/>
                <w:bCs/>
                <w:color w:val="FFFFFF"/>
                <w:sz w:val="16"/>
                <w:szCs w:val="16"/>
                <w:lang w:eastAsia="es-CR"/>
              </w:rPr>
              <w:t>Audiencias iniciales, sentencias y medidas alternas</w:t>
            </w:r>
          </w:p>
        </w:tc>
        <w:tc>
          <w:tcPr>
            <w:tcW w:w="1200" w:type="dxa"/>
            <w:tcBorders>
              <w:top w:val="nil"/>
              <w:left w:val="nil"/>
              <w:bottom w:val="single" w:sz="4" w:space="0" w:color="auto"/>
              <w:right w:val="single" w:sz="4" w:space="0" w:color="auto"/>
            </w:tcBorders>
            <w:shd w:val="clear" w:color="000000" w:fill="305496"/>
            <w:vAlign w:val="center"/>
            <w:hideMark/>
          </w:tcPr>
          <w:p w14:paraId="0510E0F9" w14:textId="77777777" w:rsidR="005814D5" w:rsidRPr="00B03152" w:rsidRDefault="005814D5" w:rsidP="00985591">
            <w:pPr>
              <w:spacing w:line="276" w:lineRule="auto"/>
              <w:jc w:val="center"/>
              <w:rPr>
                <w:rFonts w:ascii="Book Antiqua" w:hAnsi="Book Antiqua" w:cs="Calibri"/>
                <w:b/>
                <w:bCs/>
                <w:color w:val="FFFFFF"/>
                <w:sz w:val="16"/>
                <w:szCs w:val="16"/>
                <w:lang w:eastAsia="es-CR"/>
              </w:rPr>
            </w:pPr>
            <w:r w:rsidRPr="00B03152">
              <w:rPr>
                <w:rFonts w:ascii="Book Antiqua" w:hAnsi="Book Antiqua" w:cs="Calibri"/>
                <w:b/>
                <w:bCs/>
                <w:color w:val="FFFFFF"/>
                <w:sz w:val="16"/>
                <w:szCs w:val="16"/>
                <w:lang w:eastAsia="es-CR"/>
              </w:rPr>
              <w:t>Autos con carácter de sentencia</w:t>
            </w:r>
          </w:p>
        </w:tc>
        <w:tc>
          <w:tcPr>
            <w:tcW w:w="1340" w:type="dxa"/>
            <w:tcBorders>
              <w:top w:val="nil"/>
              <w:left w:val="nil"/>
              <w:bottom w:val="single" w:sz="4" w:space="0" w:color="auto"/>
              <w:right w:val="single" w:sz="4" w:space="0" w:color="auto"/>
            </w:tcBorders>
            <w:shd w:val="clear" w:color="000000" w:fill="305496"/>
            <w:vAlign w:val="center"/>
            <w:hideMark/>
          </w:tcPr>
          <w:p w14:paraId="7393608F" w14:textId="77777777" w:rsidR="005814D5" w:rsidRPr="00B03152" w:rsidRDefault="005814D5" w:rsidP="00985591">
            <w:pPr>
              <w:spacing w:line="276" w:lineRule="auto"/>
              <w:jc w:val="center"/>
              <w:rPr>
                <w:rFonts w:ascii="Book Antiqua" w:hAnsi="Book Antiqua" w:cs="Calibri"/>
                <w:b/>
                <w:bCs/>
                <w:color w:val="FFFFFF"/>
                <w:sz w:val="16"/>
                <w:szCs w:val="16"/>
                <w:lang w:eastAsia="es-CR"/>
              </w:rPr>
            </w:pPr>
            <w:r w:rsidRPr="00B03152">
              <w:rPr>
                <w:rFonts w:ascii="Book Antiqua" w:hAnsi="Book Antiqua" w:cs="Calibri"/>
                <w:b/>
                <w:bCs/>
                <w:color w:val="FFFFFF"/>
                <w:sz w:val="16"/>
                <w:szCs w:val="16"/>
                <w:lang w:eastAsia="es-CR"/>
              </w:rPr>
              <w:t>Firma de resoluciones</w:t>
            </w:r>
          </w:p>
        </w:tc>
        <w:tc>
          <w:tcPr>
            <w:tcW w:w="1340" w:type="dxa"/>
            <w:tcBorders>
              <w:top w:val="nil"/>
              <w:left w:val="nil"/>
              <w:bottom w:val="single" w:sz="4" w:space="0" w:color="auto"/>
              <w:right w:val="single" w:sz="4" w:space="0" w:color="auto"/>
            </w:tcBorders>
            <w:shd w:val="clear" w:color="000000" w:fill="305496"/>
            <w:vAlign w:val="center"/>
            <w:hideMark/>
          </w:tcPr>
          <w:p w14:paraId="77EC3F50" w14:textId="77777777" w:rsidR="005814D5" w:rsidRPr="00B03152" w:rsidRDefault="005814D5" w:rsidP="00985591">
            <w:pPr>
              <w:spacing w:line="276" w:lineRule="auto"/>
              <w:jc w:val="center"/>
              <w:rPr>
                <w:rFonts w:ascii="Book Antiqua" w:hAnsi="Book Antiqua" w:cs="Calibri"/>
                <w:b/>
                <w:bCs/>
                <w:color w:val="FFFFFF"/>
                <w:sz w:val="16"/>
                <w:szCs w:val="16"/>
                <w:lang w:eastAsia="es-CR"/>
              </w:rPr>
            </w:pPr>
            <w:r w:rsidRPr="00B03152">
              <w:rPr>
                <w:rFonts w:ascii="Book Antiqua" w:hAnsi="Book Antiqua" w:cs="Calibri"/>
                <w:b/>
                <w:bCs/>
                <w:color w:val="FFFFFF"/>
                <w:sz w:val="16"/>
                <w:szCs w:val="16"/>
                <w:lang w:eastAsia="es-CR"/>
              </w:rPr>
              <w:t>Proyecto terminado, circulado y votado</w:t>
            </w:r>
          </w:p>
        </w:tc>
        <w:tc>
          <w:tcPr>
            <w:tcW w:w="1200" w:type="dxa"/>
            <w:tcBorders>
              <w:top w:val="nil"/>
              <w:left w:val="nil"/>
              <w:bottom w:val="single" w:sz="4" w:space="0" w:color="auto"/>
              <w:right w:val="single" w:sz="4" w:space="0" w:color="auto"/>
            </w:tcBorders>
            <w:shd w:val="clear" w:color="000000" w:fill="305496"/>
            <w:vAlign w:val="center"/>
            <w:hideMark/>
          </w:tcPr>
          <w:p w14:paraId="3D45D986" w14:textId="77777777" w:rsidR="005814D5" w:rsidRPr="00B03152" w:rsidRDefault="005814D5" w:rsidP="00985591">
            <w:pPr>
              <w:spacing w:line="276" w:lineRule="auto"/>
              <w:jc w:val="center"/>
              <w:rPr>
                <w:rFonts w:ascii="Book Antiqua" w:hAnsi="Book Antiqua" w:cs="Calibri"/>
                <w:b/>
                <w:bCs/>
                <w:color w:val="FFFFFF"/>
                <w:sz w:val="16"/>
                <w:szCs w:val="16"/>
                <w:lang w:eastAsia="es-CR"/>
              </w:rPr>
            </w:pPr>
            <w:r w:rsidRPr="00B03152">
              <w:rPr>
                <w:rFonts w:ascii="Book Antiqua" w:hAnsi="Book Antiqua" w:cs="Calibri"/>
                <w:b/>
                <w:bCs/>
                <w:color w:val="FFFFFF"/>
                <w:sz w:val="16"/>
                <w:szCs w:val="16"/>
                <w:lang w:eastAsia="es-CR"/>
              </w:rPr>
              <w:t>Proyectos</w:t>
            </w:r>
          </w:p>
        </w:tc>
      </w:tr>
      <w:tr w:rsidR="005814D5" w:rsidRPr="00B03152" w14:paraId="09CB91B5" w14:textId="77777777" w:rsidTr="00B03152">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6A417BF9"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w:t>
            </w:r>
          </w:p>
        </w:tc>
        <w:tc>
          <w:tcPr>
            <w:tcW w:w="1740" w:type="dxa"/>
            <w:tcBorders>
              <w:top w:val="nil"/>
              <w:left w:val="nil"/>
              <w:bottom w:val="single" w:sz="4" w:space="0" w:color="auto"/>
              <w:right w:val="single" w:sz="4" w:space="0" w:color="auto"/>
            </w:tcBorders>
            <w:shd w:val="clear" w:color="000000" w:fill="FFFFFF"/>
            <w:noWrap/>
            <w:vAlign w:val="center"/>
            <w:hideMark/>
          </w:tcPr>
          <w:p w14:paraId="6D3DF491"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69%</w:t>
            </w:r>
          </w:p>
        </w:tc>
        <w:tc>
          <w:tcPr>
            <w:tcW w:w="1200" w:type="dxa"/>
            <w:tcBorders>
              <w:top w:val="nil"/>
              <w:left w:val="nil"/>
              <w:bottom w:val="single" w:sz="4" w:space="0" w:color="auto"/>
              <w:right w:val="single" w:sz="4" w:space="0" w:color="auto"/>
            </w:tcBorders>
            <w:shd w:val="clear" w:color="000000" w:fill="FFFFFF"/>
            <w:noWrap/>
            <w:vAlign w:val="center"/>
            <w:hideMark/>
          </w:tcPr>
          <w:p w14:paraId="7CDC5B34"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142%</w:t>
            </w:r>
          </w:p>
        </w:tc>
        <w:tc>
          <w:tcPr>
            <w:tcW w:w="1360" w:type="dxa"/>
            <w:tcBorders>
              <w:top w:val="nil"/>
              <w:left w:val="nil"/>
              <w:bottom w:val="single" w:sz="4" w:space="0" w:color="auto"/>
              <w:right w:val="single" w:sz="4" w:space="0" w:color="auto"/>
            </w:tcBorders>
            <w:shd w:val="clear" w:color="000000" w:fill="FFFFFF"/>
            <w:noWrap/>
            <w:vAlign w:val="center"/>
            <w:hideMark/>
          </w:tcPr>
          <w:p w14:paraId="2CA3D5E6"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63%</w:t>
            </w:r>
          </w:p>
        </w:tc>
        <w:tc>
          <w:tcPr>
            <w:tcW w:w="1200" w:type="dxa"/>
            <w:tcBorders>
              <w:top w:val="nil"/>
              <w:left w:val="nil"/>
              <w:bottom w:val="single" w:sz="4" w:space="0" w:color="auto"/>
              <w:right w:val="single" w:sz="4" w:space="0" w:color="auto"/>
            </w:tcBorders>
            <w:shd w:val="clear" w:color="000000" w:fill="FFFFFF"/>
            <w:noWrap/>
            <w:vAlign w:val="center"/>
            <w:hideMark/>
          </w:tcPr>
          <w:p w14:paraId="2451A3B6"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88%</w:t>
            </w:r>
          </w:p>
        </w:tc>
        <w:tc>
          <w:tcPr>
            <w:tcW w:w="1340" w:type="dxa"/>
            <w:tcBorders>
              <w:top w:val="nil"/>
              <w:left w:val="nil"/>
              <w:bottom w:val="single" w:sz="4" w:space="0" w:color="auto"/>
              <w:right w:val="single" w:sz="4" w:space="0" w:color="auto"/>
            </w:tcBorders>
            <w:shd w:val="clear" w:color="000000" w:fill="FFFFFF"/>
            <w:noWrap/>
            <w:vAlign w:val="center"/>
            <w:hideMark/>
          </w:tcPr>
          <w:p w14:paraId="6B0237B5"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190%</w:t>
            </w:r>
          </w:p>
        </w:tc>
        <w:tc>
          <w:tcPr>
            <w:tcW w:w="1340" w:type="dxa"/>
            <w:tcBorders>
              <w:top w:val="nil"/>
              <w:left w:val="nil"/>
              <w:bottom w:val="single" w:sz="4" w:space="0" w:color="auto"/>
              <w:right w:val="single" w:sz="4" w:space="0" w:color="auto"/>
            </w:tcBorders>
            <w:shd w:val="clear" w:color="000000" w:fill="FFFFFF"/>
            <w:noWrap/>
            <w:vAlign w:val="center"/>
            <w:hideMark/>
          </w:tcPr>
          <w:p w14:paraId="4F201C9B"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147%</w:t>
            </w:r>
          </w:p>
        </w:tc>
        <w:tc>
          <w:tcPr>
            <w:tcW w:w="1200" w:type="dxa"/>
            <w:tcBorders>
              <w:top w:val="nil"/>
              <w:left w:val="nil"/>
              <w:bottom w:val="single" w:sz="4" w:space="0" w:color="auto"/>
              <w:right w:val="single" w:sz="4" w:space="0" w:color="auto"/>
            </w:tcBorders>
            <w:shd w:val="clear" w:color="000000" w:fill="FFFFFF"/>
            <w:noWrap/>
            <w:vAlign w:val="center"/>
            <w:hideMark/>
          </w:tcPr>
          <w:p w14:paraId="1DF637E8"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115%</w:t>
            </w:r>
          </w:p>
        </w:tc>
      </w:tr>
      <w:tr w:rsidR="005814D5" w:rsidRPr="00B03152" w14:paraId="4E076DBF" w14:textId="77777777" w:rsidTr="00B03152">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61A178BC"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2</w:t>
            </w:r>
          </w:p>
        </w:tc>
        <w:tc>
          <w:tcPr>
            <w:tcW w:w="1740" w:type="dxa"/>
            <w:tcBorders>
              <w:top w:val="nil"/>
              <w:left w:val="nil"/>
              <w:bottom w:val="single" w:sz="4" w:space="0" w:color="auto"/>
              <w:right w:val="single" w:sz="4" w:space="0" w:color="auto"/>
            </w:tcBorders>
            <w:shd w:val="clear" w:color="000000" w:fill="FFFFFF"/>
            <w:noWrap/>
            <w:vAlign w:val="center"/>
            <w:hideMark/>
          </w:tcPr>
          <w:p w14:paraId="0AA1B60B"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74%</w:t>
            </w:r>
          </w:p>
        </w:tc>
        <w:tc>
          <w:tcPr>
            <w:tcW w:w="1200" w:type="dxa"/>
            <w:tcBorders>
              <w:top w:val="nil"/>
              <w:left w:val="nil"/>
              <w:bottom w:val="single" w:sz="4" w:space="0" w:color="auto"/>
              <w:right w:val="single" w:sz="4" w:space="0" w:color="auto"/>
            </w:tcBorders>
            <w:shd w:val="clear" w:color="000000" w:fill="FFFFFF"/>
            <w:noWrap/>
            <w:vAlign w:val="center"/>
            <w:hideMark/>
          </w:tcPr>
          <w:p w14:paraId="78D16D21"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86%</w:t>
            </w:r>
          </w:p>
        </w:tc>
        <w:tc>
          <w:tcPr>
            <w:tcW w:w="1360" w:type="dxa"/>
            <w:tcBorders>
              <w:top w:val="nil"/>
              <w:left w:val="nil"/>
              <w:bottom w:val="single" w:sz="4" w:space="0" w:color="auto"/>
              <w:right w:val="single" w:sz="4" w:space="0" w:color="auto"/>
            </w:tcBorders>
            <w:shd w:val="clear" w:color="000000" w:fill="FFFFFF"/>
            <w:noWrap/>
            <w:vAlign w:val="center"/>
            <w:hideMark/>
          </w:tcPr>
          <w:p w14:paraId="1554807B"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77%</w:t>
            </w:r>
          </w:p>
        </w:tc>
        <w:tc>
          <w:tcPr>
            <w:tcW w:w="1200" w:type="dxa"/>
            <w:tcBorders>
              <w:top w:val="nil"/>
              <w:left w:val="nil"/>
              <w:bottom w:val="single" w:sz="4" w:space="0" w:color="auto"/>
              <w:right w:val="single" w:sz="4" w:space="0" w:color="auto"/>
            </w:tcBorders>
            <w:shd w:val="clear" w:color="000000" w:fill="FFFFFF"/>
            <w:noWrap/>
            <w:vAlign w:val="center"/>
            <w:hideMark/>
          </w:tcPr>
          <w:p w14:paraId="65D19AF7"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85%</w:t>
            </w:r>
          </w:p>
        </w:tc>
        <w:tc>
          <w:tcPr>
            <w:tcW w:w="1340" w:type="dxa"/>
            <w:tcBorders>
              <w:top w:val="nil"/>
              <w:left w:val="nil"/>
              <w:bottom w:val="single" w:sz="4" w:space="0" w:color="auto"/>
              <w:right w:val="single" w:sz="4" w:space="0" w:color="auto"/>
            </w:tcBorders>
            <w:shd w:val="clear" w:color="000000" w:fill="FFFFFF"/>
            <w:noWrap/>
            <w:vAlign w:val="center"/>
            <w:hideMark/>
          </w:tcPr>
          <w:p w14:paraId="3532DCFC"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227%</w:t>
            </w:r>
          </w:p>
        </w:tc>
        <w:tc>
          <w:tcPr>
            <w:tcW w:w="1340" w:type="dxa"/>
            <w:tcBorders>
              <w:top w:val="nil"/>
              <w:left w:val="nil"/>
              <w:bottom w:val="single" w:sz="4" w:space="0" w:color="auto"/>
              <w:right w:val="single" w:sz="4" w:space="0" w:color="auto"/>
            </w:tcBorders>
            <w:shd w:val="clear" w:color="000000" w:fill="FFFFFF"/>
            <w:noWrap/>
            <w:vAlign w:val="center"/>
            <w:hideMark/>
          </w:tcPr>
          <w:p w14:paraId="7B546E8F"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102%</w:t>
            </w:r>
          </w:p>
        </w:tc>
        <w:tc>
          <w:tcPr>
            <w:tcW w:w="1200" w:type="dxa"/>
            <w:tcBorders>
              <w:top w:val="nil"/>
              <w:left w:val="nil"/>
              <w:bottom w:val="single" w:sz="4" w:space="0" w:color="auto"/>
              <w:right w:val="single" w:sz="4" w:space="0" w:color="auto"/>
            </w:tcBorders>
            <w:shd w:val="clear" w:color="000000" w:fill="FFFFFF"/>
            <w:noWrap/>
            <w:vAlign w:val="center"/>
            <w:hideMark/>
          </w:tcPr>
          <w:p w14:paraId="71225AEF"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94%</w:t>
            </w:r>
          </w:p>
        </w:tc>
      </w:tr>
      <w:tr w:rsidR="005814D5" w:rsidRPr="00B03152" w14:paraId="03A885E1" w14:textId="77777777" w:rsidTr="00B03152">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0E0A1A06"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3</w:t>
            </w:r>
          </w:p>
        </w:tc>
        <w:tc>
          <w:tcPr>
            <w:tcW w:w="1740" w:type="dxa"/>
            <w:tcBorders>
              <w:top w:val="nil"/>
              <w:left w:val="nil"/>
              <w:bottom w:val="single" w:sz="4" w:space="0" w:color="auto"/>
              <w:right w:val="single" w:sz="4" w:space="0" w:color="auto"/>
            </w:tcBorders>
            <w:shd w:val="clear" w:color="000000" w:fill="FFFFFF"/>
            <w:noWrap/>
            <w:vAlign w:val="center"/>
            <w:hideMark/>
          </w:tcPr>
          <w:p w14:paraId="3494FF4B"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86%</w:t>
            </w:r>
          </w:p>
        </w:tc>
        <w:tc>
          <w:tcPr>
            <w:tcW w:w="1200" w:type="dxa"/>
            <w:tcBorders>
              <w:top w:val="nil"/>
              <w:left w:val="nil"/>
              <w:bottom w:val="single" w:sz="4" w:space="0" w:color="auto"/>
              <w:right w:val="single" w:sz="4" w:space="0" w:color="auto"/>
            </w:tcBorders>
            <w:shd w:val="clear" w:color="000000" w:fill="FFFFFF"/>
            <w:noWrap/>
            <w:vAlign w:val="center"/>
            <w:hideMark/>
          </w:tcPr>
          <w:p w14:paraId="5312B30B"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92%</w:t>
            </w:r>
          </w:p>
        </w:tc>
        <w:tc>
          <w:tcPr>
            <w:tcW w:w="1360" w:type="dxa"/>
            <w:tcBorders>
              <w:top w:val="nil"/>
              <w:left w:val="nil"/>
              <w:bottom w:val="single" w:sz="4" w:space="0" w:color="auto"/>
              <w:right w:val="single" w:sz="4" w:space="0" w:color="auto"/>
            </w:tcBorders>
            <w:shd w:val="clear" w:color="000000" w:fill="FFFFFF"/>
            <w:noWrap/>
            <w:vAlign w:val="center"/>
            <w:hideMark/>
          </w:tcPr>
          <w:p w14:paraId="0F6B7BD3"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53%</w:t>
            </w:r>
          </w:p>
        </w:tc>
        <w:tc>
          <w:tcPr>
            <w:tcW w:w="1200" w:type="dxa"/>
            <w:tcBorders>
              <w:top w:val="nil"/>
              <w:left w:val="nil"/>
              <w:bottom w:val="single" w:sz="4" w:space="0" w:color="auto"/>
              <w:right w:val="single" w:sz="4" w:space="0" w:color="auto"/>
            </w:tcBorders>
            <w:shd w:val="clear" w:color="000000" w:fill="FFFFFF"/>
            <w:noWrap/>
            <w:vAlign w:val="center"/>
            <w:hideMark/>
          </w:tcPr>
          <w:p w14:paraId="297A046D"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99%</w:t>
            </w:r>
          </w:p>
        </w:tc>
        <w:tc>
          <w:tcPr>
            <w:tcW w:w="1340" w:type="dxa"/>
            <w:tcBorders>
              <w:top w:val="nil"/>
              <w:left w:val="nil"/>
              <w:bottom w:val="single" w:sz="4" w:space="0" w:color="auto"/>
              <w:right w:val="single" w:sz="4" w:space="0" w:color="auto"/>
            </w:tcBorders>
            <w:shd w:val="clear" w:color="000000" w:fill="FFFFFF"/>
            <w:noWrap/>
            <w:vAlign w:val="center"/>
            <w:hideMark/>
          </w:tcPr>
          <w:p w14:paraId="49089AF8"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244%</w:t>
            </w:r>
          </w:p>
        </w:tc>
        <w:tc>
          <w:tcPr>
            <w:tcW w:w="1340" w:type="dxa"/>
            <w:tcBorders>
              <w:top w:val="nil"/>
              <w:left w:val="nil"/>
              <w:bottom w:val="single" w:sz="4" w:space="0" w:color="auto"/>
              <w:right w:val="single" w:sz="4" w:space="0" w:color="auto"/>
            </w:tcBorders>
            <w:shd w:val="clear" w:color="000000" w:fill="FFFFFF"/>
            <w:noWrap/>
            <w:vAlign w:val="center"/>
            <w:hideMark/>
          </w:tcPr>
          <w:p w14:paraId="6A2DFFF9"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113%</w:t>
            </w:r>
          </w:p>
        </w:tc>
        <w:tc>
          <w:tcPr>
            <w:tcW w:w="1200" w:type="dxa"/>
            <w:tcBorders>
              <w:top w:val="nil"/>
              <w:left w:val="nil"/>
              <w:bottom w:val="single" w:sz="4" w:space="0" w:color="auto"/>
              <w:right w:val="single" w:sz="4" w:space="0" w:color="auto"/>
            </w:tcBorders>
            <w:shd w:val="clear" w:color="000000" w:fill="FFFFFF"/>
            <w:noWrap/>
            <w:vAlign w:val="center"/>
            <w:hideMark/>
          </w:tcPr>
          <w:p w14:paraId="01C1D22C"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94%</w:t>
            </w:r>
          </w:p>
        </w:tc>
      </w:tr>
      <w:tr w:rsidR="005814D5" w:rsidRPr="00B03152" w14:paraId="4A955E70" w14:textId="77777777" w:rsidTr="00B03152">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7324BC70"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4</w:t>
            </w:r>
          </w:p>
        </w:tc>
        <w:tc>
          <w:tcPr>
            <w:tcW w:w="1740" w:type="dxa"/>
            <w:tcBorders>
              <w:top w:val="nil"/>
              <w:left w:val="nil"/>
              <w:bottom w:val="single" w:sz="4" w:space="0" w:color="auto"/>
              <w:right w:val="single" w:sz="4" w:space="0" w:color="auto"/>
            </w:tcBorders>
            <w:shd w:val="clear" w:color="000000" w:fill="FFFFFF"/>
            <w:noWrap/>
            <w:vAlign w:val="center"/>
            <w:hideMark/>
          </w:tcPr>
          <w:p w14:paraId="635E1242"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96%</w:t>
            </w:r>
          </w:p>
        </w:tc>
        <w:tc>
          <w:tcPr>
            <w:tcW w:w="1200" w:type="dxa"/>
            <w:tcBorders>
              <w:top w:val="nil"/>
              <w:left w:val="nil"/>
              <w:bottom w:val="single" w:sz="4" w:space="0" w:color="auto"/>
              <w:right w:val="single" w:sz="4" w:space="0" w:color="auto"/>
            </w:tcBorders>
            <w:shd w:val="clear" w:color="000000" w:fill="FFFFFF"/>
            <w:noWrap/>
            <w:vAlign w:val="center"/>
            <w:hideMark/>
          </w:tcPr>
          <w:p w14:paraId="2AEF492A"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97%</w:t>
            </w:r>
          </w:p>
        </w:tc>
        <w:tc>
          <w:tcPr>
            <w:tcW w:w="1360" w:type="dxa"/>
            <w:tcBorders>
              <w:top w:val="nil"/>
              <w:left w:val="nil"/>
              <w:bottom w:val="single" w:sz="4" w:space="0" w:color="auto"/>
              <w:right w:val="single" w:sz="4" w:space="0" w:color="auto"/>
            </w:tcBorders>
            <w:shd w:val="clear" w:color="000000" w:fill="FFFFFF"/>
            <w:noWrap/>
            <w:vAlign w:val="center"/>
            <w:hideMark/>
          </w:tcPr>
          <w:p w14:paraId="38D6AC45"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44%</w:t>
            </w:r>
          </w:p>
        </w:tc>
        <w:tc>
          <w:tcPr>
            <w:tcW w:w="1200" w:type="dxa"/>
            <w:tcBorders>
              <w:top w:val="nil"/>
              <w:left w:val="nil"/>
              <w:bottom w:val="single" w:sz="4" w:space="0" w:color="auto"/>
              <w:right w:val="single" w:sz="4" w:space="0" w:color="auto"/>
            </w:tcBorders>
            <w:shd w:val="clear" w:color="000000" w:fill="FFFFFF"/>
            <w:noWrap/>
            <w:vAlign w:val="center"/>
            <w:hideMark/>
          </w:tcPr>
          <w:p w14:paraId="1E9BAF01"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161%</w:t>
            </w:r>
          </w:p>
        </w:tc>
        <w:tc>
          <w:tcPr>
            <w:tcW w:w="1340" w:type="dxa"/>
            <w:tcBorders>
              <w:top w:val="nil"/>
              <w:left w:val="nil"/>
              <w:bottom w:val="single" w:sz="4" w:space="0" w:color="auto"/>
              <w:right w:val="single" w:sz="4" w:space="0" w:color="auto"/>
            </w:tcBorders>
            <w:shd w:val="clear" w:color="000000" w:fill="FFFFFF"/>
            <w:noWrap/>
            <w:vAlign w:val="center"/>
            <w:hideMark/>
          </w:tcPr>
          <w:p w14:paraId="55958E55"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273%</w:t>
            </w:r>
          </w:p>
        </w:tc>
        <w:tc>
          <w:tcPr>
            <w:tcW w:w="1340" w:type="dxa"/>
            <w:tcBorders>
              <w:top w:val="nil"/>
              <w:left w:val="nil"/>
              <w:bottom w:val="single" w:sz="4" w:space="0" w:color="auto"/>
              <w:right w:val="single" w:sz="4" w:space="0" w:color="auto"/>
            </w:tcBorders>
            <w:shd w:val="clear" w:color="000000" w:fill="FFFFFF"/>
            <w:noWrap/>
            <w:vAlign w:val="center"/>
            <w:hideMark/>
          </w:tcPr>
          <w:p w14:paraId="65822BF7"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198%</w:t>
            </w:r>
          </w:p>
        </w:tc>
        <w:tc>
          <w:tcPr>
            <w:tcW w:w="1200" w:type="dxa"/>
            <w:tcBorders>
              <w:top w:val="nil"/>
              <w:left w:val="nil"/>
              <w:bottom w:val="single" w:sz="4" w:space="0" w:color="auto"/>
              <w:right w:val="single" w:sz="4" w:space="0" w:color="auto"/>
            </w:tcBorders>
            <w:shd w:val="clear" w:color="000000" w:fill="FFFFFF"/>
            <w:noWrap/>
            <w:vAlign w:val="center"/>
            <w:hideMark/>
          </w:tcPr>
          <w:p w14:paraId="4DDDA1CF"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68%</w:t>
            </w:r>
          </w:p>
        </w:tc>
      </w:tr>
      <w:tr w:rsidR="005814D5" w:rsidRPr="00B03152" w14:paraId="7919C4C5" w14:textId="77777777" w:rsidTr="00B03152">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5F54B92A"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5</w:t>
            </w:r>
          </w:p>
        </w:tc>
        <w:tc>
          <w:tcPr>
            <w:tcW w:w="1740" w:type="dxa"/>
            <w:tcBorders>
              <w:top w:val="nil"/>
              <w:left w:val="nil"/>
              <w:bottom w:val="single" w:sz="4" w:space="0" w:color="auto"/>
              <w:right w:val="single" w:sz="4" w:space="0" w:color="auto"/>
            </w:tcBorders>
            <w:shd w:val="clear" w:color="000000" w:fill="FFFFFF"/>
            <w:noWrap/>
            <w:vAlign w:val="center"/>
            <w:hideMark/>
          </w:tcPr>
          <w:p w14:paraId="50506F3A"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73%</w:t>
            </w:r>
          </w:p>
        </w:tc>
        <w:tc>
          <w:tcPr>
            <w:tcW w:w="1200" w:type="dxa"/>
            <w:tcBorders>
              <w:top w:val="nil"/>
              <w:left w:val="nil"/>
              <w:bottom w:val="single" w:sz="4" w:space="0" w:color="auto"/>
              <w:right w:val="single" w:sz="4" w:space="0" w:color="auto"/>
            </w:tcBorders>
            <w:shd w:val="clear" w:color="000000" w:fill="FFFFFF"/>
            <w:noWrap/>
            <w:vAlign w:val="center"/>
            <w:hideMark/>
          </w:tcPr>
          <w:p w14:paraId="38C7DE49"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93%</w:t>
            </w:r>
          </w:p>
        </w:tc>
        <w:tc>
          <w:tcPr>
            <w:tcW w:w="1360" w:type="dxa"/>
            <w:tcBorders>
              <w:top w:val="nil"/>
              <w:left w:val="nil"/>
              <w:bottom w:val="single" w:sz="4" w:space="0" w:color="auto"/>
              <w:right w:val="single" w:sz="4" w:space="0" w:color="auto"/>
            </w:tcBorders>
            <w:shd w:val="clear" w:color="000000" w:fill="FFFFFF"/>
            <w:noWrap/>
            <w:vAlign w:val="center"/>
            <w:hideMark/>
          </w:tcPr>
          <w:p w14:paraId="66A764AB"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58%</w:t>
            </w:r>
          </w:p>
        </w:tc>
        <w:tc>
          <w:tcPr>
            <w:tcW w:w="1200" w:type="dxa"/>
            <w:tcBorders>
              <w:top w:val="nil"/>
              <w:left w:val="nil"/>
              <w:bottom w:val="single" w:sz="4" w:space="0" w:color="auto"/>
              <w:right w:val="single" w:sz="4" w:space="0" w:color="auto"/>
            </w:tcBorders>
            <w:shd w:val="clear" w:color="000000" w:fill="FFFFFF"/>
            <w:noWrap/>
            <w:vAlign w:val="center"/>
            <w:hideMark/>
          </w:tcPr>
          <w:p w14:paraId="3ECDDF45"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109%</w:t>
            </w:r>
          </w:p>
        </w:tc>
        <w:tc>
          <w:tcPr>
            <w:tcW w:w="1340" w:type="dxa"/>
            <w:tcBorders>
              <w:top w:val="nil"/>
              <w:left w:val="nil"/>
              <w:bottom w:val="single" w:sz="4" w:space="0" w:color="auto"/>
              <w:right w:val="single" w:sz="4" w:space="0" w:color="auto"/>
            </w:tcBorders>
            <w:shd w:val="clear" w:color="000000" w:fill="FFFFFF"/>
            <w:noWrap/>
            <w:vAlign w:val="center"/>
            <w:hideMark/>
          </w:tcPr>
          <w:p w14:paraId="7AFB2A29"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185%</w:t>
            </w:r>
          </w:p>
        </w:tc>
        <w:tc>
          <w:tcPr>
            <w:tcW w:w="1340" w:type="dxa"/>
            <w:tcBorders>
              <w:top w:val="nil"/>
              <w:left w:val="nil"/>
              <w:bottom w:val="single" w:sz="4" w:space="0" w:color="auto"/>
              <w:right w:val="single" w:sz="4" w:space="0" w:color="auto"/>
            </w:tcBorders>
            <w:shd w:val="clear" w:color="000000" w:fill="FFFFFF"/>
            <w:noWrap/>
            <w:vAlign w:val="center"/>
            <w:hideMark/>
          </w:tcPr>
          <w:p w14:paraId="108D6DC5"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88%</w:t>
            </w:r>
          </w:p>
        </w:tc>
        <w:tc>
          <w:tcPr>
            <w:tcW w:w="1200" w:type="dxa"/>
            <w:tcBorders>
              <w:top w:val="nil"/>
              <w:left w:val="nil"/>
              <w:bottom w:val="single" w:sz="4" w:space="0" w:color="auto"/>
              <w:right w:val="single" w:sz="4" w:space="0" w:color="auto"/>
            </w:tcBorders>
            <w:shd w:val="clear" w:color="000000" w:fill="FFFFFF"/>
            <w:noWrap/>
            <w:vAlign w:val="center"/>
            <w:hideMark/>
          </w:tcPr>
          <w:p w14:paraId="1CB8D03F"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88%</w:t>
            </w:r>
          </w:p>
        </w:tc>
      </w:tr>
      <w:tr w:rsidR="005814D5" w:rsidRPr="00B03152" w14:paraId="1D3ACB10" w14:textId="77777777" w:rsidTr="00B03152">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6C9EA922"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6</w:t>
            </w:r>
          </w:p>
        </w:tc>
        <w:tc>
          <w:tcPr>
            <w:tcW w:w="1740" w:type="dxa"/>
            <w:tcBorders>
              <w:top w:val="nil"/>
              <w:left w:val="nil"/>
              <w:bottom w:val="single" w:sz="4" w:space="0" w:color="auto"/>
              <w:right w:val="single" w:sz="4" w:space="0" w:color="auto"/>
            </w:tcBorders>
            <w:shd w:val="clear" w:color="000000" w:fill="FFFFFF"/>
            <w:noWrap/>
            <w:vAlign w:val="center"/>
            <w:hideMark/>
          </w:tcPr>
          <w:p w14:paraId="1DCB6907"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81%</w:t>
            </w:r>
          </w:p>
        </w:tc>
        <w:tc>
          <w:tcPr>
            <w:tcW w:w="1200" w:type="dxa"/>
            <w:tcBorders>
              <w:top w:val="nil"/>
              <w:left w:val="nil"/>
              <w:bottom w:val="single" w:sz="4" w:space="0" w:color="auto"/>
              <w:right w:val="single" w:sz="4" w:space="0" w:color="auto"/>
            </w:tcBorders>
            <w:shd w:val="clear" w:color="000000" w:fill="FFFFFF"/>
            <w:noWrap/>
            <w:vAlign w:val="center"/>
            <w:hideMark/>
          </w:tcPr>
          <w:p w14:paraId="1F88E5C5"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88%</w:t>
            </w:r>
          </w:p>
        </w:tc>
        <w:tc>
          <w:tcPr>
            <w:tcW w:w="1360" w:type="dxa"/>
            <w:tcBorders>
              <w:top w:val="nil"/>
              <w:left w:val="nil"/>
              <w:bottom w:val="single" w:sz="4" w:space="0" w:color="auto"/>
              <w:right w:val="single" w:sz="4" w:space="0" w:color="auto"/>
            </w:tcBorders>
            <w:shd w:val="clear" w:color="000000" w:fill="FFFFFF"/>
            <w:noWrap/>
            <w:vAlign w:val="center"/>
            <w:hideMark/>
          </w:tcPr>
          <w:p w14:paraId="61E38131"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58%</w:t>
            </w:r>
          </w:p>
        </w:tc>
        <w:tc>
          <w:tcPr>
            <w:tcW w:w="1200" w:type="dxa"/>
            <w:tcBorders>
              <w:top w:val="nil"/>
              <w:left w:val="nil"/>
              <w:bottom w:val="single" w:sz="4" w:space="0" w:color="auto"/>
              <w:right w:val="single" w:sz="4" w:space="0" w:color="auto"/>
            </w:tcBorders>
            <w:shd w:val="clear" w:color="000000" w:fill="FFFFFF"/>
            <w:noWrap/>
            <w:vAlign w:val="center"/>
            <w:hideMark/>
          </w:tcPr>
          <w:p w14:paraId="6FE031B4"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96%</w:t>
            </w:r>
          </w:p>
        </w:tc>
        <w:tc>
          <w:tcPr>
            <w:tcW w:w="1340" w:type="dxa"/>
            <w:tcBorders>
              <w:top w:val="nil"/>
              <w:left w:val="nil"/>
              <w:bottom w:val="single" w:sz="4" w:space="0" w:color="auto"/>
              <w:right w:val="single" w:sz="4" w:space="0" w:color="auto"/>
            </w:tcBorders>
            <w:shd w:val="clear" w:color="000000" w:fill="FFFFFF"/>
            <w:noWrap/>
            <w:vAlign w:val="center"/>
            <w:hideMark/>
          </w:tcPr>
          <w:p w14:paraId="06DFBEBB"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871%</w:t>
            </w:r>
          </w:p>
        </w:tc>
        <w:tc>
          <w:tcPr>
            <w:tcW w:w="1340" w:type="dxa"/>
            <w:tcBorders>
              <w:top w:val="nil"/>
              <w:left w:val="nil"/>
              <w:bottom w:val="single" w:sz="4" w:space="0" w:color="auto"/>
              <w:right w:val="single" w:sz="4" w:space="0" w:color="auto"/>
            </w:tcBorders>
            <w:shd w:val="clear" w:color="000000" w:fill="FFFFFF"/>
            <w:noWrap/>
            <w:vAlign w:val="center"/>
            <w:hideMark/>
          </w:tcPr>
          <w:p w14:paraId="50A4B49E"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105%</w:t>
            </w:r>
          </w:p>
        </w:tc>
        <w:tc>
          <w:tcPr>
            <w:tcW w:w="1200" w:type="dxa"/>
            <w:tcBorders>
              <w:top w:val="nil"/>
              <w:left w:val="nil"/>
              <w:bottom w:val="single" w:sz="4" w:space="0" w:color="auto"/>
              <w:right w:val="single" w:sz="4" w:space="0" w:color="auto"/>
            </w:tcBorders>
            <w:shd w:val="clear" w:color="000000" w:fill="FFFFFF"/>
            <w:noWrap/>
            <w:vAlign w:val="center"/>
            <w:hideMark/>
          </w:tcPr>
          <w:p w14:paraId="59B20370"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97%</w:t>
            </w:r>
          </w:p>
        </w:tc>
      </w:tr>
      <w:tr w:rsidR="005814D5" w:rsidRPr="00B03152" w14:paraId="0963FDE8" w14:textId="77777777" w:rsidTr="00B03152">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738CE373"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7</w:t>
            </w:r>
          </w:p>
        </w:tc>
        <w:tc>
          <w:tcPr>
            <w:tcW w:w="1740" w:type="dxa"/>
            <w:tcBorders>
              <w:top w:val="nil"/>
              <w:left w:val="nil"/>
              <w:bottom w:val="single" w:sz="4" w:space="0" w:color="auto"/>
              <w:right w:val="single" w:sz="4" w:space="0" w:color="auto"/>
            </w:tcBorders>
            <w:shd w:val="clear" w:color="000000" w:fill="FFFFFF"/>
            <w:noWrap/>
            <w:vAlign w:val="center"/>
            <w:hideMark/>
          </w:tcPr>
          <w:p w14:paraId="7EFEAD48"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81%</w:t>
            </w:r>
          </w:p>
        </w:tc>
        <w:tc>
          <w:tcPr>
            <w:tcW w:w="1200" w:type="dxa"/>
            <w:tcBorders>
              <w:top w:val="nil"/>
              <w:left w:val="nil"/>
              <w:bottom w:val="single" w:sz="4" w:space="0" w:color="auto"/>
              <w:right w:val="single" w:sz="4" w:space="0" w:color="auto"/>
            </w:tcBorders>
            <w:shd w:val="clear" w:color="000000" w:fill="FFFFFF"/>
            <w:noWrap/>
            <w:vAlign w:val="center"/>
            <w:hideMark/>
          </w:tcPr>
          <w:p w14:paraId="0B4AA2C3"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71%</w:t>
            </w:r>
          </w:p>
        </w:tc>
        <w:tc>
          <w:tcPr>
            <w:tcW w:w="1360" w:type="dxa"/>
            <w:tcBorders>
              <w:top w:val="nil"/>
              <w:left w:val="nil"/>
              <w:bottom w:val="single" w:sz="4" w:space="0" w:color="auto"/>
              <w:right w:val="single" w:sz="4" w:space="0" w:color="auto"/>
            </w:tcBorders>
            <w:shd w:val="clear" w:color="000000" w:fill="FFFFFF"/>
            <w:noWrap/>
            <w:vAlign w:val="center"/>
            <w:hideMark/>
          </w:tcPr>
          <w:p w14:paraId="4952D334"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56%</w:t>
            </w:r>
          </w:p>
        </w:tc>
        <w:tc>
          <w:tcPr>
            <w:tcW w:w="1200" w:type="dxa"/>
            <w:tcBorders>
              <w:top w:val="nil"/>
              <w:left w:val="nil"/>
              <w:bottom w:val="single" w:sz="4" w:space="0" w:color="auto"/>
              <w:right w:val="single" w:sz="4" w:space="0" w:color="auto"/>
            </w:tcBorders>
            <w:shd w:val="clear" w:color="000000" w:fill="FFFFFF"/>
            <w:noWrap/>
            <w:vAlign w:val="center"/>
            <w:hideMark/>
          </w:tcPr>
          <w:p w14:paraId="097D4CDB"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93%</w:t>
            </w:r>
          </w:p>
        </w:tc>
        <w:tc>
          <w:tcPr>
            <w:tcW w:w="1340" w:type="dxa"/>
            <w:tcBorders>
              <w:top w:val="nil"/>
              <w:left w:val="nil"/>
              <w:bottom w:val="single" w:sz="4" w:space="0" w:color="auto"/>
              <w:right w:val="single" w:sz="4" w:space="0" w:color="auto"/>
            </w:tcBorders>
            <w:shd w:val="clear" w:color="000000" w:fill="FFFFFF"/>
            <w:noWrap/>
            <w:vAlign w:val="center"/>
            <w:hideMark/>
          </w:tcPr>
          <w:p w14:paraId="26FA34AB"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227%</w:t>
            </w:r>
          </w:p>
        </w:tc>
        <w:tc>
          <w:tcPr>
            <w:tcW w:w="1340" w:type="dxa"/>
            <w:tcBorders>
              <w:top w:val="nil"/>
              <w:left w:val="nil"/>
              <w:bottom w:val="single" w:sz="4" w:space="0" w:color="auto"/>
              <w:right w:val="single" w:sz="4" w:space="0" w:color="auto"/>
            </w:tcBorders>
            <w:shd w:val="clear" w:color="000000" w:fill="FFFFFF"/>
            <w:noWrap/>
            <w:vAlign w:val="center"/>
            <w:hideMark/>
          </w:tcPr>
          <w:p w14:paraId="67C3460E"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69%</w:t>
            </w:r>
          </w:p>
        </w:tc>
        <w:tc>
          <w:tcPr>
            <w:tcW w:w="1200" w:type="dxa"/>
            <w:tcBorders>
              <w:top w:val="nil"/>
              <w:left w:val="nil"/>
              <w:bottom w:val="single" w:sz="4" w:space="0" w:color="auto"/>
              <w:right w:val="single" w:sz="4" w:space="0" w:color="auto"/>
            </w:tcBorders>
            <w:shd w:val="clear" w:color="000000" w:fill="FFFFFF"/>
            <w:noWrap/>
            <w:vAlign w:val="center"/>
            <w:hideMark/>
          </w:tcPr>
          <w:p w14:paraId="4963814B"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82%</w:t>
            </w:r>
          </w:p>
        </w:tc>
      </w:tr>
      <w:tr w:rsidR="005814D5" w:rsidRPr="00B03152" w14:paraId="097888E7" w14:textId="77777777" w:rsidTr="00B03152">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5C1050B9"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8</w:t>
            </w:r>
          </w:p>
        </w:tc>
        <w:tc>
          <w:tcPr>
            <w:tcW w:w="1740" w:type="dxa"/>
            <w:tcBorders>
              <w:top w:val="nil"/>
              <w:left w:val="nil"/>
              <w:bottom w:val="single" w:sz="4" w:space="0" w:color="auto"/>
              <w:right w:val="single" w:sz="4" w:space="0" w:color="auto"/>
            </w:tcBorders>
            <w:shd w:val="clear" w:color="000000" w:fill="FFFFFF"/>
            <w:noWrap/>
            <w:vAlign w:val="center"/>
            <w:hideMark/>
          </w:tcPr>
          <w:p w14:paraId="78F59FD2"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78%</w:t>
            </w:r>
          </w:p>
        </w:tc>
        <w:tc>
          <w:tcPr>
            <w:tcW w:w="1200" w:type="dxa"/>
            <w:tcBorders>
              <w:top w:val="nil"/>
              <w:left w:val="nil"/>
              <w:bottom w:val="single" w:sz="4" w:space="0" w:color="auto"/>
              <w:right w:val="single" w:sz="4" w:space="0" w:color="auto"/>
            </w:tcBorders>
            <w:shd w:val="clear" w:color="000000" w:fill="FFFFFF"/>
            <w:noWrap/>
            <w:vAlign w:val="center"/>
            <w:hideMark/>
          </w:tcPr>
          <w:p w14:paraId="02013A99"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115%</w:t>
            </w:r>
          </w:p>
        </w:tc>
        <w:tc>
          <w:tcPr>
            <w:tcW w:w="1360" w:type="dxa"/>
            <w:tcBorders>
              <w:top w:val="nil"/>
              <w:left w:val="nil"/>
              <w:bottom w:val="single" w:sz="4" w:space="0" w:color="auto"/>
              <w:right w:val="single" w:sz="4" w:space="0" w:color="auto"/>
            </w:tcBorders>
            <w:shd w:val="clear" w:color="000000" w:fill="FFFFFF"/>
            <w:noWrap/>
            <w:vAlign w:val="center"/>
            <w:hideMark/>
          </w:tcPr>
          <w:p w14:paraId="0431A413"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63%</w:t>
            </w:r>
          </w:p>
        </w:tc>
        <w:tc>
          <w:tcPr>
            <w:tcW w:w="1200" w:type="dxa"/>
            <w:tcBorders>
              <w:top w:val="nil"/>
              <w:left w:val="nil"/>
              <w:bottom w:val="single" w:sz="4" w:space="0" w:color="auto"/>
              <w:right w:val="single" w:sz="4" w:space="0" w:color="auto"/>
            </w:tcBorders>
            <w:shd w:val="clear" w:color="000000" w:fill="FFFFFF"/>
            <w:noWrap/>
            <w:vAlign w:val="center"/>
            <w:hideMark/>
          </w:tcPr>
          <w:p w14:paraId="7F7031FC"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113%</w:t>
            </w:r>
          </w:p>
        </w:tc>
        <w:tc>
          <w:tcPr>
            <w:tcW w:w="1340" w:type="dxa"/>
            <w:tcBorders>
              <w:top w:val="nil"/>
              <w:left w:val="nil"/>
              <w:bottom w:val="single" w:sz="4" w:space="0" w:color="auto"/>
              <w:right w:val="single" w:sz="4" w:space="0" w:color="auto"/>
            </w:tcBorders>
            <w:shd w:val="clear" w:color="000000" w:fill="FFFFFF"/>
            <w:noWrap/>
            <w:vAlign w:val="center"/>
            <w:hideMark/>
          </w:tcPr>
          <w:p w14:paraId="0E3A9384"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169%</w:t>
            </w:r>
          </w:p>
        </w:tc>
        <w:tc>
          <w:tcPr>
            <w:tcW w:w="1340" w:type="dxa"/>
            <w:tcBorders>
              <w:top w:val="nil"/>
              <w:left w:val="nil"/>
              <w:bottom w:val="single" w:sz="4" w:space="0" w:color="auto"/>
              <w:right w:val="single" w:sz="4" w:space="0" w:color="auto"/>
            </w:tcBorders>
            <w:shd w:val="clear" w:color="000000" w:fill="FFFFFF"/>
            <w:noWrap/>
            <w:vAlign w:val="center"/>
            <w:hideMark/>
          </w:tcPr>
          <w:p w14:paraId="7839E6C6"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88%</w:t>
            </w:r>
          </w:p>
        </w:tc>
        <w:tc>
          <w:tcPr>
            <w:tcW w:w="1200" w:type="dxa"/>
            <w:tcBorders>
              <w:top w:val="nil"/>
              <w:left w:val="nil"/>
              <w:bottom w:val="single" w:sz="4" w:space="0" w:color="auto"/>
              <w:right w:val="single" w:sz="4" w:space="0" w:color="auto"/>
            </w:tcBorders>
            <w:shd w:val="clear" w:color="000000" w:fill="FFFFFF"/>
            <w:noWrap/>
            <w:vAlign w:val="center"/>
            <w:hideMark/>
          </w:tcPr>
          <w:p w14:paraId="60572021"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112%</w:t>
            </w:r>
          </w:p>
        </w:tc>
      </w:tr>
      <w:tr w:rsidR="005814D5" w:rsidRPr="00B03152" w14:paraId="574663C0" w14:textId="77777777" w:rsidTr="00B03152">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7028C382"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9</w:t>
            </w:r>
          </w:p>
        </w:tc>
        <w:tc>
          <w:tcPr>
            <w:tcW w:w="1740" w:type="dxa"/>
            <w:tcBorders>
              <w:top w:val="nil"/>
              <w:left w:val="nil"/>
              <w:bottom w:val="single" w:sz="4" w:space="0" w:color="auto"/>
              <w:right w:val="single" w:sz="4" w:space="0" w:color="auto"/>
            </w:tcBorders>
            <w:shd w:val="clear" w:color="000000" w:fill="FFFFFF"/>
            <w:noWrap/>
            <w:vAlign w:val="center"/>
            <w:hideMark/>
          </w:tcPr>
          <w:p w14:paraId="66E137E7"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71%</w:t>
            </w:r>
          </w:p>
        </w:tc>
        <w:tc>
          <w:tcPr>
            <w:tcW w:w="1200" w:type="dxa"/>
            <w:tcBorders>
              <w:top w:val="nil"/>
              <w:left w:val="nil"/>
              <w:bottom w:val="single" w:sz="4" w:space="0" w:color="auto"/>
              <w:right w:val="single" w:sz="4" w:space="0" w:color="auto"/>
            </w:tcBorders>
            <w:shd w:val="clear" w:color="000000" w:fill="FFFFFF"/>
            <w:noWrap/>
            <w:vAlign w:val="center"/>
            <w:hideMark/>
          </w:tcPr>
          <w:p w14:paraId="692A857D"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133%</w:t>
            </w:r>
          </w:p>
        </w:tc>
        <w:tc>
          <w:tcPr>
            <w:tcW w:w="1360" w:type="dxa"/>
            <w:tcBorders>
              <w:top w:val="nil"/>
              <w:left w:val="nil"/>
              <w:bottom w:val="single" w:sz="4" w:space="0" w:color="auto"/>
              <w:right w:val="single" w:sz="4" w:space="0" w:color="auto"/>
            </w:tcBorders>
            <w:shd w:val="clear" w:color="000000" w:fill="FFFFFF"/>
            <w:noWrap/>
            <w:vAlign w:val="center"/>
            <w:hideMark/>
          </w:tcPr>
          <w:p w14:paraId="1F4FEDD2"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52%</w:t>
            </w:r>
          </w:p>
        </w:tc>
        <w:tc>
          <w:tcPr>
            <w:tcW w:w="1200" w:type="dxa"/>
            <w:tcBorders>
              <w:top w:val="nil"/>
              <w:left w:val="nil"/>
              <w:bottom w:val="single" w:sz="4" w:space="0" w:color="auto"/>
              <w:right w:val="single" w:sz="4" w:space="0" w:color="auto"/>
            </w:tcBorders>
            <w:shd w:val="clear" w:color="000000" w:fill="FFFFFF"/>
            <w:noWrap/>
            <w:vAlign w:val="center"/>
            <w:hideMark/>
          </w:tcPr>
          <w:p w14:paraId="586349DC"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109%</w:t>
            </w:r>
          </w:p>
        </w:tc>
        <w:tc>
          <w:tcPr>
            <w:tcW w:w="1340" w:type="dxa"/>
            <w:tcBorders>
              <w:top w:val="nil"/>
              <w:left w:val="nil"/>
              <w:bottom w:val="single" w:sz="4" w:space="0" w:color="auto"/>
              <w:right w:val="single" w:sz="4" w:space="0" w:color="auto"/>
            </w:tcBorders>
            <w:shd w:val="clear" w:color="000000" w:fill="FFFFFF"/>
            <w:noWrap/>
            <w:vAlign w:val="center"/>
            <w:hideMark/>
          </w:tcPr>
          <w:p w14:paraId="74155C14"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185%</w:t>
            </w:r>
          </w:p>
        </w:tc>
        <w:tc>
          <w:tcPr>
            <w:tcW w:w="1340" w:type="dxa"/>
            <w:tcBorders>
              <w:top w:val="nil"/>
              <w:left w:val="nil"/>
              <w:bottom w:val="single" w:sz="4" w:space="0" w:color="auto"/>
              <w:right w:val="single" w:sz="4" w:space="0" w:color="auto"/>
            </w:tcBorders>
            <w:shd w:val="clear" w:color="000000" w:fill="FFFFFF"/>
            <w:noWrap/>
            <w:vAlign w:val="center"/>
            <w:hideMark/>
          </w:tcPr>
          <w:p w14:paraId="727A5F54"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81%</w:t>
            </w:r>
          </w:p>
        </w:tc>
        <w:tc>
          <w:tcPr>
            <w:tcW w:w="1200" w:type="dxa"/>
            <w:tcBorders>
              <w:top w:val="nil"/>
              <w:left w:val="nil"/>
              <w:bottom w:val="single" w:sz="4" w:space="0" w:color="auto"/>
              <w:right w:val="single" w:sz="4" w:space="0" w:color="auto"/>
            </w:tcBorders>
            <w:shd w:val="clear" w:color="000000" w:fill="FFFFFF"/>
            <w:noWrap/>
            <w:vAlign w:val="center"/>
            <w:hideMark/>
          </w:tcPr>
          <w:p w14:paraId="5BA8014A"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97%</w:t>
            </w:r>
          </w:p>
        </w:tc>
      </w:tr>
      <w:tr w:rsidR="005814D5" w:rsidRPr="00B03152" w14:paraId="7D9D19ED" w14:textId="77777777" w:rsidTr="00B03152">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426D9DDB"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10</w:t>
            </w:r>
          </w:p>
        </w:tc>
        <w:tc>
          <w:tcPr>
            <w:tcW w:w="1740" w:type="dxa"/>
            <w:tcBorders>
              <w:top w:val="nil"/>
              <w:left w:val="nil"/>
              <w:bottom w:val="single" w:sz="4" w:space="0" w:color="auto"/>
              <w:right w:val="single" w:sz="4" w:space="0" w:color="auto"/>
            </w:tcBorders>
            <w:shd w:val="clear" w:color="000000" w:fill="FFFFFF"/>
            <w:noWrap/>
            <w:vAlign w:val="center"/>
            <w:hideMark/>
          </w:tcPr>
          <w:p w14:paraId="024DC3FD"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89%</w:t>
            </w:r>
          </w:p>
        </w:tc>
        <w:tc>
          <w:tcPr>
            <w:tcW w:w="1200" w:type="dxa"/>
            <w:tcBorders>
              <w:top w:val="nil"/>
              <w:left w:val="nil"/>
              <w:bottom w:val="single" w:sz="4" w:space="0" w:color="auto"/>
              <w:right w:val="single" w:sz="4" w:space="0" w:color="auto"/>
            </w:tcBorders>
            <w:shd w:val="clear" w:color="000000" w:fill="FFFFFF"/>
            <w:noWrap/>
            <w:vAlign w:val="center"/>
            <w:hideMark/>
          </w:tcPr>
          <w:p w14:paraId="7C6463D3"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111%</w:t>
            </w:r>
          </w:p>
        </w:tc>
        <w:tc>
          <w:tcPr>
            <w:tcW w:w="1360" w:type="dxa"/>
            <w:tcBorders>
              <w:top w:val="nil"/>
              <w:left w:val="nil"/>
              <w:bottom w:val="single" w:sz="4" w:space="0" w:color="auto"/>
              <w:right w:val="single" w:sz="4" w:space="0" w:color="auto"/>
            </w:tcBorders>
            <w:shd w:val="clear" w:color="000000" w:fill="FFFFFF"/>
            <w:noWrap/>
            <w:vAlign w:val="center"/>
            <w:hideMark/>
          </w:tcPr>
          <w:p w14:paraId="32568839"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49%</w:t>
            </w:r>
          </w:p>
        </w:tc>
        <w:tc>
          <w:tcPr>
            <w:tcW w:w="1200" w:type="dxa"/>
            <w:tcBorders>
              <w:top w:val="nil"/>
              <w:left w:val="nil"/>
              <w:bottom w:val="single" w:sz="4" w:space="0" w:color="auto"/>
              <w:right w:val="single" w:sz="4" w:space="0" w:color="auto"/>
            </w:tcBorders>
            <w:shd w:val="clear" w:color="000000" w:fill="FFFFFF"/>
            <w:noWrap/>
            <w:vAlign w:val="center"/>
            <w:hideMark/>
          </w:tcPr>
          <w:p w14:paraId="3CB4B2C5"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109%</w:t>
            </w:r>
          </w:p>
        </w:tc>
        <w:tc>
          <w:tcPr>
            <w:tcW w:w="1340" w:type="dxa"/>
            <w:tcBorders>
              <w:top w:val="nil"/>
              <w:left w:val="nil"/>
              <w:bottom w:val="single" w:sz="4" w:space="0" w:color="auto"/>
              <w:right w:val="single" w:sz="4" w:space="0" w:color="auto"/>
            </w:tcBorders>
            <w:shd w:val="clear" w:color="000000" w:fill="FFFFFF"/>
            <w:noWrap/>
            <w:vAlign w:val="center"/>
            <w:hideMark/>
          </w:tcPr>
          <w:p w14:paraId="7B3B1504"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253%</w:t>
            </w:r>
          </w:p>
        </w:tc>
        <w:tc>
          <w:tcPr>
            <w:tcW w:w="1340" w:type="dxa"/>
            <w:tcBorders>
              <w:top w:val="nil"/>
              <w:left w:val="nil"/>
              <w:bottom w:val="single" w:sz="4" w:space="0" w:color="auto"/>
              <w:right w:val="single" w:sz="4" w:space="0" w:color="auto"/>
            </w:tcBorders>
            <w:shd w:val="clear" w:color="000000" w:fill="FFFFFF"/>
            <w:noWrap/>
            <w:vAlign w:val="center"/>
            <w:hideMark/>
          </w:tcPr>
          <w:p w14:paraId="24A23869"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89%</w:t>
            </w:r>
          </w:p>
        </w:tc>
        <w:tc>
          <w:tcPr>
            <w:tcW w:w="1200" w:type="dxa"/>
            <w:tcBorders>
              <w:top w:val="nil"/>
              <w:left w:val="nil"/>
              <w:bottom w:val="single" w:sz="4" w:space="0" w:color="auto"/>
              <w:right w:val="single" w:sz="4" w:space="0" w:color="auto"/>
            </w:tcBorders>
            <w:shd w:val="clear" w:color="000000" w:fill="FFFFFF"/>
            <w:noWrap/>
            <w:vAlign w:val="center"/>
            <w:hideMark/>
          </w:tcPr>
          <w:p w14:paraId="7E5AD4A8"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91%</w:t>
            </w:r>
          </w:p>
        </w:tc>
      </w:tr>
      <w:tr w:rsidR="005814D5" w:rsidRPr="00B03152" w14:paraId="1226A13A" w14:textId="77777777" w:rsidTr="00B03152">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0EF8A4B1"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11</w:t>
            </w:r>
          </w:p>
        </w:tc>
        <w:tc>
          <w:tcPr>
            <w:tcW w:w="1740" w:type="dxa"/>
            <w:tcBorders>
              <w:top w:val="nil"/>
              <w:left w:val="nil"/>
              <w:bottom w:val="single" w:sz="4" w:space="0" w:color="auto"/>
              <w:right w:val="single" w:sz="4" w:space="0" w:color="auto"/>
            </w:tcBorders>
            <w:shd w:val="clear" w:color="000000" w:fill="FFFFFF"/>
            <w:noWrap/>
            <w:vAlign w:val="center"/>
            <w:hideMark/>
          </w:tcPr>
          <w:p w14:paraId="73D2DD0F"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86%</w:t>
            </w:r>
          </w:p>
        </w:tc>
        <w:tc>
          <w:tcPr>
            <w:tcW w:w="1200" w:type="dxa"/>
            <w:tcBorders>
              <w:top w:val="nil"/>
              <w:left w:val="nil"/>
              <w:bottom w:val="single" w:sz="4" w:space="0" w:color="auto"/>
              <w:right w:val="single" w:sz="4" w:space="0" w:color="auto"/>
            </w:tcBorders>
            <w:shd w:val="clear" w:color="000000" w:fill="FFFFFF"/>
            <w:noWrap/>
            <w:vAlign w:val="center"/>
            <w:hideMark/>
          </w:tcPr>
          <w:p w14:paraId="7B778294"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136%</w:t>
            </w:r>
          </w:p>
        </w:tc>
        <w:tc>
          <w:tcPr>
            <w:tcW w:w="1360" w:type="dxa"/>
            <w:tcBorders>
              <w:top w:val="nil"/>
              <w:left w:val="nil"/>
              <w:bottom w:val="single" w:sz="4" w:space="0" w:color="auto"/>
              <w:right w:val="single" w:sz="4" w:space="0" w:color="auto"/>
            </w:tcBorders>
            <w:shd w:val="clear" w:color="000000" w:fill="FFFFFF"/>
            <w:noWrap/>
            <w:vAlign w:val="center"/>
            <w:hideMark/>
          </w:tcPr>
          <w:p w14:paraId="32D96AF7"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52%</w:t>
            </w:r>
          </w:p>
        </w:tc>
        <w:tc>
          <w:tcPr>
            <w:tcW w:w="1200" w:type="dxa"/>
            <w:tcBorders>
              <w:top w:val="nil"/>
              <w:left w:val="nil"/>
              <w:bottom w:val="single" w:sz="4" w:space="0" w:color="auto"/>
              <w:right w:val="single" w:sz="4" w:space="0" w:color="auto"/>
            </w:tcBorders>
            <w:shd w:val="clear" w:color="000000" w:fill="FFFFFF"/>
            <w:noWrap/>
            <w:vAlign w:val="center"/>
            <w:hideMark/>
          </w:tcPr>
          <w:p w14:paraId="59E961AB"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100%</w:t>
            </w:r>
          </w:p>
        </w:tc>
        <w:tc>
          <w:tcPr>
            <w:tcW w:w="1340" w:type="dxa"/>
            <w:tcBorders>
              <w:top w:val="nil"/>
              <w:left w:val="nil"/>
              <w:bottom w:val="single" w:sz="4" w:space="0" w:color="auto"/>
              <w:right w:val="single" w:sz="4" w:space="0" w:color="auto"/>
            </w:tcBorders>
            <w:shd w:val="clear" w:color="000000" w:fill="FFFFFF"/>
            <w:noWrap/>
            <w:vAlign w:val="center"/>
            <w:hideMark/>
          </w:tcPr>
          <w:p w14:paraId="6954B216"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227%</w:t>
            </w:r>
          </w:p>
        </w:tc>
        <w:tc>
          <w:tcPr>
            <w:tcW w:w="1340" w:type="dxa"/>
            <w:tcBorders>
              <w:top w:val="nil"/>
              <w:left w:val="nil"/>
              <w:bottom w:val="single" w:sz="4" w:space="0" w:color="auto"/>
              <w:right w:val="single" w:sz="4" w:space="0" w:color="auto"/>
            </w:tcBorders>
            <w:shd w:val="clear" w:color="000000" w:fill="FFFFFF"/>
            <w:noWrap/>
            <w:vAlign w:val="center"/>
            <w:hideMark/>
          </w:tcPr>
          <w:p w14:paraId="7140F571"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97%</w:t>
            </w:r>
          </w:p>
        </w:tc>
        <w:tc>
          <w:tcPr>
            <w:tcW w:w="1200" w:type="dxa"/>
            <w:tcBorders>
              <w:top w:val="nil"/>
              <w:left w:val="nil"/>
              <w:bottom w:val="single" w:sz="4" w:space="0" w:color="auto"/>
              <w:right w:val="single" w:sz="4" w:space="0" w:color="auto"/>
            </w:tcBorders>
            <w:shd w:val="clear" w:color="000000" w:fill="FFFFFF"/>
            <w:noWrap/>
            <w:vAlign w:val="center"/>
            <w:hideMark/>
          </w:tcPr>
          <w:p w14:paraId="6414EF21"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76%</w:t>
            </w:r>
          </w:p>
        </w:tc>
      </w:tr>
      <w:tr w:rsidR="005814D5" w:rsidRPr="00B03152" w14:paraId="193E61C4" w14:textId="77777777" w:rsidTr="00B03152">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6F03F88C"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12</w:t>
            </w:r>
          </w:p>
        </w:tc>
        <w:tc>
          <w:tcPr>
            <w:tcW w:w="1740" w:type="dxa"/>
            <w:tcBorders>
              <w:top w:val="nil"/>
              <w:left w:val="nil"/>
              <w:bottom w:val="single" w:sz="4" w:space="0" w:color="auto"/>
              <w:right w:val="single" w:sz="4" w:space="0" w:color="auto"/>
            </w:tcBorders>
            <w:shd w:val="clear" w:color="000000" w:fill="FFFFFF"/>
            <w:noWrap/>
            <w:vAlign w:val="center"/>
            <w:hideMark/>
          </w:tcPr>
          <w:p w14:paraId="066301D5"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99%</w:t>
            </w:r>
          </w:p>
        </w:tc>
        <w:tc>
          <w:tcPr>
            <w:tcW w:w="1200" w:type="dxa"/>
            <w:tcBorders>
              <w:top w:val="nil"/>
              <w:left w:val="nil"/>
              <w:bottom w:val="single" w:sz="4" w:space="0" w:color="auto"/>
              <w:right w:val="single" w:sz="4" w:space="0" w:color="auto"/>
            </w:tcBorders>
            <w:shd w:val="clear" w:color="000000" w:fill="FFFFFF"/>
            <w:noWrap/>
            <w:vAlign w:val="center"/>
            <w:hideMark/>
          </w:tcPr>
          <w:p w14:paraId="1F49FC4E"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114%</w:t>
            </w:r>
          </w:p>
        </w:tc>
        <w:tc>
          <w:tcPr>
            <w:tcW w:w="1360" w:type="dxa"/>
            <w:tcBorders>
              <w:top w:val="nil"/>
              <w:left w:val="nil"/>
              <w:bottom w:val="single" w:sz="4" w:space="0" w:color="auto"/>
              <w:right w:val="single" w:sz="4" w:space="0" w:color="auto"/>
            </w:tcBorders>
            <w:shd w:val="clear" w:color="000000" w:fill="FFFFFF"/>
            <w:noWrap/>
            <w:vAlign w:val="center"/>
            <w:hideMark/>
          </w:tcPr>
          <w:p w14:paraId="74611174"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48%</w:t>
            </w:r>
          </w:p>
        </w:tc>
        <w:tc>
          <w:tcPr>
            <w:tcW w:w="1200" w:type="dxa"/>
            <w:tcBorders>
              <w:top w:val="nil"/>
              <w:left w:val="nil"/>
              <w:bottom w:val="single" w:sz="4" w:space="0" w:color="auto"/>
              <w:right w:val="single" w:sz="4" w:space="0" w:color="auto"/>
            </w:tcBorders>
            <w:shd w:val="clear" w:color="000000" w:fill="FFFFFF"/>
            <w:noWrap/>
            <w:vAlign w:val="center"/>
            <w:hideMark/>
          </w:tcPr>
          <w:p w14:paraId="4AE7762B"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113%</w:t>
            </w:r>
          </w:p>
        </w:tc>
        <w:tc>
          <w:tcPr>
            <w:tcW w:w="1340" w:type="dxa"/>
            <w:tcBorders>
              <w:top w:val="nil"/>
              <w:left w:val="nil"/>
              <w:bottom w:val="single" w:sz="4" w:space="0" w:color="auto"/>
              <w:right w:val="single" w:sz="4" w:space="0" w:color="auto"/>
            </w:tcBorders>
            <w:shd w:val="clear" w:color="000000" w:fill="FFFFFF"/>
            <w:noWrap/>
            <w:vAlign w:val="center"/>
            <w:hideMark/>
          </w:tcPr>
          <w:p w14:paraId="2CAD202C"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169%</w:t>
            </w:r>
          </w:p>
        </w:tc>
        <w:tc>
          <w:tcPr>
            <w:tcW w:w="1340" w:type="dxa"/>
            <w:tcBorders>
              <w:top w:val="nil"/>
              <w:left w:val="nil"/>
              <w:bottom w:val="single" w:sz="4" w:space="0" w:color="auto"/>
              <w:right w:val="single" w:sz="4" w:space="0" w:color="auto"/>
            </w:tcBorders>
            <w:shd w:val="clear" w:color="000000" w:fill="FFFFFF"/>
            <w:noWrap/>
            <w:vAlign w:val="center"/>
            <w:hideMark/>
          </w:tcPr>
          <w:p w14:paraId="08B7F594"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79%</w:t>
            </w:r>
          </w:p>
        </w:tc>
        <w:tc>
          <w:tcPr>
            <w:tcW w:w="1200" w:type="dxa"/>
            <w:tcBorders>
              <w:top w:val="nil"/>
              <w:left w:val="nil"/>
              <w:bottom w:val="single" w:sz="4" w:space="0" w:color="auto"/>
              <w:right w:val="single" w:sz="4" w:space="0" w:color="auto"/>
            </w:tcBorders>
            <w:shd w:val="clear" w:color="000000" w:fill="FFFFFF"/>
            <w:noWrap/>
            <w:vAlign w:val="center"/>
            <w:hideMark/>
          </w:tcPr>
          <w:p w14:paraId="1454EE15"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106%</w:t>
            </w:r>
          </w:p>
        </w:tc>
      </w:tr>
      <w:tr w:rsidR="005814D5" w:rsidRPr="00B03152" w14:paraId="671C2224" w14:textId="77777777" w:rsidTr="00B03152">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09395048"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13</w:t>
            </w:r>
          </w:p>
        </w:tc>
        <w:tc>
          <w:tcPr>
            <w:tcW w:w="1740" w:type="dxa"/>
            <w:tcBorders>
              <w:top w:val="nil"/>
              <w:left w:val="nil"/>
              <w:bottom w:val="single" w:sz="4" w:space="0" w:color="auto"/>
              <w:right w:val="single" w:sz="4" w:space="0" w:color="auto"/>
            </w:tcBorders>
            <w:shd w:val="clear" w:color="000000" w:fill="FFFFFF"/>
            <w:noWrap/>
            <w:vAlign w:val="center"/>
            <w:hideMark/>
          </w:tcPr>
          <w:p w14:paraId="76C996D8"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91%</w:t>
            </w:r>
          </w:p>
        </w:tc>
        <w:tc>
          <w:tcPr>
            <w:tcW w:w="1200" w:type="dxa"/>
            <w:tcBorders>
              <w:top w:val="nil"/>
              <w:left w:val="nil"/>
              <w:bottom w:val="single" w:sz="4" w:space="0" w:color="auto"/>
              <w:right w:val="single" w:sz="4" w:space="0" w:color="auto"/>
            </w:tcBorders>
            <w:shd w:val="clear" w:color="000000" w:fill="FFFFFF"/>
            <w:noWrap/>
            <w:vAlign w:val="center"/>
            <w:hideMark/>
          </w:tcPr>
          <w:p w14:paraId="2EACE19E"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106%</w:t>
            </w:r>
          </w:p>
        </w:tc>
        <w:tc>
          <w:tcPr>
            <w:tcW w:w="1360" w:type="dxa"/>
            <w:tcBorders>
              <w:top w:val="nil"/>
              <w:left w:val="nil"/>
              <w:bottom w:val="single" w:sz="4" w:space="0" w:color="auto"/>
              <w:right w:val="single" w:sz="4" w:space="0" w:color="auto"/>
            </w:tcBorders>
            <w:shd w:val="clear" w:color="000000" w:fill="FFFFFF"/>
            <w:noWrap/>
            <w:vAlign w:val="center"/>
            <w:hideMark/>
          </w:tcPr>
          <w:p w14:paraId="39583BB2"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56%</w:t>
            </w:r>
          </w:p>
        </w:tc>
        <w:tc>
          <w:tcPr>
            <w:tcW w:w="1200" w:type="dxa"/>
            <w:tcBorders>
              <w:top w:val="nil"/>
              <w:left w:val="nil"/>
              <w:bottom w:val="single" w:sz="4" w:space="0" w:color="auto"/>
              <w:right w:val="single" w:sz="4" w:space="0" w:color="auto"/>
            </w:tcBorders>
            <w:shd w:val="clear" w:color="000000" w:fill="FFFFFF"/>
            <w:noWrap/>
            <w:vAlign w:val="center"/>
            <w:hideMark/>
          </w:tcPr>
          <w:p w14:paraId="08F6F894"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 105%</w:t>
            </w:r>
          </w:p>
        </w:tc>
        <w:tc>
          <w:tcPr>
            <w:tcW w:w="1340" w:type="dxa"/>
            <w:tcBorders>
              <w:top w:val="nil"/>
              <w:left w:val="nil"/>
              <w:bottom w:val="single" w:sz="4" w:space="0" w:color="auto"/>
              <w:right w:val="single" w:sz="4" w:space="0" w:color="auto"/>
            </w:tcBorders>
            <w:shd w:val="clear" w:color="000000" w:fill="FFFFFF"/>
            <w:noWrap/>
            <w:vAlign w:val="center"/>
            <w:hideMark/>
          </w:tcPr>
          <w:p w14:paraId="05AB023D"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 264%</w:t>
            </w:r>
          </w:p>
        </w:tc>
        <w:tc>
          <w:tcPr>
            <w:tcW w:w="1340" w:type="dxa"/>
            <w:tcBorders>
              <w:top w:val="nil"/>
              <w:left w:val="nil"/>
              <w:bottom w:val="single" w:sz="4" w:space="0" w:color="auto"/>
              <w:right w:val="single" w:sz="4" w:space="0" w:color="auto"/>
            </w:tcBorders>
            <w:shd w:val="clear" w:color="000000" w:fill="FFFFFF"/>
            <w:noWrap/>
            <w:vAlign w:val="center"/>
            <w:hideMark/>
          </w:tcPr>
          <w:p w14:paraId="0C8181AE"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96%</w:t>
            </w:r>
          </w:p>
        </w:tc>
        <w:tc>
          <w:tcPr>
            <w:tcW w:w="1200" w:type="dxa"/>
            <w:tcBorders>
              <w:top w:val="nil"/>
              <w:left w:val="nil"/>
              <w:bottom w:val="single" w:sz="4" w:space="0" w:color="auto"/>
              <w:right w:val="single" w:sz="4" w:space="0" w:color="auto"/>
            </w:tcBorders>
            <w:shd w:val="clear" w:color="000000" w:fill="FFFFFF"/>
            <w:noWrap/>
            <w:vAlign w:val="center"/>
            <w:hideMark/>
          </w:tcPr>
          <w:p w14:paraId="5F58A76E"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62%</w:t>
            </w:r>
          </w:p>
        </w:tc>
      </w:tr>
      <w:tr w:rsidR="005814D5" w:rsidRPr="00B03152" w14:paraId="43E5E055" w14:textId="77777777" w:rsidTr="00B03152">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3D56B098"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14</w:t>
            </w:r>
          </w:p>
        </w:tc>
        <w:tc>
          <w:tcPr>
            <w:tcW w:w="1740" w:type="dxa"/>
            <w:tcBorders>
              <w:top w:val="nil"/>
              <w:left w:val="nil"/>
              <w:bottom w:val="single" w:sz="4" w:space="0" w:color="auto"/>
              <w:right w:val="single" w:sz="4" w:space="0" w:color="auto"/>
            </w:tcBorders>
            <w:shd w:val="clear" w:color="000000" w:fill="FFFFFF"/>
            <w:noWrap/>
            <w:vAlign w:val="center"/>
            <w:hideMark/>
          </w:tcPr>
          <w:p w14:paraId="41C1982D"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111%</w:t>
            </w:r>
          </w:p>
        </w:tc>
        <w:tc>
          <w:tcPr>
            <w:tcW w:w="1200" w:type="dxa"/>
            <w:tcBorders>
              <w:top w:val="nil"/>
              <w:left w:val="nil"/>
              <w:bottom w:val="single" w:sz="4" w:space="0" w:color="auto"/>
              <w:right w:val="single" w:sz="4" w:space="0" w:color="auto"/>
            </w:tcBorders>
            <w:shd w:val="clear" w:color="000000" w:fill="FFFFFF"/>
            <w:noWrap/>
            <w:vAlign w:val="center"/>
            <w:hideMark/>
          </w:tcPr>
          <w:p w14:paraId="3AF7D1D6"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90%</w:t>
            </w:r>
          </w:p>
        </w:tc>
        <w:tc>
          <w:tcPr>
            <w:tcW w:w="1360" w:type="dxa"/>
            <w:tcBorders>
              <w:top w:val="nil"/>
              <w:left w:val="nil"/>
              <w:bottom w:val="single" w:sz="4" w:space="0" w:color="auto"/>
              <w:right w:val="single" w:sz="4" w:space="0" w:color="auto"/>
            </w:tcBorders>
            <w:shd w:val="clear" w:color="000000" w:fill="FFFFFF"/>
            <w:noWrap/>
            <w:vAlign w:val="center"/>
            <w:hideMark/>
          </w:tcPr>
          <w:p w14:paraId="5039D043"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95%</w:t>
            </w:r>
          </w:p>
        </w:tc>
        <w:tc>
          <w:tcPr>
            <w:tcW w:w="1200" w:type="dxa"/>
            <w:tcBorders>
              <w:top w:val="nil"/>
              <w:left w:val="nil"/>
              <w:bottom w:val="single" w:sz="4" w:space="0" w:color="auto"/>
              <w:right w:val="single" w:sz="4" w:space="0" w:color="auto"/>
            </w:tcBorders>
            <w:shd w:val="clear" w:color="000000" w:fill="FFFFFF"/>
            <w:noWrap/>
            <w:vAlign w:val="center"/>
            <w:hideMark/>
          </w:tcPr>
          <w:p w14:paraId="54F78C28"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83%</w:t>
            </w:r>
          </w:p>
        </w:tc>
        <w:tc>
          <w:tcPr>
            <w:tcW w:w="1340" w:type="dxa"/>
            <w:tcBorders>
              <w:top w:val="nil"/>
              <w:left w:val="nil"/>
              <w:bottom w:val="single" w:sz="4" w:space="0" w:color="auto"/>
              <w:right w:val="single" w:sz="4" w:space="0" w:color="auto"/>
            </w:tcBorders>
            <w:shd w:val="clear" w:color="000000" w:fill="FFFFFF"/>
            <w:noWrap/>
            <w:vAlign w:val="center"/>
            <w:hideMark/>
          </w:tcPr>
          <w:p w14:paraId="37C8B100"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202%</w:t>
            </w:r>
          </w:p>
        </w:tc>
        <w:tc>
          <w:tcPr>
            <w:tcW w:w="1340" w:type="dxa"/>
            <w:tcBorders>
              <w:top w:val="nil"/>
              <w:left w:val="nil"/>
              <w:bottom w:val="single" w:sz="4" w:space="0" w:color="auto"/>
              <w:right w:val="single" w:sz="4" w:space="0" w:color="auto"/>
            </w:tcBorders>
            <w:shd w:val="clear" w:color="000000" w:fill="FFFFFF"/>
            <w:noWrap/>
            <w:vAlign w:val="center"/>
            <w:hideMark/>
          </w:tcPr>
          <w:p w14:paraId="293B1801"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75%</w:t>
            </w:r>
          </w:p>
        </w:tc>
        <w:tc>
          <w:tcPr>
            <w:tcW w:w="1200" w:type="dxa"/>
            <w:tcBorders>
              <w:top w:val="nil"/>
              <w:left w:val="nil"/>
              <w:bottom w:val="single" w:sz="4" w:space="0" w:color="auto"/>
              <w:right w:val="single" w:sz="4" w:space="0" w:color="auto"/>
            </w:tcBorders>
            <w:shd w:val="clear" w:color="000000" w:fill="FFFFFF"/>
            <w:noWrap/>
            <w:vAlign w:val="center"/>
            <w:hideMark/>
          </w:tcPr>
          <w:p w14:paraId="5B14B162"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94%</w:t>
            </w:r>
          </w:p>
        </w:tc>
      </w:tr>
      <w:tr w:rsidR="005814D5" w:rsidRPr="00B03152" w14:paraId="053F47D9" w14:textId="77777777" w:rsidTr="00B03152">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64DBEDA6"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15</w:t>
            </w:r>
          </w:p>
        </w:tc>
        <w:tc>
          <w:tcPr>
            <w:tcW w:w="1740" w:type="dxa"/>
            <w:tcBorders>
              <w:top w:val="nil"/>
              <w:left w:val="nil"/>
              <w:bottom w:val="single" w:sz="4" w:space="0" w:color="auto"/>
              <w:right w:val="single" w:sz="4" w:space="0" w:color="auto"/>
            </w:tcBorders>
            <w:shd w:val="clear" w:color="000000" w:fill="FFFFFF"/>
            <w:noWrap/>
            <w:vAlign w:val="center"/>
            <w:hideMark/>
          </w:tcPr>
          <w:p w14:paraId="6438F22A"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89%</w:t>
            </w:r>
          </w:p>
        </w:tc>
        <w:tc>
          <w:tcPr>
            <w:tcW w:w="1200" w:type="dxa"/>
            <w:tcBorders>
              <w:top w:val="nil"/>
              <w:left w:val="nil"/>
              <w:bottom w:val="single" w:sz="4" w:space="0" w:color="auto"/>
              <w:right w:val="single" w:sz="4" w:space="0" w:color="auto"/>
            </w:tcBorders>
            <w:shd w:val="clear" w:color="000000" w:fill="FFFFFF"/>
            <w:noWrap/>
            <w:vAlign w:val="center"/>
            <w:hideMark/>
          </w:tcPr>
          <w:p w14:paraId="77AF0E92"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107%</w:t>
            </w:r>
          </w:p>
        </w:tc>
        <w:tc>
          <w:tcPr>
            <w:tcW w:w="1360" w:type="dxa"/>
            <w:tcBorders>
              <w:top w:val="nil"/>
              <w:left w:val="nil"/>
              <w:bottom w:val="single" w:sz="4" w:space="0" w:color="auto"/>
              <w:right w:val="single" w:sz="4" w:space="0" w:color="auto"/>
            </w:tcBorders>
            <w:shd w:val="clear" w:color="000000" w:fill="FFFFFF"/>
            <w:noWrap/>
            <w:vAlign w:val="center"/>
            <w:hideMark/>
          </w:tcPr>
          <w:p w14:paraId="11CEE4AA"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62%</w:t>
            </w:r>
          </w:p>
        </w:tc>
        <w:tc>
          <w:tcPr>
            <w:tcW w:w="1200" w:type="dxa"/>
            <w:tcBorders>
              <w:top w:val="nil"/>
              <w:left w:val="nil"/>
              <w:bottom w:val="single" w:sz="4" w:space="0" w:color="auto"/>
              <w:right w:val="single" w:sz="4" w:space="0" w:color="auto"/>
            </w:tcBorders>
            <w:shd w:val="clear" w:color="000000" w:fill="FFFFFF"/>
            <w:noWrap/>
            <w:vAlign w:val="center"/>
            <w:hideMark/>
          </w:tcPr>
          <w:p w14:paraId="4926F758"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90%</w:t>
            </w:r>
          </w:p>
        </w:tc>
        <w:tc>
          <w:tcPr>
            <w:tcW w:w="1340" w:type="dxa"/>
            <w:tcBorders>
              <w:top w:val="nil"/>
              <w:left w:val="nil"/>
              <w:bottom w:val="single" w:sz="4" w:space="0" w:color="auto"/>
              <w:right w:val="single" w:sz="4" w:space="0" w:color="auto"/>
            </w:tcBorders>
            <w:shd w:val="clear" w:color="000000" w:fill="FFFFFF"/>
            <w:noWrap/>
            <w:vAlign w:val="center"/>
            <w:hideMark/>
          </w:tcPr>
          <w:p w14:paraId="76EBBD89"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210%</w:t>
            </w:r>
          </w:p>
        </w:tc>
        <w:tc>
          <w:tcPr>
            <w:tcW w:w="1340" w:type="dxa"/>
            <w:tcBorders>
              <w:top w:val="nil"/>
              <w:left w:val="nil"/>
              <w:bottom w:val="single" w:sz="4" w:space="0" w:color="auto"/>
              <w:right w:val="single" w:sz="4" w:space="0" w:color="auto"/>
            </w:tcBorders>
            <w:shd w:val="clear" w:color="000000" w:fill="FFFFFF"/>
            <w:noWrap/>
            <w:vAlign w:val="center"/>
            <w:hideMark/>
          </w:tcPr>
          <w:p w14:paraId="4CD3376A"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73%</w:t>
            </w:r>
          </w:p>
        </w:tc>
        <w:tc>
          <w:tcPr>
            <w:tcW w:w="1200" w:type="dxa"/>
            <w:tcBorders>
              <w:top w:val="nil"/>
              <w:left w:val="nil"/>
              <w:bottom w:val="single" w:sz="4" w:space="0" w:color="auto"/>
              <w:right w:val="single" w:sz="4" w:space="0" w:color="auto"/>
            </w:tcBorders>
            <w:shd w:val="clear" w:color="000000" w:fill="FFFFFF"/>
            <w:noWrap/>
            <w:vAlign w:val="center"/>
            <w:hideMark/>
          </w:tcPr>
          <w:p w14:paraId="5E01C715"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129%</w:t>
            </w:r>
          </w:p>
        </w:tc>
      </w:tr>
      <w:tr w:rsidR="005814D5" w:rsidRPr="00B03152" w14:paraId="29DB1A48" w14:textId="77777777" w:rsidTr="00B03152">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67B413CA"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16</w:t>
            </w:r>
          </w:p>
        </w:tc>
        <w:tc>
          <w:tcPr>
            <w:tcW w:w="1740" w:type="dxa"/>
            <w:tcBorders>
              <w:top w:val="nil"/>
              <w:left w:val="nil"/>
              <w:bottom w:val="single" w:sz="4" w:space="0" w:color="auto"/>
              <w:right w:val="single" w:sz="4" w:space="0" w:color="auto"/>
            </w:tcBorders>
            <w:shd w:val="clear" w:color="000000" w:fill="FFFFFF"/>
            <w:noWrap/>
            <w:vAlign w:val="center"/>
            <w:hideMark/>
          </w:tcPr>
          <w:p w14:paraId="026822EC"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91%</w:t>
            </w:r>
          </w:p>
        </w:tc>
        <w:tc>
          <w:tcPr>
            <w:tcW w:w="1200" w:type="dxa"/>
            <w:tcBorders>
              <w:top w:val="nil"/>
              <w:left w:val="nil"/>
              <w:bottom w:val="single" w:sz="4" w:space="0" w:color="auto"/>
              <w:right w:val="single" w:sz="4" w:space="0" w:color="auto"/>
            </w:tcBorders>
            <w:shd w:val="clear" w:color="000000" w:fill="FFFFFF"/>
            <w:noWrap/>
            <w:vAlign w:val="center"/>
            <w:hideMark/>
          </w:tcPr>
          <w:p w14:paraId="701078D8"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106%</w:t>
            </w:r>
          </w:p>
        </w:tc>
        <w:tc>
          <w:tcPr>
            <w:tcW w:w="1360" w:type="dxa"/>
            <w:tcBorders>
              <w:top w:val="nil"/>
              <w:left w:val="nil"/>
              <w:bottom w:val="single" w:sz="4" w:space="0" w:color="auto"/>
              <w:right w:val="single" w:sz="4" w:space="0" w:color="auto"/>
            </w:tcBorders>
            <w:shd w:val="clear" w:color="000000" w:fill="FFFFFF"/>
            <w:noWrap/>
            <w:vAlign w:val="center"/>
            <w:hideMark/>
          </w:tcPr>
          <w:p w14:paraId="42F8F0C1"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79%</w:t>
            </w:r>
          </w:p>
        </w:tc>
        <w:tc>
          <w:tcPr>
            <w:tcW w:w="1200" w:type="dxa"/>
            <w:tcBorders>
              <w:top w:val="nil"/>
              <w:left w:val="nil"/>
              <w:bottom w:val="single" w:sz="4" w:space="0" w:color="auto"/>
              <w:right w:val="single" w:sz="4" w:space="0" w:color="auto"/>
            </w:tcBorders>
            <w:shd w:val="clear" w:color="000000" w:fill="FFFFFF"/>
            <w:noWrap/>
            <w:vAlign w:val="center"/>
            <w:hideMark/>
          </w:tcPr>
          <w:p w14:paraId="6338F773"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89%</w:t>
            </w:r>
          </w:p>
        </w:tc>
        <w:tc>
          <w:tcPr>
            <w:tcW w:w="1340" w:type="dxa"/>
            <w:tcBorders>
              <w:top w:val="nil"/>
              <w:left w:val="nil"/>
              <w:bottom w:val="single" w:sz="4" w:space="0" w:color="auto"/>
              <w:right w:val="single" w:sz="4" w:space="0" w:color="auto"/>
            </w:tcBorders>
            <w:shd w:val="clear" w:color="000000" w:fill="FFFFFF"/>
            <w:noWrap/>
            <w:vAlign w:val="center"/>
            <w:hideMark/>
          </w:tcPr>
          <w:p w14:paraId="1B79E0BA"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157%</w:t>
            </w:r>
          </w:p>
        </w:tc>
        <w:tc>
          <w:tcPr>
            <w:tcW w:w="1340" w:type="dxa"/>
            <w:tcBorders>
              <w:top w:val="nil"/>
              <w:left w:val="nil"/>
              <w:bottom w:val="single" w:sz="4" w:space="0" w:color="auto"/>
              <w:right w:val="single" w:sz="4" w:space="0" w:color="auto"/>
            </w:tcBorders>
            <w:shd w:val="clear" w:color="000000" w:fill="FFFFFF"/>
            <w:noWrap/>
            <w:vAlign w:val="center"/>
            <w:hideMark/>
          </w:tcPr>
          <w:p w14:paraId="2DAF1344"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96%</w:t>
            </w:r>
          </w:p>
        </w:tc>
        <w:tc>
          <w:tcPr>
            <w:tcW w:w="1200" w:type="dxa"/>
            <w:tcBorders>
              <w:top w:val="nil"/>
              <w:left w:val="nil"/>
              <w:bottom w:val="single" w:sz="4" w:space="0" w:color="auto"/>
              <w:right w:val="single" w:sz="4" w:space="0" w:color="auto"/>
            </w:tcBorders>
            <w:shd w:val="clear" w:color="000000" w:fill="FFFFFF"/>
            <w:noWrap/>
            <w:vAlign w:val="center"/>
            <w:hideMark/>
          </w:tcPr>
          <w:p w14:paraId="3082ED6C"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88%</w:t>
            </w:r>
          </w:p>
        </w:tc>
      </w:tr>
      <w:tr w:rsidR="005814D5" w:rsidRPr="00B03152" w14:paraId="6FC005E0" w14:textId="77777777" w:rsidTr="00B03152">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558C1206"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17</w:t>
            </w:r>
          </w:p>
        </w:tc>
        <w:tc>
          <w:tcPr>
            <w:tcW w:w="1740" w:type="dxa"/>
            <w:tcBorders>
              <w:top w:val="nil"/>
              <w:left w:val="nil"/>
              <w:bottom w:val="single" w:sz="4" w:space="0" w:color="auto"/>
              <w:right w:val="single" w:sz="4" w:space="0" w:color="auto"/>
            </w:tcBorders>
            <w:shd w:val="clear" w:color="000000" w:fill="FFFFFF"/>
            <w:noWrap/>
            <w:vAlign w:val="center"/>
            <w:hideMark/>
          </w:tcPr>
          <w:p w14:paraId="799C5029"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73%</w:t>
            </w:r>
          </w:p>
        </w:tc>
        <w:tc>
          <w:tcPr>
            <w:tcW w:w="1200" w:type="dxa"/>
            <w:tcBorders>
              <w:top w:val="nil"/>
              <w:left w:val="nil"/>
              <w:bottom w:val="single" w:sz="4" w:space="0" w:color="auto"/>
              <w:right w:val="single" w:sz="4" w:space="0" w:color="auto"/>
            </w:tcBorders>
            <w:shd w:val="clear" w:color="000000" w:fill="FFFFFF"/>
            <w:noWrap/>
            <w:vAlign w:val="center"/>
            <w:hideMark/>
          </w:tcPr>
          <w:p w14:paraId="7CBC28E1"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102%</w:t>
            </w:r>
          </w:p>
        </w:tc>
        <w:tc>
          <w:tcPr>
            <w:tcW w:w="1360" w:type="dxa"/>
            <w:tcBorders>
              <w:top w:val="nil"/>
              <w:left w:val="nil"/>
              <w:bottom w:val="single" w:sz="4" w:space="0" w:color="auto"/>
              <w:right w:val="single" w:sz="4" w:space="0" w:color="auto"/>
            </w:tcBorders>
            <w:shd w:val="clear" w:color="000000" w:fill="FFFFFF"/>
            <w:noWrap/>
            <w:vAlign w:val="center"/>
            <w:hideMark/>
          </w:tcPr>
          <w:p w14:paraId="597946D5"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54%</w:t>
            </w:r>
          </w:p>
        </w:tc>
        <w:tc>
          <w:tcPr>
            <w:tcW w:w="1200" w:type="dxa"/>
            <w:tcBorders>
              <w:top w:val="nil"/>
              <w:left w:val="nil"/>
              <w:bottom w:val="single" w:sz="4" w:space="0" w:color="auto"/>
              <w:right w:val="single" w:sz="4" w:space="0" w:color="auto"/>
            </w:tcBorders>
            <w:shd w:val="clear" w:color="000000" w:fill="FFFFFF"/>
            <w:noWrap/>
            <w:vAlign w:val="center"/>
            <w:hideMark/>
          </w:tcPr>
          <w:p w14:paraId="1C9F4667"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108%</w:t>
            </w:r>
          </w:p>
        </w:tc>
        <w:tc>
          <w:tcPr>
            <w:tcW w:w="1340" w:type="dxa"/>
            <w:tcBorders>
              <w:top w:val="nil"/>
              <w:left w:val="nil"/>
              <w:bottom w:val="single" w:sz="4" w:space="0" w:color="auto"/>
              <w:right w:val="single" w:sz="4" w:space="0" w:color="auto"/>
            </w:tcBorders>
            <w:shd w:val="clear" w:color="000000" w:fill="FFFFFF"/>
            <w:noWrap/>
            <w:vAlign w:val="center"/>
            <w:hideMark/>
          </w:tcPr>
          <w:p w14:paraId="255C9BE9"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2.08</w:t>
            </w:r>
          </w:p>
        </w:tc>
        <w:tc>
          <w:tcPr>
            <w:tcW w:w="1340" w:type="dxa"/>
            <w:tcBorders>
              <w:top w:val="nil"/>
              <w:left w:val="nil"/>
              <w:bottom w:val="single" w:sz="4" w:space="0" w:color="auto"/>
              <w:right w:val="single" w:sz="4" w:space="0" w:color="auto"/>
            </w:tcBorders>
            <w:shd w:val="clear" w:color="000000" w:fill="FFFFFF"/>
            <w:noWrap/>
            <w:vAlign w:val="center"/>
            <w:hideMark/>
          </w:tcPr>
          <w:p w14:paraId="6CD5FFDA"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111%</w:t>
            </w:r>
          </w:p>
        </w:tc>
        <w:tc>
          <w:tcPr>
            <w:tcW w:w="1200" w:type="dxa"/>
            <w:tcBorders>
              <w:top w:val="nil"/>
              <w:left w:val="nil"/>
              <w:bottom w:val="single" w:sz="4" w:space="0" w:color="auto"/>
              <w:right w:val="single" w:sz="4" w:space="0" w:color="auto"/>
            </w:tcBorders>
            <w:shd w:val="clear" w:color="000000" w:fill="FFFFFF"/>
            <w:noWrap/>
            <w:vAlign w:val="center"/>
            <w:hideMark/>
          </w:tcPr>
          <w:p w14:paraId="68C52F9A"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91%</w:t>
            </w:r>
          </w:p>
        </w:tc>
      </w:tr>
      <w:tr w:rsidR="005814D5" w:rsidRPr="00B03152" w14:paraId="42DB905D" w14:textId="77777777" w:rsidTr="00B03152">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34AE67E6"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18</w:t>
            </w:r>
          </w:p>
        </w:tc>
        <w:tc>
          <w:tcPr>
            <w:tcW w:w="1740" w:type="dxa"/>
            <w:tcBorders>
              <w:top w:val="nil"/>
              <w:left w:val="nil"/>
              <w:bottom w:val="single" w:sz="4" w:space="0" w:color="auto"/>
              <w:right w:val="single" w:sz="4" w:space="0" w:color="auto"/>
            </w:tcBorders>
            <w:shd w:val="clear" w:color="000000" w:fill="FFFFFF"/>
            <w:noWrap/>
            <w:vAlign w:val="center"/>
            <w:hideMark/>
          </w:tcPr>
          <w:p w14:paraId="21D4B068"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81%</w:t>
            </w:r>
          </w:p>
        </w:tc>
        <w:tc>
          <w:tcPr>
            <w:tcW w:w="1200" w:type="dxa"/>
            <w:tcBorders>
              <w:top w:val="nil"/>
              <w:left w:val="nil"/>
              <w:bottom w:val="single" w:sz="4" w:space="0" w:color="auto"/>
              <w:right w:val="single" w:sz="4" w:space="0" w:color="auto"/>
            </w:tcBorders>
            <w:shd w:val="clear" w:color="000000" w:fill="FFFFFF"/>
            <w:noWrap/>
            <w:vAlign w:val="center"/>
            <w:hideMark/>
          </w:tcPr>
          <w:p w14:paraId="7780550D"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137%</w:t>
            </w:r>
          </w:p>
        </w:tc>
        <w:tc>
          <w:tcPr>
            <w:tcW w:w="1360" w:type="dxa"/>
            <w:tcBorders>
              <w:top w:val="nil"/>
              <w:left w:val="nil"/>
              <w:bottom w:val="single" w:sz="4" w:space="0" w:color="auto"/>
              <w:right w:val="single" w:sz="4" w:space="0" w:color="auto"/>
            </w:tcBorders>
            <w:shd w:val="clear" w:color="000000" w:fill="FFFFFF"/>
            <w:noWrap/>
            <w:vAlign w:val="center"/>
            <w:hideMark/>
          </w:tcPr>
          <w:p w14:paraId="114BDAAC"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56%</w:t>
            </w:r>
          </w:p>
        </w:tc>
        <w:tc>
          <w:tcPr>
            <w:tcW w:w="1200" w:type="dxa"/>
            <w:tcBorders>
              <w:top w:val="nil"/>
              <w:left w:val="nil"/>
              <w:bottom w:val="single" w:sz="4" w:space="0" w:color="auto"/>
              <w:right w:val="single" w:sz="4" w:space="0" w:color="auto"/>
            </w:tcBorders>
            <w:shd w:val="clear" w:color="000000" w:fill="FFFFFF"/>
            <w:noWrap/>
            <w:vAlign w:val="center"/>
            <w:hideMark/>
          </w:tcPr>
          <w:p w14:paraId="2610B135"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80%</w:t>
            </w:r>
          </w:p>
        </w:tc>
        <w:tc>
          <w:tcPr>
            <w:tcW w:w="1340" w:type="dxa"/>
            <w:tcBorders>
              <w:top w:val="nil"/>
              <w:left w:val="nil"/>
              <w:bottom w:val="single" w:sz="4" w:space="0" w:color="auto"/>
              <w:right w:val="single" w:sz="4" w:space="0" w:color="auto"/>
            </w:tcBorders>
            <w:shd w:val="clear" w:color="000000" w:fill="FFFFFF"/>
            <w:noWrap/>
            <w:vAlign w:val="center"/>
            <w:hideMark/>
          </w:tcPr>
          <w:p w14:paraId="696B04FC"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222%</w:t>
            </w:r>
          </w:p>
        </w:tc>
        <w:tc>
          <w:tcPr>
            <w:tcW w:w="1340" w:type="dxa"/>
            <w:tcBorders>
              <w:top w:val="nil"/>
              <w:left w:val="nil"/>
              <w:bottom w:val="single" w:sz="4" w:space="0" w:color="auto"/>
              <w:right w:val="single" w:sz="4" w:space="0" w:color="auto"/>
            </w:tcBorders>
            <w:shd w:val="clear" w:color="000000" w:fill="FFFFFF"/>
            <w:noWrap/>
            <w:vAlign w:val="center"/>
            <w:hideMark/>
          </w:tcPr>
          <w:p w14:paraId="49AB235E"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92%</w:t>
            </w:r>
          </w:p>
        </w:tc>
        <w:tc>
          <w:tcPr>
            <w:tcW w:w="1200" w:type="dxa"/>
            <w:tcBorders>
              <w:top w:val="nil"/>
              <w:left w:val="nil"/>
              <w:bottom w:val="single" w:sz="4" w:space="0" w:color="auto"/>
              <w:right w:val="single" w:sz="4" w:space="0" w:color="auto"/>
            </w:tcBorders>
            <w:shd w:val="clear" w:color="000000" w:fill="FFFFFF"/>
            <w:noWrap/>
            <w:vAlign w:val="center"/>
            <w:hideMark/>
          </w:tcPr>
          <w:p w14:paraId="4578B599"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94%</w:t>
            </w:r>
          </w:p>
        </w:tc>
      </w:tr>
      <w:tr w:rsidR="005814D5" w:rsidRPr="00B03152" w14:paraId="0271BEDE" w14:textId="77777777" w:rsidTr="00B03152">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7C3E1B32"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19</w:t>
            </w:r>
          </w:p>
        </w:tc>
        <w:tc>
          <w:tcPr>
            <w:tcW w:w="1740" w:type="dxa"/>
            <w:tcBorders>
              <w:top w:val="nil"/>
              <w:left w:val="nil"/>
              <w:bottom w:val="single" w:sz="4" w:space="0" w:color="auto"/>
              <w:right w:val="single" w:sz="4" w:space="0" w:color="auto"/>
            </w:tcBorders>
            <w:shd w:val="clear" w:color="000000" w:fill="FFFFFF"/>
            <w:noWrap/>
            <w:vAlign w:val="center"/>
            <w:hideMark/>
          </w:tcPr>
          <w:p w14:paraId="75A63E14"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85%</w:t>
            </w:r>
          </w:p>
        </w:tc>
        <w:tc>
          <w:tcPr>
            <w:tcW w:w="1200" w:type="dxa"/>
            <w:tcBorders>
              <w:top w:val="nil"/>
              <w:left w:val="nil"/>
              <w:bottom w:val="single" w:sz="4" w:space="0" w:color="auto"/>
              <w:right w:val="single" w:sz="4" w:space="0" w:color="auto"/>
            </w:tcBorders>
            <w:shd w:val="clear" w:color="000000" w:fill="FFFFFF"/>
            <w:noWrap/>
            <w:vAlign w:val="center"/>
            <w:hideMark/>
          </w:tcPr>
          <w:p w14:paraId="05A87B48"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168%</w:t>
            </w:r>
          </w:p>
        </w:tc>
        <w:tc>
          <w:tcPr>
            <w:tcW w:w="1360" w:type="dxa"/>
            <w:tcBorders>
              <w:top w:val="nil"/>
              <w:left w:val="nil"/>
              <w:bottom w:val="single" w:sz="4" w:space="0" w:color="auto"/>
              <w:right w:val="single" w:sz="4" w:space="0" w:color="auto"/>
            </w:tcBorders>
            <w:shd w:val="clear" w:color="000000" w:fill="FFFFFF"/>
            <w:noWrap/>
            <w:vAlign w:val="center"/>
            <w:hideMark/>
          </w:tcPr>
          <w:p w14:paraId="2B8E2FEE"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46%</w:t>
            </w:r>
          </w:p>
        </w:tc>
        <w:tc>
          <w:tcPr>
            <w:tcW w:w="1200" w:type="dxa"/>
            <w:tcBorders>
              <w:top w:val="nil"/>
              <w:left w:val="nil"/>
              <w:bottom w:val="single" w:sz="4" w:space="0" w:color="auto"/>
              <w:right w:val="single" w:sz="4" w:space="0" w:color="auto"/>
            </w:tcBorders>
            <w:shd w:val="clear" w:color="000000" w:fill="FFFFFF"/>
            <w:noWrap/>
            <w:vAlign w:val="center"/>
            <w:hideMark/>
          </w:tcPr>
          <w:p w14:paraId="08D18ED6"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100%</w:t>
            </w:r>
          </w:p>
        </w:tc>
        <w:tc>
          <w:tcPr>
            <w:tcW w:w="1340" w:type="dxa"/>
            <w:tcBorders>
              <w:top w:val="nil"/>
              <w:left w:val="nil"/>
              <w:bottom w:val="single" w:sz="4" w:space="0" w:color="auto"/>
              <w:right w:val="single" w:sz="4" w:space="0" w:color="auto"/>
            </w:tcBorders>
            <w:shd w:val="clear" w:color="000000" w:fill="FFFFFF"/>
            <w:noWrap/>
            <w:vAlign w:val="center"/>
            <w:hideMark/>
          </w:tcPr>
          <w:p w14:paraId="6A616542"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211%</w:t>
            </w:r>
          </w:p>
        </w:tc>
        <w:tc>
          <w:tcPr>
            <w:tcW w:w="1340" w:type="dxa"/>
            <w:tcBorders>
              <w:top w:val="nil"/>
              <w:left w:val="nil"/>
              <w:bottom w:val="single" w:sz="4" w:space="0" w:color="auto"/>
              <w:right w:val="single" w:sz="4" w:space="0" w:color="auto"/>
            </w:tcBorders>
            <w:shd w:val="clear" w:color="000000" w:fill="FFFFFF"/>
            <w:noWrap/>
            <w:vAlign w:val="center"/>
            <w:hideMark/>
          </w:tcPr>
          <w:p w14:paraId="357673B0"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84%</w:t>
            </w:r>
          </w:p>
        </w:tc>
        <w:tc>
          <w:tcPr>
            <w:tcW w:w="1200" w:type="dxa"/>
            <w:tcBorders>
              <w:top w:val="nil"/>
              <w:left w:val="nil"/>
              <w:bottom w:val="single" w:sz="4" w:space="0" w:color="auto"/>
              <w:right w:val="single" w:sz="4" w:space="0" w:color="auto"/>
            </w:tcBorders>
            <w:shd w:val="clear" w:color="000000" w:fill="FFFFFF"/>
            <w:noWrap/>
            <w:vAlign w:val="center"/>
            <w:hideMark/>
          </w:tcPr>
          <w:p w14:paraId="1C40F132"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88%</w:t>
            </w:r>
          </w:p>
        </w:tc>
      </w:tr>
      <w:tr w:rsidR="005814D5" w:rsidRPr="00B03152" w14:paraId="73CA4276" w14:textId="77777777" w:rsidTr="00B03152">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60B40ADC"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20</w:t>
            </w:r>
          </w:p>
        </w:tc>
        <w:tc>
          <w:tcPr>
            <w:tcW w:w="1740" w:type="dxa"/>
            <w:tcBorders>
              <w:top w:val="nil"/>
              <w:left w:val="nil"/>
              <w:bottom w:val="single" w:sz="4" w:space="0" w:color="auto"/>
              <w:right w:val="single" w:sz="4" w:space="0" w:color="auto"/>
            </w:tcBorders>
            <w:shd w:val="clear" w:color="000000" w:fill="FFFFFF"/>
            <w:noWrap/>
            <w:vAlign w:val="center"/>
            <w:hideMark/>
          </w:tcPr>
          <w:p w14:paraId="76118D50"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73%</w:t>
            </w:r>
          </w:p>
        </w:tc>
        <w:tc>
          <w:tcPr>
            <w:tcW w:w="1200" w:type="dxa"/>
            <w:tcBorders>
              <w:top w:val="nil"/>
              <w:left w:val="nil"/>
              <w:bottom w:val="single" w:sz="4" w:space="0" w:color="auto"/>
              <w:right w:val="single" w:sz="4" w:space="0" w:color="auto"/>
            </w:tcBorders>
            <w:shd w:val="clear" w:color="000000" w:fill="FFFFFF"/>
            <w:noWrap/>
            <w:vAlign w:val="center"/>
            <w:hideMark/>
          </w:tcPr>
          <w:p w14:paraId="1A671C6B"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157%</w:t>
            </w:r>
          </w:p>
        </w:tc>
        <w:tc>
          <w:tcPr>
            <w:tcW w:w="1360" w:type="dxa"/>
            <w:tcBorders>
              <w:top w:val="nil"/>
              <w:left w:val="nil"/>
              <w:bottom w:val="single" w:sz="4" w:space="0" w:color="auto"/>
              <w:right w:val="single" w:sz="4" w:space="0" w:color="auto"/>
            </w:tcBorders>
            <w:shd w:val="clear" w:color="000000" w:fill="FFFFFF"/>
            <w:noWrap/>
            <w:vAlign w:val="center"/>
            <w:hideMark/>
          </w:tcPr>
          <w:p w14:paraId="00B9ED25"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40%</w:t>
            </w:r>
          </w:p>
        </w:tc>
        <w:tc>
          <w:tcPr>
            <w:tcW w:w="1200" w:type="dxa"/>
            <w:tcBorders>
              <w:top w:val="nil"/>
              <w:left w:val="nil"/>
              <w:bottom w:val="single" w:sz="4" w:space="0" w:color="auto"/>
              <w:right w:val="single" w:sz="4" w:space="0" w:color="auto"/>
            </w:tcBorders>
            <w:shd w:val="clear" w:color="000000" w:fill="FFFFFF"/>
            <w:noWrap/>
            <w:vAlign w:val="center"/>
            <w:hideMark/>
          </w:tcPr>
          <w:p w14:paraId="77CB67B9"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120%</w:t>
            </w:r>
          </w:p>
        </w:tc>
        <w:tc>
          <w:tcPr>
            <w:tcW w:w="1340" w:type="dxa"/>
            <w:tcBorders>
              <w:top w:val="nil"/>
              <w:left w:val="nil"/>
              <w:bottom w:val="single" w:sz="4" w:space="0" w:color="auto"/>
              <w:right w:val="single" w:sz="4" w:space="0" w:color="auto"/>
            </w:tcBorders>
            <w:shd w:val="clear" w:color="000000" w:fill="FFFFFF"/>
            <w:noWrap/>
            <w:vAlign w:val="center"/>
            <w:hideMark/>
          </w:tcPr>
          <w:p w14:paraId="515728C1"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220%</w:t>
            </w:r>
          </w:p>
        </w:tc>
        <w:tc>
          <w:tcPr>
            <w:tcW w:w="1340" w:type="dxa"/>
            <w:tcBorders>
              <w:top w:val="nil"/>
              <w:left w:val="nil"/>
              <w:bottom w:val="single" w:sz="4" w:space="0" w:color="auto"/>
              <w:right w:val="single" w:sz="4" w:space="0" w:color="auto"/>
            </w:tcBorders>
            <w:shd w:val="clear" w:color="000000" w:fill="FFFFFF"/>
            <w:noWrap/>
            <w:vAlign w:val="center"/>
            <w:hideMark/>
          </w:tcPr>
          <w:p w14:paraId="17C365EF"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116%</w:t>
            </w:r>
          </w:p>
        </w:tc>
        <w:tc>
          <w:tcPr>
            <w:tcW w:w="1200" w:type="dxa"/>
            <w:tcBorders>
              <w:top w:val="nil"/>
              <w:left w:val="nil"/>
              <w:bottom w:val="single" w:sz="4" w:space="0" w:color="auto"/>
              <w:right w:val="single" w:sz="4" w:space="0" w:color="auto"/>
            </w:tcBorders>
            <w:shd w:val="clear" w:color="000000" w:fill="FFFFFF"/>
            <w:noWrap/>
            <w:vAlign w:val="center"/>
            <w:hideMark/>
          </w:tcPr>
          <w:p w14:paraId="3E2A31EE"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74%</w:t>
            </w:r>
          </w:p>
        </w:tc>
      </w:tr>
      <w:tr w:rsidR="005814D5" w:rsidRPr="00B03152" w14:paraId="3EE82940" w14:textId="77777777" w:rsidTr="00B03152">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3164A241"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21</w:t>
            </w:r>
          </w:p>
        </w:tc>
        <w:tc>
          <w:tcPr>
            <w:tcW w:w="1740" w:type="dxa"/>
            <w:tcBorders>
              <w:top w:val="nil"/>
              <w:left w:val="nil"/>
              <w:bottom w:val="single" w:sz="4" w:space="0" w:color="auto"/>
              <w:right w:val="single" w:sz="4" w:space="0" w:color="auto"/>
            </w:tcBorders>
            <w:shd w:val="clear" w:color="000000" w:fill="FFFFFF"/>
            <w:noWrap/>
            <w:vAlign w:val="center"/>
            <w:hideMark/>
          </w:tcPr>
          <w:p w14:paraId="7CB154FA"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93%</w:t>
            </w:r>
          </w:p>
        </w:tc>
        <w:tc>
          <w:tcPr>
            <w:tcW w:w="1200" w:type="dxa"/>
            <w:tcBorders>
              <w:top w:val="nil"/>
              <w:left w:val="nil"/>
              <w:bottom w:val="single" w:sz="4" w:space="0" w:color="auto"/>
              <w:right w:val="single" w:sz="4" w:space="0" w:color="auto"/>
            </w:tcBorders>
            <w:shd w:val="clear" w:color="000000" w:fill="FFFFFF"/>
            <w:noWrap/>
            <w:vAlign w:val="center"/>
            <w:hideMark/>
          </w:tcPr>
          <w:p w14:paraId="3A15F1F5"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193%</w:t>
            </w:r>
          </w:p>
        </w:tc>
        <w:tc>
          <w:tcPr>
            <w:tcW w:w="1360" w:type="dxa"/>
            <w:tcBorders>
              <w:top w:val="nil"/>
              <w:left w:val="nil"/>
              <w:bottom w:val="single" w:sz="4" w:space="0" w:color="auto"/>
              <w:right w:val="single" w:sz="4" w:space="0" w:color="auto"/>
            </w:tcBorders>
            <w:shd w:val="clear" w:color="000000" w:fill="FFFFFF"/>
            <w:noWrap/>
            <w:vAlign w:val="center"/>
            <w:hideMark/>
          </w:tcPr>
          <w:p w14:paraId="76F016A6"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45%</w:t>
            </w:r>
          </w:p>
        </w:tc>
        <w:tc>
          <w:tcPr>
            <w:tcW w:w="1200" w:type="dxa"/>
            <w:tcBorders>
              <w:top w:val="nil"/>
              <w:left w:val="nil"/>
              <w:bottom w:val="single" w:sz="4" w:space="0" w:color="auto"/>
              <w:right w:val="single" w:sz="4" w:space="0" w:color="auto"/>
            </w:tcBorders>
            <w:shd w:val="clear" w:color="000000" w:fill="FFFFFF"/>
            <w:noWrap/>
            <w:vAlign w:val="center"/>
            <w:hideMark/>
          </w:tcPr>
          <w:p w14:paraId="73A1C58E"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120%</w:t>
            </w:r>
          </w:p>
        </w:tc>
        <w:tc>
          <w:tcPr>
            <w:tcW w:w="1340" w:type="dxa"/>
            <w:tcBorders>
              <w:top w:val="nil"/>
              <w:left w:val="nil"/>
              <w:bottom w:val="single" w:sz="4" w:space="0" w:color="auto"/>
              <w:right w:val="single" w:sz="4" w:space="0" w:color="auto"/>
            </w:tcBorders>
            <w:shd w:val="clear" w:color="000000" w:fill="FFFFFF"/>
            <w:noWrap/>
            <w:vAlign w:val="center"/>
            <w:hideMark/>
          </w:tcPr>
          <w:p w14:paraId="2024BE1E"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220%</w:t>
            </w:r>
          </w:p>
        </w:tc>
        <w:tc>
          <w:tcPr>
            <w:tcW w:w="1340" w:type="dxa"/>
            <w:tcBorders>
              <w:top w:val="nil"/>
              <w:left w:val="nil"/>
              <w:bottom w:val="single" w:sz="4" w:space="0" w:color="auto"/>
              <w:right w:val="single" w:sz="4" w:space="0" w:color="auto"/>
            </w:tcBorders>
            <w:shd w:val="clear" w:color="000000" w:fill="FFFFFF"/>
            <w:noWrap/>
            <w:vAlign w:val="center"/>
            <w:hideMark/>
          </w:tcPr>
          <w:p w14:paraId="3C9E3D2C"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99%</w:t>
            </w:r>
          </w:p>
        </w:tc>
        <w:tc>
          <w:tcPr>
            <w:tcW w:w="1200" w:type="dxa"/>
            <w:tcBorders>
              <w:top w:val="nil"/>
              <w:left w:val="nil"/>
              <w:bottom w:val="single" w:sz="4" w:space="0" w:color="auto"/>
              <w:right w:val="single" w:sz="4" w:space="0" w:color="auto"/>
            </w:tcBorders>
            <w:shd w:val="clear" w:color="000000" w:fill="FFFFFF"/>
            <w:noWrap/>
            <w:vAlign w:val="center"/>
            <w:hideMark/>
          </w:tcPr>
          <w:p w14:paraId="1D9D8446"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106%</w:t>
            </w:r>
          </w:p>
        </w:tc>
      </w:tr>
      <w:tr w:rsidR="005814D5" w:rsidRPr="00B03152" w14:paraId="4F7CDC6C" w14:textId="77777777" w:rsidTr="00B03152">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6B836273"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22</w:t>
            </w:r>
          </w:p>
        </w:tc>
        <w:tc>
          <w:tcPr>
            <w:tcW w:w="1740" w:type="dxa"/>
            <w:tcBorders>
              <w:top w:val="nil"/>
              <w:left w:val="nil"/>
              <w:bottom w:val="single" w:sz="4" w:space="0" w:color="auto"/>
              <w:right w:val="single" w:sz="4" w:space="0" w:color="auto"/>
            </w:tcBorders>
            <w:shd w:val="clear" w:color="000000" w:fill="FFFFFF"/>
            <w:noWrap/>
            <w:vAlign w:val="center"/>
            <w:hideMark/>
          </w:tcPr>
          <w:p w14:paraId="2A64CCB1"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86%</w:t>
            </w:r>
          </w:p>
        </w:tc>
        <w:tc>
          <w:tcPr>
            <w:tcW w:w="1200" w:type="dxa"/>
            <w:tcBorders>
              <w:top w:val="nil"/>
              <w:left w:val="nil"/>
              <w:bottom w:val="single" w:sz="4" w:space="0" w:color="auto"/>
              <w:right w:val="single" w:sz="4" w:space="0" w:color="auto"/>
            </w:tcBorders>
            <w:shd w:val="clear" w:color="000000" w:fill="FFFFFF"/>
            <w:noWrap/>
            <w:vAlign w:val="center"/>
            <w:hideMark/>
          </w:tcPr>
          <w:p w14:paraId="780D5FF7"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124%</w:t>
            </w:r>
          </w:p>
        </w:tc>
        <w:tc>
          <w:tcPr>
            <w:tcW w:w="1360" w:type="dxa"/>
            <w:tcBorders>
              <w:top w:val="nil"/>
              <w:left w:val="nil"/>
              <w:bottom w:val="single" w:sz="4" w:space="0" w:color="auto"/>
              <w:right w:val="single" w:sz="4" w:space="0" w:color="auto"/>
            </w:tcBorders>
            <w:shd w:val="clear" w:color="000000" w:fill="FFFFFF"/>
            <w:noWrap/>
            <w:vAlign w:val="center"/>
            <w:hideMark/>
          </w:tcPr>
          <w:p w14:paraId="34277361"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56%</w:t>
            </w:r>
          </w:p>
        </w:tc>
        <w:tc>
          <w:tcPr>
            <w:tcW w:w="1200" w:type="dxa"/>
            <w:tcBorders>
              <w:top w:val="nil"/>
              <w:left w:val="nil"/>
              <w:bottom w:val="single" w:sz="4" w:space="0" w:color="auto"/>
              <w:right w:val="single" w:sz="4" w:space="0" w:color="auto"/>
            </w:tcBorders>
            <w:shd w:val="clear" w:color="000000" w:fill="FFFFFF"/>
            <w:noWrap/>
            <w:vAlign w:val="center"/>
            <w:hideMark/>
          </w:tcPr>
          <w:p w14:paraId="68821266"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95%</w:t>
            </w:r>
          </w:p>
        </w:tc>
        <w:tc>
          <w:tcPr>
            <w:tcW w:w="1340" w:type="dxa"/>
            <w:tcBorders>
              <w:top w:val="nil"/>
              <w:left w:val="nil"/>
              <w:bottom w:val="single" w:sz="4" w:space="0" w:color="auto"/>
              <w:right w:val="single" w:sz="4" w:space="0" w:color="auto"/>
            </w:tcBorders>
            <w:shd w:val="clear" w:color="000000" w:fill="FFFFFF"/>
            <w:noWrap/>
            <w:vAlign w:val="center"/>
            <w:hideMark/>
          </w:tcPr>
          <w:p w14:paraId="6108BBCE"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185%</w:t>
            </w:r>
          </w:p>
        </w:tc>
        <w:tc>
          <w:tcPr>
            <w:tcW w:w="1340" w:type="dxa"/>
            <w:tcBorders>
              <w:top w:val="nil"/>
              <w:left w:val="nil"/>
              <w:bottom w:val="single" w:sz="4" w:space="0" w:color="auto"/>
              <w:right w:val="single" w:sz="4" w:space="0" w:color="auto"/>
            </w:tcBorders>
            <w:shd w:val="clear" w:color="000000" w:fill="FFFFFF"/>
            <w:noWrap/>
            <w:vAlign w:val="center"/>
            <w:hideMark/>
          </w:tcPr>
          <w:p w14:paraId="2719A521"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81%</w:t>
            </w:r>
          </w:p>
        </w:tc>
        <w:tc>
          <w:tcPr>
            <w:tcW w:w="1200" w:type="dxa"/>
            <w:tcBorders>
              <w:top w:val="nil"/>
              <w:left w:val="nil"/>
              <w:bottom w:val="single" w:sz="4" w:space="0" w:color="auto"/>
              <w:right w:val="single" w:sz="4" w:space="0" w:color="auto"/>
            </w:tcBorders>
            <w:shd w:val="clear" w:color="000000" w:fill="FFFFFF"/>
            <w:noWrap/>
            <w:vAlign w:val="center"/>
            <w:hideMark/>
          </w:tcPr>
          <w:p w14:paraId="1DE0ADEB"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116%</w:t>
            </w:r>
          </w:p>
        </w:tc>
      </w:tr>
      <w:tr w:rsidR="005814D5" w:rsidRPr="00B03152" w14:paraId="5D1B14CF" w14:textId="77777777" w:rsidTr="00B03152">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04210317"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23</w:t>
            </w:r>
          </w:p>
        </w:tc>
        <w:tc>
          <w:tcPr>
            <w:tcW w:w="1740" w:type="dxa"/>
            <w:tcBorders>
              <w:top w:val="nil"/>
              <w:left w:val="nil"/>
              <w:bottom w:val="single" w:sz="4" w:space="0" w:color="auto"/>
              <w:right w:val="single" w:sz="4" w:space="0" w:color="auto"/>
            </w:tcBorders>
            <w:shd w:val="clear" w:color="000000" w:fill="FFFFFF"/>
            <w:noWrap/>
            <w:vAlign w:val="center"/>
            <w:hideMark/>
          </w:tcPr>
          <w:p w14:paraId="01803365"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86%</w:t>
            </w:r>
          </w:p>
        </w:tc>
        <w:tc>
          <w:tcPr>
            <w:tcW w:w="1200" w:type="dxa"/>
            <w:tcBorders>
              <w:top w:val="nil"/>
              <w:left w:val="nil"/>
              <w:bottom w:val="single" w:sz="4" w:space="0" w:color="auto"/>
              <w:right w:val="single" w:sz="4" w:space="0" w:color="auto"/>
            </w:tcBorders>
            <w:shd w:val="clear" w:color="000000" w:fill="FFFFFF"/>
            <w:noWrap/>
            <w:vAlign w:val="center"/>
            <w:hideMark/>
          </w:tcPr>
          <w:p w14:paraId="2E405959"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94%</w:t>
            </w:r>
          </w:p>
        </w:tc>
        <w:tc>
          <w:tcPr>
            <w:tcW w:w="1360" w:type="dxa"/>
            <w:tcBorders>
              <w:top w:val="nil"/>
              <w:left w:val="nil"/>
              <w:bottom w:val="single" w:sz="4" w:space="0" w:color="auto"/>
              <w:right w:val="single" w:sz="4" w:space="0" w:color="auto"/>
            </w:tcBorders>
            <w:shd w:val="clear" w:color="000000" w:fill="FFFFFF"/>
            <w:noWrap/>
            <w:vAlign w:val="center"/>
            <w:hideMark/>
          </w:tcPr>
          <w:p w14:paraId="75B072E3"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43%</w:t>
            </w:r>
          </w:p>
        </w:tc>
        <w:tc>
          <w:tcPr>
            <w:tcW w:w="1200" w:type="dxa"/>
            <w:tcBorders>
              <w:top w:val="nil"/>
              <w:left w:val="nil"/>
              <w:bottom w:val="single" w:sz="4" w:space="0" w:color="auto"/>
              <w:right w:val="single" w:sz="4" w:space="0" w:color="auto"/>
            </w:tcBorders>
            <w:shd w:val="clear" w:color="000000" w:fill="FFFFFF"/>
            <w:noWrap/>
            <w:vAlign w:val="center"/>
            <w:hideMark/>
          </w:tcPr>
          <w:p w14:paraId="0D3465B7"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146%</w:t>
            </w:r>
          </w:p>
        </w:tc>
        <w:tc>
          <w:tcPr>
            <w:tcW w:w="1340" w:type="dxa"/>
            <w:tcBorders>
              <w:top w:val="nil"/>
              <w:left w:val="nil"/>
              <w:bottom w:val="single" w:sz="4" w:space="0" w:color="auto"/>
              <w:right w:val="single" w:sz="4" w:space="0" w:color="auto"/>
            </w:tcBorders>
            <w:shd w:val="clear" w:color="000000" w:fill="FFFFFF"/>
            <w:noWrap/>
            <w:vAlign w:val="center"/>
            <w:hideMark/>
          </w:tcPr>
          <w:p w14:paraId="2E2EE749"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279%</w:t>
            </w:r>
          </w:p>
        </w:tc>
        <w:tc>
          <w:tcPr>
            <w:tcW w:w="1340" w:type="dxa"/>
            <w:tcBorders>
              <w:top w:val="nil"/>
              <w:left w:val="nil"/>
              <w:bottom w:val="single" w:sz="4" w:space="0" w:color="auto"/>
              <w:right w:val="single" w:sz="4" w:space="0" w:color="auto"/>
            </w:tcBorders>
            <w:shd w:val="clear" w:color="000000" w:fill="FFFFFF"/>
            <w:noWrap/>
            <w:vAlign w:val="center"/>
            <w:hideMark/>
          </w:tcPr>
          <w:p w14:paraId="586BB223"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83%</w:t>
            </w:r>
          </w:p>
        </w:tc>
        <w:tc>
          <w:tcPr>
            <w:tcW w:w="1200" w:type="dxa"/>
            <w:tcBorders>
              <w:top w:val="nil"/>
              <w:left w:val="nil"/>
              <w:bottom w:val="single" w:sz="4" w:space="0" w:color="auto"/>
              <w:right w:val="single" w:sz="4" w:space="0" w:color="auto"/>
            </w:tcBorders>
            <w:shd w:val="clear" w:color="000000" w:fill="FFFFFF"/>
            <w:noWrap/>
            <w:vAlign w:val="center"/>
            <w:hideMark/>
          </w:tcPr>
          <w:p w14:paraId="369DC1A8"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92%</w:t>
            </w:r>
          </w:p>
        </w:tc>
      </w:tr>
      <w:tr w:rsidR="005814D5" w:rsidRPr="00B03152" w14:paraId="25CEFB4A" w14:textId="77777777" w:rsidTr="00B03152">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72FA2DAD"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24</w:t>
            </w:r>
          </w:p>
        </w:tc>
        <w:tc>
          <w:tcPr>
            <w:tcW w:w="1740" w:type="dxa"/>
            <w:tcBorders>
              <w:top w:val="nil"/>
              <w:left w:val="nil"/>
              <w:bottom w:val="single" w:sz="4" w:space="0" w:color="auto"/>
              <w:right w:val="single" w:sz="4" w:space="0" w:color="auto"/>
            </w:tcBorders>
            <w:shd w:val="clear" w:color="000000" w:fill="FFFFFF"/>
            <w:noWrap/>
            <w:vAlign w:val="center"/>
            <w:hideMark/>
          </w:tcPr>
          <w:p w14:paraId="02B735F2"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68%</w:t>
            </w:r>
          </w:p>
        </w:tc>
        <w:tc>
          <w:tcPr>
            <w:tcW w:w="1200" w:type="dxa"/>
            <w:tcBorders>
              <w:top w:val="nil"/>
              <w:left w:val="nil"/>
              <w:bottom w:val="single" w:sz="4" w:space="0" w:color="auto"/>
              <w:right w:val="single" w:sz="4" w:space="0" w:color="auto"/>
            </w:tcBorders>
            <w:shd w:val="clear" w:color="000000" w:fill="FFFFFF"/>
            <w:noWrap/>
            <w:vAlign w:val="center"/>
            <w:hideMark/>
          </w:tcPr>
          <w:p w14:paraId="499D2E33"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85%</w:t>
            </w:r>
          </w:p>
        </w:tc>
        <w:tc>
          <w:tcPr>
            <w:tcW w:w="1360" w:type="dxa"/>
            <w:tcBorders>
              <w:top w:val="nil"/>
              <w:left w:val="nil"/>
              <w:bottom w:val="single" w:sz="4" w:space="0" w:color="auto"/>
              <w:right w:val="single" w:sz="4" w:space="0" w:color="auto"/>
            </w:tcBorders>
            <w:shd w:val="clear" w:color="000000" w:fill="FFFFFF"/>
            <w:noWrap/>
            <w:vAlign w:val="center"/>
            <w:hideMark/>
          </w:tcPr>
          <w:p w14:paraId="2E023798"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40%</w:t>
            </w:r>
          </w:p>
        </w:tc>
        <w:tc>
          <w:tcPr>
            <w:tcW w:w="1200" w:type="dxa"/>
            <w:tcBorders>
              <w:top w:val="nil"/>
              <w:left w:val="nil"/>
              <w:bottom w:val="single" w:sz="4" w:space="0" w:color="auto"/>
              <w:right w:val="single" w:sz="4" w:space="0" w:color="auto"/>
            </w:tcBorders>
            <w:shd w:val="clear" w:color="000000" w:fill="FFFFFF"/>
            <w:noWrap/>
            <w:vAlign w:val="center"/>
            <w:hideMark/>
          </w:tcPr>
          <w:p w14:paraId="261B7D44"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120%</w:t>
            </w:r>
          </w:p>
        </w:tc>
        <w:tc>
          <w:tcPr>
            <w:tcW w:w="1340" w:type="dxa"/>
            <w:tcBorders>
              <w:top w:val="nil"/>
              <w:left w:val="nil"/>
              <w:bottom w:val="single" w:sz="4" w:space="0" w:color="auto"/>
              <w:right w:val="single" w:sz="4" w:space="0" w:color="auto"/>
            </w:tcBorders>
            <w:shd w:val="clear" w:color="000000" w:fill="FFFFFF"/>
            <w:noWrap/>
            <w:vAlign w:val="center"/>
            <w:hideMark/>
          </w:tcPr>
          <w:p w14:paraId="07A15247"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279%</w:t>
            </w:r>
          </w:p>
        </w:tc>
        <w:tc>
          <w:tcPr>
            <w:tcW w:w="1340" w:type="dxa"/>
            <w:tcBorders>
              <w:top w:val="nil"/>
              <w:left w:val="nil"/>
              <w:bottom w:val="single" w:sz="4" w:space="0" w:color="auto"/>
              <w:right w:val="single" w:sz="4" w:space="0" w:color="auto"/>
            </w:tcBorders>
            <w:shd w:val="clear" w:color="000000" w:fill="FFFFFF"/>
            <w:noWrap/>
            <w:vAlign w:val="center"/>
            <w:hideMark/>
          </w:tcPr>
          <w:p w14:paraId="52DE2696"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107%</w:t>
            </w:r>
          </w:p>
        </w:tc>
        <w:tc>
          <w:tcPr>
            <w:tcW w:w="1200" w:type="dxa"/>
            <w:tcBorders>
              <w:top w:val="nil"/>
              <w:left w:val="nil"/>
              <w:bottom w:val="single" w:sz="4" w:space="0" w:color="auto"/>
              <w:right w:val="single" w:sz="4" w:space="0" w:color="auto"/>
            </w:tcBorders>
            <w:shd w:val="clear" w:color="000000" w:fill="FFFFFF"/>
            <w:noWrap/>
            <w:vAlign w:val="center"/>
            <w:hideMark/>
          </w:tcPr>
          <w:p w14:paraId="2F7B3C8F"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113%</w:t>
            </w:r>
          </w:p>
        </w:tc>
      </w:tr>
      <w:tr w:rsidR="005814D5" w:rsidRPr="00B03152" w14:paraId="7566BED9" w14:textId="77777777" w:rsidTr="00B03152">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108B0859"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25</w:t>
            </w:r>
          </w:p>
        </w:tc>
        <w:tc>
          <w:tcPr>
            <w:tcW w:w="1740" w:type="dxa"/>
            <w:tcBorders>
              <w:top w:val="nil"/>
              <w:left w:val="nil"/>
              <w:bottom w:val="single" w:sz="4" w:space="0" w:color="auto"/>
              <w:right w:val="single" w:sz="4" w:space="0" w:color="auto"/>
            </w:tcBorders>
            <w:shd w:val="clear" w:color="000000" w:fill="FFFFFF"/>
            <w:noWrap/>
            <w:vAlign w:val="center"/>
            <w:hideMark/>
          </w:tcPr>
          <w:p w14:paraId="40CBF63B"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88%</w:t>
            </w:r>
          </w:p>
        </w:tc>
        <w:tc>
          <w:tcPr>
            <w:tcW w:w="1200" w:type="dxa"/>
            <w:tcBorders>
              <w:top w:val="nil"/>
              <w:left w:val="nil"/>
              <w:bottom w:val="single" w:sz="4" w:space="0" w:color="auto"/>
              <w:right w:val="single" w:sz="4" w:space="0" w:color="auto"/>
            </w:tcBorders>
            <w:shd w:val="clear" w:color="000000" w:fill="FFFFFF"/>
            <w:noWrap/>
            <w:vAlign w:val="center"/>
            <w:hideMark/>
          </w:tcPr>
          <w:p w14:paraId="6BB1FC3D"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116%</w:t>
            </w:r>
          </w:p>
        </w:tc>
        <w:tc>
          <w:tcPr>
            <w:tcW w:w="1360" w:type="dxa"/>
            <w:tcBorders>
              <w:top w:val="nil"/>
              <w:left w:val="nil"/>
              <w:bottom w:val="single" w:sz="4" w:space="0" w:color="auto"/>
              <w:right w:val="single" w:sz="4" w:space="0" w:color="auto"/>
            </w:tcBorders>
            <w:shd w:val="clear" w:color="000000" w:fill="FFFFFF"/>
            <w:noWrap/>
            <w:vAlign w:val="center"/>
            <w:hideMark/>
          </w:tcPr>
          <w:p w14:paraId="2626A2F4"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45%</w:t>
            </w:r>
          </w:p>
        </w:tc>
        <w:tc>
          <w:tcPr>
            <w:tcW w:w="1200" w:type="dxa"/>
            <w:tcBorders>
              <w:top w:val="nil"/>
              <w:left w:val="nil"/>
              <w:bottom w:val="single" w:sz="4" w:space="0" w:color="auto"/>
              <w:right w:val="single" w:sz="4" w:space="0" w:color="auto"/>
            </w:tcBorders>
            <w:shd w:val="clear" w:color="000000" w:fill="FFFFFF"/>
            <w:noWrap/>
            <w:vAlign w:val="center"/>
            <w:hideMark/>
          </w:tcPr>
          <w:p w14:paraId="3346289C"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106%</w:t>
            </w:r>
          </w:p>
        </w:tc>
        <w:tc>
          <w:tcPr>
            <w:tcW w:w="1340" w:type="dxa"/>
            <w:tcBorders>
              <w:top w:val="nil"/>
              <w:left w:val="nil"/>
              <w:bottom w:val="single" w:sz="4" w:space="0" w:color="auto"/>
              <w:right w:val="single" w:sz="4" w:space="0" w:color="auto"/>
            </w:tcBorders>
            <w:shd w:val="clear" w:color="000000" w:fill="FFFFFF"/>
            <w:noWrap/>
            <w:vAlign w:val="center"/>
            <w:hideMark/>
          </w:tcPr>
          <w:p w14:paraId="2590A477"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204%</w:t>
            </w:r>
          </w:p>
        </w:tc>
        <w:tc>
          <w:tcPr>
            <w:tcW w:w="1340" w:type="dxa"/>
            <w:tcBorders>
              <w:top w:val="nil"/>
              <w:left w:val="nil"/>
              <w:bottom w:val="single" w:sz="4" w:space="0" w:color="auto"/>
              <w:right w:val="single" w:sz="4" w:space="0" w:color="auto"/>
            </w:tcBorders>
            <w:shd w:val="clear" w:color="000000" w:fill="FFFFFF"/>
            <w:noWrap/>
            <w:vAlign w:val="center"/>
            <w:hideMark/>
          </w:tcPr>
          <w:p w14:paraId="3902411F"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82%</w:t>
            </w:r>
          </w:p>
        </w:tc>
        <w:tc>
          <w:tcPr>
            <w:tcW w:w="1200" w:type="dxa"/>
            <w:tcBorders>
              <w:top w:val="nil"/>
              <w:left w:val="nil"/>
              <w:bottom w:val="single" w:sz="4" w:space="0" w:color="auto"/>
              <w:right w:val="single" w:sz="4" w:space="0" w:color="auto"/>
            </w:tcBorders>
            <w:shd w:val="clear" w:color="000000" w:fill="FFFFFF"/>
            <w:noWrap/>
            <w:vAlign w:val="center"/>
            <w:hideMark/>
          </w:tcPr>
          <w:p w14:paraId="26891E93"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129%</w:t>
            </w:r>
          </w:p>
        </w:tc>
      </w:tr>
      <w:tr w:rsidR="005814D5" w:rsidRPr="00B03152" w14:paraId="269AE236" w14:textId="77777777" w:rsidTr="00B03152">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01B475AF"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26</w:t>
            </w:r>
          </w:p>
        </w:tc>
        <w:tc>
          <w:tcPr>
            <w:tcW w:w="1740" w:type="dxa"/>
            <w:tcBorders>
              <w:top w:val="nil"/>
              <w:left w:val="nil"/>
              <w:bottom w:val="single" w:sz="4" w:space="0" w:color="auto"/>
              <w:right w:val="single" w:sz="4" w:space="0" w:color="auto"/>
            </w:tcBorders>
            <w:shd w:val="clear" w:color="000000" w:fill="FFFFFF"/>
            <w:noWrap/>
            <w:vAlign w:val="center"/>
            <w:hideMark/>
          </w:tcPr>
          <w:p w14:paraId="03136EF4"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73%</w:t>
            </w:r>
          </w:p>
        </w:tc>
        <w:tc>
          <w:tcPr>
            <w:tcW w:w="1200" w:type="dxa"/>
            <w:tcBorders>
              <w:top w:val="nil"/>
              <w:left w:val="nil"/>
              <w:bottom w:val="single" w:sz="4" w:space="0" w:color="auto"/>
              <w:right w:val="single" w:sz="4" w:space="0" w:color="auto"/>
            </w:tcBorders>
            <w:shd w:val="clear" w:color="000000" w:fill="FFFFFF"/>
            <w:noWrap/>
            <w:vAlign w:val="center"/>
            <w:hideMark/>
          </w:tcPr>
          <w:p w14:paraId="1B9438D9"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104%</w:t>
            </w:r>
          </w:p>
        </w:tc>
        <w:tc>
          <w:tcPr>
            <w:tcW w:w="1360" w:type="dxa"/>
            <w:tcBorders>
              <w:top w:val="nil"/>
              <w:left w:val="nil"/>
              <w:bottom w:val="single" w:sz="4" w:space="0" w:color="auto"/>
              <w:right w:val="single" w:sz="4" w:space="0" w:color="auto"/>
            </w:tcBorders>
            <w:shd w:val="clear" w:color="000000" w:fill="FFFFFF"/>
            <w:noWrap/>
            <w:vAlign w:val="center"/>
            <w:hideMark/>
          </w:tcPr>
          <w:p w14:paraId="20559BC5"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44%</w:t>
            </w:r>
          </w:p>
        </w:tc>
        <w:tc>
          <w:tcPr>
            <w:tcW w:w="1200" w:type="dxa"/>
            <w:tcBorders>
              <w:top w:val="nil"/>
              <w:left w:val="nil"/>
              <w:bottom w:val="single" w:sz="4" w:space="0" w:color="auto"/>
              <w:right w:val="single" w:sz="4" w:space="0" w:color="auto"/>
            </w:tcBorders>
            <w:shd w:val="clear" w:color="000000" w:fill="FFFFFF"/>
            <w:noWrap/>
            <w:vAlign w:val="center"/>
            <w:hideMark/>
          </w:tcPr>
          <w:p w14:paraId="0F459695"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92%</w:t>
            </w:r>
          </w:p>
        </w:tc>
        <w:tc>
          <w:tcPr>
            <w:tcW w:w="1340" w:type="dxa"/>
            <w:tcBorders>
              <w:top w:val="nil"/>
              <w:left w:val="nil"/>
              <w:bottom w:val="single" w:sz="4" w:space="0" w:color="auto"/>
              <w:right w:val="single" w:sz="4" w:space="0" w:color="auto"/>
            </w:tcBorders>
            <w:shd w:val="clear" w:color="000000" w:fill="FFFFFF"/>
            <w:noWrap/>
            <w:vAlign w:val="center"/>
            <w:hideMark/>
          </w:tcPr>
          <w:p w14:paraId="7BAE8693"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221%</w:t>
            </w:r>
          </w:p>
        </w:tc>
        <w:tc>
          <w:tcPr>
            <w:tcW w:w="1340" w:type="dxa"/>
            <w:tcBorders>
              <w:top w:val="nil"/>
              <w:left w:val="nil"/>
              <w:bottom w:val="single" w:sz="4" w:space="0" w:color="auto"/>
              <w:right w:val="single" w:sz="4" w:space="0" w:color="auto"/>
            </w:tcBorders>
            <w:shd w:val="clear" w:color="000000" w:fill="FFFFFF"/>
            <w:noWrap/>
            <w:vAlign w:val="center"/>
            <w:hideMark/>
          </w:tcPr>
          <w:p w14:paraId="716DBB4C"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94%</w:t>
            </w:r>
          </w:p>
        </w:tc>
        <w:tc>
          <w:tcPr>
            <w:tcW w:w="1200" w:type="dxa"/>
            <w:tcBorders>
              <w:top w:val="nil"/>
              <w:left w:val="nil"/>
              <w:bottom w:val="single" w:sz="4" w:space="0" w:color="auto"/>
              <w:right w:val="single" w:sz="4" w:space="0" w:color="auto"/>
            </w:tcBorders>
            <w:shd w:val="clear" w:color="000000" w:fill="FFFFFF"/>
            <w:noWrap/>
            <w:vAlign w:val="center"/>
            <w:hideMark/>
          </w:tcPr>
          <w:p w14:paraId="19B7433B"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84%</w:t>
            </w:r>
          </w:p>
        </w:tc>
      </w:tr>
      <w:tr w:rsidR="005814D5" w:rsidRPr="00B03152" w14:paraId="12132D5A" w14:textId="77777777" w:rsidTr="00B03152">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1EE4F8CD"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27</w:t>
            </w:r>
          </w:p>
        </w:tc>
        <w:tc>
          <w:tcPr>
            <w:tcW w:w="1740" w:type="dxa"/>
            <w:tcBorders>
              <w:top w:val="nil"/>
              <w:left w:val="nil"/>
              <w:bottom w:val="single" w:sz="4" w:space="0" w:color="auto"/>
              <w:right w:val="single" w:sz="4" w:space="0" w:color="auto"/>
            </w:tcBorders>
            <w:shd w:val="clear" w:color="000000" w:fill="FFFFFF"/>
            <w:noWrap/>
            <w:vAlign w:val="center"/>
            <w:hideMark/>
          </w:tcPr>
          <w:p w14:paraId="51299961"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99%</w:t>
            </w:r>
          </w:p>
        </w:tc>
        <w:tc>
          <w:tcPr>
            <w:tcW w:w="1200" w:type="dxa"/>
            <w:tcBorders>
              <w:top w:val="nil"/>
              <w:left w:val="nil"/>
              <w:bottom w:val="single" w:sz="4" w:space="0" w:color="auto"/>
              <w:right w:val="single" w:sz="4" w:space="0" w:color="auto"/>
            </w:tcBorders>
            <w:shd w:val="clear" w:color="000000" w:fill="FFFFFF"/>
            <w:noWrap/>
            <w:vAlign w:val="center"/>
            <w:hideMark/>
          </w:tcPr>
          <w:p w14:paraId="43EDEDF6"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76%</w:t>
            </w:r>
          </w:p>
        </w:tc>
        <w:tc>
          <w:tcPr>
            <w:tcW w:w="1360" w:type="dxa"/>
            <w:tcBorders>
              <w:top w:val="nil"/>
              <w:left w:val="nil"/>
              <w:bottom w:val="single" w:sz="4" w:space="0" w:color="auto"/>
              <w:right w:val="single" w:sz="4" w:space="0" w:color="auto"/>
            </w:tcBorders>
            <w:shd w:val="clear" w:color="000000" w:fill="FFFFFF"/>
            <w:noWrap/>
            <w:vAlign w:val="center"/>
            <w:hideMark/>
          </w:tcPr>
          <w:p w14:paraId="19CEDA66"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40%</w:t>
            </w:r>
          </w:p>
        </w:tc>
        <w:tc>
          <w:tcPr>
            <w:tcW w:w="1200" w:type="dxa"/>
            <w:tcBorders>
              <w:top w:val="nil"/>
              <w:left w:val="nil"/>
              <w:bottom w:val="single" w:sz="4" w:space="0" w:color="auto"/>
              <w:right w:val="single" w:sz="4" w:space="0" w:color="auto"/>
            </w:tcBorders>
            <w:shd w:val="clear" w:color="000000" w:fill="FFFFFF"/>
            <w:noWrap/>
            <w:vAlign w:val="center"/>
            <w:hideMark/>
          </w:tcPr>
          <w:p w14:paraId="2F9D4157"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109%</w:t>
            </w:r>
          </w:p>
        </w:tc>
        <w:tc>
          <w:tcPr>
            <w:tcW w:w="1340" w:type="dxa"/>
            <w:tcBorders>
              <w:top w:val="nil"/>
              <w:left w:val="nil"/>
              <w:bottom w:val="single" w:sz="4" w:space="0" w:color="auto"/>
              <w:right w:val="single" w:sz="4" w:space="0" w:color="auto"/>
            </w:tcBorders>
            <w:shd w:val="clear" w:color="000000" w:fill="FFFFFF"/>
            <w:noWrap/>
            <w:vAlign w:val="center"/>
            <w:hideMark/>
          </w:tcPr>
          <w:p w14:paraId="3EE0689E"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233%</w:t>
            </w:r>
          </w:p>
        </w:tc>
        <w:tc>
          <w:tcPr>
            <w:tcW w:w="1340" w:type="dxa"/>
            <w:tcBorders>
              <w:top w:val="nil"/>
              <w:left w:val="nil"/>
              <w:bottom w:val="single" w:sz="4" w:space="0" w:color="auto"/>
              <w:right w:val="single" w:sz="4" w:space="0" w:color="auto"/>
            </w:tcBorders>
            <w:shd w:val="clear" w:color="000000" w:fill="FFFFFF"/>
            <w:noWrap/>
            <w:vAlign w:val="center"/>
            <w:hideMark/>
          </w:tcPr>
          <w:p w14:paraId="421A5036"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84%</w:t>
            </w:r>
          </w:p>
        </w:tc>
        <w:tc>
          <w:tcPr>
            <w:tcW w:w="1200" w:type="dxa"/>
            <w:tcBorders>
              <w:top w:val="nil"/>
              <w:left w:val="nil"/>
              <w:bottom w:val="single" w:sz="4" w:space="0" w:color="auto"/>
              <w:right w:val="single" w:sz="4" w:space="0" w:color="auto"/>
            </w:tcBorders>
            <w:shd w:val="clear" w:color="000000" w:fill="FFFFFF"/>
            <w:noWrap/>
            <w:vAlign w:val="center"/>
            <w:hideMark/>
          </w:tcPr>
          <w:p w14:paraId="06840728"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79%</w:t>
            </w:r>
          </w:p>
        </w:tc>
      </w:tr>
      <w:tr w:rsidR="005814D5" w:rsidRPr="00B03152" w14:paraId="79E05F4A" w14:textId="77777777" w:rsidTr="00B03152">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04BF826E"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28</w:t>
            </w:r>
          </w:p>
        </w:tc>
        <w:tc>
          <w:tcPr>
            <w:tcW w:w="1740" w:type="dxa"/>
            <w:tcBorders>
              <w:top w:val="nil"/>
              <w:left w:val="nil"/>
              <w:bottom w:val="single" w:sz="4" w:space="0" w:color="auto"/>
              <w:right w:val="single" w:sz="4" w:space="0" w:color="auto"/>
            </w:tcBorders>
            <w:shd w:val="clear" w:color="000000" w:fill="FFFFFF"/>
            <w:noWrap/>
            <w:vAlign w:val="center"/>
            <w:hideMark/>
          </w:tcPr>
          <w:p w14:paraId="41FB7A4C"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102%</w:t>
            </w:r>
          </w:p>
        </w:tc>
        <w:tc>
          <w:tcPr>
            <w:tcW w:w="1200" w:type="dxa"/>
            <w:tcBorders>
              <w:top w:val="nil"/>
              <w:left w:val="nil"/>
              <w:bottom w:val="single" w:sz="4" w:space="0" w:color="auto"/>
              <w:right w:val="single" w:sz="4" w:space="0" w:color="auto"/>
            </w:tcBorders>
            <w:shd w:val="clear" w:color="000000" w:fill="FFFFFF"/>
            <w:noWrap/>
            <w:vAlign w:val="center"/>
            <w:hideMark/>
          </w:tcPr>
          <w:p w14:paraId="678F8242"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70%</w:t>
            </w:r>
          </w:p>
        </w:tc>
        <w:tc>
          <w:tcPr>
            <w:tcW w:w="1360" w:type="dxa"/>
            <w:tcBorders>
              <w:top w:val="nil"/>
              <w:left w:val="nil"/>
              <w:bottom w:val="single" w:sz="4" w:space="0" w:color="auto"/>
              <w:right w:val="single" w:sz="4" w:space="0" w:color="auto"/>
            </w:tcBorders>
            <w:shd w:val="clear" w:color="000000" w:fill="FFFFFF"/>
            <w:noWrap/>
            <w:vAlign w:val="center"/>
            <w:hideMark/>
          </w:tcPr>
          <w:p w14:paraId="07851737"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51%</w:t>
            </w:r>
          </w:p>
        </w:tc>
        <w:tc>
          <w:tcPr>
            <w:tcW w:w="1200" w:type="dxa"/>
            <w:tcBorders>
              <w:top w:val="nil"/>
              <w:left w:val="nil"/>
              <w:bottom w:val="single" w:sz="4" w:space="0" w:color="auto"/>
              <w:right w:val="single" w:sz="4" w:space="0" w:color="auto"/>
            </w:tcBorders>
            <w:shd w:val="clear" w:color="000000" w:fill="FFFFFF"/>
            <w:noWrap/>
            <w:vAlign w:val="center"/>
            <w:hideMark/>
          </w:tcPr>
          <w:p w14:paraId="17D8486A"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97%</w:t>
            </w:r>
          </w:p>
        </w:tc>
        <w:tc>
          <w:tcPr>
            <w:tcW w:w="1340" w:type="dxa"/>
            <w:tcBorders>
              <w:top w:val="nil"/>
              <w:left w:val="nil"/>
              <w:bottom w:val="single" w:sz="4" w:space="0" w:color="auto"/>
              <w:right w:val="single" w:sz="4" w:space="0" w:color="auto"/>
            </w:tcBorders>
            <w:shd w:val="clear" w:color="000000" w:fill="FFFFFF"/>
            <w:noWrap/>
            <w:vAlign w:val="center"/>
            <w:hideMark/>
          </w:tcPr>
          <w:p w14:paraId="5F5EBD28"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243%</w:t>
            </w:r>
          </w:p>
        </w:tc>
        <w:tc>
          <w:tcPr>
            <w:tcW w:w="1340" w:type="dxa"/>
            <w:tcBorders>
              <w:top w:val="nil"/>
              <w:left w:val="nil"/>
              <w:bottom w:val="single" w:sz="4" w:space="0" w:color="auto"/>
              <w:right w:val="single" w:sz="4" w:space="0" w:color="auto"/>
            </w:tcBorders>
            <w:shd w:val="clear" w:color="000000" w:fill="FFFFFF"/>
            <w:noWrap/>
            <w:vAlign w:val="center"/>
            <w:hideMark/>
          </w:tcPr>
          <w:p w14:paraId="508B9FA4"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95%</w:t>
            </w:r>
          </w:p>
        </w:tc>
        <w:tc>
          <w:tcPr>
            <w:tcW w:w="1200" w:type="dxa"/>
            <w:tcBorders>
              <w:top w:val="nil"/>
              <w:left w:val="nil"/>
              <w:bottom w:val="single" w:sz="4" w:space="0" w:color="auto"/>
              <w:right w:val="single" w:sz="4" w:space="0" w:color="auto"/>
            </w:tcBorders>
            <w:shd w:val="clear" w:color="000000" w:fill="FFFFFF"/>
            <w:noWrap/>
            <w:vAlign w:val="center"/>
            <w:hideMark/>
          </w:tcPr>
          <w:p w14:paraId="177836F0"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84%</w:t>
            </w:r>
          </w:p>
        </w:tc>
      </w:tr>
      <w:tr w:rsidR="005814D5" w:rsidRPr="00B03152" w14:paraId="21DFF742" w14:textId="77777777" w:rsidTr="00B03152">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2FB48C60"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29</w:t>
            </w:r>
          </w:p>
        </w:tc>
        <w:tc>
          <w:tcPr>
            <w:tcW w:w="1740" w:type="dxa"/>
            <w:tcBorders>
              <w:top w:val="nil"/>
              <w:left w:val="nil"/>
              <w:bottom w:val="single" w:sz="4" w:space="0" w:color="auto"/>
              <w:right w:val="single" w:sz="4" w:space="0" w:color="auto"/>
            </w:tcBorders>
            <w:shd w:val="clear" w:color="000000" w:fill="FFFFFF"/>
            <w:noWrap/>
            <w:vAlign w:val="center"/>
            <w:hideMark/>
          </w:tcPr>
          <w:p w14:paraId="3C7A0755"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109%</w:t>
            </w:r>
          </w:p>
        </w:tc>
        <w:tc>
          <w:tcPr>
            <w:tcW w:w="1200" w:type="dxa"/>
            <w:tcBorders>
              <w:top w:val="nil"/>
              <w:left w:val="nil"/>
              <w:bottom w:val="single" w:sz="4" w:space="0" w:color="auto"/>
              <w:right w:val="single" w:sz="4" w:space="0" w:color="auto"/>
            </w:tcBorders>
            <w:shd w:val="clear" w:color="000000" w:fill="FFFFFF"/>
            <w:noWrap/>
            <w:vAlign w:val="center"/>
            <w:hideMark/>
          </w:tcPr>
          <w:p w14:paraId="30781428"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97%</w:t>
            </w:r>
          </w:p>
        </w:tc>
        <w:tc>
          <w:tcPr>
            <w:tcW w:w="1360" w:type="dxa"/>
            <w:tcBorders>
              <w:top w:val="nil"/>
              <w:left w:val="nil"/>
              <w:bottom w:val="single" w:sz="4" w:space="0" w:color="auto"/>
              <w:right w:val="single" w:sz="4" w:space="0" w:color="auto"/>
            </w:tcBorders>
            <w:shd w:val="clear" w:color="000000" w:fill="FFFFFF"/>
            <w:noWrap/>
            <w:vAlign w:val="center"/>
            <w:hideMark/>
          </w:tcPr>
          <w:p w14:paraId="09AA18ED"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41%</w:t>
            </w:r>
          </w:p>
        </w:tc>
        <w:tc>
          <w:tcPr>
            <w:tcW w:w="1200" w:type="dxa"/>
            <w:tcBorders>
              <w:top w:val="nil"/>
              <w:left w:val="nil"/>
              <w:bottom w:val="single" w:sz="4" w:space="0" w:color="auto"/>
              <w:right w:val="single" w:sz="4" w:space="0" w:color="auto"/>
            </w:tcBorders>
            <w:shd w:val="clear" w:color="000000" w:fill="FFFFFF"/>
            <w:noWrap/>
            <w:vAlign w:val="center"/>
            <w:hideMark/>
          </w:tcPr>
          <w:p w14:paraId="5D8B0022"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121%</w:t>
            </w:r>
          </w:p>
        </w:tc>
        <w:tc>
          <w:tcPr>
            <w:tcW w:w="1340" w:type="dxa"/>
            <w:tcBorders>
              <w:top w:val="nil"/>
              <w:left w:val="nil"/>
              <w:bottom w:val="single" w:sz="4" w:space="0" w:color="auto"/>
              <w:right w:val="single" w:sz="4" w:space="0" w:color="auto"/>
            </w:tcBorders>
            <w:shd w:val="clear" w:color="000000" w:fill="FFFFFF"/>
            <w:noWrap/>
            <w:vAlign w:val="center"/>
            <w:hideMark/>
          </w:tcPr>
          <w:p w14:paraId="3890EF7E"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236%</w:t>
            </w:r>
          </w:p>
        </w:tc>
        <w:tc>
          <w:tcPr>
            <w:tcW w:w="1340" w:type="dxa"/>
            <w:tcBorders>
              <w:top w:val="nil"/>
              <w:left w:val="nil"/>
              <w:bottom w:val="single" w:sz="4" w:space="0" w:color="auto"/>
              <w:right w:val="single" w:sz="4" w:space="0" w:color="auto"/>
            </w:tcBorders>
            <w:shd w:val="clear" w:color="000000" w:fill="FFFFFF"/>
            <w:noWrap/>
            <w:vAlign w:val="center"/>
            <w:hideMark/>
          </w:tcPr>
          <w:p w14:paraId="2B409821"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92%</w:t>
            </w:r>
          </w:p>
        </w:tc>
        <w:tc>
          <w:tcPr>
            <w:tcW w:w="1200" w:type="dxa"/>
            <w:tcBorders>
              <w:top w:val="nil"/>
              <w:left w:val="nil"/>
              <w:bottom w:val="single" w:sz="4" w:space="0" w:color="auto"/>
              <w:right w:val="single" w:sz="4" w:space="0" w:color="auto"/>
            </w:tcBorders>
            <w:shd w:val="clear" w:color="000000" w:fill="FFFFFF"/>
            <w:noWrap/>
            <w:vAlign w:val="center"/>
            <w:hideMark/>
          </w:tcPr>
          <w:p w14:paraId="6818FE48"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111%</w:t>
            </w:r>
          </w:p>
        </w:tc>
      </w:tr>
      <w:tr w:rsidR="005814D5" w:rsidRPr="00B03152" w14:paraId="4E02D6B5" w14:textId="77777777" w:rsidTr="00B03152">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281D766B"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30</w:t>
            </w:r>
          </w:p>
        </w:tc>
        <w:tc>
          <w:tcPr>
            <w:tcW w:w="1740" w:type="dxa"/>
            <w:tcBorders>
              <w:top w:val="nil"/>
              <w:left w:val="nil"/>
              <w:bottom w:val="single" w:sz="4" w:space="0" w:color="auto"/>
              <w:right w:val="single" w:sz="4" w:space="0" w:color="auto"/>
            </w:tcBorders>
            <w:shd w:val="clear" w:color="000000" w:fill="FFFFFF"/>
            <w:noWrap/>
            <w:vAlign w:val="center"/>
            <w:hideMark/>
          </w:tcPr>
          <w:p w14:paraId="0D54BFBD"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108%</w:t>
            </w:r>
          </w:p>
        </w:tc>
        <w:tc>
          <w:tcPr>
            <w:tcW w:w="1200" w:type="dxa"/>
            <w:tcBorders>
              <w:top w:val="nil"/>
              <w:left w:val="nil"/>
              <w:bottom w:val="single" w:sz="4" w:space="0" w:color="auto"/>
              <w:right w:val="single" w:sz="4" w:space="0" w:color="auto"/>
            </w:tcBorders>
            <w:shd w:val="clear" w:color="000000" w:fill="FFFFFF"/>
            <w:noWrap/>
            <w:vAlign w:val="center"/>
            <w:hideMark/>
          </w:tcPr>
          <w:p w14:paraId="074C7979"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95%</w:t>
            </w:r>
          </w:p>
        </w:tc>
        <w:tc>
          <w:tcPr>
            <w:tcW w:w="1360" w:type="dxa"/>
            <w:tcBorders>
              <w:top w:val="nil"/>
              <w:left w:val="nil"/>
              <w:bottom w:val="single" w:sz="4" w:space="0" w:color="auto"/>
              <w:right w:val="single" w:sz="4" w:space="0" w:color="auto"/>
            </w:tcBorders>
            <w:shd w:val="clear" w:color="000000" w:fill="FFFFFF"/>
            <w:noWrap/>
            <w:vAlign w:val="center"/>
            <w:hideMark/>
          </w:tcPr>
          <w:p w14:paraId="1BDCD932"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50%</w:t>
            </w:r>
          </w:p>
        </w:tc>
        <w:tc>
          <w:tcPr>
            <w:tcW w:w="1200" w:type="dxa"/>
            <w:tcBorders>
              <w:top w:val="nil"/>
              <w:left w:val="nil"/>
              <w:bottom w:val="single" w:sz="4" w:space="0" w:color="auto"/>
              <w:right w:val="single" w:sz="4" w:space="0" w:color="auto"/>
            </w:tcBorders>
            <w:shd w:val="clear" w:color="000000" w:fill="FFFFFF"/>
            <w:noWrap/>
            <w:vAlign w:val="center"/>
            <w:hideMark/>
          </w:tcPr>
          <w:p w14:paraId="02851C86"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130%</w:t>
            </w:r>
          </w:p>
        </w:tc>
        <w:tc>
          <w:tcPr>
            <w:tcW w:w="1340" w:type="dxa"/>
            <w:tcBorders>
              <w:top w:val="nil"/>
              <w:left w:val="nil"/>
              <w:bottom w:val="single" w:sz="4" w:space="0" w:color="auto"/>
              <w:right w:val="single" w:sz="4" w:space="0" w:color="auto"/>
            </w:tcBorders>
            <w:shd w:val="clear" w:color="000000" w:fill="FFFFFF"/>
            <w:noWrap/>
            <w:vAlign w:val="center"/>
            <w:hideMark/>
          </w:tcPr>
          <w:p w14:paraId="47A3ED7D"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201%</w:t>
            </w:r>
          </w:p>
        </w:tc>
        <w:tc>
          <w:tcPr>
            <w:tcW w:w="1340" w:type="dxa"/>
            <w:tcBorders>
              <w:top w:val="nil"/>
              <w:left w:val="nil"/>
              <w:bottom w:val="single" w:sz="4" w:space="0" w:color="auto"/>
              <w:right w:val="single" w:sz="4" w:space="0" w:color="auto"/>
            </w:tcBorders>
            <w:shd w:val="clear" w:color="000000" w:fill="FFFFFF"/>
            <w:noWrap/>
            <w:vAlign w:val="center"/>
            <w:hideMark/>
          </w:tcPr>
          <w:p w14:paraId="76DA9FB6"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121%</w:t>
            </w:r>
          </w:p>
        </w:tc>
        <w:tc>
          <w:tcPr>
            <w:tcW w:w="1200" w:type="dxa"/>
            <w:tcBorders>
              <w:top w:val="nil"/>
              <w:left w:val="nil"/>
              <w:bottom w:val="single" w:sz="4" w:space="0" w:color="auto"/>
              <w:right w:val="single" w:sz="4" w:space="0" w:color="auto"/>
            </w:tcBorders>
            <w:shd w:val="clear" w:color="000000" w:fill="FFFFFF"/>
            <w:noWrap/>
            <w:vAlign w:val="center"/>
            <w:hideMark/>
          </w:tcPr>
          <w:p w14:paraId="3C2E0F04"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103%</w:t>
            </w:r>
          </w:p>
        </w:tc>
      </w:tr>
      <w:tr w:rsidR="005814D5" w:rsidRPr="00B03152" w14:paraId="1A6E964E" w14:textId="77777777" w:rsidTr="00B03152">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5DF3B7D1"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31</w:t>
            </w:r>
          </w:p>
        </w:tc>
        <w:tc>
          <w:tcPr>
            <w:tcW w:w="1740" w:type="dxa"/>
            <w:tcBorders>
              <w:top w:val="nil"/>
              <w:left w:val="nil"/>
              <w:bottom w:val="single" w:sz="4" w:space="0" w:color="auto"/>
              <w:right w:val="single" w:sz="4" w:space="0" w:color="auto"/>
            </w:tcBorders>
            <w:shd w:val="clear" w:color="000000" w:fill="FFFFFF"/>
            <w:noWrap/>
            <w:vAlign w:val="center"/>
            <w:hideMark/>
          </w:tcPr>
          <w:p w14:paraId="69DFB380"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63%</w:t>
            </w:r>
          </w:p>
        </w:tc>
        <w:tc>
          <w:tcPr>
            <w:tcW w:w="1200" w:type="dxa"/>
            <w:tcBorders>
              <w:top w:val="nil"/>
              <w:left w:val="nil"/>
              <w:bottom w:val="single" w:sz="4" w:space="0" w:color="auto"/>
              <w:right w:val="single" w:sz="4" w:space="0" w:color="auto"/>
            </w:tcBorders>
            <w:shd w:val="clear" w:color="000000" w:fill="FFFFFF"/>
            <w:noWrap/>
            <w:vAlign w:val="center"/>
            <w:hideMark/>
          </w:tcPr>
          <w:p w14:paraId="45F628E4"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93%</w:t>
            </w:r>
          </w:p>
        </w:tc>
        <w:tc>
          <w:tcPr>
            <w:tcW w:w="1360" w:type="dxa"/>
            <w:tcBorders>
              <w:top w:val="nil"/>
              <w:left w:val="nil"/>
              <w:bottom w:val="single" w:sz="4" w:space="0" w:color="auto"/>
              <w:right w:val="single" w:sz="4" w:space="0" w:color="auto"/>
            </w:tcBorders>
            <w:shd w:val="clear" w:color="000000" w:fill="FFFFFF"/>
            <w:noWrap/>
            <w:vAlign w:val="center"/>
            <w:hideMark/>
          </w:tcPr>
          <w:p w14:paraId="0F8B822E"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32%</w:t>
            </w:r>
          </w:p>
        </w:tc>
        <w:tc>
          <w:tcPr>
            <w:tcW w:w="1200" w:type="dxa"/>
            <w:tcBorders>
              <w:top w:val="nil"/>
              <w:left w:val="nil"/>
              <w:bottom w:val="single" w:sz="4" w:space="0" w:color="auto"/>
              <w:right w:val="single" w:sz="4" w:space="0" w:color="auto"/>
            </w:tcBorders>
            <w:shd w:val="clear" w:color="000000" w:fill="FFFFFF"/>
            <w:noWrap/>
            <w:vAlign w:val="center"/>
            <w:hideMark/>
          </w:tcPr>
          <w:p w14:paraId="760DDFE5"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144%</w:t>
            </w:r>
          </w:p>
        </w:tc>
        <w:tc>
          <w:tcPr>
            <w:tcW w:w="1340" w:type="dxa"/>
            <w:tcBorders>
              <w:top w:val="nil"/>
              <w:left w:val="nil"/>
              <w:bottom w:val="single" w:sz="4" w:space="0" w:color="auto"/>
              <w:right w:val="single" w:sz="4" w:space="0" w:color="auto"/>
            </w:tcBorders>
            <w:shd w:val="clear" w:color="000000" w:fill="FFFFFF"/>
            <w:noWrap/>
            <w:vAlign w:val="center"/>
            <w:hideMark/>
          </w:tcPr>
          <w:p w14:paraId="0D535572"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290%</w:t>
            </w:r>
          </w:p>
        </w:tc>
        <w:tc>
          <w:tcPr>
            <w:tcW w:w="1340" w:type="dxa"/>
            <w:tcBorders>
              <w:top w:val="nil"/>
              <w:left w:val="nil"/>
              <w:bottom w:val="single" w:sz="4" w:space="0" w:color="auto"/>
              <w:right w:val="single" w:sz="4" w:space="0" w:color="auto"/>
            </w:tcBorders>
            <w:shd w:val="clear" w:color="000000" w:fill="FFFFFF"/>
            <w:noWrap/>
            <w:vAlign w:val="center"/>
            <w:hideMark/>
          </w:tcPr>
          <w:p w14:paraId="5101B6A0"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99%</w:t>
            </w:r>
          </w:p>
        </w:tc>
        <w:tc>
          <w:tcPr>
            <w:tcW w:w="1200" w:type="dxa"/>
            <w:tcBorders>
              <w:top w:val="nil"/>
              <w:left w:val="nil"/>
              <w:bottom w:val="single" w:sz="4" w:space="0" w:color="auto"/>
              <w:right w:val="single" w:sz="4" w:space="0" w:color="auto"/>
            </w:tcBorders>
            <w:shd w:val="clear" w:color="000000" w:fill="FFFFFF"/>
            <w:noWrap/>
            <w:vAlign w:val="center"/>
            <w:hideMark/>
          </w:tcPr>
          <w:p w14:paraId="49C80B84"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85%</w:t>
            </w:r>
          </w:p>
        </w:tc>
      </w:tr>
      <w:tr w:rsidR="005814D5" w:rsidRPr="00B03152" w14:paraId="5D608D3D" w14:textId="77777777" w:rsidTr="00B03152">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1F88EF87"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32</w:t>
            </w:r>
          </w:p>
        </w:tc>
        <w:tc>
          <w:tcPr>
            <w:tcW w:w="1740" w:type="dxa"/>
            <w:tcBorders>
              <w:top w:val="nil"/>
              <w:left w:val="nil"/>
              <w:bottom w:val="single" w:sz="4" w:space="0" w:color="auto"/>
              <w:right w:val="single" w:sz="4" w:space="0" w:color="auto"/>
            </w:tcBorders>
            <w:shd w:val="clear" w:color="000000" w:fill="FFFFFF"/>
            <w:noWrap/>
            <w:vAlign w:val="center"/>
            <w:hideMark/>
          </w:tcPr>
          <w:p w14:paraId="6359C291"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65%</w:t>
            </w:r>
          </w:p>
        </w:tc>
        <w:tc>
          <w:tcPr>
            <w:tcW w:w="1200" w:type="dxa"/>
            <w:tcBorders>
              <w:top w:val="nil"/>
              <w:left w:val="nil"/>
              <w:bottom w:val="single" w:sz="4" w:space="0" w:color="auto"/>
              <w:right w:val="single" w:sz="4" w:space="0" w:color="auto"/>
            </w:tcBorders>
            <w:shd w:val="clear" w:color="000000" w:fill="FFFFFF"/>
            <w:noWrap/>
            <w:vAlign w:val="center"/>
            <w:hideMark/>
          </w:tcPr>
          <w:p w14:paraId="058A1B2E"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86%</w:t>
            </w:r>
          </w:p>
        </w:tc>
        <w:tc>
          <w:tcPr>
            <w:tcW w:w="1360" w:type="dxa"/>
            <w:tcBorders>
              <w:top w:val="nil"/>
              <w:left w:val="nil"/>
              <w:bottom w:val="single" w:sz="4" w:space="0" w:color="auto"/>
              <w:right w:val="single" w:sz="4" w:space="0" w:color="auto"/>
            </w:tcBorders>
            <w:shd w:val="clear" w:color="000000" w:fill="FFFFFF"/>
            <w:noWrap/>
            <w:vAlign w:val="center"/>
            <w:hideMark/>
          </w:tcPr>
          <w:p w14:paraId="1E4179C5"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36%</w:t>
            </w:r>
          </w:p>
        </w:tc>
        <w:tc>
          <w:tcPr>
            <w:tcW w:w="1200" w:type="dxa"/>
            <w:tcBorders>
              <w:top w:val="nil"/>
              <w:left w:val="nil"/>
              <w:bottom w:val="single" w:sz="4" w:space="0" w:color="auto"/>
              <w:right w:val="single" w:sz="4" w:space="0" w:color="auto"/>
            </w:tcBorders>
            <w:shd w:val="clear" w:color="000000" w:fill="FFFFFF"/>
            <w:noWrap/>
            <w:vAlign w:val="center"/>
            <w:hideMark/>
          </w:tcPr>
          <w:p w14:paraId="50E94E09"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80%</w:t>
            </w:r>
          </w:p>
        </w:tc>
        <w:tc>
          <w:tcPr>
            <w:tcW w:w="1340" w:type="dxa"/>
            <w:tcBorders>
              <w:top w:val="nil"/>
              <w:left w:val="nil"/>
              <w:bottom w:val="single" w:sz="4" w:space="0" w:color="auto"/>
              <w:right w:val="single" w:sz="4" w:space="0" w:color="auto"/>
            </w:tcBorders>
            <w:shd w:val="clear" w:color="000000" w:fill="FFFFFF"/>
            <w:noWrap/>
            <w:vAlign w:val="center"/>
            <w:hideMark/>
          </w:tcPr>
          <w:p w14:paraId="21639673"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259%</w:t>
            </w:r>
          </w:p>
        </w:tc>
        <w:tc>
          <w:tcPr>
            <w:tcW w:w="1340" w:type="dxa"/>
            <w:tcBorders>
              <w:top w:val="nil"/>
              <w:left w:val="nil"/>
              <w:bottom w:val="single" w:sz="4" w:space="0" w:color="auto"/>
              <w:right w:val="single" w:sz="4" w:space="0" w:color="auto"/>
            </w:tcBorders>
            <w:shd w:val="clear" w:color="000000" w:fill="FFFFFF"/>
            <w:noWrap/>
            <w:vAlign w:val="center"/>
            <w:hideMark/>
          </w:tcPr>
          <w:p w14:paraId="048F71D4"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104%</w:t>
            </w:r>
          </w:p>
        </w:tc>
        <w:tc>
          <w:tcPr>
            <w:tcW w:w="1200" w:type="dxa"/>
            <w:tcBorders>
              <w:top w:val="nil"/>
              <w:left w:val="nil"/>
              <w:bottom w:val="single" w:sz="4" w:space="0" w:color="auto"/>
              <w:right w:val="single" w:sz="4" w:space="0" w:color="auto"/>
            </w:tcBorders>
            <w:shd w:val="clear" w:color="000000" w:fill="FFFFFF"/>
            <w:noWrap/>
            <w:vAlign w:val="center"/>
            <w:hideMark/>
          </w:tcPr>
          <w:p w14:paraId="0E0E8066"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74%</w:t>
            </w:r>
          </w:p>
        </w:tc>
      </w:tr>
      <w:tr w:rsidR="005814D5" w:rsidRPr="00B03152" w14:paraId="4E00FE9F" w14:textId="77777777" w:rsidTr="00B03152">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5C17423D"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33</w:t>
            </w:r>
          </w:p>
        </w:tc>
        <w:tc>
          <w:tcPr>
            <w:tcW w:w="1740" w:type="dxa"/>
            <w:tcBorders>
              <w:top w:val="nil"/>
              <w:left w:val="nil"/>
              <w:bottom w:val="single" w:sz="4" w:space="0" w:color="auto"/>
              <w:right w:val="single" w:sz="4" w:space="0" w:color="auto"/>
            </w:tcBorders>
            <w:shd w:val="clear" w:color="000000" w:fill="FFFFFF"/>
            <w:noWrap/>
            <w:vAlign w:val="center"/>
            <w:hideMark/>
          </w:tcPr>
          <w:p w14:paraId="0354F947"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72%</w:t>
            </w:r>
          </w:p>
        </w:tc>
        <w:tc>
          <w:tcPr>
            <w:tcW w:w="1200" w:type="dxa"/>
            <w:tcBorders>
              <w:top w:val="nil"/>
              <w:left w:val="nil"/>
              <w:bottom w:val="single" w:sz="4" w:space="0" w:color="auto"/>
              <w:right w:val="single" w:sz="4" w:space="0" w:color="auto"/>
            </w:tcBorders>
            <w:shd w:val="clear" w:color="000000" w:fill="FFFFFF"/>
            <w:noWrap/>
            <w:vAlign w:val="center"/>
            <w:hideMark/>
          </w:tcPr>
          <w:p w14:paraId="6DEBC779"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77%</w:t>
            </w:r>
          </w:p>
        </w:tc>
        <w:tc>
          <w:tcPr>
            <w:tcW w:w="1360" w:type="dxa"/>
            <w:tcBorders>
              <w:top w:val="nil"/>
              <w:left w:val="nil"/>
              <w:bottom w:val="single" w:sz="4" w:space="0" w:color="auto"/>
              <w:right w:val="single" w:sz="4" w:space="0" w:color="auto"/>
            </w:tcBorders>
            <w:shd w:val="clear" w:color="000000" w:fill="FFFFFF"/>
            <w:noWrap/>
            <w:vAlign w:val="center"/>
            <w:hideMark/>
          </w:tcPr>
          <w:p w14:paraId="09504D05"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47%</w:t>
            </w:r>
          </w:p>
        </w:tc>
        <w:tc>
          <w:tcPr>
            <w:tcW w:w="1200" w:type="dxa"/>
            <w:tcBorders>
              <w:top w:val="nil"/>
              <w:left w:val="nil"/>
              <w:bottom w:val="single" w:sz="4" w:space="0" w:color="auto"/>
              <w:right w:val="single" w:sz="4" w:space="0" w:color="auto"/>
            </w:tcBorders>
            <w:shd w:val="clear" w:color="000000" w:fill="FFFFFF"/>
            <w:noWrap/>
            <w:vAlign w:val="center"/>
            <w:hideMark/>
          </w:tcPr>
          <w:p w14:paraId="68A77E1F"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153%</w:t>
            </w:r>
          </w:p>
        </w:tc>
        <w:tc>
          <w:tcPr>
            <w:tcW w:w="1340" w:type="dxa"/>
            <w:tcBorders>
              <w:top w:val="nil"/>
              <w:left w:val="nil"/>
              <w:bottom w:val="single" w:sz="4" w:space="0" w:color="auto"/>
              <w:right w:val="single" w:sz="4" w:space="0" w:color="auto"/>
            </w:tcBorders>
            <w:shd w:val="clear" w:color="000000" w:fill="FFFFFF"/>
            <w:noWrap/>
            <w:vAlign w:val="center"/>
            <w:hideMark/>
          </w:tcPr>
          <w:p w14:paraId="7C9E6C23"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252%</w:t>
            </w:r>
          </w:p>
        </w:tc>
        <w:tc>
          <w:tcPr>
            <w:tcW w:w="1340" w:type="dxa"/>
            <w:tcBorders>
              <w:top w:val="nil"/>
              <w:left w:val="nil"/>
              <w:bottom w:val="single" w:sz="4" w:space="0" w:color="auto"/>
              <w:right w:val="single" w:sz="4" w:space="0" w:color="auto"/>
            </w:tcBorders>
            <w:shd w:val="clear" w:color="000000" w:fill="FFFFFF"/>
            <w:noWrap/>
            <w:vAlign w:val="center"/>
            <w:hideMark/>
          </w:tcPr>
          <w:p w14:paraId="64A764BD"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121%</w:t>
            </w:r>
          </w:p>
        </w:tc>
        <w:tc>
          <w:tcPr>
            <w:tcW w:w="1200" w:type="dxa"/>
            <w:tcBorders>
              <w:top w:val="nil"/>
              <w:left w:val="nil"/>
              <w:bottom w:val="single" w:sz="4" w:space="0" w:color="auto"/>
              <w:right w:val="single" w:sz="4" w:space="0" w:color="auto"/>
            </w:tcBorders>
            <w:shd w:val="clear" w:color="000000" w:fill="FFFFFF"/>
            <w:noWrap/>
            <w:vAlign w:val="center"/>
            <w:hideMark/>
          </w:tcPr>
          <w:p w14:paraId="04D08167"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109%</w:t>
            </w:r>
          </w:p>
        </w:tc>
      </w:tr>
      <w:tr w:rsidR="005814D5" w:rsidRPr="00B03152" w14:paraId="6289AB69" w14:textId="77777777" w:rsidTr="00B03152">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1734E811"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34</w:t>
            </w:r>
          </w:p>
        </w:tc>
        <w:tc>
          <w:tcPr>
            <w:tcW w:w="1740" w:type="dxa"/>
            <w:tcBorders>
              <w:top w:val="nil"/>
              <w:left w:val="nil"/>
              <w:bottom w:val="single" w:sz="4" w:space="0" w:color="auto"/>
              <w:right w:val="single" w:sz="4" w:space="0" w:color="auto"/>
            </w:tcBorders>
            <w:shd w:val="clear" w:color="000000" w:fill="FFFFFF"/>
            <w:noWrap/>
            <w:vAlign w:val="center"/>
            <w:hideMark/>
          </w:tcPr>
          <w:p w14:paraId="63B78088"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59%</w:t>
            </w:r>
          </w:p>
        </w:tc>
        <w:tc>
          <w:tcPr>
            <w:tcW w:w="1200" w:type="dxa"/>
            <w:tcBorders>
              <w:top w:val="nil"/>
              <w:left w:val="nil"/>
              <w:bottom w:val="single" w:sz="4" w:space="0" w:color="auto"/>
              <w:right w:val="single" w:sz="4" w:space="0" w:color="auto"/>
            </w:tcBorders>
            <w:shd w:val="clear" w:color="000000" w:fill="FFFFFF"/>
            <w:noWrap/>
            <w:vAlign w:val="center"/>
            <w:hideMark/>
          </w:tcPr>
          <w:p w14:paraId="11CACFA1"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88%</w:t>
            </w:r>
          </w:p>
        </w:tc>
        <w:tc>
          <w:tcPr>
            <w:tcW w:w="1360" w:type="dxa"/>
            <w:tcBorders>
              <w:top w:val="nil"/>
              <w:left w:val="nil"/>
              <w:bottom w:val="single" w:sz="4" w:space="0" w:color="auto"/>
              <w:right w:val="single" w:sz="4" w:space="0" w:color="auto"/>
            </w:tcBorders>
            <w:shd w:val="clear" w:color="000000" w:fill="FFFFFF"/>
            <w:noWrap/>
            <w:vAlign w:val="center"/>
            <w:hideMark/>
          </w:tcPr>
          <w:p w14:paraId="2C8C0E62"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43%</w:t>
            </w:r>
          </w:p>
        </w:tc>
        <w:tc>
          <w:tcPr>
            <w:tcW w:w="1200" w:type="dxa"/>
            <w:tcBorders>
              <w:top w:val="nil"/>
              <w:left w:val="nil"/>
              <w:bottom w:val="single" w:sz="4" w:space="0" w:color="auto"/>
              <w:right w:val="single" w:sz="4" w:space="0" w:color="auto"/>
            </w:tcBorders>
            <w:shd w:val="clear" w:color="000000" w:fill="FFFFFF"/>
            <w:noWrap/>
            <w:vAlign w:val="center"/>
            <w:hideMark/>
          </w:tcPr>
          <w:p w14:paraId="1410969A"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50%</w:t>
            </w:r>
          </w:p>
        </w:tc>
        <w:tc>
          <w:tcPr>
            <w:tcW w:w="1340" w:type="dxa"/>
            <w:tcBorders>
              <w:top w:val="nil"/>
              <w:left w:val="nil"/>
              <w:bottom w:val="single" w:sz="4" w:space="0" w:color="auto"/>
              <w:right w:val="single" w:sz="4" w:space="0" w:color="auto"/>
            </w:tcBorders>
            <w:shd w:val="clear" w:color="000000" w:fill="FFFFFF"/>
            <w:noWrap/>
            <w:vAlign w:val="center"/>
            <w:hideMark/>
          </w:tcPr>
          <w:p w14:paraId="5B6E52FB"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162%</w:t>
            </w:r>
          </w:p>
        </w:tc>
        <w:tc>
          <w:tcPr>
            <w:tcW w:w="1340" w:type="dxa"/>
            <w:tcBorders>
              <w:top w:val="nil"/>
              <w:left w:val="nil"/>
              <w:bottom w:val="single" w:sz="4" w:space="0" w:color="auto"/>
              <w:right w:val="single" w:sz="4" w:space="0" w:color="auto"/>
            </w:tcBorders>
            <w:shd w:val="clear" w:color="000000" w:fill="FFFFFF"/>
            <w:noWrap/>
            <w:vAlign w:val="center"/>
            <w:hideMark/>
          </w:tcPr>
          <w:p w14:paraId="32725A80"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53%</w:t>
            </w:r>
          </w:p>
        </w:tc>
        <w:tc>
          <w:tcPr>
            <w:tcW w:w="1200" w:type="dxa"/>
            <w:tcBorders>
              <w:top w:val="nil"/>
              <w:left w:val="nil"/>
              <w:bottom w:val="single" w:sz="4" w:space="0" w:color="auto"/>
              <w:right w:val="single" w:sz="4" w:space="0" w:color="auto"/>
            </w:tcBorders>
            <w:shd w:val="clear" w:color="000000" w:fill="FFFFFF"/>
            <w:noWrap/>
            <w:vAlign w:val="center"/>
            <w:hideMark/>
          </w:tcPr>
          <w:p w14:paraId="6806A8E1"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106%</w:t>
            </w:r>
          </w:p>
        </w:tc>
      </w:tr>
      <w:tr w:rsidR="005814D5" w:rsidRPr="00B03152" w14:paraId="11324B18" w14:textId="77777777" w:rsidTr="00B03152">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5681B5A8"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35</w:t>
            </w:r>
          </w:p>
        </w:tc>
        <w:tc>
          <w:tcPr>
            <w:tcW w:w="1740" w:type="dxa"/>
            <w:tcBorders>
              <w:top w:val="nil"/>
              <w:left w:val="nil"/>
              <w:bottom w:val="single" w:sz="4" w:space="0" w:color="auto"/>
              <w:right w:val="single" w:sz="4" w:space="0" w:color="auto"/>
            </w:tcBorders>
            <w:shd w:val="clear" w:color="000000" w:fill="FFFFFF"/>
            <w:noWrap/>
            <w:vAlign w:val="center"/>
            <w:hideMark/>
          </w:tcPr>
          <w:p w14:paraId="4922D80E"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84%</w:t>
            </w:r>
          </w:p>
        </w:tc>
        <w:tc>
          <w:tcPr>
            <w:tcW w:w="1200" w:type="dxa"/>
            <w:tcBorders>
              <w:top w:val="nil"/>
              <w:left w:val="nil"/>
              <w:bottom w:val="single" w:sz="4" w:space="0" w:color="auto"/>
              <w:right w:val="single" w:sz="4" w:space="0" w:color="auto"/>
            </w:tcBorders>
            <w:shd w:val="clear" w:color="000000" w:fill="FFFFFF"/>
            <w:noWrap/>
            <w:vAlign w:val="center"/>
            <w:hideMark/>
          </w:tcPr>
          <w:p w14:paraId="58C76BBF"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114%</w:t>
            </w:r>
          </w:p>
        </w:tc>
        <w:tc>
          <w:tcPr>
            <w:tcW w:w="1360" w:type="dxa"/>
            <w:tcBorders>
              <w:top w:val="nil"/>
              <w:left w:val="nil"/>
              <w:bottom w:val="single" w:sz="4" w:space="0" w:color="auto"/>
              <w:right w:val="single" w:sz="4" w:space="0" w:color="auto"/>
            </w:tcBorders>
            <w:shd w:val="clear" w:color="000000" w:fill="FFFFFF"/>
            <w:noWrap/>
            <w:vAlign w:val="center"/>
            <w:hideMark/>
          </w:tcPr>
          <w:p w14:paraId="757D7658"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47%</w:t>
            </w:r>
          </w:p>
        </w:tc>
        <w:tc>
          <w:tcPr>
            <w:tcW w:w="1200" w:type="dxa"/>
            <w:tcBorders>
              <w:top w:val="nil"/>
              <w:left w:val="nil"/>
              <w:bottom w:val="single" w:sz="4" w:space="0" w:color="auto"/>
              <w:right w:val="single" w:sz="4" w:space="0" w:color="auto"/>
            </w:tcBorders>
            <w:shd w:val="clear" w:color="000000" w:fill="FFFFFF"/>
            <w:noWrap/>
            <w:vAlign w:val="center"/>
            <w:hideMark/>
          </w:tcPr>
          <w:p w14:paraId="693206C0"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66%</w:t>
            </w:r>
          </w:p>
        </w:tc>
        <w:tc>
          <w:tcPr>
            <w:tcW w:w="1340" w:type="dxa"/>
            <w:tcBorders>
              <w:top w:val="nil"/>
              <w:left w:val="nil"/>
              <w:bottom w:val="single" w:sz="4" w:space="0" w:color="auto"/>
              <w:right w:val="single" w:sz="4" w:space="0" w:color="auto"/>
            </w:tcBorders>
            <w:shd w:val="clear" w:color="000000" w:fill="FFFFFF"/>
            <w:noWrap/>
            <w:vAlign w:val="center"/>
            <w:hideMark/>
          </w:tcPr>
          <w:p w14:paraId="3F39EC76"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187%</w:t>
            </w:r>
          </w:p>
        </w:tc>
        <w:tc>
          <w:tcPr>
            <w:tcW w:w="1340" w:type="dxa"/>
            <w:tcBorders>
              <w:top w:val="nil"/>
              <w:left w:val="nil"/>
              <w:bottom w:val="single" w:sz="4" w:space="0" w:color="auto"/>
              <w:right w:val="single" w:sz="4" w:space="0" w:color="auto"/>
            </w:tcBorders>
            <w:shd w:val="clear" w:color="000000" w:fill="FFFFFF"/>
            <w:noWrap/>
            <w:vAlign w:val="center"/>
            <w:hideMark/>
          </w:tcPr>
          <w:p w14:paraId="2C31363F"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56%</w:t>
            </w:r>
          </w:p>
        </w:tc>
        <w:tc>
          <w:tcPr>
            <w:tcW w:w="1200" w:type="dxa"/>
            <w:tcBorders>
              <w:top w:val="nil"/>
              <w:left w:val="nil"/>
              <w:bottom w:val="single" w:sz="4" w:space="0" w:color="auto"/>
              <w:right w:val="single" w:sz="4" w:space="0" w:color="auto"/>
            </w:tcBorders>
            <w:shd w:val="clear" w:color="000000" w:fill="FFFFFF"/>
            <w:noWrap/>
            <w:vAlign w:val="center"/>
            <w:hideMark/>
          </w:tcPr>
          <w:p w14:paraId="76FADE62"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88%</w:t>
            </w:r>
          </w:p>
        </w:tc>
      </w:tr>
      <w:tr w:rsidR="005814D5" w:rsidRPr="00B03152" w14:paraId="0DE3FF14" w14:textId="77777777" w:rsidTr="00B03152">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51778400"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36</w:t>
            </w:r>
          </w:p>
        </w:tc>
        <w:tc>
          <w:tcPr>
            <w:tcW w:w="1740" w:type="dxa"/>
            <w:tcBorders>
              <w:top w:val="nil"/>
              <w:left w:val="nil"/>
              <w:bottom w:val="single" w:sz="4" w:space="0" w:color="auto"/>
              <w:right w:val="single" w:sz="4" w:space="0" w:color="auto"/>
            </w:tcBorders>
            <w:shd w:val="clear" w:color="000000" w:fill="FFFFFF"/>
            <w:noWrap/>
            <w:vAlign w:val="center"/>
            <w:hideMark/>
          </w:tcPr>
          <w:p w14:paraId="710FDB40"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91%</w:t>
            </w:r>
          </w:p>
        </w:tc>
        <w:tc>
          <w:tcPr>
            <w:tcW w:w="1200" w:type="dxa"/>
            <w:tcBorders>
              <w:top w:val="nil"/>
              <w:left w:val="nil"/>
              <w:bottom w:val="single" w:sz="4" w:space="0" w:color="auto"/>
              <w:right w:val="single" w:sz="4" w:space="0" w:color="auto"/>
            </w:tcBorders>
            <w:shd w:val="clear" w:color="000000" w:fill="FFFFFF"/>
            <w:noWrap/>
            <w:vAlign w:val="center"/>
            <w:hideMark/>
          </w:tcPr>
          <w:p w14:paraId="085B0BA2"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65%</w:t>
            </w:r>
          </w:p>
        </w:tc>
        <w:tc>
          <w:tcPr>
            <w:tcW w:w="1360" w:type="dxa"/>
            <w:tcBorders>
              <w:top w:val="nil"/>
              <w:left w:val="nil"/>
              <w:bottom w:val="single" w:sz="4" w:space="0" w:color="auto"/>
              <w:right w:val="single" w:sz="4" w:space="0" w:color="auto"/>
            </w:tcBorders>
            <w:shd w:val="clear" w:color="000000" w:fill="FFFFFF"/>
            <w:noWrap/>
            <w:vAlign w:val="center"/>
            <w:hideMark/>
          </w:tcPr>
          <w:p w14:paraId="27D9F030"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46%</w:t>
            </w:r>
          </w:p>
        </w:tc>
        <w:tc>
          <w:tcPr>
            <w:tcW w:w="1200" w:type="dxa"/>
            <w:tcBorders>
              <w:top w:val="nil"/>
              <w:left w:val="nil"/>
              <w:bottom w:val="single" w:sz="4" w:space="0" w:color="auto"/>
              <w:right w:val="single" w:sz="4" w:space="0" w:color="auto"/>
            </w:tcBorders>
            <w:shd w:val="clear" w:color="000000" w:fill="FFFFFF"/>
            <w:noWrap/>
            <w:vAlign w:val="center"/>
            <w:hideMark/>
          </w:tcPr>
          <w:p w14:paraId="6EE02CF6"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190%</w:t>
            </w:r>
          </w:p>
        </w:tc>
        <w:tc>
          <w:tcPr>
            <w:tcW w:w="1340" w:type="dxa"/>
            <w:tcBorders>
              <w:top w:val="nil"/>
              <w:left w:val="nil"/>
              <w:bottom w:val="single" w:sz="4" w:space="0" w:color="auto"/>
              <w:right w:val="single" w:sz="4" w:space="0" w:color="auto"/>
            </w:tcBorders>
            <w:shd w:val="clear" w:color="000000" w:fill="FFFFFF"/>
            <w:noWrap/>
            <w:vAlign w:val="center"/>
            <w:hideMark/>
          </w:tcPr>
          <w:p w14:paraId="2929DD2B"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165%</w:t>
            </w:r>
          </w:p>
        </w:tc>
        <w:tc>
          <w:tcPr>
            <w:tcW w:w="1340" w:type="dxa"/>
            <w:tcBorders>
              <w:top w:val="nil"/>
              <w:left w:val="nil"/>
              <w:bottom w:val="single" w:sz="4" w:space="0" w:color="auto"/>
              <w:right w:val="single" w:sz="4" w:space="0" w:color="auto"/>
            </w:tcBorders>
            <w:shd w:val="clear" w:color="000000" w:fill="FFFFFF"/>
            <w:noWrap/>
            <w:vAlign w:val="center"/>
            <w:hideMark/>
          </w:tcPr>
          <w:p w14:paraId="46168194"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89%</w:t>
            </w:r>
          </w:p>
        </w:tc>
        <w:tc>
          <w:tcPr>
            <w:tcW w:w="1200" w:type="dxa"/>
            <w:tcBorders>
              <w:top w:val="nil"/>
              <w:left w:val="nil"/>
              <w:bottom w:val="single" w:sz="4" w:space="0" w:color="auto"/>
              <w:right w:val="single" w:sz="4" w:space="0" w:color="auto"/>
            </w:tcBorders>
            <w:shd w:val="clear" w:color="000000" w:fill="FFFFFF"/>
            <w:noWrap/>
            <w:vAlign w:val="center"/>
            <w:hideMark/>
          </w:tcPr>
          <w:p w14:paraId="6875E521"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91%</w:t>
            </w:r>
          </w:p>
        </w:tc>
      </w:tr>
      <w:tr w:rsidR="005814D5" w:rsidRPr="00B03152" w14:paraId="40C5ED38" w14:textId="77777777" w:rsidTr="00B03152">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7EBD5ECE"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37</w:t>
            </w:r>
          </w:p>
        </w:tc>
        <w:tc>
          <w:tcPr>
            <w:tcW w:w="1740" w:type="dxa"/>
            <w:tcBorders>
              <w:top w:val="nil"/>
              <w:left w:val="nil"/>
              <w:bottom w:val="single" w:sz="4" w:space="0" w:color="auto"/>
              <w:right w:val="single" w:sz="4" w:space="0" w:color="auto"/>
            </w:tcBorders>
            <w:shd w:val="clear" w:color="000000" w:fill="FFFFFF"/>
            <w:noWrap/>
            <w:vAlign w:val="center"/>
            <w:hideMark/>
          </w:tcPr>
          <w:p w14:paraId="41EAFC0C"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92%</w:t>
            </w:r>
          </w:p>
        </w:tc>
        <w:tc>
          <w:tcPr>
            <w:tcW w:w="1200" w:type="dxa"/>
            <w:tcBorders>
              <w:top w:val="nil"/>
              <w:left w:val="nil"/>
              <w:bottom w:val="single" w:sz="4" w:space="0" w:color="auto"/>
              <w:right w:val="single" w:sz="4" w:space="0" w:color="auto"/>
            </w:tcBorders>
            <w:shd w:val="clear" w:color="000000" w:fill="FFFFFF"/>
            <w:noWrap/>
            <w:vAlign w:val="center"/>
            <w:hideMark/>
          </w:tcPr>
          <w:p w14:paraId="6ED431E5"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76%</w:t>
            </w:r>
          </w:p>
        </w:tc>
        <w:tc>
          <w:tcPr>
            <w:tcW w:w="1360" w:type="dxa"/>
            <w:tcBorders>
              <w:top w:val="nil"/>
              <w:left w:val="nil"/>
              <w:bottom w:val="single" w:sz="4" w:space="0" w:color="auto"/>
              <w:right w:val="single" w:sz="4" w:space="0" w:color="auto"/>
            </w:tcBorders>
            <w:shd w:val="clear" w:color="000000" w:fill="FFFFFF"/>
            <w:noWrap/>
            <w:vAlign w:val="center"/>
            <w:hideMark/>
          </w:tcPr>
          <w:p w14:paraId="5D8B20B7"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47%</w:t>
            </w:r>
          </w:p>
        </w:tc>
        <w:tc>
          <w:tcPr>
            <w:tcW w:w="1200" w:type="dxa"/>
            <w:tcBorders>
              <w:top w:val="nil"/>
              <w:left w:val="nil"/>
              <w:bottom w:val="single" w:sz="4" w:space="0" w:color="auto"/>
              <w:right w:val="single" w:sz="4" w:space="0" w:color="auto"/>
            </w:tcBorders>
            <w:shd w:val="clear" w:color="000000" w:fill="FFFFFF"/>
            <w:noWrap/>
            <w:vAlign w:val="center"/>
            <w:hideMark/>
          </w:tcPr>
          <w:p w14:paraId="3D72F681"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90%</w:t>
            </w:r>
          </w:p>
        </w:tc>
        <w:tc>
          <w:tcPr>
            <w:tcW w:w="1340" w:type="dxa"/>
            <w:tcBorders>
              <w:top w:val="nil"/>
              <w:left w:val="nil"/>
              <w:bottom w:val="single" w:sz="4" w:space="0" w:color="auto"/>
              <w:right w:val="single" w:sz="4" w:space="0" w:color="auto"/>
            </w:tcBorders>
            <w:shd w:val="clear" w:color="000000" w:fill="FFFFFF"/>
            <w:noWrap/>
            <w:vAlign w:val="center"/>
            <w:hideMark/>
          </w:tcPr>
          <w:p w14:paraId="7E678D86"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104%</w:t>
            </w:r>
          </w:p>
        </w:tc>
        <w:tc>
          <w:tcPr>
            <w:tcW w:w="1340" w:type="dxa"/>
            <w:tcBorders>
              <w:top w:val="nil"/>
              <w:left w:val="nil"/>
              <w:bottom w:val="single" w:sz="4" w:space="0" w:color="auto"/>
              <w:right w:val="single" w:sz="4" w:space="0" w:color="auto"/>
            </w:tcBorders>
            <w:shd w:val="clear" w:color="000000" w:fill="FFFFFF"/>
            <w:noWrap/>
            <w:vAlign w:val="center"/>
            <w:hideMark/>
          </w:tcPr>
          <w:p w14:paraId="65AD45A3"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97%</w:t>
            </w:r>
          </w:p>
        </w:tc>
        <w:tc>
          <w:tcPr>
            <w:tcW w:w="1200" w:type="dxa"/>
            <w:tcBorders>
              <w:top w:val="nil"/>
              <w:left w:val="nil"/>
              <w:bottom w:val="single" w:sz="4" w:space="0" w:color="auto"/>
              <w:right w:val="single" w:sz="4" w:space="0" w:color="auto"/>
            </w:tcBorders>
            <w:shd w:val="clear" w:color="000000" w:fill="FFFFFF"/>
            <w:noWrap/>
            <w:vAlign w:val="center"/>
            <w:hideMark/>
          </w:tcPr>
          <w:p w14:paraId="43557713"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124%</w:t>
            </w:r>
          </w:p>
        </w:tc>
      </w:tr>
      <w:tr w:rsidR="005814D5" w:rsidRPr="00B03152" w14:paraId="25CFCA0E" w14:textId="77777777" w:rsidTr="00B03152">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042A449B"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38</w:t>
            </w:r>
          </w:p>
        </w:tc>
        <w:tc>
          <w:tcPr>
            <w:tcW w:w="1740" w:type="dxa"/>
            <w:tcBorders>
              <w:top w:val="nil"/>
              <w:left w:val="nil"/>
              <w:bottom w:val="single" w:sz="4" w:space="0" w:color="auto"/>
              <w:right w:val="single" w:sz="4" w:space="0" w:color="auto"/>
            </w:tcBorders>
            <w:shd w:val="clear" w:color="000000" w:fill="FFFFFF"/>
            <w:noWrap/>
            <w:vAlign w:val="center"/>
            <w:hideMark/>
          </w:tcPr>
          <w:p w14:paraId="649697D1"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93%</w:t>
            </w:r>
          </w:p>
        </w:tc>
        <w:tc>
          <w:tcPr>
            <w:tcW w:w="1200" w:type="dxa"/>
            <w:tcBorders>
              <w:top w:val="nil"/>
              <w:left w:val="nil"/>
              <w:bottom w:val="single" w:sz="4" w:space="0" w:color="auto"/>
              <w:right w:val="single" w:sz="4" w:space="0" w:color="auto"/>
            </w:tcBorders>
            <w:shd w:val="clear" w:color="000000" w:fill="FFFFFF"/>
            <w:noWrap/>
            <w:vAlign w:val="center"/>
            <w:hideMark/>
          </w:tcPr>
          <w:p w14:paraId="004B1EE5"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97%</w:t>
            </w:r>
          </w:p>
        </w:tc>
        <w:tc>
          <w:tcPr>
            <w:tcW w:w="1360" w:type="dxa"/>
            <w:tcBorders>
              <w:top w:val="nil"/>
              <w:left w:val="nil"/>
              <w:bottom w:val="single" w:sz="4" w:space="0" w:color="auto"/>
              <w:right w:val="single" w:sz="4" w:space="0" w:color="auto"/>
            </w:tcBorders>
            <w:shd w:val="clear" w:color="000000" w:fill="FFFFFF"/>
            <w:noWrap/>
            <w:vAlign w:val="center"/>
            <w:hideMark/>
          </w:tcPr>
          <w:p w14:paraId="5CECF53B"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58%</w:t>
            </w:r>
          </w:p>
        </w:tc>
        <w:tc>
          <w:tcPr>
            <w:tcW w:w="1200" w:type="dxa"/>
            <w:tcBorders>
              <w:top w:val="nil"/>
              <w:left w:val="nil"/>
              <w:bottom w:val="single" w:sz="4" w:space="0" w:color="auto"/>
              <w:right w:val="single" w:sz="4" w:space="0" w:color="auto"/>
            </w:tcBorders>
            <w:shd w:val="clear" w:color="000000" w:fill="FFFFFF"/>
            <w:noWrap/>
            <w:vAlign w:val="center"/>
            <w:hideMark/>
          </w:tcPr>
          <w:p w14:paraId="0988C190"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114%</w:t>
            </w:r>
          </w:p>
        </w:tc>
        <w:tc>
          <w:tcPr>
            <w:tcW w:w="1340" w:type="dxa"/>
            <w:tcBorders>
              <w:top w:val="nil"/>
              <w:left w:val="nil"/>
              <w:bottom w:val="single" w:sz="4" w:space="0" w:color="auto"/>
              <w:right w:val="single" w:sz="4" w:space="0" w:color="auto"/>
            </w:tcBorders>
            <w:shd w:val="clear" w:color="000000" w:fill="FFFFFF"/>
            <w:noWrap/>
            <w:vAlign w:val="center"/>
            <w:hideMark/>
          </w:tcPr>
          <w:p w14:paraId="5E766D1B"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221%</w:t>
            </w:r>
          </w:p>
        </w:tc>
        <w:tc>
          <w:tcPr>
            <w:tcW w:w="1340" w:type="dxa"/>
            <w:tcBorders>
              <w:top w:val="nil"/>
              <w:left w:val="nil"/>
              <w:bottom w:val="single" w:sz="4" w:space="0" w:color="auto"/>
              <w:right w:val="single" w:sz="4" w:space="0" w:color="auto"/>
            </w:tcBorders>
            <w:shd w:val="clear" w:color="000000" w:fill="FFFFFF"/>
            <w:noWrap/>
            <w:vAlign w:val="center"/>
            <w:hideMark/>
          </w:tcPr>
          <w:p w14:paraId="00447CB4"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81%</w:t>
            </w:r>
          </w:p>
        </w:tc>
        <w:tc>
          <w:tcPr>
            <w:tcW w:w="1200" w:type="dxa"/>
            <w:tcBorders>
              <w:top w:val="nil"/>
              <w:left w:val="nil"/>
              <w:bottom w:val="single" w:sz="4" w:space="0" w:color="auto"/>
              <w:right w:val="single" w:sz="4" w:space="0" w:color="auto"/>
            </w:tcBorders>
            <w:shd w:val="clear" w:color="000000" w:fill="FFFFFF"/>
            <w:noWrap/>
            <w:vAlign w:val="center"/>
            <w:hideMark/>
          </w:tcPr>
          <w:p w14:paraId="5E70BB56"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106%</w:t>
            </w:r>
          </w:p>
        </w:tc>
      </w:tr>
      <w:tr w:rsidR="005814D5" w:rsidRPr="00B03152" w14:paraId="681581A5" w14:textId="77777777" w:rsidTr="00B03152">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2F874DF5"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39</w:t>
            </w:r>
          </w:p>
        </w:tc>
        <w:tc>
          <w:tcPr>
            <w:tcW w:w="1740" w:type="dxa"/>
            <w:tcBorders>
              <w:top w:val="nil"/>
              <w:left w:val="nil"/>
              <w:bottom w:val="single" w:sz="4" w:space="0" w:color="auto"/>
              <w:right w:val="single" w:sz="4" w:space="0" w:color="auto"/>
            </w:tcBorders>
            <w:shd w:val="clear" w:color="000000" w:fill="FFFFFF"/>
            <w:noWrap/>
            <w:vAlign w:val="center"/>
            <w:hideMark/>
          </w:tcPr>
          <w:p w14:paraId="74C685CB"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85%</w:t>
            </w:r>
          </w:p>
        </w:tc>
        <w:tc>
          <w:tcPr>
            <w:tcW w:w="1200" w:type="dxa"/>
            <w:tcBorders>
              <w:top w:val="nil"/>
              <w:left w:val="nil"/>
              <w:bottom w:val="single" w:sz="4" w:space="0" w:color="auto"/>
              <w:right w:val="single" w:sz="4" w:space="0" w:color="auto"/>
            </w:tcBorders>
            <w:shd w:val="clear" w:color="000000" w:fill="FFFFFF"/>
            <w:noWrap/>
            <w:vAlign w:val="center"/>
            <w:hideMark/>
          </w:tcPr>
          <w:p w14:paraId="7F07BC1F"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92%</w:t>
            </w:r>
          </w:p>
        </w:tc>
        <w:tc>
          <w:tcPr>
            <w:tcW w:w="1360" w:type="dxa"/>
            <w:tcBorders>
              <w:top w:val="nil"/>
              <w:left w:val="nil"/>
              <w:bottom w:val="single" w:sz="4" w:space="0" w:color="auto"/>
              <w:right w:val="single" w:sz="4" w:space="0" w:color="auto"/>
            </w:tcBorders>
            <w:shd w:val="clear" w:color="000000" w:fill="FFFFFF"/>
            <w:noWrap/>
            <w:vAlign w:val="center"/>
            <w:hideMark/>
          </w:tcPr>
          <w:p w14:paraId="66C8E95F"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52%</w:t>
            </w:r>
          </w:p>
        </w:tc>
        <w:tc>
          <w:tcPr>
            <w:tcW w:w="1200" w:type="dxa"/>
            <w:tcBorders>
              <w:top w:val="nil"/>
              <w:left w:val="nil"/>
              <w:bottom w:val="single" w:sz="4" w:space="0" w:color="auto"/>
              <w:right w:val="single" w:sz="4" w:space="0" w:color="auto"/>
            </w:tcBorders>
            <w:shd w:val="clear" w:color="000000" w:fill="FFFFFF"/>
            <w:noWrap/>
            <w:vAlign w:val="center"/>
            <w:hideMark/>
          </w:tcPr>
          <w:p w14:paraId="44ADC1F2"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118%</w:t>
            </w:r>
          </w:p>
        </w:tc>
        <w:tc>
          <w:tcPr>
            <w:tcW w:w="1340" w:type="dxa"/>
            <w:tcBorders>
              <w:top w:val="nil"/>
              <w:left w:val="nil"/>
              <w:bottom w:val="single" w:sz="4" w:space="0" w:color="auto"/>
              <w:right w:val="single" w:sz="4" w:space="0" w:color="auto"/>
            </w:tcBorders>
            <w:shd w:val="clear" w:color="000000" w:fill="FFFFFF"/>
            <w:noWrap/>
            <w:vAlign w:val="center"/>
            <w:hideMark/>
          </w:tcPr>
          <w:p w14:paraId="58F631FC"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196%</w:t>
            </w:r>
          </w:p>
        </w:tc>
        <w:tc>
          <w:tcPr>
            <w:tcW w:w="1340" w:type="dxa"/>
            <w:tcBorders>
              <w:top w:val="nil"/>
              <w:left w:val="nil"/>
              <w:bottom w:val="single" w:sz="4" w:space="0" w:color="auto"/>
              <w:right w:val="single" w:sz="4" w:space="0" w:color="auto"/>
            </w:tcBorders>
            <w:shd w:val="clear" w:color="000000" w:fill="FFFFFF"/>
            <w:noWrap/>
            <w:vAlign w:val="center"/>
            <w:hideMark/>
          </w:tcPr>
          <w:p w14:paraId="77E87EEA"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83%</w:t>
            </w:r>
          </w:p>
        </w:tc>
        <w:tc>
          <w:tcPr>
            <w:tcW w:w="1200" w:type="dxa"/>
            <w:tcBorders>
              <w:top w:val="nil"/>
              <w:left w:val="nil"/>
              <w:bottom w:val="single" w:sz="4" w:space="0" w:color="auto"/>
              <w:right w:val="single" w:sz="4" w:space="0" w:color="auto"/>
            </w:tcBorders>
            <w:shd w:val="clear" w:color="000000" w:fill="FFFFFF"/>
            <w:noWrap/>
            <w:vAlign w:val="center"/>
            <w:hideMark/>
          </w:tcPr>
          <w:p w14:paraId="2D59C634"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112%</w:t>
            </w:r>
          </w:p>
        </w:tc>
      </w:tr>
      <w:tr w:rsidR="005814D5" w:rsidRPr="00B03152" w14:paraId="63F09CE7" w14:textId="77777777" w:rsidTr="00B03152">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1C1B7F18"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40</w:t>
            </w:r>
          </w:p>
        </w:tc>
        <w:tc>
          <w:tcPr>
            <w:tcW w:w="1740" w:type="dxa"/>
            <w:tcBorders>
              <w:top w:val="nil"/>
              <w:left w:val="nil"/>
              <w:bottom w:val="single" w:sz="4" w:space="0" w:color="auto"/>
              <w:right w:val="single" w:sz="4" w:space="0" w:color="auto"/>
            </w:tcBorders>
            <w:shd w:val="clear" w:color="000000" w:fill="FFFFFF"/>
            <w:noWrap/>
            <w:vAlign w:val="center"/>
            <w:hideMark/>
          </w:tcPr>
          <w:p w14:paraId="65E781A0"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67%</w:t>
            </w:r>
          </w:p>
        </w:tc>
        <w:tc>
          <w:tcPr>
            <w:tcW w:w="1200" w:type="dxa"/>
            <w:tcBorders>
              <w:top w:val="nil"/>
              <w:left w:val="nil"/>
              <w:bottom w:val="single" w:sz="4" w:space="0" w:color="auto"/>
              <w:right w:val="single" w:sz="4" w:space="0" w:color="auto"/>
            </w:tcBorders>
            <w:shd w:val="clear" w:color="000000" w:fill="FFFFFF"/>
            <w:noWrap/>
            <w:vAlign w:val="center"/>
            <w:hideMark/>
          </w:tcPr>
          <w:p w14:paraId="7D64C305"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88%</w:t>
            </w:r>
          </w:p>
        </w:tc>
        <w:tc>
          <w:tcPr>
            <w:tcW w:w="1360" w:type="dxa"/>
            <w:tcBorders>
              <w:top w:val="nil"/>
              <w:left w:val="nil"/>
              <w:bottom w:val="single" w:sz="4" w:space="0" w:color="auto"/>
              <w:right w:val="single" w:sz="4" w:space="0" w:color="auto"/>
            </w:tcBorders>
            <w:shd w:val="clear" w:color="000000" w:fill="FFFFFF"/>
            <w:noWrap/>
            <w:vAlign w:val="center"/>
            <w:hideMark/>
          </w:tcPr>
          <w:p w14:paraId="1D9A863D"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55%</w:t>
            </w:r>
          </w:p>
        </w:tc>
        <w:tc>
          <w:tcPr>
            <w:tcW w:w="1200" w:type="dxa"/>
            <w:tcBorders>
              <w:top w:val="nil"/>
              <w:left w:val="nil"/>
              <w:bottom w:val="single" w:sz="4" w:space="0" w:color="auto"/>
              <w:right w:val="single" w:sz="4" w:space="0" w:color="auto"/>
            </w:tcBorders>
            <w:shd w:val="clear" w:color="000000" w:fill="FFFFFF"/>
            <w:noWrap/>
            <w:vAlign w:val="center"/>
            <w:hideMark/>
          </w:tcPr>
          <w:p w14:paraId="4C1C8988"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129%</w:t>
            </w:r>
          </w:p>
        </w:tc>
        <w:tc>
          <w:tcPr>
            <w:tcW w:w="1340" w:type="dxa"/>
            <w:tcBorders>
              <w:top w:val="nil"/>
              <w:left w:val="nil"/>
              <w:bottom w:val="single" w:sz="4" w:space="0" w:color="auto"/>
              <w:right w:val="single" w:sz="4" w:space="0" w:color="auto"/>
            </w:tcBorders>
            <w:shd w:val="clear" w:color="000000" w:fill="FFFFFF"/>
            <w:noWrap/>
            <w:vAlign w:val="center"/>
            <w:hideMark/>
          </w:tcPr>
          <w:p w14:paraId="7DD50929"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318%</w:t>
            </w:r>
          </w:p>
        </w:tc>
        <w:tc>
          <w:tcPr>
            <w:tcW w:w="1340" w:type="dxa"/>
            <w:tcBorders>
              <w:top w:val="nil"/>
              <w:left w:val="nil"/>
              <w:bottom w:val="single" w:sz="4" w:space="0" w:color="auto"/>
              <w:right w:val="single" w:sz="4" w:space="0" w:color="auto"/>
            </w:tcBorders>
            <w:shd w:val="clear" w:color="000000" w:fill="FFFFFF"/>
            <w:noWrap/>
            <w:vAlign w:val="center"/>
            <w:hideMark/>
          </w:tcPr>
          <w:p w14:paraId="70CD532B"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89%</w:t>
            </w:r>
          </w:p>
        </w:tc>
        <w:tc>
          <w:tcPr>
            <w:tcW w:w="1200" w:type="dxa"/>
            <w:tcBorders>
              <w:top w:val="nil"/>
              <w:left w:val="nil"/>
              <w:bottom w:val="single" w:sz="4" w:space="0" w:color="auto"/>
              <w:right w:val="single" w:sz="4" w:space="0" w:color="auto"/>
            </w:tcBorders>
            <w:shd w:val="clear" w:color="000000" w:fill="FFFFFF"/>
            <w:noWrap/>
            <w:vAlign w:val="center"/>
            <w:hideMark/>
          </w:tcPr>
          <w:p w14:paraId="0FFC7A68"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129%</w:t>
            </w:r>
          </w:p>
        </w:tc>
      </w:tr>
      <w:tr w:rsidR="005814D5" w:rsidRPr="00B03152" w14:paraId="3B02E670" w14:textId="77777777" w:rsidTr="00B03152">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20C041CE"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41</w:t>
            </w:r>
          </w:p>
        </w:tc>
        <w:tc>
          <w:tcPr>
            <w:tcW w:w="1740" w:type="dxa"/>
            <w:tcBorders>
              <w:top w:val="nil"/>
              <w:left w:val="nil"/>
              <w:bottom w:val="single" w:sz="4" w:space="0" w:color="auto"/>
              <w:right w:val="single" w:sz="4" w:space="0" w:color="auto"/>
            </w:tcBorders>
            <w:shd w:val="clear" w:color="000000" w:fill="FFFFFF"/>
            <w:noWrap/>
            <w:vAlign w:val="center"/>
            <w:hideMark/>
          </w:tcPr>
          <w:p w14:paraId="0AA9474B"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100%</w:t>
            </w:r>
          </w:p>
        </w:tc>
        <w:tc>
          <w:tcPr>
            <w:tcW w:w="1200" w:type="dxa"/>
            <w:tcBorders>
              <w:top w:val="nil"/>
              <w:left w:val="nil"/>
              <w:bottom w:val="single" w:sz="4" w:space="0" w:color="auto"/>
              <w:right w:val="single" w:sz="4" w:space="0" w:color="auto"/>
            </w:tcBorders>
            <w:shd w:val="clear" w:color="000000" w:fill="FFFFFF"/>
            <w:noWrap/>
            <w:vAlign w:val="center"/>
            <w:hideMark/>
          </w:tcPr>
          <w:p w14:paraId="1B20B85A"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85%</w:t>
            </w:r>
          </w:p>
        </w:tc>
        <w:tc>
          <w:tcPr>
            <w:tcW w:w="1360" w:type="dxa"/>
            <w:tcBorders>
              <w:top w:val="nil"/>
              <w:left w:val="nil"/>
              <w:bottom w:val="single" w:sz="4" w:space="0" w:color="auto"/>
              <w:right w:val="single" w:sz="4" w:space="0" w:color="auto"/>
            </w:tcBorders>
            <w:shd w:val="clear" w:color="000000" w:fill="FFFFFF"/>
            <w:noWrap/>
            <w:vAlign w:val="center"/>
            <w:hideMark/>
          </w:tcPr>
          <w:p w14:paraId="514D1FB3"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63%</w:t>
            </w:r>
          </w:p>
        </w:tc>
        <w:tc>
          <w:tcPr>
            <w:tcW w:w="1200" w:type="dxa"/>
            <w:tcBorders>
              <w:top w:val="nil"/>
              <w:left w:val="nil"/>
              <w:bottom w:val="single" w:sz="4" w:space="0" w:color="auto"/>
              <w:right w:val="single" w:sz="4" w:space="0" w:color="auto"/>
            </w:tcBorders>
            <w:shd w:val="clear" w:color="000000" w:fill="FFFFFF"/>
            <w:noWrap/>
            <w:vAlign w:val="center"/>
            <w:hideMark/>
          </w:tcPr>
          <w:p w14:paraId="16C5E90D"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123%</w:t>
            </w:r>
          </w:p>
        </w:tc>
        <w:tc>
          <w:tcPr>
            <w:tcW w:w="1340" w:type="dxa"/>
            <w:tcBorders>
              <w:top w:val="nil"/>
              <w:left w:val="nil"/>
              <w:bottom w:val="single" w:sz="4" w:space="0" w:color="auto"/>
              <w:right w:val="single" w:sz="4" w:space="0" w:color="auto"/>
            </w:tcBorders>
            <w:shd w:val="clear" w:color="000000" w:fill="FFFFFF"/>
            <w:noWrap/>
            <w:vAlign w:val="center"/>
            <w:hideMark/>
          </w:tcPr>
          <w:p w14:paraId="418A5517"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281%</w:t>
            </w:r>
          </w:p>
        </w:tc>
        <w:tc>
          <w:tcPr>
            <w:tcW w:w="1340" w:type="dxa"/>
            <w:tcBorders>
              <w:top w:val="nil"/>
              <w:left w:val="nil"/>
              <w:bottom w:val="single" w:sz="4" w:space="0" w:color="auto"/>
              <w:right w:val="single" w:sz="4" w:space="0" w:color="auto"/>
            </w:tcBorders>
            <w:shd w:val="clear" w:color="000000" w:fill="FFFFFF"/>
            <w:noWrap/>
            <w:vAlign w:val="center"/>
            <w:hideMark/>
          </w:tcPr>
          <w:p w14:paraId="72EF2420"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85%</w:t>
            </w:r>
          </w:p>
        </w:tc>
        <w:tc>
          <w:tcPr>
            <w:tcW w:w="1200" w:type="dxa"/>
            <w:tcBorders>
              <w:top w:val="nil"/>
              <w:left w:val="nil"/>
              <w:bottom w:val="single" w:sz="4" w:space="0" w:color="auto"/>
              <w:right w:val="single" w:sz="4" w:space="0" w:color="auto"/>
            </w:tcBorders>
            <w:shd w:val="clear" w:color="000000" w:fill="FFFFFF"/>
            <w:noWrap/>
            <w:vAlign w:val="center"/>
            <w:hideMark/>
          </w:tcPr>
          <w:p w14:paraId="5B49D87C"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112%</w:t>
            </w:r>
          </w:p>
        </w:tc>
      </w:tr>
      <w:tr w:rsidR="005814D5" w:rsidRPr="00B03152" w14:paraId="333B7B9E" w14:textId="77777777" w:rsidTr="00B03152">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794F24E9"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42</w:t>
            </w:r>
          </w:p>
        </w:tc>
        <w:tc>
          <w:tcPr>
            <w:tcW w:w="1740" w:type="dxa"/>
            <w:tcBorders>
              <w:top w:val="nil"/>
              <w:left w:val="nil"/>
              <w:bottom w:val="single" w:sz="4" w:space="0" w:color="auto"/>
              <w:right w:val="single" w:sz="4" w:space="0" w:color="auto"/>
            </w:tcBorders>
            <w:shd w:val="clear" w:color="000000" w:fill="FFFFFF"/>
            <w:noWrap/>
            <w:vAlign w:val="center"/>
            <w:hideMark/>
          </w:tcPr>
          <w:p w14:paraId="6C47F0C2"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79%</w:t>
            </w:r>
          </w:p>
        </w:tc>
        <w:tc>
          <w:tcPr>
            <w:tcW w:w="1200" w:type="dxa"/>
            <w:tcBorders>
              <w:top w:val="nil"/>
              <w:left w:val="nil"/>
              <w:bottom w:val="single" w:sz="4" w:space="0" w:color="auto"/>
              <w:right w:val="single" w:sz="4" w:space="0" w:color="auto"/>
            </w:tcBorders>
            <w:shd w:val="clear" w:color="000000" w:fill="FFFFFF"/>
            <w:noWrap/>
            <w:vAlign w:val="center"/>
            <w:hideMark/>
          </w:tcPr>
          <w:p w14:paraId="1EEC34E5"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82%</w:t>
            </w:r>
          </w:p>
        </w:tc>
        <w:tc>
          <w:tcPr>
            <w:tcW w:w="1360" w:type="dxa"/>
            <w:tcBorders>
              <w:top w:val="nil"/>
              <w:left w:val="nil"/>
              <w:bottom w:val="single" w:sz="4" w:space="0" w:color="auto"/>
              <w:right w:val="single" w:sz="4" w:space="0" w:color="auto"/>
            </w:tcBorders>
            <w:shd w:val="clear" w:color="000000" w:fill="FFFFFF"/>
            <w:noWrap/>
            <w:vAlign w:val="center"/>
            <w:hideMark/>
          </w:tcPr>
          <w:p w14:paraId="66B5F6C0"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57%</w:t>
            </w:r>
          </w:p>
        </w:tc>
        <w:tc>
          <w:tcPr>
            <w:tcW w:w="1200" w:type="dxa"/>
            <w:tcBorders>
              <w:top w:val="nil"/>
              <w:left w:val="nil"/>
              <w:bottom w:val="single" w:sz="4" w:space="0" w:color="auto"/>
              <w:right w:val="single" w:sz="4" w:space="0" w:color="auto"/>
            </w:tcBorders>
            <w:shd w:val="clear" w:color="000000" w:fill="FFFFFF"/>
            <w:noWrap/>
            <w:vAlign w:val="center"/>
            <w:hideMark/>
          </w:tcPr>
          <w:p w14:paraId="6DC8217A"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114%</w:t>
            </w:r>
          </w:p>
        </w:tc>
        <w:tc>
          <w:tcPr>
            <w:tcW w:w="1340" w:type="dxa"/>
            <w:tcBorders>
              <w:top w:val="nil"/>
              <w:left w:val="nil"/>
              <w:bottom w:val="single" w:sz="4" w:space="0" w:color="auto"/>
              <w:right w:val="single" w:sz="4" w:space="0" w:color="auto"/>
            </w:tcBorders>
            <w:shd w:val="clear" w:color="000000" w:fill="FFFFFF"/>
            <w:noWrap/>
            <w:vAlign w:val="center"/>
            <w:hideMark/>
          </w:tcPr>
          <w:p w14:paraId="31B93D95"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221%</w:t>
            </w:r>
          </w:p>
        </w:tc>
        <w:tc>
          <w:tcPr>
            <w:tcW w:w="1340" w:type="dxa"/>
            <w:tcBorders>
              <w:top w:val="nil"/>
              <w:left w:val="nil"/>
              <w:bottom w:val="single" w:sz="4" w:space="0" w:color="auto"/>
              <w:right w:val="single" w:sz="4" w:space="0" w:color="auto"/>
            </w:tcBorders>
            <w:shd w:val="clear" w:color="000000" w:fill="FFFFFF"/>
            <w:noWrap/>
            <w:vAlign w:val="center"/>
            <w:hideMark/>
          </w:tcPr>
          <w:p w14:paraId="2A7C4523"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65%</w:t>
            </w:r>
          </w:p>
        </w:tc>
        <w:tc>
          <w:tcPr>
            <w:tcW w:w="1200" w:type="dxa"/>
            <w:tcBorders>
              <w:top w:val="nil"/>
              <w:left w:val="nil"/>
              <w:bottom w:val="single" w:sz="4" w:space="0" w:color="auto"/>
              <w:right w:val="single" w:sz="4" w:space="0" w:color="auto"/>
            </w:tcBorders>
            <w:shd w:val="clear" w:color="000000" w:fill="FFFFFF"/>
            <w:noWrap/>
            <w:vAlign w:val="center"/>
            <w:hideMark/>
          </w:tcPr>
          <w:p w14:paraId="7C75188B"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91%</w:t>
            </w:r>
          </w:p>
        </w:tc>
      </w:tr>
      <w:tr w:rsidR="005814D5" w:rsidRPr="00B03152" w14:paraId="234AF95B" w14:textId="77777777" w:rsidTr="00B03152">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0C021E44"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43</w:t>
            </w:r>
          </w:p>
        </w:tc>
        <w:tc>
          <w:tcPr>
            <w:tcW w:w="1740" w:type="dxa"/>
            <w:tcBorders>
              <w:top w:val="nil"/>
              <w:left w:val="nil"/>
              <w:bottom w:val="single" w:sz="4" w:space="0" w:color="auto"/>
              <w:right w:val="single" w:sz="4" w:space="0" w:color="auto"/>
            </w:tcBorders>
            <w:shd w:val="clear" w:color="000000" w:fill="FFFFFF"/>
            <w:noWrap/>
            <w:vAlign w:val="center"/>
            <w:hideMark/>
          </w:tcPr>
          <w:p w14:paraId="484FBD37"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98%</w:t>
            </w:r>
          </w:p>
        </w:tc>
        <w:tc>
          <w:tcPr>
            <w:tcW w:w="1200" w:type="dxa"/>
            <w:tcBorders>
              <w:top w:val="nil"/>
              <w:left w:val="nil"/>
              <w:bottom w:val="single" w:sz="4" w:space="0" w:color="auto"/>
              <w:right w:val="single" w:sz="4" w:space="0" w:color="auto"/>
            </w:tcBorders>
            <w:shd w:val="clear" w:color="000000" w:fill="FFFFFF"/>
            <w:noWrap/>
            <w:vAlign w:val="center"/>
            <w:hideMark/>
          </w:tcPr>
          <w:p w14:paraId="361ACEC2"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81%</w:t>
            </w:r>
          </w:p>
        </w:tc>
        <w:tc>
          <w:tcPr>
            <w:tcW w:w="1360" w:type="dxa"/>
            <w:tcBorders>
              <w:top w:val="nil"/>
              <w:left w:val="nil"/>
              <w:bottom w:val="single" w:sz="4" w:space="0" w:color="auto"/>
              <w:right w:val="single" w:sz="4" w:space="0" w:color="auto"/>
            </w:tcBorders>
            <w:shd w:val="clear" w:color="000000" w:fill="FFFFFF"/>
            <w:noWrap/>
            <w:vAlign w:val="center"/>
            <w:hideMark/>
          </w:tcPr>
          <w:p w14:paraId="3D7AB1E8"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60%</w:t>
            </w:r>
          </w:p>
        </w:tc>
        <w:tc>
          <w:tcPr>
            <w:tcW w:w="1200" w:type="dxa"/>
            <w:tcBorders>
              <w:top w:val="nil"/>
              <w:left w:val="nil"/>
              <w:bottom w:val="single" w:sz="4" w:space="0" w:color="auto"/>
              <w:right w:val="single" w:sz="4" w:space="0" w:color="auto"/>
            </w:tcBorders>
            <w:shd w:val="clear" w:color="000000" w:fill="FFFFFF"/>
            <w:noWrap/>
            <w:vAlign w:val="center"/>
            <w:hideMark/>
          </w:tcPr>
          <w:p w14:paraId="2707EB6C"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118%</w:t>
            </w:r>
          </w:p>
        </w:tc>
        <w:tc>
          <w:tcPr>
            <w:tcW w:w="1340" w:type="dxa"/>
            <w:tcBorders>
              <w:top w:val="nil"/>
              <w:left w:val="nil"/>
              <w:bottom w:val="single" w:sz="4" w:space="0" w:color="auto"/>
              <w:right w:val="single" w:sz="4" w:space="0" w:color="auto"/>
            </w:tcBorders>
            <w:shd w:val="clear" w:color="000000" w:fill="FFFFFF"/>
            <w:noWrap/>
            <w:vAlign w:val="center"/>
            <w:hideMark/>
          </w:tcPr>
          <w:p w14:paraId="75DF556A"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196%</w:t>
            </w:r>
          </w:p>
        </w:tc>
        <w:tc>
          <w:tcPr>
            <w:tcW w:w="1340" w:type="dxa"/>
            <w:tcBorders>
              <w:top w:val="nil"/>
              <w:left w:val="nil"/>
              <w:bottom w:val="single" w:sz="4" w:space="0" w:color="auto"/>
              <w:right w:val="single" w:sz="4" w:space="0" w:color="auto"/>
            </w:tcBorders>
            <w:shd w:val="clear" w:color="000000" w:fill="FFFFFF"/>
            <w:noWrap/>
            <w:vAlign w:val="center"/>
            <w:hideMark/>
          </w:tcPr>
          <w:p w14:paraId="13DCB2C8"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72%</w:t>
            </w:r>
          </w:p>
        </w:tc>
        <w:tc>
          <w:tcPr>
            <w:tcW w:w="1200" w:type="dxa"/>
            <w:tcBorders>
              <w:top w:val="nil"/>
              <w:left w:val="nil"/>
              <w:bottom w:val="single" w:sz="4" w:space="0" w:color="auto"/>
              <w:right w:val="single" w:sz="4" w:space="0" w:color="auto"/>
            </w:tcBorders>
            <w:shd w:val="clear" w:color="000000" w:fill="FFFFFF"/>
            <w:noWrap/>
            <w:vAlign w:val="center"/>
            <w:hideMark/>
          </w:tcPr>
          <w:p w14:paraId="14C34C18"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85%</w:t>
            </w:r>
          </w:p>
        </w:tc>
      </w:tr>
      <w:tr w:rsidR="005814D5" w:rsidRPr="00B03152" w14:paraId="38D34DF6" w14:textId="77777777" w:rsidTr="00B03152">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0E4CDA39"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44</w:t>
            </w:r>
          </w:p>
        </w:tc>
        <w:tc>
          <w:tcPr>
            <w:tcW w:w="1740" w:type="dxa"/>
            <w:tcBorders>
              <w:top w:val="nil"/>
              <w:left w:val="nil"/>
              <w:bottom w:val="single" w:sz="4" w:space="0" w:color="auto"/>
              <w:right w:val="single" w:sz="4" w:space="0" w:color="auto"/>
            </w:tcBorders>
            <w:shd w:val="clear" w:color="000000" w:fill="FFFFFF"/>
            <w:noWrap/>
            <w:vAlign w:val="center"/>
            <w:hideMark/>
          </w:tcPr>
          <w:p w14:paraId="355C7F18"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87%</w:t>
            </w:r>
          </w:p>
        </w:tc>
        <w:tc>
          <w:tcPr>
            <w:tcW w:w="1200" w:type="dxa"/>
            <w:tcBorders>
              <w:top w:val="nil"/>
              <w:left w:val="nil"/>
              <w:bottom w:val="single" w:sz="4" w:space="0" w:color="auto"/>
              <w:right w:val="single" w:sz="4" w:space="0" w:color="auto"/>
            </w:tcBorders>
            <w:shd w:val="clear" w:color="000000" w:fill="FFFFFF"/>
            <w:noWrap/>
            <w:vAlign w:val="center"/>
            <w:hideMark/>
          </w:tcPr>
          <w:p w14:paraId="38849303"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94%</w:t>
            </w:r>
          </w:p>
        </w:tc>
        <w:tc>
          <w:tcPr>
            <w:tcW w:w="1360" w:type="dxa"/>
            <w:tcBorders>
              <w:top w:val="nil"/>
              <w:left w:val="nil"/>
              <w:bottom w:val="single" w:sz="4" w:space="0" w:color="auto"/>
              <w:right w:val="single" w:sz="4" w:space="0" w:color="auto"/>
            </w:tcBorders>
            <w:shd w:val="clear" w:color="000000" w:fill="FFFFFF"/>
            <w:noWrap/>
            <w:vAlign w:val="center"/>
            <w:hideMark/>
          </w:tcPr>
          <w:p w14:paraId="5108A504"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55%</w:t>
            </w:r>
          </w:p>
        </w:tc>
        <w:tc>
          <w:tcPr>
            <w:tcW w:w="1200" w:type="dxa"/>
            <w:tcBorders>
              <w:top w:val="nil"/>
              <w:left w:val="nil"/>
              <w:bottom w:val="single" w:sz="4" w:space="0" w:color="auto"/>
              <w:right w:val="single" w:sz="4" w:space="0" w:color="auto"/>
            </w:tcBorders>
            <w:shd w:val="clear" w:color="000000" w:fill="FFFFFF"/>
            <w:noWrap/>
            <w:vAlign w:val="center"/>
            <w:hideMark/>
          </w:tcPr>
          <w:p w14:paraId="53AF7CDE"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129%</w:t>
            </w:r>
          </w:p>
        </w:tc>
        <w:tc>
          <w:tcPr>
            <w:tcW w:w="1340" w:type="dxa"/>
            <w:tcBorders>
              <w:top w:val="nil"/>
              <w:left w:val="nil"/>
              <w:bottom w:val="single" w:sz="4" w:space="0" w:color="auto"/>
              <w:right w:val="single" w:sz="4" w:space="0" w:color="auto"/>
            </w:tcBorders>
            <w:shd w:val="clear" w:color="000000" w:fill="FFFFFF"/>
            <w:noWrap/>
            <w:vAlign w:val="center"/>
            <w:hideMark/>
          </w:tcPr>
          <w:p w14:paraId="0E563881"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318%</w:t>
            </w:r>
          </w:p>
        </w:tc>
        <w:tc>
          <w:tcPr>
            <w:tcW w:w="1340" w:type="dxa"/>
            <w:tcBorders>
              <w:top w:val="nil"/>
              <w:left w:val="nil"/>
              <w:bottom w:val="single" w:sz="4" w:space="0" w:color="auto"/>
              <w:right w:val="single" w:sz="4" w:space="0" w:color="auto"/>
            </w:tcBorders>
            <w:shd w:val="clear" w:color="000000" w:fill="FFFFFF"/>
            <w:noWrap/>
            <w:vAlign w:val="center"/>
            <w:hideMark/>
          </w:tcPr>
          <w:p w14:paraId="1CC256E7"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49%</w:t>
            </w:r>
          </w:p>
        </w:tc>
        <w:tc>
          <w:tcPr>
            <w:tcW w:w="1200" w:type="dxa"/>
            <w:tcBorders>
              <w:top w:val="nil"/>
              <w:left w:val="nil"/>
              <w:bottom w:val="single" w:sz="4" w:space="0" w:color="auto"/>
              <w:right w:val="single" w:sz="4" w:space="0" w:color="auto"/>
            </w:tcBorders>
            <w:shd w:val="clear" w:color="000000" w:fill="FFFFFF"/>
            <w:noWrap/>
            <w:vAlign w:val="center"/>
            <w:hideMark/>
          </w:tcPr>
          <w:p w14:paraId="668C8B92"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65%</w:t>
            </w:r>
          </w:p>
        </w:tc>
      </w:tr>
      <w:tr w:rsidR="005814D5" w:rsidRPr="00B03152" w14:paraId="60243EF3" w14:textId="77777777" w:rsidTr="00B03152">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1D629BC1"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45</w:t>
            </w:r>
          </w:p>
        </w:tc>
        <w:tc>
          <w:tcPr>
            <w:tcW w:w="1740" w:type="dxa"/>
            <w:tcBorders>
              <w:top w:val="nil"/>
              <w:left w:val="nil"/>
              <w:bottom w:val="single" w:sz="4" w:space="0" w:color="auto"/>
              <w:right w:val="single" w:sz="4" w:space="0" w:color="auto"/>
            </w:tcBorders>
            <w:shd w:val="clear" w:color="000000" w:fill="FFFFFF"/>
            <w:noWrap/>
            <w:vAlign w:val="center"/>
            <w:hideMark/>
          </w:tcPr>
          <w:p w14:paraId="6AFDF63B"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93%</w:t>
            </w:r>
          </w:p>
        </w:tc>
        <w:tc>
          <w:tcPr>
            <w:tcW w:w="1200" w:type="dxa"/>
            <w:tcBorders>
              <w:top w:val="nil"/>
              <w:left w:val="nil"/>
              <w:bottom w:val="single" w:sz="4" w:space="0" w:color="auto"/>
              <w:right w:val="single" w:sz="4" w:space="0" w:color="auto"/>
            </w:tcBorders>
            <w:shd w:val="clear" w:color="000000" w:fill="FFFFFF"/>
            <w:noWrap/>
            <w:vAlign w:val="center"/>
            <w:hideMark/>
          </w:tcPr>
          <w:p w14:paraId="2BDC1B56"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117%</w:t>
            </w:r>
          </w:p>
        </w:tc>
        <w:tc>
          <w:tcPr>
            <w:tcW w:w="1360" w:type="dxa"/>
            <w:tcBorders>
              <w:top w:val="nil"/>
              <w:left w:val="nil"/>
              <w:bottom w:val="single" w:sz="4" w:space="0" w:color="auto"/>
              <w:right w:val="single" w:sz="4" w:space="0" w:color="auto"/>
            </w:tcBorders>
            <w:shd w:val="clear" w:color="000000" w:fill="FFFFFF"/>
            <w:noWrap/>
            <w:vAlign w:val="center"/>
            <w:hideMark/>
          </w:tcPr>
          <w:p w14:paraId="36118D48"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59%</w:t>
            </w:r>
          </w:p>
        </w:tc>
        <w:tc>
          <w:tcPr>
            <w:tcW w:w="1200" w:type="dxa"/>
            <w:tcBorders>
              <w:top w:val="nil"/>
              <w:left w:val="nil"/>
              <w:bottom w:val="single" w:sz="4" w:space="0" w:color="auto"/>
              <w:right w:val="single" w:sz="4" w:space="0" w:color="auto"/>
            </w:tcBorders>
            <w:shd w:val="clear" w:color="000000" w:fill="FFFFFF"/>
            <w:noWrap/>
            <w:vAlign w:val="center"/>
            <w:hideMark/>
          </w:tcPr>
          <w:p w14:paraId="5A65D13B"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123%</w:t>
            </w:r>
          </w:p>
        </w:tc>
        <w:tc>
          <w:tcPr>
            <w:tcW w:w="1340" w:type="dxa"/>
            <w:tcBorders>
              <w:top w:val="nil"/>
              <w:left w:val="nil"/>
              <w:bottom w:val="single" w:sz="4" w:space="0" w:color="auto"/>
              <w:right w:val="single" w:sz="4" w:space="0" w:color="auto"/>
            </w:tcBorders>
            <w:shd w:val="clear" w:color="000000" w:fill="FFFFFF"/>
            <w:noWrap/>
            <w:vAlign w:val="center"/>
            <w:hideMark/>
          </w:tcPr>
          <w:p w14:paraId="0F18A89E"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281%</w:t>
            </w:r>
          </w:p>
        </w:tc>
        <w:tc>
          <w:tcPr>
            <w:tcW w:w="1340" w:type="dxa"/>
            <w:tcBorders>
              <w:top w:val="nil"/>
              <w:left w:val="nil"/>
              <w:bottom w:val="single" w:sz="4" w:space="0" w:color="auto"/>
              <w:right w:val="single" w:sz="4" w:space="0" w:color="auto"/>
            </w:tcBorders>
            <w:shd w:val="clear" w:color="000000" w:fill="FFFFFF"/>
            <w:noWrap/>
            <w:vAlign w:val="center"/>
            <w:hideMark/>
          </w:tcPr>
          <w:p w14:paraId="40096341"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95%</w:t>
            </w:r>
          </w:p>
        </w:tc>
        <w:tc>
          <w:tcPr>
            <w:tcW w:w="1200" w:type="dxa"/>
            <w:tcBorders>
              <w:top w:val="nil"/>
              <w:left w:val="nil"/>
              <w:bottom w:val="single" w:sz="4" w:space="0" w:color="auto"/>
              <w:right w:val="single" w:sz="4" w:space="0" w:color="auto"/>
            </w:tcBorders>
            <w:shd w:val="clear" w:color="000000" w:fill="FFFFFF"/>
            <w:noWrap/>
            <w:vAlign w:val="center"/>
            <w:hideMark/>
          </w:tcPr>
          <w:p w14:paraId="433194BF"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126%</w:t>
            </w:r>
          </w:p>
        </w:tc>
      </w:tr>
      <w:tr w:rsidR="005814D5" w:rsidRPr="00B03152" w14:paraId="531C985C" w14:textId="77777777" w:rsidTr="00B03152">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698FC8C4"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46</w:t>
            </w:r>
          </w:p>
        </w:tc>
        <w:tc>
          <w:tcPr>
            <w:tcW w:w="1740" w:type="dxa"/>
            <w:tcBorders>
              <w:top w:val="nil"/>
              <w:left w:val="nil"/>
              <w:bottom w:val="single" w:sz="4" w:space="0" w:color="auto"/>
              <w:right w:val="single" w:sz="4" w:space="0" w:color="auto"/>
            </w:tcBorders>
            <w:shd w:val="clear" w:color="000000" w:fill="FFFFFF"/>
            <w:noWrap/>
            <w:vAlign w:val="center"/>
            <w:hideMark/>
          </w:tcPr>
          <w:p w14:paraId="4C15F4E6"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66%</w:t>
            </w:r>
          </w:p>
        </w:tc>
        <w:tc>
          <w:tcPr>
            <w:tcW w:w="1200" w:type="dxa"/>
            <w:tcBorders>
              <w:top w:val="nil"/>
              <w:left w:val="nil"/>
              <w:bottom w:val="single" w:sz="4" w:space="0" w:color="auto"/>
              <w:right w:val="single" w:sz="4" w:space="0" w:color="auto"/>
            </w:tcBorders>
            <w:shd w:val="clear" w:color="000000" w:fill="FFFFFF"/>
            <w:noWrap/>
            <w:vAlign w:val="center"/>
            <w:hideMark/>
          </w:tcPr>
          <w:p w14:paraId="0160F267"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92%</w:t>
            </w:r>
          </w:p>
        </w:tc>
        <w:tc>
          <w:tcPr>
            <w:tcW w:w="1360" w:type="dxa"/>
            <w:tcBorders>
              <w:top w:val="nil"/>
              <w:left w:val="nil"/>
              <w:bottom w:val="single" w:sz="4" w:space="0" w:color="auto"/>
              <w:right w:val="single" w:sz="4" w:space="0" w:color="auto"/>
            </w:tcBorders>
            <w:shd w:val="clear" w:color="000000" w:fill="FFFFFF"/>
            <w:noWrap/>
            <w:vAlign w:val="center"/>
            <w:hideMark/>
          </w:tcPr>
          <w:p w14:paraId="7F3FFA88"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59%</w:t>
            </w:r>
          </w:p>
        </w:tc>
        <w:tc>
          <w:tcPr>
            <w:tcW w:w="1200" w:type="dxa"/>
            <w:tcBorders>
              <w:top w:val="nil"/>
              <w:left w:val="nil"/>
              <w:bottom w:val="single" w:sz="4" w:space="0" w:color="auto"/>
              <w:right w:val="single" w:sz="4" w:space="0" w:color="auto"/>
            </w:tcBorders>
            <w:shd w:val="clear" w:color="000000" w:fill="FFFFFF"/>
            <w:noWrap/>
            <w:vAlign w:val="center"/>
            <w:hideMark/>
          </w:tcPr>
          <w:p w14:paraId="547B3E8C"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106%</w:t>
            </w:r>
          </w:p>
        </w:tc>
        <w:tc>
          <w:tcPr>
            <w:tcW w:w="1340" w:type="dxa"/>
            <w:tcBorders>
              <w:top w:val="nil"/>
              <w:left w:val="nil"/>
              <w:bottom w:val="single" w:sz="4" w:space="0" w:color="auto"/>
              <w:right w:val="single" w:sz="4" w:space="0" w:color="auto"/>
            </w:tcBorders>
            <w:shd w:val="clear" w:color="000000" w:fill="FFFFFF"/>
            <w:noWrap/>
            <w:vAlign w:val="center"/>
            <w:hideMark/>
          </w:tcPr>
          <w:p w14:paraId="171B7214"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276%</w:t>
            </w:r>
          </w:p>
        </w:tc>
        <w:tc>
          <w:tcPr>
            <w:tcW w:w="1340" w:type="dxa"/>
            <w:tcBorders>
              <w:top w:val="nil"/>
              <w:left w:val="nil"/>
              <w:bottom w:val="single" w:sz="4" w:space="0" w:color="auto"/>
              <w:right w:val="single" w:sz="4" w:space="0" w:color="auto"/>
            </w:tcBorders>
            <w:shd w:val="clear" w:color="000000" w:fill="FFFFFF"/>
            <w:noWrap/>
            <w:vAlign w:val="center"/>
            <w:hideMark/>
          </w:tcPr>
          <w:p w14:paraId="12F42E5A"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67%</w:t>
            </w:r>
          </w:p>
        </w:tc>
        <w:tc>
          <w:tcPr>
            <w:tcW w:w="1200" w:type="dxa"/>
            <w:tcBorders>
              <w:top w:val="nil"/>
              <w:left w:val="nil"/>
              <w:bottom w:val="single" w:sz="4" w:space="0" w:color="auto"/>
              <w:right w:val="single" w:sz="4" w:space="0" w:color="auto"/>
            </w:tcBorders>
            <w:shd w:val="clear" w:color="000000" w:fill="FFFFFF"/>
            <w:noWrap/>
            <w:vAlign w:val="center"/>
            <w:hideMark/>
          </w:tcPr>
          <w:p w14:paraId="3CA2F84E"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91%</w:t>
            </w:r>
          </w:p>
        </w:tc>
      </w:tr>
      <w:tr w:rsidR="005814D5" w:rsidRPr="00B03152" w14:paraId="65266E26" w14:textId="77777777" w:rsidTr="00B03152">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0B0DDAF7"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47</w:t>
            </w:r>
          </w:p>
        </w:tc>
        <w:tc>
          <w:tcPr>
            <w:tcW w:w="1740" w:type="dxa"/>
            <w:tcBorders>
              <w:top w:val="nil"/>
              <w:left w:val="nil"/>
              <w:bottom w:val="single" w:sz="4" w:space="0" w:color="auto"/>
              <w:right w:val="single" w:sz="4" w:space="0" w:color="auto"/>
            </w:tcBorders>
            <w:shd w:val="clear" w:color="000000" w:fill="FFFFFF"/>
            <w:noWrap/>
            <w:vAlign w:val="center"/>
            <w:hideMark/>
          </w:tcPr>
          <w:p w14:paraId="2D95EB88"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83%</w:t>
            </w:r>
          </w:p>
        </w:tc>
        <w:tc>
          <w:tcPr>
            <w:tcW w:w="1200" w:type="dxa"/>
            <w:tcBorders>
              <w:top w:val="nil"/>
              <w:left w:val="nil"/>
              <w:bottom w:val="single" w:sz="4" w:space="0" w:color="auto"/>
              <w:right w:val="single" w:sz="4" w:space="0" w:color="auto"/>
            </w:tcBorders>
            <w:shd w:val="clear" w:color="000000" w:fill="FFFFFF"/>
            <w:noWrap/>
            <w:vAlign w:val="center"/>
            <w:hideMark/>
          </w:tcPr>
          <w:p w14:paraId="6B7983EA"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86%</w:t>
            </w:r>
          </w:p>
        </w:tc>
        <w:tc>
          <w:tcPr>
            <w:tcW w:w="1360" w:type="dxa"/>
            <w:tcBorders>
              <w:top w:val="nil"/>
              <w:left w:val="nil"/>
              <w:bottom w:val="single" w:sz="4" w:space="0" w:color="auto"/>
              <w:right w:val="single" w:sz="4" w:space="0" w:color="auto"/>
            </w:tcBorders>
            <w:shd w:val="clear" w:color="000000" w:fill="FFFFFF"/>
            <w:noWrap/>
            <w:vAlign w:val="center"/>
            <w:hideMark/>
          </w:tcPr>
          <w:p w14:paraId="2FC69B19"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61%</w:t>
            </w:r>
          </w:p>
        </w:tc>
        <w:tc>
          <w:tcPr>
            <w:tcW w:w="1200" w:type="dxa"/>
            <w:tcBorders>
              <w:top w:val="nil"/>
              <w:left w:val="nil"/>
              <w:bottom w:val="single" w:sz="4" w:space="0" w:color="auto"/>
              <w:right w:val="single" w:sz="4" w:space="0" w:color="auto"/>
            </w:tcBorders>
            <w:shd w:val="clear" w:color="000000" w:fill="FFFFFF"/>
            <w:noWrap/>
            <w:vAlign w:val="center"/>
            <w:hideMark/>
          </w:tcPr>
          <w:p w14:paraId="7138E7EB"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102%</w:t>
            </w:r>
          </w:p>
        </w:tc>
        <w:tc>
          <w:tcPr>
            <w:tcW w:w="1340" w:type="dxa"/>
            <w:tcBorders>
              <w:top w:val="nil"/>
              <w:left w:val="nil"/>
              <w:bottom w:val="single" w:sz="4" w:space="0" w:color="auto"/>
              <w:right w:val="single" w:sz="4" w:space="0" w:color="auto"/>
            </w:tcBorders>
            <w:shd w:val="clear" w:color="000000" w:fill="FFFFFF"/>
            <w:noWrap/>
            <w:vAlign w:val="center"/>
            <w:hideMark/>
          </w:tcPr>
          <w:p w14:paraId="2F261A68"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209%</w:t>
            </w:r>
          </w:p>
        </w:tc>
        <w:tc>
          <w:tcPr>
            <w:tcW w:w="1340" w:type="dxa"/>
            <w:tcBorders>
              <w:top w:val="nil"/>
              <w:left w:val="nil"/>
              <w:bottom w:val="single" w:sz="4" w:space="0" w:color="auto"/>
              <w:right w:val="single" w:sz="4" w:space="0" w:color="auto"/>
            </w:tcBorders>
            <w:shd w:val="clear" w:color="000000" w:fill="FFFFFF"/>
            <w:noWrap/>
            <w:vAlign w:val="center"/>
            <w:hideMark/>
          </w:tcPr>
          <w:p w14:paraId="63CFE152"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77%</w:t>
            </w:r>
          </w:p>
        </w:tc>
        <w:tc>
          <w:tcPr>
            <w:tcW w:w="1200" w:type="dxa"/>
            <w:tcBorders>
              <w:top w:val="nil"/>
              <w:left w:val="nil"/>
              <w:bottom w:val="single" w:sz="4" w:space="0" w:color="auto"/>
              <w:right w:val="single" w:sz="4" w:space="0" w:color="auto"/>
            </w:tcBorders>
            <w:shd w:val="clear" w:color="000000" w:fill="FFFFFF"/>
            <w:noWrap/>
            <w:vAlign w:val="center"/>
            <w:hideMark/>
          </w:tcPr>
          <w:p w14:paraId="3903E2F4"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97%</w:t>
            </w:r>
          </w:p>
        </w:tc>
      </w:tr>
      <w:tr w:rsidR="005814D5" w:rsidRPr="00B03152" w14:paraId="23430710" w14:textId="77777777" w:rsidTr="00B03152">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0E5C9AE6"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48</w:t>
            </w:r>
          </w:p>
        </w:tc>
        <w:tc>
          <w:tcPr>
            <w:tcW w:w="1740" w:type="dxa"/>
            <w:tcBorders>
              <w:top w:val="nil"/>
              <w:left w:val="nil"/>
              <w:bottom w:val="single" w:sz="4" w:space="0" w:color="auto"/>
              <w:right w:val="single" w:sz="4" w:space="0" w:color="auto"/>
            </w:tcBorders>
            <w:shd w:val="clear" w:color="000000" w:fill="FFFFFF"/>
            <w:noWrap/>
            <w:vAlign w:val="center"/>
            <w:hideMark/>
          </w:tcPr>
          <w:p w14:paraId="11AF1D09"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94%</w:t>
            </w:r>
          </w:p>
        </w:tc>
        <w:tc>
          <w:tcPr>
            <w:tcW w:w="1200" w:type="dxa"/>
            <w:tcBorders>
              <w:top w:val="nil"/>
              <w:left w:val="nil"/>
              <w:bottom w:val="single" w:sz="4" w:space="0" w:color="auto"/>
              <w:right w:val="single" w:sz="4" w:space="0" w:color="auto"/>
            </w:tcBorders>
            <w:shd w:val="clear" w:color="000000" w:fill="FFFFFF"/>
            <w:noWrap/>
            <w:vAlign w:val="center"/>
            <w:hideMark/>
          </w:tcPr>
          <w:p w14:paraId="05F98D95"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140%</w:t>
            </w:r>
          </w:p>
        </w:tc>
        <w:tc>
          <w:tcPr>
            <w:tcW w:w="1360" w:type="dxa"/>
            <w:tcBorders>
              <w:top w:val="nil"/>
              <w:left w:val="nil"/>
              <w:bottom w:val="single" w:sz="4" w:space="0" w:color="auto"/>
              <w:right w:val="single" w:sz="4" w:space="0" w:color="auto"/>
            </w:tcBorders>
            <w:shd w:val="clear" w:color="000000" w:fill="FFFFFF"/>
            <w:noWrap/>
            <w:vAlign w:val="center"/>
            <w:hideMark/>
          </w:tcPr>
          <w:p w14:paraId="51B94028"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63%</w:t>
            </w:r>
          </w:p>
        </w:tc>
        <w:tc>
          <w:tcPr>
            <w:tcW w:w="1200" w:type="dxa"/>
            <w:tcBorders>
              <w:top w:val="nil"/>
              <w:left w:val="nil"/>
              <w:bottom w:val="single" w:sz="4" w:space="0" w:color="auto"/>
              <w:right w:val="single" w:sz="4" w:space="0" w:color="auto"/>
            </w:tcBorders>
            <w:shd w:val="clear" w:color="000000" w:fill="FFFFFF"/>
            <w:noWrap/>
            <w:vAlign w:val="center"/>
            <w:hideMark/>
          </w:tcPr>
          <w:p w14:paraId="4ADF0CC2"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105%</w:t>
            </w:r>
          </w:p>
        </w:tc>
        <w:tc>
          <w:tcPr>
            <w:tcW w:w="1340" w:type="dxa"/>
            <w:tcBorders>
              <w:top w:val="nil"/>
              <w:left w:val="nil"/>
              <w:bottom w:val="single" w:sz="4" w:space="0" w:color="auto"/>
              <w:right w:val="single" w:sz="4" w:space="0" w:color="auto"/>
            </w:tcBorders>
            <w:shd w:val="clear" w:color="000000" w:fill="FFFFFF"/>
            <w:noWrap/>
            <w:vAlign w:val="center"/>
            <w:hideMark/>
          </w:tcPr>
          <w:p w14:paraId="69F93A3A"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251%</w:t>
            </w:r>
          </w:p>
        </w:tc>
        <w:tc>
          <w:tcPr>
            <w:tcW w:w="1340" w:type="dxa"/>
            <w:tcBorders>
              <w:top w:val="nil"/>
              <w:left w:val="nil"/>
              <w:bottom w:val="single" w:sz="4" w:space="0" w:color="auto"/>
              <w:right w:val="single" w:sz="4" w:space="0" w:color="auto"/>
            </w:tcBorders>
            <w:shd w:val="clear" w:color="000000" w:fill="FFFFFF"/>
            <w:noWrap/>
            <w:vAlign w:val="center"/>
            <w:hideMark/>
          </w:tcPr>
          <w:p w14:paraId="193BB56A"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93%</w:t>
            </w:r>
          </w:p>
        </w:tc>
        <w:tc>
          <w:tcPr>
            <w:tcW w:w="1200" w:type="dxa"/>
            <w:tcBorders>
              <w:top w:val="nil"/>
              <w:left w:val="nil"/>
              <w:bottom w:val="single" w:sz="4" w:space="0" w:color="auto"/>
              <w:right w:val="single" w:sz="4" w:space="0" w:color="auto"/>
            </w:tcBorders>
            <w:shd w:val="clear" w:color="000000" w:fill="FFFFFF"/>
            <w:noWrap/>
            <w:vAlign w:val="center"/>
            <w:hideMark/>
          </w:tcPr>
          <w:p w14:paraId="22AB5E07"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109%</w:t>
            </w:r>
          </w:p>
        </w:tc>
      </w:tr>
      <w:tr w:rsidR="005814D5" w:rsidRPr="00B03152" w14:paraId="588B74BD" w14:textId="77777777" w:rsidTr="00B03152">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5D72C674"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49</w:t>
            </w:r>
          </w:p>
        </w:tc>
        <w:tc>
          <w:tcPr>
            <w:tcW w:w="1740" w:type="dxa"/>
            <w:tcBorders>
              <w:top w:val="nil"/>
              <w:left w:val="nil"/>
              <w:bottom w:val="single" w:sz="4" w:space="0" w:color="auto"/>
              <w:right w:val="single" w:sz="4" w:space="0" w:color="auto"/>
            </w:tcBorders>
            <w:shd w:val="clear" w:color="000000" w:fill="FFFFFF"/>
            <w:noWrap/>
            <w:vAlign w:val="center"/>
            <w:hideMark/>
          </w:tcPr>
          <w:p w14:paraId="17344196"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109%</w:t>
            </w:r>
          </w:p>
        </w:tc>
        <w:tc>
          <w:tcPr>
            <w:tcW w:w="1200" w:type="dxa"/>
            <w:tcBorders>
              <w:top w:val="nil"/>
              <w:left w:val="nil"/>
              <w:bottom w:val="single" w:sz="4" w:space="0" w:color="auto"/>
              <w:right w:val="single" w:sz="4" w:space="0" w:color="auto"/>
            </w:tcBorders>
            <w:shd w:val="clear" w:color="000000" w:fill="FFFFFF"/>
            <w:noWrap/>
            <w:vAlign w:val="center"/>
            <w:hideMark/>
          </w:tcPr>
          <w:p w14:paraId="4AC4CB1E"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102%</w:t>
            </w:r>
          </w:p>
        </w:tc>
        <w:tc>
          <w:tcPr>
            <w:tcW w:w="1360" w:type="dxa"/>
            <w:tcBorders>
              <w:top w:val="nil"/>
              <w:left w:val="nil"/>
              <w:bottom w:val="single" w:sz="4" w:space="0" w:color="auto"/>
              <w:right w:val="single" w:sz="4" w:space="0" w:color="auto"/>
            </w:tcBorders>
            <w:shd w:val="clear" w:color="000000" w:fill="FFFFFF"/>
            <w:noWrap/>
            <w:vAlign w:val="center"/>
            <w:hideMark/>
          </w:tcPr>
          <w:p w14:paraId="7AB11D81"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52%</w:t>
            </w:r>
          </w:p>
        </w:tc>
        <w:tc>
          <w:tcPr>
            <w:tcW w:w="1200" w:type="dxa"/>
            <w:tcBorders>
              <w:top w:val="nil"/>
              <w:left w:val="nil"/>
              <w:bottom w:val="single" w:sz="4" w:space="0" w:color="auto"/>
              <w:right w:val="single" w:sz="4" w:space="0" w:color="auto"/>
            </w:tcBorders>
            <w:shd w:val="clear" w:color="000000" w:fill="FFFFFF"/>
            <w:noWrap/>
            <w:vAlign w:val="center"/>
            <w:hideMark/>
          </w:tcPr>
          <w:p w14:paraId="77C5D55F"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95%</w:t>
            </w:r>
          </w:p>
        </w:tc>
        <w:tc>
          <w:tcPr>
            <w:tcW w:w="1340" w:type="dxa"/>
            <w:tcBorders>
              <w:top w:val="nil"/>
              <w:left w:val="nil"/>
              <w:bottom w:val="single" w:sz="4" w:space="0" w:color="auto"/>
              <w:right w:val="single" w:sz="4" w:space="0" w:color="auto"/>
            </w:tcBorders>
            <w:shd w:val="clear" w:color="000000" w:fill="FFFFFF"/>
            <w:noWrap/>
            <w:vAlign w:val="center"/>
            <w:hideMark/>
          </w:tcPr>
          <w:p w14:paraId="7B9792EC"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278%</w:t>
            </w:r>
          </w:p>
        </w:tc>
        <w:tc>
          <w:tcPr>
            <w:tcW w:w="1340" w:type="dxa"/>
            <w:tcBorders>
              <w:top w:val="nil"/>
              <w:left w:val="nil"/>
              <w:bottom w:val="single" w:sz="4" w:space="0" w:color="auto"/>
              <w:right w:val="single" w:sz="4" w:space="0" w:color="auto"/>
            </w:tcBorders>
            <w:shd w:val="clear" w:color="000000" w:fill="FFFFFF"/>
            <w:noWrap/>
            <w:vAlign w:val="center"/>
            <w:hideMark/>
          </w:tcPr>
          <w:p w14:paraId="00EC59DB"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101%</w:t>
            </w:r>
          </w:p>
        </w:tc>
        <w:tc>
          <w:tcPr>
            <w:tcW w:w="1200" w:type="dxa"/>
            <w:tcBorders>
              <w:top w:val="nil"/>
              <w:left w:val="nil"/>
              <w:bottom w:val="single" w:sz="4" w:space="0" w:color="auto"/>
              <w:right w:val="single" w:sz="4" w:space="0" w:color="auto"/>
            </w:tcBorders>
            <w:shd w:val="clear" w:color="000000" w:fill="FFFFFF"/>
            <w:noWrap/>
            <w:vAlign w:val="center"/>
            <w:hideMark/>
          </w:tcPr>
          <w:p w14:paraId="063FCC40" w14:textId="77777777" w:rsidR="005814D5" w:rsidRPr="00B03152" w:rsidRDefault="005814D5" w:rsidP="00985591">
            <w:pPr>
              <w:spacing w:line="276" w:lineRule="auto"/>
              <w:jc w:val="center"/>
              <w:rPr>
                <w:rFonts w:ascii="Book Antiqua" w:hAnsi="Book Antiqua" w:cs="Calibri"/>
                <w:color w:val="000000"/>
                <w:sz w:val="16"/>
                <w:szCs w:val="16"/>
                <w:lang w:eastAsia="es-CR"/>
              </w:rPr>
            </w:pPr>
            <w:r w:rsidRPr="00B03152">
              <w:rPr>
                <w:rFonts w:ascii="Book Antiqua" w:hAnsi="Book Antiqua" w:cs="Calibri"/>
                <w:color w:val="000000"/>
                <w:sz w:val="16"/>
                <w:szCs w:val="16"/>
                <w:lang w:eastAsia="es-CR"/>
              </w:rPr>
              <w:t>115%</w:t>
            </w:r>
          </w:p>
        </w:tc>
      </w:tr>
      <w:tr w:rsidR="005814D5" w:rsidRPr="00B03152" w14:paraId="3352FCA1" w14:textId="77777777" w:rsidTr="00B03152">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790A528D" w14:textId="77777777" w:rsidR="005814D5" w:rsidRPr="00B03152" w:rsidRDefault="005814D5" w:rsidP="00985591">
            <w:pPr>
              <w:spacing w:line="276" w:lineRule="auto"/>
              <w:jc w:val="center"/>
              <w:rPr>
                <w:rFonts w:ascii="Book Antiqua" w:hAnsi="Book Antiqua" w:cs="Calibri"/>
                <w:b/>
                <w:bCs/>
                <w:color w:val="000000"/>
                <w:sz w:val="16"/>
                <w:szCs w:val="16"/>
                <w:lang w:eastAsia="es-CR"/>
              </w:rPr>
            </w:pPr>
            <w:r w:rsidRPr="00B03152">
              <w:rPr>
                <w:rFonts w:ascii="Book Antiqua" w:hAnsi="Book Antiqua" w:cs="Calibri"/>
                <w:b/>
                <w:bCs/>
                <w:color w:val="000000"/>
                <w:sz w:val="16"/>
                <w:szCs w:val="16"/>
                <w:lang w:eastAsia="es-CR"/>
              </w:rPr>
              <w:t>Promedio</w:t>
            </w:r>
          </w:p>
        </w:tc>
        <w:tc>
          <w:tcPr>
            <w:tcW w:w="1740" w:type="dxa"/>
            <w:tcBorders>
              <w:top w:val="nil"/>
              <w:left w:val="nil"/>
              <w:bottom w:val="single" w:sz="4" w:space="0" w:color="auto"/>
              <w:right w:val="single" w:sz="4" w:space="0" w:color="auto"/>
            </w:tcBorders>
            <w:shd w:val="clear" w:color="000000" w:fill="FFFFFF"/>
            <w:noWrap/>
            <w:vAlign w:val="center"/>
            <w:hideMark/>
          </w:tcPr>
          <w:p w14:paraId="1C0DEEA6" w14:textId="77777777" w:rsidR="005814D5" w:rsidRPr="00B03152" w:rsidRDefault="005814D5" w:rsidP="00985591">
            <w:pPr>
              <w:spacing w:line="276" w:lineRule="auto"/>
              <w:jc w:val="center"/>
              <w:rPr>
                <w:rFonts w:ascii="Book Antiqua" w:hAnsi="Book Antiqua" w:cs="Calibri"/>
                <w:b/>
                <w:bCs/>
                <w:color w:val="000000"/>
                <w:sz w:val="16"/>
                <w:szCs w:val="16"/>
                <w:lang w:eastAsia="es-CR"/>
              </w:rPr>
            </w:pPr>
            <w:r w:rsidRPr="00B03152">
              <w:rPr>
                <w:rFonts w:ascii="Book Antiqua" w:hAnsi="Book Antiqua" w:cs="Calibri"/>
                <w:b/>
                <w:bCs/>
                <w:color w:val="000000"/>
                <w:sz w:val="16"/>
                <w:szCs w:val="16"/>
                <w:lang w:eastAsia="es-CR"/>
              </w:rPr>
              <w:t>86%</w:t>
            </w:r>
          </w:p>
        </w:tc>
        <w:tc>
          <w:tcPr>
            <w:tcW w:w="1200" w:type="dxa"/>
            <w:tcBorders>
              <w:top w:val="nil"/>
              <w:left w:val="nil"/>
              <w:bottom w:val="single" w:sz="4" w:space="0" w:color="auto"/>
              <w:right w:val="single" w:sz="4" w:space="0" w:color="auto"/>
            </w:tcBorders>
            <w:shd w:val="clear" w:color="000000" w:fill="FFFFFF"/>
            <w:noWrap/>
            <w:vAlign w:val="center"/>
            <w:hideMark/>
          </w:tcPr>
          <w:p w14:paraId="5D8920DB" w14:textId="77777777" w:rsidR="005814D5" w:rsidRPr="00B03152" w:rsidRDefault="005814D5" w:rsidP="00985591">
            <w:pPr>
              <w:spacing w:line="276" w:lineRule="auto"/>
              <w:jc w:val="center"/>
              <w:rPr>
                <w:rFonts w:ascii="Book Antiqua" w:hAnsi="Book Antiqua" w:cs="Calibri"/>
                <w:b/>
                <w:bCs/>
                <w:color w:val="000000"/>
                <w:sz w:val="16"/>
                <w:szCs w:val="16"/>
                <w:lang w:eastAsia="es-CR"/>
              </w:rPr>
            </w:pPr>
            <w:r w:rsidRPr="00B03152">
              <w:rPr>
                <w:rFonts w:ascii="Book Antiqua" w:hAnsi="Book Antiqua" w:cs="Calibri"/>
                <w:b/>
                <w:bCs/>
                <w:color w:val="000000"/>
                <w:sz w:val="16"/>
                <w:szCs w:val="16"/>
                <w:lang w:eastAsia="es-CR"/>
              </w:rPr>
              <w:t>103%</w:t>
            </w:r>
          </w:p>
        </w:tc>
        <w:tc>
          <w:tcPr>
            <w:tcW w:w="1360" w:type="dxa"/>
            <w:tcBorders>
              <w:top w:val="nil"/>
              <w:left w:val="nil"/>
              <w:bottom w:val="single" w:sz="4" w:space="0" w:color="auto"/>
              <w:right w:val="single" w:sz="4" w:space="0" w:color="auto"/>
            </w:tcBorders>
            <w:shd w:val="clear" w:color="auto" w:fill="auto"/>
            <w:noWrap/>
            <w:vAlign w:val="center"/>
            <w:hideMark/>
          </w:tcPr>
          <w:p w14:paraId="70BE677E" w14:textId="77777777" w:rsidR="005814D5" w:rsidRPr="00B03152" w:rsidRDefault="005814D5" w:rsidP="00985591">
            <w:pPr>
              <w:spacing w:line="276" w:lineRule="auto"/>
              <w:jc w:val="center"/>
              <w:rPr>
                <w:rFonts w:ascii="Book Antiqua" w:hAnsi="Book Antiqua" w:cs="Calibri"/>
                <w:b/>
                <w:bCs/>
                <w:color w:val="000000"/>
                <w:sz w:val="16"/>
                <w:szCs w:val="16"/>
                <w:lang w:eastAsia="es-CR"/>
              </w:rPr>
            </w:pPr>
            <w:r w:rsidRPr="00B03152">
              <w:rPr>
                <w:rFonts w:ascii="Book Antiqua" w:hAnsi="Book Antiqua" w:cs="Calibri"/>
                <w:b/>
                <w:bCs/>
                <w:color w:val="000000"/>
                <w:sz w:val="16"/>
                <w:szCs w:val="16"/>
                <w:lang w:eastAsia="es-CR"/>
              </w:rPr>
              <w:t>53%</w:t>
            </w:r>
          </w:p>
        </w:tc>
        <w:tc>
          <w:tcPr>
            <w:tcW w:w="1200" w:type="dxa"/>
            <w:tcBorders>
              <w:top w:val="nil"/>
              <w:left w:val="nil"/>
              <w:bottom w:val="single" w:sz="4" w:space="0" w:color="auto"/>
              <w:right w:val="single" w:sz="4" w:space="0" w:color="auto"/>
            </w:tcBorders>
            <w:shd w:val="clear" w:color="000000" w:fill="FFFFFF"/>
            <w:noWrap/>
            <w:vAlign w:val="center"/>
            <w:hideMark/>
          </w:tcPr>
          <w:p w14:paraId="5395493A" w14:textId="77777777" w:rsidR="005814D5" w:rsidRPr="00B03152" w:rsidRDefault="005814D5" w:rsidP="00985591">
            <w:pPr>
              <w:spacing w:line="276" w:lineRule="auto"/>
              <w:jc w:val="center"/>
              <w:rPr>
                <w:rFonts w:ascii="Book Antiqua" w:hAnsi="Book Antiqua" w:cs="Calibri"/>
                <w:b/>
                <w:bCs/>
                <w:color w:val="000000"/>
                <w:sz w:val="16"/>
                <w:szCs w:val="16"/>
                <w:lang w:eastAsia="es-CR"/>
              </w:rPr>
            </w:pPr>
            <w:r w:rsidRPr="00B03152">
              <w:rPr>
                <w:rFonts w:ascii="Book Antiqua" w:hAnsi="Book Antiqua" w:cs="Calibri"/>
                <w:b/>
                <w:bCs/>
                <w:color w:val="000000"/>
                <w:sz w:val="16"/>
                <w:szCs w:val="16"/>
                <w:lang w:eastAsia="es-CR"/>
              </w:rPr>
              <w:t>109%</w:t>
            </w:r>
          </w:p>
        </w:tc>
        <w:tc>
          <w:tcPr>
            <w:tcW w:w="1340" w:type="dxa"/>
            <w:tcBorders>
              <w:top w:val="nil"/>
              <w:left w:val="nil"/>
              <w:bottom w:val="single" w:sz="4" w:space="0" w:color="auto"/>
              <w:right w:val="single" w:sz="4" w:space="0" w:color="auto"/>
            </w:tcBorders>
            <w:shd w:val="clear" w:color="000000" w:fill="FFFFFF"/>
            <w:noWrap/>
            <w:vAlign w:val="center"/>
            <w:hideMark/>
          </w:tcPr>
          <w:p w14:paraId="21272B09" w14:textId="77777777" w:rsidR="005814D5" w:rsidRPr="00B03152" w:rsidRDefault="005814D5" w:rsidP="00985591">
            <w:pPr>
              <w:spacing w:line="276" w:lineRule="auto"/>
              <w:jc w:val="center"/>
              <w:rPr>
                <w:rFonts w:ascii="Book Antiqua" w:hAnsi="Book Antiqua" w:cs="Calibri"/>
                <w:b/>
                <w:bCs/>
                <w:color w:val="000000"/>
                <w:sz w:val="16"/>
                <w:szCs w:val="16"/>
                <w:lang w:eastAsia="es-CR"/>
              </w:rPr>
            </w:pPr>
            <w:r w:rsidRPr="00B03152">
              <w:rPr>
                <w:rFonts w:ascii="Book Antiqua" w:hAnsi="Book Antiqua" w:cs="Calibri"/>
                <w:b/>
                <w:bCs/>
                <w:color w:val="000000"/>
                <w:sz w:val="16"/>
                <w:szCs w:val="16"/>
                <w:lang w:eastAsia="es-CR"/>
              </w:rPr>
              <w:t>238%</w:t>
            </w:r>
          </w:p>
        </w:tc>
        <w:tc>
          <w:tcPr>
            <w:tcW w:w="1340" w:type="dxa"/>
            <w:tcBorders>
              <w:top w:val="nil"/>
              <w:left w:val="nil"/>
              <w:bottom w:val="single" w:sz="4" w:space="0" w:color="auto"/>
              <w:right w:val="single" w:sz="4" w:space="0" w:color="auto"/>
            </w:tcBorders>
            <w:shd w:val="clear" w:color="000000" w:fill="FFFFFF"/>
            <w:noWrap/>
            <w:vAlign w:val="center"/>
            <w:hideMark/>
          </w:tcPr>
          <w:p w14:paraId="76AAC07F" w14:textId="77777777" w:rsidR="005814D5" w:rsidRPr="00B03152" w:rsidRDefault="005814D5" w:rsidP="00985591">
            <w:pPr>
              <w:spacing w:line="276" w:lineRule="auto"/>
              <w:jc w:val="center"/>
              <w:rPr>
                <w:rFonts w:ascii="Book Antiqua" w:hAnsi="Book Antiqua" w:cs="Calibri"/>
                <w:b/>
                <w:bCs/>
                <w:color w:val="000000"/>
                <w:sz w:val="16"/>
                <w:szCs w:val="16"/>
                <w:lang w:eastAsia="es-CR"/>
              </w:rPr>
            </w:pPr>
            <w:r w:rsidRPr="00B03152">
              <w:rPr>
                <w:rFonts w:ascii="Book Antiqua" w:hAnsi="Book Antiqua" w:cs="Calibri"/>
                <w:b/>
                <w:bCs/>
                <w:color w:val="000000"/>
                <w:sz w:val="16"/>
                <w:szCs w:val="16"/>
                <w:lang w:eastAsia="es-CR"/>
              </w:rPr>
              <w:t>92%</w:t>
            </w:r>
          </w:p>
        </w:tc>
        <w:tc>
          <w:tcPr>
            <w:tcW w:w="1200" w:type="dxa"/>
            <w:tcBorders>
              <w:top w:val="nil"/>
              <w:left w:val="nil"/>
              <w:bottom w:val="single" w:sz="4" w:space="0" w:color="auto"/>
              <w:right w:val="single" w:sz="4" w:space="0" w:color="auto"/>
            </w:tcBorders>
            <w:shd w:val="clear" w:color="000000" w:fill="FFFFFF"/>
            <w:noWrap/>
            <w:vAlign w:val="center"/>
            <w:hideMark/>
          </w:tcPr>
          <w:p w14:paraId="0FA7CC3D" w14:textId="77777777" w:rsidR="005814D5" w:rsidRPr="00B03152" w:rsidRDefault="005814D5" w:rsidP="00985591">
            <w:pPr>
              <w:spacing w:line="276" w:lineRule="auto"/>
              <w:jc w:val="center"/>
              <w:rPr>
                <w:rFonts w:ascii="Book Antiqua" w:hAnsi="Book Antiqua" w:cs="Calibri"/>
                <w:b/>
                <w:bCs/>
                <w:color w:val="000000"/>
                <w:sz w:val="16"/>
                <w:szCs w:val="16"/>
                <w:lang w:eastAsia="es-CR"/>
              </w:rPr>
            </w:pPr>
            <w:r w:rsidRPr="00B03152">
              <w:rPr>
                <w:rFonts w:ascii="Book Antiqua" w:hAnsi="Book Antiqua" w:cs="Calibri"/>
                <w:b/>
                <w:bCs/>
                <w:color w:val="000000"/>
                <w:sz w:val="16"/>
                <w:szCs w:val="16"/>
                <w:lang w:eastAsia="es-CR"/>
              </w:rPr>
              <w:t>97%</w:t>
            </w:r>
          </w:p>
        </w:tc>
      </w:tr>
    </w:tbl>
    <w:p w14:paraId="5BEA619C" w14:textId="77777777" w:rsidR="00582DB9" w:rsidRDefault="00582DB9" w:rsidP="00985591">
      <w:pPr>
        <w:spacing w:line="276" w:lineRule="auto"/>
        <w:jc w:val="center"/>
        <w:rPr>
          <w:rFonts w:ascii="Book Antiqua" w:hAnsi="Book Antiqua"/>
          <w:color w:val="000000" w:themeColor="text1"/>
          <w:sz w:val="20"/>
          <w:szCs w:val="20"/>
        </w:rPr>
      </w:pPr>
      <w:r w:rsidRPr="0013210E">
        <w:rPr>
          <w:rFonts w:ascii="Book Antiqua" w:hAnsi="Book Antiqua"/>
          <w:b/>
          <w:bCs/>
          <w:color w:val="000000"/>
          <w:sz w:val="20"/>
          <w:szCs w:val="20"/>
        </w:rPr>
        <w:t>Fuente:</w:t>
      </w:r>
      <w:r w:rsidRPr="00DE41EA">
        <w:rPr>
          <w:rFonts w:ascii="Book Antiqua" w:hAnsi="Book Antiqua"/>
          <w:color w:val="000000"/>
          <w:sz w:val="20"/>
          <w:szCs w:val="20"/>
        </w:rPr>
        <w:t xml:space="preserve"> </w:t>
      </w:r>
      <w:r w:rsidRPr="002754DF">
        <w:rPr>
          <w:rFonts w:ascii="Book Antiqua" w:hAnsi="Book Antiqua"/>
          <w:color w:val="000000" w:themeColor="text1"/>
          <w:sz w:val="20"/>
          <w:szCs w:val="20"/>
        </w:rPr>
        <w:t>Elaboración propia a partir de datos suministrados por despachos según circular 61-2020</w:t>
      </w:r>
    </w:p>
    <w:p w14:paraId="495CA3D3" w14:textId="7D55D2B1" w:rsidR="00582DB9" w:rsidRDefault="00582DB9" w:rsidP="00985591">
      <w:pPr>
        <w:spacing w:line="276" w:lineRule="auto"/>
        <w:jc w:val="both"/>
        <w:rPr>
          <w:rFonts w:ascii="Book Antiqua" w:hAnsi="Book Antiqua"/>
        </w:rPr>
      </w:pPr>
    </w:p>
    <w:p w14:paraId="6080DCA4" w14:textId="77777777" w:rsidR="00DD6E9A" w:rsidRDefault="00DD6E9A" w:rsidP="00985591">
      <w:pPr>
        <w:spacing w:line="276" w:lineRule="auto"/>
        <w:jc w:val="both"/>
        <w:rPr>
          <w:rFonts w:ascii="Book Antiqua" w:hAnsi="Book Antiqua"/>
        </w:rPr>
      </w:pPr>
    </w:p>
    <w:p w14:paraId="3B533566" w14:textId="67BCC11B" w:rsidR="00DC0B65" w:rsidRPr="009123AD" w:rsidRDefault="000061D6" w:rsidP="00985591">
      <w:pPr>
        <w:spacing w:line="276" w:lineRule="auto"/>
        <w:jc w:val="both"/>
        <w:rPr>
          <w:rFonts w:ascii="Book Antiqua" w:hAnsi="Book Antiqua"/>
        </w:rPr>
      </w:pPr>
      <w:r>
        <w:rPr>
          <w:rFonts w:ascii="Book Antiqua" w:hAnsi="Book Antiqua"/>
        </w:rPr>
        <w:t>A partir de mayo de 2021, la Corte Plena en</w:t>
      </w:r>
      <w:r w:rsidRPr="00DC0B65">
        <w:rPr>
          <w:rFonts w:ascii="Book Antiqua" w:hAnsi="Book Antiqua"/>
        </w:rPr>
        <w:t xml:space="preserve"> sesión N°12-2021 del 22 de marzo de 2021</w:t>
      </w:r>
      <w:r>
        <w:rPr>
          <w:rFonts w:ascii="Book Antiqua" w:hAnsi="Book Antiqua"/>
        </w:rPr>
        <w:t xml:space="preserve">, aprobó </w:t>
      </w:r>
      <w:r w:rsidR="00786B25">
        <w:rPr>
          <w:rFonts w:ascii="Book Antiqua" w:hAnsi="Book Antiqua"/>
        </w:rPr>
        <w:t xml:space="preserve">que </w:t>
      </w:r>
      <w:r>
        <w:rPr>
          <w:rFonts w:ascii="Book Antiqua" w:hAnsi="Book Antiqua"/>
        </w:rPr>
        <w:t xml:space="preserve">los Juzgados Penales, Tribunales Penales, Secciones de Flagrancia y Juzgados de Ejecución de la Pena, </w:t>
      </w:r>
      <w:r w:rsidR="00786B25">
        <w:rPr>
          <w:rFonts w:ascii="Book Antiqua" w:hAnsi="Book Antiqua"/>
        </w:rPr>
        <w:t>presentaran</w:t>
      </w:r>
      <w:r>
        <w:rPr>
          <w:rFonts w:ascii="Book Antiqua" w:hAnsi="Book Antiqua"/>
        </w:rPr>
        <w:t xml:space="preserve"> los informes mensualmente mediante la matriz de Indicadores de Gestión. Por lo que, en el</w:t>
      </w:r>
      <w:r w:rsidR="00DD6E9A">
        <w:rPr>
          <w:rFonts w:ascii="Book Antiqua" w:hAnsi="Book Antiqua"/>
        </w:rPr>
        <w:t xml:space="preserve"> siguiente recuadro </w:t>
      </w:r>
      <w:r w:rsidR="006D71EC">
        <w:rPr>
          <w:rFonts w:ascii="Book Antiqua" w:hAnsi="Book Antiqua"/>
        </w:rPr>
        <w:t xml:space="preserve">se </w:t>
      </w:r>
      <w:r>
        <w:rPr>
          <w:rFonts w:ascii="Book Antiqua" w:hAnsi="Book Antiqua"/>
        </w:rPr>
        <w:t>detalla los porcentajes de cumplimento</w:t>
      </w:r>
      <w:r w:rsidR="000A0450">
        <w:rPr>
          <w:rFonts w:ascii="Book Antiqua" w:hAnsi="Book Antiqua"/>
        </w:rPr>
        <w:t xml:space="preserve"> de</w:t>
      </w:r>
      <w:r>
        <w:rPr>
          <w:rFonts w:ascii="Book Antiqua" w:hAnsi="Book Antiqua"/>
        </w:rPr>
        <w:t xml:space="preserve"> forma mensual</w:t>
      </w:r>
      <w:r w:rsidR="00582659">
        <w:rPr>
          <w:rFonts w:ascii="Book Antiqua" w:hAnsi="Book Antiqua"/>
        </w:rPr>
        <w:t xml:space="preserve"> obtenidos tanto en el informe de labores como en la matriz de indicadores respectiva</w:t>
      </w:r>
      <w:r>
        <w:rPr>
          <w:rFonts w:ascii="Book Antiqua" w:hAnsi="Book Antiqua"/>
        </w:rPr>
        <w:t>.</w:t>
      </w:r>
    </w:p>
    <w:p w14:paraId="30F34739" w14:textId="00001E64" w:rsidR="00624059" w:rsidRPr="00F970F2" w:rsidRDefault="00624059" w:rsidP="00985591">
      <w:pPr>
        <w:spacing w:line="276" w:lineRule="auto"/>
        <w:jc w:val="both"/>
        <w:rPr>
          <w:rFonts w:ascii="Book Antiqua" w:hAnsi="Book Antiqua"/>
          <w:bCs/>
          <w:color w:val="000000" w:themeColor="text1"/>
          <w:highlight w:val="yellow"/>
        </w:rPr>
      </w:pPr>
    </w:p>
    <w:p w14:paraId="4BA08C6E" w14:textId="3543C3AE" w:rsidR="00776798" w:rsidRPr="00582659" w:rsidRDefault="00776798" w:rsidP="00985591">
      <w:pPr>
        <w:spacing w:line="276" w:lineRule="auto"/>
        <w:jc w:val="center"/>
        <w:rPr>
          <w:rFonts w:ascii="Book Antiqua" w:hAnsi="Book Antiqua"/>
          <w:b/>
          <w:color w:val="000000" w:themeColor="text1"/>
        </w:rPr>
      </w:pPr>
      <w:r w:rsidRPr="00582659">
        <w:rPr>
          <w:rFonts w:ascii="Book Antiqua" w:hAnsi="Book Antiqua"/>
          <w:b/>
          <w:color w:val="000000" w:themeColor="text1"/>
        </w:rPr>
        <w:t xml:space="preserve">Cuadro </w:t>
      </w:r>
      <w:r w:rsidR="000A0450" w:rsidRPr="00582659">
        <w:rPr>
          <w:rFonts w:ascii="Book Antiqua" w:hAnsi="Book Antiqua"/>
          <w:b/>
          <w:color w:val="000000" w:themeColor="text1"/>
        </w:rPr>
        <w:t>4</w:t>
      </w:r>
      <w:r w:rsidR="00B03152">
        <w:rPr>
          <w:rFonts w:ascii="Book Antiqua" w:hAnsi="Book Antiqua"/>
          <w:b/>
          <w:color w:val="000000" w:themeColor="text1"/>
        </w:rPr>
        <w:t>0</w:t>
      </w:r>
    </w:p>
    <w:p w14:paraId="69382C1A" w14:textId="77777777" w:rsidR="00776798" w:rsidRPr="00582659" w:rsidRDefault="00776798" w:rsidP="00985591">
      <w:pPr>
        <w:spacing w:line="276" w:lineRule="auto"/>
        <w:jc w:val="center"/>
        <w:rPr>
          <w:rFonts w:ascii="Book Antiqua" w:hAnsi="Book Antiqua"/>
          <w:bCs/>
          <w:color w:val="000000" w:themeColor="text1"/>
        </w:rPr>
      </w:pPr>
      <w:r w:rsidRPr="00582659">
        <w:rPr>
          <w:rFonts w:ascii="Book Antiqua" w:hAnsi="Book Antiqua"/>
          <w:bCs/>
          <w:color w:val="000000" w:themeColor="text1"/>
        </w:rPr>
        <w:t xml:space="preserve">Cumplimiento del parámetro de producción teórico de </w:t>
      </w:r>
    </w:p>
    <w:p w14:paraId="2B00E0FA" w14:textId="496507C8" w:rsidR="00776798" w:rsidRDefault="00776798" w:rsidP="00985591">
      <w:pPr>
        <w:spacing w:line="276" w:lineRule="auto"/>
        <w:jc w:val="center"/>
        <w:rPr>
          <w:rFonts w:ascii="Book Antiqua" w:hAnsi="Book Antiqua"/>
        </w:rPr>
      </w:pPr>
      <w:r w:rsidRPr="00582659">
        <w:rPr>
          <w:rFonts w:ascii="Book Antiqua" w:hAnsi="Book Antiqua"/>
          <w:bCs/>
          <w:color w:val="000000" w:themeColor="text1"/>
        </w:rPr>
        <w:t>oficinas de materia</w:t>
      </w:r>
      <w:r w:rsidR="006D71EC">
        <w:rPr>
          <w:rFonts w:ascii="Book Antiqua" w:hAnsi="Book Antiqua"/>
          <w:bCs/>
          <w:color w:val="000000" w:themeColor="text1"/>
        </w:rPr>
        <w:t xml:space="preserve"> penal</w:t>
      </w:r>
      <w:r w:rsidR="00582659" w:rsidRPr="00582659">
        <w:rPr>
          <w:rFonts w:ascii="Book Antiqua" w:hAnsi="Book Antiqua"/>
          <w:bCs/>
          <w:color w:val="000000" w:themeColor="text1"/>
        </w:rPr>
        <w:t xml:space="preserve">, </w:t>
      </w:r>
      <w:r w:rsidR="00582659" w:rsidRPr="00582659">
        <w:rPr>
          <w:rFonts w:ascii="Book Antiqua" w:hAnsi="Book Antiqua"/>
        </w:rPr>
        <w:t xml:space="preserve">sesión </w:t>
      </w:r>
      <w:r w:rsidR="006D71EC">
        <w:rPr>
          <w:rFonts w:ascii="Book Antiqua" w:hAnsi="Book Antiqua"/>
        </w:rPr>
        <w:t xml:space="preserve">de Corte Plena </w:t>
      </w:r>
      <w:r w:rsidR="00582659" w:rsidRPr="00582659">
        <w:rPr>
          <w:rFonts w:ascii="Book Antiqua" w:hAnsi="Book Antiqua"/>
        </w:rPr>
        <w:t>N°12-2021</w:t>
      </w:r>
    </w:p>
    <w:tbl>
      <w:tblPr>
        <w:tblW w:w="9737" w:type="dxa"/>
        <w:jc w:val="center"/>
        <w:tblCellMar>
          <w:left w:w="70" w:type="dxa"/>
          <w:right w:w="70" w:type="dxa"/>
        </w:tblCellMar>
        <w:tblLook w:val="04A0" w:firstRow="1" w:lastRow="0" w:firstColumn="1" w:lastColumn="0" w:noHBand="0" w:noVBand="1"/>
      </w:tblPr>
      <w:tblGrid>
        <w:gridCol w:w="1014"/>
        <w:gridCol w:w="1471"/>
        <w:gridCol w:w="1014"/>
        <w:gridCol w:w="1944"/>
        <w:gridCol w:w="1014"/>
        <w:gridCol w:w="1133"/>
        <w:gridCol w:w="1133"/>
        <w:gridCol w:w="1014"/>
      </w:tblGrid>
      <w:tr w:rsidR="00DD6E9A" w:rsidRPr="00DD6E9A" w14:paraId="4D04D308" w14:textId="77777777" w:rsidTr="00DD6E9A">
        <w:trPr>
          <w:trHeight w:val="352"/>
          <w:jc w:val="center"/>
        </w:trPr>
        <w:tc>
          <w:tcPr>
            <w:tcW w:w="1014" w:type="dxa"/>
            <w:vMerge w:val="restart"/>
            <w:tcBorders>
              <w:top w:val="single" w:sz="4" w:space="0" w:color="auto"/>
              <w:left w:val="single" w:sz="4" w:space="0" w:color="auto"/>
              <w:bottom w:val="single" w:sz="4" w:space="0" w:color="auto"/>
              <w:right w:val="single" w:sz="4" w:space="0" w:color="auto"/>
            </w:tcBorders>
            <w:shd w:val="clear" w:color="000000" w:fill="305496"/>
            <w:vAlign w:val="center"/>
            <w:hideMark/>
          </w:tcPr>
          <w:p w14:paraId="71C5F808" w14:textId="77777777" w:rsidR="00DD6E9A" w:rsidRPr="00DD6E9A" w:rsidRDefault="00DD6E9A" w:rsidP="00DD6E9A">
            <w:pPr>
              <w:jc w:val="center"/>
              <w:rPr>
                <w:rFonts w:ascii="Book Antiqua" w:hAnsi="Book Antiqua" w:cs="Calibri"/>
                <w:b/>
                <w:bCs/>
                <w:color w:val="FFFFFF"/>
                <w:sz w:val="16"/>
                <w:szCs w:val="16"/>
                <w:lang w:eastAsia="es-CR"/>
              </w:rPr>
            </w:pPr>
            <w:r w:rsidRPr="00DD6E9A">
              <w:rPr>
                <w:rFonts w:ascii="Book Antiqua" w:hAnsi="Book Antiqua" w:cs="Calibri"/>
                <w:b/>
                <w:bCs/>
                <w:color w:val="FFFFFF"/>
                <w:sz w:val="16"/>
                <w:szCs w:val="16"/>
                <w:lang w:eastAsia="es-CR"/>
              </w:rPr>
              <w:t>Mes</w:t>
            </w:r>
          </w:p>
        </w:tc>
        <w:tc>
          <w:tcPr>
            <w:tcW w:w="1471" w:type="dxa"/>
            <w:tcBorders>
              <w:top w:val="single" w:sz="4" w:space="0" w:color="auto"/>
              <w:left w:val="nil"/>
              <w:bottom w:val="single" w:sz="4" w:space="0" w:color="auto"/>
              <w:right w:val="single" w:sz="4" w:space="0" w:color="auto"/>
            </w:tcBorders>
            <w:shd w:val="clear" w:color="000000" w:fill="305496"/>
            <w:vAlign w:val="center"/>
            <w:hideMark/>
          </w:tcPr>
          <w:p w14:paraId="52C942F1" w14:textId="77777777" w:rsidR="00DD6E9A" w:rsidRPr="00DD6E9A" w:rsidRDefault="00DD6E9A" w:rsidP="00DD6E9A">
            <w:pPr>
              <w:jc w:val="center"/>
              <w:rPr>
                <w:rFonts w:ascii="Book Antiqua" w:hAnsi="Book Antiqua" w:cs="Calibri"/>
                <w:b/>
                <w:bCs/>
                <w:color w:val="FFFFFF"/>
                <w:sz w:val="16"/>
                <w:szCs w:val="16"/>
                <w:lang w:eastAsia="es-CR"/>
              </w:rPr>
            </w:pPr>
            <w:r w:rsidRPr="00DD6E9A">
              <w:rPr>
                <w:rFonts w:ascii="Book Antiqua" w:hAnsi="Book Antiqua" w:cs="Calibri"/>
                <w:b/>
                <w:bCs/>
                <w:color w:val="FFFFFF"/>
                <w:sz w:val="16"/>
                <w:szCs w:val="16"/>
                <w:lang w:eastAsia="es-CR"/>
              </w:rPr>
              <w:t>Juzgados Penales</w:t>
            </w:r>
          </w:p>
        </w:tc>
        <w:tc>
          <w:tcPr>
            <w:tcW w:w="1014" w:type="dxa"/>
            <w:tcBorders>
              <w:top w:val="single" w:sz="4" w:space="0" w:color="auto"/>
              <w:left w:val="nil"/>
              <w:bottom w:val="single" w:sz="4" w:space="0" w:color="auto"/>
              <w:right w:val="single" w:sz="4" w:space="0" w:color="auto"/>
            </w:tcBorders>
            <w:shd w:val="clear" w:color="000000" w:fill="305496"/>
            <w:vAlign w:val="center"/>
            <w:hideMark/>
          </w:tcPr>
          <w:p w14:paraId="0E19F118" w14:textId="77777777" w:rsidR="00DD6E9A" w:rsidRPr="00DD6E9A" w:rsidRDefault="00DD6E9A" w:rsidP="00DD6E9A">
            <w:pPr>
              <w:jc w:val="center"/>
              <w:rPr>
                <w:rFonts w:ascii="Book Antiqua" w:hAnsi="Book Antiqua" w:cs="Calibri"/>
                <w:b/>
                <w:bCs/>
                <w:color w:val="FFFFFF"/>
                <w:sz w:val="16"/>
                <w:szCs w:val="16"/>
                <w:lang w:eastAsia="es-CR"/>
              </w:rPr>
            </w:pPr>
            <w:r w:rsidRPr="00DD6E9A">
              <w:rPr>
                <w:rFonts w:ascii="Book Antiqua" w:hAnsi="Book Antiqua" w:cs="Calibri"/>
                <w:b/>
                <w:bCs/>
                <w:color w:val="FFFFFF"/>
                <w:sz w:val="16"/>
                <w:szCs w:val="16"/>
                <w:lang w:eastAsia="es-CR"/>
              </w:rPr>
              <w:t>Tribunales de Juicio</w:t>
            </w:r>
          </w:p>
        </w:tc>
        <w:tc>
          <w:tcPr>
            <w:tcW w:w="1944" w:type="dxa"/>
            <w:tcBorders>
              <w:top w:val="single" w:sz="4" w:space="0" w:color="auto"/>
              <w:left w:val="nil"/>
              <w:bottom w:val="single" w:sz="4" w:space="0" w:color="auto"/>
              <w:right w:val="single" w:sz="4" w:space="0" w:color="auto"/>
            </w:tcBorders>
            <w:shd w:val="clear" w:color="000000" w:fill="305496"/>
            <w:noWrap/>
            <w:vAlign w:val="center"/>
            <w:hideMark/>
          </w:tcPr>
          <w:p w14:paraId="1442DB85" w14:textId="77777777" w:rsidR="00DD6E9A" w:rsidRPr="00DD6E9A" w:rsidRDefault="00DD6E9A" w:rsidP="00DD6E9A">
            <w:pPr>
              <w:jc w:val="center"/>
              <w:rPr>
                <w:rFonts w:ascii="Book Antiqua" w:hAnsi="Book Antiqua" w:cs="Calibri"/>
                <w:b/>
                <w:bCs/>
                <w:color w:val="FFFFFF"/>
                <w:sz w:val="16"/>
                <w:szCs w:val="16"/>
                <w:lang w:eastAsia="es-CR"/>
              </w:rPr>
            </w:pPr>
            <w:r w:rsidRPr="00DD6E9A">
              <w:rPr>
                <w:rFonts w:ascii="Book Antiqua" w:hAnsi="Book Antiqua" w:cs="Calibri"/>
                <w:b/>
                <w:bCs/>
                <w:color w:val="FFFFFF"/>
                <w:sz w:val="16"/>
                <w:szCs w:val="16"/>
                <w:lang w:eastAsia="es-CR"/>
              </w:rPr>
              <w:t>Flagrancia</w:t>
            </w:r>
          </w:p>
        </w:tc>
        <w:tc>
          <w:tcPr>
            <w:tcW w:w="2147" w:type="dxa"/>
            <w:gridSpan w:val="2"/>
            <w:tcBorders>
              <w:top w:val="single" w:sz="4" w:space="0" w:color="auto"/>
              <w:left w:val="nil"/>
              <w:bottom w:val="single" w:sz="4" w:space="0" w:color="auto"/>
              <w:right w:val="single" w:sz="4" w:space="0" w:color="auto"/>
            </w:tcBorders>
            <w:shd w:val="clear" w:color="000000" w:fill="305496"/>
            <w:noWrap/>
            <w:vAlign w:val="center"/>
            <w:hideMark/>
          </w:tcPr>
          <w:p w14:paraId="63EC40D3" w14:textId="77777777" w:rsidR="00DD6E9A" w:rsidRPr="00DD6E9A" w:rsidRDefault="00DD6E9A" w:rsidP="00DD6E9A">
            <w:pPr>
              <w:jc w:val="center"/>
              <w:rPr>
                <w:rFonts w:ascii="Book Antiqua" w:hAnsi="Book Antiqua" w:cs="Calibri"/>
                <w:b/>
                <w:bCs/>
                <w:color w:val="FFFFFF"/>
                <w:sz w:val="16"/>
                <w:szCs w:val="16"/>
                <w:lang w:eastAsia="es-CR"/>
              </w:rPr>
            </w:pPr>
            <w:r w:rsidRPr="00DD6E9A">
              <w:rPr>
                <w:rFonts w:ascii="Book Antiqua" w:hAnsi="Book Antiqua" w:cs="Calibri"/>
                <w:b/>
                <w:bCs/>
                <w:color w:val="FFFFFF"/>
                <w:sz w:val="16"/>
                <w:szCs w:val="16"/>
                <w:lang w:eastAsia="es-CR"/>
              </w:rPr>
              <w:t>Ejecución</w:t>
            </w:r>
          </w:p>
        </w:tc>
        <w:tc>
          <w:tcPr>
            <w:tcW w:w="1133" w:type="dxa"/>
            <w:tcBorders>
              <w:top w:val="single" w:sz="4" w:space="0" w:color="auto"/>
              <w:left w:val="nil"/>
              <w:bottom w:val="single" w:sz="4" w:space="0" w:color="auto"/>
              <w:right w:val="single" w:sz="4" w:space="0" w:color="auto"/>
            </w:tcBorders>
            <w:shd w:val="clear" w:color="000000" w:fill="305496"/>
            <w:noWrap/>
            <w:vAlign w:val="center"/>
            <w:hideMark/>
          </w:tcPr>
          <w:p w14:paraId="797FD1BD" w14:textId="77777777" w:rsidR="00DD6E9A" w:rsidRPr="00DD6E9A" w:rsidRDefault="00DD6E9A" w:rsidP="00DD6E9A">
            <w:pPr>
              <w:jc w:val="center"/>
              <w:rPr>
                <w:rFonts w:ascii="Book Antiqua" w:hAnsi="Book Antiqua" w:cs="Calibri"/>
                <w:b/>
                <w:bCs/>
                <w:color w:val="FFFFFF"/>
                <w:sz w:val="16"/>
                <w:szCs w:val="16"/>
                <w:lang w:eastAsia="es-CR"/>
              </w:rPr>
            </w:pPr>
            <w:r w:rsidRPr="00DD6E9A">
              <w:rPr>
                <w:rFonts w:ascii="Book Antiqua" w:hAnsi="Book Antiqua" w:cs="Calibri"/>
                <w:b/>
                <w:bCs/>
                <w:color w:val="FFFFFF"/>
                <w:sz w:val="16"/>
                <w:szCs w:val="16"/>
                <w:lang w:eastAsia="es-CR"/>
              </w:rPr>
              <w:t>Apelación</w:t>
            </w:r>
          </w:p>
        </w:tc>
        <w:tc>
          <w:tcPr>
            <w:tcW w:w="1014" w:type="dxa"/>
            <w:tcBorders>
              <w:top w:val="single" w:sz="4" w:space="0" w:color="auto"/>
              <w:left w:val="nil"/>
              <w:bottom w:val="single" w:sz="4" w:space="0" w:color="auto"/>
              <w:right w:val="single" w:sz="4" w:space="0" w:color="auto"/>
            </w:tcBorders>
            <w:shd w:val="clear" w:color="000000" w:fill="305496"/>
            <w:noWrap/>
            <w:vAlign w:val="center"/>
            <w:hideMark/>
          </w:tcPr>
          <w:p w14:paraId="379E3FDD" w14:textId="77777777" w:rsidR="00DD6E9A" w:rsidRPr="00DD6E9A" w:rsidRDefault="00DD6E9A" w:rsidP="00DD6E9A">
            <w:pPr>
              <w:jc w:val="center"/>
              <w:rPr>
                <w:rFonts w:ascii="Book Antiqua" w:hAnsi="Book Antiqua" w:cs="Calibri"/>
                <w:b/>
                <w:bCs/>
                <w:color w:val="FFFFFF"/>
                <w:sz w:val="16"/>
                <w:szCs w:val="16"/>
                <w:lang w:eastAsia="es-CR"/>
              </w:rPr>
            </w:pPr>
            <w:r w:rsidRPr="00DD6E9A">
              <w:rPr>
                <w:rFonts w:ascii="Book Antiqua" w:hAnsi="Book Antiqua" w:cs="Calibri"/>
                <w:b/>
                <w:bCs/>
                <w:color w:val="FFFFFF"/>
                <w:sz w:val="16"/>
                <w:szCs w:val="16"/>
                <w:lang w:eastAsia="es-CR"/>
              </w:rPr>
              <w:t>Sala Tercera</w:t>
            </w:r>
          </w:p>
        </w:tc>
      </w:tr>
      <w:tr w:rsidR="00DD6E9A" w:rsidRPr="00DD6E9A" w14:paraId="6D3E0FF4" w14:textId="77777777" w:rsidTr="00DD6E9A">
        <w:trPr>
          <w:trHeight w:val="1184"/>
          <w:jc w:val="center"/>
        </w:trPr>
        <w:tc>
          <w:tcPr>
            <w:tcW w:w="1014" w:type="dxa"/>
            <w:vMerge/>
            <w:tcBorders>
              <w:top w:val="single" w:sz="4" w:space="0" w:color="auto"/>
              <w:left w:val="single" w:sz="4" w:space="0" w:color="auto"/>
              <w:bottom w:val="single" w:sz="4" w:space="0" w:color="auto"/>
              <w:right w:val="single" w:sz="4" w:space="0" w:color="auto"/>
            </w:tcBorders>
            <w:vAlign w:val="center"/>
            <w:hideMark/>
          </w:tcPr>
          <w:p w14:paraId="4D20BA43" w14:textId="77777777" w:rsidR="00DD6E9A" w:rsidRPr="00DD6E9A" w:rsidRDefault="00DD6E9A" w:rsidP="00DD6E9A">
            <w:pPr>
              <w:rPr>
                <w:rFonts w:ascii="Book Antiqua" w:hAnsi="Book Antiqua" w:cs="Calibri"/>
                <w:b/>
                <w:bCs/>
                <w:color w:val="FFFFFF"/>
                <w:sz w:val="16"/>
                <w:szCs w:val="16"/>
                <w:lang w:eastAsia="es-CR"/>
              </w:rPr>
            </w:pPr>
          </w:p>
        </w:tc>
        <w:tc>
          <w:tcPr>
            <w:tcW w:w="1471" w:type="dxa"/>
            <w:tcBorders>
              <w:top w:val="nil"/>
              <w:left w:val="nil"/>
              <w:bottom w:val="single" w:sz="4" w:space="0" w:color="auto"/>
              <w:right w:val="single" w:sz="4" w:space="0" w:color="auto"/>
            </w:tcBorders>
            <w:shd w:val="clear" w:color="000000" w:fill="305496"/>
            <w:vAlign w:val="center"/>
            <w:hideMark/>
          </w:tcPr>
          <w:p w14:paraId="7B968CCE" w14:textId="77777777" w:rsidR="00DD6E9A" w:rsidRPr="00DD6E9A" w:rsidRDefault="00DD6E9A" w:rsidP="00DD6E9A">
            <w:pPr>
              <w:jc w:val="center"/>
              <w:rPr>
                <w:rFonts w:ascii="Book Antiqua" w:hAnsi="Book Antiqua" w:cs="Calibri"/>
                <w:b/>
                <w:bCs/>
                <w:color w:val="FFFFFF"/>
                <w:sz w:val="16"/>
                <w:szCs w:val="16"/>
                <w:lang w:eastAsia="es-CR"/>
              </w:rPr>
            </w:pPr>
            <w:r w:rsidRPr="00DD6E9A">
              <w:rPr>
                <w:rFonts w:ascii="Book Antiqua" w:hAnsi="Book Antiqua" w:cs="Calibri"/>
                <w:b/>
                <w:bCs/>
                <w:color w:val="FFFFFF"/>
                <w:sz w:val="16"/>
                <w:szCs w:val="16"/>
                <w:lang w:eastAsia="es-CR"/>
              </w:rPr>
              <w:t>Desestimaciones, sobreseimientos y acusaciones</w:t>
            </w:r>
          </w:p>
        </w:tc>
        <w:tc>
          <w:tcPr>
            <w:tcW w:w="1014" w:type="dxa"/>
            <w:tcBorders>
              <w:top w:val="nil"/>
              <w:left w:val="nil"/>
              <w:bottom w:val="single" w:sz="4" w:space="0" w:color="auto"/>
              <w:right w:val="single" w:sz="4" w:space="0" w:color="auto"/>
            </w:tcBorders>
            <w:shd w:val="clear" w:color="000000" w:fill="305496"/>
            <w:vAlign w:val="center"/>
            <w:hideMark/>
          </w:tcPr>
          <w:p w14:paraId="59A4AD53" w14:textId="77777777" w:rsidR="00DD6E9A" w:rsidRPr="00DD6E9A" w:rsidRDefault="00DD6E9A" w:rsidP="00DD6E9A">
            <w:pPr>
              <w:jc w:val="center"/>
              <w:rPr>
                <w:rFonts w:ascii="Book Antiqua" w:hAnsi="Book Antiqua" w:cs="Calibri"/>
                <w:b/>
                <w:bCs/>
                <w:color w:val="FFFFFF"/>
                <w:sz w:val="16"/>
                <w:szCs w:val="16"/>
                <w:lang w:eastAsia="es-CR"/>
              </w:rPr>
            </w:pPr>
            <w:r w:rsidRPr="00DD6E9A">
              <w:rPr>
                <w:rFonts w:ascii="Book Antiqua" w:hAnsi="Book Antiqua" w:cs="Calibri"/>
                <w:b/>
                <w:bCs/>
                <w:color w:val="FFFFFF"/>
                <w:sz w:val="16"/>
                <w:szCs w:val="16"/>
                <w:lang w:eastAsia="es-CR"/>
              </w:rPr>
              <w:t>Sentencias y medidas alternas</w:t>
            </w:r>
          </w:p>
        </w:tc>
        <w:tc>
          <w:tcPr>
            <w:tcW w:w="1944" w:type="dxa"/>
            <w:tcBorders>
              <w:top w:val="nil"/>
              <w:left w:val="nil"/>
              <w:bottom w:val="single" w:sz="4" w:space="0" w:color="auto"/>
              <w:right w:val="single" w:sz="4" w:space="0" w:color="auto"/>
            </w:tcBorders>
            <w:shd w:val="clear" w:color="000000" w:fill="305496"/>
            <w:vAlign w:val="center"/>
            <w:hideMark/>
          </w:tcPr>
          <w:p w14:paraId="1D9A37F9" w14:textId="77777777" w:rsidR="00DD6E9A" w:rsidRPr="00DD6E9A" w:rsidRDefault="00DD6E9A" w:rsidP="00DD6E9A">
            <w:pPr>
              <w:jc w:val="center"/>
              <w:rPr>
                <w:rFonts w:ascii="Book Antiqua" w:hAnsi="Book Antiqua" w:cs="Calibri"/>
                <w:b/>
                <w:bCs/>
                <w:color w:val="FFFFFF"/>
                <w:sz w:val="16"/>
                <w:szCs w:val="16"/>
                <w:lang w:eastAsia="es-CR"/>
              </w:rPr>
            </w:pPr>
            <w:r w:rsidRPr="00DD6E9A">
              <w:rPr>
                <w:rFonts w:ascii="Book Antiqua" w:hAnsi="Book Antiqua" w:cs="Calibri"/>
                <w:b/>
                <w:bCs/>
                <w:color w:val="FFFFFF"/>
                <w:sz w:val="16"/>
                <w:szCs w:val="16"/>
                <w:lang w:eastAsia="es-CR"/>
              </w:rPr>
              <w:t>Audiencias iniciales, sentencias y medidas alternas considerando colaboración al ordinario</w:t>
            </w:r>
          </w:p>
        </w:tc>
        <w:tc>
          <w:tcPr>
            <w:tcW w:w="1014" w:type="dxa"/>
            <w:tcBorders>
              <w:top w:val="nil"/>
              <w:left w:val="nil"/>
              <w:bottom w:val="single" w:sz="4" w:space="0" w:color="auto"/>
              <w:right w:val="single" w:sz="4" w:space="0" w:color="auto"/>
            </w:tcBorders>
            <w:shd w:val="clear" w:color="000000" w:fill="305496"/>
            <w:vAlign w:val="center"/>
            <w:hideMark/>
          </w:tcPr>
          <w:p w14:paraId="406217BC" w14:textId="77777777" w:rsidR="00DD6E9A" w:rsidRPr="00DD6E9A" w:rsidRDefault="00DD6E9A" w:rsidP="00DD6E9A">
            <w:pPr>
              <w:jc w:val="center"/>
              <w:rPr>
                <w:rFonts w:ascii="Book Antiqua" w:hAnsi="Book Antiqua" w:cs="Calibri"/>
                <w:b/>
                <w:bCs/>
                <w:color w:val="FFFFFF"/>
                <w:sz w:val="16"/>
                <w:szCs w:val="16"/>
                <w:lang w:eastAsia="es-CR"/>
              </w:rPr>
            </w:pPr>
            <w:r w:rsidRPr="00DD6E9A">
              <w:rPr>
                <w:rFonts w:ascii="Book Antiqua" w:hAnsi="Book Antiqua" w:cs="Calibri"/>
                <w:b/>
                <w:bCs/>
                <w:color w:val="FFFFFF"/>
                <w:sz w:val="16"/>
                <w:szCs w:val="16"/>
                <w:lang w:eastAsia="es-CR"/>
              </w:rPr>
              <w:t>Incidentes terminados</w:t>
            </w:r>
          </w:p>
        </w:tc>
        <w:tc>
          <w:tcPr>
            <w:tcW w:w="1133" w:type="dxa"/>
            <w:tcBorders>
              <w:top w:val="nil"/>
              <w:left w:val="nil"/>
              <w:bottom w:val="single" w:sz="4" w:space="0" w:color="auto"/>
              <w:right w:val="single" w:sz="4" w:space="0" w:color="auto"/>
            </w:tcBorders>
            <w:shd w:val="clear" w:color="000000" w:fill="305496"/>
            <w:vAlign w:val="center"/>
            <w:hideMark/>
          </w:tcPr>
          <w:p w14:paraId="0E355DB1" w14:textId="77777777" w:rsidR="00DD6E9A" w:rsidRPr="00DD6E9A" w:rsidRDefault="00DD6E9A" w:rsidP="00DD6E9A">
            <w:pPr>
              <w:jc w:val="center"/>
              <w:rPr>
                <w:rFonts w:ascii="Book Antiqua" w:hAnsi="Book Antiqua" w:cs="Calibri"/>
                <w:b/>
                <w:bCs/>
                <w:color w:val="FFFFFF"/>
                <w:sz w:val="16"/>
                <w:szCs w:val="16"/>
                <w:lang w:eastAsia="es-CR"/>
              </w:rPr>
            </w:pPr>
            <w:r w:rsidRPr="00DD6E9A">
              <w:rPr>
                <w:rFonts w:ascii="Book Antiqua" w:hAnsi="Book Antiqua" w:cs="Calibri"/>
                <w:b/>
                <w:bCs/>
                <w:color w:val="FFFFFF"/>
                <w:sz w:val="16"/>
                <w:szCs w:val="16"/>
                <w:lang w:eastAsia="es-CR"/>
              </w:rPr>
              <w:t>Firma de expedientes</w:t>
            </w:r>
          </w:p>
        </w:tc>
        <w:tc>
          <w:tcPr>
            <w:tcW w:w="1133" w:type="dxa"/>
            <w:tcBorders>
              <w:top w:val="nil"/>
              <w:left w:val="nil"/>
              <w:bottom w:val="single" w:sz="4" w:space="0" w:color="auto"/>
              <w:right w:val="single" w:sz="4" w:space="0" w:color="auto"/>
            </w:tcBorders>
            <w:shd w:val="clear" w:color="000000" w:fill="305496"/>
            <w:vAlign w:val="center"/>
            <w:hideMark/>
          </w:tcPr>
          <w:p w14:paraId="30581356" w14:textId="77777777" w:rsidR="00DD6E9A" w:rsidRPr="00DD6E9A" w:rsidRDefault="00DD6E9A" w:rsidP="00DD6E9A">
            <w:pPr>
              <w:jc w:val="center"/>
              <w:rPr>
                <w:rFonts w:ascii="Book Antiqua" w:hAnsi="Book Antiqua" w:cs="Calibri"/>
                <w:b/>
                <w:bCs/>
                <w:color w:val="FFFFFF"/>
                <w:sz w:val="16"/>
                <w:szCs w:val="16"/>
                <w:lang w:eastAsia="es-CR"/>
              </w:rPr>
            </w:pPr>
            <w:r w:rsidRPr="00DD6E9A">
              <w:rPr>
                <w:rFonts w:ascii="Book Antiqua" w:hAnsi="Book Antiqua" w:cs="Calibri"/>
                <w:b/>
                <w:bCs/>
                <w:color w:val="FFFFFF"/>
                <w:sz w:val="16"/>
                <w:szCs w:val="16"/>
                <w:lang w:eastAsia="es-CR"/>
              </w:rPr>
              <w:t>Proyecto terminado, circulado y votado</w:t>
            </w:r>
          </w:p>
        </w:tc>
        <w:tc>
          <w:tcPr>
            <w:tcW w:w="1014" w:type="dxa"/>
            <w:tcBorders>
              <w:top w:val="nil"/>
              <w:left w:val="nil"/>
              <w:bottom w:val="single" w:sz="4" w:space="0" w:color="auto"/>
              <w:right w:val="single" w:sz="4" w:space="0" w:color="auto"/>
            </w:tcBorders>
            <w:shd w:val="clear" w:color="000000" w:fill="305496"/>
            <w:vAlign w:val="center"/>
            <w:hideMark/>
          </w:tcPr>
          <w:p w14:paraId="3DEAA162" w14:textId="77777777" w:rsidR="00DD6E9A" w:rsidRPr="00DD6E9A" w:rsidRDefault="00DD6E9A" w:rsidP="00DD6E9A">
            <w:pPr>
              <w:jc w:val="center"/>
              <w:rPr>
                <w:rFonts w:ascii="Book Antiqua" w:hAnsi="Book Antiqua" w:cs="Calibri"/>
                <w:b/>
                <w:bCs/>
                <w:color w:val="FFFFFF"/>
                <w:sz w:val="16"/>
                <w:szCs w:val="16"/>
                <w:lang w:eastAsia="es-CR"/>
              </w:rPr>
            </w:pPr>
            <w:r w:rsidRPr="00DD6E9A">
              <w:rPr>
                <w:rFonts w:ascii="Book Antiqua" w:hAnsi="Book Antiqua" w:cs="Calibri"/>
                <w:b/>
                <w:bCs/>
                <w:color w:val="FFFFFF"/>
                <w:sz w:val="16"/>
                <w:szCs w:val="16"/>
                <w:lang w:eastAsia="es-CR"/>
              </w:rPr>
              <w:t>Proyectos</w:t>
            </w:r>
          </w:p>
        </w:tc>
      </w:tr>
      <w:tr w:rsidR="00DD6E9A" w:rsidRPr="00DD6E9A" w14:paraId="1C3F5D5C" w14:textId="77777777" w:rsidTr="00DD6E9A">
        <w:trPr>
          <w:trHeight w:val="232"/>
          <w:jc w:val="center"/>
        </w:trPr>
        <w:tc>
          <w:tcPr>
            <w:tcW w:w="1014" w:type="dxa"/>
            <w:tcBorders>
              <w:top w:val="nil"/>
              <w:left w:val="single" w:sz="4" w:space="0" w:color="auto"/>
              <w:bottom w:val="single" w:sz="4" w:space="0" w:color="auto"/>
              <w:right w:val="single" w:sz="4" w:space="0" w:color="auto"/>
            </w:tcBorders>
            <w:shd w:val="clear" w:color="000000" w:fill="FFFFFF"/>
            <w:noWrap/>
            <w:vAlign w:val="center"/>
            <w:hideMark/>
          </w:tcPr>
          <w:p w14:paraId="00F6FE4D" w14:textId="77777777" w:rsidR="00DD6E9A" w:rsidRPr="00DD6E9A" w:rsidRDefault="00DD6E9A" w:rsidP="00DD6E9A">
            <w:pPr>
              <w:jc w:val="center"/>
              <w:rPr>
                <w:rFonts w:ascii="Book Antiqua" w:hAnsi="Book Antiqua" w:cs="Calibri"/>
                <w:color w:val="000000"/>
                <w:sz w:val="16"/>
                <w:szCs w:val="16"/>
                <w:lang w:eastAsia="es-CR"/>
              </w:rPr>
            </w:pPr>
            <w:r w:rsidRPr="00DD6E9A">
              <w:rPr>
                <w:rFonts w:ascii="Book Antiqua" w:hAnsi="Book Antiqua" w:cs="Calibri"/>
                <w:color w:val="000000"/>
                <w:sz w:val="16"/>
                <w:szCs w:val="16"/>
                <w:lang w:eastAsia="es-CR"/>
              </w:rPr>
              <w:t>may-21</w:t>
            </w:r>
          </w:p>
        </w:tc>
        <w:tc>
          <w:tcPr>
            <w:tcW w:w="1471" w:type="dxa"/>
            <w:tcBorders>
              <w:top w:val="nil"/>
              <w:left w:val="nil"/>
              <w:bottom w:val="single" w:sz="4" w:space="0" w:color="auto"/>
              <w:right w:val="single" w:sz="4" w:space="0" w:color="auto"/>
            </w:tcBorders>
            <w:shd w:val="clear" w:color="auto" w:fill="auto"/>
            <w:noWrap/>
            <w:vAlign w:val="center"/>
            <w:hideMark/>
          </w:tcPr>
          <w:p w14:paraId="1E8690CA" w14:textId="77777777" w:rsidR="00DD6E9A" w:rsidRPr="00DD6E9A" w:rsidRDefault="00DD6E9A" w:rsidP="00DD6E9A">
            <w:pPr>
              <w:jc w:val="center"/>
              <w:rPr>
                <w:rFonts w:ascii="Book Antiqua" w:hAnsi="Book Antiqua" w:cs="Calibri"/>
                <w:color w:val="000000"/>
                <w:sz w:val="16"/>
                <w:szCs w:val="16"/>
                <w:lang w:eastAsia="es-CR"/>
              </w:rPr>
            </w:pPr>
            <w:r w:rsidRPr="00DD6E9A">
              <w:rPr>
                <w:rFonts w:ascii="Book Antiqua" w:hAnsi="Book Antiqua" w:cs="Calibri"/>
                <w:color w:val="000000"/>
                <w:sz w:val="16"/>
                <w:szCs w:val="16"/>
                <w:lang w:eastAsia="es-CR"/>
              </w:rPr>
              <w:t>100%</w:t>
            </w:r>
          </w:p>
        </w:tc>
        <w:tc>
          <w:tcPr>
            <w:tcW w:w="1014" w:type="dxa"/>
            <w:tcBorders>
              <w:top w:val="nil"/>
              <w:left w:val="nil"/>
              <w:bottom w:val="single" w:sz="4" w:space="0" w:color="auto"/>
              <w:right w:val="single" w:sz="4" w:space="0" w:color="auto"/>
            </w:tcBorders>
            <w:shd w:val="clear" w:color="auto" w:fill="auto"/>
            <w:noWrap/>
            <w:vAlign w:val="center"/>
            <w:hideMark/>
          </w:tcPr>
          <w:p w14:paraId="2B6D4D6F" w14:textId="77777777" w:rsidR="00DD6E9A" w:rsidRPr="00DD6E9A" w:rsidRDefault="00DD6E9A" w:rsidP="00DD6E9A">
            <w:pPr>
              <w:jc w:val="center"/>
              <w:rPr>
                <w:rFonts w:ascii="Book Antiqua" w:hAnsi="Book Antiqua" w:cs="Calibri"/>
                <w:color w:val="000000"/>
                <w:sz w:val="16"/>
                <w:szCs w:val="16"/>
                <w:lang w:eastAsia="es-CR"/>
              </w:rPr>
            </w:pPr>
            <w:r w:rsidRPr="00DD6E9A">
              <w:rPr>
                <w:rFonts w:ascii="Book Antiqua" w:hAnsi="Book Antiqua" w:cs="Calibri"/>
                <w:color w:val="000000"/>
                <w:sz w:val="16"/>
                <w:szCs w:val="16"/>
                <w:lang w:eastAsia="es-CR"/>
              </w:rPr>
              <w:t>88%</w:t>
            </w:r>
          </w:p>
        </w:tc>
        <w:tc>
          <w:tcPr>
            <w:tcW w:w="1944" w:type="dxa"/>
            <w:tcBorders>
              <w:top w:val="nil"/>
              <w:left w:val="nil"/>
              <w:bottom w:val="single" w:sz="4" w:space="0" w:color="auto"/>
              <w:right w:val="single" w:sz="4" w:space="0" w:color="auto"/>
            </w:tcBorders>
            <w:shd w:val="clear" w:color="auto" w:fill="auto"/>
            <w:noWrap/>
            <w:vAlign w:val="center"/>
            <w:hideMark/>
          </w:tcPr>
          <w:p w14:paraId="1B405535" w14:textId="77777777" w:rsidR="00DD6E9A" w:rsidRPr="00DD6E9A" w:rsidRDefault="00DD6E9A" w:rsidP="00DD6E9A">
            <w:pPr>
              <w:jc w:val="center"/>
              <w:rPr>
                <w:rFonts w:ascii="Book Antiqua" w:hAnsi="Book Antiqua" w:cs="Calibri"/>
                <w:color w:val="000000"/>
                <w:sz w:val="16"/>
                <w:szCs w:val="16"/>
                <w:lang w:eastAsia="es-CR"/>
              </w:rPr>
            </w:pPr>
            <w:r w:rsidRPr="00DD6E9A">
              <w:rPr>
                <w:rFonts w:ascii="Book Antiqua" w:hAnsi="Book Antiqua" w:cs="Calibri"/>
                <w:color w:val="000000"/>
                <w:sz w:val="16"/>
                <w:szCs w:val="16"/>
                <w:lang w:eastAsia="es-CR"/>
              </w:rPr>
              <w:t>86%</w:t>
            </w:r>
          </w:p>
        </w:tc>
        <w:tc>
          <w:tcPr>
            <w:tcW w:w="1014" w:type="dxa"/>
            <w:tcBorders>
              <w:top w:val="nil"/>
              <w:left w:val="nil"/>
              <w:bottom w:val="single" w:sz="4" w:space="0" w:color="auto"/>
              <w:right w:val="single" w:sz="4" w:space="0" w:color="auto"/>
            </w:tcBorders>
            <w:shd w:val="clear" w:color="auto" w:fill="auto"/>
            <w:noWrap/>
            <w:vAlign w:val="center"/>
            <w:hideMark/>
          </w:tcPr>
          <w:p w14:paraId="0E11A517" w14:textId="77777777" w:rsidR="00DD6E9A" w:rsidRPr="00DD6E9A" w:rsidRDefault="00DD6E9A" w:rsidP="00DD6E9A">
            <w:pPr>
              <w:jc w:val="center"/>
              <w:rPr>
                <w:rFonts w:ascii="Book Antiqua" w:hAnsi="Book Antiqua" w:cs="Calibri"/>
                <w:color w:val="000000"/>
                <w:sz w:val="16"/>
                <w:szCs w:val="16"/>
                <w:lang w:eastAsia="es-CR"/>
              </w:rPr>
            </w:pPr>
            <w:r w:rsidRPr="00DD6E9A">
              <w:rPr>
                <w:rFonts w:ascii="Book Antiqua" w:hAnsi="Book Antiqua" w:cs="Calibri"/>
                <w:color w:val="000000"/>
                <w:sz w:val="16"/>
                <w:szCs w:val="16"/>
                <w:lang w:eastAsia="es-CR"/>
              </w:rPr>
              <w:t>93%</w:t>
            </w:r>
          </w:p>
        </w:tc>
        <w:tc>
          <w:tcPr>
            <w:tcW w:w="1133" w:type="dxa"/>
            <w:tcBorders>
              <w:top w:val="nil"/>
              <w:left w:val="nil"/>
              <w:bottom w:val="single" w:sz="4" w:space="0" w:color="auto"/>
              <w:right w:val="single" w:sz="4" w:space="0" w:color="auto"/>
            </w:tcBorders>
            <w:shd w:val="clear" w:color="auto" w:fill="auto"/>
            <w:noWrap/>
            <w:vAlign w:val="center"/>
            <w:hideMark/>
          </w:tcPr>
          <w:p w14:paraId="55F7227B" w14:textId="77777777" w:rsidR="00DD6E9A" w:rsidRPr="00DD6E9A" w:rsidRDefault="00DD6E9A" w:rsidP="00DD6E9A">
            <w:pPr>
              <w:jc w:val="center"/>
              <w:rPr>
                <w:rFonts w:ascii="Book Antiqua" w:hAnsi="Book Antiqua" w:cs="Calibri"/>
                <w:color w:val="000000"/>
                <w:sz w:val="16"/>
                <w:szCs w:val="16"/>
                <w:lang w:eastAsia="es-CR"/>
              </w:rPr>
            </w:pPr>
            <w:r w:rsidRPr="00DD6E9A">
              <w:rPr>
                <w:rFonts w:ascii="Book Antiqua" w:hAnsi="Book Antiqua" w:cs="Calibri"/>
                <w:color w:val="000000"/>
                <w:sz w:val="16"/>
                <w:szCs w:val="16"/>
                <w:lang w:eastAsia="es-CR"/>
              </w:rPr>
              <w:t>157%</w:t>
            </w:r>
          </w:p>
        </w:tc>
        <w:tc>
          <w:tcPr>
            <w:tcW w:w="1133" w:type="dxa"/>
            <w:tcBorders>
              <w:top w:val="nil"/>
              <w:left w:val="nil"/>
              <w:bottom w:val="single" w:sz="4" w:space="0" w:color="auto"/>
              <w:right w:val="single" w:sz="4" w:space="0" w:color="auto"/>
            </w:tcBorders>
            <w:shd w:val="clear" w:color="auto" w:fill="auto"/>
            <w:noWrap/>
            <w:vAlign w:val="center"/>
            <w:hideMark/>
          </w:tcPr>
          <w:p w14:paraId="04F2B6F2" w14:textId="77777777" w:rsidR="00DD6E9A" w:rsidRPr="00DD6E9A" w:rsidRDefault="00DD6E9A" w:rsidP="00DD6E9A">
            <w:pPr>
              <w:jc w:val="center"/>
              <w:rPr>
                <w:rFonts w:ascii="Book Antiqua" w:hAnsi="Book Antiqua" w:cs="Calibri"/>
                <w:color w:val="000000"/>
                <w:sz w:val="16"/>
                <w:szCs w:val="16"/>
                <w:lang w:eastAsia="es-CR"/>
              </w:rPr>
            </w:pPr>
            <w:r w:rsidRPr="00DD6E9A">
              <w:rPr>
                <w:rFonts w:ascii="Book Antiqua" w:hAnsi="Book Antiqua" w:cs="Calibri"/>
                <w:color w:val="000000"/>
                <w:sz w:val="16"/>
                <w:szCs w:val="16"/>
                <w:lang w:eastAsia="es-CR"/>
              </w:rPr>
              <w:t>95%</w:t>
            </w:r>
          </w:p>
        </w:tc>
        <w:tc>
          <w:tcPr>
            <w:tcW w:w="1014" w:type="dxa"/>
            <w:tcBorders>
              <w:top w:val="nil"/>
              <w:left w:val="nil"/>
              <w:bottom w:val="single" w:sz="4" w:space="0" w:color="auto"/>
              <w:right w:val="single" w:sz="4" w:space="0" w:color="auto"/>
            </w:tcBorders>
            <w:shd w:val="clear" w:color="auto" w:fill="auto"/>
            <w:noWrap/>
            <w:vAlign w:val="center"/>
            <w:hideMark/>
          </w:tcPr>
          <w:p w14:paraId="6E610D12" w14:textId="77777777" w:rsidR="00DD6E9A" w:rsidRPr="00DD6E9A" w:rsidRDefault="00DD6E9A" w:rsidP="00DD6E9A">
            <w:pPr>
              <w:jc w:val="center"/>
              <w:rPr>
                <w:rFonts w:ascii="Book Antiqua" w:hAnsi="Book Antiqua" w:cs="Calibri"/>
                <w:color w:val="000000"/>
                <w:sz w:val="16"/>
                <w:szCs w:val="16"/>
                <w:lang w:eastAsia="es-CR"/>
              </w:rPr>
            </w:pPr>
            <w:r w:rsidRPr="00DD6E9A">
              <w:rPr>
                <w:rFonts w:ascii="Book Antiqua" w:hAnsi="Book Antiqua" w:cs="Calibri"/>
                <w:color w:val="000000"/>
                <w:sz w:val="16"/>
                <w:szCs w:val="16"/>
                <w:lang w:eastAsia="es-CR"/>
              </w:rPr>
              <w:t>95%</w:t>
            </w:r>
          </w:p>
        </w:tc>
      </w:tr>
      <w:tr w:rsidR="00DD6E9A" w:rsidRPr="00DD6E9A" w14:paraId="123C4AF9" w14:textId="77777777" w:rsidTr="00DD6E9A">
        <w:trPr>
          <w:trHeight w:val="232"/>
          <w:jc w:val="center"/>
        </w:trPr>
        <w:tc>
          <w:tcPr>
            <w:tcW w:w="1014" w:type="dxa"/>
            <w:tcBorders>
              <w:top w:val="nil"/>
              <w:left w:val="single" w:sz="4" w:space="0" w:color="auto"/>
              <w:bottom w:val="single" w:sz="4" w:space="0" w:color="auto"/>
              <w:right w:val="single" w:sz="4" w:space="0" w:color="auto"/>
            </w:tcBorders>
            <w:shd w:val="clear" w:color="000000" w:fill="FFFFFF"/>
            <w:noWrap/>
            <w:vAlign w:val="center"/>
            <w:hideMark/>
          </w:tcPr>
          <w:p w14:paraId="45ED429A" w14:textId="77777777" w:rsidR="00DD6E9A" w:rsidRPr="00DD6E9A" w:rsidRDefault="00DD6E9A" w:rsidP="00DD6E9A">
            <w:pPr>
              <w:jc w:val="center"/>
              <w:rPr>
                <w:rFonts w:ascii="Book Antiqua" w:hAnsi="Book Antiqua" w:cs="Calibri"/>
                <w:b/>
                <w:bCs/>
                <w:color w:val="000000"/>
                <w:sz w:val="16"/>
                <w:szCs w:val="16"/>
                <w:lang w:eastAsia="es-CR"/>
              </w:rPr>
            </w:pPr>
            <w:r w:rsidRPr="00DD6E9A">
              <w:rPr>
                <w:rFonts w:ascii="Book Antiqua" w:hAnsi="Book Antiqua" w:cs="Calibri"/>
                <w:b/>
                <w:bCs/>
                <w:color w:val="000000"/>
                <w:sz w:val="16"/>
                <w:szCs w:val="16"/>
                <w:lang w:eastAsia="es-CR"/>
              </w:rPr>
              <w:t>Promedio</w:t>
            </w:r>
          </w:p>
        </w:tc>
        <w:tc>
          <w:tcPr>
            <w:tcW w:w="1471" w:type="dxa"/>
            <w:tcBorders>
              <w:top w:val="nil"/>
              <w:left w:val="nil"/>
              <w:bottom w:val="single" w:sz="4" w:space="0" w:color="auto"/>
              <w:right w:val="single" w:sz="4" w:space="0" w:color="auto"/>
            </w:tcBorders>
            <w:shd w:val="clear" w:color="000000" w:fill="FFFFFF"/>
            <w:noWrap/>
            <w:vAlign w:val="center"/>
            <w:hideMark/>
          </w:tcPr>
          <w:p w14:paraId="3A20DFEB" w14:textId="77777777" w:rsidR="00DD6E9A" w:rsidRPr="00DD6E9A" w:rsidRDefault="00DD6E9A" w:rsidP="00DD6E9A">
            <w:pPr>
              <w:jc w:val="center"/>
              <w:rPr>
                <w:rFonts w:ascii="Book Antiqua" w:hAnsi="Book Antiqua" w:cs="Calibri"/>
                <w:b/>
                <w:bCs/>
                <w:color w:val="000000"/>
                <w:sz w:val="16"/>
                <w:szCs w:val="16"/>
                <w:lang w:eastAsia="es-CR"/>
              </w:rPr>
            </w:pPr>
            <w:r w:rsidRPr="00DD6E9A">
              <w:rPr>
                <w:rFonts w:ascii="Book Antiqua" w:hAnsi="Book Antiqua" w:cs="Calibri"/>
                <w:b/>
                <w:bCs/>
                <w:color w:val="000000"/>
                <w:sz w:val="16"/>
                <w:szCs w:val="16"/>
                <w:lang w:eastAsia="es-CR"/>
              </w:rPr>
              <w:t>100%</w:t>
            </w:r>
          </w:p>
        </w:tc>
        <w:tc>
          <w:tcPr>
            <w:tcW w:w="1014" w:type="dxa"/>
            <w:tcBorders>
              <w:top w:val="nil"/>
              <w:left w:val="nil"/>
              <w:bottom w:val="single" w:sz="4" w:space="0" w:color="auto"/>
              <w:right w:val="single" w:sz="4" w:space="0" w:color="auto"/>
            </w:tcBorders>
            <w:shd w:val="clear" w:color="000000" w:fill="FFFFFF"/>
            <w:noWrap/>
            <w:vAlign w:val="center"/>
            <w:hideMark/>
          </w:tcPr>
          <w:p w14:paraId="1A3B0946" w14:textId="77777777" w:rsidR="00DD6E9A" w:rsidRPr="00DD6E9A" w:rsidRDefault="00DD6E9A" w:rsidP="00DD6E9A">
            <w:pPr>
              <w:jc w:val="center"/>
              <w:rPr>
                <w:rFonts w:ascii="Book Antiqua" w:hAnsi="Book Antiqua" w:cs="Calibri"/>
                <w:b/>
                <w:bCs/>
                <w:color w:val="000000"/>
                <w:sz w:val="16"/>
                <w:szCs w:val="16"/>
                <w:lang w:eastAsia="es-CR"/>
              </w:rPr>
            </w:pPr>
            <w:r w:rsidRPr="00DD6E9A">
              <w:rPr>
                <w:rFonts w:ascii="Book Antiqua" w:hAnsi="Book Antiqua" w:cs="Calibri"/>
                <w:b/>
                <w:bCs/>
                <w:color w:val="000000"/>
                <w:sz w:val="16"/>
                <w:szCs w:val="16"/>
                <w:lang w:eastAsia="es-CR"/>
              </w:rPr>
              <w:t>88%</w:t>
            </w:r>
          </w:p>
        </w:tc>
        <w:tc>
          <w:tcPr>
            <w:tcW w:w="1944" w:type="dxa"/>
            <w:tcBorders>
              <w:top w:val="nil"/>
              <w:left w:val="nil"/>
              <w:bottom w:val="single" w:sz="4" w:space="0" w:color="auto"/>
              <w:right w:val="single" w:sz="4" w:space="0" w:color="auto"/>
            </w:tcBorders>
            <w:shd w:val="clear" w:color="000000" w:fill="FFFFFF"/>
            <w:noWrap/>
            <w:vAlign w:val="center"/>
            <w:hideMark/>
          </w:tcPr>
          <w:p w14:paraId="65DF802B" w14:textId="77777777" w:rsidR="00DD6E9A" w:rsidRPr="00DD6E9A" w:rsidRDefault="00DD6E9A" w:rsidP="00DD6E9A">
            <w:pPr>
              <w:jc w:val="center"/>
              <w:rPr>
                <w:rFonts w:ascii="Book Antiqua" w:hAnsi="Book Antiqua" w:cs="Calibri"/>
                <w:b/>
                <w:bCs/>
                <w:color w:val="000000"/>
                <w:sz w:val="16"/>
                <w:szCs w:val="16"/>
                <w:lang w:eastAsia="es-CR"/>
              </w:rPr>
            </w:pPr>
            <w:r w:rsidRPr="00DD6E9A">
              <w:rPr>
                <w:rFonts w:ascii="Book Antiqua" w:hAnsi="Book Antiqua" w:cs="Calibri"/>
                <w:b/>
                <w:bCs/>
                <w:color w:val="000000"/>
                <w:sz w:val="16"/>
                <w:szCs w:val="16"/>
                <w:lang w:eastAsia="es-CR"/>
              </w:rPr>
              <w:t>86%</w:t>
            </w:r>
          </w:p>
        </w:tc>
        <w:tc>
          <w:tcPr>
            <w:tcW w:w="1014" w:type="dxa"/>
            <w:tcBorders>
              <w:top w:val="nil"/>
              <w:left w:val="nil"/>
              <w:bottom w:val="single" w:sz="4" w:space="0" w:color="auto"/>
              <w:right w:val="single" w:sz="4" w:space="0" w:color="auto"/>
            </w:tcBorders>
            <w:shd w:val="clear" w:color="000000" w:fill="FFFFFF"/>
            <w:noWrap/>
            <w:vAlign w:val="center"/>
            <w:hideMark/>
          </w:tcPr>
          <w:p w14:paraId="4A44E53C" w14:textId="77777777" w:rsidR="00DD6E9A" w:rsidRPr="00DD6E9A" w:rsidRDefault="00DD6E9A" w:rsidP="00DD6E9A">
            <w:pPr>
              <w:jc w:val="center"/>
              <w:rPr>
                <w:rFonts w:ascii="Book Antiqua" w:hAnsi="Book Antiqua" w:cs="Calibri"/>
                <w:b/>
                <w:bCs/>
                <w:color w:val="000000"/>
                <w:sz w:val="16"/>
                <w:szCs w:val="16"/>
                <w:lang w:eastAsia="es-CR"/>
              </w:rPr>
            </w:pPr>
            <w:r w:rsidRPr="00DD6E9A">
              <w:rPr>
                <w:rFonts w:ascii="Book Antiqua" w:hAnsi="Book Antiqua" w:cs="Calibri"/>
                <w:b/>
                <w:bCs/>
                <w:color w:val="000000"/>
                <w:sz w:val="16"/>
                <w:szCs w:val="16"/>
                <w:lang w:eastAsia="es-CR"/>
              </w:rPr>
              <w:t>93%</w:t>
            </w:r>
          </w:p>
        </w:tc>
        <w:tc>
          <w:tcPr>
            <w:tcW w:w="1133" w:type="dxa"/>
            <w:tcBorders>
              <w:top w:val="nil"/>
              <w:left w:val="nil"/>
              <w:bottom w:val="single" w:sz="4" w:space="0" w:color="auto"/>
              <w:right w:val="single" w:sz="4" w:space="0" w:color="auto"/>
            </w:tcBorders>
            <w:shd w:val="clear" w:color="000000" w:fill="FFFFFF"/>
            <w:noWrap/>
            <w:vAlign w:val="center"/>
            <w:hideMark/>
          </w:tcPr>
          <w:p w14:paraId="501B130D" w14:textId="77777777" w:rsidR="00DD6E9A" w:rsidRPr="00DD6E9A" w:rsidRDefault="00DD6E9A" w:rsidP="00DD6E9A">
            <w:pPr>
              <w:jc w:val="center"/>
              <w:rPr>
                <w:rFonts w:ascii="Book Antiqua" w:hAnsi="Book Antiqua" w:cs="Calibri"/>
                <w:b/>
                <w:bCs/>
                <w:color w:val="000000"/>
                <w:sz w:val="16"/>
                <w:szCs w:val="16"/>
                <w:lang w:eastAsia="es-CR"/>
              </w:rPr>
            </w:pPr>
            <w:r w:rsidRPr="00DD6E9A">
              <w:rPr>
                <w:rFonts w:ascii="Book Antiqua" w:hAnsi="Book Antiqua" w:cs="Calibri"/>
                <w:b/>
                <w:bCs/>
                <w:color w:val="000000"/>
                <w:sz w:val="16"/>
                <w:szCs w:val="16"/>
                <w:lang w:eastAsia="es-CR"/>
              </w:rPr>
              <w:t>157%</w:t>
            </w:r>
          </w:p>
        </w:tc>
        <w:tc>
          <w:tcPr>
            <w:tcW w:w="1133" w:type="dxa"/>
            <w:tcBorders>
              <w:top w:val="nil"/>
              <w:left w:val="nil"/>
              <w:bottom w:val="single" w:sz="4" w:space="0" w:color="auto"/>
              <w:right w:val="single" w:sz="4" w:space="0" w:color="auto"/>
            </w:tcBorders>
            <w:shd w:val="clear" w:color="000000" w:fill="FFFFFF"/>
            <w:noWrap/>
            <w:vAlign w:val="center"/>
            <w:hideMark/>
          </w:tcPr>
          <w:p w14:paraId="39B6B4E9" w14:textId="77777777" w:rsidR="00DD6E9A" w:rsidRPr="00DD6E9A" w:rsidRDefault="00DD6E9A" w:rsidP="00DD6E9A">
            <w:pPr>
              <w:jc w:val="center"/>
              <w:rPr>
                <w:rFonts w:ascii="Book Antiqua" w:hAnsi="Book Antiqua" w:cs="Calibri"/>
                <w:b/>
                <w:bCs/>
                <w:color w:val="000000"/>
                <w:sz w:val="16"/>
                <w:szCs w:val="16"/>
                <w:lang w:eastAsia="es-CR"/>
              </w:rPr>
            </w:pPr>
            <w:r w:rsidRPr="00DD6E9A">
              <w:rPr>
                <w:rFonts w:ascii="Book Antiqua" w:hAnsi="Book Antiqua" w:cs="Calibri"/>
                <w:b/>
                <w:bCs/>
                <w:color w:val="000000"/>
                <w:sz w:val="16"/>
                <w:szCs w:val="16"/>
                <w:lang w:eastAsia="es-CR"/>
              </w:rPr>
              <w:t>95%</w:t>
            </w:r>
          </w:p>
        </w:tc>
        <w:tc>
          <w:tcPr>
            <w:tcW w:w="1014" w:type="dxa"/>
            <w:tcBorders>
              <w:top w:val="nil"/>
              <w:left w:val="nil"/>
              <w:bottom w:val="single" w:sz="4" w:space="0" w:color="auto"/>
              <w:right w:val="single" w:sz="4" w:space="0" w:color="auto"/>
            </w:tcBorders>
            <w:shd w:val="clear" w:color="000000" w:fill="FFFFFF"/>
            <w:noWrap/>
            <w:vAlign w:val="center"/>
            <w:hideMark/>
          </w:tcPr>
          <w:p w14:paraId="31472AA8" w14:textId="77777777" w:rsidR="00DD6E9A" w:rsidRPr="00DD6E9A" w:rsidRDefault="00DD6E9A" w:rsidP="00DD6E9A">
            <w:pPr>
              <w:jc w:val="center"/>
              <w:rPr>
                <w:rFonts w:ascii="Book Antiqua" w:hAnsi="Book Antiqua" w:cs="Calibri"/>
                <w:b/>
                <w:bCs/>
                <w:color w:val="000000"/>
                <w:sz w:val="16"/>
                <w:szCs w:val="16"/>
                <w:lang w:eastAsia="es-CR"/>
              </w:rPr>
            </w:pPr>
            <w:r w:rsidRPr="00DD6E9A">
              <w:rPr>
                <w:rFonts w:ascii="Book Antiqua" w:hAnsi="Book Antiqua" w:cs="Calibri"/>
                <w:b/>
                <w:bCs/>
                <w:color w:val="000000"/>
                <w:sz w:val="16"/>
                <w:szCs w:val="16"/>
                <w:lang w:eastAsia="es-CR"/>
              </w:rPr>
              <w:t>95%</w:t>
            </w:r>
          </w:p>
        </w:tc>
      </w:tr>
    </w:tbl>
    <w:p w14:paraId="7BA1F2BA" w14:textId="4A9D6D33" w:rsidR="00791A61" w:rsidRPr="00DD6E9A" w:rsidRDefault="00776798" w:rsidP="00DD6E9A">
      <w:pPr>
        <w:spacing w:line="276" w:lineRule="auto"/>
        <w:jc w:val="both"/>
        <w:rPr>
          <w:rFonts w:ascii="Book Antiqua" w:hAnsi="Book Antiqua"/>
          <w:b/>
          <w:bCs/>
          <w:color w:val="000000" w:themeColor="text1"/>
          <w:sz w:val="20"/>
          <w:szCs w:val="20"/>
        </w:rPr>
      </w:pPr>
      <w:r w:rsidRPr="004F0E92">
        <w:rPr>
          <w:rFonts w:ascii="Book Antiqua" w:hAnsi="Book Antiqua"/>
          <w:b/>
          <w:bCs/>
          <w:color w:val="000000" w:themeColor="text1"/>
          <w:sz w:val="20"/>
          <w:szCs w:val="20"/>
        </w:rPr>
        <w:t xml:space="preserve">Fuente: </w:t>
      </w:r>
      <w:r w:rsidRPr="004F0E92">
        <w:rPr>
          <w:rFonts w:ascii="Book Antiqua" w:hAnsi="Book Antiqua"/>
          <w:color w:val="000000" w:themeColor="text1"/>
          <w:sz w:val="20"/>
          <w:szCs w:val="20"/>
        </w:rPr>
        <w:t xml:space="preserve">Elaboración propia a partir de datos suministrados </w:t>
      </w:r>
      <w:r w:rsidR="00582659">
        <w:rPr>
          <w:rFonts w:ascii="Book Antiqua" w:hAnsi="Book Antiqua"/>
          <w:color w:val="000000" w:themeColor="text1"/>
          <w:sz w:val="20"/>
          <w:szCs w:val="20"/>
        </w:rPr>
        <w:t>en los informes one drive y matriz de indicadores</w:t>
      </w:r>
    </w:p>
    <w:p w14:paraId="3B2214EA" w14:textId="03B6C195" w:rsidR="00791A61" w:rsidRDefault="00791A61" w:rsidP="00985591">
      <w:pPr>
        <w:spacing w:line="276" w:lineRule="auto"/>
        <w:ind w:firstLine="708"/>
        <w:jc w:val="both"/>
        <w:rPr>
          <w:rFonts w:ascii="Book Antiqua" w:hAnsi="Book Antiqua"/>
          <w:color w:val="000000" w:themeColor="text1"/>
          <w:sz w:val="20"/>
          <w:szCs w:val="20"/>
        </w:rPr>
      </w:pPr>
    </w:p>
    <w:p w14:paraId="152D1CAA" w14:textId="77777777" w:rsidR="00B03152" w:rsidRPr="004F0E92" w:rsidRDefault="00B03152" w:rsidP="00985591">
      <w:pPr>
        <w:spacing w:line="276" w:lineRule="auto"/>
        <w:ind w:firstLine="708"/>
        <w:jc w:val="both"/>
        <w:rPr>
          <w:rFonts w:ascii="Book Antiqua" w:hAnsi="Book Antiqua"/>
          <w:color w:val="000000" w:themeColor="text1"/>
          <w:sz w:val="20"/>
          <w:szCs w:val="20"/>
        </w:rPr>
      </w:pPr>
    </w:p>
    <w:p w14:paraId="1E0DC456" w14:textId="3AD448C9" w:rsidR="00776798" w:rsidRPr="00B3781C" w:rsidRDefault="7810F4DB" w:rsidP="57A79FF7">
      <w:pPr>
        <w:spacing w:line="276" w:lineRule="auto"/>
        <w:jc w:val="both"/>
        <w:outlineLvl w:val="1"/>
        <w:rPr>
          <w:b/>
          <w:color w:val="000000" w:themeColor="text1"/>
        </w:rPr>
      </w:pPr>
      <w:r w:rsidRPr="57A79FF7">
        <w:rPr>
          <w:rFonts w:ascii="Book Antiqua" w:hAnsi="Book Antiqua"/>
          <w:b/>
          <w:bCs/>
          <w:color w:val="000000" w:themeColor="text1"/>
        </w:rPr>
        <w:t xml:space="preserve">4.4 </w:t>
      </w:r>
      <w:r w:rsidR="00776798" w:rsidRPr="00B3781C">
        <w:rPr>
          <w:rFonts w:ascii="Book Antiqua" w:hAnsi="Book Antiqua"/>
          <w:b/>
          <w:bCs/>
          <w:color w:val="000000" w:themeColor="text1"/>
        </w:rPr>
        <w:t>Justicia Restaurativa</w:t>
      </w:r>
    </w:p>
    <w:p w14:paraId="1131CACC" w14:textId="77777777" w:rsidR="00776798" w:rsidRPr="0012174C" w:rsidRDefault="00776798" w:rsidP="00985591">
      <w:pPr>
        <w:spacing w:line="276" w:lineRule="auto"/>
        <w:ind w:left="360"/>
        <w:jc w:val="both"/>
        <w:rPr>
          <w:rFonts w:ascii="Book Antiqua" w:hAnsi="Book Antiqua"/>
          <w:color w:val="000000" w:themeColor="text1"/>
          <w:highlight w:val="yellow"/>
        </w:rPr>
      </w:pPr>
    </w:p>
    <w:p w14:paraId="3E3DA663" w14:textId="1006C514" w:rsidR="00776798" w:rsidRPr="00BE1897" w:rsidRDefault="005F1177" w:rsidP="00985591">
      <w:pPr>
        <w:spacing w:line="276" w:lineRule="auto"/>
        <w:jc w:val="both"/>
        <w:rPr>
          <w:rFonts w:ascii="Book Antiqua" w:hAnsi="Book Antiqua"/>
        </w:rPr>
      </w:pPr>
      <w:r w:rsidRPr="00BE1897">
        <w:rPr>
          <w:rFonts w:ascii="Book Antiqua" w:hAnsi="Book Antiqua"/>
        </w:rPr>
        <w:t xml:space="preserve">A continuación, </w:t>
      </w:r>
      <w:r w:rsidR="00776798" w:rsidRPr="00BE1897">
        <w:rPr>
          <w:rFonts w:ascii="Book Antiqua" w:hAnsi="Book Antiqua"/>
        </w:rPr>
        <w:t xml:space="preserve">se transcribe el informe remitido por la </w:t>
      </w:r>
      <w:r w:rsidR="00F8285F" w:rsidRPr="00BE1897">
        <w:rPr>
          <w:rFonts w:ascii="Book Antiqua" w:hAnsi="Book Antiqua"/>
        </w:rPr>
        <w:t>Oficina de</w:t>
      </w:r>
      <w:r w:rsidR="00776798" w:rsidRPr="00BE1897">
        <w:rPr>
          <w:rFonts w:ascii="Book Antiqua" w:hAnsi="Book Antiqua"/>
        </w:rPr>
        <w:t xml:space="preserve"> Justicia Restaurativa, mediante correo electrónico de fecha </w:t>
      </w:r>
      <w:r w:rsidR="00B3781C" w:rsidRPr="00BE1897">
        <w:rPr>
          <w:rFonts w:ascii="Book Antiqua" w:hAnsi="Book Antiqua"/>
        </w:rPr>
        <w:t>1</w:t>
      </w:r>
      <w:r w:rsidR="00171196" w:rsidRPr="00BE1897">
        <w:rPr>
          <w:rFonts w:ascii="Book Antiqua" w:hAnsi="Book Antiqua"/>
        </w:rPr>
        <w:t>7</w:t>
      </w:r>
      <w:r w:rsidR="00776798" w:rsidRPr="00BE1897">
        <w:rPr>
          <w:rFonts w:ascii="Book Antiqua" w:hAnsi="Book Antiqua"/>
        </w:rPr>
        <w:t>-</w:t>
      </w:r>
      <w:r w:rsidR="00B3781C" w:rsidRPr="00BE1897">
        <w:rPr>
          <w:rFonts w:ascii="Book Antiqua" w:hAnsi="Book Antiqua"/>
        </w:rPr>
        <w:t>09</w:t>
      </w:r>
      <w:r w:rsidR="00776798" w:rsidRPr="00BE1897">
        <w:rPr>
          <w:rFonts w:ascii="Book Antiqua" w:hAnsi="Book Antiqua"/>
        </w:rPr>
        <w:t>-202</w:t>
      </w:r>
      <w:r w:rsidR="00171196" w:rsidRPr="00BE1897">
        <w:rPr>
          <w:rFonts w:ascii="Book Antiqua" w:hAnsi="Book Antiqua"/>
        </w:rPr>
        <w:t>1</w:t>
      </w:r>
      <w:r w:rsidR="00776798" w:rsidRPr="00BE1897">
        <w:rPr>
          <w:rFonts w:ascii="Book Antiqua" w:hAnsi="Book Antiqua"/>
        </w:rPr>
        <w:t>.</w:t>
      </w:r>
    </w:p>
    <w:p w14:paraId="5E24F93B" w14:textId="77777777" w:rsidR="00776798" w:rsidRPr="00BE1897" w:rsidRDefault="00776798" w:rsidP="00985591">
      <w:pPr>
        <w:spacing w:line="276" w:lineRule="auto"/>
        <w:ind w:left="360"/>
        <w:jc w:val="both"/>
        <w:rPr>
          <w:rFonts w:ascii="Book Antiqua" w:hAnsi="Book Antiqua"/>
        </w:rPr>
      </w:pPr>
    </w:p>
    <w:p w14:paraId="2C2BAE49" w14:textId="0F1B2431" w:rsidR="00776798" w:rsidRPr="00BE1897" w:rsidRDefault="00171196" w:rsidP="00985591">
      <w:pPr>
        <w:spacing w:line="276" w:lineRule="auto"/>
        <w:jc w:val="both"/>
        <w:rPr>
          <w:rFonts w:ascii="Book Antiqua" w:hAnsi="Book Antiqua"/>
        </w:rPr>
      </w:pPr>
      <w:r w:rsidRPr="00BE1897">
        <w:rPr>
          <w:rFonts w:ascii="Book Antiqua" w:hAnsi="Book Antiqua"/>
        </w:rPr>
        <w:t xml:space="preserve">Esta información obtenida de los informes de </w:t>
      </w:r>
      <w:r w:rsidR="00B3781C" w:rsidRPr="00BE1897">
        <w:rPr>
          <w:rFonts w:ascii="Book Antiqua" w:hAnsi="Book Antiqua"/>
        </w:rPr>
        <w:t>mayo de</w:t>
      </w:r>
      <w:r w:rsidRPr="00BE1897">
        <w:rPr>
          <w:rFonts w:ascii="Book Antiqua" w:hAnsi="Book Antiqua"/>
        </w:rPr>
        <w:t xml:space="preserve"> 2021, remitida por los equipos interdisciplinarios, </w:t>
      </w:r>
      <w:r w:rsidR="005F1177" w:rsidRPr="00BE1897">
        <w:rPr>
          <w:rFonts w:ascii="Book Antiqua" w:hAnsi="Book Antiqua"/>
        </w:rPr>
        <w:t xml:space="preserve">es </w:t>
      </w:r>
      <w:r w:rsidR="00F8285F" w:rsidRPr="00BE1897">
        <w:rPr>
          <w:rFonts w:ascii="Book Antiqua" w:hAnsi="Book Antiqua"/>
        </w:rPr>
        <w:t>una versión</w:t>
      </w:r>
      <w:r w:rsidRPr="00BE1897">
        <w:rPr>
          <w:rFonts w:ascii="Book Antiqua" w:hAnsi="Book Antiqua"/>
        </w:rPr>
        <w:t xml:space="preserve"> preliminar, ya que se encuentra en</w:t>
      </w:r>
      <w:r w:rsidR="005F1177" w:rsidRPr="00BE1897">
        <w:rPr>
          <w:rFonts w:ascii="Book Antiqua" w:hAnsi="Book Antiqua"/>
        </w:rPr>
        <w:t xml:space="preserve"> proceso de</w:t>
      </w:r>
      <w:r w:rsidRPr="00BE1897">
        <w:rPr>
          <w:rFonts w:ascii="Book Antiqua" w:hAnsi="Book Antiqua"/>
        </w:rPr>
        <w:t xml:space="preserve"> validación por parte del </w:t>
      </w:r>
      <w:r w:rsidR="005F1177" w:rsidRPr="00BE1897">
        <w:rPr>
          <w:rFonts w:ascii="Book Antiqua" w:hAnsi="Book Antiqua"/>
        </w:rPr>
        <w:t xml:space="preserve">equipo </w:t>
      </w:r>
      <w:r w:rsidRPr="00BE1897">
        <w:rPr>
          <w:rFonts w:ascii="Book Antiqua" w:hAnsi="Book Antiqua"/>
        </w:rPr>
        <w:t>profesional a cargo de</w:t>
      </w:r>
      <w:r w:rsidR="005F1177" w:rsidRPr="00BE1897">
        <w:rPr>
          <w:rFonts w:ascii="Book Antiqua" w:hAnsi="Book Antiqua"/>
        </w:rPr>
        <w:t>l Subproceso de</w:t>
      </w:r>
      <w:r w:rsidRPr="00BE1897">
        <w:rPr>
          <w:rFonts w:ascii="Book Antiqua" w:hAnsi="Book Antiqua"/>
        </w:rPr>
        <w:t xml:space="preserve"> Estadística de la Dirección de Planificación</w:t>
      </w:r>
      <w:r w:rsidR="008C7C95">
        <w:rPr>
          <w:rFonts w:ascii="Book Antiqua" w:hAnsi="Book Antiqua"/>
        </w:rPr>
        <w:t>.</w:t>
      </w:r>
    </w:p>
    <w:p w14:paraId="41000395" w14:textId="77777777" w:rsidR="00171196" w:rsidRPr="00BE1897" w:rsidRDefault="00171196" w:rsidP="00985591">
      <w:pPr>
        <w:spacing w:line="276" w:lineRule="auto"/>
        <w:jc w:val="both"/>
        <w:rPr>
          <w:rFonts w:ascii="Book Antiqua" w:hAnsi="Book Antiqua"/>
        </w:rPr>
      </w:pPr>
    </w:p>
    <w:p w14:paraId="22CA0442" w14:textId="4AB3131C" w:rsidR="00776798" w:rsidRPr="00BE1897" w:rsidRDefault="00776798" w:rsidP="00985591">
      <w:pPr>
        <w:spacing w:line="276" w:lineRule="auto"/>
        <w:jc w:val="both"/>
        <w:rPr>
          <w:rFonts w:ascii="Book Antiqua" w:hAnsi="Book Antiqua"/>
        </w:rPr>
      </w:pPr>
      <w:r w:rsidRPr="00BE1897">
        <w:rPr>
          <w:rFonts w:ascii="Book Antiqua" w:hAnsi="Book Antiqua"/>
        </w:rPr>
        <w:t xml:space="preserve">A continuación, los datos relevantes </w:t>
      </w:r>
      <w:r w:rsidR="00BE1897" w:rsidRPr="00BE1897">
        <w:rPr>
          <w:rFonts w:ascii="Book Antiqua" w:hAnsi="Book Antiqua"/>
        </w:rPr>
        <w:t>del mes de mayo de</w:t>
      </w:r>
      <w:r w:rsidR="00171196" w:rsidRPr="00BE1897">
        <w:rPr>
          <w:rFonts w:ascii="Book Antiqua" w:hAnsi="Book Antiqua"/>
        </w:rPr>
        <w:t xml:space="preserve"> 2021</w:t>
      </w:r>
      <w:r w:rsidRPr="00BE1897">
        <w:rPr>
          <w:rFonts w:ascii="Book Antiqua" w:hAnsi="Book Antiqua"/>
        </w:rPr>
        <w:t xml:space="preserve">: </w:t>
      </w:r>
    </w:p>
    <w:p w14:paraId="430044BC" w14:textId="27A9C901" w:rsidR="00D73FCF" w:rsidRPr="0012174C" w:rsidRDefault="00D73FCF" w:rsidP="00985591">
      <w:pPr>
        <w:spacing w:line="276" w:lineRule="auto"/>
        <w:jc w:val="both"/>
        <w:rPr>
          <w:rFonts w:ascii="Book Antiqua" w:hAnsi="Book Antiqua"/>
          <w:highlight w:val="yellow"/>
        </w:rPr>
      </w:pPr>
    </w:p>
    <w:p w14:paraId="5E93596D" w14:textId="4B1F1906" w:rsidR="006B05BC" w:rsidRPr="00FD3D60" w:rsidRDefault="00F5323F" w:rsidP="00985591">
      <w:pPr>
        <w:spacing w:line="276" w:lineRule="auto"/>
        <w:jc w:val="both"/>
        <w:rPr>
          <w:rFonts w:ascii="Book Antiqua" w:hAnsi="Book Antiqua"/>
        </w:rPr>
      </w:pPr>
      <w:r w:rsidRPr="00BE1897">
        <w:rPr>
          <w:rFonts w:ascii="Book Antiqua" w:hAnsi="Book Antiqua"/>
        </w:rPr>
        <w:t xml:space="preserve">Durante </w:t>
      </w:r>
      <w:r w:rsidR="00BE1897" w:rsidRPr="00BE1897">
        <w:rPr>
          <w:rFonts w:ascii="Book Antiqua" w:hAnsi="Book Antiqua"/>
        </w:rPr>
        <w:t>mayo</w:t>
      </w:r>
      <w:r w:rsidR="00BD4B1F" w:rsidRPr="00BE1897">
        <w:rPr>
          <w:rFonts w:ascii="Book Antiqua" w:hAnsi="Book Antiqua"/>
        </w:rPr>
        <w:t xml:space="preserve"> 2021</w:t>
      </w:r>
      <w:r w:rsidRPr="00BE1897">
        <w:rPr>
          <w:rFonts w:ascii="Book Antiqua" w:hAnsi="Book Antiqua"/>
        </w:rPr>
        <w:t>, del total de reuniones restaurativas señaladas se logró un 8</w:t>
      </w:r>
      <w:r w:rsidR="00BE1897" w:rsidRPr="00BE1897">
        <w:rPr>
          <w:rFonts w:ascii="Book Antiqua" w:hAnsi="Book Antiqua"/>
        </w:rPr>
        <w:t>5</w:t>
      </w:r>
      <w:r w:rsidR="00DA0FA2">
        <w:rPr>
          <w:rFonts w:ascii="Book Antiqua" w:hAnsi="Book Antiqua"/>
        </w:rPr>
        <w:t>.</w:t>
      </w:r>
      <w:r w:rsidR="00797DDC">
        <w:rPr>
          <w:rFonts w:ascii="Book Antiqua" w:hAnsi="Book Antiqua"/>
        </w:rPr>
        <w:t>23</w:t>
      </w:r>
      <w:r w:rsidRPr="00BE1897">
        <w:rPr>
          <w:rFonts w:ascii="Book Antiqua" w:hAnsi="Book Antiqua"/>
        </w:rPr>
        <w:t xml:space="preserve">% de efectividad en audiencias realizadas, siendo que de </w:t>
      </w:r>
      <w:r w:rsidR="00797DDC" w:rsidRPr="00BE1897">
        <w:rPr>
          <w:rFonts w:ascii="Book Antiqua" w:hAnsi="Book Antiqua"/>
        </w:rPr>
        <w:t xml:space="preserve">ese </w:t>
      </w:r>
      <w:r w:rsidR="00797DDC">
        <w:rPr>
          <w:rFonts w:ascii="Book Antiqua" w:hAnsi="Book Antiqua"/>
        </w:rPr>
        <w:t>85</w:t>
      </w:r>
      <w:r w:rsidR="00DA0FA2">
        <w:rPr>
          <w:rFonts w:ascii="Book Antiqua" w:hAnsi="Book Antiqua"/>
        </w:rPr>
        <w:t>.</w:t>
      </w:r>
      <w:r w:rsidR="00797DDC">
        <w:rPr>
          <w:rFonts w:ascii="Book Antiqua" w:hAnsi="Book Antiqua"/>
        </w:rPr>
        <w:t>23</w:t>
      </w:r>
      <w:r w:rsidRPr="00BE1897">
        <w:rPr>
          <w:rFonts w:ascii="Book Antiqua" w:hAnsi="Book Antiqua"/>
        </w:rPr>
        <w:t>% de audiencias realizadas el 9</w:t>
      </w:r>
      <w:r w:rsidR="00BE1897" w:rsidRPr="00BE1897">
        <w:rPr>
          <w:rFonts w:ascii="Book Antiqua" w:hAnsi="Book Antiqua"/>
        </w:rPr>
        <w:t>7</w:t>
      </w:r>
      <w:r w:rsidR="00DA0FA2">
        <w:rPr>
          <w:rFonts w:ascii="Book Antiqua" w:hAnsi="Book Antiqua"/>
        </w:rPr>
        <w:t>.</w:t>
      </w:r>
      <w:r w:rsidR="00797DDC">
        <w:rPr>
          <w:rFonts w:ascii="Book Antiqua" w:hAnsi="Book Antiqua"/>
        </w:rPr>
        <w:t>33</w:t>
      </w:r>
      <w:r w:rsidRPr="00BE1897">
        <w:rPr>
          <w:rFonts w:ascii="Book Antiqua" w:hAnsi="Book Antiqua"/>
        </w:rPr>
        <w:t>% tuvieron un acuerdo</w:t>
      </w:r>
      <w:r w:rsidR="00807B36">
        <w:rPr>
          <w:rFonts w:ascii="Book Antiqua" w:hAnsi="Book Antiqua"/>
        </w:rPr>
        <w:t xml:space="preserve"> y apenas un</w:t>
      </w:r>
      <w:r w:rsidR="00797DDC">
        <w:rPr>
          <w:rFonts w:ascii="Book Antiqua" w:hAnsi="Book Antiqua"/>
        </w:rPr>
        <w:t xml:space="preserve"> 2</w:t>
      </w:r>
      <w:r w:rsidR="00DA0FA2">
        <w:rPr>
          <w:rFonts w:ascii="Book Antiqua" w:hAnsi="Book Antiqua"/>
        </w:rPr>
        <w:t>.</w:t>
      </w:r>
      <w:r w:rsidR="00797DDC">
        <w:rPr>
          <w:rFonts w:ascii="Book Antiqua" w:hAnsi="Book Antiqua"/>
        </w:rPr>
        <w:t>67</w:t>
      </w:r>
      <w:r w:rsidR="00807B36">
        <w:rPr>
          <w:rFonts w:ascii="Book Antiqua" w:hAnsi="Book Antiqua"/>
        </w:rPr>
        <w:t>% no hubo acuerdos</w:t>
      </w:r>
      <w:r w:rsidRPr="00BE1897">
        <w:rPr>
          <w:rFonts w:ascii="Book Antiqua" w:hAnsi="Book Antiqua"/>
        </w:rPr>
        <w:t xml:space="preserve">.  </w:t>
      </w:r>
      <w:r w:rsidR="00797DDC">
        <w:rPr>
          <w:rFonts w:ascii="Book Antiqua" w:hAnsi="Book Antiqua"/>
        </w:rPr>
        <w:t>E</w:t>
      </w:r>
      <w:r w:rsidR="00797DDC" w:rsidRPr="00797DDC">
        <w:rPr>
          <w:rFonts w:ascii="Book Antiqua" w:hAnsi="Book Antiqua"/>
        </w:rPr>
        <w:t xml:space="preserve">l porcentaje de las no realizadas fue de un </w:t>
      </w:r>
      <w:r w:rsidR="00797DDC">
        <w:rPr>
          <w:rFonts w:ascii="Book Antiqua" w:hAnsi="Book Antiqua"/>
        </w:rPr>
        <w:t>14</w:t>
      </w:r>
      <w:r w:rsidR="00DA0FA2">
        <w:rPr>
          <w:rFonts w:ascii="Book Antiqua" w:hAnsi="Book Antiqua"/>
        </w:rPr>
        <w:t>.</w:t>
      </w:r>
      <w:r w:rsidR="00797DDC">
        <w:rPr>
          <w:rFonts w:ascii="Book Antiqua" w:hAnsi="Book Antiqua"/>
        </w:rPr>
        <w:t>77</w:t>
      </w:r>
      <w:r w:rsidR="00797DDC" w:rsidRPr="00797DDC">
        <w:rPr>
          <w:rFonts w:ascii="Book Antiqua" w:hAnsi="Book Antiqua"/>
        </w:rPr>
        <w:t xml:space="preserve">%. </w:t>
      </w:r>
      <w:r w:rsidR="00DA0FA2" w:rsidRPr="00DA0FA2">
        <w:rPr>
          <w:rFonts w:ascii="Book Antiqua" w:hAnsi="Book Antiqua"/>
        </w:rPr>
        <w:t xml:space="preserve">En relación con las audiencias de verificación señaladas (en total </w:t>
      </w:r>
      <w:r w:rsidR="00DA0FA2">
        <w:rPr>
          <w:rFonts w:ascii="Book Antiqua" w:hAnsi="Book Antiqua"/>
        </w:rPr>
        <w:t>38</w:t>
      </w:r>
      <w:r w:rsidR="00DA0FA2" w:rsidRPr="00DA0FA2">
        <w:rPr>
          <w:rFonts w:ascii="Book Antiqua" w:hAnsi="Book Antiqua"/>
        </w:rPr>
        <w:t xml:space="preserve">), el mantener las medidas alternas, representó de ese rubro el </w:t>
      </w:r>
      <w:r w:rsidR="00DA0FA2">
        <w:rPr>
          <w:rFonts w:ascii="Book Antiqua" w:hAnsi="Book Antiqua"/>
        </w:rPr>
        <w:t>47.37</w:t>
      </w:r>
      <w:r w:rsidR="00DA0FA2" w:rsidRPr="00DA0FA2">
        <w:rPr>
          <w:rFonts w:ascii="Book Antiqua" w:hAnsi="Book Antiqua"/>
        </w:rPr>
        <w:t xml:space="preserve">%, la modificación de la medida un </w:t>
      </w:r>
      <w:r w:rsidR="00DA0FA2">
        <w:rPr>
          <w:rFonts w:ascii="Book Antiqua" w:hAnsi="Book Antiqua"/>
        </w:rPr>
        <w:t>34.21</w:t>
      </w:r>
      <w:r w:rsidR="00DA0FA2" w:rsidRPr="00DA0FA2">
        <w:rPr>
          <w:rFonts w:ascii="Book Antiqua" w:hAnsi="Book Antiqua"/>
        </w:rPr>
        <w:t xml:space="preserve">%, revocar la medida alterna un </w:t>
      </w:r>
      <w:r w:rsidR="00DA0FA2" w:rsidRPr="00FD3D60">
        <w:rPr>
          <w:rFonts w:ascii="Book Antiqua" w:hAnsi="Book Antiqua"/>
        </w:rPr>
        <w:t>15.79% y finalmente la homologa indemnización segur</w:t>
      </w:r>
      <w:r w:rsidR="00FD3D60">
        <w:rPr>
          <w:rFonts w:ascii="Book Antiqua" w:hAnsi="Book Antiqua"/>
        </w:rPr>
        <w:t>o</w:t>
      </w:r>
      <w:r w:rsidR="00DA0FA2" w:rsidRPr="00FD3D60">
        <w:rPr>
          <w:rFonts w:ascii="Book Antiqua" w:hAnsi="Book Antiqua"/>
        </w:rPr>
        <w:t xml:space="preserve"> apenas un 2.63%.  </w:t>
      </w:r>
    </w:p>
    <w:p w14:paraId="2B5AC23F" w14:textId="77777777" w:rsidR="006B05BC" w:rsidRPr="00FD3D60" w:rsidRDefault="006B05BC" w:rsidP="00985591">
      <w:pPr>
        <w:spacing w:line="276" w:lineRule="auto"/>
        <w:jc w:val="both"/>
        <w:rPr>
          <w:rFonts w:ascii="Book Antiqua" w:hAnsi="Book Antiqua"/>
        </w:rPr>
      </w:pPr>
    </w:p>
    <w:p w14:paraId="3790F970" w14:textId="4F54422E" w:rsidR="00F5323F" w:rsidRPr="004F0E92" w:rsidRDefault="00BD4B1F" w:rsidP="00985591">
      <w:pPr>
        <w:spacing w:line="276" w:lineRule="auto"/>
        <w:jc w:val="both"/>
        <w:rPr>
          <w:rFonts w:ascii="Book Antiqua" w:hAnsi="Book Antiqua"/>
        </w:rPr>
      </w:pPr>
      <w:r w:rsidRPr="00FD3D60">
        <w:rPr>
          <w:rFonts w:ascii="Book Antiqua" w:hAnsi="Book Antiqua"/>
        </w:rPr>
        <w:t xml:space="preserve">El detalle de la información se aprecia seguidamente en </w:t>
      </w:r>
      <w:r w:rsidR="000D59A4" w:rsidRPr="00FD3D60">
        <w:rPr>
          <w:rFonts w:ascii="Book Antiqua" w:hAnsi="Book Antiqua"/>
        </w:rPr>
        <w:t xml:space="preserve">el </w:t>
      </w:r>
      <w:r w:rsidR="00BF22A7" w:rsidRPr="00BF22A7">
        <w:rPr>
          <w:rFonts w:ascii="Book Antiqua" w:hAnsi="Book Antiqua"/>
          <w:b/>
          <w:bCs/>
        </w:rPr>
        <w:t>Cuadro 4</w:t>
      </w:r>
      <w:r w:rsidR="00B03152">
        <w:rPr>
          <w:rFonts w:ascii="Book Antiqua" w:hAnsi="Book Antiqua"/>
          <w:b/>
          <w:bCs/>
        </w:rPr>
        <w:t>1</w:t>
      </w:r>
      <w:r w:rsidRPr="00FD3D60">
        <w:rPr>
          <w:rFonts w:ascii="Book Antiqua" w:hAnsi="Book Antiqua"/>
        </w:rPr>
        <w:t>:</w:t>
      </w:r>
    </w:p>
    <w:p w14:paraId="125A87C2" w14:textId="77777777" w:rsidR="00FD3D60" w:rsidRPr="00FD3D60" w:rsidRDefault="00FD3D60" w:rsidP="00985591">
      <w:pPr>
        <w:spacing w:line="276" w:lineRule="auto"/>
        <w:jc w:val="both"/>
        <w:rPr>
          <w:rFonts w:ascii="Book Antiqua" w:hAnsi="Book Antiqua"/>
        </w:rPr>
      </w:pPr>
    </w:p>
    <w:p w14:paraId="2E144E35" w14:textId="16CFD536" w:rsidR="00B05B2F" w:rsidRPr="00FD3D60" w:rsidRDefault="00B05B2F" w:rsidP="00985591">
      <w:pPr>
        <w:spacing w:line="276" w:lineRule="auto"/>
        <w:jc w:val="center"/>
        <w:rPr>
          <w:rFonts w:ascii="Book Antiqua" w:hAnsi="Book Antiqua"/>
          <w:b/>
          <w:bCs/>
        </w:rPr>
      </w:pPr>
      <w:r w:rsidRPr="00FD3D60">
        <w:rPr>
          <w:rFonts w:ascii="Book Antiqua" w:hAnsi="Book Antiqua"/>
          <w:b/>
          <w:bCs/>
        </w:rPr>
        <w:t xml:space="preserve">Cuadro </w:t>
      </w:r>
      <w:r w:rsidR="00FD3D60" w:rsidRPr="00FD3D60">
        <w:rPr>
          <w:rFonts w:ascii="Book Antiqua" w:hAnsi="Book Antiqua"/>
          <w:b/>
          <w:bCs/>
        </w:rPr>
        <w:t>4</w:t>
      </w:r>
      <w:r w:rsidR="00B03152">
        <w:rPr>
          <w:rFonts w:ascii="Book Antiqua" w:hAnsi="Book Antiqua"/>
          <w:b/>
          <w:bCs/>
        </w:rPr>
        <w:t>1</w:t>
      </w:r>
    </w:p>
    <w:p w14:paraId="220A1611" w14:textId="234B1B57" w:rsidR="005F1177" w:rsidRPr="00FD3D60" w:rsidRDefault="00176631" w:rsidP="00985591">
      <w:pPr>
        <w:spacing w:line="276" w:lineRule="auto"/>
        <w:jc w:val="center"/>
        <w:rPr>
          <w:rFonts w:ascii="Book Antiqua" w:hAnsi="Book Antiqua" w:cs="Arial"/>
        </w:rPr>
      </w:pPr>
      <w:r>
        <w:rPr>
          <w:rFonts w:ascii="Book Antiqua" w:hAnsi="Book Antiqua" w:cs="Arial"/>
        </w:rPr>
        <w:t>E</w:t>
      </w:r>
      <w:r w:rsidR="005F1177" w:rsidRPr="00FD3D60">
        <w:rPr>
          <w:rFonts w:ascii="Book Antiqua" w:hAnsi="Book Antiqua" w:cs="Arial"/>
        </w:rPr>
        <w:t xml:space="preserve">stadísticas Justicia Penal Restaurativa </w:t>
      </w:r>
    </w:p>
    <w:p w14:paraId="7C5D6876" w14:textId="7EB16DAF" w:rsidR="00BD4B1F" w:rsidRPr="00B03152" w:rsidRDefault="00FD3D60" w:rsidP="00B03152">
      <w:pPr>
        <w:spacing w:line="276" w:lineRule="auto"/>
        <w:jc w:val="center"/>
        <w:rPr>
          <w:rFonts w:ascii="Book Antiqua" w:hAnsi="Book Antiqua" w:cs="Arial"/>
        </w:rPr>
      </w:pPr>
      <w:r w:rsidRPr="00FD3D60">
        <w:rPr>
          <w:rFonts w:ascii="Book Antiqua" w:hAnsi="Book Antiqua" w:cs="Arial"/>
        </w:rPr>
        <w:t>durante</w:t>
      </w:r>
      <w:r w:rsidR="00BD4B1F" w:rsidRPr="00FD3D60">
        <w:rPr>
          <w:rFonts w:ascii="Book Antiqua" w:hAnsi="Book Antiqua" w:cs="Arial"/>
        </w:rPr>
        <w:t xml:space="preserve"> </w:t>
      </w:r>
      <w:r w:rsidR="001B49F1">
        <w:rPr>
          <w:rFonts w:ascii="Book Antiqua" w:hAnsi="Book Antiqua" w:cs="Arial"/>
        </w:rPr>
        <w:t>mayo</w:t>
      </w:r>
      <w:r w:rsidR="005F1177" w:rsidRPr="00FD3D60">
        <w:rPr>
          <w:rFonts w:ascii="Book Antiqua" w:hAnsi="Book Antiqua" w:cs="Arial"/>
        </w:rPr>
        <w:t xml:space="preserve"> 2021</w:t>
      </w:r>
    </w:p>
    <w:tbl>
      <w:tblPr>
        <w:tblW w:w="5509" w:type="dxa"/>
        <w:jc w:val="center"/>
        <w:tblCellMar>
          <w:left w:w="70" w:type="dxa"/>
          <w:right w:w="70" w:type="dxa"/>
        </w:tblCellMar>
        <w:tblLook w:val="04A0" w:firstRow="1" w:lastRow="0" w:firstColumn="1" w:lastColumn="0" w:noHBand="0" w:noVBand="1"/>
      </w:tblPr>
      <w:tblGrid>
        <w:gridCol w:w="4969"/>
        <w:gridCol w:w="540"/>
      </w:tblGrid>
      <w:tr w:rsidR="00FD3D60" w:rsidRPr="006A710F" w14:paraId="5DE7821D" w14:textId="77777777" w:rsidTr="006A710F">
        <w:trPr>
          <w:trHeight w:val="480"/>
          <w:jc w:val="center"/>
        </w:trPr>
        <w:tc>
          <w:tcPr>
            <w:tcW w:w="5509" w:type="dxa"/>
            <w:gridSpan w:val="2"/>
            <w:tcBorders>
              <w:top w:val="single" w:sz="4" w:space="0" w:color="000000"/>
              <w:left w:val="single" w:sz="4" w:space="0" w:color="000000"/>
              <w:bottom w:val="single" w:sz="4" w:space="0" w:color="000000"/>
              <w:right w:val="single" w:sz="4" w:space="0" w:color="000000"/>
            </w:tcBorders>
            <w:shd w:val="clear" w:color="000000" w:fill="305496"/>
            <w:noWrap/>
            <w:vAlign w:val="center"/>
            <w:hideMark/>
          </w:tcPr>
          <w:p w14:paraId="6EFF9441" w14:textId="77777777" w:rsidR="00FD3D60" w:rsidRPr="006A710F" w:rsidRDefault="00FD3D60" w:rsidP="00985591">
            <w:pPr>
              <w:spacing w:line="276" w:lineRule="auto"/>
              <w:jc w:val="center"/>
              <w:rPr>
                <w:rFonts w:ascii="Book Antiqua" w:hAnsi="Book Antiqua"/>
                <w:b/>
                <w:bCs/>
                <w:color w:val="FFFFFF"/>
                <w:sz w:val="16"/>
                <w:szCs w:val="16"/>
                <w:lang w:eastAsia="es-CR"/>
              </w:rPr>
            </w:pPr>
            <w:r w:rsidRPr="006A710F">
              <w:rPr>
                <w:rFonts w:ascii="Book Antiqua" w:hAnsi="Book Antiqua"/>
                <w:b/>
                <w:bCs/>
                <w:color w:val="FFFFFF"/>
                <w:sz w:val="16"/>
                <w:szCs w:val="16"/>
                <w:lang w:eastAsia="es-CR"/>
              </w:rPr>
              <w:t xml:space="preserve">Estadísticas Justicia Penal Restaurativa </w:t>
            </w:r>
          </w:p>
        </w:tc>
      </w:tr>
      <w:tr w:rsidR="00FD3D60" w:rsidRPr="006A710F" w14:paraId="247C4E68" w14:textId="77777777" w:rsidTr="006A710F">
        <w:trPr>
          <w:trHeight w:val="290"/>
          <w:jc w:val="center"/>
        </w:trPr>
        <w:tc>
          <w:tcPr>
            <w:tcW w:w="5509" w:type="dxa"/>
            <w:gridSpan w:val="2"/>
            <w:tcBorders>
              <w:top w:val="single" w:sz="4" w:space="0" w:color="000000"/>
              <w:left w:val="single" w:sz="4" w:space="0" w:color="000000"/>
              <w:bottom w:val="single" w:sz="4" w:space="0" w:color="000000"/>
              <w:right w:val="single" w:sz="4" w:space="0" w:color="000000"/>
            </w:tcBorders>
            <w:shd w:val="clear" w:color="000000" w:fill="305496"/>
            <w:noWrap/>
            <w:vAlign w:val="center"/>
            <w:hideMark/>
          </w:tcPr>
          <w:p w14:paraId="15778028" w14:textId="77777777" w:rsidR="00FD3D60" w:rsidRPr="006A710F" w:rsidRDefault="00FD3D60" w:rsidP="00985591">
            <w:pPr>
              <w:spacing w:line="276" w:lineRule="auto"/>
              <w:jc w:val="center"/>
              <w:rPr>
                <w:rFonts w:ascii="Book Antiqua" w:hAnsi="Book Antiqua"/>
                <w:b/>
                <w:bCs/>
                <w:color w:val="FFFFFF"/>
                <w:sz w:val="16"/>
                <w:szCs w:val="16"/>
                <w:lang w:eastAsia="es-CR"/>
              </w:rPr>
            </w:pPr>
            <w:r w:rsidRPr="006A710F">
              <w:rPr>
                <w:rFonts w:ascii="Book Antiqua" w:hAnsi="Book Antiqua"/>
                <w:b/>
                <w:bCs/>
                <w:color w:val="FFFFFF"/>
                <w:sz w:val="16"/>
                <w:szCs w:val="16"/>
                <w:lang w:eastAsia="es-CR"/>
              </w:rPr>
              <w:t>may-21</w:t>
            </w:r>
          </w:p>
        </w:tc>
      </w:tr>
      <w:tr w:rsidR="00FD3D60" w:rsidRPr="006A710F" w14:paraId="454C827D" w14:textId="77777777" w:rsidTr="006A710F">
        <w:trPr>
          <w:trHeight w:val="290"/>
          <w:jc w:val="center"/>
        </w:trPr>
        <w:tc>
          <w:tcPr>
            <w:tcW w:w="4969" w:type="dxa"/>
            <w:tcBorders>
              <w:top w:val="nil"/>
              <w:left w:val="single" w:sz="4" w:space="0" w:color="000000"/>
              <w:bottom w:val="single" w:sz="4" w:space="0" w:color="000000"/>
              <w:right w:val="single" w:sz="4" w:space="0" w:color="000000"/>
            </w:tcBorders>
            <w:shd w:val="clear" w:color="000000" w:fill="DDEBF7"/>
            <w:noWrap/>
            <w:vAlign w:val="center"/>
            <w:hideMark/>
          </w:tcPr>
          <w:p w14:paraId="4FD8B762" w14:textId="77777777" w:rsidR="00FD3D60" w:rsidRPr="006A710F" w:rsidRDefault="00FD3D60" w:rsidP="00985591">
            <w:pPr>
              <w:spacing w:line="276" w:lineRule="auto"/>
              <w:rPr>
                <w:rFonts w:ascii="Book Antiqua" w:hAnsi="Book Antiqua"/>
                <w:b/>
                <w:bCs/>
                <w:color w:val="000000"/>
                <w:sz w:val="16"/>
                <w:szCs w:val="16"/>
                <w:lang w:eastAsia="es-CR"/>
              </w:rPr>
            </w:pPr>
            <w:r w:rsidRPr="006A710F">
              <w:rPr>
                <w:rFonts w:ascii="Book Antiqua" w:hAnsi="Book Antiqua"/>
                <w:b/>
                <w:bCs/>
                <w:color w:val="000000"/>
                <w:sz w:val="16"/>
                <w:szCs w:val="16"/>
                <w:lang w:eastAsia="es-CR"/>
              </w:rPr>
              <w:t>Reuniones Restaurativas señaladas</w:t>
            </w:r>
          </w:p>
        </w:tc>
        <w:tc>
          <w:tcPr>
            <w:tcW w:w="540" w:type="dxa"/>
            <w:tcBorders>
              <w:top w:val="nil"/>
              <w:left w:val="nil"/>
              <w:bottom w:val="single" w:sz="4" w:space="0" w:color="000000"/>
              <w:right w:val="single" w:sz="4" w:space="0" w:color="000000"/>
            </w:tcBorders>
            <w:shd w:val="clear" w:color="000000" w:fill="DDEBF7"/>
            <w:noWrap/>
            <w:vAlign w:val="center"/>
            <w:hideMark/>
          </w:tcPr>
          <w:p w14:paraId="48000F01" w14:textId="77777777" w:rsidR="00FD3D60" w:rsidRPr="006A710F" w:rsidRDefault="00FD3D60" w:rsidP="00985591">
            <w:pPr>
              <w:spacing w:line="276" w:lineRule="auto"/>
              <w:jc w:val="center"/>
              <w:rPr>
                <w:rFonts w:ascii="Book Antiqua" w:hAnsi="Book Antiqua"/>
                <w:b/>
                <w:bCs/>
                <w:color w:val="000000"/>
                <w:sz w:val="16"/>
                <w:szCs w:val="16"/>
                <w:lang w:eastAsia="es-CR"/>
              </w:rPr>
            </w:pPr>
            <w:r w:rsidRPr="006A710F">
              <w:rPr>
                <w:rFonts w:ascii="Book Antiqua" w:hAnsi="Book Antiqua"/>
                <w:b/>
                <w:bCs/>
                <w:color w:val="000000"/>
                <w:sz w:val="16"/>
                <w:szCs w:val="16"/>
                <w:lang w:eastAsia="es-CR"/>
              </w:rPr>
              <w:t>176</w:t>
            </w:r>
          </w:p>
        </w:tc>
      </w:tr>
      <w:tr w:rsidR="00FD3D60" w:rsidRPr="006A710F" w14:paraId="6F5804FA" w14:textId="77777777" w:rsidTr="006A710F">
        <w:trPr>
          <w:trHeight w:val="290"/>
          <w:jc w:val="center"/>
        </w:trPr>
        <w:tc>
          <w:tcPr>
            <w:tcW w:w="4969" w:type="dxa"/>
            <w:tcBorders>
              <w:top w:val="nil"/>
              <w:left w:val="single" w:sz="4" w:space="0" w:color="000000"/>
              <w:bottom w:val="single" w:sz="4" w:space="0" w:color="000000"/>
              <w:right w:val="single" w:sz="4" w:space="0" w:color="000000"/>
            </w:tcBorders>
            <w:shd w:val="clear" w:color="000000" w:fill="FFFFFF"/>
            <w:noWrap/>
            <w:vAlign w:val="center"/>
            <w:hideMark/>
          </w:tcPr>
          <w:p w14:paraId="2336C92F" w14:textId="77777777" w:rsidR="00FD3D60" w:rsidRPr="006A710F" w:rsidRDefault="00FD3D60" w:rsidP="00985591">
            <w:pPr>
              <w:spacing w:line="276" w:lineRule="auto"/>
              <w:rPr>
                <w:rFonts w:ascii="Book Antiqua" w:hAnsi="Book Antiqua"/>
                <w:b/>
                <w:bCs/>
                <w:color w:val="000000"/>
                <w:sz w:val="16"/>
                <w:szCs w:val="16"/>
                <w:lang w:eastAsia="es-CR"/>
              </w:rPr>
            </w:pPr>
            <w:r w:rsidRPr="006A710F">
              <w:rPr>
                <w:rFonts w:ascii="Book Antiqua" w:hAnsi="Book Antiqua"/>
                <w:b/>
                <w:bCs/>
                <w:color w:val="000000"/>
                <w:sz w:val="16"/>
                <w:szCs w:val="16"/>
                <w:lang w:eastAsia="es-CR"/>
              </w:rPr>
              <w:t>Realizadas</w:t>
            </w:r>
          </w:p>
        </w:tc>
        <w:tc>
          <w:tcPr>
            <w:tcW w:w="540" w:type="dxa"/>
            <w:tcBorders>
              <w:top w:val="nil"/>
              <w:left w:val="nil"/>
              <w:bottom w:val="single" w:sz="4" w:space="0" w:color="000000"/>
              <w:right w:val="single" w:sz="4" w:space="0" w:color="000000"/>
            </w:tcBorders>
            <w:shd w:val="clear" w:color="000000" w:fill="FFFFFF"/>
            <w:noWrap/>
            <w:vAlign w:val="center"/>
            <w:hideMark/>
          </w:tcPr>
          <w:p w14:paraId="07D0C667" w14:textId="77777777" w:rsidR="00FD3D60" w:rsidRPr="006A710F" w:rsidRDefault="00FD3D60" w:rsidP="00985591">
            <w:pPr>
              <w:spacing w:line="276" w:lineRule="auto"/>
              <w:jc w:val="center"/>
              <w:rPr>
                <w:rFonts w:ascii="Book Antiqua" w:hAnsi="Book Antiqua"/>
                <w:color w:val="000000"/>
                <w:sz w:val="16"/>
                <w:szCs w:val="16"/>
                <w:lang w:eastAsia="es-CR"/>
              </w:rPr>
            </w:pPr>
            <w:r w:rsidRPr="006A710F">
              <w:rPr>
                <w:rFonts w:ascii="Book Antiqua" w:hAnsi="Book Antiqua"/>
                <w:color w:val="000000"/>
                <w:sz w:val="16"/>
                <w:szCs w:val="16"/>
                <w:lang w:eastAsia="es-CR"/>
              </w:rPr>
              <w:t>150</w:t>
            </w:r>
          </w:p>
        </w:tc>
      </w:tr>
      <w:tr w:rsidR="00FD3D60" w:rsidRPr="006A710F" w14:paraId="6C7487B4" w14:textId="77777777" w:rsidTr="006A710F">
        <w:trPr>
          <w:trHeight w:val="290"/>
          <w:jc w:val="center"/>
        </w:trPr>
        <w:tc>
          <w:tcPr>
            <w:tcW w:w="4969" w:type="dxa"/>
            <w:tcBorders>
              <w:top w:val="nil"/>
              <w:left w:val="single" w:sz="4" w:space="0" w:color="000000"/>
              <w:bottom w:val="single" w:sz="4" w:space="0" w:color="000000"/>
              <w:right w:val="single" w:sz="4" w:space="0" w:color="000000"/>
            </w:tcBorders>
            <w:shd w:val="clear" w:color="000000" w:fill="FFFFFF"/>
            <w:noWrap/>
            <w:vAlign w:val="center"/>
            <w:hideMark/>
          </w:tcPr>
          <w:p w14:paraId="1EC3E76E" w14:textId="77777777" w:rsidR="00FD3D60" w:rsidRPr="006A710F" w:rsidRDefault="00FD3D60" w:rsidP="00985591">
            <w:pPr>
              <w:spacing w:line="276" w:lineRule="auto"/>
              <w:rPr>
                <w:rFonts w:ascii="Book Antiqua" w:hAnsi="Book Antiqua"/>
                <w:color w:val="000000"/>
                <w:sz w:val="16"/>
                <w:szCs w:val="16"/>
                <w:lang w:eastAsia="es-CR"/>
              </w:rPr>
            </w:pPr>
            <w:r w:rsidRPr="006A710F">
              <w:rPr>
                <w:rFonts w:ascii="Book Antiqua" w:hAnsi="Book Antiqua"/>
                <w:color w:val="000000"/>
                <w:sz w:val="16"/>
                <w:szCs w:val="16"/>
                <w:lang w:eastAsia="es-CR"/>
              </w:rPr>
              <w:t>Con acuerdo</w:t>
            </w:r>
          </w:p>
        </w:tc>
        <w:tc>
          <w:tcPr>
            <w:tcW w:w="540" w:type="dxa"/>
            <w:tcBorders>
              <w:top w:val="nil"/>
              <w:left w:val="nil"/>
              <w:bottom w:val="single" w:sz="4" w:space="0" w:color="000000"/>
              <w:right w:val="single" w:sz="4" w:space="0" w:color="000000"/>
            </w:tcBorders>
            <w:shd w:val="clear" w:color="000000" w:fill="FFFFFF"/>
            <w:noWrap/>
            <w:vAlign w:val="center"/>
            <w:hideMark/>
          </w:tcPr>
          <w:p w14:paraId="5C921D22" w14:textId="77777777" w:rsidR="00FD3D60" w:rsidRPr="006A710F" w:rsidRDefault="00FD3D60" w:rsidP="00985591">
            <w:pPr>
              <w:spacing w:line="276" w:lineRule="auto"/>
              <w:jc w:val="center"/>
              <w:rPr>
                <w:rFonts w:ascii="Book Antiqua" w:hAnsi="Book Antiqua"/>
                <w:color w:val="000000"/>
                <w:sz w:val="16"/>
                <w:szCs w:val="16"/>
                <w:lang w:eastAsia="es-CR"/>
              </w:rPr>
            </w:pPr>
            <w:r w:rsidRPr="006A710F">
              <w:rPr>
                <w:rFonts w:ascii="Book Antiqua" w:hAnsi="Book Antiqua"/>
                <w:color w:val="000000"/>
                <w:sz w:val="16"/>
                <w:szCs w:val="16"/>
                <w:lang w:val="es-ES_tradnl" w:eastAsia="es-CR"/>
              </w:rPr>
              <w:t>146</w:t>
            </w:r>
          </w:p>
        </w:tc>
      </w:tr>
      <w:tr w:rsidR="00FD3D60" w:rsidRPr="006A710F" w14:paraId="70E01D4A" w14:textId="77777777" w:rsidTr="006A710F">
        <w:trPr>
          <w:trHeight w:val="290"/>
          <w:jc w:val="center"/>
        </w:trPr>
        <w:tc>
          <w:tcPr>
            <w:tcW w:w="4969" w:type="dxa"/>
            <w:tcBorders>
              <w:top w:val="nil"/>
              <w:left w:val="single" w:sz="4" w:space="0" w:color="000000"/>
              <w:bottom w:val="single" w:sz="4" w:space="0" w:color="000000"/>
              <w:right w:val="single" w:sz="4" w:space="0" w:color="000000"/>
            </w:tcBorders>
            <w:shd w:val="clear" w:color="000000" w:fill="FFFFFF"/>
            <w:noWrap/>
            <w:vAlign w:val="center"/>
            <w:hideMark/>
          </w:tcPr>
          <w:p w14:paraId="4D86E2E0" w14:textId="77777777" w:rsidR="00FD3D60" w:rsidRPr="006A710F" w:rsidRDefault="00FD3D60" w:rsidP="00985591">
            <w:pPr>
              <w:spacing w:line="276" w:lineRule="auto"/>
              <w:rPr>
                <w:rFonts w:ascii="Book Antiqua" w:hAnsi="Book Antiqua"/>
                <w:color w:val="000000"/>
                <w:sz w:val="16"/>
                <w:szCs w:val="16"/>
                <w:lang w:eastAsia="es-CR"/>
              </w:rPr>
            </w:pPr>
            <w:r w:rsidRPr="006A710F">
              <w:rPr>
                <w:rFonts w:ascii="Book Antiqua" w:hAnsi="Book Antiqua"/>
                <w:color w:val="000000"/>
                <w:sz w:val="16"/>
                <w:szCs w:val="16"/>
                <w:lang w:eastAsia="es-CR"/>
              </w:rPr>
              <w:t>No hubo acuerdo</w:t>
            </w:r>
          </w:p>
        </w:tc>
        <w:tc>
          <w:tcPr>
            <w:tcW w:w="540" w:type="dxa"/>
            <w:tcBorders>
              <w:top w:val="nil"/>
              <w:left w:val="nil"/>
              <w:bottom w:val="single" w:sz="4" w:space="0" w:color="000000"/>
              <w:right w:val="single" w:sz="4" w:space="0" w:color="000000"/>
            </w:tcBorders>
            <w:shd w:val="clear" w:color="000000" w:fill="FFFFFF"/>
            <w:noWrap/>
            <w:vAlign w:val="center"/>
            <w:hideMark/>
          </w:tcPr>
          <w:p w14:paraId="4ABA8729" w14:textId="77777777" w:rsidR="00FD3D60" w:rsidRPr="006A710F" w:rsidRDefault="00FD3D60" w:rsidP="00985591">
            <w:pPr>
              <w:spacing w:line="276" w:lineRule="auto"/>
              <w:jc w:val="center"/>
              <w:rPr>
                <w:rFonts w:ascii="Book Antiqua" w:hAnsi="Book Antiqua"/>
                <w:color w:val="000000"/>
                <w:sz w:val="16"/>
                <w:szCs w:val="16"/>
                <w:lang w:eastAsia="es-CR"/>
              </w:rPr>
            </w:pPr>
            <w:r w:rsidRPr="006A710F">
              <w:rPr>
                <w:rFonts w:ascii="Book Antiqua" w:hAnsi="Book Antiqua"/>
                <w:color w:val="000000"/>
                <w:sz w:val="16"/>
                <w:szCs w:val="16"/>
                <w:lang w:val="es-ES_tradnl" w:eastAsia="es-CR"/>
              </w:rPr>
              <w:t>4</w:t>
            </w:r>
          </w:p>
        </w:tc>
      </w:tr>
      <w:tr w:rsidR="00FD3D60" w:rsidRPr="006A710F" w14:paraId="44ECF111" w14:textId="77777777" w:rsidTr="006A710F">
        <w:trPr>
          <w:trHeight w:val="290"/>
          <w:jc w:val="center"/>
        </w:trPr>
        <w:tc>
          <w:tcPr>
            <w:tcW w:w="4969" w:type="dxa"/>
            <w:tcBorders>
              <w:top w:val="nil"/>
              <w:left w:val="single" w:sz="4" w:space="0" w:color="000000"/>
              <w:bottom w:val="single" w:sz="4" w:space="0" w:color="000000"/>
              <w:right w:val="single" w:sz="4" w:space="0" w:color="000000"/>
            </w:tcBorders>
            <w:shd w:val="clear" w:color="000000" w:fill="FFFFFF"/>
            <w:noWrap/>
            <w:vAlign w:val="center"/>
            <w:hideMark/>
          </w:tcPr>
          <w:p w14:paraId="60D08137" w14:textId="77777777" w:rsidR="00FD3D60" w:rsidRPr="006A710F" w:rsidRDefault="00FD3D60" w:rsidP="00985591">
            <w:pPr>
              <w:spacing w:line="276" w:lineRule="auto"/>
              <w:rPr>
                <w:rFonts w:ascii="Book Antiqua" w:hAnsi="Book Antiqua"/>
                <w:b/>
                <w:bCs/>
                <w:color w:val="000000"/>
                <w:sz w:val="16"/>
                <w:szCs w:val="16"/>
                <w:lang w:eastAsia="es-CR"/>
              </w:rPr>
            </w:pPr>
            <w:r w:rsidRPr="006A710F">
              <w:rPr>
                <w:rFonts w:ascii="Book Antiqua" w:hAnsi="Book Antiqua"/>
                <w:b/>
                <w:bCs/>
                <w:color w:val="000000"/>
                <w:sz w:val="16"/>
                <w:szCs w:val="16"/>
                <w:lang w:eastAsia="es-CR"/>
              </w:rPr>
              <w:t>No realizadas</w:t>
            </w:r>
          </w:p>
        </w:tc>
        <w:tc>
          <w:tcPr>
            <w:tcW w:w="540" w:type="dxa"/>
            <w:tcBorders>
              <w:top w:val="nil"/>
              <w:left w:val="nil"/>
              <w:bottom w:val="single" w:sz="4" w:space="0" w:color="000000"/>
              <w:right w:val="single" w:sz="4" w:space="0" w:color="000000"/>
            </w:tcBorders>
            <w:shd w:val="clear" w:color="000000" w:fill="FFFFFF"/>
            <w:noWrap/>
            <w:vAlign w:val="center"/>
            <w:hideMark/>
          </w:tcPr>
          <w:p w14:paraId="39F9F306" w14:textId="77777777" w:rsidR="00FD3D60" w:rsidRPr="006A710F" w:rsidRDefault="00FD3D60" w:rsidP="00985591">
            <w:pPr>
              <w:spacing w:line="276" w:lineRule="auto"/>
              <w:jc w:val="center"/>
              <w:rPr>
                <w:rFonts w:ascii="Book Antiqua" w:hAnsi="Book Antiqua"/>
                <w:color w:val="000000"/>
                <w:sz w:val="16"/>
                <w:szCs w:val="16"/>
                <w:lang w:eastAsia="es-CR"/>
              </w:rPr>
            </w:pPr>
            <w:r w:rsidRPr="006A710F">
              <w:rPr>
                <w:rFonts w:ascii="Book Antiqua" w:hAnsi="Book Antiqua"/>
                <w:color w:val="000000"/>
                <w:sz w:val="16"/>
                <w:szCs w:val="16"/>
                <w:lang w:eastAsia="es-CR"/>
              </w:rPr>
              <w:t>26</w:t>
            </w:r>
          </w:p>
        </w:tc>
      </w:tr>
      <w:tr w:rsidR="00FD3D60" w:rsidRPr="006A710F" w14:paraId="1B117B4A" w14:textId="77777777" w:rsidTr="006A710F">
        <w:trPr>
          <w:trHeight w:val="290"/>
          <w:jc w:val="center"/>
        </w:trPr>
        <w:tc>
          <w:tcPr>
            <w:tcW w:w="4969" w:type="dxa"/>
            <w:tcBorders>
              <w:top w:val="nil"/>
              <w:left w:val="single" w:sz="4" w:space="0" w:color="000000"/>
              <w:bottom w:val="single" w:sz="4" w:space="0" w:color="000000"/>
              <w:right w:val="single" w:sz="4" w:space="0" w:color="000000"/>
            </w:tcBorders>
            <w:shd w:val="clear" w:color="000000" w:fill="DDEBF7"/>
            <w:noWrap/>
            <w:vAlign w:val="center"/>
            <w:hideMark/>
          </w:tcPr>
          <w:p w14:paraId="50E8E261" w14:textId="483E15DE" w:rsidR="00FD3D60" w:rsidRPr="006A710F" w:rsidRDefault="00FD3D60" w:rsidP="00985591">
            <w:pPr>
              <w:spacing w:line="276" w:lineRule="auto"/>
              <w:rPr>
                <w:rFonts w:ascii="Book Antiqua" w:hAnsi="Book Antiqua"/>
                <w:b/>
                <w:bCs/>
                <w:color w:val="000000"/>
                <w:sz w:val="16"/>
                <w:szCs w:val="16"/>
                <w:lang w:eastAsia="es-CR"/>
              </w:rPr>
            </w:pPr>
            <w:r w:rsidRPr="006A710F">
              <w:rPr>
                <w:rFonts w:ascii="Book Antiqua" w:hAnsi="Book Antiqua"/>
                <w:b/>
                <w:bCs/>
                <w:color w:val="000000"/>
                <w:sz w:val="16"/>
                <w:szCs w:val="16"/>
                <w:lang w:eastAsia="es-CR"/>
              </w:rPr>
              <w:t>Audiencia Verificación Señaladas</w:t>
            </w:r>
          </w:p>
        </w:tc>
        <w:tc>
          <w:tcPr>
            <w:tcW w:w="540" w:type="dxa"/>
            <w:tcBorders>
              <w:top w:val="nil"/>
              <w:left w:val="nil"/>
              <w:bottom w:val="single" w:sz="4" w:space="0" w:color="000000"/>
              <w:right w:val="single" w:sz="4" w:space="0" w:color="000000"/>
            </w:tcBorders>
            <w:shd w:val="clear" w:color="000000" w:fill="DDEBF7"/>
            <w:noWrap/>
            <w:vAlign w:val="center"/>
            <w:hideMark/>
          </w:tcPr>
          <w:p w14:paraId="11418ED7" w14:textId="77777777" w:rsidR="00FD3D60" w:rsidRPr="006A710F" w:rsidRDefault="00FD3D60" w:rsidP="00985591">
            <w:pPr>
              <w:spacing w:line="276" w:lineRule="auto"/>
              <w:jc w:val="center"/>
              <w:rPr>
                <w:rFonts w:ascii="Book Antiqua" w:hAnsi="Book Antiqua"/>
                <w:b/>
                <w:bCs/>
                <w:color w:val="000000"/>
                <w:sz w:val="16"/>
                <w:szCs w:val="16"/>
                <w:lang w:eastAsia="es-CR"/>
              </w:rPr>
            </w:pPr>
            <w:r w:rsidRPr="006A710F">
              <w:rPr>
                <w:rFonts w:ascii="Book Antiqua" w:hAnsi="Book Antiqua"/>
                <w:b/>
                <w:bCs/>
                <w:color w:val="000000"/>
                <w:sz w:val="16"/>
                <w:szCs w:val="16"/>
                <w:lang w:eastAsia="es-CR"/>
              </w:rPr>
              <w:t>38</w:t>
            </w:r>
          </w:p>
        </w:tc>
      </w:tr>
      <w:tr w:rsidR="00FD3D60" w:rsidRPr="006A710F" w14:paraId="3F85DA7A" w14:textId="77777777" w:rsidTr="006A710F">
        <w:trPr>
          <w:trHeight w:val="290"/>
          <w:jc w:val="center"/>
        </w:trPr>
        <w:tc>
          <w:tcPr>
            <w:tcW w:w="4969" w:type="dxa"/>
            <w:tcBorders>
              <w:top w:val="nil"/>
              <w:left w:val="single" w:sz="4" w:space="0" w:color="000000"/>
              <w:bottom w:val="single" w:sz="4" w:space="0" w:color="000000"/>
              <w:right w:val="single" w:sz="4" w:space="0" w:color="000000"/>
            </w:tcBorders>
            <w:shd w:val="clear" w:color="000000" w:fill="FFFFFF"/>
            <w:noWrap/>
            <w:vAlign w:val="center"/>
            <w:hideMark/>
          </w:tcPr>
          <w:p w14:paraId="08B38DAB" w14:textId="77777777" w:rsidR="00FD3D60" w:rsidRPr="006A710F" w:rsidRDefault="00FD3D60" w:rsidP="00985591">
            <w:pPr>
              <w:spacing w:line="276" w:lineRule="auto"/>
              <w:rPr>
                <w:rFonts w:ascii="Book Antiqua" w:hAnsi="Book Antiqua"/>
                <w:color w:val="000000"/>
                <w:sz w:val="16"/>
                <w:szCs w:val="16"/>
                <w:lang w:eastAsia="es-CR"/>
              </w:rPr>
            </w:pPr>
            <w:r w:rsidRPr="006A710F">
              <w:rPr>
                <w:rFonts w:ascii="Book Antiqua" w:hAnsi="Book Antiqua"/>
                <w:color w:val="000000"/>
                <w:sz w:val="16"/>
                <w:szCs w:val="16"/>
                <w:lang w:eastAsia="es-CR"/>
              </w:rPr>
              <w:t>Se mantiene medida alterna</w:t>
            </w:r>
          </w:p>
        </w:tc>
        <w:tc>
          <w:tcPr>
            <w:tcW w:w="540" w:type="dxa"/>
            <w:tcBorders>
              <w:top w:val="nil"/>
              <w:left w:val="nil"/>
              <w:bottom w:val="single" w:sz="4" w:space="0" w:color="000000"/>
              <w:right w:val="single" w:sz="4" w:space="0" w:color="000000"/>
            </w:tcBorders>
            <w:shd w:val="clear" w:color="000000" w:fill="FFFFFF"/>
            <w:noWrap/>
            <w:vAlign w:val="center"/>
            <w:hideMark/>
          </w:tcPr>
          <w:p w14:paraId="6B4E8D0B" w14:textId="77777777" w:rsidR="00FD3D60" w:rsidRPr="006A710F" w:rsidRDefault="00FD3D60" w:rsidP="00985591">
            <w:pPr>
              <w:spacing w:line="276" w:lineRule="auto"/>
              <w:jc w:val="center"/>
              <w:rPr>
                <w:rFonts w:ascii="Book Antiqua" w:hAnsi="Book Antiqua"/>
                <w:color w:val="000000"/>
                <w:sz w:val="16"/>
                <w:szCs w:val="16"/>
                <w:lang w:eastAsia="es-CR"/>
              </w:rPr>
            </w:pPr>
            <w:r w:rsidRPr="006A710F">
              <w:rPr>
                <w:rFonts w:ascii="Book Antiqua" w:hAnsi="Book Antiqua"/>
                <w:color w:val="000000"/>
                <w:sz w:val="16"/>
                <w:szCs w:val="16"/>
                <w:lang w:eastAsia="es-CR"/>
              </w:rPr>
              <w:t>18</w:t>
            </w:r>
          </w:p>
        </w:tc>
      </w:tr>
      <w:tr w:rsidR="00FD3D60" w:rsidRPr="006A710F" w14:paraId="356BB2D3" w14:textId="77777777" w:rsidTr="006A710F">
        <w:trPr>
          <w:trHeight w:val="290"/>
          <w:jc w:val="center"/>
        </w:trPr>
        <w:tc>
          <w:tcPr>
            <w:tcW w:w="4969" w:type="dxa"/>
            <w:tcBorders>
              <w:top w:val="nil"/>
              <w:left w:val="single" w:sz="4" w:space="0" w:color="000000"/>
              <w:bottom w:val="single" w:sz="4" w:space="0" w:color="000000"/>
              <w:right w:val="single" w:sz="4" w:space="0" w:color="000000"/>
            </w:tcBorders>
            <w:shd w:val="clear" w:color="000000" w:fill="FFFFFF"/>
            <w:noWrap/>
            <w:vAlign w:val="center"/>
            <w:hideMark/>
          </w:tcPr>
          <w:p w14:paraId="0D1B615A" w14:textId="77777777" w:rsidR="00FD3D60" w:rsidRPr="006A710F" w:rsidRDefault="00FD3D60" w:rsidP="00985591">
            <w:pPr>
              <w:spacing w:line="276" w:lineRule="auto"/>
              <w:rPr>
                <w:rFonts w:ascii="Book Antiqua" w:hAnsi="Book Antiqua"/>
                <w:color w:val="000000"/>
                <w:sz w:val="16"/>
                <w:szCs w:val="16"/>
                <w:lang w:eastAsia="es-CR"/>
              </w:rPr>
            </w:pPr>
            <w:r w:rsidRPr="006A710F">
              <w:rPr>
                <w:rFonts w:ascii="Book Antiqua" w:hAnsi="Book Antiqua"/>
                <w:color w:val="000000"/>
                <w:sz w:val="16"/>
                <w:szCs w:val="16"/>
                <w:lang w:eastAsia="es-CR"/>
              </w:rPr>
              <w:t>Se modifica medida alterna</w:t>
            </w:r>
          </w:p>
        </w:tc>
        <w:tc>
          <w:tcPr>
            <w:tcW w:w="540" w:type="dxa"/>
            <w:tcBorders>
              <w:top w:val="nil"/>
              <w:left w:val="nil"/>
              <w:bottom w:val="single" w:sz="4" w:space="0" w:color="000000"/>
              <w:right w:val="single" w:sz="4" w:space="0" w:color="000000"/>
            </w:tcBorders>
            <w:shd w:val="clear" w:color="000000" w:fill="FFFFFF"/>
            <w:noWrap/>
            <w:vAlign w:val="center"/>
            <w:hideMark/>
          </w:tcPr>
          <w:p w14:paraId="6E7263CD" w14:textId="77777777" w:rsidR="00FD3D60" w:rsidRPr="006A710F" w:rsidRDefault="00FD3D60" w:rsidP="00985591">
            <w:pPr>
              <w:spacing w:line="276" w:lineRule="auto"/>
              <w:jc w:val="center"/>
              <w:rPr>
                <w:rFonts w:ascii="Book Antiqua" w:hAnsi="Book Antiqua"/>
                <w:color w:val="000000"/>
                <w:sz w:val="16"/>
                <w:szCs w:val="16"/>
                <w:lang w:eastAsia="es-CR"/>
              </w:rPr>
            </w:pPr>
            <w:r w:rsidRPr="006A710F">
              <w:rPr>
                <w:rFonts w:ascii="Book Antiqua" w:hAnsi="Book Antiqua"/>
                <w:color w:val="000000"/>
                <w:sz w:val="16"/>
                <w:szCs w:val="16"/>
                <w:lang w:eastAsia="es-CR"/>
              </w:rPr>
              <w:t>13</w:t>
            </w:r>
          </w:p>
        </w:tc>
      </w:tr>
      <w:tr w:rsidR="00FD3D60" w:rsidRPr="006A710F" w14:paraId="62E96462" w14:textId="77777777" w:rsidTr="006A710F">
        <w:trPr>
          <w:trHeight w:val="290"/>
          <w:jc w:val="center"/>
        </w:trPr>
        <w:tc>
          <w:tcPr>
            <w:tcW w:w="4969" w:type="dxa"/>
            <w:tcBorders>
              <w:top w:val="nil"/>
              <w:left w:val="single" w:sz="4" w:space="0" w:color="000000"/>
              <w:bottom w:val="single" w:sz="4" w:space="0" w:color="000000"/>
              <w:right w:val="single" w:sz="4" w:space="0" w:color="000000"/>
            </w:tcBorders>
            <w:shd w:val="clear" w:color="000000" w:fill="FFFFFF"/>
            <w:noWrap/>
            <w:vAlign w:val="center"/>
            <w:hideMark/>
          </w:tcPr>
          <w:p w14:paraId="7FB80C29" w14:textId="77777777" w:rsidR="00FD3D60" w:rsidRPr="006A710F" w:rsidRDefault="00FD3D60" w:rsidP="00985591">
            <w:pPr>
              <w:spacing w:line="276" w:lineRule="auto"/>
              <w:rPr>
                <w:rFonts w:ascii="Book Antiqua" w:hAnsi="Book Antiqua"/>
                <w:color w:val="000000"/>
                <w:sz w:val="16"/>
                <w:szCs w:val="16"/>
                <w:lang w:eastAsia="es-CR"/>
              </w:rPr>
            </w:pPr>
            <w:r w:rsidRPr="006A710F">
              <w:rPr>
                <w:rFonts w:ascii="Book Antiqua" w:hAnsi="Book Antiqua"/>
                <w:color w:val="000000"/>
                <w:sz w:val="16"/>
                <w:szCs w:val="16"/>
                <w:lang w:eastAsia="es-CR"/>
              </w:rPr>
              <w:t>Se revoca medida alterna</w:t>
            </w:r>
          </w:p>
        </w:tc>
        <w:tc>
          <w:tcPr>
            <w:tcW w:w="540" w:type="dxa"/>
            <w:tcBorders>
              <w:top w:val="nil"/>
              <w:left w:val="nil"/>
              <w:bottom w:val="single" w:sz="4" w:space="0" w:color="000000"/>
              <w:right w:val="single" w:sz="4" w:space="0" w:color="000000"/>
            </w:tcBorders>
            <w:shd w:val="clear" w:color="000000" w:fill="FFFFFF"/>
            <w:noWrap/>
            <w:vAlign w:val="center"/>
            <w:hideMark/>
          </w:tcPr>
          <w:p w14:paraId="52B773FC" w14:textId="77777777" w:rsidR="00FD3D60" w:rsidRPr="006A710F" w:rsidRDefault="00FD3D60" w:rsidP="00985591">
            <w:pPr>
              <w:spacing w:line="276" w:lineRule="auto"/>
              <w:jc w:val="center"/>
              <w:rPr>
                <w:rFonts w:ascii="Book Antiqua" w:hAnsi="Book Antiqua"/>
                <w:color w:val="000000"/>
                <w:sz w:val="16"/>
                <w:szCs w:val="16"/>
                <w:lang w:eastAsia="es-CR"/>
              </w:rPr>
            </w:pPr>
            <w:r w:rsidRPr="006A710F">
              <w:rPr>
                <w:rFonts w:ascii="Book Antiqua" w:hAnsi="Book Antiqua"/>
                <w:color w:val="000000"/>
                <w:sz w:val="16"/>
                <w:szCs w:val="16"/>
                <w:lang w:eastAsia="es-CR"/>
              </w:rPr>
              <w:t>6</w:t>
            </w:r>
          </w:p>
        </w:tc>
      </w:tr>
      <w:tr w:rsidR="00FD3D60" w:rsidRPr="006A710F" w14:paraId="7CC28988" w14:textId="77777777" w:rsidTr="006A710F">
        <w:trPr>
          <w:trHeight w:val="290"/>
          <w:jc w:val="center"/>
        </w:trPr>
        <w:tc>
          <w:tcPr>
            <w:tcW w:w="4969" w:type="dxa"/>
            <w:tcBorders>
              <w:top w:val="nil"/>
              <w:left w:val="single" w:sz="4" w:space="0" w:color="000000"/>
              <w:bottom w:val="single" w:sz="4" w:space="0" w:color="000000"/>
              <w:right w:val="single" w:sz="4" w:space="0" w:color="000000"/>
            </w:tcBorders>
            <w:shd w:val="clear" w:color="000000" w:fill="FFFFFF"/>
            <w:noWrap/>
            <w:vAlign w:val="center"/>
            <w:hideMark/>
          </w:tcPr>
          <w:p w14:paraId="2EBCFBA3" w14:textId="78AED8F2" w:rsidR="00FD3D60" w:rsidRPr="006A710F" w:rsidRDefault="00FD3D60" w:rsidP="00985591">
            <w:pPr>
              <w:spacing w:line="276" w:lineRule="auto"/>
              <w:rPr>
                <w:rFonts w:ascii="Book Antiqua" w:hAnsi="Book Antiqua"/>
                <w:color w:val="000000"/>
                <w:sz w:val="16"/>
                <w:szCs w:val="16"/>
                <w:lang w:eastAsia="es-CR"/>
              </w:rPr>
            </w:pPr>
            <w:r w:rsidRPr="006A710F">
              <w:rPr>
                <w:rFonts w:ascii="Book Antiqua" w:hAnsi="Book Antiqua"/>
                <w:color w:val="000000"/>
                <w:sz w:val="16"/>
                <w:szCs w:val="16"/>
                <w:lang w:eastAsia="es-CR"/>
              </w:rPr>
              <w:t>Se homologa indemnización seguro</w:t>
            </w:r>
          </w:p>
        </w:tc>
        <w:tc>
          <w:tcPr>
            <w:tcW w:w="540" w:type="dxa"/>
            <w:tcBorders>
              <w:top w:val="nil"/>
              <w:left w:val="nil"/>
              <w:bottom w:val="single" w:sz="4" w:space="0" w:color="000000"/>
              <w:right w:val="single" w:sz="4" w:space="0" w:color="000000"/>
            </w:tcBorders>
            <w:shd w:val="clear" w:color="000000" w:fill="FFFFFF"/>
            <w:noWrap/>
            <w:vAlign w:val="center"/>
            <w:hideMark/>
          </w:tcPr>
          <w:p w14:paraId="230E759B" w14:textId="77777777" w:rsidR="00FD3D60" w:rsidRPr="006A710F" w:rsidRDefault="00FD3D60" w:rsidP="00985591">
            <w:pPr>
              <w:spacing w:line="276" w:lineRule="auto"/>
              <w:jc w:val="center"/>
              <w:rPr>
                <w:rFonts w:ascii="Book Antiqua" w:hAnsi="Book Antiqua"/>
                <w:color w:val="000000"/>
                <w:sz w:val="16"/>
                <w:szCs w:val="16"/>
                <w:lang w:eastAsia="es-CR"/>
              </w:rPr>
            </w:pPr>
            <w:r w:rsidRPr="006A710F">
              <w:rPr>
                <w:rFonts w:ascii="Book Antiqua" w:hAnsi="Book Antiqua"/>
                <w:color w:val="000000"/>
                <w:sz w:val="16"/>
                <w:szCs w:val="16"/>
                <w:lang w:eastAsia="es-CR"/>
              </w:rPr>
              <w:t>1</w:t>
            </w:r>
          </w:p>
        </w:tc>
      </w:tr>
      <w:tr w:rsidR="00FD3D60" w:rsidRPr="006A710F" w14:paraId="01A025CA" w14:textId="77777777" w:rsidTr="006A710F">
        <w:trPr>
          <w:trHeight w:val="290"/>
          <w:jc w:val="center"/>
        </w:trPr>
        <w:tc>
          <w:tcPr>
            <w:tcW w:w="4969" w:type="dxa"/>
            <w:tcBorders>
              <w:top w:val="nil"/>
              <w:left w:val="single" w:sz="4" w:space="0" w:color="000000"/>
              <w:bottom w:val="single" w:sz="4" w:space="0" w:color="000000"/>
              <w:right w:val="single" w:sz="4" w:space="0" w:color="000000"/>
            </w:tcBorders>
            <w:shd w:val="clear" w:color="000000" w:fill="DDEBF7"/>
            <w:noWrap/>
            <w:vAlign w:val="center"/>
            <w:hideMark/>
          </w:tcPr>
          <w:p w14:paraId="4E231886" w14:textId="77777777" w:rsidR="00FD3D60" w:rsidRPr="006A710F" w:rsidRDefault="00FD3D60" w:rsidP="00985591">
            <w:pPr>
              <w:spacing w:line="276" w:lineRule="auto"/>
              <w:rPr>
                <w:rFonts w:ascii="Book Antiqua" w:hAnsi="Book Antiqua"/>
                <w:b/>
                <w:bCs/>
                <w:color w:val="000000"/>
                <w:sz w:val="16"/>
                <w:szCs w:val="16"/>
                <w:lang w:eastAsia="es-CR"/>
              </w:rPr>
            </w:pPr>
            <w:r w:rsidRPr="006A710F">
              <w:rPr>
                <w:rFonts w:ascii="Book Antiqua" w:hAnsi="Book Antiqua"/>
                <w:b/>
                <w:bCs/>
                <w:color w:val="000000"/>
                <w:sz w:val="16"/>
                <w:szCs w:val="16"/>
                <w:lang w:eastAsia="es-CR"/>
              </w:rPr>
              <w:t>Red de apoyo</w:t>
            </w:r>
          </w:p>
        </w:tc>
        <w:tc>
          <w:tcPr>
            <w:tcW w:w="540" w:type="dxa"/>
            <w:tcBorders>
              <w:top w:val="nil"/>
              <w:left w:val="nil"/>
              <w:bottom w:val="single" w:sz="4" w:space="0" w:color="000000"/>
              <w:right w:val="single" w:sz="4" w:space="0" w:color="000000"/>
            </w:tcBorders>
            <w:shd w:val="clear" w:color="000000" w:fill="DDEBF7"/>
            <w:noWrap/>
            <w:vAlign w:val="center"/>
            <w:hideMark/>
          </w:tcPr>
          <w:p w14:paraId="337098BC" w14:textId="77777777" w:rsidR="00FD3D60" w:rsidRPr="006A710F" w:rsidRDefault="00FD3D60" w:rsidP="00985591">
            <w:pPr>
              <w:spacing w:line="276" w:lineRule="auto"/>
              <w:jc w:val="center"/>
              <w:rPr>
                <w:rFonts w:ascii="Book Antiqua" w:hAnsi="Book Antiqua"/>
                <w:color w:val="000000"/>
                <w:sz w:val="16"/>
                <w:szCs w:val="16"/>
                <w:lang w:eastAsia="es-CR"/>
              </w:rPr>
            </w:pPr>
            <w:r w:rsidRPr="006A710F">
              <w:rPr>
                <w:rFonts w:ascii="Book Antiqua" w:hAnsi="Book Antiqua"/>
                <w:color w:val="000000"/>
                <w:sz w:val="16"/>
                <w:szCs w:val="16"/>
                <w:lang w:eastAsia="es-CR"/>
              </w:rPr>
              <w:t> </w:t>
            </w:r>
          </w:p>
        </w:tc>
      </w:tr>
      <w:tr w:rsidR="00FD3D60" w:rsidRPr="006A710F" w14:paraId="39D103ED" w14:textId="77777777" w:rsidTr="006A710F">
        <w:trPr>
          <w:trHeight w:val="290"/>
          <w:jc w:val="center"/>
        </w:trPr>
        <w:tc>
          <w:tcPr>
            <w:tcW w:w="4969" w:type="dxa"/>
            <w:tcBorders>
              <w:top w:val="nil"/>
              <w:left w:val="single" w:sz="4" w:space="0" w:color="000000"/>
              <w:bottom w:val="single" w:sz="4" w:space="0" w:color="000000"/>
              <w:right w:val="single" w:sz="4" w:space="0" w:color="000000"/>
            </w:tcBorders>
            <w:shd w:val="clear" w:color="000000" w:fill="FFFFFF"/>
            <w:noWrap/>
            <w:vAlign w:val="center"/>
            <w:hideMark/>
          </w:tcPr>
          <w:p w14:paraId="77D6606A" w14:textId="77777777" w:rsidR="00FD3D60" w:rsidRPr="006A710F" w:rsidRDefault="00FD3D60" w:rsidP="00985591">
            <w:pPr>
              <w:spacing w:line="276" w:lineRule="auto"/>
              <w:rPr>
                <w:rFonts w:ascii="Book Antiqua" w:hAnsi="Book Antiqua"/>
                <w:color w:val="000000"/>
                <w:sz w:val="16"/>
                <w:szCs w:val="16"/>
                <w:lang w:eastAsia="es-CR"/>
              </w:rPr>
            </w:pPr>
            <w:r w:rsidRPr="006A710F">
              <w:rPr>
                <w:rFonts w:ascii="Book Antiqua" w:hAnsi="Book Antiqua"/>
                <w:color w:val="000000"/>
                <w:sz w:val="16"/>
                <w:szCs w:val="16"/>
                <w:lang w:eastAsia="es-CR"/>
              </w:rPr>
              <w:t xml:space="preserve">Coordinaciones interinstitucionales </w:t>
            </w:r>
          </w:p>
        </w:tc>
        <w:tc>
          <w:tcPr>
            <w:tcW w:w="540" w:type="dxa"/>
            <w:tcBorders>
              <w:top w:val="nil"/>
              <w:left w:val="nil"/>
              <w:bottom w:val="single" w:sz="4" w:space="0" w:color="000000"/>
              <w:right w:val="single" w:sz="4" w:space="0" w:color="000000"/>
            </w:tcBorders>
            <w:shd w:val="clear" w:color="000000" w:fill="FFFFFF"/>
            <w:noWrap/>
            <w:vAlign w:val="center"/>
            <w:hideMark/>
          </w:tcPr>
          <w:p w14:paraId="763DBEE3" w14:textId="77777777" w:rsidR="00FD3D60" w:rsidRPr="006A710F" w:rsidRDefault="00FD3D60" w:rsidP="00985591">
            <w:pPr>
              <w:spacing w:line="276" w:lineRule="auto"/>
              <w:jc w:val="center"/>
              <w:rPr>
                <w:rFonts w:ascii="Book Antiqua" w:hAnsi="Book Antiqua"/>
                <w:color w:val="000000"/>
                <w:sz w:val="16"/>
                <w:szCs w:val="16"/>
                <w:lang w:eastAsia="es-CR"/>
              </w:rPr>
            </w:pPr>
            <w:r w:rsidRPr="006A710F">
              <w:rPr>
                <w:rFonts w:ascii="Book Antiqua" w:hAnsi="Book Antiqua"/>
                <w:color w:val="000000"/>
                <w:sz w:val="16"/>
                <w:szCs w:val="16"/>
                <w:lang w:eastAsia="es-CR"/>
              </w:rPr>
              <w:t>475</w:t>
            </w:r>
          </w:p>
        </w:tc>
      </w:tr>
      <w:tr w:rsidR="00FD3D60" w:rsidRPr="006A710F" w14:paraId="5BFB4095" w14:textId="77777777" w:rsidTr="006A710F">
        <w:trPr>
          <w:trHeight w:val="290"/>
          <w:jc w:val="center"/>
        </w:trPr>
        <w:tc>
          <w:tcPr>
            <w:tcW w:w="4969" w:type="dxa"/>
            <w:tcBorders>
              <w:top w:val="nil"/>
              <w:left w:val="single" w:sz="4" w:space="0" w:color="000000"/>
              <w:bottom w:val="single" w:sz="4" w:space="0" w:color="000000"/>
              <w:right w:val="single" w:sz="4" w:space="0" w:color="000000"/>
            </w:tcBorders>
            <w:shd w:val="clear" w:color="000000" w:fill="FFFFFF"/>
            <w:noWrap/>
            <w:vAlign w:val="center"/>
            <w:hideMark/>
          </w:tcPr>
          <w:p w14:paraId="22905F82" w14:textId="77777777" w:rsidR="00FD3D60" w:rsidRPr="006A710F" w:rsidRDefault="00FD3D60" w:rsidP="00985591">
            <w:pPr>
              <w:spacing w:line="276" w:lineRule="auto"/>
              <w:rPr>
                <w:rFonts w:ascii="Book Antiqua" w:hAnsi="Book Antiqua"/>
                <w:b/>
                <w:bCs/>
                <w:color w:val="000000"/>
                <w:sz w:val="16"/>
                <w:szCs w:val="16"/>
                <w:lang w:eastAsia="es-CR"/>
              </w:rPr>
            </w:pPr>
            <w:r w:rsidRPr="006A710F">
              <w:rPr>
                <w:rFonts w:ascii="Book Antiqua" w:hAnsi="Book Antiqua"/>
                <w:b/>
                <w:bCs/>
                <w:color w:val="000000"/>
                <w:sz w:val="16"/>
                <w:szCs w:val="16"/>
                <w:lang w:eastAsia="es-CR"/>
              </w:rPr>
              <w:t>Cantidad de instituciones que conforman la red</w:t>
            </w:r>
          </w:p>
        </w:tc>
        <w:tc>
          <w:tcPr>
            <w:tcW w:w="540" w:type="dxa"/>
            <w:tcBorders>
              <w:top w:val="nil"/>
              <w:left w:val="nil"/>
              <w:bottom w:val="single" w:sz="4" w:space="0" w:color="000000"/>
              <w:right w:val="single" w:sz="4" w:space="0" w:color="000000"/>
            </w:tcBorders>
            <w:shd w:val="clear" w:color="000000" w:fill="FFFFFF"/>
            <w:noWrap/>
            <w:vAlign w:val="center"/>
            <w:hideMark/>
          </w:tcPr>
          <w:p w14:paraId="17ACD1D9" w14:textId="77777777" w:rsidR="00FD3D60" w:rsidRPr="006A710F" w:rsidRDefault="00FD3D60" w:rsidP="00985591">
            <w:pPr>
              <w:spacing w:line="276" w:lineRule="auto"/>
              <w:jc w:val="center"/>
              <w:rPr>
                <w:rFonts w:ascii="Book Antiqua" w:hAnsi="Book Antiqua"/>
                <w:color w:val="000000"/>
                <w:sz w:val="16"/>
                <w:szCs w:val="16"/>
                <w:lang w:eastAsia="es-CR"/>
              </w:rPr>
            </w:pPr>
            <w:r w:rsidRPr="006A710F">
              <w:rPr>
                <w:rFonts w:ascii="Book Antiqua" w:hAnsi="Book Antiqua"/>
                <w:color w:val="000000"/>
                <w:sz w:val="16"/>
                <w:szCs w:val="16"/>
                <w:lang w:eastAsia="es-CR"/>
              </w:rPr>
              <w:t>1461</w:t>
            </w:r>
          </w:p>
        </w:tc>
      </w:tr>
      <w:tr w:rsidR="00FD3D60" w:rsidRPr="006A710F" w14:paraId="7BD9B7F2" w14:textId="77777777" w:rsidTr="006A710F">
        <w:trPr>
          <w:trHeight w:val="290"/>
          <w:jc w:val="center"/>
        </w:trPr>
        <w:tc>
          <w:tcPr>
            <w:tcW w:w="4969" w:type="dxa"/>
            <w:tcBorders>
              <w:top w:val="nil"/>
              <w:left w:val="single" w:sz="4" w:space="0" w:color="000000"/>
              <w:bottom w:val="single" w:sz="4" w:space="0" w:color="000000"/>
              <w:right w:val="single" w:sz="4" w:space="0" w:color="000000"/>
            </w:tcBorders>
            <w:shd w:val="clear" w:color="000000" w:fill="DDEBF7"/>
            <w:noWrap/>
            <w:vAlign w:val="center"/>
            <w:hideMark/>
          </w:tcPr>
          <w:p w14:paraId="50E96A4C" w14:textId="77777777" w:rsidR="00FD3D60" w:rsidRPr="006A710F" w:rsidRDefault="00FD3D60" w:rsidP="00985591">
            <w:pPr>
              <w:spacing w:line="276" w:lineRule="auto"/>
              <w:rPr>
                <w:rFonts w:ascii="Book Antiqua" w:hAnsi="Book Antiqua"/>
                <w:b/>
                <w:bCs/>
                <w:color w:val="000000"/>
                <w:sz w:val="16"/>
                <w:szCs w:val="16"/>
                <w:lang w:eastAsia="es-CR"/>
              </w:rPr>
            </w:pPr>
            <w:r w:rsidRPr="006A710F">
              <w:rPr>
                <w:rFonts w:ascii="Book Antiqua" w:hAnsi="Book Antiqua"/>
                <w:b/>
                <w:bCs/>
                <w:color w:val="000000"/>
                <w:sz w:val="16"/>
                <w:szCs w:val="16"/>
                <w:lang w:eastAsia="es-CR"/>
              </w:rPr>
              <w:t>Entrevistas</w:t>
            </w:r>
          </w:p>
        </w:tc>
        <w:tc>
          <w:tcPr>
            <w:tcW w:w="540" w:type="dxa"/>
            <w:tcBorders>
              <w:top w:val="nil"/>
              <w:left w:val="nil"/>
              <w:bottom w:val="single" w:sz="4" w:space="0" w:color="000000"/>
              <w:right w:val="single" w:sz="4" w:space="0" w:color="000000"/>
            </w:tcBorders>
            <w:shd w:val="clear" w:color="000000" w:fill="DDEBF7"/>
            <w:noWrap/>
            <w:vAlign w:val="center"/>
            <w:hideMark/>
          </w:tcPr>
          <w:p w14:paraId="259FBB1B" w14:textId="77777777" w:rsidR="00FD3D60" w:rsidRPr="006A710F" w:rsidRDefault="00FD3D60" w:rsidP="00985591">
            <w:pPr>
              <w:spacing w:line="276" w:lineRule="auto"/>
              <w:jc w:val="center"/>
              <w:rPr>
                <w:rFonts w:ascii="Book Antiqua" w:hAnsi="Book Antiqua"/>
                <w:color w:val="000000"/>
                <w:sz w:val="16"/>
                <w:szCs w:val="16"/>
                <w:lang w:eastAsia="es-CR"/>
              </w:rPr>
            </w:pPr>
            <w:r w:rsidRPr="006A710F">
              <w:rPr>
                <w:rFonts w:ascii="Book Antiqua" w:hAnsi="Book Antiqua"/>
                <w:color w:val="000000"/>
                <w:sz w:val="16"/>
                <w:szCs w:val="16"/>
                <w:lang w:eastAsia="es-CR"/>
              </w:rPr>
              <w:t> </w:t>
            </w:r>
          </w:p>
        </w:tc>
      </w:tr>
      <w:tr w:rsidR="00FD3D60" w:rsidRPr="006A710F" w14:paraId="0D38F50F" w14:textId="77777777" w:rsidTr="006A710F">
        <w:trPr>
          <w:trHeight w:val="290"/>
          <w:jc w:val="center"/>
        </w:trPr>
        <w:tc>
          <w:tcPr>
            <w:tcW w:w="4969" w:type="dxa"/>
            <w:tcBorders>
              <w:top w:val="nil"/>
              <w:left w:val="single" w:sz="4" w:space="0" w:color="000000"/>
              <w:bottom w:val="single" w:sz="4" w:space="0" w:color="000000"/>
              <w:right w:val="single" w:sz="4" w:space="0" w:color="000000"/>
            </w:tcBorders>
            <w:shd w:val="clear" w:color="000000" w:fill="FFFFFF"/>
            <w:noWrap/>
            <w:vAlign w:val="center"/>
            <w:hideMark/>
          </w:tcPr>
          <w:p w14:paraId="6A72C782" w14:textId="77777777" w:rsidR="00FD3D60" w:rsidRPr="006A710F" w:rsidRDefault="00FD3D60" w:rsidP="00985591">
            <w:pPr>
              <w:spacing w:line="276" w:lineRule="auto"/>
              <w:rPr>
                <w:rFonts w:ascii="Book Antiqua" w:hAnsi="Book Antiqua"/>
                <w:b/>
                <w:bCs/>
                <w:color w:val="000000"/>
                <w:sz w:val="16"/>
                <w:szCs w:val="16"/>
                <w:lang w:eastAsia="es-CR"/>
              </w:rPr>
            </w:pPr>
            <w:r w:rsidRPr="006A710F">
              <w:rPr>
                <w:rFonts w:ascii="Book Antiqua" w:hAnsi="Book Antiqua"/>
                <w:b/>
                <w:bCs/>
                <w:color w:val="000000"/>
                <w:sz w:val="16"/>
                <w:szCs w:val="16"/>
                <w:lang w:eastAsia="es-CR"/>
              </w:rPr>
              <w:t>Legales</w:t>
            </w:r>
          </w:p>
        </w:tc>
        <w:tc>
          <w:tcPr>
            <w:tcW w:w="540" w:type="dxa"/>
            <w:tcBorders>
              <w:top w:val="nil"/>
              <w:left w:val="nil"/>
              <w:bottom w:val="single" w:sz="4" w:space="0" w:color="000000"/>
              <w:right w:val="single" w:sz="4" w:space="0" w:color="000000"/>
            </w:tcBorders>
            <w:shd w:val="clear" w:color="000000" w:fill="FFFFFF"/>
            <w:noWrap/>
            <w:vAlign w:val="center"/>
            <w:hideMark/>
          </w:tcPr>
          <w:p w14:paraId="505CA529" w14:textId="77777777" w:rsidR="00FD3D60" w:rsidRPr="006A710F" w:rsidRDefault="00FD3D60" w:rsidP="00985591">
            <w:pPr>
              <w:spacing w:line="276" w:lineRule="auto"/>
              <w:jc w:val="center"/>
              <w:rPr>
                <w:rFonts w:ascii="Book Antiqua" w:hAnsi="Book Antiqua"/>
                <w:color w:val="000000"/>
                <w:sz w:val="16"/>
                <w:szCs w:val="16"/>
                <w:lang w:eastAsia="es-CR"/>
              </w:rPr>
            </w:pPr>
            <w:r w:rsidRPr="006A710F">
              <w:rPr>
                <w:rFonts w:ascii="Book Antiqua" w:hAnsi="Book Antiqua"/>
                <w:color w:val="000000"/>
                <w:sz w:val="16"/>
                <w:szCs w:val="16"/>
                <w:lang w:eastAsia="es-CR"/>
              </w:rPr>
              <w:t>271</w:t>
            </w:r>
          </w:p>
        </w:tc>
      </w:tr>
      <w:tr w:rsidR="00FD3D60" w:rsidRPr="006A710F" w14:paraId="65B308AB" w14:textId="77777777" w:rsidTr="006A710F">
        <w:trPr>
          <w:trHeight w:val="290"/>
          <w:jc w:val="center"/>
        </w:trPr>
        <w:tc>
          <w:tcPr>
            <w:tcW w:w="4969" w:type="dxa"/>
            <w:tcBorders>
              <w:top w:val="nil"/>
              <w:left w:val="single" w:sz="4" w:space="0" w:color="000000"/>
              <w:bottom w:val="single" w:sz="4" w:space="0" w:color="000000"/>
              <w:right w:val="single" w:sz="4" w:space="0" w:color="000000"/>
            </w:tcBorders>
            <w:shd w:val="clear" w:color="000000" w:fill="FFFFFF"/>
            <w:noWrap/>
            <w:vAlign w:val="center"/>
            <w:hideMark/>
          </w:tcPr>
          <w:p w14:paraId="5D1DE7C9" w14:textId="77777777" w:rsidR="00FD3D60" w:rsidRPr="006A710F" w:rsidRDefault="00FD3D60" w:rsidP="00985591">
            <w:pPr>
              <w:spacing w:line="276" w:lineRule="auto"/>
              <w:rPr>
                <w:rFonts w:ascii="Book Antiqua" w:hAnsi="Book Antiqua"/>
                <w:b/>
                <w:bCs/>
                <w:color w:val="000000"/>
                <w:sz w:val="16"/>
                <w:szCs w:val="16"/>
                <w:lang w:eastAsia="es-CR"/>
              </w:rPr>
            </w:pPr>
            <w:r w:rsidRPr="006A710F">
              <w:rPr>
                <w:rFonts w:ascii="Book Antiqua" w:hAnsi="Book Antiqua"/>
                <w:b/>
                <w:bCs/>
                <w:color w:val="000000"/>
                <w:sz w:val="16"/>
                <w:szCs w:val="16"/>
                <w:lang w:eastAsia="es-CR"/>
              </w:rPr>
              <w:t>Psicosociales</w:t>
            </w:r>
          </w:p>
        </w:tc>
        <w:tc>
          <w:tcPr>
            <w:tcW w:w="540" w:type="dxa"/>
            <w:tcBorders>
              <w:top w:val="nil"/>
              <w:left w:val="nil"/>
              <w:bottom w:val="single" w:sz="4" w:space="0" w:color="000000"/>
              <w:right w:val="single" w:sz="4" w:space="0" w:color="000000"/>
            </w:tcBorders>
            <w:shd w:val="clear" w:color="000000" w:fill="FFFFFF"/>
            <w:noWrap/>
            <w:vAlign w:val="center"/>
            <w:hideMark/>
          </w:tcPr>
          <w:p w14:paraId="5F51F1B8" w14:textId="77777777" w:rsidR="00FD3D60" w:rsidRPr="006A710F" w:rsidRDefault="00FD3D60" w:rsidP="00985591">
            <w:pPr>
              <w:spacing w:line="276" w:lineRule="auto"/>
              <w:jc w:val="center"/>
              <w:rPr>
                <w:rFonts w:ascii="Book Antiqua" w:hAnsi="Book Antiqua"/>
                <w:color w:val="000000"/>
                <w:sz w:val="16"/>
                <w:szCs w:val="16"/>
                <w:lang w:eastAsia="es-CR"/>
              </w:rPr>
            </w:pPr>
            <w:r w:rsidRPr="006A710F">
              <w:rPr>
                <w:rFonts w:ascii="Book Antiqua" w:hAnsi="Book Antiqua"/>
                <w:color w:val="000000"/>
                <w:sz w:val="16"/>
                <w:szCs w:val="16"/>
                <w:lang w:eastAsia="es-CR"/>
              </w:rPr>
              <w:t>220</w:t>
            </w:r>
          </w:p>
        </w:tc>
      </w:tr>
      <w:tr w:rsidR="00FD3D60" w:rsidRPr="006A710F" w14:paraId="38987C92" w14:textId="77777777" w:rsidTr="006A710F">
        <w:trPr>
          <w:trHeight w:val="290"/>
          <w:jc w:val="center"/>
        </w:trPr>
        <w:tc>
          <w:tcPr>
            <w:tcW w:w="4969" w:type="dxa"/>
            <w:tcBorders>
              <w:top w:val="nil"/>
              <w:left w:val="single" w:sz="4" w:space="0" w:color="000000"/>
              <w:bottom w:val="single" w:sz="4" w:space="0" w:color="000000"/>
              <w:right w:val="single" w:sz="4" w:space="0" w:color="000000"/>
            </w:tcBorders>
            <w:shd w:val="clear" w:color="000000" w:fill="FFFFFF"/>
            <w:noWrap/>
            <w:vAlign w:val="center"/>
            <w:hideMark/>
          </w:tcPr>
          <w:p w14:paraId="20606662" w14:textId="77777777" w:rsidR="00FD3D60" w:rsidRPr="006A710F" w:rsidRDefault="00FD3D60" w:rsidP="00985591">
            <w:pPr>
              <w:spacing w:line="276" w:lineRule="auto"/>
              <w:rPr>
                <w:rFonts w:ascii="Book Antiqua" w:hAnsi="Book Antiqua"/>
                <w:b/>
                <w:bCs/>
                <w:color w:val="000000"/>
                <w:sz w:val="16"/>
                <w:szCs w:val="16"/>
                <w:lang w:eastAsia="es-CR"/>
              </w:rPr>
            </w:pPr>
            <w:r w:rsidRPr="006A710F">
              <w:rPr>
                <w:rFonts w:ascii="Book Antiqua" w:hAnsi="Book Antiqua"/>
                <w:b/>
                <w:bCs/>
                <w:color w:val="000000"/>
                <w:sz w:val="16"/>
                <w:szCs w:val="16"/>
                <w:lang w:eastAsia="es-CR"/>
              </w:rPr>
              <w:t>Seguimiento de medidas alternas</w:t>
            </w:r>
          </w:p>
        </w:tc>
        <w:tc>
          <w:tcPr>
            <w:tcW w:w="540" w:type="dxa"/>
            <w:tcBorders>
              <w:top w:val="nil"/>
              <w:left w:val="nil"/>
              <w:bottom w:val="single" w:sz="4" w:space="0" w:color="000000"/>
              <w:right w:val="single" w:sz="4" w:space="0" w:color="000000"/>
            </w:tcBorders>
            <w:shd w:val="clear" w:color="000000" w:fill="FFFFFF"/>
            <w:noWrap/>
            <w:vAlign w:val="center"/>
            <w:hideMark/>
          </w:tcPr>
          <w:p w14:paraId="2D448469" w14:textId="77777777" w:rsidR="00FD3D60" w:rsidRPr="006A710F" w:rsidRDefault="00FD3D60" w:rsidP="00985591">
            <w:pPr>
              <w:spacing w:line="276" w:lineRule="auto"/>
              <w:jc w:val="center"/>
              <w:rPr>
                <w:rFonts w:ascii="Book Antiqua" w:hAnsi="Book Antiqua"/>
                <w:color w:val="000000"/>
                <w:sz w:val="16"/>
                <w:szCs w:val="16"/>
                <w:lang w:eastAsia="es-CR"/>
              </w:rPr>
            </w:pPr>
            <w:r w:rsidRPr="006A710F">
              <w:rPr>
                <w:rFonts w:ascii="Book Antiqua" w:hAnsi="Book Antiqua"/>
                <w:color w:val="000000"/>
                <w:sz w:val="16"/>
                <w:szCs w:val="16"/>
                <w:lang w:eastAsia="es-CR"/>
              </w:rPr>
              <w:t>180</w:t>
            </w:r>
          </w:p>
        </w:tc>
      </w:tr>
    </w:tbl>
    <w:p w14:paraId="3076CF57" w14:textId="77777777" w:rsidR="008C7C95" w:rsidRPr="004F0E92" w:rsidRDefault="008C7C95" w:rsidP="00985591">
      <w:pPr>
        <w:spacing w:line="276" w:lineRule="auto"/>
        <w:jc w:val="center"/>
        <w:rPr>
          <w:rFonts w:ascii="Book Antiqua" w:hAnsi="Book Antiqua"/>
          <w:b/>
          <w:bCs/>
          <w:color w:val="000000" w:themeColor="text1"/>
          <w:sz w:val="20"/>
          <w:szCs w:val="20"/>
        </w:rPr>
      </w:pPr>
      <w:r w:rsidRPr="008C7C95">
        <w:rPr>
          <w:rFonts w:ascii="Book Antiqua" w:hAnsi="Book Antiqua"/>
          <w:b/>
          <w:bCs/>
          <w:color w:val="000000" w:themeColor="text1"/>
          <w:sz w:val="20"/>
          <w:szCs w:val="20"/>
        </w:rPr>
        <w:t xml:space="preserve">Fuente: </w:t>
      </w:r>
      <w:r w:rsidRPr="008C7C95">
        <w:rPr>
          <w:rFonts w:ascii="Book Antiqua" w:hAnsi="Book Antiqua"/>
          <w:color w:val="000000" w:themeColor="text1"/>
          <w:sz w:val="20"/>
          <w:szCs w:val="20"/>
        </w:rPr>
        <w:t>Elaborado por la Oficina Rectora de Justica Restaurativa</w:t>
      </w:r>
    </w:p>
    <w:p w14:paraId="6BDDE98A" w14:textId="135343D1" w:rsidR="00BD4B1F" w:rsidRDefault="00BD4B1F" w:rsidP="00985591">
      <w:pPr>
        <w:spacing w:line="276" w:lineRule="auto"/>
        <w:rPr>
          <w:rFonts w:ascii="Arial" w:hAnsi="Arial" w:cs="Arial"/>
          <w:b/>
          <w:bCs/>
          <w:color w:val="FFFFFF" w:themeColor="background1"/>
          <w:sz w:val="22"/>
          <w:szCs w:val="22"/>
        </w:rPr>
      </w:pPr>
    </w:p>
    <w:p w14:paraId="4AD4838E" w14:textId="5CB6C182" w:rsidR="00F419C9" w:rsidRDefault="00F419C9" w:rsidP="00985591">
      <w:pPr>
        <w:spacing w:line="276" w:lineRule="auto"/>
        <w:jc w:val="center"/>
        <w:rPr>
          <w:rFonts w:ascii="Book Antiqua" w:hAnsi="Book Antiqua"/>
        </w:rPr>
      </w:pPr>
    </w:p>
    <w:p w14:paraId="704A2F3A" w14:textId="437266D4" w:rsidR="00176631" w:rsidRDefault="00176631" w:rsidP="00985591">
      <w:pPr>
        <w:spacing w:line="276" w:lineRule="auto"/>
        <w:jc w:val="both"/>
        <w:rPr>
          <w:rFonts w:ascii="Book Antiqua" w:hAnsi="Book Antiqua"/>
        </w:rPr>
      </w:pPr>
      <w:r w:rsidRPr="004F0E92">
        <w:rPr>
          <w:rFonts w:ascii="Book Antiqua" w:hAnsi="Book Antiqua"/>
        </w:rPr>
        <w:t xml:space="preserve">A continuación, los datos más relevantes del mes de </w:t>
      </w:r>
      <w:r>
        <w:rPr>
          <w:rFonts w:ascii="Book Antiqua" w:hAnsi="Book Antiqua"/>
        </w:rPr>
        <w:t>mayo</w:t>
      </w:r>
      <w:r w:rsidRPr="004F0E92">
        <w:rPr>
          <w:rFonts w:ascii="Book Antiqua" w:hAnsi="Book Antiqua"/>
        </w:rPr>
        <w:t xml:space="preserve"> de 202</w:t>
      </w:r>
      <w:r>
        <w:rPr>
          <w:rFonts w:ascii="Book Antiqua" w:hAnsi="Book Antiqua"/>
        </w:rPr>
        <w:t>1</w:t>
      </w:r>
      <w:r w:rsidRPr="004F0E92">
        <w:rPr>
          <w:rFonts w:ascii="Book Antiqua" w:hAnsi="Book Antiqua"/>
        </w:rPr>
        <w:t xml:space="preserve"> de Justicia Juvenil Restaurativa</w:t>
      </w:r>
      <w:r w:rsidR="00BF22A7">
        <w:rPr>
          <w:rFonts w:ascii="Book Antiqua" w:hAnsi="Book Antiqua"/>
        </w:rPr>
        <w:t>:</w:t>
      </w:r>
      <w:r w:rsidRPr="004F0E92">
        <w:rPr>
          <w:rFonts w:ascii="Book Antiqua" w:hAnsi="Book Antiqua"/>
        </w:rPr>
        <w:t xml:space="preserve"> </w:t>
      </w:r>
    </w:p>
    <w:p w14:paraId="6F80BE2F" w14:textId="77777777" w:rsidR="00BF22A7" w:rsidRPr="004F0E92" w:rsidRDefault="00BF22A7" w:rsidP="00985591">
      <w:pPr>
        <w:spacing w:line="276" w:lineRule="auto"/>
        <w:jc w:val="both"/>
        <w:rPr>
          <w:rFonts w:ascii="Book Antiqua" w:hAnsi="Book Antiqua"/>
        </w:rPr>
      </w:pPr>
    </w:p>
    <w:p w14:paraId="5C5C2080" w14:textId="075F06DA" w:rsidR="00BF22A7" w:rsidRPr="00BF2ABA" w:rsidRDefault="00BF22A7" w:rsidP="00985591">
      <w:pPr>
        <w:spacing w:line="276" w:lineRule="auto"/>
        <w:jc w:val="both"/>
        <w:rPr>
          <w:rFonts w:ascii="Book Antiqua" w:hAnsi="Book Antiqua"/>
        </w:rPr>
      </w:pPr>
      <w:r w:rsidRPr="00BF2ABA">
        <w:rPr>
          <w:rFonts w:ascii="Book Antiqua" w:hAnsi="Book Antiqua"/>
        </w:rPr>
        <w:t>Se</w:t>
      </w:r>
      <w:r w:rsidR="00716590">
        <w:rPr>
          <w:rFonts w:ascii="Book Antiqua" w:hAnsi="Book Antiqua"/>
        </w:rPr>
        <w:t xml:space="preserve"> visualiza que, </w:t>
      </w:r>
      <w:r w:rsidRPr="00BF2ABA">
        <w:rPr>
          <w:rFonts w:ascii="Book Antiqua" w:hAnsi="Book Antiqua"/>
        </w:rPr>
        <w:t>del total de reuniones restaurativas (</w:t>
      </w:r>
      <w:r>
        <w:rPr>
          <w:rFonts w:ascii="Book Antiqua" w:hAnsi="Book Antiqua"/>
        </w:rPr>
        <w:t>32</w:t>
      </w:r>
      <w:r w:rsidRPr="00BF2ABA">
        <w:rPr>
          <w:rFonts w:ascii="Book Antiqua" w:hAnsi="Book Antiqua"/>
        </w:rPr>
        <w:t xml:space="preserve">), el </w:t>
      </w:r>
      <w:r>
        <w:rPr>
          <w:rFonts w:ascii="Book Antiqua" w:hAnsi="Book Antiqua"/>
        </w:rPr>
        <w:t>87.50</w:t>
      </w:r>
      <w:r w:rsidRPr="00BF2ABA">
        <w:rPr>
          <w:rFonts w:ascii="Book Antiqua" w:hAnsi="Book Antiqua"/>
        </w:rPr>
        <w:t xml:space="preserve">% de estas se realizaron, además, de ese porcentaje el </w:t>
      </w:r>
      <w:r>
        <w:rPr>
          <w:rFonts w:ascii="Book Antiqua" w:hAnsi="Book Antiqua"/>
        </w:rPr>
        <w:t>100</w:t>
      </w:r>
      <w:r w:rsidRPr="00BF2ABA">
        <w:rPr>
          <w:rFonts w:ascii="Book Antiqua" w:hAnsi="Book Antiqua"/>
        </w:rPr>
        <w:t xml:space="preserve">% tuvieron acuerdos, el porcentaje de las no realizadas fue de un </w:t>
      </w:r>
      <w:r>
        <w:rPr>
          <w:rFonts w:ascii="Book Antiqua" w:hAnsi="Book Antiqua"/>
        </w:rPr>
        <w:t>12.50</w:t>
      </w:r>
      <w:r w:rsidRPr="00BF2ABA">
        <w:rPr>
          <w:rFonts w:ascii="Book Antiqua" w:hAnsi="Book Antiqua"/>
        </w:rPr>
        <w:t xml:space="preserve">%. En relación con las audiencias de verificación señaladas (en total </w:t>
      </w:r>
      <w:r>
        <w:rPr>
          <w:rFonts w:ascii="Book Antiqua" w:hAnsi="Book Antiqua"/>
        </w:rPr>
        <w:t>9</w:t>
      </w:r>
      <w:r w:rsidRPr="00BF2ABA">
        <w:rPr>
          <w:rFonts w:ascii="Book Antiqua" w:hAnsi="Book Antiqua"/>
        </w:rPr>
        <w:t xml:space="preserve">), las realizadas fueron de un </w:t>
      </w:r>
      <w:r>
        <w:rPr>
          <w:rFonts w:ascii="Book Antiqua" w:hAnsi="Book Antiqua"/>
        </w:rPr>
        <w:t>66.67</w:t>
      </w:r>
      <w:r w:rsidRPr="00BF2ABA">
        <w:rPr>
          <w:rFonts w:ascii="Book Antiqua" w:hAnsi="Book Antiqua"/>
        </w:rPr>
        <w:t xml:space="preserve">%, no realizadas un </w:t>
      </w:r>
      <w:r>
        <w:rPr>
          <w:rFonts w:ascii="Book Antiqua" w:hAnsi="Book Antiqua"/>
        </w:rPr>
        <w:t>33.33</w:t>
      </w:r>
      <w:r w:rsidRPr="00BF2ABA">
        <w:rPr>
          <w:rFonts w:ascii="Book Antiqua" w:hAnsi="Book Antiqua"/>
        </w:rPr>
        <w:t xml:space="preserve">% y las revocadas de un cero por ciento. </w:t>
      </w:r>
    </w:p>
    <w:p w14:paraId="5557C051" w14:textId="77777777" w:rsidR="00BF22A7" w:rsidRPr="00BF2ABA" w:rsidRDefault="00BF22A7" w:rsidP="00985591">
      <w:pPr>
        <w:spacing w:line="276" w:lineRule="auto"/>
        <w:jc w:val="both"/>
        <w:rPr>
          <w:rFonts w:ascii="Book Antiqua" w:hAnsi="Book Antiqua"/>
        </w:rPr>
      </w:pPr>
    </w:p>
    <w:p w14:paraId="2279B9E5" w14:textId="77777777" w:rsidR="00BF22A7" w:rsidRPr="004F0E92" w:rsidRDefault="00BF22A7" w:rsidP="00985591">
      <w:pPr>
        <w:spacing w:line="276" w:lineRule="auto"/>
        <w:jc w:val="both"/>
        <w:rPr>
          <w:rFonts w:ascii="Book Antiqua" w:hAnsi="Book Antiqua"/>
        </w:rPr>
      </w:pPr>
      <w:r w:rsidRPr="00BF2ABA">
        <w:rPr>
          <w:rFonts w:ascii="Book Antiqua" w:hAnsi="Book Antiqua"/>
        </w:rPr>
        <w:t>Las demás actividades relacionadas con red de apoyo y entrevistas se visualizan en el siguiente cuadro:</w:t>
      </w:r>
    </w:p>
    <w:p w14:paraId="2534F9FF" w14:textId="7C6782A0" w:rsidR="00176631" w:rsidRDefault="00176631" w:rsidP="00DD6E9A">
      <w:pPr>
        <w:spacing w:line="276" w:lineRule="auto"/>
        <w:rPr>
          <w:rFonts w:ascii="Book Antiqua" w:hAnsi="Book Antiqua"/>
          <w:lang w:eastAsia="en-US"/>
        </w:rPr>
      </w:pPr>
    </w:p>
    <w:p w14:paraId="0A39B3D2" w14:textId="47469507" w:rsidR="00176631" w:rsidRPr="00FD3D60" w:rsidRDefault="00176631" w:rsidP="00985591">
      <w:pPr>
        <w:spacing w:line="276" w:lineRule="auto"/>
        <w:jc w:val="center"/>
        <w:rPr>
          <w:rFonts w:ascii="Book Antiqua" w:hAnsi="Book Antiqua"/>
          <w:b/>
          <w:bCs/>
        </w:rPr>
      </w:pPr>
      <w:r w:rsidRPr="00FD3D60">
        <w:rPr>
          <w:rFonts w:ascii="Book Antiqua" w:hAnsi="Book Antiqua"/>
          <w:b/>
          <w:bCs/>
        </w:rPr>
        <w:t>Cuadro 4</w:t>
      </w:r>
      <w:r w:rsidR="00B03152">
        <w:rPr>
          <w:rFonts w:ascii="Book Antiqua" w:hAnsi="Book Antiqua"/>
          <w:b/>
          <w:bCs/>
        </w:rPr>
        <w:t>2</w:t>
      </w:r>
    </w:p>
    <w:p w14:paraId="62B43F47" w14:textId="71A1A687" w:rsidR="00176631" w:rsidRPr="00FD3D60" w:rsidRDefault="00176631" w:rsidP="00985591">
      <w:pPr>
        <w:spacing w:line="276" w:lineRule="auto"/>
        <w:jc w:val="center"/>
        <w:rPr>
          <w:rFonts w:ascii="Book Antiqua" w:hAnsi="Book Antiqua" w:cs="Arial"/>
        </w:rPr>
      </w:pPr>
      <w:r>
        <w:rPr>
          <w:rFonts w:ascii="Book Antiqua" w:hAnsi="Book Antiqua" w:cs="Arial"/>
        </w:rPr>
        <w:t>E</w:t>
      </w:r>
      <w:r w:rsidRPr="00FD3D60">
        <w:rPr>
          <w:rFonts w:ascii="Book Antiqua" w:hAnsi="Book Antiqua" w:cs="Arial"/>
        </w:rPr>
        <w:t>stadísticas Justicia</w:t>
      </w:r>
      <w:r>
        <w:rPr>
          <w:rFonts w:ascii="Book Antiqua" w:hAnsi="Book Antiqua" w:cs="Arial"/>
        </w:rPr>
        <w:t xml:space="preserve"> Juvenil </w:t>
      </w:r>
      <w:r w:rsidRPr="00FD3D60">
        <w:rPr>
          <w:rFonts w:ascii="Book Antiqua" w:hAnsi="Book Antiqua" w:cs="Arial"/>
        </w:rPr>
        <w:t xml:space="preserve">Restaurativa </w:t>
      </w:r>
    </w:p>
    <w:p w14:paraId="2A0B2FE8" w14:textId="79D001D6" w:rsidR="00176631" w:rsidRPr="00B03152" w:rsidRDefault="00176631" w:rsidP="00B03152">
      <w:pPr>
        <w:spacing w:line="276" w:lineRule="auto"/>
        <w:jc w:val="center"/>
        <w:rPr>
          <w:rFonts w:ascii="Book Antiqua" w:hAnsi="Book Antiqua" w:cs="Arial"/>
        </w:rPr>
      </w:pPr>
      <w:r w:rsidRPr="00FD3D60">
        <w:rPr>
          <w:rFonts w:ascii="Book Antiqua" w:hAnsi="Book Antiqua" w:cs="Arial"/>
        </w:rPr>
        <w:t xml:space="preserve">durante </w:t>
      </w:r>
      <w:r>
        <w:rPr>
          <w:rFonts w:ascii="Book Antiqua" w:hAnsi="Book Antiqua" w:cs="Arial"/>
        </w:rPr>
        <w:t>mayo</w:t>
      </w:r>
      <w:r w:rsidRPr="00FD3D60">
        <w:rPr>
          <w:rFonts w:ascii="Book Antiqua" w:hAnsi="Book Antiqua" w:cs="Arial"/>
        </w:rPr>
        <w:t xml:space="preserve"> 2021</w:t>
      </w:r>
    </w:p>
    <w:tbl>
      <w:tblPr>
        <w:tblW w:w="5641" w:type="dxa"/>
        <w:jc w:val="center"/>
        <w:tblCellMar>
          <w:left w:w="70" w:type="dxa"/>
          <w:right w:w="70" w:type="dxa"/>
        </w:tblCellMar>
        <w:tblLook w:val="04A0" w:firstRow="1" w:lastRow="0" w:firstColumn="1" w:lastColumn="0" w:noHBand="0" w:noVBand="1"/>
      </w:tblPr>
      <w:tblGrid>
        <w:gridCol w:w="4441"/>
        <w:gridCol w:w="1200"/>
      </w:tblGrid>
      <w:tr w:rsidR="00176631" w:rsidRPr="006A710F" w14:paraId="45483C6B" w14:textId="77777777" w:rsidTr="006A710F">
        <w:trPr>
          <w:trHeight w:val="290"/>
          <w:jc w:val="center"/>
        </w:trPr>
        <w:tc>
          <w:tcPr>
            <w:tcW w:w="5641" w:type="dxa"/>
            <w:gridSpan w:val="2"/>
            <w:tcBorders>
              <w:top w:val="single" w:sz="4" w:space="0" w:color="000000"/>
              <w:left w:val="single" w:sz="4" w:space="0" w:color="000000"/>
              <w:bottom w:val="single" w:sz="4" w:space="0" w:color="000000"/>
              <w:right w:val="single" w:sz="4" w:space="0" w:color="000000"/>
            </w:tcBorders>
            <w:shd w:val="clear" w:color="000000" w:fill="305496"/>
            <w:vAlign w:val="center"/>
            <w:hideMark/>
          </w:tcPr>
          <w:p w14:paraId="5FA48326" w14:textId="77777777" w:rsidR="00176631" w:rsidRPr="006A710F" w:rsidRDefault="00176631" w:rsidP="00985591">
            <w:pPr>
              <w:spacing w:line="276" w:lineRule="auto"/>
              <w:jc w:val="center"/>
              <w:rPr>
                <w:rFonts w:ascii="Book Antiqua" w:hAnsi="Book Antiqua"/>
                <w:b/>
                <w:bCs/>
                <w:color w:val="FFFFFF"/>
                <w:sz w:val="16"/>
                <w:szCs w:val="16"/>
                <w:lang w:eastAsia="es-CR"/>
              </w:rPr>
            </w:pPr>
            <w:r w:rsidRPr="006A710F">
              <w:rPr>
                <w:rFonts w:ascii="Book Antiqua" w:hAnsi="Book Antiqua"/>
                <w:b/>
                <w:bCs/>
                <w:color w:val="FFFFFF"/>
                <w:sz w:val="16"/>
                <w:szCs w:val="16"/>
                <w:lang w:eastAsia="es-CR"/>
              </w:rPr>
              <w:t xml:space="preserve">Estadísticas Justicia Juvenil Restaurativa </w:t>
            </w:r>
          </w:p>
        </w:tc>
      </w:tr>
      <w:tr w:rsidR="00176631" w:rsidRPr="006A710F" w14:paraId="3DC4DBD0" w14:textId="77777777" w:rsidTr="006A710F">
        <w:trPr>
          <w:trHeight w:val="290"/>
          <w:jc w:val="center"/>
        </w:trPr>
        <w:tc>
          <w:tcPr>
            <w:tcW w:w="5641" w:type="dxa"/>
            <w:gridSpan w:val="2"/>
            <w:tcBorders>
              <w:top w:val="single" w:sz="4" w:space="0" w:color="000000"/>
              <w:left w:val="single" w:sz="4" w:space="0" w:color="000000"/>
              <w:bottom w:val="single" w:sz="4" w:space="0" w:color="000000"/>
              <w:right w:val="single" w:sz="4" w:space="0" w:color="000000"/>
            </w:tcBorders>
            <w:shd w:val="clear" w:color="000000" w:fill="305496"/>
            <w:vAlign w:val="center"/>
            <w:hideMark/>
          </w:tcPr>
          <w:p w14:paraId="7F42B91F" w14:textId="77777777" w:rsidR="00176631" w:rsidRPr="006A710F" w:rsidRDefault="00176631" w:rsidP="00985591">
            <w:pPr>
              <w:spacing w:line="276" w:lineRule="auto"/>
              <w:jc w:val="center"/>
              <w:rPr>
                <w:rFonts w:ascii="Book Antiqua" w:hAnsi="Book Antiqua"/>
                <w:b/>
                <w:bCs/>
                <w:color w:val="FFFFFF"/>
                <w:sz w:val="16"/>
                <w:szCs w:val="16"/>
                <w:lang w:eastAsia="es-CR"/>
              </w:rPr>
            </w:pPr>
            <w:r w:rsidRPr="006A710F">
              <w:rPr>
                <w:rFonts w:ascii="Book Antiqua" w:hAnsi="Book Antiqua"/>
                <w:b/>
                <w:bCs/>
                <w:color w:val="FFFFFF"/>
                <w:sz w:val="16"/>
                <w:szCs w:val="16"/>
                <w:lang w:eastAsia="es-CR"/>
              </w:rPr>
              <w:t>may-21</w:t>
            </w:r>
          </w:p>
        </w:tc>
      </w:tr>
      <w:tr w:rsidR="00176631" w:rsidRPr="006A710F" w14:paraId="236B8578" w14:textId="77777777" w:rsidTr="006A710F">
        <w:trPr>
          <w:trHeight w:val="290"/>
          <w:jc w:val="center"/>
        </w:trPr>
        <w:tc>
          <w:tcPr>
            <w:tcW w:w="4441" w:type="dxa"/>
            <w:tcBorders>
              <w:top w:val="nil"/>
              <w:left w:val="single" w:sz="4" w:space="0" w:color="000000"/>
              <w:bottom w:val="single" w:sz="4" w:space="0" w:color="000000"/>
              <w:right w:val="single" w:sz="4" w:space="0" w:color="000000"/>
            </w:tcBorders>
            <w:shd w:val="clear" w:color="000000" w:fill="DDEBF7"/>
            <w:vAlign w:val="center"/>
            <w:hideMark/>
          </w:tcPr>
          <w:p w14:paraId="443196A6" w14:textId="77777777" w:rsidR="00176631" w:rsidRPr="006A710F" w:rsidRDefault="00176631" w:rsidP="00985591">
            <w:pPr>
              <w:spacing w:line="276" w:lineRule="auto"/>
              <w:rPr>
                <w:rFonts w:ascii="Book Antiqua" w:hAnsi="Book Antiqua"/>
                <w:b/>
                <w:bCs/>
                <w:color w:val="000000"/>
                <w:sz w:val="16"/>
                <w:szCs w:val="16"/>
                <w:lang w:eastAsia="es-CR"/>
              </w:rPr>
            </w:pPr>
            <w:r w:rsidRPr="006A710F">
              <w:rPr>
                <w:rFonts w:ascii="Book Antiqua" w:hAnsi="Book Antiqua"/>
                <w:b/>
                <w:bCs/>
                <w:color w:val="000000"/>
                <w:sz w:val="16"/>
                <w:szCs w:val="16"/>
                <w:lang w:eastAsia="es-CR"/>
              </w:rPr>
              <w:t>Reuniones Restaurativas señaladas</w:t>
            </w:r>
          </w:p>
        </w:tc>
        <w:tc>
          <w:tcPr>
            <w:tcW w:w="1200" w:type="dxa"/>
            <w:tcBorders>
              <w:top w:val="nil"/>
              <w:left w:val="nil"/>
              <w:bottom w:val="single" w:sz="4" w:space="0" w:color="000000"/>
              <w:right w:val="single" w:sz="4" w:space="0" w:color="000000"/>
            </w:tcBorders>
            <w:shd w:val="clear" w:color="000000" w:fill="DDEBF7"/>
            <w:vAlign w:val="center"/>
            <w:hideMark/>
          </w:tcPr>
          <w:p w14:paraId="3D6D4136" w14:textId="77777777" w:rsidR="00176631" w:rsidRPr="006A710F" w:rsidRDefault="00176631" w:rsidP="00985591">
            <w:pPr>
              <w:spacing w:line="276" w:lineRule="auto"/>
              <w:jc w:val="center"/>
              <w:rPr>
                <w:rFonts w:ascii="Book Antiqua" w:hAnsi="Book Antiqua"/>
                <w:b/>
                <w:bCs/>
                <w:color w:val="000000"/>
                <w:sz w:val="16"/>
                <w:szCs w:val="16"/>
                <w:lang w:eastAsia="es-CR"/>
              </w:rPr>
            </w:pPr>
            <w:r w:rsidRPr="006A710F">
              <w:rPr>
                <w:rFonts w:ascii="Book Antiqua" w:hAnsi="Book Antiqua"/>
                <w:b/>
                <w:bCs/>
                <w:color w:val="000000"/>
                <w:sz w:val="16"/>
                <w:szCs w:val="16"/>
                <w:lang w:eastAsia="es-CR"/>
              </w:rPr>
              <w:t>32</w:t>
            </w:r>
          </w:p>
        </w:tc>
      </w:tr>
      <w:tr w:rsidR="00176631" w:rsidRPr="006A710F" w14:paraId="693BD3A0" w14:textId="77777777" w:rsidTr="006A710F">
        <w:trPr>
          <w:trHeight w:val="290"/>
          <w:jc w:val="center"/>
        </w:trPr>
        <w:tc>
          <w:tcPr>
            <w:tcW w:w="4441" w:type="dxa"/>
            <w:tcBorders>
              <w:top w:val="nil"/>
              <w:left w:val="single" w:sz="4" w:space="0" w:color="000000"/>
              <w:bottom w:val="single" w:sz="4" w:space="0" w:color="000000"/>
              <w:right w:val="single" w:sz="4" w:space="0" w:color="000000"/>
            </w:tcBorders>
            <w:shd w:val="clear" w:color="000000" w:fill="FFFFFF"/>
            <w:vAlign w:val="center"/>
            <w:hideMark/>
          </w:tcPr>
          <w:p w14:paraId="6EEBFFB1" w14:textId="77777777" w:rsidR="00176631" w:rsidRPr="006A710F" w:rsidRDefault="00176631" w:rsidP="00985591">
            <w:pPr>
              <w:spacing w:line="276" w:lineRule="auto"/>
              <w:rPr>
                <w:rFonts w:ascii="Book Antiqua" w:hAnsi="Book Antiqua"/>
                <w:b/>
                <w:bCs/>
                <w:color w:val="000000"/>
                <w:sz w:val="16"/>
                <w:szCs w:val="16"/>
                <w:lang w:eastAsia="es-CR"/>
              </w:rPr>
            </w:pPr>
            <w:r w:rsidRPr="006A710F">
              <w:rPr>
                <w:rFonts w:ascii="Book Antiqua" w:hAnsi="Book Antiqua"/>
                <w:b/>
                <w:bCs/>
                <w:color w:val="000000"/>
                <w:sz w:val="16"/>
                <w:szCs w:val="16"/>
                <w:lang w:eastAsia="es-CR"/>
              </w:rPr>
              <w:t>Realizadas</w:t>
            </w:r>
          </w:p>
        </w:tc>
        <w:tc>
          <w:tcPr>
            <w:tcW w:w="1200" w:type="dxa"/>
            <w:tcBorders>
              <w:top w:val="nil"/>
              <w:left w:val="nil"/>
              <w:bottom w:val="single" w:sz="4" w:space="0" w:color="000000"/>
              <w:right w:val="single" w:sz="4" w:space="0" w:color="000000"/>
            </w:tcBorders>
            <w:shd w:val="clear" w:color="000000" w:fill="FFFFFF"/>
            <w:vAlign w:val="center"/>
            <w:hideMark/>
          </w:tcPr>
          <w:p w14:paraId="6EBD24DB" w14:textId="77777777" w:rsidR="00176631" w:rsidRPr="006A710F" w:rsidRDefault="00176631" w:rsidP="00985591">
            <w:pPr>
              <w:spacing w:line="276" w:lineRule="auto"/>
              <w:jc w:val="center"/>
              <w:rPr>
                <w:rFonts w:ascii="Book Antiqua" w:hAnsi="Book Antiqua"/>
                <w:color w:val="000000"/>
                <w:sz w:val="16"/>
                <w:szCs w:val="16"/>
                <w:lang w:eastAsia="es-CR"/>
              </w:rPr>
            </w:pPr>
            <w:r w:rsidRPr="006A710F">
              <w:rPr>
                <w:rFonts w:ascii="Book Antiqua" w:hAnsi="Book Antiqua"/>
                <w:color w:val="000000"/>
                <w:sz w:val="16"/>
                <w:szCs w:val="16"/>
                <w:lang w:eastAsia="es-CR"/>
              </w:rPr>
              <w:t>28</w:t>
            </w:r>
          </w:p>
        </w:tc>
      </w:tr>
      <w:tr w:rsidR="00176631" w:rsidRPr="006A710F" w14:paraId="03B4A93C" w14:textId="77777777" w:rsidTr="006A710F">
        <w:trPr>
          <w:trHeight w:val="290"/>
          <w:jc w:val="center"/>
        </w:trPr>
        <w:tc>
          <w:tcPr>
            <w:tcW w:w="4441" w:type="dxa"/>
            <w:tcBorders>
              <w:top w:val="nil"/>
              <w:left w:val="single" w:sz="4" w:space="0" w:color="000000"/>
              <w:bottom w:val="single" w:sz="4" w:space="0" w:color="000000"/>
              <w:right w:val="single" w:sz="4" w:space="0" w:color="000000"/>
            </w:tcBorders>
            <w:shd w:val="clear" w:color="000000" w:fill="FFFFFF"/>
            <w:vAlign w:val="center"/>
            <w:hideMark/>
          </w:tcPr>
          <w:p w14:paraId="37329AE2" w14:textId="77777777" w:rsidR="00176631" w:rsidRPr="006A710F" w:rsidRDefault="00176631" w:rsidP="00985591">
            <w:pPr>
              <w:spacing w:line="276" w:lineRule="auto"/>
              <w:rPr>
                <w:rFonts w:ascii="Book Antiqua" w:hAnsi="Book Antiqua"/>
                <w:color w:val="000000"/>
                <w:sz w:val="16"/>
                <w:szCs w:val="16"/>
                <w:lang w:eastAsia="es-CR"/>
              </w:rPr>
            </w:pPr>
            <w:r w:rsidRPr="006A710F">
              <w:rPr>
                <w:rFonts w:ascii="Book Antiqua" w:hAnsi="Book Antiqua"/>
                <w:color w:val="000000"/>
                <w:sz w:val="16"/>
                <w:szCs w:val="16"/>
                <w:lang w:eastAsia="es-CR"/>
              </w:rPr>
              <w:t>Con acuerdo</w:t>
            </w:r>
          </w:p>
        </w:tc>
        <w:tc>
          <w:tcPr>
            <w:tcW w:w="1200" w:type="dxa"/>
            <w:tcBorders>
              <w:top w:val="nil"/>
              <w:left w:val="nil"/>
              <w:bottom w:val="single" w:sz="4" w:space="0" w:color="000000"/>
              <w:right w:val="single" w:sz="4" w:space="0" w:color="000000"/>
            </w:tcBorders>
            <w:shd w:val="clear" w:color="000000" w:fill="FFFFFF"/>
            <w:vAlign w:val="center"/>
            <w:hideMark/>
          </w:tcPr>
          <w:p w14:paraId="2B6CB050" w14:textId="77777777" w:rsidR="00176631" w:rsidRPr="006A710F" w:rsidRDefault="00176631" w:rsidP="00985591">
            <w:pPr>
              <w:spacing w:line="276" w:lineRule="auto"/>
              <w:jc w:val="center"/>
              <w:rPr>
                <w:rFonts w:ascii="Book Antiqua" w:hAnsi="Book Antiqua"/>
                <w:color w:val="000000"/>
                <w:sz w:val="16"/>
                <w:szCs w:val="16"/>
                <w:lang w:eastAsia="es-CR"/>
              </w:rPr>
            </w:pPr>
            <w:r w:rsidRPr="006A710F">
              <w:rPr>
                <w:rFonts w:ascii="Book Antiqua" w:hAnsi="Book Antiqua"/>
                <w:color w:val="000000"/>
                <w:sz w:val="16"/>
                <w:szCs w:val="16"/>
                <w:lang w:eastAsia="es-CR"/>
              </w:rPr>
              <w:t>28</w:t>
            </w:r>
          </w:p>
        </w:tc>
      </w:tr>
      <w:tr w:rsidR="00176631" w:rsidRPr="006A710F" w14:paraId="4E7285D1" w14:textId="77777777" w:rsidTr="006A710F">
        <w:trPr>
          <w:trHeight w:val="290"/>
          <w:jc w:val="center"/>
        </w:trPr>
        <w:tc>
          <w:tcPr>
            <w:tcW w:w="4441" w:type="dxa"/>
            <w:tcBorders>
              <w:top w:val="nil"/>
              <w:left w:val="single" w:sz="4" w:space="0" w:color="000000"/>
              <w:bottom w:val="single" w:sz="4" w:space="0" w:color="000000"/>
              <w:right w:val="single" w:sz="4" w:space="0" w:color="000000"/>
            </w:tcBorders>
            <w:shd w:val="clear" w:color="000000" w:fill="FFFFFF"/>
            <w:vAlign w:val="center"/>
            <w:hideMark/>
          </w:tcPr>
          <w:p w14:paraId="44CD10CE" w14:textId="77777777" w:rsidR="00176631" w:rsidRPr="006A710F" w:rsidRDefault="00176631" w:rsidP="00985591">
            <w:pPr>
              <w:spacing w:line="276" w:lineRule="auto"/>
              <w:rPr>
                <w:rFonts w:ascii="Book Antiqua" w:hAnsi="Book Antiqua"/>
                <w:color w:val="000000"/>
                <w:sz w:val="16"/>
                <w:szCs w:val="16"/>
                <w:lang w:eastAsia="es-CR"/>
              </w:rPr>
            </w:pPr>
            <w:r w:rsidRPr="006A710F">
              <w:rPr>
                <w:rFonts w:ascii="Book Antiqua" w:hAnsi="Book Antiqua"/>
                <w:color w:val="000000"/>
                <w:sz w:val="16"/>
                <w:szCs w:val="16"/>
                <w:lang w:eastAsia="es-CR"/>
              </w:rPr>
              <w:t>No hubo acuerdo</w:t>
            </w:r>
          </w:p>
        </w:tc>
        <w:tc>
          <w:tcPr>
            <w:tcW w:w="1200" w:type="dxa"/>
            <w:tcBorders>
              <w:top w:val="nil"/>
              <w:left w:val="nil"/>
              <w:bottom w:val="single" w:sz="4" w:space="0" w:color="000000"/>
              <w:right w:val="single" w:sz="4" w:space="0" w:color="000000"/>
            </w:tcBorders>
            <w:shd w:val="clear" w:color="000000" w:fill="FFFFFF"/>
            <w:vAlign w:val="center"/>
            <w:hideMark/>
          </w:tcPr>
          <w:p w14:paraId="0A0A768C" w14:textId="77777777" w:rsidR="00176631" w:rsidRPr="006A710F" w:rsidRDefault="00176631" w:rsidP="00985591">
            <w:pPr>
              <w:spacing w:line="276" w:lineRule="auto"/>
              <w:jc w:val="center"/>
              <w:rPr>
                <w:rFonts w:ascii="Book Antiqua" w:hAnsi="Book Antiqua"/>
                <w:color w:val="000000"/>
                <w:sz w:val="16"/>
                <w:szCs w:val="16"/>
                <w:lang w:eastAsia="es-CR"/>
              </w:rPr>
            </w:pPr>
            <w:r w:rsidRPr="006A710F">
              <w:rPr>
                <w:rFonts w:ascii="Book Antiqua" w:hAnsi="Book Antiqua"/>
                <w:color w:val="000000"/>
                <w:sz w:val="16"/>
                <w:szCs w:val="16"/>
                <w:lang w:eastAsia="es-CR"/>
              </w:rPr>
              <w:t>0</w:t>
            </w:r>
          </w:p>
        </w:tc>
      </w:tr>
      <w:tr w:rsidR="00176631" w:rsidRPr="006A710F" w14:paraId="6FFFE7A3" w14:textId="77777777" w:rsidTr="006A710F">
        <w:trPr>
          <w:trHeight w:val="290"/>
          <w:jc w:val="center"/>
        </w:trPr>
        <w:tc>
          <w:tcPr>
            <w:tcW w:w="4441" w:type="dxa"/>
            <w:tcBorders>
              <w:top w:val="nil"/>
              <w:left w:val="single" w:sz="4" w:space="0" w:color="000000"/>
              <w:bottom w:val="single" w:sz="4" w:space="0" w:color="000000"/>
              <w:right w:val="single" w:sz="4" w:space="0" w:color="000000"/>
            </w:tcBorders>
            <w:shd w:val="clear" w:color="000000" w:fill="FFFFFF"/>
            <w:vAlign w:val="center"/>
            <w:hideMark/>
          </w:tcPr>
          <w:p w14:paraId="1A847C2B" w14:textId="77777777" w:rsidR="00176631" w:rsidRPr="006A710F" w:rsidRDefault="00176631" w:rsidP="00985591">
            <w:pPr>
              <w:spacing w:line="276" w:lineRule="auto"/>
              <w:rPr>
                <w:rFonts w:ascii="Book Antiqua" w:hAnsi="Book Antiqua"/>
                <w:b/>
                <w:bCs/>
                <w:color w:val="000000"/>
                <w:sz w:val="16"/>
                <w:szCs w:val="16"/>
                <w:lang w:eastAsia="es-CR"/>
              </w:rPr>
            </w:pPr>
            <w:r w:rsidRPr="006A710F">
              <w:rPr>
                <w:rFonts w:ascii="Book Antiqua" w:hAnsi="Book Antiqua"/>
                <w:b/>
                <w:bCs/>
                <w:color w:val="000000"/>
                <w:sz w:val="16"/>
                <w:szCs w:val="16"/>
                <w:lang w:eastAsia="es-CR"/>
              </w:rPr>
              <w:t>No realizadas</w:t>
            </w:r>
          </w:p>
        </w:tc>
        <w:tc>
          <w:tcPr>
            <w:tcW w:w="1200" w:type="dxa"/>
            <w:tcBorders>
              <w:top w:val="nil"/>
              <w:left w:val="nil"/>
              <w:bottom w:val="single" w:sz="4" w:space="0" w:color="000000"/>
              <w:right w:val="single" w:sz="4" w:space="0" w:color="000000"/>
            </w:tcBorders>
            <w:shd w:val="clear" w:color="000000" w:fill="FFFFFF"/>
            <w:vAlign w:val="center"/>
            <w:hideMark/>
          </w:tcPr>
          <w:p w14:paraId="679C3DE8" w14:textId="77777777" w:rsidR="00176631" w:rsidRPr="006A710F" w:rsidRDefault="00176631" w:rsidP="00985591">
            <w:pPr>
              <w:spacing w:line="276" w:lineRule="auto"/>
              <w:jc w:val="center"/>
              <w:rPr>
                <w:rFonts w:ascii="Book Antiqua" w:hAnsi="Book Antiqua"/>
                <w:color w:val="000000"/>
                <w:sz w:val="16"/>
                <w:szCs w:val="16"/>
                <w:lang w:eastAsia="es-CR"/>
              </w:rPr>
            </w:pPr>
            <w:r w:rsidRPr="006A710F">
              <w:rPr>
                <w:rFonts w:ascii="Book Antiqua" w:hAnsi="Book Antiqua"/>
                <w:color w:val="000000"/>
                <w:sz w:val="16"/>
                <w:szCs w:val="16"/>
                <w:lang w:eastAsia="es-CR"/>
              </w:rPr>
              <w:t>4</w:t>
            </w:r>
          </w:p>
        </w:tc>
      </w:tr>
      <w:tr w:rsidR="00176631" w:rsidRPr="006A710F" w14:paraId="03A94F36" w14:textId="77777777" w:rsidTr="006A710F">
        <w:trPr>
          <w:trHeight w:val="290"/>
          <w:jc w:val="center"/>
        </w:trPr>
        <w:tc>
          <w:tcPr>
            <w:tcW w:w="4441" w:type="dxa"/>
            <w:tcBorders>
              <w:top w:val="nil"/>
              <w:left w:val="single" w:sz="4" w:space="0" w:color="000000"/>
              <w:bottom w:val="single" w:sz="4" w:space="0" w:color="000000"/>
              <w:right w:val="single" w:sz="4" w:space="0" w:color="000000"/>
            </w:tcBorders>
            <w:shd w:val="clear" w:color="000000" w:fill="DDEBF7"/>
            <w:vAlign w:val="center"/>
            <w:hideMark/>
          </w:tcPr>
          <w:p w14:paraId="476649CE" w14:textId="7B0F9C0B" w:rsidR="00176631" w:rsidRPr="006A710F" w:rsidRDefault="00176631" w:rsidP="00985591">
            <w:pPr>
              <w:spacing w:line="276" w:lineRule="auto"/>
              <w:rPr>
                <w:rFonts w:ascii="Book Antiqua" w:hAnsi="Book Antiqua"/>
                <w:b/>
                <w:bCs/>
                <w:color w:val="000000"/>
                <w:sz w:val="16"/>
                <w:szCs w:val="16"/>
                <w:lang w:eastAsia="es-CR"/>
              </w:rPr>
            </w:pPr>
            <w:r w:rsidRPr="006A710F">
              <w:rPr>
                <w:rFonts w:ascii="Book Antiqua" w:hAnsi="Book Antiqua"/>
                <w:b/>
                <w:bCs/>
                <w:color w:val="000000"/>
                <w:sz w:val="16"/>
                <w:szCs w:val="16"/>
                <w:lang w:eastAsia="es-CR"/>
              </w:rPr>
              <w:t>Audiencia Verificación Señaladas</w:t>
            </w:r>
          </w:p>
        </w:tc>
        <w:tc>
          <w:tcPr>
            <w:tcW w:w="1200" w:type="dxa"/>
            <w:tcBorders>
              <w:top w:val="nil"/>
              <w:left w:val="nil"/>
              <w:bottom w:val="single" w:sz="4" w:space="0" w:color="000000"/>
              <w:right w:val="single" w:sz="4" w:space="0" w:color="000000"/>
            </w:tcBorders>
            <w:shd w:val="clear" w:color="000000" w:fill="DDEBF7"/>
            <w:vAlign w:val="center"/>
            <w:hideMark/>
          </w:tcPr>
          <w:p w14:paraId="3A2A4BC3" w14:textId="77777777" w:rsidR="00176631" w:rsidRPr="006A710F" w:rsidRDefault="00176631" w:rsidP="00985591">
            <w:pPr>
              <w:spacing w:line="276" w:lineRule="auto"/>
              <w:jc w:val="center"/>
              <w:rPr>
                <w:rFonts w:ascii="Book Antiqua" w:hAnsi="Book Antiqua"/>
                <w:b/>
                <w:bCs/>
                <w:color w:val="000000"/>
                <w:sz w:val="16"/>
                <w:szCs w:val="16"/>
                <w:lang w:eastAsia="es-CR"/>
              </w:rPr>
            </w:pPr>
            <w:r w:rsidRPr="006A710F">
              <w:rPr>
                <w:rFonts w:ascii="Book Antiqua" w:hAnsi="Book Antiqua"/>
                <w:b/>
                <w:bCs/>
                <w:color w:val="000000"/>
                <w:sz w:val="16"/>
                <w:szCs w:val="16"/>
                <w:lang w:eastAsia="es-CR"/>
              </w:rPr>
              <w:t>9</w:t>
            </w:r>
          </w:p>
        </w:tc>
      </w:tr>
      <w:tr w:rsidR="00176631" w:rsidRPr="006A710F" w14:paraId="3DDF6D4F" w14:textId="77777777" w:rsidTr="006A710F">
        <w:trPr>
          <w:trHeight w:val="290"/>
          <w:jc w:val="center"/>
        </w:trPr>
        <w:tc>
          <w:tcPr>
            <w:tcW w:w="4441" w:type="dxa"/>
            <w:tcBorders>
              <w:top w:val="nil"/>
              <w:left w:val="single" w:sz="4" w:space="0" w:color="000000"/>
              <w:bottom w:val="single" w:sz="4" w:space="0" w:color="000000"/>
              <w:right w:val="single" w:sz="4" w:space="0" w:color="000000"/>
            </w:tcBorders>
            <w:shd w:val="clear" w:color="000000" w:fill="FFFFFF"/>
            <w:vAlign w:val="center"/>
            <w:hideMark/>
          </w:tcPr>
          <w:p w14:paraId="11507627" w14:textId="77777777" w:rsidR="00176631" w:rsidRPr="006A710F" w:rsidRDefault="00176631" w:rsidP="00985591">
            <w:pPr>
              <w:spacing w:line="276" w:lineRule="auto"/>
              <w:rPr>
                <w:rFonts w:ascii="Book Antiqua" w:hAnsi="Book Antiqua"/>
                <w:color w:val="000000"/>
                <w:sz w:val="16"/>
                <w:szCs w:val="16"/>
                <w:lang w:eastAsia="es-CR"/>
              </w:rPr>
            </w:pPr>
            <w:r w:rsidRPr="006A710F">
              <w:rPr>
                <w:rFonts w:ascii="Book Antiqua" w:hAnsi="Book Antiqua"/>
                <w:color w:val="000000"/>
                <w:sz w:val="16"/>
                <w:szCs w:val="16"/>
                <w:lang w:eastAsia="es-CR"/>
              </w:rPr>
              <w:t>Realizadas</w:t>
            </w:r>
          </w:p>
        </w:tc>
        <w:tc>
          <w:tcPr>
            <w:tcW w:w="1200" w:type="dxa"/>
            <w:tcBorders>
              <w:top w:val="nil"/>
              <w:left w:val="nil"/>
              <w:bottom w:val="single" w:sz="4" w:space="0" w:color="000000"/>
              <w:right w:val="single" w:sz="4" w:space="0" w:color="000000"/>
            </w:tcBorders>
            <w:shd w:val="clear" w:color="000000" w:fill="FFFFFF"/>
            <w:vAlign w:val="center"/>
            <w:hideMark/>
          </w:tcPr>
          <w:p w14:paraId="56D17E19" w14:textId="77777777" w:rsidR="00176631" w:rsidRPr="006A710F" w:rsidRDefault="00176631" w:rsidP="00985591">
            <w:pPr>
              <w:spacing w:line="276" w:lineRule="auto"/>
              <w:jc w:val="center"/>
              <w:rPr>
                <w:rFonts w:ascii="Book Antiqua" w:hAnsi="Book Antiqua"/>
                <w:color w:val="000000"/>
                <w:sz w:val="16"/>
                <w:szCs w:val="16"/>
                <w:lang w:eastAsia="es-CR"/>
              </w:rPr>
            </w:pPr>
            <w:r w:rsidRPr="006A710F">
              <w:rPr>
                <w:rFonts w:ascii="Book Antiqua" w:hAnsi="Book Antiqua"/>
                <w:color w:val="000000"/>
                <w:sz w:val="16"/>
                <w:szCs w:val="16"/>
                <w:lang w:eastAsia="es-CR"/>
              </w:rPr>
              <w:t>6</w:t>
            </w:r>
          </w:p>
        </w:tc>
      </w:tr>
      <w:tr w:rsidR="00176631" w:rsidRPr="006A710F" w14:paraId="53729D24" w14:textId="77777777" w:rsidTr="006A710F">
        <w:trPr>
          <w:trHeight w:val="290"/>
          <w:jc w:val="center"/>
        </w:trPr>
        <w:tc>
          <w:tcPr>
            <w:tcW w:w="4441" w:type="dxa"/>
            <w:tcBorders>
              <w:top w:val="nil"/>
              <w:left w:val="single" w:sz="4" w:space="0" w:color="000000"/>
              <w:bottom w:val="single" w:sz="4" w:space="0" w:color="000000"/>
              <w:right w:val="single" w:sz="4" w:space="0" w:color="000000"/>
            </w:tcBorders>
            <w:shd w:val="clear" w:color="000000" w:fill="FFFFFF"/>
            <w:vAlign w:val="center"/>
            <w:hideMark/>
          </w:tcPr>
          <w:p w14:paraId="3F713C93" w14:textId="77777777" w:rsidR="00176631" w:rsidRPr="006A710F" w:rsidRDefault="00176631" w:rsidP="00985591">
            <w:pPr>
              <w:spacing w:line="276" w:lineRule="auto"/>
              <w:rPr>
                <w:rFonts w:ascii="Book Antiqua" w:hAnsi="Book Antiqua"/>
                <w:color w:val="000000"/>
                <w:sz w:val="16"/>
                <w:szCs w:val="16"/>
                <w:lang w:eastAsia="es-CR"/>
              </w:rPr>
            </w:pPr>
            <w:r w:rsidRPr="006A710F">
              <w:rPr>
                <w:rFonts w:ascii="Book Antiqua" w:hAnsi="Book Antiqua"/>
                <w:color w:val="000000"/>
                <w:sz w:val="16"/>
                <w:szCs w:val="16"/>
                <w:lang w:eastAsia="es-CR"/>
              </w:rPr>
              <w:t>No realizadas</w:t>
            </w:r>
          </w:p>
        </w:tc>
        <w:tc>
          <w:tcPr>
            <w:tcW w:w="1200" w:type="dxa"/>
            <w:tcBorders>
              <w:top w:val="nil"/>
              <w:left w:val="nil"/>
              <w:bottom w:val="single" w:sz="4" w:space="0" w:color="000000"/>
              <w:right w:val="single" w:sz="4" w:space="0" w:color="000000"/>
            </w:tcBorders>
            <w:shd w:val="clear" w:color="000000" w:fill="FFFFFF"/>
            <w:vAlign w:val="center"/>
            <w:hideMark/>
          </w:tcPr>
          <w:p w14:paraId="762DBB2D" w14:textId="77777777" w:rsidR="00176631" w:rsidRPr="006A710F" w:rsidRDefault="00176631" w:rsidP="00985591">
            <w:pPr>
              <w:spacing w:line="276" w:lineRule="auto"/>
              <w:jc w:val="center"/>
              <w:rPr>
                <w:rFonts w:ascii="Book Antiqua" w:hAnsi="Book Antiqua"/>
                <w:color w:val="000000"/>
                <w:sz w:val="16"/>
                <w:szCs w:val="16"/>
                <w:lang w:eastAsia="es-CR"/>
              </w:rPr>
            </w:pPr>
            <w:r w:rsidRPr="006A710F">
              <w:rPr>
                <w:rFonts w:ascii="Book Antiqua" w:hAnsi="Book Antiqua"/>
                <w:color w:val="000000"/>
                <w:sz w:val="16"/>
                <w:szCs w:val="16"/>
                <w:lang w:eastAsia="es-CR"/>
              </w:rPr>
              <w:t>3</w:t>
            </w:r>
          </w:p>
        </w:tc>
      </w:tr>
      <w:tr w:rsidR="00176631" w:rsidRPr="006A710F" w14:paraId="63EF2B19" w14:textId="77777777" w:rsidTr="006A710F">
        <w:trPr>
          <w:trHeight w:val="290"/>
          <w:jc w:val="center"/>
        </w:trPr>
        <w:tc>
          <w:tcPr>
            <w:tcW w:w="4441" w:type="dxa"/>
            <w:tcBorders>
              <w:top w:val="nil"/>
              <w:left w:val="single" w:sz="4" w:space="0" w:color="000000"/>
              <w:bottom w:val="single" w:sz="4" w:space="0" w:color="000000"/>
              <w:right w:val="single" w:sz="4" w:space="0" w:color="000000"/>
            </w:tcBorders>
            <w:shd w:val="clear" w:color="000000" w:fill="FFFFFF"/>
            <w:vAlign w:val="center"/>
            <w:hideMark/>
          </w:tcPr>
          <w:p w14:paraId="6F034837" w14:textId="77777777" w:rsidR="00176631" w:rsidRPr="006A710F" w:rsidRDefault="00176631" w:rsidP="00985591">
            <w:pPr>
              <w:spacing w:line="276" w:lineRule="auto"/>
              <w:rPr>
                <w:rFonts w:ascii="Book Antiqua" w:hAnsi="Book Antiqua"/>
                <w:color w:val="000000"/>
                <w:sz w:val="16"/>
                <w:szCs w:val="16"/>
                <w:lang w:eastAsia="es-CR"/>
              </w:rPr>
            </w:pPr>
            <w:r w:rsidRPr="006A710F">
              <w:rPr>
                <w:rFonts w:ascii="Book Antiqua" w:hAnsi="Book Antiqua"/>
                <w:color w:val="000000"/>
                <w:sz w:val="16"/>
                <w:szCs w:val="16"/>
                <w:lang w:eastAsia="es-CR"/>
              </w:rPr>
              <w:t>Revocatoria</w:t>
            </w:r>
          </w:p>
        </w:tc>
        <w:tc>
          <w:tcPr>
            <w:tcW w:w="1200" w:type="dxa"/>
            <w:tcBorders>
              <w:top w:val="nil"/>
              <w:left w:val="nil"/>
              <w:bottom w:val="single" w:sz="4" w:space="0" w:color="000000"/>
              <w:right w:val="single" w:sz="4" w:space="0" w:color="000000"/>
            </w:tcBorders>
            <w:shd w:val="clear" w:color="000000" w:fill="FFFFFF"/>
            <w:vAlign w:val="center"/>
            <w:hideMark/>
          </w:tcPr>
          <w:p w14:paraId="6BF65386" w14:textId="77777777" w:rsidR="00176631" w:rsidRPr="006A710F" w:rsidRDefault="00176631" w:rsidP="00985591">
            <w:pPr>
              <w:spacing w:line="276" w:lineRule="auto"/>
              <w:jc w:val="center"/>
              <w:rPr>
                <w:rFonts w:ascii="Book Antiqua" w:hAnsi="Book Antiqua"/>
                <w:color w:val="000000"/>
                <w:sz w:val="16"/>
                <w:szCs w:val="16"/>
                <w:lang w:eastAsia="es-CR"/>
              </w:rPr>
            </w:pPr>
            <w:r w:rsidRPr="006A710F">
              <w:rPr>
                <w:rFonts w:ascii="Book Antiqua" w:hAnsi="Book Antiqua"/>
                <w:color w:val="000000"/>
                <w:sz w:val="16"/>
                <w:szCs w:val="16"/>
                <w:lang w:eastAsia="es-CR"/>
              </w:rPr>
              <w:t>0</w:t>
            </w:r>
          </w:p>
        </w:tc>
      </w:tr>
      <w:tr w:rsidR="00176631" w:rsidRPr="006A710F" w14:paraId="2F68337D" w14:textId="77777777" w:rsidTr="006A710F">
        <w:trPr>
          <w:trHeight w:val="290"/>
          <w:jc w:val="center"/>
        </w:trPr>
        <w:tc>
          <w:tcPr>
            <w:tcW w:w="4441" w:type="dxa"/>
            <w:tcBorders>
              <w:top w:val="nil"/>
              <w:left w:val="single" w:sz="4" w:space="0" w:color="000000"/>
              <w:bottom w:val="single" w:sz="4" w:space="0" w:color="000000"/>
              <w:right w:val="single" w:sz="4" w:space="0" w:color="000000"/>
            </w:tcBorders>
            <w:shd w:val="clear" w:color="000000" w:fill="DDEBF7"/>
            <w:vAlign w:val="center"/>
            <w:hideMark/>
          </w:tcPr>
          <w:p w14:paraId="69553BD1" w14:textId="77777777" w:rsidR="00176631" w:rsidRPr="006A710F" w:rsidRDefault="00176631" w:rsidP="00985591">
            <w:pPr>
              <w:spacing w:line="276" w:lineRule="auto"/>
              <w:rPr>
                <w:rFonts w:ascii="Book Antiqua" w:hAnsi="Book Antiqua"/>
                <w:b/>
                <w:bCs/>
                <w:color w:val="000000"/>
                <w:sz w:val="16"/>
                <w:szCs w:val="16"/>
                <w:lang w:eastAsia="es-CR"/>
              </w:rPr>
            </w:pPr>
            <w:r w:rsidRPr="006A710F">
              <w:rPr>
                <w:rFonts w:ascii="Book Antiqua" w:hAnsi="Book Antiqua"/>
                <w:b/>
                <w:bCs/>
                <w:color w:val="000000"/>
                <w:sz w:val="16"/>
                <w:szCs w:val="16"/>
                <w:lang w:eastAsia="es-CR"/>
              </w:rPr>
              <w:t>Red de apoyo</w:t>
            </w:r>
          </w:p>
        </w:tc>
        <w:tc>
          <w:tcPr>
            <w:tcW w:w="1200" w:type="dxa"/>
            <w:tcBorders>
              <w:top w:val="nil"/>
              <w:left w:val="nil"/>
              <w:bottom w:val="single" w:sz="4" w:space="0" w:color="000000"/>
              <w:right w:val="single" w:sz="4" w:space="0" w:color="000000"/>
            </w:tcBorders>
            <w:shd w:val="clear" w:color="000000" w:fill="DDEBF7"/>
            <w:vAlign w:val="center"/>
            <w:hideMark/>
          </w:tcPr>
          <w:p w14:paraId="05E4A3AF" w14:textId="77777777" w:rsidR="00176631" w:rsidRPr="006A710F" w:rsidRDefault="00176631" w:rsidP="00985591">
            <w:pPr>
              <w:spacing w:line="276" w:lineRule="auto"/>
              <w:jc w:val="center"/>
              <w:rPr>
                <w:rFonts w:ascii="Book Antiqua" w:hAnsi="Book Antiqua"/>
                <w:color w:val="000000"/>
                <w:sz w:val="16"/>
                <w:szCs w:val="16"/>
                <w:lang w:eastAsia="es-CR"/>
              </w:rPr>
            </w:pPr>
            <w:r w:rsidRPr="006A710F">
              <w:rPr>
                <w:rFonts w:ascii="Book Antiqua" w:hAnsi="Book Antiqua"/>
                <w:color w:val="000000"/>
                <w:sz w:val="16"/>
                <w:szCs w:val="16"/>
                <w:lang w:eastAsia="es-CR"/>
              </w:rPr>
              <w:t> </w:t>
            </w:r>
          </w:p>
        </w:tc>
      </w:tr>
      <w:tr w:rsidR="00176631" w:rsidRPr="006A710F" w14:paraId="197FA1A0" w14:textId="77777777" w:rsidTr="006A710F">
        <w:trPr>
          <w:trHeight w:val="290"/>
          <w:jc w:val="center"/>
        </w:trPr>
        <w:tc>
          <w:tcPr>
            <w:tcW w:w="4441" w:type="dxa"/>
            <w:tcBorders>
              <w:top w:val="nil"/>
              <w:left w:val="single" w:sz="4" w:space="0" w:color="000000"/>
              <w:bottom w:val="single" w:sz="4" w:space="0" w:color="000000"/>
              <w:right w:val="single" w:sz="4" w:space="0" w:color="000000"/>
            </w:tcBorders>
            <w:shd w:val="clear" w:color="000000" w:fill="FFFFFF"/>
            <w:vAlign w:val="center"/>
            <w:hideMark/>
          </w:tcPr>
          <w:p w14:paraId="4B8BFDC1" w14:textId="77777777" w:rsidR="00176631" w:rsidRPr="006A710F" w:rsidRDefault="00176631" w:rsidP="00985591">
            <w:pPr>
              <w:spacing w:line="276" w:lineRule="auto"/>
              <w:rPr>
                <w:rFonts w:ascii="Book Antiqua" w:hAnsi="Book Antiqua"/>
                <w:color w:val="000000"/>
                <w:sz w:val="16"/>
                <w:szCs w:val="16"/>
                <w:lang w:eastAsia="es-CR"/>
              </w:rPr>
            </w:pPr>
            <w:r w:rsidRPr="006A710F">
              <w:rPr>
                <w:rFonts w:ascii="Book Antiqua" w:hAnsi="Book Antiqua"/>
                <w:color w:val="000000"/>
                <w:sz w:val="16"/>
                <w:szCs w:val="16"/>
                <w:lang w:eastAsia="es-CR"/>
              </w:rPr>
              <w:t xml:space="preserve">Coordinaciones interinstitucionales </w:t>
            </w:r>
          </w:p>
        </w:tc>
        <w:tc>
          <w:tcPr>
            <w:tcW w:w="1200" w:type="dxa"/>
            <w:tcBorders>
              <w:top w:val="nil"/>
              <w:left w:val="nil"/>
              <w:bottom w:val="single" w:sz="4" w:space="0" w:color="000000"/>
              <w:right w:val="single" w:sz="4" w:space="0" w:color="000000"/>
            </w:tcBorders>
            <w:shd w:val="clear" w:color="000000" w:fill="FFFFFF"/>
            <w:vAlign w:val="center"/>
            <w:hideMark/>
          </w:tcPr>
          <w:p w14:paraId="5492A98E" w14:textId="77777777" w:rsidR="00176631" w:rsidRPr="006A710F" w:rsidRDefault="00176631" w:rsidP="00985591">
            <w:pPr>
              <w:spacing w:line="276" w:lineRule="auto"/>
              <w:jc w:val="center"/>
              <w:rPr>
                <w:rFonts w:ascii="Book Antiqua" w:hAnsi="Book Antiqua"/>
                <w:color w:val="000000"/>
                <w:sz w:val="16"/>
                <w:szCs w:val="16"/>
                <w:lang w:eastAsia="es-CR"/>
              </w:rPr>
            </w:pPr>
            <w:r w:rsidRPr="006A710F">
              <w:rPr>
                <w:rFonts w:ascii="Book Antiqua" w:hAnsi="Book Antiqua"/>
                <w:color w:val="000000"/>
                <w:sz w:val="16"/>
                <w:szCs w:val="16"/>
                <w:lang w:eastAsia="es-CR"/>
              </w:rPr>
              <w:t>51</w:t>
            </w:r>
          </w:p>
        </w:tc>
      </w:tr>
      <w:tr w:rsidR="00176631" w:rsidRPr="006A710F" w14:paraId="0BBCBD56" w14:textId="77777777" w:rsidTr="006A710F">
        <w:trPr>
          <w:trHeight w:val="290"/>
          <w:jc w:val="center"/>
        </w:trPr>
        <w:tc>
          <w:tcPr>
            <w:tcW w:w="4441" w:type="dxa"/>
            <w:tcBorders>
              <w:top w:val="nil"/>
              <w:left w:val="single" w:sz="4" w:space="0" w:color="000000"/>
              <w:bottom w:val="single" w:sz="4" w:space="0" w:color="000000"/>
              <w:right w:val="single" w:sz="4" w:space="0" w:color="000000"/>
            </w:tcBorders>
            <w:shd w:val="clear" w:color="000000" w:fill="FFFFFF"/>
            <w:vAlign w:val="center"/>
            <w:hideMark/>
          </w:tcPr>
          <w:p w14:paraId="50684653" w14:textId="77777777" w:rsidR="00176631" w:rsidRPr="006A710F" w:rsidRDefault="00176631" w:rsidP="00985591">
            <w:pPr>
              <w:spacing w:line="276" w:lineRule="auto"/>
              <w:rPr>
                <w:rFonts w:ascii="Book Antiqua" w:hAnsi="Book Antiqua"/>
                <w:b/>
                <w:bCs/>
                <w:color w:val="000000"/>
                <w:sz w:val="16"/>
                <w:szCs w:val="16"/>
                <w:lang w:eastAsia="es-CR"/>
              </w:rPr>
            </w:pPr>
            <w:r w:rsidRPr="006A710F">
              <w:rPr>
                <w:rFonts w:ascii="Book Antiqua" w:hAnsi="Book Antiqua"/>
                <w:b/>
                <w:bCs/>
                <w:color w:val="000000"/>
                <w:sz w:val="16"/>
                <w:szCs w:val="16"/>
                <w:lang w:eastAsia="es-CR"/>
              </w:rPr>
              <w:t>Cantidad de instituciones que conforman la red</w:t>
            </w:r>
          </w:p>
        </w:tc>
        <w:tc>
          <w:tcPr>
            <w:tcW w:w="1200" w:type="dxa"/>
            <w:tcBorders>
              <w:top w:val="nil"/>
              <w:left w:val="nil"/>
              <w:bottom w:val="single" w:sz="4" w:space="0" w:color="000000"/>
              <w:right w:val="single" w:sz="4" w:space="0" w:color="000000"/>
            </w:tcBorders>
            <w:shd w:val="clear" w:color="000000" w:fill="FFFFFF"/>
            <w:vAlign w:val="center"/>
            <w:hideMark/>
          </w:tcPr>
          <w:p w14:paraId="4B5EB7C4" w14:textId="77777777" w:rsidR="00176631" w:rsidRPr="006A710F" w:rsidRDefault="00176631" w:rsidP="00985591">
            <w:pPr>
              <w:spacing w:line="276" w:lineRule="auto"/>
              <w:jc w:val="center"/>
              <w:rPr>
                <w:rFonts w:ascii="Book Antiqua" w:hAnsi="Book Antiqua"/>
                <w:color w:val="000000"/>
                <w:sz w:val="16"/>
                <w:szCs w:val="16"/>
                <w:lang w:eastAsia="es-CR"/>
              </w:rPr>
            </w:pPr>
            <w:r w:rsidRPr="006A710F">
              <w:rPr>
                <w:rFonts w:ascii="Book Antiqua" w:hAnsi="Book Antiqua"/>
                <w:color w:val="000000"/>
                <w:sz w:val="16"/>
                <w:szCs w:val="16"/>
                <w:lang w:val="es-ES" w:eastAsia="es-CR"/>
              </w:rPr>
              <w:t>1396</w:t>
            </w:r>
          </w:p>
        </w:tc>
      </w:tr>
      <w:tr w:rsidR="00176631" w:rsidRPr="006A710F" w14:paraId="7F8D30F4" w14:textId="77777777" w:rsidTr="006A710F">
        <w:trPr>
          <w:trHeight w:val="290"/>
          <w:jc w:val="center"/>
        </w:trPr>
        <w:tc>
          <w:tcPr>
            <w:tcW w:w="4441" w:type="dxa"/>
            <w:tcBorders>
              <w:top w:val="nil"/>
              <w:left w:val="single" w:sz="4" w:space="0" w:color="000000"/>
              <w:bottom w:val="single" w:sz="4" w:space="0" w:color="000000"/>
              <w:right w:val="single" w:sz="4" w:space="0" w:color="000000"/>
            </w:tcBorders>
            <w:shd w:val="clear" w:color="000000" w:fill="DDEBF7"/>
            <w:vAlign w:val="center"/>
            <w:hideMark/>
          </w:tcPr>
          <w:p w14:paraId="62B84BA1" w14:textId="77777777" w:rsidR="00176631" w:rsidRPr="006A710F" w:rsidRDefault="00176631" w:rsidP="00985591">
            <w:pPr>
              <w:spacing w:line="276" w:lineRule="auto"/>
              <w:rPr>
                <w:rFonts w:ascii="Book Antiqua" w:hAnsi="Book Antiqua"/>
                <w:b/>
                <w:bCs/>
                <w:color w:val="000000"/>
                <w:sz w:val="16"/>
                <w:szCs w:val="16"/>
                <w:lang w:eastAsia="es-CR"/>
              </w:rPr>
            </w:pPr>
            <w:r w:rsidRPr="006A710F">
              <w:rPr>
                <w:rFonts w:ascii="Book Antiqua" w:hAnsi="Book Antiqua"/>
                <w:b/>
                <w:bCs/>
                <w:color w:val="000000"/>
                <w:sz w:val="16"/>
                <w:szCs w:val="16"/>
                <w:lang w:eastAsia="es-CR"/>
              </w:rPr>
              <w:t>Entrevistas</w:t>
            </w:r>
          </w:p>
        </w:tc>
        <w:tc>
          <w:tcPr>
            <w:tcW w:w="1200" w:type="dxa"/>
            <w:tcBorders>
              <w:top w:val="nil"/>
              <w:left w:val="nil"/>
              <w:bottom w:val="single" w:sz="4" w:space="0" w:color="000000"/>
              <w:right w:val="single" w:sz="4" w:space="0" w:color="000000"/>
            </w:tcBorders>
            <w:shd w:val="clear" w:color="000000" w:fill="DDEBF7"/>
            <w:vAlign w:val="center"/>
            <w:hideMark/>
          </w:tcPr>
          <w:p w14:paraId="533A52F4" w14:textId="77777777" w:rsidR="00176631" w:rsidRPr="006A710F" w:rsidRDefault="00176631" w:rsidP="00985591">
            <w:pPr>
              <w:spacing w:line="276" w:lineRule="auto"/>
              <w:jc w:val="center"/>
              <w:rPr>
                <w:rFonts w:ascii="Book Antiqua" w:hAnsi="Book Antiqua"/>
                <w:color w:val="000000"/>
                <w:sz w:val="16"/>
                <w:szCs w:val="16"/>
                <w:lang w:eastAsia="es-CR"/>
              </w:rPr>
            </w:pPr>
            <w:r w:rsidRPr="006A710F">
              <w:rPr>
                <w:rFonts w:ascii="Book Antiqua" w:hAnsi="Book Antiqua"/>
                <w:color w:val="000000"/>
                <w:sz w:val="16"/>
                <w:szCs w:val="16"/>
                <w:lang w:eastAsia="es-CR"/>
              </w:rPr>
              <w:t> </w:t>
            </w:r>
          </w:p>
        </w:tc>
      </w:tr>
      <w:tr w:rsidR="00176631" w:rsidRPr="006A710F" w14:paraId="0F508059" w14:textId="77777777" w:rsidTr="006A710F">
        <w:trPr>
          <w:trHeight w:val="290"/>
          <w:jc w:val="center"/>
        </w:trPr>
        <w:tc>
          <w:tcPr>
            <w:tcW w:w="4441" w:type="dxa"/>
            <w:tcBorders>
              <w:top w:val="nil"/>
              <w:left w:val="single" w:sz="4" w:space="0" w:color="000000"/>
              <w:bottom w:val="single" w:sz="4" w:space="0" w:color="000000"/>
              <w:right w:val="single" w:sz="4" w:space="0" w:color="000000"/>
            </w:tcBorders>
            <w:shd w:val="clear" w:color="000000" w:fill="FFFFFF"/>
            <w:vAlign w:val="center"/>
            <w:hideMark/>
          </w:tcPr>
          <w:p w14:paraId="669C0A6F" w14:textId="77777777" w:rsidR="00176631" w:rsidRPr="006A710F" w:rsidRDefault="00176631" w:rsidP="00985591">
            <w:pPr>
              <w:spacing w:line="276" w:lineRule="auto"/>
              <w:rPr>
                <w:rFonts w:ascii="Book Antiqua" w:hAnsi="Book Antiqua"/>
                <w:b/>
                <w:bCs/>
                <w:color w:val="000000"/>
                <w:sz w:val="16"/>
                <w:szCs w:val="16"/>
                <w:lang w:eastAsia="es-CR"/>
              </w:rPr>
            </w:pPr>
            <w:r w:rsidRPr="006A710F">
              <w:rPr>
                <w:rFonts w:ascii="Book Antiqua" w:hAnsi="Book Antiqua"/>
                <w:b/>
                <w:bCs/>
                <w:color w:val="000000"/>
                <w:sz w:val="16"/>
                <w:szCs w:val="16"/>
                <w:lang w:eastAsia="es-CR"/>
              </w:rPr>
              <w:t>Legales</w:t>
            </w:r>
          </w:p>
        </w:tc>
        <w:tc>
          <w:tcPr>
            <w:tcW w:w="1200" w:type="dxa"/>
            <w:tcBorders>
              <w:top w:val="nil"/>
              <w:left w:val="nil"/>
              <w:bottom w:val="single" w:sz="4" w:space="0" w:color="000000"/>
              <w:right w:val="single" w:sz="4" w:space="0" w:color="000000"/>
            </w:tcBorders>
            <w:shd w:val="clear" w:color="000000" w:fill="FFFFFF"/>
            <w:vAlign w:val="center"/>
            <w:hideMark/>
          </w:tcPr>
          <w:p w14:paraId="0B491FAA" w14:textId="77777777" w:rsidR="00176631" w:rsidRPr="006A710F" w:rsidRDefault="00176631" w:rsidP="00985591">
            <w:pPr>
              <w:spacing w:line="276" w:lineRule="auto"/>
              <w:jc w:val="center"/>
              <w:rPr>
                <w:rFonts w:ascii="Book Antiqua" w:hAnsi="Book Antiqua"/>
                <w:color w:val="000000"/>
                <w:sz w:val="16"/>
                <w:szCs w:val="16"/>
                <w:lang w:eastAsia="es-CR"/>
              </w:rPr>
            </w:pPr>
            <w:r w:rsidRPr="006A710F">
              <w:rPr>
                <w:rFonts w:ascii="Book Antiqua" w:hAnsi="Book Antiqua"/>
                <w:sz w:val="16"/>
                <w:szCs w:val="16"/>
                <w:lang w:val="es-ES_tradnl" w:eastAsia="es-CR"/>
              </w:rPr>
              <w:t>109</w:t>
            </w:r>
          </w:p>
        </w:tc>
      </w:tr>
      <w:tr w:rsidR="00176631" w:rsidRPr="006A710F" w14:paraId="10F9A85F" w14:textId="77777777" w:rsidTr="006A710F">
        <w:trPr>
          <w:trHeight w:val="290"/>
          <w:jc w:val="center"/>
        </w:trPr>
        <w:tc>
          <w:tcPr>
            <w:tcW w:w="4441" w:type="dxa"/>
            <w:tcBorders>
              <w:top w:val="nil"/>
              <w:left w:val="single" w:sz="4" w:space="0" w:color="000000"/>
              <w:bottom w:val="single" w:sz="4" w:space="0" w:color="000000"/>
              <w:right w:val="single" w:sz="4" w:space="0" w:color="000000"/>
            </w:tcBorders>
            <w:shd w:val="clear" w:color="000000" w:fill="FFFFFF"/>
            <w:vAlign w:val="center"/>
            <w:hideMark/>
          </w:tcPr>
          <w:p w14:paraId="1E5883AB" w14:textId="77777777" w:rsidR="00176631" w:rsidRPr="006A710F" w:rsidRDefault="00176631" w:rsidP="00985591">
            <w:pPr>
              <w:spacing w:line="276" w:lineRule="auto"/>
              <w:rPr>
                <w:rFonts w:ascii="Book Antiqua" w:hAnsi="Book Antiqua"/>
                <w:b/>
                <w:bCs/>
                <w:color w:val="000000"/>
                <w:sz w:val="16"/>
                <w:szCs w:val="16"/>
                <w:lang w:eastAsia="es-CR"/>
              </w:rPr>
            </w:pPr>
            <w:r w:rsidRPr="006A710F">
              <w:rPr>
                <w:rFonts w:ascii="Book Antiqua" w:hAnsi="Book Antiqua"/>
                <w:b/>
                <w:bCs/>
                <w:color w:val="000000"/>
                <w:sz w:val="16"/>
                <w:szCs w:val="16"/>
                <w:lang w:eastAsia="es-CR"/>
              </w:rPr>
              <w:t>Psicosociales</w:t>
            </w:r>
          </w:p>
        </w:tc>
        <w:tc>
          <w:tcPr>
            <w:tcW w:w="1200" w:type="dxa"/>
            <w:tcBorders>
              <w:top w:val="nil"/>
              <w:left w:val="nil"/>
              <w:bottom w:val="single" w:sz="4" w:space="0" w:color="000000"/>
              <w:right w:val="single" w:sz="4" w:space="0" w:color="000000"/>
            </w:tcBorders>
            <w:shd w:val="clear" w:color="000000" w:fill="FFFFFF"/>
            <w:vAlign w:val="center"/>
            <w:hideMark/>
          </w:tcPr>
          <w:p w14:paraId="44BFE67A" w14:textId="77777777" w:rsidR="00176631" w:rsidRPr="006A710F" w:rsidRDefault="00176631" w:rsidP="00985591">
            <w:pPr>
              <w:spacing w:line="276" w:lineRule="auto"/>
              <w:jc w:val="center"/>
              <w:rPr>
                <w:rFonts w:ascii="Book Antiqua" w:hAnsi="Book Antiqua"/>
                <w:color w:val="000000"/>
                <w:sz w:val="16"/>
                <w:szCs w:val="16"/>
                <w:lang w:eastAsia="es-CR"/>
              </w:rPr>
            </w:pPr>
            <w:r w:rsidRPr="006A710F">
              <w:rPr>
                <w:rFonts w:ascii="Book Antiqua" w:hAnsi="Book Antiqua"/>
                <w:color w:val="000000"/>
                <w:sz w:val="16"/>
                <w:szCs w:val="16"/>
                <w:lang w:eastAsia="es-CR"/>
              </w:rPr>
              <w:t>85</w:t>
            </w:r>
          </w:p>
        </w:tc>
      </w:tr>
      <w:tr w:rsidR="00176631" w:rsidRPr="006A710F" w14:paraId="03781F51" w14:textId="77777777" w:rsidTr="006A710F">
        <w:trPr>
          <w:trHeight w:val="290"/>
          <w:jc w:val="center"/>
        </w:trPr>
        <w:tc>
          <w:tcPr>
            <w:tcW w:w="4441" w:type="dxa"/>
            <w:tcBorders>
              <w:top w:val="nil"/>
              <w:left w:val="single" w:sz="4" w:space="0" w:color="000000"/>
              <w:bottom w:val="single" w:sz="4" w:space="0" w:color="000000"/>
              <w:right w:val="single" w:sz="4" w:space="0" w:color="000000"/>
            </w:tcBorders>
            <w:shd w:val="clear" w:color="000000" w:fill="FFFFFF"/>
            <w:vAlign w:val="center"/>
            <w:hideMark/>
          </w:tcPr>
          <w:p w14:paraId="54BCF404" w14:textId="77777777" w:rsidR="00176631" w:rsidRPr="006A710F" w:rsidRDefault="00176631" w:rsidP="00985591">
            <w:pPr>
              <w:spacing w:line="276" w:lineRule="auto"/>
              <w:rPr>
                <w:rFonts w:ascii="Book Antiqua" w:hAnsi="Book Antiqua"/>
                <w:b/>
                <w:bCs/>
                <w:color w:val="000000"/>
                <w:sz w:val="16"/>
                <w:szCs w:val="16"/>
                <w:lang w:eastAsia="es-CR"/>
              </w:rPr>
            </w:pPr>
            <w:r w:rsidRPr="006A710F">
              <w:rPr>
                <w:rFonts w:ascii="Book Antiqua" w:hAnsi="Book Antiqua"/>
                <w:b/>
                <w:bCs/>
                <w:color w:val="000000"/>
                <w:sz w:val="16"/>
                <w:szCs w:val="16"/>
                <w:lang w:eastAsia="es-CR"/>
              </w:rPr>
              <w:t>Seguimiento de medidas alternas</w:t>
            </w:r>
          </w:p>
        </w:tc>
        <w:tc>
          <w:tcPr>
            <w:tcW w:w="1200" w:type="dxa"/>
            <w:tcBorders>
              <w:top w:val="nil"/>
              <w:left w:val="nil"/>
              <w:bottom w:val="single" w:sz="4" w:space="0" w:color="000000"/>
              <w:right w:val="single" w:sz="4" w:space="0" w:color="000000"/>
            </w:tcBorders>
            <w:shd w:val="clear" w:color="000000" w:fill="FFFFFF"/>
            <w:vAlign w:val="center"/>
            <w:hideMark/>
          </w:tcPr>
          <w:p w14:paraId="6FEA1D6F" w14:textId="77777777" w:rsidR="00176631" w:rsidRPr="006A710F" w:rsidRDefault="00176631" w:rsidP="00985591">
            <w:pPr>
              <w:spacing w:line="276" w:lineRule="auto"/>
              <w:jc w:val="center"/>
              <w:rPr>
                <w:rFonts w:ascii="Book Antiqua" w:hAnsi="Book Antiqua"/>
                <w:color w:val="000000"/>
                <w:sz w:val="16"/>
                <w:szCs w:val="16"/>
                <w:lang w:eastAsia="es-CR"/>
              </w:rPr>
            </w:pPr>
            <w:r w:rsidRPr="006A710F">
              <w:rPr>
                <w:rFonts w:ascii="Book Antiqua" w:hAnsi="Book Antiqua"/>
                <w:color w:val="000000"/>
                <w:sz w:val="16"/>
                <w:szCs w:val="16"/>
                <w:lang w:eastAsia="es-CR"/>
              </w:rPr>
              <w:t>110</w:t>
            </w:r>
          </w:p>
        </w:tc>
      </w:tr>
    </w:tbl>
    <w:p w14:paraId="43EBA446" w14:textId="77777777" w:rsidR="008C7C95" w:rsidRPr="004F0E92" w:rsidRDefault="008C7C95" w:rsidP="00985591">
      <w:pPr>
        <w:spacing w:line="276" w:lineRule="auto"/>
        <w:jc w:val="center"/>
        <w:rPr>
          <w:rFonts w:ascii="Book Antiqua" w:hAnsi="Book Antiqua"/>
          <w:b/>
          <w:bCs/>
          <w:color w:val="000000" w:themeColor="text1"/>
          <w:sz w:val="20"/>
          <w:szCs w:val="20"/>
        </w:rPr>
      </w:pPr>
      <w:r w:rsidRPr="008C7C95">
        <w:rPr>
          <w:rFonts w:ascii="Book Antiqua" w:hAnsi="Book Antiqua"/>
          <w:b/>
          <w:bCs/>
          <w:color w:val="000000" w:themeColor="text1"/>
          <w:sz w:val="20"/>
          <w:szCs w:val="20"/>
        </w:rPr>
        <w:t xml:space="preserve">Fuente: </w:t>
      </w:r>
      <w:r w:rsidRPr="008C7C95">
        <w:rPr>
          <w:rFonts w:ascii="Book Antiqua" w:hAnsi="Book Antiqua"/>
          <w:color w:val="000000" w:themeColor="text1"/>
          <w:sz w:val="20"/>
          <w:szCs w:val="20"/>
        </w:rPr>
        <w:t>Elaborado por la Oficina Rectora de Justica Restaurativa</w:t>
      </w:r>
    </w:p>
    <w:p w14:paraId="0D927FD5" w14:textId="22B58C79" w:rsidR="1DD64A5B" w:rsidRPr="004F0E92" w:rsidRDefault="1DD64A5B" w:rsidP="00985591">
      <w:pPr>
        <w:spacing w:line="276" w:lineRule="auto"/>
        <w:jc w:val="both"/>
        <w:rPr>
          <w:rFonts w:ascii="Book Antiqua" w:hAnsi="Book Antiqua"/>
          <w:lang w:eastAsia="en-US"/>
        </w:rPr>
      </w:pPr>
    </w:p>
    <w:p w14:paraId="22A7929B" w14:textId="454D27BC" w:rsidR="00BF22A7" w:rsidRDefault="00BF22A7" w:rsidP="00985591">
      <w:pPr>
        <w:spacing w:line="276" w:lineRule="auto"/>
        <w:rPr>
          <w:rFonts w:ascii="Book Antiqua" w:hAnsi="Book Antiqua"/>
        </w:rPr>
      </w:pPr>
      <w:r w:rsidRPr="00BF22A7">
        <w:rPr>
          <w:rFonts w:ascii="Book Antiqua" w:hAnsi="Book Antiqua"/>
        </w:rPr>
        <w:t>La siguiente información es el reporte de las principales acciones realizadas por la Oficina Rectora de Justicia Restaurativa, conforme las funciones definidas por el Consejo Superior:</w:t>
      </w:r>
    </w:p>
    <w:p w14:paraId="179FB16D" w14:textId="77777777" w:rsidR="00BF22A7" w:rsidRDefault="00BF22A7" w:rsidP="00985591">
      <w:pPr>
        <w:spacing w:line="276" w:lineRule="auto"/>
        <w:rPr>
          <w:rFonts w:ascii="Book Antiqua" w:hAnsi="Book Antiqua"/>
        </w:rPr>
      </w:pPr>
    </w:p>
    <w:p w14:paraId="25B1BBA0" w14:textId="58FD0FD9" w:rsidR="00BF22A7" w:rsidRDefault="00BF22A7" w:rsidP="00985591">
      <w:pPr>
        <w:spacing w:line="276" w:lineRule="auto"/>
        <w:jc w:val="center"/>
        <w:rPr>
          <w:rFonts w:ascii="Book Antiqua" w:hAnsi="Book Antiqua"/>
          <w:b/>
          <w:bCs/>
          <w:color w:val="000000" w:themeColor="text1"/>
          <w:lang w:val="es-ES_tradnl" w:eastAsia="en-US"/>
        </w:rPr>
      </w:pPr>
      <w:r>
        <w:rPr>
          <w:noProof/>
          <w:color w:val="000000"/>
          <w:sz w:val="30"/>
          <w:szCs w:val="30"/>
          <w:shd w:val="clear" w:color="auto" w:fill="FFFFFF"/>
          <w:lang w:val="es-ES"/>
        </w:rPr>
        <w:drawing>
          <wp:inline distT="0" distB="0" distL="0" distR="0" wp14:anchorId="3E85E8B2" wp14:editId="31A72899">
            <wp:extent cx="3631350" cy="3313313"/>
            <wp:effectExtent l="0" t="0" r="7620" b="1905"/>
            <wp:docPr id="40" name="Imagen 40"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descr="Gráfico, Gráfico circular&#10;&#10;Descripción generada automáticamente"/>
                    <pic:cNvPicPr>
                      <a:picLocks noChangeAspect="1" noChangeArrowheads="1"/>
                    </pic:cNvPicPr>
                  </pic:nvPicPr>
                  <pic:blipFill>
                    <a:blip r:embed="rId25" cstate="print"/>
                    <a:srcRect/>
                    <a:stretch>
                      <a:fillRect/>
                    </a:stretch>
                  </pic:blipFill>
                  <pic:spPr bwMode="auto">
                    <a:xfrm>
                      <a:off x="0" y="0"/>
                      <a:ext cx="3639550" cy="3320795"/>
                    </a:xfrm>
                    <a:prstGeom prst="rect">
                      <a:avLst/>
                    </a:prstGeom>
                    <a:noFill/>
                    <a:ln w="9525">
                      <a:noFill/>
                      <a:miter lim="800000"/>
                      <a:headEnd/>
                      <a:tailEnd/>
                    </a:ln>
                  </pic:spPr>
                </pic:pic>
              </a:graphicData>
            </a:graphic>
          </wp:inline>
        </w:drawing>
      </w:r>
    </w:p>
    <w:p w14:paraId="1EF6F001" w14:textId="083F842B" w:rsidR="008C7C95" w:rsidRDefault="008C7C95" w:rsidP="00985591">
      <w:pPr>
        <w:spacing w:line="276" w:lineRule="auto"/>
        <w:jc w:val="center"/>
        <w:rPr>
          <w:rFonts w:ascii="Book Antiqua" w:hAnsi="Book Antiqua"/>
          <w:color w:val="000000" w:themeColor="text1"/>
          <w:sz w:val="20"/>
          <w:szCs w:val="20"/>
        </w:rPr>
      </w:pPr>
      <w:r w:rsidRPr="008C7C95">
        <w:rPr>
          <w:rFonts w:ascii="Book Antiqua" w:hAnsi="Book Antiqua"/>
          <w:b/>
          <w:bCs/>
          <w:color w:val="000000" w:themeColor="text1"/>
          <w:sz w:val="20"/>
          <w:szCs w:val="20"/>
        </w:rPr>
        <w:t xml:space="preserve">Fuente: </w:t>
      </w:r>
      <w:r w:rsidRPr="008C7C95">
        <w:rPr>
          <w:rFonts w:ascii="Book Antiqua" w:hAnsi="Book Antiqua"/>
          <w:color w:val="000000" w:themeColor="text1"/>
          <w:sz w:val="20"/>
          <w:szCs w:val="20"/>
        </w:rPr>
        <w:t>Elaborado por la Oficina Rectora de Justica Restaurativa</w:t>
      </w:r>
    </w:p>
    <w:p w14:paraId="07BE25FD" w14:textId="77777777" w:rsidR="00526676" w:rsidRPr="004F0E92" w:rsidRDefault="00526676" w:rsidP="00985591">
      <w:pPr>
        <w:spacing w:line="276" w:lineRule="auto"/>
        <w:jc w:val="center"/>
        <w:rPr>
          <w:rFonts w:ascii="Book Antiqua" w:hAnsi="Book Antiqua"/>
          <w:b/>
          <w:bCs/>
          <w:color w:val="000000" w:themeColor="text1"/>
          <w:sz w:val="20"/>
          <w:szCs w:val="20"/>
        </w:rPr>
      </w:pPr>
    </w:p>
    <w:p w14:paraId="57DA7CE3" w14:textId="37807754" w:rsidR="00BF22A7" w:rsidRPr="00655DCB" w:rsidRDefault="00BF22A7" w:rsidP="00985591">
      <w:pPr>
        <w:spacing w:line="276" w:lineRule="auto"/>
        <w:jc w:val="both"/>
        <w:rPr>
          <w:rFonts w:ascii="Book Antiqua" w:hAnsi="Book Antiqua"/>
          <w:lang w:val="es-ES_tradnl" w:eastAsia="en-US"/>
        </w:rPr>
      </w:pPr>
      <w:r w:rsidRPr="00655DCB">
        <w:rPr>
          <w:rFonts w:ascii="Book Antiqua" w:hAnsi="Book Antiqua"/>
          <w:lang w:val="es-ES_tradnl" w:eastAsia="en-US"/>
        </w:rPr>
        <w:t xml:space="preserve">Según se aprecia las principales acciones </w:t>
      </w:r>
      <w:r w:rsidR="00670950">
        <w:rPr>
          <w:rFonts w:ascii="Book Antiqua" w:hAnsi="Book Antiqua"/>
          <w:lang w:val="es-ES_tradnl" w:eastAsia="en-US"/>
        </w:rPr>
        <w:t>son</w:t>
      </w:r>
      <w:r w:rsidRPr="00655DCB">
        <w:rPr>
          <w:rFonts w:ascii="Book Antiqua" w:hAnsi="Book Antiqua"/>
          <w:lang w:val="es-ES_tradnl" w:eastAsia="en-US"/>
        </w:rPr>
        <w:t xml:space="preserve"> central en bienestar personal judicial con 2</w:t>
      </w:r>
      <w:r w:rsidR="0099799A">
        <w:rPr>
          <w:rFonts w:ascii="Book Antiqua" w:hAnsi="Book Antiqua"/>
          <w:lang w:val="es-ES_tradnl" w:eastAsia="en-US"/>
        </w:rPr>
        <w:t>33</w:t>
      </w:r>
      <w:r w:rsidRPr="00655DCB">
        <w:rPr>
          <w:rFonts w:ascii="Book Antiqua" w:hAnsi="Book Antiqua"/>
          <w:lang w:val="es-ES_tradnl" w:eastAsia="en-US"/>
        </w:rPr>
        <w:t xml:space="preserve"> acciones, seguidas de la cooperación internacional con </w:t>
      </w:r>
      <w:r w:rsidR="0099799A">
        <w:rPr>
          <w:rFonts w:ascii="Book Antiqua" w:hAnsi="Book Antiqua"/>
          <w:lang w:val="es-ES_tradnl" w:eastAsia="en-US"/>
        </w:rPr>
        <w:t>50</w:t>
      </w:r>
      <w:r w:rsidRPr="00655DCB">
        <w:rPr>
          <w:rFonts w:ascii="Book Antiqua" w:hAnsi="Book Antiqua"/>
          <w:lang w:val="es-ES_tradnl" w:eastAsia="en-US"/>
        </w:rPr>
        <w:t xml:space="preserve"> acciones y </w:t>
      </w:r>
      <w:r w:rsidR="0099799A">
        <w:rPr>
          <w:rFonts w:ascii="Book Antiqua" w:hAnsi="Book Antiqua"/>
          <w:lang w:val="es-ES_tradnl" w:eastAsia="en-US"/>
        </w:rPr>
        <w:t>atención y seguimiento de equipos</w:t>
      </w:r>
      <w:r w:rsidRPr="00655DCB">
        <w:rPr>
          <w:rFonts w:ascii="Book Antiqua" w:hAnsi="Book Antiqua"/>
          <w:lang w:val="es-ES_tradnl" w:eastAsia="en-US"/>
        </w:rPr>
        <w:t xml:space="preserve"> con un total de </w:t>
      </w:r>
      <w:r w:rsidR="0099799A">
        <w:rPr>
          <w:rFonts w:ascii="Book Antiqua" w:hAnsi="Book Antiqua"/>
          <w:lang w:val="es-ES_tradnl" w:eastAsia="en-US"/>
        </w:rPr>
        <w:t>37</w:t>
      </w:r>
      <w:r w:rsidRPr="00655DCB">
        <w:rPr>
          <w:rFonts w:ascii="Book Antiqua" w:hAnsi="Book Antiqua"/>
          <w:lang w:val="es-ES_tradnl" w:eastAsia="en-US"/>
        </w:rPr>
        <w:t xml:space="preserve"> para el mes de </w:t>
      </w:r>
      <w:r w:rsidR="0099799A">
        <w:rPr>
          <w:rFonts w:ascii="Book Antiqua" w:hAnsi="Book Antiqua"/>
          <w:lang w:val="es-ES_tradnl" w:eastAsia="en-US"/>
        </w:rPr>
        <w:t xml:space="preserve">mayo de </w:t>
      </w:r>
      <w:r w:rsidRPr="00655DCB">
        <w:rPr>
          <w:rFonts w:ascii="Book Antiqua" w:hAnsi="Book Antiqua"/>
          <w:lang w:val="es-ES_tradnl" w:eastAsia="en-US"/>
        </w:rPr>
        <w:t>202</w:t>
      </w:r>
      <w:r w:rsidR="0099799A">
        <w:rPr>
          <w:rFonts w:ascii="Book Antiqua" w:hAnsi="Book Antiqua"/>
          <w:lang w:val="es-ES_tradnl" w:eastAsia="en-US"/>
        </w:rPr>
        <w:t>1</w:t>
      </w:r>
      <w:r w:rsidRPr="00655DCB">
        <w:rPr>
          <w:rFonts w:ascii="Book Antiqua" w:hAnsi="Book Antiqua"/>
          <w:lang w:val="es-ES_tradnl" w:eastAsia="en-US"/>
        </w:rPr>
        <w:t>.</w:t>
      </w:r>
    </w:p>
    <w:p w14:paraId="73F5E319" w14:textId="77777777" w:rsidR="00BF22A7" w:rsidRDefault="00BF22A7" w:rsidP="00985591">
      <w:pPr>
        <w:spacing w:line="276" w:lineRule="auto"/>
        <w:rPr>
          <w:rFonts w:ascii="Book Antiqua" w:hAnsi="Book Antiqua"/>
          <w:b/>
          <w:bCs/>
          <w:lang w:val="es-ES_tradnl" w:eastAsia="en-US"/>
        </w:rPr>
      </w:pPr>
    </w:p>
    <w:p w14:paraId="31E5DE15" w14:textId="77777777" w:rsidR="00E03C6B" w:rsidRDefault="00E03C6B" w:rsidP="00985591">
      <w:pPr>
        <w:shd w:val="clear" w:color="auto" w:fill="FFFFFF" w:themeFill="background1"/>
        <w:spacing w:line="276" w:lineRule="auto"/>
        <w:jc w:val="both"/>
        <w:rPr>
          <w:rFonts w:ascii="Book Antiqua" w:hAnsi="Book Antiqua"/>
          <w:b/>
          <w:bCs/>
          <w:lang w:val="es-ES_tradnl" w:eastAsia="en-US"/>
        </w:rPr>
      </w:pPr>
    </w:p>
    <w:p w14:paraId="670B79F8" w14:textId="69F07AA5" w:rsidR="00222669" w:rsidRPr="009C2A8D" w:rsidRDefault="00776798" w:rsidP="57A79FF7">
      <w:pPr>
        <w:pStyle w:val="Ttulo1"/>
        <w:spacing w:after="160" w:line="276" w:lineRule="auto"/>
        <w:contextualSpacing/>
        <w:rPr>
          <w:b w:val="0"/>
        </w:rPr>
      </w:pPr>
      <w:r w:rsidRPr="009C2A8D">
        <w:rPr>
          <w:bCs/>
        </w:rPr>
        <w:t xml:space="preserve">CAPITULO V. RESULTADOS DE MATERIA PENAL EN EL MES DE </w:t>
      </w:r>
      <w:r w:rsidR="00F8285F" w:rsidRPr="009C2A8D">
        <w:rPr>
          <w:bCs/>
        </w:rPr>
        <w:t>JUNIO</w:t>
      </w:r>
    </w:p>
    <w:p w14:paraId="42CF9572" w14:textId="7F8E1770" w:rsidR="57A79FF7" w:rsidRDefault="57A79FF7" w:rsidP="57A79FF7"/>
    <w:p w14:paraId="31C364C1" w14:textId="1C196003" w:rsidR="03126470" w:rsidRDefault="03126470" w:rsidP="57A79FF7">
      <w:pPr>
        <w:tabs>
          <w:tab w:val="left" w:pos="426"/>
        </w:tabs>
        <w:spacing w:after="160" w:line="276" w:lineRule="auto"/>
        <w:outlineLvl w:val="1"/>
        <w:rPr>
          <w:b/>
          <w:bCs/>
          <w:color w:val="000000" w:themeColor="text1"/>
        </w:rPr>
      </w:pPr>
      <w:r w:rsidRPr="57A79FF7">
        <w:rPr>
          <w:rFonts w:ascii="Book Antiqua" w:hAnsi="Book Antiqua"/>
          <w:b/>
          <w:bCs/>
          <w:color w:val="000000" w:themeColor="text1"/>
        </w:rPr>
        <w:t xml:space="preserve">5. </w:t>
      </w:r>
      <w:r w:rsidR="00776798" w:rsidRPr="57A79FF7">
        <w:rPr>
          <w:rFonts w:ascii="Book Antiqua" w:hAnsi="Book Antiqua"/>
          <w:b/>
          <w:bCs/>
          <w:color w:val="000000" w:themeColor="text1"/>
        </w:rPr>
        <w:t xml:space="preserve">Seguimiento resultados de materia penal del mes de </w:t>
      </w:r>
      <w:r w:rsidR="00F8285F" w:rsidRPr="57A79FF7">
        <w:rPr>
          <w:rFonts w:ascii="Book Antiqua" w:hAnsi="Book Antiqua"/>
          <w:b/>
          <w:bCs/>
          <w:color w:val="000000" w:themeColor="text1"/>
        </w:rPr>
        <w:t>junio</w:t>
      </w:r>
    </w:p>
    <w:p w14:paraId="241E5D94" w14:textId="2343360B" w:rsidR="57A79FF7" w:rsidRDefault="57A79FF7" w:rsidP="57A79FF7">
      <w:pPr>
        <w:tabs>
          <w:tab w:val="left" w:pos="426"/>
        </w:tabs>
        <w:spacing w:after="160" w:line="276" w:lineRule="auto"/>
        <w:outlineLvl w:val="1"/>
        <w:rPr>
          <w:b/>
          <w:bCs/>
          <w:color w:val="000000" w:themeColor="text1"/>
        </w:rPr>
      </w:pPr>
    </w:p>
    <w:p w14:paraId="28060BDC" w14:textId="7BE28BAB" w:rsidR="00FF54BD" w:rsidRDefault="002A040D" w:rsidP="00985591">
      <w:pPr>
        <w:spacing w:line="276" w:lineRule="auto"/>
        <w:jc w:val="both"/>
        <w:rPr>
          <w:rFonts w:ascii="Book Antiqua" w:hAnsi="Book Antiqua"/>
          <w:color w:val="000000" w:themeColor="text1"/>
        </w:rPr>
      </w:pPr>
      <w:r w:rsidRPr="002A040D">
        <w:rPr>
          <w:rFonts w:ascii="Book Antiqua" w:hAnsi="Book Antiqua"/>
          <w:color w:val="000000" w:themeColor="text1"/>
        </w:rPr>
        <w:t xml:space="preserve">La Dirección de Planificación a través de la circular 61-20, es la responsable del seguimiento de los resultados de los planes de trabajo de los Juzgados Penales, Tribunales de Juicio, Tribunal y Secciones de Flagrancia, Juzgados de Ejecución de la Pena, Tribunal de Apelación, Sala Tercera, semana a semana cada una de esas oficinas presenta sus datos y son revisados por </w:t>
      </w:r>
      <w:r w:rsidR="00FF54BD">
        <w:rPr>
          <w:rFonts w:ascii="Book Antiqua" w:hAnsi="Book Antiqua"/>
          <w:color w:val="000000" w:themeColor="text1"/>
        </w:rPr>
        <w:t xml:space="preserve">los </w:t>
      </w:r>
      <w:r w:rsidRPr="002A040D">
        <w:rPr>
          <w:rFonts w:ascii="Book Antiqua" w:hAnsi="Book Antiqua"/>
          <w:color w:val="000000" w:themeColor="text1"/>
        </w:rPr>
        <w:t xml:space="preserve">profesionales de </w:t>
      </w:r>
      <w:r w:rsidR="00FF54BD">
        <w:rPr>
          <w:rFonts w:ascii="Book Antiqua" w:hAnsi="Book Antiqua"/>
          <w:color w:val="000000" w:themeColor="text1"/>
        </w:rPr>
        <w:t xml:space="preserve">esta </w:t>
      </w:r>
      <w:r w:rsidR="00FF54BD" w:rsidRPr="002A040D">
        <w:rPr>
          <w:rFonts w:ascii="Book Antiqua" w:hAnsi="Book Antiqua"/>
          <w:color w:val="000000" w:themeColor="text1"/>
        </w:rPr>
        <w:t xml:space="preserve"> </w:t>
      </w:r>
      <w:r w:rsidRPr="002A040D">
        <w:rPr>
          <w:rFonts w:ascii="Book Antiqua" w:hAnsi="Book Antiqua"/>
          <w:color w:val="000000" w:themeColor="text1"/>
        </w:rPr>
        <w:t xml:space="preserve">dirección, </w:t>
      </w:r>
      <w:r w:rsidR="00FF54BD">
        <w:rPr>
          <w:rFonts w:ascii="Book Antiqua" w:hAnsi="Book Antiqua"/>
          <w:color w:val="000000" w:themeColor="text1"/>
        </w:rPr>
        <w:t xml:space="preserve">que brindan </w:t>
      </w:r>
      <w:r w:rsidRPr="002A040D">
        <w:rPr>
          <w:rFonts w:ascii="Book Antiqua" w:hAnsi="Book Antiqua"/>
          <w:color w:val="000000" w:themeColor="text1"/>
        </w:rPr>
        <w:t xml:space="preserve"> retroalimentación </w:t>
      </w:r>
      <w:r w:rsidR="00FF54BD">
        <w:rPr>
          <w:rFonts w:ascii="Book Antiqua" w:hAnsi="Book Antiqua"/>
          <w:color w:val="000000" w:themeColor="text1"/>
        </w:rPr>
        <w:t xml:space="preserve">en su llenado, ante la presencia de </w:t>
      </w:r>
      <w:r w:rsidRPr="002A040D">
        <w:rPr>
          <w:rFonts w:ascii="Book Antiqua" w:hAnsi="Book Antiqua"/>
          <w:color w:val="000000" w:themeColor="text1"/>
        </w:rPr>
        <w:t xml:space="preserve"> inconsistencia</w:t>
      </w:r>
      <w:r w:rsidR="00FF54BD">
        <w:rPr>
          <w:rFonts w:ascii="Book Antiqua" w:hAnsi="Book Antiqua"/>
          <w:color w:val="000000" w:themeColor="text1"/>
        </w:rPr>
        <w:t>s; ad</w:t>
      </w:r>
      <w:r w:rsidR="00BF33E1">
        <w:rPr>
          <w:rFonts w:ascii="Book Antiqua" w:hAnsi="Book Antiqua"/>
          <w:color w:val="000000" w:themeColor="text1"/>
        </w:rPr>
        <w:t>e</w:t>
      </w:r>
      <w:r w:rsidR="00FF54BD">
        <w:rPr>
          <w:rFonts w:ascii="Book Antiqua" w:hAnsi="Book Antiqua"/>
          <w:color w:val="000000" w:themeColor="text1"/>
        </w:rPr>
        <w:t xml:space="preserve">más, </w:t>
      </w:r>
      <w:r w:rsidRPr="002A040D">
        <w:rPr>
          <w:rFonts w:ascii="Book Antiqua" w:hAnsi="Book Antiqua"/>
          <w:color w:val="000000" w:themeColor="text1"/>
        </w:rPr>
        <w:t>mensual</w:t>
      </w:r>
      <w:r w:rsidR="00FF54BD">
        <w:rPr>
          <w:rFonts w:ascii="Book Antiqua" w:hAnsi="Book Antiqua"/>
          <w:color w:val="000000" w:themeColor="text1"/>
        </w:rPr>
        <w:t>mente,</w:t>
      </w:r>
      <w:r w:rsidRPr="002A040D">
        <w:rPr>
          <w:rFonts w:ascii="Book Antiqua" w:hAnsi="Book Antiqua"/>
          <w:color w:val="000000" w:themeColor="text1"/>
        </w:rPr>
        <w:t xml:space="preserve"> se sistematiza la información, circular 101-2020. </w:t>
      </w:r>
    </w:p>
    <w:p w14:paraId="5CA1DDD1" w14:textId="77777777" w:rsidR="00FF54BD" w:rsidRDefault="00FF54BD" w:rsidP="00985591">
      <w:pPr>
        <w:spacing w:line="276" w:lineRule="auto"/>
        <w:jc w:val="both"/>
        <w:rPr>
          <w:rFonts w:ascii="Book Antiqua" w:hAnsi="Book Antiqua"/>
          <w:color w:val="000000" w:themeColor="text1"/>
        </w:rPr>
      </w:pPr>
    </w:p>
    <w:p w14:paraId="5F54D80A" w14:textId="6AE51967" w:rsidR="002A040D" w:rsidRPr="002A040D" w:rsidRDefault="002A040D" w:rsidP="00985591">
      <w:pPr>
        <w:spacing w:line="276" w:lineRule="auto"/>
        <w:jc w:val="both"/>
        <w:rPr>
          <w:rFonts w:ascii="Book Antiqua" w:hAnsi="Book Antiqua"/>
          <w:color w:val="000000" w:themeColor="text1"/>
        </w:rPr>
      </w:pPr>
      <w:r w:rsidRPr="002A040D">
        <w:rPr>
          <w:rFonts w:ascii="Book Antiqua" w:hAnsi="Book Antiqua"/>
          <w:color w:val="000000" w:themeColor="text1"/>
        </w:rPr>
        <w:t>De manera complementaria la Corte Plena</w:t>
      </w:r>
      <w:r w:rsidR="00FF54BD">
        <w:rPr>
          <w:rFonts w:ascii="Book Antiqua" w:hAnsi="Book Antiqua"/>
          <w:color w:val="000000" w:themeColor="text1"/>
        </w:rPr>
        <w:t>,</w:t>
      </w:r>
      <w:r w:rsidRPr="002A040D">
        <w:rPr>
          <w:rFonts w:ascii="Book Antiqua" w:hAnsi="Book Antiqua"/>
          <w:color w:val="000000" w:themeColor="text1"/>
        </w:rPr>
        <w:t xml:space="preserve"> en sesión N°12-2021</w:t>
      </w:r>
      <w:r w:rsidR="00FF54BD">
        <w:rPr>
          <w:rFonts w:ascii="Book Antiqua" w:hAnsi="Book Antiqua"/>
          <w:color w:val="000000" w:themeColor="text1"/>
        </w:rPr>
        <w:t>,</w:t>
      </w:r>
      <w:r w:rsidRPr="002A040D">
        <w:rPr>
          <w:rFonts w:ascii="Book Antiqua" w:hAnsi="Book Antiqua"/>
          <w:color w:val="000000" w:themeColor="text1"/>
        </w:rPr>
        <w:t xml:space="preserve"> del 22 de marzo de 2021, artículo XVII</w:t>
      </w:r>
      <w:r w:rsidR="00FF54BD">
        <w:rPr>
          <w:rFonts w:ascii="Book Antiqua" w:hAnsi="Book Antiqua"/>
          <w:color w:val="000000" w:themeColor="text1"/>
        </w:rPr>
        <w:t>,</w:t>
      </w:r>
      <w:r w:rsidRPr="002A040D">
        <w:rPr>
          <w:rFonts w:ascii="Book Antiqua" w:hAnsi="Book Antiqua"/>
          <w:color w:val="000000" w:themeColor="text1"/>
        </w:rPr>
        <w:t xml:space="preserve"> reiteró los informes que se debían de rendir por las oficinas durante la emergencia Covid-19, indicando que a partir del mes de mayo estos serían mediante las matrices de indicadores de gestión.</w:t>
      </w:r>
      <w:r w:rsidR="009C2A8D">
        <w:rPr>
          <w:rFonts w:ascii="Book Antiqua" w:hAnsi="Book Antiqua"/>
          <w:color w:val="000000" w:themeColor="text1"/>
        </w:rPr>
        <w:t xml:space="preserve"> Esto aplica, únicamente para los Juzgados Penales, Tribunales Penales</w:t>
      </w:r>
      <w:r w:rsidR="00C75434">
        <w:rPr>
          <w:rFonts w:ascii="Book Antiqua" w:hAnsi="Book Antiqua"/>
          <w:color w:val="000000" w:themeColor="text1"/>
        </w:rPr>
        <w:t>,</w:t>
      </w:r>
      <w:r w:rsidR="009C2A8D">
        <w:rPr>
          <w:rFonts w:ascii="Book Antiqua" w:hAnsi="Book Antiqua"/>
          <w:color w:val="000000" w:themeColor="text1"/>
        </w:rPr>
        <w:t xml:space="preserve"> Secciones de Flagrancia</w:t>
      </w:r>
      <w:r w:rsidR="00C75434">
        <w:rPr>
          <w:rFonts w:ascii="Book Antiqua" w:hAnsi="Book Antiqua"/>
          <w:color w:val="000000" w:themeColor="text1"/>
        </w:rPr>
        <w:t xml:space="preserve"> y Juzgados de Ejecución</w:t>
      </w:r>
      <w:r w:rsidR="009C2A8D">
        <w:rPr>
          <w:rFonts w:ascii="Book Antiqua" w:hAnsi="Book Antiqua"/>
          <w:color w:val="000000" w:themeColor="text1"/>
        </w:rPr>
        <w:t>.</w:t>
      </w:r>
    </w:p>
    <w:p w14:paraId="2150462B" w14:textId="77777777" w:rsidR="001F77A7" w:rsidRPr="00234090" w:rsidRDefault="001F77A7" w:rsidP="00985591">
      <w:pPr>
        <w:pStyle w:val="Prrafodelista"/>
        <w:spacing w:after="160" w:line="276" w:lineRule="auto"/>
        <w:ind w:left="0"/>
        <w:contextualSpacing/>
        <w:rPr>
          <w:rFonts w:ascii="Book Antiqua" w:hAnsi="Book Antiqua"/>
          <w:color w:val="000000" w:themeColor="text1"/>
        </w:rPr>
      </w:pPr>
    </w:p>
    <w:p w14:paraId="434202A2" w14:textId="71EA7B3E" w:rsidR="00F8285F" w:rsidRPr="009C2A8D" w:rsidRDefault="34D0ED17" w:rsidP="57A79FF7">
      <w:pPr>
        <w:spacing w:after="160" w:line="276" w:lineRule="auto"/>
        <w:contextualSpacing/>
        <w:jc w:val="both"/>
        <w:outlineLvl w:val="1"/>
        <w:rPr>
          <w:b/>
          <w:color w:val="000000" w:themeColor="text1"/>
        </w:rPr>
      </w:pPr>
      <w:r w:rsidRPr="57A79FF7">
        <w:rPr>
          <w:rFonts w:ascii="Book Antiqua" w:hAnsi="Book Antiqua"/>
          <w:b/>
          <w:bCs/>
          <w:color w:val="000000" w:themeColor="text1"/>
        </w:rPr>
        <w:t xml:space="preserve">5.1 </w:t>
      </w:r>
      <w:r w:rsidR="00F8285F" w:rsidRPr="009C2A8D">
        <w:rPr>
          <w:rFonts w:ascii="Book Antiqua" w:hAnsi="Book Antiqua"/>
          <w:b/>
          <w:color w:val="000000" w:themeColor="text1"/>
        </w:rPr>
        <w:t>Resultado del desglose de actividades principales del personal de la judicatura</w:t>
      </w:r>
    </w:p>
    <w:p w14:paraId="5A4159F9" w14:textId="77777777" w:rsidR="00776798" w:rsidRPr="00234090" w:rsidRDefault="00776798" w:rsidP="00985591">
      <w:pPr>
        <w:pStyle w:val="Prrafodelista"/>
        <w:spacing w:line="276" w:lineRule="auto"/>
        <w:ind w:left="1080"/>
        <w:rPr>
          <w:rFonts w:ascii="Book Antiqua" w:hAnsi="Book Antiqua"/>
          <w:b/>
          <w:color w:val="000000" w:themeColor="text1"/>
        </w:rPr>
      </w:pPr>
    </w:p>
    <w:p w14:paraId="18258046" w14:textId="3389D82F" w:rsidR="00776798" w:rsidRPr="00234090" w:rsidRDefault="764689AC" w:rsidP="57A79FF7">
      <w:pPr>
        <w:tabs>
          <w:tab w:val="left" w:pos="426"/>
        </w:tabs>
        <w:spacing w:line="276" w:lineRule="auto"/>
        <w:jc w:val="both"/>
        <w:outlineLvl w:val="2"/>
        <w:rPr>
          <w:b/>
          <w:color w:val="000000" w:themeColor="text1"/>
          <w:lang w:eastAsia="es-CR"/>
        </w:rPr>
      </w:pPr>
      <w:r w:rsidRPr="57A79FF7">
        <w:rPr>
          <w:rFonts w:ascii="Book Antiqua" w:hAnsi="Book Antiqua"/>
          <w:b/>
          <w:bCs/>
          <w:color w:val="000000" w:themeColor="text1"/>
        </w:rPr>
        <w:t xml:space="preserve">5.1.1 </w:t>
      </w:r>
      <w:r w:rsidR="00776798" w:rsidRPr="00234090">
        <w:rPr>
          <w:rFonts w:ascii="Book Antiqua" w:hAnsi="Book Antiqua"/>
          <w:b/>
          <w:bCs/>
          <w:color w:val="000000" w:themeColor="text1"/>
        </w:rPr>
        <w:t>Juzgados Penales</w:t>
      </w:r>
    </w:p>
    <w:p w14:paraId="71B6B699" w14:textId="77777777" w:rsidR="00776798" w:rsidRPr="00234090" w:rsidRDefault="00776798" w:rsidP="00985591">
      <w:pPr>
        <w:pStyle w:val="Prrafodelista"/>
        <w:tabs>
          <w:tab w:val="left" w:pos="426"/>
        </w:tabs>
        <w:spacing w:line="276" w:lineRule="auto"/>
        <w:ind w:left="0"/>
        <w:jc w:val="both"/>
        <w:rPr>
          <w:rFonts w:ascii="Book Antiqua" w:hAnsi="Book Antiqua"/>
          <w:color w:val="000000" w:themeColor="text1"/>
        </w:rPr>
      </w:pPr>
    </w:p>
    <w:p w14:paraId="2FE99790" w14:textId="77777777" w:rsidR="00322D3A" w:rsidRPr="00336B79" w:rsidRDefault="00322D3A" w:rsidP="00985591">
      <w:pPr>
        <w:spacing w:line="276" w:lineRule="auto"/>
        <w:jc w:val="both"/>
        <w:rPr>
          <w:rFonts w:ascii="Book Antiqua" w:hAnsi="Book Antiqua" w:cs="Arial"/>
        </w:rPr>
      </w:pPr>
      <w:r>
        <w:rPr>
          <w:rFonts w:ascii="Book Antiqua" w:hAnsi="Book Antiqua"/>
          <w:color w:val="000000"/>
          <w:lang w:val="es-ES"/>
        </w:rPr>
        <w:t xml:space="preserve">Según los datos reportados en las matrices de indicadores por los Juzgados Penales, </w:t>
      </w:r>
      <w:r w:rsidRPr="005F2A2D">
        <w:rPr>
          <w:rFonts w:ascii="Book Antiqua" w:hAnsi="Book Antiqua"/>
          <w:color w:val="000000"/>
        </w:rPr>
        <w:t>las</w:t>
      </w:r>
      <w:r>
        <w:rPr>
          <w:rFonts w:ascii="Book Antiqua" w:hAnsi="Book Antiqua"/>
          <w:color w:val="000000"/>
        </w:rPr>
        <w:t xml:space="preserve"> principales actividades efectuadas por el personal de la judicatura durante el mes de junio del 2021 fueron: 9500 asuntos finalizados por desestimación, sobreseimientos y auto apertura a juicio, 2484 audiencias preliminares realizadas y 760 vistas orales efectuadas.</w:t>
      </w:r>
    </w:p>
    <w:p w14:paraId="2D65A687" w14:textId="77777777" w:rsidR="006A710F" w:rsidRPr="00234090" w:rsidRDefault="006A710F" w:rsidP="006A710F">
      <w:pPr>
        <w:spacing w:line="276" w:lineRule="auto"/>
        <w:rPr>
          <w:rFonts w:ascii="Book Antiqua" w:hAnsi="Book Antiqua"/>
          <w:b/>
          <w:color w:val="000000" w:themeColor="text1"/>
        </w:rPr>
      </w:pPr>
    </w:p>
    <w:p w14:paraId="72D97F48" w14:textId="2D32A979" w:rsidR="00776798" w:rsidRPr="00234090" w:rsidRDefault="00776798" w:rsidP="00985591">
      <w:pPr>
        <w:spacing w:line="276" w:lineRule="auto"/>
        <w:jc w:val="center"/>
        <w:rPr>
          <w:rFonts w:ascii="Book Antiqua" w:hAnsi="Book Antiqua"/>
          <w:b/>
          <w:color w:val="000000" w:themeColor="text1"/>
        </w:rPr>
      </w:pPr>
      <w:r w:rsidRPr="00234090">
        <w:rPr>
          <w:rFonts w:ascii="Book Antiqua" w:hAnsi="Book Antiqua"/>
          <w:b/>
          <w:color w:val="000000" w:themeColor="text1"/>
        </w:rPr>
        <w:t xml:space="preserve">Gráfico </w:t>
      </w:r>
      <w:r w:rsidR="00C1591A">
        <w:rPr>
          <w:rFonts w:ascii="Book Antiqua" w:hAnsi="Book Antiqua"/>
          <w:b/>
          <w:color w:val="000000" w:themeColor="text1"/>
        </w:rPr>
        <w:t>9</w:t>
      </w:r>
    </w:p>
    <w:p w14:paraId="4D2F9F69" w14:textId="77777777" w:rsidR="00F04863" w:rsidRPr="00F04863" w:rsidRDefault="00F04863" w:rsidP="00985591">
      <w:pPr>
        <w:spacing w:line="276" w:lineRule="auto"/>
        <w:jc w:val="center"/>
        <w:rPr>
          <w:rFonts w:ascii="Book Antiqua" w:hAnsi="Book Antiqua"/>
          <w:bCs/>
          <w:color w:val="000000"/>
        </w:rPr>
      </w:pPr>
      <w:r w:rsidRPr="00F04863">
        <w:rPr>
          <w:rFonts w:ascii="Book Antiqua" w:hAnsi="Book Antiqua"/>
          <w:bCs/>
          <w:color w:val="000000"/>
        </w:rPr>
        <w:t>Actividades principales efectuadas por el personal de la judicatura</w:t>
      </w:r>
    </w:p>
    <w:p w14:paraId="37034D98" w14:textId="3FDF883D" w:rsidR="00F04863" w:rsidRDefault="00F04863" w:rsidP="00985591">
      <w:pPr>
        <w:spacing w:line="276" w:lineRule="auto"/>
        <w:jc w:val="center"/>
        <w:rPr>
          <w:rFonts w:ascii="Book Antiqua" w:hAnsi="Book Antiqua"/>
          <w:bCs/>
          <w:color w:val="000000"/>
        </w:rPr>
      </w:pPr>
      <w:r w:rsidRPr="00F04863">
        <w:rPr>
          <w:rFonts w:ascii="Book Antiqua" w:hAnsi="Book Antiqua"/>
          <w:bCs/>
          <w:color w:val="000000"/>
        </w:rPr>
        <w:t xml:space="preserve">de los Juzgados Penales durante </w:t>
      </w:r>
      <w:r>
        <w:rPr>
          <w:rFonts w:ascii="Book Antiqua" w:hAnsi="Book Antiqua"/>
          <w:bCs/>
          <w:color w:val="000000"/>
        </w:rPr>
        <w:t>junio</w:t>
      </w:r>
      <w:r w:rsidRPr="00F04863">
        <w:rPr>
          <w:rFonts w:ascii="Book Antiqua" w:hAnsi="Book Antiqua"/>
          <w:bCs/>
          <w:color w:val="000000"/>
        </w:rPr>
        <w:t xml:space="preserve"> de 2021</w:t>
      </w:r>
    </w:p>
    <w:p w14:paraId="7D7A73C8" w14:textId="77777777" w:rsidR="00322D3A" w:rsidRPr="00F04863" w:rsidRDefault="00322D3A" w:rsidP="00985591">
      <w:pPr>
        <w:spacing w:line="276" w:lineRule="auto"/>
        <w:jc w:val="center"/>
        <w:rPr>
          <w:rFonts w:ascii="Book Antiqua" w:hAnsi="Book Antiqua"/>
          <w:bCs/>
          <w:color w:val="000000"/>
        </w:rPr>
      </w:pPr>
    </w:p>
    <w:p w14:paraId="14AAAC32" w14:textId="79BDB153" w:rsidR="00E549E6" w:rsidRPr="004F0E92" w:rsidRDefault="00F04863" w:rsidP="00985591">
      <w:pPr>
        <w:spacing w:line="276" w:lineRule="auto"/>
        <w:jc w:val="center"/>
        <w:rPr>
          <w:rFonts w:ascii="Book Antiqua" w:hAnsi="Book Antiqua"/>
          <w:b/>
          <w:color w:val="000000" w:themeColor="text1"/>
        </w:rPr>
      </w:pPr>
      <w:r w:rsidRPr="00F04863">
        <w:rPr>
          <w:rFonts w:ascii="Book Antiqua" w:hAnsi="Book Antiqua"/>
          <w:noProof/>
          <w:sz w:val="20"/>
          <w:szCs w:val="20"/>
        </w:rPr>
        <w:drawing>
          <wp:inline distT="0" distB="0" distL="0" distR="0" wp14:anchorId="0BBFCFA4" wp14:editId="7081D544">
            <wp:extent cx="4212925" cy="2540833"/>
            <wp:effectExtent l="0" t="0" r="0" b="0"/>
            <wp:docPr id="33" name="Gráfico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0AB5B8D" w14:textId="77777777" w:rsidR="00F04863" w:rsidRDefault="00F04863" w:rsidP="00985591">
      <w:pPr>
        <w:spacing w:line="276" w:lineRule="auto"/>
        <w:jc w:val="center"/>
        <w:rPr>
          <w:rFonts w:ascii="Book Antiqua" w:hAnsi="Book Antiqua"/>
          <w:b/>
          <w:bCs/>
          <w:color w:val="000000" w:themeColor="text1"/>
          <w:sz w:val="20"/>
          <w:szCs w:val="20"/>
        </w:rPr>
      </w:pPr>
      <w:r w:rsidRPr="00677475">
        <w:rPr>
          <w:rFonts w:ascii="Book Antiqua" w:hAnsi="Book Antiqua"/>
          <w:b/>
          <w:bCs/>
          <w:color w:val="000000" w:themeColor="text1"/>
          <w:sz w:val="20"/>
          <w:szCs w:val="20"/>
        </w:rPr>
        <w:t xml:space="preserve">Fuente: </w:t>
      </w:r>
      <w:r w:rsidRPr="00677475">
        <w:rPr>
          <w:rFonts w:ascii="Book Antiqua" w:hAnsi="Book Antiqua"/>
          <w:color w:val="000000" w:themeColor="text1"/>
          <w:sz w:val="20"/>
          <w:szCs w:val="20"/>
        </w:rPr>
        <w:t>Matriz de indicadores de Gestión</w:t>
      </w:r>
    </w:p>
    <w:p w14:paraId="51FB59A1" w14:textId="77777777" w:rsidR="00776798" w:rsidRPr="004F0E92" w:rsidRDefault="00776798" w:rsidP="00985591">
      <w:pPr>
        <w:spacing w:line="276" w:lineRule="auto"/>
        <w:rPr>
          <w:rFonts w:ascii="Book Antiqua" w:hAnsi="Book Antiqua"/>
          <w:color w:val="000000" w:themeColor="text1"/>
        </w:rPr>
      </w:pPr>
    </w:p>
    <w:p w14:paraId="32AA5852" w14:textId="57A824DF" w:rsidR="00776798" w:rsidRPr="004F0E92" w:rsidRDefault="67E516FE" w:rsidP="00985591">
      <w:pPr>
        <w:pStyle w:val="Ttulo3"/>
        <w:spacing w:line="276" w:lineRule="auto"/>
        <w:rPr>
          <w:rFonts w:ascii="Book Antiqua" w:eastAsia="Book Antiqua" w:hAnsi="Book Antiqua" w:cs="Book Antiqua"/>
        </w:rPr>
      </w:pPr>
      <w:r w:rsidRPr="57A79FF7">
        <w:rPr>
          <w:rFonts w:ascii="Book Antiqua" w:eastAsia="Book Antiqua" w:hAnsi="Book Antiqua" w:cs="Book Antiqua"/>
        </w:rPr>
        <w:t>5</w:t>
      </w:r>
      <w:r w:rsidR="00222669" w:rsidRPr="57A79FF7">
        <w:rPr>
          <w:rFonts w:ascii="Book Antiqua" w:eastAsia="Book Antiqua" w:hAnsi="Book Antiqua" w:cs="Book Antiqua"/>
        </w:rPr>
        <w:t xml:space="preserve">.1.2 </w:t>
      </w:r>
      <w:proofErr w:type="spellStart"/>
      <w:r w:rsidR="00776798" w:rsidRPr="57A79FF7">
        <w:rPr>
          <w:rFonts w:ascii="Book Antiqua" w:eastAsia="Book Antiqua" w:hAnsi="Book Antiqua" w:cs="Book Antiqua"/>
        </w:rPr>
        <w:t>Tribunales</w:t>
      </w:r>
      <w:proofErr w:type="spellEnd"/>
      <w:r w:rsidR="00776798" w:rsidRPr="57A79FF7">
        <w:rPr>
          <w:rFonts w:ascii="Book Antiqua" w:eastAsia="Book Antiqua" w:hAnsi="Book Antiqua" w:cs="Book Antiqua"/>
        </w:rPr>
        <w:t xml:space="preserve"> Penales</w:t>
      </w:r>
    </w:p>
    <w:p w14:paraId="4C0B0BAB" w14:textId="77777777" w:rsidR="00776798" w:rsidRPr="004F0E92" w:rsidRDefault="00776798" w:rsidP="00985591">
      <w:pPr>
        <w:spacing w:line="276" w:lineRule="auto"/>
        <w:rPr>
          <w:rFonts w:ascii="Book Antiqua" w:hAnsi="Book Antiqua"/>
          <w:color w:val="000000" w:themeColor="text1"/>
        </w:rPr>
      </w:pPr>
    </w:p>
    <w:p w14:paraId="14D8BEE9" w14:textId="0ECD3514" w:rsidR="00322D3A" w:rsidRDefault="00322D3A" w:rsidP="00985591">
      <w:pPr>
        <w:spacing w:line="276" w:lineRule="auto"/>
        <w:jc w:val="both"/>
        <w:rPr>
          <w:rFonts w:ascii="Book Antiqua" w:hAnsi="Book Antiqua"/>
          <w:b/>
          <w:color w:val="000000"/>
        </w:rPr>
      </w:pPr>
      <w:r w:rsidRPr="0010293C">
        <w:rPr>
          <w:rFonts w:ascii="Book Antiqua" w:hAnsi="Book Antiqua"/>
          <w:color w:val="000000"/>
        </w:rPr>
        <w:t>En los Tribunales Penales la actividad que se realiza con mayor proporción a nivel de</w:t>
      </w:r>
      <w:r w:rsidR="00FE1A82">
        <w:rPr>
          <w:rFonts w:ascii="Book Antiqua" w:hAnsi="Book Antiqua"/>
          <w:color w:val="000000"/>
        </w:rPr>
        <w:t>l</w:t>
      </w:r>
      <w:r w:rsidRPr="0010293C">
        <w:rPr>
          <w:rFonts w:ascii="Book Antiqua" w:hAnsi="Book Antiqua"/>
          <w:color w:val="000000"/>
        </w:rPr>
        <w:t xml:space="preserve"> </w:t>
      </w:r>
      <w:r w:rsidR="00FE1A82">
        <w:rPr>
          <w:rFonts w:ascii="Book Antiqua" w:hAnsi="Book Antiqua"/>
          <w:color w:val="000000"/>
        </w:rPr>
        <w:t>personal de la judicatura</w:t>
      </w:r>
      <w:r w:rsidRPr="0010293C">
        <w:rPr>
          <w:rFonts w:ascii="Book Antiqua" w:hAnsi="Book Antiqua"/>
          <w:color w:val="000000"/>
        </w:rPr>
        <w:t xml:space="preserve"> es la de sentencia dictada con </w:t>
      </w:r>
      <w:r w:rsidR="00045B69">
        <w:rPr>
          <w:rFonts w:ascii="Book Antiqua" w:hAnsi="Book Antiqua"/>
          <w:color w:val="000000"/>
        </w:rPr>
        <w:t>1000</w:t>
      </w:r>
      <w:r w:rsidRPr="0010293C">
        <w:rPr>
          <w:rFonts w:ascii="Book Antiqua" w:hAnsi="Book Antiqua"/>
          <w:color w:val="000000"/>
        </w:rPr>
        <w:t xml:space="preserve"> y recurso de apelación con </w:t>
      </w:r>
      <w:r w:rsidR="00045B69">
        <w:rPr>
          <w:rFonts w:ascii="Book Antiqua" w:hAnsi="Book Antiqua"/>
          <w:color w:val="000000"/>
        </w:rPr>
        <w:t>409</w:t>
      </w:r>
      <w:r w:rsidRPr="0010293C">
        <w:rPr>
          <w:rFonts w:ascii="Book Antiqua" w:hAnsi="Book Antiqua"/>
          <w:color w:val="000000"/>
        </w:rPr>
        <w:t xml:space="preserve"> en una segunda posición. Mediante revisión de matrices de indicadores se logra determinar las principales labores de las personas juzgadoras, se tiene, además, el dictado de medidas alternas como una de las actividades que se realizan con más frecuencia.</w:t>
      </w:r>
    </w:p>
    <w:p w14:paraId="503025FC" w14:textId="77777777" w:rsidR="00B92788" w:rsidRDefault="00B92788" w:rsidP="00BF7F5F">
      <w:pPr>
        <w:spacing w:line="276" w:lineRule="auto"/>
        <w:rPr>
          <w:rFonts w:ascii="Book Antiqua" w:hAnsi="Book Antiqua"/>
          <w:b/>
          <w:color w:val="000000" w:themeColor="text1"/>
        </w:rPr>
      </w:pPr>
    </w:p>
    <w:p w14:paraId="29D53FFE" w14:textId="4807A30D" w:rsidR="00776798" w:rsidRPr="004F0E92" w:rsidRDefault="00776798" w:rsidP="00985591">
      <w:pPr>
        <w:spacing w:line="276" w:lineRule="auto"/>
        <w:jc w:val="center"/>
        <w:rPr>
          <w:rFonts w:ascii="Book Antiqua" w:hAnsi="Book Antiqua"/>
          <w:b/>
          <w:color w:val="000000" w:themeColor="text1"/>
        </w:rPr>
      </w:pPr>
      <w:r w:rsidRPr="004F0E92">
        <w:rPr>
          <w:rFonts w:ascii="Book Antiqua" w:hAnsi="Book Antiqua"/>
          <w:b/>
          <w:color w:val="000000" w:themeColor="text1"/>
        </w:rPr>
        <w:t xml:space="preserve">Gráfico </w:t>
      </w:r>
      <w:r w:rsidR="001654B9">
        <w:rPr>
          <w:rFonts w:ascii="Book Antiqua" w:hAnsi="Book Antiqua"/>
          <w:b/>
          <w:color w:val="000000" w:themeColor="text1"/>
        </w:rPr>
        <w:t>10</w:t>
      </w:r>
    </w:p>
    <w:p w14:paraId="13FB4A50" w14:textId="77777777" w:rsidR="00F04863" w:rsidRPr="00BE697B" w:rsidRDefault="00F04863" w:rsidP="00985591">
      <w:pPr>
        <w:spacing w:line="276" w:lineRule="auto"/>
        <w:jc w:val="center"/>
        <w:rPr>
          <w:rFonts w:ascii="Book Antiqua" w:hAnsi="Book Antiqua"/>
          <w:bCs/>
          <w:color w:val="000000"/>
        </w:rPr>
      </w:pPr>
      <w:r w:rsidRPr="00BE697B">
        <w:rPr>
          <w:rFonts w:ascii="Book Antiqua" w:hAnsi="Book Antiqua"/>
          <w:bCs/>
          <w:color w:val="000000"/>
        </w:rPr>
        <w:t>Actividades principales efectuadas por el personal de la judicatura</w:t>
      </w:r>
    </w:p>
    <w:p w14:paraId="2A5E8EDE" w14:textId="77777777" w:rsidR="00F04863" w:rsidRPr="00BE697B" w:rsidRDefault="00F04863" w:rsidP="00985591">
      <w:pPr>
        <w:spacing w:line="276" w:lineRule="auto"/>
        <w:jc w:val="center"/>
        <w:rPr>
          <w:rFonts w:ascii="Book Antiqua" w:hAnsi="Book Antiqua"/>
          <w:bCs/>
          <w:color w:val="000000"/>
        </w:rPr>
      </w:pPr>
      <w:r w:rsidRPr="00BE697B">
        <w:rPr>
          <w:rFonts w:ascii="Book Antiqua" w:hAnsi="Book Antiqua"/>
          <w:bCs/>
          <w:color w:val="000000"/>
        </w:rPr>
        <w:t>de los Tribunales Penales durante junio de 2021</w:t>
      </w:r>
    </w:p>
    <w:p w14:paraId="794A64A3" w14:textId="03EAAF80" w:rsidR="00776798" w:rsidRPr="004F0E92" w:rsidRDefault="00776798" w:rsidP="00985591">
      <w:pPr>
        <w:spacing w:line="276" w:lineRule="auto"/>
        <w:jc w:val="center"/>
        <w:rPr>
          <w:rFonts w:ascii="Book Antiqua" w:hAnsi="Book Antiqua"/>
          <w:noProof/>
          <w:color w:val="000000" w:themeColor="text1"/>
        </w:rPr>
      </w:pPr>
    </w:p>
    <w:p w14:paraId="3603ABEA" w14:textId="5D83BA6B" w:rsidR="00776798" w:rsidRPr="004F0E92" w:rsidRDefault="00045B69" w:rsidP="00985591">
      <w:pPr>
        <w:spacing w:line="276" w:lineRule="auto"/>
        <w:jc w:val="center"/>
        <w:rPr>
          <w:rFonts w:ascii="Book Antiqua" w:hAnsi="Book Antiqua"/>
          <w:color w:val="000000" w:themeColor="text1"/>
        </w:rPr>
      </w:pPr>
      <w:r>
        <w:rPr>
          <w:noProof/>
        </w:rPr>
        <w:drawing>
          <wp:inline distT="0" distB="0" distL="0" distR="0" wp14:anchorId="21937995" wp14:editId="7B0E04E7">
            <wp:extent cx="4398135" cy="2556457"/>
            <wp:effectExtent l="0" t="0" r="2540" b="0"/>
            <wp:docPr id="24" name="Gráfico 24">
              <a:extLst xmlns:a="http://schemas.openxmlformats.org/drawingml/2006/main">
                <a:ext uri="{FF2B5EF4-FFF2-40B4-BE49-F238E27FC236}">
                  <a16:creationId xmlns:a16="http://schemas.microsoft.com/office/drawing/2014/main" id="{02DEB720-F7E9-47A2-86CA-7EFE25AE4F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9399FBF" w14:textId="77777777" w:rsidR="00F04863" w:rsidRDefault="00F04863" w:rsidP="00985591">
      <w:pPr>
        <w:spacing w:line="276" w:lineRule="auto"/>
        <w:jc w:val="center"/>
        <w:rPr>
          <w:rFonts w:ascii="Book Antiqua" w:hAnsi="Book Antiqua"/>
          <w:b/>
          <w:bCs/>
          <w:color w:val="000000" w:themeColor="text1"/>
          <w:sz w:val="20"/>
          <w:szCs w:val="20"/>
        </w:rPr>
      </w:pPr>
      <w:r w:rsidRPr="00677475">
        <w:rPr>
          <w:rFonts w:ascii="Book Antiqua" w:hAnsi="Book Antiqua"/>
          <w:b/>
          <w:bCs/>
          <w:color w:val="000000" w:themeColor="text1"/>
          <w:sz w:val="20"/>
          <w:szCs w:val="20"/>
        </w:rPr>
        <w:t xml:space="preserve">Fuente: </w:t>
      </w:r>
      <w:r w:rsidRPr="00677475">
        <w:rPr>
          <w:rFonts w:ascii="Book Antiqua" w:hAnsi="Book Antiqua"/>
          <w:color w:val="000000" w:themeColor="text1"/>
          <w:sz w:val="20"/>
          <w:szCs w:val="20"/>
        </w:rPr>
        <w:t>Matriz de indicadores de Gestión</w:t>
      </w:r>
    </w:p>
    <w:p w14:paraId="55E8A405" w14:textId="77777777" w:rsidR="00C1591A" w:rsidRPr="004F0E92" w:rsidRDefault="00C1591A" w:rsidP="00985591">
      <w:pPr>
        <w:spacing w:after="160" w:line="276" w:lineRule="auto"/>
        <w:contextualSpacing/>
        <w:rPr>
          <w:rFonts w:ascii="Book Antiqua" w:hAnsi="Book Antiqua"/>
          <w:b/>
          <w:color w:val="000000" w:themeColor="text1"/>
        </w:rPr>
      </w:pPr>
    </w:p>
    <w:p w14:paraId="7F809275" w14:textId="29E1F41F" w:rsidR="00776798" w:rsidRPr="00234090" w:rsidRDefault="7B3D2380" w:rsidP="00985591">
      <w:pPr>
        <w:pStyle w:val="Ttulo3"/>
        <w:spacing w:line="276" w:lineRule="auto"/>
        <w:rPr>
          <w:rFonts w:ascii="Book Antiqua" w:eastAsia="Book Antiqua" w:hAnsi="Book Antiqua" w:cs="Book Antiqua"/>
        </w:rPr>
      </w:pPr>
      <w:r w:rsidRPr="57A79FF7">
        <w:rPr>
          <w:rFonts w:ascii="Book Antiqua" w:eastAsia="Book Antiqua" w:hAnsi="Book Antiqua" w:cs="Book Antiqua"/>
        </w:rPr>
        <w:t>5</w:t>
      </w:r>
      <w:r w:rsidR="00222669" w:rsidRPr="57A79FF7">
        <w:rPr>
          <w:rFonts w:ascii="Book Antiqua" w:eastAsia="Book Antiqua" w:hAnsi="Book Antiqua" w:cs="Book Antiqua"/>
        </w:rPr>
        <w:t xml:space="preserve">.1.3 </w:t>
      </w:r>
      <w:r w:rsidR="00776798" w:rsidRPr="57A79FF7">
        <w:rPr>
          <w:rFonts w:ascii="Book Antiqua" w:eastAsia="Book Antiqua" w:hAnsi="Book Antiqua" w:cs="Book Antiqua"/>
        </w:rPr>
        <w:t xml:space="preserve">Tribunal y </w:t>
      </w:r>
      <w:proofErr w:type="spellStart"/>
      <w:r w:rsidR="00776798" w:rsidRPr="57A79FF7">
        <w:rPr>
          <w:rFonts w:ascii="Book Antiqua" w:eastAsia="Book Antiqua" w:hAnsi="Book Antiqua" w:cs="Book Antiqua"/>
        </w:rPr>
        <w:t>Secciones</w:t>
      </w:r>
      <w:proofErr w:type="spellEnd"/>
      <w:r w:rsidR="00776798" w:rsidRPr="57A79FF7">
        <w:rPr>
          <w:rFonts w:ascii="Book Antiqua" w:eastAsia="Book Antiqua" w:hAnsi="Book Antiqua" w:cs="Book Antiqua"/>
        </w:rPr>
        <w:t xml:space="preserve"> de Flagrancia</w:t>
      </w:r>
    </w:p>
    <w:p w14:paraId="027F9076" w14:textId="77777777" w:rsidR="00776798" w:rsidRPr="00234090" w:rsidRDefault="00776798" w:rsidP="00985591">
      <w:pPr>
        <w:spacing w:line="276" w:lineRule="auto"/>
        <w:rPr>
          <w:rFonts w:ascii="Book Antiqua" w:hAnsi="Book Antiqua"/>
          <w:lang w:val="es-ES_tradnl" w:eastAsia="en-US"/>
        </w:rPr>
      </w:pPr>
    </w:p>
    <w:p w14:paraId="6BA38E37" w14:textId="56FE116D" w:rsidR="00C650D8" w:rsidRDefault="00FE1A82" w:rsidP="00985591">
      <w:pPr>
        <w:spacing w:line="276" w:lineRule="auto"/>
        <w:jc w:val="both"/>
        <w:rPr>
          <w:rFonts w:ascii="Book Antiqua" w:hAnsi="Book Antiqua"/>
          <w:color w:val="000000"/>
        </w:rPr>
      </w:pPr>
      <w:r w:rsidRPr="00FE1A82">
        <w:rPr>
          <w:rFonts w:ascii="Book Antiqua" w:hAnsi="Book Antiqua"/>
          <w:color w:val="000000"/>
        </w:rPr>
        <w:t>En materia de Flagrancia, a nivel de judicatura se toma cómo referente de las principales actividades las audiencias iniciales, las medidas alternas y la cantidad de sentencias dictadas, debido a lo anterior, se procedió a realizar un conteo de estas durante el mes en estudio, obteniendo cómo resultado que las personas juzgadoras realizaron un total de 831 audiencias iniciales, 621 sentencias dictadas y se lograron un total de 480 medidas alternas.</w:t>
      </w:r>
    </w:p>
    <w:p w14:paraId="7C93C831" w14:textId="77777777" w:rsidR="00C650D8" w:rsidRDefault="00C650D8" w:rsidP="00985591">
      <w:pPr>
        <w:spacing w:line="276" w:lineRule="auto"/>
        <w:jc w:val="both"/>
        <w:rPr>
          <w:rFonts w:ascii="Book Antiqua" w:hAnsi="Book Antiqua" w:cs="Arial"/>
        </w:rPr>
      </w:pPr>
    </w:p>
    <w:p w14:paraId="4C73F583" w14:textId="6215DA8F" w:rsidR="00C650D8" w:rsidRPr="00FE1A82" w:rsidRDefault="00C650D8" w:rsidP="00985591">
      <w:pPr>
        <w:spacing w:line="276" w:lineRule="auto"/>
        <w:jc w:val="center"/>
        <w:rPr>
          <w:rFonts w:ascii="Book Antiqua" w:hAnsi="Book Antiqua"/>
          <w:b/>
          <w:color w:val="000000"/>
        </w:rPr>
      </w:pPr>
      <w:r w:rsidRPr="00FE1A82">
        <w:rPr>
          <w:rFonts w:ascii="Book Antiqua" w:hAnsi="Book Antiqua"/>
          <w:b/>
          <w:color w:val="000000"/>
        </w:rPr>
        <w:t xml:space="preserve">Gráfico </w:t>
      </w:r>
      <w:r w:rsidR="001654B9" w:rsidRPr="00FE1A82">
        <w:rPr>
          <w:rFonts w:ascii="Book Antiqua" w:hAnsi="Book Antiqua"/>
          <w:b/>
          <w:color w:val="000000"/>
        </w:rPr>
        <w:t>11</w:t>
      </w:r>
    </w:p>
    <w:p w14:paraId="179E8A38" w14:textId="77777777" w:rsidR="00C650D8" w:rsidRPr="00FE1A82" w:rsidRDefault="00C650D8" w:rsidP="00985591">
      <w:pPr>
        <w:spacing w:line="276" w:lineRule="auto"/>
        <w:jc w:val="center"/>
        <w:rPr>
          <w:rFonts w:ascii="Book Antiqua" w:hAnsi="Book Antiqua"/>
          <w:bCs/>
          <w:color w:val="000000"/>
        </w:rPr>
      </w:pPr>
      <w:r w:rsidRPr="00FE1A82">
        <w:rPr>
          <w:rFonts w:ascii="Book Antiqua" w:hAnsi="Book Antiqua"/>
          <w:bCs/>
          <w:color w:val="000000"/>
        </w:rPr>
        <w:t>Actividades principales efectuadas por el personal de la judicatura</w:t>
      </w:r>
    </w:p>
    <w:p w14:paraId="6AB27EDD" w14:textId="64B0356A" w:rsidR="00A40E38" w:rsidRPr="00BF7F5F" w:rsidRDefault="00C650D8" w:rsidP="00BF7F5F">
      <w:pPr>
        <w:spacing w:line="276" w:lineRule="auto"/>
        <w:jc w:val="center"/>
        <w:rPr>
          <w:rFonts w:ascii="Book Antiqua" w:hAnsi="Book Antiqua"/>
          <w:bCs/>
          <w:color w:val="000000"/>
        </w:rPr>
      </w:pPr>
      <w:r w:rsidRPr="00FE1A82">
        <w:rPr>
          <w:rFonts w:ascii="Book Antiqua" w:hAnsi="Book Antiqua"/>
          <w:bCs/>
          <w:color w:val="000000"/>
        </w:rPr>
        <w:t>de los Tribunales y secciones de Flagrancia durante junio de 2021</w:t>
      </w:r>
      <w:r w:rsidR="008B70A9" w:rsidRPr="00FE1A82">
        <w:rPr>
          <w:rFonts w:ascii="Book Antiqua" w:hAnsi="Book Antiqua"/>
          <w:noProof/>
          <w:sz w:val="20"/>
          <w:szCs w:val="20"/>
        </w:rPr>
        <w:drawing>
          <wp:inline distT="0" distB="0" distL="0" distR="0" wp14:anchorId="5651095C" wp14:editId="27311312">
            <wp:extent cx="3882980" cy="2582214"/>
            <wp:effectExtent l="0" t="0" r="3810" b="8890"/>
            <wp:docPr id="4" name="Gráfico 4">
              <a:extLst xmlns:a="http://schemas.openxmlformats.org/drawingml/2006/main">
                <a:ext uri="{FF2B5EF4-FFF2-40B4-BE49-F238E27FC236}">
                  <a16:creationId xmlns:a16="http://schemas.microsoft.com/office/drawing/2014/main" id="{A6AAD3B6-A0AE-43CC-BDF0-3049E1CE4F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F9844E7" w14:textId="77777777" w:rsidR="00C650D8" w:rsidRDefault="00C650D8" w:rsidP="00985591">
      <w:pPr>
        <w:spacing w:line="276" w:lineRule="auto"/>
        <w:jc w:val="center"/>
        <w:rPr>
          <w:rFonts w:ascii="Book Antiqua" w:hAnsi="Book Antiqua"/>
          <w:b/>
          <w:bCs/>
          <w:color w:val="000000" w:themeColor="text1"/>
          <w:sz w:val="20"/>
          <w:szCs w:val="20"/>
        </w:rPr>
      </w:pPr>
      <w:r w:rsidRPr="00677475">
        <w:rPr>
          <w:rFonts w:ascii="Book Antiqua" w:hAnsi="Book Antiqua"/>
          <w:b/>
          <w:bCs/>
          <w:color w:val="000000" w:themeColor="text1"/>
          <w:sz w:val="20"/>
          <w:szCs w:val="20"/>
        </w:rPr>
        <w:t xml:space="preserve">Fuente: </w:t>
      </w:r>
      <w:r w:rsidRPr="00677475">
        <w:rPr>
          <w:rFonts w:ascii="Book Antiqua" w:hAnsi="Book Antiqua"/>
          <w:color w:val="000000" w:themeColor="text1"/>
          <w:sz w:val="20"/>
          <w:szCs w:val="20"/>
        </w:rPr>
        <w:t>Matriz de indicadores de Gestión</w:t>
      </w:r>
    </w:p>
    <w:p w14:paraId="124C4377" w14:textId="77777777" w:rsidR="00DC4AA1" w:rsidRPr="004F0E92" w:rsidRDefault="00DC4AA1" w:rsidP="00985591">
      <w:pPr>
        <w:spacing w:line="276" w:lineRule="auto"/>
        <w:jc w:val="both"/>
        <w:rPr>
          <w:rFonts w:ascii="Book Antiqua" w:hAnsi="Book Antiqua"/>
          <w:color w:val="000000" w:themeColor="text1"/>
        </w:rPr>
      </w:pPr>
    </w:p>
    <w:p w14:paraId="27ECAAFF" w14:textId="227A547D" w:rsidR="00C650D8" w:rsidRPr="00234090" w:rsidRDefault="37B7A308" w:rsidP="00985591">
      <w:pPr>
        <w:pStyle w:val="Ttulo3"/>
        <w:spacing w:line="276" w:lineRule="auto"/>
        <w:rPr>
          <w:rFonts w:ascii="Book Antiqua" w:eastAsia="Book Antiqua" w:hAnsi="Book Antiqua" w:cs="Book Antiqua"/>
        </w:rPr>
      </w:pPr>
      <w:r w:rsidRPr="57A79FF7">
        <w:rPr>
          <w:rFonts w:ascii="Book Antiqua" w:eastAsia="Book Antiqua" w:hAnsi="Book Antiqua" w:cs="Book Antiqua"/>
        </w:rPr>
        <w:t>5</w:t>
      </w:r>
      <w:r w:rsidR="00C650D8" w:rsidRPr="57A79FF7">
        <w:rPr>
          <w:rFonts w:ascii="Book Antiqua" w:eastAsia="Book Antiqua" w:hAnsi="Book Antiqua" w:cs="Book Antiqua"/>
        </w:rPr>
        <w:t xml:space="preserve">.1.4.  </w:t>
      </w:r>
      <w:proofErr w:type="spellStart"/>
      <w:r w:rsidR="00C650D8" w:rsidRPr="57A79FF7">
        <w:rPr>
          <w:rFonts w:ascii="Book Antiqua" w:eastAsia="Book Antiqua" w:hAnsi="Book Antiqua" w:cs="Book Antiqua"/>
        </w:rPr>
        <w:t>Juzgados</w:t>
      </w:r>
      <w:proofErr w:type="spellEnd"/>
      <w:r w:rsidR="00C650D8" w:rsidRPr="57A79FF7">
        <w:rPr>
          <w:rFonts w:ascii="Book Antiqua" w:eastAsia="Book Antiqua" w:hAnsi="Book Antiqua" w:cs="Book Antiqua"/>
        </w:rPr>
        <w:t xml:space="preserve"> de Ejecución de la Pena</w:t>
      </w:r>
    </w:p>
    <w:p w14:paraId="3D68C37E" w14:textId="77777777" w:rsidR="00C650D8" w:rsidRPr="00234090" w:rsidRDefault="00C650D8" w:rsidP="00985591">
      <w:pPr>
        <w:spacing w:line="276" w:lineRule="auto"/>
        <w:jc w:val="both"/>
        <w:rPr>
          <w:rFonts w:ascii="Book Antiqua" w:hAnsi="Book Antiqua"/>
          <w:color w:val="000000" w:themeColor="text1"/>
        </w:rPr>
      </w:pPr>
    </w:p>
    <w:p w14:paraId="77207DDB" w14:textId="0DAF0536" w:rsidR="00C650D8" w:rsidRPr="00234090" w:rsidRDefault="00840D03" w:rsidP="00985591">
      <w:pPr>
        <w:spacing w:line="276" w:lineRule="auto"/>
        <w:jc w:val="both"/>
        <w:rPr>
          <w:rFonts w:ascii="Book Antiqua" w:hAnsi="Book Antiqua"/>
          <w:color w:val="000000" w:themeColor="text1"/>
        </w:rPr>
      </w:pPr>
      <w:r w:rsidRPr="00C7446B">
        <w:rPr>
          <w:rFonts w:ascii="Book Antiqua" w:hAnsi="Book Antiqua"/>
          <w:color w:val="000000" w:themeColor="text1"/>
        </w:rPr>
        <w:t>El personal de la judicatura de los Juzgados de Ejecución de la Pena</w:t>
      </w:r>
      <w:r w:rsidR="00914355" w:rsidRPr="00914355">
        <w:rPr>
          <w:rFonts w:ascii="Book Antiqua" w:hAnsi="Book Antiqua"/>
          <w:color w:val="000000" w:themeColor="text1"/>
        </w:rPr>
        <w:t>, firmaron 5984 expedientes y finalizaron 1354 incidentes</w:t>
      </w:r>
      <w:r w:rsidR="00C650D8" w:rsidRPr="00C7446B">
        <w:rPr>
          <w:rFonts w:ascii="Book Antiqua" w:hAnsi="Book Antiqua"/>
          <w:color w:val="000000" w:themeColor="text1"/>
        </w:rPr>
        <w:t xml:space="preserve">. Por otro lado, cabe mencionar que, </w:t>
      </w:r>
      <w:r w:rsidR="00C7446B" w:rsidRPr="00C7446B">
        <w:rPr>
          <w:rFonts w:ascii="Book Antiqua" w:hAnsi="Book Antiqua"/>
          <w:color w:val="000000" w:themeColor="text1"/>
        </w:rPr>
        <w:t>además de las citadas labores</w:t>
      </w:r>
      <w:r w:rsidR="00C650D8" w:rsidRPr="00C7446B">
        <w:rPr>
          <w:rFonts w:ascii="Book Antiqua" w:hAnsi="Book Antiqua"/>
          <w:color w:val="000000" w:themeColor="text1"/>
        </w:rPr>
        <w:t xml:space="preserve">, </w:t>
      </w:r>
      <w:r w:rsidR="00C7446B" w:rsidRPr="00C7446B">
        <w:rPr>
          <w:rFonts w:ascii="Book Antiqua" w:hAnsi="Book Antiqua"/>
          <w:color w:val="000000" w:themeColor="text1"/>
        </w:rPr>
        <w:t>efectúan también labores</w:t>
      </w:r>
      <w:r w:rsidR="00C650D8" w:rsidRPr="00C7446B">
        <w:rPr>
          <w:rFonts w:ascii="Book Antiqua" w:hAnsi="Book Antiqua"/>
          <w:color w:val="000000" w:themeColor="text1"/>
        </w:rPr>
        <w:t xml:space="preserve"> </w:t>
      </w:r>
      <w:r w:rsidR="006E147C">
        <w:rPr>
          <w:rFonts w:ascii="Book Antiqua" w:hAnsi="Book Antiqua"/>
          <w:color w:val="000000" w:themeColor="text1"/>
        </w:rPr>
        <w:t xml:space="preserve">que </w:t>
      </w:r>
      <w:r w:rsidR="00C650D8" w:rsidRPr="00C7446B">
        <w:rPr>
          <w:rFonts w:ascii="Book Antiqua" w:hAnsi="Book Antiqua"/>
          <w:color w:val="000000" w:themeColor="text1"/>
        </w:rPr>
        <w:t xml:space="preserve">están relacionadas a consultas en los diferentes medios de comunicación, labores de planificación, </w:t>
      </w:r>
      <w:r w:rsidR="00C650D8" w:rsidRPr="00C7446B">
        <w:rPr>
          <w:rFonts w:ascii="Book Antiqua" w:hAnsi="Book Antiqua"/>
          <w:color w:val="000000"/>
        </w:rPr>
        <w:t>inventario anual de expedientes, entre otros</w:t>
      </w:r>
      <w:r w:rsidR="00C650D8" w:rsidRPr="00C7446B">
        <w:rPr>
          <w:rFonts w:ascii="Book Antiqua" w:hAnsi="Book Antiqua"/>
          <w:color w:val="000000" w:themeColor="text1"/>
        </w:rPr>
        <w:t xml:space="preserve">. El detalle en se puede apreciar en el </w:t>
      </w:r>
      <w:r w:rsidR="00C7446B" w:rsidRPr="00C7446B">
        <w:rPr>
          <w:rFonts w:ascii="Book Antiqua" w:hAnsi="Book Antiqua"/>
          <w:color w:val="000000" w:themeColor="text1"/>
        </w:rPr>
        <w:t>siguiente gráfico.</w:t>
      </w:r>
    </w:p>
    <w:p w14:paraId="1C09C5C5" w14:textId="77777777" w:rsidR="00776798" w:rsidRPr="00234090" w:rsidRDefault="00776798" w:rsidP="00985591">
      <w:pPr>
        <w:spacing w:line="276" w:lineRule="auto"/>
        <w:jc w:val="center"/>
        <w:rPr>
          <w:rFonts w:ascii="Book Antiqua" w:hAnsi="Book Antiqua"/>
          <w:color w:val="000000" w:themeColor="text1"/>
        </w:rPr>
      </w:pPr>
    </w:p>
    <w:p w14:paraId="62664B8E" w14:textId="6BEF6E58" w:rsidR="00BF7F5F" w:rsidRDefault="00BF7F5F">
      <w:pPr>
        <w:rPr>
          <w:rFonts w:ascii="Book Antiqua" w:hAnsi="Book Antiqua"/>
          <w:b/>
          <w:color w:val="000000" w:themeColor="text1"/>
        </w:rPr>
      </w:pPr>
      <w:r>
        <w:rPr>
          <w:rFonts w:ascii="Book Antiqua" w:hAnsi="Book Antiqua"/>
          <w:b/>
          <w:color w:val="000000" w:themeColor="text1"/>
        </w:rPr>
        <w:br w:type="page"/>
      </w:r>
    </w:p>
    <w:p w14:paraId="5B690773" w14:textId="77777777" w:rsidR="00280BD2" w:rsidRDefault="00280BD2" w:rsidP="00985591">
      <w:pPr>
        <w:spacing w:line="276" w:lineRule="auto"/>
        <w:jc w:val="center"/>
        <w:rPr>
          <w:rFonts w:ascii="Book Antiqua" w:hAnsi="Book Antiqua"/>
          <w:b/>
          <w:color w:val="000000" w:themeColor="text1"/>
        </w:rPr>
      </w:pPr>
    </w:p>
    <w:p w14:paraId="6F608B51" w14:textId="40BB0973" w:rsidR="00C650D8" w:rsidRPr="001F11BE" w:rsidRDefault="00C650D8" w:rsidP="00985591">
      <w:pPr>
        <w:spacing w:line="276" w:lineRule="auto"/>
        <w:jc w:val="center"/>
        <w:rPr>
          <w:rFonts w:ascii="Book Antiqua" w:hAnsi="Book Antiqua"/>
          <w:b/>
          <w:color w:val="000000"/>
        </w:rPr>
      </w:pPr>
      <w:r w:rsidRPr="001F11BE">
        <w:rPr>
          <w:rFonts w:ascii="Book Antiqua" w:hAnsi="Book Antiqua"/>
          <w:b/>
          <w:color w:val="000000"/>
        </w:rPr>
        <w:t xml:space="preserve">Gráfico </w:t>
      </w:r>
      <w:r w:rsidR="00517583">
        <w:rPr>
          <w:rFonts w:ascii="Book Antiqua" w:hAnsi="Book Antiqua"/>
          <w:b/>
          <w:color w:val="000000"/>
        </w:rPr>
        <w:t>12</w:t>
      </w:r>
    </w:p>
    <w:p w14:paraId="65CD9092" w14:textId="77777777" w:rsidR="00C650D8" w:rsidRPr="00BE697B" w:rsidRDefault="00C650D8" w:rsidP="00985591">
      <w:pPr>
        <w:spacing w:line="276" w:lineRule="auto"/>
        <w:jc w:val="center"/>
        <w:rPr>
          <w:rFonts w:ascii="Book Antiqua" w:hAnsi="Book Antiqua"/>
          <w:bCs/>
          <w:color w:val="000000"/>
        </w:rPr>
      </w:pPr>
      <w:r w:rsidRPr="00BE697B">
        <w:rPr>
          <w:rFonts w:ascii="Book Antiqua" w:hAnsi="Book Antiqua"/>
          <w:bCs/>
          <w:color w:val="000000"/>
        </w:rPr>
        <w:t>Actividades principales efectuadas por el personal de la judicatura</w:t>
      </w:r>
    </w:p>
    <w:p w14:paraId="1A300B7B" w14:textId="05E2E26B" w:rsidR="00C650D8" w:rsidRPr="00BE697B" w:rsidRDefault="00C650D8" w:rsidP="00985591">
      <w:pPr>
        <w:spacing w:line="276" w:lineRule="auto"/>
        <w:jc w:val="center"/>
        <w:rPr>
          <w:rFonts w:ascii="Book Antiqua" w:hAnsi="Book Antiqua"/>
          <w:bCs/>
          <w:color w:val="000000"/>
        </w:rPr>
      </w:pPr>
      <w:r w:rsidRPr="00BE697B">
        <w:rPr>
          <w:rFonts w:ascii="Book Antiqua" w:hAnsi="Book Antiqua"/>
          <w:bCs/>
          <w:color w:val="000000"/>
        </w:rPr>
        <w:t>de los Juzgados de Ejecución de la Pena durante junio de 2021</w:t>
      </w:r>
    </w:p>
    <w:p w14:paraId="6206A683" w14:textId="40352A60" w:rsidR="00A40E38" w:rsidRDefault="00A40E38" w:rsidP="00985591">
      <w:pPr>
        <w:spacing w:line="276" w:lineRule="auto"/>
        <w:rPr>
          <w:rFonts w:ascii="Book Antiqua" w:hAnsi="Book Antiqua"/>
          <w:b/>
          <w:color w:val="000000" w:themeColor="text1"/>
        </w:rPr>
      </w:pPr>
    </w:p>
    <w:p w14:paraId="256818B2" w14:textId="64E2B5DB" w:rsidR="00DC4AA1" w:rsidRPr="004F0E92" w:rsidRDefault="00596313" w:rsidP="00985591">
      <w:pPr>
        <w:spacing w:line="276" w:lineRule="auto"/>
        <w:jc w:val="center"/>
        <w:rPr>
          <w:rFonts w:ascii="Book Antiqua" w:hAnsi="Book Antiqua"/>
          <w:b/>
          <w:color w:val="000000" w:themeColor="text1"/>
        </w:rPr>
      </w:pPr>
      <w:r w:rsidRPr="00596313">
        <w:rPr>
          <w:rFonts w:ascii="Book Antiqua" w:hAnsi="Book Antiqua"/>
          <w:noProof/>
          <w:sz w:val="20"/>
          <w:szCs w:val="20"/>
        </w:rPr>
        <w:drawing>
          <wp:inline distT="0" distB="0" distL="0" distR="0" wp14:anchorId="68677DB4" wp14:editId="20AAEF0C">
            <wp:extent cx="3893022" cy="2325600"/>
            <wp:effectExtent l="0" t="0" r="0" b="0"/>
            <wp:docPr id="38" name="Gráfico 38">
              <a:extLst xmlns:a="http://schemas.openxmlformats.org/drawingml/2006/main">
                <a:ext uri="{FF2B5EF4-FFF2-40B4-BE49-F238E27FC236}">
                  <a16:creationId xmlns:a16="http://schemas.microsoft.com/office/drawing/2014/main" id="{62BA9309-2C93-4254-84B2-F4FC5C7FB1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0D8E318" w14:textId="77777777" w:rsidR="00596313" w:rsidRDefault="00596313" w:rsidP="00985591">
      <w:pPr>
        <w:spacing w:line="276" w:lineRule="auto"/>
        <w:jc w:val="center"/>
        <w:rPr>
          <w:rFonts w:ascii="Book Antiqua" w:hAnsi="Book Antiqua"/>
          <w:b/>
          <w:bCs/>
          <w:color w:val="000000" w:themeColor="text1"/>
          <w:sz w:val="20"/>
          <w:szCs w:val="20"/>
        </w:rPr>
      </w:pPr>
      <w:r w:rsidRPr="00677475">
        <w:rPr>
          <w:rFonts w:ascii="Book Antiqua" w:hAnsi="Book Antiqua"/>
          <w:b/>
          <w:bCs/>
          <w:color w:val="000000" w:themeColor="text1"/>
          <w:sz w:val="20"/>
          <w:szCs w:val="20"/>
        </w:rPr>
        <w:t xml:space="preserve">Fuente: </w:t>
      </w:r>
      <w:r w:rsidRPr="00677475">
        <w:rPr>
          <w:rFonts w:ascii="Book Antiqua" w:hAnsi="Book Antiqua"/>
          <w:color w:val="000000" w:themeColor="text1"/>
          <w:sz w:val="20"/>
          <w:szCs w:val="20"/>
        </w:rPr>
        <w:t>Matriz de indicadores de Gestión</w:t>
      </w:r>
    </w:p>
    <w:p w14:paraId="2A49A9BF" w14:textId="6701D5D5" w:rsidR="00DC4AA1" w:rsidRPr="004F0E92" w:rsidRDefault="00DC4AA1" w:rsidP="00985591">
      <w:pPr>
        <w:pStyle w:val="Prrafodelista"/>
        <w:spacing w:after="160" w:line="276" w:lineRule="auto"/>
        <w:ind w:left="720"/>
        <w:contextualSpacing/>
        <w:rPr>
          <w:rFonts w:ascii="Book Antiqua" w:hAnsi="Book Antiqua"/>
          <w:b/>
          <w:color w:val="000000" w:themeColor="text1"/>
        </w:rPr>
      </w:pPr>
    </w:p>
    <w:p w14:paraId="2DDA3028" w14:textId="1A9B6866" w:rsidR="008E570B" w:rsidRPr="00280BD2" w:rsidRDefault="00280BD2" w:rsidP="00985591">
      <w:pPr>
        <w:spacing w:line="276" w:lineRule="auto"/>
        <w:jc w:val="both"/>
        <w:rPr>
          <w:rFonts w:ascii="Book Antiqua" w:hAnsi="Book Antiqua"/>
          <w:color w:val="000000" w:themeColor="text1"/>
        </w:rPr>
      </w:pPr>
      <w:r w:rsidRPr="00280BD2">
        <w:rPr>
          <w:rFonts w:ascii="Book Antiqua" w:hAnsi="Book Antiqua"/>
          <w:color w:val="000000" w:themeColor="text1"/>
        </w:rPr>
        <w:t>Adicional, es i</w:t>
      </w:r>
      <w:r w:rsidR="008E570B" w:rsidRPr="00280BD2">
        <w:rPr>
          <w:rFonts w:ascii="Book Antiqua" w:hAnsi="Book Antiqua"/>
          <w:color w:val="000000" w:themeColor="text1"/>
        </w:rPr>
        <w:t>mportante mencionar que, conforme la información consignada en las matrices de indicadores, el promedio nacional de los juzgados de ejecución para la resolución de los incidentes de modificación de pena fue 53 días naturales y 126 días en finalizar un incidente de queja, lo cual según indican los despachos obedece a que los Centros Penitenciarios presentan los informes en plazos extensos.</w:t>
      </w:r>
    </w:p>
    <w:p w14:paraId="3F3ECC06" w14:textId="77777777" w:rsidR="00DC4AA1" w:rsidRPr="00203B47" w:rsidRDefault="00DC4AA1" w:rsidP="00985591">
      <w:pPr>
        <w:spacing w:after="160" w:line="276" w:lineRule="auto"/>
        <w:contextualSpacing/>
        <w:rPr>
          <w:rFonts w:ascii="Book Antiqua" w:hAnsi="Book Antiqua"/>
          <w:b/>
          <w:color w:val="000000" w:themeColor="text1"/>
        </w:rPr>
      </w:pPr>
    </w:p>
    <w:p w14:paraId="4936569F" w14:textId="0487A2D0" w:rsidR="00776798" w:rsidRPr="00234090" w:rsidRDefault="18B04929" w:rsidP="00985591">
      <w:pPr>
        <w:pStyle w:val="Ttulo3"/>
        <w:spacing w:line="276" w:lineRule="auto"/>
        <w:rPr>
          <w:rFonts w:ascii="Book Antiqua" w:eastAsia="Book Antiqua" w:hAnsi="Book Antiqua" w:cs="Book Antiqua"/>
        </w:rPr>
      </w:pPr>
      <w:r w:rsidRPr="57A79FF7">
        <w:rPr>
          <w:rFonts w:ascii="Book Antiqua" w:eastAsia="Book Antiqua" w:hAnsi="Book Antiqua" w:cs="Book Antiqua"/>
        </w:rPr>
        <w:t>5</w:t>
      </w:r>
      <w:r w:rsidR="00222669" w:rsidRPr="57A79FF7">
        <w:rPr>
          <w:rFonts w:ascii="Book Antiqua" w:eastAsia="Book Antiqua" w:hAnsi="Book Antiqua" w:cs="Book Antiqua"/>
        </w:rPr>
        <w:t>.1.</w:t>
      </w:r>
      <w:r w:rsidR="00BE697B" w:rsidRPr="57A79FF7">
        <w:rPr>
          <w:rFonts w:ascii="Book Antiqua" w:eastAsia="Book Antiqua" w:hAnsi="Book Antiqua" w:cs="Book Antiqua"/>
        </w:rPr>
        <w:t xml:space="preserve">5. </w:t>
      </w:r>
      <w:r w:rsidR="00222669" w:rsidRPr="57A79FF7">
        <w:rPr>
          <w:rFonts w:ascii="Book Antiqua" w:eastAsia="Book Antiqua" w:hAnsi="Book Antiqua" w:cs="Book Antiqua"/>
        </w:rPr>
        <w:t xml:space="preserve"> </w:t>
      </w:r>
      <w:r w:rsidR="00776798" w:rsidRPr="57A79FF7">
        <w:rPr>
          <w:rFonts w:ascii="Book Antiqua" w:eastAsia="Book Antiqua" w:hAnsi="Book Antiqua" w:cs="Book Antiqua"/>
        </w:rPr>
        <w:t>Tribunal de Apelación</w:t>
      </w:r>
    </w:p>
    <w:p w14:paraId="44A5F378" w14:textId="77777777" w:rsidR="00776798" w:rsidRPr="00234090" w:rsidRDefault="00776798" w:rsidP="00985591">
      <w:pPr>
        <w:spacing w:line="276" w:lineRule="auto"/>
        <w:rPr>
          <w:rFonts w:ascii="Book Antiqua" w:hAnsi="Book Antiqua"/>
          <w:lang w:val="es-ES_tradnl" w:eastAsia="en-US"/>
        </w:rPr>
      </w:pPr>
    </w:p>
    <w:p w14:paraId="700C5FF1" w14:textId="77777777" w:rsidR="00280BD2" w:rsidRDefault="00280BD2" w:rsidP="00985591">
      <w:pPr>
        <w:spacing w:line="276" w:lineRule="auto"/>
        <w:jc w:val="both"/>
        <w:rPr>
          <w:rFonts w:ascii="Book Antiqua" w:hAnsi="Book Antiqua"/>
          <w:color w:val="000000"/>
        </w:rPr>
      </w:pPr>
      <w:r>
        <w:rPr>
          <w:rFonts w:ascii="Book Antiqua" w:hAnsi="Book Antiqua"/>
          <w:color w:val="000000"/>
        </w:rPr>
        <w:t>A continuación, se detallan las principales labores realizadas por los Tribunales de Apelación de Sentencia durante el mes de junio del 2021:</w:t>
      </w:r>
    </w:p>
    <w:p w14:paraId="3FD2A94F" w14:textId="77777777" w:rsidR="00776798" w:rsidRPr="00234090" w:rsidRDefault="00776798" w:rsidP="00985591">
      <w:pPr>
        <w:spacing w:line="276" w:lineRule="auto"/>
        <w:rPr>
          <w:rFonts w:ascii="Book Antiqua" w:hAnsi="Book Antiqua"/>
          <w:noProof/>
        </w:rPr>
      </w:pPr>
    </w:p>
    <w:p w14:paraId="04D23187" w14:textId="674FACC1" w:rsidR="00BF7F5F" w:rsidRDefault="00BF7F5F">
      <w:pPr>
        <w:rPr>
          <w:rFonts w:ascii="Book Antiqua" w:hAnsi="Book Antiqua"/>
          <w:b/>
          <w:color w:val="000000" w:themeColor="text1"/>
        </w:rPr>
      </w:pPr>
      <w:r>
        <w:rPr>
          <w:rFonts w:ascii="Book Antiqua" w:hAnsi="Book Antiqua"/>
          <w:b/>
          <w:color w:val="000000" w:themeColor="text1"/>
        </w:rPr>
        <w:br w:type="page"/>
      </w:r>
    </w:p>
    <w:p w14:paraId="76A34A1E" w14:textId="77777777" w:rsidR="00A40E38" w:rsidRDefault="00A40E38" w:rsidP="00985591">
      <w:pPr>
        <w:spacing w:line="276" w:lineRule="auto"/>
        <w:rPr>
          <w:rFonts w:ascii="Book Antiqua" w:hAnsi="Book Antiqua"/>
          <w:b/>
          <w:color w:val="000000" w:themeColor="text1"/>
        </w:rPr>
      </w:pPr>
    </w:p>
    <w:p w14:paraId="0FB60AE7" w14:textId="1BD6766B" w:rsidR="00776798" w:rsidRPr="00234090" w:rsidRDefault="00776798" w:rsidP="00985591">
      <w:pPr>
        <w:spacing w:line="276" w:lineRule="auto"/>
        <w:jc w:val="center"/>
        <w:rPr>
          <w:rFonts w:ascii="Book Antiqua" w:hAnsi="Book Antiqua"/>
          <w:b/>
          <w:color w:val="000000" w:themeColor="text1"/>
        </w:rPr>
      </w:pPr>
      <w:r w:rsidRPr="00234090">
        <w:rPr>
          <w:rFonts w:ascii="Book Antiqua" w:hAnsi="Book Antiqua"/>
          <w:b/>
          <w:color w:val="000000" w:themeColor="text1"/>
        </w:rPr>
        <w:t xml:space="preserve">Gráfico </w:t>
      </w:r>
      <w:r w:rsidR="00517583">
        <w:rPr>
          <w:rFonts w:ascii="Book Antiqua" w:hAnsi="Book Antiqua"/>
          <w:b/>
          <w:color w:val="000000" w:themeColor="text1"/>
        </w:rPr>
        <w:t>13</w:t>
      </w:r>
    </w:p>
    <w:p w14:paraId="6D00FA63" w14:textId="77777777" w:rsidR="00BE697B" w:rsidRPr="00BE697B" w:rsidRDefault="00BE697B" w:rsidP="00985591">
      <w:pPr>
        <w:spacing w:line="276" w:lineRule="auto"/>
        <w:jc w:val="center"/>
        <w:rPr>
          <w:rFonts w:ascii="Book Antiqua" w:hAnsi="Book Antiqua"/>
          <w:bCs/>
          <w:color w:val="000000"/>
        </w:rPr>
      </w:pPr>
      <w:r w:rsidRPr="00BE697B">
        <w:rPr>
          <w:rFonts w:ascii="Book Antiqua" w:hAnsi="Book Antiqua"/>
          <w:bCs/>
          <w:color w:val="000000"/>
        </w:rPr>
        <w:t>Actividades principales efectuadas por el personal de la judicatura</w:t>
      </w:r>
    </w:p>
    <w:p w14:paraId="599288B2" w14:textId="1EED124B" w:rsidR="00BE697B" w:rsidRPr="00BE697B" w:rsidRDefault="00BE697B" w:rsidP="00985591">
      <w:pPr>
        <w:spacing w:line="276" w:lineRule="auto"/>
        <w:jc w:val="center"/>
        <w:rPr>
          <w:rFonts w:ascii="Book Antiqua" w:hAnsi="Book Antiqua"/>
          <w:bCs/>
          <w:color w:val="000000"/>
        </w:rPr>
      </w:pPr>
      <w:r w:rsidRPr="00BE697B">
        <w:rPr>
          <w:rFonts w:ascii="Book Antiqua" w:hAnsi="Book Antiqua"/>
          <w:bCs/>
          <w:color w:val="000000"/>
        </w:rPr>
        <w:t xml:space="preserve">de los </w:t>
      </w:r>
      <w:r>
        <w:rPr>
          <w:rFonts w:ascii="Book Antiqua" w:hAnsi="Book Antiqua"/>
          <w:bCs/>
          <w:color w:val="000000"/>
        </w:rPr>
        <w:t>Tribunales de Apelación</w:t>
      </w:r>
      <w:r w:rsidRPr="00BE697B">
        <w:rPr>
          <w:rFonts w:ascii="Book Antiqua" w:hAnsi="Book Antiqua"/>
          <w:bCs/>
          <w:color w:val="000000"/>
        </w:rPr>
        <w:t xml:space="preserve"> durante junio de 2021</w:t>
      </w:r>
    </w:p>
    <w:p w14:paraId="49F8FA81" w14:textId="77777777" w:rsidR="00776798" w:rsidRPr="004F0E92" w:rsidRDefault="00776798" w:rsidP="00985591">
      <w:pPr>
        <w:spacing w:line="276" w:lineRule="auto"/>
        <w:jc w:val="center"/>
        <w:rPr>
          <w:rFonts w:ascii="Book Antiqua" w:hAnsi="Book Antiqua"/>
          <w:b/>
          <w:color w:val="000000" w:themeColor="text1"/>
        </w:rPr>
      </w:pPr>
    </w:p>
    <w:p w14:paraId="4F6C9C4F" w14:textId="4344AAC5" w:rsidR="00280BD2" w:rsidRDefault="008F0864" w:rsidP="00985591">
      <w:pPr>
        <w:spacing w:line="276" w:lineRule="auto"/>
        <w:ind w:firstLine="426"/>
        <w:jc w:val="center"/>
        <w:rPr>
          <w:rFonts w:ascii="Book Antiqua" w:hAnsi="Book Antiqua"/>
          <w:b/>
          <w:bCs/>
          <w:color w:val="000000" w:themeColor="text1"/>
          <w:sz w:val="20"/>
          <w:szCs w:val="20"/>
        </w:rPr>
      </w:pPr>
      <w:r>
        <w:rPr>
          <w:noProof/>
        </w:rPr>
        <w:drawing>
          <wp:inline distT="0" distB="0" distL="0" distR="0" wp14:anchorId="5D2D613E" wp14:editId="5EA6E24E">
            <wp:extent cx="4456653" cy="2426400"/>
            <wp:effectExtent l="0" t="0" r="1270" b="0"/>
            <wp:docPr id="8" name="Gráfico 8">
              <a:extLst xmlns:a="http://schemas.openxmlformats.org/drawingml/2006/main">
                <a:ext uri="{FF2B5EF4-FFF2-40B4-BE49-F238E27FC236}">
                  <a16:creationId xmlns:a16="http://schemas.microsoft.com/office/drawing/2014/main" id="{7253C480-C799-4B12-88AF-DEC27CBB78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5D2210D" w14:textId="77777777" w:rsidR="00776798" w:rsidRPr="004F0E92" w:rsidRDefault="00776798" w:rsidP="00985591">
      <w:pPr>
        <w:spacing w:line="276" w:lineRule="auto"/>
        <w:jc w:val="center"/>
        <w:rPr>
          <w:rFonts w:ascii="Book Antiqua" w:hAnsi="Book Antiqua"/>
          <w:b/>
          <w:bCs/>
          <w:color w:val="000000" w:themeColor="text1"/>
          <w:sz w:val="20"/>
          <w:szCs w:val="20"/>
        </w:rPr>
      </w:pPr>
      <w:r w:rsidRPr="004F0E92">
        <w:rPr>
          <w:rFonts w:ascii="Book Antiqua" w:hAnsi="Book Antiqua"/>
          <w:b/>
          <w:bCs/>
          <w:color w:val="000000" w:themeColor="text1"/>
          <w:sz w:val="20"/>
          <w:szCs w:val="20"/>
        </w:rPr>
        <w:t xml:space="preserve">Fuente: </w:t>
      </w:r>
      <w:r w:rsidRPr="004F0E92">
        <w:rPr>
          <w:rFonts w:ascii="Book Antiqua" w:hAnsi="Book Antiqua"/>
          <w:color w:val="000000" w:themeColor="text1"/>
          <w:sz w:val="20"/>
          <w:szCs w:val="20"/>
        </w:rPr>
        <w:t>Elaboración propia a partir de datos suministrados por despachos según circular 61-2020</w:t>
      </w:r>
    </w:p>
    <w:p w14:paraId="4BC5B4B5" w14:textId="561A2A52" w:rsidR="00BE697B" w:rsidRDefault="00BE697B" w:rsidP="00985591">
      <w:pPr>
        <w:spacing w:line="276" w:lineRule="auto"/>
        <w:jc w:val="both"/>
        <w:rPr>
          <w:rFonts w:ascii="Book Antiqua" w:hAnsi="Book Antiqua"/>
          <w:color w:val="000000" w:themeColor="text1"/>
        </w:rPr>
      </w:pPr>
    </w:p>
    <w:p w14:paraId="261EF968" w14:textId="1299083F" w:rsidR="008F0864" w:rsidRDefault="008F0864" w:rsidP="00985591">
      <w:pPr>
        <w:spacing w:line="276" w:lineRule="auto"/>
        <w:jc w:val="both"/>
        <w:rPr>
          <w:rFonts w:ascii="Book Antiqua" w:hAnsi="Book Antiqua" w:cs="Arial"/>
        </w:rPr>
      </w:pPr>
      <w:r>
        <w:rPr>
          <w:rFonts w:ascii="Book Antiqua" w:hAnsi="Book Antiqua" w:cs="Arial"/>
        </w:rPr>
        <w:t xml:space="preserve">La principal labor realizada por los Tribunales de Apelación de Sentencia Penal fue el dictado de sentencias con 284, seguido por la revisión de proyectos con </w:t>
      </w:r>
      <w:r w:rsidR="00CB6C9D">
        <w:rPr>
          <w:rFonts w:ascii="Book Antiqua" w:hAnsi="Book Antiqua" w:cs="Arial"/>
        </w:rPr>
        <w:t>137</w:t>
      </w:r>
      <w:r>
        <w:rPr>
          <w:rFonts w:ascii="Book Antiqua" w:hAnsi="Book Antiqua" w:cs="Arial"/>
        </w:rPr>
        <w:t>, las cuales corresponden a labores características de apelación de sentencia.</w:t>
      </w:r>
    </w:p>
    <w:p w14:paraId="796EAE3B" w14:textId="77777777" w:rsidR="008F0864" w:rsidRPr="004F0E92" w:rsidRDefault="008F0864" w:rsidP="00985591">
      <w:pPr>
        <w:spacing w:line="276" w:lineRule="auto"/>
        <w:jc w:val="both"/>
        <w:rPr>
          <w:rFonts w:ascii="Book Antiqua" w:hAnsi="Book Antiqua"/>
          <w:color w:val="000000" w:themeColor="text1"/>
        </w:rPr>
      </w:pPr>
    </w:p>
    <w:p w14:paraId="75DE2097" w14:textId="72BEAAC7" w:rsidR="00776798" w:rsidRDefault="7EDE23A6" w:rsidP="00985591">
      <w:pPr>
        <w:pStyle w:val="Ttulo3"/>
        <w:spacing w:line="276" w:lineRule="auto"/>
        <w:rPr>
          <w:rFonts w:ascii="Book Antiqua" w:eastAsia="Book Antiqua" w:hAnsi="Book Antiqua" w:cs="Book Antiqua"/>
        </w:rPr>
      </w:pPr>
      <w:r w:rsidRPr="57A79FF7">
        <w:rPr>
          <w:rFonts w:ascii="Book Antiqua" w:eastAsia="Book Antiqua" w:hAnsi="Book Antiqua" w:cs="Book Antiqua"/>
        </w:rPr>
        <w:t>5</w:t>
      </w:r>
      <w:r w:rsidR="00222669" w:rsidRPr="57A79FF7">
        <w:rPr>
          <w:rFonts w:ascii="Book Antiqua" w:eastAsia="Book Antiqua" w:hAnsi="Book Antiqua" w:cs="Book Antiqua"/>
        </w:rPr>
        <w:t>.1.6</w:t>
      </w:r>
      <w:r w:rsidR="00BE697B" w:rsidRPr="57A79FF7">
        <w:rPr>
          <w:rFonts w:ascii="Book Antiqua" w:eastAsia="Book Antiqua" w:hAnsi="Book Antiqua" w:cs="Book Antiqua"/>
        </w:rPr>
        <w:t xml:space="preserve">. </w:t>
      </w:r>
      <w:r w:rsidR="00776798" w:rsidRPr="57A79FF7">
        <w:rPr>
          <w:rFonts w:ascii="Book Antiqua" w:eastAsia="Book Antiqua" w:hAnsi="Book Antiqua" w:cs="Book Antiqua"/>
        </w:rPr>
        <w:t>Sala Tercera</w:t>
      </w:r>
    </w:p>
    <w:p w14:paraId="6595299A" w14:textId="77777777" w:rsidR="00776798" w:rsidRPr="004F0E92" w:rsidRDefault="00776798" w:rsidP="00985591">
      <w:pPr>
        <w:spacing w:line="276" w:lineRule="auto"/>
        <w:rPr>
          <w:rFonts w:ascii="Book Antiqua" w:hAnsi="Book Antiqua"/>
          <w:color w:val="000000" w:themeColor="text1"/>
        </w:rPr>
      </w:pPr>
    </w:p>
    <w:p w14:paraId="72BCE4E6" w14:textId="336161D3" w:rsidR="008B3FE3" w:rsidRPr="00882CFC" w:rsidRDefault="007F3AC3" w:rsidP="00985591">
      <w:pPr>
        <w:spacing w:line="276" w:lineRule="auto"/>
        <w:jc w:val="both"/>
        <w:rPr>
          <w:rFonts w:ascii="Book Antiqua" w:hAnsi="Book Antiqua"/>
          <w:color w:val="000000" w:themeColor="text1"/>
        </w:rPr>
      </w:pPr>
      <w:r w:rsidRPr="00882CFC">
        <w:rPr>
          <w:rFonts w:ascii="Book Antiqua" w:hAnsi="Book Antiqua"/>
          <w:color w:val="000000" w:themeColor="text1"/>
        </w:rPr>
        <w:t>A nivel del personal profesional,</w:t>
      </w:r>
      <w:r w:rsidR="002F3D85" w:rsidRPr="00882CFC">
        <w:rPr>
          <w:rFonts w:ascii="Book Antiqua" w:hAnsi="Book Antiqua"/>
          <w:color w:val="000000" w:themeColor="text1"/>
        </w:rPr>
        <w:t xml:space="preserve"> la mayor cantidad de actividades </w:t>
      </w:r>
      <w:r w:rsidRPr="00882CFC">
        <w:rPr>
          <w:rFonts w:ascii="Book Antiqua" w:hAnsi="Book Antiqua"/>
          <w:color w:val="000000" w:themeColor="text1"/>
        </w:rPr>
        <w:t xml:space="preserve">se concentra </w:t>
      </w:r>
      <w:r w:rsidR="007803D6" w:rsidRPr="00882CFC">
        <w:rPr>
          <w:rFonts w:ascii="Book Antiqua" w:hAnsi="Book Antiqua"/>
          <w:color w:val="000000" w:themeColor="text1"/>
        </w:rPr>
        <w:t>en</w:t>
      </w:r>
      <w:r w:rsidR="008B3FE3" w:rsidRPr="00882CFC">
        <w:rPr>
          <w:rFonts w:ascii="Book Antiqua" w:hAnsi="Book Antiqua"/>
          <w:color w:val="000000" w:themeColor="text1"/>
        </w:rPr>
        <w:t xml:space="preserve"> la</w:t>
      </w:r>
      <w:r w:rsidR="007803D6" w:rsidRPr="00882CFC">
        <w:rPr>
          <w:rFonts w:ascii="Book Antiqua" w:hAnsi="Book Antiqua"/>
          <w:color w:val="000000" w:themeColor="text1"/>
        </w:rPr>
        <w:t xml:space="preserve"> </w:t>
      </w:r>
      <w:r w:rsidR="008B3FE3" w:rsidRPr="00882CFC">
        <w:rPr>
          <w:rFonts w:ascii="Book Antiqua" w:hAnsi="Book Antiqua"/>
          <w:color w:val="000000" w:themeColor="text1"/>
        </w:rPr>
        <w:t>revisión de expedientes y resoluciones</w:t>
      </w:r>
      <w:r w:rsidR="002F3D85" w:rsidRPr="00882CFC">
        <w:rPr>
          <w:rFonts w:ascii="Book Antiqua" w:hAnsi="Book Antiqua"/>
          <w:color w:val="000000" w:themeColor="text1"/>
        </w:rPr>
        <w:t xml:space="preserve"> con </w:t>
      </w:r>
      <w:r w:rsidR="008B3FE3" w:rsidRPr="00882CFC">
        <w:rPr>
          <w:rFonts w:ascii="Book Antiqua" w:hAnsi="Book Antiqua"/>
          <w:color w:val="000000" w:themeColor="text1"/>
        </w:rPr>
        <w:t>352</w:t>
      </w:r>
      <w:r w:rsidR="002F3D85" w:rsidRPr="00882CFC">
        <w:rPr>
          <w:rFonts w:ascii="Book Antiqua" w:hAnsi="Book Antiqua"/>
          <w:color w:val="000000" w:themeColor="text1"/>
        </w:rPr>
        <w:t xml:space="preserve">, </w:t>
      </w:r>
      <w:r w:rsidRPr="00882CFC">
        <w:rPr>
          <w:rFonts w:ascii="Book Antiqua" w:hAnsi="Book Antiqua"/>
          <w:color w:val="000000" w:themeColor="text1"/>
        </w:rPr>
        <w:t xml:space="preserve">seguido de la </w:t>
      </w:r>
      <w:r w:rsidR="008B3FE3" w:rsidRPr="00882CFC">
        <w:rPr>
          <w:rFonts w:ascii="Book Antiqua" w:hAnsi="Book Antiqua"/>
          <w:color w:val="000000" w:themeColor="text1"/>
        </w:rPr>
        <w:t>Clasificación de jurisprudencia 320,</w:t>
      </w:r>
      <w:r w:rsidRPr="00882CFC">
        <w:rPr>
          <w:rFonts w:ascii="Book Antiqua" w:hAnsi="Book Antiqua"/>
          <w:color w:val="000000" w:themeColor="text1"/>
        </w:rPr>
        <w:t xml:space="preserve"> </w:t>
      </w:r>
      <w:r w:rsidR="008B3FE3" w:rsidRPr="00882CFC">
        <w:rPr>
          <w:rFonts w:ascii="Book Antiqua" w:hAnsi="Book Antiqua"/>
          <w:color w:val="000000" w:themeColor="text1"/>
        </w:rPr>
        <w:t>Proyectos de resolución</w:t>
      </w:r>
      <w:r w:rsidR="002F3D85" w:rsidRPr="00882CFC">
        <w:rPr>
          <w:rFonts w:ascii="Book Antiqua" w:hAnsi="Book Antiqua"/>
          <w:color w:val="000000" w:themeColor="text1"/>
        </w:rPr>
        <w:t xml:space="preserve"> </w:t>
      </w:r>
      <w:r w:rsidR="008B3FE3" w:rsidRPr="00882CFC">
        <w:rPr>
          <w:rFonts w:ascii="Book Antiqua" w:hAnsi="Book Antiqua"/>
          <w:color w:val="000000" w:themeColor="text1"/>
        </w:rPr>
        <w:t>121</w:t>
      </w:r>
      <w:r w:rsidR="002F3D85" w:rsidRPr="00882CFC">
        <w:rPr>
          <w:rFonts w:ascii="Book Antiqua" w:hAnsi="Book Antiqua"/>
          <w:color w:val="000000" w:themeColor="text1"/>
        </w:rPr>
        <w:t xml:space="preserve"> y </w:t>
      </w:r>
      <w:r w:rsidR="008B3FE3" w:rsidRPr="00882CFC">
        <w:rPr>
          <w:rFonts w:ascii="Book Antiqua" w:hAnsi="Book Antiqua"/>
          <w:color w:val="000000" w:themeColor="text1"/>
        </w:rPr>
        <w:t>votaciones con</w:t>
      </w:r>
      <w:r w:rsidR="002F3D85" w:rsidRPr="00882CFC">
        <w:rPr>
          <w:rFonts w:ascii="Book Antiqua" w:hAnsi="Book Antiqua"/>
          <w:color w:val="000000" w:themeColor="text1"/>
        </w:rPr>
        <w:t xml:space="preserve"> 1</w:t>
      </w:r>
      <w:r w:rsidR="008B3FE3" w:rsidRPr="00882CFC">
        <w:rPr>
          <w:rFonts w:ascii="Book Antiqua" w:hAnsi="Book Antiqua"/>
          <w:color w:val="000000" w:themeColor="text1"/>
        </w:rPr>
        <w:t>01</w:t>
      </w:r>
      <w:r w:rsidR="002F3D85" w:rsidRPr="00882CFC">
        <w:rPr>
          <w:rFonts w:ascii="Book Antiqua" w:hAnsi="Book Antiqua"/>
          <w:color w:val="000000" w:themeColor="text1"/>
        </w:rPr>
        <w:t xml:space="preserve">. </w:t>
      </w:r>
    </w:p>
    <w:p w14:paraId="035F4257" w14:textId="687F8C85" w:rsidR="00DC4AA1" w:rsidRPr="00A94A04" w:rsidRDefault="008B3FE3" w:rsidP="00985591">
      <w:pPr>
        <w:spacing w:line="276" w:lineRule="auto"/>
        <w:jc w:val="both"/>
        <w:rPr>
          <w:rFonts w:ascii="Book Antiqua" w:hAnsi="Book Antiqua" w:cs="Segoe UI"/>
          <w:lang w:eastAsia="es-CR"/>
        </w:rPr>
      </w:pPr>
      <w:r w:rsidRPr="00882CFC">
        <w:rPr>
          <w:rFonts w:ascii="Book Antiqua" w:hAnsi="Book Antiqua"/>
          <w:color w:val="000000" w:themeColor="text1"/>
        </w:rPr>
        <w:t>Además de dichas variables,</w:t>
      </w:r>
      <w:r w:rsidR="002F3D85" w:rsidRPr="00882CFC">
        <w:rPr>
          <w:rFonts w:ascii="Book Antiqua" w:hAnsi="Book Antiqua"/>
          <w:color w:val="000000" w:themeColor="text1"/>
        </w:rPr>
        <w:t xml:space="preserve"> </w:t>
      </w:r>
      <w:r w:rsidRPr="00882CFC">
        <w:rPr>
          <w:rFonts w:ascii="Book Antiqua" w:hAnsi="Book Antiqua"/>
          <w:color w:val="000000" w:themeColor="text1"/>
        </w:rPr>
        <w:t xml:space="preserve">realizan también con mayor frecuencia </w:t>
      </w:r>
      <w:r w:rsidR="002F3D85" w:rsidRPr="00882CFC">
        <w:rPr>
          <w:rFonts w:ascii="Book Antiqua" w:hAnsi="Book Antiqua"/>
          <w:color w:val="000000" w:themeColor="text1"/>
        </w:rPr>
        <w:t xml:space="preserve">labores </w:t>
      </w:r>
      <w:r w:rsidR="002F3D85" w:rsidRPr="00882CFC">
        <w:rPr>
          <w:rFonts w:ascii="Book Antiqua" w:hAnsi="Book Antiqua"/>
          <w:color w:val="000000"/>
        </w:rPr>
        <w:t>relacionadas con trámites vía correo electrónico, revisión de votación y atención de consultas del personal</w:t>
      </w:r>
      <w:r w:rsidR="00882CFC" w:rsidRPr="00882CFC">
        <w:rPr>
          <w:rFonts w:ascii="Book Antiqua" w:hAnsi="Book Antiqua"/>
          <w:color w:val="000000"/>
        </w:rPr>
        <w:t>, entre otras</w:t>
      </w:r>
      <w:r w:rsidR="002F3D85" w:rsidRPr="00882CFC">
        <w:rPr>
          <w:rFonts w:ascii="Book Antiqua" w:hAnsi="Book Antiqua"/>
          <w:color w:val="000000" w:themeColor="text1"/>
        </w:rPr>
        <w:t>.</w:t>
      </w:r>
      <w:r w:rsidR="007F3AC3" w:rsidRPr="00882CFC">
        <w:rPr>
          <w:rFonts w:ascii="Book Antiqua" w:hAnsi="Book Antiqua"/>
          <w:color w:val="000000" w:themeColor="text1"/>
        </w:rPr>
        <w:t xml:space="preserve"> En el siguiente gráfico se aprecia el detalle:</w:t>
      </w:r>
    </w:p>
    <w:p w14:paraId="483610C8" w14:textId="715F5137" w:rsidR="00BF7F5F" w:rsidRDefault="00BF7F5F">
      <w:pPr>
        <w:rPr>
          <w:rFonts w:ascii="Book Antiqua" w:hAnsi="Book Antiqua"/>
          <w:b/>
          <w:color w:val="000000" w:themeColor="text1"/>
        </w:rPr>
      </w:pPr>
      <w:r>
        <w:rPr>
          <w:rFonts w:ascii="Book Antiqua" w:hAnsi="Book Antiqua"/>
          <w:b/>
          <w:color w:val="000000" w:themeColor="text1"/>
        </w:rPr>
        <w:br w:type="page"/>
      </w:r>
    </w:p>
    <w:p w14:paraId="70BB8F9B" w14:textId="77777777" w:rsidR="00DC4AA1" w:rsidRDefault="00DC4AA1" w:rsidP="00985591">
      <w:pPr>
        <w:spacing w:line="276" w:lineRule="auto"/>
        <w:rPr>
          <w:rFonts w:ascii="Book Antiqua" w:hAnsi="Book Antiqua"/>
          <w:b/>
          <w:color w:val="000000" w:themeColor="text1"/>
        </w:rPr>
      </w:pPr>
    </w:p>
    <w:p w14:paraId="1275AF43" w14:textId="01838BA2" w:rsidR="00A94A04" w:rsidRDefault="007803D6" w:rsidP="00985591">
      <w:pPr>
        <w:spacing w:line="276" w:lineRule="auto"/>
        <w:jc w:val="center"/>
        <w:rPr>
          <w:rFonts w:ascii="Book Antiqua" w:hAnsi="Book Antiqua"/>
          <w:b/>
          <w:color w:val="000000" w:themeColor="text1"/>
        </w:rPr>
      </w:pPr>
      <w:r w:rsidRPr="00234090">
        <w:rPr>
          <w:rFonts w:ascii="Book Antiqua" w:hAnsi="Book Antiqua"/>
          <w:b/>
          <w:color w:val="000000" w:themeColor="text1"/>
        </w:rPr>
        <w:t xml:space="preserve">Gráfico </w:t>
      </w:r>
      <w:r w:rsidR="000B570C">
        <w:rPr>
          <w:rFonts w:ascii="Book Antiqua" w:hAnsi="Book Antiqua"/>
          <w:b/>
          <w:color w:val="000000" w:themeColor="text1"/>
        </w:rPr>
        <w:t>14</w:t>
      </w:r>
    </w:p>
    <w:p w14:paraId="1B5A8F03" w14:textId="77777777" w:rsidR="007803D6" w:rsidRPr="00BE697B" w:rsidRDefault="007803D6" w:rsidP="00985591">
      <w:pPr>
        <w:spacing w:line="276" w:lineRule="auto"/>
        <w:jc w:val="center"/>
        <w:rPr>
          <w:rFonts w:ascii="Book Antiqua" w:hAnsi="Book Antiqua"/>
          <w:bCs/>
          <w:color w:val="000000"/>
        </w:rPr>
      </w:pPr>
      <w:r w:rsidRPr="00BE697B">
        <w:rPr>
          <w:rFonts w:ascii="Book Antiqua" w:hAnsi="Book Antiqua"/>
          <w:bCs/>
          <w:color w:val="000000"/>
        </w:rPr>
        <w:t>Actividades principales efectuadas por el personal de la judicatura</w:t>
      </w:r>
    </w:p>
    <w:p w14:paraId="7C2D16B7" w14:textId="6123839A" w:rsidR="007803D6" w:rsidRPr="00BE697B" w:rsidRDefault="007803D6" w:rsidP="00985591">
      <w:pPr>
        <w:spacing w:line="276" w:lineRule="auto"/>
        <w:jc w:val="center"/>
        <w:rPr>
          <w:rFonts w:ascii="Book Antiqua" w:hAnsi="Book Antiqua"/>
          <w:bCs/>
          <w:color w:val="000000"/>
        </w:rPr>
      </w:pPr>
      <w:r w:rsidRPr="00BE697B">
        <w:rPr>
          <w:rFonts w:ascii="Book Antiqua" w:hAnsi="Book Antiqua"/>
          <w:bCs/>
          <w:color w:val="000000"/>
        </w:rPr>
        <w:t xml:space="preserve">de </w:t>
      </w:r>
      <w:r>
        <w:rPr>
          <w:rFonts w:ascii="Book Antiqua" w:hAnsi="Book Antiqua"/>
          <w:bCs/>
          <w:color w:val="000000"/>
        </w:rPr>
        <w:t>la Sala Tercera</w:t>
      </w:r>
      <w:r w:rsidRPr="00BE697B">
        <w:rPr>
          <w:rFonts w:ascii="Book Antiqua" w:hAnsi="Book Antiqua"/>
          <w:bCs/>
          <w:color w:val="000000"/>
        </w:rPr>
        <w:t xml:space="preserve"> durante junio de 2021</w:t>
      </w:r>
    </w:p>
    <w:p w14:paraId="7D32590B" w14:textId="0F8EE6AC" w:rsidR="00A94A04" w:rsidRDefault="00A94A04" w:rsidP="00985591">
      <w:pPr>
        <w:spacing w:line="276" w:lineRule="auto"/>
        <w:rPr>
          <w:rFonts w:ascii="Book Antiqua" w:hAnsi="Book Antiqua"/>
          <w:b/>
          <w:color w:val="000000" w:themeColor="text1"/>
        </w:rPr>
      </w:pPr>
    </w:p>
    <w:p w14:paraId="317B282E" w14:textId="15C856B1" w:rsidR="00776798" w:rsidRPr="004E11A1" w:rsidRDefault="004E11A1" w:rsidP="00985591">
      <w:pPr>
        <w:spacing w:line="276" w:lineRule="auto"/>
        <w:jc w:val="center"/>
        <w:rPr>
          <w:rFonts w:ascii="Book Antiqua" w:hAnsi="Book Antiqua"/>
          <w:b/>
          <w:color w:val="000000" w:themeColor="text1"/>
        </w:rPr>
      </w:pPr>
      <w:r>
        <w:rPr>
          <w:noProof/>
        </w:rPr>
        <w:drawing>
          <wp:inline distT="0" distB="0" distL="0" distR="0" wp14:anchorId="03851F76" wp14:editId="251499A8">
            <wp:extent cx="4572000" cy="2797175"/>
            <wp:effectExtent l="0" t="0" r="0" b="3175"/>
            <wp:docPr id="39" name="Gráfico 39">
              <a:extLst xmlns:a="http://schemas.openxmlformats.org/drawingml/2006/main">
                <a:ext uri="{FF2B5EF4-FFF2-40B4-BE49-F238E27FC236}">
                  <a16:creationId xmlns:a16="http://schemas.microsoft.com/office/drawing/2014/main" id="{83674214-48FB-4838-8F17-4D3A7A37DD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CC13803" w14:textId="77777777" w:rsidR="00776798" w:rsidRPr="00234090" w:rsidRDefault="00776798" w:rsidP="00985591">
      <w:pPr>
        <w:spacing w:line="276" w:lineRule="auto"/>
        <w:ind w:firstLine="426"/>
        <w:jc w:val="center"/>
        <w:rPr>
          <w:rFonts w:ascii="Book Antiqua" w:hAnsi="Book Antiqua"/>
          <w:b/>
          <w:bCs/>
          <w:color w:val="000000" w:themeColor="text1"/>
          <w:sz w:val="20"/>
          <w:szCs w:val="20"/>
        </w:rPr>
      </w:pPr>
      <w:r w:rsidRPr="00234090">
        <w:rPr>
          <w:rFonts w:ascii="Book Antiqua" w:hAnsi="Book Antiqua"/>
          <w:b/>
          <w:bCs/>
          <w:color w:val="000000" w:themeColor="text1"/>
          <w:sz w:val="20"/>
          <w:szCs w:val="20"/>
        </w:rPr>
        <w:t xml:space="preserve">Fuente: </w:t>
      </w:r>
      <w:r w:rsidRPr="00234090">
        <w:rPr>
          <w:rFonts w:ascii="Book Antiqua" w:hAnsi="Book Antiqua"/>
          <w:color w:val="000000" w:themeColor="text1"/>
          <w:sz w:val="20"/>
          <w:szCs w:val="20"/>
        </w:rPr>
        <w:t>Elaboración propia a partir de datos suministrados por despachos según circular 61-2020</w:t>
      </w:r>
    </w:p>
    <w:p w14:paraId="7B8EB9FB" w14:textId="77777777" w:rsidR="00776798" w:rsidRPr="00234090" w:rsidRDefault="00776798" w:rsidP="00985591">
      <w:pPr>
        <w:spacing w:line="276" w:lineRule="auto"/>
        <w:rPr>
          <w:rFonts w:ascii="Book Antiqua" w:hAnsi="Book Antiqua"/>
          <w:color w:val="000000" w:themeColor="text1"/>
        </w:rPr>
      </w:pPr>
    </w:p>
    <w:p w14:paraId="2F5F4488" w14:textId="6F6D6298" w:rsidR="002F3D85" w:rsidRPr="00234090" w:rsidRDefault="002F3D85" w:rsidP="00985591">
      <w:pPr>
        <w:spacing w:line="276" w:lineRule="auto"/>
        <w:jc w:val="both"/>
        <w:rPr>
          <w:rFonts w:ascii="Book Antiqua" w:hAnsi="Book Antiqua" w:cs="Segoe UI"/>
          <w:lang w:eastAsia="es-CR"/>
        </w:rPr>
      </w:pPr>
    </w:p>
    <w:p w14:paraId="22D460F4" w14:textId="4A1A85B2" w:rsidR="00DC4AA1" w:rsidRPr="004F0E92" w:rsidRDefault="00DC4AA1" w:rsidP="00985591">
      <w:pPr>
        <w:spacing w:line="276" w:lineRule="auto"/>
        <w:rPr>
          <w:rFonts w:ascii="Book Antiqua" w:hAnsi="Book Antiqua"/>
          <w:b/>
          <w:color w:val="000000" w:themeColor="text1"/>
        </w:rPr>
      </w:pPr>
    </w:p>
    <w:p w14:paraId="7B1E5B9F" w14:textId="113D341A" w:rsidR="00776798" w:rsidRPr="002B6A04" w:rsidRDefault="614F9BBF" w:rsidP="57A79FF7">
      <w:pPr>
        <w:tabs>
          <w:tab w:val="left" w:pos="426"/>
        </w:tabs>
        <w:spacing w:after="160" w:line="276" w:lineRule="auto"/>
        <w:contextualSpacing/>
        <w:outlineLvl w:val="1"/>
        <w:rPr>
          <w:b/>
          <w:color w:val="000000" w:themeColor="text1"/>
        </w:rPr>
      </w:pPr>
      <w:r w:rsidRPr="57A79FF7">
        <w:rPr>
          <w:rFonts w:ascii="Book Antiqua" w:hAnsi="Book Antiqua"/>
          <w:b/>
          <w:bCs/>
          <w:color w:val="000000" w:themeColor="text1"/>
        </w:rPr>
        <w:t xml:space="preserve">5.2 </w:t>
      </w:r>
      <w:r w:rsidR="00776798" w:rsidRPr="002B6A04">
        <w:rPr>
          <w:rFonts w:ascii="Book Antiqua" w:hAnsi="Book Antiqua"/>
          <w:b/>
          <w:color w:val="000000" w:themeColor="text1"/>
        </w:rPr>
        <w:t>Cumplimiento de parámetros de producción</w:t>
      </w:r>
    </w:p>
    <w:p w14:paraId="56ADDEC4" w14:textId="77777777" w:rsidR="00776798" w:rsidRPr="002B6A04" w:rsidRDefault="00776798" w:rsidP="00985591">
      <w:pPr>
        <w:spacing w:line="276" w:lineRule="auto"/>
        <w:rPr>
          <w:rFonts w:ascii="Book Antiqua" w:hAnsi="Book Antiqua"/>
          <w:b/>
          <w:color w:val="000000" w:themeColor="text1"/>
        </w:rPr>
      </w:pPr>
    </w:p>
    <w:p w14:paraId="6747F6B8" w14:textId="77777777" w:rsidR="00776798" w:rsidRPr="002B6A04" w:rsidRDefault="00776798" w:rsidP="00985591">
      <w:pPr>
        <w:spacing w:line="276" w:lineRule="auto"/>
        <w:jc w:val="both"/>
        <w:rPr>
          <w:rFonts w:ascii="Book Antiqua" w:hAnsi="Book Antiqua"/>
          <w:color w:val="000000" w:themeColor="text1"/>
        </w:rPr>
      </w:pPr>
      <w:r w:rsidRPr="002B6A04">
        <w:rPr>
          <w:rFonts w:ascii="Book Antiqua" w:hAnsi="Book Antiqua"/>
          <w:color w:val="000000" w:themeColor="text1"/>
        </w:rPr>
        <w:t>La Circular 101-20 estableció parámetros de producción para las diferentes fases del proceso penal:</w:t>
      </w:r>
    </w:p>
    <w:p w14:paraId="4ED0D1CD" w14:textId="003EC760" w:rsidR="00776798" w:rsidRPr="002B6A04" w:rsidRDefault="00776798" w:rsidP="00985591">
      <w:pPr>
        <w:spacing w:line="276" w:lineRule="auto"/>
        <w:rPr>
          <w:rFonts w:ascii="Book Antiqua" w:hAnsi="Book Antiqua"/>
          <w:color w:val="000000" w:themeColor="text1"/>
        </w:rPr>
      </w:pPr>
    </w:p>
    <w:p w14:paraId="0373676D" w14:textId="77777777" w:rsidR="00882CFC" w:rsidRPr="002B6A04" w:rsidRDefault="00882CFC" w:rsidP="00985591">
      <w:pPr>
        <w:spacing w:line="276" w:lineRule="auto"/>
        <w:rPr>
          <w:rFonts w:ascii="Book Antiqua" w:hAnsi="Book Antiqua"/>
          <w:color w:val="000000" w:themeColor="text1"/>
        </w:rPr>
      </w:pPr>
    </w:p>
    <w:p w14:paraId="046B4FF6" w14:textId="7B281B5E" w:rsidR="00BF7F5F" w:rsidRPr="00BF7F5F" w:rsidRDefault="00590E18" w:rsidP="00985591">
      <w:pPr>
        <w:spacing w:line="276" w:lineRule="auto"/>
        <w:jc w:val="center"/>
        <w:rPr>
          <w:rFonts w:ascii="Book Antiqua" w:hAnsi="Book Antiqua"/>
          <w:b/>
          <w:bCs/>
          <w:color w:val="000000" w:themeColor="text1"/>
        </w:rPr>
      </w:pPr>
      <w:r w:rsidRPr="00BF7F5F">
        <w:rPr>
          <w:rFonts w:ascii="Book Antiqua" w:hAnsi="Book Antiqua"/>
          <w:b/>
          <w:bCs/>
          <w:color w:val="000000" w:themeColor="text1"/>
        </w:rPr>
        <w:t xml:space="preserve">Cuadro </w:t>
      </w:r>
      <w:r w:rsidR="005F4AA6" w:rsidRPr="00BF7F5F">
        <w:rPr>
          <w:rFonts w:ascii="Book Antiqua" w:hAnsi="Book Antiqua"/>
          <w:b/>
          <w:bCs/>
          <w:color w:val="000000" w:themeColor="text1"/>
        </w:rPr>
        <w:t>4</w:t>
      </w:r>
      <w:r w:rsidR="006A710F" w:rsidRPr="00BF7F5F">
        <w:rPr>
          <w:rFonts w:ascii="Book Antiqua" w:hAnsi="Book Antiqua"/>
          <w:b/>
          <w:bCs/>
          <w:color w:val="000000" w:themeColor="text1"/>
        </w:rPr>
        <w:t>3</w:t>
      </w:r>
    </w:p>
    <w:p w14:paraId="41592C12" w14:textId="66812B69" w:rsidR="00590E18" w:rsidRPr="004F0E92" w:rsidRDefault="00590E18" w:rsidP="00985591">
      <w:pPr>
        <w:spacing w:line="276" w:lineRule="auto"/>
        <w:jc w:val="center"/>
        <w:rPr>
          <w:rFonts w:ascii="Book Antiqua" w:hAnsi="Book Antiqua"/>
          <w:color w:val="000000" w:themeColor="text1"/>
        </w:rPr>
      </w:pPr>
      <w:r w:rsidRPr="002B6A04">
        <w:rPr>
          <w:rFonts w:ascii="Book Antiqua" w:hAnsi="Book Antiqua"/>
          <w:color w:val="000000" w:themeColor="text1"/>
        </w:rPr>
        <w:t>Parámetros de producción</w:t>
      </w:r>
    </w:p>
    <w:p w14:paraId="7A28AC47" w14:textId="77777777" w:rsidR="00776798" w:rsidRPr="004F0E92" w:rsidRDefault="00776798" w:rsidP="00985591">
      <w:pPr>
        <w:spacing w:line="276" w:lineRule="auto"/>
        <w:rPr>
          <w:rFonts w:ascii="Book Antiqua" w:hAnsi="Book Antiqua"/>
          <w:color w:val="000000" w:themeColor="text1"/>
        </w:rPr>
      </w:pPr>
    </w:p>
    <w:tbl>
      <w:tblPr>
        <w:tblStyle w:val="Tablaconcuadrcula"/>
        <w:tblW w:w="9209" w:type="dxa"/>
        <w:tblLook w:val="04A0" w:firstRow="1" w:lastRow="0" w:firstColumn="1" w:lastColumn="0" w:noHBand="0" w:noVBand="1"/>
      </w:tblPr>
      <w:tblGrid>
        <w:gridCol w:w="1838"/>
        <w:gridCol w:w="3402"/>
        <w:gridCol w:w="3969"/>
      </w:tblGrid>
      <w:tr w:rsidR="00776798" w:rsidRPr="00A575CA" w14:paraId="669B52D9" w14:textId="77777777" w:rsidTr="008E3DC5">
        <w:tc>
          <w:tcPr>
            <w:tcW w:w="1838" w:type="dxa"/>
            <w:shd w:val="clear" w:color="auto" w:fill="2F5496" w:themeFill="accent1" w:themeFillShade="BF"/>
          </w:tcPr>
          <w:p w14:paraId="05661CB4" w14:textId="77777777" w:rsidR="00776798" w:rsidRPr="00A575CA" w:rsidRDefault="00776798" w:rsidP="00985591">
            <w:pPr>
              <w:spacing w:line="276" w:lineRule="auto"/>
              <w:jc w:val="center"/>
              <w:rPr>
                <w:rFonts w:ascii="Book Antiqua" w:hAnsi="Book Antiqua"/>
                <w:b/>
                <w:color w:val="FFFFFF" w:themeColor="background1"/>
                <w:sz w:val="20"/>
                <w:szCs w:val="20"/>
              </w:rPr>
            </w:pPr>
            <w:r w:rsidRPr="00A575CA">
              <w:rPr>
                <w:rFonts w:ascii="Book Antiqua" w:hAnsi="Book Antiqua"/>
                <w:b/>
                <w:color w:val="FFFFFF" w:themeColor="background1"/>
                <w:sz w:val="20"/>
                <w:szCs w:val="20"/>
              </w:rPr>
              <w:t>Fase</w:t>
            </w:r>
          </w:p>
        </w:tc>
        <w:tc>
          <w:tcPr>
            <w:tcW w:w="3402" w:type="dxa"/>
            <w:shd w:val="clear" w:color="auto" w:fill="2F5496" w:themeFill="accent1" w:themeFillShade="BF"/>
          </w:tcPr>
          <w:p w14:paraId="3967D113" w14:textId="77777777" w:rsidR="00776798" w:rsidRPr="00A575CA" w:rsidRDefault="00776798" w:rsidP="00985591">
            <w:pPr>
              <w:spacing w:line="276" w:lineRule="auto"/>
              <w:jc w:val="center"/>
              <w:rPr>
                <w:rFonts w:ascii="Book Antiqua" w:hAnsi="Book Antiqua"/>
                <w:b/>
                <w:color w:val="FFFFFF" w:themeColor="background1"/>
                <w:sz w:val="20"/>
                <w:szCs w:val="20"/>
              </w:rPr>
            </w:pPr>
            <w:r w:rsidRPr="00A575CA">
              <w:rPr>
                <w:rFonts w:ascii="Book Antiqua" w:hAnsi="Book Antiqua"/>
                <w:b/>
                <w:color w:val="FFFFFF" w:themeColor="background1"/>
                <w:sz w:val="20"/>
                <w:szCs w:val="20"/>
              </w:rPr>
              <w:t>Variable</w:t>
            </w:r>
          </w:p>
        </w:tc>
        <w:tc>
          <w:tcPr>
            <w:tcW w:w="3969" w:type="dxa"/>
            <w:shd w:val="clear" w:color="auto" w:fill="2F5496" w:themeFill="accent1" w:themeFillShade="BF"/>
          </w:tcPr>
          <w:p w14:paraId="5ECC9BC5" w14:textId="77777777" w:rsidR="00776798" w:rsidRPr="00A575CA" w:rsidRDefault="00776798" w:rsidP="00985591">
            <w:pPr>
              <w:spacing w:line="276" w:lineRule="auto"/>
              <w:jc w:val="center"/>
              <w:rPr>
                <w:rFonts w:ascii="Book Antiqua" w:hAnsi="Book Antiqua"/>
                <w:b/>
                <w:color w:val="FFFFFF" w:themeColor="background1"/>
                <w:sz w:val="20"/>
                <w:szCs w:val="20"/>
              </w:rPr>
            </w:pPr>
            <w:r w:rsidRPr="00A575CA">
              <w:rPr>
                <w:rFonts w:ascii="Book Antiqua" w:hAnsi="Book Antiqua"/>
                <w:b/>
                <w:color w:val="FFFFFF" w:themeColor="background1"/>
                <w:sz w:val="20"/>
                <w:szCs w:val="20"/>
              </w:rPr>
              <w:t>Parámetro</w:t>
            </w:r>
          </w:p>
          <w:p w14:paraId="6A80B48C" w14:textId="77777777" w:rsidR="00776798" w:rsidRPr="00A575CA" w:rsidRDefault="00776798" w:rsidP="00985591">
            <w:pPr>
              <w:spacing w:line="276" w:lineRule="auto"/>
              <w:jc w:val="center"/>
              <w:rPr>
                <w:rFonts w:ascii="Book Antiqua" w:hAnsi="Book Antiqua"/>
                <w:b/>
                <w:color w:val="FFFFFF" w:themeColor="background1"/>
                <w:sz w:val="20"/>
                <w:szCs w:val="20"/>
              </w:rPr>
            </w:pPr>
          </w:p>
        </w:tc>
      </w:tr>
      <w:tr w:rsidR="00776798" w:rsidRPr="00A575CA" w14:paraId="1A08F95C" w14:textId="77777777" w:rsidTr="00776798">
        <w:tc>
          <w:tcPr>
            <w:tcW w:w="1838" w:type="dxa"/>
          </w:tcPr>
          <w:p w14:paraId="080E0B9B" w14:textId="77777777" w:rsidR="00A575CA" w:rsidRDefault="00A575CA" w:rsidP="00985591">
            <w:pPr>
              <w:spacing w:line="276" w:lineRule="auto"/>
              <w:jc w:val="center"/>
              <w:rPr>
                <w:rFonts w:ascii="Book Antiqua" w:hAnsi="Book Antiqua"/>
                <w:color w:val="000000" w:themeColor="text1"/>
                <w:sz w:val="20"/>
                <w:szCs w:val="20"/>
              </w:rPr>
            </w:pPr>
          </w:p>
          <w:p w14:paraId="345A77DF" w14:textId="77777777" w:rsidR="00A575CA" w:rsidRDefault="00A575CA" w:rsidP="00985591">
            <w:pPr>
              <w:spacing w:line="276" w:lineRule="auto"/>
              <w:jc w:val="center"/>
              <w:rPr>
                <w:rFonts w:ascii="Book Antiqua" w:hAnsi="Book Antiqua"/>
                <w:color w:val="000000" w:themeColor="text1"/>
                <w:sz w:val="20"/>
                <w:szCs w:val="20"/>
              </w:rPr>
            </w:pPr>
          </w:p>
          <w:p w14:paraId="6FC62F90" w14:textId="1DDFF8DA" w:rsidR="00776798" w:rsidRPr="00A575CA" w:rsidRDefault="00776798" w:rsidP="00985591">
            <w:pPr>
              <w:spacing w:line="276" w:lineRule="auto"/>
              <w:jc w:val="center"/>
              <w:rPr>
                <w:rFonts w:ascii="Book Antiqua" w:hAnsi="Book Antiqua"/>
                <w:color w:val="000000" w:themeColor="text1"/>
                <w:sz w:val="20"/>
                <w:szCs w:val="20"/>
              </w:rPr>
            </w:pPr>
            <w:r w:rsidRPr="00A575CA">
              <w:rPr>
                <w:rFonts w:ascii="Book Antiqua" w:hAnsi="Book Antiqua"/>
                <w:color w:val="000000" w:themeColor="text1"/>
                <w:sz w:val="20"/>
                <w:szCs w:val="20"/>
              </w:rPr>
              <w:t>Preparatoria e Intermedia</w:t>
            </w:r>
          </w:p>
        </w:tc>
        <w:tc>
          <w:tcPr>
            <w:tcW w:w="3402" w:type="dxa"/>
          </w:tcPr>
          <w:p w14:paraId="62B67D14" w14:textId="77777777" w:rsidR="00A575CA" w:rsidRDefault="00A575CA" w:rsidP="00985591">
            <w:pPr>
              <w:spacing w:line="276" w:lineRule="auto"/>
              <w:jc w:val="center"/>
              <w:rPr>
                <w:rFonts w:ascii="Book Antiqua" w:hAnsi="Book Antiqua"/>
                <w:color w:val="000000" w:themeColor="text1"/>
                <w:sz w:val="20"/>
                <w:szCs w:val="20"/>
              </w:rPr>
            </w:pPr>
          </w:p>
          <w:p w14:paraId="4DC6FBDC" w14:textId="77777777" w:rsidR="00A575CA" w:rsidRDefault="00A575CA" w:rsidP="00985591">
            <w:pPr>
              <w:spacing w:line="276" w:lineRule="auto"/>
              <w:jc w:val="center"/>
              <w:rPr>
                <w:rFonts w:ascii="Book Antiqua" w:hAnsi="Book Antiqua"/>
                <w:color w:val="000000" w:themeColor="text1"/>
                <w:sz w:val="20"/>
                <w:szCs w:val="20"/>
              </w:rPr>
            </w:pPr>
          </w:p>
          <w:p w14:paraId="211B9443" w14:textId="0DE964A6" w:rsidR="00776798" w:rsidRPr="00A575CA" w:rsidRDefault="00776798" w:rsidP="00985591">
            <w:pPr>
              <w:spacing w:line="276" w:lineRule="auto"/>
              <w:jc w:val="center"/>
              <w:rPr>
                <w:rFonts w:ascii="Book Antiqua" w:hAnsi="Book Antiqua"/>
                <w:color w:val="000000" w:themeColor="text1"/>
                <w:sz w:val="20"/>
                <w:szCs w:val="20"/>
              </w:rPr>
            </w:pPr>
            <w:r w:rsidRPr="00A575CA">
              <w:rPr>
                <w:rFonts w:ascii="Book Antiqua" w:hAnsi="Book Antiqua"/>
                <w:color w:val="000000" w:themeColor="text1"/>
                <w:sz w:val="20"/>
                <w:szCs w:val="20"/>
              </w:rPr>
              <w:t>Desestimaciones, sobreseimientos y acusaciones</w:t>
            </w:r>
          </w:p>
        </w:tc>
        <w:tc>
          <w:tcPr>
            <w:tcW w:w="3969" w:type="dxa"/>
          </w:tcPr>
          <w:p w14:paraId="3A138603" w14:textId="77777777" w:rsidR="00776798" w:rsidRPr="00A575CA" w:rsidRDefault="00776798" w:rsidP="00985591">
            <w:pPr>
              <w:spacing w:line="276" w:lineRule="auto"/>
              <w:jc w:val="both"/>
              <w:rPr>
                <w:rFonts w:ascii="Book Antiqua" w:hAnsi="Book Antiqua"/>
                <w:color w:val="000000" w:themeColor="text1"/>
                <w:sz w:val="20"/>
                <w:szCs w:val="20"/>
              </w:rPr>
            </w:pPr>
            <w:r w:rsidRPr="00A575CA">
              <w:rPr>
                <w:rFonts w:ascii="Book Antiqua" w:hAnsi="Book Antiqua"/>
                <w:color w:val="000000" w:themeColor="text1"/>
                <w:sz w:val="20"/>
                <w:szCs w:val="20"/>
              </w:rPr>
              <w:t>Al menos seis asuntos diarios resueltos de desestimación o sobreseimiento o acusación, por cada plaza de jueza o juez, que se encuentre en etapa intermedia. Los Despachos deberán tener al menos una Jueza o Juez que se encuentre atendiendo la etapa preparatoria.</w:t>
            </w:r>
          </w:p>
        </w:tc>
      </w:tr>
      <w:tr w:rsidR="00776798" w:rsidRPr="00A575CA" w14:paraId="1B538E4F" w14:textId="77777777" w:rsidTr="00776798">
        <w:tc>
          <w:tcPr>
            <w:tcW w:w="1838" w:type="dxa"/>
          </w:tcPr>
          <w:p w14:paraId="0533542D" w14:textId="77777777" w:rsidR="00A575CA" w:rsidRDefault="00A575CA" w:rsidP="00985591">
            <w:pPr>
              <w:spacing w:line="276" w:lineRule="auto"/>
              <w:jc w:val="center"/>
              <w:rPr>
                <w:rFonts w:ascii="Book Antiqua" w:hAnsi="Book Antiqua"/>
                <w:color w:val="000000" w:themeColor="text1"/>
                <w:sz w:val="20"/>
                <w:szCs w:val="20"/>
              </w:rPr>
            </w:pPr>
          </w:p>
          <w:p w14:paraId="6552F0D9" w14:textId="0DB57417" w:rsidR="00776798" w:rsidRPr="00A575CA" w:rsidRDefault="00776798" w:rsidP="00985591">
            <w:pPr>
              <w:spacing w:line="276" w:lineRule="auto"/>
              <w:jc w:val="center"/>
              <w:rPr>
                <w:rFonts w:ascii="Book Antiqua" w:hAnsi="Book Antiqua"/>
                <w:color w:val="000000" w:themeColor="text1"/>
                <w:sz w:val="20"/>
                <w:szCs w:val="20"/>
              </w:rPr>
            </w:pPr>
            <w:r w:rsidRPr="00A575CA">
              <w:rPr>
                <w:rFonts w:ascii="Book Antiqua" w:hAnsi="Book Antiqua"/>
                <w:color w:val="000000" w:themeColor="text1"/>
                <w:sz w:val="20"/>
                <w:szCs w:val="20"/>
              </w:rPr>
              <w:t>Juicio</w:t>
            </w:r>
          </w:p>
        </w:tc>
        <w:tc>
          <w:tcPr>
            <w:tcW w:w="3402" w:type="dxa"/>
          </w:tcPr>
          <w:p w14:paraId="797BDB05" w14:textId="77777777" w:rsidR="00A575CA" w:rsidRDefault="00A575CA" w:rsidP="00985591">
            <w:pPr>
              <w:spacing w:line="276" w:lineRule="auto"/>
              <w:jc w:val="center"/>
              <w:rPr>
                <w:rFonts w:ascii="Book Antiqua" w:hAnsi="Book Antiqua"/>
                <w:color w:val="000000" w:themeColor="text1"/>
                <w:sz w:val="20"/>
                <w:szCs w:val="20"/>
              </w:rPr>
            </w:pPr>
          </w:p>
          <w:p w14:paraId="39EE980A" w14:textId="1D30F035" w:rsidR="00776798" w:rsidRPr="00A575CA" w:rsidRDefault="00776798" w:rsidP="00985591">
            <w:pPr>
              <w:spacing w:line="276" w:lineRule="auto"/>
              <w:jc w:val="center"/>
              <w:rPr>
                <w:rFonts w:ascii="Book Antiqua" w:hAnsi="Book Antiqua"/>
                <w:color w:val="000000" w:themeColor="text1"/>
                <w:sz w:val="20"/>
                <w:szCs w:val="20"/>
              </w:rPr>
            </w:pPr>
            <w:r w:rsidRPr="00A575CA">
              <w:rPr>
                <w:rFonts w:ascii="Book Antiqua" w:hAnsi="Book Antiqua"/>
                <w:color w:val="000000" w:themeColor="text1"/>
                <w:sz w:val="20"/>
                <w:szCs w:val="20"/>
              </w:rPr>
              <w:t>Sentencias y medidas alternas</w:t>
            </w:r>
          </w:p>
          <w:p w14:paraId="114B7DFE" w14:textId="77777777" w:rsidR="00776798" w:rsidRPr="00A575CA" w:rsidRDefault="00776798" w:rsidP="00985591">
            <w:pPr>
              <w:spacing w:line="276" w:lineRule="auto"/>
              <w:jc w:val="center"/>
              <w:rPr>
                <w:rFonts w:ascii="Book Antiqua" w:hAnsi="Book Antiqua"/>
                <w:color w:val="000000" w:themeColor="text1"/>
                <w:sz w:val="20"/>
                <w:szCs w:val="20"/>
              </w:rPr>
            </w:pPr>
          </w:p>
        </w:tc>
        <w:tc>
          <w:tcPr>
            <w:tcW w:w="3969" w:type="dxa"/>
          </w:tcPr>
          <w:p w14:paraId="182D4242" w14:textId="77777777" w:rsidR="00776798" w:rsidRPr="00A575CA" w:rsidRDefault="00776798" w:rsidP="00985591">
            <w:pPr>
              <w:pStyle w:val="Textosinformato"/>
              <w:spacing w:line="276" w:lineRule="auto"/>
              <w:jc w:val="both"/>
              <w:rPr>
                <w:rFonts w:ascii="Book Antiqua" w:hAnsi="Book Antiqua"/>
                <w:color w:val="000000" w:themeColor="text1"/>
                <w:sz w:val="20"/>
                <w:szCs w:val="20"/>
              </w:rPr>
            </w:pPr>
            <w:r w:rsidRPr="00A575CA">
              <w:rPr>
                <w:rFonts w:ascii="Book Antiqua" w:hAnsi="Book Antiqua"/>
                <w:color w:val="000000" w:themeColor="text1"/>
                <w:sz w:val="20"/>
                <w:szCs w:val="20"/>
              </w:rPr>
              <w:t>El parámetro de producción mensual será entre once a quince sentencias o medidas alternas por cada Sección Colegiada y entre quince a veinte sentencias o medidas alternas por cada Sección Unipersonal, mientras que las secciones mixtas tendrán un parámetro de treinta y dos sentencias o medidas alternas.</w:t>
            </w:r>
          </w:p>
        </w:tc>
      </w:tr>
      <w:tr w:rsidR="00776798" w:rsidRPr="00A575CA" w14:paraId="413344C6" w14:textId="77777777" w:rsidTr="00776798">
        <w:tc>
          <w:tcPr>
            <w:tcW w:w="1838" w:type="dxa"/>
          </w:tcPr>
          <w:p w14:paraId="22A4ABC0" w14:textId="77777777" w:rsidR="00A575CA" w:rsidRDefault="00A575CA" w:rsidP="00985591">
            <w:pPr>
              <w:spacing w:line="276" w:lineRule="auto"/>
              <w:jc w:val="center"/>
              <w:rPr>
                <w:rFonts w:ascii="Book Antiqua" w:hAnsi="Book Antiqua"/>
                <w:color w:val="000000" w:themeColor="text1"/>
                <w:sz w:val="20"/>
                <w:szCs w:val="20"/>
              </w:rPr>
            </w:pPr>
          </w:p>
          <w:p w14:paraId="610EDD15" w14:textId="77777777" w:rsidR="00A575CA" w:rsidRDefault="00A575CA" w:rsidP="00985591">
            <w:pPr>
              <w:spacing w:line="276" w:lineRule="auto"/>
              <w:jc w:val="center"/>
              <w:rPr>
                <w:rFonts w:ascii="Book Antiqua" w:hAnsi="Book Antiqua"/>
                <w:color w:val="000000" w:themeColor="text1"/>
                <w:sz w:val="20"/>
                <w:szCs w:val="20"/>
              </w:rPr>
            </w:pPr>
          </w:p>
          <w:p w14:paraId="6F87263E" w14:textId="58B634A7" w:rsidR="00776798" w:rsidRPr="00A575CA" w:rsidRDefault="00776798" w:rsidP="00985591">
            <w:pPr>
              <w:spacing w:line="276" w:lineRule="auto"/>
              <w:jc w:val="center"/>
              <w:rPr>
                <w:rFonts w:ascii="Book Antiqua" w:hAnsi="Book Antiqua"/>
                <w:color w:val="000000" w:themeColor="text1"/>
                <w:sz w:val="20"/>
                <w:szCs w:val="20"/>
              </w:rPr>
            </w:pPr>
            <w:r w:rsidRPr="00A575CA">
              <w:rPr>
                <w:rFonts w:ascii="Book Antiqua" w:hAnsi="Book Antiqua"/>
                <w:color w:val="000000" w:themeColor="text1"/>
                <w:sz w:val="20"/>
                <w:szCs w:val="20"/>
              </w:rPr>
              <w:t>Flagrancia</w:t>
            </w:r>
          </w:p>
        </w:tc>
        <w:tc>
          <w:tcPr>
            <w:tcW w:w="3402" w:type="dxa"/>
          </w:tcPr>
          <w:p w14:paraId="6023C8E6" w14:textId="77777777" w:rsidR="00A575CA" w:rsidRDefault="00A575CA" w:rsidP="00985591">
            <w:pPr>
              <w:spacing w:line="276" w:lineRule="auto"/>
              <w:jc w:val="center"/>
              <w:rPr>
                <w:rFonts w:ascii="Book Antiqua" w:hAnsi="Book Antiqua"/>
                <w:color w:val="000000" w:themeColor="text1"/>
                <w:sz w:val="20"/>
                <w:szCs w:val="20"/>
              </w:rPr>
            </w:pPr>
          </w:p>
          <w:p w14:paraId="7DE1C101" w14:textId="77777777" w:rsidR="00A575CA" w:rsidRDefault="00A575CA" w:rsidP="00985591">
            <w:pPr>
              <w:spacing w:line="276" w:lineRule="auto"/>
              <w:jc w:val="center"/>
              <w:rPr>
                <w:rFonts w:ascii="Book Antiqua" w:hAnsi="Book Antiqua"/>
                <w:color w:val="000000" w:themeColor="text1"/>
                <w:sz w:val="20"/>
                <w:szCs w:val="20"/>
              </w:rPr>
            </w:pPr>
          </w:p>
          <w:p w14:paraId="2ED3058C" w14:textId="225DA723" w:rsidR="00776798" w:rsidRPr="00A575CA" w:rsidRDefault="00776798" w:rsidP="00985591">
            <w:pPr>
              <w:spacing w:line="276" w:lineRule="auto"/>
              <w:jc w:val="center"/>
              <w:rPr>
                <w:rFonts w:ascii="Book Antiqua" w:hAnsi="Book Antiqua"/>
                <w:color w:val="000000" w:themeColor="text1"/>
                <w:sz w:val="20"/>
                <w:szCs w:val="20"/>
              </w:rPr>
            </w:pPr>
            <w:r w:rsidRPr="00A575CA">
              <w:rPr>
                <w:rFonts w:ascii="Book Antiqua" w:hAnsi="Book Antiqua"/>
                <w:color w:val="000000" w:themeColor="text1"/>
                <w:sz w:val="20"/>
                <w:szCs w:val="20"/>
              </w:rPr>
              <w:t>Audiencias iniciales, sentencias y medidas alternas</w:t>
            </w:r>
          </w:p>
        </w:tc>
        <w:tc>
          <w:tcPr>
            <w:tcW w:w="3969" w:type="dxa"/>
          </w:tcPr>
          <w:p w14:paraId="70888A6C" w14:textId="77777777" w:rsidR="00776798" w:rsidRPr="00A575CA" w:rsidRDefault="00776798" w:rsidP="00985591">
            <w:pPr>
              <w:spacing w:line="276" w:lineRule="auto"/>
              <w:jc w:val="both"/>
              <w:rPr>
                <w:rFonts w:ascii="Book Antiqua" w:hAnsi="Book Antiqua"/>
                <w:color w:val="000000" w:themeColor="text1"/>
                <w:sz w:val="20"/>
                <w:szCs w:val="20"/>
              </w:rPr>
            </w:pPr>
            <w:r w:rsidRPr="00A575CA">
              <w:rPr>
                <w:rFonts w:ascii="Book Antiqua" w:hAnsi="Book Antiqua"/>
                <w:color w:val="000000" w:themeColor="text1"/>
                <w:sz w:val="20"/>
                <w:szCs w:val="20"/>
              </w:rPr>
              <w:t>El parámetro de producción mensual será de treinta y cinco sentencias o medidas alternas o audiencias iniciales por cada plaza de judicatura, si no se logra llegar a esa cantidad con procesos de flagrancia, la Sección deberá colaborar con el procedimiento ordinario del Tribunal.</w:t>
            </w:r>
          </w:p>
        </w:tc>
      </w:tr>
      <w:tr w:rsidR="00776798" w:rsidRPr="00A575CA" w14:paraId="0D684E2F" w14:textId="77777777" w:rsidTr="00776798">
        <w:tc>
          <w:tcPr>
            <w:tcW w:w="1838" w:type="dxa"/>
          </w:tcPr>
          <w:p w14:paraId="5F113D5B" w14:textId="77777777" w:rsidR="00A575CA" w:rsidRDefault="00A575CA" w:rsidP="00985591">
            <w:pPr>
              <w:spacing w:line="276" w:lineRule="auto"/>
              <w:jc w:val="center"/>
              <w:rPr>
                <w:rFonts w:ascii="Book Antiqua" w:hAnsi="Book Antiqua"/>
                <w:color w:val="000000" w:themeColor="text1"/>
                <w:sz w:val="20"/>
                <w:szCs w:val="20"/>
              </w:rPr>
            </w:pPr>
          </w:p>
          <w:p w14:paraId="44F60CA6" w14:textId="77777777" w:rsidR="00A575CA" w:rsidRDefault="00A575CA" w:rsidP="00985591">
            <w:pPr>
              <w:spacing w:line="276" w:lineRule="auto"/>
              <w:jc w:val="center"/>
              <w:rPr>
                <w:rFonts w:ascii="Book Antiqua" w:hAnsi="Book Antiqua"/>
                <w:color w:val="000000" w:themeColor="text1"/>
                <w:sz w:val="20"/>
                <w:szCs w:val="20"/>
              </w:rPr>
            </w:pPr>
          </w:p>
          <w:p w14:paraId="4FC20E62" w14:textId="77777777" w:rsidR="00A575CA" w:rsidRDefault="00A575CA" w:rsidP="00985591">
            <w:pPr>
              <w:spacing w:line="276" w:lineRule="auto"/>
              <w:jc w:val="center"/>
              <w:rPr>
                <w:rFonts w:ascii="Book Antiqua" w:hAnsi="Book Antiqua"/>
                <w:color w:val="000000" w:themeColor="text1"/>
                <w:sz w:val="20"/>
                <w:szCs w:val="20"/>
              </w:rPr>
            </w:pPr>
          </w:p>
          <w:p w14:paraId="66E23D5D" w14:textId="2E500AFB" w:rsidR="00776798" w:rsidRPr="00A575CA" w:rsidRDefault="00776798" w:rsidP="00985591">
            <w:pPr>
              <w:spacing w:line="276" w:lineRule="auto"/>
              <w:jc w:val="center"/>
              <w:rPr>
                <w:rFonts w:ascii="Book Antiqua" w:hAnsi="Book Antiqua"/>
                <w:color w:val="000000" w:themeColor="text1"/>
                <w:sz w:val="20"/>
                <w:szCs w:val="20"/>
              </w:rPr>
            </w:pPr>
            <w:r w:rsidRPr="00A575CA">
              <w:rPr>
                <w:rFonts w:ascii="Book Antiqua" w:hAnsi="Book Antiqua"/>
                <w:color w:val="000000" w:themeColor="text1"/>
                <w:sz w:val="20"/>
                <w:szCs w:val="20"/>
              </w:rPr>
              <w:t>Apelación</w:t>
            </w:r>
          </w:p>
        </w:tc>
        <w:tc>
          <w:tcPr>
            <w:tcW w:w="3402" w:type="dxa"/>
          </w:tcPr>
          <w:p w14:paraId="31BC61AA" w14:textId="77777777" w:rsidR="00A575CA" w:rsidRDefault="00A575CA" w:rsidP="00985591">
            <w:pPr>
              <w:spacing w:line="276" w:lineRule="auto"/>
              <w:jc w:val="center"/>
              <w:rPr>
                <w:rFonts w:ascii="Book Antiqua" w:hAnsi="Book Antiqua"/>
                <w:color w:val="000000" w:themeColor="text1"/>
                <w:sz w:val="20"/>
                <w:szCs w:val="20"/>
              </w:rPr>
            </w:pPr>
          </w:p>
          <w:p w14:paraId="2737B725" w14:textId="77777777" w:rsidR="00A575CA" w:rsidRDefault="00A575CA" w:rsidP="00985591">
            <w:pPr>
              <w:spacing w:line="276" w:lineRule="auto"/>
              <w:jc w:val="center"/>
              <w:rPr>
                <w:rFonts w:ascii="Book Antiqua" w:hAnsi="Book Antiqua"/>
                <w:color w:val="000000" w:themeColor="text1"/>
                <w:sz w:val="20"/>
                <w:szCs w:val="20"/>
              </w:rPr>
            </w:pPr>
          </w:p>
          <w:p w14:paraId="1EFA7A39" w14:textId="77777777" w:rsidR="00A575CA" w:rsidRDefault="00A575CA" w:rsidP="00985591">
            <w:pPr>
              <w:spacing w:line="276" w:lineRule="auto"/>
              <w:jc w:val="center"/>
              <w:rPr>
                <w:rFonts w:ascii="Book Antiqua" w:hAnsi="Book Antiqua"/>
                <w:color w:val="000000" w:themeColor="text1"/>
                <w:sz w:val="20"/>
                <w:szCs w:val="20"/>
              </w:rPr>
            </w:pPr>
          </w:p>
          <w:p w14:paraId="10590609" w14:textId="1F79CEAD" w:rsidR="00776798" w:rsidRPr="00A575CA" w:rsidRDefault="00776798" w:rsidP="00985591">
            <w:pPr>
              <w:spacing w:line="276" w:lineRule="auto"/>
              <w:jc w:val="center"/>
              <w:rPr>
                <w:rFonts w:ascii="Book Antiqua" w:hAnsi="Book Antiqua"/>
                <w:color w:val="000000" w:themeColor="text1"/>
                <w:sz w:val="20"/>
                <w:szCs w:val="20"/>
              </w:rPr>
            </w:pPr>
            <w:r w:rsidRPr="00A575CA">
              <w:rPr>
                <w:rFonts w:ascii="Book Antiqua" w:hAnsi="Book Antiqua"/>
                <w:color w:val="000000" w:themeColor="text1"/>
                <w:sz w:val="20"/>
                <w:szCs w:val="20"/>
              </w:rPr>
              <w:t>Proyectos de resolución votados</w:t>
            </w:r>
          </w:p>
        </w:tc>
        <w:tc>
          <w:tcPr>
            <w:tcW w:w="3969" w:type="dxa"/>
          </w:tcPr>
          <w:p w14:paraId="4249344D" w14:textId="77777777" w:rsidR="00776798" w:rsidRPr="00A575CA" w:rsidRDefault="00776798" w:rsidP="00985591">
            <w:pPr>
              <w:pStyle w:val="Textosinformato"/>
              <w:spacing w:line="276" w:lineRule="auto"/>
              <w:jc w:val="both"/>
              <w:rPr>
                <w:rFonts w:ascii="Book Antiqua" w:hAnsi="Book Antiqua"/>
                <w:color w:val="000000" w:themeColor="text1"/>
                <w:sz w:val="20"/>
                <w:szCs w:val="20"/>
              </w:rPr>
            </w:pPr>
            <w:r w:rsidRPr="00A575CA">
              <w:rPr>
                <w:rFonts w:ascii="Book Antiqua" w:hAnsi="Book Antiqua"/>
                <w:color w:val="000000" w:themeColor="text1"/>
                <w:sz w:val="20"/>
                <w:szCs w:val="20"/>
              </w:rPr>
              <w:t>El parámetro de producción semanal será entre dos y tres proyectos de resolución (Terminado, circulado y votado) por cada plaza de Jueza o Juez, lo cual equivale a 10 mensuales. Posterior a esto, el Consejo Superior en la Sesión 115-2020, artículo VI, ratificó la nueva propuesta de cuotas basadas en datos históricos (Goicoechea 8, San Ramón 8, Cartago 9 y Santa Cruz 10), hasta el que se realice el Rediseño de Procesos en cada una de estas oficinas.</w:t>
            </w:r>
          </w:p>
        </w:tc>
      </w:tr>
      <w:tr w:rsidR="00776798" w:rsidRPr="00A575CA" w14:paraId="1CC8E19E" w14:textId="77777777" w:rsidTr="00776798">
        <w:tc>
          <w:tcPr>
            <w:tcW w:w="1838" w:type="dxa"/>
          </w:tcPr>
          <w:p w14:paraId="2CB7C3E6" w14:textId="77777777" w:rsidR="00A575CA" w:rsidRDefault="00A575CA" w:rsidP="00985591">
            <w:pPr>
              <w:spacing w:line="276" w:lineRule="auto"/>
              <w:jc w:val="center"/>
              <w:rPr>
                <w:rFonts w:ascii="Book Antiqua" w:hAnsi="Book Antiqua"/>
                <w:color w:val="000000" w:themeColor="text1"/>
                <w:sz w:val="20"/>
                <w:szCs w:val="20"/>
              </w:rPr>
            </w:pPr>
          </w:p>
          <w:p w14:paraId="45C819E8" w14:textId="77777777" w:rsidR="00A575CA" w:rsidRDefault="00A575CA" w:rsidP="00985591">
            <w:pPr>
              <w:spacing w:line="276" w:lineRule="auto"/>
              <w:jc w:val="center"/>
              <w:rPr>
                <w:rFonts w:ascii="Book Antiqua" w:hAnsi="Book Antiqua"/>
                <w:color w:val="000000" w:themeColor="text1"/>
                <w:sz w:val="20"/>
                <w:szCs w:val="20"/>
              </w:rPr>
            </w:pPr>
          </w:p>
          <w:p w14:paraId="758C1D3D" w14:textId="20E329D2" w:rsidR="00776798" w:rsidRPr="00A575CA" w:rsidRDefault="00776798" w:rsidP="00985591">
            <w:pPr>
              <w:spacing w:line="276" w:lineRule="auto"/>
              <w:jc w:val="center"/>
              <w:rPr>
                <w:rFonts w:ascii="Book Antiqua" w:hAnsi="Book Antiqua"/>
                <w:color w:val="000000" w:themeColor="text1"/>
                <w:sz w:val="20"/>
                <w:szCs w:val="20"/>
              </w:rPr>
            </w:pPr>
            <w:r w:rsidRPr="00A575CA">
              <w:rPr>
                <w:rFonts w:ascii="Book Antiqua" w:hAnsi="Book Antiqua"/>
                <w:color w:val="000000" w:themeColor="text1"/>
                <w:sz w:val="20"/>
                <w:szCs w:val="20"/>
              </w:rPr>
              <w:t>Casación</w:t>
            </w:r>
          </w:p>
        </w:tc>
        <w:tc>
          <w:tcPr>
            <w:tcW w:w="3402" w:type="dxa"/>
          </w:tcPr>
          <w:p w14:paraId="601EE41C" w14:textId="77777777" w:rsidR="00A575CA" w:rsidRDefault="00A575CA" w:rsidP="00985591">
            <w:pPr>
              <w:spacing w:line="276" w:lineRule="auto"/>
              <w:jc w:val="center"/>
              <w:rPr>
                <w:rFonts w:ascii="Book Antiqua" w:hAnsi="Book Antiqua"/>
                <w:color w:val="000000" w:themeColor="text1"/>
                <w:sz w:val="20"/>
                <w:szCs w:val="20"/>
              </w:rPr>
            </w:pPr>
          </w:p>
          <w:p w14:paraId="5C64B033" w14:textId="77777777" w:rsidR="00A575CA" w:rsidRDefault="00A575CA" w:rsidP="00985591">
            <w:pPr>
              <w:spacing w:line="276" w:lineRule="auto"/>
              <w:jc w:val="center"/>
              <w:rPr>
                <w:rFonts w:ascii="Book Antiqua" w:hAnsi="Book Antiqua"/>
                <w:color w:val="000000" w:themeColor="text1"/>
                <w:sz w:val="20"/>
                <w:szCs w:val="20"/>
              </w:rPr>
            </w:pPr>
          </w:p>
          <w:p w14:paraId="1B4AA7E5" w14:textId="1C21EBED" w:rsidR="00776798" w:rsidRPr="00A575CA" w:rsidRDefault="00776798" w:rsidP="00985591">
            <w:pPr>
              <w:spacing w:line="276" w:lineRule="auto"/>
              <w:jc w:val="center"/>
              <w:rPr>
                <w:rFonts w:ascii="Book Antiqua" w:hAnsi="Book Antiqua"/>
                <w:color w:val="000000" w:themeColor="text1"/>
                <w:sz w:val="20"/>
                <w:szCs w:val="20"/>
              </w:rPr>
            </w:pPr>
            <w:r w:rsidRPr="00A575CA">
              <w:rPr>
                <w:rFonts w:ascii="Book Antiqua" w:hAnsi="Book Antiqua"/>
                <w:color w:val="000000" w:themeColor="text1"/>
                <w:sz w:val="20"/>
                <w:szCs w:val="20"/>
              </w:rPr>
              <w:t>Proyectos de resolución</w:t>
            </w:r>
          </w:p>
        </w:tc>
        <w:tc>
          <w:tcPr>
            <w:tcW w:w="3969" w:type="dxa"/>
          </w:tcPr>
          <w:p w14:paraId="1A17C40D" w14:textId="4DEB33BD" w:rsidR="00776798" w:rsidRPr="00A575CA" w:rsidRDefault="00776798" w:rsidP="00985591">
            <w:pPr>
              <w:pStyle w:val="Textosinformato"/>
              <w:spacing w:line="276" w:lineRule="auto"/>
              <w:jc w:val="both"/>
              <w:rPr>
                <w:rFonts w:ascii="Book Antiqua" w:hAnsi="Book Antiqua"/>
                <w:color w:val="000000" w:themeColor="text1"/>
                <w:sz w:val="20"/>
                <w:szCs w:val="20"/>
              </w:rPr>
            </w:pPr>
            <w:r w:rsidRPr="00A575CA">
              <w:rPr>
                <w:rFonts w:ascii="Book Antiqua" w:hAnsi="Book Antiqua"/>
                <w:color w:val="000000" w:themeColor="text1"/>
                <w:sz w:val="20"/>
                <w:szCs w:val="20"/>
              </w:rPr>
              <w:t xml:space="preserve">Seguirá brindando sus servicios ordinarios, </w:t>
            </w:r>
            <w:r w:rsidR="00C075F3" w:rsidRPr="00A575CA">
              <w:rPr>
                <w:rFonts w:ascii="Book Antiqua" w:hAnsi="Book Antiqua"/>
                <w:color w:val="000000" w:themeColor="text1"/>
                <w:sz w:val="20"/>
                <w:szCs w:val="20"/>
              </w:rPr>
              <w:t>los letrados</w:t>
            </w:r>
            <w:r w:rsidRPr="00A575CA">
              <w:rPr>
                <w:rFonts w:ascii="Book Antiqua" w:hAnsi="Book Antiqua"/>
                <w:color w:val="000000" w:themeColor="text1"/>
                <w:sz w:val="20"/>
                <w:szCs w:val="20"/>
              </w:rPr>
              <w:t xml:space="preserve"> tendrán un parámetro de producción de al menos dos proyectos por cada semana laboral, mientras se desarrolla el estudio de carga de trabajo de esa oficina.</w:t>
            </w:r>
          </w:p>
        </w:tc>
      </w:tr>
      <w:tr w:rsidR="00776798" w:rsidRPr="00A575CA" w14:paraId="282C40DE" w14:textId="77777777" w:rsidTr="00776798">
        <w:tc>
          <w:tcPr>
            <w:tcW w:w="1838" w:type="dxa"/>
          </w:tcPr>
          <w:p w14:paraId="1A8F7DBC" w14:textId="77777777" w:rsidR="00A575CA" w:rsidRDefault="00A575CA" w:rsidP="00985591">
            <w:pPr>
              <w:spacing w:line="276" w:lineRule="auto"/>
              <w:jc w:val="center"/>
              <w:rPr>
                <w:rFonts w:ascii="Book Antiqua" w:hAnsi="Book Antiqua"/>
                <w:color w:val="000000" w:themeColor="text1"/>
                <w:sz w:val="20"/>
                <w:szCs w:val="20"/>
              </w:rPr>
            </w:pPr>
          </w:p>
          <w:p w14:paraId="61843B65" w14:textId="1418E82B" w:rsidR="00776798" w:rsidRPr="00A575CA" w:rsidRDefault="00776798" w:rsidP="00985591">
            <w:pPr>
              <w:spacing w:line="276" w:lineRule="auto"/>
              <w:jc w:val="center"/>
              <w:rPr>
                <w:rFonts w:ascii="Book Antiqua" w:hAnsi="Book Antiqua"/>
                <w:color w:val="000000" w:themeColor="text1"/>
                <w:sz w:val="20"/>
                <w:szCs w:val="20"/>
              </w:rPr>
            </w:pPr>
            <w:r w:rsidRPr="00A575CA">
              <w:rPr>
                <w:rFonts w:ascii="Book Antiqua" w:hAnsi="Book Antiqua"/>
                <w:color w:val="000000" w:themeColor="text1"/>
                <w:sz w:val="20"/>
                <w:szCs w:val="20"/>
              </w:rPr>
              <w:t>Ejecución de la pena</w:t>
            </w:r>
          </w:p>
        </w:tc>
        <w:tc>
          <w:tcPr>
            <w:tcW w:w="3402" w:type="dxa"/>
          </w:tcPr>
          <w:p w14:paraId="3814E16D" w14:textId="77777777" w:rsidR="00A575CA" w:rsidRDefault="00A575CA" w:rsidP="00985591">
            <w:pPr>
              <w:spacing w:line="276" w:lineRule="auto"/>
              <w:jc w:val="center"/>
              <w:rPr>
                <w:rFonts w:ascii="Book Antiqua" w:hAnsi="Book Antiqua"/>
                <w:color w:val="000000" w:themeColor="text1"/>
                <w:sz w:val="20"/>
                <w:szCs w:val="20"/>
              </w:rPr>
            </w:pPr>
          </w:p>
          <w:p w14:paraId="28E77918" w14:textId="2896B119" w:rsidR="00776798" w:rsidRPr="00A575CA" w:rsidRDefault="00776798" w:rsidP="00985591">
            <w:pPr>
              <w:spacing w:line="276" w:lineRule="auto"/>
              <w:jc w:val="center"/>
              <w:rPr>
                <w:rFonts w:ascii="Book Antiqua" w:hAnsi="Book Antiqua"/>
                <w:color w:val="000000" w:themeColor="text1"/>
                <w:sz w:val="20"/>
                <w:szCs w:val="20"/>
              </w:rPr>
            </w:pPr>
            <w:r w:rsidRPr="00A575CA">
              <w:rPr>
                <w:rFonts w:ascii="Book Antiqua" w:hAnsi="Book Antiqua"/>
                <w:color w:val="000000" w:themeColor="text1"/>
                <w:sz w:val="20"/>
                <w:szCs w:val="20"/>
              </w:rPr>
              <w:t>Firma de resoluciones</w:t>
            </w:r>
            <w:r w:rsidR="00882CFC" w:rsidRPr="00A575CA">
              <w:rPr>
                <w:rFonts w:ascii="Book Antiqua" w:hAnsi="Book Antiqua"/>
                <w:color w:val="000000" w:themeColor="text1"/>
                <w:sz w:val="20"/>
                <w:szCs w:val="20"/>
              </w:rPr>
              <w:t xml:space="preserve"> (expedientes)</w:t>
            </w:r>
            <w:r w:rsidRPr="00A575CA">
              <w:rPr>
                <w:rFonts w:ascii="Book Antiqua" w:hAnsi="Book Antiqua"/>
                <w:color w:val="000000" w:themeColor="text1"/>
                <w:sz w:val="20"/>
                <w:szCs w:val="20"/>
              </w:rPr>
              <w:t xml:space="preserve"> y </w:t>
            </w:r>
            <w:r w:rsidR="004E1035" w:rsidRPr="00A575CA">
              <w:rPr>
                <w:rFonts w:ascii="Book Antiqua" w:hAnsi="Book Antiqua"/>
                <w:color w:val="000000" w:themeColor="text1"/>
                <w:sz w:val="20"/>
                <w:szCs w:val="20"/>
              </w:rPr>
              <w:t>Asuntos terminados</w:t>
            </w:r>
          </w:p>
        </w:tc>
        <w:tc>
          <w:tcPr>
            <w:tcW w:w="3969" w:type="dxa"/>
          </w:tcPr>
          <w:p w14:paraId="531D5AAB" w14:textId="0BADA0EC" w:rsidR="00776798" w:rsidRPr="00A575CA" w:rsidRDefault="00776798" w:rsidP="00985591">
            <w:pPr>
              <w:spacing w:line="276" w:lineRule="auto"/>
              <w:jc w:val="both"/>
              <w:rPr>
                <w:rFonts w:ascii="Book Antiqua" w:hAnsi="Book Antiqua"/>
                <w:color w:val="000000" w:themeColor="text1"/>
                <w:sz w:val="20"/>
                <w:szCs w:val="20"/>
              </w:rPr>
            </w:pPr>
            <w:r w:rsidRPr="00A575CA">
              <w:rPr>
                <w:rFonts w:ascii="Book Antiqua" w:hAnsi="Book Antiqua"/>
                <w:color w:val="000000" w:themeColor="text1"/>
                <w:sz w:val="20"/>
                <w:szCs w:val="20"/>
              </w:rPr>
              <w:t xml:space="preserve">Tendrán un parámetro diario de cuatro </w:t>
            </w:r>
            <w:r w:rsidR="004E1035" w:rsidRPr="00A575CA">
              <w:rPr>
                <w:rFonts w:ascii="Book Antiqua" w:hAnsi="Book Antiqua"/>
                <w:color w:val="000000" w:themeColor="text1"/>
                <w:sz w:val="20"/>
                <w:szCs w:val="20"/>
              </w:rPr>
              <w:t>asuntos terminados</w:t>
            </w:r>
            <w:r w:rsidRPr="00A575CA">
              <w:rPr>
                <w:rFonts w:ascii="Book Antiqua" w:hAnsi="Book Antiqua"/>
                <w:color w:val="000000" w:themeColor="text1"/>
                <w:sz w:val="20"/>
                <w:szCs w:val="20"/>
              </w:rPr>
              <w:t xml:space="preserve"> por cada plaza de judicatura y ocho proyectos diarios de resolución por cada plaza de Técnica o Técnico Judicial.</w:t>
            </w:r>
          </w:p>
        </w:tc>
      </w:tr>
    </w:tbl>
    <w:p w14:paraId="746A9DC1" w14:textId="77777777" w:rsidR="00776798" w:rsidRPr="004F0E92" w:rsidRDefault="00776798" w:rsidP="00985591">
      <w:pPr>
        <w:spacing w:line="276" w:lineRule="auto"/>
        <w:rPr>
          <w:rFonts w:ascii="Book Antiqua" w:hAnsi="Book Antiqua"/>
          <w:color w:val="000000" w:themeColor="text1"/>
        </w:rPr>
      </w:pPr>
    </w:p>
    <w:p w14:paraId="4A374463" w14:textId="5483EFBA" w:rsidR="00776798" w:rsidRPr="005F4AA6" w:rsidRDefault="67475969" w:rsidP="57A79FF7">
      <w:pPr>
        <w:spacing w:after="160" w:line="276" w:lineRule="auto"/>
        <w:contextualSpacing/>
        <w:outlineLvl w:val="1"/>
        <w:rPr>
          <w:b/>
          <w:color w:val="000000" w:themeColor="text1"/>
        </w:rPr>
      </w:pPr>
      <w:r w:rsidRPr="57A79FF7">
        <w:rPr>
          <w:rFonts w:ascii="Book Antiqua" w:hAnsi="Book Antiqua"/>
          <w:b/>
          <w:bCs/>
          <w:color w:val="000000" w:themeColor="text1"/>
        </w:rPr>
        <w:t xml:space="preserve">5.2.1 </w:t>
      </w:r>
      <w:r w:rsidR="00776798" w:rsidRPr="005F4AA6">
        <w:rPr>
          <w:rFonts w:ascii="Book Antiqua" w:hAnsi="Book Antiqua"/>
          <w:b/>
          <w:color w:val="000000" w:themeColor="text1"/>
        </w:rPr>
        <w:t>Juzgados Penales</w:t>
      </w:r>
    </w:p>
    <w:p w14:paraId="59CE5F15" w14:textId="0F35DACC" w:rsidR="002270B9" w:rsidRPr="005F4AA6" w:rsidRDefault="002270B9" w:rsidP="00985591">
      <w:pPr>
        <w:spacing w:line="276" w:lineRule="auto"/>
        <w:jc w:val="both"/>
        <w:rPr>
          <w:rFonts w:ascii="Book Antiqua" w:hAnsi="Book Antiqua"/>
          <w:color w:val="000000"/>
        </w:rPr>
      </w:pPr>
      <w:r w:rsidRPr="005F4AA6">
        <w:rPr>
          <w:rFonts w:ascii="Book Antiqua" w:hAnsi="Book Antiqua"/>
          <w:color w:val="000000"/>
        </w:rPr>
        <w:t xml:space="preserve">Los Juzgados Penales, tiene un promedio general a nivel nacional de cumplimiento de un 104% del parámetro de producción. Se observa que el juzgado con mayor cumplimiento es San Carlos (257%) y el de menor cumplimiento </w:t>
      </w:r>
      <w:r w:rsidR="00C84917">
        <w:rPr>
          <w:rFonts w:ascii="Book Antiqua" w:hAnsi="Book Antiqua"/>
          <w:color w:val="000000"/>
        </w:rPr>
        <w:t xml:space="preserve">es </w:t>
      </w:r>
      <w:r w:rsidRPr="005F4AA6">
        <w:rPr>
          <w:rFonts w:ascii="Book Antiqua" w:hAnsi="Book Antiqua"/>
          <w:color w:val="000000"/>
        </w:rPr>
        <w:t xml:space="preserve">Golfito (12%). </w:t>
      </w:r>
    </w:p>
    <w:p w14:paraId="14D693C4" w14:textId="77777777" w:rsidR="002270B9" w:rsidRPr="005F4AA6" w:rsidRDefault="002270B9" w:rsidP="00985591">
      <w:pPr>
        <w:spacing w:line="276" w:lineRule="auto"/>
        <w:jc w:val="both"/>
        <w:rPr>
          <w:rFonts w:ascii="Book Antiqua" w:hAnsi="Book Antiqua"/>
          <w:color w:val="000000" w:themeColor="text1"/>
        </w:rPr>
      </w:pPr>
    </w:p>
    <w:p w14:paraId="5CAD5FF3" w14:textId="3250C055" w:rsidR="00776798" w:rsidRDefault="00AF4656" w:rsidP="00985591">
      <w:pPr>
        <w:spacing w:line="276" w:lineRule="auto"/>
        <w:jc w:val="both"/>
        <w:rPr>
          <w:rFonts w:ascii="Book Antiqua" w:hAnsi="Book Antiqua"/>
          <w:color w:val="000000" w:themeColor="text1"/>
        </w:rPr>
      </w:pPr>
      <w:r w:rsidRPr="005F4AA6">
        <w:rPr>
          <w:rFonts w:ascii="Book Antiqua" w:hAnsi="Book Antiqua"/>
          <w:color w:val="000000" w:themeColor="text1"/>
        </w:rPr>
        <w:t>En el siguiente cuadro se aprecia el detalle:</w:t>
      </w:r>
    </w:p>
    <w:p w14:paraId="5EEF4196" w14:textId="10EE5662" w:rsidR="002270B9" w:rsidRDefault="002270B9" w:rsidP="00985591">
      <w:pPr>
        <w:spacing w:line="276" w:lineRule="auto"/>
        <w:jc w:val="both"/>
        <w:rPr>
          <w:rFonts w:ascii="Book Antiqua" w:hAnsi="Book Antiqua"/>
          <w:color w:val="000000" w:themeColor="text1"/>
        </w:rPr>
      </w:pPr>
    </w:p>
    <w:p w14:paraId="13BD99D8" w14:textId="77777777" w:rsidR="00EF6E02" w:rsidRPr="00234090" w:rsidRDefault="00EF6E02" w:rsidP="00985591">
      <w:pPr>
        <w:spacing w:line="276" w:lineRule="auto"/>
        <w:jc w:val="both"/>
        <w:rPr>
          <w:rFonts w:ascii="Book Antiqua" w:hAnsi="Book Antiqua"/>
          <w:color w:val="000000" w:themeColor="text1"/>
        </w:rPr>
      </w:pPr>
    </w:p>
    <w:p w14:paraId="0246D249" w14:textId="16A4178A" w:rsidR="00776798" w:rsidRPr="00311370" w:rsidRDefault="00776798" w:rsidP="00985591">
      <w:pPr>
        <w:spacing w:line="276" w:lineRule="auto"/>
        <w:jc w:val="center"/>
        <w:rPr>
          <w:rFonts w:ascii="Book Antiqua" w:hAnsi="Book Antiqua"/>
          <w:b/>
          <w:color w:val="000000" w:themeColor="text1"/>
        </w:rPr>
      </w:pPr>
      <w:r w:rsidRPr="00311370">
        <w:rPr>
          <w:rFonts w:ascii="Book Antiqua" w:hAnsi="Book Antiqua"/>
          <w:b/>
          <w:color w:val="000000" w:themeColor="text1"/>
        </w:rPr>
        <w:t xml:space="preserve">Cuadro </w:t>
      </w:r>
      <w:r w:rsidR="005F4AA6">
        <w:rPr>
          <w:rFonts w:ascii="Book Antiqua" w:hAnsi="Book Antiqua"/>
          <w:b/>
          <w:color w:val="000000" w:themeColor="text1"/>
        </w:rPr>
        <w:t>4</w:t>
      </w:r>
      <w:r w:rsidR="006A710F">
        <w:rPr>
          <w:rFonts w:ascii="Book Antiqua" w:hAnsi="Book Antiqua"/>
          <w:b/>
          <w:color w:val="000000" w:themeColor="text1"/>
        </w:rPr>
        <w:t>4</w:t>
      </w:r>
    </w:p>
    <w:p w14:paraId="71FDE84C" w14:textId="77777777" w:rsidR="00776798" w:rsidRPr="00E54836" w:rsidRDefault="00776798" w:rsidP="00985591">
      <w:pPr>
        <w:spacing w:line="276" w:lineRule="auto"/>
        <w:jc w:val="center"/>
        <w:rPr>
          <w:rFonts w:ascii="Book Antiqua" w:hAnsi="Book Antiqua"/>
          <w:bCs/>
          <w:color w:val="000000" w:themeColor="text1"/>
        </w:rPr>
      </w:pPr>
      <w:r w:rsidRPr="00E54836">
        <w:rPr>
          <w:rFonts w:ascii="Book Antiqua" w:hAnsi="Book Antiqua"/>
          <w:bCs/>
          <w:color w:val="000000" w:themeColor="text1"/>
        </w:rPr>
        <w:t xml:space="preserve">Cumplimiento del parámetro de producción </w:t>
      </w:r>
    </w:p>
    <w:p w14:paraId="34C5AB24" w14:textId="2BABDF0A" w:rsidR="00776798" w:rsidRPr="00E54836" w:rsidRDefault="00776798" w:rsidP="00985591">
      <w:pPr>
        <w:spacing w:line="276" w:lineRule="auto"/>
        <w:jc w:val="center"/>
        <w:rPr>
          <w:rFonts w:ascii="Book Antiqua" w:hAnsi="Book Antiqua"/>
          <w:bCs/>
          <w:color w:val="000000" w:themeColor="text1"/>
        </w:rPr>
      </w:pPr>
      <w:r w:rsidRPr="00E54836">
        <w:rPr>
          <w:rFonts w:ascii="Book Antiqua" w:hAnsi="Book Antiqua"/>
          <w:bCs/>
          <w:color w:val="000000" w:themeColor="text1"/>
        </w:rPr>
        <w:t xml:space="preserve">teórico de Juzgados Penales </w:t>
      </w:r>
      <w:r w:rsidR="00EF6E02" w:rsidRPr="00E54836">
        <w:rPr>
          <w:rFonts w:ascii="Book Antiqua" w:hAnsi="Book Antiqua"/>
          <w:bCs/>
          <w:color w:val="000000" w:themeColor="text1"/>
        </w:rPr>
        <w:t xml:space="preserve">durante </w:t>
      </w:r>
      <w:r w:rsidR="00E27F7C" w:rsidRPr="00E54836">
        <w:rPr>
          <w:rFonts w:ascii="Book Antiqua" w:hAnsi="Book Antiqua"/>
          <w:bCs/>
          <w:color w:val="000000" w:themeColor="text1"/>
        </w:rPr>
        <w:t>junio</w:t>
      </w:r>
      <w:r w:rsidR="00EF6E02" w:rsidRPr="00E54836">
        <w:rPr>
          <w:rFonts w:ascii="Book Antiqua" w:hAnsi="Book Antiqua"/>
          <w:bCs/>
          <w:color w:val="000000" w:themeColor="text1"/>
        </w:rPr>
        <w:t xml:space="preserve"> de 2021</w:t>
      </w:r>
      <w:r w:rsidR="001D42A6" w:rsidRPr="00E54836">
        <w:rPr>
          <w:rFonts w:ascii="Book Antiqua" w:hAnsi="Book Antiqua"/>
          <w:bCs/>
          <w:color w:val="000000" w:themeColor="text1"/>
        </w:rPr>
        <w:t xml:space="preserve"> </w:t>
      </w:r>
    </w:p>
    <w:tbl>
      <w:tblPr>
        <w:tblW w:w="7112" w:type="dxa"/>
        <w:jc w:val="center"/>
        <w:tblCellMar>
          <w:left w:w="70" w:type="dxa"/>
          <w:right w:w="70" w:type="dxa"/>
        </w:tblCellMar>
        <w:tblLook w:val="04A0" w:firstRow="1" w:lastRow="0" w:firstColumn="1" w:lastColumn="0" w:noHBand="0" w:noVBand="1"/>
      </w:tblPr>
      <w:tblGrid>
        <w:gridCol w:w="5244"/>
        <w:gridCol w:w="1868"/>
      </w:tblGrid>
      <w:tr w:rsidR="006472D2" w:rsidRPr="00C84917" w14:paraId="79D314EF" w14:textId="77777777" w:rsidTr="00C84917">
        <w:trPr>
          <w:trHeight w:val="1270"/>
          <w:jc w:val="center"/>
        </w:trPr>
        <w:tc>
          <w:tcPr>
            <w:tcW w:w="5244" w:type="dxa"/>
            <w:tcBorders>
              <w:top w:val="single" w:sz="4" w:space="0" w:color="808080"/>
              <w:left w:val="single" w:sz="4" w:space="0" w:color="808080"/>
              <w:bottom w:val="single" w:sz="4" w:space="0" w:color="808080"/>
              <w:right w:val="single" w:sz="4" w:space="0" w:color="808080"/>
            </w:tcBorders>
            <w:shd w:val="clear" w:color="000000" w:fill="305496"/>
            <w:noWrap/>
            <w:vAlign w:val="center"/>
            <w:hideMark/>
          </w:tcPr>
          <w:p w14:paraId="797AEA28" w14:textId="77777777" w:rsidR="006472D2" w:rsidRPr="00C84917" w:rsidRDefault="006472D2" w:rsidP="006472D2">
            <w:pPr>
              <w:jc w:val="center"/>
              <w:rPr>
                <w:rFonts w:ascii="Book Antiqua" w:hAnsi="Book Antiqua" w:cs="Calibri"/>
                <w:b/>
                <w:bCs/>
                <w:color w:val="FFFFFF"/>
                <w:sz w:val="16"/>
                <w:szCs w:val="16"/>
                <w:lang w:eastAsia="es-CR"/>
              </w:rPr>
            </w:pPr>
            <w:r w:rsidRPr="00C84917">
              <w:rPr>
                <w:rFonts w:ascii="Book Antiqua" w:hAnsi="Book Antiqua" w:cs="Calibri"/>
                <w:b/>
                <w:bCs/>
                <w:color w:val="FFFFFF"/>
                <w:sz w:val="16"/>
                <w:szCs w:val="16"/>
                <w:lang w:eastAsia="es-CR"/>
              </w:rPr>
              <w:t>Oficina</w:t>
            </w:r>
          </w:p>
        </w:tc>
        <w:tc>
          <w:tcPr>
            <w:tcW w:w="1868" w:type="dxa"/>
            <w:tcBorders>
              <w:top w:val="single" w:sz="4" w:space="0" w:color="808080"/>
              <w:left w:val="nil"/>
              <w:bottom w:val="single" w:sz="4" w:space="0" w:color="808080"/>
              <w:right w:val="single" w:sz="4" w:space="0" w:color="808080"/>
            </w:tcBorders>
            <w:shd w:val="clear" w:color="000000" w:fill="305496"/>
            <w:vAlign w:val="center"/>
            <w:hideMark/>
          </w:tcPr>
          <w:p w14:paraId="7B76060D" w14:textId="5B07377A" w:rsidR="006472D2" w:rsidRPr="00C84917" w:rsidRDefault="006472D2" w:rsidP="006472D2">
            <w:pPr>
              <w:jc w:val="center"/>
              <w:rPr>
                <w:rFonts w:ascii="Book Antiqua" w:hAnsi="Book Antiqua" w:cs="Calibri"/>
                <w:b/>
                <w:bCs/>
                <w:color w:val="FFFFFF"/>
                <w:sz w:val="16"/>
                <w:szCs w:val="16"/>
                <w:lang w:eastAsia="es-CR"/>
              </w:rPr>
            </w:pPr>
            <w:r w:rsidRPr="00C84917">
              <w:rPr>
                <w:rFonts w:ascii="Book Antiqua" w:hAnsi="Book Antiqua" w:cs="Calibri"/>
                <w:b/>
                <w:bCs/>
                <w:color w:val="FFFFFF"/>
                <w:sz w:val="16"/>
                <w:szCs w:val="16"/>
                <w:lang w:eastAsia="es-CR"/>
              </w:rPr>
              <w:t>Porcentaje de cumplimiento / desestimación / sobreseimientos / acusación</w:t>
            </w:r>
          </w:p>
        </w:tc>
      </w:tr>
      <w:tr w:rsidR="006472D2" w:rsidRPr="00C84917" w14:paraId="46F4318C" w14:textId="77777777" w:rsidTr="00C84917">
        <w:trPr>
          <w:trHeight w:val="290"/>
          <w:jc w:val="center"/>
        </w:trPr>
        <w:tc>
          <w:tcPr>
            <w:tcW w:w="5244" w:type="dxa"/>
            <w:tcBorders>
              <w:top w:val="nil"/>
              <w:left w:val="single" w:sz="4" w:space="0" w:color="808080"/>
              <w:bottom w:val="single" w:sz="4" w:space="0" w:color="808080"/>
              <w:right w:val="single" w:sz="4" w:space="0" w:color="808080"/>
            </w:tcBorders>
            <w:shd w:val="clear" w:color="auto" w:fill="auto"/>
            <w:noWrap/>
            <w:vAlign w:val="bottom"/>
            <w:hideMark/>
          </w:tcPr>
          <w:p w14:paraId="31D70A8A" w14:textId="52C88809" w:rsidR="006472D2" w:rsidRPr="00C84917" w:rsidRDefault="006472D2" w:rsidP="006472D2">
            <w:pPr>
              <w:rPr>
                <w:rFonts w:ascii="Book Antiqua" w:hAnsi="Book Antiqua" w:cs="Calibri"/>
                <w:color w:val="000000"/>
                <w:sz w:val="16"/>
                <w:szCs w:val="16"/>
                <w:lang w:eastAsia="es-CR"/>
              </w:rPr>
            </w:pPr>
            <w:r w:rsidRPr="00C84917">
              <w:rPr>
                <w:rFonts w:ascii="Book Antiqua" w:hAnsi="Book Antiqua" w:cs="Calibri"/>
                <w:color w:val="000000"/>
                <w:sz w:val="16"/>
                <w:szCs w:val="16"/>
                <w:lang w:eastAsia="es-CR"/>
              </w:rPr>
              <w:t xml:space="preserve">Juzgado Penal del </w:t>
            </w:r>
            <w:r w:rsidR="00C84917" w:rsidRPr="00C84917">
              <w:rPr>
                <w:rFonts w:ascii="Book Antiqua" w:hAnsi="Book Antiqua" w:cs="Calibri"/>
                <w:color w:val="000000"/>
                <w:sz w:val="16"/>
                <w:szCs w:val="16"/>
                <w:lang w:eastAsia="es-CR"/>
              </w:rPr>
              <w:t>II</w:t>
            </w:r>
            <w:r w:rsidRPr="00C84917">
              <w:rPr>
                <w:rFonts w:ascii="Book Antiqua" w:hAnsi="Book Antiqua" w:cs="Calibri"/>
                <w:color w:val="000000"/>
                <w:sz w:val="16"/>
                <w:szCs w:val="16"/>
                <w:lang w:eastAsia="es-CR"/>
              </w:rPr>
              <w:t xml:space="preserve"> Circuito Judicial de Alajuela</w:t>
            </w:r>
          </w:p>
        </w:tc>
        <w:tc>
          <w:tcPr>
            <w:tcW w:w="1868" w:type="dxa"/>
            <w:tcBorders>
              <w:top w:val="nil"/>
              <w:left w:val="nil"/>
              <w:bottom w:val="single" w:sz="4" w:space="0" w:color="808080"/>
              <w:right w:val="single" w:sz="4" w:space="0" w:color="808080"/>
            </w:tcBorders>
            <w:shd w:val="clear" w:color="auto" w:fill="auto"/>
            <w:noWrap/>
            <w:vAlign w:val="bottom"/>
            <w:hideMark/>
          </w:tcPr>
          <w:p w14:paraId="21BC1166" w14:textId="77777777" w:rsidR="006472D2" w:rsidRPr="00C84917" w:rsidRDefault="006472D2" w:rsidP="006472D2">
            <w:pPr>
              <w:jc w:val="center"/>
              <w:rPr>
                <w:rFonts w:ascii="Book Antiqua" w:hAnsi="Book Antiqua" w:cs="Calibri"/>
                <w:color w:val="000000"/>
                <w:sz w:val="16"/>
                <w:szCs w:val="16"/>
                <w:lang w:eastAsia="es-CR"/>
              </w:rPr>
            </w:pPr>
            <w:r w:rsidRPr="00C84917">
              <w:rPr>
                <w:rFonts w:ascii="Book Antiqua" w:hAnsi="Book Antiqua" w:cs="Calibri"/>
                <w:color w:val="000000"/>
                <w:sz w:val="16"/>
                <w:szCs w:val="16"/>
                <w:lang w:eastAsia="es-CR"/>
              </w:rPr>
              <w:t>257 %</w:t>
            </w:r>
          </w:p>
        </w:tc>
      </w:tr>
      <w:tr w:rsidR="006472D2" w:rsidRPr="00C84917" w14:paraId="7561D0F3" w14:textId="77777777" w:rsidTr="00C84917">
        <w:trPr>
          <w:trHeight w:val="290"/>
          <w:jc w:val="center"/>
        </w:trPr>
        <w:tc>
          <w:tcPr>
            <w:tcW w:w="5244" w:type="dxa"/>
            <w:tcBorders>
              <w:top w:val="nil"/>
              <w:left w:val="single" w:sz="4" w:space="0" w:color="808080"/>
              <w:bottom w:val="single" w:sz="4" w:space="0" w:color="808080"/>
              <w:right w:val="single" w:sz="4" w:space="0" w:color="808080"/>
            </w:tcBorders>
            <w:shd w:val="clear" w:color="auto" w:fill="auto"/>
            <w:noWrap/>
            <w:vAlign w:val="bottom"/>
            <w:hideMark/>
          </w:tcPr>
          <w:p w14:paraId="211DAA3E" w14:textId="77777777" w:rsidR="006472D2" w:rsidRPr="00C84917" w:rsidRDefault="006472D2" w:rsidP="006472D2">
            <w:pPr>
              <w:rPr>
                <w:rFonts w:ascii="Book Antiqua" w:hAnsi="Book Antiqua" w:cs="Calibri"/>
                <w:color w:val="000000"/>
                <w:sz w:val="16"/>
                <w:szCs w:val="16"/>
                <w:lang w:eastAsia="es-CR"/>
              </w:rPr>
            </w:pPr>
            <w:r w:rsidRPr="00C84917">
              <w:rPr>
                <w:rFonts w:ascii="Book Antiqua" w:hAnsi="Book Antiqua" w:cs="Calibri"/>
                <w:color w:val="000000"/>
                <w:sz w:val="16"/>
                <w:szCs w:val="16"/>
                <w:lang w:eastAsia="es-CR"/>
              </w:rPr>
              <w:t>Juzgado Penal del I Circuito Judicial de La Zona Sur</w:t>
            </w:r>
          </w:p>
        </w:tc>
        <w:tc>
          <w:tcPr>
            <w:tcW w:w="1868" w:type="dxa"/>
            <w:tcBorders>
              <w:top w:val="nil"/>
              <w:left w:val="nil"/>
              <w:bottom w:val="single" w:sz="4" w:space="0" w:color="808080"/>
              <w:right w:val="single" w:sz="4" w:space="0" w:color="808080"/>
            </w:tcBorders>
            <w:shd w:val="clear" w:color="auto" w:fill="auto"/>
            <w:noWrap/>
            <w:vAlign w:val="bottom"/>
            <w:hideMark/>
          </w:tcPr>
          <w:p w14:paraId="0A18D2F6" w14:textId="77777777" w:rsidR="006472D2" w:rsidRPr="00C84917" w:rsidRDefault="006472D2" w:rsidP="006472D2">
            <w:pPr>
              <w:jc w:val="center"/>
              <w:rPr>
                <w:rFonts w:ascii="Book Antiqua" w:hAnsi="Book Antiqua" w:cs="Calibri"/>
                <w:color w:val="000000"/>
                <w:sz w:val="16"/>
                <w:szCs w:val="16"/>
                <w:lang w:eastAsia="es-CR"/>
              </w:rPr>
            </w:pPr>
            <w:r w:rsidRPr="00C84917">
              <w:rPr>
                <w:rFonts w:ascii="Book Antiqua" w:hAnsi="Book Antiqua" w:cs="Calibri"/>
                <w:color w:val="000000"/>
                <w:sz w:val="16"/>
                <w:szCs w:val="16"/>
                <w:lang w:eastAsia="es-CR"/>
              </w:rPr>
              <w:t>221 %</w:t>
            </w:r>
          </w:p>
        </w:tc>
      </w:tr>
      <w:tr w:rsidR="006472D2" w:rsidRPr="00C84917" w14:paraId="60C3A6CB" w14:textId="77777777" w:rsidTr="00C84917">
        <w:trPr>
          <w:trHeight w:val="290"/>
          <w:jc w:val="center"/>
        </w:trPr>
        <w:tc>
          <w:tcPr>
            <w:tcW w:w="5244" w:type="dxa"/>
            <w:tcBorders>
              <w:top w:val="nil"/>
              <w:left w:val="single" w:sz="4" w:space="0" w:color="808080"/>
              <w:bottom w:val="single" w:sz="4" w:space="0" w:color="808080"/>
              <w:right w:val="single" w:sz="4" w:space="0" w:color="808080"/>
            </w:tcBorders>
            <w:shd w:val="clear" w:color="auto" w:fill="auto"/>
            <w:noWrap/>
            <w:vAlign w:val="bottom"/>
            <w:hideMark/>
          </w:tcPr>
          <w:p w14:paraId="4499F336" w14:textId="77777777" w:rsidR="006472D2" w:rsidRPr="00C84917" w:rsidRDefault="006472D2" w:rsidP="006472D2">
            <w:pPr>
              <w:rPr>
                <w:rFonts w:ascii="Book Antiqua" w:hAnsi="Book Antiqua" w:cs="Calibri"/>
                <w:color w:val="000000"/>
                <w:sz w:val="16"/>
                <w:szCs w:val="16"/>
                <w:lang w:eastAsia="es-CR"/>
              </w:rPr>
            </w:pPr>
            <w:r w:rsidRPr="00C84917">
              <w:rPr>
                <w:rFonts w:ascii="Book Antiqua" w:hAnsi="Book Antiqua" w:cs="Calibri"/>
                <w:color w:val="000000"/>
                <w:sz w:val="16"/>
                <w:szCs w:val="16"/>
                <w:lang w:eastAsia="es-CR"/>
              </w:rPr>
              <w:t xml:space="preserve">Juzgado Penal de Santa Cruz </w:t>
            </w:r>
          </w:p>
        </w:tc>
        <w:tc>
          <w:tcPr>
            <w:tcW w:w="1868" w:type="dxa"/>
            <w:tcBorders>
              <w:top w:val="nil"/>
              <w:left w:val="nil"/>
              <w:bottom w:val="single" w:sz="4" w:space="0" w:color="808080"/>
              <w:right w:val="single" w:sz="4" w:space="0" w:color="808080"/>
            </w:tcBorders>
            <w:shd w:val="clear" w:color="auto" w:fill="auto"/>
            <w:noWrap/>
            <w:vAlign w:val="bottom"/>
            <w:hideMark/>
          </w:tcPr>
          <w:p w14:paraId="61143F0C" w14:textId="77777777" w:rsidR="006472D2" w:rsidRPr="00C84917" w:rsidRDefault="006472D2" w:rsidP="006472D2">
            <w:pPr>
              <w:jc w:val="center"/>
              <w:rPr>
                <w:rFonts w:ascii="Book Antiqua" w:hAnsi="Book Antiqua" w:cs="Calibri"/>
                <w:color w:val="000000"/>
                <w:sz w:val="16"/>
                <w:szCs w:val="16"/>
                <w:lang w:eastAsia="es-CR"/>
              </w:rPr>
            </w:pPr>
            <w:r w:rsidRPr="00C84917">
              <w:rPr>
                <w:rFonts w:ascii="Book Antiqua" w:hAnsi="Book Antiqua" w:cs="Calibri"/>
                <w:color w:val="000000"/>
                <w:sz w:val="16"/>
                <w:szCs w:val="16"/>
                <w:lang w:eastAsia="es-CR"/>
              </w:rPr>
              <w:t>203 %</w:t>
            </w:r>
          </w:p>
        </w:tc>
      </w:tr>
      <w:tr w:rsidR="006472D2" w:rsidRPr="00C84917" w14:paraId="0CF781B1" w14:textId="77777777" w:rsidTr="00C84917">
        <w:trPr>
          <w:trHeight w:val="290"/>
          <w:jc w:val="center"/>
        </w:trPr>
        <w:tc>
          <w:tcPr>
            <w:tcW w:w="5244" w:type="dxa"/>
            <w:tcBorders>
              <w:top w:val="nil"/>
              <w:left w:val="single" w:sz="4" w:space="0" w:color="808080"/>
              <w:bottom w:val="single" w:sz="4" w:space="0" w:color="808080"/>
              <w:right w:val="single" w:sz="4" w:space="0" w:color="808080"/>
            </w:tcBorders>
            <w:shd w:val="clear" w:color="auto" w:fill="auto"/>
            <w:noWrap/>
            <w:vAlign w:val="bottom"/>
            <w:hideMark/>
          </w:tcPr>
          <w:p w14:paraId="4CE2A81D" w14:textId="77777777" w:rsidR="006472D2" w:rsidRPr="00C84917" w:rsidRDefault="006472D2" w:rsidP="006472D2">
            <w:pPr>
              <w:rPr>
                <w:rFonts w:ascii="Book Antiqua" w:hAnsi="Book Antiqua" w:cs="Calibri"/>
                <w:color w:val="000000"/>
                <w:sz w:val="16"/>
                <w:szCs w:val="16"/>
                <w:lang w:eastAsia="es-CR"/>
              </w:rPr>
            </w:pPr>
            <w:r w:rsidRPr="00C84917">
              <w:rPr>
                <w:rFonts w:ascii="Book Antiqua" w:hAnsi="Book Antiqua" w:cs="Calibri"/>
                <w:color w:val="000000"/>
                <w:sz w:val="16"/>
                <w:szCs w:val="16"/>
                <w:lang w:eastAsia="es-CR"/>
              </w:rPr>
              <w:t>Juzgado Penal de Upala</w:t>
            </w:r>
          </w:p>
        </w:tc>
        <w:tc>
          <w:tcPr>
            <w:tcW w:w="1868" w:type="dxa"/>
            <w:tcBorders>
              <w:top w:val="nil"/>
              <w:left w:val="nil"/>
              <w:bottom w:val="single" w:sz="4" w:space="0" w:color="808080"/>
              <w:right w:val="single" w:sz="4" w:space="0" w:color="808080"/>
            </w:tcBorders>
            <w:shd w:val="clear" w:color="auto" w:fill="auto"/>
            <w:noWrap/>
            <w:vAlign w:val="bottom"/>
            <w:hideMark/>
          </w:tcPr>
          <w:p w14:paraId="2E584FBB" w14:textId="77777777" w:rsidR="006472D2" w:rsidRPr="00C84917" w:rsidRDefault="006472D2" w:rsidP="006472D2">
            <w:pPr>
              <w:jc w:val="center"/>
              <w:rPr>
                <w:rFonts w:ascii="Book Antiqua" w:hAnsi="Book Antiqua" w:cs="Calibri"/>
                <w:color w:val="000000"/>
                <w:sz w:val="16"/>
                <w:szCs w:val="16"/>
                <w:lang w:eastAsia="es-CR"/>
              </w:rPr>
            </w:pPr>
            <w:r w:rsidRPr="00C84917">
              <w:rPr>
                <w:rFonts w:ascii="Book Antiqua" w:hAnsi="Book Antiqua" w:cs="Calibri"/>
                <w:color w:val="000000"/>
                <w:sz w:val="16"/>
                <w:szCs w:val="16"/>
                <w:lang w:eastAsia="es-CR"/>
              </w:rPr>
              <w:t>167 %</w:t>
            </w:r>
          </w:p>
        </w:tc>
      </w:tr>
      <w:tr w:rsidR="006472D2" w:rsidRPr="00C84917" w14:paraId="52E85B3C" w14:textId="77777777" w:rsidTr="00C84917">
        <w:trPr>
          <w:trHeight w:val="290"/>
          <w:jc w:val="center"/>
        </w:trPr>
        <w:tc>
          <w:tcPr>
            <w:tcW w:w="5244" w:type="dxa"/>
            <w:tcBorders>
              <w:top w:val="nil"/>
              <w:left w:val="single" w:sz="4" w:space="0" w:color="808080"/>
              <w:bottom w:val="single" w:sz="4" w:space="0" w:color="808080"/>
              <w:right w:val="single" w:sz="4" w:space="0" w:color="808080"/>
            </w:tcBorders>
            <w:shd w:val="clear" w:color="auto" w:fill="auto"/>
            <w:noWrap/>
            <w:vAlign w:val="bottom"/>
            <w:hideMark/>
          </w:tcPr>
          <w:p w14:paraId="0E372517" w14:textId="35527E71" w:rsidR="006472D2" w:rsidRPr="00C84917" w:rsidRDefault="006472D2" w:rsidP="006472D2">
            <w:pPr>
              <w:rPr>
                <w:rFonts w:ascii="Book Antiqua" w:hAnsi="Book Antiqua" w:cs="Calibri"/>
                <w:color w:val="000000"/>
                <w:sz w:val="16"/>
                <w:szCs w:val="16"/>
                <w:lang w:eastAsia="es-CR"/>
              </w:rPr>
            </w:pPr>
            <w:r w:rsidRPr="00C84917">
              <w:rPr>
                <w:rFonts w:ascii="Book Antiqua" w:hAnsi="Book Antiqua" w:cs="Calibri"/>
                <w:color w:val="000000"/>
                <w:sz w:val="16"/>
                <w:szCs w:val="16"/>
                <w:lang w:eastAsia="es-CR"/>
              </w:rPr>
              <w:t xml:space="preserve">Juzgado Penal </w:t>
            </w:r>
            <w:r w:rsidR="00C84917" w:rsidRPr="00C84917">
              <w:rPr>
                <w:rFonts w:ascii="Book Antiqua" w:hAnsi="Book Antiqua" w:cs="Calibri"/>
                <w:color w:val="000000"/>
                <w:sz w:val="16"/>
                <w:szCs w:val="16"/>
                <w:lang w:eastAsia="es-CR"/>
              </w:rPr>
              <w:t>III</w:t>
            </w:r>
            <w:r w:rsidRPr="00C84917">
              <w:rPr>
                <w:rFonts w:ascii="Book Antiqua" w:hAnsi="Book Antiqua" w:cs="Calibri"/>
                <w:color w:val="000000"/>
                <w:sz w:val="16"/>
                <w:szCs w:val="16"/>
                <w:lang w:eastAsia="es-CR"/>
              </w:rPr>
              <w:t xml:space="preserve"> Circuito Judicial de Alajuela </w:t>
            </w:r>
          </w:p>
        </w:tc>
        <w:tc>
          <w:tcPr>
            <w:tcW w:w="1868" w:type="dxa"/>
            <w:tcBorders>
              <w:top w:val="nil"/>
              <w:left w:val="nil"/>
              <w:bottom w:val="single" w:sz="4" w:space="0" w:color="808080"/>
              <w:right w:val="single" w:sz="4" w:space="0" w:color="808080"/>
            </w:tcBorders>
            <w:shd w:val="clear" w:color="auto" w:fill="auto"/>
            <w:noWrap/>
            <w:vAlign w:val="bottom"/>
            <w:hideMark/>
          </w:tcPr>
          <w:p w14:paraId="7496A943" w14:textId="77777777" w:rsidR="006472D2" w:rsidRPr="00C84917" w:rsidRDefault="006472D2" w:rsidP="006472D2">
            <w:pPr>
              <w:jc w:val="center"/>
              <w:rPr>
                <w:rFonts w:ascii="Book Antiqua" w:hAnsi="Book Antiqua" w:cs="Calibri"/>
                <w:color w:val="000000"/>
                <w:sz w:val="16"/>
                <w:szCs w:val="16"/>
                <w:lang w:eastAsia="es-CR"/>
              </w:rPr>
            </w:pPr>
            <w:r w:rsidRPr="00C84917">
              <w:rPr>
                <w:rFonts w:ascii="Book Antiqua" w:hAnsi="Book Antiqua" w:cs="Calibri"/>
                <w:color w:val="000000"/>
                <w:sz w:val="16"/>
                <w:szCs w:val="16"/>
                <w:lang w:eastAsia="es-CR"/>
              </w:rPr>
              <w:t>167 %</w:t>
            </w:r>
          </w:p>
        </w:tc>
      </w:tr>
      <w:tr w:rsidR="006472D2" w:rsidRPr="00C84917" w14:paraId="01A41A5F" w14:textId="77777777" w:rsidTr="00C84917">
        <w:trPr>
          <w:trHeight w:val="290"/>
          <w:jc w:val="center"/>
        </w:trPr>
        <w:tc>
          <w:tcPr>
            <w:tcW w:w="5244" w:type="dxa"/>
            <w:tcBorders>
              <w:top w:val="nil"/>
              <w:left w:val="single" w:sz="4" w:space="0" w:color="808080"/>
              <w:bottom w:val="single" w:sz="4" w:space="0" w:color="808080"/>
              <w:right w:val="single" w:sz="4" w:space="0" w:color="808080"/>
            </w:tcBorders>
            <w:shd w:val="clear" w:color="auto" w:fill="auto"/>
            <w:noWrap/>
            <w:vAlign w:val="bottom"/>
            <w:hideMark/>
          </w:tcPr>
          <w:p w14:paraId="3700FC37" w14:textId="77777777" w:rsidR="006472D2" w:rsidRPr="00C84917" w:rsidRDefault="006472D2" w:rsidP="006472D2">
            <w:pPr>
              <w:rPr>
                <w:rFonts w:ascii="Book Antiqua" w:hAnsi="Book Antiqua" w:cs="Calibri"/>
                <w:color w:val="000000"/>
                <w:sz w:val="16"/>
                <w:szCs w:val="16"/>
                <w:lang w:eastAsia="es-CR"/>
              </w:rPr>
            </w:pPr>
            <w:r w:rsidRPr="00C84917">
              <w:rPr>
                <w:rFonts w:ascii="Book Antiqua" w:hAnsi="Book Antiqua" w:cs="Calibri"/>
                <w:color w:val="000000"/>
                <w:sz w:val="16"/>
                <w:szCs w:val="16"/>
                <w:lang w:eastAsia="es-CR"/>
              </w:rPr>
              <w:t xml:space="preserve">Juzgado Penal de Garabito </w:t>
            </w:r>
          </w:p>
        </w:tc>
        <w:tc>
          <w:tcPr>
            <w:tcW w:w="1868" w:type="dxa"/>
            <w:tcBorders>
              <w:top w:val="nil"/>
              <w:left w:val="nil"/>
              <w:bottom w:val="single" w:sz="4" w:space="0" w:color="808080"/>
              <w:right w:val="single" w:sz="4" w:space="0" w:color="808080"/>
            </w:tcBorders>
            <w:shd w:val="clear" w:color="auto" w:fill="auto"/>
            <w:noWrap/>
            <w:vAlign w:val="bottom"/>
            <w:hideMark/>
          </w:tcPr>
          <w:p w14:paraId="3BD8A7A4" w14:textId="77777777" w:rsidR="006472D2" w:rsidRPr="00C84917" w:rsidRDefault="006472D2" w:rsidP="006472D2">
            <w:pPr>
              <w:jc w:val="center"/>
              <w:rPr>
                <w:rFonts w:ascii="Book Antiqua" w:hAnsi="Book Antiqua" w:cs="Calibri"/>
                <w:color w:val="000000"/>
                <w:sz w:val="16"/>
                <w:szCs w:val="16"/>
                <w:lang w:eastAsia="es-CR"/>
              </w:rPr>
            </w:pPr>
            <w:r w:rsidRPr="00C84917">
              <w:rPr>
                <w:rFonts w:ascii="Book Antiqua" w:hAnsi="Book Antiqua" w:cs="Calibri"/>
                <w:color w:val="000000"/>
                <w:sz w:val="16"/>
                <w:szCs w:val="16"/>
                <w:lang w:eastAsia="es-CR"/>
              </w:rPr>
              <w:t>164 %</w:t>
            </w:r>
          </w:p>
        </w:tc>
      </w:tr>
      <w:tr w:rsidR="006472D2" w:rsidRPr="00C84917" w14:paraId="0B667E78" w14:textId="77777777" w:rsidTr="00C84917">
        <w:trPr>
          <w:trHeight w:val="290"/>
          <w:jc w:val="center"/>
        </w:trPr>
        <w:tc>
          <w:tcPr>
            <w:tcW w:w="5244" w:type="dxa"/>
            <w:tcBorders>
              <w:top w:val="nil"/>
              <w:left w:val="single" w:sz="4" w:space="0" w:color="808080"/>
              <w:bottom w:val="single" w:sz="4" w:space="0" w:color="808080"/>
              <w:right w:val="single" w:sz="4" w:space="0" w:color="808080"/>
            </w:tcBorders>
            <w:shd w:val="clear" w:color="auto" w:fill="auto"/>
            <w:noWrap/>
            <w:vAlign w:val="bottom"/>
            <w:hideMark/>
          </w:tcPr>
          <w:p w14:paraId="0F944F2F" w14:textId="77777777" w:rsidR="006472D2" w:rsidRPr="00C84917" w:rsidRDefault="006472D2" w:rsidP="006472D2">
            <w:pPr>
              <w:rPr>
                <w:rFonts w:ascii="Book Antiqua" w:hAnsi="Book Antiqua" w:cs="Calibri"/>
                <w:color w:val="000000"/>
                <w:sz w:val="16"/>
                <w:szCs w:val="16"/>
                <w:lang w:eastAsia="es-CR"/>
              </w:rPr>
            </w:pPr>
            <w:r w:rsidRPr="00C84917">
              <w:rPr>
                <w:rFonts w:ascii="Book Antiqua" w:hAnsi="Book Antiqua" w:cs="Calibri"/>
                <w:color w:val="000000"/>
                <w:sz w:val="16"/>
                <w:szCs w:val="16"/>
                <w:lang w:eastAsia="es-CR"/>
              </w:rPr>
              <w:t>Juzgado Penal de Cartago</w:t>
            </w:r>
          </w:p>
        </w:tc>
        <w:tc>
          <w:tcPr>
            <w:tcW w:w="1868" w:type="dxa"/>
            <w:tcBorders>
              <w:top w:val="nil"/>
              <w:left w:val="nil"/>
              <w:bottom w:val="single" w:sz="4" w:space="0" w:color="808080"/>
              <w:right w:val="single" w:sz="4" w:space="0" w:color="808080"/>
            </w:tcBorders>
            <w:shd w:val="clear" w:color="auto" w:fill="auto"/>
            <w:noWrap/>
            <w:vAlign w:val="bottom"/>
            <w:hideMark/>
          </w:tcPr>
          <w:p w14:paraId="47AE790B" w14:textId="77777777" w:rsidR="006472D2" w:rsidRPr="00C84917" w:rsidRDefault="006472D2" w:rsidP="006472D2">
            <w:pPr>
              <w:jc w:val="center"/>
              <w:rPr>
                <w:rFonts w:ascii="Book Antiqua" w:hAnsi="Book Antiqua" w:cs="Calibri"/>
                <w:color w:val="000000"/>
                <w:sz w:val="16"/>
                <w:szCs w:val="16"/>
                <w:lang w:eastAsia="es-CR"/>
              </w:rPr>
            </w:pPr>
            <w:r w:rsidRPr="00C84917">
              <w:rPr>
                <w:rFonts w:ascii="Book Antiqua" w:hAnsi="Book Antiqua" w:cs="Calibri"/>
                <w:color w:val="000000"/>
                <w:sz w:val="16"/>
                <w:szCs w:val="16"/>
                <w:lang w:eastAsia="es-CR"/>
              </w:rPr>
              <w:t>161 %</w:t>
            </w:r>
          </w:p>
        </w:tc>
      </w:tr>
      <w:tr w:rsidR="006472D2" w:rsidRPr="00C84917" w14:paraId="1F81C0F8" w14:textId="77777777" w:rsidTr="00C84917">
        <w:trPr>
          <w:trHeight w:val="290"/>
          <w:jc w:val="center"/>
        </w:trPr>
        <w:tc>
          <w:tcPr>
            <w:tcW w:w="5244" w:type="dxa"/>
            <w:tcBorders>
              <w:top w:val="nil"/>
              <w:left w:val="single" w:sz="4" w:space="0" w:color="808080"/>
              <w:bottom w:val="single" w:sz="4" w:space="0" w:color="808080"/>
              <w:right w:val="single" w:sz="4" w:space="0" w:color="808080"/>
            </w:tcBorders>
            <w:shd w:val="clear" w:color="auto" w:fill="auto"/>
            <w:noWrap/>
            <w:vAlign w:val="bottom"/>
            <w:hideMark/>
          </w:tcPr>
          <w:p w14:paraId="760E66C1" w14:textId="77777777" w:rsidR="006472D2" w:rsidRPr="00C84917" w:rsidRDefault="006472D2" w:rsidP="006472D2">
            <w:pPr>
              <w:rPr>
                <w:rFonts w:ascii="Book Antiqua" w:hAnsi="Book Antiqua" w:cs="Calibri"/>
                <w:color w:val="000000"/>
                <w:sz w:val="16"/>
                <w:szCs w:val="16"/>
                <w:lang w:eastAsia="es-CR"/>
              </w:rPr>
            </w:pPr>
            <w:r w:rsidRPr="00C84917">
              <w:rPr>
                <w:rFonts w:ascii="Book Antiqua" w:hAnsi="Book Antiqua" w:cs="Calibri"/>
                <w:color w:val="000000"/>
                <w:sz w:val="16"/>
                <w:szCs w:val="16"/>
                <w:lang w:eastAsia="es-CR"/>
              </w:rPr>
              <w:t xml:space="preserve">Juzgado Penal de Cañas </w:t>
            </w:r>
          </w:p>
        </w:tc>
        <w:tc>
          <w:tcPr>
            <w:tcW w:w="1868" w:type="dxa"/>
            <w:tcBorders>
              <w:top w:val="nil"/>
              <w:left w:val="nil"/>
              <w:bottom w:val="single" w:sz="4" w:space="0" w:color="808080"/>
              <w:right w:val="single" w:sz="4" w:space="0" w:color="808080"/>
            </w:tcBorders>
            <w:shd w:val="clear" w:color="auto" w:fill="auto"/>
            <w:noWrap/>
            <w:vAlign w:val="bottom"/>
            <w:hideMark/>
          </w:tcPr>
          <w:p w14:paraId="2188FDEA" w14:textId="77777777" w:rsidR="006472D2" w:rsidRPr="00C84917" w:rsidRDefault="006472D2" w:rsidP="006472D2">
            <w:pPr>
              <w:jc w:val="center"/>
              <w:rPr>
                <w:rFonts w:ascii="Book Antiqua" w:hAnsi="Book Antiqua" w:cs="Calibri"/>
                <w:color w:val="000000"/>
                <w:sz w:val="16"/>
                <w:szCs w:val="16"/>
                <w:lang w:eastAsia="es-CR"/>
              </w:rPr>
            </w:pPr>
            <w:r w:rsidRPr="00C84917">
              <w:rPr>
                <w:rFonts w:ascii="Book Antiqua" w:hAnsi="Book Antiqua" w:cs="Calibri"/>
                <w:color w:val="000000"/>
                <w:sz w:val="16"/>
                <w:szCs w:val="16"/>
                <w:lang w:eastAsia="es-CR"/>
              </w:rPr>
              <w:t>147 %</w:t>
            </w:r>
          </w:p>
        </w:tc>
      </w:tr>
      <w:tr w:rsidR="006472D2" w:rsidRPr="00C84917" w14:paraId="69F3F3BD" w14:textId="77777777" w:rsidTr="00C84917">
        <w:trPr>
          <w:trHeight w:val="290"/>
          <w:jc w:val="center"/>
        </w:trPr>
        <w:tc>
          <w:tcPr>
            <w:tcW w:w="5244" w:type="dxa"/>
            <w:tcBorders>
              <w:top w:val="nil"/>
              <w:left w:val="single" w:sz="4" w:space="0" w:color="808080"/>
              <w:bottom w:val="single" w:sz="4" w:space="0" w:color="808080"/>
              <w:right w:val="single" w:sz="4" w:space="0" w:color="808080"/>
            </w:tcBorders>
            <w:shd w:val="clear" w:color="auto" w:fill="auto"/>
            <w:noWrap/>
            <w:vAlign w:val="bottom"/>
            <w:hideMark/>
          </w:tcPr>
          <w:p w14:paraId="4FD49E18" w14:textId="77777777" w:rsidR="006472D2" w:rsidRPr="00C84917" w:rsidRDefault="006472D2" w:rsidP="006472D2">
            <w:pPr>
              <w:rPr>
                <w:rFonts w:ascii="Book Antiqua" w:hAnsi="Book Antiqua" w:cs="Calibri"/>
                <w:color w:val="000000"/>
                <w:sz w:val="16"/>
                <w:szCs w:val="16"/>
                <w:lang w:eastAsia="es-CR"/>
              </w:rPr>
            </w:pPr>
            <w:r w:rsidRPr="00C84917">
              <w:rPr>
                <w:rFonts w:ascii="Book Antiqua" w:hAnsi="Book Antiqua" w:cs="Calibri"/>
                <w:color w:val="000000"/>
                <w:sz w:val="16"/>
                <w:szCs w:val="16"/>
                <w:lang w:eastAsia="es-CR"/>
              </w:rPr>
              <w:t>Juzgado Penal de Turrialba</w:t>
            </w:r>
          </w:p>
        </w:tc>
        <w:tc>
          <w:tcPr>
            <w:tcW w:w="1868" w:type="dxa"/>
            <w:tcBorders>
              <w:top w:val="nil"/>
              <w:left w:val="nil"/>
              <w:bottom w:val="single" w:sz="4" w:space="0" w:color="808080"/>
              <w:right w:val="single" w:sz="4" w:space="0" w:color="808080"/>
            </w:tcBorders>
            <w:shd w:val="clear" w:color="auto" w:fill="auto"/>
            <w:noWrap/>
            <w:vAlign w:val="bottom"/>
            <w:hideMark/>
          </w:tcPr>
          <w:p w14:paraId="2AC1DACF" w14:textId="77777777" w:rsidR="006472D2" w:rsidRPr="00C84917" w:rsidRDefault="006472D2" w:rsidP="006472D2">
            <w:pPr>
              <w:jc w:val="center"/>
              <w:rPr>
                <w:rFonts w:ascii="Book Antiqua" w:hAnsi="Book Antiqua" w:cs="Calibri"/>
                <w:color w:val="000000"/>
                <w:sz w:val="16"/>
                <w:szCs w:val="16"/>
                <w:lang w:eastAsia="es-CR"/>
              </w:rPr>
            </w:pPr>
            <w:r w:rsidRPr="00C84917">
              <w:rPr>
                <w:rFonts w:ascii="Book Antiqua" w:hAnsi="Book Antiqua" w:cs="Calibri"/>
                <w:color w:val="000000"/>
                <w:sz w:val="16"/>
                <w:szCs w:val="16"/>
                <w:lang w:eastAsia="es-CR"/>
              </w:rPr>
              <w:t>142 %</w:t>
            </w:r>
          </w:p>
        </w:tc>
      </w:tr>
      <w:tr w:rsidR="006472D2" w:rsidRPr="00C84917" w14:paraId="0EF0E184" w14:textId="77777777" w:rsidTr="00C84917">
        <w:trPr>
          <w:trHeight w:val="290"/>
          <w:jc w:val="center"/>
        </w:trPr>
        <w:tc>
          <w:tcPr>
            <w:tcW w:w="5244" w:type="dxa"/>
            <w:tcBorders>
              <w:top w:val="nil"/>
              <w:left w:val="single" w:sz="4" w:space="0" w:color="808080"/>
              <w:bottom w:val="single" w:sz="4" w:space="0" w:color="808080"/>
              <w:right w:val="single" w:sz="4" w:space="0" w:color="808080"/>
            </w:tcBorders>
            <w:shd w:val="clear" w:color="auto" w:fill="auto"/>
            <w:noWrap/>
            <w:vAlign w:val="bottom"/>
            <w:hideMark/>
          </w:tcPr>
          <w:p w14:paraId="4EDA90DF" w14:textId="25A9E774" w:rsidR="006472D2" w:rsidRPr="00C84917" w:rsidRDefault="006472D2" w:rsidP="006472D2">
            <w:pPr>
              <w:rPr>
                <w:rFonts w:ascii="Book Antiqua" w:hAnsi="Book Antiqua" w:cs="Calibri"/>
                <w:color w:val="000000"/>
                <w:sz w:val="16"/>
                <w:szCs w:val="16"/>
                <w:lang w:eastAsia="es-CR"/>
              </w:rPr>
            </w:pPr>
            <w:r w:rsidRPr="00C84917">
              <w:rPr>
                <w:rFonts w:ascii="Book Antiqua" w:hAnsi="Book Antiqua" w:cs="Calibri"/>
                <w:color w:val="000000"/>
                <w:sz w:val="16"/>
                <w:szCs w:val="16"/>
                <w:lang w:eastAsia="es-CR"/>
              </w:rPr>
              <w:t xml:space="preserve">Juzgado Penal del </w:t>
            </w:r>
            <w:r w:rsidR="00C84917" w:rsidRPr="00C84917">
              <w:rPr>
                <w:rFonts w:ascii="Book Antiqua" w:hAnsi="Book Antiqua" w:cs="Calibri"/>
                <w:color w:val="000000"/>
                <w:sz w:val="16"/>
                <w:szCs w:val="16"/>
                <w:lang w:eastAsia="es-CR"/>
              </w:rPr>
              <w:t>III</w:t>
            </w:r>
            <w:r w:rsidRPr="00C84917">
              <w:rPr>
                <w:rFonts w:ascii="Book Antiqua" w:hAnsi="Book Antiqua" w:cs="Calibri"/>
                <w:color w:val="000000"/>
                <w:sz w:val="16"/>
                <w:szCs w:val="16"/>
                <w:lang w:eastAsia="es-CR"/>
              </w:rPr>
              <w:t xml:space="preserve"> Circuito Judicial de San José</w:t>
            </w:r>
          </w:p>
        </w:tc>
        <w:tc>
          <w:tcPr>
            <w:tcW w:w="1868" w:type="dxa"/>
            <w:tcBorders>
              <w:top w:val="nil"/>
              <w:left w:val="nil"/>
              <w:bottom w:val="single" w:sz="4" w:space="0" w:color="808080"/>
              <w:right w:val="single" w:sz="4" w:space="0" w:color="808080"/>
            </w:tcBorders>
            <w:shd w:val="clear" w:color="auto" w:fill="auto"/>
            <w:noWrap/>
            <w:vAlign w:val="bottom"/>
            <w:hideMark/>
          </w:tcPr>
          <w:p w14:paraId="31F4947A" w14:textId="77777777" w:rsidR="006472D2" w:rsidRPr="00C84917" w:rsidRDefault="006472D2" w:rsidP="006472D2">
            <w:pPr>
              <w:jc w:val="center"/>
              <w:rPr>
                <w:rFonts w:ascii="Book Antiqua" w:hAnsi="Book Antiqua" w:cs="Calibri"/>
                <w:color w:val="000000"/>
                <w:sz w:val="16"/>
                <w:szCs w:val="16"/>
                <w:lang w:eastAsia="es-CR"/>
              </w:rPr>
            </w:pPr>
            <w:r w:rsidRPr="00C84917">
              <w:rPr>
                <w:rFonts w:ascii="Book Antiqua" w:hAnsi="Book Antiqua" w:cs="Calibri"/>
                <w:color w:val="000000"/>
                <w:sz w:val="16"/>
                <w:szCs w:val="16"/>
                <w:lang w:eastAsia="es-CR"/>
              </w:rPr>
              <w:t>141 %</w:t>
            </w:r>
          </w:p>
        </w:tc>
      </w:tr>
      <w:tr w:rsidR="006472D2" w:rsidRPr="00C84917" w14:paraId="280155D5" w14:textId="77777777" w:rsidTr="00C84917">
        <w:trPr>
          <w:trHeight w:val="290"/>
          <w:jc w:val="center"/>
        </w:trPr>
        <w:tc>
          <w:tcPr>
            <w:tcW w:w="5244" w:type="dxa"/>
            <w:tcBorders>
              <w:top w:val="nil"/>
              <w:left w:val="single" w:sz="4" w:space="0" w:color="808080"/>
              <w:bottom w:val="single" w:sz="4" w:space="0" w:color="808080"/>
              <w:right w:val="single" w:sz="4" w:space="0" w:color="808080"/>
            </w:tcBorders>
            <w:shd w:val="clear" w:color="auto" w:fill="auto"/>
            <w:noWrap/>
            <w:vAlign w:val="bottom"/>
            <w:hideMark/>
          </w:tcPr>
          <w:p w14:paraId="4A084C96" w14:textId="77777777" w:rsidR="006472D2" w:rsidRPr="00C84917" w:rsidRDefault="006472D2" w:rsidP="006472D2">
            <w:pPr>
              <w:rPr>
                <w:rFonts w:ascii="Book Antiqua" w:hAnsi="Book Antiqua" w:cs="Calibri"/>
                <w:color w:val="000000"/>
                <w:sz w:val="16"/>
                <w:szCs w:val="16"/>
                <w:lang w:eastAsia="es-CR"/>
              </w:rPr>
            </w:pPr>
            <w:r w:rsidRPr="00C84917">
              <w:rPr>
                <w:rFonts w:ascii="Book Antiqua" w:hAnsi="Book Antiqua" w:cs="Calibri"/>
                <w:color w:val="000000"/>
                <w:sz w:val="16"/>
                <w:szCs w:val="16"/>
                <w:lang w:eastAsia="es-CR"/>
              </w:rPr>
              <w:t xml:space="preserve">Juzgado Penal de Coto Brus </w:t>
            </w:r>
          </w:p>
        </w:tc>
        <w:tc>
          <w:tcPr>
            <w:tcW w:w="1868" w:type="dxa"/>
            <w:tcBorders>
              <w:top w:val="nil"/>
              <w:left w:val="nil"/>
              <w:bottom w:val="single" w:sz="4" w:space="0" w:color="808080"/>
              <w:right w:val="single" w:sz="4" w:space="0" w:color="808080"/>
            </w:tcBorders>
            <w:shd w:val="clear" w:color="auto" w:fill="auto"/>
            <w:noWrap/>
            <w:vAlign w:val="bottom"/>
            <w:hideMark/>
          </w:tcPr>
          <w:p w14:paraId="3B6EE2D8" w14:textId="77777777" w:rsidR="006472D2" w:rsidRPr="00C84917" w:rsidRDefault="006472D2" w:rsidP="006472D2">
            <w:pPr>
              <w:jc w:val="center"/>
              <w:rPr>
                <w:rFonts w:ascii="Book Antiqua" w:hAnsi="Book Antiqua" w:cs="Calibri"/>
                <w:color w:val="000000"/>
                <w:sz w:val="16"/>
                <w:szCs w:val="16"/>
                <w:lang w:eastAsia="es-CR"/>
              </w:rPr>
            </w:pPr>
            <w:r w:rsidRPr="00C84917">
              <w:rPr>
                <w:rFonts w:ascii="Book Antiqua" w:hAnsi="Book Antiqua" w:cs="Calibri"/>
                <w:color w:val="000000"/>
                <w:sz w:val="16"/>
                <w:szCs w:val="16"/>
                <w:lang w:eastAsia="es-CR"/>
              </w:rPr>
              <w:t>139 %</w:t>
            </w:r>
          </w:p>
        </w:tc>
      </w:tr>
      <w:tr w:rsidR="006472D2" w:rsidRPr="00C84917" w14:paraId="4CA148AC" w14:textId="77777777" w:rsidTr="00C84917">
        <w:trPr>
          <w:trHeight w:val="290"/>
          <w:jc w:val="center"/>
        </w:trPr>
        <w:tc>
          <w:tcPr>
            <w:tcW w:w="5244" w:type="dxa"/>
            <w:tcBorders>
              <w:top w:val="nil"/>
              <w:left w:val="single" w:sz="4" w:space="0" w:color="808080"/>
              <w:bottom w:val="single" w:sz="4" w:space="0" w:color="808080"/>
              <w:right w:val="single" w:sz="4" w:space="0" w:color="808080"/>
            </w:tcBorders>
            <w:shd w:val="clear" w:color="auto" w:fill="auto"/>
            <w:noWrap/>
            <w:vAlign w:val="bottom"/>
            <w:hideMark/>
          </w:tcPr>
          <w:p w14:paraId="56468C4B" w14:textId="77777777" w:rsidR="006472D2" w:rsidRPr="00C84917" w:rsidRDefault="006472D2" w:rsidP="006472D2">
            <w:pPr>
              <w:rPr>
                <w:rFonts w:ascii="Book Antiqua" w:hAnsi="Book Antiqua" w:cs="Calibri"/>
                <w:color w:val="000000"/>
                <w:sz w:val="16"/>
                <w:szCs w:val="16"/>
                <w:lang w:eastAsia="es-CR"/>
              </w:rPr>
            </w:pPr>
            <w:r w:rsidRPr="00C84917">
              <w:rPr>
                <w:rFonts w:ascii="Book Antiqua" w:hAnsi="Book Antiqua" w:cs="Calibri"/>
                <w:color w:val="000000"/>
                <w:sz w:val="16"/>
                <w:szCs w:val="16"/>
                <w:lang w:eastAsia="es-CR"/>
              </w:rPr>
              <w:t xml:space="preserve">Juzgado Penal de Talamanca </w:t>
            </w:r>
          </w:p>
        </w:tc>
        <w:tc>
          <w:tcPr>
            <w:tcW w:w="1868" w:type="dxa"/>
            <w:tcBorders>
              <w:top w:val="nil"/>
              <w:left w:val="nil"/>
              <w:bottom w:val="single" w:sz="4" w:space="0" w:color="808080"/>
              <w:right w:val="single" w:sz="4" w:space="0" w:color="808080"/>
            </w:tcBorders>
            <w:shd w:val="clear" w:color="auto" w:fill="auto"/>
            <w:noWrap/>
            <w:vAlign w:val="bottom"/>
            <w:hideMark/>
          </w:tcPr>
          <w:p w14:paraId="6B80F0C3" w14:textId="77777777" w:rsidR="006472D2" w:rsidRPr="00C84917" w:rsidRDefault="006472D2" w:rsidP="006472D2">
            <w:pPr>
              <w:jc w:val="center"/>
              <w:rPr>
                <w:rFonts w:ascii="Book Antiqua" w:hAnsi="Book Antiqua" w:cs="Calibri"/>
                <w:color w:val="000000"/>
                <w:sz w:val="16"/>
                <w:szCs w:val="16"/>
                <w:lang w:eastAsia="es-CR"/>
              </w:rPr>
            </w:pPr>
            <w:r w:rsidRPr="00C84917">
              <w:rPr>
                <w:rFonts w:ascii="Book Antiqua" w:hAnsi="Book Antiqua" w:cs="Calibri"/>
                <w:color w:val="000000"/>
                <w:sz w:val="16"/>
                <w:szCs w:val="16"/>
                <w:lang w:eastAsia="es-CR"/>
              </w:rPr>
              <w:t>133 %</w:t>
            </w:r>
          </w:p>
        </w:tc>
      </w:tr>
      <w:tr w:rsidR="006472D2" w:rsidRPr="00C84917" w14:paraId="64F4F31C" w14:textId="77777777" w:rsidTr="00C84917">
        <w:trPr>
          <w:trHeight w:val="290"/>
          <w:jc w:val="center"/>
        </w:trPr>
        <w:tc>
          <w:tcPr>
            <w:tcW w:w="5244" w:type="dxa"/>
            <w:tcBorders>
              <w:top w:val="nil"/>
              <w:left w:val="single" w:sz="4" w:space="0" w:color="808080"/>
              <w:bottom w:val="single" w:sz="4" w:space="0" w:color="808080"/>
              <w:right w:val="single" w:sz="4" w:space="0" w:color="808080"/>
            </w:tcBorders>
            <w:shd w:val="clear" w:color="auto" w:fill="auto"/>
            <w:noWrap/>
            <w:vAlign w:val="bottom"/>
            <w:hideMark/>
          </w:tcPr>
          <w:p w14:paraId="626DD49C" w14:textId="77777777" w:rsidR="006472D2" w:rsidRPr="00C84917" w:rsidRDefault="006472D2" w:rsidP="006472D2">
            <w:pPr>
              <w:rPr>
                <w:rFonts w:ascii="Book Antiqua" w:hAnsi="Book Antiqua" w:cs="Calibri"/>
                <w:color w:val="000000"/>
                <w:sz w:val="16"/>
                <w:szCs w:val="16"/>
                <w:lang w:eastAsia="es-CR"/>
              </w:rPr>
            </w:pPr>
            <w:r w:rsidRPr="00C84917">
              <w:rPr>
                <w:rFonts w:ascii="Book Antiqua" w:hAnsi="Book Antiqua" w:cs="Calibri"/>
                <w:color w:val="000000"/>
                <w:sz w:val="16"/>
                <w:szCs w:val="16"/>
                <w:lang w:eastAsia="es-CR"/>
              </w:rPr>
              <w:t>Juzgado Penal del I Circuito Judicial de Guanacaste</w:t>
            </w:r>
          </w:p>
        </w:tc>
        <w:tc>
          <w:tcPr>
            <w:tcW w:w="1868" w:type="dxa"/>
            <w:tcBorders>
              <w:top w:val="nil"/>
              <w:left w:val="nil"/>
              <w:bottom w:val="single" w:sz="4" w:space="0" w:color="808080"/>
              <w:right w:val="single" w:sz="4" w:space="0" w:color="808080"/>
            </w:tcBorders>
            <w:shd w:val="clear" w:color="auto" w:fill="auto"/>
            <w:noWrap/>
            <w:vAlign w:val="bottom"/>
            <w:hideMark/>
          </w:tcPr>
          <w:p w14:paraId="2A82549E" w14:textId="77777777" w:rsidR="006472D2" w:rsidRPr="00C84917" w:rsidRDefault="006472D2" w:rsidP="006472D2">
            <w:pPr>
              <w:jc w:val="center"/>
              <w:rPr>
                <w:rFonts w:ascii="Book Antiqua" w:hAnsi="Book Antiqua" w:cs="Calibri"/>
                <w:color w:val="000000"/>
                <w:sz w:val="16"/>
                <w:szCs w:val="16"/>
                <w:lang w:eastAsia="es-CR"/>
              </w:rPr>
            </w:pPr>
            <w:r w:rsidRPr="00C84917">
              <w:rPr>
                <w:rFonts w:ascii="Book Antiqua" w:hAnsi="Book Antiqua" w:cs="Calibri"/>
                <w:color w:val="000000"/>
                <w:sz w:val="16"/>
                <w:szCs w:val="16"/>
                <w:lang w:eastAsia="es-CR"/>
              </w:rPr>
              <w:t>132 %</w:t>
            </w:r>
          </w:p>
        </w:tc>
      </w:tr>
      <w:tr w:rsidR="006472D2" w:rsidRPr="00C84917" w14:paraId="39083A80" w14:textId="77777777" w:rsidTr="00C84917">
        <w:trPr>
          <w:trHeight w:val="290"/>
          <w:jc w:val="center"/>
        </w:trPr>
        <w:tc>
          <w:tcPr>
            <w:tcW w:w="5244" w:type="dxa"/>
            <w:tcBorders>
              <w:top w:val="nil"/>
              <w:left w:val="single" w:sz="4" w:space="0" w:color="808080"/>
              <w:bottom w:val="single" w:sz="4" w:space="0" w:color="808080"/>
              <w:right w:val="single" w:sz="4" w:space="0" w:color="808080"/>
            </w:tcBorders>
            <w:shd w:val="clear" w:color="auto" w:fill="auto"/>
            <w:noWrap/>
            <w:vAlign w:val="bottom"/>
            <w:hideMark/>
          </w:tcPr>
          <w:p w14:paraId="241F5E7A" w14:textId="77777777" w:rsidR="006472D2" w:rsidRPr="00C84917" w:rsidRDefault="006472D2" w:rsidP="006472D2">
            <w:pPr>
              <w:rPr>
                <w:rFonts w:ascii="Book Antiqua" w:hAnsi="Book Antiqua" w:cs="Calibri"/>
                <w:color w:val="000000"/>
                <w:sz w:val="16"/>
                <w:szCs w:val="16"/>
                <w:lang w:eastAsia="es-CR"/>
              </w:rPr>
            </w:pPr>
            <w:r w:rsidRPr="00C84917">
              <w:rPr>
                <w:rFonts w:ascii="Book Antiqua" w:hAnsi="Book Antiqua" w:cs="Calibri"/>
                <w:color w:val="000000"/>
                <w:sz w:val="16"/>
                <w:szCs w:val="16"/>
                <w:lang w:eastAsia="es-CR"/>
              </w:rPr>
              <w:t>Juzgado Penal de Quepos</w:t>
            </w:r>
          </w:p>
        </w:tc>
        <w:tc>
          <w:tcPr>
            <w:tcW w:w="1868" w:type="dxa"/>
            <w:tcBorders>
              <w:top w:val="nil"/>
              <w:left w:val="nil"/>
              <w:bottom w:val="single" w:sz="4" w:space="0" w:color="808080"/>
              <w:right w:val="single" w:sz="4" w:space="0" w:color="808080"/>
            </w:tcBorders>
            <w:shd w:val="clear" w:color="auto" w:fill="auto"/>
            <w:noWrap/>
            <w:vAlign w:val="bottom"/>
            <w:hideMark/>
          </w:tcPr>
          <w:p w14:paraId="627837F9" w14:textId="77777777" w:rsidR="006472D2" w:rsidRPr="00C84917" w:rsidRDefault="006472D2" w:rsidP="006472D2">
            <w:pPr>
              <w:jc w:val="center"/>
              <w:rPr>
                <w:rFonts w:ascii="Book Antiqua" w:hAnsi="Book Antiqua" w:cs="Calibri"/>
                <w:color w:val="000000"/>
                <w:sz w:val="16"/>
                <w:szCs w:val="16"/>
                <w:lang w:eastAsia="es-CR"/>
              </w:rPr>
            </w:pPr>
            <w:r w:rsidRPr="00C84917">
              <w:rPr>
                <w:rFonts w:ascii="Book Antiqua" w:hAnsi="Book Antiqua" w:cs="Calibri"/>
                <w:color w:val="000000"/>
                <w:sz w:val="16"/>
                <w:szCs w:val="16"/>
                <w:lang w:eastAsia="es-CR"/>
              </w:rPr>
              <w:t>123 %</w:t>
            </w:r>
          </w:p>
        </w:tc>
      </w:tr>
      <w:tr w:rsidR="006472D2" w:rsidRPr="00C84917" w14:paraId="4379FF78" w14:textId="77777777" w:rsidTr="00C84917">
        <w:trPr>
          <w:trHeight w:val="290"/>
          <w:jc w:val="center"/>
        </w:trPr>
        <w:tc>
          <w:tcPr>
            <w:tcW w:w="5244" w:type="dxa"/>
            <w:tcBorders>
              <w:top w:val="nil"/>
              <w:left w:val="single" w:sz="4" w:space="0" w:color="808080"/>
              <w:bottom w:val="single" w:sz="4" w:space="0" w:color="808080"/>
              <w:right w:val="single" w:sz="4" w:space="0" w:color="808080"/>
            </w:tcBorders>
            <w:shd w:val="clear" w:color="auto" w:fill="auto"/>
            <w:noWrap/>
            <w:vAlign w:val="bottom"/>
            <w:hideMark/>
          </w:tcPr>
          <w:p w14:paraId="0BB921AF" w14:textId="77777777" w:rsidR="006472D2" w:rsidRPr="00C84917" w:rsidRDefault="006472D2" w:rsidP="006472D2">
            <w:pPr>
              <w:rPr>
                <w:rFonts w:ascii="Book Antiqua" w:hAnsi="Book Antiqua" w:cs="Calibri"/>
                <w:color w:val="000000"/>
                <w:sz w:val="16"/>
                <w:szCs w:val="16"/>
                <w:lang w:eastAsia="es-CR"/>
              </w:rPr>
            </w:pPr>
            <w:r w:rsidRPr="00C84917">
              <w:rPr>
                <w:rFonts w:ascii="Book Antiqua" w:hAnsi="Book Antiqua" w:cs="Calibri"/>
                <w:color w:val="000000"/>
                <w:sz w:val="16"/>
                <w:szCs w:val="16"/>
                <w:lang w:eastAsia="es-CR"/>
              </w:rPr>
              <w:t>Juzgado Penal de Siquirres</w:t>
            </w:r>
          </w:p>
        </w:tc>
        <w:tc>
          <w:tcPr>
            <w:tcW w:w="1868" w:type="dxa"/>
            <w:tcBorders>
              <w:top w:val="nil"/>
              <w:left w:val="nil"/>
              <w:bottom w:val="single" w:sz="4" w:space="0" w:color="808080"/>
              <w:right w:val="single" w:sz="4" w:space="0" w:color="808080"/>
            </w:tcBorders>
            <w:shd w:val="clear" w:color="auto" w:fill="auto"/>
            <w:noWrap/>
            <w:vAlign w:val="bottom"/>
            <w:hideMark/>
          </w:tcPr>
          <w:p w14:paraId="584E009A" w14:textId="77777777" w:rsidR="006472D2" w:rsidRPr="00C84917" w:rsidRDefault="006472D2" w:rsidP="006472D2">
            <w:pPr>
              <w:jc w:val="center"/>
              <w:rPr>
                <w:rFonts w:ascii="Book Antiqua" w:hAnsi="Book Antiqua" w:cs="Calibri"/>
                <w:color w:val="000000"/>
                <w:sz w:val="16"/>
                <w:szCs w:val="16"/>
                <w:lang w:eastAsia="es-CR"/>
              </w:rPr>
            </w:pPr>
            <w:r w:rsidRPr="00C84917">
              <w:rPr>
                <w:rFonts w:ascii="Book Antiqua" w:hAnsi="Book Antiqua" w:cs="Calibri"/>
                <w:color w:val="000000"/>
                <w:sz w:val="16"/>
                <w:szCs w:val="16"/>
                <w:lang w:eastAsia="es-CR"/>
              </w:rPr>
              <w:t>112 %</w:t>
            </w:r>
          </w:p>
        </w:tc>
      </w:tr>
      <w:tr w:rsidR="006472D2" w:rsidRPr="00C84917" w14:paraId="5C58D861" w14:textId="77777777" w:rsidTr="00C84917">
        <w:trPr>
          <w:trHeight w:val="290"/>
          <w:jc w:val="center"/>
        </w:trPr>
        <w:tc>
          <w:tcPr>
            <w:tcW w:w="5244" w:type="dxa"/>
            <w:tcBorders>
              <w:top w:val="nil"/>
              <w:left w:val="single" w:sz="4" w:space="0" w:color="808080"/>
              <w:bottom w:val="single" w:sz="4" w:space="0" w:color="808080"/>
              <w:right w:val="single" w:sz="4" w:space="0" w:color="808080"/>
            </w:tcBorders>
            <w:shd w:val="clear" w:color="auto" w:fill="auto"/>
            <w:noWrap/>
            <w:vAlign w:val="bottom"/>
            <w:hideMark/>
          </w:tcPr>
          <w:p w14:paraId="3A4A6B2C" w14:textId="77777777" w:rsidR="006472D2" w:rsidRPr="00C84917" w:rsidRDefault="006472D2" w:rsidP="006472D2">
            <w:pPr>
              <w:rPr>
                <w:rFonts w:ascii="Book Antiqua" w:hAnsi="Book Antiqua" w:cs="Calibri"/>
                <w:color w:val="000000"/>
                <w:sz w:val="16"/>
                <w:szCs w:val="16"/>
                <w:lang w:eastAsia="es-CR"/>
              </w:rPr>
            </w:pPr>
            <w:r w:rsidRPr="00C84917">
              <w:rPr>
                <w:rFonts w:ascii="Book Antiqua" w:hAnsi="Book Antiqua" w:cs="Calibri"/>
                <w:color w:val="000000"/>
                <w:sz w:val="16"/>
                <w:szCs w:val="16"/>
                <w:lang w:eastAsia="es-CR"/>
              </w:rPr>
              <w:t xml:space="preserve">Juzgado Penal de Osa </w:t>
            </w:r>
          </w:p>
        </w:tc>
        <w:tc>
          <w:tcPr>
            <w:tcW w:w="1868" w:type="dxa"/>
            <w:tcBorders>
              <w:top w:val="nil"/>
              <w:left w:val="nil"/>
              <w:bottom w:val="single" w:sz="4" w:space="0" w:color="808080"/>
              <w:right w:val="single" w:sz="4" w:space="0" w:color="808080"/>
            </w:tcBorders>
            <w:shd w:val="clear" w:color="auto" w:fill="auto"/>
            <w:noWrap/>
            <w:vAlign w:val="bottom"/>
            <w:hideMark/>
          </w:tcPr>
          <w:p w14:paraId="53FE42E3" w14:textId="77777777" w:rsidR="006472D2" w:rsidRPr="00C84917" w:rsidRDefault="006472D2" w:rsidP="006472D2">
            <w:pPr>
              <w:jc w:val="center"/>
              <w:rPr>
                <w:rFonts w:ascii="Book Antiqua" w:hAnsi="Book Antiqua" w:cs="Calibri"/>
                <w:color w:val="000000"/>
                <w:sz w:val="16"/>
                <w:szCs w:val="16"/>
                <w:lang w:eastAsia="es-CR"/>
              </w:rPr>
            </w:pPr>
            <w:r w:rsidRPr="00C84917">
              <w:rPr>
                <w:rFonts w:ascii="Book Antiqua" w:hAnsi="Book Antiqua" w:cs="Calibri"/>
                <w:color w:val="000000"/>
                <w:sz w:val="16"/>
                <w:szCs w:val="16"/>
                <w:lang w:eastAsia="es-CR"/>
              </w:rPr>
              <w:t>110 %</w:t>
            </w:r>
          </w:p>
        </w:tc>
      </w:tr>
      <w:tr w:rsidR="006472D2" w:rsidRPr="00C84917" w14:paraId="007CB555" w14:textId="77777777" w:rsidTr="00C84917">
        <w:trPr>
          <w:trHeight w:val="290"/>
          <w:jc w:val="center"/>
        </w:trPr>
        <w:tc>
          <w:tcPr>
            <w:tcW w:w="5244" w:type="dxa"/>
            <w:tcBorders>
              <w:top w:val="nil"/>
              <w:left w:val="single" w:sz="4" w:space="0" w:color="808080"/>
              <w:bottom w:val="single" w:sz="4" w:space="0" w:color="808080"/>
              <w:right w:val="single" w:sz="4" w:space="0" w:color="808080"/>
            </w:tcBorders>
            <w:shd w:val="clear" w:color="auto" w:fill="auto"/>
            <w:noWrap/>
            <w:vAlign w:val="bottom"/>
            <w:hideMark/>
          </w:tcPr>
          <w:p w14:paraId="5771D9E1" w14:textId="77777777" w:rsidR="006472D2" w:rsidRPr="00C84917" w:rsidRDefault="006472D2" w:rsidP="006472D2">
            <w:pPr>
              <w:rPr>
                <w:rFonts w:ascii="Book Antiqua" w:hAnsi="Book Antiqua" w:cs="Calibri"/>
                <w:color w:val="000000"/>
                <w:sz w:val="16"/>
                <w:szCs w:val="16"/>
                <w:lang w:eastAsia="es-CR"/>
              </w:rPr>
            </w:pPr>
            <w:r w:rsidRPr="00C84917">
              <w:rPr>
                <w:rFonts w:ascii="Book Antiqua" w:hAnsi="Book Antiqua" w:cs="Calibri"/>
                <w:color w:val="000000"/>
                <w:sz w:val="16"/>
                <w:szCs w:val="16"/>
                <w:lang w:eastAsia="es-CR"/>
              </w:rPr>
              <w:t>Juzgado Penal del I Circuito Judicial de La Zona Atlántica</w:t>
            </w:r>
          </w:p>
        </w:tc>
        <w:tc>
          <w:tcPr>
            <w:tcW w:w="1868" w:type="dxa"/>
            <w:tcBorders>
              <w:top w:val="nil"/>
              <w:left w:val="nil"/>
              <w:bottom w:val="single" w:sz="4" w:space="0" w:color="808080"/>
              <w:right w:val="single" w:sz="4" w:space="0" w:color="808080"/>
            </w:tcBorders>
            <w:shd w:val="clear" w:color="auto" w:fill="auto"/>
            <w:noWrap/>
            <w:vAlign w:val="bottom"/>
            <w:hideMark/>
          </w:tcPr>
          <w:p w14:paraId="45C06202" w14:textId="77777777" w:rsidR="006472D2" w:rsidRPr="00C84917" w:rsidRDefault="006472D2" w:rsidP="006472D2">
            <w:pPr>
              <w:jc w:val="center"/>
              <w:rPr>
                <w:rFonts w:ascii="Book Antiqua" w:hAnsi="Book Antiqua" w:cs="Calibri"/>
                <w:color w:val="000000"/>
                <w:sz w:val="16"/>
                <w:szCs w:val="16"/>
                <w:lang w:eastAsia="es-CR"/>
              </w:rPr>
            </w:pPr>
            <w:r w:rsidRPr="00C84917">
              <w:rPr>
                <w:rFonts w:ascii="Book Antiqua" w:hAnsi="Book Antiqua" w:cs="Calibri"/>
                <w:color w:val="000000"/>
                <w:sz w:val="16"/>
                <w:szCs w:val="16"/>
                <w:lang w:eastAsia="es-CR"/>
              </w:rPr>
              <w:t>110 %</w:t>
            </w:r>
          </w:p>
        </w:tc>
      </w:tr>
      <w:tr w:rsidR="006472D2" w:rsidRPr="00C84917" w14:paraId="63DA537B" w14:textId="77777777" w:rsidTr="00C84917">
        <w:trPr>
          <w:trHeight w:val="290"/>
          <w:jc w:val="center"/>
        </w:trPr>
        <w:tc>
          <w:tcPr>
            <w:tcW w:w="5244" w:type="dxa"/>
            <w:tcBorders>
              <w:top w:val="nil"/>
              <w:left w:val="single" w:sz="4" w:space="0" w:color="808080"/>
              <w:bottom w:val="single" w:sz="4" w:space="0" w:color="808080"/>
              <w:right w:val="single" w:sz="4" w:space="0" w:color="808080"/>
            </w:tcBorders>
            <w:shd w:val="clear" w:color="auto" w:fill="auto"/>
            <w:noWrap/>
            <w:vAlign w:val="bottom"/>
            <w:hideMark/>
          </w:tcPr>
          <w:p w14:paraId="4B451FBF" w14:textId="409298CF" w:rsidR="006472D2" w:rsidRPr="00C84917" w:rsidRDefault="006472D2" w:rsidP="006472D2">
            <w:pPr>
              <w:rPr>
                <w:rFonts w:ascii="Book Antiqua" w:hAnsi="Book Antiqua" w:cs="Calibri"/>
                <w:color w:val="000000"/>
                <w:sz w:val="16"/>
                <w:szCs w:val="16"/>
                <w:lang w:eastAsia="es-CR"/>
              </w:rPr>
            </w:pPr>
            <w:r w:rsidRPr="00C84917">
              <w:rPr>
                <w:rFonts w:ascii="Book Antiqua" w:hAnsi="Book Antiqua" w:cs="Calibri"/>
                <w:color w:val="000000"/>
                <w:sz w:val="16"/>
                <w:szCs w:val="16"/>
                <w:lang w:eastAsia="es-CR"/>
              </w:rPr>
              <w:t xml:space="preserve">Juzgado Penal del </w:t>
            </w:r>
            <w:r w:rsidR="00C84917" w:rsidRPr="00C84917">
              <w:rPr>
                <w:rFonts w:ascii="Book Antiqua" w:hAnsi="Book Antiqua" w:cs="Calibri"/>
                <w:color w:val="000000"/>
                <w:sz w:val="16"/>
                <w:szCs w:val="16"/>
                <w:lang w:eastAsia="es-CR"/>
              </w:rPr>
              <w:t>II</w:t>
            </w:r>
            <w:r w:rsidRPr="00C84917">
              <w:rPr>
                <w:rFonts w:ascii="Book Antiqua" w:hAnsi="Book Antiqua" w:cs="Calibri"/>
                <w:color w:val="000000"/>
                <w:sz w:val="16"/>
                <w:szCs w:val="16"/>
                <w:lang w:eastAsia="es-CR"/>
              </w:rPr>
              <w:t xml:space="preserve"> Circuito Judicial Guanacaste </w:t>
            </w:r>
          </w:p>
        </w:tc>
        <w:tc>
          <w:tcPr>
            <w:tcW w:w="1868" w:type="dxa"/>
            <w:tcBorders>
              <w:top w:val="nil"/>
              <w:left w:val="nil"/>
              <w:bottom w:val="single" w:sz="4" w:space="0" w:color="808080"/>
              <w:right w:val="single" w:sz="4" w:space="0" w:color="808080"/>
            </w:tcBorders>
            <w:shd w:val="clear" w:color="auto" w:fill="auto"/>
            <w:noWrap/>
            <w:vAlign w:val="bottom"/>
            <w:hideMark/>
          </w:tcPr>
          <w:p w14:paraId="35DFC020" w14:textId="77777777" w:rsidR="006472D2" w:rsidRPr="00C84917" w:rsidRDefault="006472D2" w:rsidP="006472D2">
            <w:pPr>
              <w:jc w:val="center"/>
              <w:rPr>
                <w:rFonts w:ascii="Book Antiqua" w:hAnsi="Book Antiqua" w:cs="Calibri"/>
                <w:color w:val="000000"/>
                <w:sz w:val="16"/>
                <w:szCs w:val="16"/>
                <w:lang w:eastAsia="es-CR"/>
              </w:rPr>
            </w:pPr>
            <w:r w:rsidRPr="00C84917">
              <w:rPr>
                <w:rFonts w:ascii="Book Antiqua" w:hAnsi="Book Antiqua" w:cs="Calibri"/>
                <w:color w:val="000000"/>
                <w:sz w:val="16"/>
                <w:szCs w:val="16"/>
                <w:lang w:eastAsia="es-CR"/>
              </w:rPr>
              <w:t>105 %</w:t>
            </w:r>
          </w:p>
        </w:tc>
      </w:tr>
      <w:tr w:rsidR="006472D2" w:rsidRPr="00C84917" w14:paraId="063FFE44" w14:textId="77777777" w:rsidTr="00C84917">
        <w:trPr>
          <w:trHeight w:val="290"/>
          <w:jc w:val="center"/>
        </w:trPr>
        <w:tc>
          <w:tcPr>
            <w:tcW w:w="5244" w:type="dxa"/>
            <w:tcBorders>
              <w:top w:val="nil"/>
              <w:left w:val="single" w:sz="4" w:space="0" w:color="808080"/>
              <w:bottom w:val="single" w:sz="4" w:space="0" w:color="808080"/>
              <w:right w:val="single" w:sz="4" w:space="0" w:color="808080"/>
            </w:tcBorders>
            <w:shd w:val="clear" w:color="auto" w:fill="auto"/>
            <w:noWrap/>
            <w:vAlign w:val="bottom"/>
            <w:hideMark/>
          </w:tcPr>
          <w:p w14:paraId="49C176F1" w14:textId="77777777" w:rsidR="006472D2" w:rsidRPr="00C84917" w:rsidRDefault="006472D2" w:rsidP="006472D2">
            <w:pPr>
              <w:rPr>
                <w:rFonts w:ascii="Book Antiqua" w:hAnsi="Book Antiqua" w:cs="Calibri"/>
                <w:color w:val="000000"/>
                <w:sz w:val="16"/>
                <w:szCs w:val="16"/>
                <w:lang w:eastAsia="es-CR"/>
              </w:rPr>
            </w:pPr>
            <w:r w:rsidRPr="00C84917">
              <w:rPr>
                <w:rFonts w:ascii="Book Antiqua" w:hAnsi="Book Antiqua" w:cs="Calibri"/>
                <w:color w:val="000000"/>
                <w:sz w:val="16"/>
                <w:szCs w:val="16"/>
                <w:lang w:eastAsia="es-CR"/>
              </w:rPr>
              <w:t xml:space="preserve">Juzgado Penal de La Unión </w:t>
            </w:r>
          </w:p>
        </w:tc>
        <w:tc>
          <w:tcPr>
            <w:tcW w:w="1868" w:type="dxa"/>
            <w:tcBorders>
              <w:top w:val="nil"/>
              <w:left w:val="nil"/>
              <w:bottom w:val="single" w:sz="4" w:space="0" w:color="808080"/>
              <w:right w:val="single" w:sz="4" w:space="0" w:color="808080"/>
            </w:tcBorders>
            <w:shd w:val="clear" w:color="auto" w:fill="auto"/>
            <w:noWrap/>
            <w:vAlign w:val="bottom"/>
            <w:hideMark/>
          </w:tcPr>
          <w:p w14:paraId="1DFCCC8D" w14:textId="77777777" w:rsidR="006472D2" w:rsidRPr="00C84917" w:rsidRDefault="006472D2" w:rsidP="006472D2">
            <w:pPr>
              <w:jc w:val="center"/>
              <w:rPr>
                <w:rFonts w:ascii="Book Antiqua" w:hAnsi="Book Antiqua" w:cs="Calibri"/>
                <w:color w:val="000000"/>
                <w:sz w:val="16"/>
                <w:szCs w:val="16"/>
                <w:lang w:eastAsia="es-CR"/>
              </w:rPr>
            </w:pPr>
            <w:r w:rsidRPr="00C84917">
              <w:rPr>
                <w:rFonts w:ascii="Book Antiqua" w:hAnsi="Book Antiqua" w:cs="Calibri"/>
                <w:color w:val="000000"/>
                <w:sz w:val="16"/>
                <w:szCs w:val="16"/>
                <w:lang w:eastAsia="es-CR"/>
              </w:rPr>
              <w:t>105 %</w:t>
            </w:r>
          </w:p>
        </w:tc>
      </w:tr>
      <w:tr w:rsidR="006472D2" w:rsidRPr="00C84917" w14:paraId="05F67BCD" w14:textId="77777777" w:rsidTr="00C84917">
        <w:trPr>
          <w:trHeight w:val="290"/>
          <w:jc w:val="center"/>
        </w:trPr>
        <w:tc>
          <w:tcPr>
            <w:tcW w:w="5244" w:type="dxa"/>
            <w:tcBorders>
              <w:top w:val="nil"/>
              <w:left w:val="single" w:sz="4" w:space="0" w:color="808080"/>
              <w:bottom w:val="single" w:sz="4" w:space="0" w:color="808080"/>
              <w:right w:val="single" w:sz="4" w:space="0" w:color="808080"/>
            </w:tcBorders>
            <w:shd w:val="clear" w:color="auto" w:fill="auto"/>
            <w:noWrap/>
            <w:vAlign w:val="bottom"/>
            <w:hideMark/>
          </w:tcPr>
          <w:p w14:paraId="600A1D4A" w14:textId="77777777" w:rsidR="006472D2" w:rsidRPr="00C84917" w:rsidRDefault="006472D2" w:rsidP="006472D2">
            <w:pPr>
              <w:rPr>
                <w:rFonts w:ascii="Book Antiqua" w:hAnsi="Book Antiqua" w:cs="Calibri"/>
                <w:color w:val="000000"/>
                <w:sz w:val="16"/>
                <w:szCs w:val="16"/>
                <w:lang w:eastAsia="es-CR"/>
              </w:rPr>
            </w:pPr>
            <w:r w:rsidRPr="00C84917">
              <w:rPr>
                <w:rFonts w:ascii="Book Antiqua" w:hAnsi="Book Antiqua" w:cs="Calibri"/>
                <w:color w:val="000000"/>
                <w:sz w:val="16"/>
                <w:szCs w:val="16"/>
                <w:lang w:eastAsia="es-CR"/>
              </w:rPr>
              <w:t>Juzgado Penal de Batán</w:t>
            </w:r>
          </w:p>
        </w:tc>
        <w:tc>
          <w:tcPr>
            <w:tcW w:w="1868" w:type="dxa"/>
            <w:tcBorders>
              <w:top w:val="nil"/>
              <w:left w:val="nil"/>
              <w:bottom w:val="single" w:sz="4" w:space="0" w:color="808080"/>
              <w:right w:val="single" w:sz="4" w:space="0" w:color="808080"/>
            </w:tcBorders>
            <w:shd w:val="clear" w:color="auto" w:fill="auto"/>
            <w:noWrap/>
            <w:vAlign w:val="bottom"/>
            <w:hideMark/>
          </w:tcPr>
          <w:p w14:paraId="7F128EA0" w14:textId="77777777" w:rsidR="006472D2" w:rsidRPr="00C84917" w:rsidRDefault="006472D2" w:rsidP="006472D2">
            <w:pPr>
              <w:jc w:val="center"/>
              <w:rPr>
                <w:rFonts w:ascii="Book Antiqua" w:hAnsi="Book Antiqua" w:cs="Calibri"/>
                <w:color w:val="000000"/>
                <w:sz w:val="16"/>
                <w:szCs w:val="16"/>
                <w:lang w:eastAsia="es-CR"/>
              </w:rPr>
            </w:pPr>
            <w:r w:rsidRPr="00C84917">
              <w:rPr>
                <w:rFonts w:ascii="Book Antiqua" w:hAnsi="Book Antiqua" w:cs="Calibri"/>
                <w:color w:val="000000"/>
                <w:sz w:val="16"/>
                <w:szCs w:val="16"/>
                <w:lang w:eastAsia="es-CR"/>
              </w:rPr>
              <w:t>103 %</w:t>
            </w:r>
          </w:p>
        </w:tc>
      </w:tr>
      <w:tr w:rsidR="006472D2" w:rsidRPr="00C84917" w14:paraId="60943F92" w14:textId="77777777" w:rsidTr="00C84917">
        <w:trPr>
          <w:trHeight w:val="290"/>
          <w:jc w:val="center"/>
        </w:trPr>
        <w:tc>
          <w:tcPr>
            <w:tcW w:w="5244" w:type="dxa"/>
            <w:tcBorders>
              <w:top w:val="nil"/>
              <w:left w:val="single" w:sz="4" w:space="0" w:color="808080"/>
              <w:bottom w:val="single" w:sz="4" w:space="0" w:color="808080"/>
              <w:right w:val="single" w:sz="4" w:space="0" w:color="808080"/>
            </w:tcBorders>
            <w:shd w:val="clear" w:color="auto" w:fill="auto"/>
            <w:noWrap/>
            <w:vAlign w:val="bottom"/>
            <w:hideMark/>
          </w:tcPr>
          <w:p w14:paraId="5BF81BB2" w14:textId="77777777" w:rsidR="006472D2" w:rsidRPr="00C84917" w:rsidRDefault="006472D2" w:rsidP="006472D2">
            <w:pPr>
              <w:rPr>
                <w:rFonts w:ascii="Book Antiqua" w:hAnsi="Book Antiqua" w:cs="Calibri"/>
                <w:color w:val="000000"/>
                <w:sz w:val="16"/>
                <w:szCs w:val="16"/>
                <w:lang w:eastAsia="es-CR"/>
              </w:rPr>
            </w:pPr>
            <w:r w:rsidRPr="00C84917">
              <w:rPr>
                <w:rFonts w:ascii="Book Antiqua" w:hAnsi="Book Antiqua" w:cs="Calibri"/>
                <w:color w:val="000000"/>
                <w:sz w:val="16"/>
                <w:szCs w:val="16"/>
                <w:lang w:eastAsia="es-CR"/>
              </w:rPr>
              <w:t>Juzgado Penal de Puntarenas</w:t>
            </w:r>
          </w:p>
        </w:tc>
        <w:tc>
          <w:tcPr>
            <w:tcW w:w="1868" w:type="dxa"/>
            <w:tcBorders>
              <w:top w:val="nil"/>
              <w:left w:val="nil"/>
              <w:bottom w:val="single" w:sz="4" w:space="0" w:color="808080"/>
              <w:right w:val="single" w:sz="4" w:space="0" w:color="808080"/>
            </w:tcBorders>
            <w:shd w:val="clear" w:color="auto" w:fill="auto"/>
            <w:noWrap/>
            <w:vAlign w:val="bottom"/>
            <w:hideMark/>
          </w:tcPr>
          <w:p w14:paraId="584B6CA8" w14:textId="77777777" w:rsidR="006472D2" w:rsidRPr="00C84917" w:rsidRDefault="006472D2" w:rsidP="006472D2">
            <w:pPr>
              <w:jc w:val="center"/>
              <w:rPr>
                <w:rFonts w:ascii="Book Antiqua" w:hAnsi="Book Antiqua" w:cs="Calibri"/>
                <w:color w:val="000000"/>
                <w:sz w:val="16"/>
                <w:szCs w:val="16"/>
                <w:lang w:eastAsia="es-CR"/>
              </w:rPr>
            </w:pPr>
            <w:r w:rsidRPr="00C84917">
              <w:rPr>
                <w:rFonts w:ascii="Book Antiqua" w:hAnsi="Book Antiqua" w:cs="Calibri"/>
                <w:color w:val="000000"/>
                <w:sz w:val="16"/>
                <w:szCs w:val="16"/>
                <w:lang w:eastAsia="es-CR"/>
              </w:rPr>
              <w:t>103 %</w:t>
            </w:r>
          </w:p>
        </w:tc>
      </w:tr>
      <w:tr w:rsidR="006472D2" w:rsidRPr="00C84917" w14:paraId="0DFFF90A" w14:textId="77777777" w:rsidTr="00C84917">
        <w:trPr>
          <w:trHeight w:val="290"/>
          <w:jc w:val="center"/>
        </w:trPr>
        <w:tc>
          <w:tcPr>
            <w:tcW w:w="5244" w:type="dxa"/>
            <w:tcBorders>
              <w:top w:val="nil"/>
              <w:left w:val="single" w:sz="4" w:space="0" w:color="808080"/>
              <w:bottom w:val="single" w:sz="4" w:space="0" w:color="808080"/>
              <w:right w:val="single" w:sz="4" w:space="0" w:color="808080"/>
            </w:tcBorders>
            <w:shd w:val="clear" w:color="auto" w:fill="auto"/>
            <w:noWrap/>
            <w:vAlign w:val="bottom"/>
            <w:hideMark/>
          </w:tcPr>
          <w:p w14:paraId="3257BC60" w14:textId="77777777" w:rsidR="006472D2" w:rsidRPr="00C84917" w:rsidRDefault="006472D2" w:rsidP="006472D2">
            <w:pPr>
              <w:rPr>
                <w:rFonts w:ascii="Book Antiqua" w:hAnsi="Book Antiqua" w:cs="Calibri"/>
                <w:color w:val="000000"/>
                <w:sz w:val="16"/>
                <w:szCs w:val="16"/>
                <w:lang w:eastAsia="es-CR"/>
              </w:rPr>
            </w:pPr>
            <w:r w:rsidRPr="00C84917">
              <w:rPr>
                <w:rFonts w:ascii="Book Antiqua" w:hAnsi="Book Antiqua" w:cs="Calibri"/>
                <w:color w:val="000000"/>
                <w:sz w:val="16"/>
                <w:szCs w:val="16"/>
                <w:lang w:eastAsia="es-CR"/>
              </w:rPr>
              <w:t xml:space="preserve">Juzgado Penal de San Joaquín de Flores </w:t>
            </w:r>
          </w:p>
        </w:tc>
        <w:tc>
          <w:tcPr>
            <w:tcW w:w="1868" w:type="dxa"/>
            <w:tcBorders>
              <w:top w:val="nil"/>
              <w:left w:val="nil"/>
              <w:bottom w:val="single" w:sz="4" w:space="0" w:color="808080"/>
              <w:right w:val="single" w:sz="4" w:space="0" w:color="808080"/>
            </w:tcBorders>
            <w:shd w:val="clear" w:color="auto" w:fill="auto"/>
            <w:noWrap/>
            <w:vAlign w:val="bottom"/>
            <w:hideMark/>
          </w:tcPr>
          <w:p w14:paraId="6AE27DC6" w14:textId="77777777" w:rsidR="006472D2" w:rsidRPr="00C84917" w:rsidRDefault="006472D2" w:rsidP="006472D2">
            <w:pPr>
              <w:jc w:val="center"/>
              <w:rPr>
                <w:rFonts w:ascii="Book Antiqua" w:hAnsi="Book Antiqua" w:cs="Calibri"/>
                <w:color w:val="000000"/>
                <w:sz w:val="16"/>
                <w:szCs w:val="16"/>
                <w:lang w:eastAsia="es-CR"/>
              </w:rPr>
            </w:pPr>
            <w:r w:rsidRPr="00C84917">
              <w:rPr>
                <w:rFonts w:ascii="Book Antiqua" w:hAnsi="Book Antiqua" w:cs="Calibri"/>
                <w:color w:val="000000"/>
                <w:sz w:val="16"/>
                <w:szCs w:val="16"/>
                <w:lang w:eastAsia="es-CR"/>
              </w:rPr>
              <w:t>92 %</w:t>
            </w:r>
          </w:p>
        </w:tc>
      </w:tr>
      <w:tr w:rsidR="006472D2" w:rsidRPr="00C84917" w14:paraId="5AECB93A" w14:textId="77777777" w:rsidTr="00C84917">
        <w:trPr>
          <w:trHeight w:val="290"/>
          <w:jc w:val="center"/>
        </w:trPr>
        <w:tc>
          <w:tcPr>
            <w:tcW w:w="5244" w:type="dxa"/>
            <w:tcBorders>
              <w:top w:val="nil"/>
              <w:left w:val="single" w:sz="4" w:space="0" w:color="808080"/>
              <w:bottom w:val="single" w:sz="4" w:space="0" w:color="808080"/>
              <w:right w:val="single" w:sz="4" w:space="0" w:color="808080"/>
            </w:tcBorders>
            <w:shd w:val="clear" w:color="auto" w:fill="auto"/>
            <w:noWrap/>
            <w:vAlign w:val="bottom"/>
            <w:hideMark/>
          </w:tcPr>
          <w:p w14:paraId="30019B86" w14:textId="77777777" w:rsidR="006472D2" w:rsidRPr="00C84917" w:rsidRDefault="006472D2" w:rsidP="006472D2">
            <w:pPr>
              <w:rPr>
                <w:rFonts w:ascii="Book Antiqua" w:hAnsi="Book Antiqua" w:cs="Calibri"/>
                <w:color w:val="000000"/>
                <w:sz w:val="16"/>
                <w:szCs w:val="16"/>
                <w:lang w:eastAsia="es-CR"/>
              </w:rPr>
            </w:pPr>
            <w:r w:rsidRPr="00C84917">
              <w:rPr>
                <w:rFonts w:ascii="Book Antiqua" w:hAnsi="Book Antiqua" w:cs="Calibri"/>
                <w:color w:val="000000"/>
                <w:sz w:val="16"/>
                <w:szCs w:val="16"/>
                <w:lang w:eastAsia="es-CR"/>
              </w:rPr>
              <w:t xml:space="preserve">Juzgado Penal de Puriscal </w:t>
            </w:r>
          </w:p>
        </w:tc>
        <w:tc>
          <w:tcPr>
            <w:tcW w:w="1868" w:type="dxa"/>
            <w:tcBorders>
              <w:top w:val="nil"/>
              <w:left w:val="nil"/>
              <w:bottom w:val="single" w:sz="4" w:space="0" w:color="808080"/>
              <w:right w:val="single" w:sz="4" w:space="0" w:color="808080"/>
            </w:tcBorders>
            <w:shd w:val="clear" w:color="auto" w:fill="auto"/>
            <w:noWrap/>
            <w:vAlign w:val="bottom"/>
            <w:hideMark/>
          </w:tcPr>
          <w:p w14:paraId="48B82192" w14:textId="77777777" w:rsidR="006472D2" w:rsidRPr="00C84917" w:rsidRDefault="006472D2" w:rsidP="006472D2">
            <w:pPr>
              <w:jc w:val="center"/>
              <w:rPr>
                <w:rFonts w:ascii="Book Antiqua" w:hAnsi="Book Antiqua" w:cs="Calibri"/>
                <w:color w:val="000000"/>
                <w:sz w:val="16"/>
                <w:szCs w:val="16"/>
                <w:lang w:eastAsia="es-CR"/>
              </w:rPr>
            </w:pPr>
            <w:r w:rsidRPr="00C84917">
              <w:rPr>
                <w:rFonts w:ascii="Book Antiqua" w:hAnsi="Book Antiqua" w:cs="Calibri"/>
                <w:color w:val="000000"/>
                <w:sz w:val="16"/>
                <w:szCs w:val="16"/>
                <w:lang w:eastAsia="es-CR"/>
              </w:rPr>
              <w:t>91 %</w:t>
            </w:r>
          </w:p>
        </w:tc>
      </w:tr>
      <w:tr w:rsidR="006472D2" w:rsidRPr="00C84917" w14:paraId="62453EA5" w14:textId="77777777" w:rsidTr="00C84917">
        <w:trPr>
          <w:trHeight w:val="290"/>
          <w:jc w:val="center"/>
        </w:trPr>
        <w:tc>
          <w:tcPr>
            <w:tcW w:w="5244" w:type="dxa"/>
            <w:tcBorders>
              <w:top w:val="nil"/>
              <w:left w:val="single" w:sz="4" w:space="0" w:color="808080"/>
              <w:bottom w:val="single" w:sz="4" w:space="0" w:color="808080"/>
              <w:right w:val="single" w:sz="4" w:space="0" w:color="808080"/>
            </w:tcBorders>
            <w:shd w:val="clear" w:color="auto" w:fill="auto"/>
            <w:noWrap/>
            <w:vAlign w:val="bottom"/>
            <w:hideMark/>
          </w:tcPr>
          <w:p w14:paraId="468AC215" w14:textId="77777777" w:rsidR="006472D2" w:rsidRPr="00C84917" w:rsidRDefault="006472D2" w:rsidP="006472D2">
            <w:pPr>
              <w:rPr>
                <w:rFonts w:ascii="Book Antiqua" w:hAnsi="Book Antiqua" w:cs="Calibri"/>
                <w:color w:val="000000"/>
                <w:sz w:val="16"/>
                <w:szCs w:val="16"/>
                <w:lang w:eastAsia="es-CR"/>
              </w:rPr>
            </w:pPr>
            <w:r w:rsidRPr="00C84917">
              <w:rPr>
                <w:rFonts w:ascii="Book Antiqua" w:hAnsi="Book Antiqua" w:cs="Calibri"/>
                <w:color w:val="000000"/>
                <w:sz w:val="16"/>
                <w:szCs w:val="16"/>
                <w:lang w:eastAsia="es-CR"/>
              </w:rPr>
              <w:t xml:space="preserve">Juzgado Penal de Heredia </w:t>
            </w:r>
          </w:p>
        </w:tc>
        <w:tc>
          <w:tcPr>
            <w:tcW w:w="1868" w:type="dxa"/>
            <w:tcBorders>
              <w:top w:val="nil"/>
              <w:left w:val="nil"/>
              <w:bottom w:val="single" w:sz="4" w:space="0" w:color="808080"/>
              <w:right w:val="single" w:sz="4" w:space="0" w:color="808080"/>
            </w:tcBorders>
            <w:shd w:val="clear" w:color="auto" w:fill="auto"/>
            <w:noWrap/>
            <w:vAlign w:val="bottom"/>
            <w:hideMark/>
          </w:tcPr>
          <w:p w14:paraId="54447B91" w14:textId="77777777" w:rsidR="006472D2" w:rsidRPr="00C84917" w:rsidRDefault="006472D2" w:rsidP="006472D2">
            <w:pPr>
              <w:jc w:val="center"/>
              <w:rPr>
                <w:rFonts w:ascii="Book Antiqua" w:hAnsi="Book Antiqua" w:cs="Calibri"/>
                <w:color w:val="000000"/>
                <w:sz w:val="16"/>
                <w:szCs w:val="16"/>
                <w:lang w:eastAsia="es-CR"/>
              </w:rPr>
            </w:pPr>
            <w:r w:rsidRPr="00C84917">
              <w:rPr>
                <w:rFonts w:ascii="Book Antiqua" w:hAnsi="Book Antiqua" w:cs="Calibri"/>
                <w:color w:val="000000"/>
                <w:sz w:val="16"/>
                <w:szCs w:val="16"/>
                <w:lang w:eastAsia="es-CR"/>
              </w:rPr>
              <w:t>89 %</w:t>
            </w:r>
          </w:p>
        </w:tc>
      </w:tr>
      <w:tr w:rsidR="006472D2" w:rsidRPr="00C84917" w14:paraId="5DB24FFF" w14:textId="77777777" w:rsidTr="00C84917">
        <w:trPr>
          <w:trHeight w:val="290"/>
          <w:jc w:val="center"/>
        </w:trPr>
        <w:tc>
          <w:tcPr>
            <w:tcW w:w="5244" w:type="dxa"/>
            <w:tcBorders>
              <w:top w:val="nil"/>
              <w:left w:val="single" w:sz="4" w:space="0" w:color="808080"/>
              <w:bottom w:val="single" w:sz="4" w:space="0" w:color="808080"/>
              <w:right w:val="single" w:sz="4" w:space="0" w:color="808080"/>
            </w:tcBorders>
            <w:shd w:val="clear" w:color="auto" w:fill="auto"/>
            <w:noWrap/>
            <w:vAlign w:val="bottom"/>
            <w:hideMark/>
          </w:tcPr>
          <w:p w14:paraId="15811909" w14:textId="77777777" w:rsidR="006472D2" w:rsidRPr="00C84917" w:rsidRDefault="006472D2" w:rsidP="006472D2">
            <w:pPr>
              <w:rPr>
                <w:rFonts w:ascii="Book Antiqua" w:hAnsi="Book Antiqua" w:cs="Calibri"/>
                <w:color w:val="000000"/>
                <w:sz w:val="16"/>
                <w:szCs w:val="16"/>
                <w:lang w:eastAsia="es-CR"/>
              </w:rPr>
            </w:pPr>
            <w:r w:rsidRPr="00C84917">
              <w:rPr>
                <w:rFonts w:ascii="Book Antiqua" w:hAnsi="Book Antiqua" w:cs="Calibri"/>
                <w:color w:val="000000"/>
                <w:sz w:val="16"/>
                <w:szCs w:val="16"/>
                <w:lang w:eastAsia="es-CR"/>
              </w:rPr>
              <w:t>Juzgado Penal del I Circuito Judicial de Alajuela</w:t>
            </w:r>
          </w:p>
        </w:tc>
        <w:tc>
          <w:tcPr>
            <w:tcW w:w="1868" w:type="dxa"/>
            <w:tcBorders>
              <w:top w:val="nil"/>
              <w:left w:val="nil"/>
              <w:bottom w:val="single" w:sz="4" w:space="0" w:color="808080"/>
              <w:right w:val="single" w:sz="4" w:space="0" w:color="808080"/>
            </w:tcBorders>
            <w:shd w:val="clear" w:color="auto" w:fill="auto"/>
            <w:noWrap/>
            <w:vAlign w:val="bottom"/>
            <w:hideMark/>
          </w:tcPr>
          <w:p w14:paraId="14AA20A0" w14:textId="77777777" w:rsidR="006472D2" w:rsidRPr="00C84917" w:rsidRDefault="006472D2" w:rsidP="006472D2">
            <w:pPr>
              <w:jc w:val="center"/>
              <w:rPr>
                <w:rFonts w:ascii="Book Antiqua" w:hAnsi="Book Antiqua" w:cs="Calibri"/>
                <w:color w:val="000000"/>
                <w:sz w:val="16"/>
                <w:szCs w:val="16"/>
                <w:lang w:eastAsia="es-CR"/>
              </w:rPr>
            </w:pPr>
            <w:r w:rsidRPr="00C84917">
              <w:rPr>
                <w:rFonts w:ascii="Book Antiqua" w:hAnsi="Book Antiqua" w:cs="Calibri"/>
                <w:color w:val="000000"/>
                <w:sz w:val="16"/>
                <w:szCs w:val="16"/>
                <w:lang w:eastAsia="es-CR"/>
              </w:rPr>
              <w:t>85 %</w:t>
            </w:r>
          </w:p>
        </w:tc>
      </w:tr>
      <w:tr w:rsidR="006472D2" w:rsidRPr="00C84917" w14:paraId="0EC1161A" w14:textId="77777777" w:rsidTr="00C84917">
        <w:trPr>
          <w:trHeight w:val="290"/>
          <w:jc w:val="center"/>
        </w:trPr>
        <w:tc>
          <w:tcPr>
            <w:tcW w:w="5244" w:type="dxa"/>
            <w:tcBorders>
              <w:top w:val="nil"/>
              <w:left w:val="single" w:sz="4" w:space="0" w:color="808080"/>
              <w:bottom w:val="single" w:sz="4" w:space="0" w:color="808080"/>
              <w:right w:val="single" w:sz="4" w:space="0" w:color="808080"/>
            </w:tcBorders>
            <w:shd w:val="clear" w:color="auto" w:fill="auto"/>
            <w:noWrap/>
            <w:vAlign w:val="bottom"/>
            <w:hideMark/>
          </w:tcPr>
          <w:p w14:paraId="1CB3DA7B" w14:textId="77777777" w:rsidR="006472D2" w:rsidRPr="00C84917" w:rsidRDefault="006472D2" w:rsidP="006472D2">
            <w:pPr>
              <w:rPr>
                <w:rFonts w:ascii="Book Antiqua" w:hAnsi="Book Antiqua" w:cs="Calibri"/>
                <w:color w:val="000000"/>
                <w:sz w:val="16"/>
                <w:szCs w:val="16"/>
                <w:lang w:eastAsia="es-CR"/>
              </w:rPr>
            </w:pPr>
            <w:r w:rsidRPr="00C84917">
              <w:rPr>
                <w:rFonts w:ascii="Book Antiqua" w:hAnsi="Book Antiqua" w:cs="Calibri"/>
                <w:color w:val="000000"/>
                <w:sz w:val="16"/>
                <w:szCs w:val="16"/>
                <w:lang w:eastAsia="es-CR"/>
              </w:rPr>
              <w:t>Juzgado Penal de Sarapiquí</w:t>
            </w:r>
          </w:p>
        </w:tc>
        <w:tc>
          <w:tcPr>
            <w:tcW w:w="1868" w:type="dxa"/>
            <w:tcBorders>
              <w:top w:val="nil"/>
              <w:left w:val="nil"/>
              <w:bottom w:val="single" w:sz="4" w:space="0" w:color="808080"/>
              <w:right w:val="single" w:sz="4" w:space="0" w:color="808080"/>
            </w:tcBorders>
            <w:shd w:val="clear" w:color="auto" w:fill="auto"/>
            <w:noWrap/>
            <w:vAlign w:val="bottom"/>
            <w:hideMark/>
          </w:tcPr>
          <w:p w14:paraId="3AD1694A" w14:textId="77777777" w:rsidR="006472D2" w:rsidRPr="00C84917" w:rsidRDefault="006472D2" w:rsidP="006472D2">
            <w:pPr>
              <w:jc w:val="center"/>
              <w:rPr>
                <w:rFonts w:ascii="Book Antiqua" w:hAnsi="Book Antiqua" w:cs="Calibri"/>
                <w:color w:val="000000"/>
                <w:sz w:val="16"/>
                <w:szCs w:val="16"/>
                <w:lang w:eastAsia="es-CR"/>
              </w:rPr>
            </w:pPr>
            <w:r w:rsidRPr="00C84917">
              <w:rPr>
                <w:rFonts w:ascii="Book Antiqua" w:hAnsi="Book Antiqua" w:cs="Calibri"/>
                <w:color w:val="000000"/>
                <w:sz w:val="16"/>
                <w:szCs w:val="16"/>
                <w:lang w:eastAsia="es-CR"/>
              </w:rPr>
              <w:t>80 %</w:t>
            </w:r>
          </w:p>
        </w:tc>
      </w:tr>
      <w:tr w:rsidR="006472D2" w:rsidRPr="00C84917" w14:paraId="1CE3C13B" w14:textId="77777777" w:rsidTr="00C84917">
        <w:trPr>
          <w:trHeight w:val="290"/>
          <w:jc w:val="center"/>
        </w:trPr>
        <w:tc>
          <w:tcPr>
            <w:tcW w:w="5244" w:type="dxa"/>
            <w:tcBorders>
              <w:top w:val="nil"/>
              <w:left w:val="single" w:sz="4" w:space="0" w:color="808080"/>
              <w:bottom w:val="single" w:sz="4" w:space="0" w:color="808080"/>
              <w:right w:val="single" w:sz="4" w:space="0" w:color="808080"/>
            </w:tcBorders>
            <w:shd w:val="clear" w:color="auto" w:fill="auto"/>
            <w:noWrap/>
            <w:vAlign w:val="bottom"/>
            <w:hideMark/>
          </w:tcPr>
          <w:p w14:paraId="20798B3C" w14:textId="77777777" w:rsidR="006472D2" w:rsidRPr="00C84917" w:rsidRDefault="006472D2" w:rsidP="006472D2">
            <w:pPr>
              <w:rPr>
                <w:rFonts w:ascii="Book Antiqua" w:hAnsi="Book Antiqua" w:cs="Calibri"/>
                <w:color w:val="000000"/>
                <w:sz w:val="16"/>
                <w:szCs w:val="16"/>
                <w:lang w:eastAsia="es-CR"/>
              </w:rPr>
            </w:pPr>
            <w:r w:rsidRPr="00C84917">
              <w:rPr>
                <w:rFonts w:ascii="Book Antiqua" w:hAnsi="Book Antiqua" w:cs="Calibri"/>
                <w:color w:val="000000"/>
                <w:sz w:val="16"/>
                <w:szCs w:val="16"/>
                <w:lang w:eastAsia="es-CR"/>
              </w:rPr>
              <w:t>Juzgado Penal de Grecia</w:t>
            </w:r>
          </w:p>
        </w:tc>
        <w:tc>
          <w:tcPr>
            <w:tcW w:w="1868" w:type="dxa"/>
            <w:tcBorders>
              <w:top w:val="nil"/>
              <w:left w:val="nil"/>
              <w:bottom w:val="single" w:sz="4" w:space="0" w:color="808080"/>
              <w:right w:val="single" w:sz="4" w:space="0" w:color="808080"/>
            </w:tcBorders>
            <w:shd w:val="clear" w:color="auto" w:fill="auto"/>
            <w:noWrap/>
            <w:vAlign w:val="bottom"/>
            <w:hideMark/>
          </w:tcPr>
          <w:p w14:paraId="71DF4194" w14:textId="77777777" w:rsidR="006472D2" w:rsidRPr="00C84917" w:rsidRDefault="006472D2" w:rsidP="006472D2">
            <w:pPr>
              <w:jc w:val="center"/>
              <w:rPr>
                <w:rFonts w:ascii="Book Antiqua" w:hAnsi="Book Antiqua" w:cs="Calibri"/>
                <w:color w:val="000000"/>
                <w:sz w:val="16"/>
                <w:szCs w:val="16"/>
                <w:lang w:eastAsia="es-CR"/>
              </w:rPr>
            </w:pPr>
            <w:r w:rsidRPr="00C84917">
              <w:rPr>
                <w:rFonts w:ascii="Book Antiqua" w:hAnsi="Book Antiqua" w:cs="Calibri"/>
                <w:color w:val="000000"/>
                <w:sz w:val="16"/>
                <w:szCs w:val="16"/>
                <w:lang w:eastAsia="es-CR"/>
              </w:rPr>
              <w:t>78 %</w:t>
            </w:r>
          </w:p>
        </w:tc>
      </w:tr>
      <w:tr w:rsidR="006472D2" w:rsidRPr="00C84917" w14:paraId="091FA1FB" w14:textId="77777777" w:rsidTr="00C84917">
        <w:trPr>
          <w:trHeight w:val="290"/>
          <w:jc w:val="center"/>
        </w:trPr>
        <w:tc>
          <w:tcPr>
            <w:tcW w:w="5244" w:type="dxa"/>
            <w:tcBorders>
              <w:top w:val="nil"/>
              <w:left w:val="single" w:sz="4" w:space="0" w:color="808080"/>
              <w:bottom w:val="single" w:sz="4" w:space="0" w:color="808080"/>
              <w:right w:val="single" w:sz="4" w:space="0" w:color="808080"/>
            </w:tcBorders>
            <w:shd w:val="clear" w:color="auto" w:fill="auto"/>
            <w:noWrap/>
            <w:vAlign w:val="bottom"/>
            <w:hideMark/>
          </w:tcPr>
          <w:p w14:paraId="6878AEA7" w14:textId="77777777" w:rsidR="006472D2" w:rsidRPr="00C84917" w:rsidRDefault="006472D2" w:rsidP="006472D2">
            <w:pPr>
              <w:rPr>
                <w:rFonts w:ascii="Book Antiqua" w:hAnsi="Book Antiqua" w:cs="Calibri"/>
                <w:color w:val="000000"/>
                <w:sz w:val="16"/>
                <w:szCs w:val="16"/>
                <w:lang w:eastAsia="es-CR"/>
              </w:rPr>
            </w:pPr>
            <w:r w:rsidRPr="00C84917">
              <w:rPr>
                <w:rFonts w:ascii="Book Antiqua" w:hAnsi="Book Antiqua" w:cs="Calibri"/>
                <w:color w:val="000000"/>
                <w:sz w:val="16"/>
                <w:szCs w:val="16"/>
                <w:lang w:eastAsia="es-CR"/>
              </w:rPr>
              <w:t>Juzgado Penal del I Circuito Judicial de San José</w:t>
            </w:r>
          </w:p>
        </w:tc>
        <w:tc>
          <w:tcPr>
            <w:tcW w:w="1868" w:type="dxa"/>
            <w:tcBorders>
              <w:top w:val="nil"/>
              <w:left w:val="nil"/>
              <w:bottom w:val="single" w:sz="4" w:space="0" w:color="808080"/>
              <w:right w:val="single" w:sz="4" w:space="0" w:color="808080"/>
            </w:tcBorders>
            <w:shd w:val="clear" w:color="auto" w:fill="auto"/>
            <w:noWrap/>
            <w:vAlign w:val="bottom"/>
            <w:hideMark/>
          </w:tcPr>
          <w:p w14:paraId="78D11BAD" w14:textId="77777777" w:rsidR="006472D2" w:rsidRPr="00C84917" w:rsidRDefault="006472D2" w:rsidP="006472D2">
            <w:pPr>
              <w:jc w:val="center"/>
              <w:rPr>
                <w:rFonts w:ascii="Book Antiqua" w:hAnsi="Book Antiqua" w:cs="Calibri"/>
                <w:color w:val="000000"/>
                <w:sz w:val="16"/>
                <w:szCs w:val="16"/>
                <w:lang w:eastAsia="es-CR"/>
              </w:rPr>
            </w:pPr>
            <w:r w:rsidRPr="00C84917">
              <w:rPr>
                <w:rFonts w:ascii="Book Antiqua" w:hAnsi="Book Antiqua" w:cs="Calibri"/>
                <w:color w:val="000000"/>
                <w:sz w:val="16"/>
                <w:szCs w:val="16"/>
                <w:lang w:eastAsia="es-CR"/>
              </w:rPr>
              <w:t>73 %</w:t>
            </w:r>
          </w:p>
        </w:tc>
      </w:tr>
      <w:tr w:rsidR="006472D2" w:rsidRPr="00C84917" w14:paraId="5BF6732E" w14:textId="77777777" w:rsidTr="00C84917">
        <w:trPr>
          <w:trHeight w:val="290"/>
          <w:jc w:val="center"/>
        </w:trPr>
        <w:tc>
          <w:tcPr>
            <w:tcW w:w="5244" w:type="dxa"/>
            <w:tcBorders>
              <w:top w:val="nil"/>
              <w:left w:val="single" w:sz="4" w:space="0" w:color="808080"/>
              <w:bottom w:val="single" w:sz="4" w:space="0" w:color="808080"/>
              <w:right w:val="single" w:sz="4" w:space="0" w:color="808080"/>
            </w:tcBorders>
            <w:shd w:val="clear" w:color="auto" w:fill="auto"/>
            <w:noWrap/>
            <w:vAlign w:val="bottom"/>
            <w:hideMark/>
          </w:tcPr>
          <w:p w14:paraId="1D95BD7A" w14:textId="12051C07" w:rsidR="006472D2" w:rsidRPr="00C84917" w:rsidRDefault="006472D2" w:rsidP="006472D2">
            <w:pPr>
              <w:rPr>
                <w:rFonts w:ascii="Book Antiqua" w:hAnsi="Book Antiqua" w:cs="Calibri"/>
                <w:color w:val="000000"/>
                <w:sz w:val="16"/>
                <w:szCs w:val="16"/>
                <w:lang w:eastAsia="es-CR"/>
              </w:rPr>
            </w:pPr>
            <w:r w:rsidRPr="00C84917">
              <w:rPr>
                <w:rFonts w:ascii="Book Antiqua" w:hAnsi="Book Antiqua" w:cs="Calibri"/>
                <w:color w:val="000000"/>
                <w:sz w:val="16"/>
                <w:szCs w:val="16"/>
                <w:lang w:eastAsia="es-CR"/>
              </w:rPr>
              <w:t xml:space="preserve">Juzgado Penal del </w:t>
            </w:r>
            <w:r w:rsidR="00C84917" w:rsidRPr="00C84917">
              <w:rPr>
                <w:rFonts w:ascii="Book Antiqua" w:hAnsi="Book Antiqua" w:cs="Calibri"/>
                <w:color w:val="000000"/>
                <w:sz w:val="16"/>
                <w:szCs w:val="16"/>
                <w:lang w:eastAsia="es-CR"/>
              </w:rPr>
              <w:t>II</w:t>
            </w:r>
            <w:r w:rsidRPr="00C84917">
              <w:rPr>
                <w:rFonts w:ascii="Book Antiqua" w:hAnsi="Book Antiqua" w:cs="Calibri"/>
                <w:color w:val="000000"/>
                <w:sz w:val="16"/>
                <w:szCs w:val="16"/>
                <w:lang w:eastAsia="es-CR"/>
              </w:rPr>
              <w:t xml:space="preserve"> Circuito Judicial de Alajuela, Sede Los Chiles</w:t>
            </w:r>
          </w:p>
        </w:tc>
        <w:tc>
          <w:tcPr>
            <w:tcW w:w="1868" w:type="dxa"/>
            <w:tcBorders>
              <w:top w:val="nil"/>
              <w:left w:val="nil"/>
              <w:bottom w:val="single" w:sz="4" w:space="0" w:color="808080"/>
              <w:right w:val="single" w:sz="4" w:space="0" w:color="808080"/>
            </w:tcBorders>
            <w:shd w:val="clear" w:color="auto" w:fill="auto"/>
            <w:noWrap/>
            <w:vAlign w:val="bottom"/>
            <w:hideMark/>
          </w:tcPr>
          <w:p w14:paraId="1492BA01" w14:textId="77777777" w:rsidR="006472D2" w:rsidRPr="00C84917" w:rsidRDefault="006472D2" w:rsidP="006472D2">
            <w:pPr>
              <w:jc w:val="center"/>
              <w:rPr>
                <w:rFonts w:ascii="Book Antiqua" w:hAnsi="Book Antiqua" w:cs="Calibri"/>
                <w:color w:val="000000"/>
                <w:sz w:val="16"/>
                <w:szCs w:val="16"/>
                <w:lang w:eastAsia="es-CR"/>
              </w:rPr>
            </w:pPr>
            <w:r w:rsidRPr="00C84917">
              <w:rPr>
                <w:rFonts w:ascii="Book Antiqua" w:hAnsi="Book Antiqua" w:cs="Calibri"/>
                <w:color w:val="000000"/>
                <w:sz w:val="16"/>
                <w:szCs w:val="16"/>
                <w:lang w:eastAsia="es-CR"/>
              </w:rPr>
              <w:t>67 %</w:t>
            </w:r>
          </w:p>
        </w:tc>
      </w:tr>
      <w:tr w:rsidR="006472D2" w:rsidRPr="00C84917" w14:paraId="5FA902AB" w14:textId="77777777" w:rsidTr="00C84917">
        <w:trPr>
          <w:trHeight w:val="290"/>
          <w:jc w:val="center"/>
        </w:trPr>
        <w:tc>
          <w:tcPr>
            <w:tcW w:w="5244" w:type="dxa"/>
            <w:tcBorders>
              <w:top w:val="nil"/>
              <w:left w:val="single" w:sz="4" w:space="0" w:color="808080"/>
              <w:bottom w:val="single" w:sz="4" w:space="0" w:color="808080"/>
              <w:right w:val="single" w:sz="4" w:space="0" w:color="808080"/>
            </w:tcBorders>
            <w:shd w:val="clear" w:color="auto" w:fill="auto"/>
            <w:noWrap/>
            <w:vAlign w:val="bottom"/>
            <w:hideMark/>
          </w:tcPr>
          <w:p w14:paraId="18AD9C1B" w14:textId="4D296039" w:rsidR="006472D2" w:rsidRPr="00C84917" w:rsidRDefault="006472D2" w:rsidP="006472D2">
            <w:pPr>
              <w:rPr>
                <w:rFonts w:ascii="Book Antiqua" w:hAnsi="Book Antiqua" w:cs="Calibri"/>
                <w:color w:val="000000"/>
                <w:sz w:val="16"/>
                <w:szCs w:val="16"/>
                <w:lang w:eastAsia="es-CR"/>
              </w:rPr>
            </w:pPr>
            <w:r w:rsidRPr="00C84917">
              <w:rPr>
                <w:rFonts w:ascii="Book Antiqua" w:hAnsi="Book Antiqua" w:cs="Calibri"/>
                <w:color w:val="000000"/>
                <w:sz w:val="16"/>
                <w:szCs w:val="16"/>
                <w:lang w:eastAsia="es-CR"/>
              </w:rPr>
              <w:t xml:space="preserve">Juzgado Penal del </w:t>
            </w:r>
            <w:r w:rsidR="00C84917" w:rsidRPr="00C84917">
              <w:rPr>
                <w:rFonts w:ascii="Book Antiqua" w:hAnsi="Book Antiqua" w:cs="Calibri"/>
                <w:color w:val="000000"/>
                <w:sz w:val="16"/>
                <w:szCs w:val="16"/>
                <w:lang w:eastAsia="es-CR"/>
              </w:rPr>
              <w:t>II</w:t>
            </w:r>
            <w:r w:rsidRPr="00C84917">
              <w:rPr>
                <w:rFonts w:ascii="Book Antiqua" w:hAnsi="Book Antiqua" w:cs="Calibri"/>
                <w:color w:val="000000"/>
                <w:sz w:val="16"/>
                <w:szCs w:val="16"/>
                <w:lang w:eastAsia="es-CR"/>
              </w:rPr>
              <w:t xml:space="preserve"> Circuito Judicial de Alajuela, Sede La Fortuna</w:t>
            </w:r>
          </w:p>
        </w:tc>
        <w:tc>
          <w:tcPr>
            <w:tcW w:w="1868" w:type="dxa"/>
            <w:tcBorders>
              <w:top w:val="nil"/>
              <w:left w:val="nil"/>
              <w:bottom w:val="single" w:sz="4" w:space="0" w:color="808080"/>
              <w:right w:val="single" w:sz="4" w:space="0" w:color="808080"/>
            </w:tcBorders>
            <w:shd w:val="clear" w:color="auto" w:fill="auto"/>
            <w:noWrap/>
            <w:vAlign w:val="bottom"/>
            <w:hideMark/>
          </w:tcPr>
          <w:p w14:paraId="574A7CF7" w14:textId="77777777" w:rsidR="006472D2" w:rsidRPr="00C84917" w:rsidRDefault="006472D2" w:rsidP="006472D2">
            <w:pPr>
              <w:jc w:val="center"/>
              <w:rPr>
                <w:rFonts w:ascii="Book Antiqua" w:hAnsi="Book Antiqua" w:cs="Calibri"/>
                <w:color w:val="000000"/>
                <w:sz w:val="16"/>
                <w:szCs w:val="16"/>
                <w:lang w:eastAsia="es-CR"/>
              </w:rPr>
            </w:pPr>
            <w:r w:rsidRPr="00C84917">
              <w:rPr>
                <w:rFonts w:ascii="Book Antiqua" w:hAnsi="Book Antiqua" w:cs="Calibri"/>
                <w:color w:val="000000"/>
                <w:sz w:val="16"/>
                <w:szCs w:val="16"/>
                <w:lang w:eastAsia="es-CR"/>
              </w:rPr>
              <w:t>66 %</w:t>
            </w:r>
          </w:p>
        </w:tc>
      </w:tr>
      <w:tr w:rsidR="006472D2" w:rsidRPr="00C84917" w14:paraId="5726CF61" w14:textId="77777777" w:rsidTr="00C84917">
        <w:trPr>
          <w:trHeight w:val="290"/>
          <w:jc w:val="center"/>
        </w:trPr>
        <w:tc>
          <w:tcPr>
            <w:tcW w:w="5244" w:type="dxa"/>
            <w:tcBorders>
              <w:top w:val="nil"/>
              <w:left w:val="single" w:sz="4" w:space="0" w:color="808080"/>
              <w:bottom w:val="single" w:sz="4" w:space="0" w:color="808080"/>
              <w:right w:val="single" w:sz="4" w:space="0" w:color="808080"/>
            </w:tcBorders>
            <w:shd w:val="clear" w:color="auto" w:fill="auto"/>
            <w:noWrap/>
            <w:vAlign w:val="bottom"/>
            <w:hideMark/>
          </w:tcPr>
          <w:p w14:paraId="71D84C62" w14:textId="70BA94B5" w:rsidR="006472D2" w:rsidRPr="00C84917" w:rsidRDefault="006472D2" w:rsidP="006472D2">
            <w:pPr>
              <w:rPr>
                <w:rFonts w:ascii="Book Antiqua" w:hAnsi="Book Antiqua" w:cs="Calibri"/>
                <w:color w:val="000000"/>
                <w:sz w:val="16"/>
                <w:szCs w:val="16"/>
                <w:lang w:eastAsia="es-CR"/>
              </w:rPr>
            </w:pPr>
            <w:r w:rsidRPr="00C84917">
              <w:rPr>
                <w:rFonts w:ascii="Book Antiqua" w:hAnsi="Book Antiqua" w:cs="Calibri"/>
                <w:color w:val="000000"/>
                <w:sz w:val="16"/>
                <w:szCs w:val="16"/>
                <w:lang w:eastAsia="es-CR"/>
              </w:rPr>
              <w:t>Juzgado Penal del I Circuito Judicial de Alajuela, Sede Atenas</w:t>
            </w:r>
          </w:p>
        </w:tc>
        <w:tc>
          <w:tcPr>
            <w:tcW w:w="1868" w:type="dxa"/>
            <w:tcBorders>
              <w:top w:val="nil"/>
              <w:left w:val="nil"/>
              <w:bottom w:val="single" w:sz="4" w:space="0" w:color="808080"/>
              <w:right w:val="single" w:sz="4" w:space="0" w:color="808080"/>
            </w:tcBorders>
            <w:shd w:val="clear" w:color="auto" w:fill="auto"/>
            <w:noWrap/>
            <w:vAlign w:val="bottom"/>
            <w:hideMark/>
          </w:tcPr>
          <w:p w14:paraId="11F74BE2" w14:textId="77777777" w:rsidR="006472D2" w:rsidRPr="00C84917" w:rsidRDefault="006472D2" w:rsidP="006472D2">
            <w:pPr>
              <w:jc w:val="center"/>
              <w:rPr>
                <w:rFonts w:ascii="Book Antiqua" w:hAnsi="Book Antiqua" w:cs="Calibri"/>
                <w:color w:val="000000"/>
                <w:sz w:val="16"/>
                <w:szCs w:val="16"/>
                <w:lang w:eastAsia="es-CR"/>
              </w:rPr>
            </w:pPr>
            <w:r w:rsidRPr="00C84917">
              <w:rPr>
                <w:rFonts w:ascii="Book Antiqua" w:hAnsi="Book Antiqua" w:cs="Calibri"/>
                <w:color w:val="000000"/>
                <w:sz w:val="16"/>
                <w:szCs w:val="16"/>
                <w:lang w:eastAsia="es-CR"/>
              </w:rPr>
              <w:t>55 %</w:t>
            </w:r>
          </w:p>
        </w:tc>
      </w:tr>
      <w:tr w:rsidR="006472D2" w:rsidRPr="00C84917" w14:paraId="0219EB40" w14:textId="77777777" w:rsidTr="00C84917">
        <w:trPr>
          <w:trHeight w:val="290"/>
          <w:jc w:val="center"/>
        </w:trPr>
        <w:tc>
          <w:tcPr>
            <w:tcW w:w="5244" w:type="dxa"/>
            <w:tcBorders>
              <w:top w:val="nil"/>
              <w:left w:val="single" w:sz="4" w:space="0" w:color="808080"/>
              <w:bottom w:val="single" w:sz="4" w:space="0" w:color="808080"/>
              <w:right w:val="single" w:sz="4" w:space="0" w:color="808080"/>
            </w:tcBorders>
            <w:shd w:val="clear" w:color="auto" w:fill="auto"/>
            <w:noWrap/>
            <w:vAlign w:val="bottom"/>
            <w:hideMark/>
          </w:tcPr>
          <w:p w14:paraId="06EE9183" w14:textId="1A046C7B" w:rsidR="006472D2" w:rsidRPr="00C84917" w:rsidRDefault="006472D2" w:rsidP="006472D2">
            <w:pPr>
              <w:rPr>
                <w:rFonts w:ascii="Book Antiqua" w:hAnsi="Book Antiqua" w:cs="Calibri"/>
                <w:color w:val="000000"/>
                <w:sz w:val="16"/>
                <w:szCs w:val="16"/>
                <w:lang w:eastAsia="es-CR"/>
              </w:rPr>
            </w:pPr>
            <w:r w:rsidRPr="00C84917">
              <w:rPr>
                <w:rFonts w:ascii="Book Antiqua" w:hAnsi="Book Antiqua" w:cs="Calibri"/>
                <w:color w:val="000000"/>
                <w:sz w:val="16"/>
                <w:szCs w:val="16"/>
                <w:lang w:eastAsia="es-CR"/>
              </w:rPr>
              <w:t xml:space="preserve">Juzgado Penal de Pococí Guácimo </w:t>
            </w:r>
          </w:p>
        </w:tc>
        <w:tc>
          <w:tcPr>
            <w:tcW w:w="1868" w:type="dxa"/>
            <w:tcBorders>
              <w:top w:val="nil"/>
              <w:left w:val="nil"/>
              <w:bottom w:val="single" w:sz="4" w:space="0" w:color="808080"/>
              <w:right w:val="single" w:sz="4" w:space="0" w:color="808080"/>
            </w:tcBorders>
            <w:shd w:val="clear" w:color="auto" w:fill="auto"/>
            <w:noWrap/>
            <w:vAlign w:val="bottom"/>
            <w:hideMark/>
          </w:tcPr>
          <w:p w14:paraId="0950F6D4" w14:textId="77777777" w:rsidR="006472D2" w:rsidRPr="00C84917" w:rsidRDefault="006472D2" w:rsidP="006472D2">
            <w:pPr>
              <w:jc w:val="center"/>
              <w:rPr>
                <w:rFonts w:ascii="Book Antiqua" w:hAnsi="Book Antiqua" w:cs="Calibri"/>
                <w:color w:val="000000"/>
                <w:sz w:val="16"/>
                <w:szCs w:val="16"/>
                <w:lang w:eastAsia="es-CR"/>
              </w:rPr>
            </w:pPr>
            <w:r w:rsidRPr="00C84917">
              <w:rPr>
                <w:rFonts w:ascii="Book Antiqua" w:hAnsi="Book Antiqua" w:cs="Calibri"/>
                <w:color w:val="000000"/>
                <w:sz w:val="16"/>
                <w:szCs w:val="16"/>
                <w:lang w:eastAsia="es-CR"/>
              </w:rPr>
              <w:t>54 %</w:t>
            </w:r>
          </w:p>
        </w:tc>
      </w:tr>
      <w:tr w:rsidR="006472D2" w:rsidRPr="00C84917" w14:paraId="53ADBB3B" w14:textId="77777777" w:rsidTr="00C84917">
        <w:trPr>
          <w:trHeight w:val="290"/>
          <w:jc w:val="center"/>
        </w:trPr>
        <w:tc>
          <w:tcPr>
            <w:tcW w:w="5244" w:type="dxa"/>
            <w:tcBorders>
              <w:top w:val="nil"/>
              <w:left w:val="single" w:sz="4" w:space="0" w:color="808080"/>
              <w:bottom w:val="single" w:sz="4" w:space="0" w:color="808080"/>
              <w:right w:val="single" w:sz="4" w:space="0" w:color="808080"/>
            </w:tcBorders>
            <w:shd w:val="clear" w:color="auto" w:fill="auto"/>
            <w:noWrap/>
            <w:vAlign w:val="bottom"/>
            <w:hideMark/>
          </w:tcPr>
          <w:p w14:paraId="3762AD9F" w14:textId="625A66AA" w:rsidR="006472D2" w:rsidRPr="00C84917" w:rsidRDefault="006472D2" w:rsidP="006472D2">
            <w:pPr>
              <w:rPr>
                <w:rFonts w:ascii="Book Antiqua" w:hAnsi="Book Antiqua" w:cs="Calibri"/>
                <w:color w:val="000000"/>
                <w:sz w:val="16"/>
                <w:szCs w:val="16"/>
                <w:lang w:eastAsia="es-CR"/>
              </w:rPr>
            </w:pPr>
            <w:r w:rsidRPr="00C84917">
              <w:rPr>
                <w:rFonts w:ascii="Book Antiqua" w:hAnsi="Book Antiqua" w:cs="Calibri"/>
                <w:color w:val="000000"/>
                <w:sz w:val="16"/>
                <w:szCs w:val="16"/>
                <w:lang w:eastAsia="es-CR"/>
              </w:rPr>
              <w:t xml:space="preserve">Juzgado Penal del </w:t>
            </w:r>
            <w:r w:rsidR="00C84917" w:rsidRPr="00C84917">
              <w:rPr>
                <w:rFonts w:ascii="Book Antiqua" w:hAnsi="Book Antiqua" w:cs="Calibri"/>
                <w:color w:val="000000"/>
                <w:sz w:val="16"/>
                <w:szCs w:val="16"/>
                <w:lang w:eastAsia="es-CR"/>
              </w:rPr>
              <w:t>II</w:t>
            </w:r>
            <w:r w:rsidRPr="00C84917">
              <w:rPr>
                <w:rFonts w:ascii="Book Antiqua" w:hAnsi="Book Antiqua" w:cs="Calibri"/>
                <w:color w:val="000000"/>
                <w:sz w:val="16"/>
                <w:szCs w:val="16"/>
                <w:lang w:eastAsia="es-CR"/>
              </w:rPr>
              <w:t xml:space="preserve"> Circuito Judicial de San José </w:t>
            </w:r>
          </w:p>
        </w:tc>
        <w:tc>
          <w:tcPr>
            <w:tcW w:w="1868" w:type="dxa"/>
            <w:tcBorders>
              <w:top w:val="nil"/>
              <w:left w:val="nil"/>
              <w:bottom w:val="single" w:sz="4" w:space="0" w:color="808080"/>
              <w:right w:val="single" w:sz="4" w:space="0" w:color="808080"/>
            </w:tcBorders>
            <w:shd w:val="clear" w:color="auto" w:fill="auto"/>
            <w:noWrap/>
            <w:vAlign w:val="bottom"/>
            <w:hideMark/>
          </w:tcPr>
          <w:p w14:paraId="5FAB8F85" w14:textId="77777777" w:rsidR="006472D2" w:rsidRPr="00C84917" w:rsidRDefault="006472D2" w:rsidP="006472D2">
            <w:pPr>
              <w:jc w:val="center"/>
              <w:rPr>
                <w:rFonts w:ascii="Book Antiqua" w:hAnsi="Book Antiqua" w:cs="Calibri"/>
                <w:color w:val="000000"/>
                <w:sz w:val="16"/>
                <w:szCs w:val="16"/>
                <w:lang w:eastAsia="es-CR"/>
              </w:rPr>
            </w:pPr>
            <w:r w:rsidRPr="00C84917">
              <w:rPr>
                <w:rFonts w:ascii="Book Antiqua" w:hAnsi="Book Antiqua" w:cs="Calibri"/>
                <w:color w:val="000000"/>
                <w:sz w:val="16"/>
                <w:szCs w:val="16"/>
                <w:lang w:eastAsia="es-CR"/>
              </w:rPr>
              <w:t>43 %</w:t>
            </w:r>
          </w:p>
        </w:tc>
      </w:tr>
      <w:tr w:rsidR="006472D2" w:rsidRPr="00C84917" w14:paraId="580D7395" w14:textId="77777777" w:rsidTr="00C84917">
        <w:trPr>
          <w:trHeight w:val="290"/>
          <w:jc w:val="center"/>
        </w:trPr>
        <w:tc>
          <w:tcPr>
            <w:tcW w:w="5244" w:type="dxa"/>
            <w:tcBorders>
              <w:top w:val="nil"/>
              <w:left w:val="single" w:sz="4" w:space="0" w:color="808080"/>
              <w:bottom w:val="single" w:sz="4" w:space="0" w:color="808080"/>
              <w:right w:val="single" w:sz="4" w:space="0" w:color="808080"/>
            </w:tcBorders>
            <w:shd w:val="clear" w:color="auto" w:fill="auto"/>
            <w:noWrap/>
            <w:vAlign w:val="bottom"/>
            <w:hideMark/>
          </w:tcPr>
          <w:p w14:paraId="4AF49F13" w14:textId="77777777" w:rsidR="006472D2" w:rsidRPr="00C84917" w:rsidRDefault="006472D2" w:rsidP="006472D2">
            <w:pPr>
              <w:rPr>
                <w:rFonts w:ascii="Book Antiqua" w:hAnsi="Book Antiqua" w:cs="Calibri"/>
                <w:color w:val="000000"/>
                <w:sz w:val="16"/>
                <w:szCs w:val="16"/>
                <w:lang w:eastAsia="es-CR"/>
              </w:rPr>
            </w:pPr>
            <w:r w:rsidRPr="00C84917">
              <w:rPr>
                <w:rFonts w:ascii="Book Antiqua" w:hAnsi="Book Antiqua" w:cs="Calibri"/>
                <w:color w:val="000000"/>
                <w:sz w:val="16"/>
                <w:szCs w:val="16"/>
                <w:lang w:eastAsia="es-CR"/>
              </w:rPr>
              <w:t xml:space="preserve">Juzgado Penal de Hatillo </w:t>
            </w:r>
          </w:p>
        </w:tc>
        <w:tc>
          <w:tcPr>
            <w:tcW w:w="1868" w:type="dxa"/>
            <w:tcBorders>
              <w:top w:val="nil"/>
              <w:left w:val="nil"/>
              <w:bottom w:val="single" w:sz="4" w:space="0" w:color="808080"/>
              <w:right w:val="single" w:sz="4" w:space="0" w:color="808080"/>
            </w:tcBorders>
            <w:shd w:val="clear" w:color="auto" w:fill="auto"/>
            <w:noWrap/>
            <w:vAlign w:val="bottom"/>
            <w:hideMark/>
          </w:tcPr>
          <w:p w14:paraId="2587712C" w14:textId="77777777" w:rsidR="006472D2" w:rsidRPr="00C84917" w:rsidRDefault="006472D2" w:rsidP="006472D2">
            <w:pPr>
              <w:jc w:val="center"/>
              <w:rPr>
                <w:rFonts w:ascii="Book Antiqua" w:hAnsi="Book Antiqua" w:cs="Calibri"/>
                <w:color w:val="000000"/>
                <w:sz w:val="16"/>
                <w:szCs w:val="16"/>
                <w:lang w:eastAsia="es-CR"/>
              </w:rPr>
            </w:pPr>
            <w:r w:rsidRPr="00C84917">
              <w:rPr>
                <w:rFonts w:ascii="Book Antiqua" w:hAnsi="Book Antiqua" w:cs="Calibri"/>
                <w:color w:val="000000"/>
                <w:sz w:val="16"/>
                <w:szCs w:val="16"/>
                <w:lang w:eastAsia="es-CR"/>
              </w:rPr>
              <w:t>40 %</w:t>
            </w:r>
          </w:p>
        </w:tc>
      </w:tr>
      <w:tr w:rsidR="006472D2" w:rsidRPr="00C84917" w14:paraId="16B78F4F" w14:textId="77777777" w:rsidTr="00C84917">
        <w:trPr>
          <w:trHeight w:val="290"/>
          <w:jc w:val="center"/>
        </w:trPr>
        <w:tc>
          <w:tcPr>
            <w:tcW w:w="5244" w:type="dxa"/>
            <w:tcBorders>
              <w:top w:val="nil"/>
              <w:left w:val="single" w:sz="4" w:space="0" w:color="808080"/>
              <w:bottom w:val="single" w:sz="4" w:space="0" w:color="808080"/>
              <w:right w:val="single" w:sz="4" w:space="0" w:color="808080"/>
            </w:tcBorders>
            <w:shd w:val="clear" w:color="auto" w:fill="auto"/>
            <w:noWrap/>
            <w:vAlign w:val="bottom"/>
            <w:hideMark/>
          </w:tcPr>
          <w:p w14:paraId="171809BA" w14:textId="77777777" w:rsidR="006472D2" w:rsidRPr="00C84917" w:rsidRDefault="006472D2" w:rsidP="006472D2">
            <w:pPr>
              <w:rPr>
                <w:rFonts w:ascii="Book Antiqua" w:hAnsi="Book Antiqua" w:cs="Calibri"/>
                <w:color w:val="000000"/>
                <w:sz w:val="16"/>
                <w:szCs w:val="16"/>
                <w:lang w:eastAsia="es-CR"/>
              </w:rPr>
            </w:pPr>
            <w:r w:rsidRPr="00C84917">
              <w:rPr>
                <w:rFonts w:ascii="Book Antiqua" w:hAnsi="Book Antiqua" w:cs="Calibri"/>
                <w:color w:val="000000"/>
                <w:sz w:val="16"/>
                <w:szCs w:val="16"/>
                <w:lang w:eastAsia="es-CR"/>
              </w:rPr>
              <w:t xml:space="preserve">Juzgado Penal de Buenos Aires </w:t>
            </w:r>
          </w:p>
        </w:tc>
        <w:tc>
          <w:tcPr>
            <w:tcW w:w="1868" w:type="dxa"/>
            <w:tcBorders>
              <w:top w:val="nil"/>
              <w:left w:val="nil"/>
              <w:bottom w:val="single" w:sz="4" w:space="0" w:color="808080"/>
              <w:right w:val="single" w:sz="4" w:space="0" w:color="808080"/>
            </w:tcBorders>
            <w:shd w:val="clear" w:color="auto" w:fill="auto"/>
            <w:noWrap/>
            <w:vAlign w:val="bottom"/>
            <w:hideMark/>
          </w:tcPr>
          <w:p w14:paraId="1039DBF2" w14:textId="77777777" w:rsidR="006472D2" w:rsidRPr="00C84917" w:rsidRDefault="006472D2" w:rsidP="006472D2">
            <w:pPr>
              <w:jc w:val="center"/>
              <w:rPr>
                <w:rFonts w:ascii="Book Antiqua" w:hAnsi="Book Antiqua" w:cs="Calibri"/>
                <w:color w:val="000000"/>
                <w:sz w:val="16"/>
                <w:szCs w:val="16"/>
                <w:lang w:eastAsia="es-CR"/>
              </w:rPr>
            </w:pPr>
            <w:r w:rsidRPr="00C84917">
              <w:rPr>
                <w:rFonts w:ascii="Book Antiqua" w:hAnsi="Book Antiqua" w:cs="Calibri"/>
                <w:color w:val="000000"/>
                <w:sz w:val="16"/>
                <w:szCs w:val="16"/>
                <w:lang w:eastAsia="es-CR"/>
              </w:rPr>
              <w:t>29 %</w:t>
            </w:r>
          </w:p>
        </w:tc>
      </w:tr>
      <w:tr w:rsidR="006472D2" w:rsidRPr="00C84917" w14:paraId="25A643AF" w14:textId="77777777" w:rsidTr="00C84917">
        <w:trPr>
          <w:trHeight w:val="290"/>
          <w:jc w:val="center"/>
        </w:trPr>
        <w:tc>
          <w:tcPr>
            <w:tcW w:w="5244" w:type="dxa"/>
            <w:tcBorders>
              <w:top w:val="nil"/>
              <w:left w:val="single" w:sz="4" w:space="0" w:color="808080"/>
              <w:bottom w:val="single" w:sz="4" w:space="0" w:color="808080"/>
              <w:right w:val="single" w:sz="4" w:space="0" w:color="808080"/>
            </w:tcBorders>
            <w:shd w:val="clear" w:color="auto" w:fill="auto"/>
            <w:noWrap/>
            <w:vAlign w:val="bottom"/>
            <w:hideMark/>
          </w:tcPr>
          <w:p w14:paraId="1B018C9D" w14:textId="77777777" w:rsidR="006472D2" w:rsidRPr="00C84917" w:rsidRDefault="006472D2" w:rsidP="006472D2">
            <w:pPr>
              <w:rPr>
                <w:rFonts w:ascii="Book Antiqua" w:hAnsi="Book Antiqua" w:cs="Calibri"/>
                <w:color w:val="000000"/>
                <w:sz w:val="16"/>
                <w:szCs w:val="16"/>
                <w:lang w:eastAsia="es-CR"/>
              </w:rPr>
            </w:pPr>
            <w:r w:rsidRPr="00C84917">
              <w:rPr>
                <w:rFonts w:ascii="Book Antiqua" w:hAnsi="Book Antiqua" w:cs="Calibri"/>
                <w:color w:val="000000"/>
                <w:sz w:val="16"/>
                <w:szCs w:val="16"/>
                <w:lang w:eastAsia="es-CR"/>
              </w:rPr>
              <w:t>Juzgado Penal de Puntarenas, Sede Cóbano</w:t>
            </w:r>
          </w:p>
        </w:tc>
        <w:tc>
          <w:tcPr>
            <w:tcW w:w="1868" w:type="dxa"/>
            <w:tcBorders>
              <w:top w:val="nil"/>
              <w:left w:val="nil"/>
              <w:bottom w:val="single" w:sz="4" w:space="0" w:color="808080"/>
              <w:right w:val="single" w:sz="4" w:space="0" w:color="808080"/>
            </w:tcBorders>
            <w:shd w:val="clear" w:color="auto" w:fill="auto"/>
            <w:noWrap/>
            <w:vAlign w:val="bottom"/>
            <w:hideMark/>
          </w:tcPr>
          <w:p w14:paraId="257C1E61" w14:textId="77777777" w:rsidR="006472D2" w:rsidRPr="00C84917" w:rsidRDefault="006472D2" w:rsidP="006472D2">
            <w:pPr>
              <w:jc w:val="center"/>
              <w:rPr>
                <w:rFonts w:ascii="Book Antiqua" w:hAnsi="Book Antiqua" w:cs="Calibri"/>
                <w:color w:val="000000"/>
                <w:sz w:val="16"/>
                <w:szCs w:val="16"/>
                <w:lang w:eastAsia="es-CR"/>
              </w:rPr>
            </w:pPr>
            <w:r w:rsidRPr="00C84917">
              <w:rPr>
                <w:rFonts w:ascii="Book Antiqua" w:hAnsi="Book Antiqua" w:cs="Calibri"/>
                <w:color w:val="000000"/>
                <w:sz w:val="16"/>
                <w:szCs w:val="16"/>
                <w:lang w:eastAsia="es-CR"/>
              </w:rPr>
              <w:t>26 %</w:t>
            </w:r>
          </w:p>
        </w:tc>
      </w:tr>
      <w:tr w:rsidR="006472D2" w:rsidRPr="00C84917" w14:paraId="3989BA78" w14:textId="77777777" w:rsidTr="00C84917">
        <w:trPr>
          <w:trHeight w:val="290"/>
          <w:jc w:val="center"/>
        </w:trPr>
        <w:tc>
          <w:tcPr>
            <w:tcW w:w="5244" w:type="dxa"/>
            <w:tcBorders>
              <w:top w:val="nil"/>
              <w:left w:val="single" w:sz="4" w:space="0" w:color="808080"/>
              <w:bottom w:val="single" w:sz="4" w:space="0" w:color="808080"/>
              <w:right w:val="single" w:sz="4" w:space="0" w:color="808080"/>
            </w:tcBorders>
            <w:shd w:val="clear" w:color="auto" w:fill="auto"/>
            <w:noWrap/>
            <w:vAlign w:val="bottom"/>
            <w:hideMark/>
          </w:tcPr>
          <w:p w14:paraId="767F5F3F" w14:textId="77777777" w:rsidR="006472D2" w:rsidRPr="00C84917" w:rsidRDefault="006472D2" w:rsidP="006472D2">
            <w:pPr>
              <w:rPr>
                <w:rFonts w:ascii="Book Antiqua" w:hAnsi="Book Antiqua" w:cs="Calibri"/>
                <w:color w:val="000000"/>
                <w:sz w:val="16"/>
                <w:szCs w:val="16"/>
                <w:lang w:eastAsia="es-CR"/>
              </w:rPr>
            </w:pPr>
            <w:r w:rsidRPr="00C84917">
              <w:rPr>
                <w:rFonts w:ascii="Book Antiqua" w:hAnsi="Book Antiqua" w:cs="Calibri"/>
                <w:color w:val="000000"/>
                <w:sz w:val="16"/>
                <w:szCs w:val="16"/>
                <w:lang w:eastAsia="es-CR"/>
              </w:rPr>
              <w:t xml:space="preserve">Juzgado Penal del Ii Circuito Judicial de La Zona Sur </w:t>
            </w:r>
          </w:p>
        </w:tc>
        <w:tc>
          <w:tcPr>
            <w:tcW w:w="1868" w:type="dxa"/>
            <w:tcBorders>
              <w:top w:val="nil"/>
              <w:left w:val="nil"/>
              <w:bottom w:val="single" w:sz="4" w:space="0" w:color="808080"/>
              <w:right w:val="single" w:sz="4" w:space="0" w:color="808080"/>
            </w:tcBorders>
            <w:shd w:val="clear" w:color="auto" w:fill="auto"/>
            <w:noWrap/>
            <w:vAlign w:val="bottom"/>
            <w:hideMark/>
          </w:tcPr>
          <w:p w14:paraId="0F75E974" w14:textId="77777777" w:rsidR="006472D2" w:rsidRPr="00C84917" w:rsidRDefault="006472D2" w:rsidP="006472D2">
            <w:pPr>
              <w:jc w:val="center"/>
              <w:rPr>
                <w:rFonts w:ascii="Book Antiqua" w:hAnsi="Book Antiqua" w:cs="Calibri"/>
                <w:color w:val="000000"/>
                <w:sz w:val="16"/>
                <w:szCs w:val="16"/>
                <w:lang w:eastAsia="es-CR"/>
              </w:rPr>
            </w:pPr>
            <w:r w:rsidRPr="00C84917">
              <w:rPr>
                <w:rFonts w:ascii="Book Antiqua" w:hAnsi="Book Antiqua" w:cs="Calibri"/>
                <w:color w:val="000000"/>
                <w:sz w:val="16"/>
                <w:szCs w:val="16"/>
                <w:lang w:eastAsia="es-CR"/>
              </w:rPr>
              <w:t>22 %</w:t>
            </w:r>
          </w:p>
        </w:tc>
      </w:tr>
      <w:tr w:rsidR="006472D2" w:rsidRPr="00C84917" w14:paraId="414AB05B" w14:textId="77777777" w:rsidTr="00C84917">
        <w:trPr>
          <w:trHeight w:val="290"/>
          <w:jc w:val="center"/>
        </w:trPr>
        <w:tc>
          <w:tcPr>
            <w:tcW w:w="5244" w:type="dxa"/>
            <w:tcBorders>
              <w:top w:val="nil"/>
              <w:left w:val="single" w:sz="4" w:space="0" w:color="808080"/>
              <w:bottom w:val="single" w:sz="4" w:space="0" w:color="808080"/>
              <w:right w:val="single" w:sz="4" w:space="0" w:color="808080"/>
            </w:tcBorders>
            <w:shd w:val="clear" w:color="auto" w:fill="auto"/>
            <w:noWrap/>
            <w:vAlign w:val="bottom"/>
            <w:hideMark/>
          </w:tcPr>
          <w:p w14:paraId="73C35153" w14:textId="77777777" w:rsidR="006472D2" w:rsidRPr="00C84917" w:rsidRDefault="006472D2" w:rsidP="006472D2">
            <w:pPr>
              <w:rPr>
                <w:rFonts w:ascii="Book Antiqua" w:hAnsi="Book Antiqua" w:cs="Calibri"/>
                <w:color w:val="000000"/>
                <w:sz w:val="16"/>
                <w:szCs w:val="16"/>
                <w:lang w:eastAsia="es-CR"/>
              </w:rPr>
            </w:pPr>
            <w:r w:rsidRPr="00C84917">
              <w:rPr>
                <w:rFonts w:ascii="Book Antiqua" w:hAnsi="Book Antiqua" w:cs="Calibri"/>
                <w:color w:val="000000"/>
                <w:sz w:val="16"/>
                <w:szCs w:val="16"/>
                <w:lang w:eastAsia="es-CR"/>
              </w:rPr>
              <w:t>Juzgado Penal de Pavas</w:t>
            </w:r>
          </w:p>
        </w:tc>
        <w:tc>
          <w:tcPr>
            <w:tcW w:w="1868" w:type="dxa"/>
            <w:tcBorders>
              <w:top w:val="nil"/>
              <w:left w:val="nil"/>
              <w:bottom w:val="single" w:sz="4" w:space="0" w:color="808080"/>
              <w:right w:val="single" w:sz="4" w:space="0" w:color="808080"/>
            </w:tcBorders>
            <w:shd w:val="clear" w:color="auto" w:fill="auto"/>
            <w:noWrap/>
            <w:vAlign w:val="bottom"/>
            <w:hideMark/>
          </w:tcPr>
          <w:p w14:paraId="2713E526" w14:textId="77777777" w:rsidR="006472D2" w:rsidRPr="00C84917" w:rsidRDefault="006472D2" w:rsidP="006472D2">
            <w:pPr>
              <w:jc w:val="center"/>
              <w:rPr>
                <w:rFonts w:ascii="Book Antiqua" w:hAnsi="Book Antiqua" w:cs="Calibri"/>
                <w:color w:val="000000"/>
                <w:sz w:val="16"/>
                <w:szCs w:val="16"/>
                <w:lang w:eastAsia="es-CR"/>
              </w:rPr>
            </w:pPr>
            <w:r w:rsidRPr="00C84917">
              <w:rPr>
                <w:rFonts w:ascii="Book Antiqua" w:hAnsi="Book Antiqua" w:cs="Calibri"/>
                <w:color w:val="000000"/>
                <w:sz w:val="16"/>
                <w:szCs w:val="16"/>
                <w:lang w:eastAsia="es-CR"/>
              </w:rPr>
              <w:t>20 %</w:t>
            </w:r>
          </w:p>
        </w:tc>
      </w:tr>
      <w:tr w:rsidR="006472D2" w:rsidRPr="00C84917" w14:paraId="1B1F7192" w14:textId="77777777" w:rsidTr="00C84917">
        <w:trPr>
          <w:trHeight w:val="290"/>
          <w:jc w:val="center"/>
        </w:trPr>
        <w:tc>
          <w:tcPr>
            <w:tcW w:w="5244" w:type="dxa"/>
            <w:tcBorders>
              <w:top w:val="nil"/>
              <w:left w:val="single" w:sz="4" w:space="0" w:color="808080"/>
              <w:bottom w:val="single" w:sz="4" w:space="0" w:color="808080"/>
              <w:right w:val="single" w:sz="4" w:space="0" w:color="808080"/>
            </w:tcBorders>
            <w:shd w:val="clear" w:color="auto" w:fill="auto"/>
            <w:noWrap/>
            <w:vAlign w:val="bottom"/>
            <w:hideMark/>
          </w:tcPr>
          <w:p w14:paraId="695C6CD2" w14:textId="77777777" w:rsidR="006472D2" w:rsidRPr="00C84917" w:rsidRDefault="006472D2" w:rsidP="006472D2">
            <w:pPr>
              <w:rPr>
                <w:rFonts w:ascii="Book Antiqua" w:hAnsi="Book Antiqua" w:cs="Calibri"/>
                <w:color w:val="000000"/>
                <w:sz w:val="16"/>
                <w:szCs w:val="16"/>
                <w:lang w:eastAsia="es-CR"/>
              </w:rPr>
            </w:pPr>
            <w:r w:rsidRPr="00C84917">
              <w:rPr>
                <w:rFonts w:ascii="Book Antiqua" w:hAnsi="Book Antiqua" w:cs="Calibri"/>
                <w:color w:val="000000"/>
                <w:sz w:val="16"/>
                <w:szCs w:val="16"/>
                <w:lang w:eastAsia="es-CR"/>
              </w:rPr>
              <w:t xml:space="preserve">Juzgado Penal de Golfito </w:t>
            </w:r>
          </w:p>
        </w:tc>
        <w:tc>
          <w:tcPr>
            <w:tcW w:w="1868" w:type="dxa"/>
            <w:tcBorders>
              <w:top w:val="nil"/>
              <w:left w:val="nil"/>
              <w:bottom w:val="single" w:sz="4" w:space="0" w:color="808080"/>
              <w:right w:val="single" w:sz="4" w:space="0" w:color="808080"/>
            </w:tcBorders>
            <w:shd w:val="clear" w:color="auto" w:fill="auto"/>
            <w:noWrap/>
            <w:vAlign w:val="bottom"/>
            <w:hideMark/>
          </w:tcPr>
          <w:p w14:paraId="19C7A55C" w14:textId="77777777" w:rsidR="006472D2" w:rsidRPr="00C84917" w:rsidRDefault="006472D2" w:rsidP="006472D2">
            <w:pPr>
              <w:jc w:val="center"/>
              <w:rPr>
                <w:rFonts w:ascii="Book Antiqua" w:hAnsi="Book Antiqua" w:cs="Calibri"/>
                <w:color w:val="000000"/>
                <w:sz w:val="16"/>
                <w:szCs w:val="16"/>
                <w:lang w:eastAsia="es-CR"/>
              </w:rPr>
            </w:pPr>
            <w:r w:rsidRPr="00C84917">
              <w:rPr>
                <w:rFonts w:ascii="Book Antiqua" w:hAnsi="Book Antiqua" w:cs="Calibri"/>
                <w:color w:val="000000"/>
                <w:sz w:val="16"/>
                <w:szCs w:val="16"/>
                <w:lang w:eastAsia="es-CR"/>
              </w:rPr>
              <w:t>12 %</w:t>
            </w:r>
          </w:p>
        </w:tc>
      </w:tr>
      <w:tr w:rsidR="006472D2" w:rsidRPr="00C84917" w14:paraId="69D36B07" w14:textId="77777777" w:rsidTr="00C84917">
        <w:trPr>
          <w:trHeight w:val="290"/>
          <w:jc w:val="center"/>
        </w:trPr>
        <w:tc>
          <w:tcPr>
            <w:tcW w:w="5244" w:type="dxa"/>
            <w:tcBorders>
              <w:top w:val="nil"/>
              <w:left w:val="single" w:sz="4" w:space="0" w:color="808080"/>
              <w:bottom w:val="single" w:sz="4" w:space="0" w:color="808080"/>
              <w:right w:val="single" w:sz="4" w:space="0" w:color="808080"/>
            </w:tcBorders>
            <w:shd w:val="clear" w:color="auto" w:fill="auto"/>
            <w:noWrap/>
            <w:vAlign w:val="center"/>
            <w:hideMark/>
          </w:tcPr>
          <w:p w14:paraId="2054BBE4" w14:textId="77777777" w:rsidR="006472D2" w:rsidRPr="00C84917" w:rsidRDefault="006472D2" w:rsidP="006472D2">
            <w:pPr>
              <w:rPr>
                <w:rFonts w:ascii="Book Antiqua" w:hAnsi="Book Antiqua" w:cs="Calibri"/>
                <w:b/>
                <w:bCs/>
                <w:color w:val="000000"/>
                <w:sz w:val="16"/>
                <w:szCs w:val="16"/>
                <w:lang w:eastAsia="es-CR"/>
              </w:rPr>
            </w:pPr>
            <w:r w:rsidRPr="00C84917">
              <w:rPr>
                <w:rFonts w:ascii="Book Antiqua" w:hAnsi="Book Antiqua" w:cs="Calibri"/>
                <w:b/>
                <w:bCs/>
                <w:color w:val="000000"/>
                <w:sz w:val="16"/>
                <w:szCs w:val="16"/>
                <w:lang w:eastAsia="es-CR"/>
              </w:rPr>
              <w:t>Promedio Global</w:t>
            </w:r>
          </w:p>
        </w:tc>
        <w:tc>
          <w:tcPr>
            <w:tcW w:w="1868" w:type="dxa"/>
            <w:tcBorders>
              <w:top w:val="nil"/>
              <w:left w:val="nil"/>
              <w:bottom w:val="single" w:sz="4" w:space="0" w:color="808080"/>
              <w:right w:val="single" w:sz="4" w:space="0" w:color="808080"/>
            </w:tcBorders>
            <w:shd w:val="clear" w:color="auto" w:fill="auto"/>
            <w:noWrap/>
            <w:vAlign w:val="center"/>
            <w:hideMark/>
          </w:tcPr>
          <w:p w14:paraId="6DB8E91A" w14:textId="77777777" w:rsidR="006472D2" w:rsidRPr="00C84917" w:rsidRDefault="006472D2" w:rsidP="006472D2">
            <w:pPr>
              <w:jc w:val="center"/>
              <w:rPr>
                <w:rFonts w:ascii="Book Antiqua" w:hAnsi="Book Antiqua" w:cs="Calibri"/>
                <w:b/>
                <w:bCs/>
                <w:color w:val="000000"/>
                <w:sz w:val="16"/>
                <w:szCs w:val="16"/>
                <w:lang w:eastAsia="es-CR"/>
              </w:rPr>
            </w:pPr>
            <w:r w:rsidRPr="00C84917">
              <w:rPr>
                <w:rFonts w:ascii="Book Antiqua" w:hAnsi="Book Antiqua" w:cs="Calibri"/>
                <w:b/>
                <w:bCs/>
                <w:color w:val="000000"/>
                <w:sz w:val="16"/>
                <w:szCs w:val="16"/>
                <w:lang w:eastAsia="es-CR"/>
              </w:rPr>
              <w:t>104%</w:t>
            </w:r>
          </w:p>
        </w:tc>
      </w:tr>
    </w:tbl>
    <w:p w14:paraId="54C6EE18" w14:textId="77777777" w:rsidR="00E27F7C" w:rsidRPr="00311370" w:rsidRDefault="00E27F7C" w:rsidP="006472D2">
      <w:pPr>
        <w:spacing w:line="276" w:lineRule="auto"/>
        <w:jc w:val="center"/>
        <w:rPr>
          <w:rFonts w:ascii="Book Antiqua" w:hAnsi="Book Antiqua"/>
          <w:b/>
          <w:bCs/>
          <w:color w:val="000000" w:themeColor="text1"/>
          <w:sz w:val="20"/>
          <w:szCs w:val="20"/>
        </w:rPr>
      </w:pPr>
      <w:r w:rsidRPr="00311370">
        <w:rPr>
          <w:rFonts w:ascii="Book Antiqua" w:hAnsi="Book Antiqua"/>
          <w:b/>
          <w:bCs/>
          <w:color w:val="000000" w:themeColor="text1"/>
          <w:sz w:val="20"/>
          <w:szCs w:val="20"/>
        </w:rPr>
        <w:t xml:space="preserve">Fuente: </w:t>
      </w:r>
      <w:r w:rsidRPr="00311370">
        <w:rPr>
          <w:rFonts w:ascii="Book Antiqua" w:hAnsi="Book Antiqua"/>
          <w:color w:val="000000" w:themeColor="text1"/>
          <w:sz w:val="20"/>
          <w:szCs w:val="20"/>
        </w:rPr>
        <w:t>Matriz de indicadores de Gestión</w:t>
      </w:r>
    </w:p>
    <w:p w14:paraId="1680764C" w14:textId="77777777" w:rsidR="001D42A6" w:rsidRDefault="001D42A6" w:rsidP="00985591">
      <w:pPr>
        <w:spacing w:line="276" w:lineRule="auto"/>
        <w:jc w:val="both"/>
        <w:rPr>
          <w:rFonts w:ascii="Book Antiqua" w:hAnsi="Book Antiqua"/>
          <w:bCs/>
          <w:color w:val="000000" w:themeColor="text1"/>
        </w:rPr>
      </w:pPr>
    </w:p>
    <w:p w14:paraId="3E5EA7D3" w14:textId="1132D57D" w:rsidR="004164B7" w:rsidRDefault="004164B7" w:rsidP="00985591">
      <w:pPr>
        <w:spacing w:line="276" w:lineRule="auto"/>
        <w:jc w:val="both"/>
        <w:rPr>
          <w:rFonts w:ascii="Book Antiqua" w:hAnsi="Book Antiqua"/>
          <w:lang w:eastAsia="es-CR"/>
        </w:rPr>
      </w:pPr>
      <w:r w:rsidRPr="004E0DD1">
        <w:rPr>
          <w:rFonts w:ascii="Book Antiqua" w:hAnsi="Book Antiqua"/>
          <w:lang w:eastAsia="es-CR"/>
        </w:rPr>
        <w:t xml:space="preserve">A pesar de </w:t>
      </w:r>
      <w:r>
        <w:rPr>
          <w:rFonts w:ascii="Book Antiqua" w:hAnsi="Book Antiqua"/>
          <w:lang w:eastAsia="es-CR"/>
        </w:rPr>
        <w:t>tener un promedio global del</w:t>
      </w:r>
      <w:r w:rsidRPr="004E0DD1">
        <w:rPr>
          <w:rFonts w:ascii="Book Antiqua" w:hAnsi="Book Antiqua"/>
          <w:lang w:eastAsia="es-CR"/>
        </w:rPr>
        <w:t xml:space="preserve"> </w:t>
      </w:r>
      <w:r>
        <w:rPr>
          <w:rFonts w:ascii="Book Antiqua" w:hAnsi="Book Antiqua"/>
          <w:lang w:eastAsia="es-CR"/>
        </w:rPr>
        <w:t>104</w:t>
      </w:r>
      <w:r w:rsidRPr="004E0DD1">
        <w:rPr>
          <w:rFonts w:ascii="Book Antiqua" w:hAnsi="Book Antiqua"/>
          <w:lang w:eastAsia="es-CR"/>
        </w:rPr>
        <w:t xml:space="preserve">% en la producción de los Juzgados Penales, aun así, hay despachos que se mantienen por debajo del 80% mínimo esperado, tales como </w:t>
      </w:r>
      <w:r>
        <w:rPr>
          <w:rFonts w:ascii="Book Antiqua" w:hAnsi="Book Antiqua"/>
          <w:lang w:eastAsia="es-CR"/>
        </w:rPr>
        <w:t>Grecia, San José, Los Chiles, la Fortuna, Atenas, Pococí, Goicoechea, Hatillo, Buenos Aires, C</w:t>
      </w:r>
      <w:r w:rsidR="00C84917">
        <w:rPr>
          <w:rFonts w:ascii="Book Antiqua" w:hAnsi="Book Antiqua"/>
          <w:lang w:eastAsia="es-CR"/>
        </w:rPr>
        <w:t>ó</w:t>
      </w:r>
      <w:r>
        <w:rPr>
          <w:rFonts w:ascii="Book Antiqua" w:hAnsi="Book Antiqua"/>
          <w:lang w:eastAsia="es-CR"/>
        </w:rPr>
        <w:t xml:space="preserve">bano, Corredores, Pavas y Golfito. </w:t>
      </w:r>
    </w:p>
    <w:p w14:paraId="505927E9" w14:textId="77777777" w:rsidR="004164B7" w:rsidRDefault="004164B7" w:rsidP="00985591">
      <w:pPr>
        <w:spacing w:line="276" w:lineRule="auto"/>
        <w:jc w:val="both"/>
        <w:rPr>
          <w:rFonts w:ascii="Book Antiqua" w:hAnsi="Book Antiqua"/>
          <w:lang w:eastAsia="es-CR"/>
        </w:rPr>
      </w:pPr>
    </w:p>
    <w:p w14:paraId="075D02D2" w14:textId="0DCF2A67" w:rsidR="004164B7" w:rsidRDefault="004164B7" w:rsidP="00985591">
      <w:pPr>
        <w:spacing w:line="276" w:lineRule="auto"/>
        <w:jc w:val="both"/>
        <w:rPr>
          <w:rFonts w:ascii="Book Antiqua" w:hAnsi="Book Antiqua"/>
          <w:lang w:eastAsia="es-CR"/>
        </w:rPr>
      </w:pPr>
      <w:r>
        <w:rPr>
          <w:rFonts w:ascii="Book Antiqua" w:hAnsi="Book Antiqua"/>
          <w:lang w:eastAsia="es-CR"/>
        </w:rPr>
        <w:t>Es importante mencionar que el Juzgado de Pococí se encuentra en seguimiento por parte del Proyecto Penal con la elaboración de planes de trabajo para mejorar el rendimiento. En el caso de C</w:t>
      </w:r>
      <w:r w:rsidR="005F4AA6">
        <w:rPr>
          <w:rFonts w:ascii="Book Antiqua" w:hAnsi="Book Antiqua"/>
          <w:lang w:eastAsia="es-CR"/>
        </w:rPr>
        <w:t>ó</w:t>
      </w:r>
      <w:r>
        <w:rPr>
          <w:rFonts w:ascii="Book Antiqua" w:hAnsi="Book Antiqua"/>
          <w:lang w:eastAsia="es-CR"/>
        </w:rPr>
        <w:t>bano, es un despacho que tiene una entrada baja lo que dificulta el cumplimiento del parámetro.</w:t>
      </w:r>
    </w:p>
    <w:p w14:paraId="1641D85B" w14:textId="77777777" w:rsidR="004164B7" w:rsidRDefault="004164B7" w:rsidP="00985591">
      <w:pPr>
        <w:spacing w:line="276" w:lineRule="auto"/>
        <w:jc w:val="both"/>
        <w:rPr>
          <w:rFonts w:ascii="Book Antiqua" w:hAnsi="Book Antiqua"/>
          <w:lang w:eastAsia="es-CR"/>
        </w:rPr>
      </w:pPr>
    </w:p>
    <w:p w14:paraId="7715D905" w14:textId="77777777" w:rsidR="004164B7" w:rsidRDefault="004164B7" w:rsidP="00985591">
      <w:pPr>
        <w:spacing w:line="276" w:lineRule="auto"/>
        <w:jc w:val="both"/>
        <w:rPr>
          <w:rFonts w:ascii="Book Antiqua" w:hAnsi="Book Antiqua"/>
          <w:lang w:eastAsia="es-CR"/>
        </w:rPr>
      </w:pPr>
      <w:r>
        <w:rPr>
          <w:rFonts w:ascii="Book Antiqua" w:hAnsi="Book Antiqua"/>
          <w:lang w:eastAsia="es-CR"/>
        </w:rPr>
        <w:t>Los juzgados de Pavas y Goicoechea se encuentran en proceso de abordaje por parte del Proyecto de Mejora Integral del Proceso Penal de la Dirección de Planificación.</w:t>
      </w:r>
    </w:p>
    <w:p w14:paraId="1C339D57" w14:textId="77777777" w:rsidR="004164B7" w:rsidRDefault="004164B7" w:rsidP="00985591">
      <w:pPr>
        <w:spacing w:line="276" w:lineRule="auto"/>
        <w:jc w:val="both"/>
        <w:rPr>
          <w:rFonts w:ascii="Book Antiqua" w:hAnsi="Book Antiqua"/>
          <w:lang w:eastAsia="es-CR"/>
        </w:rPr>
      </w:pPr>
    </w:p>
    <w:p w14:paraId="6FE8785C" w14:textId="761B2029" w:rsidR="00447A72" w:rsidRPr="00447A72" w:rsidRDefault="004164B7" w:rsidP="00985591">
      <w:pPr>
        <w:spacing w:line="276" w:lineRule="auto"/>
        <w:jc w:val="both"/>
        <w:rPr>
          <w:rFonts w:ascii="Book Antiqua" w:hAnsi="Book Antiqua"/>
          <w:lang w:eastAsia="es-CR"/>
        </w:rPr>
      </w:pPr>
      <w:r>
        <w:rPr>
          <w:rFonts w:ascii="Book Antiqua" w:hAnsi="Book Antiqua"/>
          <w:lang w:eastAsia="es-CR"/>
        </w:rPr>
        <w:t>Los juzgados de Grecia, San José, Los Chiles, la Fortuna, Atenas, Hatillo, Buenos Aires, Corredores y Golfito., l</w:t>
      </w:r>
      <w:r w:rsidRPr="004E0DD1">
        <w:rPr>
          <w:rFonts w:ascii="Book Antiqua" w:hAnsi="Book Antiqua"/>
          <w:lang w:eastAsia="es-CR"/>
        </w:rPr>
        <w:t>o que evidencia</w:t>
      </w:r>
      <w:r>
        <w:rPr>
          <w:rFonts w:ascii="Book Antiqua" w:hAnsi="Book Antiqua"/>
          <w:lang w:eastAsia="es-CR"/>
        </w:rPr>
        <w:t>n es</w:t>
      </w:r>
      <w:r w:rsidRPr="004E0DD1">
        <w:rPr>
          <w:rFonts w:ascii="Book Antiqua" w:hAnsi="Book Antiqua"/>
          <w:lang w:eastAsia="es-CR"/>
        </w:rPr>
        <w:t xml:space="preserve"> la necesidad de mejora </w:t>
      </w:r>
      <w:r>
        <w:rPr>
          <w:rFonts w:ascii="Book Antiqua" w:hAnsi="Book Antiqua"/>
          <w:lang w:eastAsia="es-CR"/>
        </w:rPr>
        <w:t xml:space="preserve">en </w:t>
      </w:r>
      <w:r w:rsidRPr="004E0DD1">
        <w:rPr>
          <w:rFonts w:ascii="Book Antiqua" w:hAnsi="Book Antiqua"/>
          <w:lang w:eastAsia="es-CR"/>
        </w:rPr>
        <w:t xml:space="preserve">su sistema de trabajo </w:t>
      </w:r>
      <w:r>
        <w:rPr>
          <w:rFonts w:ascii="Book Antiqua" w:hAnsi="Book Antiqua"/>
          <w:lang w:eastAsia="es-CR"/>
        </w:rPr>
        <w:t xml:space="preserve">con la implementación del modelo penal </w:t>
      </w:r>
      <w:r w:rsidRPr="004E0DD1">
        <w:rPr>
          <w:rFonts w:ascii="Book Antiqua" w:hAnsi="Book Antiqua"/>
          <w:lang w:eastAsia="es-CR"/>
        </w:rPr>
        <w:t>para incrementar el nivel de cumplimiento.</w:t>
      </w:r>
    </w:p>
    <w:p w14:paraId="7D9F5F18" w14:textId="0553B987" w:rsidR="00776798" w:rsidRPr="00447A72" w:rsidRDefault="1C5B032C" w:rsidP="00985591">
      <w:pPr>
        <w:pStyle w:val="Ttulo3"/>
        <w:spacing w:line="276" w:lineRule="auto"/>
        <w:rPr>
          <w:rFonts w:ascii="Book Antiqua" w:hAnsi="Book Antiqua"/>
          <w:color w:val="000000" w:themeColor="text1"/>
        </w:rPr>
      </w:pPr>
      <w:r w:rsidRPr="57A79FF7">
        <w:rPr>
          <w:rFonts w:ascii="Book Antiqua" w:hAnsi="Book Antiqua"/>
          <w:color w:val="000000" w:themeColor="text1"/>
        </w:rPr>
        <w:t xml:space="preserve">5.2.2 </w:t>
      </w:r>
      <w:r w:rsidR="00776798" w:rsidRPr="00447A72">
        <w:rPr>
          <w:rFonts w:ascii="Book Antiqua" w:hAnsi="Book Antiqua"/>
          <w:color w:val="000000" w:themeColor="text1"/>
        </w:rPr>
        <w:t>Tribunal de Juicio</w:t>
      </w:r>
    </w:p>
    <w:p w14:paraId="731C1125" w14:textId="77777777" w:rsidR="00447A72" w:rsidRPr="00447A72" w:rsidRDefault="00447A72" w:rsidP="00985591">
      <w:pPr>
        <w:spacing w:line="276" w:lineRule="auto"/>
        <w:rPr>
          <w:highlight w:val="yellow"/>
          <w:lang w:val="en-US" w:eastAsia="en-US"/>
        </w:rPr>
      </w:pPr>
    </w:p>
    <w:p w14:paraId="4142021A" w14:textId="17AFFF2D" w:rsidR="003D6B68" w:rsidRPr="003D6B68" w:rsidRDefault="003D6B68" w:rsidP="00985591">
      <w:pPr>
        <w:spacing w:line="276" w:lineRule="auto"/>
        <w:jc w:val="both"/>
        <w:rPr>
          <w:rFonts w:ascii="Book Antiqua" w:hAnsi="Book Antiqua"/>
          <w:color w:val="000000" w:themeColor="text1"/>
        </w:rPr>
      </w:pPr>
      <w:bookmarkStart w:id="19" w:name="_Hlk74832460"/>
      <w:r w:rsidRPr="003D6B68">
        <w:rPr>
          <w:rFonts w:ascii="Book Antiqua" w:hAnsi="Book Antiqua"/>
          <w:color w:val="000000" w:themeColor="text1"/>
        </w:rPr>
        <w:t>Los Tribunales de Juicio según las matrices de indicadores que presentan cuentan con 9</w:t>
      </w:r>
      <w:r w:rsidR="00045B69">
        <w:rPr>
          <w:rFonts w:ascii="Book Antiqua" w:hAnsi="Book Antiqua"/>
          <w:color w:val="000000" w:themeColor="text1"/>
        </w:rPr>
        <w:t>6</w:t>
      </w:r>
      <w:r w:rsidRPr="003D6B68">
        <w:rPr>
          <w:rFonts w:ascii="Book Antiqua" w:hAnsi="Book Antiqua"/>
          <w:color w:val="000000" w:themeColor="text1"/>
        </w:rPr>
        <w:t xml:space="preserve">% de cumplimiento en forma general a nivel nacional; por lo cual, se destaca el trabajo que estos han venido desarrollando con sus estructuras ordinarias, a pesar de que en la mayoría de los lugares fueron retirados los recursos de los planes remediales. </w:t>
      </w:r>
    </w:p>
    <w:p w14:paraId="1C5786EC" w14:textId="77777777" w:rsidR="003D6B68" w:rsidRPr="003D6B68" w:rsidRDefault="003D6B68" w:rsidP="00985591">
      <w:pPr>
        <w:spacing w:line="276" w:lineRule="auto"/>
        <w:jc w:val="both"/>
        <w:rPr>
          <w:rFonts w:ascii="Book Antiqua" w:hAnsi="Book Antiqua"/>
          <w:color w:val="000000" w:themeColor="text1"/>
        </w:rPr>
      </w:pPr>
    </w:p>
    <w:p w14:paraId="7B93F44A" w14:textId="5C075ED2" w:rsidR="003D6B68" w:rsidRDefault="00045B69" w:rsidP="00985591">
      <w:pPr>
        <w:spacing w:line="276" w:lineRule="auto"/>
        <w:jc w:val="both"/>
        <w:rPr>
          <w:rFonts w:ascii="Book Antiqua" w:hAnsi="Book Antiqua"/>
          <w:color w:val="000000" w:themeColor="text1"/>
        </w:rPr>
      </w:pPr>
      <w:r w:rsidRPr="00045B69">
        <w:rPr>
          <w:rFonts w:ascii="Book Antiqua" w:hAnsi="Book Antiqua"/>
          <w:color w:val="000000" w:themeColor="text1"/>
        </w:rPr>
        <w:t>Se hace la observación que los datos están basados con las matrices de indicadores de los despachos; que tienen la responsabilidad de que el dato sea coincidente contra el Sistema Sigma, por lo que, como parte de la revisión que hace la Dirección de Planificación también se va a poder visualizar una comparación de ese valor contra lo que genera el sistema.</w:t>
      </w:r>
    </w:p>
    <w:p w14:paraId="21CD96B3" w14:textId="77777777" w:rsidR="00045B69" w:rsidRPr="003D6B68" w:rsidRDefault="00045B69" w:rsidP="00985591">
      <w:pPr>
        <w:spacing w:line="276" w:lineRule="auto"/>
        <w:jc w:val="both"/>
        <w:rPr>
          <w:rFonts w:ascii="Book Antiqua" w:hAnsi="Book Antiqua"/>
          <w:color w:val="000000" w:themeColor="text1"/>
        </w:rPr>
      </w:pPr>
    </w:p>
    <w:p w14:paraId="760FA6ED" w14:textId="77777777" w:rsidR="003D6B68" w:rsidRPr="003D6B68" w:rsidRDefault="003D6B68" w:rsidP="00985591">
      <w:pPr>
        <w:spacing w:line="276" w:lineRule="auto"/>
        <w:jc w:val="both"/>
        <w:rPr>
          <w:rFonts w:ascii="Book Antiqua" w:hAnsi="Book Antiqua"/>
          <w:color w:val="000000" w:themeColor="text1"/>
        </w:rPr>
      </w:pPr>
      <w:r w:rsidRPr="003D6B68">
        <w:rPr>
          <w:rFonts w:ascii="Book Antiqua" w:hAnsi="Book Antiqua"/>
          <w:color w:val="000000" w:themeColor="text1"/>
        </w:rPr>
        <w:t>Importante señalar, que el Tribunal con mayor nivel de cumplimiento fue el Tribunal Penal del Primer Circuito Judicial de Guanacaste (Cañas) con un 203%; en tanto, el de menor nivel de cumplimiento fue el Tribunal Penal Segundo Circuito Judicial de la Zona Sur (Golfito) con apenas un 25%.</w:t>
      </w:r>
    </w:p>
    <w:p w14:paraId="0F268024" w14:textId="77777777" w:rsidR="003D6B68" w:rsidRPr="003D6B68" w:rsidRDefault="003D6B68" w:rsidP="00985591">
      <w:pPr>
        <w:spacing w:line="276" w:lineRule="auto"/>
        <w:jc w:val="both"/>
        <w:rPr>
          <w:rFonts w:ascii="Book Antiqua" w:hAnsi="Book Antiqua"/>
          <w:color w:val="000000" w:themeColor="text1"/>
        </w:rPr>
      </w:pPr>
    </w:p>
    <w:p w14:paraId="530EA1B2" w14:textId="35A7A643" w:rsidR="003D6B68" w:rsidRPr="003D6B68" w:rsidRDefault="003D6B68" w:rsidP="00985591">
      <w:pPr>
        <w:spacing w:line="276" w:lineRule="auto"/>
        <w:jc w:val="both"/>
        <w:rPr>
          <w:rFonts w:ascii="Book Antiqua" w:hAnsi="Book Antiqua"/>
          <w:color w:val="000000" w:themeColor="text1"/>
        </w:rPr>
      </w:pPr>
      <w:r w:rsidRPr="003D6B68">
        <w:rPr>
          <w:rFonts w:ascii="Book Antiqua" w:hAnsi="Book Antiqua"/>
          <w:color w:val="000000" w:themeColor="text1"/>
        </w:rPr>
        <w:t>Las oficinas que reflejan un rendimiento inferior al 80% son: Tribunal Penal de Sarapiquí 67%, Tribunal Penal de Liberia 64%,</w:t>
      </w:r>
      <w:r w:rsidR="00582428">
        <w:rPr>
          <w:rFonts w:ascii="Book Antiqua" w:hAnsi="Book Antiqua"/>
          <w:color w:val="000000" w:themeColor="text1"/>
        </w:rPr>
        <w:t xml:space="preserve"> Tribunal Penal de Pavas 64%,</w:t>
      </w:r>
      <w:r w:rsidRPr="003D6B68">
        <w:rPr>
          <w:rFonts w:ascii="Book Antiqua" w:hAnsi="Book Antiqua"/>
          <w:color w:val="000000" w:themeColor="text1"/>
        </w:rPr>
        <w:t xml:space="preserve"> Tribunal Penal de San José 63%, Tribunal Penal de Goicoechea 61%, Tribunal Penal de Grecia 50%, el Tribunal Penal de Osa 44% y Tribunal Penal de Golfito 25%.</w:t>
      </w:r>
    </w:p>
    <w:p w14:paraId="735E017A" w14:textId="77777777" w:rsidR="003D6B68" w:rsidRPr="003D6B68" w:rsidRDefault="003D6B68" w:rsidP="00985591">
      <w:pPr>
        <w:spacing w:line="276" w:lineRule="auto"/>
        <w:jc w:val="both"/>
        <w:rPr>
          <w:rFonts w:ascii="Book Antiqua" w:hAnsi="Book Antiqua"/>
          <w:color w:val="000000" w:themeColor="text1"/>
        </w:rPr>
      </w:pPr>
    </w:p>
    <w:p w14:paraId="786BA106" w14:textId="77777777" w:rsidR="003D6B68" w:rsidRPr="003D6B68" w:rsidRDefault="003D6B68" w:rsidP="00985591">
      <w:pPr>
        <w:spacing w:line="276" w:lineRule="auto"/>
        <w:jc w:val="both"/>
        <w:rPr>
          <w:rFonts w:ascii="Book Antiqua" w:hAnsi="Book Antiqua"/>
          <w:color w:val="000000" w:themeColor="text1"/>
        </w:rPr>
      </w:pPr>
      <w:r w:rsidRPr="003D6B68">
        <w:rPr>
          <w:rFonts w:ascii="Book Antiqua" w:hAnsi="Book Antiqua"/>
          <w:color w:val="000000" w:themeColor="text1"/>
        </w:rPr>
        <w:t>En lo que respecta al Tribunal Penal de Golfito le correspondió atender un juicio con duración estimada en tres meses. En Golfito el tribunal solo tiene 3 jueces, eso dejaría sin poder prestarse el servicio público mientras se celebra el debate en otra localidad. Asimismo, se requeriría la colaboración de personal técnico que de soporte en el juico.</w:t>
      </w:r>
    </w:p>
    <w:p w14:paraId="540D5F2F" w14:textId="77777777" w:rsidR="003D6B68" w:rsidRPr="003D6B68" w:rsidRDefault="003D6B68" w:rsidP="00985591">
      <w:pPr>
        <w:spacing w:line="276" w:lineRule="auto"/>
        <w:jc w:val="both"/>
        <w:rPr>
          <w:rFonts w:ascii="Book Antiqua" w:hAnsi="Book Antiqua"/>
          <w:color w:val="000000" w:themeColor="text1"/>
        </w:rPr>
      </w:pPr>
    </w:p>
    <w:p w14:paraId="367979B8" w14:textId="20097F98" w:rsidR="00AF4656" w:rsidRPr="00E27F7C" w:rsidRDefault="003D6B68" w:rsidP="00985591">
      <w:pPr>
        <w:spacing w:line="276" w:lineRule="auto"/>
        <w:jc w:val="both"/>
        <w:rPr>
          <w:rFonts w:ascii="Book Antiqua" w:hAnsi="Book Antiqua"/>
          <w:color w:val="000000" w:themeColor="text1"/>
          <w:highlight w:val="yellow"/>
        </w:rPr>
      </w:pPr>
      <w:r w:rsidRPr="003D6B68">
        <w:rPr>
          <w:rFonts w:ascii="Book Antiqua" w:hAnsi="Book Antiqua"/>
          <w:color w:val="000000" w:themeColor="text1"/>
        </w:rPr>
        <w:t>Sobre el Tribunal Penal de Grecia, le correspondió para este período tender de manera conjunta con el Tribunal Penal de San Ramón, varios procesos de crimen organizado y tramitación compleja pendientes de juicio.</w:t>
      </w:r>
    </w:p>
    <w:p w14:paraId="31F27B00" w14:textId="77777777" w:rsidR="00AF4656" w:rsidRPr="00E27F7C" w:rsidRDefault="00AF4656" w:rsidP="00985591">
      <w:pPr>
        <w:spacing w:line="276" w:lineRule="auto"/>
        <w:jc w:val="both"/>
        <w:rPr>
          <w:rFonts w:ascii="Book Antiqua" w:hAnsi="Book Antiqua"/>
          <w:color w:val="000000" w:themeColor="text1"/>
          <w:highlight w:val="yellow"/>
        </w:rPr>
      </w:pPr>
    </w:p>
    <w:p w14:paraId="44B73109" w14:textId="33539DCD" w:rsidR="005A0A67" w:rsidRPr="00EF2718" w:rsidRDefault="00AF4656" w:rsidP="00985591">
      <w:pPr>
        <w:spacing w:line="276" w:lineRule="auto"/>
        <w:jc w:val="both"/>
        <w:rPr>
          <w:rFonts w:ascii="Book Antiqua" w:hAnsi="Book Antiqua"/>
          <w:color w:val="000000" w:themeColor="text1"/>
        </w:rPr>
      </w:pPr>
      <w:r w:rsidRPr="002E0A44">
        <w:rPr>
          <w:rFonts w:ascii="Book Antiqua" w:hAnsi="Book Antiqua"/>
          <w:color w:val="000000" w:themeColor="text1"/>
        </w:rPr>
        <w:t xml:space="preserve">En el siguiente cuadro se </w:t>
      </w:r>
      <w:r w:rsidR="00A6535D" w:rsidRPr="002E0A44">
        <w:rPr>
          <w:rFonts w:ascii="Book Antiqua" w:hAnsi="Book Antiqua"/>
          <w:color w:val="000000" w:themeColor="text1"/>
        </w:rPr>
        <w:t>muestra numéricamente</w:t>
      </w:r>
      <w:r w:rsidRPr="002E0A44">
        <w:rPr>
          <w:rFonts w:ascii="Book Antiqua" w:hAnsi="Book Antiqua"/>
          <w:color w:val="000000" w:themeColor="text1"/>
        </w:rPr>
        <w:t xml:space="preserve"> el detalle:</w:t>
      </w:r>
    </w:p>
    <w:p w14:paraId="4FF549CC" w14:textId="77777777" w:rsidR="00A6535D" w:rsidRPr="00E27F7C" w:rsidRDefault="00A6535D" w:rsidP="00985591">
      <w:pPr>
        <w:spacing w:line="276" w:lineRule="auto"/>
        <w:jc w:val="both"/>
        <w:rPr>
          <w:rFonts w:ascii="Book Antiqua" w:hAnsi="Book Antiqua"/>
          <w:color w:val="000000" w:themeColor="text1"/>
          <w:highlight w:val="yellow"/>
        </w:rPr>
      </w:pPr>
    </w:p>
    <w:bookmarkEnd w:id="19"/>
    <w:p w14:paraId="1045FE5A" w14:textId="029D7A44" w:rsidR="00776798" w:rsidRPr="004F0E92" w:rsidRDefault="00776798" w:rsidP="00985591">
      <w:pPr>
        <w:spacing w:line="276" w:lineRule="auto"/>
        <w:jc w:val="center"/>
        <w:rPr>
          <w:rFonts w:ascii="Book Antiqua" w:hAnsi="Book Antiqua"/>
          <w:b/>
          <w:color w:val="000000" w:themeColor="text1"/>
        </w:rPr>
      </w:pPr>
      <w:r w:rsidRPr="00447A72">
        <w:rPr>
          <w:rFonts w:ascii="Book Antiqua" w:hAnsi="Book Antiqua"/>
          <w:b/>
          <w:color w:val="000000" w:themeColor="text1"/>
        </w:rPr>
        <w:t xml:space="preserve">Cuadro </w:t>
      </w:r>
      <w:r w:rsidR="00447A72" w:rsidRPr="00447A72">
        <w:rPr>
          <w:rFonts w:ascii="Book Antiqua" w:hAnsi="Book Antiqua"/>
          <w:b/>
          <w:color w:val="000000" w:themeColor="text1"/>
        </w:rPr>
        <w:t>4</w:t>
      </w:r>
      <w:r w:rsidR="006A710F">
        <w:rPr>
          <w:rFonts w:ascii="Book Antiqua" w:hAnsi="Book Antiqua"/>
          <w:b/>
          <w:color w:val="000000" w:themeColor="text1"/>
        </w:rPr>
        <w:t>5</w:t>
      </w:r>
    </w:p>
    <w:p w14:paraId="69E816AE" w14:textId="77777777" w:rsidR="00164EF8" w:rsidRPr="00E27F7C" w:rsidRDefault="00164EF8" w:rsidP="00985591">
      <w:pPr>
        <w:spacing w:line="276" w:lineRule="auto"/>
        <w:jc w:val="center"/>
        <w:rPr>
          <w:rFonts w:ascii="Book Antiqua" w:hAnsi="Book Antiqua"/>
          <w:bCs/>
          <w:color w:val="000000" w:themeColor="text1"/>
        </w:rPr>
      </w:pPr>
      <w:r w:rsidRPr="00E27F7C">
        <w:rPr>
          <w:rFonts w:ascii="Book Antiqua" w:hAnsi="Book Antiqua"/>
          <w:bCs/>
          <w:color w:val="000000" w:themeColor="text1"/>
        </w:rPr>
        <w:t xml:space="preserve">Cumplimiento del parámetro de producción </w:t>
      </w:r>
    </w:p>
    <w:p w14:paraId="042EF1E3" w14:textId="48345E82" w:rsidR="00582428" w:rsidRPr="002E0A44" w:rsidRDefault="00164EF8" w:rsidP="00124186">
      <w:pPr>
        <w:spacing w:line="276" w:lineRule="auto"/>
        <w:jc w:val="center"/>
        <w:rPr>
          <w:rFonts w:ascii="Book Antiqua" w:hAnsi="Book Antiqua"/>
          <w:bCs/>
          <w:color w:val="000000" w:themeColor="text1"/>
        </w:rPr>
      </w:pPr>
      <w:r w:rsidRPr="00E27F7C">
        <w:rPr>
          <w:rFonts w:ascii="Book Antiqua" w:hAnsi="Book Antiqua"/>
          <w:bCs/>
          <w:color w:val="000000" w:themeColor="text1"/>
        </w:rPr>
        <w:t xml:space="preserve">teórico de Tribunales Penales durante </w:t>
      </w:r>
      <w:r w:rsidR="00E27F7C" w:rsidRPr="00E27F7C">
        <w:rPr>
          <w:rFonts w:ascii="Book Antiqua" w:hAnsi="Book Antiqua"/>
          <w:bCs/>
          <w:color w:val="000000" w:themeColor="text1"/>
        </w:rPr>
        <w:t>junio de</w:t>
      </w:r>
      <w:r w:rsidRPr="00E27F7C">
        <w:rPr>
          <w:rFonts w:ascii="Book Antiqua" w:hAnsi="Book Antiqua"/>
          <w:bCs/>
          <w:color w:val="000000" w:themeColor="text1"/>
        </w:rPr>
        <w:t xml:space="preserve"> 2021</w:t>
      </w:r>
      <w:r w:rsidR="005F764A" w:rsidRPr="00E27F7C">
        <w:rPr>
          <w:rFonts w:ascii="Book Antiqua" w:hAnsi="Book Antiqua"/>
          <w:bCs/>
          <w:color w:val="000000" w:themeColor="text1"/>
        </w:rPr>
        <w:t xml:space="preserve"> </w:t>
      </w:r>
    </w:p>
    <w:tbl>
      <w:tblPr>
        <w:tblW w:w="9776" w:type="dxa"/>
        <w:jc w:val="center"/>
        <w:tblCellMar>
          <w:left w:w="70" w:type="dxa"/>
          <w:right w:w="70" w:type="dxa"/>
        </w:tblCellMar>
        <w:tblLook w:val="04A0" w:firstRow="1" w:lastRow="0" w:firstColumn="1" w:lastColumn="0" w:noHBand="0" w:noVBand="1"/>
      </w:tblPr>
      <w:tblGrid>
        <w:gridCol w:w="6237"/>
        <w:gridCol w:w="1794"/>
        <w:gridCol w:w="1050"/>
        <w:gridCol w:w="695"/>
      </w:tblGrid>
      <w:tr w:rsidR="00582428" w:rsidRPr="00124186" w14:paraId="71046922" w14:textId="77777777" w:rsidTr="00124186">
        <w:trPr>
          <w:trHeight w:val="730"/>
          <w:jc w:val="center"/>
        </w:trPr>
        <w:tc>
          <w:tcPr>
            <w:tcW w:w="6237" w:type="dxa"/>
            <w:vMerge w:val="restart"/>
            <w:tcBorders>
              <w:top w:val="single" w:sz="4" w:space="0" w:color="auto"/>
              <w:left w:val="single" w:sz="4" w:space="0" w:color="auto"/>
              <w:bottom w:val="single" w:sz="4" w:space="0" w:color="000000"/>
              <w:right w:val="single" w:sz="4" w:space="0" w:color="auto"/>
            </w:tcBorders>
            <w:shd w:val="clear" w:color="000000" w:fill="305496"/>
            <w:noWrap/>
            <w:vAlign w:val="center"/>
            <w:hideMark/>
          </w:tcPr>
          <w:p w14:paraId="59A5BECC" w14:textId="77777777" w:rsidR="00582428" w:rsidRPr="00124186" w:rsidRDefault="00582428" w:rsidP="00582428">
            <w:pPr>
              <w:jc w:val="center"/>
              <w:rPr>
                <w:rFonts w:ascii="Book Antiqua" w:hAnsi="Book Antiqua" w:cs="Calibri"/>
                <w:b/>
                <w:bCs/>
                <w:color w:val="FFFFFF"/>
                <w:sz w:val="16"/>
                <w:szCs w:val="16"/>
                <w:lang w:eastAsia="es-CR"/>
              </w:rPr>
            </w:pPr>
            <w:r w:rsidRPr="00124186">
              <w:rPr>
                <w:rFonts w:ascii="Book Antiqua" w:hAnsi="Book Antiqua" w:cs="Calibri"/>
                <w:b/>
                <w:bCs/>
                <w:color w:val="FFFFFF"/>
                <w:sz w:val="16"/>
                <w:szCs w:val="16"/>
                <w:lang w:eastAsia="es-CR"/>
              </w:rPr>
              <w:t>Despacho</w:t>
            </w:r>
          </w:p>
        </w:tc>
        <w:tc>
          <w:tcPr>
            <w:tcW w:w="3539" w:type="dxa"/>
            <w:gridSpan w:val="3"/>
            <w:tcBorders>
              <w:top w:val="nil"/>
              <w:left w:val="single" w:sz="4" w:space="0" w:color="auto"/>
              <w:bottom w:val="single" w:sz="4" w:space="0" w:color="auto"/>
              <w:right w:val="nil"/>
            </w:tcBorders>
            <w:shd w:val="clear" w:color="000000" w:fill="305496"/>
            <w:vAlign w:val="center"/>
            <w:hideMark/>
          </w:tcPr>
          <w:p w14:paraId="46958461" w14:textId="77777777" w:rsidR="00582428" w:rsidRPr="00124186" w:rsidRDefault="00582428" w:rsidP="00582428">
            <w:pPr>
              <w:jc w:val="center"/>
              <w:rPr>
                <w:rFonts w:ascii="Book Antiqua" w:hAnsi="Book Antiqua" w:cs="Calibri"/>
                <w:b/>
                <w:bCs/>
                <w:color w:val="FFFFFF"/>
                <w:sz w:val="16"/>
                <w:szCs w:val="16"/>
                <w:lang w:eastAsia="es-CR"/>
              </w:rPr>
            </w:pPr>
            <w:r w:rsidRPr="00124186">
              <w:rPr>
                <w:rFonts w:ascii="Book Antiqua" w:hAnsi="Book Antiqua" w:cs="Calibri"/>
                <w:b/>
                <w:bCs/>
                <w:color w:val="FFFFFF"/>
                <w:sz w:val="16"/>
                <w:szCs w:val="16"/>
                <w:lang w:eastAsia="es-CR"/>
              </w:rPr>
              <w:t xml:space="preserve">Porcentaje de cumplimiento Sentencias / Medida alterna </w:t>
            </w:r>
          </w:p>
        </w:tc>
      </w:tr>
      <w:tr w:rsidR="00582428" w:rsidRPr="00124186" w14:paraId="1D824EEB" w14:textId="77777777" w:rsidTr="00124186">
        <w:trPr>
          <w:trHeight w:val="290"/>
          <w:jc w:val="center"/>
        </w:trPr>
        <w:tc>
          <w:tcPr>
            <w:tcW w:w="6237" w:type="dxa"/>
            <w:vMerge/>
            <w:tcBorders>
              <w:top w:val="single" w:sz="4" w:space="0" w:color="auto"/>
              <w:left w:val="single" w:sz="4" w:space="0" w:color="auto"/>
              <w:bottom w:val="single" w:sz="4" w:space="0" w:color="000000"/>
              <w:right w:val="single" w:sz="4" w:space="0" w:color="auto"/>
            </w:tcBorders>
            <w:vAlign w:val="center"/>
            <w:hideMark/>
          </w:tcPr>
          <w:p w14:paraId="51422CC5" w14:textId="77777777" w:rsidR="00582428" w:rsidRPr="00124186" w:rsidRDefault="00582428" w:rsidP="00582428">
            <w:pPr>
              <w:rPr>
                <w:rFonts w:ascii="Book Antiqua" w:hAnsi="Book Antiqua" w:cs="Calibri"/>
                <w:b/>
                <w:bCs/>
                <w:color w:val="FFFFFF"/>
                <w:sz w:val="16"/>
                <w:szCs w:val="16"/>
                <w:lang w:eastAsia="es-CR"/>
              </w:rPr>
            </w:pPr>
          </w:p>
        </w:tc>
        <w:tc>
          <w:tcPr>
            <w:tcW w:w="1794" w:type="dxa"/>
            <w:tcBorders>
              <w:top w:val="single" w:sz="4" w:space="0" w:color="auto"/>
              <w:left w:val="nil"/>
              <w:bottom w:val="single" w:sz="4" w:space="0" w:color="auto"/>
              <w:right w:val="single" w:sz="4" w:space="0" w:color="auto"/>
            </w:tcBorders>
            <w:shd w:val="clear" w:color="000000" w:fill="AEAAAA"/>
            <w:noWrap/>
            <w:vAlign w:val="center"/>
            <w:hideMark/>
          </w:tcPr>
          <w:p w14:paraId="72BC5F4D" w14:textId="77777777" w:rsidR="00582428" w:rsidRPr="00124186" w:rsidRDefault="00582428" w:rsidP="00582428">
            <w:pPr>
              <w:jc w:val="center"/>
              <w:rPr>
                <w:rFonts w:ascii="Book Antiqua" w:hAnsi="Book Antiqua" w:cs="Calibri"/>
                <w:b/>
                <w:bCs/>
                <w:color w:val="FFFFFF"/>
                <w:sz w:val="16"/>
                <w:szCs w:val="16"/>
                <w:lang w:eastAsia="es-CR"/>
              </w:rPr>
            </w:pPr>
            <w:r w:rsidRPr="00124186">
              <w:rPr>
                <w:rFonts w:ascii="Book Antiqua" w:hAnsi="Book Antiqua" w:cs="Calibri"/>
                <w:b/>
                <w:bCs/>
                <w:color w:val="FFFFFF"/>
                <w:sz w:val="16"/>
                <w:szCs w:val="16"/>
                <w:lang w:eastAsia="es-CR"/>
              </w:rPr>
              <w:t>Indicadores</w:t>
            </w:r>
          </w:p>
        </w:tc>
        <w:tc>
          <w:tcPr>
            <w:tcW w:w="1050" w:type="dxa"/>
            <w:tcBorders>
              <w:top w:val="single" w:sz="4" w:space="0" w:color="auto"/>
              <w:left w:val="nil"/>
              <w:bottom w:val="single" w:sz="4" w:space="0" w:color="auto"/>
              <w:right w:val="single" w:sz="4" w:space="0" w:color="auto"/>
            </w:tcBorders>
            <w:shd w:val="clear" w:color="000000" w:fill="AEAAAA"/>
            <w:noWrap/>
            <w:vAlign w:val="center"/>
            <w:hideMark/>
          </w:tcPr>
          <w:p w14:paraId="3FA0EFBA" w14:textId="77777777" w:rsidR="00582428" w:rsidRPr="00124186" w:rsidRDefault="00582428" w:rsidP="00582428">
            <w:pPr>
              <w:jc w:val="center"/>
              <w:rPr>
                <w:rFonts w:ascii="Book Antiqua" w:hAnsi="Book Antiqua" w:cs="Calibri"/>
                <w:b/>
                <w:bCs/>
                <w:color w:val="FFFFFF"/>
                <w:sz w:val="16"/>
                <w:szCs w:val="16"/>
                <w:lang w:eastAsia="es-CR"/>
              </w:rPr>
            </w:pPr>
            <w:r w:rsidRPr="00124186">
              <w:rPr>
                <w:rFonts w:ascii="Book Antiqua" w:hAnsi="Book Antiqua" w:cs="Calibri"/>
                <w:b/>
                <w:bCs/>
                <w:color w:val="FFFFFF"/>
                <w:sz w:val="16"/>
                <w:szCs w:val="16"/>
                <w:lang w:eastAsia="es-CR"/>
              </w:rPr>
              <w:t>Sigma</w:t>
            </w:r>
          </w:p>
        </w:tc>
        <w:tc>
          <w:tcPr>
            <w:tcW w:w="695" w:type="dxa"/>
            <w:tcBorders>
              <w:top w:val="single" w:sz="4" w:space="0" w:color="auto"/>
              <w:left w:val="nil"/>
              <w:bottom w:val="single" w:sz="4" w:space="0" w:color="auto"/>
              <w:right w:val="single" w:sz="4" w:space="0" w:color="auto"/>
            </w:tcBorders>
            <w:shd w:val="clear" w:color="000000" w:fill="AEAAAA"/>
            <w:noWrap/>
            <w:vAlign w:val="center"/>
            <w:hideMark/>
          </w:tcPr>
          <w:p w14:paraId="1C199BFF" w14:textId="77777777" w:rsidR="00582428" w:rsidRPr="00124186" w:rsidRDefault="00582428" w:rsidP="00582428">
            <w:pPr>
              <w:jc w:val="center"/>
              <w:rPr>
                <w:rFonts w:ascii="Book Antiqua" w:hAnsi="Book Antiqua" w:cs="Calibri"/>
                <w:b/>
                <w:bCs/>
                <w:color w:val="FFFFFF"/>
                <w:sz w:val="16"/>
                <w:szCs w:val="16"/>
                <w:lang w:eastAsia="es-CR"/>
              </w:rPr>
            </w:pPr>
            <w:r w:rsidRPr="00124186">
              <w:rPr>
                <w:rFonts w:ascii="Book Antiqua" w:hAnsi="Book Antiqua" w:cs="Calibri"/>
                <w:b/>
                <w:bCs/>
                <w:color w:val="FFFFFF"/>
                <w:sz w:val="16"/>
                <w:szCs w:val="16"/>
                <w:lang w:eastAsia="es-CR"/>
              </w:rPr>
              <w:t>Dif%</w:t>
            </w:r>
          </w:p>
        </w:tc>
      </w:tr>
      <w:tr w:rsidR="00582428" w:rsidRPr="00124186" w14:paraId="4BD02EA0" w14:textId="77777777" w:rsidTr="00124186">
        <w:trPr>
          <w:trHeight w:val="290"/>
          <w:jc w:val="center"/>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2B1A5993" w14:textId="77777777" w:rsidR="00582428" w:rsidRPr="00124186" w:rsidRDefault="00582428" w:rsidP="00582428">
            <w:pP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Tribunal Penal del Primer Circuito Judicial de Guanacaste (Cañas)</w:t>
            </w:r>
          </w:p>
        </w:tc>
        <w:tc>
          <w:tcPr>
            <w:tcW w:w="1794" w:type="dxa"/>
            <w:tcBorders>
              <w:top w:val="nil"/>
              <w:left w:val="nil"/>
              <w:bottom w:val="single" w:sz="4" w:space="0" w:color="auto"/>
              <w:right w:val="single" w:sz="4" w:space="0" w:color="auto"/>
            </w:tcBorders>
            <w:shd w:val="clear" w:color="auto" w:fill="auto"/>
            <w:noWrap/>
            <w:vAlign w:val="center"/>
            <w:hideMark/>
          </w:tcPr>
          <w:p w14:paraId="2CEB2BD4" w14:textId="77777777" w:rsidR="00582428" w:rsidRPr="00124186" w:rsidRDefault="00582428" w:rsidP="00582428">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203%</w:t>
            </w:r>
          </w:p>
        </w:tc>
        <w:tc>
          <w:tcPr>
            <w:tcW w:w="1050" w:type="dxa"/>
            <w:tcBorders>
              <w:top w:val="nil"/>
              <w:left w:val="nil"/>
              <w:bottom w:val="single" w:sz="4" w:space="0" w:color="auto"/>
              <w:right w:val="single" w:sz="4" w:space="0" w:color="auto"/>
            </w:tcBorders>
            <w:shd w:val="clear" w:color="auto" w:fill="auto"/>
            <w:noWrap/>
            <w:vAlign w:val="center"/>
            <w:hideMark/>
          </w:tcPr>
          <w:p w14:paraId="54FD2C2C" w14:textId="77777777" w:rsidR="00582428" w:rsidRPr="00124186" w:rsidRDefault="00582428" w:rsidP="00582428">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263%</w:t>
            </w:r>
          </w:p>
        </w:tc>
        <w:tc>
          <w:tcPr>
            <w:tcW w:w="695" w:type="dxa"/>
            <w:tcBorders>
              <w:top w:val="nil"/>
              <w:left w:val="nil"/>
              <w:bottom w:val="single" w:sz="4" w:space="0" w:color="auto"/>
              <w:right w:val="single" w:sz="4" w:space="0" w:color="auto"/>
            </w:tcBorders>
            <w:shd w:val="clear" w:color="000000" w:fill="EDEDED"/>
            <w:noWrap/>
            <w:vAlign w:val="center"/>
            <w:hideMark/>
          </w:tcPr>
          <w:p w14:paraId="0F946AC1" w14:textId="77777777" w:rsidR="00582428" w:rsidRPr="00124186" w:rsidRDefault="00582428" w:rsidP="00582428">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59%</w:t>
            </w:r>
          </w:p>
        </w:tc>
      </w:tr>
      <w:tr w:rsidR="00582428" w:rsidRPr="00124186" w14:paraId="46DF2B56" w14:textId="77777777" w:rsidTr="00124186">
        <w:trPr>
          <w:trHeight w:val="290"/>
          <w:jc w:val="center"/>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0C999907" w14:textId="77777777" w:rsidR="00582428" w:rsidRPr="00124186" w:rsidRDefault="00582428" w:rsidP="00582428">
            <w:pP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Tribunal Penal del Segundo Circuito Judicial de la Zona Atlántica (Siquirres)</w:t>
            </w:r>
          </w:p>
        </w:tc>
        <w:tc>
          <w:tcPr>
            <w:tcW w:w="1794" w:type="dxa"/>
            <w:tcBorders>
              <w:top w:val="nil"/>
              <w:left w:val="nil"/>
              <w:bottom w:val="single" w:sz="4" w:space="0" w:color="auto"/>
              <w:right w:val="single" w:sz="4" w:space="0" w:color="auto"/>
            </w:tcBorders>
            <w:shd w:val="clear" w:color="auto" w:fill="auto"/>
            <w:noWrap/>
            <w:vAlign w:val="center"/>
            <w:hideMark/>
          </w:tcPr>
          <w:p w14:paraId="7B906068" w14:textId="77777777" w:rsidR="00582428" w:rsidRPr="00124186" w:rsidRDefault="00582428" w:rsidP="00582428">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183%</w:t>
            </w:r>
          </w:p>
        </w:tc>
        <w:tc>
          <w:tcPr>
            <w:tcW w:w="1050" w:type="dxa"/>
            <w:tcBorders>
              <w:top w:val="nil"/>
              <w:left w:val="nil"/>
              <w:bottom w:val="single" w:sz="4" w:space="0" w:color="auto"/>
              <w:right w:val="single" w:sz="4" w:space="0" w:color="auto"/>
            </w:tcBorders>
            <w:shd w:val="clear" w:color="auto" w:fill="auto"/>
            <w:noWrap/>
            <w:vAlign w:val="center"/>
            <w:hideMark/>
          </w:tcPr>
          <w:p w14:paraId="6CCF5ED4" w14:textId="77777777" w:rsidR="00582428" w:rsidRPr="00124186" w:rsidRDefault="00582428" w:rsidP="00582428">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192%</w:t>
            </w:r>
          </w:p>
        </w:tc>
        <w:tc>
          <w:tcPr>
            <w:tcW w:w="695" w:type="dxa"/>
            <w:tcBorders>
              <w:top w:val="nil"/>
              <w:left w:val="nil"/>
              <w:bottom w:val="single" w:sz="4" w:space="0" w:color="auto"/>
              <w:right w:val="single" w:sz="4" w:space="0" w:color="auto"/>
            </w:tcBorders>
            <w:shd w:val="clear" w:color="000000" w:fill="EDEDED"/>
            <w:noWrap/>
            <w:vAlign w:val="center"/>
            <w:hideMark/>
          </w:tcPr>
          <w:p w14:paraId="6A75DE54" w14:textId="77777777" w:rsidR="00582428" w:rsidRPr="00124186" w:rsidRDefault="00582428" w:rsidP="00582428">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8%</w:t>
            </w:r>
          </w:p>
        </w:tc>
      </w:tr>
      <w:tr w:rsidR="00582428" w:rsidRPr="00124186" w14:paraId="394812F2" w14:textId="77777777" w:rsidTr="00124186">
        <w:trPr>
          <w:trHeight w:val="290"/>
          <w:jc w:val="center"/>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7A8E4E84" w14:textId="77777777" w:rsidR="00582428" w:rsidRPr="00124186" w:rsidRDefault="00582428" w:rsidP="00582428">
            <w:pP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Tribunal Penal de Puntarenas</w:t>
            </w:r>
          </w:p>
        </w:tc>
        <w:tc>
          <w:tcPr>
            <w:tcW w:w="1794" w:type="dxa"/>
            <w:tcBorders>
              <w:top w:val="nil"/>
              <w:left w:val="nil"/>
              <w:bottom w:val="single" w:sz="4" w:space="0" w:color="auto"/>
              <w:right w:val="single" w:sz="4" w:space="0" w:color="auto"/>
            </w:tcBorders>
            <w:shd w:val="clear" w:color="auto" w:fill="auto"/>
            <w:noWrap/>
            <w:vAlign w:val="center"/>
            <w:hideMark/>
          </w:tcPr>
          <w:p w14:paraId="40671AB6" w14:textId="77777777" w:rsidR="00582428" w:rsidRPr="00124186" w:rsidRDefault="00582428" w:rsidP="00582428">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138%</w:t>
            </w:r>
          </w:p>
        </w:tc>
        <w:tc>
          <w:tcPr>
            <w:tcW w:w="1050" w:type="dxa"/>
            <w:tcBorders>
              <w:top w:val="nil"/>
              <w:left w:val="nil"/>
              <w:bottom w:val="single" w:sz="4" w:space="0" w:color="auto"/>
              <w:right w:val="single" w:sz="4" w:space="0" w:color="auto"/>
            </w:tcBorders>
            <w:shd w:val="clear" w:color="auto" w:fill="auto"/>
            <w:noWrap/>
            <w:vAlign w:val="center"/>
            <w:hideMark/>
          </w:tcPr>
          <w:p w14:paraId="4E787C3A" w14:textId="77777777" w:rsidR="00582428" w:rsidRPr="00124186" w:rsidRDefault="00582428" w:rsidP="00582428">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120%</w:t>
            </w:r>
          </w:p>
        </w:tc>
        <w:tc>
          <w:tcPr>
            <w:tcW w:w="695" w:type="dxa"/>
            <w:tcBorders>
              <w:top w:val="nil"/>
              <w:left w:val="nil"/>
              <w:bottom w:val="single" w:sz="4" w:space="0" w:color="auto"/>
              <w:right w:val="single" w:sz="4" w:space="0" w:color="auto"/>
            </w:tcBorders>
            <w:shd w:val="clear" w:color="000000" w:fill="EDEDED"/>
            <w:noWrap/>
            <w:vAlign w:val="center"/>
            <w:hideMark/>
          </w:tcPr>
          <w:p w14:paraId="7F429B2D" w14:textId="77777777" w:rsidR="00582428" w:rsidRPr="00124186" w:rsidRDefault="00582428" w:rsidP="00582428">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-18%</w:t>
            </w:r>
          </w:p>
        </w:tc>
      </w:tr>
      <w:tr w:rsidR="00582428" w:rsidRPr="00124186" w14:paraId="353DB52C" w14:textId="77777777" w:rsidTr="00124186">
        <w:trPr>
          <w:trHeight w:val="290"/>
          <w:jc w:val="center"/>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1D0BA2A9" w14:textId="77777777" w:rsidR="00582428" w:rsidRPr="00124186" w:rsidRDefault="00582428" w:rsidP="00582428">
            <w:pP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Tribunal Penal del Segundo Circuito Judicial de la Zona Atlántica (Guápiles)</w:t>
            </w:r>
          </w:p>
        </w:tc>
        <w:tc>
          <w:tcPr>
            <w:tcW w:w="1794" w:type="dxa"/>
            <w:tcBorders>
              <w:top w:val="nil"/>
              <w:left w:val="nil"/>
              <w:bottom w:val="single" w:sz="4" w:space="0" w:color="auto"/>
              <w:right w:val="single" w:sz="4" w:space="0" w:color="auto"/>
            </w:tcBorders>
            <w:shd w:val="clear" w:color="auto" w:fill="auto"/>
            <w:noWrap/>
            <w:vAlign w:val="center"/>
            <w:hideMark/>
          </w:tcPr>
          <w:p w14:paraId="626BF194" w14:textId="77777777" w:rsidR="00582428" w:rsidRPr="00124186" w:rsidRDefault="00582428" w:rsidP="00582428">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135%</w:t>
            </w:r>
          </w:p>
        </w:tc>
        <w:tc>
          <w:tcPr>
            <w:tcW w:w="1050" w:type="dxa"/>
            <w:tcBorders>
              <w:top w:val="nil"/>
              <w:left w:val="nil"/>
              <w:bottom w:val="single" w:sz="4" w:space="0" w:color="auto"/>
              <w:right w:val="single" w:sz="4" w:space="0" w:color="auto"/>
            </w:tcBorders>
            <w:shd w:val="clear" w:color="auto" w:fill="auto"/>
            <w:noWrap/>
            <w:vAlign w:val="center"/>
            <w:hideMark/>
          </w:tcPr>
          <w:p w14:paraId="621F9FD8" w14:textId="77777777" w:rsidR="00582428" w:rsidRPr="00124186" w:rsidRDefault="00582428" w:rsidP="00582428">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130%</w:t>
            </w:r>
          </w:p>
        </w:tc>
        <w:tc>
          <w:tcPr>
            <w:tcW w:w="695" w:type="dxa"/>
            <w:tcBorders>
              <w:top w:val="nil"/>
              <w:left w:val="nil"/>
              <w:bottom w:val="single" w:sz="4" w:space="0" w:color="auto"/>
              <w:right w:val="single" w:sz="4" w:space="0" w:color="auto"/>
            </w:tcBorders>
            <w:shd w:val="clear" w:color="000000" w:fill="EDEDED"/>
            <w:noWrap/>
            <w:vAlign w:val="center"/>
            <w:hideMark/>
          </w:tcPr>
          <w:p w14:paraId="7243FC94" w14:textId="77777777" w:rsidR="00582428" w:rsidRPr="00124186" w:rsidRDefault="00582428" w:rsidP="00582428">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-5%</w:t>
            </w:r>
          </w:p>
        </w:tc>
      </w:tr>
      <w:tr w:rsidR="00582428" w:rsidRPr="00124186" w14:paraId="47B35CF4" w14:textId="77777777" w:rsidTr="00124186">
        <w:trPr>
          <w:trHeight w:val="290"/>
          <w:jc w:val="center"/>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1B5C391F" w14:textId="77777777" w:rsidR="00582428" w:rsidRPr="00124186" w:rsidRDefault="00582428" w:rsidP="00582428">
            <w:pP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Tribunal Penal de Quepos</w:t>
            </w:r>
          </w:p>
        </w:tc>
        <w:tc>
          <w:tcPr>
            <w:tcW w:w="1794" w:type="dxa"/>
            <w:tcBorders>
              <w:top w:val="nil"/>
              <w:left w:val="nil"/>
              <w:bottom w:val="single" w:sz="4" w:space="0" w:color="auto"/>
              <w:right w:val="single" w:sz="4" w:space="0" w:color="auto"/>
            </w:tcBorders>
            <w:shd w:val="clear" w:color="auto" w:fill="auto"/>
            <w:noWrap/>
            <w:vAlign w:val="center"/>
            <w:hideMark/>
          </w:tcPr>
          <w:p w14:paraId="3C080F76" w14:textId="77777777" w:rsidR="00582428" w:rsidRPr="00124186" w:rsidRDefault="00582428" w:rsidP="00582428">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125%</w:t>
            </w:r>
          </w:p>
        </w:tc>
        <w:tc>
          <w:tcPr>
            <w:tcW w:w="1050" w:type="dxa"/>
            <w:tcBorders>
              <w:top w:val="nil"/>
              <w:left w:val="nil"/>
              <w:bottom w:val="single" w:sz="4" w:space="0" w:color="auto"/>
              <w:right w:val="single" w:sz="4" w:space="0" w:color="auto"/>
            </w:tcBorders>
            <w:shd w:val="clear" w:color="auto" w:fill="auto"/>
            <w:noWrap/>
            <w:vAlign w:val="center"/>
            <w:hideMark/>
          </w:tcPr>
          <w:p w14:paraId="1C45FA5C" w14:textId="77777777" w:rsidR="00582428" w:rsidRPr="00124186" w:rsidRDefault="00582428" w:rsidP="00582428">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119%</w:t>
            </w:r>
          </w:p>
        </w:tc>
        <w:tc>
          <w:tcPr>
            <w:tcW w:w="695" w:type="dxa"/>
            <w:tcBorders>
              <w:top w:val="nil"/>
              <w:left w:val="nil"/>
              <w:bottom w:val="single" w:sz="4" w:space="0" w:color="auto"/>
              <w:right w:val="single" w:sz="4" w:space="0" w:color="auto"/>
            </w:tcBorders>
            <w:shd w:val="clear" w:color="000000" w:fill="EDEDED"/>
            <w:noWrap/>
            <w:vAlign w:val="center"/>
            <w:hideMark/>
          </w:tcPr>
          <w:p w14:paraId="43A262C1" w14:textId="77777777" w:rsidR="00582428" w:rsidRPr="00124186" w:rsidRDefault="00582428" w:rsidP="00582428">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-6%</w:t>
            </w:r>
          </w:p>
        </w:tc>
      </w:tr>
      <w:tr w:rsidR="00582428" w:rsidRPr="00124186" w14:paraId="54C085A3" w14:textId="77777777" w:rsidTr="00124186">
        <w:trPr>
          <w:trHeight w:val="290"/>
          <w:jc w:val="center"/>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4701EA7C" w14:textId="77777777" w:rsidR="00582428" w:rsidRPr="00124186" w:rsidRDefault="00582428" w:rsidP="00582428">
            <w:pP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Tribunal Penal del Primer Circuito Judicial de la Zona Sur (Perez Zeledón)</w:t>
            </w:r>
          </w:p>
        </w:tc>
        <w:tc>
          <w:tcPr>
            <w:tcW w:w="1794" w:type="dxa"/>
            <w:tcBorders>
              <w:top w:val="nil"/>
              <w:left w:val="nil"/>
              <w:bottom w:val="single" w:sz="4" w:space="0" w:color="auto"/>
              <w:right w:val="single" w:sz="4" w:space="0" w:color="auto"/>
            </w:tcBorders>
            <w:shd w:val="clear" w:color="auto" w:fill="auto"/>
            <w:noWrap/>
            <w:vAlign w:val="center"/>
            <w:hideMark/>
          </w:tcPr>
          <w:p w14:paraId="2F8D7BD4" w14:textId="77777777" w:rsidR="00582428" w:rsidRPr="00124186" w:rsidRDefault="00582428" w:rsidP="00582428">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120%</w:t>
            </w:r>
          </w:p>
        </w:tc>
        <w:tc>
          <w:tcPr>
            <w:tcW w:w="1050" w:type="dxa"/>
            <w:tcBorders>
              <w:top w:val="nil"/>
              <w:left w:val="nil"/>
              <w:bottom w:val="single" w:sz="4" w:space="0" w:color="auto"/>
              <w:right w:val="single" w:sz="4" w:space="0" w:color="auto"/>
            </w:tcBorders>
            <w:shd w:val="clear" w:color="auto" w:fill="auto"/>
            <w:noWrap/>
            <w:vAlign w:val="center"/>
            <w:hideMark/>
          </w:tcPr>
          <w:p w14:paraId="61D43341" w14:textId="77777777" w:rsidR="00582428" w:rsidRPr="00124186" w:rsidRDefault="00582428" w:rsidP="00582428">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93%</w:t>
            </w:r>
          </w:p>
        </w:tc>
        <w:tc>
          <w:tcPr>
            <w:tcW w:w="695" w:type="dxa"/>
            <w:tcBorders>
              <w:top w:val="nil"/>
              <w:left w:val="nil"/>
              <w:bottom w:val="single" w:sz="4" w:space="0" w:color="auto"/>
              <w:right w:val="single" w:sz="4" w:space="0" w:color="auto"/>
            </w:tcBorders>
            <w:shd w:val="clear" w:color="000000" w:fill="EDEDED"/>
            <w:noWrap/>
            <w:vAlign w:val="center"/>
            <w:hideMark/>
          </w:tcPr>
          <w:p w14:paraId="24BF2A25" w14:textId="77777777" w:rsidR="00582428" w:rsidRPr="00124186" w:rsidRDefault="00582428" w:rsidP="00582428">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-27%</w:t>
            </w:r>
          </w:p>
        </w:tc>
      </w:tr>
      <w:tr w:rsidR="00582428" w:rsidRPr="00124186" w14:paraId="4E2459D1" w14:textId="77777777" w:rsidTr="00124186">
        <w:trPr>
          <w:trHeight w:val="290"/>
          <w:jc w:val="center"/>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78D3A0E4" w14:textId="77777777" w:rsidR="00582428" w:rsidRPr="00124186" w:rsidRDefault="00582428" w:rsidP="00582428">
            <w:pP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 xml:space="preserve">Tribunal Penal de Heredia </w:t>
            </w:r>
          </w:p>
        </w:tc>
        <w:tc>
          <w:tcPr>
            <w:tcW w:w="1794" w:type="dxa"/>
            <w:tcBorders>
              <w:top w:val="nil"/>
              <w:left w:val="nil"/>
              <w:bottom w:val="single" w:sz="4" w:space="0" w:color="auto"/>
              <w:right w:val="single" w:sz="4" w:space="0" w:color="auto"/>
            </w:tcBorders>
            <w:shd w:val="clear" w:color="auto" w:fill="auto"/>
            <w:noWrap/>
            <w:vAlign w:val="center"/>
            <w:hideMark/>
          </w:tcPr>
          <w:p w14:paraId="69D0537F" w14:textId="77777777" w:rsidR="00582428" w:rsidRPr="00124186" w:rsidRDefault="00582428" w:rsidP="00582428">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112%</w:t>
            </w:r>
          </w:p>
        </w:tc>
        <w:tc>
          <w:tcPr>
            <w:tcW w:w="1050" w:type="dxa"/>
            <w:tcBorders>
              <w:top w:val="nil"/>
              <w:left w:val="nil"/>
              <w:bottom w:val="single" w:sz="4" w:space="0" w:color="auto"/>
              <w:right w:val="single" w:sz="4" w:space="0" w:color="auto"/>
            </w:tcBorders>
            <w:shd w:val="clear" w:color="auto" w:fill="auto"/>
            <w:noWrap/>
            <w:vAlign w:val="center"/>
            <w:hideMark/>
          </w:tcPr>
          <w:p w14:paraId="782014F6" w14:textId="77777777" w:rsidR="00582428" w:rsidRPr="00124186" w:rsidRDefault="00582428" w:rsidP="00582428">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97%</w:t>
            </w:r>
          </w:p>
        </w:tc>
        <w:tc>
          <w:tcPr>
            <w:tcW w:w="695" w:type="dxa"/>
            <w:tcBorders>
              <w:top w:val="nil"/>
              <w:left w:val="nil"/>
              <w:bottom w:val="single" w:sz="4" w:space="0" w:color="auto"/>
              <w:right w:val="single" w:sz="4" w:space="0" w:color="auto"/>
            </w:tcBorders>
            <w:shd w:val="clear" w:color="000000" w:fill="EDEDED"/>
            <w:noWrap/>
            <w:vAlign w:val="center"/>
            <w:hideMark/>
          </w:tcPr>
          <w:p w14:paraId="01D11BCE" w14:textId="77777777" w:rsidR="00582428" w:rsidRPr="00124186" w:rsidRDefault="00582428" w:rsidP="00582428">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-15%</w:t>
            </w:r>
          </w:p>
        </w:tc>
      </w:tr>
      <w:tr w:rsidR="00582428" w:rsidRPr="00124186" w14:paraId="0D72D7D3" w14:textId="77777777" w:rsidTr="00124186">
        <w:trPr>
          <w:trHeight w:val="290"/>
          <w:jc w:val="center"/>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639698AB" w14:textId="77777777" w:rsidR="00582428" w:rsidRPr="00124186" w:rsidRDefault="00582428" w:rsidP="00582428">
            <w:pP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Tribunal Penal del Segundo Circuito Judicial de Guanacaste (Nicoya)</w:t>
            </w:r>
          </w:p>
        </w:tc>
        <w:tc>
          <w:tcPr>
            <w:tcW w:w="1794" w:type="dxa"/>
            <w:tcBorders>
              <w:top w:val="nil"/>
              <w:left w:val="nil"/>
              <w:bottom w:val="single" w:sz="4" w:space="0" w:color="auto"/>
              <w:right w:val="single" w:sz="4" w:space="0" w:color="auto"/>
            </w:tcBorders>
            <w:shd w:val="clear" w:color="auto" w:fill="auto"/>
            <w:noWrap/>
            <w:vAlign w:val="center"/>
            <w:hideMark/>
          </w:tcPr>
          <w:p w14:paraId="236BBEA0" w14:textId="77777777" w:rsidR="00582428" w:rsidRPr="00124186" w:rsidRDefault="00582428" w:rsidP="00582428">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112%</w:t>
            </w:r>
          </w:p>
        </w:tc>
        <w:tc>
          <w:tcPr>
            <w:tcW w:w="1050" w:type="dxa"/>
            <w:tcBorders>
              <w:top w:val="nil"/>
              <w:left w:val="nil"/>
              <w:bottom w:val="single" w:sz="4" w:space="0" w:color="auto"/>
              <w:right w:val="single" w:sz="4" w:space="0" w:color="auto"/>
            </w:tcBorders>
            <w:shd w:val="clear" w:color="auto" w:fill="auto"/>
            <w:noWrap/>
            <w:vAlign w:val="center"/>
            <w:hideMark/>
          </w:tcPr>
          <w:p w14:paraId="777CC62E" w14:textId="77777777" w:rsidR="00582428" w:rsidRPr="00124186" w:rsidRDefault="00582428" w:rsidP="00582428">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112%</w:t>
            </w:r>
          </w:p>
        </w:tc>
        <w:tc>
          <w:tcPr>
            <w:tcW w:w="695" w:type="dxa"/>
            <w:tcBorders>
              <w:top w:val="nil"/>
              <w:left w:val="nil"/>
              <w:bottom w:val="single" w:sz="4" w:space="0" w:color="auto"/>
              <w:right w:val="single" w:sz="4" w:space="0" w:color="auto"/>
            </w:tcBorders>
            <w:shd w:val="clear" w:color="000000" w:fill="EDEDED"/>
            <w:noWrap/>
            <w:vAlign w:val="center"/>
            <w:hideMark/>
          </w:tcPr>
          <w:p w14:paraId="08CBCC8C" w14:textId="77777777" w:rsidR="00582428" w:rsidRPr="00124186" w:rsidRDefault="00582428" w:rsidP="00582428">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0%</w:t>
            </w:r>
          </w:p>
        </w:tc>
      </w:tr>
      <w:tr w:rsidR="00582428" w:rsidRPr="00124186" w14:paraId="619379C8" w14:textId="77777777" w:rsidTr="00124186">
        <w:trPr>
          <w:trHeight w:val="290"/>
          <w:jc w:val="center"/>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09CE7FA4" w14:textId="77777777" w:rsidR="00582428" w:rsidRPr="00124186" w:rsidRDefault="00582428" w:rsidP="00582428">
            <w:pP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Tribunal Penal del Segundo Circuito Judicial de Alajuela (San Carlos)</w:t>
            </w:r>
          </w:p>
        </w:tc>
        <w:tc>
          <w:tcPr>
            <w:tcW w:w="1794" w:type="dxa"/>
            <w:tcBorders>
              <w:top w:val="nil"/>
              <w:left w:val="nil"/>
              <w:bottom w:val="single" w:sz="4" w:space="0" w:color="auto"/>
              <w:right w:val="single" w:sz="4" w:space="0" w:color="auto"/>
            </w:tcBorders>
            <w:shd w:val="clear" w:color="auto" w:fill="auto"/>
            <w:noWrap/>
            <w:vAlign w:val="center"/>
            <w:hideMark/>
          </w:tcPr>
          <w:p w14:paraId="52035CB7" w14:textId="77777777" w:rsidR="00582428" w:rsidRPr="00124186" w:rsidRDefault="00582428" w:rsidP="00582428">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108%</w:t>
            </w:r>
          </w:p>
        </w:tc>
        <w:tc>
          <w:tcPr>
            <w:tcW w:w="1050" w:type="dxa"/>
            <w:tcBorders>
              <w:top w:val="nil"/>
              <w:left w:val="nil"/>
              <w:bottom w:val="single" w:sz="4" w:space="0" w:color="auto"/>
              <w:right w:val="single" w:sz="4" w:space="0" w:color="auto"/>
            </w:tcBorders>
            <w:shd w:val="clear" w:color="auto" w:fill="auto"/>
            <w:noWrap/>
            <w:vAlign w:val="center"/>
            <w:hideMark/>
          </w:tcPr>
          <w:p w14:paraId="6608C3C7" w14:textId="77777777" w:rsidR="00582428" w:rsidRPr="00124186" w:rsidRDefault="00582428" w:rsidP="00582428">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106%</w:t>
            </w:r>
          </w:p>
        </w:tc>
        <w:tc>
          <w:tcPr>
            <w:tcW w:w="695" w:type="dxa"/>
            <w:tcBorders>
              <w:top w:val="nil"/>
              <w:left w:val="nil"/>
              <w:bottom w:val="single" w:sz="4" w:space="0" w:color="auto"/>
              <w:right w:val="single" w:sz="4" w:space="0" w:color="auto"/>
            </w:tcBorders>
            <w:shd w:val="clear" w:color="000000" w:fill="EDEDED"/>
            <w:noWrap/>
            <w:vAlign w:val="center"/>
            <w:hideMark/>
          </w:tcPr>
          <w:p w14:paraId="794B8753" w14:textId="77777777" w:rsidR="00582428" w:rsidRPr="00124186" w:rsidRDefault="00582428" w:rsidP="00582428">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-2%</w:t>
            </w:r>
          </w:p>
        </w:tc>
      </w:tr>
      <w:tr w:rsidR="00582428" w:rsidRPr="00124186" w14:paraId="6DC101E2" w14:textId="77777777" w:rsidTr="00124186">
        <w:trPr>
          <w:trHeight w:val="290"/>
          <w:jc w:val="center"/>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71B3C698" w14:textId="77777777" w:rsidR="00582428" w:rsidRPr="00124186" w:rsidRDefault="00582428" w:rsidP="00582428">
            <w:pP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Tribunal Penal del Tercer Circuito Judicial de San José (Desamparados)</w:t>
            </w:r>
          </w:p>
        </w:tc>
        <w:tc>
          <w:tcPr>
            <w:tcW w:w="1794" w:type="dxa"/>
            <w:tcBorders>
              <w:top w:val="nil"/>
              <w:left w:val="nil"/>
              <w:bottom w:val="single" w:sz="4" w:space="0" w:color="auto"/>
              <w:right w:val="single" w:sz="4" w:space="0" w:color="auto"/>
            </w:tcBorders>
            <w:shd w:val="clear" w:color="auto" w:fill="auto"/>
            <w:noWrap/>
            <w:vAlign w:val="center"/>
            <w:hideMark/>
          </w:tcPr>
          <w:p w14:paraId="18D6A65D" w14:textId="77777777" w:rsidR="00582428" w:rsidRPr="00124186" w:rsidRDefault="00582428" w:rsidP="00582428">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104%</w:t>
            </w:r>
          </w:p>
        </w:tc>
        <w:tc>
          <w:tcPr>
            <w:tcW w:w="1050" w:type="dxa"/>
            <w:tcBorders>
              <w:top w:val="nil"/>
              <w:left w:val="nil"/>
              <w:bottom w:val="single" w:sz="4" w:space="0" w:color="auto"/>
              <w:right w:val="single" w:sz="4" w:space="0" w:color="auto"/>
            </w:tcBorders>
            <w:shd w:val="clear" w:color="auto" w:fill="auto"/>
            <w:noWrap/>
            <w:vAlign w:val="center"/>
            <w:hideMark/>
          </w:tcPr>
          <w:p w14:paraId="7DB8FC0C" w14:textId="77777777" w:rsidR="00582428" w:rsidRPr="00124186" w:rsidRDefault="00582428" w:rsidP="00582428">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100%</w:t>
            </w:r>
          </w:p>
        </w:tc>
        <w:tc>
          <w:tcPr>
            <w:tcW w:w="695" w:type="dxa"/>
            <w:tcBorders>
              <w:top w:val="nil"/>
              <w:left w:val="nil"/>
              <w:bottom w:val="single" w:sz="4" w:space="0" w:color="auto"/>
              <w:right w:val="single" w:sz="4" w:space="0" w:color="auto"/>
            </w:tcBorders>
            <w:shd w:val="clear" w:color="000000" w:fill="EDEDED"/>
            <w:noWrap/>
            <w:vAlign w:val="center"/>
            <w:hideMark/>
          </w:tcPr>
          <w:p w14:paraId="3CAA5664" w14:textId="77777777" w:rsidR="00582428" w:rsidRPr="00124186" w:rsidRDefault="00582428" w:rsidP="00582428">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-4%</w:t>
            </w:r>
          </w:p>
        </w:tc>
      </w:tr>
      <w:tr w:rsidR="00582428" w:rsidRPr="00124186" w14:paraId="6946100C" w14:textId="77777777" w:rsidTr="00124186">
        <w:trPr>
          <w:trHeight w:val="290"/>
          <w:jc w:val="center"/>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207226DA" w14:textId="77777777" w:rsidR="00582428" w:rsidRPr="00124186" w:rsidRDefault="00582428" w:rsidP="00582428">
            <w:pP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Tribunal Penal Segundo Circuito Judicial de la Zona Sur (Corredores)</w:t>
            </w:r>
          </w:p>
        </w:tc>
        <w:tc>
          <w:tcPr>
            <w:tcW w:w="1794" w:type="dxa"/>
            <w:tcBorders>
              <w:top w:val="nil"/>
              <w:left w:val="nil"/>
              <w:bottom w:val="single" w:sz="4" w:space="0" w:color="auto"/>
              <w:right w:val="single" w:sz="4" w:space="0" w:color="auto"/>
            </w:tcBorders>
            <w:shd w:val="clear" w:color="auto" w:fill="auto"/>
            <w:noWrap/>
            <w:vAlign w:val="center"/>
            <w:hideMark/>
          </w:tcPr>
          <w:p w14:paraId="56493476" w14:textId="77777777" w:rsidR="00582428" w:rsidRPr="00124186" w:rsidRDefault="00582428" w:rsidP="00582428">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100%</w:t>
            </w:r>
          </w:p>
        </w:tc>
        <w:tc>
          <w:tcPr>
            <w:tcW w:w="1050" w:type="dxa"/>
            <w:tcBorders>
              <w:top w:val="nil"/>
              <w:left w:val="nil"/>
              <w:bottom w:val="single" w:sz="4" w:space="0" w:color="auto"/>
              <w:right w:val="single" w:sz="4" w:space="0" w:color="auto"/>
            </w:tcBorders>
            <w:shd w:val="clear" w:color="auto" w:fill="auto"/>
            <w:noWrap/>
            <w:vAlign w:val="center"/>
            <w:hideMark/>
          </w:tcPr>
          <w:p w14:paraId="516E86B5" w14:textId="77777777" w:rsidR="00582428" w:rsidRPr="00124186" w:rsidRDefault="00582428" w:rsidP="00582428">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122%</w:t>
            </w:r>
          </w:p>
        </w:tc>
        <w:tc>
          <w:tcPr>
            <w:tcW w:w="695" w:type="dxa"/>
            <w:tcBorders>
              <w:top w:val="nil"/>
              <w:left w:val="nil"/>
              <w:bottom w:val="single" w:sz="4" w:space="0" w:color="auto"/>
              <w:right w:val="single" w:sz="4" w:space="0" w:color="auto"/>
            </w:tcBorders>
            <w:shd w:val="clear" w:color="000000" w:fill="EDEDED"/>
            <w:noWrap/>
            <w:vAlign w:val="center"/>
            <w:hideMark/>
          </w:tcPr>
          <w:p w14:paraId="1832A08D" w14:textId="77777777" w:rsidR="00582428" w:rsidRPr="00124186" w:rsidRDefault="00582428" w:rsidP="00582428">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22%</w:t>
            </w:r>
          </w:p>
        </w:tc>
      </w:tr>
      <w:tr w:rsidR="00582428" w:rsidRPr="00124186" w14:paraId="314D3771" w14:textId="77777777" w:rsidTr="00124186">
        <w:trPr>
          <w:trHeight w:val="290"/>
          <w:jc w:val="center"/>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3FE2797F" w14:textId="77777777" w:rsidR="00582428" w:rsidRPr="00124186" w:rsidRDefault="00582428" w:rsidP="00582428">
            <w:pP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Tribunal Penal del Primer Circuito Judicial de la Zona Atlántica (Limón)</w:t>
            </w:r>
          </w:p>
        </w:tc>
        <w:tc>
          <w:tcPr>
            <w:tcW w:w="1794" w:type="dxa"/>
            <w:tcBorders>
              <w:top w:val="nil"/>
              <w:left w:val="nil"/>
              <w:bottom w:val="single" w:sz="4" w:space="0" w:color="auto"/>
              <w:right w:val="single" w:sz="4" w:space="0" w:color="auto"/>
            </w:tcBorders>
            <w:shd w:val="clear" w:color="auto" w:fill="auto"/>
            <w:noWrap/>
            <w:vAlign w:val="center"/>
            <w:hideMark/>
          </w:tcPr>
          <w:p w14:paraId="6E5BCE82" w14:textId="77777777" w:rsidR="00582428" w:rsidRPr="00124186" w:rsidRDefault="00582428" w:rsidP="00582428">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99%</w:t>
            </w:r>
          </w:p>
        </w:tc>
        <w:tc>
          <w:tcPr>
            <w:tcW w:w="1050" w:type="dxa"/>
            <w:tcBorders>
              <w:top w:val="nil"/>
              <w:left w:val="nil"/>
              <w:bottom w:val="single" w:sz="4" w:space="0" w:color="auto"/>
              <w:right w:val="single" w:sz="4" w:space="0" w:color="auto"/>
            </w:tcBorders>
            <w:shd w:val="clear" w:color="auto" w:fill="auto"/>
            <w:noWrap/>
            <w:vAlign w:val="center"/>
            <w:hideMark/>
          </w:tcPr>
          <w:p w14:paraId="530E351B" w14:textId="77777777" w:rsidR="00582428" w:rsidRPr="00124186" w:rsidRDefault="00582428" w:rsidP="00582428">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145%</w:t>
            </w:r>
          </w:p>
        </w:tc>
        <w:tc>
          <w:tcPr>
            <w:tcW w:w="695" w:type="dxa"/>
            <w:tcBorders>
              <w:top w:val="nil"/>
              <w:left w:val="nil"/>
              <w:bottom w:val="single" w:sz="4" w:space="0" w:color="auto"/>
              <w:right w:val="single" w:sz="4" w:space="0" w:color="auto"/>
            </w:tcBorders>
            <w:shd w:val="clear" w:color="000000" w:fill="EDEDED"/>
            <w:noWrap/>
            <w:vAlign w:val="center"/>
            <w:hideMark/>
          </w:tcPr>
          <w:p w14:paraId="63182B97" w14:textId="77777777" w:rsidR="00582428" w:rsidRPr="00124186" w:rsidRDefault="00582428" w:rsidP="00582428">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46%</w:t>
            </w:r>
          </w:p>
        </w:tc>
      </w:tr>
      <w:tr w:rsidR="00582428" w:rsidRPr="00124186" w14:paraId="6CBA0C6E" w14:textId="77777777" w:rsidTr="00124186">
        <w:trPr>
          <w:trHeight w:val="290"/>
          <w:jc w:val="center"/>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7A54BFFE" w14:textId="77777777" w:rsidR="00582428" w:rsidRPr="00124186" w:rsidRDefault="00582428" w:rsidP="00582428">
            <w:pP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Tribunal Penal del Segundo Circuito Judicial de Guanacaste (Santa Cruz)</w:t>
            </w:r>
          </w:p>
        </w:tc>
        <w:tc>
          <w:tcPr>
            <w:tcW w:w="1794" w:type="dxa"/>
            <w:tcBorders>
              <w:top w:val="nil"/>
              <w:left w:val="nil"/>
              <w:bottom w:val="single" w:sz="4" w:space="0" w:color="auto"/>
              <w:right w:val="single" w:sz="4" w:space="0" w:color="auto"/>
            </w:tcBorders>
            <w:shd w:val="clear" w:color="auto" w:fill="auto"/>
            <w:noWrap/>
            <w:vAlign w:val="center"/>
            <w:hideMark/>
          </w:tcPr>
          <w:p w14:paraId="20565A3A" w14:textId="77777777" w:rsidR="00582428" w:rsidRPr="00124186" w:rsidRDefault="00582428" w:rsidP="00582428">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93%</w:t>
            </w:r>
          </w:p>
        </w:tc>
        <w:tc>
          <w:tcPr>
            <w:tcW w:w="1050" w:type="dxa"/>
            <w:tcBorders>
              <w:top w:val="nil"/>
              <w:left w:val="nil"/>
              <w:bottom w:val="single" w:sz="4" w:space="0" w:color="auto"/>
              <w:right w:val="single" w:sz="4" w:space="0" w:color="auto"/>
            </w:tcBorders>
            <w:shd w:val="clear" w:color="auto" w:fill="auto"/>
            <w:noWrap/>
            <w:vAlign w:val="center"/>
            <w:hideMark/>
          </w:tcPr>
          <w:p w14:paraId="2BD02CBA" w14:textId="77777777" w:rsidR="00582428" w:rsidRPr="00124186" w:rsidRDefault="00582428" w:rsidP="00582428">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100%</w:t>
            </w:r>
          </w:p>
        </w:tc>
        <w:tc>
          <w:tcPr>
            <w:tcW w:w="695" w:type="dxa"/>
            <w:tcBorders>
              <w:top w:val="nil"/>
              <w:left w:val="nil"/>
              <w:bottom w:val="single" w:sz="4" w:space="0" w:color="auto"/>
              <w:right w:val="single" w:sz="4" w:space="0" w:color="auto"/>
            </w:tcBorders>
            <w:shd w:val="clear" w:color="000000" w:fill="EDEDED"/>
            <w:noWrap/>
            <w:vAlign w:val="center"/>
            <w:hideMark/>
          </w:tcPr>
          <w:p w14:paraId="6C50A440" w14:textId="77777777" w:rsidR="00582428" w:rsidRPr="00124186" w:rsidRDefault="00582428" w:rsidP="00582428">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7%</w:t>
            </w:r>
          </w:p>
        </w:tc>
      </w:tr>
      <w:tr w:rsidR="00582428" w:rsidRPr="00124186" w14:paraId="2F0453B4" w14:textId="77777777" w:rsidTr="00124186">
        <w:trPr>
          <w:trHeight w:val="290"/>
          <w:jc w:val="center"/>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387BC86E" w14:textId="488FE766" w:rsidR="00582428" w:rsidRPr="00124186" w:rsidRDefault="00582428" w:rsidP="00582428">
            <w:pP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Tribunal Penal del Tercer Circuito Judicial de Alajuela (San Ramón)</w:t>
            </w:r>
          </w:p>
        </w:tc>
        <w:tc>
          <w:tcPr>
            <w:tcW w:w="1794" w:type="dxa"/>
            <w:tcBorders>
              <w:top w:val="nil"/>
              <w:left w:val="nil"/>
              <w:bottom w:val="single" w:sz="4" w:space="0" w:color="auto"/>
              <w:right w:val="single" w:sz="4" w:space="0" w:color="auto"/>
            </w:tcBorders>
            <w:shd w:val="clear" w:color="auto" w:fill="auto"/>
            <w:noWrap/>
            <w:vAlign w:val="center"/>
            <w:hideMark/>
          </w:tcPr>
          <w:p w14:paraId="7FC4F029" w14:textId="77777777" w:rsidR="00582428" w:rsidRPr="00124186" w:rsidRDefault="00582428" w:rsidP="00582428">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92%</w:t>
            </w:r>
          </w:p>
        </w:tc>
        <w:tc>
          <w:tcPr>
            <w:tcW w:w="1050" w:type="dxa"/>
            <w:tcBorders>
              <w:top w:val="nil"/>
              <w:left w:val="nil"/>
              <w:bottom w:val="single" w:sz="4" w:space="0" w:color="auto"/>
              <w:right w:val="single" w:sz="4" w:space="0" w:color="auto"/>
            </w:tcBorders>
            <w:shd w:val="clear" w:color="auto" w:fill="auto"/>
            <w:noWrap/>
            <w:vAlign w:val="center"/>
            <w:hideMark/>
          </w:tcPr>
          <w:p w14:paraId="413E4AAF" w14:textId="77777777" w:rsidR="00582428" w:rsidRPr="00124186" w:rsidRDefault="00582428" w:rsidP="00582428">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68%</w:t>
            </w:r>
          </w:p>
        </w:tc>
        <w:tc>
          <w:tcPr>
            <w:tcW w:w="695" w:type="dxa"/>
            <w:tcBorders>
              <w:top w:val="nil"/>
              <w:left w:val="nil"/>
              <w:bottom w:val="single" w:sz="4" w:space="0" w:color="auto"/>
              <w:right w:val="single" w:sz="4" w:space="0" w:color="auto"/>
            </w:tcBorders>
            <w:shd w:val="clear" w:color="000000" w:fill="EDEDED"/>
            <w:noWrap/>
            <w:vAlign w:val="center"/>
            <w:hideMark/>
          </w:tcPr>
          <w:p w14:paraId="0DC3E3BC" w14:textId="77777777" w:rsidR="00582428" w:rsidRPr="00124186" w:rsidRDefault="00582428" w:rsidP="00582428">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-24%</w:t>
            </w:r>
          </w:p>
        </w:tc>
      </w:tr>
      <w:tr w:rsidR="00582428" w:rsidRPr="00124186" w14:paraId="3C4CFB4C" w14:textId="77777777" w:rsidTr="00124186">
        <w:trPr>
          <w:trHeight w:val="290"/>
          <w:jc w:val="center"/>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540BE0E7" w14:textId="77777777" w:rsidR="00582428" w:rsidRPr="00124186" w:rsidRDefault="00582428" w:rsidP="00582428">
            <w:pP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Tribunal Penal Primer Circuito Judicial de Alajuela</w:t>
            </w:r>
          </w:p>
        </w:tc>
        <w:tc>
          <w:tcPr>
            <w:tcW w:w="1794" w:type="dxa"/>
            <w:tcBorders>
              <w:top w:val="nil"/>
              <w:left w:val="nil"/>
              <w:bottom w:val="single" w:sz="4" w:space="0" w:color="auto"/>
              <w:right w:val="single" w:sz="4" w:space="0" w:color="auto"/>
            </w:tcBorders>
            <w:shd w:val="clear" w:color="auto" w:fill="auto"/>
            <w:noWrap/>
            <w:vAlign w:val="center"/>
            <w:hideMark/>
          </w:tcPr>
          <w:p w14:paraId="66BFE6D1" w14:textId="77777777" w:rsidR="00582428" w:rsidRPr="00124186" w:rsidRDefault="00582428" w:rsidP="00582428">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83%</w:t>
            </w:r>
          </w:p>
        </w:tc>
        <w:tc>
          <w:tcPr>
            <w:tcW w:w="1050" w:type="dxa"/>
            <w:tcBorders>
              <w:top w:val="nil"/>
              <w:left w:val="nil"/>
              <w:bottom w:val="single" w:sz="4" w:space="0" w:color="auto"/>
              <w:right w:val="single" w:sz="4" w:space="0" w:color="auto"/>
            </w:tcBorders>
            <w:shd w:val="clear" w:color="auto" w:fill="auto"/>
            <w:noWrap/>
            <w:vAlign w:val="center"/>
            <w:hideMark/>
          </w:tcPr>
          <w:p w14:paraId="6B06C527" w14:textId="77777777" w:rsidR="00582428" w:rsidRPr="00124186" w:rsidRDefault="00582428" w:rsidP="00582428">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83%</w:t>
            </w:r>
          </w:p>
        </w:tc>
        <w:tc>
          <w:tcPr>
            <w:tcW w:w="695" w:type="dxa"/>
            <w:tcBorders>
              <w:top w:val="nil"/>
              <w:left w:val="nil"/>
              <w:bottom w:val="single" w:sz="4" w:space="0" w:color="auto"/>
              <w:right w:val="single" w:sz="4" w:space="0" w:color="auto"/>
            </w:tcBorders>
            <w:shd w:val="clear" w:color="000000" w:fill="EDEDED"/>
            <w:noWrap/>
            <w:vAlign w:val="center"/>
            <w:hideMark/>
          </w:tcPr>
          <w:p w14:paraId="7DC65237" w14:textId="77777777" w:rsidR="00582428" w:rsidRPr="00124186" w:rsidRDefault="00582428" w:rsidP="00582428">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0%</w:t>
            </w:r>
          </w:p>
        </w:tc>
      </w:tr>
      <w:tr w:rsidR="00582428" w:rsidRPr="00124186" w14:paraId="001CA3A2" w14:textId="77777777" w:rsidTr="00124186">
        <w:trPr>
          <w:trHeight w:val="290"/>
          <w:jc w:val="center"/>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70515B10" w14:textId="77777777" w:rsidR="00582428" w:rsidRPr="00124186" w:rsidRDefault="00582428" w:rsidP="00582428">
            <w:pP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Tribunal Penal de Turrialba</w:t>
            </w:r>
          </w:p>
        </w:tc>
        <w:tc>
          <w:tcPr>
            <w:tcW w:w="1794" w:type="dxa"/>
            <w:tcBorders>
              <w:top w:val="nil"/>
              <w:left w:val="nil"/>
              <w:bottom w:val="single" w:sz="4" w:space="0" w:color="auto"/>
              <w:right w:val="single" w:sz="4" w:space="0" w:color="auto"/>
            </w:tcBorders>
            <w:shd w:val="clear" w:color="auto" w:fill="auto"/>
            <w:noWrap/>
            <w:vAlign w:val="center"/>
            <w:hideMark/>
          </w:tcPr>
          <w:p w14:paraId="7C1F6773" w14:textId="77777777" w:rsidR="00582428" w:rsidRPr="00124186" w:rsidRDefault="00582428" w:rsidP="00582428">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81%</w:t>
            </w:r>
          </w:p>
        </w:tc>
        <w:tc>
          <w:tcPr>
            <w:tcW w:w="1050" w:type="dxa"/>
            <w:tcBorders>
              <w:top w:val="nil"/>
              <w:left w:val="nil"/>
              <w:bottom w:val="single" w:sz="4" w:space="0" w:color="auto"/>
              <w:right w:val="single" w:sz="4" w:space="0" w:color="auto"/>
            </w:tcBorders>
            <w:shd w:val="clear" w:color="auto" w:fill="auto"/>
            <w:noWrap/>
            <w:vAlign w:val="center"/>
            <w:hideMark/>
          </w:tcPr>
          <w:p w14:paraId="5BD0A3AE" w14:textId="77777777" w:rsidR="00582428" w:rsidRPr="00124186" w:rsidRDefault="00582428" w:rsidP="00582428">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59%</w:t>
            </w:r>
          </w:p>
        </w:tc>
        <w:tc>
          <w:tcPr>
            <w:tcW w:w="695" w:type="dxa"/>
            <w:tcBorders>
              <w:top w:val="nil"/>
              <w:left w:val="nil"/>
              <w:bottom w:val="single" w:sz="4" w:space="0" w:color="auto"/>
              <w:right w:val="single" w:sz="4" w:space="0" w:color="auto"/>
            </w:tcBorders>
            <w:shd w:val="clear" w:color="000000" w:fill="EDEDED"/>
            <w:noWrap/>
            <w:vAlign w:val="center"/>
            <w:hideMark/>
          </w:tcPr>
          <w:p w14:paraId="6E24429E" w14:textId="77777777" w:rsidR="00582428" w:rsidRPr="00124186" w:rsidRDefault="00582428" w:rsidP="00582428">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-22%</w:t>
            </w:r>
          </w:p>
        </w:tc>
      </w:tr>
      <w:tr w:rsidR="00582428" w:rsidRPr="00124186" w14:paraId="4C897647" w14:textId="77777777" w:rsidTr="00124186">
        <w:trPr>
          <w:trHeight w:val="290"/>
          <w:jc w:val="center"/>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65BE379F" w14:textId="77777777" w:rsidR="00582428" w:rsidRPr="00124186" w:rsidRDefault="00582428" w:rsidP="00582428">
            <w:pP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Tribunal Penal de Cartago</w:t>
            </w:r>
          </w:p>
        </w:tc>
        <w:tc>
          <w:tcPr>
            <w:tcW w:w="1794" w:type="dxa"/>
            <w:tcBorders>
              <w:top w:val="nil"/>
              <w:left w:val="nil"/>
              <w:bottom w:val="single" w:sz="4" w:space="0" w:color="auto"/>
              <w:right w:val="single" w:sz="4" w:space="0" w:color="auto"/>
            </w:tcBorders>
            <w:shd w:val="clear" w:color="auto" w:fill="auto"/>
            <w:noWrap/>
            <w:vAlign w:val="center"/>
            <w:hideMark/>
          </w:tcPr>
          <w:p w14:paraId="4D68AA53" w14:textId="77777777" w:rsidR="00582428" w:rsidRPr="00124186" w:rsidRDefault="00582428" w:rsidP="00582428">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80%</w:t>
            </w:r>
          </w:p>
        </w:tc>
        <w:tc>
          <w:tcPr>
            <w:tcW w:w="1050" w:type="dxa"/>
            <w:tcBorders>
              <w:top w:val="nil"/>
              <w:left w:val="nil"/>
              <w:bottom w:val="single" w:sz="4" w:space="0" w:color="auto"/>
              <w:right w:val="single" w:sz="4" w:space="0" w:color="auto"/>
            </w:tcBorders>
            <w:shd w:val="clear" w:color="auto" w:fill="auto"/>
            <w:noWrap/>
            <w:vAlign w:val="center"/>
            <w:hideMark/>
          </w:tcPr>
          <w:p w14:paraId="435B1907" w14:textId="77777777" w:rsidR="00582428" w:rsidRPr="00124186" w:rsidRDefault="00582428" w:rsidP="00582428">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92%</w:t>
            </w:r>
          </w:p>
        </w:tc>
        <w:tc>
          <w:tcPr>
            <w:tcW w:w="695" w:type="dxa"/>
            <w:tcBorders>
              <w:top w:val="nil"/>
              <w:left w:val="nil"/>
              <w:bottom w:val="single" w:sz="4" w:space="0" w:color="auto"/>
              <w:right w:val="single" w:sz="4" w:space="0" w:color="auto"/>
            </w:tcBorders>
            <w:shd w:val="clear" w:color="000000" w:fill="EDEDED"/>
            <w:noWrap/>
            <w:vAlign w:val="center"/>
            <w:hideMark/>
          </w:tcPr>
          <w:p w14:paraId="18DC0A72" w14:textId="77777777" w:rsidR="00582428" w:rsidRPr="00124186" w:rsidRDefault="00582428" w:rsidP="00582428">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11%</w:t>
            </w:r>
          </w:p>
        </w:tc>
      </w:tr>
      <w:tr w:rsidR="00582428" w:rsidRPr="00124186" w14:paraId="2AC313F0" w14:textId="77777777" w:rsidTr="00124186">
        <w:trPr>
          <w:trHeight w:val="290"/>
          <w:jc w:val="center"/>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508B6AD7" w14:textId="77777777" w:rsidR="00582428" w:rsidRPr="00124186" w:rsidRDefault="00582428" w:rsidP="00582428">
            <w:pP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Tribunal Penal de Sarapiquí</w:t>
            </w:r>
          </w:p>
        </w:tc>
        <w:tc>
          <w:tcPr>
            <w:tcW w:w="1794" w:type="dxa"/>
            <w:tcBorders>
              <w:top w:val="nil"/>
              <w:left w:val="nil"/>
              <w:bottom w:val="single" w:sz="4" w:space="0" w:color="auto"/>
              <w:right w:val="single" w:sz="4" w:space="0" w:color="auto"/>
            </w:tcBorders>
            <w:shd w:val="clear" w:color="auto" w:fill="auto"/>
            <w:noWrap/>
            <w:vAlign w:val="center"/>
            <w:hideMark/>
          </w:tcPr>
          <w:p w14:paraId="0F8EAD46" w14:textId="77777777" w:rsidR="00582428" w:rsidRPr="00124186" w:rsidRDefault="00582428" w:rsidP="00582428">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67%</w:t>
            </w:r>
          </w:p>
        </w:tc>
        <w:tc>
          <w:tcPr>
            <w:tcW w:w="1050" w:type="dxa"/>
            <w:tcBorders>
              <w:top w:val="nil"/>
              <w:left w:val="nil"/>
              <w:bottom w:val="single" w:sz="4" w:space="0" w:color="auto"/>
              <w:right w:val="single" w:sz="4" w:space="0" w:color="auto"/>
            </w:tcBorders>
            <w:shd w:val="clear" w:color="auto" w:fill="auto"/>
            <w:noWrap/>
            <w:vAlign w:val="center"/>
            <w:hideMark/>
          </w:tcPr>
          <w:p w14:paraId="6F9A10DF" w14:textId="77777777" w:rsidR="00582428" w:rsidRPr="00124186" w:rsidRDefault="00582428" w:rsidP="00582428">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83%</w:t>
            </w:r>
          </w:p>
        </w:tc>
        <w:tc>
          <w:tcPr>
            <w:tcW w:w="695" w:type="dxa"/>
            <w:tcBorders>
              <w:top w:val="nil"/>
              <w:left w:val="nil"/>
              <w:bottom w:val="single" w:sz="4" w:space="0" w:color="auto"/>
              <w:right w:val="single" w:sz="4" w:space="0" w:color="auto"/>
            </w:tcBorders>
            <w:shd w:val="clear" w:color="000000" w:fill="EDEDED"/>
            <w:noWrap/>
            <w:vAlign w:val="center"/>
            <w:hideMark/>
          </w:tcPr>
          <w:p w14:paraId="04862EEE" w14:textId="77777777" w:rsidR="00582428" w:rsidRPr="00124186" w:rsidRDefault="00582428" w:rsidP="00582428">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17%</w:t>
            </w:r>
          </w:p>
        </w:tc>
      </w:tr>
      <w:tr w:rsidR="00582428" w:rsidRPr="00124186" w14:paraId="33B9AA31" w14:textId="77777777" w:rsidTr="00124186">
        <w:trPr>
          <w:trHeight w:val="290"/>
          <w:jc w:val="center"/>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18E0AFDD" w14:textId="77777777" w:rsidR="00582428" w:rsidRPr="00124186" w:rsidRDefault="00582428" w:rsidP="00582428">
            <w:pP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Tribunal Penal del Primer Circuito Judicial de Guanacaste (Liberia)</w:t>
            </w:r>
          </w:p>
        </w:tc>
        <w:tc>
          <w:tcPr>
            <w:tcW w:w="1794" w:type="dxa"/>
            <w:tcBorders>
              <w:top w:val="nil"/>
              <w:left w:val="nil"/>
              <w:bottom w:val="single" w:sz="4" w:space="0" w:color="auto"/>
              <w:right w:val="single" w:sz="4" w:space="0" w:color="auto"/>
            </w:tcBorders>
            <w:shd w:val="clear" w:color="auto" w:fill="auto"/>
            <w:noWrap/>
            <w:vAlign w:val="center"/>
            <w:hideMark/>
          </w:tcPr>
          <w:p w14:paraId="7EC7644F" w14:textId="77777777" w:rsidR="00582428" w:rsidRPr="00124186" w:rsidRDefault="00582428" w:rsidP="00582428">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64%</w:t>
            </w:r>
          </w:p>
        </w:tc>
        <w:tc>
          <w:tcPr>
            <w:tcW w:w="1050" w:type="dxa"/>
            <w:tcBorders>
              <w:top w:val="nil"/>
              <w:left w:val="nil"/>
              <w:bottom w:val="single" w:sz="4" w:space="0" w:color="auto"/>
              <w:right w:val="single" w:sz="4" w:space="0" w:color="auto"/>
            </w:tcBorders>
            <w:shd w:val="clear" w:color="auto" w:fill="auto"/>
            <w:noWrap/>
            <w:vAlign w:val="center"/>
            <w:hideMark/>
          </w:tcPr>
          <w:p w14:paraId="42601F4A" w14:textId="77777777" w:rsidR="00582428" w:rsidRPr="00124186" w:rsidRDefault="00582428" w:rsidP="00582428">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113%</w:t>
            </w:r>
          </w:p>
        </w:tc>
        <w:tc>
          <w:tcPr>
            <w:tcW w:w="695" w:type="dxa"/>
            <w:tcBorders>
              <w:top w:val="nil"/>
              <w:left w:val="nil"/>
              <w:bottom w:val="single" w:sz="4" w:space="0" w:color="auto"/>
              <w:right w:val="single" w:sz="4" w:space="0" w:color="auto"/>
            </w:tcBorders>
            <w:shd w:val="clear" w:color="000000" w:fill="EDEDED"/>
            <w:noWrap/>
            <w:vAlign w:val="center"/>
            <w:hideMark/>
          </w:tcPr>
          <w:p w14:paraId="7C9D25A2" w14:textId="77777777" w:rsidR="00582428" w:rsidRPr="00124186" w:rsidRDefault="00582428" w:rsidP="00582428">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49%</w:t>
            </w:r>
          </w:p>
        </w:tc>
      </w:tr>
      <w:tr w:rsidR="00582428" w:rsidRPr="00124186" w14:paraId="62E4AAAA" w14:textId="77777777" w:rsidTr="00124186">
        <w:trPr>
          <w:trHeight w:val="290"/>
          <w:jc w:val="center"/>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74C2FAD4" w14:textId="77777777" w:rsidR="00582428" w:rsidRPr="00124186" w:rsidRDefault="00582428" w:rsidP="00582428">
            <w:pP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Tribunal Penal del Tercer Circuito Judicial de San José Sede Suroeste (Pavas)</w:t>
            </w:r>
          </w:p>
        </w:tc>
        <w:tc>
          <w:tcPr>
            <w:tcW w:w="1794" w:type="dxa"/>
            <w:tcBorders>
              <w:top w:val="nil"/>
              <w:left w:val="nil"/>
              <w:bottom w:val="single" w:sz="4" w:space="0" w:color="auto"/>
              <w:right w:val="single" w:sz="4" w:space="0" w:color="auto"/>
            </w:tcBorders>
            <w:shd w:val="clear" w:color="auto" w:fill="auto"/>
            <w:noWrap/>
            <w:vAlign w:val="center"/>
            <w:hideMark/>
          </w:tcPr>
          <w:p w14:paraId="771D9FD5" w14:textId="77777777" w:rsidR="00582428" w:rsidRPr="00124186" w:rsidRDefault="00582428" w:rsidP="00582428">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64%</w:t>
            </w:r>
          </w:p>
        </w:tc>
        <w:tc>
          <w:tcPr>
            <w:tcW w:w="1050" w:type="dxa"/>
            <w:tcBorders>
              <w:top w:val="nil"/>
              <w:left w:val="nil"/>
              <w:bottom w:val="single" w:sz="4" w:space="0" w:color="auto"/>
              <w:right w:val="single" w:sz="4" w:space="0" w:color="auto"/>
            </w:tcBorders>
            <w:shd w:val="clear" w:color="auto" w:fill="auto"/>
            <w:noWrap/>
            <w:vAlign w:val="center"/>
            <w:hideMark/>
          </w:tcPr>
          <w:p w14:paraId="4689A24B" w14:textId="77777777" w:rsidR="00582428" w:rsidRPr="00124186" w:rsidRDefault="00582428" w:rsidP="00582428">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201%</w:t>
            </w:r>
          </w:p>
        </w:tc>
        <w:tc>
          <w:tcPr>
            <w:tcW w:w="695" w:type="dxa"/>
            <w:tcBorders>
              <w:top w:val="nil"/>
              <w:left w:val="nil"/>
              <w:bottom w:val="single" w:sz="4" w:space="0" w:color="auto"/>
              <w:right w:val="single" w:sz="4" w:space="0" w:color="auto"/>
            </w:tcBorders>
            <w:shd w:val="clear" w:color="000000" w:fill="EDEDED"/>
            <w:noWrap/>
            <w:vAlign w:val="center"/>
            <w:hideMark/>
          </w:tcPr>
          <w:p w14:paraId="2923F116" w14:textId="77777777" w:rsidR="00582428" w:rsidRPr="00124186" w:rsidRDefault="00582428" w:rsidP="00582428">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137%</w:t>
            </w:r>
          </w:p>
        </w:tc>
      </w:tr>
      <w:tr w:rsidR="00582428" w:rsidRPr="00124186" w14:paraId="2CA85344" w14:textId="77777777" w:rsidTr="00124186">
        <w:trPr>
          <w:trHeight w:val="290"/>
          <w:jc w:val="center"/>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79741525" w14:textId="77777777" w:rsidR="00582428" w:rsidRPr="00124186" w:rsidRDefault="00582428" w:rsidP="00582428">
            <w:pP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Tribunal Penal del Primer Circuito Judicial de San José</w:t>
            </w:r>
          </w:p>
        </w:tc>
        <w:tc>
          <w:tcPr>
            <w:tcW w:w="1794" w:type="dxa"/>
            <w:tcBorders>
              <w:top w:val="nil"/>
              <w:left w:val="nil"/>
              <w:bottom w:val="single" w:sz="4" w:space="0" w:color="auto"/>
              <w:right w:val="single" w:sz="4" w:space="0" w:color="auto"/>
            </w:tcBorders>
            <w:shd w:val="clear" w:color="auto" w:fill="auto"/>
            <w:noWrap/>
            <w:vAlign w:val="center"/>
            <w:hideMark/>
          </w:tcPr>
          <w:p w14:paraId="755C2107" w14:textId="77777777" w:rsidR="00582428" w:rsidRPr="00124186" w:rsidRDefault="00582428" w:rsidP="00582428">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63%</w:t>
            </w:r>
          </w:p>
        </w:tc>
        <w:tc>
          <w:tcPr>
            <w:tcW w:w="1050" w:type="dxa"/>
            <w:tcBorders>
              <w:top w:val="nil"/>
              <w:left w:val="nil"/>
              <w:bottom w:val="single" w:sz="4" w:space="0" w:color="auto"/>
              <w:right w:val="single" w:sz="4" w:space="0" w:color="auto"/>
            </w:tcBorders>
            <w:shd w:val="clear" w:color="auto" w:fill="auto"/>
            <w:noWrap/>
            <w:vAlign w:val="center"/>
            <w:hideMark/>
          </w:tcPr>
          <w:p w14:paraId="6A6BFBA8" w14:textId="77777777" w:rsidR="00582428" w:rsidRPr="00124186" w:rsidRDefault="00582428" w:rsidP="00582428">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65%</w:t>
            </w:r>
          </w:p>
        </w:tc>
        <w:tc>
          <w:tcPr>
            <w:tcW w:w="695" w:type="dxa"/>
            <w:tcBorders>
              <w:top w:val="nil"/>
              <w:left w:val="nil"/>
              <w:bottom w:val="single" w:sz="4" w:space="0" w:color="auto"/>
              <w:right w:val="single" w:sz="4" w:space="0" w:color="auto"/>
            </w:tcBorders>
            <w:shd w:val="clear" w:color="000000" w:fill="EDEDED"/>
            <w:noWrap/>
            <w:vAlign w:val="center"/>
            <w:hideMark/>
          </w:tcPr>
          <w:p w14:paraId="4BA24E72" w14:textId="77777777" w:rsidR="00582428" w:rsidRPr="00124186" w:rsidRDefault="00582428" w:rsidP="00582428">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2%</w:t>
            </w:r>
          </w:p>
        </w:tc>
      </w:tr>
      <w:tr w:rsidR="00582428" w:rsidRPr="00124186" w14:paraId="3DE0ADAF" w14:textId="77777777" w:rsidTr="00124186">
        <w:trPr>
          <w:trHeight w:val="290"/>
          <w:jc w:val="center"/>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508F281A" w14:textId="061AB47B" w:rsidR="00582428" w:rsidRPr="00124186" w:rsidRDefault="00582428" w:rsidP="00582428">
            <w:pP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Tribunal Penal del Segundo Circuito Judicial de San José (Goicoechea)</w:t>
            </w:r>
          </w:p>
        </w:tc>
        <w:tc>
          <w:tcPr>
            <w:tcW w:w="1794" w:type="dxa"/>
            <w:tcBorders>
              <w:top w:val="nil"/>
              <w:left w:val="nil"/>
              <w:bottom w:val="single" w:sz="4" w:space="0" w:color="auto"/>
              <w:right w:val="single" w:sz="4" w:space="0" w:color="auto"/>
            </w:tcBorders>
            <w:shd w:val="clear" w:color="auto" w:fill="auto"/>
            <w:noWrap/>
            <w:vAlign w:val="center"/>
            <w:hideMark/>
          </w:tcPr>
          <w:p w14:paraId="1F024377" w14:textId="77777777" w:rsidR="00582428" w:rsidRPr="00124186" w:rsidRDefault="00582428" w:rsidP="00582428">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61%</w:t>
            </w:r>
          </w:p>
        </w:tc>
        <w:tc>
          <w:tcPr>
            <w:tcW w:w="1050" w:type="dxa"/>
            <w:tcBorders>
              <w:top w:val="nil"/>
              <w:left w:val="nil"/>
              <w:bottom w:val="single" w:sz="4" w:space="0" w:color="auto"/>
              <w:right w:val="single" w:sz="4" w:space="0" w:color="auto"/>
            </w:tcBorders>
            <w:shd w:val="clear" w:color="auto" w:fill="auto"/>
            <w:noWrap/>
            <w:vAlign w:val="center"/>
            <w:hideMark/>
          </w:tcPr>
          <w:p w14:paraId="34E2F3CA" w14:textId="77777777" w:rsidR="00582428" w:rsidRPr="00124186" w:rsidRDefault="00582428" w:rsidP="00582428">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69%</w:t>
            </w:r>
          </w:p>
        </w:tc>
        <w:tc>
          <w:tcPr>
            <w:tcW w:w="695" w:type="dxa"/>
            <w:tcBorders>
              <w:top w:val="nil"/>
              <w:left w:val="nil"/>
              <w:bottom w:val="single" w:sz="4" w:space="0" w:color="auto"/>
              <w:right w:val="single" w:sz="4" w:space="0" w:color="auto"/>
            </w:tcBorders>
            <w:shd w:val="clear" w:color="000000" w:fill="EDEDED"/>
            <w:noWrap/>
            <w:vAlign w:val="center"/>
            <w:hideMark/>
          </w:tcPr>
          <w:p w14:paraId="01AF51C5" w14:textId="77777777" w:rsidR="00582428" w:rsidRPr="00124186" w:rsidRDefault="00582428" w:rsidP="00582428">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8%</w:t>
            </w:r>
          </w:p>
        </w:tc>
      </w:tr>
      <w:tr w:rsidR="00582428" w:rsidRPr="00124186" w14:paraId="708F6BAC" w14:textId="77777777" w:rsidTr="00124186">
        <w:trPr>
          <w:trHeight w:val="290"/>
          <w:jc w:val="center"/>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6F73F87A" w14:textId="5E4E86BA" w:rsidR="00582428" w:rsidRPr="00124186" w:rsidRDefault="00582428" w:rsidP="00582428">
            <w:pP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Tribunal Penal del Tercer Circuito Judicial de Alajuela Sede Grecia</w:t>
            </w:r>
          </w:p>
        </w:tc>
        <w:tc>
          <w:tcPr>
            <w:tcW w:w="1794" w:type="dxa"/>
            <w:tcBorders>
              <w:top w:val="nil"/>
              <w:left w:val="nil"/>
              <w:bottom w:val="single" w:sz="4" w:space="0" w:color="auto"/>
              <w:right w:val="single" w:sz="4" w:space="0" w:color="auto"/>
            </w:tcBorders>
            <w:shd w:val="clear" w:color="auto" w:fill="auto"/>
            <w:noWrap/>
            <w:vAlign w:val="center"/>
            <w:hideMark/>
          </w:tcPr>
          <w:p w14:paraId="4F10525C" w14:textId="77777777" w:rsidR="00582428" w:rsidRPr="00124186" w:rsidRDefault="00582428" w:rsidP="00582428">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50%</w:t>
            </w:r>
          </w:p>
        </w:tc>
        <w:tc>
          <w:tcPr>
            <w:tcW w:w="1050" w:type="dxa"/>
            <w:tcBorders>
              <w:top w:val="nil"/>
              <w:left w:val="nil"/>
              <w:bottom w:val="single" w:sz="4" w:space="0" w:color="auto"/>
              <w:right w:val="single" w:sz="4" w:space="0" w:color="auto"/>
            </w:tcBorders>
            <w:shd w:val="clear" w:color="auto" w:fill="auto"/>
            <w:noWrap/>
            <w:vAlign w:val="center"/>
            <w:hideMark/>
          </w:tcPr>
          <w:p w14:paraId="40347EF2" w14:textId="77777777" w:rsidR="00582428" w:rsidRPr="00124186" w:rsidRDefault="00582428" w:rsidP="00582428">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50%</w:t>
            </w:r>
          </w:p>
        </w:tc>
        <w:tc>
          <w:tcPr>
            <w:tcW w:w="695" w:type="dxa"/>
            <w:tcBorders>
              <w:top w:val="nil"/>
              <w:left w:val="nil"/>
              <w:bottom w:val="single" w:sz="4" w:space="0" w:color="auto"/>
              <w:right w:val="single" w:sz="4" w:space="0" w:color="auto"/>
            </w:tcBorders>
            <w:shd w:val="clear" w:color="000000" w:fill="EDEDED"/>
            <w:noWrap/>
            <w:vAlign w:val="center"/>
            <w:hideMark/>
          </w:tcPr>
          <w:p w14:paraId="38F6D67E" w14:textId="77777777" w:rsidR="00582428" w:rsidRPr="00124186" w:rsidRDefault="00582428" w:rsidP="00582428">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0%</w:t>
            </w:r>
          </w:p>
        </w:tc>
      </w:tr>
      <w:tr w:rsidR="00582428" w:rsidRPr="00124186" w14:paraId="5AE83AC1" w14:textId="77777777" w:rsidTr="00124186">
        <w:trPr>
          <w:trHeight w:val="290"/>
          <w:jc w:val="center"/>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4922A5C3" w14:textId="77777777" w:rsidR="00582428" w:rsidRPr="00124186" w:rsidRDefault="00582428" w:rsidP="00582428">
            <w:pP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Tribunal Penal Segundo Circuito Judicial de la Zona Sur (Osa)</w:t>
            </w:r>
          </w:p>
        </w:tc>
        <w:tc>
          <w:tcPr>
            <w:tcW w:w="1794" w:type="dxa"/>
            <w:tcBorders>
              <w:top w:val="nil"/>
              <w:left w:val="nil"/>
              <w:bottom w:val="single" w:sz="4" w:space="0" w:color="auto"/>
              <w:right w:val="single" w:sz="4" w:space="0" w:color="auto"/>
            </w:tcBorders>
            <w:shd w:val="clear" w:color="auto" w:fill="auto"/>
            <w:noWrap/>
            <w:vAlign w:val="center"/>
            <w:hideMark/>
          </w:tcPr>
          <w:p w14:paraId="513E027B" w14:textId="77777777" w:rsidR="00582428" w:rsidRPr="00124186" w:rsidRDefault="00582428" w:rsidP="00582428">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44%</w:t>
            </w:r>
          </w:p>
        </w:tc>
        <w:tc>
          <w:tcPr>
            <w:tcW w:w="1050" w:type="dxa"/>
            <w:tcBorders>
              <w:top w:val="nil"/>
              <w:left w:val="nil"/>
              <w:bottom w:val="single" w:sz="4" w:space="0" w:color="auto"/>
              <w:right w:val="single" w:sz="4" w:space="0" w:color="auto"/>
            </w:tcBorders>
            <w:shd w:val="clear" w:color="auto" w:fill="auto"/>
            <w:noWrap/>
            <w:vAlign w:val="center"/>
            <w:hideMark/>
          </w:tcPr>
          <w:p w14:paraId="52F1FDF3" w14:textId="77777777" w:rsidR="00582428" w:rsidRPr="00124186" w:rsidRDefault="00582428" w:rsidP="00582428">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44%</w:t>
            </w:r>
          </w:p>
        </w:tc>
        <w:tc>
          <w:tcPr>
            <w:tcW w:w="695" w:type="dxa"/>
            <w:tcBorders>
              <w:top w:val="nil"/>
              <w:left w:val="nil"/>
              <w:bottom w:val="single" w:sz="4" w:space="0" w:color="auto"/>
              <w:right w:val="single" w:sz="4" w:space="0" w:color="auto"/>
            </w:tcBorders>
            <w:shd w:val="clear" w:color="000000" w:fill="EDEDED"/>
            <w:noWrap/>
            <w:vAlign w:val="center"/>
            <w:hideMark/>
          </w:tcPr>
          <w:p w14:paraId="28A8483E" w14:textId="77777777" w:rsidR="00582428" w:rsidRPr="00124186" w:rsidRDefault="00582428" w:rsidP="00582428">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0%</w:t>
            </w:r>
          </w:p>
        </w:tc>
      </w:tr>
      <w:tr w:rsidR="00582428" w:rsidRPr="00124186" w14:paraId="2CD58817" w14:textId="77777777" w:rsidTr="00124186">
        <w:trPr>
          <w:trHeight w:val="290"/>
          <w:jc w:val="center"/>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1A22DBDA" w14:textId="77777777" w:rsidR="00582428" w:rsidRPr="00124186" w:rsidRDefault="00582428" w:rsidP="00582428">
            <w:pP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Tribunal Penal Segundo Circuito Judicial de la Zona Sur (Golfito)</w:t>
            </w:r>
          </w:p>
        </w:tc>
        <w:tc>
          <w:tcPr>
            <w:tcW w:w="1794" w:type="dxa"/>
            <w:tcBorders>
              <w:top w:val="nil"/>
              <w:left w:val="nil"/>
              <w:bottom w:val="single" w:sz="4" w:space="0" w:color="auto"/>
              <w:right w:val="single" w:sz="4" w:space="0" w:color="auto"/>
            </w:tcBorders>
            <w:shd w:val="clear" w:color="auto" w:fill="auto"/>
            <w:noWrap/>
            <w:vAlign w:val="center"/>
            <w:hideMark/>
          </w:tcPr>
          <w:p w14:paraId="4658F696" w14:textId="77777777" w:rsidR="00582428" w:rsidRPr="00124186" w:rsidRDefault="00582428" w:rsidP="00582428">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25%</w:t>
            </w:r>
          </w:p>
        </w:tc>
        <w:tc>
          <w:tcPr>
            <w:tcW w:w="1050" w:type="dxa"/>
            <w:tcBorders>
              <w:top w:val="nil"/>
              <w:left w:val="nil"/>
              <w:bottom w:val="single" w:sz="4" w:space="0" w:color="auto"/>
              <w:right w:val="single" w:sz="4" w:space="0" w:color="auto"/>
            </w:tcBorders>
            <w:shd w:val="clear" w:color="auto" w:fill="auto"/>
            <w:noWrap/>
            <w:vAlign w:val="center"/>
            <w:hideMark/>
          </w:tcPr>
          <w:p w14:paraId="5DF8C1C4" w14:textId="77777777" w:rsidR="00582428" w:rsidRPr="00124186" w:rsidRDefault="00582428" w:rsidP="00582428">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25%</w:t>
            </w:r>
          </w:p>
        </w:tc>
        <w:tc>
          <w:tcPr>
            <w:tcW w:w="695" w:type="dxa"/>
            <w:tcBorders>
              <w:top w:val="nil"/>
              <w:left w:val="nil"/>
              <w:bottom w:val="single" w:sz="4" w:space="0" w:color="auto"/>
              <w:right w:val="single" w:sz="4" w:space="0" w:color="auto"/>
            </w:tcBorders>
            <w:shd w:val="clear" w:color="000000" w:fill="EDEDED"/>
            <w:noWrap/>
            <w:vAlign w:val="center"/>
            <w:hideMark/>
          </w:tcPr>
          <w:p w14:paraId="2B2E5DE9" w14:textId="77777777" w:rsidR="00582428" w:rsidRPr="00124186" w:rsidRDefault="00582428" w:rsidP="00582428">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0%</w:t>
            </w:r>
          </w:p>
        </w:tc>
      </w:tr>
      <w:tr w:rsidR="00582428" w:rsidRPr="00124186" w14:paraId="7C7C2F89" w14:textId="77777777" w:rsidTr="00124186">
        <w:trPr>
          <w:trHeight w:val="290"/>
          <w:jc w:val="center"/>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16D2A908" w14:textId="77777777" w:rsidR="00582428" w:rsidRPr="00124186" w:rsidRDefault="00582428" w:rsidP="00582428">
            <w:pPr>
              <w:rPr>
                <w:rFonts w:ascii="Book Antiqua" w:hAnsi="Book Antiqua" w:cs="Calibri"/>
                <w:b/>
                <w:bCs/>
                <w:color w:val="000000"/>
                <w:sz w:val="16"/>
                <w:szCs w:val="16"/>
                <w:lang w:eastAsia="es-CR"/>
              </w:rPr>
            </w:pPr>
            <w:r w:rsidRPr="00124186">
              <w:rPr>
                <w:rFonts w:ascii="Book Antiqua" w:hAnsi="Book Antiqua" w:cs="Calibri"/>
                <w:b/>
                <w:bCs/>
                <w:color w:val="000000"/>
                <w:sz w:val="16"/>
                <w:szCs w:val="16"/>
                <w:lang w:eastAsia="es-CR"/>
              </w:rPr>
              <w:t>Promedio global</w:t>
            </w:r>
          </w:p>
        </w:tc>
        <w:tc>
          <w:tcPr>
            <w:tcW w:w="1794" w:type="dxa"/>
            <w:tcBorders>
              <w:top w:val="nil"/>
              <w:left w:val="nil"/>
              <w:bottom w:val="single" w:sz="4" w:space="0" w:color="auto"/>
              <w:right w:val="single" w:sz="4" w:space="0" w:color="auto"/>
            </w:tcBorders>
            <w:shd w:val="clear" w:color="auto" w:fill="auto"/>
            <w:noWrap/>
            <w:vAlign w:val="center"/>
            <w:hideMark/>
          </w:tcPr>
          <w:p w14:paraId="2AAB671B" w14:textId="77777777" w:rsidR="00582428" w:rsidRPr="00124186" w:rsidRDefault="00582428" w:rsidP="00582428">
            <w:pPr>
              <w:jc w:val="center"/>
              <w:rPr>
                <w:rFonts w:ascii="Book Antiqua" w:hAnsi="Book Antiqua" w:cs="Calibri"/>
                <w:b/>
                <w:bCs/>
                <w:color w:val="000000"/>
                <w:sz w:val="16"/>
                <w:szCs w:val="16"/>
                <w:lang w:eastAsia="es-CR"/>
              </w:rPr>
            </w:pPr>
            <w:r w:rsidRPr="00124186">
              <w:rPr>
                <w:rFonts w:ascii="Book Antiqua" w:hAnsi="Book Antiqua" w:cs="Calibri"/>
                <w:b/>
                <w:bCs/>
                <w:color w:val="000000"/>
                <w:sz w:val="16"/>
                <w:szCs w:val="16"/>
                <w:lang w:eastAsia="es-CR"/>
              </w:rPr>
              <w:t>96%</w:t>
            </w:r>
          </w:p>
        </w:tc>
        <w:tc>
          <w:tcPr>
            <w:tcW w:w="1050" w:type="dxa"/>
            <w:tcBorders>
              <w:top w:val="nil"/>
              <w:left w:val="nil"/>
              <w:bottom w:val="single" w:sz="4" w:space="0" w:color="auto"/>
              <w:right w:val="single" w:sz="4" w:space="0" w:color="auto"/>
            </w:tcBorders>
            <w:shd w:val="clear" w:color="auto" w:fill="auto"/>
            <w:noWrap/>
            <w:vAlign w:val="center"/>
            <w:hideMark/>
          </w:tcPr>
          <w:p w14:paraId="0C9F506D" w14:textId="77777777" w:rsidR="00582428" w:rsidRPr="00124186" w:rsidRDefault="00582428" w:rsidP="00582428">
            <w:pPr>
              <w:jc w:val="center"/>
              <w:rPr>
                <w:rFonts w:ascii="Book Antiqua" w:hAnsi="Book Antiqua" w:cs="Calibri"/>
                <w:b/>
                <w:bCs/>
                <w:color w:val="000000"/>
                <w:sz w:val="16"/>
                <w:szCs w:val="16"/>
                <w:lang w:eastAsia="es-CR"/>
              </w:rPr>
            </w:pPr>
            <w:r w:rsidRPr="00124186">
              <w:rPr>
                <w:rFonts w:ascii="Book Antiqua" w:hAnsi="Book Antiqua" w:cs="Calibri"/>
                <w:b/>
                <w:bCs/>
                <w:color w:val="000000"/>
                <w:sz w:val="16"/>
                <w:szCs w:val="16"/>
                <w:lang w:eastAsia="es-CR"/>
              </w:rPr>
              <w:t>106%</w:t>
            </w:r>
          </w:p>
        </w:tc>
        <w:tc>
          <w:tcPr>
            <w:tcW w:w="695" w:type="dxa"/>
            <w:tcBorders>
              <w:top w:val="nil"/>
              <w:left w:val="nil"/>
              <w:bottom w:val="single" w:sz="4" w:space="0" w:color="auto"/>
              <w:right w:val="single" w:sz="4" w:space="0" w:color="auto"/>
            </w:tcBorders>
            <w:shd w:val="clear" w:color="000000" w:fill="EDEDED"/>
            <w:noWrap/>
            <w:vAlign w:val="center"/>
            <w:hideMark/>
          </w:tcPr>
          <w:p w14:paraId="56DD225D" w14:textId="77777777" w:rsidR="00582428" w:rsidRPr="00124186" w:rsidRDefault="00582428" w:rsidP="00582428">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10%</w:t>
            </w:r>
          </w:p>
        </w:tc>
      </w:tr>
    </w:tbl>
    <w:p w14:paraId="6D54DB4E" w14:textId="5C2D392B" w:rsidR="00E27F7C" w:rsidRPr="00E27F7C" w:rsidRDefault="00E27F7C" w:rsidP="00582428">
      <w:pPr>
        <w:spacing w:line="276" w:lineRule="auto"/>
        <w:jc w:val="center"/>
        <w:rPr>
          <w:rFonts w:ascii="Book Antiqua" w:hAnsi="Book Antiqua"/>
          <w:b/>
          <w:bCs/>
          <w:color w:val="000000" w:themeColor="text1"/>
          <w:sz w:val="20"/>
          <w:szCs w:val="20"/>
        </w:rPr>
      </w:pPr>
      <w:r w:rsidRPr="00E27F7C">
        <w:rPr>
          <w:rFonts w:ascii="Book Antiqua" w:hAnsi="Book Antiqua"/>
          <w:b/>
          <w:bCs/>
          <w:color w:val="000000" w:themeColor="text1"/>
          <w:sz w:val="20"/>
          <w:szCs w:val="20"/>
        </w:rPr>
        <w:t xml:space="preserve">Fuente: </w:t>
      </w:r>
      <w:r w:rsidRPr="00E27F7C">
        <w:rPr>
          <w:rFonts w:ascii="Book Antiqua" w:hAnsi="Book Antiqua"/>
          <w:color w:val="000000" w:themeColor="text1"/>
          <w:sz w:val="20"/>
          <w:szCs w:val="20"/>
        </w:rPr>
        <w:t>Matriz de indicadores de Gestión</w:t>
      </w:r>
      <w:r w:rsidR="00582428">
        <w:rPr>
          <w:rFonts w:ascii="Book Antiqua" w:hAnsi="Book Antiqua"/>
          <w:color w:val="000000" w:themeColor="text1"/>
          <w:sz w:val="20"/>
          <w:szCs w:val="20"/>
        </w:rPr>
        <w:t xml:space="preserve"> y Sistema Sigma</w:t>
      </w:r>
    </w:p>
    <w:p w14:paraId="0AAC1C25" w14:textId="77777777" w:rsidR="00776798" w:rsidRPr="004F0E92" w:rsidRDefault="00776798" w:rsidP="00985591">
      <w:pPr>
        <w:spacing w:line="276" w:lineRule="auto"/>
        <w:jc w:val="both"/>
        <w:rPr>
          <w:rFonts w:ascii="Book Antiqua" w:hAnsi="Book Antiqua" w:cs="Calibri"/>
          <w:color w:val="000000"/>
          <w:highlight w:val="yellow"/>
          <w:lang w:eastAsia="es-CR"/>
        </w:rPr>
      </w:pPr>
    </w:p>
    <w:p w14:paraId="6A03B025" w14:textId="612751A0" w:rsidR="00AD5B23" w:rsidRPr="00D163C2" w:rsidRDefault="00AD5B23" w:rsidP="00985591">
      <w:pPr>
        <w:spacing w:line="276" w:lineRule="auto"/>
        <w:jc w:val="both"/>
        <w:rPr>
          <w:rFonts w:ascii="Book Antiqua" w:hAnsi="Book Antiqua" w:cs="Calibri"/>
          <w:color w:val="000000"/>
          <w:lang w:eastAsia="es-CR"/>
        </w:rPr>
      </w:pPr>
      <w:r w:rsidRPr="00D163C2">
        <w:rPr>
          <w:rFonts w:ascii="Book Antiqua" w:hAnsi="Book Antiqua" w:cs="Calibri"/>
          <w:color w:val="000000"/>
          <w:lang w:eastAsia="es-CR"/>
        </w:rPr>
        <w:t>Si bien es cierto el promedio global de cumplimiento en los Tribunales Penales es de un 9</w:t>
      </w:r>
      <w:r w:rsidR="00582428">
        <w:rPr>
          <w:rFonts w:ascii="Book Antiqua" w:hAnsi="Book Antiqua" w:cs="Calibri"/>
          <w:color w:val="000000"/>
          <w:lang w:eastAsia="es-CR"/>
        </w:rPr>
        <w:t>6</w:t>
      </w:r>
      <w:r w:rsidRPr="00D163C2">
        <w:rPr>
          <w:rFonts w:ascii="Book Antiqua" w:hAnsi="Book Antiqua" w:cs="Calibri"/>
          <w:color w:val="000000"/>
          <w:lang w:eastAsia="es-CR"/>
        </w:rPr>
        <w:t>%, aún hay oficinas que reflejan un porcentaje bajo de resolución. Dentro de las principales justificaciones se encuentra la declaratoria de alerta naranja en algunas de estas zonas, lo que provocó la suspensión de juicios y la programación de juicios con persona detenida</w:t>
      </w:r>
      <w:r w:rsidR="001F7EEA" w:rsidRPr="00D163C2">
        <w:rPr>
          <w:rFonts w:ascii="Book Antiqua" w:hAnsi="Book Antiqua" w:cs="Calibri"/>
          <w:color w:val="000000"/>
          <w:lang w:eastAsia="es-CR"/>
        </w:rPr>
        <w:t>;</w:t>
      </w:r>
      <w:r w:rsidRPr="00D163C2">
        <w:rPr>
          <w:rFonts w:ascii="Book Antiqua" w:hAnsi="Book Antiqua" w:cs="Calibri"/>
          <w:color w:val="000000"/>
          <w:lang w:eastAsia="es-CR"/>
        </w:rPr>
        <w:t xml:space="preserve"> además</w:t>
      </w:r>
      <w:r w:rsidR="001F7EEA" w:rsidRPr="00D163C2">
        <w:rPr>
          <w:rFonts w:ascii="Book Antiqua" w:hAnsi="Book Antiqua" w:cs="Calibri"/>
          <w:color w:val="000000"/>
          <w:lang w:eastAsia="es-CR"/>
        </w:rPr>
        <w:t>,</w:t>
      </w:r>
      <w:r w:rsidRPr="00D163C2">
        <w:rPr>
          <w:rFonts w:ascii="Book Antiqua" w:hAnsi="Book Antiqua" w:cs="Calibri"/>
          <w:color w:val="000000"/>
          <w:lang w:eastAsia="es-CR"/>
        </w:rPr>
        <w:t xml:space="preserve"> casos positivos por covid-19 dentro del despacho, lo que provocó enviar a cuarentena parte del personal; así como</w:t>
      </w:r>
      <w:r w:rsidR="001F7EEA" w:rsidRPr="00D163C2">
        <w:rPr>
          <w:rFonts w:ascii="Book Antiqua" w:hAnsi="Book Antiqua" w:cs="Calibri"/>
          <w:color w:val="000000"/>
          <w:lang w:eastAsia="es-CR"/>
        </w:rPr>
        <w:t>,</w:t>
      </w:r>
      <w:r w:rsidRPr="00D163C2">
        <w:rPr>
          <w:rFonts w:ascii="Book Antiqua" w:hAnsi="Book Antiqua" w:cs="Calibri"/>
          <w:color w:val="000000"/>
          <w:lang w:eastAsia="es-CR"/>
        </w:rPr>
        <w:t xml:space="preserve"> la atención de juicios complejos de varias semanas. Como recomendación y dado que en todas las zonas las condiciones son distintas en cuanto a la disponibilidad de salas de juicio y acceso tecnológico, se sugiere valorar impulsar la posibilidad de realizar audiencias virtuales y atender asuntos de forma escrita. </w:t>
      </w:r>
    </w:p>
    <w:p w14:paraId="160B33AA" w14:textId="14CD46C0" w:rsidR="00302DFC" w:rsidRPr="00E27F7C" w:rsidRDefault="00302DFC" w:rsidP="00985591">
      <w:pPr>
        <w:spacing w:line="276" w:lineRule="auto"/>
        <w:jc w:val="both"/>
        <w:rPr>
          <w:rFonts w:ascii="Book Antiqua" w:hAnsi="Book Antiqua"/>
          <w:bCs/>
          <w:color w:val="000000" w:themeColor="text1"/>
          <w:highlight w:val="yellow"/>
        </w:rPr>
      </w:pPr>
    </w:p>
    <w:p w14:paraId="75672F94" w14:textId="77777777" w:rsidR="00DC4AA1" w:rsidRPr="004F0E92" w:rsidRDefault="00DC4AA1" w:rsidP="00985591">
      <w:pPr>
        <w:spacing w:line="276" w:lineRule="auto"/>
        <w:rPr>
          <w:rFonts w:ascii="Book Antiqua" w:hAnsi="Book Antiqua"/>
          <w:b/>
          <w:color w:val="000000" w:themeColor="text1"/>
        </w:rPr>
      </w:pPr>
    </w:p>
    <w:p w14:paraId="53760B5D" w14:textId="051B6A1B" w:rsidR="00776798" w:rsidRPr="00124186" w:rsidRDefault="3215E6E2" w:rsidP="57A79FF7">
      <w:pPr>
        <w:spacing w:after="160" w:line="276" w:lineRule="auto"/>
        <w:contextualSpacing/>
        <w:rPr>
          <w:b/>
          <w:color w:val="000000" w:themeColor="text1"/>
        </w:rPr>
      </w:pPr>
      <w:r w:rsidRPr="57A79FF7">
        <w:rPr>
          <w:rFonts w:ascii="Book Antiqua" w:hAnsi="Book Antiqua"/>
          <w:b/>
          <w:bCs/>
          <w:color w:val="000000" w:themeColor="text1"/>
        </w:rPr>
        <w:t xml:space="preserve">5.2.3 </w:t>
      </w:r>
      <w:r w:rsidR="00776798" w:rsidRPr="00124186">
        <w:rPr>
          <w:rFonts w:ascii="Book Antiqua" w:hAnsi="Book Antiqua"/>
          <w:b/>
          <w:color w:val="000000" w:themeColor="text1"/>
        </w:rPr>
        <w:t>Tribunal y Secciones de Flagrancia</w:t>
      </w:r>
    </w:p>
    <w:p w14:paraId="2CF8D5E6" w14:textId="78978E6A" w:rsidR="00124186" w:rsidRPr="00124186" w:rsidRDefault="00124186" w:rsidP="00124186">
      <w:pPr>
        <w:spacing w:line="276" w:lineRule="auto"/>
        <w:jc w:val="both"/>
        <w:rPr>
          <w:rFonts w:ascii="Book Antiqua" w:hAnsi="Book Antiqua"/>
          <w:color w:val="000000" w:themeColor="text1"/>
        </w:rPr>
      </w:pPr>
      <w:r w:rsidRPr="00124186">
        <w:rPr>
          <w:rFonts w:ascii="Book Antiqua" w:hAnsi="Book Antiqua"/>
          <w:color w:val="000000" w:themeColor="text1"/>
        </w:rPr>
        <w:t>Las secciones de flagrancia tienen un parámetro de producción de 35 diligencias entre audiencias iniciales, sentencias o medidas alternas, por lo tanto, su comparación contra el valor teórico es de un 82%, considerando la colaboración al ordinario asciende a un 86%.</w:t>
      </w:r>
    </w:p>
    <w:p w14:paraId="613293E5" w14:textId="77777777" w:rsidR="00124186" w:rsidRPr="00124186" w:rsidRDefault="00124186" w:rsidP="00124186">
      <w:pPr>
        <w:spacing w:line="276" w:lineRule="auto"/>
        <w:jc w:val="both"/>
        <w:rPr>
          <w:rFonts w:ascii="Book Antiqua" w:hAnsi="Book Antiqua"/>
          <w:color w:val="000000" w:themeColor="text1"/>
        </w:rPr>
      </w:pPr>
    </w:p>
    <w:p w14:paraId="6C60B2FF" w14:textId="77777777" w:rsidR="00124186" w:rsidRPr="00124186" w:rsidRDefault="00124186" w:rsidP="00124186">
      <w:pPr>
        <w:spacing w:line="276" w:lineRule="auto"/>
        <w:jc w:val="both"/>
        <w:rPr>
          <w:rFonts w:ascii="Book Antiqua" w:hAnsi="Book Antiqua"/>
          <w:color w:val="000000" w:themeColor="text1"/>
        </w:rPr>
      </w:pPr>
      <w:r w:rsidRPr="00124186">
        <w:rPr>
          <w:rFonts w:ascii="Book Antiqua" w:hAnsi="Book Antiqua"/>
          <w:color w:val="000000" w:themeColor="text1"/>
        </w:rPr>
        <w:t xml:space="preserve"> El despacho con mayor nivel de producción es el Tribunal de Flagrancia del Primer Circuito Judicial de Alajuela, con un 177% y el de menor rendimiento fue el Tribunal de Flagrancia de Goicochea con un 35% del valor teórico.</w:t>
      </w:r>
    </w:p>
    <w:p w14:paraId="54BFD5AC" w14:textId="77777777" w:rsidR="00124186" w:rsidRPr="00124186" w:rsidRDefault="00124186" w:rsidP="00124186">
      <w:pPr>
        <w:spacing w:line="276" w:lineRule="auto"/>
        <w:jc w:val="both"/>
        <w:rPr>
          <w:rFonts w:ascii="Book Antiqua" w:hAnsi="Book Antiqua"/>
          <w:color w:val="000000" w:themeColor="text1"/>
        </w:rPr>
      </w:pPr>
    </w:p>
    <w:p w14:paraId="5E751D32" w14:textId="77777777" w:rsidR="00124186" w:rsidRPr="00124186" w:rsidRDefault="00124186" w:rsidP="00124186">
      <w:pPr>
        <w:spacing w:line="276" w:lineRule="auto"/>
        <w:jc w:val="both"/>
        <w:rPr>
          <w:rFonts w:ascii="Book Antiqua" w:hAnsi="Book Antiqua"/>
          <w:color w:val="000000" w:themeColor="text1"/>
        </w:rPr>
      </w:pPr>
      <w:r w:rsidRPr="00124186">
        <w:rPr>
          <w:rFonts w:ascii="Book Antiqua" w:hAnsi="Book Antiqua"/>
          <w:color w:val="000000" w:themeColor="text1"/>
        </w:rPr>
        <w:t xml:space="preserve">Se destaca que, para el mes de junio, de la totalidad de las oficinas del contexto de Flagrancia, Alajuela, Liberia, Heredia, San Ramón y San Carlos son los únicos despachos que logran alcanzar un rendimiento igual o mayor al valor mínimo de producción con asuntos propios de la materia de Flagrancia. </w:t>
      </w:r>
    </w:p>
    <w:p w14:paraId="4DEDEEB7" w14:textId="77777777" w:rsidR="00124186" w:rsidRPr="00124186" w:rsidRDefault="00124186" w:rsidP="00124186">
      <w:pPr>
        <w:spacing w:line="276" w:lineRule="auto"/>
        <w:jc w:val="both"/>
        <w:rPr>
          <w:rFonts w:ascii="Book Antiqua" w:hAnsi="Book Antiqua"/>
          <w:color w:val="000000" w:themeColor="text1"/>
        </w:rPr>
      </w:pPr>
    </w:p>
    <w:p w14:paraId="3BEBBD5E" w14:textId="3488BA69" w:rsidR="00124186" w:rsidRPr="00124186" w:rsidRDefault="00124186" w:rsidP="00124186">
      <w:pPr>
        <w:spacing w:line="276" w:lineRule="auto"/>
        <w:jc w:val="both"/>
        <w:rPr>
          <w:rFonts w:ascii="Book Antiqua" w:hAnsi="Book Antiqua"/>
          <w:color w:val="000000" w:themeColor="text1"/>
        </w:rPr>
      </w:pPr>
      <w:r w:rsidRPr="00124186">
        <w:rPr>
          <w:rFonts w:ascii="Book Antiqua" w:hAnsi="Book Antiqua"/>
          <w:color w:val="000000" w:themeColor="text1"/>
        </w:rPr>
        <w:t xml:space="preserve">En ese sentido, se hace la observación que actualmente existen despachos de Flagrancia que brindan soporte a los Tribunales Ordinarios homólogos en la tramitación de asuntos propios de dicha dependencia, lo anterior, con el objetivo de maximizar el recurso humano y disminuir tiempos de respuesta, el detalle de lo anterior se amplía en el </w:t>
      </w:r>
      <w:r w:rsidRPr="000C1D00">
        <w:rPr>
          <w:rFonts w:ascii="Book Antiqua" w:hAnsi="Book Antiqua"/>
          <w:color w:val="000000" w:themeColor="text1"/>
        </w:rPr>
        <w:t xml:space="preserve">capítulo </w:t>
      </w:r>
      <w:r w:rsidR="000C1D00" w:rsidRPr="000C1D00">
        <w:rPr>
          <w:rFonts w:ascii="Book Antiqua" w:hAnsi="Book Antiqua"/>
          <w:color w:val="000000" w:themeColor="text1"/>
        </w:rPr>
        <w:t>I</w:t>
      </w:r>
      <w:r w:rsidRPr="000C1D00">
        <w:rPr>
          <w:rFonts w:ascii="Book Antiqua" w:hAnsi="Book Antiqua"/>
          <w:color w:val="000000" w:themeColor="text1"/>
        </w:rPr>
        <w:t>X del presente informe.</w:t>
      </w:r>
      <w:r w:rsidRPr="00124186">
        <w:rPr>
          <w:rFonts w:ascii="Book Antiqua" w:hAnsi="Book Antiqua"/>
          <w:color w:val="000000" w:themeColor="text1"/>
        </w:rPr>
        <w:t xml:space="preserve"> </w:t>
      </w:r>
    </w:p>
    <w:p w14:paraId="5DCCA5A6" w14:textId="77777777" w:rsidR="00124186" w:rsidRPr="00124186" w:rsidRDefault="00124186" w:rsidP="00124186">
      <w:pPr>
        <w:spacing w:line="276" w:lineRule="auto"/>
        <w:jc w:val="both"/>
        <w:rPr>
          <w:rFonts w:ascii="Book Antiqua" w:hAnsi="Book Antiqua"/>
          <w:color w:val="000000" w:themeColor="text1"/>
        </w:rPr>
      </w:pPr>
    </w:p>
    <w:p w14:paraId="0EFBBDBB" w14:textId="2838DA89" w:rsidR="00124186" w:rsidRPr="00124186" w:rsidRDefault="00124186" w:rsidP="00124186">
      <w:pPr>
        <w:spacing w:line="276" w:lineRule="auto"/>
        <w:jc w:val="both"/>
        <w:rPr>
          <w:rFonts w:ascii="Book Antiqua" w:hAnsi="Book Antiqua"/>
          <w:color w:val="000000" w:themeColor="text1"/>
        </w:rPr>
      </w:pPr>
      <w:r w:rsidRPr="00124186">
        <w:rPr>
          <w:rFonts w:ascii="Book Antiqua" w:hAnsi="Book Antiqua"/>
          <w:color w:val="000000" w:themeColor="text1"/>
        </w:rPr>
        <w:t xml:space="preserve"> Dicho lo anterior, contabilizando el soporte que las oficinas del contexto de Flagrancia le dan al ordinario, Alajuela, Liberia, Heredia, San Ramón y San Carlos continúan siendo los únicos despachos que logran alcanzar un porcentaje igual o mayor al valor mínimo esperado. </w:t>
      </w:r>
    </w:p>
    <w:p w14:paraId="6AAA5C0A" w14:textId="77777777" w:rsidR="00124186" w:rsidRPr="00124186" w:rsidRDefault="00124186" w:rsidP="00124186">
      <w:pPr>
        <w:spacing w:line="276" w:lineRule="auto"/>
        <w:jc w:val="both"/>
        <w:rPr>
          <w:rFonts w:ascii="Book Antiqua" w:hAnsi="Book Antiqua"/>
          <w:color w:val="000000" w:themeColor="text1"/>
        </w:rPr>
      </w:pPr>
    </w:p>
    <w:p w14:paraId="787AAA5D" w14:textId="1C0672F4" w:rsidR="007C1741" w:rsidRPr="00124186" w:rsidRDefault="00124186" w:rsidP="00124186">
      <w:pPr>
        <w:spacing w:line="276" w:lineRule="auto"/>
        <w:jc w:val="both"/>
        <w:rPr>
          <w:rFonts w:ascii="Book Antiqua" w:hAnsi="Book Antiqua"/>
          <w:color w:val="000000" w:themeColor="text1"/>
        </w:rPr>
      </w:pPr>
      <w:r w:rsidRPr="00124186">
        <w:rPr>
          <w:rFonts w:ascii="Book Antiqua" w:hAnsi="Book Antiqua"/>
          <w:color w:val="000000" w:themeColor="text1"/>
        </w:rPr>
        <w:t xml:space="preserve">En relación con las oficinas que no cumplen con un porcentaje igual o mayor al valor mínimo esperado, resulta importante evidenciar el aumento en el porcentaje de rendimiento que presentan las oficinas con el soporte al ordinario. </w:t>
      </w:r>
      <w:r w:rsidR="007C1741" w:rsidRPr="00124186">
        <w:rPr>
          <w:rFonts w:ascii="Book Antiqua" w:hAnsi="Book Antiqua"/>
          <w:color w:val="262626"/>
          <w:lang w:val="es-419" w:eastAsia="es-CR"/>
        </w:rPr>
        <w:t>En siguiente cuadro se muestra el detalle:</w:t>
      </w:r>
    </w:p>
    <w:p w14:paraId="0A18E1B7" w14:textId="18DB03C2" w:rsidR="00CE0836" w:rsidRPr="00124186" w:rsidRDefault="00CE0836" w:rsidP="00985591">
      <w:pPr>
        <w:spacing w:line="276" w:lineRule="auto"/>
        <w:rPr>
          <w:rFonts w:ascii="Book Antiqua" w:hAnsi="Book Antiqua"/>
          <w:b/>
          <w:color w:val="000000" w:themeColor="text1"/>
          <w:sz w:val="20"/>
          <w:szCs w:val="20"/>
        </w:rPr>
      </w:pPr>
    </w:p>
    <w:p w14:paraId="1EFCEF78" w14:textId="28702AF4" w:rsidR="006E415A" w:rsidRPr="00124186" w:rsidRDefault="006E415A" w:rsidP="00985591">
      <w:pPr>
        <w:spacing w:line="276" w:lineRule="auto"/>
        <w:jc w:val="center"/>
        <w:rPr>
          <w:rFonts w:ascii="Book Antiqua" w:hAnsi="Book Antiqua"/>
          <w:b/>
          <w:color w:val="000000" w:themeColor="text1"/>
        </w:rPr>
      </w:pPr>
      <w:r w:rsidRPr="00124186">
        <w:rPr>
          <w:rFonts w:ascii="Book Antiqua" w:hAnsi="Book Antiqua"/>
          <w:b/>
          <w:color w:val="000000" w:themeColor="text1"/>
        </w:rPr>
        <w:t xml:space="preserve">Cuadro </w:t>
      </w:r>
      <w:r w:rsidR="00B441DF" w:rsidRPr="00124186">
        <w:rPr>
          <w:rFonts w:ascii="Book Antiqua" w:hAnsi="Book Antiqua"/>
          <w:b/>
          <w:color w:val="000000" w:themeColor="text1"/>
        </w:rPr>
        <w:t>4</w:t>
      </w:r>
      <w:r w:rsidR="000C1D00">
        <w:rPr>
          <w:rFonts w:ascii="Book Antiqua" w:hAnsi="Book Antiqua"/>
          <w:b/>
          <w:color w:val="000000" w:themeColor="text1"/>
        </w:rPr>
        <w:t>6</w:t>
      </w:r>
    </w:p>
    <w:p w14:paraId="687B8F1B" w14:textId="77777777" w:rsidR="006E415A" w:rsidRPr="00124186" w:rsidRDefault="006E415A" w:rsidP="00985591">
      <w:pPr>
        <w:spacing w:line="276" w:lineRule="auto"/>
        <w:jc w:val="center"/>
        <w:rPr>
          <w:rFonts w:ascii="Book Antiqua" w:hAnsi="Book Antiqua"/>
          <w:bCs/>
          <w:color w:val="000000" w:themeColor="text1"/>
        </w:rPr>
      </w:pPr>
      <w:r w:rsidRPr="00124186">
        <w:rPr>
          <w:rFonts w:ascii="Book Antiqua" w:hAnsi="Book Antiqua"/>
          <w:bCs/>
          <w:color w:val="000000" w:themeColor="text1"/>
        </w:rPr>
        <w:t xml:space="preserve">Cumplimiento del parámetro de producción teórico </w:t>
      </w:r>
    </w:p>
    <w:p w14:paraId="672DE7B5" w14:textId="1E5FD392" w:rsidR="006E415A" w:rsidRPr="00382689" w:rsidRDefault="006E415A" w:rsidP="00985591">
      <w:pPr>
        <w:spacing w:line="276" w:lineRule="auto"/>
        <w:jc w:val="center"/>
        <w:rPr>
          <w:rFonts w:ascii="Book Antiqua" w:hAnsi="Book Antiqua"/>
          <w:bCs/>
          <w:color w:val="000000" w:themeColor="text1"/>
        </w:rPr>
      </w:pPr>
      <w:r w:rsidRPr="00124186">
        <w:rPr>
          <w:rFonts w:ascii="Book Antiqua" w:hAnsi="Book Antiqua"/>
          <w:bCs/>
          <w:color w:val="000000" w:themeColor="text1"/>
        </w:rPr>
        <w:t xml:space="preserve">de Tribunales y Secciones de Flagrancia durante </w:t>
      </w:r>
      <w:r w:rsidR="009D6700" w:rsidRPr="00124186">
        <w:rPr>
          <w:rFonts w:ascii="Book Antiqua" w:hAnsi="Book Antiqua"/>
          <w:bCs/>
          <w:color w:val="000000" w:themeColor="text1"/>
        </w:rPr>
        <w:t>junio</w:t>
      </w:r>
      <w:r w:rsidRPr="00124186">
        <w:rPr>
          <w:rFonts w:ascii="Book Antiqua" w:hAnsi="Book Antiqua"/>
          <w:bCs/>
          <w:color w:val="000000" w:themeColor="text1"/>
        </w:rPr>
        <w:t xml:space="preserve"> de 2021</w:t>
      </w:r>
    </w:p>
    <w:tbl>
      <w:tblPr>
        <w:tblW w:w="8080" w:type="dxa"/>
        <w:jc w:val="center"/>
        <w:tblCellMar>
          <w:left w:w="70" w:type="dxa"/>
          <w:right w:w="70" w:type="dxa"/>
        </w:tblCellMar>
        <w:tblLook w:val="04A0" w:firstRow="1" w:lastRow="0" w:firstColumn="1" w:lastColumn="0" w:noHBand="0" w:noVBand="1"/>
      </w:tblPr>
      <w:tblGrid>
        <w:gridCol w:w="3400"/>
        <w:gridCol w:w="1992"/>
        <w:gridCol w:w="2688"/>
      </w:tblGrid>
      <w:tr w:rsidR="00A60A5D" w:rsidRPr="00124186" w14:paraId="3F63E978" w14:textId="77777777" w:rsidTr="00124186">
        <w:trPr>
          <w:trHeight w:val="950"/>
          <w:jc w:val="center"/>
        </w:trPr>
        <w:tc>
          <w:tcPr>
            <w:tcW w:w="3400" w:type="dxa"/>
            <w:tcBorders>
              <w:top w:val="single" w:sz="4" w:space="0" w:color="808080"/>
              <w:left w:val="single" w:sz="4" w:space="0" w:color="808080"/>
              <w:bottom w:val="single" w:sz="4" w:space="0" w:color="808080"/>
              <w:right w:val="single" w:sz="4" w:space="0" w:color="808080"/>
            </w:tcBorders>
            <w:shd w:val="clear" w:color="000000" w:fill="305496"/>
            <w:noWrap/>
            <w:vAlign w:val="center"/>
            <w:hideMark/>
          </w:tcPr>
          <w:p w14:paraId="3AC9F2C7" w14:textId="77777777" w:rsidR="00A60A5D" w:rsidRPr="00124186" w:rsidRDefault="00A60A5D" w:rsidP="00A60A5D">
            <w:pPr>
              <w:jc w:val="center"/>
              <w:rPr>
                <w:rFonts w:ascii="Book Antiqua" w:hAnsi="Book Antiqua" w:cs="Calibri"/>
                <w:b/>
                <w:bCs/>
                <w:color w:val="FFFFFF"/>
                <w:sz w:val="16"/>
                <w:szCs w:val="16"/>
                <w:lang w:eastAsia="es-CR"/>
              </w:rPr>
            </w:pPr>
            <w:r w:rsidRPr="00124186">
              <w:rPr>
                <w:rFonts w:ascii="Book Antiqua" w:hAnsi="Book Antiqua" w:cs="Calibri"/>
                <w:b/>
                <w:bCs/>
                <w:color w:val="FFFFFF"/>
                <w:sz w:val="16"/>
                <w:szCs w:val="16"/>
                <w:lang w:eastAsia="es-CR"/>
              </w:rPr>
              <w:t>Oficina</w:t>
            </w:r>
          </w:p>
        </w:tc>
        <w:tc>
          <w:tcPr>
            <w:tcW w:w="1992" w:type="dxa"/>
            <w:tcBorders>
              <w:top w:val="single" w:sz="4" w:space="0" w:color="808080"/>
              <w:left w:val="nil"/>
              <w:bottom w:val="single" w:sz="4" w:space="0" w:color="808080"/>
              <w:right w:val="single" w:sz="4" w:space="0" w:color="808080"/>
            </w:tcBorders>
            <w:shd w:val="clear" w:color="000000" w:fill="305496"/>
            <w:vAlign w:val="center"/>
            <w:hideMark/>
          </w:tcPr>
          <w:p w14:paraId="707394EE" w14:textId="77777777" w:rsidR="00A60A5D" w:rsidRPr="00124186" w:rsidRDefault="00A60A5D" w:rsidP="00A60A5D">
            <w:pPr>
              <w:jc w:val="center"/>
              <w:rPr>
                <w:rFonts w:ascii="Book Antiqua" w:hAnsi="Book Antiqua" w:cs="Calibri"/>
                <w:b/>
                <w:bCs/>
                <w:color w:val="FFFFFF"/>
                <w:sz w:val="16"/>
                <w:szCs w:val="16"/>
                <w:lang w:eastAsia="es-CR"/>
              </w:rPr>
            </w:pPr>
            <w:r w:rsidRPr="00124186">
              <w:rPr>
                <w:rFonts w:ascii="Book Antiqua" w:hAnsi="Book Antiqua" w:cs="Calibri"/>
                <w:b/>
                <w:bCs/>
                <w:color w:val="FFFFFF"/>
                <w:sz w:val="16"/>
                <w:szCs w:val="16"/>
                <w:lang w:eastAsia="es-CR"/>
              </w:rPr>
              <w:t>% de cumplimiento de cuota</w:t>
            </w:r>
          </w:p>
        </w:tc>
        <w:tc>
          <w:tcPr>
            <w:tcW w:w="2688" w:type="dxa"/>
            <w:tcBorders>
              <w:top w:val="single" w:sz="4" w:space="0" w:color="808080"/>
              <w:left w:val="nil"/>
              <w:bottom w:val="single" w:sz="4" w:space="0" w:color="808080"/>
              <w:right w:val="single" w:sz="4" w:space="0" w:color="808080"/>
            </w:tcBorders>
            <w:shd w:val="clear" w:color="000000" w:fill="305496"/>
            <w:vAlign w:val="center"/>
            <w:hideMark/>
          </w:tcPr>
          <w:p w14:paraId="1D256A18" w14:textId="77777777" w:rsidR="00A60A5D" w:rsidRPr="00124186" w:rsidRDefault="00A60A5D" w:rsidP="00A60A5D">
            <w:pPr>
              <w:jc w:val="center"/>
              <w:rPr>
                <w:rFonts w:ascii="Book Antiqua" w:hAnsi="Book Antiqua" w:cs="Calibri"/>
                <w:b/>
                <w:bCs/>
                <w:color w:val="FFFFFF"/>
                <w:sz w:val="16"/>
                <w:szCs w:val="16"/>
                <w:lang w:eastAsia="es-CR"/>
              </w:rPr>
            </w:pPr>
            <w:r w:rsidRPr="00124186">
              <w:rPr>
                <w:rFonts w:ascii="Book Antiqua" w:hAnsi="Book Antiqua" w:cs="Calibri"/>
                <w:b/>
                <w:bCs/>
                <w:color w:val="FFFFFF"/>
                <w:sz w:val="16"/>
                <w:szCs w:val="16"/>
                <w:lang w:eastAsia="es-CR"/>
              </w:rPr>
              <w:t>% de cumplimiento considerando colaboración al ordinario</w:t>
            </w:r>
          </w:p>
        </w:tc>
      </w:tr>
      <w:tr w:rsidR="00A60A5D" w:rsidRPr="00124186" w14:paraId="04BADDB5" w14:textId="77777777" w:rsidTr="00124186">
        <w:trPr>
          <w:trHeight w:val="290"/>
          <w:jc w:val="center"/>
        </w:trPr>
        <w:tc>
          <w:tcPr>
            <w:tcW w:w="3400" w:type="dxa"/>
            <w:tcBorders>
              <w:top w:val="nil"/>
              <w:left w:val="single" w:sz="4" w:space="0" w:color="808080"/>
              <w:bottom w:val="single" w:sz="4" w:space="0" w:color="808080"/>
              <w:right w:val="single" w:sz="4" w:space="0" w:color="808080"/>
            </w:tcBorders>
            <w:shd w:val="clear" w:color="auto" w:fill="auto"/>
            <w:noWrap/>
            <w:vAlign w:val="center"/>
            <w:hideMark/>
          </w:tcPr>
          <w:p w14:paraId="770076C2" w14:textId="77777777" w:rsidR="00A60A5D" w:rsidRPr="00124186" w:rsidRDefault="00A60A5D" w:rsidP="00A60A5D">
            <w:pP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Tribunal de Flagrancia de Alajuela</w:t>
            </w:r>
          </w:p>
        </w:tc>
        <w:tc>
          <w:tcPr>
            <w:tcW w:w="1992" w:type="dxa"/>
            <w:tcBorders>
              <w:top w:val="nil"/>
              <w:left w:val="nil"/>
              <w:bottom w:val="single" w:sz="4" w:space="0" w:color="808080"/>
              <w:right w:val="single" w:sz="4" w:space="0" w:color="808080"/>
            </w:tcBorders>
            <w:shd w:val="clear" w:color="auto" w:fill="auto"/>
            <w:noWrap/>
            <w:vAlign w:val="center"/>
            <w:hideMark/>
          </w:tcPr>
          <w:p w14:paraId="67D8EC55" w14:textId="77777777" w:rsidR="00A60A5D" w:rsidRPr="00124186" w:rsidRDefault="00A60A5D" w:rsidP="00A60A5D">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177%</w:t>
            </w:r>
          </w:p>
        </w:tc>
        <w:tc>
          <w:tcPr>
            <w:tcW w:w="2688" w:type="dxa"/>
            <w:tcBorders>
              <w:top w:val="nil"/>
              <w:left w:val="nil"/>
              <w:bottom w:val="single" w:sz="4" w:space="0" w:color="808080"/>
              <w:right w:val="single" w:sz="4" w:space="0" w:color="808080"/>
            </w:tcBorders>
            <w:shd w:val="clear" w:color="auto" w:fill="auto"/>
            <w:noWrap/>
            <w:vAlign w:val="center"/>
            <w:hideMark/>
          </w:tcPr>
          <w:p w14:paraId="07EF5C76" w14:textId="77777777" w:rsidR="00A60A5D" w:rsidRPr="00124186" w:rsidRDefault="00A60A5D" w:rsidP="00A60A5D">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177%</w:t>
            </w:r>
          </w:p>
        </w:tc>
      </w:tr>
      <w:tr w:rsidR="00A60A5D" w:rsidRPr="00124186" w14:paraId="2BA8A343" w14:textId="77777777" w:rsidTr="00124186">
        <w:trPr>
          <w:trHeight w:val="290"/>
          <w:jc w:val="center"/>
        </w:trPr>
        <w:tc>
          <w:tcPr>
            <w:tcW w:w="3400" w:type="dxa"/>
            <w:tcBorders>
              <w:top w:val="nil"/>
              <w:left w:val="single" w:sz="4" w:space="0" w:color="808080"/>
              <w:bottom w:val="single" w:sz="4" w:space="0" w:color="808080"/>
              <w:right w:val="single" w:sz="4" w:space="0" w:color="808080"/>
            </w:tcBorders>
            <w:shd w:val="clear" w:color="auto" w:fill="auto"/>
            <w:noWrap/>
            <w:vAlign w:val="center"/>
            <w:hideMark/>
          </w:tcPr>
          <w:p w14:paraId="0FD81D22" w14:textId="77777777" w:rsidR="00A60A5D" w:rsidRPr="00124186" w:rsidRDefault="00A60A5D" w:rsidP="00A60A5D">
            <w:pP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Tribunal de Flagrancia de Liberia</w:t>
            </w:r>
          </w:p>
        </w:tc>
        <w:tc>
          <w:tcPr>
            <w:tcW w:w="1992" w:type="dxa"/>
            <w:tcBorders>
              <w:top w:val="nil"/>
              <w:left w:val="nil"/>
              <w:bottom w:val="single" w:sz="4" w:space="0" w:color="808080"/>
              <w:right w:val="single" w:sz="4" w:space="0" w:color="808080"/>
            </w:tcBorders>
            <w:shd w:val="clear" w:color="auto" w:fill="auto"/>
            <w:noWrap/>
            <w:vAlign w:val="center"/>
            <w:hideMark/>
          </w:tcPr>
          <w:p w14:paraId="70E2538D" w14:textId="77777777" w:rsidR="00A60A5D" w:rsidRPr="00124186" w:rsidRDefault="00A60A5D" w:rsidP="00A60A5D">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111%</w:t>
            </w:r>
          </w:p>
        </w:tc>
        <w:tc>
          <w:tcPr>
            <w:tcW w:w="2688" w:type="dxa"/>
            <w:tcBorders>
              <w:top w:val="nil"/>
              <w:left w:val="nil"/>
              <w:bottom w:val="single" w:sz="4" w:space="0" w:color="808080"/>
              <w:right w:val="single" w:sz="4" w:space="0" w:color="808080"/>
            </w:tcBorders>
            <w:shd w:val="clear" w:color="auto" w:fill="auto"/>
            <w:noWrap/>
            <w:vAlign w:val="center"/>
            <w:hideMark/>
          </w:tcPr>
          <w:p w14:paraId="35AC3CE3" w14:textId="77777777" w:rsidR="00A60A5D" w:rsidRPr="00124186" w:rsidRDefault="00A60A5D" w:rsidP="00A60A5D">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112%</w:t>
            </w:r>
          </w:p>
        </w:tc>
      </w:tr>
      <w:tr w:rsidR="00A60A5D" w:rsidRPr="00124186" w14:paraId="7340858F" w14:textId="77777777" w:rsidTr="00124186">
        <w:trPr>
          <w:trHeight w:val="290"/>
          <w:jc w:val="center"/>
        </w:trPr>
        <w:tc>
          <w:tcPr>
            <w:tcW w:w="3400" w:type="dxa"/>
            <w:tcBorders>
              <w:top w:val="nil"/>
              <w:left w:val="single" w:sz="4" w:space="0" w:color="808080"/>
              <w:bottom w:val="single" w:sz="4" w:space="0" w:color="808080"/>
              <w:right w:val="single" w:sz="4" w:space="0" w:color="808080"/>
            </w:tcBorders>
            <w:shd w:val="clear" w:color="auto" w:fill="auto"/>
            <w:noWrap/>
            <w:vAlign w:val="center"/>
            <w:hideMark/>
          </w:tcPr>
          <w:p w14:paraId="7F8C1029" w14:textId="77777777" w:rsidR="00A60A5D" w:rsidRPr="00124186" w:rsidRDefault="00A60A5D" w:rsidP="00A60A5D">
            <w:pP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Tribunal de Flagrancia de San Ramón</w:t>
            </w:r>
          </w:p>
        </w:tc>
        <w:tc>
          <w:tcPr>
            <w:tcW w:w="1992" w:type="dxa"/>
            <w:tcBorders>
              <w:top w:val="nil"/>
              <w:left w:val="nil"/>
              <w:bottom w:val="single" w:sz="4" w:space="0" w:color="808080"/>
              <w:right w:val="single" w:sz="4" w:space="0" w:color="808080"/>
            </w:tcBorders>
            <w:shd w:val="clear" w:color="auto" w:fill="auto"/>
            <w:noWrap/>
            <w:vAlign w:val="center"/>
            <w:hideMark/>
          </w:tcPr>
          <w:p w14:paraId="3B54F865" w14:textId="77777777" w:rsidR="00A60A5D" w:rsidRPr="00124186" w:rsidRDefault="00A60A5D" w:rsidP="00A60A5D">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104%</w:t>
            </w:r>
          </w:p>
        </w:tc>
        <w:tc>
          <w:tcPr>
            <w:tcW w:w="2688" w:type="dxa"/>
            <w:tcBorders>
              <w:top w:val="nil"/>
              <w:left w:val="nil"/>
              <w:bottom w:val="single" w:sz="4" w:space="0" w:color="808080"/>
              <w:right w:val="single" w:sz="4" w:space="0" w:color="808080"/>
            </w:tcBorders>
            <w:shd w:val="clear" w:color="auto" w:fill="auto"/>
            <w:noWrap/>
            <w:vAlign w:val="center"/>
            <w:hideMark/>
          </w:tcPr>
          <w:p w14:paraId="45CA0C23" w14:textId="77777777" w:rsidR="00A60A5D" w:rsidRPr="00124186" w:rsidRDefault="00A60A5D" w:rsidP="00A60A5D">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109%</w:t>
            </w:r>
          </w:p>
        </w:tc>
      </w:tr>
      <w:tr w:rsidR="00A60A5D" w:rsidRPr="00124186" w14:paraId="1E7DFB48" w14:textId="77777777" w:rsidTr="00124186">
        <w:trPr>
          <w:trHeight w:val="290"/>
          <w:jc w:val="center"/>
        </w:trPr>
        <w:tc>
          <w:tcPr>
            <w:tcW w:w="3400" w:type="dxa"/>
            <w:tcBorders>
              <w:top w:val="nil"/>
              <w:left w:val="single" w:sz="4" w:space="0" w:color="808080"/>
              <w:bottom w:val="single" w:sz="4" w:space="0" w:color="808080"/>
              <w:right w:val="single" w:sz="4" w:space="0" w:color="808080"/>
            </w:tcBorders>
            <w:shd w:val="clear" w:color="auto" w:fill="auto"/>
            <w:noWrap/>
            <w:vAlign w:val="center"/>
            <w:hideMark/>
          </w:tcPr>
          <w:p w14:paraId="0D50BFE7" w14:textId="2A5DAE6E" w:rsidR="00A60A5D" w:rsidRPr="00124186" w:rsidRDefault="00A60A5D" w:rsidP="00A60A5D">
            <w:pP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Tribunal de Flagrancia de Heredia</w:t>
            </w:r>
          </w:p>
        </w:tc>
        <w:tc>
          <w:tcPr>
            <w:tcW w:w="1992" w:type="dxa"/>
            <w:tcBorders>
              <w:top w:val="nil"/>
              <w:left w:val="nil"/>
              <w:bottom w:val="single" w:sz="4" w:space="0" w:color="808080"/>
              <w:right w:val="single" w:sz="4" w:space="0" w:color="808080"/>
            </w:tcBorders>
            <w:shd w:val="clear" w:color="auto" w:fill="auto"/>
            <w:noWrap/>
            <w:vAlign w:val="center"/>
            <w:hideMark/>
          </w:tcPr>
          <w:p w14:paraId="6DDECB9E" w14:textId="77777777" w:rsidR="00A60A5D" w:rsidRPr="00124186" w:rsidRDefault="00A60A5D" w:rsidP="00A60A5D">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105%</w:t>
            </w:r>
          </w:p>
        </w:tc>
        <w:tc>
          <w:tcPr>
            <w:tcW w:w="2688" w:type="dxa"/>
            <w:tcBorders>
              <w:top w:val="nil"/>
              <w:left w:val="nil"/>
              <w:bottom w:val="single" w:sz="4" w:space="0" w:color="808080"/>
              <w:right w:val="single" w:sz="4" w:space="0" w:color="808080"/>
            </w:tcBorders>
            <w:shd w:val="clear" w:color="auto" w:fill="auto"/>
            <w:noWrap/>
            <w:vAlign w:val="center"/>
            <w:hideMark/>
          </w:tcPr>
          <w:p w14:paraId="17367046" w14:textId="77777777" w:rsidR="00A60A5D" w:rsidRPr="00124186" w:rsidRDefault="00A60A5D" w:rsidP="00A60A5D">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105%</w:t>
            </w:r>
          </w:p>
        </w:tc>
      </w:tr>
      <w:tr w:rsidR="00A60A5D" w:rsidRPr="00124186" w14:paraId="18BE65FE" w14:textId="77777777" w:rsidTr="00124186">
        <w:trPr>
          <w:trHeight w:val="290"/>
          <w:jc w:val="center"/>
        </w:trPr>
        <w:tc>
          <w:tcPr>
            <w:tcW w:w="3400" w:type="dxa"/>
            <w:tcBorders>
              <w:top w:val="nil"/>
              <w:left w:val="single" w:sz="4" w:space="0" w:color="808080"/>
              <w:bottom w:val="single" w:sz="4" w:space="0" w:color="808080"/>
              <w:right w:val="single" w:sz="4" w:space="0" w:color="808080"/>
            </w:tcBorders>
            <w:shd w:val="clear" w:color="auto" w:fill="auto"/>
            <w:noWrap/>
            <w:vAlign w:val="center"/>
            <w:hideMark/>
          </w:tcPr>
          <w:p w14:paraId="621DC86E" w14:textId="77777777" w:rsidR="00A60A5D" w:rsidRPr="00124186" w:rsidRDefault="00A60A5D" w:rsidP="00A60A5D">
            <w:pP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Tribunal de Flagrancia de San Carlos</w:t>
            </w:r>
          </w:p>
        </w:tc>
        <w:tc>
          <w:tcPr>
            <w:tcW w:w="1992" w:type="dxa"/>
            <w:tcBorders>
              <w:top w:val="nil"/>
              <w:left w:val="nil"/>
              <w:bottom w:val="single" w:sz="4" w:space="0" w:color="808080"/>
              <w:right w:val="single" w:sz="4" w:space="0" w:color="808080"/>
            </w:tcBorders>
            <w:shd w:val="clear" w:color="auto" w:fill="auto"/>
            <w:noWrap/>
            <w:vAlign w:val="center"/>
            <w:hideMark/>
          </w:tcPr>
          <w:p w14:paraId="2B9F048C" w14:textId="77777777" w:rsidR="00A60A5D" w:rsidRPr="00124186" w:rsidRDefault="00A60A5D" w:rsidP="00A60A5D">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100%</w:t>
            </w:r>
          </w:p>
        </w:tc>
        <w:tc>
          <w:tcPr>
            <w:tcW w:w="2688" w:type="dxa"/>
            <w:tcBorders>
              <w:top w:val="nil"/>
              <w:left w:val="nil"/>
              <w:bottom w:val="single" w:sz="4" w:space="0" w:color="808080"/>
              <w:right w:val="single" w:sz="4" w:space="0" w:color="808080"/>
            </w:tcBorders>
            <w:shd w:val="clear" w:color="auto" w:fill="auto"/>
            <w:noWrap/>
            <w:vAlign w:val="center"/>
            <w:hideMark/>
          </w:tcPr>
          <w:p w14:paraId="0E7E2782" w14:textId="77777777" w:rsidR="00A60A5D" w:rsidRPr="00124186" w:rsidRDefault="00A60A5D" w:rsidP="00A60A5D">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100%</w:t>
            </w:r>
          </w:p>
        </w:tc>
      </w:tr>
      <w:tr w:rsidR="00A60A5D" w:rsidRPr="00124186" w14:paraId="195CEF2B" w14:textId="77777777" w:rsidTr="00124186">
        <w:trPr>
          <w:trHeight w:val="290"/>
          <w:jc w:val="center"/>
        </w:trPr>
        <w:tc>
          <w:tcPr>
            <w:tcW w:w="3400" w:type="dxa"/>
            <w:tcBorders>
              <w:top w:val="nil"/>
              <w:left w:val="single" w:sz="4" w:space="0" w:color="808080"/>
              <w:bottom w:val="single" w:sz="4" w:space="0" w:color="808080"/>
              <w:right w:val="single" w:sz="4" w:space="0" w:color="808080"/>
            </w:tcBorders>
            <w:shd w:val="clear" w:color="auto" w:fill="auto"/>
            <w:noWrap/>
            <w:vAlign w:val="center"/>
            <w:hideMark/>
          </w:tcPr>
          <w:p w14:paraId="5B5B8ADA" w14:textId="77777777" w:rsidR="00A60A5D" w:rsidRPr="00124186" w:rsidRDefault="00A60A5D" w:rsidP="00A60A5D">
            <w:pP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Tribunal de Flagrancia de Corredores</w:t>
            </w:r>
          </w:p>
        </w:tc>
        <w:tc>
          <w:tcPr>
            <w:tcW w:w="1992" w:type="dxa"/>
            <w:tcBorders>
              <w:top w:val="nil"/>
              <w:left w:val="nil"/>
              <w:bottom w:val="single" w:sz="4" w:space="0" w:color="808080"/>
              <w:right w:val="single" w:sz="4" w:space="0" w:color="808080"/>
            </w:tcBorders>
            <w:shd w:val="clear" w:color="auto" w:fill="auto"/>
            <w:noWrap/>
            <w:vAlign w:val="center"/>
            <w:hideMark/>
          </w:tcPr>
          <w:p w14:paraId="61EAB545" w14:textId="77777777" w:rsidR="00A60A5D" w:rsidRPr="00124186" w:rsidRDefault="00A60A5D" w:rsidP="00A60A5D">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64%</w:t>
            </w:r>
          </w:p>
        </w:tc>
        <w:tc>
          <w:tcPr>
            <w:tcW w:w="2688" w:type="dxa"/>
            <w:tcBorders>
              <w:top w:val="nil"/>
              <w:left w:val="nil"/>
              <w:bottom w:val="single" w:sz="4" w:space="0" w:color="808080"/>
              <w:right w:val="single" w:sz="4" w:space="0" w:color="808080"/>
            </w:tcBorders>
            <w:shd w:val="clear" w:color="auto" w:fill="auto"/>
            <w:noWrap/>
            <w:vAlign w:val="center"/>
            <w:hideMark/>
          </w:tcPr>
          <w:p w14:paraId="0438FD60" w14:textId="77777777" w:rsidR="00A60A5D" w:rsidRPr="00124186" w:rsidRDefault="00A60A5D" w:rsidP="00A60A5D">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88%</w:t>
            </w:r>
          </w:p>
        </w:tc>
      </w:tr>
      <w:tr w:rsidR="00A60A5D" w:rsidRPr="00124186" w14:paraId="30884579" w14:textId="77777777" w:rsidTr="00124186">
        <w:trPr>
          <w:trHeight w:val="290"/>
          <w:jc w:val="center"/>
        </w:trPr>
        <w:tc>
          <w:tcPr>
            <w:tcW w:w="3400" w:type="dxa"/>
            <w:tcBorders>
              <w:top w:val="nil"/>
              <w:left w:val="single" w:sz="4" w:space="0" w:color="808080"/>
              <w:bottom w:val="single" w:sz="4" w:space="0" w:color="808080"/>
              <w:right w:val="single" w:sz="4" w:space="0" w:color="808080"/>
            </w:tcBorders>
            <w:shd w:val="clear" w:color="auto" w:fill="auto"/>
            <w:noWrap/>
            <w:vAlign w:val="center"/>
            <w:hideMark/>
          </w:tcPr>
          <w:p w14:paraId="1D500D4E" w14:textId="77777777" w:rsidR="00A60A5D" w:rsidRPr="00124186" w:rsidRDefault="00A60A5D" w:rsidP="00A60A5D">
            <w:pP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Tribunal de Flagrancia de Cartago</w:t>
            </w:r>
          </w:p>
        </w:tc>
        <w:tc>
          <w:tcPr>
            <w:tcW w:w="1992" w:type="dxa"/>
            <w:tcBorders>
              <w:top w:val="nil"/>
              <w:left w:val="nil"/>
              <w:bottom w:val="single" w:sz="4" w:space="0" w:color="808080"/>
              <w:right w:val="single" w:sz="4" w:space="0" w:color="808080"/>
            </w:tcBorders>
            <w:shd w:val="clear" w:color="auto" w:fill="auto"/>
            <w:noWrap/>
            <w:vAlign w:val="center"/>
            <w:hideMark/>
          </w:tcPr>
          <w:p w14:paraId="231B2428" w14:textId="77777777" w:rsidR="00A60A5D" w:rsidRPr="00124186" w:rsidRDefault="00A60A5D" w:rsidP="00A60A5D">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79%</w:t>
            </w:r>
          </w:p>
        </w:tc>
        <w:tc>
          <w:tcPr>
            <w:tcW w:w="2688" w:type="dxa"/>
            <w:tcBorders>
              <w:top w:val="nil"/>
              <w:left w:val="nil"/>
              <w:bottom w:val="single" w:sz="4" w:space="0" w:color="808080"/>
              <w:right w:val="single" w:sz="4" w:space="0" w:color="808080"/>
            </w:tcBorders>
            <w:shd w:val="clear" w:color="auto" w:fill="auto"/>
            <w:noWrap/>
            <w:vAlign w:val="center"/>
            <w:hideMark/>
          </w:tcPr>
          <w:p w14:paraId="6346DC8F" w14:textId="77777777" w:rsidR="00A60A5D" w:rsidRPr="00124186" w:rsidRDefault="00A60A5D" w:rsidP="00A60A5D">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86%</w:t>
            </w:r>
          </w:p>
        </w:tc>
      </w:tr>
      <w:tr w:rsidR="00A60A5D" w:rsidRPr="00124186" w14:paraId="76E64790" w14:textId="77777777" w:rsidTr="00124186">
        <w:trPr>
          <w:trHeight w:val="290"/>
          <w:jc w:val="center"/>
        </w:trPr>
        <w:tc>
          <w:tcPr>
            <w:tcW w:w="3400" w:type="dxa"/>
            <w:tcBorders>
              <w:top w:val="nil"/>
              <w:left w:val="single" w:sz="4" w:space="0" w:color="808080"/>
              <w:bottom w:val="single" w:sz="4" w:space="0" w:color="808080"/>
              <w:right w:val="single" w:sz="4" w:space="0" w:color="808080"/>
            </w:tcBorders>
            <w:shd w:val="clear" w:color="auto" w:fill="auto"/>
            <w:noWrap/>
            <w:vAlign w:val="center"/>
            <w:hideMark/>
          </w:tcPr>
          <w:p w14:paraId="76DDFF88" w14:textId="77777777" w:rsidR="00A60A5D" w:rsidRPr="00124186" w:rsidRDefault="00A60A5D" w:rsidP="00A60A5D">
            <w:pP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Tribunal de Flagrancia de Santa Cruz</w:t>
            </w:r>
          </w:p>
        </w:tc>
        <w:tc>
          <w:tcPr>
            <w:tcW w:w="1992" w:type="dxa"/>
            <w:tcBorders>
              <w:top w:val="nil"/>
              <w:left w:val="nil"/>
              <w:bottom w:val="single" w:sz="4" w:space="0" w:color="808080"/>
              <w:right w:val="single" w:sz="4" w:space="0" w:color="808080"/>
            </w:tcBorders>
            <w:shd w:val="clear" w:color="auto" w:fill="auto"/>
            <w:noWrap/>
            <w:vAlign w:val="center"/>
            <w:hideMark/>
          </w:tcPr>
          <w:p w14:paraId="3DA0F6AC" w14:textId="77777777" w:rsidR="00A60A5D" w:rsidRPr="00124186" w:rsidRDefault="00A60A5D" w:rsidP="00A60A5D">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85%</w:t>
            </w:r>
          </w:p>
        </w:tc>
        <w:tc>
          <w:tcPr>
            <w:tcW w:w="2688" w:type="dxa"/>
            <w:tcBorders>
              <w:top w:val="nil"/>
              <w:left w:val="nil"/>
              <w:bottom w:val="single" w:sz="4" w:space="0" w:color="808080"/>
              <w:right w:val="single" w:sz="4" w:space="0" w:color="808080"/>
            </w:tcBorders>
            <w:shd w:val="clear" w:color="auto" w:fill="auto"/>
            <w:noWrap/>
            <w:vAlign w:val="center"/>
            <w:hideMark/>
          </w:tcPr>
          <w:p w14:paraId="6323FE79" w14:textId="77777777" w:rsidR="00A60A5D" w:rsidRPr="00124186" w:rsidRDefault="00A60A5D" w:rsidP="00A60A5D">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85%</w:t>
            </w:r>
          </w:p>
        </w:tc>
      </w:tr>
      <w:tr w:rsidR="00A60A5D" w:rsidRPr="00124186" w14:paraId="02F32B7F" w14:textId="77777777" w:rsidTr="00124186">
        <w:trPr>
          <w:trHeight w:val="290"/>
          <w:jc w:val="center"/>
        </w:trPr>
        <w:tc>
          <w:tcPr>
            <w:tcW w:w="3400" w:type="dxa"/>
            <w:tcBorders>
              <w:top w:val="nil"/>
              <w:left w:val="single" w:sz="4" w:space="0" w:color="808080"/>
              <w:bottom w:val="single" w:sz="4" w:space="0" w:color="808080"/>
              <w:right w:val="single" w:sz="4" w:space="0" w:color="808080"/>
            </w:tcBorders>
            <w:shd w:val="clear" w:color="auto" w:fill="auto"/>
            <w:noWrap/>
            <w:vAlign w:val="center"/>
            <w:hideMark/>
          </w:tcPr>
          <w:p w14:paraId="7B5456D2" w14:textId="77777777" w:rsidR="00A60A5D" w:rsidRPr="00124186" w:rsidRDefault="00A60A5D" w:rsidP="00A60A5D">
            <w:pP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Tribunal de Flagrancia de Puntarenas</w:t>
            </w:r>
          </w:p>
        </w:tc>
        <w:tc>
          <w:tcPr>
            <w:tcW w:w="1992" w:type="dxa"/>
            <w:tcBorders>
              <w:top w:val="nil"/>
              <w:left w:val="nil"/>
              <w:bottom w:val="single" w:sz="4" w:space="0" w:color="808080"/>
              <w:right w:val="single" w:sz="4" w:space="0" w:color="808080"/>
            </w:tcBorders>
            <w:shd w:val="clear" w:color="auto" w:fill="auto"/>
            <w:noWrap/>
            <w:vAlign w:val="center"/>
            <w:hideMark/>
          </w:tcPr>
          <w:p w14:paraId="6D93ABB3" w14:textId="77777777" w:rsidR="00A60A5D" w:rsidRPr="00124186" w:rsidRDefault="00A60A5D" w:rsidP="00A60A5D">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70%</w:t>
            </w:r>
          </w:p>
        </w:tc>
        <w:tc>
          <w:tcPr>
            <w:tcW w:w="2688" w:type="dxa"/>
            <w:tcBorders>
              <w:top w:val="nil"/>
              <w:left w:val="nil"/>
              <w:bottom w:val="single" w:sz="4" w:space="0" w:color="808080"/>
              <w:right w:val="single" w:sz="4" w:space="0" w:color="808080"/>
            </w:tcBorders>
            <w:shd w:val="clear" w:color="auto" w:fill="auto"/>
            <w:noWrap/>
            <w:vAlign w:val="center"/>
            <w:hideMark/>
          </w:tcPr>
          <w:p w14:paraId="552EE424" w14:textId="77777777" w:rsidR="00A60A5D" w:rsidRPr="00124186" w:rsidRDefault="00A60A5D" w:rsidP="00A60A5D">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81%</w:t>
            </w:r>
          </w:p>
        </w:tc>
      </w:tr>
      <w:tr w:rsidR="00A60A5D" w:rsidRPr="00124186" w14:paraId="31C9B6E2" w14:textId="77777777" w:rsidTr="00124186">
        <w:trPr>
          <w:trHeight w:val="290"/>
          <w:jc w:val="center"/>
        </w:trPr>
        <w:tc>
          <w:tcPr>
            <w:tcW w:w="3400" w:type="dxa"/>
            <w:tcBorders>
              <w:top w:val="nil"/>
              <w:left w:val="single" w:sz="4" w:space="0" w:color="808080"/>
              <w:bottom w:val="single" w:sz="4" w:space="0" w:color="808080"/>
              <w:right w:val="single" w:sz="4" w:space="0" w:color="808080"/>
            </w:tcBorders>
            <w:shd w:val="clear" w:color="auto" w:fill="auto"/>
            <w:noWrap/>
            <w:vAlign w:val="center"/>
            <w:hideMark/>
          </w:tcPr>
          <w:p w14:paraId="45D868A0" w14:textId="77777777" w:rsidR="00A60A5D" w:rsidRPr="00124186" w:rsidRDefault="00A60A5D" w:rsidP="00A60A5D">
            <w:pP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Tribunal de Flagrancia de Pérez Zeledón</w:t>
            </w:r>
          </w:p>
        </w:tc>
        <w:tc>
          <w:tcPr>
            <w:tcW w:w="1992" w:type="dxa"/>
            <w:tcBorders>
              <w:top w:val="nil"/>
              <w:left w:val="nil"/>
              <w:bottom w:val="single" w:sz="4" w:space="0" w:color="808080"/>
              <w:right w:val="single" w:sz="4" w:space="0" w:color="808080"/>
            </w:tcBorders>
            <w:shd w:val="clear" w:color="auto" w:fill="auto"/>
            <w:noWrap/>
            <w:vAlign w:val="center"/>
            <w:hideMark/>
          </w:tcPr>
          <w:p w14:paraId="1A329287" w14:textId="77777777" w:rsidR="00A60A5D" w:rsidRPr="00124186" w:rsidRDefault="00A60A5D" w:rsidP="00A60A5D">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76%</w:t>
            </w:r>
          </w:p>
        </w:tc>
        <w:tc>
          <w:tcPr>
            <w:tcW w:w="2688" w:type="dxa"/>
            <w:tcBorders>
              <w:top w:val="nil"/>
              <w:left w:val="nil"/>
              <w:bottom w:val="single" w:sz="4" w:space="0" w:color="808080"/>
              <w:right w:val="single" w:sz="4" w:space="0" w:color="808080"/>
            </w:tcBorders>
            <w:shd w:val="clear" w:color="auto" w:fill="auto"/>
            <w:noWrap/>
            <w:vAlign w:val="center"/>
            <w:hideMark/>
          </w:tcPr>
          <w:p w14:paraId="212C0BB4" w14:textId="77777777" w:rsidR="00A60A5D" w:rsidRPr="00124186" w:rsidRDefault="00A60A5D" w:rsidP="00A60A5D">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76%</w:t>
            </w:r>
          </w:p>
        </w:tc>
      </w:tr>
      <w:tr w:rsidR="00A60A5D" w:rsidRPr="00124186" w14:paraId="733B9C2E" w14:textId="77777777" w:rsidTr="00124186">
        <w:trPr>
          <w:trHeight w:val="290"/>
          <w:jc w:val="center"/>
        </w:trPr>
        <w:tc>
          <w:tcPr>
            <w:tcW w:w="3400" w:type="dxa"/>
            <w:tcBorders>
              <w:top w:val="nil"/>
              <w:left w:val="single" w:sz="4" w:space="0" w:color="808080"/>
              <w:bottom w:val="single" w:sz="4" w:space="0" w:color="808080"/>
              <w:right w:val="single" w:sz="4" w:space="0" w:color="808080"/>
            </w:tcBorders>
            <w:shd w:val="clear" w:color="auto" w:fill="auto"/>
            <w:noWrap/>
            <w:vAlign w:val="center"/>
            <w:hideMark/>
          </w:tcPr>
          <w:p w14:paraId="2279C250" w14:textId="77777777" w:rsidR="00A60A5D" w:rsidRPr="00124186" w:rsidRDefault="00A60A5D" w:rsidP="00A60A5D">
            <w:pP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Tribunal de Flagrancia de Limón</w:t>
            </w:r>
          </w:p>
        </w:tc>
        <w:tc>
          <w:tcPr>
            <w:tcW w:w="1992" w:type="dxa"/>
            <w:tcBorders>
              <w:top w:val="nil"/>
              <w:left w:val="nil"/>
              <w:bottom w:val="single" w:sz="4" w:space="0" w:color="808080"/>
              <w:right w:val="single" w:sz="4" w:space="0" w:color="808080"/>
            </w:tcBorders>
            <w:shd w:val="clear" w:color="auto" w:fill="auto"/>
            <w:noWrap/>
            <w:vAlign w:val="center"/>
            <w:hideMark/>
          </w:tcPr>
          <w:p w14:paraId="3420321B" w14:textId="77777777" w:rsidR="00A60A5D" w:rsidRPr="00124186" w:rsidRDefault="00A60A5D" w:rsidP="00A60A5D">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44%</w:t>
            </w:r>
          </w:p>
        </w:tc>
        <w:tc>
          <w:tcPr>
            <w:tcW w:w="2688" w:type="dxa"/>
            <w:tcBorders>
              <w:top w:val="nil"/>
              <w:left w:val="nil"/>
              <w:bottom w:val="single" w:sz="4" w:space="0" w:color="808080"/>
              <w:right w:val="single" w:sz="4" w:space="0" w:color="808080"/>
            </w:tcBorders>
            <w:shd w:val="clear" w:color="auto" w:fill="auto"/>
            <w:noWrap/>
            <w:vAlign w:val="center"/>
            <w:hideMark/>
          </w:tcPr>
          <w:p w14:paraId="522F14BE" w14:textId="77777777" w:rsidR="00A60A5D" w:rsidRPr="00124186" w:rsidRDefault="00A60A5D" w:rsidP="00A60A5D">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56%</w:t>
            </w:r>
          </w:p>
        </w:tc>
      </w:tr>
      <w:tr w:rsidR="00A60A5D" w:rsidRPr="00124186" w14:paraId="74AF8936" w14:textId="77777777" w:rsidTr="00124186">
        <w:trPr>
          <w:trHeight w:val="290"/>
          <w:jc w:val="center"/>
        </w:trPr>
        <w:tc>
          <w:tcPr>
            <w:tcW w:w="3400" w:type="dxa"/>
            <w:tcBorders>
              <w:top w:val="nil"/>
              <w:left w:val="single" w:sz="4" w:space="0" w:color="808080"/>
              <w:bottom w:val="single" w:sz="4" w:space="0" w:color="808080"/>
              <w:right w:val="single" w:sz="4" w:space="0" w:color="808080"/>
            </w:tcBorders>
            <w:shd w:val="clear" w:color="auto" w:fill="auto"/>
            <w:noWrap/>
            <w:vAlign w:val="center"/>
            <w:hideMark/>
          </w:tcPr>
          <w:p w14:paraId="50E384C6" w14:textId="77777777" w:rsidR="00A60A5D" w:rsidRPr="00124186" w:rsidRDefault="00A60A5D" w:rsidP="00A60A5D">
            <w:pP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Tribunal de Flagrancia de Pococí</w:t>
            </w:r>
          </w:p>
        </w:tc>
        <w:tc>
          <w:tcPr>
            <w:tcW w:w="1992" w:type="dxa"/>
            <w:tcBorders>
              <w:top w:val="nil"/>
              <w:left w:val="nil"/>
              <w:bottom w:val="single" w:sz="4" w:space="0" w:color="808080"/>
              <w:right w:val="single" w:sz="4" w:space="0" w:color="808080"/>
            </w:tcBorders>
            <w:shd w:val="clear" w:color="auto" w:fill="auto"/>
            <w:noWrap/>
            <w:vAlign w:val="center"/>
            <w:hideMark/>
          </w:tcPr>
          <w:p w14:paraId="436987B5" w14:textId="77777777" w:rsidR="00A60A5D" w:rsidRPr="00124186" w:rsidRDefault="00A60A5D" w:rsidP="00A60A5D">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51%</w:t>
            </w:r>
          </w:p>
        </w:tc>
        <w:tc>
          <w:tcPr>
            <w:tcW w:w="2688" w:type="dxa"/>
            <w:tcBorders>
              <w:top w:val="nil"/>
              <w:left w:val="nil"/>
              <w:bottom w:val="single" w:sz="4" w:space="0" w:color="808080"/>
              <w:right w:val="single" w:sz="4" w:space="0" w:color="808080"/>
            </w:tcBorders>
            <w:shd w:val="clear" w:color="auto" w:fill="auto"/>
            <w:noWrap/>
            <w:vAlign w:val="center"/>
            <w:hideMark/>
          </w:tcPr>
          <w:p w14:paraId="4287F42F" w14:textId="77777777" w:rsidR="00A60A5D" w:rsidRPr="00124186" w:rsidRDefault="00A60A5D" w:rsidP="00A60A5D">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55%</w:t>
            </w:r>
          </w:p>
        </w:tc>
      </w:tr>
      <w:tr w:rsidR="00A60A5D" w:rsidRPr="00124186" w14:paraId="7D096D24" w14:textId="77777777" w:rsidTr="00124186">
        <w:trPr>
          <w:trHeight w:val="290"/>
          <w:jc w:val="center"/>
        </w:trPr>
        <w:tc>
          <w:tcPr>
            <w:tcW w:w="3400" w:type="dxa"/>
            <w:tcBorders>
              <w:top w:val="nil"/>
              <w:left w:val="single" w:sz="4" w:space="0" w:color="808080"/>
              <w:bottom w:val="single" w:sz="4" w:space="0" w:color="808080"/>
              <w:right w:val="single" w:sz="4" w:space="0" w:color="808080"/>
            </w:tcBorders>
            <w:shd w:val="clear" w:color="auto" w:fill="auto"/>
            <w:noWrap/>
            <w:vAlign w:val="center"/>
            <w:hideMark/>
          </w:tcPr>
          <w:p w14:paraId="0D2FCA2A" w14:textId="77777777" w:rsidR="00A60A5D" w:rsidRPr="00124186" w:rsidRDefault="00A60A5D" w:rsidP="00A60A5D">
            <w:pP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Tribunal de Flagrancia de San José</w:t>
            </w:r>
          </w:p>
        </w:tc>
        <w:tc>
          <w:tcPr>
            <w:tcW w:w="1992" w:type="dxa"/>
            <w:tcBorders>
              <w:top w:val="nil"/>
              <w:left w:val="nil"/>
              <w:bottom w:val="single" w:sz="4" w:space="0" w:color="808080"/>
              <w:right w:val="single" w:sz="4" w:space="0" w:color="808080"/>
            </w:tcBorders>
            <w:shd w:val="clear" w:color="auto" w:fill="auto"/>
            <w:noWrap/>
            <w:vAlign w:val="center"/>
            <w:hideMark/>
          </w:tcPr>
          <w:p w14:paraId="7D6B764F" w14:textId="77777777" w:rsidR="00A60A5D" w:rsidRPr="00124186" w:rsidRDefault="00A60A5D" w:rsidP="00A60A5D">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40%</w:t>
            </w:r>
          </w:p>
        </w:tc>
        <w:tc>
          <w:tcPr>
            <w:tcW w:w="2688" w:type="dxa"/>
            <w:tcBorders>
              <w:top w:val="nil"/>
              <w:left w:val="nil"/>
              <w:bottom w:val="single" w:sz="4" w:space="0" w:color="808080"/>
              <w:right w:val="single" w:sz="4" w:space="0" w:color="808080"/>
            </w:tcBorders>
            <w:shd w:val="clear" w:color="auto" w:fill="auto"/>
            <w:noWrap/>
            <w:vAlign w:val="center"/>
            <w:hideMark/>
          </w:tcPr>
          <w:p w14:paraId="1EA6B8BA" w14:textId="77777777" w:rsidR="00A60A5D" w:rsidRPr="00124186" w:rsidRDefault="00A60A5D" w:rsidP="00A60A5D">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40%</w:t>
            </w:r>
          </w:p>
        </w:tc>
      </w:tr>
      <w:tr w:rsidR="00A60A5D" w:rsidRPr="00124186" w14:paraId="1CBDC97B" w14:textId="77777777" w:rsidTr="00124186">
        <w:trPr>
          <w:trHeight w:val="290"/>
          <w:jc w:val="center"/>
        </w:trPr>
        <w:tc>
          <w:tcPr>
            <w:tcW w:w="3400" w:type="dxa"/>
            <w:tcBorders>
              <w:top w:val="nil"/>
              <w:left w:val="single" w:sz="4" w:space="0" w:color="808080"/>
              <w:bottom w:val="single" w:sz="4" w:space="0" w:color="808080"/>
              <w:right w:val="single" w:sz="4" w:space="0" w:color="808080"/>
            </w:tcBorders>
            <w:shd w:val="clear" w:color="auto" w:fill="auto"/>
            <w:noWrap/>
            <w:vAlign w:val="center"/>
            <w:hideMark/>
          </w:tcPr>
          <w:p w14:paraId="6DACF968" w14:textId="548F6CF3" w:rsidR="00A60A5D" w:rsidRPr="00124186" w:rsidRDefault="00A60A5D" w:rsidP="00A60A5D">
            <w:pP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Tribunal de Flagrancia de Goicochea</w:t>
            </w:r>
          </w:p>
        </w:tc>
        <w:tc>
          <w:tcPr>
            <w:tcW w:w="1992" w:type="dxa"/>
            <w:tcBorders>
              <w:top w:val="nil"/>
              <w:left w:val="nil"/>
              <w:bottom w:val="single" w:sz="4" w:space="0" w:color="808080"/>
              <w:right w:val="single" w:sz="4" w:space="0" w:color="808080"/>
            </w:tcBorders>
            <w:shd w:val="clear" w:color="auto" w:fill="auto"/>
            <w:noWrap/>
            <w:vAlign w:val="center"/>
            <w:hideMark/>
          </w:tcPr>
          <w:p w14:paraId="1FE90A63" w14:textId="77777777" w:rsidR="00A60A5D" w:rsidRPr="00124186" w:rsidRDefault="00A60A5D" w:rsidP="00A60A5D">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35%</w:t>
            </w:r>
          </w:p>
        </w:tc>
        <w:tc>
          <w:tcPr>
            <w:tcW w:w="2688" w:type="dxa"/>
            <w:tcBorders>
              <w:top w:val="nil"/>
              <w:left w:val="nil"/>
              <w:bottom w:val="single" w:sz="4" w:space="0" w:color="808080"/>
              <w:right w:val="single" w:sz="4" w:space="0" w:color="808080"/>
            </w:tcBorders>
            <w:shd w:val="clear" w:color="auto" w:fill="auto"/>
            <w:noWrap/>
            <w:vAlign w:val="center"/>
            <w:hideMark/>
          </w:tcPr>
          <w:p w14:paraId="4A403854" w14:textId="77777777" w:rsidR="00A60A5D" w:rsidRPr="00124186" w:rsidRDefault="00A60A5D" w:rsidP="00A60A5D">
            <w:pPr>
              <w:jc w:val="center"/>
              <w:rPr>
                <w:rFonts w:ascii="Book Antiqua" w:hAnsi="Book Antiqua" w:cs="Calibri"/>
                <w:color w:val="000000"/>
                <w:sz w:val="16"/>
                <w:szCs w:val="16"/>
                <w:lang w:eastAsia="es-CR"/>
              </w:rPr>
            </w:pPr>
            <w:r w:rsidRPr="00124186">
              <w:rPr>
                <w:rFonts w:ascii="Book Antiqua" w:hAnsi="Book Antiqua" w:cs="Calibri"/>
                <w:color w:val="000000"/>
                <w:sz w:val="16"/>
                <w:szCs w:val="16"/>
                <w:lang w:eastAsia="es-CR"/>
              </w:rPr>
              <w:t>35%</w:t>
            </w:r>
          </w:p>
        </w:tc>
      </w:tr>
      <w:tr w:rsidR="00A60A5D" w:rsidRPr="00124186" w14:paraId="172E1C87" w14:textId="77777777" w:rsidTr="00124186">
        <w:trPr>
          <w:trHeight w:val="290"/>
          <w:jc w:val="center"/>
        </w:trPr>
        <w:tc>
          <w:tcPr>
            <w:tcW w:w="3400" w:type="dxa"/>
            <w:tcBorders>
              <w:top w:val="nil"/>
              <w:left w:val="single" w:sz="4" w:space="0" w:color="808080"/>
              <w:bottom w:val="single" w:sz="4" w:space="0" w:color="808080"/>
              <w:right w:val="single" w:sz="4" w:space="0" w:color="808080"/>
            </w:tcBorders>
            <w:shd w:val="clear" w:color="auto" w:fill="auto"/>
            <w:noWrap/>
            <w:vAlign w:val="center"/>
            <w:hideMark/>
          </w:tcPr>
          <w:p w14:paraId="37E73ACB" w14:textId="77777777" w:rsidR="00A60A5D" w:rsidRPr="00124186" w:rsidRDefault="00A60A5D" w:rsidP="00A60A5D">
            <w:pPr>
              <w:rPr>
                <w:rFonts w:ascii="Book Antiqua" w:hAnsi="Book Antiqua" w:cs="Calibri"/>
                <w:b/>
                <w:bCs/>
                <w:color w:val="000000"/>
                <w:sz w:val="16"/>
                <w:szCs w:val="16"/>
                <w:lang w:eastAsia="es-CR"/>
              </w:rPr>
            </w:pPr>
            <w:r w:rsidRPr="00124186">
              <w:rPr>
                <w:rFonts w:ascii="Book Antiqua" w:hAnsi="Book Antiqua" w:cs="Calibri"/>
                <w:b/>
                <w:bCs/>
                <w:color w:val="000000"/>
                <w:sz w:val="16"/>
                <w:szCs w:val="16"/>
                <w:lang w:eastAsia="es-CR"/>
              </w:rPr>
              <w:t>Promedio Global</w:t>
            </w:r>
          </w:p>
        </w:tc>
        <w:tc>
          <w:tcPr>
            <w:tcW w:w="1992" w:type="dxa"/>
            <w:tcBorders>
              <w:top w:val="nil"/>
              <w:left w:val="nil"/>
              <w:bottom w:val="single" w:sz="4" w:space="0" w:color="808080"/>
              <w:right w:val="single" w:sz="4" w:space="0" w:color="808080"/>
            </w:tcBorders>
            <w:shd w:val="clear" w:color="auto" w:fill="auto"/>
            <w:noWrap/>
            <w:vAlign w:val="center"/>
            <w:hideMark/>
          </w:tcPr>
          <w:p w14:paraId="3CC73FAF" w14:textId="77777777" w:rsidR="00A60A5D" w:rsidRPr="00124186" w:rsidRDefault="00A60A5D" w:rsidP="00A60A5D">
            <w:pPr>
              <w:jc w:val="center"/>
              <w:rPr>
                <w:rFonts w:ascii="Book Antiqua" w:hAnsi="Book Antiqua" w:cs="Calibri"/>
                <w:b/>
                <w:bCs/>
                <w:color w:val="000000"/>
                <w:sz w:val="16"/>
                <w:szCs w:val="16"/>
                <w:lang w:eastAsia="es-CR"/>
              </w:rPr>
            </w:pPr>
            <w:r w:rsidRPr="00124186">
              <w:rPr>
                <w:rFonts w:ascii="Book Antiqua" w:hAnsi="Book Antiqua" w:cs="Calibri"/>
                <w:b/>
                <w:bCs/>
                <w:color w:val="000000"/>
                <w:sz w:val="16"/>
                <w:szCs w:val="16"/>
                <w:lang w:eastAsia="es-CR"/>
              </w:rPr>
              <w:t>82%</w:t>
            </w:r>
          </w:p>
        </w:tc>
        <w:tc>
          <w:tcPr>
            <w:tcW w:w="2688" w:type="dxa"/>
            <w:tcBorders>
              <w:top w:val="nil"/>
              <w:left w:val="nil"/>
              <w:bottom w:val="single" w:sz="4" w:space="0" w:color="808080"/>
              <w:right w:val="single" w:sz="4" w:space="0" w:color="808080"/>
            </w:tcBorders>
            <w:shd w:val="clear" w:color="auto" w:fill="auto"/>
            <w:noWrap/>
            <w:vAlign w:val="center"/>
            <w:hideMark/>
          </w:tcPr>
          <w:p w14:paraId="42E2F06B" w14:textId="77777777" w:rsidR="00A60A5D" w:rsidRPr="00124186" w:rsidRDefault="00A60A5D" w:rsidP="00A60A5D">
            <w:pPr>
              <w:jc w:val="center"/>
              <w:rPr>
                <w:rFonts w:ascii="Book Antiqua" w:hAnsi="Book Antiqua" w:cs="Calibri"/>
                <w:b/>
                <w:bCs/>
                <w:color w:val="000000"/>
                <w:sz w:val="16"/>
                <w:szCs w:val="16"/>
                <w:lang w:eastAsia="es-CR"/>
              </w:rPr>
            </w:pPr>
            <w:r w:rsidRPr="00124186">
              <w:rPr>
                <w:rFonts w:ascii="Book Antiqua" w:hAnsi="Book Antiqua" w:cs="Calibri"/>
                <w:b/>
                <w:bCs/>
                <w:color w:val="000000"/>
                <w:sz w:val="16"/>
                <w:szCs w:val="16"/>
                <w:lang w:eastAsia="es-CR"/>
              </w:rPr>
              <w:t>86%</w:t>
            </w:r>
          </w:p>
        </w:tc>
      </w:tr>
    </w:tbl>
    <w:p w14:paraId="7A298CF2" w14:textId="3D82B006" w:rsidR="00267CBB" w:rsidRPr="00E27F7C" w:rsidRDefault="00267CBB" w:rsidP="00124186">
      <w:pPr>
        <w:spacing w:line="276" w:lineRule="auto"/>
        <w:jc w:val="center"/>
        <w:rPr>
          <w:rFonts w:ascii="Book Antiqua" w:hAnsi="Book Antiqua"/>
          <w:b/>
          <w:bCs/>
          <w:color w:val="000000" w:themeColor="text1"/>
          <w:sz w:val="20"/>
          <w:szCs w:val="20"/>
        </w:rPr>
      </w:pPr>
      <w:r w:rsidRPr="00E27F7C">
        <w:rPr>
          <w:rFonts w:ascii="Book Antiqua" w:hAnsi="Book Antiqua"/>
          <w:b/>
          <w:bCs/>
          <w:color w:val="000000" w:themeColor="text1"/>
          <w:sz w:val="20"/>
          <w:szCs w:val="20"/>
        </w:rPr>
        <w:t xml:space="preserve">Fuente: </w:t>
      </w:r>
      <w:r w:rsidRPr="00E27F7C">
        <w:rPr>
          <w:rFonts w:ascii="Book Antiqua" w:hAnsi="Book Antiqua"/>
          <w:color w:val="000000" w:themeColor="text1"/>
          <w:sz w:val="20"/>
          <w:szCs w:val="20"/>
        </w:rPr>
        <w:t>Matriz de indicadores de Gestión</w:t>
      </w:r>
    </w:p>
    <w:p w14:paraId="7411A8E6" w14:textId="77777777" w:rsidR="00234090" w:rsidRDefault="00234090" w:rsidP="00985591">
      <w:pPr>
        <w:spacing w:line="276" w:lineRule="auto"/>
        <w:jc w:val="both"/>
        <w:rPr>
          <w:rFonts w:ascii="Book Antiqua" w:hAnsi="Book Antiqua"/>
          <w:bCs/>
          <w:color w:val="000000" w:themeColor="text1"/>
        </w:rPr>
      </w:pPr>
    </w:p>
    <w:p w14:paraId="317F7171" w14:textId="012FD66B" w:rsidR="00DC4AA1" w:rsidRPr="00234090" w:rsidRDefault="00DC4AA1" w:rsidP="00985591">
      <w:pPr>
        <w:spacing w:line="276" w:lineRule="auto"/>
        <w:jc w:val="both"/>
        <w:rPr>
          <w:rFonts w:ascii="Book Antiqua" w:hAnsi="Book Antiqua"/>
          <w:bCs/>
          <w:color w:val="000000" w:themeColor="text1"/>
        </w:rPr>
      </w:pPr>
    </w:p>
    <w:p w14:paraId="59E1E6F9" w14:textId="726E68FE" w:rsidR="00382689" w:rsidRPr="003D2439" w:rsidRDefault="639E2900" w:rsidP="57A79FF7">
      <w:pPr>
        <w:spacing w:after="160" w:line="276" w:lineRule="auto"/>
        <w:contextualSpacing/>
        <w:rPr>
          <w:b/>
          <w:color w:val="000000" w:themeColor="text1"/>
        </w:rPr>
      </w:pPr>
      <w:r w:rsidRPr="57A79FF7">
        <w:rPr>
          <w:rFonts w:ascii="Book Antiqua" w:hAnsi="Book Antiqua"/>
          <w:b/>
          <w:bCs/>
          <w:color w:val="000000" w:themeColor="text1"/>
        </w:rPr>
        <w:t xml:space="preserve">5.2.4 </w:t>
      </w:r>
      <w:r w:rsidR="00382689" w:rsidRPr="003D2439">
        <w:rPr>
          <w:rFonts w:ascii="Book Antiqua" w:hAnsi="Book Antiqua"/>
          <w:b/>
          <w:color w:val="000000" w:themeColor="text1"/>
        </w:rPr>
        <w:t>Juzgados de Ejecución de la Pena</w:t>
      </w:r>
    </w:p>
    <w:p w14:paraId="62F36B40" w14:textId="2FA93635" w:rsidR="007938C6" w:rsidRPr="007938C6" w:rsidRDefault="007938C6" w:rsidP="00985591">
      <w:pPr>
        <w:spacing w:line="276" w:lineRule="auto"/>
        <w:jc w:val="both"/>
        <w:rPr>
          <w:rFonts w:ascii="Book Antiqua" w:hAnsi="Book Antiqua"/>
          <w:color w:val="000000" w:themeColor="text1"/>
        </w:rPr>
      </w:pPr>
      <w:r w:rsidRPr="007938C6">
        <w:rPr>
          <w:rFonts w:ascii="Book Antiqua" w:hAnsi="Book Antiqua"/>
          <w:color w:val="000000" w:themeColor="text1"/>
        </w:rPr>
        <w:t xml:space="preserve">Los Juzgados de Ejecución de la Pena registran un </w:t>
      </w:r>
      <w:r>
        <w:rPr>
          <w:rFonts w:ascii="Book Antiqua" w:hAnsi="Book Antiqua"/>
          <w:color w:val="000000" w:themeColor="text1"/>
        </w:rPr>
        <w:t>96</w:t>
      </w:r>
      <w:r w:rsidRPr="007938C6">
        <w:rPr>
          <w:rFonts w:ascii="Book Antiqua" w:hAnsi="Book Antiqua"/>
          <w:color w:val="000000" w:themeColor="text1"/>
        </w:rPr>
        <w:t xml:space="preserve">% en </w:t>
      </w:r>
      <w:r w:rsidR="009E0547">
        <w:rPr>
          <w:rFonts w:ascii="Book Antiqua" w:hAnsi="Book Antiqua"/>
          <w:color w:val="000000" w:themeColor="text1"/>
        </w:rPr>
        <w:t>incidentes</w:t>
      </w:r>
      <w:r>
        <w:rPr>
          <w:rFonts w:ascii="Book Antiqua" w:hAnsi="Book Antiqua"/>
          <w:color w:val="000000" w:themeColor="text1"/>
        </w:rPr>
        <w:t xml:space="preserve"> terminados</w:t>
      </w:r>
      <w:r w:rsidRPr="007938C6">
        <w:rPr>
          <w:rFonts w:ascii="Book Antiqua" w:hAnsi="Book Antiqua"/>
          <w:color w:val="000000" w:themeColor="text1"/>
        </w:rPr>
        <w:t xml:space="preserve"> y </w:t>
      </w:r>
      <w:r>
        <w:rPr>
          <w:rFonts w:ascii="Book Antiqua" w:hAnsi="Book Antiqua"/>
          <w:color w:val="000000" w:themeColor="text1"/>
        </w:rPr>
        <w:t>187</w:t>
      </w:r>
      <w:r w:rsidRPr="007938C6">
        <w:rPr>
          <w:rFonts w:ascii="Book Antiqua" w:hAnsi="Book Antiqua"/>
          <w:color w:val="000000" w:themeColor="text1"/>
        </w:rPr>
        <w:t xml:space="preserve">% en firma de </w:t>
      </w:r>
      <w:r>
        <w:rPr>
          <w:rFonts w:ascii="Book Antiqua" w:hAnsi="Book Antiqua"/>
          <w:color w:val="000000" w:themeColor="text1"/>
        </w:rPr>
        <w:t>expedientes</w:t>
      </w:r>
      <w:r w:rsidRPr="007938C6">
        <w:rPr>
          <w:rFonts w:ascii="Book Antiqua" w:hAnsi="Book Antiqua"/>
          <w:color w:val="000000" w:themeColor="text1"/>
        </w:rPr>
        <w:t>.</w:t>
      </w:r>
    </w:p>
    <w:p w14:paraId="2F667448" w14:textId="77777777" w:rsidR="007938C6" w:rsidRPr="007938C6" w:rsidRDefault="007938C6" w:rsidP="00985591">
      <w:pPr>
        <w:spacing w:line="276" w:lineRule="auto"/>
        <w:jc w:val="both"/>
        <w:rPr>
          <w:rFonts w:ascii="Book Antiqua" w:hAnsi="Book Antiqua"/>
          <w:color w:val="000000" w:themeColor="text1"/>
        </w:rPr>
      </w:pPr>
    </w:p>
    <w:p w14:paraId="33F1D8F4" w14:textId="36FD2070" w:rsidR="00382689" w:rsidRPr="0053279E" w:rsidRDefault="003B43F5" w:rsidP="00985591">
      <w:pPr>
        <w:spacing w:line="276" w:lineRule="auto"/>
        <w:jc w:val="both"/>
        <w:rPr>
          <w:rFonts w:ascii="Book Antiqua" w:hAnsi="Book Antiqua"/>
          <w:color w:val="000000" w:themeColor="text1"/>
        </w:rPr>
      </w:pPr>
      <w:r>
        <w:rPr>
          <w:rFonts w:ascii="Book Antiqua" w:hAnsi="Book Antiqua"/>
          <w:color w:val="000000" w:themeColor="text1"/>
        </w:rPr>
        <w:t>En referencia</w:t>
      </w:r>
      <w:r w:rsidR="007938C6" w:rsidRPr="007938C6">
        <w:rPr>
          <w:rFonts w:ascii="Book Antiqua" w:hAnsi="Book Antiqua"/>
          <w:color w:val="000000" w:themeColor="text1"/>
        </w:rPr>
        <w:t xml:space="preserve"> </w:t>
      </w:r>
      <w:r>
        <w:rPr>
          <w:rFonts w:ascii="Book Antiqua" w:hAnsi="Book Antiqua"/>
          <w:color w:val="000000" w:themeColor="text1"/>
        </w:rPr>
        <w:t>a</w:t>
      </w:r>
      <w:r w:rsidR="007938C6" w:rsidRPr="007938C6">
        <w:rPr>
          <w:rFonts w:ascii="Book Antiqua" w:hAnsi="Book Antiqua"/>
          <w:color w:val="000000" w:themeColor="text1"/>
        </w:rPr>
        <w:t xml:space="preserve"> </w:t>
      </w:r>
      <w:r w:rsidR="009E0547">
        <w:rPr>
          <w:rFonts w:ascii="Book Antiqua" w:hAnsi="Book Antiqua"/>
          <w:color w:val="000000" w:themeColor="text1"/>
        </w:rPr>
        <w:t>los incidentes</w:t>
      </w:r>
      <w:r w:rsidR="007938C6">
        <w:rPr>
          <w:rFonts w:ascii="Book Antiqua" w:hAnsi="Book Antiqua"/>
          <w:color w:val="000000" w:themeColor="text1"/>
        </w:rPr>
        <w:t xml:space="preserve"> terminados</w:t>
      </w:r>
      <w:r>
        <w:rPr>
          <w:rFonts w:ascii="Book Antiqua" w:hAnsi="Book Antiqua"/>
          <w:color w:val="000000" w:themeColor="text1"/>
        </w:rPr>
        <w:t>,</w:t>
      </w:r>
      <w:r w:rsidR="007938C6" w:rsidRPr="007938C6">
        <w:rPr>
          <w:rFonts w:ascii="Book Antiqua" w:hAnsi="Book Antiqua"/>
          <w:color w:val="000000" w:themeColor="text1"/>
        </w:rPr>
        <w:t xml:space="preserve"> el Juzgado de Ejecución de la Pena del Primer Circuito Judicial de </w:t>
      </w:r>
      <w:r w:rsidR="007938C6">
        <w:rPr>
          <w:rFonts w:ascii="Book Antiqua" w:hAnsi="Book Antiqua"/>
          <w:color w:val="000000" w:themeColor="text1"/>
        </w:rPr>
        <w:t>Alajuela</w:t>
      </w:r>
      <w:r w:rsidR="007938C6" w:rsidRPr="007938C6">
        <w:rPr>
          <w:rFonts w:ascii="Book Antiqua" w:hAnsi="Book Antiqua"/>
          <w:color w:val="000000" w:themeColor="text1"/>
        </w:rPr>
        <w:t>, reporta el mayor rendimiento con un 1</w:t>
      </w:r>
      <w:r w:rsidR="007938C6">
        <w:rPr>
          <w:rFonts w:ascii="Book Antiqua" w:hAnsi="Book Antiqua"/>
          <w:color w:val="000000" w:themeColor="text1"/>
        </w:rPr>
        <w:t>29</w:t>
      </w:r>
      <w:r w:rsidR="007938C6" w:rsidRPr="007938C6">
        <w:rPr>
          <w:rFonts w:ascii="Book Antiqua" w:hAnsi="Book Antiqua"/>
          <w:color w:val="000000" w:themeColor="text1"/>
        </w:rPr>
        <w:t>% sobre el parámetro, y el Juzgado de Ejecución de la Pena del Segundo Circuito Judicial de la Zona Atlántica (Guápiles) present</w:t>
      </w:r>
      <w:r w:rsidR="00B441DF">
        <w:rPr>
          <w:rFonts w:ascii="Book Antiqua" w:hAnsi="Book Antiqua"/>
          <w:color w:val="000000" w:themeColor="text1"/>
        </w:rPr>
        <w:t>a</w:t>
      </w:r>
      <w:r w:rsidR="007938C6" w:rsidRPr="007938C6">
        <w:rPr>
          <w:rFonts w:ascii="Book Antiqua" w:hAnsi="Book Antiqua"/>
          <w:color w:val="000000" w:themeColor="text1"/>
        </w:rPr>
        <w:t xml:space="preserve">n el menor porcentaje con un </w:t>
      </w:r>
      <w:r w:rsidR="007938C6">
        <w:rPr>
          <w:rFonts w:ascii="Book Antiqua" w:hAnsi="Book Antiqua"/>
          <w:color w:val="000000" w:themeColor="text1"/>
        </w:rPr>
        <w:t>64</w:t>
      </w:r>
      <w:r w:rsidR="007938C6" w:rsidRPr="007938C6">
        <w:rPr>
          <w:rFonts w:ascii="Book Antiqua" w:hAnsi="Book Antiqua"/>
          <w:color w:val="000000" w:themeColor="text1"/>
        </w:rPr>
        <w:t>%.</w:t>
      </w:r>
    </w:p>
    <w:p w14:paraId="601CD9A3" w14:textId="4E49E8CA" w:rsidR="00382689" w:rsidRPr="004F0E92" w:rsidRDefault="00382689" w:rsidP="00985591">
      <w:pPr>
        <w:spacing w:line="276" w:lineRule="auto"/>
        <w:jc w:val="both"/>
        <w:rPr>
          <w:rFonts w:ascii="Book Antiqua" w:hAnsi="Book Antiqua"/>
          <w:b/>
          <w:color w:val="000000" w:themeColor="text1"/>
        </w:rPr>
      </w:pPr>
      <w:r w:rsidRPr="0053279E">
        <w:rPr>
          <w:rFonts w:ascii="Book Antiqua" w:hAnsi="Book Antiqua"/>
          <w:color w:val="000000" w:themeColor="text1"/>
        </w:rPr>
        <w:t xml:space="preserve">El detalle se </w:t>
      </w:r>
      <w:r w:rsidR="003B43F5">
        <w:rPr>
          <w:rFonts w:ascii="Book Antiqua" w:hAnsi="Book Antiqua"/>
          <w:color w:val="000000" w:themeColor="text1"/>
        </w:rPr>
        <w:t xml:space="preserve">muestra </w:t>
      </w:r>
      <w:r w:rsidRPr="0053279E">
        <w:rPr>
          <w:rFonts w:ascii="Book Antiqua" w:hAnsi="Book Antiqua"/>
          <w:color w:val="000000" w:themeColor="text1"/>
        </w:rPr>
        <w:t>en el siguiente cuadro.</w:t>
      </w:r>
    </w:p>
    <w:p w14:paraId="01AF15FD" w14:textId="77777777" w:rsidR="007938C6" w:rsidRPr="000549BF" w:rsidRDefault="007938C6" w:rsidP="00985591">
      <w:pPr>
        <w:spacing w:line="276" w:lineRule="auto"/>
        <w:jc w:val="both"/>
        <w:rPr>
          <w:rFonts w:ascii="Book Antiqua" w:hAnsi="Book Antiqua"/>
          <w:color w:val="000000" w:themeColor="text1"/>
        </w:rPr>
      </w:pPr>
    </w:p>
    <w:p w14:paraId="2C075F5A" w14:textId="3657C290" w:rsidR="00382689" w:rsidRPr="000549BF" w:rsidRDefault="00382689" w:rsidP="00985591">
      <w:pPr>
        <w:spacing w:line="276" w:lineRule="auto"/>
        <w:jc w:val="center"/>
        <w:rPr>
          <w:rFonts w:ascii="Book Antiqua" w:hAnsi="Book Antiqua"/>
          <w:b/>
          <w:color w:val="000000" w:themeColor="text1"/>
        </w:rPr>
      </w:pPr>
      <w:r w:rsidRPr="000549BF">
        <w:rPr>
          <w:rFonts w:ascii="Book Antiqua" w:hAnsi="Book Antiqua"/>
          <w:b/>
          <w:color w:val="000000" w:themeColor="text1"/>
        </w:rPr>
        <w:t xml:space="preserve">Cuadro </w:t>
      </w:r>
      <w:r w:rsidR="00B441DF">
        <w:rPr>
          <w:rFonts w:ascii="Book Antiqua" w:hAnsi="Book Antiqua"/>
          <w:b/>
          <w:color w:val="000000" w:themeColor="text1"/>
        </w:rPr>
        <w:t>4</w:t>
      </w:r>
      <w:r w:rsidR="000C1D00">
        <w:rPr>
          <w:rFonts w:ascii="Book Antiqua" w:hAnsi="Book Antiqua"/>
          <w:b/>
          <w:color w:val="000000" w:themeColor="text1"/>
        </w:rPr>
        <w:t>7</w:t>
      </w:r>
    </w:p>
    <w:p w14:paraId="31E1C814" w14:textId="04368BDB" w:rsidR="00382689" w:rsidRPr="00921892" w:rsidRDefault="00382689" w:rsidP="00985591">
      <w:pPr>
        <w:spacing w:line="276" w:lineRule="auto"/>
        <w:jc w:val="center"/>
        <w:rPr>
          <w:rFonts w:ascii="Book Antiqua" w:hAnsi="Book Antiqua"/>
          <w:bCs/>
          <w:color w:val="000000" w:themeColor="text1"/>
        </w:rPr>
      </w:pPr>
      <w:r w:rsidRPr="00921892">
        <w:rPr>
          <w:rFonts w:ascii="Book Antiqua" w:hAnsi="Book Antiqua"/>
          <w:bCs/>
          <w:color w:val="000000" w:themeColor="text1"/>
        </w:rPr>
        <w:t xml:space="preserve">Cumplimiento del parámetro de producción teórico de </w:t>
      </w:r>
      <w:r w:rsidR="002933E2">
        <w:rPr>
          <w:rFonts w:ascii="Book Antiqua" w:hAnsi="Book Antiqua"/>
          <w:bCs/>
          <w:color w:val="000000" w:themeColor="text1"/>
        </w:rPr>
        <w:t>incidentes</w:t>
      </w:r>
      <w:r>
        <w:rPr>
          <w:rFonts w:ascii="Book Antiqua" w:hAnsi="Book Antiqua"/>
          <w:bCs/>
          <w:color w:val="000000" w:themeColor="text1"/>
        </w:rPr>
        <w:t xml:space="preserve"> terminados</w:t>
      </w:r>
    </w:p>
    <w:p w14:paraId="29B77D97" w14:textId="5FCFEDD8" w:rsidR="00B441DF" w:rsidRDefault="00382689" w:rsidP="000C1D00">
      <w:pPr>
        <w:spacing w:line="276" w:lineRule="auto"/>
        <w:jc w:val="center"/>
        <w:rPr>
          <w:rFonts w:ascii="Book Antiqua" w:hAnsi="Book Antiqua"/>
          <w:bCs/>
          <w:color w:val="000000" w:themeColor="text1"/>
        </w:rPr>
      </w:pPr>
      <w:r w:rsidRPr="00921892">
        <w:rPr>
          <w:rFonts w:ascii="Book Antiqua" w:hAnsi="Book Antiqua"/>
          <w:bCs/>
          <w:color w:val="000000" w:themeColor="text1"/>
        </w:rPr>
        <w:t xml:space="preserve"> Juzgados de Ejecución de la Pena durante </w:t>
      </w:r>
      <w:r>
        <w:rPr>
          <w:rFonts w:ascii="Book Antiqua" w:hAnsi="Book Antiqua"/>
          <w:bCs/>
          <w:color w:val="000000" w:themeColor="text1"/>
        </w:rPr>
        <w:t>junio</w:t>
      </w:r>
      <w:r w:rsidRPr="00921892">
        <w:rPr>
          <w:rFonts w:ascii="Book Antiqua" w:hAnsi="Book Antiqua"/>
          <w:bCs/>
          <w:color w:val="000000" w:themeColor="text1"/>
        </w:rPr>
        <w:t xml:space="preserve"> </w:t>
      </w:r>
      <w:r>
        <w:rPr>
          <w:rFonts w:ascii="Book Antiqua" w:hAnsi="Book Antiqua"/>
          <w:bCs/>
          <w:color w:val="000000" w:themeColor="text1"/>
        </w:rPr>
        <w:t xml:space="preserve">de </w:t>
      </w:r>
      <w:r w:rsidRPr="00921892">
        <w:rPr>
          <w:rFonts w:ascii="Book Antiqua" w:hAnsi="Book Antiqua"/>
          <w:bCs/>
          <w:color w:val="000000" w:themeColor="text1"/>
        </w:rPr>
        <w:t>2021</w:t>
      </w:r>
    </w:p>
    <w:tbl>
      <w:tblPr>
        <w:tblW w:w="6740" w:type="dxa"/>
        <w:jc w:val="center"/>
        <w:tblCellMar>
          <w:left w:w="70" w:type="dxa"/>
          <w:right w:w="70" w:type="dxa"/>
        </w:tblCellMar>
        <w:tblLook w:val="04A0" w:firstRow="1" w:lastRow="0" w:firstColumn="1" w:lastColumn="0" w:noHBand="0" w:noVBand="1"/>
      </w:tblPr>
      <w:tblGrid>
        <w:gridCol w:w="4140"/>
        <w:gridCol w:w="2600"/>
      </w:tblGrid>
      <w:tr w:rsidR="00382689" w:rsidRPr="003B43F5" w14:paraId="1253AB52" w14:textId="77777777" w:rsidTr="00382689">
        <w:trPr>
          <w:trHeight w:val="780"/>
          <w:jc w:val="center"/>
        </w:trPr>
        <w:tc>
          <w:tcPr>
            <w:tcW w:w="4140" w:type="dxa"/>
            <w:tcBorders>
              <w:top w:val="single" w:sz="4" w:space="0" w:color="808080"/>
              <w:left w:val="single" w:sz="4" w:space="0" w:color="808080"/>
              <w:bottom w:val="single" w:sz="4" w:space="0" w:color="808080"/>
              <w:right w:val="single" w:sz="4" w:space="0" w:color="808080"/>
            </w:tcBorders>
            <w:shd w:val="clear" w:color="000000" w:fill="305496"/>
            <w:noWrap/>
            <w:vAlign w:val="center"/>
            <w:hideMark/>
          </w:tcPr>
          <w:p w14:paraId="07AD1A2E" w14:textId="77777777" w:rsidR="00382689" w:rsidRPr="003B43F5" w:rsidRDefault="00382689" w:rsidP="00985591">
            <w:pPr>
              <w:spacing w:line="276" w:lineRule="auto"/>
              <w:jc w:val="center"/>
              <w:rPr>
                <w:rFonts w:ascii="Book Antiqua" w:hAnsi="Book Antiqua" w:cs="Calibri"/>
                <w:b/>
                <w:bCs/>
                <w:color w:val="FFFFFF"/>
                <w:sz w:val="16"/>
                <w:szCs w:val="16"/>
                <w:lang w:eastAsia="es-CR"/>
              </w:rPr>
            </w:pPr>
            <w:r w:rsidRPr="003B43F5">
              <w:rPr>
                <w:rFonts w:ascii="Book Antiqua" w:hAnsi="Book Antiqua" w:cs="Calibri"/>
                <w:b/>
                <w:bCs/>
                <w:color w:val="FFFFFF"/>
                <w:sz w:val="16"/>
                <w:szCs w:val="16"/>
                <w:lang w:eastAsia="es-CR"/>
              </w:rPr>
              <w:t>Oficina</w:t>
            </w:r>
          </w:p>
        </w:tc>
        <w:tc>
          <w:tcPr>
            <w:tcW w:w="2600" w:type="dxa"/>
            <w:tcBorders>
              <w:top w:val="single" w:sz="4" w:space="0" w:color="808080"/>
              <w:left w:val="nil"/>
              <w:bottom w:val="single" w:sz="4" w:space="0" w:color="808080"/>
              <w:right w:val="single" w:sz="4" w:space="0" w:color="808080"/>
            </w:tcBorders>
            <w:shd w:val="clear" w:color="000000" w:fill="305496"/>
            <w:vAlign w:val="center"/>
            <w:hideMark/>
          </w:tcPr>
          <w:p w14:paraId="16D20698" w14:textId="778A3256" w:rsidR="00382689" w:rsidRPr="003B43F5" w:rsidRDefault="00382689" w:rsidP="00985591">
            <w:pPr>
              <w:spacing w:line="276" w:lineRule="auto"/>
              <w:jc w:val="center"/>
              <w:rPr>
                <w:rFonts w:ascii="Book Antiqua" w:hAnsi="Book Antiqua" w:cs="Calibri"/>
                <w:b/>
                <w:bCs/>
                <w:color w:val="FFFFFF"/>
                <w:sz w:val="16"/>
                <w:szCs w:val="16"/>
                <w:lang w:eastAsia="es-CR"/>
              </w:rPr>
            </w:pPr>
            <w:r w:rsidRPr="003B43F5">
              <w:rPr>
                <w:rFonts w:ascii="Book Antiqua" w:hAnsi="Book Antiqua" w:cs="Calibri"/>
                <w:b/>
                <w:bCs/>
                <w:color w:val="FFFFFF"/>
                <w:sz w:val="16"/>
                <w:szCs w:val="16"/>
                <w:lang w:eastAsia="es-CR"/>
              </w:rPr>
              <w:t xml:space="preserve">Porcentaje cumplimiento cuota teórica de </w:t>
            </w:r>
            <w:r w:rsidR="009E0547" w:rsidRPr="003B43F5">
              <w:rPr>
                <w:rFonts w:ascii="Book Antiqua" w:hAnsi="Book Antiqua" w:cs="Calibri"/>
                <w:b/>
                <w:bCs/>
                <w:color w:val="FFFFFF"/>
                <w:sz w:val="16"/>
                <w:szCs w:val="16"/>
                <w:lang w:eastAsia="es-CR"/>
              </w:rPr>
              <w:t xml:space="preserve">incidentes </w:t>
            </w:r>
            <w:r w:rsidRPr="003B43F5">
              <w:rPr>
                <w:rFonts w:ascii="Book Antiqua" w:hAnsi="Book Antiqua" w:cs="Calibri"/>
                <w:b/>
                <w:bCs/>
                <w:color w:val="FFFFFF"/>
                <w:sz w:val="16"/>
                <w:szCs w:val="16"/>
                <w:lang w:eastAsia="es-CR"/>
              </w:rPr>
              <w:t>terminados</w:t>
            </w:r>
          </w:p>
        </w:tc>
      </w:tr>
      <w:tr w:rsidR="00382689" w:rsidRPr="003B43F5" w14:paraId="63BF8E2C" w14:textId="77777777" w:rsidTr="00382689">
        <w:trPr>
          <w:trHeight w:val="290"/>
          <w:jc w:val="center"/>
        </w:trPr>
        <w:tc>
          <w:tcPr>
            <w:tcW w:w="4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E021D0" w14:textId="77777777" w:rsidR="00382689" w:rsidRPr="003B43F5" w:rsidRDefault="00382689" w:rsidP="00985591">
            <w:pPr>
              <w:spacing w:line="276" w:lineRule="auto"/>
              <w:rPr>
                <w:rFonts w:ascii="Book Antiqua" w:hAnsi="Book Antiqua" w:cs="Calibri"/>
                <w:sz w:val="16"/>
                <w:szCs w:val="16"/>
                <w:lang w:eastAsia="es-CR"/>
              </w:rPr>
            </w:pPr>
            <w:r w:rsidRPr="003B43F5">
              <w:rPr>
                <w:rFonts w:ascii="Book Antiqua" w:hAnsi="Book Antiqua" w:cs="Calibri"/>
                <w:sz w:val="16"/>
                <w:szCs w:val="16"/>
                <w:lang w:eastAsia="es-CR"/>
              </w:rPr>
              <w:t>Juzgado Ejecución de la Pena de Alajuela</w:t>
            </w:r>
          </w:p>
        </w:tc>
        <w:tc>
          <w:tcPr>
            <w:tcW w:w="2600" w:type="dxa"/>
            <w:tcBorders>
              <w:top w:val="nil"/>
              <w:left w:val="single" w:sz="4" w:space="0" w:color="808080"/>
              <w:bottom w:val="single" w:sz="4" w:space="0" w:color="808080"/>
              <w:right w:val="single" w:sz="4" w:space="0" w:color="808080"/>
            </w:tcBorders>
            <w:shd w:val="clear" w:color="auto" w:fill="auto"/>
            <w:noWrap/>
            <w:vAlign w:val="center"/>
            <w:hideMark/>
          </w:tcPr>
          <w:p w14:paraId="677DE4CE" w14:textId="77777777" w:rsidR="00382689" w:rsidRPr="003B43F5" w:rsidRDefault="00382689" w:rsidP="00985591">
            <w:pPr>
              <w:spacing w:line="276" w:lineRule="auto"/>
              <w:jc w:val="center"/>
              <w:rPr>
                <w:rFonts w:ascii="Book Antiqua" w:hAnsi="Book Antiqua" w:cs="Calibri"/>
                <w:color w:val="000000"/>
                <w:sz w:val="16"/>
                <w:szCs w:val="16"/>
                <w:lang w:eastAsia="es-CR"/>
              </w:rPr>
            </w:pPr>
            <w:r w:rsidRPr="003B43F5">
              <w:rPr>
                <w:rFonts w:ascii="Book Antiqua" w:hAnsi="Book Antiqua" w:cs="Calibri"/>
                <w:color w:val="000000"/>
                <w:sz w:val="16"/>
                <w:szCs w:val="16"/>
                <w:lang w:eastAsia="es-CR"/>
              </w:rPr>
              <w:t>129%</w:t>
            </w:r>
          </w:p>
        </w:tc>
      </w:tr>
      <w:tr w:rsidR="00382689" w:rsidRPr="003B43F5" w14:paraId="3F5F6709" w14:textId="77777777" w:rsidTr="00382689">
        <w:trPr>
          <w:trHeight w:val="290"/>
          <w:jc w:val="center"/>
        </w:trPr>
        <w:tc>
          <w:tcPr>
            <w:tcW w:w="4140" w:type="dxa"/>
            <w:tcBorders>
              <w:top w:val="nil"/>
              <w:left w:val="single" w:sz="4" w:space="0" w:color="auto"/>
              <w:bottom w:val="single" w:sz="4" w:space="0" w:color="auto"/>
              <w:right w:val="single" w:sz="4" w:space="0" w:color="auto"/>
            </w:tcBorders>
            <w:shd w:val="clear" w:color="auto" w:fill="auto"/>
            <w:noWrap/>
            <w:vAlign w:val="center"/>
            <w:hideMark/>
          </w:tcPr>
          <w:p w14:paraId="46BE17EF" w14:textId="77777777" w:rsidR="00382689" w:rsidRPr="003B43F5" w:rsidRDefault="00382689" w:rsidP="00985591">
            <w:pPr>
              <w:spacing w:line="276" w:lineRule="auto"/>
              <w:rPr>
                <w:rFonts w:ascii="Book Antiqua" w:hAnsi="Book Antiqua" w:cs="Calibri"/>
                <w:sz w:val="16"/>
                <w:szCs w:val="16"/>
                <w:lang w:eastAsia="es-CR"/>
              </w:rPr>
            </w:pPr>
            <w:r w:rsidRPr="003B43F5">
              <w:rPr>
                <w:rFonts w:ascii="Book Antiqua" w:hAnsi="Book Antiqua" w:cs="Calibri"/>
                <w:sz w:val="16"/>
                <w:szCs w:val="16"/>
                <w:lang w:eastAsia="es-CR"/>
              </w:rPr>
              <w:t>Juzgado Ejecución de La Pena de Puntarenas</w:t>
            </w:r>
          </w:p>
        </w:tc>
        <w:tc>
          <w:tcPr>
            <w:tcW w:w="2600" w:type="dxa"/>
            <w:tcBorders>
              <w:top w:val="nil"/>
              <w:left w:val="single" w:sz="4" w:space="0" w:color="808080"/>
              <w:bottom w:val="single" w:sz="4" w:space="0" w:color="808080"/>
              <w:right w:val="single" w:sz="4" w:space="0" w:color="808080"/>
            </w:tcBorders>
            <w:shd w:val="clear" w:color="auto" w:fill="auto"/>
            <w:noWrap/>
            <w:vAlign w:val="center"/>
            <w:hideMark/>
          </w:tcPr>
          <w:p w14:paraId="05A8FF86" w14:textId="77777777" w:rsidR="00382689" w:rsidRPr="003B43F5" w:rsidRDefault="00382689" w:rsidP="00985591">
            <w:pPr>
              <w:spacing w:line="276" w:lineRule="auto"/>
              <w:jc w:val="center"/>
              <w:rPr>
                <w:rFonts w:ascii="Book Antiqua" w:hAnsi="Book Antiqua" w:cs="Calibri"/>
                <w:color w:val="000000"/>
                <w:sz w:val="16"/>
                <w:szCs w:val="16"/>
                <w:lang w:eastAsia="es-CR"/>
              </w:rPr>
            </w:pPr>
            <w:r w:rsidRPr="003B43F5">
              <w:rPr>
                <w:rFonts w:ascii="Book Antiqua" w:hAnsi="Book Antiqua" w:cs="Calibri"/>
                <w:color w:val="000000"/>
                <w:sz w:val="16"/>
                <w:szCs w:val="16"/>
                <w:lang w:eastAsia="es-CR"/>
              </w:rPr>
              <w:t>113%</w:t>
            </w:r>
          </w:p>
        </w:tc>
      </w:tr>
      <w:tr w:rsidR="00382689" w:rsidRPr="003B43F5" w14:paraId="1B54583B" w14:textId="77777777" w:rsidTr="00382689">
        <w:trPr>
          <w:trHeight w:val="290"/>
          <w:jc w:val="center"/>
        </w:trPr>
        <w:tc>
          <w:tcPr>
            <w:tcW w:w="4140" w:type="dxa"/>
            <w:tcBorders>
              <w:top w:val="nil"/>
              <w:left w:val="single" w:sz="4" w:space="0" w:color="auto"/>
              <w:bottom w:val="single" w:sz="4" w:space="0" w:color="auto"/>
              <w:right w:val="single" w:sz="4" w:space="0" w:color="auto"/>
            </w:tcBorders>
            <w:shd w:val="clear" w:color="auto" w:fill="auto"/>
            <w:noWrap/>
            <w:vAlign w:val="center"/>
            <w:hideMark/>
          </w:tcPr>
          <w:p w14:paraId="4A009651" w14:textId="77777777" w:rsidR="00382689" w:rsidRPr="003B43F5" w:rsidRDefault="00382689" w:rsidP="00985591">
            <w:pPr>
              <w:spacing w:line="276" w:lineRule="auto"/>
              <w:rPr>
                <w:rFonts w:ascii="Book Antiqua" w:hAnsi="Book Antiqua" w:cs="Calibri"/>
                <w:sz w:val="16"/>
                <w:szCs w:val="16"/>
                <w:lang w:eastAsia="es-CR"/>
              </w:rPr>
            </w:pPr>
            <w:r w:rsidRPr="003B43F5">
              <w:rPr>
                <w:rFonts w:ascii="Book Antiqua" w:hAnsi="Book Antiqua" w:cs="Calibri"/>
                <w:sz w:val="16"/>
                <w:szCs w:val="16"/>
                <w:lang w:eastAsia="es-CR"/>
              </w:rPr>
              <w:t>Juzgado Ejecución de La Pena de Liberia</w:t>
            </w:r>
          </w:p>
        </w:tc>
        <w:tc>
          <w:tcPr>
            <w:tcW w:w="2600" w:type="dxa"/>
            <w:tcBorders>
              <w:top w:val="nil"/>
              <w:left w:val="single" w:sz="4" w:space="0" w:color="808080"/>
              <w:bottom w:val="single" w:sz="4" w:space="0" w:color="808080"/>
              <w:right w:val="single" w:sz="4" w:space="0" w:color="808080"/>
            </w:tcBorders>
            <w:shd w:val="clear" w:color="auto" w:fill="auto"/>
            <w:noWrap/>
            <w:vAlign w:val="center"/>
            <w:hideMark/>
          </w:tcPr>
          <w:p w14:paraId="1393774C" w14:textId="77777777" w:rsidR="00382689" w:rsidRPr="003B43F5" w:rsidRDefault="00382689" w:rsidP="00985591">
            <w:pPr>
              <w:spacing w:line="276" w:lineRule="auto"/>
              <w:jc w:val="center"/>
              <w:rPr>
                <w:rFonts w:ascii="Book Antiqua" w:hAnsi="Book Antiqua" w:cs="Calibri"/>
                <w:color w:val="000000"/>
                <w:sz w:val="16"/>
                <w:szCs w:val="16"/>
                <w:lang w:eastAsia="es-CR"/>
              </w:rPr>
            </w:pPr>
            <w:r w:rsidRPr="003B43F5">
              <w:rPr>
                <w:rFonts w:ascii="Book Antiqua" w:hAnsi="Book Antiqua" w:cs="Calibri"/>
                <w:color w:val="000000"/>
                <w:sz w:val="16"/>
                <w:szCs w:val="16"/>
                <w:lang w:eastAsia="es-CR"/>
              </w:rPr>
              <w:t>105%</w:t>
            </w:r>
          </w:p>
        </w:tc>
      </w:tr>
      <w:tr w:rsidR="00382689" w:rsidRPr="003B43F5" w14:paraId="7D87B6A7" w14:textId="77777777" w:rsidTr="00382689">
        <w:trPr>
          <w:trHeight w:val="290"/>
          <w:jc w:val="center"/>
        </w:trPr>
        <w:tc>
          <w:tcPr>
            <w:tcW w:w="4140" w:type="dxa"/>
            <w:tcBorders>
              <w:top w:val="nil"/>
              <w:left w:val="single" w:sz="4" w:space="0" w:color="auto"/>
              <w:bottom w:val="single" w:sz="4" w:space="0" w:color="auto"/>
              <w:right w:val="single" w:sz="4" w:space="0" w:color="auto"/>
            </w:tcBorders>
            <w:shd w:val="clear" w:color="auto" w:fill="auto"/>
            <w:noWrap/>
            <w:vAlign w:val="center"/>
            <w:hideMark/>
          </w:tcPr>
          <w:p w14:paraId="0DC99D10" w14:textId="77777777" w:rsidR="00382689" w:rsidRPr="003B43F5" w:rsidRDefault="00382689" w:rsidP="00985591">
            <w:pPr>
              <w:spacing w:line="276" w:lineRule="auto"/>
              <w:rPr>
                <w:rFonts w:ascii="Book Antiqua" w:hAnsi="Book Antiqua" w:cs="Calibri"/>
                <w:sz w:val="16"/>
                <w:szCs w:val="16"/>
                <w:lang w:eastAsia="es-CR"/>
              </w:rPr>
            </w:pPr>
            <w:r w:rsidRPr="003B43F5">
              <w:rPr>
                <w:rFonts w:ascii="Book Antiqua" w:hAnsi="Book Antiqua" w:cs="Calibri"/>
                <w:sz w:val="16"/>
                <w:szCs w:val="16"/>
                <w:lang w:eastAsia="es-CR"/>
              </w:rPr>
              <w:t>Juzgado Ejecución de la Pena de San José</w:t>
            </w:r>
          </w:p>
        </w:tc>
        <w:tc>
          <w:tcPr>
            <w:tcW w:w="2600" w:type="dxa"/>
            <w:tcBorders>
              <w:top w:val="nil"/>
              <w:left w:val="single" w:sz="4" w:space="0" w:color="808080"/>
              <w:bottom w:val="single" w:sz="4" w:space="0" w:color="808080"/>
              <w:right w:val="single" w:sz="4" w:space="0" w:color="808080"/>
            </w:tcBorders>
            <w:shd w:val="clear" w:color="auto" w:fill="auto"/>
            <w:noWrap/>
            <w:vAlign w:val="center"/>
            <w:hideMark/>
          </w:tcPr>
          <w:p w14:paraId="0A9B292F" w14:textId="77777777" w:rsidR="00382689" w:rsidRPr="003B43F5" w:rsidRDefault="00382689" w:rsidP="00985591">
            <w:pPr>
              <w:spacing w:line="276" w:lineRule="auto"/>
              <w:jc w:val="center"/>
              <w:rPr>
                <w:rFonts w:ascii="Book Antiqua" w:hAnsi="Book Antiqua" w:cs="Calibri"/>
                <w:color w:val="000000"/>
                <w:sz w:val="16"/>
                <w:szCs w:val="16"/>
                <w:lang w:eastAsia="es-CR"/>
              </w:rPr>
            </w:pPr>
            <w:r w:rsidRPr="003B43F5">
              <w:rPr>
                <w:rFonts w:ascii="Book Antiqua" w:hAnsi="Book Antiqua" w:cs="Calibri"/>
                <w:color w:val="000000"/>
                <w:sz w:val="16"/>
                <w:szCs w:val="16"/>
                <w:lang w:eastAsia="es-CR"/>
              </w:rPr>
              <w:t>98%</w:t>
            </w:r>
          </w:p>
        </w:tc>
      </w:tr>
      <w:tr w:rsidR="00382689" w:rsidRPr="003B43F5" w14:paraId="73D758ED" w14:textId="77777777" w:rsidTr="00382689">
        <w:trPr>
          <w:trHeight w:val="290"/>
          <w:jc w:val="center"/>
        </w:trPr>
        <w:tc>
          <w:tcPr>
            <w:tcW w:w="4140" w:type="dxa"/>
            <w:tcBorders>
              <w:top w:val="nil"/>
              <w:left w:val="single" w:sz="4" w:space="0" w:color="auto"/>
              <w:bottom w:val="single" w:sz="4" w:space="0" w:color="auto"/>
              <w:right w:val="single" w:sz="4" w:space="0" w:color="auto"/>
            </w:tcBorders>
            <w:shd w:val="clear" w:color="auto" w:fill="auto"/>
            <w:noWrap/>
            <w:vAlign w:val="center"/>
            <w:hideMark/>
          </w:tcPr>
          <w:p w14:paraId="5A7728EA" w14:textId="77777777" w:rsidR="00382689" w:rsidRPr="003B43F5" w:rsidRDefault="00382689" w:rsidP="00985591">
            <w:pPr>
              <w:spacing w:line="276" w:lineRule="auto"/>
              <w:rPr>
                <w:rFonts w:ascii="Book Antiqua" w:hAnsi="Book Antiqua" w:cs="Calibri"/>
                <w:sz w:val="16"/>
                <w:szCs w:val="16"/>
                <w:lang w:eastAsia="es-CR"/>
              </w:rPr>
            </w:pPr>
            <w:r w:rsidRPr="003B43F5">
              <w:rPr>
                <w:rFonts w:ascii="Book Antiqua" w:hAnsi="Book Antiqua" w:cs="Calibri"/>
                <w:sz w:val="16"/>
                <w:szCs w:val="16"/>
                <w:lang w:eastAsia="es-CR"/>
              </w:rPr>
              <w:t>Juzgado Ejecución de la Pena de Cartago</w:t>
            </w:r>
          </w:p>
        </w:tc>
        <w:tc>
          <w:tcPr>
            <w:tcW w:w="2600" w:type="dxa"/>
            <w:tcBorders>
              <w:top w:val="nil"/>
              <w:left w:val="single" w:sz="4" w:space="0" w:color="808080"/>
              <w:bottom w:val="single" w:sz="4" w:space="0" w:color="808080"/>
              <w:right w:val="single" w:sz="4" w:space="0" w:color="808080"/>
            </w:tcBorders>
            <w:shd w:val="clear" w:color="auto" w:fill="auto"/>
            <w:noWrap/>
            <w:vAlign w:val="center"/>
            <w:hideMark/>
          </w:tcPr>
          <w:p w14:paraId="286989C7" w14:textId="77777777" w:rsidR="00382689" w:rsidRPr="003B43F5" w:rsidRDefault="00382689" w:rsidP="00985591">
            <w:pPr>
              <w:spacing w:line="276" w:lineRule="auto"/>
              <w:jc w:val="center"/>
              <w:rPr>
                <w:rFonts w:ascii="Book Antiqua" w:hAnsi="Book Antiqua" w:cs="Calibri"/>
                <w:color w:val="000000"/>
                <w:sz w:val="16"/>
                <w:szCs w:val="16"/>
                <w:lang w:eastAsia="es-CR"/>
              </w:rPr>
            </w:pPr>
            <w:r w:rsidRPr="003B43F5">
              <w:rPr>
                <w:rFonts w:ascii="Book Antiqua" w:hAnsi="Book Antiqua" w:cs="Calibri"/>
                <w:color w:val="000000"/>
                <w:sz w:val="16"/>
                <w:szCs w:val="16"/>
                <w:lang w:eastAsia="es-CR"/>
              </w:rPr>
              <w:t>84%</w:t>
            </w:r>
          </w:p>
        </w:tc>
      </w:tr>
      <w:tr w:rsidR="00382689" w:rsidRPr="003B43F5" w14:paraId="1784AFA5" w14:textId="77777777" w:rsidTr="00382689">
        <w:trPr>
          <w:trHeight w:val="290"/>
          <w:jc w:val="center"/>
        </w:trPr>
        <w:tc>
          <w:tcPr>
            <w:tcW w:w="4140" w:type="dxa"/>
            <w:tcBorders>
              <w:top w:val="nil"/>
              <w:left w:val="single" w:sz="4" w:space="0" w:color="auto"/>
              <w:bottom w:val="single" w:sz="4" w:space="0" w:color="auto"/>
              <w:right w:val="single" w:sz="4" w:space="0" w:color="auto"/>
            </w:tcBorders>
            <w:shd w:val="clear" w:color="auto" w:fill="auto"/>
            <w:noWrap/>
            <w:vAlign w:val="center"/>
            <w:hideMark/>
          </w:tcPr>
          <w:p w14:paraId="277B80CC" w14:textId="77777777" w:rsidR="00382689" w:rsidRPr="003B43F5" w:rsidRDefault="00382689" w:rsidP="00985591">
            <w:pPr>
              <w:spacing w:line="276" w:lineRule="auto"/>
              <w:rPr>
                <w:rFonts w:ascii="Book Antiqua" w:hAnsi="Book Antiqua" w:cs="Calibri"/>
                <w:sz w:val="16"/>
                <w:szCs w:val="16"/>
                <w:lang w:eastAsia="es-CR"/>
              </w:rPr>
            </w:pPr>
            <w:r w:rsidRPr="003B43F5">
              <w:rPr>
                <w:rFonts w:ascii="Book Antiqua" w:hAnsi="Book Antiqua" w:cs="Calibri"/>
                <w:sz w:val="16"/>
                <w:szCs w:val="16"/>
                <w:lang w:eastAsia="es-CR"/>
              </w:rPr>
              <w:t>Juzgado Ejecución de la Pena de Limón</w:t>
            </w:r>
          </w:p>
        </w:tc>
        <w:tc>
          <w:tcPr>
            <w:tcW w:w="2600" w:type="dxa"/>
            <w:tcBorders>
              <w:top w:val="nil"/>
              <w:left w:val="single" w:sz="4" w:space="0" w:color="808080"/>
              <w:bottom w:val="single" w:sz="4" w:space="0" w:color="808080"/>
              <w:right w:val="single" w:sz="4" w:space="0" w:color="808080"/>
            </w:tcBorders>
            <w:shd w:val="clear" w:color="auto" w:fill="auto"/>
            <w:noWrap/>
            <w:vAlign w:val="center"/>
            <w:hideMark/>
          </w:tcPr>
          <w:p w14:paraId="4808DFF6" w14:textId="77777777" w:rsidR="00382689" w:rsidRPr="003B43F5" w:rsidRDefault="00382689" w:rsidP="00985591">
            <w:pPr>
              <w:spacing w:line="276" w:lineRule="auto"/>
              <w:jc w:val="center"/>
              <w:rPr>
                <w:rFonts w:ascii="Book Antiqua" w:hAnsi="Book Antiqua" w:cs="Calibri"/>
                <w:color w:val="000000"/>
                <w:sz w:val="16"/>
                <w:szCs w:val="16"/>
                <w:lang w:eastAsia="es-CR"/>
              </w:rPr>
            </w:pPr>
            <w:r w:rsidRPr="003B43F5">
              <w:rPr>
                <w:rFonts w:ascii="Book Antiqua" w:hAnsi="Book Antiqua" w:cs="Calibri"/>
                <w:color w:val="000000"/>
                <w:sz w:val="16"/>
                <w:szCs w:val="16"/>
                <w:lang w:eastAsia="es-CR"/>
              </w:rPr>
              <w:t>79%</w:t>
            </w:r>
          </w:p>
        </w:tc>
      </w:tr>
      <w:tr w:rsidR="00382689" w:rsidRPr="003B43F5" w14:paraId="21E51A0C" w14:textId="77777777" w:rsidTr="00382689">
        <w:trPr>
          <w:trHeight w:val="290"/>
          <w:jc w:val="center"/>
        </w:trPr>
        <w:tc>
          <w:tcPr>
            <w:tcW w:w="4140" w:type="dxa"/>
            <w:tcBorders>
              <w:top w:val="nil"/>
              <w:left w:val="single" w:sz="4" w:space="0" w:color="auto"/>
              <w:bottom w:val="single" w:sz="4" w:space="0" w:color="auto"/>
              <w:right w:val="single" w:sz="4" w:space="0" w:color="auto"/>
            </w:tcBorders>
            <w:shd w:val="clear" w:color="auto" w:fill="auto"/>
            <w:noWrap/>
            <w:vAlign w:val="center"/>
            <w:hideMark/>
          </w:tcPr>
          <w:p w14:paraId="58530729" w14:textId="77777777" w:rsidR="00382689" w:rsidRPr="003B43F5" w:rsidRDefault="00382689" w:rsidP="00985591">
            <w:pPr>
              <w:spacing w:line="276" w:lineRule="auto"/>
              <w:rPr>
                <w:rFonts w:ascii="Book Antiqua" w:hAnsi="Book Antiqua" w:cs="Calibri"/>
                <w:sz w:val="16"/>
                <w:szCs w:val="16"/>
                <w:lang w:eastAsia="es-CR"/>
              </w:rPr>
            </w:pPr>
            <w:r w:rsidRPr="003B43F5">
              <w:rPr>
                <w:rFonts w:ascii="Book Antiqua" w:hAnsi="Book Antiqua" w:cs="Calibri"/>
                <w:sz w:val="16"/>
                <w:szCs w:val="16"/>
                <w:lang w:eastAsia="es-CR"/>
              </w:rPr>
              <w:t>Juzgado Ejecución de La Pena de Pococí</w:t>
            </w:r>
          </w:p>
        </w:tc>
        <w:tc>
          <w:tcPr>
            <w:tcW w:w="2600" w:type="dxa"/>
            <w:tcBorders>
              <w:top w:val="nil"/>
              <w:left w:val="single" w:sz="4" w:space="0" w:color="808080"/>
              <w:bottom w:val="single" w:sz="4" w:space="0" w:color="808080"/>
              <w:right w:val="single" w:sz="4" w:space="0" w:color="808080"/>
            </w:tcBorders>
            <w:shd w:val="clear" w:color="auto" w:fill="auto"/>
            <w:noWrap/>
            <w:vAlign w:val="center"/>
            <w:hideMark/>
          </w:tcPr>
          <w:p w14:paraId="04468EE8" w14:textId="77777777" w:rsidR="00382689" w:rsidRPr="003B43F5" w:rsidRDefault="00382689" w:rsidP="00985591">
            <w:pPr>
              <w:spacing w:line="276" w:lineRule="auto"/>
              <w:jc w:val="center"/>
              <w:rPr>
                <w:rFonts w:ascii="Book Antiqua" w:hAnsi="Book Antiqua" w:cs="Calibri"/>
                <w:color w:val="000000"/>
                <w:sz w:val="16"/>
                <w:szCs w:val="16"/>
                <w:lang w:eastAsia="es-CR"/>
              </w:rPr>
            </w:pPr>
            <w:r w:rsidRPr="003B43F5">
              <w:rPr>
                <w:rFonts w:ascii="Book Antiqua" w:hAnsi="Book Antiqua" w:cs="Calibri"/>
                <w:color w:val="000000"/>
                <w:sz w:val="16"/>
                <w:szCs w:val="16"/>
                <w:lang w:eastAsia="es-CR"/>
              </w:rPr>
              <w:t>64%</w:t>
            </w:r>
          </w:p>
        </w:tc>
      </w:tr>
      <w:tr w:rsidR="00382689" w:rsidRPr="003B43F5" w14:paraId="7E2F71B7" w14:textId="77777777" w:rsidTr="00382689">
        <w:trPr>
          <w:trHeight w:val="290"/>
          <w:jc w:val="center"/>
        </w:trPr>
        <w:tc>
          <w:tcPr>
            <w:tcW w:w="414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D2507F0" w14:textId="77777777" w:rsidR="00382689" w:rsidRPr="003B43F5" w:rsidRDefault="00382689" w:rsidP="00985591">
            <w:pPr>
              <w:spacing w:line="276" w:lineRule="auto"/>
              <w:rPr>
                <w:rFonts w:ascii="Book Antiqua" w:hAnsi="Book Antiqua" w:cs="Calibri"/>
                <w:b/>
                <w:bCs/>
                <w:color w:val="000000"/>
                <w:sz w:val="16"/>
                <w:szCs w:val="16"/>
                <w:lang w:eastAsia="es-CR"/>
              </w:rPr>
            </w:pPr>
            <w:r w:rsidRPr="003B43F5">
              <w:rPr>
                <w:rFonts w:ascii="Book Antiqua" w:hAnsi="Book Antiqua" w:cs="Calibri"/>
                <w:b/>
                <w:bCs/>
                <w:color w:val="000000"/>
                <w:sz w:val="16"/>
                <w:szCs w:val="16"/>
                <w:lang w:eastAsia="es-CR"/>
              </w:rPr>
              <w:t>Promedio Global</w:t>
            </w:r>
          </w:p>
        </w:tc>
        <w:tc>
          <w:tcPr>
            <w:tcW w:w="2600" w:type="dxa"/>
            <w:tcBorders>
              <w:top w:val="nil"/>
              <w:left w:val="nil"/>
              <w:bottom w:val="single" w:sz="4" w:space="0" w:color="808080"/>
              <w:right w:val="single" w:sz="4" w:space="0" w:color="808080"/>
            </w:tcBorders>
            <w:shd w:val="clear" w:color="auto" w:fill="auto"/>
            <w:noWrap/>
            <w:vAlign w:val="center"/>
            <w:hideMark/>
          </w:tcPr>
          <w:p w14:paraId="40AE6A43" w14:textId="77777777" w:rsidR="00382689" w:rsidRPr="003B43F5" w:rsidRDefault="00382689" w:rsidP="00985591">
            <w:pPr>
              <w:spacing w:line="276" w:lineRule="auto"/>
              <w:jc w:val="center"/>
              <w:rPr>
                <w:rFonts w:ascii="Book Antiqua" w:hAnsi="Book Antiqua" w:cs="Calibri"/>
                <w:b/>
                <w:bCs/>
                <w:color w:val="000000"/>
                <w:sz w:val="16"/>
                <w:szCs w:val="16"/>
                <w:lang w:eastAsia="es-CR"/>
              </w:rPr>
            </w:pPr>
            <w:r w:rsidRPr="003B43F5">
              <w:rPr>
                <w:rFonts w:ascii="Book Antiqua" w:hAnsi="Book Antiqua" w:cs="Calibri"/>
                <w:b/>
                <w:bCs/>
                <w:color w:val="000000"/>
                <w:sz w:val="16"/>
                <w:szCs w:val="16"/>
                <w:lang w:eastAsia="es-CR"/>
              </w:rPr>
              <w:t>96%</w:t>
            </w:r>
          </w:p>
        </w:tc>
      </w:tr>
    </w:tbl>
    <w:p w14:paraId="763251D8" w14:textId="77777777" w:rsidR="00382689" w:rsidRDefault="00382689" w:rsidP="00985591">
      <w:pPr>
        <w:spacing w:line="276" w:lineRule="auto"/>
        <w:jc w:val="center"/>
        <w:rPr>
          <w:rFonts w:ascii="Book Antiqua" w:hAnsi="Book Antiqua"/>
          <w:b/>
          <w:bCs/>
          <w:color w:val="000000" w:themeColor="text1"/>
          <w:sz w:val="20"/>
          <w:szCs w:val="20"/>
        </w:rPr>
      </w:pPr>
      <w:r w:rsidRPr="00677475">
        <w:rPr>
          <w:rFonts w:ascii="Book Antiqua" w:hAnsi="Book Antiqua"/>
          <w:b/>
          <w:bCs/>
          <w:color w:val="000000" w:themeColor="text1"/>
          <w:sz w:val="20"/>
          <w:szCs w:val="20"/>
        </w:rPr>
        <w:t xml:space="preserve">Fuente: </w:t>
      </w:r>
      <w:r w:rsidRPr="00677475">
        <w:rPr>
          <w:rFonts w:ascii="Book Antiqua" w:hAnsi="Book Antiqua"/>
          <w:color w:val="000000" w:themeColor="text1"/>
          <w:sz w:val="20"/>
          <w:szCs w:val="20"/>
        </w:rPr>
        <w:t>Matriz de indicadores de Gestión</w:t>
      </w:r>
    </w:p>
    <w:p w14:paraId="21327FCD" w14:textId="77777777" w:rsidR="00382689" w:rsidRPr="00921892" w:rsidRDefault="00382689" w:rsidP="00985591">
      <w:pPr>
        <w:spacing w:line="276" w:lineRule="auto"/>
        <w:rPr>
          <w:rFonts w:ascii="Book Antiqua" w:hAnsi="Book Antiqua"/>
          <w:b/>
          <w:color w:val="000000" w:themeColor="text1"/>
          <w:highlight w:val="yellow"/>
        </w:rPr>
      </w:pPr>
    </w:p>
    <w:p w14:paraId="295DA547" w14:textId="5075D7A0" w:rsidR="00382689" w:rsidRPr="00212A88" w:rsidRDefault="00382689" w:rsidP="00985591">
      <w:pPr>
        <w:spacing w:line="276" w:lineRule="auto"/>
        <w:jc w:val="both"/>
        <w:rPr>
          <w:rFonts w:ascii="Book Antiqua" w:hAnsi="Book Antiqua"/>
          <w:bCs/>
          <w:color w:val="000000" w:themeColor="text1"/>
        </w:rPr>
      </w:pPr>
      <w:r w:rsidRPr="00212A88">
        <w:rPr>
          <w:rFonts w:ascii="Book Antiqua" w:hAnsi="Book Antiqua"/>
          <w:bCs/>
          <w:color w:val="000000" w:themeColor="text1"/>
        </w:rPr>
        <w:t xml:space="preserve">Con respecto a la firma de </w:t>
      </w:r>
      <w:r w:rsidR="007938C6" w:rsidRPr="00212A88">
        <w:rPr>
          <w:rFonts w:ascii="Book Antiqua" w:hAnsi="Book Antiqua"/>
          <w:bCs/>
          <w:color w:val="000000" w:themeColor="text1"/>
        </w:rPr>
        <w:t>expedientes</w:t>
      </w:r>
      <w:r w:rsidRPr="00212A88">
        <w:rPr>
          <w:rFonts w:ascii="Book Antiqua" w:hAnsi="Book Antiqua"/>
          <w:bCs/>
          <w:color w:val="000000" w:themeColor="text1"/>
        </w:rPr>
        <w:t xml:space="preserve"> a continuación se puede ver el detalle:</w:t>
      </w:r>
    </w:p>
    <w:p w14:paraId="089A6B6A" w14:textId="77777777" w:rsidR="00382689" w:rsidRPr="00212A88" w:rsidRDefault="00382689" w:rsidP="00985591">
      <w:pPr>
        <w:spacing w:line="276" w:lineRule="auto"/>
        <w:jc w:val="both"/>
        <w:rPr>
          <w:rFonts w:ascii="Book Antiqua" w:hAnsi="Book Antiqua"/>
          <w:bCs/>
          <w:color w:val="000000" w:themeColor="text1"/>
        </w:rPr>
      </w:pPr>
    </w:p>
    <w:p w14:paraId="27177416" w14:textId="354B11D2" w:rsidR="00382689" w:rsidRPr="009E0547" w:rsidRDefault="00382689" w:rsidP="00985591">
      <w:pPr>
        <w:spacing w:line="276" w:lineRule="auto"/>
        <w:jc w:val="both"/>
        <w:rPr>
          <w:rFonts w:ascii="Book Antiqua" w:hAnsi="Book Antiqua"/>
          <w:bCs/>
          <w:color w:val="000000" w:themeColor="text1"/>
        </w:rPr>
      </w:pPr>
      <w:r w:rsidRPr="009E0547">
        <w:rPr>
          <w:rFonts w:ascii="Book Antiqua" w:hAnsi="Book Antiqua"/>
          <w:bCs/>
          <w:color w:val="000000" w:themeColor="text1"/>
        </w:rPr>
        <w:t>Con base en el cuadro se aprecia que</w:t>
      </w:r>
      <w:r w:rsidR="003B43F5">
        <w:rPr>
          <w:rFonts w:ascii="Book Antiqua" w:hAnsi="Book Antiqua"/>
          <w:bCs/>
          <w:color w:val="000000" w:themeColor="text1"/>
        </w:rPr>
        <w:t xml:space="preserve"> la totalidad </w:t>
      </w:r>
      <w:r w:rsidR="005F754E">
        <w:rPr>
          <w:rFonts w:ascii="Book Antiqua" w:hAnsi="Book Antiqua"/>
          <w:bCs/>
          <w:color w:val="000000" w:themeColor="text1"/>
        </w:rPr>
        <w:t xml:space="preserve">de </w:t>
      </w:r>
      <w:r w:rsidR="003B43F5">
        <w:rPr>
          <w:rFonts w:ascii="Book Antiqua" w:hAnsi="Book Antiqua"/>
          <w:bCs/>
          <w:color w:val="000000" w:themeColor="text1"/>
        </w:rPr>
        <w:t>los juzgados obtienen un resultado superior al 100%</w:t>
      </w:r>
      <w:r w:rsidRPr="009E0547">
        <w:rPr>
          <w:rFonts w:ascii="Book Antiqua" w:hAnsi="Book Antiqua" w:cs="Calibri"/>
          <w:color w:val="000000"/>
          <w:lang w:eastAsia="es-CR"/>
        </w:rPr>
        <w:t>,</w:t>
      </w:r>
      <w:r w:rsidR="005F754E">
        <w:rPr>
          <w:rFonts w:ascii="Book Antiqua" w:hAnsi="Book Antiqua" w:cs="Calibri"/>
          <w:color w:val="000000"/>
          <w:lang w:eastAsia="es-CR"/>
        </w:rPr>
        <w:t xml:space="preserve"> quien</w:t>
      </w:r>
      <w:r w:rsidRPr="009E0547">
        <w:rPr>
          <w:rFonts w:ascii="Book Antiqua" w:hAnsi="Book Antiqua" w:cs="Calibri"/>
          <w:color w:val="000000"/>
          <w:lang w:eastAsia="es-CR"/>
        </w:rPr>
        <w:t xml:space="preserve"> presenta el mayor rendimiento</w:t>
      </w:r>
      <w:r w:rsidR="005F754E">
        <w:rPr>
          <w:rFonts w:ascii="Book Antiqua" w:hAnsi="Book Antiqua" w:cs="Calibri"/>
          <w:color w:val="000000"/>
          <w:lang w:eastAsia="es-CR"/>
        </w:rPr>
        <w:t xml:space="preserve"> es el Juzgado de Ejecución de Puntarenas con 273%</w:t>
      </w:r>
      <w:r w:rsidRPr="009E0547">
        <w:rPr>
          <w:rFonts w:ascii="Book Antiqua" w:hAnsi="Book Antiqua" w:cs="Calibri"/>
          <w:color w:val="000000"/>
          <w:lang w:eastAsia="es-CR"/>
        </w:rPr>
        <w:t xml:space="preserve">. En términos generales los despachos analizados cumplen en un </w:t>
      </w:r>
      <w:r w:rsidR="007938C6" w:rsidRPr="009E0547">
        <w:rPr>
          <w:rFonts w:ascii="Book Antiqua" w:hAnsi="Book Antiqua" w:cs="Calibri"/>
          <w:color w:val="000000"/>
          <w:lang w:eastAsia="es-CR"/>
        </w:rPr>
        <w:t>187</w:t>
      </w:r>
      <w:r w:rsidRPr="009E0547">
        <w:rPr>
          <w:rFonts w:ascii="Book Antiqua" w:hAnsi="Book Antiqua" w:cs="Calibri"/>
          <w:color w:val="000000"/>
          <w:lang w:eastAsia="es-CR"/>
        </w:rPr>
        <w:t>%.</w:t>
      </w:r>
    </w:p>
    <w:p w14:paraId="6BB3F409" w14:textId="77777777" w:rsidR="00364171" w:rsidRDefault="00364171" w:rsidP="00985591">
      <w:pPr>
        <w:spacing w:line="276" w:lineRule="auto"/>
        <w:rPr>
          <w:rFonts w:ascii="Book Antiqua" w:hAnsi="Book Antiqua"/>
          <w:b/>
          <w:color w:val="000000" w:themeColor="text1"/>
          <w:highlight w:val="green"/>
        </w:rPr>
      </w:pPr>
    </w:p>
    <w:p w14:paraId="62792F6C" w14:textId="49680BC6" w:rsidR="00382689" w:rsidRPr="00EC505D" w:rsidRDefault="00382689" w:rsidP="00985591">
      <w:pPr>
        <w:spacing w:line="276" w:lineRule="auto"/>
        <w:jc w:val="center"/>
        <w:rPr>
          <w:rFonts w:ascii="Book Antiqua" w:hAnsi="Book Antiqua"/>
          <w:b/>
          <w:color w:val="000000" w:themeColor="text1"/>
        </w:rPr>
      </w:pPr>
      <w:r w:rsidRPr="00EC505D">
        <w:rPr>
          <w:rFonts w:ascii="Book Antiqua" w:hAnsi="Book Antiqua"/>
          <w:b/>
          <w:color w:val="000000" w:themeColor="text1"/>
        </w:rPr>
        <w:t xml:space="preserve">Cuadro </w:t>
      </w:r>
      <w:r w:rsidR="000C1D00">
        <w:rPr>
          <w:rFonts w:ascii="Book Antiqua" w:hAnsi="Book Antiqua"/>
          <w:b/>
          <w:color w:val="000000" w:themeColor="text1"/>
        </w:rPr>
        <w:t>48</w:t>
      </w:r>
    </w:p>
    <w:p w14:paraId="19CA8264" w14:textId="77777777" w:rsidR="006F3731" w:rsidRDefault="00382689" w:rsidP="00985591">
      <w:pPr>
        <w:spacing w:line="276" w:lineRule="auto"/>
        <w:jc w:val="center"/>
        <w:rPr>
          <w:rFonts w:ascii="Book Antiqua" w:hAnsi="Book Antiqua"/>
          <w:bCs/>
          <w:color w:val="000000" w:themeColor="text1"/>
        </w:rPr>
      </w:pPr>
      <w:r w:rsidRPr="00921892">
        <w:rPr>
          <w:rFonts w:ascii="Book Antiqua" w:hAnsi="Book Antiqua"/>
          <w:bCs/>
          <w:color w:val="000000" w:themeColor="text1"/>
        </w:rPr>
        <w:t xml:space="preserve">Cumplimiento del parámetro de producción teórico de firma de </w:t>
      </w:r>
      <w:r w:rsidR="007938C6">
        <w:rPr>
          <w:rFonts w:ascii="Book Antiqua" w:hAnsi="Book Antiqua"/>
          <w:bCs/>
          <w:color w:val="000000" w:themeColor="text1"/>
        </w:rPr>
        <w:t>expedientes</w:t>
      </w:r>
      <w:r w:rsidRPr="00921892">
        <w:rPr>
          <w:rFonts w:ascii="Book Antiqua" w:hAnsi="Book Antiqua"/>
          <w:bCs/>
          <w:color w:val="000000" w:themeColor="text1"/>
        </w:rPr>
        <w:t xml:space="preserve"> </w:t>
      </w:r>
    </w:p>
    <w:p w14:paraId="799EB5F9" w14:textId="37987795" w:rsidR="00382689" w:rsidRDefault="00382689" w:rsidP="000C1D00">
      <w:pPr>
        <w:spacing w:line="276" w:lineRule="auto"/>
        <w:jc w:val="center"/>
        <w:rPr>
          <w:rFonts w:ascii="Book Antiqua" w:hAnsi="Book Antiqua"/>
          <w:bCs/>
          <w:color w:val="000000" w:themeColor="text1"/>
        </w:rPr>
      </w:pPr>
      <w:r w:rsidRPr="00921892">
        <w:rPr>
          <w:rFonts w:ascii="Book Antiqua" w:hAnsi="Book Antiqua"/>
          <w:bCs/>
          <w:color w:val="000000" w:themeColor="text1"/>
        </w:rPr>
        <w:t xml:space="preserve">Juzgados de Ejecución de la Penal durante </w:t>
      </w:r>
      <w:r>
        <w:rPr>
          <w:rFonts w:ascii="Book Antiqua" w:hAnsi="Book Antiqua"/>
          <w:bCs/>
          <w:color w:val="000000" w:themeColor="text1"/>
        </w:rPr>
        <w:t>junio</w:t>
      </w:r>
      <w:r w:rsidRPr="00921892">
        <w:rPr>
          <w:rFonts w:ascii="Book Antiqua" w:hAnsi="Book Antiqua"/>
          <w:bCs/>
          <w:color w:val="000000" w:themeColor="text1"/>
        </w:rPr>
        <w:t xml:space="preserve"> </w:t>
      </w:r>
      <w:r>
        <w:rPr>
          <w:rFonts w:ascii="Book Antiqua" w:hAnsi="Book Antiqua"/>
          <w:bCs/>
          <w:color w:val="000000" w:themeColor="text1"/>
        </w:rPr>
        <w:t xml:space="preserve">de </w:t>
      </w:r>
      <w:r w:rsidRPr="00921892">
        <w:rPr>
          <w:rFonts w:ascii="Book Antiqua" w:hAnsi="Book Antiqua"/>
          <w:bCs/>
          <w:color w:val="000000" w:themeColor="text1"/>
        </w:rPr>
        <w:t>2021</w:t>
      </w:r>
    </w:p>
    <w:tbl>
      <w:tblPr>
        <w:tblW w:w="6621" w:type="dxa"/>
        <w:jc w:val="center"/>
        <w:tblCellMar>
          <w:left w:w="70" w:type="dxa"/>
          <w:right w:w="70" w:type="dxa"/>
        </w:tblCellMar>
        <w:tblLook w:val="04A0" w:firstRow="1" w:lastRow="0" w:firstColumn="1" w:lastColumn="0" w:noHBand="0" w:noVBand="1"/>
      </w:tblPr>
      <w:tblGrid>
        <w:gridCol w:w="4151"/>
        <w:gridCol w:w="2470"/>
      </w:tblGrid>
      <w:tr w:rsidR="00382689" w:rsidRPr="005F754E" w14:paraId="00355DAA" w14:textId="77777777" w:rsidTr="005F754E">
        <w:trPr>
          <w:trHeight w:val="716"/>
          <w:jc w:val="center"/>
        </w:trPr>
        <w:tc>
          <w:tcPr>
            <w:tcW w:w="4151" w:type="dxa"/>
            <w:tcBorders>
              <w:top w:val="single" w:sz="4" w:space="0" w:color="808080"/>
              <w:left w:val="single" w:sz="4" w:space="0" w:color="808080"/>
              <w:bottom w:val="single" w:sz="4" w:space="0" w:color="808080"/>
              <w:right w:val="single" w:sz="4" w:space="0" w:color="808080"/>
            </w:tcBorders>
            <w:shd w:val="clear" w:color="000000" w:fill="305496"/>
            <w:noWrap/>
            <w:vAlign w:val="center"/>
            <w:hideMark/>
          </w:tcPr>
          <w:p w14:paraId="75D0A8EA" w14:textId="77777777" w:rsidR="00382689" w:rsidRPr="005F754E" w:rsidRDefault="00382689" w:rsidP="00985591">
            <w:pPr>
              <w:spacing w:line="276" w:lineRule="auto"/>
              <w:jc w:val="center"/>
              <w:rPr>
                <w:rFonts w:ascii="Book Antiqua" w:hAnsi="Book Antiqua" w:cs="Calibri"/>
                <w:b/>
                <w:bCs/>
                <w:color w:val="FFFFFF"/>
                <w:sz w:val="16"/>
                <w:szCs w:val="16"/>
                <w:lang w:eastAsia="es-CR"/>
              </w:rPr>
            </w:pPr>
            <w:r w:rsidRPr="005F754E">
              <w:rPr>
                <w:rFonts w:ascii="Book Antiqua" w:hAnsi="Book Antiqua" w:cs="Calibri"/>
                <w:b/>
                <w:bCs/>
                <w:color w:val="FFFFFF"/>
                <w:sz w:val="16"/>
                <w:szCs w:val="16"/>
                <w:lang w:eastAsia="es-CR"/>
              </w:rPr>
              <w:t>Oficina</w:t>
            </w:r>
          </w:p>
        </w:tc>
        <w:tc>
          <w:tcPr>
            <w:tcW w:w="2470" w:type="dxa"/>
            <w:tcBorders>
              <w:top w:val="single" w:sz="4" w:space="0" w:color="808080"/>
              <w:left w:val="nil"/>
              <w:bottom w:val="single" w:sz="4" w:space="0" w:color="808080"/>
              <w:right w:val="single" w:sz="4" w:space="0" w:color="808080"/>
            </w:tcBorders>
            <w:shd w:val="clear" w:color="000000" w:fill="305496"/>
            <w:vAlign w:val="center"/>
            <w:hideMark/>
          </w:tcPr>
          <w:p w14:paraId="60ED0713" w14:textId="4FC6286F" w:rsidR="00382689" w:rsidRPr="005F754E" w:rsidRDefault="00382689" w:rsidP="00985591">
            <w:pPr>
              <w:spacing w:line="276" w:lineRule="auto"/>
              <w:jc w:val="center"/>
              <w:rPr>
                <w:rFonts w:ascii="Book Antiqua" w:hAnsi="Book Antiqua" w:cs="Calibri"/>
                <w:b/>
                <w:bCs/>
                <w:color w:val="FFFFFF"/>
                <w:sz w:val="16"/>
                <w:szCs w:val="16"/>
                <w:lang w:eastAsia="es-CR"/>
              </w:rPr>
            </w:pPr>
            <w:r w:rsidRPr="005F754E">
              <w:rPr>
                <w:rFonts w:ascii="Book Antiqua" w:hAnsi="Book Antiqua" w:cs="Calibri"/>
                <w:b/>
                <w:bCs/>
                <w:color w:val="FFFFFF"/>
                <w:sz w:val="16"/>
                <w:szCs w:val="16"/>
                <w:lang w:eastAsia="es-CR"/>
              </w:rPr>
              <w:t xml:space="preserve">Porcentaje cumplimiento cuota teórica de firma de </w:t>
            </w:r>
            <w:r w:rsidR="006F3731" w:rsidRPr="005F754E">
              <w:rPr>
                <w:rFonts w:ascii="Book Antiqua" w:hAnsi="Book Antiqua" w:cs="Calibri"/>
                <w:b/>
                <w:bCs/>
                <w:color w:val="FFFFFF"/>
                <w:sz w:val="16"/>
                <w:szCs w:val="16"/>
                <w:lang w:eastAsia="es-CR"/>
              </w:rPr>
              <w:t>expedientes</w:t>
            </w:r>
          </w:p>
        </w:tc>
      </w:tr>
      <w:tr w:rsidR="00382689" w:rsidRPr="005F754E" w14:paraId="380B650F" w14:textId="77777777" w:rsidTr="005F754E">
        <w:trPr>
          <w:trHeight w:val="266"/>
          <w:jc w:val="center"/>
        </w:trPr>
        <w:tc>
          <w:tcPr>
            <w:tcW w:w="41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6FC9B" w14:textId="77777777" w:rsidR="00382689" w:rsidRPr="005F754E" w:rsidRDefault="00382689" w:rsidP="00985591">
            <w:pPr>
              <w:spacing w:line="276" w:lineRule="auto"/>
              <w:rPr>
                <w:rFonts w:ascii="Book Antiqua" w:hAnsi="Book Antiqua" w:cs="Calibri"/>
                <w:sz w:val="16"/>
                <w:szCs w:val="16"/>
                <w:lang w:eastAsia="es-CR"/>
              </w:rPr>
            </w:pPr>
            <w:r w:rsidRPr="005F754E">
              <w:rPr>
                <w:rFonts w:ascii="Book Antiqua" w:hAnsi="Book Antiqua" w:cs="Calibri"/>
                <w:sz w:val="16"/>
                <w:szCs w:val="16"/>
                <w:lang w:eastAsia="es-CR"/>
              </w:rPr>
              <w:t>Juzgado Ejecución de La Pena de Puntarenas</w:t>
            </w:r>
          </w:p>
        </w:tc>
        <w:tc>
          <w:tcPr>
            <w:tcW w:w="2470" w:type="dxa"/>
            <w:tcBorders>
              <w:top w:val="nil"/>
              <w:left w:val="single" w:sz="4" w:space="0" w:color="808080"/>
              <w:bottom w:val="single" w:sz="4" w:space="0" w:color="808080"/>
              <w:right w:val="single" w:sz="4" w:space="0" w:color="808080"/>
            </w:tcBorders>
            <w:shd w:val="clear" w:color="auto" w:fill="auto"/>
            <w:noWrap/>
            <w:vAlign w:val="center"/>
            <w:hideMark/>
          </w:tcPr>
          <w:p w14:paraId="1625827B" w14:textId="77777777" w:rsidR="00382689" w:rsidRPr="005F754E" w:rsidRDefault="00382689" w:rsidP="00985591">
            <w:pPr>
              <w:spacing w:line="276" w:lineRule="auto"/>
              <w:jc w:val="center"/>
              <w:rPr>
                <w:rFonts w:ascii="Book Antiqua" w:hAnsi="Book Antiqua" w:cs="Calibri"/>
                <w:color w:val="000000"/>
                <w:sz w:val="16"/>
                <w:szCs w:val="16"/>
                <w:lang w:eastAsia="es-CR"/>
              </w:rPr>
            </w:pPr>
            <w:r w:rsidRPr="005F754E">
              <w:rPr>
                <w:rFonts w:ascii="Book Antiqua" w:hAnsi="Book Antiqua" w:cs="Calibri"/>
                <w:color w:val="000000"/>
                <w:sz w:val="16"/>
                <w:szCs w:val="16"/>
                <w:lang w:eastAsia="es-CR"/>
              </w:rPr>
              <w:t>273%</w:t>
            </w:r>
          </w:p>
        </w:tc>
      </w:tr>
      <w:tr w:rsidR="00382689" w:rsidRPr="005F754E" w14:paraId="17D7FC73" w14:textId="77777777" w:rsidTr="005F754E">
        <w:trPr>
          <w:trHeight w:val="266"/>
          <w:jc w:val="center"/>
        </w:trPr>
        <w:tc>
          <w:tcPr>
            <w:tcW w:w="4151" w:type="dxa"/>
            <w:tcBorders>
              <w:top w:val="nil"/>
              <w:left w:val="single" w:sz="4" w:space="0" w:color="auto"/>
              <w:bottom w:val="single" w:sz="4" w:space="0" w:color="auto"/>
              <w:right w:val="single" w:sz="4" w:space="0" w:color="auto"/>
            </w:tcBorders>
            <w:shd w:val="clear" w:color="auto" w:fill="auto"/>
            <w:noWrap/>
            <w:vAlign w:val="center"/>
            <w:hideMark/>
          </w:tcPr>
          <w:p w14:paraId="2830BB36" w14:textId="77777777" w:rsidR="00382689" w:rsidRPr="005F754E" w:rsidRDefault="00382689" w:rsidP="00985591">
            <w:pPr>
              <w:spacing w:line="276" w:lineRule="auto"/>
              <w:rPr>
                <w:rFonts w:ascii="Book Antiqua" w:hAnsi="Book Antiqua" w:cs="Calibri"/>
                <w:sz w:val="16"/>
                <w:szCs w:val="16"/>
                <w:lang w:eastAsia="es-CR"/>
              </w:rPr>
            </w:pPr>
            <w:r w:rsidRPr="005F754E">
              <w:rPr>
                <w:rFonts w:ascii="Book Antiqua" w:hAnsi="Book Antiqua" w:cs="Calibri"/>
                <w:sz w:val="16"/>
                <w:szCs w:val="16"/>
                <w:lang w:eastAsia="es-CR"/>
              </w:rPr>
              <w:t>Juzgado Ejecución de La Pena de Pococí</w:t>
            </w:r>
          </w:p>
        </w:tc>
        <w:tc>
          <w:tcPr>
            <w:tcW w:w="2470" w:type="dxa"/>
            <w:tcBorders>
              <w:top w:val="nil"/>
              <w:left w:val="single" w:sz="4" w:space="0" w:color="808080"/>
              <w:bottom w:val="single" w:sz="4" w:space="0" w:color="808080"/>
              <w:right w:val="single" w:sz="4" w:space="0" w:color="808080"/>
            </w:tcBorders>
            <w:shd w:val="clear" w:color="auto" w:fill="auto"/>
            <w:noWrap/>
            <w:vAlign w:val="center"/>
            <w:hideMark/>
          </w:tcPr>
          <w:p w14:paraId="708ACC99" w14:textId="77777777" w:rsidR="00382689" w:rsidRPr="005F754E" w:rsidRDefault="00382689" w:rsidP="00985591">
            <w:pPr>
              <w:spacing w:line="276" w:lineRule="auto"/>
              <w:jc w:val="center"/>
              <w:rPr>
                <w:rFonts w:ascii="Book Antiqua" w:hAnsi="Book Antiqua" w:cs="Calibri"/>
                <w:color w:val="000000"/>
                <w:sz w:val="16"/>
                <w:szCs w:val="16"/>
                <w:lang w:eastAsia="es-CR"/>
              </w:rPr>
            </w:pPr>
            <w:r w:rsidRPr="005F754E">
              <w:rPr>
                <w:rFonts w:ascii="Book Antiqua" w:hAnsi="Book Antiqua" w:cs="Calibri"/>
                <w:color w:val="000000"/>
                <w:sz w:val="16"/>
                <w:szCs w:val="16"/>
                <w:lang w:eastAsia="es-CR"/>
              </w:rPr>
              <w:t>270%</w:t>
            </w:r>
          </w:p>
        </w:tc>
      </w:tr>
      <w:tr w:rsidR="00382689" w:rsidRPr="005F754E" w14:paraId="34EC1A53" w14:textId="77777777" w:rsidTr="005F754E">
        <w:trPr>
          <w:trHeight w:val="266"/>
          <w:jc w:val="center"/>
        </w:trPr>
        <w:tc>
          <w:tcPr>
            <w:tcW w:w="4151" w:type="dxa"/>
            <w:tcBorders>
              <w:top w:val="nil"/>
              <w:left w:val="single" w:sz="4" w:space="0" w:color="auto"/>
              <w:bottom w:val="single" w:sz="4" w:space="0" w:color="auto"/>
              <w:right w:val="single" w:sz="4" w:space="0" w:color="auto"/>
            </w:tcBorders>
            <w:shd w:val="clear" w:color="auto" w:fill="auto"/>
            <w:noWrap/>
            <w:vAlign w:val="center"/>
            <w:hideMark/>
          </w:tcPr>
          <w:p w14:paraId="53FC8CC9" w14:textId="77777777" w:rsidR="00382689" w:rsidRPr="005F754E" w:rsidRDefault="00382689" w:rsidP="00985591">
            <w:pPr>
              <w:spacing w:line="276" w:lineRule="auto"/>
              <w:rPr>
                <w:rFonts w:ascii="Book Antiqua" w:hAnsi="Book Antiqua" w:cs="Calibri"/>
                <w:sz w:val="16"/>
                <w:szCs w:val="16"/>
                <w:lang w:eastAsia="es-CR"/>
              </w:rPr>
            </w:pPr>
            <w:r w:rsidRPr="005F754E">
              <w:rPr>
                <w:rFonts w:ascii="Book Antiqua" w:hAnsi="Book Antiqua" w:cs="Calibri"/>
                <w:sz w:val="16"/>
                <w:szCs w:val="16"/>
                <w:lang w:eastAsia="es-CR"/>
              </w:rPr>
              <w:t>Juzgado Ejecución de la Pena de Alajuela</w:t>
            </w:r>
          </w:p>
        </w:tc>
        <w:tc>
          <w:tcPr>
            <w:tcW w:w="2470" w:type="dxa"/>
            <w:tcBorders>
              <w:top w:val="nil"/>
              <w:left w:val="single" w:sz="4" w:space="0" w:color="808080"/>
              <w:bottom w:val="single" w:sz="4" w:space="0" w:color="808080"/>
              <w:right w:val="single" w:sz="4" w:space="0" w:color="808080"/>
            </w:tcBorders>
            <w:shd w:val="clear" w:color="auto" w:fill="auto"/>
            <w:noWrap/>
            <w:vAlign w:val="center"/>
            <w:hideMark/>
          </w:tcPr>
          <w:p w14:paraId="1AB1E007" w14:textId="77777777" w:rsidR="00382689" w:rsidRPr="005F754E" w:rsidRDefault="00382689" w:rsidP="00985591">
            <w:pPr>
              <w:spacing w:line="276" w:lineRule="auto"/>
              <w:jc w:val="center"/>
              <w:rPr>
                <w:rFonts w:ascii="Book Antiqua" w:hAnsi="Book Antiqua" w:cs="Calibri"/>
                <w:color w:val="000000"/>
                <w:sz w:val="16"/>
                <w:szCs w:val="16"/>
                <w:lang w:eastAsia="es-CR"/>
              </w:rPr>
            </w:pPr>
            <w:r w:rsidRPr="005F754E">
              <w:rPr>
                <w:rFonts w:ascii="Book Antiqua" w:hAnsi="Book Antiqua" w:cs="Calibri"/>
                <w:color w:val="000000"/>
                <w:sz w:val="16"/>
                <w:szCs w:val="16"/>
                <w:lang w:eastAsia="es-CR"/>
              </w:rPr>
              <w:t>242%</w:t>
            </w:r>
          </w:p>
        </w:tc>
      </w:tr>
      <w:tr w:rsidR="00382689" w:rsidRPr="005F754E" w14:paraId="7D44F449" w14:textId="77777777" w:rsidTr="005F754E">
        <w:trPr>
          <w:trHeight w:val="266"/>
          <w:jc w:val="center"/>
        </w:trPr>
        <w:tc>
          <w:tcPr>
            <w:tcW w:w="4151" w:type="dxa"/>
            <w:tcBorders>
              <w:top w:val="nil"/>
              <w:left w:val="single" w:sz="4" w:space="0" w:color="auto"/>
              <w:bottom w:val="single" w:sz="4" w:space="0" w:color="auto"/>
              <w:right w:val="single" w:sz="4" w:space="0" w:color="auto"/>
            </w:tcBorders>
            <w:shd w:val="clear" w:color="auto" w:fill="auto"/>
            <w:noWrap/>
            <w:vAlign w:val="center"/>
            <w:hideMark/>
          </w:tcPr>
          <w:p w14:paraId="60BABB51" w14:textId="77777777" w:rsidR="00382689" w:rsidRPr="005F754E" w:rsidRDefault="00382689" w:rsidP="00985591">
            <w:pPr>
              <w:spacing w:line="276" w:lineRule="auto"/>
              <w:rPr>
                <w:rFonts w:ascii="Book Antiqua" w:hAnsi="Book Antiqua" w:cs="Calibri"/>
                <w:sz w:val="16"/>
                <w:szCs w:val="16"/>
                <w:lang w:eastAsia="es-CR"/>
              </w:rPr>
            </w:pPr>
            <w:r w:rsidRPr="005F754E">
              <w:rPr>
                <w:rFonts w:ascii="Book Antiqua" w:hAnsi="Book Antiqua" w:cs="Calibri"/>
                <w:sz w:val="16"/>
                <w:szCs w:val="16"/>
                <w:lang w:eastAsia="es-CR"/>
              </w:rPr>
              <w:t>Juzgado Ejecución de la Pena de San José</w:t>
            </w:r>
          </w:p>
        </w:tc>
        <w:tc>
          <w:tcPr>
            <w:tcW w:w="2470" w:type="dxa"/>
            <w:tcBorders>
              <w:top w:val="nil"/>
              <w:left w:val="single" w:sz="4" w:space="0" w:color="808080"/>
              <w:bottom w:val="single" w:sz="4" w:space="0" w:color="808080"/>
              <w:right w:val="single" w:sz="4" w:space="0" w:color="808080"/>
            </w:tcBorders>
            <w:shd w:val="clear" w:color="auto" w:fill="auto"/>
            <w:noWrap/>
            <w:vAlign w:val="center"/>
            <w:hideMark/>
          </w:tcPr>
          <w:p w14:paraId="76B0F21B" w14:textId="77777777" w:rsidR="00382689" w:rsidRPr="005F754E" w:rsidRDefault="00382689" w:rsidP="00985591">
            <w:pPr>
              <w:spacing w:line="276" w:lineRule="auto"/>
              <w:jc w:val="center"/>
              <w:rPr>
                <w:rFonts w:ascii="Book Antiqua" w:hAnsi="Book Antiqua" w:cs="Calibri"/>
                <w:color w:val="000000"/>
                <w:sz w:val="16"/>
                <w:szCs w:val="16"/>
                <w:lang w:eastAsia="es-CR"/>
              </w:rPr>
            </w:pPr>
            <w:r w:rsidRPr="005F754E">
              <w:rPr>
                <w:rFonts w:ascii="Book Antiqua" w:hAnsi="Book Antiqua" w:cs="Calibri"/>
                <w:color w:val="000000"/>
                <w:sz w:val="16"/>
                <w:szCs w:val="16"/>
                <w:lang w:eastAsia="es-CR"/>
              </w:rPr>
              <w:t>156%</w:t>
            </w:r>
          </w:p>
        </w:tc>
      </w:tr>
      <w:tr w:rsidR="00382689" w:rsidRPr="005F754E" w14:paraId="45590CDE" w14:textId="77777777" w:rsidTr="005F754E">
        <w:trPr>
          <w:trHeight w:val="266"/>
          <w:jc w:val="center"/>
        </w:trPr>
        <w:tc>
          <w:tcPr>
            <w:tcW w:w="4151" w:type="dxa"/>
            <w:tcBorders>
              <w:top w:val="nil"/>
              <w:left w:val="single" w:sz="4" w:space="0" w:color="auto"/>
              <w:bottom w:val="single" w:sz="4" w:space="0" w:color="auto"/>
              <w:right w:val="single" w:sz="4" w:space="0" w:color="auto"/>
            </w:tcBorders>
            <w:shd w:val="clear" w:color="auto" w:fill="auto"/>
            <w:noWrap/>
            <w:vAlign w:val="center"/>
            <w:hideMark/>
          </w:tcPr>
          <w:p w14:paraId="595C85BC" w14:textId="77777777" w:rsidR="00382689" w:rsidRPr="005F754E" w:rsidRDefault="00382689" w:rsidP="00985591">
            <w:pPr>
              <w:spacing w:line="276" w:lineRule="auto"/>
              <w:rPr>
                <w:rFonts w:ascii="Book Antiqua" w:hAnsi="Book Antiqua" w:cs="Calibri"/>
                <w:sz w:val="16"/>
                <w:szCs w:val="16"/>
                <w:lang w:eastAsia="es-CR"/>
              </w:rPr>
            </w:pPr>
            <w:r w:rsidRPr="005F754E">
              <w:rPr>
                <w:rFonts w:ascii="Book Antiqua" w:hAnsi="Book Antiqua" w:cs="Calibri"/>
                <w:sz w:val="16"/>
                <w:szCs w:val="16"/>
                <w:lang w:eastAsia="es-CR"/>
              </w:rPr>
              <w:t>Juzgado Ejecución de la Pena de Cartago</w:t>
            </w:r>
          </w:p>
        </w:tc>
        <w:tc>
          <w:tcPr>
            <w:tcW w:w="2470" w:type="dxa"/>
            <w:tcBorders>
              <w:top w:val="nil"/>
              <w:left w:val="single" w:sz="4" w:space="0" w:color="808080"/>
              <w:bottom w:val="single" w:sz="4" w:space="0" w:color="808080"/>
              <w:right w:val="single" w:sz="4" w:space="0" w:color="808080"/>
            </w:tcBorders>
            <w:shd w:val="clear" w:color="auto" w:fill="auto"/>
            <w:noWrap/>
            <w:vAlign w:val="center"/>
            <w:hideMark/>
          </w:tcPr>
          <w:p w14:paraId="4D8368D2" w14:textId="77777777" w:rsidR="00382689" w:rsidRPr="005F754E" w:rsidRDefault="00382689" w:rsidP="00985591">
            <w:pPr>
              <w:spacing w:line="276" w:lineRule="auto"/>
              <w:jc w:val="center"/>
              <w:rPr>
                <w:rFonts w:ascii="Book Antiqua" w:hAnsi="Book Antiqua" w:cs="Calibri"/>
                <w:color w:val="000000"/>
                <w:sz w:val="16"/>
                <w:szCs w:val="16"/>
                <w:lang w:eastAsia="es-CR"/>
              </w:rPr>
            </w:pPr>
            <w:r w:rsidRPr="005F754E">
              <w:rPr>
                <w:rFonts w:ascii="Book Antiqua" w:hAnsi="Book Antiqua" w:cs="Calibri"/>
                <w:color w:val="000000"/>
                <w:sz w:val="16"/>
                <w:szCs w:val="16"/>
                <w:lang w:eastAsia="es-CR"/>
              </w:rPr>
              <w:t>145%</w:t>
            </w:r>
          </w:p>
        </w:tc>
      </w:tr>
      <w:tr w:rsidR="00382689" w:rsidRPr="005F754E" w14:paraId="1AC4125C" w14:textId="77777777" w:rsidTr="005F754E">
        <w:trPr>
          <w:trHeight w:val="266"/>
          <w:jc w:val="center"/>
        </w:trPr>
        <w:tc>
          <w:tcPr>
            <w:tcW w:w="4151" w:type="dxa"/>
            <w:tcBorders>
              <w:top w:val="nil"/>
              <w:left w:val="single" w:sz="4" w:space="0" w:color="auto"/>
              <w:bottom w:val="single" w:sz="4" w:space="0" w:color="auto"/>
              <w:right w:val="single" w:sz="4" w:space="0" w:color="auto"/>
            </w:tcBorders>
            <w:shd w:val="clear" w:color="auto" w:fill="auto"/>
            <w:noWrap/>
            <w:vAlign w:val="center"/>
            <w:hideMark/>
          </w:tcPr>
          <w:p w14:paraId="044F6C8E" w14:textId="77777777" w:rsidR="00382689" w:rsidRPr="005F754E" w:rsidRDefault="00382689" w:rsidP="00985591">
            <w:pPr>
              <w:spacing w:line="276" w:lineRule="auto"/>
              <w:rPr>
                <w:rFonts w:ascii="Book Antiqua" w:hAnsi="Book Antiqua" w:cs="Calibri"/>
                <w:sz w:val="16"/>
                <w:szCs w:val="16"/>
                <w:lang w:eastAsia="es-CR"/>
              </w:rPr>
            </w:pPr>
            <w:r w:rsidRPr="005F754E">
              <w:rPr>
                <w:rFonts w:ascii="Book Antiqua" w:hAnsi="Book Antiqua" w:cs="Calibri"/>
                <w:sz w:val="16"/>
                <w:szCs w:val="16"/>
                <w:lang w:eastAsia="es-CR"/>
              </w:rPr>
              <w:t>Juzgado Ejecución de La Pena de Liberia</w:t>
            </w:r>
          </w:p>
        </w:tc>
        <w:tc>
          <w:tcPr>
            <w:tcW w:w="2470" w:type="dxa"/>
            <w:tcBorders>
              <w:top w:val="nil"/>
              <w:left w:val="single" w:sz="4" w:space="0" w:color="808080"/>
              <w:bottom w:val="single" w:sz="4" w:space="0" w:color="808080"/>
              <w:right w:val="single" w:sz="4" w:space="0" w:color="808080"/>
            </w:tcBorders>
            <w:shd w:val="clear" w:color="auto" w:fill="auto"/>
            <w:noWrap/>
            <w:vAlign w:val="center"/>
            <w:hideMark/>
          </w:tcPr>
          <w:p w14:paraId="76043722" w14:textId="77777777" w:rsidR="00382689" w:rsidRPr="005F754E" w:rsidRDefault="00382689" w:rsidP="00985591">
            <w:pPr>
              <w:spacing w:line="276" w:lineRule="auto"/>
              <w:jc w:val="center"/>
              <w:rPr>
                <w:rFonts w:ascii="Book Antiqua" w:hAnsi="Book Antiqua" w:cs="Calibri"/>
                <w:color w:val="000000"/>
                <w:sz w:val="16"/>
                <w:szCs w:val="16"/>
                <w:lang w:eastAsia="es-CR"/>
              </w:rPr>
            </w:pPr>
            <w:r w:rsidRPr="005F754E">
              <w:rPr>
                <w:rFonts w:ascii="Book Antiqua" w:hAnsi="Book Antiqua" w:cs="Calibri"/>
                <w:color w:val="000000"/>
                <w:sz w:val="16"/>
                <w:szCs w:val="16"/>
                <w:lang w:eastAsia="es-CR"/>
              </w:rPr>
              <w:t>114%</w:t>
            </w:r>
          </w:p>
        </w:tc>
      </w:tr>
      <w:tr w:rsidR="00382689" w:rsidRPr="005F754E" w14:paraId="0AD3F42C" w14:textId="77777777" w:rsidTr="005F754E">
        <w:trPr>
          <w:trHeight w:val="266"/>
          <w:jc w:val="center"/>
        </w:trPr>
        <w:tc>
          <w:tcPr>
            <w:tcW w:w="4151" w:type="dxa"/>
            <w:tcBorders>
              <w:top w:val="nil"/>
              <w:left w:val="single" w:sz="4" w:space="0" w:color="auto"/>
              <w:bottom w:val="single" w:sz="4" w:space="0" w:color="auto"/>
              <w:right w:val="single" w:sz="4" w:space="0" w:color="auto"/>
            </w:tcBorders>
            <w:shd w:val="clear" w:color="auto" w:fill="auto"/>
            <w:noWrap/>
            <w:vAlign w:val="center"/>
            <w:hideMark/>
          </w:tcPr>
          <w:p w14:paraId="6F010266" w14:textId="77777777" w:rsidR="00382689" w:rsidRPr="005F754E" w:rsidRDefault="00382689" w:rsidP="00985591">
            <w:pPr>
              <w:spacing w:line="276" w:lineRule="auto"/>
              <w:rPr>
                <w:rFonts w:ascii="Book Antiqua" w:hAnsi="Book Antiqua" w:cs="Calibri"/>
                <w:sz w:val="16"/>
                <w:szCs w:val="16"/>
                <w:lang w:eastAsia="es-CR"/>
              </w:rPr>
            </w:pPr>
            <w:r w:rsidRPr="005F754E">
              <w:rPr>
                <w:rFonts w:ascii="Book Antiqua" w:hAnsi="Book Antiqua" w:cs="Calibri"/>
                <w:sz w:val="16"/>
                <w:szCs w:val="16"/>
                <w:lang w:eastAsia="es-CR"/>
              </w:rPr>
              <w:t>Juzgado Ejecución de la Pena de Limón</w:t>
            </w:r>
          </w:p>
        </w:tc>
        <w:tc>
          <w:tcPr>
            <w:tcW w:w="2470" w:type="dxa"/>
            <w:tcBorders>
              <w:top w:val="nil"/>
              <w:left w:val="single" w:sz="4" w:space="0" w:color="808080"/>
              <w:bottom w:val="single" w:sz="4" w:space="0" w:color="808080"/>
              <w:right w:val="single" w:sz="4" w:space="0" w:color="808080"/>
            </w:tcBorders>
            <w:shd w:val="clear" w:color="auto" w:fill="auto"/>
            <w:noWrap/>
            <w:vAlign w:val="center"/>
            <w:hideMark/>
          </w:tcPr>
          <w:p w14:paraId="14C5FEFD" w14:textId="77777777" w:rsidR="00382689" w:rsidRPr="005F754E" w:rsidRDefault="00382689" w:rsidP="00985591">
            <w:pPr>
              <w:spacing w:line="276" w:lineRule="auto"/>
              <w:jc w:val="center"/>
              <w:rPr>
                <w:rFonts w:ascii="Book Antiqua" w:hAnsi="Book Antiqua" w:cs="Calibri"/>
                <w:color w:val="000000"/>
                <w:sz w:val="16"/>
                <w:szCs w:val="16"/>
                <w:lang w:eastAsia="es-CR"/>
              </w:rPr>
            </w:pPr>
            <w:r w:rsidRPr="005F754E">
              <w:rPr>
                <w:rFonts w:ascii="Book Antiqua" w:hAnsi="Book Antiqua" w:cs="Calibri"/>
                <w:color w:val="000000"/>
                <w:sz w:val="16"/>
                <w:szCs w:val="16"/>
                <w:lang w:eastAsia="es-CR"/>
              </w:rPr>
              <w:t>112%</w:t>
            </w:r>
          </w:p>
        </w:tc>
      </w:tr>
      <w:tr w:rsidR="00382689" w:rsidRPr="005F754E" w14:paraId="075531F5" w14:textId="77777777" w:rsidTr="005F754E">
        <w:trPr>
          <w:trHeight w:val="266"/>
          <w:jc w:val="center"/>
        </w:trPr>
        <w:tc>
          <w:tcPr>
            <w:tcW w:w="415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04B01AC" w14:textId="77777777" w:rsidR="00382689" w:rsidRPr="005F754E" w:rsidRDefault="00382689" w:rsidP="00985591">
            <w:pPr>
              <w:spacing w:line="276" w:lineRule="auto"/>
              <w:rPr>
                <w:rFonts w:ascii="Book Antiqua" w:hAnsi="Book Antiqua" w:cs="Calibri"/>
                <w:b/>
                <w:bCs/>
                <w:color w:val="000000"/>
                <w:sz w:val="16"/>
                <w:szCs w:val="16"/>
                <w:lang w:eastAsia="es-CR"/>
              </w:rPr>
            </w:pPr>
            <w:r w:rsidRPr="005F754E">
              <w:rPr>
                <w:rFonts w:ascii="Book Antiqua" w:hAnsi="Book Antiqua" w:cs="Calibri"/>
                <w:b/>
                <w:bCs/>
                <w:color w:val="000000"/>
                <w:sz w:val="16"/>
                <w:szCs w:val="16"/>
                <w:lang w:eastAsia="es-CR"/>
              </w:rPr>
              <w:t>Promedio Global</w:t>
            </w:r>
          </w:p>
        </w:tc>
        <w:tc>
          <w:tcPr>
            <w:tcW w:w="2470" w:type="dxa"/>
            <w:tcBorders>
              <w:top w:val="nil"/>
              <w:left w:val="nil"/>
              <w:bottom w:val="single" w:sz="4" w:space="0" w:color="808080"/>
              <w:right w:val="single" w:sz="4" w:space="0" w:color="808080"/>
            </w:tcBorders>
            <w:shd w:val="clear" w:color="auto" w:fill="auto"/>
            <w:noWrap/>
            <w:vAlign w:val="center"/>
            <w:hideMark/>
          </w:tcPr>
          <w:p w14:paraId="588BD41D" w14:textId="77777777" w:rsidR="00382689" w:rsidRPr="005F754E" w:rsidRDefault="00382689" w:rsidP="00985591">
            <w:pPr>
              <w:spacing w:line="276" w:lineRule="auto"/>
              <w:jc w:val="center"/>
              <w:rPr>
                <w:rFonts w:ascii="Book Antiqua" w:hAnsi="Book Antiqua" w:cs="Calibri"/>
                <w:b/>
                <w:bCs/>
                <w:color w:val="000000"/>
                <w:sz w:val="16"/>
                <w:szCs w:val="16"/>
                <w:lang w:eastAsia="es-CR"/>
              </w:rPr>
            </w:pPr>
            <w:r w:rsidRPr="005F754E">
              <w:rPr>
                <w:rFonts w:ascii="Book Antiqua" w:hAnsi="Book Antiqua" w:cs="Calibri"/>
                <w:b/>
                <w:bCs/>
                <w:color w:val="000000"/>
                <w:sz w:val="16"/>
                <w:szCs w:val="16"/>
                <w:lang w:eastAsia="es-CR"/>
              </w:rPr>
              <w:t>187%</w:t>
            </w:r>
          </w:p>
        </w:tc>
      </w:tr>
    </w:tbl>
    <w:p w14:paraId="6C8CE421" w14:textId="0BB9FACA" w:rsidR="00382689" w:rsidRDefault="00382689" w:rsidP="00985591">
      <w:pPr>
        <w:spacing w:line="276" w:lineRule="auto"/>
        <w:jc w:val="center"/>
        <w:rPr>
          <w:rFonts w:ascii="Book Antiqua" w:hAnsi="Book Antiqua"/>
          <w:color w:val="000000" w:themeColor="text1"/>
          <w:sz w:val="20"/>
          <w:szCs w:val="20"/>
        </w:rPr>
      </w:pPr>
      <w:r w:rsidRPr="00677475">
        <w:rPr>
          <w:rFonts w:ascii="Book Antiqua" w:hAnsi="Book Antiqua"/>
          <w:b/>
          <w:bCs/>
          <w:color w:val="000000" w:themeColor="text1"/>
          <w:sz w:val="20"/>
          <w:szCs w:val="20"/>
        </w:rPr>
        <w:t xml:space="preserve">Fuente: </w:t>
      </w:r>
      <w:r w:rsidRPr="00677475">
        <w:rPr>
          <w:rFonts w:ascii="Book Antiqua" w:hAnsi="Book Antiqua"/>
          <w:color w:val="000000" w:themeColor="text1"/>
          <w:sz w:val="20"/>
          <w:szCs w:val="20"/>
        </w:rPr>
        <w:t>Matriz de indicadores de Gestión</w:t>
      </w:r>
    </w:p>
    <w:p w14:paraId="6E4D8E82" w14:textId="3060F7E1" w:rsidR="009E0547" w:rsidRDefault="009E0547" w:rsidP="00C124CE">
      <w:pPr>
        <w:spacing w:line="276" w:lineRule="auto"/>
        <w:rPr>
          <w:rFonts w:ascii="Book Antiqua" w:hAnsi="Book Antiqua"/>
          <w:color w:val="000000" w:themeColor="text1"/>
          <w:sz w:val="20"/>
          <w:szCs w:val="20"/>
        </w:rPr>
      </w:pPr>
    </w:p>
    <w:p w14:paraId="131246E3" w14:textId="77777777" w:rsidR="009E0547" w:rsidRPr="00364171" w:rsidRDefault="009E0547" w:rsidP="00985591">
      <w:pPr>
        <w:spacing w:line="276" w:lineRule="auto"/>
        <w:jc w:val="center"/>
        <w:rPr>
          <w:rFonts w:ascii="Book Antiqua" w:hAnsi="Book Antiqua"/>
          <w:b/>
          <w:bCs/>
          <w:color w:val="000000" w:themeColor="text1"/>
          <w:sz w:val="20"/>
          <w:szCs w:val="20"/>
        </w:rPr>
      </w:pPr>
    </w:p>
    <w:p w14:paraId="7418C345" w14:textId="7D6DA5BA" w:rsidR="00382689" w:rsidRPr="00382689" w:rsidRDefault="59797D52" w:rsidP="57A79FF7">
      <w:pPr>
        <w:spacing w:after="160" w:line="276" w:lineRule="auto"/>
        <w:contextualSpacing/>
        <w:outlineLvl w:val="1"/>
        <w:rPr>
          <w:b/>
          <w:color w:val="000000" w:themeColor="text1"/>
        </w:rPr>
      </w:pPr>
      <w:r w:rsidRPr="57A79FF7">
        <w:rPr>
          <w:rFonts w:ascii="Book Antiqua" w:hAnsi="Book Antiqua"/>
          <w:b/>
          <w:bCs/>
          <w:color w:val="000000" w:themeColor="text1"/>
        </w:rPr>
        <w:t xml:space="preserve">5.2.5 </w:t>
      </w:r>
      <w:r w:rsidR="00382689" w:rsidRPr="00382689">
        <w:rPr>
          <w:rFonts w:ascii="Book Antiqua" w:hAnsi="Book Antiqua"/>
          <w:b/>
          <w:color w:val="000000" w:themeColor="text1"/>
        </w:rPr>
        <w:t>Tribunal de Apelación de la Sentencia Penal</w:t>
      </w:r>
    </w:p>
    <w:p w14:paraId="51E48CDA" w14:textId="332F4045" w:rsidR="00382689" w:rsidRDefault="00B053D3" w:rsidP="00985591">
      <w:pPr>
        <w:spacing w:line="276" w:lineRule="auto"/>
        <w:jc w:val="both"/>
        <w:rPr>
          <w:rFonts w:ascii="Book Antiqua" w:hAnsi="Book Antiqua"/>
          <w:color w:val="000000" w:themeColor="text1"/>
        </w:rPr>
      </w:pPr>
      <w:r w:rsidRPr="00B053D3">
        <w:rPr>
          <w:rFonts w:ascii="Book Antiqua" w:hAnsi="Book Antiqua"/>
          <w:color w:val="000000" w:themeColor="text1"/>
        </w:rPr>
        <w:t>En sesión de Consejo Superior en sesión 100-20, celebrada el 20 de octubre del 2020, artículo XXXIX, aprobó el informe técnico 1351-PLA-OI-2020, relacionado con la revisión de las cuotas establecidas a los Tribunales de Apelación de Sentencia Penal, en el cual se estableció que el cálculo de cumplimiento mensual de la cuota de asuntos terminados por plaza de Jueza o Juez, sería con los datos históricos de cada despacho, por lo que a continuación se detalla la cuota esperada de asuntos terminados por Tribunal:</w:t>
      </w:r>
    </w:p>
    <w:p w14:paraId="1B92C99F" w14:textId="36C16DC2" w:rsidR="00B053D3" w:rsidRDefault="00BD30A3" w:rsidP="00985591">
      <w:pPr>
        <w:spacing w:line="276" w:lineRule="auto"/>
        <w:jc w:val="both"/>
        <w:rPr>
          <w:rFonts w:ascii="Book Antiqua" w:hAnsi="Book Antiqua"/>
          <w:b/>
          <w:color w:val="000000" w:themeColor="text1"/>
          <w:highlight w:val="yellow"/>
        </w:rPr>
      </w:pPr>
      <w:r w:rsidRPr="00982EF3">
        <w:rPr>
          <w:noProof/>
        </w:rPr>
        <w:drawing>
          <wp:anchor distT="0" distB="0" distL="114300" distR="114300" simplePos="0" relativeHeight="251658241" behindDoc="1" locked="0" layoutInCell="1" allowOverlap="1" wp14:anchorId="0D58676A" wp14:editId="77BC61B5">
            <wp:simplePos x="0" y="0"/>
            <wp:positionH relativeFrom="margin">
              <wp:align>left</wp:align>
            </wp:positionH>
            <wp:positionV relativeFrom="paragraph">
              <wp:posOffset>211660</wp:posOffset>
            </wp:positionV>
            <wp:extent cx="5744210" cy="667385"/>
            <wp:effectExtent l="0" t="0" r="8890" b="0"/>
            <wp:wrapTight wrapText="bothSides">
              <wp:wrapPolygon edited="0">
                <wp:start x="0" y="0"/>
                <wp:lineTo x="0" y="20963"/>
                <wp:lineTo x="19270" y="20963"/>
                <wp:lineTo x="19914" y="19730"/>
                <wp:lineTo x="21562" y="12331"/>
                <wp:lineTo x="21562"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4210" cy="667385"/>
                    </a:xfrm>
                    <a:prstGeom prst="rect">
                      <a:avLst/>
                    </a:prstGeom>
                    <a:noFill/>
                    <a:ln>
                      <a:noFill/>
                    </a:ln>
                  </pic:spPr>
                </pic:pic>
              </a:graphicData>
            </a:graphic>
            <wp14:sizeRelH relativeFrom="margin">
              <wp14:pctWidth>0</wp14:pctWidth>
            </wp14:sizeRelH>
          </wp:anchor>
        </w:drawing>
      </w:r>
    </w:p>
    <w:p w14:paraId="2F235CDD" w14:textId="242C8546" w:rsidR="00B053D3" w:rsidRPr="00F970F2" w:rsidRDefault="00B053D3" w:rsidP="00985591">
      <w:pPr>
        <w:spacing w:line="276" w:lineRule="auto"/>
        <w:jc w:val="both"/>
        <w:rPr>
          <w:rFonts w:ascii="Book Antiqua" w:hAnsi="Book Antiqua"/>
          <w:b/>
          <w:color w:val="000000" w:themeColor="text1"/>
          <w:highlight w:val="yellow"/>
        </w:rPr>
      </w:pPr>
    </w:p>
    <w:p w14:paraId="2DEB58A3" w14:textId="77777777" w:rsidR="00BD30A3" w:rsidRDefault="00BD30A3" w:rsidP="00985591">
      <w:pPr>
        <w:shd w:val="clear" w:color="auto" w:fill="FFFFFF"/>
        <w:spacing w:line="276" w:lineRule="auto"/>
        <w:jc w:val="both"/>
        <w:rPr>
          <w:rFonts w:ascii="Book Antiqua" w:hAnsi="Book Antiqua"/>
        </w:rPr>
      </w:pPr>
    </w:p>
    <w:p w14:paraId="286B601A" w14:textId="3C373B51" w:rsidR="00BD30A3" w:rsidRDefault="00BD30A3" w:rsidP="00985591">
      <w:pPr>
        <w:shd w:val="clear" w:color="auto" w:fill="FFFFFF"/>
        <w:spacing w:line="276" w:lineRule="auto"/>
        <w:jc w:val="both"/>
        <w:rPr>
          <w:rFonts w:ascii="Book Antiqua" w:hAnsi="Book Antiqua"/>
        </w:rPr>
      </w:pPr>
      <w:r>
        <w:rPr>
          <w:rFonts w:ascii="Book Antiqua" w:hAnsi="Book Antiqua"/>
        </w:rPr>
        <w:t>A partir de las cuotas indicadas en el cuadro anterior, a continuación, se detalla el porcentaje de cumplimiento de estos despachos durante el mes de junio 2021:</w:t>
      </w:r>
    </w:p>
    <w:p w14:paraId="13A712C4" w14:textId="77777777" w:rsidR="00382689" w:rsidRDefault="00382689" w:rsidP="00985591">
      <w:pPr>
        <w:spacing w:line="276" w:lineRule="auto"/>
        <w:jc w:val="center"/>
        <w:rPr>
          <w:rFonts w:ascii="Book Antiqua" w:hAnsi="Book Antiqua"/>
          <w:b/>
          <w:color w:val="000000" w:themeColor="text1"/>
        </w:rPr>
      </w:pPr>
    </w:p>
    <w:p w14:paraId="0B8793C4" w14:textId="4CAEED84" w:rsidR="00BF7F5F" w:rsidRDefault="00BF7F5F">
      <w:pPr>
        <w:rPr>
          <w:rFonts w:ascii="Book Antiqua" w:hAnsi="Book Antiqua"/>
          <w:b/>
          <w:color w:val="000000" w:themeColor="text1"/>
        </w:rPr>
      </w:pPr>
      <w:r>
        <w:rPr>
          <w:rFonts w:ascii="Book Antiqua" w:hAnsi="Book Antiqua"/>
          <w:b/>
          <w:color w:val="000000" w:themeColor="text1"/>
        </w:rPr>
        <w:br w:type="page"/>
      </w:r>
    </w:p>
    <w:p w14:paraId="6DDAD145" w14:textId="77777777" w:rsidR="00382689" w:rsidRDefault="00382689" w:rsidP="00985591">
      <w:pPr>
        <w:spacing w:line="276" w:lineRule="auto"/>
        <w:jc w:val="center"/>
        <w:rPr>
          <w:rFonts w:ascii="Book Antiqua" w:hAnsi="Book Antiqua"/>
          <w:b/>
          <w:color w:val="000000" w:themeColor="text1"/>
        </w:rPr>
      </w:pPr>
    </w:p>
    <w:p w14:paraId="6B3C8045" w14:textId="79C997D5" w:rsidR="00382689" w:rsidRPr="005018A0" w:rsidRDefault="00382689" w:rsidP="00985591">
      <w:pPr>
        <w:spacing w:line="276" w:lineRule="auto"/>
        <w:jc w:val="center"/>
        <w:rPr>
          <w:rFonts w:ascii="Book Antiqua" w:hAnsi="Book Antiqua"/>
          <w:b/>
          <w:color w:val="000000" w:themeColor="text1"/>
        </w:rPr>
      </w:pPr>
      <w:r w:rsidRPr="005018A0">
        <w:rPr>
          <w:rFonts w:ascii="Book Antiqua" w:hAnsi="Book Antiqua"/>
          <w:b/>
          <w:color w:val="000000" w:themeColor="text1"/>
        </w:rPr>
        <w:t xml:space="preserve">Cuadro </w:t>
      </w:r>
      <w:r w:rsidR="000C1D00">
        <w:rPr>
          <w:rFonts w:ascii="Book Antiqua" w:hAnsi="Book Antiqua"/>
          <w:b/>
          <w:color w:val="000000" w:themeColor="text1"/>
        </w:rPr>
        <w:t>49</w:t>
      </w:r>
    </w:p>
    <w:p w14:paraId="0B11CE81" w14:textId="77777777" w:rsidR="00382689" w:rsidRPr="00C124CE" w:rsidRDefault="00382689" w:rsidP="00985591">
      <w:pPr>
        <w:spacing w:line="276" w:lineRule="auto"/>
        <w:jc w:val="center"/>
        <w:rPr>
          <w:rFonts w:ascii="Book Antiqua" w:hAnsi="Book Antiqua"/>
          <w:bCs/>
          <w:color w:val="000000" w:themeColor="text1"/>
        </w:rPr>
      </w:pPr>
      <w:r w:rsidRPr="00C124CE">
        <w:rPr>
          <w:rFonts w:ascii="Book Antiqua" w:hAnsi="Book Antiqua"/>
          <w:bCs/>
          <w:color w:val="000000" w:themeColor="text1"/>
        </w:rPr>
        <w:t xml:space="preserve">Cumplimiento del parámetro de producción </w:t>
      </w:r>
    </w:p>
    <w:p w14:paraId="1B254419" w14:textId="45D2C575" w:rsidR="005018A0" w:rsidRPr="000C1D00" w:rsidRDefault="00382689" w:rsidP="000C1D00">
      <w:pPr>
        <w:spacing w:line="276" w:lineRule="auto"/>
        <w:jc w:val="center"/>
        <w:rPr>
          <w:rFonts w:ascii="Book Antiqua" w:hAnsi="Book Antiqua"/>
          <w:bCs/>
          <w:color w:val="000000" w:themeColor="text1"/>
        </w:rPr>
      </w:pPr>
      <w:r w:rsidRPr="00C124CE">
        <w:rPr>
          <w:rFonts w:ascii="Book Antiqua" w:hAnsi="Book Antiqua"/>
          <w:bCs/>
          <w:color w:val="000000" w:themeColor="text1"/>
        </w:rPr>
        <w:t>teórico de Tribunales de Apelación durante junio de 2021</w:t>
      </w:r>
    </w:p>
    <w:tbl>
      <w:tblPr>
        <w:tblW w:w="7091" w:type="dxa"/>
        <w:jc w:val="center"/>
        <w:tblCellMar>
          <w:left w:w="70" w:type="dxa"/>
          <w:right w:w="70" w:type="dxa"/>
        </w:tblCellMar>
        <w:tblLook w:val="04A0" w:firstRow="1" w:lastRow="0" w:firstColumn="1" w:lastColumn="0" w:noHBand="0" w:noVBand="1"/>
      </w:tblPr>
      <w:tblGrid>
        <w:gridCol w:w="5249"/>
        <w:gridCol w:w="1842"/>
      </w:tblGrid>
      <w:tr w:rsidR="005018A0" w:rsidRPr="005F754E" w14:paraId="6023C15C" w14:textId="77777777" w:rsidTr="005018A0">
        <w:trPr>
          <w:trHeight w:val="780"/>
          <w:jc w:val="center"/>
        </w:trPr>
        <w:tc>
          <w:tcPr>
            <w:tcW w:w="5249" w:type="dxa"/>
            <w:tcBorders>
              <w:top w:val="single" w:sz="4" w:space="0" w:color="808080"/>
              <w:left w:val="single" w:sz="4" w:space="0" w:color="808080"/>
              <w:bottom w:val="single" w:sz="4" w:space="0" w:color="808080"/>
              <w:right w:val="single" w:sz="4" w:space="0" w:color="808080"/>
            </w:tcBorders>
            <w:shd w:val="clear" w:color="000000" w:fill="305496"/>
            <w:noWrap/>
            <w:vAlign w:val="center"/>
            <w:hideMark/>
          </w:tcPr>
          <w:p w14:paraId="78057741" w14:textId="77777777" w:rsidR="005018A0" w:rsidRPr="005F754E" w:rsidRDefault="005018A0" w:rsidP="00985591">
            <w:pPr>
              <w:spacing w:line="276" w:lineRule="auto"/>
              <w:jc w:val="center"/>
              <w:rPr>
                <w:rFonts w:ascii="Book Antiqua" w:hAnsi="Book Antiqua" w:cs="Calibri"/>
                <w:b/>
                <w:bCs/>
                <w:color w:val="FFFFFF"/>
                <w:sz w:val="16"/>
                <w:szCs w:val="16"/>
                <w:lang w:eastAsia="es-CR"/>
              </w:rPr>
            </w:pPr>
            <w:r w:rsidRPr="005F754E">
              <w:rPr>
                <w:rFonts w:ascii="Book Antiqua" w:hAnsi="Book Antiqua" w:cs="Calibri"/>
                <w:b/>
                <w:bCs/>
                <w:color w:val="FFFFFF"/>
                <w:sz w:val="16"/>
                <w:szCs w:val="16"/>
                <w:lang w:eastAsia="es-CR"/>
              </w:rPr>
              <w:t>Oficina</w:t>
            </w:r>
          </w:p>
        </w:tc>
        <w:tc>
          <w:tcPr>
            <w:tcW w:w="1842" w:type="dxa"/>
            <w:tcBorders>
              <w:top w:val="single" w:sz="4" w:space="0" w:color="808080"/>
              <w:left w:val="nil"/>
              <w:bottom w:val="single" w:sz="4" w:space="0" w:color="808080"/>
              <w:right w:val="single" w:sz="4" w:space="0" w:color="808080"/>
            </w:tcBorders>
            <w:shd w:val="clear" w:color="000000" w:fill="305496"/>
            <w:vAlign w:val="center"/>
            <w:hideMark/>
          </w:tcPr>
          <w:p w14:paraId="04BCF586" w14:textId="77777777" w:rsidR="005018A0" w:rsidRPr="005F754E" w:rsidRDefault="005018A0" w:rsidP="00985591">
            <w:pPr>
              <w:spacing w:line="276" w:lineRule="auto"/>
              <w:jc w:val="center"/>
              <w:rPr>
                <w:rFonts w:ascii="Book Antiqua" w:hAnsi="Book Antiqua" w:cs="Calibri"/>
                <w:b/>
                <w:bCs/>
                <w:color w:val="FFFFFF"/>
                <w:sz w:val="16"/>
                <w:szCs w:val="16"/>
                <w:lang w:eastAsia="es-CR"/>
              </w:rPr>
            </w:pPr>
            <w:r w:rsidRPr="005F754E">
              <w:rPr>
                <w:rFonts w:ascii="Book Antiqua" w:hAnsi="Book Antiqua" w:cs="Calibri"/>
                <w:b/>
                <w:bCs/>
                <w:color w:val="FFFFFF"/>
                <w:sz w:val="16"/>
                <w:szCs w:val="16"/>
                <w:lang w:eastAsia="es-CR"/>
              </w:rPr>
              <w:t>Porcentaje cumplimiento cuota teórica</w:t>
            </w:r>
          </w:p>
        </w:tc>
      </w:tr>
      <w:tr w:rsidR="005018A0" w:rsidRPr="005F754E" w14:paraId="00FED44C" w14:textId="77777777" w:rsidTr="005018A0">
        <w:trPr>
          <w:trHeight w:val="290"/>
          <w:jc w:val="center"/>
        </w:trPr>
        <w:tc>
          <w:tcPr>
            <w:tcW w:w="52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BDE2A7" w14:textId="77777777" w:rsidR="005018A0" w:rsidRPr="005F754E" w:rsidRDefault="005018A0" w:rsidP="00985591">
            <w:pPr>
              <w:spacing w:line="276" w:lineRule="auto"/>
              <w:rPr>
                <w:rFonts w:ascii="Book Antiqua" w:hAnsi="Book Antiqua" w:cs="Calibri"/>
                <w:sz w:val="16"/>
                <w:szCs w:val="16"/>
                <w:lang w:eastAsia="es-CR"/>
              </w:rPr>
            </w:pPr>
            <w:r w:rsidRPr="005F754E">
              <w:rPr>
                <w:rFonts w:ascii="Book Antiqua" w:hAnsi="Book Antiqua" w:cs="Calibri"/>
                <w:sz w:val="16"/>
                <w:szCs w:val="16"/>
                <w:lang w:eastAsia="es-CR"/>
              </w:rPr>
              <w:t>Tribunal de Apelación de Sentencia Penal de Goicochea</w:t>
            </w:r>
          </w:p>
        </w:tc>
        <w:tc>
          <w:tcPr>
            <w:tcW w:w="1842" w:type="dxa"/>
            <w:tcBorders>
              <w:top w:val="nil"/>
              <w:left w:val="single" w:sz="4" w:space="0" w:color="808080"/>
              <w:bottom w:val="single" w:sz="4" w:space="0" w:color="808080"/>
              <w:right w:val="single" w:sz="4" w:space="0" w:color="808080"/>
            </w:tcBorders>
            <w:shd w:val="clear" w:color="auto" w:fill="auto"/>
            <w:noWrap/>
            <w:vAlign w:val="center"/>
            <w:hideMark/>
          </w:tcPr>
          <w:p w14:paraId="4DAD00A7" w14:textId="77777777" w:rsidR="005018A0" w:rsidRPr="005F754E" w:rsidRDefault="005018A0" w:rsidP="00985591">
            <w:pPr>
              <w:spacing w:line="276" w:lineRule="auto"/>
              <w:jc w:val="center"/>
              <w:rPr>
                <w:rFonts w:ascii="Book Antiqua" w:hAnsi="Book Antiqua" w:cs="Calibri"/>
                <w:color w:val="000000"/>
                <w:sz w:val="16"/>
                <w:szCs w:val="16"/>
                <w:lang w:eastAsia="es-CR"/>
              </w:rPr>
            </w:pPr>
            <w:r w:rsidRPr="005F754E">
              <w:rPr>
                <w:rFonts w:ascii="Book Antiqua" w:hAnsi="Book Antiqua" w:cs="Calibri"/>
                <w:color w:val="000000"/>
                <w:sz w:val="16"/>
                <w:szCs w:val="16"/>
                <w:lang w:eastAsia="es-CR"/>
              </w:rPr>
              <w:t>100%</w:t>
            </w:r>
          </w:p>
        </w:tc>
      </w:tr>
      <w:tr w:rsidR="005018A0" w:rsidRPr="005F754E" w14:paraId="041C288E" w14:textId="77777777" w:rsidTr="005018A0">
        <w:trPr>
          <w:trHeight w:val="290"/>
          <w:jc w:val="center"/>
        </w:trPr>
        <w:tc>
          <w:tcPr>
            <w:tcW w:w="5249" w:type="dxa"/>
            <w:tcBorders>
              <w:top w:val="nil"/>
              <w:left w:val="single" w:sz="4" w:space="0" w:color="auto"/>
              <w:bottom w:val="single" w:sz="4" w:space="0" w:color="auto"/>
              <w:right w:val="single" w:sz="4" w:space="0" w:color="auto"/>
            </w:tcBorders>
            <w:shd w:val="clear" w:color="auto" w:fill="auto"/>
            <w:noWrap/>
            <w:vAlign w:val="center"/>
            <w:hideMark/>
          </w:tcPr>
          <w:p w14:paraId="4B2321FA" w14:textId="77777777" w:rsidR="005018A0" w:rsidRPr="005F754E" w:rsidRDefault="005018A0" w:rsidP="00985591">
            <w:pPr>
              <w:spacing w:line="276" w:lineRule="auto"/>
              <w:rPr>
                <w:rFonts w:ascii="Book Antiqua" w:hAnsi="Book Antiqua" w:cs="Calibri"/>
                <w:sz w:val="16"/>
                <w:szCs w:val="16"/>
                <w:lang w:eastAsia="es-CR"/>
              </w:rPr>
            </w:pPr>
            <w:r w:rsidRPr="005F754E">
              <w:rPr>
                <w:rFonts w:ascii="Book Antiqua" w:hAnsi="Book Antiqua" w:cs="Calibri"/>
                <w:sz w:val="16"/>
                <w:szCs w:val="16"/>
                <w:lang w:eastAsia="es-CR"/>
              </w:rPr>
              <w:t>Tribunal de Apelación de Sentencia Penal de Santa Cruz</w:t>
            </w:r>
          </w:p>
        </w:tc>
        <w:tc>
          <w:tcPr>
            <w:tcW w:w="1842" w:type="dxa"/>
            <w:tcBorders>
              <w:top w:val="nil"/>
              <w:left w:val="single" w:sz="4" w:space="0" w:color="808080"/>
              <w:bottom w:val="single" w:sz="4" w:space="0" w:color="808080"/>
              <w:right w:val="single" w:sz="4" w:space="0" w:color="808080"/>
            </w:tcBorders>
            <w:shd w:val="clear" w:color="auto" w:fill="auto"/>
            <w:noWrap/>
            <w:vAlign w:val="center"/>
            <w:hideMark/>
          </w:tcPr>
          <w:p w14:paraId="1DDB60C5" w14:textId="77777777" w:rsidR="005018A0" w:rsidRPr="005F754E" w:rsidRDefault="005018A0" w:rsidP="00985591">
            <w:pPr>
              <w:spacing w:line="276" w:lineRule="auto"/>
              <w:jc w:val="center"/>
              <w:rPr>
                <w:rFonts w:ascii="Book Antiqua" w:hAnsi="Book Antiqua" w:cs="Calibri"/>
                <w:color w:val="000000"/>
                <w:sz w:val="16"/>
                <w:szCs w:val="16"/>
                <w:lang w:eastAsia="es-CR"/>
              </w:rPr>
            </w:pPr>
            <w:r w:rsidRPr="005F754E">
              <w:rPr>
                <w:rFonts w:ascii="Book Antiqua" w:hAnsi="Book Antiqua" w:cs="Calibri"/>
                <w:color w:val="000000"/>
                <w:sz w:val="16"/>
                <w:szCs w:val="16"/>
                <w:lang w:eastAsia="es-CR"/>
              </w:rPr>
              <w:t>98%</w:t>
            </w:r>
          </w:p>
        </w:tc>
      </w:tr>
      <w:tr w:rsidR="005018A0" w:rsidRPr="005F754E" w14:paraId="31102ACA" w14:textId="77777777" w:rsidTr="005018A0">
        <w:trPr>
          <w:trHeight w:val="290"/>
          <w:jc w:val="center"/>
        </w:trPr>
        <w:tc>
          <w:tcPr>
            <w:tcW w:w="5249" w:type="dxa"/>
            <w:tcBorders>
              <w:top w:val="nil"/>
              <w:left w:val="single" w:sz="4" w:space="0" w:color="auto"/>
              <w:bottom w:val="single" w:sz="4" w:space="0" w:color="auto"/>
              <w:right w:val="single" w:sz="4" w:space="0" w:color="auto"/>
            </w:tcBorders>
            <w:shd w:val="clear" w:color="auto" w:fill="auto"/>
            <w:noWrap/>
            <w:vAlign w:val="center"/>
            <w:hideMark/>
          </w:tcPr>
          <w:p w14:paraId="474C91E6" w14:textId="77777777" w:rsidR="005018A0" w:rsidRPr="005F754E" w:rsidRDefault="005018A0" w:rsidP="00985591">
            <w:pPr>
              <w:spacing w:line="276" w:lineRule="auto"/>
              <w:rPr>
                <w:rFonts w:ascii="Book Antiqua" w:hAnsi="Book Antiqua" w:cs="Calibri"/>
                <w:sz w:val="16"/>
                <w:szCs w:val="16"/>
                <w:lang w:eastAsia="es-CR"/>
              </w:rPr>
            </w:pPr>
            <w:r w:rsidRPr="005F754E">
              <w:rPr>
                <w:rFonts w:ascii="Book Antiqua" w:hAnsi="Book Antiqua" w:cs="Calibri"/>
                <w:sz w:val="16"/>
                <w:szCs w:val="16"/>
                <w:lang w:eastAsia="es-CR"/>
              </w:rPr>
              <w:t>Tribunal de Apelación de Sentencia Penal de San Ramón</w:t>
            </w:r>
          </w:p>
        </w:tc>
        <w:tc>
          <w:tcPr>
            <w:tcW w:w="1842" w:type="dxa"/>
            <w:tcBorders>
              <w:top w:val="nil"/>
              <w:left w:val="single" w:sz="4" w:space="0" w:color="808080"/>
              <w:bottom w:val="single" w:sz="4" w:space="0" w:color="808080"/>
              <w:right w:val="single" w:sz="4" w:space="0" w:color="808080"/>
            </w:tcBorders>
            <w:shd w:val="clear" w:color="auto" w:fill="auto"/>
            <w:noWrap/>
            <w:vAlign w:val="center"/>
            <w:hideMark/>
          </w:tcPr>
          <w:p w14:paraId="5F85F4E0" w14:textId="77777777" w:rsidR="005018A0" w:rsidRPr="005F754E" w:rsidRDefault="005018A0" w:rsidP="00985591">
            <w:pPr>
              <w:spacing w:line="276" w:lineRule="auto"/>
              <w:jc w:val="center"/>
              <w:rPr>
                <w:rFonts w:ascii="Book Antiqua" w:hAnsi="Book Antiqua" w:cs="Calibri"/>
                <w:color w:val="000000"/>
                <w:sz w:val="16"/>
                <w:szCs w:val="16"/>
                <w:lang w:eastAsia="es-CR"/>
              </w:rPr>
            </w:pPr>
            <w:r w:rsidRPr="005F754E">
              <w:rPr>
                <w:rFonts w:ascii="Book Antiqua" w:hAnsi="Book Antiqua" w:cs="Calibri"/>
                <w:color w:val="000000"/>
                <w:sz w:val="16"/>
                <w:szCs w:val="16"/>
                <w:lang w:eastAsia="es-CR"/>
              </w:rPr>
              <w:t>97%</w:t>
            </w:r>
          </w:p>
        </w:tc>
      </w:tr>
      <w:tr w:rsidR="005018A0" w:rsidRPr="005F754E" w14:paraId="3368CA4B" w14:textId="77777777" w:rsidTr="005018A0">
        <w:trPr>
          <w:trHeight w:val="290"/>
          <w:jc w:val="center"/>
        </w:trPr>
        <w:tc>
          <w:tcPr>
            <w:tcW w:w="5249" w:type="dxa"/>
            <w:tcBorders>
              <w:top w:val="nil"/>
              <w:left w:val="single" w:sz="4" w:space="0" w:color="auto"/>
              <w:bottom w:val="single" w:sz="4" w:space="0" w:color="auto"/>
              <w:right w:val="single" w:sz="4" w:space="0" w:color="auto"/>
            </w:tcBorders>
            <w:shd w:val="clear" w:color="auto" w:fill="auto"/>
            <w:noWrap/>
            <w:vAlign w:val="center"/>
            <w:hideMark/>
          </w:tcPr>
          <w:p w14:paraId="5446530F" w14:textId="77777777" w:rsidR="005018A0" w:rsidRPr="005F754E" w:rsidRDefault="005018A0" w:rsidP="00985591">
            <w:pPr>
              <w:spacing w:line="276" w:lineRule="auto"/>
              <w:rPr>
                <w:rFonts w:ascii="Book Antiqua" w:hAnsi="Book Antiqua" w:cs="Calibri"/>
                <w:sz w:val="16"/>
                <w:szCs w:val="16"/>
                <w:lang w:eastAsia="es-CR"/>
              </w:rPr>
            </w:pPr>
            <w:r w:rsidRPr="005F754E">
              <w:rPr>
                <w:rFonts w:ascii="Book Antiqua" w:hAnsi="Book Antiqua" w:cs="Calibri"/>
                <w:sz w:val="16"/>
                <w:szCs w:val="16"/>
                <w:lang w:eastAsia="es-CR"/>
              </w:rPr>
              <w:t>Tribunal de Apelación de Sentencia Penal de Cartago</w:t>
            </w:r>
          </w:p>
        </w:tc>
        <w:tc>
          <w:tcPr>
            <w:tcW w:w="1842" w:type="dxa"/>
            <w:tcBorders>
              <w:top w:val="nil"/>
              <w:left w:val="single" w:sz="4" w:space="0" w:color="808080"/>
              <w:bottom w:val="single" w:sz="4" w:space="0" w:color="808080"/>
              <w:right w:val="single" w:sz="4" w:space="0" w:color="808080"/>
            </w:tcBorders>
            <w:shd w:val="clear" w:color="auto" w:fill="auto"/>
            <w:noWrap/>
            <w:vAlign w:val="center"/>
            <w:hideMark/>
          </w:tcPr>
          <w:p w14:paraId="28ED51D3" w14:textId="77777777" w:rsidR="005018A0" w:rsidRPr="005F754E" w:rsidRDefault="005018A0" w:rsidP="00985591">
            <w:pPr>
              <w:spacing w:line="276" w:lineRule="auto"/>
              <w:jc w:val="center"/>
              <w:rPr>
                <w:rFonts w:ascii="Book Antiqua" w:hAnsi="Book Antiqua" w:cs="Calibri"/>
                <w:color w:val="000000"/>
                <w:sz w:val="16"/>
                <w:szCs w:val="16"/>
                <w:lang w:eastAsia="es-CR"/>
              </w:rPr>
            </w:pPr>
            <w:r w:rsidRPr="005F754E">
              <w:rPr>
                <w:rFonts w:ascii="Book Antiqua" w:hAnsi="Book Antiqua" w:cs="Calibri"/>
                <w:color w:val="000000"/>
                <w:sz w:val="16"/>
                <w:szCs w:val="16"/>
                <w:lang w:eastAsia="es-CR"/>
              </w:rPr>
              <w:t>78%</w:t>
            </w:r>
          </w:p>
        </w:tc>
      </w:tr>
      <w:tr w:rsidR="005018A0" w:rsidRPr="005F754E" w14:paraId="2C286D75" w14:textId="77777777" w:rsidTr="005018A0">
        <w:trPr>
          <w:trHeight w:val="290"/>
          <w:jc w:val="center"/>
        </w:trPr>
        <w:tc>
          <w:tcPr>
            <w:tcW w:w="524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6257364" w14:textId="77777777" w:rsidR="005018A0" w:rsidRPr="005F754E" w:rsidRDefault="005018A0" w:rsidP="00985591">
            <w:pPr>
              <w:spacing w:line="276" w:lineRule="auto"/>
              <w:rPr>
                <w:rFonts w:ascii="Book Antiqua" w:hAnsi="Book Antiqua" w:cs="Calibri"/>
                <w:b/>
                <w:bCs/>
                <w:color w:val="000000"/>
                <w:sz w:val="16"/>
                <w:szCs w:val="16"/>
                <w:lang w:eastAsia="es-CR"/>
              </w:rPr>
            </w:pPr>
            <w:r w:rsidRPr="005F754E">
              <w:rPr>
                <w:rFonts w:ascii="Book Antiqua" w:hAnsi="Book Antiqua" w:cs="Calibri"/>
                <w:b/>
                <w:bCs/>
                <w:color w:val="000000"/>
                <w:sz w:val="16"/>
                <w:szCs w:val="16"/>
                <w:lang w:eastAsia="es-CR"/>
              </w:rPr>
              <w:t>Promedio Global</w:t>
            </w:r>
          </w:p>
        </w:tc>
        <w:tc>
          <w:tcPr>
            <w:tcW w:w="1842" w:type="dxa"/>
            <w:tcBorders>
              <w:top w:val="nil"/>
              <w:left w:val="nil"/>
              <w:bottom w:val="single" w:sz="4" w:space="0" w:color="808080"/>
              <w:right w:val="single" w:sz="4" w:space="0" w:color="808080"/>
            </w:tcBorders>
            <w:shd w:val="clear" w:color="auto" w:fill="auto"/>
            <w:noWrap/>
            <w:vAlign w:val="center"/>
            <w:hideMark/>
          </w:tcPr>
          <w:p w14:paraId="75C89C7D" w14:textId="77777777" w:rsidR="005018A0" w:rsidRPr="005F754E" w:rsidRDefault="005018A0" w:rsidP="00985591">
            <w:pPr>
              <w:spacing w:line="276" w:lineRule="auto"/>
              <w:jc w:val="center"/>
              <w:rPr>
                <w:rFonts w:ascii="Book Antiqua" w:hAnsi="Book Antiqua" w:cs="Calibri"/>
                <w:b/>
                <w:bCs/>
                <w:color w:val="000000"/>
                <w:sz w:val="16"/>
                <w:szCs w:val="16"/>
                <w:lang w:eastAsia="es-CR"/>
              </w:rPr>
            </w:pPr>
            <w:r w:rsidRPr="005F754E">
              <w:rPr>
                <w:rFonts w:ascii="Book Antiqua" w:hAnsi="Book Antiqua" w:cs="Calibri"/>
                <w:b/>
                <w:bCs/>
                <w:color w:val="000000"/>
                <w:sz w:val="16"/>
                <w:szCs w:val="16"/>
                <w:lang w:eastAsia="es-CR"/>
              </w:rPr>
              <w:t>93%</w:t>
            </w:r>
          </w:p>
        </w:tc>
      </w:tr>
    </w:tbl>
    <w:p w14:paraId="023F8402" w14:textId="716EFFDB" w:rsidR="00382689" w:rsidRDefault="005018A0" w:rsidP="00985591">
      <w:pPr>
        <w:spacing w:line="276" w:lineRule="auto"/>
        <w:jc w:val="both"/>
        <w:rPr>
          <w:rFonts w:ascii="Book Antiqua" w:hAnsi="Book Antiqua"/>
          <w:b/>
          <w:color w:val="000000" w:themeColor="text1"/>
        </w:rPr>
      </w:pPr>
      <w:r w:rsidRPr="0013210E">
        <w:rPr>
          <w:rFonts w:ascii="Book Antiqua" w:hAnsi="Book Antiqua"/>
          <w:b/>
          <w:bCs/>
          <w:color w:val="000000"/>
          <w:sz w:val="20"/>
          <w:szCs w:val="20"/>
        </w:rPr>
        <w:t>Fuente:</w:t>
      </w:r>
      <w:r w:rsidRPr="00DE41EA">
        <w:rPr>
          <w:rFonts w:ascii="Book Antiqua" w:hAnsi="Book Antiqua"/>
          <w:color w:val="000000"/>
          <w:sz w:val="20"/>
          <w:szCs w:val="20"/>
        </w:rPr>
        <w:t xml:space="preserve"> </w:t>
      </w:r>
      <w:r w:rsidRPr="002754DF">
        <w:rPr>
          <w:rFonts w:ascii="Book Antiqua" w:hAnsi="Book Antiqua"/>
          <w:color w:val="000000" w:themeColor="text1"/>
          <w:sz w:val="20"/>
          <w:szCs w:val="20"/>
        </w:rPr>
        <w:t>Elaboración propia a partir de datos suministrados por despachos según circular 61-2020</w:t>
      </w:r>
    </w:p>
    <w:p w14:paraId="59B80343" w14:textId="7FB2219C" w:rsidR="00382689" w:rsidRDefault="00382689" w:rsidP="00985591">
      <w:pPr>
        <w:spacing w:line="276" w:lineRule="auto"/>
        <w:jc w:val="both"/>
        <w:rPr>
          <w:rFonts w:ascii="Book Antiqua" w:hAnsi="Book Antiqua"/>
          <w:b/>
          <w:color w:val="000000" w:themeColor="text1"/>
        </w:rPr>
      </w:pPr>
    </w:p>
    <w:p w14:paraId="5C104C3B" w14:textId="77777777" w:rsidR="000F1F89" w:rsidRPr="0048228F" w:rsidRDefault="000F1F89" w:rsidP="00985591">
      <w:pPr>
        <w:spacing w:line="276" w:lineRule="auto"/>
        <w:ind w:right="-1"/>
        <w:jc w:val="both"/>
        <w:rPr>
          <w:rFonts w:ascii="Book Antiqua" w:hAnsi="Book Antiqua"/>
          <w:color w:val="000000"/>
        </w:rPr>
      </w:pPr>
      <w:r>
        <w:rPr>
          <w:rFonts w:ascii="Book Antiqua" w:hAnsi="Book Antiqua" w:cs="Arial"/>
        </w:rPr>
        <w:t xml:space="preserve">De manera general los Tribunales de Apelación de Sentencia alcanzaron un porcentaje de cumplimiento del 93%. </w:t>
      </w:r>
      <w:r w:rsidRPr="0048228F">
        <w:rPr>
          <w:rFonts w:ascii="Book Antiqua" w:hAnsi="Book Antiqua"/>
          <w:color w:val="000000"/>
        </w:rPr>
        <w:t>Importante señalar que</w:t>
      </w:r>
      <w:r>
        <w:rPr>
          <w:rFonts w:ascii="Book Antiqua" w:hAnsi="Book Antiqua"/>
          <w:color w:val="000000"/>
        </w:rPr>
        <w:t xml:space="preserve">, </w:t>
      </w:r>
      <w:r w:rsidRPr="0048228F">
        <w:rPr>
          <w:rFonts w:ascii="Book Antiqua" w:hAnsi="Book Antiqua"/>
          <w:color w:val="000000"/>
        </w:rPr>
        <w:t xml:space="preserve">únicamente el Tribunal de Apelación de la Sentencia Penal de </w:t>
      </w:r>
      <w:r>
        <w:rPr>
          <w:rFonts w:ascii="Book Antiqua" w:hAnsi="Book Antiqua"/>
          <w:color w:val="000000"/>
        </w:rPr>
        <w:t>Cartago</w:t>
      </w:r>
      <w:r w:rsidRPr="0048228F">
        <w:rPr>
          <w:rFonts w:ascii="Book Antiqua" w:hAnsi="Book Antiqua"/>
          <w:color w:val="000000"/>
        </w:rPr>
        <w:t xml:space="preserve">, alcanzó un porcentaje menor del </w:t>
      </w:r>
      <w:r>
        <w:rPr>
          <w:rFonts w:ascii="Book Antiqua" w:hAnsi="Book Antiqua"/>
          <w:color w:val="000000"/>
        </w:rPr>
        <w:t>80</w:t>
      </w:r>
      <w:r w:rsidRPr="0048228F">
        <w:rPr>
          <w:rFonts w:ascii="Book Antiqua" w:hAnsi="Book Antiqua"/>
          <w:color w:val="000000"/>
        </w:rPr>
        <w:t xml:space="preserve">%.  Por otro lado, el Tribunal de Apelación de la Sentencia Penal de </w:t>
      </w:r>
      <w:r>
        <w:rPr>
          <w:rFonts w:ascii="Book Antiqua" w:hAnsi="Book Antiqua"/>
          <w:color w:val="000000"/>
        </w:rPr>
        <w:t>Goicoechea</w:t>
      </w:r>
      <w:r w:rsidRPr="0048228F">
        <w:rPr>
          <w:rFonts w:ascii="Book Antiqua" w:hAnsi="Book Antiqua"/>
          <w:color w:val="000000"/>
        </w:rPr>
        <w:t xml:space="preserve">, </w:t>
      </w:r>
      <w:r>
        <w:rPr>
          <w:rFonts w:ascii="Book Antiqua" w:hAnsi="Book Antiqua"/>
          <w:color w:val="000000"/>
        </w:rPr>
        <w:t>alcanzó un rendimiento del 100%</w:t>
      </w:r>
      <w:r w:rsidRPr="0048228F">
        <w:rPr>
          <w:rFonts w:ascii="Book Antiqua" w:hAnsi="Book Antiqua"/>
          <w:color w:val="000000"/>
        </w:rPr>
        <w:t xml:space="preserve">. </w:t>
      </w:r>
    </w:p>
    <w:p w14:paraId="6FC05627" w14:textId="5C6C0CD3" w:rsidR="005018A0" w:rsidRDefault="005018A0" w:rsidP="00985591">
      <w:pPr>
        <w:spacing w:line="276" w:lineRule="auto"/>
        <w:jc w:val="both"/>
        <w:rPr>
          <w:rFonts w:ascii="Book Antiqua" w:hAnsi="Book Antiqua"/>
          <w:b/>
          <w:color w:val="000000" w:themeColor="text1"/>
        </w:rPr>
      </w:pPr>
    </w:p>
    <w:p w14:paraId="5C78A389" w14:textId="77777777" w:rsidR="000F1F89" w:rsidRPr="004F0E92" w:rsidRDefault="000F1F89" w:rsidP="00985591">
      <w:pPr>
        <w:spacing w:line="276" w:lineRule="auto"/>
        <w:jc w:val="both"/>
        <w:rPr>
          <w:rFonts w:ascii="Book Antiqua" w:hAnsi="Book Antiqua"/>
          <w:b/>
          <w:color w:val="000000" w:themeColor="text1"/>
        </w:rPr>
      </w:pPr>
    </w:p>
    <w:p w14:paraId="03620693" w14:textId="3EB72F5C" w:rsidR="00382689" w:rsidRPr="003D2439" w:rsidRDefault="67DC9946" w:rsidP="57A79FF7">
      <w:pPr>
        <w:spacing w:after="160" w:line="276" w:lineRule="auto"/>
        <w:contextualSpacing/>
        <w:outlineLvl w:val="1"/>
        <w:rPr>
          <w:b/>
          <w:color w:val="000000" w:themeColor="text1"/>
        </w:rPr>
      </w:pPr>
      <w:r w:rsidRPr="57A79FF7">
        <w:rPr>
          <w:rFonts w:ascii="Book Antiqua" w:hAnsi="Book Antiqua"/>
          <w:b/>
          <w:bCs/>
          <w:color w:val="000000" w:themeColor="text1"/>
        </w:rPr>
        <w:t xml:space="preserve">5.2.6 </w:t>
      </w:r>
      <w:r w:rsidR="00382689" w:rsidRPr="003D2439">
        <w:rPr>
          <w:rFonts w:ascii="Book Antiqua" w:hAnsi="Book Antiqua"/>
          <w:b/>
          <w:color w:val="000000" w:themeColor="text1"/>
        </w:rPr>
        <w:t>Sala Tercera</w:t>
      </w:r>
    </w:p>
    <w:p w14:paraId="62A2E8BA" w14:textId="34263636" w:rsidR="00BF7F5F" w:rsidRDefault="00382689" w:rsidP="00985591">
      <w:pPr>
        <w:spacing w:line="276" w:lineRule="auto"/>
        <w:jc w:val="both"/>
        <w:rPr>
          <w:rFonts w:ascii="Book Antiqua" w:hAnsi="Book Antiqua"/>
          <w:color w:val="000000" w:themeColor="text1"/>
        </w:rPr>
      </w:pPr>
      <w:r w:rsidRPr="003D2439">
        <w:rPr>
          <w:rFonts w:ascii="Book Antiqua" w:hAnsi="Book Antiqua"/>
          <w:color w:val="000000" w:themeColor="text1"/>
        </w:rPr>
        <w:t xml:space="preserve">En el caso de la Sala Tercera el promedio de producción general es de un </w:t>
      </w:r>
      <w:r w:rsidR="003D2439" w:rsidRPr="003D2439">
        <w:rPr>
          <w:rFonts w:ascii="Book Antiqua" w:hAnsi="Book Antiqua"/>
          <w:color w:val="000000" w:themeColor="text1"/>
        </w:rPr>
        <w:t>92</w:t>
      </w:r>
      <w:r w:rsidRPr="003D2439">
        <w:rPr>
          <w:rFonts w:ascii="Book Antiqua" w:hAnsi="Book Antiqua"/>
          <w:color w:val="000000" w:themeColor="text1"/>
        </w:rPr>
        <w:t xml:space="preserve">%, lo que muestra </w:t>
      </w:r>
      <w:r w:rsidR="00364171">
        <w:rPr>
          <w:rFonts w:ascii="Book Antiqua" w:hAnsi="Book Antiqua"/>
          <w:color w:val="000000" w:themeColor="text1"/>
        </w:rPr>
        <w:t xml:space="preserve">una </w:t>
      </w:r>
      <w:r w:rsidR="003D2439" w:rsidRPr="003D2439">
        <w:rPr>
          <w:rFonts w:ascii="Book Antiqua" w:hAnsi="Book Antiqua"/>
          <w:color w:val="000000" w:themeColor="text1"/>
        </w:rPr>
        <w:t>leve disminución</w:t>
      </w:r>
      <w:r w:rsidRPr="003D2439">
        <w:rPr>
          <w:rFonts w:ascii="Book Antiqua" w:hAnsi="Book Antiqua"/>
          <w:color w:val="000000" w:themeColor="text1"/>
        </w:rPr>
        <w:t xml:space="preserve"> con respecto a </w:t>
      </w:r>
      <w:r w:rsidR="003D2439" w:rsidRPr="003D2439">
        <w:rPr>
          <w:rFonts w:ascii="Book Antiqua" w:hAnsi="Book Antiqua"/>
          <w:color w:val="000000" w:themeColor="text1"/>
        </w:rPr>
        <w:t>mayo</w:t>
      </w:r>
      <w:r w:rsidRPr="003D2439">
        <w:rPr>
          <w:rFonts w:ascii="Book Antiqua" w:hAnsi="Book Antiqua"/>
          <w:color w:val="000000" w:themeColor="text1"/>
        </w:rPr>
        <w:t xml:space="preserve"> de un </w:t>
      </w:r>
      <w:r w:rsidR="003D2439" w:rsidRPr="003D2439">
        <w:rPr>
          <w:rFonts w:ascii="Book Antiqua" w:hAnsi="Book Antiqua"/>
          <w:color w:val="000000" w:themeColor="text1"/>
        </w:rPr>
        <w:t>3</w:t>
      </w:r>
      <w:r w:rsidRPr="003D2439">
        <w:rPr>
          <w:rFonts w:ascii="Book Antiqua" w:hAnsi="Book Antiqua"/>
          <w:color w:val="000000" w:themeColor="text1"/>
        </w:rPr>
        <w:t xml:space="preserve">%, en el cual se había alcanzado un porcentaje de </w:t>
      </w:r>
      <w:r w:rsidR="003D2439" w:rsidRPr="003D2439">
        <w:rPr>
          <w:rFonts w:ascii="Book Antiqua" w:hAnsi="Book Antiqua"/>
          <w:color w:val="000000" w:themeColor="text1"/>
        </w:rPr>
        <w:t>95</w:t>
      </w:r>
      <w:r w:rsidRPr="003D2439">
        <w:rPr>
          <w:rFonts w:ascii="Book Antiqua" w:hAnsi="Book Antiqua"/>
          <w:color w:val="000000" w:themeColor="text1"/>
        </w:rPr>
        <w:t>% de acuerdo con el parámetro de producción teórico. El detalle en el siguiente cuadro:</w:t>
      </w:r>
    </w:p>
    <w:p w14:paraId="38FA91C8" w14:textId="77777777" w:rsidR="00BF7F5F" w:rsidRDefault="00BF7F5F">
      <w:pPr>
        <w:rPr>
          <w:rFonts w:ascii="Book Antiqua" w:hAnsi="Book Antiqua"/>
          <w:color w:val="000000" w:themeColor="text1"/>
        </w:rPr>
      </w:pPr>
      <w:r>
        <w:rPr>
          <w:rFonts w:ascii="Book Antiqua" w:hAnsi="Book Antiqua"/>
          <w:color w:val="000000" w:themeColor="text1"/>
        </w:rPr>
        <w:br w:type="page"/>
      </w:r>
    </w:p>
    <w:p w14:paraId="21722C9D" w14:textId="77777777" w:rsidR="00382689" w:rsidRPr="00EC505D" w:rsidRDefault="00382689" w:rsidP="00985591">
      <w:pPr>
        <w:spacing w:line="276" w:lineRule="auto"/>
        <w:jc w:val="both"/>
        <w:rPr>
          <w:rFonts w:ascii="Book Antiqua" w:hAnsi="Book Antiqua"/>
          <w:color w:val="000000" w:themeColor="text1"/>
        </w:rPr>
      </w:pPr>
    </w:p>
    <w:p w14:paraId="1EC711AC" w14:textId="77777777" w:rsidR="00382689" w:rsidRPr="00EC505D" w:rsidRDefault="00382689" w:rsidP="00985591">
      <w:pPr>
        <w:spacing w:line="276" w:lineRule="auto"/>
        <w:jc w:val="both"/>
        <w:rPr>
          <w:rFonts w:ascii="Book Antiqua" w:hAnsi="Book Antiqua"/>
          <w:color w:val="000000" w:themeColor="text1"/>
        </w:rPr>
      </w:pPr>
    </w:p>
    <w:p w14:paraId="55FDAEC0" w14:textId="60F94480" w:rsidR="00382689" w:rsidRPr="00EC505D" w:rsidRDefault="00382689" w:rsidP="00985591">
      <w:pPr>
        <w:spacing w:line="276" w:lineRule="auto"/>
        <w:jc w:val="center"/>
        <w:rPr>
          <w:rFonts w:ascii="Book Antiqua" w:hAnsi="Book Antiqua"/>
          <w:b/>
          <w:color w:val="000000" w:themeColor="text1"/>
        </w:rPr>
      </w:pPr>
      <w:r w:rsidRPr="00EC505D">
        <w:rPr>
          <w:rFonts w:ascii="Book Antiqua" w:hAnsi="Book Antiqua"/>
          <w:b/>
          <w:color w:val="000000" w:themeColor="text1"/>
        </w:rPr>
        <w:t xml:space="preserve">Cuadro </w:t>
      </w:r>
      <w:r w:rsidR="00364171">
        <w:rPr>
          <w:rFonts w:ascii="Book Antiqua" w:hAnsi="Book Antiqua"/>
          <w:b/>
          <w:color w:val="000000" w:themeColor="text1"/>
        </w:rPr>
        <w:t>5</w:t>
      </w:r>
      <w:r w:rsidR="000C1D00">
        <w:rPr>
          <w:rFonts w:ascii="Book Antiqua" w:hAnsi="Book Antiqua"/>
          <w:b/>
          <w:color w:val="000000" w:themeColor="text1"/>
        </w:rPr>
        <w:t>0</w:t>
      </w:r>
    </w:p>
    <w:p w14:paraId="0025EF98" w14:textId="77777777" w:rsidR="00382689" w:rsidRPr="00FB0F46" w:rsidRDefault="00382689" w:rsidP="00985591">
      <w:pPr>
        <w:spacing w:line="276" w:lineRule="auto"/>
        <w:jc w:val="center"/>
        <w:rPr>
          <w:rFonts w:ascii="Book Antiqua" w:hAnsi="Book Antiqua"/>
          <w:bCs/>
          <w:color w:val="000000" w:themeColor="text1"/>
        </w:rPr>
      </w:pPr>
      <w:r w:rsidRPr="00FB0F46">
        <w:rPr>
          <w:rFonts w:ascii="Book Antiqua" w:hAnsi="Book Antiqua"/>
          <w:bCs/>
          <w:color w:val="000000" w:themeColor="text1"/>
        </w:rPr>
        <w:t xml:space="preserve">Cumplimiento del parámetro de producción </w:t>
      </w:r>
    </w:p>
    <w:p w14:paraId="6BA32BB2" w14:textId="55C5D178" w:rsidR="000F1F89" w:rsidRPr="00FB0F46" w:rsidRDefault="00382689" w:rsidP="000C1D00">
      <w:pPr>
        <w:spacing w:line="276" w:lineRule="auto"/>
        <w:jc w:val="center"/>
        <w:rPr>
          <w:rFonts w:ascii="Book Antiqua" w:hAnsi="Book Antiqua"/>
          <w:bCs/>
          <w:color w:val="000000" w:themeColor="text1"/>
        </w:rPr>
      </w:pPr>
      <w:r w:rsidRPr="00FB0F46">
        <w:rPr>
          <w:rFonts w:ascii="Book Antiqua" w:hAnsi="Book Antiqua"/>
          <w:bCs/>
          <w:color w:val="000000" w:themeColor="text1"/>
        </w:rPr>
        <w:t>teórico de la Sala Tercera durante junio 2021</w:t>
      </w:r>
    </w:p>
    <w:tbl>
      <w:tblPr>
        <w:tblW w:w="7374" w:type="dxa"/>
        <w:jc w:val="center"/>
        <w:tblCellMar>
          <w:left w:w="70" w:type="dxa"/>
          <w:right w:w="70" w:type="dxa"/>
        </w:tblCellMar>
        <w:tblLook w:val="04A0" w:firstRow="1" w:lastRow="0" w:firstColumn="1" w:lastColumn="0" w:noHBand="0" w:noVBand="1"/>
      </w:tblPr>
      <w:tblGrid>
        <w:gridCol w:w="5099"/>
        <w:gridCol w:w="2275"/>
      </w:tblGrid>
      <w:tr w:rsidR="00382689" w:rsidRPr="00345752" w14:paraId="2FAEC95B" w14:textId="77777777" w:rsidTr="00382689">
        <w:trPr>
          <w:trHeight w:val="830"/>
          <w:jc w:val="center"/>
        </w:trPr>
        <w:tc>
          <w:tcPr>
            <w:tcW w:w="5099" w:type="dxa"/>
            <w:tcBorders>
              <w:top w:val="single" w:sz="4" w:space="0" w:color="808080"/>
              <w:left w:val="single" w:sz="4" w:space="0" w:color="808080"/>
              <w:bottom w:val="single" w:sz="4" w:space="0" w:color="808080"/>
              <w:right w:val="single" w:sz="4" w:space="0" w:color="808080"/>
            </w:tcBorders>
            <w:shd w:val="clear" w:color="000000" w:fill="305496"/>
            <w:noWrap/>
            <w:vAlign w:val="center"/>
            <w:hideMark/>
          </w:tcPr>
          <w:p w14:paraId="2E01D620" w14:textId="77777777" w:rsidR="00382689" w:rsidRPr="00345752" w:rsidRDefault="00382689" w:rsidP="00985591">
            <w:pPr>
              <w:spacing w:line="276" w:lineRule="auto"/>
              <w:jc w:val="center"/>
              <w:rPr>
                <w:rFonts w:ascii="Book Antiqua" w:hAnsi="Book Antiqua" w:cs="Calibri"/>
                <w:b/>
                <w:bCs/>
                <w:color w:val="FFFFFF"/>
                <w:sz w:val="16"/>
                <w:szCs w:val="16"/>
                <w:lang w:eastAsia="es-CR"/>
              </w:rPr>
            </w:pPr>
            <w:r w:rsidRPr="00345752">
              <w:rPr>
                <w:rFonts w:ascii="Book Antiqua" w:hAnsi="Book Antiqua" w:cs="Calibri"/>
                <w:b/>
                <w:bCs/>
                <w:color w:val="FFFFFF"/>
                <w:sz w:val="16"/>
                <w:szCs w:val="16"/>
                <w:lang w:eastAsia="es-CR"/>
              </w:rPr>
              <w:t>Oficina</w:t>
            </w:r>
          </w:p>
        </w:tc>
        <w:tc>
          <w:tcPr>
            <w:tcW w:w="2275" w:type="dxa"/>
            <w:tcBorders>
              <w:top w:val="single" w:sz="4" w:space="0" w:color="808080"/>
              <w:left w:val="nil"/>
              <w:bottom w:val="single" w:sz="4" w:space="0" w:color="808080"/>
              <w:right w:val="single" w:sz="4" w:space="0" w:color="808080"/>
            </w:tcBorders>
            <w:shd w:val="clear" w:color="000000" w:fill="305496"/>
            <w:vAlign w:val="center"/>
            <w:hideMark/>
          </w:tcPr>
          <w:p w14:paraId="17804A4A" w14:textId="77777777" w:rsidR="00382689" w:rsidRPr="00345752" w:rsidRDefault="00382689" w:rsidP="00985591">
            <w:pPr>
              <w:spacing w:line="276" w:lineRule="auto"/>
              <w:jc w:val="center"/>
              <w:rPr>
                <w:rFonts w:ascii="Book Antiqua" w:hAnsi="Book Antiqua" w:cs="Calibri"/>
                <w:b/>
                <w:bCs/>
                <w:color w:val="FFFFFF"/>
                <w:sz w:val="16"/>
                <w:szCs w:val="16"/>
                <w:lang w:eastAsia="es-CR"/>
              </w:rPr>
            </w:pPr>
            <w:r w:rsidRPr="00345752">
              <w:rPr>
                <w:rFonts w:ascii="Book Antiqua" w:hAnsi="Book Antiqua" w:cs="Calibri"/>
                <w:b/>
                <w:bCs/>
                <w:color w:val="FFFFFF"/>
                <w:sz w:val="16"/>
                <w:szCs w:val="16"/>
                <w:lang w:eastAsia="es-CR"/>
              </w:rPr>
              <w:t xml:space="preserve">Porcentaje cumplimiento cuota teórica auto sentencias </w:t>
            </w:r>
          </w:p>
        </w:tc>
      </w:tr>
      <w:tr w:rsidR="00382689" w:rsidRPr="00345752" w14:paraId="176FB7DF" w14:textId="77777777" w:rsidTr="00382689">
        <w:trPr>
          <w:trHeight w:val="231"/>
          <w:jc w:val="center"/>
        </w:trPr>
        <w:tc>
          <w:tcPr>
            <w:tcW w:w="5099" w:type="dxa"/>
            <w:tcBorders>
              <w:top w:val="nil"/>
              <w:left w:val="single" w:sz="4" w:space="0" w:color="808080"/>
              <w:bottom w:val="single" w:sz="4" w:space="0" w:color="808080"/>
              <w:right w:val="single" w:sz="4" w:space="0" w:color="808080"/>
            </w:tcBorders>
            <w:shd w:val="clear" w:color="auto" w:fill="auto"/>
            <w:noWrap/>
            <w:vAlign w:val="center"/>
            <w:hideMark/>
          </w:tcPr>
          <w:p w14:paraId="5F6F850B" w14:textId="77777777" w:rsidR="00382689" w:rsidRPr="00345752" w:rsidRDefault="00382689"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Sala Tercera</w:t>
            </w:r>
          </w:p>
        </w:tc>
        <w:tc>
          <w:tcPr>
            <w:tcW w:w="2275" w:type="dxa"/>
            <w:tcBorders>
              <w:top w:val="nil"/>
              <w:left w:val="nil"/>
              <w:bottom w:val="single" w:sz="4" w:space="0" w:color="808080"/>
              <w:right w:val="single" w:sz="4" w:space="0" w:color="808080"/>
            </w:tcBorders>
            <w:shd w:val="clear" w:color="auto" w:fill="auto"/>
            <w:noWrap/>
            <w:vAlign w:val="center"/>
            <w:hideMark/>
          </w:tcPr>
          <w:p w14:paraId="544FE0CB" w14:textId="77777777" w:rsidR="00382689" w:rsidRPr="00345752" w:rsidRDefault="00382689"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92%</w:t>
            </w:r>
          </w:p>
        </w:tc>
      </w:tr>
    </w:tbl>
    <w:p w14:paraId="60BD462F" w14:textId="2D61EF27" w:rsidR="00222669" w:rsidRPr="00FB0F46" w:rsidRDefault="00382689" w:rsidP="00985591">
      <w:pPr>
        <w:spacing w:line="276" w:lineRule="auto"/>
        <w:jc w:val="center"/>
        <w:rPr>
          <w:rFonts w:ascii="Book Antiqua" w:hAnsi="Book Antiqua"/>
          <w:color w:val="000000" w:themeColor="text1"/>
          <w:sz w:val="20"/>
          <w:szCs w:val="20"/>
        </w:rPr>
      </w:pPr>
      <w:r w:rsidRPr="0013210E">
        <w:rPr>
          <w:rFonts w:ascii="Book Antiqua" w:hAnsi="Book Antiqua"/>
          <w:b/>
          <w:bCs/>
          <w:color w:val="000000"/>
          <w:sz w:val="20"/>
          <w:szCs w:val="20"/>
        </w:rPr>
        <w:t>Fuente:</w:t>
      </w:r>
      <w:r w:rsidRPr="00DE41EA">
        <w:rPr>
          <w:rFonts w:ascii="Book Antiqua" w:hAnsi="Book Antiqua"/>
          <w:color w:val="000000"/>
          <w:sz w:val="20"/>
          <w:szCs w:val="20"/>
        </w:rPr>
        <w:t xml:space="preserve"> </w:t>
      </w:r>
      <w:r w:rsidRPr="002754DF">
        <w:rPr>
          <w:rFonts w:ascii="Book Antiqua" w:hAnsi="Book Antiqua"/>
          <w:color w:val="000000" w:themeColor="text1"/>
          <w:sz w:val="20"/>
          <w:szCs w:val="20"/>
        </w:rPr>
        <w:t>Elaboración propia a partir de datos suministrados por despachos según circular 61-2020</w:t>
      </w:r>
    </w:p>
    <w:p w14:paraId="1B99D6F8" w14:textId="77777777" w:rsidR="00C124CE" w:rsidRPr="004F0E92" w:rsidRDefault="00C124CE" w:rsidP="00985591">
      <w:pPr>
        <w:spacing w:line="276" w:lineRule="auto"/>
        <w:rPr>
          <w:rFonts w:ascii="Book Antiqua" w:hAnsi="Book Antiqua"/>
          <w:b/>
          <w:color w:val="000000" w:themeColor="text1"/>
        </w:rPr>
      </w:pPr>
    </w:p>
    <w:p w14:paraId="6018D181" w14:textId="54B7E905" w:rsidR="00776798" w:rsidRPr="00D01E40" w:rsidRDefault="6E2CAB06" w:rsidP="57A79FF7">
      <w:pPr>
        <w:tabs>
          <w:tab w:val="left" w:pos="284"/>
        </w:tabs>
        <w:spacing w:line="276" w:lineRule="auto"/>
        <w:rPr>
          <w:b/>
          <w:color w:val="000000" w:themeColor="text1"/>
        </w:rPr>
      </w:pPr>
      <w:r w:rsidRPr="57A79FF7">
        <w:rPr>
          <w:rFonts w:ascii="Book Antiqua" w:hAnsi="Book Antiqua"/>
          <w:b/>
          <w:bCs/>
          <w:color w:val="000000" w:themeColor="text1"/>
        </w:rPr>
        <w:t xml:space="preserve">5.3 </w:t>
      </w:r>
      <w:r w:rsidR="00776798" w:rsidRPr="00D01E40">
        <w:rPr>
          <w:rFonts w:ascii="Book Antiqua" w:hAnsi="Book Antiqua"/>
          <w:b/>
          <w:color w:val="000000" w:themeColor="text1"/>
        </w:rPr>
        <w:t>Simulación de parámetros de producción</w:t>
      </w:r>
    </w:p>
    <w:p w14:paraId="332A2645" w14:textId="77777777" w:rsidR="00776798" w:rsidRPr="00382689" w:rsidRDefault="00776798" w:rsidP="00985591">
      <w:pPr>
        <w:spacing w:line="276" w:lineRule="auto"/>
        <w:rPr>
          <w:rFonts w:ascii="Book Antiqua" w:hAnsi="Book Antiqua"/>
          <w:b/>
          <w:color w:val="000000" w:themeColor="text1"/>
          <w:highlight w:val="yellow"/>
        </w:rPr>
      </w:pPr>
    </w:p>
    <w:p w14:paraId="124DCB47" w14:textId="77777777" w:rsidR="0044602C" w:rsidRPr="0044602C" w:rsidRDefault="0044602C" w:rsidP="00985591">
      <w:pPr>
        <w:spacing w:line="276" w:lineRule="auto"/>
        <w:jc w:val="both"/>
        <w:rPr>
          <w:rFonts w:ascii="Book Antiqua" w:hAnsi="Book Antiqua"/>
          <w:bCs/>
          <w:color w:val="000000" w:themeColor="text1"/>
        </w:rPr>
      </w:pPr>
      <w:r w:rsidRPr="0044602C">
        <w:rPr>
          <w:rFonts w:ascii="Book Antiqua" w:hAnsi="Book Antiqua"/>
          <w:bCs/>
          <w:color w:val="000000" w:themeColor="text1"/>
        </w:rPr>
        <w:t xml:space="preserve">Realizando una simulación de la producción de las diferentes oficinas de materia penal contra su parámetro teórico, se visualiza que los Tribunales de Juicio, Juzgados de Ejecución, sobrepasan en más de un 100% el parámetro, en tanto, que los Tribunales de Apelación, la Sala Tercera y Juzgados Penales superan el 80%, valor mínimo esperado.  De acuerdo con este resultado se destaca el alto compromiso del personal de las oficinas para atender sus labores, aún con el impacto sobre las oficinas de las medidas que sanitarias que se han tomado.  </w:t>
      </w:r>
    </w:p>
    <w:p w14:paraId="4D7C13CC" w14:textId="77777777" w:rsidR="0044602C" w:rsidRPr="0044602C" w:rsidRDefault="0044602C" w:rsidP="00985591">
      <w:pPr>
        <w:spacing w:line="276" w:lineRule="auto"/>
        <w:jc w:val="both"/>
        <w:rPr>
          <w:rFonts w:ascii="Book Antiqua" w:hAnsi="Book Antiqua"/>
          <w:bCs/>
          <w:color w:val="000000" w:themeColor="text1"/>
        </w:rPr>
      </w:pPr>
    </w:p>
    <w:p w14:paraId="2C104B02" w14:textId="77777777" w:rsidR="0044602C" w:rsidRPr="0044602C" w:rsidRDefault="0044602C" w:rsidP="00985591">
      <w:pPr>
        <w:spacing w:line="276" w:lineRule="auto"/>
        <w:jc w:val="both"/>
        <w:rPr>
          <w:rFonts w:ascii="Book Antiqua" w:hAnsi="Book Antiqua"/>
          <w:bCs/>
          <w:color w:val="000000" w:themeColor="text1"/>
        </w:rPr>
      </w:pPr>
      <w:r w:rsidRPr="0044602C">
        <w:rPr>
          <w:rFonts w:ascii="Book Antiqua" w:hAnsi="Book Antiqua"/>
          <w:bCs/>
          <w:color w:val="000000" w:themeColor="text1"/>
        </w:rPr>
        <w:t>En el caso de Flagrancia hay que destacar que se parte de la entrada de asuntos en cada zona y que, como medida también han brindado colaboración con la carga de trabajo de los Tribunales Ordinarios con el fin de descongestionarlos.</w:t>
      </w:r>
    </w:p>
    <w:p w14:paraId="081A53A9" w14:textId="77777777" w:rsidR="0044602C" w:rsidRPr="0044602C" w:rsidRDefault="0044602C" w:rsidP="00985591">
      <w:pPr>
        <w:spacing w:line="276" w:lineRule="auto"/>
        <w:jc w:val="both"/>
        <w:rPr>
          <w:rFonts w:ascii="Book Antiqua" w:hAnsi="Book Antiqua"/>
          <w:bCs/>
          <w:color w:val="000000" w:themeColor="text1"/>
        </w:rPr>
      </w:pPr>
    </w:p>
    <w:p w14:paraId="75083C41" w14:textId="77777777" w:rsidR="0044602C" w:rsidRPr="0044602C" w:rsidRDefault="0044602C" w:rsidP="00985591">
      <w:pPr>
        <w:spacing w:line="276" w:lineRule="auto"/>
        <w:jc w:val="both"/>
        <w:rPr>
          <w:rFonts w:ascii="Book Antiqua" w:hAnsi="Book Antiqua"/>
          <w:bCs/>
          <w:color w:val="000000" w:themeColor="text1"/>
        </w:rPr>
      </w:pPr>
      <w:r w:rsidRPr="0044602C">
        <w:rPr>
          <w:rFonts w:ascii="Book Antiqua" w:hAnsi="Book Antiqua"/>
          <w:bCs/>
          <w:color w:val="000000" w:themeColor="text1"/>
        </w:rPr>
        <w:t xml:space="preserve">Es necesario aclarar, que también se debe considerar en este período, las medidas que hay que tener en el uso de las celdas, con el fin de mantener el aforo mínimo, que impactan de forma negativa en la realización de juicios en las diferentes zonas. Siendo necesario potenciar en los casos que sea posible el empleo de los juicios y audiencias virtuales. </w:t>
      </w:r>
    </w:p>
    <w:p w14:paraId="57FC7CDA" w14:textId="77777777" w:rsidR="0044602C" w:rsidRPr="0044602C" w:rsidRDefault="0044602C" w:rsidP="00985591">
      <w:pPr>
        <w:spacing w:line="276" w:lineRule="auto"/>
        <w:jc w:val="both"/>
        <w:rPr>
          <w:rFonts w:ascii="Book Antiqua" w:hAnsi="Book Antiqua"/>
          <w:bCs/>
          <w:color w:val="000000" w:themeColor="text1"/>
        </w:rPr>
      </w:pPr>
    </w:p>
    <w:p w14:paraId="0C4E9F20" w14:textId="77777777" w:rsidR="0044602C" w:rsidRPr="0044602C" w:rsidRDefault="0044602C" w:rsidP="00985591">
      <w:pPr>
        <w:spacing w:line="276" w:lineRule="auto"/>
        <w:jc w:val="both"/>
        <w:rPr>
          <w:rFonts w:ascii="Book Antiqua" w:hAnsi="Book Antiqua"/>
          <w:bCs/>
          <w:color w:val="000000" w:themeColor="text1"/>
        </w:rPr>
      </w:pPr>
      <w:r w:rsidRPr="0044602C">
        <w:rPr>
          <w:rFonts w:ascii="Book Antiqua" w:hAnsi="Book Antiqua"/>
          <w:bCs/>
          <w:color w:val="000000" w:themeColor="text1"/>
        </w:rPr>
        <w:t xml:space="preserve">De conformidad con lo expuesto anteriormente, se desglosa en los siguientes recuadros el porcentaje de cumplimiento del parámetro de producción teórico a nivel nacional por tipo de oficina y variable considerada según despacho. </w:t>
      </w:r>
    </w:p>
    <w:p w14:paraId="3F3B3FA1" w14:textId="77777777" w:rsidR="0044602C" w:rsidRPr="0044602C" w:rsidRDefault="0044602C" w:rsidP="00985591">
      <w:pPr>
        <w:spacing w:line="276" w:lineRule="auto"/>
        <w:jc w:val="both"/>
        <w:rPr>
          <w:rFonts w:ascii="Book Antiqua" w:hAnsi="Book Antiqua"/>
          <w:bCs/>
          <w:color w:val="000000" w:themeColor="text1"/>
        </w:rPr>
      </w:pPr>
    </w:p>
    <w:p w14:paraId="1C14D696" w14:textId="5B9B4D59" w:rsidR="00F90D96" w:rsidRDefault="0044602C" w:rsidP="00985591">
      <w:pPr>
        <w:spacing w:line="276" w:lineRule="auto"/>
        <w:jc w:val="both"/>
        <w:rPr>
          <w:rFonts w:ascii="Book Antiqua" w:hAnsi="Book Antiqua"/>
          <w:bCs/>
          <w:color w:val="000000" w:themeColor="text1"/>
        </w:rPr>
      </w:pPr>
      <w:r w:rsidRPr="0044602C">
        <w:rPr>
          <w:rFonts w:ascii="Book Antiqua" w:hAnsi="Book Antiqua"/>
          <w:bCs/>
          <w:color w:val="000000" w:themeColor="text1"/>
        </w:rPr>
        <w:t xml:space="preserve">En el </w:t>
      </w:r>
      <w:r w:rsidRPr="00D01E40">
        <w:rPr>
          <w:rFonts w:ascii="Book Antiqua" w:hAnsi="Book Antiqua"/>
          <w:b/>
          <w:color w:val="000000" w:themeColor="text1"/>
        </w:rPr>
        <w:t xml:space="preserve">cuadro </w:t>
      </w:r>
      <w:r w:rsidR="00D01E40">
        <w:rPr>
          <w:rFonts w:ascii="Book Antiqua" w:hAnsi="Book Antiqua"/>
          <w:b/>
          <w:color w:val="000000" w:themeColor="text1"/>
        </w:rPr>
        <w:t>5</w:t>
      </w:r>
      <w:r w:rsidR="000C1D00">
        <w:rPr>
          <w:rFonts w:ascii="Book Antiqua" w:hAnsi="Book Antiqua"/>
          <w:b/>
          <w:color w:val="000000" w:themeColor="text1"/>
        </w:rPr>
        <w:t>1</w:t>
      </w:r>
      <w:r w:rsidRPr="0044602C">
        <w:rPr>
          <w:rFonts w:ascii="Book Antiqua" w:hAnsi="Book Antiqua"/>
          <w:bCs/>
          <w:color w:val="000000" w:themeColor="text1"/>
        </w:rPr>
        <w:t xml:space="preserve"> se inserta el resultado </w:t>
      </w:r>
      <w:r w:rsidRPr="00B4215B">
        <w:rPr>
          <w:rFonts w:ascii="Book Antiqua" w:hAnsi="Book Antiqua"/>
          <w:b/>
          <w:color w:val="000000" w:themeColor="text1"/>
        </w:rPr>
        <w:t>de</w:t>
      </w:r>
      <w:r w:rsidRPr="0044602C">
        <w:rPr>
          <w:rFonts w:ascii="Book Antiqua" w:hAnsi="Book Antiqua"/>
          <w:bCs/>
          <w:color w:val="000000" w:themeColor="text1"/>
        </w:rPr>
        <w:t xml:space="preserve"> </w:t>
      </w:r>
      <w:r w:rsidRPr="00B4215B">
        <w:rPr>
          <w:rFonts w:ascii="Book Antiqua" w:hAnsi="Book Antiqua"/>
          <w:b/>
          <w:color w:val="000000" w:themeColor="text1"/>
        </w:rPr>
        <w:t>manera semanal</w:t>
      </w:r>
      <w:r w:rsidRPr="0044602C">
        <w:rPr>
          <w:rFonts w:ascii="Book Antiqua" w:hAnsi="Book Antiqua"/>
          <w:bCs/>
          <w:color w:val="000000" w:themeColor="text1"/>
        </w:rPr>
        <w:t>, a partir de los datos de mayo 2020 a abril 2021, suministrados por el personal de las oficinas mediante el informe de labores One drive (circular 61-20).</w:t>
      </w:r>
    </w:p>
    <w:p w14:paraId="67A6697B" w14:textId="77777777" w:rsidR="00B4215B" w:rsidRPr="004F0E92" w:rsidRDefault="00B4215B" w:rsidP="00985591">
      <w:pPr>
        <w:spacing w:line="276" w:lineRule="auto"/>
        <w:jc w:val="both"/>
        <w:rPr>
          <w:rFonts w:ascii="Book Antiqua" w:hAnsi="Book Antiqua"/>
          <w:bCs/>
          <w:color w:val="000000" w:themeColor="text1"/>
        </w:rPr>
      </w:pPr>
    </w:p>
    <w:p w14:paraId="046C83CA" w14:textId="611750C8" w:rsidR="00776798" w:rsidRPr="00B4215B" w:rsidRDefault="00776798" w:rsidP="00985591">
      <w:pPr>
        <w:spacing w:line="276" w:lineRule="auto"/>
        <w:jc w:val="center"/>
        <w:rPr>
          <w:rFonts w:ascii="Book Antiqua" w:hAnsi="Book Antiqua"/>
          <w:bCs/>
          <w:color w:val="000000" w:themeColor="text1"/>
        </w:rPr>
      </w:pPr>
      <w:r w:rsidRPr="00B4215B">
        <w:rPr>
          <w:rFonts w:ascii="Book Antiqua" w:hAnsi="Book Antiqua"/>
          <w:b/>
          <w:color w:val="000000" w:themeColor="text1"/>
        </w:rPr>
        <w:t xml:space="preserve">Cuadro </w:t>
      </w:r>
      <w:r w:rsidR="00B4215B" w:rsidRPr="00B4215B">
        <w:rPr>
          <w:rFonts w:ascii="Book Antiqua" w:hAnsi="Book Antiqua"/>
          <w:b/>
          <w:color w:val="000000" w:themeColor="text1"/>
        </w:rPr>
        <w:t>5</w:t>
      </w:r>
      <w:r w:rsidR="000C1D00">
        <w:rPr>
          <w:rFonts w:ascii="Book Antiqua" w:hAnsi="Book Antiqua"/>
          <w:b/>
          <w:color w:val="000000" w:themeColor="text1"/>
        </w:rPr>
        <w:t>1</w:t>
      </w:r>
    </w:p>
    <w:p w14:paraId="520892DB" w14:textId="77777777" w:rsidR="00776798" w:rsidRPr="00B4215B" w:rsidRDefault="00776798" w:rsidP="00985591">
      <w:pPr>
        <w:spacing w:line="276" w:lineRule="auto"/>
        <w:jc w:val="center"/>
        <w:rPr>
          <w:rFonts w:ascii="Book Antiqua" w:hAnsi="Book Antiqua"/>
          <w:bCs/>
          <w:color w:val="000000" w:themeColor="text1"/>
        </w:rPr>
      </w:pPr>
      <w:r w:rsidRPr="00B4215B">
        <w:rPr>
          <w:rFonts w:ascii="Book Antiqua" w:hAnsi="Book Antiqua"/>
          <w:bCs/>
          <w:color w:val="000000" w:themeColor="text1"/>
        </w:rPr>
        <w:t xml:space="preserve">Cumplimiento del parámetro de producción teórico de </w:t>
      </w:r>
    </w:p>
    <w:p w14:paraId="668BE53B" w14:textId="5682E93D" w:rsidR="009034C6" w:rsidRPr="00B4215B" w:rsidRDefault="00776798" w:rsidP="000C1D00">
      <w:pPr>
        <w:spacing w:line="276" w:lineRule="auto"/>
        <w:jc w:val="center"/>
        <w:rPr>
          <w:rFonts w:ascii="Book Antiqua" w:hAnsi="Book Antiqua"/>
          <w:bCs/>
          <w:color w:val="000000" w:themeColor="text1"/>
        </w:rPr>
      </w:pPr>
      <w:r w:rsidRPr="00B4215B">
        <w:rPr>
          <w:rFonts w:ascii="Book Antiqua" w:hAnsi="Book Antiqua"/>
          <w:bCs/>
          <w:color w:val="000000" w:themeColor="text1"/>
        </w:rPr>
        <w:t>oficinas de materia penal desde el inicio de la medición de circular 61-2020</w:t>
      </w:r>
    </w:p>
    <w:tbl>
      <w:tblPr>
        <w:tblW w:w="10580" w:type="dxa"/>
        <w:jc w:val="center"/>
        <w:tblCellMar>
          <w:left w:w="70" w:type="dxa"/>
          <w:right w:w="70" w:type="dxa"/>
        </w:tblCellMar>
        <w:tblLook w:val="04A0" w:firstRow="1" w:lastRow="0" w:firstColumn="1" w:lastColumn="0" w:noHBand="0" w:noVBand="1"/>
      </w:tblPr>
      <w:tblGrid>
        <w:gridCol w:w="1200"/>
        <w:gridCol w:w="1740"/>
        <w:gridCol w:w="1200"/>
        <w:gridCol w:w="1360"/>
        <w:gridCol w:w="1200"/>
        <w:gridCol w:w="1340"/>
        <w:gridCol w:w="1340"/>
        <w:gridCol w:w="1200"/>
      </w:tblGrid>
      <w:tr w:rsidR="009034C6" w:rsidRPr="00345752" w14:paraId="7061EB41" w14:textId="77777777" w:rsidTr="009034C6">
        <w:trPr>
          <w:trHeight w:val="520"/>
          <w:jc w:val="center"/>
        </w:trPr>
        <w:tc>
          <w:tcPr>
            <w:tcW w:w="1200" w:type="dxa"/>
            <w:vMerge w:val="restart"/>
            <w:tcBorders>
              <w:top w:val="single" w:sz="4" w:space="0" w:color="auto"/>
              <w:left w:val="single" w:sz="4" w:space="0" w:color="auto"/>
              <w:bottom w:val="single" w:sz="4" w:space="0" w:color="auto"/>
              <w:right w:val="single" w:sz="4" w:space="0" w:color="auto"/>
            </w:tcBorders>
            <w:shd w:val="clear" w:color="000000" w:fill="305496"/>
            <w:vAlign w:val="center"/>
            <w:hideMark/>
          </w:tcPr>
          <w:p w14:paraId="17331330" w14:textId="77777777" w:rsidR="009034C6" w:rsidRPr="00345752" w:rsidRDefault="009034C6" w:rsidP="00985591">
            <w:pPr>
              <w:spacing w:line="276" w:lineRule="auto"/>
              <w:jc w:val="center"/>
              <w:rPr>
                <w:rFonts w:ascii="Book Antiqua" w:hAnsi="Book Antiqua" w:cs="Calibri"/>
                <w:b/>
                <w:bCs/>
                <w:color w:val="FFFFFF"/>
                <w:sz w:val="16"/>
                <w:szCs w:val="16"/>
                <w:lang w:eastAsia="es-CR"/>
              </w:rPr>
            </w:pPr>
            <w:r w:rsidRPr="00345752">
              <w:rPr>
                <w:rFonts w:ascii="Book Antiqua" w:hAnsi="Book Antiqua" w:cs="Calibri"/>
                <w:b/>
                <w:bCs/>
                <w:color w:val="FFFFFF"/>
                <w:sz w:val="16"/>
                <w:szCs w:val="16"/>
                <w:lang w:eastAsia="es-CR"/>
              </w:rPr>
              <w:t xml:space="preserve">Semana </w:t>
            </w:r>
          </w:p>
        </w:tc>
        <w:tc>
          <w:tcPr>
            <w:tcW w:w="1740" w:type="dxa"/>
            <w:tcBorders>
              <w:top w:val="single" w:sz="4" w:space="0" w:color="auto"/>
              <w:left w:val="nil"/>
              <w:bottom w:val="single" w:sz="4" w:space="0" w:color="auto"/>
              <w:right w:val="single" w:sz="4" w:space="0" w:color="auto"/>
            </w:tcBorders>
            <w:shd w:val="clear" w:color="000000" w:fill="305496"/>
            <w:vAlign w:val="center"/>
            <w:hideMark/>
          </w:tcPr>
          <w:p w14:paraId="1D73D043" w14:textId="77777777" w:rsidR="009034C6" w:rsidRPr="00345752" w:rsidRDefault="009034C6" w:rsidP="00985591">
            <w:pPr>
              <w:spacing w:line="276" w:lineRule="auto"/>
              <w:jc w:val="center"/>
              <w:rPr>
                <w:rFonts w:ascii="Book Antiqua" w:hAnsi="Book Antiqua" w:cs="Calibri"/>
                <w:b/>
                <w:bCs/>
                <w:color w:val="FFFFFF"/>
                <w:sz w:val="16"/>
                <w:szCs w:val="16"/>
                <w:lang w:eastAsia="es-CR"/>
              </w:rPr>
            </w:pPr>
            <w:r w:rsidRPr="00345752">
              <w:rPr>
                <w:rFonts w:ascii="Book Antiqua" w:hAnsi="Book Antiqua" w:cs="Calibri"/>
                <w:b/>
                <w:bCs/>
                <w:color w:val="FFFFFF"/>
                <w:sz w:val="16"/>
                <w:szCs w:val="16"/>
                <w:lang w:eastAsia="es-CR"/>
              </w:rPr>
              <w:t>Juzgados Penales</w:t>
            </w:r>
          </w:p>
        </w:tc>
        <w:tc>
          <w:tcPr>
            <w:tcW w:w="1200" w:type="dxa"/>
            <w:tcBorders>
              <w:top w:val="single" w:sz="4" w:space="0" w:color="auto"/>
              <w:left w:val="nil"/>
              <w:bottom w:val="single" w:sz="4" w:space="0" w:color="auto"/>
              <w:right w:val="single" w:sz="4" w:space="0" w:color="auto"/>
            </w:tcBorders>
            <w:shd w:val="clear" w:color="000000" w:fill="305496"/>
            <w:vAlign w:val="center"/>
            <w:hideMark/>
          </w:tcPr>
          <w:p w14:paraId="7F095A2D" w14:textId="77777777" w:rsidR="009034C6" w:rsidRPr="00345752" w:rsidRDefault="009034C6" w:rsidP="00985591">
            <w:pPr>
              <w:spacing w:line="276" w:lineRule="auto"/>
              <w:jc w:val="center"/>
              <w:rPr>
                <w:rFonts w:ascii="Book Antiqua" w:hAnsi="Book Antiqua" w:cs="Calibri"/>
                <w:b/>
                <w:bCs/>
                <w:color w:val="FFFFFF"/>
                <w:sz w:val="16"/>
                <w:szCs w:val="16"/>
                <w:lang w:eastAsia="es-CR"/>
              </w:rPr>
            </w:pPr>
            <w:r w:rsidRPr="00345752">
              <w:rPr>
                <w:rFonts w:ascii="Book Antiqua" w:hAnsi="Book Antiqua" w:cs="Calibri"/>
                <w:b/>
                <w:bCs/>
                <w:color w:val="FFFFFF"/>
                <w:sz w:val="16"/>
                <w:szCs w:val="16"/>
                <w:lang w:eastAsia="es-CR"/>
              </w:rPr>
              <w:t>Tribunales de Juicio</w:t>
            </w:r>
          </w:p>
        </w:tc>
        <w:tc>
          <w:tcPr>
            <w:tcW w:w="1360" w:type="dxa"/>
            <w:tcBorders>
              <w:top w:val="single" w:sz="4" w:space="0" w:color="auto"/>
              <w:left w:val="nil"/>
              <w:bottom w:val="single" w:sz="4" w:space="0" w:color="auto"/>
              <w:right w:val="single" w:sz="4" w:space="0" w:color="auto"/>
            </w:tcBorders>
            <w:shd w:val="clear" w:color="000000" w:fill="305496"/>
            <w:noWrap/>
            <w:vAlign w:val="center"/>
            <w:hideMark/>
          </w:tcPr>
          <w:p w14:paraId="24D56743" w14:textId="77777777" w:rsidR="009034C6" w:rsidRPr="00345752" w:rsidRDefault="009034C6" w:rsidP="00985591">
            <w:pPr>
              <w:spacing w:line="276" w:lineRule="auto"/>
              <w:jc w:val="center"/>
              <w:rPr>
                <w:rFonts w:ascii="Book Antiqua" w:hAnsi="Book Antiqua" w:cs="Calibri"/>
                <w:b/>
                <w:bCs/>
                <w:color w:val="FFFFFF"/>
                <w:sz w:val="16"/>
                <w:szCs w:val="16"/>
                <w:lang w:eastAsia="es-CR"/>
              </w:rPr>
            </w:pPr>
            <w:r w:rsidRPr="00345752">
              <w:rPr>
                <w:rFonts w:ascii="Book Antiqua" w:hAnsi="Book Antiqua" w:cs="Calibri"/>
                <w:b/>
                <w:bCs/>
                <w:color w:val="FFFFFF"/>
                <w:sz w:val="16"/>
                <w:szCs w:val="16"/>
                <w:lang w:eastAsia="es-CR"/>
              </w:rPr>
              <w:t>Flagrancia</w:t>
            </w:r>
          </w:p>
        </w:tc>
        <w:tc>
          <w:tcPr>
            <w:tcW w:w="2540" w:type="dxa"/>
            <w:gridSpan w:val="2"/>
            <w:tcBorders>
              <w:top w:val="single" w:sz="4" w:space="0" w:color="auto"/>
              <w:left w:val="nil"/>
              <w:bottom w:val="single" w:sz="4" w:space="0" w:color="auto"/>
              <w:right w:val="single" w:sz="4" w:space="0" w:color="auto"/>
            </w:tcBorders>
            <w:shd w:val="clear" w:color="000000" w:fill="305496"/>
            <w:noWrap/>
            <w:vAlign w:val="center"/>
            <w:hideMark/>
          </w:tcPr>
          <w:p w14:paraId="29E73302" w14:textId="77777777" w:rsidR="009034C6" w:rsidRPr="00345752" w:rsidRDefault="009034C6" w:rsidP="00985591">
            <w:pPr>
              <w:spacing w:line="276" w:lineRule="auto"/>
              <w:jc w:val="center"/>
              <w:rPr>
                <w:rFonts w:ascii="Book Antiqua" w:hAnsi="Book Antiqua" w:cs="Calibri"/>
                <w:b/>
                <w:bCs/>
                <w:color w:val="FFFFFF"/>
                <w:sz w:val="16"/>
                <w:szCs w:val="16"/>
                <w:lang w:eastAsia="es-CR"/>
              </w:rPr>
            </w:pPr>
            <w:r w:rsidRPr="00345752">
              <w:rPr>
                <w:rFonts w:ascii="Book Antiqua" w:hAnsi="Book Antiqua" w:cs="Calibri"/>
                <w:b/>
                <w:bCs/>
                <w:color w:val="FFFFFF"/>
                <w:sz w:val="16"/>
                <w:szCs w:val="16"/>
                <w:lang w:eastAsia="es-CR"/>
              </w:rPr>
              <w:t>Ejecución</w:t>
            </w:r>
          </w:p>
        </w:tc>
        <w:tc>
          <w:tcPr>
            <w:tcW w:w="1340" w:type="dxa"/>
            <w:tcBorders>
              <w:top w:val="single" w:sz="4" w:space="0" w:color="auto"/>
              <w:left w:val="nil"/>
              <w:bottom w:val="single" w:sz="4" w:space="0" w:color="auto"/>
              <w:right w:val="single" w:sz="4" w:space="0" w:color="auto"/>
            </w:tcBorders>
            <w:shd w:val="clear" w:color="000000" w:fill="305496"/>
            <w:noWrap/>
            <w:vAlign w:val="center"/>
            <w:hideMark/>
          </w:tcPr>
          <w:p w14:paraId="259C9A03" w14:textId="77777777" w:rsidR="009034C6" w:rsidRPr="00345752" w:rsidRDefault="009034C6" w:rsidP="00985591">
            <w:pPr>
              <w:spacing w:line="276" w:lineRule="auto"/>
              <w:jc w:val="center"/>
              <w:rPr>
                <w:rFonts w:ascii="Book Antiqua" w:hAnsi="Book Antiqua" w:cs="Calibri"/>
                <w:b/>
                <w:bCs/>
                <w:color w:val="FFFFFF"/>
                <w:sz w:val="16"/>
                <w:szCs w:val="16"/>
                <w:lang w:eastAsia="es-CR"/>
              </w:rPr>
            </w:pPr>
            <w:r w:rsidRPr="00345752">
              <w:rPr>
                <w:rFonts w:ascii="Book Antiqua" w:hAnsi="Book Antiqua" w:cs="Calibri"/>
                <w:b/>
                <w:bCs/>
                <w:color w:val="FFFFFF"/>
                <w:sz w:val="16"/>
                <w:szCs w:val="16"/>
                <w:lang w:eastAsia="es-CR"/>
              </w:rPr>
              <w:t>Apelación</w:t>
            </w:r>
          </w:p>
        </w:tc>
        <w:tc>
          <w:tcPr>
            <w:tcW w:w="1200" w:type="dxa"/>
            <w:tcBorders>
              <w:top w:val="single" w:sz="4" w:space="0" w:color="auto"/>
              <w:left w:val="nil"/>
              <w:bottom w:val="single" w:sz="4" w:space="0" w:color="auto"/>
              <w:right w:val="single" w:sz="4" w:space="0" w:color="auto"/>
            </w:tcBorders>
            <w:shd w:val="clear" w:color="000000" w:fill="305496"/>
            <w:noWrap/>
            <w:vAlign w:val="center"/>
            <w:hideMark/>
          </w:tcPr>
          <w:p w14:paraId="03CD271B" w14:textId="77777777" w:rsidR="009034C6" w:rsidRPr="00345752" w:rsidRDefault="009034C6" w:rsidP="00985591">
            <w:pPr>
              <w:spacing w:line="276" w:lineRule="auto"/>
              <w:jc w:val="center"/>
              <w:rPr>
                <w:rFonts w:ascii="Book Antiqua" w:hAnsi="Book Antiqua" w:cs="Calibri"/>
                <w:b/>
                <w:bCs/>
                <w:color w:val="FFFFFF"/>
                <w:sz w:val="16"/>
                <w:szCs w:val="16"/>
                <w:lang w:eastAsia="es-CR"/>
              </w:rPr>
            </w:pPr>
            <w:r w:rsidRPr="00345752">
              <w:rPr>
                <w:rFonts w:ascii="Book Antiqua" w:hAnsi="Book Antiqua" w:cs="Calibri"/>
                <w:b/>
                <w:bCs/>
                <w:color w:val="FFFFFF"/>
                <w:sz w:val="16"/>
                <w:szCs w:val="16"/>
                <w:lang w:eastAsia="es-CR"/>
              </w:rPr>
              <w:t>Sala Tercera</w:t>
            </w:r>
          </w:p>
        </w:tc>
      </w:tr>
      <w:tr w:rsidR="009034C6" w:rsidRPr="00345752" w14:paraId="5239E194" w14:textId="77777777" w:rsidTr="009034C6">
        <w:trPr>
          <w:trHeight w:val="1300"/>
          <w:jc w:val="center"/>
        </w:trPr>
        <w:tc>
          <w:tcPr>
            <w:tcW w:w="1200" w:type="dxa"/>
            <w:vMerge/>
            <w:tcBorders>
              <w:top w:val="single" w:sz="4" w:space="0" w:color="auto"/>
              <w:left w:val="single" w:sz="4" w:space="0" w:color="auto"/>
              <w:bottom w:val="single" w:sz="4" w:space="0" w:color="auto"/>
              <w:right w:val="single" w:sz="4" w:space="0" w:color="auto"/>
            </w:tcBorders>
            <w:vAlign w:val="center"/>
            <w:hideMark/>
          </w:tcPr>
          <w:p w14:paraId="778B2282" w14:textId="77777777" w:rsidR="009034C6" w:rsidRPr="00345752" w:rsidRDefault="009034C6" w:rsidP="00985591">
            <w:pPr>
              <w:spacing w:line="276" w:lineRule="auto"/>
              <w:rPr>
                <w:rFonts w:ascii="Book Antiqua" w:hAnsi="Book Antiqua" w:cs="Calibri"/>
                <w:b/>
                <w:bCs/>
                <w:color w:val="FFFFFF"/>
                <w:sz w:val="16"/>
                <w:szCs w:val="16"/>
                <w:lang w:eastAsia="es-CR"/>
              </w:rPr>
            </w:pPr>
          </w:p>
        </w:tc>
        <w:tc>
          <w:tcPr>
            <w:tcW w:w="1740" w:type="dxa"/>
            <w:tcBorders>
              <w:top w:val="nil"/>
              <w:left w:val="nil"/>
              <w:bottom w:val="single" w:sz="4" w:space="0" w:color="auto"/>
              <w:right w:val="single" w:sz="4" w:space="0" w:color="auto"/>
            </w:tcBorders>
            <w:shd w:val="clear" w:color="000000" w:fill="305496"/>
            <w:vAlign w:val="center"/>
            <w:hideMark/>
          </w:tcPr>
          <w:p w14:paraId="2FB7C5D8" w14:textId="77777777" w:rsidR="009034C6" w:rsidRPr="00345752" w:rsidRDefault="009034C6" w:rsidP="00985591">
            <w:pPr>
              <w:spacing w:line="276" w:lineRule="auto"/>
              <w:jc w:val="center"/>
              <w:rPr>
                <w:rFonts w:ascii="Book Antiqua" w:hAnsi="Book Antiqua" w:cs="Calibri"/>
                <w:b/>
                <w:bCs/>
                <w:color w:val="FFFFFF"/>
                <w:sz w:val="16"/>
                <w:szCs w:val="16"/>
                <w:lang w:eastAsia="es-CR"/>
              </w:rPr>
            </w:pPr>
            <w:r w:rsidRPr="00345752">
              <w:rPr>
                <w:rFonts w:ascii="Book Antiqua" w:hAnsi="Book Antiqua" w:cs="Calibri"/>
                <w:b/>
                <w:bCs/>
                <w:color w:val="FFFFFF"/>
                <w:sz w:val="16"/>
                <w:szCs w:val="16"/>
                <w:lang w:eastAsia="es-CR"/>
              </w:rPr>
              <w:t>Desestimaciones, sobreseimientos y acusaciones</w:t>
            </w:r>
          </w:p>
        </w:tc>
        <w:tc>
          <w:tcPr>
            <w:tcW w:w="1200" w:type="dxa"/>
            <w:tcBorders>
              <w:top w:val="nil"/>
              <w:left w:val="nil"/>
              <w:bottom w:val="single" w:sz="4" w:space="0" w:color="auto"/>
              <w:right w:val="single" w:sz="4" w:space="0" w:color="auto"/>
            </w:tcBorders>
            <w:shd w:val="clear" w:color="000000" w:fill="305496"/>
            <w:vAlign w:val="center"/>
            <w:hideMark/>
          </w:tcPr>
          <w:p w14:paraId="382DC99C" w14:textId="77777777" w:rsidR="009034C6" w:rsidRPr="00345752" w:rsidRDefault="009034C6" w:rsidP="00985591">
            <w:pPr>
              <w:spacing w:line="276" w:lineRule="auto"/>
              <w:jc w:val="center"/>
              <w:rPr>
                <w:rFonts w:ascii="Book Antiqua" w:hAnsi="Book Antiqua" w:cs="Calibri"/>
                <w:b/>
                <w:bCs/>
                <w:color w:val="FFFFFF"/>
                <w:sz w:val="16"/>
                <w:szCs w:val="16"/>
                <w:lang w:eastAsia="es-CR"/>
              </w:rPr>
            </w:pPr>
            <w:r w:rsidRPr="00345752">
              <w:rPr>
                <w:rFonts w:ascii="Book Antiqua" w:hAnsi="Book Antiqua" w:cs="Calibri"/>
                <w:b/>
                <w:bCs/>
                <w:color w:val="FFFFFF"/>
                <w:sz w:val="16"/>
                <w:szCs w:val="16"/>
                <w:lang w:eastAsia="es-CR"/>
              </w:rPr>
              <w:t>Sentencias y medidas alternas</w:t>
            </w:r>
          </w:p>
        </w:tc>
        <w:tc>
          <w:tcPr>
            <w:tcW w:w="1360" w:type="dxa"/>
            <w:tcBorders>
              <w:top w:val="nil"/>
              <w:left w:val="nil"/>
              <w:bottom w:val="single" w:sz="4" w:space="0" w:color="auto"/>
              <w:right w:val="single" w:sz="4" w:space="0" w:color="auto"/>
            </w:tcBorders>
            <w:shd w:val="clear" w:color="000000" w:fill="305496"/>
            <w:vAlign w:val="center"/>
            <w:hideMark/>
          </w:tcPr>
          <w:p w14:paraId="4F9C2CDA" w14:textId="77777777" w:rsidR="009034C6" w:rsidRPr="00345752" w:rsidRDefault="009034C6" w:rsidP="00985591">
            <w:pPr>
              <w:spacing w:line="276" w:lineRule="auto"/>
              <w:jc w:val="center"/>
              <w:rPr>
                <w:rFonts w:ascii="Book Antiqua" w:hAnsi="Book Antiqua" w:cs="Calibri"/>
                <w:b/>
                <w:bCs/>
                <w:color w:val="FFFFFF"/>
                <w:sz w:val="16"/>
                <w:szCs w:val="16"/>
                <w:lang w:eastAsia="es-CR"/>
              </w:rPr>
            </w:pPr>
            <w:r w:rsidRPr="00345752">
              <w:rPr>
                <w:rFonts w:ascii="Book Antiqua" w:hAnsi="Book Antiqua" w:cs="Calibri"/>
                <w:b/>
                <w:bCs/>
                <w:color w:val="FFFFFF"/>
                <w:sz w:val="16"/>
                <w:szCs w:val="16"/>
                <w:lang w:eastAsia="es-CR"/>
              </w:rPr>
              <w:t>Audiencias iniciales, sentencias y medidas alternas</w:t>
            </w:r>
          </w:p>
        </w:tc>
        <w:tc>
          <w:tcPr>
            <w:tcW w:w="1200" w:type="dxa"/>
            <w:tcBorders>
              <w:top w:val="nil"/>
              <w:left w:val="nil"/>
              <w:bottom w:val="single" w:sz="4" w:space="0" w:color="auto"/>
              <w:right w:val="single" w:sz="4" w:space="0" w:color="auto"/>
            </w:tcBorders>
            <w:shd w:val="clear" w:color="000000" w:fill="305496"/>
            <w:vAlign w:val="center"/>
            <w:hideMark/>
          </w:tcPr>
          <w:p w14:paraId="35719677" w14:textId="77777777" w:rsidR="009034C6" w:rsidRPr="00345752" w:rsidRDefault="009034C6" w:rsidP="00985591">
            <w:pPr>
              <w:spacing w:line="276" w:lineRule="auto"/>
              <w:jc w:val="center"/>
              <w:rPr>
                <w:rFonts w:ascii="Book Antiqua" w:hAnsi="Book Antiqua" w:cs="Calibri"/>
                <w:b/>
                <w:bCs/>
                <w:color w:val="FFFFFF"/>
                <w:sz w:val="16"/>
                <w:szCs w:val="16"/>
                <w:lang w:eastAsia="es-CR"/>
              </w:rPr>
            </w:pPr>
            <w:r w:rsidRPr="00345752">
              <w:rPr>
                <w:rFonts w:ascii="Book Antiqua" w:hAnsi="Book Antiqua" w:cs="Calibri"/>
                <w:b/>
                <w:bCs/>
                <w:color w:val="FFFFFF"/>
                <w:sz w:val="16"/>
                <w:szCs w:val="16"/>
                <w:lang w:eastAsia="es-CR"/>
              </w:rPr>
              <w:t>Autos con carácter de sentencia</w:t>
            </w:r>
          </w:p>
        </w:tc>
        <w:tc>
          <w:tcPr>
            <w:tcW w:w="1340" w:type="dxa"/>
            <w:tcBorders>
              <w:top w:val="nil"/>
              <w:left w:val="nil"/>
              <w:bottom w:val="single" w:sz="4" w:space="0" w:color="auto"/>
              <w:right w:val="single" w:sz="4" w:space="0" w:color="auto"/>
            </w:tcBorders>
            <w:shd w:val="clear" w:color="000000" w:fill="305496"/>
            <w:vAlign w:val="center"/>
            <w:hideMark/>
          </w:tcPr>
          <w:p w14:paraId="61A622F4" w14:textId="77777777" w:rsidR="009034C6" w:rsidRPr="00345752" w:rsidRDefault="009034C6" w:rsidP="00985591">
            <w:pPr>
              <w:spacing w:line="276" w:lineRule="auto"/>
              <w:jc w:val="center"/>
              <w:rPr>
                <w:rFonts w:ascii="Book Antiqua" w:hAnsi="Book Antiqua" w:cs="Calibri"/>
                <w:b/>
                <w:bCs/>
                <w:color w:val="FFFFFF"/>
                <w:sz w:val="16"/>
                <w:szCs w:val="16"/>
                <w:lang w:eastAsia="es-CR"/>
              </w:rPr>
            </w:pPr>
            <w:r w:rsidRPr="00345752">
              <w:rPr>
                <w:rFonts w:ascii="Book Antiqua" w:hAnsi="Book Antiqua" w:cs="Calibri"/>
                <w:b/>
                <w:bCs/>
                <w:color w:val="FFFFFF"/>
                <w:sz w:val="16"/>
                <w:szCs w:val="16"/>
                <w:lang w:eastAsia="es-CR"/>
              </w:rPr>
              <w:t>Firma de resoluciones</w:t>
            </w:r>
          </w:p>
        </w:tc>
        <w:tc>
          <w:tcPr>
            <w:tcW w:w="1340" w:type="dxa"/>
            <w:tcBorders>
              <w:top w:val="nil"/>
              <w:left w:val="nil"/>
              <w:bottom w:val="single" w:sz="4" w:space="0" w:color="auto"/>
              <w:right w:val="single" w:sz="4" w:space="0" w:color="auto"/>
            </w:tcBorders>
            <w:shd w:val="clear" w:color="000000" w:fill="305496"/>
            <w:vAlign w:val="center"/>
            <w:hideMark/>
          </w:tcPr>
          <w:p w14:paraId="3D97CEAC" w14:textId="77777777" w:rsidR="009034C6" w:rsidRPr="00345752" w:rsidRDefault="009034C6" w:rsidP="00985591">
            <w:pPr>
              <w:spacing w:line="276" w:lineRule="auto"/>
              <w:jc w:val="center"/>
              <w:rPr>
                <w:rFonts w:ascii="Book Antiqua" w:hAnsi="Book Antiqua" w:cs="Calibri"/>
                <w:b/>
                <w:bCs/>
                <w:color w:val="FFFFFF"/>
                <w:sz w:val="16"/>
                <w:szCs w:val="16"/>
                <w:lang w:eastAsia="es-CR"/>
              </w:rPr>
            </w:pPr>
            <w:r w:rsidRPr="00345752">
              <w:rPr>
                <w:rFonts w:ascii="Book Antiqua" w:hAnsi="Book Antiqua" w:cs="Calibri"/>
                <w:b/>
                <w:bCs/>
                <w:color w:val="FFFFFF"/>
                <w:sz w:val="16"/>
                <w:szCs w:val="16"/>
                <w:lang w:eastAsia="es-CR"/>
              </w:rPr>
              <w:t>Proyecto terminado, circulado y votado</w:t>
            </w:r>
          </w:p>
        </w:tc>
        <w:tc>
          <w:tcPr>
            <w:tcW w:w="1200" w:type="dxa"/>
            <w:tcBorders>
              <w:top w:val="nil"/>
              <w:left w:val="nil"/>
              <w:bottom w:val="single" w:sz="4" w:space="0" w:color="auto"/>
              <w:right w:val="single" w:sz="4" w:space="0" w:color="auto"/>
            </w:tcBorders>
            <w:shd w:val="clear" w:color="000000" w:fill="305496"/>
            <w:vAlign w:val="center"/>
            <w:hideMark/>
          </w:tcPr>
          <w:p w14:paraId="03E062C5" w14:textId="77777777" w:rsidR="009034C6" w:rsidRPr="00345752" w:rsidRDefault="009034C6" w:rsidP="00985591">
            <w:pPr>
              <w:spacing w:line="276" w:lineRule="auto"/>
              <w:jc w:val="center"/>
              <w:rPr>
                <w:rFonts w:ascii="Book Antiqua" w:hAnsi="Book Antiqua" w:cs="Calibri"/>
                <w:b/>
                <w:bCs/>
                <w:color w:val="FFFFFF"/>
                <w:sz w:val="16"/>
                <w:szCs w:val="16"/>
                <w:lang w:eastAsia="es-CR"/>
              </w:rPr>
            </w:pPr>
            <w:r w:rsidRPr="00345752">
              <w:rPr>
                <w:rFonts w:ascii="Book Antiqua" w:hAnsi="Book Antiqua" w:cs="Calibri"/>
                <w:b/>
                <w:bCs/>
                <w:color w:val="FFFFFF"/>
                <w:sz w:val="16"/>
                <w:szCs w:val="16"/>
                <w:lang w:eastAsia="es-CR"/>
              </w:rPr>
              <w:t>Proyectos</w:t>
            </w:r>
          </w:p>
        </w:tc>
      </w:tr>
      <w:tr w:rsidR="009034C6" w:rsidRPr="00345752" w14:paraId="22F2DD47" w14:textId="77777777" w:rsidTr="009034C6">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118FC595"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w:t>
            </w:r>
          </w:p>
        </w:tc>
        <w:tc>
          <w:tcPr>
            <w:tcW w:w="1740" w:type="dxa"/>
            <w:tcBorders>
              <w:top w:val="nil"/>
              <w:left w:val="nil"/>
              <w:bottom w:val="single" w:sz="4" w:space="0" w:color="auto"/>
              <w:right w:val="single" w:sz="4" w:space="0" w:color="auto"/>
            </w:tcBorders>
            <w:shd w:val="clear" w:color="000000" w:fill="FFFFFF"/>
            <w:noWrap/>
            <w:vAlign w:val="center"/>
            <w:hideMark/>
          </w:tcPr>
          <w:p w14:paraId="539B9E4C"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69%</w:t>
            </w:r>
          </w:p>
        </w:tc>
        <w:tc>
          <w:tcPr>
            <w:tcW w:w="1200" w:type="dxa"/>
            <w:tcBorders>
              <w:top w:val="nil"/>
              <w:left w:val="nil"/>
              <w:bottom w:val="single" w:sz="4" w:space="0" w:color="auto"/>
              <w:right w:val="single" w:sz="4" w:space="0" w:color="auto"/>
            </w:tcBorders>
            <w:shd w:val="clear" w:color="000000" w:fill="FFFFFF"/>
            <w:noWrap/>
            <w:vAlign w:val="center"/>
            <w:hideMark/>
          </w:tcPr>
          <w:p w14:paraId="1414BA28"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142%</w:t>
            </w:r>
          </w:p>
        </w:tc>
        <w:tc>
          <w:tcPr>
            <w:tcW w:w="1360" w:type="dxa"/>
            <w:tcBorders>
              <w:top w:val="nil"/>
              <w:left w:val="nil"/>
              <w:bottom w:val="single" w:sz="4" w:space="0" w:color="auto"/>
              <w:right w:val="single" w:sz="4" w:space="0" w:color="auto"/>
            </w:tcBorders>
            <w:shd w:val="clear" w:color="000000" w:fill="FFFFFF"/>
            <w:noWrap/>
            <w:vAlign w:val="center"/>
            <w:hideMark/>
          </w:tcPr>
          <w:p w14:paraId="7A363D43"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63%</w:t>
            </w:r>
          </w:p>
        </w:tc>
        <w:tc>
          <w:tcPr>
            <w:tcW w:w="1200" w:type="dxa"/>
            <w:tcBorders>
              <w:top w:val="nil"/>
              <w:left w:val="nil"/>
              <w:bottom w:val="single" w:sz="4" w:space="0" w:color="auto"/>
              <w:right w:val="single" w:sz="4" w:space="0" w:color="auto"/>
            </w:tcBorders>
            <w:shd w:val="clear" w:color="000000" w:fill="FFFFFF"/>
            <w:noWrap/>
            <w:vAlign w:val="center"/>
            <w:hideMark/>
          </w:tcPr>
          <w:p w14:paraId="0DD91E0B"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88%</w:t>
            </w:r>
          </w:p>
        </w:tc>
        <w:tc>
          <w:tcPr>
            <w:tcW w:w="1340" w:type="dxa"/>
            <w:tcBorders>
              <w:top w:val="nil"/>
              <w:left w:val="nil"/>
              <w:bottom w:val="single" w:sz="4" w:space="0" w:color="auto"/>
              <w:right w:val="single" w:sz="4" w:space="0" w:color="auto"/>
            </w:tcBorders>
            <w:shd w:val="clear" w:color="000000" w:fill="FFFFFF"/>
            <w:noWrap/>
            <w:vAlign w:val="center"/>
            <w:hideMark/>
          </w:tcPr>
          <w:p w14:paraId="5D623248"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190%</w:t>
            </w:r>
          </w:p>
        </w:tc>
        <w:tc>
          <w:tcPr>
            <w:tcW w:w="1340" w:type="dxa"/>
            <w:tcBorders>
              <w:top w:val="nil"/>
              <w:left w:val="nil"/>
              <w:bottom w:val="single" w:sz="4" w:space="0" w:color="auto"/>
              <w:right w:val="single" w:sz="4" w:space="0" w:color="auto"/>
            </w:tcBorders>
            <w:shd w:val="clear" w:color="000000" w:fill="FFFFFF"/>
            <w:noWrap/>
            <w:vAlign w:val="center"/>
            <w:hideMark/>
          </w:tcPr>
          <w:p w14:paraId="1B2FED65"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147%</w:t>
            </w:r>
          </w:p>
        </w:tc>
        <w:tc>
          <w:tcPr>
            <w:tcW w:w="1200" w:type="dxa"/>
            <w:tcBorders>
              <w:top w:val="nil"/>
              <w:left w:val="nil"/>
              <w:bottom w:val="single" w:sz="4" w:space="0" w:color="auto"/>
              <w:right w:val="single" w:sz="4" w:space="0" w:color="auto"/>
            </w:tcBorders>
            <w:shd w:val="clear" w:color="000000" w:fill="FFFFFF"/>
            <w:noWrap/>
            <w:vAlign w:val="center"/>
            <w:hideMark/>
          </w:tcPr>
          <w:p w14:paraId="18B2EB20"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115%</w:t>
            </w:r>
          </w:p>
        </w:tc>
      </w:tr>
      <w:tr w:rsidR="009034C6" w:rsidRPr="00345752" w14:paraId="50C06E24" w14:textId="77777777" w:rsidTr="009034C6">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5A1FBE8A"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2</w:t>
            </w:r>
          </w:p>
        </w:tc>
        <w:tc>
          <w:tcPr>
            <w:tcW w:w="1740" w:type="dxa"/>
            <w:tcBorders>
              <w:top w:val="nil"/>
              <w:left w:val="nil"/>
              <w:bottom w:val="single" w:sz="4" w:space="0" w:color="auto"/>
              <w:right w:val="single" w:sz="4" w:space="0" w:color="auto"/>
            </w:tcBorders>
            <w:shd w:val="clear" w:color="000000" w:fill="FFFFFF"/>
            <w:noWrap/>
            <w:vAlign w:val="center"/>
            <w:hideMark/>
          </w:tcPr>
          <w:p w14:paraId="0EDD947E"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74%</w:t>
            </w:r>
          </w:p>
        </w:tc>
        <w:tc>
          <w:tcPr>
            <w:tcW w:w="1200" w:type="dxa"/>
            <w:tcBorders>
              <w:top w:val="nil"/>
              <w:left w:val="nil"/>
              <w:bottom w:val="single" w:sz="4" w:space="0" w:color="auto"/>
              <w:right w:val="single" w:sz="4" w:space="0" w:color="auto"/>
            </w:tcBorders>
            <w:shd w:val="clear" w:color="000000" w:fill="FFFFFF"/>
            <w:noWrap/>
            <w:vAlign w:val="center"/>
            <w:hideMark/>
          </w:tcPr>
          <w:p w14:paraId="65966FE0"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86%</w:t>
            </w:r>
          </w:p>
        </w:tc>
        <w:tc>
          <w:tcPr>
            <w:tcW w:w="1360" w:type="dxa"/>
            <w:tcBorders>
              <w:top w:val="nil"/>
              <w:left w:val="nil"/>
              <w:bottom w:val="single" w:sz="4" w:space="0" w:color="auto"/>
              <w:right w:val="single" w:sz="4" w:space="0" w:color="auto"/>
            </w:tcBorders>
            <w:shd w:val="clear" w:color="000000" w:fill="FFFFFF"/>
            <w:noWrap/>
            <w:vAlign w:val="center"/>
            <w:hideMark/>
          </w:tcPr>
          <w:p w14:paraId="574ED6DD"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77%</w:t>
            </w:r>
          </w:p>
        </w:tc>
        <w:tc>
          <w:tcPr>
            <w:tcW w:w="1200" w:type="dxa"/>
            <w:tcBorders>
              <w:top w:val="nil"/>
              <w:left w:val="nil"/>
              <w:bottom w:val="single" w:sz="4" w:space="0" w:color="auto"/>
              <w:right w:val="single" w:sz="4" w:space="0" w:color="auto"/>
            </w:tcBorders>
            <w:shd w:val="clear" w:color="000000" w:fill="FFFFFF"/>
            <w:noWrap/>
            <w:vAlign w:val="center"/>
            <w:hideMark/>
          </w:tcPr>
          <w:p w14:paraId="0695CB1C"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85%</w:t>
            </w:r>
          </w:p>
        </w:tc>
        <w:tc>
          <w:tcPr>
            <w:tcW w:w="1340" w:type="dxa"/>
            <w:tcBorders>
              <w:top w:val="nil"/>
              <w:left w:val="nil"/>
              <w:bottom w:val="single" w:sz="4" w:space="0" w:color="auto"/>
              <w:right w:val="single" w:sz="4" w:space="0" w:color="auto"/>
            </w:tcBorders>
            <w:shd w:val="clear" w:color="000000" w:fill="FFFFFF"/>
            <w:noWrap/>
            <w:vAlign w:val="center"/>
            <w:hideMark/>
          </w:tcPr>
          <w:p w14:paraId="3B9D9716"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227%</w:t>
            </w:r>
          </w:p>
        </w:tc>
        <w:tc>
          <w:tcPr>
            <w:tcW w:w="1340" w:type="dxa"/>
            <w:tcBorders>
              <w:top w:val="nil"/>
              <w:left w:val="nil"/>
              <w:bottom w:val="single" w:sz="4" w:space="0" w:color="auto"/>
              <w:right w:val="single" w:sz="4" w:space="0" w:color="auto"/>
            </w:tcBorders>
            <w:shd w:val="clear" w:color="000000" w:fill="FFFFFF"/>
            <w:noWrap/>
            <w:vAlign w:val="center"/>
            <w:hideMark/>
          </w:tcPr>
          <w:p w14:paraId="27B9FD63"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102%</w:t>
            </w:r>
          </w:p>
        </w:tc>
        <w:tc>
          <w:tcPr>
            <w:tcW w:w="1200" w:type="dxa"/>
            <w:tcBorders>
              <w:top w:val="nil"/>
              <w:left w:val="nil"/>
              <w:bottom w:val="single" w:sz="4" w:space="0" w:color="auto"/>
              <w:right w:val="single" w:sz="4" w:space="0" w:color="auto"/>
            </w:tcBorders>
            <w:shd w:val="clear" w:color="000000" w:fill="FFFFFF"/>
            <w:noWrap/>
            <w:vAlign w:val="center"/>
            <w:hideMark/>
          </w:tcPr>
          <w:p w14:paraId="253A8300"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94%</w:t>
            </w:r>
          </w:p>
        </w:tc>
      </w:tr>
      <w:tr w:rsidR="009034C6" w:rsidRPr="00345752" w14:paraId="1A4ADE5E" w14:textId="77777777" w:rsidTr="009034C6">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014E3E70"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3</w:t>
            </w:r>
          </w:p>
        </w:tc>
        <w:tc>
          <w:tcPr>
            <w:tcW w:w="1740" w:type="dxa"/>
            <w:tcBorders>
              <w:top w:val="nil"/>
              <w:left w:val="nil"/>
              <w:bottom w:val="single" w:sz="4" w:space="0" w:color="auto"/>
              <w:right w:val="single" w:sz="4" w:space="0" w:color="auto"/>
            </w:tcBorders>
            <w:shd w:val="clear" w:color="000000" w:fill="FFFFFF"/>
            <w:noWrap/>
            <w:vAlign w:val="center"/>
            <w:hideMark/>
          </w:tcPr>
          <w:p w14:paraId="31BDFC9F"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86%</w:t>
            </w:r>
          </w:p>
        </w:tc>
        <w:tc>
          <w:tcPr>
            <w:tcW w:w="1200" w:type="dxa"/>
            <w:tcBorders>
              <w:top w:val="nil"/>
              <w:left w:val="nil"/>
              <w:bottom w:val="single" w:sz="4" w:space="0" w:color="auto"/>
              <w:right w:val="single" w:sz="4" w:space="0" w:color="auto"/>
            </w:tcBorders>
            <w:shd w:val="clear" w:color="000000" w:fill="FFFFFF"/>
            <w:noWrap/>
            <w:vAlign w:val="center"/>
            <w:hideMark/>
          </w:tcPr>
          <w:p w14:paraId="60912080"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92%</w:t>
            </w:r>
          </w:p>
        </w:tc>
        <w:tc>
          <w:tcPr>
            <w:tcW w:w="1360" w:type="dxa"/>
            <w:tcBorders>
              <w:top w:val="nil"/>
              <w:left w:val="nil"/>
              <w:bottom w:val="single" w:sz="4" w:space="0" w:color="auto"/>
              <w:right w:val="single" w:sz="4" w:space="0" w:color="auto"/>
            </w:tcBorders>
            <w:shd w:val="clear" w:color="000000" w:fill="FFFFFF"/>
            <w:noWrap/>
            <w:vAlign w:val="center"/>
            <w:hideMark/>
          </w:tcPr>
          <w:p w14:paraId="3A98B172"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53%</w:t>
            </w:r>
          </w:p>
        </w:tc>
        <w:tc>
          <w:tcPr>
            <w:tcW w:w="1200" w:type="dxa"/>
            <w:tcBorders>
              <w:top w:val="nil"/>
              <w:left w:val="nil"/>
              <w:bottom w:val="single" w:sz="4" w:space="0" w:color="auto"/>
              <w:right w:val="single" w:sz="4" w:space="0" w:color="auto"/>
            </w:tcBorders>
            <w:shd w:val="clear" w:color="000000" w:fill="FFFFFF"/>
            <w:noWrap/>
            <w:vAlign w:val="center"/>
            <w:hideMark/>
          </w:tcPr>
          <w:p w14:paraId="0EDC239B"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99%</w:t>
            </w:r>
          </w:p>
        </w:tc>
        <w:tc>
          <w:tcPr>
            <w:tcW w:w="1340" w:type="dxa"/>
            <w:tcBorders>
              <w:top w:val="nil"/>
              <w:left w:val="nil"/>
              <w:bottom w:val="single" w:sz="4" w:space="0" w:color="auto"/>
              <w:right w:val="single" w:sz="4" w:space="0" w:color="auto"/>
            </w:tcBorders>
            <w:shd w:val="clear" w:color="000000" w:fill="FFFFFF"/>
            <w:noWrap/>
            <w:vAlign w:val="center"/>
            <w:hideMark/>
          </w:tcPr>
          <w:p w14:paraId="2E4EA5D6"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244%</w:t>
            </w:r>
          </w:p>
        </w:tc>
        <w:tc>
          <w:tcPr>
            <w:tcW w:w="1340" w:type="dxa"/>
            <w:tcBorders>
              <w:top w:val="nil"/>
              <w:left w:val="nil"/>
              <w:bottom w:val="single" w:sz="4" w:space="0" w:color="auto"/>
              <w:right w:val="single" w:sz="4" w:space="0" w:color="auto"/>
            </w:tcBorders>
            <w:shd w:val="clear" w:color="000000" w:fill="FFFFFF"/>
            <w:noWrap/>
            <w:vAlign w:val="center"/>
            <w:hideMark/>
          </w:tcPr>
          <w:p w14:paraId="1A3CC2E2"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113%</w:t>
            </w:r>
          </w:p>
        </w:tc>
        <w:tc>
          <w:tcPr>
            <w:tcW w:w="1200" w:type="dxa"/>
            <w:tcBorders>
              <w:top w:val="nil"/>
              <w:left w:val="nil"/>
              <w:bottom w:val="single" w:sz="4" w:space="0" w:color="auto"/>
              <w:right w:val="single" w:sz="4" w:space="0" w:color="auto"/>
            </w:tcBorders>
            <w:shd w:val="clear" w:color="000000" w:fill="FFFFFF"/>
            <w:noWrap/>
            <w:vAlign w:val="center"/>
            <w:hideMark/>
          </w:tcPr>
          <w:p w14:paraId="280D1E29"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94%</w:t>
            </w:r>
          </w:p>
        </w:tc>
      </w:tr>
      <w:tr w:rsidR="009034C6" w:rsidRPr="00345752" w14:paraId="19FF02F9" w14:textId="77777777" w:rsidTr="009034C6">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45417CF6"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4</w:t>
            </w:r>
          </w:p>
        </w:tc>
        <w:tc>
          <w:tcPr>
            <w:tcW w:w="1740" w:type="dxa"/>
            <w:tcBorders>
              <w:top w:val="nil"/>
              <w:left w:val="nil"/>
              <w:bottom w:val="single" w:sz="4" w:space="0" w:color="auto"/>
              <w:right w:val="single" w:sz="4" w:space="0" w:color="auto"/>
            </w:tcBorders>
            <w:shd w:val="clear" w:color="000000" w:fill="FFFFFF"/>
            <w:noWrap/>
            <w:vAlign w:val="center"/>
            <w:hideMark/>
          </w:tcPr>
          <w:p w14:paraId="7C63C7C6"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96%</w:t>
            </w:r>
          </w:p>
        </w:tc>
        <w:tc>
          <w:tcPr>
            <w:tcW w:w="1200" w:type="dxa"/>
            <w:tcBorders>
              <w:top w:val="nil"/>
              <w:left w:val="nil"/>
              <w:bottom w:val="single" w:sz="4" w:space="0" w:color="auto"/>
              <w:right w:val="single" w:sz="4" w:space="0" w:color="auto"/>
            </w:tcBorders>
            <w:shd w:val="clear" w:color="000000" w:fill="FFFFFF"/>
            <w:noWrap/>
            <w:vAlign w:val="center"/>
            <w:hideMark/>
          </w:tcPr>
          <w:p w14:paraId="1AF3F20A"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97%</w:t>
            </w:r>
          </w:p>
        </w:tc>
        <w:tc>
          <w:tcPr>
            <w:tcW w:w="1360" w:type="dxa"/>
            <w:tcBorders>
              <w:top w:val="nil"/>
              <w:left w:val="nil"/>
              <w:bottom w:val="single" w:sz="4" w:space="0" w:color="auto"/>
              <w:right w:val="single" w:sz="4" w:space="0" w:color="auto"/>
            </w:tcBorders>
            <w:shd w:val="clear" w:color="000000" w:fill="FFFFFF"/>
            <w:noWrap/>
            <w:vAlign w:val="center"/>
            <w:hideMark/>
          </w:tcPr>
          <w:p w14:paraId="1B992DE5"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44%</w:t>
            </w:r>
          </w:p>
        </w:tc>
        <w:tc>
          <w:tcPr>
            <w:tcW w:w="1200" w:type="dxa"/>
            <w:tcBorders>
              <w:top w:val="nil"/>
              <w:left w:val="nil"/>
              <w:bottom w:val="single" w:sz="4" w:space="0" w:color="auto"/>
              <w:right w:val="single" w:sz="4" w:space="0" w:color="auto"/>
            </w:tcBorders>
            <w:shd w:val="clear" w:color="000000" w:fill="FFFFFF"/>
            <w:noWrap/>
            <w:vAlign w:val="center"/>
            <w:hideMark/>
          </w:tcPr>
          <w:p w14:paraId="5E826FE0"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161%</w:t>
            </w:r>
          </w:p>
        </w:tc>
        <w:tc>
          <w:tcPr>
            <w:tcW w:w="1340" w:type="dxa"/>
            <w:tcBorders>
              <w:top w:val="nil"/>
              <w:left w:val="nil"/>
              <w:bottom w:val="single" w:sz="4" w:space="0" w:color="auto"/>
              <w:right w:val="single" w:sz="4" w:space="0" w:color="auto"/>
            </w:tcBorders>
            <w:shd w:val="clear" w:color="000000" w:fill="FFFFFF"/>
            <w:noWrap/>
            <w:vAlign w:val="center"/>
            <w:hideMark/>
          </w:tcPr>
          <w:p w14:paraId="4D0ABB5E"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273%</w:t>
            </w:r>
          </w:p>
        </w:tc>
        <w:tc>
          <w:tcPr>
            <w:tcW w:w="1340" w:type="dxa"/>
            <w:tcBorders>
              <w:top w:val="nil"/>
              <w:left w:val="nil"/>
              <w:bottom w:val="single" w:sz="4" w:space="0" w:color="auto"/>
              <w:right w:val="single" w:sz="4" w:space="0" w:color="auto"/>
            </w:tcBorders>
            <w:shd w:val="clear" w:color="000000" w:fill="FFFFFF"/>
            <w:noWrap/>
            <w:vAlign w:val="center"/>
            <w:hideMark/>
          </w:tcPr>
          <w:p w14:paraId="2FC2DA91"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198%</w:t>
            </w:r>
          </w:p>
        </w:tc>
        <w:tc>
          <w:tcPr>
            <w:tcW w:w="1200" w:type="dxa"/>
            <w:tcBorders>
              <w:top w:val="nil"/>
              <w:left w:val="nil"/>
              <w:bottom w:val="single" w:sz="4" w:space="0" w:color="auto"/>
              <w:right w:val="single" w:sz="4" w:space="0" w:color="auto"/>
            </w:tcBorders>
            <w:shd w:val="clear" w:color="000000" w:fill="FFFFFF"/>
            <w:noWrap/>
            <w:vAlign w:val="center"/>
            <w:hideMark/>
          </w:tcPr>
          <w:p w14:paraId="6147C936"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68%</w:t>
            </w:r>
          </w:p>
        </w:tc>
      </w:tr>
      <w:tr w:rsidR="009034C6" w:rsidRPr="00345752" w14:paraId="221E6712" w14:textId="77777777" w:rsidTr="009034C6">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6721C294"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5</w:t>
            </w:r>
          </w:p>
        </w:tc>
        <w:tc>
          <w:tcPr>
            <w:tcW w:w="1740" w:type="dxa"/>
            <w:tcBorders>
              <w:top w:val="nil"/>
              <w:left w:val="nil"/>
              <w:bottom w:val="single" w:sz="4" w:space="0" w:color="auto"/>
              <w:right w:val="single" w:sz="4" w:space="0" w:color="auto"/>
            </w:tcBorders>
            <w:shd w:val="clear" w:color="000000" w:fill="FFFFFF"/>
            <w:noWrap/>
            <w:vAlign w:val="center"/>
            <w:hideMark/>
          </w:tcPr>
          <w:p w14:paraId="1532837B"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73%</w:t>
            </w:r>
          </w:p>
        </w:tc>
        <w:tc>
          <w:tcPr>
            <w:tcW w:w="1200" w:type="dxa"/>
            <w:tcBorders>
              <w:top w:val="nil"/>
              <w:left w:val="nil"/>
              <w:bottom w:val="single" w:sz="4" w:space="0" w:color="auto"/>
              <w:right w:val="single" w:sz="4" w:space="0" w:color="auto"/>
            </w:tcBorders>
            <w:shd w:val="clear" w:color="000000" w:fill="FFFFFF"/>
            <w:noWrap/>
            <w:vAlign w:val="center"/>
            <w:hideMark/>
          </w:tcPr>
          <w:p w14:paraId="4DEAC5BF"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93%</w:t>
            </w:r>
          </w:p>
        </w:tc>
        <w:tc>
          <w:tcPr>
            <w:tcW w:w="1360" w:type="dxa"/>
            <w:tcBorders>
              <w:top w:val="nil"/>
              <w:left w:val="nil"/>
              <w:bottom w:val="single" w:sz="4" w:space="0" w:color="auto"/>
              <w:right w:val="single" w:sz="4" w:space="0" w:color="auto"/>
            </w:tcBorders>
            <w:shd w:val="clear" w:color="000000" w:fill="FFFFFF"/>
            <w:noWrap/>
            <w:vAlign w:val="center"/>
            <w:hideMark/>
          </w:tcPr>
          <w:p w14:paraId="42B115D7"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58%</w:t>
            </w:r>
          </w:p>
        </w:tc>
        <w:tc>
          <w:tcPr>
            <w:tcW w:w="1200" w:type="dxa"/>
            <w:tcBorders>
              <w:top w:val="nil"/>
              <w:left w:val="nil"/>
              <w:bottom w:val="single" w:sz="4" w:space="0" w:color="auto"/>
              <w:right w:val="single" w:sz="4" w:space="0" w:color="auto"/>
            </w:tcBorders>
            <w:shd w:val="clear" w:color="000000" w:fill="FFFFFF"/>
            <w:noWrap/>
            <w:vAlign w:val="center"/>
            <w:hideMark/>
          </w:tcPr>
          <w:p w14:paraId="1E9FB0B3"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109%</w:t>
            </w:r>
          </w:p>
        </w:tc>
        <w:tc>
          <w:tcPr>
            <w:tcW w:w="1340" w:type="dxa"/>
            <w:tcBorders>
              <w:top w:val="nil"/>
              <w:left w:val="nil"/>
              <w:bottom w:val="single" w:sz="4" w:space="0" w:color="auto"/>
              <w:right w:val="single" w:sz="4" w:space="0" w:color="auto"/>
            </w:tcBorders>
            <w:shd w:val="clear" w:color="000000" w:fill="FFFFFF"/>
            <w:noWrap/>
            <w:vAlign w:val="center"/>
            <w:hideMark/>
          </w:tcPr>
          <w:p w14:paraId="6F4A8377"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185%</w:t>
            </w:r>
          </w:p>
        </w:tc>
        <w:tc>
          <w:tcPr>
            <w:tcW w:w="1340" w:type="dxa"/>
            <w:tcBorders>
              <w:top w:val="nil"/>
              <w:left w:val="nil"/>
              <w:bottom w:val="single" w:sz="4" w:space="0" w:color="auto"/>
              <w:right w:val="single" w:sz="4" w:space="0" w:color="auto"/>
            </w:tcBorders>
            <w:shd w:val="clear" w:color="000000" w:fill="FFFFFF"/>
            <w:noWrap/>
            <w:vAlign w:val="center"/>
            <w:hideMark/>
          </w:tcPr>
          <w:p w14:paraId="18A24E2A"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88%</w:t>
            </w:r>
          </w:p>
        </w:tc>
        <w:tc>
          <w:tcPr>
            <w:tcW w:w="1200" w:type="dxa"/>
            <w:tcBorders>
              <w:top w:val="nil"/>
              <w:left w:val="nil"/>
              <w:bottom w:val="single" w:sz="4" w:space="0" w:color="auto"/>
              <w:right w:val="single" w:sz="4" w:space="0" w:color="auto"/>
            </w:tcBorders>
            <w:shd w:val="clear" w:color="000000" w:fill="FFFFFF"/>
            <w:noWrap/>
            <w:vAlign w:val="center"/>
            <w:hideMark/>
          </w:tcPr>
          <w:p w14:paraId="259D6452"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88%</w:t>
            </w:r>
          </w:p>
        </w:tc>
      </w:tr>
      <w:tr w:rsidR="009034C6" w:rsidRPr="00345752" w14:paraId="2EF4B118" w14:textId="77777777" w:rsidTr="009034C6">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0364E9BF"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6</w:t>
            </w:r>
          </w:p>
        </w:tc>
        <w:tc>
          <w:tcPr>
            <w:tcW w:w="1740" w:type="dxa"/>
            <w:tcBorders>
              <w:top w:val="nil"/>
              <w:left w:val="nil"/>
              <w:bottom w:val="single" w:sz="4" w:space="0" w:color="auto"/>
              <w:right w:val="single" w:sz="4" w:space="0" w:color="auto"/>
            </w:tcBorders>
            <w:shd w:val="clear" w:color="000000" w:fill="FFFFFF"/>
            <w:noWrap/>
            <w:vAlign w:val="center"/>
            <w:hideMark/>
          </w:tcPr>
          <w:p w14:paraId="5167ED72"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81%</w:t>
            </w:r>
          </w:p>
        </w:tc>
        <w:tc>
          <w:tcPr>
            <w:tcW w:w="1200" w:type="dxa"/>
            <w:tcBorders>
              <w:top w:val="nil"/>
              <w:left w:val="nil"/>
              <w:bottom w:val="single" w:sz="4" w:space="0" w:color="auto"/>
              <w:right w:val="single" w:sz="4" w:space="0" w:color="auto"/>
            </w:tcBorders>
            <w:shd w:val="clear" w:color="000000" w:fill="FFFFFF"/>
            <w:noWrap/>
            <w:vAlign w:val="center"/>
            <w:hideMark/>
          </w:tcPr>
          <w:p w14:paraId="1B0D1CF0"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88%</w:t>
            </w:r>
          </w:p>
        </w:tc>
        <w:tc>
          <w:tcPr>
            <w:tcW w:w="1360" w:type="dxa"/>
            <w:tcBorders>
              <w:top w:val="nil"/>
              <w:left w:val="nil"/>
              <w:bottom w:val="single" w:sz="4" w:space="0" w:color="auto"/>
              <w:right w:val="single" w:sz="4" w:space="0" w:color="auto"/>
            </w:tcBorders>
            <w:shd w:val="clear" w:color="000000" w:fill="FFFFFF"/>
            <w:noWrap/>
            <w:vAlign w:val="center"/>
            <w:hideMark/>
          </w:tcPr>
          <w:p w14:paraId="611BD397"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58%</w:t>
            </w:r>
          </w:p>
        </w:tc>
        <w:tc>
          <w:tcPr>
            <w:tcW w:w="1200" w:type="dxa"/>
            <w:tcBorders>
              <w:top w:val="nil"/>
              <w:left w:val="nil"/>
              <w:bottom w:val="single" w:sz="4" w:space="0" w:color="auto"/>
              <w:right w:val="single" w:sz="4" w:space="0" w:color="auto"/>
            </w:tcBorders>
            <w:shd w:val="clear" w:color="000000" w:fill="FFFFFF"/>
            <w:noWrap/>
            <w:vAlign w:val="center"/>
            <w:hideMark/>
          </w:tcPr>
          <w:p w14:paraId="03912EBC"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96%</w:t>
            </w:r>
          </w:p>
        </w:tc>
        <w:tc>
          <w:tcPr>
            <w:tcW w:w="1340" w:type="dxa"/>
            <w:tcBorders>
              <w:top w:val="nil"/>
              <w:left w:val="nil"/>
              <w:bottom w:val="single" w:sz="4" w:space="0" w:color="auto"/>
              <w:right w:val="single" w:sz="4" w:space="0" w:color="auto"/>
            </w:tcBorders>
            <w:shd w:val="clear" w:color="000000" w:fill="FFFFFF"/>
            <w:noWrap/>
            <w:vAlign w:val="center"/>
            <w:hideMark/>
          </w:tcPr>
          <w:p w14:paraId="73BAA4D5"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871%</w:t>
            </w:r>
          </w:p>
        </w:tc>
        <w:tc>
          <w:tcPr>
            <w:tcW w:w="1340" w:type="dxa"/>
            <w:tcBorders>
              <w:top w:val="nil"/>
              <w:left w:val="nil"/>
              <w:bottom w:val="single" w:sz="4" w:space="0" w:color="auto"/>
              <w:right w:val="single" w:sz="4" w:space="0" w:color="auto"/>
            </w:tcBorders>
            <w:shd w:val="clear" w:color="000000" w:fill="FFFFFF"/>
            <w:noWrap/>
            <w:vAlign w:val="center"/>
            <w:hideMark/>
          </w:tcPr>
          <w:p w14:paraId="5A52649B"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105%</w:t>
            </w:r>
          </w:p>
        </w:tc>
        <w:tc>
          <w:tcPr>
            <w:tcW w:w="1200" w:type="dxa"/>
            <w:tcBorders>
              <w:top w:val="nil"/>
              <w:left w:val="nil"/>
              <w:bottom w:val="single" w:sz="4" w:space="0" w:color="auto"/>
              <w:right w:val="single" w:sz="4" w:space="0" w:color="auto"/>
            </w:tcBorders>
            <w:shd w:val="clear" w:color="000000" w:fill="FFFFFF"/>
            <w:noWrap/>
            <w:vAlign w:val="center"/>
            <w:hideMark/>
          </w:tcPr>
          <w:p w14:paraId="25EA776F"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97%</w:t>
            </w:r>
          </w:p>
        </w:tc>
      </w:tr>
      <w:tr w:rsidR="009034C6" w:rsidRPr="00345752" w14:paraId="70854494" w14:textId="77777777" w:rsidTr="009034C6">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7C3AC267"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7</w:t>
            </w:r>
          </w:p>
        </w:tc>
        <w:tc>
          <w:tcPr>
            <w:tcW w:w="1740" w:type="dxa"/>
            <w:tcBorders>
              <w:top w:val="nil"/>
              <w:left w:val="nil"/>
              <w:bottom w:val="single" w:sz="4" w:space="0" w:color="auto"/>
              <w:right w:val="single" w:sz="4" w:space="0" w:color="auto"/>
            </w:tcBorders>
            <w:shd w:val="clear" w:color="000000" w:fill="FFFFFF"/>
            <w:noWrap/>
            <w:vAlign w:val="center"/>
            <w:hideMark/>
          </w:tcPr>
          <w:p w14:paraId="7540DDB4"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81%</w:t>
            </w:r>
          </w:p>
        </w:tc>
        <w:tc>
          <w:tcPr>
            <w:tcW w:w="1200" w:type="dxa"/>
            <w:tcBorders>
              <w:top w:val="nil"/>
              <w:left w:val="nil"/>
              <w:bottom w:val="single" w:sz="4" w:space="0" w:color="auto"/>
              <w:right w:val="single" w:sz="4" w:space="0" w:color="auto"/>
            </w:tcBorders>
            <w:shd w:val="clear" w:color="000000" w:fill="FFFFFF"/>
            <w:noWrap/>
            <w:vAlign w:val="center"/>
            <w:hideMark/>
          </w:tcPr>
          <w:p w14:paraId="54863EFF"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71%</w:t>
            </w:r>
          </w:p>
        </w:tc>
        <w:tc>
          <w:tcPr>
            <w:tcW w:w="1360" w:type="dxa"/>
            <w:tcBorders>
              <w:top w:val="nil"/>
              <w:left w:val="nil"/>
              <w:bottom w:val="single" w:sz="4" w:space="0" w:color="auto"/>
              <w:right w:val="single" w:sz="4" w:space="0" w:color="auto"/>
            </w:tcBorders>
            <w:shd w:val="clear" w:color="000000" w:fill="FFFFFF"/>
            <w:noWrap/>
            <w:vAlign w:val="center"/>
            <w:hideMark/>
          </w:tcPr>
          <w:p w14:paraId="3D2B992C"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56%</w:t>
            </w:r>
          </w:p>
        </w:tc>
        <w:tc>
          <w:tcPr>
            <w:tcW w:w="1200" w:type="dxa"/>
            <w:tcBorders>
              <w:top w:val="nil"/>
              <w:left w:val="nil"/>
              <w:bottom w:val="single" w:sz="4" w:space="0" w:color="auto"/>
              <w:right w:val="single" w:sz="4" w:space="0" w:color="auto"/>
            </w:tcBorders>
            <w:shd w:val="clear" w:color="000000" w:fill="FFFFFF"/>
            <w:noWrap/>
            <w:vAlign w:val="center"/>
            <w:hideMark/>
          </w:tcPr>
          <w:p w14:paraId="4CA01356"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93%</w:t>
            </w:r>
          </w:p>
        </w:tc>
        <w:tc>
          <w:tcPr>
            <w:tcW w:w="1340" w:type="dxa"/>
            <w:tcBorders>
              <w:top w:val="nil"/>
              <w:left w:val="nil"/>
              <w:bottom w:val="single" w:sz="4" w:space="0" w:color="auto"/>
              <w:right w:val="single" w:sz="4" w:space="0" w:color="auto"/>
            </w:tcBorders>
            <w:shd w:val="clear" w:color="000000" w:fill="FFFFFF"/>
            <w:noWrap/>
            <w:vAlign w:val="center"/>
            <w:hideMark/>
          </w:tcPr>
          <w:p w14:paraId="3412A8BA"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227%</w:t>
            </w:r>
          </w:p>
        </w:tc>
        <w:tc>
          <w:tcPr>
            <w:tcW w:w="1340" w:type="dxa"/>
            <w:tcBorders>
              <w:top w:val="nil"/>
              <w:left w:val="nil"/>
              <w:bottom w:val="single" w:sz="4" w:space="0" w:color="auto"/>
              <w:right w:val="single" w:sz="4" w:space="0" w:color="auto"/>
            </w:tcBorders>
            <w:shd w:val="clear" w:color="000000" w:fill="FFFFFF"/>
            <w:noWrap/>
            <w:vAlign w:val="center"/>
            <w:hideMark/>
          </w:tcPr>
          <w:p w14:paraId="4ADFC348"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69%</w:t>
            </w:r>
          </w:p>
        </w:tc>
        <w:tc>
          <w:tcPr>
            <w:tcW w:w="1200" w:type="dxa"/>
            <w:tcBorders>
              <w:top w:val="nil"/>
              <w:left w:val="nil"/>
              <w:bottom w:val="single" w:sz="4" w:space="0" w:color="auto"/>
              <w:right w:val="single" w:sz="4" w:space="0" w:color="auto"/>
            </w:tcBorders>
            <w:shd w:val="clear" w:color="000000" w:fill="FFFFFF"/>
            <w:noWrap/>
            <w:vAlign w:val="center"/>
            <w:hideMark/>
          </w:tcPr>
          <w:p w14:paraId="05538796"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82%</w:t>
            </w:r>
          </w:p>
        </w:tc>
      </w:tr>
      <w:tr w:rsidR="009034C6" w:rsidRPr="00345752" w14:paraId="1ECAE062" w14:textId="77777777" w:rsidTr="009034C6">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43A4DFB8"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8</w:t>
            </w:r>
          </w:p>
        </w:tc>
        <w:tc>
          <w:tcPr>
            <w:tcW w:w="1740" w:type="dxa"/>
            <w:tcBorders>
              <w:top w:val="nil"/>
              <w:left w:val="nil"/>
              <w:bottom w:val="single" w:sz="4" w:space="0" w:color="auto"/>
              <w:right w:val="single" w:sz="4" w:space="0" w:color="auto"/>
            </w:tcBorders>
            <w:shd w:val="clear" w:color="000000" w:fill="FFFFFF"/>
            <w:noWrap/>
            <w:vAlign w:val="center"/>
            <w:hideMark/>
          </w:tcPr>
          <w:p w14:paraId="27277CB9"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78%</w:t>
            </w:r>
          </w:p>
        </w:tc>
        <w:tc>
          <w:tcPr>
            <w:tcW w:w="1200" w:type="dxa"/>
            <w:tcBorders>
              <w:top w:val="nil"/>
              <w:left w:val="nil"/>
              <w:bottom w:val="single" w:sz="4" w:space="0" w:color="auto"/>
              <w:right w:val="single" w:sz="4" w:space="0" w:color="auto"/>
            </w:tcBorders>
            <w:shd w:val="clear" w:color="000000" w:fill="FFFFFF"/>
            <w:noWrap/>
            <w:vAlign w:val="center"/>
            <w:hideMark/>
          </w:tcPr>
          <w:p w14:paraId="30E887BF"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115%</w:t>
            </w:r>
          </w:p>
        </w:tc>
        <w:tc>
          <w:tcPr>
            <w:tcW w:w="1360" w:type="dxa"/>
            <w:tcBorders>
              <w:top w:val="nil"/>
              <w:left w:val="nil"/>
              <w:bottom w:val="single" w:sz="4" w:space="0" w:color="auto"/>
              <w:right w:val="single" w:sz="4" w:space="0" w:color="auto"/>
            </w:tcBorders>
            <w:shd w:val="clear" w:color="000000" w:fill="FFFFFF"/>
            <w:noWrap/>
            <w:vAlign w:val="center"/>
            <w:hideMark/>
          </w:tcPr>
          <w:p w14:paraId="63AC6940"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63%</w:t>
            </w:r>
          </w:p>
        </w:tc>
        <w:tc>
          <w:tcPr>
            <w:tcW w:w="1200" w:type="dxa"/>
            <w:tcBorders>
              <w:top w:val="nil"/>
              <w:left w:val="nil"/>
              <w:bottom w:val="single" w:sz="4" w:space="0" w:color="auto"/>
              <w:right w:val="single" w:sz="4" w:space="0" w:color="auto"/>
            </w:tcBorders>
            <w:shd w:val="clear" w:color="000000" w:fill="FFFFFF"/>
            <w:noWrap/>
            <w:vAlign w:val="center"/>
            <w:hideMark/>
          </w:tcPr>
          <w:p w14:paraId="684EA54C"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113%</w:t>
            </w:r>
          </w:p>
        </w:tc>
        <w:tc>
          <w:tcPr>
            <w:tcW w:w="1340" w:type="dxa"/>
            <w:tcBorders>
              <w:top w:val="nil"/>
              <w:left w:val="nil"/>
              <w:bottom w:val="single" w:sz="4" w:space="0" w:color="auto"/>
              <w:right w:val="single" w:sz="4" w:space="0" w:color="auto"/>
            </w:tcBorders>
            <w:shd w:val="clear" w:color="000000" w:fill="FFFFFF"/>
            <w:noWrap/>
            <w:vAlign w:val="center"/>
            <w:hideMark/>
          </w:tcPr>
          <w:p w14:paraId="2C2847C7"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169%</w:t>
            </w:r>
          </w:p>
        </w:tc>
        <w:tc>
          <w:tcPr>
            <w:tcW w:w="1340" w:type="dxa"/>
            <w:tcBorders>
              <w:top w:val="nil"/>
              <w:left w:val="nil"/>
              <w:bottom w:val="single" w:sz="4" w:space="0" w:color="auto"/>
              <w:right w:val="single" w:sz="4" w:space="0" w:color="auto"/>
            </w:tcBorders>
            <w:shd w:val="clear" w:color="000000" w:fill="FFFFFF"/>
            <w:noWrap/>
            <w:vAlign w:val="center"/>
            <w:hideMark/>
          </w:tcPr>
          <w:p w14:paraId="205657BD"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88%</w:t>
            </w:r>
          </w:p>
        </w:tc>
        <w:tc>
          <w:tcPr>
            <w:tcW w:w="1200" w:type="dxa"/>
            <w:tcBorders>
              <w:top w:val="nil"/>
              <w:left w:val="nil"/>
              <w:bottom w:val="single" w:sz="4" w:space="0" w:color="auto"/>
              <w:right w:val="single" w:sz="4" w:space="0" w:color="auto"/>
            </w:tcBorders>
            <w:shd w:val="clear" w:color="000000" w:fill="FFFFFF"/>
            <w:noWrap/>
            <w:vAlign w:val="center"/>
            <w:hideMark/>
          </w:tcPr>
          <w:p w14:paraId="2B70BB36"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112%</w:t>
            </w:r>
          </w:p>
        </w:tc>
      </w:tr>
      <w:tr w:rsidR="009034C6" w:rsidRPr="00345752" w14:paraId="125E9955" w14:textId="77777777" w:rsidTr="009034C6">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680EDA4E"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9</w:t>
            </w:r>
          </w:p>
        </w:tc>
        <w:tc>
          <w:tcPr>
            <w:tcW w:w="1740" w:type="dxa"/>
            <w:tcBorders>
              <w:top w:val="nil"/>
              <w:left w:val="nil"/>
              <w:bottom w:val="single" w:sz="4" w:space="0" w:color="auto"/>
              <w:right w:val="single" w:sz="4" w:space="0" w:color="auto"/>
            </w:tcBorders>
            <w:shd w:val="clear" w:color="000000" w:fill="FFFFFF"/>
            <w:noWrap/>
            <w:vAlign w:val="center"/>
            <w:hideMark/>
          </w:tcPr>
          <w:p w14:paraId="1CD9BFD9"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71%</w:t>
            </w:r>
          </w:p>
        </w:tc>
        <w:tc>
          <w:tcPr>
            <w:tcW w:w="1200" w:type="dxa"/>
            <w:tcBorders>
              <w:top w:val="nil"/>
              <w:left w:val="nil"/>
              <w:bottom w:val="single" w:sz="4" w:space="0" w:color="auto"/>
              <w:right w:val="single" w:sz="4" w:space="0" w:color="auto"/>
            </w:tcBorders>
            <w:shd w:val="clear" w:color="000000" w:fill="FFFFFF"/>
            <w:noWrap/>
            <w:vAlign w:val="center"/>
            <w:hideMark/>
          </w:tcPr>
          <w:p w14:paraId="68A1B5AE"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133%</w:t>
            </w:r>
          </w:p>
        </w:tc>
        <w:tc>
          <w:tcPr>
            <w:tcW w:w="1360" w:type="dxa"/>
            <w:tcBorders>
              <w:top w:val="nil"/>
              <w:left w:val="nil"/>
              <w:bottom w:val="single" w:sz="4" w:space="0" w:color="auto"/>
              <w:right w:val="single" w:sz="4" w:space="0" w:color="auto"/>
            </w:tcBorders>
            <w:shd w:val="clear" w:color="000000" w:fill="FFFFFF"/>
            <w:noWrap/>
            <w:vAlign w:val="center"/>
            <w:hideMark/>
          </w:tcPr>
          <w:p w14:paraId="1EC3C9DA"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52%</w:t>
            </w:r>
          </w:p>
        </w:tc>
        <w:tc>
          <w:tcPr>
            <w:tcW w:w="1200" w:type="dxa"/>
            <w:tcBorders>
              <w:top w:val="nil"/>
              <w:left w:val="nil"/>
              <w:bottom w:val="single" w:sz="4" w:space="0" w:color="auto"/>
              <w:right w:val="single" w:sz="4" w:space="0" w:color="auto"/>
            </w:tcBorders>
            <w:shd w:val="clear" w:color="000000" w:fill="FFFFFF"/>
            <w:noWrap/>
            <w:vAlign w:val="center"/>
            <w:hideMark/>
          </w:tcPr>
          <w:p w14:paraId="58236A6A"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109%</w:t>
            </w:r>
          </w:p>
        </w:tc>
        <w:tc>
          <w:tcPr>
            <w:tcW w:w="1340" w:type="dxa"/>
            <w:tcBorders>
              <w:top w:val="nil"/>
              <w:left w:val="nil"/>
              <w:bottom w:val="single" w:sz="4" w:space="0" w:color="auto"/>
              <w:right w:val="single" w:sz="4" w:space="0" w:color="auto"/>
            </w:tcBorders>
            <w:shd w:val="clear" w:color="000000" w:fill="FFFFFF"/>
            <w:noWrap/>
            <w:vAlign w:val="center"/>
            <w:hideMark/>
          </w:tcPr>
          <w:p w14:paraId="61B64384"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185%</w:t>
            </w:r>
          </w:p>
        </w:tc>
        <w:tc>
          <w:tcPr>
            <w:tcW w:w="1340" w:type="dxa"/>
            <w:tcBorders>
              <w:top w:val="nil"/>
              <w:left w:val="nil"/>
              <w:bottom w:val="single" w:sz="4" w:space="0" w:color="auto"/>
              <w:right w:val="single" w:sz="4" w:space="0" w:color="auto"/>
            </w:tcBorders>
            <w:shd w:val="clear" w:color="000000" w:fill="FFFFFF"/>
            <w:noWrap/>
            <w:vAlign w:val="center"/>
            <w:hideMark/>
          </w:tcPr>
          <w:p w14:paraId="28490515"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81%</w:t>
            </w:r>
          </w:p>
        </w:tc>
        <w:tc>
          <w:tcPr>
            <w:tcW w:w="1200" w:type="dxa"/>
            <w:tcBorders>
              <w:top w:val="nil"/>
              <w:left w:val="nil"/>
              <w:bottom w:val="single" w:sz="4" w:space="0" w:color="auto"/>
              <w:right w:val="single" w:sz="4" w:space="0" w:color="auto"/>
            </w:tcBorders>
            <w:shd w:val="clear" w:color="000000" w:fill="FFFFFF"/>
            <w:noWrap/>
            <w:vAlign w:val="center"/>
            <w:hideMark/>
          </w:tcPr>
          <w:p w14:paraId="1454C036"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97%</w:t>
            </w:r>
          </w:p>
        </w:tc>
      </w:tr>
      <w:tr w:rsidR="009034C6" w:rsidRPr="00345752" w14:paraId="0A0841BA" w14:textId="77777777" w:rsidTr="009034C6">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522D10D1"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10</w:t>
            </w:r>
          </w:p>
        </w:tc>
        <w:tc>
          <w:tcPr>
            <w:tcW w:w="1740" w:type="dxa"/>
            <w:tcBorders>
              <w:top w:val="nil"/>
              <w:left w:val="nil"/>
              <w:bottom w:val="single" w:sz="4" w:space="0" w:color="auto"/>
              <w:right w:val="single" w:sz="4" w:space="0" w:color="auto"/>
            </w:tcBorders>
            <w:shd w:val="clear" w:color="000000" w:fill="FFFFFF"/>
            <w:noWrap/>
            <w:vAlign w:val="center"/>
            <w:hideMark/>
          </w:tcPr>
          <w:p w14:paraId="25EB11F2"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89%</w:t>
            </w:r>
          </w:p>
        </w:tc>
        <w:tc>
          <w:tcPr>
            <w:tcW w:w="1200" w:type="dxa"/>
            <w:tcBorders>
              <w:top w:val="nil"/>
              <w:left w:val="nil"/>
              <w:bottom w:val="single" w:sz="4" w:space="0" w:color="auto"/>
              <w:right w:val="single" w:sz="4" w:space="0" w:color="auto"/>
            </w:tcBorders>
            <w:shd w:val="clear" w:color="000000" w:fill="FFFFFF"/>
            <w:noWrap/>
            <w:vAlign w:val="center"/>
            <w:hideMark/>
          </w:tcPr>
          <w:p w14:paraId="461C3998"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111%</w:t>
            </w:r>
          </w:p>
        </w:tc>
        <w:tc>
          <w:tcPr>
            <w:tcW w:w="1360" w:type="dxa"/>
            <w:tcBorders>
              <w:top w:val="nil"/>
              <w:left w:val="nil"/>
              <w:bottom w:val="single" w:sz="4" w:space="0" w:color="auto"/>
              <w:right w:val="single" w:sz="4" w:space="0" w:color="auto"/>
            </w:tcBorders>
            <w:shd w:val="clear" w:color="000000" w:fill="FFFFFF"/>
            <w:noWrap/>
            <w:vAlign w:val="center"/>
            <w:hideMark/>
          </w:tcPr>
          <w:p w14:paraId="43DA5D67"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49%</w:t>
            </w:r>
          </w:p>
        </w:tc>
        <w:tc>
          <w:tcPr>
            <w:tcW w:w="1200" w:type="dxa"/>
            <w:tcBorders>
              <w:top w:val="nil"/>
              <w:left w:val="nil"/>
              <w:bottom w:val="single" w:sz="4" w:space="0" w:color="auto"/>
              <w:right w:val="single" w:sz="4" w:space="0" w:color="auto"/>
            </w:tcBorders>
            <w:shd w:val="clear" w:color="000000" w:fill="FFFFFF"/>
            <w:noWrap/>
            <w:vAlign w:val="center"/>
            <w:hideMark/>
          </w:tcPr>
          <w:p w14:paraId="2B3E0273"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109%</w:t>
            </w:r>
          </w:p>
        </w:tc>
        <w:tc>
          <w:tcPr>
            <w:tcW w:w="1340" w:type="dxa"/>
            <w:tcBorders>
              <w:top w:val="nil"/>
              <w:left w:val="nil"/>
              <w:bottom w:val="single" w:sz="4" w:space="0" w:color="auto"/>
              <w:right w:val="single" w:sz="4" w:space="0" w:color="auto"/>
            </w:tcBorders>
            <w:shd w:val="clear" w:color="000000" w:fill="FFFFFF"/>
            <w:noWrap/>
            <w:vAlign w:val="center"/>
            <w:hideMark/>
          </w:tcPr>
          <w:p w14:paraId="04F0BAF1"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253%</w:t>
            </w:r>
          </w:p>
        </w:tc>
        <w:tc>
          <w:tcPr>
            <w:tcW w:w="1340" w:type="dxa"/>
            <w:tcBorders>
              <w:top w:val="nil"/>
              <w:left w:val="nil"/>
              <w:bottom w:val="single" w:sz="4" w:space="0" w:color="auto"/>
              <w:right w:val="single" w:sz="4" w:space="0" w:color="auto"/>
            </w:tcBorders>
            <w:shd w:val="clear" w:color="000000" w:fill="FFFFFF"/>
            <w:noWrap/>
            <w:vAlign w:val="center"/>
            <w:hideMark/>
          </w:tcPr>
          <w:p w14:paraId="224055C4"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89%</w:t>
            </w:r>
          </w:p>
        </w:tc>
        <w:tc>
          <w:tcPr>
            <w:tcW w:w="1200" w:type="dxa"/>
            <w:tcBorders>
              <w:top w:val="nil"/>
              <w:left w:val="nil"/>
              <w:bottom w:val="single" w:sz="4" w:space="0" w:color="auto"/>
              <w:right w:val="single" w:sz="4" w:space="0" w:color="auto"/>
            </w:tcBorders>
            <w:shd w:val="clear" w:color="000000" w:fill="FFFFFF"/>
            <w:noWrap/>
            <w:vAlign w:val="center"/>
            <w:hideMark/>
          </w:tcPr>
          <w:p w14:paraId="19270C1C"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91%</w:t>
            </w:r>
          </w:p>
        </w:tc>
      </w:tr>
      <w:tr w:rsidR="009034C6" w:rsidRPr="00345752" w14:paraId="622E827F" w14:textId="77777777" w:rsidTr="009034C6">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79CE2ED8"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11</w:t>
            </w:r>
          </w:p>
        </w:tc>
        <w:tc>
          <w:tcPr>
            <w:tcW w:w="1740" w:type="dxa"/>
            <w:tcBorders>
              <w:top w:val="nil"/>
              <w:left w:val="nil"/>
              <w:bottom w:val="single" w:sz="4" w:space="0" w:color="auto"/>
              <w:right w:val="single" w:sz="4" w:space="0" w:color="auto"/>
            </w:tcBorders>
            <w:shd w:val="clear" w:color="000000" w:fill="FFFFFF"/>
            <w:noWrap/>
            <w:vAlign w:val="center"/>
            <w:hideMark/>
          </w:tcPr>
          <w:p w14:paraId="75E81019"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86%</w:t>
            </w:r>
          </w:p>
        </w:tc>
        <w:tc>
          <w:tcPr>
            <w:tcW w:w="1200" w:type="dxa"/>
            <w:tcBorders>
              <w:top w:val="nil"/>
              <w:left w:val="nil"/>
              <w:bottom w:val="single" w:sz="4" w:space="0" w:color="auto"/>
              <w:right w:val="single" w:sz="4" w:space="0" w:color="auto"/>
            </w:tcBorders>
            <w:shd w:val="clear" w:color="000000" w:fill="FFFFFF"/>
            <w:noWrap/>
            <w:vAlign w:val="center"/>
            <w:hideMark/>
          </w:tcPr>
          <w:p w14:paraId="62BE8431"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136%</w:t>
            </w:r>
          </w:p>
        </w:tc>
        <w:tc>
          <w:tcPr>
            <w:tcW w:w="1360" w:type="dxa"/>
            <w:tcBorders>
              <w:top w:val="nil"/>
              <w:left w:val="nil"/>
              <w:bottom w:val="single" w:sz="4" w:space="0" w:color="auto"/>
              <w:right w:val="single" w:sz="4" w:space="0" w:color="auto"/>
            </w:tcBorders>
            <w:shd w:val="clear" w:color="000000" w:fill="FFFFFF"/>
            <w:noWrap/>
            <w:vAlign w:val="center"/>
            <w:hideMark/>
          </w:tcPr>
          <w:p w14:paraId="41E24868"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52%</w:t>
            </w:r>
          </w:p>
        </w:tc>
        <w:tc>
          <w:tcPr>
            <w:tcW w:w="1200" w:type="dxa"/>
            <w:tcBorders>
              <w:top w:val="nil"/>
              <w:left w:val="nil"/>
              <w:bottom w:val="single" w:sz="4" w:space="0" w:color="auto"/>
              <w:right w:val="single" w:sz="4" w:space="0" w:color="auto"/>
            </w:tcBorders>
            <w:shd w:val="clear" w:color="000000" w:fill="FFFFFF"/>
            <w:noWrap/>
            <w:vAlign w:val="center"/>
            <w:hideMark/>
          </w:tcPr>
          <w:p w14:paraId="21009A3F"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100%</w:t>
            </w:r>
          </w:p>
        </w:tc>
        <w:tc>
          <w:tcPr>
            <w:tcW w:w="1340" w:type="dxa"/>
            <w:tcBorders>
              <w:top w:val="nil"/>
              <w:left w:val="nil"/>
              <w:bottom w:val="single" w:sz="4" w:space="0" w:color="auto"/>
              <w:right w:val="single" w:sz="4" w:space="0" w:color="auto"/>
            </w:tcBorders>
            <w:shd w:val="clear" w:color="000000" w:fill="FFFFFF"/>
            <w:noWrap/>
            <w:vAlign w:val="center"/>
            <w:hideMark/>
          </w:tcPr>
          <w:p w14:paraId="2F2A1BE9"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227%</w:t>
            </w:r>
          </w:p>
        </w:tc>
        <w:tc>
          <w:tcPr>
            <w:tcW w:w="1340" w:type="dxa"/>
            <w:tcBorders>
              <w:top w:val="nil"/>
              <w:left w:val="nil"/>
              <w:bottom w:val="single" w:sz="4" w:space="0" w:color="auto"/>
              <w:right w:val="single" w:sz="4" w:space="0" w:color="auto"/>
            </w:tcBorders>
            <w:shd w:val="clear" w:color="000000" w:fill="FFFFFF"/>
            <w:noWrap/>
            <w:vAlign w:val="center"/>
            <w:hideMark/>
          </w:tcPr>
          <w:p w14:paraId="7D7D75E2"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97%</w:t>
            </w:r>
          </w:p>
        </w:tc>
        <w:tc>
          <w:tcPr>
            <w:tcW w:w="1200" w:type="dxa"/>
            <w:tcBorders>
              <w:top w:val="nil"/>
              <w:left w:val="nil"/>
              <w:bottom w:val="single" w:sz="4" w:space="0" w:color="auto"/>
              <w:right w:val="single" w:sz="4" w:space="0" w:color="auto"/>
            </w:tcBorders>
            <w:shd w:val="clear" w:color="000000" w:fill="FFFFFF"/>
            <w:noWrap/>
            <w:vAlign w:val="center"/>
            <w:hideMark/>
          </w:tcPr>
          <w:p w14:paraId="512060CD"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76%</w:t>
            </w:r>
          </w:p>
        </w:tc>
      </w:tr>
      <w:tr w:rsidR="009034C6" w:rsidRPr="00345752" w14:paraId="280408BC" w14:textId="77777777" w:rsidTr="009034C6">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2D511CCD"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12</w:t>
            </w:r>
          </w:p>
        </w:tc>
        <w:tc>
          <w:tcPr>
            <w:tcW w:w="1740" w:type="dxa"/>
            <w:tcBorders>
              <w:top w:val="nil"/>
              <w:left w:val="nil"/>
              <w:bottom w:val="single" w:sz="4" w:space="0" w:color="auto"/>
              <w:right w:val="single" w:sz="4" w:space="0" w:color="auto"/>
            </w:tcBorders>
            <w:shd w:val="clear" w:color="000000" w:fill="FFFFFF"/>
            <w:noWrap/>
            <w:vAlign w:val="center"/>
            <w:hideMark/>
          </w:tcPr>
          <w:p w14:paraId="1BCAB612"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99%</w:t>
            </w:r>
          </w:p>
        </w:tc>
        <w:tc>
          <w:tcPr>
            <w:tcW w:w="1200" w:type="dxa"/>
            <w:tcBorders>
              <w:top w:val="nil"/>
              <w:left w:val="nil"/>
              <w:bottom w:val="single" w:sz="4" w:space="0" w:color="auto"/>
              <w:right w:val="single" w:sz="4" w:space="0" w:color="auto"/>
            </w:tcBorders>
            <w:shd w:val="clear" w:color="000000" w:fill="FFFFFF"/>
            <w:noWrap/>
            <w:vAlign w:val="center"/>
            <w:hideMark/>
          </w:tcPr>
          <w:p w14:paraId="4AB7A2F6"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114%</w:t>
            </w:r>
          </w:p>
        </w:tc>
        <w:tc>
          <w:tcPr>
            <w:tcW w:w="1360" w:type="dxa"/>
            <w:tcBorders>
              <w:top w:val="nil"/>
              <w:left w:val="nil"/>
              <w:bottom w:val="single" w:sz="4" w:space="0" w:color="auto"/>
              <w:right w:val="single" w:sz="4" w:space="0" w:color="auto"/>
            </w:tcBorders>
            <w:shd w:val="clear" w:color="000000" w:fill="FFFFFF"/>
            <w:noWrap/>
            <w:vAlign w:val="center"/>
            <w:hideMark/>
          </w:tcPr>
          <w:p w14:paraId="01F389B8"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48%</w:t>
            </w:r>
          </w:p>
        </w:tc>
        <w:tc>
          <w:tcPr>
            <w:tcW w:w="1200" w:type="dxa"/>
            <w:tcBorders>
              <w:top w:val="nil"/>
              <w:left w:val="nil"/>
              <w:bottom w:val="single" w:sz="4" w:space="0" w:color="auto"/>
              <w:right w:val="single" w:sz="4" w:space="0" w:color="auto"/>
            </w:tcBorders>
            <w:shd w:val="clear" w:color="000000" w:fill="FFFFFF"/>
            <w:noWrap/>
            <w:vAlign w:val="center"/>
            <w:hideMark/>
          </w:tcPr>
          <w:p w14:paraId="76F6FCDB"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113%</w:t>
            </w:r>
          </w:p>
        </w:tc>
        <w:tc>
          <w:tcPr>
            <w:tcW w:w="1340" w:type="dxa"/>
            <w:tcBorders>
              <w:top w:val="nil"/>
              <w:left w:val="nil"/>
              <w:bottom w:val="single" w:sz="4" w:space="0" w:color="auto"/>
              <w:right w:val="single" w:sz="4" w:space="0" w:color="auto"/>
            </w:tcBorders>
            <w:shd w:val="clear" w:color="000000" w:fill="FFFFFF"/>
            <w:noWrap/>
            <w:vAlign w:val="center"/>
            <w:hideMark/>
          </w:tcPr>
          <w:p w14:paraId="7C4F536B"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169%</w:t>
            </w:r>
          </w:p>
        </w:tc>
        <w:tc>
          <w:tcPr>
            <w:tcW w:w="1340" w:type="dxa"/>
            <w:tcBorders>
              <w:top w:val="nil"/>
              <w:left w:val="nil"/>
              <w:bottom w:val="single" w:sz="4" w:space="0" w:color="auto"/>
              <w:right w:val="single" w:sz="4" w:space="0" w:color="auto"/>
            </w:tcBorders>
            <w:shd w:val="clear" w:color="000000" w:fill="FFFFFF"/>
            <w:noWrap/>
            <w:vAlign w:val="center"/>
            <w:hideMark/>
          </w:tcPr>
          <w:p w14:paraId="0A403C5E"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79%</w:t>
            </w:r>
          </w:p>
        </w:tc>
        <w:tc>
          <w:tcPr>
            <w:tcW w:w="1200" w:type="dxa"/>
            <w:tcBorders>
              <w:top w:val="nil"/>
              <w:left w:val="nil"/>
              <w:bottom w:val="single" w:sz="4" w:space="0" w:color="auto"/>
              <w:right w:val="single" w:sz="4" w:space="0" w:color="auto"/>
            </w:tcBorders>
            <w:shd w:val="clear" w:color="000000" w:fill="FFFFFF"/>
            <w:noWrap/>
            <w:vAlign w:val="center"/>
            <w:hideMark/>
          </w:tcPr>
          <w:p w14:paraId="5D588570"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106%</w:t>
            </w:r>
          </w:p>
        </w:tc>
      </w:tr>
      <w:tr w:rsidR="009034C6" w:rsidRPr="00345752" w14:paraId="5FAF5001" w14:textId="77777777" w:rsidTr="009034C6">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3DCFCF1E"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13</w:t>
            </w:r>
          </w:p>
        </w:tc>
        <w:tc>
          <w:tcPr>
            <w:tcW w:w="1740" w:type="dxa"/>
            <w:tcBorders>
              <w:top w:val="nil"/>
              <w:left w:val="nil"/>
              <w:bottom w:val="single" w:sz="4" w:space="0" w:color="auto"/>
              <w:right w:val="single" w:sz="4" w:space="0" w:color="auto"/>
            </w:tcBorders>
            <w:shd w:val="clear" w:color="000000" w:fill="FFFFFF"/>
            <w:noWrap/>
            <w:vAlign w:val="center"/>
            <w:hideMark/>
          </w:tcPr>
          <w:p w14:paraId="68497BED"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91%</w:t>
            </w:r>
          </w:p>
        </w:tc>
        <w:tc>
          <w:tcPr>
            <w:tcW w:w="1200" w:type="dxa"/>
            <w:tcBorders>
              <w:top w:val="nil"/>
              <w:left w:val="nil"/>
              <w:bottom w:val="single" w:sz="4" w:space="0" w:color="auto"/>
              <w:right w:val="single" w:sz="4" w:space="0" w:color="auto"/>
            </w:tcBorders>
            <w:shd w:val="clear" w:color="000000" w:fill="FFFFFF"/>
            <w:noWrap/>
            <w:vAlign w:val="center"/>
            <w:hideMark/>
          </w:tcPr>
          <w:p w14:paraId="66241E9E"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106%</w:t>
            </w:r>
          </w:p>
        </w:tc>
        <w:tc>
          <w:tcPr>
            <w:tcW w:w="1360" w:type="dxa"/>
            <w:tcBorders>
              <w:top w:val="nil"/>
              <w:left w:val="nil"/>
              <w:bottom w:val="single" w:sz="4" w:space="0" w:color="auto"/>
              <w:right w:val="single" w:sz="4" w:space="0" w:color="auto"/>
            </w:tcBorders>
            <w:shd w:val="clear" w:color="000000" w:fill="FFFFFF"/>
            <w:noWrap/>
            <w:vAlign w:val="center"/>
            <w:hideMark/>
          </w:tcPr>
          <w:p w14:paraId="12B78657"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56%</w:t>
            </w:r>
          </w:p>
        </w:tc>
        <w:tc>
          <w:tcPr>
            <w:tcW w:w="1200" w:type="dxa"/>
            <w:tcBorders>
              <w:top w:val="nil"/>
              <w:left w:val="nil"/>
              <w:bottom w:val="single" w:sz="4" w:space="0" w:color="auto"/>
              <w:right w:val="single" w:sz="4" w:space="0" w:color="auto"/>
            </w:tcBorders>
            <w:shd w:val="clear" w:color="000000" w:fill="FFFFFF"/>
            <w:noWrap/>
            <w:vAlign w:val="center"/>
            <w:hideMark/>
          </w:tcPr>
          <w:p w14:paraId="25A98382"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 105%</w:t>
            </w:r>
          </w:p>
        </w:tc>
        <w:tc>
          <w:tcPr>
            <w:tcW w:w="1340" w:type="dxa"/>
            <w:tcBorders>
              <w:top w:val="nil"/>
              <w:left w:val="nil"/>
              <w:bottom w:val="single" w:sz="4" w:space="0" w:color="auto"/>
              <w:right w:val="single" w:sz="4" w:space="0" w:color="auto"/>
            </w:tcBorders>
            <w:shd w:val="clear" w:color="000000" w:fill="FFFFFF"/>
            <w:noWrap/>
            <w:vAlign w:val="center"/>
            <w:hideMark/>
          </w:tcPr>
          <w:p w14:paraId="7326EC23"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 264%</w:t>
            </w:r>
          </w:p>
        </w:tc>
        <w:tc>
          <w:tcPr>
            <w:tcW w:w="1340" w:type="dxa"/>
            <w:tcBorders>
              <w:top w:val="nil"/>
              <w:left w:val="nil"/>
              <w:bottom w:val="single" w:sz="4" w:space="0" w:color="auto"/>
              <w:right w:val="single" w:sz="4" w:space="0" w:color="auto"/>
            </w:tcBorders>
            <w:shd w:val="clear" w:color="000000" w:fill="FFFFFF"/>
            <w:noWrap/>
            <w:vAlign w:val="center"/>
            <w:hideMark/>
          </w:tcPr>
          <w:p w14:paraId="373DF9B8"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96%</w:t>
            </w:r>
          </w:p>
        </w:tc>
        <w:tc>
          <w:tcPr>
            <w:tcW w:w="1200" w:type="dxa"/>
            <w:tcBorders>
              <w:top w:val="nil"/>
              <w:left w:val="nil"/>
              <w:bottom w:val="single" w:sz="4" w:space="0" w:color="auto"/>
              <w:right w:val="single" w:sz="4" w:space="0" w:color="auto"/>
            </w:tcBorders>
            <w:shd w:val="clear" w:color="000000" w:fill="FFFFFF"/>
            <w:noWrap/>
            <w:vAlign w:val="center"/>
            <w:hideMark/>
          </w:tcPr>
          <w:p w14:paraId="5FA1DD2F"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62%</w:t>
            </w:r>
          </w:p>
        </w:tc>
      </w:tr>
      <w:tr w:rsidR="009034C6" w:rsidRPr="00345752" w14:paraId="2823FC1E" w14:textId="77777777" w:rsidTr="009034C6">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639D20D6"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14</w:t>
            </w:r>
          </w:p>
        </w:tc>
        <w:tc>
          <w:tcPr>
            <w:tcW w:w="1740" w:type="dxa"/>
            <w:tcBorders>
              <w:top w:val="nil"/>
              <w:left w:val="nil"/>
              <w:bottom w:val="single" w:sz="4" w:space="0" w:color="auto"/>
              <w:right w:val="single" w:sz="4" w:space="0" w:color="auto"/>
            </w:tcBorders>
            <w:shd w:val="clear" w:color="000000" w:fill="FFFFFF"/>
            <w:noWrap/>
            <w:vAlign w:val="center"/>
            <w:hideMark/>
          </w:tcPr>
          <w:p w14:paraId="1E018FDB"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111%</w:t>
            </w:r>
          </w:p>
        </w:tc>
        <w:tc>
          <w:tcPr>
            <w:tcW w:w="1200" w:type="dxa"/>
            <w:tcBorders>
              <w:top w:val="nil"/>
              <w:left w:val="nil"/>
              <w:bottom w:val="single" w:sz="4" w:space="0" w:color="auto"/>
              <w:right w:val="single" w:sz="4" w:space="0" w:color="auto"/>
            </w:tcBorders>
            <w:shd w:val="clear" w:color="000000" w:fill="FFFFFF"/>
            <w:noWrap/>
            <w:vAlign w:val="center"/>
            <w:hideMark/>
          </w:tcPr>
          <w:p w14:paraId="3CF87D6E"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90%</w:t>
            </w:r>
          </w:p>
        </w:tc>
        <w:tc>
          <w:tcPr>
            <w:tcW w:w="1360" w:type="dxa"/>
            <w:tcBorders>
              <w:top w:val="nil"/>
              <w:left w:val="nil"/>
              <w:bottom w:val="single" w:sz="4" w:space="0" w:color="auto"/>
              <w:right w:val="single" w:sz="4" w:space="0" w:color="auto"/>
            </w:tcBorders>
            <w:shd w:val="clear" w:color="000000" w:fill="FFFFFF"/>
            <w:noWrap/>
            <w:vAlign w:val="center"/>
            <w:hideMark/>
          </w:tcPr>
          <w:p w14:paraId="23F0B9A2"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95%</w:t>
            </w:r>
          </w:p>
        </w:tc>
        <w:tc>
          <w:tcPr>
            <w:tcW w:w="1200" w:type="dxa"/>
            <w:tcBorders>
              <w:top w:val="nil"/>
              <w:left w:val="nil"/>
              <w:bottom w:val="single" w:sz="4" w:space="0" w:color="auto"/>
              <w:right w:val="single" w:sz="4" w:space="0" w:color="auto"/>
            </w:tcBorders>
            <w:shd w:val="clear" w:color="000000" w:fill="FFFFFF"/>
            <w:noWrap/>
            <w:vAlign w:val="center"/>
            <w:hideMark/>
          </w:tcPr>
          <w:p w14:paraId="650E3911"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83%</w:t>
            </w:r>
          </w:p>
        </w:tc>
        <w:tc>
          <w:tcPr>
            <w:tcW w:w="1340" w:type="dxa"/>
            <w:tcBorders>
              <w:top w:val="nil"/>
              <w:left w:val="nil"/>
              <w:bottom w:val="single" w:sz="4" w:space="0" w:color="auto"/>
              <w:right w:val="single" w:sz="4" w:space="0" w:color="auto"/>
            </w:tcBorders>
            <w:shd w:val="clear" w:color="000000" w:fill="FFFFFF"/>
            <w:noWrap/>
            <w:vAlign w:val="center"/>
            <w:hideMark/>
          </w:tcPr>
          <w:p w14:paraId="6DB02A5F"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202%</w:t>
            </w:r>
          </w:p>
        </w:tc>
        <w:tc>
          <w:tcPr>
            <w:tcW w:w="1340" w:type="dxa"/>
            <w:tcBorders>
              <w:top w:val="nil"/>
              <w:left w:val="nil"/>
              <w:bottom w:val="single" w:sz="4" w:space="0" w:color="auto"/>
              <w:right w:val="single" w:sz="4" w:space="0" w:color="auto"/>
            </w:tcBorders>
            <w:shd w:val="clear" w:color="000000" w:fill="FFFFFF"/>
            <w:noWrap/>
            <w:vAlign w:val="center"/>
            <w:hideMark/>
          </w:tcPr>
          <w:p w14:paraId="1A567F9E"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75%</w:t>
            </w:r>
          </w:p>
        </w:tc>
        <w:tc>
          <w:tcPr>
            <w:tcW w:w="1200" w:type="dxa"/>
            <w:tcBorders>
              <w:top w:val="nil"/>
              <w:left w:val="nil"/>
              <w:bottom w:val="single" w:sz="4" w:space="0" w:color="auto"/>
              <w:right w:val="single" w:sz="4" w:space="0" w:color="auto"/>
            </w:tcBorders>
            <w:shd w:val="clear" w:color="000000" w:fill="FFFFFF"/>
            <w:noWrap/>
            <w:vAlign w:val="center"/>
            <w:hideMark/>
          </w:tcPr>
          <w:p w14:paraId="036A82AE"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94%</w:t>
            </w:r>
          </w:p>
        </w:tc>
      </w:tr>
      <w:tr w:rsidR="009034C6" w:rsidRPr="00345752" w14:paraId="584B719D" w14:textId="77777777" w:rsidTr="009034C6">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078BD981"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15</w:t>
            </w:r>
          </w:p>
        </w:tc>
        <w:tc>
          <w:tcPr>
            <w:tcW w:w="1740" w:type="dxa"/>
            <w:tcBorders>
              <w:top w:val="nil"/>
              <w:left w:val="nil"/>
              <w:bottom w:val="single" w:sz="4" w:space="0" w:color="auto"/>
              <w:right w:val="single" w:sz="4" w:space="0" w:color="auto"/>
            </w:tcBorders>
            <w:shd w:val="clear" w:color="000000" w:fill="FFFFFF"/>
            <w:noWrap/>
            <w:vAlign w:val="center"/>
            <w:hideMark/>
          </w:tcPr>
          <w:p w14:paraId="1B23CBBC"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89%</w:t>
            </w:r>
          </w:p>
        </w:tc>
        <w:tc>
          <w:tcPr>
            <w:tcW w:w="1200" w:type="dxa"/>
            <w:tcBorders>
              <w:top w:val="nil"/>
              <w:left w:val="nil"/>
              <w:bottom w:val="single" w:sz="4" w:space="0" w:color="auto"/>
              <w:right w:val="single" w:sz="4" w:space="0" w:color="auto"/>
            </w:tcBorders>
            <w:shd w:val="clear" w:color="000000" w:fill="FFFFFF"/>
            <w:noWrap/>
            <w:vAlign w:val="center"/>
            <w:hideMark/>
          </w:tcPr>
          <w:p w14:paraId="474BA2AB"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107%</w:t>
            </w:r>
          </w:p>
        </w:tc>
        <w:tc>
          <w:tcPr>
            <w:tcW w:w="1360" w:type="dxa"/>
            <w:tcBorders>
              <w:top w:val="nil"/>
              <w:left w:val="nil"/>
              <w:bottom w:val="single" w:sz="4" w:space="0" w:color="auto"/>
              <w:right w:val="single" w:sz="4" w:space="0" w:color="auto"/>
            </w:tcBorders>
            <w:shd w:val="clear" w:color="000000" w:fill="FFFFFF"/>
            <w:noWrap/>
            <w:vAlign w:val="center"/>
            <w:hideMark/>
          </w:tcPr>
          <w:p w14:paraId="3BAC5CE1"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62%</w:t>
            </w:r>
          </w:p>
        </w:tc>
        <w:tc>
          <w:tcPr>
            <w:tcW w:w="1200" w:type="dxa"/>
            <w:tcBorders>
              <w:top w:val="nil"/>
              <w:left w:val="nil"/>
              <w:bottom w:val="single" w:sz="4" w:space="0" w:color="auto"/>
              <w:right w:val="single" w:sz="4" w:space="0" w:color="auto"/>
            </w:tcBorders>
            <w:shd w:val="clear" w:color="000000" w:fill="FFFFFF"/>
            <w:noWrap/>
            <w:vAlign w:val="center"/>
            <w:hideMark/>
          </w:tcPr>
          <w:p w14:paraId="5E73E6A6"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90%</w:t>
            </w:r>
          </w:p>
        </w:tc>
        <w:tc>
          <w:tcPr>
            <w:tcW w:w="1340" w:type="dxa"/>
            <w:tcBorders>
              <w:top w:val="nil"/>
              <w:left w:val="nil"/>
              <w:bottom w:val="single" w:sz="4" w:space="0" w:color="auto"/>
              <w:right w:val="single" w:sz="4" w:space="0" w:color="auto"/>
            </w:tcBorders>
            <w:shd w:val="clear" w:color="000000" w:fill="FFFFFF"/>
            <w:noWrap/>
            <w:vAlign w:val="center"/>
            <w:hideMark/>
          </w:tcPr>
          <w:p w14:paraId="1F645003"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210%</w:t>
            </w:r>
          </w:p>
        </w:tc>
        <w:tc>
          <w:tcPr>
            <w:tcW w:w="1340" w:type="dxa"/>
            <w:tcBorders>
              <w:top w:val="nil"/>
              <w:left w:val="nil"/>
              <w:bottom w:val="single" w:sz="4" w:space="0" w:color="auto"/>
              <w:right w:val="single" w:sz="4" w:space="0" w:color="auto"/>
            </w:tcBorders>
            <w:shd w:val="clear" w:color="000000" w:fill="FFFFFF"/>
            <w:noWrap/>
            <w:vAlign w:val="center"/>
            <w:hideMark/>
          </w:tcPr>
          <w:p w14:paraId="665E5788"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73%</w:t>
            </w:r>
          </w:p>
        </w:tc>
        <w:tc>
          <w:tcPr>
            <w:tcW w:w="1200" w:type="dxa"/>
            <w:tcBorders>
              <w:top w:val="nil"/>
              <w:left w:val="nil"/>
              <w:bottom w:val="single" w:sz="4" w:space="0" w:color="auto"/>
              <w:right w:val="single" w:sz="4" w:space="0" w:color="auto"/>
            </w:tcBorders>
            <w:shd w:val="clear" w:color="000000" w:fill="FFFFFF"/>
            <w:noWrap/>
            <w:vAlign w:val="center"/>
            <w:hideMark/>
          </w:tcPr>
          <w:p w14:paraId="4C50F172"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129%</w:t>
            </w:r>
          </w:p>
        </w:tc>
      </w:tr>
      <w:tr w:rsidR="009034C6" w:rsidRPr="00345752" w14:paraId="39602CE8" w14:textId="77777777" w:rsidTr="009034C6">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61526DA6"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16</w:t>
            </w:r>
          </w:p>
        </w:tc>
        <w:tc>
          <w:tcPr>
            <w:tcW w:w="1740" w:type="dxa"/>
            <w:tcBorders>
              <w:top w:val="nil"/>
              <w:left w:val="nil"/>
              <w:bottom w:val="single" w:sz="4" w:space="0" w:color="auto"/>
              <w:right w:val="single" w:sz="4" w:space="0" w:color="auto"/>
            </w:tcBorders>
            <w:shd w:val="clear" w:color="000000" w:fill="FFFFFF"/>
            <w:noWrap/>
            <w:vAlign w:val="center"/>
            <w:hideMark/>
          </w:tcPr>
          <w:p w14:paraId="32455C70"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91%</w:t>
            </w:r>
          </w:p>
        </w:tc>
        <w:tc>
          <w:tcPr>
            <w:tcW w:w="1200" w:type="dxa"/>
            <w:tcBorders>
              <w:top w:val="nil"/>
              <w:left w:val="nil"/>
              <w:bottom w:val="single" w:sz="4" w:space="0" w:color="auto"/>
              <w:right w:val="single" w:sz="4" w:space="0" w:color="auto"/>
            </w:tcBorders>
            <w:shd w:val="clear" w:color="000000" w:fill="FFFFFF"/>
            <w:noWrap/>
            <w:vAlign w:val="center"/>
            <w:hideMark/>
          </w:tcPr>
          <w:p w14:paraId="29F7F414"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106%</w:t>
            </w:r>
          </w:p>
        </w:tc>
        <w:tc>
          <w:tcPr>
            <w:tcW w:w="1360" w:type="dxa"/>
            <w:tcBorders>
              <w:top w:val="nil"/>
              <w:left w:val="nil"/>
              <w:bottom w:val="single" w:sz="4" w:space="0" w:color="auto"/>
              <w:right w:val="single" w:sz="4" w:space="0" w:color="auto"/>
            </w:tcBorders>
            <w:shd w:val="clear" w:color="000000" w:fill="FFFFFF"/>
            <w:noWrap/>
            <w:vAlign w:val="center"/>
            <w:hideMark/>
          </w:tcPr>
          <w:p w14:paraId="285B705E"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79%</w:t>
            </w:r>
          </w:p>
        </w:tc>
        <w:tc>
          <w:tcPr>
            <w:tcW w:w="1200" w:type="dxa"/>
            <w:tcBorders>
              <w:top w:val="nil"/>
              <w:left w:val="nil"/>
              <w:bottom w:val="single" w:sz="4" w:space="0" w:color="auto"/>
              <w:right w:val="single" w:sz="4" w:space="0" w:color="auto"/>
            </w:tcBorders>
            <w:shd w:val="clear" w:color="000000" w:fill="FFFFFF"/>
            <w:noWrap/>
            <w:vAlign w:val="center"/>
            <w:hideMark/>
          </w:tcPr>
          <w:p w14:paraId="56F29C77"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89%</w:t>
            </w:r>
          </w:p>
        </w:tc>
        <w:tc>
          <w:tcPr>
            <w:tcW w:w="1340" w:type="dxa"/>
            <w:tcBorders>
              <w:top w:val="nil"/>
              <w:left w:val="nil"/>
              <w:bottom w:val="single" w:sz="4" w:space="0" w:color="auto"/>
              <w:right w:val="single" w:sz="4" w:space="0" w:color="auto"/>
            </w:tcBorders>
            <w:shd w:val="clear" w:color="000000" w:fill="FFFFFF"/>
            <w:noWrap/>
            <w:vAlign w:val="center"/>
            <w:hideMark/>
          </w:tcPr>
          <w:p w14:paraId="346964A9"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157%</w:t>
            </w:r>
          </w:p>
        </w:tc>
        <w:tc>
          <w:tcPr>
            <w:tcW w:w="1340" w:type="dxa"/>
            <w:tcBorders>
              <w:top w:val="nil"/>
              <w:left w:val="nil"/>
              <w:bottom w:val="single" w:sz="4" w:space="0" w:color="auto"/>
              <w:right w:val="single" w:sz="4" w:space="0" w:color="auto"/>
            </w:tcBorders>
            <w:shd w:val="clear" w:color="000000" w:fill="FFFFFF"/>
            <w:noWrap/>
            <w:vAlign w:val="center"/>
            <w:hideMark/>
          </w:tcPr>
          <w:p w14:paraId="4A4782A8"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96%</w:t>
            </w:r>
          </w:p>
        </w:tc>
        <w:tc>
          <w:tcPr>
            <w:tcW w:w="1200" w:type="dxa"/>
            <w:tcBorders>
              <w:top w:val="nil"/>
              <w:left w:val="nil"/>
              <w:bottom w:val="single" w:sz="4" w:space="0" w:color="auto"/>
              <w:right w:val="single" w:sz="4" w:space="0" w:color="auto"/>
            </w:tcBorders>
            <w:shd w:val="clear" w:color="000000" w:fill="FFFFFF"/>
            <w:noWrap/>
            <w:vAlign w:val="center"/>
            <w:hideMark/>
          </w:tcPr>
          <w:p w14:paraId="346C4A03"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88%</w:t>
            </w:r>
          </w:p>
        </w:tc>
      </w:tr>
      <w:tr w:rsidR="009034C6" w:rsidRPr="00345752" w14:paraId="02E44109" w14:textId="77777777" w:rsidTr="009034C6">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39A795A0"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17</w:t>
            </w:r>
          </w:p>
        </w:tc>
        <w:tc>
          <w:tcPr>
            <w:tcW w:w="1740" w:type="dxa"/>
            <w:tcBorders>
              <w:top w:val="nil"/>
              <w:left w:val="nil"/>
              <w:bottom w:val="single" w:sz="4" w:space="0" w:color="auto"/>
              <w:right w:val="single" w:sz="4" w:space="0" w:color="auto"/>
            </w:tcBorders>
            <w:shd w:val="clear" w:color="000000" w:fill="FFFFFF"/>
            <w:noWrap/>
            <w:vAlign w:val="center"/>
            <w:hideMark/>
          </w:tcPr>
          <w:p w14:paraId="6D23F0B1"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73%</w:t>
            </w:r>
          </w:p>
        </w:tc>
        <w:tc>
          <w:tcPr>
            <w:tcW w:w="1200" w:type="dxa"/>
            <w:tcBorders>
              <w:top w:val="nil"/>
              <w:left w:val="nil"/>
              <w:bottom w:val="single" w:sz="4" w:space="0" w:color="auto"/>
              <w:right w:val="single" w:sz="4" w:space="0" w:color="auto"/>
            </w:tcBorders>
            <w:shd w:val="clear" w:color="000000" w:fill="FFFFFF"/>
            <w:noWrap/>
            <w:vAlign w:val="center"/>
            <w:hideMark/>
          </w:tcPr>
          <w:p w14:paraId="16D5A0C7"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102%</w:t>
            </w:r>
          </w:p>
        </w:tc>
        <w:tc>
          <w:tcPr>
            <w:tcW w:w="1360" w:type="dxa"/>
            <w:tcBorders>
              <w:top w:val="nil"/>
              <w:left w:val="nil"/>
              <w:bottom w:val="single" w:sz="4" w:space="0" w:color="auto"/>
              <w:right w:val="single" w:sz="4" w:space="0" w:color="auto"/>
            </w:tcBorders>
            <w:shd w:val="clear" w:color="000000" w:fill="FFFFFF"/>
            <w:noWrap/>
            <w:vAlign w:val="center"/>
            <w:hideMark/>
          </w:tcPr>
          <w:p w14:paraId="1C85AA1E"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54%</w:t>
            </w:r>
          </w:p>
        </w:tc>
        <w:tc>
          <w:tcPr>
            <w:tcW w:w="1200" w:type="dxa"/>
            <w:tcBorders>
              <w:top w:val="nil"/>
              <w:left w:val="nil"/>
              <w:bottom w:val="single" w:sz="4" w:space="0" w:color="auto"/>
              <w:right w:val="single" w:sz="4" w:space="0" w:color="auto"/>
            </w:tcBorders>
            <w:shd w:val="clear" w:color="000000" w:fill="FFFFFF"/>
            <w:noWrap/>
            <w:vAlign w:val="center"/>
            <w:hideMark/>
          </w:tcPr>
          <w:p w14:paraId="4EDC00BD"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108%</w:t>
            </w:r>
          </w:p>
        </w:tc>
        <w:tc>
          <w:tcPr>
            <w:tcW w:w="1340" w:type="dxa"/>
            <w:tcBorders>
              <w:top w:val="nil"/>
              <w:left w:val="nil"/>
              <w:bottom w:val="single" w:sz="4" w:space="0" w:color="auto"/>
              <w:right w:val="single" w:sz="4" w:space="0" w:color="auto"/>
            </w:tcBorders>
            <w:shd w:val="clear" w:color="000000" w:fill="FFFFFF"/>
            <w:noWrap/>
            <w:vAlign w:val="center"/>
            <w:hideMark/>
          </w:tcPr>
          <w:p w14:paraId="69152335"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2.08</w:t>
            </w:r>
          </w:p>
        </w:tc>
        <w:tc>
          <w:tcPr>
            <w:tcW w:w="1340" w:type="dxa"/>
            <w:tcBorders>
              <w:top w:val="nil"/>
              <w:left w:val="nil"/>
              <w:bottom w:val="single" w:sz="4" w:space="0" w:color="auto"/>
              <w:right w:val="single" w:sz="4" w:space="0" w:color="auto"/>
            </w:tcBorders>
            <w:shd w:val="clear" w:color="000000" w:fill="FFFFFF"/>
            <w:noWrap/>
            <w:vAlign w:val="center"/>
            <w:hideMark/>
          </w:tcPr>
          <w:p w14:paraId="6AF48C35"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111%</w:t>
            </w:r>
          </w:p>
        </w:tc>
        <w:tc>
          <w:tcPr>
            <w:tcW w:w="1200" w:type="dxa"/>
            <w:tcBorders>
              <w:top w:val="nil"/>
              <w:left w:val="nil"/>
              <w:bottom w:val="single" w:sz="4" w:space="0" w:color="auto"/>
              <w:right w:val="single" w:sz="4" w:space="0" w:color="auto"/>
            </w:tcBorders>
            <w:shd w:val="clear" w:color="000000" w:fill="FFFFFF"/>
            <w:noWrap/>
            <w:vAlign w:val="center"/>
            <w:hideMark/>
          </w:tcPr>
          <w:p w14:paraId="42B3B2EF"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91%</w:t>
            </w:r>
          </w:p>
        </w:tc>
      </w:tr>
      <w:tr w:rsidR="009034C6" w:rsidRPr="00345752" w14:paraId="4666E561" w14:textId="77777777" w:rsidTr="009034C6">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099FB151"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18</w:t>
            </w:r>
          </w:p>
        </w:tc>
        <w:tc>
          <w:tcPr>
            <w:tcW w:w="1740" w:type="dxa"/>
            <w:tcBorders>
              <w:top w:val="nil"/>
              <w:left w:val="nil"/>
              <w:bottom w:val="single" w:sz="4" w:space="0" w:color="auto"/>
              <w:right w:val="single" w:sz="4" w:space="0" w:color="auto"/>
            </w:tcBorders>
            <w:shd w:val="clear" w:color="000000" w:fill="FFFFFF"/>
            <w:noWrap/>
            <w:vAlign w:val="center"/>
            <w:hideMark/>
          </w:tcPr>
          <w:p w14:paraId="4E622900"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81%</w:t>
            </w:r>
          </w:p>
        </w:tc>
        <w:tc>
          <w:tcPr>
            <w:tcW w:w="1200" w:type="dxa"/>
            <w:tcBorders>
              <w:top w:val="nil"/>
              <w:left w:val="nil"/>
              <w:bottom w:val="single" w:sz="4" w:space="0" w:color="auto"/>
              <w:right w:val="single" w:sz="4" w:space="0" w:color="auto"/>
            </w:tcBorders>
            <w:shd w:val="clear" w:color="000000" w:fill="FFFFFF"/>
            <w:noWrap/>
            <w:vAlign w:val="center"/>
            <w:hideMark/>
          </w:tcPr>
          <w:p w14:paraId="26CBB4CB"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137%</w:t>
            </w:r>
          </w:p>
        </w:tc>
        <w:tc>
          <w:tcPr>
            <w:tcW w:w="1360" w:type="dxa"/>
            <w:tcBorders>
              <w:top w:val="nil"/>
              <w:left w:val="nil"/>
              <w:bottom w:val="single" w:sz="4" w:space="0" w:color="auto"/>
              <w:right w:val="single" w:sz="4" w:space="0" w:color="auto"/>
            </w:tcBorders>
            <w:shd w:val="clear" w:color="000000" w:fill="FFFFFF"/>
            <w:noWrap/>
            <w:vAlign w:val="center"/>
            <w:hideMark/>
          </w:tcPr>
          <w:p w14:paraId="6FE38518"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56%</w:t>
            </w:r>
          </w:p>
        </w:tc>
        <w:tc>
          <w:tcPr>
            <w:tcW w:w="1200" w:type="dxa"/>
            <w:tcBorders>
              <w:top w:val="nil"/>
              <w:left w:val="nil"/>
              <w:bottom w:val="single" w:sz="4" w:space="0" w:color="auto"/>
              <w:right w:val="single" w:sz="4" w:space="0" w:color="auto"/>
            </w:tcBorders>
            <w:shd w:val="clear" w:color="000000" w:fill="FFFFFF"/>
            <w:noWrap/>
            <w:vAlign w:val="center"/>
            <w:hideMark/>
          </w:tcPr>
          <w:p w14:paraId="0675D026"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80%</w:t>
            </w:r>
          </w:p>
        </w:tc>
        <w:tc>
          <w:tcPr>
            <w:tcW w:w="1340" w:type="dxa"/>
            <w:tcBorders>
              <w:top w:val="nil"/>
              <w:left w:val="nil"/>
              <w:bottom w:val="single" w:sz="4" w:space="0" w:color="auto"/>
              <w:right w:val="single" w:sz="4" w:space="0" w:color="auto"/>
            </w:tcBorders>
            <w:shd w:val="clear" w:color="000000" w:fill="FFFFFF"/>
            <w:noWrap/>
            <w:vAlign w:val="center"/>
            <w:hideMark/>
          </w:tcPr>
          <w:p w14:paraId="70BF00F7"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222%</w:t>
            </w:r>
          </w:p>
        </w:tc>
        <w:tc>
          <w:tcPr>
            <w:tcW w:w="1340" w:type="dxa"/>
            <w:tcBorders>
              <w:top w:val="nil"/>
              <w:left w:val="nil"/>
              <w:bottom w:val="single" w:sz="4" w:space="0" w:color="auto"/>
              <w:right w:val="single" w:sz="4" w:space="0" w:color="auto"/>
            </w:tcBorders>
            <w:shd w:val="clear" w:color="000000" w:fill="FFFFFF"/>
            <w:noWrap/>
            <w:vAlign w:val="center"/>
            <w:hideMark/>
          </w:tcPr>
          <w:p w14:paraId="6A9508A7"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92%</w:t>
            </w:r>
          </w:p>
        </w:tc>
        <w:tc>
          <w:tcPr>
            <w:tcW w:w="1200" w:type="dxa"/>
            <w:tcBorders>
              <w:top w:val="nil"/>
              <w:left w:val="nil"/>
              <w:bottom w:val="single" w:sz="4" w:space="0" w:color="auto"/>
              <w:right w:val="single" w:sz="4" w:space="0" w:color="auto"/>
            </w:tcBorders>
            <w:shd w:val="clear" w:color="000000" w:fill="FFFFFF"/>
            <w:noWrap/>
            <w:vAlign w:val="center"/>
            <w:hideMark/>
          </w:tcPr>
          <w:p w14:paraId="7279D17F"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94%</w:t>
            </w:r>
          </w:p>
        </w:tc>
      </w:tr>
      <w:tr w:rsidR="009034C6" w:rsidRPr="00345752" w14:paraId="6C0EF2CC" w14:textId="77777777" w:rsidTr="009034C6">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747A97F8"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19</w:t>
            </w:r>
          </w:p>
        </w:tc>
        <w:tc>
          <w:tcPr>
            <w:tcW w:w="1740" w:type="dxa"/>
            <w:tcBorders>
              <w:top w:val="nil"/>
              <w:left w:val="nil"/>
              <w:bottom w:val="single" w:sz="4" w:space="0" w:color="auto"/>
              <w:right w:val="single" w:sz="4" w:space="0" w:color="auto"/>
            </w:tcBorders>
            <w:shd w:val="clear" w:color="000000" w:fill="FFFFFF"/>
            <w:noWrap/>
            <w:vAlign w:val="center"/>
            <w:hideMark/>
          </w:tcPr>
          <w:p w14:paraId="1E250E37"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85%</w:t>
            </w:r>
          </w:p>
        </w:tc>
        <w:tc>
          <w:tcPr>
            <w:tcW w:w="1200" w:type="dxa"/>
            <w:tcBorders>
              <w:top w:val="nil"/>
              <w:left w:val="nil"/>
              <w:bottom w:val="single" w:sz="4" w:space="0" w:color="auto"/>
              <w:right w:val="single" w:sz="4" w:space="0" w:color="auto"/>
            </w:tcBorders>
            <w:shd w:val="clear" w:color="000000" w:fill="FFFFFF"/>
            <w:noWrap/>
            <w:vAlign w:val="center"/>
            <w:hideMark/>
          </w:tcPr>
          <w:p w14:paraId="0E9F170B"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168%</w:t>
            </w:r>
          </w:p>
        </w:tc>
        <w:tc>
          <w:tcPr>
            <w:tcW w:w="1360" w:type="dxa"/>
            <w:tcBorders>
              <w:top w:val="nil"/>
              <w:left w:val="nil"/>
              <w:bottom w:val="single" w:sz="4" w:space="0" w:color="auto"/>
              <w:right w:val="single" w:sz="4" w:space="0" w:color="auto"/>
            </w:tcBorders>
            <w:shd w:val="clear" w:color="000000" w:fill="FFFFFF"/>
            <w:noWrap/>
            <w:vAlign w:val="center"/>
            <w:hideMark/>
          </w:tcPr>
          <w:p w14:paraId="0843CA48"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46%</w:t>
            </w:r>
          </w:p>
        </w:tc>
        <w:tc>
          <w:tcPr>
            <w:tcW w:w="1200" w:type="dxa"/>
            <w:tcBorders>
              <w:top w:val="nil"/>
              <w:left w:val="nil"/>
              <w:bottom w:val="single" w:sz="4" w:space="0" w:color="auto"/>
              <w:right w:val="single" w:sz="4" w:space="0" w:color="auto"/>
            </w:tcBorders>
            <w:shd w:val="clear" w:color="000000" w:fill="FFFFFF"/>
            <w:noWrap/>
            <w:vAlign w:val="center"/>
            <w:hideMark/>
          </w:tcPr>
          <w:p w14:paraId="2BB3D1FF"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100%</w:t>
            </w:r>
          </w:p>
        </w:tc>
        <w:tc>
          <w:tcPr>
            <w:tcW w:w="1340" w:type="dxa"/>
            <w:tcBorders>
              <w:top w:val="nil"/>
              <w:left w:val="nil"/>
              <w:bottom w:val="single" w:sz="4" w:space="0" w:color="auto"/>
              <w:right w:val="single" w:sz="4" w:space="0" w:color="auto"/>
            </w:tcBorders>
            <w:shd w:val="clear" w:color="000000" w:fill="FFFFFF"/>
            <w:noWrap/>
            <w:vAlign w:val="center"/>
            <w:hideMark/>
          </w:tcPr>
          <w:p w14:paraId="2C8BF310"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211%</w:t>
            </w:r>
          </w:p>
        </w:tc>
        <w:tc>
          <w:tcPr>
            <w:tcW w:w="1340" w:type="dxa"/>
            <w:tcBorders>
              <w:top w:val="nil"/>
              <w:left w:val="nil"/>
              <w:bottom w:val="single" w:sz="4" w:space="0" w:color="auto"/>
              <w:right w:val="single" w:sz="4" w:space="0" w:color="auto"/>
            </w:tcBorders>
            <w:shd w:val="clear" w:color="000000" w:fill="FFFFFF"/>
            <w:noWrap/>
            <w:vAlign w:val="center"/>
            <w:hideMark/>
          </w:tcPr>
          <w:p w14:paraId="0FF874F9"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84%</w:t>
            </w:r>
          </w:p>
        </w:tc>
        <w:tc>
          <w:tcPr>
            <w:tcW w:w="1200" w:type="dxa"/>
            <w:tcBorders>
              <w:top w:val="nil"/>
              <w:left w:val="nil"/>
              <w:bottom w:val="single" w:sz="4" w:space="0" w:color="auto"/>
              <w:right w:val="single" w:sz="4" w:space="0" w:color="auto"/>
            </w:tcBorders>
            <w:shd w:val="clear" w:color="000000" w:fill="FFFFFF"/>
            <w:noWrap/>
            <w:vAlign w:val="center"/>
            <w:hideMark/>
          </w:tcPr>
          <w:p w14:paraId="49AC24DC"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88%</w:t>
            </w:r>
          </w:p>
        </w:tc>
      </w:tr>
      <w:tr w:rsidR="009034C6" w:rsidRPr="00345752" w14:paraId="45D647B0" w14:textId="77777777" w:rsidTr="009034C6">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14856503"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20</w:t>
            </w:r>
          </w:p>
        </w:tc>
        <w:tc>
          <w:tcPr>
            <w:tcW w:w="1740" w:type="dxa"/>
            <w:tcBorders>
              <w:top w:val="nil"/>
              <w:left w:val="nil"/>
              <w:bottom w:val="single" w:sz="4" w:space="0" w:color="auto"/>
              <w:right w:val="single" w:sz="4" w:space="0" w:color="auto"/>
            </w:tcBorders>
            <w:shd w:val="clear" w:color="000000" w:fill="FFFFFF"/>
            <w:noWrap/>
            <w:vAlign w:val="center"/>
            <w:hideMark/>
          </w:tcPr>
          <w:p w14:paraId="5C80E2F4"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73%</w:t>
            </w:r>
          </w:p>
        </w:tc>
        <w:tc>
          <w:tcPr>
            <w:tcW w:w="1200" w:type="dxa"/>
            <w:tcBorders>
              <w:top w:val="nil"/>
              <w:left w:val="nil"/>
              <w:bottom w:val="single" w:sz="4" w:space="0" w:color="auto"/>
              <w:right w:val="single" w:sz="4" w:space="0" w:color="auto"/>
            </w:tcBorders>
            <w:shd w:val="clear" w:color="000000" w:fill="FFFFFF"/>
            <w:noWrap/>
            <w:vAlign w:val="center"/>
            <w:hideMark/>
          </w:tcPr>
          <w:p w14:paraId="578F93B0"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157%</w:t>
            </w:r>
          </w:p>
        </w:tc>
        <w:tc>
          <w:tcPr>
            <w:tcW w:w="1360" w:type="dxa"/>
            <w:tcBorders>
              <w:top w:val="nil"/>
              <w:left w:val="nil"/>
              <w:bottom w:val="single" w:sz="4" w:space="0" w:color="auto"/>
              <w:right w:val="single" w:sz="4" w:space="0" w:color="auto"/>
            </w:tcBorders>
            <w:shd w:val="clear" w:color="000000" w:fill="FFFFFF"/>
            <w:noWrap/>
            <w:vAlign w:val="center"/>
            <w:hideMark/>
          </w:tcPr>
          <w:p w14:paraId="3A21BA1A"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40%</w:t>
            </w:r>
          </w:p>
        </w:tc>
        <w:tc>
          <w:tcPr>
            <w:tcW w:w="1200" w:type="dxa"/>
            <w:tcBorders>
              <w:top w:val="nil"/>
              <w:left w:val="nil"/>
              <w:bottom w:val="single" w:sz="4" w:space="0" w:color="auto"/>
              <w:right w:val="single" w:sz="4" w:space="0" w:color="auto"/>
            </w:tcBorders>
            <w:shd w:val="clear" w:color="000000" w:fill="FFFFFF"/>
            <w:noWrap/>
            <w:vAlign w:val="center"/>
            <w:hideMark/>
          </w:tcPr>
          <w:p w14:paraId="3AED5841"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120%</w:t>
            </w:r>
          </w:p>
        </w:tc>
        <w:tc>
          <w:tcPr>
            <w:tcW w:w="1340" w:type="dxa"/>
            <w:tcBorders>
              <w:top w:val="nil"/>
              <w:left w:val="nil"/>
              <w:bottom w:val="single" w:sz="4" w:space="0" w:color="auto"/>
              <w:right w:val="single" w:sz="4" w:space="0" w:color="auto"/>
            </w:tcBorders>
            <w:shd w:val="clear" w:color="000000" w:fill="FFFFFF"/>
            <w:noWrap/>
            <w:vAlign w:val="center"/>
            <w:hideMark/>
          </w:tcPr>
          <w:p w14:paraId="3E5F832A"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220%</w:t>
            </w:r>
          </w:p>
        </w:tc>
        <w:tc>
          <w:tcPr>
            <w:tcW w:w="1340" w:type="dxa"/>
            <w:tcBorders>
              <w:top w:val="nil"/>
              <w:left w:val="nil"/>
              <w:bottom w:val="single" w:sz="4" w:space="0" w:color="auto"/>
              <w:right w:val="single" w:sz="4" w:space="0" w:color="auto"/>
            </w:tcBorders>
            <w:shd w:val="clear" w:color="000000" w:fill="FFFFFF"/>
            <w:noWrap/>
            <w:vAlign w:val="center"/>
            <w:hideMark/>
          </w:tcPr>
          <w:p w14:paraId="7137BC05"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116%</w:t>
            </w:r>
          </w:p>
        </w:tc>
        <w:tc>
          <w:tcPr>
            <w:tcW w:w="1200" w:type="dxa"/>
            <w:tcBorders>
              <w:top w:val="nil"/>
              <w:left w:val="nil"/>
              <w:bottom w:val="single" w:sz="4" w:space="0" w:color="auto"/>
              <w:right w:val="single" w:sz="4" w:space="0" w:color="auto"/>
            </w:tcBorders>
            <w:shd w:val="clear" w:color="000000" w:fill="FFFFFF"/>
            <w:noWrap/>
            <w:vAlign w:val="center"/>
            <w:hideMark/>
          </w:tcPr>
          <w:p w14:paraId="0234FCE3"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74%</w:t>
            </w:r>
          </w:p>
        </w:tc>
      </w:tr>
      <w:tr w:rsidR="009034C6" w:rsidRPr="00345752" w14:paraId="113638B9" w14:textId="77777777" w:rsidTr="009034C6">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4888FFC2"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21</w:t>
            </w:r>
          </w:p>
        </w:tc>
        <w:tc>
          <w:tcPr>
            <w:tcW w:w="1740" w:type="dxa"/>
            <w:tcBorders>
              <w:top w:val="nil"/>
              <w:left w:val="nil"/>
              <w:bottom w:val="single" w:sz="4" w:space="0" w:color="auto"/>
              <w:right w:val="single" w:sz="4" w:space="0" w:color="auto"/>
            </w:tcBorders>
            <w:shd w:val="clear" w:color="000000" w:fill="FFFFFF"/>
            <w:noWrap/>
            <w:vAlign w:val="center"/>
            <w:hideMark/>
          </w:tcPr>
          <w:p w14:paraId="4AC897A2"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93%</w:t>
            </w:r>
          </w:p>
        </w:tc>
        <w:tc>
          <w:tcPr>
            <w:tcW w:w="1200" w:type="dxa"/>
            <w:tcBorders>
              <w:top w:val="nil"/>
              <w:left w:val="nil"/>
              <w:bottom w:val="single" w:sz="4" w:space="0" w:color="auto"/>
              <w:right w:val="single" w:sz="4" w:space="0" w:color="auto"/>
            </w:tcBorders>
            <w:shd w:val="clear" w:color="000000" w:fill="FFFFFF"/>
            <w:noWrap/>
            <w:vAlign w:val="center"/>
            <w:hideMark/>
          </w:tcPr>
          <w:p w14:paraId="0C6DF9BF"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193%</w:t>
            </w:r>
          </w:p>
        </w:tc>
        <w:tc>
          <w:tcPr>
            <w:tcW w:w="1360" w:type="dxa"/>
            <w:tcBorders>
              <w:top w:val="nil"/>
              <w:left w:val="nil"/>
              <w:bottom w:val="single" w:sz="4" w:space="0" w:color="auto"/>
              <w:right w:val="single" w:sz="4" w:space="0" w:color="auto"/>
            </w:tcBorders>
            <w:shd w:val="clear" w:color="000000" w:fill="FFFFFF"/>
            <w:noWrap/>
            <w:vAlign w:val="center"/>
            <w:hideMark/>
          </w:tcPr>
          <w:p w14:paraId="7212CA55"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45%</w:t>
            </w:r>
          </w:p>
        </w:tc>
        <w:tc>
          <w:tcPr>
            <w:tcW w:w="1200" w:type="dxa"/>
            <w:tcBorders>
              <w:top w:val="nil"/>
              <w:left w:val="nil"/>
              <w:bottom w:val="single" w:sz="4" w:space="0" w:color="auto"/>
              <w:right w:val="single" w:sz="4" w:space="0" w:color="auto"/>
            </w:tcBorders>
            <w:shd w:val="clear" w:color="000000" w:fill="FFFFFF"/>
            <w:noWrap/>
            <w:vAlign w:val="center"/>
            <w:hideMark/>
          </w:tcPr>
          <w:p w14:paraId="55E916B0"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120%</w:t>
            </w:r>
          </w:p>
        </w:tc>
        <w:tc>
          <w:tcPr>
            <w:tcW w:w="1340" w:type="dxa"/>
            <w:tcBorders>
              <w:top w:val="nil"/>
              <w:left w:val="nil"/>
              <w:bottom w:val="single" w:sz="4" w:space="0" w:color="auto"/>
              <w:right w:val="single" w:sz="4" w:space="0" w:color="auto"/>
            </w:tcBorders>
            <w:shd w:val="clear" w:color="000000" w:fill="FFFFFF"/>
            <w:noWrap/>
            <w:vAlign w:val="center"/>
            <w:hideMark/>
          </w:tcPr>
          <w:p w14:paraId="6A1848DC"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220%</w:t>
            </w:r>
          </w:p>
        </w:tc>
        <w:tc>
          <w:tcPr>
            <w:tcW w:w="1340" w:type="dxa"/>
            <w:tcBorders>
              <w:top w:val="nil"/>
              <w:left w:val="nil"/>
              <w:bottom w:val="single" w:sz="4" w:space="0" w:color="auto"/>
              <w:right w:val="single" w:sz="4" w:space="0" w:color="auto"/>
            </w:tcBorders>
            <w:shd w:val="clear" w:color="000000" w:fill="FFFFFF"/>
            <w:noWrap/>
            <w:vAlign w:val="center"/>
            <w:hideMark/>
          </w:tcPr>
          <w:p w14:paraId="40B0017B"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99%</w:t>
            </w:r>
          </w:p>
        </w:tc>
        <w:tc>
          <w:tcPr>
            <w:tcW w:w="1200" w:type="dxa"/>
            <w:tcBorders>
              <w:top w:val="nil"/>
              <w:left w:val="nil"/>
              <w:bottom w:val="single" w:sz="4" w:space="0" w:color="auto"/>
              <w:right w:val="single" w:sz="4" w:space="0" w:color="auto"/>
            </w:tcBorders>
            <w:shd w:val="clear" w:color="000000" w:fill="FFFFFF"/>
            <w:noWrap/>
            <w:vAlign w:val="center"/>
            <w:hideMark/>
          </w:tcPr>
          <w:p w14:paraId="3B359231"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106%</w:t>
            </w:r>
          </w:p>
        </w:tc>
      </w:tr>
      <w:tr w:rsidR="009034C6" w:rsidRPr="00345752" w14:paraId="2192AD37" w14:textId="77777777" w:rsidTr="009034C6">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682AB94B"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22</w:t>
            </w:r>
          </w:p>
        </w:tc>
        <w:tc>
          <w:tcPr>
            <w:tcW w:w="1740" w:type="dxa"/>
            <w:tcBorders>
              <w:top w:val="nil"/>
              <w:left w:val="nil"/>
              <w:bottom w:val="single" w:sz="4" w:space="0" w:color="auto"/>
              <w:right w:val="single" w:sz="4" w:space="0" w:color="auto"/>
            </w:tcBorders>
            <w:shd w:val="clear" w:color="000000" w:fill="FFFFFF"/>
            <w:noWrap/>
            <w:vAlign w:val="center"/>
            <w:hideMark/>
          </w:tcPr>
          <w:p w14:paraId="4A1352E7"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86%</w:t>
            </w:r>
          </w:p>
        </w:tc>
        <w:tc>
          <w:tcPr>
            <w:tcW w:w="1200" w:type="dxa"/>
            <w:tcBorders>
              <w:top w:val="nil"/>
              <w:left w:val="nil"/>
              <w:bottom w:val="single" w:sz="4" w:space="0" w:color="auto"/>
              <w:right w:val="single" w:sz="4" w:space="0" w:color="auto"/>
            </w:tcBorders>
            <w:shd w:val="clear" w:color="000000" w:fill="FFFFFF"/>
            <w:noWrap/>
            <w:vAlign w:val="center"/>
            <w:hideMark/>
          </w:tcPr>
          <w:p w14:paraId="62604DE5"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124%</w:t>
            </w:r>
          </w:p>
        </w:tc>
        <w:tc>
          <w:tcPr>
            <w:tcW w:w="1360" w:type="dxa"/>
            <w:tcBorders>
              <w:top w:val="nil"/>
              <w:left w:val="nil"/>
              <w:bottom w:val="single" w:sz="4" w:space="0" w:color="auto"/>
              <w:right w:val="single" w:sz="4" w:space="0" w:color="auto"/>
            </w:tcBorders>
            <w:shd w:val="clear" w:color="000000" w:fill="FFFFFF"/>
            <w:noWrap/>
            <w:vAlign w:val="center"/>
            <w:hideMark/>
          </w:tcPr>
          <w:p w14:paraId="23992C33"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56%</w:t>
            </w:r>
          </w:p>
        </w:tc>
        <w:tc>
          <w:tcPr>
            <w:tcW w:w="1200" w:type="dxa"/>
            <w:tcBorders>
              <w:top w:val="nil"/>
              <w:left w:val="nil"/>
              <w:bottom w:val="single" w:sz="4" w:space="0" w:color="auto"/>
              <w:right w:val="single" w:sz="4" w:space="0" w:color="auto"/>
            </w:tcBorders>
            <w:shd w:val="clear" w:color="000000" w:fill="FFFFFF"/>
            <w:noWrap/>
            <w:vAlign w:val="center"/>
            <w:hideMark/>
          </w:tcPr>
          <w:p w14:paraId="46416A7B"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95%</w:t>
            </w:r>
          </w:p>
        </w:tc>
        <w:tc>
          <w:tcPr>
            <w:tcW w:w="1340" w:type="dxa"/>
            <w:tcBorders>
              <w:top w:val="nil"/>
              <w:left w:val="nil"/>
              <w:bottom w:val="single" w:sz="4" w:space="0" w:color="auto"/>
              <w:right w:val="single" w:sz="4" w:space="0" w:color="auto"/>
            </w:tcBorders>
            <w:shd w:val="clear" w:color="000000" w:fill="FFFFFF"/>
            <w:noWrap/>
            <w:vAlign w:val="center"/>
            <w:hideMark/>
          </w:tcPr>
          <w:p w14:paraId="569ED53C"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185%</w:t>
            </w:r>
          </w:p>
        </w:tc>
        <w:tc>
          <w:tcPr>
            <w:tcW w:w="1340" w:type="dxa"/>
            <w:tcBorders>
              <w:top w:val="nil"/>
              <w:left w:val="nil"/>
              <w:bottom w:val="single" w:sz="4" w:space="0" w:color="auto"/>
              <w:right w:val="single" w:sz="4" w:space="0" w:color="auto"/>
            </w:tcBorders>
            <w:shd w:val="clear" w:color="000000" w:fill="FFFFFF"/>
            <w:noWrap/>
            <w:vAlign w:val="center"/>
            <w:hideMark/>
          </w:tcPr>
          <w:p w14:paraId="266755DC"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81%</w:t>
            </w:r>
          </w:p>
        </w:tc>
        <w:tc>
          <w:tcPr>
            <w:tcW w:w="1200" w:type="dxa"/>
            <w:tcBorders>
              <w:top w:val="nil"/>
              <w:left w:val="nil"/>
              <w:bottom w:val="single" w:sz="4" w:space="0" w:color="auto"/>
              <w:right w:val="single" w:sz="4" w:space="0" w:color="auto"/>
            </w:tcBorders>
            <w:shd w:val="clear" w:color="000000" w:fill="FFFFFF"/>
            <w:noWrap/>
            <w:vAlign w:val="center"/>
            <w:hideMark/>
          </w:tcPr>
          <w:p w14:paraId="6555A473"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116%</w:t>
            </w:r>
          </w:p>
        </w:tc>
      </w:tr>
      <w:tr w:rsidR="009034C6" w:rsidRPr="00345752" w14:paraId="0EF14DA6" w14:textId="77777777" w:rsidTr="009034C6">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130BDDDE"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23</w:t>
            </w:r>
          </w:p>
        </w:tc>
        <w:tc>
          <w:tcPr>
            <w:tcW w:w="1740" w:type="dxa"/>
            <w:tcBorders>
              <w:top w:val="nil"/>
              <w:left w:val="nil"/>
              <w:bottom w:val="single" w:sz="4" w:space="0" w:color="auto"/>
              <w:right w:val="single" w:sz="4" w:space="0" w:color="auto"/>
            </w:tcBorders>
            <w:shd w:val="clear" w:color="000000" w:fill="FFFFFF"/>
            <w:noWrap/>
            <w:vAlign w:val="center"/>
            <w:hideMark/>
          </w:tcPr>
          <w:p w14:paraId="494B3AAE"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86%</w:t>
            </w:r>
          </w:p>
        </w:tc>
        <w:tc>
          <w:tcPr>
            <w:tcW w:w="1200" w:type="dxa"/>
            <w:tcBorders>
              <w:top w:val="nil"/>
              <w:left w:val="nil"/>
              <w:bottom w:val="single" w:sz="4" w:space="0" w:color="auto"/>
              <w:right w:val="single" w:sz="4" w:space="0" w:color="auto"/>
            </w:tcBorders>
            <w:shd w:val="clear" w:color="000000" w:fill="FFFFFF"/>
            <w:noWrap/>
            <w:vAlign w:val="center"/>
            <w:hideMark/>
          </w:tcPr>
          <w:p w14:paraId="6617056B"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94%</w:t>
            </w:r>
          </w:p>
        </w:tc>
        <w:tc>
          <w:tcPr>
            <w:tcW w:w="1360" w:type="dxa"/>
            <w:tcBorders>
              <w:top w:val="nil"/>
              <w:left w:val="nil"/>
              <w:bottom w:val="single" w:sz="4" w:space="0" w:color="auto"/>
              <w:right w:val="single" w:sz="4" w:space="0" w:color="auto"/>
            </w:tcBorders>
            <w:shd w:val="clear" w:color="000000" w:fill="FFFFFF"/>
            <w:noWrap/>
            <w:vAlign w:val="center"/>
            <w:hideMark/>
          </w:tcPr>
          <w:p w14:paraId="1C37BC68"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43%</w:t>
            </w:r>
          </w:p>
        </w:tc>
        <w:tc>
          <w:tcPr>
            <w:tcW w:w="1200" w:type="dxa"/>
            <w:tcBorders>
              <w:top w:val="nil"/>
              <w:left w:val="nil"/>
              <w:bottom w:val="single" w:sz="4" w:space="0" w:color="auto"/>
              <w:right w:val="single" w:sz="4" w:space="0" w:color="auto"/>
            </w:tcBorders>
            <w:shd w:val="clear" w:color="000000" w:fill="FFFFFF"/>
            <w:noWrap/>
            <w:vAlign w:val="center"/>
            <w:hideMark/>
          </w:tcPr>
          <w:p w14:paraId="21438FCA"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146%</w:t>
            </w:r>
          </w:p>
        </w:tc>
        <w:tc>
          <w:tcPr>
            <w:tcW w:w="1340" w:type="dxa"/>
            <w:tcBorders>
              <w:top w:val="nil"/>
              <w:left w:val="nil"/>
              <w:bottom w:val="single" w:sz="4" w:space="0" w:color="auto"/>
              <w:right w:val="single" w:sz="4" w:space="0" w:color="auto"/>
            </w:tcBorders>
            <w:shd w:val="clear" w:color="000000" w:fill="FFFFFF"/>
            <w:noWrap/>
            <w:vAlign w:val="center"/>
            <w:hideMark/>
          </w:tcPr>
          <w:p w14:paraId="37F00017"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279%</w:t>
            </w:r>
          </w:p>
        </w:tc>
        <w:tc>
          <w:tcPr>
            <w:tcW w:w="1340" w:type="dxa"/>
            <w:tcBorders>
              <w:top w:val="nil"/>
              <w:left w:val="nil"/>
              <w:bottom w:val="single" w:sz="4" w:space="0" w:color="auto"/>
              <w:right w:val="single" w:sz="4" w:space="0" w:color="auto"/>
            </w:tcBorders>
            <w:shd w:val="clear" w:color="000000" w:fill="FFFFFF"/>
            <w:noWrap/>
            <w:vAlign w:val="center"/>
            <w:hideMark/>
          </w:tcPr>
          <w:p w14:paraId="0D4045AE"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83%</w:t>
            </w:r>
          </w:p>
        </w:tc>
        <w:tc>
          <w:tcPr>
            <w:tcW w:w="1200" w:type="dxa"/>
            <w:tcBorders>
              <w:top w:val="nil"/>
              <w:left w:val="nil"/>
              <w:bottom w:val="single" w:sz="4" w:space="0" w:color="auto"/>
              <w:right w:val="single" w:sz="4" w:space="0" w:color="auto"/>
            </w:tcBorders>
            <w:shd w:val="clear" w:color="000000" w:fill="FFFFFF"/>
            <w:noWrap/>
            <w:vAlign w:val="center"/>
            <w:hideMark/>
          </w:tcPr>
          <w:p w14:paraId="75BDD716"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92%</w:t>
            </w:r>
          </w:p>
        </w:tc>
      </w:tr>
      <w:tr w:rsidR="009034C6" w:rsidRPr="00345752" w14:paraId="0F68A95B" w14:textId="77777777" w:rsidTr="009034C6">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5A3C8716"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24</w:t>
            </w:r>
          </w:p>
        </w:tc>
        <w:tc>
          <w:tcPr>
            <w:tcW w:w="1740" w:type="dxa"/>
            <w:tcBorders>
              <w:top w:val="nil"/>
              <w:left w:val="nil"/>
              <w:bottom w:val="single" w:sz="4" w:space="0" w:color="auto"/>
              <w:right w:val="single" w:sz="4" w:space="0" w:color="auto"/>
            </w:tcBorders>
            <w:shd w:val="clear" w:color="000000" w:fill="FFFFFF"/>
            <w:noWrap/>
            <w:vAlign w:val="center"/>
            <w:hideMark/>
          </w:tcPr>
          <w:p w14:paraId="5F173028"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68%</w:t>
            </w:r>
          </w:p>
        </w:tc>
        <w:tc>
          <w:tcPr>
            <w:tcW w:w="1200" w:type="dxa"/>
            <w:tcBorders>
              <w:top w:val="nil"/>
              <w:left w:val="nil"/>
              <w:bottom w:val="single" w:sz="4" w:space="0" w:color="auto"/>
              <w:right w:val="single" w:sz="4" w:space="0" w:color="auto"/>
            </w:tcBorders>
            <w:shd w:val="clear" w:color="000000" w:fill="FFFFFF"/>
            <w:noWrap/>
            <w:vAlign w:val="center"/>
            <w:hideMark/>
          </w:tcPr>
          <w:p w14:paraId="179F4E38"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85%</w:t>
            </w:r>
          </w:p>
        </w:tc>
        <w:tc>
          <w:tcPr>
            <w:tcW w:w="1360" w:type="dxa"/>
            <w:tcBorders>
              <w:top w:val="nil"/>
              <w:left w:val="nil"/>
              <w:bottom w:val="single" w:sz="4" w:space="0" w:color="auto"/>
              <w:right w:val="single" w:sz="4" w:space="0" w:color="auto"/>
            </w:tcBorders>
            <w:shd w:val="clear" w:color="000000" w:fill="FFFFFF"/>
            <w:noWrap/>
            <w:vAlign w:val="center"/>
            <w:hideMark/>
          </w:tcPr>
          <w:p w14:paraId="55886C18"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40%</w:t>
            </w:r>
          </w:p>
        </w:tc>
        <w:tc>
          <w:tcPr>
            <w:tcW w:w="1200" w:type="dxa"/>
            <w:tcBorders>
              <w:top w:val="nil"/>
              <w:left w:val="nil"/>
              <w:bottom w:val="single" w:sz="4" w:space="0" w:color="auto"/>
              <w:right w:val="single" w:sz="4" w:space="0" w:color="auto"/>
            </w:tcBorders>
            <w:shd w:val="clear" w:color="000000" w:fill="FFFFFF"/>
            <w:noWrap/>
            <w:vAlign w:val="center"/>
            <w:hideMark/>
          </w:tcPr>
          <w:p w14:paraId="6DA7C5EF"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120%</w:t>
            </w:r>
          </w:p>
        </w:tc>
        <w:tc>
          <w:tcPr>
            <w:tcW w:w="1340" w:type="dxa"/>
            <w:tcBorders>
              <w:top w:val="nil"/>
              <w:left w:val="nil"/>
              <w:bottom w:val="single" w:sz="4" w:space="0" w:color="auto"/>
              <w:right w:val="single" w:sz="4" w:space="0" w:color="auto"/>
            </w:tcBorders>
            <w:shd w:val="clear" w:color="000000" w:fill="FFFFFF"/>
            <w:noWrap/>
            <w:vAlign w:val="center"/>
            <w:hideMark/>
          </w:tcPr>
          <w:p w14:paraId="58614D45"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279%</w:t>
            </w:r>
          </w:p>
        </w:tc>
        <w:tc>
          <w:tcPr>
            <w:tcW w:w="1340" w:type="dxa"/>
            <w:tcBorders>
              <w:top w:val="nil"/>
              <w:left w:val="nil"/>
              <w:bottom w:val="single" w:sz="4" w:space="0" w:color="auto"/>
              <w:right w:val="single" w:sz="4" w:space="0" w:color="auto"/>
            </w:tcBorders>
            <w:shd w:val="clear" w:color="000000" w:fill="FFFFFF"/>
            <w:noWrap/>
            <w:vAlign w:val="center"/>
            <w:hideMark/>
          </w:tcPr>
          <w:p w14:paraId="27DE3C31"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107%</w:t>
            </w:r>
          </w:p>
        </w:tc>
        <w:tc>
          <w:tcPr>
            <w:tcW w:w="1200" w:type="dxa"/>
            <w:tcBorders>
              <w:top w:val="nil"/>
              <w:left w:val="nil"/>
              <w:bottom w:val="single" w:sz="4" w:space="0" w:color="auto"/>
              <w:right w:val="single" w:sz="4" w:space="0" w:color="auto"/>
            </w:tcBorders>
            <w:shd w:val="clear" w:color="000000" w:fill="FFFFFF"/>
            <w:noWrap/>
            <w:vAlign w:val="center"/>
            <w:hideMark/>
          </w:tcPr>
          <w:p w14:paraId="13B7DB67"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113%</w:t>
            </w:r>
          </w:p>
        </w:tc>
      </w:tr>
      <w:tr w:rsidR="009034C6" w:rsidRPr="00345752" w14:paraId="73931B4B" w14:textId="77777777" w:rsidTr="009034C6">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3D35BE9B"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25</w:t>
            </w:r>
          </w:p>
        </w:tc>
        <w:tc>
          <w:tcPr>
            <w:tcW w:w="1740" w:type="dxa"/>
            <w:tcBorders>
              <w:top w:val="nil"/>
              <w:left w:val="nil"/>
              <w:bottom w:val="single" w:sz="4" w:space="0" w:color="auto"/>
              <w:right w:val="single" w:sz="4" w:space="0" w:color="auto"/>
            </w:tcBorders>
            <w:shd w:val="clear" w:color="000000" w:fill="FFFFFF"/>
            <w:noWrap/>
            <w:vAlign w:val="center"/>
            <w:hideMark/>
          </w:tcPr>
          <w:p w14:paraId="51DE2323"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88%</w:t>
            </w:r>
          </w:p>
        </w:tc>
        <w:tc>
          <w:tcPr>
            <w:tcW w:w="1200" w:type="dxa"/>
            <w:tcBorders>
              <w:top w:val="nil"/>
              <w:left w:val="nil"/>
              <w:bottom w:val="single" w:sz="4" w:space="0" w:color="auto"/>
              <w:right w:val="single" w:sz="4" w:space="0" w:color="auto"/>
            </w:tcBorders>
            <w:shd w:val="clear" w:color="000000" w:fill="FFFFFF"/>
            <w:noWrap/>
            <w:vAlign w:val="center"/>
            <w:hideMark/>
          </w:tcPr>
          <w:p w14:paraId="51F6E5F5"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116%</w:t>
            </w:r>
          </w:p>
        </w:tc>
        <w:tc>
          <w:tcPr>
            <w:tcW w:w="1360" w:type="dxa"/>
            <w:tcBorders>
              <w:top w:val="nil"/>
              <w:left w:val="nil"/>
              <w:bottom w:val="single" w:sz="4" w:space="0" w:color="auto"/>
              <w:right w:val="single" w:sz="4" w:space="0" w:color="auto"/>
            </w:tcBorders>
            <w:shd w:val="clear" w:color="000000" w:fill="FFFFFF"/>
            <w:noWrap/>
            <w:vAlign w:val="center"/>
            <w:hideMark/>
          </w:tcPr>
          <w:p w14:paraId="07E0C598"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45%</w:t>
            </w:r>
          </w:p>
        </w:tc>
        <w:tc>
          <w:tcPr>
            <w:tcW w:w="1200" w:type="dxa"/>
            <w:tcBorders>
              <w:top w:val="nil"/>
              <w:left w:val="nil"/>
              <w:bottom w:val="single" w:sz="4" w:space="0" w:color="auto"/>
              <w:right w:val="single" w:sz="4" w:space="0" w:color="auto"/>
            </w:tcBorders>
            <w:shd w:val="clear" w:color="000000" w:fill="FFFFFF"/>
            <w:noWrap/>
            <w:vAlign w:val="center"/>
            <w:hideMark/>
          </w:tcPr>
          <w:p w14:paraId="550906AC"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106%</w:t>
            </w:r>
          </w:p>
        </w:tc>
        <w:tc>
          <w:tcPr>
            <w:tcW w:w="1340" w:type="dxa"/>
            <w:tcBorders>
              <w:top w:val="nil"/>
              <w:left w:val="nil"/>
              <w:bottom w:val="single" w:sz="4" w:space="0" w:color="auto"/>
              <w:right w:val="single" w:sz="4" w:space="0" w:color="auto"/>
            </w:tcBorders>
            <w:shd w:val="clear" w:color="000000" w:fill="FFFFFF"/>
            <w:noWrap/>
            <w:vAlign w:val="center"/>
            <w:hideMark/>
          </w:tcPr>
          <w:p w14:paraId="5651E600"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204%</w:t>
            </w:r>
          </w:p>
        </w:tc>
        <w:tc>
          <w:tcPr>
            <w:tcW w:w="1340" w:type="dxa"/>
            <w:tcBorders>
              <w:top w:val="nil"/>
              <w:left w:val="nil"/>
              <w:bottom w:val="single" w:sz="4" w:space="0" w:color="auto"/>
              <w:right w:val="single" w:sz="4" w:space="0" w:color="auto"/>
            </w:tcBorders>
            <w:shd w:val="clear" w:color="000000" w:fill="FFFFFF"/>
            <w:noWrap/>
            <w:vAlign w:val="center"/>
            <w:hideMark/>
          </w:tcPr>
          <w:p w14:paraId="1EF16EF6"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82%</w:t>
            </w:r>
          </w:p>
        </w:tc>
        <w:tc>
          <w:tcPr>
            <w:tcW w:w="1200" w:type="dxa"/>
            <w:tcBorders>
              <w:top w:val="nil"/>
              <w:left w:val="nil"/>
              <w:bottom w:val="single" w:sz="4" w:space="0" w:color="auto"/>
              <w:right w:val="single" w:sz="4" w:space="0" w:color="auto"/>
            </w:tcBorders>
            <w:shd w:val="clear" w:color="000000" w:fill="FFFFFF"/>
            <w:noWrap/>
            <w:vAlign w:val="center"/>
            <w:hideMark/>
          </w:tcPr>
          <w:p w14:paraId="2F3A887E"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129%</w:t>
            </w:r>
          </w:p>
        </w:tc>
      </w:tr>
      <w:tr w:rsidR="009034C6" w:rsidRPr="00345752" w14:paraId="6671B4CA" w14:textId="77777777" w:rsidTr="009034C6">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6D8AFE0F"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26</w:t>
            </w:r>
          </w:p>
        </w:tc>
        <w:tc>
          <w:tcPr>
            <w:tcW w:w="1740" w:type="dxa"/>
            <w:tcBorders>
              <w:top w:val="nil"/>
              <w:left w:val="nil"/>
              <w:bottom w:val="single" w:sz="4" w:space="0" w:color="auto"/>
              <w:right w:val="single" w:sz="4" w:space="0" w:color="auto"/>
            </w:tcBorders>
            <w:shd w:val="clear" w:color="000000" w:fill="FFFFFF"/>
            <w:noWrap/>
            <w:vAlign w:val="center"/>
            <w:hideMark/>
          </w:tcPr>
          <w:p w14:paraId="0841825C"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73%</w:t>
            </w:r>
          </w:p>
        </w:tc>
        <w:tc>
          <w:tcPr>
            <w:tcW w:w="1200" w:type="dxa"/>
            <w:tcBorders>
              <w:top w:val="nil"/>
              <w:left w:val="nil"/>
              <w:bottom w:val="single" w:sz="4" w:space="0" w:color="auto"/>
              <w:right w:val="single" w:sz="4" w:space="0" w:color="auto"/>
            </w:tcBorders>
            <w:shd w:val="clear" w:color="000000" w:fill="FFFFFF"/>
            <w:noWrap/>
            <w:vAlign w:val="center"/>
            <w:hideMark/>
          </w:tcPr>
          <w:p w14:paraId="5432AF1B"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104%</w:t>
            </w:r>
          </w:p>
        </w:tc>
        <w:tc>
          <w:tcPr>
            <w:tcW w:w="1360" w:type="dxa"/>
            <w:tcBorders>
              <w:top w:val="nil"/>
              <w:left w:val="nil"/>
              <w:bottom w:val="single" w:sz="4" w:space="0" w:color="auto"/>
              <w:right w:val="single" w:sz="4" w:space="0" w:color="auto"/>
            </w:tcBorders>
            <w:shd w:val="clear" w:color="000000" w:fill="FFFFFF"/>
            <w:noWrap/>
            <w:vAlign w:val="center"/>
            <w:hideMark/>
          </w:tcPr>
          <w:p w14:paraId="377474AD"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44%</w:t>
            </w:r>
          </w:p>
        </w:tc>
        <w:tc>
          <w:tcPr>
            <w:tcW w:w="1200" w:type="dxa"/>
            <w:tcBorders>
              <w:top w:val="nil"/>
              <w:left w:val="nil"/>
              <w:bottom w:val="single" w:sz="4" w:space="0" w:color="auto"/>
              <w:right w:val="single" w:sz="4" w:space="0" w:color="auto"/>
            </w:tcBorders>
            <w:shd w:val="clear" w:color="000000" w:fill="FFFFFF"/>
            <w:noWrap/>
            <w:vAlign w:val="center"/>
            <w:hideMark/>
          </w:tcPr>
          <w:p w14:paraId="09ACF0D6"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92%</w:t>
            </w:r>
          </w:p>
        </w:tc>
        <w:tc>
          <w:tcPr>
            <w:tcW w:w="1340" w:type="dxa"/>
            <w:tcBorders>
              <w:top w:val="nil"/>
              <w:left w:val="nil"/>
              <w:bottom w:val="single" w:sz="4" w:space="0" w:color="auto"/>
              <w:right w:val="single" w:sz="4" w:space="0" w:color="auto"/>
            </w:tcBorders>
            <w:shd w:val="clear" w:color="000000" w:fill="FFFFFF"/>
            <w:noWrap/>
            <w:vAlign w:val="center"/>
            <w:hideMark/>
          </w:tcPr>
          <w:p w14:paraId="4A9FE901"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221%</w:t>
            </w:r>
          </w:p>
        </w:tc>
        <w:tc>
          <w:tcPr>
            <w:tcW w:w="1340" w:type="dxa"/>
            <w:tcBorders>
              <w:top w:val="nil"/>
              <w:left w:val="nil"/>
              <w:bottom w:val="single" w:sz="4" w:space="0" w:color="auto"/>
              <w:right w:val="single" w:sz="4" w:space="0" w:color="auto"/>
            </w:tcBorders>
            <w:shd w:val="clear" w:color="000000" w:fill="FFFFFF"/>
            <w:noWrap/>
            <w:vAlign w:val="center"/>
            <w:hideMark/>
          </w:tcPr>
          <w:p w14:paraId="73BAAC18"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94%</w:t>
            </w:r>
          </w:p>
        </w:tc>
        <w:tc>
          <w:tcPr>
            <w:tcW w:w="1200" w:type="dxa"/>
            <w:tcBorders>
              <w:top w:val="nil"/>
              <w:left w:val="nil"/>
              <w:bottom w:val="single" w:sz="4" w:space="0" w:color="auto"/>
              <w:right w:val="single" w:sz="4" w:space="0" w:color="auto"/>
            </w:tcBorders>
            <w:shd w:val="clear" w:color="000000" w:fill="FFFFFF"/>
            <w:noWrap/>
            <w:vAlign w:val="center"/>
            <w:hideMark/>
          </w:tcPr>
          <w:p w14:paraId="5B6901AA"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84%</w:t>
            </w:r>
          </w:p>
        </w:tc>
      </w:tr>
      <w:tr w:rsidR="009034C6" w:rsidRPr="00345752" w14:paraId="26E42202" w14:textId="77777777" w:rsidTr="009034C6">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3331A803"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27</w:t>
            </w:r>
          </w:p>
        </w:tc>
        <w:tc>
          <w:tcPr>
            <w:tcW w:w="1740" w:type="dxa"/>
            <w:tcBorders>
              <w:top w:val="nil"/>
              <w:left w:val="nil"/>
              <w:bottom w:val="single" w:sz="4" w:space="0" w:color="auto"/>
              <w:right w:val="single" w:sz="4" w:space="0" w:color="auto"/>
            </w:tcBorders>
            <w:shd w:val="clear" w:color="000000" w:fill="FFFFFF"/>
            <w:noWrap/>
            <w:vAlign w:val="center"/>
            <w:hideMark/>
          </w:tcPr>
          <w:p w14:paraId="130753E2"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99%</w:t>
            </w:r>
          </w:p>
        </w:tc>
        <w:tc>
          <w:tcPr>
            <w:tcW w:w="1200" w:type="dxa"/>
            <w:tcBorders>
              <w:top w:val="nil"/>
              <w:left w:val="nil"/>
              <w:bottom w:val="single" w:sz="4" w:space="0" w:color="auto"/>
              <w:right w:val="single" w:sz="4" w:space="0" w:color="auto"/>
            </w:tcBorders>
            <w:shd w:val="clear" w:color="000000" w:fill="FFFFFF"/>
            <w:noWrap/>
            <w:vAlign w:val="center"/>
            <w:hideMark/>
          </w:tcPr>
          <w:p w14:paraId="1B29C1F2"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76%</w:t>
            </w:r>
          </w:p>
        </w:tc>
        <w:tc>
          <w:tcPr>
            <w:tcW w:w="1360" w:type="dxa"/>
            <w:tcBorders>
              <w:top w:val="nil"/>
              <w:left w:val="nil"/>
              <w:bottom w:val="single" w:sz="4" w:space="0" w:color="auto"/>
              <w:right w:val="single" w:sz="4" w:space="0" w:color="auto"/>
            </w:tcBorders>
            <w:shd w:val="clear" w:color="000000" w:fill="FFFFFF"/>
            <w:noWrap/>
            <w:vAlign w:val="center"/>
            <w:hideMark/>
          </w:tcPr>
          <w:p w14:paraId="2C022746"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40%</w:t>
            </w:r>
          </w:p>
        </w:tc>
        <w:tc>
          <w:tcPr>
            <w:tcW w:w="1200" w:type="dxa"/>
            <w:tcBorders>
              <w:top w:val="nil"/>
              <w:left w:val="nil"/>
              <w:bottom w:val="single" w:sz="4" w:space="0" w:color="auto"/>
              <w:right w:val="single" w:sz="4" w:space="0" w:color="auto"/>
            </w:tcBorders>
            <w:shd w:val="clear" w:color="000000" w:fill="FFFFFF"/>
            <w:noWrap/>
            <w:vAlign w:val="center"/>
            <w:hideMark/>
          </w:tcPr>
          <w:p w14:paraId="69A97168"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109%</w:t>
            </w:r>
          </w:p>
        </w:tc>
        <w:tc>
          <w:tcPr>
            <w:tcW w:w="1340" w:type="dxa"/>
            <w:tcBorders>
              <w:top w:val="nil"/>
              <w:left w:val="nil"/>
              <w:bottom w:val="single" w:sz="4" w:space="0" w:color="auto"/>
              <w:right w:val="single" w:sz="4" w:space="0" w:color="auto"/>
            </w:tcBorders>
            <w:shd w:val="clear" w:color="000000" w:fill="FFFFFF"/>
            <w:noWrap/>
            <w:vAlign w:val="center"/>
            <w:hideMark/>
          </w:tcPr>
          <w:p w14:paraId="24709FD7"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233%</w:t>
            </w:r>
          </w:p>
        </w:tc>
        <w:tc>
          <w:tcPr>
            <w:tcW w:w="1340" w:type="dxa"/>
            <w:tcBorders>
              <w:top w:val="nil"/>
              <w:left w:val="nil"/>
              <w:bottom w:val="single" w:sz="4" w:space="0" w:color="auto"/>
              <w:right w:val="single" w:sz="4" w:space="0" w:color="auto"/>
            </w:tcBorders>
            <w:shd w:val="clear" w:color="000000" w:fill="FFFFFF"/>
            <w:noWrap/>
            <w:vAlign w:val="center"/>
            <w:hideMark/>
          </w:tcPr>
          <w:p w14:paraId="0FB0B4A7"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84%</w:t>
            </w:r>
          </w:p>
        </w:tc>
        <w:tc>
          <w:tcPr>
            <w:tcW w:w="1200" w:type="dxa"/>
            <w:tcBorders>
              <w:top w:val="nil"/>
              <w:left w:val="nil"/>
              <w:bottom w:val="single" w:sz="4" w:space="0" w:color="auto"/>
              <w:right w:val="single" w:sz="4" w:space="0" w:color="auto"/>
            </w:tcBorders>
            <w:shd w:val="clear" w:color="000000" w:fill="FFFFFF"/>
            <w:noWrap/>
            <w:vAlign w:val="center"/>
            <w:hideMark/>
          </w:tcPr>
          <w:p w14:paraId="090F3154"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79%</w:t>
            </w:r>
          </w:p>
        </w:tc>
      </w:tr>
      <w:tr w:rsidR="009034C6" w:rsidRPr="00345752" w14:paraId="79C4C895" w14:textId="77777777" w:rsidTr="009034C6">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18F96CF0"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28</w:t>
            </w:r>
          </w:p>
        </w:tc>
        <w:tc>
          <w:tcPr>
            <w:tcW w:w="1740" w:type="dxa"/>
            <w:tcBorders>
              <w:top w:val="nil"/>
              <w:left w:val="nil"/>
              <w:bottom w:val="single" w:sz="4" w:space="0" w:color="auto"/>
              <w:right w:val="single" w:sz="4" w:space="0" w:color="auto"/>
            </w:tcBorders>
            <w:shd w:val="clear" w:color="000000" w:fill="FFFFFF"/>
            <w:noWrap/>
            <w:vAlign w:val="center"/>
            <w:hideMark/>
          </w:tcPr>
          <w:p w14:paraId="33D4EE3B"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102%</w:t>
            </w:r>
          </w:p>
        </w:tc>
        <w:tc>
          <w:tcPr>
            <w:tcW w:w="1200" w:type="dxa"/>
            <w:tcBorders>
              <w:top w:val="nil"/>
              <w:left w:val="nil"/>
              <w:bottom w:val="single" w:sz="4" w:space="0" w:color="auto"/>
              <w:right w:val="single" w:sz="4" w:space="0" w:color="auto"/>
            </w:tcBorders>
            <w:shd w:val="clear" w:color="000000" w:fill="FFFFFF"/>
            <w:noWrap/>
            <w:vAlign w:val="center"/>
            <w:hideMark/>
          </w:tcPr>
          <w:p w14:paraId="0AC42C5F"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70%</w:t>
            </w:r>
          </w:p>
        </w:tc>
        <w:tc>
          <w:tcPr>
            <w:tcW w:w="1360" w:type="dxa"/>
            <w:tcBorders>
              <w:top w:val="nil"/>
              <w:left w:val="nil"/>
              <w:bottom w:val="single" w:sz="4" w:space="0" w:color="auto"/>
              <w:right w:val="single" w:sz="4" w:space="0" w:color="auto"/>
            </w:tcBorders>
            <w:shd w:val="clear" w:color="000000" w:fill="FFFFFF"/>
            <w:noWrap/>
            <w:vAlign w:val="center"/>
            <w:hideMark/>
          </w:tcPr>
          <w:p w14:paraId="22E6F14F"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51%</w:t>
            </w:r>
          </w:p>
        </w:tc>
        <w:tc>
          <w:tcPr>
            <w:tcW w:w="1200" w:type="dxa"/>
            <w:tcBorders>
              <w:top w:val="nil"/>
              <w:left w:val="nil"/>
              <w:bottom w:val="single" w:sz="4" w:space="0" w:color="auto"/>
              <w:right w:val="single" w:sz="4" w:space="0" w:color="auto"/>
            </w:tcBorders>
            <w:shd w:val="clear" w:color="000000" w:fill="FFFFFF"/>
            <w:noWrap/>
            <w:vAlign w:val="center"/>
            <w:hideMark/>
          </w:tcPr>
          <w:p w14:paraId="10C43167"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97%</w:t>
            </w:r>
          </w:p>
        </w:tc>
        <w:tc>
          <w:tcPr>
            <w:tcW w:w="1340" w:type="dxa"/>
            <w:tcBorders>
              <w:top w:val="nil"/>
              <w:left w:val="nil"/>
              <w:bottom w:val="single" w:sz="4" w:space="0" w:color="auto"/>
              <w:right w:val="single" w:sz="4" w:space="0" w:color="auto"/>
            </w:tcBorders>
            <w:shd w:val="clear" w:color="000000" w:fill="FFFFFF"/>
            <w:noWrap/>
            <w:vAlign w:val="center"/>
            <w:hideMark/>
          </w:tcPr>
          <w:p w14:paraId="51A7FDC1"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243%</w:t>
            </w:r>
          </w:p>
        </w:tc>
        <w:tc>
          <w:tcPr>
            <w:tcW w:w="1340" w:type="dxa"/>
            <w:tcBorders>
              <w:top w:val="nil"/>
              <w:left w:val="nil"/>
              <w:bottom w:val="single" w:sz="4" w:space="0" w:color="auto"/>
              <w:right w:val="single" w:sz="4" w:space="0" w:color="auto"/>
            </w:tcBorders>
            <w:shd w:val="clear" w:color="000000" w:fill="FFFFFF"/>
            <w:noWrap/>
            <w:vAlign w:val="center"/>
            <w:hideMark/>
          </w:tcPr>
          <w:p w14:paraId="34BEBDF0"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95%</w:t>
            </w:r>
          </w:p>
        </w:tc>
        <w:tc>
          <w:tcPr>
            <w:tcW w:w="1200" w:type="dxa"/>
            <w:tcBorders>
              <w:top w:val="nil"/>
              <w:left w:val="nil"/>
              <w:bottom w:val="single" w:sz="4" w:space="0" w:color="auto"/>
              <w:right w:val="single" w:sz="4" w:space="0" w:color="auto"/>
            </w:tcBorders>
            <w:shd w:val="clear" w:color="000000" w:fill="FFFFFF"/>
            <w:noWrap/>
            <w:vAlign w:val="center"/>
            <w:hideMark/>
          </w:tcPr>
          <w:p w14:paraId="14897E73"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84%</w:t>
            </w:r>
          </w:p>
        </w:tc>
      </w:tr>
      <w:tr w:rsidR="009034C6" w:rsidRPr="00345752" w14:paraId="45D88012" w14:textId="77777777" w:rsidTr="009034C6">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0D4FEEEC"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29</w:t>
            </w:r>
          </w:p>
        </w:tc>
        <w:tc>
          <w:tcPr>
            <w:tcW w:w="1740" w:type="dxa"/>
            <w:tcBorders>
              <w:top w:val="nil"/>
              <w:left w:val="nil"/>
              <w:bottom w:val="single" w:sz="4" w:space="0" w:color="auto"/>
              <w:right w:val="single" w:sz="4" w:space="0" w:color="auto"/>
            </w:tcBorders>
            <w:shd w:val="clear" w:color="000000" w:fill="FFFFFF"/>
            <w:noWrap/>
            <w:vAlign w:val="center"/>
            <w:hideMark/>
          </w:tcPr>
          <w:p w14:paraId="4E8D91B3"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109%</w:t>
            </w:r>
          </w:p>
        </w:tc>
        <w:tc>
          <w:tcPr>
            <w:tcW w:w="1200" w:type="dxa"/>
            <w:tcBorders>
              <w:top w:val="nil"/>
              <w:left w:val="nil"/>
              <w:bottom w:val="single" w:sz="4" w:space="0" w:color="auto"/>
              <w:right w:val="single" w:sz="4" w:space="0" w:color="auto"/>
            </w:tcBorders>
            <w:shd w:val="clear" w:color="000000" w:fill="FFFFFF"/>
            <w:noWrap/>
            <w:vAlign w:val="center"/>
            <w:hideMark/>
          </w:tcPr>
          <w:p w14:paraId="281B622F"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97%</w:t>
            </w:r>
          </w:p>
        </w:tc>
        <w:tc>
          <w:tcPr>
            <w:tcW w:w="1360" w:type="dxa"/>
            <w:tcBorders>
              <w:top w:val="nil"/>
              <w:left w:val="nil"/>
              <w:bottom w:val="single" w:sz="4" w:space="0" w:color="auto"/>
              <w:right w:val="single" w:sz="4" w:space="0" w:color="auto"/>
            </w:tcBorders>
            <w:shd w:val="clear" w:color="000000" w:fill="FFFFFF"/>
            <w:noWrap/>
            <w:vAlign w:val="center"/>
            <w:hideMark/>
          </w:tcPr>
          <w:p w14:paraId="3D927CF7"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41%</w:t>
            </w:r>
          </w:p>
        </w:tc>
        <w:tc>
          <w:tcPr>
            <w:tcW w:w="1200" w:type="dxa"/>
            <w:tcBorders>
              <w:top w:val="nil"/>
              <w:left w:val="nil"/>
              <w:bottom w:val="single" w:sz="4" w:space="0" w:color="auto"/>
              <w:right w:val="single" w:sz="4" w:space="0" w:color="auto"/>
            </w:tcBorders>
            <w:shd w:val="clear" w:color="000000" w:fill="FFFFFF"/>
            <w:noWrap/>
            <w:vAlign w:val="center"/>
            <w:hideMark/>
          </w:tcPr>
          <w:p w14:paraId="37D0EC0B"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121%</w:t>
            </w:r>
          </w:p>
        </w:tc>
        <w:tc>
          <w:tcPr>
            <w:tcW w:w="1340" w:type="dxa"/>
            <w:tcBorders>
              <w:top w:val="nil"/>
              <w:left w:val="nil"/>
              <w:bottom w:val="single" w:sz="4" w:space="0" w:color="auto"/>
              <w:right w:val="single" w:sz="4" w:space="0" w:color="auto"/>
            </w:tcBorders>
            <w:shd w:val="clear" w:color="000000" w:fill="FFFFFF"/>
            <w:noWrap/>
            <w:vAlign w:val="center"/>
            <w:hideMark/>
          </w:tcPr>
          <w:p w14:paraId="64FC3371"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236%</w:t>
            </w:r>
          </w:p>
        </w:tc>
        <w:tc>
          <w:tcPr>
            <w:tcW w:w="1340" w:type="dxa"/>
            <w:tcBorders>
              <w:top w:val="nil"/>
              <w:left w:val="nil"/>
              <w:bottom w:val="single" w:sz="4" w:space="0" w:color="auto"/>
              <w:right w:val="single" w:sz="4" w:space="0" w:color="auto"/>
            </w:tcBorders>
            <w:shd w:val="clear" w:color="000000" w:fill="FFFFFF"/>
            <w:noWrap/>
            <w:vAlign w:val="center"/>
            <w:hideMark/>
          </w:tcPr>
          <w:p w14:paraId="3A4E60E6"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92%</w:t>
            </w:r>
          </w:p>
        </w:tc>
        <w:tc>
          <w:tcPr>
            <w:tcW w:w="1200" w:type="dxa"/>
            <w:tcBorders>
              <w:top w:val="nil"/>
              <w:left w:val="nil"/>
              <w:bottom w:val="single" w:sz="4" w:space="0" w:color="auto"/>
              <w:right w:val="single" w:sz="4" w:space="0" w:color="auto"/>
            </w:tcBorders>
            <w:shd w:val="clear" w:color="000000" w:fill="FFFFFF"/>
            <w:noWrap/>
            <w:vAlign w:val="center"/>
            <w:hideMark/>
          </w:tcPr>
          <w:p w14:paraId="6BE83224"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111%</w:t>
            </w:r>
          </w:p>
        </w:tc>
      </w:tr>
      <w:tr w:rsidR="009034C6" w:rsidRPr="00345752" w14:paraId="5D22293B" w14:textId="77777777" w:rsidTr="009034C6">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1DB60915"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30</w:t>
            </w:r>
          </w:p>
        </w:tc>
        <w:tc>
          <w:tcPr>
            <w:tcW w:w="1740" w:type="dxa"/>
            <w:tcBorders>
              <w:top w:val="nil"/>
              <w:left w:val="nil"/>
              <w:bottom w:val="single" w:sz="4" w:space="0" w:color="auto"/>
              <w:right w:val="single" w:sz="4" w:space="0" w:color="auto"/>
            </w:tcBorders>
            <w:shd w:val="clear" w:color="000000" w:fill="FFFFFF"/>
            <w:noWrap/>
            <w:vAlign w:val="center"/>
            <w:hideMark/>
          </w:tcPr>
          <w:p w14:paraId="6B873C99"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108%</w:t>
            </w:r>
          </w:p>
        </w:tc>
        <w:tc>
          <w:tcPr>
            <w:tcW w:w="1200" w:type="dxa"/>
            <w:tcBorders>
              <w:top w:val="nil"/>
              <w:left w:val="nil"/>
              <w:bottom w:val="single" w:sz="4" w:space="0" w:color="auto"/>
              <w:right w:val="single" w:sz="4" w:space="0" w:color="auto"/>
            </w:tcBorders>
            <w:shd w:val="clear" w:color="000000" w:fill="FFFFFF"/>
            <w:noWrap/>
            <w:vAlign w:val="center"/>
            <w:hideMark/>
          </w:tcPr>
          <w:p w14:paraId="3E2CAED8"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95%</w:t>
            </w:r>
          </w:p>
        </w:tc>
        <w:tc>
          <w:tcPr>
            <w:tcW w:w="1360" w:type="dxa"/>
            <w:tcBorders>
              <w:top w:val="nil"/>
              <w:left w:val="nil"/>
              <w:bottom w:val="single" w:sz="4" w:space="0" w:color="auto"/>
              <w:right w:val="single" w:sz="4" w:space="0" w:color="auto"/>
            </w:tcBorders>
            <w:shd w:val="clear" w:color="000000" w:fill="FFFFFF"/>
            <w:noWrap/>
            <w:vAlign w:val="center"/>
            <w:hideMark/>
          </w:tcPr>
          <w:p w14:paraId="533C78A6"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50%</w:t>
            </w:r>
          </w:p>
        </w:tc>
        <w:tc>
          <w:tcPr>
            <w:tcW w:w="1200" w:type="dxa"/>
            <w:tcBorders>
              <w:top w:val="nil"/>
              <w:left w:val="nil"/>
              <w:bottom w:val="single" w:sz="4" w:space="0" w:color="auto"/>
              <w:right w:val="single" w:sz="4" w:space="0" w:color="auto"/>
            </w:tcBorders>
            <w:shd w:val="clear" w:color="000000" w:fill="FFFFFF"/>
            <w:noWrap/>
            <w:vAlign w:val="center"/>
            <w:hideMark/>
          </w:tcPr>
          <w:p w14:paraId="51ED4C86"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130%</w:t>
            </w:r>
          </w:p>
        </w:tc>
        <w:tc>
          <w:tcPr>
            <w:tcW w:w="1340" w:type="dxa"/>
            <w:tcBorders>
              <w:top w:val="nil"/>
              <w:left w:val="nil"/>
              <w:bottom w:val="single" w:sz="4" w:space="0" w:color="auto"/>
              <w:right w:val="single" w:sz="4" w:space="0" w:color="auto"/>
            </w:tcBorders>
            <w:shd w:val="clear" w:color="000000" w:fill="FFFFFF"/>
            <w:noWrap/>
            <w:vAlign w:val="center"/>
            <w:hideMark/>
          </w:tcPr>
          <w:p w14:paraId="179D90D1"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201%</w:t>
            </w:r>
          </w:p>
        </w:tc>
        <w:tc>
          <w:tcPr>
            <w:tcW w:w="1340" w:type="dxa"/>
            <w:tcBorders>
              <w:top w:val="nil"/>
              <w:left w:val="nil"/>
              <w:bottom w:val="single" w:sz="4" w:space="0" w:color="auto"/>
              <w:right w:val="single" w:sz="4" w:space="0" w:color="auto"/>
            </w:tcBorders>
            <w:shd w:val="clear" w:color="000000" w:fill="FFFFFF"/>
            <w:noWrap/>
            <w:vAlign w:val="center"/>
            <w:hideMark/>
          </w:tcPr>
          <w:p w14:paraId="12C95721"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121%</w:t>
            </w:r>
          </w:p>
        </w:tc>
        <w:tc>
          <w:tcPr>
            <w:tcW w:w="1200" w:type="dxa"/>
            <w:tcBorders>
              <w:top w:val="nil"/>
              <w:left w:val="nil"/>
              <w:bottom w:val="single" w:sz="4" w:space="0" w:color="auto"/>
              <w:right w:val="single" w:sz="4" w:space="0" w:color="auto"/>
            </w:tcBorders>
            <w:shd w:val="clear" w:color="000000" w:fill="FFFFFF"/>
            <w:noWrap/>
            <w:vAlign w:val="center"/>
            <w:hideMark/>
          </w:tcPr>
          <w:p w14:paraId="51203F1D"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103%</w:t>
            </w:r>
          </w:p>
        </w:tc>
      </w:tr>
      <w:tr w:rsidR="009034C6" w:rsidRPr="00345752" w14:paraId="170314B5" w14:textId="77777777" w:rsidTr="009034C6">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02949348"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31</w:t>
            </w:r>
          </w:p>
        </w:tc>
        <w:tc>
          <w:tcPr>
            <w:tcW w:w="1740" w:type="dxa"/>
            <w:tcBorders>
              <w:top w:val="nil"/>
              <w:left w:val="nil"/>
              <w:bottom w:val="single" w:sz="4" w:space="0" w:color="auto"/>
              <w:right w:val="single" w:sz="4" w:space="0" w:color="auto"/>
            </w:tcBorders>
            <w:shd w:val="clear" w:color="000000" w:fill="FFFFFF"/>
            <w:noWrap/>
            <w:vAlign w:val="center"/>
            <w:hideMark/>
          </w:tcPr>
          <w:p w14:paraId="18E2D247"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63%</w:t>
            </w:r>
          </w:p>
        </w:tc>
        <w:tc>
          <w:tcPr>
            <w:tcW w:w="1200" w:type="dxa"/>
            <w:tcBorders>
              <w:top w:val="nil"/>
              <w:left w:val="nil"/>
              <w:bottom w:val="single" w:sz="4" w:space="0" w:color="auto"/>
              <w:right w:val="single" w:sz="4" w:space="0" w:color="auto"/>
            </w:tcBorders>
            <w:shd w:val="clear" w:color="000000" w:fill="FFFFFF"/>
            <w:noWrap/>
            <w:vAlign w:val="center"/>
            <w:hideMark/>
          </w:tcPr>
          <w:p w14:paraId="50A9AC36"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93%</w:t>
            </w:r>
          </w:p>
        </w:tc>
        <w:tc>
          <w:tcPr>
            <w:tcW w:w="1360" w:type="dxa"/>
            <w:tcBorders>
              <w:top w:val="nil"/>
              <w:left w:val="nil"/>
              <w:bottom w:val="single" w:sz="4" w:space="0" w:color="auto"/>
              <w:right w:val="single" w:sz="4" w:space="0" w:color="auto"/>
            </w:tcBorders>
            <w:shd w:val="clear" w:color="000000" w:fill="FFFFFF"/>
            <w:noWrap/>
            <w:vAlign w:val="center"/>
            <w:hideMark/>
          </w:tcPr>
          <w:p w14:paraId="184069DD"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32%</w:t>
            </w:r>
          </w:p>
        </w:tc>
        <w:tc>
          <w:tcPr>
            <w:tcW w:w="1200" w:type="dxa"/>
            <w:tcBorders>
              <w:top w:val="nil"/>
              <w:left w:val="nil"/>
              <w:bottom w:val="single" w:sz="4" w:space="0" w:color="auto"/>
              <w:right w:val="single" w:sz="4" w:space="0" w:color="auto"/>
            </w:tcBorders>
            <w:shd w:val="clear" w:color="000000" w:fill="FFFFFF"/>
            <w:noWrap/>
            <w:vAlign w:val="center"/>
            <w:hideMark/>
          </w:tcPr>
          <w:p w14:paraId="7A29F961"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144%</w:t>
            </w:r>
          </w:p>
        </w:tc>
        <w:tc>
          <w:tcPr>
            <w:tcW w:w="1340" w:type="dxa"/>
            <w:tcBorders>
              <w:top w:val="nil"/>
              <w:left w:val="nil"/>
              <w:bottom w:val="single" w:sz="4" w:space="0" w:color="auto"/>
              <w:right w:val="single" w:sz="4" w:space="0" w:color="auto"/>
            </w:tcBorders>
            <w:shd w:val="clear" w:color="000000" w:fill="FFFFFF"/>
            <w:noWrap/>
            <w:vAlign w:val="center"/>
            <w:hideMark/>
          </w:tcPr>
          <w:p w14:paraId="375103FC"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290%</w:t>
            </w:r>
          </w:p>
        </w:tc>
        <w:tc>
          <w:tcPr>
            <w:tcW w:w="1340" w:type="dxa"/>
            <w:tcBorders>
              <w:top w:val="nil"/>
              <w:left w:val="nil"/>
              <w:bottom w:val="single" w:sz="4" w:space="0" w:color="auto"/>
              <w:right w:val="single" w:sz="4" w:space="0" w:color="auto"/>
            </w:tcBorders>
            <w:shd w:val="clear" w:color="000000" w:fill="FFFFFF"/>
            <w:noWrap/>
            <w:vAlign w:val="center"/>
            <w:hideMark/>
          </w:tcPr>
          <w:p w14:paraId="3A12BD3A"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99%</w:t>
            </w:r>
          </w:p>
        </w:tc>
        <w:tc>
          <w:tcPr>
            <w:tcW w:w="1200" w:type="dxa"/>
            <w:tcBorders>
              <w:top w:val="nil"/>
              <w:left w:val="nil"/>
              <w:bottom w:val="single" w:sz="4" w:space="0" w:color="auto"/>
              <w:right w:val="single" w:sz="4" w:space="0" w:color="auto"/>
            </w:tcBorders>
            <w:shd w:val="clear" w:color="000000" w:fill="FFFFFF"/>
            <w:noWrap/>
            <w:vAlign w:val="center"/>
            <w:hideMark/>
          </w:tcPr>
          <w:p w14:paraId="7BF23C5F"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85%</w:t>
            </w:r>
          </w:p>
        </w:tc>
      </w:tr>
      <w:tr w:rsidR="009034C6" w:rsidRPr="00345752" w14:paraId="57CC5013" w14:textId="77777777" w:rsidTr="009034C6">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6C3E1188"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32</w:t>
            </w:r>
          </w:p>
        </w:tc>
        <w:tc>
          <w:tcPr>
            <w:tcW w:w="1740" w:type="dxa"/>
            <w:tcBorders>
              <w:top w:val="nil"/>
              <w:left w:val="nil"/>
              <w:bottom w:val="single" w:sz="4" w:space="0" w:color="auto"/>
              <w:right w:val="single" w:sz="4" w:space="0" w:color="auto"/>
            </w:tcBorders>
            <w:shd w:val="clear" w:color="000000" w:fill="FFFFFF"/>
            <w:noWrap/>
            <w:vAlign w:val="center"/>
            <w:hideMark/>
          </w:tcPr>
          <w:p w14:paraId="24338DF0"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65%</w:t>
            </w:r>
          </w:p>
        </w:tc>
        <w:tc>
          <w:tcPr>
            <w:tcW w:w="1200" w:type="dxa"/>
            <w:tcBorders>
              <w:top w:val="nil"/>
              <w:left w:val="nil"/>
              <w:bottom w:val="single" w:sz="4" w:space="0" w:color="auto"/>
              <w:right w:val="single" w:sz="4" w:space="0" w:color="auto"/>
            </w:tcBorders>
            <w:shd w:val="clear" w:color="000000" w:fill="FFFFFF"/>
            <w:noWrap/>
            <w:vAlign w:val="center"/>
            <w:hideMark/>
          </w:tcPr>
          <w:p w14:paraId="68D8E9A8"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86%</w:t>
            </w:r>
          </w:p>
        </w:tc>
        <w:tc>
          <w:tcPr>
            <w:tcW w:w="1360" w:type="dxa"/>
            <w:tcBorders>
              <w:top w:val="nil"/>
              <w:left w:val="nil"/>
              <w:bottom w:val="single" w:sz="4" w:space="0" w:color="auto"/>
              <w:right w:val="single" w:sz="4" w:space="0" w:color="auto"/>
            </w:tcBorders>
            <w:shd w:val="clear" w:color="000000" w:fill="FFFFFF"/>
            <w:noWrap/>
            <w:vAlign w:val="center"/>
            <w:hideMark/>
          </w:tcPr>
          <w:p w14:paraId="6488B815"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36%</w:t>
            </w:r>
          </w:p>
        </w:tc>
        <w:tc>
          <w:tcPr>
            <w:tcW w:w="1200" w:type="dxa"/>
            <w:tcBorders>
              <w:top w:val="nil"/>
              <w:left w:val="nil"/>
              <w:bottom w:val="single" w:sz="4" w:space="0" w:color="auto"/>
              <w:right w:val="single" w:sz="4" w:space="0" w:color="auto"/>
            </w:tcBorders>
            <w:shd w:val="clear" w:color="000000" w:fill="FFFFFF"/>
            <w:noWrap/>
            <w:vAlign w:val="center"/>
            <w:hideMark/>
          </w:tcPr>
          <w:p w14:paraId="6C0AE69A"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80%</w:t>
            </w:r>
          </w:p>
        </w:tc>
        <w:tc>
          <w:tcPr>
            <w:tcW w:w="1340" w:type="dxa"/>
            <w:tcBorders>
              <w:top w:val="nil"/>
              <w:left w:val="nil"/>
              <w:bottom w:val="single" w:sz="4" w:space="0" w:color="auto"/>
              <w:right w:val="single" w:sz="4" w:space="0" w:color="auto"/>
            </w:tcBorders>
            <w:shd w:val="clear" w:color="000000" w:fill="FFFFFF"/>
            <w:noWrap/>
            <w:vAlign w:val="center"/>
            <w:hideMark/>
          </w:tcPr>
          <w:p w14:paraId="793D8E23"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259%</w:t>
            </w:r>
          </w:p>
        </w:tc>
        <w:tc>
          <w:tcPr>
            <w:tcW w:w="1340" w:type="dxa"/>
            <w:tcBorders>
              <w:top w:val="nil"/>
              <w:left w:val="nil"/>
              <w:bottom w:val="single" w:sz="4" w:space="0" w:color="auto"/>
              <w:right w:val="single" w:sz="4" w:space="0" w:color="auto"/>
            </w:tcBorders>
            <w:shd w:val="clear" w:color="000000" w:fill="FFFFFF"/>
            <w:noWrap/>
            <w:vAlign w:val="center"/>
            <w:hideMark/>
          </w:tcPr>
          <w:p w14:paraId="4982E002"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104%</w:t>
            </w:r>
          </w:p>
        </w:tc>
        <w:tc>
          <w:tcPr>
            <w:tcW w:w="1200" w:type="dxa"/>
            <w:tcBorders>
              <w:top w:val="nil"/>
              <w:left w:val="nil"/>
              <w:bottom w:val="single" w:sz="4" w:space="0" w:color="auto"/>
              <w:right w:val="single" w:sz="4" w:space="0" w:color="auto"/>
            </w:tcBorders>
            <w:shd w:val="clear" w:color="000000" w:fill="FFFFFF"/>
            <w:noWrap/>
            <w:vAlign w:val="center"/>
            <w:hideMark/>
          </w:tcPr>
          <w:p w14:paraId="3CD879FA"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74%</w:t>
            </w:r>
          </w:p>
        </w:tc>
      </w:tr>
      <w:tr w:rsidR="009034C6" w:rsidRPr="00345752" w14:paraId="2FE0067B" w14:textId="77777777" w:rsidTr="009034C6">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5428C417"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33</w:t>
            </w:r>
          </w:p>
        </w:tc>
        <w:tc>
          <w:tcPr>
            <w:tcW w:w="1740" w:type="dxa"/>
            <w:tcBorders>
              <w:top w:val="nil"/>
              <w:left w:val="nil"/>
              <w:bottom w:val="single" w:sz="4" w:space="0" w:color="auto"/>
              <w:right w:val="single" w:sz="4" w:space="0" w:color="auto"/>
            </w:tcBorders>
            <w:shd w:val="clear" w:color="000000" w:fill="FFFFFF"/>
            <w:noWrap/>
            <w:vAlign w:val="center"/>
            <w:hideMark/>
          </w:tcPr>
          <w:p w14:paraId="3AF7825E"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72%</w:t>
            </w:r>
          </w:p>
        </w:tc>
        <w:tc>
          <w:tcPr>
            <w:tcW w:w="1200" w:type="dxa"/>
            <w:tcBorders>
              <w:top w:val="nil"/>
              <w:left w:val="nil"/>
              <w:bottom w:val="single" w:sz="4" w:space="0" w:color="auto"/>
              <w:right w:val="single" w:sz="4" w:space="0" w:color="auto"/>
            </w:tcBorders>
            <w:shd w:val="clear" w:color="000000" w:fill="FFFFFF"/>
            <w:noWrap/>
            <w:vAlign w:val="center"/>
            <w:hideMark/>
          </w:tcPr>
          <w:p w14:paraId="44512C16"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77%</w:t>
            </w:r>
          </w:p>
        </w:tc>
        <w:tc>
          <w:tcPr>
            <w:tcW w:w="1360" w:type="dxa"/>
            <w:tcBorders>
              <w:top w:val="nil"/>
              <w:left w:val="nil"/>
              <w:bottom w:val="single" w:sz="4" w:space="0" w:color="auto"/>
              <w:right w:val="single" w:sz="4" w:space="0" w:color="auto"/>
            </w:tcBorders>
            <w:shd w:val="clear" w:color="000000" w:fill="FFFFFF"/>
            <w:noWrap/>
            <w:vAlign w:val="center"/>
            <w:hideMark/>
          </w:tcPr>
          <w:p w14:paraId="79151CF5"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47%</w:t>
            </w:r>
          </w:p>
        </w:tc>
        <w:tc>
          <w:tcPr>
            <w:tcW w:w="1200" w:type="dxa"/>
            <w:tcBorders>
              <w:top w:val="nil"/>
              <w:left w:val="nil"/>
              <w:bottom w:val="single" w:sz="4" w:space="0" w:color="auto"/>
              <w:right w:val="single" w:sz="4" w:space="0" w:color="auto"/>
            </w:tcBorders>
            <w:shd w:val="clear" w:color="000000" w:fill="FFFFFF"/>
            <w:noWrap/>
            <w:vAlign w:val="center"/>
            <w:hideMark/>
          </w:tcPr>
          <w:p w14:paraId="3A04E275"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153%</w:t>
            </w:r>
          </w:p>
        </w:tc>
        <w:tc>
          <w:tcPr>
            <w:tcW w:w="1340" w:type="dxa"/>
            <w:tcBorders>
              <w:top w:val="nil"/>
              <w:left w:val="nil"/>
              <w:bottom w:val="single" w:sz="4" w:space="0" w:color="auto"/>
              <w:right w:val="single" w:sz="4" w:space="0" w:color="auto"/>
            </w:tcBorders>
            <w:shd w:val="clear" w:color="000000" w:fill="FFFFFF"/>
            <w:noWrap/>
            <w:vAlign w:val="center"/>
            <w:hideMark/>
          </w:tcPr>
          <w:p w14:paraId="68707B4B"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252%</w:t>
            </w:r>
          </w:p>
        </w:tc>
        <w:tc>
          <w:tcPr>
            <w:tcW w:w="1340" w:type="dxa"/>
            <w:tcBorders>
              <w:top w:val="nil"/>
              <w:left w:val="nil"/>
              <w:bottom w:val="single" w:sz="4" w:space="0" w:color="auto"/>
              <w:right w:val="single" w:sz="4" w:space="0" w:color="auto"/>
            </w:tcBorders>
            <w:shd w:val="clear" w:color="000000" w:fill="FFFFFF"/>
            <w:noWrap/>
            <w:vAlign w:val="center"/>
            <w:hideMark/>
          </w:tcPr>
          <w:p w14:paraId="3E36CF74"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121%</w:t>
            </w:r>
          </w:p>
        </w:tc>
        <w:tc>
          <w:tcPr>
            <w:tcW w:w="1200" w:type="dxa"/>
            <w:tcBorders>
              <w:top w:val="nil"/>
              <w:left w:val="nil"/>
              <w:bottom w:val="single" w:sz="4" w:space="0" w:color="auto"/>
              <w:right w:val="single" w:sz="4" w:space="0" w:color="auto"/>
            </w:tcBorders>
            <w:shd w:val="clear" w:color="000000" w:fill="FFFFFF"/>
            <w:noWrap/>
            <w:vAlign w:val="center"/>
            <w:hideMark/>
          </w:tcPr>
          <w:p w14:paraId="57C15B7F"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109%</w:t>
            </w:r>
          </w:p>
        </w:tc>
      </w:tr>
      <w:tr w:rsidR="009034C6" w:rsidRPr="00345752" w14:paraId="7933AB30" w14:textId="77777777" w:rsidTr="009034C6">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40657360"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34</w:t>
            </w:r>
          </w:p>
        </w:tc>
        <w:tc>
          <w:tcPr>
            <w:tcW w:w="1740" w:type="dxa"/>
            <w:tcBorders>
              <w:top w:val="nil"/>
              <w:left w:val="nil"/>
              <w:bottom w:val="single" w:sz="4" w:space="0" w:color="auto"/>
              <w:right w:val="single" w:sz="4" w:space="0" w:color="auto"/>
            </w:tcBorders>
            <w:shd w:val="clear" w:color="000000" w:fill="FFFFFF"/>
            <w:noWrap/>
            <w:vAlign w:val="center"/>
            <w:hideMark/>
          </w:tcPr>
          <w:p w14:paraId="0F0809C9"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59%</w:t>
            </w:r>
          </w:p>
        </w:tc>
        <w:tc>
          <w:tcPr>
            <w:tcW w:w="1200" w:type="dxa"/>
            <w:tcBorders>
              <w:top w:val="nil"/>
              <w:left w:val="nil"/>
              <w:bottom w:val="single" w:sz="4" w:space="0" w:color="auto"/>
              <w:right w:val="single" w:sz="4" w:space="0" w:color="auto"/>
            </w:tcBorders>
            <w:shd w:val="clear" w:color="000000" w:fill="FFFFFF"/>
            <w:noWrap/>
            <w:vAlign w:val="center"/>
            <w:hideMark/>
          </w:tcPr>
          <w:p w14:paraId="426C2AAD"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88%</w:t>
            </w:r>
          </w:p>
        </w:tc>
        <w:tc>
          <w:tcPr>
            <w:tcW w:w="1360" w:type="dxa"/>
            <w:tcBorders>
              <w:top w:val="nil"/>
              <w:left w:val="nil"/>
              <w:bottom w:val="single" w:sz="4" w:space="0" w:color="auto"/>
              <w:right w:val="single" w:sz="4" w:space="0" w:color="auto"/>
            </w:tcBorders>
            <w:shd w:val="clear" w:color="000000" w:fill="FFFFFF"/>
            <w:noWrap/>
            <w:vAlign w:val="center"/>
            <w:hideMark/>
          </w:tcPr>
          <w:p w14:paraId="4AAE13B3"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43%</w:t>
            </w:r>
          </w:p>
        </w:tc>
        <w:tc>
          <w:tcPr>
            <w:tcW w:w="1200" w:type="dxa"/>
            <w:tcBorders>
              <w:top w:val="nil"/>
              <w:left w:val="nil"/>
              <w:bottom w:val="single" w:sz="4" w:space="0" w:color="auto"/>
              <w:right w:val="single" w:sz="4" w:space="0" w:color="auto"/>
            </w:tcBorders>
            <w:shd w:val="clear" w:color="000000" w:fill="FFFFFF"/>
            <w:noWrap/>
            <w:vAlign w:val="center"/>
            <w:hideMark/>
          </w:tcPr>
          <w:p w14:paraId="1336A69A"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50%</w:t>
            </w:r>
          </w:p>
        </w:tc>
        <w:tc>
          <w:tcPr>
            <w:tcW w:w="1340" w:type="dxa"/>
            <w:tcBorders>
              <w:top w:val="nil"/>
              <w:left w:val="nil"/>
              <w:bottom w:val="single" w:sz="4" w:space="0" w:color="auto"/>
              <w:right w:val="single" w:sz="4" w:space="0" w:color="auto"/>
            </w:tcBorders>
            <w:shd w:val="clear" w:color="000000" w:fill="FFFFFF"/>
            <w:noWrap/>
            <w:vAlign w:val="center"/>
            <w:hideMark/>
          </w:tcPr>
          <w:p w14:paraId="32A21CFD"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162%</w:t>
            </w:r>
          </w:p>
        </w:tc>
        <w:tc>
          <w:tcPr>
            <w:tcW w:w="1340" w:type="dxa"/>
            <w:tcBorders>
              <w:top w:val="nil"/>
              <w:left w:val="nil"/>
              <w:bottom w:val="single" w:sz="4" w:space="0" w:color="auto"/>
              <w:right w:val="single" w:sz="4" w:space="0" w:color="auto"/>
            </w:tcBorders>
            <w:shd w:val="clear" w:color="000000" w:fill="FFFFFF"/>
            <w:noWrap/>
            <w:vAlign w:val="center"/>
            <w:hideMark/>
          </w:tcPr>
          <w:p w14:paraId="103EF4D9"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53%</w:t>
            </w:r>
          </w:p>
        </w:tc>
        <w:tc>
          <w:tcPr>
            <w:tcW w:w="1200" w:type="dxa"/>
            <w:tcBorders>
              <w:top w:val="nil"/>
              <w:left w:val="nil"/>
              <w:bottom w:val="single" w:sz="4" w:space="0" w:color="auto"/>
              <w:right w:val="single" w:sz="4" w:space="0" w:color="auto"/>
            </w:tcBorders>
            <w:shd w:val="clear" w:color="000000" w:fill="FFFFFF"/>
            <w:noWrap/>
            <w:vAlign w:val="center"/>
            <w:hideMark/>
          </w:tcPr>
          <w:p w14:paraId="5A43E1A0"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106%</w:t>
            </w:r>
          </w:p>
        </w:tc>
      </w:tr>
      <w:tr w:rsidR="009034C6" w:rsidRPr="00345752" w14:paraId="73BD53AC" w14:textId="77777777" w:rsidTr="009034C6">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4E3B3823"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35</w:t>
            </w:r>
          </w:p>
        </w:tc>
        <w:tc>
          <w:tcPr>
            <w:tcW w:w="1740" w:type="dxa"/>
            <w:tcBorders>
              <w:top w:val="nil"/>
              <w:left w:val="nil"/>
              <w:bottom w:val="single" w:sz="4" w:space="0" w:color="auto"/>
              <w:right w:val="single" w:sz="4" w:space="0" w:color="auto"/>
            </w:tcBorders>
            <w:shd w:val="clear" w:color="000000" w:fill="FFFFFF"/>
            <w:noWrap/>
            <w:vAlign w:val="center"/>
            <w:hideMark/>
          </w:tcPr>
          <w:p w14:paraId="50E57F8A"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84%</w:t>
            </w:r>
          </w:p>
        </w:tc>
        <w:tc>
          <w:tcPr>
            <w:tcW w:w="1200" w:type="dxa"/>
            <w:tcBorders>
              <w:top w:val="nil"/>
              <w:left w:val="nil"/>
              <w:bottom w:val="single" w:sz="4" w:space="0" w:color="auto"/>
              <w:right w:val="single" w:sz="4" w:space="0" w:color="auto"/>
            </w:tcBorders>
            <w:shd w:val="clear" w:color="000000" w:fill="FFFFFF"/>
            <w:noWrap/>
            <w:vAlign w:val="center"/>
            <w:hideMark/>
          </w:tcPr>
          <w:p w14:paraId="0F5AAF65"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114%</w:t>
            </w:r>
          </w:p>
        </w:tc>
        <w:tc>
          <w:tcPr>
            <w:tcW w:w="1360" w:type="dxa"/>
            <w:tcBorders>
              <w:top w:val="nil"/>
              <w:left w:val="nil"/>
              <w:bottom w:val="single" w:sz="4" w:space="0" w:color="auto"/>
              <w:right w:val="single" w:sz="4" w:space="0" w:color="auto"/>
            </w:tcBorders>
            <w:shd w:val="clear" w:color="000000" w:fill="FFFFFF"/>
            <w:noWrap/>
            <w:vAlign w:val="center"/>
            <w:hideMark/>
          </w:tcPr>
          <w:p w14:paraId="25077C80"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47%</w:t>
            </w:r>
          </w:p>
        </w:tc>
        <w:tc>
          <w:tcPr>
            <w:tcW w:w="1200" w:type="dxa"/>
            <w:tcBorders>
              <w:top w:val="nil"/>
              <w:left w:val="nil"/>
              <w:bottom w:val="single" w:sz="4" w:space="0" w:color="auto"/>
              <w:right w:val="single" w:sz="4" w:space="0" w:color="auto"/>
            </w:tcBorders>
            <w:shd w:val="clear" w:color="000000" w:fill="FFFFFF"/>
            <w:noWrap/>
            <w:vAlign w:val="center"/>
            <w:hideMark/>
          </w:tcPr>
          <w:p w14:paraId="2B4006EE"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66%</w:t>
            </w:r>
          </w:p>
        </w:tc>
        <w:tc>
          <w:tcPr>
            <w:tcW w:w="1340" w:type="dxa"/>
            <w:tcBorders>
              <w:top w:val="nil"/>
              <w:left w:val="nil"/>
              <w:bottom w:val="single" w:sz="4" w:space="0" w:color="auto"/>
              <w:right w:val="single" w:sz="4" w:space="0" w:color="auto"/>
            </w:tcBorders>
            <w:shd w:val="clear" w:color="000000" w:fill="FFFFFF"/>
            <w:noWrap/>
            <w:vAlign w:val="center"/>
            <w:hideMark/>
          </w:tcPr>
          <w:p w14:paraId="5256966D"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187%</w:t>
            </w:r>
          </w:p>
        </w:tc>
        <w:tc>
          <w:tcPr>
            <w:tcW w:w="1340" w:type="dxa"/>
            <w:tcBorders>
              <w:top w:val="nil"/>
              <w:left w:val="nil"/>
              <w:bottom w:val="single" w:sz="4" w:space="0" w:color="auto"/>
              <w:right w:val="single" w:sz="4" w:space="0" w:color="auto"/>
            </w:tcBorders>
            <w:shd w:val="clear" w:color="000000" w:fill="FFFFFF"/>
            <w:noWrap/>
            <w:vAlign w:val="center"/>
            <w:hideMark/>
          </w:tcPr>
          <w:p w14:paraId="5ED5B5C1"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56%</w:t>
            </w:r>
          </w:p>
        </w:tc>
        <w:tc>
          <w:tcPr>
            <w:tcW w:w="1200" w:type="dxa"/>
            <w:tcBorders>
              <w:top w:val="nil"/>
              <w:left w:val="nil"/>
              <w:bottom w:val="single" w:sz="4" w:space="0" w:color="auto"/>
              <w:right w:val="single" w:sz="4" w:space="0" w:color="auto"/>
            </w:tcBorders>
            <w:shd w:val="clear" w:color="000000" w:fill="FFFFFF"/>
            <w:noWrap/>
            <w:vAlign w:val="center"/>
            <w:hideMark/>
          </w:tcPr>
          <w:p w14:paraId="47AA8501"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88%</w:t>
            </w:r>
          </w:p>
        </w:tc>
      </w:tr>
      <w:tr w:rsidR="009034C6" w:rsidRPr="00345752" w14:paraId="7C66E3AD" w14:textId="77777777" w:rsidTr="009034C6">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413FE54C"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36</w:t>
            </w:r>
          </w:p>
        </w:tc>
        <w:tc>
          <w:tcPr>
            <w:tcW w:w="1740" w:type="dxa"/>
            <w:tcBorders>
              <w:top w:val="nil"/>
              <w:left w:val="nil"/>
              <w:bottom w:val="single" w:sz="4" w:space="0" w:color="auto"/>
              <w:right w:val="single" w:sz="4" w:space="0" w:color="auto"/>
            </w:tcBorders>
            <w:shd w:val="clear" w:color="000000" w:fill="FFFFFF"/>
            <w:noWrap/>
            <w:vAlign w:val="center"/>
            <w:hideMark/>
          </w:tcPr>
          <w:p w14:paraId="4B4C592B"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91%</w:t>
            </w:r>
          </w:p>
        </w:tc>
        <w:tc>
          <w:tcPr>
            <w:tcW w:w="1200" w:type="dxa"/>
            <w:tcBorders>
              <w:top w:val="nil"/>
              <w:left w:val="nil"/>
              <w:bottom w:val="single" w:sz="4" w:space="0" w:color="auto"/>
              <w:right w:val="single" w:sz="4" w:space="0" w:color="auto"/>
            </w:tcBorders>
            <w:shd w:val="clear" w:color="000000" w:fill="FFFFFF"/>
            <w:noWrap/>
            <w:vAlign w:val="center"/>
            <w:hideMark/>
          </w:tcPr>
          <w:p w14:paraId="4B05A82D"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65%</w:t>
            </w:r>
          </w:p>
        </w:tc>
        <w:tc>
          <w:tcPr>
            <w:tcW w:w="1360" w:type="dxa"/>
            <w:tcBorders>
              <w:top w:val="nil"/>
              <w:left w:val="nil"/>
              <w:bottom w:val="single" w:sz="4" w:space="0" w:color="auto"/>
              <w:right w:val="single" w:sz="4" w:space="0" w:color="auto"/>
            </w:tcBorders>
            <w:shd w:val="clear" w:color="000000" w:fill="FFFFFF"/>
            <w:noWrap/>
            <w:vAlign w:val="center"/>
            <w:hideMark/>
          </w:tcPr>
          <w:p w14:paraId="3311B338"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46%</w:t>
            </w:r>
          </w:p>
        </w:tc>
        <w:tc>
          <w:tcPr>
            <w:tcW w:w="1200" w:type="dxa"/>
            <w:tcBorders>
              <w:top w:val="nil"/>
              <w:left w:val="nil"/>
              <w:bottom w:val="single" w:sz="4" w:space="0" w:color="auto"/>
              <w:right w:val="single" w:sz="4" w:space="0" w:color="auto"/>
            </w:tcBorders>
            <w:shd w:val="clear" w:color="000000" w:fill="FFFFFF"/>
            <w:noWrap/>
            <w:vAlign w:val="center"/>
            <w:hideMark/>
          </w:tcPr>
          <w:p w14:paraId="49154243"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190%</w:t>
            </w:r>
          </w:p>
        </w:tc>
        <w:tc>
          <w:tcPr>
            <w:tcW w:w="1340" w:type="dxa"/>
            <w:tcBorders>
              <w:top w:val="nil"/>
              <w:left w:val="nil"/>
              <w:bottom w:val="single" w:sz="4" w:space="0" w:color="auto"/>
              <w:right w:val="single" w:sz="4" w:space="0" w:color="auto"/>
            </w:tcBorders>
            <w:shd w:val="clear" w:color="000000" w:fill="FFFFFF"/>
            <w:noWrap/>
            <w:vAlign w:val="center"/>
            <w:hideMark/>
          </w:tcPr>
          <w:p w14:paraId="4F9BD2CA"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165%</w:t>
            </w:r>
          </w:p>
        </w:tc>
        <w:tc>
          <w:tcPr>
            <w:tcW w:w="1340" w:type="dxa"/>
            <w:tcBorders>
              <w:top w:val="nil"/>
              <w:left w:val="nil"/>
              <w:bottom w:val="single" w:sz="4" w:space="0" w:color="auto"/>
              <w:right w:val="single" w:sz="4" w:space="0" w:color="auto"/>
            </w:tcBorders>
            <w:shd w:val="clear" w:color="000000" w:fill="FFFFFF"/>
            <w:noWrap/>
            <w:vAlign w:val="center"/>
            <w:hideMark/>
          </w:tcPr>
          <w:p w14:paraId="27F2700B"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89%</w:t>
            </w:r>
          </w:p>
        </w:tc>
        <w:tc>
          <w:tcPr>
            <w:tcW w:w="1200" w:type="dxa"/>
            <w:tcBorders>
              <w:top w:val="nil"/>
              <w:left w:val="nil"/>
              <w:bottom w:val="single" w:sz="4" w:space="0" w:color="auto"/>
              <w:right w:val="single" w:sz="4" w:space="0" w:color="auto"/>
            </w:tcBorders>
            <w:shd w:val="clear" w:color="000000" w:fill="FFFFFF"/>
            <w:noWrap/>
            <w:vAlign w:val="center"/>
            <w:hideMark/>
          </w:tcPr>
          <w:p w14:paraId="1AC1159D"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91%</w:t>
            </w:r>
          </w:p>
        </w:tc>
      </w:tr>
      <w:tr w:rsidR="009034C6" w:rsidRPr="00345752" w14:paraId="4A340862" w14:textId="77777777" w:rsidTr="009034C6">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1239542B"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37</w:t>
            </w:r>
          </w:p>
        </w:tc>
        <w:tc>
          <w:tcPr>
            <w:tcW w:w="1740" w:type="dxa"/>
            <w:tcBorders>
              <w:top w:val="nil"/>
              <w:left w:val="nil"/>
              <w:bottom w:val="single" w:sz="4" w:space="0" w:color="auto"/>
              <w:right w:val="single" w:sz="4" w:space="0" w:color="auto"/>
            </w:tcBorders>
            <w:shd w:val="clear" w:color="000000" w:fill="FFFFFF"/>
            <w:noWrap/>
            <w:vAlign w:val="center"/>
            <w:hideMark/>
          </w:tcPr>
          <w:p w14:paraId="3C5EB3E3"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92%</w:t>
            </w:r>
          </w:p>
        </w:tc>
        <w:tc>
          <w:tcPr>
            <w:tcW w:w="1200" w:type="dxa"/>
            <w:tcBorders>
              <w:top w:val="nil"/>
              <w:left w:val="nil"/>
              <w:bottom w:val="single" w:sz="4" w:space="0" w:color="auto"/>
              <w:right w:val="single" w:sz="4" w:space="0" w:color="auto"/>
            </w:tcBorders>
            <w:shd w:val="clear" w:color="000000" w:fill="FFFFFF"/>
            <w:noWrap/>
            <w:vAlign w:val="center"/>
            <w:hideMark/>
          </w:tcPr>
          <w:p w14:paraId="1827E322"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76%</w:t>
            </w:r>
          </w:p>
        </w:tc>
        <w:tc>
          <w:tcPr>
            <w:tcW w:w="1360" w:type="dxa"/>
            <w:tcBorders>
              <w:top w:val="nil"/>
              <w:left w:val="nil"/>
              <w:bottom w:val="single" w:sz="4" w:space="0" w:color="auto"/>
              <w:right w:val="single" w:sz="4" w:space="0" w:color="auto"/>
            </w:tcBorders>
            <w:shd w:val="clear" w:color="000000" w:fill="FFFFFF"/>
            <w:noWrap/>
            <w:vAlign w:val="center"/>
            <w:hideMark/>
          </w:tcPr>
          <w:p w14:paraId="4D4156C2"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47%</w:t>
            </w:r>
          </w:p>
        </w:tc>
        <w:tc>
          <w:tcPr>
            <w:tcW w:w="1200" w:type="dxa"/>
            <w:tcBorders>
              <w:top w:val="nil"/>
              <w:left w:val="nil"/>
              <w:bottom w:val="single" w:sz="4" w:space="0" w:color="auto"/>
              <w:right w:val="single" w:sz="4" w:space="0" w:color="auto"/>
            </w:tcBorders>
            <w:shd w:val="clear" w:color="000000" w:fill="FFFFFF"/>
            <w:noWrap/>
            <w:vAlign w:val="center"/>
            <w:hideMark/>
          </w:tcPr>
          <w:p w14:paraId="5EAA2E49"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90%</w:t>
            </w:r>
          </w:p>
        </w:tc>
        <w:tc>
          <w:tcPr>
            <w:tcW w:w="1340" w:type="dxa"/>
            <w:tcBorders>
              <w:top w:val="nil"/>
              <w:left w:val="nil"/>
              <w:bottom w:val="single" w:sz="4" w:space="0" w:color="auto"/>
              <w:right w:val="single" w:sz="4" w:space="0" w:color="auto"/>
            </w:tcBorders>
            <w:shd w:val="clear" w:color="000000" w:fill="FFFFFF"/>
            <w:noWrap/>
            <w:vAlign w:val="center"/>
            <w:hideMark/>
          </w:tcPr>
          <w:p w14:paraId="41BE903E"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104%</w:t>
            </w:r>
          </w:p>
        </w:tc>
        <w:tc>
          <w:tcPr>
            <w:tcW w:w="1340" w:type="dxa"/>
            <w:tcBorders>
              <w:top w:val="nil"/>
              <w:left w:val="nil"/>
              <w:bottom w:val="single" w:sz="4" w:space="0" w:color="auto"/>
              <w:right w:val="single" w:sz="4" w:space="0" w:color="auto"/>
            </w:tcBorders>
            <w:shd w:val="clear" w:color="000000" w:fill="FFFFFF"/>
            <w:noWrap/>
            <w:vAlign w:val="center"/>
            <w:hideMark/>
          </w:tcPr>
          <w:p w14:paraId="46B07FAD"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97%</w:t>
            </w:r>
          </w:p>
        </w:tc>
        <w:tc>
          <w:tcPr>
            <w:tcW w:w="1200" w:type="dxa"/>
            <w:tcBorders>
              <w:top w:val="nil"/>
              <w:left w:val="nil"/>
              <w:bottom w:val="single" w:sz="4" w:space="0" w:color="auto"/>
              <w:right w:val="single" w:sz="4" w:space="0" w:color="auto"/>
            </w:tcBorders>
            <w:shd w:val="clear" w:color="000000" w:fill="FFFFFF"/>
            <w:noWrap/>
            <w:vAlign w:val="center"/>
            <w:hideMark/>
          </w:tcPr>
          <w:p w14:paraId="7C1EF1ED"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124%</w:t>
            </w:r>
          </w:p>
        </w:tc>
      </w:tr>
      <w:tr w:rsidR="009034C6" w:rsidRPr="00345752" w14:paraId="6240467B" w14:textId="77777777" w:rsidTr="009034C6">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49327809"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38</w:t>
            </w:r>
          </w:p>
        </w:tc>
        <w:tc>
          <w:tcPr>
            <w:tcW w:w="1740" w:type="dxa"/>
            <w:tcBorders>
              <w:top w:val="nil"/>
              <w:left w:val="nil"/>
              <w:bottom w:val="single" w:sz="4" w:space="0" w:color="auto"/>
              <w:right w:val="single" w:sz="4" w:space="0" w:color="auto"/>
            </w:tcBorders>
            <w:shd w:val="clear" w:color="000000" w:fill="FFFFFF"/>
            <w:noWrap/>
            <w:vAlign w:val="center"/>
            <w:hideMark/>
          </w:tcPr>
          <w:p w14:paraId="3033C258"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93%</w:t>
            </w:r>
          </w:p>
        </w:tc>
        <w:tc>
          <w:tcPr>
            <w:tcW w:w="1200" w:type="dxa"/>
            <w:tcBorders>
              <w:top w:val="nil"/>
              <w:left w:val="nil"/>
              <w:bottom w:val="single" w:sz="4" w:space="0" w:color="auto"/>
              <w:right w:val="single" w:sz="4" w:space="0" w:color="auto"/>
            </w:tcBorders>
            <w:shd w:val="clear" w:color="000000" w:fill="FFFFFF"/>
            <w:noWrap/>
            <w:vAlign w:val="center"/>
            <w:hideMark/>
          </w:tcPr>
          <w:p w14:paraId="4CB371F9"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97%</w:t>
            </w:r>
          </w:p>
        </w:tc>
        <w:tc>
          <w:tcPr>
            <w:tcW w:w="1360" w:type="dxa"/>
            <w:tcBorders>
              <w:top w:val="nil"/>
              <w:left w:val="nil"/>
              <w:bottom w:val="single" w:sz="4" w:space="0" w:color="auto"/>
              <w:right w:val="single" w:sz="4" w:space="0" w:color="auto"/>
            </w:tcBorders>
            <w:shd w:val="clear" w:color="000000" w:fill="FFFFFF"/>
            <w:noWrap/>
            <w:vAlign w:val="center"/>
            <w:hideMark/>
          </w:tcPr>
          <w:p w14:paraId="1B284CA7"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58%</w:t>
            </w:r>
          </w:p>
        </w:tc>
        <w:tc>
          <w:tcPr>
            <w:tcW w:w="1200" w:type="dxa"/>
            <w:tcBorders>
              <w:top w:val="nil"/>
              <w:left w:val="nil"/>
              <w:bottom w:val="single" w:sz="4" w:space="0" w:color="auto"/>
              <w:right w:val="single" w:sz="4" w:space="0" w:color="auto"/>
            </w:tcBorders>
            <w:shd w:val="clear" w:color="000000" w:fill="FFFFFF"/>
            <w:noWrap/>
            <w:vAlign w:val="center"/>
            <w:hideMark/>
          </w:tcPr>
          <w:p w14:paraId="74116B6C"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114%</w:t>
            </w:r>
          </w:p>
        </w:tc>
        <w:tc>
          <w:tcPr>
            <w:tcW w:w="1340" w:type="dxa"/>
            <w:tcBorders>
              <w:top w:val="nil"/>
              <w:left w:val="nil"/>
              <w:bottom w:val="single" w:sz="4" w:space="0" w:color="auto"/>
              <w:right w:val="single" w:sz="4" w:space="0" w:color="auto"/>
            </w:tcBorders>
            <w:shd w:val="clear" w:color="000000" w:fill="FFFFFF"/>
            <w:noWrap/>
            <w:vAlign w:val="center"/>
            <w:hideMark/>
          </w:tcPr>
          <w:p w14:paraId="5B52F662"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221%</w:t>
            </w:r>
          </w:p>
        </w:tc>
        <w:tc>
          <w:tcPr>
            <w:tcW w:w="1340" w:type="dxa"/>
            <w:tcBorders>
              <w:top w:val="nil"/>
              <w:left w:val="nil"/>
              <w:bottom w:val="single" w:sz="4" w:space="0" w:color="auto"/>
              <w:right w:val="single" w:sz="4" w:space="0" w:color="auto"/>
            </w:tcBorders>
            <w:shd w:val="clear" w:color="000000" w:fill="FFFFFF"/>
            <w:noWrap/>
            <w:vAlign w:val="center"/>
            <w:hideMark/>
          </w:tcPr>
          <w:p w14:paraId="18C2FA07"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81%</w:t>
            </w:r>
          </w:p>
        </w:tc>
        <w:tc>
          <w:tcPr>
            <w:tcW w:w="1200" w:type="dxa"/>
            <w:tcBorders>
              <w:top w:val="nil"/>
              <w:left w:val="nil"/>
              <w:bottom w:val="single" w:sz="4" w:space="0" w:color="auto"/>
              <w:right w:val="single" w:sz="4" w:space="0" w:color="auto"/>
            </w:tcBorders>
            <w:shd w:val="clear" w:color="000000" w:fill="FFFFFF"/>
            <w:noWrap/>
            <w:vAlign w:val="center"/>
            <w:hideMark/>
          </w:tcPr>
          <w:p w14:paraId="0AFE8BA7"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106%</w:t>
            </w:r>
          </w:p>
        </w:tc>
      </w:tr>
      <w:tr w:rsidR="009034C6" w:rsidRPr="00345752" w14:paraId="5CF886A8" w14:textId="77777777" w:rsidTr="009034C6">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56DCBB18"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39</w:t>
            </w:r>
          </w:p>
        </w:tc>
        <w:tc>
          <w:tcPr>
            <w:tcW w:w="1740" w:type="dxa"/>
            <w:tcBorders>
              <w:top w:val="nil"/>
              <w:left w:val="nil"/>
              <w:bottom w:val="single" w:sz="4" w:space="0" w:color="auto"/>
              <w:right w:val="single" w:sz="4" w:space="0" w:color="auto"/>
            </w:tcBorders>
            <w:shd w:val="clear" w:color="000000" w:fill="FFFFFF"/>
            <w:noWrap/>
            <w:vAlign w:val="center"/>
            <w:hideMark/>
          </w:tcPr>
          <w:p w14:paraId="6D025C76"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85%</w:t>
            </w:r>
          </w:p>
        </w:tc>
        <w:tc>
          <w:tcPr>
            <w:tcW w:w="1200" w:type="dxa"/>
            <w:tcBorders>
              <w:top w:val="nil"/>
              <w:left w:val="nil"/>
              <w:bottom w:val="single" w:sz="4" w:space="0" w:color="auto"/>
              <w:right w:val="single" w:sz="4" w:space="0" w:color="auto"/>
            </w:tcBorders>
            <w:shd w:val="clear" w:color="000000" w:fill="FFFFFF"/>
            <w:noWrap/>
            <w:vAlign w:val="center"/>
            <w:hideMark/>
          </w:tcPr>
          <w:p w14:paraId="0EA2056B"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92%</w:t>
            </w:r>
          </w:p>
        </w:tc>
        <w:tc>
          <w:tcPr>
            <w:tcW w:w="1360" w:type="dxa"/>
            <w:tcBorders>
              <w:top w:val="nil"/>
              <w:left w:val="nil"/>
              <w:bottom w:val="single" w:sz="4" w:space="0" w:color="auto"/>
              <w:right w:val="single" w:sz="4" w:space="0" w:color="auto"/>
            </w:tcBorders>
            <w:shd w:val="clear" w:color="000000" w:fill="FFFFFF"/>
            <w:noWrap/>
            <w:vAlign w:val="center"/>
            <w:hideMark/>
          </w:tcPr>
          <w:p w14:paraId="78B698BC"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52%</w:t>
            </w:r>
          </w:p>
        </w:tc>
        <w:tc>
          <w:tcPr>
            <w:tcW w:w="1200" w:type="dxa"/>
            <w:tcBorders>
              <w:top w:val="nil"/>
              <w:left w:val="nil"/>
              <w:bottom w:val="single" w:sz="4" w:space="0" w:color="auto"/>
              <w:right w:val="single" w:sz="4" w:space="0" w:color="auto"/>
            </w:tcBorders>
            <w:shd w:val="clear" w:color="000000" w:fill="FFFFFF"/>
            <w:noWrap/>
            <w:vAlign w:val="center"/>
            <w:hideMark/>
          </w:tcPr>
          <w:p w14:paraId="100E4D59"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118%</w:t>
            </w:r>
          </w:p>
        </w:tc>
        <w:tc>
          <w:tcPr>
            <w:tcW w:w="1340" w:type="dxa"/>
            <w:tcBorders>
              <w:top w:val="nil"/>
              <w:left w:val="nil"/>
              <w:bottom w:val="single" w:sz="4" w:space="0" w:color="auto"/>
              <w:right w:val="single" w:sz="4" w:space="0" w:color="auto"/>
            </w:tcBorders>
            <w:shd w:val="clear" w:color="000000" w:fill="FFFFFF"/>
            <w:noWrap/>
            <w:vAlign w:val="center"/>
            <w:hideMark/>
          </w:tcPr>
          <w:p w14:paraId="0FBA1C49"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196%</w:t>
            </w:r>
          </w:p>
        </w:tc>
        <w:tc>
          <w:tcPr>
            <w:tcW w:w="1340" w:type="dxa"/>
            <w:tcBorders>
              <w:top w:val="nil"/>
              <w:left w:val="nil"/>
              <w:bottom w:val="single" w:sz="4" w:space="0" w:color="auto"/>
              <w:right w:val="single" w:sz="4" w:space="0" w:color="auto"/>
            </w:tcBorders>
            <w:shd w:val="clear" w:color="000000" w:fill="FFFFFF"/>
            <w:noWrap/>
            <w:vAlign w:val="center"/>
            <w:hideMark/>
          </w:tcPr>
          <w:p w14:paraId="71DBE4E6"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83%</w:t>
            </w:r>
          </w:p>
        </w:tc>
        <w:tc>
          <w:tcPr>
            <w:tcW w:w="1200" w:type="dxa"/>
            <w:tcBorders>
              <w:top w:val="nil"/>
              <w:left w:val="nil"/>
              <w:bottom w:val="single" w:sz="4" w:space="0" w:color="auto"/>
              <w:right w:val="single" w:sz="4" w:space="0" w:color="auto"/>
            </w:tcBorders>
            <w:shd w:val="clear" w:color="000000" w:fill="FFFFFF"/>
            <w:noWrap/>
            <w:vAlign w:val="center"/>
            <w:hideMark/>
          </w:tcPr>
          <w:p w14:paraId="1BE9373B"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112%</w:t>
            </w:r>
          </w:p>
        </w:tc>
      </w:tr>
      <w:tr w:rsidR="009034C6" w:rsidRPr="00345752" w14:paraId="08997618" w14:textId="77777777" w:rsidTr="009034C6">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4552CC06"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40</w:t>
            </w:r>
          </w:p>
        </w:tc>
        <w:tc>
          <w:tcPr>
            <w:tcW w:w="1740" w:type="dxa"/>
            <w:tcBorders>
              <w:top w:val="nil"/>
              <w:left w:val="nil"/>
              <w:bottom w:val="single" w:sz="4" w:space="0" w:color="auto"/>
              <w:right w:val="single" w:sz="4" w:space="0" w:color="auto"/>
            </w:tcBorders>
            <w:shd w:val="clear" w:color="000000" w:fill="FFFFFF"/>
            <w:noWrap/>
            <w:vAlign w:val="center"/>
            <w:hideMark/>
          </w:tcPr>
          <w:p w14:paraId="1469D8BA"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67%</w:t>
            </w:r>
          </w:p>
        </w:tc>
        <w:tc>
          <w:tcPr>
            <w:tcW w:w="1200" w:type="dxa"/>
            <w:tcBorders>
              <w:top w:val="nil"/>
              <w:left w:val="nil"/>
              <w:bottom w:val="single" w:sz="4" w:space="0" w:color="auto"/>
              <w:right w:val="single" w:sz="4" w:space="0" w:color="auto"/>
            </w:tcBorders>
            <w:shd w:val="clear" w:color="000000" w:fill="FFFFFF"/>
            <w:noWrap/>
            <w:vAlign w:val="center"/>
            <w:hideMark/>
          </w:tcPr>
          <w:p w14:paraId="3BAC032E"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88%</w:t>
            </w:r>
          </w:p>
        </w:tc>
        <w:tc>
          <w:tcPr>
            <w:tcW w:w="1360" w:type="dxa"/>
            <w:tcBorders>
              <w:top w:val="nil"/>
              <w:left w:val="nil"/>
              <w:bottom w:val="single" w:sz="4" w:space="0" w:color="auto"/>
              <w:right w:val="single" w:sz="4" w:space="0" w:color="auto"/>
            </w:tcBorders>
            <w:shd w:val="clear" w:color="000000" w:fill="FFFFFF"/>
            <w:noWrap/>
            <w:vAlign w:val="center"/>
            <w:hideMark/>
          </w:tcPr>
          <w:p w14:paraId="5102CA9C"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55%</w:t>
            </w:r>
          </w:p>
        </w:tc>
        <w:tc>
          <w:tcPr>
            <w:tcW w:w="1200" w:type="dxa"/>
            <w:tcBorders>
              <w:top w:val="nil"/>
              <w:left w:val="nil"/>
              <w:bottom w:val="single" w:sz="4" w:space="0" w:color="auto"/>
              <w:right w:val="single" w:sz="4" w:space="0" w:color="auto"/>
            </w:tcBorders>
            <w:shd w:val="clear" w:color="000000" w:fill="FFFFFF"/>
            <w:noWrap/>
            <w:vAlign w:val="center"/>
            <w:hideMark/>
          </w:tcPr>
          <w:p w14:paraId="7323A6C6"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129%</w:t>
            </w:r>
          </w:p>
        </w:tc>
        <w:tc>
          <w:tcPr>
            <w:tcW w:w="1340" w:type="dxa"/>
            <w:tcBorders>
              <w:top w:val="nil"/>
              <w:left w:val="nil"/>
              <w:bottom w:val="single" w:sz="4" w:space="0" w:color="auto"/>
              <w:right w:val="single" w:sz="4" w:space="0" w:color="auto"/>
            </w:tcBorders>
            <w:shd w:val="clear" w:color="000000" w:fill="FFFFFF"/>
            <w:noWrap/>
            <w:vAlign w:val="center"/>
            <w:hideMark/>
          </w:tcPr>
          <w:p w14:paraId="39C1ED8B"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318%</w:t>
            </w:r>
          </w:p>
        </w:tc>
        <w:tc>
          <w:tcPr>
            <w:tcW w:w="1340" w:type="dxa"/>
            <w:tcBorders>
              <w:top w:val="nil"/>
              <w:left w:val="nil"/>
              <w:bottom w:val="single" w:sz="4" w:space="0" w:color="auto"/>
              <w:right w:val="single" w:sz="4" w:space="0" w:color="auto"/>
            </w:tcBorders>
            <w:shd w:val="clear" w:color="000000" w:fill="FFFFFF"/>
            <w:noWrap/>
            <w:vAlign w:val="center"/>
            <w:hideMark/>
          </w:tcPr>
          <w:p w14:paraId="5FC2D1D3"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89%</w:t>
            </w:r>
          </w:p>
        </w:tc>
        <w:tc>
          <w:tcPr>
            <w:tcW w:w="1200" w:type="dxa"/>
            <w:tcBorders>
              <w:top w:val="nil"/>
              <w:left w:val="nil"/>
              <w:bottom w:val="single" w:sz="4" w:space="0" w:color="auto"/>
              <w:right w:val="single" w:sz="4" w:space="0" w:color="auto"/>
            </w:tcBorders>
            <w:shd w:val="clear" w:color="000000" w:fill="FFFFFF"/>
            <w:noWrap/>
            <w:vAlign w:val="center"/>
            <w:hideMark/>
          </w:tcPr>
          <w:p w14:paraId="4FF86DCF"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129%</w:t>
            </w:r>
          </w:p>
        </w:tc>
      </w:tr>
      <w:tr w:rsidR="009034C6" w:rsidRPr="00345752" w14:paraId="679873C0" w14:textId="77777777" w:rsidTr="009034C6">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02542CAC"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41</w:t>
            </w:r>
          </w:p>
        </w:tc>
        <w:tc>
          <w:tcPr>
            <w:tcW w:w="1740" w:type="dxa"/>
            <w:tcBorders>
              <w:top w:val="nil"/>
              <w:left w:val="nil"/>
              <w:bottom w:val="single" w:sz="4" w:space="0" w:color="auto"/>
              <w:right w:val="single" w:sz="4" w:space="0" w:color="auto"/>
            </w:tcBorders>
            <w:shd w:val="clear" w:color="000000" w:fill="FFFFFF"/>
            <w:noWrap/>
            <w:vAlign w:val="center"/>
            <w:hideMark/>
          </w:tcPr>
          <w:p w14:paraId="72426D91"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100%</w:t>
            </w:r>
          </w:p>
        </w:tc>
        <w:tc>
          <w:tcPr>
            <w:tcW w:w="1200" w:type="dxa"/>
            <w:tcBorders>
              <w:top w:val="nil"/>
              <w:left w:val="nil"/>
              <w:bottom w:val="single" w:sz="4" w:space="0" w:color="auto"/>
              <w:right w:val="single" w:sz="4" w:space="0" w:color="auto"/>
            </w:tcBorders>
            <w:shd w:val="clear" w:color="000000" w:fill="FFFFFF"/>
            <w:noWrap/>
            <w:vAlign w:val="center"/>
            <w:hideMark/>
          </w:tcPr>
          <w:p w14:paraId="79723E86"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85%</w:t>
            </w:r>
          </w:p>
        </w:tc>
        <w:tc>
          <w:tcPr>
            <w:tcW w:w="1360" w:type="dxa"/>
            <w:tcBorders>
              <w:top w:val="nil"/>
              <w:left w:val="nil"/>
              <w:bottom w:val="single" w:sz="4" w:space="0" w:color="auto"/>
              <w:right w:val="single" w:sz="4" w:space="0" w:color="auto"/>
            </w:tcBorders>
            <w:shd w:val="clear" w:color="000000" w:fill="FFFFFF"/>
            <w:noWrap/>
            <w:vAlign w:val="center"/>
            <w:hideMark/>
          </w:tcPr>
          <w:p w14:paraId="2ED58C59"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63%</w:t>
            </w:r>
          </w:p>
        </w:tc>
        <w:tc>
          <w:tcPr>
            <w:tcW w:w="1200" w:type="dxa"/>
            <w:tcBorders>
              <w:top w:val="nil"/>
              <w:left w:val="nil"/>
              <w:bottom w:val="single" w:sz="4" w:space="0" w:color="auto"/>
              <w:right w:val="single" w:sz="4" w:space="0" w:color="auto"/>
            </w:tcBorders>
            <w:shd w:val="clear" w:color="000000" w:fill="FFFFFF"/>
            <w:noWrap/>
            <w:vAlign w:val="center"/>
            <w:hideMark/>
          </w:tcPr>
          <w:p w14:paraId="5175FAF0"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123%</w:t>
            </w:r>
          </w:p>
        </w:tc>
        <w:tc>
          <w:tcPr>
            <w:tcW w:w="1340" w:type="dxa"/>
            <w:tcBorders>
              <w:top w:val="nil"/>
              <w:left w:val="nil"/>
              <w:bottom w:val="single" w:sz="4" w:space="0" w:color="auto"/>
              <w:right w:val="single" w:sz="4" w:space="0" w:color="auto"/>
            </w:tcBorders>
            <w:shd w:val="clear" w:color="000000" w:fill="FFFFFF"/>
            <w:noWrap/>
            <w:vAlign w:val="center"/>
            <w:hideMark/>
          </w:tcPr>
          <w:p w14:paraId="3628A367"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281%</w:t>
            </w:r>
          </w:p>
        </w:tc>
        <w:tc>
          <w:tcPr>
            <w:tcW w:w="1340" w:type="dxa"/>
            <w:tcBorders>
              <w:top w:val="nil"/>
              <w:left w:val="nil"/>
              <w:bottom w:val="single" w:sz="4" w:space="0" w:color="auto"/>
              <w:right w:val="single" w:sz="4" w:space="0" w:color="auto"/>
            </w:tcBorders>
            <w:shd w:val="clear" w:color="000000" w:fill="FFFFFF"/>
            <w:noWrap/>
            <w:vAlign w:val="center"/>
            <w:hideMark/>
          </w:tcPr>
          <w:p w14:paraId="50117491"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85%</w:t>
            </w:r>
          </w:p>
        </w:tc>
        <w:tc>
          <w:tcPr>
            <w:tcW w:w="1200" w:type="dxa"/>
            <w:tcBorders>
              <w:top w:val="nil"/>
              <w:left w:val="nil"/>
              <w:bottom w:val="single" w:sz="4" w:space="0" w:color="auto"/>
              <w:right w:val="single" w:sz="4" w:space="0" w:color="auto"/>
            </w:tcBorders>
            <w:shd w:val="clear" w:color="000000" w:fill="FFFFFF"/>
            <w:noWrap/>
            <w:vAlign w:val="center"/>
            <w:hideMark/>
          </w:tcPr>
          <w:p w14:paraId="48B1C9D3"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112%</w:t>
            </w:r>
          </w:p>
        </w:tc>
      </w:tr>
      <w:tr w:rsidR="009034C6" w:rsidRPr="00345752" w14:paraId="29629566" w14:textId="77777777" w:rsidTr="009034C6">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5E9D6D42"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42</w:t>
            </w:r>
          </w:p>
        </w:tc>
        <w:tc>
          <w:tcPr>
            <w:tcW w:w="1740" w:type="dxa"/>
            <w:tcBorders>
              <w:top w:val="nil"/>
              <w:left w:val="nil"/>
              <w:bottom w:val="single" w:sz="4" w:space="0" w:color="auto"/>
              <w:right w:val="single" w:sz="4" w:space="0" w:color="auto"/>
            </w:tcBorders>
            <w:shd w:val="clear" w:color="000000" w:fill="FFFFFF"/>
            <w:noWrap/>
            <w:vAlign w:val="center"/>
            <w:hideMark/>
          </w:tcPr>
          <w:p w14:paraId="58755504"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79%</w:t>
            </w:r>
          </w:p>
        </w:tc>
        <w:tc>
          <w:tcPr>
            <w:tcW w:w="1200" w:type="dxa"/>
            <w:tcBorders>
              <w:top w:val="nil"/>
              <w:left w:val="nil"/>
              <w:bottom w:val="single" w:sz="4" w:space="0" w:color="auto"/>
              <w:right w:val="single" w:sz="4" w:space="0" w:color="auto"/>
            </w:tcBorders>
            <w:shd w:val="clear" w:color="000000" w:fill="FFFFFF"/>
            <w:noWrap/>
            <w:vAlign w:val="center"/>
            <w:hideMark/>
          </w:tcPr>
          <w:p w14:paraId="284B64B4"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82%</w:t>
            </w:r>
          </w:p>
        </w:tc>
        <w:tc>
          <w:tcPr>
            <w:tcW w:w="1360" w:type="dxa"/>
            <w:tcBorders>
              <w:top w:val="nil"/>
              <w:left w:val="nil"/>
              <w:bottom w:val="single" w:sz="4" w:space="0" w:color="auto"/>
              <w:right w:val="single" w:sz="4" w:space="0" w:color="auto"/>
            </w:tcBorders>
            <w:shd w:val="clear" w:color="000000" w:fill="FFFFFF"/>
            <w:noWrap/>
            <w:vAlign w:val="center"/>
            <w:hideMark/>
          </w:tcPr>
          <w:p w14:paraId="6F631698"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57%</w:t>
            </w:r>
          </w:p>
        </w:tc>
        <w:tc>
          <w:tcPr>
            <w:tcW w:w="1200" w:type="dxa"/>
            <w:tcBorders>
              <w:top w:val="nil"/>
              <w:left w:val="nil"/>
              <w:bottom w:val="single" w:sz="4" w:space="0" w:color="auto"/>
              <w:right w:val="single" w:sz="4" w:space="0" w:color="auto"/>
            </w:tcBorders>
            <w:shd w:val="clear" w:color="000000" w:fill="FFFFFF"/>
            <w:noWrap/>
            <w:vAlign w:val="center"/>
            <w:hideMark/>
          </w:tcPr>
          <w:p w14:paraId="4766B0D1"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114%</w:t>
            </w:r>
          </w:p>
        </w:tc>
        <w:tc>
          <w:tcPr>
            <w:tcW w:w="1340" w:type="dxa"/>
            <w:tcBorders>
              <w:top w:val="nil"/>
              <w:left w:val="nil"/>
              <w:bottom w:val="single" w:sz="4" w:space="0" w:color="auto"/>
              <w:right w:val="single" w:sz="4" w:space="0" w:color="auto"/>
            </w:tcBorders>
            <w:shd w:val="clear" w:color="000000" w:fill="FFFFFF"/>
            <w:noWrap/>
            <w:vAlign w:val="center"/>
            <w:hideMark/>
          </w:tcPr>
          <w:p w14:paraId="499A1578"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221%</w:t>
            </w:r>
          </w:p>
        </w:tc>
        <w:tc>
          <w:tcPr>
            <w:tcW w:w="1340" w:type="dxa"/>
            <w:tcBorders>
              <w:top w:val="nil"/>
              <w:left w:val="nil"/>
              <w:bottom w:val="single" w:sz="4" w:space="0" w:color="auto"/>
              <w:right w:val="single" w:sz="4" w:space="0" w:color="auto"/>
            </w:tcBorders>
            <w:shd w:val="clear" w:color="000000" w:fill="FFFFFF"/>
            <w:noWrap/>
            <w:vAlign w:val="center"/>
            <w:hideMark/>
          </w:tcPr>
          <w:p w14:paraId="37368ABD"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65%</w:t>
            </w:r>
          </w:p>
        </w:tc>
        <w:tc>
          <w:tcPr>
            <w:tcW w:w="1200" w:type="dxa"/>
            <w:tcBorders>
              <w:top w:val="nil"/>
              <w:left w:val="nil"/>
              <w:bottom w:val="single" w:sz="4" w:space="0" w:color="auto"/>
              <w:right w:val="single" w:sz="4" w:space="0" w:color="auto"/>
            </w:tcBorders>
            <w:shd w:val="clear" w:color="000000" w:fill="FFFFFF"/>
            <w:noWrap/>
            <w:vAlign w:val="center"/>
            <w:hideMark/>
          </w:tcPr>
          <w:p w14:paraId="42754EF3"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91%</w:t>
            </w:r>
          </w:p>
        </w:tc>
      </w:tr>
      <w:tr w:rsidR="009034C6" w:rsidRPr="00345752" w14:paraId="7F782A5F" w14:textId="77777777" w:rsidTr="009034C6">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460A2AB8"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43</w:t>
            </w:r>
          </w:p>
        </w:tc>
        <w:tc>
          <w:tcPr>
            <w:tcW w:w="1740" w:type="dxa"/>
            <w:tcBorders>
              <w:top w:val="nil"/>
              <w:left w:val="nil"/>
              <w:bottom w:val="single" w:sz="4" w:space="0" w:color="auto"/>
              <w:right w:val="single" w:sz="4" w:space="0" w:color="auto"/>
            </w:tcBorders>
            <w:shd w:val="clear" w:color="000000" w:fill="FFFFFF"/>
            <w:noWrap/>
            <w:vAlign w:val="center"/>
            <w:hideMark/>
          </w:tcPr>
          <w:p w14:paraId="0F15A552"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98%</w:t>
            </w:r>
          </w:p>
        </w:tc>
        <w:tc>
          <w:tcPr>
            <w:tcW w:w="1200" w:type="dxa"/>
            <w:tcBorders>
              <w:top w:val="nil"/>
              <w:left w:val="nil"/>
              <w:bottom w:val="single" w:sz="4" w:space="0" w:color="auto"/>
              <w:right w:val="single" w:sz="4" w:space="0" w:color="auto"/>
            </w:tcBorders>
            <w:shd w:val="clear" w:color="000000" w:fill="FFFFFF"/>
            <w:noWrap/>
            <w:vAlign w:val="center"/>
            <w:hideMark/>
          </w:tcPr>
          <w:p w14:paraId="4C73F169"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81%</w:t>
            </w:r>
          </w:p>
        </w:tc>
        <w:tc>
          <w:tcPr>
            <w:tcW w:w="1360" w:type="dxa"/>
            <w:tcBorders>
              <w:top w:val="nil"/>
              <w:left w:val="nil"/>
              <w:bottom w:val="single" w:sz="4" w:space="0" w:color="auto"/>
              <w:right w:val="single" w:sz="4" w:space="0" w:color="auto"/>
            </w:tcBorders>
            <w:shd w:val="clear" w:color="000000" w:fill="FFFFFF"/>
            <w:noWrap/>
            <w:vAlign w:val="center"/>
            <w:hideMark/>
          </w:tcPr>
          <w:p w14:paraId="170132F2"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60%</w:t>
            </w:r>
          </w:p>
        </w:tc>
        <w:tc>
          <w:tcPr>
            <w:tcW w:w="1200" w:type="dxa"/>
            <w:tcBorders>
              <w:top w:val="nil"/>
              <w:left w:val="nil"/>
              <w:bottom w:val="single" w:sz="4" w:space="0" w:color="auto"/>
              <w:right w:val="single" w:sz="4" w:space="0" w:color="auto"/>
            </w:tcBorders>
            <w:shd w:val="clear" w:color="000000" w:fill="FFFFFF"/>
            <w:noWrap/>
            <w:vAlign w:val="center"/>
            <w:hideMark/>
          </w:tcPr>
          <w:p w14:paraId="240C33AD"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118%</w:t>
            </w:r>
          </w:p>
        </w:tc>
        <w:tc>
          <w:tcPr>
            <w:tcW w:w="1340" w:type="dxa"/>
            <w:tcBorders>
              <w:top w:val="nil"/>
              <w:left w:val="nil"/>
              <w:bottom w:val="single" w:sz="4" w:space="0" w:color="auto"/>
              <w:right w:val="single" w:sz="4" w:space="0" w:color="auto"/>
            </w:tcBorders>
            <w:shd w:val="clear" w:color="000000" w:fill="FFFFFF"/>
            <w:noWrap/>
            <w:vAlign w:val="center"/>
            <w:hideMark/>
          </w:tcPr>
          <w:p w14:paraId="03272B73"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196%</w:t>
            </w:r>
          </w:p>
        </w:tc>
        <w:tc>
          <w:tcPr>
            <w:tcW w:w="1340" w:type="dxa"/>
            <w:tcBorders>
              <w:top w:val="nil"/>
              <w:left w:val="nil"/>
              <w:bottom w:val="single" w:sz="4" w:space="0" w:color="auto"/>
              <w:right w:val="single" w:sz="4" w:space="0" w:color="auto"/>
            </w:tcBorders>
            <w:shd w:val="clear" w:color="000000" w:fill="FFFFFF"/>
            <w:noWrap/>
            <w:vAlign w:val="center"/>
            <w:hideMark/>
          </w:tcPr>
          <w:p w14:paraId="10BA85B7"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72%</w:t>
            </w:r>
          </w:p>
        </w:tc>
        <w:tc>
          <w:tcPr>
            <w:tcW w:w="1200" w:type="dxa"/>
            <w:tcBorders>
              <w:top w:val="nil"/>
              <w:left w:val="nil"/>
              <w:bottom w:val="single" w:sz="4" w:space="0" w:color="auto"/>
              <w:right w:val="single" w:sz="4" w:space="0" w:color="auto"/>
            </w:tcBorders>
            <w:shd w:val="clear" w:color="000000" w:fill="FFFFFF"/>
            <w:noWrap/>
            <w:vAlign w:val="center"/>
            <w:hideMark/>
          </w:tcPr>
          <w:p w14:paraId="5EA87407"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85%</w:t>
            </w:r>
          </w:p>
        </w:tc>
      </w:tr>
      <w:tr w:rsidR="009034C6" w:rsidRPr="00345752" w14:paraId="5A495273" w14:textId="77777777" w:rsidTr="009034C6">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3FFE8C0D"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44</w:t>
            </w:r>
          </w:p>
        </w:tc>
        <w:tc>
          <w:tcPr>
            <w:tcW w:w="1740" w:type="dxa"/>
            <w:tcBorders>
              <w:top w:val="nil"/>
              <w:left w:val="nil"/>
              <w:bottom w:val="single" w:sz="4" w:space="0" w:color="auto"/>
              <w:right w:val="single" w:sz="4" w:space="0" w:color="auto"/>
            </w:tcBorders>
            <w:shd w:val="clear" w:color="000000" w:fill="FFFFFF"/>
            <w:noWrap/>
            <w:vAlign w:val="center"/>
            <w:hideMark/>
          </w:tcPr>
          <w:p w14:paraId="234FAD36"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87%</w:t>
            </w:r>
          </w:p>
        </w:tc>
        <w:tc>
          <w:tcPr>
            <w:tcW w:w="1200" w:type="dxa"/>
            <w:tcBorders>
              <w:top w:val="nil"/>
              <w:left w:val="nil"/>
              <w:bottom w:val="single" w:sz="4" w:space="0" w:color="auto"/>
              <w:right w:val="single" w:sz="4" w:space="0" w:color="auto"/>
            </w:tcBorders>
            <w:shd w:val="clear" w:color="000000" w:fill="FFFFFF"/>
            <w:noWrap/>
            <w:vAlign w:val="center"/>
            <w:hideMark/>
          </w:tcPr>
          <w:p w14:paraId="42B4A5F7"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94%</w:t>
            </w:r>
          </w:p>
        </w:tc>
        <w:tc>
          <w:tcPr>
            <w:tcW w:w="1360" w:type="dxa"/>
            <w:tcBorders>
              <w:top w:val="nil"/>
              <w:left w:val="nil"/>
              <w:bottom w:val="single" w:sz="4" w:space="0" w:color="auto"/>
              <w:right w:val="single" w:sz="4" w:space="0" w:color="auto"/>
            </w:tcBorders>
            <w:shd w:val="clear" w:color="000000" w:fill="FFFFFF"/>
            <w:noWrap/>
            <w:vAlign w:val="center"/>
            <w:hideMark/>
          </w:tcPr>
          <w:p w14:paraId="274FDB29"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55%</w:t>
            </w:r>
          </w:p>
        </w:tc>
        <w:tc>
          <w:tcPr>
            <w:tcW w:w="1200" w:type="dxa"/>
            <w:tcBorders>
              <w:top w:val="nil"/>
              <w:left w:val="nil"/>
              <w:bottom w:val="single" w:sz="4" w:space="0" w:color="auto"/>
              <w:right w:val="single" w:sz="4" w:space="0" w:color="auto"/>
            </w:tcBorders>
            <w:shd w:val="clear" w:color="000000" w:fill="FFFFFF"/>
            <w:noWrap/>
            <w:vAlign w:val="center"/>
            <w:hideMark/>
          </w:tcPr>
          <w:p w14:paraId="3D9772FC"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129%</w:t>
            </w:r>
          </w:p>
        </w:tc>
        <w:tc>
          <w:tcPr>
            <w:tcW w:w="1340" w:type="dxa"/>
            <w:tcBorders>
              <w:top w:val="nil"/>
              <w:left w:val="nil"/>
              <w:bottom w:val="single" w:sz="4" w:space="0" w:color="auto"/>
              <w:right w:val="single" w:sz="4" w:space="0" w:color="auto"/>
            </w:tcBorders>
            <w:shd w:val="clear" w:color="000000" w:fill="FFFFFF"/>
            <w:noWrap/>
            <w:vAlign w:val="center"/>
            <w:hideMark/>
          </w:tcPr>
          <w:p w14:paraId="76230523"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318%</w:t>
            </w:r>
          </w:p>
        </w:tc>
        <w:tc>
          <w:tcPr>
            <w:tcW w:w="1340" w:type="dxa"/>
            <w:tcBorders>
              <w:top w:val="nil"/>
              <w:left w:val="nil"/>
              <w:bottom w:val="single" w:sz="4" w:space="0" w:color="auto"/>
              <w:right w:val="single" w:sz="4" w:space="0" w:color="auto"/>
            </w:tcBorders>
            <w:shd w:val="clear" w:color="000000" w:fill="FFFFFF"/>
            <w:noWrap/>
            <w:vAlign w:val="center"/>
            <w:hideMark/>
          </w:tcPr>
          <w:p w14:paraId="3888F684"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49%</w:t>
            </w:r>
          </w:p>
        </w:tc>
        <w:tc>
          <w:tcPr>
            <w:tcW w:w="1200" w:type="dxa"/>
            <w:tcBorders>
              <w:top w:val="nil"/>
              <w:left w:val="nil"/>
              <w:bottom w:val="single" w:sz="4" w:space="0" w:color="auto"/>
              <w:right w:val="single" w:sz="4" w:space="0" w:color="auto"/>
            </w:tcBorders>
            <w:shd w:val="clear" w:color="000000" w:fill="FFFFFF"/>
            <w:noWrap/>
            <w:vAlign w:val="center"/>
            <w:hideMark/>
          </w:tcPr>
          <w:p w14:paraId="796607E2"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65%</w:t>
            </w:r>
          </w:p>
        </w:tc>
      </w:tr>
      <w:tr w:rsidR="009034C6" w:rsidRPr="00345752" w14:paraId="31351E3B" w14:textId="77777777" w:rsidTr="009034C6">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49ECEE9A"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45</w:t>
            </w:r>
          </w:p>
        </w:tc>
        <w:tc>
          <w:tcPr>
            <w:tcW w:w="1740" w:type="dxa"/>
            <w:tcBorders>
              <w:top w:val="nil"/>
              <w:left w:val="nil"/>
              <w:bottom w:val="single" w:sz="4" w:space="0" w:color="auto"/>
              <w:right w:val="single" w:sz="4" w:space="0" w:color="auto"/>
            </w:tcBorders>
            <w:shd w:val="clear" w:color="000000" w:fill="FFFFFF"/>
            <w:noWrap/>
            <w:vAlign w:val="center"/>
            <w:hideMark/>
          </w:tcPr>
          <w:p w14:paraId="218A6835"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93%</w:t>
            </w:r>
          </w:p>
        </w:tc>
        <w:tc>
          <w:tcPr>
            <w:tcW w:w="1200" w:type="dxa"/>
            <w:tcBorders>
              <w:top w:val="nil"/>
              <w:left w:val="nil"/>
              <w:bottom w:val="single" w:sz="4" w:space="0" w:color="auto"/>
              <w:right w:val="single" w:sz="4" w:space="0" w:color="auto"/>
            </w:tcBorders>
            <w:shd w:val="clear" w:color="000000" w:fill="FFFFFF"/>
            <w:noWrap/>
            <w:vAlign w:val="center"/>
            <w:hideMark/>
          </w:tcPr>
          <w:p w14:paraId="55CC800F"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117%</w:t>
            </w:r>
          </w:p>
        </w:tc>
        <w:tc>
          <w:tcPr>
            <w:tcW w:w="1360" w:type="dxa"/>
            <w:tcBorders>
              <w:top w:val="nil"/>
              <w:left w:val="nil"/>
              <w:bottom w:val="single" w:sz="4" w:space="0" w:color="auto"/>
              <w:right w:val="single" w:sz="4" w:space="0" w:color="auto"/>
            </w:tcBorders>
            <w:shd w:val="clear" w:color="000000" w:fill="FFFFFF"/>
            <w:noWrap/>
            <w:vAlign w:val="center"/>
            <w:hideMark/>
          </w:tcPr>
          <w:p w14:paraId="2159B23E"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59%</w:t>
            </w:r>
          </w:p>
        </w:tc>
        <w:tc>
          <w:tcPr>
            <w:tcW w:w="1200" w:type="dxa"/>
            <w:tcBorders>
              <w:top w:val="nil"/>
              <w:left w:val="nil"/>
              <w:bottom w:val="single" w:sz="4" w:space="0" w:color="auto"/>
              <w:right w:val="single" w:sz="4" w:space="0" w:color="auto"/>
            </w:tcBorders>
            <w:shd w:val="clear" w:color="000000" w:fill="FFFFFF"/>
            <w:noWrap/>
            <w:vAlign w:val="center"/>
            <w:hideMark/>
          </w:tcPr>
          <w:p w14:paraId="0917B27E"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123%</w:t>
            </w:r>
          </w:p>
        </w:tc>
        <w:tc>
          <w:tcPr>
            <w:tcW w:w="1340" w:type="dxa"/>
            <w:tcBorders>
              <w:top w:val="nil"/>
              <w:left w:val="nil"/>
              <w:bottom w:val="single" w:sz="4" w:space="0" w:color="auto"/>
              <w:right w:val="single" w:sz="4" w:space="0" w:color="auto"/>
            </w:tcBorders>
            <w:shd w:val="clear" w:color="000000" w:fill="FFFFFF"/>
            <w:noWrap/>
            <w:vAlign w:val="center"/>
            <w:hideMark/>
          </w:tcPr>
          <w:p w14:paraId="6D274790"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281%</w:t>
            </w:r>
          </w:p>
        </w:tc>
        <w:tc>
          <w:tcPr>
            <w:tcW w:w="1340" w:type="dxa"/>
            <w:tcBorders>
              <w:top w:val="nil"/>
              <w:left w:val="nil"/>
              <w:bottom w:val="single" w:sz="4" w:space="0" w:color="auto"/>
              <w:right w:val="single" w:sz="4" w:space="0" w:color="auto"/>
            </w:tcBorders>
            <w:shd w:val="clear" w:color="000000" w:fill="FFFFFF"/>
            <w:noWrap/>
            <w:vAlign w:val="center"/>
            <w:hideMark/>
          </w:tcPr>
          <w:p w14:paraId="16F15D92"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95%</w:t>
            </w:r>
          </w:p>
        </w:tc>
        <w:tc>
          <w:tcPr>
            <w:tcW w:w="1200" w:type="dxa"/>
            <w:tcBorders>
              <w:top w:val="nil"/>
              <w:left w:val="nil"/>
              <w:bottom w:val="single" w:sz="4" w:space="0" w:color="auto"/>
              <w:right w:val="single" w:sz="4" w:space="0" w:color="auto"/>
            </w:tcBorders>
            <w:shd w:val="clear" w:color="000000" w:fill="FFFFFF"/>
            <w:noWrap/>
            <w:vAlign w:val="center"/>
            <w:hideMark/>
          </w:tcPr>
          <w:p w14:paraId="449F6010"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126%</w:t>
            </w:r>
          </w:p>
        </w:tc>
      </w:tr>
      <w:tr w:rsidR="009034C6" w:rsidRPr="00345752" w14:paraId="3B8397F8" w14:textId="77777777" w:rsidTr="009034C6">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5DD57DCC"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46</w:t>
            </w:r>
          </w:p>
        </w:tc>
        <w:tc>
          <w:tcPr>
            <w:tcW w:w="1740" w:type="dxa"/>
            <w:tcBorders>
              <w:top w:val="nil"/>
              <w:left w:val="nil"/>
              <w:bottom w:val="single" w:sz="4" w:space="0" w:color="auto"/>
              <w:right w:val="single" w:sz="4" w:space="0" w:color="auto"/>
            </w:tcBorders>
            <w:shd w:val="clear" w:color="000000" w:fill="FFFFFF"/>
            <w:noWrap/>
            <w:vAlign w:val="center"/>
            <w:hideMark/>
          </w:tcPr>
          <w:p w14:paraId="6247D612"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66%</w:t>
            </w:r>
          </w:p>
        </w:tc>
        <w:tc>
          <w:tcPr>
            <w:tcW w:w="1200" w:type="dxa"/>
            <w:tcBorders>
              <w:top w:val="nil"/>
              <w:left w:val="nil"/>
              <w:bottom w:val="single" w:sz="4" w:space="0" w:color="auto"/>
              <w:right w:val="single" w:sz="4" w:space="0" w:color="auto"/>
            </w:tcBorders>
            <w:shd w:val="clear" w:color="000000" w:fill="FFFFFF"/>
            <w:noWrap/>
            <w:vAlign w:val="center"/>
            <w:hideMark/>
          </w:tcPr>
          <w:p w14:paraId="78EC5E02"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92%</w:t>
            </w:r>
          </w:p>
        </w:tc>
        <w:tc>
          <w:tcPr>
            <w:tcW w:w="1360" w:type="dxa"/>
            <w:tcBorders>
              <w:top w:val="nil"/>
              <w:left w:val="nil"/>
              <w:bottom w:val="single" w:sz="4" w:space="0" w:color="auto"/>
              <w:right w:val="single" w:sz="4" w:space="0" w:color="auto"/>
            </w:tcBorders>
            <w:shd w:val="clear" w:color="000000" w:fill="FFFFFF"/>
            <w:noWrap/>
            <w:vAlign w:val="center"/>
            <w:hideMark/>
          </w:tcPr>
          <w:p w14:paraId="1EDF5B07"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59%</w:t>
            </w:r>
          </w:p>
        </w:tc>
        <w:tc>
          <w:tcPr>
            <w:tcW w:w="1200" w:type="dxa"/>
            <w:tcBorders>
              <w:top w:val="nil"/>
              <w:left w:val="nil"/>
              <w:bottom w:val="single" w:sz="4" w:space="0" w:color="auto"/>
              <w:right w:val="single" w:sz="4" w:space="0" w:color="auto"/>
            </w:tcBorders>
            <w:shd w:val="clear" w:color="000000" w:fill="FFFFFF"/>
            <w:noWrap/>
            <w:vAlign w:val="center"/>
            <w:hideMark/>
          </w:tcPr>
          <w:p w14:paraId="79B3EF62"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106%</w:t>
            </w:r>
          </w:p>
        </w:tc>
        <w:tc>
          <w:tcPr>
            <w:tcW w:w="1340" w:type="dxa"/>
            <w:tcBorders>
              <w:top w:val="nil"/>
              <w:left w:val="nil"/>
              <w:bottom w:val="single" w:sz="4" w:space="0" w:color="auto"/>
              <w:right w:val="single" w:sz="4" w:space="0" w:color="auto"/>
            </w:tcBorders>
            <w:shd w:val="clear" w:color="000000" w:fill="FFFFFF"/>
            <w:noWrap/>
            <w:vAlign w:val="center"/>
            <w:hideMark/>
          </w:tcPr>
          <w:p w14:paraId="06F38CA0"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276%</w:t>
            </w:r>
          </w:p>
        </w:tc>
        <w:tc>
          <w:tcPr>
            <w:tcW w:w="1340" w:type="dxa"/>
            <w:tcBorders>
              <w:top w:val="nil"/>
              <w:left w:val="nil"/>
              <w:bottom w:val="single" w:sz="4" w:space="0" w:color="auto"/>
              <w:right w:val="single" w:sz="4" w:space="0" w:color="auto"/>
            </w:tcBorders>
            <w:shd w:val="clear" w:color="000000" w:fill="FFFFFF"/>
            <w:noWrap/>
            <w:vAlign w:val="center"/>
            <w:hideMark/>
          </w:tcPr>
          <w:p w14:paraId="486679B7"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67%</w:t>
            </w:r>
          </w:p>
        </w:tc>
        <w:tc>
          <w:tcPr>
            <w:tcW w:w="1200" w:type="dxa"/>
            <w:tcBorders>
              <w:top w:val="nil"/>
              <w:left w:val="nil"/>
              <w:bottom w:val="single" w:sz="4" w:space="0" w:color="auto"/>
              <w:right w:val="single" w:sz="4" w:space="0" w:color="auto"/>
            </w:tcBorders>
            <w:shd w:val="clear" w:color="000000" w:fill="FFFFFF"/>
            <w:noWrap/>
            <w:vAlign w:val="center"/>
            <w:hideMark/>
          </w:tcPr>
          <w:p w14:paraId="1E584609"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91%</w:t>
            </w:r>
          </w:p>
        </w:tc>
      </w:tr>
      <w:tr w:rsidR="009034C6" w:rsidRPr="00345752" w14:paraId="5C4DB329" w14:textId="77777777" w:rsidTr="009034C6">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4269D09F"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47</w:t>
            </w:r>
          </w:p>
        </w:tc>
        <w:tc>
          <w:tcPr>
            <w:tcW w:w="1740" w:type="dxa"/>
            <w:tcBorders>
              <w:top w:val="nil"/>
              <w:left w:val="nil"/>
              <w:bottom w:val="single" w:sz="4" w:space="0" w:color="auto"/>
              <w:right w:val="single" w:sz="4" w:space="0" w:color="auto"/>
            </w:tcBorders>
            <w:shd w:val="clear" w:color="000000" w:fill="FFFFFF"/>
            <w:noWrap/>
            <w:vAlign w:val="center"/>
            <w:hideMark/>
          </w:tcPr>
          <w:p w14:paraId="70754132"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83%</w:t>
            </w:r>
          </w:p>
        </w:tc>
        <w:tc>
          <w:tcPr>
            <w:tcW w:w="1200" w:type="dxa"/>
            <w:tcBorders>
              <w:top w:val="nil"/>
              <w:left w:val="nil"/>
              <w:bottom w:val="single" w:sz="4" w:space="0" w:color="auto"/>
              <w:right w:val="single" w:sz="4" w:space="0" w:color="auto"/>
            </w:tcBorders>
            <w:shd w:val="clear" w:color="000000" w:fill="FFFFFF"/>
            <w:noWrap/>
            <w:vAlign w:val="center"/>
            <w:hideMark/>
          </w:tcPr>
          <w:p w14:paraId="5D530868"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86%</w:t>
            </w:r>
          </w:p>
        </w:tc>
        <w:tc>
          <w:tcPr>
            <w:tcW w:w="1360" w:type="dxa"/>
            <w:tcBorders>
              <w:top w:val="nil"/>
              <w:left w:val="nil"/>
              <w:bottom w:val="single" w:sz="4" w:space="0" w:color="auto"/>
              <w:right w:val="single" w:sz="4" w:space="0" w:color="auto"/>
            </w:tcBorders>
            <w:shd w:val="clear" w:color="000000" w:fill="FFFFFF"/>
            <w:noWrap/>
            <w:vAlign w:val="center"/>
            <w:hideMark/>
          </w:tcPr>
          <w:p w14:paraId="557677B0"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61%</w:t>
            </w:r>
          </w:p>
        </w:tc>
        <w:tc>
          <w:tcPr>
            <w:tcW w:w="1200" w:type="dxa"/>
            <w:tcBorders>
              <w:top w:val="nil"/>
              <w:left w:val="nil"/>
              <w:bottom w:val="single" w:sz="4" w:space="0" w:color="auto"/>
              <w:right w:val="single" w:sz="4" w:space="0" w:color="auto"/>
            </w:tcBorders>
            <w:shd w:val="clear" w:color="000000" w:fill="FFFFFF"/>
            <w:noWrap/>
            <w:vAlign w:val="center"/>
            <w:hideMark/>
          </w:tcPr>
          <w:p w14:paraId="3CDA8915"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102%</w:t>
            </w:r>
          </w:p>
        </w:tc>
        <w:tc>
          <w:tcPr>
            <w:tcW w:w="1340" w:type="dxa"/>
            <w:tcBorders>
              <w:top w:val="nil"/>
              <w:left w:val="nil"/>
              <w:bottom w:val="single" w:sz="4" w:space="0" w:color="auto"/>
              <w:right w:val="single" w:sz="4" w:space="0" w:color="auto"/>
            </w:tcBorders>
            <w:shd w:val="clear" w:color="000000" w:fill="FFFFFF"/>
            <w:noWrap/>
            <w:vAlign w:val="center"/>
            <w:hideMark/>
          </w:tcPr>
          <w:p w14:paraId="26C9C4EB"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209%</w:t>
            </w:r>
          </w:p>
        </w:tc>
        <w:tc>
          <w:tcPr>
            <w:tcW w:w="1340" w:type="dxa"/>
            <w:tcBorders>
              <w:top w:val="nil"/>
              <w:left w:val="nil"/>
              <w:bottom w:val="single" w:sz="4" w:space="0" w:color="auto"/>
              <w:right w:val="single" w:sz="4" w:space="0" w:color="auto"/>
            </w:tcBorders>
            <w:shd w:val="clear" w:color="000000" w:fill="FFFFFF"/>
            <w:noWrap/>
            <w:vAlign w:val="center"/>
            <w:hideMark/>
          </w:tcPr>
          <w:p w14:paraId="2594407E"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77%</w:t>
            </w:r>
          </w:p>
        </w:tc>
        <w:tc>
          <w:tcPr>
            <w:tcW w:w="1200" w:type="dxa"/>
            <w:tcBorders>
              <w:top w:val="nil"/>
              <w:left w:val="nil"/>
              <w:bottom w:val="single" w:sz="4" w:space="0" w:color="auto"/>
              <w:right w:val="single" w:sz="4" w:space="0" w:color="auto"/>
            </w:tcBorders>
            <w:shd w:val="clear" w:color="000000" w:fill="FFFFFF"/>
            <w:noWrap/>
            <w:vAlign w:val="center"/>
            <w:hideMark/>
          </w:tcPr>
          <w:p w14:paraId="437AE270"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97%</w:t>
            </w:r>
          </w:p>
        </w:tc>
      </w:tr>
      <w:tr w:rsidR="009034C6" w:rsidRPr="00345752" w14:paraId="2DB6C83C" w14:textId="77777777" w:rsidTr="009034C6">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2BDF08E2"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48</w:t>
            </w:r>
          </w:p>
        </w:tc>
        <w:tc>
          <w:tcPr>
            <w:tcW w:w="1740" w:type="dxa"/>
            <w:tcBorders>
              <w:top w:val="nil"/>
              <w:left w:val="nil"/>
              <w:bottom w:val="single" w:sz="4" w:space="0" w:color="auto"/>
              <w:right w:val="single" w:sz="4" w:space="0" w:color="auto"/>
            </w:tcBorders>
            <w:shd w:val="clear" w:color="000000" w:fill="FFFFFF"/>
            <w:noWrap/>
            <w:vAlign w:val="center"/>
            <w:hideMark/>
          </w:tcPr>
          <w:p w14:paraId="2664898A"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94%</w:t>
            </w:r>
          </w:p>
        </w:tc>
        <w:tc>
          <w:tcPr>
            <w:tcW w:w="1200" w:type="dxa"/>
            <w:tcBorders>
              <w:top w:val="nil"/>
              <w:left w:val="nil"/>
              <w:bottom w:val="single" w:sz="4" w:space="0" w:color="auto"/>
              <w:right w:val="single" w:sz="4" w:space="0" w:color="auto"/>
            </w:tcBorders>
            <w:shd w:val="clear" w:color="000000" w:fill="FFFFFF"/>
            <w:noWrap/>
            <w:vAlign w:val="center"/>
            <w:hideMark/>
          </w:tcPr>
          <w:p w14:paraId="79FD38E3"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140%</w:t>
            </w:r>
          </w:p>
        </w:tc>
        <w:tc>
          <w:tcPr>
            <w:tcW w:w="1360" w:type="dxa"/>
            <w:tcBorders>
              <w:top w:val="nil"/>
              <w:left w:val="nil"/>
              <w:bottom w:val="single" w:sz="4" w:space="0" w:color="auto"/>
              <w:right w:val="single" w:sz="4" w:space="0" w:color="auto"/>
            </w:tcBorders>
            <w:shd w:val="clear" w:color="000000" w:fill="FFFFFF"/>
            <w:noWrap/>
            <w:vAlign w:val="center"/>
            <w:hideMark/>
          </w:tcPr>
          <w:p w14:paraId="027C60CB"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63%</w:t>
            </w:r>
          </w:p>
        </w:tc>
        <w:tc>
          <w:tcPr>
            <w:tcW w:w="1200" w:type="dxa"/>
            <w:tcBorders>
              <w:top w:val="nil"/>
              <w:left w:val="nil"/>
              <w:bottom w:val="single" w:sz="4" w:space="0" w:color="auto"/>
              <w:right w:val="single" w:sz="4" w:space="0" w:color="auto"/>
            </w:tcBorders>
            <w:shd w:val="clear" w:color="000000" w:fill="FFFFFF"/>
            <w:noWrap/>
            <w:vAlign w:val="center"/>
            <w:hideMark/>
          </w:tcPr>
          <w:p w14:paraId="7899F6D4"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105%</w:t>
            </w:r>
          </w:p>
        </w:tc>
        <w:tc>
          <w:tcPr>
            <w:tcW w:w="1340" w:type="dxa"/>
            <w:tcBorders>
              <w:top w:val="nil"/>
              <w:left w:val="nil"/>
              <w:bottom w:val="single" w:sz="4" w:space="0" w:color="auto"/>
              <w:right w:val="single" w:sz="4" w:space="0" w:color="auto"/>
            </w:tcBorders>
            <w:shd w:val="clear" w:color="000000" w:fill="FFFFFF"/>
            <w:noWrap/>
            <w:vAlign w:val="center"/>
            <w:hideMark/>
          </w:tcPr>
          <w:p w14:paraId="459F0DDE"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251%</w:t>
            </w:r>
          </w:p>
        </w:tc>
        <w:tc>
          <w:tcPr>
            <w:tcW w:w="1340" w:type="dxa"/>
            <w:tcBorders>
              <w:top w:val="nil"/>
              <w:left w:val="nil"/>
              <w:bottom w:val="single" w:sz="4" w:space="0" w:color="auto"/>
              <w:right w:val="single" w:sz="4" w:space="0" w:color="auto"/>
            </w:tcBorders>
            <w:shd w:val="clear" w:color="000000" w:fill="FFFFFF"/>
            <w:noWrap/>
            <w:vAlign w:val="center"/>
            <w:hideMark/>
          </w:tcPr>
          <w:p w14:paraId="01E3C8F5"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93%</w:t>
            </w:r>
          </w:p>
        </w:tc>
        <w:tc>
          <w:tcPr>
            <w:tcW w:w="1200" w:type="dxa"/>
            <w:tcBorders>
              <w:top w:val="nil"/>
              <w:left w:val="nil"/>
              <w:bottom w:val="single" w:sz="4" w:space="0" w:color="auto"/>
              <w:right w:val="single" w:sz="4" w:space="0" w:color="auto"/>
            </w:tcBorders>
            <w:shd w:val="clear" w:color="000000" w:fill="FFFFFF"/>
            <w:noWrap/>
            <w:vAlign w:val="center"/>
            <w:hideMark/>
          </w:tcPr>
          <w:p w14:paraId="1AA1012C"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109%</w:t>
            </w:r>
          </w:p>
        </w:tc>
      </w:tr>
      <w:tr w:rsidR="009034C6" w:rsidRPr="00345752" w14:paraId="6B58E3CC" w14:textId="77777777" w:rsidTr="009034C6">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582C68B5"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49</w:t>
            </w:r>
          </w:p>
        </w:tc>
        <w:tc>
          <w:tcPr>
            <w:tcW w:w="1740" w:type="dxa"/>
            <w:tcBorders>
              <w:top w:val="nil"/>
              <w:left w:val="nil"/>
              <w:bottom w:val="single" w:sz="4" w:space="0" w:color="auto"/>
              <w:right w:val="single" w:sz="4" w:space="0" w:color="auto"/>
            </w:tcBorders>
            <w:shd w:val="clear" w:color="000000" w:fill="FFFFFF"/>
            <w:noWrap/>
            <w:vAlign w:val="center"/>
            <w:hideMark/>
          </w:tcPr>
          <w:p w14:paraId="3AB9C976"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109%</w:t>
            </w:r>
          </w:p>
        </w:tc>
        <w:tc>
          <w:tcPr>
            <w:tcW w:w="1200" w:type="dxa"/>
            <w:tcBorders>
              <w:top w:val="nil"/>
              <w:left w:val="nil"/>
              <w:bottom w:val="single" w:sz="4" w:space="0" w:color="auto"/>
              <w:right w:val="single" w:sz="4" w:space="0" w:color="auto"/>
            </w:tcBorders>
            <w:shd w:val="clear" w:color="000000" w:fill="FFFFFF"/>
            <w:noWrap/>
            <w:vAlign w:val="center"/>
            <w:hideMark/>
          </w:tcPr>
          <w:p w14:paraId="04728851"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102%</w:t>
            </w:r>
          </w:p>
        </w:tc>
        <w:tc>
          <w:tcPr>
            <w:tcW w:w="1360" w:type="dxa"/>
            <w:tcBorders>
              <w:top w:val="nil"/>
              <w:left w:val="nil"/>
              <w:bottom w:val="single" w:sz="4" w:space="0" w:color="auto"/>
              <w:right w:val="single" w:sz="4" w:space="0" w:color="auto"/>
            </w:tcBorders>
            <w:shd w:val="clear" w:color="000000" w:fill="FFFFFF"/>
            <w:noWrap/>
            <w:vAlign w:val="center"/>
            <w:hideMark/>
          </w:tcPr>
          <w:p w14:paraId="38E433BD"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52%</w:t>
            </w:r>
          </w:p>
        </w:tc>
        <w:tc>
          <w:tcPr>
            <w:tcW w:w="1200" w:type="dxa"/>
            <w:tcBorders>
              <w:top w:val="nil"/>
              <w:left w:val="nil"/>
              <w:bottom w:val="single" w:sz="4" w:space="0" w:color="auto"/>
              <w:right w:val="single" w:sz="4" w:space="0" w:color="auto"/>
            </w:tcBorders>
            <w:shd w:val="clear" w:color="000000" w:fill="FFFFFF"/>
            <w:noWrap/>
            <w:vAlign w:val="center"/>
            <w:hideMark/>
          </w:tcPr>
          <w:p w14:paraId="25A1A8DC"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95%</w:t>
            </w:r>
          </w:p>
        </w:tc>
        <w:tc>
          <w:tcPr>
            <w:tcW w:w="1340" w:type="dxa"/>
            <w:tcBorders>
              <w:top w:val="nil"/>
              <w:left w:val="nil"/>
              <w:bottom w:val="single" w:sz="4" w:space="0" w:color="auto"/>
              <w:right w:val="single" w:sz="4" w:space="0" w:color="auto"/>
            </w:tcBorders>
            <w:shd w:val="clear" w:color="000000" w:fill="FFFFFF"/>
            <w:noWrap/>
            <w:vAlign w:val="center"/>
            <w:hideMark/>
          </w:tcPr>
          <w:p w14:paraId="45D7D989"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278%</w:t>
            </w:r>
          </w:p>
        </w:tc>
        <w:tc>
          <w:tcPr>
            <w:tcW w:w="1340" w:type="dxa"/>
            <w:tcBorders>
              <w:top w:val="nil"/>
              <w:left w:val="nil"/>
              <w:bottom w:val="single" w:sz="4" w:space="0" w:color="auto"/>
              <w:right w:val="single" w:sz="4" w:space="0" w:color="auto"/>
            </w:tcBorders>
            <w:shd w:val="clear" w:color="000000" w:fill="FFFFFF"/>
            <w:noWrap/>
            <w:vAlign w:val="center"/>
            <w:hideMark/>
          </w:tcPr>
          <w:p w14:paraId="04C13FE7"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101%</w:t>
            </w:r>
          </w:p>
        </w:tc>
        <w:tc>
          <w:tcPr>
            <w:tcW w:w="1200" w:type="dxa"/>
            <w:tcBorders>
              <w:top w:val="nil"/>
              <w:left w:val="nil"/>
              <w:bottom w:val="single" w:sz="4" w:space="0" w:color="auto"/>
              <w:right w:val="single" w:sz="4" w:space="0" w:color="auto"/>
            </w:tcBorders>
            <w:shd w:val="clear" w:color="000000" w:fill="FFFFFF"/>
            <w:noWrap/>
            <w:vAlign w:val="center"/>
            <w:hideMark/>
          </w:tcPr>
          <w:p w14:paraId="04BD4050" w14:textId="77777777" w:rsidR="009034C6" w:rsidRPr="00345752" w:rsidRDefault="009034C6" w:rsidP="00985591">
            <w:pPr>
              <w:spacing w:line="276" w:lineRule="auto"/>
              <w:jc w:val="center"/>
              <w:rPr>
                <w:rFonts w:ascii="Book Antiqua" w:hAnsi="Book Antiqua" w:cs="Calibri"/>
                <w:color w:val="000000"/>
                <w:sz w:val="16"/>
                <w:szCs w:val="16"/>
                <w:lang w:eastAsia="es-CR"/>
              </w:rPr>
            </w:pPr>
            <w:r w:rsidRPr="00345752">
              <w:rPr>
                <w:rFonts w:ascii="Book Antiqua" w:hAnsi="Book Antiqua" w:cs="Calibri"/>
                <w:color w:val="000000"/>
                <w:sz w:val="16"/>
                <w:szCs w:val="16"/>
                <w:lang w:eastAsia="es-CR"/>
              </w:rPr>
              <w:t>115%</w:t>
            </w:r>
          </w:p>
        </w:tc>
      </w:tr>
      <w:tr w:rsidR="009034C6" w:rsidRPr="00345752" w14:paraId="1C358F1C" w14:textId="77777777" w:rsidTr="009034C6">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4C2805CA" w14:textId="77777777" w:rsidR="009034C6" w:rsidRPr="00345752" w:rsidRDefault="009034C6" w:rsidP="00985591">
            <w:pPr>
              <w:spacing w:line="276" w:lineRule="auto"/>
              <w:jc w:val="center"/>
              <w:rPr>
                <w:rFonts w:ascii="Book Antiqua" w:hAnsi="Book Antiqua" w:cs="Calibri"/>
                <w:b/>
                <w:bCs/>
                <w:color w:val="000000"/>
                <w:sz w:val="16"/>
                <w:szCs w:val="16"/>
                <w:lang w:eastAsia="es-CR"/>
              </w:rPr>
            </w:pPr>
            <w:r w:rsidRPr="00345752">
              <w:rPr>
                <w:rFonts w:ascii="Book Antiqua" w:hAnsi="Book Antiqua" w:cs="Calibri"/>
                <w:b/>
                <w:bCs/>
                <w:color w:val="000000"/>
                <w:sz w:val="16"/>
                <w:szCs w:val="16"/>
                <w:lang w:eastAsia="es-CR"/>
              </w:rPr>
              <w:t>Promedio</w:t>
            </w:r>
          </w:p>
        </w:tc>
        <w:tc>
          <w:tcPr>
            <w:tcW w:w="1740" w:type="dxa"/>
            <w:tcBorders>
              <w:top w:val="nil"/>
              <w:left w:val="nil"/>
              <w:bottom w:val="single" w:sz="4" w:space="0" w:color="auto"/>
              <w:right w:val="single" w:sz="4" w:space="0" w:color="auto"/>
            </w:tcBorders>
            <w:shd w:val="clear" w:color="000000" w:fill="FFFFFF"/>
            <w:noWrap/>
            <w:vAlign w:val="center"/>
            <w:hideMark/>
          </w:tcPr>
          <w:p w14:paraId="3672F9D0" w14:textId="77777777" w:rsidR="009034C6" w:rsidRPr="00345752" w:rsidRDefault="009034C6" w:rsidP="00985591">
            <w:pPr>
              <w:spacing w:line="276" w:lineRule="auto"/>
              <w:jc w:val="center"/>
              <w:rPr>
                <w:rFonts w:ascii="Book Antiqua" w:hAnsi="Book Antiqua" w:cs="Calibri"/>
                <w:b/>
                <w:bCs/>
                <w:color w:val="000000"/>
                <w:sz w:val="16"/>
                <w:szCs w:val="16"/>
                <w:lang w:eastAsia="es-CR"/>
              </w:rPr>
            </w:pPr>
            <w:r w:rsidRPr="00345752">
              <w:rPr>
                <w:rFonts w:ascii="Book Antiqua" w:hAnsi="Book Antiqua" w:cs="Calibri"/>
                <w:b/>
                <w:bCs/>
                <w:color w:val="000000"/>
                <w:sz w:val="16"/>
                <w:szCs w:val="16"/>
                <w:lang w:eastAsia="es-CR"/>
              </w:rPr>
              <w:t>86%</w:t>
            </w:r>
          </w:p>
        </w:tc>
        <w:tc>
          <w:tcPr>
            <w:tcW w:w="1200" w:type="dxa"/>
            <w:tcBorders>
              <w:top w:val="nil"/>
              <w:left w:val="nil"/>
              <w:bottom w:val="single" w:sz="4" w:space="0" w:color="auto"/>
              <w:right w:val="single" w:sz="4" w:space="0" w:color="auto"/>
            </w:tcBorders>
            <w:shd w:val="clear" w:color="000000" w:fill="FFFFFF"/>
            <w:noWrap/>
            <w:vAlign w:val="center"/>
            <w:hideMark/>
          </w:tcPr>
          <w:p w14:paraId="73E67BD3" w14:textId="77777777" w:rsidR="009034C6" w:rsidRPr="00345752" w:rsidRDefault="009034C6" w:rsidP="00985591">
            <w:pPr>
              <w:spacing w:line="276" w:lineRule="auto"/>
              <w:jc w:val="center"/>
              <w:rPr>
                <w:rFonts w:ascii="Book Antiqua" w:hAnsi="Book Antiqua" w:cs="Calibri"/>
                <w:b/>
                <w:bCs/>
                <w:color w:val="000000"/>
                <w:sz w:val="16"/>
                <w:szCs w:val="16"/>
                <w:lang w:eastAsia="es-CR"/>
              </w:rPr>
            </w:pPr>
            <w:r w:rsidRPr="00345752">
              <w:rPr>
                <w:rFonts w:ascii="Book Antiqua" w:hAnsi="Book Antiqua" w:cs="Calibri"/>
                <w:b/>
                <w:bCs/>
                <w:color w:val="000000"/>
                <w:sz w:val="16"/>
                <w:szCs w:val="16"/>
                <w:lang w:eastAsia="es-CR"/>
              </w:rPr>
              <w:t>103%</w:t>
            </w:r>
          </w:p>
        </w:tc>
        <w:tc>
          <w:tcPr>
            <w:tcW w:w="1360" w:type="dxa"/>
            <w:tcBorders>
              <w:top w:val="nil"/>
              <w:left w:val="nil"/>
              <w:bottom w:val="single" w:sz="4" w:space="0" w:color="auto"/>
              <w:right w:val="single" w:sz="4" w:space="0" w:color="auto"/>
            </w:tcBorders>
            <w:shd w:val="clear" w:color="auto" w:fill="auto"/>
            <w:noWrap/>
            <w:vAlign w:val="center"/>
            <w:hideMark/>
          </w:tcPr>
          <w:p w14:paraId="6C2930A1" w14:textId="77777777" w:rsidR="009034C6" w:rsidRPr="00345752" w:rsidRDefault="009034C6" w:rsidP="00985591">
            <w:pPr>
              <w:spacing w:line="276" w:lineRule="auto"/>
              <w:jc w:val="center"/>
              <w:rPr>
                <w:rFonts w:ascii="Book Antiqua" w:hAnsi="Book Antiqua" w:cs="Calibri"/>
                <w:b/>
                <w:bCs/>
                <w:color w:val="000000"/>
                <w:sz w:val="16"/>
                <w:szCs w:val="16"/>
                <w:lang w:eastAsia="es-CR"/>
              </w:rPr>
            </w:pPr>
            <w:r w:rsidRPr="00345752">
              <w:rPr>
                <w:rFonts w:ascii="Book Antiqua" w:hAnsi="Book Antiqua" w:cs="Calibri"/>
                <w:b/>
                <w:bCs/>
                <w:color w:val="000000"/>
                <w:sz w:val="16"/>
                <w:szCs w:val="16"/>
                <w:lang w:eastAsia="es-CR"/>
              </w:rPr>
              <w:t>53%</w:t>
            </w:r>
          </w:p>
        </w:tc>
        <w:tc>
          <w:tcPr>
            <w:tcW w:w="1200" w:type="dxa"/>
            <w:tcBorders>
              <w:top w:val="nil"/>
              <w:left w:val="nil"/>
              <w:bottom w:val="single" w:sz="4" w:space="0" w:color="auto"/>
              <w:right w:val="single" w:sz="4" w:space="0" w:color="auto"/>
            </w:tcBorders>
            <w:shd w:val="clear" w:color="000000" w:fill="FFFFFF"/>
            <w:noWrap/>
            <w:vAlign w:val="center"/>
            <w:hideMark/>
          </w:tcPr>
          <w:p w14:paraId="033B8EBF" w14:textId="77777777" w:rsidR="009034C6" w:rsidRPr="00345752" w:rsidRDefault="009034C6" w:rsidP="00985591">
            <w:pPr>
              <w:spacing w:line="276" w:lineRule="auto"/>
              <w:jc w:val="center"/>
              <w:rPr>
                <w:rFonts w:ascii="Book Antiqua" w:hAnsi="Book Antiqua" w:cs="Calibri"/>
                <w:b/>
                <w:bCs/>
                <w:color w:val="000000"/>
                <w:sz w:val="16"/>
                <w:szCs w:val="16"/>
                <w:lang w:eastAsia="es-CR"/>
              </w:rPr>
            </w:pPr>
            <w:r w:rsidRPr="00345752">
              <w:rPr>
                <w:rFonts w:ascii="Book Antiqua" w:hAnsi="Book Antiqua" w:cs="Calibri"/>
                <w:b/>
                <w:bCs/>
                <w:color w:val="000000"/>
                <w:sz w:val="16"/>
                <w:szCs w:val="16"/>
                <w:lang w:eastAsia="es-CR"/>
              </w:rPr>
              <w:t>109%</w:t>
            </w:r>
          </w:p>
        </w:tc>
        <w:tc>
          <w:tcPr>
            <w:tcW w:w="1340" w:type="dxa"/>
            <w:tcBorders>
              <w:top w:val="nil"/>
              <w:left w:val="nil"/>
              <w:bottom w:val="single" w:sz="4" w:space="0" w:color="auto"/>
              <w:right w:val="single" w:sz="4" w:space="0" w:color="auto"/>
            </w:tcBorders>
            <w:shd w:val="clear" w:color="000000" w:fill="FFFFFF"/>
            <w:noWrap/>
            <w:vAlign w:val="center"/>
            <w:hideMark/>
          </w:tcPr>
          <w:p w14:paraId="1EDFEB6A" w14:textId="77777777" w:rsidR="009034C6" w:rsidRPr="00345752" w:rsidRDefault="009034C6" w:rsidP="00985591">
            <w:pPr>
              <w:spacing w:line="276" w:lineRule="auto"/>
              <w:jc w:val="center"/>
              <w:rPr>
                <w:rFonts w:ascii="Book Antiqua" w:hAnsi="Book Antiqua" w:cs="Calibri"/>
                <w:b/>
                <w:bCs/>
                <w:color w:val="000000"/>
                <w:sz w:val="16"/>
                <w:szCs w:val="16"/>
                <w:lang w:eastAsia="es-CR"/>
              </w:rPr>
            </w:pPr>
            <w:r w:rsidRPr="00345752">
              <w:rPr>
                <w:rFonts w:ascii="Book Antiqua" w:hAnsi="Book Antiqua" w:cs="Calibri"/>
                <w:b/>
                <w:bCs/>
                <w:color w:val="000000"/>
                <w:sz w:val="16"/>
                <w:szCs w:val="16"/>
                <w:lang w:eastAsia="es-CR"/>
              </w:rPr>
              <w:t>238%</w:t>
            </w:r>
          </w:p>
        </w:tc>
        <w:tc>
          <w:tcPr>
            <w:tcW w:w="1340" w:type="dxa"/>
            <w:tcBorders>
              <w:top w:val="nil"/>
              <w:left w:val="nil"/>
              <w:bottom w:val="single" w:sz="4" w:space="0" w:color="auto"/>
              <w:right w:val="single" w:sz="4" w:space="0" w:color="auto"/>
            </w:tcBorders>
            <w:shd w:val="clear" w:color="000000" w:fill="FFFFFF"/>
            <w:noWrap/>
            <w:vAlign w:val="center"/>
            <w:hideMark/>
          </w:tcPr>
          <w:p w14:paraId="0F56F391" w14:textId="77777777" w:rsidR="009034C6" w:rsidRPr="00345752" w:rsidRDefault="009034C6" w:rsidP="00985591">
            <w:pPr>
              <w:spacing w:line="276" w:lineRule="auto"/>
              <w:jc w:val="center"/>
              <w:rPr>
                <w:rFonts w:ascii="Book Antiqua" w:hAnsi="Book Antiqua" w:cs="Calibri"/>
                <w:b/>
                <w:bCs/>
                <w:color w:val="000000"/>
                <w:sz w:val="16"/>
                <w:szCs w:val="16"/>
                <w:lang w:eastAsia="es-CR"/>
              </w:rPr>
            </w:pPr>
            <w:r w:rsidRPr="00345752">
              <w:rPr>
                <w:rFonts w:ascii="Book Antiqua" w:hAnsi="Book Antiqua" w:cs="Calibri"/>
                <w:b/>
                <w:bCs/>
                <w:color w:val="000000"/>
                <w:sz w:val="16"/>
                <w:szCs w:val="16"/>
                <w:lang w:eastAsia="es-CR"/>
              </w:rPr>
              <w:t>92%</w:t>
            </w:r>
          </w:p>
        </w:tc>
        <w:tc>
          <w:tcPr>
            <w:tcW w:w="1200" w:type="dxa"/>
            <w:tcBorders>
              <w:top w:val="nil"/>
              <w:left w:val="nil"/>
              <w:bottom w:val="single" w:sz="4" w:space="0" w:color="auto"/>
              <w:right w:val="single" w:sz="4" w:space="0" w:color="auto"/>
            </w:tcBorders>
            <w:shd w:val="clear" w:color="000000" w:fill="FFFFFF"/>
            <w:noWrap/>
            <w:vAlign w:val="center"/>
            <w:hideMark/>
          </w:tcPr>
          <w:p w14:paraId="15CAB2AF" w14:textId="77777777" w:rsidR="009034C6" w:rsidRPr="00345752" w:rsidRDefault="009034C6" w:rsidP="00985591">
            <w:pPr>
              <w:spacing w:line="276" w:lineRule="auto"/>
              <w:jc w:val="center"/>
              <w:rPr>
                <w:rFonts w:ascii="Book Antiqua" w:hAnsi="Book Antiqua" w:cs="Calibri"/>
                <w:b/>
                <w:bCs/>
                <w:color w:val="000000"/>
                <w:sz w:val="16"/>
                <w:szCs w:val="16"/>
                <w:lang w:eastAsia="es-CR"/>
              </w:rPr>
            </w:pPr>
            <w:r w:rsidRPr="00345752">
              <w:rPr>
                <w:rFonts w:ascii="Book Antiqua" w:hAnsi="Book Antiqua" w:cs="Calibri"/>
                <w:b/>
                <w:bCs/>
                <w:color w:val="000000"/>
                <w:sz w:val="16"/>
                <w:szCs w:val="16"/>
                <w:lang w:eastAsia="es-CR"/>
              </w:rPr>
              <w:t>97%</w:t>
            </w:r>
          </w:p>
        </w:tc>
      </w:tr>
    </w:tbl>
    <w:p w14:paraId="42F79417" w14:textId="77777777" w:rsidR="00776798" w:rsidRPr="004F0E92" w:rsidRDefault="00776798" w:rsidP="00985591">
      <w:pPr>
        <w:spacing w:line="276" w:lineRule="auto"/>
        <w:jc w:val="center"/>
        <w:rPr>
          <w:rFonts w:ascii="Book Antiqua" w:hAnsi="Book Antiqua"/>
          <w:b/>
          <w:bCs/>
          <w:color w:val="000000" w:themeColor="text1"/>
          <w:sz w:val="20"/>
          <w:szCs w:val="20"/>
        </w:rPr>
      </w:pPr>
      <w:r w:rsidRPr="009034C6">
        <w:rPr>
          <w:rFonts w:ascii="Book Antiqua" w:hAnsi="Book Antiqua"/>
          <w:b/>
          <w:bCs/>
          <w:color w:val="000000" w:themeColor="text1"/>
          <w:sz w:val="20"/>
          <w:szCs w:val="20"/>
        </w:rPr>
        <w:t xml:space="preserve">Fuente: </w:t>
      </w:r>
      <w:r w:rsidRPr="009034C6">
        <w:rPr>
          <w:rFonts w:ascii="Book Antiqua" w:hAnsi="Book Antiqua"/>
          <w:color w:val="000000" w:themeColor="text1"/>
          <w:sz w:val="20"/>
          <w:szCs w:val="20"/>
        </w:rPr>
        <w:t>Elaboración propia a partir de datos suministrados por despachos según circular 61-2020</w:t>
      </w:r>
    </w:p>
    <w:p w14:paraId="244B1BB3" w14:textId="77D8B6D7" w:rsidR="00776798" w:rsidRPr="00C124CE" w:rsidRDefault="00AE1915" w:rsidP="00C124CE">
      <w:pPr>
        <w:tabs>
          <w:tab w:val="left" w:pos="4092"/>
        </w:tabs>
        <w:spacing w:line="276" w:lineRule="auto"/>
        <w:rPr>
          <w:rFonts w:ascii="Book Antiqua" w:hAnsi="Book Antiqua"/>
          <w:b/>
          <w:color w:val="000000" w:themeColor="text1"/>
        </w:rPr>
      </w:pPr>
      <w:r>
        <w:rPr>
          <w:rFonts w:ascii="Book Antiqua" w:hAnsi="Book Antiqua"/>
          <w:b/>
          <w:color w:val="000000" w:themeColor="text1"/>
        </w:rPr>
        <w:tab/>
      </w:r>
    </w:p>
    <w:p w14:paraId="0A6CE02E" w14:textId="7FB7692A" w:rsidR="009034C6" w:rsidRPr="00DD5521" w:rsidRDefault="009034C6" w:rsidP="00985591">
      <w:pPr>
        <w:spacing w:line="276" w:lineRule="auto"/>
        <w:jc w:val="both"/>
        <w:rPr>
          <w:rFonts w:ascii="Book Antiqua" w:hAnsi="Book Antiqua"/>
        </w:rPr>
      </w:pPr>
      <w:r>
        <w:rPr>
          <w:rFonts w:ascii="Book Antiqua" w:hAnsi="Book Antiqua"/>
        </w:rPr>
        <w:t>A partir de mayo de 2021, la Corte Plena en</w:t>
      </w:r>
      <w:r w:rsidRPr="00DC0B65">
        <w:rPr>
          <w:rFonts w:ascii="Book Antiqua" w:hAnsi="Book Antiqua"/>
        </w:rPr>
        <w:t xml:space="preserve"> sesión N°12-2021 del 22 de marzo de 2021</w:t>
      </w:r>
      <w:r>
        <w:rPr>
          <w:rFonts w:ascii="Book Antiqua" w:hAnsi="Book Antiqua"/>
        </w:rPr>
        <w:t>, aprobó</w:t>
      </w:r>
      <w:r w:rsidR="00506FB2">
        <w:rPr>
          <w:rFonts w:ascii="Book Antiqua" w:hAnsi="Book Antiqua"/>
        </w:rPr>
        <w:t xml:space="preserve"> </w:t>
      </w:r>
      <w:r>
        <w:rPr>
          <w:rFonts w:ascii="Book Antiqua" w:hAnsi="Book Antiqua"/>
        </w:rPr>
        <w:t xml:space="preserve">que los Juzgados Penales, Tribunales Penales, Secciones de Flagrancia y Juzgados de Ejecución de la Pena, presentaran los informes mensualmente mediante la matriz de Indicadores de Gestión. Por lo que, en el </w:t>
      </w:r>
      <w:r w:rsidRPr="009123AD">
        <w:rPr>
          <w:rFonts w:ascii="Book Antiqua" w:hAnsi="Book Antiqua"/>
          <w:b/>
          <w:bCs/>
        </w:rPr>
        <w:t xml:space="preserve">cuadro </w:t>
      </w:r>
      <w:r w:rsidR="007E572E">
        <w:rPr>
          <w:rFonts w:ascii="Book Antiqua" w:hAnsi="Book Antiqua"/>
          <w:b/>
          <w:bCs/>
        </w:rPr>
        <w:t>5</w:t>
      </w:r>
      <w:r w:rsidR="000C1D00">
        <w:rPr>
          <w:rFonts w:ascii="Book Antiqua" w:hAnsi="Book Antiqua"/>
          <w:b/>
          <w:bCs/>
        </w:rPr>
        <w:t>2</w:t>
      </w:r>
      <w:r>
        <w:rPr>
          <w:rFonts w:ascii="Book Antiqua" w:hAnsi="Book Antiqua"/>
          <w:b/>
          <w:bCs/>
        </w:rPr>
        <w:t>,</w:t>
      </w:r>
      <w:r>
        <w:rPr>
          <w:rFonts w:ascii="Book Antiqua" w:hAnsi="Book Antiqua"/>
        </w:rPr>
        <w:t xml:space="preserve"> se detalla los porcentajes de cumplimento de forma mensual obtenidos tanto en el informe de labores como en la matriz de indicadores respectiva.</w:t>
      </w:r>
    </w:p>
    <w:p w14:paraId="0DE10A79" w14:textId="77777777" w:rsidR="009034C6" w:rsidRPr="00F970F2" w:rsidRDefault="009034C6" w:rsidP="00985591">
      <w:pPr>
        <w:spacing w:line="276" w:lineRule="auto"/>
        <w:jc w:val="both"/>
        <w:rPr>
          <w:rFonts w:ascii="Book Antiqua" w:hAnsi="Book Antiqua"/>
          <w:bCs/>
          <w:color w:val="000000" w:themeColor="text1"/>
          <w:highlight w:val="yellow"/>
        </w:rPr>
      </w:pPr>
    </w:p>
    <w:p w14:paraId="0D5B7B8F" w14:textId="363EE876" w:rsidR="009034C6" w:rsidRPr="00582659" w:rsidRDefault="009034C6" w:rsidP="00985591">
      <w:pPr>
        <w:spacing w:line="276" w:lineRule="auto"/>
        <w:jc w:val="center"/>
        <w:rPr>
          <w:rFonts w:ascii="Book Antiqua" w:hAnsi="Book Antiqua"/>
          <w:b/>
          <w:color w:val="000000" w:themeColor="text1"/>
        </w:rPr>
      </w:pPr>
      <w:r w:rsidRPr="00582659">
        <w:rPr>
          <w:rFonts w:ascii="Book Antiqua" w:hAnsi="Book Antiqua"/>
          <w:b/>
          <w:color w:val="000000" w:themeColor="text1"/>
        </w:rPr>
        <w:t xml:space="preserve">Cuadro </w:t>
      </w:r>
      <w:r w:rsidR="002933E2">
        <w:rPr>
          <w:rFonts w:ascii="Book Antiqua" w:hAnsi="Book Antiqua"/>
          <w:b/>
          <w:color w:val="000000" w:themeColor="text1"/>
        </w:rPr>
        <w:t>5</w:t>
      </w:r>
      <w:r w:rsidR="000C1D00">
        <w:rPr>
          <w:rFonts w:ascii="Book Antiqua" w:hAnsi="Book Antiqua"/>
          <w:b/>
          <w:color w:val="000000" w:themeColor="text1"/>
        </w:rPr>
        <w:t>2</w:t>
      </w:r>
    </w:p>
    <w:p w14:paraId="099FC7E3" w14:textId="77777777" w:rsidR="009034C6" w:rsidRPr="00582659" w:rsidRDefault="009034C6" w:rsidP="00985591">
      <w:pPr>
        <w:spacing w:line="276" w:lineRule="auto"/>
        <w:jc w:val="center"/>
        <w:rPr>
          <w:rFonts w:ascii="Book Antiqua" w:hAnsi="Book Antiqua"/>
          <w:bCs/>
          <w:color w:val="000000" w:themeColor="text1"/>
        </w:rPr>
      </w:pPr>
      <w:r w:rsidRPr="00582659">
        <w:rPr>
          <w:rFonts w:ascii="Book Antiqua" w:hAnsi="Book Antiqua"/>
          <w:bCs/>
          <w:color w:val="000000" w:themeColor="text1"/>
        </w:rPr>
        <w:t xml:space="preserve">Cumplimiento del parámetro de producción teórico de </w:t>
      </w:r>
    </w:p>
    <w:p w14:paraId="51C40603" w14:textId="4E8CEEB5" w:rsidR="009034C6" w:rsidRDefault="009034C6" w:rsidP="00985591">
      <w:pPr>
        <w:spacing w:line="276" w:lineRule="auto"/>
        <w:jc w:val="center"/>
        <w:rPr>
          <w:rFonts w:ascii="Book Antiqua" w:hAnsi="Book Antiqua"/>
        </w:rPr>
      </w:pPr>
      <w:r w:rsidRPr="00582659">
        <w:rPr>
          <w:rFonts w:ascii="Book Antiqua" w:hAnsi="Book Antiqua"/>
          <w:bCs/>
          <w:color w:val="000000" w:themeColor="text1"/>
        </w:rPr>
        <w:t>oficinas de materia</w:t>
      </w:r>
      <w:r>
        <w:rPr>
          <w:rFonts w:ascii="Book Antiqua" w:hAnsi="Book Antiqua"/>
          <w:bCs/>
          <w:color w:val="000000" w:themeColor="text1"/>
        </w:rPr>
        <w:t xml:space="preserve"> penal</w:t>
      </w:r>
      <w:r w:rsidRPr="00582659">
        <w:rPr>
          <w:rFonts w:ascii="Book Antiqua" w:hAnsi="Book Antiqua"/>
          <w:bCs/>
          <w:color w:val="000000" w:themeColor="text1"/>
        </w:rPr>
        <w:t xml:space="preserve">, </w:t>
      </w:r>
      <w:r w:rsidRPr="00582659">
        <w:rPr>
          <w:rFonts w:ascii="Book Antiqua" w:hAnsi="Book Antiqua"/>
        </w:rPr>
        <w:t xml:space="preserve">sesión </w:t>
      </w:r>
      <w:r>
        <w:rPr>
          <w:rFonts w:ascii="Book Antiqua" w:hAnsi="Book Antiqua"/>
        </w:rPr>
        <w:t xml:space="preserve">de Corte Plena </w:t>
      </w:r>
      <w:r w:rsidRPr="00582659">
        <w:rPr>
          <w:rFonts w:ascii="Book Antiqua" w:hAnsi="Book Antiqua"/>
        </w:rPr>
        <w:t>N°12-2021</w:t>
      </w:r>
    </w:p>
    <w:tbl>
      <w:tblPr>
        <w:tblW w:w="9326" w:type="dxa"/>
        <w:jc w:val="center"/>
        <w:tblCellMar>
          <w:left w:w="70" w:type="dxa"/>
          <w:right w:w="70" w:type="dxa"/>
        </w:tblCellMar>
        <w:tblLook w:val="04A0" w:firstRow="1" w:lastRow="0" w:firstColumn="1" w:lastColumn="0" w:noHBand="0" w:noVBand="1"/>
      </w:tblPr>
      <w:tblGrid>
        <w:gridCol w:w="971"/>
        <w:gridCol w:w="1409"/>
        <w:gridCol w:w="971"/>
        <w:gridCol w:w="1862"/>
        <w:gridCol w:w="971"/>
        <w:gridCol w:w="1086"/>
        <w:gridCol w:w="1085"/>
        <w:gridCol w:w="971"/>
      </w:tblGrid>
      <w:tr w:rsidR="003705DC" w:rsidRPr="003705DC" w14:paraId="067B6B96" w14:textId="77777777" w:rsidTr="003705DC">
        <w:trPr>
          <w:trHeight w:val="448"/>
          <w:jc w:val="center"/>
        </w:trPr>
        <w:tc>
          <w:tcPr>
            <w:tcW w:w="971" w:type="dxa"/>
            <w:vMerge w:val="restart"/>
            <w:tcBorders>
              <w:top w:val="single" w:sz="4" w:space="0" w:color="auto"/>
              <w:left w:val="single" w:sz="4" w:space="0" w:color="auto"/>
              <w:bottom w:val="single" w:sz="4" w:space="0" w:color="auto"/>
              <w:right w:val="single" w:sz="4" w:space="0" w:color="auto"/>
            </w:tcBorders>
            <w:shd w:val="clear" w:color="000000" w:fill="305496"/>
            <w:vAlign w:val="center"/>
            <w:hideMark/>
          </w:tcPr>
          <w:p w14:paraId="2BDDBF6C" w14:textId="77777777" w:rsidR="003705DC" w:rsidRPr="003705DC" w:rsidRDefault="003705DC" w:rsidP="003705DC">
            <w:pPr>
              <w:jc w:val="center"/>
              <w:rPr>
                <w:rFonts w:ascii="Book Antiqua" w:hAnsi="Book Antiqua" w:cs="Calibri"/>
                <w:b/>
                <w:bCs/>
                <w:color w:val="FFFFFF"/>
                <w:sz w:val="16"/>
                <w:szCs w:val="16"/>
                <w:lang w:eastAsia="es-CR"/>
              </w:rPr>
            </w:pPr>
            <w:r w:rsidRPr="003705DC">
              <w:rPr>
                <w:rFonts w:ascii="Book Antiqua" w:hAnsi="Book Antiqua" w:cs="Calibri"/>
                <w:b/>
                <w:bCs/>
                <w:color w:val="FFFFFF"/>
                <w:sz w:val="16"/>
                <w:szCs w:val="16"/>
                <w:lang w:eastAsia="es-CR"/>
              </w:rPr>
              <w:t>Mes</w:t>
            </w:r>
          </w:p>
        </w:tc>
        <w:tc>
          <w:tcPr>
            <w:tcW w:w="1409" w:type="dxa"/>
            <w:tcBorders>
              <w:top w:val="single" w:sz="4" w:space="0" w:color="auto"/>
              <w:left w:val="nil"/>
              <w:bottom w:val="single" w:sz="4" w:space="0" w:color="auto"/>
              <w:right w:val="single" w:sz="4" w:space="0" w:color="auto"/>
            </w:tcBorders>
            <w:shd w:val="clear" w:color="000000" w:fill="305496"/>
            <w:vAlign w:val="center"/>
            <w:hideMark/>
          </w:tcPr>
          <w:p w14:paraId="750553DE" w14:textId="77777777" w:rsidR="003705DC" w:rsidRPr="003705DC" w:rsidRDefault="003705DC" w:rsidP="003705DC">
            <w:pPr>
              <w:jc w:val="center"/>
              <w:rPr>
                <w:rFonts w:ascii="Book Antiqua" w:hAnsi="Book Antiqua" w:cs="Calibri"/>
                <w:b/>
                <w:bCs/>
                <w:color w:val="FFFFFF"/>
                <w:sz w:val="16"/>
                <w:szCs w:val="16"/>
                <w:lang w:eastAsia="es-CR"/>
              </w:rPr>
            </w:pPr>
            <w:r w:rsidRPr="003705DC">
              <w:rPr>
                <w:rFonts w:ascii="Book Antiqua" w:hAnsi="Book Antiqua" w:cs="Calibri"/>
                <w:b/>
                <w:bCs/>
                <w:color w:val="FFFFFF"/>
                <w:sz w:val="16"/>
                <w:szCs w:val="16"/>
                <w:lang w:eastAsia="es-CR"/>
              </w:rPr>
              <w:t>Juzgados Penales</w:t>
            </w:r>
          </w:p>
        </w:tc>
        <w:tc>
          <w:tcPr>
            <w:tcW w:w="971" w:type="dxa"/>
            <w:tcBorders>
              <w:top w:val="single" w:sz="4" w:space="0" w:color="auto"/>
              <w:left w:val="nil"/>
              <w:bottom w:val="single" w:sz="4" w:space="0" w:color="auto"/>
              <w:right w:val="single" w:sz="4" w:space="0" w:color="auto"/>
            </w:tcBorders>
            <w:shd w:val="clear" w:color="000000" w:fill="305496"/>
            <w:vAlign w:val="center"/>
            <w:hideMark/>
          </w:tcPr>
          <w:p w14:paraId="686F7058" w14:textId="77777777" w:rsidR="003705DC" w:rsidRPr="003705DC" w:rsidRDefault="003705DC" w:rsidP="003705DC">
            <w:pPr>
              <w:jc w:val="center"/>
              <w:rPr>
                <w:rFonts w:ascii="Book Antiqua" w:hAnsi="Book Antiqua" w:cs="Calibri"/>
                <w:b/>
                <w:bCs/>
                <w:color w:val="FFFFFF"/>
                <w:sz w:val="16"/>
                <w:szCs w:val="16"/>
                <w:lang w:eastAsia="es-CR"/>
              </w:rPr>
            </w:pPr>
            <w:r w:rsidRPr="003705DC">
              <w:rPr>
                <w:rFonts w:ascii="Book Antiqua" w:hAnsi="Book Antiqua" w:cs="Calibri"/>
                <w:b/>
                <w:bCs/>
                <w:color w:val="FFFFFF"/>
                <w:sz w:val="16"/>
                <w:szCs w:val="16"/>
                <w:lang w:eastAsia="es-CR"/>
              </w:rPr>
              <w:t>Tribunales de Juicio</w:t>
            </w:r>
          </w:p>
        </w:tc>
        <w:tc>
          <w:tcPr>
            <w:tcW w:w="1862" w:type="dxa"/>
            <w:tcBorders>
              <w:top w:val="single" w:sz="4" w:space="0" w:color="auto"/>
              <w:left w:val="nil"/>
              <w:bottom w:val="single" w:sz="4" w:space="0" w:color="auto"/>
              <w:right w:val="single" w:sz="4" w:space="0" w:color="auto"/>
            </w:tcBorders>
            <w:shd w:val="clear" w:color="000000" w:fill="305496"/>
            <w:noWrap/>
            <w:vAlign w:val="center"/>
            <w:hideMark/>
          </w:tcPr>
          <w:p w14:paraId="1635D42F" w14:textId="77777777" w:rsidR="003705DC" w:rsidRPr="003705DC" w:rsidRDefault="003705DC" w:rsidP="003705DC">
            <w:pPr>
              <w:jc w:val="center"/>
              <w:rPr>
                <w:rFonts w:ascii="Book Antiqua" w:hAnsi="Book Antiqua" w:cs="Calibri"/>
                <w:b/>
                <w:bCs/>
                <w:color w:val="FFFFFF"/>
                <w:sz w:val="16"/>
                <w:szCs w:val="16"/>
                <w:lang w:eastAsia="es-CR"/>
              </w:rPr>
            </w:pPr>
            <w:r w:rsidRPr="003705DC">
              <w:rPr>
                <w:rFonts w:ascii="Book Antiqua" w:hAnsi="Book Antiqua" w:cs="Calibri"/>
                <w:b/>
                <w:bCs/>
                <w:color w:val="FFFFFF"/>
                <w:sz w:val="16"/>
                <w:szCs w:val="16"/>
                <w:lang w:eastAsia="es-CR"/>
              </w:rPr>
              <w:t>Flagrancia</w:t>
            </w:r>
          </w:p>
        </w:tc>
        <w:tc>
          <w:tcPr>
            <w:tcW w:w="2057" w:type="dxa"/>
            <w:gridSpan w:val="2"/>
            <w:tcBorders>
              <w:top w:val="single" w:sz="4" w:space="0" w:color="auto"/>
              <w:left w:val="nil"/>
              <w:bottom w:val="single" w:sz="4" w:space="0" w:color="auto"/>
              <w:right w:val="single" w:sz="4" w:space="0" w:color="auto"/>
            </w:tcBorders>
            <w:shd w:val="clear" w:color="000000" w:fill="305496"/>
            <w:noWrap/>
            <w:vAlign w:val="center"/>
            <w:hideMark/>
          </w:tcPr>
          <w:p w14:paraId="2A19DE5A" w14:textId="77777777" w:rsidR="003705DC" w:rsidRPr="003705DC" w:rsidRDefault="003705DC" w:rsidP="003705DC">
            <w:pPr>
              <w:jc w:val="center"/>
              <w:rPr>
                <w:rFonts w:ascii="Book Antiqua" w:hAnsi="Book Antiqua" w:cs="Calibri"/>
                <w:b/>
                <w:bCs/>
                <w:color w:val="FFFFFF"/>
                <w:sz w:val="16"/>
                <w:szCs w:val="16"/>
                <w:lang w:eastAsia="es-CR"/>
              </w:rPr>
            </w:pPr>
            <w:r w:rsidRPr="003705DC">
              <w:rPr>
                <w:rFonts w:ascii="Book Antiqua" w:hAnsi="Book Antiqua" w:cs="Calibri"/>
                <w:b/>
                <w:bCs/>
                <w:color w:val="FFFFFF"/>
                <w:sz w:val="16"/>
                <w:szCs w:val="16"/>
                <w:lang w:eastAsia="es-CR"/>
              </w:rPr>
              <w:t>Ejecución</w:t>
            </w:r>
          </w:p>
        </w:tc>
        <w:tc>
          <w:tcPr>
            <w:tcW w:w="1085" w:type="dxa"/>
            <w:tcBorders>
              <w:top w:val="single" w:sz="4" w:space="0" w:color="auto"/>
              <w:left w:val="nil"/>
              <w:bottom w:val="single" w:sz="4" w:space="0" w:color="auto"/>
              <w:right w:val="single" w:sz="4" w:space="0" w:color="auto"/>
            </w:tcBorders>
            <w:shd w:val="clear" w:color="000000" w:fill="305496"/>
            <w:noWrap/>
            <w:vAlign w:val="center"/>
            <w:hideMark/>
          </w:tcPr>
          <w:p w14:paraId="3D73DCEA" w14:textId="77777777" w:rsidR="003705DC" w:rsidRPr="003705DC" w:rsidRDefault="003705DC" w:rsidP="003705DC">
            <w:pPr>
              <w:jc w:val="center"/>
              <w:rPr>
                <w:rFonts w:ascii="Book Antiqua" w:hAnsi="Book Antiqua" w:cs="Calibri"/>
                <w:b/>
                <w:bCs/>
                <w:color w:val="FFFFFF"/>
                <w:sz w:val="16"/>
                <w:szCs w:val="16"/>
                <w:lang w:eastAsia="es-CR"/>
              </w:rPr>
            </w:pPr>
            <w:r w:rsidRPr="003705DC">
              <w:rPr>
                <w:rFonts w:ascii="Book Antiqua" w:hAnsi="Book Antiqua" w:cs="Calibri"/>
                <w:b/>
                <w:bCs/>
                <w:color w:val="FFFFFF"/>
                <w:sz w:val="16"/>
                <w:szCs w:val="16"/>
                <w:lang w:eastAsia="es-CR"/>
              </w:rPr>
              <w:t>Apelación</w:t>
            </w:r>
          </w:p>
        </w:tc>
        <w:tc>
          <w:tcPr>
            <w:tcW w:w="971" w:type="dxa"/>
            <w:tcBorders>
              <w:top w:val="single" w:sz="4" w:space="0" w:color="auto"/>
              <w:left w:val="nil"/>
              <w:bottom w:val="single" w:sz="4" w:space="0" w:color="auto"/>
              <w:right w:val="single" w:sz="4" w:space="0" w:color="auto"/>
            </w:tcBorders>
            <w:shd w:val="clear" w:color="000000" w:fill="305496"/>
            <w:noWrap/>
            <w:vAlign w:val="center"/>
            <w:hideMark/>
          </w:tcPr>
          <w:p w14:paraId="20EEDC05" w14:textId="77777777" w:rsidR="003705DC" w:rsidRPr="003705DC" w:rsidRDefault="003705DC" w:rsidP="003705DC">
            <w:pPr>
              <w:jc w:val="center"/>
              <w:rPr>
                <w:rFonts w:ascii="Book Antiqua" w:hAnsi="Book Antiqua" w:cs="Calibri"/>
                <w:b/>
                <w:bCs/>
                <w:color w:val="FFFFFF"/>
                <w:sz w:val="16"/>
                <w:szCs w:val="16"/>
                <w:lang w:eastAsia="es-CR"/>
              </w:rPr>
            </w:pPr>
            <w:r w:rsidRPr="003705DC">
              <w:rPr>
                <w:rFonts w:ascii="Book Antiqua" w:hAnsi="Book Antiqua" w:cs="Calibri"/>
                <w:b/>
                <w:bCs/>
                <w:color w:val="FFFFFF"/>
                <w:sz w:val="16"/>
                <w:szCs w:val="16"/>
                <w:lang w:eastAsia="es-CR"/>
              </w:rPr>
              <w:t>Sala Tercera</w:t>
            </w:r>
          </w:p>
        </w:tc>
      </w:tr>
      <w:tr w:rsidR="003705DC" w:rsidRPr="003705DC" w14:paraId="55386243" w14:textId="77777777" w:rsidTr="003705DC">
        <w:trPr>
          <w:trHeight w:val="1121"/>
          <w:jc w:val="center"/>
        </w:trPr>
        <w:tc>
          <w:tcPr>
            <w:tcW w:w="971" w:type="dxa"/>
            <w:vMerge/>
            <w:tcBorders>
              <w:top w:val="single" w:sz="4" w:space="0" w:color="auto"/>
              <w:left w:val="single" w:sz="4" w:space="0" w:color="auto"/>
              <w:bottom w:val="single" w:sz="4" w:space="0" w:color="auto"/>
              <w:right w:val="single" w:sz="4" w:space="0" w:color="auto"/>
            </w:tcBorders>
            <w:vAlign w:val="center"/>
            <w:hideMark/>
          </w:tcPr>
          <w:p w14:paraId="47DAFCB5" w14:textId="77777777" w:rsidR="003705DC" w:rsidRPr="003705DC" w:rsidRDefault="003705DC" w:rsidP="003705DC">
            <w:pPr>
              <w:rPr>
                <w:rFonts w:ascii="Book Antiqua" w:hAnsi="Book Antiqua" w:cs="Calibri"/>
                <w:b/>
                <w:bCs/>
                <w:color w:val="FFFFFF"/>
                <w:sz w:val="16"/>
                <w:szCs w:val="16"/>
                <w:lang w:eastAsia="es-CR"/>
              </w:rPr>
            </w:pPr>
          </w:p>
        </w:tc>
        <w:tc>
          <w:tcPr>
            <w:tcW w:w="1409" w:type="dxa"/>
            <w:tcBorders>
              <w:top w:val="nil"/>
              <w:left w:val="nil"/>
              <w:bottom w:val="single" w:sz="4" w:space="0" w:color="auto"/>
              <w:right w:val="single" w:sz="4" w:space="0" w:color="auto"/>
            </w:tcBorders>
            <w:shd w:val="clear" w:color="000000" w:fill="305496"/>
            <w:vAlign w:val="center"/>
            <w:hideMark/>
          </w:tcPr>
          <w:p w14:paraId="371D93D5" w14:textId="77777777" w:rsidR="003705DC" w:rsidRPr="003705DC" w:rsidRDefault="003705DC" w:rsidP="003705DC">
            <w:pPr>
              <w:jc w:val="center"/>
              <w:rPr>
                <w:rFonts w:ascii="Book Antiqua" w:hAnsi="Book Antiqua" w:cs="Calibri"/>
                <w:b/>
                <w:bCs/>
                <w:color w:val="FFFFFF"/>
                <w:sz w:val="16"/>
                <w:szCs w:val="16"/>
                <w:lang w:eastAsia="es-CR"/>
              </w:rPr>
            </w:pPr>
            <w:r w:rsidRPr="003705DC">
              <w:rPr>
                <w:rFonts w:ascii="Book Antiqua" w:hAnsi="Book Antiqua" w:cs="Calibri"/>
                <w:b/>
                <w:bCs/>
                <w:color w:val="FFFFFF"/>
                <w:sz w:val="16"/>
                <w:szCs w:val="16"/>
                <w:lang w:eastAsia="es-CR"/>
              </w:rPr>
              <w:t>Desestimaciones, sobreseimientos y acusaciones</w:t>
            </w:r>
          </w:p>
        </w:tc>
        <w:tc>
          <w:tcPr>
            <w:tcW w:w="971" w:type="dxa"/>
            <w:tcBorders>
              <w:top w:val="nil"/>
              <w:left w:val="nil"/>
              <w:bottom w:val="single" w:sz="4" w:space="0" w:color="auto"/>
              <w:right w:val="single" w:sz="4" w:space="0" w:color="auto"/>
            </w:tcBorders>
            <w:shd w:val="clear" w:color="000000" w:fill="305496"/>
            <w:vAlign w:val="center"/>
            <w:hideMark/>
          </w:tcPr>
          <w:p w14:paraId="04BD1153" w14:textId="77777777" w:rsidR="003705DC" w:rsidRPr="003705DC" w:rsidRDefault="003705DC" w:rsidP="003705DC">
            <w:pPr>
              <w:jc w:val="center"/>
              <w:rPr>
                <w:rFonts w:ascii="Book Antiqua" w:hAnsi="Book Antiqua" w:cs="Calibri"/>
                <w:b/>
                <w:bCs/>
                <w:color w:val="FFFFFF"/>
                <w:sz w:val="16"/>
                <w:szCs w:val="16"/>
                <w:lang w:eastAsia="es-CR"/>
              </w:rPr>
            </w:pPr>
            <w:r w:rsidRPr="003705DC">
              <w:rPr>
                <w:rFonts w:ascii="Book Antiqua" w:hAnsi="Book Antiqua" w:cs="Calibri"/>
                <w:b/>
                <w:bCs/>
                <w:color w:val="FFFFFF"/>
                <w:sz w:val="16"/>
                <w:szCs w:val="16"/>
                <w:lang w:eastAsia="es-CR"/>
              </w:rPr>
              <w:t>Sentencias y medidas alternas</w:t>
            </w:r>
          </w:p>
        </w:tc>
        <w:tc>
          <w:tcPr>
            <w:tcW w:w="1862" w:type="dxa"/>
            <w:tcBorders>
              <w:top w:val="nil"/>
              <w:left w:val="nil"/>
              <w:bottom w:val="single" w:sz="4" w:space="0" w:color="auto"/>
              <w:right w:val="single" w:sz="4" w:space="0" w:color="auto"/>
            </w:tcBorders>
            <w:shd w:val="clear" w:color="000000" w:fill="305496"/>
            <w:vAlign w:val="center"/>
            <w:hideMark/>
          </w:tcPr>
          <w:p w14:paraId="644E4071" w14:textId="77777777" w:rsidR="003705DC" w:rsidRPr="003705DC" w:rsidRDefault="003705DC" w:rsidP="003705DC">
            <w:pPr>
              <w:jc w:val="center"/>
              <w:rPr>
                <w:rFonts w:ascii="Book Antiqua" w:hAnsi="Book Antiqua" w:cs="Calibri"/>
                <w:b/>
                <w:bCs/>
                <w:color w:val="FFFFFF"/>
                <w:sz w:val="16"/>
                <w:szCs w:val="16"/>
                <w:lang w:eastAsia="es-CR"/>
              </w:rPr>
            </w:pPr>
            <w:r w:rsidRPr="003705DC">
              <w:rPr>
                <w:rFonts w:ascii="Book Antiqua" w:hAnsi="Book Antiqua" w:cs="Calibri"/>
                <w:b/>
                <w:bCs/>
                <w:color w:val="FFFFFF"/>
                <w:sz w:val="16"/>
                <w:szCs w:val="16"/>
                <w:lang w:eastAsia="es-CR"/>
              </w:rPr>
              <w:t>Audiencias iniciales, sentencias y medidas alternas considerando colaboración al ordinario</w:t>
            </w:r>
          </w:p>
        </w:tc>
        <w:tc>
          <w:tcPr>
            <w:tcW w:w="971" w:type="dxa"/>
            <w:tcBorders>
              <w:top w:val="nil"/>
              <w:left w:val="nil"/>
              <w:bottom w:val="single" w:sz="4" w:space="0" w:color="auto"/>
              <w:right w:val="single" w:sz="4" w:space="0" w:color="auto"/>
            </w:tcBorders>
            <w:shd w:val="clear" w:color="000000" w:fill="305496"/>
            <w:vAlign w:val="center"/>
            <w:hideMark/>
          </w:tcPr>
          <w:p w14:paraId="290B1E19" w14:textId="77777777" w:rsidR="003705DC" w:rsidRPr="003705DC" w:rsidRDefault="003705DC" w:rsidP="003705DC">
            <w:pPr>
              <w:jc w:val="center"/>
              <w:rPr>
                <w:rFonts w:ascii="Book Antiqua" w:hAnsi="Book Antiqua" w:cs="Calibri"/>
                <w:b/>
                <w:bCs/>
                <w:color w:val="FFFFFF"/>
                <w:sz w:val="16"/>
                <w:szCs w:val="16"/>
                <w:lang w:eastAsia="es-CR"/>
              </w:rPr>
            </w:pPr>
            <w:r w:rsidRPr="003705DC">
              <w:rPr>
                <w:rFonts w:ascii="Book Antiqua" w:hAnsi="Book Antiqua" w:cs="Calibri"/>
                <w:b/>
                <w:bCs/>
                <w:color w:val="FFFFFF"/>
                <w:sz w:val="16"/>
                <w:szCs w:val="16"/>
                <w:lang w:eastAsia="es-CR"/>
              </w:rPr>
              <w:t>Incidentes terminados</w:t>
            </w:r>
          </w:p>
        </w:tc>
        <w:tc>
          <w:tcPr>
            <w:tcW w:w="1085" w:type="dxa"/>
            <w:tcBorders>
              <w:top w:val="nil"/>
              <w:left w:val="nil"/>
              <w:bottom w:val="single" w:sz="4" w:space="0" w:color="auto"/>
              <w:right w:val="single" w:sz="4" w:space="0" w:color="auto"/>
            </w:tcBorders>
            <w:shd w:val="clear" w:color="000000" w:fill="305496"/>
            <w:vAlign w:val="center"/>
            <w:hideMark/>
          </w:tcPr>
          <w:p w14:paraId="2A8E5FE7" w14:textId="77777777" w:rsidR="003705DC" w:rsidRPr="003705DC" w:rsidRDefault="003705DC" w:rsidP="003705DC">
            <w:pPr>
              <w:jc w:val="center"/>
              <w:rPr>
                <w:rFonts w:ascii="Book Antiqua" w:hAnsi="Book Antiqua" w:cs="Calibri"/>
                <w:b/>
                <w:bCs/>
                <w:color w:val="FFFFFF"/>
                <w:sz w:val="16"/>
                <w:szCs w:val="16"/>
                <w:lang w:eastAsia="es-CR"/>
              </w:rPr>
            </w:pPr>
            <w:r w:rsidRPr="003705DC">
              <w:rPr>
                <w:rFonts w:ascii="Book Antiqua" w:hAnsi="Book Antiqua" w:cs="Calibri"/>
                <w:b/>
                <w:bCs/>
                <w:color w:val="FFFFFF"/>
                <w:sz w:val="16"/>
                <w:szCs w:val="16"/>
                <w:lang w:eastAsia="es-CR"/>
              </w:rPr>
              <w:t>Firma de expedientes</w:t>
            </w:r>
          </w:p>
        </w:tc>
        <w:tc>
          <w:tcPr>
            <w:tcW w:w="1085" w:type="dxa"/>
            <w:tcBorders>
              <w:top w:val="nil"/>
              <w:left w:val="nil"/>
              <w:bottom w:val="single" w:sz="4" w:space="0" w:color="auto"/>
              <w:right w:val="single" w:sz="4" w:space="0" w:color="auto"/>
            </w:tcBorders>
            <w:shd w:val="clear" w:color="000000" w:fill="305496"/>
            <w:vAlign w:val="center"/>
            <w:hideMark/>
          </w:tcPr>
          <w:p w14:paraId="3301EAF3" w14:textId="77777777" w:rsidR="003705DC" w:rsidRPr="003705DC" w:rsidRDefault="003705DC" w:rsidP="003705DC">
            <w:pPr>
              <w:jc w:val="center"/>
              <w:rPr>
                <w:rFonts w:ascii="Book Antiqua" w:hAnsi="Book Antiqua" w:cs="Calibri"/>
                <w:b/>
                <w:bCs/>
                <w:color w:val="FFFFFF"/>
                <w:sz w:val="16"/>
                <w:szCs w:val="16"/>
                <w:lang w:eastAsia="es-CR"/>
              </w:rPr>
            </w:pPr>
            <w:r w:rsidRPr="003705DC">
              <w:rPr>
                <w:rFonts w:ascii="Book Antiqua" w:hAnsi="Book Antiqua" w:cs="Calibri"/>
                <w:b/>
                <w:bCs/>
                <w:color w:val="FFFFFF"/>
                <w:sz w:val="16"/>
                <w:szCs w:val="16"/>
                <w:lang w:eastAsia="es-CR"/>
              </w:rPr>
              <w:t>Proyecto terminado, circulado y votado</w:t>
            </w:r>
          </w:p>
        </w:tc>
        <w:tc>
          <w:tcPr>
            <w:tcW w:w="971" w:type="dxa"/>
            <w:tcBorders>
              <w:top w:val="nil"/>
              <w:left w:val="nil"/>
              <w:bottom w:val="single" w:sz="4" w:space="0" w:color="auto"/>
              <w:right w:val="single" w:sz="4" w:space="0" w:color="auto"/>
            </w:tcBorders>
            <w:shd w:val="clear" w:color="000000" w:fill="305496"/>
            <w:vAlign w:val="center"/>
            <w:hideMark/>
          </w:tcPr>
          <w:p w14:paraId="6B9F316F" w14:textId="77777777" w:rsidR="003705DC" w:rsidRPr="003705DC" w:rsidRDefault="003705DC" w:rsidP="003705DC">
            <w:pPr>
              <w:jc w:val="center"/>
              <w:rPr>
                <w:rFonts w:ascii="Book Antiqua" w:hAnsi="Book Antiqua" w:cs="Calibri"/>
                <w:b/>
                <w:bCs/>
                <w:color w:val="FFFFFF"/>
                <w:sz w:val="16"/>
                <w:szCs w:val="16"/>
                <w:lang w:eastAsia="es-CR"/>
              </w:rPr>
            </w:pPr>
            <w:r w:rsidRPr="003705DC">
              <w:rPr>
                <w:rFonts w:ascii="Book Antiqua" w:hAnsi="Book Antiqua" w:cs="Calibri"/>
                <w:b/>
                <w:bCs/>
                <w:color w:val="FFFFFF"/>
                <w:sz w:val="16"/>
                <w:szCs w:val="16"/>
                <w:lang w:eastAsia="es-CR"/>
              </w:rPr>
              <w:t>Proyectos</w:t>
            </w:r>
          </w:p>
        </w:tc>
      </w:tr>
      <w:tr w:rsidR="003705DC" w:rsidRPr="003705DC" w14:paraId="351E8C17" w14:textId="77777777" w:rsidTr="003705DC">
        <w:trPr>
          <w:trHeight w:val="250"/>
          <w:jc w:val="center"/>
        </w:trPr>
        <w:tc>
          <w:tcPr>
            <w:tcW w:w="971" w:type="dxa"/>
            <w:tcBorders>
              <w:top w:val="nil"/>
              <w:left w:val="single" w:sz="4" w:space="0" w:color="auto"/>
              <w:bottom w:val="single" w:sz="4" w:space="0" w:color="auto"/>
              <w:right w:val="single" w:sz="4" w:space="0" w:color="auto"/>
            </w:tcBorders>
            <w:shd w:val="clear" w:color="000000" w:fill="FFFFFF"/>
            <w:noWrap/>
            <w:vAlign w:val="center"/>
            <w:hideMark/>
          </w:tcPr>
          <w:p w14:paraId="6F1E96C1" w14:textId="77777777" w:rsidR="003705DC" w:rsidRPr="003705DC" w:rsidRDefault="003705DC" w:rsidP="003705DC">
            <w:pPr>
              <w:jc w:val="center"/>
              <w:rPr>
                <w:rFonts w:ascii="Book Antiqua" w:hAnsi="Book Antiqua" w:cs="Calibri"/>
                <w:color w:val="000000"/>
                <w:sz w:val="16"/>
                <w:szCs w:val="16"/>
                <w:lang w:eastAsia="es-CR"/>
              </w:rPr>
            </w:pPr>
            <w:r w:rsidRPr="003705DC">
              <w:rPr>
                <w:rFonts w:ascii="Book Antiqua" w:hAnsi="Book Antiqua" w:cs="Calibri"/>
                <w:color w:val="000000"/>
                <w:sz w:val="16"/>
                <w:szCs w:val="16"/>
                <w:lang w:eastAsia="es-CR"/>
              </w:rPr>
              <w:t>Mayo</w:t>
            </w:r>
          </w:p>
        </w:tc>
        <w:tc>
          <w:tcPr>
            <w:tcW w:w="1409" w:type="dxa"/>
            <w:tcBorders>
              <w:top w:val="nil"/>
              <w:left w:val="nil"/>
              <w:bottom w:val="single" w:sz="4" w:space="0" w:color="auto"/>
              <w:right w:val="single" w:sz="4" w:space="0" w:color="auto"/>
            </w:tcBorders>
            <w:shd w:val="clear" w:color="auto" w:fill="auto"/>
            <w:noWrap/>
            <w:vAlign w:val="center"/>
            <w:hideMark/>
          </w:tcPr>
          <w:p w14:paraId="038A51F8" w14:textId="77777777" w:rsidR="003705DC" w:rsidRPr="003705DC" w:rsidRDefault="003705DC" w:rsidP="003705DC">
            <w:pPr>
              <w:jc w:val="center"/>
              <w:rPr>
                <w:rFonts w:ascii="Book Antiqua" w:hAnsi="Book Antiqua" w:cs="Calibri"/>
                <w:color w:val="000000"/>
                <w:sz w:val="16"/>
                <w:szCs w:val="16"/>
                <w:lang w:eastAsia="es-CR"/>
              </w:rPr>
            </w:pPr>
            <w:r w:rsidRPr="003705DC">
              <w:rPr>
                <w:rFonts w:ascii="Book Antiqua" w:hAnsi="Book Antiqua" w:cs="Calibri"/>
                <w:color w:val="000000"/>
                <w:sz w:val="16"/>
                <w:szCs w:val="16"/>
                <w:lang w:eastAsia="es-CR"/>
              </w:rPr>
              <w:t>100%</w:t>
            </w:r>
          </w:p>
        </w:tc>
        <w:tc>
          <w:tcPr>
            <w:tcW w:w="971" w:type="dxa"/>
            <w:tcBorders>
              <w:top w:val="nil"/>
              <w:left w:val="nil"/>
              <w:bottom w:val="single" w:sz="4" w:space="0" w:color="auto"/>
              <w:right w:val="single" w:sz="4" w:space="0" w:color="auto"/>
            </w:tcBorders>
            <w:shd w:val="clear" w:color="auto" w:fill="auto"/>
            <w:noWrap/>
            <w:vAlign w:val="center"/>
            <w:hideMark/>
          </w:tcPr>
          <w:p w14:paraId="6C774147" w14:textId="77777777" w:rsidR="003705DC" w:rsidRPr="003705DC" w:rsidRDefault="003705DC" w:rsidP="003705DC">
            <w:pPr>
              <w:jc w:val="center"/>
              <w:rPr>
                <w:rFonts w:ascii="Book Antiqua" w:hAnsi="Book Antiqua" w:cs="Calibri"/>
                <w:color w:val="000000"/>
                <w:sz w:val="16"/>
                <w:szCs w:val="16"/>
                <w:lang w:eastAsia="es-CR"/>
              </w:rPr>
            </w:pPr>
            <w:r w:rsidRPr="003705DC">
              <w:rPr>
                <w:rFonts w:ascii="Book Antiqua" w:hAnsi="Book Antiqua" w:cs="Calibri"/>
                <w:color w:val="000000"/>
                <w:sz w:val="16"/>
                <w:szCs w:val="16"/>
                <w:lang w:eastAsia="es-CR"/>
              </w:rPr>
              <w:t>88%</w:t>
            </w:r>
          </w:p>
        </w:tc>
        <w:tc>
          <w:tcPr>
            <w:tcW w:w="1862" w:type="dxa"/>
            <w:tcBorders>
              <w:top w:val="nil"/>
              <w:left w:val="nil"/>
              <w:bottom w:val="single" w:sz="4" w:space="0" w:color="auto"/>
              <w:right w:val="single" w:sz="4" w:space="0" w:color="auto"/>
            </w:tcBorders>
            <w:shd w:val="clear" w:color="auto" w:fill="auto"/>
            <w:noWrap/>
            <w:vAlign w:val="center"/>
            <w:hideMark/>
          </w:tcPr>
          <w:p w14:paraId="361024C0" w14:textId="77777777" w:rsidR="003705DC" w:rsidRPr="003705DC" w:rsidRDefault="003705DC" w:rsidP="003705DC">
            <w:pPr>
              <w:jc w:val="center"/>
              <w:rPr>
                <w:rFonts w:ascii="Book Antiqua" w:hAnsi="Book Antiqua" w:cs="Calibri"/>
                <w:color w:val="000000"/>
                <w:sz w:val="16"/>
                <w:szCs w:val="16"/>
                <w:lang w:eastAsia="es-CR"/>
              </w:rPr>
            </w:pPr>
            <w:r w:rsidRPr="003705DC">
              <w:rPr>
                <w:rFonts w:ascii="Book Antiqua" w:hAnsi="Book Antiqua" w:cs="Calibri"/>
                <w:color w:val="000000"/>
                <w:sz w:val="16"/>
                <w:szCs w:val="16"/>
                <w:lang w:eastAsia="es-CR"/>
              </w:rPr>
              <w:t>86%</w:t>
            </w:r>
          </w:p>
        </w:tc>
        <w:tc>
          <w:tcPr>
            <w:tcW w:w="971" w:type="dxa"/>
            <w:tcBorders>
              <w:top w:val="nil"/>
              <w:left w:val="nil"/>
              <w:bottom w:val="single" w:sz="4" w:space="0" w:color="auto"/>
              <w:right w:val="single" w:sz="4" w:space="0" w:color="auto"/>
            </w:tcBorders>
            <w:shd w:val="clear" w:color="auto" w:fill="auto"/>
            <w:noWrap/>
            <w:vAlign w:val="center"/>
            <w:hideMark/>
          </w:tcPr>
          <w:p w14:paraId="245E9937" w14:textId="77777777" w:rsidR="003705DC" w:rsidRPr="003705DC" w:rsidRDefault="003705DC" w:rsidP="003705DC">
            <w:pPr>
              <w:jc w:val="center"/>
              <w:rPr>
                <w:rFonts w:ascii="Book Antiqua" w:hAnsi="Book Antiqua" w:cs="Calibri"/>
                <w:color w:val="000000"/>
                <w:sz w:val="16"/>
                <w:szCs w:val="16"/>
                <w:lang w:eastAsia="es-CR"/>
              </w:rPr>
            </w:pPr>
            <w:r w:rsidRPr="003705DC">
              <w:rPr>
                <w:rFonts w:ascii="Book Antiqua" w:hAnsi="Book Antiqua" w:cs="Calibri"/>
                <w:color w:val="000000"/>
                <w:sz w:val="16"/>
                <w:szCs w:val="16"/>
                <w:lang w:eastAsia="es-CR"/>
              </w:rPr>
              <w:t>93%</w:t>
            </w:r>
          </w:p>
        </w:tc>
        <w:tc>
          <w:tcPr>
            <w:tcW w:w="1085" w:type="dxa"/>
            <w:tcBorders>
              <w:top w:val="nil"/>
              <w:left w:val="nil"/>
              <w:bottom w:val="single" w:sz="4" w:space="0" w:color="auto"/>
              <w:right w:val="single" w:sz="4" w:space="0" w:color="auto"/>
            </w:tcBorders>
            <w:shd w:val="clear" w:color="auto" w:fill="auto"/>
            <w:noWrap/>
            <w:vAlign w:val="center"/>
            <w:hideMark/>
          </w:tcPr>
          <w:p w14:paraId="5C28A70C" w14:textId="77777777" w:rsidR="003705DC" w:rsidRPr="003705DC" w:rsidRDefault="003705DC" w:rsidP="003705DC">
            <w:pPr>
              <w:jc w:val="center"/>
              <w:rPr>
                <w:rFonts w:ascii="Book Antiqua" w:hAnsi="Book Antiqua" w:cs="Calibri"/>
                <w:color w:val="000000"/>
                <w:sz w:val="16"/>
                <w:szCs w:val="16"/>
                <w:lang w:eastAsia="es-CR"/>
              </w:rPr>
            </w:pPr>
            <w:r w:rsidRPr="003705DC">
              <w:rPr>
                <w:rFonts w:ascii="Book Antiqua" w:hAnsi="Book Antiqua" w:cs="Calibri"/>
                <w:color w:val="000000"/>
                <w:sz w:val="16"/>
                <w:szCs w:val="16"/>
                <w:lang w:eastAsia="es-CR"/>
              </w:rPr>
              <w:t>157%</w:t>
            </w:r>
          </w:p>
        </w:tc>
        <w:tc>
          <w:tcPr>
            <w:tcW w:w="1085" w:type="dxa"/>
            <w:tcBorders>
              <w:top w:val="nil"/>
              <w:left w:val="nil"/>
              <w:bottom w:val="single" w:sz="4" w:space="0" w:color="auto"/>
              <w:right w:val="single" w:sz="4" w:space="0" w:color="auto"/>
            </w:tcBorders>
            <w:shd w:val="clear" w:color="auto" w:fill="auto"/>
            <w:noWrap/>
            <w:vAlign w:val="center"/>
            <w:hideMark/>
          </w:tcPr>
          <w:p w14:paraId="1E9D6FEC" w14:textId="77777777" w:rsidR="003705DC" w:rsidRPr="003705DC" w:rsidRDefault="003705DC" w:rsidP="003705DC">
            <w:pPr>
              <w:jc w:val="center"/>
              <w:rPr>
                <w:rFonts w:ascii="Book Antiqua" w:hAnsi="Book Antiqua" w:cs="Calibri"/>
                <w:color w:val="000000"/>
                <w:sz w:val="16"/>
                <w:szCs w:val="16"/>
                <w:lang w:eastAsia="es-CR"/>
              </w:rPr>
            </w:pPr>
            <w:r w:rsidRPr="003705DC">
              <w:rPr>
                <w:rFonts w:ascii="Book Antiqua" w:hAnsi="Book Antiqua" w:cs="Calibri"/>
                <w:color w:val="000000"/>
                <w:sz w:val="16"/>
                <w:szCs w:val="16"/>
                <w:lang w:eastAsia="es-CR"/>
              </w:rPr>
              <w:t>95%</w:t>
            </w:r>
          </w:p>
        </w:tc>
        <w:tc>
          <w:tcPr>
            <w:tcW w:w="971" w:type="dxa"/>
            <w:tcBorders>
              <w:top w:val="nil"/>
              <w:left w:val="nil"/>
              <w:bottom w:val="single" w:sz="4" w:space="0" w:color="auto"/>
              <w:right w:val="single" w:sz="4" w:space="0" w:color="auto"/>
            </w:tcBorders>
            <w:shd w:val="clear" w:color="auto" w:fill="auto"/>
            <w:noWrap/>
            <w:vAlign w:val="center"/>
            <w:hideMark/>
          </w:tcPr>
          <w:p w14:paraId="18DB6E2E" w14:textId="77777777" w:rsidR="003705DC" w:rsidRPr="003705DC" w:rsidRDefault="003705DC" w:rsidP="003705DC">
            <w:pPr>
              <w:jc w:val="center"/>
              <w:rPr>
                <w:rFonts w:ascii="Book Antiqua" w:hAnsi="Book Antiqua" w:cs="Calibri"/>
                <w:color w:val="000000"/>
                <w:sz w:val="16"/>
                <w:szCs w:val="16"/>
                <w:lang w:eastAsia="es-CR"/>
              </w:rPr>
            </w:pPr>
            <w:r w:rsidRPr="003705DC">
              <w:rPr>
                <w:rFonts w:ascii="Book Antiqua" w:hAnsi="Book Antiqua" w:cs="Calibri"/>
                <w:color w:val="000000"/>
                <w:sz w:val="16"/>
                <w:szCs w:val="16"/>
                <w:lang w:eastAsia="es-CR"/>
              </w:rPr>
              <w:t>95%</w:t>
            </w:r>
          </w:p>
        </w:tc>
      </w:tr>
      <w:tr w:rsidR="003705DC" w:rsidRPr="003705DC" w14:paraId="44DCF529" w14:textId="77777777" w:rsidTr="003705DC">
        <w:trPr>
          <w:trHeight w:val="250"/>
          <w:jc w:val="center"/>
        </w:trPr>
        <w:tc>
          <w:tcPr>
            <w:tcW w:w="971" w:type="dxa"/>
            <w:tcBorders>
              <w:top w:val="nil"/>
              <w:left w:val="single" w:sz="4" w:space="0" w:color="auto"/>
              <w:bottom w:val="single" w:sz="4" w:space="0" w:color="auto"/>
              <w:right w:val="single" w:sz="4" w:space="0" w:color="auto"/>
            </w:tcBorders>
            <w:shd w:val="clear" w:color="000000" w:fill="FFFFFF"/>
            <w:noWrap/>
            <w:vAlign w:val="center"/>
            <w:hideMark/>
          </w:tcPr>
          <w:p w14:paraId="6FF11CBA" w14:textId="77777777" w:rsidR="003705DC" w:rsidRPr="003705DC" w:rsidRDefault="003705DC" w:rsidP="003705DC">
            <w:pPr>
              <w:jc w:val="center"/>
              <w:rPr>
                <w:rFonts w:ascii="Book Antiqua" w:hAnsi="Book Antiqua" w:cs="Calibri"/>
                <w:color w:val="000000"/>
                <w:sz w:val="16"/>
                <w:szCs w:val="16"/>
                <w:lang w:eastAsia="es-CR"/>
              </w:rPr>
            </w:pPr>
            <w:r w:rsidRPr="003705DC">
              <w:rPr>
                <w:rFonts w:ascii="Book Antiqua" w:hAnsi="Book Antiqua" w:cs="Calibri"/>
                <w:color w:val="000000"/>
                <w:sz w:val="16"/>
                <w:szCs w:val="16"/>
                <w:lang w:eastAsia="es-CR"/>
              </w:rPr>
              <w:t>Junio</w:t>
            </w:r>
          </w:p>
        </w:tc>
        <w:tc>
          <w:tcPr>
            <w:tcW w:w="1409" w:type="dxa"/>
            <w:tcBorders>
              <w:top w:val="nil"/>
              <w:left w:val="nil"/>
              <w:bottom w:val="single" w:sz="4" w:space="0" w:color="auto"/>
              <w:right w:val="single" w:sz="4" w:space="0" w:color="auto"/>
            </w:tcBorders>
            <w:shd w:val="clear" w:color="auto" w:fill="auto"/>
            <w:noWrap/>
            <w:vAlign w:val="center"/>
            <w:hideMark/>
          </w:tcPr>
          <w:p w14:paraId="0FE80BA0" w14:textId="77777777" w:rsidR="003705DC" w:rsidRPr="003705DC" w:rsidRDefault="003705DC" w:rsidP="003705DC">
            <w:pPr>
              <w:jc w:val="center"/>
              <w:rPr>
                <w:rFonts w:ascii="Book Antiqua" w:hAnsi="Book Antiqua" w:cs="Calibri"/>
                <w:color w:val="000000"/>
                <w:sz w:val="16"/>
                <w:szCs w:val="16"/>
                <w:lang w:eastAsia="es-CR"/>
              </w:rPr>
            </w:pPr>
            <w:r w:rsidRPr="003705DC">
              <w:rPr>
                <w:rFonts w:ascii="Book Antiqua" w:hAnsi="Book Antiqua" w:cs="Calibri"/>
                <w:color w:val="000000"/>
                <w:sz w:val="16"/>
                <w:szCs w:val="16"/>
                <w:lang w:eastAsia="es-CR"/>
              </w:rPr>
              <w:t>104%</w:t>
            </w:r>
          </w:p>
        </w:tc>
        <w:tc>
          <w:tcPr>
            <w:tcW w:w="971" w:type="dxa"/>
            <w:tcBorders>
              <w:top w:val="nil"/>
              <w:left w:val="nil"/>
              <w:bottom w:val="single" w:sz="4" w:space="0" w:color="auto"/>
              <w:right w:val="single" w:sz="4" w:space="0" w:color="auto"/>
            </w:tcBorders>
            <w:shd w:val="clear" w:color="auto" w:fill="auto"/>
            <w:noWrap/>
            <w:vAlign w:val="center"/>
            <w:hideMark/>
          </w:tcPr>
          <w:p w14:paraId="5412BCEF" w14:textId="77777777" w:rsidR="003705DC" w:rsidRPr="003705DC" w:rsidRDefault="003705DC" w:rsidP="003705DC">
            <w:pPr>
              <w:jc w:val="center"/>
              <w:rPr>
                <w:rFonts w:ascii="Book Antiqua" w:hAnsi="Book Antiqua" w:cs="Calibri"/>
                <w:color w:val="000000"/>
                <w:sz w:val="16"/>
                <w:szCs w:val="16"/>
                <w:lang w:eastAsia="es-CR"/>
              </w:rPr>
            </w:pPr>
            <w:r w:rsidRPr="003705DC">
              <w:rPr>
                <w:rFonts w:ascii="Book Antiqua" w:hAnsi="Book Antiqua" w:cs="Calibri"/>
                <w:color w:val="000000"/>
                <w:sz w:val="16"/>
                <w:szCs w:val="16"/>
                <w:lang w:eastAsia="es-CR"/>
              </w:rPr>
              <w:t>96%</w:t>
            </w:r>
          </w:p>
        </w:tc>
        <w:tc>
          <w:tcPr>
            <w:tcW w:w="1862" w:type="dxa"/>
            <w:tcBorders>
              <w:top w:val="nil"/>
              <w:left w:val="nil"/>
              <w:bottom w:val="single" w:sz="4" w:space="0" w:color="auto"/>
              <w:right w:val="single" w:sz="4" w:space="0" w:color="auto"/>
            </w:tcBorders>
            <w:shd w:val="clear" w:color="auto" w:fill="auto"/>
            <w:noWrap/>
            <w:vAlign w:val="center"/>
            <w:hideMark/>
          </w:tcPr>
          <w:p w14:paraId="6DE7056C" w14:textId="77777777" w:rsidR="003705DC" w:rsidRPr="003705DC" w:rsidRDefault="003705DC" w:rsidP="003705DC">
            <w:pPr>
              <w:jc w:val="center"/>
              <w:rPr>
                <w:rFonts w:ascii="Book Antiqua" w:hAnsi="Book Antiqua" w:cs="Calibri"/>
                <w:color w:val="000000"/>
                <w:sz w:val="16"/>
                <w:szCs w:val="16"/>
                <w:lang w:eastAsia="es-CR"/>
              </w:rPr>
            </w:pPr>
            <w:r w:rsidRPr="003705DC">
              <w:rPr>
                <w:rFonts w:ascii="Book Antiqua" w:hAnsi="Book Antiqua" w:cs="Calibri"/>
                <w:color w:val="000000"/>
                <w:sz w:val="16"/>
                <w:szCs w:val="16"/>
                <w:lang w:eastAsia="es-CR"/>
              </w:rPr>
              <w:t>86%</w:t>
            </w:r>
          </w:p>
        </w:tc>
        <w:tc>
          <w:tcPr>
            <w:tcW w:w="971" w:type="dxa"/>
            <w:tcBorders>
              <w:top w:val="nil"/>
              <w:left w:val="nil"/>
              <w:bottom w:val="single" w:sz="4" w:space="0" w:color="auto"/>
              <w:right w:val="single" w:sz="4" w:space="0" w:color="auto"/>
            </w:tcBorders>
            <w:shd w:val="clear" w:color="auto" w:fill="auto"/>
            <w:noWrap/>
            <w:vAlign w:val="center"/>
            <w:hideMark/>
          </w:tcPr>
          <w:p w14:paraId="52C7EFF4" w14:textId="77777777" w:rsidR="003705DC" w:rsidRPr="003705DC" w:rsidRDefault="003705DC" w:rsidP="003705DC">
            <w:pPr>
              <w:jc w:val="center"/>
              <w:rPr>
                <w:rFonts w:ascii="Book Antiqua" w:hAnsi="Book Antiqua" w:cs="Calibri"/>
                <w:color w:val="000000"/>
                <w:sz w:val="16"/>
                <w:szCs w:val="16"/>
                <w:lang w:eastAsia="es-CR"/>
              </w:rPr>
            </w:pPr>
            <w:r w:rsidRPr="003705DC">
              <w:rPr>
                <w:rFonts w:ascii="Book Antiqua" w:hAnsi="Book Antiqua" w:cs="Calibri"/>
                <w:color w:val="000000"/>
                <w:sz w:val="16"/>
                <w:szCs w:val="16"/>
                <w:lang w:eastAsia="es-CR"/>
              </w:rPr>
              <w:t>96%</w:t>
            </w:r>
          </w:p>
        </w:tc>
        <w:tc>
          <w:tcPr>
            <w:tcW w:w="1085" w:type="dxa"/>
            <w:tcBorders>
              <w:top w:val="nil"/>
              <w:left w:val="nil"/>
              <w:bottom w:val="single" w:sz="4" w:space="0" w:color="auto"/>
              <w:right w:val="single" w:sz="4" w:space="0" w:color="auto"/>
            </w:tcBorders>
            <w:shd w:val="clear" w:color="auto" w:fill="auto"/>
            <w:noWrap/>
            <w:vAlign w:val="center"/>
            <w:hideMark/>
          </w:tcPr>
          <w:p w14:paraId="5B4D36E2" w14:textId="77777777" w:rsidR="003705DC" w:rsidRPr="003705DC" w:rsidRDefault="003705DC" w:rsidP="003705DC">
            <w:pPr>
              <w:jc w:val="center"/>
              <w:rPr>
                <w:rFonts w:ascii="Book Antiqua" w:hAnsi="Book Antiqua" w:cs="Calibri"/>
                <w:color w:val="000000"/>
                <w:sz w:val="16"/>
                <w:szCs w:val="16"/>
                <w:lang w:eastAsia="es-CR"/>
              </w:rPr>
            </w:pPr>
            <w:r w:rsidRPr="003705DC">
              <w:rPr>
                <w:rFonts w:ascii="Book Antiqua" w:hAnsi="Book Antiqua" w:cs="Calibri"/>
                <w:color w:val="000000"/>
                <w:sz w:val="16"/>
                <w:szCs w:val="16"/>
                <w:lang w:eastAsia="es-CR"/>
              </w:rPr>
              <w:t>187%</w:t>
            </w:r>
          </w:p>
        </w:tc>
        <w:tc>
          <w:tcPr>
            <w:tcW w:w="1085" w:type="dxa"/>
            <w:tcBorders>
              <w:top w:val="nil"/>
              <w:left w:val="nil"/>
              <w:bottom w:val="single" w:sz="4" w:space="0" w:color="auto"/>
              <w:right w:val="single" w:sz="4" w:space="0" w:color="auto"/>
            </w:tcBorders>
            <w:shd w:val="clear" w:color="auto" w:fill="auto"/>
            <w:noWrap/>
            <w:vAlign w:val="center"/>
            <w:hideMark/>
          </w:tcPr>
          <w:p w14:paraId="3C3F74BD" w14:textId="77777777" w:rsidR="003705DC" w:rsidRPr="003705DC" w:rsidRDefault="003705DC" w:rsidP="003705DC">
            <w:pPr>
              <w:jc w:val="center"/>
              <w:rPr>
                <w:rFonts w:ascii="Book Antiqua" w:hAnsi="Book Antiqua" w:cs="Calibri"/>
                <w:color w:val="000000"/>
                <w:sz w:val="16"/>
                <w:szCs w:val="16"/>
                <w:lang w:eastAsia="es-CR"/>
              </w:rPr>
            </w:pPr>
            <w:r w:rsidRPr="003705DC">
              <w:rPr>
                <w:rFonts w:ascii="Book Antiqua" w:hAnsi="Book Antiqua" w:cs="Calibri"/>
                <w:color w:val="000000"/>
                <w:sz w:val="16"/>
                <w:szCs w:val="16"/>
                <w:lang w:eastAsia="es-CR"/>
              </w:rPr>
              <w:t>93%</w:t>
            </w:r>
          </w:p>
        </w:tc>
        <w:tc>
          <w:tcPr>
            <w:tcW w:w="971" w:type="dxa"/>
            <w:tcBorders>
              <w:top w:val="nil"/>
              <w:left w:val="nil"/>
              <w:bottom w:val="single" w:sz="4" w:space="0" w:color="auto"/>
              <w:right w:val="single" w:sz="4" w:space="0" w:color="auto"/>
            </w:tcBorders>
            <w:shd w:val="clear" w:color="auto" w:fill="auto"/>
            <w:noWrap/>
            <w:vAlign w:val="center"/>
            <w:hideMark/>
          </w:tcPr>
          <w:p w14:paraId="696E3B11" w14:textId="77777777" w:rsidR="003705DC" w:rsidRPr="003705DC" w:rsidRDefault="003705DC" w:rsidP="003705DC">
            <w:pPr>
              <w:jc w:val="center"/>
              <w:rPr>
                <w:rFonts w:ascii="Book Antiqua" w:hAnsi="Book Antiqua" w:cs="Calibri"/>
                <w:color w:val="000000"/>
                <w:sz w:val="16"/>
                <w:szCs w:val="16"/>
                <w:lang w:eastAsia="es-CR"/>
              </w:rPr>
            </w:pPr>
            <w:r w:rsidRPr="003705DC">
              <w:rPr>
                <w:rFonts w:ascii="Book Antiqua" w:hAnsi="Book Antiqua" w:cs="Calibri"/>
                <w:color w:val="000000"/>
                <w:sz w:val="16"/>
                <w:szCs w:val="16"/>
                <w:lang w:eastAsia="es-CR"/>
              </w:rPr>
              <w:t>92%</w:t>
            </w:r>
          </w:p>
        </w:tc>
      </w:tr>
      <w:tr w:rsidR="003705DC" w:rsidRPr="003705DC" w14:paraId="555C6E92" w14:textId="77777777" w:rsidTr="003705DC">
        <w:trPr>
          <w:trHeight w:val="250"/>
          <w:jc w:val="center"/>
        </w:trPr>
        <w:tc>
          <w:tcPr>
            <w:tcW w:w="971" w:type="dxa"/>
            <w:tcBorders>
              <w:top w:val="nil"/>
              <w:left w:val="single" w:sz="4" w:space="0" w:color="auto"/>
              <w:bottom w:val="single" w:sz="4" w:space="0" w:color="auto"/>
              <w:right w:val="single" w:sz="4" w:space="0" w:color="auto"/>
            </w:tcBorders>
            <w:shd w:val="clear" w:color="000000" w:fill="FFFFFF"/>
            <w:noWrap/>
            <w:vAlign w:val="center"/>
            <w:hideMark/>
          </w:tcPr>
          <w:p w14:paraId="6BB5F4A4" w14:textId="77777777" w:rsidR="003705DC" w:rsidRPr="003705DC" w:rsidRDefault="003705DC" w:rsidP="003705DC">
            <w:pPr>
              <w:jc w:val="center"/>
              <w:rPr>
                <w:rFonts w:ascii="Book Antiqua" w:hAnsi="Book Antiqua" w:cs="Calibri"/>
                <w:b/>
                <w:bCs/>
                <w:color w:val="000000"/>
                <w:sz w:val="16"/>
                <w:szCs w:val="16"/>
                <w:lang w:eastAsia="es-CR"/>
              </w:rPr>
            </w:pPr>
            <w:r w:rsidRPr="003705DC">
              <w:rPr>
                <w:rFonts w:ascii="Book Antiqua" w:hAnsi="Book Antiqua" w:cs="Calibri"/>
                <w:b/>
                <w:bCs/>
                <w:color w:val="000000"/>
                <w:sz w:val="16"/>
                <w:szCs w:val="16"/>
                <w:lang w:eastAsia="es-CR"/>
              </w:rPr>
              <w:t>Promedio</w:t>
            </w:r>
          </w:p>
        </w:tc>
        <w:tc>
          <w:tcPr>
            <w:tcW w:w="1409" w:type="dxa"/>
            <w:tcBorders>
              <w:top w:val="nil"/>
              <w:left w:val="nil"/>
              <w:bottom w:val="single" w:sz="4" w:space="0" w:color="auto"/>
              <w:right w:val="single" w:sz="4" w:space="0" w:color="auto"/>
            </w:tcBorders>
            <w:shd w:val="clear" w:color="000000" w:fill="FFFFFF"/>
            <w:noWrap/>
            <w:vAlign w:val="center"/>
            <w:hideMark/>
          </w:tcPr>
          <w:p w14:paraId="3E77341C" w14:textId="77777777" w:rsidR="003705DC" w:rsidRPr="003705DC" w:rsidRDefault="003705DC" w:rsidP="003705DC">
            <w:pPr>
              <w:jc w:val="center"/>
              <w:rPr>
                <w:rFonts w:ascii="Book Antiqua" w:hAnsi="Book Antiqua" w:cs="Calibri"/>
                <w:b/>
                <w:bCs/>
                <w:color w:val="000000"/>
                <w:sz w:val="16"/>
                <w:szCs w:val="16"/>
                <w:lang w:eastAsia="es-CR"/>
              </w:rPr>
            </w:pPr>
            <w:r w:rsidRPr="003705DC">
              <w:rPr>
                <w:rFonts w:ascii="Book Antiqua" w:hAnsi="Book Antiqua" w:cs="Calibri"/>
                <w:b/>
                <w:bCs/>
                <w:color w:val="000000"/>
                <w:sz w:val="16"/>
                <w:szCs w:val="16"/>
                <w:lang w:eastAsia="es-CR"/>
              </w:rPr>
              <w:t>102%</w:t>
            </w:r>
          </w:p>
        </w:tc>
        <w:tc>
          <w:tcPr>
            <w:tcW w:w="971" w:type="dxa"/>
            <w:tcBorders>
              <w:top w:val="nil"/>
              <w:left w:val="nil"/>
              <w:bottom w:val="single" w:sz="4" w:space="0" w:color="auto"/>
              <w:right w:val="single" w:sz="4" w:space="0" w:color="auto"/>
            </w:tcBorders>
            <w:shd w:val="clear" w:color="000000" w:fill="FFFFFF"/>
            <w:noWrap/>
            <w:vAlign w:val="center"/>
            <w:hideMark/>
          </w:tcPr>
          <w:p w14:paraId="7E16EBD0" w14:textId="77777777" w:rsidR="003705DC" w:rsidRPr="003705DC" w:rsidRDefault="003705DC" w:rsidP="003705DC">
            <w:pPr>
              <w:jc w:val="center"/>
              <w:rPr>
                <w:rFonts w:ascii="Book Antiqua" w:hAnsi="Book Antiqua" w:cs="Calibri"/>
                <w:b/>
                <w:bCs/>
                <w:color w:val="000000"/>
                <w:sz w:val="16"/>
                <w:szCs w:val="16"/>
                <w:lang w:eastAsia="es-CR"/>
              </w:rPr>
            </w:pPr>
            <w:r w:rsidRPr="003705DC">
              <w:rPr>
                <w:rFonts w:ascii="Book Antiqua" w:hAnsi="Book Antiqua" w:cs="Calibri"/>
                <w:b/>
                <w:bCs/>
                <w:color w:val="000000"/>
                <w:sz w:val="16"/>
                <w:szCs w:val="16"/>
                <w:lang w:eastAsia="es-CR"/>
              </w:rPr>
              <w:t>92%</w:t>
            </w:r>
          </w:p>
        </w:tc>
        <w:tc>
          <w:tcPr>
            <w:tcW w:w="1862" w:type="dxa"/>
            <w:tcBorders>
              <w:top w:val="nil"/>
              <w:left w:val="nil"/>
              <w:bottom w:val="single" w:sz="4" w:space="0" w:color="auto"/>
              <w:right w:val="single" w:sz="4" w:space="0" w:color="auto"/>
            </w:tcBorders>
            <w:shd w:val="clear" w:color="000000" w:fill="FFFFFF"/>
            <w:noWrap/>
            <w:vAlign w:val="center"/>
            <w:hideMark/>
          </w:tcPr>
          <w:p w14:paraId="50617C01" w14:textId="77777777" w:rsidR="003705DC" w:rsidRPr="003705DC" w:rsidRDefault="003705DC" w:rsidP="003705DC">
            <w:pPr>
              <w:jc w:val="center"/>
              <w:rPr>
                <w:rFonts w:ascii="Book Antiqua" w:hAnsi="Book Antiqua" w:cs="Calibri"/>
                <w:b/>
                <w:bCs/>
                <w:color w:val="000000"/>
                <w:sz w:val="16"/>
                <w:szCs w:val="16"/>
                <w:lang w:eastAsia="es-CR"/>
              </w:rPr>
            </w:pPr>
            <w:r w:rsidRPr="003705DC">
              <w:rPr>
                <w:rFonts w:ascii="Book Antiqua" w:hAnsi="Book Antiqua" w:cs="Calibri"/>
                <w:b/>
                <w:bCs/>
                <w:color w:val="000000"/>
                <w:sz w:val="16"/>
                <w:szCs w:val="16"/>
                <w:lang w:eastAsia="es-CR"/>
              </w:rPr>
              <w:t>86%</w:t>
            </w:r>
          </w:p>
        </w:tc>
        <w:tc>
          <w:tcPr>
            <w:tcW w:w="971" w:type="dxa"/>
            <w:tcBorders>
              <w:top w:val="nil"/>
              <w:left w:val="nil"/>
              <w:bottom w:val="single" w:sz="4" w:space="0" w:color="auto"/>
              <w:right w:val="single" w:sz="4" w:space="0" w:color="auto"/>
            </w:tcBorders>
            <w:shd w:val="clear" w:color="000000" w:fill="FFFFFF"/>
            <w:noWrap/>
            <w:vAlign w:val="center"/>
            <w:hideMark/>
          </w:tcPr>
          <w:p w14:paraId="46DF0C80" w14:textId="77777777" w:rsidR="003705DC" w:rsidRPr="003705DC" w:rsidRDefault="003705DC" w:rsidP="003705DC">
            <w:pPr>
              <w:jc w:val="center"/>
              <w:rPr>
                <w:rFonts w:ascii="Book Antiqua" w:hAnsi="Book Antiqua" w:cs="Calibri"/>
                <w:b/>
                <w:bCs/>
                <w:color w:val="000000"/>
                <w:sz w:val="16"/>
                <w:szCs w:val="16"/>
                <w:lang w:eastAsia="es-CR"/>
              </w:rPr>
            </w:pPr>
            <w:r w:rsidRPr="003705DC">
              <w:rPr>
                <w:rFonts w:ascii="Book Antiqua" w:hAnsi="Book Antiqua" w:cs="Calibri"/>
                <w:b/>
                <w:bCs/>
                <w:color w:val="000000"/>
                <w:sz w:val="16"/>
                <w:szCs w:val="16"/>
                <w:lang w:eastAsia="es-CR"/>
              </w:rPr>
              <w:t>95%</w:t>
            </w:r>
          </w:p>
        </w:tc>
        <w:tc>
          <w:tcPr>
            <w:tcW w:w="1085" w:type="dxa"/>
            <w:tcBorders>
              <w:top w:val="nil"/>
              <w:left w:val="nil"/>
              <w:bottom w:val="single" w:sz="4" w:space="0" w:color="auto"/>
              <w:right w:val="single" w:sz="4" w:space="0" w:color="auto"/>
            </w:tcBorders>
            <w:shd w:val="clear" w:color="000000" w:fill="FFFFFF"/>
            <w:noWrap/>
            <w:vAlign w:val="center"/>
            <w:hideMark/>
          </w:tcPr>
          <w:p w14:paraId="75EF780B" w14:textId="77777777" w:rsidR="003705DC" w:rsidRPr="003705DC" w:rsidRDefault="003705DC" w:rsidP="003705DC">
            <w:pPr>
              <w:jc w:val="center"/>
              <w:rPr>
                <w:rFonts w:ascii="Book Antiqua" w:hAnsi="Book Antiqua" w:cs="Calibri"/>
                <w:b/>
                <w:bCs/>
                <w:color w:val="000000"/>
                <w:sz w:val="16"/>
                <w:szCs w:val="16"/>
                <w:lang w:eastAsia="es-CR"/>
              </w:rPr>
            </w:pPr>
            <w:r w:rsidRPr="003705DC">
              <w:rPr>
                <w:rFonts w:ascii="Book Antiqua" w:hAnsi="Book Antiqua" w:cs="Calibri"/>
                <w:b/>
                <w:bCs/>
                <w:color w:val="000000"/>
                <w:sz w:val="16"/>
                <w:szCs w:val="16"/>
                <w:lang w:eastAsia="es-CR"/>
              </w:rPr>
              <w:t>172%</w:t>
            </w:r>
          </w:p>
        </w:tc>
        <w:tc>
          <w:tcPr>
            <w:tcW w:w="1085" w:type="dxa"/>
            <w:tcBorders>
              <w:top w:val="nil"/>
              <w:left w:val="nil"/>
              <w:bottom w:val="single" w:sz="4" w:space="0" w:color="auto"/>
              <w:right w:val="single" w:sz="4" w:space="0" w:color="auto"/>
            </w:tcBorders>
            <w:shd w:val="clear" w:color="000000" w:fill="FFFFFF"/>
            <w:noWrap/>
            <w:vAlign w:val="center"/>
            <w:hideMark/>
          </w:tcPr>
          <w:p w14:paraId="7EDD2D43" w14:textId="77777777" w:rsidR="003705DC" w:rsidRPr="003705DC" w:rsidRDefault="003705DC" w:rsidP="003705DC">
            <w:pPr>
              <w:jc w:val="center"/>
              <w:rPr>
                <w:rFonts w:ascii="Book Antiqua" w:hAnsi="Book Antiqua" w:cs="Calibri"/>
                <w:b/>
                <w:bCs/>
                <w:color w:val="000000"/>
                <w:sz w:val="16"/>
                <w:szCs w:val="16"/>
                <w:lang w:eastAsia="es-CR"/>
              </w:rPr>
            </w:pPr>
            <w:r w:rsidRPr="003705DC">
              <w:rPr>
                <w:rFonts w:ascii="Book Antiqua" w:hAnsi="Book Antiqua" w:cs="Calibri"/>
                <w:b/>
                <w:bCs/>
                <w:color w:val="000000"/>
                <w:sz w:val="16"/>
                <w:szCs w:val="16"/>
                <w:lang w:eastAsia="es-CR"/>
              </w:rPr>
              <w:t>94%</w:t>
            </w:r>
          </w:p>
        </w:tc>
        <w:tc>
          <w:tcPr>
            <w:tcW w:w="971" w:type="dxa"/>
            <w:tcBorders>
              <w:top w:val="nil"/>
              <w:left w:val="nil"/>
              <w:bottom w:val="single" w:sz="4" w:space="0" w:color="auto"/>
              <w:right w:val="single" w:sz="4" w:space="0" w:color="auto"/>
            </w:tcBorders>
            <w:shd w:val="clear" w:color="000000" w:fill="FFFFFF"/>
            <w:noWrap/>
            <w:vAlign w:val="center"/>
            <w:hideMark/>
          </w:tcPr>
          <w:p w14:paraId="061E5981" w14:textId="77777777" w:rsidR="003705DC" w:rsidRPr="003705DC" w:rsidRDefault="003705DC" w:rsidP="003705DC">
            <w:pPr>
              <w:jc w:val="center"/>
              <w:rPr>
                <w:rFonts w:ascii="Book Antiqua" w:hAnsi="Book Antiqua" w:cs="Calibri"/>
                <w:b/>
                <w:bCs/>
                <w:color w:val="000000"/>
                <w:sz w:val="16"/>
                <w:szCs w:val="16"/>
                <w:lang w:eastAsia="es-CR"/>
              </w:rPr>
            </w:pPr>
            <w:r w:rsidRPr="003705DC">
              <w:rPr>
                <w:rFonts w:ascii="Book Antiqua" w:hAnsi="Book Antiqua" w:cs="Calibri"/>
                <w:b/>
                <w:bCs/>
                <w:color w:val="000000"/>
                <w:sz w:val="16"/>
                <w:szCs w:val="16"/>
                <w:lang w:eastAsia="es-CR"/>
              </w:rPr>
              <w:t>94%</w:t>
            </w:r>
          </w:p>
        </w:tc>
      </w:tr>
    </w:tbl>
    <w:p w14:paraId="21F3CD72" w14:textId="77777777" w:rsidR="002933E2" w:rsidRPr="004F0E92" w:rsidRDefault="002933E2" w:rsidP="00985591">
      <w:pPr>
        <w:spacing w:line="276" w:lineRule="auto"/>
        <w:jc w:val="both"/>
        <w:rPr>
          <w:rFonts w:ascii="Book Antiqua" w:hAnsi="Book Antiqua"/>
          <w:b/>
          <w:bCs/>
          <w:color w:val="000000" w:themeColor="text1"/>
          <w:sz w:val="20"/>
          <w:szCs w:val="20"/>
        </w:rPr>
      </w:pPr>
      <w:r w:rsidRPr="004F0E92">
        <w:rPr>
          <w:rFonts w:ascii="Book Antiqua" w:hAnsi="Book Antiqua"/>
          <w:b/>
          <w:bCs/>
          <w:color w:val="000000" w:themeColor="text1"/>
          <w:sz w:val="20"/>
          <w:szCs w:val="20"/>
        </w:rPr>
        <w:t xml:space="preserve">Fuente: </w:t>
      </w:r>
      <w:r w:rsidRPr="004F0E92">
        <w:rPr>
          <w:rFonts w:ascii="Book Antiqua" w:hAnsi="Book Antiqua"/>
          <w:color w:val="000000" w:themeColor="text1"/>
          <w:sz w:val="20"/>
          <w:szCs w:val="20"/>
        </w:rPr>
        <w:t xml:space="preserve">Elaboración propia a partir de datos suministrados </w:t>
      </w:r>
      <w:r>
        <w:rPr>
          <w:rFonts w:ascii="Book Antiqua" w:hAnsi="Book Antiqua"/>
          <w:color w:val="000000" w:themeColor="text1"/>
          <w:sz w:val="20"/>
          <w:szCs w:val="20"/>
        </w:rPr>
        <w:t>en los informes one drive y matriz de indicadores</w:t>
      </w:r>
    </w:p>
    <w:p w14:paraId="548AFEA4" w14:textId="57519FFB" w:rsidR="00222669" w:rsidRDefault="00222669" w:rsidP="00985591">
      <w:pPr>
        <w:spacing w:line="276" w:lineRule="auto"/>
        <w:ind w:firstLine="708"/>
        <w:jc w:val="both"/>
        <w:rPr>
          <w:rFonts w:ascii="Book Antiqua" w:hAnsi="Book Antiqua"/>
          <w:color w:val="000000" w:themeColor="text1"/>
          <w:sz w:val="20"/>
          <w:szCs w:val="20"/>
        </w:rPr>
      </w:pPr>
    </w:p>
    <w:p w14:paraId="1C14B817" w14:textId="208B8B74" w:rsidR="009360DA" w:rsidRDefault="009360DA" w:rsidP="00985591">
      <w:pPr>
        <w:spacing w:line="276" w:lineRule="auto"/>
        <w:jc w:val="both"/>
        <w:rPr>
          <w:rFonts w:ascii="Book Antiqua" w:hAnsi="Book Antiqua"/>
          <w:color w:val="000000" w:themeColor="text1"/>
          <w:sz w:val="20"/>
          <w:szCs w:val="20"/>
        </w:rPr>
      </w:pPr>
    </w:p>
    <w:p w14:paraId="459B1E8B" w14:textId="77777777" w:rsidR="003705DC" w:rsidRDefault="003705DC" w:rsidP="00985591">
      <w:pPr>
        <w:spacing w:line="276" w:lineRule="auto"/>
        <w:jc w:val="both"/>
        <w:rPr>
          <w:rFonts w:ascii="Book Antiqua" w:hAnsi="Book Antiqua"/>
          <w:color w:val="000000" w:themeColor="text1"/>
          <w:sz w:val="20"/>
          <w:szCs w:val="20"/>
        </w:rPr>
      </w:pPr>
    </w:p>
    <w:p w14:paraId="7E8BCC0A" w14:textId="72E1445A" w:rsidR="00776798" w:rsidRPr="00716590" w:rsidRDefault="7055EC50" w:rsidP="57A79FF7">
      <w:pPr>
        <w:spacing w:line="276" w:lineRule="auto"/>
        <w:jc w:val="both"/>
        <w:outlineLvl w:val="1"/>
        <w:rPr>
          <w:b/>
          <w:color w:val="000000" w:themeColor="text1"/>
        </w:rPr>
      </w:pPr>
      <w:r w:rsidRPr="57A79FF7">
        <w:rPr>
          <w:rFonts w:ascii="Book Antiqua" w:hAnsi="Book Antiqua"/>
          <w:b/>
          <w:bCs/>
          <w:color w:val="000000" w:themeColor="text1"/>
        </w:rPr>
        <w:t xml:space="preserve">5.4 </w:t>
      </w:r>
      <w:r w:rsidR="00776798" w:rsidRPr="00716590">
        <w:rPr>
          <w:rFonts w:ascii="Book Antiqua" w:hAnsi="Book Antiqua"/>
          <w:b/>
          <w:bCs/>
          <w:color w:val="000000" w:themeColor="text1"/>
        </w:rPr>
        <w:t>Justicia Restaurativa</w:t>
      </w:r>
    </w:p>
    <w:p w14:paraId="541FA4C0" w14:textId="77777777" w:rsidR="00776798" w:rsidRPr="003A015A" w:rsidRDefault="00776798" w:rsidP="00985591">
      <w:pPr>
        <w:spacing w:line="276" w:lineRule="auto"/>
        <w:ind w:left="360"/>
        <w:jc w:val="both"/>
        <w:rPr>
          <w:rFonts w:ascii="Book Antiqua" w:hAnsi="Book Antiqua"/>
          <w:color w:val="000000" w:themeColor="text1"/>
          <w:highlight w:val="yellow"/>
        </w:rPr>
      </w:pPr>
    </w:p>
    <w:p w14:paraId="719AB232" w14:textId="77777777" w:rsidR="00212A88" w:rsidRPr="00BE1897" w:rsidRDefault="00212A88" w:rsidP="00985591">
      <w:pPr>
        <w:spacing w:line="276" w:lineRule="auto"/>
        <w:jc w:val="both"/>
        <w:rPr>
          <w:rFonts w:ascii="Book Antiqua" w:hAnsi="Book Antiqua"/>
        </w:rPr>
      </w:pPr>
      <w:r w:rsidRPr="00BE1897">
        <w:rPr>
          <w:rFonts w:ascii="Book Antiqua" w:hAnsi="Book Antiqua"/>
        </w:rPr>
        <w:t>A continuación, se transcribe el informe remitido por la Oficina de Justicia Restaurativa, mediante correo electrónico de fecha 17-09-2021.</w:t>
      </w:r>
    </w:p>
    <w:p w14:paraId="6E1DDEA0" w14:textId="77777777" w:rsidR="00776798" w:rsidRPr="003A015A" w:rsidRDefault="00776798" w:rsidP="00985591">
      <w:pPr>
        <w:spacing w:line="276" w:lineRule="auto"/>
        <w:ind w:left="360"/>
        <w:jc w:val="both"/>
        <w:rPr>
          <w:rFonts w:ascii="Book Antiqua" w:hAnsi="Book Antiqua"/>
          <w:highlight w:val="yellow"/>
        </w:rPr>
      </w:pPr>
    </w:p>
    <w:p w14:paraId="5724982A" w14:textId="7ADC7436" w:rsidR="00F90D96" w:rsidRPr="00212A88" w:rsidRDefault="00776798" w:rsidP="00985591">
      <w:pPr>
        <w:spacing w:line="276" w:lineRule="auto"/>
        <w:jc w:val="both"/>
        <w:rPr>
          <w:rFonts w:ascii="Book Antiqua" w:hAnsi="Book Antiqua"/>
        </w:rPr>
      </w:pPr>
      <w:r w:rsidRPr="00212A88">
        <w:rPr>
          <w:rFonts w:ascii="Book Antiqua" w:hAnsi="Book Antiqua"/>
        </w:rPr>
        <w:t xml:space="preserve">Esta información es obtenida de los informes del mes de </w:t>
      </w:r>
      <w:r w:rsidR="00212A88" w:rsidRPr="00212A88">
        <w:rPr>
          <w:rFonts w:ascii="Book Antiqua" w:hAnsi="Book Antiqua"/>
        </w:rPr>
        <w:t xml:space="preserve">junio </w:t>
      </w:r>
      <w:r w:rsidRPr="00212A88">
        <w:rPr>
          <w:rFonts w:ascii="Book Antiqua" w:hAnsi="Book Antiqua"/>
        </w:rPr>
        <w:t>del 202</w:t>
      </w:r>
      <w:r w:rsidR="00336EC1" w:rsidRPr="00212A88">
        <w:rPr>
          <w:rFonts w:ascii="Book Antiqua" w:hAnsi="Book Antiqua"/>
        </w:rPr>
        <w:t>1</w:t>
      </w:r>
      <w:r w:rsidRPr="00212A88">
        <w:rPr>
          <w:rFonts w:ascii="Book Antiqua" w:hAnsi="Book Antiqua"/>
        </w:rPr>
        <w:t xml:space="preserve">, remitida por los equipos interdisciplinarios, es preliminar, ya que se encuentra en revisión por parte del grupo </w:t>
      </w:r>
      <w:r w:rsidR="00F90D96" w:rsidRPr="00212A88">
        <w:rPr>
          <w:rFonts w:ascii="Book Antiqua" w:hAnsi="Book Antiqua"/>
        </w:rPr>
        <w:t xml:space="preserve">de </w:t>
      </w:r>
      <w:r w:rsidRPr="00212A88">
        <w:rPr>
          <w:rFonts w:ascii="Book Antiqua" w:hAnsi="Book Antiqua"/>
        </w:rPr>
        <w:t>profesional</w:t>
      </w:r>
      <w:r w:rsidR="00F90D96" w:rsidRPr="00212A88">
        <w:rPr>
          <w:rFonts w:ascii="Book Antiqua" w:hAnsi="Book Antiqua"/>
        </w:rPr>
        <w:t>es</w:t>
      </w:r>
      <w:r w:rsidRPr="00212A88">
        <w:rPr>
          <w:rFonts w:ascii="Book Antiqua" w:hAnsi="Book Antiqua"/>
        </w:rPr>
        <w:t xml:space="preserve"> a cargo d</w:t>
      </w:r>
      <w:r w:rsidR="00F90D96" w:rsidRPr="00212A88">
        <w:rPr>
          <w:rFonts w:ascii="Book Antiqua" w:hAnsi="Book Antiqua"/>
        </w:rPr>
        <w:t>el Subproceso de</w:t>
      </w:r>
      <w:r w:rsidR="00BF2ABA" w:rsidRPr="00212A88">
        <w:rPr>
          <w:rFonts w:ascii="Book Antiqua" w:hAnsi="Book Antiqua"/>
        </w:rPr>
        <w:t xml:space="preserve"> </w:t>
      </w:r>
      <w:r w:rsidRPr="00212A88">
        <w:rPr>
          <w:rFonts w:ascii="Book Antiqua" w:hAnsi="Book Antiqua"/>
        </w:rPr>
        <w:t>Estadística de la Dirección de Planificación</w:t>
      </w:r>
      <w:r w:rsidR="00F90D96" w:rsidRPr="00212A88">
        <w:rPr>
          <w:rFonts w:ascii="Book Antiqua" w:hAnsi="Book Antiqua"/>
        </w:rPr>
        <w:t>.</w:t>
      </w:r>
    </w:p>
    <w:p w14:paraId="20063ECD" w14:textId="77777777" w:rsidR="00F90D96" w:rsidRPr="003A015A" w:rsidRDefault="00F90D96" w:rsidP="00985591">
      <w:pPr>
        <w:spacing w:line="276" w:lineRule="auto"/>
        <w:jc w:val="both"/>
        <w:rPr>
          <w:rFonts w:ascii="Book Antiqua" w:hAnsi="Book Antiqua"/>
          <w:highlight w:val="yellow"/>
        </w:rPr>
      </w:pPr>
    </w:p>
    <w:p w14:paraId="0AF292B2" w14:textId="2829CDD4" w:rsidR="00776798" w:rsidRPr="008C7C95" w:rsidRDefault="00F90D96" w:rsidP="00985591">
      <w:pPr>
        <w:spacing w:line="276" w:lineRule="auto"/>
        <w:jc w:val="both"/>
        <w:rPr>
          <w:rFonts w:ascii="Book Antiqua" w:hAnsi="Book Antiqua"/>
        </w:rPr>
      </w:pPr>
      <w:r w:rsidRPr="008C7C95">
        <w:rPr>
          <w:rFonts w:ascii="Book Antiqua" w:hAnsi="Book Antiqua"/>
        </w:rPr>
        <w:t>Según se observa del total de reuniones restaurativas</w:t>
      </w:r>
      <w:r w:rsidR="0005158E" w:rsidRPr="008C7C95">
        <w:rPr>
          <w:rFonts w:ascii="Book Antiqua" w:hAnsi="Book Antiqua"/>
        </w:rPr>
        <w:t xml:space="preserve"> (</w:t>
      </w:r>
      <w:r w:rsidR="008C7C95" w:rsidRPr="008C7C95">
        <w:rPr>
          <w:rFonts w:ascii="Book Antiqua" w:hAnsi="Book Antiqua"/>
        </w:rPr>
        <w:t>209</w:t>
      </w:r>
      <w:r w:rsidR="0005158E" w:rsidRPr="008C7C95">
        <w:rPr>
          <w:rFonts w:ascii="Book Antiqua" w:hAnsi="Book Antiqua"/>
        </w:rPr>
        <w:t xml:space="preserve">), el </w:t>
      </w:r>
      <w:r w:rsidR="008C7C95" w:rsidRPr="008C7C95">
        <w:rPr>
          <w:rFonts w:ascii="Book Antiqua" w:hAnsi="Book Antiqua"/>
        </w:rPr>
        <w:t xml:space="preserve">89.95 </w:t>
      </w:r>
      <w:r w:rsidR="0005158E" w:rsidRPr="008C7C95">
        <w:rPr>
          <w:rFonts w:ascii="Book Antiqua" w:hAnsi="Book Antiqua"/>
        </w:rPr>
        <w:t xml:space="preserve">% de estas se realizaron, además, de ese porcentaje el </w:t>
      </w:r>
      <w:r w:rsidR="008C7C95" w:rsidRPr="008C7C95">
        <w:rPr>
          <w:rFonts w:ascii="Book Antiqua" w:hAnsi="Book Antiqua"/>
        </w:rPr>
        <w:t>93.09</w:t>
      </w:r>
      <w:r w:rsidR="0005158E" w:rsidRPr="008C7C95">
        <w:rPr>
          <w:rFonts w:ascii="Book Antiqua" w:hAnsi="Book Antiqua"/>
        </w:rPr>
        <w:t xml:space="preserve">% tuvieron acuerdos y apenas un </w:t>
      </w:r>
      <w:r w:rsidR="008C7C95" w:rsidRPr="008C7C95">
        <w:rPr>
          <w:rFonts w:ascii="Book Antiqua" w:hAnsi="Book Antiqua"/>
        </w:rPr>
        <w:t>6.91</w:t>
      </w:r>
      <w:r w:rsidR="0005158E" w:rsidRPr="008C7C95">
        <w:rPr>
          <w:rFonts w:ascii="Book Antiqua" w:hAnsi="Book Antiqua"/>
        </w:rPr>
        <w:t xml:space="preserve">% no hubo acuerdos, el porcentaje de las no realizadas fue de un </w:t>
      </w:r>
      <w:r w:rsidR="008C7C95" w:rsidRPr="008C7C95">
        <w:rPr>
          <w:rFonts w:ascii="Book Antiqua" w:hAnsi="Book Antiqua"/>
        </w:rPr>
        <w:t>10.05</w:t>
      </w:r>
      <w:r w:rsidR="0005158E" w:rsidRPr="008C7C95">
        <w:rPr>
          <w:rFonts w:ascii="Book Antiqua" w:hAnsi="Book Antiqua"/>
        </w:rPr>
        <w:t>%. En relación con las audiencias de verificación señaladas (en total 7</w:t>
      </w:r>
      <w:r w:rsidR="008C7C95" w:rsidRPr="008C7C95">
        <w:rPr>
          <w:rFonts w:ascii="Book Antiqua" w:hAnsi="Book Antiqua"/>
        </w:rPr>
        <w:t>2), el</w:t>
      </w:r>
      <w:r w:rsidR="0005158E" w:rsidRPr="008C7C95">
        <w:rPr>
          <w:rFonts w:ascii="Book Antiqua" w:hAnsi="Book Antiqua"/>
        </w:rPr>
        <w:t xml:space="preserve"> mantener las medidas alternas, representó de ese rubro el </w:t>
      </w:r>
      <w:r w:rsidR="008C7C95" w:rsidRPr="008C7C95">
        <w:rPr>
          <w:rFonts w:ascii="Book Antiqua" w:hAnsi="Book Antiqua"/>
        </w:rPr>
        <w:t>44.44</w:t>
      </w:r>
      <w:r w:rsidR="0005158E" w:rsidRPr="008C7C95">
        <w:rPr>
          <w:rFonts w:ascii="Book Antiqua" w:hAnsi="Book Antiqua"/>
        </w:rPr>
        <w:t xml:space="preserve">%, la modificación de la medida un </w:t>
      </w:r>
      <w:r w:rsidR="008C7C95" w:rsidRPr="008C7C95">
        <w:rPr>
          <w:rFonts w:ascii="Book Antiqua" w:hAnsi="Book Antiqua"/>
        </w:rPr>
        <w:t>34.2</w:t>
      </w:r>
      <w:r w:rsidR="0005158E" w:rsidRPr="008C7C95">
        <w:rPr>
          <w:rFonts w:ascii="Book Antiqua" w:hAnsi="Book Antiqua"/>
        </w:rPr>
        <w:t xml:space="preserve">%, revocar la medida alterna un </w:t>
      </w:r>
      <w:r w:rsidR="008C7C95" w:rsidRPr="008C7C95">
        <w:rPr>
          <w:rFonts w:ascii="Book Antiqua" w:hAnsi="Book Antiqua"/>
        </w:rPr>
        <w:t>18.06</w:t>
      </w:r>
      <w:r w:rsidR="0005158E" w:rsidRPr="008C7C95">
        <w:rPr>
          <w:rFonts w:ascii="Book Antiqua" w:hAnsi="Book Antiqua"/>
        </w:rPr>
        <w:t xml:space="preserve">% y finalmente </w:t>
      </w:r>
      <w:r w:rsidR="00716590" w:rsidRPr="008C7C95">
        <w:rPr>
          <w:rFonts w:ascii="Book Antiqua" w:hAnsi="Book Antiqua"/>
        </w:rPr>
        <w:t>la homologa</w:t>
      </w:r>
      <w:r w:rsidR="0005158E" w:rsidRPr="008C7C95">
        <w:rPr>
          <w:rFonts w:ascii="Book Antiqua" w:hAnsi="Book Antiqua"/>
        </w:rPr>
        <w:t xml:space="preserve"> indemnización seguro </w:t>
      </w:r>
      <w:r w:rsidR="008C7C95" w:rsidRPr="008C7C95">
        <w:rPr>
          <w:rFonts w:ascii="Book Antiqua" w:hAnsi="Book Antiqua"/>
        </w:rPr>
        <w:t>1.39%.</w:t>
      </w:r>
    </w:p>
    <w:p w14:paraId="75322E7D" w14:textId="212E761C" w:rsidR="0005158E" w:rsidRPr="008C7C95" w:rsidRDefault="0005158E" w:rsidP="00985591">
      <w:pPr>
        <w:spacing w:line="276" w:lineRule="auto"/>
        <w:jc w:val="both"/>
        <w:rPr>
          <w:rFonts w:ascii="Book Antiqua" w:hAnsi="Book Antiqua"/>
        </w:rPr>
      </w:pPr>
    </w:p>
    <w:p w14:paraId="0E75DE07" w14:textId="5704BB6B" w:rsidR="0005158E" w:rsidRPr="004F0E92" w:rsidRDefault="0005158E" w:rsidP="00985591">
      <w:pPr>
        <w:spacing w:line="276" w:lineRule="auto"/>
        <w:jc w:val="both"/>
        <w:rPr>
          <w:rFonts w:ascii="Book Antiqua" w:hAnsi="Book Antiqua"/>
        </w:rPr>
      </w:pPr>
      <w:r w:rsidRPr="008C7C95">
        <w:rPr>
          <w:rFonts w:ascii="Book Antiqua" w:hAnsi="Book Antiqua"/>
        </w:rPr>
        <w:t xml:space="preserve">Las demás actividades relacionadas con </w:t>
      </w:r>
      <w:r w:rsidR="00FC142D" w:rsidRPr="008C7C95">
        <w:rPr>
          <w:rFonts w:ascii="Book Antiqua" w:hAnsi="Book Antiqua"/>
        </w:rPr>
        <w:t>red de apoyo y entrevistas se visualizan en el siguiente cuadro:</w:t>
      </w:r>
    </w:p>
    <w:p w14:paraId="5144CC34" w14:textId="3A4A6359" w:rsidR="00BF7F5F" w:rsidRDefault="00BF7F5F">
      <w:pPr>
        <w:rPr>
          <w:rFonts w:ascii="Book Antiqua" w:hAnsi="Book Antiqua"/>
        </w:rPr>
      </w:pPr>
      <w:r>
        <w:rPr>
          <w:rFonts w:ascii="Book Antiqua" w:hAnsi="Book Antiqua"/>
        </w:rPr>
        <w:br w:type="page"/>
      </w:r>
    </w:p>
    <w:p w14:paraId="52D2272C" w14:textId="77777777" w:rsidR="008E0F4B" w:rsidRPr="004F0E92" w:rsidRDefault="008E0F4B" w:rsidP="00985591">
      <w:pPr>
        <w:spacing w:line="276" w:lineRule="auto"/>
        <w:jc w:val="both"/>
        <w:rPr>
          <w:rFonts w:ascii="Book Antiqua" w:hAnsi="Book Antiqua"/>
        </w:rPr>
      </w:pPr>
    </w:p>
    <w:p w14:paraId="39E5E846" w14:textId="1F3534C1" w:rsidR="00590E18" w:rsidRPr="008C7C95" w:rsidRDefault="00CE0836" w:rsidP="00985591">
      <w:pPr>
        <w:spacing w:line="276" w:lineRule="auto"/>
        <w:jc w:val="center"/>
        <w:rPr>
          <w:rFonts w:ascii="Book Antiqua" w:hAnsi="Book Antiqua"/>
          <w:b/>
          <w:bCs/>
        </w:rPr>
      </w:pPr>
      <w:r w:rsidRPr="00BF2ABA">
        <w:rPr>
          <w:rFonts w:ascii="Book Antiqua" w:hAnsi="Book Antiqua"/>
          <w:b/>
          <w:bCs/>
        </w:rPr>
        <w:tab/>
      </w:r>
      <w:r w:rsidR="00590E18" w:rsidRPr="008C7C95">
        <w:rPr>
          <w:rFonts w:ascii="Book Antiqua" w:hAnsi="Book Antiqua"/>
          <w:b/>
          <w:bCs/>
        </w:rPr>
        <w:t xml:space="preserve">Cuadro </w:t>
      </w:r>
      <w:r w:rsidR="00716590">
        <w:rPr>
          <w:rFonts w:ascii="Book Antiqua" w:hAnsi="Book Antiqua"/>
          <w:b/>
          <w:bCs/>
        </w:rPr>
        <w:t>5</w:t>
      </w:r>
      <w:r w:rsidR="000C1D00">
        <w:rPr>
          <w:rFonts w:ascii="Book Antiqua" w:hAnsi="Book Antiqua"/>
          <w:b/>
          <w:bCs/>
        </w:rPr>
        <w:t>3</w:t>
      </w:r>
    </w:p>
    <w:p w14:paraId="34EA626D" w14:textId="5D2EAF2D" w:rsidR="00FC142D" w:rsidRPr="008C7C95" w:rsidRDefault="00FC142D" w:rsidP="00985591">
      <w:pPr>
        <w:spacing w:line="276" w:lineRule="auto"/>
        <w:jc w:val="center"/>
        <w:rPr>
          <w:rFonts w:ascii="Book Antiqua" w:hAnsi="Book Antiqua" w:cs="Arial"/>
        </w:rPr>
      </w:pPr>
      <w:r w:rsidRPr="008C7C95">
        <w:rPr>
          <w:rFonts w:ascii="Book Antiqua" w:hAnsi="Book Antiqua" w:cs="Arial"/>
          <w:b/>
          <w:bCs/>
          <w:color w:val="FFFFFF" w:themeColor="background1"/>
        </w:rPr>
        <w:t>Es</w:t>
      </w:r>
      <w:r w:rsidR="00CE0836" w:rsidRPr="008C7C95">
        <w:rPr>
          <w:rFonts w:ascii="Book Antiqua" w:hAnsi="Book Antiqua" w:cs="Arial"/>
          <w:color w:val="FFFFFF" w:themeColor="background1"/>
        </w:rPr>
        <w:tab/>
      </w:r>
      <w:r w:rsidRPr="008C7C95">
        <w:rPr>
          <w:rFonts w:ascii="Book Antiqua" w:hAnsi="Book Antiqua" w:cs="Arial"/>
        </w:rPr>
        <w:t xml:space="preserve">Justicia Penal Restaurativa </w:t>
      </w:r>
    </w:p>
    <w:p w14:paraId="7542918A" w14:textId="57359545" w:rsidR="00776798" w:rsidRPr="000C1D00" w:rsidRDefault="008C7C95" w:rsidP="000C1D00">
      <w:pPr>
        <w:spacing w:line="276" w:lineRule="auto"/>
        <w:ind w:left="3540" w:firstLine="708"/>
        <w:jc w:val="both"/>
        <w:rPr>
          <w:rFonts w:ascii="Book Antiqua" w:hAnsi="Book Antiqua"/>
        </w:rPr>
      </w:pPr>
      <w:r>
        <w:rPr>
          <w:rFonts w:ascii="Book Antiqua" w:hAnsi="Book Antiqua" w:cs="Arial"/>
        </w:rPr>
        <w:t>junio</w:t>
      </w:r>
      <w:r w:rsidR="00FC142D" w:rsidRPr="008C7C95">
        <w:rPr>
          <w:rFonts w:ascii="Book Antiqua" w:hAnsi="Book Antiqua" w:cs="Arial"/>
        </w:rPr>
        <w:t xml:space="preserve"> 2021</w:t>
      </w:r>
    </w:p>
    <w:tbl>
      <w:tblPr>
        <w:tblW w:w="5074" w:type="dxa"/>
        <w:jc w:val="center"/>
        <w:tblCellMar>
          <w:left w:w="70" w:type="dxa"/>
          <w:right w:w="70" w:type="dxa"/>
        </w:tblCellMar>
        <w:tblLook w:val="04A0" w:firstRow="1" w:lastRow="0" w:firstColumn="1" w:lastColumn="0" w:noHBand="0" w:noVBand="1"/>
      </w:tblPr>
      <w:tblGrid>
        <w:gridCol w:w="3874"/>
        <w:gridCol w:w="1200"/>
      </w:tblGrid>
      <w:tr w:rsidR="008C7C95" w:rsidRPr="00665D61" w14:paraId="4C94FF3B" w14:textId="77777777" w:rsidTr="00665D61">
        <w:trPr>
          <w:trHeight w:val="290"/>
          <w:jc w:val="center"/>
        </w:trPr>
        <w:tc>
          <w:tcPr>
            <w:tcW w:w="5074" w:type="dxa"/>
            <w:gridSpan w:val="2"/>
            <w:tcBorders>
              <w:top w:val="single" w:sz="4" w:space="0" w:color="000000"/>
              <w:left w:val="single" w:sz="4" w:space="0" w:color="000000"/>
              <w:bottom w:val="single" w:sz="4" w:space="0" w:color="000000"/>
              <w:right w:val="single" w:sz="4" w:space="0" w:color="000000"/>
            </w:tcBorders>
            <w:shd w:val="clear" w:color="000000" w:fill="305496"/>
            <w:vAlign w:val="center"/>
            <w:hideMark/>
          </w:tcPr>
          <w:p w14:paraId="68602C6B" w14:textId="77777777" w:rsidR="008C7C95" w:rsidRPr="00665D61" w:rsidRDefault="008C7C95" w:rsidP="00985591">
            <w:pPr>
              <w:spacing w:line="276" w:lineRule="auto"/>
              <w:jc w:val="center"/>
              <w:rPr>
                <w:rFonts w:ascii="Book Antiqua" w:hAnsi="Book Antiqua"/>
                <w:b/>
                <w:bCs/>
                <w:color w:val="FFFFFF"/>
                <w:sz w:val="16"/>
                <w:szCs w:val="16"/>
                <w:lang w:eastAsia="es-CR"/>
              </w:rPr>
            </w:pPr>
            <w:r w:rsidRPr="00665D61">
              <w:rPr>
                <w:rFonts w:ascii="Book Antiqua" w:hAnsi="Book Antiqua"/>
                <w:b/>
                <w:bCs/>
                <w:color w:val="FFFFFF"/>
                <w:sz w:val="16"/>
                <w:szCs w:val="16"/>
                <w:lang w:eastAsia="es-CR"/>
              </w:rPr>
              <w:t>Estadísticas Justicia Penal Restaurativa</w:t>
            </w:r>
          </w:p>
        </w:tc>
      </w:tr>
      <w:tr w:rsidR="008C7C95" w:rsidRPr="00665D61" w14:paraId="0A4D4C53" w14:textId="77777777" w:rsidTr="00665D61">
        <w:trPr>
          <w:trHeight w:val="290"/>
          <w:jc w:val="center"/>
        </w:trPr>
        <w:tc>
          <w:tcPr>
            <w:tcW w:w="5074" w:type="dxa"/>
            <w:gridSpan w:val="2"/>
            <w:tcBorders>
              <w:top w:val="single" w:sz="4" w:space="0" w:color="000000"/>
              <w:left w:val="single" w:sz="4" w:space="0" w:color="000000"/>
              <w:bottom w:val="single" w:sz="4" w:space="0" w:color="000000"/>
              <w:right w:val="single" w:sz="4" w:space="0" w:color="000000"/>
            </w:tcBorders>
            <w:shd w:val="clear" w:color="000000" w:fill="305496"/>
            <w:vAlign w:val="center"/>
            <w:hideMark/>
          </w:tcPr>
          <w:p w14:paraId="0B1045AA" w14:textId="77777777" w:rsidR="008C7C95" w:rsidRPr="00665D61" w:rsidRDefault="008C7C95" w:rsidP="00985591">
            <w:pPr>
              <w:spacing w:line="276" w:lineRule="auto"/>
              <w:jc w:val="center"/>
              <w:rPr>
                <w:rFonts w:ascii="Book Antiqua" w:hAnsi="Book Antiqua"/>
                <w:b/>
                <w:bCs/>
                <w:color w:val="FFFFFF"/>
                <w:sz w:val="16"/>
                <w:szCs w:val="16"/>
                <w:lang w:eastAsia="es-CR"/>
              </w:rPr>
            </w:pPr>
            <w:r w:rsidRPr="00665D61">
              <w:rPr>
                <w:rFonts w:ascii="Book Antiqua" w:hAnsi="Book Antiqua"/>
                <w:b/>
                <w:bCs/>
                <w:color w:val="FFFFFF"/>
                <w:sz w:val="16"/>
                <w:szCs w:val="16"/>
                <w:lang w:eastAsia="es-CR"/>
              </w:rPr>
              <w:t>jun-21</w:t>
            </w:r>
          </w:p>
        </w:tc>
      </w:tr>
      <w:tr w:rsidR="008C7C95" w:rsidRPr="00665D61" w14:paraId="69CD38E4" w14:textId="77777777" w:rsidTr="00665D61">
        <w:trPr>
          <w:trHeight w:val="290"/>
          <w:jc w:val="center"/>
        </w:trPr>
        <w:tc>
          <w:tcPr>
            <w:tcW w:w="3874" w:type="dxa"/>
            <w:tcBorders>
              <w:top w:val="nil"/>
              <w:left w:val="single" w:sz="4" w:space="0" w:color="000000"/>
              <w:bottom w:val="single" w:sz="4" w:space="0" w:color="000000"/>
              <w:right w:val="single" w:sz="4" w:space="0" w:color="000000"/>
            </w:tcBorders>
            <w:shd w:val="clear" w:color="000000" w:fill="DDEBF7"/>
            <w:vAlign w:val="center"/>
            <w:hideMark/>
          </w:tcPr>
          <w:p w14:paraId="5275BD28" w14:textId="77777777" w:rsidR="008C7C95" w:rsidRPr="00665D61" w:rsidRDefault="008C7C95" w:rsidP="00985591">
            <w:pPr>
              <w:spacing w:line="276" w:lineRule="auto"/>
              <w:rPr>
                <w:rFonts w:ascii="Book Antiqua" w:hAnsi="Book Antiqua"/>
                <w:b/>
                <w:bCs/>
                <w:color w:val="000000"/>
                <w:sz w:val="16"/>
                <w:szCs w:val="16"/>
                <w:lang w:eastAsia="es-CR"/>
              </w:rPr>
            </w:pPr>
            <w:r w:rsidRPr="00665D61">
              <w:rPr>
                <w:rFonts w:ascii="Book Antiqua" w:hAnsi="Book Antiqua"/>
                <w:b/>
                <w:bCs/>
                <w:color w:val="000000"/>
                <w:sz w:val="16"/>
                <w:szCs w:val="16"/>
                <w:lang w:eastAsia="es-CR"/>
              </w:rPr>
              <w:t>Reuniones Restaurativas señaladas</w:t>
            </w:r>
          </w:p>
        </w:tc>
        <w:tc>
          <w:tcPr>
            <w:tcW w:w="1200" w:type="dxa"/>
            <w:tcBorders>
              <w:top w:val="nil"/>
              <w:left w:val="nil"/>
              <w:bottom w:val="single" w:sz="4" w:space="0" w:color="000000"/>
              <w:right w:val="single" w:sz="4" w:space="0" w:color="000000"/>
            </w:tcBorders>
            <w:shd w:val="clear" w:color="000000" w:fill="DDEBF7"/>
            <w:vAlign w:val="center"/>
            <w:hideMark/>
          </w:tcPr>
          <w:p w14:paraId="09E6796E" w14:textId="77777777" w:rsidR="008C7C95" w:rsidRPr="00665D61" w:rsidRDefault="008C7C95" w:rsidP="00985591">
            <w:pPr>
              <w:spacing w:line="276" w:lineRule="auto"/>
              <w:jc w:val="center"/>
              <w:rPr>
                <w:rFonts w:ascii="Book Antiqua" w:hAnsi="Book Antiqua"/>
                <w:b/>
                <w:bCs/>
                <w:color w:val="000000"/>
                <w:sz w:val="16"/>
                <w:szCs w:val="16"/>
                <w:lang w:eastAsia="es-CR"/>
              </w:rPr>
            </w:pPr>
            <w:r w:rsidRPr="00665D61">
              <w:rPr>
                <w:rFonts w:ascii="Book Antiqua" w:hAnsi="Book Antiqua"/>
                <w:b/>
                <w:bCs/>
                <w:color w:val="000000"/>
                <w:sz w:val="16"/>
                <w:szCs w:val="16"/>
                <w:lang w:eastAsia="es-CR"/>
              </w:rPr>
              <w:t>209</w:t>
            </w:r>
          </w:p>
        </w:tc>
      </w:tr>
      <w:tr w:rsidR="008C7C95" w:rsidRPr="00665D61" w14:paraId="7857F924" w14:textId="77777777" w:rsidTr="00665D61">
        <w:trPr>
          <w:trHeight w:val="290"/>
          <w:jc w:val="center"/>
        </w:trPr>
        <w:tc>
          <w:tcPr>
            <w:tcW w:w="3874" w:type="dxa"/>
            <w:tcBorders>
              <w:top w:val="nil"/>
              <w:left w:val="single" w:sz="4" w:space="0" w:color="000000"/>
              <w:bottom w:val="single" w:sz="4" w:space="0" w:color="000000"/>
              <w:right w:val="single" w:sz="4" w:space="0" w:color="000000"/>
            </w:tcBorders>
            <w:shd w:val="clear" w:color="000000" w:fill="FFFFFF"/>
            <w:vAlign w:val="center"/>
            <w:hideMark/>
          </w:tcPr>
          <w:p w14:paraId="010C6B0F" w14:textId="77777777" w:rsidR="008C7C95" w:rsidRPr="00665D61" w:rsidRDefault="008C7C95" w:rsidP="00985591">
            <w:pPr>
              <w:spacing w:line="276" w:lineRule="auto"/>
              <w:rPr>
                <w:rFonts w:ascii="Book Antiqua" w:hAnsi="Book Antiqua"/>
                <w:b/>
                <w:bCs/>
                <w:color w:val="000000"/>
                <w:sz w:val="16"/>
                <w:szCs w:val="16"/>
                <w:lang w:eastAsia="es-CR"/>
              </w:rPr>
            </w:pPr>
            <w:r w:rsidRPr="00665D61">
              <w:rPr>
                <w:rFonts w:ascii="Book Antiqua" w:hAnsi="Book Antiqua"/>
                <w:b/>
                <w:bCs/>
                <w:color w:val="000000"/>
                <w:sz w:val="16"/>
                <w:szCs w:val="16"/>
                <w:lang w:eastAsia="es-CR"/>
              </w:rPr>
              <w:t>Realizadas</w:t>
            </w:r>
          </w:p>
        </w:tc>
        <w:tc>
          <w:tcPr>
            <w:tcW w:w="1200" w:type="dxa"/>
            <w:tcBorders>
              <w:top w:val="nil"/>
              <w:left w:val="nil"/>
              <w:bottom w:val="single" w:sz="4" w:space="0" w:color="000000"/>
              <w:right w:val="single" w:sz="4" w:space="0" w:color="000000"/>
            </w:tcBorders>
            <w:shd w:val="clear" w:color="000000" w:fill="FFFFFF"/>
            <w:vAlign w:val="center"/>
            <w:hideMark/>
          </w:tcPr>
          <w:p w14:paraId="5473C4F6" w14:textId="77777777" w:rsidR="008C7C95" w:rsidRPr="00665D61" w:rsidRDefault="008C7C95" w:rsidP="00985591">
            <w:pPr>
              <w:spacing w:line="276" w:lineRule="auto"/>
              <w:jc w:val="center"/>
              <w:rPr>
                <w:rFonts w:ascii="Book Antiqua" w:hAnsi="Book Antiqua"/>
                <w:color w:val="000000"/>
                <w:sz w:val="16"/>
                <w:szCs w:val="16"/>
                <w:lang w:eastAsia="es-CR"/>
              </w:rPr>
            </w:pPr>
            <w:r w:rsidRPr="00665D61">
              <w:rPr>
                <w:rFonts w:ascii="Book Antiqua" w:hAnsi="Book Antiqua"/>
                <w:color w:val="000000"/>
                <w:sz w:val="16"/>
                <w:szCs w:val="16"/>
                <w:lang w:eastAsia="es-CR"/>
              </w:rPr>
              <w:t>188</w:t>
            </w:r>
          </w:p>
        </w:tc>
      </w:tr>
      <w:tr w:rsidR="008C7C95" w:rsidRPr="00665D61" w14:paraId="05DFAA7F" w14:textId="77777777" w:rsidTr="00665D61">
        <w:trPr>
          <w:trHeight w:val="290"/>
          <w:jc w:val="center"/>
        </w:trPr>
        <w:tc>
          <w:tcPr>
            <w:tcW w:w="3874" w:type="dxa"/>
            <w:tcBorders>
              <w:top w:val="nil"/>
              <w:left w:val="single" w:sz="4" w:space="0" w:color="000000"/>
              <w:bottom w:val="single" w:sz="4" w:space="0" w:color="000000"/>
              <w:right w:val="single" w:sz="4" w:space="0" w:color="000000"/>
            </w:tcBorders>
            <w:shd w:val="clear" w:color="000000" w:fill="FFFFFF"/>
            <w:vAlign w:val="center"/>
            <w:hideMark/>
          </w:tcPr>
          <w:p w14:paraId="61FDD555" w14:textId="77777777" w:rsidR="008C7C95" w:rsidRPr="00665D61" w:rsidRDefault="008C7C95" w:rsidP="00985591">
            <w:pPr>
              <w:spacing w:line="276" w:lineRule="auto"/>
              <w:rPr>
                <w:rFonts w:ascii="Book Antiqua" w:hAnsi="Book Antiqua"/>
                <w:color w:val="000000"/>
                <w:sz w:val="16"/>
                <w:szCs w:val="16"/>
                <w:lang w:eastAsia="es-CR"/>
              </w:rPr>
            </w:pPr>
            <w:r w:rsidRPr="00665D61">
              <w:rPr>
                <w:rFonts w:ascii="Book Antiqua" w:hAnsi="Book Antiqua"/>
                <w:color w:val="000000"/>
                <w:sz w:val="16"/>
                <w:szCs w:val="16"/>
                <w:lang w:eastAsia="es-CR"/>
              </w:rPr>
              <w:t>Con acuerdo</w:t>
            </w:r>
          </w:p>
        </w:tc>
        <w:tc>
          <w:tcPr>
            <w:tcW w:w="1200" w:type="dxa"/>
            <w:tcBorders>
              <w:top w:val="nil"/>
              <w:left w:val="nil"/>
              <w:bottom w:val="single" w:sz="4" w:space="0" w:color="000000"/>
              <w:right w:val="single" w:sz="4" w:space="0" w:color="000000"/>
            </w:tcBorders>
            <w:shd w:val="clear" w:color="000000" w:fill="FFFFFF"/>
            <w:vAlign w:val="center"/>
            <w:hideMark/>
          </w:tcPr>
          <w:p w14:paraId="61EE1670" w14:textId="77777777" w:rsidR="008C7C95" w:rsidRPr="00665D61" w:rsidRDefault="008C7C95" w:rsidP="00985591">
            <w:pPr>
              <w:spacing w:line="276" w:lineRule="auto"/>
              <w:jc w:val="center"/>
              <w:rPr>
                <w:rFonts w:ascii="Book Antiqua" w:hAnsi="Book Antiqua"/>
                <w:color w:val="000000"/>
                <w:sz w:val="16"/>
                <w:szCs w:val="16"/>
                <w:lang w:eastAsia="es-CR"/>
              </w:rPr>
            </w:pPr>
            <w:r w:rsidRPr="00665D61">
              <w:rPr>
                <w:rFonts w:ascii="Book Antiqua" w:hAnsi="Book Antiqua" w:cs="Tahoma"/>
                <w:sz w:val="16"/>
                <w:szCs w:val="16"/>
                <w:lang w:val="es-ES_tradnl" w:eastAsia="es-CR"/>
              </w:rPr>
              <w:t>175</w:t>
            </w:r>
          </w:p>
        </w:tc>
      </w:tr>
      <w:tr w:rsidR="008C7C95" w:rsidRPr="00665D61" w14:paraId="02DF815C" w14:textId="77777777" w:rsidTr="00665D61">
        <w:trPr>
          <w:trHeight w:val="290"/>
          <w:jc w:val="center"/>
        </w:trPr>
        <w:tc>
          <w:tcPr>
            <w:tcW w:w="3874" w:type="dxa"/>
            <w:tcBorders>
              <w:top w:val="nil"/>
              <w:left w:val="single" w:sz="4" w:space="0" w:color="000000"/>
              <w:bottom w:val="single" w:sz="4" w:space="0" w:color="000000"/>
              <w:right w:val="single" w:sz="4" w:space="0" w:color="000000"/>
            </w:tcBorders>
            <w:shd w:val="clear" w:color="000000" w:fill="FFFFFF"/>
            <w:vAlign w:val="center"/>
            <w:hideMark/>
          </w:tcPr>
          <w:p w14:paraId="709C7B83" w14:textId="77777777" w:rsidR="008C7C95" w:rsidRPr="00665D61" w:rsidRDefault="008C7C95" w:rsidP="00985591">
            <w:pPr>
              <w:spacing w:line="276" w:lineRule="auto"/>
              <w:rPr>
                <w:rFonts w:ascii="Book Antiqua" w:hAnsi="Book Antiqua"/>
                <w:color w:val="000000"/>
                <w:sz w:val="16"/>
                <w:szCs w:val="16"/>
                <w:lang w:eastAsia="es-CR"/>
              </w:rPr>
            </w:pPr>
            <w:r w:rsidRPr="00665D61">
              <w:rPr>
                <w:rFonts w:ascii="Book Antiqua" w:hAnsi="Book Antiqua"/>
                <w:color w:val="000000"/>
                <w:sz w:val="16"/>
                <w:szCs w:val="16"/>
                <w:lang w:eastAsia="es-CR"/>
              </w:rPr>
              <w:t>No hubo acuerdo</w:t>
            </w:r>
          </w:p>
        </w:tc>
        <w:tc>
          <w:tcPr>
            <w:tcW w:w="1200" w:type="dxa"/>
            <w:tcBorders>
              <w:top w:val="nil"/>
              <w:left w:val="nil"/>
              <w:bottom w:val="single" w:sz="4" w:space="0" w:color="000000"/>
              <w:right w:val="single" w:sz="4" w:space="0" w:color="000000"/>
            </w:tcBorders>
            <w:shd w:val="clear" w:color="000000" w:fill="FFFFFF"/>
            <w:vAlign w:val="center"/>
            <w:hideMark/>
          </w:tcPr>
          <w:p w14:paraId="3E3B4554" w14:textId="77777777" w:rsidR="008C7C95" w:rsidRPr="00665D61" w:rsidRDefault="008C7C95" w:rsidP="00985591">
            <w:pPr>
              <w:spacing w:line="276" w:lineRule="auto"/>
              <w:jc w:val="center"/>
              <w:rPr>
                <w:rFonts w:ascii="Book Antiqua" w:hAnsi="Book Antiqua"/>
                <w:color w:val="000000"/>
                <w:sz w:val="16"/>
                <w:szCs w:val="16"/>
                <w:lang w:eastAsia="es-CR"/>
              </w:rPr>
            </w:pPr>
            <w:r w:rsidRPr="00665D61">
              <w:rPr>
                <w:rFonts w:ascii="Book Antiqua" w:hAnsi="Book Antiqua"/>
                <w:color w:val="000000"/>
                <w:sz w:val="16"/>
                <w:szCs w:val="16"/>
                <w:lang w:val="es-ES_tradnl" w:eastAsia="es-CR"/>
              </w:rPr>
              <w:t>13</w:t>
            </w:r>
          </w:p>
        </w:tc>
      </w:tr>
      <w:tr w:rsidR="008C7C95" w:rsidRPr="00665D61" w14:paraId="639AF161" w14:textId="77777777" w:rsidTr="00665D61">
        <w:trPr>
          <w:trHeight w:val="290"/>
          <w:jc w:val="center"/>
        </w:trPr>
        <w:tc>
          <w:tcPr>
            <w:tcW w:w="3874" w:type="dxa"/>
            <w:tcBorders>
              <w:top w:val="nil"/>
              <w:left w:val="single" w:sz="4" w:space="0" w:color="000000"/>
              <w:bottom w:val="single" w:sz="4" w:space="0" w:color="000000"/>
              <w:right w:val="single" w:sz="4" w:space="0" w:color="000000"/>
            </w:tcBorders>
            <w:shd w:val="clear" w:color="000000" w:fill="FFFFFF"/>
            <w:vAlign w:val="center"/>
            <w:hideMark/>
          </w:tcPr>
          <w:p w14:paraId="537251BB" w14:textId="77777777" w:rsidR="008C7C95" w:rsidRPr="00665D61" w:rsidRDefault="008C7C95" w:rsidP="00985591">
            <w:pPr>
              <w:spacing w:line="276" w:lineRule="auto"/>
              <w:rPr>
                <w:rFonts w:ascii="Book Antiqua" w:hAnsi="Book Antiqua"/>
                <w:b/>
                <w:bCs/>
                <w:color w:val="000000"/>
                <w:sz w:val="16"/>
                <w:szCs w:val="16"/>
                <w:lang w:eastAsia="es-CR"/>
              </w:rPr>
            </w:pPr>
            <w:r w:rsidRPr="00665D61">
              <w:rPr>
                <w:rFonts w:ascii="Book Antiqua" w:hAnsi="Book Antiqua"/>
                <w:b/>
                <w:bCs/>
                <w:color w:val="000000"/>
                <w:sz w:val="16"/>
                <w:szCs w:val="16"/>
                <w:lang w:eastAsia="es-CR"/>
              </w:rPr>
              <w:t>No realizadas</w:t>
            </w:r>
          </w:p>
        </w:tc>
        <w:tc>
          <w:tcPr>
            <w:tcW w:w="1200" w:type="dxa"/>
            <w:tcBorders>
              <w:top w:val="nil"/>
              <w:left w:val="nil"/>
              <w:bottom w:val="single" w:sz="4" w:space="0" w:color="000000"/>
              <w:right w:val="single" w:sz="4" w:space="0" w:color="000000"/>
            </w:tcBorders>
            <w:shd w:val="clear" w:color="000000" w:fill="FFFFFF"/>
            <w:vAlign w:val="center"/>
            <w:hideMark/>
          </w:tcPr>
          <w:p w14:paraId="63B64C53" w14:textId="77777777" w:rsidR="008C7C95" w:rsidRPr="00665D61" w:rsidRDefault="008C7C95" w:rsidP="00985591">
            <w:pPr>
              <w:spacing w:line="276" w:lineRule="auto"/>
              <w:jc w:val="center"/>
              <w:rPr>
                <w:rFonts w:ascii="Book Antiqua" w:hAnsi="Book Antiqua"/>
                <w:color w:val="000000"/>
                <w:sz w:val="16"/>
                <w:szCs w:val="16"/>
                <w:lang w:eastAsia="es-CR"/>
              </w:rPr>
            </w:pPr>
            <w:r w:rsidRPr="00665D61">
              <w:rPr>
                <w:rFonts w:ascii="Book Antiqua" w:hAnsi="Book Antiqua"/>
                <w:color w:val="000000"/>
                <w:sz w:val="16"/>
                <w:szCs w:val="16"/>
                <w:lang w:eastAsia="es-CR"/>
              </w:rPr>
              <w:t>21</w:t>
            </w:r>
          </w:p>
        </w:tc>
      </w:tr>
      <w:tr w:rsidR="008C7C95" w:rsidRPr="00665D61" w14:paraId="398BC862" w14:textId="77777777" w:rsidTr="00665D61">
        <w:trPr>
          <w:trHeight w:val="290"/>
          <w:jc w:val="center"/>
        </w:trPr>
        <w:tc>
          <w:tcPr>
            <w:tcW w:w="3874" w:type="dxa"/>
            <w:tcBorders>
              <w:top w:val="nil"/>
              <w:left w:val="single" w:sz="4" w:space="0" w:color="000000"/>
              <w:bottom w:val="single" w:sz="4" w:space="0" w:color="000000"/>
              <w:right w:val="single" w:sz="4" w:space="0" w:color="000000"/>
            </w:tcBorders>
            <w:shd w:val="clear" w:color="000000" w:fill="DDEBF7"/>
            <w:vAlign w:val="center"/>
            <w:hideMark/>
          </w:tcPr>
          <w:p w14:paraId="4A2AFF4A" w14:textId="536AD865" w:rsidR="008C7C95" w:rsidRPr="00665D61" w:rsidRDefault="008C7C95" w:rsidP="00985591">
            <w:pPr>
              <w:spacing w:line="276" w:lineRule="auto"/>
              <w:rPr>
                <w:rFonts w:ascii="Book Antiqua" w:hAnsi="Book Antiqua"/>
                <w:b/>
                <w:bCs/>
                <w:color w:val="000000"/>
                <w:sz w:val="16"/>
                <w:szCs w:val="16"/>
                <w:lang w:eastAsia="es-CR"/>
              </w:rPr>
            </w:pPr>
            <w:r w:rsidRPr="00665D61">
              <w:rPr>
                <w:rFonts w:ascii="Book Antiqua" w:hAnsi="Book Antiqua"/>
                <w:b/>
                <w:bCs/>
                <w:color w:val="000000"/>
                <w:sz w:val="16"/>
                <w:szCs w:val="16"/>
                <w:lang w:eastAsia="es-CR"/>
              </w:rPr>
              <w:t>Audiencia Verificación Señaladas</w:t>
            </w:r>
          </w:p>
        </w:tc>
        <w:tc>
          <w:tcPr>
            <w:tcW w:w="1200" w:type="dxa"/>
            <w:tcBorders>
              <w:top w:val="nil"/>
              <w:left w:val="nil"/>
              <w:bottom w:val="single" w:sz="4" w:space="0" w:color="000000"/>
              <w:right w:val="single" w:sz="4" w:space="0" w:color="000000"/>
            </w:tcBorders>
            <w:shd w:val="clear" w:color="000000" w:fill="DDEBF7"/>
            <w:vAlign w:val="center"/>
            <w:hideMark/>
          </w:tcPr>
          <w:p w14:paraId="6E9086AF" w14:textId="77777777" w:rsidR="008C7C95" w:rsidRPr="00665D61" w:rsidRDefault="008C7C95" w:rsidP="00985591">
            <w:pPr>
              <w:spacing w:line="276" w:lineRule="auto"/>
              <w:jc w:val="center"/>
              <w:rPr>
                <w:rFonts w:ascii="Book Antiqua" w:hAnsi="Book Antiqua"/>
                <w:b/>
                <w:bCs/>
                <w:color w:val="000000"/>
                <w:sz w:val="16"/>
                <w:szCs w:val="16"/>
                <w:lang w:eastAsia="es-CR"/>
              </w:rPr>
            </w:pPr>
            <w:r w:rsidRPr="00665D61">
              <w:rPr>
                <w:rFonts w:ascii="Book Antiqua" w:hAnsi="Book Antiqua"/>
                <w:b/>
                <w:bCs/>
                <w:color w:val="000000"/>
                <w:sz w:val="16"/>
                <w:szCs w:val="16"/>
                <w:lang w:eastAsia="es-CR"/>
              </w:rPr>
              <w:t>72</w:t>
            </w:r>
          </w:p>
        </w:tc>
      </w:tr>
      <w:tr w:rsidR="008C7C95" w:rsidRPr="00665D61" w14:paraId="3A19F587" w14:textId="77777777" w:rsidTr="00665D61">
        <w:trPr>
          <w:trHeight w:val="290"/>
          <w:jc w:val="center"/>
        </w:trPr>
        <w:tc>
          <w:tcPr>
            <w:tcW w:w="3874" w:type="dxa"/>
            <w:tcBorders>
              <w:top w:val="nil"/>
              <w:left w:val="single" w:sz="4" w:space="0" w:color="000000"/>
              <w:bottom w:val="single" w:sz="4" w:space="0" w:color="000000"/>
              <w:right w:val="single" w:sz="4" w:space="0" w:color="000000"/>
            </w:tcBorders>
            <w:shd w:val="clear" w:color="000000" w:fill="FFFFFF"/>
            <w:vAlign w:val="center"/>
            <w:hideMark/>
          </w:tcPr>
          <w:p w14:paraId="42932527" w14:textId="77777777" w:rsidR="008C7C95" w:rsidRPr="00665D61" w:rsidRDefault="008C7C95" w:rsidP="00985591">
            <w:pPr>
              <w:spacing w:line="276" w:lineRule="auto"/>
              <w:rPr>
                <w:rFonts w:ascii="Book Antiqua" w:hAnsi="Book Antiqua"/>
                <w:color w:val="000000"/>
                <w:sz w:val="16"/>
                <w:szCs w:val="16"/>
                <w:lang w:eastAsia="es-CR"/>
              </w:rPr>
            </w:pPr>
            <w:r w:rsidRPr="00665D61">
              <w:rPr>
                <w:rFonts w:ascii="Book Antiqua" w:hAnsi="Book Antiqua"/>
                <w:color w:val="000000"/>
                <w:sz w:val="16"/>
                <w:szCs w:val="16"/>
                <w:lang w:eastAsia="es-CR"/>
              </w:rPr>
              <w:t>Se mantiene medida alterna</w:t>
            </w:r>
          </w:p>
        </w:tc>
        <w:tc>
          <w:tcPr>
            <w:tcW w:w="1200" w:type="dxa"/>
            <w:tcBorders>
              <w:top w:val="nil"/>
              <w:left w:val="nil"/>
              <w:bottom w:val="single" w:sz="4" w:space="0" w:color="000000"/>
              <w:right w:val="single" w:sz="4" w:space="0" w:color="000000"/>
            </w:tcBorders>
            <w:shd w:val="clear" w:color="000000" w:fill="FFFFFF"/>
            <w:vAlign w:val="center"/>
            <w:hideMark/>
          </w:tcPr>
          <w:p w14:paraId="220522EF" w14:textId="77777777" w:rsidR="008C7C95" w:rsidRPr="00665D61" w:rsidRDefault="008C7C95" w:rsidP="00985591">
            <w:pPr>
              <w:spacing w:line="276" w:lineRule="auto"/>
              <w:jc w:val="center"/>
              <w:rPr>
                <w:rFonts w:ascii="Book Antiqua" w:hAnsi="Book Antiqua"/>
                <w:color w:val="000000"/>
                <w:sz w:val="16"/>
                <w:szCs w:val="16"/>
                <w:lang w:eastAsia="es-CR"/>
              </w:rPr>
            </w:pPr>
            <w:r w:rsidRPr="00665D61">
              <w:rPr>
                <w:rFonts w:ascii="Book Antiqua" w:hAnsi="Book Antiqua"/>
                <w:color w:val="000000"/>
                <w:sz w:val="16"/>
                <w:szCs w:val="16"/>
                <w:lang w:eastAsia="es-CR"/>
              </w:rPr>
              <w:t>32</w:t>
            </w:r>
          </w:p>
        </w:tc>
      </w:tr>
      <w:tr w:rsidR="008C7C95" w:rsidRPr="00665D61" w14:paraId="023AD9F7" w14:textId="77777777" w:rsidTr="00665D61">
        <w:trPr>
          <w:trHeight w:val="290"/>
          <w:jc w:val="center"/>
        </w:trPr>
        <w:tc>
          <w:tcPr>
            <w:tcW w:w="3874" w:type="dxa"/>
            <w:tcBorders>
              <w:top w:val="nil"/>
              <w:left w:val="single" w:sz="4" w:space="0" w:color="000000"/>
              <w:bottom w:val="single" w:sz="4" w:space="0" w:color="000000"/>
              <w:right w:val="single" w:sz="4" w:space="0" w:color="000000"/>
            </w:tcBorders>
            <w:shd w:val="clear" w:color="000000" w:fill="FFFFFF"/>
            <w:vAlign w:val="center"/>
            <w:hideMark/>
          </w:tcPr>
          <w:p w14:paraId="10ED198F" w14:textId="77777777" w:rsidR="008C7C95" w:rsidRPr="00665D61" w:rsidRDefault="008C7C95" w:rsidP="00985591">
            <w:pPr>
              <w:spacing w:line="276" w:lineRule="auto"/>
              <w:rPr>
                <w:rFonts w:ascii="Book Antiqua" w:hAnsi="Book Antiqua"/>
                <w:color w:val="000000"/>
                <w:sz w:val="16"/>
                <w:szCs w:val="16"/>
                <w:lang w:eastAsia="es-CR"/>
              </w:rPr>
            </w:pPr>
            <w:r w:rsidRPr="00665D61">
              <w:rPr>
                <w:rFonts w:ascii="Book Antiqua" w:hAnsi="Book Antiqua"/>
                <w:color w:val="000000"/>
                <w:sz w:val="16"/>
                <w:szCs w:val="16"/>
                <w:lang w:eastAsia="es-CR"/>
              </w:rPr>
              <w:t>Se modifica medida alterna</w:t>
            </w:r>
          </w:p>
        </w:tc>
        <w:tc>
          <w:tcPr>
            <w:tcW w:w="1200" w:type="dxa"/>
            <w:tcBorders>
              <w:top w:val="nil"/>
              <w:left w:val="nil"/>
              <w:bottom w:val="single" w:sz="4" w:space="0" w:color="000000"/>
              <w:right w:val="single" w:sz="4" w:space="0" w:color="000000"/>
            </w:tcBorders>
            <w:shd w:val="clear" w:color="000000" w:fill="FFFFFF"/>
            <w:vAlign w:val="center"/>
            <w:hideMark/>
          </w:tcPr>
          <w:p w14:paraId="72FA2A6F" w14:textId="77777777" w:rsidR="008C7C95" w:rsidRPr="00665D61" w:rsidRDefault="008C7C95" w:rsidP="00985591">
            <w:pPr>
              <w:spacing w:line="276" w:lineRule="auto"/>
              <w:jc w:val="center"/>
              <w:rPr>
                <w:rFonts w:ascii="Book Antiqua" w:hAnsi="Book Antiqua"/>
                <w:color w:val="000000"/>
                <w:sz w:val="16"/>
                <w:szCs w:val="16"/>
                <w:lang w:eastAsia="es-CR"/>
              </w:rPr>
            </w:pPr>
            <w:r w:rsidRPr="00665D61">
              <w:rPr>
                <w:rFonts w:ascii="Book Antiqua" w:hAnsi="Book Antiqua"/>
                <w:color w:val="000000"/>
                <w:sz w:val="16"/>
                <w:szCs w:val="16"/>
                <w:lang w:eastAsia="es-CR"/>
              </w:rPr>
              <w:t>25</w:t>
            </w:r>
          </w:p>
        </w:tc>
      </w:tr>
      <w:tr w:rsidR="008C7C95" w:rsidRPr="00665D61" w14:paraId="1EA6E86F" w14:textId="77777777" w:rsidTr="00665D61">
        <w:trPr>
          <w:trHeight w:val="290"/>
          <w:jc w:val="center"/>
        </w:trPr>
        <w:tc>
          <w:tcPr>
            <w:tcW w:w="3874" w:type="dxa"/>
            <w:tcBorders>
              <w:top w:val="nil"/>
              <w:left w:val="single" w:sz="4" w:space="0" w:color="000000"/>
              <w:bottom w:val="single" w:sz="4" w:space="0" w:color="000000"/>
              <w:right w:val="single" w:sz="4" w:space="0" w:color="000000"/>
            </w:tcBorders>
            <w:shd w:val="clear" w:color="000000" w:fill="FFFFFF"/>
            <w:vAlign w:val="center"/>
            <w:hideMark/>
          </w:tcPr>
          <w:p w14:paraId="26C8931A" w14:textId="77777777" w:rsidR="008C7C95" w:rsidRPr="00665D61" w:rsidRDefault="008C7C95" w:rsidP="00985591">
            <w:pPr>
              <w:spacing w:line="276" w:lineRule="auto"/>
              <w:rPr>
                <w:rFonts w:ascii="Book Antiqua" w:hAnsi="Book Antiqua"/>
                <w:color w:val="000000"/>
                <w:sz w:val="16"/>
                <w:szCs w:val="16"/>
                <w:lang w:eastAsia="es-CR"/>
              </w:rPr>
            </w:pPr>
            <w:r w:rsidRPr="00665D61">
              <w:rPr>
                <w:rFonts w:ascii="Book Antiqua" w:hAnsi="Book Antiqua"/>
                <w:color w:val="000000"/>
                <w:sz w:val="16"/>
                <w:szCs w:val="16"/>
                <w:lang w:eastAsia="es-CR"/>
              </w:rPr>
              <w:t>Se revoca medida alterna</w:t>
            </w:r>
          </w:p>
        </w:tc>
        <w:tc>
          <w:tcPr>
            <w:tcW w:w="1200" w:type="dxa"/>
            <w:tcBorders>
              <w:top w:val="nil"/>
              <w:left w:val="nil"/>
              <w:bottom w:val="single" w:sz="4" w:space="0" w:color="000000"/>
              <w:right w:val="single" w:sz="4" w:space="0" w:color="000000"/>
            </w:tcBorders>
            <w:shd w:val="clear" w:color="000000" w:fill="FFFFFF"/>
            <w:vAlign w:val="center"/>
            <w:hideMark/>
          </w:tcPr>
          <w:p w14:paraId="77C01307" w14:textId="77777777" w:rsidR="008C7C95" w:rsidRPr="00665D61" w:rsidRDefault="008C7C95" w:rsidP="00985591">
            <w:pPr>
              <w:spacing w:line="276" w:lineRule="auto"/>
              <w:jc w:val="center"/>
              <w:rPr>
                <w:rFonts w:ascii="Book Antiqua" w:hAnsi="Book Antiqua"/>
                <w:color w:val="000000"/>
                <w:sz w:val="16"/>
                <w:szCs w:val="16"/>
                <w:lang w:eastAsia="es-CR"/>
              </w:rPr>
            </w:pPr>
            <w:r w:rsidRPr="00665D61">
              <w:rPr>
                <w:rFonts w:ascii="Book Antiqua" w:hAnsi="Book Antiqua"/>
                <w:color w:val="000000"/>
                <w:sz w:val="16"/>
                <w:szCs w:val="16"/>
                <w:lang w:eastAsia="es-CR"/>
              </w:rPr>
              <w:t>13</w:t>
            </w:r>
          </w:p>
        </w:tc>
      </w:tr>
      <w:tr w:rsidR="008C7C95" w:rsidRPr="00665D61" w14:paraId="4646E7B6" w14:textId="77777777" w:rsidTr="00665D61">
        <w:trPr>
          <w:trHeight w:val="290"/>
          <w:jc w:val="center"/>
        </w:trPr>
        <w:tc>
          <w:tcPr>
            <w:tcW w:w="3874" w:type="dxa"/>
            <w:tcBorders>
              <w:top w:val="nil"/>
              <w:left w:val="single" w:sz="4" w:space="0" w:color="000000"/>
              <w:bottom w:val="single" w:sz="4" w:space="0" w:color="000000"/>
              <w:right w:val="single" w:sz="4" w:space="0" w:color="000000"/>
            </w:tcBorders>
            <w:shd w:val="clear" w:color="000000" w:fill="FFFFFF"/>
            <w:vAlign w:val="center"/>
            <w:hideMark/>
          </w:tcPr>
          <w:p w14:paraId="042FAB97" w14:textId="77777777" w:rsidR="008C7C95" w:rsidRPr="00665D61" w:rsidRDefault="008C7C95" w:rsidP="00985591">
            <w:pPr>
              <w:spacing w:line="276" w:lineRule="auto"/>
              <w:rPr>
                <w:rFonts w:ascii="Book Antiqua" w:hAnsi="Book Antiqua"/>
                <w:color w:val="000000"/>
                <w:sz w:val="16"/>
                <w:szCs w:val="16"/>
                <w:lang w:eastAsia="es-CR"/>
              </w:rPr>
            </w:pPr>
            <w:r w:rsidRPr="00665D61">
              <w:rPr>
                <w:rFonts w:ascii="Book Antiqua" w:hAnsi="Book Antiqua"/>
                <w:color w:val="000000"/>
                <w:sz w:val="16"/>
                <w:szCs w:val="16"/>
                <w:lang w:eastAsia="es-CR"/>
              </w:rPr>
              <w:t>Se homologa indemnización seguro</w:t>
            </w:r>
          </w:p>
        </w:tc>
        <w:tc>
          <w:tcPr>
            <w:tcW w:w="1200" w:type="dxa"/>
            <w:tcBorders>
              <w:top w:val="nil"/>
              <w:left w:val="nil"/>
              <w:bottom w:val="single" w:sz="4" w:space="0" w:color="000000"/>
              <w:right w:val="single" w:sz="4" w:space="0" w:color="000000"/>
            </w:tcBorders>
            <w:shd w:val="clear" w:color="000000" w:fill="FFFFFF"/>
            <w:vAlign w:val="center"/>
            <w:hideMark/>
          </w:tcPr>
          <w:p w14:paraId="33D67B59" w14:textId="77777777" w:rsidR="008C7C95" w:rsidRPr="00665D61" w:rsidRDefault="008C7C95" w:rsidP="00985591">
            <w:pPr>
              <w:spacing w:line="276" w:lineRule="auto"/>
              <w:jc w:val="center"/>
              <w:rPr>
                <w:rFonts w:ascii="Book Antiqua" w:hAnsi="Book Antiqua"/>
                <w:color w:val="000000"/>
                <w:sz w:val="16"/>
                <w:szCs w:val="16"/>
                <w:lang w:eastAsia="es-CR"/>
              </w:rPr>
            </w:pPr>
            <w:r w:rsidRPr="00665D61">
              <w:rPr>
                <w:rFonts w:ascii="Book Antiqua" w:hAnsi="Book Antiqua"/>
                <w:color w:val="000000"/>
                <w:sz w:val="16"/>
                <w:szCs w:val="16"/>
                <w:lang w:eastAsia="es-CR"/>
              </w:rPr>
              <w:t>1</w:t>
            </w:r>
          </w:p>
        </w:tc>
      </w:tr>
      <w:tr w:rsidR="008C7C95" w:rsidRPr="00665D61" w14:paraId="0D29AE94" w14:textId="77777777" w:rsidTr="00665D61">
        <w:trPr>
          <w:trHeight w:val="290"/>
          <w:jc w:val="center"/>
        </w:trPr>
        <w:tc>
          <w:tcPr>
            <w:tcW w:w="3874" w:type="dxa"/>
            <w:tcBorders>
              <w:top w:val="nil"/>
              <w:left w:val="single" w:sz="4" w:space="0" w:color="000000"/>
              <w:bottom w:val="single" w:sz="4" w:space="0" w:color="000000"/>
              <w:right w:val="single" w:sz="4" w:space="0" w:color="000000"/>
            </w:tcBorders>
            <w:shd w:val="clear" w:color="000000" w:fill="DDEBF7"/>
            <w:vAlign w:val="center"/>
            <w:hideMark/>
          </w:tcPr>
          <w:p w14:paraId="29341DEA" w14:textId="77777777" w:rsidR="008C7C95" w:rsidRPr="00665D61" w:rsidRDefault="008C7C95" w:rsidP="00985591">
            <w:pPr>
              <w:spacing w:line="276" w:lineRule="auto"/>
              <w:rPr>
                <w:rFonts w:ascii="Book Antiqua" w:hAnsi="Book Antiqua"/>
                <w:b/>
                <w:bCs/>
                <w:color w:val="000000"/>
                <w:sz w:val="16"/>
                <w:szCs w:val="16"/>
                <w:lang w:eastAsia="es-CR"/>
              </w:rPr>
            </w:pPr>
            <w:r w:rsidRPr="00665D61">
              <w:rPr>
                <w:rFonts w:ascii="Book Antiqua" w:hAnsi="Book Antiqua"/>
                <w:b/>
                <w:bCs/>
                <w:color w:val="000000"/>
                <w:sz w:val="16"/>
                <w:szCs w:val="16"/>
                <w:lang w:eastAsia="es-CR"/>
              </w:rPr>
              <w:t>Red de apoyo</w:t>
            </w:r>
          </w:p>
        </w:tc>
        <w:tc>
          <w:tcPr>
            <w:tcW w:w="1200" w:type="dxa"/>
            <w:tcBorders>
              <w:top w:val="nil"/>
              <w:left w:val="nil"/>
              <w:bottom w:val="single" w:sz="4" w:space="0" w:color="000000"/>
              <w:right w:val="single" w:sz="4" w:space="0" w:color="000000"/>
            </w:tcBorders>
            <w:shd w:val="clear" w:color="000000" w:fill="DDEBF7"/>
            <w:vAlign w:val="center"/>
            <w:hideMark/>
          </w:tcPr>
          <w:p w14:paraId="4F6C69F5" w14:textId="77777777" w:rsidR="008C7C95" w:rsidRPr="00665D61" w:rsidRDefault="008C7C95" w:rsidP="00985591">
            <w:pPr>
              <w:spacing w:line="276" w:lineRule="auto"/>
              <w:jc w:val="center"/>
              <w:rPr>
                <w:rFonts w:ascii="Book Antiqua" w:hAnsi="Book Antiqua"/>
                <w:color w:val="000000"/>
                <w:sz w:val="16"/>
                <w:szCs w:val="16"/>
                <w:lang w:eastAsia="es-CR"/>
              </w:rPr>
            </w:pPr>
            <w:r w:rsidRPr="00665D61">
              <w:rPr>
                <w:rFonts w:ascii="Book Antiqua" w:hAnsi="Book Antiqua"/>
                <w:color w:val="000000"/>
                <w:sz w:val="16"/>
                <w:szCs w:val="16"/>
                <w:lang w:eastAsia="es-CR"/>
              </w:rPr>
              <w:t> </w:t>
            </w:r>
          </w:p>
        </w:tc>
      </w:tr>
      <w:tr w:rsidR="008C7C95" w:rsidRPr="00665D61" w14:paraId="6F2C2526" w14:textId="77777777" w:rsidTr="00665D61">
        <w:trPr>
          <w:trHeight w:val="290"/>
          <w:jc w:val="center"/>
        </w:trPr>
        <w:tc>
          <w:tcPr>
            <w:tcW w:w="3874" w:type="dxa"/>
            <w:tcBorders>
              <w:top w:val="nil"/>
              <w:left w:val="single" w:sz="4" w:space="0" w:color="000000"/>
              <w:bottom w:val="single" w:sz="4" w:space="0" w:color="000000"/>
              <w:right w:val="single" w:sz="4" w:space="0" w:color="000000"/>
            </w:tcBorders>
            <w:shd w:val="clear" w:color="000000" w:fill="FFFFFF"/>
            <w:vAlign w:val="center"/>
            <w:hideMark/>
          </w:tcPr>
          <w:p w14:paraId="131B1DB0" w14:textId="77777777" w:rsidR="008C7C95" w:rsidRPr="00665D61" w:rsidRDefault="008C7C95" w:rsidP="00985591">
            <w:pPr>
              <w:spacing w:line="276" w:lineRule="auto"/>
              <w:rPr>
                <w:rFonts w:ascii="Book Antiqua" w:hAnsi="Book Antiqua"/>
                <w:color w:val="000000"/>
                <w:sz w:val="16"/>
                <w:szCs w:val="16"/>
                <w:lang w:eastAsia="es-CR"/>
              </w:rPr>
            </w:pPr>
            <w:r w:rsidRPr="00665D61">
              <w:rPr>
                <w:rFonts w:ascii="Book Antiqua" w:hAnsi="Book Antiqua"/>
                <w:color w:val="000000"/>
                <w:sz w:val="16"/>
                <w:szCs w:val="16"/>
                <w:lang w:eastAsia="es-CR"/>
              </w:rPr>
              <w:t>Coordinaciones interinstitucionales</w:t>
            </w:r>
          </w:p>
        </w:tc>
        <w:tc>
          <w:tcPr>
            <w:tcW w:w="1200" w:type="dxa"/>
            <w:tcBorders>
              <w:top w:val="nil"/>
              <w:left w:val="nil"/>
              <w:bottom w:val="single" w:sz="4" w:space="0" w:color="000000"/>
              <w:right w:val="single" w:sz="4" w:space="0" w:color="000000"/>
            </w:tcBorders>
            <w:shd w:val="clear" w:color="000000" w:fill="FFFFFF"/>
            <w:vAlign w:val="center"/>
            <w:hideMark/>
          </w:tcPr>
          <w:p w14:paraId="124EAC14" w14:textId="77777777" w:rsidR="008C7C95" w:rsidRPr="00665D61" w:rsidRDefault="008C7C95" w:rsidP="00985591">
            <w:pPr>
              <w:spacing w:line="276" w:lineRule="auto"/>
              <w:jc w:val="center"/>
              <w:rPr>
                <w:rFonts w:ascii="Book Antiqua" w:hAnsi="Book Antiqua"/>
                <w:color w:val="000000"/>
                <w:sz w:val="16"/>
                <w:szCs w:val="16"/>
                <w:lang w:eastAsia="es-CR"/>
              </w:rPr>
            </w:pPr>
            <w:r w:rsidRPr="00665D61">
              <w:rPr>
                <w:rFonts w:ascii="Book Antiqua" w:hAnsi="Book Antiqua"/>
                <w:color w:val="000000"/>
                <w:sz w:val="16"/>
                <w:szCs w:val="16"/>
                <w:lang w:eastAsia="es-CR"/>
              </w:rPr>
              <w:t>461</w:t>
            </w:r>
          </w:p>
        </w:tc>
      </w:tr>
      <w:tr w:rsidR="008C7C95" w:rsidRPr="00665D61" w14:paraId="4F063B19" w14:textId="77777777" w:rsidTr="00665D61">
        <w:trPr>
          <w:trHeight w:val="290"/>
          <w:jc w:val="center"/>
        </w:trPr>
        <w:tc>
          <w:tcPr>
            <w:tcW w:w="3874" w:type="dxa"/>
            <w:tcBorders>
              <w:top w:val="nil"/>
              <w:left w:val="single" w:sz="4" w:space="0" w:color="000000"/>
              <w:bottom w:val="single" w:sz="4" w:space="0" w:color="000000"/>
              <w:right w:val="single" w:sz="4" w:space="0" w:color="000000"/>
            </w:tcBorders>
            <w:shd w:val="clear" w:color="000000" w:fill="FFFFFF"/>
            <w:vAlign w:val="center"/>
            <w:hideMark/>
          </w:tcPr>
          <w:p w14:paraId="0B9A1141" w14:textId="77777777" w:rsidR="008C7C95" w:rsidRPr="00665D61" w:rsidRDefault="008C7C95" w:rsidP="00985591">
            <w:pPr>
              <w:spacing w:line="276" w:lineRule="auto"/>
              <w:rPr>
                <w:rFonts w:ascii="Book Antiqua" w:hAnsi="Book Antiqua"/>
                <w:b/>
                <w:bCs/>
                <w:color w:val="000000"/>
                <w:sz w:val="16"/>
                <w:szCs w:val="16"/>
                <w:lang w:eastAsia="es-CR"/>
              </w:rPr>
            </w:pPr>
            <w:r w:rsidRPr="00665D61">
              <w:rPr>
                <w:rFonts w:ascii="Book Antiqua" w:hAnsi="Book Antiqua"/>
                <w:b/>
                <w:bCs/>
                <w:color w:val="000000"/>
                <w:sz w:val="16"/>
                <w:szCs w:val="16"/>
                <w:lang w:eastAsia="es-CR"/>
              </w:rPr>
              <w:t>Cantidad de instituciones que conforman la red</w:t>
            </w:r>
          </w:p>
        </w:tc>
        <w:tc>
          <w:tcPr>
            <w:tcW w:w="1200" w:type="dxa"/>
            <w:tcBorders>
              <w:top w:val="nil"/>
              <w:left w:val="nil"/>
              <w:bottom w:val="single" w:sz="4" w:space="0" w:color="000000"/>
              <w:right w:val="single" w:sz="4" w:space="0" w:color="000000"/>
            </w:tcBorders>
            <w:shd w:val="clear" w:color="000000" w:fill="FFFFFF"/>
            <w:vAlign w:val="center"/>
            <w:hideMark/>
          </w:tcPr>
          <w:p w14:paraId="30949433" w14:textId="77777777" w:rsidR="008C7C95" w:rsidRPr="00665D61" w:rsidRDefault="008C7C95" w:rsidP="00985591">
            <w:pPr>
              <w:spacing w:line="276" w:lineRule="auto"/>
              <w:jc w:val="center"/>
              <w:rPr>
                <w:rFonts w:ascii="Book Antiqua" w:hAnsi="Book Antiqua"/>
                <w:color w:val="000000"/>
                <w:sz w:val="16"/>
                <w:szCs w:val="16"/>
                <w:lang w:eastAsia="es-CR"/>
              </w:rPr>
            </w:pPr>
            <w:r w:rsidRPr="00665D61">
              <w:rPr>
                <w:rFonts w:ascii="Book Antiqua" w:hAnsi="Book Antiqua"/>
                <w:color w:val="000000"/>
                <w:sz w:val="16"/>
                <w:szCs w:val="16"/>
                <w:lang w:eastAsia="es-CR"/>
              </w:rPr>
              <w:t>1482</w:t>
            </w:r>
          </w:p>
        </w:tc>
      </w:tr>
      <w:tr w:rsidR="008C7C95" w:rsidRPr="00665D61" w14:paraId="20B593C5" w14:textId="77777777" w:rsidTr="00665D61">
        <w:trPr>
          <w:trHeight w:val="290"/>
          <w:jc w:val="center"/>
        </w:trPr>
        <w:tc>
          <w:tcPr>
            <w:tcW w:w="3874" w:type="dxa"/>
            <w:tcBorders>
              <w:top w:val="nil"/>
              <w:left w:val="single" w:sz="4" w:space="0" w:color="000000"/>
              <w:bottom w:val="single" w:sz="4" w:space="0" w:color="000000"/>
              <w:right w:val="single" w:sz="4" w:space="0" w:color="000000"/>
            </w:tcBorders>
            <w:shd w:val="clear" w:color="000000" w:fill="DDEBF7"/>
            <w:vAlign w:val="center"/>
            <w:hideMark/>
          </w:tcPr>
          <w:p w14:paraId="3D160E5E" w14:textId="77777777" w:rsidR="008C7C95" w:rsidRPr="00665D61" w:rsidRDefault="008C7C95" w:rsidP="00985591">
            <w:pPr>
              <w:spacing w:line="276" w:lineRule="auto"/>
              <w:rPr>
                <w:rFonts w:ascii="Book Antiqua" w:hAnsi="Book Antiqua"/>
                <w:b/>
                <w:bCs/>
                <w:color w:val="000000"/>
                <w:sz w:val="16"/>
                <w:szCs w:val="16"/>
                <w:lang w:eastAsia="es-CR"/>
              </w:rPr>
            </w:pPr>
            <w:r w:rsidRPr="00665D61">
              <w:rPr>
                <w:rFonts w:ascii="Book Antiqua" w:hAnsi="Book Antiqua"/>
                <w:b/>
                <w:bCs/>
                <w:color w:val="000000"/>
                <w:sz w:val="16"/>
                <w:szCs w:val="16"/>
                <w:lang w:eastAsia="es-CR"/>
              </w:rPr>
              <w:t>Entrevistas</w:t>
            </w:r>
          </w:p>
        </w:tc>
        <w:tc>
          <w:tcPr>
            <w:tcW w:w="1200" w:type="dxa"/>
            <w:tcBorders>
              <w:top w:val="nil"/>
              <w:left w:val="nil"/>
              <w:bottom w:val="single" w:sz="4" w:space="0" w:color="000000"/>
              <w:right w:val="single" w:sz="4" w:space="0" w:color="000000"/>
            </w:tcBorders>
            <w:shd w:val="clear" w:color="000000" w:fill="DDEBF7"/>
            <w:vAlign w:val="center"/>
            <w:hideMark/>
          </w:tcPr>
          <w:p w14:paraId="1231EF4A" w14:textId="77777777" w:rsidR="008C7C95" w:rsidRPr="00665D61" w:rsidRDefault="008C7C95" w:rsidP="00985591">
            <w:pPr>
              <w:spacing w:line="276" w:lineRule="auto"/>
              <w:jc w:val="center"/>
              <w:rPr>
                <w:rFonts w:ascii="Book Antiqua" w:hAnsi="Book Antiqua"/>
                <w:color w:val="000000"/>
                <w:sz w:val="16"/>
                <w:szCs w:val="16"/>
                <w:lang w:eastAsia="es-CR"/>
              </w:rPr>
            </w:pPr>
            <w:r w:rsidRPr="00665D61">
              <w:rPr>
                <w:rFonts w:ascii="Book Antiqua" w:hAnsi="Book Antiqua"/>
                <w:color w:val="000000"/>
                <w:sz w:val="16"/>
                <w:szCs w:val="16"/>
                <w:lang w:eastAsia="es-CR"/>
              </w:rPr>
              <w:t> </w:t>
            </w:r>
          </w:p>
        </w:tc>
      </w:tr>
      <w:tr w:rsidR="008C7C95" w:rsidRPr="00665D61" w14:paraId="39551485" w14:textId="77777777" w:rsidTr="00665D61">
        <w:trPr>
          <w:trHeight w:val="290"/>
          <w:jc w:val="center"/>
        </w:trPr>
        <w:tc>
          <w:tcPr>
            <w:tcW w:w="3874" w:type="dxa"/>
            <w:tcBorders>
              <w:top w:val="nil"/>
              <w:left w:val="single" w:sz="4" w:space="0" w:color="000000"/>
              <w:bottom w:val="single" w:sz="4" w:space="0" w:color="000000"/>
              <w:right w:val="single" w:sz="4" w:space="0" w:color="000000"/>
            </w:tcBorders>
            <w:shd w:val="clear" w:color="000000" w:fill="FFFFFF"/>
            <w:vAlign w:val="center"/>
            <w:hideMark/>
          </w:tcPr>
          <w:p w14:paraId="70F2B4A5" w14:textId="77777777" w:rsidR="008C7C95" w:rsidRPr="00665D61" w:rsidRDefault="008C7C95" w:rsidP="00985591">
            <w:pPr>
              <w:spacing w:line="276" w:lineRule="auto"/>
              <w:rPr>
                <w:rFonts w:ascii="Book Antiqua" w:hAnsi="Book Antiqua"/>
                <w:b/>
                <w:bCs/>
                <w:color w:val="000000"/>
                <w:sz w:val="16"/>
                <w:szCs w:val="16"/>
                <w:lang w:eastAsia="es-CR"/>
              </w:rPr>
            </w:pPr>
            <w:r w:rsidRPr="00665D61">
              <w:rPr>
                <w:rFonts w:ascii="Book Antiqua" w:hAnsi="Book Antiqua"/>
                <w:b/>
                <w:bCs/>
                <w:color w:val="000000"/>
                <w:sz w:val="16"/>
                <w:szCs w:val="16"/>
                <w:lang w:eastAsia="es-CR"/>
              </w:rPr>
              <w:t>Legales</w:t>
            </w:r>
          </w:p>
        </w:tc>
        <w:tc>
          <w:tcPr>
            <w:tcW w:w="1200" w:type="dxa"/>
            <w:tcBorders>
              <w:top w:val="nil"/>
              <w:left w:val="nil"/>
              <w:bottom w:val="single" w:sz="4" w:space="0" w:color="000000"/>
              <w:right w:val="single" w:sz="4" w:space="0" w:color="000000"/>
            </w:tcBorders>
            <w:shd w:val="clear" w:color="000000" w:fill="FFFFFF"/>
            <w:vAlign w:val="center"/>
            <w:hideMark/>
          </w:tcPr>
          <w:p w14:paraId="2A09141B" w14:textId="77777777" w:rsidR="008C7C95" w:rsidRPr="00665D61" w:rsidRDefault="008C7C95" w:rsidP="00985591">
            <w:pPr>
              <w:spacing w:line="276" w:lineRule="auto"/>
              <w:jc w:val="center"/>
              <w:rPr>
                <w:rFonts w:ascii="Book Antiqua" w:hAnsi="Book Antiqua"/>
                <w:color w:val="000000"/>
                <w:sz w:val="16"/>
                <w:szCs w:val="16"/>
                <w:lang w:eastAsia="es-CR"/>
              </w:rPr>
            </w:pPr>
            <w:r w:rsidRPr="00665D61">
              <w:rPr>
                <w:rFonts w:ascii="Book Antiqua" w:hAnsi="Book Antiqua"/>
                <w:color w:val="000000"/>
                <w:sz w:val="16"/>
                <w:szCs w:val="16"/>
                <w:lang w:eastAsia="es-CR"/>
              </w:rPr>
              <w:t>344</w:t>
            </w:r>
          </w:p>
        </w:tc>
      </w:tr>
      <w:tr w:rsidR="008C7C95" w:rsidRPr="00665D61" w14:paraId="772262A9" w14:textId="77777777" w:rsidTr="00665D61">
        <w:trPr>
          <w:trHeight w:val="290"/>
          <w:jc w:val="center"/>
        </w:trPr>
        <w:tc>
          <w:tcPr>
            <w:tcW w:w="3874" w:type="dxa"/>
            <w:tcBorders>
              <w:top w:val="nil"/>
              <w:left w:val="single" w:sz="4" w:space="0" w:color="000000"/>
              <w:bottom w:val="single" w:sz="4" w:space="0" w:color="000000"/>
              <w:right w:val="single" w:sz="4" w:space="0" w:color="000000"/>
            </w:tcBorders>
            <w:shd w:val="clear" w:color="000000" w:fill="FFFFFF"/>
            <w:vAlign w:val="center"/>
            <w:hideMark/>
          </w:tcPr>
          <w:p w14:paraId="1000FB73" w14:textId="77777777" w:rsidR="008C7C95" w:rsidRPr="00665D61" w:rsidRDefault="008C7C95" w:rsidP="00985591">
            <w:pPr>
              <w:spacing w:line="276" w:lineRule="auto"/>
              <w:rPr>
                <w:rFonts w:ascii="Book Antiqua" w:hAnsi="Book Antiqua"/>
                <w:b/>
                <w:bCs/>
                <w:color w:val="000000"/>
                <w:sz w:val="16"/>
                <w:szCs w:val="16"/>
                <w:lang w:eastAsia="es-CR"/>
              </w:rPr>
            </w:pPr>
            <w:r w:rsidRPr="00665D61">
              <w:rPr>
                <w:rFonts w:ascii="Book Antiqua" w:hAnsi="Book Antiqua"/>
                <w:b/>
                <w:bCs/>
                <w:color w:val="000000"/>
                <w:sz w:val="16"/>
                <w:szCs w:val="16"/>
                <w:lang w:eastAsia="es-CR"/>
              </w:rPr>
              <w:t>Psicosociales</w:t>
            </w:r>
          </w:p>
        </w:tc>
        <w:tc>
          <w:tcPr>
            <w:tcW w:w="1200" w:type="dxa"/>
            <w:tcBorders>
              <w:top w:val="nil"/>
              <w:left w:val="nil"/>
              <w:bottom w:val="single" w:sz="4" w:space="0" w:color="000000"/>
              <w:right w:val="single" w:sz="4" w:space="0" w:color="000000"/>
            </w:tcBorders>
            <w:shd w:val="clear" w:color="000000" w:fill="FFFFFF"/>
            <w:vAlign w:val="center"/>
            <w:hideMark/>
          </w:tcPr>
          <w:p w14:paraId="10BB290C" w14:textId="77777777" w:rsidR="008C7C95" w:rsidRPr="00665D61" w:rsidRDefault="008C7C95" w:rsidP="00985591">
            <w:pPr>
              <w:spacing w:line="276" w:lineRule="auto"/>
              <w:jc w:val="center"/>
              <w:rPr>
                <w:rFonts w:ascii="Book Antiqua" w:hAnsi="Book Antiqua"/>
                <w:color w:val="000000"/>
                <w:sz w:val="16"/>
                <w:szCs w:val="16"/>
                <w:lang w:eastAsia="es-CR"/>
              </w:rPr>
            </w:pPr>
            <w:r w:rsidRPr="00665D61">
              <w:rPr>
                <w:rFonts w:ascii="Book Antiqua" w:hAnsi="Book Antiqua"/>
                <w:color w:val="000000"/>
                <w:sz w:val="16"/>
                <w:szCs w:val="16"/>
                <w:lang w:eastAsia="es-CR"/>
              </w:rPr>
              <w:t>298</w:t>
            </w:r>
          </w:p>
        </w:tc>
      </w:tr>
      <w:tr w:rsidR="008C7C95" w:rsidRPr="00665D61" w14:paraId="4D602DD8" w14:textId="77777777" w:rsidTr="00665D61">
        <w:trPr>
          <w:trHeight w:val="290"/>
          <w:jc w:val="center"/>
        </w:trPr>
        <w:tc>
          <w:tcPr>
            <w:tcW w:w="3874" w:type="dxa"/>
            <w:tcBorders>
              <w:top w:val="nil"/>
              <w:left w:val="single" w:sz="4" w:space="0" w:color="000000"/>
              <w:bottom w:val="single" w:sz="4" w:space="0" w:color="000000"/>
              <w:right w:val="single" w:sz="4" w:space="0" w:color="000000"/>
            </w:tcBorders>
            <w:shd w:val="clear" w:color="000000" w:fill="FFFFFF"/>
            <w:vAlign w:val="center"/>
            <w:hideMark/>
          </w:tcPr>
          <w:p w14:paraId="7D2FDB29" w14:textId="77777777" w:rsidR="008C7C95" w:rsidRPr="00665D61" w:rsidRDefault="008C7C95" w:rsidP="00985591">
            <w:pPr>
              <w:spacing w:line="276" w:lineRule="auto"/>
              <w:rPr>
                <w:rFonts w:ascii="Book Antiqua" w:hAnsi="Book Antiqua"/>
                <w:b/>
                <w:bCs/>
                <w:color w:val="000000"/>
                <w:sz w:val="16"/>
                <w:szCs w:val="16"/>
                <w:lang w:eastAsia="es-CR"/>
              </w:rPr>
            </w:pPr>
            <w:r w:rsidRPr="00665D61">
              <w:rPr>
                <w:rFonts w:ascii="Book Antiqua" w:hAnsi="Book Antiqua"/>
                <w:b/>
                <w:bCs/>
                <w:color w:val="000000"/>
                <w:sz w:val="16"/>
                <w:szCs w:val="16"/>
                <w:lang w:eastAsia="es-CR"/>
              </w:rPr>
              <w:t>Seguimiento de medidas alternas</w:t>
            </w:r>
          </w:p>
        </w:tc>
        <w:tc>
          <w:tcPr>
            <w:tcW w:w="1200" w:type="dxa"/>
            <w:tcBorders>
              <w:top w:val="nil"/>
              <w:left w:val="nil"/>
              <w:bottom w:val="single" w:sz="4" w:space="0" w:color="000000"/>
              <w:right w:val="single" w:sz="4" w:space="0" w:color="000000"/>
            </w:tcBorders>
            <w:shd w:val="clear" w:color="000000" w:fill="FFFFFF"/>
            <w:vAlign w:val="center"/>
            <w:hideMark/>
          </w:tcPr>
          <w:p w14:paraId="2FF7B825" w14:textId="77777777" w:rsidR="008C7C95" w:rsidRPr="00665D61" w:rsidRDefault="008C7C95" w:rsidP="00985591">
            <w:pPr>
              <w:spacing w:line="276" w:lineRule="auto"/>
              <w:jc w:val="center"/>
              <w:rPr>
                <w:rFonts w:ascii="Book Antiqua" w:hAnsi="Book Antiqua"/>
                <w:color w:val="000000"/>
                <w:sz w:val="16"/>
                <w:szCs w:val="16"/>
                <w:lang w:eastAsia="es-CR"/>
              </w:rPr>
            </w:pPr>
            <w:r w:rsidRPr="00665D61">
              <w:rPr>
                <w:rFonts w:ascii="Book Antiqua" w:hAnsi="Book Antiqua"/>
                <w:color w:val="000000"/>
                <w:sz w:val="16"/>
                <w:szCs w:val="16"/>
                <w:lang w:eastAsia="es-CR"/>
              </w:rPr>
              <w:t>185</w:t>
            </w:r>
          </w:p>
        </w:tc>
      </w:tr>
    </w:tbl>
    <w:p w14:paraId="2296C806" w14:textId="6CD9BCDC" w:rsidR="008C7C95" w:rsidRPr="004F0E92" w:rsidRDefault="008C7C95" w:rsidP="00985591">
      <w:pPr>
        <w:spacing w:line="276" w:lineRule="auto"/>
        <w:jc w:val="center"/>
        <w:rPr>
          <w:rFonts w:ascii="Book Antiqua" w:hAnsi="Book Antiqua"/>
          <w:b/>
          <w:bCs/>
          <w:color w:val="000000" w:themeColor="text1"/>
          <w:sz w:val="20"/>
          <w:szCs w:val="20"/>
        </w:rPr>
      </w:pPr>
      <w:r w:rsidRPr="008C7C95">
        <w:rPr>
          <w:rFonts w:ascii="Book Antiqua" w:hAnsi="Book Antiqua"/>
          <w:b/>
          <w:bCs/>
          <w:color w:val="000000" w:themeColor="text1"/>
          <w:sz w:val="20"/>
          <w:szCs w:val="20"/>
        </w:rPr>
        <w:t xml:space="preserve">Fuente: </w:t>
      </w:r>
      <w:r w:rsidRPr="008C7C95">
        <w:rPr>
          <w:rFonts w:ascii="Book Antiqua" w:hAnsi="Book Antiqua"/>
          <w:color w:val="000000" w:themeColor="text1"/>
          <w:sz w:val="20"/>
          <w:szCs w:val="20"/>
        </w:rPr>
        <w:t>Elaborado por la Oficina Rectora de Justica Restaurativa</w:t>
      </w:r>
    </w:p>
    <w:p w14:paraId="6CD61DB6" w14:textId="77777777" w:rsidR="004F0E92" w:rsidRPr="004F0E92" w:rsidRDefault="004F0E92" w:rsidP="00985591">
      <w:pPr>
        <w:spacing w:line="276" w:lineRule="auto"/>
        <w:jc w:val="both"/>
        <w:rPr>
          <w:rFonts w:ascii="Book Antiqua" w:hAnsi="Book Antiqua"/>
        </w:rPr>
      </w:pPr>
    </w:p>
    <w:p w14:paraId="28F9378E" w14:textId="79A8AD5B" w:rsidR="00716590" w:rsidRDefault="00716590" w:rsidP="00985591">
      <w:pPr>
        <w:spacing w:line="276" w:lineRule="auto"/>
        <w:jc w:val="both"/>
        <w:rPr>
          <w:rFonts w:ascii="Book Antiqua" w:hAnsi="Book Antiqua"/>
        </w:rPr>
      </w:pPr>
      <w:r w:rsidRPr="004F0E92">
        <w:rPr>
          <w:rFonts w:ascii="Book Antiqua" w:hAnsi="Book Antiqua"/>
        </w:rPr>
        <w:t xml:space="preserve">A continuación, los datos más relevantes del mes de </w:t>
      </w:r>
      <w:r>
        <w:rPr>
          <w:rFonts w:ascii="Book Antiqua" w:hAnsi="Book Antiqua"/>
        </w:rPr>
        <w:t>junio</w:t>
      </w:r>
      <w:r w:rsidRPr="004F0E92">
        <w:rPr>
          <w:rFonts w:ascii="Book Antiqua" w:hAnsi="Book Antiqua"/>
        </w:rPr>
        <w:t xml:space="preserve"> de 202</w:t>
      </w:r>
      <w:r>
        <w:rPr>
          <w:rFonts w:ascii="Book Antiqua" w:hAnsi="Book Antiqua"/>
        </w:rPr>
        <w:t>1</w:t>
      </w:r>
      <w:r w:rsidRPr="004F0E92">
        <w:rPr>
          <w:rFonts w:ascii="Book Antiqua" w:hAnsi="Book Antiqua"/>
        </w:rPr>
        <w:t xml:space="preserve"> de Justicia Juvenil Restaurativa</w:t>
      </w:r>
      <w:r>
        <w:rPr>
          <w:rFonts w:ascii="Book Antiqua" w:hAnsi="Book Antiqua"/>
        </w:rPr>
        <w:t>:</w:t>
      </w:r>
      <w:r w:rsidRPr="004F0E92">
        <w:rPr>
          <w:rFonts w:ascii="Book Antiqua" w:hAnsi="Book Antiqua"/>
        </w:rPr>
        <w:t xml:space="preserve"> </w:t>
      </w:r>
    </w:p>
    <w:p w14:paraId="7BD50784" w14:textId="77777777" w:rsidR="00716590" w:rsidRPr="004F0E92" w:rsidRDefault="00716590" w:rsidP="00985591">
      <w:pPr>
        <w:spacing w:line="276" w:lineRule="auto"/>
        <w:jc w:val="both"/>
        <w:rPr>
          <w:rFonts w:ascii="Book Antiqua" w:hAnsi="Book Antiqua"/>
        </w:rPr>
      </w:pPr>
    </w:p>
    <w:p w14:paraId="368E575A" w14:textId="09C13CA9" w:rsidR="00716590" w:rsidRPr="00BF2ABA" w:rsidRDefault="00716590" w:rsidP="00985591">
      <w:pPr>
        <w:spacing w:line="276" w:lineRule="auto"/>
        <w:jc w:val="both"/>
        <w:rPr>
          <w:rFonts w:ascii="Book Antiqua" w:hAnsi="Book Antiqua"/>
        </w:rPr>
      </w:pPr>
      <w:r>
        <w:rPr>
          <w:rFonts w:ascii="Book Antiqua" w:hAnsi="Book Antiqua"/>
        </w:rPr>
        <w:t xml:space="preserve">Se identifica que, </w:t>
      </w:r>
      <w:r w:rsidRPr="00BF2ABA">
        <w:rPr>
          <w:rFonts w:ascii="Book Antiqua" w:hAnsi="Book Antiqua"/>
        </w:rPr>
        <w:t>del total de reuniones restaurativas (</w:t>
      </w:r>
      <w:r w:rsidR="00D80534">
        <w:rPr>
          <w:rFonts w:ascii="Book Antiqua" w:hAnsi="Book Antiqua"/>
        </w:rPr>
        <w:t>41</w:t>
      </w:r>
      <w:r w:rsidRPr="00BF2ABA">
        <w:rPr>
          <w:rFonts w:ascii="Book Antiqua" w:hAnsi="Book Antiqua"/>
        </w:rPr>
        <w:t xml:space="preserve">), el </w:t>
      </w:r>
      <w:r w:rsidR="00D80534">
        <w:rPr>
          <w:rFonts w:ascii="Book Antiqua" w:hAnsi="Book Antiqua"/>
        </w:rPr>
        <w:t>65</w:t>
      </w:r>
      <w:r>
        <w:rPr>
          <w:rFonts w:ascii="Book Antiqua" w:hAnsi="Book Antiqua"/>
        </w:rPr>
        <w:t>.</w:t>
      </w:r>
      <w:r w:rsidR="00D80534">
        <w:rPr>
          <w:rFonts w:ascii="Book Antiqua" w:hAnsi="Book Antiqua"/>
        </w:rPr>
        <w:t>85</w:t>
      </w:r>
      <w:r w:rsidRPr="00BF2ABA">
        <w:rPr>
          <w:rFonts w:ascii="Book Antiqua" w:hAnsi="Book Antiqua"/>
        </w:rPr>
        <w:t xml:space="preserve">% de estas se realizaron, además, de ese porcentaje el </w:t>
      </w:r>
      <w:r w:rsidR="006A0140">
        <w:rPr>
          <w:rFonts w:ascii="Book Antiqua" w:hAnsi="Book Antiqua"/>
        </w:rPr>
        <w:t>96.30</w:t>
      </w:r>
      <w:r w:rsidRPr="00BF2ABA">
        <w:rPr>
          <w:rFonts w:ascii="Book Antiqua" w:hAnsi="Book Antiqua"/>
        </w:rPr>
        <w:t>% tuvieron acuerdos</w:t>
      </w:r>
      <w:r w:rsidR="006A0140">
        <w:rPr>
          <w:rFonts w:ascii="Book Antiqua" w:hAnsi="Book Antiqua"/>
        </w:rPr>
        <w:t xml:space="preserve"> y restante (3.70%) no obtuvieron acuerdos</w:t>
      </w:r>
      <w:r w:rsidRPr="00BF2ABA">
        <w:rPr>
          <w:rFonts w:ascii="Book Antiqua" w:hAnsi="Book Antiqua"/>
        </w:rPr>
        <w:t xml:space="preserve">, el porcentaje de las no realizadas fue de un </w:t>
      </w:r>
      <w:r w:rsidR="006A0140">
        <w:rPr>
          <w:rFonts w:ascii="Book Antiqua" w:hAnsi="Book Antiqua"/>
        </w:rPr>
        <w:t>34</w:t>
      </w:r>
      <w:r>
        <w:rPr>
          <w:rFonts w:ascii="Book Antiqua" w:hAnsi="Book Antiqua"/>
        </w:rPr>
        <w:t>.</w:t>
      </w:r>
      <w:r w:rsidR="006A0140">
        <w:rPr>
          <w:rFonts w:ascii="Book Antiqua" w:hAnsi="Book Antiqua"/>
        </w:rPr>
        <w:t>15</w:t>
      </w:r>
      <w:r w:rsidRPr="00BF2ABA">
        <w:rPr>
          <w:rFonts w:ascii="Book Antiqua" w:hAnsi="Book Antiqua"/>
        </w:rPr>
        <w:t xml:space="preserve">%. En relación con las audiencias de verificación señaladas (en total </w:t>
      </w:r>
      <w:r w:rsidR="006A0140">
        <w:rPr>
          <w:rFonts w:ascii="Book Antiqua" w:hAnsi="Book Antiqua"/>
        </w:rPr>
        <w:t>7</w:t>
      </w:r>
      <w:r w:rsidRPr="00BF2ABA">
        <w:rPr>
          <w:rFonts w:ascii="Book Antiqua" w:hAnsi="Book Antiqua"/>
        </w:rPr>
        <w:t xml:space="preserve">), las realizadas fueron de un </w:t>
      </w:r>
      <w:r w:rsidR="006A0140">
        <w:rPr>
          <w:rFonts w:ascii="Book Antiqua" w:hAnsi="Book Antiqua"/>
        </w:rPr>
        <w:t>42</w:t>
      </w:r>
      <w:r>
        <w:rPr>
          <w:rFonts w:ascii="Book Antiqua" w:hAnsi="Book Antiqua"/>
        </w:rPr>
        <w:t>.</w:t>
      </w:r>
      <w:r w:rsidR="006A0140">
        <w:rPr>
          <w:rFonts w:ascii="Book Antiqua" w:hAnsi="Book Antiqua"/>
        </w:rPr>
        <w:t>86</w:t>
      </w:r>
      <w:r w:rsidRPr="00BF2ABA">
        <w:rPr>
          <w:rFonts w:ascii="Book Antiqua" w:hAnsi="Book Antiqua"/>
        </w:rPr>
        <w:t>%, no realizadas</w:t>
      </w:r>
      <w:r w:rsidR="006A0140">
        <w:rPr>
          <w:rFonts w:ascii="Book Antiqua" w:hAnsi="Book Antiqua"/>
        </w:rPr>
        <w:t xml:space="preserve"> también con</w:t>
      </w:r>
      <w:r w:rsidRPr="00BF2ABA">
        <w:rPr>
          <w:rFonts w:ascii="Book Antiqua" w:hAnsi="Book Antiqua"/>
        </w:rPr>
        <w:t xml:space="preserve"> </w:t>
      </w:r>
      <w:r w:rsidR="006A0140">
        <w:rPr>
          <w:rFonts w:ascii="Book Antiqua" w:hAnsi="Book Antiqua"/>
        </w:rPr>
        <w:t>42.86</w:t>
      </w:r>
      <w:r w:rsidRPr="00BF2ABA">
        <w:rPr>
          <w:rFonts w:ascii="Book Antiqua" w:hAnsi="Book Antiqua"/>
        </w:rPr>
        <w:t xml:space="preserve">% y las revocadas de </w:t>
      </w:r>
      <w:r w:rsidR="006A0140">
        <w:rPr>
          <w:rFonts w:ascii="Book Antiqua" w:hAnsi="Book Antiqua"/>
        </w:rPr>
        <w:t>apenas de un 14.29%</w:t>
      </w:r>
      <w:r w:rsidRPr="00BF2ABA">
        <w:rPr>
          <w:rFonts w:ascii="Book Antiqua" w:hAnsi="Book Antiqua"/>
        </w:rPr>
        <w:t xml:space="preserve">. </w:t>
      </w:r>
    </w:p>
    <w:p w14:paraId="0DB9F00A" w14:textId="77777777" w:rsidR="00716590" w:rsidRPr="00BF2ABA" w:rsidRDefault="00716590" w:rsidP="00985591">
      <w:pPr>
        <w:spacing w:line="276" w:lineRule="auto"/>
        <w:jc w:val="both"/>
        <w:rPr>
          <w:rFonts w:ascii="Book Antiqua" w:hAnsi="Book Antiqua"/>
        </w:rPr>
      </w:pPr>
    </w:p>
    <w:p w14:paraId="313A6907" w14:textId="77777777" w:rsidR="00716590" w:rsidRPr="004F0E92" w:rsidRDefault="00716590" w:rsidP="00985591">
      <w:pPr>
        <w:spacing w:line="276" w:lineRule="auto"/>
        <w:jc w:val="both"/>
        <w:rPr>
          <w:rFonts w:ascii="Book Antiqua" w:hAnsi="Book Antiqua"/>
        </w:rPr>
      </w:pPr>
      <w:r w:rsidRPr="00BF2ABA">
        <w:rPr>
          <w:rFonts w:ascii="Book Antiqua" w:hAnsi="Book Antiqua"/>
        </w:rPr>
        <w:t>Las demás actividades relacionadas con red de apoyo y entrevistas se visualizan en el siguiente cuadro:</w:t>
      </w:r>
    </w:p>
    <w:p w14:paraId="337DA29E" w14:textId="77777777" w:rsidR="00D45FE2" w:rsidRDefault="00D45FE2" w:rsidP="00985591">
      <w:pPr>
        <w:spacing w:line="276" w:lineRule="auto"/>
        <w:jc w:val="both"/>
        <w:rPr>
          <w:rFonts w:ascii="Book Antiqua" w:hAnsi="Book Antiqua"/>
        </w:rPr>
      </w:pPr>
    </w:p>
    <w:p w14:paraId="027969CF" w14:textId="1A91F7A2" w:rsidR="00FC142D" w:rsidRPr="00716590" w:rsidRDefault="00336EC1" w:rsidP="00985591">
      <w:pPr>
        <w:spacing w:line="276" w:lineRule="auto"/>
        <w:jc w:val="center"/>
        <w:rPr>
          <w:rFonts w:ascii="Book Antiqua" w:hAnsi="Book Antiqua"/>
          <w:b/>
          <w:bCs/>
        </w:rPr>
      </w:pPr>
      <w:r w:rsidRPr="00716590">
        <w:rPr>
          <w:rFonts w:ascii="Book Antiqua" w:hAnsi="Book Antiqua"/>
          <w:b/>
          <w:bCs/>
        </w:rPr>
        <w:t xml:space="preserve">Cuadro </w:t>
      </w:r>
      <w:r w:rsidR="00716590" w:rsidRPr="00716590">
        <w:rPr>
          <w:rFonts w:ascii="Book Antiqua" w:hAnsi="Book Antiqua"/>
          <w:b/>
          <w:bCs/>
        </w:rPr>
        <w:t>5</w:t>
      </w:r>
      <w:r w:rsidR="000C1D00">
        <w:rPr>
          <w:rFonts w:ascii="Book Antiqua" w:hAnsi="Book Antiqua"/>
          <w:b/>
          <w:bCs/>
        </w:rPr>
        <w:t>4</w:t>
      </w:r>
    </w:p>
    <w:p w14:paraId="5243C05A" w14:textId="4E8C9693" w:rsidR="00FC142D" w:rsidRPr="00716590" w:rsidRDefault="00FC142D" w:rsidP="00985591">
      <w:pPr>
        <w:spacing w:line="276" w:lineRule="auto"/>
        <w:jc w:val="center"/>
        <w:rPr>
          <w:rFonts w:ascii="Book Antiqua" w:hAnsi="Book Antiqua" w:cs="Arial"/>
        </w:rPr>
      </w:pPr>
      <w:r w:rsidRPr="00716590">
        <w:rPr>
          <w:rFonts w:ascii="Book Antiqua" w:hAnsi="Book Antiqua" w:cs="Arial"/>
        </w:rPr>
        <w:t xml:space="preserve"> Estadísticas Justicia Juvenil Restaurativa </w:t>
      </w:r>
    </w:p>
    <w:p w14:paraId="3A28D8C8" w14:textId="6CD5B566" w:rsidR="00336EC1" w:rsidRPr="004F0E92" w:rsidRDefault="00D80534" w:rsidP="000C1D00">
      <w:pPr>
        <w:spacing w:line="276" w:lineRule="auto"/>
        <w:jc w:val="center"/>
        <w:rPr>
          <w:rFonts w:ascii="Book Antiqua" w:hAnsi="Book Antiqua"/>
        </w:rPr>
      </w:pPr>
      <w:r>
        <w:rPr>
          <w:rFonts w:ascii="Book Antiqua" w:hAnsi="Book Antiqua" w:cs="Arial"/>
        </w:rPr>
        <w:t>junio</w:t>
      </w:r>
      <w:r w:rsidR="00FC142D" w:rsidRPr="00716590">
        <w:rPr>
          <w:rFonts w:ascii="Book Antiqua" w:hAnsi="Book Antiqua" w:cs="Arial"/>
        </w:rPr>
        <w:t xml:space="preserve"> 2021</w:t>
      </w:r>
    </w:p>
    <w:tbl>
      <w:tblPr>
        <w:tblW w:w="4932" w:type="dxa"/>
        <w:jc w:val="center"/>
        <w:tblCellMar>
          <w:left w:w="70" w:type="dxa"/>
          <w:right w:w="70" w:type="dxa"/>
        </w:tblCellMar>
        <w:tblLook w:val="04A0" w:firstRow="1" w:lastRow="0" w:firstColumn="1" w:lastColumn="0" w:noHBand="0" w:noVBand="1"/>
      </w:tblPr>
      <w:tblGrid>
        <w:gridCol w:w="3732"/>
        <w:gridCol w:w="1200"/>
      </w:tblGrid>
      <w:tr w:rsidR="00D80534" w:rsidRPr="00665D61" w14:paraId="5C85F14A" w14:textId="77777777" w:rsidTr="00665D61">
        <w:trPr>
          <w:trHeight w:val="290"/>
          <w:jc w:val="center"/>
        </w:trPr>
        <w:tc>
          <w:tcPr>
            <w:tcW w:w="4932" w:type="dxa"/>
            <w:gridSpan w:val="2"/>
            <w:tcBorders>
              <w:top w:val="single" w:sz="4" w:space="0" w:color="000000"/>
              <w:left w:val="single" w:sz="4" w:space="0" w:color="000000"/>
              <w:bottom w:val="single" w:sz="4" w:space="0" w:color="000000"/>
              <w:right w:val="single" w:sz="4" w:space="0" w:color="000000"/>
            </w:tcBorders>
            <w:shd w:val="clear" w:color="000000" w:fill="305496"/>
            <w:vAlign w:val="center"/>
            <w:hideMark/>
          </w:tcPr>
          <w:p w14:paraId="110DE139" w14:textId="77777777" w:rsidR="00D80534" w:rsidRPr="00665D61" w:rsidRDefault="00D80534" w:rsidP="00985591">
            <w:pPr>
              <w:spacing w:line="276" w:lineRule="auto"/>
              <w:jc w:val="center"/>
              <w:rPr>
                <w:rFonts w:ascii="Book Antiqua" w:hAnsi="Book Antiqua"/>
                <w:b/>
                <w:bCs/>
                <w:color w:val="FFFFFF"/>
                <w:sz w:val="16"/>
                <w:szCs w:val="16"/>
                <w:lang w:eastAsia="es-CR"/>
              </w:rPr>
            </w:pPr>
            <w:bookmarkStart w:id="20" w:name="_Hlk66434334"/>
            <w:r w:rsidRPr="00665D61">
              <w:rPr>
                <w:rFonts w:ascii="Book Antiqua" w:hAnsi="Book Antiqua"/>
                <w:b/>
                <w:bCs/>
                <w:color w:val="FFFFFF"/>
                <w:sz w:val="16"/>
                <w:szCs w:val="16"/>
                <w:lang w:eastAsia="es-CR"/>
              </w:rPr>
              <w:t>Estadísticas Justicia Juvenil Restaurativa</w:t>
            </w:r>
          </w:p>
        </w:tc>
      </w:tr>
      <w:tr w:rsidR="00D80534" w:rsidRPr="00665D61" w14:paraId="5C3ADE35" w14:textId="77777777" w:rsidTr="00665D61">
        <w:trPr>
          <w:trHeight w:val="290"/>
          <w:jc w:val="center"/>
        </w:trPr>
        <w:tc>
          <w:tcPr>
            <w:tcW w:w="4932" w:type="dxa"/>
            <w:gridSpan w:val="2"/>
            <w:tcBorders>
              <w:top w:val="single" w:sz="4" w:space="0" w:color="000000"/>
              <w:left w:val="single" w:sz="4" w:space="0" w:color="000000"/>
              <w:bottom w:val="single" w:sz="4" w:space="0" w:color="000000"/>
              <w:right w:val="single" w:sz="4" w:space="0" w:color="000000"/>
            </w:tcBorders>
            <w:shd w:val="clear" w:color="000000" w:fill="305496"/>
            <w:vAlign w:val="center"/>
            <w:hideMark/>
          </w:tcPr>
          <w:p w14:paraId="19869CD2" w14:textId="77777777" w:rsidR="00D80534" w:rsidRPr="00665D61" w:rsidRDefault="00D80534" w:rsidP="00985591">
            <w:pPr>
              <w:spacing w:line="276" w:lineRule="auto"/>
              <w:jc w:val="center"/>
              <w:rPr>
                <w:rFonts w:ascii="Book Antiqua" w:hAnsi="Book Antiqua"/>
                <w:b/>
                <w:bCs/>
                <w:color w:val="FFFFFF"/>
                <w:sz w:val="16"/>
                <w:szCs w:val="16"/>
                <w:lang w:eastAsia="es-CR"/>
              </w:rPr>
            </w:pPr>
            <w:r w:rsidRPr="00665D61">
              <w:rPr>
                <w:rFonts w:ascii="Book Antiqua" w:hAnsi="Book Antiqua"/>
                <w:b/>
                <w:bCs/>
                <w:color w:val="FFFFFF"/>
                <w:sz w:val="16"/>
                <w:szCs w:val="16"/>
                <w:lang w:eastAsia="es-CR"/>
              </w:rPr>
              <w:t>jun-21</w:t>
            </w:r>
          </w:p>
        </w:tc>
      </w:tr>
      <w:tr w:rsidR="00D80534" w:rsidRPr="00665D61" w14:paraId="3E1383DE" w14:textId="77777777" w:rsidTr="00665D61">
        <w:trPr>
          <w:trHeight w:val="290"/>
          <w:jc w:val="center"/>
        </w:trPr>
        <w:tc>
          <w:tcPr>
            <w:tcW w:w="3732" w:type="dxa"/>
            <w:tcBorders>
              <w:top w:val="nil"/>
              <w:left w:val="single" w:sz="4" w:space="0" w:color="000000"/>
              <w:bottom w:val="single" w:sz="4" w:space="0" w:color="000000"/>
              <w:right w:val="single" w:sz="4" w:space="0" w:color="000000"/>
            </w:tcBorders>
            <w:shd w:val="clear" w:color="000000" w:fill="DDEBF7"/>
            <w:vAlign w:val="center"/>
            <w:hideMark/>
          </w:tcPr>
          <w:p w14:paraId="596B80C0" w14:textId="77777777" w:rsidR="00D80534" w:rsidRPr="00665D61" w:rsidRDefault="00D80534" w:rsidP="00985591">
            <w:pPr>
              <w:spacing w:line="276" w:lineRule="auto"/>
              <w:rPr>
                <w:rFonts w:ascii="Book Antiqua" w:hAnsi="Book Antiqua"/>
                <w:b/>
                <w:bCs/>
                <w:color w:val="000000"/>
                <w:sz w:val="16"/>
                <w:szCs w:val="16"/>
                <w:lang w:eastAsia="es-CR"/>
              </w:rPr>
            </w:pPr>
            <w:r w:rsidRPr="00665D61">
              <w:rPr>
                <w:rFonts w:ascii="Book Antiqua" w:hAnsi="Book Antiqua"/>
                <w:b/>
                <w:bCs/>
                <w:color w:val="000000"/>
                <w:sz w:val="16"/>
                <w:szCs w:val="16"/>
                <w:lang w:eastAsia="es-CR"/>
              </w:rPr>
              <w:t>Reuniones Restaurativas señaladas</w:t>
            </w:r>
          </w:p>
        </w:tc>
        <w:tc>
          <w:tcPr>
            <w:tcW w:w="1200" w:type="dxa"/>
            <w:tcBorders>
              <w:top w:val="nil"/>
              <w:left w:val="nil"/>
              <w:bottom w:val="single" w:sz="4" w:space="0" w:color="000000"/>
              <w:right w:val="single" w:sz="4" w:space="0" w:color="000000"/>
            </w:tcBorders>
            <w:shd w:val="clear" w:color="000000" w:fill="DDEBF7"/>
            <w:vAlign w:val="center"/>
            <w:hideMark/>
          </w:tcPr>
          <w:p w14:paraId="0C373C5D" w14:textId="77777777" w:rsidR="00D80534" w:rsidRPr="00665D61" w:rsidRDefault="00D80534" w:rsidP="00985591">
            <w:pPr>
              <w:spacing w:line="276" w:lineRule="auto"/>
              <w:jc w:val="center"/>
              <w:rPr>
                <w:rFonts w:ascii="Book Antiqua" w:hAnsi="Book Antiqua"/>
                <w:b/>
                <w:bCs/>
                <w:color w:val="000000"/>
                <w:sz w:val="16"/>
                <w:szCs w:val="16"/>
                <w:lang w:eastAsia="es-CR"/>
              </w:rPr>
            </w:pPr>
            <w:r w:rsidRPr="00665D61">
              <w:rPr>
                <w:rFonts w:ascii="Book Antiqua" w:hAnsi="Book Antiqua"/>
                <w:b/>
                <w:bCs/>
                <w:color w:val="000000"/>
                <w:sz w:val="16"/>
                <w:szCs w:val="16"/>
                <w:lang w:eastAsia="es-CR"/>
              </w:rPr>
              <w:t>41</w:t>
            </w:r>
          </w:p>
        </w:tc>
      </w:tr>
      <w:tr w:rsidR="00D80534" w:rsidRPr="00665D61" w14:paraId="1EADE7AC" w14:textId="77777777" w:rsidTr="00665D61">
        <w:trPr>
          <w:trHeight w:val="290"/>
          <w:jc w:val="center"/>
        </w:trPr>
        <w:tc>
          <w:tcPr>
            <w:tcW w:w="3732" w:type="dxa"/>
            <w:tcBorders>
              <w:top w:val="nil"/>
              <w:left w:val="single" w:sz="4" w:space="0" w:color="000000"/>
              <w:bottom w:val="single" w:sz="4" w:space="0" w:color="000000"/>
              <w:right w:val="single" w:sz="4" w:space="0" w:color="000000"/>
            </w:tcBorders>
            <w:shd w:val="clear" w:color="000000" w:fill="FFFFFF"/>
            <w:vAlign w:val="center"/>
            <w:hideMark/>
          </w:tcPr>
          <w:p w14:paraId="0DB6AB73" w14:textId="77777777" w:rsidR="00D80534" w:rsidRPr="00665D61" w:rsidRDefault="00D80534" w:rsidP="00985591">
            <w:pPr>
              <w:spacing w:line="276" w:lineRule="auto"/>
              <w:rPr>
                <w:rFonts w:ascii="Book Antiqua" w:hAnsi="Book Antiqua"/>
                <w:b/>
                <w:bCs/>
                <w:color w:val="000000"/>
                <w:sz w:val="16"/>
                <w:szCs w:val="16"/>
                <w:lang w:eastAsia="es-CR"/>
              </w:rPr>
            </w:pPr>
            <w:r w:rsidRPr="00665D61">
              <w:rPr>
                <w:rFonts w:ascii="Book Antiqua" w:hAnsi="Book Antiqua"/>
                <w:b/>
                <w:bCs/>
                <w:color w:val="000000"/>
                <w:sz w:val="16"/>
                <w:szCs w:val="16"/>
                <w:lang w:eastAsia="es-CR"/>
              </w:rPr>
              <w:t>Realizadas</w:t>
            </w:r>
          </w:p>
        </w:tc>
        <w:tc>
          <w:tcPr>
            <w:tcW w:w="1200" w:type="dxa"/>
            <w:tcBorders>
              <w:top w:val="nil"/>
              <w:left w:val="nil"/>
              <w:bottom w:val="single" w:sz="4" w:space="0" w:color="000000"/>
              <w:right w:val="single" w:sz="4" w:space="0" w:color="000000"/>
            </w:tcBorders>
            <w:shd w:val="clear" w:color="000000" w:fill="FFFFFF"/>
            <w:vAlign w:val="center"/>
            <w:hideMark/>
          </w:tcPr>
          <w:p w14:paraId="33DC1F6A" w14:textId="77777777" w:rsidR="00D80534" w:rsidRPr="00665D61" w:rsidRDefault="00D80534" w:rsidP="00985591">
            <w:pPr>
              <w:spacing w:line="276" w:lineRule="auto"/>
              <w:jc w:val="center"/>
              <w:rPr>
                <w:rFonts w:ascii="Book Antiqua" w:hAnsi="Book Antiqua"/>
                <w:color w:val="000000"/>
                <w:sz w:val="16"/>
                <w:szCs w:val="16"/>
                <w:lang w:eastAsia="es-CR"/>
              </w:rPr>
            </w:pPr>
            <w:r w:rsidRPr="00665D61">
              <w:rPr>
                <w:rFonts w:ascii="Book Antiqua" w:hAnsi="Book Antiqua"/>
                <w:color w:val="000000"/>
                <w:sz w:val="16"/>
                <w:szCs w:val="16"/>
                <w:lang w:eastAsia="es-CR"/>
              </w:rPr>
              <w:t>27</w:t>
            </w:r>
          </w:p>
        </w:tc>
      </w:tr>
      <w:tr w:rsidR="00D80534" w:rsidRPr="00665D61" w14:paraId="6F38C043" w14:textId="77777777" w:rsidTr="00665D61">
        <w:trPr>
          <w:trHeight w:val="290"/>
          <w:jc w:val="center"/>
        </w:trPr>
        <w:tc>
          <w:tcPr>
            <w:tcW w:w="3732" w:type="dxa"/>
            <w:tcBorders>
              <w:top w:val="nil"/>
              <w:left w:val="single" w:sz="4" w:space="0" w:color="000000"/>
              <w:bottom w:val="single" w:sz="4" w:space="0" w:color="000000"/>
              <w:right w:val="single" w:sz="4" w:space="0" w:color="000000"/>
            </w:tcBorders>
            <w:shd w:val="clear" w:color="000000" w:fill="FFFFFF"/>
            <w:vAlign w:val="center"/>
            <w:hideMark/>
          </w:tcPr>
          <w:p w14:paraId="109D73E0" w14:textId="77777777" w:rsidR="00D80534" w:rsidRPr="00665D61" w:rsidRDefault="00D80534" w:rsidP="00985591">
            <w:pPr>
              <w:spacing w:line="276" w:lineRule="auto"/>
              <w:rPr>
                <w:rFonts w:ascii="Book Antiqua" w:hAnsi="Book Antiqua"/>
                <w:color w:val="000000"/>
                <w:sz w:val="16"/>
                <w:szCs w:val="16"/>
                <w:lang w:eastAsia="es-CR"/>
              </w:rPr>
            </w:pPr>
            <w:r w:rsidRPr="00665D61">
              <w:rPr>
                <w:rFonts w:ascii="Book Antiqua" w:hAnsi="Book Antiqua"/>
                <w:color w:val="000000"/>
                <w:sz w:val="16"/>
                <w:szCs w:val="16"/>
                <w:lang w:eastAsia="es-CR"/>
              </w:rPr>
              <w:t>Con acuerdo</w:t>
            </w:r>
          </w:p>
        </w:tc>
        <w:tc>
          <w:tcPr>
            <w:tcW w:w="1200" w:type="dxa"/>
            <w:tcBorders>
              <w:top w:val="nil"/>
              <w:left w:val="nil"/>
              <w:bottom w:val="single" w:sz="4" w:space="0" w:color="000000"/>
              <w:right w:val="single" w:sz="4" w:space="0" w:color="000000"/>
            </w:tcBorders>
            <w:shd w:val="clear" w:color="000000" w:fill="FFFFFF"/>
            <w:vAlign w:val="center"/>
            <w:hideMark/>
          </w:tcPr>
          <w:p w14:paraId="0373094F" w14:textId="77777777" w:rsidR="00D80534" w:rsidRPr="00665D61" w:rsidRDefault="00D80534" w:rsidP="00985591">
            <w:pPr>
              <w:spacing w:line="276" w:lineRule="auto"/>
              <w:jc w:val="center"/>
              <w:rPr>
                <w:rFonts w:ascii="Book Antiqua" w:hAnsi="Book Antiqua"/>
                <w:color w:val="000000"/>
                <w:sz w:val="16"/>
                <w:szCs w:val="16"/>
                <w:lang w:eastAsia="es-CR"/>
              </w:rPr>
            </w:pPr>
            <w:r w:rsidRPr="00665D61">
              <w:rPr>
                <w:rFonts w:ascii="Book Antiqua" w:hAnsi="Book Antiqua"/>
                <w:sz w:val="16"/>
                <w:szCs w:val="16"/>
                <w:lang w:val="es-ES_tradnl" w:eastAsia="es-CR"/>
              </w:rPr>
              <w:t>26</w:t>
            </w:r>
          </w:p>
        </w:tc>
      </w:tr>
      <w:tr w:rsidR="00D80534" w:rsidRPr="00665D61" w14:paraId="31EBF713" w14:textId="77777777" w:rsidTr="00665D61">
        <w:trPr>
          <w:trHeight w:val="290"/>
          <w:jc w:val="center"/>
        </w:trPr>
        <w:tc>
          <w:tcPr>
            <w:tcW w:w="3732" w:type="dxa"/>
            <w:tcBorders>
              <w:top w:val="nil"/>
              <w:left w:val="single" w:sz="4" w:space="0" w:color="000000"/>
              <w:bottom w:val="single" w:sz="4" w:space="0" w:color="000000"/>
              <w:right w:val="single" w:sz="4" w:space="0" w:color="000000"/>
            </w:tcBorders>
            <w:shd w:val="clear" w:color="000000" w:fill="FFFFFF"/>
            <w:vAlign w:val="center"/>
            <w:hideMark/>
          </w:tcPr>
          <w:p w14:paraId="6F34BCC1" w14:textId="77777777" w:rsidR="00D80534" w:rsidRPr="00665D61" w:rsidRDefault="00D80534" w:rsidP="00985591">
            <w:pPr>
              <w:spacing w:line="276" w:lineRule="auto"/>
              <w:rPr>
                <w:rFonts w:ascii="Book Antiqua" w:hAnsi="Book Antiqua"/>
                <w:color w:val="000000"/>
                <w:sz w:val="16"/>
                <w:szCs w:val="16"/>
                <w:lang w:eastAsia="es-CR"/>
              </w:rPr>
            </w:pPr>
            <w:r w:rsidRPr="00665D61">
              <w:rPr>
                <w:rFonts w:ascii="Book Antiqua" w:hAnsi="Book Antiqua"/>
                <w:color w:val="000000"/>
                <w:sz w:val="16"/>
                <w:szCs w:val="16"/>
                <w:lang w:eastAsia="es-CR"/>
              </w:rPr>
              <w:t>No hubo acuerdo</w:t>
            </w:r>
          </w:p>
        </w:tc>
        <w:tc>
          <w:tcPr>
            <w:tcW w:w="1200" w:type="dxa"/>
            <w:tcBorders>
              <w:top w:val="nil"/>
              <w:left w:val="nil"/>
              <w:bottom w:val="single" w:sz="4" w:space="0" w:color="000000"/>
              <w:right w:val="single" w:sz="4" w:space="0" w:color="000000"/>
            </w:tcBorders>
            <w:shd w:val="clear" w:color="000000" w:fill="FFFFFF"/>
            <w:vAlign w:val="center"/>
            <w:hideMark/>
          </w:tcPr>
          <w:p w14:paraId="553A200A" w14:textId="77777777" w:rsidR="00D80534" w:rsidRPr="00665D61" w:rsidRDefault="00D80534" w:rsidP="00985591">
            <w:pPr>
              <w:spacing w:line="276" w:lineRule="auto"/>
              <w:jc w:val="center"/>
              <w:rPr>
                <w:rFonts w:ascii="Book Antiqua" w:hAnsi="Book Antiqua"/>
                <w:color w:val="000000"/>
                <w:sz w:val="16"/>
                <w:szCs w:val="16"/>
                <w:lang w:eastAsia="es-CR"/>
              </w:rPr>
            </w:pPr>
            <w:r w:rsidRPr="00665D61">
              <w:rPr>
                <w:rFonts w:ascii="Book Antiqua" w:hAnsi="Book Antiqua"/>
                <w:color w:val="000000"/>
                <w:sz w:val="16"/>
                <w:szCs w:val="16"/>
                <w:lang w:eastAsia="es-CR"/>
              </w:rPr>
              <w:t>1</w:t>
            </w:r>
          </w:p>
        </w:tc>
      </w:tr>
      <w:tr w:rsidR="00D80534" w:rsidRPr="00665D61" w14:paraId="0BE09C7A" w14:textId="77777777" w:rsidTr="00665D61">
        <w:trPr>
          <w:trHeight w:val="290"/>
          <w:jc w:val="center"/>
        </w:trPr>
        <w:tc>
          <w:tcPr>
            <w:tcW w:w="3732" w:type="dxa"/>
            <w:tcBorders>
              <w:top w:val="nil"/>
              <w:left w:val="single" w:sz="4" w:space="0" w:color="000000"/>
              <w:bottom w:val="single" w:sz="4" w:space="0" w:color="000000"/>
              <w:right w:val="single" w:sz="4" w:space="0" w:color="000000"/>
            </w:tcBorders>
            <w:shd w:val="clear" w:color="000000" w:fill="FFFFFF"/>
            <w:vAlign w:val="center"/>
            <w:hideMark/>
          </w:tcPr>
          <w:p w14:paraId="44726CC4" w14:textId="77777777" w:rsidR="00D80534" w:rsidRPr="00665D61" w:rsidRDefault="00D80534" w:rsidP="00985591">
            <w:pPr>
              <w:spacing w:line="276" w:lineRule="auto"/>
              <w:rPr>
                <w:rFonts w:ascii="Book Antiqua" w:hAnsi="Book Antiqua"/>
                <w:b/>
                <w:bCs/>
                <w:color w:val="000000"/>
                <w:sz w:val="16"/>
                <w:szCs w:val="16"/>
                <w:lang w:eastAsia="es-CR"/>
              </w:rPr>
            </w:pPr>
            <w:r w:rsidRPr="00665D61">
              <w:rPr>
                <w:rFonts w:ascii="Book Antiqua" w:hAnsi="Book Antiqua"/>
                <w:b/>
                <w:bCs/>
                <w:color w:val="000000"/>
                <w:sz w:val="16"/>
                <w:szCs w:val="16"/>
                <w:lang w:eastAsia="es-CR"/>
              </w:rPr>
              <w:t>No realizadas</w:t>
            </w:r>
          </w:p>
        </w:tc>
        <w:tc>
          <w:tcPr>
            <w:tcW w:w="1200" w:type="dxa"/>
            <w:tcBorders>
              <w:top w:val="nil"/>
              <w:left w:val="nil"/>
              <w:bottom w:val="single" w:sz="4" w:space="0" w:color="000000"/>
              <w:right w:val="single" w:sz="4" w:space="0" w:color="000000"/>
            </w:tcBorders>
            <w:shd w:val="clear" w:color="000000" w:fill="FFFFFF"/>
            <w:vAlign w:val="center"/>
            <w:hideMark/>
          </w:tcPr>
          <w:p w14:paraId="74C38560" w14:textId="77777777" w:rsidR="00D80534" w:rsidRPr="00665D61" w:rsidRDefault="00D80534" w:rsidP="00985591">
            <w:pPr>
              <w:spacing w:line="276" w:lineRule="auto"/>
              <w:jc w:val="center"/>
              <w:rPr>
                <w:rFonts w:ascii="Book Antiqua" w:hAnsi="Book Antiqua"/>
                <w:color w:val="000000"/>
                <w:sz w:val="16"/>
                <w:szCs w:val="16"/>
                <w:lang w:eastAsia="es-CR"/>
              </w:rPr>
            </w:pPr>
            <w:r w:rsidRPr="00665D61">
              <w:rPr>
                <w:rFonts w:ascii="Book Antiqua" w:hAnsi="Book Antiqua"/>
                <w:color w:val="000000"/>
                <w:sz w:val="16"/>
                <w:szCs w:val="16"/>
                <w:lang w:eastAsia="es-CR"/>
              </w:rPr>
              <w:t>14</w:t>
            </w:r>
          </w:p>
        </w:tc>
      </w:tr>
      <w:tr w:rsidR="00D80534" w:rsidRPr="00665D61" w14:paraId="6BD5B01E" w14:textId="77777777" w:rsidTr="00665D61">
        <w:trPr>
          <w:trHeight w:val="290"/>
          <w:jc w:val="center"/>
        </w:trPr>
        <w:tc>
          <w:tcPr>
            <w:tcW w:w="3732" w:type="dxa"/>
            <w:tcBorders>
              <w:top w:val="nil"/>
              <w:left w:val="single" w:sz="4" w:space="0" w:color="000000"/>
              <w:bottom w:val="single" w:sz="4" w:space="0" w:color="000000"/>
              <w:right w:val="single" w:sz="4" w:space="0" w:color="000000"/>
            </w:tcBorders>
            <w:shd w:val="clear" w:color="000000" w:fill="DDEBF7"/>
            <w:vAlign w:val="center"/>
            <w:hideMark/>
          </w:tcPr>
          <w:p w14:paraId="42DFBDAD" w14:textId="50CEA720" w:rsidR="00D80534" w:rsidRPr="00665D61" w:rsidRDefault="00D80534" w:rsidP="00985591">
            <w:pPr>
              <w:spacing w:line="276" w:lineRule="auto"/>
              <w:rPr>
                <w:rFonts w:ascii="Book Antiqua" w:hAnsi="Book Antiqua"/>
                <w:b/>
                <w:bCs/>
                <w:color w:val="000000"/>
                <w:sz w:val="16"/>
                <w:szCs w:val="16"/>
                <w:lang w:eastAsia="es-CR"/>
              </w:rPr>
            </w:pPr>
            <w:r w:rsidRPr="00665D61">
              <w:rPr>
                <w:rFonts w:ascii="Book Antiqua" w:hAnsi="Book Antiqua"/>
                <w:b/>
                <w:bCs/>
                <w:color w:val="000000"/>
                <w:sz w:val="16"/>
                <w:szCs w:val="16"/>
                <w:lang w:eastAsia="es-CR"/>
              </w:rPr>
              <w:t>Audiencia Verificación Señaladas</w:t>
            </w:r>
          </w:p>
        </w:tc>
        <w:tc>
          <w:tcPr>
            <w:tcW w:w="1200" w:type="dxa"/>
            <w:tcBorders>
              <w:top w:val="nil"/>
              <w:left w:val="nil"/>
              <w:bottom w:val="single" w:sz="4" w:space="0" w:color="000000"/>
              <w:right w:val="single" w:sz="4" w:space="0" w:color="000000"/>
            </w:tcBorders>
            <w:shd w:val="clear" w:color="000000" w:fill="DDEBF7"/>
            <w:vAlign w:val="center"/>
            <w:hideMark/>
          </w:tcPr>
          <w:p w14:paraId="1C7C6905" w14:textId="77777777" w:rsidR="00D80534" w:rsidRPr="00665D61" w:rsidRDefault="00D80534" w:rsidP="00985591">
            <w:pPr>
              <w:spacing w:line="276" w:lineRule="auto"/>
              <w:jc w:val="center"/>
              <w:rPr>
                <w:rFonts w:ascii="Book Antiqua" w:hAnsi="Book Antiqua"/>
                <w:b/>
                <w:bCs/>
                <w:color w:val="000000"/>
                <w:sz w:val="16"/>
                <w:szCs w:val="16"/>
                <w:lang w:eastAsia="es-CR"/>
              </w:rPr>
            </w:pPr>
            <w:r w:rsidRPr="00665D61">
              <w:rPr>
                <w:rFonts w:ascii="Book Antiqua" w:hAnsi="Book Antiqua"/>
                <w:b/>
                <w:bCs/>
                <w:color w:val="000000"/>
                <w:sz w:val="16"/>
                <w:szCs w:val="16"/>
                <w:lang w:eastAsia="es-CR"/>
              </w:rPr>
              <w:t>7</w:t>
            </w:r>
          </w:p>
        </w:tc>
      </w:tr>
      <w:tr w:rsidR="00D80534" w:rsidRPr="00665D61" w14:paraId="72F06D9E" w14:textId="77777777" w:rsidTr="00665D61">
        <w:trPr>
          <w:trHeight w:val="290"/>
          <w:jc w:val="center"/>
        </w:trPr>
        <w:tc>
          <w:tcPr>
            <w:tcW w:w="3732" w:type="dxa"/>
            <w:tcBorders>
              <w:top w:val="nil"/>
              <w:left w:val="single" w:sz="4" w:space="0" w:color="000000"/>
              <w:bottom w:val="single" w:sz="4" w:space="0" w:color="000000"/>
              <w:right w:val="single" w:sz="4" w:space="0" w:color="000000"/>
            </w:tcBorders>
            <w:shd w:val="clear" w:color="000000" w:fill="FFFFFF"/>
            <w:vAlign w:val="center"/>
            <w:hideMark/>
          </w:tcPr>
          <w:p w14:paraId="7FD25DCA" w14:textId="77777777" w:rsidR="00D80534" w:rsidRPr="00665D61" w:rsidRDefault="00D80534" w:rsidP="00985591">
            <w:pPr>
              <w:spacing w:line="276" w:lineRule="auto"/>
              <w:rPr>
                <w:rFonts w:ascii="Book Antiqua" w:hAnsi="Book Antiqua"/>
                <w:color w:val="000000"/>
                <w:sz w:val="16"/>
                <w:szCs w:val="16"/>
                <w:lang w:eastAsia="es-CR"/>
              </w:rPr>
            </w:pPr>
            <w:r w:rsidRPr="00665D61">
              <w:rPr>
                <w:rFonts w:ascii="Book Antiqua" w:hAnsi="Book Antiqua"/>
                <w:color w:val="000000"/>
                <w:sz w:val="16"/>
                <w:szCs w:val="16"/>
                <w:lang w:eastAsia="es-CR"/>
              </w:rPr>
              <w:t>Realizadas</w:t>
            </w:r>
          </w:p>
        </w:tc>
        <w:tc>
          <w:tcPr>
            <w:tcW w:w="1200" w:type="dxa"/>
            <w:tcBorders>
              <w:top w:val="nil"/>
              <w:left w:val="nil"/>
              <w:bottom w:val="single" w:sz="4" w:space="0" w:color="000000"/>
              <w:right w:val="single" w:sz="4" w:space="0" w:color="000000"/>
            </w:tcBorders>
            <w:shd w:val="clear" w:color="000000" w:fill="FFFFFF"/>
            <w:vAlign w:val="center"/>
            <w:hideMark/>
          </w:tcPr>
          <w:p w14:paraId="446507FE" w14:textId="77777777" w:rsidR="00D80534" w:rsidRPr="00665D61" w:rsidRDefault="00D80534" w:rsidP="00985591">
            <w:pPr>
              <w:spacing w:line="276" w:lineRule="auto"/>
              <w:jc w:val="center"/>
              <w:rPr>
                <w:rFonts w:ascii="Book Antiqua" w:hAnsi="Book Antiqua"/>
                <w:color w:val="000000"/>
                <w:sz w:val="16"/>
                <w:szCs w:val="16"/>
                <w:lang w:eastAsia="es-CR"/>
              </w:rPr>
            </w:pPr>
            <w:r w:rsidRPr="00665D61">
              <w:rPr>
                <w:rFonts w:ascii="Book Antiqua" w:hAnsi="Book Antiqua"/>
                <w:color w:val="000000"/>
                <w:sz w:val="16"/>
                <w:szCs w:val="16"/>
                <w:lang w:eastAsia="es-CR"/>
              </w:rPr>
              <w:t>3</w:t>
            </w:r>
          </w:p>
        </w:tc>
      </w:tr>
      <w:tr w:rsidR="00D80534" w:rsidRPr="00665D61" w14:paraId="097B98A3" w14:textId="77777777" w:rsidTr="00665D61">
        <w:trPr>
          <w:trHeight w:val="290"/>
          <w:jc w:val="center"/>
        </w:trPr>
        <w:tc>
          <w:tcPr>
            <w:tcW w:w="3732" w:type="dxa"/>
            <w:tcBorders>
              <w:top w:val="nil"/>
              <w:left w:val="single" w:sz="4" w:space="0" w:color="000000"/>
              <w:bottom w:val="single" w:sz="4" w:space="0" w:color="000000"/>
              <w:right w:val="single" w:sz="4" w:space="0" w:color="000000"/>
            </w:tcBorders>
            <w:shd w:val="clear" w:color="000000" w:fill="FFFFFF"/>
            <w:vAlign w:val="center"/>
            <w:hideMark/>
          </w:tcPr>
          <w:p w14:paraId="0CAA3825" w14:textId="77777777" w:rsidR="00D80534" w:rsidRPr="00665D61" w:rsidRDefault="00D80534" w:rsidP="00985591">
            <w:pPr>
              <w:spacing w:line="276" w:lineRule="auto"/>
              <w:rPr>
                <w:rFonts w:ascii="Book Antiqua" w:hAnsi="Book Antiqua"/>
                <w:color w:val="000000"/>
                <w:sz w:val="16"/>
                <w:szCs w:val="16"/>
                <w:lang w:eastAsia="es-CR"/>
              </w:rPr>
            </w:pPr>
            <w:r w:rsidRPr="00665D61">
              <w:rPr>
                <w:rFonts w:ascii="Book Antiqua" w:hAnsi="Book Antiqua"/>
                <w:color w:val="000000"/>
                <w:sz w:val="16"/>
                <w:szCs w:val="16"/>
                <w:lang w:eastAsia="es-CR"/>
              </w:rPr>
              <w:t>No realizadas</w:t>
            </w:r>
          </w:p>
        </w:tc>
        <w:tc>
          <w:tcPr>
            <w:tcW w:w="1200" w:type="dxa"/>
            <w:tcBorders>
              <w:top w:val="nil"/>
              <w:left w:val="nil"/>
              <w:bottom w:val="single" w:sz="4" w:space="0" w:color="000000"/>
              <w:right w:val="single" w:sz="4" w:space="0" w:color="000000"/>
            </w:tcBorders>
            <w:shd w:val="clear" w:color="000000" w:fill="FFFFFF"/>
            <w:vAlign w:val="center"/>
            <w:hideMark/>
          </w:tcPr>
          <w:p w14:paraId="79388CB9" w14:textId="77777777" w:rsidR="00D80534" w:rsidRPr="00665D61" w:rsidRDefault="00D80534" w:rsidP="00985591">
            <w:pPr>
              <w:spacing w:line="276" w:lineRule="auto"/>
              <w:jc w:val="center"/>
              <w:rPr>
                <w:rFonts w:ascii="Book Antiqua" w:hAnsi="Book Antiqua"/>
                <w:color w:val="000000"/>
                <w:sz w:val="16"/>
                <w:szCs w:val="16"/>
                <w:lang w:eastAsia="es-CR"/>
              </w:rPr>
            </w:pPr>
            <w:r w:rsidRPr="00665D61">
              <w:rPr>
                <w:rFonts w:ascii="Book Antiqua" w:hAnsi="Book Antiqua"/>
                <w:color w:val="000000"/>
                <w:sz w:val="16"/>
                <w:szCs w:val="16"/>
                <w:lang w:eastAsia="es-CR"/>
              </w:rPr>
              <w:t>3</w:t>
            </w:r>
          </w:p>
        </w:tc>
      </w:tr>
      <w:tr w:rsidR="00D80534" w:rsidRPr="00665D61" w14:paraId="0E3A7B28" w14:textId="77777777" w:rsidTr="00665D61">
        <w:trPr>
          <w:trHeight w:val="290"/>
          <w:jc w:val="center"/>
        </w:trPr>
        <w:tc>
          <w:tcPr>
            <w:tcW w:w="3732" w:type="dxa"/>
            <w:tcBorders>
              <w:top w:val="nil"/>
              <w:left w:val="single" w:sz="4" w:space="0" w:color="000000"/>
              <w:bottom w:val="single" w:sz="4" w:space="0" w:color="000000"/>
              <w:right w:val="single" w:sz="4" w:space="0" w:color="000000"/>
            </w:tcBorders>
            <w:shd w:val="clear" w:color="000000" w:fill="FFFFFF"/>
            <w:vAlign w:val="center"/>
            <w:hideMark/>
          </w:tcPr>
          <w:p w14:paraId="659B4967" w14:textId="77777777" w:rsidR="00D80534" w:rsidRPr="00665D61" w:rsidRDefault="00D80534" w:rsidP="00985591">
            <w:pPr>
              <w:spacing w:line="276" w:lineRule="auto"/>
              <w:rPr>
                <w:rFonts w:ascii="Book Antiqua" w:hAnsi="Book Antiqua"/>
                <w:color w:val="000000"/>
                <w:sz w:val="16"/>
                <w:szCs w:val="16"/>
                <w:lang w:eastAsia="es-CR"/>
              </w:rPr>
            </w:pPr>
            <w:r w:rsidRPr="00665D61">
              <w:rPr>
                <w:rFonts w:ascii="Book Antiqua" w:hAnsi="Book Antiqua"/>
                <w:color w:val="000000"/>
                <w:sz w:val="16"/>
                <w:szCs w:val="16"/>
                <w:lang w:eastAsia="es-CR"/>
              </w:rPr>
              <w:t>Revocatoria</w:t>
            </w:r>
          </w:p>
        </w:tc>
        <w:tc>
          <w:tcPr>
            <w:tcW w:w="1200" w:type="dxa"/>
            <w:tcBorders>
              <w:top w:val="nil"/>
              <w:left w:val="nil"/>
              <w:bottom w:val="single" w:sz="4" w:space="0" w:color="000000"/>
              <w:right w:val="single" w:sz="4" w:space="0" w:color="000000"/>
            </w:tcBorders>
            <w:shd w:val="clear" w:color="000000" w:fill="FFFFFF"/>
            <w:vAlign w:val="center"/>
            <w:hideMark/>
          </w:tcPr>
          <w:p w14:paraId="115BEA5C" w14:textId="77777777" w:rsidR="00D80534" w:rsidRPr="00665D61" w:rsidRDefault="00D80534" w:rsidP="00985591">
            <w:pPr>
              <w:spacing w:line="276" w:lineRule="auto"/>
              <w:jc w:val="center"/>
              <w:rPr>
                <w:rFonts w:ascii="Book Antiqua" w:hAnsi="Book Antiqua"/>
                <w:color w:val="000000"/>
                <w:sz w:val="16"/>
                <w:szCs w:val="16"/>
                <w:lang w:eastAsia="es-CR"/>
              </w:rPr>
            </w:pPr>
            <w:r w:rsidRPr="00665D61">
              <w:rPr>
                <w:rFonts w:ascii="Book Antiqua" w:hAnsi="Book Antiqua"/>
                <w:color w:val="000000"/>
                <w:sz w:val="16"/>
                <w:szCs w:val="16"/>
                <w:lang w:eastAsia="es-CR"/>
              </w:rPr>
              <w:t>1</w:t>
            </w:r>
          </w:p>
        </w:tc>
      </w:tr>
      <w:tr w:rsidR="00D80534" w:rsidRPr="00665D61" w14:paraId="0B1FBC08" w14:textId="77777777" w:rsidTr="00665D61">
        <w:trPr>
          <w:trHeight w:val="290"/>
          <w:jc w:val="center"/>
        </w:trPr>
        <w:tc>
          <w:tcPr>
            <w:tcW w:w="3732" w:type="dxa"/>
            <w:tcBorders>
              <w:top w:val="nil"/>
              <w:left w:val="single" w:sz="4" w:space="0" w:color="000000"/>
              <w:bottom w:val="single" w:sz="4" w:space="0" w:color="000000"/>
              <w:right w:val="single" w:sz="4" w:space="0" w:color="000000"/>
            </w:tcBorders>
            <w:shd w:val="clear" w:color="000000" w:fill="DDEBF7"/>
            <w:vAlign w:val="center"/>
            <w:hideMark/>
          </w:tcPr>
          <w:p w14:paraId="749355B1" w14:textId="77777777" w:rsidR="00D80534" w:rsidRPr="00665D61" w:rsidRDefault="00D80534" w:rsidP="00985591">
            <w:pPr>
              <w:spacing w:line="276" w:lineRule="auto"/>
              <w:rPr>
                <w:rFonts w:ascii="Book Antiqua" w:hAnsi="Book Antiqua"/>
                <w:b/>
                <w:bCs/>
                <w:color w:val="000000"/>
                <w:sz w:val="16"/>
                <w:szCs w:val="16"/>
                <w:lang w:eastAsia="es-CR"/>
              </w:rPr>
            </w:pPr>
            <w:r w:rsidRPr="00665D61">
              <w:rPr>
                <w:rFonts w:ascii="Book Antiqua" w:hAnsi="Book Antiqua"/>
                <w:b/>
                <w:bCs/>
                <w:color w:val="000000"/>
                <w:sz w:val="16"/>
                <w:szCs w:val="16"/>
                <w:lang w:eastAsia="es-CR"/>
              </w:rPr>
              <w:t>Red de apoyo</w:t>
            </w:r>
          </w:p>
        </w:tc>
        <w:tc>
          <w:tcPr>
            <w:tcW w:w="1200" w:type="dxa"/>
            <w:tcBorders>
              <w:top w:val="nil"/>
              <w:left w:val="nil"/>
              <w:bottom w:val="single" w:sz="4" w:space="0" w:color="000000"/>
              <w:right w:val="single" w:sz="4" w:space="0" w:color="000000"/>
            </w:tcBorders>
            <w:shd w:val="clear" w:color="000000" w:fill="DDEBF7"/>
            <w:vAlign w:val="center"/>
            <w:hideMark/>
          </w:tcPr>
          <w:p w14:paraId="534B4EED" w14:textId="77777777" w:rsidR="00D80534" w:rsidRPr="00665D61" w:rsidRDefault="00D80534" w:rsidP="00985591">
            <w:pPr>
              <w:spacing w:line="276" w:lineRule="auto"/>
              <w:jc w:val="center"/>
              <w:rPr>
                <w:rFonts w:ascii="Book Antiqua" w:hAnsi="Book Antiqua"/>
                <w:color w:val="000000"/>
                <w:sz w:val="16"/>
                <w:szCs w:val="16"/>
                <w:lang w:eastAsia="es-CR"/>
              </w:rPr>
            </w:pPr>
            <w:r w:rsidRPr="00665D61">
              <w:rPr>
                <w:rFonts w:ascii="Book Antiqua" w:hAnsi="Book Antiqua"/>
                <w:color w:val="000000"/>
                <w:sz w:val="16"/>
                <w:szCs w:val="16"/>
                <w:lang w:eastAsia="es-CR"/>
              </w:rPr>
              <w:t> </w:t>
            </w:r>
          </w:p>
        </w:tc>
      </w:tr>
      <w:tr w:rsidR="00D80534" w:rsidRPr="00665D61" w14:paraId="45611530" w14:textId="77777777" w:rsidTr="00665D61">
        <w:trPr>
          <w:trHeight w:val="290"/>
          <w:jc w:val="center"/>
        </w:trPr>
        <w:tc>
          <w:tcPr>
            <w:tcW w:w="3732" w:type="dxa"/>
            <w:tcBorders>
              <w:top w:val="nil"/>
              <w:left w:val="single" w:sz="4" w:space="0" w:color="000000"/>
              <w:bottom w:val="single" w:sz="4" w:space="0" w:color="000000"/>
              <w:right w:val="single" w:sz="4" w:space="0" w:color="000000"/>
            </w:tcBorders>
            <w:shd w:val="clear" w:color="000000" w:fill="FFFFFF"/>
            <w:vAlign w:val="center"/>
            <w:hideMark/>
          </w:tcPr>
          <w:p w14:paraId="5B7D41E4" w14:textId="77777777" w:rsidR="00D80534" w:rsidRPr="00665D61" w:rsidRDefault="00D80534" w:rsidP="00985591">
            <w:pPr>
              <w:spacing w:line="276" w:lineRule="auto"/>
              <w:rPr>
                <w:rFonts w:ascii="Book Antiqua" w:hAnsi="Book Antiqua"/>
                <w:color w:val="000000"/>
                <w:sz w:val="16"/>
                <w:szCs w:val="16"/>
                <w:lang w:eastAsia="es-CR"/>
              </w:rPr>
            </w:pPr>
            <w:r w:rsidRPr="00665D61">
              <w:rPr>
                <w:rFonts w:ascii="Book Antiqua" w:hAnsi="Book Antiqua"/>
                <w:color w:val="000000"/>
                <w:sz w:val="16"/>
                <w:szCs w:val="16"/>
                <w:lang w:eastAsia="es-CR"/>
              </w:rPr>
              <w:t>Coordinaciones interinstitucionales</w:t>
            </w:r>
          </w:p>
        </w:tc>
        <w:tc>
          <w:tcPr>
            <w:tcW w:w="1200" w:type="dxa"/>
            <w:tcBorders>
              <w:top w:val="nil"/>
              <w:left w:val="nil"/>
              <w:bottom w:val="single" w:sz="4" w:space="0" w:color="000000"/>
              <w:right w:val="single" w:sz="4" w:space="0" w:color="000000"/>
            </w:tcBorders>
            <w:shd w:val="clear" w:color="000000" w:fill="FFFFFF"/>
            <w:vAlign w:val="center"/>
            <w:hideMark/>
          </w:tcPr>
          <w:p w14:paraId="6F55B080" w14:textId="77777777" w:rsidR="00D80534" w:rsidRPr="00665D61" w:rsidRDefault="00D80534" w:rsidP="00985591">
            <w:pPr>
              <w:spacing w:line="276" w:lineRule="auto"/>
              <w:jc w:val="center"/>
              <w:rPr>
                <w:rFonts w:ascii="Book Antiqua" w:hAnsi="Book Antiqua"/>
                <w:color w:val="000000"/>
                <w:sz w:val="16"/>
                <w:szCs w:val="16"/>
                <w:lang w:eastAsia="es-CR"/>
              </w:rPr>
            </w:pPr>
            <w:r w:rsidRPr="00665D61">
              <w:rPr>
                <w:rFonts w:ascii="Book Antiqua" w:hAnsi="Book Antiqua"/>
                <w:color w:val="000000"/>
                <w:sz w:val="16"/>
                <w:szCs w:val="16"/>
                <w:lang w:eastAsia="es-CR"/>
              </w:rPr>
              <w:t>42</w:t>
            </w:r>
          </w:p>
        </w:tc>
      </w:tr>
      <w:tr w:rsidR="00D80534" w:rsidRPr="00665D61" w14:paraId="2C8FAB5E" w14:textId="77777777" w:rsidTr="00665D61">
        <w:trPr>
          <w:trHeight w:val="290"/>
          <w:jc w:val="center"/>
        </w:trPr>
        <w:tc>
          <w:tcPr>
            <w:tcW w:w="3732" w:type="dxa"/>
            <w:tcBorders>
              <w:top w:val="nil"/>
              <w:left w:val="single" w:sz="4" w:space="0" w:color="000000"/>
              <w:bottom w:val="single" w:sz="4" w:space="0" w:color="000000"/>
              <w:right w:val="single" w:sz="4" w:space="0" w:color="000000"/>
            </w:tcBorders>
            <w:shd w:val="clear" w:color="000000" w:fill="DDEBF7"/>
            <w:vAlign w:val="center"/>
            <w:hideMark/>
          </w:tcPr>
          <w:p w14:paraId="3876A17D" w14:textId="77777777" w:rsidR="00D80534" w:rsidRPr="00665D61" w:rsidRDefault="00D80534" w:rsidP="00985591">
            <w:pPr>
              <w:spacing w:line="276" w:lineRule="auto"/>
              <w:rPr>
                <w:rFonts w:ascii="Book Antiqua" w:hAnsi="Book Antiqua"/>
                <w:b/>
                <w:bCs/>
                <w:color w:val="000000"/>
                <w:sz w:val="16"/>
                <w:szCs w:val="16"/>
                <w:lang w:eastAsia="es-CR"/>
              </w:rPr>
            </w:pPr>
            <w:r w:rsidRPr="00665D61">
              <w:rPr>
                <w:rFonts w:ascii="Book Antiqua" w:hAnsi="Book Antiqua"/>
                <w:b/>
                <w:bCs/>
                <w:color w:val="000000"/>
                <w:sz w:val="16"/>
                <w:szCs w:val="16"/>
                <w:lang w:eastAsia="es-CR"/>
              </w:rPr>
              <w:t>Cantidad de instituciones que conforman la red</w:t>
            </w:r>
          </w:p>
        </w:tc>
        <w:tc>
          <w:tcPr>
            <w:tcW w:w="1200" w:type="dxa"/>
            <w:tcBorders>
              <w:top w:val="nil"/>
              <w:left w:val="nil"/>
              <w:bottom w:val="single" w:sz="4" w:space="0" w:color="000000"/>
              <w:right w:val="single" w:sz="4" w:space="0" w:color="000000"/>
            </w:tcBorders>
            <w:shd w:val="clear" w:color="000000" w:fill="DDEBF7"/>
            <w:vAlign w:val="center"/>
            <w:hideMark/>
          </w:tcPr>
          <w:p w14:paraId="3A1E0417" w14:textId="77777777" w:rsidR="00D80534" w:rsidRPr="00665D61" w:rsidRDefault="00D80534" w:rsidP="00985591">
            <w:pPr>
              <w:spacing w:line="276" w:lineRule="auto"/>
              <w:jc w:val="center"/>
              <w:rPr>
                <w:rFonts w:ascii="Book Antiqua" w:hAnsi="Book Antiqua"/>
                <w:color w:val="000000"/>
                <w:sz w:val="16"/>
                <w:szCs w:val="16"/>
                <w:lang w:eastAsia="es-CR"/>
              </w:rPr>
            </w:pPr>
            <w:r w:rsidRPr="00665D61">
              <w:rPr>
                <w:rFonts w:ascii="Book Antiqua" w:hAnsi="Book Antiqua"/>
                <w:color w:val="000000"/>
                <w:sz w:val="16"/>
                <w:szCs w:val="16"/>
                <w:lang w:val="es-ES" w:eastAsia="es-CR"/>
              </w:rPr>
              <w:t>1400</w:t>
            </w:r>
          </w:p>
        </w:tc>
      </w:tr>
      <w:tr w:rsidR="00D80534" w:rsidRPr="00665D61" w14:paraId="2F79F435" w14:textId="77777777" w:rsidTr="00665D61">
        <w:trPr>
          <w:trHeight w:val="290"/>
          <w:jc w:val="center"/>
        </w:trPr>
        <w:tc>
          <w:tcPr>
            <w:tcW w:w="3732" w:type="dxa"/>
            <w:tcBorders>
              <w:top w:val="nil"/>
              <w:left w:val="single" w:sz="4" w:space="0" w:color="000000"/>
              <w:bottom w:val="single" w:sz="4" w:space="0" w:color="000000"/>
              <w:right w:val="single" w:sz="4" w:space="0" w:color="000000"/>
            </w:tcBorders>
            <w:shd w:val="clear" w:color="000000" w:fill="DDEBF7"/>
            <w:vAlign w:val="center"/>
            <w:hideMark/>
          </w:tcPr>
          <w:p w14:paraId="1EADF3CA" w14:textId="77777777" w:rsidR="00D80534" w:rsidRPr="00665D61" w:rsidRDefault="00D80534" w:rsidP="00985591">
            <w:pPr>
              <w:spacing w:line="276" w:lineRule="auto"/>
              <w:rPr>
                <w:rFonts w:ascii="Book Antiqua" w:hAnsi="Book Antiqua"/>
                <w:b/>
                <w:bCs/>
                <w:color w:val="000000"/>
                <w:sz w:val="16"/>
                <w:szCs w:val="16"/>
                <w:lang w:eastAsia="es-CR"/>
              </w:rPr>
            </w:pPr>
            <w:r w:rsidRPr="00665D61">
              <w:rPr>
                <w:rFonts w:ascii="Book Antiqua" w:hAnsi="Book Antiqua"/>
                <w:b/>
                <w:bCs/>
                <w:color w:val="000000"/>
                <w:sz w:val="16"/>
                <w:szCs w:val="16"/>
                <w:lang w:eastAsia="es-CR"/>
              </w:rPr>
              <w:t>Entrevistas</w:t>
            </w:r>
          </w:p>
        </w:tc>
        <w:tc>
          <w:tcPr>
            <w:tcW w:w="1200" w:type="dxa"/>
            <w:tcBorders>
              <w:top w:val="nil"/>
              <w:left w:val="nil"/>
              <w:bottom w:val="single" w:sz="4" w:space="0" w:color="000000"/>
              <w:right w:val="single" w:sz="4" w:space="0" w:color="000000"/>
            </w:tcBorders>
            <w:shd w:val="clear" w:color="000000" w:fill="DDEBF7"/>
            <w:vAlign w:val="center"/>
            <w:hideMark/>
          </w:tcPr>
          <w:p w14:paraId="126E6088" w14:textId="77777777" w:rsidR="00D80534" w:rsidRPr="00665D61" w:rsidRDefault="00D80534" w:rsidP="00985591">
            <w:pPr>
              <w:spacing w:line="276" w:lineRule="auto"/>
              <w:jc w:val="center"/>
              <w:rPr>
                <w:rFonts w:ascii="Book Antiqua" w:hAnsi="Book Antiqua"/>
                <w:color w:val="000000"/>
                <w:sz w:val="16"/>
                <w:szCs w:val="16"/>
                <w:lang w:eastAsia="es-CR"/>
              </w:rPr>
            </w:pPr>
            <w:r w:rsidRPr="00665D61">
              <w:rPr>
                <w:rFonts w:ascii="Book Antiqua" w:hAnsi="Book Antiqua"/>
                <w:color w:val="000000"/>
                <w:sz w:val="16"/>
                <w:szCs w:val="16"/>
                <w:lang w:eastAsia="es-CR"/>
              </w:rPr>
              <w:t> </w:t>
            </w:r>
          </w:p>
        </w:tc>
      </w:tr>
      <w:tr w:rsidR="00D80534" w:rsidRPr="00665D61" w14:paraId="5B76C230" w14:textId="77777777" w:rsidTr="00665D61">
        <w:trPr>
          <w:trHeight w:val="290"/>
          <w:jc w:val="center"/>
        </w:trPr>
        <w:tc>
          <w:tcPr>
            <w:tcW w:w="3732" w:type="dxa"/>
            <w:tcBorders>
              <w:top w:val="nil"/>
              <w:left w:val="single" w:sz="4" w:space="0" w:color="000000"/>
              <w:bottom w:val="single" w:sz="4" w:space="0" w:color="000000"/>
              <w:right w:val="single" w:sz="4" w:space="0" w:color="000000"/>
            </w:tcBorders>
            <w:shd w:val="clear" w:color="000000" w:fill="FFFFFF"/>
            <w:vAlign w:val="center"/>
            <w:hideMark/>
          </w:tcPr>
          <w:p w14:paraId="749A74EF" w14:textId="77777777" w:rsidR="00D80534" w:rsidRPr="00665D61" w:rsidRDefault="00D80534" w:rsidP="00985591">
            <w:pPr>
              <w:spacing w:line="276" w:lineRule="auto"/>
              <w:rPr>
                <w:rFonts w:ascii="Book Antiqua" w:hAnsi="Book Antiqua"/>
                <w:b/>
                <w:bCs/>
                <w:color w:val="000000"/>
                <w:sz w:val="16"/>
                <w:szCs w:val="16"/>
                <w:lang w:eastAsia="es-CR"/>
              </w:rPr>
            </w:pPr>
            <w:r w:rsidRPr="00665D61">
              <w:rPr>
                <w:rFonts w:ascii="Book Antiqua" w:hAnsi="Book Antiqua"/>
                <w:b/>
                <w:bCs/>
                <w:color w:val="000000"/>
                <w:sz w:val="16"/>
                <w:szCs w:val="16"/>
                <w:lang w:eastAsia="es-CR"/>
              </w:rPr>
              <w:t>Legales</w:t>
            </w:r>
          </w:p>
        </w:tc>
        <w:tc>
          <w:tcPr>
            <w:tcW w:w="1200" w:type="dxa"/>
            <w:tcBorders>
              <w:top w:val="nil"/>
              <w:left w:val="nil"/>
              <w:bottom w:val="single" w:sz="4" w:space="0" w:color="000000"/>
              <w:right w:val="single" w:sz="4" w:space="0" w:color="000000"/>
            </w:tcBorders>
            <w:shd w:val="clear" w:color="000000" w:fill="FFFFFF"/>
            <w:vAlign w:val="center"/>
            <w:hideMark/>
          </w:tcPr>
          <w:p w14:paraId="6484F34D" w14:textId="77777777" w:rsidR="00D80534" w:rsidRPr="00665D61" w:rsidRDefault="00D80534" w:rsidP="00985591">
            <w:pPr>
              <w:spacing w:line="276" w:lineRule="auto"/>
              <w:jc w:val="center"/>
              <w:rPr>
                <w:rFonts w:ascii="Book Antiqua" w:hAnsi="Book Antiqua"/>
                <w:color w:val="000000"/>
                <w:sz w:val="16"/>
                <w:szCs w:val="16"/>
                <w:lang w:eastAsia="es-CR"/>
              </w:rPr>
            </w:pPr>
            <w:r w:rsidRPr="00665D61">
              <w:rPr>
                <w:rFonts w:ascii="Book Antiqua" w:hAnsi="Book Antiqua"/>
                <w:sz w:val="16"/>
                <w:szCs w:val="16"/>
                <w:lang w:val="es-ES_tradnl" w:eastAsia="es-CR"/>
              </w:rPr>
              <w:t>192</w:t>
            </w:r>
          </w:p>
        </w:tc>
      </w:tr>
      <w:tr w:rsidR="00D80534" w:rsidRPr="00665D61" w14:paraId="6362D100" w14:textId="77777777" w:rsidTr="00665D61">
        <w:trPr>
          <w:trHeight w:val="290"/>
          <w:jc w:val="center"/>
        </w:trPr>
        <w:tc>
          <w:tcPr>
            <w:tcW w:w="3732" w:type="dxa"/>
            <w:tcBorders>
              <w:top w:val="nil"/>
              <w:left w:val="single" w:sz="4" w:space="0" w:color="000000"/>
              <w:bottom w:val="single" w:sz="4" w:space="0" w:color="000000"/>
              <w:right w:val="single" w:sz="4" w:space="0" w:color="000000"/>
            </w:tcBorders>
            <w:shd w:val="clear" w:color="000000" w:fill="FFFFFF"/>
            <w:vAlign w:val="center"/>
            <w:hideMark/>
          </w:tcPr>
          <w:p w14:paraId="760496E2" w14:textId="77777777" w:rsidR="00D80534" w:rsidRPr="00665D61" w:rsidRDefault="00D80534" w:rsidP="00985591">
            <w:pPr>
              <w:spacing w:line="276" w:lineRule="auto"/>
              <w:rPr>
                <w:rFonts w:ascii="Book Antiqua" w:hAnsi="Book Antiqua"/>
                <w:b/>
                <w:bCs/>
                <w:color w:val="000000"/>
                <w:sz w:val="16"/>
                <w:szCs w:val="16"/>
                <w:lang w:eastAsia="es-CR"/>
              </w:rPr>
            </w:pPr>
            <w:r w:rsidRPr="00665D61">
              <w:rPr>
                <w:rFonts w:ascii="Book Antiqua" w:hAnsi="Book Antiqua"/>
                <w:b/>
                <w:bCs/>
                <w:color w:val="000000"/>
                <w:sz w:val="16"/>
                <w:szCs w:val="16"/>
                <w:lang w:eastAsia="es-CR"/>
              </w:rPr>
              <w:t>Psicosociales</w:t>
            </w:r>
          </w:p>
        </w:tc>
        <w:tc>
          <w:tcPr>
            <w:tcW w:w="1200" w:type="dxa"/>
            <w:tcBorders>
              <w:top w:val="nil"/>
              <w:left w:val="nil"/>
              <w:bottom w:val="single" w:sz="4" w:space="0" w:color="000000"/>
              <w:right w:val="single" w:sz="4" w:space="0" w:color="000000"/>
            </w:tcBorders>
            <w:shd w:val="clear" w:color="000000" w:fill="FFFFFF"/>
            <w:vAlign w:val="center"/>
            <w:hideMark/>
          </w:tcPr>
          <w:p w14:paraId="291D4813" w14:textId="77777777" w:rsidR="00D80534" w:rsidRPr="00665D61" w:rsidRDefault="00D80534" w:rsidP="00985591">
            <w:pPr>
              <w:spacing w:line="276" w:lineRule="auto"/>
              <w:jc w:val="center"/>
              <w:rPr>
                <w:rFonts w:ascii="Book Antiqua" w:hAnsi="Book Antiqua"/>
                <w:color w:val="000000"/>
                <w:sz w:val="16"/>
                <w:szCs w:val="16"/>
                <w:lang w:eastAsia="es-CR"/>
              </w:rPr>
            </w:pPr>
            <w:r w:rsidRPr="00665D61">
              <w:rPr>
                <w:rFonts w:ascii="Book Antiqua" w:hAnsi="Book Antiqua"/>
                <w:color w:val="000000"/>
                <w:sz w:val="16"/>
                <w:szCs w:val="16"/>
                <w:lang w:eastAsia="es-CR"/>
              </w:rPr>
              <w:t>81</w:t>
            </w:r>
          </w:p>
        </w:tc>
      </w:tr>
      <w:tr w:rsidR="00D80534" w:rsidRPr="00665D61" w14:paraId="07D936F5" w14:textId="77777777" w:rsidTr="00665D61">
        <w:trPr>
          <w:trHeight w:val="290"/>
          <w:jc w:val="center"/>
        </w:trPr>
        <w:tc>
          <w:tcPr>
            <w:tcW w:w="3732" w:type="dxa"/>
            <w:tcBorders>
              <w:top w:val="nil"/>
              <w:left w:val="single" w:sz="4" w:space="0" w:color="000000"/>
              <w:bottom w:val="single" w:sz="4" w:space="0" w:color="000000"/>
              <w:right w:val="single" w:sz="4" w:space="0" w:color="000000"/>
            </w:tcBorders>
            <w:shd w:val="clear" w:color="000000" w:fill="FFFFFF"/>
            <w:vAlign w:val="center"/>
            <w:hideMark/>
          </w:tcPr>
          <w:p w14:paraId="60F8CD82" w14:textId="77777777" w:rsidR="00D80534" w:rsidRPr="00665D61" w:rsidRDefault="00D80534" w:rsidP="00985591">
            <w:pPr>
              <w:spacing w:line="276" w:lineRule="auto"/>
              <w:rPr>
                <w:rFonts w:ascii="Book Antiqua" w:hAnsi="Book Antiqua"/>
                <w:b/>
                <w:bCs/>
                <w:color w:val="000000"/>
                <w:sz w:val="16"/>
                <w:szCs w:val="16"/>
                <w:lang w:eastAsia="es-CR"/>
              </w:rPr>
            </w:pPr>
            <w:r w:rsidRPr="00665D61">
              <w:rPr>
                <w:rFonts w:ascii="Book Antiqua" w:hAnsi="Book Antiqua"/>
                <w:b/>
                <w:bCs/>
                <w:color w:val="000000"/>
                <w:sz w:val="16"/>
                <w:szCs w:val="16"/>
                <w:lang w:eastAsia="es-CR"/>
              </w:rPr>
              <w:t>Seguimiento de medidas alternas</w:t>
            </w:r>
          </w:p>
        </w:tc>
        <w:tc>
          <w:tcPr>
            <w:tcW w:w="1200" w:type="dxa"/>
            <w:tcBorders>
              <w:top w:val="nil"/>
              <w:left w:val="nil"/>
              <w:bottom w:val="single" w:sz="4" w:space="0" w:color="000000"/>
              <w:right w:val="single" w:sz="4" w:space="0" w:color="000000"/>
            </w:tcBorders>
            <w:shd w:val="clear" w:color="000000" w:fill="FFFFFF"/>
            <w:vAlign w:val="center"/>
            <w:hideMark/>
          </w:tcPr>
          <w:p w14:paraId="43F0CC44" w14:textId="77777777" w:rsidR="00D80534" w:rsidRPr="00665D61" w:rsidRDefault="00D80534" w:rsidP="00985591">
            <w:pPr>
              <w:spacing w:line="276" w:lineRule="auto"/>
              <w:jc w:val="center"/>
              <w:rPr>
                <w:rFonts w:ascii="Book Antiqua" w:hAnsi="Book Antiqua"/>
                <w:color w:val="000000"/>
                <w:sz w:val="16"/>
                <w:szCs w:val="16"/>
                <w:lang w:eastAsia="es-CR"/>
              </w:rPr>
            </w:pPr>
            <w:r w:rsidRPr="00665D61">
              <w:rPr>
                <w:rFonts w:ascii="Book Antiqua" w:hAnsi="Book Antiqua"/>
                <w:color w:val="000000"/>
                <w:sz w:val="16"/>
                <w:szCs w:val="16"/>
                <w:lang w:eastAsia="es-CR"/>
              </w:rPr>
              <w:t>23</w:t>
            </w:r>
          </w:p>
        </w:tc>
      </w:tr>
    </w:tbl>
    <w:bookmarkEnd w:id="20"/>
    <w:p w14:paraId="46708958" w14:textId="77777777" w:rsidR="000C5D8B" w:rsidRPr="004F0E92" w:rsidRDefault="000C5D8B" w:rsidP="00985591">
      <w:pPr>
        <w:spacing w:line="276" w:lineRule="auto"/>
        <w:jc w:val="center"/>
        <w:rPr>
          <w:rFonts w:ascii="Book Antiqua" w:hAnsi="Book Antiqua"/>
          <w:b/>
          <w:bCs/>
          <w:color w:val="000000" w:themeColor="text1"/>
          <w:sz w:val="20"/>
          <w:szCs w:val="20"/>
        </w:rPr>
      </w:pPr>
      <w:r w:rsidRPr="008C7C95">
        <w:rPr>
          <w:rFonts w:ascii="Book Antiqua" w:hAnsi="Book Antiqua"/>
          <w:b/>
          <w:bCs/>
          <w:color w:val="000000" w:themeColor="text1"/>
          <w:sz w:val="20"/>
          <w:szCs w:val="20"/>
        </w:rPr>
        <w:t xml:space="preserve">Fuente: </w:t>
      </w:r>
      <w:r w:rsidRPr="008C7C95">
        <w:rPr>
          <w:rFonts w:ascii="Book Antiqua" w:hAnsi="Book Antiqua"/>
          <w:color w:val="000000" w:themeColor="text1"/>
          <w:sz w:val="20"/>
          <w:szCs w:val="20"/>
        </w:rPr>
        <w:t>Elaborado por la Oficina Rectora de Justica Restaurativa</w:t>
      </w:r>
    </w:p>
    <w:p w14:paraId="6DCAB219" w14:textId="77777777" w:rsidR="000C5D8B" w:rsidRPr="003A015A" w:rsidRDefault="000C5D8B" w:rsidP="00985591">
      <w:pPr>
        <w:spacing w:line="276" w:lineRule="auto"/>
        <w:rPr>
          <w:rFonts w:ascii="Book Antiqua" w:hAnsi="Book Antiqua"/>
          <w:b/>
          <w:bCs/>
          <w:highlight w:val="yellow"/>
          <w:lang w:val="es-ES_tradnl" w:eastAsia="en-US"/>
        </w:rPr>
      </w:pPr>
    </w:p>
    <w:p w14:paraId="4125188B" w14:textId="77777777" w:rsidR="00081221" w:rsidRDefault="00081221" w:rsidP="00985591">
      <w:pPr>
        <w:pStyle w:val="Ttulo1"/>
        <w:spacing w:line="276" w:lineRule="auto"/>
        <w:rPr>
          <w:bCs/>
        </w:rPr>
      </w:pPr>
    </w:p>
    <w:p w14:paraId="44ECE805" w14:textId="12682A22" w:rsidR="00776798" w:rsidRPr="004F0E92" w:rsidRDefault="00776798" w:rsidP="00985591">
      <w:pPr>
        <w:pStyle w:val="Ttulo1"/>
        <w:spacing w:line="276" w:lineRule="auto"/>
        <w:rPr>
          <w:b w:val="0"/>
          <w:bCs/>
        </w:rPr>
      </w:pPr>
      <w:r w:rsidRPr="003D2439">
        <w:rPr>
          <w:bCs/>
        </w:rPr>
        <w:t>CAPITULO V</w:t>
      </w:r>
      <w:r w:rsidR="00935A0C" w:rsidRPr="003D2439">
        <w:rPr>
          <w:bCs/>
        </w:rPr>
        <w:t>I</w:t>
      </w:r>
      <w:r w:rsidRPr="003D2439">
        <w:rPr>
          <w:bCs/>
        </w:rPr>
        <w:t xml:space="preserve">. RESULTADOS DE MATERIA PENAL EN EL MES DE </w:t>
      </w:r>
      <w:r w:rsidR="003D2439" w:rsidRPr="003D2439">
        <w:rPr>
          <w:bCs/>
        </w:rPr>
        <w:t>JULIO</w:t>
      </w:r>
    </w:p>
    <w:p w14:paraId="129ACA3F" w14:textId="77777777" w:rsidR="00776798" w:rsidRPr="004F0E92" w:rsidRDefault="00776798" w:rsidP="00985591">
      <w:pPr>
        <w:shd w:val="clear" w:color="auto" w:fill="FFFFFF" w:themeFill="background1"/>
        <w:spacing w:line="276" w:lineRule="auto"/>
        <w:jc w:val="both"/>
        <w:rPr>
          <w:rFonts w:ascii="Book Antiqua" w:hAnsi="Book Antiqua"/>
          <w:b/>
          <w:bCs/>
          <w:lang w:val="es-ES_tradnl" w:eastAsia="en-US"/>
        </w:rPr>
      </w:pPr>
    </w:p>
    <w:p w14:paraId="3CCA069C" w14:textId="17760E10" w:rsidR="007E4F28" w:rsidRPr="004F0E92" w:rsidRDefault="1A120C9F" w:rsidP="57A79FF7">
      <w:pPr>
        <w:tabs>
          <w:tab w:val="left" w:pos="426"/>
        </w:tabs>
        <w:spacing w:after="160" w:line="276" w:lineRule="auto"/>
        <w:contextualSpacing/>
        <w:outlineLvl w:val="1"/>
        <w:rPr>
          <w:b/>
          <w:color w:val="000000" w:themeColor="text1"/>
        </w:rPr>
      </w:pPr>
      <w:r w:rsidRPr="57A79FF7">
        <w:rPr>
          <w:rFonts w:ascii="Book Antiqua" w:hAnsi="Book Antiqua"/>
          <w:b/>
          <w:bCs/>
          <w:color w:val="000000" w:themeColor="text1"/>
        </w:rPr>
        <w:t xml:space="preserve">6. </w:t>
      </w:r>
      <w:r w:rsidR="007E4F28" w:rsidRPr="004F0E92">
        <w:rPr>
          <w:rFonts w:ascii="Book Antiqua" w:hAnsi="Book Antiqua"/>
          <w:b/>
          <w:color w:val="000000" w:themeColor="text1"/>
        </w:rPr>
        <w:t xml:space="preserve">Seguimiento resultados de materia </w:t>
      </w:r>
      <w:r w:rsidR="004F0E92" w:rsidRPr="004F0E92">
        <w:rPr>
          <w:rFonts w:ascii="Book Antiqua" w:hAnsi="Book Antiqua"/>
          <w:b/>
          <w:color w:val="000000" w:themeColor="text1"/>
        </w:rPr>
        <w:t>P</w:t>
      </w:r>
      <w:r w:rsidR="007E4F28" w:rsidRPr="004F0E92">
        <w:rPr>
          <w:rFonts w:ascii="Book Antiqua" w:hAnsi="Book Antiqua"/>
          <w:b/>
          <w:color w:val="000000" w:themeColor="text1"/>
        </w:rPr>
        <w:t>enal</w:t>
      </w:r>
      <w:r w:rsidR="009E5ACF" w:rsidRPr="004F0E92">
        <w:rPr>
          <w:rFonts w:ascii="Book Antiqua" w:hAnsi="Book Antiqua"/>
          <w:b/>
          <w:color w:val="000000" w:themeColor="text1"/>
        </w:rPr>
        <w:t xml:space="preserve"> del mes de </w:t>
      </w:r>
      <w:r w:rsidR="003D2439">
        <w:rPr>
          <w:rFonts w:ascii="Book Antiqua" w:hAnsi="Book Antiqua"/>
          <w:b/>
          <w:color w:val="000000" w:themeColor="text1"/>
        </w:rPr>
        <w:t>julio</w:t>
      </w:r>
    </w:p>
    <w:p w14:paraId="0F92B388" w14:textId="055262C8" w:rsidR="57A79FF7" w:rsidRDefault="57A79FF7" w:rsidP="57A79FF7">
      <w:pPr>
        <w:tabs>
          <w:tab w:val="left" w:pos="426"/>
        </w:tabs>
        <w:spacing w:after="160" w:line="276" w:lineRule="auto"/>
        <w:outlineLvl w:val="1"/>
        <w:rPr>
          <w:b/>
          <w:bCs/>
          <w:color w:val="000000" w:themeColor="text1"/>
        </w:rPr>
      </w:pPr>
    </w:p>
    <w:p w14:paraId="2D6C709B" w14:textId="6DDB2B12" w:rsidR="007E4F28" w:rsidRPr="004F0E92" w:rsidRDefault="007E4F28" w:rsidP="00985591">
      <w:pPr>
        <w:spacing w:line="276" w:lineRule="auto"/>
        <w:jc w:val="both"/>
        <w:rPr>
          <w:rFonts w:ascii="Book Antiqua" w:hAnsi="Book Antiqua"/>
          <w:color w:val="000000" w:themeColor="text1"/>
        </w:rPr>
      </w:pPr>
      <w:r w:rsidRPr="00C56519">
        <w:rPr>
          <w:rFonts w:ascii="Book Antiqua" w:hAnsi="Book Antiqua"/>
          <w:color w:val="000000" w:themeColor="text1"/>
        </w:rPr>
        <w:t>La Dirección de Planificación a través de la circular 61-20, e</w:t>
      </w:r>
      <w:r w:rsidRPr="001A078A">
        <w:rPr>
          <w:rFonts w:ascii="Book Antiqua" w:hAnsi="Book Antiqua"/>
          <w:color w:val="000000" w:themeColor="text1"/>
        </w:rPr>
        <w:t>s la responsab</w:t>
      </w:r>
      <w:r w:rsidRPr="00DB6970">
        <w:rPr>
          <w:rFonts w:ascii="Book Antiqua" w:hAnsi="Book Antiqua"/>
          <w:color w:val="000000" w:themeColor="text1"/>
        </w:rPr>
        <w:t xml:space="preserve">le del </w:t>
      </w:r>
      <w:r w:rsidRPr="0016469A">
        <w:rPr>
          <w:rFonts w:ascii="Book Antiqua" w:hAnsi="Book Antiqua"/>
          <w:color w:val="000000" w:themeColor="text1"/>
        </w:rPr>
        <w:t>seguimiento de los resultados de lo</w:t>
      </w:r>
      <w:r w:rsidRPr="00D92C45">
        <w:rPr>
          <w:rFonts w:ascii="Book Antiqua" w:hAnsi="Book Antiqua"/>
          <w:color w:val="000000" w:themeColor="text1"/>
        </w:rPr>
        <w:t>s planes de trabajo de los Juzgados Penales, Tri</w:t>
      </w:r>
      <w:r w:rsidRPr="004F7FEF">
        <w:rPr>
          <w:rFonts w:ascii="Book Antiqua" w:hAnsi="Book Antiqua"/>
          <w:color w:val="000000" w:themeColor="text1"/>
        </w:rPr>
        <w:t>bunales de Juicio, Tribunal y Secciones de Flagrancia, Juzgados de Ejecución de la Pena, Tribunal de Apelación</w:t>
      </w:r>
      <w:r w:rsidR="00BD504F" w:rsidRPr="00BB710A">
        <w:rPr>
          <w:rFonts w:ascii="Book Antiqua" w:hAnsi="Book Antiqua"/>
          <w:color w:val="000000" w:themeColor="text1"/>
        </w:rPr>
        <w:t xml:space="preserve">, </w:t>
      </w:r>
      <w:r w:rsidRPr="00BB710A">
        <w:rPr>
          <w:rFonts w:ascii="Book Antiqua" w:hAnsi="Book Antiqua"/>
          <w:color w:val="000000" w:themeColor="text1"/>
        </w:rPr>
        <w:t>Sala Tercera, semana a semana cada una d</w:t>
      </w:r>
      <w:r w:rsidRPr="00AF216E">
        <w:rPr>
          <w:rFonts w:ascii="Book Antiqua" w:hAnsi="Book Antiqua"/>
          <w:color w:val="000000" w:themeColor="text1"/>
        </w:rPr>
        <w:t>e esas oficinas prese</w:t>
      </w:r>
      <w:r w:rsidRPr="00350753">
        <w:rPr>
          <w:rFonts w:ascii="Book Antiqua" w:hAnsi="Book Antiqua"/>
          <w:color w:val="000000" w:themeColor="text1"/>
        </w:rPr>
        <w:t>nta sus datos y son revisados por p</w:t>
      </w:r>
      <w:r w:rsidRPr="00FD0F4E">
        <w:rPr>
          <w:rFonts w:ascii="Book Antiqua" w:hAnsi="Book Antiqua"/>
          <w:color w:val="000000" w:themeColor="text1"/>
        </w:rPr>
        <w:t>rofesionales de dicha dirección, quienes dan retroalimentación en el llenado de ellos por alguna inc</w:t>
      </w:r>
      <w:r w:rsidRPr="00C446D3">
        <w:rPr>
          <w:rFonts w:ascii="Book Antiqua" w:hAnsi="Book Antiqua"/>
          <w:color w:val="000000" w:themeColor="text1"/>
        </w:rPr>
        <w:t>onsistencia</w:t>
      </w:r>
      <w:r w:rsidR="009A05AA" w:rsidRPr="00C446D3">
        <w:rPr>
          <w:rFonts w:ascii="Book Antiqua" w:hAnsi="Book Antiqua"/>
          <w:color w:val="000000" w:themeColor="text1"/>
        </w:rPr>
        <w:t xml:space="preserve"> y de manera mensual se</w:t>
      </w:r>
      <w:r w:rsidR="009A05AA" w:rsidRPr="001C045B">
        <w:rPr>
          <w:rFonts w:ascii="Book Antiqua" w:hAnsi="Book Antiqua"/>
          <w:color w:val="000000" w:themeColor="text1"/>
        </w:rPr>
        <w:t xml:space="preserve"> sistematiza la información, circular 101-2020.</w:t>
      </w:r>
      <w:r w:rsidR="00C56519" w:rsidRPr="001C045B">
        <w:rPr>
          <w:rFonts w:ascii="Book Antiqua" w:hAnsi="Book Antiqua"/>
          <w:color w:val="000000" w:themeColor="text1"/>
        </w:rPr>
        <w:t xml:space="preserve"> Adicionalmente a partir del 22 de marzo de 2021, la Corte P</w:t>
      </w:r>
      <w:r w:rsidR="00C56519" w:rsidRPr="00950EE4">
        <w:rPr>
          <w:rFonts w:ascii="Book Antiqua" w:hAnsi="Book Antiqua"/>
          <w:color w:val="000000" w:themeColor="text1"/>
        </w:rPr>
        <w:t xml:space="preserve">lena en </w:t>
      </w:r>
      <w:r w:rsidR="00C56519" w:rsidRPr="008C34D4">
        <w:rPr>
          <w:rFonts w:ascii="Book Antiqua" w:hAnsi="Book Antiqua"/>
          <w:color w:val="000000" w:themeColor="text1"/>
        </w:rPr>
        <w:t>la sesión 12-202</w:t>
      </w:r>
      <w:r w:rsidR="00C56519" w:rsidRPr="00ED0468">
        <w:rPr>
          <w:rFonts w:ascii="Book Antiqua" w:hAnsi="Book Antiqua"/>
          <w:color w:val="000000" w:themeColor="text1"/>
        </w:rPr>
        <w:t>1</w:t>
      </w:r>
      <w:r w:rsidR="00C56519" w:rsidRPr="00BB6850">
        <w:rPr>
          <w:rFonts w:ascii="Book Antiqua" w:hAnsi="Book Antiqua"/>
          <w:color w:val="000000" w:themeColor="text1"/>
        </w:rPr>
        <w:t>, artícu</w:t>
      </w:r>
      <w:r w:rsidR="00C56519" w:rsidRPr="00604E74">
        <w:rPr>
          <w:rFonts w:ascii="Book Antiqua" w:hAnsi="Book Antiqua"/>
          <w:color w:val="000000" w:themeColor="text1"/>
        </w:rPr>
        <w:t>lo XVII a</w:t>
      </w:r>
      <w:r w:rsidR="00C56519" w:rsidRPr="00C47455">
        <w:rPr>
          <w:rFonts w:ascii="Book Antiqua" w:hAnsi="Book Antiqua"/>
          <w:color w:val="000000" w:themeColor="text1"/>
        </w:rPr>
        <w:t>prob</w:t>
      </w:r>
      <w:r w:rsidR="00C56519" w:rsidRPr="00740A51">
        <w:rPr>
          <w:rFonts w:ascii="Book Antiqua" w:hAnsi="Book Antiqua"/>
          <w:color w:val="000000" w:themeColor="text1"/>
        </w:rPr>
        <w:t>ó el in</w:t>
      </w:r>
      <w:r w:rsidR="00C56519" w:rsidRPr="00C56519">
        <w:rPr>
          <w:rFonts w:ascii="Book Antiqua" w:hAnsi="Book Antiqua"/>
          <w:color w:val="000000" w:themeColor="text1"/>
        </w:rPr>
        <w:t>forme 301-PLA-MI-2021, en donde se recomendó que a partir del mes de mayo el seguimiento se desarrollara a través de indicadores de gestión</w:t>
      </w:r>
      <w:r w:rsidR="001C045B">
        <w:rPr>
          <w:rFonts w:ascii="Book Antiqua" w:hAnsi="Book Antiqua"/>
          <w:color w:val="000000" w:themeColor="text1"/>
        </w:rPr>
        <w:t>, lo cual se comunicó mediante la circular 92-2021 a todos los despachos del país.</w:t>
      </w:r>
      <w:r w:rsidR="00104AB9">
        <w:rPr>
          <w:rFonts w:ascii="Book Antiqua" w:hAnsi="Book Antiqua"/>
          <w:color w:val="000000" w:themeColor="text1"/>
        </w:rPr>
        <w:t xml:space="preserve"> Esto, aplica únicamente para los Juzgados Penales, Tribunales Penales</w:t>
      </w:r>
      <w:r w:rsidR="00D45FE2">
        <w:rPr>
          <w:rFonts w:ascii="Book Antiqua" w:hAnsi="Book Antiqua"/>
          <w:color w:val="000000" w:themeColor="text1"/>
        </w:rPr>
        <w:t>,</w:t>
      </w:r>
      <w:r w:rsidR="00104AB9">
        <w:rPr>
          <w:rFonts w:ascii="Book Antiqua" w:hAnsi="Book Antiqua"/>
          <w:color w:val="000000" w:themeColor="text1"/>
        </w:rPr>
        <w:t xml:space="preserve"> Secciones de Flagrancia</w:t>
      </w:r>
      <w:r w:rsidR="00D45FE2">
        <w:rPr>
          <w:rFonts w:ascii="Book Antiqua" w:hAnsi="Book Antiqua"/>
          <w:color w:val="000000" w:themeColor="text1"/>
        </w:rPr>
        <w:t xml:space="preserve"> y Juzgados de Ejecución</w:t>
      </w:r>
      <w:r w:rsidR="00104AB9">
        <w:rPr>
          <w:rFonts w:ascii="Book Antiqua" w:hAnsi="Book Antiqua"/>
          <w:color w:val="000000" w:themeColor="text1"/>
        </w:rPr>
        <w:t>.</w:t>
      </w:r>
    </w:p>
    <w:p w14:paraId="3428AD4C" w14:textId="4A96C4F1" w:rsidR="007E4F28" w:rsidRDefault="007E4F28" w:rsidP="00985591">
      <w:pPr>
        <w:pStyle w:val="Prrafodelista"/>
        <w:spacing w:line="276" w:lineRule="auto"/>
        <w:rPr>
          <w:rFonts w:ascii="Book Antiqua" w:hAnsi="Book Antiqua"/>
          <w:color w:val="000000" w:themeColor="text1"/>
        </w:rPr>
      </w:pPr>
    </w:p>
    <w:p w14:paraId="79745EB0" w14:textId="77777777" w:rsidR="0090496A" w:rsidRPr="004F0E92" w:rsidRDefault="0090496A" w:rsidP="00985591">
      <w:pPr>
        <w:pStyle w:val="Prrafodelista"/>
        <w:spacing w:line="276" w:lineRule="auto"/>
        <w:rPr>
          <w:rFonts w:ascii="Book Antiqua" w:hAnsi="Book Antiqua"/>
          <w:color w:val="000000" w:themeColor="text1"/>
        </w:rPr>
      </w:pPr>
    </w:p>
    <w:p w14:paraId="178CFEEC" w14:textId="1EDEC5A8" w:rsidR="007E4F28" w:rsidRPr="00381FD4" w:rsidRDefault="2CC19DA9" w:rsidP="57A79FF7">
      <w:pPr>
        <w:spacing w:after="160" w:line="276" w:lineRule="auto"/>
        <w:contextualSpacing/>
        <w:outlineLvl w:val="1"/>
        <w:rPr>
          <w:b/>
          <w:color w:val="000000" w:themeColor="text1"/>
        </w:rPr>
      </w:pPr>
      <w:r w:rsidRPr="57A79FF7">
        <w:rPr>
          <w:rFonts w:ascii="Book Antiqua" w:hAnsi="Book Antiqua"/>
          <w:b/>
          <w:bCs/>
          <w:color w:val="000000" w:themeColor="text1"/>
        </w:rPr>
        <w:t xml:space="preserve">6.1 </w:t>
      </w:r>
      <w:r w:rsidR="007E4F28" w:rsidRPr="00381FD4">
        <w:rPr>
          <w:rFonts w:ascii="Book Antiqua" w:hAnsi="Book Antiqua"/>
          <w:b/>
          <w:color w:val="000000" w:themeColor="text1"/>
        </w:rPr>
        <w:t>Resultados de desglose de actividades</w:t>
      </w:r>
    </w:p>
    <w:p w14:paraId="47CEDFAA" w14:textId="77777777" w:rsidR="00252D93" w:rsidRPr="00381FD4" w:rsidRDefault="00252D93" w:rsidP="00985591">
      <w:pPr>
        <w:pStyle w:val="Prrafodelista"/>
        <w:spacing w:after="160" w:line="276" w:lineRule="auto"/>
        <w:ind w:left="360"/>
        <w:contextualSpacing/>
        <w:rPr>
          <w:rFonts w:ascii="Book Antiqua" w:hAnsi="Book Antiqua"/>
          <w:b/>
          <w:color w:val="000000" w:themeColor="text1"/>
        </w:rPr>
      </w:pPr>
    </w:p>
    <w:p w14:paraId="4C07EF1E" w14:textId="17C44056" w:rsidR="00133AD1" w:rsidRPr="00687C39" w:rsidRDefault="18E7898D" w:rsidP="57A79FF7">
      <w:pPr>
        <w:tabs>
          <w:tab w:val="left" w:pos="426"/>
        </w:tabs>
        <w:spacing w:line="276" w:lineRule="auto"/>
        <w:jc w:val="both"/>
        <w:outlineLvl w:val="2"/>
        <w:rPr>
          <w:b/>
          <w:color w:val="000000" w:themeColor="text1"/>
          <w:lang w:eastAsia="es-CR"/>
        </w:rPr>
      </w:pPr>
      <w:r w:rsidRPr="57A79FF7">
        <w:rPr>
          <w:rFonts w:ascii="Book Antiqua" w:hAnsi="Book Antiqua"/>
          <w:b/>
          <w:bCs/>
          <w:color w:val="000000" w:themeColor="text1"/>
        </w:rPr>
        <w:t xml:space="preserve">6.1.1 </w:t>
      </w:r>
      <w:r w:rsidR="00133AD1" w:rsidRPr="00687C39">
        <w:rPr>
          <w:rFonts w:ascii="Book Antiqua" w:hAnsi="Book Antiqua"/>
          <w:b/>
          <w:bCs/>
          <w:color w:val="000000" w:themeColor="text1"/>
        </w:rPr>
        <w:t xml:space="preserve">Juzgados Penales </w:t>
      </w:r>
    </w:p>
    <w:p w14:paraId="676D40B7" w14:textId="77777777" w:rsidR="00133AD1" w:rsidRPr="000549BF" w:rsidRDefault="00133AD1" w:rsidP="00985591">
      <w:pPr>
        <w:pStyle w:val="Prrafodelista"/>
        <w:tabs>
          <w:tab w:val="left" w:pos="426"/>
        </w:tabs>
        <w:spacing w:line="276" w:lineRule="auto"/>
        <w:ind w:left="0"/>
        <w:jc w:val="both"/>
        <w:rPr>
          <w:rFonts w:ascii="Book Antiqua" w:hAnsi="Book Antiqua"/>
          <w:color w:val="000000" w:themeColor="text1"/>
        </w:rPr>
      </w:pPr>
    </w:p>
    <w:p w14:paraId="7096CFD4" w14:textId="633594A8" w:rsidR="003F7BDC" w:rsidRPr="00BF7F5F" w:rsidRDefault="00133AD1" w:rsidP="00BF7F5F">
      <w:pPr>
        <w:spacing w:line="276" w:lineRule="auto"/>
        <w:jc w:val="both"/>
        <w:rPr>
          <w:rFonts w:ascii="Book Antiqua" w:hAnsi="Book Antiqua" w:cs="Arial"/>
        </w:rPr>
      </w:pPr>
      <w:r>
        <w:rPr>
          <w:rFonts w:ascii="Book Antiqua" w:hAnsi="Book Antiqua"/>
          <w:color w:val="000000"/>
          <w:lang w:val="es-ES"/>
        </w:rPr>
        <w:t xml:space="preserve">Según los datos reportados en las matrices de indicadores por los Juzgados Penales, </w:t>
      </w:r>
      <w:r w:rsidRPr="005F2A2D">
        <w:rPr>
          <w:rFonts w:ascii="Book Antiqua" w:hAnsi="Book Antiqua"/>
          <w:color w:val="000000"/>
        </w:rPr>
        <w:t>las</w:t>
      </w:r>
      <w:r>
        <w:rPr>
          <w:rFonts w:ascii="Book Antiqua" w:hAnsi="Book Antiqua"/>
          <w:color w:val="000000"/>
        </w:rPr>
        <w:t xml:space="preserve"> principales actividades efectuadas por el personal de la judicatura durante el mes de julio del 2021 fueron: 8815 asuntos finalizados por desestimación, sobreseimientos y auto apertura a juicio, 2405 audiencias preliminares realizadas y 698 vistas orales efectuadas.</w:t>
      </w:r>
    </w:p>
    <w:p w14:paraId="29B97711" w14:textId="5387A8C4" w:rsidR="00133AD1" w:rsidRPr="00336B79" w:rsidRDefault="00133AD1" w:rsidP="00985591">
      <w:pPr>
        <w:spacing w:line="276" w:lineRule="auto"/>
        <w:jc w:val="center"/>
        <w:rPr>
          <w:rFonts w:ascii="Book Antiqua" w:hAnsi="Book Antiqua"/>
          <w:b/>
          <w:color w:val="000000"/>
        </w:rPr>
      </w:pPr>
      <w:r w:rsidRPr="00336B79">
        <w:rPr>
          <w:rFonts w:ascii="Book Antiqua" w:hAnsi="Book Antiqua"/>
          <w:b/>
          <w:color w:val="000000"/>
        </w:rPr>
        <w:t xml:space="preserve">Gráfico </w:t>
      </w:r>
      <w:r w:rsidR="003F7BDC">
        <w:rPr>
          <w:rFonts w:ascii="Book Antiqua" w:hAnsi="Book Antiqua"/>
          <w:b/>
          <w:color w:val="000000"/>
        </w:rPr>
        <w:t>15</w:t>
      </w:r>
    </w:p>
    <w:p w14:paraId="4B199E51" w14:textId="77777777" w:rsidR="00133AD1" w:rsidRPr="00F04863" w:rsidRDefault="00133AD1" w:rsidP="00985591">
      <w:pPr>
        <w:spacing w:line="276" w:lineRule="auto"/>
        <w:jc w:val="center"/>
        <w:rPr>
          <w:rFonts w:ascii="Book Antiqua" w:hAnsi="Book Antiqua"/>
          <w:bCs/>
          <w:color w:val="000000"/>
        </w:rPr>
      </w:pPr>
      <w:r w:rsidRPr="00F04863">
        <w:rPr>
          <w:rFonts w:ascii="Book Antiqua" w:hAnsi="Book Antiqua"/>
          <w:bCs/>
          <w:color w:val="000000"/>
        </w:rPr>
        <w:t>Actividades principales efectuadas por el personal de la judicatura</w:t>
      </w:r>
    </w:p>
    <w:p w14:paraId="30DB6CC8" w14:textId="0AE70A97" w:rsidR="00133AD1" w:rsidRPr="00F04863" w:rsidRDefault="00133AD1" w:rsidP="00985591">
      <w:pPr>
        <w:spacing w:line="276" w:lineRule="auto"/>
        <w:jc w:val="center"/>
        <w:rPr>
          <w:rFonts w:ascii="Book Antiqua" w:hAnsi="Book Antiqua"/>
          <w:bCs/>
          <w:color w:val="000000"/>
        </w:rPr>
      </w:pPr>
      <w:r w:rsidRPr="00F04863">
        <w:rPr>
          <w:rFonts w:ascii="Book Antiqua" w:hAnsi="Book Antiqua"/>
          <w:bCs/>
          <w:color w:val="000000"/>
        </w:rPr>
        <w:t xml:space="preserve">de los Juzgados Penales durante </w:t>
      </w:r>
      <w:r>
        <w:rPr>
          <w:rFonts w:ascii="Book Antiqua" w:hAnsi="Book Antiqua"/>
          <w:bCs/>
          <w:color w:val="000000"/>
        </w:rPr>
        <w:t>julio</w:t>
      </w:r>
      <w:r w:rsidRPr="00F04863">
        <w:rPr>
          <w:rFonts w:ascii="Book Antiqua" w:hAnsi="Book Antiqua"/>
          <w:bCs/>
          <w:color w:val="000000"/>
        </w:rPr>
        <w:t xml:space="preserve"> de 2021</w:t>
      </w:r>
    </w:p>
    <w:p w14:paraId="6CE908F3" w14:textId="77777777" w:rsidR="00133AD1" w:rsidRPr="00336B79" w:rsidRDefault="00133AD1" w:rsidP="00985591">
      <w:pPr>
        <w:spacing w:line="276" w:lineRule="auto"/>
        <w:jc w:val="center"/>
        <w:rPr>
          <w:rFonts w:ascii="Book Antiqua" w:hAnsi="Book Antiqua"/>
          <w:b/>
          <w:color w:val="000000"/>
        </w:rPr>
      </w:pPr>
    </w:p>
    <w:p w14:paraId="43093961" w14:textId="5194474D" w:rsidR="00133AD1" w:rsidRDefault="00133AD1" w:rsidP="00985591">
      <w:pPr>
        <w:spacing w:line="276" w:lineRule="auto"/>
        <w:jc w:val="center"/>
        <w:rPr>
          <w:rFonts w:ascii="Book Antiqua" w:hAnsi="Book Antiqua"/>
          <w:color w:val="000000" w:themeColor="text1"/>
          <w:highlight w:val="green"/>
        </w:rPr>
      </w:pPr>
      <w:r w:rsidRPr="00FC5504">
        <w:rPr>
          <w:noProof/>
        </w:rPr>
        <w:drawing>
          <wp:inline distT="0" distB="0" distL="0" distR="0" wp14:anchorId="2C0C5505" wp14:editId="4A0ADB39">
            <wp:extent cx="4528800" cy="2472747"/>
            <wp:effectExtent l="0" t="0" r="5715" b="3810"/>
            <wp:docPr id="20" name="Gráfico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C4FFC13" w14:textId="5E2D52EB" w:rsidR="00133AD1" w:rsidRDefault="00133AD1" w:rsidP="00AC4A95">
      <w:pPr>
        <w:spacing w:line="276" w:lineRule="auto"/>
        <w:jc w:val="center"/>
        <w:rPr>
          <w:rFonts w:ascii="Book Antiqua" w:hAnsi="Book Antiqua"/>
          <w:color w:val="000000"/>
          <w:sz w:val="20"/>
          <w:szCs w:val="20"/>
        </w:rPr>
      </w:pPr>
      <w:r w:rsidRPr="0013210E">
        <w:rPr>
          <w:rFonts w:ascii="Book Antiqua" w:hAnsi="Book Antiqua"/>
          <w:b/>
          <w:bCs/>
          <w:color w:val="000000"/>
          <w:sz w:val="20"/>
          <w:szCs w:val="20"/>
        </w:rPr>
        <w:t>Fuente:</w:t>
      </w:r>
      <w:r w:rsidRPr="00DE41EA">
        <w:rPr>
          <w:rFonts w:ascii="Book Antiqua" w:hAnsi="Book Antiqua"/>
          <w:color w:val="000000"/>
          <w:sz w:val="20"/>
          <w:szCs w:val="20"/>
        </w:rPr>
        <w:t xml:space="preserve"> </w:t>
      </w:r>
      <w:r>
        <w:rPr>
          <w:rFonts w:ascii="Book Antiqua" w:hAnsi="Book Antiqua"/>
          <w:color w:val="000000"/>
          <w:sz w:val="20"/>
          <w:szCs w:val="20"/>
        </w:rPr>
        <w:t>Matriz de indicadores de Gestión</w:t>
      </w:r>
    </w:p>
    <w:p w14:paraId="0BD2E3FB" w14:textId="53709D19" w:rsidR="001F0A32" w:rsidRDefault="001F0A32" w:rsidP="00AC4A95">
      <w:pPr>
        <w:spacing w:line="276" w:lineRule="auto"/>
        <w:jc w:val="center"/>
        <w:rPr>
          <w:rFonts w:ascii="Book Antiqua" w:hAnsi="Book Antiqua"/>
          <w:color w:val="000000"/>
          <w:sz w:val="20"/>
          <w:szCs w:val="20"/>
        </w:rPr>
      </w:pPr>
    </w:p>
    <w:p w14:paraId="2247BCD3" w14:textId="77777777" w:rsidR="00665D61" w:rsidRDefault="00665D61" w:rsidP="00AC4A95">
      <w:pPr>
        <w:spacing w:line="276" w:lineRule="auto"/>
        <w:jc w:val="center"/>
        <w:rPr>
          <w:rFonts w:ascii="Book Antiqua" w:hAnsi="Book Antiqua"/>
          <w:color w:val="000000"/>
          <w:sz w:val="20"/>
          <w:szCs w:val="20"/>
        </w:rPr>
      </w:pPr>
    </w:p>
    <w:p w14:paraId="03864D95" w14:textId="24D10A9D" w:rsidR="00133AD1" w:rsidRPr="00E54836" w:rsidRDefault="4B67B185" w:rsidP="57A79FF7">
      <w:pPr>
        <w:tabs>
          <w:tab w:val="left" w:pos="426"/>
        </w:tabs>
        <w:spacing w:line="276" w:lineRule="auto"/>
        <w:jc w:val="both"/>
        <w:rPr>
          <w:b/>
          <w:color w:val="000000" w:themeColor="text1"/>
          <w:lang w:eastAsia="es-CR"/>
        </w:rPr>
      </w:pPr>
      <w:r w:rsidRPr="57A79FF7">
        <w:rPr>
          <w:rFonts w:ascii="Book Antiqua" w:hAnsi="Book Antiqua"/>
          <w:b/>
          <w:bCs/>
          <w:color w:val="000000" w:themeColor="text1"/>
        </w:rPr>
        <w:t xml:space="preserve">6.1.2 </w:t>
      </w:r>
      <w:r w:rsidR="00133AD1" w:rsidRPr="00E54836">
        <w:rPr>
          <w:rFonts w:ascii="Book Antiqua" w:hAnsi="Book Antiqua"/>
          <w:b/>
          <w:bCs/>
          <w:color w:val="000000" w:themeColor="text1"/>
        </w:rPr>
        <w:t>Tribunales Penales</w:t>
      </w:r>
    </w:p>
    <w:p w14:paraId="525AF717" w14:textId="77777777" w:rsidR="00133AD1" w:rsidRPr="000549BF" w:rsidRDefault="00133AD1" w:rsidP="00985591">
      <w:pPr>
        <w:pStyle w:val="Prrafodelista"/>
        <w:tabs>
          <w:tab w:val="left" w:pos="426"/>
        </w:tabs>
        <w:spacing w:line="276" w:lineRule="auto"/>
        <w:ind w:left="0"/>
        <w:jc w:val="both"/>
        <w:rPr>
          <w:rFonts w:ascii="Book Antiqua" w:hAnsi="Book Antiqua"/>
          <w:color w:val="000000" w:themeColor="text1"/>
        </w:rPr>
      </w:pPr>
    </w:p>
    <w:p w14:paraId="648442D2" w14:textId="5C1900EB" w:rsidR="00133AD1" w:rsidRDefault="00133AD1" w:rsidP="00985591">
      <w:pPr>
        <w:spacing w:line="276" w:lineRule="auto"/>
        <w:jc w:val="both"/>
        <w:rPr>
          <w:rFonts w:ascii="Book Antiqua" w:hAnsi="Book Antiqua"/>
          <w:b/>
          <w:color w:val="000000"/>
        </w:rPr>
      </w:pPr>
      <w:r w:rsidRPr="0010293C">
        <w:rPr>
          <w:rFonts w:ascii="Book Antiqua" w:hAnsi="Book Antiqua"/>
          <w:color w:val="000000"/>
        </w:rPr>
        <w:t>En los Tribunales Penales la actividad que se realiza con mayor proporción a nivel de</w:t>
      </w:r>
      <w:r>
        <w:rPr>
          <w:rFonts w:ascii="Book Antiqua" w:hAnsi="Book Antiqua"/>
          <w:color w:val="000000"/>
        </w:rPr>
        <w:t>l</w:t>
      </w:r>
      <w:r w:rsidRPr="0010293C">
        <w:rPr>
          <w:rFonts w:ascii="Book Antiqua" w:hAnsi="Book Antiqua"/>
          <w:color w:val="000000"/>
        </w:rPr>
        <w:t xml:space="preserve"> </w:t>
      </w:r>
      <w:r>
        <w:rPr>
          <w:rFonts w:ascii="Book Antiqua" w:hAnsi="Book Antiqua"/>
          <w:color w:val="000000"/>
        </w:rPr>
        <w:t>personal de la judicatura</w:t>
      </w:r>
      <w:r w:rsidRPr="0010293C">
        <w:rPr>
          <w:rFonts w:ascii="Book Antiqua" w:hAnsi="Book Antiqua"/>
          <w:color w:val="000000"/>
        </w:rPr>
        <w:t xml:space="preserve"> es la de sentencia dictada con </w:t>
      </w:r>
      <w:r w:rsidR="00782A07">
        <w:rPr>
          <w:rFonts w:ascii="Book Antiqua" w:hAnsi="Book Antiqua"/>
          <w:color w:val="000000"/>
        </w:rPr>
        <w:t>1017</w:t>
      </w:r>
      <w:r w:rsidRPr="0010293C">
        <w:rPr>
          <w:rFonts w:ascii="Book Antiqua" w:hAnsi="Book Antiqua"/>
          <w:color w:val="000000"/>
        </w:rPr>
        <w:t xml:space="preserve"> y recurso de apelación con </w:t>
      </w:r>
      <w:r w:rsidR="00782A07">
        <w:rPr>
          <w:rFonts w:ascii="Book Antiqua" w:hAnsi="Book Antiqua"/>
          <w:color w:val="000000"/>
        </w:rPr>
        <w:t>404</w:t>
      </w:r>
      <w:r w:rsidRPr="0010293C">
        <w:rPr>
          <w:rFonts w:ascii="Book Antiqua" w:hAnsi="Book Antiqua"/>
          <w:color w:val="000000"/>
        </w:rPr>
        <w:t xml:space="preserve"> en una segunda posición. Mediante revisión de matrices de indicadores se logra determinar las principales labores de las personas juzgadoras, se tiene, además, el dictado de medidas alternas como una de las actividades que se realizan con más frecuencia.</w:t>
      </w:r>
    </w:p>
    <w:p w14:paraId="0E0379D8" w14:textId="77777777" w:rsidR="00665D61" w:rsidRDefault="00665D61" w:rsidP="00BF7F5F">
      <w:pPr>
        <w:spacing w:line="276" w:lineRule="auto"/>
        <w:rPr>
          <w:rFonts w:ascii="Book Antiqua" w:hAnsi="Book Antiqua"/>
          <w:b/>
          <w:color w:val="000000"/>
        </w:rPr>
      </w:pPr>
    </w:p>
    <w:p w14:paraId="18F35275" w14:textId="26CC2773" w:rsidR="00133AD1" w:rsidRPr="001F11BE" w:rsidRDefault="00133AD1" w:rsidP="00985591">
      <w:pPr>
        <w:spacing w:line="276" w:lineRule="auto"/>
        <w:jc w:val="center"/>
        <w:rPr>
          <w:rFonts w:ascii="Book Antiqua" w:hAnsi="Book Antiqua"/>
          <w:b/>
          <w:color w:val="000000"/>
        </w:rPr>
      </w:pPr>
      <w:r w:rsidRPr="001F11BE">
        <w:rPr>
          <w:rFonts w:ascii="Book Antiqua" w:hAnsi="Book Antiqua"/>
          <w:b/>
          <w:color w:val="000000"/>
        </w:rPr>
        <w:t xml:space="preserve">Gráfico </w:t>
      </w:r>
      <w:r w:rsidR="00282C05">
        <w:rPr>
          <w:rFonts w:ascii="Book Antiqua" w:hAnsi="Book Antiqua"/>
          <w:b/>
          <w:color w:val="000000"/>
        </w:rPr>
        <w:t>16</w:t>
      </w:r>
    </w:p>
    <w:p w14:paraId="49AF0741" w14:textId="77777777" w:rsidR="00133AD1" w:rsidRPr="00B5501E" w:rsidRDefault="00133AD1" w:rsidP="00985591">
      <w:pPr>
        <w:spacing w:line="276" w:lineRule="auto"/>
        <w:jc w:val="center"/>
        <w:rPr>
          <w:rFonts w:ascii="Book Antiqua" w:hAnsi="Book Antiqua"/>
          <w:bCs/>
          <w:color w:val="000000"/>
        </w:rPr>
      </w:pPr>
      <w:r w:rsidRPr="00B5501E">
        <w:rPr>
          <w:rFonts w:ascii="Book Antiqua" w:hAnsi="Book Antiqua"/>
          <w:bCs/>
          <w:color w:val="000000"/>
        </w:rPr>
        <w:t>Actividades principales efectuadas por el personal de la judicatura</w:t>
      </w:r>
    </w:p>
    <w:p w14:paraId="5AB61DA8" w14:textId="106E3F12" w:rsidR="00133AD1" w:rsidRPr="00B5501E" w:rsidRDefault="00133AD1" w:rsidP="00985591">
      <w:pPr>
        <w:spacing w:line="276" w:lineRule="auto"/>
        <w:jc w:val="center"/>
        <w:rPr>
          <w:rFonts w:ascii="Book Antiqua" w:hAnsi="Book Antiqua"/>
          <w:bCs/>
          <w:color w:val="000000"/>
        </w:rPr>
      </w:pPr>
      <w:r w:rsidRPr="00B5501E">
        <w:rPr>
          <w:rFonts w:ascii="Book Antiqua" w:hAnsi="Book Antiqua"/>
          <w:bCs/>
          <w:color w:val="000000"/>
        </w:rPr>
        <w:t xml:space="preserve">de los Tribunales Penales durante </w:t>
      </w:r>
      <w:r>
        <w:rPr>
          <w:rFonts w:ascii="Book Antiqua" w:hAnsi="Book Antiqua"/>
          <w:bCs/>
          <w:color w:val="000000"/>
        </w:rPr>
        <w:t>julio</w:t>
      </w:r>
      <w:r w:rsidRPr="00B5501E">
        <w:rPr>
          <w:rFonts w:ascii="Book Antiqua" w:hAnsi="Book Antiqua"/>
          <w:bCs/>
          <w:color w:val="000000"/>
        </w:rPr>
        <w:t xml:space="preserve"> de 2021</w:t>
      </w:r>
    </w:p>
    <w:p w14:paraId="179C9618" w14:textId="3201FB5E" w:rsidR="00133AD1" w:rsidRDefault="00782A07" w:rsidP="00985591">
      <w:pPr>
        <w:spacing w:line="276" w:lineRule="auto"/>
        <w:jc w:val="center"/>
        <w:rPr>
          <w:rFonts w:ascii="Book Antiqua" w:hAnsi="Book Antiqua"/>
          <w:color w:val="000000" w:themeColor="text1"/>
          <w:highlight w:val="green"/>
        </w:rPr>
      </w:pPr>
      <w:r>
        <w:rPr>
          <w:noProof/>
        </w:rPr>
        <w:drawing>
          <wp:inline distT="0" distB="0" distL="0" distR="0" wp14:anchorId="11150358" wp14:editId="6E2DF14D">
            <wp:extent cx="4724281" cy="2431065"/>
            <wp:effectExtent l="0" t="0" r="635" b="7620"/>
            <wp:docPr id="25" name="Gráfico 25">
              <a:extLst xmlns:a="http://schemas.openxmlformats.org/drawingml/2006/main">
                <a:ext uri="{FF2B5EF4-FFF2-40B4-BE49-F238E27FC236}">
                  <a16:creationId xmlns:a16="http://schemas.microsoft.com/office/drawing/2014/main" id="{452513B0-DC76-4FDA-B0CE-A9BC7B7532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D36C4F2" w14:textId="77777777" w:rsidR="00133AD1" w:rsidRDefault="00133AD1" w:rsidP="00985591">
      <w:pPr>
        <w:spacing w:line="276" w:lineRule="auto"/>
        <w:jc w:val="center"/>
        <w:rPr>
          <w:rFonts w:ascii="Book Antiqua" w:hAnsi="Book Antiqua"/>
          <w:color w:val="000000"/>
          <w:sz w:val="20"/>
          <w:szCs w:val="20"/>
        </w:rPr>
      </w:pPr>
      <w:r w:rsidRPr="0013210E">
        <w:rPr>
          <w:rFonts w:ascii="Book Antiqua" w:hAnsi="Book Antiqua"/>
          <w:b/>
          <w:bCs/>
          <w:color w:val="000000"/>
          <w:sz w:val="20"/>
          <w:szCs w:val="20"/>
        </w:rPr>
        <w:t>Fuente:</w:t>
      </w:r>
      <w:r w:rsidRPr="00DE41EA">
        <w:rPr>
          <w:rFonts w:ascii="Book Antiqua" w:hAnsi="Book Antiqua"/>
          <w:color w:val="000000"/>
          <w:sz w:val="20"/>
          <w:szCs w:val="20"/>
        </w:rPr>
        <w:t xml:space="preserve"> </w:t>
      </w:r>
      <w:r>
        <w:rPr>
          <w:rFonts w:ascii="Book Antiqua" w:hAnsi="Book Antiqua"/>
          <w:color w:val="000000"/>
          <w:sz w:val="20"/>
          <w:szCs w:val="20"/>
        </w:rPr>
        <w:t>Matriz de indicadores de Gestión</w:t>
      </w:r>
    </w:p>
    <w:p w14:paraId="692E7AE3" w14:textId="77777777" w:rsidR="00133AD1" w:rsidRDefault="00133AD1" w:rsidP="00985591">
      <w:pPr>
        <w:spacing w:line="276" w:lineRule="auto"/>
        <w:jc w:val="center"/>
        <w:rPr>
          <w:rFonts w:ascii="Book Antiqua" w:hAnsi="Book Antiqua"/>
          <w:color w:val="000000" w:themeColor="text1"/>
          <w:highlight w:val="green"/>
        </w:rPr>
      </w:pPr>
    </w:p>
    <w:p w14:paraId="372D43C9" w14:textId="77777777" w:rsidR="00133AD1" w:rsidRDefault="00133AD1" w:rsidP="00985591">
      <w:pPr>
        <w:spacing w:line="276" w:lineRule="auto"/>
        <w:jc w:val="center"/>
        <w:rPr>
          <w:rFonts w:ascii="Book Antiqua" w:hAnsi="Book Antiqua"/>
          <w:color w:val="000000" w:themeColor="text1"/>
          <w:highlight w:val="green"/>
        </w:rPr>
      </w:pPr>
    </w:p>
    <w:p w14:paraId="5E8E5062" w14:textId="73783FE4" w:rsidR="00133AD1" w:rsidRPr="00C37708" w:rsidRDefault="1DCF5BE0" w:rsidP="57A79FF7">
      <w:pPr>
        <w:tabs>
          <w:tab w:val="left" w:pos="426"/>
        </w:tabs>
        <w:spacing w:line="276" w:lineRule="auto"/>
        <w:jc w:val="both"/>
        <w:rPr>
          <w:b/>
          <w:color w:val="000000" w:themeColor="text1"/>
          <w:lang w:eastAsia="es-CR"/>
        </w:rPr>
      </w:pPr>
      <w:r w:rsidRPr="57A79FF7">
        <w:rPr>
          <w:rFonts w:ascii="Book Antiqua" w:hAnsi="Book Antiqua"/>
          <w:b/>
          <w:bCs/>
          <w:color w:val="000000" w:themeColor="text1"/>
        </w:rPr>
        <w:t xml:space="preserve">6.1.3 </w:t>
      </w:r>
      <w:r w:rsidR="00133AD1" w:rsidRPr="00C37708">
        <w:rPr>
          <w:rFonts w:ascii="Book Antiqua" w:hAnsi="Book Antiqua"/>
          <w:b/>
          <w:bCs/>
          <w:color w:val="000000" w:themeColor="text1"/>
        </w:rPr>
        <w:t>Tribunal y Secciones de Flagrancia</w:t>
      </w:r>
    </w:p>
    <w:p w14:paraId="14AE9BB1" w14:textId="77777777" w:rsidR="00133AD1" w:rsidRPr="00C37708" w:rsidRDefault="00133AD1" w:rsidP="00985591">
      <w:pPr>
        <w:pStyle w:val="Prrafodelista"/>
        <w:tabs>
          <w:tab w:val="left" w:pos="426"/>
        </w:tabs>
        <w:spacing w:line="276" w:lineRule="auto"/>
        <w:ind w:left="0"/>
        <w:jc w:val="both"/>
        <w:rPr>
          <w:rFonts w:ascii="Book Antiqua" w:hAnsi="Book Antiqua"/>
          <w:color w:val="000000" w:themeColor="text1"/>
        </w:rPr>
      </w:pPr>
    </w:p>
    <w:p w14:paraId="3F4C0223" w14:textId="72EC68C0" w:rsidR="00C37708" w:rsidRPr="00C37708" w:rsidRDefault="00C37708" w:rsidP="00C37708">
      <w:pPr>
        <w:spacing w:line="276" w:lineRule="auto"/>
        <w:jc w:val="both"/>
        <w:rPr>
          <w:rFonts w:ascii="Book Antiqua" w:hAnsi="Book Antiqua"/>
          <w:color w:val="000000"/>
        </w:rPr>
      </w:pPr>
      <w:r w:rsidRPr="00C37708">
        <w:rPr>
          <w:rFonts w:ascii="Book Antiqua" w:hAnsi="Book Antiqua"/>
          <w:color w:val="000000"/>
        </w:rPr>
        <w:t xml:space="preserve">En materia de Flagrancia, se toma cómo referente de las principales actividades a nivel de judicatura las audiencias iniciales, las medidas alternas y la cantidad de sentencias dictadas, debido a lo anterior, se procedió a realizar un conteo de </w:t>
      </w:r>
      <w:r w:rsidR="008D2029" w:rsidRPr="00C37708">
        <w:rPr>
          <w:rFonts w:ascii="Book Antiqua" w:hAnsi="Book Antiqua"/>
          <w:color w:val="000000"/>
        </w:rPr>
        <w:t>estas</w:t>
      </w:r>
      <w:r w:rsidRPr="00C37708">
        <w:rPr>
          <w:rFonts w:ascii="Book Antiqua" w:hAnsi="Book Antiqua"/>
          <w:color w:val="000000"/>
        </w:rPr>
        <w:t xml:space="preserve"> durante el mes en estudio, obteniendo cómo resultado que las personas juzgadoras realizaron un total de 874 audiencias iniciales, 542 sentencias dictadas y se lograron un total de 416 medidas alternas.</w:t>
      </w:r>
    </w:p>
    <w:p w14:paraId="16C2DC52" w14:textId="77777777" w:rsidR="00133AD1" w:rsidRPr="00C37708" w:rsidRDefault="00133AD1" w:rsidP="00985591">
      <w:pPr>
        <w:spacing w:line="276" w:lineRule="auto"/>
        <w:jc w:val="center"/>
        <w:rPr>
          <w:rFonts w:ascii="Book Antiqua" w:hAnsi="Book Antiqua"/>
          <w:color w:val="000000" w:themeColor="text1"/>
        </w:rPr>
      </w:pPr>
    </w:p>
    <w:p w14:paraId="4C8AE8E4" w14:textId="78B2D555" w:rsidR="00133AD1" w:rsidRPr="00C37708" w:rsidRDefault="00133AD1" w:rsidP="00985591">
      <w:pPr>
        <w:spacing w:line="276" w:lineRule="auto"/>
        <w:jc w:val="center"/>
        <w:rPr>
          <w:rFonts w:ascii="Book Antiqua" w:hAnsi="Book Antiqua"/>
          <w:b/>
          <w:color w:val="000000"/>
        </w:rPr>
      </w:pPr>
      <w:r w:rsidRPr="00C37708">
        <w:rPr>
          <w:rFonts w:ascii="Book Antiqua" w:hAnsi="Book Antiqua"/>
          <w:b/>
          <w:color w:val="000000"/>
        </w:rPr>
        <w:t xml:space="preserve">Gráfico </w:t>
      </w:r>
      <w:r w:rsidR="00282C05" w:rsidRPr="00C37708">
        <w:rPr>
          <w:rFonts w:ascii="Book Antiqua" w:hAnsi="Book Antiqua"/>
          <w:b/>
          <w:color w:val="000000"/>
        </w:rPr>
        <w:t>17</w:t>
      </w:r>
    </w:p>
    <w:p w14:paraId="08154806" w14:textId="77777777" w:rsidR="00133AD1" w:rsidRPr="00C37708" w:rsidRDefault="00133AD1" w:rsidP="00985591">
      <w:pPr>
        <w:spacing w:line="276" w:lineRule="auto"/>
        <w:jc w:val="center"/>
        <w:rPr>
          <w:rFonts w:ascii="Book Antiqua" w:hAnsi="Book Antiqua"/>
          <w:bCs/>
          <w:color w:val="000000"/>
        </w:rPr>
      </w:pPr>
      <w:r w:rsidRPr="00C37708">
        <w:rPr>
          <w:rFonts w:ascii="Book Antiqua" w:hAnsi="Book Antiqua"/>
          <w:bCs/>
          <w:color w:val="000000"/>
        </w:rPr>
        <w:t>Actividades principales efectuadas por el personal de la judicatura</w:t>
      </w:r>
    </w:p>
    <w:p w14:paraId="3378D5D0" w14:textId="64E0CD4B" w:rsidR="00133AD1" w:rsidRPr="00B5501E" w:rsidRDefault="00133AD1" w:rsidP="00985591">
      <w:pPr>
        <w:spacing w:line="276" w:lineRule="auto"/>
        <w:jc w:val="center"/>
        <w:rPr>
          <w:rFonts w:ascii="Book Antiqua" w:hAnsi="Book Antiqua"/>
          <w:bCs/>
          <w:color w:val="000000"/>
        </w:rPr>
      </w:pPr>
      <w:r w:rsidRPr="00C37708">
        <w:rPr>
          <w:rFonts w:ascii="Book Antiqua" w:hAnsi="Book Antiqua"/>
          <w:bCs/>
          <w:color w:val="000000"/>
        </w:rPr>
        <w:t xml:space="preserve">de los Tribunales y Secciones de Flagrancia durante </w:t>
      </w:r>
      <w:r w:rsidR="00C03856" w:rsidRPr="00C37708">
        <w:rPr>
          <w:rFonts w:ascii="Book Antiqua" w:hAnsi="Book Antiqua"/>
          <w:bCs/>
          <w:color w:val="000000"/>
        </w:rPr>
        <w:t>julio</w:t>
      </w:r>
      <w:r w:rsidRPr="00C37708">
        <w:rPr>
          <w:rFonts w:ascii="Book Antiqua" w:hAnsi="Book Antiqua"/>
          <w:bCs/>
          <w:color w:val="000000"/>
        </w:rPr>
        <w:t xml:space="preserve"> de 2021</w:t>
      </w:r>
    </w:p>
    <w:p w14:paraId="3DAF58EA" w14:textId="77777777" w:rsidR="00133AD1" w:rsidRDefault="00133AD1" w:rsidP="00985591">
      <w:pPr>
        <w:spacing w:line="276" w:lineRule="auto"/>
        <w:jc w:val="center"/>
        <w:rPr>
          <w:rFonts w:ascii="Book Antiqua" w:hAnsi="Book Antiqua"/>
          <w:color w:val="000000" w:themeColor="text1"/>
          <w:highlight w:val="green"/>
        </w:rPr>
      </w:pPr>
    </w:p>
    <w:p w14:paraId="0AF2E65F" w14:textId="4CD34334" w:rsidR="00133AD1" w:rsidRDefault="002B07DF" w:rsidP="00985591">
      <w:pPr>
        <w:spacing w:line="276" w:lineRule="auto"/>
        <w:jc w:val="center"/>
        <w:rPr>
          <w:rFonts w:ascii="Book Antiqua" w:hAnsi="Book Antiqua"/>
          <w:color w:val="000000" w:themeColor="text1"/>
          <w:highlight w:val="green"/>
        </w:rPr>
      </w:pPr>
      <w:r>
        <w:rPr>
          <w:noProof/>
        </w:rPr>
        <w:drawing>
          <wp:inline distT="0" distB="0" distL="0" distR="0" wp14:anchorId="5FC5F775" wp14:editId="5EA504DD">
            <wp:extent cx="4250028" cy="2504941"/>
            <wp:effectExtent l="0" t="0" r="0" b="0"/>
            <wp:docPr id="5" name="Gráfico 5">
              <a:extLst xmlns:a="http://schemas.openxmlformats.org/drawingml/2006/main">
                <a:ext uri="{FF2B5EF4-FFF2-40B4-BE49-F238E27FC236}">
                  <a16:creationId xmlns:a16="http://schemas.microsoft.com/office/drawing/2014/main" id="{9B7C7082-B174-4A3F-BF3B-38FB739144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37C8A6D" w14:textId="77777777" w:rsidR="00133AD1" w:rsidRDefault="00133AD1" w:rsidP="00985591">
      <w:pPr>
        <w:spacing w:line="276" w:lineRule="auto"/>
        <w:jc w:val="center"/>
        <w:rPr>
          <w:rFonts w:ascii="Book Antiqua" w:hAnsi="Book Antiqua"/>
          <w:color w:val="000000"/>
          <w:sz w:val="20"/>
          <w:szCs w:val="20"/>
        </w:rPr>
      </w:pPr>
      <w:r w:rsidRPr="0013210E">
        <w:rPr>
          <w:rFonts w:ascii="Book Antiqua" w:hAnsi="Book Antiqua"/>
          <w:b/>
          <w:bCs/>
          <w:color w:val="000000"/>
          <w:sz w:val="20"/>
          <w:szCs w:val="20"/>
        </w:rPr>
        <w:t>Fuente:</w:t>
      </w:r>
      <w:r w:rsidRPr="00DE41EA">
        <w:rPr>
          <w:rFonts w:ascii="Book Antiqua" w:hAnsi="Book Antiqua"/>
          <w:color w:val="000000"/>
          <w:sz w:val="20"/>
          <w:szCs w:val="20"/>
        </w:rPr>
        <w:t xml:space="preserve"> </w:t>
      </w:r>
      <w:r>
        <w:rPr>
          <w:rFonts w:ascii="Book Antiqua" w:hAnsi="Book Antiqua"/>
          <w:color w:val="000000"/>
          <w:sz w:val="20"/>
          <w:szCs w:val="20"/>
        </w:rPr>
        <w:t>Matriz de indicadores de Gestión</w:t>
      </w:r>
    </w:p>
    <w:p w14:paraId="7BD74F1C" w14:textId="77777777" w:rsidR="00133AD1" w:rsidRDefault="00133AD1" w:rsidP="00985591">
      <w:pPr>
        <w:spacing w:line="276" w:lineRule="auto"/>
        <w:jc w:val="center"/>
        <w:rPr>
          <w:rFonts w:ascii="Book Antiqua" w:hAnsi="Book Antiqua"/>
          <w:color w:val="000000"/>
          <w:sz w:val="20"/>
          <w:szCs w:val="20"/>
        </w:rPr>
      </w:pPr>
    </w:p>
    <w:p w14:paraId="0E02EB5F" w14:textId="77777777" w:rsidR="00133AD1" w:rsidRDefault="00133AD1" w:rsidP="00985591">
      <w:pPr>
        <w:spacing w:line="276" w:lineRule="auto"/>
        <w:jc w:val="center"/>
        <w:rPr>
          <w:rFonts w:ascii="Book Antiqua" w:hAnsi="Book Antiqua"/>
          <w:color w:val="000000"/>
          <w:sz w:val="20"/>
          <w:szCs w:val="20"/>
        </w:rPr>
      </w:pPr>
    </w:p>
    <w:p w14:paraId="210C5B47" w14:textId="3861FFD1" w:rsidR="00133AD1" w:rsidRPr="00372E35" w:rsidRDefault="43E39665" w:rsidP="57A79FF7">
      <w:pPr>
        <w:tabs>
          <w:tab w:val="left" w:pos="426"/>
        </w:tabs>
        <w:spacing w:line="276" w:lineRule="auto"/>
        <w:jc w:val="both"/>
        <w:rPr>
          <w:b/>
          <w:color w:val="000000" w:themeColor="text1"/>
          <w:lang w:eastAsia="es-CR"/>
        </w:rPr>
      </w:pPr>
      <w:r w:rsidRPr="57A79FF7">
        <w:rPr>
          <w:rFonts w:ascii="Book Antiqua" w:hAnsi="Book Antiqua"/>
          <w:b/>
          <w:bCs/>
          <w:color w:val="000000" w:themeColor="text1"/>
        </w:rPr>
        <w:t xml:space="preserve">6.1.4 </w:t>
      </w:r>
      <w:r w:rsidR="00133AD1" w:rsidRPr="00372E35">
        <w:rPr>
          <w:rFonts w:ascii="Book Antiqua" w:hAnsi="Book Antiqua"/>
          <w:b/>
          <w:bCs/>
          <w:color w:val="000000" w:themeColor="text1"/>
        </w:rPr>
        <w:t>Juzgados de Ejecución de la Pena</w:t>
      </w:r>
    </w:p>
    <w:p w14:paraId="72167C5F" w14:textId="77777777" w:rsidR="00133AD1" w:rsidRPr="000549BF" w:rsidRDefault="00133AD1" w:rsidP="00985591">
      <w:pPr>
        <w:pStyle w:val="Prrafodelista"/>
        <w:tabs>
          <w:tab w:val="left" w:pos="426"/>
        </w:tabs>
        <w:spacing w:line="276" w:lineRule="auto"/>
        <w:ind w:left="0"/>
        <w:jc w:val="both"/>
        <w:rPr>
          <w:rFonts w:ascii="Book Antiqua" w:hAnsi="Book Antiqua"/>
          <w:color w:val="000000" w:themeColor="text1"/>
        </w:rPr>
      </w:pPr>
    </w:p>
    <w:p w14:paraId="63AE3096" w14:textId="1A036C13" w:rsidR="00133AD1" w:rsidRDefault="00D45FE2" w:rsidP="00985591">
      <w:pPr>
        <w:spacing w:line="276" w:lineRule="auto"/>
        <w:jc w:val="both"/>
        <w:rPr>
          <w:rFonts w:ascii="Book Antiqua" w:hAnsi="Book Antiqua"/>
          <w:b/>
          <w:color w:val="000000"/>
        </w:rPr>
      </w:pPr>
      <w:r w:rsidRPr="00D45FE2">
        <w:rPr>
          <w:rFonts w:ascii="Book Antiqua" w:hAnsi="Book Antiqua"/>
          <w:color w:val="000000" w:themeColor="text1"/>
        </w:rPr>
        <w:t>El personal de la judicatura de los Juzgados de Ejecución de la Pena firmó 5</w:t>
      </w:r>
      <w:r w:rsidR="00C37708">
        <w:rPr>
          <w:rFonts w:ascii="Book Antiqua" w:hAnsi="Book Antiqua"/>
          <w:color w:val="000000" w:themeColor="text1"/>
        </w:rPr>
        <w:t>947</w:t>
      </w:r>
      <w:r w:rsidRPr="00D45FE2">
        <w:rPr>
          <w:rFonts w:ascii="Book Antiqua" w:hAnsi="Book Antiqua"/>
          <w:color w:val="000000" w:themeColor="text1"/>
        </w:rPr>
        <w:t xml:space="preserve"> expedientes y finalizaron 1</w:t>
      </w:r>
      <w:r w:rsidR="00C37708">
        <w:rPr>
          <w:rFonts w:ascii="Book Antiqua" w:hAnsi="Book Antiqua"/>
          <w:color w:val="000000" w:themeColor="text1"/>
        </w:rPr>
        <w:t>171</w:t>
      </w:r>
      <w:r w:rsidRPr="00D45FE2">
        <w:rPr>
          <w:rFonts w:ascii="Book Antiqua" w:hAnsi="Book Antiqua"/>
          <w:color w:val="000000" w:themeColor="text1"/>
        </w:rPr>
        <w:t xml:space="preserve"> incidentes</w:t>
      </w:r>
      <w:r w:rsidR="00133AD1" w:rsidRPr="00381FD4">
        <w:rPr>
          <w:rFonts w:ascii="Book Antiqua" w:hAnsi="Book Antiqua"/>
          <w:color w:val="000000" w:themeColor="text1"/>
        </w:rPr>
        <w:t xml:space="preserve">. </w:t>
      </w:r>
      <w:r w:rsidR="00133AD1" w:rsidRPr="0010293C">
        <w:rPr>
          <w:rFonts w:ascii="Book Antiqua" w:hAnsi="Book Antiqua"/>
          <w:color w:val="000000"/>
        </w:rPr>
        <w:t xml:space="preserve">Mediante revisión de matrices de indicadores se logra determinar las principales labores de las personas juzgadoras, se tiene, además, </w:t>
      </w:r>
      <w:r w:rsidR="00133AD1">
        <w:rPr>
          <w:rFonts w:ascii="Book Antiqua" w:hAnsi="Book Antiqua"/>
          <w:color w:val="000000"/>
        </w:rPr>
        <w:t>la realización de audiencias</w:t>
      </w:r>
      <w:r w:rsidR="00133AD1" w:rsidRPr="0010293C">
        <w:rPr>
          <w:rFonts w:ascii="Book Antiqua" w:hAnsi="Book Antiqua"/>
          <w:color w:val="000000"/>
        </w:rPr>
        <w:t xml:space="preserve"> como una de las actividades que se </w:t>
      </w:r>
      <w:r w:rsidR="00133AD1">
        <w:rPr>
          <w:rFonts w:ascii="Book Antiqua" w:hAnsi="Book Antiqua"/>
          <w:color w:val="000000"/>
        </w:rPr>
        <w:t>efectúa</w:t>
      </w:r>
      <w:r w:rsidR="00133AD1" w:rsidRPr="0010293C">
        <w:rPr>
          <w:rFonts w:ascii="Book Antiqua" w:hAnsi="Book Antiqua"/>
          <w:color w:val="000000"/>
        </w:rPr>
        <w:t xml:space="preserve"> con más frecuencia.</w:t>
      </w:r>
    </w:p>
    <w:p w14:paraId="2C8ACFDF" w14:textId="77777777" w:rsidR="00133AD1" w:rsidRDefault="00133AD1" w:rsidP="00985591">
      <w:pPr>
        <w:spacing w:line="276" w:lineRule="auto"/>
        <w:jc w:val="both"/>
        <w:rPr>
          <w:rFonts w:ascii="Book Antiqua" w:hAnsi="Book Antiqua"/>
          <w:color w:val="000000" w:themeColor="text1"/>
        </w:rPr>
      </w:pPr>
    </w:p>
    <w:p w14:paraId="64556EA2" w14:textId="1994CA6C" w:rsidR="00BF7F5F" w:rsidRDefault="00BF7F5F">
      <w:pPr>
        <w:rPr>
          <w:rFonts w:ascii="Book Antiqua" w:hAnsi="Book Antiqua"/>
          <w:color w:val="000000" w:themeColor="text1"/>
          <w:highlight w:val="green"/>
        </w:rPr>
      </w:pPr>
      <w:r>
        <w:rPr>
          <w:rFonts w:ascii="Book Antiqua" w:hAnsi="Book Antiqua"/>
          <w:color w:val="000000" w:themeColor="text1"/>
          <w:highlight w:val="green"/>
        </w:rPr>
        <w:br w:type="page"/>
      </w:r>
    </w:p>
    <w:p w14:paraId="7C265F75" w14:textId="77777777" w:rsidR="00133AD1" w:rsidRDefault="00133AD1" w:rsidP="00985591">
      <w:pPr>
        <w:spacing w:line="276" w:lineRule="auto"/>
        <w:jc w:val="center"/>
        <w:rPr>
          <w:rFonts w:ascii="Book Antiqua" w:hAnsi="Book Antiqua"/>
          <w:color w:val="000000" w:themeColor="text1"/>
          <w:highlight w:val="green"/>
        </w:rPr>
      </w:pPr>
    </w:p>
    <w:p w14:paraId="3C8227C6" w14:textId="3289FD91" w:rsidR="00133AD1" w:rsidRPr="001F11BE" w:rsidRDefault="00133AD1" w:rsidP="00985591">
      <w:pPr>
        <w:spacing w:line="276" w:lineRule="auto"/>
        <w:jc w:val="center"/>
        <w:rPr>
          <w:rFonts w:ascii="Book Antiqua" w:hAnsi="Book Antiqua"/>
          <w:b/>
          <w:color w:val="000000"/>
        </w:rPr>
      </w:pPr>
      <w:r w:rsidRPr="001F11BE">
        <w:rPr>
          <w:rFonts w:ascii="Book Antiqua" w:hAnsi="Book Antiqua"/>
          <w:b/>
          <w:color w:val="000000"/>
        </w:rPr>
        <w:t xml:space="preserve">Gráfico </w:t>
      </w:r>
      <w:r w:rsidR="00282C05">
        <w:rPr>
          <w:rFonts w:ascii="Book Antiqua" w:hAnsi="Book Antiqua"/>
          <w:b/>
          <w:color w:val="000000"/>
        </w:rPr>
        <w:t>18</w:t>
      </w:r>
    </w:p>
    <w:p w14:paraId="683CB87C" w14:textId="77777777" w:rsidR="00133AD1" w:rsidRPr="00B5501E" w:rsidRDefault="00133AD1" w:rsidP="00985591">
      <w:pPr>
        <w:spacing w:line="276" w:lineRule="auto"/>
        <w:jc w:val="center"/>
        <w:rPr>
          <w:rFonts w:ascii="Book Antiqua" w:hAnsi="Book Antiqua"/>
          <w:bCs/>
          <w:color w:val="000000"/>
        </w:rPr>
      </w:pPr>
      <w:r w:rsidRPr="00B5501E">
        <w:rPr>
          <w:rFonts w:ascii="Book Antiqua" w:hAnsi="Book Antiqua"/>
          <w:bCs/>
          <w:color w:val="000000"/>
        </w:rPr>
        <w:t>Actividades principales efectuadas por el personal de la judicatura</w:t>
      </w:r>
    </w:p>
    <w:p w14:paraId="7C7E59EA" w14:textId="3C91436B" w:rsidR="00133AD1" w:rsidRPr="00B5501E" w:rsidRDefault="00133AD1" w:rsidP="00985591">
      <w:pPr>
        <w:spacing w:line="276" w:lineRule="auto"/>
        <w:jc w:val="center"/>
        <w:rPr>
          <w:rFonts w:ascii="Book Antiqua" w:hAnsi="Book Antiqua"/>
          <w:bCs/>
          <w:color w:val="000000"/>
        </w:rPr>
      </w:pPr>
      <w:r w:rsidRPr="00B5501E">
        <w:rPr>
          <w:rFonts w:ascii="Book Antiqua" w:hAnsi="Book Antiqua"/>
          <w:bCs/>
          <w:color w:val="000000"/>
        </w:rPr>
        <w:t xml:space="preserve">de los </w:t>
      </w:r>
      <w:r>
        <w:rPr>
          <w:rFonts w:ascii="Book Antiqua" w:hAnsi="Book Antiqua"/>
          <w:bCs/>
          <w:color w:val="000000"/>
        </w:rPr>
        <w:t>Juzgados de Ejecución de la Pena</w:t>
      </w:r>
      <w:r w:rsidRPr="00B5501E">
        <w:rPr>
          <w:rFonts w:ascii="Book Antiqua" w:hAnsi="Book Antiqua"/>
          <w:bCs/>
          <w:color w:val="000000"/>
        </w:rPr>
        <w:t xml:space="preserve"> durante </w:t>
      </w:r>
      <w:r w:rsidR="00C03856">
        <w:rPr>
          <w:rFonts w:ascii="Book Antiqua" w:hAnsi="Book Antiqua"/>
          <w:bCs/>
          <w:color w:val="000000"/>
        </w:rPr>
        <w:t>julio</w:t>
      </w:r>
      <w:r w:rsidRPr="00B5501E">
        <w:rPr>
          <w:rFonts w:ascii="Book Antiqua" w:hAnsi="Book Antiqua"/>
          <w:bCs/>
          <w:color w:val="000000"/>
        </w:rPr>
        <w:t xml:space="preserve"> de 2021</w:t>
      </w:r>
    </w:p>
    <w:p w14:paraId="164C634A" w14:textId="77777777" w:rsidR="00133AD1" w:rsidRDefault="00133AD1" w:rsidP="00985591">
      <w:pPr>
        <w:spacing w:line="276" w:lineRule="auto"/>
        <w:jc w:val="center"/>
        <w:rPr>
          <w:rFonts w:ascii="Book Antiqua" w:hAnsi="Book Antiqua"/>
          <w:color w:val="000000" w:themeColor="text1"/>
          <w:highlight w:val="green"/>
        </w:rPr>
      </w:pPr>
    </w:p>
    <w:p w14:paraId="0B89DC56" w14:textId="7941B305" w:rsidR="00133AD1" w:rsidRDefault="00C37708" w:rsidP="00985591">
      <w:pPr>
        <w:spacing w:line="276" w:lineRule="auto"/>
        <w:jc w:val="center"/>
        <w:rPr>
          <w:rFonts w:ascii="Book Antiqua" w:hAnsi="Book Antiqua"/>
          <w:color w:val="000000" w:themeColor="text1"/>
          <w:highlight w:val="green"/>
        </w:rPr>
      </w:pPr>
      <w:r>
        <w:rPr>
          <w:noProof/>
        </w:rPr>
        <w:drawing>
          <wp:inline distT="0" distB="0" distL="0" distR="0" wp14:anchorId="687DC54B" wp14:editId="763E5065">
            <wp:extent cx="4418311" cy="2259106"/>
            <wp:effectExtent l="0" t="0" r="1905" b="8255"/>
            <wp:docPr id="6" name="Gráfico 6">
              <a:extLst xmlns:a="http://schemas.openxmlformats.org/drawingml/2006/main">
                <a:ext uri="{FF2B5EF4-FFF2-40B4-BE49-F238E27FC236}">
                  <a16:creationId xmlns:a16="http://schemas.microsoft.com/office/drawing/2014/main" id="{7032020F-AD5F-45AF-B525-C1FC93151D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2D68989" w14:textId="77777777" w:rsidR="00133AD1" w:rsidRDefault="00133AD1" w:rsidP="00985591">
      <w:pPr>
        <w:spacing w:line="276" w:lineRule="auto"/>
        <w:jc w:val="center"/>
        <w:rPr>
          <w:rFonts w:ascii="Book Antiqua" w:hAnsi="Book Antiqua"/>
          <w:color w:val="000000"/>
          <w:sz w:val="20"/>
          <w:szCs w:val="20"/>
        </w:rPr>
      </w:pPr>
      <w:r w:rsidRPr="0013210E">
        <w:rPr>
          <w:rFonts w:ascii="Book Antiqua" w:hAnsi="Book Antiqua"/>
          <w:b/>
          <w:bCs/>
          <w:color w:val="000000"/>
          <w:sz w:val="20"/>
          <w:szCs w:val="20"/>
        </w:rPr>
        <w:t>Fuente:</w:t>
      </w:r>
      <w:r w:rsidRPr="00DE41EA">
        <w:rPr>
          <w:rFonts w:ascii="Book Antiqua" w:hAnsi="Book Antiqua"/>
          <w:color w:val="000000"/>
          <w:sz w:val="20"/>
          <w:szCs w:val="20"/>
        </w:rPr>
        <w:t xml:space="preserve"> </w:t>
      </w:r>
      <w:r>
        <w:rPr>
          <w:rFonts w:ascii="Book Antiqua" w:hAnsi="Book Antiqua"/>
          <w:color w:val="000000"/>
          <w:sz w:val="20"/>
          <w:szCs w:val="20"/>
        </w:rPr>
        <w:t>Matriz de indicadores de Gestión</w:t>
      </w:r>
    </w:p>
    <w:p w14:paraId="11F9954D" w14:textId="77777777" w:rsidR="006E3FC4" w:rsidRDefault="006E3FC4" w:rsidP="00985591">
      <w:pPr>
        <w:spacing w:line="276" w:lineRule="auto"/>
        <w:rPr>
          <w:rFonts w:ascii="Book Antiqua" w:hAnsi="Book Antiqua"/>
          <w:color w:val="000000" w:themeColor="text1"/>
          <w:highlight w:val="green"/>
        </w:rPr>
      </w:pPr>
    </w:p>
    <w:p w14:paraId="287D64DF" w14:textId="77777777" w:rsidR="006E3FC4" w:rsidRDefault="006E3FC4" w:rsidP="00985591">
      <w:pPr>
        <w:spacing w:line="276" w:lineRule="auto"/>
        <w:rPr>
          <w:rFonts w:ascii="Book Antiqua" w:hAnsi="Book Antiqua"/>
          <w:color w:val="000000" w:themeColor="text1"/>
          <w:highlight w:val="green"/>
        </w:rPr>
      </w:pPr>
    </w:p>
    <w:p w14:paraId="6D937F73" w14:textId="3418A4F6" w:rsidR="006E3FC4" w:rsidRPr="00D45FE2" w:rsidRDefault="00D45FE2" w:rsidP="00985591">
      <w:pPr>
        <w:spacing w:line="276" w:lineRule="auto"/>
        <w:jc w:val="both"/>
        <w:rPr>
          <w:rFonts w:ascii="Book Antiqua" w:hAnsi="Book Antiqua"/>
          <w:color w:val="000000" w:themeColor="text1"/>
        </w:rPr>
      </w:pPr>
      <w:r w:rsidRPr="00D45FE2">
        <w:rPr>
          <w:rFonts w:ascii="Book Antiqua" w:hAnsi="Book Antiqua"/>
          <w:color w:val="000000" w:themeColor="text1"/>
        </w:rPr>
        <w:t>Adicional, es i</w:t>
      </w:r>
      <w:r w:rsidR="006E3FC4" w:rsidRPr="00D45FE2">
        <w:rPr>
          <w:rFonts w:ascii="Book Antiqua" w:hAnsi="Book Antiqua"/>
          <w:color w:val="000000" w:themeColor="text1"/>
        </w:rPr>
        <w:t>mportante mencionar que, conforme la información consignada en las matrices de indicadores, el promedio nacional de los juzgados de ejecución para la resolución de los incidentes de modificación de pena fue 45 días naturales y 127 días en finalizar un incidente de queja, lo cual según indican los despachos obedece a que los Centros Penitenciarios presentan los informes en plazos extensos.</w:t>
      </w:r>
    </w:p>
    <w:p w14:paraId="0112AB66" w14:textId="77777777" w:rsidR="00133AD1" w:rsidRPr="00FC14FE" w:rsidRDefault="00133AD1" w:rsidP="00BF7F5F">
      <w:pPr>
        <w:spacing w:line="276" w:lineRule="auto"/>
        <w:rPr>
          <w:rFonts w:ascii="Book Antiqua" w:hAnsi="Book Antiqua"/>
          <w:color w:val="000000" w:themeColor="text1"/>
        </w:rPr>
      </w:pPr>
    </w:p>
    <w:p w14:paraId="44460BA5" w14:textId="13AC068A" w:rsidR="00133AD1" w:rsidRPr="00FC14FE" w:rsidRDefault="68E967FB" w:rsidP="57A79FF7">
      <w:pPr>
        <w:tabs>
          <w:tab w:val="left" w:pos="426"/>
        </w:tabs>
        <w:spacing w:line="276" w:lineRule="auto"/>
        <w:jc w:val="both"/>
        <w:rPr>
          <w:b/>
          <w:color w:val="000000" w:themeColor="text1"/>
          <w:lang w:eastAsia="es-CR"/>
        </w:rPr>
      </w:pPr>
      <w:r w:rsidRPr="57A79FF7">
        <w:rPr>
          <w:rFonts w:ascii="Book Antiqua" w:hAnsi="Book Antiqua"/>
          <w:b/>
          <w:bCs/>
          <w:color w:val="000000" w:themeColor="text1"/>
        </w:rPr>
        <w:t xml:space="preserve">6.1.5 </w:t>
      </w:r>
      <w:r w:rsidR="00133AD1" w:rsidRPr="00FC14FE">
        <w:rPr>
          <w:rFonts w:ascii="Book Antiqua" w:hAnsi="Book Antiqua"/>
          <w:b/>
          <w:bCs/>
          <w:color w:val="000000" w:themeColor="text1"/>
        </w:rPr>
        <w:t>Tribunales de Apelación de Sentencia</w:t>
      </w:r>
    </w:p>
    <w:p w14:paraId="4E399D7F" w14:textId="77777777" w:rsidR="00133AD1" w:rsidRPr="000549BF" w:rsidRDefault="00133AD1" w:rsidP="00985591">
      <w:pPr>
        <w:pStyle w:val="Prrafodelista"/>
        <w:tabs>
          <w:tab w:val="left" w:pos="426"/>
        </w:tabs>
        <w:spacing w:line="276" w:lineRule="auto"/>
        <w:ind w:left="0"/>
        <w:jc w:val="both"/>
        <w:rPr>
          <w:rFonts w:ascii="Book Antiqua" w:hAnsi="Book Antiqua"/>
          <w:color w:val="000000" w:themeColor="text1"/>
        </w:rPr>
      </w:pPr>
    </w:p>
    <w:p w14:paraId="0847C2CB" w14:textId="5623D03D" w:rsidR="00A25C67" w:rsidRDefault="00FC14FE" w:rsidP="00A25C67">
      <w:pPr>
        <w:spacing w:line="276" w:lineRule="auto"/>
        <w:jc w:val="both"/>
        <w:rPr>
          <w:rFonts w:ascii="Book Antiqua" w:hAnsi="Book Antiqua" w:cs="Arial"/>
        </w:rPr>
      </w:pPr>
      <w:r w:rsidRPr="00194BF1">
        <w:rPr>
          <w:rFonts w:ascii="Book Antiqua" w:hAnsi="Book Antiqua"/>
          <w:color w:val="000000"/>
        </w:rPr>
        <w:t xml:space="preserve">La principal actividad </w:t>
      </w:r>
      <w:r w:rsidR="00104949">
        <w:rPr>
          <w:rFonts w:ascii="Book Antiqua" w:hAnsi="Book Antiqua"/>
          <w:color w:val="000000"/>
        </w:rPr>
        <w:t>realizada por</w:t>
      </w:r>
      <w:r w:rsidRPr="00194BF1">
        <w:rPr>
          <w:rFonts w:ascii="Book Antiqua" w:hAnsi="Book Antiqua"/>
          <w:color w:val="000000"/>
        </w:rPr>
        <w:t xml:space="preserve"> las juezas y jueces de los Tribunales de Apelación es </w:t>
      </w:r>
      <w:r w:rsidR="00A25C67">
        <w:rPr>
          <w:rFonts w:ascii="Book Antiqua" w:hAnsi="Book Antiqua"/>
          <w:color w:val="000000"/>
        </w:rPr>
        <w:t>el</w:t>
      </w:r>
      <w:r w:rsidRPr="00194BF1">
        <w:rPr>
          <w:rFonts w:ascii="Book Antiqua" w:hAnsi="Book Antiqua"/>
          <w:color w:val="000000"/>
        </w:rPr>
        <w:t xml:space="preserve"> dictado de sentencias</w:t>
      </w:r>
      <w:r w:rsidR="00104949">
        <w:rPr>
          <w:rFonts w:ascii="Book Antiqua" w:hAnsi="Book Antiqua" w:cs="Arial"/>
        </w:rPr>
        <w:t xml:space="preserve"> con 338</w:t>
      </w:r>
      <w:r w:rsidR="00A25C67">
        <w:rPr>
          <w:rFonts w:ascii="Book Antiqua" w:hAnsi="Book Antiqua" w:cs="Arial"/>
        </w:rPr>
        <w:t>, seguido por la redacción de proyectos</w:t>
      </w:r>
      <w:r w:rsidR="00104949">
        <w:rPr>
          <w:rFonts w:ascii="Book Antiqua" w:hAnsi="Book Antiqua" w:cs="Arial"/>
        </w:rPr>
        <w:t xml:space="preserve"> con 125</w:t>
      </w:r>
      <w:r w:rsidR="00A25C67">
        <w:rPr>
          <w:rFonts w:ascii="Book Antiqua" w:hAnsi="Book Antiqua" w:cs="Arial"/>
        </w:rPr>
        <w:t>, las cuales corresponden a labores características de apelación de sentencia.</w:t>
      </w:r>
    </w:p>
    <w:p w14:paraId="452B07C6" w14:textId="44088DAF" w:rsidR="00FC14FE" w:rsidRDefault="00FC14FE" w:rsidP="00985591">
      <w:pPr>
        <w:spacing w:line="276" w:lineRule="auto"/>
        <w:jc w:val="both"/>
        <w:rPr>
          <w:rFonts w:ascii="Book Antiqua" w:hAnsi="Book Antiqua"/>
          <w:color w:val="000000"/>
        </w:rPr>
      </w:pPr>
    </w:p>
    <w:p w14:paraId="48AB667C" w14:textId="6728FD9E" w:rsidR="00BF7F5F" w:rsidRDefault="00BF7F5F">
      <w:pPr>
        <w:rPr>
          <w:rFonts w:ascii="Book Antiqua" w:hAnsi="Book Antiqua"/>
          <w:color w:val="000000" w:themeColor="text1"/>
          <w:highlight w:val="green"/>
        </w:rPr>
      </w:pPr>
      <w:r>
        <w:rPr>
          <w:rFonts w:ascii="Book Antiqua" w:hAnsi="Book Antiqua"/>
          <w:color w:val="000000" w:themeColor="text1"/>
          <w:highlight w:val="green"/>
        </w:rPr>
        <w:br w:type="page"/>
      </w:r>
    </w:p>
    <w:p w14:paraId="2A9688D1" w14:textId="77777777" w:rsidR="00133AD1" w:rsidRDefault="00133AD1" w:rsidP="00985591">
      <w:pPr>
        <w:spacing w:line="276" w:lineRule="auto"/>
        <w:jc w:val="center"/>
        <w:rPr>
          <w:rFonts w:ascii="Book Antiqua" w:hAnsi="Book Antiqua"/>
          <w:color w:val="000000" w:themeColor="text1"/>
          <w:highlight w:val="green"/>
        </w:rPr>
      </w:pPr>
    </w:p>
    <w:p w14:paraId="72876FC5" w14:textId="60313C27" w:rsidR="00133AD1" w:rsidRPr="001F11BE" w:rsidRDefault="00133AD1" w:rsidP="00985591">
      <w:pPr>
        <w:spacing w:line="276" w:lineRule="auto"/>
        <w:jc w:val="center"/>
        <w:rPr>
          <w:rFonts w:ascii="Book Antiqua" w:hAnsi="Book Antiqua"/>
          <w:b/>
          <w:color w:val="000000"/>
        </w:rPr>
      </w:pPr>
      <w:r w:rsidRPr="001F11BE">
        <w:rPr>
          <w:rFonts w:ascii="Book Antiqua" w:hAnsi="Book Antiqua"/>
          <w:b/>
          <w:color w:val="000000"/>
        </w:rPr>
        <w:t xml:space="preserve">Gráfico </w:t>
      </w:r>
      <w:r w:rsidR="00282C05">
        <w:rPr>
          <w:rFonts w:ascii="Book Antiqua" w:hAnsi="Book Antiqua"/>
          <w:b/>
          <w:color w:val="000000"/>
        </w:rPr>
        <w:t>19</w:t>
      </w:r>
    </w:p>
    <w:p w14:paraId="50D7D8C5" w14:textId="77777777" w:rsidR="00133AD1" w:rsidRPr="00B5501E" w:rsidRDefault="00133AD1" w:rsidP="00985591">
      <w:pPr>
        <w:spacing w:line="276" w:lineRule="auto"/>
        <w:jc w:val="center"/>
        <w:rPr>
          <w:rFonts w:ascii="Book Antiqua" w:hAnsi="Book Antiqua"/>
          <w:bCs/>
          <w:color w:val="000000"/>
        </w:rPr>
      </w:pPr>
      <w:r w:rsidRPr="00B5501E">
        <w:rPr>
          <w:rFonts w:ascii="Book Antiqua" w:hAnsi="Book Antiqua"/>
          <w:bCs/>
          <w:color w:val="000000"/>
        </w:rPr>
        <w:t>Actividades principales efectuadas por el personal de la judicatura</w:t>
      </w:r>
    </w:p>
    <w:p w14:paraId="03A3CF51" w14:textId="30AF1121" w:rsidR="00133AD1" w:rsidRPr="00B5501E" w:rsidRDefault="00133AD1" w:rsidP="00985591">
      <w:pPr>
        <w:spacing w:line="276" w:lineRule="auto"/>
        <w:jc w:val="center"/>
        <w:rPr>
          <w:rFonts w:ascii="Book Antiqua" w:hAnsi="Book Antiqua"/>
          <w:bCs/>
          <w:color w:val="000000"/>
        </w:rPr>
      </w:pPr>
      <w:r w:rsidRPr="00B5501E">
        <w:rPr>
          <w:rFonts w:ascii="Book Antiqua" w:hAnsi="Book Antiqua"/>
          <w:bCs/>
          <w:color w:val="000000"/>
        </w:rPr>
        <w:t xml:space="preserve">de los </w:t>
      </w:r>
      <w:r>
        <w:rPr>
          <w:rFonts w:ascii="Book Antiqua" w:hAnsi="Book Antiqua"/>
          <w:bCs/>
          <w:color w:val="000000"/>
        </w:rPr>
        <w:t>Tribunales de Apelación de Sentencia</w:t>
      </w:r>
      <w:r w:rsidRPr="00B5501E">
        <w:rPr>
          <w:rFonts w:ascii="Book Antiqua" w:hAnsi="Book Antiqua"/>
          <w:bCs/>
          <w:color w:val="000000"/>
        </w:rPr>
        <w:t xml:space="preserve"> durante </w:t>
      </w:r>
      <w:r w:rsidR="00C03856">
        <w:rPr>
          <w:rFonts w:ascii="Book Antiqua" w:hAnsi="Book Antiqua"/>
          <w:bCs/>
          <w:color w:val="000000"/>
        </w:rPr>
        <w:t>julio</w:t>
      </w:r>
      <w:r w:rsidRPr="00B5501E">
        <w:rPr>
          <w:rFonts w:ascii="Book Antiqua" w:hAnsi="Book Antiqua"/>
          <w:bCs/>
          <w:color w:val="000000"/>
        </w:rPr>
        <w:t xml:space="preserve"> de 2021</w:t>
      </w:r>
    </w:p>
    <w:p w14:paraId="3E55106C" w14:textId="77777777" w:rsidR="00133AD1" w:rsidRDefault="00133AD1" w:rsidP="00985591">
      <w:pPr>
        <w:spacing w:line="276" w:lineRule="auto"/>
        <w:jc w:val="center"/>
        <w:rPr>
          <w:rFonts w:ascii="Book Antiqua" w:hAnsi="Book Antiqua"/>
          <w:b/>
          <w:bCs/>
          <w:color w:val="000000"/>
          <w:sz w:val="20"/>
          <w:szCs w:val="20"/>
        </w:rPr>
      </w:pPr>
    </w:p>
    <w:p w14:paraId="2D185ADF" w14:textId="0E44B336" w:rsidR="00133AD1" w:rsidRDefault="00747202" w:rsidP="00985591">
      <w:pPr>
        <w:spacing w:line="276" w:lineRule="auto"/>
        <w:jc w:val="center"/>
        <w:rPr>
          <w:rFonts w:ascii="Book Antiqua" w:hAnsi="Book Antiqua"/>
          <w:b/>
          <w:bCs/>
          <w:color w:val="000000"/>
          <w:sz w:val="20"/>
          <w:szCs w:val="20"/>
        </w:rPr>
      </w:pPr>
      <w:r>
        <w:rPr>
          <w:noProof/>
        </w:rPr>
        <w:drawing>
          <wp:inline distT="0" distB="0" distL="0" distR="0" wp14:anchorId="2C570493" wp14:editId="1A1E0F7B">
            <wp:extent cx="4248000" cy="2548800"/>
            <wp:effectExtent l="0" t="0" r="635" b="4445"/>
            <wp:docPr id="13" name="Gráfico 13">
              <a:extLst xmlns:a="http://schemas.openxmlformats.org/drawingml/2006/main">
                <a:ext uri="{FF2B5EF4-FFF2-40B4-BE49-F238E27FC236}">
                  <a16:creationId xmlns:a16="http://schemas.microsoft.com/office/drawing/2014/main" id="{CC2631C7-5FCA-4551-9B84-2C2EA91EAA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C2A7634" w14:textId="77777777" w:rsidR="00747202" w:rsidRDefault="00133AD1" w:rsidP="00985591">
      <w:pPr>
        <w:spacing w:line="276" w:lineRule="auto"/>
        <w:jc w:val="center"/>
        <w:rPr>
          <w:rFonts w:ascii="Book Antiqua" w:hAnsi="Book Antiqua"/>
          <w:color w:val="000000"/>
          <w:sz w:val="20"/>
          <w:szCs w:val="20"/>
        </w:rPr>
      </w:pPr>
      <w:r w:rsidRPr="0013210E">
        <w:rPr>
          <w:rFonts w:ascii="Book Antiqua" w:hAnsi="Book Antiqua"/>
          <w:b/>
          <w:bCs/>
          <w:color w:val="000000"/>
          <w:sz w:val="20"/>
          <w:szCs w:val="20"/>
        </w:rPr>
        <w:t>Fuente:</w:t>
      </w:r>
      <w:r w:rsidRPr="00DE41EA">
        <w:rPr>
          <w:rFonts w:ascii="Book Antiqua" w:hAnsi="Book Antiqua"/>
          <w:color w:val="000000"/>
          <w:sz w:val="20"/>
          <w:szCs w:val="20"/>
        </w:rPr>
        <w:t xml:space="preserve"> </w:t>
      </w:r>
      <w:r w:rsidRPr="002754DF">
        <w:rPr>
          <w:rFonts w:ascii="Book Antiqua" w:hAnsi="Book Antiqua"/>
          <w:color w:val="000000"/>
          <w:sz w:val="20"/>
          <w:szCs w:val="20"/>
        </w:rPr>
        <w:t>Elaboración propia a partir de datos suministrados por despachos según circular 61-2020</w:t>
      </w:r>
    </w:p>
    <w:p w14:paraId="6CA41498" w14:textId="77777777" w:rsidR="00747202" w:rsidRDefault="00747202" w:rsidP="00985591">
      <w:pPr>
        <w:spacing w:line="276" w:lineRule="auto"/>
        <w:jc w:val="center"/>
        <w:rPr>
          <w:rFonts w:ascii="Book Antiqua" w:hAnsi="Book Antiqua"/>
          <w:color w:val="000000"/>
          <w:sz w:val="20"/>
          <w:szCs w:val="20"/>
        </w:rPr>
      </w:pPr>
    </w:p>
    <w:p w14:paraId="53981628" w14:textId="77777777" w:rsidR="007006E3" w:rsidRDefault="007006E3" w:rsidP="00985591">
      <w:pPr>
        <w:spacing w:line="276" w:lineRule="auto"/>
        <w:rPr>
          <w:rFonts w:ascii="Book Antiqua" w:hAnsi="Book Antiqua"/>
          <w:color w:val="000000" w:themeColor="text1"/>
        </w:rPr>
      </w:pPr>
    </w:p>
    <w:p w14:paraId="603D8B08" w14:textId="756D0E5E" w:rsidR="00133AD1" w:rsidRPr="007006E3" w:rsidRDefault="7D1BC962" w:rsidP="57A79FF7">
      <w:pPr>
        <w:tabs>
          <w:tab w:val="left" w:pos="426"/>
        </w:tabs>
        <w:spacing w:line="276" w:lineRule="auto"/>
        <w:jc w:val="both"/>
        <w:rPr>
          <w:color w:val="000000" w:themeColor="text1"/>
        </w:rPr>
      </w:pPr>
      <w:r w:rsidRPr="57A79FF7">
        <w:rPr>
          <w:rFonts w:ascii="Book Antiqua" w:hAnsi="Book Antiqua"/>
          <w:b/>
          <w:bCs/>
          <w:color w:val="000000" w:themeColor="text1"/>
        </w:rPr>
        <w:t xml:space="preserve">6.1.6 </w:t>
      </w:r>
      <w:r w:rsidR="00133AD1" w:rsidRPr="007006E3">
        <w:rPr>
          <w:rFonts w:ascii="Book Antiqua" w:hAnsi="Book Antiqua"/>
          <w:b/>
          <w:bCs/>
          <w:color w:val="000000" w:themeColor="text1"/>
        </w:rPr>
        <w:t>Sala Tercera</w:t>
      </w:r>
    </w:p>
    <w:p w14:paraId="340B9BB5" w14:textId="77777777" w:rsidR="00133AD1" w:rsidRPr="000549BF" w:rsidRDefault="00133AD1" w:rsidP="00985591">
      <w:pPr>
        <w:pStyle w:val="Prrafodelista"/>
        <w:tabs>
          <w:tab w:val="left" w:pos="426"/>
        </w:tabs>
        <w:spacing w:line="276" w:lineRule="auto"/>
        <w:ind w:left="0"/>
        <w:jc w:val="both"/>
        <w:rPr>
          <w:rFonts w:ascii="Book Antiqua" w:hAnsi="Book Antiqua"/>
          <w:color w:val="000000" w:themeColor="text1"/>
        </w:rPr>
      </w:pPr>
    </w:p>
    <w:p w14:paraId="3C613483" w14:textId="79A7719F" w:rsidR="00133AD1" w:rsidRDefault="00133AD1" w:rsidP="00985591">
      <w:pPr>
        <w:spacing w:line="276" w:lineRule="auto"/>
        <w:jc w:val="both"/>
        <w:rPr>
          <w:rFonts w:ascii="Book Antiqua" w:hAnsi="Book Antiqua"/>
          <w:color w:val="000000"/>
        </w:rPr>
      </w:pPr>
      <w:r w:rsidRPr="00372E35">
        <w:rPr>
          <w:rFonts w:ascii="Book Antiqua" w:hAnsi="Book Antiqua"/>
          <w:color w:val="000000"/>
        </w:rPr>
        <w:t xml:space="preserve">El personal Profesional de la Sala Tercera refleja la mayor cantidad de actividades en la variable </w:t>
      </w:r>
      <w:r>
        <w:rPr>
          <w:rFonts w:ascii="Book Antiqua" w:hAnsi="Book Antiqua"/>
          <w:color w:val="000000"/>
        </w:rPr>
        <w:t xml:space="preserve">de revisión de expedientes y resoluciones </w:t>
      </w:r>
      <w:r w:rsidR="00C03856">
        <w:rPr>
          <w:rFonts w:ascii="Book Antiqua" w:hAnsi="Book Antiqua"/>
          <w:color w:val="000000"/>
        </w:rPr>
        <w:t>305</w:t>
      </w:r>
      <w:r>
        <w:rPr>
          <w:rFonts w:ascii="Book Antiqua" w:hAnsi="Book Antiqua"/>
          <w:color w:val="000000"/>
        </w:rPr>
        <w:t>, votaciones</w:t>
      </w:r>
      <w:r w:rsidRPr="00372E35">
        <w:rPr>
          <w:rFonts w:ascii="Book Antiqua" w:hAnsi="Book Antiqua"/>
          <w:color w:val="000000"/>
        </w:rPr>
        <w:t xml:space="preserve"> </w:t>
      </w:r>
      <w:r>
        <w:rPr>
          <w:rFonts w:ascii="Book Antiqua" w:hAnsi="Book Antiqua"/>
          <w:color w:val="000000"/>
        </w:rPr>
        <w:t>1</w:t>
      </w:r>
      <w:r w:rsidR="00C03856">
        <w:rPr>
          <w:rFonts w:ascii="Book Antiqua" w:hAnsi="Book Antiqua"/>
          <w:color w:val="000000"/>
        </w:rPr>
        <w:t>52,</w:t>
      </w:r>
      <w:r>
        <w:rPr>
          <w:rFonts w:ascii="Book Antiqua" w:hAnsi="Book Antiqua"/>
          <w:color w:val="000000"/>
        </w:rPr>
        <w:t xml:space="preserve"> </w:t>
      </w:r>
      <w:r w:rsidR="00C03856" w:rsidRPr="00372E35">
        <w:rPr>
          <w:rFonts w:ascii="Book Antiqua" w:hAnsi="Book Antiqua"/>
          <w:color w:val="000000"/>
        </w:rPr>
        <w:t xml:space="preserve">clasificación de jurisprudencia </w:t>
      </w:r>
      <w:r w:rsidR="00C03856">
        <w:rPr>
          <w:rFonts w:ascii="Book Antiqua" w:hAnsi="Book Antiqua"/>
          <w:color w:val="000000"/>
        </w:rPr>
        <w:t xml:space="preserve">139 </w:t>
      </w:r>
      <w:r w:rsidRPr="00372E35">
        <w:rPr>
          <w:rFonts w:ascii="Book Antiqua" w:hAnsi="Book Antiqua"/>
          <w:color w:val="000000"/>
        </w:rPr>
        <w:t xml:space="preserve">y </w:t>
      </w:r>
      <w:r>
        <w:rPr>
          <w:rFonts w:ascii="Book Antiqua" w:hAnsi="Book Antiqua"/>
          <w:color w:val="000000"/>
        </w:rPr>
        <w:t>proyectos de resolución</w:t>
      </w:r>
      <w:r w:rsidRPr="00372E35">
        <w:rPr>
          <w:rFonts w:ascii="Book Antiqua" w:hAnsi="Book Antiqua"/>
          <w:color w:val="000000"/>
        </w:rPr>
        <w:t xml:space="preserve"> 1</w:t>
      </w:r>
      <w:r w:rsidR="00C03856">
        <w:rPr>
          <w:rFonts w:ascii="Book Antiqua" w:hAnsi="Book Antiqua"/>
          <w:color w:val="000000"/>
        </w:rPr>
        <w:t>14</w:t>
      </w:r>
      <w:r w:rsidRPr="00372E35">
        <w:rPr>
          <w:rFonts w:ascii="Book Antiqua" w:hAnsi="Book Antiqua"/>
          <w:color w:val="000000"/>
        </w:rPr>
        <w:t xml:space="preserve">. </w:t>
      </w:r>
    </w:p>
    <w:p w14:paraId="7828638C" w14:textId="6C0B7B69" w:rsidR="00BF7F5F" w:rsidRDefault="00BF7F5F">
      <w:pPr>
        <w:rPr>
          <w:rFonts w:ascii="Book Antiqua" w:hAnsi="Book Antiqua"/>
          <w:color w:val="000000" w:themeColor="text1"/>
        </w:rPr>
      </w:pPr>
      <w:r>
        <w:rPr>
          <w:rFonts w:ascii="Book Antiqua" w:hAnsi="Book Antiqua"/>
          <w:color w:val="000000" w:themeColor="text1"/>
        </w:rPr>
        <w:br w:type="page"/>
      </w:r>
    </w:p>
    <w:p w14:paraId="0F8A61E9" w14:textId="77777777" w:rsidR="00133AD1" w:rsidRDefault="00133AD1" w:rsidP="00985591">
      <w:pPr>
        <w:spacing w:line="276" w:lineRule="auto"/>
        <w:jc w:val="both"/>
        <w:rPr>
          <w:rFonts w:ascii="Book Antiqua" w:hAnsi="Book Antiqua"/>
          <w:color w:val="000000" w:themeColor="text1"/>
        </w:rPr>
      </w:pPr>
    </w:p>
    <w:p w14:paraId="407FE985" w14:textId="6BC73C88" w:rsidR="00133AD1" w:rsidRPr="001F11BE" w:rsidRDefault="00133AD1" w:rsidP="00985591">
      <w:pPr>
        <w:spacing w:line="276" w:lineRule="auto"/>
        <w:jc w:val="center"/>
        <w:rPr>
          <w:rFonts w:ascii="Book Antiqua" w:hAnsi="Book Antiqua"/>
          <w:b/>
          <w:color w:val="000000"/>
        </w:rPr>
      </w:pPr>
      <w:r w:rsidRPr="001F11BE">
        <w:rPr>
          <w:rFonts w:ascii="Book Antiqua" w:hAnsi="Book Antiqua"/>
          <w:b/>
          <w:color w:val="000000"/>
        </w:rPr>
        <w:t xml:space="preserve">Gráfico </w:t>
      </w:r>
      <w:r w:rsidR="00687C39">
        <w:rPr>
          <w:rFonts w:ascii="Book Antiqua" w:hAnsi="Book Antiqua"/>
          <w:b/>
          <w:color w:val="000000"/>
        </w:rPr>
        <w:t>20</w:t>
      </w:r>
    </w:p>
    <w:p w14:paraId="062E704E" w14:textId="77777777" w:rsidR="00133AD1" w:rsidRPr="00B5501E" w:rsidRDefault="00133AD1" w:rsidP="00985591">
      <w:pPr>
        <w:spacing w:line="276" w:lineRule="auto"/>
        <w:jc w:val="center"/>
        <w:rPr>
          <w:rFonts w:ascii="Book Antiqua" w:hAnsi="Book Antiqua"/>
          <w:bCs/>
          <w:color w:val="000000"/>
        </w:rPr>
      </w:pPr>
      <w:r w:rsidRPr="00B5501E">
        <w:rPr>
          <w:rFonts w:ascii="Book Antiqua" w:hAnsi="Book Antiqua"/>
          <w:bCs/>
          <w:color w:val="000000"/>
        </w:rPr>
        <w:t>Actividades principales efectuadas por el personal de la judicatura</w:t>
      </w:r>
    </w:p>
    <w:p w14:paraId="3E9723C6" w14:textId="32D567D1" w:rsidR="00133AD1" w:rsidRPr="00B5501E" w:rsidRDefault="00133AD1" w:rsidP="00985591">
      <w:pPr>
        <w:spacing w:line="276" w:lineRule="auto"/>
        <w:jc w:val="center"/>
        <w:rPr>
          <w:rFonts w:ascii="Book Antiqua" w:hAnsi="Book Antiqua"/>
          <w:bCs/>
          <w:color w:val="000000"/>
        </w:rPr>
      </w:pPr>
      <w:r w:rsidRPr="00B5501E">
        <w:rPr>
          <w:rFonts w:ascii="Book Antiqua" w:hAnsi="Book Antiqua"/>
          <w:bCs/>
          <w:color w:val="000000"/>
        </w:rPr>
        <w:t xml:space="preserve">de </w:t>
      </w:r>
      <w:r>
        <w:rPr>
          <w:rFonts w:ascii="Book Antiqua" w:hAnsi="Book Antiqua"/>
          <w:bCs/>
          <w:color w:val="000000"/>
        </w:rPr>
        <w:t>la Sala Tercera</w:t>
      </w:r>
      <w:r w:rsidRPr="00B5501E">
        <w:rPr>
          <w:rFonts w:ascii="Book Antiqua" w:hAnsi="Book Antiqua"/>
          <w:bCs/>
          <w:color w:val="000000"/>
        </w:rPr>
        <w:t xml:space="preserve"> durante </w:t>
      </w:r>
      <w:r w:rsidR="00C03856">
        <w:rPr>
          <w:rFonts w:ascii="Book Antiqua" w:hAnsi="Book Antiqua"/>
          <w:bCs/>
          <w:color w:val="000000"/>
        </w:rPr>
        <w:t>julio</w:t>
      </w:r>
      <w:r w:rsidRPr="00B5501E">
        <w:rPr>
          <w:rFonts w:ascii="Book Antiqua" w:hAnsi="Book Antiqua"/>
          <w:bCs/>
          <w:color w:val="000000"/>
        </w:rPr>
        <w:t xml:space="preserve"> de 2021</w:t>
      </w:r>
    </w:p>
    <w:p w14:paraId="474428B0" w14:textId="77777777" w:rsidR="00133AD1" w:rsidRDefault="00133AD1" w:rsidP="00985591">
      <w:pPr>
        <w:spacing w:line="276" w:lineRule="auto"/>
        <w:rPr>
          <w:rFonts w:ascii="Book Antiqua" w:hAnsi="Book Antiqua"/>
          <w:color w:val="000000" w:themeColor="text1"/>
        </w:rPr>
      </w:pPr>
    </w:p>
    <w:p w14:paraId="1CD9C5E6" w14:textId="7A790B78" w:rsidR="00133AD1" w:rsidRDefault="00C03856" w:rsidP="00985591">
      <w:pPr>
        <w:spacing w:line="276" w:lineRule="auto"/>
        <w:jc w:val="center"/>
        <w:rPr>
          <w:rFonts w:ascii="Book Antiqua" w:hAnsi="Book Antiqua"/>
          <w:color w:val="000000" w:themeColor="text1"/>
        </w:rPr>
      </w:pPr>
      <w:r>
        <w:rPr>
          <w:noProof/>
        </w:rPr>
        <w:drawing>
          <wp:inline distT="0" distB="0" distL="0" distR="0" wp14:anchorId="10BA02E4" wp14:editId="00467ED3">
            <wp:extent cx="4348800" cy="2666660"/>
            <wp:effectExtent l="0" t="0" r="0" b="635"/>
            <wp:docPr id="27" name="Gráfico 27">
              <a:extLst xmlns:a="http://schemas.openxmlformats.org/drawingml/2006/main">
                <a:ext uri="{FF2B5EF4-FFF2-40B4-BE49-F238E27FC236}">
                  <a16:creationId xmlns:a16="http://schemas.microsoft.com/office/drawing/2014/main" id="{A161EEDF-D2C0-4D79-8793-92F1177756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989D9DA" w14:textId="77777777" w:rsidR="00133AD1" w:rsidRDefault="00133AD1" w:rsidP="00985591">
      <w:pPr>
        <w:spacing w:line="276" w:lineRule="auto"/>
        <w:jc w:val="center"/>
        <w:rPr>
          <w:rFonts w:ascii="Book Antiqua" w:hAnsi="Book Antiqua"/>
          <w:color w:val="000000" w:themeColor="text1"/>
          <w:sz w:val="20"/>
          <w:szCs w:val="20"/>
        </w:rPr>
      </w:pPr>
      <w:r w:rsidRPr="0013210E">
        <w:rPr>
          <w:rFonts w:ascii="Book Antiqua" w:hAnsi="Book Antiqua"/>
          <w:b/>
          <w:bCs/>
          <w:color w:val="000000"/>
          <w:sz w:val="20"/>
          <w:szCs w:val="20"/>
        </w:rPr>
        <w:t>Fuente:</w:t>
      </w:r>
      <w:r w:rsidRPr="00DE41EA">
        <w:rPr>
          <w:rFonts w:ascii="Book Antiqua" w:hAnsi="Book Antiqua"/>
          <w:color w:val="000000"/>
          <w:sz w:val="20"/>
          <w:szCs w:val="20"/>
        </w:rPr>
        <w:t xml:space="preserve"> </w:t>
      </w:r>
      <w:r w:rsidRPr="002754DF">
        <w:rPr>
          <w:rFonts w:ascii="Book Antiqua" w:hAnsi="Book Antiqua"/>
          <w:color w:val="000000" w:themeColor="text1"/>
          <w:sz w:val="20"/>
          <w:szCs w:val="20"/>
        </w:rPr>
        <w:t>Elaboración propia a partir de datos suministrados por despachos según circular 61-2020</w:t>
      </w:r>
    </w:p>
    <w:p w14:paraId="7C00D874" w14:textId="77777777" w:rsidR="00133AD1" w:rsidRDefault="00133AD1" w:rsidP="00AC4A95">
      <w:pPr>
        <w:spacing w:line="276" w:lineRule="auto"/>
        <w:rPr>
          <w:rFonts w:ascii="Book Antiqua" w:hAnsi="Book Antiqua"/>
          <w:color w:val="000000" w:themeColor="text1"/>
          <w:sz w:val="20"/>
          <w:szCs w:val="20"/>
        </w:rPr>
      </w:pPr>
    </w:p>
    <w:p w14:paraId="477CDE17" w14:textId="77777777" w:rsidR="00133AD1" w:rsidRDefault="00133AD1" w:rsidP="00985591">
      <w:pPr>
        <w:spacing w:line="276" w:lineRule="auto"/>
        <w:jc w:val="center"/>
        <w:rPr>
          <w:rFonts w:ascii="Book Antiqua" w:hAnsi="Book Antiqua"/>
          <w:color w:val="000000" w:themeColor="text1"/>
          <w:sz w:val="20"/>
          <w:szCs w:val="20"/>
        </w:rPr>
      </w:pPr>
    </w:p>
    <w:p w14:paraId="1C60ED40" w14:textId="1F834EAF" w:rsidR="00133AD1" w:rsidRPr="007006E3" w:rsidRDefault="1CE4DC12" w:rsidP="57A79FF7">
      <w:pPr>
        <w:tabs>
          <w:tab w:val="left" w:pos="426"/>
        </w:tabs>
        <w:spacing w:after="160" w:line="276" w:lineRule="auto"/>
        <w:contextualSpacing/>
        <w:outlineLvl w:val="1"/>
        <w:rPr>
          <w:b/>
          <w:color w:val="000000" w:themeColor="text1"/>
        </w:rPr>
      </w:pPr>
      <w:r w:rsidRPr="57A79FF7">
        <w:rPr>
          <w:rFonts w:ascii="Book Antiqua" w:hAnsi="Book Antiqua"/>
          <w:b/>
          <w:bCs/>
          <w:color w:val="000000" w:themeColor="text1"/>
        </w:rPr>
        <w:t xml:space="preserve">6.2 </w:t>
      </w:r>
      <w:r w:rsidR="00133AD1" w:rsidRPr="007006E3">
        <w:rPr>
          <w:rFonts w:ascii="Book Antiqua" w:hAnsi="Book Antiqua"/>
          <w:b/>
          <w:color w:val="000000" w:themeColor="text1"/>
        </w:rPr>
        <w:t>Cumplimiento de parámetros de producción</w:t>
      </w:r>
    </w:p>
    <w:p w14:paraId="4D7A825F" w14:textId="77777777" w:rsidR="00133AD1" w:rsidRPr="007006E3" w:rsidRDefault="00133AD1" w:rsidP="00985591">
      <w:pPr>
        <w:spacing w:line="276" w:lineRule="auto"/>
        <w:rPr>
          <w:rFonts w:ascii="Book Antiqua" w:hAnsi="Book Antiqua"/>
          <w:b/>
          <w:color w:val="000000" w:themeColor="text1"/>
        </w:rPr>
      </w:pPr>
    </w:p>
    <w:p w14:paraId="6FE85358" w14:textId="77777777" w:rsidR="00133AD1" w:rsidRPr="004F0E92" w:rsidRDefault="00133AD1" w:rsidP="00985591">
      <w:pPr>
        <w:spacing w:line="276" w:lineRule="auto"/>
        <w:jc w:val="both"/>
        <w:rPr>
          <w:rFonts w:ascii="Book Antiqua" w:hAnsi="Book Antiqua"/>
          <w:color w:val="000000" w:themeColor="text1"/>
        </w:rPr>
      </w:pPr>
      <w:r w:rsidRPr="007006E3">
        <w:rPr>
          <w:rFonts w:ascii="Book Antiqua" w:hAnsi="Book Antiqua"/>
          <w:color w:val="000000" w:themeColor="text1"/>
        </w:rPr>
        <w:t>La Circular 101-20, estableció parámetros de producción para las diferentes fases del proceso penal:</w:t>
      </w:r>
    </w:p>
    <w:p w14:paraId="1A1095D4" w14:textId="77777777" w:rsidR="00133AD1" w:rsidRPr="004F0E92" w:rsidRDefault="00133AD1" w:rsidP="00985591">
      <w:pPr>
        <w:spacing w:line="276" w:lineRule="auto"/>
        <w:jc w:val="both"/>
        <w:rPr>
          <w:rFonts w:ascii="Book Antiqua" w:hAnsi="Book Antiqua"/>
          <w:color w:val="000000" w:themeColor="text1"/>
        </w:rPr>
      </w:pPr>
    </w:p>
    <w:p w14:paraId="31491112" w14:textId="77777777" w:rsidR="00BF7F5F" w:rsidRDefault="00133AD1" w:rsidP="00985591">
      <w:pPr>
        <w:spacing w:line="276" w:lineRule="auto"/>
        <w:jc w:val="center"/>
        <w:rPr>
          <w:rFonts w:ascii="Book Antiqua" w:hAnsi="Book Antiqua"/>
          <w:b/>
          <w:bCs/>
          <w:color w:val="000000" w:themeColor="text1"/>
        </w:rPr>
      </w:pPr>
      <w:r w:rsidRPr="00BF2ABA">
        <w:rPr>
          <w:rFonts w:ascii="Book Antiqua" w:hAnsi="Book Antiqua"/>
          <w:b/>
          <w:bCs/>
          <w:color w:val="000000" w:themeColor="text1"/>
        </w:rPr>
        <w:t xml:space="preserve">Cuadro </w:t>
      </w:r>
      <w:r w:rsidR="00687C39">
        <w:rPr>
          <w:rFonts w:ascii="Book Antiqua" w:hAnsi="Book Antiqua"/>
          <w:b/>
          <w:bCs/>
          <w:color w:val="000000" w:themeColor="text1"/>
        </w:rPr>
        <w:t>5</w:t>
      </w:r>
      <w:r w:rsidR="00F953D5">
        <w:rPr>
          <w:rFonts w:ascii="Book Antiqua" w:hAnsi="Book Antiqua"/>
          <w:b/>
          <w:bCs/>
          <w:color w:val="000000" w:themeColor="text1"/>
        </w:rPr>
        <w:t>5</w:t>
      </w:r>
    </w:p>
    <w:p w14:paraId="0950966C" w14:textId="3CD0CCAE" w:rsidR="00133AD1" w:rsidRPr="00BF2ABA" w:rsidRDefault="00133AD1" w:rsidP="00985591">
      <w:pPr>
        <w:spacing w:line="276" w:lineRule="auto"/>
        <w:jc w:val="center"/>
        <w:rPr>
          <w:rFonts w:ascii="Book Antiqua" w:hAnsi="Book Antiqua"/>
          <w:b/>
          <w:bCs/>
          <w:color w:val="000000" w:themeColor="text1"/>
        </w:rPr>
      </w:pPr>
      <w:r w:rsidRPr="00BF2ABA">
        <w:rPr>
          <w:rFonts w:ascii="Book Antiqua" w:hAnsi="Book Antiqua"/>
          <w:b/>
          <w:bCs/>
          <w:color w:val="000000" w:themeColor="text1"/>
        </w:rPr>
        <w:t>Parámetros de producción por fase de materia penal</w:t>
      </w:r>
    </w:p>
    <w:p w14:paraId="73A76DBF" w14:textId="77777777" w:rsidR="00133AD1" w:rsidRPr="004F0E92" w:rsidRDefault="00133AD1" w:rsidP="00985591">
      <w:pPr>
        <w:spacing w:line="276" w:lineRule="auto"/>
        <w:rPr>
          <w:rFonts w:ascii="Book Antiqua" w:hAnsi="Book Antiqua"/>
          <w:color w:val="000000" w:themeColor="text1"/>
        </w:rPr>
      </w:pPr>
    </w:p>
    <w:tbl>
      <w:tblPr>
        <w:tblStyle w:val="Tablaconcuadrcula"/>
        <w:tblW w:w="9776" w:type="dxa"/>
        <w:tblLook w:val="04A0" w:firstRow="1" w:lastRow="0" w:firstColumn="1" w:lastColumn="0" w:noHBand="0" w:noVBand="1"/>
      </w:tblPr>
      <w:tblGrid>
        <w:gridCol w:w="1838"/>
        <w:gridCol w:w="3402"/>
        <w:gridCol w:w="4536"/>
      </w:tblGrid>
      <w:tr w:rsidR="00133AD1" w:rsidRPr="00677475" w14:paraId="6FD2091B" w14:textId="77777777" w:rsidTr="00243F14">
        <w:trPr>
          <w:trHeight w:val="397"/>
        </w:trPr>
        <w:tc>
          <w:tcPr>
            <w:tcW w:w="1838" w:type="dxa"/>
            <w:shd w:val="clear" w:color="auto" w:fill="2F5496" w:themeFill="accent1" w:themeFillShade="BF"/>
          </w:tcPr>
          <w:p w14:paraId="792A2148" w14:textId="77777777" w:rsidR="00133AD1" w:rsidRPr="00677475" w:rsidRDefault="00133AD1" w:rsidP="00985591">
            <w:pPr>
              <w:spacing w:line="276" w:lineRule="auto"/>
              <w:jc w:val="center"/>
              <w:rPr>
                <w:rFonts w:ascii="Book Antiqua" w:hAnsi="Book Antiqua"/>
                <w:b/>
                <w:color w:val="FFFFFF" w:themeColor="background1"/>
                <w:sz w:val="20"/>
                <w:szCs w:val="20"/>
              </w:rPr>
            </w:pPr>
            <w:r w:rsidRPr="00677475">
              <w:rPr>
                <w:rFonts w:ascii="Book Antiqua" w:hAnsi="Book Antiqua"/>
                <w:b/>
                <w:color w:val="FFFFFF" w:themeColor="background1"/>
                <w:sz w:val="20"/>
                <w:szCs w:val="20"/>
              </w:rPr>
              <w:t>Fase</w:t>
            </w:r>
          </w:p>
        </w:tc>
        <w:tc>
          <w:tcPr>
            <w:tcW w:w="3402" w:type="dxa"/>
            <w:shd w:val="clear" w:color="auto" w:fill="2F5496" w:themeFill="accent1" w:themeFillShade="BF"/>
          </w:tcPr>
          <w:p w14:paraId="604BD2BF" w14:textId="77777777" w:rsidR="00133AD1" w:rsidRPr="00677475" w:rsidRDefault="00133AD1" w:rsidP="00985591">
            <w:pPr>
              <w:spacing w:line="276" w:lineRule="auto"/>
              <w:jc w:val="center"/>
              <w:rPr>
                <w:rFonts w:ascii="Book Antiqua" w:hAnsi="Book Antiqua"/>
                <w:b/>
                <w:color w:val="FFFFFF" w:themeColor="background1"/>
                <w:sz w:val="20"/>
                <w:szCs w:val="20"/>
              </w:rPr>
            </w:pPr>
            <w:r w:rsidRPr="00677475">
              <w:rPr>
                <w:rFonts w:ascii="Book Antiqua" w:hAnsi="Book Antiqua"/>
                <w:b/>
                <w:color w:val="FFFFFF" w:themeColor="background1"/>
                <w:sz w:val="20"/>
                <w:szCs w:val="20"/>
              </w:rPr>
              <w:t>Variable</w:t>
            </w:r>
          </w:p>
        </w:tc>
        <w:tc>
          <w:tcPr>
            <w:tcW w:w="4536" w:type="dxa"/>
            <w:shd w:val="clear" w:color="auto" w:fill="2F5496" w:themeFill="accent1" w:themeFillShade="BF"/>
          </w:tcPr>
          <w:p w14:paraId="57E0D283" w14:textId="77777777" w:rsidR="00133AD1" w:rsidRPr="00677475" w:rsidRDefault="00133AD1" w:rsidP="00985591">
            <w:pPr>
              <w:spacing w:line="276" w:lineRule="auto"/>
              <w:jc w:val="center"/>
              <w:rPr>
                <w:rFonts w:ascii="Book Antiqua" w:hAnsi="Book Antiqua"/>
                <w:b/>
                <w:color w:val="FFFFFF" w:themeColor="background1"/>
                <w:sz w:val="20"/>
                <w:szCs w:val="20"/>
              </w:rPr>
            </w:pPr>
            <w:r w:rsidRPr="00677475">
              <w:rPr>
                <w:rFonts w:ascii="Book Antiqua" w:hAnsi="Book Antiqua"/>
                <w:b/>
                <w:color w:val="FFFFFF" w:themeColor="background1"/>
                <w:sz w:val="20"/>
                <w:szCs w:val="20"/>
              </w:rPr>
              <w:t>Parámetro</w:t>
            </w:r>
          </w:p>
          <w:p w14:paraId="66F8BF5C" w14:textId="77777777" w:rsidR="00133AD1" w:rsidRPr="00677475" w:rsidRDefault="00133AD1" w:rsidP="00985591">
            <w:pPr>
              <w:spacing w:line="276" w:lineRule="auto"/>
              <w:jc w:val="center"/>
              <w:rPr>
                <w:rFonts w:ascii="Book Antiqua" w:hAnsi="Book Antiqua"/>
                <w:b/>
                <w:color w:val="FFFFFF" w:themeColor="background1"/>
                <w:sz w:val="20"/>
                <w:szCs w:val="20"/>
              </w:rPr>
            </w:pPr>
          </w:p>
        </w:tc>
      </w:tr>
      <w:tr w:rsidR="00133AD1" w:rsidRPr="00677475" w14:paraId="1910586C" w14:textId="77777777" w:rsidTr="00243F14">
        <w:tc>
          <w:tcPr>
            <w:tcW w:w="1838" w:type="dxa"/>
          </w:tcPr>
          <w:p w14:paraId="67B44518" w14:textId="77777777" w:rsidR="00133AD1" w:rsidRPr="00677475" w:rsidRDefault="00133AD1" w:rsidP="00985591">
            <w:pPr>
              <w:spacing w:line="276" w:lineRule="auto"/>
              <w:jc w:val="center"/>
              <w:rPr>
                <w:rFonts w:ascii="Book Antiqua" w:hAnsi="Book Antiqua"/>
                <w:color w:val="000000" w:themeColor="text1"/>
                <w:sz w:val="20"/>
                <w:szCs w:val="20"/>
              </w:rPr>
            </w:pPr>
            <w:r w:rsidRPr="00677475">
              <w:rPr>
                <w:rFonts w:ascii="Book Antiqua" w:hAnsi="Book Antiqua"/>
                <w:color w:val="000000" w:themeColor="text1"/>
                <w:sz w:val="20"/>
                <w:szCs w:val="20"/>
              </w:rPr>
              <w:t>Preparatoria e Intermedia</w:t>
            </w:r>
          </w:p>
        </w:tc>
        <w:tc>
          <w:tcPr>
            <w:tcW w:w="3402" w:type="dxa"/>
          </w:tcPr>
          <w:p w14:paraId="09CBA654" w14:textId="77777777" w:rsidR="00133AD1" w:rsidRPr="00677475" w:rsidRDefault="00133AD1" w:rsidP="00985591">
            <w:pPr>
              <w:spacing w:line="276" w:lineRule="auto"/>
              <w:jc w:val="center"/>
              <w:rPr>
                <w:rFonts w:ascii="Book Antiqua" w:hAnsi="Book Antiqua"/>
                <w:color w:val="000000" w:themeColor="text1"/>
                <w:sz w:val="20"/>
                <w:szCs w:val="20"/>
              </w:rPr>
            </w:pPr>
            <w:r w:rsidRPr="00677475">
              <w:rPr>
                <w:rFonts w:ascii="Book Antiqua" w:hAnsi="Book Antiqua"/>
                <w:color w:val="000000" w:themeColor="text1"/>
                <w:sz w:val="20"/>
                <w:szCs w:val="20"/>
              </w:rPr>
              <w:t>Desestimaciones, sobreseimientos y acusaciones</w:t>
            </w:r>
          </w:p>
        </w:tc>
        <w:tc>
          <w:tcPr>
            <w:tcW w:w="4536" w:type="dxa"/>
          </w:tcPr>
          <w:p w14:paraId="64B89A9D" w14:textId="77777777" w:rsidR="00133AD1" w:rsidRPr="00677475" w:rsidRDefault="00133AD1" w:rsidP="00985591">
            <w:pPr>
              <w:spacing w:line="276" w:lineRule="auto"/>
              <w:jc w:val="both"/>
              <w:rPr>
                <w:rFonts w:ascii="Book Antiqua" w:hAnsi="Book Antiqua"/>
                <w:color w:val="000000" w:themeColor="text1"/>
                <w:sz w:val="20"/>
                <w:szCs w:val="20"/>
              </w:rPr>
            </w:pPr>
            <w:r w:rsidRPr="00677475">
              <w:rPr>
                <w:rFonts w:ascii="Book Antiqua" w:hAnsi="Book Antiqua"/>
                <w:color w:val="000000" w:themeColor="text1"/>
                <w:sz w:val="20"/>
                <w:szCs w:val="20"/>
              </w:rPr>
              <w:t>Al menos seis asuntos diarios resueltos de desestimación o sobreseimiento o acusación, por cada plaza de jueza o juez, que se encuentre en etapa intermedia. Los Despachos deberán tener al menos una Jueza o Juez que se encuentre atendiendo la etapa preparatoria.</w:t>
            </w:r>
          </w:p>
        </w:tc>
      </w:tr>
      <w:tr w:rsidR="00133AD1" w:rsidRPr="00677475" w14:paraId="1174E74F" w14:textId="77777777" w:rsidTr="00243F14">
        <w:tc>
          <w:tcPr>
            <w:tcW w:w="1838" w:type="dxa"/>
          </w:tcPr>
          <w:p w14:paraId="231CE37B" w14:textId="77777777" w:rsidR="00133AD1" w:rsidRDefault="00133AD1" w:rsidP="00985591">
            <w:pPr>
              <w:spacing w:line="276" w:lineRule="auto"/>
              <w:jc w:val="center"/>
              <w:rPr>
                <w:rFonts w:ascii="Book Antiqua" w:hAnsi="Book Antiqua"/>
                <w:color w:val="000000" w:themeColor="text1"/>
                <w:sz w:val="20"/>
                <w:szCs w:val="20"/>
              </w:rPr>
            </w:pPr>
          </w:p>
          <w:p w14:paraId="264F9AA9" w14:textId="77777777" w:rsidR="00133AD1" w:rsidRDefault="00133AD1" w:rsidP="00985591">
            <w:pPr>
              <w:spacing w:line="276" w:lineRule="auto"/>
              <w:jc w:val="center"/>
              <w:rPr>
                <w:rFonts w:ascii="Book Antiqua" w:hAnsi="Book Antiqua"/>
                <w:color w:val="000000" w:themeColor="text1"/>
                <w:sz w:val="20"/>
                <w:szCs w:val="20"/>
              </w:rPr>
            </w:pPr>
          </w:p>
          <w:p w14:paraId="56ED08FB" w14:textId="77777777" w:rsidR="00133AD1" w:rsidRPr="00677475" w:rsidRDefault="00133AD1" w:rsidP="00985591">
            <w:pPr>
              <w:spacing w:line="276" w:lineRule="auto"/>
              <w:jc w:val="center"/>
              <w:rPr>
                <w:rFonts w:ascii="Book Antiqua" w:hAnsi="Book Antiqua"/>
                <w:color w:val="000000" w:themeColor="text1"/>
                <w:sz w:val="20"/>
                <w:szCs w:val="20"/>
              </w:rPr>
            </w:pPr>
            <w:r w:rsidRPr="00677475">
              <w:rPr>
                <w:rFonts w:ascii="Book Antiqua" w:hAnsi="Book Antiqua"/>
                <w:color w:val="000000" w:themeColor="text1"/>
                <w:sz w:val="20"/>
                <w:szCs w:val="20"/>
              </w:rPr>
              <w:t>Juicio</w:t>
            </w:r>
          </w:p>
        </w:tc>
        <w:tc>
          <w:tcPr>
            <w:tcW w:w="3402" w:type="dxa"/>
          </w:tcPr>
          <w:p w14:paraId="5E7E58E1" w14:textId="77777777" w:rsidR="00133AD1" w:rsidRDefault="00133AD1" w:rsidP="00985591">
            <w:pPr>
              <w:spacing w:line="276" w:lineRule="auto"/>
              <w:jc w:val="center"/>
              <w:rPr>
                <w:rFonts w:ascii="Book Antiqua" w:hAnsi="Book Antiqua"/>
                <w:color w:val="000000" w:themeColor="text1"/>
                <w:sz w:val="20"/>
                <w:szCs w:val="20"/>
              </w:rPr>
            </w:pPr>
          </w:p>
          <w:p w14:paraId="30248575" w14:textId="77777777" w:rsidR="00133AD1" w:rsidRDefault="00133AD1" w:rsidP="00985591">
            <w:pPr>
              <w:spacing w:line="276" w:lineRule="auto"/>
              <w:jc w:val="center"/>
              <w:rPr>
                <w:rFonts w:ascii="Book Antiqua" w:hAnsi="Book Antiqua"/>
                <w:color w:val="000000" w:themeColor="text1"/>
                <w:sz w:val="20"/>
                <w:szCs w:val="20"/>
              </w:rPr>
            </w:pPr>
          </w:p>
          <w:p w14:paraId="0420AB8E" w14:textId="77777777" w:rsidR="00133AD1" w:rsidRPr="00677475" w:rsidRDefault="00133AD1" w:rsidP="00985591">
            <w:pPr>
              <w:spacing w:line="276" w:lineRule="auto"/>
              <w:jc w:val="center"/>
              <w:rPr>
                <w:rFonts w:ascii="Book Antiqua" w:hAnsi="Book Antiqua"/>
                <w:color w:val="000000" w:themeColor="text1"/>
                <w:sz w:val="20"/>
                <w:szCs w:val="20"/>
              </w:rPr>
            </w:pPr>
            <w:r w:rsidRPr="00677475">
              <w:rPr>
                <w:rFonts w:ascii="Book Antiqua" w:hAnsi="Book Antiqua"/>
                <w:color w:val="000000" w:themeColor="text1"/>
                <w:sz w:val="20"/>
                <w:szCs w:val="20"/>
              </w:rPr>
              <w:t>Sentencias y medidas alternas</w:t>
            </w:r>
          </w:p>
          <w:p w14:paraId="74621616" w14:textId="77777777" w:rsidR="00133AD1" w:rsidRPr="00677475" w:rsidRDefault="00133AD1" w:rsidP="00985591">
            <w:pPr>
              <w:spacing w:line="276" w:lineRule="auto"/>
              <w:jc w:val="center"/>
              <w:rPr>
                <w:rFonts w:ascii="Book Antiqua" w:hAnsi="Book Antiqua"/>
                <w:color w:val="000000" w:themeColor="text1"/>
                <w:sz w:val="20"/>
                <w:szCs w:val="20"/>
              </w:rPr>
            </w:pPr>
          </w:p>
        </w:tc>
        <w:tc>
          <w:tcPr>
            <w:tcW w:w="4536" w:type="dxa"/>
          </w:tcPr>
          <w:p w14:paraId="71F65056" w14:textId="77777777" w:rsidR="00133AD1" w:rsidRPr="00677475" w:rsidRDefault="00133AD1" w:rsidP="00985591">
            <w:pPr>
              <w:pStyle w:val="Textosinformato"/>
              <w:spacing w:line="276" w:lineRule="auto"/>
              <w:jc w:val="both"/>
              <w:rPr>
                <w:rFonts w:ascii="Book Antiqua" w:hAnsi="Book Antiqua"/>
                <w:color w:val="000000" w:themeColor="text1"/>
                <w:sz w:val="20"/>
                <w:szCs w:val="20"/>
              </w:rPr>
            </w:pPr>
            <w:r w:rsidRPr="00677475">
              <w:rPr>
                <w:rFonts w:ascii="Book Antiqua" w:hAnsi="Book Antiqua"/>
                <w:color w:val="000000" w:themeColor="text1"/>
                <w:sz w:val="20"/>
                <w:szCs w:val="20"/>
              </w:rPr>
              <w:t>El parámetro de producción mensual será entre once a quince sentencias o medidas alternas por cada Sección Colegiada y entre quince a veinte sentencias o medidas alternas por cada Sección Unipersonal, mientras que las secciones mixtas tendrán un parámetro de treinta y dos sentencias o medidas alternas.</w:t>
            </w:r>
          </w:p>
        </w:tc>
      </w:tr>
      <w:tr w:rsidR="00133AD1" w:rsidRPr="00677475" w14:paraId="6D892829" w14:textId="77777777" w:rsidTr="00243F14">
        <w:tc>
          <w:tcPr>
            <w:tcW w:w="1838" w:type="dxa"/>
          </w:tcPr>
          <w:p w14:paraId="4CDA831C" w14:textId="77777777" w:rsidR="00133AD1" w:rsidRDefault="00133AD1" w:rsidP="00985591">
            <w:pPr>
              <w:spacing w:line="276" w:lineRule="auto"/>
              <w:jc w:val="center"/>
              <w:rPr>
                <w:rFonts w:ascii="Book Antiqua" w:hAnsi="Book Antiqua"/>
                <w:color w:val="000000" w:themeColor="text1"/>
                <w:sz w:val="20"/>
                <w:szCs w:val="20"/>
              </w:rPr>
            </w:pPr>
          </w:p>
          <w:p w14:paraId="75E4B8F6" w14:textId="77777777" w:rsidR="00133AD1" w:rsidRDefault="00133AD1" w:rsidP="00985591">
            <w:pPr>
              <w:spacing w:line="276" w:lineRule="auto"/>
              <w:jc w:val="center"/>
              <w:rPr>
                <w:rFonts w:ascii="Book Antiqua" w:hAnsi="Book Antiqua"/>
                <w:color w:val="000000" w:themeColor="text1"/>
                <w:sz w:val="20"/>
                <w:szCs w:val="20"/>
              </w:rPr>
            </w:pPr>
          </w:p>
          <w:p w14:paraId="6298B5DE" w14:textId="77777777" w:rsidR="00133AD1" w:rsidRPr="00677475" w:rsidRDefault="00133AD1" w:rsidP="00985591">
            <w:pPr>
              <w:spacing w:line="276" w:lineRule="auto"/>
              <w:jc w:val="center"/>
              <w:rPr>
                <w:rFonts w:ascii="Book Antiqua" w:hAnsi="Book Antiqua"/>
                <w:color w:val="000000" w:themeColor="text1"/>
                <w:sz w:val="20"/>
                <w:szCs w:val="20"/>
              </w:rPr>
            </w:pPr>
            <w:r w:rsidRPr="00677475">
              <w:rPr>
                <w:rFonts w:ascii="Book Antiqua" w:hAnsi="Book Antiqua"/>
                <w:color w:val="000000" w:themeColor="text1"/>
                <w:sz w:val="20"/>
                <w:szCs w:val="20"/>
              </w:rPr>
              <w:t>Flagrancia</w:t>
            </w:r>
          </w:p>
        </w:tc>
        <w:tc>
          <w:tcPr>
            <w:tcW w:w="3402" w:type="dxa"/>
          </w:tcPr>
          <w:p w14:paraId="1785F345" w14:textId="77777777" w:rsidR="00133AD1" w:rsidRDefault="00133AD1" w:rsidP="00985591">
            <w:pPr>
              <w:spacing w:line="276" w:lineRule="auto"/>
              <w:jc w:val="center"/>
              <w:rPr>
                <w:rFonts w:ascii="Book Antiqua" w:hAnsi="Book Antiqua"/>
                <w:color w:val="000000" w:themeColor="text1"/>
                <w:sz w:val="20"/>
                <w:szCs w:val="20"/>
              </w:rPr>
            </w:pPr>
          </w:p>
          <w:p w14:paraId="08D26DF2" w14:textId="77777777" w:rsidR="00133AD1" w:rsidRDefault="00133AD1" w:rsidP="00985591">
            <w:pPr>
              <w:spacing w:line="276" w:lineRule="auto"/>
              <w:jc w:val="center"/>
              <w:rPr>
                <w:rFonts w:ascii="Book Antiqua" w:hAnsi="Book Antiqua"/>
                <w:color w:val="000000" w:themeColor="text1"/>
                <w:sz w:val="20"/>
                <w:szCs w:val="20"/>
              </w:rPr>
            </w:pPr>
          </w:p>
          <w:p w14:paraId="0BD08228" w14:textId="77777777" w:rsidR="00133AD1" w:rsidRPr="00677475" w:rsidRDefault="00133AD1" w:rsidP="00985591">
            <w:pPr>
              <w:spacing w:line="276" w:lineRule="auto"/>
              <w:jc w:val="center"/>
              <w:rPr>
                <w:rFonts w:ascii="Book Antiqua" w:hAnsi="Book Antiqua"/>
                <w:color w:val="000000" w:themeColor="text1"/>
                <w:sz w:val="20"/>
                <w:szCs w:val="20"/>
              </w:rPr>
            </w:pPr>
            <w:r w:rsidRPr="00677475">
              <w:rPr>
                <w:rFonts w:ascii="Book Antiqua" w:hAnsi="Book Antiqua"/>
                <w:color w:val="000000" w:themeColor="text1"/>
                <w:sz w:val="20"/>
                <w:szCs w:val="20"/>
              </w:rPr>
              <w:t>Audiencias iniciales, sentencias y medidas alternas</w:t>
            </w:r>
          </w:p>
        </w:tc>
        <w:tc>
          <w:tcPr>
            <w:tcW w:w="4536" w:type="dxa"/>
          </w:tcPr>
          <w:p w14:paraId="591DF692" w14:textId="77777777" w:rsidR="00133AD1" w:rsidRPr="00677475" w:rsidRDefault="00133AD1" w:rsidP="00985591">
            <w:pPr>
              <w:spacing w:line="276" w:lineRule="auto"/>
              <w:jc w:val="both"/>
              <w:rPr>
                <w:rFonts w:ascii="Book Antiqua" w:hAnsi="Book Antiqua"/>
                <w:color w:val="000000" w:themeColor="text1"/>
                <w:sz w:val="20"/>
                <w:szCs w:val="20"/>
              </w:rPr>
            </w:pPr>
            <w:r w:rsidRPr="00677475">
              <w:rPr>
                <w:rFonts w:ascii="Book Antiqua" w:hAnsi="Book Antiqua"/>
                <w:color w:val="000000" w:themeColor="text1"/>
                <w:sz w:val="20"/>
                <w:szCs w:val="20"/>
              </w:rPr>
              <w:t>El parámetro de producción mensual será de treinta y cinco sentencias o medidas alternas o audiencias iniciales por cada plaza de judicatura, si no se logra llegar a esa cantidad con procesos de flagrancia, la Sección deberá colaborar con el procedimiento ordinario del Tribunal.</w:t>
            </w:r>
          </w:p>
        </w:tc>
      </w:tr>
      <w:tr w:rsidR="00133AD1" w:rsidRPr="00677475" w14:paraId="76BBAAD7" w14:textId="77777777" w:rsidTr="00243F14">
        <w:tc>
          <w:tcPr>
            <w:tcW w:w="1838" w:type="dxa"/>
          </w:tcPr>
          <w:p w14:paraId="41D6A707" w14:textId="77777777" w:rsidR="00133AD1" w:rsidRDefault="00133AD1" w:rsidP="00985591">
            <w:pPr>
              <w:spacing w:line="276" w:lineRule="auto"/>
              <w:jc w:val="center"/>
              <w:rPr>
                <w:rFonts w:ascii="Book Antiqua" w:hAnsi="Book Antiqua"/>
                <w:color w:val="000000" w:themeColor="text1"/>
                <w:sz w:val="20"/>
                <w:szCs w:val="20"/>
              </w:rPr>
            </w:pPr>
          </w:p>
          <w:p w14:paraId="62D29461" w14:textId="77777777" w:rsidR="00133AD1" w:rsidRDefault="00133AD1" w:rsidP="00985591">
            <w:pPr>
              <w:spacing w:line="276" w:lineRule="auto"/>
              <w:jc w:val="center"/>
              <w:rPr>
                <w:rFonts w:ascii="Book Antiqua" w:hAnsi="Book Antiqua"/>
                <w:color w:val="000000" w:themeColor="text1"/>
                <w:sz w:val="20"/>
                <w:szCs w:val="20"/>
              </w:rPr>
            </w:pPr>
          </w:p>
          <w:p w14:paraId="4393291A" w14:textId="77777777" w:rsidR="00133AD1" w:rsidRDefault="00133AD1" w:rsidP="00985591">
            <w:pPr>
              <w:spacing w:line="276" w:lineRule="auto"/>
              <w:jc w:val="center"/>
              <w:rPr>
                <w:rFonts w:ascii="Book Antiqua" w:hAnsi="Book Antiqua"/>
                <w:color w:val="000000" w:themeColor="text1"/>
                <w:sz w:val="20"/>
                <w:szCs w:val="20"/>
              </w:rPr>
            </w:pPr>
          </w:p>
          <w:p w14:paraId="7F9C9871" w14:textId="77777777" w:rsidR="00133AD1" w:rsidRPr="00677475" w:rsidRDefault="00133AD1" w:rsidP="00985591">
            <w:pPr>
              <w:spacing w:line="276" w:lineRule="auto"/>
              <w:jc w:val="center"/>
              <w:rPr>
                <w:rFonts w:ascii="Book Antiqua" w:hAnsi="Book Antiqua"/>
                <w:color w:val="000000" w:themeColor="text1"/>
                <w:sz w:val="20"/>
                <w:szCs w:val="20"/>
              </w:rPr>
            </w:pPr>
            <w:r w:rsidRPr="00677475">
              <w:rPr>
                <w:rFonts w:ascii="Book Antiqua" w:hAnsi="Book Antiqua"/>
                <w:color w:val="000000" w:themeColor="text1"/>
                <w:sz w:val="20"/>
                <w:szCs w:val="20"/>
              </w:rPr>
              <w:t>Apelación</w:t>
            </w:r>
          </w:p>
        </w:tc>
        <w:tc>
          <w:tcPr>
            <w:tcW w:w="3402" w:type="dxa"/>
          </w:tcPr>
          <w:p w14:paraId="35912AA0" w14:textId="77777777" w:rsidR="00133AD1" w:rsidRDefault="00133AD1" w:rsidP="00985591">
            <w:pPr>
              <w:spacing w:line="276" w:lineRule="auto"/>
              <w:jc w:val="center"/>
              <w:rPr>
                <w:rFonts w:ascii="Book Antiqua" w:hAnsi="Book Antiqua"/>
                <w:color w:val="000000" w:themeColor="text1"/>
                <w:sz w:val="20"/>
                <w:szCs w:val="20"/>
              </w:rPr>
            </w:pPr>
          </w:p>
          <w:p w14:paraId="1D1D1478" w14:textId="77777777" w:rsidR="00133AD1" w:rsidRDefault="00133AD1" w:rsidP="00985591">
            <w:pPr>
              <w:spacing w:line="276" w:lineRule="auto"/>
              <w:jc w:val="center"/>
              <w:rPr>
                <w:rFonts w:ascii="Book Antiqua" w:hAnsi="Book Antiqua"/>
                <w:color w:val="000000" w:themeColor="text1"/>
                <w:sz w:val="20"/>
                <w:szCs w:val="20"/>
              </w:rPr>
            </w:pPr>
          </w:p>
          <w:p w14:paraId="7FA6F8FC" w14:textId="77777777" w:rsidR="00133AD1" w:rsidRDefault="00133AD1" w:rsidP="00985591">
            <w:pPr>
              <w:spacing w:line="276" w:lineRule="auto"/>
              <w:jc w:val="center"/>
              <w:rPr>
                <w:rFonts w:ascii="Book Antiqua" w:hAnsi="Book Antiqua"/>
                <w:color w:val="000000" w:themeColor="text1"/>
                <w:sz w:val="20"/>
                <w:szCs w:val="20"/>
              </w:rPr>
            </w:pPr>
          </w:p>
          <w:p w14:paraId="43AAE0FF" w14:textId="77777777" w:rsidR="00133AD1" w:rsidRPr="00677475" w:rsidRDefault="00133AD1" w:rsidP="00985591">
            <w:pPr>
              <w:spacing w:line="276" w:lineRule="auto"/>
              <w:jc w:val="center"/>
              <w:rPr>
                <w:rFonts w:ascii="Book Antiqua" w:hAnsi="Book Antiqua"/>
                <w:color w:val="000000" w:themeColor="text1"/>
                <w:sz w:val="20"/>
                <w:szCs w:val="20"/>
              </w:rPr>
            </w:pPr>
            <w:r w:rsidRPr="00677475">
              <w:rPr>
                <w:rFonts w:ascii="Book Antiqua" w:hAnsi="Book Antiqua"/>
                <w:color w:val="000000" w:themeColor="text1"/>
                <w:sz w:val="20"/>
                <w:szCs w:val="20"/>
              </w:rPr>
              <w:t>Proyectos de resolución votados</w:t>
            </w:r>
          </w:p>
        </w:tc>
        <w:tc>
          <w:tcPr>
            <w:tcW w:w="4536" w:type="dxa"/>
          </w:tcPr>
          <w:p w14:paraId="0D865D73" w14:textId="77777777" w:rsidR="00133AD1" w:rsidRPr="00677475" w:rsidRDefault="00133AD1" w:rsidP="00985591">
            <w:pPr>
              <w:pStyle w:val="Textosinformato"/>
              <w:spacing w:line="276" w:lineRule="auto"/>
              <w:jc w:val="both"/>
              <w:rPr>
                <w:rFonts w:ascii="Book Antiqua" w:hAnsi="Book Antiqua"/>
                <w:color w:val="000000" w:themeColor="text1"/>
                <w:sz w:val="20"/>
                <w:szCs w:val="20"/>
              </w:rPr>
            </w:pPr>
            <w:r w:rsidRPr="00677475">
              <w:rPr>
                <w:rFonts w:ascii="Book Antiqua" w:hAnsi="Book Antiqua"/>
                <w:color w:val="000000" w:themeColor="text1"/>
                <w:sz w:val="20"/>
                <w:szCs w:val="20"/>
              </w:rPr>
              <w:t xml:space="preserve">El parámetro de producción semanal será entre dos y tres proyectos de resolución (Terminado, circulado y votado) por cada plaza de Jueza o Juez, lo cual equivale a 10 mensuales. Posterior a esto, el Consejo Superior en la Sesión 115-2020, artículo VI, ratificó la nueva propuesta de cuotas basadas en datos históricos (Goicoechea 8, San Ramón 8, Cartago 9 y Santa Cruz 10), hasta el que se realice el Rediseño de Procesos en cada una de estas oficinas. </w:t>
            </w:r>
          </w:p>
        </w:tc>
      </w:tr>
      <w:tr w:rsidR="00133AD1" w:rsidRPr="00677475" w14:paraId="46C3322F" w14:textId="77777777" w:rsidTr="00243F14">
        <w:tc>
          <w:tcPr>
            <w:tcW w:w="1838" w:type="dxa"/>
          </w:tcPr>
          <w:p w14:paraId="1895DE70" w14:textId="77777777" w:rsidR="00133AD1" w:rsidRDefault="00133AD1" w:rsidP="00985591">
            <w:pPr>
              <w:spacing w:line="276" w:lineRule="auto"/>
              <w:jc w:val="center"/>
              <w:rPr>
                <w:rFonts w:ascii="Book Antiqua" w:hAnsi="Book Antiqua"/>
                <w:color w:val="000000" w:themeColor="text1"/>
                <w:sz w:val="20"/>
                <w:szCs w:val="20"/>
              </w:rPr>
            </w:pPr>
          </w:p>
          <w:p w14:paraId="48832A8E" w14:textId="77777777" w:rsidR="00133AD1" w:rsidRPr="00677475" w:rsidRDefault="00133AD1" w:rsidP="00985591">
            <w:pPr>
              <w:spacing w:line="276" w:lineRule="auto"/>
              <w:jc w:val="center"/>
              <w:rPr>
                <w:rFonts w:ascii="Book Antiqua" w:hAnsi="Book Antiqua"/>
                <w:color w:val="000000" w:themeColor="text1"/>
                <w:sz w:val="20"/>
                <w:szCs w:val="20"/>
              </w:rPr>
            </w:pPr>
            <w:r w:rsidRPr="00677475">
              <w:rPr>
                <w:rFonts w:ascii="Book Antiqua" w:hAnsi="Book Antiqua"/>
                <w:color w:val="000000" w:themeColor="text1"/>
                <w:sz w:val="20"/>
                <w:szCs w:val="20"/>
              </w:rPr>
              <w:t>Casación</w:t>
            </w:r>
          </w:p>
        </w:tc>
        <w:tc>
          <w:tcPr>
            <w:tcW w:w="3402" w:type="dxa"/>
          </w:tcPr>
          <w:p w14:paraId="6B046871" w14:textId="77777777" w:rsidR="00133AD1" w:rsidRDefault="00133AD1" w:rsidP="00985591">
            <w:pPr>
              <w:spacing w:line="276" w:lineRule="auto"/>
              <w:jc w:val="center"/>
              <w:rPr>
                <w:rFonts w:ascii="Book Antiqua" w:hAnsi="Book Antiqua"/>
                <w:color w:val="000000" w:themeColor="text1"/>
                <w:sz w:val="20"/>
                <w:szCs w:val="20"/>
              </w:rPr>
            </w:pPr>
          </w:p>
          <w:p w14:paraId="2327B59B" w14:textId="77777777" w:rsidR="00133AD1" w:rsidRPr="00677475" w:rsidRDefault="00133AD1" w:rsidP="00985591">
            <w:pPr>
              <w:spacing w:line="276" w:lineRule="auto"/>
              <w:jc w:val="center"/>
              <w:rPr>
                <w:rFonts w:ascii="Book Antiqua" w:hAnsi="Book Antiqua"/>
                <w:color w:val="000000" w:themeColor="text1"/>
                <w:sz w:val="20"/>
                <w:szCs w:val="20"/>
              </w:rPr>
            </w:pPr>
            <w:r w:rsidRPr="00677475">
              <w:rPr>
                <w:rFonts w:ascii="Book Antiqua" w:hAnsi="Book Antiqua"/>
                <w:color w:val="000000" w:themeColor="text1"/>
                <w:sz w:val="20"/>
                <w:szCs w:val="20"/>
              </w:rPr>
              <w:t>Proyectos de resolución</w:t>
            </w:r>
          </w:p>
        </w:tc>
        <w:tc>
          <w:tcPr>
            <w:tcW w:w="4536" w:type="dxa"/>
          </w:tcPr>
          <w:p w14:paraId="456ECD35" w14:textId="77777777" w:rsidR="00133AD1" w:rsidRPr="00677475" w:rsidRDefault="00133AD1" w:rsidP="00985591">
            <w:pPr>
              <w:pStyle w:val="Textosinformato"/>
              <w:spacing w:line="276" w:lineRule="auto"/>
              <w:jc w:val="both"/>
              <w:rPr>
                <w:rFonts w:ascii="Book Antiqua" w:hAnsi="Book Antiqua"/>
                <w:color w:val="000000" w:themeColor="text1"/>
                <w:sz w:val="20"/>
                <w:szCs w:val="20"/>
              </w:rPr>
            </w:pPr>
            <w:r w:rsidRPr="00677475">
              <w:rPr>
                <w:rFonts w:ascii="Book Antiqua" w:hAnsi="Book Antiqua"/>
                <w:color w:val="000000" w:themeColor="text1"/>
                <w:sz w:val="20"/>
                <w:szCs w:val="20"/>
              </w:rPr>
              <w:t>Seguirá brindando sus servicios ordinarios, los letrados tendrán un parámetro de producción de al menos dos proyectos por cada semana laboral, mientras se desarrolla el estudio de carga de trabajo de esa oficina.</w:t>
            </w:r>
          </w:p>
        </w:tc>
      </w:tr>
      <w:tr w:rsidR="00133AD1" w:rsidRPr="00677475" w14:paraId="14FB7D1B" w14:textId="77777777" w:rsidTr="00243F14">
        <w:tc>
          <w:tcPr>
            <w:tcW w:w="1838" w:type="dxa"/>
          </w:tcPr>
          <w:p w14:paraId="49691D4D" w14:textId="77777777" w:rsidR="00133AD1" w:rsidRPr="00677475" w:rsidRDefault="00133AD1" w:rsidP="00985591">
            <w:pPr>
              <w:spacing w:line="276" w:lineRule="auto"/>
              <w:jc w:val="center"/>
              <w:rPr>
                <w:rFonts w:ascii="Book Antiqua" w:hAnsi="Book Antiqua"/>
                <w:color w:val="000000" w:themeColor="text1"/>
                <w:sz w:val="20"/>
                <w:szCs w:val="20"/>
              </w:rPr>
            </w:pPr>
            <w:r w:rsidRPr="00677475">
              <w:rPr>
                <w:rFonts w:ascii="Book Antiqua" w:hAnsi="Book Antiqua"/>
                <w:color w:val="000000" w:themeColor="text1"/>
                <w:sz w:val="20"/>
                <w:szCs w:val="20"/>
              </w:rPr>
              <w:t>Ejecución de la pena</w:t>
            </w:r>
          </w:p>
        </w:tc>
        <w:tc>
          <w:tcPr>
            <w:tcW w:w="3402" w:type="dxa"/>
          </w:tcPr>
          <w:p w14:paraId="6095DFD9" w14:textId="77777777" w:rsidR="00133AD1" w:rsidRPr="00677475" w:rsidRDefault="00133AD1" w:rsidP="00985591">
            <w:pPr>
              <w:spacing w:line="276" w:lineRule="auto"/>
              <w:jc w:val="center"/>
              <w:rPr>
                <w:rFonts w:ascii="Book Antiqua" w:hAnsi="Book Antiqua"/>
                <w:color w:val="000000" w:themeColor="text1"/>
                <w:sz w:val="20"/>
                <w:szCs w:val="20"/>
              </w:rPr>
            </w:pPr>
            <w:r w:rsidRPr="00677475">
              <w:rPr>
                <w:rFonts w:ascii="Book Antiqua" w:hAnsi="Book Antiqua"/>
                <w:color w:val="000000" w:themeColor="text1"/>
                <w:sz w:val="20"/>
                <w:szCs w:val="20"/>
              </w:rPr>
              <w:t>Firma de resoluciones</w:t>
            </w:r>
            <w:r>
              <w:rPr>
                <w:rFonts w:ascii="Book Antiqua" w:hAnsi="Book Antiqua"/>
                <w:color w:val="000000" w:themeColor="text1"/>
                <w:sz w:val="20"/>
                <w:szCs w:val="20"/>
              </w:rPr>
              <w:t xml:space="preserve"> (expedientes)</w:t>
            </w:r>
            <w:r w:rsidRPr="00677475">
              <w:rPr>
                <w:rFonts w:ascii="Book Antiqua" w:hAnsi="Book Antiqua"/>
                <w:color w:val="000000" w:themeColor="text1"/>
                <w:sz w:val="20"/>
                <w:szCs w:val="20"/>
              </w:rPr>
              <w:t xml:space="preserve"> y Asuntos terminados</w:t>
            </w:r>
          </w:p>
        </w:tc>
        <w:tc>
          <w:tcPr>
            <w:tcW w:w="4536" w:type="dxa"/>
          </w:tcPr>
          <w:p w14:paraId="70B96F9B" w14:textId="77777777" w:rsidR="00133AD1" w:rsidRPr="00677475" w:rsidRDefault="00133AD1" w:rsidP="00985591">
            <w:pPr>
              <w:spacing w:line="276" w:lineRule="auto"/>
              <w:jc w:val="both"/>
              <w:rPr>
                <w:rFonts w:ascii="Book Antiqua" w:hAnsi="Book Antiqua"/>
                <w:color w:val="000000" w:themeColor="text1"/>
                <w:sz w:val="20"/>
                <w:szCs w:val="20"/>
              </w:rPr>
            </w:pPr>
            <w:r w:rsidRPr="00677475">
              <w:rPr>
                <w:rFonts w:ascii="Book Antiqua" w:hAnsi="Book Antiqua"/>
                <w:color w:val="000000" w:themeColor="text1"/>
                <w:sz w:val="20"/>
                <w:szCs w:val="20"/>
              </w:rPr>
              <w:t>Tendrán un parámetro diario de cuatro asuntos terminados por cada plaza de judicatura y ocho proyectos diarios de resolución por cada plaza de Técnica o Técnico Judicial.</w:t>
            </w:r>
          </w:p>
        </w:tc>
      </w:tr>
    </w:tbl>
    <w:p w14:paraId="0EFB2896" w14:textId="77777777" w:rsidR="00133AD1" w:rsidRPr="004F0E92" w:rsidRDefault="00133AD1" w:rsidP="00985591">
      <w:pPr>
        <w:spacing w:line="276" w:lineRule="auto"/>
        <w:rPr>
          <w:rFonts w:ascii="Book Antiqua" w:hAnsi="Book Antiqua"/>
          <w:b/>
          <w:color w:val="000000" w:themeColor="text1"/>
        </w:rPr>
      </w:pPr>
    </w:p>
    <w:p w14:paraId="5450C9AC" w14:textId="77777777" w:rsidR="00133AD1" w:rsidRPr="004F0E92" w:rsidRDefault="00133AD1" w:rsidP="00985591">
      <w:pPr>
        <w:spacing w:line="276" w:lineRule="auto"/>
        <w:rPr>
          <w:rFonts w:ascii="Book Antiqua" w:hAnsi="Book Antiqua"/>
          <w:color w:val="000000" w:themeColor="text1"/>
        </w:rPr>
      </w:pPr>
      <w:r w:rsidRPr="004F0E92">
        <w:rPr>
          <w:rFonts w:ascii="Book Antiqua" w:hAnsi="Book Antiqua"/>
          <w:color w:val="000000" w:themeColor="text1"/>
        </w:rPr>
        <w:t>A continuación, se muestran los resultados de materia Penal:</w:t>
      </w:r>
    </w:p>
    <w:p w14:paraId="3A55BAC1" w14:textId="77777777" w:rsidR="00133AD1" w:rsidRDefault="00133AD1" w:rsidP="00985591">
      <w:pPr>
        <w:spacing w:line="276" w:lineRule="auto"/>
        <w:rPr>
          <w:rFonts w:ascii="Book Antiqua" w:hAnsi="Book Antiqua"/>
          <w:b/>
          <w:color w:val="000000" w:themeColor="text1"/>
        </w:rPr>
      </w:pPr>
    </w:p>
    <w:p w14:paraId="05EA4DD7" w14:textId="5B209B8E" w:rsidR="00BF7F5F" w:rsidRDefault="00BF7F5F">
      <w:pPr>
        <w:rPr>
          <w:rFonts w:ascii="Book Antiqua" w:hAnsi="Book Antiqua"/>
          <w:b/>
          <w:color w:val="000000" w:themeColor="text1"/>
        </w:rPr>
      </w:pPr>
      <w:r>
        <w:rPr>
          <w:rFonts w:ascii="Book Antiqua" w:hAnsi="Book Antiqua"/>
          <w:b/>
          <w:color w:val="000000" w:themeColor="text1"/>
        </w:rPr>
        <w:br w:type="page"/>
      </w:r>
    </w:p>
    <w:p w14:paraId="0CFC8363" w14:textId="77777777" w:rsidR="00133AD1" w:rsidRPr="004F0E92" w:rsidRDefault="00133AD1" w:rsidP="00985591">
      <w:pPr>
        <w:spacing w:line="276" w:lineRule="auto"/>
        <w:rPr>
          <w:rFonts w:ascii="Book Antiqua" w:hAnsi="Book Antiqua"/>
          <w:b/>
          <w:color w:val="000000" w:themeColor="text1"/>
        </w:rPr>
      </w:pPr>
    </w:p>
    <w:p w14:paraId="08B8EEC6" w14:textId="550DBFCE" w:rsidR="00133AD1" w:rsidRPr="00687C39" w:rsidRDefault="3447A6C9" w:rsidP="57A79FF7">
      <w:pPr>
        <w:spacing w:after="160" w:line="276" w:lineRule="auto"/>
        <w:contextualSpacing/>
        <w:outlineLvl w:val="1"/>
        <w:rPr>
          <w:b/>
          <w:color w:val="000000" w:themeColor="text1"/>
        </w:rPr>
      </w:pPr>
      <w:r w:rsidRPr="57A79FF7">
        <w:rPr>
          <w:rFonts w:ascii="Book Antiqua" w:hAnsi="Book Antiqua"/>
          <w:b/>
          <w:bCs/>
          <w:color w:val="000000" w:themeColor="text1"/>
        </w:rPr>
        <w:t xml:space="preserve">6.2.1 </w:t>
      </w:r>
      <w:r w:rsidR="00133AD1" w:rsidRPr="00687C39">
        <w:rPr>
          <w:rFonts w:ascii="Book Antiqua" w:hAnsi="Book Antiqua"/>
          <w:b/>
          <w:color w:val="000000" w:themeColor="text1"/>
        </w:rPr>
        <w:t>Juzgados Penales</w:t>
      </w:r>
    </w:p>
    <w:p w14:paraId="336BE54F" w14:textId="7473AC53" w:rsidR="57A79FF7" w:rsidRDefault="57A79FF7" w:rsidP="57A79FF7">
      <w:pPr>
        <w:spacing w:after="160" w:line="276" w:lineRule="auto"/>
        <w:outlineLvl w:val="1"/>
        <w:rPr>
          <w:b/>
          <w:bCs/>
          <w:color w:val="000000" w:themeColor="text1"/>
        </w:rPr>
      </w:pPr>
    </w:p>
    <w:p w14:paraId="3DA189FE" w14:textId="0B446692" w:rsidR="00A10730" w:rsidRPr="00A10730" w:rsidRDefault="00A10730" w:rsidP="00985591">
      <w:pPr>
        <w:spacing w:line="276" w:lineRule="auto"/>
        <w:jc w:val="both"/>
        <w:rPr>
          <w:rFonts w:ascii="Book Antiqua" w:hAnsi="Book Antiqua"/>
          <w:color w:val="000000"/>
        </w:rPr>
      </w:pPr>
      <w:r w:rsidRPr="00A10730">
        <w:rPr>
          <w:rFonts w:ascii="Book Antiqua" w:hAnsi="Book Antiqua"/>
          <w:color w:val="000000"/>
        </w:rPr>
        <w:t>Los Juzgados Penales, tiene un promedio general a nivel nacional de cumplimiento de un 9</w:t>
      </w:r>
      <w:r w:rsidR="00431386">
        <w:rPr>
          <w:rFonts w:ascii="Book Antiqua" w:hAnsi="Book Antiqua"/>
          <w:color w:val="000000"/>
        </w:rPr>
        <w:t>7</w:t>
      </w:r>
      <w:r w:rsidRPr="00A10730">
        <w:rPr>
          <w:rFonts w:ascii="Book Antiqua" w:hAnsi="Book Antiqua"/>
          <w:color w:val="000000"/>
        </w:rPr>
        <w:t xml:space="preserve">% del parámetro de producción. Se observa que el juzgado con mayor cumplimiento es Bribrí (232%) y el de menor cumplimiento Pavas (29%). </w:t>
      </w:r>
    </w:p>
    <w:p w14:paraId="395547FE" w14:textId="77777777" w:rsidR="00133AD1" w:rsidRPr="00D8111F" w:rsidRDefault="00133AD1" w:rsidP="00985591">
      <w:pPr>
        <w:spacing w:line="276" w:lineRule="auto"/>
        <w:jc w:val="both"/>
        <w:rPr>
          <w:rFonts w:ascii="Book Antiqua" w:hAnsi="Book Antiqua"/>
          <w:color w:val="000000"/>
        </w:rPr>
      </w:pPr>
      <w:r w:rsidRPr="00D8111F">
        <w:rPr>
          <w:rFonts w:ascii="Book Antiqua" w:hAnsi="Book Antiqua"/>
          <w:color w:val="000000"/>
        </w:rPr>
        <w:t xml:space="preserve"> </w:t>
      </w:r>
    </w:p>
    <w:p w14:paraId="17B7B617" w14:textId="17D7F078" w:rsidR="00133AD1" w:rsidRDefault="00133AD1" w:rsidP="00985591">
      <w:pPr>
        <w:spacing w:line="276" w:lineRule="auto"/>
        <w:jc w:val="both"/>
        <w:rPr>
          <w:rFonts w:ascii="Book Antiqua" w:hAnsi="Book Antiqua"/>
          <w:color w:val="000000"/>
        </w:rPr>
      </w:pPr>
      <w:r w:rsidRPr="007E59D0">
        <w:rPr>
          <w:rFonts w:ascii="Book Antiqua" w:hAnsi="Book Antiqua"/>
          <w:color w:val="000000"/>
        </w:rPr>
        <w:t>En el siguiente cuadro se aprecia el detalle:</w:t>
      </w:r>
    </w:p>
    <w:p w14:paraId="7DD14986" w14:textId="77777777" w:rsidR="00133AD1" w:rsidRPr="00060EA9" w:rsidRDefault="00133AD1" w:rsidP="00985591">
      <w:pPr>
        <w:spacing w:line="276" w:lineRule="auto"/>
        <w:jc w:val="both"/>
        <w:rPr>
          <w:rFonts w:ascii="Book Antiqua" w:hAnsi="Book Antiqua"/>
          <w:color w:val="000000" w:themeColor="text1"/>
          <w:highlight w:val="green"/>
        </w:rPr>
      </w:pPr>
    </w:p>
    <w:p w14:paraId="60FE8A38" w14:textId="55872BCD" w:rsidR="00133AD1" w:rsidRPr="00D8111F" w:rsidRDefault="00133AD1" w:rsidP="00985591">
      <w:pPr>
        <w:spacing w:line="276" w:lineRule="auto"/>
        <w:jc w:val="center"/>
        <w:rPr>
          <w:rFonts w:ascii="Book Antiqua" w:hAnsi="Book Antiqua"/>
          <w:b/>
          <w:color w:val="000000" w:themeColor="text1"/>
        </w:rPr>
      </w:pPr>
      <w:r w:rsidRPr="00D8111F">
        <w:rPr>
          <w:rFonts w:ascii="Book Antiqua" w:hAnsi="Book Antiqua"/>
          <w:b/>
          <w:color w:val="000000" w:themeColor="text1"/>
        </w:rPr>
        <w:t xml:space="preserve">Cuadro </w:t>
      </w:r>
      <w:r w:rsidR="00687C39">
        <w:rPr>
          <w:rFonts w:ascii="Book Antiqua" w:hAnsi="Book Antiqua"/>
          <w:b/>
          <w:color w:val="000000" w:themeColor="text1"/>
        </w:rPr>
        <w:t>5</w:t>
      </w:r>
      <w:r w:rsidR="0052233C">
        <w:rPr>
          <w:rFonts w:ascii="Book Antiqua" w:hAnsi="Book Antiqua"/>
          <w:b/>
          <w:color w:val="000000" w:themeColor="text1"/>
        </w:rPr>
        <w:t>6</w:t>
      </w:r>
    </w:p>
    <w:p w14:paraId="20097FF4" w14:textId="77777777" w:rsidR="00133AD1" w:rsidRPr="00D8111F" w:rsidRDefault="00133AD1" w:rsidP="00985591">
      <w:pPr>
        <w:spacing w:line="276" w:lineRule="auto"/>
        <w:jc w:val="center"/>
        <w:rPr>
          <w:rFonts w:ascii="Book Antiqua" w:hAnsi="Book Antiqua"/>
          <w:bCs/>
          <w:color w:val="000000" w:themeColor="text1"/>
        </w:rPr>
      </w:pPr>
      <w:r w:rsidRPr="00D8111F">
        <w:rPr>
          <w:rFonts w:ascii="Book Antiqua" w:hAnsi="Book Antiqua"/>
          <w:bCs/>
          <w:color w:val="000000" w:themeColor="text1"/>
        </w:rPr>
        <w:t xml:space="preserve">Cumplimiento del parámetro de producción </w:t>
      </w:r>
    </w:p>
    <w:p w14:paraId="277E85EA" w14:textId="5230E6F0" w:rsidR="00133AD1" w:rsidRDefault="00133AD1" w:rsidP="00985591">
      <w:pPr>
        <w:spacing w:line="276" w:lineRule="auto"/>
        <w:jc w:val="center"/>
        <w:rPr>
          <w:rFonts w:ascii="Book Antiqua" w:hAnsi="Book Antiqua"/>
          <w:bCs/>
          <w:color w:val="000000" w:themeColor="text1"/>
        </w:rPr>
      </w:pPr>
      <w:r w:rsidRPr="00D8111F">
        <w:rPr>
          <w:rFonts w:ascii="Book Antiqua" w:hAnsi="Book Antiqua"/>
          <w:bCs/>
          <w:color w:val="000000" w:themeColor="text1"/>
        </w:rPr>
        <w:t xml:space="preserve">teórico de Juzgados Penales durante </w:t>
      </w:r>
      <w:r w:rsidR="00A10730">
        <w:rPr>
          <w:rFonts w:ascii="Book Antiqua" w:hAnsi="Book Antiqua"/>
          <w:bCs/>
          <w:color w:val="000000" w:themeColor="text1"/>
        </w:rPr>
        <w:t>julio</w:t>
      </w:r>
      <w:r w:rsidRPr="00D8111F">
        <w:rPr>
          <w:rFonts w:ascii="Book Antiqua" w:hAnsi="Book Antiqua"/>
          <w:bCs/>
          <w:color w:val="000000" w:themeColor="text1"/>
        </w:rPr>
        <w:t xml:space="preserve"> 2021</w:t>
      </w:r>
    </w:p>
    <w:tbl>
      <w:tblPr>
        <w:tblW w:w="7112" w:type="dxa"/>
        <w:jc w:val="center"/>
        <w:tblCellMar>
          <w:left w:w="70" w:type="dxa"/>
          <w:right w:w="70" w:type="dxa"/>
        </w:tblCellMar>
        <w:tblLook w:val="04A0" w:firstRow="1" w:lastRow="0" w:firstColumn="1" w:lastColumn="0" w:noHBand="0" w:noVBand="1"/>
      </w:tblPr>
      <w:tblGrid>
        <w:gridCol w:w="5103"/>
        <w:gridCol w:w="2009"/>
      </w:tblGrid>
      <w:tr w:rsidR="001F0A32" w:rsidRPr="00431386" w14:paraId="3621A450" w14:textId="77777777" w:rsidTr="00431386">
        <w:trPr>
          <w:trHeight w:val="1510"/>
          <w:jc w:val="center"/>
        </w:trPr>
        <w:tc>
          <w:tcPr>
            <w:tcW w:w="5103" w:type="dxa"/>
            <w:tcBorders>
              <w:top w:val="single" w:sz="4" w:space="0" w:color="808080"/>
              <w:left w:val="single" w:sz="4" w:space="0" w:color="808080"/>
              <w:bottom w:val="single" w:sz="4" w:space="0" w:color="808080"/>
              <w:right w:val="single" w:sz="4" w:space="0" w:color="808080"/>
            </w:tcBorders>
            <w:shd w:val="clear" w:color="000000" w:fill="305496"/>
            <w:noWrap/>
            <w:vAlign w:val="center"/>
            <w:hideMark/>
          </w:tcPr>
          <w:p w14:paraId="7C50FB61" w14:textId="77777777" w:rsidR="001F0A32" w:rsidRPr="00431386" w:rsidRDefault="001F0A32" w:rsidP="001F0A32">
            <w:pPr>
              <w:jc w:val="center"/>
              <w:rPr>
                <w:rFonts w:ascii="Book Antiqua" w:hAnsi="Book Antiqua" w:cs="Calibri"/>
                <w:b/>
                <w:bCs/>
                <w:color w:val="FFFFFF"/>
                <w:sz w:val="16"/>
                <w:szCs w:val="16"/>
                <w:lang w:eastAsia="es-CR"/>
              </w:rPr>
            </w:pPr>
            <w:r w:rsidRPr="00431386">
              <w:rPr>
                <w:rFonts w:ascii="Book Antiqua" w:hAnsi="Book Antiqua" w:cs="Calibri"/>
                <w:b/>
                <w:bCs/>
                <w:color w:val="FFFFFF"/>
                <w:sz w:val="16"/>
                <w:szCs w:val="16"/>
                <w:lang w:eastAsia="es-CR"/>
              </w:rPr>
              <w:t>Oficina</w:t>
            </w:r>
          </w:p>
        </w:tc>
        <w:tc>
          <w:tcPr>
            <w:tcW w:w="2009" w:type="dxa"/>
            <w:tcBorders>
              <w:top w:val="single" w:sz="4" w:space="0" w:color="808080"/>
              <w:left w:val="nil"/>
              <w:bottom w:val="single" w:sz="4" w:space="0" w:color="808080"/>
              <w:right w:val="single" w:sz="4" w:space="0" w:color="808080"/>
            </w:tcBorders>
            <w:shd w:val="clear" w:color="000000" w:fill="305496"/>
            <w:vAlign w:val="center"/>
            <w:hideMark/>
          </w:tcPr>
          <w:p w14:paraId="49C8C45B" w14:textId="3B57B6DB" w:rsidR="001F0A32" w:rsidRPr="00431386" w:rsidRDefault="001F0A32" w:rsidP="001F0A32">
            <w:pPr>
              <w:jc w:val="center"/>
              <w:rPr>
                <w:rFonts w:ascii="Book Antiqua" w:hAnsi="Book Antiqua" w:cs="Calibri"/>
                <w:b/>
                <w:bCs/>
                <w:color w:val="FFFFFF"/>
                <w:sz w:val="16"/>
                <w:szCs w:val="16"/>
                <w:lang w:eastAsia="es-CR"/>
              </w:rPr>
            </w:pPr>
            <w:r w:rsidRPr="00431386">
              <w:rPr>
                <w:rFonts w:ascii="Book Antiqua" w:hAnsi="Book Antiqua" w:cs="Calibri"/>
                <w:b/>
                <w:bCs/>
                <w:color w:val="FFFFFF"/>
                <w:sz w:val="16"/>
                <w:szCs w:val="16"/>
                <w:lang w:eastAsia="es-CR"/>
              </w:rPr>
              <w:t>Porcentaje de cumplimiento / desestimación / sobreseimientos / acusación</w:t>
            </w:r>
          </w:p>
        </w:tc>
      </w:tr>
      <w:tr w:rsidR="001F0A32" w:rsidRPr="00431386" w14:paraId="2286BE08" w14:textId="77777777" w:rsidTr="00431386">
        <w:trPr>
          <w:trHeight w:val="290"/>
          <w:jc w:val="center"/>
        </w:trPr>
        <w:tc>
          <w:tcPr>
            <w:tcW w:w="5103" w:type="dxa"/>
            <w:tcBorders>
              <w:top w:val="nil"/>
              <w:left w:val="single" w:sz="4" w:space="0" w:color="808080"/>
              <w:bottom w:val="single" w:sz="4" w:space="0" w:color="808080"/>
              <w:right w:val="single" w:sz="4" w:space="0" w:color="808080"/>
            </w:tcBorders>
            <w:shd w:val="clear" w:color="auto" w:fill="auto"/>
            <w:noWrap/>
            <w:vAlign w:val="bottom"/>
            <w:hideMark/>
          </w:tcPr>
          <w:p w14:paraId="43A94EF4" w14:textId="77777777" w:rsidR="001F0A32" w:rsidRPr="00431386" w:rsidRDefault="001F0A32" w:rsidP="001F0A32">
            <w:pPr>
              <w:rPr>
                <w:rFonts w:ascii="Book Antiqua" w:hAnsi="Book Antiqua" w:cs="Calibri"/>
                <w:color w:val="000000"/>
                <w:sz w:val="16"/>
                <w:szCs w:val="16"/>
                <w:lang w:eastAsia="es-CR"/>
              </w:rPr>
            </w:pPr>
            <w:r w:rsidRPr="00431386">
              <w:rPr>
                <w:rFonts w:ascii="Book Antiqua" w:hAnsi="Book Antiqua" w:cs="Calibri"/>
                <w:color w:val="000000"/>
                <w:sz w:val="16"/>
                <w:szCs w:val="16"/>
                <w:lang w:eastAsia="es-CR"/>
              </w:rPr>
              <w:t xml:space="preserve">Juzgado Penal de Talamanca </w:t>
            </w:r>
          </w:p>
        </w:tc>
        <w:tc>
          <w:tcPr>
            <w:tcW w:w="2009" w:type="dxa"/>
            <w:tcBorders>
              <w:top w:val="nil"/>
              <w:left w:val="nil"/>
              <w:bottom w:val="single" w:sz="4" w:space="0" w:color="808080"/>
              <w:right w:val="single" w:sz="4" w:space="0" w:color="808080"/>
            </w:tcBorders>
            <w:shd w:val="clear" w:color="auto" w:fill="auto"/>
            <w:noWrap/>
            <w:vAlign w:val="bottom"/>
            <w:hideMark/>
          </w:tcPr>
          <w:p w14:paraId="5146C1D4" w14:textId="77777777" w:rsidR="001F0A32" w:rsidRPr="00431386" w:rsidRDefault="001F0A32" w:rsidP="001F0A32">
            <w:pPr>
              <w:jc w:val="center"/>
              <w:rPr>
                <w:rFonts w:ascii="Book Antiqua" w:hAnsi="Book Antiqua" w:cs="Calibri"/>
                <w:color w:val="000000"/>
                <w:sz w:val="16"/>
                <w:szCs w:val="16"/>
                <w:lang w:eastAsia="es-CR"/>
              </w:rPr>
            </w:pPr>
            <w:r w:rsidRPr="00431386">
              <w:rPr>
                <w:rFonts w:ascii="Book Antiqua" w:hAnsi="Book Antiqua" w:cs="Calibri"/>
                <w:color w:val="000000"/>
                <w:sz w:val="16"/>
                <w:szCs w:val="16"/>
                <w:lang w:eastAsia="es-CR"/>
              </w:rPr>
              <w:t>232 %</w:t>
            </w:r>
          </w:p>
        </w:tc>
      </w:tr>
      <w:tr w:rsidR="001F0A32" w:rsidRPr="00431386" w14:paraId="3EB814C2" w14:textId="77777777" w:rsidTr="00431386">
        <w:trPr>
          <w:trHeight w:val="290"/>
          <w:jc w:val="center"/>
        </w:trPr>
        <w:tc>
          <w:tcPr>
            <w:tcW w:w="5103" w:type="dxa"/>
            <w:tcBorders>
              <w:top w:val="nil"/>
              <w:left w:val="single" w:sz="4" w:space="0" w:color="808080"/>
              <w:bottom w:val="single" w:sz="4" w:space="0" w:color="808080"/>
              <w:right w:val="single" w:sz="4" w:space="0" w:color="808080"/>
            </w:tcBorders>
            <w:shd w:val="clear" w:color="auto" w:fill="auto"/>
            <w:noWrap/>
            <w:vAlign w:val="bottom"/>
            <w:hideMark/>
          </w:tcPr>
          <w:p w14:paraId="2634EE7B" w14:textId="77777777" w:rsidR="001F0A32" w:rsidRPr="00431386" w:rsidRDefault="001F0A32" w:rsidP="001F0A32">
            <w:pPr>
              <w:rPr>
                <w:rFonts w:ascii="Book Antiqua" w:hAnsi="Book Antiqua" w:cs="Calibri"/>
                <w:color w:val="000000"/>
                <w:sz w:val="16"/>
                <w:szCs w:val="16"/>
                <w:lang w:eastAsia="es-CR"/>
              </w:rPr>
            </w:pPr>
            <w:r w:rsidRPr="00431386">
              <w:rPr>
                <w:rFonts w:ascii="Book Antiqua" w:hAnsi="Book Antiqua" w:cs="Calibri"/>
                <w:color w:val="000000"/>
                <w:sz w:val="16"/>
                <w:szCs w:val="16"/>
                <w:lang w:eastAsia="es-CR"/>
              </w:rPr>
              <w:t>Juzgado Penal del I Circuito Judicial de La Zona Sur</w:t>
            </w:r>
          </w:p>
        </w:tc>
        <w:tc>
          <w:tcPr>
            <w:tcW w:w="2009" w:type="dxa"/>
            <w:tcBorders>
              <w:top w:val="nil"/>
              <w:left w:val="nil"/>
              <w:bottom w:val="single" w:sz="4" w:space="0" w:color="808080"/>
              <w:right w:val="single" w:sz="4" w:space="0" w:color="808080"/>
            </w:tcBorders>
            <w:shd w:val="clear" w:color="auto" w:fill="auto"/>
            <w:noWrap/>
            <w:vAlign w:val="bottom"/>
            <w:hideMark/>
          </w:tcPr>
          <w:p w14:paraId="57ADB9A7" w14:textId="77777777" w:rsidR="001F0A32" w:rsidRPr="00431386" w:rsidRDefault="001F0A32" w:rsidP="001F0A32">
            <w:pPr>
              <w:jc w:val="center"/>
              <w:rPr>
                <w:rFonts w:ascii="Book Antiqua" w:hAnsi="Book Antiqua" w:cs="Calibri"/>
                <w:color w:val="000000"/>
                <w:sz w:val="16"/>
                <w:szCs w:val="16"/>
                <w:lang w:eastAsia="es-CR"/>
              </w:rPr>
            </w:pPr>
            <w:r w:rsidRPr="00431386">
              <w:rPr>
                <w:rFonts w:ascii="Book Antiqua" w:hAnsi="Book Antiqua" w:cs="Calibri"/>
                <w:color w:val="000000"/>
                <w:sz w:val="16"/>
                <w:szCs w:val="16"/>
                <w:lang w:eastAsia="es-CR"/>
              </w:rPr>
              <w:t>212 %</w:t>
            </w:r>
          </w:p>
        </w:tc>
      </w:tr>
      <w:tr w:rsidR="001F0A32" w:rsidRPr="00431386" w14:paraId="11BE151D" w14:textId="77777777" w:rsidTr="00431386">
        <w:trPr>
          <w:trHeight w:val="290"/>
          <w:jc w:val="center"/>
        </w:trPr>
        <w:tc>
          <w:tcPr>
            <w:tcW w:w="5103" w:type="dxa"/>
            <w:tcBorders>
              <w:top w:val="nil"/>
              <w:left w:val="single" w:sz="4" w:space="0" w:color="808080"/>
              <w:bottom w:val="single" w:sz="4" w:space="0" w:color="808080"/>
              <w:right w:val="single" w:sz="4" w:space="0" w:color="808080"/>
            </w:tcBorders>
            <w:shd w:val="clear" w:color="auto" w:fill="auto"/>
            <w:noWrap/>
            <w:vAlign w:val="bottom"/>
            <w:hideMark/>
          </w:tcPr>
          <w:p w14:paraId="37012F31" w14:textId="589FC3EC" w:rsidR="001F0A32" w:rsidRPr="00431386" w:rsidRDefault="001F0A32" w:rsidP="001F0A32">
            <w:pPr>
              <w:rPr>
                <w:rFonts w:ascii="Book Antiqua" w:hAnsi="Book Antiqua" w:cs="Calibri"/>
                <w:color w:val="000000"/>
                <w:sz w:val="16"/>
                <w:szCs w:val="16"/>
                <w:lang w:eastAsia="es-CR"/>
              </w:rPr>
            </w:pPr>
            <w:r w:rsidRPr="00431386">
              <w:rPr>
                <w:rFonts w:ascii="Book Antiqua" w:hAnsi="Book Antiqua" w:cs="Calibri"/>
                <w:color w:val="000000"/>
                <w:sz w:val="16"/>
                <w:szCs w:val="16"/>
                <w:lang w:eastAsia="es-CR"/>
              </w:rPr>
              <w:t xml:space="preserve">Juzgado Penal del </w:t>
            </w:r>
            <w:r w:rsidR="00431386" w:rsidRPr="00431386">
              <w:rPr>
                <w:rFonts w:ascii="Book Antiqua" w:hAnsi="Book Antiqua" w:cs="Calibri"/>
                <w:color w:val="000000"/>
                <w:sz w:val="16"/>
                <w:szCs w:val="16"/>
                <w:lang w:eastAsia="es-CR"/>
              </w:rPr>
              <w:t>II</w:t>
            </w:r>
            <w:r w:rsidRPr="00431386">
              <w:rPr>
                <w:rFonts w:ascii="Book Antiqua" w:hAnsi="Book Antiqua" w:cs="Calibri"/>
                <w:color w:val="000000"/>
                <w:sz w:val="16"/>
                <w:szCs w:val="16"/>
                <w:lang w:eastAsia="es-CR"/>
              </w:rPr>
              <w:t xml:space="preserve"> Circuito Judicial Guanacaste </w:t>
            </w:r>
          </w:p>
        </w:tc>
        <w:tc>
          <w:tcPr>
            <w:tcW w:w="2009" w:type="dxa"/>
            <w:tcBorders>
              <w:top w:val="nil"/>
              <w:left w:val="nil"/>
              <w:bottom w:val="single" w:sz="4" w:space="0" w:color="808080"/>
              <w:right w:val="single" w:sz="4" w:space="0" w:color="808080"/>
            </w:tcBorders>
            <w:shd w:val="clear" w:color="auto" w:fill="auto"/>
            <w:noWrap/>
            <w:vAlign w:val="bottom"/>
            <w:hideMark/>
          </w:tcPr>
          <w:p w14:paraId="437C470A" w14:textId="77777777" w:rsidR="001F0A32" w:rsidRPr="00431386" w:rsidRDefault="001F0A32" w:rsidP="001F0A32">
            <w:pPr>
              <w:jc w:val="center"/>
              <w:rPr>
                <w:rFonts w:ascii="Book Antiqua" w:hAnsi="Book Antiqua" w:cs="Calibri"/>
                <w:color w:val="000000"/>
                <w:sz w:val="16"/>
                <w:szCs w:val="16"/>
                <w:lang w:eastAsia="es-CR"/>
              </w:rPr>
            </w:pPr>
            <w:r w:rsidRPr="00431386">
              <w:rPr>
                <w:rFonts w:ascii="Book Antiqua" w:hAnsi="Book Antiqua" w:cs="Calibri"/>
                <w:color w:val="000000"/>
                <w:sz w:val="16"/>
                <w:szCs w:val="16"/>
                <w:lang w:eastAsia="es-CR"/>
              </w:rPr>
              <w:t>158 %</w:t>
            </w:r>
          </w:p>
        </w:tc>
      </w:tr>
      <w:tr w:rsidR="001F0A32" w:rsidRPr="00431386" w14:paraId="53014065" w14:textId="77777777" w:rsidTr="00431386">
        <w:trPr>
          <w:trHeight w:val="290"/>
          <w:jc w:val="center"/>
        </w:trPr>
        <w:tc>
          <w:tcPr>
            <w:tcW w:w="5103" w:type="dxa"/>
            <w:tcBorders>
              <w:top w:val="nil"/>
              <w:left w:val="single" w:sz="4" w:space="0" w:color="808080"/>
              <w:bottom w:val="single" w:sz="4" w:space="0" w:color="808080"/>
              <w:right w:val="single" w:sz="4" w:space="0" w:color="808080"/>
            </w:tcBorders>
            <w:shd w:val="clear" w:color="auto" w:fill="auto"/>
            <w:noWrap/>
            <w:vAlign w:val="bottom"/>
            <w:hideMark/>
          </w:tcPr>
          <w:p w14:paraId="443CC224" w14:textId="2D933CE6" w:rsidR="001F0A32" w:rsidRPr="00431386" w:rsidRDefault="001F0A32" w:rsidP="001F0A32">
            <w:pPr>
              <w:rPr>
                <w:rFonts w:ascii="Book Antiqua" w:hAnsi="Book Antiqua" w:cs="Calibri"/>
                <w:color w:val="000000"/>
                <w:sz w:val="16"/>
                <w:szCs w:val="16"/>
                <w:lang w:eastAsia="es-CR"/>
              </w:rPr>
            </w:pPr>
            <w:r w:rsidRPr="00431386">
              <w:rPr>
                <w:rFonts w:ascii="Book Antiqua" w:hAnsi="Book Antiqua" w:cs="Calibri"/>
                <w:color w:val="000000"/>
                <w:sz w:val="16"/>
                <w:szCs w:val="16"/>
                <w:lang w:eastAsia="es-CR"/>
              </w:rPr>
              <w:t xml:space="preserve">Juzgado Penal del </w:t>
            </w:r>
            <w:r w:rsidR="00431386" w:rsidRPr="00431386">
              <w:rPr>
                <w:rFonts w:ascii="Book Antiqua" w:hAnsi="Book Antiqua" w:cs="Calibri"/>
                <w:color w:val="000000"/>
                <w:sz w:val="16"/>
                <w:szCs w:val="16"/>
                <w:lang w:eastAsia="es-CR"/>
              </w:rPr>
              <w:t>III</w:t>
            </w:r>
            <w:r w:rsidRPr="00431386">
              <w:rPr>
                <w:rFonts w:ascii="Book Antiqua" w:hAnsi="Book Antiqua" w:cs="Calibri"/>
                <w:color w:val="000000"/>
                <w:sz w:val="16"/>
                <w:szCs w:val="16"/>
                <w:lang w:eastAsia="es-CR"/>
              </w:rPr>
              <w:t xml:space="preserve"> Circuito Judicial de San José</w:t>
            </w:r>
          </w:p>
        </w:tc>
        <w:tc>
          <w:tcPr>
            <w:tcW w:w="2009" w:type="dxa"/>
            <w:tcBorders>
              <w:top w:val="nil"/>
              <w:left w:val="nil"/>
              <w:bottom w:val="single" w:sz="4" w:space="0" w:color="808080"/>
              <w:right w:val="single" w:sz="4" w:space="0" w:color="808080"/>
            </w:tcBorders>
            <w:shd w:val="clear" w:color="auto" w:fill="auto"/>
            <w:noWrap/>
            <w:vAlign w:val="bottom"/>
            <w:hideMark/>
          </w:tcPr>
          <w:p w14:paraId="69F0B94A" w14:textId="77777777" w:rsidR="001F0A32" w:rsidRPr="00431386" w:rsidRDefault="001F0A32" w:rsidP="001F0A32">
            <w:pPr>
              <w:jc w:val="center"/>
              <w:rPr>
                <w:rFonts w:ascii="Book Antiqua" w:hAnsi="Book Antiqua" w:cs="Calibri"/>
                <w:color w:val="000000"/>
                <w:sz w:val="16"/>
                <w:szCs w:val="16"/>
                <w:lang w:eastAsia="es-CR"/>
              </w:rPr>
            </w:pPr>
            <w:r w:rsidRPr="00431386">
              <w:rPr>
                <w:rFonts w:ascii="Book Antiqua" w:hAnsi="Book Antiqua" w:cs="Calibri"/>
                <w:color w:val="000000"/>
                <w:sz w:val="16"/>
                <w:szCs w:val="16"/>
                <w:lang w:eastAsia="es-CR"/>
              </w:rPr>
              <w:t>153 %</w:t>
            </w:r>
          </w:p>
        </w:tc>
      </w:tr>
      <w:tr w:rsidR="001F0A32" w:rsidRPr="00431386" w14:paraId="34460879" w14:textId="77777777" w:rsidTr="00431386">
        <w:trPr>
          <w:trHeight w:val="290"/>
          <w:jc w:val="center"/>
        </w:trPr>
        <w:tc>
          <w:tcPr>
            <w:tcW w:w="5103" w:type="dxa"/>
            <w:tcBorders>
              <w:top w:val="nil"/>
              <w:left w:val="single" w:sz="4" w:space="0" w:color="808080"/>
              <w:bottom w:val="single" w:sz="4" w:space="0" w:color="808080"/>
              <w:right w:val="single" w:sz="4" w:space="0" w:color="808080"/>
            </w:tcBorders>
            <w:shd w:val="clear" w:color="auto" w:fill="auto"/>
            <w:noWrap/>
            <w:vAlign w:val="bottom"/>
            <w:hideMark/>
          </w:tcPr>
          <w:p w14:paraId="72104DD6" w14:textId="77777777" w:rsidR="001F0A32" w:rsidRPr="00431386" w:rsidRDefault="001F0A32" w:rsidP="001F0A32">
            <w:pPr>
              <w:rPr>
                <w:rFonts w:ascii="Book Antiqua" w:hAnsi="Book Antiqua" w:cs="Calibri"/>
                <w:color w:val="000000"/>
                <w:sz w:val="16"/>
                <w:szCs w:val="16"/>
                <w:lang w:eastAsia="es-CR"/>
              </w:rPr>
            </w:pPr>
            <w:r w:rsidRPr="00431386">
              <w:rPr>
                <w:rFonts w:ascii="Book Antiqua" w:hAnsi="Book Antiqua" w:cs="Calibri"/>
                <w:color w:val="000000"/>
                <w:sz w:val="16"/>
                <w:szCs w:val="16"/>
                <w:lang w:eastAsia="es-CR"/>
              </w:rPr>
              <w:t>Juzgado Penal de Cartago</w:t>
            </w:r>
          </w:p>
        </w:tc>
        <w:tc>
          <w:tcPr>
            <w:tcW w:w="2009" w:type="dxa"/>
            <w:tcBorders>
              <w:top w:val="nil"/>
              <w:left w:val="nil"/>
              <w:bottom w:val="single" w:sz="4" w:space="0" w:color="808080"/>
              <w:right w:val="single" w:sz="4" w:space="0" w:color="808080"/>
            </w:tcBorders>
            <w:shd w:val="clear" w:color="auto" w:fill="auto"/>
            <w:noWrap/>
            <w:vAlign w:val="bottom"/>
            <w:hideMark/>
          </w:tcPr>
          <w:p w14:paraId="76870133" w14:textId="77777777" w:rsidR="001F0A32" w:rsidRPr="00431386" w:rsidRDefault="001F0A32" w:rsidP="001F0A32">
            <w:pPr>
              <w:jc w:val="center"/>
              <w:rPr>
                <w:rFonts w:ascii="Book Antiqua" w:hAnsi="Book Antiqua" w:cs="Calibri"/>
                <w:color w:val="000000"/>
                <w:sz w:val="16"/>
                <w:szCs w:val="16"/>
                <w:lang w:eastAsia="es-CR"/>
              </w:rPr>
            </w:pPr>
            <w:r w:rsidRPr="00431386">
              <w:rPr>
                <w:rFonts w:ascii="Book Antiqua" w:hAnsi="Book Antiqua" w:cs="Calibri"/>
                <w:color w:val="000000"/>
                <w:sz w:val="16"/>
                <w:szCs w:val="16"/>
                <w:lang w:eastAsia="es-CR"/>
              </w:rPr>
              <w:t>152 %</w:t>
            </w:r>
          </w:p>
        </w:tc>
      </w:tr>
      <w:tr w:rsidR="001F0A32" w:rsidRPr="00431386" w14:paraId="5520F864" w14:textId="77777777" w:rsidTr="00431386">
        <w:trPr>
          <w:trHeight w:val="290"/>
          <w:jc w:val="center"/>
        </w:trPr>
        <w:tc>
          <w:tcPr>
            <w:tcW w:w="5103" w:type="dxa"/>
            <w:tcBorders>
              <w:top w:val="nil"/>
              <w:left w:val="single" w:sz="4" w:space="0" w:color="808080"/>
              <w:bottom w:val="single" w:sz="4" w:space="0" w:color="808080"/>
              <w:right w:val="single" w:sz="4" w:space="0" w:color="808080"/>
            </w:tcBorders>
            <w:shd w:val="clear" w:color="auto" w:fill="auto"/>
            <w:noWrap/>
            <w:vAlign w:val="bottom"/>
            <w:hideMark/>
          </w:tcPr>
          <w:p w14:paraId="7DBFE90A" w14:textId="77777777" w:rsidR="001F0A32" w:rsidRPr="00431386" w:rsidRDefault="001F0A32" w:rsidP="001F0A32">
            <w:pPr>
              <w:rPr>
                <w:rFonts w:ascii="Book Antiqua" w:hAnsi="Book Antiqua" w:cs="Calibri"/>
                <w:color w:val="000000"/>
                <w:sz w:val="16"/>
                <w:szCs w:val="16"/>
                <w:lang w:eastAsia="es-CR"/>
              </w:rPr>
            </w:pPr>
            <w:r w:rsidRPr="00431386">
              <w:rPr>
                <w:rFonts w:ascii="Book Antiqua" w:hAnsi="Book Antiqua" w:cs="Calibri"/>
                <w:color w:val="000000"/>
                <w:sz w:val="16"/>
                <w:szCs w:val="16"/>
                <w:lang w:eastAsia="es-CR"/>
              </w:rPr>
              <w:t xml:space="preserve">Juzgado Penal de Santa Cruz </w:t>
            </w:r>
          </w:p>
        </w:tc>
        <w:tc>
          <w:tcPr>
            <w:tcW w:w="2009" w:type="dxa"/>
            <w:tcBorders>
              <w:top w:val="nil"/>
              <w:left w:val="nil"/>
              <w:bottom w:val="single" w:sz="4" w:space="0" w:color="808080"/>
              <w:right w:val="single" w:sz="4" w:space="0" w:color="808080"/>
            </w:tcBorders>
            <w:shd w:val="clear" w:color="auto" w:fill="auto"/>
            <w:noWrap/>
            <w:vAlign w:val="bottom"/>
            <w:hideMark/>
          </w:tcPr>
          <w:p w14:paraId="465C11BA" w14:textId="77777777" w:rsidR="001F0A32" w:rsidRPr="00431386" w:rsidRDefault="001F0A32" w:rsidP="001F0A32">
            <w:pPr>
              <w:jc w:val="center"/>
              <w:rPr>
                <w:rFonts w:ascii="Book Antiqua" w:hAnsi="Book Antiqua" w:cs="Calibri"/>
                <w:color w:val="000000"/>
                <w:sz w:val="16"/>
                <w:szCs w:val="16"/>
                <w:lang w:eastAsia="es-CR"/>
              </w:rPr>
            </w:pPr>
            <w:r w:rsidRPr="00431386">
              <w:rPr>
                <w:rFonts w:ascii="Book Antiqua" w:hAnsi="Book Antiqua" w:cs="Calibri"/>
                <w:color w:val="000000"/>
                <w:sz w:val="16"/>
                <w:szCs w:val="16"/>
                <w:lang w:eastAsia="es-CR"/>
              </w:rPr>
              <w:t>150 %</w:t>
            </w:r>
          </w:p>
        </w:tc>
      </w:tr>
      <w:tr w:rsidR="001F0A32" w:rsidRPr="00431386" w14:paraId="1FE9F464" w14:textId="77777777" w:rsidTr="00431386">
        <w:trPr>
          <w:trHeight w:val="290"/>
          <w:jc w:val="center"/>
        </w:trPr>
        <w:tc>
          <w:tcPr>
            <w:tcW w:w="5103" w:type="dxa"/>
            <w:tcBorders>
              <w:top w:val="nil"/>
              <w:left w:val="single" w:sz="4" w:space="0" w:color="808080"/>
              <w:bottom w:val="single" w:sz="4" w:space="0" w:color="808080"/>
              <w:right w:val="single" w:sz="4" w:space="0" w:color="808080"/>
            </w:tcBorders>
            <w:shd w:val="clear" w:color="auto" w:fill="auto"/>
            <w:noWrap/>
            <w:vAlign w:val="bottom"/>
            <w:hideMark/>
          </w:tcPr>
          <w:p w14:paraId="6CE5FCC7" w14:textId="77777777" w:rsidR="001F0A32" w:rsidRPr="00431386" w:rsidRDefault="001F0A32" w:rsidP="001F0A32">
            <w:pPr>
              <w:rPr>
                <w:rFonts w:ascii="Book Antiqua" w:hAnsi="Book Antiqua" w:cs="Calibri"/>
                <w:color w:val="000000"/>
                <w:sz w:val="16"/>
                <w:szCs w:val="16"/>
                <w:lang w:eastAsia="es-CR"/>
              </w:rPr>
            </w:pPr>
            <w:r w:rsidRPr="00431386">
              <w:rPr>
                <w:rFonts w:ascii="Book Antiqua" w:hAnsi="Book Antiqua" w:cs="Calibri"/>
                <w:color w:val="000000"/>
                <w:sz w:val="16"/>
                <w:szCs w:val="16"/>
                <w:lang w:eastAsia="es-CR"/>
              </w:rPr>
              <w:t xml:space="preserve">Juzgado Penal de Cañas </w:t>
            </w:r>
          </w:p>
        </w:tc>
        <w:tc>
          <w:tcPr>
            <w:tcW w:w="2009" w:type="dxa"/>
            <w:tcBorders>
              <w:top w:val="nil"/>
              <w:left w:val="nil"/>
              <w:bottom w:val="single" w:sz="4" w:space="0" w:color="808080"/>
              <w:right w:val="single" w:sz="4" w:space="0" w:color="808080"/>
            </w:tcBorders>
            <w:shd w:val="clear" w:color="auto" w:fill="auto"/>
            <w:noWrap/>
            <w:vAlign w:val="bottom"/>
            <w:hideMark/>
          </w:tcPr>
          <w:p w14:paraId="4E1F4013" w14:textId="77777777" w:rsidR="001F0A32" w:rsidRPr="00431386" w:rsidRDefault="001F0A32" w:rsidP="001F0A32">
            <w:pPr>
              <w:jc w:val="center"/>
              <w:rPr>
                <w:rFonts w:ascii="Book Antiqua" w:hAnsi="Book Antiqua" w:cs="Calibri"/>
                <w:color w:val="000000"/>
                <w:sz w:val="16"/>
                <w:szCs w:val="16"/>
                <w:lang w:eastAsia="es-CR"/>
              </w:rPr>
            </w:pPr>
            <w:r w:rsidRPr="00431386">
              <w:rPr>
                <w:rFonts w:ascii="Book Antiqua" w:hAnsi="Book Antiqua" w:cs="Calibri"/>
                <w:color w:val="000000"/>
                <w:sz w:val="16"/>
                <w:szCs w:val="16"/>
                <w:lang w:eastAsia="es-CR"/>
              </w:rPr>
              <w:t>141 %</w:t>
            </w:r>
          </w:p>
        </w:tc>
      </w:tr>
      <w:tr w:rsidR="001F0A32" w:rsidRPr="00431386" w14:paraId="7E8C4DD8" w14:textId="77777777" w:rsidTr="00431386">
        <w:trPr>
          <w:trHeight w:val="290"/>
          <w:jc w:val="center"/>
        </w:trPr>
        <w:tc>
          <w:tcPr>
            <w:tcW w:w="5103" w:type="dxa"/>
            <w:tcBorders>
              <w:top w:val="nil"/>
              <w:left w:val="single" w:sz="4" w:space="0" w:color="808080"/>
              <w:bottom w:val="single" w:sz="4" w:space="0" w:color="808080"/>
              <w:right w:val="single" w:sz="4" w:space="0" w:color="808080"/>
            </w:tcBorders>
            <w:shd w:val="clear" w:color="auto" w:fill="auto"/>
            <w:noWrap/>
            <w:vAlign w:val="bottom"/>
            <w:hideMark/>
          </w:tcPr>
          <w:p w14:paraId="6D5171D9" w14:textId="77777777" w:rsidR="001F0A32" w:rsidRPr="00431386" w:rsidRDefault="001F0A32" w:rsidP="001F0A32">
            <w:pPr>
              <w:rPr>
                <w:rFonts w:ascii="Book Antiqua" w:hAnsi="Book Antiqua" w:cs="Calibri"/>
                <w:color w:val="000000"/>
                <w:sz w:val="16"/>
                <w:szCs w:val="16"/>
                <w:lang w:eastAsia="es-CR"/>
              </w:rPr>
            </w:pPr>
            <w:r w:rsidRPr="00431386">
              <w:rPr>
                <w:rFonts w:ascii="Book Antiqua" w:hAnsi="Book Antiqua" w:cs="Calibri"/>
                <w:color w:val="000000"/>
                <w:sz w:val="16"/>
                <w:szCs w:val="16"/>
                <w:lang w:eastAsia="es-CR"/>
              </w:rPr>
              <w:t>Juzgado Penal de Upala</w:t>
            </w:r>
          </w:p>
        </w:tc>
        <w:tc>
          <w:tcPr>
            <w:tcW w:w="2009" w:type="dxa"/>
            <w:tcBorders>
              <w:top w:val="nil"/>
              <w:left w:val="nil"/>
              <w:bottom w:val="single" w:sz="4" w:space="0" w:color="808080"/>
              <w:right w:val="single" w:sz="4" w:space="0" w:color="808080"/>
            </w:tcBorders>
            <w:shd w:val="clear" w:color="auto" w:fill="auto"/>
            <w:noWrap/>
            <w:vAlign w:val="bottom"/>
            <w:hideMark/>
          </w:tcPr>
          <w:p w14:paraId="688983A5" w14:textId="77777777" w:rsidR="001F0A32" w:rsidRPr="00431386" w:rsidRDefault="001F0A32" w:rsidP="001F0A32">
            <w:pPr>
              <w:jc w:val="center"/>
              <w:rPr>
                <w:rFonts w:ascii="Book Antiqua" w:hAnsi="Book Antiqua" w:cs="Calibri"/>
                <w:color w:val="000000"/>
                <w:sz w:val="16"/>
                <w:szCs w:val="16"/>
                <w:lang w:eastAsia="es-CR"/>
              </w:rPr>
            </w:pPr>
            <w:r w:rsidRPr="00431386">
              <w:rPr>
                <w:rFonts w:ascii="Book Antiqua" w:hAnsi="Book Antiqua" w:cs="Calibri"/>
                <w:color w:val="000000"/>
                <w:sz w:val="16"/>
                <w:szCs w:val="16"/>
                <w:lang w:eastAsia="es-CR"/>
              </w:rPr>
              <w:t>133 %</w:t>
            </w:r>
          </w:p>
        </w:tc>
      </w:tr>
      <w:tr w:rsidR="001F0A32" w:rsidRPr="00431386" w14:paraId="7AB6B024" w14:textId="77777777" w:rsidTr="00431386">
        <w:trPr>
          <w:trHeight w:val="290"/>
          <w:jc w:val="center"/>
        </w:trPr>
        <w:tc>
          <w:tcPr>
            <w:tcW w:w="5103" w:type="dxa"/>
            <w:tcBorders>
              <w:top w:val="nil"/>
              <w:left w:val="single" w:sz="4" w:space="0" w:color="808080"/>
              <w:bottom w:val="single" w:sz="4" w:space="0" w:color="808080"/>
              <w:right w:val="single" w:sz="4" w:space="0" w:color="808080"/>
            </w:tcBorders>
            <w:shd w:val="clear" w:color="auto" w:fill="auto"/>
            <w:noWrap/>
            <w:vAlign w:val="bottom"/>
            <w:hideMark/>
          </w:tcPr>
          <w:p w14:paraId="67934FCD" w14:textId="1832CC51" w:rsidR="001F0A32" w:rsidRPr="00431386" w:rsidRDefault="001F0A32" w:rsidP="001F0A32">
            <w:pPr>
              <w:rPr>
                <w:rFonts w:ascii="Book Antiqua" w:hAnsi="Book Antiqua" w:cs="Calibri"/>
                <w:color w:val="000000"/>
                <w:sz w:val="16"/>
                <w:szCs w:val="16"/>
                <w:lang w:eastAsia="es-CR"/>
              </w:rPr>
            </w:pPr>
            <w:r w:rsidRPr="00431386">
              <w:rPr>
                <w:rFonts w:ascii="Book Antiqua" w:hAnsi="Book Antiqua" w:cs="Calibri"/>
                <w:color w:val="000000"/>
                <w:sz w:val="16"/>
                <w:szCs w:val="16"/>
                <w:lang w:eastAsia="es-CR"/>
              </w:rPr>
              <w:t xml:space="preserve">Juzgado Penal del </w:t>
            </w:r>
            <w:r w:rsidR="00431386" w:rsidRPr="00431386">
              <w:rPr>
                <w:rFonts w:ascii="Book Antiqua" w:hAnsi="Book Antiqua" w:cs="Calibri"/>
                <w:color w:val="000000"/>
                <w:sz w:val="16"/>
                <w:szCs w:val="16"/>
                <w:lang w:eastAsia="es-CR"/>
              </w:rPr>
              <w:t>II</w:t>
            </w:r>
            <w:r w:rsidRPr="00431386">
              <w:rPr>
                <w:rFonts w:ascii="Book Antiqua" w:hAnsi="Book Antiqua" w:cs="Calibri"/>
                <w:color w:val="000000"/>
                <w:sz w:val="16"/>
                <w:szCs w:val="16"/>
                <w:lang w:eastAsia="es-CR"/>
              </w:rPr>
              <w:t xml:space="preserve"> Circuito Judicial de Alajuela</w:t>
            </w:r>
          </w:p>
        </w:tc>
        <w:tc>
          <w:tcPr>
            <w:tcW w:w="2009" w:type="dxa"/>
            <w:tcBorders>
              <w:top w:val="nil"/>
              <w:left w:val="nil"/>
              <w:bottom w:val="single" w:sz="4" w:space="0" w:color="808080"/>
              <w:right w:val="single" w:sz="4" w:space="0" w:color="808080"/>
            </w:tcBorders>
            <w:shd w:val="clear" w:color="auto" w:fill="auto"/>
            <w:noWrap/>
            <w:vAlign w:val="bottom"/>
            <w:hideMark/>
          </w:tcPr>
          <w:p w14:paraId="196960E3" w14:textId="77777777" w:rsidR="001F0A32" w:rsidRPr="00431386" w:rsidRDefault="001F0A32" w:rsidP="001F0A32">
            <w:pPr>
              <w:jc w:val="center"/>
              <w:rPr>
                <w:rFonts w:ascii="Book Antiqua" w:hAnsi="Book Antiqua" w:cs="Calibri"/>
                <w:color w:val="000000"/>
                <w:sz w:val="16"/>
                <w:szCs w:val="16"/>
                <w:lang w:eastAsia="es-CR"/>
              </w:rPr>
            </w:pPr>
            <w:r w:rsidRPr="00431386">
              <w:rPr>
                <w:rFonts w:ascii="Book Antiqua" w:hAnsi="Book Antiqua" w:cs="Calibri"/>
                <w:color w:val="000000"/>
                <w:sz w:val="16"/>
                <w:szCs w:val="16"/>
                <w:lang w:eastAsia="es-CR"/>
              </w:rPr>
              <w:t>128 %</w:t>
            </w:r>
          </w:p>
        </w:tc>
      </w:tr>
      <w:tr w:rsidR="001F0A32" w:rsidRPr="00431386" w14:paraId="13618CAD" w14:textId="77777777" w:rsidTr="00431386">
        <w:trPr>
          <w:trHeight w:val="290"/>
          <w:jc w:val="center"/>
        </w:trPr>
        <w:tc>
          <w:tcPr>
            <w:tcW w:w="5103" w:type="dxa"/>
            <w:tcBorders>
              <w:top w:val="nil"/>
              <w:left w:val="single" w:sz="4" w:space="0" w:color="808080"/>
              <w:bottom w:val="single" w:sz="4" w:space="0" w:color="808080"/>
              <w:right w:val="single" w:sz="4" w:space="0" w:color="808080"/>
            </w:tcBorders>
            <w:shd w:val="clear" w:color="auto" w:fill="auto"/>
            <w:noWrap/>
            <w:vAlign w:val="bottom"/>
            <w:hideMark/>
          </w:tcPr>
          <w:p w14:paraId="4D904073" w14:textId="062EBA27" w:rsidR="001F0A32" w:rsidRPr="00431386" w:rsidRDefault="001F0A32" w:rsidP="001F0A32">
            <w:pPr>
              <w:rPr>
                <w:rFonts w:ascii="Book Antiqua" w:hAnsi="Book Antiqua" w:cs="Calibri"/>
                <w:color w:val="000000"/>
                <w:sz w:val="16"/>
                <w:szCs w:val="16"/>
                <w:lang w:eastAsia="es-CR"/>
              </w:rPr>
            </w:pPr>
            <w:r w:rsidRPr="00431386">
              <w:rPr>
                <w:rFonts w:ascii="Book Antiqua" w:hAnsi="Book Antiqua" w:cs="Calibri"/>
                <w:color w:val="000000"/>
                <w:sz w:val="16"/>
                <w:szCs w:val="16"/>
                <w:lang w:eastAsia="es-CR"/>
              </w:rPr>
              <w:t>Juzgado Penal del I Circuito Judicial de Alajuela, Sede Atenas</w:t>
            </w:r>
          </w:p>
        </w:tc>
        <w:tc>
          <w:tcPr>
            <w:tcW w:w="2009" w:type="dxa"/>
            <w:tcBorders>
              <w:top w:val="nil"/>
              <w:left w:val="nil"/>
              <w:bottom w:val="single" w:sz="4" w:space="0" w:color="808080"/>
              <w:right w:val="single" w:sz="4" w:space="0" w:color="808080"/>
            </w:tcBorders>
            <w:shd w:val="clear" w:color="auto" w:fill="auto"/>
            <w:noWrap/>
            <w:vAlign w:val="bottom"/>
            <w:hideMark/>
          </w:tcPr>
          <w:p w14:paraId="320560DB" w14:textId="77777777" w:rsidR="001F0A32" w:rsidRPr="00431386" w:rsidRDefault="001F0A32" w:rsidP="001F0A32">
            <w:pPr>
              <w:jc w:val="center"/>
              <w:rPr>
                <w:rFonts w:ascii="Book Antiqua" w:hAnsi="Book Antiqua" w:cs="Calibri"/>
                <w:color w:val="000000"/>
                <w:sz w:val="16"/>
                <w:szCs w:val="16"/>
                <w:lang w:eastAsia="es-CR"/>
              </w:rPr>
            </w:pPr>
            <w:r w:rsidRPr="00431386">
              <w:rPr>
                <w:rFonts w:ascii="Book Antiqua" w:hAnsi="Book Antiqua" w:cs="Calibri"/>
                <w:color w:val="000000"/>
                <w:sz w:val="16"/>
                <w:szCs w:val="16"/>
                <w:lang w:eastAsia="es-CR"/>
              </w:rPr>
              <w:t>121 %</w:t>
            </w:r>
          </w:p>
        </w:tc>
      </w:tr>
      <w:tr w:rsidR="001F0A32" w:rsidRPr="00431386" w14:paraId="511FF80A" w14:textId="77777777" w:rsidTr="00431386">
        <w:trPr>
          <w:trHeight w:val="290"/>
          <w:jc w:val="center"/>
        </w:trPr>
        <w:tc>
          <w:tcPr>
            <w:tcW w:w="5103" w:type="dxa"/>
            <w:tcBorders>
              <w:top w:val="nil"/>
              <w:left w:val="single" w:sz="4" w:space="0" w:color="808080"/>
              <w:bottom w:val="single" w:sz="4" w:space="0" w:color="808080"/>
              <w:right w:val="single" w:sz="4" w:space="0" w:color="808080"/>
            </w:tcBorders>
            <w:shd w:val="clear" w:color="auto" w:fill="auto"/>
            <w:noWrap/>
            <w:vAlign w:val="bottom"/>
            <w:hideMark/>
          </w:tcPr>
          <w:p w14:paraId="205E7788" w14:textId="77777777" w:rsidR="001F0A32" w:rsidRPr="00431386" w:rsidRDefault="001F0A32" w:rsidP="001F0A32">
            <w:pPr>
              <w:rPr>
                <w:rFonts w:ascii="Book Antiqua" w:hAnsi="Book Antiqua" w:cs="Calibri"/>
                <w:color w:val="000000"/>
                <w:sz w:val="16"/>
                <w:szCs w:val="16"/>
                <w:lang w:eastAsia="es-CR"/>
              </w:rPr>
            </w:pPr>
            <w:r w:rsidRPr="00431386">
              <w:rPr>
                <w:rFonts w:ascii="Book Antiqua" w:hAnsi="Book Antiqua" w:cs="Calibri"/>
                <w:color w:val="000000"/>
                <w:sz w:val="16"/>
                <w:szCs w:val="16"/>
                <w:lang w:eastAsia="es-CR"/>
              </w:rPr>
              <w:t xml:space="preserve">Juzgado Penal de Golfito </w:t>
            </w:r>
          </w:p>
        </w:tc>
        <w:tc>
          <w:tcPr>
            <w:tcW w:w="2009" w:type="dxa"/>
            <w:tcBorders>
              <w:top w:val="nil"/>
              <w:left w:val="nil"/>
              <w:bottom w:val="single" w:sz="4" w:space="0" w:color="808080"/>
              <w:right w:val="single" w:sz="4" w:space="0" w:color="808080"/>
            </w:tcBorders>
            <w:shd w:val="clear" w:color="auto" w:fill="auto"/>
            <w:noWrap/>
            <w:vAlign w:val="bottom"/>
            <w:hideMark/>
          </w:tcPr>
          <w:p w14:paraId="631C5619" w14:textId="77777777" w:rsidR="001F0A32" w:rsidRPr="00431386" w:rsidRDefault="001F0A32" w:rsidP="001F0A32">
            <w:pPr>
              <w:jc w:val="center"/>
              <w:rPr>
                <w:rFonts w:ascii="Book Antiqua" w:hAnsi="Book Antiqua" w:cs="Calibri"/>
                <w:color w:val="000000"/>
                <w:sz w:val="16"/>
                <w:szCs w:val="16"/>
                <w:lang w:eastAsia="es-CR"/>
              </w:rPr>
            </w:pPr>
            <w:r w:rsidRPr="00431386">
              <w:rPr>
                <w:rFonts w:ascii="Book Antiqua" w:hAnsi="Book Antiqua" w:cs="Calibri"/>
                <w:color w:val="000000"/>
                <w:sz w:val="16"/>
                <w:szCs w:val="16"/>
                <w:lang w:eastAsia="es-CR"/>
              </w:rPr>
              <w:t>116 %</w:t>
            </w:r>
          </w:p>
        </w:tc>
      </w:tr>
      <w:tr w:rsidR="001F0A32" w:rsidRPr="00431386" w14:paraId="31FB47D5" w14:textId="77777777" w:rsidTr="00431386">
        <w:trPr>
          <w:trHeight w:val="290"/>
          <w:jc w:val="center"/>
        </w:trPr>
        <w:tc>
          <w:tcPr>
            <w:tcW w:w="5103" w:type="dxa"/>
            <w:tcBorders>
              <w:top w:val="nil"/>
              <w:left w:val="single" w:sz="4" w:space="0" w:color="808080"/>
              <w:bottom w:val="single" w:sz="4" w:space="0" w:color="808080"/>
              <w:right w:val="single" w:sz="4" w:space="0" w:color="808080"/>
            </w:tcBorders>
            <w:shd w:val="clear" w:color="auto" w:fill="auto"/>
            <w:noWrap/>
            <w:vAlign w:val="bottom"/>
            <w:hideMark/>
          </w:tcPr>
          <w:p w14:paraId="527B743E" w14:textId="77777777" w:rsidR="001F0A32" w:rsidRPr="00431386" w:rsidRDefault="001F0A32" w:rsidP="001F0A32">
            <w:pPr>
              <w:rPr>
                <w:rFonts w:ascii="Book Antiqua" w:hAnsi="Book Antiqua" w:cs="Calibri"/>
                <w:color w:val="000000"/>
                <w:sz w:val="16"/>
                <w:szCs w:val="16"/>
                <w:lang w:eastAsia="es-CR"/>
              </w:rPr>
            </w:pPr>
            <w:r w:rsidRPr="00431386">
              <w:rPr>
                <w:rFonts w:ascii="Book Antiqua" w:hAnsi="Book Antiqua" w:cs="Calibri"/>
                <w:color w:val="000000"/>
                <w:sz w:val="16"/>
                <w:szCs w:val="16"/>
                <w:lang w:eastAsia="es-CR"/>
              </w:rPr>
              <w:t xml:space="preserve">Juzgado Penal de Heredia </w:t>
            </w:r>
          </w:p>
        </w:tc>
        <w:tc>
          <w:tcPr>
            <w:tcW w:w="2009" w:type="dxa"/>
            <w:tcBorders>
              <w:top w:val="nil"/>
              <w:left w:val="nil"/>
              <w:bottom w:val="single" w:sz="4" w:space="0" w:color="808080"/>
              <w:right w:val="single" w:sz="4" w:space="0" w:color="808080"/>
            </w:tcBorders>
            <w:shd w:val="clear" w:color="auto" w:fill="auto"/>
            <w:noWrap/>
            <w:vAlign w:val="bottom"/>
            <w:hideMark/>
          </w:tcPr>
          <w:p w14:paraId="65275BD8" w14:textId="77777777" w:rsidR="001F0A32" w:rsidRPr="00431386" w:rsidRDefault="001F0A32" w:rsidP="001F0A32">
            <w:pPr>
              <w:jc w:val="center"/>
              <w:rPr>
                <w:rFonts w:ascii="Book Antiqua" w:hAnsi="Book Antiqua" w:cs="Calibri"/>
                <w:color w:val="000000"/>
                <w:sz w:val="16"/>
                <w:szCs w:val="16"/>
                <w:lang w:eastAsia="es-CR"/>
              </w:rPr>
            </w:pPr>
            <w:r w:rsidRPr="00431386">
              <w:rPr>
                <w:rFonts w:ascii="Book Antiqua" w:hAnsi="Book Antiqua" w:cs="Calibri"/>
                <w:color w:val="000000"/>
                <w:sz w:val="16"/>
                <w:szCs w:val="16"/>
                <w:lang w:eastAsia="es-CR"/>
              </w:rPr>
              <w:t>109 %</w:t>
            </w:r>
          </w:p>
        </w:tc>
      </w:tr>
      <w:tr w:rsidR="001F0A32" w:rsidRPr="00431386" w14:paraId="30FE8990" w14:textId="77777777" w:rsidTr="00431386">
        <w:trPr>
          <w:trHeight w:val="290"/>
          <w:jc w:val="center"/>
        </w:trPr>
        <w:tc>
          <w:tcPr>
            <w:tcW w:w="5103" w:type="dxa"/>
            <w:tcBorders>
              <w:top w:val="nil"/>
              <w:left w:val="single" w:sz="4" w:space="0" w:color="808080"/>
              <w:bottom w:val="single" w:sz="4" w:space="0" w:color="808080"/>
              <w:right w:val="single" w:sz="4" w:space="0" w:color="808080"/>
            </w:tcBorders>
            <w:shd w:val="clear" w:color="auto" w:fill="auto"/>
            <w:noWrap/>
            <w:vAlign w:val="bottom"/>
            <w:hideMark/>
          </w:tcPr>
          <w:p w14:paraId="0FFF9278" w14:textId="77777777" w:rsidR="001F0A32" w:rsidRPr="00431386" w:rsidRDefault="001F0A32" w:rsidP="001F0A32">
            <w:pPr>
              <w:rPr>
                <w:rFonts w:ascii="Book Antiqua" w:hAnsi="Book Antiqua" w:cs="Calibri"/>
                <w:color w:val="000000"/>
                <w:sz w:val="16"/>
                <w:szCs w:val="16"/>
                <w:lang w:eastAsia="es-CR"/>
              </w:rPr>
            </w:pPr>
            <w:r w:rsidRPr="00431386">
              <w:rPr>
                <w:rFonts w:ascii="Book Antiqua" w:hAnsi="Book Antiqua" w:cs="Calibri"/>
                <w:color w:val="000000"/>
                <w:sz w:val="16"/>
                <w:szCs w:val="16"/>
                <w:lang w:eastAsia="es-CR"/>
              </w:rPr>
              <w:t>Juzgado Penal de Sarapiquí</w:t>
            </w:r>
          </w:p>
        </w:tc>
        <w:tc>
          <w:tcPr>
            <w:tcW w:w="2009" w:type="dxa"/>
            <w:tcBorders>
              <w:top w:val="nil"/>
              <w:left w:val="nil"/>
              <w:bottom w:val="single" w:sz="4" w:space="0" w:color="808080"/>
              <w:right w:val="single" w:sz="4" w:space="0" w:color="808080"/>
            </w:tcBorders>
            <w:shd w:val="clear" w:color="auto" w:fill="auto"/>
            <w:noWrap/>
            <w:vAlign w:val="bottom"/>
            <w:hideMark/>
          </w:tcPr>
          <w:p w14:paraId="5AA2C222" w14:textId="77777777" w:rsidR="001F0A32" w:rsidRPr="00431386" w:rsidRDefault="001F0A32" w:rsidP="001F0A32">
            <w:pPr>
              <w:jc w:val="center"/>
              <w:rPr>
                <w:rFonts w:ascii="Book Antiqua" w:hAnsi="Book Antiqua" w:cs="Calibri"/>
                <w:color w:val="000000"/>
                <w:sz w:val="16"/>
                <w:szCs w:val="16"/>
                <w:lang w:eastAsia="es-CR"/>
              </w:rPr>
            </w:pPr>
            <w:r w:rsidRPr="00431386">
              <w:rPr>
                <w:rFonts w:ascii="Book Antiqua" w:hAnsi="Book Antiqua" w:cs="Calibri"/>
                <w:color w:val="000000"/>
                <w:sz w:val="16"/>
                <w:szCs w:val="16"/>
                <w:lang w:eastAsia="es-CR"/>
              </w:rPr>
              <w:t>109 %</w:t>
            </w:r>
          </w:p>
        </w:tc>
      </w:tr>
      <w:tr w:rsidR="001F0A32" w:rsidRPr="00431386" w14:paraId="14E9700B" w14:textId="77777777" w:rsidTr="00431386">
        <w:trPr>
          <w:trHeight w:val="290"/>
          <w:jc w:val="center"/>
        </w:trPr>
        <w:tc>
          <w:tcPr>
            <w:tcW w:w="5103" w:type="dxa"/>
            <w:tcBorders>
              <w:top w:val="nil"/>
              <w:left w:val="single" w:sz="4" w:space="0" w:color="808080"/>
              <w:bottom w:val="single" w:sz="4" w:space="0" w:color="808080"/>
              <w:right w:val="single" w:sz="4" w:space="0" w:color="808080"/>
            </w:tcBorders>
            <w:shd w:val="clear" w:color="auto" w:fill="auto"/>
            <w:noWrap/>
            <w:vAlign w:val="bottom"/>
            <w:hideMark/>
          </w:tcPr>
          <w:p w14:paraId="2FF032C7" w14:textId="77777777" w:rsidR="001F0A32" w:rsidRPr="00431386" w:rsidRDefault="001F0A32" w:rsidP="001F0A32">
            <w:pPr>
              <w:rPr>
                <w:rFonts w:ascii="Book Antiqua" w:hAnsi="Book Antiqua" w:cs="Calibri"/>
                <w:color w:val="000000"/>
                <w:sz w:val="16"/>
                <w:szCs w:val="16"/>
                <w:lang w:eastAsia="es-CR"/>
              </w:rPr>
            </w:pPr>
            <w:r w:rsidRPr="00431386">
              <w:rPr>
                <w:rFonts w:ascii="Book Antiqua" w:hAnsi="Book Antiqua" w:cs="Calibri"/>
                <w:color w:val="000000"/>
                <w:sz w:val="16"/>
                <w:szCs w:val="16"/>
                <w:lang w:eastAsia="es-CR"/>
              </w:rPr>
              <w:t xml:space="preserve">Juzgado Penal de Osa </w:t>
            </w:r>
          </w:p>
        </w:tc>
        <w:tc>
          <w:tcPr>
            <w:tcW w:w="2009" w:type="dxa"/>
            <w:tcBorders>
              <w:top w:val="nil"/>
              <w:left w:val="nil"/>
              <w:bottom w:val="single" w:sz="4" w:space="0" w:color="808080"/>
              <w:right w:val="single" w:sz="4" w:space="0" w:color="808080"/>
            </w:tcBorders>
            <w:shd w:val="clear" w:color="auto" w:fill="auto"/>
            <w:noWrap/>
            <w:vAlign w:val="bottom"/>
            <w:hideMark/>
          </w:tcPr>
          <w:p w14:paraId="2CD8D17D" w14:textId="77777777" w:rsidR="001F0A32" w:rsidRPr="00431386" w:rsidRDefault="001F0A32" w:rsidP="001F0A32">
            <w:pPr>
              <w:jc w:val="center"/>
              <w:rPr>
                <w:rFonts w:ascii="Book Antiqua" w:hAnsi="Book Antiqua" w:cs="Calibri"/>
                <w:color w:val="000000"/>
                <w:sz w:val="16"/>
                <w:szCs w:val="16"/>
                <w:lang w:eastAsia="es-CR"/>
              </w:rPr>
            </w:pPr>
            <w:r w:rsidRPr="00431386">
              <w:rPr>
                <w:rFonts w:ascii="Book Antiqua" w:hAnsi="Book Antiqua" w:cs="Calibri"/>
                <w:color w:val="000000"/>
                <w:sz w:val="16"/>
                <w:szCs w:val="16"/>
                <w:lang w:eastAsia="es-CR"/>
              </w:rPr>
              <w:t>108 %</w:t>
            </w:r>
          </w:p>
        </w:tc>
      </w:tr>
      <w:tr w:rsidR="001F0A32" w:rsidRPr="00431386" w14:paraId="65CEA593" w14:textId="77777777" w:rsidTr="00431386">
        <w:trPr>
          <w:trHeight w:val="290"/>
          <w:jc w:val="center"/>
        </w:trPr>
        <w:tc>
          <w:tcPr>
            <w:tcW w:w="5103" w:type="dxa"/>
            <w:tcBorders>
              <w:top w:val="nil"/>
              <w:left w:val="single" w:sz="4" w:space="0" w:color="808080"/>
              <w:bottom w:val="single" w:sz="4" w:space="0" w:color="808080"/>
              <w:right w:val="single" w:sz="4" w:space="0" w:color="808080"/>
            </w:tcBorders>
            <w:shd w:val="clear" w:color="auto" w:fill="auto"/>
            <w:noWrap/>
            <w:vAlign w:val="bottom"/>
            <w:hideMark/>
          </w:tcPr>
          <w:p w14:paraId="5A7C2259" w14:textId="77777777" w:rsidR="001F0A32" w:rsidRPr="00431386" w:rsidRDefault="001F0A32" w:rsidP="001F0A32">
            <w:pPr>
              <w:rPr>
                <w:rFonts w:ascii="Book Antiqua" w:hAnsi="Book Antiqua" w:cs="Calibri"/>
                <w:color w:val="000000"/>
                <w:sz w:val="16"/>
                <w:szCs w:val="16"/>
                <w:lang w:eastAsia="es-CR"/>
              </w:rPr>
            </w:pPr>
            <w:r w:rsidRPr="00431386">
              <w:rPr>
                <w:rFonts w:ascii="Book Antiqua" w:hAnsi="Book Antiqua" w:cs="Calibri"/>
                <w:color w:val="000000"/>
                <w:sz w:val="16"/>
                <w:szCs w:val="16"/>
                <w:lang w:eastAsia="es-CR"/>
              </w:rPr>
              <w:t>Juzgado Penal de Grecia</w:t>
            </w:r>
          </w:p>
        </w:tc>
        <w:tc>
          <w:tcPr>
            <w:tcW w:w="2009" w:type="dxa"/>
            <w:tcBorders>
              <w:top w:val="nil"/>
              <w:left w:val="nil"/>
              <w:bottom w:val="single" w:sz="4" w:space="0" w:color="808080"/>
              <w:right w:val="single" w:sz="4" w:space="0" w:color="808080"/>
            </w:tcBorders>
            <w:shd w:val="clear" w:color="auto" w:fill="auto"/>
            <w:noWrap/>
            <w:vAlign w:val="bottom"/>
            <w:hideMark/>
          </w:tcPr>
          <w:p w14:paraId="673E8DB1" w14:textId="77777777" w:rsidR="001F0A32" w:rsidRPr="00431386" w:rsidRDefault="001F0A32" w:rsidP="001F0A32">
            <w:pPr>
              <w:jc w:val="center"/>
              <w:rPr>
                <w:rFonts w:ascii="Book Antiqua" w:hAnsi="Book Antiqua" w:cs="Calibri"/>
                <w:color w:val="000000"/>
                <w:sz w:val="16"/>
                <w:szCs w:val="16"/>
                <w:lang w:eastAsia="es-CR"/>
              </w:rPr>
            </w:pPr>
            <w:r w:rsidRPr="00431386">
              <w:rPr>
                <w:rFonts w:ascii="Book Antiqua" w:hAnsi="Book Antiqua" w:cs="Calibri"/>
                <w:color w:val="000000"/>
                <w:sz w:val="16"/>
                <w:szCs w:val="16"/>
                <w:lang w:eastAsia="es-CR"/>
              </w:rPr>
              <w:t>107 %</w:t>
            </w:r>
          </w:p>
        </w:tc>
      </w:tr>
      <w:tr w:rsidR="001F0A32" w:rsidRPr="00431386" w14:paraId="47025AF6" w14:textId="77777777" w:rsidTr="00431386">
        <w:trPr>
          <w:trHeight w:val="290"/>
          <w:jc w:val="center"/>
        </w:trPr>
        <w:tc>
          <w:tcPr>
            <w:tcW w:w="5103" w:type="dxa"/>
            <w:tcBorders>
              <w:top w:val="nil"/>
              <w:left w:val="single" w:sz="4" w:space="0" w:color="808080"/>
              <w:bottom w:val="single" w:sz="4" w:space="0" w:color="808080"/>
              <w:right w:val="single" w:sz="4" w:space="0" w:color="808080"/>
            </w:tcBorders>
            <w:shd w:val="clear" w:color="auto" w:fill="auto"/>
            <w:noWrap/>
            <w:vAlign w:val="bottom"/>
            <w:hideMark/>
          </w:tcPr>
          <w:p w14:paraId="43B2F648" w14:textId="77777777" w:rsidR="001F0A32" w:rsidRPr="00431386" w:rsidRDefault="001F0A32" w:rsidP="001F0A32">
            <w:pPr>
              <w:rPr>
                <w:rFonts w:ascii="Book Antiqua" w:hAnsi="Book Antiqua" w:cs="Calibri"/>
                <w:color w:val="000000"/>
                <w:sz w:val="16"/>
                <w:szCs w:val="16"/>
                <w:lang w:eastAsia="es-CR"/>
              </w:rPr>
            </w:pPr>
            <w:r w:rsidRPr="00431386">
              <w:rPr>
                <w:rFonts w:ascii="Book Antiqua" w:hAnsi="Book Antiqua" w:cs="Calibri"/>
                <w:color w:val="000000"/>
                <w:sz w:val="16"/>
                <w:szCs w:val="16"/>
                <w:lang w:eastAsia="es-CR"/>
              </w:rPr>
              <w:t>Juzgado Penal de Siquirres</w:t>
            </w:r>
          </w:p>
        </w:tc>
        <w:tc>
          <w:tcPr>
            <w:tcW w:w="2009" w:type="dxa"/>
            <w:tcBorders>
              <w:top w:val="nil"/>
              <w:left w:val="nil"/>
              <w:bottom w:val="single" w:sz="4" w:space="0" w:color="808080"/>
              <w:right w:val="single" w:sz="4" w:space="0" w:color="808080"/>
            </w:tcBorders>
            <w:shd w:val="clear" w:color="auto" w:fill="auto"/>
            <w:noWrap/>
            <w:vAlign w:val="bottom"/>
            <w:hideMark/>
          </w:tcPr>
          <w:p w14:paraId="439F07FD" w14:textId="77777777" w:rsidR="001F0A32" w:rsidRPr="00431386" w:rsidRDefault="001F0A32" w:rsidP="001F0A32">
            <w:pPr>
              <w:jc w:val="center"/>
              <w:rPr>
                <w:rFonts w:ascii="Book Antiqua" w:hAnsi="Book Antiqua" w:cs="Calibri"/>
                <w:color w:val="000000"/>
                <w:sz w:val="16"/>
                <w:szCs w:val="16"/>
                <w:lang w:eastAsia="es-CR"/>
              </w:rPr>
            </w:pPr>
            <w:r w:rsidRPr="00431386">
              <w:rPr>
                <w:rFonts w:ascii="Book Antiqua" w:hAnsi="Book Antiqua" w:cs="Calibri"/>
                <w:color w:val="000000"/>
                <w:sz w:val="16"/>
                <w:szCs w:val="16"/>
                <w:lang w:eastAsia="es-CR"/>
              </w:rPr>
              <w:t>106 %</w:t>
            </w:r>
          </w:p>
        </w:tc>
      </w:tr>
      <w:tr w:rsidR="001F0A32" w:rsidRPr="00431386" w14:paraId="0895D668" w14:textId="77777777" w:rsidTr="00431386">
        <w:trPr>
          <w:trHeight w:val="290"/>
          <w:jc w:val="center"/>
        </w:trPr>
        <w:tc>
          <w:tcPr>
            <w:tcW w:w="5103" w:type="dxa"/>
            <w:tcBorders>
              <w:top w:val="nil"/>
              <w:left w:val="single" w:sz="4" w:space="0" w:color="808080"/>
              <w:bottom w:val="single" w:sz="4" w:space="0" w:color="808080"/>
              <w:right w:val="single" w:sz="4" w:space="0" w:color="808080"/>
            </w:tcBorders>
            <w:shd w:val="clear" w:color="auto" w:fill="auto"/>
            <w:noWrap/>
            <w:vAlign w:val="bottom"/>
            <w:hideMark/>
          </w:tcPr>
          <w:p w14:paraId="40687858" w14:textId="77777777" w:rsidR="001F0A32" w:rsidRPr="00431386" w:rsidRDefault="001F0A32" w:rsidP="001F0A32">
            <w:pPr>
              <w:rPr>
                <w:rFonts w:ascii="Book Antiqua" w:hAnsi="Book Antiqua" w:cs="Calibri"/>
                <w:color w:val="000000"/>
                <w:sz w:val="16"/>
                <w:szCs w:val="16"/>
                <w:lang w:eastAsia="es-CR"/>
              </w:rPr>
            </w:pPr>
            <w:r w:rsidRPr="00431386">
              <w:rPr>
                <w:rFonts w:ascii="Book Antiqua" w:hAnsi="Book Antiqua" w:cs="Calibri"/>
                <w:color w:val="000000"/>
                <w:sz w:val="16"/>
                <w:szCs w:val="16"/>
                <w:lang w:eastAsia="es-CR"/>
              </w:rPr>
              <w:t>Juzgado Penal de Quepos</w:t>
            </w:r>
          </w:p>
        </w:tc>
        <w:tc>
          <w:tcPr>
            <w:tcW w:w="2009" w:type="dxa"/>
            <w:tcBorders>
              <w:top w:val="nil"/>
              <w:left w:val="nil"/>
              <w:bottom w:val="single" w:sz="4" w:space="0" w:color="808080"/>
              <w:right w:val="single" w:sz="4" w:space="0" w:color="808080"/>
            </w:tcBorders>
            <w:shd w:val="clear" w:color="auto" w:fill="auto"/>
            <w:noWrap/>
            <w:vAlign w:val="bottom"/>
            <w:hideMark/>
          </w:tcPr>
          <w:p w14:paraId="02DD8DCE" w14:textId="77777777" w:rsidR="001F0A32" w:rsidRPr="00431386" w:rsidRDefault="001F0A32" w:rsidP="001F0A32">
            <w:pPr>
              <w:jc w:val="center"/>
              <w:rPr>
                <w:rFonts w:ascii="Book Antiqua" w:hAnsi="Book Antiqua" w:cs="Calibri"/>
                <w:color w:val="000000"/>
                <w:sz w:val="16"/>
                <w:szCs w:val="16"/>
                <w:lang w:eastAsia="es-CR"/>
              </w:rPr>
            </w:pPr>
            <w:r w:rsidRPr="00431386">
              <w:rPr>
                <w:rFonts w:ascii="Book Antiqua" w:hAnsi="Book Antiqua" w:cs="Calibri"/>
                <w:color w:val="000000"/>
                <w:sz w:val="16"/>
                <w:szCs w:val="16"/>
                <w:lang w:eastAsia="es-CR"/>
              </w:rPr>
              <w:t>106 %</w:t>
            </w:r>
          </w:p>
        </w:tc>
      </w:tr>
      <w:tr w:rsidR="001F0A32" w:rsidRPr="00431386" w14:paraId="46712E9B" w14:textId="77777777" w:rsidTr="00431386">
        <w:trPr>
          <w:trHeight w:val="290"/>
          <w:jc w:val="center"/>
        </w:trPr>
        <w:tc>
          <w:tcPr>
            <w:tcW w:w="5103" w:type="dxa"/>
            <w:tcBorders>
              <w:top w:val="nil"/>
              <w:left w:val="single" w:sz="4" w:space="0" w:color="808080"/>
              <w:bottom w:val="single" w:sz="4" w:space="0" w:color="808080"/>
              <w:right w:val="single" w:sz="4" w:space="0" w:color="808080"/>
            </w:tcBorders>
            <w:shd w:val="clear" w:color="auto" w:fill="auto"/>
            <w:noWrap/>
            <w:vAlign w:val="bottom"/>
            <w:hideMark/>
          </w:tcPr>
          <w:p w14:paraId="774EFA98" w14:textId="6385346B" w:rsidR="001F0A32" w:rsidRPr="00431386" w:rsidRDefault="001F0A32" w:rsidP="001F0A32">
            <w:pPr>
              <w:rPr>
                <w:rFonts w:ascii="Book Antiqua" w:hAnsi="Book Antiqua" w:cs="Calibri"/>
                <w:color w:val="000000"/>
                <w:sz w:val="16"/>
                <w:szCs w:val="16"/>
                <w:lang w:eastAsia="es-CR"/>
              </w:rPr>
            </w:pPr>
            <w:r w:rsidRPr="00431386">
              <w:rPr>
                <w:rFonts w:ascii="Book Antiqua" w:hAnsi="Book Antiqua" w:cs="Calibri"/>
                <w:color w:val="000000"/>
                <w:sz w:val="16"/>
                <w:szCs w:val="16"/>
                <w:lang w:eastAsia="es-CR"/>
              </w:rPr>
              <w:t xml:space="preserve">Juzgado Penal de Pococí Guácimo </w:t>
            </w:r>
          </w:p>
        </w:tc>
        <w:tc>
          <w:tcPr>
            <w:tcW w:w="2009" w:type="dxa"/>
            <w:tcBorders>
              <w:top w:val="nil"/>
              <w:left w:val="nil"/>
              <w:bottom w:val="single" w:sz="4" w:space="0" w:color="808080"/>
              <w:right w:val="single" w:sz="4" w:space="0" w:color="808080"/>
            </w:tcBorders>
            <w:shd w:val="clear" w:color="auto" w:fill="auto"/>
            <w:noWrap/>
            <w:vAlign w:val="bottom"/>
            <w:hideMark/>
          </w:tcPr>
          <w:p w14:paraId="2BF08D80" w14:textId="77777777" w:rsidR="001F0A32" w:rsidRPr="00431386" w:rsidRDefault="001F0A32" w:rsidP="001F0A32">
            <w:pPr>
              <w:jc w:val="center"/>
              <w:rPr>
                <w:rFonts w:ascii="Book Antiqua" w:hAnsi="Book Antiqua" w:cs="Calibri"/>
                <w:color w:val="000000"/>
                <w:sz w:val="16"/>
                <w:szCs w:val="16"/>
                <w:lang w:eastAsia="es-CR"/>
              </w:rPr>
            </w:pPr>
            <w:r w:rsidRPr="00431386">
              <w:rPr>
                <w:rFonts w:ascii="Book Antiqua" w:hAnsi="Book Antiqua" w:cs="Calibri"/>
                <w:color w:val="000000"/>
                <w:sz w:val="16"/>
                <w:szCs w:val="16"/>
                <w:lang w:eastAsia="es-CR"/>
              </w:rPr>
              <w:t>104 %</w:t>
            </w:r>
          </w:p>
        </w:tc>
      </w:tr>
      <w:tr w:rsidR="001F0A32" w:rsidRPr="00431386" w14:paraId="679E27AE" w14:textId="77777777" w:rsidTr="00431386">
        <w:trPr>
          <w:trHeight w:val="290"/>
          <w:jc w:val="center"/>
        </w:trPr>
        <w:tc>
          <w:tcPr>
            <w:tcW w:w="5103" w:type="dxa"/>
            <w:tcBorders>
              <w:top w:val="nil"/>
              <w:left w:val="single" w:sz="4" w:space="0" w:color="808080"/>
              <w:bottom w:val="single" w:sz="4" w:space="0" w:color="808080"/>
              <w:right w:val="single" w:sz="4" w:space="0" w:color="808080"/>
            </w:tcBorders>
            <w:shd w:val="clear" w:color="auto" w:fill="auto"/>
            <w:noWrap/>
            <w:vAlign w:val="bottom"/>
            <w:hideMark/>
          </w:tcPr>
          <w:p w14:paraId="7F15D89B" w14:textId="77777777" w:rsidR="001F0A32" w:rsidRPr="00431386" w:rsidRDefault="001F0A32" w:rsidP="001F0A32">
            <w:pPr>
              <w:rPr>
                <w:rFonts w:ascii="Book Antiqua" w:hAnsi="Book Antiqua" w:cs="Calibri"/>
                <w:color w:val="000000"/>
                <w:sz w:val="16"/>
                <w:szCs w:val="16"/>
                <w:lang w:eastAsia="es-CR"/>
              </w:rPr>
            </w:pPr>
            <w:r w:rsidRPr="00431386">
              <w:rPr>
                <w:rFonts w:ascii="Book Antiqua" w:hAnsi="Book Antiqua" w:cs="Calibri"/>
                <w:color w:val="000000"/>
                <w:sz w:val="16"/>
                <w:szCs w:val="16"/>
                <w:lang w:eastAsia="es-CR"/>
              </w:rPr>
              <w:t xml:space="preserve">Juzgado Penal de Puriscal </w:t>
            </w:r>
          </w:p>
        </w:tc>
        <w:tc>
          <w:tcPr>
            <w:tcW w:w="2009" w:type="dxa"/>
            <w:tcBorders>
              <w:top w:val="nil"/>
              <w:left w:val="nil"/>
              <w:bottom w:val="single" w:sz="4" w:space="0" w:color="808080"/>
              <w:right w:val="single" w:sz="4" w:space="0" w:color="808080"/>
            </w:tcBorders>
            <w:shd w:val="clear" w:color="auto" w:fill="auto"/>
            <w:noWrap/>
            <w:vAlign w:val="bottom"/>
            <w:hideMark/>
          </w:tcPr>
          <w:p w14:paraId="0423AC85" w14:textId="77777777" w:rsidR="001F0A32" w:rsidRPr="00431386" w:rsidRDefault="001F0A32" w:rsidP="001F0A32">
            <w:pPr>
              <w:jc w:val="center"/>
              <w:rPr>
                <w:rFonts w:ascii="Book Antiqua" w:hAnsi="Book Antiqua" w:cs="Calibri"/>
                <w:color w:val="000000"/>
                <w:sz w:val="16"/>
                <w:szCs w:val="16"/>
                <w:lang w:eastAsia="es-CR"/>
              </w:rPr>
            </w:pPr>
            <w:r w:rsidRPr="00431386">
              <w:rPr>
                <w:rFonts w:ascii="Book Antiqua" w:hAnsi="Book Antiqua" w:cs="Calibri"/>
                <w:color w:val="000000"/>
                <w:sz w:val="16"/>
                <w:szCs w:val="16"/>
                <w:lang w:eastAsia="es-CR"/>
              </w:rPr>
              <w:t>100 %</w:t>
            </w:r>
          </w:p>
        </w:tc>
      </w:tr>
      <w:tr w:rsidR="001F0A32" w:rsidRPr="00431386" w14:paraId="2934C355" w14:textId="77777777" w:rsidTr="00431386">
        <w:trPr>
          <w:trHeight w:val="290"/>
          <w:jc w:val="center"/>
        </w:trPr>
        <w:tc>
          <w:tcPr>
            <w:tcW w:w="5103" w:type="dxa"/>
            <w:tcBorders>
              <w:top w:val="nil"/>
              <w:left w:val="single" w:sz="4" w:space="0" w:color="808080"/>
              <w:bottom w:val="single" w:sz="4" w:space="0" w:color="808080"/>
              <w:right w:val="single" w:sz="4" w:space="0" w:color="808080"/>
            </w:tcBorders>
            <w:shd w:val="clear" w:color="auto" w:fill="auto"/>
            <w:noWrap/>
            <w:vAlign w:val="bottom"/>
            <w:hideMark/>
          </w:tcPr>
          <w:p w14:paraId="39653559" w14:textId="77777777" w:rsidR="001F0A32" w:rsidRPr="00431386" w:rsidRDefault="001F0A32" w:rsidP="001F0A32">
            <w:pPr>
              <w:rPr>
                <w:rFonts w:ascii="Book Antiqua" w:hAnsi="Book Antiqua" w:cs="Calibri"/>
                <w:color w:val="000000"/>
                <w:sz w:val="16"/>
                <w:szCs w:val="16"/>
                <w:lang w:eastAsia="es-CR"/>
              </w:rPr>
            </w:pPr>
            <w:r w:rsidRPr="00431386">
              <w:rPr>
                <w:rFonts w:ascii="Book Antiqua" w:hAnsi="Book Antiqua" w:cs="Calibri"/>
                <w:color w:val="000000"/>
                <w:sz w:val="16"/>
                <w:szCs w:val="16"/>
                <w:lang w:eastAsia="es-CR"/>
              </w:rPr>
              <w:t xml:space="preserve">Juzgado Penal de San Joaquín de Flores </w:t>
            </w:r>
          </w:p>
        </w:tc>
        <w:tc>
          <w:tcPr>
            <w:tcW w:w="2009" w:type="dxa"/>
            <w:tcBorders>
              <w:top w:val="nil"/>
              <w:left w:val="nil"/>
              <w:bottom w:val="single" w:sz="4" w:space="0" w:color="808080"/>
              <w:right w:val="single" w:sz="4" w:space="0" w:color="808080"/>
            </w:tcBorders>
            <w:shd w:val="clear" w:color="auto" w:fill="auto"/>
            <w:noWrap/>
            <w:vAlign w:val="bottom"/>
            <w:hideMark/>
          </w:tcPr>
          <w:p w14:paraId="7ABC69D3" w14:textId="77777777" w:rsidR="001F0A32" w:rsidRPr="00431386" w:rsidRDefault="001F0A32" w:rsidP="001F0A32">
            <w:pPr>
              <w:jc w:val="center"/>
              <w:rPr>
                <w:rFonts w:ascii="Book Antiqua" w:hAnsi="Book Antiqua" w:cs="Calibri"/>
                <w:color w:val="000000"/>
                <w:sz w:val="16"/>
                <w:szCs w:val="16"/>
                <w:lang w:eastAsia="es-CR"/>
              </w:rPr>
            </w:pPr>
            <w:r w:rsidRPr="00431386">
              <w:rPr>
                <w:rFonts w:ascii="Book Antiqua" w:hAnsi="Book Antiqua" w:cs="Calibri"/>
                <w:color w:val="000000"/>
                <w:sz w:val="16"/>
                <w:szCs w:val="16"/>
                <w:lang w:eastAsia="es-CR"/>
              </w:rPr>
              <w:t>99 %</w:t>
            </w:r>
          </w:p>
        </w:tc>
      </w:tr>
      <w:tr w:rsidR="001F0A32" w:rsidRPr="00431386" w14:paraId="77A2F574" w14:textId="77777777" w:rsidTr="00431386">
        <w:trPr>
          <w:trHeight w:val="290"/>
          <w:jc w:val="center"/>
        </w:trPr>
        <w:tc>
          <w:tcPr>
            <w:tcW w:w="5103" w:type="dxa"/>
            <w:tcBorders>
              <w:top w:val="nil"/>
              <w:left w:val="single" w:sz="4" w:space="0" w:color="808080"/>
              <w:bottom w:val="single" w:sz="4" w:space="0" w:color="808080"/>
              <w:right w:val="single" w:sz="4" w:space="0" w:color="808080"/>
            </w:tcBorders>
            <w:shd w:val="clear" w:color="auto" w:fill="auto"/>
            <w:noWrap/>
            <w:vAlign w:val="bottom"/>
            <w:hideMark/>
          </w:tcPr>
          <w:p w14:paraId="68365B22" w14:textId="77777777" w:rsidR="001F0A32" w:rsidRPr="00431386" w:rsidRDefault="001F0A32" w:rsidP="001F0A32">
            <w:pPr>
              <w:rPr>
                <w:rFonts w:ascii="Book Antiqua" w:hAnsi="Book Antiqua" w:cs="Calibri"/>
                <w:color w:val="000000"/>
                <w:sz w:val="16"/>
                <w:szCs w:val="16"/>
                <w:lang w:eastAsia="es-CR"/>
              </w:rPr>
            </w:pPr>
            <w:r w:rsidRPr="00431386">
              <w:rPr>
                <w:rFonts w:ascii="Book Antiqua" w:hAnsi="Book Antiqua" w:cs="Calibri"/>
                <w:color w:val="000000"/>
                <w:sz w:val="16"/>
                <w:szCs w:val="16"/>
                <w:lang w:eastAsia="es-CR"/>
              </w:rPr>
              <w:t>Juzgado Penal de Puntarenas</w:t>
            </w:r>
          </w:p>
        </w:tc>
        <w:tc>
          <w:tcPr>
            <w:tcW w:w="2009" w:type="dxa"/>
            <w:tcBorders>
              <w:top w:val="nil"/>
              <w:left w:val="nil"/>
              <w:bottom w:val="single" w:sz="4" w:space="0" w:color="808080"/>
              <w:right w:val="single" w:sz="4" w:space="0" w:color="808080"/>
            </w:tcBorders>
            <w:shd w:val="clear" w:color="auto" w:fill="auto"/>
            <w:noWrap/>
            <w:vAlign w:val="bottom"/>
            <w:hideMark/>
          </w:tcPr>
          <w:p w14:paraId="08531D98" w14:textId="77777777" w:rsidR="001F0A32" w:rsidRPr="00431386" w:rsidRDefault="001F0A32" w:rsidP="001F0A32">
            <w:pPr>
              <w:jc w:val="center"/>
              <w:rPr>
                <w:rFonts w:ascii="Book Antiqua" w:hAnsi="Book Antiqua" w:cs="Calibri"/>
                <w:color w:val="000000"/>
                <w:sz w:val="16"/>
                <w:szCs w:val="16"/>
                <w:lang w:eastAsia="es-CR"/>
              </w:rPr>
            </w:pPr>
            <w:r w:rsidRPr="00431386">
              <w:rPr>
                <w:rFonts w:ascii="Book Antiqua" w:hAnsi="Book Antiqua" w:cs="Calibri"/>
                <w:color w:val="000000"/>
                <w:sz w:val="16"/>
                <w:szCs w:val="16"/>
                <w:lang w:eastAsia="es-CR"/>
              </w:rPr>
              <w:t>93 %</w:t>
            </w:r>
          </w:p>
        </w:tc>
      </w:tr>
      <w:tr w:rsidR="001F0A32" w:rsidRPr="00431386" w14:paraId="7851D78C" w14:textId="77777777" w:rsidTr="00431386">
        <w:trPr>
          <w:trHeight w:val="290"/>
          <w:jc w:val="center"/>
        </w:trPr>
        <w:tc>
          <w:tcPr>
            <w:tcW w:w="5103" w:type="dxa"/>
            <w:tcBorders>
              <w:top w:val="nil"/>
              <w:left w:val="single" w:sz="4" w:space="0" w:color="808080"/>
              <w:bottom w:val="single" w:sz="4" w:space="0" w:color="808080"/>
              <w:right w:val="single" w:sz="4" w:space="0" w:color="808080"/>
            </w:tcBorders>
            <w:shd w:val="clear" w:color="auto" w:fill="auto"/>
            <w:noWrap/>
            <w:vAlign w:val="bottom"/>
            <w:hideMark/>
          </w:tcPr>
          <w:p w14:paraId="41AF6DE8" w14:textId="5DF444AE" w:rsidR="001F0A32" w:rsidRPr="00431386" w:rsidRDefault="001F0A32" w:rsidP="001F0A32">
            <w:pPr>
              <w:rPr>
                <w:rFonts w:ascii="Book Antiqua" w:hAnsi="Book Antiqua" w:cs="Calibri"/>
                <w:color w:val="000000"/>
                <w:sz w:val="16"/>
                <w:szCs w:val="16"/>
                <w:lang w:eastAsia="es-CR"/>
              </w:rPr>
            </w:pPr>
            <w:r w:rsidRPr="00431386">
              <w:rPr>
                <w:rFonts w:ascii="Book Antiqua" w:hAnsi="Book Antiqua" w:cs="Calibri"/>
                <w:color w:val="000000"/>
                <w:sz w:val="16"/>
                <w:szCs w:val="16"/>
                <w:lang w:eastAsia="es-CR"/>
              </w:rPr>
              <w:t xml:space="preserve">Juzgado Penal </w:t>
            </w:r>
            <w:r w:rsidR="00431386" w:rsidRPr="00431386">
              <w:rPr>
                <w:rFonts w:ascii="Book Antiqua" w:hAnsi="Book Antiqua" w:cs="Calibri"/>
                <w:color w:val="000000"/>
                <w:sz w:val="16"/>
                <w:szCs w:val="16"/>
                <w:lang w:eastAsia="es-CR"/>
              </w:rPr>
              <w:t>III</w:t>
            </w:r>
            <w:r w:rsidRPr="00431386">
              <w:rPr>
                <w:rFonts w:ascii="Book Antiqua" w:hAnsi="Book Antiqua" w:cs="Calibri"/>
                <w:color w:val="000000"/>
                <w:sz w:val="16"/>
                <w:szCs w:val="16"/>
                <w:lang w:eastAsia="es-CR"/>
              </w:rPr>
              <w:t xml:space="preserve"> Circuito Judicial de Alajuela </w:t>
            </w:r>
          </w:p>
        </w:tc>
        <w:tc>
          <w:tcPr>
            <w:tcW w:w="2009" w:type="dxa"/>
            <w:tcBorders>
              <w:top w:val="nil"/>
              <w:left w:val="nil"/>
              <w:bottom w:val="single" w:sz="4" w:space="0" w:color="808080"/>
              <w:right w:val="single" w:sz="4" w:space="0" w:color="808080"/>
            </w:tcBorders>
            <w:shd w:val="clear" w:color="auto" w:fill="auto"/>
            <w:noWrap/>
            <w:vAlign w:val="bottom"/>
            <w:hideMark/>
          </w:tcPr>
          <w:p w14:paraId="02184669" w14:textId="77777777" w:rsidR="001F0A32" w:rsidRPr="00431386" w:rsidRDefault="001F0A32" w:rsidP="001F0A32">
            <w:pPr>
              <w:jc w:val="center"/>
              <w:rPr>
                <w:rFonts w:ascii="Book Antiqua" w:hAnsi="Book Antiqua" w:cs="Calibri"/>
                <w:color w:val="000000"/>
                <w:sz w:val="16"/>
                <w:szCs w:val="16"/>
                <w:lang w:eastAsia="es-CR"/>
              </w:rPr>
            </w:pPr>
            <w:r w:rsidRPr="00431386">
              <w:rPr>
                <w:rFonts w:ascii="Book Antiqua" w:hAnsi="Book Antiqua" w:cs="Calibri"/>
                <w:color w:val="000000"/>
                <w:sz w:val="16"/>
                <w:szCs w:val="16"/>
                <w:lang w:eastAsia="es-CR"/>
              </w:rPr>
              <w:t>87 %</w:t>
            </w:r>
          </w:p>
        </w:tc>
      </w:tr>
      <w:tr w:rsidR="001F0A32" w:rsidRPr="00431386" w14:paraId="3B44DFA7" w14:textId="77777777" w:rsidTr="00431386">
        <w:trPr>
          <w:trHeight w:val="290"/>
          <w:jc w:val="center"/>
        </w:trPr>
        <w:tc>
          <w:tcPr>
            <w:tcW w:w="5103" w:type="dxa"/>
            <w:tcBorders>
              <w:top w:val="nil"/>
              <w:left w:val="single" w:sz="4" w:space="0" w:color="808080"/>
              <w:bottom w:val="single" w:sz="4" w:space="0" w:color="808080"/>
              <w:right w:val="single" w:sz="4" w:space="0" w:color="808080"/>
            </w:tcBorders>
            <w:shd w:val="clear" w:color="auto" w:fill="auto"/>
            <w:noWrap/>
            <w:vAlign w:val="bottom"/>
            <w:hideMark/>
          </w:tcPr>
          <w:p w14:paraId="76C718E9" w14:textId="77777777" w:rsidR="001F0A32" w:rsidRPr="00431386" w:rsidRDefault="001F0A32" w:rsidP="001F0A32">
            <w:pPr>
              <w:rPr>
                <w:rFonts w:ascii="Book Antiqua" w:hAnsi="Book Antiqua" w:cs="Calibri"/>
                <w:color w:val="000000"/>
                <w:sz w:val="16"/>
                <w:szCs w:val="16"/>
                <w:lang w:eastAsia="es-CR"/>
              </w:rPr>
            </w:pPr>
            <w:r w:rsidRPr="00431386">
              <w:rPr>
                <w:rFonts w:ascii="Book Antiqua" w:hAnsi="Book Antiqua" w:cs="Calibri"/>
                <w:color w:val="000000"/>
                <w:sz w:val="16"/>
                <w:szCs w:val="16"/>
                <w:lang w:eastAsia="es-CR"/>
              </w:rPr>
              <w:t xml:space="preserve">Juzgado Penal de Garabito </w:t>
            </w:r>
          </w:p>
        </w:tc>
        <w:tc>
          <w:tcPr>
            <w:tcW w:w="2009" w:type="dxa"/>
            <w:tcBorders>
              <w:top w:val="nil"/>
              <w:left w:val="nil"/>
              <w:bottom w:val="single" w:sz="4" w:space="0" w:color="808080"/>
              <w:right w:val="single" w:sz="4" w:space="0" w:color="808080"/>
            </w:tcBorders>
            <w:shd w:val="clear" w:color="auto" w:fill="auto"/>
            <w:noWrap/>
            <w:vAlign w:val="bottom"/>
            <w:hideMark/>
          </w:tcPr>
          <w:p w14:paraId="4F138793" w14:textId="77777777" w:rsidR="001F0A32" w:rsidRPr="00431386" w:rsidRDefault="001F0A32" w:rsidP="001F0A32">
            <w:pPr>
              <w:jc w:val="center"/>
              <w:rPr>
                <w:rFonts w:ascii="Book Antiqua" w:hAnsi="Book Antiqua" w:cs="Calibri"/>
                <w:color w:val="000000"/>
                <w:sz w:val="16"/>
                <w:szCs w:val="16"/>
                <w:lang w:eastAsia="es-CR"/>
              </w:rPr>
            </w:pPr>
            <w:r w:rsidRPr="00431386">
              <w:rPr>
                <w:rFonts w:ascii="Book Antiqua" w:hAnsi="Book Antiqua" w:cs="Calibri"/>
                <w:color w:val="000000"/>
                <w:sz w:val="16"/>
                <w:szCs w:val="16"/>
                <w:lang w:eastAsia="es-CR"/>
              </w:rPr>
              <w:t>80 %</w:t>
            </w:r>
          </w:p>
        </w:tc>
      </w:tr>
      <w:tr w:rsidR="001F0A32" w:rsidRPr="00431386" w14:paraId="4C1BA6BF" w14:textId="77777777" w:rsidTr="00431386">
        <w:trPr>
          <w:trHeight w:val="290"/>
          <w:jc w:val="center"/>
        </w:trPr>
        <w:tc>
          <w:tcPr>
            <w:tcW w:w="5103" w:type="dxa"/>
            <w:tcBorders>
              <w:top w:val="nil"/>
              <w:left w:val="single" w:sz="4" w:space="0" w:color="808080"/>
              <w:bottom w:val="single" w:sz="4" w:space="0" w:color="808080"/>
              <w:right w:val="single" w:sz="4" w:space="0" w:color="808080"/>
            </w:tcBorders>
            <w:shd w:val="clear" w:color="auto" w:fill="auto"/>
            <w:noWrap/>
            <w:vAlign w:val="bottom"/>
            <w:hideMark/>
          </w:tcPr>
          <w:p w14:paraId="5C44EDEC" w14:textId="77777777" w:rsidR="001F0A32" w:rsidRPr="00431386" w:rsidRDefault="001F0A32" w:rsidP="001F0A32">
            <w:pPr>
              <w:rPr>
                <w:rFonts w:ascii="Book Antiqua" w:hAnsi="Book Antiqua" w:cs="Calibri"/>
                <w:color w:val="000000"/>
                <w:sz w:val="16"/>
                <w:szCs w:val="16"/>
                <w:lang w:eastAsia="es-CR"/>
              </w:rPr>
            </w:pPr>
            <w:r w:rsidRPr="00431386">
              <w:rPr>
                <w:rFonts w:ascii="Book Antiqua" w:hAnsi="Book Antiqua" w:cs="Calibri"/>
                <w:color w:val="000000"/>
                <w:sz w:val="16"/>
                <w:szCs w:val="16"/>
                <w:lang w:eastAsia="es-CR"/>
              </w:rPr>
              <w:t>Juzgado Penal de Batán</w:t>
            </w:r>
          </w:p>
        </w:tc>
        <w:tc>
          <w:tcPr>
            <w:tcW w:w="2009" w:type="dxa"/>
            <w:tcBorders>
              <w:top w:val="nil"/>
              <w:left w:val="nil"/>
              <w:bottom w:val="single" w:sz="4" w:space="0" w:color="808080"/>
              <w:right w:val="single" w:sz="4" w:space="0" w:color="808080"/>
            </w:tcBorders>
            <w:shd w:val="clear" w:color="auto" w:fill="auto"/>
            <w:noWrap/>
            <w:vAlign w:val="bottom"/>
            <w:hideMark/>
          </w:tcPr>
          <w:p w14:paraId="5B6851EC" w14:textId="77777777" w:rsidR="001F0A32" w:rsidRPr="00431386" w:rsidRDefault="001F0A32" w:rsidP="001F0A32">
            <w:pPr>
              <w:jc w:val="center"/>
              <w:rPr>
                <w:rFonts w:ascii="Book Antiqua" w:hAnsi="Book Antiqua" w:cs="Calibri"/>
                <w:color w:val="000000"/>
                <w:sz w:val="16"/>
                <w:szCs w:val="16"/>
                <w:lang w:eastAsia="es-CR"/>
              </w:rPr>
            </w:pPr>
            <w:r w:rsidRPr="00431386">
              <w:rPr>
                <w:rFonts w:ascii="Book Antiqua" w:hAnsi="Book Antiqua" w:cs="Calibri"/>
                <w:color w:val="000000"/>
                <w:sz w:val="16"/>
                <w:szCs w:val="16"/>
                <w:lang w:eastAsia="es-CR"/>
              </w:rPr>
              <w:t>79 %</w:t>
            </w:r>
          </w:p>
        </w:tc>
      </w:tr>
      <w:tr w:rsidR="001F0A32" w:rsidRPr="00431386" w14:paraId="5418605A" w14:textId="77777777" w:rsidTr="00431386">
        <w:trPr>
          <w:trHeight w:val="290"/>
          <w:jc w:val="center"/>
        </w:trPr>
        <w:tc>
          <w:tcPr>
            <w:tcW w:w="5103" w:type="dxa"/>
            <w:tcBorders>
              <w:top w:val="nil"/>
              <w:left w:val="single" w:sz="4" w:space="0" w:color="808080"/>
              <w:bottom w:val="single" w:sz="4" w:space="0" w:color="808080"/>
              <w:right w:val="single" w:sz="4" w:space="0" w:color="808080"/>
            </w:tcBorders>
            <w:shd w:val="clear" w:color="auto" w:fill="auto"/>
            <w:noWrap/>
            <w:vAlign w:val="bottom"/>
            <w:hideMark/>
          </w:tcPr>
          <w:p w14:paraId="5BD8C953" w14:textId="77777777" w:rsidR="001F0A32" w:rsidRPr="00431386" w:rsidRDefault="001F0A32" w:rsidP="001F0A32">
            <w:pPr>
              <w:rPr>
                <w:rFonts w:ascii="Book Antiqua" w:hAnsi="Book Antiqua" w:cs="Calibri"/>
                <w:color w:val="000000"/>
                <w:sz w:val="16"/>
                <w:szCs w:val="16"/>
                <w:lang w:eastAsia="es-CR"/>
              </w:rPr>
            </w:pPr>
            <w:r w:rsidRPr="00431386">
              <w:rPr>
                <w:rFonts w:ascii="Book Antiqua" w:hAnsi="Book Antiqua" w:cs="Calibri"/>
                <w:color w:val="000000"/>
                <w:sz w:val="16"/>
                <w:szCs w:val="16"/>
                <w:lang w:eastAsia="es-CR"/>
              </w:rPr>
              <w:t>Juzgado Penal del I Circuito Judicial de Guanacaste</w:t>
            </w:r>
          </w:p>
        </w:tc>
        <w:tc>
          <w:tcPr>
            <w:tcW w:w="2009" w:type="dxa"/>
            <w:tcBorders>
              <w:top w:val="nil"/>
              <w:left w:val="nil"/>
              <w:bottom w:val="single" w:sz="4" w:space="0" w:color="808080"/>
              <w:right w:val="single" w:sz="4" w:space="0" w:color="808080"/>
            </w:tcBorders>
            <w:shd w:val="clear" w:color="auto" w:fill="auto"/>
            <w:noWrap/>
            <w:vAlign w:val="bottom"/>
            <w:hideMark/>
          </w:tcPr>
          <w:p w14:paraId="26B04A1F" w14:textId="77777777" w:rsidR="001F0A32" w:rsidRPr="00431386" w:rsidRDefault="001F0A32" w:rsidP="001F0A32">
            <w:pPr>
              <w:jc w:val="center"/>
              <w:rPr>
                <w:rFonts w:ascii="Book Antiqua" w:hAnsi="Book Antiqua" w:cs="Calibri"/>
                <w:color w:val="000000"/>
                <w:sz w:val="16"/>
                <w:szCs w:val="16"/>
                <w:lang w:eastAsia="es-CR"/>
              </w:rPr>
            </w:pPr>
            <w:r w:rsidRPr="00431386">
              <w:rPr>
                <w:rFonts w:ascii="Book Antiqua" w:hAnsi="Book Antiqua" w:cs="Calibri"/>
                <w:color w:val="000000"/>
                <w:sz w:val="16"/>
                <w:szCs w:val="16"/>
                <w:lang w:eastAsia="es-CR"/>
              </w:rPr>
              <w:t>76 %</w:t>
            </w:r>
          </w:p>
        </w:tc>
      </w:tr>
      <w:tr w:rsidR="001F0A32" w:rsidRPr="00431386" w14:paraId="25F64F15" w14:textId="77777777" w:rsidTr="00431386">
        <w:trPr>
          <w:trHeight w:val="290"/>
          <w:jc w:val="center"/>
        </w:trPr>
        <w:tc>
          <w:tcPr>
            <w:tcW w:w="5103" w:type="dxa"/>
            <w:tcBorders>
              <w:top w:val="nil"/>
              <w:left w:val="single" w:sz="4" w:space="0" w:color="808080"/>
              <w:bottom w:val="single" w:sz="4" w:space="0" w:color="808080"/>
              <w:right w:val="single" w:sz="4" w:space="0" w:color="808080"/>
            </w:tcBorders>
            <w:shd w:val="clear" w:color="auto" w:fill="auto"/>
            <w:noWrap/>
            <w:vAlign w:val="bottom"/>
            <w:hideMark/>
          </w:tcPr>
          <w:p w14:paraId="46353569" w14:textId="77777777" w:rsidR="001F0A32" w:rsidRPr="00431386" w:rsidRDefault="001F0A32" w:rsidP="001F0A32">
            <w:pPr>
              <w:rPr>
                <w:rFonts w:ascii="Book Antiqua" w:hAnsi="Book Antiqua" w:cs="Calibri"/>
                <w:color w:val="000000"/>
                <w:sz w:val="16"/>
                <w:szCs w:val="16"/>
                <w:lang w:eastAsia="es-CR"/>
              </w:rPr>
            </w:pPr>
            <w:r w:rsidRPr="00431386">
              <w:rPr>
                <w:rFonts w:ascii="Book Antiqua" w:hAnsi="Book Antiqua" w:cs="Calibri"/>
                <w:color w:val="000000"/>
                <w:sz w:val="16"/>
                <w:szCs w:val="16"/>
                <w:lang w:eastAsia="es-CR"/>
              </w:rPr>
              <w:t>Juzgado Penal del I Circuito Judicial de Alajuela</w:t>
            </w:r>
          </w:p>
        </w:tc>
        <w:tc>
          <w:tcPr>
            <w:tcW w:w="2009" w:type="dxa"/>
            <w:tcBorders>
              <w:top w:val="nil"/>
              <w:left w:val="nil"/>
              <w:bottom w:val="single" w:sz="4" w:space="0" w:color="808080"/>
              <w:right w:val="single" w:sz="4" w:space="0" w:color="808080"/>
            </w:tcBorders>
            <w:shd w:val="clear" w:color="auto" w:fill="auto"/>
            <w:noWrap/>
            <w:vAlign w:val="bottom"/>
            <w:hideMark/>
          </w:tcPr>
          <w:p w14:paraId="024ED963" w14:textId="77777777" w:rsidR="001F0A32" w:rsidRPr="00431386" w:rsidRDefault="001F0A32" w:rsidP="001F0A32">
            <w:pPr>
              <w:jc w:val="center"/>
              <w:rPr>
                <w:rFonts w:ascii="Book Antiqua" w:hAnsi="Book Antiqua" w:cs="Calibri"/>
                <w:color w:val="000000"/>
                <w:sz w:val="16"/>
                <w:szCs w:val="16"/>
                <w:lang w:eastAsia="es-CR"/>
              </w:rPr>
            </w:pPr>
            <w:r w:rsidRPr="00431386">
              <w:rPr>
                <w:rFonts w:ascii="Book Antiqua" w:hAnsi="Book Antiqua" w:cs="Calibri"/>
                <w:color w:val="000000"/>
                <w:sz w:val="16"/>
                <w:szCs w:val="16"/>
                <w:lang w:eastAsia="es-CR"/>
              </w:rPr>
              <w:t>70 %</w:t>
            </w:r>
          </w:p>
        </w:tc>
      </w:tr>
      <w:tr w:rsidR="001F0A32" w:rsidRPr="00431386" w14:paraId="103E9A9D" w14:textId="77777777" w:rsidTr="00431386">
        <w:trPr>
          <w:trHeight w:val="290"/>
          <w:jc w:val="center"/>
        </w:trPr>
        <w:tc>
          <w:tcPr>
            <w:tcW w:w="5103" w:type="dxa"/>
            <w:tcBorders>
              <w:top w:val="nil"/>
              <w:left w:val="single" w:sz="4" w:space="0" w:color="808080"/>
              <w:bottom w:val="single" w:sz="4" w:space="0" w:color="808080"/>
              <w:right w:val="single" w:sz="4" w:space="0" w:color="808080"/>
            </w:tcBorders>
            <w:shd w:val="clear" w:color="auto" w:fill="auto"/>
            <w:noWrap/>
            <w:vAlign w:val="bottom"/>
            <w:hideMark/>
          </w:tcPr>
          <w:p w14:paraId="7544A13C" w14:textId="77777777" w:rsidR="001F0A32" w:rsidRPr="00431386" w:rsidRDefault="001F0A32" w:rsidP="001F0A32">
            <w:pPr>
              <w:rPr>
                <w:rFonts w:ascii="Book Antiqua" w:hAnsi="Book Antiqua" w:cs="Calibri"/>
                <w:color w:val="000000"/>
                <w:sz w:val="16"/>
                <w:szCs w:val="16"/>
                <w:lang w:eastAsia="es-CR"/>
              </w:rPr>
            </w:pPr>
            <w:r w:rsidRPr="00431386">
              <w:rPr>
                <w:rFonts w:ascii="Book Antiqua" w:hAnsi="Book Antiqua" w:cs="Calibri"/>
                <w:color w:val="000000"/>
                <w:sz w:val="16"/>
                <w:szCs w:val="16"/>
                <w:lang w:eastAsia="es-CR"/>
              </w:rPr>
              <w:t xml:space="preserve">Juzgado Penal de Coto Brus </w:t>
            </w:r>
          </w:p>
        </w:tc>
        <w:tc>
          <w:tcPr>
            <w:tcW w:w="2009" w:type="dxa"/>
            <w:tcBorders>
              <w:top w:val="nil"/>
              <w:left w:val="nil"/>
              <w:bottom w:val="single" w:sz="4" w:space="0" w:color="808080"/>
              <w:right w:val="single" w:sz="4" w:space="0" w:color="808080"/>
            </w:tcBorders>
            <w:shd w:val="clear" w:color="auto" w:fill="auto"/>
            <w:noWrap/>
            <w:vAlign w:val="bottom"/>
            <w:hideMark/>
          </w:tcPr>
          <w:p w14:paraId="64EA6C03" w14:textId="77777777" w:rsidR="001F0A32" w:rsidRPr="00431386" w:rsidRDefault="001F0A32" w:rsidP="001F0A32">
            <w:pPr>
              <w:jc w:val="center"/>
              <w:rPr>
                <w:rFonts w:ascii="Book Antiqua" w:hAnsi="Book Antiqua" w:cs="Calibri"/>
                <w:color w:val="000000"/>
                <w:sz w:val="16"/>
                <w:szCs w:val="16"/>
                <w:lang w:eastAsia="es-CR"/>
              </w:rPr>
            </w:pPr>
            <w:r w:rsidRPr="00431386">
              <w:rPr>
                <w:rFonts w:ascii="Book Antiqua" w:hAnsi="Book Antiqua" w:cs="Calibri"/>
                <w:color w:val="000000"/>
                <w:sz w:val="16"/>
                <w:szCs w:val="16"/>
                <w:lang w:eastAsia="es-CR"/>
              </w:rPr>
              <w:t>70 %</w:t>
            </w:r>
          </w:p>
        </w:tc>
      </w:tr>
      <w:tr w:rsidR="001F0A32" w:rsidRPr="00431386" w14:paraId="10E3C81B" w14:textId="77777777" w:rsidTr="00431386">
        <w:trPr>
          <w:trHeight w:val="290"/>
          <w:jc w:val="center"/>
        </w:trPr>
        <w:tc>
          <w:tcPr>
            <w:tcW w:w="5103" w:type="dxa"/>
            <w:tcBorders>
              <w:top w:val="nil"/>
              <w:left w:val="single" w:sz="4" w:space="0" w:color="808080"/>
              <w:bottom w:val="single" w:sz="4" w:space="0" w:color="808080"/>
              <w:right w:val="single" w:sz="4" w:space="0" w:color="808080"/>
            </w:tcBorders>
            <w:shd w:val="clear" w:color="auto" w:fill="auto"/>
            <w:noWrap/>
            <w:vAlign w:val="bottom"/>
            <w:hideMark/>
          </w:tcPr>
          <w:p w14:paraId="4CBE459D" w14:textId="1A28C3D9" w:rsidR="001F0A32" w:rsidRPr="00431386" w:rsidRDefault="001F0A32" w:rsidP="001F0A32">
            <w:pPr>
              <w:rPr>
                <w:rFonts w:ascii="Book Antiqua" w:hAnsi="Book Antiqua" w:cs="Calibri"/>
                <w:color w:val="000000"/>
                <w:sz w:val="16"/>
                <w:szCs w:val="16"/>
                <w:lang w:eastAsia="es-CR"/>
              </w:rPr>
            </w:pPr>
            <w:r w:rsidRPr="00431386">
              <w:rPr>
                <w:rFonts w:ascii="Book Antiqua" w:hAnsi="Book Antiqua" w:cs="Calibri"/>
                <w:color w:val="000000"/>
                <w:sz w:val="16"/>
                <w:szCs w:val="16"/>
                <w:lang w:eastAsia="es-CR"/>
              </w:rPr>
              <w:t xml:space="preserve">Juzgado Penal del </w:t>
            </w:r>
            <w:r w:rsidR="005E16D4" w:rsidRPr="00431386">
              <w:rPr>
                <w:rFonts w:ascii="Book Antiqua" w:hAnsi="Book Antiqua" w:cs="Calibri"/>
                <w:color w:val="000000"/>
                <w:sz w:val="16"/>
                <w:szCs w:val="16"/>
                <w:lang w:eastAsia="es-CR"/>
              </w:rPr>
              <w:t>II</w:t>
            </w:r>
            <w:r w:rsidRPr="00431386">
              <w:rPr>
                <w:rFonts w:ascii="Book Antiqua" w:hAnsi="Book Antiqua" w:cs="Calibri"/>
                <w:color w:val="000000"/>
                <w:sz w:val="16"/>
                <w:szCs w:val="16"/>
                <w:lang w:eastAsia="es-CR"/>
              </w:rPr>
              <w:t xml:space="preserve"> Circuito Judicial de San José </w:t>
            </w:r>
          </w:p>
        </w:tc>
        <w:tc>
          <w:tcPr>
            <w:tcW w:w="2009" w:type="dxa"/>
            <w:tcBorders>
              <w:top w:val="nil"/>
              <w:left w:val="nil"/>
              <w:bottom w:val="single" w:sz="4" w:space="0" w:color="808080"/>
              <w:right w:val="single" w:sz="4" w:space="0" w:color="808080"/>
            </w:tcBorders>
            <w:shd w:val="clear" w:color="auto" w:fill="auto"/>
            <w:noWrap/>
            <w:vAlign w:val="bottom"/>
            <w:hideMark/>
          </w:tcPr>
          <w:p w14:paraId="3A8163F0" w14:textId="77777777" w:rsidR="001F0A32" w:rsidRPr="00431386" w:rsidRDefault="001F0A32" w:rsidP="001F0A32">
            <w:pPr>
              <w:jc w:val="center"/>
              <w:rPr>
                <w:rFonts w:ascii="Book Antiqua" w:hAnsi="Book Antiqua" w:cs="Calibri"/>
                <w:color w:val="000000"/>
                <w:sz w:val="16"/>
                <w:szCs w:val="16"/>
                <w:lang w:eastAsia="es-CR"/>
              </w:rPr>
            </w:pPr>
            <w:r w:rsidRPr="00431386">
              <w:rPr>
                <w:rFonts w:ascii="Book Antiqua" w:hAnsi="Book Antiqua" w:cs="Calibri"/>
                <w:color w:val="000000"/>
                <w:sz w:val="16"/>
                <w:szCs w:val="16"/>
                <w:lang w:eastAsia="es-CR"/>
              </w:rPr>
              <w:t>67 %</w:t>
            </w:r>
          </w:p>
        </w:tc>
      </w:tr>
      <w:tr w:rsidR="001F0A32" w:rsidRPr="00431386" w14:paraId="53F6EBF0" w14:textId="77777777" w:rsidTr="00431386">
        <w:trPr>
          <w:trHeight w:val="290"/>
          <w:jc w:val="center"/>
        </w:trPr>
        <w:tc>
          <w:tcPr>
            <w:tcW w:w="5103" w:type="dxa"/>
            <w:tcBorders>
              <w:top w:val="nil"/>
              <w:left w:val="single" w:sz="4" w:space="0" w:color="808080"/>
              <w:bottom w:val="single" w:sz="4" w:space="0" w:color="808080"/>
              <w:right w:val="single" w:sz="4" w:space="0" w:color="808080"/>
            </w:tcBorders>
            <w:shd w:val="clear" w:color="auto" w:fill="auto"/>
            <w:noWrap/>
            <w:vAlign w:val="bottom"/>
            <w:hideMark/>
          </w:tcPr>
          <w:p w14:paraId="0D806617" w14:textId="50ED8E70" w:rsidR="001F0A32" w:rsidRPr="00431386" w:rsidRDefault="001F0A32" w:rsidP="001F0A32">
            <w:pPr>
              <w:rPr>
                <w:rFonts w:ascii="Book Antiqua" w:hAnsi="Book Antiqua" w:cs="Calibri"/>
                <w:color w:val="000000"/>
                <w:sz w:val="16"/>
                <w:szCs w:val="16"/>
                <w:lang w:eastAsia="es-CR"/>
              </w:rPr>
            </w:pPr>
            <w:r w:rsidRPr="00431386">
              <w:rPr>
                <w:rFonts w:ascii="Book Antiqua" w:hAnsi="Book Antiqua" w:cs="Calibri"/>
                <w:color w:val="000000"/>
                <w:sz w:val="16"/>
                <w:szCs w:val="16"/>
                <w:lang w:eastAsia="es-CR"/>
              </w:rPr>
              <w:t xml:space="preserve">Juzgado Penal del </w:t>
            </w:r>
            <w:r w:rsidR="005E16D4" w:rsidRPr="00431386">
              <w:rPr>
                <w:rFonts w:ascii="Book Antiqua" w:hAnsi="Book Antiqua" w:cs="Calibri"/>
                <w:color w:val="000000"/>
                <w:sz w:val="16"/>
                <w:szCs w:val="16"/>
                <w:lang w:eastAsia="es-CR"/>
              </w:rPr>
              <w:t>II</w:t>
            </w:r>
            <w:r w:rsidRPr="00431386">
              <w:rPr>
                <w:rFonts w:ascii="Book Antiqua" w:hAnsi="Book Antiqua" w:cs="Calibri"/>
                <w:color w:val="000000"/>
                <w:sz w:val="16"/>
                <w:szCs w:val="16"/>
                <w:lang w:eastAsia="es-CR"/>
              </w:rPr>
              <w:t xml:space="preserve"> Circuito Judicial de La Zona Sur </w:t>
            </w:r>
          </w:p>
        </w:tc>
        <w:tc>
          <w:tcPr>
            <w:tcW w:w="2009" w:type="dxa"/>
            <w:tcBorders>
              <w:top w:val="nil"/>
              <w:left w:val="nil"/>
              <w:bottom w:val="single" w:sz="4" w:space="0" w:color="808080"/>
              <w:right w:val="single" w:sz="4" w:space="0" w:color="808080"/>
            </w:tcBorders>
            <w:shd w:val="clear" w:color="auto" w:fill="auto"/>
            <w:noWrap/>
            <w:vAlign w:val="bottom"/>
            <w:hideMark/>
          </w:tcPr>
          <w:p w14:paraId="11D92F44" w14:textId="77777777" w:rsidR="001F0A32" w:rsidRPr="00431386" w:rsidRDefault="001F0A32" w:rsidP="001F0A32">
            <w:pPr>
              <w:jc w:val="center"/>
              <w:rPr>
                <w:rFonts w:ascii="Book Antiqua" w:hAnsi="Book Antiqua" w:cs="Calibri"/>
                <w:color w:val="000000"/>
                <w:sz w:val="16"/>
                <w:szCs w:val="16"/>
                <w:lang w:eastAsia="es-CR"/>
              </w:rPr>
            </w:pPr>
            <w:r w:rsidRPr="00431386">
              <w:rPr>
                <w:rFonts w:ascii="Book Antiqua" w:hAnsi="Book Antiqua" w:cs="Calibri"/>
                <w:color w:val="000000"/>
                <w:sz w:val="16"/>
                <w:szCs w:val="16"/>
                <w:lang w:eastAsia="es-CR"/>
              </w:rPr>
              <w:t>64 %</w:t>
            </w:r>
          </w:p>
        </w:tc>
      </w:tr>
      <w:tr w:rsidR="001F0A32" w:rsidRPr="00431386" w14:paraId="5F4F0115" w14:textId="77777777" w:rsidTr="00431386">
        <w:trPr>
          <w:trHeight w:val="290"/>
          <w:jc w:val="center"/>
        </w:trPr>
        <w:tc>
          <w:tcPr>
            <w:tcW w:w="5103" w:type="dxa"/>
            <w:tcBorders>
              <w:top w:val="nil"/>
              <w:left w:val="single" w:sz="4" w:space="0" w:color="808080"/>
              <w:bottom w:val="single" w:sz="4" w:space="0" w:color="808080"/>
              <w:right w:val="single" w:sz="4" w:space="0" w:color="808080"/>
            </w:tcBorders>
            <w:shd w:val="clear" w:color="auto" w:fill="auto"/>
            <w:noWrap/>
            <w:vAlign w:val="bottom"/>
            <w:hideMark/>
          </w:tcPr>
          <w:p w14:paraId="42C644C8" w14:textId="77777777" w:rsidR="001F0A32" w:rsidRPr="00431386" w:rsidRDefault="001F0A32" w:rsidP="001F0A32">
            <w:pPr>
              <w:rPr>
                <w:rFonts w:ascii="Book Antiqua" w:hAnsi="Book Antiqua" w:cs="Calibri"/>
                <w:color w:val="000000"/>
                <w:sz w:val="16"/>
                <w:szCs w:val="16"/>
                <w:lang w:eastAsia="es-CR"/>
              </w:rPr>
            </w:pPr>
            <w:r w:rsidRPr="00431386">
              <w:rPr>
                <w:rFonts w:ascii="Book Antiqua" w:hAnsi="Book Antiqua" w:cs="Calibri"/>
                <w:color w:val="000000"/>
                <w:sz w:val="16"/>
                <w:szCs w:val="16"/>
                <w:lang w:eastAsia="es-CR"/>
              </w:rPr>
              <w:t>Juzgado Penal de Puntarenas, Sede Cóbano</w:t>
            </w:r>
          </w:p>
        </w:tc>
        <w:tc>
          <w:tcPr>
            <w:tcW w:w="2009" w:type="dxa"/>
            <w:tcBorders>
              <w:top w:val="nil"/>
              <w:left w:val="nil"/>
              <w:bottom w:val="single" w:sz="4" w:space="0" w:color="808080"/>
              <w:right w:val="single" w:sz="4" w:space="0" w:color="808080"/>
            </w:tcBorders>
            <w:shd w:val="clear" w:color="auto" w:fill="auto"/>
            <w:noWrap/>
            <w:vAlign w:val="bottom"/>
            <w:hideMark/>
          </w:tcPr>
          <w:p w14:paraId="4B498A64" w14:textId="77777777" w:rsidR="001F0A32" w:rsidRPr="00431386" w:rsidRDefault="001F0A32" w:rsidP="001F0A32">
            <w:pPr>
              <w:jc w:val="center"/>
              <w:rPr>
                <w:rFonts w:ascii="Book Antiqua" w:hAnsi="Book Antiqua" w:cs="Calibri"/>
                <w:color w:val="000000"/>
                <w:sz w:val="16"/>
                <w:szCs w:val="16"/>
                <w:lang w:eastAsia="es-CR"/>
              </w:rPr>
            </w:pPr>
            <w:r w:rsidRPr="00431386">
              <w:rPr>
                <w:rFonts w:ascii="Book Antiqua" w:hAnsi="Book Antiqua" w:cs="Calibri"/>
                <w:color w:val="000000"/>
                <w:sz w:val="16"/>
                <w:szCs w:val="16"/>
                <w:lang w:eastAsia="es-CR"/>
              </w:rPr>
              <w:t>63 %</w:t>
            </w:r>
          </w:p>
        </w:tc>
      </w:tr>
      <w:tr w:rsidR="001F0A32" w:rsidRPr="00431386" w14:paraId="7C83F491" w14:textId="77777777" w:rsidTr="00431386">
        <w:trPr>
          <w:trHeight w:val="290"/>
          <w:jc w:val="center"/>
        </w:trPr>
        <w:tc>
          <w:tcPr>
            <w:tcW w:w="5103" w:type="dxa"/>
            <w:tcBorders>
              <w:top w:val="nil"/>
              <w:left w:val="single" w:sz="4" w:space="0" w:color="808080"/>
              <w:bottom w:val="single" w:sz="4" w:space="0" w:color="808080"/>
              <w:right w:val="single" w:sz="4" w:space="0" w:color="808080"/>
            </w:tcBorders>
            <w:shd w:val="clear" w:color="auto" w:fill="auto"/>
            <w:noWrap/>
            <w:vAlign w:val="bottom"/>
            <w:hideMark/>
          </w:tcPr>
          <w:p w14:paraId="74E96BE6" w14:textId="77777777" w:rsidR="001F0A32" w:rsidRPr="00431386" w:rsidRDefault="001F0A32" w:rsidP="001F0A32">
            <w:pPr>
              <w:rPr>
                <w:rFonts w:ascii="Book Antiqua" w:hAnsi="Book Antiqua" w:cs="Calibri"/>
                <w:color w:val="000000"/>
                <w:sz w:val="16"/>
                <w:szCs w:val="16"/>
                <w:lang w:eastAsia="es-CR"/>
              </w:rPr>
            </w:pPr>
            <w:r w:rsidRPr="00431386">
              <w:rPr>
                <w:rFonts w:ascii="Book Antiqua" w:hAnsi="Book Antiqua" w:cs="Calibri"/>
                <w:color w:val="000000"/>
                <w:sz w:val="16"/>
                <w:szCs w:val="16"/>
                <w:lang w:eastAsia="es-CR"/>
              </w:rPr>
              <w:t xml:space="preserve">Juzgado Penal de La Unión </w:t>
            </w:r>
          </w:p>
        </w:tc>
        <w:tc>
          <w:tcPr>
            <w:tcW w:w="2009" w:type="dxa"/>
            <w:tcBorders>
              <w:top w:val="nil"/>
              <w:left w:val="nil"/>
              <w:bottom w:val="single" w:sz="4" w:space="0" w:color="808080"/>
              <w:right w:val="single" w:sz="4" w:space="0" w:color="808080"/>
            </w:tcBorders>
            <w:shd w:val="clear" w:color="auto" w:fill="auto"/>
            <w:noWrap/>
            <w:vAlign w:val="bottom"/>
            <w:hideMark/>
          </w:tcPr>
          <w:p w14:paraId="39DD5EA0" w14:textId="77777777" w:rsidR="001F0A32" w:rsidRPr="00431386" w:rsidRDefault="001F0A32" w:rsidP="001F0A32">
            <w:pPr>
              <w:jc w:val="center"/>
              <w:rPr>
                <w:rFonts w:ascii="Book Antiqua" w:hAnsi="Book Antiqua" w:cs="Calibri"/>
                <w:color w:val="000000"/>
                <w:sz w:val="16"/>
                <w:szCs w:val="16"/>
                <w:lang w:eastAsia="es-CR"/>
              </w:rPr>
            </w:pPr>
            <w:r w:rsidRPr="00431386">
              <w:rPr>
                <w:rFonts w:ascii="Book Antiqua" w:hAnsi="Book Antiqua" w:cs="Calibri"/>
                <w:color w:val="000000"/>
                <w:sz w:val="16"/>
                <w:szCs w:val="16"/>
                <w:lang w:eastAsia="es-CR"/>
              </w:rPr>
              <w:t>62 %</w:t>
            </w:r>
          </w:p>
        </w:tc>
      </w:tr>
      <w:tr w:rsidR="001F0A32" w:rsidRPr="00431386" w14:paraId="0D2E46A5" w14:textId="77777777" w:rsidTr="00431386">
        <w:trPr>
          <w:trHeight w:val="290"/>
          <w:jc w:val="center"/>
        </w:trPr>
        <w:tc>
          <w:tcPr>
            <w:tcW w:w="5103" w:type="dxa"/>
            <w:tcBorders>
              <w:top w:val="nil"/>
              <w:left w:val="single" w:sz="4" w:space="0" w:color="808080"/>
              <w:bottom w:val="single" w:sz="4" w:space="0" w:color="808080"/>
              <w:right w:val="single" w:sz="4" w:space="0" w:color="808080"/>
            </w:tcBorders>
            <w:shd w:val="clear" w:color="auto" w:fill="auto"/>
            <w:noWrap/>
            <w:vAlign w:val="bottom"/>
            <w:hideMark/>
          </w:tcPr>
          <w:p w14:paraId="6D4A53B6" w14:textId="77777777" w:rsidR="001F0A32" w:rsidRPr="00431386" w:rsidRDefault="001F0A32" w:rsidP="001F0A32">
            <w:pPr>
              <w:rPr>
                <w:rFonts w:ascii="Book Antiqua" w:hAnsi="Book Antiqua" w:cs="Calibri"/>
                <w:color w:val="000000"/>
                <w:sz w:val="16"/>
                <w:szCs w:val="16"/>
                <w:lang w:eastAsia="es-CR"/>
              </w:rPr>
            </w:pPr>
            <w:r w:rsidRPr="00431386">
              <w:rPr>
                <w:rFonts w:ascii="Book Antiqua" w:hAnsi="Book Antiqua" w:cs="Calibri"/>
                <w:color w:val="000000"/>
                <w:sz w:val="16"/>
                <w:szCs w:val="16"/>
                <w:lang w:eastAsia="es-CR"/>
              </w:rPr>
              <w:t xml:space="preserve">Juzgado Penal de Hatillo </w:t>
            </w:r>
          </w:p>
        </w:tc>
        <w:tc>
          <w:tcPr>
            <w:tcW w:w="2009" w:type="dxa"/>
            <w:tcBorders>
              <w:top w:val="nil"/>
              <w:left w:val="nil"/>
              <w:bottom w:val="single" w:sz="4" w:space="0" w:color="808080"/>
              <w:right w:val="single" w:sz="4" w:space="0" w:color="808080"/>
            </w:tcBorders>
            <w:shd w:val="clear" w:color="auto" w:fill="auto"/>
            <w:noWrap/>
            <w:vAlign w:val="bottom"/>
            <w:hideMark/>
          </w:tcPr>
          <w:p w14:paraId="577A62D4" w14:textId="77777777" w:rsidR="001F0A32" w:rsidRPr="00431386" w:rsidRDefault="001F0A32" w:rsidP="001F0A32">
            <w:pPr>
              <w:jc w:val="center"/>
              <w:rPr>
                <w:rFonts w:ascii="Book Antiqua" w:hAnsi="Book Antiqua" w:cs="Calibri"/>
                <w:color w:val="000000"/>
                <w:sz w:val="16"/>
                <w:szCs w:val="16"/>
                <w:lang w:eastAsia="es-CR"/>
              </w:rPr>
            </w:pPr>
            <w:r w:rsidRPr="00431386">
              <w:rPr>
                <w:rFonts w:ascii="Book Antiqua" w:hAnsi="Book Antiqua" w:cs="Calibri"/>
                <w:color w:val="000000"/>
                <w:sz w:val="16"/>
                <w:szCs w:val="16"/>
                <w:lang w:eastAsia="es-CR"/>
              </w:rPr>
              <w:t>51 %</w:t>
            </w:r>
          </w:p>
        </w:tc>
      </w:tr>
      <w:tr w:rsidR="001F0A32" w:rsidRPr="00431386" w14:paraId="33DA1530" w14:textId="77777777" w:rsidTr="00431386">
        <w:trPr>
          <w:trHeight w:val="290"/>
          <w:jc w:val="center"/>
        </w:trPr>
        <w:tc>
          <w:tcPr>
            <w:tcW w:w="5103" w:type="dxa"/>
            <w:tcBorders>
              <w:top w:val="nil"/>
              <w:left w:val="single" w:sz="4" w:space="0" w:color="808080"/>
              <w:bottom w:val="single" w:sz="4" w:space="0" w:color="808080"/>
              <w:right w:val="single" w:sz="4" w:space="0" w:color="808080"/>
            </w:tcBorders>
            <w:shd w:val="clear" w:color="auto" w:fill="auto"/>
            <w:noWrap/>
            <w:vAlign w:val="bottom"/>
            <w:hideMark/>
          </w:tcPr>
          <w:p w14:paraId="4358E36F" w14:textId="77777777" w:rsidR="001F0A32" w:rsidRPr="00431386" w:rsidRDefault="001F0A32" w:rsidP="001F0A32">
            <w:pPr>
              <w:rPr>
                <w:rFonts w:ascii="Book Antiqua" w:hAnsi="Book Antiqua" w:cs="Calibri"/>
                <w:color w:val="000000"/>
                <w:sz w:val="16"/>
                <w:szCs w:val="16"/>
                <w:lang w:eastAsia="es-CR"/>
              </w:rPr>
            </w:pPr>
            <w:r w:rsidRPr="00431386">
              <w:rPr>
                <w:rFonts w:ascii="Book Antiqua" w:hAnsi="Book Antiqua" w:cs="Calibri"/>
                <w:color w:val="000000"/>
                <w:sz w:val="16"/>
                <w:szCs w:val="16"/>
                <w:lang w:eastAsia="es-CR"/>
              </w:rPr>
              <w:t>Juzgado Penal de Turrialba</w:t>
            </w:r>
          </w:p>
        </w:tc>
        <w:tc>
          <w:tcPr>
            <w:tcW w:w="2009" w:type="dxa"/>
            <w:tcBorders>
              <w:top w:val="nil"/>
              <w:left w:val="nil"/>
              <w:bottom w:val="single" w:sz="4" w:space="0" w:color="808080"/>
              <w:right w:val="single" w:sz="4" w:space="0" w:color="808080"/>
            </w:tcBorders>
            <w:shd w:val="clear" w:color="auto" w:fill="auto"/>
            <w:noWrap/>
            <w:vAlign w:val="bottom"/>
            <w:hideMark/>
          </w:tcPr>
          <w:p w14:paraId="4419FBB5" w14:textId="77777777" w:rsidR="001F0A32" w:rsidRPr="00431386" w:rsidRDefault="001F0A32" w:rsidP="001F0A32">
            <w:pPr>
              <w:jc w:val="center"/>
              <w:rPr>
                <w:rFonts w:ascii="Book Antiqua" w:hAnsi="Book Antiqua" w:cs="Calibri"/>
                <w:color w:val="000000"/>
                <w:sz w:val="16"/>
                <w:szCs w:val="16"/>
                <w:lang w:eastAsia="es-CR"/>
              </w:rPr>
            </w:pPr>
            <w:r w:rsidRPr="00431386">
              <w:rPr>
                <w:rFonts w:ascii="Book Antiqua" w:hAnsi="Book Antiqua" w:cs="Calibri"/>
                <w:color w:val="000000"/>
                <w:sz w:val="16"/>
                <w:szCs w:val="16"/>
                <w:lang w:eastAsia="es-CR"/>
              </w:rPr>
              <w:t>51 %</w:t>
            </w:r>
          </w:p>
        </w:tc>
      </w:tr>
      <w:tr w:rsidR="001F0A32" w:rsidRPr="00431386" w14:paraId="0839A20E" w14:textId="77777777" w:rsidTr="00431386">
        <w:trPr>
          <w:trHeight w:val="290"/>
          <w:jc w:val="center"/>
        </w:trPr>
        <w:tc>
          <w:tcPr>
            <w:tcW w:w="5103" w:type="dxa"/>
            <w:tcBorders>
              <w:top w:val="nil"/>
              <w:left w:val="single" w:sz="4" w:space="0" w:color="808080"/>
              <w:bottom w:val="single" w:sz="4" w:space="0" w:color="808080"/>
              <w:right w:val="single" w:sz="4" w:space="0" w:color="808080"/>
            </w:tcBorders>
            <w:shd w:val="clear" w:color="auto" w:fill="auto"/>
            <w:noWrap/>
            <w:vAlign w:val="bottom"/>
            <w:hideMark/>
          </w:tcPr>
          <w:p w14:paraId="506BA263" w14:textId="77777777" w:rsidR="001F0A32" w:rsidRPr="00431386" w:rsidRDefault="001F0A32" w:rsidP="001F0A32">
            <w:pPr>
              <w:rPr>
                <w:rFonts w:ascii="Book Antiqua" w:hAnsi="Book Antiqua" w:cs="Calibri"/>
                <w:color w:val="000000"/>
                <w:sz w:val="16"/>
                <w:szCs w:val="16"/>
                <w:lang w:eastAsia="es-CR"/>
              </w:rPr>
            </w:pPr>
            <w:r w:rsidRPr="00431386">
              <w:rPr>
                <w:rFonts w:ascii="Book Antiqua" w:hAnsi="Book Antiqua" w:cs="Calibri"/>
                <w:color w:val="000000"/>
                <w:sz w:val="16"/>
                <w:szCs w:val="16"/>
                <w:lang w:eastAsia="es-CR"/>
              </w:rPr>
              <w:t>Juzgado Penal del I Circuito Judicial de La Zona Atlántica</w:t>
            </w:r>
          </w:p>
        </w:tc>
        <w:tc>
          <w:tcPr>
            <w:tcW w:w="2009" w:type="dxa"/>
            <w:tcBorders>
              <w:top w:val="nil"/>
              <w:left w:val="nil"/>
              <w:bottom w:val="single" w:sz="4" w:space="0" w:color="808080"/>
              <w:right w:val="single" w:sz="4" w:space="0" w:color="808080"/>
            </w:tcBorders>
            <w:shd w:val="clear" w:color="auto" w:fill="auto"/>
            <w:noWrap/>
            <w:vAlign w:val="bottom"/>
            <w:hideMark/>
          </w:tcPr>
          <w:p w14:paraId="4C418289" w14:textId="77777777" w:rsidR="001F0A32" w:rsidRPr="00431386" w:rsidRDefault="001F0A32" w:rsidP="001F0A32">
            <w:pPr>
              <w:jc w:val="center"/>
              <w:rPr>
                <w:rFonts w:ascii="Book Antiqua" w:hAnsi="Book Antiqua" w:cs="Calibri"/>
                <w:color w:val="000000"/>
                <w:sz w:val="16"/>
                <w:szCs w:val="16"/>
                <w:lang w:eastAsia="es-CR"/>
              </w:rPr>
            </w:pPr>
            <w:r w:rsidRPr="00431386">
              <w:rPr>
                <w:rFonts w:ascii="Book Antiqua" w:hAnsi="Book Antiqua" w:cs="Calibri"/>
                <w:color w:val="000000"/>
                <w:sz w:val="16"/>
                <w:szCs w:val="16"/>
                <w:lang w:eastAsia="es-CR"/>
              </w:rPr>
              <w:t>44 %</w:t>
            </w:r>
          </w:p>
        </w:tc>
      </w:tr>
      <w:tr w:rsidR="001F0A32" w:rsidRPr="00431386" w14:paraId="2E161716" w14:textId="77777777" w:rsidTr="00431386">
        <w:trPr>
          <w:trHeight w:val="290"/>
          <w:jc w:val="center"/>
        </w:trPr>
        <w:tc>
          <w:tcPr>
            <w:tcW w:w="5103" w:type="dxa"/>
            <w:tcBorders>
              <w:top w:val="nil"/>
              <w:left w:val="single" w:sz="4" w:space="0" w:color="808080"/>
              <w:bottom w:val="single" w:sz="4" w:space="0" w:color="808080"/>
              <w:right w:val="single" w:sz="4" w:space="0" w:color="808080"/>
            </w:tcBorders>
            <w:shd w:val="clear" w:color="auto" w:fill="auto"/>
            <w:noWrap/>
            <w:vAlign w:val="bottom"/>
            <w:hideMark/>
          </w:tcPr>
          <w:p w14:paraId="260AB639" w14:textId="77777777" w:rsidR="001F0A32" w:rsidRPr="00431386" w:rsidRDefault="001F0A32" w:rsidP="001F0A32">
            <w:pPr>
              <w:rPr>
                <w:rFonts w:ascii="Book Antiqua" w:hAnsi="Book Antiqua" w:cs="Calibri"/>
                <w:color w:val="000000"/>
                <w:sz w:val="16"/>
                <w:szCs w:val="16"/>
                <w:lang w:eastAsia="es-CR"/>
              </w:rPr>
            </w:pPr>
            <w:r w:rsidRPr="00431386">
              <w:rPr>
                <w:rFonts w:ascii="Book Antiqua" w:hAnsi="Book Antiqua" w:cs="Calibri"/>
                <w:color w:val="000000"/>
                <w:sz w:val="16"/>
                <w:szCs w:val="16"/>
                <w:lang w:eastAsia="es-CR"/>
              </w:rPr>
              <w:t>Juzgado Penal del I Circuito Judicial de San José</w:t>
            </w:r>
          </w:p>
        </w:tc>
        <w:tc>
          <w:tcPr>
            <w:tcW w:w="2009" w:type="dxa"/>
            <w:tcBorders>
              <w:top w:val="nil"/>
              <w:left w:val="nil"/>
              <w:bottom w:val="single" w:sz="4" w:space="0" w:color="808080"/>
              <w:right w:val="single" w:sz="4" w:space="0" w:color="808080"/>
            </w:tcBorders>
            <w:shd w:val="clear" w:color="auto" w:fill="auto"/>
            <w:noWrap/>
            <w:vAlign w:val="bottom"/>
            <w:hideMark/>
          </w:tcPr>
          <w:p w14:paraId="03FD78F6" w14:textId="77777777" w:rsidR="001F0A32" w:rsidRPr="00431386" w:rsidRDefault="001F0A32" w:rsidP="001F0A32">
            <w:pPr>
              <w:jc w:val="center"/>
              <w:rPr>
                <w:rFonts w:ascii="Book Antiqua" w:hAnsi="Book Antiqua" w:cs="Calibri"/>
                <w:color w:val="000000"/>
                <w:sz w:val="16"/>
                <w:szCs w:val="16"/>
                <w:lang w:eastAsia="es-CR"/>
              </w:rPr>
            </w:pPr>
            <w:r w:rsidRPr="00431386">
              <w:rPr>
                <w:rFonts w:ascii="Book Antiqua" w:hAnsi="Book Antiqua" w:cs="Calibri"/>
                <w:color w:val="000000"/>
                <w:sz w:val="16"/>
                <w:szCs w:val="16"/>
                <w:lang w:eastAsia="es-CR"/>
              </w:rPr>
              <w:t>41 %</w:t>
            </w:r>
          </w:p>
        </w:tc>
      </w:tr>
      <w:tr w:rsidR="001F0A32" w:rsidRPr="00431386" w14:paraId="48E687C3" w14:textId="77777777" w:rsidTr="00431386">
        <w:trPr>
          <w:trHeight w:val="290"/>
          <w:jc w:val="center"/>
        </w:trPr>
        <w:tc>
          <w:tcPr>
            <w:tcW w:w="5103" w:type="dxa"/>
            <w:tcBorders>
              <w:top w:val="nil"/>
              <w:left w:val="single" w:sz="4" w:space="0" w:color="808080"/>
              <w:bottom w:val="single" w:sz="4" w:space="0" w:color="808080"/>
              <w:right w:val="single" w:sz="4" w:space="0" w:color="808080"/>
            </w:tcBorders>
            <w:shd w:val="clear" w:color="auto" w:fill="auto"/>
            <w:noWrap/>
            <w:vAlign w:val="bottom"/>
            <w:hideMark/>
          </w:tcPr>
          <w:p w14:paraId="208076CB" w14:textId="3AB5946C" w:rsidR="001F0A32" w:rsidRPr="00431386" w:rsidRDefault="001F0A32" w:rsidP="001F0A32">
            <w:pPr>
              <w:rPr>
                <w:rFonts w:ascii="Book Antiqua" w:hAnsi="Book Antiqua" w:cs="Calibri"/>
                <w:color w:val="000000"/>
                <w:sz w:val="16"/>
                <w:szCs w:val="16"/>
                <w:lang w:eastAsia="es-CR"/>
              </w:rPr>
            </w:pPr>
            <w:r w:rsidRPr="00431386">
              <w:rPr>
                <w:rFonts w:ascii="Book Antiqua" w:hAnsi="Book Antiqua" w:cs="Calibri"/>
                <w:color w:val="000000"/>
                <w:sz w:val="16"/>
                <w:szCs w:val="16"/>
                <w:lang w:eastAsia="es-CR"/>
              </w:rPr>
              <w:t xml:space="preserve">Juzgado Penal del </w:t>
            </w:r>
            <w:r w:rsidR="005E16D4" w:rsidRPr="00431386">
              <w:rPr>
                <w:rFonts w:ascii="Book Antiqua" w:hAnsi="Book Antiqua" w:cs="Calibri"/>
                <w:color w:val="000000"/>
                <w:sz w:val="16"/>
                <w:szCs w:val="16"/>
                <w:lang w:eastAsia="es-CR"/>
              </w:rPr>
              <w:t>II</w:t>
            </w:r>
            <w:r w:rsidRPr="00431386">
              <w:rPr>
                <w:rFonts w:ascii="Book Antiqua" w:hAnsi="Book Antiqua" w:cs="Calibri"/>
                <w:color w:val="000000"/>
                <w:sz w:val="16"/>
                <w:szCs w:val="16"/>
                <w:lang w:eastAsia="es-CR"/>
              </w:rPr>
              <w:t xml:space="preserve"> Circuito Judicial de Alajuela, Sede Los Chiles</w:t>
            </w:r>
          </w:p>
        </w:tc>
        <w:tc>
          <w:tcPr>
            <w:tcW w:w="2009" w:type="dxa"/>
            <w:tcBorders>
              <w:top w:val="nil"/>
              <w:left w:val="nil"/>
              <w:bottom w:val="single" w:sz="4" w:space="0" w:color="808080"/>
              <w:right w:val="single" w:sz="4" w:space="0" w:color="808080"/>
            </w:tcBorders>
            <w:shd w:val="clear" w:color="auto" w:fill="auto"/>
            <w:noWrap/>
            <w:vAlign w:val="bottom"/>
            <w:hideMark/>
          </w:tcPr>
          <w:p w14:paraId="7B5A0E61" w14:textId="77777777" w:rsidR="001F0A32" w:rsidRPr="00431386" w:rsidRDefault="001F0A32" w:rsidP="001F0A32">
            <w:pPr>
              <w:jc w:val="center"/>
              <w:rPr>
                <w:rFonts w:ascii="Book Antiqua" w:hAnsi="Book Antiqua" w:cs="Calibri"/>
                <w:color w:val="000000"/>
                <w:sz w:val="16"/>
                <w:szCs w:val="16"/>
                <w:lang w:eastAsia="es-CR"/>
              </w:rPr>
            </w:pPr>
            <w:r w:rsidRPr="00431386">
              <w:rPr>
                <w:rFonts w:ascii="Book Antiqua" w:hAnsi="Book Antiqua" w:cs="Calibri"/>
                <w:color w:val="000000"/>
                <w:sz w:val="16"/>
                <w:szCs w:val="16"/>
                <w:lang w:eastAsia="es-CR"/>
              </w:rPr>
              <w:t>32 %</w:t>
            </w:r>
          </w:p>
        </w:tc>
      </w:tr>
      <w:tr w:rsidR="001F0A32" w:rsidRPr="00431386" w14:paraId="01750AA1" w14:textId="77777777" w:rsidTr="00431386">
        <w:trPr>
          <w:trHeight w:val="290"/>
          <w:jc w:val="center"/>
        </w:trPr>
        <w:tc>
          <w:tcPr>
            <w:tcW w:w="5103" w:type="dxa"/>
            <w:tcBorders>
              <w:top w:val="nil"/>
              <w:left w:val="single" w:sz="4" w:space="0" w:color="808080"/>
              <w:bottom w:val="single" w:sz="4" w:space="0" w:color="808080"/>
              <w:right w:val="single" w:sz="4" w:space="0" w:color="808080"/>
            </w:tcBorders>
            <w:shd w:val="clear" w:color="auto" w:fill="auto"/>
            <w:noWrap/>
            <w:vAlign w:val="bottom"/>
            <w:hideMark/>
          </w:tcPr>
          <w:p w14:paraId="4EF32CAA" w14:textId="53A247C9" w:rsidR="001F0A32" w:rsidRPr="00431386" w:rsidRDefault="001F0A32" w:rsidP="001F0A32">
            <w:pPr>
              <w:rPr>
                <w:rFonts w:ascii="Book Antiqua" w:hAnsi="Book Antiqua" w:cs="Calibri"/>
                <w:color w:val="000000"/>
                <w:sz w:val="16"/>
                <w:szCs w:val="16"/>
                <w:lang w:eastAsia="es-CR"/>
              </w:rPr>
            </w:pPr>
            <w:r w:rsidRPr="00431386">
              <w:rPr>
                <w:rFonts w:ascii="Book Antiqua" w:hAnsi="Book Antiqua" w:cs="Calibri"/>
                <w:color w:val="000000"/>
                <w:sz w:val="16"/>
                <w:szCs w:val="16"/>
                <w:lang w:eastAsia="es-CR"/>
              </w:rPr>
              <w:t xml:space="preserve">Juzgado Penal del </w:t>
            </w:r>
            <w:r w:rsidR="005E16D4" w:rsidRPr="00431386">
              <w:rPr>
                <w:rFonts w:ascii="Book Antiqua" w:hAnsi="Book Antiqua" w:cs="Calibri"/>
                <w:color w:val="000000"/>
                <w:sz w:val="16"/>
                <w:szCs w:val="16"/>
                <w:lang w:eastAsia="es-CR"/>
              </w:rPr>
              <w:t>II</w:t>
            </w:r>
            <w:r w:rsidRPr="00431386">
              <w:rPr>
                <w:rFonts w:ascii="Book Antiqua" w:hAnsi="Book Antiqua" w:cs="Calibri"/>
                <w:color w:val="000000"/>
                <w:sz w:val="16"/>
                <w:szCs w:val="16"/>
                <w:lang w:eastAsia="es-CR"/>
              </w:rPr>
              <w:t xml:space="preserve"> Circuito Judicial de Alajuela, Sede La Fortuna</w:t>
            </w:r>
          </w:p>
        </w:tc>
        <w:tc>
          <w:tcPr>
            <w:tcW w:w="2009" w:type="dxa"/>
            <w:tcBorders>
              <w:top w:val="nil"/>
              <w:left w:val="nil"/>
              <w:bottom w:val="single" w:sz="4" w:space="0" w:color="808080"/>
              <w:right w:val="single" w:sz="4" w:space="0" w:color="808080"/>
            </w:tcBorders>
            <w:shd w:val="clear" w:color="auto" w:fill="auto"/>
            <w:noWrap/>
            <w:vAlign w:val="bottom"/>
            <w:hideMark/>
          </w:tcPr>
          <w:p w14:paraId="62055404" w14:textId="77777777" w:rsidR="001F0A32" w:rsidRPr="00431386" w:rsidRDefault="001F0A32" w:rsidP="001F0A32">
            <w:pPr>
              <w:jc w:val="center"/>
              <w:rPr>
                <w:rFonts w:ascii="Book Antiqua" w:hAnsi="Book Antiqua" w:cs="Calibri"/>
                <w:color w:val="000000"/>
                <w:sz w:val="16"/>
                <w:szCs w:val="16"/>
                <w:lang w:eastAsia="es-CR"/>
              </w:rPr>
            </w:pPr>
            <w:r w:rsidRPr="00431386">
              <w:rPr>
                <w:rFonts w:ascii="Book Antiqua" w:hAnsi="Book Antiqua" w:cs="Calibri"/>
                <w:color w:val="000000"/>
                <w:sz w:val="16"/>
                <w:szCs w:val="16"/>
                <w:lang w:eastAsia="es-CR"/>
              </w:rPr>
              <w:t>31 %</w:t>
            </w:r>
          </w:p>
        </w:tc>
      </w:tr>
      <w:tr w:rsidR="001F0A32" w:rsidRPr="00431386" w14:paraId="686287E0" w14:textId="77777777" w:rsidTr="00431386">
        <w:trPr>
          <w:trHeight w:val="290"/>
          <w:jc w:val="center"/>
        </w:trPr>
        <w:tc>
          <w:tcPr>
            <w:tcW w:w="5103" w:type="dxa"/>
            <w:tcBorders>
              <w:top w:val="nil"/>
              <w:left w:val="single" w:sz="4" w:space="0" w:color="808080"/>
              <w:bottom w:val="single" w:sz="4" w:space="0" w:color="808080"/>
              <w:right w:val="single" w:sz="4" w:space="0" w:color="808080"/>
            </w:tcBorders>
            <w:shd w:val="clear" w:color="auto" w:fill="auto"/>
            <w:noWrap/>
            <w:vAlign w:val="bottom"/>
            <w:hideMark/>
          </w:tcPr>
          <w:p w14:paraId="0225688E" w14:textId="77777777" w:rsidR="001F0A32" w:rsidRPr="00431386" w:rsidRDefault="001F0A32" w:rsidP="001F0A32">
            <w:pPr>
              <w:rPr>
                <w:rFonts w:ascii="Book Antiqua" w:hAnsi="Book Antiqua" w:cs="Calibri"/>
                <w:color w:val="000000"/>
                <w:sz w:val="16"/>
                <w:szCs w:val="16"/>
                <w:lang w:eastAsia="es-CR"/>
              </w:rPr>
            </w:pPr>
            <w:r w:rsidRPr="00431386">
              <w:rPr>
                <w:rFonts w:ascii="Book Antiqua" w:hAnsi="Book Antiqua" w:cs="Calibri"/>
                <w:color w:val="000000"/>
                <w:sz w:val="16"/>
                <w:szCs w:val="16"/>
                <w:lang w:eastAsia="es-CR"/>
              </w:rPr>
              <w:t xml:space="preserve">Juzgado Penal de Buenos Aires </w:t>
            </w:r>
          </w:p>
        </w:tc>
        <w:tc>
          <w:tcPr>
            <w:tcW w:w="2009" w:type="dxa"/>
            <w:tcBorders>
              <w:top w:val="nil"/>
              <w:left w:val="nil"/>
              <w:bottom w:val="single" w:sz="4" w:space="0" w:color="808080"/>
              <w:right w:val="single" w:sz="4" w:space="0" w:color="808080"/>
            </w:tcBorders>
            <w:shd w:val="clear" w:color="auto" w:fill="auto"/>
            <w:noWrap/>
            <w:vAlign w:val="bottom"/>
            <w:hideMark/>
          </w:tcPr>
          <w:p w14:paraId="7028CD8D" w14:textId="77777777" w:rsidR="001F0A32" w:rsidRPr="00431386" w:rsidRDefault="001F0A32" w:rsidP="001F0A32">
            <w:pPr>
              <w:jc w:val="center"/>
              <w:rPr>
                <w:rFonts w:ascii="Book Antiqua" w:hAnsi="Book Antiqua" w:cs="Calibri"/>
                <w:color w:val="000000"/>
                <w:sz w:val="16"/>
                <w:szCs w:val="16"/>
                <w:lang w:eastAsia="es-CR"/>
              </w:rPr>
            </w:pPr>
            <w:r w:rsidRPr="00431386">
              <w:rPr>
                <w:rFonts w:ascii="Book Antiqua" w:hAnsi="Book Antiqua" w:cs="Calibri"/>
                <w:color w:val="000000"/>
                <w:sz w:val="16"/>
                <w:szCs w:val="16"/>
                <w:lang w:eastAsia="es-CR"/>
              </w:rPr>
              <w:t>30 %</w:t>
            </w:r>
          </w:p>
        </w:tc>
      </w:tr>
      <w:tr w:rsidR="001F0A32" w:rsidRPr="00431386" w14:paraId="43477FF2" w14:textId="77777777" w:rsidTr="00431386">
        <w:trPr>
          <w:trHeight w:val="290"/>
          <w:jc w:val="center"/>
        </w:trPr>
        <w:tc>
          <w:tcPr>
            <w:tcW w:w="5103" w:type="dxa"/>
            <w:tcBorders>
              <w:top w:val="nil"/>
              <w:left w:val="single" w:sz="4" w:space="0" w:color="808080"/>
              <w:bottom w:val="single" w:sz="4" w:space="0" w:color="808080"/>
              <w:right w:val="single" w:sz="4" w:space="0" w:color="808080"/>
            </w:tcBorders>
            <w:shd w:val="clear" w:color="auto" w:fill="auto"/>
            <w:noWrap/>
            <w:vAlign w:val="bottom"/>
            <w:hideMark/>
          </w:tcPr>
          <w:p w14:paraId="27039264" w14:textId="77777777" w:rsidR="001F0A32" w:rsidRPr="00431386" w:rsidRDefault="001F0A32" w:rsidP="001F0A32">
            <w:pPr>
              <w:rPr>
                <w:rFonts w:ascii="Book Antiqua" w:hAnsi="Book Antiqua" w:cs="Calibri"/>
                <w:color w:val="000000"/>
                <w:sz w:val="16"/>
                <w:szCs w:val="16"/>
                <w:lang w:eastAsia="es-CR"/>
              </w:rPr>
            </w:pPr>
            <w:r w:rsidRPr="00431386">
              <w:rPr>
                <w:rFonts w:ascii="Book Antiqua" w:hAnsi="Book Antiqua" w:cs="Calibri"/>
                <w:color w:val="000000"/>
                <w:sz w:val="16"/>
                <w:szCs w:val="16"/>
                <w:lang w:eastAsia="es-CR"/>
              </w:rPr>
              <w:t>Juzgado Penal de Pavas</w:t>
            </w:r>
          </w:p>
        </w:tc>
        <w:tc>
          <w:tcPr>
            <w:tcW w:w="2009" w:type="dxa"/>
            <w:tcBorders>
              <w:top w:val="nil"/>
              <w:left w:val="nil"/>
              <w:bottom w:val="single" w:sz="4" w:space="0" w:color="808080"/>
              <w:right w:val="single" w:sz="4" w:space="0" w:color="808080"/>
            </w:tcBorders>
            <w:shd w:val="clear" w:color="auto" w:fill="auto"/>
            <w:noWrap/>
            <w:vAlign w:val="bottom"/>
            <w:hideMark/>
          </w:tcPr>
          <w:p w14:paraId="4F13BD06" w14:textId="77777777" w:rsidR="001F0A32" w:rsidRPr="00431386" w:rsidRDefault="001F0A32" w:rsidP="001F0A32">
            <w:pPr>
              <w:jc w:val="center"/>
              <w:rPr>
                <w:rFonts w:ascii="Book Antiqua" w:hAnsi="Book Antiqua" w:cs="Calibri"/>
                <w:color w:val="000000"/>
                <w:sz w:val="16"/>
                <w:szCs w:val="16"/>
                <w:lang w:eastAsia="es-CR"/>
              </w:rPr>
            </w:pPr>
            <w:r w:rsidRPr="00431386">
              <w:rPr>
                <w:rFonts w:ascii="Book Antiqua" w:hAnsi="Book Antiqua" w:cs="Calibri"/>
                <w:color w:val="000000"/>
                <w:sz w:val="16"/>
                <w:szCs w:val="16"/>
                <w:lang w:eastAsia="es-CR"/>
              </w:rPr>
              <w:t>29 %</w:t>
            </w:r>
          </w:p>
        </w:tc>
      </w:tr>
      <w:tr w:rsidR="001F0A32" w:rsidRPr="00431386" w14:paraId="2CF50EBF" w14:textId="77777777" w:rsidTr="00431386">
        <w:trPr>
          <w:trHeight w:val="290"/>
          <w:jc w:val="center"/>
        </w:trPr>
        <w:tc>
          <w:tcPr>
            <w:tcW w:w="5103" w:type="dxa"/>
            <w:tcBorders>
              <w:top w:val="nil"/>
              <w:left w:val="single" w:sz="4" w:space="0" w:color="808080"/>
              <w:bottom w:val="single" w:sz="4" w:space="0" w:color="808080"/>
              <w:right w:val="single" w:sz="4" w:space="0" w:color="808080"/>
            </w:tcBorders>
            <w:shd w:val="clear" w:color="auto" w:fill="auto"/>
            <w:noWrap/>
            <w:vAlign w:val="center"/>
            <w:hideMark/>
          </w:tcPr>
          <w:p w14:paraId="29044EEB" w14:textId="77777777" w:rsidR="001F0A32" w:rsidRPr="00431386" w:rsidRDefault="001F0A32" w:rsidP="001F0A32">
            <w:pPr>
              <w:rPr>
                <w:rFonts w:ascii="Book Antiqua" w:hAnsi="Book Antiqua" w:cs="Calibri"/>
                <w:b/>
                <w:bCs/>
                <w:color w:val="000000"/>
                <w:sz w:val="16"/>
                <w:szCs w:val="16"/>
                <w:lang w:eastAsia="es-CR"/>
              </w:rPr>
            </w:pPr>
            <w:r w:rsidRPr="00431386">
              <w:rPr>
                <w:rFonts w:ascii="Book Antiqua" w:hAnsi="Book Antiqua" w:cs="Calibri"/>
                <w:b/>
                <w:bCs/>
                <w:color w:val="000000"/>
                <w:sz w:val="16"/>
                <w:szCs w:val="16"/>
                <w:lang w:eastAsia="es-CR"/>
              </w:rPr>
              <w:t>Promedio Global</w:t>
            </w:r>
          </w:p>
        </w:tc>
        <w:tc>
          <w:tcPr>
            <w:tcW w:w="2009" w:type="dxa"/>
            <w:tcBorders>
              <w:top w:val="nil"/>
              <w:left w:val="nil"/>
              <w:bottom w:val="single" w:sz="4" w:space="0" w:color="808080"/>
              <w:right w:val="single" w:sz="4" w:space="0" w:color="808080"/>
            </w:tcBorders>
            <w:shd w:val="clear" w:color="auto" w:fill="auto"/>
            <w:noWrap/>
            <w:vAlign w:val="center"/>
            <w:hideMark/>
          </w:tcPr>
          <w:p w14:paraId="25544558" w14:textId="77777777" w:rsidR="001F0A32" w:rsidRPr="00431386" w:rsidRDefault="001F0A32" w:rsidP="001F0A32">
            <w:pPr>
              <w:jc w:val="center"/>
              <w:rPr>
                <w:rFonts w:ascii="Book Antiqua" w:hAnsi="Book Antiqua" w:cs="Calibri"/>
                <w:b/>
                <w:bCs/>
                <w:color w:val="000000"/>
                <w:sz w:val="16"/>
                <w:szCs w:val="16"/>
                <w:lang w:eastAsia="es-CR"/>
              </w:rPr>
            </w:pPr>
            <w:r w:rsidRPr="00431386">
              <w:rPr>
                <w:rFonts w:ascii="Book Antiqua" w:hAnsi="Book Antiqua" w:cs="Calibri"/>
                <w:b/>
                <w:bCs/>
                <w:color w:val="000000"/>
                <w:sz w:val="16"/>
                <w:szCs w:val="16"/>
                <w:lang w:eastAsia="es-CR"/>
              </w:rPr>
              <w:t>97%</w:t>
            </w:r>
          </w:p>
        </w:tc>
      </w:tr>
    </w:tbl>
    <w:p w14:paraId="16BCC8A8" w14:textId="77777777" w:rsidR="00133AD1" w:rsidRDefault="00133AD1" w:rsidP="006A5D2A">
      <w:pPr>
        <w:spacing w:line="276" w:lineRule="auto"/>
        <w:jc w:val="center"/>
        <w:rPr>
          <w:rFonts w:ascii="Book Antiqua" w:hAnsi="Book Antiqua"/>
          <w:b/>
          <w:bCs/>
          <w:color w:val="000000" w:themeColor="text1"/>
          <w:sz w:val="20"/>
          <w:szCs w:val="20"/>
        </w:rPr>
      </w:pPr>
      <w:r w:rsidRPr="00677475">
        <w:rPr>
          <w:rFonts w:ascii="Book Antiqua" w:hAnsi="Book Antiqua"/>
          <w:b/>
          <w:bCs/>
          <w:color w:val="000000" w:themeColor="text1"/>
          <w:sz w:val="20"/>
          <w:szCs w:val="20"/>
        </w:rPr>
        <w:t xml:space="preserve">Fuente: </w:t>
      </w:r>
      <w:r w:rsidRPr="00677475">
        <w:rPr>
          <w:rFonts w:ascii="Book Antiqua" w:hAnsi="Book Antiqua"/>
          <w:color w:val="000000" w:themeColor="text1"/>
          <w:sz w:val="20"/>
          <w:szCs w:val="20"/>
        </w:rPr>
        <w:t>Matriz de indicadores de Gestión</w:t>
      </w:r>
    </w:p>
    <w:p w14:paraId="636A94CB" w14:textId="77777777" w:rsidR="00133AD1" w:rsidRDefault="00133AD1" w:rsidP="00985591">
      <w:pPr>
        <w:spacing w:line="276" w:lineRule="auto"/>
        <w:jc w:val="both"/>
        <w:rPr>
          <w:rFonts w:ascii="Book Antiqua" w:hAnsi="Book Antiqua"/>
          <w:color w:val="000000" w:themeColor="text1"/>
        </w:rPr>
      </w:pPr>
    </w:p>
    <w:p w14:paraId="218F48AA" w14:textId="50BAEBE6" w:rsidR="00A10730" w:rsidRDefault="00A10730" w:rsidP="00985591">
      <w:pPr>
        <w:spacing w:line="276" w:lineRule="auto"/>
        <w:jc w:val="both"/>
        <w:rPr>
          <w:rFonts w:ascii="Book Antiqua" w:hAnsi="Book Antiqua"/>
          <w:lang w:eastAsia="es-CR"/>
        </w:rPr>
      </w:pPr>
      <w:r w:rsidRPr="004E0DD1">
        <w:rPr>
          <w:rFonts w:ascii="Book Antiqua" w:hAnsi="Book Antiqua"/>
          <w:lang w:eastAsia="es-CR"/>
        </w:rPr>
        <w:t xml:space="preserve">A pesar de </w:t>
      </w:r>
      <w:r>
        <w:rPr>
          <w:rFonts w:ascii="Book Antiqua" w:hAnsi="Book Antiqua"/>
          <w:lang w:eastAsia="es-CR"/>
        </w:rPr>
        <w:t>tener un promedio global del</w:t>
      </w:r>
      <w:r w:rsidRPr="004E0DD1">
        <w:rPr>
          <w:rFonts w:ascii="Book Antiqua" w:hAnsi="Book Antiqua"/>
          <w:lang w:eastAsia="es-CR"/>
        </w:rPr>
        <w:t xml:space="preserve"> </w:t>
      </w:r>
      <w:r>
        <w:rPr>
          <w:rFonts w:ascii="Book Antiqua" w:hAnsi="Book Antiqua"/>
          <w:lang w:eastAsia="es-CR"/>
        </w:rPr>
        <w:t>9</w:t>
      </w:r>
      <w:r w:rsidR="001F0A32">
        <w:rPr>
          <w:rFonts w:ascii="Book Antiqua" w:hAnsi="Book Antiqua"/>
          <w:lang w:eastAsia="es-CR"/>
        </w:rPr>
        <w:t>7</w:t>
      </w:r>
      <w:r w:rsidRPr="004E0DD1">
        <w:rPr>
          <w:rFonts w:ascii="Book Antiqua" w:hAnsi="Book Antiqua"/>
          <w:lang w:eastAsia="es-CR"/>
        </w:rPr>
        <w:t xml:space="preserve">% en la producción de los Juzgados Penales, aun así, hay despachos que se mantienen por debajo del 80% mínimo esperado, tales como </w:t>
      </w:r>
      <w:r>
        <w:rPr>
          <w:rFonts w:ascii="Book Antiqua" w:hAnsi="Book Antiqua"/>
          <w:lang w:eastAsia="es-CR"/>
        </w:rPr>
        <w:t>Batán, Liberia, Alajuela, Coto Brus, Goicoechea, Corredores, C</w:t>
      </w:r>
      <w:r w:rsidR="00687C39">
        <w:rPr>
          <w:rFonts w:ascii="Book Antiqua" w:hAnsi="Book Antiqua"/>
          <w:lang w:eastAsia="es-CR"/>
        </w:rPr>
        <w:t>ó</w:t>
      </w:r>
      <w:r>
        <w:rPr>
          <w:rFonts w:ascii="Book Antiqua" w:hAnsi="Book Antiqua"/>
          <w:lang w:eastAsia="es-CR"/>
        </w:rPr>
        <w:t>bano, la Unión, Hatillo, Turrialba, Limón,</w:t>
      </w:r>
      <w:r w:rsidRPr="00921850">
        <w:rPr>
          <w:rFonts w:ascii="Book Antiqua" w:hAnsi="Book Antiqua"/>
          <w:lang w:eastAsia="es-CR"/>
        </w:rPr>
        <w:t xml:space="preserve"> </w:t>
      </w:r>
      <w:r>
        <w:rPr>
          <w:rFonts w:ascii="Book Antiqua" w:hAnsi="Book Antiqua"/>
          <w:lang w:eastAsia="es-CR"/>
        </w:rPr>
        <w:t>San José, Los Chiles, la Fortuna, Buenos Aires y Pavas.</w:t>
      </w:r>
    </w:p>
    <w:p w14:paraId="10E3547D" w14:textId="77777777" w:rsidR="00A10730" w:rsidRDefault="00A10730" w:rsidP="00985591">
      <w:pPr>
        <w:spacing w:line="276" w:lineRule="auto"/>
        <w:jc w:val="both"/>
        <w:rPr>
          <w:rFonts w:ascii="Book Antiqua" w:hAnsi="Book Antiqua"/>
          <w:lang w:eastAsia="es-CR"/>
        </w:rPr>
      </w:pPr>
    </w:p>
    <w:p w14:paraId="7C2CF1C2" w14:textId="0B452E7C" w:rsidR="00A10730" w:rsidRDefault="00A10730" w:rsidP="00985591">
      <w:pPr>
        <w:spacing w:line="276" w:lineRule="auto"/>
        <w:jc w:val="both"/>
        <w:rPr>
          <w:rFonts w:ascii="Book Antiqua" w:hAnsi="Book Antiqua"/>
          <w:lang w:eastAsia="es-CR"/>
        </w:rPr>
      </w:pPr>
      <w:r>
        <w:rPr>
          <w:rFonts w:ascii="Book Antiqua" w:hAnsi="Book Antiqua"/>
          <w:lang w:eastAsia="es-CR"/>
        </w:rPr>
        <w:t>Es importante mencionar que el Juzgado de Pococí, Limon y Bat</w:t>
      </w:r>
      <w:r w:rsidR="00687C39">
        <w:rPr>
          <w:rFonts w:ascii="Book Antiqua" w:hAnsi="Book Antiqua"/>
          <w:lang w:eastAsia="es-CR"/>
        </w:rPr>
        <w:t>á</w:t>
      </w:r>
      <w:r>
        <w:rPr>
          <w:rFonts w:ascii="Book Antiqua" w:hAnsi="Book Antiqua"/>
          <w:lang w:eastAsia="es-CR"/>
        </w:rPr>
        <w:t>n se encuentra</w:t>
      </w:r>
      <w:r w:rsidR="00687C39">
        <w:rPr>
          <w:rFonts w:ascii="Book Antiqua" w:hAnsi="Book Antiqua"/>
          <w:lang w:eastAsia="es-CR"/>
        </w:rPr>
        <w:t>n</w:t>
      </w:r>
      <w:r>
        <w:rPr>
          <w:rFonts w:ascii="Book Antiqua" w:hAnsi="Book Antiqua"/>
          <w:lang w:eastAsia="es-CR"/>
        </w:rPr>
        <w:t xml:space="preserve"> en seguimiento por parte del Proyecto Penal con la elaboración de planes de trabajo para mejorar el rendimiento. En el caso de C</w:t>
      </w:r>
      <w:r w:rsidR="00687C39">
        <w:rPr>
          <w:rFonts w:ascii="Book Antiqua" w:hAnsi="Book Antiqua"/>
          <w:lang w:eastAsia="es-CR"/>
        </w:rPr>
        <w:t>ó</w:t>
      </w:r>
      <w:r>
        <w:rPr>
          <w:rFonts w:ascii="Book Antiqua" w:hAnsi="Book Antiqua"/>
          <w:lang w:eastAsia="es-CR"/>
        </w:rPr>
        <w:t>bano, es un despacho que tiene una entrada baja lo que dificulta el cumplimiento del parámetro.</w:t>
      </w:r>
    </w:p>
    <w:p w14:paraId="6343A213" w14:textId="77777777" w:rsidR="00A10730" w:rsidRDefault="00A10730" w:rsidP="00985591">
      <w:pPr>
        <w:spacing w:line="276" w:lineRule="auto"/>
        <w:jc w:val="both"/>
        <w:rPr>
          <w:rFonts w:ascii="Book Antiqua" w:hAnsi="Book Antiqua"/>
          <w:lang w:eastAsia="es-CR"/>
        </w:rPr>
      </w:pPr>
    </w:p>
    <w:p w14:paraId="34ADA3D2" w14:textId="77777777" w:rsidR="00A10730" w:rsidRDefault="00A10730" w:rsidP="00985591">
      <w:pPr>
        <w:spacing w:line="276" w:lineRule="auto"/>
        <w:jc w:val="both"/>
        <w:rPr>
          <w:rFonts w:ascii="Book Antiqua" w:hAnsi="Book Antiqua"/>
          <w:lang w:eastAsia="es-CR"/>
        </w:rPr>
      </w:pPr>
      <w:r>
        <w:rPr>
          <w:rFonts w:ascii="Book Antiqua" w:hAnsi="Book Antiqua"/>
          <w:lang w:eastAsia="es-CR"/>
        </w:rPr>
        <w:t xml:space="preserve">Con respecto al Juzgado Penal de Liberia se encuentran en un proceso de intervención por diferentes instancias, por acuerdo del Consejo Superior en sesión </w:t>
      </w:r>
      <w:r w:rsidRPr="009E7CAC">
        <w:rPr>
          <w:rFonts w:ascii="Book Antiqua" w:hAnsi="Book Antiqua"/>
          <w:lang w:eastAsia="es-CR"/>
        </w:rPr>
        <w:t>53-2021 celebrada el 29 de junio de 202</w:t>
      </w:r>
      <w:r>
        <w:rPr>
          <w:rFonts w:ascii="Book Antiqua" w:hAnsi="Book Antiqua"/>
          <w:lang w:eastAsia="es-CR"/>
        </w:rPr>
        <w:t xml:space="preserve">1, articulo </w:t>
      </w:r>
      <w:r w:rsidRPr="009E7CAC">
        <w:rPr>
          <w:rFonts w:ascii="Book Antiqua" w:hAnsi="Book Antiqua"/>
          <w:lang w:eastAsia="es-CR"/>
        </w:rPr>
        <w:t>XXIII</w:t>
      </w:r>
      <w:r>
        <w:rPr>
          <w:rFonts w:ascii="Book Antiqua" w:hAnsi="Book Antiqua"/>
          <w:lang w:eastAsia="es-CR"/>
        </w:rPr>
        <w:t>.</w:t>
      </w:r>
    </w:p>
    <w:p w14:paraId="04727EDE" w14:textId="77777777" w:rsidR="00A10730" w:rsidRDefault="00A10730" w:rsidP="00985591">
      <w:pPr>
        <w:spacing w:line="276" w:lineRule="auto"/>
        <w:jc w:val="both"/>
        <w:rPr>
          <w:rFonts w:ascii="Book Antiqua" w:hAnsi="Book Antiqua"/>
          <w:lang w:eastAsia="es-CR"/>
        </w:rPr>
      </w:pPr>
    </w:p>
    <w:p w14:paraId="3779BA61" w14:textId="77777777" w:rsidR="00A10730" w:rsidRDefault="00A10730" w:rsidP="00985591">
      <w:pPr>
        <w:spacing w:line="276" w:lineRule="auto"/>
        <w:jc w:val="both"/>
        <w:rPr>
          <w:rFonts w:ascii="Book Antiqua" w:hAnsi="Book Antiqua"/>
          <w:lang w:eastAsia="es-CR"/>
        </w:rPr>
      </w:pPr>
      <w:r>
        <w:rPr>
          <w:rFonts w:ascii="Book Antiqua" w:hAnsi="Book Antiqua"/>
          <w:lang w:eastAsia="es-CR"/>
        </w:rPr>
        <w:t>Los juzgados de Pavas y Goicoechea se encuentran en proceso de abordaje por parte del Proyecto de Mejora Integral del Proceso Penal de la Dirección de Planificación.</w:t>
      </w:r>
    </w:p>
    <w:p w14:paraId="53EFE9C3" w14:textId="166CA275" w:rsidR="00A10730" w:rsidRPr="004E0DD1" w:rsidRDefault="00A10730" w:rsidP="00985591">
      <w:pPr>
        <w:spacing w:line="276" w:lineRule="auto"/>
        <w:jc w:val="both"/>
        <w:rPr>
          <w:rFonts w:ascii="Book Antiqua" w:hAnsi="Book Antiqua"/>
          <w:lang w:eastAsia="es-CR"/>
        </w:rPr>
      </w:pPr>
      <w:r>
        <w:rPr>
          <w:rFonts w:ascii="Book Antiqua" w:hAnsi="Book Antiqua"/>
          <w:lang w:eastAsia="es-CR"/>
        </w:rPr>
        <w:t>Los juzgados de Grecia, San José, Los Chiles, la Fortuna, Atenas, Hatillo, Buenos Aires, Corredores y Golfito., l</w:t>
      </w:r>
      <w:r w:rsidRPr="004E0DD1">
        <w:rPr>
          <w:rFonts w:ascii="Book Antiqua" w:hAnsi="Book Antiqua"/>
          <w:lang w:eastAsia="es-CR"/>
        </w:rPr>
        <w:t>o que evidencia</w:t>
      </w:r>
      <w:r>
        <w:rPr>
          <w:rFonts w:ascii="Book Antiqua" w:hAnsi="Book Antiqua"/>
          <w:lang w:eastAsia="es-CR"/>
        </w:rPr>
        <w:t>n es</w:t>
      </w:r>
      <w:r w:rsidRPr="004E0DD1">
        <w:rPr>
          <w:rFonts w:ascii="Book Antiqua" w:hAnsi="Book Antiqua"/>
          <w:lang w:eastAsia="es-CR"/>
        </w:rPr>
        <w:t xml:space="preserve"> la necesidad de mejora </w:t>
      </w:r>
      <w:r>
        <w:rPr>
          <w:rFonts w:ascii="Book Antiqua" w:hAnsi="Book Antiqua"/>
          <w:lang w:eastAsia="es-CR"/>
        </w:rPr>
        <w:t xml:space="preserve">en </w:t>
      </w:r>
      <w:r w:rsidRPr="004E0DD1">
        <w:rPr>
          <w:rFonts w:ascii="Book Antiqua" w:hAnsi="Book Antiqua"/>
          <w:lang w:eastAsia="es-CR"/>
        </w:rPr>
        <w:t xml:space="preserve">su sistema de trabajo </w:t>
      </w:r>
      <w:r>
        <w:rPr>
          <w:rFonts w:ascii="Book Antiqua" w:hAnsi="Book Antiqua"/>
          <w:lang w:eastAsia="es-CR"/>
        </w:rPr>
        <w:t xml:space="preserve">con la implementación del modelo penal </w:t>
      </w:r>
      <w:r w:rsidRPr="004E0DD1">
        <w:rPr>
          <w:rFonts w:ascii="Book Antiqua" w:hAnsi="Book Antiqua"/>
          <w:lang w:eastAsia="es-CR"/>
        </w:rPr>
        <w:t>para incrementar el nivel de cumplimiento.</w:t>
      </w:r>
    </w:p>
    <w:p w14:paraId="5AFDB32A" w14:textId="44FFD554" w:rsidR="00133AD1" w:rsidRDefault="00133AD1" w:rsidP="00985591">
      <w:pPr>
        <w:spacing w:line="276" w:lineRule="auto"/>
        <w:rPr>
          <w:rFonts w:ascii="Book Antiqua" w:hAnsi="Book Antiqua"/>
          <w:b/>
          <w:color w:val="000000" w:themeColor="text1"/>
        </w:rPr>
      </w:pPr>
    </w:p>
    <w:p w14:paraId="42378A2F" w14:textId="4E49168D" w:rsidR="57A79FF7" w:rsidRDefault="759BB585" w:rsidP="57A79FF7">
      <w:pPr>
        <w:spacing w:after="160" w:line="276" w:lineRule="auto"/>
        <w:outlineLvl w:val="1"/>
        <w:rPr>
          <w:b/>
          <w:bCs/>
          <w:color w:val="000000" w:themeColor="text1"/>
        </w:rPr>
      </w:pPr>
      <w:r w:rsidRPr="57A79FF7">
        <w:rPr>
          <w:rFonts w:ascii="Book Antiqua" w:hAnsi="Book Antiqua"/>
          <w:b/>
          <w:bCs/>
          <w:color w:val="000000" w:themeColor="text1"/>
        </w:rPr>
        <w:t xml:space="preserve">6.2.2 </w:t>
      </w:r>
      <w:r w:rsidR="00133AD1" w:rsidRPr="57A79FF7">
        <w:rPr>
          <w:rFonts w:ascii="Book Antiqua" w:hAnsi="Book Antiqua"/>
          <w:b/>
          <w:bCs/>
          <w:color w:val="000000" w:themeColor="text1"/>
        </w:rPr>
        <w:t>Tribunal de Juicio</w:t>
      </w:r>
    </w:p>
    <w:p w14:paraId="6943FB56" w14:textId="4D8B8C0E" w:rsidR="008B51FC" w:rsidRPr="008B51FC" w:rsidRDefault="008B51FC" w:rsidP="00985591">
      <w:pPr>
        <w:spacing w:line="276" w:lineRule="auto"/>
        <w:jc w:val="both"/>
        <w:rPr>
          <w:rFonts w:ascii="Book Antiqua" w:hAnsi="Book Antiqua"/>
          <w:color w:val="000000" w:themeColor="text1"/>
        </w:rPr>
      </w:pPr>
      <w:r w:rsidRPr="008B51FC">
        <w:rPr>
          <w:rFonts w:ascii="Book Antiqua" w:hAnsi="Book Antiqua"/>
          <w:color w:val="000000" w:themeColor="text1"/>
        </w:rPr>
        <w:t>Los Tribunales de Juicio según las matrices de indicadores que presentan cuentan con 9</w:t>
      </w:r>
      <w:r w:rsidR="00B26591">
        <w:rPr>
          <w:rFonts w:ascii="Book Antiqua" w:hAnsi="Book Antiqua"/>
          <w:color w:val="000000" w:themeColor="text1"/>
        </w:rPr>
        <w:t>0</w:t>
      </w:r>
      <w:r w:rsidRPr="008B51FC">
        <w:rPr>
          <w:rFonts w:ascii="Book Antiqua" w:hAnsi="Book Antiqua"/>
          <w:color w:val="000000" w:themeColor="text1"/>
        </w:rPr>
        <w:t xml:space="preserve">% de cumplimiento en forma general a nivel nacional; por lo cual, se destaca el trabajo que estos han venido desarrollando con sus estructuras ordinarias, a pesar de que en la mayoría de los lugares fueron retirados los recursos de los planes remediales. </w:t>
      </w:r>
    </w:p>
    <w:p w14:paraId="700E0CD2" w14:textId="77777777" w:rsidR="008B51FC" w:rsidRPr="008B51FC" w:rsidRDefault="008B51FC" w:rsidP="00985591">
      <w:pPr>
        <w:spacing w:line="276" w:lineRule="auto"/>
        <w:jc w:val="both"/>
        <w:rPr>
          <w:rFonts w:ascii="Book Antiqua" w:hAnsi="Book Antiqua"/>
          <w:color w:val="000000" w:themeColor="text1"/>
        </w:rPr>
      </w:pPr>
    </w:p>
    <w:p w14:paraId="62EC2CA8" w14:textId="7C030FA9" w:rsidR="008B51FC" w:rsidRDefault="00F61039" w:rsidP="00985591">
      <w:pPr>
        <w:spacing w:line="276" w:lineRule="auto"/>
        <w:jc w:val="both"/>
        <w:rPr>
          <w:rFonts w:ascii="Book Antiqua" w:hAnsi="Book Antiqua"/>
          <w:color w:val="000000" w:themeColor="text1"/>
        </w:rPr>
      </w:pPr>
      <w:r w:rsidRPr="00F61039">
        <w:rPr>
          <w:rFonts w:ascii="Book Antiqua" w:hAnsi="Book Antiqua"/>
          <w:color w:val="000000" w:themeColor="text1"/>
        </w:rPr>
        <w:t>Se hace la observación que los datos están basados con las matrices de indicadores de los despachos; que tienen la responsabilidad de que el dato sea coincidente contra el Sistema Sigma, por lo que, como parte de la revisión que hace la Dirección de Planificación también se va a poder visualizar una comparación de ese valor contra lo que genera el sistema.</w:t>
      </w:r>
    </w:p>
    <w:p w14:paraId="1C7CBD4F" w14:textId="77777777" w:rsidR="00F61039" w:rsidRPr="008B51FC" w:rsidRDefault="00F61039" w:rsidP="00985591">
      <w:pPr>
        <w:spacing w:line="276" w:lineRule="auto"/>
        <w:jc w:val="both"/>
        <w:rPr>
          <w:rFonts w:ascii="Book Antiqua" w:hAnsi="Book Antiqua"/>
          <w:color w:val="000000" w:themeColor="text1"/>
        </w:rPr>
      </w:pPr>
    </w:p>
    <w:p w14:paraId="197A087E" w14:textId="77777777" w:rsidR="008B51FC" w:rsidRPr="008B51FC" w:rsidRDefault="008B51FC" w:rsidP="00985591">
      <w:pPr>
        <w:spacing w:line="276" w:lineRule="auto"/>
        <w:jc w:val="both"/>
        <w:rPr>
          <w:rFonts w:ascii="Book Antiqua" w:hAnsi="Book Antiqua"/>
          <w:color w:val="000000" w:themeColor="text1"/>
        </w:rPr>
      </w:pPr>
      <w:r w:rsidRPr="008B51FC">
        <w:rPr>
          <w:rFonts w:ascii="Book Antiqua" w:hAnsi="Book Antiqua"/>
          <w:color w:val="000000" w:themeColor="text1"/>
        </w:rPr>
        <w:t>Importante señalar, que el Tribunal con mayor nivel de cumplimiento fue el Tribunal del II Circuito Judicial de la Zona Atlántica, sede Siquirres con un 183%; en tanto, el de menor nivel de cumplimiento fue el Tribunal Penal Segundo Circuito Judicial de la Zona Sur (Golfito) con un 28%.</w:t>
      </w:r>
    </w:p>
    <w:p w14:paraId="70F60129" w14:textId="77777777" w:rsidR="008B51FC" w:rsidRPr="008B51FC" w:rsidRDefault="008B51FC" w:rsidP="00985591">
      <w:pPr>
        <w:spacing w:line="276" w:lineRule="auto"/>
        <w:jc w:val="both"/>
        <w:rPr>
          <w:rFonts w:ascii="Book Antiqua" w:hAnsi="Book Antiqua"/>
          <w:color w:val="000000" w:themeColor="text1"/>
        </w:rPr>
      </w:pPr>
    </w:p>
    <w:p w14:paraId="2897786F" w14:textId="43B8C4CF" w:rsidR="008B51FC" w:rsidRPr="008B51FC" w:rsidRDefault="008B51FC" w:rsidP="00985591">
      <w:pPr>
        <w:spacing w:line="276" w:lineRule="auto"/>
        <w:jc w:val="both"/>
        <w:rPr>
          <w:rFonts w:ascii="Book Antiqua" w:hAnsi="Book Antiqua"/>
          <w:color w:val="000000" w:themeColor="text1"/>
        </w:rPr>
      </w:pPr>
      <w:r w:rsidRPr="008B51FC">
        <w:rPr>
          <w:rFonts w:ascii="Book Antiqua" w:hAnsi="Book Antiqua"/>
          <w:color w:val="000000" w:themeColor="text1"/>
        </w:rPr>
        <w:t>Las oficinas que reflejan un rendimiento inferior al 80% son: Tribunal Penal de Grecia 79%, Tribunal Penal de Pococí 78%, Tribunal Penal de San José 7</w:t>
      </w:r>
      <w:r w:rsidR="003D335E">
        <w:rPr>
          <w:rFonts w:ascii="Book Antiqua" w:hAnsi="Book Antiqua"/>
          <w:color w:val="000000" w:themeColor="text1"/>
        </w:rPr>
        <w:t>0</w:t>
      </w:r>
      <w:r w:rsidRPr="008B51FC">
        <w:rPr>
          <w:rFonts w:ascii="Book Antiqua" w:hAnsi="Book Antiqua"/>
          <w:color w:val="000000" w:themeColor="text1"/>
        </w:rPr>
        <w:t xml:space="preserve">%, Tribunal Penal de Santa Cruz 62%, </w:t>
      </w:r>
      <w:r w:rsidR="003D335E">
        <w:rPr>
          <w:rFonts w:ascii="Book Antiqua" w:hAnsi="Book Antiqua"/>
          <w:color w:val="000000" w:themeColor="text1"/>
        </w:rPr>
        <w:t xml:space="preserve">Tribunal Penal de Pavas 59%, </w:t>
      </w:r>
      <w:r w:rsidRPr="008B51FC">
        <w:rPr>
          <w:rFonts w:ascii="Book Antiqua" w:hAnsi="Book Antiqua"/>
          <w:color w:val="000000" w:themeColor="text1"/>
        </w:rPr>
        <w:t>Tribunal Penal de Liberia 57%, el Tribunal Penal de Osa 56%, Tribunal Penal de Turrialba 47%, Tribunal Penal de Quepos 47% y Tribunal Penal de Golfito 28%.</w:t>
      </w:r>
    </w:p>
    <w:p w14:paraId="55F3FB96" w14:textId="77777777" w:rsidR="008B51FC" w:rsidRPr="008B51FC" w:rsidRDefault="008B51FC" w:rsidP="00985591">
      <w:pPr>
        <w:spacing w:line="276" w:lineRule="auto"/>
        <w:jc w:val="both"/>
        <w:rPr>
          <w:rFonts w:ascii="Book Antiqua" w:hAnsi="Book Antiqua"/>
          <w:color w:val="000000" w:themeColor="text1"/>
        </w:rPr>
      </w:pPr>
    </w:p>
    <w:p w14:paraId="0C078B5A" w14:textId="77777777" w:rsidR="008B51FC" w:rsidRPr="008B51FC" w:rsidRDefault="008B51FC" w:rsidP="00985591">
      <w:pPr>
        <w:spacing w:line="276" w:lineRule="auto"/>
        <w:jc w:val="both"/>
        <w:rPr>
          <w:rFonts w:ascii="Book Antiqua" w:hAnsi="Book Antiqua"/>
          <w:color w:val="000000" w:themeColor="text1"/>
        </w:rPr>
      </w:pPr>
      <w:r w:rsidRPr="008B51FC">
        <w:rPr>
          <w:rFonts w:ascii="Book Antiqua" w:hAnsi="Book Antiqua"/>
          <w:color w:val="000000" w:themeColor="text1"/>
        </w:rPr>
        <w:t>En lo que respecta al Tribunal Penal de Golfito le correspondió atender un juicio con duración estimada en tres meses. En Golfito el tribunal solo tiene 3 jueces, eso dejaría sin poder prestarse el servicio público mientras se celebra el debate en otra localidad. Asimismo, se requeriría la colaboración de personal técnico que de soporte en el juico.</w:t>
      </w:r>
    </w:p>
    <w:p w14:paraId="1879B7B7" w14:textId="77777777" w:rsidR="008B51FC" w:rsidRPr="008B51FC" w:rsidRDefault="008B51FC" w:rsidP="00985591">
      <w:pPr>
        <w:spacing w:line="276" w:lineRule="auto"/>
        <w:jc w:val="both"/>
        <w:rPr>
          <w:rFonts w:ascii="Book Antiqua" w:hAnsi="Book Antiqua"/>
          <w:color w:val="000000" w:themeColor="text1"/>
        </w:rPr>
      </w:pPr>
    </w:p>
    <w:p w14:paraId="1089ADEB" w14:textId="77777777" w:rsidR="008B51FC" w:rsidRPr="008B51FC" w:rsidRDefault="008B51FC" w:rsidP="00985591">
      <w:pPr>
        <w:spacing w:line="276" w:lineRule="auto"/>
        <w:jc w:val="both"/>
        <w:rPr>
          <w:rFonts w:ascii="Book Antiqua" w:hAnsi="Book Antiqua"/>
          <w:color w:val="000000" w:themeColor="text1"/>
        </w:rPr>
      </w:pPr>
      <w:r w:rsidRPr="008B51FC">
        <w:rPr>
          <w:rFonts w:ascii="Book Antiqua" w:hAnsi="Book Antiqua"/>
          <w:color w:val="000000" w:themeColor="text1"/>
        </w:rPr>
        <w:t>Sobre el Tribunal Penal de Quepos, para el mes de julio le correspondió atender un juicio largo del 5/7/21 al 16/07/21, lo que le imposibilitó el cumplimiento de las cuotas de trabajo.</w:t>
      </w:r>
    </w:p>
    <w:p w14:paraId="0CE1B9F6" w14:textId="77777777" w:rsidR="008B51FC" w:rsidRPr="008B51FC" w:rsidRDefault="008B51FC" w:rsidP="00985591">
      <w:pPr>
        <w:spacing w:line="276" w:lineRule="auto"/>
        <w:jc w:val="both"/>
        <w:rPr>
          <w:rFonts w:ascii="Book Antiqua" w:hAnsi="Book Antiqua"/>
          <w:color w:val="000000" w:themeColor="text1"/>
        </w:rPr>
      </w:pPr>
    </w:p>
    <w:p w14:paraId="0E17B0D4" w14:textId="13A8C669" w:rsidR="00FB0F46" w:rsidRDefault="008B51FC" w:rsidP="00027FE7">
      <w:pPr>
        <w:spacing w:line="276" w:lineRule="auto"/>
        <w:jc w:val="both"/>
        <w:rPr>
          <w:rFonts w:ascii="Book Antiqua" w:hAnsi="Book Antiqua"/>
          <w:color w:val="000000" w:themeColor="text1"/>
        </w:rPr>
      </w:pPr>
      <w:r w:rsidRPr="008B51FC">
        <w:rPr>
          <w:rFonts w:ascii="Book Antiqua" w:hAnsi="Book Antiqua"/>
          <w:color w:val="000000" w:themeColor="text1"/>
        </w:rPr>
        <w:t>El Tribunal Penal del Primer Circuito Judicial de San José para este período le correspondió atender dos juicios de tramitación compleja que le imposibilitaron llegar a las metas esperadas.</w:t>
      </w:r>
    </w:p>
    <w:p w14:paraId="4CD05C32" w14:textId="77777777" w:rsidR="005E16D4" w:rsidRDefault="005E16D4" w:rsidP="00027FE7">
      <w:pPr>
        <w:spacing w:line="276" w:lineRule="auto"/>
        <w:jc w:val="both"/>
        <w:rPr>
          <w:rFonts w:ascii="Book Antiqua" w:hAnsi="Book Antiqua"/>
          <w:b/>
          <w:color w:val="000000" w:themeColor="text1"/>
        </w:rPr>
      </w:pPr>
    </w:p>
    <w:p w14:paraId="3C300F48" w14:textId="7C4CCFA2" w:rsidR="00133AD1" w:rsidRPr="004F0E92" w:rsidRDefault="00133AD1" w:rsidP="00985591">
      <w:pPr>
        <w:spacing w:line="276" w:lineRule="auto"/>
        <w:jc w:val="center"/>
        <w:rPr>
          <w:rFonts w:ascii="Book Antiqua" w:hAnsi="Book Antiqua"/>
          <w:b/>
          <w:color w:val="000000" w:themeColor="text1"/>
        </w:rPr>
      </w:pPr>
      <w:r w:rsidRPr="004F0E92">
        <w:rPr>
          <w:rFonts w:ascii="Book Antiqua" w:hAnsi="Book Antiqua"/>
          <w:b/>
          <w:color w:val="000000" w:themeColor="text1"/>
        </w:rPr>
        <w:t xml:space="preserve">Cuadro </w:t>
      </w:r>
      <w:r w:rsidR="00FB0F46">
        <w:rPr>
          <w:rFonts w:ascii="Book Antiqua" w:hAnsi="Book Antiqua"/>
          <w:b/>
          <w:color w:val="000000" w:themeColor="text1"/>
        </w:rPr>
        <w:t>5</w:t>
      </w:r>
      <w:r w:rsidR="0052233C">
        <w:rPr>
          <w:rFonts w:ascii="Book Antiqua" w:hAnsi="Book Antiqua"/>
          <w:b/>
          <w:color w:val="000000" w:themeColor="text1"/>
        </w:rPr>
        <w:t>7</w:t>
      </w:r>
    </w:p>
    <w:p w14:paraId="1AC716C6" w14:textId="77777777" w:rsidR="00133AD1" w:rsidRPr="00836AC0" w:rsidRDefault="00133AD1" w:rsidP="00985591">
      <w:pPr>
        <w:spacing w:line="276" w:lineRule="auto"/>
        <w:jc w:val="center"/>
        <w:rPr>
          <w:rFonts w:ascii="Book Antiqua" w:hAnsi="Book Antiqua"/>
          <w:bCs/>
          <w:color w:val="000000" w:themeColor="text1"/>
        </w:rPr>
      </w:pPr>
      <w:r w:rsidRPr="00836AC0">
        <w:rPr>
          <w:rFonts w:ascii="Book Antiqua" w:hAnsi="Book Antiqua"/>
          <w:bCs/>
          <w:color w:val="000000" w:themeColor="text1"/>
        </w:rPr>
        <w:t xml:space="preserve">Cumplimiento del parámetro de producción </w:t>
      </w:r>
    </w:p>
    <w:p w14:paraId="308DA06B" w14:textId="3FF395CB" w:rsidR="00133AD1" w:rsidRDefault="00133AD1" w:rsidP="005E16D4">
      <w:pPr>
        <w:spacing w:line="276" w:lineRule="auto"/>
        <w:jc w:val="center"/>
        <w:rPr>
          <w:rFonts w:ascii="Book Antiqua" w:hAnsi="Book Antiqua"/>
          <w:bCs/>
          <w:color w:val="000000" w:themeColor="text1"/>
        </w:rPr>
      </w:pPr>
      <w:r w:rsidRPr="00836AC0">
        <w:rPr>
          <w:rFonts w:ascii="Book Antiqua" w:hAnsi="Book Antiqua"/>
          <w:bCs/>
          <w:color w:val="000000" w:themeColor="text1"/>
        </w:rPr>
        <w:t xml:space="preserve">teórico de Tribunales Penales durante </w:t>
      </w:r>
      <w:r w:rsidR="00090D4F">
        <w:rPr>
          <w:rFonts w:ascii="Book Antiqua" w:hAnsi="Book Antiqua"/>
          <w:bCs/>
          <w:color w:val="000000" w:themeColor="text1"/>
        </w:rPr>
        <w:t>julio</w:t>
      </w:r>
      <w:r w:rsidRPr="00836AC0">
        <w:rPr>
          <w:rFonts w:ascii="Book Antiqua" w:hAnsi="Book Antiqua"/>
          <w:bCs/>
          <w:color w:val="000000" w:themeColor="text1"/>
        </w:rPr>
        <w:t xml:space="preserve"> 2021</w:t>
      </w:r>
      <w:r>
        <w:rPr>
          <w:rFonts w:ascii="Book Antiqua" w:hAnsi="Book Antiqua"/>
          <w:bCs/>
          <w:color w:val="000000" w:themeColor="text1"/>
        </w:rPr>
        <w:t xml:space="preserve"> </w:t>
      </w:r>
    </w:p>
    <w:tbl>
      <w:tblPr>
        <w:tblW w:w="9721" w:type="dxa"/>
        <w:jc w:val="center"/>
        <w:tblCellMar>
          <w:left w:w="70" w:type="dxa"/>
          <w:right w:w="70" w:type="dxa"/>
        </w:tblCellMar>
        <w:tblLook w:val="04A0" w:firstRow="1" w:lastRow="0" w:firstColumn="1" w:lastColumn="0" w:noHBand="0" w:noVBand="1"/>
      </w:tblPr>
      <w:tblGrid>
        <w:gridCol w:w="6121"/>
        <w:gridCol w:w="1785"/>
        <w:gridCol w:w="979"/>
        <w:gridCol w:w="836"/>
      </w:tblGrid>
      <w:tr w:rsidR="003D335E" w:rsidRPr="005E16D4" w14:paraId="5174CC4E" w14:textId="77777777" w:rsidTr="00492894">
        <w:trPr>
          <w:trHeight w:val="730"/>
          <w:jc w:val="center"/>
        </w:trPr>
        <w:tc>
          <w:tcPr>
            <w:tcW w:w="6121" w:type="dxa"/>
            <w:vMerge w:val="restart"/>
            <w:tcBorders>
              <w:top w:val="single" w:sz="4" w:space="0" w:color="auto"/>
              <w:left w:val="single" w:sz="4" w:space="0" w:color="auto"/>
              <w:bottom w:val="single" w:sz="4" w:space="0" w:color="000000"/>
              <w:right w:val="single" w:sz="4" w:space="0" w:color="auto"/>
            </w:tcBorders>
            <w:shd w:val="clear" w:color="000000" w:fill="305496"/>
            <w:noWrap/>
            <w:vAlign w:val="center"/>
            <w:hideMark/>
          </w:tcPr>
          <w:p w14:paraId="36C630D8" w14:textId="77777777" w:rsidR="003D335E" w:rsidRPr="005E16D4" w:rsidRDefault="003D335E" w:rsidP="003D335E">
            <w:pPr>
              <w:jc w:val="center"/>
              <w:rPr>
                <w:rFonts w:ascii="Book Antiqua" w:hAnsi="Book Antiqua" w:cs="Calibri"/>
                <w:b/>
                <w:bCs/>
                <w:color w:val="FFFFFF"/>
                <w:sz w:val="16"/>
                <w:szCs w:val="16"/>
                <w:lang w:eastAsia="es-CR"/>
              </w:rPr>
            </w:pPr>
            <w:r w:rsidRPr="005E16D4">
              <w:rPr>
                <w:rFonts w:ascii="Book Antiqua" w:hAnsi="Book Antiqua" w:cs="Calibri"/>
                <w:b/>
                <w:bCs/>
                <w:color w:val="FFFFFF"/>
                <w:sz w:val="16"/>
                <w:szCs w:val="16"/>
                <w:lang w:eastAsia="es-CR"/>
              </w:rPr>
              <w:t>Despacho</w:t>
            </w:r>
          </w:p>
        </w:tc>
        <w:tc>
          <w:tcPr>
            <w:tcW w:w="3600" w:type="dxa"/>
            <w:gridSpan w:val="3"/>
            <w:tcBorders>
              <w:top w:val="nil"/>
              <w:left w:val="single" w:sz="4" w:space="0" w:color="auto"/>
              <w:bottom w:val="single" w:sz="4" w:space="0" w:color="auto"/>
              <w:right w:val="nil"/>
            </w:tcBorders>
            <w:shd w:val="clear" w:color="000000" w:fill="305496"/>
            <w:vAlign w:val="center"/>
            <w:hideMark/>
          </w:tcPr>
          <w:p w14:paraId="6C4C981F" w14:textId="77777777" w:rsidR="003D335E" w:rsidRPr="005E16D4" w:rsidRDefault="003D335E" w:rsidP="003D335E">
            <w:pPr>
              <w:jc w:val="center"/>
              <w:rPr>
                <w:rFonts w:ascii="Book Antiqua" w:hAnsi="Book Antiqua" w:cs="Calibri"/>
                <w:b/>
                <w:bCs/>
                <w:color w:val="FFFFFF"/>
                <w:sz w:val="16"/>
                <w:szCs w:val="16"/>
                <w:lang w:eastAsia="es-CR"/>
              </w:rPr>
            </w:pPr>
            <w:r w:rsidRPr="005E16D4">
              <w:rPr>
                <w:rFonts w:ascii="Book Antiqua" w:hAnsi="Book Antiqua" w:cs="Calibri"/>
                <w:b/>
                <w:bCs/>
                <w:color w:val="FFFFFF"/>
                <w:sz w:val="16"/>
                <w:szCs w:val="16"/>
                <w:lang w:eastAsia="es-CR"/>
              </w:rPr>
              <w:t xml:space="preserve">Porcentaje de cumplimiento Sentencias / Medida alterna </w:t>
            </w:r>
          </w:p>
        </w:tc>
      </w:tr>
      <w:tr w:rsidR="003D335E" w:rsidRPr="005E16D4" w14:paraId="20DD1535" w14:textId="77777777" w:rsidTr="00492894">
        <w:trPr>
          <w:trHeight w:val="290"/>
          <w:jc w:val="center"/>
        </w:trPr>
        <w:tc>
          <w:tcPr>
            <w:tcW w:w="6121" w:type="dxa"/>
            <w:vMerge/>
            <w:tcBorders>
              <w:top w:val="single" w:sz="4" w:space="0" w:color="auto"/>
              <w:left w:val="single" w:sz="4" w:space="0" w:color="auto"/>
              <w:bottom w:val="single" w:sz="4" w:space="0" w:color="000000"/>
              <w:right w:val="single" w:sz="4" w:space="0" w:color="auto"/>
            </w:tcBorders>
            <w:vAlign w:val="center"/>
            <w:hideMark/>
          </w:tcPr>
          <w:p w14:paraId="08CEADAC" w14:textId="77777777" w:rsidR="003D335E" w:rsidRPr="005E16D4" w:rsidRDefault="003D335E" w:rsidP="003D335E">
            <w:pPr>
              <w:rPr>
                <w:rFonts w:ascii="Book Antiqua" w:hAnsi="Book Antiqua" w:cs="Calibri"/>
                <w:b/>
                <w:bCs/>
                <w:color w:val="FFFFFF"/>
                <w:sz w:val="16"/>
                <w:szCs w:val="16"/>
                <w:lang w:eastAsia="es-CR"/>
              </w:rPr>
            </w:pPr>
          </w:p>
        </w:tc>
        <w:tc>
          <w:tcPr>
            <w:tcW w:w="1785" w:type="dxa"/>
            <w:tcBorders>
              <w:top w:val="single" w:sz="4" w:space="0" w:color="auto"/>
              <w:left w:val="nil"/>
              <w:bottom w:val="single" w:sz="4" w:space="0" w:color="auto"/>
              <w:right w:val="single" w:sz="4" w:space="0" w:color="auto"/>
            </w:tcBorders>
            <w:shd w:val="clear" w:color="000000" w:fill="AEAAAA"/>
            <w:noWrap/>
            <w:vAlign w:val="center"/>
            <w:hideMark/>
          </w:tcPr>
          <w:p w14:paraId="7BE95115" w14:textId="77777777" w:rsidR="003D335E" w:rsidRPr="005E16D4" w:rsidRDefault="003D335E" w:rsidP="003D335E">
            <w:pPr>
              <w:jc w:val="center"/>
              <w:rPr>
                <w:rFonts w:ascii="Book Antiqua" w:hAnsi="Book Antiqua" w:cs="Calibri"/>
                <w:b/>
                <w:bCs/>
                <w:color w:val="FFFFFF"/>
                <w:sz w:val="16"/>
                <w:szCs w:val="16"/>
                <w:lang w:eastAsia="es-CR"/>
              </w:rPr>
            </w:pPr>
            <w:r w:rsidRPr="005E16D4">
              <w:rPr>
                <w:rFonts w:ascii="Book Antiqua" w:hAnsi="Book Antiqua" w:cs="Calibri"/>
                <w:b/>
                <w:bCs/>
                <w:color w:val="FFFFFF"/>
                <w:sz w:val="16"/>
                <w:szCs w:val="16"/>
                <w:lang w:eastAsia="es-CR"/>
              </w:rPr>
              <w:t>Indicadores</w:t>
            </w:r>
          </w:p>
        </w:tc>
        <w:tc>
          <w:tcPr>
            <w:tcW w:w="979" w:type="dxa"/>
            <w:tcBorders>
              <w:top w:val="single" w:sz="4" w:space="0" w:color="auto"/>
              <w:left w:val="nil"/>
              <w:bottom w:val="single" w:sz="4" w:space="0" w:color="auto"/>
              <w:right w:val="single" w:sz="4" w:space="0" w:color="auto"/>
            </w:tcBorders>
            <w:shd w:val="clear" w:color="000000" w:fill="AEAAAA"/>
            <w:noWrap/>
            <w:vAlign w:val="center"/>
            <w:hideMark/>
          </w:tcPr>
          <w:p w14:paraId="40D89C46" w14:textId="77777777" w:rsidR="003D335E" w:rsidRPr="005E16D4" w:rsidRDefault="003D335E" w:rsidP="003D335E">
            <w:pPr>
              <w:jc w:val="center"/>
              <w:rPr>
                <w:rFonts w:ascii="Book Antiqua" w:hAnsi="Book Antiqua" w:cs="Calibri"/>
                <w:b/>
                <w:bCs/>
                <w:color w:val="FFFFFF"/>
                <w:sz w:val="16"/>
                <w:szCs w:val="16"/>
                <w:lang w:eastAsia="es-CR"/>
              </w:rPr>
            </w:pPr>
            <w:r w:rsidRPr="005E16D4">
              <w:rPr>
                <w:rFonts w:ascii="Book Antiqua" w:hAnsi="Book Antiqua" w:cs="Calibri"/>
                <w:b/>
                <w:bCs/>
                <w:color w:val="FFFFFF"/>
                <w:sz w:val="16"/>
                <w:szCs w:val="16"/>
                <w:lang w:eastAsia="es-CR"/>
              </w:rPr>
              <w:t>Sigma</w:t>
            </w:r>
          </w:p>
        </w:tc>
        <w:tc>
          <w:tcPr>
            <w:tcW w:w="836" w:type="dxa"/>
            <w:tcBorders>
              <w:top w:val="single" w:sz="4" w:space="0" w:color="auto"/>
              <w:left w:val="nil"/>
              <w:bottom w:val="single" w:sz="4" w:space="0" w:color="auto"/>
              <w:right w:val="single" w:sz="4" w:space="0" w:color="auto"/>
            </w:tcBorders>
            <w:shd w:val="clear" w:color="000000" w:fill="AEAAAA"/>
            <w:noWrap/>
            <w:vAlign w:val="center"/>
            <w:hideMark/>
          </w:tcPr>
          <w:p w14:paraId="50EFF6D4" w14:textId="77777777" w:rsidR="003D335E" w:rsidRPr="005E16D4" w:rsidRDefault="003D335E" w:rsidP="003D335E">
            <w:pPr>
              <w:jc w:val="center"/>
              <w:rPr>
                <w:rFonts w:ascii="Book Antiqua" w:hAnsi="Book Antiqua" w:cs="Calibri"/>
                <w:b/>
                <w:bCs/>
                <w:color w:val="FFFFFF"/>
                <w:sz w:val="16"/>
                <w:szCs w:val="16"/>
                <w:lang w:eastAsia="es-CR"/>
              </w:rPr>
            </w:pPr>
            <w:r w:rsidRPr="005E16D4">
              <w:rPr>
                <w:rFonts w:ascii="Book Antiqua" w:hAnsi="Book Antiqua" w:cs="Calibri"/>
                <w:b/>
                <w:bCs/>
                <w:color w:val="FFFFFF"/>
                <w:sz w:val="16"/>
                <w:szCs w:val="16"/>
                <w:lang w:eastAsia="es-CR"/>
              </w:rPr>
              <w:t>Dif%</w:t>
            </w:r>
          </w:p>
        </w:tc>
      </w:tr>
      <w:tr w:rsidR="003D335E" w:rsidRPr="005E16D4" w14:paraId="754FD057" w14:textId="77777777" w:rsidTr="00492894">
        <w:trPr>
          <w:trHeight w:val="290"/>
          <w:jc w:val="center"/>
        </w:trPr>
        <w:tc>
          <w:tcPr>
            <w:tcW w:w="6121" w:type="dxa"/>
            <w:tcBorders>
              <w:top w:val="nil"/>
              <w:left w:val="single" w:sz="4" w:space="0" w:color="auto"/>
              <w:bottom w:val="single" w:sz="4" w:space="0" w:color="auto"/>
              <w:right w:val="single" w:sz="4" w:space="0" w:color="auto"/>
            </w:tcBorders>
            <w:shd w:val="clear" w:color="auto" w:fill="auto"/>
            <w:noWrap/>
            <w:vAlign w:val="center"/>
            <w:hideMark/>
          </w:tcPr>
          <w:p w14:paraId="5C836533" w14:textId="77777777" w:rsidR="003D335E" w:rsidRPr="005E16D4" w:rsidRDefault="003D335E" w:rsidP="003D335E">
            <w:pP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Tribunal Penal del Segundo Circuito Judicial de la Zona Atlántica (Siquirres)</w:t>
            </w:r>
          </w:p>
        </w:tc>
        <w:tc>
          <w:tcPr>
            <w:tcW w:w="1785" w:type="dxa"/>
            <w:tcBorders>
              <w:top w:val="nil"/>
              <w:left w:val="nil"/>
              <w:bottom w:val="single" w:sz="4" w:space="0" w:color="auto"/>
              <w:right w:val="single" w:sz="4" w:space="0" w:color="auto"/>
            </w:tcBorders>
            <w:shd w:val="clear" w:color="auto" w:fill="auto"/>
            <w:noWrap/>
            <w:vAlign w:val="center"/>
            <w:hideMark/>
          </w:tcPr>
          <w:p w14:paraId="37CE324A" w14:textId="77777777" w:rsidR="003D335E" w:rsidRPr="005E16D4" w:rsidRDefault="003D335E" w:rsidP="003D335E">
            <w:pPr>
              <w:jc w:val="cente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183%</w:t>
            </w:r>
          </w:p>
        </w:tc>
        <w:tc>
          <w:tcPr>
            <w:tcW w:w="979" w:type="dxa"/>
            <w:tcBorders>
              <w:top w:val="nil"/>
              <w:left w:val="nil"/>
              <w:bottom w:val="single" w:sz="4" w:space="0" w:color="auto"/>
              <w:right w:val="single" w:sz="4" w:space="0" w:color="auto"/>
            </w:tcBorders>
            <w:shd w:val="clear" w:color="auto" w:fill="auto"/>
            <w:noWrap/>
            <w:vAlign w:val="center"/>
            <w:hideMark/>
          </w:tcPr>
          <w:p w14:paraId="7C6C15C6" w14:textId="77777777" w:rsidR="003D335E" w:rsidRPr="005E16D4" w:rsidRDefault="003D335E" w:rsidP="003D335E">
            <w:pPr>
              <w:jc w:val="cente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179%</w:t>
            </w:r>
          </w:p>
        </w:tc>
        <w:tc>
          <w:tcPr>
            <w:tcW w:w="836" w:type="dxa"/>
            <w:tcBorders>
              <w:top w:val="nil"/>
              <w:left w:val="nil"/>
              <w:bottom w:val="single" w:sz="4" w:space="0" w:color="auto"/>
              <w:right w:val="single" w:sz="4" w:space="0" w:color="auto"/>
            </w:tcBorders>
            <w:shd w:val="clear" w:color="000000" w:fill="EDEDED"/>
            <w:noWrap/>
            <w:vAlign w:val="center"/>
            <w:hideMark/>
          </w:tcPr>
          <w:p w14:paraId="598C456A" w14:textId="77777777" w:rsidR="003D335E" w:rsidRPr="005E16D4" w:rsidRDefault="003D335E" w:rsidP="003D335E">
            <w:pPr>
              <w:jc w:val="cente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-4%</w:t>
            </w:r>
          </w:p>
        </w:tc>
      </w:tr>
      <w:tr w:rsidR="003D335E" w:rsidRPr="005E16D4" w14:paraId="151B8111" w14:textId="77777777" w:rsidTr="00492894">
        <w:trPr>
          <w:trHeight w:val="290"/>
          <w:jc w:val="center"/>
        </w:trPr>
        <w:tc>
          <w:tcPr>
            <w:tcW w:w="6121" w:type="dxa"/>
            <w:tcBorders>
              <w:top w:val="nil"/>
              <w:left w:val="single" w:sz="4" w:space="0" w:color="auto"/>
              <w:bottom w:val="single" w:sz="4" w:space="0" w:color="auto"/>
              <w:right w:val="single" w:sz="4" w:space="0" w:color="auto"/>
            </w:tcBorders>
            <w:shd w:val="clear" w:color="auto" w:fill="auto"/>
            <w:noWrap/>
            <w:vAlign w:val="center"/>
            <w:hideMark/>
          </w:tcPr>
          <w:p w14:paraId="11F89BD6" w14:textId="77777777" w:rsidR="003D335E" w:rsidRPr="005E16D4" w:rsidRDefault="003D335E" w:rsidP="003D335E">
            <w:pP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Tribunal Penal del Primer Circuito Judicial de Guanacaste (Cañas)</w:t>
            </w:r>
          </w:p>
        </w:tc>
        <w:tc>
          <w:tcPr>
            <w:tcW w:w="1785" w:type="dxa"/>
            <w:tcBorders>
              <w:top w:val="nil"/>
              <w:left w:val="nil"/>
              <w:bottom w:val="single" w:sz="4" w:space="0" w:color="auto"/>
              <w:right w:val="single" w:sz="4" w:space="0" w:color="auto"/>
            </w:tcBorders>
            <w:shd w:val="clear" w:color="auto" w:fill="auto"/>
            <w:noWrap/>
            <w:vAlign w:val="center"/>
            <w:hideMark/>
          </w:tcPr>
          <w:p w14:paraId="097F0888" w14:textId="77777777" w:rsidR="003D335E" w:rsidRPr="005E16D4" w:rsidRDefault="003D335E" w:rsidP="003D335E">
            <w:pPr>
              <w:jc w:val="cente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131%</w:t>
            </w:r>
          </w:p>
        </w:tc>
        <w:tc>
          <w:tcPr>
            <w:tcW w:w="979" w:type="dxa"/>
            <w:tcBorders>
              <w:top w:val="nil"/>
              <w:left w:val="nil"/>
              <w:bottom w:val="single" w:sz="4" w:space="0" w:color="auto"/>
              <w:right w:val="single" w:sz="4" w:space="0" w:color="auto"/>
            </w:tcBorders>
            <w:shd w:val="clear" w:color="auto" w:fill="auto"/>
            <w:noWrap/>
            <w:vAlign w:val="center"/>
            <w:hideMark/>
          </w:tcPr>
          <w:p w14:paraId="69770E30" w14:textId="77777777" w:rsidR="003D335E" w:rsidRPr="005E16D4" w:rsidRDefault="003D335E" w:rsidP="003D335E">
            <w:pPr>
              <w:jc w:val="cente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125%</w:t>
            </w:r>
          </w:p>
        </w:tc>
        <w:tc>
          <w:tcPr>
            <w:tcW w:w="836" w:type="dxa"/>
            <w:tcBorders>
              <w:top w:val="nil"/>
              <w:left w:val="nil"/>
              <w:bottom w:val="single" w:sz="4" w:space="0" w:color="auto"/>
              <w:right w:val="single" w:sz="4" w:space="0" w:color="auto"/>
            </w:tcBorders>
            <w:shd w:val="clear" w:color="000000" w:fill="EDEDED"/>
            <w:noWrap/>
            <w:vAlign w:val="center"/>
            <w:hideMark/>
          </w:tcPr>
          <w:p w14:paraId="17683DE7" w14:textId="77777777" w:rsidR="003D335E" w:rsidRPr="005E16D4" w:rsidRDefault="003D335E" w:rsidP="003D335E">
            <w:pPr>
              <w:jc w:val="cente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-6%</w:t>
            </w:r>
          </w:p>
        </w:tc>
      </w:tr>
      <w:tr w:rsidR="003D335E" w:rsidRPr="005E16D4" w14:paraId="16E1B32F" w14:textId="77777777" w:rsidTr="00492894">
        <w:trPr>
          <w:trHeight w:val="290"/>
          <w:jc w:val="center"/>
        </w:trPr>
        <w:tc>
          <w:tcPr>
            <w:tcW w:w="6121" w:type="dxa"/>
            <w:tcBorders>
              <w:top w:val="nil"/>
              <w:left w:val="single" w:sz="4" w:space="0" w:color="auto"/>
              <w:bottom w:val="single" w:sz="4" w:space="0" w:color="auto"/>
              <w:right w:val="single" w:sz="4" w:space="0" w:color="auto"/>
            </w:tcBorders>
            <w:shd w:val="clear" w:color="auto" w:fill="auto"/>
            <w:noWrap/>
            <w:vAlign w:val="center"/>
            <w:hideMark/>
          </w:tcPr>
          <w:p w14:paraId="5B331ADA" w14:textId="77777777" w:rsidR="003D335E" w:rsidRPr="005E16D4" w:rsidRDefault="003D335E" w:rsidP="003D335E">
            <w:pP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Tribunal Penal Primer Circuito Judicial de Alajuela</w:t>
            </w:r>
          </w:p>
        </w:tc>
        <w:tc>
          <w:tcPr>
            <w:tcW w:w="1785" w:type="dxa"/>
            <w:tcBorders>
              <w:top w:val="nil"/>
              <w:left w:val="nil"/>
              <w:bottom w:val="single" w:sz="4" w:space="0" w:color="auto"/>
              <w:right w:val="single" w:sz="4" w:space="0" w:color="auto"/>
            </w:tcBorders>
            <w:shd w:val="clear" w:color="auto" w:fill="auto"/>
            <w:noWrap/>
            <w:vAlign w:val="center"/>
            <w:hideMark/>
          </w:tcPr>
          <w:p w14:paraId="529A0771" w14:textId="77777777" w:rsidR="003D335E" w:rsidRPr="005E16D4" w:rsidRDefault="003D335E" w:rsidP="003D335E">
            <w:pPr>
              <w:jc w:val="cente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131%</w:t>
            </w:r>
          </w:p>
        </w:tc>
        <w:tc>
          <w:tcPr>
            <w:tcW w:w="979" w:type="dxa"/>
            <w:tcBorders>
              <w:top w:val="nil"/>
              <w:left w:val="nil"/>
              <w:bottom w:val="single" w:sz="4" w:space="0" w:color="auto"/>
              <w:right w:val="single" w:sz="4" w:space="0" w:color="auto"/>
            </w:tcBorders>
            <w:shd w:val="clear" w:color="auto" w:fill="auto"/>
            <w:noWrap/>
            <w:vAlign w:val="center"/>
            <w:hideMark/>
          </w:tcPr>
          <w:p w14:paraId="7A1C699E" w14:textId="77777777" w:rsidR="003D335E" w:rsidRPr="005E16D4" w:rsidRDefault="003D335E" w:rsidP="003D335E">
            <w:pPr>
              <w:jc w:val="cente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90%</w:t>
            </w:r>
          </w:p>
        </w:tc>
        <w:tc>
          <w:tcPr>
            <w:tcW w:w="836" w:type="dxa"/>
            <w:tcBorders>
              <w:top w:val="nil"/>
              <w:left w:val="nil"/>
              <w:bottom w:val="single" w:sz="4" w:space="0" w:color="auto"/>
              <w:right w:val="single" w:sz="4" w:space="0" w:color="auto"/>
            </w:tcBorders>
            <w:shd w:val="clear" w:color="000000" w:fill="EDEDED"/>
            <w:noWrap/>
            <w:vAlign w:val="center"/>
            <w:hideMark/>
          </w:tcPr>
          <w:p w14:paraId="2F0CBDFF" w14:textId="77777777" w:rsidR="003D335E" w:rsidRPr="005E16D4" w:rsidRDefault="003D335E" w:rsidP="003D335E">
            <w:pPr>
              <w:jc w:val="cente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-41%</w:t>
            </w:r>
          </w:p>
        </w:tc>
      </w:tr>
      <w:tr w:rsidR="003D335E" w:rsidRPr="005E16D4" w14:paraId="082EB8B4" w14:textId="77777777" w:rsidTr="00492894">
        <w:trPr>
          <w:trHeight w:val="290"/>
          <w:jc w:val="center"/>
        </w:trPr>
        <w:tc>
          <w:tcPr>
            <w:tcW w:w="6121" w:type="dxa"/>
            <w:tcBorders>
              <w:top w:val="nil"/>
              <w:left w:val="single" w:sz="4" w:space="0" w:color="auto"/>
              <w:bottom w:val="single" w:sz="4" w:space="0" w:color="auto"/>
              <w:right w:val="single" w:sz="4" w:space="0" w:color="auto"/>
            </w:tcBorders>
            <w:shd w:val="clear" w:color="auto" w:fill="auto"/>
            <w:noWrap/>
            <w:vAlign w:val="center"/>
            <w:hideMark/>
          </w:tcPr>
          <w:p w14:paraId="6BA3D9DA" w14:textId="77777777" w:rsidR="003D335E" w:rsidRPr="005E16D4" w:rsidRDefault="003D335E" w:rsidP="003D335E">
            <w:pP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Tribunal Penal de Cartago</w:t>
            </w:r>
          </w:p>
        </w:tc>
        <w:tc>
          <w:tcPr>
            <w:tcW w:w="1785" w:type="dxa"/>
            <w:tcBorders>
              <w:top w:val="nil"/>
              <w:left w:val="nil"/>
              <w:bottom w:val="single" w:sz="4" w:space="0" w:color="auto"/>
              <w:right w:val="single" w:sz="4" w:space="0" w:color="auto"/>
            </w:tcBorders>
            <w:shd w:val="clear" w:color="auto" w:fill="auto"/>
            <w:noWrap/>
            <w:vAlign w:val="center"/>
            <w:hideMark/>
          </w:tcPr>
          <w:p w14:paraId="07E980DA" w14:textId="77777777" w:rsidR="003D335E" w:rsidRPr="005E16D4" w:rsidRDefault="003D335E" w:rsidP="003D335E">
            <w:pPr>
              <w:jc w:val="cente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130%</w:t>
            </w:r>
          </w:p>
        </w:tc>
        <w:tc>
          <w:tcPr>
            <w:tcW w:w="979" w:type="dxa"/>
            <w:tcBorders>
              <w:top w:val="nil"/>
              <w:left w:val="nil"/>
              <w:bottom w:val="single" w:sz="4" w:space="0" w:color="auto"/>
              <w:right w:val="single" w:sz="4" w:space="0" w:color="auto"/>
            </w:tcBorders>
            <w:shd w:val="clear" w:color="auto" w:fill="auto"/>
            <w:noWrap/>
            <w:vAlign w:val="center"/>
            <w:hideMark/>
          </w:tcPr>
          <w:p w14:paraId="2400DA07" w14:textId="77777777" w:rsidR="003D335E" w:rsidRPr="005E16D4" w:rsidRDefault="003D335E" w:rsidP="003D335E">
            <w:pPr>
              <w:jc w:val="cente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113%</w:t>
            </w:r>
          </w:p>
        </w:tc>
        <w:tc>
          <w:tcPr>
            <w:tcW w:w="836" w:type="dxa"/>
            <w:tcBorders>
              <w:top w:val="nil"/>
              <w:left w:val="nil"/>
              <w:bottom w:val="single" w:sz="4" w:space="0" w:color="auto"/>
              <w:right w:val="single" w:sz="4" w:space="0" w:color="auto"/>
            </w:tcBorders>
            <w:shd w:val="clear" w:color="000000" w:fill="EDEDED"/>
            <w:noWrap/>
            <w:vAlign w:val="center"/>
            <w:hideMark/>
          </w:tcPr>
          <w:p w14:paraId="4FB9062C" w14:textId="77777777" w:rsidR="003D335E" w:rsidRPr="005E16D4" w:rsidRDefault="003D335E" w:rsidP="003D335E">
            <w:pPr>
              <w:jc w:val="cente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-17%</w:t>
            </w:r>
          </w:p>
        </w:tc>
      </w:tr>
      <w:tr w:rsidR="003D335E" w:rsidRPr="005E16D4" w14:paraId="46EDA448" w14:textId="77777777" w:rsidTr="00492894">
        <w:trPr>
          <w:trHeight w:val="290"/>
          <w:jc w:val="center"/>
        </w:trPr>
        <w:tc>
          <w:tcPr>
            <w:tcW w:w="6121" w:type="dxa"/>
            <w:tcBorders>
              <w:top w:val="nil"/>
              <w:left w:val="single" w:sz="4" w:space="0" w:color="auto"/>
              <w:bottom w:val="single" w:sz="4" w:space="0" w:color="auto"/>
              <w:right w:val="single" w:sz="4" w:space="0" w:color="auto"/>
            </w:tcBorders>
            <w:shd w:val="clear" w:color="auto" w:fill="auto"/>
            <w:noWrap/>
            <w:vAlign w:val="center"/>
            <w:hideMark/>
          </w:tcPr>
          <w:p w14:paraId="03708864" w14:textId="77777777" w:rsidR="003D335E" w:rsidRPr="005E16D4" w:rsidRDefault="003D335E" w:rsidP="003D335E">
            <w:pP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Tribunal Penal de Puntarenas</w:t>
            </w:r>
          </w:p>
        </w:tc>
        <w:tc>
          <w:tcPr>
            <w:tcW w:w="1785" w:type="dxa"/>
            <w:tcBorders>
              <w:top w:val="nil"/>
              <w:left w:val="nil"/>
              <w:bottom w:val="single" w:sz="4" w:space="0" w:color="auto"/>
              <w:right w:val="single" w:sz="4" w:space="0" w:color="auto"/>
            </w:tcBorders>
            <w:shd w:val="clear" w:color="auto" w:fill="auto"/>
            <w:noWrap/>
            <w:vAlign w:val="center"/>
            <w:hideMark/>
          </w:tcPr>
          <w:p w14:paraId="0F2D243F" w14:textId="77777777" w:rsidR="003D335E" w:rsidRPr="005E16D4" w:rsidRDefault="003D335E" w:rsidP="003D335E">
            <w:pPr>
              <w:jc w:val="cente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126%</w:t>
            </w:r>
          </w:p>
        </w:tc>
        <w:tc>
          <w:tcPr>
            <w:tcW w:w="979" w:type="dxa"/>
            <w:tcBorders>
              <w:top w:val="nil"/>
              <w:left w:val="nil"/>
              <w:bottom w:val="single" w:sz="4" w:space="0" w:color="auto"/>
              <w:right w:val="single" w:sz="4" w:space="0" w:color="auto"/>
            </w:tcBorders>
            <w:shd w:val="clear" w:color="auto" w:fill="auto"/>
            <w:noWrap/>
            <w:vAlign w:val="center"/>
            <w:hideMark/>
          </w:tcPr>
          <w:p w14:paraId="51D4360A" w14:textId="77777777" w:rsidR="003D335E" w:rsidRPr="005E16D4" w:rsidRDefault="003D335E" w:rsidP="003D335E">
            <w:pPr>
              <w:jc w:val="cente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136%</w:t>
            </w:r>
          </w:p>
        </w:tc>
        <w:tc>
          <w:tcPr>
            <w:tcW w:w="836" w:type="dxa"/>
            <w:tcBorders>
              <w:top w:val="nil"/>
              <w:left w:val="nil"/>
              <w:bottom w:val="single" w:sz="4" w:space="0" w:color="auto"/>
              <w:right w:val="single" w:sz="4" w:space="0" w:color="auto"/>
            </w:tcBorders>
            <w:shd w:val="clear" w:color="000000" w:fill="EDEDED"/>
            <w:noWrap/>
            <w:vAlign w:val="center"/>
            <w:hideMark/>
          </w:tcPr>
          <w:p w14:paraId="5529FD77" w14:textId="77777777" w:rsidR="003D335E" w:rsidRPr="005E16D4" w:rsidRDefault="003D335E" w:rsidP="003D335E">
            <w:pPr>
              <w:jc w:val="cente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10%</w:t>
            </w:r>
          </w:p>
        </w:tc>
      </w:tr>
      <w:tr w:rsidR="003D335E" w:rsidRPr="005E16D4" w14:paraId="0A5A6F4B" w14:textId="77777777" w:rsidTr="00492894">
        <w:trPr>
          <w:trHeight w:val="290"/>
          <w:jc w:val="center"/>
        </w:trPr>
        <w:tc>
          <w:tcPr>
            <w:tcW w:w="6121" w:type="dxa"/>
            <w:tcBorders>
              <w:top w:val="nil"/>
              <w:left w:val="single" w:sz="4" w:space="0" w:color="auto"/>
              <w:bottom w:val="single" w:sz="4" w:space="0" w:color="auto"/>
              <w:right w:val="single" w:sz="4" w:space="0" w:color="auto"/>
            </w:tcBorders>
            <w:shd w:val="clear" w:color="auto" w:fill="auto"/>
            <w:noWrap/>
            <w:vAlign w:val="center"/>
            <w:hideMark/>
          </w:tcPr>
          <w:p w14:paraId="25C44722" w14:textId="77777777" w:rsidR="003D335E" w:rsidRPr="005E16D4" w:rsidRDefault="003D335E" w:rsidP="003D335E">
            <w:pP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Tribunal Penal del Segundo Circuito Judicial de Alajuela (San Carlos)</w:t>
            </w:r>
          </w:p>
        </w:tc>
        <w:tc>
          <w:tcPr>
            <w:tcW w:w="1785" w:type="dxa"/>
            <w:tcBorders>
              <w:top w:val="nil"/>
              <w:left w:val="nil"/>
              <w:bottom w:val="single" w:sz="4" w:space="0" w:color="auto"/>
              <w:right w:val="single" w:sz="4" w:space="0" w:color="auto"/>
            </w:tcBorders>
            <w:shd w:val="clear" w:color="auto" w:fill="auto"/>
            <w:noWrap/>
            <w:vAlign w:val="center"/>
            <w:hideMark/>
          </w:tcPr>
          <w:p w14:paraId="75E9A92F" w14:textId="77777777" w:rsidR="003D335E" w:rsidRPr="005E16D4" w:rsidRDefault="003D335E" w:rsidP="003D335E">
            <w:pPr>
              <w:jc w:val="cente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118%</w:t>
            </w:r>
          </w:p>
        </w:tc>
        <w:tc>
          <w:tcPr>
            <w:tcW w:w="979" w:type="dxa"/>
            <w:tcBorders>
              <w:top w:val="nil"/>
              <w:left w:val="nil"/>
              <w:bottom w:val="single" w:sz="4" w:space="0" w:color="auto"/>
              <w:right w:val="single" w:sz="4" w:space="0" w:color="auto"/>
            </w:tcBorders>
            <w:shd w:val="clear" w:color="auto" w:fill="auto"/>
            <w:noWrap/>
            <w:vAlign w:val="center"/>
            <w:hideMark/>
          </w:tcPr>
          <w:p w14:paraId="200C5501" w14:textId="77777777" w:rsidR="003D335E" w:rsidRPr="005E16D4" w:rsidRDefault="003D335E" w:rsidP="003D335E">
            <w:pPr>
              <w:jc w:val="cente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114%</w:t>
            </w:r>
          </w:p>
        </w:tc>
        <w:tc>
          <w:tcPr>
            <w:tcW w:w="836" w:type="dxa"/>
            <w:tcBorders>
              <w:top w:val="nil"/>
              <w:left w:val="nil"/>
              <w:bottom w:val="single" w:sz="4" w:space="0" w:color="auto"/>
              <w:right w:val="single" w:sz="4" w:space="0" w:color="auto"/>
            </w:tcBorders>
            <w:shd w:val="clear" w:color="000000" w:fill="EDEDED"/>
            <w:noWrap/>
            <w:vAlign w:val="center"/>
            <w:hideMark/>
          </w:tcPr>
          <w:p w14:paraId="1425D49E" w14:textId="77777777" w:rsidR="003D335E" w:rsidRPr="005E16D4" w:rsidRDefault="003D335E" w:rsidP="003D335E">
            <w:pPr>
              <w:jc w:val="cente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-4%</w:t>
            </w:r>
          </w:p>
        </w:tc>
      </w:tr>
      <w:tr w:rsidR="003D335E" w:rsidRPr="005E16D4" w14:paraId="14E62C61" w14:textId="77777777" w:rsidTr="00492894">
        <w:trPr>
          <w:trHeight w:val="290"/>
          <w:jc w:val="center"/>
        </w:trPr>
        <w:tc>
          <w:tcPr>
            <w:tcW w:w="6121" w:type="dxa"/>
            <w:tcBorders>
              <w:top w:val="nil"/>
              <w:left w:val="single" w:sz="4" w:space="0" w:color="auto"/>
              <w:bottom w:val="single" w:sz="4" w:space="0" w:color="auto"/>
              <w:right w:val="single" w:sz="4" w:space="0" w:color="auto"/>
            </w:tcBorders>
            <w:shd w:val="clear" w:color="auto" w:fill="auto"/>
            <w:noWrap/>
            <w:vAlign w:val="center"/>
            <w:hideMark/>
          </w:tcPr>
          <w:p w14:paraId="4A6C4512" w14:textId="50CC7F1D" w:rsidR="003D335E" w:rsidRPr="005E16D4" w:rsidRDefault="003D335E" w:rsidP="003D335E">
            <w:pP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Tribunal Penal del Tercer Circuito Judicial de Alajuela (San Ramón)</w:t>
            </w:r>
          </w:p>
        </w:tc>
        <w:tc>
          <w:tcPr>
            <w:tcW w:w="1785" w:type="dxa"/>
            <w:tcBorders>
              <w:top w:val="nil"/>
              <w:left w:val="nil"/>
              <w:bottom w:val="single" w:sz="4" w:space="0" w:color="auto"/>
              <w:right w:val="single" w:sz="4" w:space="0" w:color="auto"/>
            </w:tcBorders>
            <w:shd w:val="clear" w:color="auto" w:fill="auto"/>
            <w:noWrap/>
            <w:vAlign w:val="center"/>
            <w:hideMark/>
          </w:tcPr>
          <w:p w14:paraId="36A29F8D" w14:textId="77777777" w:rsidR="003D335E" w:rsidRPr="005E16D4" w:rsidRDefault="003D335E" w:rsidP="003D335E">
            <w:pPr>
              <w:jc w:val="cente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108%</w:t>
            </w:r>
          </w:p>
        </w:tc>
        <w:tc>
          <w:tcPr>
            <w:tcW w:w="979" w:type="dxa"/>
            <w:tcBorders>
              <w:top w:val="nil"/>
              <w:left w:val="nil"/>
              <w:bottom w:val="single" w:sz="4" w:space="0" w:color="auto"/>
              <w:right w:val="single" w:sz="4" w:space="0" w:color="auto"/>
            </w:tcBorders>
            <w:shd w:val="clear" w:color="auto" w:fill="auto"/>
            <w:noWrap/>
            <w:vAlign w:val="center"/>
            <w:hideMark/>
          </w:tcPr>
          <w:p w14:paraId="17CFC02A" w14:textId="77777777" w:rsidR="003D335E" w:rsidRPr="005E16D4" w:rsidRDefault="003D335E" w:rsidP="003D335E">
            <w:pPr>
              <w:jc w:val="cente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104%</w:t>
            </w:r>
          </w:p>
        </w:tc>
        <w:tc>
          <w:tcPr>
            <w:tcW w:w="836" w:type="dxa"/>
            <w:tcBorders>
              <w:top w:val="nil"/>
              <w:left w:val="nil"/>
              <w:bottom w:val="single" w:sz="4" w:space="0" w:color="auto"/>
              <w:right w:val="single" w:sz="4" w:space="0" w:color="auto"/>
            </w:tcBorders>
            <w:shd w:val="clear" w:color="000000" w:fill="EDEDED"/>
            <w:noWrap/>
            <w:vAlign w:val="center"/>
            <w:hideMark/>
          </w:tcPr>
          <w:p w14:paraId="180BB9DE" w14:textId="77777777" w:rsidR="003D335E" w:rsidRPr="005E16D4" w:rsidRDefault="003D335E" w:rsidP="003D335E">
            <w:pPr>
              <w:jc w:val="cente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-4%</w:t>
            </w:r>
          </w:p>
        </w:tc>
      </w:tr>
      <w:tr w:rsidR="003D335E" w:rsidRPr="005E16D4" w14:paraId="37589E91" w14:textId="77777777" w:rsidTr="00492894">
        <w:trPr>
          <w:trHeight w:val="290"/>
          <w:jc w:val="center"/>
        </w:trPr>
        <w:tc>
          <w:tcPr>
            <w:tcW w:w="6121" w:type="dxa"/>
            <w:tcBorders>
              <w:top w:val="nil"/>
              <w:left w:val="single" w:sz="4" w:space="0" w:color="auto"/>
              <w:bottom w:val="single" w:sz="4" w:space="0" w:color="auto"/>
              <w:right w:val="single" w:sz="4" w:space="0" w:color="auto"/>
            </w:tcBorders>
            <w:shd w:val="clear" w:color="auto" w:fill="auto"/>
            <w:noWrap/>
            <w:vAlign w:val="center"/>
            <w:hideMark/>
          </w:tcPr>
          <w:p w14:paraId="5D413797" w14:textId="77777777" w:rsidR="003D335E" w:rsidRPr="005E16D4" w:rsidRDefault="003D335E" w:rsidP="003D335E">
            <w:pP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Tribunal Penal del Primer Circuito Judicial de la Zona Sur (Perez Zeledón)</w:t>
            </w:r>
          </w:p>
        </w:tc>
        <w:tc>
          <w:tcPr>
            <w:tcW w:w="1785" w:type="dxa"/>
            <w:tcBorders>
              <w:top w:val="nil"/>
              <w:left w:val="nil"/>
              <w:bottom w:val="single" w:sz="4" w:space="0" w:color="auto"/>
              <w:right w:val="single" w:sz="4" w:space="0" w:color="auto"/>
            </w:tcBorders>
            <w:shd w:val="clear" w:color="auto" w:fill="auto"/>
            <w:noWrap/>
            <w:vAlign w:val="center"/>
            <w:hideMark/>
          </w:tcPr>
          <w:p w14:paraId="29FE7818" w14:textId="77777777" w:rsidR="003D335E" w:rsidRPr="005E16D4" w:rsidRDefault="003D335E" w:rsidP="003D335E">
            <w:pPr>
              <w:jc w:val="cente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104%</w:t>
            </w:r>
          </w:p>
        </w:tc>
        <w:tc>
          <w:tcPr>
            <w:tcW w:w="979" w:type="dxa"/>
            <w:tcBorders>
              <w:top w:val="nil"/>
              <w:left w:val="nil"/>
              <w:bottom w:val="single" w:sz="4" w:space="0" w:color="auto"/>
              <w:right w:val="single" w:sz="4" w:space="0" w:color="auto"/>
            </w:tcBorders>
            <w:shd w:val="clear" w:color="auto" w:fill="auto"/>
            <w:noWrap/>
            <w:vAlign w:val="center"/>
            <w:hideMark/>
          </w:tcPr>
          <w:p w14:paraId="2251FB33" w14:textId="77777777" w:rsidR="003D335E" w:rsidRPr="005E16D4" w:rsidRDefault="003D335E" w:rsidP="003D335E">
            <w:pPr>
              <w:jc w:val="cente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96%</w:t>
            </w:r>
          </w:p>
        </w:tc>
        <w:tc>
          <w:tcPr>
            <w:tcW w:w="836" w:type="dxa"/>
            <w:tcBorders>
              <w:top w:val="nil"/>
              <w:left w:val="nil"/>
              <w:bottom w:val="single" w:sz="4" w:space="0" w:color="auto"/>
              <w:right w:val="single" w:sz="4" w:space="0" w:color="auto"/>
            </w:tcBorders>
            <w:shd w:val="clear" w:color="000000" w:fill="EDEDED"/>
            <w:noWrap/>
            <w:vAlign w:val="center"/>
            <w:hideMark/>
          </w:tcPr>
          <w:p w14:paraId="3E1E9C22" w14:textId="77777777" w:rsidR="003D335E" w:rsidRPr="005E16D4" w:rsidRDefault="003D335E" w:rsidP="003D335E">
            <w:pPr>
              <w:jc w:val="cente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-9%</w:t>
            </w:r>
          </w:p>
        </w:tc>
      </w:tr>
      <w:tr w:rsidR="003D335E" w:rsidRPr="005E16D4" w14:paraId="0EDFB2E7" w14:textId="77777777" w:rsidTr="00492894">
        <w:trPr>
          <w:trHeight w:val="290"/>
          <w:jc w:val="center"/>
        </w:trPr>
        <w:tc>
          <w:tcPr>
            <w:tcW w:w="6121" w:type="dxa"/>
            <w:tcBorders>
              <w:top w:val="nil"/>
              <w:left w:val="single" w:sz="4" w:space="0" w:color="auto"/>
              <w:bottom w:val="single" w:sz="4" w:space="0" w:color="auto"/>
              <w:right w:val="single" w:sz="4" w:space="0" w:color="auto"/>
            </w:tcBorders>
            <w:shd w:val="clear" w:color="auto" w:fill="auto"/>
            <w:noWrap/>
            <w:vAlign w:val="center"/>
            <w:hideMark/>
          </w:tcPr>
          <w:p w14:paraId="5DC7EED3" w14:textId="77777777" w:rsidR="003D335E" w:rsidRPr="005E16D4" w:rsidRDefault="003D335E" w:rsidP="003D335E">
            <w:pP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Tribunal Penal del Primer Circuito Judicial de la Zona Atlántica (Limón)</w:t>
            </w:r>
          </w:p>
        </w:tc>
        <w:tc>
          <w:tcPr>
            <w:tcW w:w="1785" w:type="dxa"/>
            <w:tcBorders>
              <w:top w:val="nil"/>
              <w:left w:val="nil"/>
              <w:bottom w:val="single" w:sz="4" w:space="0" w:color="auto"/>
              <w:right w:val="single" w:sz="4" w:space="0" w:color="auto"/>
            </w:tcBorders>
            <w:shd w:val="clear" w:color="auto" w:fill="auto"/>
            <w:noWrap/>
            <w:vAlign w:val="center"/>
            <w:hideMark/>
          </w:tcPr>
          <w:p w14:paraId="5A21FFCC" w14:textId="77777777" w:rsidR="003D335E" w:rsidRPr="005E16D4" w:rsidRDefault="003D335E" w:rsidP="003D335E">
            <w:pPr>
              <w:jc w:val="cente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100%</w:t>
            </w:r>
          </w:p>
        </w:tc>
        <w:tc>
          <w:tcPr>
            <w:tcW w:w="979" w:type="dxa"/>
            <w:tcBorders>
              <w:top w:val="nil"/>
              <w:left w:val="nil"/>
              <w:bottom w:val="single" w:sz="4" w:space="0" w:color="auto"/>
              <w:right w:val="single" w:sz="4" w:space="0" w:color="auto"/>
            </w:tcBorders>
            <w:shd w:val="clear" w:color="auto" w:fill="auto"/>
            <w:noWrap/>
            <w:vAlign w:val="center"/>
            <w:hideMark/>
          </w:tcPr>
          <w:p w14:paraId="655F2B92" w14:textId="77777777" w:rsidR="003D335E" w:rsidRPr="005E16D4" w:rsidRDefault="003D335E" w:rsidP="003D335E">
            <w:pPr>
              <w:jc w:val="cente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129%</w:t>
            </w:r>
          </w:p>
        </w:tc>
        <w:tc>
          <w:tcPr>
            <w:tcW w:w="836" w:type="dxa"/>
            <w:tcBorders>
              <w:top w:val="nil"/>
              <w:left w:val="nil"/>
              <w:bottom w:val="single" w:sz="4" w:space="0" w:color="auto"/>
              <w:right w:val="single" w:sz="4" w:space="0" w:color="auto"/>
            </w:tcBorders>
            <w:shd w:val="clear" w:color="000000" w:fill="EDEDED"/>
            <w:noWrap/>
            <w:vAlign w:val="center"/>
            <w:hideMark/>
          </w:tcPr>
          <w:p w14:paraId="0F17608D" w14:textId="77777777" w:rsidR="003D335E" w:rsidRPr="005E16D4" w:rsidRDefault="003D335E" w:rsidP="003D335E">
            <w:pPr>
              <w:jc w:val="cente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29%</w:t>
            </w:r>
          </w:p>
        </w:tc>
      </w:tr>
      <w:tr w:rsidR="003D335E" w:rsidRPr="005E16D4" w14:paraId="663D6CF7" w14:textId="77777777" w:rsidTr="00492894">
        <w:trPr>
          <w:trHeight w:val="290"/>
          <w:jc w:val="center"/>
        </w:trPr>
        <w:tc>
          <w:tcPr>
            <w:tcW w:w="6121" w:type="dxa"/>
            <w:tcBorders>
              <w:top w:val="nil"/>
              <w:left w:val="single" w:sz="4" w:space="0" w:color="auto"/>
              <w:bottom w:val="single" w:sz="4" w:space="0" w:color="auto"/>
              <w:right w:val="single" w:sz="4" w:space="0" w:color="auto"/>
            </w:tcBorders>
            <w:shd w:val="clear" w:color="auto" w:fill="auto"/>
            <w:noWrap/>
            <w:vAlign w:val="center"/>
            <w:hideMark/>
          </w:tcPr>
          <w:p w14:paraId="36DF0BCE" w14:textId="77777777" w:rsidR="003D335E" w:rsidRPr="005E16D4" w:rsidRDefault="003D335E" w:rsidP="003D335E">
            <w:pP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 xml:space="preserve">Tribunal Penal de Heredia </w:t>
            </w:r>
          </w:p>
        </w:tc>
        <w:tc>
          <w:tcPr>
            <w:tcW w:w="1785" w:type="dxa"/>
            <w:tcBorders>
              <w:top w:val="nil"/>
              <w:left w:val="nil"/>
              <w:bottom w:val="single" w:sz="4" w:space="0" w:color="auto"/>
              <w:right w:val="single" w:sz="4" w:space="0" w:color="auto"/>
            </w:tcBorders>
            <w:shd w:val="clear" w:color="auto" w:fill="auto"/>
            <w:noWrap/>
            <w:vAlign w:val="center"/>
            <w:hideMark/>
          </w:tcPr>
          <w:p w14:paraId="25D4A70B" w14:textId="77777777" w:rsidR="003D335E" w:rsidRPr="005E16D4" w:rsidRDefault="003D335E" w:rsidP="003D335E">
            <w:pPr>
              <w:jc w:val="cente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94%</w:t>
            </w:r>
          </w:p>
        </w:tc>
        <w:tc>
          <w:tcPr>
            <w:tcW w:w="979" w:type="dxa"/>
            <w:tcBorders>
              <w:top w:val="nil"/>
              <w:left w:val="nil"/>
              <w:bottom w:val="single" w:sz="4" w:space="0" w:color="auto"/>
              <w:right w:val="single" w:sz="4" w:space="0" w:color="auto"/>
            </w:tcBorders>
            <w:shd w:val="clear" w:color="auto" w:fill="auto"/>
            <w:noWrap/>
            <w:vAlign w:val="center"/>
            <w:hideMark/>
          </w:tcPr>
          <w:p w14:paraId="6A19163A" w14:textId="77777777" w:rsidR="003D335E" w:rsidRPr="005E16D4" w:rsidRDefault="003D335E" w:rsidP="003D335E">
            <w:pPr>
              <w:jc w:val="cente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108%</w:t>
            </w:r>
          </w:p>
        </w:tc>
        <w:tc>
          <w:tcPr>
            <w:tcW w:w="836" w:type="dxa"/>
            <w:tcBorders>
              <w:top w:val="nil"/>
              <w:left w:val="nil"/>
              <w:bottom w:val="single" w:sz="4" w:space="0" w:color="auto"/>
              <w:right w:val="single" w:sz="4" w:space="0" w:color="auto"/>
            </w:tcBorders>
            <w:shd w:val="clear" w:color="000000" w:fill="EDEDED"/>
            <w:noWrap/>
            <w:vAlign w:val="center"/>
            <w:hideMark/>
          </w:tcPr>
          <w:p w14:paraId="5F76A8FA" w14:textId="77777777" w:rsidR="003D335E" w:rsidRPr="005E16D4" w:rsidRDefault="003D335E" w:rsidP="003D335E">
            <w:pPr>
              <w:jc w:val="cente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14%</w:t>
            </w:r>
          </w:p>
        </w:tc>
      </w:tr>
      <w:tr w:rsidR="003D335E" w:rsidRPr="005E16D4" w14:paraId="6161F91B" w14:textId="77777777" w:rsidTr="00492894">
        <w:trPr>
          <w:trHeight w:val="290"/>
          <w:jc w:val="center"/>
        </w:trPr>
        <w:tc>
          <w:tcPr>
            <w:tcW w:w="6121" w:type="dxa"/>
            <w:tcBorders>
              <w:top w:val="nil"/>
              <w:left w:val="single" w:sz="4" w:space="0" w:color="auto"/>
              <w:bottom w:val="single" w:sz="4" w:space="0" w:color="auto"/>
              <w:right w:val="single" w:sz="4" w:space="0" w:color="auto"/>
            </w:tcBorders>
            <w:shd w:val="clear" w:color="auto" w:fill="auto"/>
            <w:noWrap/>
            <w:vAlign w:val="center"/>
            <w:hideMark/>
          </w:tcPr>
          <w:p w14:paraId="5D8A1A05" w14:textId="77777777" w:rsidR="003D335E" w:rsidRPr="005E16D4" w:rsidRDefault="003D335E" w:rsidP="003D335E">
            <w:pP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Tribunal Penal del Segundo Circuito Judicial de Guanacaste (Nicoya)</w:t>
            </w:r>
          </w:p>
        </w:tc>
        <w:tc>
          <w:tcPr>
            <w:tcW w:w="1785" w:type="dxa"/>
            <w:tcBorders>
              <w:top w:val="nil"/>
              <w:left w:val="nil"/>
              <w:bottom w:val="single" w:sz="4" w:space="0" w:color="auto"/>
              <w:right w:val="single" w:sz="4" w:space="0" w:color="auto"/>
            </w:tcBorders>
            <w:shd w:val="clear" w:color="auto" w:fill="auto"/>
            <w:noWrap/>
            <w:vAlign w:val="center"/>
            <w:hideMark/>
          </w:tcPr>
          <w:p w14:paraId="161506F0" w14:textId="77777777" w:rsidR="003D335E" w:rsidRPr="005E16D4" w:rsidRDefault="003D335E" w:rsidP="003D335E">
            <w:pPr>
              <w:jc w:val="cente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92%</w:t>
            </w:r>
          </w:p>
        </w:tc>
        <w:tc>
          <w:tcPr>
            <w:tcW w:w="979" w:type="dxa"/>
            <w:tcBorders>
              <w:top w:val="nil"/>
              <w:left w:val="nil"/>
              <w:bottom w:val="single" w:sz="4" w:space="0" w:color="auto"/>
              <w:right w:val="single" w:sz="4" w:space="0" w:color="auto"/>
            </w:tcBorders>
            <w:shd w:val="clear" w:color="auto" w:fill="auto"/>
            <w:noWrap/>
            <w:vAlign w:val="center"/>
            <w:hideMark/>
          </w:tcPr>
          <w:p w14:paraId="3FB7E5DA" w14:textId="77777777" w:rsidR="003D335E" w:rsidRPr="005E16D4" w:rsidRDefault="003D335E" w:rsidP="003D335E">
            <w:pPr>
              <w:jc w:val="cente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92%</w:t>
            </w:r>
          </w:p>
        </w:tc>
        <w:tc>
          <w:tcPr>
            <w:tcW w:w="836" w:type="dxa"/>
            <w:tcBorders>
              <w:top w:val="nil"/>
              <w:left w:val="nil"/>
              <w:bottom w:val="single" w:sz="4" w:space="0" w:color="auto"/>
              <w:right w:val="single" w:sz="4" w:space="0" w:color="auto"/>
            </w:tcBorders>
            <w:shd w:val="clear" w:color="000000" w:fill="EDEDED"/>
            <w:noWrap/>
            <w:vAlign w:val="center"/>
            <w:hideMark/>
          </w:tcPr>
          <w:p w14:paraId="0CF9ACAC" w14:textId="77777777" w:rsidR="003D335E" w:rsidRPr="005E16D4" w:rsidRDefault="003D335E" w:rsidP="003D335E">
            <w:pPr>
              <w:jc w:val="cente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0%</w:t>
            </w:r>
          </w:p>
        </w:tc>
      </w:tr>
      <w:tr w:rsidR="003D335E" w:rsidRPr="005E16D4" w14:paraId="79A84BD0" w14:textId="77777777" w:rsidTr="00492894">
        <w:trPr>
          <w:trHeight w:val="290"/>
          <w:jc w:val="center"/>
        </w:trPr>
        <w:tc>
          <w:tcPr>
            <w:tcW w:w="6121" w:type="dxa"/>
            <w:tcBorders>
              <w:top w:val="nil"/>
              <w:left w:val="single" w:sz="4" w:space="0" w:color="auto"/>
              <w:bottom w:val="single" w:sz="4" w:space="0" w:color="auto"/>
              <w:right w:val="single" w:sz="4" w:space="0" w:color="auto"/>
            </w:tcBorders>
            <w:shd w:val="clear" w:color="auto" w:fill="auto"/>
            <w:noWrap/>
            <w:vAlign w:val="center"/>
            <w:hideMark/>
          </w:tcPr>
          <w:p w14:paraId="069E6A9C" w14:textId="77777777" w:rsidR="003D335E" w:rsidRPr="005E16D4" w:rsidRDefault="003D335E" w:rsidP="003D335E">
            <w:pP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Tribunal Penal de Sarapiquí</w:t>
            </w:r>
          </w:p>
        </w:tc>
        <w:tc>
          <w:tcPr>
            <w:tcW w:w="1785" w:type="dxa"/>
            <w:tcBorders>
              <w:top w:val="nil"/>
              <w:left w:val="nil"/>
              <w:bottom w:val="single" w:sz="4" w:space="0" w:color="auto"/>
              <w:right w:val="single" w:sz="4" w:space="0" w:color="auto"/>
            </w:tcBorders>
            <w:shd w:val="clear" w:color="auto" w:fill="auto"/>
            <w:noWrap/>
            <w:vAlign w:val="center"/>
            <w:hideMark/>
          </w:tcPr>
          <w:p w14:paraId="066CA86F" w14:textId="77777777" w:rsidR="003D335E" w:rsidRPr="005E16D4" w:rsidRDefault="003D335E" w:rsidP="003D335E">
            <w:pPr>
              <w:jc w:val="cente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92%</w:t>
            </w:r>
          </w:p>
        </w:tc>
        <w:tc>
          <w:tcPr>
            <w:tcW w:w="979" w:type="dxa"/>
            <w:tcBorders>
              <w:top w:val="nil"/>
              <w:left w:val="nil"/>
              <w:bottom w:val="single" w:sz="4" w:space="0" w:color="auto"/>
              <w:right w:val="single" w:sz="4" w:space="0" w:color="auto"/>
            </w:tcBorders>
            <w:shd w:val="clear" w:color="auto" w:fill="auto"/>
            <w:noWrap/>
            <w:vAlign w:val="center"/>
            <w:hideMark/>
          </w:tcPr>
          <w:p w14:paraId="118661ED" w14:textId="77777777" w:rsidR="003D335E" w:rsidRPr="005E16D4" w:rsidRDefault="003D335E" w:rsidP="003D335E">
            <w:pPr>
              <w:jc w:val="cente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92%</w:t>
            </w:r>
          </w:p>
        </w:tc>
        <w:tc>
          <w:tcPr>
            <w:tcW w:w="836" w:type="dxa"/>
            <w:tcBorders>
              <w:top w:val="nil"/>
              <w:left w:val="nil"/>
              <w:bottom w:val="single" w:sz="4" w:space="0" w:color="auto"/>
              <w:right w:val="single" w:sz="4" w:space="0" w:color="auto"/>
            </w:tcBorders>
            <w:shd w:val="clear" w:color="000000" w:fill="EDEDED"/>
            <w:noWrap/>
            <w:vAlign w:val="center"/>
            <w:hideMark/>
          </w:tcPr>
          <w:p w14:paraId="6B676C07" w14:textId="77777777" w:rsidR="003D335E" w:rsidRPr="005E16D4" w:rsidRDefault="003D335E" w:rsidP="003D335E">
            <w:pPr>
              <w:jc w:val="cente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0%</w:t>
            </w:r>
          </w:p>
        </w:tc>
      </w:tr>
      <w:tr w:rsidR="003D335E" w:rsidRPr="005E16D4" w14:paraId="20129933" w14:textId="77777777" w:rsidTr="00492894">
        <w:trPr>
          <w:trHeight w:val="290"/>
          <w:jc w:val="center"/>
        </w:trPr>
        <w:tc>
          <w:tcPr>
            <w:tcW w:w="6121" w:type="dxa"/>
            <w:tcBorders>
              <w:top w:val="nil"/>
              <w:left w:val="single" w:sz="4" w:space="0" w:color="auto"/>
              <w:bottom w:val="single" w:sz="4" w:space="0" w:color="auto"/>
              <w:right w:val="single" w:sz="4" w:space="0" w:color="auto"/>
            </w:tcBorders>
            <w:shd w:val="clear" w:color="auto" w:fill="auto"/>
            <w:noWrap/>
            <w:vAlign w:val="center"/>
            <w:hideMark/>
          </w:tcPr>
          <w:p w14:paraId="487173C2" w14:textId="77777777" w:rsidR="003D335E" w:rsidRPr="005E16D4" w:rsidRDefault="003D335E" w:rsidP="003D335E">
            <w:pP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Tribunal Penal del Tercer Circuito Judicial de San José (Desamparados)</w:t>
            </w:r>
          </w:p>
        </w:tc>
        <w:tc>
          <w:tcPr>
            <w:tcW w:w="1785" w:type="dxa"/>
            <w:tcBorders>
              <w:top w:val="nil"/>
              <w:left w:val="nil"/>
              <w:bottom w:val="single" w:sz="4" w:space="0" w:color="auto"/>
              <w:right w:val="single" w:sz="4" w:space="0" w:color="auto"/>
            </w:tcBorders>
            <w:shd w:val="clear" w:color="auto" w:fill="auto"/>
            <w:noWrap/>
            <w:vAlign w:val="center"/>
            <w:hideMark/>
          </w:tcPr>
          <w:p w14:paraId="4372A36E" w14:textId="77777777" w:rsidR="003D335E" w:rsidRPr="005E16D4" w:rsidRDefault="003D335E" w:rsidP="003D335E">
            <w:pPr>
              <w:jc w:val="cente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87%</w:t>
            </w:r>
          </w:p>
        </w:tc>
        <w:tc>
          <w:tcPr>
            <w:tcW w:w="979" w:type="dxa"/>
            <w:tcBorders>
              <w:top w:val="nil"/>
              <w:left w:val="nil"/>
              <w:bottom w:val="single" w:sz="4" w:space="0" w:color="auto"/>
              <w:right w:val="single" w:sz="4" w:space="0" w:color="auto"/>
            </w:tcBorders>
            <w:shd w:val="clear" w:color="auto" w:fill="auto"/>
            <w:noWrap/>
            <w:vAlign w:val="center"/>
            <w:hideMark/>
          </w:tcPr>
          <w:p w14:paraId="1FF49784" w14:textId="77777777" w:rsidR="003D335E" w:rsidRPr="005E16D4" w:rsidRDefault="003D335E" w:rsidP="003D335E">
            <w:pPr>
              <w:jc w:val="cente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82%</w:t>
            </w:r>
          </w:p>
        </w:tc>
        <w:tc>
          <w:tcPr>
            <w:tcW w:w="836" w:type="dxa"/>
            <w:tcBorders>
              <w:top w:val="nil"/>
              <w:left w:val="nil"/>
              <w:bottom w:val="single" w:sz="4" w:space="0" w:color="auto"/>
              <w:right w:val="single" w:sz="4" w:space="0" w:color="auto"/>
            </w:tcBorders>
            <w:shd w:val="clear" w:color="000000" w:fill="EDEDED"/>
            <w:noWrap/>
            <w:vAlign w:val="center"/>
            <w:hideMark/>
          </w:tcPr>
          <w:p w14:paraId="056573A8" w14:textId="77777777" w:rsidR="003D335E" w:rsidRPr="005E16D4" w:rsidRDefault="003D335E" w:rsidP="003D335E">
            <w:pPr>
              <w:jc w:val="cente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-4%</w:t>
            </w:r>
          </w:p>
        </w:tc>
      </w:tr>
      <w:tr w:rsidR="003D335E" w:rsidRPr="005E16D4" w14:paraId="19B4953B" w14:textId="77777777" w:rsidTr="00492894">
        <w:trPr>
          <w:trHeight w:val="290"/>
          <w:jc w:val="center"/>
        </w:trPr>
        <w:tc>
          <w:tcPr>
            <w:tcW w:w="6121" w:type="dxa"/>
            <w:tcBorders>
              <w:top w:val="nil"/>
              <w:left w:val="single" w:sz="4" w:space="0" w:color="auto"/>
              <w:bottom w:val="single" w:sz="4" w:space="0" w:color="auto"/>
              <w:right w:val="single" w:sz="4" w:space="0" w:color="auto"/>
            </w:tcBorders>
            <w:shd w:val="clear" w:color="auto" w:fill="auto"/>
            <w:noWrap/>
            <w:vAlign w:val="center"/>
            <w:hideMark/>
          </w:tcPr>
          <w:p w14:paraId="048BF09B" w14:textId="77777777" w:rsidR="003D335E" w:rsidRPr="005E16D4" w:rsidRDefault="003D335E" w:rsidP="003D335E">
            <w:pP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Tribunal Penal Segundo Circuito Judicial de la Zona Sur (Corredores)</w:t>
            </w:r>
          </w:p>
        </w:tc>
        <w:tc>
          <w:tcPr>
            <w:tcW w:w="1785" w:type="dxa"/>
            <w:tcBorders>
              <w:top w:val="nil"/>
              <w:left w:val="nil"/>
              <w:bottom w:val="single" w:sz="4" w:space="0" w:color="auto"/>
              <w:right w:val="single" w:sz="4" w:space="0" w:color="auto"/>
            </w:tcBorders>
            <w:shd w:val="clear" w:color="auto" w:fill="auto"/>
            <w:noWrap/>
            <w:vAlign w:val="center"/>
            <w:hideMark/>
          </w:tcPr>
          <w:p w14:paraId="079A0AD5" w14:textId="77777777" w:rsidR="003D335E" w:rsidRPr="005E16D4" w:rsidRDefault="003D335E" w:rsidP="003D335E">
            <w:pPr>
              <w:jc w:val="cente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86%</w:t>
            </w:r>
          </w:p>
        </w:tc>
        <w:tc>
          <w:tcPr>
            <w:tcW w:w="979" w:type="dxa"/>
            <w:tcBorders>
              <w:top w:val="nil"/>
              <w:left w:val="nil"/>
              <w:bottom w:val="single" w:sz="4" w:space="0" w:color="auto"/>
              <w:right w:val="single" w:sz="4" w:space="0" w:color="auto"/>
            </w:tcBorders>
            <w:shd w:val="clear" w:color="auto" w:fill="auto"/>
            <w:noWrap/>
            <w:vAlign w:val="center"/>
            <w:hideMark/>
          </w:tcPr>
          <w:p w14:paraId="3B9E3A69" w14:textId="77777777" w:rsidR="003D335E" w:rsidRPr="005E16D4" w:rsidRDefault="003D335E" w:rsidP="003D335E">
            <w:pPr>
              <w:jc w:val="cente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82%</w:t>
            </w:r>
          </w:p>
        </w:tc>
        <w:tc>
          <w:tcPr>
            <w:tcW w:w="836" w:type="dxa"/>
            <w:tcBorders>
              <w:top w:val="nil"/>
              <w:left w:val="nil"/>
              <w:bottom w:val="single" w:sz="4" w:space="0" w:color="auto"/>
              <w:right w:val="single" w:sz="4" w:space="0" w:color="auto"/>
            </w:tcBorders>
            <w:shd w:val="clear" w:color="000000" w:fill="EDEDED"/>
            <w:noWrap/>
            <w:vAlign w:val="center"/>
            <w:hideMark/>
          </w:tcPr>
          <w:p w14:paraId="4033AE5A" w14:textId="77777777" w:rsidR="003D335E" w:rsidRPr="005E16D4" w:rsidRDefault="003D335E" w:rsidP="003D335E">
            <w:pPr>
              <w:jc w:val="cente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-16%</w:t>
            </w:r>
          </w:p>
        </w:tc>
      </w:tr>
      <w:tr w:rsidR="003D335E" w:rsidRPr="005E16D4" w14:paraId="5D2AFCFB" w14:textId="77777777" w:rsidTr="00492894">
        <w:trPr>
          <w:trHeight w:val="290"/>
          <w:jc w:val="center"/>
        </w:trPr>
        <w:tc>
          <w:tcPr>
            <w:tcW w:w="6121" w:type="dxa"/>
            <w:tcBorders>
              <w:top w:val="nil"/>
              <w:left w:val="single" w:sz="4" w:space="0" w:color="auto"/>
              <w:bottom w:val="single" w:sz="4" w:space="0" w:color="auto"/>
              <w:right w:val="single" w:sz="4" w:space="0" w:color="auto"/>
            </w:tcBorders>
            <w:shd w:val="clear" w:color="auto" w:fill="auto"/>
            <w:noWrap/>
            <w:vAlign w:val="center"/>
            <w:hideMark/>
          </w:tcPr>
          <w:p w14:paraId="3FCDA671" w14:textId="3EC197B7" w:rsidR="003D335E" w:rsidRPr="005E16D4" w:rsidRDefault="003D335E" w:rsidP="003D335E">
            <w:pP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Tribunal Penal del Segundo Circuito Judicial de San José (Goicoechea)</w:t>
            </w:r>
          </w:p>
        </w:tc>
        <w:tc>
          <w:tcPr>
            <w:tcW w:w="1785" w:type="dxa"/>
            <w:tcBorders>
              <w:top w:val="nil"/>
              <w:left w:val="nil"/>
              <w:bottom w:val="single" w:sz="4" w:space="0" w:color="auto"/>
              <w:right w:val="single" w:sz="4" w:space="0" w:color="auto"/>
            </w:tcBorders>
            <w:shd w:val="clear" w:color="auto" w:fill="auto"/>
            <w:noWrap/>
            <w:vAlign w:val="center"/>
            <w:hideMark/>
          </w:tcPr>
          <w:p w14:paraId="4F7704C2" w14:textId="77777777" w:rsidR="003D335E" w:rsidRPr="005E16D4" w:rsidRDefault="003D335E" w:rsidP="003D335E">
            <w:pPr>
              <w:jc w:val="cente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80%</w:t>
            </w:r>
          </w:p>
        </w:tc>
        <w:tc>
          <w:tcPr>
            <w:tcW w:w="979" w:type="dxa"/>
            <w:tcBorders>
              <w:top w:val="nil"/>
              <w:left w:val="nil"/>
              <w:bottom w:val="single" w:sz="4" w:space="0" w:color="auto"/>
              <w:right w:val="single" w:sz="4" w:space="0" w:color="auto"/>
            </w:tcBorders>
            <w:shd w:val="clear" w:color="auto" w:fill="auto"/>
            <w:noWrap/>
            <w:vAlign w:val="center"/>
            <w:hideMark/>
          </w:tcPr>
          <w:p w14:paraId="23FE59CD" w14:textId="77777777" w:rsidR="003D335E" w:rsidRPr="005E16D4" w:rsidRDefault="003D335E" w:rsidP="003D335E">
            <w:pPr>
              <w:jc w:val="cente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50%</w:t>
            </w:r>
          </w:p>
        </w:tc>
        <w:tc>
          <w:tcPr>
            <w:tcW w:w="836" w:type="dxa"/>
            <w:tcBorders>
              <w:top w:val="nil"/>
              <w:left w:val="nil"/>
              <w:bottom w:val="single" w:sz="4" w:space="0" w:color="auto"/>
              <w:right w:val="single" w:sz="4" w:space="0" w:color="auto"/>
            </w:tcBorders>
            <w:shd w:val="clear" w:color="000000" w:fill="EDEDED"/>
            <w:noWrap/>
            <w:vAlign w:val="center"/>
            <w:hideMark/>
          </w:tcPr>
          <w:p w14:paraId="6FC7C059" w14:textId="77777777" w:rsidR="003D335E" w:rsidRPr="005E16D4" w:rsidRDefault="003D335E" w:rsidP="003D335E">
            <w:pPr>
              <w:jc w:val="cente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-30%</w:t>
            </w:r>
          </w:p>
        </w:tc>
      </w:tr>
      <w:tr w:rsidR="003D335E" w:rsidRPr="005E16D4" w14:paraId="79F4FD7A" w14:textId="77777777" w:rsidTr="00492894">
        <w:trPr>
          <w:trHeight w:val="290"/>
          <w:jc w:val="center"/>
        </w:trPr>
        <w:tc>
          <w:tcPr>
            <w:tcW w:w="6121" w:type="dxa"/>
            <w:tcBorders>
              <w:top w:val="nil"/>
              <w:left w:val="single" w:sz="4" w:space="0" w:color="auto"/>
              <w:bottom w:val="single" w:sz="4" w:space="0" w:color="auto"/>
              <w:right w:val="single" w:sz="4" w:space="0" w:color="auto"/>
            </w:tcBorders>
            <w:shd w:val="clear" w:color="auto" w:fill="auto"/>
            <w:noWrap/>
            <w:vAlign w:val="center"/>
            <w:hideMark/>
          </w:tcPr>
          <w:p w14:paraId="553823B1" w14:textId="30F9BB46" w:rsidR="003D335E" w:rsidRPr="005E16D4" w:rsidRDefault="003D335E" w:rsidP="003D335E">
            <w:pP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Tribunal Penal del Tercer Circuito Judicial de Alajuela Sede Grecia</w:t>
            </w:r>
          </w:p>
        </w:tc>
        <w:tc>
          <w:tcPr>
            <w:tcW w:w="1785" w:type="dxa"/>
            <w:tcBorders>
              <w:top w:val="nil"/>
              <w:left w:val="nil"/>
              <w:bottom w:val="single" w:sz="4" w:space="0" w:color="auto"/>
              <w:right w:val="single" w:sz="4" w:space="0" w:color="auto"/>
            </w:tcBorders>
            <w:shd w:val="clear" w:color="auto" w:fill="auto"/>
            <w:noWrap/>
            <w:vAlign w:val="center"/>
            <w:hideMark/>
          </w:tcPr>
          <w:p w14:paraId="65BE1677" w14:textId="77777777" w:rsidR="003D335E" w:rsidRPr="005E16D4" w:rsidRDefault="003D335E" w:rsidP="003D335E">
            <w:pPr>
              <w:jc w:val="cente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79%</w:t>
            </w:r>
          </w:p>
        </w:tc>
        <w:tc>
          <w:tcPr>
            <w:tcW w:w="979" w:type="dxa"/>
            <w:tcBorders>
              <w:top w:val="nil"/>
              <w:left w:val="nil"/>
              <w:bottom w:val="single" w:sz="4" w:space="0" w:color="auto"/>
              <w:right w:val="single" w:sz="4" w:space="0" w:color="auto"/>
            </w:tcBorders>
            <w:shd w:val="clear" w:color="auto" w:fill="auto"/>
            <w:noWrap/>
            <w:vAlign w:val="center"/>
            <w:hideMark/>
          </w:tcPr>
          <w:p w14:paraId="4870B2EA" w14:textId="77777777" w:rsidR="003D335E" w:rsidRPr="005E16D4" w:rsidRDefault="003D335E" w:rsidP="003D335E">
            <w:pPr>
              <w:jc w:val="cente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83%</w:t>
            </w:r>
          </w:p>
        </w:tc>
        <w:tc>
          <w:tcPr>
            <w:tcW w:w="836" w:type="dxa"/>
            <w:tcBorders>
              <w:top w:val="nil"/>
              <w:left w:val="nil"/>
              <w:bottom w:val="single" w:sz="4" w:space="0" w:color="auto"/>
              <w:right w:val="single" w:sz="4" w:space="0" w:color="auto"/>
            </w:tcBorders>
            <w:shd w:val="clear" w:color="000000" w:fill="EDEDED"/>
            <w:noWrap/>
            <w:vAlign w:val="center"/>
            <w:hideMark/>
          </w:tcPr>
          <w:p w14:paraId="268C9320" w14:textId="77777777" w:rsidR="003D335E" w:rsidRPr="005E16D4" w:rsidRDefault="003D335E" w:rsidP="003D335E">
            <w:pPr>
              <w:jc w:val="cente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4%</w:t>
            </w:r>
          </w:p>
        </w:tc>
      </w:tr>
      <w:tr w:rsidR="003D335E" w:rsidRPr="005E16D4" w14:paraId="60FBFE1B" w14:textId="77777777" w:rsidTr="00492894">
        <w:trPr>
          <w:trHeight w:val="290"/>
          <w:jc w:val="center"/>
        </w:trPr>
        <w:tc>
          <w:tcPr>
            <w:tcW w:w="6121" w:type="dxa"/>
            <w:tcBorders>
              <w:top w:val="nil"/>
              <w:left w:val="single" w:sz="4" w:space="0" w:color="auto"/>
              <w:bottom w:val="single" w:sz="4" w:space="0" w:color="auto"/>
              <w:right w:val="single" w:sz="4" w:space="0" w:color="auto"/>
            </w:tcBorders>
            <w:shd w:val="clear" w:color="auto" w:fill="auto"/>
            <w:noWrap/>
            <w:vAlign w:val="center"/>
            <w:hideMark/>
          </w:tcPr>
          <w:p w14:paraId="46AD1CC4" w14:textId="77777777" w:rsidR="003D335E" w:rsidRPr="005E16D4" w:rsidRDefault="003D335E" w:rsidP="003D335E">
            <w:pP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Tribunal Penal del Segundo Circuito Judicial de la Zona Atlántica (Guápiles)</w:t>
            </w:r>
          </w:p>
        </w:tc>
        <w:tc>
          <w:tcPr>
            <w:tcW w:w="1785" w:type="dxa"/>
            <w:tcBorders>
              <w:top w:val="nil"/>
              <w:left w:val="nil"/>
              <w:bottom w:val="single" w:sz="4" w:space="0" w:color="auto"/>
              <w:right w:val="single" w:sz="4" w:space="0" w:color="auto"/>
            </w:tcBorders>
            <w:shd w:val="clear" w:color="auto" w:fill="auto"/>
            <w:noWrap/>
            <w:vAlign w:val="center"/>
            <w:hideMark/>
          </w:tcPr>
          <w:p w14:paraId="7A357752" w14:textId="77777777" w:rsidR="003D335E" w:rsidRPr="005E16D4" w:rsidRDefault="003D335E" w:rsidP="003D335E">
            <w:pPr>
              <w:jc w:val="cente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78%</w:t>
            </w:r>
          </w:p>
        </w:tc>
        <w:tc>
          <w:tcPr>
            <w:tcW w:w="979" w:type="dxa"/>
            <w:tcBorders>
              <w:top w:val="nil"/>
              <w:left w:val="nil"/>
              <w:bottom w:val="single" w:sz="4" w:space="0" w:color="auto"/>
              <w:right w:val="single" w:sz="4" w:space="0" w:color="auto"/>
            </w:tcBorders>
            <w:shd w:val="clear" w:color="auto" w:fill="auto"/>
            <w:noWrap/>
            <w:vAlign w:val="center"/>
            <w:hideMark/>
          </w:tcPr>
          <w:p w14:paraId="702F891C" w14:textId="77777777" w:rsidR="003D335E" w:rsidRPr="005E16D4" w:rsidRDefault="003D335E" w:rsidP="003D335E">
            <w:pPr>
              <w:jc w:val="cente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115%</w:t>
            </w:r>
          </w:p>
        </w:tc>
        <w:tc>
          <w:tcPr>
            <w:tcW w:w="836" w:type="dxa"/>
            <w:tcBorders>
              <w:top w:val="nil"/>
              <w:left w:val="nil"/>
              <w:bottom w:val="single" w:sz="4" w:space="0" w:color="auto"/>
              <w:right w:val="single" w:sz="4" w:space="0" w:color="auto"/>
            </w:tcBorders>
            <w:shd w:val="clear" w:color="000000" w:fill="EDEDED"/>
            <w:noWrap/>
            <w:vAlign w:val="center"/>
            <w:hideMark/>
          </w:tcPr>
          <w:p w14:paraId="6AABEEFB" w14:textId="77777777" w:rsidR="003D335E" w:rsidRPr="005E16D4" w:rsidRDefault="003D335E" w:rsidP="003D335E">
            <w:pPr>
              <w:jc w:val="cente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38%</w:t>
            </w:r>
          </w:p>
        </w:tc>
      </w:tr>
      <w:tr w:rsidR="003D335E" w:rsidRPr="005E16D4" w14:paraId="43CE623A" w14:textId="77777777" w:rsidTr="00492894">
        <w:trPr>
          <w:trHeight w:val="290"/>
          <w:jc w:val="center"/>
        </w:trPr>
        <w:tc>
          <w:tcPr>
            <w:tcW w:w="6121" w:type="dxa"/>
            <w:tcBorders>
              <w:top w:val="nil"/>
              <w:left w:val="single" w:sz="4" w:space="0" w:color="auto"/>
              <w:bottom w:val="single" w:sz="4" w:space="0" w:color="auto"/>
              <w:right w:val="single" w:sz="4" w:space="0" w:color="auto"/>
            </w:tcBorders>
            <w:shd w:val="clear" w:color="auto" w:fill="auto"/>
            <w:noWrap/>
            <w:vAlign w:val="center"/>
            <w:hideMark/>
          </w:tcPr>
          <w:p w14:paraId="3E50335E" w14:textId="77777777" w:rsidR="003D335E" w:rsidRPr="005E16D4" w:rsidRDefault="003D335E" w:rsidP="003D335E">
            <w:pP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Tribunal Penal del Primer Circuito Judicial de San José</w:t>
            </w:r>
          </w:p>
        </w:tc>
        <w:tc>
          <w:tcPr>
            <w:tcW w:w="1785" w:type="dxa"/>
            <w:tcBorders>
              <w:top w:val="nil"/>
              <w:left w:val="nil"/>
              <w:bottom w:val="single" w:sz="4" w:space="0" w:color="auto"/>
              <w:right w:val="single" w:sz="4" w:space="0" w:color="auto"/>
            </w:tcBorders>
            <w:shd w:val="clear" w:color="auto" w:fill="auto"/>
            <w:noWrap/>
            <w:vAlign w:val="center"/>
            <w:hideMark/>
          </w:tcPr>
          <w:p w14:paraId="25CF63A8" w14:textId="77777777" w:rsidR="003D335E" w:rsidRPr="005E16D4" w:rsidRDefault="003D335E" w:rsidP="003D335E">
            <w:pPr>
              <w:jc w:val="cente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70%</w:t>
            </w:r>
          </w:p>
        </w:tc>
        <w:tc>
          <w:tcPr>
            <w:tcW w:w="979" w:type="dxa"/>
            <w:tcBorders>
              <w:top w:val="nil"/>
              <w:left w:val="nil"/>
              <w:bottom w:val="single" w:sz="4" w:space="0" w:color="auto"/>
              <w:right w:val="single" w:sz="4" w:space="0" w:color="auto"/>
            </w:tcBorders>
            <w:shd w:val="clear" w:color="auto" w:fill="auto"/>
            <w:noWrap/>
            <w:vAlign w:val="center"/>
            <w:hideMark/>
          </w:tcPr>
          <w:p w14:paraId="202EFAF3" w14:textId="77777777" w:rsidR="003D335E" w:rsidRPr="005E16D4" w:rsidRDefault="003D335E" w:rsidP="003D335E">
            <w:pPr>
              <w:jc w:val="cente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70%</w:t>
            </w:r>
          </w:p>
        </w:tc>
        <w:tc>
          <w:tcPr>
            <w:tcW w:w="836" w:type="dxa"/>
            <w:tcBorders>
              <w:top w:val="nil"/>
              <w:left w:val="nil"/>
              <w:bottom w:val="single" w:sz="4" w:space="0" w:color="auto"/>
              <w:right w:val="single" w:sz="4" w:space="0" w:color="auto"/>
            </w:tcBorders>
            <w:shd w:val="clear" w:color="000000" w:fill="EDEDED"/>
            <w:noWrap/>
            <w:vAlign w:val="center"/>
            <w:hideMark/>
          </w:tcPr>
          <w:p w14:paraId="455E0ABA" w14:textId="77777777" w:rsidR="003D335E" w:rsidRPr="005E16D4" w:rsidRDefault="003D335E" w:rsidP="003D335E">
            <w:pPr>
              <w:jc w:val="cente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0%</w:t>
            </w:r>
          </w:p>
        </w:tc>
      </w:tr>
      <w:tr w:rsidR="003D335E" w:rsidRPr="005E16D4" w14:paraId="353F79B3" w14:textId="77777777" w:rsidTr="00492894">
        <w:trPr>
          <w:trHeight w:val="290"/>
          <w:jc w:val="center"/>
        </w:trPr>
        <w:tc>
          <w:tcPr>
            <w:tcW w:w="6121" w:type="dxa"/>
            <w:tcBorders>
              <w:top w:val="nil"/>
              <w:left w:val="single" w:sz="4" w:space="0" w:color="auto"/>
              <w:bottom w:val="single" w:sz="4" w:space="0" w:color="auto"/>
              <w:right w:val="single" w:sz="4" w:space="0" w:color="auto"/>
            </w:tcBorders>
            <w:shd w:val="clear" w:color="auto" w:fill="auto"/>
            <w:noWrap/>
            <w:vAlign w:val="center"/>
            <w:hideMark/>
          </w:tcPr>
          <w:p w14:paraId="5F9B310C" w14:textId="77777777" w:rsidR="003D335E" w:rsidRPr="005E16D4" w:rsidRDefault="003D335E" w:rsidP="003D335E">
            <w:pP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Tribunal Penal del Segundo Circuito Judicial de Guanacaste (Santa Cruz)</w:t>
            </w:r>
          </w:p>
        </w:tc>
        <w:tc>
          <w:tcPr>
            <w:tcW w:w="1785" w:type="dxa"/>
            <w:tcBorders>
              <w:top w:val="nil"/>
              <w:left w:val="nil"/>
              <w:bottom w:val="single" w:sz="4" w:space="0" w:color="auto"/>
              <w:right w:val="single" w:sz="4" w:space="0" w:color="auto"/>
            </w:tcBorders>
            <w:shd w:val="clear" w:color="auto" w:fill="auto"/>
            <w:noWrap/>
            <w:vAlign w:val="center"/>
            <w:hideMark/>
          </w:tcPr>
          <w:p w14:paraId="5FB57B5D" w14:textId="77777777" w:rsidR="003D335E" w:rsidRPr="005E16D4" w:rsidRDefault="003D335E" w:rsidP="003D335E">
            <w:pPr>
              <w:jc w:val="cente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62%</w:t>
            </w:r>
          </w:p>
        </w:tc>
        <w:tc>
          <w:tcPr>
            <w:tcW w:w="979" w:type="dxa"/>
            <w:tcBorders>
              <w:top w:val="nil"/>
              <w:left w:val="nil"/>
              <w:bottom w:val="single" w:sz="4" w:space="0" w:color="auto"/>
              <w:right w:val="single" w:sz="4" w:space="0" w:color="auto"/>
            </w:tcBorders>
            <w:shd w:val="clear" w:color="auto" w:fill="auto"/>
            <w:noWrap/>
            <w:vAlign w:val="center"/>
            <w:hideMark/>
          </w:tcPr>
          <w:p w14:paraId="504A8F1A" w14:textId="77777777" w:rsidR="003D335E" w:rsidRPr="005E16D4" w:rsidRDefault="003D335E" w:rsidP="003D335E">
            <w:pPr>
              <w:jc w:val="cente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66%</w:t>
            </w:r>
          </w:p>
        </w:tc>
        <w:tc>
          <w:tcPr>
            <w:tcW w:w="836" w:type="dxa"/>
            <w:tcBorders>
              <w:top w:val="nil"/>
              <w:left w:val="nil"/>
              <w:bottom w:val="single" w:sz="4" w:space="0" w:color="auto"/>
              <w:right w:val="single" w:sz="4" w:space="0" w:color="auto"/>
            </w:tcBorders>
            <w:shd w:val="clear" w:color="000000" w:fill="EDEDED"/>
            <w:noWrap/>
            <w:vAlign w:val="center"/>
            <w:hideMark/>
          </w:tcPr>
          <w:p w14:paraId="5760BCFF" w14:textId="77777777" w:rsidR="003D335E" w:rsidRPr="005E16D4" w:rsidRDefault="003D335E" w:rsidP="003D335E">
            <w:pPr>
              <w:jc w:val="cente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4%</w:t>
            </w:r>
          </w:p>
        </w:tc>
      </w:tr>
      <w:tr w:rsidR="003D335E" w:rsidRPr="005E16D4" w14:paraId="51A41776" w14:textId="77777777" w:rsidTr="00492894">
        <w:trPr>
          <w:trHeight w:val="290"/>
          <w:jc w:val="center"/>
        </w:trPr>
        <w:tc>
          <w:tcPr>
            <w:tcW w:w="6121" w:type="dxa"/>
            <w:tcBorders>
              <w:top w:val="nil"/>
              <w:left w:val="single" w:sz="4" w:space="0" w:color="auto"/>
              <w:bottom w:val="single" w:sz="4" w:space="0" w:color="auto"/>
              <w:right w:val="single" w:sz="4" w:space="0" w:color="auto"/>
            </w:tcBorders>
            <w:shd w:val="clear" w:color="auto" w:fill="auto"/>
            <w:noWrap/>
            <w:vAlign w:val="center"/>
            <w:hideMark/>
          </w:tcPr>
          <w:p w14:paraId="5F2C938E" w14:textId="77777777" w:rsidR="003D335E" w:rsidRPr="005E16D4" w:rsidRDefault="003D335E" w:rsidP="003D335E">
            <w:pP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Tribunal Penal del Tercer Circuito Judicial de San José Sede Suroeste (Pavas)</w:t>
            </w:r>
          </w:p>
        </w:tc>
        <w:tc>
          <w:tcPr>
            <w:tcW w:w="1785" w:type="dxa"/>
            <w:tcBorders>
              <w:top w:val="nil"/>
              <w:left w:val="nil"/>
              <w:bottom w:val="single" w:sz="4" w:space="0" w:color="auto"/>
              <w:right w:val="single" w:sz="4" w:space="0" w:color="auto"/>
            </w:tcBorders>
            <w:shd w:val="clear" w:color="auto" w:fill="auto"/>
            <w:noWrap/>
            <w:vAlign w:val="center"/>
            <w:hideMark/>
          </w:tcPr>
          <w:p w14:paraId="4C258C05" w14:textId="77777777" w:rsidR="003D335E" w:rsidRPr="005E16D4" w:rsidRDefault="003D335E" w:rsidP="003D335E">
            <w:pPr>
              <w:jc w:val="cente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59%</w:t>
            </w:r>
          </w:p>
        </w:tc>
        <w:tc>
          <w:tcPr>
            <w:tcW w:w="979" w:type="dxa"/>
            <w:tcBorders>
              <w:top w:val="nil"/>
              <w:left w:val="nil"/>
              <w:bottom w:val="single" w:sz="4" w:space="0" w:color="auto"/>
              <w:right w:val="single" w:sz="4" w:space="0" w:color="auto"/>
            </w:tcBorders>
            <w:shd w:val="clear" w:color="auto" w:fill="auto"/>
            <w:noWrap/>
            <w:vAlign w:val="center"/>
            <w:hideMark/>
          </w:tcPr>
          <w:p w14:paraId="57798910" w14:textId="77777777" w:rsidR="003D335E" w:rsidRPr="005E16D4" w:rsidRDefault="003D335E" w:rsidP="003D335E">
            <w:pPr>
              <w:jc w:val="cente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86%</w:t>
            </w:r>
          </w:p>
        </w:tc>
        <w:tc>
          <w:tcPr>
            <w:tcW w:w="836" w:type="dxa"/>
            <w:tcBorders>
              <w:top w:val="nil"/>
              <w:left w:val="nil"/>
              <w:bottom w:val="single" w:sz="4" w:space="0" w:color="auto"/>
              <w:right w:val="single" w:sz="4" w:space="0" w:color="auto"/>
            </w:tcBorders>
            <w:shd w:val="clear" w:color="000000" w:fill="EDEDED"/>
            <w:noWrap/>
            <w:vAlign w:val="center"/>
            <w:hideMark/>
          </w:tcPr>
          <w:p w14:paraId="6C8BFE35" w14:textId="77777777" w:rsidR="003D335E" w:rsidRPr="005E16D4" w:rsidRDefault="003D335E" w:rsidP="003D335E">
            <w:pPr>
              <w:jc w:val="cente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27%</w:t>
            </w:r>
          </w:p>
        </w:tc>
      </w:tr>
      <w:tr w:rsidR="003D335E" w:rsidRPr="005E16D4" w14:paraId="2F119F46" w14:textId="77777777" w:rsidTr="00492894">
        <w:trPr>
          <w:trHeight w:val="290"/>
          <w:jc w:val="center"/>
        </w:trPr>
        <w:tc>
          <w:tcPr>
            <w:tcW w:w="6121" w:type="dxa"/>
            <w:tcBorders>
              <w:top w:val="nil"/>
              <w:left w:val="single" w:sz="4" w:space="0" w:color="auto"/>
              <w:bottom w:val="single" w:sz="4" w:space="0" w:color="auto"/>
              <w:right w:val="single" w:sz="4" w:space="0" w:color="auto"/>
            </w:tcBorders>
            <w:shd w:val="clear" w:color="auto" w:fill="auto"/>
            <w:noWrap/>
            <w:vAlign w:val="center"/>
            <w:hideMark/>
          </w:tcPr>
          <w:p w14:paraId="1F24EC66" w14:textId="77777777" w:rsidR="003D335E" w:rsidRPr="005E16D4" w:rsidRDefault="003D335E" w:rsidP="003D335E">
            <w:pP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Tribunal Penal del Primer Circuito Judicial de Guanacaste (Liberia)</w:t>
            </w:r>
          </w:p>
        </w:tc>
        <w:tc>
          <w:tcPr>
            <w:tcW w:w="1785" w:type="dxa"/>
            <w:tcBorders>
              <w:top w:val="nil"/>
              <w:left w:val="nil"/>
              <w:bottom w:val="single" w:sz="4" w:space="0" w:color="auto"/>
              <w:right w:val="single" w:sz="4" w:space="0" w:color="auto"/>
            </w:tcBorders>
            <w:shd w:val="clear" w:color="auto" w:fill="auto"/>
            <w:noWrap/>
            <w:vAlign w:val="center"/>
            <w:hideMark/>
          </w:tcPr>
          <w:p w14:paraId="668DD96C" w14:textId="77777777" w:rsidR="003D335E" w:rsidRPr="005E16D4" w:rsidRDefault="003D335E" w:rsidP="003D335E">
            <w:pPr>
              <w:jc w:val="cente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57%</w:t>
            </w:r>
          </w:p>
        </w:tc>
        <w:tc>
          <w:tcPr>
            <w:tcW w:w="979" w:type="dxa"/>
            <w:tcBorders>
              <w:top w:val="nil"/>
              <w:left w:val="nil"/>
              <w:bottom w:val="single" w:sz="4" w:space="0" w:color="auto"/>
              <w:right w:val="single" w:sz="4" w:space="0" w:color="auto"/>
            </w:tcBorders>
            <w:shd w:val="clear" w:color="auto" w:fill="auto"/>
            <w:noWrap/>
            <w:vAlign w:val="center"/>
            <w:hideMark/>
          </w:tcPr>
          <w:p w14:paraId="6ADAF24D" w14:textId="77777777" w:rsidR="003D335E" w:rsidRPr="005E16D4" w:rsidRDefault="003D335E" w:rsidP="003D335E">
            <w:pPr>
              <w:jc w:val="cente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64%</w:t>
            </w:r>
          </w:p>
        </w:tc>
        <w:tc>
          <w:tcPr>
            <w:tcW w:w="836" w:type="dxa"/>
            <w:tcBorders>
              <w:top w:val="nil"/>
              <w:left w:val="nil"/>
              <w:bottom w:val="single" w:sz="4" w:space="0" w:color="auto"/>
              <w:right w:val="single" w:sz="4" w:space="0" w:color="auto"/>
            </w:tcBorders>
            <w:shd w:val="clear" w:color="000000" w:fill="EDEDED"/>
            <w:noWrap/>
            <w:vAlign w:val="center"/>
            <w:hideMark/>
          </w:tcPr>
          <w:p w14:paraId="6C8E6DA7" w14:textId="77777777" w:rsidR="003D335E" w:rsidRPr="005E16D4" w:rsidRDefault="003D335E" w:rsidP="003D335E">
            <w:pPr>
              <w:jc w:val="cente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6%</w:t>
            </w:r>
          </w:p>
        </w:tc>
      </w:tr>
      <w:tr w:rsidR="003D335E" w:rsidRPr="005E16D4" w14:paraId="6E185A71" w14:textId="77777777" w:rsidTr="00492894">
        <w:trPr>
          <w:trHeight w:val="290"/>
          <w:jc w:val="center"/>
        </w:trPr>
        <w:tc>
          <w:tcPr>
            <w:tcW w:w="6121" w:type="dxa"/>
            <w:tcBorders>
              <w:top w:val="nil"/>
              <w:left w:val="single" w:sz="4" w:space="0" w:color="auto"/>
              <w:bottom w:val="single" w:sz="4" w:space="0" w:color="auto"/>
              <w:right w:val="single" w:sz="4" w:space="0" w:color="auto"/>
            </w:tcBorders>
            <w:shd w:val="clear" w:color="auto" w:fill="auto"/>
            <w:noWrap/>
            <w:vAlign w:val="center"/>
            <w:hideMark/>
          </w:tcPr>
          <w:p w14:paraId="521800CB" w14:textId="77777777" w:rsidR="003D335E" w:rsidRPr="005E16D4" w:rsidRDefault="003D335E" w:rsidP="003D335E">
            <w:pP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Tribunal Penal Segundo Circuito Judicial de la Zona Sur (Osa)</w:t>
            </w:r>
          </w:p>
        </w:tc>
        <w:tc>
          <w:tcPr>
            <w:tcW w:w="1785" w:type="dxa"/>
            <w:tcBorders>
              <w:top w:val="nil"/>
              <w:left w:val="nil"/>
              <w:bottom w:val="single" w:sz="4" w:space="0" w:color="auto"/>
              <w:right w:val="single" w:sz="4" w:space="0" w:color="auto"/>
            </w:tcBorders>
            <w:shd w:val="clear" w:color="auto" w:fill="auto"/>
            <w:noWrap/>
            <w:vAlign w:val="center"/>
            <w:hideMark/>
          </w:tcPr>
          <w:p w14:paraId="7DE346B5" w14:textId="77777777" w:rsidR="003D335E" w:rsidRPr="005E16D4" w:rsidRDefault="003D335E" w:rsidP="003D335E">
            <w:pPr>
              <w:jc w:val="cente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56%</w:t>
            </w:r>
          </w:p>
        </w:tc>
        <w:tc>
          <w:tcPr>
            <w:tcW w:w="979" w:type="dxa"/>
            <w:tcBorders>
              <w:top w:val="nil"/>
              <w:left w:val="nil"/>
              <w:bottom w:val="single" w:sz="4" w:space="0" w:color="auto"/>
              <w:right w:val="single" w:sz="4" w:space="0" w:color="auto"/>
            </w:tcBorders>
            <w:shd w:val="clear" w:color="auto" w:fill="auto"/>
            <w:noWrap/>
            <w:vAlign w:val="center"/>
            <w:hideMark/>
          </w:tcPr>
          <w:p w14:paraId="131C7B3A" w14:textId="77777777" w:rsidR="003D335E" w:rsidRPr="005E16D4" w:rsidRDefault="003D335E" w:rsidP="003D335E">
            <w:pPr>
              <w:jc w:val="cente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53%</w:t>
            </w:r>
          </w:p>
        </w:tc>
        <w:tc>
          <w:tcPr>
            <w:tcW w:w="836" w:type="dxa"/>
            <w:tcBorders>
              <w:top w:val="nil"/>
              <w:left w:val="nil"/>
              <w:bottom w:val="single" w:sz="4" w:space="0" w:color="auto"/>
              <w:right w:val="single" w:sz="4" w:space="0" w:color="auto"/>
            </w:tcBorders>
            <w:shd w:val="clear" w:color="000000" w:fill="EDEDED"/>
            <w:noWrap/>
            <w:vAlign w:val="center"/>
            <w:hideMark/>
          </w:tcPr>
          <w:p w14:paraId="46B02215" w14:textId="77777777" w:rsidR="003D335E" w:rsidRPr="005E16D4" w:rsidRDefault="003D335E" w:rsidP="003D335E">
            <w:pPr>
              <w:jc w:val="cente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-3%</w:t>
            </w:r>
          </w:p>
        </w:tc>
      </w:tr>
      <w:tr w:rsidR="003D335E" w:rsidRPr="005E16D4" w14:paraId="23AE5ED4" w14:textId="77777777" w:rsidTr="00492894">
        <w:trPr>
          <w:trHeight w:val="290"/>
          <w:jc w:val="center"/>
        </w:trPr>
        <w:tc>
          <w:tcPr>
            <w:tcW w:w="6121" w:type="dxa"/>
            <w:tcBorders>
              <w:top w:val="nil"/>
              <w:left w:val="single" w:sz="4" w:space="0" w:color="auto"/>
              <w:bottom w:val="single" w:sz="4" w:space="0" w:color="auto"/>
              <w:right w:val="single" w:sz="4" w:space="0" w:color="auto"/>
            </w:tcBorders>
            <w:shd w:val="clear" w:color="auto" w:fill="auto"/>
            <w:noWrap/>
            <w:vAlign w:val="center"/>
            <w:hideMark/>
          </w:tcPr>
          <w:p w14:paraId="37528096" w14:textId="77777777" w:rsidR="003D335E" w:rsidRPr="005E16D4" w:rsidRDefault="003D335E" w:rsidP="003D335E">
            <w:pP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Tribunal Penal de Turrialba</w:t>
            </w:r>
          </w:p>
        </w:tc>
        <w:tc>
          <w:tcPr>
            <w:tcW w:w="1785" w:type="dxa"/>
            <w:tcBorders>
              <w:top w:val="nil"/>
              <w:left w:val="nil"/>
              <w:bottom w:val="single" w:sz="4" w:space="0" w:color="auto"/>
              <w:right w:val="single" w:sz="4" w:space="0" w:color="auto"/>
            </w:tcBorders>
            <w:shd w:val="clear" w:color="auto" w:fill="auto"/>
            <w:noWrap/>
            <w:vAlign w:val="center"/>
            <w:hideMark/>
          </w:tcPr>
          <w:p w14:paraId="731BC4BE" w14:textId="77777777" w:rsidR="003D335E" w:rsidRPr="005E16D4" w:rsidRDefault="003D335E" w:rsidP="003D335E">
            <w:pPr>
              <w:jc w:val="cente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47%</w:t>
            </w:r>
          </w:p>
        </w:tc>
        <w:tc>
          <w:tcPr>
            <w:tcW w:w="979" w:type="dxa"/>
            <w:tcBorders>
              <w:top w:val="nil"/>
              <w:left w:val="nil"/>
              <w:bottom w:val="single" w:sz="4" w:space="0" w:color="auto"/>
              <w:right w:val="single" w:sz="4" w:space="0" w:color="auto"/>
            </w:tcBorders>
            <w:shd w:val="clear" w:color="auto" w:fill="auto"/>
            <w:noWrap/>
            <w:vAlign w:val="center"/>
            <w:hideMark/>
          </w:tcPr>
          <w:p w14:paraId="0B57AD74" w14:textId="77777777" w:rsidR="003D335E" w:rsidRPr="005E16D4" w:rsidRDefault="003D335E" w:rsidP="003D335E">
            <w:pPr>
              <w:jc w:val="cente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41%</w:t>
            </w:r>
          </w:p>
        </w:tc>
        <w:tc>
          <w:tcPr>
            <w:tcW w:w="836" w:type="dxa"/>
            <w:tcBorders>
              <w:top w:val="nil"/>
              <w:left w:val="nil"/>
              <w:bottom w:val="single" w:sz="4" w:space="0" w:color="auto"/>
              <w:right w:val="single" w:sz="4" w:space="0" w:color="auto"/>
            </w:tcBorders>
            <w:shd w:val="clear" w:color="000000" w:fill="EDEDED"/>
            <w:noWrap/>
            <w:vAlign w:val="center"/>
            <w:hideMark/>
          </w:tcPr>
          <w:p w14:paraId="3DA5FB81" w14:textId="77777777" w:rsidR="003D335E" w:rsidRPr="005E16D4" w:rsidRDefault="003D335E" w:rsidP="003D335E">
            <w:pPr>
              <w:jc w:val="cente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-6%</w:t>
            </w:r>
          </w:p>
        </w:tc>
      </w:tr>
      <w:tr w:rsidR="003D335E" w:rsidRPr="005E16D4" w14:paraId="14F1B01E" w14:textId="77777777" w:rsidTr="00492894">
        <w:trPr>
          <w:trHeight w:val="290"/>
          <w:jc w:val="center"/>
        </w:trPr>
        <w:tc>
          <w:tcPr>
            <w:tcW w:w="6121" w:type="dxa"/>
            <w:tcBorders>
              <w:top w:val="nil"/>
              <w:left w:val="single" w:sz="4" w:space="0" w:color="auto"/>
              <w:bottom w:val="single" w:sz="4" w:space="0" w:color="auto"/>
              <w:right w:val="single" w:sz="4" w:space="0" w:color="auto"/>
            </w:tcBorders>
            <w:shd w:val="clear" w:color="auto" w:fill="auto"/>
            <w:noWrap/>
            <w:vAlign w:val="center"/>
            <w:hideMark/>
          </w:tcPr>
          <w:p w14:paraId="7378B21F" w14:textId="77777777" w:rsidR="003D335E" w:rsidRPr="005E16D4" w:rsidRDefault="003D335E" w:rsidP="003D335E">
            <w:pP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Tribunal Penal de Quepos</w:t>
            </w:r>
          </w:p>
        </w:tc>
        <w:tc>
          <w:tcPr>
            <w:tcW w:w="1785" w:type="dxa"/>
            <w:tcBorders>
              <w:top w:val="nil"/>
              <w:left w:val="nil"/>
              <w:bottom w:val="single" w:sz="4" w:space="0" w:color="auto"/>
              <w:right w:val="single" w:sz="4" w:space="0" w:color="auto"/>
            </w:tcBorders>
            <w:shd w:val="clear" w:color="auto" w:fill="auto"/>
            <w:noWrap/>
            <w:vAlign w:val="center"/>
            <w:hideMark/>
          </w:tcPr>
          <w:p w14:paraId="7856378F" w14:textId="77777777" w:rsidR="003D335E" w:rsidRPr="005E16D4" w:rsidRDefault="003D335E" w:rsidP="003D335E">
            <w:pPr>
              <w:jc w:val="cente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47%</w:t>
            </w:r>
          </w:p>
        </w:tc>
        <w:tc>
          <w:tcPr>
            <w:tcW w:w="979" w:type="dxa"/>
            <w:tcBorders>
              <w:top w:val="nil"/>
              <w:left w:val="nil"/>
              <w:bottom w:val="single" w:sz="4" w:space="0" w:color="auto"/>
              <w:right w:val="single" w:sz="4" w:space="0" w:color="auto"/>
            </w:tcBorders>
            <w:shd w:val="clear" w:color="auto" w:fill="auto"/>
            <w:noWrap/>
            <w:vAlign w:val="center"/>
            <w:hideMark/>
          </w:tcPr>
          <w:p w14:paraId="1E9E6329" w14:textId="77777777" w:rsidR="003D335E" w:rsidRPr="005E16D4" w:rsidRDefault="003D335E" w:rsidP="003D335E">
            <w:pPr>
              <w:jc w:val="cente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53%</w:t>
            </w:r>
          </w:p>
        </w:tc>
        <w:tc>
          <w:tcPr>
            <w:tcW w:w="836" w:type="dxa"/>
            <w:tcBorders>
              <w:top w:val="nil"/>
              <w:left w:val="nil"/>
              <w:bottom w:val="single" w:sz="4" w:space="0" w:color="auto"/>
              <w:right w:val="single" w:sz="4" w:space="0" w:color="auto"/>
            </w:tcBorders>
            <w:shd w:val="clear" w:color="000000" w:fill="EDEDED"/>
            <w:noWrap/>
            <w:vAlign w:val="center"/>
            <w:hideMark/>
          </w:tcPr>
          <w:p w14:paraId="3D4ED943" w14:textId="77777777" w:rsidR="003D335E" w:rsidRPr="005E16D4" w:rsidRDefault="003D335E" w:rsidP="003D335E">
            <w:pPr>
              <w:jc w:val="cente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6%</w:t>
            </w:r>
          </w:p>
        </w:tc>
      </w:tr>
      <w:tr w:rsidR="003D335E" w:rsidRPr="005E16D4" w14:paraId="18108CEA" w14:textId="77777777" w:rsidTr="00492894">
        <w:trPr>
          <w:trHeight w:val="290"/>
          <w:jc w:val="center"/>
        </w:trPr>
        <w:tc>
          <w:tcPr>
            <w:tcW w:w="6121" w:type="dxa"/>
            <w:tcBorders>
              <w:top w:val="nil"/>
              <w:left w:val="single" w:sz="4" w:space="0" w:color="auto"/>
              <w:bottom w:val="single" w:sz="4" w:space="0" w:color="auto"/>
              <w:right w:val="single" w:sz="4" w:space="0" w:color="auto"/>
            </w:tcBorders>
            <w:shd w:val="clear" w:color="auto" w:fill="auto"/>
            <w:noWrap/>
            <w:vAlign w:val="center"/>
            <w:hideMark/>
          </w:tcPr>
          <w:p w14:paraId="16FE1B09" w14:textId="77777777" w:rsidR="003D335E" w:rsidRPr="005E16D4" w:rsidRDefault="003D335E" w:rsidP="003D335E">
            <w:pP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Tribunal Penal Segundo Circuito Judicial de la Zona Sur (Golfito)</w:t>
            </w:r>
          </w:p>
        </w:tc>
        <w:tc>
          <w:tcPr>
            <w:tcW w:w="1785" w:type="dxa"/>
            <w:tcBorders>
              <w:top w:val="nil"/>
              <w:left w:val="nil"/>
              <w:bottom w:val="single" w:sz="4" w:space="0" w:color="auto"/>
              <w:right w:val="single" w:sz="4" w:space="0" w:color="auto"/>
            </w:tcBorders>
            <w:shd w:val="clear" w:color="auto" w:fill="auto"/>
            <w:noWrap/>
            <w:vAlign w:val="center"/>
            <w:hideMark/>
          </w:tcPr>
          <w:p w14:paraId="2D5FDB39" w14:textId="77777777" w:rsidR="003D335E" w:rsidRPr="005E16D4" w:rsidRDefault="003D335E" w:rsidP="003D335E">
            <w:pPr>
              <w:jc w:val="cente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28%</w:t>
            </w:r>
          </w:p>
        </w:tc>
        <w:tc>
          <w:tcPr>
            <w:tcW w:w="979" w:type="dxa"/>
            <w:tcBorders>
              <w:top w:val="nil"/>
              <w:left w:val="nil"/>
              <w:bottom w:val="single" w:sz="4" w:space="0" w:color="auto"/>
              <w:right w:val="single" w:sz="4" w:space="0" w:color="auto"/>
            </w:tcBorders>
            <w:shd w:val="clear" w:color="auto" w:fill="auto"/>
            <w:noWrap/>
            <w:vAlign w:val="center"/>
            <w:hideMark/>
          </w:tcPr>
          <w:p w14:paraId="5169E0F7" w14:textId="77777777" w:rsidR="003D335E" w:rsidRPr="005E16D4" w:rsidRDefault="003D335E" w:rsidP="003D335E">
            <w:pPr>
              <w:jc w:val="cente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34%</w:t>
            </w:r>
          </w:p>
        </w:tc>
        <w:tc>
          <w:tcPr>
            <w:tcW w:w="836" w:type="dxa"/>
            <w:tcBorders>
              <w:top w:val="nil"/>
              <w:left w:val="nil"/>
              <w:bottom w:val="single" w:sz="4" w:space="0" w:color="auto"/>
              <w:right w:val="single" w:sz="4" w:space="0" w:color="auto"/>
            </w:tcBorders>
            <w:shd w:val="clear" w:color="000000" w:fill="EDEDED"/>
            <w:noWrap/>
            <w:vAlign w:val="center"/>
            <w:hideMark/>
          </w:tcPr>
          <w:p w14:paraId="65E8339A" w14:textId="77777777" w:rsidR="003D335E" w:rsidRPr="005E16D4" w:rsidRDefault="003D335E" w:rsidP="003D335E">
            <w:pPr>
              <w:jc w:val="cente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6%</w:t>
            </w:r>
          </w:p>
        </w:tc>
      </w:tr>
      <w:tr w:rsidR="003D335E" w:rsidRPr="005E16D4" w14:paraId="3499D709" w14:textId="77777777" w:rsidTr="00492894">
        <w:trPr>
          <w:trHeight w:val="290"/>
          <w:jc w:val="center"/>
        </w:trPr>
        <w:tc>
          <w:tcPr>
            <w:tcW w:w="6121" w:type="dxa"/>
            <w:tcBorders>
              <w:top w:val="nil"/>
              <w:left w:val="single" w:sz="4" w:space="0" w:color="auto"/>
              <w:bottom w:val="single" w:sz="4" w:space="0" w:color="auto"/>
              <w:right w:val="single" w:sz="4" w:space="0" w:color="auto"/>
            </w:tcBorders>
            <w:shd w:val="clear" w:color="auto" w:fill="auto"/>
            <w:noWrap/>
            <w:vAlign w:val="center"/>
            <w:hideMark/>
          </w:tcPr>
          <w:p w14:paraId="4DFAAB0C" w14:textId="77777777" w:rsidR="003D335E" w:rsidRPr="005E16D4" w:rsidRDefault="003D335E" w:rsidP="003D335E">
            <w:pPr>
              <w:rPr>
                <w:rFonts w:ascii="Book Antiqua" w:hAnsi="Book Antiqua" w:cs="Calibri"/>
                <w:b/>
                <w:bCs/>
                <w:color w:val="000000"/>
                <w:sz w:val="16"/>
                <w:szCs w:val="16"/>
                <w:lang w:eastAsia="es-CR"/>
              </w:rPr>
            </w:pPr>
            <w:r w:rsidRPr="005E16D4">
              <w:rPr>
                <w:rFonts w:ascii="Book Antiqua" w:hAnsi="Book Antiqua" w:cs="Calibri"/>
                <w:b/>
                <w:bCs/>
                <w:color w:val="000000"/>
                <w:sz w:val="16"/>
                <w:szCs w:val="16"/>
                <w:lang w:eastAsia="es-CR"/>
              </w:rPr>
              <w:t>Promedio global</w:t>
            </w:r>
          </w:p>
        </w:tc>
        <w:tc>
          <w:tcPr>
            <w:tcW w:w="1785" w:type="dxa"/>
            <w:tcBorders>
              <w:top w:val="nil"/>
              <w:left w:val="nil"/>
              <w:bottom w:val="single" w:sz="4" w:space="0" w:color="auto"/>
              <w:right w:val="single" w:sz="4" w:space="0" w:color="auto"/>
            </w:tcBorders>
            <w:shd w:val="clear" w:color="auto" w:fill="auto"/>
            <w:noWrap/>
            <w:vAlign w:val="center"/>
            <w:hideMark/>
          </w:tcPr>
          <w:p w14:paraId="2480D47C" w14:textId="77777777" w:rsidR="003D335E" w:rsidRPr="005E16D4" w:rsidRDefault="003D335E" w:rsidP="003D335E">
            <w:pPr>
              <w:jc w:val="center"/>
              <w:rPr>
                <w:rFonts w:ascii="Book Antiqua" w:hAnsi="Book Antiqua" w:cs="Calibri"/>
                <w:b/>
                <w:bCs/>
                <w:color w:val="000000"/>
                <w:sz w:val="16"/>
                <w:szCs w:val="16"/>
                <w:lang w:eastAsia="es-CR"/>
              </w:rPr>
            </w:pPr>
            <w:r w:rsidRPr="005E16D4">
              <w:rPr>
                <w:rFonts w:ascii="Book Antiqua" w:hAnsi="Book Antiqua" w:cs="Calibri"/>
                <w:b/>
                <w:bCs/>
                <w:color w:val="000000"/>
                <w:sz w:val="16"/>
                <w:szCs w:val="16"/>
                <w:lang w:eastAsia="es-CR"/>
              </w:rPr>
              <w:t>90%</w:t>
            </w:r>
          </w:p>
        </w:tc>
        <w:tc>
          <w:tcPr>
            <w:tcW w:w="979" w:type="dxa"/>
            <w:tcBorders>
              <w:top w:val="nil"/>
              <w:left w:val="nil"/>
              <w:bottom w:val="single" w:sz="4" w:space="0" w:color="auto"/>
              <w:right w:val="single" w:sz="4" w:space="0" w:color="auto"/>
            </w:tcBorders>
            <w:shd w:val="clear" w:color="auto" w:fill="auto"/>
            <w:noWrap/>
            <w:vAlign w:val="center"/>
            <w:hideMark/>
          </w:tcPr>
          <w:p w14:paraId="7D646CD0" w14:textId="77777777" w:rsidR="003D335E" w:rsidRPr="005E16D4" w:rsidRDefault="003D335E" w:rsidP="003D335E">
            <w:pPr>
              <w:jc w:val="center"/>
              <w:rPr>
                <w:rFonts w:ascii="Book Antiqua" w:hAnsi="Book Antiqua" w:cs="Calibri"/>
                <w:b/>
                <w:bCs/>
                <w:color w:val="000000"/>
                <w:sz w:val="16"/>
                <w:szCs w:val="16"/>
                <w:lang w:eastAsia="es-CR"/>
              </w:rPr>
            </w:pPr>
            <w:r w:rsidRPr="005E16D4">
              <w:rPr>
                <w:rFonts w:ascii="Book Antiqua" w:hAnsi="Book Antiqua" w:cs="Calibri"/>
                <w:b/>
                <w:bCs/>
                <w:color w:val="000000"/>
                <w:sz w:val="16"/>
                <w:szCs w:val="16"/>
                <w:lang w:eastAsia="es-CR"/>
              </w:rPr>
              <w:t>90%</w:t>
            </w:r>
          </w:p>
        </w:tc>
        <w:tc>
          <w:tcPr>
            <w:tcW w:w="836" w:type="dxa"/>
            <w:tcBorders>
              <w:top w:val="nil"/>
              <w:left w:val="nil"/>
              <w:bottom w:val="single" w:sz="4" w:space="0" w:color="auto"/>
              <w:right w:val="single" w:sz="4" w:space="0" w:color="auto"/>
            </w:tcBorders>
            <w:shd w:val="clear" w:color="000000" w:fill="EDEDED"/>
            <w:noWrap/>
            <w:vAlign w:val="center"/>
            <w:hideMark/>
          </w:tcPr>
          <w:p w14:paraId="10AF6A9E" w14:textId="77777777" w:rsidR="003D335E" w:rsidRPr="005E16D4" w:rsidRDefault="003D335E" w:rsidP="003D335E">
            <w:pPr>
              <w:jc w:val="center"/>
              <w:rPr>
                <w:rFonts w:ascii="Book Antiqua" w:hAnsi="Book Antiqua" w:cs="Calibri"/>
                <w:color w:val="000000"/>
                <w:sz w:val="16"/>
                <w:szCs w:val="16"/>
                <w:lang w:eastAsia="es-CR"/>
              </w:rPr>
            </w:pPr>
            <w:r w:rsidRPr="005E16D4">
              <w:rPr>
                <w:rFonts w:ascii="Book Antiqua" w:hAnsi="Book Antiqua" w:cs="Calibri"/>
                <w:color w:val="000000"/>
                <w:sz w:val="16"/>
                <w:szCs w:val="16"/>
                <w:lang w:eastAsia="es-CR"/>
              </w:rPr>
              <w:t>0%</w:t>
            </w:r>
          </w:p>
        </w:tc>
      </w:tr>
    </w:tbl>
    <w:p w14:paraId="7CF492A4" w14:textId="1DB11396" w:rsidR="00133AD1" w:rsidRDefault="00133AD1" w:rsidP="00492894">
      <w:pPr>
        <w:spacing w:line="276" w:lineRule="auto"/>
        <w:jc w:val="center"/>
        <w:rPr>
          <w:rFonts w:ascii="Book Antiqua" w:hAnsi="Book Antiqua"/>
          <w:color w:val="000000" w:themeColor="text1"/>
          <w:sz w:val="20"/>
          <w:szCs w:val="20"/>
        </w:rPr>
      </w:pPr>
      <w:r w:rsidRPr="00677475">
        <w:rPr>
          <w:rFonts w:ascii="Book Antiqua" w:hAnsi="Book Antiqua"/>
          <w:b/>
          <w:bCs/>
          <w:color w:val="000000" w:themeColor="text1"/>
          <w:sz w:val="20"/>
          <w:szCs w:val="20"/>
        </w:rPr>
        <w:t xml:space="preserve">Fuente: </w:t>
      </w:r>
      <w:r w:rsidRPr="00677475">
        <w:rPr>
          <w:rFonts w:ascii="Book Antiqua" w:hAnsi="Book Antiqua"/>
          <w:color w:val="000000" w:themeColor="text1"/>
          <w:sz w:val="20"/>
          <w:szCs w:val="20"/>
        </w:rPr>
        <w:t>Matriz de indicadores de Gestión</w:t>
      </w:r>
      <w:r w:rsidR="003D335E">
        <w:rPr>
          <w:rFonts w:ascii="Book Antiqua" w:hAnsi="Book Antiqua"/>
          <w:color w:val="000000" w:themeColor="text1"/>
          <w:sz w:val="20"/>
          <w:szCs w:val="20"/>
        </w:rPr>
        <w:t xml:space="preserve"> y Sistema Sigma</w:t>
      </w:r>
    </w:p>
    <w:p w14:paraId="4DAA9490" w14:textId="77777777" w:rsidR="00133AD1" w:rsidRPr="004F0E92" w:rsidRDefault="00133AD1" w:rsidP="00985591">
      <w:pPr>
        <w:spacing w:line="276" w:lineRule="auto"/>
        <w:jc w:val="both"/>
        <w:rPr>
          <w:rFonts w:ascii="Book Antiqua" w:hAnsi="Book Antiqua" w:cs="Calibri"/>
          <w:color w:val="000000"/>
          <w:lang w:eastAsia="es-CR"/>
        </w:rPr>
      </w:pPr>
    </w:p>
    <w:p w14:paraId="2412433D" w14:textId="13199C23" w:rsidR="00133AD1" w:rsidRPr="0009337C" w:rsidRDefault="00133AD1" w:rsidP="00985591">
      <w:pPr>
        <w:spacing w:line="276" w:lineRule="auto"/>
        <w:jc w:val="both"/>
        <w:rPr>
          <w:rFonts w:ascii="Book Antiqua" w:hAnsi="Book Antiqua" w:cs="Calibri"/>
          <w:color w:val="000000"/>
          <w:lang w:eastAsia="es-CR"/>
        </w:rPr>
      </w:pPr>
      <w:r w:rsidRPr="0009337C">
        <w:rPr>
          <w:rFonts w:ascii="Book Antiqua" w:hAnsi="Book Antiqua" w:cs="Calibri"/>
          <w:color w:val="000000"/>
          <w:lang w:eastAsia="es-CR"/>
        </w:rPr>
        <w:t>Si bien es cierto el promedio global de cumplimiento en los Tribunales Penales es de un 9</w:t>
      </w:r>
      <w:r w:rsidR="00027FE7">
        <w:rPr>
          <w:rFonts w:ascii="Book Antiqua" w:hAnsi="Book Antiqua" w:cs="Calibri"/>
          <w:color w:val="000000"/>
          <w:lang w:eastAsia="es-CR"/>
        </w:rPr>
        <w:t>0</w:t>
      </w:r>
      <w:r w:rsidRPr="0009337C">
        <w:rPr>
          <w:rFonts w:ascii="Book Antiqua" w:hAnsi="Book Antiqua" w:cs="Calibri"/>
          <w:color w:val="000000"/>
          <w:lang w:eastAsia="es-CR"/>
        </w:rPr>
        <w:t xml:space="preserve">%, aún hay oficinas que reflejan un porcentaje bajo de resolución. Dentro de las principales justificaciones se encuentra: la declaratoria de alerta naranja en algunas de estas zonas, lo que provocó la suspensión de juicios y la programación de juicios con persona detenida, además casos positivos por covid-19 dentro del despacho, lo que provocó enviar a cuarentena a gran parte del personal; así como, la atención de juicios complejos de varias semanas. </w:t>
      </w:r>
    </w:p>
    <w:p w14:paraId="6BAA365A" w14:textId="77777777" w:rsidR="00133AD1" w:rsidRPr="00677475" w:rsidRDefault="00133AD1" w:rsidP="00985591">
      <w:pPr>
        <w:spacing w:line="276" w:lineRule="auto"/>
        <w:jc w:val="both"/>
        <w:rPr>
          <w:rFonts w:ascii="Book Antiqua" w:hAnsi="Book Antiqua" w:cs="Calibri"/>
          <w:color w:val="000000"/>
          <w:highlight w:val="yellow"/>
          <w:lang w:eastAsia="es-CR"/>
        </w:rPr>
      </w:pPr>
    </w:p>
    <w:p w14:paraId="7BF40790" w14:textId="77777777" w:rsidR="00133AD1" w:rsidRPr="003F0E61" w:rsidRDefault="00133AD1" w:rsidP="00985591">
      <w:pPr>
        <w:spacing w:line="276" w:lineRule="auto"/>
        <w:jc w:val="both"/>
        <w:rPr>
          <w:rFonts w:ascii="Book Antiqua" w:hAnsi="Book Antiqua" w:cs="Calibri"/>
          <w:color w:val="000000"/>
          <w:lang w:eastAsia="es-CR"/>
        </w:rPr>
      </w:pPr>
      <w:r w:rsidRPr="003F0E61">
        <w:rPr>
          <w:rFonts w:ascii="Book Antiqua" w:hAnsi="Book Antiqua" w:cs="Calibri"/>
          <w:color w:val="000000"/>
          <w:lang w:eastAsia="es-CR"/>
        </w:rPr>
        <w:t>Como recomendación y dado que en todas las zonas las condiciones son distintas en cuanto a la disponibilidad de salas de juicio y acceso tecnológico, se sugiere seguir valorando impulsar la posibilidad de realizar audiencias virtuales y atender asuntos de forma escrita, pero se reconoce que la materia penal en su mayoría su forma de trabajo es presencial</w:t>
      </w:r>
      <w:r>
        <w:rPr>
          <w:rFonts w:ascii="Book Antiqua" w:hAnsi="Book Antiqua" w:cs="Calibri"/>
          <w:color w:val="000000"/>
          <w:lang w:eastAsia="es-CR"/>
        </w:rPr>
        <w:t>.</w:t>
      </w:r>
    </w:p>
    <w:p w14:paraId="664B5CC3" w14:textId="77777777" w:rsidR="00133AD1" w:rsidRDefault="00133AD1" w:rsidP="00985591">
      <w:pPr>
        <w:spacing w:line="276" w:lineRule="auto"/>
        <w:rPr>
          <w:rFonts w:ascii="Book Antiqua" w:hAnsi="Book Antiqua"/>
          <w:b/>
          <w:color w:val="000000" w:themeColor="text1"/>
        </w:rPr>
      </w:pPr>
    </w:p>
    <w:p w14:paraId="7F8B89F2" w14:textId="5CA1E621" w:rsidR="00AC4A95" w:rsidRPr="000549BF" w:rsidRDefault="00AC4A95" w:rsidP="00AC4A95">
      <w:pPr>
        <w:tabs>
          <w:tab w:val="left" w:pos="2400"/>
        </w:tabs>
        <w:spacing w:line="276" w:lineRule="auto"/>
        <w:rPr>
          <w:rFonts w:ascii="Book Antiqua" w:hAnsi="Book Antiqua"/>
          <w:b/>
          <w:color w:val="000000" w:themeColor="text1"/>
        </w:rPr>
      </w:pPr>
      <w:r>
        <w:rPr>
          <w:rFonts w:ascii="Book Antiqua" w:hAnsi="Book Antiqua"/>
          <w:b/>
          <w:color w:val="000000" w:themeColor="text1"/>
        </w:rPr>
        <w:tab/>
      </w:r>
    </w:p>
    <w:p w14:paraId="55A1EC4A" w14:textId="7943570C" w:rsidR="00133AD1" w:rsidRPr="009431BB" w:rsidRDefault="6DF72F70" w:rsidP="57A79FF7">
      <w:pPr>
        <w:spacing w:after="160" w:line="276" w:lineRule="auto"/>
        <w:contextualSpacing/>
        <w:outlineLvl w:val="1"/>
        <w:rPr>
          <w:b/>
          <w:color w:val="000000" w:themeColor="text1"/>
        </w:rPr>
      </w:pPr>
      <w:r w:rsidRPr="57A79FF7">
        <w:rPr>
          <w:rFonts w:ascii="Book Antiqua" w:hAnsi="Book Antiqua"/>
          <w:b/>
          <w:bCs/>
          <w:color w:val="000000" w:themeColor="text1"/>
        </w:rPr>
        <w:t xml:space="preserve">6.2.3 </w:t>
      </w:r>
      <w:r w:rsidR="00133AD1" w:rsidRPr="009431BB">
        <w:rPr>
          <w:rFonts w:ascii="Book Antiqua" w:hAnsi="Book Antiqua"/>
          <w:b/>
          <w:color w:val="000000" w:themeColor="text1"/>
        </w:rPr>
        <w:t>Tribunal y Secciones de Flagrancia</w:t>
      </w:r>
    </w:p>
    <w:p w14:paraId="105D5EFB" w14:textId="77777777" w:rsidR="00665067" w:rsidRPr="00665067" w:rsidRDefault="00665067" w:rsidP="00665067">
      <w:pPr>
        <w:spacing w:line="276" w:lineRule="auto"/>
        <w:jc w:val="both"/>
        <w:rPr>
          <w:rFonts w:ascii="Book Antiqua" w:hAnsi="Book Antiqua"/>
          <w:color w:val="000000" w:themeColor="text1"/>
        </w:rPr>
      </w:pPr>
      <w:r w:rsidRPr="00665067">
        <w:rPr>
          <w:rFonts w:ascii="Book Antiqua" w:hAnsi="Book Antiqua"/>
          <w:color w:val="000000" w:themeColor="text1"/>
        </w:rPr>
        <w:t>Las secciones de flagrancia tienen un parámetro de producción de 35 diligencias entre audiencias iniciales, sentencias o medidas alternas, por lo tanto, su comparación contra el valor teórico es de un 78% y considerando el soporte al ordinario el rendimiento global asciende a un 81%.</w:t>
      </w:r>
    </w:p>
    <w:p w14:paraId="69118C29" w14:textId="77777777" w:rsidR="00665067" w:rsidRPr="00665067" w:rsidRDefault="00665067" w:rsidP="00665067">
      <w:pPr>
        <w:spacing w:line="276" w:lineRule="auto"/>
        <w:jc w:val="both"/>
        <w:rPr>
          <w:rFonts w:ascii="Book Antiqua" w:hAnsi="Book Antiqua"/>
          <w:color w:val="000000" w:themeColor="text1"/>
        </w:rPr>
      </w:pPr>
    </w:p>
    <w:p w14:paraId="613AFDF3" w14:textId="60F158AC" w:rsidR="00665067" w:rsidRPr="00665067" w:rsidRDefault="00665067" w:rsidP="00665067">
      <w:pPr>
        <w:spacing w:line="276" w:lineRule="auto"/>
        <w:jc w:val="both"/>
        <w:rPr>
          <w:rFonts w:ascii="Book Antiqua" w:hAnsi="Book Antiqua"/>
          <w:color w:val="000000" w:themeColor="text1"/>
        </w:rPr>
      </w:pPr>
      <w:r w:rsidRPr="00665067">
        <w:rPr>
          <w:rFonts w:ascii="Book Antiqua" w:hAnsi="Book Antiqua"/>
          <w:color w:val="000000" w:themeColor="text1"/>
        </w:rPr>
        <w:t xml:space="preserve"> El despacho con mayor nivel de producción es el Tribunal de Flagrancia del Primer Circuito Judicial de Alajuela, con un 210% y el de menor rendimiento fue el Tribunal de Flagrancia de </w:t>
      </w:r>
      <w:r w:rsidR="0052233C">
        <w:rPr>
          <w:rFonts w:ascii="Book Antiqua" w:hAnsi="Book Antiqua"/>
          <w:color w:val="000000" w:themeColor="text1"/>
        </w:rPr>
        <w:t>San José</w:t>
      </w:r>
      <w:r w:rsidRPr="00665067">
        <w:rPr>
          <w:rFonts w:ascii="Book Antiqua" w:hAnsi="Book Antiqua"/>
          <w:color w:val="000000" w:themeColor="text1"/>
        </w:rPr>
        <w:t xml:space="preserve"> con un 33% del valor teórico; es decir, poco más de la tercera parte del parámetro establecido.</w:t>
      </w:r>
    </w:p>
    <w:p w14:paraId="2F2D3330" w14:textId="77777777" w:rsidR="00665067" w:rsidRPr="00665067" w:rsidRDefault="00665067" w:rsidP="00665067">
      <w:pPr>
        <w:spacing w:line="276" w:lineRule="auto"/>
        <w:jc w:val="both"/>
        <w:rPr>
          <w:rFonts w:ascii="Book Antiqua" w:hAnsi="Book Antiqua"/>
          <w:color w:val="000000" w:themeColor="text1"/>
        </w:rPr>
      </w:pPr>
    </w:p>
    <w:p w14:paraId="74117F18" w14:textId="77777777" w:rsidR="00665067" w:rsidRPr="00665067" w:rsidRDefault="00665067" w:rsidP="00665067">
      <w:pPr>
        <w:spacing w:line="276" w:lineRule="auto"/>
        <w:jc w:val="both"/>
        <w:rPr>
          <w:rFonts w:ascii="Book Antiqua" w:hAnsi="Book Antiqua"/>
          <w:color w:val="000000" w:themeColor="text1"/>
        </w:rPr>
      </w:pPr>
      <w:r w:rsidRPr="00665067">
        <w:rPr>
          <w:rFonts w:ascii="Book Antiqua" w:hAnsi="Book Antiqua"/>
          <w:color w:val="000000" w:themeColor="text1"/>
        </w:rPr>
        <w:t>Se destaca que, para el mes de julio, de la totalidad de las oficinas del contexto de Flagrancia, Alajuela, Heredia, Liberia, San Ramón y San Carlos, son los únicos despachos que logran alcanzar un rendimiento igual o mayor al valor mínimo de producción con asuntos propios de la materia de Flagrancia.</w:t>
      </w:r>
    </w:p>
    <w:p w14:paraId="5E45A092" w14:textId="77777777" w:rsidR="00665067" w:rsidRPr="00665067" w:rsidRDefault="00665067" w:rsidP="00665067">
      <w:pPr>
        <w:spacing w:line="276" w:lineRule="auto"/>
        <w:jc w:val="both"/>
        <w:rPr>
          <w:rFonts w:ascii="Book Antiqua" w:hAnsi="Book Antiqua"/>
          <w:color w:val="000000" w:themeColor="text1"/>
        </w:rPr>
      </w:pPr>
    </w:p>
    <w:p w14:paraId="302DEDC3" w14:textId="25E3AF1A" w:rsidR="00665067" w:rsidRPr="00665067" w:rsidRDefault="00665067" w:rsidP="00665067">
      <w:pPr>
        <w:spacing w:line="276" w:lineRule="auto"/>
        <w:jc w:val="both"/>
        <w:rPr>
          <w:rFonts w:ascii="Book Antiqua" w:hAnsi="Book Antiqua"/>
          <w:color w:val="000000" w:themeColor="text1"/>
        </w:rPr>
      </w:pPr>
      <w:r w:rsidRPr="00665067">
        <w:rPr>
          <w:rFonts w:ascii="Book Antiqua" w:hAnsi="Book Antiqua"/>
          <w:color w:val="000000" w:themeColor="text1"/>
        </w:rPr>
        <w:t xml:space="preserve">En ese sentido, se hace la observación que actualmente existen despachos de Flagrancia que brindan soporte a los Tribunales Ordinarios homólogos en la tramitación de asuntos propios de dicha dependencia, lo anterior, con el objetivo de maximizar el recurso humano y disminuir tiempos de respuesta, el detalle de lo anterior se amplía en el </w:t>
      </w:r>
      <w:r w:rsidRPr="0052233C">
        <w:rPr>
          <w:rFonts w:ascii="Book Antiqua" w:hAnsi="Book Antiqua"/>
          <w:color w:val="000000" w:themeColor="text1"/>
        </w:rPr>
        <w:t xml:space="preserve">capítulo </w:t>
      </w:r>
      <w:r w:rsidR="0052233C" w:rsidRPr="0052233C">
        <w:rPr>
          <w:rFonts w:ascii="Book Antiqua" w:hAnsi="Book Antiqua"/>
          <w:color w:val="000000" w:themeColor="text1"/>
        </w:rPr>
        <w:t>I</w:t>
      </w:r>
      <w:r w:rsidRPr="0052233C">
        <w:rPr>
          <w:rFonts w:ascii="Book Antiqua" w:hAnsi="Book Antiqua"/>
          <w:color w:val="000000" w:themeColor="text1"/>
        </w:rPr>
        <w:t>X del presente informe.</w:t>
      </w:r>
      <w:r w:rsidRPr="00665067">
        <w:rPr>
          <w:rFonts w:ascii="Book Antiqua" w:hAnsi="Book Antiqua"/>
          <w:color w:val="000000" w:themeColor="text1"/>
        </w:rPr>
        <w:t xml:space="preserve"> </w:t>
      </w:r>
    </w:p>
    <w:p w14:paraId="6D071AD1" w14:textId="77777777" w:rsidR="00665067" w:rsidRPr="00665067" w:rsidRDefault="00665067" w:rsidP="00665067">
      <w:pPr>
        <w:spacing w:line="276" w:lineRule="auto"/>
        <w:jc w:val="both"/>
        <w:rPr>
          <w:rFonts w:ascii="Book Antiqua" w:hAnsi="Book Antiqua"/>
          <w:color w:val="000000" w:themeColor="text1"/>
        </w:rPr>
      </w:pPr>
    </w:p>
    <w:p w14:paraId="449CC0FB" w14:textId="77777777" w:rsidR="00665067" w:rsidRPr="00665067" w:rsidRDefault="00665067" w:rsidP="00665067">
      <w:pPr>
        <w:spacing w:line="276" w:lineRule="auto"/>
        <w:jc w:val="both"/>
        <w:rPr>
          <w:rFonts w:ascii="Book Antiqua" w:hAnsi="Book Antiqua"/>
          <w:color w:val="000000" w:themeColor="text1"/>
        </w:rPr>
      </w:pPr>
      <w:r w:rsidRPr="00665067">
        <w:rPr>
          <w:rFonts w:ascii="Book Antiqua" w:hAnsi="Book Antiqua"/>
          <w:color w:val="000000" w:themeColor="text1"/>
        </w:rPr>
        <w:t xml:space="preserve"> Dicho lo anterior, contabilizando el soporte que las oficinas del contexto de Flagrancia le dan al ordinario Alajuela, Heredia, Liberia, San Ramón y San Carlos continúan siendo los únicos despachos que logran alcanzar un porcentaje igual o mayor al valor mínimo esperado. </w:t>
      </w:r>
    </w:p>
    <w:p w14:paraId="4CA43D2B" w14:textId="77777777" w:rsidR="00665067" w:rsidRPr="00665067" w:rsidRDefault="00665067" w:rsidP="00665067">
      <w:pPr>
        <w:spacing w:line="276" w:lineRule="auto"/>
        <w:jc w:val="both"/>
        <w:rPr>
          <w:rFonts w:ascii="Book Antiqua" w:hAnsi="Book Antiqua"/>
          <w:color w:val="000000" w:themeColor="text1"/>
        </w:rPr>
      </w:pPr>
    </w:p>
    <w:p w14:paraId="6D15F1C7" w14:textId="5B3883B0" w:rsidR="00CB63EF" w:rsidRDefault="00665067" w:rsidP="00665067">
      <w:pPr>
        <w:spacing w:line="276" w:lineRule="auto"/>
        <w:jc w:val="both"/>
        <w:rPr>
          <w:rFonts w:ascii="Book Antiqua" w:hAnsi="Book Antiqua"/>
          <w:color w:val="000000" w:themeColor="text1"/>
        </w:rPr>
      </w:pPr>
      <w:r w:rsidRPr="00665067">
        <w:rPr>
          <w:rFonts w:ascii="Book Antiqua" w:hAnsi="Book Antiqua"/>
          <w:color w:val="000000" w:themeColor="text1"/>
        </w:rPr>
        <w:t>En relación con las oficinas que no cumplen con un porcentaje igual o mayor al valor mínimo esperado, resulta importante evidenciar el aumento en el porcentaje de rendimiento que presentan las oficinas con el soporte al ordinario.</w:t>
      </w:r>
    </w:p>
    <w:p w14:paraId="2220EF6D" w14:textId="77777777" w:rsidR="00665067" w:rsidRDefault="00665067" w:rsidP="00665067">
      <w:pPr>
        <w:spacing w:line="276" w:lineRule="auto"/>
        <w:jc w:val="both"/>
        <w:rPr>
          <w:rFonts w:ascii="Book Antiqua" w:hAnsi="Book Antiqua"/>
          <w:b/>
          <w:color w:val="000000" w:themeColor="text1"/>
        </w:rPr>
      </w:pPr>
    </w:p>
    <w:p w14:paraId="35562337" w14:textId="48C06194" w:rsidR="00133AD1" w:rsidRPr="000549BF" w:rsidRDefault="00133AD1" w:rsidP="00985591">
      <w:pPr>
        <w:spacing w:line="276" w:lineRule="auto"/>
        <w:jc w:val="center"/>
        <w:rPr>
          <w:rFonts w:ascii="Book Antiqua" w:hAnsi="Book Antiqua"/>
          <w:b/>
          <w:color w:val="000000" w:themeColor="text1"/>
        </w:rPr>
      </w:pPr>
      <w:r w:rsidRPr="000549BF">
        <w:rPr>
          <w:rFonts w:ascii="Book Antiqua" w:hAnsi="Book Antiqua"/>
          <w:b/>
          <w:color w:val="000000" w:themeColor="text1"/>
        </w:rPr>
        <w:t xml:space="preserve">Cuadro </w:t>
      </w:r>
      <w:r w:rsidR="0052233C">
        <w:rPr>
          <w:rFonts w:ascii="Book Antiqua" w:hAnsi="Book Antiqua"/>
          <w:b/>
          <w:color w:val="000000" w:themeColor="text1"/>
        </w:rPr>
        <w:t>58</w:t>
      </w:r>
    </w:p>
    <w:p w14:paraId="4491C0BC" w14:textId="77777777" w:rsidR="00133AD1" w:rsidRPr="00EF017E" w:rsidRDefault="00133AD1" w:rsidP="00985591">
      <w:pPr>
        <w:spacing w:line="276" w:lineRule="auto"/>
        <w:jc w:val="center"/>
        <w:rPr>
          <w:rFonts w:ascii="Book Antiqua" w:hAnsi="Book Antiqua"/>
          <w:bCs/>
          <w:color w:val="000000" w:themeColor="text1"/>
        </w:rPr>
      </w:pPr>
      <w:r w:rsidRPr="00EF017E">
        <w:rPr>
          <w:rFonts w:ascii="Book Antiqua" w:hAnsi="Book Antiqua"/>
          <w:bCs/>
          <w:color w:val="000000" w:themeColor="text1"/>
        </w:rPr>
        <w:t xml:space="preserve">Cumplimiento del parámetro de producción teórico </w:t>
      </w:r>
    </w:p>
    <w:p w14:paraId="269BB847" w14:textId="3D5741AE" w:rsidR="00133AD1" w:rsidRDefault="00133AD1" w:rsidP="00985591">
      <w:pPr>
        <w:spacing w:line="276" w:lineRule="auto"/>
        <w:jc w:val="center"/>
        <w:rPr>
          <w:rFonts w:ascii="Book Antiqua" w:hAnsi="Book Antiqua"/>
          <w:bCs/>
          <w:color w:val="000000" w:themeColor="text1"/>
        </w:rPr>
      </w:pPr>
      <w:r w:rsidRPr="00EF017E">
        <w:rPr>
          <w:rFonts w:ascii="Book Antiqua" w:hAnsi="Book Antiqua"/>
          <w:bCs/>
          <w:color w:val="000000" w:themeColor="text1"/>
        </w:rPr>
        <w:t xml:space="preserve">de Tribunales y Secciones de Flagrancia durante </w:t>
      </w:r>
      <w:r w:rsidR="00033A2D">
        <w:rPr>
          <w:rFonts w:ascii="Book Antiqua" w:hAnsi="Book Antiqua"/>
          <w:bCs/>
          <w:color w:val="000000" w:themeColor="text1"/>
        </w:rPr>
        <w:t>julio</w:t>
      </w:r>
      <w:r w:rsidRPr="00EF017E">
        <w:rPr>
          <w:rFonts w:ascii="Book Antiqua" w:hAnsi="Book Antiqua"/>
          <w:bCs/>
          <w:color w:val="000000" w:themeColor="text1"/>
        </w:rPr>
        <w:t xml:space="preserve"> 2021</w:t>
      </w:r>
    </w:p>
    <w:tbl>
      <w:tblPr>
        <w:tblW w:w="8217" w:type="dxa"/>
        <w:jc w:val="center"/>
        <w:tblCellMar>
          <w:left w:w="70" w:type="dxa"/>
          <w:right w:w="70" w:type="dxa"/>
        </w:tblCellMar>
        <w:tblLook w:val="04A0" w:firstRow="1" w:lastRow="0" w:firstColumn="1" w:lastColumn="0" w:noHBand="0" w:noVBand="1"/>
      </w:tblPr>
      <w:tblGrid>
        <w:gridCol w:w="3544"/>
        <w:gridCol w:w="2052"/>
        <w:gridCol w:w="2621"/>
      </w:tblGrid>
      <w:tr w:rsidR="000A6207" w:rsidRPr="00665067" w14:paraId="759E4C42" w14:textId="77777777" w:rsidTr="00665067">
        <w:trPr>
          <w:trHeight w:val="780"/>
          <w:jc w:val="center"/>
        </w:trPr>
        <w:tc>
          <w:tcPr>
            <w:tcW w:w="3544" w:type="dxa"/>
            <w:tcBorders>
              <w:top w:val="single" w:sz="4" w:space="0" w:color="808080"/>
              <w:left w:val="single" w:sz="4" w:space="0" w:color="808080"/>
              <w:bottom w:val="single" w:sz="4" w:space="0" w:color="808080"/>
              <w:right w:val="single" w:sz="4" w:space="0" w:color="808080"/>
            </w:tcBorders>
            <w:shd w:val="clear" w:color="000000" w:fill="305496"/>
            <w:noWrap/>
            <w:vAlign w:val="center"/>
            <w:hideMark/>
          </w:tcPr>
          <w:p w14:paraId="0641C203" w14:textId="77777777" w:rsidR="000A6207" w:rsidRPr="00665067" w:rsidRDefault="000A6207" w:rsidP="000A6207">
            <w:pPr>
              <w:jc w:val="center"/>
              <w:rPr>
                <w:rFonts w:ascii="Book Antiqua" w:hAnsi="Book Antiqua" w:cs="Calibri"/>
                <w:b/>
                <w:bCs/>
                <w:color w:val="FFFFFF"/>
                <w:sz w:val="16"/>
                <w:szCs w:val="16"/>
                <w:lang w:eastAsia="es-CR"/>
              </w:rPr>
            </w:pPr>
            <w:r w:rsidRPr="00665067">
              <w:rPr>
                <w:rFonts w:ascii="Book Antiqua" w:hAnsi="Book Antiqua" w:cs="Calibri"/>
                <w:b/>
                <w:bCs/>
                <w:color w:val="FFFFFF"/>
                <w:sz w:val="16"/>
                <w:szCs w:val="16"/>
                <w:lang w:eastAsia="es-CR"/>
              </w:rPr>
              <w:t>Oficina</w:t>
            </w:r>
          </w:p>
        </w:tc>
        <w:tc>
          <w:tcPr>
            <w:tcW w:w="2052" w:type="dxa"/>
            <w:tcBorders>
              <w:top w:val="single" w:sz="4" w:space="0" w:color="808080"/>
              <w:left w:val="nil"/>
              <w:bottom w:val="single" w:sz="4" w:space="0" w:color="808080"/>
              <w:right w:val="single" w:sz="4" w:space="0" w:color="808080"/>
            </w:tcBorders>
            <w:shd w:val="clear" w:color="000000" w:fill="305496"/>
            <w:vAlign w:val="center"/>
            <w:hideMark/>
          </w:tcPr>
          <w:p w14:paraId="23BCADE8" w14:textId="77777777" w:rsidR="000A6207" w:rsidRPr="00665067" w:rsidRDefault="000A6207" w:rsidP="000A6207">
            <w:pPr>
              <w:jc w:val="center"/>
              <w:rPr>
                <w:rFonts w:ascii="Book Antiqua" w:hAnsi="Book Antiqua" w:cs="Calibri"/>
                <w:b/>
                <w:bCs/>
                <w:color w:val="FFFFFF"/>
                <w:sz w:val="16"/>
                <w:szCs w:val="16"/>
                <w:lang w:eastAsia="es-CR"/>
              </w:rPr>
            </w:pPr>
            <w:r w:rsidRPr="00665067">
              <w:rPr>
                <w:rFonts w:ascii="Book Antiqua" w:hAnsi="Book Antiqua" w:cs="Calibri"/>
                <w:b/>
                <w:bCs/>
                <w:color w:val="FFFFFF"/>
                <w:sz w:val="16"/>
                <w:szCs w:val="16"/>
                <w:lang w:eastAsia="es-CR"/>
              </w:rPr>
              <w:t>% de cumplimiento de cuota</w:t>
            </w:r>
          </w:p>
        </w:tc>
        <w:tc>
          <w:tcPr>
            <w:tcW w:w="2621" w:type="dxa"/>
            <w:tcBorders>
              <w:top w:val="single" w:sz="4" w:space="0" w:color="808080"/>
              <w:left w:val="nil"/>
              <w:bottom w:val="single" w:sz="4" w:space="0" w:color="808080"/>
              <w:right w:val="single" w:sz="4" w:space="0" w:color="808080"/>
            </w:tcBorders>
            <w:shd w:val="clear" w:color="000000" w:fill="305496"/>
            <w:vAlign w:val="center"/>
            <w:hideMark/>
          </w:tcPr>
          <w:p w14:paraId="18685555" w14:textId="77777777" w:rsidR="000A6207" w:rsidRPr="00665067" w:rsidRDefault="000A6207" w:rsidP="000A6207">
            <w:pPr>
              <w:jc w:val="center"/>
              <w:rPr>
                <w:rFonts w:ascii="Book Antiqua" w:hAnsi="Book Antiqua" w:cs="Calibri"/>
                <w:b/>
                <w:bCs/>
                <w:color w:val="FFFFFF"/>
                <w:sz w:val="16"/>
                <w:szCs w:val="16"/>
                <w:lang w:eastAsia="es-CR"/>
              </w:rPr>
            </w:pPr>
            <w:r w:rsidRPr="00665067">
              <w:rPr>
                <w:rFonts w:ascii="Book Antiqua" w:hAnsi="Book Antiqua" w:cs="Calibri"/>
                <w:b/>
                <w:bCs/>
                <w:color w:val="FFFFFF"/>
                <w:sz w:val="16"/>
                <w:szCs w:val="16"/>
                <w:lang w:eastAsia="es-CR"/>
              </w:rPr>
              <w:t>% de cumplimiento considerando colaboración al ordinario</w:t>
            </w:r>
          </w:p>
        </w:tc>
      </w:tr>
      <w:tr w:rsidR="000A6207" w:rsidRPr="00665067" w14:paraId="5403F5AE" w14:textId="77777777" w:rsidTr="00665067">
        <w:trPr>
          <w:trHeight w:val="290"/>
          <w:jc w:val="center"/>
        </w:trPr>
        <w:tc>
          <w:tcPr>
            <w:tcW w:w="3544" w:type="dxa"/>
            <w:tcBorders>
              <w:top w:val="nil"/>
              <w:left w:val="single" w:sz="4" w:space="0" w:color="808080"/>
              <w:bottom w:val="single" w:sz="4" w:space="0" w:color="808080"/>
              <w:right w:val="single" w:sz="4" w:space="0" w:color="808080"/>
            </w:tcBorders>
            <w:shd w:val="clear" w:color="auto" w:fill="auto"/>
            <w:noWrap/>
            <w:vAlign w:val="center"/>
            <w:hideMark/>
          </w:tcPr>
          <w:p w14:paraId="54E06A86" w14:textId="77777777" w:rsidR="000A6207" w:rsidRPr="00665067" w:rsidRDefault="000A6207" w:rsidP="000A6207">
            <w:pPr>
              <w:rPr>
                <w:rFonts w:ascii="Book Antiqua" w:hAnsi="Book Antiqua" w:cs="Calibri"/>
                <w:color w:val="000000"/>
                <w:sz w:val="16"/>
                <w:szCs w:val="16"/>
                <w:lang w:eastAsia="es-CR"/>
              </w:rPr>
            </w:pPr>
            <w:r w:rsidRPr="00665067">
              <w:rPr>
                <w:rFonts w:ascii="Book Antiqua" w:hAnsi="Book Antiqua" w:cs="Calibri"/>
                <w:color w:val="000000"/>
                <w:sz w:val="16"/>
                <w:szCs w:val="16"/>
                <w:lang w:eastAsia="es-CR"/>
              </w:rPr>
              <w:t>Tribunal de Flagrancia de Alajuela</w:t>
            </w:r>
          </w:p>
        </w:tc>
        <w:tc>
          <w:tcPr>
            <w:tcW w:w="2052" w:type="dxa"/>
            <w:tcBorders>
              <w:top w:val="nil"/>
              <w:left w:val="nil"/>
              <w:bottom w:val="single" w:sz="4" w:space="0" w:color="808080"/>
              <w:right w:val="single" w:sz="4" w:space="0" w:color="808080"/>
            </w:tcBorders>
            <w:shd w:val="clear" w:color="auto" w:fill="auto"/>
            <w:noWrap/>
            <w:vAlign w:val="center"/>
            <w:hideMark/>
          </w:tcPr>
          <w:p w14:paraId="40637BE8" w14:textId="77777777" w:rsidR="000A6207" w:rsidRPr="00665067" w:rsidRDefault="000A6207" w:rsidP="000A6207">
            <w:pPr>
              <w:jc w:val="center"/>
              <w:rPr>
                <w:rFonts w:ascii="Book Antiqua" w:hAnsi="Book Antiqua" w:cs="Calibri"/>
                <w:color w:val="000000"/>
                <w:sz w:val="16"/>
                <w:szCs w:val="16"/>
                <w:lang w:eastAsia="es-CR"/>
              </w:rPr>
            </w:pPr>
            <w:r w:rsidRPr="00665067">
              <w:rPr>
                <w:rFonts w:ascii="Book Antiqua" w:hAnsi="Book Antiqua" w:cs="Calibri"/>
                <w:color w:val="000000"/>
                <w:sz w:val="16"/>
                <w:szCs w:val="16"/>
                <w:lang w:eastAsia="es-CR"/>
              </w:rPr>
              <w:t>210%</w:t>
            </w:r>
          </w:p>
        </w:tc>
        <w:tc>
          <w:tcPr>
            <w:tcW w:w="2621" w:type="dxa"/>
            <w:tcBorders>
              <w:top w:val="nil"/>
              <w:left w:val="nil"/>
              <w:bottom w:val="single" w:sz="4" w:space="0" w:color="808080"/>
              <w:right w:val="single" w:sz="4" w:space="0" w:color="808080"/>
            </w:tcBorders>
            <w:shd w:val="clear" w:color="auto" w:fill="auto"/>
            <w:noWrap/>
            <w:vAlign w:val="center"/>
            <w:hideMark/>
          </w:tcPr>
          <w:p w14:paraId="43955C55" w14:textId="77777777" w:rsidR="000A6207" w:rsidRPr="00665067" w:rsidRDefault="000A6207" w:rsidP="000A6207">
            <w:pPr>
              <w:jc w:val="center"/>
              <w:rPr>
                <w:rFonts w:ascii="Book Antiqua" w:hAnsi="Book Antiqua" w:cs="Calibri"/>
                <w:color w:val="000000"/>
                <w:sz w:val="16"/>
                <w:szCs w:val="16"/>
                <w:lang w:eastAsia="es-CR"/>
              </w:rPr>
            </w:pPr>
            <w:r w:rsidRPr="00665067">
              <w:rPr>
                <w:rFonts w:ascii="Book Antiqua" w:hAnsi="Book Antiqua" w:cs="Calibri"/>
                <w:color w:val="000000"/>
                <w:sz w:val="16"/>
                <w:szCs w:val="16"/>
                <w:lang w:eastAsia="es-CR"/>
              </w:rPr>
              <w:t>210%</w:t>
            </w:r>
          </w:p>
        </w:tc>
      </w:tr>
      <w:tr w:rsidR="000A6207" w:rsidRPr="00665067" w14:paraId="46602CDC" w14:textId="77777777" w:rsidTr="00665067">
        <w:trPr>
          <w:trHeight w:val="290"/>
          <w:jc w:val="center"/>
        </w:trPr>
        <w:tc>
          <w:tcPr>
            <w:tcW w:w="3544" w:type="dxa"/>
            <w:tcBorders>
              <w:top w:val="nil"/>
              <w:left w:val="single" w:sz="4" w:space="0" w:color="808080"/>
              <w:bottom w:val="single" w:sz="4" w:space="0" w:color="808080"/>
              <w:right w:val="single" w:sz="4" w:space="0" w:color="808080"/>
            </w:tcBorders>
            <w:shd w:val="clear" w:color="auto" w:fill="auto"/>
            <w:noWrap/>
            <w:vAlign w:val="center"/>
            <w:hideMark/>
          </w:tcPr>
          <w:p w14:paraId="36F4F505" w14:textId="31B39167" w:rsidR="000A6207" w:rsidRPr="00665067" w:rsidRDefault="000A6207" w:rsidP="000A6207">
            <w:pPr>
              <w:rPr>
                <w:rFonts w:ascii="Book Antiqua" w:hAnsi="Book Antiqua" w:cs="Calibri"/>
                <w:color w:val="000000"/>
                <w:sz w:val="16"/>
                <w:szCs w:val="16"/>
                <w:lang w:eastAsia="es-CR"/>
              </w:rPr>
            </w:pPr>
            <w:r w:rsidRPr="00665067">
              <w:rPr>
                <w:rFonts w:ascii="Book Antiqua" w:hAnsi="Book Antiqua" w:cs="Calibri"/>
                <w:color w:val="000000"/>
                <w:sz w:val="16"/>
                <w:szCs w:val="16"/>
                <w:lang w:eastAsia="es-CR"/>
              </w:rPr>
              <w:t xml:space="preserve">Tribunal de Flagrancia de Heredia </w:t>
            </w:r>
          </w:p>
        </w:tc>
        <w:tc>
          <w:tcPr>
            <w:tcW w:w="2052" w:type="dxa"/>
            <w:tcBorders>
              <w:top w:val="nil"/>
              <w:left w:val="nil"/>
              <w:bottom w:val="single" w:sz="4" w:space="0" w:color="808080"/>
              <w:right w:val="single" w:sz="4" w:space="0" w:color="808080"/>
            </w:tcBorders>
            <w:shd w:val="clear" w:color="auto" w:fill="auto"/>
            <w:noWrap/>
            <w:vAlign w:val="center"/>
            <w:hideMark/>
          </w:tcPr>
          <w:p w14:paraId="6E688E5D" w14:textId="77777777" w:rsidR="000A6207" w:rsidRPr="00665067" w:rsidRDefault="000A6207" w:rsidP="000A6207">
            <w:pPr>
              <w:jc w:val="center"/>
              <w:rPr>
                <w:rFonts w:ascii="Book Antiqua" w:hAnsi="Book Antiqua" w:cs="Calibri"/>
                <w:color w:val="000000"/>
                <w:sz w:val="16"/>
                <w:szCs w:val="16"/>
                <w:lang w:eastAsia="es-CR"/>
              </w:rPr>
            </w:pPr>
            <w:r w:rsidRPr="00665067">
              <w:rPr>
                <w:rFonts w:ascii="Book Antiqua" w:hAnsi="Book Antiqua" w:cs="Calibri"/>
                <w:color w:val="000000"/>
                <w:sz w:val="16"/>
                <w:szCs w:val="16"/>
                <w:lang w:eastAsia="es-CR"/>
              </w:rPr>
              <w:t>113%</w:t>
            </w:r>
          </w:p>
        </w:tc>
        <w:tc>
          <w:tcPr>
            <w:tcW w:w="2621" w:type="dxa"/>
            <w:tcBorders>
              <w:top w:val="nil"/>
              <w:left w:val="nil"/>
              <w:bottom w:val="single" w:sz="4" w:space="0" w:color="808080"/>
              <w:right w:val="single" w:sz="4" w:space="0" w:color="808080"/>
            </w:tcBorders>
            <w:shd w:val="clear" w:color="auto" w:fill="auto"/>
            <w:noWrap/>
            <w:vAlign w:val="center"/>
            <w:hideMark/>
          </w:tcPr>
          <w:p w14:paraId="3C2A85EA" w14:textId="77777777" w:rsidR="000A6207" w:rsidRPr="00665067" w:rsidRDefault="000A6207" w:rsidP="000A6207">
            <w:pPr>
              <w:jc w:val="center"/>
              <w:rPr>
                <w:rFonts w:ascii="Book Antiqua" w:hAnsi="Book Antiqua" w:cs="Calibri"/>
                <w:color w:val="000000"/>
                <w:sz w:val="16"/>
                <w:szCs w:val="16"/>
                <w:lang w:eastAsia="es-CR"/>
              </w:rPr>
            </w:pPr>
            <w:r w:rsidRPr="00665067">
              <w:rPr>
                <w:rFonts w:ascii="Book Antiqua" w:hAnsi="Book Antiqua" w:cs="Calibri"/>
                <w:color w:val="000000"/>
                <w:sz w:val="16"/>
                <w:szCs w:val="16"/>
                <w:lang w:eastAsia="es-CR"/>
              </w:rPr>
              <w:t>113%</w:t>
            </w:r>
          </w:p>
        </w:tc>
      </w:tr>
      <w:tr w:rsidR="000A6207" w:rsidRPr="00665067" w14:paraId="5EF417EE" w14:textId="77777777" w:rsidTr="00665067">
        <w:trPr>
          <w:trHeight w:val="290"/>
          <w:jc w:val="center"/>
        </w:trPr>
        <w:tc>
          <w:tcPr>
            <w:tcW w:w="3544" w:type="dxa"/>
            <w:tcBorders>
              <w:top w:val="nil"/>
              <w:left w:val="single" w:sz="4" w:space="0" w:color="808080"/>
              <w:bottom w:val="single" w:sz="4" w:space="0" w:color="808080"/>
              <w:right w:val="single" w:sz="4" w:space="0" w:color="808080"/>
            </w:tcBorders>
            <w:shd w:val="clear" w:color="auto" w:fill="auto"/>
            <w:noWrap/>
            <w:vAlign w:val="center"/>
            <w:hideMark/>
          </w:tcPr>
          <w:p w14:paraId="72A5DF5E" w14:textId="77777777" w:rsidR="000A6207" w:rsidRPr="00665067" w:rsidRDefault="000A6207" w:rsidP="000A6207">
            <w:pPr>
              <w:rPr>
                <w:rFonts w:ascii="Book Antiqua" w:hAnsi="Book Antiqua" w:cs="Calibri"/>
                <w:color w:val="000000"/>
                <w:sz w:val="16"/>
                <w:szCs w:val="16"/>
                <w:lang w:eastAsia="es-CR"/>
              </w:rPr>
            </w:pPr>
            <w:r w:rsidRPr="00665067">
              <w:rPr>
                <w:rFonts w:ascii="Book Antiqua" w:hAnsi="Book Antiqua" w:cs="Calibri"/>
                <w:color w:val="000000"/>
                <w:sz w:val="16"/>
                <w:szCs w:val="16"/>
                <w:lang w:eastAsia="es-CR"/>
              </w:rPr>
              <w:t>Tribunal de Flagrancia de Liberia</w:t>
            </w:r>
          </w:p>
        </w:tc>
        <w:tc>
          <w:tcPr>
            <w:tcW w:w="2052" w:type="dxa"/>
            <w:tcBorders>
              <w:top w:val="nil"/>
              <w:left w:val="nil"/>
              <w:bottom w:val="single" w:sz="4" w:space="0" w:color="808080"/>
              <w:right w:val="single" w:sz="4" w:space="0" w:color="808080"/>
            </w:tcBorders>
            <w:shd w:val="clear" w:color="auto" w:fill="auto"/>
            <w:noWrap/>
            <w:vAlign w:val="center"/>
            <w:hideMark/>
          </w:tcPr>
          <w:p w14:paraId="6077051E" w14:textId="77777777" w:rsidR="000A6207" w:rsidRPr="00665067" w:rsidRDefault="000A6207" w:rsidP="000A6207">
            <w:pPr>
              <w:jc w:val="center"/>
              <w:rPr>
                <w:rFonts w:ascii="Book Antiqua" w:hAnsi="Book Antiqua" w:cs="Calibri"/>
                <w:color w:val="000000"/>
                <w:sz w:val="16"/>
                <w:szCs w:val="16"/>
                <w:lang w:eastAsia="es-CR"/>
              </w:rPr>
            </w:pPr>
            <w:r w:rsidRPr="00665067">
              <w:rPr>
                <w:rFonts w:ascii="Book Antiqua" w:hAnsi="Book Antiqua" w:cs="Calibri"/>
                <w:color w:val="000000"/>
                <w:sz w:val="16"/>
                <w:szCs w:val="16"/>
                <w:lang w:eastAsia="es-CR"/>
              </w:rPr>
              <w:t>104%</w:t>
            </w:r>
          </w:p>
        </w:tc>
        <w:tc>
          <w:tcPr>
            <w:tcW w:w="2621" w:type="dxa"/>
            <w:tcBorders>
              <w:top w:val="nil"/>
              <w:left w:val="nil"/>
              <w:bottom w:val="single" w:sz="4" w:space="0" w:color="808080"/>
              <w:right w:val="single" w:sz="4" w:space="0" w:color="808080"/>
            </w:tcBorders>
            <w:shd w:val="clear" w:color="auto" w:fill="auto"/>
            <w:noWrap/>
            <w:vAlign w:val="center"/>
            <w:hideMark/>
          </w:tcPr>
          <w:p w14:paraId="510C465C" w14:textId="77777777" w:rsidR="000A6207" w:rsidRPr="00665067" w:rsidRDefault="000A6207" w:rsidP="000A6207">
            <w:pPr>
              <w:jc w:val="center"/>
              <w:rPr>
                <w:rFonts w:ascii="Book Antiqua" w:hAnsi="Book Antiqua" w:cs="Calibri"/>
                <w:color w:val="000000"/>
                <w:sz w:val="16"/>
                <w:szCs w:val="16"/>
                <w:lang w:eastAsia="es-CR"/>
              </w:rPr>
            </w:pPr>
            <w:r w:rsidRPr="00665067">
              <w:rPr>
                <w:rFonts w:ascii="Book Antiqua" w:hAnsi="Book Antiqua" w:cs="Calibri"/>
                <w:color w:val="000000"/>
                <w:sz w:val="16"/>
                <w:szCs w:val="16"/>
                <w:lang w:eastAsia="es-CR"/>
              </w:rPr>
              <w:t>104%</w:t>
            </w:r>
          </w:p>
        </w:tc>
      </w:tr>
      <w:tr w:rsidR="000A6207" w:rsidRPr="00665067" w14:paraId="38533B3D" w14:textId="77777777" w:rsidTr="00665067">
        <w:trPr>
          <w:trHeight w:val="290"/>
          <w:jc w:val="center"/>
        </w:trPr>
        <w:tc>
          <w:tcPr>
            <w:tcW w:w="3544" w:type="dxa"/>
            <w:tcBorders>
              <w:top w:val="nil"/>
              <w:left w:val="single" w:sz="4" w:space="0" w:color="808080"/>
              <w:bottom w:val="single" w:sz="4" w:space="0" w:color="808080"/>
              <w:right w:val="single" w:sz="4" w:space="0" w:color="808080"/>
            </w:tcBorders>
            <w:shd w:val="clear" w:color="auto" w:fill="auto"/>
            <w:noWrap/>
            <w:vAlign w:val="center"/>
            <w:hideMark/>
          </w:tcPr>
          <w:p w14:paraId="5546DD80" w14:textId="77777777" w:rsidR="000A6207" w:rsidRPr="00665067" w:rsidRDefault="000A6207" w:rsidP="000A6207">
            <w:pPr>
              <w:rPr>
                <w:rFonts w:ascii="Book Antiqua" w:hAnsi="Book Antiqua" w:cs="Calibri"/>
                <w:color w:val="000000"/>
                <w:sz w:val="16"/>
                <w:szCs w:val="16"/>
                <w:lang w:eastAsia="es-CR"/>
              </w:rPr>
            </w:pPr>
            <w:r w:rsidRPr="00665067">
              <w:rPr>
                <w:rFonts w:ascii="Book Antiqua" w:hAnsi="Book Antiqua" w:cs="Calibri"/>
                <w:color w:val="000000"/>
                <w:sz w:val="16"/>
                <w:szCs w:val="16"/>
                <w:lang w:eastAsia="es-CR"/>
              </w:rPr>
              <w:t>Tribunal de Flagrancia de San Ramón</w:t>
            </w:r>
          </w:p>
        </w:tc>
        <w:tc>
          <w:tcPr>
            <w:tcW w:w="2052" w:type="dxa"/>
            <w:tcBorders>
              <w:top w:val="nil"/>
              <w:left w:val="nil"/>
              <w:bottom w:val="single" w:sz="4" w:space="0" w:color="808080"/>
              <w:right w:val="single" w:sz="4" w:space="0" w:color="808080"/>
            </w:tcBorders>
            <w:shd w:val="clear" w:color="auto" w:fill="auto"/>
            <w:noWrap/>
            <w:vAlign w:val="center"/>
            <w:hideMark/>
          </w:tcPr>
          <w:p w14:paraId="1AAC61C0" w14:textId="77777777" w:rsidR="000A6207" w:rsidRPr="00665067" w:rsidRDefault="000A6207" w:rsidP="000A6207">
            <w:pPr>
              <w:jc w:val="center"/>
              <w:rPr>
                <w:rFonts w:ascii="Book Antiqua" w:hAnsi="Book Antiqua" w:cs="Calibri"/>
                <w:color w:val="000000"/>
                <w:sz w:val="16"/>
                <w:szCs w:val="16"/>
                <w:lang w:eastAsia="es-CR"/>
              </w:rPr>
            </w:pPr>
            <w:r w:rsidRPr="00665067">
              <w:rPr>
                <w:rFonts w:ascii="Book Antiqua" w:hAnsi="Book Antiqua" w:cs="Calibri"/>
                <w:color w:val="000000"/>
                <w:sz w:val="16"/>
                <w:szCs w:val="16"/>
                <w:lang w:eastAsia="es-CR"/>
              </w:rPr>
              <w:t>94%</w:t>
            </w:r>
          </w:p>
        </w:tc>
        <w:tc>
          <w:tcPr>
            <w:tcW w:w="2621" w:type="dxa"/>
            <w:tcBorders>
              <w:top w:val="nil"/>
              <w:left w:val="nil"/>
              <w:bottom w:val="single" w:sz="4" w:space="0" w:color="808080"/>
              <w:right w:val="single" w:sz="4" w:space="0" w:color="808080"/>
            </w:tcBorders>
            <w:shd w:val="clear" w:color="auto" w:fill="auto"/>
            <w:noWrap/>
            <w:vAlign w:val="center"/>
            <w:hideMark/>
          </w:tcPr>
          <w:p w14:paraId="622ECBF4" w14:textId="77777777" w:rsidR="000A6207" w:rsidRPr="00665067" w:rsidRDefault="000A6207" w:rsidP="000A6207">
            <w:pPr>
              <w:jc w:val="center"/>
              <w:rPr>
                <w:rFonts w:ascii="Book Antiqua" w:hAnsi="Book Antiqua" w:cs="Calibri"/>
                <w:color w:val="000000"/>
                <w:sz w:val="16"/>
                <w:szCs w:val="16"/>
                <w:lang w:eastAsia="es-CR"/>
              </w:rPr>
            </w:pPr>
            <w:r w:rsidRPr="00665067">
              <w:rPr>
                <w:rFonts w:ascii="Book Antiqua" w:hAnsi="Book Antiqua" w:cs="Calibri"/>
                <w:color w:val="000000"/>
                <w:sz w:val="16"/>
                <w:szCs w:val="16"/>
                <w:lang w:eastAsia="es-CR"/>
              </w:rPr>
              <w:t>100%</w:t>
            </w:r>
          </w:p>
        </w:tc>
      </w:tr>
      <w:tr w:rsidR="000A6207" w:rsidRPr="00665067" w14:paraId="29B6CB50" w14:textId="77777777" w:rsidTr="00665067">
        <w:trPr>
          <w:trHeight w:val="290"/>
          <w:jc w:val="center"/>
        </w:trPr>
        <w:tc>
          <w:tcPr>
            <w:tcW w:w="3544" w:type="dxa"/>
            <w:tcBorders>
              <w:top w:val="nil"/>
              <w:left w:val="single" w:sz="4" w:space="0" w:color="808080"/>
              <w:bottom w:val="single" w:sz="4" w:space="0" w:color="808080"/>
              <w:right w:val="single" w:sz="4" w:space="0" w:color="808080"/>
            </w:tcBorders>
            <w:shd w:val="clear" w:color="auto" w:fill="auto"/>
            <w:noWrap/>
            <w:vAlign w:val="center"/>
            <w:hideMark/>
          </w:tcPr>
          <w:p w14:paraId="6C1466B4" w14:textId="77777777" w:rsidR="000A6207" w:rsidRPr="00665067" w:rsidRDefault="000A6207" w:rsidP="000A6207">
            <w:pPr>
              <w:rPr>
                <w:rFonts w:ascii="Book Antiqua" w:hAnsi="Book Antiqua" w:cs="Calibri"/>
                <w:color w:val="000000"/>
                <w:sz w:val="16"/>
                <w:szCs w:val="16"/>
                <w:lang w:eastAsia="es-CR"/>
              </w:rPr>
            </w:pPr>
            <w:r w:rsidRPr="00665067">
              <w:rPr>
                <w:rFonts w:ascii="Book Antiqua" w:hAnsi="Book Antiqua" w:cs="Calibri"/>
                <w:color w:val="000000"/>
                <w:sz w:val="16"/>
                <w:szCs w:val="16"/>
                <w:lang w:eastAsia="es-CR"/>
              </w:rPr>
              <w:t>Tribunal de Flagrancia de San Carlos</w:t>
            </w:r>
          </w:p>
        </w:tc>
        <w:tc>
          <w:tcPr>
            <w:tcW w:w="2052" w:type="dxa"/>
            <w:tcBorders>
              <w:top w:val="nil"/>
              <w:left w:val="nil"/>
              <w:bottom w:val="single" w:sz="4" w:space="0" w:color="808080"/>
              <w:right w:val="single" w:sz="4" w:space="0" w:color="808080"/>
            </w:tcBorders>
            <w:shd w:val="clear" w:color="auto" w:fill="auto"/>
            <w:noWrap/>
            <w:vAlign w:val="center"/>
            <w:hideMark/>
          </w:tcPr>
          <w:p w14:paraId="65B4F589" w14:textId="77777777" w:rsidR="000A6207" w:rsidRPr="00665067" w:rsidRDefault="000A6207" w:rsidP="000A6207">
            <w:pPr>
              <w:jc w:val="center"/>
              <w:rPr>
                <w:rFonts w:ascii="Book Antiqua" w:hAnsi="Book Antiqua" w:cs="Calibri"/>
                <w:color w:val="000000"/>
                <w:sz w:val="16"/>
                <w:szCs w:val="16"/>
                <w:lang w:eastAsia="es-CR"/>
              </w:rPr>
            </w:pPr>
            <w:r w:rsidRPr="00665067">
              <w:rPr>
                <w:rFonts w:ascii="Book Antiqua" w:hAnsi="Book Antiqua" w:cs="Calibri"/>
                <w:color w:val="000000"/>
                <w:sz w:val="16"/>
                <w:szCs w:val="16"/>
                <w:lang w:eastAsia="es-CR"/>
              </w:rPr>
              <w:t>96%</w:t>
            </w:r>
          </w:p>
        </w:tc>
        <w:tc>
          <w:tcPr>
            <w:tcW w:w="2621" w:type="dxa"/>
            <w:tcBorders>
              <w:top w:val="nil"/>
              <w:left w:val="nil"/>
              <w:bottom w:val="single" w:sz="4" w:space="0" w:color="808080"/>
              <w:right w:val="single" w:sz="4" w:space="0" w:color="808080"/>
            </w:tcBorders>
            <w:shd w:val="clear" w:color="auto" w:fill="auto"/>
            <w:noWrap/>
            <w:vAlign w:val="center"/>
            <w:hideMark/>
          </w:tcPr>
          <w:p w14:paraId="6A3C6335" w14:textId="77777777" w:rsidR="000A6207" w:rsidRPr="00665067" w:rsidRDefault="000A6207" w:rsidP="000A6207">
            <w:pPr>
              <w:jc w:val="center"/>
              <w:rPr>
                <w:rFonts w:ascii="Book Antiqua" w:hAnsi="Book Antiqua" w:cs="Calibri"/>
                <w:color w:val="000000"/>
                <w:sz w:val="16"/>
                <w:szCs w:val="16"/>
                <w:lang w:eastAsia="es-CR"/>
              </w:rPr>
            </w:pPr>
            <w:r w:rsidRPr="00665067">
              <w:rPr>
                <w:rFonts w:ascii="Book Antiqua" w:hAnsi="Book Antiqua" w:cs="Calibri"/>
                <w:color w:val="000000"/>
                <w:sz w:val="16"/>
                <w:szCs w:val="16"/>
                <w:lang w:eastAsia="es-CR"/>
              </w:rPr>
              <w:t>96%</w:t>
            </w:r>
          </w:p>
        </w:tc>
      </w:tr>
      <w:tr w:rsidR="000A6207" w:rsidRPr="00665067" w14:paraId="74E7E6AD" w14:textId="77777777" w:rsidTr="00665067">
        <w:trPr>
          <w:trHeight w:val="290"/>
          <w:jc w:val="center"/>
        </w:trPr>
        <w:tc>
          <w:tcPr>
            <w:tcW w:w="3544" w:type="dxa"/>
            <w:tcBorders>
              <w:top w:val="nil"/>
              <w:left w:val="single" w:sz="4" w:space="0" w:color="808080"/>
              <w:bottom w:val="single" w:sz="4" w:space="0" w:color="808080"/>
              <w:right w:val="single" w:sz="4" w:space="0" w:color="808080"/>
            </w:tcBorders>
            <w:shd w:val="clear" w:color="auto" w:fill="auto"/>
            <w:noWrap/>
            <w:vAlign w:val="center"/>
            <w:hideMark/>
          </w:tcPr>
          <w:p w14:paraId="64A2747B" w14:textId="77777777" w:rsidR="000A6207" w:rsidRPr="00665067" w:rsidRDefault="000A6207" w:rsidP="000A6207">
            <w:pPr>
              <w:rPr>
                <w:rFonts w:ascii="Book Antiqua" w:hAnsi="Book Antiqua" w:cs="Calibri"/>
                <w:color w:val="000000"/>
                <w:sz w:val="16"/>
                <w:szCs w:val="16"/>
                <w:lang w:eastAsia="es-CR"/>
              </w:rPr>
            </w:pPr>
            <w:r w:rsidRPr="00665067">
              <w:rPr>
                <w:rFonts w:ascii="Book Antiqua" w:hAnsi="Book Antiqua" w:cs="Calibri"/>
                <w:color w:val="000000"/>
                <w:sz w:val="16"/>
                <w:szCs w:val="16"/>
                <w:lang w:eastAsia="es-CR"/>
              </w:rPr>
              <w:t>Tribunal de Flagrancia de Pococí</w:t>
            </w:r>
          </w:p>
        </w:tc>
        <w:tc>
          <w:tcPr>
            <w:tcW w:w="2052" w:type="dxa"/>
            <w:tcBorders>
              <w:top w:val="nil"/>
              <w:left w:val="nil"/>
              <w:bottom w:val="single" w:sz="4" w:space="0" w:color="808080"/>
              <w:right w:val="single" w:sz="4" w:space="0" w:color="808080"/>
            </w:tcBorders>
            <w:shd w:val="clear" w:color="auto" w:fill="auto"/>
            <w:noWrap/>
            <w:vAlign w:val="center"/>
            <w:hideMark/>
          </w:tcPr>
          <w:p w14:paraId="475B8A45" w14:textId="77777777" w:rsidR="000A6207" w:rsidRPr="00665067" w:rsidRDefault="000A6207" w:rsidP="000A6207">
            <w:pPr>
              <w:jc w:val="center"/>
              <w:rPr>
                <w:rFonts w:ascii="Book Antiqua" w:hAnsi="Book Antiqua" w:cs="Calibri"/>
                <w:color w:val="000000"/>
                <w:sz w:val="16"/>
                <w:szCs w:val="16"/>
                <w:lang w:eastAsia="es-CR"/>
              </w:rPr>
            </w:pPr>
            <w:r w:rsidRPr="00665067">
              <w:rPr>
                <w:rFonts w:ascii="Book Antiqua" w:hAnsi="Book Antiqua" w:cs="Calibri"/>
                <w:color w:val="000000"/>
                <w:sz w:val="16"/>
                <w:szCs w:val="16"/>
                <w:lang w:eastAsia="es-CR"/>
              </w:rPr>
              <w:t>74%</w:t>
            </w:r>
          </w:p>
        </w:tc>
        <w:tc>
          <w:tcPr>
            <w:tcW w:w="2621" w:type="dxa"/>
            <w:tcBorders>
              <w:top w:val="nil"/>
              <w:left w:val="nil"/>
              <w:bottom w:val="single" w:sz="4" w:space="0" w:color="808080"/>
              <w:right w:val="single" w:sz="4" w:space="0" w:color="808080"/>
            </w:tcBorders>
            <w:shd w:val="clear" w:color="auto" w:fill="auto"/>
            <w:noWrap/>
            <w:vAlign w:val="center"/>
            <w:hideMark/>
          </w:tcPr>
          <w:p w14:paraId="1DD44F03" w14:textId="77777777" w:rsidR="000A6207" w:rsidRPr="00665067" w:rsidRDefault="000A6207" w:rsidP="000A6207">
            <w:pPr>
              <w:jc w:val="center"/>
              <w:rPr>
                <w:rFonts w:ascii="Book Antiqua" w:hAnsi="Book Antiqua" w:cs="Calibri"/>
                <w:color w:val="000000"/>
                <w:sz w:val="16"/>
                <w:szCs w:val="16"/>
                <w:lang w:eastAsia="es-CR"/>
              </w:rPr>
            </w:pPr>
            <w:r w:rsidRPr="00665067">
              <w:rPr>
                <w:rFonts w:ascii="Book Antiqua" w:hAnsi="Book Antiqua" w:cs="Calibri"/>
                <w:color w:val="000000"/>
                <w:sz w:val="16"/>
                <w:szCs w:val="16"/>
                <w:lang w:eastAsia="es-CR"/>
              </w:rPr>
              <w:t>79%</w:t>
            </w:r>
          </w:p>
        </w:tc>
      </w:tr>
      <w:tr w:rsidR="000A6207" w:rsidRPr="00665067" w14:paraId="6302C869" w14:textId="77777777" w:rsidTr="00665067">
        <w:trPr>
          <w:trHeight w:val="290"/>
          <w:jc w:val="center"/>
        </w:trPr>
        <w:tc>
          <w:tcPr>
            <w:tcW w:w="3544" w:type="dxa"/>
            <w:tcBorders>
              <w:top w:val="nil"/>
              <w:left w:val="single" w:sz="4" w:space="0" w:color="808080"/>
              <w:bottom w:val="single" w:sz="4" w:space="0" w:color="808080"/>
              <w:right w:val="single" w:sz="4" w:space="0" w:color="808080"/>
            </w:tcBorders>
            <w:shd w:val="clear" w:color="auto" w:fill="auto"/>
            <w:noWrap/>
            <w:vAlign w:val="center"/>
            <w:hideMark/>
          </w:tcPr>
          <w:p w14:paraId="7F896AB6" w14:textId="77777777" w:rsidR="000A6207" w:rsidRPr="00665067" w:rsidRDefault="000A6207" w:rsidP="000A6207">
            <w:pPr>
              <w:rPr>
                <w:rFonts w:ascii="Book Antiqua" w:hAnsi="Book Antiqua" w:cs="Calibri"/>
                <w:color w:val="000000"/>
                <w:sz w:val="16"/>
                <w:szCs w:val="16"/>
                <w:lang w:eastAsia="es-CR"/>
              </w:rPr>
            </w:pPr>
            <w:r w:rsidRPr="00665067">
              <w:rPr>
                <w:rFonts w:ascii="Book Antiqua" w:hAnsi="Book Antiqua" w:cs="Calibri"/>
                <w:color w:val="000000"/>
                <w:sz w:val="16"/>
                <w:szCs w:val="16"/>
                <w:lang w:eastAsia="es-CR"/>
              </w:rPr>
              <w:t>Tribunal de Flagrancia de Santa Cruz</w:t>
            </w:r>
          </w:p>
        </w:tc>
        <w:tc>
          <w:tcPr>
            <w:tcW w:w="2052" w:type="dxa"/>
            <w:tcBorders>
              <w:top w:val="nil"/>
              <w:left w:val="nil"/>
              <w:bottom w:val="single" w:sz="4" w:space="0" w:color="808080"/>
              <w:right w:val="single" w:sz="4" w:space="0" w:color="808080"/>
            </w:tcBorders>
            <w:shd w:val="clear" w:color="auto" w:fill="auto"/>
            <w:noWrap/>
            <w:vAlign w:val="center"/>
            <w:hideMark/>
          </w:tcPr>
          <w:p w14:paraId="55CFCFA9" w14:textId="77777777" w:rsidR="000A6207" w:rsidRPr="00665067" w:rsidRDefault="000A6207" w:rsidP="000A6207">
            <w:pPr>
              <w:jc w:val="center"/>
              <w:rPr>
                <w:rFonts w:ascii="Book Antiqua" w:hAnsi="Book Antiqua" w:cs="Calibri"/>
                <w:color w:val="000000"/>
                <w:sz w:val="16"/>
                <w:szCs w:val="16"/>
                <w:lang w:eastAsia="es-CR"/>
              </w:rPr>
            </w:pPr>
            <w:r w:rsidRPr="00665067">
              <w:rPr>
                <w:rFonts w:ascii="Book Antiqua" w:hAnsi="Book Antiqua" w:cs="Calibri"/>
                <w:color w:val="000000"/>
                <w:sz w:val="16"/>
                <w:szCs w:val="16"/>
                <w:lang w:eastAsia="es-CR"/>
              </w:rPr>
              <w:t>76%</w:t>
            </w:r>
          </w:p>
        </w:tc>
        <w:tc>
          <w:tcPr>
            <w:tcW w:w="2621" w:type="dxa"/>
            <w:tcBorders>
              <w:top w:val="nil"/>
              <w:left w:val="nil"/>
              <w:bottom w:val="single" w:sz="4" w:space="0" w:color="808080"/>
              <w:right w:val="single" w:sz="4" w:space="0" w:color="808080"/>
            </w:tcBorders>
            <w:shd w:val="clear" w:color="auto" w:fill="auto"/>
            <w:noWrap/>
            <w:vAlign w:val="center"/>
            <w:hideMark/>
          </w:tcPr>
          <w:p w14:paraId="205E76DD" w14:textId="77777777" w:rsidR="000A6207" w:rsidRPr="00665067" w:rsidRDefault="000A6207" w:rsidP="000A6207">
            <w:pPr>
              <w:jc w:val="center"/>
              <w:rPr>
                <w:rFonts w:ascii="Book Antiqua" w:hAnsi="Book Antiqua" w:cs="Calibri"/>
                <w:color w:val="000000"/>
                <w:sz w:val="16"/>
                <w:szCs w:val="16"/>
                <w:lang w:eastAsia="es-CR"/>
              </w:rPr>
            </w:pPr>
            <w:r w:rsidRPr="00665067">
              <w:rPr>
                <w:rFonts w:ascii="Book Antiqua" w:hAnsi="Book Antiqua" w:cs="Calibri"/>
                <w:color w:val="000000"/>
                <w:sz w:val="16"/>
                <w:szCs w:val="16"/>
                <w:lang w:eastAsia="es-CR"/>
              </w:rPr>
              <w:t>76%</w:t>
            </w:r>
          </w:p>
        </w:tc>
      </w:tr>
      <w:tr w:rsidR="000A6207" w:rsidRPr="00665067" w14:paraId="30D7CA0A" w14:textId="77777777" w:rsidTr="00665067">
        <w:trPr>
          <w:trHeight w:val="290"/>
          <w:jc w:val="center"/>
        </w:trPr>
        <w:tc>
          <w:tcPr>
            <w:tcW w:w="3544" w:type="dxa"/>
            <w:tcBorders>
              <w:top w:val="nil"/>
              <w:left w:val="single" w:sz="4" w:space="0" w:color="808080"/>
              <w:bottom w:val="single" w:sz="4" w:space="0" w:color="808080"/>
              <w:right w:val="single" w:sz="4" w:space="0" w:color="808080"/>
            </w:tcBorders>
            <w:shd w:val="clear" w:color="auto" w:fill="auto"/>
            <w:noWrap/>
            <w:vAlign w:val="center"/>
            <w:hideMark/>
          </w:tcPr>
          <w:p w14:paraId="7CCF52F6" w14:textId="77777777" w:rsidR="000A6207" w:rsidRPr="00665067" w:rsidRDefault="000A6207" w:rsidP="000A6207">
            <w:pPr>
              <w:rPr>
                <w:rFonts w:ascii="Book Antiqua" w:hAnsi="Book Antiqua" w:cs="Calibri"/>
                <w:color w:val="000000"/>
                <w:sz w:val="16"/>
                <w:szCs w:val="16"/>
                <w:lang w:eastAsia="es-CR"/>
              </w:rPr>
            </w:pPr>
            <w:r w:rsidRPr="00665067">
              <w:rPr>
                <w:rFonts w:ascii="Book Antiqua" w:hAnsi="Book Antiqua" w:cs="Calibri"/>
                <w:color w:val="000000"/>
                <w:sz w:val="16"/>
                <w:szCs w:val="16"/>
                <w:lang w:eastAsia="es-CR"/>
              </w:rPr>
              <w:t>Tribunal de Flagrancia de Puntarenas</w:t>
            </w:r>
          </w:p>
        </w:tc>
        <w:tc>
          <w:tcPr>
            <w:tcW w:w="2052" w:type="dxa"/>
            <w:tcBorders>
              <w:top w:val="nil"/>
              <w:left w:val="nil"/>
              <w:bottom w:val="single" w:sz="4" w:space="0" w:color="808080"/>
              <w:right w:val="single" w:sz="4" w:space="0" w:color="808080"/>
            </w:tcBorders>
            <w:shd w:val="clear" w:color="auto" w:fill="auto"/>
            <w:noWrap/>
            <w:vAlign w:val="center"/>
            <w:hideMark/>
          </w:tcPr>
          <w:p w14:paraId="38AE9A02" w14:textId="77777777" w:rsidR="000A6207" w:rsidRPr="00665067" w:rsidRDefault="000A6207" w:rsidP="000A6207">
            <w:pPr>
              <w:jc w:val="center"/>
              <w:rPr>
                <w:rFonts w:ascii="Book Antiqua" w:hAnsi="Book Antiqua" w:cs="Calibri"/>
                <w:color w:val="000000"/>
                <w:sz w:val="16"/>
                <w:szCs w:val="16"/>
                <w:lang w:eastAsia="es-CR"/>
              </w:rPr>
            </w:pPr>
            <w:r w:rsidRPr="00665067">
              <w:rPr>
                <w:rFonts w:ascii="Book Antiqua" w:hAnsi="Book Antiqua" w:cs="Calibri"/>
                <w:color w:val="000000"/>
                <w:sz w:val="16"/>
                <w:szCs w:val="16"/>
                <w:lang w:eastAsia="es-CR"/>
              </w:rPr>
              <w:t>61%</w:t>
            </w:r>
          </w:p>
        </w:tc>
        <w:tc>
          <w:tcPr>
            <w:tcW w:w="2621" w:type="dxa"/>
            <w:tcBorders>
              <w:top w:val="nil"/>
              <w:left w:val="nil"/>
              <w:bottom w:val="single" w:sz="4" w:space="0" w:color="808080"/>
              <w:right w:val="single" w:sz="4" w:space="0" w:color="808080"/>
            </w:tcBorders>
            <w:shd w:val="clear" w:color="auto" w:fill="auto"/>
            <w:noWrap/>
            <w:vAlign w:val="center"/>
            <w:hideMark/>
          </w:tcPr>
          <w:p w14:paraId="1D571545" w14:textId="77777777" w:rsidR="000A6207" w:rsidRPr="00665067" w:rsidRDefault="000A6207" w:rsidP="000A6207">
            <w:pPr>
              <w:jc w:val="center"/>
              <w:rPr>
                <w:rFonts w:ascii="Book Antiqua" w:hAnsi="Book Antiqua" w:cs="Calibri"/>
                <w:color w:val="000000"/>
                <w:sz w:val="16"/>
                <w:szCs w:val="16"/>
                <w:lang w:eastAsia="es-CR"/>
              </w:rPr>
            </w:pPr>
            <w:r w:rsidRPr="00665067">
              <w:rPr>
                <w:rFonts w:ascii="Book Antiqua" w:hAnsi="Book Antiqua" w:cs="Calibri"/>
                <w:color w:val="000000"/>
                <w:sz w:val="16"/>
                <w:szCs w:val="16"/>
                <w:lang w:eastAsia="es-CR"/>
              </w:rPr>
              <w:t>72%</w:t>
            </w:r>
          </w:p>
        </w:tc>
      </w:tr>
      <w:tr w:rsidR="000A6207" w:rsidRPr="00665067" w14:paraId="0F02AF70" w14:textId="77777777" w:rsidTr="00665067">
        <w:trPr>
          <w:trHeight w:val="290"/>
          <w:jc w:val="center"/>
        </w:trPr>
        <w:tc>
          <w:tcPr>
            <w:tcW w:w="3544" w:type="dxa"/>
            <w:tcBorders>
              <w:top w:val="nil"/>
              <w:left w:val="single" w:sz="4" w:space="0" w:color="808080"/>
              <w:bottom w:val="single" w:sz="4" w:space="0" w:color="808080"/>
              <w:right w:val="single" w:sz="4" w:space="0" w:color="808080"/>
            </w:tcBorders>
            <w:shd w:val="clear" w:color="auto" w:fill="auto"/>
            <w:noWrap/>
            <w:vAlign w:val="center"/>
            <w:hideMark/>
          </w:tcPr>
          <w:p w14:paraId="616EB088" w14:textId="77777777" w:rsidR="000A6207" w:rsidRPr="00665067" w:rsidRDefault="000A6207" w:rsidP="000A6207">
            <w:pPr>
              <w:rPr>
                <w:rFonts w:ascii="Book Antiqua" w:hAnsi="Book Antiqua" w:cs="Calibri"/>
                <w:color w:val="000000"/>
                <w:sz w:val="16"/>
                <w:szCs w:val="16"/>
                <w:lang w:eastAsia="es-CR"/>
              </w:rPr>
            </w:pPr>
            <w:r w:rsidRPr="00665067">
              <w:rPr>
                <w:rFonts w:ascii="Book Antiqua" w:hAnsi="Book Antiqua" w:cs="Calibri"/>
                <w:color w:val="000000"/>
                <w:sz w:val="16"/>
                <w:szCs w:val="16"/>
                <w:lang w:eastAsia="es-CR"/>
              </w:rPr>
              <w:t>Tribunal de Flagrancia de Corredores</w:t>
            </w:r>
          </w:p>
        </w:tc>
        <w:tc>
          <w:tcPr>
            <w:tcW w:w="2052" w:type="dxa"/>
            <w:tcBorders>
              <w:top w:val="nil"/>
              <w:left w:val="nil"/>
              <w:bottom w:val="single" w:sz="4" w:space="0" w:color="808080"/>
              <w:right w:val="single" w:sz="4" w:space="0" w:color="808080"/>
            </w:tcBorders>
            <w:shd w:val="clear" w:color="auto" w:fill="auto"/>
            <w:noWrap/>
            <w:vAlign w:val="center"/>
            <w:hideMark/>
          </w:tcPr>
          <w:p w14:paraId="6E773582" w14:textId="77777777" w:rsidR="000A6207" w:rsidRPr="00665067" w:rsidRDefault="000A6207" w:rsidP="000A6207">
            <w:pPr>
              <w:jc w:val="center"/>
              <w:rPr>
                <w:rFonts w:ascii="Book Antiqua" w:hAnsi="Book Antiqua" w:cs="Calibri"/>
                <w:color w:val="000000"/>
                <w:sz w:val="16"/>
                <w:szCs w:val="16"/>
                <w:lang w:eastAsia="es-CR"/>
              </w:rPr>
            </w:pPr>
            <w:r w:rsidRPr="00665067">
              <w:rPr>
                <w:rFonts w:ascii="Book Antiqua" w:hAnsi="Book Antiqua" w:cs="Calibri"/>
                <w:color w:val="000000"/>
                <w:sz w:val="16"/>
                <w:szCs w:val="16"/>
                <w:lang w:eastAsia="es-CR"/>
              </w:rPr>
              <w:t>61%</w:t>
            </w:r>
          </w:p>
        </w:tc>
        <w:tc>
          <w:tcPr>
            <w:tcW w:w="2621" w:type="dxa"/>
            <w:tcBorders>
              <w:top w:val="nil"/>
              <w:left w:val="nil"/>
              <w:bottom w:val="single" w:sz="4" w:space="0" w:color="808080"/>
              <w:right w:val="single" w:sz="4" w:space="0" w:color="808080"/>
            </w:tcBorders>
            <w:shd w:val="clear" w:color="auto" w:fill="auto"/>
            <w:noWrap/>
            <w:vAlign w:val="center"/>
            <w:hideMark/>
          </w:tcPr>
          <w:p w14:paraId="6E4CAFD7" w14:textId="77777777" w:rsidR="000A6207" w:rsidRPr="00665067" w:rsidRDefault="000A6207" w:rsidP="000A6207">
            <w:pPr>
              <w:jc w:val="center"/>
              <w:rPr>
                <w:rFonts w:ascii="Book Antiqua" w:hAnsi="Book Antiqua" w:cs="Calibri"/>
                <w:color w:val="000000"/>
                <w:sz w:val="16"/>
                <w:szCs w:val="16"/>
                <w:lang w:eastAsia="es-CR"/>
              </w:rPr>
            </w:pPr>
            <w:r w:rsidRPr="00665067">
              <w:rPr>
                <w:rFonts w:ascii="Book Antiqua" w:hAnsi="Book Antiqua" w:cs="Calibri"/>
                <w:color w:val="000000"/>
                <w:sz w:val="16"/>
                <w:szCs w:val="16"/>
                <w:lang w:eastAsia="es-CR"/>
              </w:rPr>
              <w:t>69%</w:t>
            </w:r>
          </w:p>
        </w:tc>
      </w:tr>
      <w:tr w:rsidR="000A6207" w:rsidRPr="00665067" w14:paraId="5C622DDF" w14:textId="77777777" w:rsidTr="00665067">
        <w:trPr>
          <w:trHeight w:val="290"/>
          <w:jc w:val="center"/>
        </w:trPr>
        <w:tc>
          <w:tcPr>
            <w:tcW w:w="3544" w:type="dxa"/>
            <w:tcBorders>
              <w:top w:val="nil"/>
              <w:left w:val="single" w:sz="4" w:space="0" w:color="808080"/>
              <w:bottom w:val="single" w:sz="4" w:space="0" w:color="808080"/>
              <w:right w:val="single" w:sz="4" w:space="0" w:color="808080"/>
            </w:tcBorders>
            <w:shd w:val="clear" w:color="auto" w:fill="auto"/>
            <w:noWrap/>
            <w:vAlign w:val="center"/>
            <w:hideMark/>
          </w:tcPr>
          <w:p w14:paraId="7511178D" w14:textId="77777777" w:rsidR="000A6207" w:rsidRPr="00665067" w:rsidRDefault="000A6207" w:rsidP="000A6207">
            <w:pPr>
              <w:rPr>
                <w:rFonts w:ascii="Book Antiqua" w:hAnsi="Book Antiqua" w:cs="Calibri"/>
                <w:color w:val="000000"/>
                <w:sz w:val="16"/>
                <w:szCs w:val="16"/>
                <w:lang w:eastAsia="es-CR"/>
              </w:rPr>
            </w:pPr>
            <w:r w:rsidRPr="00665067">
              <w:rPr>
                <w:rFonts w:ascii="Book Antiqua" w:hAnsi="Book Antiqua" w:cs="Calibri"/>
                <w:color w:val="000000"/>
                <w:sz w:val="16"/>
                <w:szCs w:val="16"/>
                <w:lang w:eastAsia="es-CR"/>
              </w:rPr>
              <w:t>Tribunal de Flagrancia de Pérez Zeledón</w:t>
            </w:r>
          </w:p>
        </w:tc>
        <w:tc>
          <w:tcPr>
            <w:tcW w:w="2052" w:type="dxa"/>
            <w:tcBorders>
              <w:top w:val="nil"/>
              <w:left w:val="nil"/>
              <w:bottom w:val="single" w:sz="4" w:space="0" w:color="808080"/>
              <w:right w:val="single" w:sz="4" w:space="0" w:color="808080"/>
            </w:tcBorders>
            <w:shd w:val="clear" w:color="auto" w:fill="auto"/>
            <w:noWrap/>
            <w:vAlign w:val="center"/>
            <w:hideMark/>
          </w:tcPr>
          <w:p w14:paraId="2BC18172" w14:textId="77777777" w:rsidR="000A6207" w:rsidRPr="00665067" w:rsidRDefault="000A6207" w:rsidP="000A6207">
            <w:pPr>
              <w:jc w:val="center"/>
              <w:rPr>
                <w:rFonts w:ascii="Book Antiqua" w:hAnsi="Book Antiqua" w:cs="Calibri"/>
                <w:color w:val="000000"/>
                <w:sz w:val="16"/>
                <w:szCs w:val="16"/>
                <w:lang w:eastAsia="es-CR"/>
              </w:rPr>
            </w:pPr>
            <w:r w:rsidRPr="00665067">
              <w:rPr>
                <w:rFonts w:ascii="Book Antiqua" w:hAnsi="Book Antiqua" w:cs="Calibri"/>
                <w:color w:val="000000"/>
                <w:sz w:val="16"/>
                <w:szCs w:val="16"/>
                <w:lang w:eastAsia="es-CR"/>
              </w:rPr>
              <w:t>49%</w:t>
            </w:r>
          </w:p>
        </w:tc>
        <w:tc>
          <w:tcPr>
            <w:tcW w:w="2621" w:type="dxa"/>
            <w:tcBorders>
              <w:top w:val="nil"/>
              <w:left w:val="nil"/>
              <w:bottom w:val="single" w:sz="4" w:space="0" w:color="808080"/>
              <w:right w:val="single" w:sz="4" w:space="0" w:color="808080"/>
            </w:tcBorders>
            <w:shd w:val="clear" w:color="auto" w:fill="auto"/>
            <w:noWrap/>
            <w:vAlign w:val="center"/>
            <w:hideMark/>
          </w:tcPr>
          <w:p w14:paraId="398FCAC1" w14:textId="77777777" w:rsidR="000A6207" w:rsidRPr="00665067" w:rsidRDefault="000A6207" w:rsidP="000A6207">
            <w:pPr>
              <w:jc w:val="center"/>
              <w:rPr>
                <w:rFonts w:ascii="Book Antiqua" w:hAnsi="Book Antiqua" w:cs="Calibri"/>
                <w:color w:val="000000"/>
                <w:sz w:val="16"/>
                <w:szCs w:val="16"/>
                <w:lang w:eastAsia="es-CR"/>
              </w:rPr>
            </w:pPr>
            <w:r w:rsidRPr="00665067">
              <w:rPr>
                <w:rFonts w:ascii="Book Antiqua" w:hAnsi="Book Antiqua" w:cs="Calibri"/>
                <w:color w:val="000000"/>
                <w:sz w:val="16"/>
                <w:szCs w:val="16"/>
                <w:lang w:eastAsia="es-CR"/>
              </w:rPr>
              <w:t>49%</w:t>
            </w:r>
          </w:p>
        </w:tc>
      </w:tr>
      <w:tr w:rsidR="000A6207" w:rsidRPr="00665067" w14:paraId="6EAC8F20" w14:textId="77777777" w:rsidTr="00665067">
        <w:trPr>
          <w:trHeight w:val="290"/>
          <w:jc w:val="center"/>
        </w:trPr>
        <w:tc>
          <w:tcPr>
            <w:tcW w:w="3544" w:type="dxa"/>
            <w:tcBorders>
              <w:top w:val="nil"/>
              <w:left w:val="single" w:sz="4" w:space="0" w:color="808080"/>
              <w:bottom w:val="single" w:sz="4" w:space="0" w:color="808080"/>
              <w:right w:val="single" w:sz="4" w:space="0" w:color="808080"/>
            </w:tcBorders>
            <w:shd w:val="clear" w:color="auto" w:fill="auto"/>
            <w:noWrap/>
            <w:vAlign w:val="center"/>
            <w:hideMark/>
          </w:tcPr>
          <w:p w14:paraId="3D86A319" w14:textId="77777777" w:rsidR="000A6207" w:rsidRPr="00665067" w:rsidRDefault="000A6207" w:rsidP="000A6207">
            <w:pPr>
              <w:rPr>
                <w:rFonts w:ascii="Book Antiqua" w:hAnsi="Book Antiqua" w:cs="Calibri"/>
                <w:color w:val="000000"/>
                <w:sz w:val="16"/>
                <w:szCs w:val="16"/>
                <w:lang w:eastAsia="es-CR"/>
              </w:rPr>
            </w:pPr>
            <w:r w:rsidRPr="00665067">
              <w:rPr>
                <w:rFonts w:ascii="Book Antiqua" w:hAnsi="Book Antiqua" w:cs="Calibri"/>
                <w:color w:val="000000"/>
                <w:sz w:val="16"/>
                <w:szCs w:val="16"/>
                <w:lang w:eastAsia="es-CR"/>
              </w:rPr>
              <w:t>Tribunal de Flagrancia de Limón</w:t>
            </w:r>
          </w:p>
        </w:tc>
        <w:tc>
          <w:tcPr>
            <w:tcW w:w="2052" w:type="dxa"/>
            <w:tcBorders>
              <w:top w:val="nil"/>
              <w:left w:val="nil"/>
              <w:bottom w:val="single" w:sz="4" w:space="0" w:color="808080"/>
              <w:right w:val="single" w:sz="4" w:space="0" w:color="808080"/>
            </w:tcBorders>
            <w:shd w:val="clear" w:color="auto" w:fill="auto"/>
            <w:noWrap/>
            <w:vAlign w:val="center"/>
            <w:hideMark/>
          </w:tcPr>
          <w:p w14:paraId="712BBCD0" w14:textId="77777777" w:rsidR="000A6207" w:rsidRPr="00665067" w:rsidRDefault="000A6207" w:rsidP="000A6207">
            <w:pPr>
              <w:jc w:val="center"/>
              <w:rPr>
                <w:rFonts w:ascii="Book Antiqua" w:hAnsi="Book Antiqua" w:cs="Calibri"/>
                <w:color w:val="000000"/>
                <w:sz w:val="16"/>
                <w:szCs w:val="16"/>
                <w:lang w:eastAsia="es-CR"/>
              </w:rPr>
            </w:pPr>
            <w:r w:rsidRPr="00665067">
              <w:rPr>
                <w:rFonts w:ascii="Book Antiqua" w:hAnsi="Book Antiqua" w:cs="Calibri"/>
                <w:color w:val="000000"/>
                <w:sz w:val="16"/>
                <w:szCs w:val="16"/>
                <w:lang w:eastAsia="es-CR"/>
              </w:rPr>
              <w:t>36%</w:t>
            </w:r>
          </w:p>
        </w:tc>
        <w:tc>
          <w:tcPr>
            <w:tcW w:w="2621" w:type="dxa"/>
            <w:tcBorders>
              <w:top w:val="nil"/>
              <w:left w:val="nil"/>
              <w:bottom w:val="single" w:sz="4" w:space="0" w:color="808080"/>
              <w:right w:val="single" w:sz="4" w:space="0" w:color="808080"/>
            </w:tcBorders>
            <w:shd w:val="clear" w:color="auto" w:fill="auto"/>
            <w:noWrap/>
            <w:vAlign w:val="center"/>
            <w:hideMark/>
          </w:tcPr>
          <w:p w14:paraId="35F76363" w14:textId="77777777" w:rsidR="000A6207" w:rsidRPr="00665067" w:rsidRDefault="000A6207" w:rsidP="000A6207">
            <w:pPr>
              <w:jc w:val="center"/>
              <w:rPr>
                <w:rFonts w:ascii="Book Antiqua" w:hAnsi="Book Antiqua" w:cs="Calibri"/>
                <w:color w:val="000000"/>
                <w:sz w:val="16"/>
                <w:szCs w:val="16"/>
                <w:lang w:eastAsia="es-CR"/>
              </w:rPr>
            </w:pPr>
            <w:r w:rsidRPr="00665067">
              <w:rPr>
                <w:rFonts w:ascii="Book Antiqua" w:hAnsi="Book Antiqua" w:cs="Calibri"/>
                <w:color w:val="000000"/>
                <w:sz w:val="16"/>
                <w:szCs w:val="16"/>
                <w:lang w:eastAsia="es-CR"/>
              </w:rPr>
              <w:t>46%</w:t>
            </w:r>
          </w:p>
        </w:tc>
      </w:tr>
      <w:tr w:rsidR="000A6207" w:rsidRPr="00665067" w14:paraId="312B39EE" w14:textId="77777777" w:rsidTr="00665067">
        <w:trPr>
          <w:trHeight w:val="290"/>
          <w:jc w:val="center"/>
        </w:trPr>
        <w:tc>
          <w:tcPr>
            <w:tcW w:w="3544" w:type="dxa"/>
            <w:tcBorders>
              <w:top w:val="nil"/>
              <w:left w:val="single" w:sz="4" w:space="0" w:color="808080"/>
              <w:bottom w:val="single" w:sz="4" w:space="0" w:color="808080"/>
              <w:right w:val="single" w:sz="4" w:space="0" w:color="808080"/>
            </w:tcBorders>
            <w:shd w:val="clear" w:color="auto" w:fill="auto"/>
            <w:noWrap/>
            <w:vAlign w:val="center"/>
            <w:hideMark/>
          </w:tcPr>
          <w:p w14:paraId="6CFBA75F" w14:textId="77777777" w:rsidR="000A6207" w:rsidRPr="00665067" w:rsidRDefault="000A6207" w:rsidP="000A6207">
            <w:pPr>
              <w:rPr>
                <w:rFonts w:ascii="Book Antiqua" w:hAnsi="Book Antiqua" w:cs="Calibri"/>
                <w:color w:val="000000"/>
                <w:sz w:val="16"/>
                <w:szCs w:val="16"/>
                <w:lang w:eastAsia="es-CR"/>
              </w:rPr>
            </w:pPr>
            <w:r w:rsidRPr="00665067">
              <w:rPr>
                <w:rFonts w:ascii="Book Antiqua" w:hAnsi="Book Antiqua" w:cs="Calibri"/>
                <w:color w:val="000000"/>
                <w:sz w:val="16"/>
                <w:szCs w:val="16"/>
                <w:lang w:eastAsia="es-CR"/>
              </w:rPr>
              <w:t>Tribunal de Flagrancia de Cartago</w:t>
            </w:r>
          </w:p>
        </w:tc>
        <w:tc>
          <w:tcPr>
            <w:tcW w:w="2052" w:type="dxa"/>
            <w:tcBorders>
              <w:top w:val="nil"/>
              <w:left w:val="nil"/>
              <w:bottom w:val="single" w:sz="4" w:space="0" w:color="808080"/>
              <w:right w:val="single" w:sz="4" w:space="0" w:color="808080"/>
            </w:tcBorders>
            <w:shd w:val="clear" w:color="auto" w:fill="auto"/>
            <w:noWrap/>
            <w:vAlign w:val="center"/>
            <w:hideMark/>
          </w:tcPr>
          <w:p w14:paraId="0D50E552" w14:textId="77777777" w:rsidR="000A6207" w:rsidRPr="00665067" w:rsidRDefault="000A6207" w:rsidP="000A6207">
            <w:pPr>
              <w:jc w:val="center"/>
              <w:rPr>
                <w:rFonts w:ascii="Book Antiqua" w:hAnsi="Book Antiqua" w:cs="Calibri"/>
                <w:color w:val="000000"/>
                <w:sz w:val="16"/>
                <w:szCs w:val="16"/>
                <w:lang w:eastAsia="es-CR"/>
              </w:rPr>
            </w:pPr>
            <w:r w:rsidRPr="00665067">
              <w:rPr>
                <w:rFonts w:ascii="Book Antiqua" w:hAnsi="Book Antiqua" w:cs="Calibri"/>
                <w:color w:val="000000"/>
                <w:sz w:val="16"/>
                <w:szCs w:val="16"/>
                <w:lang w:eastAsia="es-CR"/>
              </w:rPr>
              <w:t>39%</w:t>
            </w:r>
          </w:p>
        </w:tc>
        <w:tc>
          <w:tcPr>
            <w:tcW w:w="2621" w:type="dxa"/>
            <w:tcBorders>
              <w:top w:val="nil"/>
              <w:left w:val="nil"/>
              <w:bottom w:val="single" w:sz="4" w:space="0" w:color="808080"/>
              <w:right w:val="single" w:sz="4" w:space="0" w:color="808080"/>
            </w:tcBorders>
            <w:shd w:val="clear" w:color="auto" w:fill="auto"/>
            <w:noWrap/>
            <w:vAlign w:val="center"/>
            <w:hideMark/>
          </w:tcPr>
          <w:p w14:paraId="737A2D5D" w14:textId="77777777" w:rsidR="000A6207" w:rsidRPr="00665067" w:rsidRDefault="000A6207" w:rsidP="000A6207">
            <w:pPr>
              <w:jc w:val="center"/>
              <w:rPr>
                <w:rFonts w:ascii="Book Antiqua" w:hAnsi="Book Antiqua" w:cs="Calibri"/>
                <w:color w:val="000000"/>
                <w:sz w:val="16"/>
                <w:szCs w:val="16"/>
                <w:lang w:eastAsia="es-CR"/>
              </w:rPr>
            </w:pPr>
            <w:r w:rsidRPr="00665067">
              <w:rPr>
                <w:rFonts w:ascii="Book Antiqua" w:hAnsi="Book Antiqua" w:cs="Calibri"/>
                <w:color w:val="000000"/>
                <w:sz w:val="16"/>
                <w:szCs w:val="16"/>
                <w:lang w:eastAsia="es-CR"/>
              </w:rPr>
              <w:t>44%</w:t>
            </w:r>
          </w:p>
        </w:tc>
      </w:tr>
      <w:tr w:rsidR="000A6207" w:rsidRPr="00665067" w14:paraId="5778377C" w14:textId="77777777" w:rsidTr="00665067">
        <w:trPr>
          <w:trHeight w:val="290"/>
          <w:jc w:val="center"/>
        </w:trPr>
        <w:tc>
          <w:tcPr>
            <w:tcW w:w="3544" w:type="dxa"/>
            <w:tcBorders>
              <w:top w:val="nil"/>
              <w:left w:val="single" w:sz="4" w:space="0" w:color="808080"/>
              <w:bottom w:val="single" w:sz="4" w:space="0" w:color="808080"/>
              <w:right w:val="single" w:sz="4" w:space="0" w:color="808080"/>
            </w:tcBorders>
            <w:shd w:val="clear" w:color="auto" w:fill="auto"/>
            <w:noWrap/>
            <w:vAlign w:val="center"/>
            <w:hideMark/>
          </w:tcPr>
          <w:p w14:paraId="625A1DB9" w14:textId="6C76E814" w:rsidR="000A6207" w:rsidRPr="00665067" w:rsidRDefault="000A6207" w:rsidP="000A6207">
            <w:pPr>
              <w:rPr>
                <w:rFonts w:ascii="Book Antiqua" w:hAnsi="Book Antiqua" w:cs="Calibri"/>
                <w:color w:val="000000"/>
                <w:sz w:val="16"/>
                <w:szCs w:val="16"/>
                <w:lang w:eastAsia="es-CR"/>
              </w:rPr>
            </w:pPr>
            <w:r w:rsidRPr="00665067">
              <w:rPr>
                <w:rFonts w:ascii="Book Antiqua" w:hAnsi="Book Antiqua" w:cs="Calibri"/>
                <w:color w:val="000000"/>
                <w:sz w:val="16"/>
                <w:szCs w:val="16"/>
                <w:lang w:eastAsia="es-CR"/>
              </w:rPr>
              <w:t>Tribunal de Flagrancia de Goicochea</w:t>
            </w:r>
            <w:r w:rsidR="001C37D6" w:rsidRPr="00665067">
              <w:rPr>
                <w:rFonts w:ascii="Book Antiqua" w:hAnsi="Book Antiqua" w:cs="Calibri"/>
                <w:color w:val="000000"/>
                <w:sz w:val="16"/>
                <w:szCs w:val="16"/>
                <w:lang w:eastAsia="es-CR"/>
              </w:rPr>
              <w:t xml:space="preserve"> </w:t>
            </w:r>
          </w:p>
        </w:tc>
        <w:tc>
          <w:tcPr>
            <w:tcW w:w="2052" w:type="dxa"/>
            <w:tcBorders>
              <w:top w:val="nil"/>
              <w:left w:val="nil"/>
              <w:bottom w:val="single" w:sz="4" w:space="0" w:color="808080"/>
              <w:right w:val="single" w:sz="4" w:space="0" w:color="808080"/>
            </w:tcBorders>
            <w:shd w:val="clear" w:color="auto" w:fill="auto"/>
            <w:noWrap/>
            <w:vAlign w:val="center"/>
            <w:hideMark/>
          </w:tcPr>
          <w:p w14:paraId="3633403D" w14:textId="77777777" w:rsidR="000A6207" w:rsidRPr="00665067" w:rsidRDefault="000A6207" w:rsidP="000A6207">
            <w:pPr>
              <w:jc w:val="center"/>
              <w:rPr>
                <w:rFonts w:ascii="Book Antiqua" w:hAnsi="Book Antiqua" w:cs="Calibri"/>
                <w:color w:val="000000"/>
                <w:sz w:val="16"/>
                <w:szCs w:val="16"/>
                <w:lang w:eastAsia="es-CR"/>
              </w:rPr>
            </w:pPr>
            <w:r w:rsidRPr="00665067">
              <w:rPr>
                <w:rFonts w:ascii="Book Antiqua" w:hAnsi="Book Antiqua" w:cs="Calibri"/>
                <w:color w:val="000000"/>
                <w:sz w:val="16"/>
                <w:szCs w:val="16"/>
                <w:lang w:eastAsia="es-CR"/>
              </w:rPr>
              <w:t>43%</w:t>
            </w:r>
          </w:p>
        </w:tc>
        <w:tc>
          <w:tcPr>
            <w:tcW w:w="2621" w:type="dxa"/>
            <w:tcBorders>
              <w:top w:val="nil"/>
              <w:left w:val="nil"/>
              <w:bottom w:val="single" w:sz="4" w:space="0" w:color="808080"/>
              <w:right w:val="single" w:sz="4" w:space="0" w:color="808080"/>
            </w:tcBorders>
            <w:shd w:val="clear" w:color="auto" w:fill="auto"/>
            <w:noWrap/>
            <w:vAlign w:val="center"/>
            <w:hideMark/>
          </w:tcPr>
          <w:p w14:paraId="67342B91" w14:textId="156F0BEB" w:rsidR="000A6207" w:rsidRPr="00665067" w:rsidRDefault="000A6207" w:rsidP="000A6207">
            <w:pPr>
              <w:jc w:val="center"/>
              <w:rPr>
                <w:rFonts w:ascii="Book Antiqua" w:hAnsi="Book Antiqua" w:cs="Calibri"/>
                <w:color w:val="000000"/>
                <w:sz w:val="16"/>
                <w:szCs w:val="16"/>
                <w:lang w:eastAsia="es-CR"/>
              </w:rPr>
            </w:pPr>
            <w:r w:rsidRPr="00665067">
              <w:rPr>
                <w:rFonts w:ascii="Book Antiqua" w:hAnsi="Book Antiqua" w:cs="Calibri"/>
                <w:color w:val="000000"/>
                <w:sz w:val="16"/>
                <w:szCs w:val="16"/>
                <w:lang w:eastAsia="es-CR"/>
              </w:rPr>
              <w:t>4</w:t>
            </w:r>
            <w:r w:rsidR="00565EC1" w:rsidRPr="00665067">
              <w:rPr>
                <w:rFonts w:ascii="Book Antiqua" w:hAnsi="Book Antiqua" w:cs="Calibri"/>
                <w:color w:val="000000"/>
                <w:sz w:val="16"/>
                <w:szCs w:val="16"/>
                <w:lang w:eastAsia="es-CR"/>
              </w:rPr>
              <w:t>3</w:t>
            </w:r>
            <w:r w:rsidRPr="00665067">
              <w:rPr>
                <w:rFonts w:ascii="Book Antiqua" w:hAnsi="Book Antiqua" w:cs="Calibri"/>
                <w:color w:val="000000"/>
                <w:sz w:val="16"/>
                <w:szCs w:val="16"/>
                <w:lang w:eastAsia="es-CR"/>
              </w:rPr>
              <w:t>%</w:t>
            </w:r>
          </w:p>
        </w:tc>
      </w:tr>
      <w:tr w:rsidR="000A6207" w:rsidRPr="00665067" w14:paraId="57FD1005" w14:textId="77777777" w:rsidTr="00665067">
        <w:trPr>
          <w:trHeight w:val="290"/>
          <w:jc w:val="center"/>
        </w:trPr>
        <w:tc>
          <w:tcPr>
            <w:tcW w:w="3544" w:type="dxa"/>
            <w:tcBorders>
              <w:top w:val="nil"/>
              <w:left w:val="single" w:sz="4" w:space="0" w:color="808080"/>
              <w:bottom w:val="single" w:sz="4" w:space="0" w:color="808080"/>
              <w:right w:val="single" w:sz="4" w:space="0" w:color="808080"/>
            </w:tcBorders>
            <w:shd w:val="clear" w:color="auto" w:fill="auto"/>
            <w:noWrap/>
            <w:vAlign w:val="center"/>
            <w:hideMark/>
          </w:tcPr>
          <w:p w14:paraId="39F579C5" w14:textId="77777777" w:rsidR="000A6207" w:rsidRPr="00665067" w:rsidRDefault="000A6207" w:rsidP="000A6207">
            <w:pPr>
              <w:rPr>
                <w:rFonts w:ascii="Book Antiqua" w:hAnsi="Book Antiqua" w:cs="Calibri"/>
                <w:color w:val="000000"/>
                <w:sz w:val="16"/>
                <w:szCs w:val="16"/>
                <w:lang w:eastAsia="es-CR"/>
              </w:rPr>
            </w:pPr>
            <w:r w:rsidRPr="00665067">
              <w:rPr>
                <w:rFonts w:ascii="Book Antiqua" w:hAnsi="Book Antiqua" w:cs="Calibri"/>
                <w:color w:val="000000"/>
                <w:sz w:val="16"/>
                <w:szCs w:val="16"/>
                <w:lang w:eastAsia="es-CR"/>
              </w:rPr>
              <w:t>Tribunal de Flagrancia de San José</w:t>
            </w:r>
          </w:p>
        </w:tc>
        <w:tc>
          <w:tcPr>
            <w:tcW w:w="2052" w:type="dxa"/>
            <w:tcBorders>
              <w:top w:val="nil"/>
              <w:left w:val="nil"/>
              <w:bottom w:val="single" w:sz="4" w:space="0" w:color="808080"/>
              <w:right w:val="single" w:sz="4" w:space="0" w:color="808080"/>
            </w:tcBorders>
            <w:shd w:val="clear" w:color="auto" w:fill="auto"/>
            <w:noWrap/>
            <w:vAlign w:val="center"/>
            <w:hideMark/>
          </w:tcPr>
          <w:p w14:paraId="194D5FB9" w14:textId="77777777" w:rsidR="000A6207" w:rsidRPr="00665067" w:rsidRDefault="000A6207" w:rsidP="000A6207">
            <w:pPr>
              <w:jc w:val="center"/>
              <w:rPr>
                <w:rFonts w:ascii="Book Antiqua" w:hAnsi="Book Antiqua" w:cs="Calibri"/>
                <w:color w:val="000000"/>
                <w:sz w:val="16"/>
                <w:szCs w:val="16"/>
                <w:lang w:eastAsia="es-CR"/>
              </w:rPr>
            </w:pPr>
            <w:r w:rsidRPr="00665067">
              <w:rPr>
                <w:rFonts w:ascii="Book Antiqua" w:hAnsi="Book Antiqua" w:cs="Calibri"/>
                <w:color w:val="000000"/>
                <w:sz w:val="16"/>
                <w:szCs w:val="16"/>
                <w:lang w:eastAsia="es-CR"/>
              </w:rPr>
              <w:t>33%</w:t>
            </w:r>
          </w:p>
        </w:tc>
        <w:tc>
          <w:tcPr>
            <w:tcW w:w="2621" w:type="dxa"/>
            <w:tcBorders>
              <w:top w:val="nil"/>
              <w:left w:val="nil"/>
              <w:bottom w:val="single" w:sz="4" w:space="0" w:color="808080"/>
              <w:right w:val="single" w:sz="4" w:space="0" w:color="808080"/>
            </w:tcBorders>
            <w:shd w:val="clear" w:color="auto" w:fill="auto"/>
            <w:noWrap/>
            <w:vAlign w:val="center"/>
            <w:hideMark/>
          </w:tcPr>
          <w:p w14:paraId="485DF7ED" w14:textId="77777777" w:rsidR="000A6207" w:rsidRPr="00665067" w:rsidRDefault="000A6207" w:rsidP="000A6207">
            <w:pPr>
              <w:jc w:val="center"/>
              <w:rPr>
                <w:rFonts w:ascii="Book Antiqua" w:hAnsi="Book Antiqua" w:cs="Calibri"/>
                <w:color w:val="000000"/>
                <w:sz w:val="16"/>
                <w:szCs w:val="16"/>
                <w:lang w:eastAsia="es-CR"/>
              </w:rPr>
            </w:pPr>
            <w:r w:rsidRPr="00665067">
              <w:rPr>
                <w:rFonts w:ascii="Book Antiqua" w:hAnsi="Book Antiqua" w:cs="Calibri"/>
                <w:color w:val="000000"/>
                <w:sz w:val="16"/>
                <w:szCs w:val="16"/>
                <w:lang w:eastAsia="es-CR"/>
              </w:rPr>
              <w:t>33%</w:t>
            </w:r>
          </w:p>
        </w:tc>
      </w:tr>
      <w:tr w:rsidR="000A6207" w:rsidRPr="00665067" w14:paraId="4C3A1DB9" w14:textId="77777777" w:rsidTr="00665067">
        <w:trPr>
          <w:trHeight w:val="290"/>
          <w:jc w:val="center"/>
        </w:trPr>
        <w:tc>
          <w:tcPr>
            <w:tcW w:w="3544" w:type="dxa"/>
            <w:tcBorders>
              <w:top w:val="nil"/>
              <w:left w:val="single" w:sz="4" w:space="0" w:color="808080"/>
              <w:bottom w:val="single" w:sz="4" w:space="0" w:color="808080"/>
              <w:right w:val="single" w:sz="4" w:space="0" w:color="808080"/>
            </w:tcBorders>
            <w:shd w:val="clear" w:color="auto" w:fill="auto"/>
            <w:noWrap/>
            <w:vAlign w:val="center"/>
            <w:hideMark/>
          </w:tcPr>
          <w:p w14:paraId="225C7040" w14:textId="77777777" w:rsidR="000A6207" w:rsidRPr="00665067" w:rsidRDefault="000A6207" w:rsidP="000A6207">
            <w:pPr>
              <w:rPr>
                <w:rFonts w:ascii="Book Antiqua" w:hAnsi="Book Antiqua" w:cs="Calibri"/>
                <w:b/>
                <w:bCs/>
                <w:color w:val="000000"/>
                <w:sz w:val="16"/>
                <w:szCs w:val="16"/>
                <w:lang w:eastAsia="es-CR"/>
              </w:rPr>
            </w:pPr>
            <w:r w:rsidRPr="00665067">
              <w:rPr>
                <w:rFonts w:ascii="Book Antiqua" w:hAnsi="Book Antiqua" w:cs="Calibri"/>
                <w:b/>
                <w:bCs/>
                <w:color w:val="000000"/>
                <w:sz w:val="16"/>
                <w:szCs w:val="16"/>
                <w:lang w:eastAsia="es-CR"/>
              </w:rPr>
              <w:t>Promedio Global</w:t>
            </w:r>
          </w:p>
        </w:tc>
        <w:tc>
          <w:tcPr>
            <w:tcW w:w="2052" w:type="dxa"/>
            <w:tcBorders>
              <w:top w:val="nil"/>
              <w:left w:val="nil"/>
              <w:bottom w:val="single" w:sz="4" w:space="0" w:color="808080"/>
              <w:right w:val="single" w:sz="4" w:space="0" w:color="808080"/>
            </w:tcBorders>
            <w:shd w:val="clear" w:color="auto" w:fill="auto"/>
            <w:noWrap/>
            <w:vAlign w:val="center"/>
            <w:hideMark/>
          </w:tcPr>
          <w:p w14:paraId="4F4B1852" w14:textId="77777777" w:rsidR="000A6207" w:rsidRPr="00665067" w:rsidRDefault="000A6207" w:rsidP="000A6207">
            <w:pPr>
              <w:jc w:val="center"/>
              <w:rPr>
                <w:rFonts w:ascii="Book Antiqua" w:hAnsi="Book Antiqua" w:cs="Calibri"/>
                <w:b/>
                <w:bCs/>
                <w:color w:val="000000"/>
                <w:sz w:val="16"/>
                <w:szCs w:val="16"/>
                <w:lang w:eastAsia="es-CR"/>
              </w:rPr>
            </w:pPr>
            <w:r w:rsidRPr="00665067">
              <w:rPr>
                <w:rFonts w:ascii="Book Antiqua" w:hAnsi="Book Antiqua" w:cs="Calibri"/>
                <w:b/>
                <w:bCs/>
                <w:color w:val="000000"/>
                <w:sz w:val="16"/>
                <w:szCs w:val="16"/>
                <w:lang w:eastAsia="es-CR"/>
              </w:rPr>
              <w:t>78%</w:t>
            </w:r>
          </w:p>
        </w:tc>
        <w:tc>
          <w:tcPr>
            <w:tcW w:w="2621" w:type="dxa"/>
            <w:tcBorders>
              <w:top w:val="nil"/>
              <w:left w:val="nil"/>
              <w:bottom w:val="single" w:sz="4" w:space="0" w:color="808080"/>
              <w:right w:val="single" w:sz="4" w:space="0" w:color="808080"/>
            </w:tcBorders>
            <w:shd w:val="clear" w:color="auto" w:fill="auto"/>
            <w:noWrap/>
            <w:vAlign w:val="center"/>
            <w:hideMark/>
          </w:tcPr>
          <w:p w14:paraId="0EF0F029" w14:textId="77777777" w:rsidR="000A6207" w:rsidRPr="00665067" w:rsidRDefault="000A6207" w:rsidP="000A6207">
            <w:pPr>
              <w:jc w:val="center"/>
              <w:rPr>
                <w:rFonts w:ascii="Book Antiqua" w:hAnsi="Book Antiqua" w:cs="Calibri"/>
                <w:b/>
                <w:bCs/>
                <w:color w:val="000000"/>
                <w:sz w:val="16"/>
                <w:szCs w:val="16"/>
                <w:lang w:eastAsia="es-CR"/>
              </w:rPr>
            </w:pPr>
            <w:r w:rsidRPr="00665067">
              <w:rPr>
                <w:rFonts w:ascii="Book Antiqua" w:hAnsi="Book Antiqua" w:cs="Calibri"/>
                <w:b/>
                <w:bCs/>
                <w:color w:val="000000"/>
                <w:sz w:val="16"/>
                <w:szCs w:val="16"/>
                <w:lang w:eastAsia="es-CR"/>
              </w:rPr>
              <w:t>81%</w:t>
            </w:r>
          </w:p>
        </w:tc>
      </w:tr>
    </w:tbl>
    <w:p w14:paraId="07953F61" w14:textId="2D4F47EE" w:rsidR="00133AD1" w:rsidRDefault="00133AD1" w:rsidP="000A6207">
      <w:pPr>
        <w:spacing w:line="276" w:lineRule="auto"/>
        <w:jc w:val="center"/>
        <w:rPr>
          <w:rFonts w:ascii="Book Antiqua" w:hAnsi="Book Antiqua"/>
          <w:color w:val="000000" w:themeColor="text1"/>
          <w:sz w:val="20"/>
          <w:szCs w:val="20"/>
        </w:rPr>
      </w:pPr>
      <w:r w:rsidRPr="00677475">
        <w:rPr>
          <w:rFonts w:ascii="Book Antiqua" w:hAnsi="Book Antiqua"/>
          <w:b/>
          <w:bCs/>
          <w:color w:val="000000" w:themeColor="text1"/>
          <w:sz w:val="20"/>
          <w:szCs w:val="20"/>
        </w:rPr>
        <w:t xml:space="preserve">Fuente: </w:t>
      </w:r>
      <w:r w:rsidRPr="00677475">
        <w:rPr>
          <w:rFonts w:ascii="Book Antiqua" w:hAnsi="Book Antiqua"/>
          <w:color w:val="000000" w:themeColor="text1"/>
          <w:sz w:val="20"/>
          <w:szCs w:val="20"/>
        </w:rPr>
        <w:t>Matriz de indicadores de Gestión</w:t>
      </w:r>
    </w:p>
    <w:p w14:paraId="55872DF5" w14:textId="176C4EF3" w:rsidR="000A6207" w:rsidRDefault="000A6207" w:rsidP="000A6207">
      <w:pPr>
        <w:spacing w:line="276" w:lineRule="auto"/>
        <w:jc w:val="center"/>
        <w:rPr>
          <w:rFonts w:ascii="Book Antiqua" w:hAnsi="Book Antiqua"/>
          <w:color w:val="000000" w:themeColor="text1"/>
          <w:sz w:val="20"/>
          <w:szCs w:val="20"/>
        </w:rPr>
      </w:pPr>
    </w:p>
    <w:p w14:paraId="5DAA97FC" w14:textId="77777777" w:rsidR="000A6207" w:rsidRPr="00AC4A95" w:rsidRDefault="000A6207" w:rsidP="00BF7F5F">
      <w:pPr>
        <w:spacing w:line="276" w:lineRule="auto"/>
        <w:rPr>
          <w:rFonts w:ascii="Book Antiqua" w:hAnsi="Book Antiqua"/>
          <w:b/>
          <w:bCs/>
          <w:color w:val="000000" w:themeColor="text1"/>
          <w:sz w:val="20"/>
          <w:szCs w:val="20"/>
        </w:rPr>
      </w:pPr>
    </w:p>
    <w:p w14:paraId="03AD2A5C" w14:textId="53DDCA85" w:rsidR="00133AD1" w:rsidRPr="000A5D59" w:rsidRDefault="5684C556" w:rsidP="57A79FF7">
      <w:pPr>
        <w:spacing w:after="160" w:line="276" w:lineRule="auto"/>
        <w:contextualSpacing/>
        <w:outlineLvl w:val="1"/>
        <w:rPr>
          <w:b/>
          <w:color w:val="000000" w:themeColor="text1"/>
        </w:rPr>
      </w:pPr>
      <w:r w:rsidRPr="57A79FF7">
        <w:rPr>
          <w:rFonts w:ascii="Book Antiqua" w:hAnsi="Book Antiqua"/>
          <w:b/>
          <w:bCs/>
          <w:color w:val="000000" w:themeColor="text1"/>
        </w:rPr>
        <w:t xml:space="preserve">6.2.4 </w:t>
      </w:r>
      <w:r w:rsidR="00133AD1" w:rsidRPr="000A5D59">
        <w:rPr>
          <w:rFonts w:ascii="Book Antiqua" w:hAnsi="Book Antiqua"/>
          <w:b/>
          <w:color w:val="000000" w:themeColor="text1"/>
        </w:rPr>
        <w:t>Juzgados de Ejecución de la Pena</w:t>
      </w:r>
    </w:p>
    <w:p w14:paraId="253EAECA" w14:textId="68731DD2" w:rsidR="00133AD1" w:rsidRDefault="00133AD1" w:rsidP="00985591">
      <w:pPr>
        <w:spacing w:line="276" w:lineRule="auto"/>
        <w:jc w:val="both"/>
        <w:rPr>
          <w:rFonts w:ascii="Book Antiqua" w:hAnsi="Book Antiqua"/>
          <w:color w:val="000000" w:themeColor="text1"/>
        </w:rPr>
      </w:pPr>
      <w:r w:rsidRPr="00B76E68">
        <w:rPr>
          <w:rFonts w:ascii="Book Antiqua" w:hAnsi="Book Antiqua"/>
          <w:color w:val="000000" w:themeColor="text1"/>
        </w:rPr>
        <w:t xml:space="preserve">Los Juzgados de Ejecución de la Pena registran un </w:t>
      </w:r>
      <w:r w:rsidR="0033474E">
        <w:rPr>
          <w:rFonts w:ascii="Book Antiqua" w:hAnsi="Book Antiqua"/>
          <w:color w:val="000000" w:themeColor="text1"/>
        </w:rPr>
        <w:t>88</w:t>
      </w:r>
      <w:r w:rsidRPr="00B76E68">
        <w:rPr>
          <w:rFonts w:ascii="Book Antiqua" w:hAnsi="Book Antiqua"/>
          <w:color w:val="000000" w:themeColor="text1"/>
        </w:rPr>
        <w:t xml:space="preserve">% en </w:t>
      </w:r>
      <w:r w:rsidR="003958D4">
        <w:rPr>
          <w:rFonts w:ascii="Book Antiqua" w:hAnsi="Book Antiqua"/>
          <w:color w:val="000000" w:themeColor="text1"/>
        </w:rPr>
        <w:t>incidentes</w:t>
      </w:r>
      <w:r>
        <w:rPr>
          <w:rFonts w:ascii="Book Antiqua" w:hAnsi="Book Antiqua"/>
          <w:color w:val="000000" w:themeColor="text1"/>
        </w:rPr>
        <w:t xml:space="preserve"> terminados </w:t>
      </w:r>
      <w:r w:rsidRPr="00B76E68">
        <w:rPr>
          <w:rFonts w:ascii="Book Antiqua" w:hAnsi="Book Antiqua"/>
          <w:color w:val="000000" w:themeColor="text1"/>
        </w:rPr>
        <w:t xml:space="preserve">y </w:t>
      </w:r>
      <w:r w:rsidR="0033474E">
        <w:rPr>
          <w:rFonts w:ascii="Book Antiqua" w:hAnsi="Book Antiqua"/>
          <w:color w:val="000000" w:themeColor="text1"/>
        </w:rPr>
        <w:t>1</w:t>
      </w:r>
      <w:r w:rsidR="00B41CB3">
        <w:rPr>
          <w:rFonts w:ascii="Book Antiqua" w:hAnsi="Book Antiqua"/>
          <w:color w:val="000000" w:themeColor="text1"/>
        </w:rPr>
        <w:t>8</w:t>
      </w:r>
      <w:r w:rsidR="0033474E">
        <w:rPr>
          <w:rFonts w:ascii="Book Antiqua" w:hAnsi="Book Antiqua"/>
          <w:color w:val="000000" w:themeColor="text1"/>
        </w:rPr>
        <w:t>7</w:t>
      </w:r>
      <w:r w:rsidRPr="00B76E68">
        <w:rPr>
          <w:rFonts w:ascii="Book Antiqua" w:hAnsi="Book Antiqua"/>
          <w:color w:val="000000" w:themeColor="text1"/>
        </w:rPr>
        <w:t xml:space="preserve">% en firma de </w:t>
      </w:r>
      <w:r>
        <w:rPr>
          <w:rFonts w:ascii="Book Antiqua" w:hAnsi="Book Antiqua"/>
          <w:color w:val="000000" w:themeColor="text1"/>
        </w:rPr>
        <w:t>expedientes</w:t>
      </w:r>
      <w:r w:rsidRPr="00B76E68">
        <w:rPr>
          <w:rFonts w:ascii="Book Antiqua" w:hAnsi="Book Antiqua"/>
          <w:color w:val="000000" w:themeColor="text1"/>
        </w:rPr>
        <w:t>.</w:t>
      </w:r>
    </w:p>
    <w:p w14:paraId="70C44B07" w14:textId="77777777" w:rsidR="00133AD1" w:rsidRDefault="00133AD1" w:rsidP="00985591">
      <w:pPr>
        <w:spacing w:line="276" w:lineRule="auto"/>
        <w:jc w:val="both"/>
        <w:rPr>
          <w:rFonts w:ascii="Book Antiqua" w:hAnsi="Book Antiqua"/>
          <w:color w:val="000000" w:themeColor="text1"/>
        </w:rPr>
      </w:pPr>
    </w:p>
    <w:p w14:paraId="357F4EF8" w14:textId="7BCF55CD" w:rsidR="00133AD1" w:rsidRDefault="00133AD1" w:rsidP="00985591">
      <w:pPr>
        <w:spacing w:line="276" w:lineRule="auto"/>
        <w:jc w:val="both"/>
        <w:rPr>
          <w:rFonts w:ascii="Book Antiqua" w:hAnsi="Book Antiqua" w:cs="Calibri"/>
          <w:color w:val="000000"/>
          <w:sz w:val="22"/>
          <w:szCs w:val="22"/>
          <w:lang w:eastAsia="es-CR"/>
        </w:rPr>
      </w:pPr>
      <w:r>
        <w:rPr>
          <w:rFonts w:ascii="Book Antiqua" w:hAnsi="Book Antiqua"/>
          <w:color w:val="000000" w:themeColor="text1"/>
        </w:rPr>
        <w:t xml:space="preserve">Para el caso de los asuntos culminados el </w:t>
      </w:r>
      <w:r w:rsidRPr="00886704">
        <w:rPr>
          <w:rFonts w:ascii="Book Antiqua" w:hAnsi="Book Antiqua" w:cs="Calibri"/>
          <w:color w:val="000000"/>
          <w:sz w:val="22"/>
          <w:szCs w:val="22"/>
          <w:lang w:eastAsia="es-CR"/>
        </w:rPr>
        <w:t xml:space="preserve">Juzgado de Ejecución de </w:t>
      </w:r>
      <w:r w:rsidR="0033474E">
        <w:rPr>
          <w:rFonts w:ascii="Book Antiqua" w:hAnsi="Book Antiqua" w:cs="Calibri"/>
          <w:color w:val="000000"/>
          <w:sz w:val="22"/>
          <w:szCs w:val="22"/>
          <w:lang w:eastAsia="es-CR"/>
        </w:rPr>
        <w:t>Alajuela</w:t>
      </w:r>
      <w:r>
        <w:rPr>
          <w:rFonts w:ascii="Book Antiqua" w:hAnsi="Book Antiqua" w:cs="Calibri"/>
          <w:color w:val="000000"/>
          <w:sz w:val="22"/>
          <w:szCs w:val="22"/>
          <w:lang w:eastAsia="es-CR"/>
        </w:rPr>
        <w:t xml:space="preserve">, reporta el mayor rendimiento con un </w:t>
      </w:r>
      <w:r w:rsidR="0033474E">
        <w:rPr>
          <w:rFonts w:ascii="Book Antiqua" w:hAnsi="Book Antiqua" w:cs="Calibri"/>
          <w:color w:val="000000"/>
          <w:sz w:val="22"/>
          <w:szCs w:val="22"/>
          <w:lang w:eastAsia="es-CR"/>
        </w:rPr>
        <w:t>119</w:t>
      </w:r>
      <w:r>
        <w:rPr>
          <w:rFonts w:ascii="Book Antiqua" w:hAnsi="Book Antiqua" w:cs="Calibri"/>
          <w:color w:val="000000"/>
          <w:sz w:val="22"/>
          <w:szCs w:val="22"/>
          <w:lang w:eastAsia="es-CR"/>
        </w:rPr>
        <w:t xml:space="preserve">% sobre el parámetro, y el </w:t>
      </w:r>
      <w:r w:rsidRPr="00886704">
        <w:rPr>
          <w:rFonts w:ascii="Book Antiqua" w:hAnsi="Book Antiqua" w:cs="Calibri"/>
          <w:color w:val="000000"/>
          <w:sz w:val="22"/>
          <w:szCs w:val="22"/>
          <w:lang w:eastAsia="es-CR"/>
        </w:rPr>
        <w:t xml:space="preserve">Juzgado de Ejecución de la Pena del </w:t>
      </w:r>
      <w:r w:rsidR="0033474E">
        <w:rPr>
          <w:rFonts w:ascii="Book Antiqua" w:hAnsi="Book Antiqua" w:cs="Calibri"/>
          <w:color w:val="000000"/>
          <w:sz w:val="22"/>
          <w:szCs w:val="22"/>
          <w:lang w:eastAsia="es-CR"/>
        </w:rPr>
        <w:t>Primer</w:t>
      </w:r>
      <w:r w:rsidRPr="00886704">
        <w:rPr>
          <w:rFonts w:ascii="Book Antiqua" w:hAnsi="Book Antiqua" w:cs="Calibri"/>
          <w:color w:val="000000"/>
          <w:sz w:val="22"/>
          <w:szCs w:val="22"/>
          <w:lang w:eastAsia="es-CR"/>
        </w:rPr>
        <w:t xml:space="preserve"> Circuito Judicial de la Zona Atlántica (</w:t>
      </w:r>
      <w:r w:rsidR="0033474E">
        <w:rPr>
          <w:rFonts w:ascii="Book Antiqua" w:hAnsi="Book Antiqua" w:cs="Calibri"/>
          <w:color w:val="000000"/>
          <w:sz w:val="22"/>
          <w:szCs w:val="22"/>
          <w:lang w:eastAsia="es-CR"/>
        </w:rPr>
        <w:t>Limón</w:t>
      </w:r>
      <w:r w:rsidRPr="00886704">
        <w:rPr>
          <w:rFonts w:ascii="Book Antiqua" w:hAnsi="Book Antiqua" w:cs="Calibri"/>
          <w:color w:val="000000"/>
          <w:sz w:val="22"/>
          <w:szCs w:val="22"/>
          <w:lang w:eastAsia="es-CR"/>
        </w:rPr>
        <w:t>)</w:t>
      </w:r>
      <w:r>
        <w:rPr>
          <w:rFonts w:ascii="Book Antiqua" w:hAnsi="Book Antiqua" w:cs="Calibri"/>
          <w:color w:val="000000"/>
          <w:sz w:val="22"/>
          <w:szCs w:val="22"/>
          <w:lang w:eastAsia="es-CR"/>
        </w:rPr>
        <w:t xml:space="preserve"> present</w:t>
      </w:r>
      <w:r w:rsidR="0033474E">
        <w:rPr>
          <w:rFonts w:ascii="Book Antiqua" w:hAnsi="Book Antiqua" w:cs="Calibri"/>
          <w:color w:val="000000"/>
          <w:sz w:val="22"/>
          <w:szCs w:val="22"/>
          <w:lang w:eastAsia="es-CR"/>
        </w:rPr>
        <w:t>a</w:t>
      </w:r>
      <w:r>
        <w:rPr>
          <w:rFonts w:ascii="Book Antiqua" w:hAnsi="Book Antiqua" w:cs="Calibri"/>
          <w:color w:val="000000"/>
          <w:sz w:val="22"/>
          <w:szCs w:val="22"/>
          <w:lang w:eastAsia="es-CR"/>
        </w:rPr>
        <w:t xml:space="preserve">n el menor porcentaje con un </w:t>
      </w:r>
      <w:r w:rsidR="0033474E">
        <w:rPr>
          <w:rFonts w:ascii="Book Antiqua" w:hAnsi="Book Antiqua" w:cs="Calibri"/>
          <w:color w:val="000000"/>
          <w:sz w:val="22"/>
          <w:szCs w:val="22"/>
          <w:lang w:eastAsia="es-CR"/>
        </w:rPr>
        <w:t>45</w:t>
      </w:r>
      <w:r>
        <w:rPr>
          <w:rFonts w:ascii="Book Antiqua" w:hAnsi="Book Antiqua" w:cs="Calibri"/>
          <w:color w:val="000000"/>
          <w:sz w:val="22"/>
          <w:szCs w:val="22"/>
          <w:lang w:eastAsia="es-CR"/>
        </w:rPr>
        <w:t>%.</w:t>
      </w:r>
    </w:p>
    <w:p w14:paraId="70054AA5" w14:textId="77777777" w:rsidR="00133AD1" w:rsidRPr="0053279E" w:rsidRDefault="00133AD1" w:rsidP="00985591">
      <w:pPr>
        <w:spacing w:line="276" w:lineRule="auto"/>
        <w:jc w:val="both"/>
        <w:rPr>
          <w:rFonts w:ascii="Book Antiqua" w:hAnsi="Book Antiqua"/>
          <w:color w:val="000000" w:themeColor="text1"/>
        </w:rPr>
      </w:pPr>
    </w:p>
    <w:p w14:paraId="160D91E2" w14:textId="77777777" w:rsidR="00133AD1" w:rsidRPr="004F0E92" w:rsidRDefault="00133AD1" w:rsidP="00985591">
      <w:pPr>
        <w:spacing w:line="276" w:lineRule="auto"/>
        <w:jc w:val="both"/>
        <w:rPr>
          <w:rFonts w:ascii="Book Antiqua" w:hAnsi="Book Antiqua"/>
          <w:b/>
          <w:color w:val="000000" w:themeColor="text1"/>
        </w:rPr>
      </w:pPr>
      <w:r w:rsidRPr="0053279E">
        <w:rPr>
          <w:rFonts w:ascii="Book Antiqua" w:hAnsi="Book Antiqua"/>
          <w:color w:val="000000" w:themeColor="text1"/>
        </w:rPr>
        <w:t xml:space="preserve">El detalle se </w:t>
      </w:r>
      <w:r>
        <w:rPr>
          <w:rFonts w:ascii="Book Antiqua" w:hAnsi="Book Antiqua"/>
          <w:color w:val="000000" w:themeColor="text1"/>
        </w:rPr>
        <w:t>muestra</w:t>
      </w:r>
      <w:r w:rsidRPr="0053279E">
        <w:rPr>
          <w:rFonts w:ascii="Book Antiqua" w:hAnsi="Book Antiqua"/>
          <w:color w:val="000000" w:themeColor="text1"/>
        </w:rPr>
        <w:t xml:space="preserve"> en el siguiente cuadro.</w:t>
      </w:r>
    </w:p>
    <w:p w14:paraId="21A23AFC" w14:textId="77777777" w:rsidR="00133AD1" w:rsidRPr="000549BF" w:rsidRDefault="00133AD1" w:rsidP="00985591">
      <w:pPr>
        <w:spacing w:line="276" w:lineRule="auto"/>
        <w:jc w:val="both"/>
        <w:rPr>
          <w:rFonts w:ascii="Book Antiqua" w:hAnsi="Book Antiqua"/>
          <w:color w:val="000000" w:themeColor="text1"/>
        </w:rPr>
      </w:pPr>
    </w:p>
    <w:p w14:paraId="67BD8BA5" w14:textId="4AE6C729" w:rsidR="00133AD1" w:rsidRPr="000549BF" w:rsidRDefault="00133AD1" w:rsidP="00985591">
      <w:pPr>
        <w:spacing w:line="276" w:lineRule="auto"/>
        <w:jc w:val="center"/>
        <w:rPr>
          <w:rFonts w:ascii="Book Antiqua" w:hAnsi="Book Antiqua"/>
          <w:b/>
          <w:color w:val="000000" w:themeColor="text1"/>
        </w:rPr>
      </w:pPr>
      <w:r w:rsidRPr="000549BF">
        <w:rPr>
          <w:rFonts w:ascii="Book Antiqua" w:hAnsi="Book Antiqua"/>
          <w:b/>
          <w:color w:val="000000" w:themeColor="text1"/>
        </w:rPr>
        <w:t xml:space="preserve">Cuadro </w:t>
      </w:r>
      <w:r w:rsidR="0052233C">
        <w:rPr>
          <w:rFonts w:ascii="Book Antiqua" w:hAnsi="Book Antiqua"/>
          <w:b/>
          <w:color w:val="000000" w:themeColor="text1"/>
        </w:rPr>
        <w:t>59</w:t>
      </w:r>
    </w:p>
    <w:p w14:paraId="6DA31853" w14:textId="77777777" w:rsidR="00133AD1" w:rsidRPr="00921892" w:rsidRDefault="00133AD1" w:rsidP="00985591">
      <w:pPr>
        <w:spacing w:line="276" w:lineRule="auto"/>
        <w:jc w:val="center"/>
        <w:rPr>
          <w:rFonts w:ascii="Book Antiqua" w:hAnsi="Book Antiqua"/>
          <w:bCs/>
          <w:color w:val="000000" w:themeColor="text1"/>
        </w:rPr>
      </w:pPr>
      <w:r w:rsidRPr="00921892">
        <w:rPr>
          <w:rFonts w:ascii="Book Antiqua" w:hAnsi="Book Antiqua"/>
          <w:bCs/>
          <w:color w:val="000000" w:themeColor="text1"/>
        </w:rPr>
        <w:t xml:space="preserve">Cumplimiento del parámetro de producción teórico de </w:t>
      </w:r>
      <w:r>
        <w:rPr>
          <w:rFonts w:ascii="Book Antiqua" w:hAnsi="Book Antiqua"/>
          <w:bCs/>
          <w:color w:val="000000" w:themeColor="text1"/>
        </w:rPr>
        <w:t>asuntos terminados</w:t>
      </w:r>
    </w:p>
    <w:p w14:paraId="68782A6E" w14:textId="1B812129" w:rsidR="00133AD1" w:rsidRPr="00055209" w:rsidRDefault="00133AD1" w:rsidP="00055209">
      <w:pPr>
        <w:spacing w:line="276" w:lineRule="auto"/>
        <w:jc w:val="center"/>
        <w:rPr>
          <w:rFonts w:ascii="Book Antiqua" w:hAnsi="Book Antiqua"/>
          <w:bCs/>
          <w:color w:val="000000" w:themeColor="text1"/>
        </w:rPr>
      </w:pPr>
      <w:r w:rsidRPr="00921892">
        <w:rPr>
          <w:rFonts w:ascii="Book Antiqua" w:hAnsi="Book Antiqua"/>
          <w:bCs/>
          <w:color w:val="000000" w:themeColor="text1"/>
        </w:rPr>
        <w:t xml:space="preserve"> Juzgados de Ejecución de la Pena durante </w:t>
      </w:r>
      <w:r w:rsidR="0033474E">
        <w:rPr>
          <w:rFonts w:ascii="Book Antiqua" w:hAnsi="Book Antiqua"/>
          <w:bCs/>
          <w:color w:val="000000" w:themeColor="text1"/>
        </w:rPr>
        <w:t>julio</w:t>
      </w:r>
      <w:r w:rsidRPr="00921892">
        <w:rPr>
          <w:rFonts w:ascii="Book Antiqua" w:hAnsi="Book Antiqua"/>
          <w:bCs/>
          <w:color w:val="000000" w:themeColor="text1"/>
        </w:rPr>
        <w:t xml:space="preserve"> 2021</w:t>
      </w:r>
    </w:p>
    <w:tbl>
      <w:tblPr>
        <w:tblW w:w="6740" w:type="dxa"/>
        <w:jc w:val="center"/>
        <w:tblCellMar>
          <w:left w:w="70" w:type="dxa"/>
          <w:right w:w="70" w:type="dxa"/>
        </w:tblCellMar>
        <w:tblLook w:val="04A0" w:firstRow="1" w:lastRow="0" w:firstColumn="1" w:lastColumn="0" w:noHBand="0" w:noVBand="1"/>
      </w:tblPr>
      <w:tblGrid>
        <w:gridCol w:w="4140"/>
        <w:gridCol w:w="2600"/>
      </w:tblGrid>
      <w:tr w:rsidR="00055209" w:rsidRPr="00055209" w14:paraId="4E20E316" w14:textId="77777777" w:rsidTr="00055209">
        <w:trPr>
          <w:trHeight w:val="780"/>
          <w:jc w:val="center"/>
        </w:trPr>
        <w:tc>
          <w:tcPr>
            <w:tcW w:w="4140" w:type="dxa"/>
            <w:tcBorders>
              <w:top w:val="single" w:sz="4" w:space="0" w:color="808080"/>
              <w:left w:val="single" w:sz="4" w:space="0" w:color="808080"/>
              <w:bottom w:val="single" w:sz="4" w:space="0" w:color="808080"/>
              <w:right w:val="single" w:sz="4" w:space="0" w:color="808080"/>
            </w:tcBorders>
            <w:shd w:val="clear" w:color="000000" w:fill="305496"/>
            <w:noWrap/>
            <w:vAlign w:val="center"/>
            <w:hideMark/>
          </w:tcPr>
          <w:p w14:paraId="057B76B2" w14:textId="77777777" w:rsidR="00055209" w:rsidRPr="00055209" w:rsidRDefault="00055209" w:rsidP="00055209">
            <w:pPr>
              <w:jc w:val="center"/>
              <w:rPr>
                <w:rFonts w:ascii="Book Antiqua" w:hAnsi="Book Antiqua" w:cs="Calibri"/>
                <w:b/>
                <w:bCs/>
                <w:color w:val="FFFFFF"/>
                <w:sz w:val="16"/>
                <w:szCs w:val="16"/>
                <w:lang w:eastAsia="es-CR"/>
              </w:rPr>
            </w:pPr>
            <w:r w:rsidRPr="00055209">
              <w:rPr>
                <w:rFonts w:ascii="Book Antiqua" w:hAnsi="Book Antiqua" w:cs="Calibri"/>
                <w:b/>
                <w:bCs/>
                <w:color w:val="FFFFFF"/>
                <w:sz w:val="16"/>
                <w:szCs w:val="16"/>
                <w:lang w:eastAsia="es-CR"/>
              </w:rPr>
              <w:t>Oficina</w:t>
            </w:r>
          </w:p>
        </w:tc>
        <w:tc>
          <w:tcPr>
            <w:tcW w:w="2600" w:type="dxa"/>
            <w:tcBorders>
              <w:top w:val="single" w:sz="4" w:space="0" w:color="808080"/>
              <w:left w:val="nil"/>
              <w:bottom w:val="single" w:sz="4" w:space="0" w:color="808080"/>
              <w:right w:val="single" w:sz="4" w:space="0" w:color="808080"/>
            </w:tcBorders>
            <w:shd w:val="clear" w:color="000000" w:fill="305496"/>
            <w:vAlign w:val="center"/>
            <w:hideMark/>
          </w:tcPr>
          <w:p w14:paraId="6C853A77" w14:textId="77777777" w:rsidR="00055209" w:rsidRPr="00055209" w:rsidRDefault="00055209" w:rsidP="00055209">
            <w:pPr>
              <w:jc w:val="center"/>
              <w:rPr>
                <w:rFonts w:ascii="Book Antiqua" w:hAnsi="Book Antiqua" w:cs="Calibri"/>
                <w:b/>
                <w:bCs/>
                <w:color w:val="FFFFFF"/>
                <w:sz w:val="16"/>
                <w:szCs w:val="16"/>
                <w:lang w:eastAsia="es-CR"/>
              </w:rPr>
            </w:pPr>
            <w:r w:rsidRPr="00055209">
              <w:rPr>
                <w:rFonts w:ascii="Book Antiqua" w:hAnsi="Book Antiqua" w:cs="Calibri"/>
                <w:b/>
                <w:bCs/>
                <w:color w:val="FFFFFF"/>
                <w:sz w:val="16"/>
                <w:szCs w:val="16"/>
                <w:lang w:eastAsia="es-CR"/>
              </w:rPr>
              <w:t>Porcentaje cumplimiento cuota teórica de asuntos terminados</w:t>
            </w:r>
          </w:p>
        </w:tc>
      </w:tr>
      <w:tr w:rsidR="00055209" w:rsidRPr="00055209" w14:paraId="3519B6E6" w14:textId="77777777" w:rsidTr="00055209">
        <w:trPr>
          <w:trHeight w:val="290"/>
          <w:jc w:val="center"/>
        </w:trPr>
        <w:tc>
          <w:tcPr>
            <w:tcW w:w="4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B4A692" w14:textId="77777777" w:rsidR="00055209" w:rsidRPr="00055209" w:rsidRDefault="00055209" w:rsidP="00055209">
            <w:pPr>
              <w:rPr>
                <w:rFonts w:ascii="Book Antiqua" w:hAnsi="Book Antiqua" w:cs="Calibri"/>
                <w:sz w:val="16"/>
                <w:szCs w:val="16"/>
                <w:lang w:eastAsia="es-CR"/>
              </w:rPr>
            </w:pPr>
            <w:r w:rsidRPr="00055209">
              <w:rPr>
                <w:rFonts w:ascii="Book Antiqua" w:hAnsi="Book Antiqua" w:cs="Calibri"/>
                <w:sz w:val="16"/>
                <w:szCs w:val="16"/>
                <w:lang w:eastAsia="es-CR"/>
              </w:rPr>
              <w:t>Juzgado Ejecución de La Pena de Liberia</w:t>
            </w:r>
          </w:p>
        </w:tc>
        <w:tc>
          <w:tcPr>
            <w:tcW w:w="2600" w:type="dxa"/>
            <w:tcBorders>
              <w:top w:val="nil"/>
              <w:left w:val="single" w:sz="4" w:space="0" w:color="808080"/>
              <w:bottom w:val="single" w:sz="4" w:space="0" w:color="808080"/>
              <w:right w:val="single" w:sz="4" w:space="0" w:color="808080"/>
            </w:tcBorders>
            <w:shd w:val="clear" w:color="auto" w:fill="auto"/>
            <w:noWrap/>
            <w:vAlign w:val="center"/>
            <w:hideMark/>
          </w:tcPr>
          <w:p w14:paraId="5367183D" w14:textId="77777777" w:rsidR="00055209" w:rsidRPr="00055209" w:rsidRDefault="00055209" w:rsidP="00055209">
            <w:pPr>
              <w:jc w:val="center"/>
              <w:rPr>
                <w:rFonts w:ascii="Book Antiqua" w:hAnsi="Book Antiqua" w:cs="Calibri"/>
                <w:color w:val="000000"/>
                <w:sz w:val="16"/>
                <w:szCs w:val="16"/>
                <w:lang w:eastAsia="es-CR"/>
              </w:rPr>
            </w:pPr>
            <w:r w:rsidRPr="00055209">
              <w:rPr>
                <w:rFonts w:ascii="Book Antiqua" w:hAnsi="Book Antiqua" w:cs="Calibri"/>
                <w:color w:val="000000"/>
                <w:sz w:val="16"/>
                <w:szCs w:val="16"/>
                <w:lang w:eastAsia="es-CR"/>
              </w:rPr>
              <w:t>119%</w:t>
            </w:r>
          </w:p>
        </w:tc>
      </w:tr>
      <w:tr w:rsidR="00055209" w:rsidRPr="00055209" w14:paraId="1F718C09" w14:textId="77777777" w:rsidTr="00055209">
        <w:trPr>
          <w:trHeight w:val="290"/>
          <w:jc w:val="center"/>
        </w:trPr>
        <w:tc>
          <w:tcPr>
            <w:tcW w:w="4140" w:type="dxa"/>
            <w:tcBorders>
              <w:top w:val="nil"/>
              <w:left w:val="single" w:sz="4" w:space="0" w:color="auto"/>
              <w:bottom w:val="single" w:sz="4" w:space="0" w:color="auto"/>
              <w:right w:val="single" w:sz="4" w:space="0" w:color="auto"/>
            </w:tcBorders>
            <w:shd w:val="clear" w:color="auto" w:fill="auto"/>
            <w:noWrap/>
            <w:vAlign w:val="center"/>
            <w:hideMark/>
          </w:tcPr>
          <w:p w14:paraId="368A6E1F" w14:textId="77777777" w:rsidR="00055209" w:rsidRPr="00055209" w:rsidRDefault="00055209" w:rsidP="00055209">
            <w:pPr>
              <w:rPr>
                <w:rFonts w:ascii="Book Antiqua" w:hAnsi="Book Antiqua" w:cs="Calibri"/>
                <w:sz w:val="16"/>
                <w:szCs w:val="16"/>
                <w:lang w:eastAsia="es-CR"/>
              </w:rPr>
            </w:pPr>
            <w:r w:rsidRPr="00055209">
              <w:rPr>
                <w:rFonts w:ascii="Book Antiqua" w:hAnsi="Book Antiqua" w:cs="Calibri"/>
                <w:sz w:val="16"/>
                <w:szCs w:val="16"/>
                <w:lang w:eastAsia="es-CR"/>
              </w:rPr>
              <w:t>Juzgado Ejecución de la Pena de Cartago</w:t>
            </w:r>
          </w:p>
        </w:tc>
        <w:tc>
          <w:tcPr>
            <w:tcW w:w="2600" w:type="dxa"/>
            <w:tcBorders>
              <w:top w:val="nil"/>
              <w:left w:val="single" w:sz="4" w:space="0" w:color="808080"/>
              <w:bottom w:val="single" w:sz="4" w:space="0" w:color="808080"/>
              <w:right w:val="single" w:sz="4" w:space="0" w:color="808080"/>
            </w:tcBorders>
            <w:shd w:val="clear" w:color="auto" w:fill="auto"/>
            <w:noWrap/>
            <w:vAlign w:val="center"/>
            <w:hideMark/>
          </w:tcPr>
          <w:p w14:paraId="77AF698F" w14:textId="77777777" w:rsidR="00055209" w:rsidRPr="00055209" w:rsidRDefault="00055209" w:rsidP="00055209">
            <w:pPr>
              <w:jc w:val="center"/>
              <w:rPr>
                <w:rFonts w:ascii="Book Antiqua" w:hAnsi="Book Antiqua" w:cs="Calibri"/>
                <w:color w:val="000000"/>
                <w:sz w:val="16"/>
                <w:szCs w:val="16"/>
                <w:lang w:eastAsia="es-CR"/>
              </w:rPr>
            </w:pPr>
            <w:r w:rsidRPr="00055209">
              <w:rPr>
                <w:rFonts w:ascii="Book Antiqua" w:hAnsi="Book Antiqua" w:cs="Calibri"/>
                <w:color w:val="000000"/>
                <w:sz w:val="16"/>
                <w:szCs w:val="16"/>
                <w:lang w:eastAsia="es-CR"/>
              </w:rPr>
              <w:t>111%</w:t>
            </w:r>
          </w:p>
        </w:tc>
      </w:tr>
      <w:tr w:rsidR="00055209" w:rsidRPr="00055209" w14:paraId="122ED01A" w14:textId="77777777" w:rsidTr="00055209">
        <w:trPr>
          <w:trHeight w:val="290"/>
          <w:jc w:val="center"/>
        </w:trPr>
        <w:tc>
          <w:tcPr>
            <w:tcW w:w="4140" w:type="dxa"/>
            <w:tcBorders>
              <w:top w:val="nil"/>
              <w:left w:val="single" w:sz="4" w:space="0" w:color="auto"/>
              <w:bottom w:val="single" w:sz="4" w:space="0" w:color="auto"/>
              <w:right w:val="single" w:sz="4" w:space="0" w:color="auto"/>
            </w:tcBorders>
            <w:shd w:val="clear" w:color="auto" w:fill="auto"/>
            <w:noWrap/>
            <w:vAlign w:val="center"/>
            <w:hideMark/>
          </w:tcPr>
          <w:p w14:paraId="6215FD20" w14:textId="77777777" w:rsidR="00055209" w:rsidRPr="00055209" w:rsidRDefault="00055209" w:rsidP="00055209">
            <w:pPr>
              <w:rPr>
                <w:rFonts w:ascii="Book Antiqua" w:hAnsi="Book Antiqua" w:cs="Calibri"/>
                <w:sz w:val="16"/>
                <w:szCs w:val="16"/>
                <w:lang w:eastAsia="es-CR"/>
              </w:rPr>
            </w:pPr>
            <w:r w:rsidRPr="00055209">
              <w:rPr>
                <w:rFonts w:ascii="Book Antiqua" w:hAnsi="Book Antiqua" w:cs="Calibri"/>
                <w:sz w:val="16"/>
                <w:szCs w:val="16"/>
                <w:lang w:eastAsia="es-CR"/>
              </w:rPr>
              <w:t>Juzgado Ejecución de la Pena de San José</w:t>
            </w:r>
          </w:p>
        </w:tc>
        <w:tc>
          <w:tcPr>
            <w:tcW w:w="2600" w:type="dxa"/>
            <w:tcBorders>
              <w:top w:val="nil"/>
              <w:left w:val="single" w:sz="4" w:space="0" w:color="808080"/>
              <w:bottom w:val="single" w:sz="4" w:space="0" w:color="808080"/>
              <w:right w:val="single" w:sz="4" w:space="0" w:color="808080"/>
            </w:tcBorders>
            <w:shd w:val="clear" w:color="auto" w:fill="auto"/>
            <w:noWrap/>
            <w:vAlign w:val="center"/>
            <w:hideMark/>
          </w:tcPr>
          <w:p w14:paraId="009C95E3" w14:textId="77777777" w:rsidR="00055209" w:rsidRPr="00055209" w:rsidRDefault="00055209" w:rsidP="00055209">
            <w:pPr>
              <w:jc w:val="center"/>
              <w:rPr>
                <w:rFonts w:ascii="Book Antiqua" w:hAnsi="Book Antiqua" w:cs="Calibri"/>
                <w:color w:val="000000"/>
                <w:sz w:val="16"/>
                <w:szCs w:val="16"/>
                <w:lang w:eastAsia="es-CR"/>
              </w:rPr>
            </w:pPr>
            <w:r w:rsidRPr="00055209">
              <w:rPr>
                <w:rFonts w:ascii="Book Antiqua" w:hAnsi="Book Antiqua" w:cs="Calibri"/>
                <w:color w:val="000000"/>
                <w:sz w:val="16"/>
                <w:szCs w:val="16"/>
                <w:lang w:eastAsia="es-CR"/>
              </w:rPr>
              <w:t>103%</w:t>
            </w:r>
          </w:p>
        </w:tc>
      </w:tr>
      <w:tr w:rsidR="00055209" w:rsidRPr="00055209" w14:paraId="61C30487" w14:textId="77777777" w:rsidTr="00055209">
        <w:trPr>
          <w:trHeight w:val="290"/>
          <w:jc w:val="center"/>
        </w:trPr>
        <w:tc>
          <w:tcPr>
            <w:tcW w:w="4140" w:type="dxa"/>
            <w:tcBorders>
              <w:top w:val="nil"/>
              <w:left w:val="single" w:sz="4" w:space="0" w:color="auto"/>
              <w:bottom w:val="single" w:sz="4" w:space="0" w:color="auto"/>
              <w:right w:val="single" w:sz="4" w:space="0" w:color="auto"/>
            </w:tcBorders>
            <w:shd w:val="clear" w:color="auto" w:fill="auto"/>
            <w:noWrap/>
            <w:vAlign w:val="center"/>
            <w:hideMark/>
          </w:tcPr>
          <w:p w14:paraId="28F2367C" w14:textId="77777777" w:rsidR="00055209" w:rsidRPr="00055209" w:rsidRDefault="00055209" w:rsidP="00055209">
            <w:pPr>
              <w:rPr>
                <w:rFonts w:ascii="Book Antiqua" w:hAnsi="Book Antiqua" w:cs="Calibri"/>
                <w:sz w:val="16"/>
                <w:szCs w:val="16"/>
                <w:lang w:eastAsia="es-CR"/>
              </w:rPr>
            </w:pPr>
            <w:r w:rsidRPr="00055209">
              <w:rPr>
                <w:rFonts w:ascii="Book Antiqua" w:hAnsi="Book Antiqua" w:cs="Calibri"/>
                <w:sz w:val="16"/>
                <w:szCs w:val="16"/>
                <w:lang w:eastAsia="es-CR"/>
              </w:rPr>
              <w:t>Juzgado Ejecución de la Pena de Alajuela</w:t>
            </w:r>
          </w:p>
        </w:tc>
        <w:tc>
          <w:tcPr>
            <w:tcW w:w="2600" w:type="dxa"/>
            <w:tcBorders>
              <w:top w:val="nil"/>
              <w:left w:val="single" w:sz="4" w:space="0" w:color="808080"/>
              <w:bottom w:val="single" w:sz="4" w:space="0" w:color="808080"/>
              <w:right w:val="single" w:sz="4" w:space="0" w:color="808080"/>
            </w:tcBorders>
            <w:shd w:val="clear" w:color="auto" w:fill="auto"/>
            <w:noWrap/>
            <w:vAlign w:val="center"/>
            <w:hideMark/>
          </w:tcPr>
          <w:p w14:paraId="6F210B7F" w14:textId="77777777" w:rsidR="00055209" w:rsidRPr="00055209" w:rsidRDefault="00055209" w:rsidP="00055209">
            <w:pPr>
              <w:jc w:val="center"/>
              <w:rPr>
                <w:rFonts w:ascii="Book Antiqua" w:hAnsi="Book Antiqua" w:cs="Calibri"/>
                <w:color w:val="000000"/>
                <w:sz w:val="16"/>
                <w:szCs w:val="16"/>
                <w:lang w:eastAsia="es-CR"/>
              </w:rPr>
            </w:pPr>
            <w:r w:rsidRPr="00055209">
              <w:rPr>
                <w:rFonts w:ascii="Book Antiqua" w:hAnsi="Book Antiqua" w:cs="Calibri"/>
                <w:color w:val="000000"/>
                <w:sz w:val="16"/>
                <w:szCs w:val="16"/>
                <w:lang w:eastAsia="es-CR"/>
              </w:rPr>
              <w:t>92%</w:t>
            </w:r>
          </w:p>
        </w:tc>
      </w:tr>
      <w:tr w:rsidR="00055209" w:rsidRPr="00055209" w14:paraId="38E2CDA4" w14:textId="77777777" w:rsidTr="00055209">
        <w:trPr>
          <w:trHeight w:val="290"/>
          <w:jc w:val="center"/>
        </w:trPr>
        <w:tc>
          <w:tcPr>
            <w:tcW w:w="4140" w:type="dxa"/>
            <w:tcBorders>
              <w:top w:val="nil"/>
              <w:left w:val="single" w:sz="4" w:space="0" w:color="auto"/>
              <w:bottom w:val="single" w:sz="4" w:space="0" w:color="auto"/>
              <w:right w:val="single" w:sz="4" w:space="0" w:color="auto"/>
            </w:tcBorders>
            <w:shd w:val="clear" w:color="auto" w:fill="auto"/>
            <w:noWrap/>
            <w:vAlign w:val="center"/>
            <w:hideMark/>
          </w:tcPr>
          <w:p w14:paraId="11919B2B" w14:textId="77777777" w:rsidR="00055209" w:rsidRPr="00055209" w:rsidRDefault="00055209" w:rsidP="00055209">
            <w:pPr>
              <w:rPr>
                <w:rFonts w:ascii="Book Antiqua" w:hAnsi="Book Antiqua" w:cs="Calibri"/>
                <w:sz w:val="16"/>
                <w:szCs w:val="16"/>
                <w:lang w:eastAsia="es-CR"/>
              </w:rPr>
            </w:pPr>
            <w:r w:rsidRPr="00055209">
              <w:rPr>
                <w:rFonts w:ascii="Book Antiqua" w:hAnsi="Book Antiqua" w:cs="Calibri"/>
                <w:sz w:val="16"/>
                <w:szCs w:val="16"/>
                <w:lang w:eastAsia="es-CR"/>
              </w:rPr>
              <w:t>Juzgado Ejecución de La Pena de Pococí</w:t>
            </w:r>
          </w:p>
        </w:tc>
        <w:tc>
          <w:tcPr>
            <w:tcW w:w="2600" w:type="dxa"/>
            <w:tcBorders>
              <w:top w:val="nil"/>
              <w:left w:val="single" w:sz="4" w:space="0" w:color="808080"/>
              <w:bottom w:val="single" w:sz="4" w:space="0" w:color="808080"/>
              <w:right w:val="single" w:sz="4" w:space="0" w:color="808080"/>
            </w:tcBorders>
            <w:shd w:val="clear" w:color="auto" w:fill="auto"/>
            <w:noWrap/>
            <w:vAlign w:val="center"/>
            <w:hideMark/>
          </w:tcPr>
          <w:p w14:paraId="19FA7838" w14:textId="77777777" w:rsidR="00055209" w:rsidRPr="00055209" w:rsidRDefault="00055209" w:rsidP="00055209">
            <w:pPr>
              <w:jc w:val="center"/>
              <w:rPr>
                <w:rFonts w:ascii="Book Antiqua" w:hAnsi="Book Antiqua" w:cs="Calibri"/>
                <w:color w:val="000000"/>
                <w:sz w:val="16"/>
                <w:szCs w:val="16"/>
                <w:lang w:eastAsia="es-CR"/>
              </w:rPr>
            </w:pPr>
            <w:r w:rsidRPr="00055209">
              <w:rPr>
                <w:rFonts w:ascii="Book Antiqua" w:hAnsi="Book Antiqua" w:cs="Calibri"/>
                <w:color w:val="000000"/>
                <w:sz w:val="16"/>
                <w:szCs w:val="16"/>
                <w:lang w:eastAsia="es-CR"/>
              </w:rPr>
              <w:t>84%</w:t>
            </w:r>
          </w:p>
        </w:tc>
      </w:tr>
      <w:tr w:rsidR="00055209" w:rsidRPr="00055209" w14:paraId="6EB16B7A" w14:textId="77777777" w:rsidTr="00055209">
        <w:trPr>
          <w:trHeight w:val="290"/>
          <w:jc w:val="center"/>
        </w:trPr>
        <w:tc>
          <w:tcPr>
            <w:tcW w:w="4140" w:type="dxa"/>
            <w:tcBorders>
              <w:top w:val="nil"/>
              <w:left w:val="single" w:sz="4" w:space="0" w:color="auto"/>
              <w:bottom w:val="single" w:sz="4" w:space="0" w:color="auto"/>
              <w:right w:val="single" w:sz="4" w:space="0" w:color="auto"/>
            </w:tcBorders>
            <w:shd w:val="clear" w:color="auto" w:fill="auto"/>
            <w:noWrap/>
            <w:vAlign w:val="center"/>
            <w:hideMark/>
          </w:tcPr>
          <w:p w14:paraId="6FF7E97D" w14:textId="77777777" w:rsidR="00055209" w:rsidRPr="00055209" w:rsidRDefault="00055209" w:rsidP="00055209">
            <w:pPr>
              <w:rPr>
                <w:rFonts w:ascii="Book Antiqua" w:hAnsi="Book Antiqua" w:cs="Calibri"/>
                <w:sz w:val="16"/>
                <w:szCs w:val="16"/>
                <w:lang w:eastAsia="es-CR"/>
              </w:rPr>
            </w:pPr>
            <w:r w:rsidRPr="00055209">
              <w:rPr>
                <w:rFonts w:ascii="Book Antiqua" w:hAnsi="Book Antiqua" w:cs="Calibri"/>
                <w:sz w:val="16"/>
                <w:szCs w:val="16"/>
                <w:lang w:eastAsia="es-CR"/>
              </w:rPr>
              <w:t>Juzgado Ejecución de La Pena de Puntarenas</w:t>
            </w:r>
          </w:p>
        </w:tc>
        <w:tc>
          <w:tcPr>
            <w:tcW w:w="2600" w:type="dxa"/>
            <w:tcBorders>
              <w:top w:val="nil"/>
              <w:left w:val="single" w:sz="4" w:space="0" w:color="808080"/>
              <w:bottom w:val="single" w:sz="4" w:space="0" w:color="808080"/>
              <w:right w:val="single" w:sz="4" w:space="0" w:color="808080"/>
            </w:tcBorders>
            <w:shd w:val="clear" w:color="auto" w:fill="auto"/>
            <w:noWrap/>
            <w:vAlign w:val="center"/>
            <w:hideMark/>
          </w:tcPr>
          <w:p w14:paraId="14C5433E" w14:textId="77777777" w:rsidR="00055209" w:rsidRPr="00055209" w:rsidRDefault="00055209" w:rsidP="00055209">
            <w:pPr>
              <w:jc w:val="center"/>
              <w:rPr>
                <w:rFonts w:ascii="Book Antiqua" w:hAnsi="Book Antiqua" w:cs="Calibri"/>
                <w:color w:val="000000"/>
                <w:sz w:val="16"/>
                <w:szCs w:val="16"/>
                <w:lang w:eastAsia="es-CR"/>
              </w:rPr>
            </w:pPr>
            <w:r w:rsidRPr="00055209">
              <w:rPr>
                <w:rFonts w:ascii="Book Antiqua" w:hAnsi="Book Antiqua" w:cs="Calibri"/>
                <w:color w:val="000000"/>
                <w:sz w:val="16"/>
                <w:szCs w:val="16"/>
                <w:lang w:eastAsia="es-CR"/>
              </w:rPr>
              <w:t>60%</w:t>
            </w:r>
          </w:p>
        </w:tc>
      </w:tr>
      <w:tr w:rsidR="00055209" w:rsidRPr="00055209" w14:paraId="767FA12B" w14:textId="77777777" w:rsidTr="00055209">
        <w:trPr>
          <w:trHeight w:val="290"/>
          <w:jc w:val="center"/>
        </w:trPr>
        <w:tc>
          <w:tcPr>
            <w:tcW w:w="4140" w:type="dxa"/>
            <w:tcBorders>
              <w:top w:val="nil"/>
              <w:left w:val="single" w:sz="4" w:space="0" w:color="auto"/>
              <w:bottom w:val="single" w:sz="4" w:space="0" w:color="auto"/>
              <w:right w:val="single" w:sz="4" w:space="0" w:color="auto"/>
            </w:tcBorders>
            <w:shd w:val="clear" w:color="auto" w:fill="auto"/>
            <w:noWrap/>
            <w:vAlign w:val="center"/>
            <w:hideMark/>
          </w:tcPr>
          <w:p w14:paraId="27750BE0" w14:textId="77777777" w:rsidR="00055209" w:rsidRPr="00055209" w:rsidRDefault="00055209" w:rsidP="00055209">
            <w:pPr>
              <w:rPr>
                <w:rFonts w:ascii="Book Antiqua" w:hAnsi="Book Antiqua" w:cs="Calibri"/>
                <w:sz w:val="16"/>
                <w:szCs w:val="16"/>
                <w:lang w:eastAsia="es-CR"/>
              </w:rPr>
            </w:pPr>
            <w:r w:rsidRPr="00055209">
              <w:rPr>
                <w:rFonts w:ascii="Book Antiqua" w:hAnsi="Book Antiqua" w:cs="Calibri"/>
                <w:sz w:val="16"/>
                <w:szCs w:val="16"/>
                <w:lang w:eastAsia="es-CR"/>
              </w:rPr>
              <w:t>Juzgado Ejecución de la Pena de Limón</w:t>
            </w:r>
          </w:p>
        </w:tc>
        <w:tc>
          <w:tcPr>
            <w:tcW w:w="2600" w:type="dxa"/>
            <w:tcBorders>
              <w:top w:val="nil"/>
              <w:left w:val="single" w:sz="4" w:space="0" w:color="808080"/>
              <w:bottom w:val="single" w:sz="4" w:space="0" w:color="808080"/>
              <w:right w:val="single" w:sz="4" w:space="0" w:color="808080"/>
            </w:tcBorders>
            <w:shd w:val="clear" w:color="auto" w:fill="auto"/>
            <w:noWrap/>
            <w:vAlign w:val="center"/>
            <w:hideMark/>
          </w:tcPr>
          <w:p w14:paraId="50556139" w14:textId="77777777" w:rsidR="00055209" w:rsidRPr="00055209" w:rsidRDefault="00055209" w:rsidP="00055209">
            <w:pPr>
              <w:jc w:val="center"/>
              <w:rPr>
                <w:rFonts w:ascii="Book Antiqua" w:hAnsi="Book Antiqua" w:cs="Calibri"/>
                <w:color w:val="000000"/>
                <w:sz w:val="16"/>
                <w:szCs w:val="16"/>
                <w:lang w:eastAsia="es-CR"/>
              </w:rPr>
            </w:pPr>
            <w:r w:rsidRPr="00055209">
              <w:rPr>
                <w:rFonts w:ascii="Book Antiqua" w:hAnsi="Book Antiqua" w:cs="Calibri"/>
                <w:color w:val="000000"/>
                <w:sz w:val="16"/>
                <w:szCs w:val="16"/>
                <w:lang w:eastAsia="es-CR"/>
              </w:rPr>
              <w:t>45%</w:t>
            </w:r>
          </w:p>
        </w:tc>
      </w:tr>
      <w:tr w:rsidR="00055209" w:rsidRPr="00055209" w14:paraId="02CA1232" w14:textId="77777777" w:rsidTr="00055209">
        <w:trPr>
          <w:trHeight w:val="290"/>
          <w:jc w:val="center"/>
        </w:trPr>
        <w:tc>
          <w:tcPr>
            <w:tcW w:w="414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956EA2E" w14:textId="77777777" w:rsidR="00055209" w:rsidRPr="00055209" w:rsidRDefault="00055209" w:rsidP="00055209">
            <w:pPr>
              <w:rPr>
                <w:rFonts w:ascii="Book Antiqua" w:hAnsi="Book Antiqua" w:cs="Calibri"/>
                <w:b/>
                <w:bCs/>
                <w:color w:val="000000"/>
                <w:sz w:val="16"/>
                <w:szCs w:val="16"/>
                <w:lang w:eastAsia="es-CR"/>
              </w:rPr>
            </w:pPr>
            <w:r w:rsidRPr="00055209">
              <w:rPr>
                <w:rFonts w:ascii="Book Antiqua" w:hAnsi="Book Antiqua" w:cs="Calibri"/>
                <w:b/>
                <w:bCs/>
                <w:color w:val="000000"/>
                <w:sz w:val="16"/>
                <w:szCs w:val="16"/>
                <w:lang w:eastAsia="es-CR"/>
              </w:rPr>
              <w:t>Promedio Global</w:t>
            </w:r>
          </w:p>
        </w:tc>
        <w:tc>
          <w:tcPr>
            <w:tcW w:w="2600" w:type="dxa"/>
            <w:tcBorders>
              <w:top w:val="nil"/>
              <w:left w:val="nil"/>
              <w:bottom w:val="single" w:sz="4" w:space="0" w:color="808080"/>
              <w:right w:val="single" w:sz="4" w:space="0" w:color="808080"/>
            </w:tcBorders>
            <w:shd w:val="clear" w:color="auto" w:fill="auto"/>
            <w:noWrap/>
            <w:vAlign w:val="center"/>
            <w:hideMark/>
          </w:tcPr>
          <w:p w14:paraId="3662AE6B" w14:textId="77777777" w:rsidR="00055209" w:rsidRPr="00055209" w:rsidRDefault="00055209" w:rsidP="00055209">
            <w:pPr>
              <w:jc w:val="center"/>
              <w:rPr>
                <w:rFonts w:ascii="Book Antiqua" w:hAnsi="Book Antiqua" w:cs="Calibri"/>
                <w:b/>
                <w:bCs/>
                <w:color w:val="000000"/>
                <w:sz w:val="16"/>
                <w:szCs w:val="16"/>
                <w:lang w:eastAsia="es-CR"/>
              </w:rPr>
            </w:pPr>
            <w:r w:rsidRPr="00055209">
              <w:rPr>
                <w:rFonts w:ascii="Book Antiqua" w:hAnsi="Book Antiqua" w:cs="Calibri"/>
                <w:b/>
                <w:bCs/>
                <w:color w:val="000000"/>
                <w:sz w:val="16"/>
                <w:szCs w:val="16"/>
                <w:lang w:eastAsia="es-CR"/>
              </w:rPr>
              <w:t>88%</w:t>
            </w:r>
          </w:p>
        </w:tc>
      </w:tr>
    </w:tbl>
    <w:p w14:paraId="3DD77751" w14:textId="0D83FCAD" w:rsidR="00055209" w:rsidRDefault="00055209" w:rsidP="00055209">
      <w:pPr>
        <w:spacing w:line="276" w:lineRule="auto"/>
        <w:jc w:val="center"/>
        <w:rPr>
          <w:rFonts w:ascii="Book Antiqua" w:hAnsi="Book Antiqua"/>
          <w:bCs/>
          <w:color w:val="000000" w:themeColor="text1"/>
        </w:rPr>
      </w:pPr>
      <w:r w:rsidRPr="00677475">
        <w:rPr>
          <w:rFonts w:ascii="Book Antiqua" w:hAnsi="Book Antiqua"/>
          <w:b/>
          <w:bCs/>
          <w:color w:val="000000" w:themeColor="text1"/>
          <w:sz w:val="20"/>
          <w:szCs w:val="20"/>
        </w:rPr>
        <w:t xml:space="preserve">Fuente: </w:t>
      </w:r>
      <w:r w:rsidRPr="00677475">
        <w:rPr>
          <w:rFonts w:ascii="Book Antiqua" w:hAnsi="Book Antiqua"/>
          <w:color w:val="000000" w:themeColor="text1"/>
          <w:sz w:val="20"/>
          <w:szCs w:val="20"/>
        </w:rPr>
        <w:t>Matriz de indicadores de Gestión</w:t>
      </w:r>
    </w:p>
    <w:p w14:paraId="12BD9183" w14:textId="77777777" w:rsidR="00055209" w:rsidRDefault="00055209" w:rsidP="00985591">
      <w:pPr>
        <w:spacing w:line="276" w:lineRule="auto"/>
        <w:rPr>
          <w:rFonts w:ascii="Book Antiqua" w:hAnsi="Book Antiqua"/>
          <w:bCs/>
          <w:color w:val="000000" w:themeColor="text1"/>
        </w:rPr>
      </w:pPr>
    </w:p>
    <w:p w14:paraId="20A7DF14" w14:textId="0E093832" w:rsidR="00133AD1" w:rsidRPr="008F2954" w:rsidRDefault="00133AD1" w:rsidP="00985591">
      <w:pPr>
        <w:spacing w:line="276" w:lineRule="auto"/>
        <w:rPr>
          <w:rFonts w:ascii="Book Antiqua" w:hAnsi="Book Antiqua"/>
          <w:bCs/>
          <w:color w:val="000000" w:themeColor="text1"/>
        </w:rPr>
      </w:pPr>
      <w:r w:rsidRPr="008F2954">
        <w:rPr>
          <w:rFonts w:ascii="Book Antiqua" w:hAnsi="Book Antiqua"/>
          <w:bCs/>
          <w:color w:val="000000" w:themeColor="text1"/>
        </w:rPr>
        <w:t>Con respecto a la firma de expedientes a continuación se puede ver el detalle:</w:t>
      </w:r>
    </w:p>
    <w:p w14:paraId="6325BFEE" w14:textId="77777777" w:rsidR="00133AD1" w:rsidRPr="00921892" w:rsidRDefault="00133AD1" w:rsidP="00985591">
      <w:pPr>
        <w:spacing w:line="276" w:lineRule="auto"/>
        <w:rPr>
          <w:rFonts w:ascii="Book Antiqua" w:hAnsi="Book Antiqua"/>
          <w:bCs/>
          <w:color w:val="000000" w:themeColor="text1"/>
          <w:highlight w:val="yellow"/>
        </w:rPr>
      </w:pPr>
    </w:p>
    <w:p w14:paraId="300AD3E3" w14:textId="64F2F1CB" w:rsidR="00133AD1" w:rsidRPr="00BF7F5F" w:rsidRDefault="00133AD1" w:rsidP="00BF7F5F">
      <w:pPr>
        <w:spacing w:line="276" w:lineRule="auto"/>
        <w:jc w:val="both"/>
        <w:rPr>
          <w:rFonts w:ascii="Book Antiqua" w:hAnsi="Book Antiqua"/>
          <w:bCs/>
          <w:color w:val="000000" w:themeColor="text1"/>
        </w:rPr>
      </w:pPr>
      <w:r w:rsidRPr="00B072D8">
        <w:rPr>
          <w:rFonts w:ascii="Book Antiqua" w:hAnsi="Book Antiqua"/>
          <w:bCs/>
          <w:color w:val="000000" w:themeColor="text1"/>
        </w:rPr>
        <w:t xml:space="preserve">Con base en el cuadro se aprecia que el </w:t>
      </w:r>
      <w:r w:rsidRPr="00B072D8">
        <w:rPr>
          <w:rFonts w:ascii="Book Antiqua" w:hAnsi="Book Antiqua" w:cs="Calibri"/>
          <w:color w:val="000000"/>
          <w:lang w:eastAsia="es-CR"/>
        </w:rPr>
        <w:t xml:space="preserve">Juzgado de Ejecución de la Pena de </w:t>
      </w:r>
      <w:r w:rsidR="0033474E" w:rsidRPr="00B072D8">
        <w:rPr>
          <w:rFonts w:ascii="Book Antiqua" w:hAnsi="Book Antiqua" w:cs="Calibri"/>
          <w:color w:val="000000"/>
          <w:lang w:eastAsia="es-CR"/>
        </w:rPr>
        <w:t>Alajuela</w:t>
      </w:r>
      <w:r w:rsidRPr="00B072D8">
        <w:rPr>
          <w:rFonts w:ascii="Book Antiqua" w:hAnsi="Book Antiqua" w:cs="Calibri"/>
          <w:color w:val="000000"/>
          <w:lang w:eastAsia="es-CR"/>
        </w:rPr>
        <w:t xml:space="preserve">, presenta el mayor rendimiento general con un </w:t>
      </w:r>
      <w:r w:rsidR="0033474E" w:rsidRPr="00B072D8">
        <w:rPr>
          <w:rFonts w:ascii="Book Antiqua" w:hAnsi="Book Antiqua" w:cs="Calibri"/>
          <w:color w:val="000000"/>
          <w:lang w:eastAsia="es-CR"/>
        </w:rPr>
        <w:t>260</w:t>
      </w:r>
      <w:r w:rsidRPr="00B072D8">
        <w:rPr>
          <w:rFonts w:ascii="Book Antiqua" w:hAnsi="Book Antiqua" w:cs="Calibri"/>
          <w:color w:val="000000"/>
          <w:lang w:eastAsia="es-CR"/>
        </w:rPr>
        <w:t xml:space="preserve">% de cumplimiento, en tanto, </w:t>
      </w:r>
      <w:r w:rsidR="0033474E" w:rsidRPr="00B072D8">
        <w:rPr>
          <w:rFonts w:ascii="Book Antiqua" w:hAnsi="Book Antiqua" w:cs="Calibri"/>
          <w:color w:val="000000"/>
          <w:lang w:eastAsia="es-CR"/>
        </w:rPr>
        <w:t>el Juzgado de Ejecución de la Pena del Primer Circuito Judicial de la Zona Atlántica (Limón)</w:t>
      </w:r>
      <w:r w:rsidR="00B072D8" w:rsidRPr="00B072D8">
        <w:rPr>
          <w:rFonts w:ascii="Book Antiqua" w:hAnsi="Book Antiqua" w:cs="Calibri"/>
          <w:color w:val="000000"/>
          <w:lang w:eastAsia="es-CR"/>
        </w:rPr>
        <w:t>,</w:t>
      </w:r>
      <w:r w:rsidR="0033474E" w:rsidRPr="00B072D8">
        <w:rPr>
          <w:rFonts w:ascii="Book Antiqua" w:hAnsi="Book Antiqua" w:cs="Calibri"/>
          <w:color w:val="000000"/>
          <w:lang w:eastAsia="es-CR"/>
        </w:rPr>
        <w:t xml:space="preserve"> </w:t>
      </w:r>
      <w:r w:rsidR="00B072D8">
        <w:rPr>
          <w:rFonts w:ascii="Book Antiqua" w:hAnsi="Book Antiqua" w:cs="Calibri"/>
          <w:color w:val="000000"/>
          <w:lang w:eastAsia="es-CR"/>
        </w:rPr>
        <w:t xml:space="preserve">obtiene rendimiento inferior a la cifra ideal con </w:t>
      </w:r>
      <w:r w:rsidRPr="00B072D8">
        <w:rPr>
          <w:rFonts w:ascii="Book Antiqua" w:hAnsi="Book Antiqua" w:cs="Calibri"/>
          <w:color w:val="000000"/>
          <w:lang w:eastAsia="es-CR"/>
        </w:rPr>
        <w:t xml:space="preserve">un </w:t>
      </w:r>
      <w:r w:rsidR="00B072D8">
        <w:rPr>
          <w:rFonts w:ascii="Book Antiqua" w:hAnsi="Book Antiqua" w:cs="Calibri"/>
          <w:color w:val="000000"/>
          <w:lang w:eastAsia="es-CR"/>
        </w:rPr>
        <w:t>5</w:t>
      </w:r>
      <w:r w:rsidR="00033A2D">
        <w:rPr>
          <w:rFonts w:ascii="Book Antiqua" w:hAnsi="Book Antiqua" w:cs="Calibri"/>
          <w:color w:val="000000"/>
          <w:lang w:eastAsia="es-CR"/>
        </w:rPr>
        <w:t>1</w:t>
      </w:r>
      <w:r w:rsidRPr="00B072D8">
        <w:rPr>
          <w:rFonts w:ascii="Book Antiqua" w:hAnsi="Book Antiqua" w:cs="Calibri"/>
          <w:color w:val="000000"/>
          <w:lang w:eastAsia="es-CR"/>
        </w:rPr>
        <w:t xml:space="preserve">%. En términos generales los despachos analizados cumplen en un </w:t>
      </w:r>
      <w:r w:rsidR="00B072D8" w:rsidRPr="00B072D8">
        <w:rPr>
          <w:rFonts w:ascii="Book Antiqua" w:hAnsi="Book Antiqua" w:cs="Calibri"/>
          <w:color w:val="000000"/>
          <w:lang w:eastAsia="es-CR"/>
        </w:rPr>
        <w:t>1</w:t>
      </w:r>
      <w:r w:rsidR="00055209">
        <w:rPr>
          <w:rFonts w:ascii="Book Antiqua" w:hAnsi="Book Antiqua" w:cs="Calibri"/>
          <w:color w:val="000000"/>
          <w:lang w:eastAsia="es-CR"/>
        </w:rPr>
        <w:t>8</w:t>
      </w:r>
      <w:r w:rsidR="00B072D8" w:rsidRPr="00B072D8">
        <w:rPr>
          <w:rFonts w:ascii="Book Antiqua" w:hAnsi="Book Antiqua" w:cs="Calibri"/>
          <w:color w:val="000000"/>
          <w:lang w:eastAsia="es-CR"/>
        </w:rPr>
        <w:t>7</w:t>
      </w:r>
      <w:r w:rsidRPr="00B072D8">
        <w:rPr>
          <w:rFonts w:ascii="Book Antiqua" w:hAnsi="Book Antiqua" w:cs="Calibri"/>
          <w:color w:val="000000"/>
          <w:lang w:eastAsia="es-CR"/>
        </w:rPr>
        <w:t>%.</w:t>
      </w:r>
    </w:p>
    <w:p w14:paraId="100D1E80" w14:textId="77777777" w:rsidR="00055209" w:rsidRDefault="00055209" w:rsidP="00985591">
      <w:pPr>
        <w:spacing w:line="276" w:lineRule="auto"/>
        <w:rPr>
          <w:rFonts w:ascii="Book Antiqua" w:hAnsi="Book Antiqua"/>
          <w:b/>
          <w:color w:val="000000" w:themeColor="text1"/>
          <w:highlight w:val="green"/>
        </w:rPr>
      </w:pPr>
    </w:p>
    <w:p w14:paraId="2A6F8B00" w14:textId="34374467" w:rsidR="00133AD1" w:rsidRPr="00EC505D" w:rsidRDefault="00133AD1" w:rsidP="00985591">
      <w:pPr>
        <w:spacing w:line="276" w:lineRule="auto"/>
        <w:jc w:val="center"/>
        <w:rPr>
          <w:rFonts w:ascii="Book Antiqua" w:hAnsi="Book Antiqua"/>
          <w:b/>
          <w:color w:val="000000" w:themeColor="text1"/>
        </w:rPr>
      </w:pPr>
      <w:r w:rsidRPr="00EC505D">
        <w:rPr>
          <w:rFonts w:ascii="Book Antiqua" w:hAnsi="Book Antiqua"/>
          <w:b/>
          <w:color w:val="000000" w:themeColor="text1"/>
        </w:rPr>
        <w:t xml:space="preserve">Cuadro </w:t>
      </w:r>
      <w:r w:rsidR="0052233C">
        <w:rPr>
          <w:rFonts w:ascii="Book Antiqua" w:hAnsi="Book Antiqua"/>
          <w:b/>
          <w:color w:val="000000" w:themeColor="text1"/>
        </w:rPr>
        <w:t>60</w:t>
      </w:r>
    </w:p>
    <w:p w14:paraId="653273A7" w14:textId="7F1FCD9A" w:rsidR="00133AD1" w:rsidRDefault="00133AD1" w:rsidP="57A79FF7">
      <w:pPr>
        <w:spacing w:line="276" w:lineRule="auto"/>
        <w:jc w:val="center"/>
        <w:rPr>
          <w:rFonts w:ascii="Book Antiqua" w:hAnsi="Book Antiqua"/>
          <w:color w:val="000000" w:themeColor="text1"/>
        </w:rPr>
      </w:pPr>
      <w:r w:rsidRPr="00921892">
        <w:rPr>
          <w:rFonts w:ascii="Book Antiqua" w:hAnsi="Book Antiqua"/>
          <w:bCs/>
          <w:color w:val="000000" w:themeColor="text1"/>
        </w:rPr>
        <w:t xml:space="preserve">Cumplimiento del parámetro de producción teórico de firma de </w:t>
      </w:r>
      <w:r>
        <w:rPr>
          <w:rFonts w:ascii="Book Antiqua" w:hAnsi="Book Antiqua"/>
          <w:bCs/>
          <w:color w:val="000000" w:themeColor="text1"/>
        </w:rPr>
        <w:t>expedientes</w:t>
      </w:r>
      <w:r w:rsidRPr="00921892">
        <w:rPr>
          <w:rFonts w:ascii="Book Antiqua" w:hAnsi="Book Antiqua"/>
          <w:bCs/>
          <w:color w:val="000000" w:themeColor="text1"/>
        </w:rPr>
        <w:t xml:space="preserve"> </w:t>
      </w:r>
    </w:p>
    <w:p w14:paraId="1434492F" w14:textId="5743AE4A" w:rsidR="00133AD1" w:rsidRDefault="00133AD1" w:rsidP="00985591">
      <w:pPr>
        <w:spacing w:line="276" w:lineRule="auto"/>
        <w:jc w:val="center"/>
        <w:rPr>
          <w:rFonts w:ascii="Book Antiqua" w:hAnsi="Book Antiqua"/>
          <w:bCs/>
          <w:color w:val="000000" w:themeColor="text1"/>
        </w:rPr>
      </w:pPr>
      <w:r>
        <w:rPr>
          <w:rFonts w:ascii="Book Antiqua" w:hAnsi="Book Antiqua"/>
          <w:bCs/>
          <w:color w:val="000000" w:themeColor="text1"/>
        </w:rPr>
        <w:t xml:space="preserve">de los </w:t>
      </w:r>
      <w:r w:rsidRPr="00921892">
        <w:rPr>
          <w:rFonts w:ascii="Book Antiqua" w:hAnsi="Book Antiqua"/>
          <w:bCs/>
          <w:color w:val="000000" w:themeColor="text1"/>
        </w:rPr>
        <w:t xml:space="preserve">Juzgados de Ejecución de la Penal durante </w:t>
      </w:r>
      <w:r w:rsidR="00B072D8">
        <w:rPr>
          <w:rFonts w:ascii="Book Antiqua" w:hAnsi="Book Antiqua"/>
          <w:bCs/>
          <w:color w:val="000000" w:themeColor="text1"/>
        </w:rPr>
        <w:t>julio</w:t>
      </w:r>
      <w:r w:rsidRPr="00921892">
        <w:rPr>
          <w:rFonts w:ascii="Book Antiqua" w:hAnsi="Book Antiqua"/>
          <w:bCs/>
          <w:color w:val="000000" w:themeColor="text1"/>
        </w:rPr>
        <w:t xml:space="preserve"> 2021</w:t>
      </w:r>
    </w:p>
    <w:tbl>
      <w:tblPr>
        <w:tblW w:w="7136" w:type="dxa"/>
        <w:jc w:val="center"/>
        <w:tblCellMar>
          <w:left w:w="70" w:type="dxa"/>
          <w:right w:w="70" w:type="dxa"/>
        </w:tblCellMar>
        <w:tblLook w:val="04A0" w:firstRow="1" w:lastRow="0" w:firstColumn="1" w:lastColumn="0" w:noHBand="0" w:noVBand="1"/>
      </w:tblPr>
      <w:tblGrid>
        <w:gridCol w:w="4636"/>
        <w:gridCol w:w="2500"/>
      </w:tblGrid>
      <w:tr w:rsidR="00055209" w:rsidRPr="00055209" w14:paraId="6246C066" w14:textId="77777777" w:rsidTr="00055209">
        <w:trPr>
          <w:trHeight w:val="780"/>
          <w:jc w:val="center"/>
        </w:trPr>
        <w:tc>
          <w:tcPr>
            <w:tcW w:w="4636" w:type="dxa"/>
            <w:tcBorders>
              <w:top w:val="single" w:sz="4" w:space="0" w:color="808080"/>
              <w:left w:val="single" w:sz="4" w:space="0" w:color="808080"/>
              <w:bottom w:val="single" w:sz="4" w:space="0" w:color="808080"/>
              <w:right w:val="single" w:sz="4" w:space="0" w:color="808080"/>
            </w:tcBorders>
            <w:shd w:val="clear" w:color="000000" w:fill="305496"/>
            <w:noWrap/>
            <w:vAlign w:val="center"/>
            <w:hideMark/>
          </w:tcPr>
          <w:p w14:paraId="03F90927" w14:textId="77777777" w:rsidR="00055209" w:rsidRPr="00055209" w:rsidRDefault="00055209" w:rsidP="00055209">
            <w:pPr>
              <w:jc w:val="center"/>
              <w:rPr>
                <w:rFonts w:ascii="Book Antiqua" w:hAnsi="Book Antiqua" w:cs="Calibri"/>
                <w:b/>
                <w:bCs/>
                <w:color w:val="FFFFFF"/>
                <w:sz w:val="16"/>
                <w:szCs w:val="16"/>
                <w:lang w:eastAsia="es-CR"/>
              </w:rPr>
            </w:pPr>
            <w:r w:rsidRPr="00055209">
              <w:rPr>
                <w:rFonts w:ascii="Book Antiqua" w:hAnsi="Book Antiqua" w:cs="Calibri"/>
                <w:b/>
                <w:bCs/>
                <w:color w:val="FFFFFF"/>
                <w:sz w:val="16"/>
                <w:szCs w:val="16"/>
                <w:lang w:eastAsia="es-CR"/>
              </w:rPr>
              <w:t>Oficina</w:t>
            </w:r>
          </w:p>
        </w:tc>
        <w:tc>
          <w:tcPr>
            <w:tcW w:w="2500" w:type="dxa"/>
            <w:tcBorders>
              <w:top w:val="single" w:sz="4" w:space="0" w:color="808080"/>
              <w:left w:val="nil"/>
              <w:bottom w:val="single" w:sz="4" w:space="0" w:color="808080"/>
              <w:right w:val="single" w:sz="4" w:space="0" w:color="808080"/>
            </w:tcBorders>
            <w:shd w:val="clear" w:color="000000" w:fill="305496"/>
            <w:vAlign w:val="center"/>
            <w:hideMark/>
          </w:tcPr>
          <w:p w14:paraId="03E0CDE0" w14:textId="77777777" w:rsidR="00055209" w:rsidRPr="00055209" w:rsidRDefault="00055209" w:rsidP="00055209">
            <w:pPr>
              <w:jc w:val="center"/>
              <w:rPr>
                <w:rFonts w:ascii="Book Antiqua" w:hAnsi="Book Antiqua" w:cs="Calibri"/>
                <w:b/>
                <w:bCs/>
                <w:color w:val="FFFFFF"/>
                <w:sz w:val="16"/>
                <w:szCs w:val="16"/>
                <w:lang w:eastAsia="es-CR"/>
              </w:rPr>
            </w:pPr>
            <w:r w:rsidRPr="00055209">
              <w:rPr>
                <w:rFonts w:ascii="Book Antiqua" w:hAnsi="Book Antiqua" w:cs="Calibri"/>
                <w:b/>
                <w:bCs/>
                <w:color w:val="FFFFFF"/>
                <w:sz w:val="16"/>
                <w:szCs w:val="16"/>
                <w:lang w:eastAsia="es-CR"/>
              </w:rPr>
              <w:t>Porcentaje cumplimiento cuota teórica de firma de resolución</w:t>
            </w:r>
          </w:p>
        </w:tc>
      </w:tr>
      <w:tr w:rsidR="00055209" w:rsidRPr="00055209" w14:paraId="28B1E7C1" w14:textId="77777777" w:rsidTr="00055209">
        <w:trPr>
          <w:trHeight w:val="290"/>
          <w:jc w:val="center"/>
        </w:trPr>
        <w:tc>
          <w:tcPr>
            <w:tcW w:w="4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4FE178" w14:textId="77777777" w:rsidR="00055209" w:rsidRPr="00055209" w:rsidRDefault="00055209" w:rsidP="00055209">
            <w:pPr>
              <w:rPr>
                <w:rFonts w:ascii="Book Antiqua" w:hAnsi="Book Antiqua" w:cs="Calibri"/>
                <w:sz w:val="16"/>
                <w:szCs w:val="16"/>
                <w:lang w:eastAsia="es-CR"/>
              </w:rPr>
            </w:pPr>
            <w:r w:rsidRPr="00055209">
              <w:rPr>
                <w:rFonts w:ascii="Book Antiqua" w:hAnsi="Book Antiqua" w:cs="Calibri"/>
                <w:sz w:val="16"/>
                <w:szCs w:val="16"/>
                <w:lang w:eastAsia="es-CR"/>
              </w:rPr>
              <w:t>Juzgado Ejecución de la Pena de Alajuela</w:t>
            </w:r>
          </w:p>
        </w:tc>
        <w:tc>
          <w:tcPr>
            <w:tcW w:w="2500" w:type="dxa"/>
            <w:tcBorders>
              <w:top w:val="nil"/>
              <w:left w:val="single" w:sz="4" w:space="0" w:color="808080"/>
              <w:bottom w:val="single" w:sz="4" w:space="0" w:color="808080"/>
              <w:right w:val="single" w:sz="4" w:space="0" w:color="808080"/>
            </w:tcBorders>
            <w:shd w:val="clear" w:color="auto" w:fill="auto"/>
            <w:noWrap/>
            <w:vAlign w:val="center"/>
            <w:hideMark/>
          </w:tcPr>
          <w:p w14:paraId="46899F52" w14:textId="77777777" w:rsidR="00055209" w:rsidRPr="00055209" w:rsidRDefault="00055209" w:rsidP="00055209">
            <w:pPr>
              <w:jc w:val="center"/>
              <w:rPr>
                <w:rFonts w:ascii="Book Antiqua" w:hAnsi="Book Antiqua" w:cs="Calibri"/>
                <w:color w:val="000000"/>
                <w:sz w:val="16"/>
                <w:szCs w:val="16"/>
                <w:lang w:eastAsia="es-CR"/>
              </w:rPr>
            </w:pPr>
            <w:r w:rsidRPr="00055209">
              <w:rPr>
                <w:rFonts w:ascii="Book Antiqua" w:hAnsi="Book Antiqua" w:cs="Calibri"/>
                <w:color w:val="000000"/>
                <w:sz w:val="16"/>
                <w:szCs w:val="16"/>
                <w:lang w:eastAsia="es-CR"/>
              </w:rPr>
              <w:t>260%</w:t>
            </w:r>
          </w:p>
        </w:tc>
      </w:tr>
      <w:tr w:rsidR="00055209" w:rsidRPr="00055209" w14:paraId="720037C9" w14:textId="77777777" w:rsidTr="00055209">
        <w:trPr>
          <w:trHeight w:val="290"/>
          <w:jc w:val="center"/>
        </w:trPr>
        <w:tc>
          <w:tcPr>
            <w:tcW w:w="4636" w:type="dxa"/>
            <w:tcBorders>
              <w:top w:val="nil"/>
              <w:left w:val="single" w:sz="4" w:space="0" w:color="auto"/>
              <w:bottom w:val="single" w:sz="4" w:space="0" w:color="auto"/>
              <w:right w:val="single" w:sz="4" w:space="0" w:color="auto"/>
            </w:tcBorders>
            <w:shd w:val="clear" w:color="auto" w:fill="auto"/>
            <w:noWrap/>
            <w:vAlign w:val="center"/>
            <w:hideMark/>
          </w:tcPr>
          <w:p w14:paraId="4C149E38" w14:textId="77777777" w:rsidR="00055209" w:rsidRPr="00055209" w:rsidRDefault="00055209" w:rsidP="00055209">
            <w:pPr>
              <w:rPr>
                <w:rFonts w:ascii="Book Antiqua" w:hAnsi="Book Antiqua" w:cs="Calibri"/>
                <w:sz w:val="16"/>
                <w:szCs w:val="16"/>
                <w:lang w:eastAsia="es-CR"/>
              </w:rPr>
            </w:pPr>
            <w:r w:rsidRPr="00055209">
              <w:rPr>
                <w:rFonts w:ascii="Book Antiqua" w:hAnsi="Book Antiqua" w:cs="Calibri"/>
                <w:sz w:val="16"/>
                <w:szCs w:val="16"/>
                <w:lang w:eastAsia="es-CR"/>
              </w:rPr>
              <w:t>Juzgado Ejecución de La Pena de Puntarenas</w:t>
            </w:r>
          </w:p>
        </w:tc>
        <w:tc>
          <w:tcPr>
            <w:tcW w:w="2500" w:type="dxa"/>
            <w:tcBorders>
              <w:top w:val="nil"/>
              <w:left w:val="single" w:sz="4" w:space="0" w:color="808080"/>
              <w:bottom w:val="single" w:sz="4" w:space="0" w:color="808080"/>
              <w:right w:val="single" w:sz="4" w:space="0" w:color="808080"/>
            </w:tcBorders>
            <w:shd w:val="clear" w:color="auto" w:fill="auto"/>
            <w:noWrap/>
            <w:vAlign w:val="center"/>
            <w:hideMark/>
          </w:tcPr>
          <w:p w14:paraId="4E06B2A5" w14:textId="77777777" w:rsidR="00055209" w:rsidRPr="00055209" w:rsidRDefault="00055209" w:rsidP="00055209">
            <w:pPr>
              <w:jc w:val="center"/>
              <w:rPr>
                <w:rFonts w:ascii="Book Antiqua" w:hAnsi="Book Antiqua" w:cs="Calibri"/>
                <w:color w:val="000000"/>
                <w:sz w:val="16"/>
                <w:szCs w:val="16"/>
                <w:lang w:eastAsia="es-CR"/>
              </w:rPr>
            </w:pPr>
            <w:r w:rsidRPr="00055209">
              <w:rPr>
                <w:rFonts w:ascii="Book Antiqua" w:hAnsi="Book Antiqua" w:cs="Calibri"/>
                <w:color w:val="000000"/>
                <w:sz w:val="16"/>
                <w:szCs w:val="16"/>
                <w:lang w:eastAsia="es-CR"/>
              </w:rPr>
              <w:t>368%</w:t>
            </w:r>
          </w:p>
        </w:tc>
      </w:tr>
      <w:tr w:rsidR="00055209" w:rsidRPr="00055209" w14:paraId="04776008" w14:textId="77777777" w:rsidTr="00055209">
        <w:trPr>
          <w:trHeight w:val="290"/>
          <w:jc w:val="center"/>
        </w:trPr>
        <w:tc>
          <w:tcPr>
            <w:tcW w:w="4636" w:type="dxa"/>
            <w:tcBorders>
              <w:top w:val="nil"/>
              <w:left w:val="single" w:sz="4" w:space="0" w:color="auto"/>
              <w:bottom w:val="single" w:sz="4" w:space="0" w:color="auto"/>
              <w:right w:val="single" w:sz="4" w:space="0" w:color="auto"/>
            </w:tcBorders>
            <w:shd w:val="clear" w:color="auto" w:fill="auto"/>
            <w:noWrap/>
            <w:vAlign w:val="center"/>
            <w:hideMark/>
          </w:tcPr>
          <w:p w14:paraId="0D68FDAD" w14:textId="77777777" w:rsidR="00055209" w:rsidRPr="00055209" w:rsidRDefault="00055209" w:rsidP="00055209">
            <w:pPr>
              <w:rPr>
                <w:rFonts w:ascii="Book Antiqua" w:hAnsi="Book Antiqua" w:cs="Calibri"/>
                <w:sz w:val="16"/>
                <w:szCs w:val="16"/>
                <w:lang w:eastAsia="es-CR"/>
              </w:rPr>
            </w:pPr>
            <w:r w:rsidRPr="00055209">
              <w:rPr>
                <w:rFonts w:ascii="Book Antiqua" w:hAnsi="Book Antiqua" w:cs="Calibri"/>
                <w:sz w:val="16"/>
                <w:szCs w:val="16"/>
                <w:lang w:eastAsia="es-CR"/>
              </w:rPr>
              <w:t>Juzgado Ejecución de La Pena de Liberia</w:t>
            </w:r>
          </w:p>
        </w:tc>
        <w:tc>
          <w:tcPr>
            <w:tcW w:w="2500" w:type="dxa"/>
            <w:tcBorders>
              <w:top w:val="nil"/>
              <w:left w:val="single" w:sz="4" w:space="0" w:color="808080"/>
              <w:bottom w:val="single" w:sz="4" w:space="0" w:color="808080"/>
              <w:right w:val="single" w:sz="4" w:space="0" w:color="808080"/>
            </w:tcBorders>
            <w:shd w:val="clear" w:color="auto" w:fill="auto"/>
            <w:noWrap/>
            <w:vAlign w:val="center"/>
            <w:hideMark/>
          </w:tcPr>
          <w:p w14:paraId="0FD89FCE" w14:textId="77777777" w:rsidR="00055209" w:rsidRPr="00055209" w:rsidRDefault="00055209" w:rsidP="00055209">
            <w:pPr>
              <w:jc w:val="center"/>
              <w:rPr>
                <w:rFonts w:ascii="Book Antiqua" w:hAnsi="Book Antiqua" w:cs="Calibri"/>
                <w:color w:val="000000"/>
                <w:sz w:val="16"/>
                <w:szCs w:val="16"/>
                <w:lang w:eastAsia="es-CR"/>
              </w:rPr>
            </w:pPr>
            <w:r w:rsidRPr="00055209">
              <w:rPr>
                <w:rFonts w:ascii="Book Antiqua" w:hAnsi="Book Antiqua" w:cs="Calibri"/>
                <w:color w:val="000000"/>
                <w:sz w:val="16"/>
                <w:szCs w:val="16"/>
                <w:lang w:eastAsia="es-CR"/>
              </w:rPr>
              <w:t>177%</w:t>
            </w:r>
          </w:p>
        </w:tc>
      </w:tr>
      <w:tr w:rsidR="00055209" w:rsidRPr="00055209" w14:paraId="0FB93329" w14:textId="77777777" w:rsidTr="00055209">
        <w:trPr>
          <w:trHeight w:val="290"/>
          <w:jc w:val="center"/>
        </w:trPr>
        <w:tc>
          <w:tcPr>
            <w:tcW w:w="4636" w:type="dxa"/>
            <w:tcBorders>
              <w:top w:val="nil"/>
              <w:left w:val="single" w:sz="4" w:space="0" w:color="auto"/>
              <w:bottom w:val="single" w:sz="4" w:space="0" w:color="auto"/>
              <w:right w:val="single" w:sz="4" w:space="0" w:color="auto"/>
            </w:tcBorders>
            <w:shd w:val="clear" w:color="auto" w:fill="auto"/>
            <w:noWrap/>
            <w:vAlign w:val="center"/>
            <w:hideMark/>
          </w:tcPr>
          <w:p w14:paraId="72ABBD3D" w14:textId="77777777" w:rsidR="00055209" w:rsidRPr="00055209" w:rsidRDefault="00055209" w:rsidP="00055209">
            <w:pPr>
              <w:rPr>
                <w:rFonts w:ascii="Book Antiqua" w:hAnsi="Book Antiqua" w:cs="Calibri"/>
                <w:sz w:val="16"/>
                <w:szCs w:val="16"/>
                <w:lang w:eastAsia="es-CR"/>
              </w:rPr>
            </w:pPr>
            <w:r w:rsidRPr="00055209">
              <w:rPr>
                <w:rFonts w:ascii="Book Antiqua" w:hAnsi="Book Antiqua" w:cs="Calibri"/>
                <w:sz w:val="16"/>
                <w:szCs w:val="16"/>
                <w:lang w:eastAsia="es-CR"/>
              </w:rPr>
              <w:t>Juzgado Ejecución de la Pena de San José</w:t>
            </w:r>
          </w:p>
        </w:tc>
        <w:tc>
          <w:tcPr>
            <w:tcW w:w="2500" w:type="dxa"/>
            <w:tcBorders>
              <w:top w:val="nil"/>
              <w:left w:val="single" w:sz="4" w:space="0" w:color="808080"/>
              <w:bottom w:val="single" w:sz="4" w:space="0" w:color="808080"/>
              <w:right w:val="single" w:sz="4" w:space="0" w:color="808080"/>
            </w:tcBorders>
            <w:shd w:val="clear" w:color="auto" w:fill="auto"/>
            <w:noWrap/>
            <w:vAlign w:val="center"/>
            <w:hideMark/>
          </w:tcPr>
          <w:p w14:paraId="4187BF0D" w14:textId="77777777" w:rsidR="00055209" w:rsidRPr="00055209" w:rsidRDefault="00055209" w:rsidP="00055209">
            <w:pPr>
              <w:jc w:val="center"/>
              <w:rPr>
                <w:rFonts w:ascii="Book Antiqua" w:hAnsi="Book Antiqua" w:cs="Calibri"/>
                <w:color w:val="000000"/>
                <w:sz w:val="16"/>
                <w:szCs w:val="16"/>
                <w:lang w:eastAsia="es-CR"/>
              </w:rPr>
            </w:pPr>
            <w:r w:rsidRPr="00055209">
              <w:rPr>
                <w:rFonts w:ascii="Book Antiqua" w:hAnsi="Book Antiqua" w:cs="Calibri"/>
                <w:color w:val="000000"/>
                <w:sz w:val="16"/>
                <w:szCs w:val="16"/>
                <w:lang w:eastAsia="es-CR"/>
              </w:rPr>
              <w:t>168%</w:t>
            </w:r>
          </w:p>
        </w:tc>
      </w:tr>
      <w:tr w:rsidR="00055209" w:rsidRPr="00055209" w14:paraId="63F2B325" w14:textId="77777777" w:rsidTr="00055209">
        <w:trPr>
          <w:trHeight w:val="290"/>
          <w:jc w:val="center"/>
        </w:trPr>
        <w:tc>
          <w:tcPr>
            <w:tcW w:w="4636" w:type="dxa"/>
            <w:tcBorders>
              <w:top w:val="nil"/>
              <w:left w:val="single" w:sz="4" w:space="0" w:color="auto"/>
              <w:bottom w:val="single" w:sz="4" w:space="0" w:color="auto"/>
              <w:right w:val="single" w:sz="4" w:space="0" w:color="auto"/>
            </w:tcBorders>
            <w:shd w:val="clear" w:color="auto" w:fill="auto"/>
            <w:noWrap/>
            <w:vAlign w:val="center"/>
            <w:hideMark/>
          </w:tcPr>
          <w:p w14:paraId="4EEC72C7" w14:textId="77777777" w:rsidR="00055209" w:rsidRPr="00055209" w:rsidRDefault="00055209" w:rsidP="00055209">
            <w:pPr>
              <w:rPr>
                <w:rFonts w:ascii="Book Antiqua" w:hAnsi="Book Antiqua" w:cs="Calibri"/>
                <w:sz w:val="16"/>
                <w:szCs w:val="16"/>
                <w:lang w:eastAsia="es-CR"/>
              </w:rPr>
            </w:pPr>
            <w:r w:rsidRPr="00055209">
              <w:rPr>
                <w:rFonts w:ascii="Book Antiqua" w:hAnsi="Book Antiqua" w:cs="Calibri"/>
                <w:sz w:val="16"/>
                <w:szCs w:val="16"/>
                <w:lang w:eastAsia="es-CR"/>
              </w:rPr>
              <w:t>Juzgado Ejecución de La Pena de Pococí</w:t>
            </w:r>
          </w:p>
        </w:tc>
        <w:tc>
          <w:tcPr>
            <w:tcW w:w="2500" w:type="dxa"/>
            <w:tcBorders>
              <w:top w:val="nil"/>
              <w:left w:val="single" w:sz="4" w:space="0" w:color="808080"/>
              <w:bottom w:val="single" w:sz="4" w:space="0" w:color="808080"/>
              <w:right w:val="single" w:sz="4" w:space="0" w:color="808080"/>
            </w:tcBorders>
            <w:shd w:val="clear" w:color="auto" w:fill="auto"/>
            <w:noWrap/>
            <w:vAlign w:val="center"/>
            <w:hideMark/>
          </w:tcPr>
          <w:p w14:paraId="5FFC0FB0" w14:textId="77777777" w:rsidR="00055209" w:rsidRPr="00055209" w:rsidRDefault="00055209" w:rsidP="00055209">
            <w:pPr>
              <w:jc w:val="center"/>
              <w:rPr>
                <w:rFonts w:ascii="Book Antiqua" w:hAnsi="Book Antiqua" w:cs="Calibri"/>
                <w:color w:val="000000"/>
                <w:sz w:val="16"/>
                <w:szCs w:val="16"/>
                <w:lang w:eastAsia="es-CR"/>
              </w:rPr>
            </w:pPr>
            <w:r w:rsidRPr="00055209">
              <w:rPr>
                <w:rFonts w:ascii="Book Antiqua" w:hAnsi="Book Antiqua" w:cs="Calibri"/>
                <w:color w:val="000000"/>
                <w:sz w:val="16"/>
                <w:szCs w:val="16"/>
                <w:lang w:eastAsia="es-CR"/>
              </w:rPr>
              <w:t>160%</w:t>
            </w:r>
          </w:p>
        </w:tc>
      </w:tr>
      <w:tr w:rsidR="00055209" w:rsidRPr="00055209" w14:paraId="3541B4DF" w14:textId="77777777" w:rsidTr="00055209">
        <w:trPr>
          <w:trHeight w:val="290"/>
          <w:jc w:val="center"/>
        </w:trPr>
        <w:tc>
          <w:tcPr>
            <w:tcW w:w="4636" w:type="dxa"/>
            <w:tcBorders>
              <w:top w:val="nil"/>
              <w:left w:val="single" w:sz="4" w:space="0" w:color="auto"/>
              <w:bottom w:val="single" w:sz="4" w:space="0" w:color="auto"/>
              <w:right w:val="single" w:sz="4" w:space="0" w:color="auto"/>
            </w:tcBorders>
            <w:shd w:val="clear" w:color="auto" w:fill="auto"/>
            <w:noWrap/>
            <w:vAlign w:val="center"/>
            <w:hideMark/>
          </w:tcPr>
          <w:p w14:paraId="70CF74F8" w14:textId="77777777" w:rsidR="00055209" w:rsidRPr="00055209" w:rsidRDefault="00055209" w:rsidP="00055209">
            <w:pPr>
              <w:rPr>
                <w:rFonts w:ascii="Book Antiqua" w:hAnsi="Book Antiqua" w:cs="Calibri"/>
                <w:sz w:val="16"/>
                <w:szCs w:val="16"/>
                <w:lang w:eastAsia="es-CR"/>
              </w:rPr>
            </w:pPr>
            <w:r w:rsidRPr="00055209">
              <w:rPr>
                <w:rFonts w:ascii="Book Antiqua" w:hAnsi="Book Antiqua" w:cs="Calibri"/>
                <w:sz w:val="16"/>
                <w:szCs w:val="16"/>
                <w:lang w:eastAsia="es-CR"/>
              </w:rPr>
              <w:t>Juzgado Ejecución de la Pena de Cartago</w:t>
            </w:r>
          </w:p>
        </w:tc>
        <w:tc>
          <w:tcPr>
            <w:tcW w:w="2500" w:type="dxa"/>
            <w:tcBorders>
              <w:top w:val="nil"/>
              <w:left w:val="single" w:sz="4" w:space="0" w:color="808080"/>
              <w:bottom w:val="single" w:sz="4" w:space="0" w:color="808080"/>
              <w:right w:val="single" w:sz="4" w:space="0" w:color="808080"/>
            </w:tcBorders>
            <w:shd w:val="clear" w:color="auto" w:fill="auto"/>
            <w:noWrap/>
            <w:vAlign w:val="center"/>
            <w:hideMark/>
          </w:tcPr>
          <w:p w14:paraId="61C748D3" w14:textId="77777777" w:rsidR="00055209" w:rsidRPr="00055209" w:rsidRDefault="00055209" w:rsidP="00055209">
            <w:pPr>
              <w:jc w:val="center"/>
              <w:rPr>
                <w:rFonts w:ascii="Book Antiqua" w:hAnsi="Book Antiqua" w:cs="Calibri"/>
                <w:color w:val="000000"/>
                <w:sz w:val="16"/>
                <w:szCs w:val="16"/>
                <w:lang w:eastAsia="es-CR"/>
              </w:rPr>
            </w:pPr>
            <w:r w:rsidRPr="00055209">
              <w:rPr>
                <w:rFonts w:ascii="Book Antiqua" w:hAnsi="Book Antiqua" w:cs="Calibri"/>
                <w:color w:val="000000"/>
                <w:sz w:val="16"/>
                <w:szCs w:val="16"/>
                <w:lang w:eastAsia="es-CR"/>
              </w:rPr>
              <w:t>125%</w:t>
            </w:r>
          </w:p>
        </w:tc>
      </w:tr>
      <w:tr w:rsidR="00055209" w:rsidRPr="00055209" w14:paraId="56C70536" w14:textId="77777777" w:rsidTr="00055209">
        <w:trPr>
          <w:trHeight w:val="290"/>
          <w:jc w:val="center"/>
        </w:trPr>
        <w:tc>
          <w:tcPr>
            <w:tcW w:w="4636" w:type="dxa"/>
            <w:tcBorders>
              <w:top w:val="nil"/>
              <w:left w:val="single" w:sz="4" w:space="0" w:color="auto"/>
              <w:bottom w:val="single" w:sz="4" w:space="0" w:color="auto"/>
              <w:right w:val="single" w:sz="4" w:space="0" w:color="auto"/>
            </w:tcBorders>
            <w:shd w:val="clear" w:color="auto" w:fill="auto"/>
            <w:noWrap/>
            <w:vAlign w:val="center"/>
            <w:hideMark/>
          </w:tcPr>
          <w:p w14:paraId="34C4B045" w14:textId="77777777" w:rsidR="00055209" w:rsidRPr="00055209" w:rsidRDefault="00055209" w:rsidP="00055209">
            <w:pPr>
              <w:rPr>
                <w:rFonts w:ascii="Book Antiqua" w:hAnsi="Book Antiqua" w:cs="Calibri"/>
                <w:sz w:val="16"/>
                <w:szCs w:val="16"/>
                <w:lang w:eastAsia="es-CR"/>
              </w:rPr>
            </w:pPr>
            <w:r w:rsidRPr="00055209">
              <w:rPr>
                <w:rFonts w:ascii="Book Antiqua" w:hAnsi="Book Antiqua" w:cs="Calibri"/>
                <w:sz w:val="16"/>
                <w:szCs w:val="16"/>
                <w:lang w:eastAsia="es-CR"/>
              </w:rPr>
              <w:t>Juzgado Ejecución de la Pena de Limón</w:t>
            </w:r>
          </w:p>
        </w:tc>
        <w:tc>
          <w:tcPr>
            <w:tcW w:w="2500" w:type="dxa"/>
            <w:tcBorders>
              <w:top w:val="nil"/>
              <w:left w:val="single" w:sz="4" w:space="0" w:color="808080"/>
              <w:bottom w:val="single" w:sz="4" w:space="0" w:color="808080"/>
              <w:right w:val="single" w:sz="4" w:space="0" w:color="808080"/>
            </w:tcBorders>
            <w:shd w:val="clear" w:color="auto" w:fill="auto"/>
            <w:noWrap/>
            <w:vAlign w:val="center"/>
            <w:hideMark/>
          </w:tcPr>
          <w:p w14:paraId="78AB1810" w14:textId="77777777" w:rsidR="00055209" w:rsidRPr="00055209" w:rsidRDefault="00055209" w:rsidP="00055209">
            <w:pPr>
              <w:jc w:val="center"/>
              <w:rPr>
                <w:rFonts w:ascii="Book Antiqua" w:hAnsi="Book Antiqua" w:cs="Calibri"/>
                <w:color w:val="000000"/>
                <w:sz w:val="16"/>
                <w:szCs w:val="16"/>
                <w:lang w:eastAsia="es-CR"/>
              </w:rPr>
            </w:pPr>
            <w:r w:rsidRPr="00055209">
              <w:rPr>
                <w:rFonts w:ascii="Book Antiqua" w:hAnsi="Book Antiqua" w:cs="Calibri"/>
                <w:color w:val="000000"/>
                <w:sz w:val="16"/>
                <w:szCs w:val="16"/>
                <w:lang w:eastAsia="es-CR"/>
              </w:rPr>
              <w:t>51%</w:t>
            </w:r>
          </w:p>
        </w:tc>
      </w:tr>
      <w:tr w:rsidR="00055209" w:rsidRPr="00055209" w14:paraId="41243E90" w14:textId="77777777" w:rsidTr="00055209">
        <w:trPr>
          <w:trHeight w:val="290"/>
          <w:jc w:val="center"/>
        </w:trPr>
        <w:tc>
          <w:tcPr>
            <w:tcW w:w="463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C1FDBEF" w14:textId="77777777" w:rsidR="00055209" w:rsidRPr="00055209" w:rsidRDefault="00055209" w:rsidP="00055209">
            <w:pPr>
              <w:rPr>
                <w:rFonts w:ascii="Book Antiqua" w:hAnsi="Book Antiqua" w:cs="Calibri"/>
                <w:b/>
                <w:bCs/>
                <w:color w:val="000000"/>
                <w:sz w:val="16"/>
                <w:szCs w:val="16"/>
                <w:lang w:eastAsia="es-CR"/>
              </w:rPr>
            </w:pPr>
            <w:r w:rsidRPr="00055209">
              <w:rPr>
                <w:rFonts w:ascii="Book Antiqua" w:hAnsi="Book Antiqua" w:cs="Calibri"/>
                <w:b/>
                <w:bCs/>
                <w:color w:val="000000"/>
                <w:sz w:val="16"/>
                <w:szCs w:val="16"/>
                <w:lang w:eastAsia="es-CR"/>
              </w:rPr>
              <w:t>Promedio Global</w:t>
            </w:r>
          </w:p>
        </w:tc>
        <w:tc>
          <w:tcPr>
            <w:tcW w:w="2500" w:type="dxa"/>
            <w:tcBorders>
              <w:top w:val="nil"/>
              <w:left w:val="nil"/>
              <w:bottom w:val="single" w:sz="4" w:space="0" w:color="808080"/>
              <w:right w:val="single" w:sz="4" w:space="0" w:color="808080"/>
            </w:tcBorders>
            <w:shd w:val="clear" w:color="auto" w:fill="auto"/>
            <w:noWrap/>
            <w:vAlign w:val="center"/>
            <w:hideMark/>
          </w:tcPr>
          <w:p w14:paraId="5D452834" w14:textId="77777777" w:rsidR="00055209" w:rsidRPr="00055209" w:rsidRDefault="00055209" w:rsidP="00055209">
            <w:pPr>
              <w:jc w:val="center"/>
              <w:rPr>
                <w:rFonts w:ascii="Book Antiqua" w:hAnsi="Book Antiqua" w:cs="Calibri"/>
                <w:b/>
                <w:bCs/>
                <w:color w:val="000000"/>
                <w:sz w:val="16"/>
                <w:szCs w:val="16"/>
                <w:lang w:eastAsia="es-CR"/>
              </w:rPr>
            </w:pPr>
            <w:r w:rsidRPr="00055209">
              <w:rPr>
                <w:rFonts w:ascii="Book Antiqua" w:hAnsi="Book Antiqua" w:cs="Calibri"/>
                <w:b/>
                <w:bCs/>
                <w:color w:val="000000"/>
                <w:sz w:val="16"/>
                <w:szCs w:val="16"/>
                <w:lang w:eastAsia="es-CR"/>
              </w:rPr>
              <w:t>187%</w:t>
            </w:r>
          </w:p>
        </w:tc>
      </w:tr>
    </w:tbl>
    <w:p w14:paraId="0D205022" w14:textId="77777777" w:rsidR="00133AD1" w:rsidRDefault="00133AD1" w:rsidP="00055209">
      <w:pPr>
        <w:spacing w:line="276" w:lineRule="auto"/>
        <w:jc w:val="center"/>
        <w:rPr>
          <w:rFonts w:ascii="Book Antiqua" w:hAnsi="Book Antiqua"/>
          <w:b/>
          <w:bCs/>
          <w:color w:val="000000" w:themeColor="text1"/>
          <w:sz w:val="20"/>
          <w:szCs w:val="20"/>
        </w:rPr>
      </w:pPr>
      <w:r w:rsidRPr="00677475">
        <w:rPr>
          <w:rFonts w:ascii="Book Antiqua" w:hAnsi="Book Antiqua"/>
          <w:b/>
          <w:bCs/>
          <w:color w:val="000000" w:themeColor="text1"/>
          <w:sz w:val="20"/>
          <w:szCs w:val="20"/>
        </w:rPr>
        <w:t xml:space="preserve">Fuente: </w:t>
      </w:r>
      <w:r w:rsidRPr="00677475">
        <w:rPr>
          <w:rFonts w:ascii="Book Antiqua" w:hAnsi="Book Antiqua"/>
          <w:color w:val="000000" w:themeColor="text1"/>
          <w:sz w:val="20"/>
          <w:szCs w:val="20"/>
        </w:rPr>
        <w:t>Matriz de indicadores de Gestión</w:t>
      </w:r>
    </w:p>
    <w:p w14:paraId="2BAEEF76" w14:textId="77777777" w:rsidR="00133AD1" w:rsidRPr="004F0E92" w:rsidRDefault="00133AD1" w:rsidP="00985591">
      <w:pPr>
        <w:spacing w:line="276" w:lineRule="auto"/>
        <w:jc w:val="both"/>
        <w:rPr>
          <w:rFonts w:ascii="Book Antiqua" w:hAnsi="Book Antiqua"/>
          <w:b/>
          <w:color w:val="000000" w:themeColor="text1"/>
        </w:rPr>
      </w:pPr>
    </w:p>
    <w:p w14:paraId="3DA709AE" w14:textId="77777777" w:rsidR="00133AD1" w:rsidRDefault="00133AD1" w:rsidP="00985591">
      <w:pPr>
        <w:spacing w:line="276" w:lineRule="auto"/>
        <w:jc w:val="both"/>
        <w:rPr>
          <w:rFonts w:ascii="Book Antiqua" w:hAnsi="Book Antiqua"/>
          <w:b/>
          <w:color w:val="000000" w:themeColor="text1"/>
        </w:rPr>
      </w:pPr>
    </w:p>
    <w:p w14:paraId="4C2B3BF1" w14:textId="68617945" w:rsidR="00133AD1" w:rsidRPr="00AA249F" w:rsidRDefault="68C0E9A7" w:rsidP="57A79FF7">
      <w:pPr>
        <w:spacing w:after="160" w:line="276" w:lineRule="auto"/>
        <w:contextualSpacing/>
        <w:rPr>
          <w:b/>
          <w:color w:val="000000" w:themeColor="text1"/>
        </w:rPr>
      </w:pPr>
      <w:r w:rsidRPr="57A79FF7">
        <w:rPr>
          <w:rFonts w:ascii="Book Antiqua" w:hAnsi="Book Antiqua"/>
          <w:b/>
          <w:bCs/>
          <w:color w:val="000000" w:themeColor="text1"/>
        </w:rPr>
        <w:t xml:space="preserve">6.2.5 </w:t>
      </w:r>
      <w:r w:rsidR="00133AD1" w:rsidRPr="00AA249F">
        <w:rPr>
          <w:rFonts w:ascii="Book Antiqua" w:hAnsi="Book Antiqua"/>
          <w:b/>
          <w:color w:val="000000" w:themeColor="text1"/>
        </w:rPr>
        <w:t>Tribunal de Apelación de la Sentencia Penal</w:t>
      </w:r>
    </w:p>
    <w:p w14:paraId="6DBFB2EA" w14:textId="637BEDB4" w:rsidR="57A79FF7" w:rsidRDefault="57A79FF7" w:rsidP="57A79FF7">
      <w:pPr>
        <w:spacing w:after="160" w:line="276" w:lineRule="auto"/>
        <w:rPr>
          <w:b/>
          <w:bCs/>
          <w:color w:val="000000" w:themeColor="text1"/>
        </w:rPr>
      </w:pPr>
    </w:p>
    <w:p w14:paraId="5EB737B8" w14:textId="77777777" w:rsidR="00834DD4" w:rsidRDefault="00834DD4" w:rsidP="00985591">
      <w:pPr>
        <w:spacing w:line="276" w:lineRule="auto"/>
        <w:jc w:val="both"/>
        <w:rPr>
          <w:rFonts w:ascii="Book Antiqua" w:hAnsi="Book Antiqua"/>
          <w:color w:val="000000" w:themeColor="text1"/>
        </w:rPr>
      </w:pPr>
      <w:r w:rsidRPr="00B053D3">
        <w:rPr>
          <w:rFonts w:ascii="Book Antiqua" w:hAnsi="Book Antiqua"/>
          <w:color w:val="000000" w:themeColor="text1"/>
        </w:rPr>
        <w:t>En sesión de Consejo Superior en sesión 100-20, celebrada el 20 de octubre del 2020, artículo XXXIX, aprobó el informe técnico 1351-PLA-OI-2020, relacionado con la revisión de las cuotas establecidas a los Tribunales de Apelación de Sentencia Penal, en el cual se estableció que el cálculo de cumplimiento mensual de la cuota de asuntos terminados por plaza de Jueza o Juez, sería con los datos históricos de cada despacho, por lo que a continuación se detalla la cuota esperada de asuntos terminados por Tribunal:</w:t>
      </w:r>
    </w:p>
    <w:p w14:paraId="54BCCB0B" w14:textId="77777777" w:rsidR="00BF7F5F" w:rsidRDefault="00BF7F5F">
      <w:pPr>
        <w:rPr>
          <w:rFonts w:ascii="Book Antiqua" w:hAnsi="Book Antiqua"/>
          <w:b/>
          <w:color w:val="000000" w:themeColor="text1"/>
          <w:highlight w:val="yellow"/>
        </w:rPr>
      </w:pPr>
      <w:r>
        <w:rPr>
          <w:rFonts w:ascii="Book Antiqua" w:hAnsi="Book Antiqua"/>
          <w:b/>
          <w:color w:val="000000" w:themeColor="text1"/>
          <w:highlight w:val="yellow"/>
        </w:rPr>
        <w:br w:type="page"/>
      </w:r>
    </w:p>
    <w:p w14:paraId="35E18787" w14:textId="5732D907" w:rsidR="00834DD4" w:rsidRDefault="00834DD4" w:rsidP="00985591">
      <w:pPr>
        <w:spacing w:line="276" w:lineRule="auto"/>
        <w:jc w:val="both"/>
        <w:rPr>
          <w:rFonts w:ascii="Book Antiqua" w:hAnsi="Book Antiqua"/>
          <w:b/>
          <w:color w:val="000000" w:themeColor="text1"/>
          <w:highlight w:val="yellow"/>
        </w:rPr>
      </w:pPr>
      <w:r w:rsidRPr="00982EF3">
        <w:rPr>
          <w:noProof/>
        </w:rPr>
        <w:drawing>
          <wp:anchor distT="0" distB="0" distL="114300" distR="114300" simplePos="0" relativeHeight="251658242" behindDoc="1" locked="0" layoutInCell="1" allowOverlap="1" wp14:anchorId="0476E965" wp14:editId="60E48941">
            <wp:simplePos x="0" y="0"/>
            <wp:positionH relativeFrom="margin">
              <wp:align>left</wp:align>
            </wp:positionH>
            <wp:positionV relativeFrom="paragraph">
              <wp:posOffset>211660</wp:posOffset>
            </wp:positionV>
            <wp:extent cx="5744210" cy="667385"/>
            <wp:effectExtent l="0" t="0" r="8890" b="0"/>
            <wp:wrapTight wrapText="bothSides">
              <wp:wrapPolygon edited="0">
                <wp:start x="0" y="0"/>
                <wp:lineTo x="0" y="20963"/>
                <wp:lineTo x="19270" y="20963"/>
                <wp:lineTo x="19914" y="19730"/>
                <wp:lineTo x="21562" y="12331"/>
                <wp:lineTo x="21562"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4210" cy="667385"/>
                    </a:xfrm>
                    <a:prstGeom prst="rect">
                      <a:avLst/>
                    </a:prstGeom>
                    <a:noFill/>
                    <a:ln>
                      <a:noFill/>
                    </a:ln>
                  </pic:spPr>
                </pic:pic>
              </a:graphicData>
            </a:graphic>
            <wp14:sizeRelH relativeFrom="margin">
              <wp14:pctWidth>0</wp14:pctWidth>
            </wp14:sizeRelH>
          </wp:anchor>
        </w:drawing>
      </w:r>
    </w:p>
    <w:p w14:paraId="28191F49" w14:textId="77777777" w:rsidR="00834DD4" w:rsidRPr="00F970F2" w:rsidRDefault="00834DD4" w:rsidP="00985591">
      <w:pPr>
        <w:spacing w:line="276" w:lineRule="auto"/>
        <w:jc w:val="both"/>
        <w:rPr>
          <w:rFonts w:ascii="Book Antiqua" w:hAnsi="Book Antiqua"/>
          <w:b/>
          <w:color w:val="000000" w:themeColor="text1"/>
          <w:highlight w:val="yellow"/>
        </w:rPr>
      </w:pPr>
    </w:p>
    <w:p w14:paraId="66D1F3CE" w14:textId="77777777" w:rsidR="00834DD4" w:rsidRDefault="00834DD4" w:rsidP="00985591">
      <w:pPr>
        <w:shd w:val="clear" w:color="auto" w:fill="FFFFFF"/>
        <w:spacing w:line="276" w:lineRule="auto"/>
        <w:jc w:val="both"/>
        <w:rPr>
          <w:rFonts w:ascii="Book Antiqua" w:hAnsi="Book Antiqua"/>
        </w:rPr>
      </w:pPr>
    </w:p>
    <w:p w14:paraId="1F832032" w14:textId="4FF2C414" w:rsidR="00834DD4" w:rsidRDefault="00834DD4" w:rsidP="00985591">
      <w:pPr>
        <w:shd w:val="clear" w:color="auto" w:fill="FFFFFF"/>
        <w:spacing w:line="276" w:lineRule="auto"/>
        <w:jc w:val="both"/>
        <w:rPr>
          <w:rFonts w:ascii="Book Antiqua" w:hAnsi="Book Antiqua"/>
        </w:rPr>
      </w:pPr>
      <w:r>
        <w:rPr>
          <w:rFonts w:ascii="Book Antiqua" w:hAnsi="Book Antiqua"/>
        </w:rPr>
        <w:t>A partir de las cuotas indicadas en el cuadro anterior, a continuación, se detalla el porcentaje de cumplimiento de estos despachos durante el mes de julio 2021:</w:t>
      </w:r>
    </w:p>
    <w:p w14:paraId="08298FE8" w14:textId="406400C9" w:rsidR="00133AD1" w:rsidRDefault="00133AD1" w:rsidP="00AC4A95">
      <w:pPr>
        <w:spacing w:line="276" w:lineRule="auto"/>
        <w:rPr>
          <w:rFonts w:ascii="Book Antiqua" w:hAnsi="Book Antiqua"/>
          <w:b/>
          <w:color w:val="000000" w:themeColor="text1"/>
        </w:rPr>
      </w:pPr>
    </w:p>
    <w:p w14:paraId="7F76ECBE" w14:textId="77777777" w:rsidR="00512DE1" w:rsidRDefault="00512DE1" w:rsidP="00AC4A95">
      <w:pPr>
        <w:spacing w:line="276" w:lineRule="auto"/>
        <w:rPr>
          <w:rFonts w:ascii="Book Antiqua" w:hAnsi="Book Antiqua"/>
          <w:b/>
          <w:color w:val="000000" w:themeColor="text1"/>
        </w:rPr>
      </w:pPr>
    </w:p>
    <w:p w14:paraId="3D827553" w14:textId="4E0BCCC9" w:rsidR="00133AD1" w:rsidRPr="00A86AC9" w:rsidRDefault="00133AD1" w:rsidP="00985591">
      <w:pPr>
        <w:spacing w:line="276" w:lineRule="auto"/>
        <w:jc w:val="center"/>
        <w:rPr>
          <w:rFonts w:ascii="Book Antiqua" w:hAnsi="Book Antiqua"/>
          <w:b/>
          <w:color w:val="000000" w:themeColor="text1"/>
        </w:rPr>
      </w:pPr>
      <w:r w:rsidRPr="00A86AC9">
        <w:rPr>
          <w:rFonts w:ascii="Book Antiqua" w:hAnsi="Book Antiqua"/>
          <w:b/>
          <w:color w:val="000000" w:themeColor="text1"/>
        </w:rPr>
        <w:t xml:space="preserve">Cuadro </w:t>
      </w:r>
      <w:r w:rsidR="00246242" w:rsidRPr="00A86AC9">
        <w:rPr>
          <w:rFonts w:ascii="Book Antiqua" w:hAnsi="Book Antiqua"/>
          <w:b/>
          <w:color w:val="000000" w:themeColor="text1"/>
        </w:rPr>
        <w:t>6</w:t>
      </w:r>
      <w:r w:rsidR="0052233C">
        <w:rPr>
          <w:rFonts w:ascii="Book Antiqua" w:hAnsi="Book Antiqua"/>
          <w:b/>
          <w:color w:val="000000" w:themeColor="text1"/>
        </w:rPr>
        <w:t>1</w:t>
      </w:r>
    </w:p>
    <w:p w14:paraId="50DBB3EA" w14:textId="77777777" w:rsidR="00133AD1" w:rsidRPr="00A86AC9" w:rsidRDefault="00133AD1" w:rsidP="00985591">
      <w:pPr>
        <w:spacing w:line="276" w:lineRule="auto"/>
        <w:jc w:val="center"/>
        <w:rPr>
          <w:rFonts w:ascii="Book Antiqua" w:hAnsi="Book Antiqua"/>
          <w:bCs/>
          <w:color w:val="000000" w:themeColor="text1"/>
        </w:rPr>
      </w:pPr>
      <w:r w:rsidRPr="00A86AC9">
        <w:rPr>
          <w:rFonts w:ascii="Book Antiqua" w:hAnsi="Book Antiqua"/>
          <w:bCs/>
          <w:color w:val="000000" w:themeColor="text1"/>
        </w:rPr>
        <w:t xml:space="preserve">Cumplimiento del parámetro de producción </w:t>
      </w:r>
    </w:p>
    <w:p w14:paraId="540F0DFA" w14:textId="11195E2A" w:rsidR="00133AD1" w:rsidRPr="00512DE1" w:rsidRDefault="00133AD1" w:rsidP="00512DE1">
      <w:pPr>
        <w:spacing w:line="276" w:lineRule="auto"/>
        <w:jc w:val="center"/>
        <w:rPr>
          <w:rFonts w:ascii="Book Antiqua" w:hAnsi="Book Antiqua"/>
          <w:bCs/>
          <w:color w:val="000000" w:themeColor="text1"/>
        </w:rPr>
      </w:pPr>
      <w:r w:rsidRPr="00A86AC9">
        <w:rPr>
          <w:rFonts w:ascii="Book Antiqua" w:hAnsi="Book Antiqua"/>
          <w:bCs/>
          <w:color w:val="000000" w:themeColor="text1"/>
        </w:rPr>
        <w:t xml:space="preserve">teórico de Tribunales de Apelación durante </w:t>
      </w:r>
      <w:r w:rsidR="00EA1730">
        <w:rPr>
          <w:rFonts w:ascii="Book Antiqua" w:hAnsi="Book Antiqua"/>
          <w:bCs/>
          <w:color w:val="000000" w:themeColor="text1"/>
        </w:rPr>
        <w:t>julio</w:t>
      </w:r>
      <w:r w:rsidRPr="00A86AC9">
        <w:rPr>
          <w:rFonts w:ascii="Book Antiqua" w:hAnsi="Book Antiqua"/>
          <w:bCs/>
          <w:color w:val="000000" w:themeColor="text1"/>
        </w:rPr>
        <w:t xml:space="preserve"> de 2021</w:t>
      </w:r>
    </w:p>
    <w:tbl>
      <w:tblPr>
        <w:tblW w:w="7230" w:type="dxa"/>
        <w:jc w:val="center"/>
        <w:tblCellMar>
          <w:left w:w="70" w:type="dxa"/>
          <w:right w:w="70" w:type="dxa"/>
        </w:tblCellMar>
        <w:tblLook w:val="04A0" w:firstRow="1" w:lastRow="0" w:firstColumn="1" w:lastColumn="0" w:noHBand="0" w:noVBand="1"/>
      </w:tblPr>
      <w:tblGrid>
        <w:gridCol w:w="5245"/>
        <w:gridCol w:w="1985"/>
      </w:tblGrid>
      <w:tr w:rsidR="00A86AC9" w:rsidRPr="00512DE1" w14:paraId="68CB9F1F" w14:textId="77777777" w:rsidTr="00A86AC9">
        <w:trPr>
          <w:trHeight w:val="780"/>
          <w:jc w:val="center"/>
        </w:trPr>
        <w:tc>
          <w:tcPr>
            <w:tcW w:w="5245" w:type="dxa"/>
            <w:tcBorders>
              <w:top w:val="single" w:sz="4" w:space="0" w:color="808080"/>
              <w:left w:val="single" w:sz="4" w:space="0" w:color="808080"/>
              <w:bottom w:val="single" w:sz="4" w:space="0" w:color="808080"/>
              <w:right w:val="single" w:sz="4" w:space="0" w:color="808080"/>
            </w:tcBorders>
            <w:shd w:val="clear" w:color="000000" w:fill="305496"/>
            <w:noWrap/>
            <w:vAlign w:val="center"/>
            <w:hideMark/>
          </w:tcPr>
          <w:p w14:paraId="319A9968" w14:textId="77777777" w:rsidR="00A86AC9" w:rsidRPr="00512DE1" w:rsidRDefault="00A86AC9" w:rsidP="00985591">
            <w:pPr>
              <w:spacing w:line="276" w:lineRule="auto"/>
              <w:jc w:val="center"/>
              <w:rPr>
                <w:rFonts w:ascii="Book Antiqua" w:hAnsi="Book Antiqua" w:cs="Calibri"/>
                <w:b/>
                <w:bCs/>
                <w:color w:val="FFFFFF"/>
                <w:sz w:val="16"/>
                <w:szCs w:val="16"/>
                <w:lang w:eastAsia="es-CR"/>
              </w:rPr>
            </w:pPr>
            <w:r w:rsidRPr="00512DE1">
              <w:rPr>
                <w:rFonts w:ascii="Book Antiqua" w:hAnsi="Book Antiqua" w:cs="Calibri"/>
                <w:b/>
                <w:bCs/>
                <w:color w:val="FFFFFF"/>
                <w:sz w:val="16"/>
                <w:szCs w:val="16"/>
                <w:lang w:eastAsia="es-CR"/>
              </w:rPr>
              <w:t>Oficina</w:t>
            </w:r>
          </w:p>
        </w:tc>
        <w:tc>
          <w:tcPr>
            <w:tcW w:w="1985" w:type="dxa"/>
            <w:tcBorders>
              <w:top w:val="single" w:sz="4" w:space="0" w:color="808080"/>
              <w:left w:val="nil"/>
              <w:bottom w:val="single" w:sz="4" w:space="0" w:color="808080"/>
              <w:right w:val="single" w:sz="4" w:space="0" w:color="808080"/>
            </w:tcBorders>
            <w:shd w:val="clear" w:color="000000" w:fill="305496"/>
            <w:vAlign w:val="center"/>
            <w:hideMark/>
          </w:tcPr>
          <w:p w14:paraId="12FC0154" w14:textId="77777777" w:rsidR="00A86AC9" w:rsidRPr="00512DE1" w:rsidRDefault="00A86AC9" w:rsidP="00985591">
            <w:pPr>
              <w:spacing w:line="276" w:lineRule="auto"/>
              <w:jc w:val="center"/>
              <w:rPr>
                <w:rFonts w:ascii="Book Antiqua" w:hAnsi="Book Antiqua" w:cs="Calibri"/>
                <w:b/>
                <w:bCs/>
                <w:color w:val="FFFFFF"/>
                <w:sz w:val="16"/>
                <w:szCs w:val="16"/>
                <w:lang w:eastAsia="es-CR"/>
              </w:rPr>
            </w:pPr>
            <w:r w:rsidRPr="00512DE1">
              <w:rPr>
                <w:rFonts w:ascii="Book Antiqua" w:hAnsi="Book Antiqua" w:cs="Calibri"/>
                <w:b/>
                <w:bCs/>
                <w:color w:val="FFFFFF"/>
                <w:sz w:val="16"/>
                <w:szCs w:val="16"/>
                <w:lang w:eastAsia="es-CR"/>
              </w:rPr>
              <w:t>Porcentaje cumplimiento cuota teórica</w:t>
            </w:r>
          </w:p>
        </w:tc>
      </w:tr>
      <w:tr w:rsidR="00A86AC9" w:rsidRPr="00512DE1" w14:paraId="2DAB0946" w14:textId="77777777" w:rsidTr="00A86AC9">
        <w:trPr>
          <w:trHeight w:val="290"/>
          <w:jc w:val="center"/>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A45D86" w14:textId="6478EFCB" w:rsidR="00A86AC9" w:rsidRPr="00512DE1" w:rsidRDefault="00A86AC9" w:rsidP="00985591">
            <w:pPr>
              <w:spacing w:line="276" w:lineRule="auto"/>
              <w:rPr>
                <w:rFonts w:ascii="Book Antiqua" w:hAnsi="Book Antiqua" w:cs="Calibri"/>
                <w:sz w:val="16"/>
                <w:szCs w:val="16"/>
                <w:lang w:eastAsia="es-CR"/>
              </w:rPr>
            </w:pPr>
            <w:r w:rsidRPr="00512DE1">
              <w:rPr>
                <w:rFonts w:ascii="Book Antiqua" w:hAnsi="Book Antiqua" w:cs="Calibri"/>
                <w:sz w:val="16"/>
                <w:szCs w:val="16"/>
                <w:lang w:eastAsia="es-CR"/>
              </w:rPr>
              <w:t>Tribunal de Apelación de Sentencia Penal de San Ramón</w:t>
            </w:r>
          </w:p>
        </w:tc>
        <w:tc>
          <w:tcPr>
            <w:tcW w:w="1985" w:type="dxa"/>
            <w:tcBorders>
              <w:top w:val="nil"/>
              <w:left w:val="single" w:sz="4" w:space="0" w:color="808080"/>
              <w:bottom w:val="single" w:sz="4" w:space="0" w:color="808080"/>
              <w:right w:val="single" w:sz="4" w:space="0" w:color="808080"/>
            </w:tcBorders>
            <w:shd w:val="clear" w:color="auto" w:fill="auto"/>
            <w:noWrap/>
            <w:vAlign w:val="center"/>
            <w:hideMark/>
          </w:tcPr>
          <w:p w14:paraId="4AA4C1C9" w14:textId="77777777" w:rsidR="00A86AC9" w:rsidRPr="00512DE1" w:rsidRDefault="00A86AC9" w:rsidP="00985591">
            <w:pPr>
              <w:spacing w:line="276" w:lineRule="auto"/>
              <w:jc w:val="center"/>
              <w:rPr>
                <w:rFonts w:ascii="Book Antiqua" w:hAnsi="Book Antiqua" w:cs="Calibri"/>
                <w:color w:val="000000"/>
                <w:sz w:val="16"/>
                <w:szCs w:val="16"/>
                <w:lang w:eastAsia="es-CR"/>
              </w:rPr>
            </w:pPr>
            <w:r w:rsidRPr="00512DE1">
              <w:rPr>
                <w:rFonts w:ascii="Book Antiqua" w:hAnsi="Book Antiqua" w:cs="Calibri"/>
                <w:color w:val="000000"/>
                <w:sz w:val="16"/>
                <w:szCs w:val="16"/>
                <w:lang w:eastAsia="es-CR"/>
              </w:rPr>
              <w:t>100%</w:t>
            </w:r>
          </w:p>
        </w:tc>
      </w:tr>
      <w:tr w:rsidR="00A86AC9" w:rsidRPr="00512DE1" w14:paraId="7140AAFA" w14:textId="77777777" w:rsidTr="00A86AC9">
        <w:trPr>
          <w:trHeight w:val="290"/>
          <w:jc w:val="center"/>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E0BBB6" w14:textId="3E170D70" w:rsidR="00A86AC9" w:rsidRPr="00512DE1" w:rsidRDefault="00A86AC9" w:rsidP="00985591">
            <w:pPr>
              <w:spacing w:line="276" w:lineRule="auto"/>
              <w:rPr>
                <w:rFonts w:ascii="Book Antiqua" w:hAnsi="Book Antiqua" w:cs="Calibri"/>
                <w:sz w:val="16"/>
                <w:szCs w:val="16"/>
                <w:lang w:eastAsia="es-CR"/>
              </w:rPr>
            </w:pPr>
            <w:r w:rsidRPr="00512DE1">
              <w:rPr>
                <w:rFonts w:ascii="Book Antiqua" w:hAnsi="Book Antiqua" w:cs="Calibri"/>
                <w:sz w:val="16"/>
                <w:szCs w:val="16"/>
                <w:lang w:eastAsia="es-CR"/>
              </w:rPr>
              <w:t>Tribunal de Apelación de Sentencia Penal de Cartago</w:t>
            </w:r>
          </w:p>
        </w:tc>
        <w:tc>
          <w:tcPr>
            <w:tcW w:w="1985" w:type="dxa"/>
            <w:tcBorders>
              <w:top w:val="nil"/>
              <w:left w:val="single" w:sz="4" w:space="0" w:color="808080"/>
              <w:bottom w:val="single" w:sz="4" w:space="0" w:color="808080"/>
              <w:right w:val="single" w:sz="4" w:space="0" w:color="808080"/>
            </w:tcBorders>
            <w:shd w:val="clear" w:color="auto" w:fill="auto"/>
            <w:noWrap/>
            <w:vAlign w:val="center"/>
          </w:tcPr>
          <w:p w14:paraId="2F8DE2C0" w14:textId="156B58AF" w:rsidR="00A86AC9" w:rsidRPr="00512DE1" w:rsidRDefault="00A86AC9" w:rsidP="00985591">
            <w:pPr>
              <w:spacing w:line="276" w:lineRule="auto"/>
              <w:jc w:val="center"/>
              <w:rPr>
                <w:rFonts w:ascii="Book Antiqua" w:hAnsi="Book Antiqua" w:cs="Calibri"/>
                <w:color w:val="000000"/>
                <w:sz w:val="16"/>
                <w:szCs w:val="16"/>
                <w:lang w:eastAsia="es-CR"/>
              </w:rPr>
            </w:pPr>
            <w:r w:rsidRPr="00512DE1">
              <w:rPr>
                <w:rFonts w:ascii="Book Antiqua" w:hAnsi="Book Antiqua" w:cs="Calibri"/>
                <w:color w:val="000000"/>
                <w:sz w:val="16"/>
                <w:szCs w:val="16"/>
                <w:lang w:eastAsia="es-CR"/>
              </w:rPr>
              <w:t>92%</w:t>
            </w:r>
          </w:p>
        </w:tc>
      </w:tr>
      <w:tr w:rsidR="00A86AC9" w:rsidRPr="00512DE1" w14:paraId="0DD7E6D6" w14:textId="77777777" w:rsidTr="00A86AC9">
        <w:trPr>
          <w:trHeight w:val="290"/>
          <w:jc w:val="center"/>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14:paraId="158F8053" w14:textId="62B98193" w:rsidR="00A86AC9" w:rsidRPr="00512DE1" w:rsidRDefault="00A86AC9" w:rsidP="00985591">
            <w:pPr>
              <w:spacing w:line="276" w:lineRule="auto"/>
              <w:rPr>
                <w:rFonts w:ascii="Book Antiqua" w:hAnsi="Book Antiqua" w:cs="Calibri"/>
                <w:sz w:val="16"/>
                <w:szCs w:val="16"/>
                <w:lang w:eastAsia="es-CR"/>
              </w:rPr>
            </w:pPr>
            <w:r w:rsidRPr="00512DE1">
              <w:rPr>
                <w:rFonts w:ascii="Book Antiqua" w:hAnsi="Book Antiqua" w:cs="Calibri"/>
                <w:sz w:val="16"/>
                <w:szCs w:val="16"/>
                <w:lang w:eastAsia="es-CR"/>
              </w:rPr>
              <w:t>Tribunal de Apelación de Sentencia Penal de Santa Cruz</w:t>
            </w:r>
          </w:p>
        </w:tc>
        <w:tc>
          <w:tcPr>
            <w:tcW w:w="1985" w:type="dxa"/>
            <w:tcBorders>
              <w:top w:val="nil"/>
              <w:left w:val="single" w:sz="4" w:space="0" w:color="808080"/>
              <w:bottom w:val="single" w:sz="4" w:space="0" w:color="808080"/>
              <w:right w:val="single" w:sz="4" w:space="0" w:color="808080"/>
            </w:tcBorders>
            <w:shd w:val="clear" w:color="auto" w:fill="auto"/>
            <w:noWrap/>
            <w:vAlign w:val="center"/>
            <w:hideMark/>
          </w:tcPr>
          <w:p w14:paraId="3D3AA4FA" w14:textId="77777777" w:rsidR="00A86AC9" w:rsidRPr="00512DE1" w:rsidRDefault="00A86AC9" w:rsidP="00985591">
            <w:pPr>
              <w:spacing w:line="276" w:lineRule="auto"/>
              <w:jc w:val="center"/>
              <w:rPr>
                <w:rFonts w:ascii="Book Antiqua" w:hAnsi="Book Antiqua" w:cs="Calibri"/>
                <w:color w:val="000000"/>
                <w:sz w:val="16"/>
                <w:szCs w:val="16"/>
                <w:lang w:eastAsia="es-CR"/>
              </w:rPr>
            </w:pPr>
            <w:r w:rsidRPr="00512DE1">
              <w:rPr>
                <w:rFonts w:ascii="Book Antiqua" w:hAnsi="Book Antiqua" w:cs="Calibri"/>
                <w:color w:val="000000"/>
                <w:sz w:val="16"/>
                <w:szCs w:val="16"/>
                <w:lang w:eastAsia="es-CR"/>
              </w:rPr>
              <w:t>83%</w:t>
            </w:r>
          </w:p>
        </w:tc>
      </w:tr>
      <w:tr w:rsidR="00A86AC9" w:rsidRPr="00512DE1" w14:paraId="08F8D0C9" w14:textId="77777777" w:rsidTr="00A86AC9">
        <w:trPr>
          <w:trHeight w:val="290"/>
          <w:jc w:val="center"/>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14:paraId="2EBF5551" w14:textId="7C185F89" w:rsidR="00A86AC9" w:rsidRPr="00512DE1" w:rsidRDefault="00A86AC9" w:rsidP="00985591">
            <w:pPr>
              <w:spacing w:line="276" w:lineRule="auto"/>
              <w:rPr>
                <w:rFonts w:ascii="Book Antiqua" w:hAnsi="Book Antiqua" w:cs="Calibri"/>
                <w:sz w:val="16"/>
                <w:szCs w:val="16"/>
                <w:lang w:eastAsia="es-CR"/>
              </w:rPr>
            </w:pPr>
            <w:r w:rsidRPr="00512DE1">
              <w:rPr>
                <w:rFonts w:ascii="Book Antiqua" w:hAnsi="Book Antiqua" w:cs="Calibri"/>
                <w:sz w:val="16"/>
                <w:szCs w:val="16"/>
                <w:lang w:eastAsia="es-CR"/>
              </w:rPr>
              <w:t>Tribunal de Apelación de Sentencia Penal de Goicochea</w:t>
            </w:r>
          </w:p>
        </w:tc>
        <w:tc>
          <w:tcPr>
            <w:tcW w:w="1985" w:type="dxa"/>
            <w:tcBorders>
              <w:top w:val="nil"/>
              <w:left w:val="single" w:sz="4" w:space="0" w:color="808080"/>
              <w:bottom w:val="single" w:sz="4" w:space="0" w:color="808080"/>
              <w:right w:val="single" w:sz="4" w:space="0" w:color="808080"/>
            </w:tcBorders>
            <w:shd w:val="clear" w:color="auto" w:fill="auto"/>
            <w:noWrap/>
            <w:vAlign w:val="center"/>
            <w:hideMark/>
          </w:tcPr>
          <w:p w14:paraId="7D38D964" w14:textId="020FF349" w:rsidR="00A86AC9" w:rsidRPr="00512DE1" w:rsidRDefault="00A86AC9" w:rsidP="00985591">
            <w:pPr>
              <w:spacing w:line="276" w:lineRule="auto"/>
              <w:jc w:val="center"/>
              <w:rPr>
                <w:rFonts w:ascii="Book Antiqua" w:hAnsi="Book Antiqua" w:cs="Calibri"/>
                <w:color w:val="000000"/>
                <w:sz w:val="16"/>
                <w:szCs w:val="16"/>
                <w:lang w:eastAsia="es-CR"/>
              </w:rPr>
            </w:pPr>
            <w:r w:rsidRPr="00512DE1">
              <w:rPr>
                <w:rFonts w:ascii="Book Antiqua" w:hAnsi="Book Antiqua" w:cs="Calibri"/>
                <w:color w:val="000000"/>
                <w:sz w:val="16"/>
                <w:szCs w:val="16"/>
                <w:lang w:eastAsia="es-CR"/>
              </w:rPr>
              <w:t>73%</w:t>
            </w:r>
          </w:p>
        </w:tc>
      </w:tr>
      <w:tr w:rsidR="00A86AC9" w:rsidRPr="00512DE1" w14:paraId="471EDB1F" w14:textId="77777777" w:rsidTr="00243F14">
        <w:trPr>
          <w:trHeight w:val="290"/>
          <w:jc w:val="center"/>
        </w:trPr>
        <w:tc>
          <w:tcPr>
            <w:tcW w:w="5245"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C6E6172" w14:textId="4D0D9D17" w:rsidR="00A86AC9" w:rsidRPr="00512DE1" w:rsidRDefault="00A86AC9" w:rsidP="00985591">
            <w:pPr>
              <w:spacing w:line="276" w:lineRule="auto"/>
              <w:rPr>
                <w:rFonts w:ascii="Book Antiqua" w:hAnsi="Book Antiqua" w:cs="Calibri"/>
                <w:sz w:val="16"/>
                <w:szCs w:val="16"/>
                <w:lang w:eastAsia="es-CR"/>
              </w:rPr>
            </w:pPr>
            <w:r w:rsidRPr="00512DE1">
              <w:rPr>
                <w:rFonts w:ascii="Book Antiqua" w:hAnsi="Book Antiqua" w:cs="Calibri"/>
                <w:b/>
                <w:bCs/>
                <w:color w:val="000000"/>
                <w:sz w:val="16"/>
                <w:szCs w:val="16"/>
                <w:lang w:eastAsia="es-CR"/>
              </w:rPr>
              <w:t>Promedio Global</w:t>
            </w:r>
          </w:p>
        </w:tc>
        <w:tc>
          <w:tcPr>
            <w:tcW w:w="1985" w:type="dxa"/>
            <w:tcBorders>
              <w:top w:val="nil"/>
              <w:left w:val="nil"/>
              <w:bottom w:val="single" w:sz="4" w:space="0" w:color="808080"/>
              <w:right w:val="single" w:sz="4" w:space="0" w:color="808080"/>
            </w:tcBorders>
            <w:shd w:val="clear" w:color="auto" w:fill="auto"/>
            <w:noWrap/>
            <w:vAlign w:val="center"/>
            <w:hideMark/>
          </w:tcPr>
          <w:p w14:paraId="419D359F" w14:textId="25445D32" w:rsidR="00A86AC9" w:rsidRPr="00512DE1" w:rsidRDefault="00A86AC9" w:rsidP="00985591">
            <w:pPr>
              <w:spacing w:line="276" w:lineRule="auto"/>
              <w:jc w:val="center"/>
              <w:rPr>
                <w:rFonts w:ascii="Book Antiqua" w:hAnsi="Book Antiqua" w:cs="Calibri"/>
                <w:color w:val="000000"/>
                <w:sz w:val="16"/>
                <w:szCs w:val="16"/>
                <w:lang w:eastAsia="es-CR"/>
              </w:rPr>
            </w:pPr>
            <w:r w:rsidRPr="00512DE1">
              <w:rPr>
                <w:rFonts w:ascii="Book Antiqua" w:hAnsi="Book Antiqua" w:cs="Calibri"/>
                <w:b/>
                <w:bCs/>
                <w:color w:val="000000"/>
                <w:sz w:val="16"/>
                <w:szCs w:val="16"/>
                <w:lang w:eastAsia="es-CR"/>
              </w:rPr>
              <w:t>87%</w:t>
            </w:r>
          </w:p>
        </w:tc>
      </w:tr>
    </w:tbl>
    <w:p w14:paraId="18E33D2C" w14:textId="77777777" w:rsidR="00EA1730" w:rsidRDefault="00EA1730" w:rsidP="00985591">
      <w:pPr>
        <w:spacing w:line="276" w:lineRule="auto"/>
        <w:jc w:val="center"/>
        <w:rPr>
          <w:rFonts w:ascii="Book Antiqua" w:hAnsi="Book Antiqua"/>
          <w:color w:val="000000" w:themeColor="text1"/>
          <w:sz w:val="20"/>
          <w:szCs w:val="20"/>
        </w:rPr>
      </w:pPr>
      <w:r w:rsidRPr="0013210E">
        <w:rPr>
          <w:rFonts w:ascii="Book Antiqua" w:hAnsi="Book Antiqua"/>
          <w:b/>
          <w:bCs/>
          <w:color w:val="000000"/>
          <w:sz w:val="20"/>
          <w:szCs w:val="20"/>
        </w:rPr>
        <w:t>Fuente:</w:t>
      </w:r>
      <w:r w:rsidRPr="00DE41EA">
        <w:rPr>
          <w:rFonts w:ascii="Book Antiqua" w:hAnsi="Book Antiqua"/>
          <w:color w:val="000000"/>
          <w:sz w:val="20"/>
          <w:szCs w:val="20"/>
        </w:rPr>
        <w:t xml:space="preserve"> </w:t>
      </w:r>
      <w:r w:rsidRPr="002754DF">
        <w:rPr>
          <w:rFonts w:ascii="Book Antiqua" w:hAnsi="Book Antiqua"/>
          <w:color w:val="000000" w:themeColor="text1"/>
          <w:sz w:val="20"/>
          <w:szCs w:val="20"/>
        </w:rPr>
        <w:t>Elaboración propia a partir de datos suministrados por despachos según circular 61-2020</w:t>
      </w:r>
    </w:p>
    <w:p w14:paraId="6098241B" w14:textId="77777777" w:rsidR="00133AD1" w:rsidRDefault="00133AD1" w:rsidP="00985591">
      <w:pPr>
        <w:spacing w:line="276" w:lineRule="auto"/>
        <w:jc w:val="both"/>
        <w:rPr>
          <w:rFonts w:ascii="Book Antiqua" w:hAnsi="Book Antiqua"/>
          <w:b/>
          <w:color w:val="000000" w:themeColor="text1"/>
        </w:rPr>
      </w:pPr>
    </w:p>
    <w:p w14:paraId="23291CD7" w14:textId="14F0C627" w:rsidR="00EA1730" w:rsidRPr="0048228F" w:rsidRDefault="00EA1730" w:rsidP="00985591">
      <w:pPr>
        <w:spacing w:line="276" w:lineRule="auto"/>
        <w:ind w:right="-1"/>
        <w:jc w:val="both"/>
        <w:rPr>
          <w:rFonts w:ascii="Book Antiqua" w:hAnsi="Book Antiqua"/>
          <w:color w:val="000000"/>
        </w:rPr>
      </w:pPr>
      <w:r>
        <w:rPr>
          <w:rFonts w:ascii="Book Antiqua" w:hAnsi="Book Antiqua" w:cs="Arial"/>
        </w:rPr>
        <w:t xml:space="preserve">De manera general los Tribunales de Apelación de Sentencia alcanzaron un porcentaje de cumplimiento del 87%. </w:t>
      </w:r>
      <w:r w:rsidRPr="0048228F">
        <w:rPr>
          <w:rFonts w:ascii="Book Antiqua" w:hAnsi="Book Antiqua"/>
          <w:color w:val="000000"/>
        </w:rPr>
        <w:t>Importante señalar que</w:t>
      </w:r>
      <w:r>
        <w:rPr>
          <w:rFonts w:ascii="Book Antiqua" w:hAnsi="Book Antiqua"/>
          <w:color w:val="000000"/>
        </w:rPr>
        <w:t xml:space="preserve">, </w:t>
      </w:r>
      <w:r w:rsidRPr="0048228F">
        <w:rPr>
          <w:rFonts w:ascii="Book Antiqua" w:hAnsi="Book Antiqua"/>
          <w:color w:val="000000"/>
        </w:rPr>
        <w:t xml:space="preserve">únicamente el Tribunal de Apelación de la Sentencia Penal de </w:t>
      </w:r>
      <w:r>
        <w:rPr>
          <w:rFonts w:ascii="Book Antiqua" w:hAnsi="Book Antiqua"/>
          <w:color w:val="000000"/>
        </w:rPr>
        <w:t>Goicochea</w:t>
      </w:r>
      <w:r w:rsidRPr="0048228F">
        <w:rPr>
          <w:rFonts w:ascii="Book Antiqua" w:hAnsi="Book Antiqua"/>
          <w:color w:val="000000"/>
        </w:rPr>
        <w:t xml:space="preserve">, alcanzó un porcentaje menor del </w:t>
      </w:r>
      <w:r>
        <w:rPr>
          <w:rFonts w:ascii="Book Antiqua" w:hAnsi="Book Antiqua"/>
          <w:color w:val="000000"/>
        </w:rPr>
        <w:t>80</w:t>
      </w:r>
      <w:r w:rsidRPr="0048228F">
        <w:rPr>
          <w:rFonts w:ascii="Book Antiqua" w:hAnsi="Book Antiqua"/>
          <w:color w:val="000000"/>
        </w:rPr>
        <w:t xml:space="preserve">%.  Por otro lado, el Tribunal de Apelación de la Sentencia Penal de </w:t>
      </w:r>
      <w:r>
        <w:rPr>
          <w:rFonts w:ascii="Book Antiqua" w:hAnsi="Book Antiqua"/>
          <w:color w:val="000000"/>
        </w:rPr>
        <w:t>San Ramón</w:t>
      </w:r>
      <w:r w:rsidRPr="0048228F">
        <w:rPr>
          <w:rFonts w:ascii="Book Antiqua" w:hAnsi="Book Antiqua"/>
          <w:color w:val="000000"/>
        </w:rPr>
        <w:t xml:space="preserve">, </w:t>
      </w:r>
      <w:r>
        <w:rPr>
          <w:rFonts w:ascii="Book Antiqua" w:hAnsi="Book Antiqua"/>
          <w:color w:val="000000"/>
        </w:rPr>
        <w:t>alcanzó un rendimiento del 100%</w:t>
      </w:r>
      <w:r w:rsidRPr="0048228F">
        <w:rPr>
          <w:rFonts w:ascii="Book Antiqua" w:hAnsi="Book Antiqua"/>
          <w:color w:val="000000"/>
        </w:rPr>
        <w:t xml:space="preserve">. </w:t>
      </w:r>
    </w:p>
    <w:p w14:paraId="7628619F" w14:textId="77777777" w:rsidR="00BE69E7" w:rsidRPr="004F0E92" w:rsidRDefault="00BE69E7" w:rsidP="00985591">
      <w:pPr>
        <w:spacing w:line="276" w:lineRule="auto"/>
        <w:jc w:val="both"/>
        <w:rPr>
          <w:rFonts w:ascii="Book Antiqua" w:hAnsi="Book Antiqua"/>
          <w:b/>
          <w:color w:val="000000" w:themeColor="text1"/>
        </w:rPr>
      </w:pPr>
    </w:p>
    <w:p w14:paraId="3C218C5B" w14:textId="73F579F7" w:rsidR="57A79FF7" w:rsidRDefault="7C80E464" w:rsidP="57A79FF7">
      <w:pPr>
        <w:spacing w:after="160" w:line="276" w:lineRule="auto"/>
        <w:contextualSpacing/>
        <w:outlineLvl w:val="1"/>
        <w:rPr>
          <w:b/>
          <w:color w:val="000000" w:themeColor="text1"/>
        </w:rPr>
      </w:pPr>
      <w:r w:rsidRPr="57A79FF7">
        <w:rPr>
          <w:rFonts w:ascii="Book Antiqua" w:hAnsi="Book Antiqua"/>
          <w:b/>
          <w:bCs/>
          <w:color w:val="000000" w:themeColor="text1"/>
        </w:rPr>
        <w:t xml:space="preserve">6.2.6 </w:t>
      </w:r>
      <w:r w:rsidR="00133AD1" w:rsidRPr="00143762">
        <w:rPr>
          <w:rFonts w:ascii="Book Antiqua" w:hAnsi="Book Antiqua"/>
          <w:b/>
          <w:color w:val="000000" w:themeColor="text1"/>
        </w:rPr>
        <w:t>Sala Tercera</w:t>
      </w:r>
    </w:p>
    <w:p w14:paraId="2B54EEE5" w14:textId="77777777" w:rsidR="00BF7F5F" w:rsidRPr="00BF7F5F" w:rsidRDefault="00BF7F5F" w:rsidP="57A79FF7">
      <w:pPr>
        <w:spacing w:after="160" w:line="276" w:lineRule="auto"/>
        <w:contextualSpacing/>
        <w:outlineLvl w:val="1"/>
        <w:rPr>
          <w:b/>
          <w:color w:val="000000" w:themeColor="text1"/>
        </w:rPr>
      </w:pPr>
    </w:p>
    <w:p w14:paraId="2DC02A01" w14:textId="26A23EFD" w:rsidR="00BF7F5F" w:rsidRDefault="00133AD1" w:rsidP="00985591">
      <w:pPr>
        <w:spacing w:line="276" w:lineRule="auto"/>
        <w:jc w:val="both"/>
        <w:rPr>
          <w:rFonts w:ascii="Book Antiqua" w:hAnsi="Book Antiqua"/>
          <w:color w:val="000000" w:themeColor="text1"/>
        </w:rPr>
      </w:pPr>
      <w:r w:rsidRPr="00143762">
        <w:rPr>
          <w:rFonts w:ascii="Book Antiqua" w:hAnsi="Book Antiqua"/>
          <w:color w:val="000000" w:themeColor="text1"/>
        </w:rPr>
        <w:t xml:space="preserve">En el caso de la Sala Tercera el promedio de producción general es de un </w:t>
      </w:r>
      <w:r w:rsidR="00572F11">
        <w:rPr>
          <w:rFonts w:ascii="Book Antiqua" w:hAnsi="Book Antiqua"/>
          <w:color w:val="000000" w:themeColor="text1"/>
        </w:rPr>
        <w:t>86</w:t>
      </w:r>
      <w:r w:rsidRPr="00143762">
        <w:rPr>
          <w:rFonts w:ascii="Book Antiqua" w:hAnsi="Book Antiqua"/>
          <w:color w:val="000000" w:themeColor="text1"/>
        </w:rPr>
        <w:t xml:space="preserve">%, lo que muestra una disminución con respecto a </w:t>
      </w:r>
      <w:r w:rsidR="00572F11">
        <w:rPr>
          <w:rFonts w:ascii="Book Antiqua" w:hAnsi="Book Antiqua"/>
          <w:color w:val="000000" w:themeColor="text1"/>
        </w:rPr>
        <w:t>junio</w:t>
      </w:r>
      <w:r>
        <w:rPr>
          <w:rFonts w:ascii="Book Antiqua" w:hAnsi="Book Antiqua"/>
          <w:color w:val="000000" w:themeColor="text1"/>
        </w:rPr>
        <w:t xml:space="preserve"> 2021</w:t>
      </w:r>
      <w:r w:rsidRPr="00143762">
        <w:rPr>
          <w:rFonts w:ascii="Book Antiqua" w:hAnsi="Book Antiqua"/>
          <w:color w:val="000000" w:themeColor="text1"/>
        </w:rPr>
        <w:t xml:space="preserve"> de un </w:t>
      </w:r>
      <w:r w:rsidR="00572F11">
        <w:rPr>
          <w:rFonts w:ascii="Book Antiqua" w:hAnsi="Book Antiqua"/>
          <w:color w:val="000000" w:themeColor="text1"/>
        </w:rPr>
        <w:t>6</w:t>
      </w:r>
      <w:r w:rsidRPr="00143762">
        <w:rPr>
          <w:rFonts w:ascii="Book Antiqua" w:hAnsi="Book Antiqua"/>
          <w:color w:val="000000" w:themeColor="text1"/>
        </w:rPr>
        <w:t xml:space="preserve">%, en el cual se había alcanzado un porcentaje de </w:t>
      </w:r>
      <w:r w:rsidR="00572F11">
        <w:rPr>
          <w:rFonts w:ascii="Book Antiqua" w:hAnsi="Book Antiqua"/>
          <w:color w:val="000000" w:themeColor="text1"/>
        </w:rPr>
        <w:t>92</w:t>
      </w:r>
      <w:r w:rsidRPr="00143762">
        <w:rPr>
          <w:rFonts w:ascii="Book Antiqua" w:hAnsi="Book Antiqua"/>
          <w:color w:val="000000" w:themeColor="text1"/>
        </w:rPr>
        <w:t>% de acuerdo con el parámetro de producción teórico. El detalle en el siguiente cuadro</w:t>
      </w:r>
      <w:r w:rsidR="00BE69E7">
        <w:rPr>
          <w:rFonts w:ascii="Book Antiqua" w:hAnsi="Book Antiqua"/>
          <w:color w:val="000000" w:themeColor="text1"/>
        </w:rPr>
        <w:t>.</w:t>
      </w:r>
    </w:p>
    <w:p w14:paraId="39574794" w14:textId="77777777" w:rsidR="00BF7F5F" w:rsidRDefault="00BF7F5F">
      <w:pPr>
        <w:rPr>
          <w:rFonts w:ascii="Book Antiqua" w:hAnsi="Book Antiqua"/>
          <w:color w:val="000000" w:themeColor="text1"/>
        </w:rPr>
      </w:pPr>
      <w:r>
        <w:rPr>
          <w:rFonts w:ascii="Book Antiqua" w:hAnsi="Book Antiqua"/>
          <w:color w:val="000000" w:themeColor="text1"/>
        </w:rPr>
        <w:br w:type="page"/>
      </w:r>
    </w:p>
    <w:p w14:paraId="43CCE60C" w14:textId="77777777" w:rsidR="00133AD1" w:rsidRPr="00EC505D" w:rsidRDefault="00133AD1" w:rsidP="00985591">
      <w:pPr>
        <w:spacing w:line="276" w:lineRule="auto"/>
        <w:jc w:val="both"/>
        <w:rPr>
          <w:rFonts w:ascii="Book Antiqua" w:hAnsi="Book Antiqua"/>
          <w:color w:val="000000" w:themeColor="text1"/>
        </w:rPr>
      </w:pPr>
    </w:p>
    <w:p w14:paraId="40182462" w14:textId="0EF9E53F" w:rsidR="00133AD1" w:rsidRPr="00EC505D" w:rsidRDefault="00133AD1" w:rsidP="00985591">
      <w:pPr>
        <w:spacing w:line="276" w:lineRule="auto"/>
        <w:jc w:val="center"/>
        <w:rPr>
          <w:rFonts w:ascii="Book Antiqua" w:hAnsi="Book Antiqua"/>
          <w:b/>
          <w:color w:val="000000" w:themeColor="text1"/>
        </w:rPr>
      </w:pPr>
      <w:r w:rsidRPr="00EC505D">
        <w:rPr>
          <w:rFonts w:ascii="Book Antiqua" w:hAnsi="Book Antiqua"/>
          <w:b/>
          <w:color w:val="000000" w:themeColor="text1"/>
        </w:rPr>
        <w:t xml:space="preserve">Cuadro </w:t>
      </w:r>
      <w:r w:rsidR="00246242">
        <w:rPr>
          <w:rFonts w:ascii="Book Antiqua" w:hAnsi="Book Antiqua"/>
          <w:b/>
          <w:color w:val="000000" w:themeColor="text1"/>
        </w:rPr>
        <w:t>6</w:t>
      </w:r>
      <w:r w:rsidR="0052233C">
        <w:rPr>
          <w:rFonts w:ascii="Book Antiqua" w:hAnsi="Book Antiqua"/>
          <w:b/>
          <w:color w:val="000000" w:themeColor="text1"/>
        </w:rPr>
        <w:t>2</w:t>
      </w:r>
    </w:p>
    <w:p w14:paraId="79388A08" w14:textId="77777777" w:rsidR="00133AD1" w:rsidRPr="00246242" w:rsidRDefault="00133AD1" w:rsidP="00985591">
      <w:pPr>
        <w:spacing w:line="276" w:lineRule="auto"/>
        <w:jc w:val="center"/>
        <w:rPr>
          <w:rFonts w:ascii="Book Antiqua" w:hAnsi="Book Antiqua"/>
          <w:bCs/>
          <w:color w:val="000000" w:themeColor="text1"/>
        </w:rPr>
      </w:pPr>
      <w:r w:rsidRPr="00246242">
        <w:rPr>
          <w:rFonts w:ascii="Book Antiqua" w:hAnsi="Book Antiqua"/>
          <w:bCs/>
          <w:color w:val="000000" w:themeColor="text1"/>
        </w:rPr>
        <w:t xml:space="preserve">Cumplimiento del parámetro de producción </w:t>
      </w:r>
    </w:p>
    <w:p w14:paraId="1F39D037" w14:textId="469D1C4F" w:rsidR="00246242" w:rsidRPr="00246242" w:rsidRDefault="00133AD1" w:rsidP="00512DE1">
      <w:pPr>
        <w:spacing w:line="276" w:lineRule="auto"/>
        <w:jc w:val="center"/>
        <w:rPr>
          <w:rFonts w:ascii="Book Antiqua" w:hAnsi="Book Antiqua"/>
          <w:bCs/>
          <w:color w:val="000000" w:themeColor="text1"/>
        </w:rPr>
      </w:pPr>
      <w:r w:rsidRPr="00246242">
        <w:rPr>
          <w:rFonts w:ascii="Book Antiqua" w:hAnsi="Book Antiqua"/>
          <w:bCs/>
          <w:color w:val="000000" w:themeColor="text1"/>
        </w:rPr>
        <w:t xml:space="preserve">teórico de la Sala Tercera durante </w:t>
      </w:r>
      <w:r w:rsidR="00572F11" w:rsidRPr="00246242">
        <w:rPr>
          <w:rFonts w:ascii="Book Antiqua" w:hAnsi="Book Antiqua"/>
          <w:bCs/>
          <w:color w:val="000000" w:themeColor="text1"/>
        </w:rPr>
        <w:t>julio</w:t>
      </w:r>
      <w:r w:rsidRPr="00246242">
        <w:rPr>
          <w:rFonts w:ascii="Book Antiqua" w:hAnsi="Book Antiqua"/>
          <w:bCs/>
          <w:color w:val="000000" w:themeColor="text1"/>
        </w:rPr>
        <w:t xml:space="preserve"> 2021</w:t>
      </w:r>
    </w:p>
    <w:tbl>
      <w:tblPr>
        <w:tblW w:w="6502" w:type="dxa"/>
        <w:jc w:val="center"/>
        <w:tblCellMar>
          <w:left w:w="70" w:type="dxa"/>
          <w:right w:w="70" w:type="dxa"/>
        </w:tblCellMar>
        <w:tblLook w:val="04A0" w:firstRow="1" w:lastRow="0" w:firstColumn="1" w:lastColumn="0" w:noHBand="0" w:noVBand="1"/>
      </w:tblPr>
      <w:tblGrid>
        <w:gridCol w:w="4442"/>
        <w:gridCol w:w="2060"/>
      </w:tblGrid>
      <w:tr w:rsidR="00572F11" w:rsidRPr="00512DE1" w14:paraId="36810013" w14:textId="77777777" w:rsidTr="00572F11">
        <w:trPr>
          <w:trHeight w:val="1040"/>
          <w:jc w:val="center"/>
        </w:trPr>
        <w:tc>
          <w:tcPr>
            <w:tcW w:w="4442" w:type="dxa"/>
            <w:tcBorders>
              <w:top w:val="single" w:sz="4" w:space="0" w:color="808080"/>
              <w:left w:val="single" w:sz="4" w:space="0" w:color="808080"/>
              <w:bottom w:val="single" w:sz="4" w:space="0" w:color="808080"/>
              <w:right w:val="single" w:sz="4" w:space="0" w:color="808080"/>
            </w:tcBorders>
            <w:shd w:val="clear" w:color="000000" w:fill="305496"/>
            <w:noWrap/>
            <w:vAlign w:val="center"/>
            <w:hideMark/>
          </w:tcPr>
          <w:p w14:paraId="105525E3" w14:textId="77777777" w:rsidR="00572F11" w:rsidRPr="00512DE1" w:rsidRDefault="00572F11" w:rsidP="00985591">
            <w:pPr>
              <w:spacing w:line="276" w:lineRule="auto"/>
              <w:jc w:val="center"/>
              <w:rPr>
                <w:rFonts w:ascii="Book Antiqua" w:hAnsi="Book Antiqua" w:cs="Calibri"/>
                <w:b/>
                <w:bCs/>
                <w:color w:val="FFFFFF"/>
                <w:sz w:val="16"/>
                <w:szCs w:val="16"/>
                <w:lang w:eastAsia="es-CR"/>
              </w:rPr>
            </w:pPr>
            <w:r w:rsidRPr="00512DE1">
              <w:rPr>
                <w:rFonts w:ascii="Book Antiqua" w:hAnsi="Book Antiqua" w:cs="Calibri"/>
                <w:b/>
                <w:bCs/>
                <w:color w:val="FFFFFF"/>
                <w:sz w:val="16"/>
                <w:szCs w:val="16"/>
                <w:lang w:eastAsia="es-CR"/>
              </w:rPr>
              <w:t>Oficina</w:t>
            </w:r>
          </w:p>
        </w:tc>
        <w:tc>
          <w:tcPr>
            <w:tcW w:w="2060" w:type="dxa"/>
            <w:tcBorders>
              <w:top w:val="single" w:sz="4" w:space="0" w:color="808080"/>
              <w:left w:val="nil"/>
              <w:bottom w:val="single" w:sz="4" w:space="0" w:color="808080"/>
              <w:right w:val="single" w:sz="4" w:space="0" w:color="808080"/>
            </w:tcBorders>
            <w:shd w:val="clear" w:color="000000" w:fill="305496"/>
            <w:vAlign w:val="center"/>
            <w:hideMark/>
          </w:tcPr>
          <w:p w14:paraId="2D9B365B" w14:textId="77777777" w:rsidR="00572F11" w:rsidRPr="00512DE1" w:rsidRDefault="00572F11" w:rsidP="00985591">
            <w:pPr>
              <w:spacing w:line="276" w:lineRule="auto"/>
              <w:jc w:val="center"/>
              <w:rPr>
                <w:rFonts w:ascii="Book Antiqua" w:hAnsi="Book Antiqua" w:cs="Calibri"/>
                <w:b/>
                <w:bCs/>
                <w:color w:val="FFFFFF"/>
                <w:sz w:val="16"/>
                <w:szCs w:val="16"/>
                <w:lang w:eastAsia="es-CR"/>
              </w:rPr>
            </w:pPr>
            <w:r w:rsidRPr="00512DE1">
              <w:rPr>
                <w:rFonts w:ascii="Book Antiqua" w:hAnsi="Book Antiqua" w:cs="Calibri"/>
                <w:b/>
                <w:bCs/>
                <w:color w:val="FFFFFF"/>
                <w:sz w:val="16"/>
                <w:szCs w:val="16"/>
                <w:lang w:eastAsia="es-CR"/>
              </w:rPr>
              <w:t xml:space="preserve">Porcentaje cumplimiento cuota teórica auto sentencias </w:t>
            </w:r>
          </w:p>
        </w:tc>
      </w:tr>
      <w:tr w:rsidR="00572F11" w:rsidRPr="00512DE1" w14:paraId="1A904981" w14:textId="77777777" w:rsidTr="00572F11">
        <w:trPr>
          <w:trHeight w:val="290"/>
          <w:jc w:val="center"/>
        </w:trPr>
        <w:tc>
          <w:tcPr>
            <w:tcW w:w="4442" w:type="dxa"/>
            <w:tcBorders>
              <w:top w:val="nil"/>
              <w:left w:val="single" w:sz="4" w:space="0" w:color="808080"/>
              <w:bottom w:val="single" w:sz="4" w:space="0" w:color="808080"/>
              <w:right w:val="single" w:sz="4" w:space="0" w:color="808080"/>
            </w:tcBorders>
            <w:shd w:val="clear" w:color="auto" w:fill="auto"/>
            <w:noWrap/>
            <w:vAlign w:val="center"/>
            <w:hideMark/>
          </w:tcPr>
          <w:p w14:paraId="0DECA987" w14:textId="77777777" w:rsidR="00572F11" w:rsidRPr="00512DE1" w:rsidRDefault="00572F11" w:rsidP="00985591">
            <w:pPr>
              <w:spacing w:line="276" w:lineRule="auto"/>
              <w:jc w:val="center"/>
              <w:rPr>
                <w:rFonts w:ascii="Book Antiqua" w:hAnsi="Book Antiqua" w:cs="Calibri"/>
                <w:color w:val="000000"/>
                <w:sz w:val="16"/>
                <w:szCs w:val="16"/>
                <w:lang w:eastAsia="es-CR"/>
              </w:rPr>
            </w:pPr>
            <w:r w:rsidRPr="00512DE1">
              <w:rPr>
                <w:rFonts w:ascii="Book Antiqua" w:hAnsi="Book Antiqua" w:cs="Calibri"/>
                <w:color w:val="000000"/>
                <w:sz w:val="16"/>
                <w:szCs w:val="16"/>
                <w:lang w:eastAsia="es-CR"/>
              </w:rPr>
              <w:t>Sala Tercera</w:t>
            </w:r>
          </w:p>
        </w:tc>
        <w:tc>
          <w:tcPr>
            <w:tcW w:w="2060" w:type="dxa"/>
            <w:tcBorders>
              <w:top w:val="nil"/>
              <w:left w:val="nil"/>
              <w:bottom w:val="single" w:sz="4" w:space="0" w:color="808080"/>
              <w:right w:val="single" w:sz="4" w:space="0" w:color="808080"/>
            </w:tcBorders>
            <w:shd w:val="clear" w:color="auto" w:fill="auto"/>
            <w:noWrap/>
            <w:vAlign w:val="center"/>
            <w:hideMark/>
          </w:tcPr>
          <w:p w14:paraId="4B30649A" w14:textId="77777777" w:rsidR="00572F11" w:rsidRPr="00512DE1" w:rsidRDefault="00572F11" w:rsidP="00985591">
            <w:pPr>
              <w:spacing w:line="276" w:lineRule="auto"/>
              <w:jc w:val="center"/>
              <w:rPr>
                <w:rFonts w:ascii="Book Antiqua" w:hAnsi="Book Antiqua" w:cs="Calibri"/>
                <w:color w:val="000000"/>
                <w:sz w:val="16"/>
                <w:szCs w:val="16"/>
                <w:lang w:eastAsia="es-CR"/>
              </w:rPr>
            </w:pPr>
            <w:r w:rsidRPr="00512DE1">
              <w:rPr>
                <w:rFonts w:ascii="Book Antiqua" w:hAnsi="Book Antiqua" w:cs="Calibri"/>
                <w:color w:val="000000"/>
                <w:sz w:val="16"/>
                <w:szCs w:val="16"/>
                <w:lang w:eastAsia="es-CR"/>
              </w:rPr>
              <w:t>86%</w:t>
            </w:r>
          </w:p>
        </w:tc>
      </w:tr>
    </w:tbl>
    <w:p w14:paraId="01891AB9" w14:textId="77777777" w:rsidR="00133AD1" w:rsidRDefault="00133AD1" w:rsidP="00985591">
      <w:pPr>
        <w:spacing w:line="276" w:lineRule="auto"/>
        <w:jc w:val="center"/>
        <w:rPr>
          <w:rFonts w:ascii="Book Antiqua" w:hAnsi="Book Antiqua"/>
          <w:color w:val="000000" w:themeColor="text1"/>
          <w:sz w:val="20"/>
          <w:szCs w:val="20"/>
        </w:rPr>
      </w:pPr>
      <w:r w:rsidRPr="0013210E">
        <w:rPr>
          <w:rFonts w:ascii="Book Antiqua" w:hAnsi="Book Antiqua"/>
          <w:b/>
          <w:bCs/>
          <w:color w:val="000000"/>
          <w:sz w:val="20"/>
          <w:szCs w:val="20"/>
        </w:rPr>
        <w:t>Fuente:</w:t>
      </w:r>
      <w:r w:rsidRPr="00DE41EA">
        <w:rPr>
          <w:rFonts w:ascii="Book Antiqua" w:hAnsi="Book Antiqua"/>
          <w:color w:val="000000"/>
          <w:sz w:val="20"/>
          <w:szCs w:val="20"/>
        </w:rPr>
        <w:t xml:space="preserve"> </w:t>
      </w:r>
      <w:r w:rsidRPr="002754DF">
        <w:rPr>
          <w:rFonts w:ascii="Book Antiqua" w:hAnsi="Book Antiqua"/>
          <w:color w:val="000000" w:themeColor="text1"/>
          <w:sz w:val="20"/>
          <w:szCs w:val="20"/>
        </w:rPr>
        <w:t>Elaboración propia a partir de datos suministrados por despachos según circular 61-2020</w:t>
      </w:r>
    </w:p>
    <w:p w14:paraId="03D2DA44" w14:textId="1453DEB7" w:rsidR="00133AD1" w:rsidRDefault="00133AD1" w:rsidP="00985591">
      <w:pPr>
        <w:spacing w:line="276" w:lineRule="auto"/>
        <w:rPr>
          <w:rFonts w:ascii="Book Antiqua" w:hAnsi="Book Antiqua"/>
          <w:b/>
          <w:color w:val="000000" w:themeColor="text1"/>
        </w:rPr>
      </w:pPr>
    </w:p>
    <w:p w14:paraId="4B0C18E1" w14:textId="77777777" w:rsidR="00133AD1" w:rsidRPr="004F0E92" w:rsidRDefault="00133AD1" w:rsidP="00985591">
      <w:pPr>
        <w:pStyle w:val="Prrafodelista"/>
        <w:spacing w:after="160" w:line="276" w:lineRule="auto"/>
        <w:ind w:left="1080"/>
        <w:contextualSpacing/>
        <w:rPr>
          <w:rFonts w:ascii="Book Antiqua" w:hAnsi="Book Antiqua"/>
          <w:b/>
          <w:color w:val="000000" w:themeColor="text1"/>
        </w:rPr>
      </w:pPr>
    </w:p>
    <w:p w14:paraId="2A233B3A" w14:textId="7850DCD5" w:rsidR="00133AD1" w:rsidRPr="00C53927" w:rsidRDefault="5347E6CB" w:rsidP="57A79FF7">
      <w:pPr>
        <w:tabs>
          <w:tab w:val="left" w:pos="284"/>
        </w:tabs>
        <w:spacing w:line="276" w:lineRule="auto"/>
        <w:outlineLvl w:val="1"/>
        <w:rPr>
          <w:b/>
          <w:color w:val="000000" w:themeColor="text1"/>
        </w:rPr>
      </w:pPr>
      <w:r w:rsidRPr="57A79FF7">
        <w:rPr>
          <w:rFonts w:ascii="Book Antiqua" w:hAnsi="Book Antiqua"/>
          <w:b/>
          <w:bCs/>
          <w:color w:val="000000" w:themeColor="text1"/>
        </w:rPr>
        <w:t xml:space="preserve">6.3 </w:t>
      </w:r>
      <w:r w:rsidR="00133AD1" w:rsidRPr="00C53927">
        <w:rPr>
          <w:rFonts w:ascii="Book Antiqua" w:hAnsi="Book Antiqua"/>
          <w:b/>
          <w:color w:val="000000" w:themeColor="text1"/>
        </w:rPr>
        <w:t>Simulación de parámetros de producción</w:t>
      </w:r>
    </w:p>
    <w:p w14:paraId="24A3DF3D" w14:textId="77777777" w:rsidR="00133AD1" w:rsidRPr="00F970F2" w:rsidRDefault="00133AD1" w:rsidP="00985591">
      <w:pPr>
        <w:spacing w:line="276" w:lineRule="auto"/>
        <w:rPr>
          <w:rFonts w:ascii="Book Antiqua" w:hAnsi="Book Antiqua"/>
          <w:b/>
          <w:color w:val="000000" w:themeColor="text1"/>
          <w:highlight w:val="yellow"/>
        </w:rPr>
      </w:pPr>
    </w:p>
    <w:p w14:paraId="1D23777C" w14:textId="77777777" w:rsidR="00C53927" w:rsidRPr="00B152EF" w:rsidRDefault="00C53927" w:rsidP="00985591">
      <w:pPr>
        <w:spacing w:line="276" w:lineRule="auto"/>
        <w:jc w:val="both"/>
        <w:rPr>
          <w:rFonts w:ascii="Book Antiqua" w:hAnsi="Book Antiqua"/>
          <w:bCs/>
          <w:color w:val="000000" w:themeColor="text1"/>
        </w:rPr>
      </w:pPr>
      <w:r w:rsidRPr="002178AB">
        <w:rPr>
          <w:rFonts w:ascii="Book Antiqua" w:hAnsi="Book Antiqua"/>
          <w:bCs/>
          <w:color w:val="000000" w:themeColor="text1"/>
        </w:rPr>
        <w:t xml:space="preserve">Realizando una simulación de la producción de las diferentes oficinas de materia penal contra su parámetro teórico, se visualiza que los Tribunales de Juicio, Juzgados de Ejecución, sobrepasan en más de un 100% el parámetro, en tanto, que los Tribunales de Apelación, la Sala Tercera y Juzgados Penales superan el 80%, </w:t>
      </w:r>
      <w:r w:rsidRPr="00B152EF">
        <w:rPr>
          <w:rFonts w:ascii="Book Antiqua" w:hAnsi="Book Antiqua"/>
          <w:bCs/>
          <w:color w:val="000000" w:themeColor="text1"/>
        </w:rPr>
        <w:t xml:space="preserve">valor mínimo esperado.  </w:t>
      </w:r>
      <w:r w:rsidRPr="00B152EF">
        <w:rPr>
          <w:rFonts w:ascii="Book Antiqua" w:hAnsi="Book Antiqua"/>
        </w:rPr>
        <w:t xml:space="preserve">De acuerdo con este resultado se destaca el alto compromiso del personal de las oficinas para atender sus labores, aún con el impacto sobre las oficinas de las medidas que sanitarias que se han tomado.  </w:t>
      </w:r>
    </w:p>
    <w:p w14:paraId="74AB8ADD" w14:textId="77777777" w:rsidR="00C53927" w:rsidRPr="00B152EF" w:rsidRDefault="00C53927" w:rsidP="00985591">
      <w:pPr>
        <w:spacing w:line="276" w:lineRule="auto"/>
        <w:jc w:val="both"/>
        <w:rPr>
          <w:rFonts w:ascii="Book Antiqua" w:hAnsi="Book Antiqua"/>
        </w:rPr>
      </w:pPr>
    </w:p>
    <w:p w14:paraId="73FB30AD" w14:textId="77777777" w:rsidR="00C53927" w:rsidRPr="00B152EF" w:rsidRDefault="00C53927" w:rsidP="00985591">
      <w:pPr>
        <w:spacing w:line="276" w:lineRule="auto"/>
        <w:jc w:val="both"/>
        <w:rPr>
          <w:rFonts w:ascii="Book Antiqua" w:hAnsi="Book Antiqua"/>
        </w:rPr>
      </w:pPr>
      <w:r w:rsidRPr="00B152EF">
        <w:rPr>
          <w:rFonts w:ascii="Book Antiqua" w:hAnsi="Book Antiqua"/>
        </w:rPr>
        <w:t>En el caso de Flagrancia hay que destacar que se parte de la entrada de asuntos en cada zona y que, como medida también han brindado colaboración con la carga de trabajo de los Tribunales Ordinarios con el fin de descongestionarlos.</w:t>
      </w:r>
    </w:p>
    <w:p w14:paraId="06874860" w14:textId="77777777" w:rsidR="00C53927" w:rsidRDefault="00C53927" w:rsidP="00985591">
      <w:pPr>
        <w:spacing w:line="276" w:lineRule="auto"/>
        <w:jc w:val="both"/>
        <w:rPr>
          <w:rFonts w:ascii="Book Antiqua" w:hAnsi="Book Antiqua"/>
          <w:highlight w:val="yellow"/>
        </w:rPr>
      </w:pPr>
    </w:p>
    <w:p w14:paraId="0EF0312B" w14:textId="77777777" w:rsidR="00C53927" w:rsidRPr="00C91B90" w:rsidRDefault="00C53927" w:rsidP="00985591">
      <w:pPr>
        <w:spacing w:line="276" w:lineRule="auto"/>
        <w:jc w:val="both"/>
        <w:rPr>
          <w:rFonts w:ascii="Book Antiqua" w:hAnsi="Book Antiqua"/>
          <w:b/>
          <w:color w:val="000000" w:themeColor="text1"/>
        </w:rPr>
      </w:pPr>
      <w:r w:rsidRPr="00C91B90">
        <w:rPr>
          <w:rFonts w:ascii="Book Antiqua" w:hAnsi="Book Antiqua"/>
        </w:rPr>
        <w:t>Es necesario aclarar, que también se debe considerar en este período, las medidas que hay que tener en el uso de las celdas, con el fin de mantener el aforo mínimo, que impactan de forma negativa en la realización de juicios en las diferentes zonas. Siendo necesario potenciar en los casos que sea posible el empleo de los juicios y audiencias virtuales.</w:t>
      </w:r>
      <w:r w:rsidRPr="00C91B90">
        <w:rPr>
          <w:rFonts w:ascii="Book Antiqua" w:hAnsi="Book Antiqua"/>
          <w:b/>
          <w:color w:val="000000" w:themeColor="text1"/>
        </w:rPr>
        <w:t xml:space="preserve"> </w:t>
      </w:r>
    </w:p>
    <w:p w14:paraId="2F9AEB21" w14:textId="77777777" w:rsidR="00C53927" w:rsidRDefault="00C53927" w:rsidP="00985591">
      <w:pPr>
        <w:spacing w:line="276" w:lineRule="auto"/>
        <w:jc w:val="both"/>
        <w:rPr>
          <w:rFonts w:ascii="Book Antiqua" w:hAnsi="Book Antiqua"/>
          <w:highlight w:val="yellow"/>
        </w:rPr>
      </w:pPr>
    </w:p>
    <w:p w14:paraId="653B26C7" w14:textId="77777777" w:rsidR="00C53927" w:rsidRDefault="00C53927" w:rsidP="00985591">
      <w:pPr>
        <w:spacing w:line="276" w:lineRule="auto"/>
        <w:jc w:val="both"/>
        <w:rPr>
          <w:rFonts w:ascii="Book Antiqua" w:hAnsi="Book Antiqua"/>
        </w:rPr>
      </w:pPr>
      <w:r w:rsidRPr="009123AD">
        <w:rPr>
          <w:rFonts w:ascii="Book Antiqua" w:hAnsi="Book Antiqua"/>
        </w:rPr>
        <w:t>De conformidad con lo expuesto anteriormente, se desglosa en los siguientes recuadros el porcentaje de cumplimiento del parámetro de producción teórico a nivel nacional por tipo de oficina y variable considerada según despacho.</w:t>
      </w:r>
      <w:r>
        <w:rPr>
          <w:rFonts w:ascii="Book Antiqua" w:hAnsi="Book Antiqua"/>
        </w:rPr>
        <w:t xml:space="preserve"> </w:t>
      </w:r>
    </w:p>
    <w:p w14:paraId="294B9FAC" w14:textId="77777777" w:rsidR="00C53927" w:rsidRDefault="00C53927" w:rsidP="00985591">
      <w:pPr>
        <w:spacing w:line="276" w:lineRule="auto"/>
        <w:jc w:val="both"/>
        <w:rPr>
          <w:rFonts w:ascii="Book Antiqua" w:hAnsi="Book Antiqua"/>
        </w:rPr>
      </w:pPr>
    </w:p>
    <w:p w14:paraId="55395B3B" w14:textId="01F65F7D" w:rsidR="00C53927" w:rsidRDefault="00C53927" w:rsidP="00985591">
      <w:pPr>
        <w:spacing w:line="276" w:lineRule="auto"/>
        <w:jc w:val="both"/>
        <w:rPr>
          <w:rFonts w:ascii="Book Antiqua" w:hAnsi="Book Antiqua"/>
        </w:rPr>
      </w:pPr>
      <w:r>
        <w:rPr>
          <w:rFonts w:ascii="Book Antiqua" w:hAnsi="Book Antiqua"/>
        </w:rPr>
        <w:t xml:space="preserve">En el </w:t>
      </w:r>
      <w:r w:rsidRPr="00B85E23">
        <w:rPr>
          <w:rFonts w:ascii="Book Antiqua" w:hAnsi="Book Antiqua"/>
          <w:b/>
          <w:bCs/>
        </w:rPr>
        <w:t xml:space="preserve">cuadro </w:t>
      </w:r>
      <w:r w:rsidR="007E572E">
        <w:rPr>
          <w:rFonts w:ascii="Book Antiqua" w:hAnsi="Book Antiqua"/>
          <w:b/>
          <w:bCs/>
        </w:rPr>
        <w:t>6</w:t>
      </w:r>
      <w:r w:rsidR="0052233C">
        <w:rPr>
          <w:rFonts w:ascii="Book Antiqua" w:hAnsi="Book Antiqua"/>
          <w:b/>
          <w:bCs/>
        </w:rPr>
        <w:t>3</w:t>
      </w:r>
      <w:r>
        <w:rPr>
          <w:rFonts w:ascii="Book Antiqua" w:hAnsi="Book Antiqua"/>
        </w:rPr>
        <w:t xml:space="preserve"> </w:t>
      </w:r>
      <w:r>
        <w:rPr>
          <w:rFonts w:ascii="Book Antiqua" w:hAnsi="Book Antiqua"/>
          <w:bCs/>
          <w:color w:val="000000" w:themeColor="text1"/>
        </w:rPr>
        <w:t xml:space="preserve">se inserta el resultado </w:t>
      </w:r>
      <w:r w:rsidRPr="00B85E23">
        <w:rPr>
          <w:rFonts w:ascii="Book Antiqua" w:hAnsi="Book Antiqua"/>
          <w:b/>
        </w:rPr>
        <w:t>de manera</w:t>
      </w:r>
      <w:r>
        <w:rPr>
          <w:rFonts w:ascii="Book Antiqua" w:hAnsi="Book Antiqua"/>
          <w:b/>
        </w:rPr>
        <w:t xml:space="preserve"> semanal, </w:t>
      </w:r>
      <w:r>
        <w:rPr>
          <w:rFonts w:ascii="Book Antiqua" w:hAnsi="Book Antiqua"/>
        </w:rPr>
        <w:t xml:space="preserve">a partir de los datos de mayo 2020 a abril 2021, suministrados por el personal de las oficinas mediante el informe de labores One drive (circular 61-20). </w:t>
      </w:r>
    </w:p>
    <w:p w14:paraId="59DA73B5" w14:textId="77777777" w:rsidR="00133AD1" w:rsidRPr="00F970F2" w:rsidRDefault="00133AD1" w:rsidP="00985591">
      <w:pPr>
        <w:spacing w:line="276" w:lineRule="auto"/>
        <w:jc w:val="both"/>
        <w:rPr>
          <w:rFonts w:ascii="Book Antiqua" w:hAnsi="Book Antiqua"/>
          <w:bCs/>
          <w:color w:val="000000" w:themeColor="text1"/>
          <w:highlight w:val="yellow"/>
        </w:rPr>
      </w:pPr>
    </w:p>
    <w:p w14:paraId="2C95CD55" w14:textId="597B4329" w:rsidR="00133AD1" w:rsidRPr="007E572E" w:rsidRDefault="00133AD1" w:rsidP="00985591">
      <w:pPr>
        <w:spacing w:line="276" w:lineRule="auto"/>
        <w:jc w:val="center"/>
        <w:rPr>
          <w:rFonts w:ascii="Book Antiqua" w:hAnsi="Book Antiqua"/>
          <w:b/>
          <w:color w:val="000000" w:themeColor="text1"/>
        </w:rPr>
      </w:pPr>
      <w:r w:rsidRPr="007E572E">
        <w:rPr>
          <w:rFonts w:ascii="Book Antiqua" w:hAnsi="Book Antiqua"/>
          <w:b/>
          <w:color w:val="000000" w:themeColor="text1"/>
        </w:rPr>
        <w:t xml:space="preserve">Cuadro </w:t>
      </w:r>
      <w:r w:rsidR="00AA249F" w:rsidRPr="007E572E">
        <w:rPr>
          <w:rFonts w:ascii="Book Antiqua" w:hAnsi="Book Antiqua"/>
          <w:b/>
          <w:color w:val="000000" w:themeColor="text1"/>
        </w:rPr>
        <w:t>6</w:t>
      </w:r>
      <w:r w:rsidR="0052233C">
        <w:rPr>
          <w:rFonts w:ascii="Book Antiqua" w:hAnsi="Book Antiqua"/>
          <w:b/>
          <w:color w:val="000000" w:themeColor="text1"/>
        </w:rPr>
        <w:t>3</w:t>
      </w:r>
    </w:p>
    <w:p w14:paraId="09F302E9" w14:textId="77777777" w:rsidR="00133AD1" w:rsidRPr="007E572E" w:rsidRDefault="00133AD1" w:rsidP="00985591">
      <w:pPr>
        <w:spacing w:line="276" w:lineRule="auto"/>
        <w:jc w:val="center"/>
        <w:rPr>
          <w:rFonts w:ascii="Book Antiqua" w:hAnsi="Book Antiqua"/>
          <w:bCs/>
          <w:color w:val="000000" w:themeColor="text1"/>
        </w:rPr>
      </w:pPr>
      <w:r w:rsidRPr="007E572E">
        <w:rPr>
          <w:rFonts w:ascii="Book Antiqua" w:hAnsi="Book Antiqua"/>
          <w:bCs/>
          <w:color w:val="000000" w:themeColor="text1"/>
        </w:rPr>
        <w:t xml:space="preserve">Cumplimiento del parámetro de producción teórico de </w:t>
      </w:r>
    </w:p>
    <w:p w14:paraId="4186010A" w14:textId="70306904" w:rsidR="00133AD1" w:rsidRDefault="00133AD1" w:rsidP="00810C74">
      <w:pPr>
        <w:spacing w:line="276" w:lineRule="auto"/>
        <w:jc w:val="center"/>
        <w:rPr>
          <w:rFonts w:ascii="Book Antiqua" w:hAnsi="Book Antiqua"/>
          <w:bCs/>
          <w:color w:val="000000" w:themeColor="text1"/>
        </w:rPr>
      </w:pPr>
      <w:r w:rsidRPr="007E572E">
        <w:rPr>
          <w:rFonts w:ascii="Book Antiqua" w:hAnsi="Book Antiqua"/>
          <w:bCs/>
          <w:color w:val="000000" w:themeColor="text1"/>
        </w:rPr>
        <w:t>oficinas de materia penal desde el inicio de la medición de circular 61-2020</w:t>
      </w:r>
    </w:p>
    <w:p w14:paraId="0C39B4D8" w14:textId="77777777" w:rsidR="00810C74" w:rsidRPr="00810C74" w:rsidRDefault="00810C74" w:rsidP="00810C74">
      <w:pPr>
        <w:spacing w:line="276" w:lineRule="auto"/>
        <w:jc w:val="center"/>
        <w:rPr>
          <w:rFonts w:ascii="Book Antiqua" w:hAnsi="Book Antiqua"/>
          <w:bCs/>
          <w:color w:val="000000" w:themeColor="text1"/>
        </w:rPr>
      </w:pPr>
    </w:p>
    <w:tbl>
      <w:tblPr>
        <w:tblW w:w="10580" w:type="dxa"/>
        <w:jc w:val="center"/>
        <w:tblCellMar>
          <w:left w:w="70" w:type="dxa"/>
          <w:right w:w="70" w:type="dxa"/>
        </w:tblCellMar>
        <w:tblLook w:val="04A0" w:firstRow="1" w:lastRow="0" w:firstColumn="1" w:lastColumn="0" w:noHBand="0" w:noVBand="1"/>
      </w:tblPr>
      <w:tblGrid>
        <w:gridCol w:w="1200"/>
        <w:gridCol w:w="1740"/>
        <w:gridCol w:w="1200"/>
        <w:gridCol w:w="1360"/>
        <w:gridCol w:w="1200"/>
        <w:gridCol w:w="1340"/>
        <w:gridCol w:w="1340"/>
        <w:gridCol w:w="1200"/>
      </w:tblGrid>
      <w:tr w:rsidR="007E572E" w:rsidRPr="00810C74" w14:paraId="68413C27" w14:textId="77777777" w:rsidTr="007E572E">
        <w:trPr>
          <w:trHeight w:val="520"/>
          <w:jc w:val="center"/>
        </w:trPr>
        <w:tc>
          <w:tcPr>
            <w:tcW w:w="1200" w:type="dxa"/>
            <w:vMerge w:val="restart"/>
            <w:tcBorders>
              <w:top w:val="single" w:sz="4" w:space="0" w:color="auto"/>
              <w:left w:val="single" w:sz="4" w:space="0" w:color="auto"/>
              <w:bottom w:val="single" w:sz="4" w:space="0" w:color="auto"/>
              <w:right w:val="single" w:sz="4" w:space="0" w:color="auto"/>
            </w:tcBorders>
            <w:shd w:val="clear" w:color="000000" w:fill="305496"/>
            <w:vAlign w:val="center"/>
            <w:hideMark/>
          </w:tcPr>
          <w:p w14:paraId="11C21040" w14:textId="77777777" w:rsidR="007E572E" w:rsidRPr="00810C74" w:rsidRDefault="007E572E" w:rsidP="00985591">
            <w:pPr>
              <w:spacing w:line="276" w:lineRule="auto"/>
              <w:jc w:val="center"/>
              <w:rPr>
                <w:rFonts w:ascii="Book Antiqua" w:hAnsi="Book Antiqua" w:cs="Calibri"/>
                <w:b/>
                <w:bCs/>
                <w:color w:val="FFFFFF"/>
                <w:sz w:val="16"/>
                <w:szCs w:val="16"/>
                <w:lang w:eastAsia="es-CR"/>
              </w:rPr>
            </w:pPr>
            <w:r w:rsidRPr="00810C74">
              <w:rPr>
                <w:rFonts w:ascii="Book Antiqua" w:hAnsi="Book Antiqua" w:cs="Calibri"/>
                <w:b/>
                <w:bCs/>
                <w:color w:val="FFFFFF"/>
                <w:sz w:val="16"/>
                <w:szCs w:val="16"/>
                <w:lang w:eastAsia="es-CR"/>
              </w:rPr>
              <w:t xml:space="preserve">Semana </w:t>
            </w:r>
          </w:p>
        </w:tc>
        <w:tc>
          <w:tcPr>
            <w:tcW w:w="1740" w:type="dxa"/>
            <w:tcBorders>
              <w:top w:val="single" w:sz="4" w:space="0" w:color="auto"/>
              <w:left w:val="nil"/>
              <w:bottom w:val="single" w:sz="4" w:space="0" w:color="auto"/>
              <w:right w:val="single" w:sz="4" w:space="0" w:color="auto"/>
            </w:tcBorders>
            <w:shd w:val="clear" w:color="000000" w:fill="305496"/>
            <w:vAlign w:val="center"/>
            <w:hideMark/>
          </w:tcPr>
          <w:p w14:paraId="5CF62DE8" w14:textId="77777777" w:rsidR="007E572E" w:rsidRPr="00810C74" w:rsidRDefault="007E572E" w:rsidP="00985591">
            <w:pPr>
              <w:spacing w:line="276" w:lineRule="auto"/>
              <w:jc w:val="center"/>
              <w:rPr>
                <w:rFonts w:ascii="Book Antiqua" w:hAnsi="Book Antiqua" w:cs="Calibri"/>
                <w:b/>
                <w:bCs/>
                <w:color w:val="FFFFFF"/>
                <w:sz w:val="16"/>
                <w:szCs w:val="16"/>
                <w:lang w:eastAsia="es-CR"/>
              </w:rPr>
            </w:pPr>
            <w:r w:rsidRPr="00810C74">
              <w:rPr>
                <w:rFonts w:ascii="Book Antiqua" w:hAnsi="Book Antiqua" w:cs="Calibri"/>
                <w:b/>
                <w:bCs/>
                <w:color w:val="FFFFFF"/>
                <w:sz w:val="16"/>
                <w:szCs w:val="16"/>
                <w:lang w:eastAsia="es-CR"/>
              </w:rPr>
              <w:t>Juzgados Penales</w:t>
            </w:r>
          </w:p>
        </w:tc>
        <w:tc>
          <w:tcPr>
            <w:tcW w:w="1200" w:type="dxa"/>
            <w:tcBorders>
              <w:top w:val="single" w:sz="4" w:space="0" w:color="auto"/>
              <w:left w:val="nil"/>
              <w:bottom w:val="single" w:sz="4" w:space="0" w:color="auto"/>
              <w:right w:val="single" w:sz="4" w:space="0" w:color="auto"/>
            </w:tcBorders>
            <w:shd w:val="clear" w:color="000000" w:fill="305496"/>
            <w:vAlign w:val="center"/>
            <w:hideMark/>
          </w:tcPr>
          <w:p w14:paraId="6B4C0222" w14:textId="77777777" w:rsidR="007E572E" w:rsidRPr="00810C74" w:rsidRDefault="007E572E" w:rsidP="00985591">
            <w:pPr>
              <w:spacing w:line="276" w:lineRule="auto"/>
              <w:jc w:val="center"/>
              <w:rPr>
                <w:rFonts w:ascii="Book Antiqua" w:hAnsi="Book Antiqua" w:cs="Calibri"/>
                <w:b/>
                <w:bCs/>
                <w:color w:val="FFFFFF"/>
                <w:sz w:val="16"/>
                <w:szCs w:val="16"/>
                <w:lang w:eastAsia="es-CR"/>
              </w:rPr>
            </w:pPr>
            <w:r w:rsidRPr="00810C74">
              <w:rPr>
                <w:rFonts w:ascii="Book Antiqua" w:hAnsi="Book Antiqua" w:cs="Calibri"/>
                <w:b/>
                <w:bCs/>
                <w:color w:val="FFFFFF"/>
                <w:sz w:val="16"/>
                <w:szCs w:val="16"/>
                <w:lang w:eastAsia="es-CR"/>
              </w:rPr>
              <w:t>Tribunales de Juicio</w:t>
            </w:r>
          </w:p>
        </w:tc>
        <w:tc>
          <w:tcPr>
            <w:tcW w:w="1360" w:type="dxa"/>
            <w:tcBorders>
              <w:top w:val="single" w:sz="4" w:space="0" w:color="auto"/>
              <w:left w:val="nil"/>
              <w:bottom w:val="single" w:sz="4" w:space="0" w:color="auto"/>
              <w:right w:val="single" w:sz="4" w:space="0" w:color="auto"/>
            </w:tcBorders>
            <w:shd w:val="clear" w:color="000000" w:fill="305496"/>
            <w:noWrap/>
            <w:vAlign w:val="center"/>
            <w:hideMark/>
          </w:tcPr>
          <w:p w14:paraId="5DFABEEC" w14:textId="77777777" w:rsidR="007E572E" w:rsidRPr="00810C74" w:rsidRDefault="007E572E" w:rsidP="00985591">
            <w:pPr>
              <w:spacing w:line="276" w:lineRule="auto"/>
              <w:jc w:val="center"/>
              <w:rPr>
                <w:rFonts w:ascii="Book Antiqua" w:hAnsi="Book Antiqua" w:cs="Calibri"/>
                <w:b/>
                <w:bCs/>
                <w:color w:val="FFFFFF"/>
                <w:sz w:val="16"/>
                <w:szCs w:val="16"/>
                <w:lang w:eastAsia="es-CR"/>
              </w:rPr>
            </w:pPr>
            <w:r w:rsidRPr="00810C74">
              <w:rPr>
                <w:rFonts w:ascii="Book Antiqua" w:hAnsi="Book Antiqua" w:cs="Calibri"/>
                <w:b/>
                <w:bCs/>
                <w:color w:val="FFFFFF"/>
                <w:sz w:val="16"/>
                <w:szCs w:val="16"/>
                <w:lang w:eastAsia="es-CR"/>
              </w:rPr>
              <w:t>Flagrancia</w:t>
            </w:r>
          </w:p>
        </w:tc>
        <w:tc>
          <w:tcPr>
            <w:tcW w:w="2540" w:type="dxa"/>
            <w:gridSpan w:val="2"/>
            <w:tcBorders>
              <w:top w:val="single" w:sz="4" w:space="0" w:color="auto"/>
              <w:left w:val="nil"/>
              <w:bottom w:val="single" w:sz="4" w:space="0" w:color="auto"/>
              <w:right w:val="single" w:sz="4" w:space="0" w:color="auto"/>
            </w:tcBorders>
            <w:shd w:val="clear" w:color="000000" w:fill="305496"/>
            <w:noWrap/>
            <w:vAlign w:val="center"/>
            <w:hideMark/>
          </w:tcPr>
          <w:p w14:paraId="777B4537" w14:textId="77777777" w:rsidR="007E572E" w:rsidRPr="00810C74" w:rsidRDefault="007E572E" w:rsidP="00985591">
            <w:pPr>
              <w:spacing w:line="276" w:lineRule="auto"/>
              <w:jc w:val="center"/>
              <w:rPr>
                <w:rFonts w:ascii="Book Antiqua" w:hAnsi="Book Antiqua" w:cs="Calibri"/>
                <w:b/>
                <w:bCs/>
                <w:color w:val="FFFFFF"/>
                <w:sz w:val="16"/>
                <w:szCs w:val="16"/>
                <w:lang w:eastAsia="es-CR"/>
              </w:rPr>
            </w:pPr>
            <w:r w:rsidRPr="00810C74">
              <w:rPr>
                <w:rFonts w:ascii="Book Antiqua" w:hAnsi="Book Antiqua" w:cs="Calibri"/>
                <w:b/>
                <w:bCs/>
                <w:color w:val="FFFFFF"/>
                <w:sz w:val="16"/>
                <w:szCs w:val="16"/>
                <w:lang w:eastAsia="es-CR"/>
              </w:rPr>
              <w:t>Ejecución</w:t>
            </w:r>
          </w:p>
        </w:tc>
        <w:tc>
          <w:tcPr>
            <w:tcW w:w="1340" w:type="dxa"/>
            <w:tcBorders>
              <w:top w:val="single" w:sz="4" w:space="0" w:color="auto"/>
              <w:left w:val="nil"/>
              <w:bottom w:val="single" w:sz="4" w:space="0" w:color="auto"/>
              <w:right w:val="single" w:sz="4" w:space="0" w:color="auto"/>
            </w:tcBorders>
            <w:shd w:val="clear" w:color="000000" w:fill="305496"/>
            <w:noWrap/>
            <w:vAlign w:val="center"/>
            <w:hideMark/>
          </w:tcPr>
          <w:p w14:paraId="4F1B34E2" w14:textId="77777777" w:rsidR="007E572E" w:rsidRPr="00810C74" w:rsidRDefault="007E572E" w:rsidP="00985591">
            <w:pPr>
              <w:spacing w:line="276" w:lineRule="auto"/>
              <w:jc w:val="center"/>
              <w:rPr>
                <w:rFonts w:ascii="Book Antiqua" w:hAnsi="Book Antiqua" w:cs="Calibri"/>
                <w:b/>
                <w:bCs/>
                <w:color w:val="FFFFFF"/>
                <w:sz w:val="16"/>
                <w:szCs w:val="16"/>
                <w:lang w:eastAsia="es-CR"/>
              </w:rPr>
            </w:pPr>
            <w:r w:rsidRPr="00810C74">
              <w:rPr>
                <w:rFonts w:ascii="Book Antiqua" w:hAnsi="Book Antiqua" w:cs="Calibri"/>
                <w:b/>
                <w:bCs/>
                <w:color w:val="FFFFFF"/>
                <w:sz w:val="16"/>
                <w:szCs w:val="16"/>
                <w:lang w:eastAsia="es-CR"/>
              </w:rPr>
              <w:t>Apelación</w:t>
            </w:r>
          </w:p>
        </w:tc>
        <w:tc>
          <w:tcPr>
            <w:tcW w:w="1200" w:type="dxa"/>
            <w:tcBorders>
              <w:top w:val="single" w:sz="4" w:space="0" w:color="auto"/>
              <w:left w:val="nil"/>
              <w:bottom w:val="single" w:sz="4" w:space="0" w:color="auto"/>
              <w:right w:val="single" w:sz="4" w:space="0" w:color="auto"/>
            </w:tcBorders>
            <w:shd w:val="clear" w:color="000000" w:fill="305496"/>
            <w:noWrap/>
            <w:vAlign w:val="center"/>
            <w:hideMark/>
          </w:tcPr>
          <w:p w14:paraId="61C89D23" w14:textId="77777777" w:rsidR="007E572E" w:rsidRPr="00810C74" w:rsidRDefault="007E572E" w:rsidP="00985591">
            <w:pPr>
              <w:spacing w:line="276" w:lineRule="auto"/>
              <w:jc w:val="center"/>
              <w:rPr>
                <w:rFonts w:ascii="Book Antiqua" w:hAnsi="Book Antiqua" w:cs="Calibri"/>
                <w:b/>
                <w:bCs/>
                <w:color w:val="FFFFFF"/>
                <w:sz w:val="16"/>
                <w:szCs w:val="16"/>
                <w:lang w:eastAsia="es-CR"/>
              </w:rPr>
            </w:pPr>
            <w:r w:rsidRPr="00810C74">
              <w:rPr>
                <w:rFonts w:ascii="Book Antiqua" w:hAnsi="Book Antiqua" w:cs="Calibri"/>
                <w:b/>
                <w:bCs/>
                <w:color w:val="FFFFFF"/>
                <w:sz w:val="16"/>
                <w:szCs w:val="16"/>
                <w:lang w:eastAsia="es-CR"/>
              </w:rPr>
              <w:t>Sala Tercera</w:t>
            </w:r>
          </w:p>
        </w:tc>
      </w:tr>
      <w:tr w:rsidR="007E572E" w:rsidRPr="00810C74" w14:paraId="61E8991E" w14:textId="77777777" w:rsidTr="007E572E">
        <w:trPr>
          <w:trHeight w:val="1300"/>
          <w:jc w:val="center"/>
        </w:trPr>
        <w:tc>
          <w:tcPr>
            <w:tcW w:w="1200" w:type="dxa"/>
            <w:vMerge/>
            <w:tcBorders>
              <w:top w:val="single" w:sz="4" w:space="0" w:color="auto"/>
              <w:left w:val="single" w:sz="4" w:space="0" w:color="auto"/>
              <w:bottom w:val="single" w:sz="4" w:space="0" w:color="auto"/>
              <w:right w:val="single" w:sz="4" w:space="0" w:color="auto"/>
            </w:tcBorders>
            <w:vAlign w:val="center"/>
            <w:hideMark/>
          </w:tcPr>
          <w:p w14:paraId="29AD8859" w14:textId="77777777" w:rsidR="007E572E" w:rsidRPr="00810C74" w:rsidRDefault="007E572E" w:rsidP="00985591">
            <w:pPr>
              <w:spacing w:line="276" w:lineRule="auto"/>
              <w:rPr>
                <w:rFonts w:ascii="Book Antiqua" w:hAnsi="Book Antiqua" w:cs="Calibri"/>
                <w:b/>
                <w:bCs/>
                <w:color w:val="FFFFFF"/>
                <w:sz w:val="16"/>
                <w:szCs w:val="16"/>
                <w:lang w:eastAsia="es-CR"/>
              </w:rPr>
            </w:pPr>
          </w:p>
        </w:tc>
        <w:tc>
          <w:tcPr>
            <w:tcW w:w="1740" w:type="dxa"/>
            <w:tcBorders>
              <w:top w:val="nil"/>
              <w:left w:val="nil"/>
              <w:bottom w:val="single" w:sz="4" w:space="0" w:color="auto"/>
              <w:right w:val="single" w:sz="4" w:space="0" w:color="auto"/>
            </w:tcBorders>
            <w:shd w:val="clear" w:color="000000" w:fill="305496"/>
            <w:vAlign w:val="center"/>
            <w:hideMark/>
          </w:tcPr>
          <w:p w14:paraId="0154928E" w14:textId="77777777" w:rsidR="007E572E" w:rsidRPr="00810C74" w:rsidRDefault="007E572E" w:rsidP="00985591">
            <w:pPr>
              <w:spacing w:line="276" w:lineRule="auto"/>
              <w:jc w:val="center"/>
              <w:rPr>
                <w:rFonts w:ascii="Book Antiqua" w:hAnsi="Book Antiqua" w:cs="Calibri"/>
                <w:b/>
                <w:bCs/>
                <w:color w:val="FFFFFF"/>
                <w:sz w:val="16"/>
                <w:szCs w:val="16"/>
                <w:lang w:eastAsia="es-CR"/>
              </w:rPr>
            </w:pPr>
            <w:r w:rsidRPr="00810C74">
              <w:rPr>
                <w:rFonts w:ascii="Book Antiqua" w:hAnsi="Book Antiqua" w:cs="Calibri"/>
                <w:b/>
                <w:bCs/>
                <w:color w:val="FFFFFF"/>
                <w:sz w:val="16"/>
                <w:szCs w:val="16"/>
                <w:lang w:eastAsia="es-CR"/>
              </w:rPr>
              <w:t>Desestimaciones, sobreseimientos y acusaciones</w:t>
            </w:r>
          </w:p>
        </w:tc>
        <w:tc>
          <w:tcPr>
            <w:tcW w:w="1200" w:type="dxa"/>
            <w:tcBorders>
              <w:top w:val="nil"/>
              <w:left w:val="nil"/>
              <w:bottom w:val="single" w:sz="4" w:space="0" w:color="auto"/>
              <w:right w:val="single" w:sz="4" w:space="0" w:color="auto"/>
            </w:tcBorders>
            <w:shd w:val="clear" w:color="000000" w:fill="305496"/>
            <w:vAlign w:val="center"/>
            <w:hideMark/>
          </w:tcPr>
          <w:p w14:paraId="24870B5C" w14:textId="77777777" w:rsidR="007E572E" w:rsidRPr="00810C74" w:rsidRDefault="007E572E" w:rsidP="00985591">
            <w:pPr>
              <w:spacing w:line="276" w:lineRule="auto"/>
              <w:jc w:val="center"/>
              <w:rPr>
                <w:rFonts w:ascii="Book Antiqua" w:hAnsi="Book Antiqua" w:cs="Calibri"/>
                <w:b/>
                <w:bCs/>
                <w:color w:val="FFFFFF"/>
                <w:sz w:val="16"/>
                <w:szCs w:val="16"/>
                <w:lang w:eastAsia="es-CR"/>
              </w:rPr>
            </w:pPr>
            <w:r w:rsidRPr="00810C74">
              <w:rPr>
                <w:rFonts w:ascii="Book Antiqua" w:hAnsi="Book Antiqua" w:cs="Calibri"/>
                <w:b/>
                <w:bCs/>
                <w:color w:val="FFFFFF"/>
                <w:sz w:val="16"/>
                <w:szCs w:val="16"/>
                <w:lang w:eastAsia="es-CR"/>
              </w:rPr>
              <w:t>Sentencias y medidas alternas</w:t>
            </w:r>
          </w:p>
        </w:tc>
        <w:tc>
          <w:tcPr>
            <w:tcW w:w="1360" w:type="dxa"/>
            <w:tcBorders>
              <w:top w:val="nil"/>
              <w:left w:val="nil"/>
              <w:bottom w:val="single" w:sz="4" w:space="0" w:color="auto"/>
              <w:right w:val="single" w:sz="4" w:space="0" w:color="auto"/>
            </w:tcBorders>
            <w:shd w:val="clear" w:color="000000" w:fill="305496"/>
            <w:vAlign w:val="center"/>
            <w:hideMark/>
          </w:tcPr>
          <w:p w14:paraId="6BCB7D9F" w14:textId="77777777" w:rsidR="007E572E" w:rsidRPr="00810C74" w:rsidRDefault="007E572E" w:rsidP="00985591">
            <w:pPr>
              <w:spacing w:line="276" w:lineRule="auto"/>
              <w:jc w:val="center"/>
              <w:rPr>
                <w:rFonts w:ascii="Book Antiqua" w:hAnsi="Book Antiqua" w:cs="Calibri"/>
                <w:b/>
                <w:bCs/>
                <w:color w:val="FFFFFF"/>
                <w:sz w:val="16"/>
                <w:szCs w:val="16"/>
                <w:lang w:eastAsia="es-CR"/>
              </w:rPr>
            </w:pPr>
            <w:r w:rsidRPr="00810C74">
              <w:rPr>
                <w:rFonts w:ascii="Book Antiqua" w:hAnsi="Book Antiqua" w:cs="Calibri"/>
                <w:b/>
                <w:bCs/>
                <w:color w:val="FFFFFF"/>
                <w:sz w:val="16"/>
                <w:szCs w:val="16"/>
                <w:lang w:eastAsia="es-CR"/>
              </w:rPr>
              <w:t>Audiencias iniciales, sentencias y medidas alternas</w:t>
            </w:r>
          </w:p>
        </w:tc>
        <w:tc>
          <w:tcPr>
            <w:tcW w:w="1200" w:type="dxa"/>
            <w:tcBorders>
              <w:top w:val="nil"/>
              <w:left w:val="nil"/>
              <w:bottom w:val="single" w:sz="4" w:space="0" w:color="auto"/>
              <w:right w:val="single" w:sz="4" w:space="0" w:color="auto"/>
            </w:tcBorders>
            <w:shd w:val="clear" w:color="000000" w:fill="305496"/>
            <w:vAlign w:val="center"/>
            <w:hideMark/>
          </w:tcPr>
          <w:p w14:paraId="789F20C0" w14:textId="77777777" w:rsidR="007E572E" w:rsidRPr="00810C74" w:rsidRDefault="007E572E" w:rsidP="00985591">
            <w:pPr>
              <w:spacing w:line="276" w:lineRule="auto"/>
              <w:jc w:val="center"/>
              <w:rPr>
                <w:rFonts w:ascii="Book Antiqua" w:hAnsi="Book Antiqua" w:cs="Calibri"/>
                <w:b/>
                <w:bCs/>
                <w:color w:val="FFFFFF"/>
                <w:sz w:val="16"/>
                <w:szCs w:val="16"/>
                <w:lang w:eastAsia="es-CR"/>
              </w:rPr>
            </w:pPr>
            <w:r w:rsidRPr="00810C74">
              <w:rPr>
                <w:rFonts w:ascii="Book Antiqua" w:hAnsi="Book Antiqua" w:cs="Calibri"/>
                <w:b/>
                <w:bCs/>
                <w:color w:val="FFFFFF"/>
                <w:sz w:val="16"/>
                <w:szCs w:val="16"/>
                <w:lang w:eastAsia="es-CR"/>
              </w:rPr>
              <w:t>Autos con carácter de sentencia</w:t>
            </w:r>
          </w:p>
        </w:tc>
        <w:tc>
          <w:tcPr>
            <w:tcW w:w="1340" w:type="dxa"/>
            <w:tcBorders>
              <w:top w:val="nil"/>
              <w:left w:val="nil"/>
              <w:bottom w:val="single" w:sz="4" w:space="0" w:color="auto"/>
              <w:right w:val="single" w:sz="4" w:space="0" w:color="auto"/>
            </w:tcBorders>
            <w:shd w:val="clear" w:color="000000" w:fill="305496"/>
            <w:vAlign w:val="center"/>
            <w:hideMark/>
          </w:tcPr>
          <w:p w14:paraId="0BB86236" w14:textId="77777777" w:rsidR="007E572E" w:rsidRPr="00810C74" w:rsidRDefault="007E572E" w:rsidP="00985591">
            <w:pPr>
              <w:spacing w:line="276" w:lineRule="auto"/>
              <w:jc w:val="center"/>
              <w:rPr>
                <w:rFonts w:ascii="Book Antiqua" w:hAnsi="Book Antiqua" w:cs="Calibri"/>
                <w:b/>
                <w:bCs/>
                <w:color w:val="FFFFFF"/>
                <w:sz w:val="16"/>
                <w:szCs w:val="16"/>
                <w:lang w:eastAsia="es-CR"/>
              </w:rPr>
            </w:pPr>
            <w:r w:rsidRPr="00810C74">
              <w:rPr>
                <w:rFonts w:ascii="Book Antiqua" w:hAnsi="Book Antiqua" w:cs="Calibri"/>
                <w:b/>
                <w:bCs/>
                <w:color w:val="FFFFFF"/>
                <w:sz w:val="16"/>
                <w:szCs w:val="16"/>
                <w:lang w:eastAsia="es-CR"/>
              </w:rPr>
              <w:t>Firma de resoluciones</w:t>
            </w:r>
          </w:p>
        </w:tc>
        <w:tc>
          <w:tcPr>
            <w:tcW w:w="1340" w:type="dxa"/>
            <w:tcBorders>
              <w:top w:val="nil"/>
              <w:left w:val="nil"/>
              <w:bottom w:val="single" w:sz="4" w:space="0" w:color="auto"/>
              <w:right w:val="single" w:sz="4" w:space="0" w:color="auto"/>
            </w:tcBorders>
            <w:shd w:val="clear" w:color="000000" w:fill="305496"/>
            <w:vAlign w:val="center"/>
            <w:hideMark/>
          </w:tcPr>
          <w:p w14:paraId="3B9C59DB" w14:textId="77777777" w:rsidR="007E572E" w:rsidRPr="00810C74" w:rsidRDefault="007E572E" w:rsidP="00985591">
            <w:pPr>
              <w:spacing w:line="276" w:lineRule="auto"/>
              <w:jc w:val="center"/>
              <w:rPr>
                <w:rFonts w:ascii="Book Antiqua" w:hAnsi="Book Antiqua" w:cs="Calibri"/>
                <w:b/>
                <w:bCs/>
                <w:color w:val="FFFFFF"/>
                <w:sz w:val="16"/>
                <w:szCs w:val="16"/>
                <w:lang w:eastAsia="es-CR"/>
              </w:rPr>
            </w:pPr>
            <w:r w:rsidRPr="00810C74">
              <w:rPr>
                <w:rFonts w:ascii="Book Antiqua" w:hAnsi="Book Antiqua" w:cs="Calibri"/>
                <w:b/>
                <w:bCs/>
                <w:color w:val="FFFFFF"/>
                <w:sz w:val="16"/>
                <w:szCs w:val="16"/>
                <w:lang w:eastAsia="es-CR"/>
              </w:rPr>
              <w:t>Proyecto terminado, circulado y votado</w:t>
            </w:r>
          </w:p>
        </w:tc>
        <w:tc>
          <w:tcPr>
            <w:tcW w:w="1200" w:type="dxa"/>
            <w:tcBorders>
              <w:top w:val="nil"/>
              <w:left w:val="nil"/>
              <w:bottom w:val="single" w:sz="4" w:space="0" w:color="auto"/>
              <w:right w:val="single" w:sz="4" w:space="0" w:color="auto"/>
            </w:tcBorders>
            <w:shd w:val="clear" w:color="000000" w:fill="305496"/>
            <w:vAlign w:val="center"/>
            <w:hideMark/>
          </w:tcPr>
          <w:p w14:paraId="782FEEC9" w14:textId="77777777" w:rsidR="007E572E" w:rsidRPr="00810C74" w:rsidRDefault="007E572E" w:rsidP="00985591">
            <w:pPr>
              <w:spacing w:line="276" w:lineRule="auto"/>
              <w:jc w:val="center"/>
              <w:rPr>
                <w:rFonts w:ascii="Book Antiqua" w:hAnsi="Book Antiqua" w:cs="Calibri"/>
                <w:b/>
                <w:bCs/>
                <w:color w:val="FFFFFF"/>
                <w:sz w:val="16"/>
                <w:szCs w:val="16"/>
                <w:lang w:eastAsia="es-CR"/>
              </w:rPr>
            </w:pPr>
            <w:r w:rsidRPr="00810C74">
              <w:rPr>
                <w:rFonts w:ascii="Book Antiqua" w:hAnsi="Book Antiqua" w:cs="Calibri"/>
                <w:b/>
                <w:bCs/>
                <w:color w:val="FFFFFF"/>
                <w:sz w:val="16"/>
                <w:szCs w:val="16"/>
                <w:lang w:eastAsia="es-CR"/>
              </w:rPr>
              <w:t>Proyectos</w:t>
            </w:r>
          </w:p>
        </w:tc>
      </w:tr>
      <w:tr w:rsidR="007E572E" w:rsidRPr="00810C74" w14:paraId="580E2BAE" w14:textId="77777777" w:rsidTr="007E572E">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3346F6BB"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w:t>
            </w:r>
          </w:p>
        </w:tc>
        <w:tc>
          <w:tcPr>
            <w:tcW w:w="1740" w:type="dxa"/>
            <w:tcBorders>
              <w:top w:val="nil"/>
              <w:left w:val="nil"/>
              <w:bottom w:val="single" w:sz="4" w:space="0" w:color="auto"/>
              <w:right w:val="single" w:sz="4" w:space="0" w:color="auto"/>
            </w:tcBorders>
            <w:shd w:val="clear" w:color="000000" w:fill="FFFFFF"/>
            <w:noWrap/>
            <w:vAlign w:val="center"/>
            <w:hideMark/>
          </w:tcPr>
          <w:p w14:paraId="44742DD0"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69%</w:t>
            </w:r>
          </w:p>
        </w:tc>
        <w:tc>
          <w:tcPr>
            <w:tcW w:w="1200" w:type="dxa"/>
            <w:tcBorders>
              <w:top w:val="nil"/>
              <w:left w:val="nil"/>
              <w:bottom w:val="single" w:sz="4" w:space="0" w:color="auto"/>
              <w:right w:val="single" w:sz="4" w:space="0" w:color="auto"/>
            </w:tcBorders>
            <w:shd w:val="clear" w:color="000000" w:fill="FFFFFF"/>
            <w:noWrap/>
            <w:vAlign w:val="center"/>
            <w:hideMark/>
          </w:tcPr>
          <w:p w14:paraId="380E6226"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142%</w:t>
            </w:r>
          </w:p>
        </w:tc>
        <w:tc>
          <w:tcPr>
            <w:tcW w:w="1360" w:type="dxa"/>
            <w:tcBorders>
              <w:top w:val="nil"/>
              <w:left w:val="nil"/>
              <w:bottom w:val="single" w:sz="4" w:space="0" w:color="auto"/>
              <w:right w:val="single" w:sz="4" w:space="0" w:color="auto"/>
            </w:tcBorders>
            <w:shd w:val="clear" w:color="000000" w:fill="FFFFFF"/>
            <w:noWrap/>
            <w:vAlign w:val="center"/>
            <w:hideMark/>
          </w:tcPr>
          <w:p w14:paraId="1AD820A0"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63%</w:t>
            </w:r>
          </w:p>
        </w:tc>
        <w:tc>
          <w:tcPr>
            <w:tcW w:w="1200" w:type="dxa"/>
            <w:tcBorders>
              <w:top w:val="nil"/>
              <w:left w:val="nil"/>
              <w:bottom w:val="single" w:sz="4" w:space="0" w:color="auto"/>
              <w:right w:val="single" w:sz="4" w:space="0" w:color="auto"/>
            </w:tcBorders>
            <w:shd w:val="clear" w:color="000000" w:fill="FFFFFF"/>
            <w:noWrap/>
            <w:vAlign w:val="center"/>
            <w:hideMark/>
          </w:tcPr>
          <w:p w14:paraId="70686547"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88%</w:t>
            </w:r>
          </w:p>
        </w:tc>
        <w:tc>
          <w:tcPr>
            <w:tcW w:w="1340" w:type="dxa"/>
            <w:tcBorders>
              <w:top w:val="nil"/>
              <w:left w:val="nil"/>
              <w:bottom w:val="single" w:sz="4" w:space="0" w:color="auto"/>
              <w:right w:val="single" w:sz="4" w:space="0" w:color="auto"/>
            </w:tcBorders>
            <w:shd w:val="clear" w:color="000000" w:fill="FFFFFF"/>
            <w:noWrap/>
            <w:vAlign w:val="center"/>
            <w:hideMark/>
          </w:tcPr>
          <w:p w14:paraId="700235BF"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190%</w:t>
            </w:r>
          </w:p>
        </w:tc>
        <w:tc>
          <w:tcPr>
            <w:tcW w:w="1340" w:type="dxa"/>
            <w:tcBorders>
              <w:top w:val="nil"/>
              <w:left w:val="nil"/>
              <w:bottom w:val="single" w:sz="4" w:space="0" w:color="auto"/>
              <w:right w:val="single" w:sz="4" w:space="0" w:color="auto"/>
            </w:tcBorders>
            <w:shd w:val="clear" w:color="000000" w:fill="FFFFFF"/>
            <w:noWrap/>
            <w:vAlign w:val="center"/>
            <w:hideMark/>
          </w:tcPr>
          <w:p w14:paraId="1FD4E264"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147%</w:t>
            </w:r>
          </w:p>
        </w:tc>
        <w:tc>
          <w:tcPr>
            <w:tcW w:w="1200" w:type="dxa"/>
            <w:tcBorders>
              <w:top w:val="nil"/>
              <w:left w:val="nil"/>
              <w:bottom w:val="single" w:sz="4" w:space="0" w:color="auto"/>
              <w:right w:val="single" w:sz="4" w:space="0" w:color="auto"/>
            </w:tcBorders>
            <w:shd w:val="clear" w:color="000000" w:fill="FFFFFF"/>
            <w:noWrap/>
            <w:vAlign w:val="center"/>
            <w:hideMark/>
          </w:tcPr>
          <w:p w14:paraId="44FDCF80"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115%</w:t>
            </w:r>
          </w:p>
        </w:tc>
      </w:tr>
      <w:tr w:rsidR="007E572E" w:rsidRPr="00810C74" w14:paraId="15E200F2" w14:textId="77777777" w:rsidTr="007E572E">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32AE854F"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2</w:t>
            </w:r>
          </w:p>
        </w:tc>
        <w:tc>
          <w:tcPr>
            <w:tcW w:w="1740" w:type="dxa"/>
            <w:tcBorders>
              <w:top w:val="nil"/>
              <w:left w:val="nil"/>
              <w:bottom w:val="single" w:sz="4" w:space="0" w:color="auto"/>
              <w:right w:val="single" w:sz="4" w:space="0" w:color="auto"/>
            </w:tcBorders>
            <w:shd w:val="clear" w:color="000000" w:fill="FFFFFF"/>
            <w:noWrap/>
            <w:vAlign w:val="center"/>
            <w:hideMark/>
          </w:tcPr>
          <w:p w14:paraId="6C3CEC08"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74%</w:t>
            </w:r>
          </w:p>
        </w:tc>
        <w:tc>
          <w:tcPr>
            <w:tcW w:w="1200" w:type="dxa"/>
            <w:tcBorders>
              <w:top w:val="nil"/>
              <w:left w:val="nil"/>
              <w:bottom w:val="single" w:sz="4" w:space="0" w:color="auto"/>
              <w:right w:val="single" w:sz="4" w:space="0" w:color="auto"/>
            </w:tcBorders>
            <w:shd w:val="clear" w:color="000000" w:fill="FFFFFF"/>
            <w:noWrap/>
            <w:vAlign w:val="center"/>
            <w:hideMark/>
          </w:tcPr>
          <w:p w14:paraId="7837E1EB"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86%</w:t>
            </w:r>
          </w:p>
        </w:tc>
        <w:tc>
          <w:tcPr>
            <w:tcW w:w="1360" w:type="dxa"/>
            <w:tcBorders>
              <w:top w:val="nil"/>
              <w:left w:val="nil"/>
              <w:bottom w:val="single" w:sz="4" w:space="0" w:color="auto"/>
              <w:right w:val="single" w:sz="4" w:space="0" w:color="auto"/>
            </w:tcBorders>
            <w:shd w:val="clear" w:color="000000" w:fill="FFFFFF"/>
            <w:noWrap/>
            <w:vAlign w:val="center"/>
            <w:hideMark/>
          </w:tcPr>
          <w:p w14:paraId="12E2EDAF"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77%</w:t>
            </w:r>
          </w:p>
        </w:tc>
        <w:tc>
          <w:tcPr>
            <w:tcW w:w="1200" w:type="dxa"/>
            <w:tcBorders>
              <w:top w:val="nil"/>
              <w:left w:val="nil"/>
              <w:bottom w:val="single" w:sz="4" w:space="0" w:color="auto"/>
              <w:right w:val="single" w:sz="4" w:space="0" w:color="auto"/>
            </w:tcBorders>
            <w:shd w:val="clear" w:color="000000" w:fill="FFFFFF"/>
            <w:noWrap/>
            <w:vAlign w:val="center"/>
            <w:hideMark/>
          </w:tcPr>
          <w:p w14:paraId="26C5090D"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85%</w:t>
            </w:r>
          </w:p>
        </w:tc>
        <w:tc>
          <w:tcPr>
            <w:tcW w:w="1340" w:type="dxa"/>
            <w:tcBorders>
              <w:top w:val="nil"/>
              <w:left w:val="nil"/>
              <w:bottom w:val="single" w:sz="4" w:space="0" w:color="auto"/>
              <w:right w:val="single" w:sz="4" w:space="0" w:color="auto"/>
            </w:tcBorders>
            <w:shd w:val="clear" w:color="000000" w:fill="FFFFFF"/>
            <w:noWrap/>
            <w:vAlign w:val="center"/>
            <w:hideMark/>
          </w:tcPr>
          <w:p w14:paraId="6FF8ED38"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227%</w:t>
            </w:r>
          </w:p>
        </w:tc>
        <w:tc>
          <w:tcPr>
            <w:tcW w:w="1340" w:type="dxa"/>
            <w:tcBorders>
              <w:top w:val="nil"/>
              <w:left w:val="nil"/>
              <w:bottom w:val="single" w:sz="4" w:space="0" w:color="auto"/>
              <w:right w:val="single" w:sz="4" w:space="0" w:color="auto"/>
            </w:tcBorders>
            <w:shd w:val="clear" w:color="000000" w:fill="FFFFFF"/>
            <w:noWrap/>
            <w:vAlign w:val="center"/>
            <w:hideMark/>
          </w:tcPr>
          <w:p w14:paraId="3BB171B5"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102%</w:t>
            </w:r>
          </w:p>
        </w:tc>
        <w:tc>
          <w:tcPr>
            <w:tcW w:w="1200" w:type="dxa"/>
            <w:tcBorders>
              <w:top w:val="nil"/>
              <w:left w:val="nil"/>
              <w:bottom w:val="single" w:sz="4" w:space="0" w:color="auto"/>
              <w:right w:val="single" w:sz="4" w:space="0" w:color="auto"/>
            </w:tcBorders>
            <w:shd w:val="clear" w:color="000000" w:fill="FFFFFF"/>
            <w:noWrap/>
            <w:vAlign w:val="center"/>
            <w:hideMark/>
          </w:tcPr>
          <w:p w14:paraId="21640A0B"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94%</w:t>
            </w:r>
          </w:p>
        </w:tc>
      </w:tr>
      <w:tr w:rsidR="007E572E" w:rsidRPr="00810C74" w14:paraId="1E664577" w14:textId="77777777" w:rsidTr="007E572E">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1A4AF931"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3</w:t>
            </w:r>
          </w:p>
        </w:tc>
        <w:tc>
          <w:tcPr>
            <w:tcW w:w="1740" w:type="dxa"/>
            <w:tcBorders>
              <w:top w:val="nil"/>
              <w:left w:val="nil"/>
              <w:bottom w:val="single" w:sz="4" w:space="0" w:color="auto"/>
              <w:right w:val="single" w:sz="4" w:space="0" w:color="auto"/>
            </w:tcBorders>
            <w:shd w:val="clear" w:color="000000" w:fill="FFFFFF"/>
            <w:noWrap/>
            <w:vAlign w:val="center"/>
            <w:hideMark/>
          </w:tcPr>
          <w:p w14:paraId="494685E5"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86%</w:t>
            </w:r>
          </w:p>
        </w:tc>
        <w:tc>
          <w:tcPr>
            <w:tcW w:w="1200" w:type="dxa"/>
            <w:tcBorders>
              <w:top w:val="nil"/>
              <w:left w:val="nil"/>
              <w:bottom w:val="single" w:sz="4" w:space="0" w:color="auto"/>
              <w:right w:val="single" w:sz="4" w:space="0" w:color="auto"/>
            </w:tcBorders>
            <w:shd w:val="clear" w:color="000000" w:fill="FFFFFF"/>
            <w:noWrap/>
            <w:vAlign w:val="center"/>
            <w:hideMark/>
          </w:tcPr>
          <w:p w14:paraId="318B8BC4"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92%</w:t>
            </w:r>
          </w:p>
        </w:tc>
        <w:tc>
          <w:tcPr>
            <w:tcW w:w="1360" w:type="dxa"/>
            <w:tcBorders>
              <w:top w:val="nil"/>
              <w:left w:val="nil"/>
              <w:bottom w:val="single" w:sz="4" w:space="0" w:color="auto"/>
              <w:right w:val="single" w:sz="4" w:space="0" w:color="auto"/>
            </w:tcBorders>
            <w:shd w:val="clear" w:color="000000" w:fill="FFFFFF"/>
            <w:noWrap/>
            <w:vAlign w:val="center"/>
            <w:hideMark/>
          </w:tcPr>
          <w:p w14:paraId="517DB56B"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53%</w:t>
            </w:r>
          </w:p>
        </w:tc>
        <w:tc>
          <w:tcPr>
            <w:tcW w:w="1200" w:type="dxa"/>
            <w:tcBorders>
              <w:top w:val="nil"/>
              <w:left w:val="nil"/>
              <w:bottom w:val="single" w:sz="4" w:space="0" w:color="auto"/>
              <w:right w:val="single" w:sz="4" w:space="0" w:color="auto"/>
            </w:tcBorders>
            <w:shd w:val="clear" w:color="000000" w:fill="FFFFFF"/>
            <w:noWrap/>
            <w:vAlign w:val="center"/>
            <w:hideMark/>
          </w:tcPr>
          <w:p w14:paraId="5EA5B431"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99%</w:t>
            </w:r>
          </w:p>
        </w:tc>
        <w:tc>
          <w:tcPr>
            <w:tcW w:w="1340" w:type="dxa"/>
            <w:tcBorders>
              <w:top w:val="nil"/>
              <w:left w:val="nil"/>
              <w:bottom w:val="single" w:sz="4" w:space="0" w:color="auto"/>
              <w:right w:val="single" w:sz="4" w:space="0" w:color="auto"/>
            </w:tcBorders>
            <w:shd w:val="clear" w:color="000000" w:fill="FFFFFF"/>
            <w:noWrap/>
            <w:vAlign w:val="center"/>
            <w:hideMark/>
          </w:tcPr>
          <w:p w14:paraId="15FEB257"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244%</w:t>
            </w:r>
          </w:p>
        </w:tc>
        <w:tc>
          <w:tcPr>
            <w:tcW w:w="1340" w:type="dxa"/>
            <w:tcBorders>
              <w:top w:val="nil"/>
              <w:left w:val="nil"/>
              <w:bottom w:val="single" w:sz="4" w:space="0" w:color="auto"/>
              <w:right w:val="single" w:sz="4" w:space="0" w:color="auto"/>
            </w:tcBorders>
            <w:shd w:val="clear" w:color="000000" w:fill="FFFFFF"/>
            <w:noWrap/>
            <w:vAlign w:val="center"/>
            <w:hideMark/>
          </w:tcPr>
          <w:p w14:paraId="670C74B7"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113%</w:t>
            </w:r>
          </w:p>
        </w:tc>
        <w:tc>
          <w:tcPr>
            <w:tcW w:w="1200" w:type="dxa"/>
            <w:tcBorders>
              <w:top w:val="nil"/>
              <w:left w:val="nil"/>
              <w:bottom w:val="single" w:sz="4" w:space="0" w:color="auto"/>
              <w:right w:val="single" w:sz="4" w:space="0" w:color="auto"/>
            </w:tcBorders>
            <w:shd w:val="clear" w:color="000000" w:fill="FFFFFF"/>
            <w:noWrap/>
            <w:vAlign w:val="center"/>
            <w:hideMark/>
          </w:tcPr>
          <w:p w14:paraId="63E68AC3"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94%</w:t>
            </w:r>
          </w:p>
        </w:tc>
      </w:tr>
      <w:tr w:rsidR="007E572E" w:rsidRPr="00810C74" w14:paraId="199A4822" w14:textId="77777777" w:rsidTr="007E572E">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5483ABEA"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4</w:t>
            </w:r>
          </w:p>
        </w:tc>
        <w:tc>
          <w:tcPr>
            <w:tcW w:w="1740" w:type="dxa"/>
            <w:tcBorders>
              <w:top w:val="nil"/>
              <w:left w:val="nil"/>
              <w:bottom w:val="single" w:sz="4" w:space="0" w:color="auto"/>
              <w:right w:val="single" w:sz="4" w:space="0" w:color="auto"/>
            </w:tcBorders>
            <w:shd w:val="clear" w:color="000000" w:fill="FFFFFF"/>
            <w:noWrap/>
            <w:vAlign w:val="center"/>
            <w:hideMark/>
          </w:tcPr>
          <w:p w14:paraId="5A670700"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96%</w:t>
            </w:r>
          </w:p>
        </w:tc>
        <w:tc>
          <w:tcPr>
            <w:tcW w:w="1200" w:type="dxa"/>
            <w:tcBorders>
              <w:top w:val="nil"/>
              <w:left w:val="nil"/>
              <w:bottom w:val="single" w:sz="4" w:space="0" w:color="auto"/>
              <w:right w:val="single" w:sz="4" w:space="0" w:color="auto"/>
            </w:tcBorders>
            <w:shd w:val="clear" w:color="000000" w:fill="FFFFFF"/>
            <w:noWrap/>
            <w:vAlign w:val="center"/>
            <w:hideMark/>
          </w:tcPr>
          <w:p w14:paraId="3D84606B"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97%</w:t>
            </w:r>
          </w:p>
        </w:tc>
        <w:tc>
          <w:tcPr>
            <w:tcW w:w="1360" w:type="dxa"/>
            <w:tcBorders>
              <w:top w:val="nil"/>
              <w:left w:val="nil"/>
              <w:bottom w:val="single" w:sz="4" w:space="0" w:color="auto"/>
              <w:right w:val="single" w:sz="4" w:space="0" w:color="auto"/>
            </w:tcBorders>
            <w:shd w:val="clear" w:color="000000" w:fill="FFFFFF"/>
            <w:noWrap/>
            <w:vAlign w:val="center"/>
            <w:hideMark/>
          </w:tcPr>
          <w:p w14:paraId="1A73C569"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44%</w:t>
            </w:r>
          </w:p>
        </w:tc>
        <w:tc>
          <w:tcPr>
            <w:tcW w:w="1200" w:type="dxa"/>
            <w:tcBorders>
              <w:top w:val="nil"/>
              <w:left w:val="nil"/>
              <w:bottom w:val="single" w:sz="4" w:space="0" w:color="auto"/>
              <w:right w:val="single" w:sz="4" w:space="0" w:color="auto"/>
            </w:tcBorders>
            <w:shd w:val="clear" w:color="000000" w:fill="FFFFFF"/>
            <w:noWrap/>
            <w:vAlign w:val="center"/>
            <w:hideMark/>
          </w:tcPr>
          <w:p w14:paraId="66690D22"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161%</w:t>
            </w:r>
          </w:p>
        </w:tc>
        <w:tc>
          <w:tcPr>
            <w:tcW w:w="1340" w:type="dxa"/>
            <w:tcBorders>
              <w:top w:val="nil"/>
              <w:left w:val="nil"/>
              <w:bottom w:val="single" w:sz="4" w:space="0" w:color="auto"/>
              <w:right w:val="single" w:sz="4" w:space="0" w:color="auto"/>
            </w:tcBorders>
            <w:shd w:val="clear" w:color="000000" w:fill="FFFFFF"/>
            <w:noWrap/>
            <w:vAlign w:val="center"/>
            <w:hideMark/>
          </w:tcPr>
          <w:p w14:paraId="6729AFD6"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273%</w:t>
            </w:r>
          </w:p>
        </w:tc>
        <w:tc>
          <w:tcPr>
            <w:tcW w:w="1340" w:type="dxa"/>
            <w:tcBorders>
              <w:top w:val="nil"/>
              <w:left w:val="nil"/>
              <w:bottom w:val="single" w:sz="4" w:space="0" w:color="auto"/>
              <w:right w:val="single" w:sz="4" w:space="0" w:color="auto"/>
            </w:tcBorders>
            <w:shd w:val="clear" w:color="000000" w:fill="FFFFFF"/>
            <w:noWrap/>
            <w:vAlign w:val="center"/>
            <w:hideMark/>
          </w:tcPr>
          <w:p w14:paraId="454B8074"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198%</w:t>
            </w:r>
          </w:p>
        </w:tc>
        <w:tc>
          <w:tcPr>
            <w:tcW w:w="1200" w:type="dxa"/>
            <w:tcBorders>
              <w:top w:val="nil"/>
              <w:left w:val="nil"/>
              <w:bottom w:val="single" w:sz="4" w:space="0" w:color="auto"/>
              <w:right w:val="single" w:sz="4" w:space="0" w:color="auto"/>
            </w:tcBorders>
            <w:shd w:val="clear" w:color="000000" w:fill="FFFFFF"/>
            <w:noWrap/>
            <w:vAlign w:val="center"/>
            <w:hideMark/>
          </w:tcPr>
          <w:p w14:paraId="7C8BC890"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68%</w:t>
            </w:r>
          </w:p>
        </w:tc>
      </w:tr>
      <w:tr w:rsidR="007E572E" w:rsidRPr="00810C74" w14:paraId="09D6DA6B" w14:textId="77777777" w:rsidTr="007E572E">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4ECDF1BB"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5</w:t>
            </w:r>
          </w:p>
        </w:tc>
        <w:tc>
          <w:tcPr>
            <w:tcW w:w="1740" w:type="dxa"/>
            <w:tcBorders>
              <w:top w:val="nil"/>
              <w:left w:val="nil"/>
              <w:bottom w:val="single" w:sz="4" w:space="0" w:color="auto"/>
              <w:right w:val="single" w:sz="4" w:space="0" w:color="auto"/>
            </w:tcBorders>
            <w:shd w:val="clear" w:color="000000" w:fill="FFFFFF"/>
            <w:noWrap/>
            <w:vAlign w:val="center"/>
            <w:hideMark/>
          </w:tcPr>
          <w:p w14:paraId="4DBF614F"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73%</w:t>
            </w:r>
          </w:p>
        </w:tc>
        <w:tc>
          <w:tcPr>
            <w:tcW w:w="1200" w:type="dxa"/>
            <w:tcBorders>
              <w:top w:val="nil"/>
              <w:left w:val="nil"/>
              <w:bottom w:val="single" w:sz="4" w:space="0" w:color="auto"/>
              <w:right w:val="single" w:sz="4" w:space="0" w:color="auto"/>
            </w:tcBorders>
            <w:shd w:val="clear" w:color="000000" w:fill="FFFFFF"/>
            <w:noWrap/>
            <w:vAlign w:val="center"/>
            <w:hideMark/>
          </w:tcPr>
          <w:p w14:paraId="4204ED63"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93%</w:t>
            </w:r>
          </w:p>
        </w:tc>
        <w:tc>
          <w:tcPr>
            <w:tcW w:w="1360" w:type="dxa"/>
            <w:tcBorders>
              <w:top w:val="nil"/>
              <w:left w:val="nil"/>
              <w:bottom w:val="single" w:sz="4" w:space="0" w:color="auto"/>
              <w:right w:val="single" w:sz="4" w:space="0" w:color="auto"/>
            </w:tcBorders>
            <w:shd w:val="clear" w:color="000000" w:fill="FFFFFF"/>
            <w:noWrap/>
            <w:vAlign w:val="center"/>
            <w:hideMark/>
          </w:tcPr>
          <w:p w14:paraId="5213D910"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58%</w:t>
            </w:r>
          </w:p>
        </w:tc>
        <w:tc>
          <w:tcPr>
            <w:tcW w:w="1200" w:type="dxa"/>
            <w:tcBorders>
              <w:top w:val="nil"/>
              <w:left w:val="nil"/>
              <w:bottom w:val="single" w:sz="4" w:space="0" w:color="auto"/>
              <w:right w:val="single" w:sz="4" w:space="0" w:color="auto"/>
            </w:tcBorders>
            <w:shd w:val="clear" w:color="000000" w:fill="FFFFFF"/>
            <w:noWrap/>
            <w:vAlign w:val="center"/>
            <w:hideMark/>
          </w:tcPr>
          <w:p w14:paraId="5E7B1C71"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109%</w:t>
            </w:r>
          </w:p>
        </w:tc>
        <w:tc>
          <w:tcPr>
            <w:tcW w:w="1340" w:type="dxa"/>
            <w:tcBorders>
              <w:top w:val="nil"/>
              <w:left w:val="nil"/>
              <w:bottom w:val="single" w:sz="4" w:space="0" w:color="auto"/>
              <w:right w:val="single" w:sz="4" w:space="0" w:color="auto"/>
            </w:tcBorders>
            <w:shd w:val="clear" w:color="000000" w:fill="FFFFFF"/>
            <w:noWrap/>
            <w:vAlign w:val="center"/>
            <w:hideMark/>
          </w:tcPr>
          <w:p w14:paraId="33FF0EE4"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185%</w:t>
            </w:r>
          </w:p>
        </w:tc>
        <w:tc>
          <w:tcPr>
            <w:tcW w:w="1340" w:type="dxa"/>
            <w:tcBorders>
              <w:top w:val="nil"/>
              <w:left w:val="nil"/>
              <w:bottom w:val="single" w:sz="4" w:space="0" w:color="auto"/>
              <w:right w:val="single" w:sz="4" w:space="0" w:color="auto"/>
            </w:tcBorders>
            <w:shd w:val="clear" w:color="000000" w:fill="FFFFFF"/>
            <w:noWrap/>
            <w:vAlign w:val="center"/>
            <w:hideMark/>
          </w:tcPr>
          <w:p w14:paraId="5AEB139F"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88%</w:t>
            </w:r>
          </w:p>
        </w:tc>
        <w:tc>
          <w:tcPr>
            <w:tcW w:w="1200" w:type="dxa"/>
            <w:tcBorders>
              <w:top w:val="nil"/>
              <w:left w:val="nil"/>
              <w:bottom w:val="single" w:sz="4" w:space="0" w:color="auto"/>
              <w:right w:val="single" w:sz="4" w:space="0" w:color="auto"/>
            </w:tcBorders>
            <w:shd w:val="clear" w:color="000000" w:fill="FFFFFF"/>
            <w:noWrap/>
            <w:vAlign w:val="center"/>
            <w:hideMark/>
          </w:tcPr>
          <w:p w14:paraId="075CAFF4"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88%</w:t>
            </w:r>
          </w:p>
        </w:tc>
      </w:tr>
      <w:tr w:rsidR="007E572E" w:rsidRPr="00810C74" w14:paraId="7EE90AA6" w14:textId="77777777" w:rsidTr="007E572E">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1285E5E2"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6</w:t>
            </w:r>
          </w:p>
        </w:tc>
        <w:tc>
          <w:tcPr>
            <w:tcW w:w="1740" w:type="dxa"/>
            <w:tcBorders>
              <w:top w:val="nil"/>
              <w:left w:val="nil"/>
              <w:bottom w:val="single" w:sz="4" w:space="0" w:color="auto"/>
              <w:right w:val="single" w:sz="4" w:space="0" w:color="auto"/>
            </w:tcBorders>
            <w:shd w:val="clear" w:color="000000" w:fill="FFFFFF"/>
            <w:noWrap/>
            <w:vAlign w:val="center"/>
            <w:hideMark/>
          </w:tcPr>
          <w:p w14:paraId="35D0CC9E"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81%</w:t>
            </w:r>
          </w:p>
        </w:tc>
        <w:tc>
          <w:tcPr>
            <w:tcW w:w="1200" w:type="dxa"/>
            <w:tcBorders>
              <w:top w:val="nil"/>
              <w:left w:val="nil"/>
              <w:bottom w:val="single" w:sz="4" w:space="0" w:color="auto"/>
              <w:right w:val="single" w:sz="4" w:space="0" w:color="auto"/>
            </w:tcBorders>
            <w:shd w:val="clear" w:color="000000" w:fill="FFFFFF"/>
            <w:noWrap/>
            <w:vAlign w:val="center"/>
            <w:hideMark/>
          </w:tcPr>
          <w:p w14:paraId="2646A81C"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88%</w:t>
            </w:r>
          </w:p>
        </w:tc>
        <w:tc>
          <w:tcPr>
            <w:tcW w:w="1360" w:type="dxa"/>
            <w:tcBorders>
              <w:top w:val="nil"/>
              <w:left w:val="nil"/>
              <w:bottom w:val="single" w:sz="4" w:space="0" w:color="auto"/>
              <w:right w:val="single" w:sz="4" w:space="0" w:color="auto"/>
            </w:tcBorders>
            <w:shd w:val="clear" w:color="000000" w:fill="FFFFFF"/>
            <w:noWrap/>
            <w:vAlign w:val="center"/>
            <w:hideMark/>
          </w:tcPr>
          <w:p w14:paraId="7FAC046C"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58%</w:t>
            </w:r>
          </w:p>
        </w:tc>
        <w:tc>
          <w:tcPr>
            <w:tcW w:w="1200" w:type="dxa"/>
            <w:tcBorders>
              <w:top w:val="nil"/>
              <w:left w:val="nil"/>
              <w:bottom w:val="single" w:sz="4" w:space="0" w:color="auto"/>
              <w:right w:val="single" w:sz="4" w:space="0" w:color="auto"/>
            </w:tcBorders>
            <w:shd w:val="clear" w:color="000000" w:fill="FFFFFF"/>
            <w:noWrap/>
            <w:vAlign w:val="center"/>
            <w:hideMark/>
          </w:tcPr>
          <w:p w14:paraId="0532A3AA"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96%</w:t>
            </w:r>
          </w:p>
        </w:tc>
        <w:tc>
          <w:tcPr>
            <w:tcW w:w="1340" w:type="dxa"/>
            <w:tcBorders>
              <w:top w:val="nil"/>
              <w:left w:val="nil"/>
              <w:bottom w:val="single" w:sz="4" w:space="0" w:color="auto"/>
              <w:right w:val="single" w:sz="4" w:space="0" w:color="auto"/>
            </w:tcBorders>
            <w:shd w:val="clear" w:color="000000" w:fill="FFFFFF"/>
            <w:noWrap/>
            <w:vAlign w:val="center"/>
            <w:hideMark/>
          </w:tcPr>
          <w:p w14:paraId="02BD7120"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871%</w:t>
            </w:r>
          </w:p>
        </w:tc>
        <w:tc>
          <w:tcPr>
            <w:tcW w:w="1340" w:type="dxa"/>
            <w:tcBorders>
              <w:top w:val="nil"/>
              <w:left w:val="nil"/>
              <w:bottom w:val="single" w:sz="4" w:space="0" w:color="auto"/>
              <w:right w:val="single" w:sz="4" w:space="0" w:color="auto"/>
            </w:tcBorders>
            <w:shd w:val="clear" w:color="000000" w:fill="FFFFFF"/>
            <w:noWrap/>
            <w:vAlign w:val="center"/>
            <w:hideMark/>
          </w:tcPr>
          <w:p w14:paraId="38A98D3A"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105%</w:t>
            </w:r>
          </w:p>
        </w:tc>
        <w:tc>
          <w:tcPr>
            <w:tcW w:w="1200" w:type="dxa"/>
            <w:tcBorders>
              <w:top w:val="nil"/>
              <w:left w:val="nil"/>
              <w:bottom w:val="single" w:sz="4" w:space="0" w:color="auto"/>
              <w:right w:val="single" w:sz="4" w:space="0" w:color="auto"/>
            </w:tcBorders>
            <w:shd w:val="clear" w:color="000000" w:fill="FFFFFF"/>
            <w:noWrap/>
            <w:vAlign w:val="center"/>
            <w:hideMark/>
          </w:tcPr>
          <w:p w14:paraId="5B9BB12E"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97%</w:t>
            </w:r>
          </w:p>
        </w:tc>
      </w:tr>
      <w:tr w:rsidR="007E572E" w:rsidRPr="00810C74" w14:paraId="7A6574A9" w14:textId="77777777" w:rsidTr="007E572E">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4D4A7372"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7</w:t>
            </w:r>
          </w:p>
        </w:tc>
        <w:tc>
          <w:tcPr>
            <w:tcW w:w="1740" w:type="dxa"/>
            <w:tcBorders>
              <w:top w:val="nil"/>
              <w:left w:val="nil"/>
              <w:bottom w:val="single" w:sz="4" w:space="0" w:color="auto"/>
              <w:right w:val="single" w:sz="4" w:space="0" w:color="auto"/>
            </w:tcBorders>
            <w:shd w:val="clear" w:color="000000" w:fill="FFFFFF"/>
            <w:noWrap/>
            <w:vAlign w:val="center"/>
            <w:hideMark/>
          </w:tcPr>
          <w:p w14:paraId="3C3BC10B"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81%</w:t>
            </w:r>
          </w:p>
        </w:tc>
        <w:tc>
          <w:tcPr>
            <w:tcW w:w="1200" w:type="dxa"/>
            <w:tcBorders>
              <w:top w:val="nil"/>
              <w:left w:val="nil"/>
              <w:bottom w:val="single" w:sz="4" w:space="0" w:color="auto"/>
              <w:right w:val="single" w:sz="4" w:space="0" w:color="auto"/>
            </w:tcBorders>
            <w:shd w:val="clear" w:color="000000" w:fill="FFFFFF"/>
            <w:noWrap/>
            <w:vAlign w:val="center"/>
            <w:hideMark/>
          </w:tcPr>
          <w:p w14:paraId="5B699AA9"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71%</w:t>
            </w:r>
          </w:p>
        </w:tc>
        <w:tc>
          <w:tcPr>
            <w:tcW w:w="1360" w:type="dxa"/>
            <w:tcBorders>
              <w:top w:val="nil"/>
              <w:left w:val="nil"/>
              <w:bottom w:val="single" w:sz="4" w:space="0" w:color="auto"/>
              <w:right w:val="single" w:sz="4" w:space="0" w:color="auto"/>
            </w:tcBorders>
            <w:shd w:val="clear" w:color="000000" w:fill="FFFFFF"/>
            <w:noWrap/>
            <w:vAlign w:val="center"/>
            <w:hideMark/>
          </w:tcPr>
          <w:p w14:paraId="7D5F3329"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56%</w:t>
            </w:r>
          </w:p>
        </w:tc>
        <w:tc>
          <w:tcPr>
            <w:tcW w:w="1200" w:type="dxa"/>
            <w:tcBorders>
              <w:top w:val="nil"/>
              <w:left w:val="nil"/>
              <w:bottom w:val="single" w:sz="4" w:space="0" w:color="auto"/>
              <w:right w:val="single" w:sz="4" w:space="0" w:color="auto"/>
            </w:tcBorders>
            <w:shd w:val="clear" w:color="000000" w:fill="FFFFFF"/>
            <w:noWrap/>
            <w:vAlign w:val="center"/>
            <w:hideMark/>
          </w:tcPr>
          <w:p w14:paraId="483AB011"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93%</w:t>
            </w:r>
          </w:p>
        </w:tc>
        <w:tc>
          <w:tcPr>
            <w:tcW w:w="1340" w:type="dxa"/>
            <w:tcBorders>
              <w:top w:val="nil"/>
              <w:left w:val="nil"/>
              <w:bottom w:val="single" w:sz="4" w:space="0" w:color="auto"/>
              <w:right w:val="single" w:sz="4" w:space="0" w:color="auto"/>
            </w:tcBorders>
            <w:shd w:val="clear" w:color="000000" w:fill="FFFFFF"/>
            <w:noWrap/>
            <w:vAlign w:val="center"/>
            <w:hideMark/>
          </w:tcPr>
          <w:p w14:paraId="0E8165E7"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227%</w:t>
            </w:r>
          </w:p>
        </w:tc>
        <w:tc>
          <w:tcPr>
            <w:tcW w:w="1340" w:type="dxa"/>
            <w:tcBorders>
              <w:top w:val="nil"/>
              <w:left w:val="nil"/>
              <w:bottom w:val="single" w:sz="4" w:space="0" w:color="auto"/>
              <w:right w:val="single" w:sz="4" w:space="0" w:color="auto"/>
            </w:tcBorders>
            <w:shd w:val="clear" w:color="000000" w:fill="FFFFFF"/>
            <w:noWrap/>
            <w:vAlign w:val="center"/>
            <w:hideMark/>
          </w:tcPr>
          <w:p w14:paraId="152F0DB6"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69%</w:t>
            </w:r>
          </w:p>
        </w:tc>
        <w:tc>
          <w:tcPr>
            <w:tcW w:w="1200" w:type="dxa"/>
            <w:tcBorders>
              <w:top w:val="nil"/>
              <w:left w:val="nil"/>
              <w:bottom w:val="single" w:sz="4" w:space="0" w:color="auto"/>
              <w:right w:val="single" w:sz="4" w:space="0" w:color="auto"/>
            </w:tcBorders>
            <w:shd w:val="clear" w:color="000000" w:fill="FFFFFF"/>
            <w:noWrap/>
            <w:vAlign w:val="center"/>
            <w:hideMark/>
          </w:tcPr>
          <w:p w14:paraId="492DBAD6"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82%</w:t>
            </w:r>
          </w:p>
        </w:tc>
      </w:tr>
      <w:tr w:rsidR="007E572E" w:rsidRPr="00810C74" w14:paraId="1CE89627" w14:textId="77777777" w:rsidTr="007E572E">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21397E31"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8</w:t>
            </w:r>
          </w:p>
        </w:tc>
        <w:tc>
          <w:tcPr>
            <w:tcW w:w="1740" w:type="dxa"/>
            <w:tcBorders>
              <w:top w:val="nil"/>
              <w:left w:val="nil"/>
              <w:bottom w:val="single" w:sz="4" w:space="0" w:color="auto"/>
              <w:right w:val="single" w:sz="4" w:space="0" w:color="auto"/>
            </w:tcBorders>
            <w:shd w:val="clear" w:color="000000" w:fill="FFFFFF"/>
            <w:noWrap/>
            <w:vAlign w:val="center"/>
            <w:hideMark/>
          </w:tcPr>
          <w:p w14:paraId="35AAEEF3"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78%</w:t>
            </w:r>
          </w:p>
        </w:tc>
        <w:tc>
          <w:tcPr>
            <w:tcW w:w="1200" w:type="dxa"/>
            <w:tcBorders>
              <w:top w:val="nil"/>
              <w:left w:val="nil"/>
              <w:bottom w:val="single" w:sz="4" w:space="0" w:color="auto"/>
              <w:right w:val="single" w:sz="4" w:space="0" w:color="auto"/>
            </w:tcBorders>
            <w:shd w:val="clear" w:color="000000" w:fill="FFFFFF"/>
            <w:noWrap/>
            <w:vAlign w:val="center"/>
            <w:hideMark/>
          </w:tcPr>
          <w:p w14:paraId="799DAF40"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115%</w:t>
            </w:r>
          </w:p>
        </w:tc>
        <w:tc>
          <w:tcPr>
            <w:tcW w:w="1360" w:type="dxa"/>
            <w:tcBorders>
              <w:top w:val="nil"/>
              <w:left w:val="nil"/>
              <w:bottom w:val="single" w:sz="4" w:space="0" w:color="auto"/>
              <w:right w:val="single" w:sz="4" w:space="0" w:color="auto"/>
            </w:tcBorders>
            <w:shd w:val="clear" w:color="000000" w:fill="FFFFFF"/>
            <w:noWrap/>
            <w:vAlign w:val="center"/>
            <w:hideMark/>
          </w:tcPr>
          <w:p w14:paraId="31591553"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63%</w:t>
            </w:r>
          </w:p>
        </w:tc>
        <w:tc>
          <w:tcPr>
            <w:tcW w:w="1200" w:type="dxa"/>
            <w:tcBorders>
              <w:top w:val="nil"/>
              <w:left w:val="nil"/>
              <w:bottom w:val="single" w:sz="4" w:space="0" w:color="auto"/>
              <w:right w:val="single" w:sz="4" w:space="0" w:color="auto"/>
            </w:tcBorders>
            <w:shd w:val="clear" w:color="000000" w:fill="FFFFFF"/>
            <w:noWrap/>
            <w:vAlign w:val="center"/>
            <w:hideMark/>
          </w:tcPr>
          <w:p w14:paraId="4193DA5C"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113%</w:t>
            </w:r>
          </w:p>
        </w:tc>
        <w:tc>
          <w:tcPr>
            <w:tcW w:w="1340" w:type="dxa"/>
            <w:tcBorders>
              <w:top w:val="nil"/>
              <w:left w:val="nil"/>
              <w:bottom w:val="single" w:sz="4" w:space="0" w:color="auto"/>
              <w:right w:val="single" w:sz="4" w:space="0" w:color="auto"/>
            </w:tcBorders>
            <w:shd w:val="clear" w:color="000000" w:fill="FFFFFF"/>
            <w:noWrap/>
            <w:vAlign w:val="center"/>
            <w:hideMark/>
          </w:tcPr>
          <w:p w14:paraId="602CC0A7"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169%</w:t>
            </w:r>
          </w:p>
        </w:tc>
        <w:tc>
          <w:tcPr>
            <w:tcW w:w="1340" w:type="dxa"/>
            <w:tcBorders>
              <w:top w:val="nil"/>
              <w:left w:val="nil"/>
              <w:bottom w:val="single" w:sz="4" w:space="0" w:color="auto"/>
              <w:right w:val="single" w:sz="4" w:space="0" w:color="auto"/>
            </w:tcBorders>
            <w:shd w:val="clear" w:color="000000" w:fill="FFFFFF"/>
            <w:noWrap/>
            <w:vAlign w:val="center"/>
            <w:hideMark/>
          </w:tcPr>
          <w:p w14:paraId="2FE7C094"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88%</w:t>
            </w:r>
          </w:p>
        </w:tc>
        <w:tc>
          <w:tcPr>
            <w:tcW w:w="1200" w:type="dxa"/>
            <w:tcBorders>
              <w:top w:val="nil"/>
              <w:left w:val="nil"/>
              <w:bottom w:val="single" w:sz="4" w:space="0" w:color="auto"/>
              <w:right w:val="single" w:sz="4" w:space="0" w:color="auto"/>
            </w:tcBorders>
            <w:shd w:val="clear" w:color="000000" w:fill="FFFFFF"/>
            <w:noWrap/>
            <w:vAlign w:val="center"/>
            <w:hideMark/>
          </w:tcPr>
          <w:p w14:paraId="68D3B58B"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112%</w:t>
            </w:r>
          </w:p>
        </w:tc>
      </w:tr>
      <w:tr w:rsidR="007E572E" w:rsidRPr="00810C74" w14:paraId="524A574C" w14:textId="77777777" w:rsidTr="007E572E">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21D504ED"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9</w:t>
            </w:r>
          </w:p>
        </w:tc>
        <w:tc>
          <w:tcPr>
            <w:tcW w:w="1740" w:type="dxa"/>
            <w:tcBorders>
              <w:top w:val="nil"/>
              <w:left w:val="nil"/>
              <w:bottom w:val="single" w:sz="4" w:space="0" w:color="auto"/>
              <w:right w:val="single" w:sz="4" w:space="0" w:color="auto"/>
            </w:tcBorders>
            <w:shd w:val="clear" w:color="000000" w:fill="FFFFFF"/>
            <w:noWrap/>
            <w:vAlign w:val="center"/>
            <w:hideMark/>
          </w:tcPr>
          <w:p w14:paraId="042AB8C4"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71%</w:t>
            </w:r>
          </w:p>
        </w:tc>
        <w:tc>
          <w:tcPr>
            <w:tcW w:w="1200" w:type="dxa"/>
            <w:tcBorders>
              <w:top w:val="nil"/>
              <w:left w:val="nil"/>
              <w:bottom w:val="single" w:sz="4" w:space="0" w:color="auto"/>
              <w:right w:val="single" w:sz="4" w:space="0" w:color="auto"/>
            </w:tcBorders>
            <w:shd w:val="clear" w:color="000000" w:fill="FFFFFF"/>
            <w:noWrap/>
            <w:vAlign w:val="center"/>
            <w:hideMark/>
          </w:tcPr>
          <w:p w14:paraId="75FEE14F"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133%</w:t>
            </w:r>
          </w:p>
        </w:tc>
        <w:tc>
          <w:tcPr>
            <w:tcW w:w="1360" w:type="dxa"/>
            <w:tcBorders>
              <w:top w:val="nil"/>
              <w:left w:val="nil"/>
              <w:bottom w:val="single" w:sz="4" w:space="0" w:color="auto"/>
              <w:right w:val="single" w:sz="4" w:space="0" w:color="auto"/>
            </w:tcBorders>
            <w:shd w:val="clear" w:color="000000" w:fill="FFFFFF"/>
            <w:noWrap/>
            <w:vAlign w:val="center"/>
            <w:hideMark/>
          </w:tcPr>
          <w:p w14:paraId="4E16970C"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52%</w:t>
            </w:r>
          </w:p>
        </w:tc>
        <w:tc>
          <w:tcPr>
            <w:tcW w:w="1200" w:type="dxa"/>
            <w:tcBorders>
              <w:top w:val="nil"/>
              <w:left w:val="nil"/>
              <w:bottom w:val="single" w:sz="4" w:space="0" w:color="auto"/>
              <w:right w:val="single" w:sz="4" w:space="0" w:color="auto"/>
            </w:tcBorders>
            <w:shd w:val="clear" w:color="000000" w:fill="FFFFFF"/>
            <w:noWrap/>
            <w:vAlign w:val="center"/>
            <w:hideMark/>
          </w:tcPr>
          <w:p w14:paraId="53AD913B"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109%</w:t>
            </w:r>
          </w:p>
        </w:tc>
        <w:tc>
          <w:tcPr>
            <w:tcW w:w="1340" w:type="dxa"/>
            <w:tcBorders>
              <w:top w:val="nil"/>
              <w:left w:val="nil"/>
              <w:bottom w:val="single" w:sz="4" w:space="0" w:color="auto"/>
              <w:right w:val="single" w:sz="4" w:space="0" w:color="auto"/>
            </w:tcBorders>
            <w:shd w:val="clear" w:color="000000" w:fill="FFFFFF"/>
            <w:noWrap/>
            <w:vAlign w:val="center"/>
            <w:hideMark/>
          </w:tcPr>
          <w:p w14:paraId="44A97786"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185%</w:t>
            </w:r>
          </w:p>
        </w:tc>
        <w:tc>
          <w:tcPr>
            <w:tcW w:w="1340" w:type="dxa"/>
            <w:tcBorders>
              <w:top w:val="nil"/>
              <w:left w:val="nil"/>
              <w:bottom w:val="single" w:sz="4" w:space="0" w:color="auto"/>
              <w:right w:val="single" w:sz="4" w:space="0" w:color="auto"/>
            </w:tcBorders>
            <w:shd w:val="clear" w:color="000000" w:fill="FFFFFF"/>
            <w:noWrap/>
            <w:vAlign w:val="center"/>
            <w:hideMark/>
          </w:tcPr>
          <w:p w14:paraId="345B2985"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81%</w:t>
            </w:r>
          </w:p>
        </w:tc>
        <w:tc>
          <w:tcPr>
            <w:tcW w:w="1200" w:type="dxa"/>
            <w:tcBorders>
              <w:top w:val="nil"/>
              <w:left w:val="nil"/>
              <w:bottom w:val="single" w:sz="4" w:space="0" w:color="auto"/>
              <w:right w:val="single" w:sz="4" w:space="0" w:color="auto"/>
            </w:tcBorders>
            <w:shd w:val="clear" w:color="000000" w:fill="FFFFFF"/>
            <w:noWrap/>
            <w:vAlign w:val="center"/>
            <w:hideMark/>
          </w:tcPr>
          <w:p w14:paraId="2854A4FD"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97%</w:t>
            </w:r>
          </w:p>
        </w:tc>
      </w:tr>
      <w:tr w:rsidR="007E572E" w:rsidRPr="00810C74" w14:paraId="0F6AE877" w14:textId="77777777" w:rsidTr="007E572E">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0903F334"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10</w:t>
            </w:r>
          </w:p>
        </w:tc>
        <w:tc>
          <w:tcPr>
            <w:tcW w:w="1740" w:type="dxa"/>
            <w:tcBorders>
              <w:top w:val="nil"/>
              <w:left w:val="nil"/>
              <w:bottom w:val="single" w:sz="4" w:space="0" w:color="auto"/>
              <w:right w:val="single" w:sz="4" w:space="0" w:color="auto"/>
            </w:tcBorders>
            <w:shd w:val="clear" w:color="000000" w:fill="FFFFFF"/>
            <w:noWrap/>
            <w:vAlign w:val="center"/>
            <w:hideMark/>
          </w:tcPr>
          <w:p w14:paraId="7795B747"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89%</w:t>
            </w:r>
          </w:p>
        </w:tc>
        <w:tc>
          <w:tcPr>
            <w:tcW w:w="1200" w:type="dxa"/>
            <w:tcBorders>
              <w:top w:val="nil"/>
              <w:left w:val="nil"/>
              <w:bottom w:val="single" w:sz="4" w:space="0" w:color="auto"/>
              <w:right w:val="single" w:sz="4" w:space="0" w:color="auto"/>
            </w:tcBorders>
            <w:shd w:val="clear" w:color="000000" w:fill="FFFFFF"/>
            <w:noWrap/>
            <w:vAlign w:val="center"/>
            <w:hideMark/>
          </w:tcPr>
          <w:p w14:paraId="45A51122"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111%</w:t>
            </w:r>
          </w:p>
        </w:tc>
        <w:tc>
          <w:tcPr>
            <w:tcW w:w="1360" w:type="dxa"/>
            <w:tcBorders>
              <w:top w:val="nil"/>
              <w:left w:val="nil"/>
              <w:bottom w:val="single" w:sz="4" w:space="0" w:color="auto"/>
              <w:right w:val="single" w:sz="4" w:space="0" w:color="auto"/>
            </w:tcBorders>
            <w:shd w:val="clear" w:color="000000" w:fill="FFFFFF"/>
            <w:noWrap/>
            <w:vAlign w:val="center"/>
            <w:hideMark/>
          </w:tcPr>
          <w:p w14:paraId="688F2662"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49%</w:t>
            </w:r>
          </w:p>
        </w:tc>
        <w:tc>
          <w:tcPr>
            <w:tcW w:w="1200" w:type="dxa"/>
            <w:tcBorders>
              <w:top w:val="nil"/>
              <w:left w:val="nil"/>
              <w:bottom w:val="single" w:sz="4" w:space="0" w:color="auto"/>
              <w:right w:val="single" w:sz="4" w:space="0" w:color="auto"/>
            </w:tcBorders>
            <w:shd w:val="clear" w:color="000000" w:fill="FFFFFF"/>
            <w:noWrap/>
            <w:vAlign w:val="center"/>
            <w:hideMark/>
          </w:tcPr>
          <w:p w14:paraId="56C0600E"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109%</w:t>
            </w:r>
          </w:p>
        </w:tc>
        <w:tc>
          <w:tcPr>
            <w:tcW w:w="1340" w:type="dxa"/>
            <w:tcBorders>
              <w:top w:val="nil"/>
              <w:left w:val="nil"/>
              <w:bottom w:val="single" w:sz="4" w:space="0" w:color="auto"/>
              <w:right w:val="single" w:sz="4" w:space="0" w:color="auto"/>
            </w:tcBorders>
            <w:shd w:val="clear" w:color="000000" w:fill="FFFFFF"/>
            <w:noWrap/>
            <w:vAlign w:val="center"/>
            <w:hideMark/>
          </w:tcPr>
          <w:p w14:paraId="2D31ECDA"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253%</w:t>
            </w:r>
          </w:p>
        </w:tc>
        <w:tc>
          <w:tcPr>
            <w:tcW w:w="1340" w:type="dxa"/>
            <w:tcBorders>
              <w:top w:val="nil"/>
              <w:left w:val="nil"/>
              <w:bottom w:val="single" w:sz="4" w:space="0" w:color="auto"/>
              <w:right w:val="single" w:sz="4" w:space="0" w:color="auto"/>
            </w:tcBorders>
            <w:shd w:val="clear" w:color="000000" w:fill="FFFFFF"/>
            <w:noWrap/>
            <w:vAlign w:val="center"/>
            <w:hideMark/>
          </w:tcPr>
          <w:p w14:paraId="6F583305"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89%</w:t>
            </w:r>
          </w:p>
        </w:tc>
        <w:tc>
          <w:tcPr>
            <w:tcW w:w="1200" w:type="dxa"/>
            <w:tcBorders>
              <w:top w:val="nil"/>
              <w:left w:val="nil"/>
              <w:bottom w:val="single" w:sz="4" w:space="0" w:color="auto"/>
              <w:right w:val="single" w:sz="4" w:space="0" w:color="auto"/>
            </w:tcBorders>
            <w:shd w:val="clear" w:color="000000" w:fill="FFFFFF"/>
            <w:noWrap/>
            <w:vAlign w:val="center"/>
            <w:hideMark/>
          </w:tcPr>
          <w:p w14:paraId="25AA4021"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91%</w:t>
            </w:r>
          </w:p>
        </w:tc>
      </w:tr>
      <w:tr w:rsidR="007E572E" w:rsidRPr="00810C74" w14:paraId="3C43FACC" w14:textId="77777777" w:rsidTr="007E572E">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1364D2BB"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11</w:t>
            </w:r>
          </w:p>
        </w:tc>
        <w:tc>
          <w:tcPr>
            <w:tcW w:w="1740" w:type="dxa"/>
            <w:tcBorders>
              <w:top w:val="nil"/>
              <w:left w:val="nil"/>
              <w:bottom w:val="single" w:sz="4" w:space="0" w:color="auto"/>
              <w:right w:val="single" w:sz="4" w:space="0" w:color="auto"/>
            </w:tcBorders>
            <w:shd w:val="clear" w:color="000000" w:fill="FFFFFF"/>
            <w:noWrap/>
            <w:vAlign w:val="center"/>
            <w:hideMark/>
          </w:tcPr>
          <w:p w14:paraId="1DF51DF0"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86%</w:t>
            </w:r>
          </w:p>
        </w:tc>
        <w:tc>
          <w:tcPr>
            <w:tcW w:w="1200" w:type="dxa"/>
            <w:tcBorders>
              <w:top w:val="nil"/>
              <w:left w:val="nil"/>
              <w:bottom w:val="single" w:sz="4" w:space="0" w:color="auto"/>
              <w:right w:val="single" w:sz="4" w:space="0" w:color="auto"/>
            </w:tcBorders>
            <w:shd w:val="clear" w:color="000000" w:fill="FFFFFF"/>
            <w:noWrap/>
            <w:vAlign w:val="center"/>
            <w:hideMark/>
          </w:tcPr>
          <w:p w14:paraId="5F8A3709"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136%</w:t>
            </w:r>
          </w:p>
        </w:tc>
        <w:tc>
          <w:tcPr>
            <w:tcW w:w="1360" w:type="dxa"/>
            <w:tcBorders>
              <w:top w:val="nil"/>
              <w:left w:val="nil"/>
              <w:bottom w:val="single" w:sz="4" w:space="0" w:color="auto"/>
              <w:right w:val="single" w:sz="4" w:space="0" w:color="auto"/>
            </w:tcBorders>
            <w:shd w:val="clear" w:color="000000" w:fill="FFFFFF"/>
            <w:noWrap/>
            <w:vAlign w:val="center"/>
            <w:hideMark/>
          </w:tcPr>
          <w:p w14:paraId="546E2C9C"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52%</w:t>
            </w:r>
          </w:p>
        </w:tc>
        <w:tc>
          <w:tcPr>
            <w:tcW w:w="1200" w:type="dxa"/>
            <w:tcBorders>
              <w:top w:val="nil"/>
              <w:left w:val="nil"/>
              <w:bottom w:val="single" w:sz="4" w:space="0" w:color="auto"/>
              <w:right w:val="single" w:sz="4" w:space="0" w:color="auto"/>
            </w:tcBorders>
            <w:shd w:val="clear" w:color="000000" w:fill="FFFFFF"/>
            <w:noWrap/>
            <w:vAlign w:val="center"/>
            <w:hideMark/>
          </w:tcPr>
          <w:p w14:paraId="21B23C6F"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100%</w:t>
            </w:r>
          </w:p>
        </w:tc>
        <w:tc>
          <w:tcPr>
            <w:tcW w:w="1340" w:type="dxa"/>
            <w:tcBorders>
              <w:top w:val="nil"/>
              <w:left w:val="nil"/>
              <w:bottom w:val="single" w:sz="4" w:space="0" w:color="auto"/>
              <w:right w:val="single" w:sz="4" w:space="0" w:color="auto"/>
            </w:tcBorders>
            <w:shd w:val="clear" w:color="000000" w:fill="FFFFFF"/>
            <w:noWrap/>
            <w:vAlign w:val="center"/>
            <w:hideMark/>
          </w:tcPr>
          <w:p w14:paraId="4DC5270B"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227%</w:t>
            </w:r>
          </w:p>
        </w:tc>
        <w:tc>
          <w:tcPr>
            <w:tcW w:w="1340" w:type="dxa"/>
            <w:tcBorders>
              <w:top w:val="nil"/>
              <w:left w:val="nil"/>
              <w:bottom w:val="single" w:sz="4" w:space="0" w:color="auto"/>
              <w:right w:val="single" w:sz="4" w:space="0" w:color="auto"/>
            </w:tcBorders>
            <w:shd w:val="clear" w:color="000000" w:fill="FFFFFF"/>
            <w:noWrap/>
            <w:vAlign w:val="center"/>
            <w:hideMark/>
          </w:tcPr>
          <w:p w14:paraId="1F77BE18"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97%</w:t>
            </w:r>
          </w:p>
        </w:tc>
        <w:tc>
          <w:tcPr>
            <w:tcW w:w="1200" w:type="dxa"/>
            <w:tcBorders>
              <w:top w:val="nil"/>
              <w:left w:val="nil"/>
              <w:bottom w:val="single" w:sz="4" w:space="0" w:color="auto"/>
              <w:right w:val="single" w:sz="4" w:space="0" w:color="auto"/>
            </w:tcBorders>
            <w:shd w:val="clear" w:color="000000" w:fill="FFFFFF"/>
            <w:noWrap/>
            <w:vAlign w:val="center"/>
            <w:hideMark/>
          </w:tcPr>
          <w:p w14:paraId="4FC4642D"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76%</w:t>
            </w:r>
          </w:p>
        </w:tc>
      </w:tr>
      <w:tr w:rsidR="007E572E" w:rsidRPr="00810C74" w14:paraId="76EC59F9" w14:textId="77777777" w:rsidTr="007E572E">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16F945E5"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12</w:t>
            </w:r>
          </w:p>
        </w:tc>
        <w:tc>
          <w:tcPr>
            <w:tcW w:w="1740" w:type="dxa"/>
            <w:tcBorders>
              <w:top w:val="nil"/>
              <w:left w:val="nil"/>
              <w:bottom w:val="single" w:sz="4" w:space="0" w:color="auto"/>
              <w:right w:val="single" w:sz="4" w:space="0" w:color="auto"/>
            </w:tcBorders>
            <w:shd w:val="clear" w:color="000000" w:fill="FFFFFF"/>
            <w:noWrap/>
            <w:vAlign w:val="center"/>
            <w:hideMark/>
          </w:tcPr>
          <w:p w14:paraId="73FB173D"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99%</w:t>
            </w:r>
          </w:p>
        </w:tc>
        <w:tc>
          <w:tcPr>
            <w:tcW w:w="1200" w:type="dxa"/>
            <w:tcBorders>
              <w:top w:val="nil"/>
              <w:left w:val="nil"/>
              <w:bottom w:val="single" w:sz="4" w:space="0" w:color="auto"/>
              <w:right w:val="single" w:sz="4" w:space="0" w:color="auto"/>
            </w:tcBorders>
            <w:shd w:val="clear" w:color="000000" w:fill="FFFFFF"/>
            <w:noWrap/>
            <w:vAlign w:val="center"/>
            <w:hideMark/>
          </w:tcPr>
          <w:p w14:paraId="02B77015"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114%</w:t>
            </w:r>
          </w:p>
        </w:tc>
        <w:tc>
          <w:tcPr>
            <w:tcW w:w="1360" w:type="dxa"/>
            <w:tcBorders>
              <w:top w:val="nil"/>
              <w:left w:val="nil"/>
              <w:bottom w:val="single" w:sz="4" w:space="0" w:color="auto"/>
              <w:right w:val="single" w:sz="4" w:space="0" w:color="auto"/>
            </w:tcBorders>
            <w:shd w:val="clear" w:color="000000" w:fill="FFFFFF"/>
            <w:noWrap/>
            <w:vAlign w:val="center"/>
            <w:hideMark/>
          </w:tcPr>
          <w:p w14:paraId="52537EEA"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48%</w:t>
            </w:r>
          </w:p>
        </w:tc>
        <w:tc>
          <w:tcPr>
            <w:tcW w:w="1200" w:type="dxa"/>
            <w:tcBorders>
              <w:top w:val="nil"/>
              <w:left w:val="nil"/>
              <w:bottom w:val="single" w:sz="4" w:space="0" w:color="auto"/>
              <w:right w:val="single" w:sz="4" w:space="0" w:color="auto"/>
            </w:tcBorders>
            <w:shd w:val="clear" w:color="000000" w:fill="FFFFFF"/>
            <w:noWrap/>
            <w:vAlign w:val="center"/>
            <w:hideMark/>
          </w:tcPr>
          <w:p w14:paraId="6838B412"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113%</w:t>
            </w:r>
          </w:p>
        </w:tc>
        <w:tc>
          <w:tcPr>
            <w:tcW w:w="1340" w:type="dxa"/>
            <w:tcBorders>
              <w:top w:val="nil"/>
              <w:left w:val="nil"/>
              <w:bottom w:val="single" w:sz="4" w:space="0" w:color="auto"/>
              <w:right w:val="single" w:sz="4" w:space="0" w:color="auto"/>
            </w:tcBorders>
            <w:shd w:val="clear" w:color="000000" w:fill="FFFFFF"/>
            <w:noWrap/>
            <w:vAlign w:val="center"/>
            <w:hideMark/>
          </w:tcPr>
          <w:p w14:paraId="6260F7F2"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169%</w:t>
            </w:r>
          </w:p>
        </w:tc>
        <w:tc>
          <w:tcPr>
            <w:tcW w:w="1340" w:type="dxa"/>
            <w:tcBorders>
              <w:top w:val="nil"/>
              <w:left w:val="nil"/>
              <w:bottom w:val="single" w:sz="4" w:space="0" w:color="auto"/>
              <w:right w:val="single" w:sz="4" w:space="0" w:color="auto"/>
            </w:tcBorders>
            <w:shd w:val="clear" w:color="000000" w:fill="FFFFFF"/>
            <w:noWrap/>
            <w:vAlign w:val="center"/>
            <w:hideMark/>
          </w:tcPr>
          <w:p w14:paraId="3D14DDD9"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79%</w:t>
            </w:r>
          </w:p>
        </w:tc>
        <w:tc>
          <w:tcPr>
            <w:tcW w:w="1200" w:type="dxa"/>
            <w:tcBorders>
              <w:top w:val="nil"/>
              <w:left w:val="nil"/>
              <w:bottom w:val="single" w:sz="4" w:space="0" w:color="auto"/>
              <w:right w:val="single" w:sz="4" w:space="0" w:color="auto"/>
            </w:tcBorders>
            <w:shd w:val="clear" w:color="000000" w:fill="FFFFFF"/>
            <w:noWrap/>
            <w:vAlign w:val="center"/>
            <w:hideMark/>
          </w:tcPr>
          <w:p w14:paraId="648FACFD"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106%</w:t>
            </w:r>
          </w:p>
        </w:tc>
      </w:tr>
      <w:tr w:rsidR="007E572E" w:rsidRPr="00810C74" w14:paraId="591503D1" w14:textId="77777777" w:rsidTr="007E572E">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64448D28"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13</w:t>
            </w:r>
          </w:p>
        </w:tc>
        <w:tc>
          <w:tcPr>
            <w:tcW w:w="1740" w:type="dxa"/>
            <w:tcBorders>
              <w:top w:val="nil"/>
              <w:left w:val="nil"/>
              <w:bottom w:val="single" w:sz="4" w:space="0" w:color="auto"/>
              <w:right w:val="single" w:sz="4" w:space="0" w:color="auto"/>
            </w:tcBorders>
            <w:shd w:val="clear" w:color="000000" w:fill="FFFFFF"/>
            <w:noWrap/>
            <w:vAlign w:val="center"/>
            <w:hideMark/>
          </w:tcPr>
          <w:p w14:paraId="34E8205B"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91%</w:t>
            </w:r>
          </w:p>
        </w:tc>
        <w:tc>
          <w:tcPr>
            <w:tcW w:w="1200" w:type="dxa"/>
            <w:tcBorders>
              <w:top w:val="nil"/>
              <w:left w:val="nil"/>
              <w:bottom w:val="single" w:sz="4" w:space="0" w:color="auto"/>
              <w:right w:val="single" w:sz="4" w:space="0" w:color="auto"/>
            </w:tcBorders>
            <w:shd w:val="clear" w:color="000000" w:fill="FFFFFF"/>
            <w:noWrap/>
            <w:vAlign w:val="center"/>
            <w:hideMark/>
          </w:tcPr>
          <w:p w14:paraId="482E2151"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106%</w:t>
            </w:r>
          </w:p>
        </w:tc>
        <w:tc>
          <w:tcPr>
            <w:tcW w:w="1360" w:type="dxa"/>
            <w:tcBorders>
              <w:top w:val="nil"/>
              <w:left w:val="nil"/>
              <w:bottom w:val="single" w:sz="4" w:space="0" w:color="auto"/>
              <w:right w:val="single" w:sz="4" w:space="0" w:color="auto"/>
            </w:tcBorders>
            <w:shd w:val="clear" w:color="000000" w:fill="FFFFFF"/>
            <w:noWrap/>
            <w:vAlign w:val="center"/>
            <w:hideMark/>
          </w:tcPr>
          <w:p w14:paraId="2CC10D99"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56%</w:t>
            </w:r>
          </w:p>
        </w:tc>
        <w:tc>
          <w:tcPr>
            <w:tcW w:w="1200" w:type="dxa"/>
            <w:tcBorders>
              <w:top w:val="nil"/>
              <w:left w:val="nil"/>
              <w:bottom w:val="single" w:sz="4" w:space="0" w:color="auto"/>
              <w:right w:val="single" w:sz="4" w:space="0" w:color="auto"/>
            </w:tcBorders>
            <w:shd w:val="clear" w:color="000000" w:fill="FFFFFF"/>
            <w:noWrap/>
            <w:vAlign w:val="center"/>
            <w:hideMark/>
          </w:tcPr>
          <w:p w14:paraId="05337303"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 105%</w:t>
            </w:r>
          </w:p>
        </w:tc>
        <w:tc>
          <w:tcPr>
            <w:tcW w:w="1340" w:type="dxa"/>
            <w:tcBorders>
              <w:top w:val="nil"/>
              <w:left w:val="nil"/>
              <w:bottom w:val="single" w:sz="4" w:space="0" w:color="auto"/>
              <w:right w:val="single" w:sz="4" w:space="0" w:color="auto"/>
            </w:tcBorders>
            <w:shd w:val="clear" w:color="000000" w:fill="FFFFFF"/>
            <w:noWrap/>
            <w:vAlign w:val="center"/>
            <w:hideMark/>
          </w:tcPr>
          <w:p w14:paraId="21CFF80F"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 264%</w:t>
            </w:r>
          </w:p>
        </w:tc>
        <w:tc>
          <w:tcPr>
            <w:tcW w:w="1340" w:type="dxa"/>
            <w:tcBorders>
              <w:top w:val="nil"/>
              <w:left w:val="nil"/>
              <w:bottom w:val="single" w:sz="4" w:space="0" w:color="auto"/>
              <w:right w:val="single" w:sz="4" w:space="0" w:color="auto"/>
            </w:tcBorders>
            <w:shd w:val="clear" w:color="000000" w:fill="FFFFFF"/>
            <w:noWrap/>
            <w:vAlign w:val="center"/>
            <w:hideMark/>
          </w:tcPr>
          <w:p w14:paraId="426C133E"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96%</w:t>
            </w:r>
          </w:p>
        </w:tc>
        <w:tc>
          <w:tcPr>
            <w:tcW w:w="1200" w:type="dxa"/>
            <w:tcBorders>
              <w:top w:val="nil"/>
              <w:left w:val="nil"/>
              <w:bottom w:val="single" w:sz="4" w:space="0" w:color="auto"/>
              <w:right w:val="single" w:sz="4" w:space="0" w:color="auto"/>
            </w:tcBorders>
            <w:shd w:val="clear" w:color="000000" w:fill="FFFFFF"/>
            <w:noWrap/>
            <w:vAlign w:val="center"/>
            <w:hideMark/>
          </w:tcPr>
          <w:p w14:paraId="472B096A"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62%</w:t>
            </w:r>
          </w:p>
        </w:tc>
      </w:tr>
      <w:tr w:rsidR="007E572E" w:rsidRPr="00810C74" w14:paraId="281810B2" w14:textId="77777777" w:rsidTr="007E572E">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164060BD"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14</w:t>
            </w:r>
          </w:p>
        </w:tc>
        <w:tc>
          <w:tcPr>
            <w:tcW w:w="1740" w:type="dxa"/>
            <w:tcBorders>
              <w:top w:val="nil"/>
              <w:left w:val="nil"/>
              <w:bottom w:val="single" w:sz="4" w:space="0" w:color="auto"/>
              <w:right w:val="single" w:sz="4" w:space="0" w:color="auto"/>
            </w:tcBorders>
            <w:shd w:val="clear" w:color="000000" w:fill="FFFFFF"/>
            <w:noWrap/>
            <w:vAlign w:val="center"/>
            <w:hideMark/>
          </w:tcPr>
          <w:p w14:paraId="3ECBF725"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111%</w:t>
            </w:r>
          </w:p>
        </w:tc>
        <w:tc>
          <w:tcPr>
            <w:tcW w:w="1200" w:type="dxa"/>
            <w:tcBorders>
              <w:top w:val="nil"/>
              <w:left w:val="nil"/>
              <w:bottom w:val="single" w:sz="4" w:space="0" w:color="auto"/>
              <w:right w:val="single" w:sz="4" w:space="0" w:color="auto"/>
            </w:tcBorders>
            <w:shd w:val="clear" w:color="000000" w:fill="FFFFFF"/>
            <w:noWrap/>
            <w:vAlign w:val="center"/>
            <w:hideMark/>
          </w:tcPr>
          <w:p w14:paraId="31D52108"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90%</w:t>
            </w:r>
          </w:p>
        </w:tc>
        <w:tc>
          <w:tcPr>
            <w:tcW w:w="1360" w:type="dxa"/>
            <w:tcBorders>
              <w:top w:val="nil"/>
              <w:left w:val="nil"/>
              <w:bottom w:val="single" w:sz="4" w:space="0" w:color="auto"/>
              <w:right w:val="single" w:sz="4" w:space="0" w:color="auto"/>
            </w:tcBorders>
            <w:shd w:val="clear" w:color="000000" w:fill="FFFFFF"/>
            <w:noWrap/>
            <w:vAlign w:val="center"/>
            <w:hideMark/>
          </w:tcPr>
          <w:p w14:paraId="5860FA89"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95%</w:t>
            </w:r>
          </w:p>
        </w:tc>
        <w:tc>
          <w:tcPr>
            <w:tcW w:w="1200" w:type="dxa"/>
            <w:tcBorders>
              <w:top w:val="nil"/>
              <w:left w:val="nil"/>
              <w:bottom w:val="single" w:sz="4" w:space="0" w:color="auto"/>
              <w:right w:val="single" w:sz="4" w:space="0" w:color="auto"/>
            </w:tcBorders>
            <w:shd w:val="clear" w:color="000000" w:fill="FFFFFF"/>
            <w:noWrap/>
            <w:vAlign w:val="center"/>
            <w:hideMark/>
          </w:tcPr>
          <w:p w14:paraId="1B783050"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83%</w:t>
            </w:r>
          </w:p>
        </w:tc>
        <w:tc>
          <w:tcPr>
            <w:tcW w:w="1340" w:type="dxa"/>
            <w:tcBorders>
              <w:top w:val="nil"/>
              <w:left w:val="nil"/>
              <w:bottom w:val="single" w:sz="4" w:space="0" w:color="auto"/>
              <w:right w:val="single" w:sz="4" w:space="0" w:color="auto"/>
            </w:tcBorders>
            <w:shd w:val="clear" w:color="000000" w:fill="FFFFFF"/>
            <w:noWrap/>
            <w:vAlign w:val="center"/>
            <w:hideMark/>
          </w:tcPr>
          <w:p w14:paraId="6CE23F08"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202%</w:t>
            </w:r>
          </w:p>
        </w:tc>
        <w:tc>
          <w:tcPr>
            <w:tcW w:w="1340" w:type="dxa"/>
            <w:tcBorders>
              <w:top w:val="nil"/>
              <w:left w:val="nil"/>
              <w:bottom w:val="single" w:sz="4" w:space="0" w:color="auto"/>
              <w:right w:val="single" w:sz="4" w:space="0" w:color="auto"/>
            </w:tcBorders>
            <w:shd w:val="clear" w:color="000000" w:fill="FFFFFF"/>
            <w:noWrap/>
            <w:vAlign w:val="center"/>
            <w:hideMark/>
          </w:tcPr>
          <w:p w14:paraId="3E990B2B"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75%</w:t>
            </w:r>
          </w:p>
        </w:tc>
        <w:tc>
          <w:tcPr>
            <w:tcW w:w="1200" w:type="dxa"/>
            <w:tcBorders>
              <w:top w:val="nil"/>
              <w:left w:val="nil"/>
              <w:bottom w:val="single" w:sz="4" w:space="0" w:color="auto"/>
              <w:right w:val="single" w:sz="4" w:space="0" w:color="auto"/>
            </w:tcBorders>
            <w:shd w:val="clear" w:color="000000" w:fill="FFFFFF"/>
            <w:noWrap/>
            <w:vAlign w:val="center"/>
            <w:hideMark/>
          </w:tcPr>
          <w:p w14:paraId="104E54CE"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94%</w:t>
            </w:r>
          </w:p>
        </w:tc>
      </w:tr>
      <w:tr w:rsidR="007E572E" w:rsidRPr="00810C74" w14:paraId="645D0C94" w14:textId="77777777" w:rsidTr="007E572E">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3E45366F"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15</w:t>
            </w:r>
          </w:p>
        </w:tc>
        <w:tc>
          <w:tcPr>
            <w:tcW w:w="1740" w:type="dxa"/>
            <w:tcBorders>
              <w:top w:val="nil"/>
              <w:left w:val="nil"/>
              <w:bottom w:val="single" w:sz="4" w:space="0" w:color="auto"/>
              <w:right w:val="single" w:sz="4" w:space="0" w:color="auto"/>
            </w:tcBorders>
            <w:shd w:val="clear" w:color="000000" w:fill="FFFFFF"/>
            <w:noWrap/>
            <w:vAlign w:val="center"/>
            <w:hideMark/>
          </w:tcPr>
          <w:p w14:paraId="00461BE4"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89%</w:t>
            </w:r>
          </w:p>
        </w:tc>
        <w:tc>
          <w:tcPr>
            <w:tcW w:w="1200" w:type="dxa"/>
            <w:tcBorders>
              <w:top w:val="nil"/>
              <w:left w:val="nil"/>
              <w:bottom w:val="single" w:sz="4" w:space="0" w:color="auto"/>
              <w:right w:val="single" w:sz="4" w:space="0" w:color="auto"/>
            </w:tcBorders>
            <w:shd w:val="clear" w:color="000000" w:fill="FFFFFF"/>
            <w:noWrap/>
            <w:vAlign w:val="center"/>
            <w:hideMark/>
          </w:tcPr>
          <w:p w14:paraId="1CA8ABF5"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107%</w:t>
            </w:r>
          </w:p>
        </w:tc>
        <w:tc>
          <w:tcPr>
            <w:tcW w:w="1360" w:type="dxa"/>
            <w:tcBorders>
              <w:top w:val="nil"/>
              <w:left w:val="nil"/>
              <w:bottom w:val="single" w:sz="4" w:space="0" w:color="auto"/>
              <w:right w:val="single" w:sz="4" w:space="0" w:color="auto"/>
            </w:tcBorders>
            <w:shd w:val="clear" w:color="000000" w:fill="FFFFFF"/>
            <w:noWrap/>
            <w:vAlign w:val="center"/>
            <w:hideMark/>
          </w:tcPr>
          <w:p w14:paraId="0DD99D57"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62%</w:t>
            </w:r>
          </w:p>
        </w:tc>
        <w:tc>
          <w:tcPr>
            <w:tcW w:w="1200" w:type="dxa"/>
            <w:tcBorders>
              <w:top w:val="nil"/>
              <w:left w:val="nil"/>
              <w:bottom w:val="single" w:sz="4" w:space="0" w:color="auto"/>
              <w:right w:val="single" w:sz="4" w:space="0" w:color="auto"/>
            </w:tcBorders>
            <w:shd w:val="clear" w:color="000000" w:fill="FFFFFF"/>
            <w:noWrap/>
            <w:vAlign w:val="center"/>
            <w:hideMark/>
          </w:tcPr>
          <w:p w14:paraId="7075D178"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90%</w:t>
            </w:r>
          </w:p>
        </w:tc>
        <w:tc>
          <w:tcPr>
            <w:tcW w:w="1340" w:type="dxa"/>
            <w:tcBorders>
              <w:top w:val="nil"/>
              <w:left w:val="nil"/>
              <w:bottom w:val="single" w:sz="4" w:space="0" w:color="auto"/>
              <w:right w:val="single" w:sz="4" w:space="0" w:color="auto"/>
            </w:tcBorders>
            <w:shd w:val="clear" w:color="000000" w:fill="FFFFFF"/>
            <w:noWrap/>
            <w:vAlign w:val="center"/>
            <w:hideMark/>
          </w:tcPr>
          <w:p w14:paraId="72F1D1A4"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210%</w:t>
            </w:r>
          </w:p>
        </w:tc>
        <w:tc>
          <w:tcPr>
            <w:tcW w:w="1340" w:type="dxa"/>
            <w:tcBorders>
              <w:top w:val="nil"/>
              <w:left w:val="nil"/>
              <w:bottom w:val="single" w:sz="4" w:space="0" w:color="auto"/>
              <w:right w:val="single" w:sz="4" w:space="0" w:color="auto"/>
            </w:tcBorders>
            <w:shd w:val="clear" w:color="000000" w:fill="FFFFFF"/>
            <w:noWrap/>
            <w:vAlign w:val="center"/>
            <w:hideMark/>
          </w:tcPr>
          <w:p w14:paraId="420473E5"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73%</w:t>
            </w:r>
          </w:p>
        </w:tc>
        <w:tc>
          <w:tcPr>
            <w:tcW w:w="1200" w:type="dxa"/>
            <w:tcBorders>
              <w:top w:val="nil"/>
              <w:left w:val="nil"/>
              <w:bottom w:val="single" w:sz="4" w:space="0" w:color="auto"/>
              <w:right w:val="single" w:sz="4" w:space="0" w:color="auto"/>
            </w:tcBorders>
            <w:shd w:val="clear" w:color="000000" w:fill="FFFFFF"/>
            <w:noWrap/>
            <w:vAlign w:val="center"/>
            <w:hideMark/>
          </w:tcPr>
          <w:p w14:paraId="3FDEE0A6"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129%</w:t>
            </w:r>
          </w:p>
        </w:tc>
      </w:tr>
      <w:tr w:rsidR="007E572E" w:rsidRPr="00810C74" w14:paraId="224B2D6F" w14:textId="77777777" w:rsidTr="007E572E">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60B88685"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16</w:t>
            </w:r>
          </w:p>
        </w:tc>
        <w:tc>
          <w:tcPr>
            <w:tcW w:w="1740" w:type="dxa"/>
            <w:tcBorders>
              <w:top w:val="nil"/>
              <w:left w:val="nil"/>
              <w:bottom w:val="single" w:sz="4" w:space="0" w:color="auto"/>
              <w:right w:val="single" w:sz="4" w:space="0" w:color="auto"/>
            </w:tcBorders>
            <w:shd w:val="clear" w:color="000000" w:fill="FFFFFF"/>
            <w:noWrap/>
            <w:vAlign w:val="center"/>
            <w:hideMark/>
          </w:tcPr>
          <w:p w14:paraId="220D86B7"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91%</w:t>
            </w:r>
          </w:p>
        </w:tc>
        <w:tc>
          <w:tcPr>
            <w:tcW w:w="1200" w:type="dxa"/>
            <w:tcBorders>
              <w:top w:val="nil"/>
              <w:left w:val="nil"/>
              <w:bottom w:val="single" w:sz="4" w:space="0" w:color="auto"/>
              <w:right w:val="single" w:sz="4" w:space="0" w:color="auto"/>
            </w:tcBorders>
            <w:shd w:val="clear" w:color="000000" w:fill="FFFFFF"/>
            <w:noWrap/>
            <w:vAlign w:val="center"/>
            <w:hideMark/>
          </w:tcPr>
          <w:p w14:paraId="7BF5F19E"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106%</w:t>
            </w:r>
          </w:p>
        </w:tc>
        <w:tc>
          <w:tcPr>
            <w:tcW w:w="1360" w:type="dxa"/>
            <w:tcBorders>
              <w:top w:val="nil"/>
              <w:left w:val="nil"/>
              <w:bottom w:val="single" w:sz="4" w:space="0" w:color="auto"/>
              <w:right w:val="single" w:sz="4" w:space="0" w:color="auto"/>
            </w:tcBorders>
            <w:shd w:val="clear" w:color="000000" w:fill="FFFFFF"/>
            <w:noWrap/>
            <w:vAlign w:val="center"/>
            <w:hideMark/>
          </w:tcPr>
          <w:p w14:paraId="2543441E"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79%</w:t>
            </w:r>
          </w:p>
        </w:tc>
        <w:tc>
          <w:tcPr>
            <w:tcW w:w="1200" w:type="dxa"/>
            <w:tcBorders>
              <w:top w:val="nil"/>
              <w:left w:val="nil"/>
              <w:bottom w:val="single" w:sz="4" w:space="0" w:color="auto"/>
              <w:right w:val="single" w:sz="4" w:space="0" w:color="auto"/>
            </w:tcBorders>
            <w:shd w:val="clear" w:color="000000" w:fill="FFFFFF"/>
            <w:noWrap/>
            <w:vAlign w:val="center"/>
            <w:hideMark/>
          </w:tcPr>
          <w:p w14:paraId="20990758"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89%</w:t>
            </w:r>
          </w:p>
        </w:tc>
        <w:tc>
          <w:tcPr>
            <w:tcW w:w="1340" w:type="dxa"/>
            <w:tcBorders>
              <w:top w:val="nil"/>
              <w:left w:val="nil"/>
              <w:bottom w:val="single" w:sz="4" w:space="0" w:color="auto"/>
              <w:right w:val="single" w:sz="4" w:space="0" w:color="auto"/>
            </w:tcBorders>
            <w:shd w:val="clear" w:color="000000" w:fill="FFFFFF"/>
            <w:noWrap/>
            <w:vAlign w:val="center"/>
            <w:hideMark/>
          </w:tcPr>
          <w:p w14:paraId="29BB89A5"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157%</w:t>
            </w:r>
          </w:p>
        </w:tc>
        <w:tc>
          <w:tcPr>
            <w:tcW w:w="1340" w:type="dxa"/>
            <w:tcBorders>
              <w:top w:val="nil"/>
              <w:left w:val="nil"/>
              <w:bottom w:val="single" w:sz="4" w:space="0" w:color="auto"/>
              <w:right w:val="single" w:sz="4" w:space="0" w:color="auto"/>
            </w:tcBorders>
            <w:shd w:val="clear" w:color="000000" w:fill="FFFFFF"/>
            <w:noWrap/>
            <w:vAlign w:val="center"/>
            <w:hideMark/>
          </w:tcPr>
          <w:p w14:paraId="1A9C4E25"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96%</w:t>
            </w:r>
          </w:p>
        </w:tc>
        <w:tc>
          <w:tcPr>
            <w:tcW w:w="1200" w:type="dxa"/>
            <w:tcBorders>
              <w:top w:val="nil"/>
              <w:left w:val="nil"/>
              <w:bottom w:val="single" w:sz="4" w:space="0" w:color="auto"/>
              <w:right w:val="single" w:sz="4" w:space="0" w:color="auto"/>
            </w:tcBorders>
            <w:shd w:val="clear" w:color="000000" w:fill="FFFFFF"/>
            <w:noWrap/>
            <w:vAlign w:val="center"/>
            <w:hideMark/>
          </w:tcPr>
          <w:p w14:paraId="796E94B0"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88%</w:t>
            </w:r>
          </w:p>
        </w:tc>
      </w:tr>
      <w:tr w:rsidR="007E572E" w:rsidRPr="00810C74" w14:paraId="2DA72AE0" w14:textId="77777777" w:rsidTr="007E572E">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391ABACA"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17</w:t>
            </w:r>
          </w:p>
        </w:tc>
        <w:tc>
          <w:tcPr>
            <w:tcW w:w="1740" w:type="dxa"/>
            <w:tcBorders>
              <w:top w:val="nil"/>
              <w:left w:val="nil"/>
              <w:bottom w:val="single" w:sz="4" w:space="0" w:color="auto"/>
              <w:right w:val="single" w:sz="4" w:space="0" w:color="auto"/>
            </w:tcBorders>
            <w:shd w:val="clear" w:color="000000" w:fill="FFFFFF"/>
            <w:noWrap/>
            <w:vAlign w:val="center"/>
            <w:hideMark/>
          </w:tcPr>
          <w:p w14:paraId="517CAB74"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73%</w:t>
            </w:r>
          </w:p>
        </w:tc>
        <w:tc>
          <w:tcPr>
            <w:tcW w:w="1200" w:type="dxa"/>
            <w:tcBorders>
              <w:top w:val="nil"/>
              <w:left w:val="nil"/>
              <w:bottom w:val="single" w:sz="4" w:space="0" w:color="auto"/>
              <w:right w:val="single" w:sz="4" w:space="0" w:color="auto"/>
            </w:tcBorders>
            <w:shd w:val="clear" w:color="000000" w:fill="FFFFFF"/>
            <w:noWrap/>
            <w:vAlign w:val="center"/>
            <w:hideMark/>
          </w:tcPr>
          <w:p w14:paraId="36CA5356"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102%</w:t>
            </w:r>
          </w:p>
        </w:tc>
        <w:tc>
          <w:tcPr>
            <w:tcW w:w="1360" w:type="dxa"/>
            <w:tcBorders>
              <w:top w:val="nil"/>
              <w:left w:val="nil"/>
              <w:bottom w:val="single" w:sz="4" w:space="0" w:color="auto"/>
              <w:right w:val="single" w:sz="4" w:space="0" w:color="auto"/>
            </w:tcBorders>
            <w:shd w:val="clear" w:color="000000" w:fill="FFFFFF"/>
            <w:noWrap/>
            <w:vAlign w:val="center"/>
            <w:hideMark/>
          </w:tcPr>
          <w:p w14:paraId="0AEBEE0D"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54%</w:t>
            </w:r>
          </w:p>
        </w:tc>
        <w:tc>
          <w:tcPr>
            <w:tcW w:w="1200" w:type="dxa"/>
            <w:tcBorders>
              <w:top w:val="nil"/>
              <w:left w:val="nil"/>
              <w:bottom w:val="single" w:sz="4" w:space="0" w:color="auto"/>
              <w:right w:val="single" w:sz="4" w:space="0" w:color="auto"/>
            </w:tcBorders>
            <w:shd w:val="clear" w:color="000000" w:fill="FFFFFF"/>
            <w:noWrap/>
            <w:vAlign w:val="center"/>
            <w:hideMark/>
          </w:tcPr>
          <w:p w14:paraId="18181A1A"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108%</w:t>
            </w:r>
          </w:p>
        </w:tc>
        <w:tc>
          <w:tcPr>
            <w:tcW w:w="1340" w:type="dxa"/>
            <w:tcBorders>
              <w:top w:val="nil"/>
              <w:left w:val="nil"/>
              <w:bottom w:val="single" w:sz="4" w:space="0" w:color="auto"/>
              <w:right w:val="single" w:sz="4" w:space="0" w:color="auto"/>
            </w:tcBorders>
            <w:shd w:val="clear" w:color="000000" w:fill="FFFFFF"/>
            <w:noWrap/>
            <w:vAlign w:val="center"/>
            <w:hideMark/>
          </w:tcPr>
          <w:p w14:paraId="6FAE25D1"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2.08</w:t>
            </w:r>
          </w:p>
        </w:tc>
        <w:tc>
          <w:tcPr>
            <w:tcW w:w="1340" w:type="dxa"/>
            <w:tcBorders>
              <w:top w:val="nil"/>
              <w:left w:val="nil"/>
              <w:bottom w:val="single" w:sz="4" w:space="0" w:color="auto"/>
              <w:right w:val="single" w:sz="4" w:space="0" w:color="auto"/>
            </w:tcBorders>
            <w:shd w:val="clear" w:color="000000" w:fill="FFFFFF"/>
            <w:noWrap/>
            <w:vAlign w:val="center"/>
            <w:hideMark/>
          </w:tcPr>
          <w:p w14:paraId="06EDC2FB"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111%</w:t>
            </w:r>
          </w:p>
        </w:tc>
        <w:tc>
          <w:tcPr>
            <w:tcW w:w="1200" w:type="dxa"/>
            <w:tcBorders>
              <w:top w:val="nil"/>
              <w:left w:val="nil"/>
              <w:bottom w:val="single" w:sz="4" w:space="0" w:color="auto"/>
              <w:right w:val="single" w:sz="4" w:space="0" w:color="auto"/>
            </w:tcBorders>
            <w:shd w:val="clear" w:color="000000" w:fill="FFFFFF"/>
            <w:noWrap/>
            <w:vAlign w:val="center"/>
            <w:hideMark/>
          </w:tcPr>
          <w:p w14:paraId="6A5DDAFE"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91%</w:t>
            </w:r>
          </w:p>
        </w:tc>
      </w:tr>
      <w:tr w:rsidR="007E572E" w:rsidRPr="00810C74" w14:paraId="5F7622FD" w14:textId="77777777" w:rsidTr="007E572E">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01249CBC"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18</w:t>
            </w:r>
          </w:p>
        </w:tc>
        <w:tc>
          <w:tcPr>
            <w:tcW w:w="1740" w:type="dxa"/>
            <w:tcBorders>
              <w:top w:val="nil"/>
              <w:left w:val="nil"/>
              <w:bottom w:val="single" w:sz="4" w:space="0" w:color="auto"/>
              <w:right w:val="single" w:sz="4" w:space="0" w:color="auto"/>
            </w:tcBorders>
            <w:shd w:val="clear" w:color="000000" w:fill="FFFFFF"/>
            <w:noWrap/>
            <w:vAlign w:val="center"/>
            <w:hideMark/>
          </w:tcPr>
          <w:p w14:paraId="749D851A"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81%</w:t>
            </w:r>
          </w:p>
        </w:tc>
        <w:tc>
          <w:tcPr>
            <w:tcW w:w="1200" w:type="dxa"/>
            <w:tcBorders>
              <w:top w:val="nil"/>
              <w:left w:val="nil"/>
              <w:bottom w:val="single" w:sz="4" w:space="0" w:color="auto"/>
              <w:right w:val="single" w:sz="4" w:space="0" w:color="auto"/>
            </w:tcBorders>
            <w:shd w:val="clear" w:color="000000" w:fill="FFFFFF"/>
            <w:noWrap/>
            <w:vAlign w:val="center"/>
            <w:hideMark/>
          </w:tcPr>
          <w:p w14:paraId="5A08281D"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137%</w:t>
            </w:r>
          </w:p>
        </w:tc>
        <w:tc>
          <w:tcPr>
            <w:tcW w:w="1360" w:type="dxa"/>
            <w:tcBorders>
              <w:top w:val="nil"/>
              <w:left w:val="nil"/>
              <w:bottom w:val="single" w:sz="4" w:space="0" w:color="auto"/>
              <w:right w:val="single" w:sz="4" w:space="0" w:color="auto"/>
            </w:tcBorders>
            <w:shd w:val="clear" w:color="000000" w:fill="FFFFFF"/>
            <w:noWrap/>
            <w:vAlign w:val="center"/>
            <w:hideMark/>
          </w:tcPr>
          <w:p w14:paraId="05F7B4AF"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56%</w:t>
            </w:r>
          </w:p>
        </w:tc>
        <w:tc>
          <w:tcPr>
            <w:tcW w:w="1200" w:type="dxa"/>
            <w:tcBorders>
              <w:top w:val="nil"/>
              <w:left w:val="nil"/>
              <w:bottom w:val="single" w:sz="4" w:space="0" w:color="auto"/>
              <w:right w:val="single" w:sz="4" w:space="0" w:color="auto"/>
            </w:tcBorders>
            <w:shd w:val="clear" w:color="000000" w:fill="FFFFFF"/>
            <w:noWrap/>
            <w:vAlign w:val="center"/>
            <w:hideMark/>
          </w:tcPr>
          <w:p w14:paraId="0ADB5061"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80%</w:t>
            </w:r>
          </w:p>
        </w:tc>
        <w:tc>
          <w:tcPr>
            <w:tcW w:w="1340" w:type="dxa"/>
            <w:tcBorders>
              <w:top w:val="nil"/>
              <w:left w:val="nil"/>
              <w:bottom w:val="single" w:sz="4" w:space="0" w:color="auto"/>
              <w:right w:val="single" w:sz="4" w:space="0" w:color="auto"/>
            </w:tcBorders>
            <w:shd w:val="clear" w:color="000000" w:fill="FFFFFF"/>
            <w:noWrap/>
            <w:vAlign w:val="center"/>
            <w:hideMark/>
          </w:tcPr>
          <w:p w14:paraId="1AA75290"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222%</w:t>
            </w:r>
          </w:p>
        </w:tc>
        <w:tc>
          <w:tcPr>
            <w:tcW w:w="1340" w:type="dxa"/>
            <w:tcBorders>
              <w:top w:val="nil"/>
              <w:left w:val="nil"/>
              <w:bottom w:val="single" w:sz="4" w:space="0" w:color="auto"/>
              <w:right w:val="single" w:sz="4" w:space="0" w:color="auto"/>
            </w:tcBorders>
            <w:shd w:val="clear" w:color="000000" w:fill="FFFFFF"/>
            <w:noWrap/>
            <w:vAlign w:val="center"/>
            <w:hideMark/>
          </w:tcPr>
          <w:p w14:paraId="20171011"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92%</w:t>
            </w:r>
          </w:p>
        </w:tc>
        <w:tc>
          <w:tcPr>
            <w:tcW w:w="1200" w:type="dxa"/>
            <w:tcBorders>
              <w:top w:val="nil"/>
              <w:left w:val="nil"/>
              <w:bottom w:val="single" w:sz="4" w:space="0" w:color="auto"/>
              <w:right w:val="single" w:sz="4" w:space="0" w:color="auto"/>
            </w:tcBorders>
            <w:shd w:val="clear" w:color="000000" w:fill="FFFFFF"/>
            <w:noWrap/>
            <w:vAlign w:val="center"/>
            <w:hideMark/>
          </w:tcPr>
          <w:p w14:paraId="2FD02708"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94%</w:t>
            </w:r>
          </w:p>
        </w:tc>
      </w:tr>
      <w:tr w:rsidR="007E572E" w:rsidRPr="00810C74" w14:paraId="6A91B53F" w14:textId="77777777" w:rsidTr="007E572E">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52292FE2"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19</w:t>
            </w:r>
          </w:p>
        </w:tc>
        <w:tc>
          <w:tcPr>
            <w:tcW w:w="1740" w:type="dxa"/>
            <w:tcBorders>
              <w:top w:val="nil"/>
              <w:left w:val="nil"/>
              <w:bottom w:val="single" w:sz="4" w:space="0" w:color="auto"/>
              <w:right w:val="single" w:sz="4" w:space="0" w:color="auto"/>
            </w:tcBorders>
            <w:shd w:val="clear" w:color="000000" w:fill="FFFFFF"/>
            <w:noWrap/>
            <w:vAlign w:val="center"/>
            <w:hideMark/>
          </w:tcPr>
          <w:p w14:paraId="111EC121"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85%</w:t>
            </w:r>
          </w:p>
        </w:tc>
        <w:tc>
          <w:tcPr>
            <w:tcW w:w="1200" w:type="dxa"/>
            <w:tcBorders>
              <w:top w:val="nil"/>
              <w:left w:val="nil"/>
              <w:bottom w:val="single" w:sz="4" w:space="0" w:color="auto"/>
              <w:right w:val="single" w:sz="4" w:space="0" w:color="auto"/>
            </w:tcBorders>
            <w:shd w:val="clear" w:color="000000" w:fill="FFFFFF"/>
            <w:noWrap/>
            <w:vAlign w:val="center"/>
            <w:hideMark/>
          </w:tcPr>
          <w:p w14:paraId="63E3C22A"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168%</w:t>
            </w:r>
          </w:p>
        </w:tc>
        <w:tc>
          <w:tcPr>
            <w:tcW w:w="1360" w:type="dxa"/>
            <w:tcBorders>
              <w:top w:val="nil"/>
              <w:left w:val="nil"/>
              <w:bottom w:val="single" w:sz="4" w:space="0" w:color="auto"/>
              <w:right w:val="single" w:sz="4" w:space="0" w:color="auto"/>
            </w:tcBorders>
            <w:shd w:val="clear" w:color="000000" w:fill="FFFFFF"/>
            <w:noWrap/>
            <w:vAlign w:val="center"/>
            <w:hideMark/>
          </w:tcPr>
          <w:p w14:paraId="339CA16C"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46%</w:t>
            </w:r>
          </w:p>
        </w:tc>
        <w:tc>
          <w:tcPr>
            <w:tcW w:w="1200" w:type="dxa"/>
            <w:tcBorders>
              <w:top w:val="nil"/>
              <w:left w:val="nil"/>
              <w:bottom w:val="single" w:sz="4" w:space="0" w:color="auto"/>
              <w:right w:val="single" w:sz="4" w:space="0" w:color="auto"/>
            </w:tcBorders>
            <w:shd w:val="clear" w:color="000000" w:fill="FFFFFF"/>
            <w:noWrap/>
            <w:vAlign w:val="center"/>
            <w:hideMark/>
          </w:tcPr>
          <w:p w14:paraId="1AE96FBF"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100%</w:t>
            </w:r>
          </w:p>
        </w:tc>
        <w:tc>
          <w:tcPr>
            <w:tcW w:w="1340" w:type="dxa"/>
            <w:tcBorders>
              <w:top w:val="nil"/>
              <w:left w:val="nil"/>
              <w:bottom w:val="single" w:sz="4" w:space="0" w:color="auto"/>
              <w:right w:val="single" w:sz="4" w:space="0" w:color="auto"/>
            </w:tcBorders>
            <w:shd w:val="clear" w:color="000000" w:fill="FFFFFF"/>
            <w:noWrap/>
            <w:vAlign w:val="center"/>
            <w:hideMark/>
          </w:tcPr>
          <w:p w14:paraId="0870BF1E"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211%</w:t>
            </w:r>
          </w:p>
        </w:tc>
        <w:tc>
          <w:tcPr>
            <w:tcW w:w="1340" w:type="dxa"/>
            <w:tcBorders>
              <w:top w:val="nil"/>
              <w:left w:val="nil"/>
              <w:bottom w:val="single" w:sz="4" w:space="0" w:color="auto"/>
              <w:right w:val="single" w:sz="4" w:space="0" w:color="auto"/>
            </w:tcBorders>
            <w:shd w:val="clear" w:color="000000" w:fill="FFFFFF"/>
            <w:noWrap/>
            <w:vAlign w:val="center"/>
            <w:hideMark/>
          </w:tcPr>
          <w:p w14:paraId="6860955F"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84%</w:t>
            </w:r>
          </w:p>
        </w:tc>
        <w:tc>
          <w:tcPr>
            <w:tcW w:w="1200" w:type="dxa"/>
            <w:tcBorders>
              <w:top w:val="nil"/>
              <w:left w:val="nil"/>
              <w:bottom w:val="single" w:sz="4" w:space="0" w:color="auto"/>
              <w:right w:val="single" w:sz="4" w:space="0" w:color="auto"/>
            </w:tcBorders>
            <w:shd w:val="clear" w:color="000000" w:fill="FFFFFF"/>
            <w:noWrap/>
            <w:vAlign w:val="center"/>
            <w:hideMark/>
          </w:tcPr>
          <w:p w14:paraId="5C4F558C"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88%</w:t>
            </w:r>
          </w:p>
        </w:tc>
      </w:tr>
      <w:tr w:rsidR="007E572E" w:rsidRPr="00810C74" w14:paraId="52519A95" w14:textId="77777777" w:rsidTr="007E572E">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72E32679"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20</w:t>
            </w:r>
          </w:p>
        </w:tc>
        <w:tc>
          <w:tcPr>
            <w:tcW w:w="1740" w:type="dxa"/>
            <w:tcBorders>
              <w:top w:val="nil"/>
              <w:left w:val="nil"/>
              <w:bottom w:val="single" w:sz="4" w:space="0" w:color="auto"/>
              <w:right w:val="single" w:sz="4" w:space="0" w:color="auto"/>
            </w:tcBorders>
            <w:shd w:val="clear" w:color="000000" w:fill="FFFFFF"/>
            <w:noWrap/>
            <w:vAlign w:val="center"/>
            <w:hideMark/>
          </w:tcPr>
          <w:p w14:paraId="0F47E213"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73%</w:t>
            </w:r>
          </w:p>
        </w:tc>
        <w:tc>
          <w:tcPr>
            <w:tcW w:w="1200" w:type="dxa"/>
            <w:tcBorders>
              <w:top w:val="nil"/>
              <w:left w:val="nil"/>
              <w:bottom w:val="single" w:sz="4" w:space="0" w:color="auto"/>
              <w:right w:val="single" w:sz="4" w:space="0" w:color="auto"/>
            </w:tcBorders>
            <w:shd w:val="clear" w:color="000000" w:fill="FFFFFF"/>
            <w:noWrap/>
            <w:vAlign w:val="center"/>
            <w:hideMark/>
          </w:tcPr>
          <w:p w14:paraId="53B8BEF4"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157%</w:t>
            </w:r>
          </w:p>
        </w:tc>
        <w:tc>
          <w:tcPr>
            <w:tcW w:w="1360" w:type="dxa"/>
            <w:tcBorders>
              <w:top w:val="nil"/>
              <w:left w:val="nil"/>
              <w:bottom w:val="single" w:sz="4" w:space="0" w:color="auto"/>
              <w:right w:val="single" w:sz="4" w:space="0" w:color="auto"/>
            </w:tcBorders>
            <w:shd w:val="clear" w:color="000000" w:fill="FFFFFF"/>
            <w:noWrap/>
            <w:vAlign w:val="center"/>
            <w:hideMark/>
          </w:tcPr>
          <w:p w14:paraId="71827E7D"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40%</w:t>
            </w:r>
          </w:p>
        </w:tc>
        <w:tc>
          <w:tcPr>
            <w:tcW w:w="1200" w:type="dxa"/>
            <w:tcBorders>
              <w:top w:val="nil"/>
              <w:left w:val="nil"/>
              <w:bottom w:val="single" w:sz="4" w:space="0" w:color="auto"/>
              <w:right w:val="single" w:sz="4" w:space="0" w:color="auto"/>
            </w:tcBorders>
            <w:shd w:val="clear" w:color="000000" w:fill="FFFFFF"/>
            <w:noWrap/>
            <w:vAlign w:val="center"/>
            <w:hideMark/>
          </w:tcPr>
          <w:p w14:paraId="363B782C"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120%</w:t>
            </w:r>
          </w:p>
        </w:tc>
        <w:tc>
          <w:tcPr>
            <w:tcW w:w="1340" w:type="dxa"/>
            <w:tcBorders>
              <w:top w:val="nil"/>
              <w:left w:val="nil"/>
              <w:bottom w:val="single" w:sz="4" w:space="0" w:color="auto"/>
              <w:right w:val="single" w:sz="4" w:space="0" w:color="auto"/>
            </w:tcBorders>
            <w:shd w:val="clear" w:color="000000" w:fill="FFFFFF"/>
            <w:noWrap/>
            <w:vAlign w:val="center"/>
            <w:hideMark/>
          </w:tcPr>
          <w:p w14:paraId="227E0614"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220%</w:t>
            </w:r>
          </w:p>
        </w:tc>
        <w:tc>
          <w:tcPr>
            <w:tcW w:w="1340" w:type="dxa"/>
            <w:tcBorders>
              <w:top w:val="nil"/>
              <w:left w:val="nil"/>
              <w:bottom w:val="single" w:sz="4" w:space="0" w:color="auto"/>
              <w:right w:val="single" w:sz="4" w:space="0" w:color="auto"/>
            </w:tcBorders>
            <w:shd w:val="clear" w:color="000000" w:fill="FFFFFF"/>
            <w:noWrap/>
            <w:vAlign w:val="center"/>
            <w:hideMark/>
          </w:tcPr>
          <w:p w14:paraId="57BBFBCA"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116%</w:t>
            </w:r>
          </w:p>
        </w:tc>
        <w:tc>
          <w:tcPr>
            <w:tcW w:w="1200" w:type="dxa"/>
            <w:tcBorders>
              <w:top w:val="nil"/>
              <w:left w:val="nil"/>
              <w:bottom w:val="single" w:sz="4" w:space="0" w:color="auto"/>
              <w:right w:val="single" w:sz="4" w:space="0" w:color="auto"/>
            </w:tcBorders>
            <w:shd w:val="clear" w:color="000000" w:fill="FFFFFF"/>
            <w:noWrap/>
            <w:vAlign w:val="center"/>
            <w:hideMark/>
          </w:tcPr>
          <w:p w14:paraId="61B75C02"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74%</w:t>
            </w:r>
          </w:p>
        </w:tc>
      </w:tr>
      <w:tr w:rsidR="007E572E" w:rsidRPr="00810C74" w14:paraId="1638B741" w14:textId="77777777" w:rsidTr="007E572E">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1FA42883"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21</w:t>
            </w:r>
          </w:p>
        </w:tc>
        <w:tc>
          <w:tcPr>
            <w:tcW w:w="1740" w:type="dxa"/>
            <w:tcBorders>
              <w:top w:val="nil"/>
              <w:left w:val="nil"/>
              <w:bottom w:val="single" w:sz="4" w:space="0" w:color="auto"/>
              <w:right w:val="single" w:sz="4" w:space="0" w:color="auto"/>
            </w:tcBorders>
            <w:shd w:val="clear" w:color="000000" w:fill="FFFFFF"/>
            <w:noWrap/>
            <w:vAlign w:val="center"/>
            <w:hideMark/>
          </w:tcPr>
          <w:p w14:paraId="77B2F005"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93%</w:t>
            </w:r>
          </w:p>
        </w:tc>
        <w:tc>
          <w:tcPr>
            <w:tcW w:w="1200" w:type="dxa"/>
            <w:tcBorders>
              <w:top w:val="nil"/>
              <w:left w:val="nil"/>
              <w:bottom w:val="single" w:sz="4" w:space="0" w:color="auto"/>
              <w:right w:val="single" w:sz="4" w:space="0" w:color="auto"/>
            </w:tcBorders>
            <w:shd w:val="clear" w:color="000000" w:fill="FFFFFF"/>
            <w:noWrap/>
            <w:vAlign w:val="center"/>
            <w:hideMark/>
          </w:tcPr>
          <w:p w14:paraId="26AEE621"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193%</w:t>
            </w:r>
          </w:p>
        </w:tc>
        <w:tc>
          <w:tcPr>
            <w:tcW w:w="1360" w:type="dxa"/>
            <w:tcBorders>
              <w:top w:val="nil"/>
              <w:left w:val="nil"/>
              <w:bottom w:val="single" w:sz="4" w:space="0" w:color="auto"/>
              <w:right w:val="single" w:sz="4" w:space="0" w:color="auto"/>
            </w:tcBorders>
            <w:shd w:val="clear" w:color="000000" w:fill="FFFFFF"/>
            <w:noWrap/>
            <w:vAlign w:val="center"/>
            <w:hideMark/>
          </w:tcPr>
          <w:p w14:paraId="1EBF52A3"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45%</w:t>
            </w:r>
          </w:p>
        </w:tc>
        <w:tc>
          <w:tcPr>
            <w:tcW w:w="1200" w:type="dxa"/>
            <w:tcBorders>
              <w:top w:val="nil"/>
              <w:left w:val="nil"/>
              <w:bottom w:val="single" w:sz="4" w:space="0" w:color="auto"/>
              <w:right w:val="single" w:sz="4" w:space="0" w:color="auto"/>
            </w:tcBorders>
            <w:shd w:val="clear" w:color="000000" w:fill="FFFFFF"/>
            <w:noWrap/>
            <w:vAlign w:val="center"/>
            <w:hideMark/>
          </w:tcPr>
          <w:p w14:paraId="2CD1F81B"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120%</w:t>
            </w:r>
          </w:p>
        </w:tc>
        <w:tc>
          <w:tcPr>
            <w:tcW w:w="1340" w:type="dxa"/>
            <w:tcBorders>
              <w:top w:val="nil"/>
              <w:left w:val="nil"/>
              <w:bottom w:val="single" w:sz="4" w:space="0" w:color="auto"/>
              <w:right w:val="single" w:sz="4" w:space="0" w:color="auto"/>
            </w:tcBorders>
            <w:shd w:val="clear" w:color="000000" w:fill="FFFFFF"/>
            <w:noWrap/>
            <w:vAlign w:val="center"/>
            <w:hideMark/>
          </w:tcPr>
          <w:p w14:paraId="0E27E2D4"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220%</w:t>
            </w:r>
          </w:p>
        </w:tc>
        <w:tc>
          <w:tcPr>
            <w:tcW w:w="1340" w:type="dxa"/>
            <w:tcBorders>
              <w:top w:val="nil"/>
              <w:left w:val="nil"/>
              <w:bottom w:val="single" w:sz="4" w:space="0" w:color="auto"/>
              <w:right w:val="single" w:sz="4" w:space="0" w:color="auto"/>
            </w:tcBorders>
            <w:shd w:val="clear" w:color="000000" w:fill="FFFFFF"/>
            <w:noWrap/>
            <w:vAlign w:val="center"/>
            <w:hideMark/>
          </w:tcPr>
          <w:p w14:paraId="2B358947"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99%</w:t>
            </w:r>
          </w:p>
        </w:tc>
        <w:tc>
          <w:tcPr>
            <w:tcW w:w="1200" w:type="dxa"/>
            <w:tcBorders>
              <w:top w:val="nil"/>
              <w:left w:val="nil"/>
              <w:bottom w:val="single" w:sz="4" w:space="0" w:color="auto"/>
              <w:right w:val="single" w:sz="4" w:space="0" w:color="auto"/>
            </w:tcBorders>
            <w:shd w:val="clear" w:color="000000" w:fill="FFFFFF"/>
            <w:noWrap/>
            <w:vAlign w:val="center"/>
            <w:hideMark/>
          </w:tcPr>
          <w:p w14:paraId="3FE02D5A"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106%</w:t>
            </w:r>
          </w:p>
        </w:tc>
      </w:tr>
      <w:tr w:rsidR="007E572E" w:rsidRPr="00810C74" w14:paraId="5D595646" w14:textId="77777777" w:rsidTr="007E572E">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18DAFF20"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22</w:t>
            </w:r>
          </w:p>
        </w:tc>
        <w:tc>
          <w:tcPr>
            <w:tcW w:w="1740" w:type="dxa"/>
            <w:tcBorders>
              <w:top w:val="nil"/>
              <w:left w:val="nil"/>
              <w:bottom w:val="single" w:sz="4" w:space="0" w:color="auto"/>
              <w:right w:val="single" w:sz="4" w:space="0" w:color="auto"/>
            </w:tcBorders>
            <w:shd w:val="clear" w:color="000000" w:fill="FFFFFF"/>
            <w:noWrap/>
            <w:vAlign w:val="center"/>
            <w:hideMark/>
          </w:tcPr>
          <w:p w14:paraId="247A1F2E"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86%</w:t>
            </w:r>
          </w:p>
        </w:tc>
        <w:tc>
          <w:tcPr>
            <w:tcW w:w="1200" w:type="dxa"/>
            <w:tcBorders>
              <w:top w:val="nil"/>
              <w:left w:val="nil"/>
              <w:bottom w:val="single" w:sz="4" w:space="0" w:color="auto"/>
              <w:right w:val="single" w:sz="4" w:space="0" w:color="auto"/>
            </w:tcBorders>
            <w:shd w:val="clear" w:color="000000" w:fill="FFFFFF"/>
            <w:noWrap/>
            <w:vAlign w:val="center"/>
            <w:hideMark/>
          </w:tcPr>
          <w:p w14:paraId="7C0AF628"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124%</w:t>
            </w:r>
          </w:p>
        </w:tc>
        <w:tc>
          <w:tcPr>
            <w:tcW w:w="1360" w:type="dxa"/>
            <w:tcBorders>
              <w:top w:val="nil"/>
              <w:left w:val="nil"/>
              <w:bottom w:val="single" w:sz="4" w:space="0" w:color="auto"/>
              <w:right w:val="single" w:sz="4" w:space="0" w:color="auto"/>
            </w:tcBorders>
            <w:shd w:val="clear" w:color="000000" w:fill="FFFFFF"/>
            <w:noWrap/>
            <w:vAlign w:val="center"/>
            <w:hideMark/>
          </w:tcPr>
          <w:p w14:paraId="4B92638D"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56%</w:t>
            </w:r>
          </w:p>
        </w:tc>
        <w:tc>
          <w:tcPr>
            <w:tcW w:w="1200" w:type="dxa"/>
            <w:tcBorders>
              <w:top w:val="nil"/>
              <w:left w:val="nil"/>
              <w:bottom w:val="single" w:sz="4" w:space="0" w:color="auto"/>
              <w:right w:val="single" w:sz="4" w:space="0" w:color="auto"/>
            </w:tcBorders>
            <w:shd w:val="clear" w:color="000000" w:fill="FFFFFF"/>
            <w:noWrap/>
            <w:vAlign w:val="center"/>
            <w:hideMark/>
          </w:tcPr>
          <w:p w14:paraId="4A01FE5A"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95%</w:t>
            </w:r>
          </w:p>
        </w:tc>
        <w:tc>
          <w:tcPr>
            <w:tcW w:w="1340" w:type="dxa"/>
            <w:tcBorders>
              <w:top w:val="nil"/>
              <w:left w:val="nil"/>
              <w:bottom w:val="single" w:sz="4" w:space="0" w:color="auto"/>
              <w:right w:val="single" w:sz="4" w:space="0" w:color="auto"/>
            </w:tcBorders>
            <w:shd w:val="clear" w:color="000000" w:fill="FFFFFF"/>
            <w:noWrap/>
            <w:vAlign w:val="center"/>
            <w:hideMark/>
          </w:tcPr>
          <w:p w14:paraId="49878C46"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185%</w:t>
            </w:r>
          </w:p>
        </w:tc>
        <w:tc>
          <w:tcPr>
            <w:tcW w:w="1340" w:type="dxa"/>
            <w:tcBorders>
              <w:top w:val="nil"/>
              <w:left w:val="nil"/>
              <w:bottom w:val="single" w:sz="4" w:space="0" w:color="auto"/>
              <w:right w:val="single" w:sz="4" w:space="0" w:color="auto"/>
            </w:tcBorders>
            <w:shd w:val="clear" w:color="000000" w:fill="FFFFFF"/>
            <w:noWrap/>
            <w:vAlign w:val="center"/>
            <w:hideMark/>
          </w:tcPr>
          <w:p w14:paraId="701D4181"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81%</w:t>
            </w:r>
          </w:p>
        </w:tc>
        <w:tc>
          <w:tcPr>
            <w:tcW w:w="1200" w:type="dxa"/>
            <w:tcBorders>
              <w:top w:val="nil"/>
              <w:left w:val="nil"/>
              <w:bottom w:val="single" w:sz="4" w:space="0" w:color="auto"/>
              <w:right w:val="single" w:sz="4" w:space="0" w:color="auto"/>
            </w:tcBorders>
            <w:shd w:val="clear" w:color="000000" w:fill="FFFFFF"/>
            <w:noWrap/>
            <w:vAlign w:val="center"/>
            <w:hideMark/>
          </w:tcPr>
          <w:p w14:paraId="2D66D72B"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116%</w:t>
            </w:r>
          </w:p>
        </w:tc>
      </w:tr>
      <w:tr w:rsidR="007E572E" w:rsidRPr="00810C74" w14:paraId="09FF4F80" w14:textId="77777777" w:rsidTr="007E572E">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474FAA79"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23</w:t>
            </w:r>
          </w:p>
        </w:tc>
        <w:tc>
          <w:tcPr>
            <w:tcW w:w="1740" w:type="dxa"/>
            <w:tcBorders>
              <w:top w:val="nil"/>
              <w:left w:val="nil"/>
              <w:bottom w:val="single" w:sz="4" w:space="0" w:color="auto"/>
              <w:right w:val="single" w:sz="4" w:space="0" w:color="auto"/>
            </w:tcBorders>
            <w:shd w:val="clear" w:color="000000" w:fill="FFFFFF"/>
            <w:noWrap/>
            <w:vAlign w:val="center"/>
            <w:hideMark/>
          </w:tcPr>
          <w:p w14:paraId="564BC523"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86%</w:t>
            </w:r>
          </w:p>
        </w:tc>
        <w:tc>
          <w:tcPr>
            <w:tcW w:w="1200" w:type="dxa"/>
            <w:tcBorders>
              <w:top w:val="nil"/>
              <w:left w:val="nil"/>
              <w:bottom w:val="single" w:sz="4" w:space="0" w:color="auto"/>
              <w:right w:val="single" w:sz="4" w:space="0" w:color="auto"/>
            </w:tcBorders>
            <w:shd w:val="clear" w:color="000000" w:fill="FFFFFF"/>
            <w:noWrap/>
            <w:vAlign w:val="center"/>
            <w:hideMark/>
          </w:tcPr>
          <w:p w14:paraId="33D6C01C"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94%</w:t>
            </w:r>
          </w:p>
        </w:tc>
        <w:tc>
          <w:tcPr>
            <w:tcW w:w="1360" w:type="dxa"/>
            <w:tcBorders>
              <w:top w:val="nil"/>
              <w:left w:val="nil"/>
              <w:bottom w:val="single" w:sz="4" w:space="0" w:color="auto"/>
              <w:right w:val="single" w:sz="4" w:space="0" w:color="auto"/>
            </w:tcBorders>
            <w:shd w:val="clear" w:color="000000" w:fill="FFFFFF"/>
            <w:noWrap/>
            <w:vAlign w:val="center"/>
            <w:hideMark/>
          </w:tcPr>
          <w:p w14:paraId="5094B754"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43%</w:t>
            </w:r>
          </w:p>
        </w:tc>
        <w:tc>
          <w:tcPr>
            <w:tcW w:w="1200" w:type="dxa"/>
            <w:tcBorders>
              <w:top w:val="nil"/>
              <w:left w:val="nil"/>
              <w:bottom w:val="single" w:sz="4" w:space="0" w:color="auto"/>
              <w:right w:val="single" w:sz="4" w:space="0" w:color="auto"/>
            </w:tcBorders>
            <w:shd w:val="clear" w:color="000000" w:fill="FFFFFF"/>
            <w:noWrap/>
            <w:vAlign w:val="center"/>
            <w:hideMark/>
          </w:tcPr>
          <w:p w14:paraId="744A0474"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146%</w:t>
            </w:r>
          </w:p>
        </w:tc>
        <w:tc>
          <w:tcPr>
            <w:tcW w:w="1340" w:type="dxa"/>
            <w:tcBorders>
              <w:top w:val="nil"/>
              <w:left w:val="nil"/>
              <w:bottom w:val="single" w:sz="4" w:space="0" w:color="auto"/>
              <w:right w:val="single" w:sz="4" w:space="0" w:color="auto"/>
            </w:tcBorders>
            <w:shd w:val="clear" w:color="000000" w:fill="FFFFFF"/>
            <w:noWrap/>
            <w:vAlign w:val="center"/>
            <w:hideMark/>
          </w:tcPr>
          <w:p w14:paraId="5699C868"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279%</w:t>
            </w:r>
          </w:p>
        </w:tc>
        <w:tc>
          <w:tcPr>
            <w:tcW w:w="1340" w:type="dxa"/>
            <w:tcBorders>
              <w:top w:val="nil"/>
              <w:left w:val="nil"/>
              <w:bottom w:val="single" w:sz="4" w:space="0" w:color="auto"/>
              <w:right w:val="single" w:sz="4" w:space="0" w:color="auto"/>
            </w:tcBorders>
            <w:shd w:val="clear" w:color="000000" w:fill="FFFFFF"/>
            <w:noWrap/>
            <w:vAlign w:val="center"/>
            <w:hideMark/>
          </w:tcPr>
          <w:p w14:paraId="64AA17C5"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83%</w:t>
            </w:r>
          </w:p>
        </w:tc>
        <w:tc>
          <w:tcPr>
            <w:tcW w:w="1200" w:type="dxa"/>
            <w:tcBorders>
              <w:top w:val="nil"/>
              <w:left w:val="nil"/>
              <w:bottom w:val="single" w:sz="4" w:space="0" w:color="auto"/>
              <w:right w:val="single" w:sz="4" w:space="0" w:color="auto"/>
            </w:tcBorders>
            <w:shd w:val="clear" w:color="000000" w:fill="FFFFFF"/>
            <w:noWrap/>
            <w:vAlign w:val="center"/>
            <w:hideMark/>
          </w:tcPr>
          <w:p w14:paraId="6C5EC02C"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92%</w:t>
            </w:r>
          </w:p>
        </w:tc>
      </w:tr>
      <w:tr w:rsidR="007E572E" w:rsidRPr="00810C74" w14:paraId="59A9CF8F" w14:textId="77777777" w:rsidTr="007E572E">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22998A30"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24</w:t>
            </w:r>
          </w:p>
        </w:tc>
        <w:tc>
          <w:tcPr>
            <w:tcW w:w="1740" w:type="dxa"/>
            <w:tcBorders>
              <w:top w:val="nil"/>
              <w:left w:val="nil"/>
              <w:bottom w:val="single" w:sz="4" w:space="0" w:color="auto"/>
              <w:right w:val="single" w:sz="4" w:space="0" w:color="auto"/>
            </w:tcBorders>
            <w:shd w:val="clear" w:color="000000" w:fill="FFFFFF"/>
            <w:noWrap/>
            <w:vAlign w:val="center"/>
            <w:hideMark/>
          </w:tcPr>
          <w:p w14:paraId="77571F1D"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68%</w:t>
            </w:r>
          </w:p>
        </w:tc>
        <w:tc>
          <w:tcPr>
            <w:tcW w:w="1200" w:type="dxa"/>
            <w:tcBorders>
              <w:top w:val="nil"/>
              <w:left w:val="nil"/>
              <w:bottom w:val="single" w:sz="4" w:space="0" w:color="auto"/>
              <w:right w:val="single" w:sz="4" w:space="0" w:color="auto"/>
            </w:tcBorders>
            <w:shd w:val="clear" w:color="000000" w:fill="FFFFFF"/>
            <w:noWrap/>
            <w:vAlign w:val="center"/>
            <w:hideMark/>
          </w:tcPr>
          <w:p w14:paraId="645186E8"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85%</w:t>
            </w:r>
          </w:p>
        </w:tc>
        <w:tc>
          <w:tcPr>
            <w:tcW w:w="1360" w:type="dxa"/>
            <w:tcBorders>
              <w:top w:val="nil"/>
              <w:left w:val="nil"/>
              <w:bottom w:val="single" w:sz="4" w:space="0" w:color="auto"/>
              <w:right w:val="single" w:sz="4" w:space="0" w:color="auto"/>
            </w:tcBorders>
            <w:shd w:val="clear" w:color="000000" w:fill="FFFFFF"/>
            <w:noWrap/>
            <w:vAlign w:val="center"/>
            <w:hideMark/>
          </w:tcPr>
          <w:p w14:paraId="26B1575D"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40%</w:t>
            </w:r>
          </w:p>
        </w:tc>
        <w:tc>
          <w:tcPr>
            <w:tcW w:w="1200" w:type="dxa"/>
            <w:tcBorders>
              <w:top w:val="nil"/>
              <w:left w:val="nil"/>
              <w:bottom w:val="single" w:sz="4" w:space="0" w:color="auto"/>
              <w:right w:val="single" w:sz="4" w:space="0" w:color="auto"/>
            </w:tcBorders>
            <w:shd w:val="clear" w:color="000000" w:fill="FFFFFF"/>
            <w:noWrap/>
            <w:vAlign w:val="center"/>
            <w:hideMark/>
          </w:tcPr>
          <w:p w14:paraId="7C713F88"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120%</w:t>
            </w:r>
          </w:p>
        </w:tc>
        <w:tc>
          <w:tcPr>
            <w:tcW w:w="1340" w:type="dxa"/>
            <w:tcBorders>
              <w:top w:val="nil"/>
              <w:left w:val="nil"/>
              <w:bottom w:val="single" w:sz="4" w:space="0" w:color="auto"/>
              <w:right w:val="single" w:sz="4" w:space="0" w:color="auto"/>
            </w:tcBorders>
            <w:shd w:val="clear" w:color="000000" w:fill="FFFFFF"/>
            <w:noWrap/>
            <w:vAlign w:val="center"/>
            <w:hideMark/>
          </w:tcPr>
          <w:p w14:paraId="1F9F3FD1"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279%</w:t>
            </w:r>
          </w:p>
        </w:tc>
        <w:tc>
          <w:tcPr>
            <w:tcW w:w="1340" w:type="dxa"/>
            <w:tcBorders>
              <w:top w:val="nil"/>
              <w:left w:val="nil"/>
              <w:bottom w:val="single" w:sz="4" w:space="0" w:color="auto"/>
              <w:right w:val="single" w:sz="4" w:space="0" w:color="auto"/>
            </w:tcBorders>
            <w:shd w:val="clear" w:color="000000" w:fill="FFFFFF"/>
            <w:noWrap/>
            <w:vAlign w:val="center"/>
            <w:hideMark/>
          </w:tcPr>
          <w:p w14:paraId="3B5FEEB2"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107%</w:t>
            </w:r>
          </w:p>
        </w:tc>
        <w:tc>
          <w:tcPr>
            <w:tcW w:w="1200" w:type="dxa"/>
            <w:tcBorders>
              <w:top w:val="nil"/>
              <w:left w:val="nil"/>
              <w:bottom w:val="single" w:sz="4" w:space="0" w:color="auto"/>
              <w:right w:val="single" w:sz="4" w:space="0" w:color="auto"/>
            </w:tcBorders>
            <w:shd w:val="clear" w:color="000000" w:fill="FFFFFF"/>
            <w:noWrap/>
            <w:vAlign w:val="center"/>
            <w:hideMark/>
          </w:tcPr>
          <w:p w14:paraId="6A54FE39"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113%</w:t>
            </w:r>
          </w:p>
        </w:tc>
      </w:tr>
      <w:tr w:rsidR="007E572E" w:rsidRPr="00810C74" w14:paraId="4E680DA1" w14:textId="77777777" w:rsidTr="007E572E">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628C8EA4"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25</w:t>
            </w:r>
          </w:p>
        </w:tc>
        <w:tc>
          <w:tcPr>
            <w:tcW w:w="1740" w:type="dxa"/>
            <w:tcBorders>
              <w:top w:val="nil"/>
              <w:left w:val="nil"/>
              <w:bottom w:val="single" w:sz="4" w:space="0" w:color="auto"/>
              <w:right w:val="single" w:sz="4" w:space="0" w:color="auto"/>
            </w:tcBorders>
            <w:shd w:val="clear" w:color="000000" w:fill="FFFFFF"/>
            <w:noWrap/>
            <w:vAlign w:val="center"/>
            <w:hideMark/>
          </w:tcPr>
          <w:p w14:paraId="454926C9"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88%</w:t>
            </w:r>
          </w:p>
        </w:tc>
        <w:tc>
          <w:tcPr>
            <w:tcW w:w="1200" w:type="dxa"/>
            <w:tcBorders>
              <w:top w:val="nil"/>
              <w:left w:val="nil"/>
              <w:bottom w:val="single" w:sz="4" w:space="0" w:color="auto"/>
              <w:right w:val="single" w:sz="4" w:space="0" w:color="auto"/>
            </w:tcBorders>
            <w:shd w:val="clear" w:color="000000" w:fill="FFFFFF"/>
            <w:noWrap/>
            <w:vAlign w:val="center"/>
            <w:hideMark/>
          </w:tcPr>
          <w:p w14:paraId="2261B481"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116%</w:t>
            </w:r>
          </w:p>
        </w:tc>
        <w:tc>
          <w:tcPr>
            <w:tcW w:w="1360" w:type="dxa"/>
            <w:tcBorders>
              <w:top w:val="nil"/>
              <w:left w:val="nil"/>
              <w:bottom w:val="single" w:sz="4" w:space="0" w:color="auto"/>
              <w:right w:val="single" w:sz="4" w:space="0" w:color="auto"/>
            </w:tcBorders>
            <w:shd w:val="clear" w:color="000000" w:fill="FFFFFF"/>
            <w:noWrap/>
            <w:vAlign w:val="center"/>
            <w:hideMark/>
          </w:tcPr>
          <w:p w14:paraId="19567748"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45%</w:t>
            </w:r>
          </w:p>
        </w:tc>
        <w:tc>
          <w:tcPr>
            <w:tcW w:w="1200" w:type="dxa"/>
            <w:tcBorders>
              <w:top w:val="nil"/>
              <w:left w:val="nil"/>
              <w:bottom w:val="single" w:sz="4" w:space="0" w:color="auto"/>
              <w:right w:val="single" w:sz="4" w:space="0" w:color="auto"/>
            </w:tcBorders>
            <w:shd w:val="clear" w:color="000000" w:fill="FFFFFF"/>
            <w:noWrap/>
            <w:vAlign w:val="center"/>
            <w:hideMark/>
          </w:tcPr>
          <w:p w14:paraId="252AC466"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106%</w:t>
            </w:r>
          </w:p>
        </w:tc>
        <w:tc>
          <w:tcPr>
            <w:tcW w:w="1340" w:type="dxa"/>
            <w:tcBorders>
              <w:top w:val="nil"/>
              <w:left w:val="nil"/>
              <w:bottom w:val="single" w:sz="4" w:space="0" w:color="auto"/>
              <w:right w:val="single" w:sz="4" w:space="0" w:color="auto"/>
            </w:tcBorders>
            <w:shd w:val="clear" w:color="000000" w:fill="FFFFFF"/>
            <w:noWrap/>
            <w:vAlign w:val="center"/>
            <w:hideMark/>
          </w:tcPr>
          <w:p w14:paraId="74BD3C37"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204%</w:t>
            </w:r>
          </w:p>
        </w:tc>
        <w:tc>
          <w:tcPr>
            <w:tcW w:w="1340" w:type="dxa"/>
            <w:tcBorders>
              <w:top w:val="nil"/>
              <w:left w:val="nil"/>
              <w:bottom w:val="single" w:sz="4" w:space="0" w:color="auto"/>
              <w:right w:val="single" w:sz="4" w:space="0" w:color="auto"/>
            </w:tcBorders>
            <w:shd w:val="clear" w:color="000000" w:fill="FFFFFF"/>
            <w:noWrap/>
            <w:vAlign w:val="center"/>
            <w:hideMark/>
          </w:tcPr>
          <w:p w14:paraId="1ABC0EE8"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82%</w:t>
            </w:r>
          </w:p>
        </w:tc>
        <w:tc>
          <w:tcPr>
            <w:tcW w:w="1200" w:type="dxa"/>
            <w:tcBorders>
              <w:top w:val="nil"/>
              <w:left w:val="nil"/>
              <w:bottom w:val="single" w:sz="4" w:space="0" w:color="auto"/>
              <w:right w:val="single" w:sz="4" w:space="0" w:color="auto"/>
            </w:tcBorders>
            <w:shd w:val="clear" w:color="000000" w:fill="FFFFFF"/>
            <w:noWrap/>
            <w:vAlign w:val="center"/>
            <w:hideMark/>
          </w:tcPr>
          <w:p w14:paraId="3B9496C0"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129%</w:t>
            </w:r>
          </w:p>
        </w:tc>
      </w:tr>
      <w:tr w:rsidR="007E572E" w:rsidRPr="00810C74" w14:paraId="15A3FCE2" w14:textId="77777777" w:rsidTr="007E572E">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08DFB714"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26</w:t>
            </w:r>
          </w:p>
        </w:tc>
        <w:tc>
          <w:tcPr>
            <w:tcW w:w="1740" w:type="dxa"/>
            <w:tcBorders>
              <w:top w:val="nil"/>
              <w:left w:val="nil"/>
              <w:bottom w:val="single" w:sz="4" w:space="0" w:color="auto"/>
              <w:right w:val="single" w:sz="4" w:space="0" w:color="auto"/>
            </w:tcBorders>
            <w:shd w:val="clear" w:color="000000" w:fill="FFFFFF"/>
            <w:noWrap/>
            <w:vAlign w:val="center"/>
            <w:hideMark/>
          </w:tcPr>
          <w:p w14:paraId="097F28BA"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73%</w:t>
            </w:r>
          </w:p>
        </w:tc>
        <w:tc>
          <w:tcPr>
            <w:tcW w:w="1200" w:type="dxa"/>
            <w:tcBorders>
              <w:top w:val="nil"/>
              <w:left w:val="nil"/>
              <w:bottom w:val="single" w:sz="4" w:space="0" w:color="auto"/>
              <w:right w:val="single" w:sz="4" w:space="0" w:color="auto"/>
            </w:tcBorders>
            <w:shd w:val="clear" w:color="000000" w:fill="FFFFFF"/>
            <w:noWrap/>
            <w:vAlign w:val="center"/>
            <w:hideMark/>
          </w:tcPr>
          <w:p w14:paraId="6E4A0C5C"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104%</w:t>
            </w:r>
          </w:p>
        </w:tc>
        <w:tc>
          <w:tcPr>
            <w:tcW w:w="1360" w:type="dxa"/>
            <w:tcBorders>
              <w:top w:val="nil"/>
              <w:left w:val="nil"/>
              <w:bottom w:val="single" w:sz="4" w:space="0" w:color="auto"/>
              <w:right w:val="single" w:sz="4" w:space="0" w:color="auto"/>
            </w:tcBorders>
            <w:shd w:val="clear" w:color="000000" w:fill="FFFFFF"/>
            <w:noWrap/>
            <w:vAlign w:val="center"/>
            <w:hideMark/>
          </w:tcPr>
          <w:p w14:paraId="29C90661"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44%</w:t>
            </w:r>
          </w:p>
        </w:tc>
        <w:tc>
          <w:tcPr>
            <w:tcW w:w="1200" w:type="dxa"/>
            <w:tcBorders>
              <w:top w:val="nil"/>
              <w:left w:val="nil"/>
              <w:bottom w:val="single" w:sz="4" w:space="0" w:color="auto"/>
              <w:right w:val="single" w:sz="4" w:space="0" w:color="auto"/>
            </w:tcBorders>
            <w:shd w:val="clear" w:color="000000" w:fill="FFFFFF"/>
            <w:noWrap/>
            <w:vAlign w:val="center"/>
            <w:hideMark/>
          </w:tcPr>
          <w:p w14:paraId="200692E1"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92%</w:t>
            </w:r>
          </w:p>
        </w:tc>
        <w:tc>
          <w:tcPr>
            <w:tcW w:w="1340" w:type="dxa"/>
            <w:tcBorders>
              <w:top w:val="nil"/>
              <w:left w:val="nil"/>
              <w:bottom w:val="single" w:sz="4" w:space="0" w:color="auto"/>
              <w:right w:val="single" w:sz="4" w:space="0" w:color="auto"/>
            </w:tcBorders>
            <w:shd w:val="clear" w:color="000000" w:fill="FFFFFF"/>
            <w:noWrap/>
            <w:vAlign w:val="center"/>
            <w:hideMark/>
          </w:tcPr>
          <w:p w14:paraId="373D7AD6"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221%</w:t>
            </w:r>
          </w:p>
        </w:tc>
        <w:tc>
          <w:tcPr>
            <w:tcW w:w="1340" w:type="dxa"/>
            <w:tcBorders>
              <w:top w:val="nil"/>
              <w:left w:val="nil"/>
              <w:bottom w:val="single" w:sz="4" w:space="0" w:color="auto"/>
              <w:right w:val="single" w:sz="4" w:space="0" w:color="auto"/>
            </w:tcBorders>
            <w:shd w:val="clear" w:color="000000" w:fill="FFFFFF"/>
            <w:noWrap/>
            <w:vAlign w:val="center"/>
            <w:hideMark/>
          </w:tcPr>
          <w:p w14:paraId="4C9E26F4"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94%</w:t>
            </w:r>
          </w:p>
        </w:tc>
        <w:tc>
          <w:tcPr>
            <w:tcW w:w="1200" w:type="dxa"/>
            <w:tcBorders>
              <w:top w:val="nil"/>
              <w:left w:val="nil"/>
              <w:bottom w:val="single" w:sz="4" w:space="0" w:color="auto"/>
              <w:right w:val="single" w:sz="4" w:space="0" w:color="auto"/>
            </w:tcBorders>
            <w:shd w:val="clear" w:color="000000" w:fill="FFFFFF"/>
            <w:noWrap/>
            <w:vAlign w:val="center"/>
            <w:hideMark/>
          </w:tcPr>
          <w:p w14:paraId="6A4935DB"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84%</w:t>
            </w:r>
          </w:p>
        </w:tc>
      </w:tr>
      <w:tr w:rsidR="007E572E" w:rsidRPr="00810C74" w14:paraId="0F4B0B13" w14:textId="77777777" w:rsidTr="007E572E">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4F293A46"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27</w:t>
            </w:r>
          </w:p>
        </w:tc>
        <w:tc>
          <w:tcPr>
            <w:tcW w:w="1740" w:type="dxa"/>
            <w:tcBorders>
              <w:top w:val="nil"/>
              <w:left w:val="nil"/>
              <w:bottom w:val="single" w:sz="4" w:space="0" w:color="auto"/>
              <w:right w:val="single" w:sz="4" w:space="0" w:color="auto"/>
            </w:tcBorders>
            <w:shd w:val="clear" w:color="000000" w:fill="FFFFFF"/>
            <w:noWrap/>
            <w:vAlign w:val="center"/>
            <w:hideMark/>
          </w:tcPr>
          <w:p w14:paraId="7BAD76E7"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99%</w:t>
            </w:r>
          </w:p>
        </w:tc>
        <w:tc>
          <w:tcPr>
            <w:tcW w:w="1200" w:type="dxa"/>
            <w:tcBorders>
              <w:top w:val="nil"/>
              <w:left w:val="nil"/>
              <w:bottom w:val="single" w:sz="4" w:space="0" w:color="auto"/>
              <w:right w:val="single" w:sz="4" w:space="0" w:color="auto"/>
            </w:tcBorders>
            <w:shd w:val="clear" w:color="000000" w:fill="FFFFFF"/>
            <w:noWrap/>
            <w:vAlign w:val="center"/>
            <w:hideMark/>
          </w:tcPr>
          <w:p w14:paraId="48B77633"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76%</w:t>
            </w:r>
          </w:p>
        </w:tc>
        <w:tc>
          <w:tcPr>
            <w:tcW w:w="1360" w:type="dxa"/>
            <w:tcBorders>
              <w:top w:val="nil"/>
              <w:left w:val="nil"/>
              <w:bottom w:val="single" w:sz="4" w:space="0" w:color="auto"/>
              <w:right w:val="single" w:sz="4" w:space="0" w:color="auto"/>
            </w:tcBorders>
            <w:shd w:val="clear" w:color="000000" w:fill="FFFFFF"/>
            <w:noWrap/>
            <w:vAlign w:val="center"/>
            <w:hideMark/>
          </w:tcPr>
          <w:p w14:paraId="413E6D27"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40%</w:t>
            </w:r>
          </w:p>
        </w:tc>
        <w:tc>
          <w:tcPr>
            <w:tcW w:w="1200" w:type="dxa"/>
            <w:tcBorders>
              <w:top w:val="nil"/>
              <w:left w:val="nil"/>
              <w:bottom w:val="single" w:sz="4" w:space="0" w:color="auto"/>
              <w:right w:val="single" w:sz="4" w:space="0" w:color="auto"/>
            </w:tcBorders>
            <w:shd w:val="clear" w:color="000000" w:fill="FFFFFF"/>
            <w:noWrap/>
            <w:vAlign w:val="center"/>
            <w:hideMark/>
          </w:tcPr>
          <w:p w14:paraId="12EE36DB"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109%</w:t>
            </w:r>
          </w:p>
        </w:tc>
        <w:tc>
          <w:tcPr>
            <w:tcW w:w="1340" w:type="dxa"/>
            <w:tcBorders>
              <w:top w:val="nil"/>
              <w:left w:val="nil"/>
              <w:bottom w:val="single" w:sz="4" w:space="0" w:color="auto"/>
              <w:right w:val="single" w:sz="4" w:space="0" w:color="auto"/>
            </w:tcBorders>
            <w:shd w:val="clear" w:color="000000" w:fill="FFFFFF"/>
            <w:noWrap/>
            <w:vAlign w:val="center"/>
            <w:hideMark/>
          </w:tcPr>
          <w:p w14:paraId="57BB2030"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233%</w:t>
            </w:r>
          </w:p>
        </w:tc>
        <w:tc>
          <w:tcPr>
            <w:tcW w:w="1340" w:type="dxa"/>
            <w:tcBorders>
              <w:top w:val="nil"/>
              <w:left w:val="nil"/>
              <w:bottom w:val="single" w:sz="4" w:space="0" w:color="auto"/>
              <w:right w:val="single" w:sz="4" w:space="0" w:color="auto"/>
            </w:tcBorders>
            <w:shd w:val="clear" w:color="000000" w:fill="FFFFFF"/>
            <w:noWrap/>
            <w:vAlign w:val="center"/>
            <w:hideMark/>
          </w:tcPr>
          <w:p w14:paraId="40CEA6DB"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84%</w:t>
            </w:r>
          </w:p>
        </w:tc>
        <w:tc>
          <w:tcPr>
            <w:tcW w:w="1200" w:type="dxa"/>
            <w:tcBorders>
              <w:top w:val="nil"/>
              <w:left w:val="nil"/>
              <w:bottom w:val="single" w:sz="4" w:space="0" w:color="auto"/>
              <w:right w:val="single" w:sz="4" w:space="0" w:color="auto"/>
            </w:tcBorders>
            <w:shd w:val="clear" w:color="000000" w:fill="FFFFFF"/>
            <w:noWrap/>
            <w:vAlign w:val="center"/>
            <w:hideMark/>
          </w:tcPr>
          <w:p w14:paraId="52E3FC18"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79%</w:t>
            </w:r>
          </w:p>
        </w:tc>
      </w:tr>
      <w:tr w:rsidR="007E572E" w:rsidRPr="00810C74" w14:paraId="43A8EBE5" w14:textId="77777777" w:rsidTr="007E572E">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4CF49006"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28</w:t>
            </w:r>
          </w:p>
        </w:tc>
        <w:tc>
          <w:tcPr>
            <w:tcW w:w="1740" w:type="dxa"/>
            <w:tcBorders>
              <w:top w:val="nil"/>
              <w:left w:val="nil"/>
              <w:bottom w:val="single" w:sz="4" w:space="0" w:color="auto"/>
              <w:right w:val="single" w:sz="4" w:space="0" w:color="auto"/>
            </w:tcBorders>
            <w:shd w:val="clear" w:color="000000" w:fill="FFFFFF"/>
            <w:noWrap/>
            <w:vAlign w:val="center"/>
            <w:hideMark/>
          </w:tcPr>
          <w:p w14:paraId="5D4611E4"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102%</w:t>
            </w:r>
          </w:p>
        </w:tc>
        <w:tc>
          <w:tcPr>
            <w:tcW w:w="1200" w:type="dxa"/>
            <w:tcBorders>
              <w:top w:val="nil"/>
              <w:left w:val="nil"/>
              <w:bottom w:val="single" w:sz="4" w:space="0" w:color="auto"/>
              <w:right w:val="single" w:sz="4" w:space="0" w:color="auto"/>
            </w:tcBorders>
            <w:shd w:val="clear" w:color="000000" w:fill="FFFFFF"/>
            <w:noWrap/>
            <w:vAlign w:val="center"/>
            <w:hideMark/>
          </w:tcPr>
          <w:p w14:paraId="64293E41"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70%</w:t>
            </w:r>
          </w:p>
        </w:tc>
        <w:tc>
          <w:tcPr>
            <w:tcW w:w="1360" w:type="dxa"/>
            <w:tcBorders>
              <w:top w:val="nil"/>
              <w:left w:val="nil"/>
              <w:bottom w:val="single" w:sz="4" w:space="0" w:color="auto"/>
              <w:right w:val="single" w:sz="4" w:space="0" w:color="auto"/>
            </w:tcBorders>
            <w:shd w:val="clear" w:color="000000" w:fill="FFFFFF"/>
            <w:noWrap/>
            <w:vAlign w:val="center"/>
            <w:hideMark/>
          </w:tcPr>
          <w:p w14:paraId="1D462912"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51%</w:t>
            </w:r>
          </w:p>
        </w:tc>
        <w:tc>
          <w:tcPr>
            <w:tcW w:w="1200" w:type="dxa"/>
            <w:tcBorders>
              <w:top w:val="nil"/>
              <w:left w:val="nil"/>
              <w:bottom w:val="single" w:sz="4" w:space="0" w:color="auto"/>
              <w:right w:val="single" w:sz="4" w:space="0" w:color="auto"/>
            </w:tcBorders>
            <w:shd w:val="clear" w:color="000000" w:fill="FFFFFF"/>
            <w:noWrap/>
            <w:vAlign w:val="center"/>
            <w:hideMark/>
          </w:tcPr>
          <w:p w14:paraId="27A248C5"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97%</w:t>
            </w:r>
          </w:p>
        </w:tc>
        <w:tc>
          <w:tcPr>
            <w:tcW w:w="1340" w:type="dxa"/>
            <w:tcBorders>
              <w:top w:val="nil"/>
              <w:left w:val="nil"/>
              <w:bottom w:val="single" w:sz="4" w:space="0" w:color="auto"/>
              <w:right w:val="single" w:sz="4" w:space="0" w:color="auto"/>
            </w:tcBorders>
            <w:shd w:val="clear" w:color="000000" w:fill="FFFFFF"/>
            <w:noWrap/>
            <w:vAlign w:val="center"/>
            <w:hideMark/>
          </w:tcPr>
          <w:p w14:paraId="17CE6E02"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243%</w:t>
            </w:r>
          </w:p>
        </w:tc>
        <w:tc>
          <w:tcPr>
            <w:tcW w:w="1340" w:type="dxa"/>
            <w:tcBorders>
              <w:top w:val="nil"/>
              <w:left w:val="nil"/>
              <w:bottom w:val="single" w:sz="4" w:space="0" w:color="auto"/>
              <w:right w:val="single" w:sz="4" w:space="0" w:color="auto"/>
            </w:tcBorders>
            <w:shd w:val="clear" w:color="000000" w:fill="FFFFFF"/>
            <w:noWrap/>
            <w:vAlign w:val="center"/>
            <w:hideMark/>
          </w:tcPr>
          <w:p w14:paraId="655EFE4B"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95%</w:t>
            </w:r>
          </w:p>
        </w:tc>
        <w:tc>
          <w:tcPr>
            <w:tcW w:w="1200" w:type="dxa"/>
            <w:tcBorders>
              <w:top w:val="nil"/>
              <w:left w:val="nil"/>
              <w:bottom w:val="single" w:sz="4" w:space="0" w:color="auto"/>
              <w:right w:val="single" w:sz="4" w:space="0" w:color="auto"/>
            </w:tcBorders>
            <w:shd w:val="clear" w:color="000000" w:fill="FFFFFF"/>
            <w:noWrap/>
            <w:vAlign w:val="center"/>
            <w:hideMark/>
          </w:tcPr>
          <w:p w14:paraId="084E6C99"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84%</w:t>
            </w:r>
          </w:p>
        </w:tc>
      </w:tr>
      <w:tr w:rsidR="007E572E" w:rsidRPr="00810C74" w14:paraId="58BE12F2" w14:textId="77777777" w:rsidTr="007E572E">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426E8084"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29</w:t>
            </w:r>
          </w:p>
        </w:tc>
        <w:tc>
          <w:tcPr>
            <w:tcW w:w="1740" w:type="dxa"/>
            <w:tcBorders>
              <w:top w:val="nil"/>
              <w:left w:val="nil"/>
              <w:bottom w:val="single" w:sz="4" w:space="0" w:color="auto"/>
              <w:right w:val="single" w:sz="4" w:space="0" w:color="auto"/>
            </w:tcBorders>
            <w:shd w:val="clear" w:color="000000" w:fill="FFFFFF"/>
            <w:noWrap/>
            <w:vAlign w:val="center"/>
            <w:hideMark/>
          </w:tcPr>
          <w:p w14:paraId="24451701"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109%</w:t>
            </w:r>
          </w:p>
        </w:tc>
        <w:tc>
          <w:tcPr>
            <w:tcW w:w="1200" w:type="dxa"/>
            <w:tcBorders>
              <w:top w:val="nil"/>
              <w:left w:val="nil"/>
              <w:bottom w:val="single" w:sz="4" w:space="0" w:color="auto"/>
              <w:right w:val="single" w:sz="4" w:space="0" w:color="auto"/>
            </w:tcBorders>
            <w:shd w:val="clear" w:color="000000" w:fill="FFFFFF"/>
            <w:noWrap/>
            <w:vAlign w:val="center"/>
            <w:hideMark/>
          </w:tcPr>
          <w:p w14:paraId="09904D0B"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97%</w:t>
            </w:r>
          </w:p>
        </w:tc>
        <w:tc>
          <w:tcPr>
            <w:tcW w:w="1360" w:type="dxa"/>
            <w:tcBorders>
              <w:top w:val="nil"/>
              <w:left w:val="nil"/>
              <w:bottom w:val="single" w:sz="4" w:space="0" w:color="auto"/>
              <w:right w:val="single" w:sz="4" w:space="0" w:color="auto"/>
            </w:tcBorders>
            <w:shd w:val="clear" w:color="000000" w:fill="FFFFFF"/>
            <w:noWrap/>
            <w:vAlign w:val="center"/>
            <w:hideMark/>
          </w:tcPr>
          <w:p w14:paraId="7FE86400"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41%</w:t>
            </w:r>
          </w:p>
        </w:tc>
        <w:tc>
          <w:tcPr>
            <w:tcW w:w="1200" w:type="dxa"/>
            <w:tcBorders>
              <w:top w:val="nil"/>
              <w:left w:val="nil"/>
              <w:bottom w:val="single" w:sz="4" w:space="0" w:color="auto"/>
              <w:right w:val="single" w:sz="4" w:space="0" w:color="auto"/>
            </w:tcBorders>
            <w:shd w:val="clear" w:color="000000" w:fill="FFFFFF"/>
            <w:noWrap/>
            <w:vAlign w:val="center"/>
            <w:hideMark/>
          </w:tcPr>
          <w:p w14:paraId="11515F5F"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121%</w:t>
            </w:r>
          </w:p>
        </w:tc>
        <w:tc>
          <w:tcPr>
            <w:tcW w:w="1340" w:type="dxa"/>
            <w:tcBorders>
              <w:top w:val="nil"/>
              <w:left w:val="nil"/>
              <w:bottom w:val="single" w:sz="4" w:space="0" w:color="auto"/>
              <w:right w:val="single" w:sz="4" w:space="0" w:color="auto"/>
            </w:tcBorders>
            <w:shd w:val="clear" w:color="000000" w:fill="FFFFFF"/>
            <w:noWrap/>
            <w:vAlign w:val="center"/>
            <w:hideMark/>
          </w:tcPr>
          <w:p w14:paraId="79C46D4A"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236%</w:t>
            </w:r>
          </w:p>
        </w:tc>
        <w:tc>
          <w:tcPr>
            <w:tcW w:w="1340" w:type="dxa"/>
            <w:tcBorders>
              <w:top w:val="nil"/>
              <w:left w:val="nil"/>
              <w:bottom w:val="single" w:sz="4" w:space="0" w:color="auto"/>
              <w:right w:val="single" w:sz="4" w:space="0" w:color="auto"/>
            </w:tcBorders>
            <w:shd w:val="clear" w:color="000000" w:fill="FFFFFF"/>
            <w:noWrap/>
            <w:vAlign w:val="center"/>
            <w:hideMark/>
          </w:tcPr>
          <w:p w14:paraId="7FA1AF68"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92%</w:t>
            </w:r>
          </w:p>
        </w:tc>
        <w:tc>
          <w:tcPr>
            <w:tcW w:w="1200" w:type="dxa"/>
            <w:tcBorders>
              <w:top w:val="nil"/>
              <w:left w:val="nil"/>
              <w:bottom w:val="single" w:sz="4" w:space="0" w:color="auto"/>
              <w:right w:val="single" w:sz="4" w:space="0" w:color="auto"/>
            </w:tcBorders>
            <w:shd w:val="clear" w:color="000000" w:fill="FFFFFF"/>
            <w:noWrap/>
            <w:vAlign w:val="center"/>
            <w:hideMark/>
          </w:tcPr>
          <w:p w14:paraId="78D32EFA"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111%</w:t>
            </w:r>
          </w:p>
        </w:tc>
      </w:tr>
      <w:tr w:rsidR="007E572E" w:rsidRPr="00810C74" w14:paraId="510DB0D5" w14:textId="77777777" w:rsidTr="007E572E">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0EE9BDEF"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30</w:t>
            </w:r>
          </w:p>
        </w:tc>
        <w:tc>
          <w:tcPr>
            <w:tcW w:w="1740" w:type="dxa"/>
            <w:tcBorders>
              <w:top w:val="nil"/>
              <w:left w:val="nil"/>
              <w:bottom w:val="single" w:sz="4" w:space="0" w:color="auto"/>
              <w:right w:val="single" w:sz="4" w:space="0" w:color="auto"/>
            </w:tcBorders>
            <w:shd w:val="clear" w:color="000000" w:fill="FFFFFF"/>
            <w:noWrap/>
            <w:vAlign w:val="center"/>
            <w:hideMark/>
          </w:tcPr>
          <w:p w14:paraId="38284281"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108%</w:t>
            </w:r>
          </w:p>
        </w:tc>
        <w:tc>
          <w:tcPr>
            <w:tcW w:w="1200" w:type="dxa"/>
            <w:tcBorders>
              <w:top w:val="nil"/>
              <w:left w:val="nil"/>
              <w:bottom w:val="single" w:sz="4" w:space="0" w:color="auto"/>
              <w:right w:val="single" w:sz="4" w:space="0" w:color="auto"/>
            </w:tcBorders>
            <w:shd w:val="clear" w:color="000000" w:fill="FFFFFF"/>
            <w:noWrap/>
            <w:vAlign w:val="center"/>
            <w:hideMark/>
          </w:tcPr>
          <w:p w14:paraId="7B8C300B"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95%</w:t>
            </w:r>
          </w:p>
        </w:tc>
        <w:tc>
          <w:tcPr>
            <w:tcW w:w="1360" w:type="dxa"/>
            <w:tcBorders>
              <w:top w:val="nil"/>
              <w:left w:val="nil"/>
              <w:bottom w:val="single" w:sz="4" w:space="0" w:color="auto"/>
              <w:right w:val="single" w:sz="4" w:space="0" w:color="auto"/>
            </w:tcBorders>
            <w:shd w:val="clear" w:color="000000" w:fill="FFFFFF"/>
            <w:noWrap/>
            <w:vAlign w:val="center"/>
            <w:hideMark/>
          </w:tcPr>
          <w:p w14:paraId="4C1C0663"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50%</w:t>
            </w:r>
          </w:p>
        </w:tc>
        <w:tc>
          <w:tcPr>
            <w:tcW w:w="1200" w:type="dxa"/>
            <w:tcBorders>
              <w:top w:val="nil"/>
              <w:left w:val="nil"/>
              <w:bottom w:val="single" w:sz="4" w:space="0" w:color="auto"/>
              <w:right w:val="single" w:sz="4" w:space="0" w:color="auto"/>
            </w:tcBorders>
            <w:shd w:val="clear" w:color="000000" w:fill="FFFFFF"/>
            <w:noWrap/>
            <w:vAlign w:val="center"/>
            <w:hideMark/>
          </w:tcPr>
          <w:p w14:paraId="6A2DEF7C"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130%</w:t>
            </w:r>
          </w:p>
        </w:tc>
        <w:tc>
          <w:tcPr>
            <w:tcW w:w="1340" w:type="dxa"/>
            <w:tcBorders>
              <w:top w:val="nil"/>
              <w:left w:val="nil"/>
              <w:bottom w:val="single" w:sz="4" w:space="0" w:color="auto"/>
              <w:right w:val="single" w:sz="4" w:space="0" w:color="auto"/>
            </w:tcBorders>
            <w:shd w:val="clear" w:color="000000" w:fill="FFFFFF"/>
            <w:noWrap/>
            <w:vAlign w:val="center"/>
            <w:hideMark/>
          </w:tcPr>
          <w:p w14:paraId="7F495AFC"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201%</w:t>
            </w:r>
          </w:p>
        </w:tc>
        <w:tc>
          <w:tcPr>
            <w:tcW w:w="1340" w:type="dxa"/>
            <w:tcBorders>
              <w:top w:val="nil"/>
              <w:left w:val="nil"/>
              <w:bottom w:val="single" w:sz="4" w:space="0" w:color="auto"/>
              <w:right w:val="single" w:sz="4" w:space="0" w:color="auto"/>
            </w:tcBorders>
            <w:shd w:val="clear" w:color="000000" w:fill="FFFFFF"/>
            <w:noWrap/>
            <w:vAlign w:val="center"/>
            <w:hideMark/>
          </w:tcPr>
          <w:p w14:paraId="3C3467D0"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121%</w:t>
            </w:r>
          </w:p>
        </w:tc>
        <w:tc>
          <w:tcPr>
            <w:tcW w:w="1200" w:type="dxa"/>
            <w:tcBorders>
              <w:top w:val="nil"/>
              <w:left w:val="nil"/>
              <w:bottom w:val="single" w:sz="4" w:space="0" w:color="auto"/>
              <w:right w:val="single" w:sz="4" w:space="0" w:color="auto"/>
            </w:tcBorders>
            <w:shd w:val="clear" w:color="000000" w:fill="FFFFFF"/>
            <w:noWrap/>
            <w:vAlign w:val="center"/>
            <w:hideMark/>
          </w:tcPr>
          <w:p w14:paraId="417F708D"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103%</w:t>
            </w:r>
          </w:p>
        </w:tc>
      </w:tr>
      <w:tr w:rsidR="007E572E" w:rsidRPr="00810C74" w14:paraId="5E28DC18" w14:textId="77777777" w:rsidTr="007E572E">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1545AC87"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31</w:t>
            </w:r>
          </w:p>
        </w:tc>
        <w:tc>
          <w:tcPr>
            <w:tcW w:w="1740" w:type="dxa"/>
            <w:tcBorders>
              <w:top w:val="nil"/>
              <w:left w:val="nil"/>
              <w:bottom w:val="single" w:sz="4" w:space="0" w:color="auto"/>
              <w:right w:val="single" w:sz="4" w:space="0" w:color="auto"/>
            </w:tcBorders>
            <w:shd w:val="clear" w:color="000000" w:fill="FFFFFF"/>
            <w:noWrap/>
            <w:vAlign w:val="center"/>
            <w:hideMark/>
          </w:tcPr>
          <w:p w14:paraId="2CF88605"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63%</w:t>
            </w:r>
          </w:p>
        </w:tc>
        <w:tc>
          <w:tcPr>
            <w:tcW w:w="1200" w:type="dxa"/>
            <w:tcBorders>
              <w:top w:val="nil"/>
              <w:left w:val="nil"/>
              <w:bottom w:val="single" w:sz="4" w:space="0" w:color="auto"/>
              <w:right w:val="single" w:sz="4" w:space="0" w:color="auto"/>
            </w:tcBorders>
            <w:shd w:val="clear" w:color="000000" w:fill="FFFFFF"/>
            <w:noWrap/>
            <w:vAlign w:val="center"/>
            <w:hideMark/>
          </w:tcPr>
          <w:p w14:paraId="553A3286"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93%</w:t>
            </w:r>
          </w:p>
        </w:tc>
        <w:tc>
          <w:tcPr>
            <w:tcW w:w="1360" w:type="dxa"/>
            <w:tcBorders>
              <w:top w:val="nil"/>
              <w:left w:val="nil"/>
              <w:bottom w:val="single" w:sz="4" w:space="0" w:color="auto"/>
              <w:right w:val="single" w:sz="4" w:space="0" w:color="auto"/>
            </w:tcBorders>
            <w:shd w:val="clear" w:color="000000" w:fill="FFFFFF"/>
            <w:noWrap/>
            <w:vAlign w:val="center"/>
            <w:hideMark/>
          </w:tcPr>
          <w:p w14:paraId="34B12E2D"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32%</w:t>
            </w:r>
          </w:p>
        </w:tc>
        <w:tc>
          <w:tcPr>
            <w:tcW w:w="1200" w:type="dxa"/>
            <w:tcBorders>
              <w:top w:val="nil"/>
              <w:left w:val="nil"/>
              <w:bottom w:val="single" w:sz="4" w:space="0" w:color="auto"/>
              <w:right w:val="single" w:sz="4" w:space="0" w:color="auto"/>
            </w:tcBorders>
            <w:shd w:val="clear" w:color="000000" w:fill="FFFFFF"/>
            <w:noWrap/>
            <w:vAlign w:val="center"/>
            <w:hideMark/>
          </w:tcPr>
          <w:p w14:paraId="0C45329E"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144%</w:t>
            </w:r>
          </w:p>
        </w:tc>
        <w:tc>
          <w:tcPr>
            <w:tcW w:w="1340" w:type="dxa"/>
            <w:tcBorders>
              <w:top w:val="nil"/>
              <w:left w:val="nil"/>
              <w:bottom w:val="single" w:sz="4" w:space="0" w:color="auto"/>
              <w:right w:val="single" w:sz="4" w:space="0" w:color="auto"/>
            </w:tcBorders>
            <w:shd w:val="clear" w:color="000000" w:fill="FFFFFF"/>
            <w:noWrap/>
            <w:vAlign w:val="center"/>
            <w:hideMark/>
          </w:tcPr>
          <w:p w14:paraId="55B388B3"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290%</w:t>
            </w:r>
          </w:p>
        </w:tc>
        <w:tc>
          <w:tcPr>
            <w:tcW w:w="1340" w:type="dxa"/>
            <w:tcBorders>
              <w:top w:val="nil"/>
              <w:left w:val="nil"/>
              <w:bottom w:val="single" w:sz="4" w:space="0" w:color="auto"/>
              <w:right w:val="single" w:sz="4" w:space="0" w:color="auto"/>
            </w:tcBorders>
            <w:shd w:val="clear" w:color="000000" w:fill="FFFFFF"/>
            <w:noWrap/>
            <w:vAlign w:val="center"/>
            <w:hideMark/>
          </w:tcPr>
          <w:p w14:paraId="639028CC"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99%</w:t>
            </w:r>
          </w:p>
        </w:tc>
        <w:tc>
          <w:tcPr>
            <w:tcW w:w="1200" w:type="dxa"/>
            <w:tcBorders>
              <w:top w:val="nil"/>
              <w:left w:val="nil"/>
              <w:bottom w:val="single" w:sz="4" w:space="0" w:color="auto"/>
              <w:right w:val="single" w:sz="4" w:space="0" w:color="auto"/>
            </w:tcBorders>
            <w:shd w:val="clear" w:color="000000" w:fill="FFFFFF"/>
            <w:noWrap/>
            <w:vAlign w:val="center"/>
            <w:hideMark/>
          </w:tcPr>
          <w:p w14:paraId="2C79F7EC"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85%</w:t>
            </w:r>
          </w:p>
        </w:tc>
      </w:tr>
      <w:tr w:rsidR="007E572E" w:rsidRPr="00810C74" w14:paraId="7667D9B8" w14:textId="77777777" w:rsidTr="007E572E">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609069DF"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32</w:t>
            </w:r>
          </w:p>
        </w:tc>
        <w:tc>
          <w:tcPr>
            <w:tcW w:w="1740" w:type="dxa"/>
            <w:tcBorders>
              <w:top w:val="nil"/>
              <w:left w:val="nil"/>
              <w:bottom w:val="single" w:sz="4" w:space="0" w:color="auto"/>
              <w:right w:val="single" w:sz="4" w:space="0" w:color="auto"/>
            </w:tcBorders>
            <w:shd w:val="clear" w:color="000000" w:fill="FFFFFF"/>
            <w:noWrap/>
            <w:vAlign w:val="center"/>
            <w:hideMark/>
          </w:tcPr>
          <w:p w14:paraId="1F3A7218"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65%</w:t>
            </w:r>
          </w:p>
        </w:tc>
        <w:tc>
          <w:tcPr>
            <w:tcW w:w="1200" w:type="dxa"/>
            <w:tcBorders>
              <w:top w:val="nil"/>
              <w:left w:val="nil"/>
              <w:bottom w:val="single" w:sz="4" w:space="0" w:color="auto"/>
              <w:right w:val="single" w:sz="4" w:space="0" w:color="auto"/>
            </w:tcBorders>
            <w:shd w:val="clear" w:color="000000" w:fill="FFFFFF"/>
            <w:noWrap/>
            <w:vAlign w:val="center"/>
            <w:hideMark/>
          </w:tcPr>
          <w:p w14:paraId="2037D3A5"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86%</w:t>
            </w:r>
          </w:p>
        </w:tc>
        <w:tc>
          <w:tcPr>
            <w:tcW w:w="1360" w:type="dxa"/>
            <w:tcBorders>
              <w:top w:val="nil"/>
              <w:left w:val="nil"/>
              <w:bottom w:val="single" w:sz="4" w:space="0" w:color="auto"/>
              <w:right w:val="single" w:sz="4" w:space="0" w:color="auto"/>
            </w:tcBorders>
            <w:shd w:val="clear" w:color="000000" w:fill="FFFFFF"/>
            <w:noWrap/>
            <w:vAlign w:val="center"/>
            <w:hideMark/>
          </w:tcPr>
          <w:p w14:paraId="18BF1B03"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36%</w:t>
            </w:r>
          </w:p>
        </w:tc>
        <w:tc>
          <w:tcPr>
            <w:tcW w:w="1200" w:type="dxa"/>
            <w:tcBorders>
              <w:top w:val="nil"/>
              <w:left w:val="nil"/>
              <w:bottom w:val="single" w:sz="4" w:space="0" w:color="auto"/>
              <w:right w:val="single" w:sz="4" w:space="0" w:color="auto"/>
            </w:tcBorders>
            <w:shd w:val="clear" w:color="000000" w:fill="FFFFFF"/>
            <w:noWrap/>
            <w:vAlign w:val="center"/>
            <w:hideMark/>
          </w:tcPr>
          <w:p w14:paraId="767C1329"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80%</w:t>
            </w:r>
          </w:p>
        </w:tc>
        <w:tc>
          <w:tcPr>
            <w:tcW w:w="1340" w:type="dxa"/>
            <w:tcBorders>
              <w:top w:val="nil"/>
              <w:left w:val="nil"/>
              <w:bottom w:val="single" w:sz="4" w:space="0" w:color="auto"/>
              <w:right w:val="single" w:sz="4" w:space="0" w:color="auto"/>
            </w:tcBorders>
            <w:shd w:val="clear" w:color="000000" w:fill="FFFFFF"/>
            <w:noWrap/>
            <w:vAlign w:val="center"/>
            <w:hideMark/>
          </w:tcPr>
          <w:p w14:paraId="10F7FA44"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259%</w:t>
            </w:r>
          </w:p>
        </w:tc>
        <w:tc>
          <w:tcPr>
            <w:tcW w:w="1340" w:type="dxa"/>
            <w:tcBorders>
              <w:top w:val="nil"/>
              <w:left w:val="nil"/>
              <w:bottom w:val="single" w:sz="4" w:space="0" w:color="auto"/>
              <w:right w:val="single" w:sz="4" w:space="0" w:color="auto"/>
            </w:tcBorders>
            <w:shd w:val="clear" w:color="000000" w:fill="FFFFFF"/>
            <w:noWrap/>
            <w:vAlign w:val="center"/>
            <w:hideMark/>
          </w:tcPr>
          <w:p w14:paraId="1448CB9D"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104%</w:t>
            </w:r>
          </w:p>
        </w:tc>
        <w:tc>
          <w:tcPr>
            <w:tcW w:w="1200" w:type="dxa"/>
            <w:tcBorders>
              <w:top w:val="nil"/>
              <w:left w:val="nil"/>
              <w:bottom w:val="single" w:sz="4" w:space="0" w:color="auto"/>
              <w:right w:val="single" w:sz="4" w:space="0" w:color="auto"/>
            </w:tcBorders>
            <w:shd w:val="clear" w:color="000000" w:fill="FFFFFF"/>
            <w:noWrap/>
            <w:vAlign w:val="center"/>
            <w:hideMark/>
          </w:tcPr>
          <w:p w14:paraId="47B7EF65"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74%</w:t>
            </w:r>
          </w:p>
        </w:tc>
      </w:tr>
      <w:tr w:rsidR="007E572E" w:rsidRPr="00810C74" w14:paraId="24643BF5" w14:textId="77777777" w:rsidTr="007E572E">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0918547E"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33</w:t>
            </w:r>
          </w:p>
        </w:tc>
        <w:tc>
          <w:tcPr>
            <w:tcW w:w="1740" w:type="dxa"/>
            <w:tcBorders>
              <w:top w:val="nil"/>
              <w:left w:val="nil"/>
              <w:bottom w:val="single" w:sz="4" w:space="0" w:color="auto"/>
              <w:right w:val="single" w:sz="4" w:space="0" w:color="auto"/>
            </w:tcBorders>
            <w:shd w:val="clear" w:color="000000" w:fill="FFFFFF"/>
            <w:noWrap/>
            <w:vAlign w:val="center"/>
            <w:hideMark/>
          </w:tcPr>
          <w:p w14:paraId="056E27F0"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72%</w:t>
            </w:r>
          </w:p>
        </w:tc>
        <w:tc>
          <w:tcPr>
            <w:tcW w:w="1200" w:type="dxa"/>
            <w:tcBorders>
              <w:top w:val="nil"/>
              <w:left w:val="nil"/>
              <w:bottom w:val="single" w:sz="4" w:space="0" w:color="auto"/>
              <w:right w:val="single" w:sz="4" w:space="0" w:color="auto"/>
            </w:tcBorders>
            <w:shd w:val="clear" w:color="000000" w:fill="FFFFFF"/>
            <w:noWrap/>
            <w:vAlign w:val="center"/>
            <w:hideMark/>
          </w:tcPr>
          <w:p w14:paraId="6DFEE492"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77%</w:t>
            </w:r>
          </w:p>
        </w:tc>
        <w:tc>
          <w:tcPr>
            <w:tcW w:w="1360" w:type="dxa"/>
            <w:tcBorders>
              <w:top w:val="nil"/>
              <w:left w:val="nil"/>
              <w:bottom w:val="single" w:sz="4" w:space="0" w:color="auto"/>
              <w:right w:val="single" w:sz="4" w:space="0" w:color="auto"/>
            </w:tcBorders>
            <w:shd w:val="clear" w:color="000000" w:fill="FFFFFF"/>
            <w:noWrap/>
            <w:vAlign w:val="center"/>
            <w:hideMark/>
          </w:tcPr>
          <w:p w14:paraId="6693B2B1"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47%</w:t>
            </w:r>
          </w:p>
        </w:tc>
        <w:tc>
          <w:tcPr>
            <w:tcW w:w="1200" w:type="dxa"/>
            <w:tcBorders>
              <w:top w:val="nil"/>
              <w:left w:val="nil"/>
              <w:bottom w:val="single" w:sz="4" w:space="0" w:color="auto"/>
              <w:right w:val="single" w:sz="4" w:space="0" w:color="auto"/>
            </w:tcBorders>
            <w:shd w:val="clear" w:color="000000" w:fill="FFFFFF"/>
            <w:noWrap/>
            <w:vAlign w:val="center"/>
            <w:hideMark/>
          </w:tcPr>
          <w:p w14:paraId="4B3B21AB"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153%</w:t>
            </w:r>
          </w:p>
        </w:tc>
        <w:tc>
          <w:tcPr>
            <w:tcW w:w="1340" w:type="dxa"/>
            <w:tcBorders>
              <w:top w:val="nil"/>
              <w:left w:val="nil"/>
              <w:bottom w:val="single" w:sz="4" w:space="0" w:color="auto"/>
              <w:right w:val="single" w:sz="4" w:space="0" w:color="auto"/>
            </w:tcBorders>
            <w:shd w:val="clear" w:color="000000" w:fill="FFFFFF"/>
            <w:noWrap/>
            <w:vAlign w:val="center"/>
            <w:hideMark/>
          </w:tcPr>
          <w:p w14:paraId="36877024"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252%</w:t>
            </w:r>
          </w:p>
        </w:tc>
        <w:tc>
          <w:tcPr>
            <w:tcW w:w="1340" w:type="dxa"/>
            <w:tcBorders>
              <w:top w:val="nil"/>
              <w:left w:val="nil"/>
              <w:bottom w:val="single" w:sz="4" w:space="0" w:color="auto"/>
              <w:right w:val="single" w:sz="4" w:space="0" w:color="auto"/>
            </w:tcBorders>
            <w:shd w:val="clear" w:color="000000" w:fill="FFFFFF"/>
            <w:noWrap/>
            <w:vAlign w:val="center"/>
            <w:hideMark/>
          </w:tcPr>
          <w:p w14:paraId="04E5F8D0"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121%</w:t>
            </w:r>
          </w:p>
        </w:tc>
        <w:tc>
          <w:tcPr>
            <w:tcW w:w="1200" w:type="dxa"/>
            <w:tcBorders>
              <w:top w:val="nil"/>
              <w:left w:val="nil"/>
              <w:bottom w:val="single" w:sz="4" w:space="0" w:color="auto"/>
              <w:right w:val="single" w:sz="4" w:space="0" w:color="auto"/>
            </w:tcBorders>
            <w:shd w:val="clear" w:color="000000" w:fill="FFFFFF"/>
            <w:noWrap/>
            <w:vAlign w:val="center"/>
            <w:hideMark/>
          </w:tcPr>
          <w:p w14:paraId="0586EDFA"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109%</w:t>
            </w:r>
          </w:p>
        </w:tc>
      </w:tr>
      <w:tr w:rsidR="007E572E" w:rsidRPr="00810C74" w14:paraId="0D9A827F" w14:textId="77777777" w:rsidTr="007E572E">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345CD8F5"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34</w:t>
            </w:r>
          </w:p>
        </w:tc>
        <w:tc>
          <w:tcPr>
            <w:tcW w:w="1740" w:type="dxa"/>
            <w:tcBorders>
              <w:top w:val="nil"/>
              <w:left w:val="nil"/>
              <w:bottom w:val="single" w:sz="4" w:space="0" w:color="auto"/>
              <w:right w:val="single" w:sz="4" w:space="0" w:color="auto"/>
            </w:tcBorders>
            <w:shd w:val="clear" w:color="000000" w:fill="FFFFFF"/>
            <w:noWrap/>
            <w:vAlign w:val="center"/>
            <w:hideMark/>
          </w:tcPr>
          <w:p w14:paraId="68FBF642"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59%</w:t>
            </w:r>
          </w:p>
        </w:tc>
        <w:tc>
          <w:tcPr>
            <w:tcW w:w="1200" w:type="dxa"/>
            <w:tcBorders>
              <w:top w:val="nil"/>
              <w:left w:val="nil"/>
              <w:bottom w:val="single" w:sz="4" w:space="0" w:color="auto"/>
              <w:right w:val="single" w:sz="4" w:space="0" w:color="auto"/>
            </w:tcBorders>
            <w:shd w:val="clear" w:color="000000" w:fill="FFFFFF"/>
            <w:noWrap/>
            <w:vAlign w:val="center"/>
            <w:hideMark/>
          </w:tcPr>
          <w:p w14:paraId="25233837"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88%</w:t>
            </w:r>
          </w:p>
        </w:tc>
        <w:tc>
          <w:tcPr>
            <w:tcW w:w="1360" w:type="dxa"/>
            <w:tcBorders>
              <w:top w:val="nil"/>
              <w:left w:val="nil"/>
              <w:bottom w:val="single" w:sz="4" w:space="0" w:color="auto"/>
              <w:right w:val="single" w:sz="4" w:space="0" w:color="auto"/>
            </w:tcBorders>
            <w:shd w:val="clear" w:color="000000" w:fill="FFFFFF"/>
            <w:noWrap/>
            <w:vAlign w:val="center"/>
            <w:hideMark/>
          </w:tcPr>
          <w:p w14:paraId="53306195"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43%</w:t>
            </w:r>
          </w:p>
        </w:tc>
        <w:tc>
          <w:tcPr>
            <w:tcW w:w="1200" w:type="dxa"/>
            <w:tcBorders>
              <w:top w:val="nil"/>
              <w:left w:val="nil"/>
              <w:bottom w:val="single" w:sz="4" w:space="0" w:color="auto"/>
              <w:right w:val="single" w:sz="4" w:space="0" w:color="auto"/>
            </w:tcBorders>
            <w:shd w:val="clear" w:color="000000" w:fill="FFFFFF"/>
            <w:noWrap/>
            <w:vAlign w:val="center"/>
            <w:hideMark/>
          </w:tcPr>
          <w:p w14:paraId="021C7589"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50%</w:t>
            </w:r>
          </w:p>
        </w:tc>
        <w:tc>
          <w:tcPr>
            <w:tcW w:w="1340" w:type="dxa"/>
            <w:tcBorders>
              <w:top w:val="nil"/>
              <w:left w:val="nil"/>
              <w:bottom w:val="single" w:sz="4" w:space="0" w:color="auto"/>
              <w:right w:val="single" w:sz="4" w:space="0" w:color="auto"/>
            </w:tcBorders>
            <w:shd w:val="clear" w:color="000000" w:fill="FFFFFF"/>
            <w:noWrap/>
            <w:vAlign w:val="center"/>
            <w:hideMark/>
          </w:tcPr>
          <w:p w14:paraId="18D5CB89"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162%</w:t>
            </w:r>
          </w:p>
        </w:tc>
        <w:tc>
          <w:tcPr>
            <w:tcW w:w="1340" w:type="dxa"/>
            <w:tcBorders>
              <w:top w:val="nil"/>
              <w:left w:val="nil"/>
              <w:bottom w:val="single" w:sz="4" w:space="0" w:color="auto"/>
              <w:right w:val="single" w:sz="4" w:space="0" w:color="auto"/>
            </w:tcBorders>
            <w:shd w:val="clear" w:color="000000" w:fill="FFFFFF"/>
            <w:noWrap/>
            <w:vAlign w:val="center"/>
            <w:hideMark/>
          </w:tcPr>
          <w:p w14:paraId="5CEDF42D"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53%</w:t>
            </w:r>
          </w:p>
        </w:tc>
        <w:tc>
          <w:tcPr>
            <w:tcW w:w="1200" w:type="dxa"/>
            <w:tcBorders>
              <w:top w:val="nil"/>
              <w:left w:val="nil"/>
              <w:bottom w:val="single" w:sz="4" w:space="0" w:color="auto"/>
              <w:right w:val="single" w:sz="4" w:space="0" w:color="auto"/>
            </w:tcBorders>
            <w:shd w:val="clear" w:color="000000" w:fill="FFFFFF"/>
            <w:noWrap/>
            <w:vAlign w:val="center"/>
            <w:hideMark/>
          </w:tcPr>
          <w:p w14:paraId="2FBD560A"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106%</w:t>
            </w:r>
          </w:p>
        </w:tc>
      </w:tr>
      <w:tr w:rsidR="007E572E" w:rsidRPr="00810C74" w14:paraId="6D2A3DCC" w14:textId="77777777" w:rsidTr="007E572E">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7B8CF2D6"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35</w:t>
            </w:r>
          </w:p>
        </w:tc>
        <w:tc>
          <w:tcPr>
            <w:tcW w:w="1740" w:type="dxa"/>
            <w:tcBorders>
              <w:top w:val="nil"/>
              <w:left w:val="nil"/>
              <w:bottom w:val="single" w:sz="4" w:space="0" w:color="auto"/>
              <w:right w:val="single" w:sz="4" w:space="0" w:color="auto"/>
            </w:tcBorders>
            <w:shd w:val="clear" w:color="000000" w:fill="FFFFFF"/>
            <w:noWrap/>
            <w:vAlign w:val="center"/>
            <w:hideMark/>
          </w:tcPr>
          <w:p w14:paraId="694CFE7D"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84%</w:t>
            </w:r>
          </w:p>
        </w:tc>
        <w:tc>
          <w:tcPr>
            <w:tcW w:w="1200" w:type="dxa"/>
            <w:tcBorders>
              <w:top w:val="nil"/>
              <w:left w:val="nil"/>
              <w:bottom w:val="single" w:sz="4" w:space="0" w:color="auto"/>
              <w:right w:val="single" w:sz="4" w:space="0" w:color="auto"/>
            </w:tcBorders>
            <w:shd w:val="clear" w:color="000000" w:fill="FFFFFF"/>
            <w:noWrap/>
            <w:vAlign w:val="center"/>
            <w:hideMark/>
          </w:tcPr>
          <w:p w14:paraId="49CC0043"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114%</w:t>
            </w:r>
          </w:p>
        </w:tc>
        <w:tc>
          <w:tcPr>
            <w:tcW w:w="1360" w:type="dxa"/>
            <w:tcBorders>
              <w:top w:val="nil"/>
              <w:left w:val="nil"/>
              <w:bottom w:val="single" w:sz="4" w:space="0" w:color="auto"/>
              <w:right w:val="single" w:sz="4" w:space="0" w:color="auto"/>
            </w:tcBorders>
            <w:shd w:val="clear" w:color="000000" w:fill="FFFFFF"/>
            <w:noWrap/>
            <w:vAlign w:val="center"/>
            <w:hideMark/>
          </w:tcPr>
          <w:p w14:paraId="3232F809"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47%</w:t>
            </w:r>
          </w:p>
        </w:tc>
        <w:tc>
          <w:tcPr>
            <w:tcW w:w="1200" w:type="dxa"/>
            <w:tcBorders>
              <w:top w:val="nil"/>
              <w:left w:val="nil"/>
              <w:bottom w:val="single" w:sz="4" w:space="0" w:color="auto"/>
              <w:right w:val="single" w:sz="4" w:space="0" w:color="auto"/>
            </w:tcBorders>
            <w:shd w:val="clear" w:color="000000" w:fill="FFFFFF"/>
            <w:noWrap/>
            <w:vAlign w:val="center"/>
            <w:hideMark/>
          </w:tcPr>
          <w:p w14:paraId="6862481C"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66%</w:t>
            </w:r>
          </w:p>
        </w:tc>
        <w:tc>
          <w:tcPr>
            <w:tcW w:w="1340" w:type="dxa"/>
            <w:tcBorders>
              <w:top w:val="nil"/>
              <w:left w:val="nil"/>
              <w:bottom w:val="single" w:sz="4" w:space="0" w:color="auto"/>
              <w:right w:val="single" w:sz="4" w:space="0" w:color="auto"/>
            </w:tcBorders>
            <w:shd w:val="clear" w:color="000000" w:fill="FFFFFF"/>
            <w:noWrap/>
            <w:vAlign w:val="center"/>
            <w:hideMark/>
          </w:tcPr>
          <w:p w14:paraId="1D754805"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187%</w:t>
            </w:r>
          </w:p>
        </w:tc>
        <w:tc>
          <w:tcPr>
            <w:tcW w:w="1340" w:type="dxa"/>
            <w:tcBorders>
              <w:top w:val="nil"/>
              <w:left w:val="nil"/>
              <w:bottom w:val="single" w:sz="4" w:space="0" w:color="auto"/>
              <w:right w:val="single" w:sz="4" w:space="0" w:color="auto"/>
            </w:tcBorders>
            <w:shd w:val="clear" w:color="000000" w:fill="FFFFFF"/>
            <w:noWrap/>
            <w:vAlign w:val="center"/>
            <w:hideMark/>
          </w:tcPr>
          <w:p w14:paraId="3758A63C"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56%</w:t>
            </w:r>
          </w:p>
        </w:tc>
        <w:tc>
          <w:tcPr>
            <w:tcW w:w="1200" w:type="dxa"/>
            <w:tcBorders>
              <w:top w:val="nil"/>
              <w:left w:val="nil"/>
              <w:bottom w:val="single" w:sz="4" w:space="0" w:color="auto"/>
              <w:right w:val="single" w:sz="4" w:space="0" w:color="auto"/>
            </w:tcBorders>
            <w:shd w:val="clear" w:color="000000" w:fill="FFFFFF"/>
            <w:noWrap/>
            <w:vAlign w:val="center"/>
            <w:hideMark/>
          </w:tcPr>
          <w:p w14:paraId="5EEE0B09"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88%</w:t>
            </w:r>
          </w:p>
        </w:tc>
      </w:tr>
      <w:tr w:rsidR="007E572E" w:rsidRPr="00810C74" w14:paraId="71BD605B" w14:textId="77777777" w:rsidTr="007E572E">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089199AC"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36</w:t>
            </w:r>
          </w:p>
        </w:tc>
        <w:tc>
          <w:tcPr>
            <w:tcW w:w="1740" w:type="dxa"/>
            <w:tcBorders>
              <w:top w:val="nil"/>
              <w:left w:val="nil"/>
              <w:bottom w:val="single" w:sz="4" w:space="0" w:color="auto"/>
              <w:right w:val="single" w:sz="4" w:space="0" w:color="auto"/>
            </w:tcBorders>
            <w:shd w:val="clear" w:color="000000" w:fill="FFFFFF"/>
            <w:noWrap/>
            <w:vAlign w:val="center"/>
            <w:hideMark/>
          </w:tcPr>
          <w:p w14:paraId="54C117F3"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91%</w:t>
            </w:r>
          </w:p>
        </w:tc>
        <w:tc>
          <w:tcPr>
            <w:tcW w:w="1200" w:type="dxa"/>
            <w:tcBorders>
              <w:top w:val="nil"/>
              <w:left w:val="nil"/>
              <w:bottom w:val="single" w:sz="4" w:space="0" w:color="auto"/>
              <w:right w:val="single" w:sz="4" w:space="0" w:color="auto"/>
            </w:tcBorders>
            <w:shd w:val="clear" w:color="000000" w:fill="FFFFFF"/>
            <w:noWrap/>
            <w:vAlign w:val="center"/>
            <w:hideMark/>
          </w:tcPr>
          <w:p w14:paraId="0EC0B586"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65%</w:t>
            </w:r>
          </w:p>
        </w:tc>
        <w:tc>
          <w:tcPr>
            <w:tcW w:w="1360" w:type="dxa"/>
            <w:tcBorders>
              <w:top w:val="nil"/>
              <w:left w:val="nil"/>
              <w:bottom w:val="single" w:sz="4" w:space="0" w:color="auto"/>
              <w:right w:val="single" w:sz="4" w:space="0" w:color="auto"/>
            </w:tcBorders>
            <w:shd w:val="clear" w:color="000000" w:fill="FFFFFF"/>
            <w:noWrap/>
            <w:vAlign w:val="center"/>
            <w:hideMark/>
          </w:tcPr>
          <w:p w14:paraId="12008CE8"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46%</w:t>
            </w:r>
          </w:p>
        </w:tc>
        <w:tc>
          <w:tcPr>
            <w:tcW w:w="1200" w:type="dxa"/>
            <w:tcBorders>
              <w:top w:val="nil"/>
              <w:left w:val="nil"/>
              <w:bottom w:val="single" w:sz="4" w:space="0" w:color="auto"/>
              <w:right w:val="single" w:sz="4" w:space="0" w:color="auto"/>
            </w:tcBorders>
            <w:shd w:val="clear" w:color="000000" w:fill="FFFFFF"/>
            <w:noWrap/>
            <w:vAlign w:val="center"/>
            <w:hideMark/>
          </w:tcPr>
          <w:p w14:paraId="3A2A4EBD"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190%</w:t>
            </w:r>
          </w:p>
        </w:tc>
        <w:tc>
          <w:tcPr>
            <w:tcW w:w="1340" w:type="dxa"/>
            <w:tcBorders>
              <w:top w:val="nil"/>
              <w:left w:val="nil"/>
              <w:bottom w:val="single" w:sz="4" w:space="0" w:color="auto"/>
              <w:right w:val="single" w:sz="4" w:space="0" w:color="auto"/>
            </w:tcBorders>
            <w:shd w:val="clear" w:color="000000" w:fill="FFFFFF"/>
            <w:noWrap/>
            <w:vAlign w:val="center"/>
            <w:hideMark/>
          </w:tcPr>
          <w:p w14:paraId="041B73D1"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165%</w:t>
            </w:r>
          </w:p>
        </w:tc>
        <w:tc>
          <w:tcPr>
            <w:tcW w:w="1340" w:type="dxa"/>
            <w:tcBorders>
              <w:top w:val="nil"/>
              <w:left w:val="nil"/>
              <w:bottom w:val="single" w:sz="4" w:space="0" w:color="auto"/>
              <w:right w:val="single" w:sz="4" w:space="0" w:color="auto"/>
            </w:tcBorders>
            <w:shd w:val="clear" w:color="000000" w:fill="FFFFFF"/>
            <w:noWrap/>
            <w:vAlign w:val="center"/>
            <w:hideMark/>
          </w:tcPr>
          <w:p w14:paraId="2C36D385"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89%</w:t>
            </w:r>
          </w:p>
        </w:tc>
        <w:tc>
          <w:tcPr>
            <w:tcW w:w="1200" w:type="dxa"/>
            <w:tcBorders>
              <w:top w:val="nil"/>
              <w:left w:val="nil"/>
              <w:bottom w:val="single" w:sz="4" w:space="0" w:color="auto"/>
              <w:right w:val="single" w:sz="4" w:space="0" w:color="auto"/>
            </w:tcBorders>
            <w:shd w:val="clear" w:color="000000" w:fill="FFFFFF"/>
            <w:noWrap/>
            <w:vAlign w:val="center"/>
            <w:hideMark/>
          </w:tcPr>
          <w:p w14:paraId="4E5D70CE"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91%</w:t>
            </w:r>
          </w:p>
        </w:tc>
      </w:tr>
      <w:tr w:rsidR="007E572E" w:rsidRPr="00810C74" w14:paraId="795304AB" w14:textId="77777777" w:rsidTr="007E572E">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092674E1"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37</w:t>
            </w:r>
          </w:p>
        </w:tc>
        <w:tc>
          <w:tcPr>
            <w:tcW w:w="1740" w:type="dxa"/>
            <w:tcBorders>
              <w:top w:val="nil"/>
              <w:left w:val="nil"/>
              <w:bottom w:val="single" w:sz="4" w:space="0" w:color="auto"/>
              <w:right w:val="single" w:sz="4" w:space="0" w:color="auto"/>
            </w:tcBorders>
            <w:shd w:val="clear" w:color="000000" w:fill="FFFFFF"/>
            <w:noWrap/>
            <w:vAlign w:val="center"/>
            <w:hideMark/>
          </w:tcPr>
          <w:p w14:paraId="235E8BEB"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92%</w:t>
            </w:r>
          </w:p>
        </w:tc>
        <w:tc>
          <w:tcPr>
            <w:tcW w:w="1200" w:type="dxa"/>
            <w:tcBorders>
              <w:top w:val="nil"/>
              <w:left w:val="nil"/>
              <w:bottom w:val="single" w:sz="4" w:space="0" w:color="auto"/>
              <w:right w:val="single" w:sz="4" w:space="0" w:color="auto"/>
            </w:tcBorders>
            <w:shd w:val="clear" w:color="000000" w:fill="FFFFFF"/>
            <w:noWrap/>
            <w:vAlign w:val="center"/>
            <w:hideMark/>
          </w:tcPr>
          <w:p w14:paraId="7D2A8857"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76%</w:t>
            </w:r>
          </w:p>
        </w:tc>
        <w:tc>
          <w:tcPr>
            <w:tcW w:w="1360" w:type="dxa"/>
            <w:tcBorders>
              <w:top w:val="nil"/>
              <w:left w:val="nil"/>
              <w:bottom w:val="single" w:sz="4" w:space="0" w:color="auto"/>
              <w:right w:val="single" w:sz="4" w:space="0" w:color="auto"/>
            </w:tcBorders>
            <w:shd w:val="clear" w:color="000000" w:fill="FFFFFF"/>
            <w:noWrap/>
            <w:vAlign w:val="center"/>
            <w:hideMark/>
          </w:tcPr>
          <w:p w14:paraId="63BD66DE"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47%</w:t>
            </w:r>
          </w:p>
        </w:tc>
        <w:tc>
          <w:tcPr>
            <w:tcW w:w="1200" w:type="dxa"/>
            <w:tcBorders>
              <w:top w:val="nil"/>
              <w:left w:val="nil"/>
              <w:bottom w:val="single" w:sz="4" w:space="0" w:color="auto"/>
              <w:right w:val="single" w:sz="4" w:space="0" w:color="auto"/>
            </w:tcBorders>
            <w:shd w:val="clear" w:color="000000" w:fill="FFFFFF"/>
            <w:noWrap/>
            <w:vAlign w:val="center"/>
            <w:hideMark/>
          </w:tcPr>
          <w:p w14:paraId="742036D3"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90%</w:t>
            </w:r>
          </w:p>
        </w:tc>
        <w:tc>
          <w:tcPr>
            <w:tcW w:w="1340" w:type="dxa"/>
            <w:tcBorders>
              <w:top w:val="nil"/>
              <w:left w:val="nil"/>
              <w:bottom w:val="single" w:sz="4" w:space="0" w:color="auto"/>
              <w:right w:val="single" w:sz="4" w:space="0" w:color="auto"/>
            </w:tcBorders>
            <w:shd w:val="clear" w:color="000000" w:fill="FFFFFF"/>
            <w:noWrap/>
            <w:vAlign w:val="center"/>
            <w:hideMark/>
          </w:tcPr>
          <w:p w14:paraId="12E4373D"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104%</w:t>
            </w:r>
          </w:p>
        </w:tc>
        <w:tc>
          <w:tcPr>
            <w:tcW w:w="1340" w:type="dxa"/>
            <w:tcBorders>
              <w:top w:val="nil"/>
              <w:left w:val="nil"/>
              <w:bottom w:val="single" w:sz="4" w:space="0" w:color="auto"/>
              <w:right w:val="single" w:sz="4" w:space="0" w:color="auto"/>
            </w:tcBorders>
            <w:shd w:val="clear" w:color="000000" w:fill="FFFFFF"/>
            <w:noWrap/>
            <w:vAlign w:val="center"/>
            <w:hideMark/>
          </w:tcPr>
          <w:p w14:paraId="5827D8EE"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97%</w:t>
            </w:r>
          </w:p>
        </w:tc>
        <w:tc>
          <w:tcPr>
            <w:tcW w:w="1200" w:type="dxa"/>
            <w:tcBorders>
              <w:top w:val="nil"/>
              <w:left w:val="nil"/>
              <w:bottom w:val="single" w:sz="4" w:space="0" w:color="auto"/>
              <w:right w:val="single" w:sz="4" w:space="0" w:color="auto"/>
            </w:tcBorders>
            <w:shd w:val="clear" w:color="000000" w:fill="FFFFFF"/>
            <w:noWrap/>
            <w:vAlign w:val="center"/>
            <w:hideMark/>
          </w:tcPr>
          <w:p w14:paraId="0BB9FE07"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124%</w:t>
            </w:r>
          </w:p>
        </w:tc>
      </w:tr>
      <w:tr w:rsidR="007E572E" w:rsidRPr="00810C74" w14:paraId="59DBD965" w14:textId="77777777" w:rsidTr="007E572E">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00E701D2"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38</w:t>
            </w:r>
          </w:p>
        </w:tc>
        <w:tc>
          <w:tcPr>
            <w:tcW w:w="1740" w:type="dxa"/>
            <w:tcBorders>
              <w:top w:val="nil"/>
              <w:left w:val="nil"/>
              <w:bottom w:val="single" w:sz="4" w:space="0" w:color="auto"/>
              <w:right w:val="single" w:sz="4" w:space="0" w:color="auto"/>
            </w:tcBorders>
            <w:shd w:val="clear" w:color="000000" w:fill="FFFFFF"/>
            <w:noWrap/>
            <w:vAlign w:val="center"/>
            <w:hideMark/>
          </w:tcPr>
          <w:p w14:paraId="393D85C5"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93%</w:t>
            </w:r>
          </w:p>
        </w:tc>
        <w:tc>
          <w:tcPr>
            <w:tcW w:w="1200" w:type="dxa"/>
            <w:tcBorders>
              <w:top w:val="nil"/>
              <w:left w:val="nil"/>
              <w:bottom w:val="single" w:sz="4" w:space="0" w:color="auto"/>
              <w:right w:val="single" w:sz="4" w:space="0" w:color="auto"/>
            </w:tcBorders>
            <w:shd w:val="clear" w:color="000000" w:fill="FFFFFF"/>
            <w:noWrap/>
            <w:vAlign w:val="center"/>
            <w:hideMark/>
          </w:tcPr>
          <w:p w14:paraId="08419E0E"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97%</w:t>
            </w:r>
          </w:p>
        </w:tc>
        <w:tc>
          <w:tcPr>
            <w:tcW w:w="1360" w:type="dxa"/>
            <w:tcBorders>
              <w:top w:val="nil"/>
              <w:left w:val="nil"/>
              <w:bottom w:val="single" w:sz="4" w:space="0" w:color="auto"/>
              <w:right w:val="single" w:sz="4" w:space="0" w:color="auto"/>
            </w:tcBorders>
            <w:shd w:val="clear" w:color="000000" w:fill="FFFFFF"/>
            <w:noWrap/>
            <w:vAlign w:val="center"/>
            <w:hideMark/>
          </w:tcPr>
          <w:p w14:paraId="5859229A"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58%</w:t>
            </w:r>
          </w:p>
        </w:tc>
        <w:tc>
          <w:tcPr>
            <w:tcW w:w="1200" w:type="dxa"/>
            <w:tcBorders>
              <w:top w:val="nil"/>
              <w:left w:val="nil"/>
              <w:bottom w:val="single" w:sz="4" w:space="0" w:color="auto"/>
              <w:right w:val="single" w:sz="4" w:space="0" w:color="auto"/>
            </w:tcBorders>
            <w:shd w:val="clear" w:color="000000" w:fill="FFFFFF"/>
            <w:noWrap/>
            <w:vAlign w:val="center"/>
            <w:hideMark/>
          </w:tcPr>
          <w:p w14:paraId="6E914B87"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114%</w:t>
            </w:r>
          </w:p>
        </w:tc>
        <w:tc>
          <w:tcPr>
            <w:tcW w:w="1340" w:type="dxa"/>
            <w:tcBorders>
              <w:top w:val="nil"/>
              <w:left w:val="nil"/>
              <w:bottom w:val="single" w:sz="4" w:space="0" w:color="auto"/>
              <w:right w:val="single" w:sz="4" w:space="0" w:color="auto"/>
            </w:tcBorders>
            <w:shd w:val="clear" w:color="000000" w:fill="FFFFFF"/>
            <w:noWrap/>
            <w:vAlign w:val="center"/>
            <w:hideMark/>
          </w:tcPr>
          <w:p w14:paraId="570B7539"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221%</w:t>
            </w:r>
          </w:p>
        </w:tc>
        <w:tc>
          <w:tcPr>
            <w:tcW w:w="1340" w:type="dxa"/>
            <w:tcBorders>
              <w:top w:val="nil"/>
              <w:left w:val="nil"/>
              <w:bottom w:val="single" w:sz="4" w:space="0" w:color="auto"/>
              <w:right w:val="single" w:sz="4" w:space="0" w:color="auto"/>
            </w:tcBorders>
            <w:shd w:val="clear" w:color="000000" w:fill="FFFFFF"/>
            <w:noWrap/>
            <w:vAlign w:val="center"/>
            <w:hideMark/>
          </w:tcPr>
          <w:p w14:paraId="6D9CFD39"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81%</w:t>
            </w:r>
          </w:p>
        </w:tc>
        <w:tc>
          <w:tcPr>
            <w:tcW w:w="1200" w:type="dxa"/>
            <w:tcBorders>
              <w:top w:val="nil"/>
              <w:left w:val="nil"/>
              <w:bottom w:val="single" w:sz="4" w:space="0" w:color="auto"/>
              <w:right w:val="single" w:sz="4" w:space="0" w:color="auto"/>
            </w:tcBorders>
            <w:shd w:val="clear" w:color="000000" w:fill="FFFFFF"/>
            <w:noWrap/>
            <w:vAlign w:val="center"/>
            <w:hideMark/>
          </w:tcPr>
          <w:p w14:paraId="3AAB54AA"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106%</w:t>
            </w:r>
          </w:p>
        </w:tc>
      </w:tr>
      <w:tr w:rsidR="007E572E" w:rsidRPr="00810C74" w14:paraId="7A679DCA" w14:textId="77777777" w:rsidTr="007E572E">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622FD726"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39</w:t>
            </w:r>
          </w:p>
        </w:tc>
        <w:tc>
          <w:tcPr>
            <w:tcW w:w="1740" w:type="dxa"/>
            <w:tcBorders>
              <w:top w:val="nil"/>
              <w:left w:val="nil"/>
              <w:bottom w:val="single" w:sz="4" w:space="0" w:color="auto"/>
              <w:right w:val="single" w:sz="4" w:space="0" w:color="auto"/>
            </w:tcBorders>
            <w:shd w:val="clear" w:color="000000" w:fill="FFFFFF"/>
            <w:noWrap/>
            <w:vAlign w:val="center"/>
            <w:hideMark/>
          </w:tcPr>
          <w:p w14:paraId="605DB661"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85%</w:t>
            </w:r>
          </w:p>
        </w:tc>
        <w:tc>
          <w:tcPr>
            <w:tcW w:w="1200" w:type="dxa"/>
            <w:tcBorders>
              <w:top w:val="nil"/>
              <w:left w:val="nil"/>
              <w:bottom w:val="single" w:sz="4" w:space="0" w:color="auto"/>
              <w:right w:val="single" w:sz="4" w:space="0" w:color="auto"/>
            </w:tcBorders>
            <w:shd w:val="clear" w:color="000000" w:fill="FFFFFF"/>
            <w:noWrap/>
            <w:vAlign w:val="center"/>
            <w:hideMark/>
          </w:tcPr>
          <w:p w14:paraId="062A7E75"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92%</w:t>
            </w:r>
          </w:p>
        </w:tc>
        <w:tc>
          <w:tcPr>
            <w:tcW w:w="1360" w:type="dxa"/>
            <w:tcBorders>
              <w:top w:val="nil"/>
              <w:left w:val="nil"/>
              <w:bottom w:val="single" w:sz="4" w:space="0" w:color="auto"/>
              <w:right w:val="single" w:sz="4" w:space="0" w:color="auto"/>
            </w:tcBorders>
            <w:shd w:val="clear" w:color="000000" w:fill="FFFFFF"/>
            <w:noWrap/>
            <w:vAlign w:val="center"/>
            <w:hideMark/>
          </w:tcPr>
          <w:p w14:paraId="27421277"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52%</w:t>
            </w:r>
          </w:p>
        </w:tc>
        <w:tc>
          <w:tcPr>
            <w:tcW w:w="1200" w:type="dxa"/>
            <w:tcBorders>
              <w:top w:val="nil"/>
              <w:left w:val="nil"/>
              <w:bottom w:val="single" w:sz="4" w:space="0" w:color="auto"/>
              <w:right w:val="single" w:sz="4" w:space="0" w:color="auto"/>
            </w:tcBorders>
            <w:shd w:val="clear" w:color="000000" w:fill="FFFFFF"/>
            <w:noWrap/>
            <w:vAlign w:val="center"/>
            <w:hideMark/>
          </w:tcPr>
          <w:p w14:paraId="2CCB2F68"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118%</w:t>
            </w:r>
          </w:p>
        </w:tc>
        <w:tc>
          <w:tcPr>
            <w:tcW w:w="1340" w:type="dxa"/>
            <w:tcBorders>
              <w:top w:val="nil"/>
              <w:left w:val="nil"/>
              <w:bottom w:val="single" w:sz="4" w:space="0" w:color="auto"/>
              <w:right w:val="single" w:sz="4" w:space="0" w:color="auto"/>
            </w:tcBorders>
            <w:shd w:val="clear" w:color="000000" w:fill="FFFFFF"/>
            <w:noWrap/>
            <w:vAlign w:val="center"/>
            <w:hideMark/>
          </w:tcPr>
          <w:p w14:paraId="09E669E6"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196%</w:t>
            </w:r>
          </w:p>
        </w:tc>
        <w:tc>
          <w:tcPr>
            <w:tcW w:w="1340" w:type="dxa"/>
            <w:tcBorders>
              <w:top w:val="nil"/>
              <w:left w:val="nil"/>
              <w:bottom w:val="single" w:sz="4" w:space="0" w:color="auto"/>
              <w:right w:val="single" w:sz="4" w:space="0" w:color="auto"/>
            </w:tcBorders>
            <w:shd w:val="clear" w:color="000000" w:fill="FFFFFF"/>
            <w:noWrap/>
            <w:vAlign w:val="center"/>
            <w:hideMark/>
          </w:tcPr>
          <w:p w14:paraId="67794A1C"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83%</w:t>
            </w:r>
          </w:p>
        </w:tc>
        <w:tc>
          <w:tcPr>
            <w:tcW w:w="1200" w:type="dxa"/>
            <w:tcBorders>
              <w:top w:val="nil"/>
              <w:left w:val="nil"/>
              <w:bottom w:val="single" w:sz="4" w:space="0" w:color="auto"/>
              <w:right w:val="single" w:sz="4" w:space="0" w:color="auto"/>
            </w:tcBorders>
            <w:shd w:val="clear" w:color="000000" w:fill="FFFFFF"/>
            <w:noWrap/>
            <w:vAlign w:val="center"/>
            <w:hideMark/>
          </w:tcPr>
          <w:p w14:paraId="331CFECC"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112%</w:t>
            </w:r>
          </w:p>
        </w:tc>
      </w:tr>
      <w:tr w:rsidR="007E572E" w:rsidRPr="00810C74" w14:paraId="53481185" w14:textId="77777777" w:rsidTr="007E572E">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741D4BBC"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40</w:t>
            </w:r>
          </w:p>
        </w:tc>
        <w:tc>
          <w:tcPr>
            <w:tcW w:w="1740" w:type="dxa"/>
            <w:tcBorders>
              <w:top w:val="nil"/>
              <w:left w:val="nil"/>
              <w:bottom w:val="single" w:sz="4" w:space="0" w:color="auto"/>
              <w:right w:val="single" w:sz="4" w:space="0" w:color="auto"/>
            </w:tcBorders>
            <w:shd w:val="clear" w:color="000000" w:fill="FFFFFF"/>
            <w:noWrap/>
            <w:vAlign w:val="center"/>
            <w:hideMark/>
          </w:tcPr>
          <w:p w14:paraId="22EF6728"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67%</w:t>
            </w:r>
          </w:p>
        </w:tc>
        <w:tc>
          <w:tcPr>
            <w:tcW w:w="1200" w:type="dxa"/>
            <w:tcBorders>
              <w:top w:val="nil"/>
              <w:left w:val="nil"/>
              <w:bottom w:val="single" w:sz="4" w:space="0" w:color="auto"/>
              <w:right w:val="single" w:sz="4" w:space="0" w:color="auto"/>
            </w:tcBorders>
            <w:shd w:val="clear" w:color="000000" w:fill="FFFFFF"/>
            <w:noWrap/>
            <w:vAlign w:val="center"/>
            <w:hideMark/>
          </w:tcPr>
          <w:p w14:paraId="555526BF"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88%</w:t>
            </w:r>
          </w:p>
        </w:tc>
        <w:tc>
          <w:tcPr>
            <w:tcW w:w="1360" w:type="dxa"/>
            <w:tcBorders>
              <w:top w:val="nil"/>
              <w:left w:val="nil"/>
              <w:bottom w:val="single" w:sz="4" w:space="0" w:color="auto"/>
              <w:right w:val="single" w:sz="4" w:space="0" w:color="auto"/>
            </w:tcBorders>
            <w:shd w:val="clear" w:color="000000" w:fill="FFFFFF"/>
            <w:noWrap/>
            <w:vAlign w:val="center"/>
            <w:hideMark/>
          </w:tcPr>
          <w:p w14:paraId="3EBC5696"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55%</w:t>
            </w:r>
          </w:p>
        </w:tc>
        <w:tc>
          <w:tcPr>
            <w:tcW w:w="1200" w:type="dxa"/>
            <w:tcBorders>
              <w:top w:val="nil"/>
              <w:left w:val="nil"/>
              <w:bottom w:val="single" w:sz="4" w:space="0" w:color="auto"/>
              <w:right w:val="single" w:sz="4" w:space="0" w:color="auto"/>
            </w:tcBorders>
            <w:shd w:val="clear" w:color="000000" w:fill="FFFFFF"/>
            <w:noWrap/>
            <w:vAlign w:val="center"/>
            <w:hideMark/>
          </w:tcPr>
          <w:p w14:paraId="5A52933B"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129%</w:t>
            </w:r>
          </w:p>
        </w:tc>
        <w:tc>
          <w:tcPr>
            <w:tcW w:w="1340" w:type="dxa"/>
            <w:tcBorders>
              <w:top w:val="nil"/>
              <w:left w:val="nil"/>
              <w:bottom w:val="single" w:sz="4" w:space="0" w:color="auto"/>
              <w:right w:val="single" w:sz="4" w:space="0" w:color="auto"/>
            </w:tcBorders>
            <w:shd w:val="clear" w:color="000000" w:fill="FFFFFF"/>
            <w:noWrap/>
            <w:vAlign w:val="center"/>
            <w:hideMark/>
          </w:tcPr>
          <w:p w14:paraId="2CE71700"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318%</w:t>
            </w:r>
          </w:p>
        </w:tc>
        <w:tc>
          <w:tcPr>
            <w:tcW w:w="1340" w:type="dxa"/>
            <w:tcBorders>
              <w:top w:val="nil"/>
              <w:left w:val="nil"/>
              <w:bottom w:val="single" w:sz="4" w:space="0" w:color="auto"/>
              <w:right w:val="single" w:sz="4" w:space="0" w:color="auto"/>
            </w:tcBorders>
            <w:shd w:val="clear" w:color="000000" w:fill="FFFFFF"/>
            <w:noWrap/>
            <w:vAlign w:val="center"/>
            <w:hideMark/>
          </w:tcPr>
          <w:p w14:paraId="386A294D"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89%</w:t>
            </w:r>
          </w:p>
        </w:tc>
        <w:tc>
          <w:tcPr>
            <w:tcW w:w="1200" w:type="dxa"/>
            <w:tcBorders>
              <w:top w:val="nil"/>
              <w:left w:val="nil"/>
              <w:bottom w:val="single" w:sz="4" w:space="0" w:color="auto"/>
              <w:right w:val="single" w:sz="4" w:space="0" w:color="auto"/>
            </w:tcBorders>
            <w:shd w:val="clear" w:color="000000" w:fill="FFFFFF"/>
            <w:noWrap/>
            <w:vAlign w:val="center"/>
            <w:hideMark/>
          </w:tcPr>
          <w:p w14:paraId="5BBF41B1"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129%</w:t>
            </w:r>
          </w:p>
        </w:tc>
      </w:tr>
      <w:tr w:rsidR="007E572E" w:rsidRPr="00810C74" w14:paraId="5DEDFA74" w14:textId="77777777" w:rsidTr="007E572E">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0ED4FC94"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41</w:t>
            </w:r>
          </w:p>
        </w:tc>
        <w:tc>
          <w:tcPr>
            <w:tcW w:w="1740" w:type="dxa"/>
            <w:tcBorders>
              <w:top w:val="nil"/>
              <w:left w:val="nil"/>
              <w:bottom w:val="single" w:sz="4" w:space="0" w:color="auto"/>
              <w:right w:val="single" w:sz="4" w:space="0" w:color="auto"/>
            </w:tcBorders>
            <w:shd w:val="clear" w:color="000000" w:fill="FFFFFF"/>
            <w:noWrap/>
            <w:vAlign w:val="center"/>
            <w:hideMark/>
          </w:tcPr>
          <w:p w14:paraId="1BEA6467"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100%</w:t>
            </w:r>
          </w:p>
        </w:tc>
        <w:tc>
          <w:tcPr>
            <w:tcW w:w="1200" w:type="dxa"/>
            <w:tcBorders>
              <w:top w:val="nil"/>
              <w:left w:val="nil"/>
              <w:bottom w:val="single" w:sz="4" w:space="0" w:color="auto"/>
              <w:right w:val="single" w:sz="4" w:space="0" w:color="auto"/>
            </w:tcBorders>
            <w:shd w:val="clear" w:color="000000" w:fill="FFFFFF"/>
            <w:noWrap/>
            <w:vAlign w:val="center"/>
            <w:hideMark/>
          </w:tcPr>
          <w:p w14:paraId="0A1A8476"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85%</w:t>
            </w:r>
          </w:p>
        </w:tc>
        <w:tc>
          <w:tcPr>
            <w:tcW w:w="1360" w:type="dxa"/>
            <w:tcBorders>
              <w:top w:val="nil"/>
              <w:left w:val="nil"/>
              <w:bottom w:val="single" w:sz="4" w:space="0" w:color="auto"/>
              <w:right w:val="single" w:sz="4" w:space="0" w:color="auto"/>
            </w:tcBorders>
            <w:shd w:val="clear" w:color="000000" w:fill="FFFFFF"/>
            <w:noWrap/>
            <w:vAlign w:val="center"/>
            <w:hideMark/>
          </w:tcPr>
          <w:p w14:paraId="36584975"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63%</w:t>
            </w:r>
          </w:p>
        </w:tc>
        <w:tc>
          <w:tcPr>
            <w:tcW w:w="1200" w:type="dxa"/>
            <w:tcBorders>
              <w:top w:val="nil"/>
              <w:left w:val="nil"/>
              <w:bottom w:val="single" w:sz="4" w:space="0" w:color="auto"/>
              <w:right w:val="single" w:sz="4" w:space="0" w:color="auto"/>
            </w:tcBorders>
            <w:shd w:val="clear" w:color="000000" w:fill="FFFFFF"/>
            <w:noWrap/>
            <w:vAlign w:val="center"/>
            <w:hideMark/>
          </w:tcPr>
          <w:p w14:paraId="7406D5E2"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123%</w:t>
            </w:r>
          </w:p>
        </w:tc>
        <w:tc>
          <w:tcPr>
            <w:tcW w:w="1340" w:type="dxa"/>
            <w:tcBorders>
              <w:top w:val="nil"/>
              <w:left w:val="nil"/>
              <w:bottom w:val="single" w:sz="4" w:space="0" w:color="auto"/>
              <w:right w:val="single" w:sz="4" w:space="0" w:color="auto"/>
            </w:tcBorders>
            <w:shd w:val="clear" w:color="000000" w:fill="FFFFFF"/>
            <w:noWrap/>
            <w:vAlign w:val="center"/>
            <w:hideMark/>
          </w:tcPr>
          <w:p w14:paraId="45482AC6"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281%</w:t>
            </w:r>
          </w:p>
        </w:tc>
        <w:tc>
          <w:tcPr>
            <w:tcW w:w="1340" w:type="dxa"/>
            <w:tcBorders>
              <w:top w:val="nil"/>
              <w:left w:val="nil"/>
              <w:bottom w:val="single" w:sz="4" w:space="0" w:color="auto"/>
              <w:right w:val="single" w:sz="4" w:space="0" w:color="auto"/>
            </w:tcBorders>
            <w:shd w:val="clear" w:color="000000" w:fill="FFFFFF"/>
            <w:noWrap/>
            <w:vAlign w:val="center"/>
            <w:hideMark/>
          </w:tcPr>
          <w:p w14:paraId="7C9DC884"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85%</w:t>
            </w:r>
          </w:p>
        </w:tc>
        <w:tc>
          <w:tcPr>
            <w:tcW w:w="1200" w:type="dxa"/>
            <w:tcBorders>
              <w:top w:val="nil"/>
              <w:left w:val="nil"/>
              <w:bottom w:val="single" w:sz="4" w:space="0" w:color="auto"/>
              <w:right w:val="single" w:sz="4" w:space="0" w:color="auto"/>
            </w:tcBorders>
            <w:shd w:val="clear" w:color="000000" w:fill="FFFFFF"/>
            <w:noWrap/>
            <w:vAlign w:val="center"/>
            <w:hideMark/>
          </w:tcPr>
          <w:p w14:paraId="4C2260F2"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112%</w:t>
            </w:r>
          </w:p>
        </w:tc>
      </w:tr>
      <w:tr w:rsidR="007E572E" w:rsidRPr="00810C74" w14:paraId="6141AEFF" w14:textId="77777777" w:rsidTr="007E572E">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0DAE2C7B"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42</w:t>
            </w:r>
          </w:p>
        </w:tc>
        <w:tc>
          <w:tcPr>
            <w:tcW w:w="1740" w:type="dxa"/>
            <w:tcBorders>
              <w:top w:val="nil"/>
              <w:left w:val="nil"/>
              <w:bottom w:val="single" w:sz="4" w:space="0" w:color="auto"/>
              <w:right w:val="single" w:sz="4" w:space="0" w:color="auto"/>
            </w:tcBorders>
            <w:shd w:val="clear" w:color="000000" w:fill="FFFFFF"/>
            <w:noWrap/>
            <w:vAlign w:val="center"/>
            <w:hideMark/>
          </w:tcPr>
          <w:p w14:paraId="6DED1338"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79%</w:t>
            </w:r>
          </w:p>
        </w:tc>
        <w:tc>
          <w:tcPr>
            <w:tcW w:w="1200" w:type="dxa"/>
            <w:tcBorders>
              <w:top w:val="nil"/>
              <w:left w:val="nil"/>
              <w:bottom w:val="single" w:sz="4" w:space="0" w:color="auto"/>
              <w:right w:val="single" w:sz="4" w:space="0" w:color="auto"/>
            </w:tcBorders>
            <w:shd w:val="clear" w:color="000000" w:fill="FFFFFF"/>
            <w:noWrap/>
            <w:vAlign w:val="center"/>
            <w:hideMark/>
          </w:tcPr>
          <w:p w14:paraId="3B072F73"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82%</w:t>
            </w:r>
          </w:p>
        </w:tc>
        <w:tc>
          <w:tcPr>
            <w:tcW w:w="1360" w:type="dxa"/>
            <w:tcBorders>
              <w:top w:val="nil"/>
              <w:left w:val="nil"/>
              <w:bottom w:val="single" w:sz="4" w:space="0" w:color="auto"/>
              <w:right w:val="single" w:sz="4" w:space="0" w:color="auto"/>
            </w:tcBorders>
            <w:shd w:val="clear" w:color="000000" w:fill="FFFFFF"/>
            <w:noWrap/>
            <w:vAlign w:val="center"/>
            <w:hideMark/>
          </w:tcPr>
          <w:p w14:paraId="1DB41C08"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57%</w:t>
            </w:r>
          </w:p>
        </w:tc>
        <w:tc>
          <w:tcPr>
            <w:tcW w:w="1200" w:type="dxa"/>
            <w:tcBorders>
              <w:top w:val="nil"/>
              <w:left w:val="nil"/>
              <w:bottom w:val="single" w:sz="4" w:space="0" w:color="auto"/>
              <w:right w:val="single" w:sz="4" w:space="0" w:color="auto"/>
            </w:tcBorders>
            <w:shd w:val="clear" w:color="000000" w:fill="FFFFFF"/>
            <w:noWrap/>
            <w:vAlign w:val="center"/>
            <w:hideMark/>
          </w:tcPr>
          <w:p w14:paraId="21A41CCD"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114%</w:t>
            </w:r>
          </w:p>
        </w:tc>
        <w:tc>
          <w:tcPr>
            <w:tcW w:w="1340" w:type="dxa"/>
            <w:tcBorders>
              <w:top w:val="nil"/>
              <w:left w:val="nil"/>
              <w:bottom w:val="single" w:sz="4" w:space="0" w:color="auto"/>
              <w:right w:val="single" w:sz="4" w:space="0" w:color="auto"/>
            </w:tcBorders>
            <w:shd w:val="clear" w:color="000000" w:fill="FFFFFF"/>
            <w:noWrap/>
            <w:vAlign w:val="center"/>
            <w:hideMark/>
          </w:tcPr>
          <w:p w14:paraId="2FF1994C"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221%</w:t>
            </w:r>
          </w:p>
        </w:tc>
        <w:tc>
          <w:tcPr>
            <w:tcW w:w="1340" w:type="dxa"/>
            <w:tcBorders>
              <w:top w:val="nil"/>
              <w:left w:val="nil"/>
              <w:bottom w:val="single" w:sz="4" w:space="0" w:color="auto"/>
              <w:right w:val="single" w:sz="4" w:space="0" w:color="auto"/>
            </w:tcBorders>
            <w:shd w:val="clear" w:color="000000" w:fill="FFFFFF"/>
            <w:noWrap/>
            <w:vAlign w:val="center"/>
            <w:hideMark/>
          </w:tcPr>
          <w:p w14:paraId="6292D49F"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65%</w:t>
            </w:r>
          </w:p>
        </w:tc>
        <w:tc>
          <w:tcPr>
            <w:tcW w:w="1200" w:type="dxa"/>
            <w:tcBorders>
              <w:top w:val="nil"/>
              <w:left w:val="nil"/>
              <w:bottom w:val="single" w:sz="4" w:space="0" w:color="auto"/>
              <w:right w:val="single" w:sz="4" w:space="0" w:color="auto"/>
            </w:tcBorders>
            <w:shd w:val="clear" w:color="000000" w:fill="FFFFFF"/>
            <w:noWrap/>
            <w:vAlign w:val="center"/>
            <w:hideMark/>
          </w:tcPr>
          <w:p w14:paraId="35F3B3B3"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91%</w:t>
            </w:r>
          </w:p>
        </w:tc>
      </w:tr>
      <w:tr w:rsidR="007E572E" w:rsidRPr="00810C74" w14:paraId="60AB099B" w14:textId="77777777" w:rsidTr="007E572E">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2FE345BA"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43</w:t>
            </w:r>
          </w:p>
        </w:tc>
        <w:tc>
          <w:tcPr>
            <w:tcW w:w="1740" w:type="dxa"/>
            <w:tcBorders>
              <w:top w:val="nil"/>
              <w:left w:val="nil"/>
              <w:bottom w:val="single" w:sz="4" w:space="0" w:color="auto"/>
              <w:right w:val="single" w:sz="4" w:space="0" w:color="auto"/>
            </w:tcBorders>
            <w:shd w:val="clear" w:color="000000" w:fill="FFFFFF"/>
            <w:noWrap/>
            <w:vAlign w:val="center"/>
            <w:hideMark/>
          </w:tcPr>
          <w:p w14:paraId="3CF6C949"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98%</w:t>
            </w:r>
          </w:p>
        </w:tc>
        <w:tc>
          <w:tcPr>
            <w:tcW w:w="1200" w:type="dxa"/>
            <w:tcBorders>
              <w:top w:val="nil"/>
              <w:left w:val="nil"/>
              <w:bottom w:val="single" w:sz="4" w:space="0" w:color="auto"/>
              <w:right w:val="single" w:sz="4" w:space="0" w:color="auto"/>
            </w:tcBorders>
            <w:shd w:val="clear" w:color="000000" w:fill="FFFFFF"/>
            <w:noWrap/>
            <w:vAlign w:val="center"/>
            <w:hideMark/>
          </w:tcPr>
          <w:p w14:paraId="6294D1C1"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81%</w:t>
            </w:r>
          </w:p>
        </w:tc>
        <w:tc>
          <w:tcPr>
            <w:tcW w:w="1360" w:type="dxa"/>
            <w:tcBorders>
              <w:top w:val="nil"/>
              <w:left w:val="nil"/>
              <w:bottom w:val="single" w:sz="4" w:space="0" w:color="auto"/>
              <w:right w:val="single" w:sz="4" w:space="0" w:color="auto"/>
            </w:tcBorders>
            <w:shd w:val="clear" w:color="000000" w:fill="FFFFFF"/>
            <w:noWrap/>
            <w:vAlign w:val="center"/>
            <w:hideMark/>
          </w:tcPr>
          <w:p w14:paraId="023FC9F6"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60%</w:t>
            </w:r>
          </w:p>
        </w:tc>
        <w:tc>
          <w:tcPr>
            <w:tcW w:w="1200" w:type="dxa"/>
            <w:tcBorders>
              <w:top w:val="nil"/>
              <w:left w:val="nil"/>
              <w:bottom w:val="single" w:sz="4" w:space="0" w:color="auto"/>
              <w:right w:val="single" w:sz="4" w:space="0" w:color="auto"/>
            </w:tcBorders>
            <w:shd w:val="clear" w:color="000000" w:fill="FFFFFF"/>
            <w:noWrap/>
            <w:vAlign w:val="center"/>
            <w:hideMark/>
          </w:tcPr>
          <w:p w14:paraId="6433849C"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118%</w:t>
            </w:r>
          </w:p>
        </w:tc>
        <w:tc>
          <w:tcPr>
            <w:tcW w:w="1340" w:type="dxa"/>
            <w:tcBorders>
              <w:top w:val="nil"/>
              <w:left w:val="nil"/>
              <w:bottom w:val="single" w:sz="4" w:space="0" w:color="auto"/>
              <w:right w:val="single" w:sz="4" w:space="0" w:color="auto"/>
            </w:tcBorders>
            <w:shd w:val="clear" w:color="000000" w:fill="FFFFFF"/>
            <w:noWrap/>
            <w:vAlign w:val="center"/>
            <w:hideMark/>
          </w:tcPr>
          <w:p w14:paraId="27732EE4"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196%</w:t>
            </w:r>
          </w:p>
        </w:tc>
        <w:tc>
          <w:tcPr>
            <w:tcW w:w="1340" w:type="dxa"/>
            <w:tcBorders>
              <w:top w:val="nil"/>
              <w:left w:val="nil"/>
              <w:bottom w:val="single" w:sz="4" w:space="0" w:color="auto"/>
              <w:right w:val="single" w:sz="4" w:space="0" w:color="auto"/>
            </w:tcBorders>
            <w:shd w:val="clear" w:color="000000" w:fill="FFFFFF"/>
            <w:noWrap/>
            <w:vAlign w:val="center"/>
            <w:hideMark/>
          </w:tcPr>
          <w:p w14:paraId="08DA9F9F"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72%</w:t>
            </w:r>
          </w:p>
        </w:tc>
        <w:tc>
          <w:tcPr>
            <w:tcW w:w="1200" w:type="dxa"/>
            <w:tcBorders>
              <w:top w:val="nil"/>
              <w:left w:val="nil"/>
              <w:bottom w:val="single" w:sz="4" w:space="0" w:color="auto"/>
              <w:right w:val="single" w:sz="4" w:space="0" w:color="auto"/>
            </w:tcBorders>
            <w:shd w:val="clear" w:color="000000" w:fill="FFFFFF"/>
            <w:noWrap/>
            <w:vAlign w:val="center"/>
            <w:hideMark/>
          </w:tcPr>
          <w:p w14:paraId="462A527B"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85%</w:t>
            </w:r>
          </w:p>
        </w:tc>
      </w:tr>
      <w:tr w:rsidR="007E572E" w:rsidRPr="00810C74" w14:paraId="414E9DA0" w14:textId="77777777" w:rsidTr="007E572E">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1C9C5FBE"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44</w:t>
            </w:r>
          </w:p>
        </w:tc>
        <w:tc>
          <w:tcPr>
            <w:tcW w:w="1740" w:type="dxa"/>
            <w:tcBorders>
              <w:top w:val="nil"/>
              <w:left w:val="nil"/>
              <w:bottom w:val="single" w:sz="4" w:space="0" w:color="auto"/>
              <w:right w:val="single" w:sz="4" w:space="0" w:color="auto"/>
            </w:tcBorders>
            <w:shd w:val="clear" w:color="000000" w:fill="FFFFFF"/>
            <w:noWrap/>
            <w:vAlign w:val="center"/>
            <w:hideMark/>
          </w:tcPr>
          <w:p w14:paraId="3611CD19"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87%</w:t>
            </w:r>
          </w:p>
        </w:tc>
        <w:tc>
          <w:tcPr>
            <w:tcW w:w="1200" w:type="dxa"/>
            <w:tcBorders>
              <w:top w:val="nil"/>
              <w:left w:val="nil"/>
              <w:bottom w:val="single" w:sz="4" w:space="0" w:color="auto"/>
              <w:right w:val="single" w:sz="4" w:space="0" w:color="auto"/>
            </w:tcBorders>
            <w:shd w:val="clear" w:color="000000" w:fill="FFFFFF"/>
            <w:noWrap/>
            <w:vAlign w:val="center"/>
            <w:hideMark/>
          </w:tcPr>
          <w:p w14:paraId="63F60016"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94%</w:t>
            </w:r>
          </w:p>
        </w:tc>
        <w:tc>
          <w:tcPr>
            <w:tcW w:w="1360" w:type="dxa"/>
            <w:tcBorders>
              <w:top w:val="nil"/>
              <w:left w:val="nil"/>
              <w:bottom w:val="single" w:sz="4" w:space="0" w:color="auto"/>
              <w:right w:val="single" w:sz="4" w:space="0" w:color="auto"/>
            </w:tcBorders>
            <w:shd w:val="clear" w:color="000000" w:fill="FFFFFF"/>
            <w:noWrap/>
            <w:vAlign w:val="center"/>
            <w:hideMark/>
          </w:tcPr>
          <w:p w14:paraId="6F6E3B2F"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55%</w:t>
            </w:r>
          </w:p>
        </w:tc>
        <w:tc>
          <w:tcPr>
            <w:tcW w:w="1200" w:type="dxa"/>
            <w:tcBorders>
              <w:top w:val="nil"/>
              <w:left w:val="nil"/>
              <w:bottom w:val="single" w:sz="4" w:space="0" w:color="auto"/>
              <w:right w:val="single" w:sz="4" w:space="0" w:color="auto"/>
            </w:tcBorders>
            <w:shd w:val="clear" w:color="000000" w:fill="FFFFFF"/>
            <w:noWrap/>
            <w:vAlign w:val="center"/>
            <w:hideMark/>
          </w:tcPr>
          <w:p w14:paraId="72E16931"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129%</w:t>
            </w:r>
          </w:p>
        </w:tc>
        <w:tc>
          <w:tcPr>
            <w:tcW w:w="1340" w:type="dxa"/>
            <w:tcBorders>
              <w:top w:val="nil"/>
              <w:left w:val="nil"/>
              <w:bottom w:val="single" w:sz="4" w:space="0" w:color="auto"/>
              <w:right w:val="single" w:sz="4" w:space="0" w:color="auto"/>
            </w:tcBorders>
            <w:shd w:val="clear" w:color="000000" w:fill="FFFFFF"/>
            <w:noWrap/>
            <w:vAlign w:val="center"/>
            <w:hideMark/>
          </w:tcPr>
          <w:p w14:paraId="4C8D6507"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318%</w:t>
            </w:r>
          </w:p>
        </w:tc>
        <w:tc>
          <w:tcPr>
            <w:tcW w:w="1340" w:type="dxa"/>
            <w:tcBorders>
              <w:top w:val="nil"/>
              <w:left w:val="nil"/>
              <w:bottom w:val="single" w:sz="4" w:space="0" w:color="auto"/>
              <w:right w:val="single" w:sz="4" w:space="0" w:color="auto"/>
            </w:tcBorders>
            <w:shd w:val="clear" w:color="000000" w:fill="FFFFFF"/>
            <w:noWrap/>
            <w:vAlign w:val="center"/>
            <w:hideMark/>
          </w:tcPr>
          <w:p w14:paraId="67698A7E"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49%</w:t>
            </w:r>
          </w:p>
        </w:tc>
        <w:tc>
          <w:tcPr>
            <w:tcW w:w="1200" w:type="dxa"/>
            <w:tcBorders>
              <w:top w:val="nil"/>
              <w:left w:val="nil"/>
              <w:bottom w:val="single" w:sz="4" w:space="0" w:color="auto"/>
              <w:right w:val="single" w:sz="4" w:space="0" w:color="auto"/>
            </w:tcBorders>
            <w:shd w:val="clear" w:color="000000" w:fill="FFFFFF"/>
            <w:noWrap/>
            <w:vAlign w:val="center"/>
            <w:hideMark/>
          </w:tcPr>
          <w:p w14:paraId="56F2F284"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65%</w:t>
            </w:r>
          </w:p>
        </w:tc>
      </w:tr>
      <w:tr w:rsidR="007E572E" w:rsidRPr="00810C74" w14:paraId="69B091A2" w14:textId="77777777" w:rsidTr="007E572E">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0001DDA5"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45</w:t>
            </w:r>
          </w:p>
        </w:tc>
        <w:tc>
          <w:tcPr>
            <w:tcW w:w="1740" w:type="dxa"/>
            <w:tcBorders>
              <w:top w:val="nil"/>
              <w:left w:val="nil"/>
              <w:bottom w:val="single" w:sz="4" w:space="0" w:color="auto"/>
              <w:right w:val="single" w:sz="4" w:space="0" w:color="auto"/>
            </w:tcBorders>
            <w:shd w:val="clear" w:color="000000" w:fill="FFFFFF"/>
            <w:noWrap/>
            <w:vAlign w:val="center"/>
            <w:hideMark/>
          </w:tcPr>
          <w:p w14:paraId="62A0A03D"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93%</w:t>
            </w:r>
          </w:p>
        </w:tc>
        <w:tc>
          <w:tcPr>
            <w:tcW w:w="1200" w:type="dxa"/>
            <w:tcBorders>
              <w:top w:val="nil"/>
              <w:left w:val="nil"/>
              <w:bottom w:val="single" w:sz="4" w:space="0" w:color="auto"/>
              <w:right w:val="single" w:sz="4" w:space="0" w:color="auto"/>
            </w:tcBorders>
            <w:shd w:val="clear" w:color="000000" w:fill="FFFFFF"/>
            <w:noWrap/>
            <w:vAlign w:val="center"/>
            <w:hideMark/>
          </w:tcPr>
          <w:p w14:paraId="47301ED3"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117%</w:t>
            </w:r>
          </w:p>
        </w:tc>
        <w:tc>
          <w:tcPr>
            <w:tcW w:w="1360" w:type="dxa"/>
            <w:tcBorders>
              <w:top w:val="nil"/>
              <w:left w:val="nil"/>
              <w:bottom w:val="single" w:sz="4" w:space="0" w:color="auto"/>
              <w:right w:val="single" w:sz="4" w:space="0" w:color="auto"/>
            </w:tcBorders>
            <w:shd w:val="clear" w:color="000000" w:fill="FFFFFF"/>
            <w:noWrap/>
            <w:vAlign w:val="center"/>
            <w:hideMark/>
          </w:tcPr>
          <w:p w14:paraId="1C1B641D"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59%</w:t>
            </w:r>
          </w:p>
        </w:tc>
        <w:tc>
          <w:tcPr>
            <w:tcW w:w="1200" w:type="dxa"/>
            <w:tcBorders>
              <w:top w:val="nil"/>
              <w:left w:val="nil"/>
              <w:bottom w:val="single" w:sz="4" w:space="0" w:color="auto"/>
              <w:right w:val="single" w:sz="4" w:space="0" w:color="auto"/>
            </w:tcBorders>
            <w:shd w:val="clear" w:color="000000" w:fill="FFFFFF"/>
            <w:noWrap/>
            <w:vAlign w:val="center"/>
            <w:hideMark/>
          </w:tcPr>
          <w:p w14:paraId="61DC6FBE"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123%</w:t>
            </w:r>
          </w:p>
        </w:tc>
        <w:tc>
          <w:tcPr>
            <w:tcW w:w="1340" w:type="dxa"/>
            <w:tcBorders>
              <w:top w:val="nil"/>
              <w:left w:val="nil"/>
              <w:bottom w:val="single" w:sz="4" w:space="0" w:color="auto"/>
              <w:right w:val="single" w:sz="4" w:space="0" w:color="auto"/>
            </w:tcBorders>
            <w:shd w:val="clear" w:color="000000" w:fill="FFFFFF"/>
            <w:noWrap/>
            <w:vAlign w:val="center"/>
            <w:hideMark/>
          </w:tcPr>
          <w:p w14:paraId="60B7C99A"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281%</w:t>
            </w:r>
          </w:p>
        </w:tc>
        <w:tc>
          <w:tcPr>
            <w:tcW w:w="1340" w:type="dxa"/>
            <w:tcBorders>
              <w:top w:val="nil"/>
              <w:left w:val="nil"/>
              <w:bottom w:val="single" w:sz="4" w:space="0" w:color="auto"/>
              <w:right w:val="single" w:sz="4" w:space="0" w:color="auto"/>
            </w:tcBorders>
            <w:shd w:val="clear" w:color="000000" w:fill="FFFFFF"/>
            <w:noWrap/>
            <w:vAlign w:val="center"/>
            <w:hideMark/>
          </w:tcPr>
          <w:p w14:paraId="05BE0346"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95%</w:t>
            </w:r>
          </w:p>
        </w:tc>
        <w:tc>
          <w:tcPr>
            <w:tcW w:w="1200" w:type="dxa"/>
            <w:tcBorders>
              <w:top w:val="nil"/>
              <w:left w:val="nil"/>
              <w:bottom w:val="single" w:sz="4" w:space="0" w:color="auto"/>
              <w:right w:val="single" w:sz="4" w:space="0" w:color="auto"/>
            </w:tcBorders>
            <w:shd w:val="clear" w:color="000000" w:fill="FFFFFF"/>
            <w:noWrap/>
            <w:vAlign w:val="center"/>
            <w:hideMark/>
          </w:tcPr>
          <w:p w14:paraId="65903E3D"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126%</w:t>
            </w:r>
          </w:p>
        </w:tc>
      </w:tr>
      <w:tr w:rsidR="007E572E" w:rsidRPr="00810C74" w14:paraId="4895DE71" w14:textId="77777777" w:rsidTr="007E572E">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35CFEE23"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46</w:t>
            </w:r>
          </w:p>
        </w:tc>
        <w:tc>
          <w:tcPr>
            <w:tcW w:w="1740" w:type="dxa"/>
            <w:tcBorders>
              <w:top w:val="nil"/>
              <w:left w:val="nil"/>
              <w:bottom w:val="single" w:sz="4" w:space="0" w:color="auto"/>
              <w:right w:val="single" w:sz="4" w:space="0" w:color="auto"/>
            </w:tcBorders>
            <w:shd w:val="clear" w:color="000000" w:fill="FFFFFF"/>
            <w:noWrap/>
            <w:vAlign w:val="center"/>
            <w:hideMark/>
          </w:tcPr>
          <w:p w14:paraId="04EF78FA"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66%</w:t>
            </w:r>
          </w:p>
        </w:tc>
        <w:tc>
          <w:tcPr>
            <w:tcW w:w="1200" w:type="dxa"/>
            <w:tcBorders>
              <w:top w:val="nil"/>
              <w:left w:val="nil"/>
              <w:bottom w:val="single" w:sz="4" w:space="0" w:color="auto"/>
              <w:right w:val="single" w:sz="4" w:space="0" w:color="auto"/>
            </w:tcBorders>
            <w:shd w:val="clear" w:color="000000" w:fill="FFFFFF"/>
            <w:noWrap/>
            <w:vAlign w:val="center"/>
            <w:hideMark/>
          </w:tcPr>
          <w:p w14:paraId="7200D480"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92%</w:t>
            </w:r>
          </w:p>
        </w:tc>
        <w:tc>
          <w:tcPr>
            <w:tcW w:w="1360" w:type="dxa"/>
            <w:tcBorders>
              <w:top w:val="nil"/>
              <w:left w:val="nil"/>
              <w:bottom w:val="single" w:sz="4" w:space="0" w:color="auto"/>
              <w:right w:val="single" w:sz="4" w:space="0" w:color="auto"/>
            </w:tcBorders>
            <w:shd w:val="clear" w:color="000000" w:fill="FFFFFF"/>
            <w:noWrap/>
            <w:vAlign w:val="center"/>
            <w:hideMark/>
          </w:tcPr>
          <w:p w14:paraId="24E52FDB"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59%</w:t>
            </w:r>
          </w:p>
        </w:tc>
        <w:tc>
          <w:tcPr>
            <w:tcW w:w="1200" w:type="dxa"/>
            <w:tcBorders>
              <w:top w:val="nil"/>
              <w:left w:val="nil"/>
              <w:bottom w:val="single" w:sz="4" w:space="0" w:color="auto"/>
              <w:right w:val="single" w:sz="4" w:space="0" w:color="auto"/>
            </w:tcBorders>
            <w:shd w:val="clear" w:color="000000" w:fill="FFFFFF"/>
            <w:noWrap/>
            <w:vAlign w:val="center"/>
            <w:hideMark/>
          </w:tcPr>
          <w:p w14:paraId="0769BA0E"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106%</w:t>
            </w:r>
          </w:p>
        </w:tc>
        <w:tc>
          <w:tcPr>
            <w:tcW w:w="1340" w:type="dxa"/>
            <w:tcBorders>
              <w:top w:val="nil"/>
              <w:left w:val="nil"/>
              <w:bottom w:val="single" w:sz="4" w:space="0" w:color="auto"/>
              <w:right w:val="single" w:sz="4" w:space="0" w:color="auto"/>
            </w:tcBorders>
            <w:shd w:val="clear" w:color="000000" w:fill="FFFFFF"/>
            <w:noWrap/>
            <w:vAlign w:val="center"/>
            <w:hideMark/>
          </w:tcPr>
          <w:p w14:paraId="7E136839"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276%</w:t>
            </w:r>
          </w:p>
        </w:tc>
        <w:tc>
          <w:tcPr>
            <w:tcW w:w="1340" w:type="dxa"/>
            <w:tcBorders>
              <w:top w:val="nil"/>
              <w:left w:val="nil"/>
              <w:bottom w:val="single" w:sz="4" w:space="0" w:color="auto"/>
              <w:right w:val="single" w:sz="4" w:space="0" w:color="auto"/>
            </w:tcBorders>
            <w:shd w:val="clear" w:color="000000" w:fill="FFFFFF"/>
            <w:noWrap/>
            <w:vAlign w:val="center"/>
            <w:hideMark/>
          </w:tcPr>
          <w:p w14:paraId="49925B4D"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67%</w:t>
            </w:r>
          </w:p>
        </w:tc>
        <w:tc>
          <w:tcPr>
            <w:tcW w:w="1200" w:type="dxa"/>
            <w:tcBorders>
              <w:top w:val="nil"/>
              <w:left w:val="nil"/>
              <w:bottom w:val="single" w:sz="4" w:space="0" w:color="auto"/>
              <w:right w:val="single" w:sz="4" w:space="0" w:color="auto"/>
            </w:tcBorders>
            <w:shd w:val="clear" w:color="000000" w:fill="FFFFFF"/>
            <w:noWrap/>
            <w:vAlign w:val="center"/>
            <w:hideMark/>
          </w:tcPr>
          <w:p w14:paraId="0EC577E9"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91%</w:t>
            </w:r>
          </w:p>
        </w:tc>
      </w:tr>
      <w:tr w:rsidR="007E572E" w:rsidRPr="00810C74" w14:paraId="1CBE7692" w14:textId="77777777" w:rsidTr="007E572E">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388362C1"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47</w:t>
            </w:r>
          </w:p>
        </w:tc>
        <w:tc>
          <w:tcPr>
            <w:tcW w:w="1740" w:type="dxa"/>
            <w:tcBorders>
              <w:top w:val="nil"/>
              <w:left w:val="nil"/>
              <w:bottom w:val="single" w:sz="4" w:space="0" w:color="auto"/>
              <w:right w:val="single" w:sz="4" w:space="0" w:color="auto"/>
            </w:tcBorders>
            <w:shd w:val="clear" w:color="000000" w:fill="FFFFFF"/>
            <w:noWrap/>
            <w:vAlign w:val="center"/>
            <w:hideMark/>
          </w:tcPr>
          <w:p w14:paraId="23704774"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83%</w:t>
            </w:r>
          </w:p>
        </w:tc>
        <w:tc>
          <w:tcPr>
            <w:tcW w:w="1200" w:type="dxa"/>
            <w:tcBorders>
              <w:top w:val="nil"/>
              <w:left w:val="nil"/>
              <w:bottom w:val="single" w:sz="4" w:space="0" w:color="auto"/>
              <w:right w:val="single" w:sz="4" w:space="0" w:color="auto"/>
            </w:tcBorders>
            <w:shd w:val="clear" w:color="000000" w:fill="FFFFFF"/>
            <w:noWrap/>
            <w:vAlign w:val="center"/>
            <w:hideMark/>
          </w:tcPr>
          <w:p w14:paraId="2571EF9B"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86%</w:t>
            </w:r>
          </w:p>
        </w:tc>
        <w:tc>
          <w:tcPr>
            <w:tcW w:w="1360" w:type="dxa"/>
            <w:tcBorders>
              <w:top w:val="nil"/>
              <w:left w:val="nil"/>
              <w:bottom w:val="single" w:sz="4" w:space="0" w:color="auto"/>
              <w:right w:val="single" w:sz="4" w:space="0" w:color="auto"/>
            </w:tcBorders>
            <w:shd w:val="clear" w:color="000000" w:fill="FFFFFF"/>
            <w:noWrap/>
            <w:vAlign w:val="center"/>
            <w:hideMark/>
          </w:tcPr>
          <w:p w14:paraId="1F01C535"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61%</w:t>
            </w:r>
          </w:p>
        </w:tc>
        <w:tc>
          <w:tcPr>
            <w:tcW w:w="1200" w:type="dxa"/>
            <w:tcBorders>
              <w:top w:val="nil"/>
              <w:left w:val="nil"/>
              <w:bottom w:val="single" w:sz="4" w:space="0" w:color="auto"/>
              <w:right w:val="single" w:sz="4" w:space="0" w:color="auto"/>
            </w:tcBorders>
            <w:shd w:val="clear" w:color="000000" w:fill="FFFFFF"/>
            <w:noWrap/>
            <w:vAlign w:val="center"/>
            <w:hideMark/>
          </w:tcPr>
          <w:p w14:paraId="21F74910"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102%</w:t>
            </w:r>
          </w:p>
        </w:tc>
        <w:tc>
          <w:tcPr>
            <w:tcW w:w="1340" w:type="dxa"/>
            <w:tcBorders>
              <w:top w:val="nil"/>
              <w:left w:val="nil"/>
              <w:bottom w:val="single" w:sz="4" w:space="0" w:color="auto"/>
              <w:right w:val="single" w:sz="4" w:space="0" w:color="auto"/>
            </w:tcBorders>
            <w:shd w:val="clear" w:color="000000" w:fill="FFFFFF"/>
            <w:noWrap/>
            <w:vAlign w:val="center"/>
            <w:hideMark/>
          </w:tcPr>
          <w:p w14:paraId="26BAB73E"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209%</w:t>
            </w:r>
          </w:p>
        </w:tc>
        <w:tc>
          <w:tcPr>
            <w:tcW w:w="1340" w:type="dxa"/>
            <w:tcBorders>
              <w:top w:val="nil"/>
              <w:left w:val="nil"/>
              <w:bottom w:val="single" w:sz="4" w:space="0" w:color="auto"/>
              <w:right w:val="single" w:sz="4" w:space="0" w:color="auto"/>
            </w:tcBorders>
            <w:shd w:val="clear" w:color="000000" w:fill="FFFFFF"/>
            <w:noWrap/>
            <w:vAlign w:val="center"/>
            <w:hideMark/>
          </w:tcPr>
          <w:p w14:paraId="6414837D"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77%</w:t>
            </w:r>
          </w:p>
        </w:tc>
        <w:tc>
          <w:tcPr>
            <w:tcW w:w="1200" w:type="dxa"/>
            <w:tcBorders>
              <w:top w:val="nil"/>
              <w:left w:val="nil"/>
              <w:bottom w:val="single" w:sz="4" w:space="0" w:color="auto"/>
              <w:right w:val="single" w:sz="4" w:space="0" w:color="auto"/>
            </w:tcBorders>
            <w:shd w:val="clear" w:color="000000" w:fill="FFFFFF"/>
            <w:noWrap/>
            <w:vAlign w:val="center"/>
            <w:hideMark/>
          </w:tcPr>
          <w:p w14:paraId="02053492"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97%</w:t>
            </w:r>
          </w:p>
        </w:tc>
      </w:tr>
      <w:tr w:rsidR="007E572E" w:rsidRPr="00810C74" w14:paraId="2625381B" w14:textId="77777777" w:rsidTr="007E572E">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51D774FD"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48</w:t>
            </w:r>
          </w:p>
        </w:tc>
        <w:tc>
          <w:tcPr>
            <w:tcW w:w="1740" w:type="dxa"/>
            <w:tcBorders>
              <w:top w:val="nil"/>
              <w:left w:val="nil"/>
              <w:bottom w:val="single" w:sz="4" w:space="0" w:color="auto"/>
              <w:right w:val="single" w:sz="4" w:space="0" w:color="auto"/>
            </w:tcBorders>
            <w:shd w:val="clear" w:color="000000" w:fill="FFFFFF"/>
            <w:noWrap/>
            <w:vAlign w:val="center"/>
            <w:hideMark/>
          </w:tcPr>
          <w:p w14:paraId="51AFF65C"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94%</w:t>
            </w:r>
          </w:p>
        </w:tc>
        <w:tc>
          <w:tcPr>
            <w:tcW w:w="1200" w:type="dxa"/>
            <w:tcBorders>
              <w:top w:val="nil"/>
              <w:left w:val="nil"/>
              <w:bottom w:val="single" w:sz="4" w:space="0" w:color="auto"/>
              <w:right w:val="single" w:sz="4" w:space="0" w:color="auto"/>
            </w:tcBorders>
            <w:shd w:val="clear" w:color="000000" w:fill="FFFFFF"/>
            <w:noWrap/>
            <w:vAlign w:val="center"/>
            <w:hideMark/>
          </w:tcPr>
          <w:p w14:paraId="668B0934"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140%</w:t>
            </w:r>
          </w:p>
        </w:tc>
        <w:tc>
          <w:tcPr>
            <w:tcW w:w="1360" w:type="dxa"/>
            <w:tcBorders>
              <w:top w:val="nil"/>
              <w:left w:val="nil"/>
              <w:bottom w:val="single" w:sz="4" w:space="0" w:color="auto"/>
              <w:right w:val="single" w:sz="4" w:space="0" w:color="auto"/>
            </w:tcBorders>
            <w:shd w:val="clear" w:color="000000" w:fill="FFFFFF"/>
            <w:noWrap/>
            <w:vAlign w:val="center"/>
            <w:hideMark/>
          </w:tcPr>
          <w:p w14:paraId="7EECEB4D"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63%</w:t>
            </w:r>
          </w:p>
        </w:tc>
        <w:tc>
          <w:tcPr>
            <w:tcW w:w="1200" w:type="dxa"/>
            <w:tcBorders>
              <w:top w:val="nil"/>
              <w:left w:val="nil"/>
              <w:bottom w:val="single" w:sz="4" w:space="0" w:color="auto"/>
              <w:right w:val="single" w:sz="4" w:space="0" w:color="auto"/>
            </w:tcBorders>
            <w:shd w:val="clear" w:color="000000" w:fill="FFFFFF"/>
            <w:noWrap/>
            <w:vAlign w:val="center"/>
            <w:hideMark/>
          </w:tcPr>
          <w:p w14:paraId="620BD9E3"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105%</w:t>
            </w:r>
          </w:p>
        </w:tc>
        <w:tc>
          <w:tcPr>
            <w:tcW w:w="1340" w:type="dxa"/>
            <w:tcBorders>
              <w:top w:val="nil"/>
              <w:left w:val="nil"/>
              <w:bottom w:val="single" w:sz="4" w:space="0" w:color="auto"/>
              <w:right w:val="single" w:sz="4" w:space="0" w:color="auto"/>
            </w:tcBorders>
            <w:shd w:val="clear" w:color="000000" w:fill="FFFFFF"/>
            <w:noWrap/>
            <w:vAlign w:val="center"/>
            <w:hideMark/>
          </w:tcPr>
          <w:p w14:paraId="7BB2CF79"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251%</w:t>
            </w:r>
          </w:p>
        </w:tc>
        <w:tc>
          <w:tcPr>
            <w:tcW w:w="1340" w:type="dxa"/>
            <w:tcBorders>
              <w:top w:val="nil"/>
              <w:left w:val="nil"/>
              <w:bottom w:val="single" w:sz="4" w:space="0" w:color="auto"/>
              <w:right w:val="single" w:sz="4" w:space="0" w:color="auto"/>
            </w:tcBorders>
            <w:shd w:val="clear" w:color="000000" w:fill="FFFFFF"/>
            <w:noWrap/>
            <w:vAlign w:val="center"/>
            <w:hideMark/>
          </w:tcPr>
          <w:p w14:paraId="15CE5862"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93%</w:t>
            </w:r>
          </w:p>
        </w:tc>
        <w:tc>
          <w:tcPr>
            <w:tcW w:w="1200" w:type="dxa"/>
            <w:tcBorders>
              <w:top w:val="nil"/>
              <w:left w:val="nil"/>
              <w:bottom w:val="single" w:sz="4" w:space="0" w:color="auto"/>
              <w:right w:val="single" w:sz="4" w:space="0" w:color="auto"/>
            </w:tcBorders>
            <w:shd w:val="clear" w:color="000000" w:fill="FFFFFF"/>
            <w:noWrap/>
            <w:vAlign w:val="center"/>
            <w:hideMark/>
          </w:tcPr>
          <w:p w14:paraId="28217228"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109%</w:t>
            </w:r>
          </w:p>
        </w:tc>
      </w:tr>
      <w:tr w:rsidR="007E572E" w:rsidRPr="00810C74" w14:paraId="056F97CE" w14:textId="77777777" w:rsidTr="007E572E">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7CE639E6"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49</w:t>
            </w:r>
          </w:p>
        </w:tc>
        <w:tc>
          <w:tcPr>
            <w:tcW w:w="1740" w:type="dxa"/>
            <w:tcBorders>
              <w:top w:val="nil"/>
              <w:left w:val="nil"/>
              <w:bottom w:val="single" w:sz="4" w:space="0" w:color="auto"/>
              <w:right w:val="single" w:sz="4" w:space="0" w:color="auto"/>
            </w:tcBorders>
            <w:shd w:val="clear" w:color="000000" w:fill="FFFFFF"/>
            <w:noWrap/>
            <w:vAlign w:val="center"/>
            <w:hideMark/>
          </w:tcPr>
          <w:p w14:paraId="27482172"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109%</w:t>
            </w:r>
          </w:p>
        </w:tc>
        <w:tc>
          <w:tcPr>
            <w:tcW w:w="1200" w:type="dxa"/>
            <w:tcBorders>
              <w:top w:val="nil"/>
              <w:left w:val="nil"/>
              <w:bottom w:val="single" w:sz="4" w:space="0" w:color="auto"/>
              <w:right w:val="single" w:sz="4" w:space="0" w:color="auto"/>
            </w:tcBorders>
            <w:shd w:val="clear" w:color="000000" w:fill="FFFFFF"/>
            <w:noWrap/>
            <w:vAlign w:val="center"/>
            <w:hideMark/>
          </w:tcPr>
          <w:p w14:paraId="1537D3AE"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102%</w:t>
            </w:r>
          </w:p>
        </w:tc>
        <w:tc>
          <w:tcPr>
            <w:tcW w:w="1360" w:type="dxa"/>
            <w:tcBorders>
              <w:top w:val="nil"/>
              <w:left w:val="nil"/>
              <w:bottom w:val="single" w:sz="4" w:space="0" w:color="auto"/>
              <w:right w:val="single" w:sz="4" w:space="0" w:color="auto"/>
            </w:tcBorders>
            <w:shd w:val="clear" w:color="000000" w:fill="FFFFFF"/>
            <w:noWrap/>
            <w:vAlign w:val="center"/>
            <w:hideMark/>
          </w:tcPr>
          <w:p w14:paraId="19C075B5"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52%</w:t>
            </w:r>
          </w:p>
        </w:tc>
        <w:tc>
          <w:tcPr>
            <w:tcW w:w="1200" w:type="dxa"/>
            <w:tcBorders>
              <w:top w:val="nil"/>
              <w:left w:val="nil"/>
              <w:bottom w:val="single" w:sz="4" w:space="0" w:color="auto"/>
              <w:right w:val="single" w:sz="4" w:space="0" w:color="auto"/>
            </w:tcBorders>
            <w:shd w:val="clear" w:color="000000" w:fill="FFFFFF"/>
            <w:noWrap/>
            <w:vAlign w:val="center"/>
            <w:hideMark/>
          </w:tcPr>
          <w:p w14:paraId="07705CC6"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95%</w:t>
            </w:r>
          </w:p>
        </w:tc>
        <w:tc>
          <w:tcPr>
            <w:tcW w:w="1340" w:type="dxa"/>
            <w:tcBorders>
              <w:top w:val="nil"/>
              <w:left w:val="nil"/>
              <w:bottom w:val="single" w:sz="4" w:space="0" w:color="auto"/>
              <w:right w:val="single" w:sz="4" w:space="0" w:color="auto"/>
            </w:tcBorders>
            <w:shd w:val="clear" w:color="000000" w:fill="FFFFFF"/>
            <w:noWrap/>
            <w:vAlign w:val="center"/>
            <w:hideMark/>
          </w:tcPr>
          <w:p w14:paraId="7CA3DE5C"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278%</w:t>
            </w:r>
          </w:p>
        </w:tc>
        <w:tc>
          <w:tcPr>
            <w:tcW w:w="1340" w:type="dxa"/>
            <w:tcBorders>
              <w:top w:val="nil"/>
              <w:left w:val="nil"/>
              <w:bottom w:val="single" w:sz="4" w:space="0" w:color="auto"/>
              <w:right w:val="single" w:sz="4" w:space="0" w:color="auto"/>
            </w:tcBorders>
            <w:shd w:val="clear" w:color="000000" w:fill="FFFFFF"/>
            <w:noWrap/>
            <w:vAlign w:val="center"/>
            <w:hideMark/>
          </w:tcPr>
          <w:p w14:paraId="359665BC"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101%</w:t>
            </w:r>
          </w:p>
        </w:tc>
        <w:tc>
          <w:tcPr>
            <w:tcW w:w="1200" w:type="dxa"/>
            <w:tcBorders>
              <w:top w:val="nil"/>
              <w:left w:val="nil"/>
              <w:bottom w:val="single" w:sz="4" w:space="0" w:color="auto"/>
              <w:right w:val="single" w:sz="4" w:space="0" w:color="auto"/>
            </w:tcBorders>
            <w:shd w:val="clear" w:color="000000" w:fill="FFFFFF"/>
            <w:noWrap/>
            <w:vAlign w:val="center"/>
            <w:hideMark/>
          </w:tcPr>
          <w:p w14:paraId="65C9AFF1" w14:textId="77777777" w:rsidR="007E572E" w:rsidRPr="00810C74" w:rsidRDefault="007E572E" w:rsidP="00985591">
            <w:pPr>
              <w:spacing w:line="276" w:lineRule="auto"/>
              <w:jc w:val="center"/>
              <w:rPr>
                <w:rFonts w:ascii="Book Antiqua" w:hAnsi="Book Antiqua" w:cs="Calibri"/>
                <w:color w:val="000000"/>
                <w:sz w:val="16"/>
                <w:szCs w:val="16"/>
                <w:lang w:eastAsia="es-CR"/>
              </w:rPr>
            </w:pPr>
            <w:r w:rsidRPr="00810C74">
              <w:rPr>
                <w:rFonts w:ascii="Book Antiqua" w:hAnsi="Book Antiqua" w:cs="Calibri"/>
                <w:color w:val="000000"/>
                <w:sz w:val="16"/>
                <w:szCs w:val="16"/>
                <w:lang w:eastAsia="es-CR"/>
              </w:rPr>
              <w:t>115%</w:t>
            </w:r>
          </w:p>
        </w:tc>
      </w:tr>
      <w:tr w:rsidR="007E572E" w:rsidRPr="00810C74" w14:paraId="270890CF" w14:textId="77777777" w:rsidTr="007E572E">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251F78DA" w14:textId="77777777" w:rsidR="007E572E" w:rsidRPr="00810C74" w:rsidRDefault="007E572E" w:rsidP="00985591">
            <w:pPr>
              <w:spacing w:line="276" w:lineRule="auto"/>
              <w:jc w:val="center"/>
              <w:rPr>
                <w:rFonts w:ascii="Book Antiqua" w:hAnsi="Book Antiqua" w:cs="Calibri"/>
                <w:b/>
                <w:bCs/>
                <w:color w:val="000000"/>
                <w:sz w:val="16"/>
                <w:szCs w:val="16"/>
                <w:lang w:eastAsia="es-CR"/>
              </w:rPr>
            </w:pPr>
            <w:r w:rsidRPr="00810C74">
              <w:rPr>
                <w:rFonts w:ascii="Book Antiqua" w:hAnsi="Book Antiqua" w:cs="Calibri"/>
                <w:b/>
                <w:bCs/>
                <w:color w:val="000000"/>
                <w:sz w:val="16"/>
                <w:szCs w:val="16"/>
                <w:lang w:eastAsia="es-CR"/>
              </w:rPr>
              <w:t>Promedio</w:t>
            </w:r>
          </w:p>
        </w:tc>
        <w:tc>
          <w:tcPr>
            <w:tcW w:w="1740" w:type="dxa"/>
            <w:tcBorders>
              <w:top w:val="nil"/>
              <w:left w:val="nil"/>
              <w:bottom w:val="single" w:sz="4" w:space="0" w:color="auto"/>
              <w:right w:val="single" w:sz="4" w:space="0" w:color="auto"/>
            </w:tcBorders>
            <w:shd w:val="clear" w:color="000000" w:fill="FFFFFF"/>
            <w:noWrap/>
            <w:vAlign w:val="center"/>
            <w:hideMark/>
          </w:tcPr>
          <w:p w14:paraId="436C13D1" w14:textId="77777777" w:rsidR="007E572E" w:rsidRPr="00810C74" w:rsidRDefault="007E572E" w:rsidP="00985591">
            <w:pPr>
              <w:spacing w:line="276" w:lineRule="auto"/>
              <w:jc w:val="center"/>
              <w:rPr>
                <w:rFonts w:ascii="Book Antiqua" w:hAnsi="Book Antiqua" w:cs="Calibri"/>
                <w:b/>
                <w:bCs/>
                <w:color w:val="000000"/>
                <w:sz w:val="16"/>
                <w:szCs w:val="16"/>
                <w:lang w:eastAsia="es-CR"/>
              </w:rPr>
            </w:pPr>
            <w:r w:rsidRPr="00810C74">
              <w:rPr>
                <w:rFonts w:ascii="Book Antiqua" w:hAnsi="Book Antiqua" w:cs="Calibri"/>
                <w:b/>
                <w:bCs/>
                <w:color w:val="000000"/>
                <w:sz w:val="16"/>
                <w:szCs w:val="16"/>
                <w:lang w:eastAsia="es-CR"/>
              </w:rPr>
              <w:t>86%</w:t>
            </w:r>
          </w:p>
        </w:tc>
        <w:tc>
          <w:tcPr>
            <w:tcW w:w="1200" w:type="dxa"/>
            <w:tcBorders>
              <w:top w:val="nil"/>
              <w:left w:val="nil"/>
              <w:bottom w:val="single" w:sz="4" w:space="0" w:color="auto"/>
              <w:right w:val="single" w:sz="4" w:space="0" w:color="auto"/>
            </w:tcBorders>
            <w:shd w:val="clear" w:color="000000" w:fill="FFFFFF"/>
            <w:noWrap/>
            <w:vAlign w:val="center"/>
            <w:hideMark/>
          </w:tcPr>
          <w:p w14:paraId="244123DA" w14:textId="77777777" w:rsidR="007E572E" w:rsidRPr="00810C74" w:rsidRDefault="007E572E" w:rsidP="00985591">
            <w:pPr>
              <w:spacing w:line="276" w:lineRule="auto"/>
              <w:jc w:val="center"/>
              <w:rPr>
                <w:rFonts w:ascii="Book Antiqua" w:hAnsi="Book Antiqua" w:cs="Calibri"/>
                <w:b/>
                <w:bCs/>
                <w:color w:val="000000"/>
                <w:sz w:val="16"/>
                <w:szCs w:val="16"/>
                <w:lang w:eastAsia="es-CR"/>
              </w:rPr>
            </w:pPr>
            <w:r w:rsidRPr="00810C74">
              <w:rPr>
                <w:rFonts w:ascii="Book Antiqua" w:hAnsi="Book Antiqua" w:cs="Calibri"/>
                <w:b/>
                <w:bCs/>
                <w:color w:val="000000"/>
                <w:sz w:val="16"/>
                <w:szCs w:val="16"/>
                <w:lang w:eastAsia="es-CR"/>
              </w:rPr>
              <w:t>103%</w:t>
            </w:r>
          </w:p>
        </w:tc>
        <w:tc>
          <w:tcPr>
            <w:tcW w:w="1360" w:type="dxa"/>
            <w:tcBorders>
              <w:top w:val="nil"/>
              <w:left w:val="nil"/>
              <w:bottom w:val="single" w:sz="4" w:space="0" w:color="auto"/>
              <w:right w:val="single" w:sz="4" w:space="0" w:color="auto"/>
            </w:tcBorders>
            <w:shd w:val="clear" w:color="auto" w:fill="auto"/>
            <w:noWrap/>
            <w:vAlign w:val="center"/>
            <w:hideMark/>
          </w:tcPr>
          <w:p w14:paraId="72091D63" w14:textId="77777777" w:rsidR="007E572E" w:rsidRPr="00810C74" w:rsidRDefault="007E572E" w:rsidP="00985591">
            <w:pPr>
              <w:spacing w:line="276" w:lineRule="auto"/>
              <w:jc w:val="center"/>
              <w:rPr>
                <w:rFonts w:ascii="Book Antiqua" w:hAnsi="Book Antiqua" w:cs="Calibri"/>
                <w:b/>
                <w:bCs/>
                <w:color w:val="000000"/>
                <w:sz w:val="16"/>
                <w:szCs w:val="16"/>
                <w:lang w:eastAsia="es-CR"/>
              </w:rPr>
            </w:pPr>
            <w:r w:rsidRPr="00810C74">
              <w:rPr>
                <w:rFonts w:ascii="Book Antiqua" w:hAnsi="Book Antiqua" w:cs="Calibri"/>
                <w:b/>
                <w:bCs/>
                <w:color w:val="000000"/>
                <w:sz w:val="16"/>
                <w:szCs w:val="16"/>
                <w:lang w:eastAsia="es-CR"/>
              </w:rPr>
              <w:t>53%</w:t>
            </w:r>
          </w:p>
        </w:tc>
        <w:tc>
          <w:tcPr>
            <w:tcW w:w="1200" w:type="dxa"/>
            <w:tcBorders>
              <w:top w:val="nil"/>
              <w:left w:val="nil"/>
              <w:bottom w:val="single" w:sz="4" w:space="0" w:color="auto"/>
              <w:right w:val="single" w:sz="4" w:space="0" w:color="auto"/>
            </w:tcBorders>
            <w:shd w:val="clear" w:color="000000" w:fill="FFFFFF"/>
            <w:noWrap/>
            <w:vAlign w:val="center"/>
            <w:hideMark/>
          </w:tcPr>
          <w:p w14:paraId="62B94BD5" w14:textId="77777777" w:rsidR="007E572E" w:rsidRPr="00810C74" w:rsidRDefault="007E572E" w:rsidP="00985591">
            <w:pPr>
              <w:spacing w:line="276" w:lineRule="auto"/>
              <w:jc w:val="center"/>
              <w:rPr>
                <w:rFonts w:ascii="Book Antiqua" w:hAnsi="Book Antiqua" w:cs="Calibri"/>
                <w:b/>
                <w:bCs/>
                <w:color w:val="000000"/>
                <w:sz w:val="16"/>
                <w:szCs w:val="16"/>
                <w:lang w:eastAsia="es-CR"/>
              </w:rPr>
            </w:pPr>
            <w:r w:rsidRPr="00810C74">
              <w:rPr>
                <w:rFonts w:ascii="Book Antiqua" w:hAnsi="Book Antiqua" w:cs="Calibri"/>
                <w:b/>
                <w:bCs/>
                <w:color w:val="000000"/>
                <w:sz w:val="16"/>
                <w:szCs w:val="16"/>
                <w:lang w:eastAsia="es-CR"/>
              </w:rPr>
              <w:t>109%</w:t>
            </w:r>
          </w:p>
        </w:tc>
        <w:tc>
          <w:tcPr>
            <w:tcW w:w="1340" w:type="dxa"/>
            <w:tcBorders>
              <w:top w:val="nil"/>
              <w:left w:val="nil"/>
              <w:bottom w:val="single" w:sz="4" w:space="0" w:color="auto"/>
              <w:right w:val="single" w:sz="4" w:space="0" w:color="auto"/>
            </w:tcBorders>
            <w:shd w:val="clear" w:color="000000" w:fill="FFFFFF"/>
            <w:noWrap/>
            <w:vAlign w:val="center"/>
            <w:hideMark/>
          </w:tcPr>
          <w:p w14:paraId="799F27BB" w14:textId="77777777" w:rsidR="007E572E" w:rsidRPr="00810C74" w:rsidRDefault="007E572E" w:rsidP="00985591">
            <w:pPr>
              <w:spacing w:line="276" w:lineRule="auto"/>
              <w:jc w:val="center"/>
              <w:rPr>
                <w:rFonts w:ascii="Book Antiqua" w:hAnsi="Book Antiqua" w:cs="Calibri"/>
                <w:b/>
                <w:bCs/>
                <w:color w:val="000000"/>
                <w:sz w:val="16"/>
                <w:szCs w:val="16"/>
                <w:lang w:eastAsia="es-CR"/>
              </w:rPr>
            </w:pPr>
            <w:r w:rsidRPr="00810C74">
              <w:rPr>
                <w:rFonts w:ascii="Book Antiqua" w:hAnsi="Book Antiqua" w:cs="Calibri"/>
                <w:b/>
                <w:bCs/>
                <w:color w:val="000000"/>
                <w:sz w:val="16"/>
                <w:szCs w:val="16"/>
                <w:lang w:eastAsia="es-CR"/>
              </w:rPr>
              <w:t>238%</w:t>
            </w:r>
          </w:p>
        </w:tc>
        <w:tc>
          <w:tcPr>
            <w:tcW w:w="1340" w:type="dxa"/>
            <w:tcBorders>
              <w:top w:val="nil"/>
              <w:left w:val="nil"/>
              <w:bottom w:val="single" w:sz="4" w:space="0" w:color="auto"/>
              <w:right w:val="single" w:sz="4" w:space="0" w:color="auto"/>
            </w:tcBorders>
            <w:shd w:val="clear" w:color="000000" w:fill="FFFFFF"/>
            <w:noWrap/>
            <w:vAlign w:val="center"/>
            <w:hideMark/>
          </w:tcPr>
          <w:p w14:paraId="69C42CB7" w14:textId="77777777" w:rsidR="007E572E" w:rsidRPr="00810C74" w:rsidRDefault="007E572E" w:rsidP="00985591">
            <w:pPr>
              <w:spacing w:line="276" w:lineRule="auto"/>
              <w:jc w:val="center"/>
              <w:rPr>
                <w:rFonts w:ascii="Book Antiqua" w:hAnsi="Book Antiqua" w:cs="Calibri"/>
                <w:b/>
                <w:bCs/>
                <w:color w:val="000000"/>
                <w:sz w:val="16"/>
                <w:szCs w:val="16"/>
                <w:lang w:eastAsia="es-CR"/>
              </w:rPr>
            </w:pPr>
            <w:r w:rsidRPr="00810C74">
              <w:rPr>
                <w:rFonts w:ascii="Book Antiqua" w:hAnsi="Book Antiqua" w:cs="Calibri"/>
                <w:b/>
                <w:bCs/>
                <w:color w:val="000000"/>
                <w:sz w:val="16"/>
                <w:szCs w:val="16"/>
                <w:lang w:eastAsia="es-CR"/>
              </w:rPr>
              <w:t>92%</w:t>
            </w:r>
          </w:p>
        </w:tc>
        <w:tc>
          <w:tcPr>
            <w:tcW w:w="1200" w:type="dxa"/>
            <w:tcBorders>
              <w:top w:val="nil"/>
              <w:left w:val="nil"/>
              <w:bottom w:val="single" w:sz="4" w:space="0" w:color="auto"/>
              <w:right w:val="single" w:sz="4" w:space="0" w:color="auto"/>
            </w:tcBorders>
            <w:shd w:val="clear" w:color="000000" w:fill="FFFFFF"/>
            <w:noWrap/>
            <w:vAlign w:val="center"/>
            <w:hideMark/>
          </w:tcPr>
          <w:p w14:paraId="25F44505" w14:textId="77777777" w:rsidR="007E572E" w:rsidRPr="00810C74" w:rsidRDefault="007E572E" w:rsidP="00985591">
            <w:pPr>
              <w:spacing w:line="276" w:lineRule="auto"/>
              <w:jc w:val="center"/>
              <w:rPr>
                <w:rFonts w:ascii="Book Antiqua" w:hAnsi="Book Antiqua" w:cs="Calibri"/>
                <w:b/>
                <w:bCs/>
                <w:color w:val="000000"/>
                <w:sz w:val="16"/>
                <w:szCs w:val="16"/>
                <w:lang w:eastAsia="es-CR"/>
              </w:rPr>
            </w:pPr>
            <w:r w:rsidRPr="00810C74">
              <w:rPr>
                <w:rFonts w:ascii="Book Antiqua" w:hAnsi="Book Antiqua" w:cs="Calibri"/>
                <w:b/>
                <w:bCs/>
                <w:color w:val="000000"/>
                <w:sz w:val="16"/>
                <w:szCs w:val="16"/>
                <w:lang w:eastAsia="es-CR"/>
              </w:rPr>
              <w:t>97%</w:t>
            </w:r>
          </w:p>
        </w:tc>
      </w:tr>
    </w:tbl>
    <w:p w14:paraId="38E81ADE" w14:textId="77777777" w:rsidR="00133AD1" w:rsidRPr="004F0E92" w:rsidRDefault="00133AD1" w:rsidP="00985591">
      <w:pPr>
        <w:spacing w:line="276" w:lineRule="auto"/>
        <w:jc w:val="right"/>
        <w:rPr>
          <w:rFonts w:ascii="Book Antiqua" w:hAnsi="Book Antiqua"/>
          <w:b/>
          <w:bCs/>
          <w:color w:val="000000" w:themeColor="text1"/>
          <w:sz w:val="20"/>
          <w:szCs w:val="20"/>
        </w:rPr>
      </w:pPr>
      <w:r w:rsidRPr="004F0E92">
        <w:rPr>
          <w:rFonts w:ascii="Book Antiqua" w:hAnsi="Book Antiqua"/>
          <w:b/>
          <w:bCs/>
          <w:color w:val="000000" w:themeColor="text1"/>
          <w:sz w:val="20"/>
          <w:szCs w:val="20"/>
        </w:rPr>
        <w:t xml:space="preserve">Fuente: </w:t>
      </w:r>
      <w:r w:rsidRPr="004F0E92">
        <w:rPr>
          <w:rFonts w:ascii="Book Antiqua" w:hAnsi="Book Antiqua"/>
          <w:color w:val="000000" w:themeColor="text1"/>
          <w:sz w:val="20"/>
          <w:szCs w:val="20"/>
        </w:rPr>
        <w:t>Elaboración propia a partir de datos suministrados por despachos según circular 61-2020</w:t>
      </w:r>
    </w:p>
    <w:p w14:paraId="30DB24F7" w14:textId="77777777" w:rsidR="007E572E" w:rsidRDefault="007E572E" w:rsidP="00985591">
      <w:pPr>
        <w:spacing w:line="276" w:lineRule="auto"/>
        <w:jc w:val="both"/>
        <w:rPr>
          <w:rFonts w:ascii="Book Antiqua" w:hAnsi="Book Antiqua"/>
        </w:rPr>
      </w:pPr>
      <w:bookmarkStart w:id="21" w:name="_Toc42854673"/>
    </w:p>
    <w:p w14:paraId="34630360" w14:textId="71E88776" w:rsidR="007E572E" w:rsidRDefault="007E572E" w:rsidP="00985591">
      <w:pPr>
        <w:spacing w:line="276" w:lineRule="auto"/>
        <w:jc w:val="both"/>
        <w:rPr>
          <w:rFonts w:ascii="Book Antiqua" w:hAnsi="Book Antiqua"/>
        </w:rPr>
      </w:pPr>
      <w:r>
        <w:rPr>
          <w:rFonts w:ascii="Book Antiqua" w:hAnsi="Book Antiqua"/>
        </w:rPr>
        <w:t>A partir de mayo de 2021, la Corte Plena en</w:t>
      </w:r>
      <w:r w:rsidRPr="00DC0B65">
        <w:rPr>
          <w:rFonts w:ascii="Book Antiqua" w:hAnsi="Book Antiqua"/>
        </w:rPr>
        <w:t xml:space="preserve"> sesión N°12-2021 del 22 de marzo de 2021</w:t>
      </w:r>
      <w:r>
        <w:rPr>
          <w:rFonts w:ascii="Book Antiqua" w:hAnsi="Book Antiqua"/>
        </w:rPr>
        <w:t>, aprobó</w:t>
      </w:r>
      <w:r w:rsidR="00506FB2">
        <w:rPr>
          <w:rFonts w:ascii="Book Antiqua" w:hAnsi="Book Antiqua"/>
        </w:rPr>
        <w:t xml:space="preserve"> </w:t>
      </w:r>
      <w:r>
        <w:rPr>
          <w:rFonts w:ascii="Book Antiqua" w:hAnsi="Book Antiqua"/>
        </w:rPr>
        <w:t xml:space="preserve">que los Juzgados Penales, Tribunales Penales, Secciones de Flagrancia y Juzgados de Ejecución de la Pena, presentaran los informes mensualmente mediante la matriz de Indicadores de Gestión. Por lo que, en el </w:t>
      </w:r>
      <w:r w:rsidRPr="009123AD">
        <w:rPr>
          <w:rFonts w:ascii="Book Antiqua" w:hAnsi="Book Antiqua"/>
          <w:b/>
          <w:bCs/>
        </w:rPr>
        <w:t xml:space="preserve">cuadro </w:t>
      </w:r>
      <w:r>
        <w:rPr>
          <w:rFonts w:ascii="Book Antiqua" w:hAnsi="Book Antiqua"/>
          <w:b/>
          <w:bCs/>
        </w:rPr>
        <w:t>6</w:t>
      </w:r>
      <w:r w:rsidR="0052233C">
        <w:rPr>
          <w:rFonts w:ascii="Book Antiqua" w:hAnsi="Book Antiqua"/>
          <w:b/>
          <w:bCs/>
        </w:rPr>
        <w:t>4</w:t>
      </w:r>
      <w:r>
        <w:rPr>
          <w:rFonts w:ascii="Book Antiqua" w:hAnsi="Book Antiqua"/>
          <w:b/>
          <w:bCs/>
        </w:rPr>
        <w:t>,</w:t>
      </w:r>
      <w:r>
        <w:rPr>
          <w:rFonts w:ascii="Book Antiqua" w:hAnsi="Book Antiqua"/>
        </w:rPr>
        <w:t xml:space="preserve"> se detalla los porcentajes de cumplimento de forma mensual obtenidos tanto en el informe de labores como en la matriz de indicadores respectiva.</w:t>
      </w:r>
    </w:p>
    <w:p w14:paraId="37E9EEE4" w14:textId="29D42BE4" w:rsidR="00E517EC" w:rsidRDefault="00E517EC" w:rsidP="00985591">
      <w:pPr>
        <w:spacing w:line="276" w:lineRule="auto"/>
        <w:jc w:val="both"/>
        <w:rPr>
          <w:rFonts w:ascii="Book Antiqua" w:hAnsi="Book Antiqua"/>
        </w:rPr>
      </w:pPr>
    </w:p>
    <w:p w14:paraId="4BA4961B" w14:textId="77777777" w:rsidR="00AC4A95" w:rsidRPr="007272AB" w:rsidRDefault="00AC4A95" w:rsidP="00985591">
      <w:pPr>
        <w:spacing w:line="276" w:lineRule="auto"/>
        <w:jc w:val="both"/>
        <w:rPr>
          <w:rFonts w:ascii="Book Antiqua" w:hAnsi="Book Antiqua"/>
        </w:rPr>
      </w:pPr>
    </w:p>
    <w:p w14:paraId="558553A3" w14:textId="551ED0DF" w:rsidR="007E572E" w:rsidRPr="00582659" w:rsidRDefault="007E572E" w:rsidP="00985591">
      <w:pPr>
        <w:spacing w:line="276" w:lineRule="auto"/>
        <w:jc w:val="center"/>
        <w:rPr>
          <w:rFonts w:ascii="Book Antiqua" w:hAnsi="Book Antiqua"/>
          <w:b/>
          <w:color w:val="000000" w:themeColor="text1"/>
        </w:rPr>
      </w:pPr>
      <w:r w:rsidRPr="00582659">
        <w:rPr>
          <w:rFonts w:ascii="Book Antiqua" w:hAnsi="Book Antiqua"/>
          <w:b/>
          <w:color w:val="000000" w:themeColor="text1"/>
        </w:rPr>
        <w:t xml:space="preserve">Cuadro </w:t>
      </w:r>
      <w:r w:rsidR="00BE69E7">
        <w:rPr>
          <w:rFonts w:ascii="Book Antiqua" w:hAnsi="Book Antiqua"/>
          <w:b/>
          <w:color w:val="000000" w:themeColor="text1"/>
        </w:rPr>
        <w:t>6</w:t>
      </w:r>
      <w:r w:rsidR="0052233C">
        <w:rPr>
          <w:rFonts w:ascii="Book Antiqua" w:hAnsi="Book Antiqua"/>
          <w:b/>
          <w:color w:val="000000" w:themeColor="text1"/>
        </w:rPr>
        <w:t>4</w:t>
      </w:r>
    </w:p>
    <w:p w14:paraId="76E68547" w14:textId="77777777" w:rsidR="007E572E" w:rsidRPr="00582659" w:rsidRDefault="007E572E" w:rsidP="00985591">
      <w:pPr>
        <w:spacing w:line="276" w:lineRule="auto"/>
        <w:jc w:val="center"/>
        <w:rPr>
          <w:rFonts w:ascii="Book Antiqua" w:hAnsi="Book Antiqua"/>
          <w:bCs/>
          <w:color w:val="000000" w:themeColor="text1"/>
        </w:rPr>
      </w:pPr>
      <w:r w:rsidRPr="00582659">
        <w:rPr>
          <w:rFonts w:ascii="Book Antiqua" w:hAnsi="Book Antiqua"/>
          <w:bCs/>
          <w:color w:val="000000" w:themeColor="text1"/>
        </w:rPr>
        <w:t xml:space="preserve">Cumplimiento del parámetro de producción teórico de </w:t>
      </w:r>
    </w:p>
    <w:p w14:paraId="4B12D27A" w14:textId="1A3FE32A" w:rsidR="0083752C" w:rsidRDefault="007E572E" w:rsidP="0052233C">
      <w:pPr>
        <w:spacing w:line="276" w:lineRule="auto"/>
        <w:jc w:val="center"/>
        <w:rPr>
          <w:rFonts w:ascii="Book Antiqua" w:hAnsi="Book Antiqua"/>
        </w:rPr>
      </w:pPr>
      <w:r w:rsidRPr="00582659">
        <w:rPr>
          <w:rFonts w:ascii="Book Antiqua" w:hAnsi="Book Antiqua"/>
          <w:bCs/>
          <w:color w:val="000000" w:themeColor="text1"/>
        </w:rPr>
        <w:t>oficinas de materia</w:t>
      </w:r>
      <w:r>
        <w:rPr>
          <w:rFonts w:ascii="Book Antiqua" w:hAnsi="Book Antiqua"/>
          <w:bCs/>
          <w:color w:val="000000" w:themeColor="text1"/>
        </w:rPr>
        <w:t xml:space="preserve"> penal</w:t>
      </w:r>
      <w:r w:rsidRPr="00582659">
        <w:rPr>
          <w:rFonts w:ascii="Book Antiqua" w:hAnsi="Book Antiqua"/>
          <w:bCs/>
          <w:color w:val="000000" w:themeColor="text1"/>
        </w:rPr>
        <w:t xml:space="preserve">, </w:t>
      </w:r>
      <w:r w:rsidRPr="00582659">
        <w:rPr>
          <w:rFonts w:ascii="Book Antiqua" w:hAnsi="Book Antiqua"/>
        </w:rPr>
        <w:t xml:space="preserve">sesión </w:t>
      </w:r>
      <w:r>
        <w:rPr>
          <w:rFonts w:ascii="Book Antiqua" w:hAnsi="Book Antiqua"/>
        </w:rPr>
        <w:t xml:space="preserve">de Corte Plena </w:t>
      </w:r>
      <w:r w:rsidRPr="00582659">
        <w:rPr>
          <w:rFonts w:ascii="Book Antiqua" w:hAnsi="Book Antiqua"/>
        </w:rPr>
        <w:t>N°12-2021</w:t>
      </w:r>
    </w:p>
    <w:tbl>
      <w:tblPr>
        <w:tblW w:w="11383" w:type="dxa"/>
        <w:jc w:val="center"/>
        <w:tblCellMar>
          <w:left w:w="70" w:type="dxa"/>
          <w:right w:w="70" w:type="dxa"/>
        </w:tblCellMar>
        <w:tblLook w:val="04A0" w:firstRow="1" w:lastRow="0" w:firstColumn="1" w:lastColumn="0" w:noHBand="0" w:noVBand="1"/>
      </w:tblPr>
      <w:tblGrid>
        <w:gridCol w:w="1063"/>
        <w:gridCol w:w="1740"/>
        <w:gridCol w:w="1200"/>
        <w:gridCol w:w="2300"/>
        <w:gridCol w:w="1200"/>
        <w:gridCol w:w="1340"/>
        <w:gridCol w:w="1340"/>
        <w:gridCol w:w="1200"/>
      </w:tblGrid>
      <w:tr w:rsidR="0083752C" w:rsidRPr="0083752C" w14:paraId="7A19D210" w14:textId="77777777" w:rsidTr="0083752C">
        <w:trPr>
          <w:trHeight w:val="520"/>
          <w:jc w:val="center"/>
        </w:trPr>
        <w:tc>
          <w:tcPr>
            <w:tcW w:w="1063" w:type="dxa"/>
            <w:vMerge w:val="restart"/>
            <w:tcBorders>
              <w:top w:val="single" w:sz="4" w:space="0" w:color="auto"/>
              <w:left w:val="single" w:sz="4" w:space="0" w:color="auto"/>
              <w:bottom w:val="single" w:sz="4" w:space="0" w:color="auto"/>
              <w:right w:val="single" w:sz="4" w:space="0" w:color="auto"/>
            </w:tcBorders>
            <w:shd w:val="clear" w:color="000000" w:fill="305496"/>
            <w:vAlign w:val="center"/>
            <w:hideMark/>
          </w:tcPr>
          <w:p w14:paraId="2B47CFED" w14:textId="77777777" w:rsidR="0083752C" w:rsidRPr="0083752C" w:rsidRDefault="0083752C" w:rsidP="0083752C">
            <w:pPr>
              <w:jc w:val="center"/>
              <w:rPr>
                <w:rFonts w:ascii="Book Antiqua" w:hAnsi="Book Antiqua" w:cs="Calibri"/>
                <w:b/>
                <w:bCs/>
                <w:color w:val="FFFFFF"/>
                <w:sz w:val="16"/>
                <w:szCs w:val="16"/>
                <w:lang w:eastAsia="es-CR"/>
              </w:rPr>
            </w:pPr>
            <w:r w:rsidRPr="0083752C">
              <w:rPr>
                <w:rFonts w:ascii="Book Antiqua" w:hAnsi="Book Antiqua" w:cs="Calibri"/>
                <w:b/>
                <w:bCs/>
                <w:color w:val="FFFFFF"/>
                <w:sz w:val="16"/>
                <w:szCs w:val="16"/>
                <w:lang w:eastAsia="es-CR"/>
              </w:rPr>
              <w:t>Mes</w:t>
            </w:r>
          </w:p>
        </w:tc>
        <w:tc>
          <w:tcPr>
            <w:tcW w:w="1740" w:type="dxa"/>
            <w:tcBorders>
              <w:top w:val="single" w:sz="4" w:space="0" w:color="auto"/>
              <w:left w:val="nil"/>
              <w:bottom w:val="single" w:sz="4" w:space="0" w:color="auto"/>
              <w:right w:val="single" w:sz="4" w:space="0" w:color="auto"/>
            </w:tcBorders>
            <w:shd w:val="clear" w:color="000000" w:fill="305496"/>
            <w:vAlign w:val="center"/>
            <w:hideMark/>
          </w:tcPr>
          <w:p w14:paraId="7D008AF0" w14:textId="77777777" w:rsidR="0083752C" w:rsidRPr="0083752C" w:rsidRDefault="0083752C" w:rsidP="0083752C">
            <w:pPr>
              <w:jc w:val="center"/>
              <w:rPr>
                <w:rFonts w:ascii="Book Antiqua" w:hAnsi="Book Antiqua" w:cs="Calibri"/>
                <w:b/>
                <w:bCs/>
                <w:color w:val="FFFFFF"/>
                <w:sz w:val="16"/>
                <w:szCs w:val="16"/>
                <w:lang w:eastAsia="es-CR"/>
              </w:rPr>
            </w:pPr>
            <w:r w:rsidRPr="0083752C">
              <w:rPr>
                <w:rFonts w:ascii="Book Antiqua" w:hAnsi="Book Antiqua" w:cs="Calibri"/>
                <w:b/>
                <w:bCs/>
                <w:color w:val="FFFFFF"/>
                <w:sz w:val="16"/>
                <w:szCs w:val="16"/>
                <w:lang w:eastAsia="es-CR"/>
              </w:rPr>
              <w:t>Juzgados Penales</w:t>
            </w:r>
          </w:p>
        </w:tc>
        <w:tc>
          <w:tcPr>
            <w:tcW w:w="1200" w:type="dxa"/>
            <w:tcBorders>
              <w:top w:val="single" w:sz="4" w:space="0" w:color="auto"/>
              <w:left w:val="nil"/>
              <w:bottom w:val="single" w:sz="4" w:space="0" w:color="auto"/>
              <w:right w:val="single" w:sz="4" w:space="0" w:color="auto"/>
            </w:tcBorders>
            <w:shd w:val="clear" w:color="000000" w:fill="305496"/>
            <w:vAlign w:val="center"/>
            <w:hideMark/>
          </w:tcPr>
          <w:p w14:paraId="18DF2335" w14:textId="77777777" w:rsidR="0083752C" w:rsidRPr="0083752C" w:rsidRDefault="0083752C" w:rsidP="0083752C">
            <w:pPr>
              <w:jc w:val="center"/>
              <w:rPr>
                <w:rFonts w:ascii="Book Antiqua" w:hAnsi="Book Antiqua" w:cs="Calibri"/>
                <w:b/>
                <w:bCs/>
                <w:color w:val="FFFFFF"/>
                <w:sz w:val="16"/>
                <w:szCs w:val="16"/>
                <w:lang w:eastAsia="es-CR"/>
              </w:rPr>
            </w:pPr>
            <w:r w:rsidRPr="0083752C">
              <w:rPr>
                <w:rFonts w:ascii="Book Antiqua" w:hAnsi="Book Antiqua" w:cs="Calibri"/>
                <w:b/>
                <w:bCs/>
                <w:color w:val="FFFFFF"/>
                <w:sz w:val="16"/>
                <w:szCs w:val="16"/>
                <w:lang w:eastAsia="es-CR"/>
              </w:rPr>
              <w:t>Tribunales de Juicio</w:t>
            </w:r>
          </w:p>
        </w:tc>
        <w:tc>
          <w:tcPr>
            <w:tcW w:w="2300" w:type="dxa"/>
            <w:tcBorders>
              <w:top w:val="single" w:sz="4" w:space="0" w:color="auto"/>
              <w:left w:val="nil"/>
              <w:bottom w:val="single" w:sz="4" w:space="0" w:color="auto"/>
              <w:right w:val="single" w:sz="4" w:space="0" w:color="auto"/>
            </w:tcBorders>
            <w:shd w:val="clear" w:color="000000" w:fill="305496"/>
            <w:noWrap/>
            <w:vAlign w:val="center"/>
            <w:hideMark/>
          </w:tcPr>
          <w:p w14:paraId="43567235" w14:textId="77777777" w:rsidR="0083752C" w:rsidRPr="0083752C" w:rsidRDefault="0083752C" w:rsidP="0083752C">
            <w:pPr>
              <w:jc w:val="center"/>
              <w:rPr>
                <w:rFonts w:ascii="Book Antiqua" w:hAnsi="Book Antiqua" w:cs="Calibri"/>
                <w:b/>
                <w:bCs/>
                <w:color w:val="FFFFFF"/>
                <w:sz w:val="16"/>
                <w:szCs w:val="16"/>
                <w:lang w:eastAsia="es-CR"/>
              </w:rPr>
            </w:pPr>
            <w:r w:rsidRPr="0083752C">
              <w:rPr>
                <w:rFonts w:ascii="Book Antiqua" w:hAnsi="Book Antiqua" w:cs="Calibri"/>
                <w:b/>
                <w:bCs/>
                <w:color w:val="FFFFFF"/>
                <w:sz w:val="16"/>
                <w:szCs w:val="16"/>
                <w:lang w:eastAsia="es-CR"/>
              </w:rPr>
              <w:t>Flagrancia</w:t>
            </w:r>
          </w:p>
        </w:tc>
        <w:tc>
          <w:tcPr>
            <w:tcW w:w="2540" w:type="dxa"/>
            <w:gridSpan w:val="2"/>
            <w:tcBorders>
              <w:top w:val="single" w:sz="4" w:space="0" w:color="auto"/>
              <w:left w:val="nil"/>
              <w:bottom w:val="single" w:sz="4" w:space="0" w:color="auto"/>
              <w:right w:val="single" w:sz="4" w:space="0" w:color="auto"/>
            </w:tcBorders>
            <w:shd w:val="clear" w:color="000000" w:fill="305496"/>
            <w:noWrap/>
            <w:vAlign w:val="center"/>
            <w:hideMark/>
          </w:tcPr>
          <w:p w14:paraId="66683FCE" w14:textId="77777777" w:rsidR="0083752C" w:rsidRPr="0083752C" w:rsidRDefault="0083752C" w:rsidP="0083752C">
            <w:pPr>
              <w:jc w:val="center"/>
              <w:rPr>
                <w:rFonts w:ascii="Book Antiqua" w:hAnsi="Book Antiqua" w:cs="Calibri"/>
                <w:b/>
                <w:bCs/>
                <w:color w:val="FFFFFF"/>
                <w:sz w:val="16"/>
                <w:szCs w:val="16"/>
                <w:lang w:eastAsia="es-CR"/>
              </w:rPr>
            </w:pPr>
            <w:r w:rsidRPr="0083752C">
              <w:rPr>
                <w:rFonts w:ascii="Book Antiqua" w:hAnsi="Book Antiqua" w:cs="Calibri"/>
                <w:b/>
                <w:bCs/>
                <w:color w:val="FFFFFF"/>
                <w:sz w:val="16"/>
                <w:szCs w:val="16"/>
                <w:lang w:eastAsia="es-CR"/>
              </w:rPr>
              <w:t>Ejecución</w:t>
            </w:r>
          </w:p>
        </w:tc>
        <w:tc>
          <w:tcPr>
            <w:tcW w:w="1340" w:type="dxa"/>
            <w:tcBorders>
              <w:top w:val="single" w:sz="4" w:space="0" w:color="auto"/>
              <w:left w:val="nil"/>
              <w:bottom w:val="single" w:sz="4" w:space="0" w:color="auto"/>
              <w:right w:val="single" w:sz="4" w:space="0" w:color="auto"/>
            </w:tcBorders>
            <w:shd w:val="clear" w:color="000000" w:fill="305496"/>
            <w:noWrap/>
            <w:vAlign w:val="center"/>
            <w:hideMark/>
          </w:tcPr>
          <w:p w14:paraId="4864B8E6" w14:textId="77777777" w:rsidR="0083752C" w:rsidRPr="0083752C" w:rsidRDefault="0083752C" w:rsidP="0083752C">
            <w:pPr>
              <w:jc w:val="center"/>
              <w:rPr>
                <w:rFonts w:ascii="Book Antiqua" w:hAnsi="Book Antiqua" w:cs="Calibri"/>
                <w:b/>
                <w:bCs/>
                <w:color w:val="FFFFFF"/>
                <w:sz w:val="16"/>
                <w:szCs w:val="16"/>
                <w:lang w:eastAsia="es-CR"/>
              </w:rPr>
            </w:pPr>
            <w:r w:rsidRPr="0083752C">
              <w:rPr>
                <w:rFonts w:ascii="Book Antiqua" w:hAnsi="Book Antiqua" w:cs="Calibri"/>
                <w:b/>
                <w:bCs/>
                <w:color w:val="FFFFFF"/>
                <w:sz w:val="16"/>
                <w:szCs w:val="16"/>
                <w:lang w:eastAsia="es-CR"/>
              </w:rPr>
              <w:t>Apelación</w:t>
            </w:r>
          </w:p>
        </w:tc>
        <w:tc>
          <w:tcPr>
            <w:tcW w:w="1200" w:type="dxa"/>
            <w:tcBorders>
              <w:top w:val="single" w:sz="4" w:space="0" w:color="auto"/>
              <w:left w:val="nil"/>
              <w:bottom w:val="single" w:sz="4" w:space="0" w:color="auto"/>
              <w:right w:val="single" w:sz="4" w:space="0" w:color="auto"/>
            </w:tcBorders>
            <w:shd w:val="clear" w:color="000000" w:fill="305496"/>
            <w:noWrap/>
            <w:vAlign w:val="center"/>
            <w:hideMark/>
          </w:tcPr>
          <w:p w14:paraId="5B161B15" w14:textId="77777777" w:rsidR="0083752C" w:rsidRPr="0083752C" w:rsidRDefault="0083752C" w:rsidP="0083752C">
            <w:pPr>
              <w:jc w:val="center"/>
              <w:rPr>
                <w:rFonts w:ascii="Book Antiqua" w:hAnsi="Book Antiqua" w:cs="Calibri"/>
                <w:b/>
                <w:bCs/>
                <w:color w:val="FFFFFF"/>
                <w:sz w:val="16"/>
                <w:szCs w:val="16"/>
                <w:lang w:eastAsia="es-CR"/>
              </w:rPr>
            </w:pPr>
            <w:r w:rsidRPr="0083752C">
              <w:rPr>
                <w:rFonts w:ascii="Book Antiqua" w:hAnsi="Book Antiqua" w:cs="Calibri"/>
                <w:b/>
                <w:bCs/>
                <w:color w:val="FFFFFF"/>
                <w:sz w:val="16"/>
                <w:szCs w:val="16"/>
                <w:lang w:eastAsia="es-CR"/>
              </w:rPr>
              <w:t>Sala Tercera</w:t>
            </w:r>
          </w:p>
        </w:tc>
      </w:tr>
      <w:tr w:rsidR="0083752C" w:rsidRPr="0083752C" w14:paraId="5FCD1602" w14:textId="77777777" w:rsidTr="0083752C">
        <w:trPr>
          <w:trHeight w:val="1300"/>
          <w:jc w:val="center"/>
        </w:trPr>
        <w:tc>
          <w:tcPr>
            <w:tcW w:w="1063" w:type="dxa"/>
            <w:vMerge/>
            <w:tcBorders>
              <w:top w:val="single" w:sz="4" w:space="0" w:color="auto"/>
              <w:left w:val="single" w:sz="4" w:space="0" w:color="auto"/>
              <w:bottom w:val="single" w:sz="4" w:space="0" w:color="auto"/>
              <w:right w:val="single" w:sz="4" w:space="0" w:color="auto"/>
            </w:tcBorders>
            <w:vAlign w:val="center"/>
            <w:hideMark/>
          </w:tcPr>
          <w:p w14:paraId="4B9C9D0F" w14:textId="77777777" w:rsidR="0083752C" w:rsidRPr="0083752C" w:rsidRDefault="0083752C" w:rsidP="0083752C">
            <w:pPr>
              <w:rPr>
                <w:rFonts w:ascii="Book Antiqua" w:hAnsi="Book Antiqua" w:cs="Calibri"/>
                <w:b/>
                <w:bCs/>
                <w:color w:val="FFFFFF"/>
                <w:sz w:val="16"/>
                <w:szCs w:val="16"/>
                <w:lang w:eastAsia="es-CR"/>
              </w:rPr>
            </w:pPr>
          </w:p>
        </w:tc>
        <w:tc>
          <w:tcPr>
            <w:tcW w:w="1740" w:type="dxa"/>
            <w:tcBorders>
              <w:top w:val="nil"/>
              <w:left w:val="nil"/>
              <w:bottom w:val="single" w:sz="4" w:space="0" w:color="auto"/>
              <w:right w:val="single" w:sz="4" w:space="0" w:color="auto"/>
            </w:tcBorders>
            <w:shd w:val="clear" w:color="000000" w:fill="305496"/>
            <w:vAlign w:val="center"/>
            <w:hideMark/>
          </w:tcPr>
          <w:p w14:paraId="52421BFE" w14:textId="77777777" w:rsidR="0083752C" w:rsidRPr="0083752C" w:rsidRDefault="0083752C" w:rsidP="0083752C">
            <w:pPr>
              <w:jc w:val="center"/>
              <w:rPr>
                <w:rFonts w:ascii="Book Antiqua" w:hAnsi="Book Antiqua" w:cs="Calibri"/>
                <w:b/>
                <w:bCs/>
                <w:color w:val="FFFFFF"/>
                <w:sz w:val="16"/>
                <w:szCs w:val="16"/>
                <w:lang w:eastAsia="es-CR"/>
              </w:rPr>
            </w:pPr>
            <w:r w:rsidRPr="0083752C">
              <w:rPr>
                <w:rFonts w:ascii="Book Antiqua" w:hAnsi="Book Antiqua" w:cs="Calibri"/>
                <w:b/>
                <w:bCs/>
                <w:color w:val="FFFFFF"/>
                <w:sz w:val="16"/>
                <w:szCs w:val="16"/>
                <w:lang w:eastAsia="es-CR"/>
              </w:rPr>
              <w:t>Desestimaciones, sobreseimientos y acusaciones</w:t>
            </w:r>
          </w:p>
        </w:tc>
        <w:tc>
          <w:tcPr>
            <w:tcW w:w="1200" w:type="dxa"/>
            <w:tcBorders>
              <w:top w:val="nil"/>
              <w:left w:val="nil"/>
              <w:bottom w:val="single" w:sz="4" w:space="0" w:color="auto"/>
              <w:right w:val="single" w:sz="4" w:space="0" w:color="auto"/>
            </w:tcBorders>
            <w:shd w:val="clear" w:color="000000" w:fill="305496"/>
            <w:vAlign w:val="center"/>
            <w:hideMark/>
          </w:tcPr>
          <w:p w14:paraId="4D38CD6B" w14:textId="77777777" w:rsidR="0083752C" w:rsidRPr="0083752C" w:rsidRDefault="0083752C" w:rsidP="0083752C">
            <w:pPr>
              <w:jc w:val="center"/>
              <w:rPr>
                <w:rFonts w:ascii="Book Antiqua" w:hAnsi="Book Antiqua" w:cs="Calibri"/>
                <w:b/>
                <w:bCs/>
                <w:color w:val="FFFFFF"/>
                <w:sz w:val="16"/>
                <w:szCs w:val="16"/>
                <w:lang w:eastAsia="es-CR"/>
              </w:rPr>
            </w:pPr>
            <w:r w:rsidRPr="0083752C">
              <w:rPr>
                <w:rFonts w:ascii="Book Antiqua" w:hAnsi="Book Antiqua" w:cs="Calibri"/>
                <w:b/>
                <w:bCs/>
                <w:color w:val="FFFFFF"/>
                <w:sz w:val="16"/>
                <w:szCs w:val="16"/>
                <w:lang w:eastAsia="es-CR"/>
              </w:rPr>
              <w:t>Sentencias y medidas alternas</w:t>
            </w:r>
          </w:p>
        </w:tc>
        <w:tc>
          <w:tcPr>
            <w:tcW w:w="2300" w:type="dxa"/>
            <w:tcBorders>
              <w:top w:val="nil"/>
              <w:left w:val="nil"/>
              <w:bottom w:val="single" w:sz="4" w:space="0" w:color="auto"/>
              <w:right w:val="single" w:sz="4" w:space="0" w:color="auto"/>
            </w:tcBorders>
            <w:shd w:val="clear" w:color="000000" w:fill="305496"/>
            <w:vAlign w:val="center"/>
            <w:hideMark/>
          </w:tcPr>
          <w:p w14:paraId="172D5C2A" w14:textId="77777777" w:rsidR="0083752C" w:rsidRPr="0083752C" w:rsidRDefault="0083752C" w:rsidP="0083752C">
            <w:pPr>
              <w:jc w:val="center"/>
              <w:rPr>
                <w:rFonts w:ascii="Book Antiqua" w:hAnsi="Book Antiqua" w:cs="Calibri"/>
                <w:b/>
                <w:bCs/>
                <w:color w:val="FFFFFF"/>
                <w:sz w:val="16"/>
                <w:szCs w:val="16"/>
                <w:lang w:eastAsia="es-CR"/>
              </w:rPr>
            </w:pPr>
            <w:r w:rsidRPr="0083752C">
              <w:rPr>
                <w:rFonts w:ascii="Book Antiqua" w:hAnsi="Book Antiqua" w:cs="Calibri"/>
                <w:b/>
                <w:bCs/>
                <w:color w:val="FFFFFF"/>
                <w:sz w:val="16"/>
                <w:szCs w:val="16"/>
                <w:lang w:eastAsia="es-CR"/>
              </w:rPr>
              <w:t>Audiencias iniciales, sentencias y medidas alternas considerando colaboración al ordinario</w:t>
            </w:r>
          </w:p>
        </w:tc>
        <w:tc>
          <w:tcPr>
            <w:tcW w:w="1200" w:type="dxa"/>
            <w:tcBorders>
              <w:top w:val="nil"/>
              <w:left w:val="nil"/>
              <w:bottom w:val="single" w:sz="4" w:space="0" w:color="auto"/>
              <w:right w:val="single" w:sz="4" w:space="0" w:color="auto"/>
            </w:tcBorders>
            <w:shd w:val="clear" w:color="000000" w:fill="305496"/>
            <w:vAlign w:val="center"/>
            <w:hideMark/>
          </w:tcPr>
          <w:p w14:paraId="42356603" w14:textId="77777777" w:rsidR="0083752C" w:rsidRPr="0083752C" w:rsidRDefault="0083752C" w:rsidP="0083752C">
            <w:pPr>
              <w:jc w:val="center"/>
              <w:rPr>
                <w:rFonts w:ascii="Book Antiqua" w:hAnsi="Book Antiqua" w:cs="Calibri"/>
                <w:b/>
                <w:bCs/>
                <w:color w:val="FFFFFF"/>
                <w:sz w:val="16"/>
                <w:szCs w:val="16"/>
                <w:lang w:eastAsia="es-CR"/>
              </w:rPr>
            </w:pPr>
            <w:r w:rsidRPr="0083752C">
              <w:rPr>
                <w:rFonts w:ascii="Book Antiqua" w:hAnsi="Book Antiqua" w:cs="Calibri"/>
                <w:b/>
                <w:bCs/>
                <w:color w:val="FFFFFF"/>
                <w:sz w:val="16"/>
                <w:szCs w:val="16"/>
                <w:lang w:eastAsia="es-CR"/>
              </w:rPr>
              <w:t>Incidentes terminados</w:t>
            </w:r>
          </w:p>
        </w:tc>
        <w:tc>
          <w:tcPr>
            <w:tcW w:w="1340" w:type="dxa"/>
            <w:tcBorders>
              <w:top w:val="nil"/>
              <w:left w:val="nil"/>
              <w:bottom w:val="single" w:sz="4" w:space="0" w:color="auto"/>
              <w:right w:val="single" w:sz="4" w:space="0" w:color="auto"/>
            </w:tcBorders>
            <w:shd w:val="clear" w:color="000000" w:fill="305496"/>
            <w:vAlign w:val="center"/>
            <w:hideMark/>
          </w:tcPr>
          <w:p w14:paraId="1597681F" w14:textId="77777777" w:rsidR="0083752C" w:rsidRPr="0083752C" w:rsidRDefault="0083752C" w:rsidP="0083752C">
            <w:pPr>
              <w:jc w:val="center"/>
              <w:rPr>
                <w:rFonts w:ascii="Book Antiqua" w:hAnsi="Book Antiqua" w:cs="Calibri"/>
                <w:b/>
                <w:bCs/>
                <w:color w:val="FFFFFF"/>
                <w:sz w:val="16"/>
                <w:szCs w:val="16"/>
                <w:lang w:eastAsia="es-CR"/>
              </w:rPr>
            </w:pPr>
            <w:r w:rsidRPr="0083752C">
              <w:rPr>
                <w:rFonts w:ascii="Book Antiqua" w:hAnsi="Book Antiqua" w:cs="Calibri"/>
                <w:b/>
                <w:bCs/>
                <w:color w:val="FFFFFF"/>
                <w:sz w:val="16"/>
                <w:szCs w:val="16"/>
                <w:lang w:eastAsia="es-CR"/>
              </w:rPr>
              <w:t>Firma de expedientes</w:t>
            </w:r>
          </w:p>
        </w:tc>
        <w:tc>
          <w:tcPr>
            <w:tcW w:w="1340" w:type="dxa"/>
            <w:tcBorders>
              <w:top w:val="nil"/>
              <w:left w:val="nil"/>
              <w:bottom w:val="single" w:sz="4" w:space="0" w:color="auto"/>
              <w:right w:val="single" w:sz="4" w:space="0" w:color="auto"/>
            </w:tcBorders>
            <w:shd w:val="clear" w:color="000000" w:fill="305496"/>
            <w:vAlign w:val="center"/>
            <w:hideMark/>
          </w:tcPr>
          <w:p w14:paraId="6C82175E" w14:textId="77777777" w:rsidR="0083752C" w:rsidRPr="0083752C" w:rsidRDefault="0083752C" w:rsidP="0083752C">
            <w:pPr>
              <w:jc w:val="center"/>
              <w:rPr>
                <w:rFonts w:ascii="Book Antiqua" w:hAnsi="Book Antiqua" w:cs="Calibri"/>
                <w:b/>
                <w:bCs/>
                <w:color w:val="FFFFFF"/>
                <w:sz w:val="16"/>
                <w:szCs w:val="16"/>
                <w:lang w:eastAsia="es-CR"/>
              </w:rPr>
            </w:pPr>
            <w:r w:rsidRPr="0083752C">
              <w:rPr>
                <w:rFonts w:ascii="Book Antiqua" w:hAnsi="Book Antiqua" w:cs="Calibri"/>
                <w:b/>
                <w:bCs/>
                <w:color w:val="FFFFFF"/>
                <w:sz w:val="16"/>
                <w:szCs w:val="16"/>
                <w:lang w:eastAsia="es-CR"/>
              </w:rPr>
              <w:t>Proyecto terminado, circulado y votado</w:t>
            </w:r>
          </w:p>
        </w:tc>
        <w:tc>
          <w:tcPr>
            <w:tcW w:w="1200" w:type="dxa"/>
            <w:tcBorders>
              <w:top w:val="nil"/>
              <w:left w:val="nil"/>
              <w:bottom w:val="single" w:sz="4" w:space="0" w:color="auto"/>
              <w:right w:val="single" w:sz="4" w:space="0" w:color="auto"/>
            </w:tcBorders>
            <w:shd w:val="clear" w:color="000000" w:fill="305496"/>
            <w:vAlign w:val="center"/>
            <w:hideMark/>
          </w:tcPr>
          <w:p w14:paraId="55C7747F" w14:textId="77777777" w:rsidR="0083752C" w:rsidRPr="0083752C" w:rsidRDefault="0083752C" w:rsidP="0083752C">
            <w:pPr>
              <w:jc w:val="center"/>
              <w:rPr>
                <w:rFonts w:ascii="Book Antiqua" w:hAnsi="Book Antiqua" w:cs="Calibri"/>
                <w:b/>
                <w:bCs/>
                <w:color w:val="FFFFFF"/>
                <w:sz w:val="16"/>
                <w:szCs w:val="16"/>
                <w:lang w:eastAsia="es-CR"/>
              </w:rPr>
            </w:pPr>
            <w:r w:rsidRPr="0083752C">
              <w:rPr>
                <w:rFonts w:ascii="Book Antiqua" w:hAnsi="Book Antiqua" w:cs="Calibri"/>
                <w:b/>
                <w:bCs/>
                <w:color w:val="FFFFFF"/>
                <w:sz w:val="16"/>
                <w:szCs w:val="16"/>
                <w:lang w:eastAsia="es-CR"/>
              </w:rPr>
              <w:t>Proyectos</w:t>
            </w:r>
          </w:p>
        </w:tc>
      </w:tr>
      <w:tr w:rsidR="0083752C" w:rsidRPr="0083752C" w14:paraId="228E234D" w14:textId="77777777" w:rsidTr="0083752C">
        <w:trPr>
          <w:trHeight w:val="290"/>
          <w:jc w:val="center"/>
        </w:trPr>
        <w:tc>
          <w:tcPr>
            <w:tcW w:w="1063" w:type="dxa"/>
            <w:tcBorders>
              <w:top w:val="nil"/>
              <w:left w:val="single" w:sz="4" w:space="0" w:color="auto"/>
              <w:bottom w:val="single" w:sz="4" w:space="0" w:color="auto"/>
              <w:right w:val="single" w:sz="4" w:space="0" w:color="auto"/>
            </w:tcBorders>
            <w:shd w:val="clear" w:color="000000" w:fill="FFFFFF"/>
            <w:noWrap/>
            <w:vAlign w:val="center"/>
            <w:hideMark/>
          </w:tcPr>
          <w:p w14:paraId="59D23DD1" w14:textId="77777777" w:rsidR="0083752C" w:rsidRPr="0083752C" w:rsidRDefault="0083752C" w:rsidP="0083752C">
            <w:pPr>
              <w:jc w:val="center"/>
              <w:rPr>
                <w:rFonts w:ascii="Book Antiqua" w:hAnsi="Book Antiqua" w:cs="Calibri"/>
                <w:color w:val="000000"/>
                <w:sz w:val="16"/>
                <w:szCs w:val="16"/>
                <w:lang w:eastAsia="es-CR"/>
              </w:rPr>
            </w:pPr>
            <w:r w:rsidRPr="0083752C">
              <w:rPr>
                <w:rFonts w:ascii="Book Antiqua" w:hAnsi="Book Antiqua" w:cs="Calibri"/>
                <w:color w:val="000000"/>
                <w:sz w:val="16"/>
                <w:szCs w:val="16"/>
                <w:lang w:eastAsia="es-CR"/>
              </w:rPr>
              <w:t>Mayo</w:t>
            </w:r>
          </w:p>
        </w:tc>
        <w:tc>
          <w:tcPr>
            <w:tcW w:w="1740" w:type="dxa"/>
            <w:tcBorders>
              <w:top w:val="nil"/>
              <w:left w:val="nil"/>
              <w:bottom w:val="single" w:sz="4" w:space="0" w:color="auto"/>
              <w:right w:val="single" w:sz="4" w:space="0" w:color="auto"/>
            </w:tcBorders>
            <w:shd w:val="clear" w:color="auto" w:fill="auto"/>
            <w:noWrap/>
            <w:vAlign w:val="center"/>
            <w:hideMark/>
          </w:tcPr>
          <w:p w14:paraId="719A54C3" w14:textId="77777777" w:rsidR="0083752C" w:rsidRPr="0083752C" w:rsidRDefault="0083752C" w:rsidP="0083752C">
            <w:pPr>
              <w:jc w:val="center"/>
              <w:rPr>
                <w:rFonts w:ascii="Book Antiqua" w:hAnsi="Book Antiqua" w:cs="Calibri"/>
                <w:color w:val="000000"/>
                <w:sz w:val="16"/>
                <w:szCs w:val="16"/>
                <w:lang w:eastAsia="es-CR"/>
              </w:rPr>
            </w:pPr>
            <w:r w:rsidRPr="0083752C">
              <w:rPr>
                <w:rFonts w:ascii="Book Antiqua" w:hAnsi="Book Antiqua" w:cs="Calibri"/>
                <w:color w:val="000000"/>
                <w:sz w:val="16"/>
                <w:szCs w:val="16"/>
                <w:lang w:eastAsia="es-CR"/>
              </w:rPr>
              <w:t>100%</w:t>
            </w:r>
          </w:p>
        </w:tc>
        <w:tc>
          <w:tcPr>
            <w:tcW w:w="1200" w:type="dxa"/>
            <w:tcBorders>
              <w:top w:val="nil"/>
              <w:left w:val="nil"/>
              <w:bottom w:val="single" w:sz="4" w:space="0" w:color="auto"/>
              <w:right w:val="single" w:sz="4" w:space="0" w:color="auto"/>
            </w:tcBorders>
            <w:shd w:val="clear" w:color="auto" w:fill="auto"/>
            <w:noWrap/>
            <w:vAlign w:val="center"/>
            <w:hideMark/>
          </w:tcPr>
          <w:p w14:paraId="48B2B4E0" w14:textId="77777777" w:rsidR="0083752C" w:rsidRPr="0083752C" w:rsidRDefault="0083752C" w:rsidP="0083752C">
            <w:pPr>
              <w:jc w:val="center"/>
              <w:rPr>
                <w:rFonts w:ascii="Book Antiqua" w:hAnsi="Book Antiqua" w:cs="Calibri"/>
                <w:color w:val="000000"/>
                <w:sz w:val="16"/>
                <w:szCs w:val="16"/>
                <w:lang w:eastAsia="es-CR"/>
              </w:rPr>
            </w:pPr>
            <w:r w:rsidRPr="0083752C">
              <w:rPr>
                <w:rFonts w:ascii="Book Antiqua" w:hAnsi="Book Antiqua" w:cs="Calibri"/>
                <w:color w:val="000000"/>
                <w:sz w:val="16"/>
                <w:szCs w:val="16"/>
                <w:lang w:eastAsia="es-CR"/>
              </w:rPr>
              <w:t>88%</w:t>
            </w:r>
          </w:p>
        </w:tc>
        <w:tc>
          <w:tcPr>
            <w:tcW w:w="2300" w:type="dxa"/>
            <w:tcBorders>
              <w:top w:val="nil"/>
              <w:left w:val="nil"/>
              <w:bottom w:val="single" w:sz="4" w:space="0" w:color="auto"/>
              <w:right w:val="single" w:sz="4" w:space="0" w:color="auto"/>
            </w:tcBorders>
            <w:shd w:val="clear" w:color="auto" w:fill="auto"/>
            <w:noWrap/>
            <w:vAlign w:val="center"/>
            <w:hideMark/>
          </w:tcPr>
          <w:p w14:paraId="0AD1CEEB" w14:textId="77777777" w:rsidR="0083752C" w:rsidRPr="0083752C" w:rsidRDefault="0083752C" w:rsidP="0083752C">
            <w:pPr>
              <w:jc w:val="center"/>
              <w:rPr>
                <w:rFonts w:ascii="Book Antiqua" w:hAnsi="Book Antiqua" w:cs="Calibri"/>
                <w:color w:val="000000"/>
                <w:sz w:val="16"/>
                <w:szCs w:val="16"/>
                <w:lang w:eastAsia="es-CR"/>
              </w:rPr>
            </w:pPr>
            <w:r w:rsidRPr="0083752C">
              <w:rPr>
                <w:rFonts w:ascii="Book Antiqua" w:hAnsi="Book Antiqua" w:cs="Calibri"/>
                <w:color w:val="000000"/>
                <w:sz w:val="16"/>
                <w:szCs w:val="16"/>
                <w:lang w:eastAsia="es-CR"/>
              </w:rPr>
              <w:t>86%</w:t>
            </w:r>
          </w:p>
        </w:tc>
        <w:tc>
          <w:tcPr>
            <w:tcW w:w="1200" w:type="dxa"/>
            <w:tcBorders>
              <w:top w:val="nil"/>
              <w:left w:val="nil"/>
              <w:bottom w:val="single" w:sz="4" w:space="0" w:color="auto"/>
              <w:right w:val="single" w:sz="4" w:space="0" w:color="auto"/>
            </w:tcBorders>
            <w:shd w:val="clear" w:color="auto" w:fill="auto"/>
            <w:noWrap/>
            <w:vAlign w:val="center"/>
            <w:hideMark/>
          </w:tcPr>
          <w:p w14:paraId="2DFBC32C" w14:textId="77777777" w:rsidR="0083752C" w:rsidRPr="0083752C" w:rsidRDefault="0083752C" w:rsidP="0083752C">
            <w:pPr>
              <w:jc w:val="center"/>
              <w:rPr>
                <w:rFonts w:ascii="Book Antiqua" w:hAnsi="Book Antiqua" w:cs="Calibri"/>
                <w:color w:val="000000"/>
                <w:sz w:val="16"/>
                <w:szCs w:val="16"/>
                <w:lang w:eastAsia="es-CR"/>
              </w:rPr>
            </w:pPr>
            <w:r w:rsidRPr="0083752C">
              <w:rPr>
                <w:rFonts w:ascii="Book Antiqua" w:hAnsi="Book Antiqua" w:cs="Calibri"/>
                <w:color w:val="000000"/>
                <w:sz w:val="16"/>
                <w:szCs w:val="16"/>
                <w:lang w:eastAsia="es-CR"/>
              </w:rPr>
              <w:t>93%</w:t>
            </w:r>
          </w:p>
        </w:tc>
        <w:tc>
          <w:tcPr>
            <w:tcW w:w="1340" w:type="dxa"/>
            <w:tcBorders>
              <w:top w:val="nil"/>
              <w:left w:val="nil"/>
              <w:bottom w:val="single" w:sz="4" w:space="0" w:color="auto"/>
              <w:right w:val="single" w:sz="4" w:space="0" w:color="auto"/>
            </w:tcBorders>
            <w:shd w:val="clear" w:color="auto" w:fill="auto"/>
            <w:noWrap/>
            <w:vAlign w:val="center"/>
            <w:hideMark/>
          </w:tcPr>
          <w:p w14:paraId="2E7B327F" w14:textId="77777777" w:rsidR="0083752C" w:rsidRPr="0083752C" w:rsidRDefault="0083752C" w:rsidP="0083752C">
            <w:pPr>
              <w:jc w:val="center"/>
              <w:rPr>
                <w:rFonts w:ascii="Book Antiqua" w:hAnsi="Book Antiqua" w:cs="Calibri"/>
                <w:color w:val="000000"/>
                <w:sz w:val="16"/>
                <w:szCs w:val="16"/>
                <w:lang w:eastAsia="es-CR"/>
              </w:rPr>
            </w:pPr>
            <w:r w:rsidRPr="0083752C">
              <w:rPr>
                <w:rFonts w:ascii="Book Antiqua" w:hAnsi="Book Antiqua" w:cs="Calibri"/>
                <w:color w:val="000000"/>
                <w:sz w:val="16"/>
                <w:szCs w:val="16"/>
                <w:lang w:eastAsia="es-CR"/>
              </w:rPr>
              <w:t>157%</w:t>
            </w:r>
          </w:p>
        </w:tc>
        <w:tc>
          <w:tcPr>
            <w:tcW w:w="1340" w:type="dxa"/>
            <w:tcBorders>
              <w:top w:val="nil"/>
              <w:left w:val="nil"/>
              <w:bottom w:val="single" w:sz="4" w:space="0" w:color="auto"/>
              <w:right w:val="single" w:sz="4" w:space="0" w:color="auto"/>
            </w:tcBorders>
            <w:shd w:val="clear" w:color="auto" w:fill="auto"/>
            <w:noWrap/>
            <w:vAlign w:val="center"/>
            <w:hideMark/>
          </w:tcPr>
          <w:p w14:paraId="474CFEDD" w14:textId="77777777" w:rsidR="0083752C" w:rsidRPr="0083752C" w:rsidRDefault="0083752C" w:rsidP="0083752C">
            <w:pPr>
              <w:jc w:val="center"/>
              <w:rPr>
                <w:rFonts w:ascii="Book Antiqua" w:hAnsi="Book Antiqua" w:cs="Calibri"/>
                <w:color w:val="000000"/>
                <w:sz w:val="16"/>
                <w:szCs w:val="16"/>
                <w:lang w:eastAsia="es-CR"/>
              </w:rPr>
            </w:pPr>
            <w:r w:rsidRPr="0083752C">
              <w:rPr>
                <w:rFonts w:ascii="Book Antiqua" w:hAnsi="Book Antiqua" w:cs="Calibri"/>
                <w:color w:val="000000"/>
                <w:sz w:val="16"/>
                <w:szCs w:val="16"/>
                <w:lang w:eastAsia="es-CR"/>
              </w:rPr>
              <w:t>95%</w:t>
            </w:r>
          </w:p>
        </w:tc>
        <w:tc>
          <w:tcPr>
            <w:tcW w:w="1200" w:type="dxa"/>
            <w:tcBorders>
              <w:top w:val="nil"/>
              <w:left w:val="nil"/>
              <w:bottom w:val="single" w:sz="4" w:space="0" w:color="auto"/>
              <w:right w:val="single" w:sz="4" w:space="0" w:color="auto"/>
            </w:tcBorders>
            <w:shd w:val="clear" w:color="auto" w:fill="auto"/>
            <w:noWrap/>
            <w:vAlign w:val="center"/>
            <w:hideMark/>
          </w:tcPr>
          <w:p w14:paraId="6FDA3E1F" w14:textId="77777777" w:rsidR="0083752C" w:rsidRPr="0083752C" w:rsidRDefault="0083752C" w:rsidP="0083752C">
            <w:pPr>
              <w:jc w:val="center"/>
              <w:rPr>
                <w:rFonts w:ascii="Book Antiqua" w:hAnsi="Book Antiqua" w:cs="Calibri"/>
                <w:color w:val="000000"/>
                <w:sz w:val="16"/>
                <w:szCs w:val="16"/>
                <w:lang w:eastAsia="es-CR"/>
              </w:rPr>
            </w:pPr>
            <w:r w:rsidRPr="0083752C">
              <w:rPr>
                <w:rFonts w:ascii="Book Antiqua" w:hAnsi="Book Antiqua" w:cs="Calibri"/>
                <w:color w:val="000000"/>
                <w:sz w:val="16"/>
                <w:szCs w:val="16"/>
                <w:lang w:eastAsia="es-CR"/>
              </w:rPr>
              <w:t>95%</w:t>
            </w:r>
          </w:p>
        </w:tc>
      </w:tr>
      <w:tr w:rsidR="0083752C" w:rsidRPr="0083752C" w14:paraId="59D8F18E" w14:textId="77777777" w:rsidTr="0083752C">
        <w:trPr>
          <w:trHeight w:val="290"/>
          <w:jc w:val="center"/>
        </w:trPr>
        <w:tc>
          <w:tcPr>
            <w:tcW w:w="1063" w:type="dxa"/>
            <w:tcBorders>
              <w:top w:val="nil"/>
              <w:left w:val="single" w:sz="4" w:space="0" w:color="auto"/>
              <w:bottom w:val="single" w:sz="4" w:space="0" w:color="auto"/>
              <w:right w:val="single" w:sz="4" w:space="0" w:color="auto"/>
            </w:tcBorders>
            <w:shd w:val="clear" w:color="000000" w:fill="FFFFFF"/>
            <w:noWrap/>
            <w:vAlign w:val="center"/>
            <w:hideMark/>
          </w:tcPr>
          <w:p w14:paraId="41ECF426" w14:textId="77777777" w:rsidR="0083752C" w:rsidRPr="0083752C" w:rsidRDefault="0083752C" w:rsidP="0083752C">
            <w:pPr>
              <w:jc w:val="center"/>
              <w:rPr>
                <w:rFonts w:ascii="Book Antiqua" w:hAnsi="Book Antiqua" w:cs="Calibri"/>
                <w:color w:val="000000"/>
                <w:sz w:val="16"/>
                <w:szCs w:val="16"/>
                <w:lang w:eastAsia="es-CR"/>
              </w:rPr>
            </w:pPr>
            <w:r w:rsidRPr="0083752C">
              <w:rPr>
                <w:rFonts w:ascii="Book Antiqua" w:hAnsi="Book Antiqua" w:cs="Calibri"/>
                <w:color w:val="000000"/>
                <w:sz w:val="16"/>
                <w:szCs w:val="16"/>
                <w:lang w:eastAsia="es-CR"/>
              </w:rPr>
              <w:t>Junio</w:t>
            </w:r>
          </w:p>
        </w:tc>
        <w:tc>
          <w:tcPr>
            <w:tcW w:w="1740" w:type="dxa"/>
            <w:tcBorders>
              <w:top w:val="nil"/>
              <w:left w:val="nil"/>
              <w:bottom w:val="single" w:sz="4" w:space="0" w:color="auto"/>
              <w:right w:val="single" w:sz="4" w:space="0" w:color="auto"/>
            </w:tcBorders>
            <w:shd w:val="clear" w:color="auto" w:fill="auto"/>
            <w:noWrap/>
            <w:vAlign w:val="center"/>
            <w:hideMark/>
          </w:tcPr>
          <w:p w14:paraId="3A5F31F8" w14:textId="77777777" w:rsidR="0083752C" w:rsidRPr="0083752C" w:rsidRDefault="0083752C" w:rsidP="0083752C">
            <w:pPr>
              <w:jc w:val="center"/>
              <w:rPr>
                <w:rFonts w:ascii="Book Antiqua" w:hAnsi="Book Antiqua" w:cs="Calibri"/>
                <w:color w:val="000000"/>
                <w:sz w:val="16"/>
                <w:szCs w:val="16"/>
                <w:lang w:eastAsia="es-CR"/>
              </w:rPr>
            </w:pPr>
            <w:r w:rsidRPr="0083752C">
              <w:rPr>
                <w:rFonts w:ascii="Book Antiqua" w:hAnsi="Book Antiqua" w:cs="Calibri"/>
                <w:color w:val="000000"/>
                <w:sz w:val="16"/>
                <w:szCs w:val="16"/>
                <w:lang w:eastAsia="es-CR"/>
              </w:rPr>
              <w:t>104%</w:t>
            </w:r>
          </w:p>
        </w:tc>
        <w:tc>
          <w:tcPr>
            <w:tcW w:w="1200" w:type="dxa"/>
            <w:tcBorders>
              <w:top w:val="nil"/>
              <w:left w:val="nil"/>
              <w:bottom w:val="single" w:sz="4" w:space="0" w:color="auto"/>
              <w:right w:val="single" w:sz="4" w:space="0" w:color="auto"/>
            </w:tcBorders>
            <w:shd w:val="clear" w:color="auto" w:fill="auto"/>
            <w:noWrap/>
            <w:vAlign w:val="center"/>
            <w:hideMark/>
          </w:tcPr>
          <w:p w14:paraId="710CBA9A" w14:textId="77777777" w:rsidR="0083752C" w:rsidRPr="0083752C" w:rsidRDefault="0083752C" w:rsidP="0083752C">
            <w:pPr>
              <w:jc w:val="center"/>
              <w:rPr>
                <w:rFonts w:ascii="Book Antiqua" w:hAnsi="Book Antiqua" w:cs="Calibri"/>
                <w:color w:val="000000"/>
                <w:sz w:val="16"/>
                <w:szCs w:val="16"/>
                <w:lang w:eastAsia="es-CR"/>
              </w:rPr>
            </w:pPr>
            <w:r w:rsidRPr="0083752C">
              <w:rPr>
                <w:rFonts w:ascii="Book Antiqua" w:hAnsi="Book Antiqua" w:cs="Calibri"/>
                <w:color w:val="000000"/>
                <w:sz w:val="16"/>
                <w:szCs w:val="16"/>
                <w:lang w:eastAsia="es-CR"/>
              </w:rPr>
              <w:t>96%</w:t>
            </w:r>
          </w:p>
        </w:tc>
        <w:tc>
          <w:tcPr>
            <w:tcW w:w="2300" w:type="dxa"/>
            <w:tcBorders>
              <w:top w:val="nil"/>
              <w:left w:val="nil"/>
              <w:bottom w:val="single" w:sz="4" w:space="0" w:color="auto"/>
              <w:right w:val="single" w:sz="4" w:space="0" w:color="auto"/>
            </w:tcBorders>
            <w:shd w:val="clear" w:color="auto" w:fill="auto"/>
            <w:noWrap/>
            <w:vAlign w:val="center"/>
            <w:hideMark/>
          </w:tcPr>
          <w:p w14:paraId="105F990A" w14:textId="77777777" w:rsidR="0083752C" w:rsidRPr="0083752C" w:rsidRDefault="0083752C" w:rsidP="0083752C">
            <w:pPr>
              <w:jc w:val="center"/>
              <w:rPr>
                <w:rFonts w:ascii="Book Antiqua" w:hAnsi="Book Antiqua" w:cs="Calibri"/>
                <w:color w:val="000000"/>
                <w:sz w:val="16"/>
                <w:szCs w:val="16"/>
                <w:lang w:eastAsia="es-CR"/>
              </w:rPr>
            </w:pPr>
            <w:r w:rsidRPr="0083752C">
              <w:rPr>
                <w:rFonts w:ascii="Book Antiqua" w:hAnsi="Book Antiqua" w:cs="Calibri"/>
                <w:color w:val="000000"/>
                <w:sz w:val="16"/>
                <w:szCs w:val="16"/>
                <w:lang w:eastAsia="es-CR"/>
              </w:rPr>
              <w:t>86%</w:t>
            </w:r>
          </w:p>
        </w:tc>
        <w:tc>
          <w:tcPr>
            <w:tcW w:w="1200" w:type="dxa"/>
            <w:tcBorders>
              <w:top w:val="nil"/>
              <w:left w:val="nil"/>
              <w:bottom w:val="single" w:sz="4" w:space="0" w:color="auto"/>
              <w:right w:val="single" w:sz="4" w:space="0" w:color="auto"/>
            </w:tcBorders>
            <w:shd w:val="clear" w:color="auto" w:fill="auto"/>
            <w:noWrap/>
            <w:vAlign w:val="center"/>
            <w:hideMark/>
          </w:tcPr>
          <w:p w14:paraId="3E7EC81C" w14:textId="77777777" w:rsidR="0083752C" w:rsidRPr="0083752C" w:rsidRDefault="0083752C" w:rsidP="0083752C">
            <w:pPr>
              <w:jc w:val="center"/>
              <w:rPr>
                <w:rFonts w:ascii="Book Antiqua" w:hAnsi="Book Antiqua" w:cs="Calibri"/>
                <w:color w:val="000000"/>
                <w:sz w:val="16"/>
                <w:szCs w:val="16"/>
                <w:lang w:eastAsia="es-CR"/>
              </w:rPr>
            </w:pPr>
            <w:r w:rsidRPr="0083752C">
              <w:rPr>
                <w:rFonts w:ascii="Book Antiqua" w:hAnsi="Book Antiqua" w:cs="Calibri"/>
                <w:color w:val="000000"/>
                <w:sz w:val="16"/>
                <w:szCs w:val="16"/>
                <w:lang w:eastAsia="es-CR"/>
              </w:rPr>
              <w:t>96%</w:t>
            </w:r>
          </w:p>
        </w:tc>
        <w:tc>
          <w:tcPr>
            <w:tcW w:w="1340" w:type="dxa"/>
            <w:tcBorders>
              <w:top w:val="nil"/>
              <w:left w:val="nil"/>
              <w:bottom w:val="single" w:sz="4" w:space="0" w:color="auto"/>
              <w:right w:val="single" w:sz="4" w:space="0" w:color="auto"/>
            </w:tcBorders>
            <w:shd w:val="clear" w:color="auto" w:fill="auto"/>
            <w:noWrap/>
            <w:vAlign w:val="center"/>
            <w:hideMark/>
          </w:tcPr>
          <w:p w14:paraId="20CFABD9" w14:textId="77777777" w:rsidR="0083752C" w:rsidRPr="0083752C" w:rsidRDefault="0083752C" w:rsidP="0083752C">
            <w:pPr>
              <w:jc w:val="center"/>
              <w:rPr>
                <w:rFonts w:ascii="Book Antiqua" w:hAnsi="Book Antiqua" w:cs="Calibri"/>
                <w:color w:val="000000"/>
                <w:sz w:val="16"/>
                <w:szCs w:val="16"/>
                <w:lang w:eastAsia="es-CR"/>
              </w:rPr>
            </w:pPr>
            <w:r w:rsidRPr="0083752C">
              <w:rPr>
                <w:rFonts w:ascii="Book Antiqua" w:hAnsi="Book Antiqua" w:cs="Calibri"/>
                <w:color w:val="000000"/>
                <w:sz w:val="16"/>
                <w:szCs w:val="16"/>
                <w:lang w:eastAsia="es-CR"/>
              </w:rPr>
              <w:t>187%</w:t>
            </w:r>
          </w:p>
        </w:tc>
        <w:tc>
          <w:tcPr>
            <w:tcW w:w="1340" w:type="dxa"/>
            <w:tcBorders>
              <w:top w:val="nil"/>
              <w:left w:val="nil"/>
              <w:bottom w:val="single" w:sz="4" w:space="0" w:color="auto"/>
              <w:right w:val="single" w:sz="4" w:space="0" w:color="auto"/>
            </w:tcBorders>
            <w:shd w:val="clear" w:color="auto" w:fill="auto"/>
            <w:noWrap/>
            <w:vAlign w:val="center"/>
            <w:hideMark/>
          </w:tcPr>
          <w:p w14:paraId="5A0056DB" w14:textId="77777777" w:rsidR="0083752C" w:rsidRPr="0083752C" w:rsidRDefault="0083752C" w:rsidP="0083752C">
            <w:pPr>
              <w:jc w:val="center"/>
              <w:rPr>
                <w:rFonts w:ascii="Book Antiqua" w:hAnsi="Book Antiqua" w:cs="Calibri"/>
                <w:color w:val="000000"/>
                <w:sz w:val="16"/>
                <w:szCs w:val="16"/>
                <w:lang w:eastAsia="es-CR"/>
              </w:rPr>
            </w:pPr>
            <w:r w:rsidRPr="0083752C">
              <w:rPr>
                <w:rFonts w:ascii="Book Antiqua" w:hAnsi="Book Antiqua" w:cs="Calibri"/>
                <w:color w:val="000000"/>
                <w:sz w:val="16"/>
                <w:szCs w:val="16"/>
                <w:lang w:eastAsia="es-CR"/>
              </w:rPr>
              <w:t>93%</w:t>
            </w:r>
          </w:p>
        </w:tc>
        <w:tc>
          <w:tcPr>
            <w:tcW w:w="1200" w:type="dxa"/>
            <w:tcBorders>
              <w:top w:val="nil"/>
              <w:left w:val="nil"/>
              <w:bottom w:val="single" w:sz="4" w:space="0" w:color="auto"/>
              <w:right w:val="single" w:sz="4" w:space="0" w:color="auto"/>
            </w:tcBorders>
            <w:shd w:val="clear" w:color="auto" w:fill="auto"/>
            <w:noWrap/>
            <w:vAlign w:val="center"/>
            <w:hideMark/>
          </w:tcPr>
          <w:p w14:paraId="5A110425" w14:textId="77777777" w:rsidR="0083752C" w:rsidRPr="0083752C" w:rsidRDefault="0083752C" w:rsidP="0083752C">
            <w:pPr>
              <w:jc w:val="center"/>
              <w:rPr>
                <w:rFonts w:ascii="Book Antiqua" w:hAnsi="Book Antiqua" w:cs="Calibri"/>
                <w:color w:val="000000"/>
                <w:sz w:val="16"/>
                <w:szCs w:val="16"/>
                <w:lang w:eastAsia="es-CR"/>
              </w:rPr>
            </w:pPr>
            <w:r w:rsidRPr="0083752C">
              <w:rPr>
                <w:rFonts w:ascii="Book Antiqua" w:hAnsi="Book Antiqua" w:cs="Calibri"/>
                <w:color w:val="000000"/>
                <w:sz w:val="16"/>
                <w:szCs w:val="16"/>
                <w:lang w:eastAsia="es-CR"/>
              </w:rPr>
              <w:t>92%</w:t>
            </w:r>
          </w:p>
        </w:tc>
      </w:tr>
      <w:tr w:rsidR="0083752C" w:rsidRPr="0083752C" w14:paraId="7F5EB704" w14:textId="77777777" w:rsidTr="0083752C">
        <w:trPr>
          <w:trHeight w:val="290"/>
          <w:jc w:val="center"/>
        </w:trPr>
        <w:tc>
          <w:tcPr>
            <w:tcW w:w="1063" w:type="dxa"/>
            <w:tcBorders>
              <w:top w:val="nil"/>
              <w:left w:val="single" w:sz="4" w:space="0" w:color="auto"/>
              <w:bottom w:val="single" w:sz="4" w:space="0" w:color="auto"/>
              <w:right w:val="single" w:sz="4" w:space="0" w:color="auto"/>
            </w:tcBorders>
            <w:shd w:val="clear" w:color="000000" w:fill="FFFFFF"/>
            <w:noWrap/>
            <w:vAlign w:val="center"/>
            <w:hideMark/>
          </w:tcPr>
          <w:p w14:paraId="72B7C6EC" w14:textId="77777777" w:rsidR="0083752C" w:rsidRPr="0083752C" w:rsidRDefault="0083752C" w:rsidP="0083752C">
            <w:pPr>
              <w:jc w:val="center"/>
              <w:rPr>
                <w:rFonts w:ascii="Book Antiqua" w:hAnsi="Book Antiqua" w:cs="Calibri"/>
                <w:color w:val="000000"/>
                <w:sz w:val="16"/>
                <w:szCs w:val="16"/>
                <w:lang w:eastAsia="es-CR"/>
              </w:rPr>
            </w:pPr>
            <w:r w:rsidRPr="0083752C">
              <w:rPr>
                <w:rFonts w:ascii="Book Antiqua" w:hAnsi="Book Antiqua" w:cs="Calibri"/>
                <w:color w:val="000000"/>
                <w:sz w:val="16"/>
                <w:szCs w:val="16"/>
                <w:lang w:eastAsia="es-CR"/>
              </w:rPr>
              <w:t>Julio</w:t>
            </w:r>
          </w:p>
        </w:tc>
        <w:tc>
          <w:tcPr>
            <w:tcW w:w="1740" w:type="dxa"/>
            <w:tcBorders>
              <w:top w:val="nil"/>
              <w:left w:val="nil"/>
              <w:bottom w:val="single" w:sz="4" w:space="0" w:color="auto"/>
              <w:right w:val="single" w:sz="4" w:space="0" w:color="auto"/>
            </w:tcBorders>
            <w:shd w:val="clear" w:color="auto" w:fill="auto"/>
            <w:noWrap/>
            <w:vAlign w:val="center"/>
            <w:hideMark/>
          </w:tcPr>
          <w:p w14:paraId="0F5752FC" w14:textId="77777777" w:rsidR="0083752C" w:rsidRPr="0083752C" w:rsidRDefault="0083752C" w:rsidP="0083752C">
            <w:pPr>
              <w:jc w:val="center"/>
              <w:rPr>
                <w:rFonts w:ascii="Book Antiqua" w:hAnsi="Book Antiqua" w:cs="Calibri"/>
                <w:color w:val="000000"/>
                <w:sz w:val="16"/>
                <w:szCs w:val="16"/>
                <w:lang w:eastAsia="es-CR"/>
              </w:rPr>
            </w:pPr>
            <w:r w:rsidRPr="0083752C">
              <w:rPr>
                <w:rFonts w:ascii="Book Antiqua" w:hAnsi="Book Antiqua" w:cs="Calibri"/>
                <w:color w:val="000000"/>
                <w:sz w:val="16"/>
                <w:szCs w:val="16"/>
                <w:lang w:eastAsia="es-CR"/>
              </w:rPr>
              <w:t>97%</w:t>
            </w:r>
          </w:p>
        </w:tc>
        <w:tc>
          <w:tcPr>
            <w:tcW w:w="1200" w:type="dxa"/>
            <w:tcBorders>
              <w:top w:val="nil"/>
              <w:left w:val="nil"/>
              <w:bottom w:val="single" w:sz="4" w:space="0" w:color="auto"/>
              <w:right w:val="single" w:sz="4" w:space="0" w:color="auto"/>
            </w:tcBorders>
            <w:shd w:val="clear" w:color="auto" w:fill="auto"/>
            <w:noWrap/>
            <w:vAlign w:val="center"/>
            <w:hideMark/>
          </w:tcPr>
          <w:p w14:paraId="24173BC8" w14:textId="77777777" w:rsidR="0083752C" w:rsidRPr="0083752C" w:rsidRDefault="0083752C" w:rsidP="0083752C">
            <w:pPr>
              <w:jc w:val="center"/>
              <w:rPr>
                <w:rFonts w:ascii="Book Antiqua" w:hAnsi="Book Antiqua" w:cs="Calibri"/>
                <w:color w:val="000000"/>
                <w:sz w:val="16"/>
                <w:szCs w:val="16"/>
                <w:lang w:eastAsia="es-CR"/>
              </w:rPr>
            </w:pPr>
            <w:r w:rsidRPr="0083752C">
              <w:rPr>
                <w:rFonts w:ascii="Book Antiqua" w:hAnsi="Book Antiqua" w:cs="Calibri"/>
                <w:color w:val="000000"/>
                <w:sz w:val="16"/>
                <w:szCs w:val="16"/>
                <w:lang w:eastAsia="es-CR"/>
              </w:rPr>
              <w:t>90%</w:t>
            </w:r>
          </w:p>
        </w:tc>
        <w:tc>
          <w:tcPr>
            <w:tcW w:w="2300" w:type="dxa"/>
            <w:tcBorders>
              <w:top w:val="nil"/>
              <w:left w:val="nil"/>
              <w:bottom w:val="single" w:sz="4" w:space="0" w:color="auto"/>
              <w:right w:val="single" w:sz="4" w:space="0" w:color="auto"/>
            </w:tcBorders>
            <w:shd w:val="clear" w:color="auto" w:fill="auto"/>
            <w:noWrap/>
            <w:vAlign w:val="center"/>
            <w:hideMark/>
          </w:tcPr>
          <w:p w14:paraId="2A5D1DE8" w14:textId="77777777" w:rsidR="0083752C" w:rsidRPr="0083752C" w:rsidRDefault="0083752C" w:rsidP="0083752C">
            <w:pPr>
              <w:jc w:val="center"/>
              <w:rPr>
                <w:rFonts w:ascii="Book Antiqua" w:hAnsi="Book Antiqua" w:cs="Calibri"/>
                <w:color w:val="000000"/>
                <w:sz w:val="16"/>
                <w:szCs w:val="16"/>
                <w:lang w:eastAsia="es-CR"/>
              </w:rPr>
            </w:pPr>
            <w:r w:rsidRPr="0083752C">
              <w:rPr>
                <w:rFonts w:ascii="Book Antiqua" w:hAnsi="Book Antiqua" w:cs="Calibri"/>
                <w:color w:val="000000"/>
                <w:sz w:val="16"/>
                <w:szCs w:val="16"/>
                <w:lang w:eastAsia="es-CR"/>
              </w:rPr>
              <w:t>81%</w:t>
            </w:r>
          </w:p>
        </w:tc>
        <w:tc>
          <w:tcPr>
            <w:tcW w:w="1200" w:type="dxa"/>
            <w:tcBorders>
              <w:top w:val="nil"/>
              <w:left w:val="nil"/>
              <w:bottom w:val="single" w:sz="4" w:space="0" w:color="auto"/>
              <w:right w:val="single" w:sz="4" w:space="0" w:color="auto"/>
            </w:tcBorders>
            <w:shd w:val="clear" w:color="auto" w:fill="auto"/>
            <w:noWrap/>
            <w:vAlign w:val="center"/>
            <w:hideMark/>
          </w:tcPr>
          <w:p w14:paraId="5151143D" w14:textId="77777777" w:rsidR="0083752C" w:rsidRPr="0083752C" w:rsidRDefault="0083752C" w:rsidP="0083752C">
            <w:pPr>
              <w:jc w:val="center"/>
              <w:rPr>
                <w:rFonts w:ascii="Book Antiqua" w:hAnsi="Book Antiqua" w:cs="Calibri"/>
                <w:color w:val="000000"/>
                <w:sz w:val="16"/>
                <w:szCs w:val="16"/>
                <w:lang w:eastAsia="es-CR"/>
              </w:rPr>
            </w:pPr>
            <w:r w:rsidRPr="0083752C">
              <w:rPr>
                <w:rFonts w:ascii="Book Antiqua" w:hAnsi="Book Antiqua" w:cs="Calibri"/>
                <w:color w:val="000000"/>
                <w:sz w:val="16"/>
                <w:szCs w:val="16"/>
                <w:lang w:eastAsia="es-CR"/>
              </w:rPr>
              <w:t>88%</w:t>
            </w:r>
          </w:p>
        </w:tc>
        <w:tc>
          <w:tcPr>
            <w:tcW w:w="1340" w:type="dxa"/>
            <w:tcBorders>
              <w:top w:val="nil"/>
              <w:left w:val="nil"/>
              <w:bottom w:val="single" w:sz="4" w:space="0" w:color="auto"/>
              <w:right w:val="single" w:sz="4" w:space="0" w:color="auto"/>
            </w:tcBorders>
            <w:shd w:val="clear" w:color="auto" w:fill="auto"/>
            <w:noWrap/>
            <w:vAlign w:val="center"/>
            <w:hideMark/>
          </w:tcPr>
          <w:p w14:paraId="2E824286" w14:textId="77777777" w:rsidR="0083752C" w:rsidRPr="0083752C" w:rsidRDefault="0083752C" w:rsidP="0083752C">
            <w:pPr>
              <w:jc w:val="center"/>
              <w:rPr>
                <w:rFonts w:ascii="Book Antiqua" w:hAnsi="Book Antiqua" w:cs="Calibri"/>
                <w:color w:val="000000"/>
                <w:sz w:val="16"/>
                <w:szCs w:val="16"/>
                <w:lang w:eastAsia="es-CR"/>
              </w:rPr>
            </w:pPr>
            <w:r w:rsidRPr="0083752C">
              <w:rPr>
                <w:rFonts w:ascii="Book Antiqua" w:hAnsi="Book Antiqua" w:cs="Calibri"/>
                <w:color w:val="000000"/>
                <w:sz w:val="16"/>
                <w:szCs w:val="16"/>
                <w:lang w:eastAsia="es-CR"/>
              </w:rPr>
              <w:t>187%</w:t>
            </w:r>
          </w:p>
        </w:tc>
        <w:tc>
          <w:tcPr>
            <w:tcW w:w="1340" w:type="dxa"/>
            <w:tcBorders>
              <w:top w:val="nil"/>
              <w:left w:val="nil"/>
              <w:bottom w:val="single" w:sz="4" w:space="0" w:color="auto"/>
              <w:right w:val="single" w:sz="4" w:space="0" w:color="auto"/>
            </w:tcBorders>
            <w:shd w:val="clear" w:color="auto" w:fill="auto"/>
            <w:noWrap/>
            <w:vAlign w:val="center"/>
            <w:hideMark/>
          </w:tcPr>
          <w:p w14:paraId="563EEAC4" w14:textId="77777777" w:rsidR="0083752C" w:rsidRPr="0083752C" w:rsidRDefault="0083752C" w:rsidP="0083752C">
            <w:pPr>
              <w:jc w:val="center"/>
              <w:rPr>
                <w:rFonts w:ascii="Book Antiqua" w:hAnsi="Book Antiqua" w:cs="Calibri"/>
                <w:color w:val="000000"/>
                <w:sz w:val="16"/>
                <w:szCs w:val="16"/>
                <w:lang w:eastAsia="es-CR"/>
              </w:rPr>
            </w:pPr>
            <w:r w:rsidRPr="0083752C">
              <w:rPr>
                <w:rFonts w:ascii="Book Antiqua" w:hAnsi="Book Antiqua" w:cs="Calibri"/>
                <w:color w:val="000000"/>
                <w:sz w:val="16"/>
                <w:szCs w:val="16"/>
                <w:lang w:eastAsia="es-CR"/>
              </w:rPr>
              <w:t>87%</w:t>
            </w:r>
          </w:p>
        </w:tc>
        <w:tc>
          <w:tcPr>
            <w:tcW w:w="1200" w:type="dxa"/>
            <w:tcBorders>
              <w:top w:val="nil"/>
              <w:left w:val="nil"/>
              <w:bottom w:val="single" w:sz="4" w:space="0" w:color="auto"/>
              <w:right w:val="single" w:sz="4" w:space="0" w:color="auto"/>
            </w:tcBorders>
            <w:shd w:val="clear" w:color="auto" w:fill="auto"/>
            <w:noWrap/>
            <w:vAlign w:val="center"/>
            <w:hideMark/>
          </w:tcPr>
          <w:p w14:paraId="46C1441C" w14:textId="77777777" w:rsidR="0083752C" w:rsidRPr="0083752C" w:rsidRDefault="0083752C" w:rsidP="0083752C">
            <w:pPr>
              <w:jc w:val="center"/>
              <w:rPr>
                <w:rFonts w:ascii="Book Antiqua" w:hAnsi="Book Antiqua" w:cs="Calibri"/>
                <w:color w:val="000000"/>
                <w:sz w:val="16"/>
                <w:szCs w:val="16"/>
                <w:lang w:eastAsia="es-CR"/>
              </w:rPr>
            </w:pPr>
            <w:r w:rsidRPr="0083752C">
              <w:rPr>
                <w:rFonts w:ascii="Book Antiqua" w:hAnsi="Book Antiqua" w:cs="Calibri"/>
                <w:color w:val="000000"/>
                <w:sz w:val="16"/>
                <w:szCs w:val="16"/>
                <w:lang w:eastAsia="es-CR"/>
              </w:rPr>
              <w:t>86%</w:t>
            </w:r>
          </w:p>
        </w:tc>
      </w:tr>
      <w:tr w:rsidR="0083752C" w:rsidRPr="0083752C" w14:paraId="19576213" w14:textId="77777777" w:rsidTr="0083752C">
        <w:trPr>
          <w:trHeight w:val="290"/>
          <w:jc w:val="center"/>
        </w:trPr>
        <w:tc>
          <w:tcPr>
            <w:tcW w:w="1063" w:type="dxa"/>
            <w:tcBorders>
              <w:top w:val="nil"/>
              <w:left w:val="single" w:sz="4" w:space="0" w:color="auto"/>
              <w:bottom w:val="single" w:sz="4" w:space="0" w:color="auto"/>
              <w:right w:val="single" w:sz="4" w:space="0" w:color="auto"/>
            </w:tcBorders>
            <w:shd w:val="clear" w:color="000000" w:fill="FFFFFF"/>
            <w:noWrap/>
            <w:vAlign w:val="center"/>
            <w:hideMark/>
          </w:tcPr>
          <w:p w14:paraId="6FA01447" w14:textId="77777777" w:rsidR="0083752C" w:rsidRPr="0083752C" w:rsidRDefault="0083752C" w:rsidP="0083752C">
            <w:pPr>
              <w:jc w:val="center"/>
              <w:rPr>
                <w:rFonts w:ascii="Book Antiqua" w:hAnsi="Book Antiqua" w:cs="Calibri"/>
                <w:b/>
                <w:bCs/>
                <w:color w:val="000000"/>
                <w:sz w:val="16"/>
                <w:szCs w:val="16"/>
                <w:lang w:eastAsia="es-CR"/>
              </w:rPr>
            </w:pPr>
            <w:r w:rsidRPr="0083752C">
              <w:rPr>
                <w:rFonts w:ascii="Book Antiqua" w:hAnsi="Book Antiqua" w:cs="Calibri"/>
                <w:b/>
                <w:bCs/>
                <w:color w:val="000000"/>
                <w:sz w:val="16"/>
                <w:szCs w:val="16"/>
                <w:lang w:eastAsia="es-CR"/>
              </w:rPr>
              <w:t>Promedio</w:t>
            </w:r>
          </w:p>
        </w:tc>
        <w:tc>
          <w:tcPr>
            <w:tcW w:w="1740" w:type="dxa"/>
            <w:tcBorders>
              <w:top w:val="nil"/>
              <w:left w:val="nil"/>
              <w:bottom w:val="single" w:sz="4" w:space="0" w:color="auto"/>
              <w:right w:val="single" w:sz="4" w:space="0" w:color="auto"/>
            </w:tcBorders>
            <w:shd w:val="clear" w:color="000000" w:fill="FFFFFF"/>
            <w:noWrap/>
            <w:vAlign w:val="center"/>
            <w:hideMark/>
          </w:tcPr>
          <w:p w14:paraId="6B36E37F" w14:textId="77777777" w:rsidR="0083752C" w:rsidRPr="0083752C" w:rsidRDefault="0083752C" w:rsidP="0083752C">
            <w:pPr>
              <w:jc w:val="center"/>
              <w:rPr>
                <w:rFonts w:ascii="Book Antiqua" w:hAnsi="Book Antiqua" w:cs="Calibri"/>
                <w:b/>
                <w:bCs/>
                <w:color w:val="000000"/>
                <w:sz w:val="16"/>
                <w:szCs w:val="16"/>
                <w:lang w:eastAsia="es-CR"/>
              </w:rPr>
            </w:pPr>
            <w:r w:rsidRPr="0083752C">
              <w:rPr>
                <w:rFonts w:ascii="Book Antiqua" w:hAnsi="Book Antiqua" w:cs="Calibri"/>
                <w:b/>
                <w:bCs/>
                <w:color w:val="000000"/>
                <w:sz w:val="16"/>
                <w:szCs w:val="16"/>
                <w:lang w:eastAsia="es-CR"/>
              </w:rPr>
              <w:t>100%</w:t>
            </w:r>
          </w:p>
        </w:tc>
        <w:tc>
          <w:tcPr>
            <w:tcW w:w="1200" w:type="dxa"/>
            <w:tcBorders>
              <w:top w:val="nil"/>
              <w:left w:val="nil"/>
              <w:bottom w:val="single" w:sz="4" w:space="0" w:color="auto"/>
              <w:right w:val="single" w:sz="4" w:space="0" w:color="auto"/>
            </w:tcBorders>
            <w:shd w:val="clear" w:color="000000" w:fill="FFFFFF"/>
            <w:noWrap/>
            <w:vAlign w:val="center"/>
            <w:hideMark/>
          </w:tcPr>
          <w:p w14:paraId="33C27B25" w14:textId="77777777" w:rsidR="0083752C" w:rsidRPr="0083752C" w:rsidRDefault="0083752C" w:rsidP="0083752C">
            <w:pPr>
              <w:jc w:val="center"/>
              <w:rPr>
                <w:rFonts w:ascii="Book Antiqua" w:hAnsi="Book Antiqua" w:cs="Calibri"/>
                <w:b/>
                <w:bCs/>
                <w:color w:val="000000"/>
                <w:sz w:val="16"/>
                <w:szCs w:val="16"/>
                <w:lang w:eastAsia="es-CR"/>
              </w:rPr>
            </w:pPr>
            <w:r w:rsidRPr="0083752C">
              <w:rPr>
                <w:rFonts w:ascii="Book Antiqua" w:hAnsi="Book Antiqua" w:cs="Calibri"/>
                <w:b/>
                <w:bCs/>
                <w:color w:val="000000"/>
                <w:sz w:val="16"/>
                <w:szCs w:val="16"/>
                <w:lang w:eastAsia="es-CR"/>
              </w:rPr>
              <w:t>91%</w:t>
            </w:r>
          </w:p>
        </w:tc>
        <w:tc>
          <w:tcPr>
            <w:tcW w:w="2300" w:type="dxa"/>
            <w:tcBorders>
              <w:top w:val="nil"/>
              <w:left w:val="nil"/>
              <w:bottom w:val="single" w:sz="4" w:space="0" w:color="auto"/>
              <w:right w:val="single" w:sz="4" w:space="0" w:color="auto"/>
            </w:tcBorders>
            <w:shd w:val="clear" w:color="000000" w:fill="FFFFFF"/>
            <w:noWrap/>
            <w:vAlign w:val="center"/>
            <w:hideMark/>
          </w:tcPr>
          <w:p w14:paraId="46FB0598" w14:textId="77777777" w:rsidR="0083752C" w:rsidRPr="0083752C" w:rsidRDefault="0083752C" w:rsidP="0083752C">
            <w:pPr>
              <w:jc w:val="center"/>
              <w:rPr>
                <w:rFonts w:ascii="Book Antiqua" w:hAnsi="Book Antiqua" w:cs="Calibri"/>
                <w:b/>
                <w:bCs/>
                <w:color w:val="000000"/>
                <w:sz w:val="16"/>
                <w:szCs w:val="16"/>
                <w:lang w:eastAsia="es-CR"/>
              </w:rPr>
            </w:pPr>
            <w:r w:rsidRPr="0083752C">
              <w:rPr>
                <w:rFonts w:ascii="Book Antiqua" w:hAnsi="Book Antiqua" w:cs="Calibri"/>
                <w:b/>
                <w:bCs/>
                <w:color w:val="000000"/>
                <w:sz w:val="16"/>
                <w:szCs w:val="16"/>
                <w:lang w:eastAsia="es-CR"/>
              </w:rPr>
              <w:t>84%</w:t>
            </w:r>
          </w:p>
        </w:tc>
        <w:tc>
          <w:tcPr>
            <w:tcW w:w="1200" w:type="dxa"/>
            <w:tcBorders>
              <w:top w:val="nil"/>
              <w:left w:val="nil"/>
              <w:bottom w:val="single" w:sz="4" w:space="0" w:color="auto"/>
              <w:right w:val="single" w:sz="4" w:space="0" w:color="auto"/>
            </w:tcBorders>
            <w:shd w:val="clear" w:color="000000" w:fill="FFFFFF"/>
            <w:noWrap/>
            <w:vAlign w:val="center"/>
            <w:hideMark/>
          </w:tcPr>
          <w:p w14:paraId="2712792E" w14:textId="77777777" w:rsidR="0083752C" w:rsidRPr="0083752C" w:rsidRDefault="0083752C" w:rsidP="0083752C">
            <w:pPr>
              <w:jc w:val="center"/>
              <w:rPr>
                <w:rFonts w:ascii="Book Antiqua" w:hAnsi="Book Antiqua" w:cs="Calibri"/>
                <w:b/>
                <w:bCs/>
                <w:color w:val="000000"/>
                <w:sz w:val="16"/>
                <w:szCs w:val="16"/>
                <w:lang w:eastAsia="es-CR"/>
              </w:rPr>
            </w:pPr>
            <w:r w:rsidRPr="0083752C">
              <w:rPr>
                <w:rFonts w:ascii="Book Antiqua" w:hAnsi="Book Antiqua" w:cs="Calibri"/>
                <w:b/>
                <w:bCs/>
                <w:color w:val="000000"/>
                <w:sz w:val="16"/>
                <w:szCs w:val="16"/>
                <w:lang w:eastAsia="es-CR"/>
              </w:rPr>
              <w:t>92%</w:t>
            </w:r>
          </w:p>
        </w:tc>
        <w:tc>
          <w:tcPr>
            <w:tcW w:w="1340" w:type="dxa"/>
            <w:tcBorders>
              <w:top w:val="nil"/>
              <w:left w:val="nil"/>
              <w:bottom w:val="single" w:sz="4" w:space="0" w:color="auto"/>
              <w:right w:val="single" w:sz="4" w:space="0" w:color="auto"/>
            </w:tcBorders>
            <w:shd w:val="clear" w:color="000000" w:fill="FFFFFF"/>
            <w:noWrap/>
            <w:vAlign w:val="center"/>
            <w:hideMark/>
          </w:tcPr>
          <w:p w14:paraId="0ABF8ED7" w14:textId="77777777" w:rsidR="0083752C" w:rsidRPr="0083752C" w:rsidRDefault="0083752C" w:rsidP="0083752C">
            <w:pPr>
              <w:jc w:val="center"/>
              <w:rPr>
                <w:rFonts w:ascii="Book Antiqua" w:hAnsi="Book Antiqua" w:cs="Calibri"/>
                <w:b/>
                <w:bCs/>
                <w:color w:val="000000"/>
                <w:sz w:val="16"/>
                <w:szCs w:val="16"/>
                <w:lang w:eastAsia="es-CR"/>
              </w:rPr>
            </w:pPr>
            <w:r w:rsidRPr="0083752C">
              <w:rPr>
                <w:rFonts w:ascii="Book Antiqua" w:hAnsi="Book Antiqua" w:cs="Calibri"/>
                <w:b/>
                <w:bCs/>
                <w:color w:val="000000"/>
                <w:sz w:val="16"/>
                <w:szCs w:val="16"/>
                <w:lang w:eastAsia="es-CR"/>
              </w:rPr>
              <w:t>177%</w:t>
            </w:r>
          </w:p>
        </w:tc>
        <w:tc>
          <w:tcPr>
            <w:tcW w:w="1340" w:type="dxa"/>
            <w:tcBorders>
              <w:top w:val="nil"/>
              <w:left w:val="nil"/>
              <w:bottom w:val="single" w:sz="4" w:space="0" w:color="auto"/>
              <w:right w:val="single" w:sz="4" w:space="0" w:color="auto"/>
            </w:tcBorders>
            <w:shd w:val="clear" w:color="000000" w:fill="FFFFFF"/>
            <w:noWrap/>
            <w:vAlign w:val="center"/>
            <w:hideMark/>
          </w:tcPr>
          <w:p w14:paraId="71D77943" w14:textId="77777777" w:rsidR="0083752C" w:rsidRPr="0083752C" w:rsidRDefault="0083752C" w:rsidP="0083752C">
            <w:pPr>
              <w:jc w:val="center"/>
              <w:rPr>
                <w:rFonts w:ascii="Book Antiqua" w:hAnsi="Book Antiqua" w:cs="Calibri"/>
                <w:b/>
                <w:bCs/>
                <w:color w:val="000000"/>
                <w:sz w:val="16"/>
                <w:szCs w:val="16"/>
                <w:lang w:eastAsia="es-CR"/>
              </w:rPr>
            </w:pPr>
            <w:r w:rsidRPr="0083752C">
              <w:rPr>
                <w:rFonts w:ascii="Book Antiqua" w:hAnsi="Book Antiqua" w:cs="Calibri"/>
                <w:b/>
                <w:bCs/>
                <w:color w:val="000000"/>
                <w:sz w:val="16"/>
                <w:szCs w:val="16"/>
                <w:lang w:eastAsia="es-CR"/>
              </w:rPr>
              <w:t>92%</w:t>
            </w:r>
          </w:p>
        </w:tc>
        <w:tc>
          <w:tcPr>
            <w:tcW w:w="1200" w:type="dxa"/>
            <w:tcBorders>
              <w:top w:val="nil"/>
              <w:left w:val="nil"/>
              <w:bottom w:val="single" w:sz="4" w:space="0" w:color="auto"/>
              <w:right w:val="single" w:sz="4" w:space="0" w:color="auto"/>
            </w:tcBorders>
            <w:shd w:val="clear" w:color="000000" w:fill="FFFFFF"/>
            <w:noWrap/>
            <w:vAlign w:val="center"/>
            <w:hideMark/>
          </w:tcPr>
          <w:p w14:paraId="7253F127" w14:textId="77777777" w:rsidR="0083752C" w:rsidRPr="0083752C" w:rsidRDefault="0083752C" w:rsidP="0083752C">
            <w:pPr>
              <w:jc w:val="center"/>
              <w:rPr>
                <w:rFonts w:ascii="Book Antiqua" w:hAnsi="Book Antiqua" w:cs="Calibri"/>
                <w:b/>
                <w:bCs/>
                <w:color w:val="000000"/>
                <w:sz w:val="16"/>
                <w:szCs w:val="16"/>
                <w:lang w:eastAsia="es-CR"/>
              </w:rPr>
            </w:pPr>
            <w:r w:rsidRPr="0083752C">
              <w:rPr>
                <w:rFonts w:ascii="Book Antiqua" w:hAnsi="Book Antiqua" w:cs="Calibri"/>
                <w:b/>
                <w:bCs/>
                <w:color w:val="000000"/>
                <w:sz w:val="16"/>
                <w:szCs w:val="16"/>
                <w:lang w:eastAsia="es-CR"/>
              </w:rPr>
              <w:t>91%</w:t>
            </w:r>
          </w:p>
        </w:tc>
      </w:tr>
    </w:tbl>
    <w:p w14:paraId="50AE6CDA" w14:textId="77777777" w:rsidR="007272AB" w:rsidRPr="004F0E92" w:rsidRDefault="007272AB" w:rsidP="00985591">
      <w:pPr>
        <w:spacing w:line="276" w:lineRule="auto"/>
        <w:jc w:val="both"/>
        <w:rPr>
          <w:rFonts w:ascii="Book Antiqua" w:hAnsi="Book Antiqua"/>
          <w:b/>
          <w:bCs/>
          <w:color w:val="000000" w:themeColor="text1"/>
          <w:sz w:val="20"/>
          <w:szCs w:val="20"/>
        </w:rPr>
      </w:pPr>
      <w:r w:rsidRPr="004F0E92">
        <w:rPr>
          <w:rFonts w:ascii="Book Antiqua" w:hAnsi="Book Antiqua"/>
          <w:b/>
          <w:bCs/>
          <w:color w:val="000000" w:themeColor="text1"/>
          <w:sz w:val="20"/>
          <w:szCs w:val="20"/>
        </w:rPr>
        <w:t xml:space="preserve">Fuente: </w:t>
      </w:r>
      <w:r w:rsidRPr="004F0E92">
        <w:rPr>
          <w:rFonts w:ascii="Book Antiqua" w:hAnsi="Book Antiqua"/>
          <w:color w:val="000000" w:themeColor="text1"/>
          <w:sz w:val="20"/>
          <w:szCs w:val="20"/>
        </w:rPr>
        <w:t xml:space="preserve">Elaboración propia a partir de datos suministrados </w:t>
      </w:r>
      <w:r>
        <w:rPr>
          <w:rFonts w:ascii="Book Antiqua" w:hAnsi="Book Antiqua"/>
          <w:color w:val="000000" w:themeColor="text1"/>
          <w:sz w:val="20"/>
          <w:szCs w:val="20"/>
        </w:rPr>
        <w:t>en los informes one drive y matriz de indicadores</w:t>
      </w:r>
    </w:p>
    <w:p w14:paraId="71CD7BBD" w14:textId="7310FF76" w:rsidR="004F0E92" w:rsidRDefault="004F0E92" w:rsidP="00985591">
      <w:pPr>
        <w:spacing w:line="276" w:lineRule="auto"/>
        <w:rPr>
          <w:rFonts w:ascii="Book Antiqua" w:hAnsi="Book Antiqua"/>
          <w:noProof/>
        </w:rPr>
      </w:pPr>
    </w:p>
    <w:p w14:paraId="4111CA9D" w14:textId="5AA702E8" w:rsidR="00E736E5" w:rsidRPr="004F0E92" w:rsidRDefault="7422FA1B" w:rsidP="00985591">
      <w:pPr>
        <w:pStyle w:val="Ttulo2"/>
        <w:spacing w:line="276" w:lineRule="auto"/>
        <w:rPr>
          <w:rFonts w:ascii="Book Antiqua" w:hAnsi="Book Antiqua"/>
          <w:b w:val="0"/>
          <w:bCs w:val="0"/>
          <w:noProof/>
        </w:rPr>
      </w:pPr>
      <w:r w:rsidRPr="57A79FF7">
        <w:rPr>
          <w:rFonts w:ascii="Book Antiqua" w:hAnsi="Book Antiqua"/>
          <w:noProof/>
        </w:rPr>
        <w:t>6.4</w:t>
      </w:r>
      <w:r w:rsidR="00E736E5" w:rsidRPr="004F0E92">
        <w:rPr>
          <w:rFonts w:ascii="Book Antiqua" w:hAnsi="Book Antiqua"/>
          <w:noProof/>
        </w:rPr>
        <w:t xml:space="preserve"> Justicia Restaurativa</w:t>
      </w:r>
    </w:p>
    <w:p w14:paraId="0C8AE5C1" w14:textId="77777777" w:rsidR="00E736E5" w:rsidRPr="004F0E92" w:rsidRDefault="00E736E5" w:rsidP="00985591">
      <w:pPr>
        <w:spacing w:line="276" w:lineRule="auto"/>
        <w:jc w:val="both"/>
        <w:rPr>
          <w:rFonts w:ascii="Book Antiqua" w:hAnsi="Book Antiqua"/>
          <w:noProof/>
        </w:rPr>
      </w:pPr>
    </w:p>
    <w:p w14:paraId="3EBCE37F" w14:textId="63933002" w:rsidR="00205D3C" w:rsidRPr="00205D3C" w:rsidRDefault="00205D3C" w:rsidP="00985591">
      <w:pPr>
        <w:spacing w:line="276" w:lineRule="auto"/>
        <w:jc w:val="both"/>
        <w:rPr>
          <w:rFonts w:ascii="Book Antiqua" w:hAnsi="Book Antiqua"/>
        </w:rPr>
      </w:pPr>
      <w:r w:rsidRPr="00205D3C">
        <w:rPr>
          <w:rFonts w:ascii="Book Antiqua" w:hAnsi="Book Antiqua"/>
        </w:rPr>
        <w:t xml:space="preserve">Esta información obtenida de los informes del mes de </w:t>
      </w:r>
      <w:r w:rsidR="00002C14">
        <w:rPr>
          <w:rFonts w:ascii="Book Antiqua" w:hAnsi="Book Antiqua"/>
        </w:rPr>
        <w:t>julio</w:t>
      </w:r>
      <w:r w:rsidRPr="00205D3C">
        <w:rPr>
          <w:rFonts w:ascii="Book Antiqua" w:hAnsi="Book Antiqua"/>
        </w:rPr>
        <w:t xml:space="preserve"> del 2021, remitida por los equipos interdisciplinarios, es preliminar, ya que se encuentra en validación por parte del grupo profesional</w:t>
      </w:r>
      <w:r w:rsidR="003D1C19">
        <w:rPr>
          <w:rFonts w:ascii="Book Antiqua" w:hAnsi="Book Antiqua"/>
        </w:rPr>
        <w:t>es</w:t>
      </w:r>
      <w:r w:rsidRPr="00205D3C">
        <w:rPr>
          <w:rFonts w:ascii="Book Antiqua" w:hAnsi="Book Antiqua"/>
        </w:rPr>
        <w:t xml:space="preserve"> a cargo de</w:t>
      </w:r>
      <w:r w:rsidR="003D1C19">
        <w:rPr>
          <w:rFonts w:ascii="Book Antiqua" w:hAnsi="Book Antiqua"/>
        </w:rPr>
        <w:t>l Subproceso de</w:t>
      </w:r>
      <w:r w:rsidRPr="00205D3C">
        <w:rPr>
          <w:rFonts w:ascii="Book Antiqua" w:hAnsi="Book Antiqua"/>
        </w:rPr>
        <w:t xml:space="preserve"> Estadística de la Dirección de Planificación</w:t>
      </w:r>
      <w:r w:rsidR="00002C14">
        <w:rPr>
          <w:rFonts w:ascii="Book Antiqua" w:hAnsi="Book Antiqua"/>
        </w:rPr>
        <w:t>.</w:t>
      </w:r>
      <w:r w:rsidRPr="00205D3C">
        <w:rPr>
          <w:rFonts w:ascii="Book Antiqua" w:hAnsi="Book Antiqua"/>
        </w:rPr>
        <w:t xml:space="preserve"> </w:t>
      </w:r>
    </w:p>
    <w:p w14:paraId="3CCC169A" w14:textId="77777777" w:rsidR="00E736E5" w:rsidRPr="004F0E92" w:rsidRDefault="00E736E5" w:rsidP="00985591">
      <w:pPr>
        <w:spacing w:line="276" w:lineRule="auto"/>
        <w:jc w:val="both"/>
        <w:rPr>
          <w:rFonts w:ascii="Book Antiqua" w:hAnsi="Book Antiqua"/>
        </w:rPr>
      </w:pPr>
    </w:p>
    <w:p w14:paraId="3F2F5393" w14:textId="44E9B633" w:rsidR="003D1C19" w:rsidRDefault="003D1C19" w:rsidP="00985591">
      <w:pPr>
        <w:spacing w:line="276" w:lineRule="auto"/>
        <w:jc w:val="both"/>
        <w:rPr>
          <w:rFonts w:ascii="Book Antiqua" w:hAnsi="Book Antiqua"/>
        </w:rPr>
      </w:pPr>
      <w:r>
        <w:rPr>
          <w:rFonts w:ascii="Book Antiqua" w:hAnsi="Book Antiqua"/>
        </w:rPr>
        <w:t>Según se observa del total de reuniones restaurativas (</w:t>
      </w:r>
      <w:r w:rsidR="00002C14">
        <w:rPr>
          <w:rFonts w:ascii="Book Antiqua" w:hAnsi="Book Antiqua"/>
        </w:rPr>
        <w:t>209</w:t>
      </w:r>
      <w:r>
        <w:rPr>
          <w:rFonts w:ascii="Book Antiqua" w:hAnsi="Book Antiqua"/>
        </w:rPr>
        <w:t>), el 8</w:t>
      </w:r>
      <w:r w:rsidR="00002C14">
        <w:rPr>
          <w:rFonts w:ascii="Book Antiqua" w:hAnsi="Book Antiqua"/>
        </w:rPr>
        <w:t>3</w:t>
      </w:r>
      <w:r w:rsidR="000072DE">
        <w:rPr>
          <w:rFonts w:ascii="Book Antiqua" w:hAnsi="Book Antiqua"/>
        </w:rPr>
        <w:t>,</w:t>
      </w:r>
      <w:r w:rsidR="00002C14">
        <w:rPr>
          <w:rFonts w:ascii="Book Antiqua" w:hAnsi="Book Antiqua"/>
        </w:rPr>
        <w:t>73</w:t>
      </w:r>
      <w:r>
        <w:rPr>
          <w:rFonts w:ascii="Book Antiqua" w:hAnsi="Book Antiqua"/>
        </w:rPr>
        <w:t xml:space="preserve">% de estas se realizaron, además, de ese porcentaje el </w:t>
      </w:r>
      <w:r w:rsidR="000072DE">
        <w:rPr>
          <w:rFonts w:ascii="Book Antiqua" w:hAnsi="Book Antiqua"/>
        </w:rPr>
        <w:t>9</w:t>
      </w:r>
      <w:r w:rsidR="00002C14">
        <w:rPr>
          <w:rFonts w:ascii="Book Antiqua" w:hAnsi="Book Antiqua"/>
        </w:rPr>
        <w:t>0.29</w:t>
      </w:r>
      <w:r>
        <w:rPr>
          <w:rFonts w:ascii="Book Antiqua" w:hAnsi="Book Antiqua"/>
        </w:rPr>
        <w:t xml:space="preserve">% tuvieron acuerdos y apenas un </w:t>
      </w:r>
      <w:r w:rsidR="00002C14">
        <w:rPr>
          <w:rFonts w:ascii="Book Antiqua" w:hAnsi="Book Antiqua"/>
        </w:rPr>
        <w:t>9.71</w:t>
      </w:r>
      <w:r>
        <w:rPr>
          <w:rFonts w:ascii="Book Antiqua" w:hAnsi="Book Antiqua"/>
        </w:rPr>
        <w:t xml:space="preserve">% no hubo acuerdos, el porcentaje de las no realizadas fue de un </w:t>
      </w:r>
      <w:r w:rsidR="004C7859">
        <w:rPr>
          <w:rFonts w:ascii="Book Antiqua" w:hAnsi="Book Antiqua"/>
        </w:rPr>
        <w:t>16.27</w:t>
      </w:r>
      <w:r>
        <w:rPr>
          <w:rFonts w:ascii="Book Antiqua" w:hAnsi="Book Antiqua"/>
        </w:rPr>
        <w:t xml:space="preserve">%. En relación con las audiencias de verificación señaladas (en total </w:t>
      </w:r>
      <w:r w:rsidR="004C7859">
        <w:rPr>
          <w:rFonts w:ascii="Book Antiqua" w:hAnsi="Book Antiqua"/>
        </w:rPr>
        <w:t>61</w:t>
      </w:r>
      <w:r w:rsidR="00BE69E7">
        <w:rPr>
          <w:rFonts w:ascii="Book Antiqua" w:hAnsi="Book Antiqua"/>
        </w:rPr>
        <w:t>), el</w:t>
      </w:r>
      <w:r>
        <w:rPr>
          <w:rFonts w:ascii="Book Antiqua" w:hAnsi="Book Antiqua"/>
        </w:rPr>
        <w:t xml:space="preserve"> mantener las medidas alternas, representó de ese rubro el </w:t>
      </w:r>
      <w:r w:rsidR="004C7859">
        <w:rPr>
          <w:rFonts w:ascii="Book Antiqua" w:hAnsi="Book Antiqua"/>
        </w:rPr>
        <w:t>60.66</w:t>
      </w:r>
      <w:r>
        <w:rPr>
          <w:rFonts w:ascii="Book Antiqua" w:hAnsi="Book Antiqua"/>
        </w:rPr>
        <w:t xml:space="preserve">%, la modificación de la medida un </w:t>
      </w:r>
      <w:r w:rsidR="004C7859">
        <w:rPr>
          <w:rFonts w:ascii="Book Antiqua" w:hAnsi="Book Antiqua"/>
        </w:rPr>
        <w:t>31.15</w:t>
      </w:r>
      <w:r>
        <w:rPr>
          <w:rFonts w:ascii="Book Antiqua" w:hAnsi="Book Antiqua"/>
        </w:rPr>
        <w:t xml:space="preserve">%, revocar la medida alterna un </w:t>
      </w:r>
      <w:r w:rsidR="004C7859">
        <w:rPr>
          <w:rFonts w:ascii="Book Antiqua" w:hAnsi="Book Antiqua"/>
        </w:rPr>
        <w:t>6.56</w:t>
      </w:r>
      <w:r>
        <w:rPr>
          <w:rFonts w:ascii="Book Antiqua" w:hAnsi="Book Antiqua"/>
        </w:rPr>
        <w:t xml:space="preserve">% y finalmente </w:t>
      </w:r>
      <w:r w:rsidR="0054755B" w:rsidRPr="00701C87">
        <w:rPr>
          <w:rFonts w:ascii="Book Antiqua" w:hAnsi="Book Antiqua"/>
        </w:rPr>
        <w:t>la homologa</w:t>
      </w:r>
      <w:r w:rsidRPr="00701C87">
        <w:rPr>
          <w:rFonts w:ascii="Book Antiqua" w:hAnsi="Book Antiqua"/>
        </w:rPr>
        <w:t xml:space="preserve"> indemnización seguro </w:t>
      </w:r>
      <w:r w:rsidR="003A2C4C">
        <w:rPr>
          <w:rFonts w:ascii="Book Antiqua" w:hAnsi="Book Antiqua"/>
        </w:rPr>
        <w:t>1.64</w:t>
      </w:r>
      <w:r w:rsidR="000072DE">
        <w:rPr>
          <w:rFonts w:ascii="Book Antiqua" w:hAnsi="Book Antiqua"/>
        </w:rPr>
        <w:t>%</w:t>
      </w:r>
      <w:r w:rsidRPr="00701C87">
        <w:rPr>
          <w:rFonts w:ascii="Book Antiqua" w:hAnsi="Book Antiqua"/>
        </w:rPr>
        <w:t xml:space="preserve">. </w:t>
      </w:r>
    </w:p>
    <w:p w14:paraId="15A6137C" w14:textId="77777777" w:rsidR="003D1C19" w:rsidRDefault="003D1C19" w:rsidP="00985591">
      <w:pPr>
        <w:spacing w:line="276" w:lineRule="auto"/>
        <w:jc w:val="both"/>
        <w:rPr>
          <w:rFonts w:ascii="Book Antiqua" w:hAnsi="Book Antiqua"/>
        </w:rPr>
      </w:pPr>
    </w:p>
    <w:p w14:paraId="1F4630CC" w14:textId="77777777" w:rsidR="003D1C19" w:rsidRPr="00002C14" w:rsidRDefault="003D1C19" w:rsidP="00985591">
      <w:pPr>
        <w:spacing w:line="276" w:lineRule="auto"/>
        <w:jc w:val="both"/>
        <w:rPr>
          <w:rFonts w:ascii="Book Antiqua" w:hAnsi="Book Antiqua"/>
        </w:rPr>
      </w:pPr>
      <w:r w:rsidRPr="00002C14">
        <w:rPr>
          <w:rFonts w:ascii="Book Antiqua" w:hAnsi="Book Antiqua"/>
        </w:rPr>
        <w:t>Las demás actividades relacionadas con red de apoyo y entrevistas se visualizan en el siguiente cuadro:</w:t>
      </w:r>
    </w:p>
    <w:p w14:paraId="62CAD727" w14:textId="041F6034" w:rsidR="003D1C19" w:rsidRDefault="003D1C19" w:rsidP="00985591">
      <w:pPr>
        <w:spacing w:line="276" w:lineRule="auto"/>
        <w:jc w:val="both"/>
        <w:rPr>
          <w:rFonts w:ascii="Book Antiqua" w:hAnsi="Book Antiqua"/>
        </w:rPr>
      </w:pPr>
    </w:p>
    <w:p w14:paraId="42BA6EED" w14:textId="6461C02C" w:rsidR="00BF7F5F" w:rsidRDefault="00BF7F5F">
      <w:pPr>
        <w:rPr>
          <w:rFonts w:ascii="Book Antiqua" w:hAnsi="Book Antiqua"/>
        </w:rPr>
      </w:pPr>
      <w:r>
        <w:rPr>
          <w:rFonts w:ascii="Book Antiqua" w:hAnsi="Book Antiqua"/>
        </w:rPr>
        <w:br w:type="page"/>
      </w:r>
    </w:p>
    <w:p w14:paraId="151635CC" w14:textId="77777777" w:rsidR="00AC4A95" w:rsidRPr="00002C14" w:rsidRDefault="00AC4A95" w:rsidP="00985591">
      <w:pPr>
        <w:spacing w:line="276" w:lineRule="auto"/>
        <w:jc w:val="both"/>
        <w:rPr>
          <w:rFonts w:ascii="Book Antiqua" w:hAnsi="Book Antiqua"/>
        </w:rPr>
      </w:pPr>
    </w:p>
    <w:p w14:paraId="00E5397E" w14:textId="6AFE6B5E" w:rsidR="003D1C19" w:rsidRPr="00002C14" w:rsidRDefault="00E736E5" w:rsidP="00985591">
      <w:pPr>
        <w:spacing w:line="276" w:lineRule="auto"/>
        <w:jc w:val="center"/>
        <w:rPr>
          <w:rFonts w:ascii="Book Antiqua" w:hAnsi="Book Antiqua" w:cs="Arial"/>
          <w:b/>
          <w:bCs/>
        </w:rPr>
      </w:pPr>
      <w:r w:rsidRPr="00002C14">
        <w:rPr>
          <w:rFonts w:ascii="Book Antiqua" w:hAnsi="Book Antiqua"/>
          <w:b/>
          <w:bCs/>
          <w:highlight w:val="white"/>
        </w:rPr>
        <w:t xml:space="preserve">Cuadro </w:t>
      </w:r>
      <w:r w:rsidR="00002C14">
        <w:rPr>
          <w:rFonts w:ascii="Book Antiqua" w:hAnsi="Book Antiqua"/>
          <w:b/>
          <w:bCs/>
        </w:rPr>
        <w:t>6</w:t>
      </w:r>
      <w:r w:rsidR="0052233C">
        <w:rPr>
          <w:rFonts w:ascii="Book Antiqua" w:hAnsi="Book Antiqua"/>
          <w:b/>
          <w:bCs/>
        </w:rPr>
        <w:t>5</w:t>
      </w:r>
    </w:p>
    <w:p w14:paraId="70A74CAA" w14:textId="1A27B8B2" w:rsidR="003D1C19" w:rsidRPr="00002C14" w:rsidRDefault="003D1C19" w:rsidP="00985591">
      <w:pPr>
        <w:spacing w:line="276" w:lineRule="auto"/>
        <w:jc w:val="center"/>
        <w:rPr>
          <w:rFonts w:ascii="Book Antiqua" w:hAnsi="Book Antiqua" w:cs="Arial"/>
        </w:rPr>
      </w:pPr>
      <w:r w:rsidRPr="00002C14">
        <w:rPr>
          <w:rFonts w:ascii="Book Antiqua" w:hAnsi="Book Antiqua" w:cs="Arial"/>
        </w:rPr>
        <w:t xml:space="preserve">Estadísticas Justicia Penal Restaurativa </w:t>
      </w:r>
    </w:p>
    <w:p w14:paraId="50888039" w14:textId="3D69D3DC" w:rsidR="00002C14" w:rsidRPr="00002C14" w:rsidRDefault="00002C14" w:rsidP="0052233C">
      <w:pPr>
        <w:spacing w:line="276" w:lineRule="auto"/>
        <w:jc w:val="center"/>
        <w:rPr>
          <w:rFonts w:ascii="Book Antiqua" w:hAnsi="Book Antiqua"/>
          <w:highlight w:val="white"/>
        </w:rPr>
      </w:pPr>
      <w:r>
        <w:rPr>
          <w:rFonts w:ascii="Book Antiqua" w:hAnsi="Book Antiqua" w:cs="Arial"/>
        </w:rPr>
        <w:t>julio</w:t>
      </w:r>
      <w:r w:rsidR="003D1C19" w:rsidRPr="00002C14">
        <w:rPr>
          <w:rFonts w:ascii="Book Antiqua" w:hAnsi="Book Antiqua" w:cs="Arial"/>
        </w:rPr>
        <w:t xml:space="preserve"> 2021</w:t>
      </w:r>
    </w:p>
    <w:tbl>
      <w:tblPr>
        <w:tblW w:w="5499" w:type="dxa"/>
        <w:jc w:val="center"/>
        <w:tblCellMar>
          <w:left w:w="70" w:type="dxa"/>
          <w:right w:w="70" w:type="dxa"/>
        </w:tblCellMar>
        <w:tblLook w:val="04A0" w:firstRow="1" w:lastRow="0" w:firstColumn="1" w:lastColumn="0" w:noHBand="0" w:noVBand="1"/>
      </w:tblPr>
      <w:tblGrid>
        <w:gridCol w:w="4299"/>
        <w:gridCol w:w="1200"/>
      </w:tblGrid>
      <w:tr w:rsidR="00002C14" w:rsidRPr="009431BB" w14:paraId="657E8F5D" w14:textId="77777777" w:rsidTr="009431BB">
        <w:trPr>
          <w:trHeight w:val="290"/>
          <w:jc w:val="center"/>
        </w:trPr>
        <w:tc>
          <w:tcPr>
            <w:tcW w:w="5499" w:type="dxa"/>
            <w:gridSpan w:val="2"/>
            <w:tcBorders>
              <w:top w:val="single" w:sz="4" w:space="0" w:color="000000"/>
              <w:left w:val="single" w:sz="4" w:space="0" w:color="000000"/>
              <w:bottom w:val="single" w:sz="4" w:space="0" w:color="000000"/>
              <w:right w:val="single" w:sz="4" w:space="0" w:color="000000"/>
            </w:tcBorders>
            <w:shd w:val="clear" w:color="000000" w:fill="305496"/>
            <w:vAlign w:val="center"/>
            <w:hideMark/>
          </w:tcPr>
          <w:p w14:paraId="178F09FB" w14:textId="77777777" w:rsidR="00002C14" w:rsidRPr="009431BB" w:rsidRDefault="00002C14" w:rsidP="00985591">
            <w:pPr>
              <w:spacing w:line="276" w:lineRule="auto"/>
              <w:jc w:val="center"/>
              <w:rPr>
                <w:rFonts w:ascii="Book Antiqua" w:hAnsi="Book Antiqua"/>
                <w:b/>
                <w:bCs/>
                <w:color w:val="FFFFFF"/>
                <w:sz w:val="16"/>
                <w:szCs w:val="16"/>
                <w:lang w:eastAsia="es-CR"/>
              </w:rPr>
            </w:pPr>
            <w:r w:rsidRPr="009431BB">
              <w:rPr>
                <w:rFonts w:ascii="Book Antiqua" w:hAnsi="Book Antiqua"/>
                <w:b/>
                <w:bCs/>
                <w:color w:val="FFFFFF"/>
                <w:sz w:val="16"/>
                <w:szCs w:val="16"/>
                <w:lang w:eastAsia="es-CR"/>
              </w:rPr>
              <w:t>Estadísticas Justicia Penal Restaurativa</w:t>
            </w:r>
          </w:p>
        </w:tc>
      </w:tr>
      <w:tr w:rsidR="00002C14" w:rsidRPr="009431BB" w14:paraId="41B214C0" w14:textId="77777777" w:rsidTr="009431BB">
        <w:trPr>
          <w:trHeight w:val="290"/>
          <w:jc w:val="center"/>
        </w:trPr>
        <w:tc>
          <w:tcPr>
            <w:tcW w:w="5499" w:type="dxa"/>
            <w:gridSpan w:val="2"/>
            <w:tcBorders>
              <w:top w:val="single" w:sz="4" w:space="0" w:color="000000"/>
              <w:left w:val="single" w:sz="4" w:space="0" w:color="000000"/>
              <w:bottom w:val="single" w:sz="4" w:space="0" w:color="000000"/>
              <w:right w:val="single" w:sz="4" w:space="0" w:color="000000"/>
            </w:tcBorders>
            <w:shd w:val="clear" w:color="000000" w:fill="305496"/>
            <w:vAlign w:val="center"/>
            <w:hideMark/>
          </w:tcPr>
          <w:p w14:paraId="434ED0EE" w14:textId="77777777" w:rsidR="00002C14" w:rsidRPr="009431BB" w:rsidRDefault="00002C14" w:rsidP="00985591">
            <w:pPr>
              <w:spacing w:line="276" w:lineRule="auto"/>
              <w:jc w:val="center"/>
              <w:rPr>
                <w:rFonts w:ascii="Book Antiqua" w:hAnsi="Book Antiqua"/>
                <w:b/>
                <w:bCs/>
                <w:color w:val="FFFFFF"/>
                <w:sz w:val="16"/>
                <w:szCs w:val="16"/>
                <w:lang w:eastAsia="es-CR"/>
              </w:rPr>
            </w:pPr>
            <w:r w:rsidRPr="009431BB">
              <w:rPr>
                <w:rFonts w:ascii="Book Antiqua" w:hAnsi="Book Antiqua"/>
                <w:b/>
                <w:bCs/>
                <w:color w:val="FFFFFF"/>
                <w:sz w:val="16"/>
                <w:szCs w:val="16"/>
                <w:lang w:eastAsia="es-CR"/>
              </w:rPr>
              <w:t>jul-21</w:t>
            </w:r>
          </w:p>
        </w:tc>
      </w:tr>
      <w:tr w:rsidR="00002C14" w:rsidRPr="009431BB" w14:paraId="29C4AA53" w14:textId="77777777" w:rsidTr="009431BB">
        <w:trPr>
          <w:trHeight w:val="290"/>
          <w:jc w:val="center"/>
        </w:trPr>
        <w:tc>
          <w:tcPr>
            <w:tcW w:w="4299" w:type="dxa"/>
            <w:tcBorders>
              <w:top w:val="nil"/>
              <w:left w:val="single" w:sz="4" w:space="0" w:color="000000"/>
              <w:bottom w:val="single" w:sz="4" w:space="0" w:color="000000"/>
              <w:right w:val="single" w:sz="4" w:space="0" w:color="000000"/>
            </w:tcBorders>
            <w:shd w:val="clear" w:color="000000" w:fill="DDEBF7"/>
            <w:vAlign w:val="center"/>
            <w:hideMark/>
          </w:tcPr>
          <w:p w14:paraId="67D2DEDE" w14:textId="77777777" w:rsidR="00002C14" w:rsidRPr="009431BB" w:rsidRDefault="00002C14" w:rsidP="00985591">
            <w:pPr>
              <w:spacing w:line="276" w:lineRule="auto"/>
              <w:rPr>
                <w:rFonts w:ascii="Book Antiqua" w:hAnsi="Book Antiqua"/>
                <w:b/>
                <w:bCs/>
                <w:color w:val="000000"/>
                <w:sz w:val="16"/>
                <w:szCs w:val="16"/>
                <w:lang w:eastAsia="es-CR"/>
              </w:rPr>
            </w:pPr>
            <w:r w:rsidRPr="009431BB">
              <w:rPr>
                <w:rFonts w:ascii="Book Antiqua" w:hAnsi="Book Antiqua"/>
                <w:b/>
                <w:bCs/>
                <w:color w:val="000000"/>
                <w:sz w:val="16"/>
                <w:szCs w:val="16"/>
                <w:lang w:eastAsia="es-CR"/>
              </w:rPr>
              <w:t>Reuniones Restaurativas señaladas</w:t>
            </w:r>
          </w:p>
        </w:tc>
        <w:tc>
          <w:tcPr>
            <w:tcW w:w="1200" w:type="dxa"/>
            <w:tcBorders>
              <w:top w:val="nil"/>
              <w:left w:val="nil"/>
              <w:bottom w:val="single" w:sz="4" w:space="0" w:color="000000"/>
              <w:right w:val="single" w:sz="4" w:space="0" w:color="000000"/>
            </w:tcBorders>
            <w:shd w:val="clear" w:color="000000" w:fill="DDEBF7"/>
            <w:vAlign w:val="center"/>
            <w:hideMark/>
          </w:tcPr>
          <w:p w14:paraId="1FBCD1AD" w14:textId="77777777" w:rsidR="00002C14" w:rsidRPr="009431BB" w:rsidRDefault="00002C14" w:rsidP="00985591">
            <w:pPr>
              <w:spacing w:line="276" w:lineRule="auto"/>
              <w:jc w:val="center"/>
              <w:rPr>
                <w:rFonts w:ascii="Book Antiqua" w:hAnsi="Book Antiqua"/>
                <w:b/>
                <w:bCs/>
                <w:color w:val="000000"/>
                <w:sz w:val="16"/>
                <w:szCs w:val="16"/>
                <w:lang w:eastAsia="es-CR"/>
              </w:rPr>
            </w:pPr>
            <w:r w:rsidRPr="009431BB">
              <w:rPr>
                <w:rFonts w:ascii="Book Antiqua" w:hAnsi="Book Antiqua"/>
                <w:b/>
                <w:bCs/>
                <w:color w:val="000000"/>
                <w:sz w:val="16"/>
                <w:szCs w:val="16"/>
                <w:lang w:eastAsia="es-CR"/>
              </w:rPr>
              <w:t>209</w:t>
            </w:r>
          </w:p>
        </w:tc>
      </w:tr>
      <w:tr w:rsidR="00002C14" w:rsidRPr="009431BB" w14:paraId="113314B2" w14:textId="77777777" w:rsidTr="009431BB">
        <w:trPr>
          <w:trHeight w:val="290"/>
          <w:jc w:val="center"/>
        </w:trPr>
        <w:tc>
          <w:tcPr>
            <w:tcW w:w="4299" w:type="dxa"/>
            <w:tcBorders>
              <w:top w:val="nil"/>
              <w:left w:val="single" w:sz="4" w:space="0" w:color="000000"/>
              <w:bottom w:val="single" w:sz="4" w:space="0" w:color="000000"/>
              <w:right w:val="single" w:sz="4" w:space="0" w:color="000000"/>
            </w:tcBorders>
            <w:shd w:val="clear" w:color="000000" w:fill="FFFFFF"/>
            <w:vAlign w:val="center"/>
            <w:hideMark/>
          </w:tcPr>
          <w:p w14:paraId="78C6E8C6" w14:textId="77777777" w:rsidR="00002C14" w:rsidRPr="009431BB" w:rsidRDefault="00002C14" w:rsidP="00985591">
            <w:pPr>
              <w:spacing w:line="276" w:lineRule="auto"/>
              <w:rPr>
                <w:rFonts w:ascii="Book Antiqua" w:hAnsi="Book Antiqua"/>
                <w:b/>
                <w:bCs/>
                <w:color w:val="000000"/>
                <w:sz w:val="16"/>
                <w:szCs w:val="16"/>
                <w:lang w:eastAsia="es-CR"/>
              </w:rPr>
            </w:pPr>
            <w:r w:rsidRPr="009431BB">
              <w:rPr>
                <w:rFonts w:ascii="Book Antiqua" w:hAnsi="Book Antiqua"/>
                <w:b/>
                <w:bCs/>
                <w:color w:val="000000"/>
                <w:sz w:val="16"/>
                <w:szCs w:val="16"/>
                <w:lang w:eastAsia="es-CR"/>
              </w:rPr>
              <w:t>Realizadas</w:t>
            </w:r>
          </w:p>
        </w:tc>
        <w:tc>
          <w:tcPr>
            <w:tcW w:w="1200" w:type="dxa"/>
            <w:tcBorders>
              <w:top w:val="nil"/>
              <w:left w:val="nil"/>
              <w:bottom w:val="single" w:sz="4" w:space="0" w:color="000000"/>
              <w:right w:val="single" w:sz="4" w:space="0" w:color="000000"/>
            </w:tcBorders>
            <w:shd w:val="clear" w:color="000000" w:fill="FFFFFF"/>
            <w:vAlign w:val="center"/>
            <w:hideMark/>
          </w:tcPr>
          <w:p w14:paraId="01DCDDBC" w14:textId="77777777" w:rsidR="00002C14" w:rsidRPr="009431BB" w:rsidRDefault="00002C14" w:rsidP="00985591">
            <w:pPr>
              <w:spacing w:line="276" w:lineRule="auto"/>
              <w:jc w:val="center"/>
              <w:rPr>
                <w:rFonts w:ascii="Book Antiqua" w:hAnsi="Book Antiqua"/>
                <w:color w:val="000000"/>
                <w:sz w:val="16"/>
                <w:szCs w:val="16"/>
                <w:lang w:eastAsia="es-CR"/>
              </w:rPr>
            </w:pPr>
            <w:r w:rsidRPr="009431BB">
              <w:rPr>
                <w:rFonts w:ascii="Book Antiqua" w:hAnsi="Book Antiqua"/>
                <w:color w:val="000000"/>
                <w:sz w:val="16"/>
                <w:szCs w:val="16"/>
                <w:lang w:eastAsia="es-CR"/>
              </w:rPr>
              <w:t>175</w:t>
            </w:r>
          </w:p>
        </w:tc>
      </w:tr>
      <w:tr w:rsidR="00002C14" w:rsidRPr="009431BB" w14:paraId="16C8396D" w14:textId="77777777" w:rsidTr="009431BB">
        <w:trPr>
          <w:trHeight w:val="290"/>
          <w:jc w:val="center"/>
        </w:trPr>
        <w:tc>
          <w:tcPr>
            <w:tcW w:w="4299" w:type="dxa"/>
            <w:tcBorders>
              <w:top w:val="nil"/>
              <w:left w:val="single" w:sz="4" w:space="0" w:color="000000"/>
              <w:bottom w:val="single" w:sz="4" w:space="0" w:color="000000"/>
              <w:right w:val="single" w:sz="4" w:space="0" w:color="000000"/>
            </w:tcBorders>
            <w:shd w:val="clear" w:color="000000" w:fill="FFFFFF"/>
            <w:vAlign w:val="center"/>
            <w:hideMark/>
          </w:tcPr>
          <w:p w14:paraId="6FADA843" w14:textId="77777777" w:rsidR="00002C14" w:rsidRPr="009431BB" w:rsidRDefault="00002C14" w:rsidP="00985591">
            <w:pPr>
              <w:spacing w:line="276" w:lineRule="auto"/>
              <w:rPr>
                <w:rFonts w:ascii="Book Antiqua" w:hAnsi="Book Antiqua"/>
                <w:color w:val="000000"/>
                <w:sz w:val="16"/>
                <w:szCs w:val="16"/>
                <w:lang w:eastAsia="es-CR"/>
              </w:rPr>
            </w:pPr>
            <w:r w:rsidRPr="009431BB">
              <w:rPr>
                <w:rFonts w:ascii="Book Antiqua" w:hAnsi="Book Antiqua"/>
                <w:color w:val="000000"/>
                <w:sz w:val="16"/>
                <w:szCs w:val="16"/>
                <w:lang w:eastAsia="es-CR"/>
              </w:rPr>
              <w:t>Con acuerdo</w:t>
            </w:r>
          </w:p>
        </w:tc>
        <w:tc>
          <w:tcPr>
            <w:tcW w:w="1200" w:type="dxa"/>
            <w:tcBorders>
              <w:top w:val="nil"/>
              <w:left w:val="nil"/>
              <w:bottom w:val="single" w:sz="4" w:space="0" w:color="000000"/>
              <w:right w:val="single" w:sz="4" w:space="0" w:color="000000"/>
            </w:tcBorders>
            <w:shd w:val="clear" w:color="000000" w:fill="FFFFFF"/>
            <w:vAlign w:val="center"/>
            <w:hideMark/>
          </w:tcPr>
          <w:p w14:paraId="741CFAA3" w14:textId="77777777" w:rsidR="00002C14" w:rsidRPr="009431BB" w:rsidRDefault="00002C14" w:rsidP="00985591">
            <w:pPr>
              <w:spacing w:line="276" w:lineRule="auto"/>
              <w:jc w:val="center"/>
              <w:rPr>
                <w:rFonts w:ascii="Book Antiqua" w:hAnsi="Book Antiqua"/>
                <w:color w:val="000000"/>
                <w:sz w:val="16"/>
                <w:szCs w:val="16"/>
                <w:lang w:eastAsia="es-CR"/>
              </w:rPr>
            </w:pPr>
            <w:r w:rsidRPr="009431BB">
              <w:rPr>
                <w:rFonts w:ascii="Book Antiqua" w:hAnsi="Book Antiqua" w:cs="Tahoma"/>
                <w:sz w:val="16"/>
                <w:szCs w:val="16"/>
                <w:lang w:val="es-ES_tradnl" w:eastAsia="es-CR"/>
              </w:rPr>
              <w:t>158</w:t>
            </w:r>
          </w:p>
        </w:tc>
      </w:tr>
      <w:tr w:rsidR="00002C14" w:rsidRPr="009431BB" w14:paraId="69406A5B" w14:textId="77777777" w:rsidTr="009431BB">
        <w:trPr>
          <w:trHeight w:val="290"/>
          <w:jc w:val="center"/>
        </w:trPr>
        <w:tc>
          <w:tcPr>
            <w:tcW w:w="4299" w:type="dxa"/>
            <w:tcBorders>
              <w:top w:val="nil"/>
              <w:left w:val="single" w:sz="4" w:space="0" w:color="000000"/>
              <w:bottom w:val="single" w:sz="4" w:space="0" w:color="000000"/>
              <w:right w:val="single" w:sz="4" w:space="0" w:color="000000"/>
            </w:tcBorders>
            <w:shd w:val="clear" w:color="000000" w:fill="FFFFFF"/>
            <w:vAlign w:val="center"/>
            <w:hideMark/>
          </w:tcPr>
          <w:p w14:paraId="1A4FC7F7" w14:textId="77777777" w:rsidR="00002C14" w:rsidRPr="009431BB" w:rsidRDefault="00002C14" w:rsidP="00985591">
            <w:pPr>
              <w:spacing w:line="276" w:lineRule="auto"/>
              <w:rPr>
                <w:rFonts w:ascii="Book Antiqua" w:hAnsi="Book Antiqua"/>
                <w:color w:val="000000"/>
                <w:sz w:val="16"/>
                <w:szCs w:val="16"/>
                <w:lang w:eastAsia="es-CR"/>
              </w:rPr>
            </w:pPr>
            <w:r w:rsidRPr="009431BB">
              <w:rPr>
                <w:rFonts w:ascii="Book Antiqua" w:hAnsi="Book Antiqua"/>
                <w:color w:val="000000"/>
                <w:sz w:val="16"/>
                <w:szCs w:val="16"/>
                <w:lang w:eastAsia="es-CR"/>
              </w:rPr>
              <w:t>No hubo acuerdo</w:t>
            </w:r>
          </w:p>
        </w:tc>
        <w:tc>
          <w:tcPr>
            <w:tcW w:w="1200" w:type="dxa"/>
            <w:tcBorders>
              <w:top w:val="nil"/>
              <w:left w:val="nil"/>
              <w:bottom w:val="single" w:sz="4" w:space="0" w:color="000000"/>
              <w:right w:val="single" w:sz="4" w:space="0" w:color="000000"/>
            </w:tcBorders>
            <w:shd w:val="clear" w:color="000000" w:fill="FFFFFF"/>
            <w:vAlign w:val="center"/>
            <w:hideMark/>
          </w:tcPr>
          <w:p w14:paraId="01B71F82" w14:textId="77777777" w:rsidR="00002C14" w:rsidRPr="009431BB" w:rsidRDefault="00002C14" w:rsidP="00985591">
            <w:pPr>
              <w:spacing w:line="276" w:lineRule="auto"/>
              <w:jc w:val="center"/>
              <w:rPr>
                <w:rFonts w:ascii="Book Antiqua" w:hAnsi="Book Antiqua"/>
                <w:color w:val="000000"/>
                <w:sz w:val="16"/>
                <w:szCs w:val="16"/>
                <w:lang w:eastAsia="es-CR"/>
              </w:rPr>
            </w:pPr>
            <w:r w:rsidRPr="009431BB">
              <w:rPr>
                <w:rFonts w:ascii="Book Antiqua" w:hAnsi="Book Antiqua" w:cs="Tahoma"/>
                <w:sz w:val="16"/>
                <w:szCs w:val="16"/>
                <w:lang w:val="es-ES_tradnl" w:eastAsia="es-CR"/>
              </w:rPr>
              <w:t>17</w:t>
            </w:r>
          </w:p>
        </w:tc>
      </w:tr>
      <w:tr w:rsidR="00002C14" w:rsidRPr="009431BB" w14:paraId="24DBD88B" w14:textId="77777777" w:rsidTr="009431BB">
        <w:trPr>
          <w:trHeight w:val="290"/>
          <w:jc w:val="center"/>
        </w:trPr>
        <w:tc>
          <w:tcPr>
            <w:tcW w:w="4299" w:type="dxa"/>
            <w:tcBorders>
              <w:top w:val="nil"/>
              <w:left w:val="single" w:sz="4" w:space="0" w:color="000000"/>
              <w:bottom w:val="single" w:sz="4" w:space="0" w:color="000000"/>
              <w:right w:val="single" w:sz="4" w:space="0" w:color="000000"/>
            </w:tcBorders>
            <w:shd w:val="clear" w:color="000000" w:fill="FFFFFF"/>
            <w:vAlign w:val="center"/>
            <w:hideMark/>
          </w:tcPr>
          <w:p w14:paraId="673D24BD" w14:textId="77777777" w:rsidR="00002C14" w:rsidRPr="009431BB" w:rsidRDefault="00002C14" w:rsidP="00985591">
            <w:pPr>
              <w:spacing w:line="276" w:lineRule="auto"/>
              <w:rPr>
                <w:rFonts w:ascii="Book Antiqua" w:hAnsi="Book Antiqua"/>
                <w:b/>
                <w:bCs/>
                <w:color w:val="000000"/>
                <w:sz w:val="16"/>
                <w:szCs w:val="16"/>
                <w:lang w:eastAsia="es-CR"/>
              </w:rPr>
            </w:pPr>
            <w:r w:rsidRPr="009431BB">
              <w:rPr>
                <w:rFonts w:ascii="Book Antiqua" w:hAnsi="Book Antiqua"/>
                <w:b/>
                <w:bCs/>
                <w:color w:val="000000"/>
                <w:sz w:val="16"/>
                <w:szCs w:val="16"/>
                <w:lang w:eastAsia="es-CR"/>
              </w:rPr>
              <w:t>No realizadas</w:t>
            </w:r>
          </w:p>
        </w:tc>
        <w:tc>
          <w:tcPr>
            <w:tcW w:w="1200" w:type="dxa"/>
            <w:tcBorders>
              <w:top w:val="nil"/>
              <w:left w:val="nil"/>
              <w:bottom w:val="single" w:sz="4" w:space="0" w:color="000000"/>
              <w:right w:val="single" w:sz="4" w:space="0" w:color="000000"/>
            </w:tcBorders>
            <w:shd w:val="clear" w:color="000000" w:fill="FFFFFF"/>
            <w:vAlign w:val="center"/>
            <w:hideMark/>
          </w:tcPr>
          <w:p w14:paraId="2FB744EC" w14:textId="77777777" w:rsidR="00002C14" w:rsidRPr="009431BB" w:rsidRDefault="00002C14" w:rsidP="00985591">
            <w:pPr>
              <w:spacing w:line="276" w:lineRule="auto"/>
              <w:jc w:val="center"/>
              <w:rPr>
                <w:rFonts w:ascii="Book Antiqua" w:hAnsi="Book Antiqua"/>
                <w:color w:val="000000"/>
                <w:sz w:val="16"/>
                <w:szCs w:val="16"/>
                <w:lang w:eastAsia="es-CR"/>
              </w:rPr>
            </w:pPr>
            <w:r w:rsidRPr="009431BB">
              <w:rPr>
                <w:rFonts w:ascii="Book Antiqua" w:hAnsi="Book Antiqua"/>
                <w:color w:val="000000"/>
                <w:sz w:val="16"/>
                <w:szCs w:val="16"/>
                <w:lang w:eastAsia="es-CR"/>
              </w:rPr>
              <w:t>34</w:t>
            </w:r>
          </w:p>
        </w:tc>
      </w:tr>
      <w:tr w:rsidR="00002C14" w:rsidRPr="009431BB" w14:paraId="26F519F8" w14:textId="77777777" w:rsidTr="009431BB">
        <w:trPr>
          <w:trHeight w:val="290"/>
          <w:jc w:val="center"/>
        </w:trPr>
        <w:tc>
          <w:tcPr>
            <w:tcW w:w="4299" w:type="dxa"/>
            <w:tcBorders>
              <w:top w:val="nil"/>
              <w:left w:val="single" w:sz="4" w:space="0" w:color="000000"/>
              <w:bottom w:val="single" w:sz="4" w:space="0" w:color="000000"/>
              <w:right w:val="single" w:sz="4" w:space="0" w:color="000000"/>
            </w:tcBorders>
            <w:shd w:val="clear" w:color="000000" w:fill="DDEBF7"/>
            <w:vAlign w:val="center"/>
            <w:hideMark/>
          </w:tcPr>
          <w:p w14:paraId="210F18ED" w14:textId="600125E6" w:rsidR="00002C14" w:rsidRPr="009431BB" w:rsidRDefault="00002C14" w:rsidP="00985591">
            <w:pPr>
              <w:spacing w:line="276" w:lineRule="auto"/>
              <w:rPr>
                <w:rFonts w:ascii="Book Antiqua" w:hAnsi="Book Antiqua"/>
                <w:b/>
                <w:bCs/>
                <w:color w:val="000000"/>
                <w:sz w:val="16"/>
                <w:szCs w:val="16"/>
                <w:lang w:eastAsia="es-CR"/>
              </w:rPr>
            </w:pPr>
            <w:r w:rsidRPr="009431BB">
              <w:rPr>
                <w:rFonts w:ascii="Book Antiqua" w:hAnsi="Book Antiqua"/>
                <w:b/>
                <w:bCs/>
                <w:color w:val="000000"/>
                <w:sz w:val="16"/>
                <w:szCs w:val="16"/>
                <w:lang w:eastAsia="es-CR"/>
              </w:rPr>
              <w:t>Audiencia Verificación Señaladas</w:t>
            </w:r>
          </w:p>
        </w:tc>
        <w:tc>
          <w:tcPr>
            <w:tcW w:w="1200" w:type="dxa"/>
            <w:tcBorders>
              <w:top w:val="nil"/>
              <w:left w:val="nil"/>
              <w:bottom w:val="single" w:sz="4" w:space="0" w:color="000000"/>
              <w:right w:val="single" w:sz="4" w:space="0" w:color="000000"/>
            </w:tcBorders>
            <w:shd w:val="clear" w:color="000000" w:fill="DDEBF7"/>
            <w:vAlign w:val="center"/>
            <w:hideMark/>
          </w:tcPr>
          <w:p w14:paraId="5B3BFA10" w14:textId="77777777" w:rsidR="00002C14" w:rsidRPr="009431BB" w:rsidRDefault="00002C14" w:rsidP="00985591">
            <w:pPr>
              <w:spacing w:line="276" w:lineRule="auto"/>
              <w:jc w:val="center"/>
              <w:rPr>
                <w:rFonts w:ascii="Book Antiqua" w:hAnsi="Book Antiqua"/>
                <w:b/>
                <w:bCs/>
                <w:color w:val="000000"/>
                <w:sz w:val="16"/>
                <w:szCs w:val="16"/>
                <w:lang w:eastAsia="es-CR"/>
              </w:rPr>
            </w:pPr>
            <w:r w:rsidRPr="009431BB">
              <w:rPr>
                <w:rFonts w:ascii="Book Antiqua" w:hAnsi="Book Antiqua"/>
                <w:b/>
                <w:bCs/>
                <w:color w:val="000000"/>
                <w:sz w:val="16"/>
                <w:szCs w:val="16"/>
                <w:lang w:eastAsia="es-CR"/>
              </w:rPr>
              <w:t>61</w:t>
            </w:r>
          </w:p>
        </w:tc>
      </w:tr>
      <w:tr w:rsidR="00002C14" w:rsidRPr="009431BB" w14:paraId="5D7CD25E" w14:textId="77777777" w:rsidTr="009431BB">
        <w:trPr>
          <w:trHeight w:val="290"/>
          <w:jc w:val="center"/>
        </w:trPr>
        <w:tc>
          <w:tcPr>
            <w:tcW w:w="4299" w:type="dxa"/>
            <w:tcBorders>
              <w:top w:val="nil"/>
              <w:left w:val="single" w:sz="4" w:space="0" w:color="000000"/>
              <w:bottom w:val="single" w:sz="4" w:space="0" w:color="000000"/>
              <w:right w:val="single" w:sz="4" w:space="0" w:color="000000"/>
            </w:tcBorders>
            <w:shd w:val="clear" w:color="000000" w:fill="FFFFFF"/>
            <w:vAlign w:val="center"/>
            <w:hideMark/>
          </w:tcPr>
          <w:p w14:paraId="23F216FD" w14:textId="77777777" w:rsidR="00002C14" w:rsidRPr="009431BB" w:rsidRDefault="00002C14" w:rsidP="00985591">
            <w:pPr>
              <w:spacing w:line="276" w:lineRule="auto"/>
              <w:rPr>
                <w:rFonts w:ascii="Book Antiqua" w:hAnsi="Book Antiqua"/>
                <w:color w:val="000000"/>
                <w:sz w:val="16"/>
                <w:szCs w:val="16"/>
                <w:lang w:eastAsia="es-CR"/>
              </w:rPr>
            </w:pPr>
            <w:r w:rsidRPr="009431BB">
              <w:rPr>
                <w:rFonts w:ascii="Book Antiqua" w:hAnsi="Book Antiqua"/>
                <w:color w:val="000000"/>
                <w:sz w:val="16"/>
                <w:szCs w:val="16"/>
                <w:lang w:eastAsia="es-CR"/>
              </w:rPr>
              <w:t>Se mantiene medida alterna</w:t>
            </w:r>
          </w:p>
        </w:tc>
        <w:tc>
          <w:tcPr>
            <w:tcW w:w="1200" w:type="dxa"/>
            <w:tcBorders>
              <w:top w:val="nil"/>
              <w:left w:val="nil"/>
              <w:bottom w:val="single" w:sz="4" w:space="0" w:color="000000"/>
              <w:right w:val="single" w:sz="4" w:space="0" w:color="000000"/>
            </w:tcBorders>
            <w:shd w:val="clear" w:color="000000" w:fill="FFFFFF"/>
            <w:vAlign w:val="center"/>
            <w:hideMark/>
          </w:tcPr>
          <w:p w14:paraId="19689DDC" w14:textId="77777777" w:rsidR="00002C14" w:rsidRPr="009431BB" w:rsidRDefault="00002C14" w:rsidP="00985591">
            <w:pPr>
              <w:spacing w:line="276" w:lineRule="auto"/>
              <w:jc w:val="center"/>
              <w:rPr>
                <w:rFonts w:ascii="Book Antiqua" w:hAnsi="Book Antiqua"/>
                <w:color w:val="000000"/>
                <w:sz w:val="16"/>
                <w:szCs w:val="16"/>
                <w:lang w:eastAsia="es-CR"/>
              </w:rPr>
            </w:pPr>
            <w:r w:rsidRPr="009431BB">
              <w:rPr>
                <w:rFonts w:ascii="Book Antiqua" w:hAnsi="Book Antiqua"/>
                <w:color w:val="000000"/>
                <w:sz w:val="16"/>
                <w:szCs w:val="16"/>
                <w:lang w:eastAsia="es-CR"/>
              </w:rPr>
              <w:t>37</w:t>
            </w:r>
          </w:p>
        </w:tc>
      </w:tr>
      <w:tr w:rsidR="00002C14" w:rsidRPr="009431BB" w14:paraId="35DBC2B3" w14:textId="77777777" w:rsidTr="009431BB">
        <w:trPr>
          <w:trHeight w:val="290"/>
          <w:jc w:val="center"/>
        </w:trPr>
        <w:tc>
          <w:tcPr>
            <w:tcW w:w="4299" w:type="dxa"/>
            <w:tcBorders>
              <w:top w:val="nil"/>
              <w:left w:val="single" w:sz="4" w:space="0" w:color="000000"/>
              <w:bottom w:val="single" w:sz="4" w:space="0" w:color="000000"/>
              <w:right w:val="single" w:sz="4" w:space="0" w:color="000000"/>
            </w:tcBorders>
            <w:shd w:val="clear" w:color="000000" w:fill="FFFFFF"/>
            <w:vAlign w:val="center"/>
            <w:hideMark/>
          </w:tcPr>
          <w:p w14:paraId="189F4B00" w14:textId="77777777" w:rsidR="00002C14" w:rsidRPr="009431BB" w:rsidRDefault="00002C14" w:rsidP="00985591">
            <w:pPr>
              <w:spacing w:line="276" w:lineRule="auto"/>
              <w:rPr>
                <w:rFonts w:ascii="Book Antiqua" w:hAnsi="Book Antiqua"/>
                <w:color w:val="000000"/>
                <w:sz w:val="16"/>
                <w:szCs w:val="16"/>
                <w:lang w:eastAsia="es-CR"/>
              </w:rPr>
            </w:pPr>
            <w:r w:rsidRPr="009431BB">
              <w:rPr>
                <w:rFonts w:ascii="Book Antiqua" w:hAnsi="Book Antiqua"/>
                <w:color w:val="000000"/>
                <w:sz w:val="16"/>
                <w:szCs w:val="16"/>
                <w:lang w:eastAsia="es-CR"/>
              </w:rPr>
              <w:t>Se modifica medida alterna</w:t>
            </w:r>
          </w:p>
        </w:tc>
        <w:tc>
          <w:tcPr>
            <w:tcW w:w="1200" w:type="dxa"/>
            <w:tcBorders>
              <w:top w:val="nil"/>
              <w:left w:val="nil"/>
              <w:bottom w:val="single" w:sz="4" w:space="0" w:color="000000"/>
              <w:right w:val="single" w:sz="4" w:space="0" w:color="000000"/>
            </w:tcBorders>
            <w:shd w:val="clear" w:color="000000" w:fill="FFFFFF"/>
            <w:vAlign w:val="center"/>
            <w:hideMark/>
          </w:tcPr>
          <w:p w14:paraId="320CF33A" w14:textId="77777777" w:rsidR="00002C14" w:rsidRPr="009431BB" w:rsidRDefault="00002C14" w:rsidP="00985591">
            <w:pPr>
              <w:spacing w:line="276" w:lineRule="auto"/>
              <w:jc w:val="center"/>
              <w:rPr>
                <w:rFonts w:ascii="Book Antiqua" w:hAnsi="Book Antiqua"/>
                <w:color w:val="000000"/>
                <w:sz w:val="16"/>
                <w:szCs w:val="16"/>
                <w:lang w:eastAsia="es-CR"/>
              </w:rPr>
            </w:pPr>
            <w:r w:rsidRPr="009431BB">
              <w:rPr>
                <w:rFonts w:ascii="Book Antiqua" w:hAnsi="Book Antiqua"/>
                <w:color w:val="000000"/>
                <w:sz w:val="16"/>
                <w:szCs w:val="16"/>
                <w:lang w:eastAsia="es-CR"/>
              </w:rPr>
              <w:t>19</w:t>
            </w:r>
          </w:p>
        </w:tc>
      </w:tr>
      <w:tr w:rsidR="00002C14" w:rsidRPr="009431BB" w14:paraId="70FDC3FD" w14:textId="77777777" w:rsidTr="009431BB">
        <w:trPr>
          <w:trHeight w:val="290"/>
          <w:jc w:val="center"/>
        </w:trPr>
        <w:tc>
          <w:tcPr>
            <w:tcW w:w="4299" w:type="dxa"/>
            <w:tcBorders>
              <w:top w:val="nil"/>
              <w:left w:val="single" w:sz="4" w:space="0" w:color="000000"/>
              <w:bottom w:val="single" w:sz="4" w:space="0" w:color="000000"/>
              <w:right w:val="single" w:sz="4" w:space="0" w:color="000000"/>
            </w:tcBorders>
            <w:shd w:val="clear" w:color="000000" w:fill="FFFFFF"/>
            <w:vAlign w:val="center"/>
            <w:hideMark/>
          </w:tcPr>
          <w:p w14:paraId="4AC92392" w14:textId="77777777" w:rsidR="00002C14" w:rsidRPr="009431BB" w:rsidRDefault="00002C14" w:rsidP="00985591">
            <w:pPr>
              <w:spacing w:line="276" w:lineRule="auto"/>
              <w:rPr>
                <w:rFonts w:ascii="Book Antiqua" w:hAnsi="Book Antiqua"/>
                <w:color w:val="000000"/>
                <w:sz w:val="16"/>
                <w:szCs w:val="16"/>
                <w:lang w:eastAsia="es-CR"/>
              </w:rPr>
            </w:pPr>
            <w:r w:rsidRPr="009431BB">
              <w:rPr>
                <w:rFonts w:ascii="Book Antiqua" w:hAnsi="Book Antiqua"/>
                <w:color w:val="000000"/>
                <w:sz w:val="16"/>
                <w:szCs w:val="16"/>
                <w:lang w:eastAsia="es-CR"/>
              </w:rPr>
              <w:t>Se revoca medida alterna</w:t>
            </w:r>
          </w:p>
        </w:tc>
        <w:tc>
          <w:tcPr>
            <w:tcW w:w="1200" w:type="dxa"/>
            <w:tcBorders>
              <w:top w:val="nil"/>
              <w:left w:val="nil"/>
              <w:bottom w:val="single" w:sz="4" w:space="0" w:color="000000"/>
              <w:right w:val="single" w:sz="4" w:space="0" w:color="000000"/>
            </w:tcBorders>
            <w:shd w:val="clear" w:color="000000" w:fill="FFFFFF"/>
            <w:vAlign w:val="center"/>
            <w:hideMark/>
          </w:tcPr>
          <w:p w14:paraId="21666A03" w14:textId="77777777" w:rsidR="00002C14" w:rsidRPr="009431BB" w:rsidRDefault="00002C14" w:rsidP="00985591">
            <w:pPr>
              <w:spacing w:line="276" w:lineRule="auto"/>
              <w:jc w:val="center"/>
              <w:rPr>
                <w:rFonts w:ascii="Book Antiqua" w:hAnsi="Book Antiqua"/>
                <w:color w:val="000000"/>
                <w:sz w:val="16"/>
                <w:szCs w:val="16"/>
                <w:lang w:eastAsia="es-CR"/>
              </w:rPr>
            </w:pPr>
            <w:r w:rsidRPr="009431BB">
              <w:rPr>
                <w:rFonts w:ascii="Book Antiqua" w:hAnsi="Book Antiqua"/>
                <w:color w:val="000000"/>
                <w:sz w:val="16"/>
                <w:szCs w:val="16"/>
                <w:lang w:eastAsia="es-CR"/>
              </w:rPr>
              <w:t>4</w:t>
            </w:r>
          </w:p>
        </w:tc>
      </w:tr>
      <w:tr w:rsidR="00002C14" w:rsidRPr="009431BB" w14:paraId="297078A5" w14:textId="77777777" w:rsidTr="009431BB">
        <w:trPr>
          <w:trHeight w:val="290"/>
          <w:jc w:val="center"/>
        </w:trPr>
        <w:tc>
          <w:tcPr>
            <w:tcW w:w="4299" w:type="dxa"/>
            <w:tcBorders>
              <w:top w:val="nil"/>
              <w:left w:val="single" w:sz="4" w:space="0" w:color="000000"/>
              <w:bottom w:val="single" w:sz="4" w:space="0" w:color="000000"/>
              <w:right w:val="single" w:sz="4" w:space="0" w:color="000000"/>
            </w:tcBorders>
            <w:shd w:val="clear" w:color="000000" w:fill="FFFFFF"/>
            <w:vAlign w:val="center"/>
            <w:hideMark/>
          </w:tcPr>
          <w:p w14:paraId="5254A503" w14:textId="77777777" w:rsidR="00002C14" w:rsidRPr="009431BB" w:rsidRDefault="00002C14" w:rsidP="00985591">
            <w:pPr>
              <w:spacing w:line="276" w:lineRule="auto"/>
              <w:rPr>
                <w:rFonts w:ascii="Book Antiqua" w:hAnsi="Book Antiqua"/>
                <w:color w:val="000000"/>
                <w:sz w:val="16"/>
                <w:szCs w:val="16"/>
                <w:lang w:eastAsia="es-CR"/>
              </w:rPr>
            </w:pPr>
            <w:r w:rsidRPr="009431BB">
              <w:rPr>
                <w:rFonts w:ascii="Book Antiqua" w:hAnsi="Book Antiqua"/>
                <w:color w:val="000000"/>
                <w:sz w:val="16"/>
                <w:szCs w:val="16"/>
                <w:lang w:eastAsia="es-CR"/>
              </w:rPr>
              <w:t>Se homologa indemnización seguro</w:t>
            </w:r>
          </w:p>
        </w:tc>
        <w:tc>
          <w:tcPr>
            <w:tcW w:w="1200" w:type="dxa"/>
            <w:tcBorders>
              <w:top w:val="nil"/>
              <w:left w:val="nil"/>
              <w:bottom w:val="single" w:sz="4" w:space="0" w:color="000000"/>
              <w:right w:val="single" w:sz="4" w:space="0" w:color="000000"/>
            </w:tcBorders>
            <w:shd w:val="clear" w:color="000000" w:fill="FFFFFF"/>
            <w:vAlign w:val="center"/>
            <w:hideMark/>
          </w:tcPr>
          <w:p w14:paraId="144B57B5" w14:textId="77777777" w:rsidR="00002C14" w:rsidRPr="009431BB" w:rsidRDefault="00002C14" w:rsidP="00985591">
            <w:pPr>
              <w:spacing w:line="276" w:lineRule="auto"/>
              <w:jc w:val="center"/>
              <w:rPr>
                <w:rFonts w:ascii="Book Antiqua" w:hAnsi="Book Antiqua"/>
                <w:color w:val="000000"/>
                <w:sz w:val="16"/>
                <w:szCs w:val="16"/>
                <w:lang w:eastAsia="es-CR"/>
              </w:rPr>
            </w:pPr>
            <w:r w:rsidRPr="009431BB">
              <w:rPr>
                <w:rFonts w:ascii="Book Antiqua" w:hAnsi="Book Antiqua"/>
                <w:color w:val="000000"/>
                <w:sz w:val="16"/>
                <w:szCs w:val="16"/>
                <w:lang w:eastAsia="es-CR"/>
              </w:rPr>
              <w:t>1</w:t>
            </w:r>
          </w:p>
        </w:tc>
      </w:tr>
      <w:tr w:rsidR="00002C14" w:rsidRPr="009431BB" w14:paraId="648E06EF" w14:textId="77777777" w:rsidTr="009431BB">
        <w:trPr>
          <w:trHeight w:val="290"/>
          <w:jc w:val="center"/>
        </w:trPr>
        <w:tc>
          <w:tcPr>
            <w:tcW w:w="4299" w:type="dxa"/>
            <w:tcBorders>
              <w:top w:val="nil"/>
              <w:left w:val="single" w:sz="4" w:space="0" w:color="000000"/>
              <w:bottom w:val="single" w:sz="4" w:space="0" w:color="000000"/>
              <w:right w:val="single" w:sz="4" w:space="0" w:color="000000"/>
            </w:tcBorders>
            <w:shd w:val="clear" w:color="000000" w:fill="DDEBF7"/>
            <w:vAlign w:val="center"/>
            <w:hideMark/>
          </w:tcPr>
          <w:p w14:paraId="5AD12D21" w14:textId="77777777" w:rsidR="00002C14" w:rsidRPr="009431BB" w:rsidRDefault="00002C14" w:rsidP="00985591">
            <w:pPr>
              <w:spacing w:line="276" w:lineRule="auto"/>
              <w:rPr>
                <w:rFonts w:ascii="Book Antiqua" w:hAnsi="Book Antiqua"/>
                <w:b/>
                <w:bCs/>
                <w:color w:val="000000"/>
                <w:sz w:val="16"/>
                <w:szCs w:val="16"/>
                <w:lang w:eastAsia="es-CR"/>
              </w:rPr>
            </w:pPr>
            <w:r w:rsidRPr="009431BB">
              <w:rPr>
                <w:rFonts w:ascii="Book Antiqua" w:hAnsi="Book Antiqua"/>
                <w:b/>
                <w:bCs/>
                <w:color w:val="000000"/>
                <w:sz w:val="16"/>
                <w:szCs w:val="16"/>
                <w:lang w:eastAsia="es-CR"/>
              </w:rPr>
              <w:t>Red de apoyo</w:t>
            </w:r>
          </w:p>
        </w:tc>
        <w:tc>
          <w:tcPr>
            <w:tcW w:w="1200" w:type="dxa"/>
            <w:tcBorders>
              <w:top w:val="nil"/>
              <w:left w:val="nil"/>
              <w:bottom w:val="single" w:sz="4" w:space="0" w:color="000000"/>
              <w:right w:val="single" w:sz="4" w:space="0" w:color="000000"/>
            </w:tcBorders>
            <w:shd w:val="clear" w:color="000000" w:fill="DDEBF7"/>
            <w:vAlign w:val="center"/>
            <w:hideMark/>
          </w:tcPr>
          <w:p w14:paraId="25BD2701" w14:textId="77777777" w:rsidR="00002C14" w:rsidRPr="009431BB" w:rsidRDefault="00002C14" w:rsidP="00985591">
            <w:pPr>
              <w:spacing w:line="276" w:lineRule="auto"/>
              <w:jc w:val="center"/>
              <w:rPr>
                <w:rFonts w:ascii="Book Antiqua" w:hAnsi="Book Antiqua"/>
                <w:color w:val="000000"/>
                <w:sz w:val="16"/>
                <w:szCs w:val="16"/>
                <w:lang w:eastAsia="es-CR"/>
              </w:rPr>
            </w:pPr>
            <w:r w:rsidRPr="009431BB">
              <w:rPr>
                <w:rFonts w:ascii="Book Antiqua" w:hAnsi="Book Antiqua"/>
                <w:color w:val="000000"/>
                <w:sz w:val="16"/>
                <w:szCs w:val="16"/>
                <w:lang w:eastAsia="es-CR"/>
              </w:rPr>
              <w:t> </w:t>
            </w:r>
          </w:p>
        </w:tc>
      </w:tr>
      <w:tr w:rsidR="00002C14" w:rsidRPr="009431BB" w14:paraId="2E49117A" w14:textId="77777777" w:rsidTr="009431BB">
        <w:trPr>
          <w:trHeight w:val="290"/>
          <w:jc w:val="center"/>
        </w:trPr>
        <w:tc>
          <w:tcPr>
            <w:tcW w:w="4299" w:type="dxa"/>
            <w:tcBorders>
              <w:top w:val="nil"/>
              <w:left w:val="single" w:sz="4" w:space="0" w:color="000000"/>
              <w:bottom w:val="single" w:sz="4" w:space="0" w:color="000000"/>
              <w:right w:val="single" w:sz="4" w:space="0" w:color="000000"/>
            </w:tcBorders>
            <w:shd w:val="clear" w:color="000000" w:fill="FFFFFF"/>
            <w:vAlign w:val="center"/>
            <w:hideMark/>
          </w:tcPr>
          <w:p w14:paraId="37ACFA28" w14:textId="77777777" w:rsidR="00002C14" w:rsidRPr="009431BB" w:rsidRDefault="00002C14" w:rsidP="00985591">
            <w:pPr>
              <w:spacing w:line="276" w:lineRule="auto"/>
              <w:rPr>
                <w:rFonts w:ascii="Book Antiqua" w:hAnsi="Book Antiqua"/>
                <w:color w:val="000000"/>
                <w:sz w:val="16"/>
                <w:szCs w:val="16"/>
                <w:lang w:eastAsia="es-CR"/>
              </w:rPr>
            </w:pPr>
            <w:r w:rsidRPr="009431BB">
              <w:rPr>
                <w:rFonts w:ascii="Book Antiqua" w:hAnsi="Book Antiqua"/>
                <w:color w:val="000000"/>
                <w:sz w:val="16"/>
                <w:szCs w:val="16"/>
                <w:lang w:eastAsia="es-CR"/>
              </w:rPr>
              <w:t>Coordinaciones interinstitucionales</w:t>
            </w:r>
          </w:p>
        </w:tc>
        <w:tc>
          <w:tcPr>
            <w:tcW w:w="1200" w:type="dxa"/>
            <w:tcBorders>
              <w:top w:val="nil"/>
              <w:left w:val="nil"/>
              <w:bottom w:val="single" w:sz="4" w:space="0" w:color="000000"/>
              <w:right w:val="single" w:sz="4" w:space="0" w:color="000000"/>
            </w:tcBorders>
            <w:shd w:val="clear" w:color="000000" w:fill="FFFFFF"/>
            <w:vAlign w:val="center"/>
            <w:hideMark/>
          </w:tcPr>
          <w:p w14:paraId="0205A9A0" w14:textId="77777777" w:rsidR="00002C14" w:rsidRPr="009431BB" w:rsidRDefault="00002C14" w:rsidP="00985591">
            <w:pPr>
              <w:spacing w:line="276" w:lineRule="auto"/>
              <w:jc w:val="center"/>
              <w:rPr>
                <w:rFonts w:ascii="Book Antiqua" w:hAnsi="Book Antiqua"/>
                <w:color w:val="000000"/>
                <w:sz w:val="16"/>
                <w:szCs w:val="16"/>
                <w:lang w:eastAsia="es-CR"/>
              </w:rPr>
            </w:pPr>
            <w:r w:rsidRPr="009431BB">
              <w:rPr>
                <w:rFonts w:ascii="Book Antiqua" w:hAnsi="Book Antiqua"/>
                <w:color w:val="000000"/>
                <w:sz w:val="16"/>
                <w:szCs w:val="16"/>
                <w:lang w:eastAsia="es-CR"/>
              </w:rPr>
              <w:t>372</w:t>
            </w:r>
          </w:p>
        </w:tc>
      </w:tr>
      <w:tr w:rsidR="00002C14" w:rsidRPr="009431BB" w14:paraId="330AADDD" w14:textId="77777777" w:rsidTr="009431BB">
        <w:trPr>
          <w:trHeight w:val="290"/>
          <w:jc w:val="center"/>
        </w:trPr>
        <w:tc>
          <w:tcPr>
            <w:tcW w:w="4299" w:type="dxa"/>
            <w:tcBorders>
              <w:top w:val="nil"/>
              <w:left w:val="single" w:sz="4" w:space="0" w:color="000000"/>
              <w:bottom w:val="single" w:sz="4" w:space="0" w:color="000000"/>
              <w:right w:val="single" w:sz="4" w:space="0" w:color="000000"/>
            </w:tcBorders>
            <w:shd w:val="clear" w:color="000000" w:fill="FFFFFF"/>
            <w:vAlign w:val="center"/>
            <w:hideMark/>
          </w:tcPr>
          <w:p w14:paraId="4430518F" w14:textId="77777777" w:rsidR="00002C14" w:rsidRPr="009431BB" w:rsidRDefault="00002C14" w:rsidP="00985591">
            <w:pPr>
              <w:spacing w:line="276" w:lineRule="auto"/>
              <w:rPr>
                <w:rFonts w:ascii="Book Antiqua" w:hAnsi="Book Antiqua"/>
                <w:b/>
                <w:bCs/>
                <w:color w:val="000000"/>
                <w:sz w:val="16"/>
                <w:szCs w:val="16"/>
                <w:lang w:eastAsia="es-CR"/>
              </w:rPr>
            </w:pPr>
            <w:r w:rsidRPr="009431BB">
              <w:rPr>
                <w:rFonts w:ascii="Book Antiqua" w:hAnsi="Book Antiqua"/>
                <w:b/>
                <w:bCs/>
                <w:color w:val="000000"/>
                <w:sz w:val="16"/>
                <w:szCs w:val="16"/>
                <w:lang w:eastAsia="es-CR"/>
              </w:rPr>
              <w:t>Cantidad de instituciones que conforman la red</w:t>
            </w:r>
          </w:p>
        </w:tc>
        <w:tc>
          <w:tcPr>
            <w:tcW w:w="1200" w:type="dxa"/>
            <w:tcBorders>
              <w:top w:val="nil"/>
              <w:left w:val="nil"/>
              <w:bottom w:val="single" w:sz="4" w:space="0" w:color="000000"/>
              <w:right w:val="single" w:sz="4" w:space="0" w:color="000000"/>
            </w:tcBorders>
            <w:shd w:val="clear" w:color="000000" w:fill="FFFFFF"/>
            <w:vAlign w:val="center"/>
            <w:hideMark/>
          </w:tcPr>
          <w:p w14:paraId="0CB5BC6F" w14:textId="77777777" w:rsidR="00002C14" w:rsidRPr="009431BB" w:rsidRDefault="00002C14" w:rsidP="00985591">
            <w:pPr>
              <w:spacing w:line="276" w:lineRule="auto"/>
              <w:jc w:val="center"/>
              <w:rPr>
                <w:rFonts w:ascii="Book Antiqua" w:hAnsi="Book Antiqua"/>
                <w:color w:val="000000"/>
                <w:sz w:val="16"/>
                <w:szCs w:val="16"/>
                <w:lang w:eastAsia="es-CR"/>
              </w:rPr>
            </w:pPr>
            <w:r w:rsidRPr="009431BB">
              <w:rPr>
                <w:rFonts w:ascii="Book Antiqua" w:hAnsi="Book Antiqua"/>
                <w:color w:val="000000"/>
                <w:sz w:val="16"/>
                <w:szCs w:val="16"/>
                <w:lang w:eastAsia="es-CR"/>
              </w:rPr>
              <w:t>1491</w:t>
            </w:r>
          </w:p>
        </w:tc>
      </w:tr>
      <w:tr w:rsidR="00002C14" w:rsidRPr="009431BB" w14:paraId="2EBFFD40" w14:textId="77777777" w:rsidTr="009431BB">
        <w:trPr>
          <w:trHeight w:val="290"/>
          <w:jc w:val="center"/>
        </w:trPr>
        <w:tc>
          <w:tcPr>
            <w:tcW w:w="4299" w:type="dxa"/>
            <w:tcBorders>
              <w:top w:val="nil"/>
              <w:left w:val="single" w:sz="4" w:space="0" w:color="000000"/>
              <w:bottom w:val="single" w:sz="4" w:space="0" w:color="000000"/>
              <w:right w:val="single" w:sz="4" w:space="0" w:color="000000"/>
            </w:tcBorders>
            <w:shd w:val="clear" w:color="000000" w:fill="DDEBF7"/>
            <w:vAlign w:val="center"/>
            <w:hideMark/>
          </w:tcPr>
          <w:p w14:paraId="3BBCD253" w14:textId="77777777" w:rsidR="00002C14" w:rsidRPr="009431BB" w:rsidRDefault="00002C14" w:rsidP="00985591">
            <w:pPr>
              <w:spacing w:line="276" w:lineRule="auto"/>
              <w:rPr>
                <w:rFonts w:ascii="Book Antiqua" w:hAnsi="Book Antiqua"/>
                <w:b/>
                <w:bCs/>
                <w:color w:val="000000"/>
                <w:sz w:val="16"/>
                <w:szCs w:val="16"/>
                <w:lang w:eastAsia="es-CR"/>
              </w:rPr>
            </w:pPr>
            <w:r w:rsidRPr="009431BB">
              <w:rPr>
                <w:rFonts w:ascii="Book Antiqua" w:hAnsi="Book Antiqua"/>
                <w:b/>
                <w:bCs/>
                <w:color w:val="000000"/>
                <w:sz w:val="16"/>
                <w:szCs w:val="16"/>
                <w:lang w:eastAsia="es-CR"/>
              </w:rPr>
              <w:t>Entrevistas</w:t>
            </w:r>
          </w:p>
        </w:tc>
        <w:tc>
          <w:tcPr>
            <w:tcW w:w="1200" w:type="dxa"/>
            <w:tcBorders>
              <w:top w:val="nil"/>
              <w:left w:val="nil"/>
              <w:bottom w:val="single" w:sz="4" w:space="0" w:color="000000"/>
              <w:right w:val="single" w:sz="4" w:space="0" w:color="000000"/>
            </w:tcBorders>
            <w:shd w:val="clear" w:color="000000" w:fill="DDEBF7"/>
            <w:vAlign w:val="center"/>
            <w:hideMark/>
          </w:tcPr>
          <w:p w14:paraId="55DD883A" w14:textId="77777777" w:rsidR="00002C14" w:rsidRPr="009431BB" w:rsidRDefault="00002C14" w:rsidP="00985591">
            <w:pPr>
              <w:spacing w:line="276" w:lineRule="auto"/>
              <w:jc w:val="center"/>
              <w:rPr>
                <w:rFonts w:ascii="Book Antiqua" w:hAnsi="Book Antiqua"/>
                <w:color w:val="000000"/>
                <w:sz w:val="16"/>
                <w:szCs w:val="16"/>
                <w:lang w:eastAsia="es-CR"/>
              </w:rPr>
            </w:pPr>
            <w:r w:rsidRPr="009431BB">
              <w:rPr>
                <w:rFonts w:ascii="Book Antiqua" w:hAnsi="Book Antiqua"/>
                <w:color w:val="000000"/>
                <w:sz w:val="16"/>
                <w:szCs w:val="16"/>
                <w:lang w:eastAsia="es-CR"/>
              </w:rPr>
              <w:t> </w:t>
            </w:r>
          </w:p>
        </w:tc>
      </w:tr>
      <w:tr w:rsidR="00002C14" w:rsidRPr="009431BB" w14:paraId="1EE13E23" w14:textId="77777777" w:rsidTr="009431BB">
        <w:trPr>
          <w:trHeight w:val="290"/>
          <w:jc w:val="center"/>
        </w:trPr>
        <w:tc>
          <w:tcPr>
            <w:tcW w:w="4299" w:type="dxa"/>
            <w:tcBorders>
              <w:top w:val="nil"/>
              <w:left w:val="single" w:sz="4" w:space="0" w:color="000000"/>
              <w:bottom w:val="single" w:sz="4" w:space="0" w:color="000000"/>
              <w:right w:val="single" w:sz="4" w:space="0" w:color="000000"/>
            </w:tcBorders>
            <w:shd w:val="clear" w:color="000000" w:fill="FFFFFF"/>
            <w:vAlign w:val="center"/>
            <w:hideMark/>
          </w:tcPr>
          <w:p w14:paraId="16635479" w14:textId="77777777" w:rsidR="00002C14" w:rsidRPr="009431BB" w:rsidRDefault="00002C14" w:rsidP="00985591">
            <w:pPr>
              <w:spacing w:line="276" w:lineRule="auto"/>
              <w:rPr>
                <w:rFonts w:ascii="Book Antiqua" w:hAnsi="Book Antiqua"/>
                <w:b/>
                <w:bCs/>
                <w:color w:val="000000"/>
                <w:sz w:val="16"/>
                <w:szCs w:val="16"/>
                <w:lang w:eastAsia="es-CR"/>
              </w:rPr>
            </w:pPr>
            <w:r w:rsidRPr="009431BB">
              <w:rPr>
                <w:rFonts w:ascii="Book Antiqua" w:hAnsi="Book Antiqua"/>
                <w:b/>
                <w:bCs/>
                <w:color w:val="000000"/>
                <w:sz w:val="16"/>
                <w:szCs w:val="16"/>
                <w:lang w:eastAsia="es-CR"/>
              </w:rPr>
              <w:t>Legales</w:t>
            </w:r>
          </w:p>
        </w:tc>
        <w:tc>
          <w:tcPr>
            <w:tcW w:w="1200" w:type="dxa"/>
            <w:tcBorders>
              <w:top w:val="nil"/>
              <w:left w:val="nil"/>
              <w:bottom w:val="single" w:sz="4" w:space="0" w:color="000000"/>
              <w:right w:val="single" w:sz="4" w:space="0" w:color="000000"/>
            </w:tcBorders>
            <w:shd w:val="clear" w:color="000000" w:fill="FFFFFF"/>
            <w:vAlign w:val="center"/>
            <w:hideMark/>
          </w:tcPr>
          <w:p w14:paraId="7BAC5FB9" w14:textId="77777777" w:rsidR="00002C14" w:rsidRPr="009431BB" w:rsidRDefault="00002C14" w:rsidP="00985591">
            <w:pPr>
              <w:spacing w:line="276" w:lineRule="auto"/>
              <w:jc w:val="center"/>
              <w:rPr>
                <w:rFonts w:ascii="Book Antiqua" w:hAnsi="Book Antiqua"/>
                <w:color w:val="000000"/>
                <w:sz w:val="16"/>
                <w:szCs w:val="16"/>
                <w:lang w:eastAsia="es-CR"/>
              </w:rPr>
            </w:pPr>
            <w:r w:rsidRPr="009431BB">
              <w:rPr>
                <w:rFonts w:ascii="Book Antiqua" w:hAnsi="Book Antiqua"/>
                <w:color w:val="000000"/>
                <w:sz w:val="16"/>
                <w:szCs w:val="16"/>
                <w:lang w:eastAsia="es-CR"/>
              </w:rPr>
              <w:t>261</w:t>
            </w:r>
          </w:p>
        </w:tc>
      </w:tr>
      <w:tr w:rsidR="00002C14" w:rsidRPr="009431BB" w14:paraId="46B87A19" w14:textId="77777777" w:rsidTr="009431BB">
        <w:trPr>
          <w:trHeight w:val="290"/>
          <w:jc w:val="center"/>
        </w:trPr>
        <w:tc>
          <w:tcPr>
            <w:tcW w:w="4299" w:type="dxa"/>
            <w:tcBorders>
              <w:top w:val="nil"/>
              <w:left w:val="single" w:sz="4" w:space="0" w:color="000000"/>
              <w:bottom w:val="single" w:sz="4" w:space="0" w:color="000000"/>
              <w:right w:val="single" w:sz="4" w:space="0" w:color="000000"/>
            </w:tcBorders>
            <w:shd w:val="clear" w:color="000000" w:fill="FFFFFF"/>
            <w:vAlign w:val="center"/>
            <w:hideMark/>
          </w:tcPr>
          <w:p w14:paraId="421976FE" w14:textId="77777777" w:rsidR="00002C14" w:rsidRPr="009431BB" w:rsidRDefault="00002C14" w:rsidP="00985591">
            <w:pPr>
              <w:spacing w:line="276" w:lineRule="auto"/>
              <w:rPr>
                <w:rFonts w:ascii="Book Antiqua" w:hAnsi="Book Antiqua"/>
                <w:b/>
                <w:bCs/>
                <w:color w:val="000000"/>
                <w:sz w:val="16"/>
                <w:szCs w:val="16"/>
                <w:lang w:eastAsia="es-CR"/>
              </w:rPr>
            </w:pPr>
            <w:r w:rsidRPr="009431BB">
              <w:rPr>
                <w:rFonts w:ascii="Book Antiqua" w:hAnsi="Book Antiqua"/>
                <w:b/>
                <w:bCs/>
                <w:color w:val="000000"/>
                <w:sz w:val="16"/>
                <w:szCs w:val="16"/>
                <w:lang w:eastAsia="es-CR"/>
              </w:rPr>
              <w:t>Psicosociales</w:t>
            </w:r>
          </w:p>
        </w:tc>
        <w:tc>
          <w:tcPr>
            <w:tcW w:w="1200" w:type="dxa"/>
            <w:tcBorders>
              <w:top w:val="nil"/>
              <w:left w:val="nil"/>
              <w:bottom w:val="single" w:sz="4" w:space="0" w:color="000000"/>
              <w:right w:val="single" w:sz="4" w:space="0" w:color="000000"/>
            </w:tcBorders>
            <w:shd w:val="clear" w:color="000000" w:fill="FFFFFF"/>
            <w:vAlign w:val="center"/>
            <w:hideMark/>
          </w:tcPr>
          <w:p w14:paraId="65F6C38A" w14:textId="77777777" w:rsidR="00002C14" w:rsidRPr="009431BB" w:rsidRDefault="00002C14" w:rsidP="00985591">
            <w:pPr>
              <w:spacing w:line="276" w:lineRule="auto"/>
              <w:jc w:val="center"/>
              <w:rPr>
                <w:rFonts w:ascii="Book Antiqua" w:hAnsi="Book Antiqua"/>
                <w:color w:val="000000"/>
                <w:sz w:val="16"/>
                <w:szCs w:val="16"/>
                <w:lang w:eastAsia="es-CR"/>
              </w:rPr>
            </w:pPr>
            <w:r w:rsidRPr="009431BB">
              <w:rPr>
                <w:rFonts w:ascii="Book Antiqua" w:hAnsi="Book Antiqua"/>
                <w:color w:val="000000"/>
                <w:sz w:val="16"/>
                <w:szCs w:val="16"/>
                <w:lang w:eastAsia="es-CR"/>
              </w:rPr>
              <w:t>209</w:t>
            </w:r>
          </w:p>
        </w:tc>
      </w:tr>
      <w:tr w:rsidR="00002C14" w:rsidRPr="009431BB" w14:paraId="5F1E07DD" w14:textId="77777777" w:rsidTr="009431BB">
        <w:trPr>
          <w:trHeight w:val="290"/>
          <w:jc w:val="center"/>
        </w:trPr>
        <w:tc>
          <w:tcPr>
            <w:tcW w:w="4299" w:type="dxa"/>
            <w:tcBorders>
              <w:top w:val="nil"/>
              <w:left w:val="single" w:sz="4" w:space="0" w:color="000000"/>
              <w:bottom w:val="single" w:sz="4" w:space="0" w:color="000000"/>
              <w:right w:val="single" w:sz="4" w:space="0" w:color="000000"/>
            </w:tcBorders>
            <w:shd w:val="clear" w:color="000000" w:fill="FFFFFF"/>
            <w:vAlign w:val="center"/>
            <w:hideMark/>
          </w:tcPr>
          <w:p w14:paraId="2E30D950" w14:textId="77777777" w:rsidR="00002C14" w:rsidRPr="009431BB" w:rsidRDefault="00002C14" w:rsidP="00985591">
            <w:pPr>
              <w:spacing w:line="276" w:lineRule="auto"/>
              <w:rPr>
                <w:rFonts w:ascii="Book Antiqua" w:hAnsi="Book Antiqua"/>
                <w:b/>
                <w:bCs/>
                <w:color w:val="000000"/>
                <w:sz w:val="16"/>
                <w:szCs w:val="16"/>
                <w:lang w:eastAsia="es-CR"/>
              </w:rPr>
            </w:pPr>
            <w:r w:rsidRPr="009431BB">
              <w:rPr>
                <w:rFonts w:ascii="Book Antiqua" w:hAnsi="Book Antiqua"/>
                <w:b/>
                <w:bCs/>
                <w:color w:val="000000"/>
                <w:sz w:val="16"/>
                <w:szCs w:val="16"/>
                <w:lang w:eastAsia="es-CR"/>
              </w:rPr>
              <w:t>Seguimiento de medidas alternas</w:t>
            </w:r>
          </w:p>
        </w:tc>
        <w:tc>
          <w:tcPr>
            <w:tcW w:w="1200" w:type="dxa"/>
            <w:tcBorders>
              <w:top w:val="nil"/>
              <w:left w:val="nil"/>
              <w:bottom w:val="single" w:sz="4" w:space="0" w:color="000000"/>
              <w:right w:val="single" w:sz="4" w:space="0" w:color="000000"/>
            </w:tcBorders>
            <w:shd w:val="clear" w:color="000000" w:fill="FFFFFF"/>
            <w:vAlign w:val="center"/>
            <w:hideMark/>
          </w:tcPr>
          <w:p w14:paraId="230DAFCD" w14:textId="77777777" w:rsidR="00002C14" w:rsidRPr="009431BB" w:rsidRDefault="00002C14" w:rsidP="00985591">
            <w:pPr>
              <w:spacing w:line="276" w:lineRule="auto"/>
              <w:jc w:val="center"/>
              <w:rPr>
                <w:rFonts w:ascii="Book Antiqua" w:hAnsi="Book Antiqua"/>
                <w:color w:val="000000"/>
                <w:sz w:val="16"/>
                <w:szCs w:val="16"/>
                <w:lang w:eastAsia="es-CR"/>
              </w:rPr>
            </w:pPr>
            <w:r w:rsidRPr="009431BB">
              <w:rPr>
                <w:rFonts w:ascii="Book Antiqua" w:hAnsi="Book Antiqua"/>
                <w:color w:val="000000"/>
                <w:sz w:val="16"/>
                <w:szCs w:val="16"/>
                <w:lang w:eastAsia="es-CR"/>
              </w:rPr>
              <w:t>105</w:t>
            </w:r>
          </w:p>
        </w:tc>
      </w:tr>
    </w:tbl>
    <w:p w14:paraId="55B144A2" w14:textId="56E7D5D1" w:rsidR="003A2C4C" w:rsidRPr="004F0E92" w:rsidRDefault="003A2C4C" w:rsidP="00985591">
      <w:pPr>
        <w:spacing w:line="276" w:lineRule="auto"/>
        <w:jc w:val="center"/>
        <w:rPr>
          <w:rFonts w:ascii="Book Antiqua" w:hAnsi="Book Antiqua"/>
          <w:b/>
          <w:bCs/>
          <w:color w:val="000000" w:themeColor="text1"/>
          <w:sz w:val="20"/>
          <w:szCs w:val="20"/>
        </w:rPr>
      </w:pPr>
      <w:r w:rsidRPr="004F0E92">
        <w:rPr>
          <w:rFonts w:ascii="Book Antiqua" w:hAnsi="Book Antiqua"/>
          <w:b/>
          <w:bCs/>
          <w:color w:val="000000" w:themeColor="text1"/>
          <w:sz w:val="20"/>
          <w:szCs w:val="20"/>
        </w:rPr>
        <w:t xml:space="preserve">Fuente: </w:t>
      </w:r>
      <w:r w:rsidRPr="004F0E92">
        <w:rPr>
          <w:rFonts w:ascii="Book Antiqua" w:hAnsi="Book Antiqua"/>
          <w:color w:val="000000" w:themeColor="text1"/>
          <w:sz w:val="20"/>
          <w:szCs w:val="20"/>
        </w:rPr>
        <w:t>Elabora</w:t>
      </w:r>
      <w:r>
        <w:rPr>
          <w:rFonts w:ascii="Book Antiqua" w:hAnsi="Book Antiqua"/>
          <w:color w:val="000000" w:themeColor="text1"/>
          <w:sz w:val="20"/>
          <w:szCs w:val="20"/>
        </w:rPr>
        <w:t>do por la Oficina Rectora de Justicia Restaurativa</w:t>
      </w:r>
    </w:p>
    <w:p w14:paraId="77647C7E" w14:textId="77777777" w:rsidR="00E736E5" w:rsidRPr="004F0E92" w:rsidRDefault="00E736E5" w:rsidP="00985591">
      <w:pPr>
        <w:spacing w:line="276" w:lineRule="auto"/>
        <w:rPr>
          <w:rFonts w:ascii="Book Antiqua" w:hAnsi="Book Antiqua"/>
        </w:rPr>
      </w:pPr>
    </w:p>
    <w:p w14:paraId="6508F0AC" w14:textId="4F227595" w:rsidR="00E736E5" w:rsidRPr="004F0E92" w:rsidRDefault="00E736E5" w:rsidP="00985591">
      <w:pPr>
        <w:spacing w:line="276" w:lineRule="auto"/>
        <w:jc w:val="both"/>
        <w:rPr>
          <w:rFonts w:ascii="Book Antiqua" w:hAnsi="Book Antiqua"/>
        </w:rPr>
      </w:pPr>
      <w:r w:rsidRPr="004F0E92">
        <w:rPr>
          <w:rFonts w:ascii="Book Antiqua" w:hAnsi="Book Antiqua"/>
        </w:rPr>
        <w:t xml:space="preserve">A continuación, los datos más relevantes del mes de </w:t>
      </w:r>
      <w:r w:rsidR="003A2C4C">
        <w:rPr>
          <w:rFonts w:ascii="Book Antiqua" w:hAnsi="Book Antiqua"/>
        </w:rPr>
        <w:t>julio</w:t>
      </w:r>
      <w:r w:rsidRPr="004F0E92">
        <w:rPr>
          <w:rFonts w:ascii="Book Antiqua" w:hAnsi="Book Antiqua"/>
        </w:rPr>
        <w:t xml:space="preserve"> del 202</w:t>
      </w:r>
      <w:r w:rsidR="00205D3C">
        <w:rPr>
          <w:rFonts w:ascii="Book Antiqua" w:hAnsi="Book Antiqua"/>
        </w:rPr>
        <w:t>1</w:t>
      </w:r>
      <w:r w:rsidRPr="004F0E92">
        <w:rPr>
          <w:rFonts w:ascii="Book Antiqua" w:hAnsi="Book Antiqua"/>
        </w:rPr>
        <w:t xml:space="preserve"> de Justicia Juvenil Restaurativa: </w:t>
      </w:r>
    </w:p>
    <w:p w14:paraId="58DB1A97" w14:textId="77777777" w:rsidR="003D1C19" w:rsidRDefault="003D1C19" w:rsidP="00985591">
      <w:pPr>
        <w:spacing w:line="276" w:lineRule="auto"/>
        <w:jc w:val="center"/>
        <w:rPr>
          <w:rFonts w:ascii="Book Antiqua" w:hAnsi="Book Antiqua"/>
          <w:lang w:eastAsia="en-US"/>
        </w:rPr>
      </w:pPr>
    </w:p>
    <w:p w14:paraId="731F674C" w14:textId="7AC39ADB" w:rsidR="003D1C19" w:rsidRPr="00BF2ABA" w:rsidRDefault="003A2C4C" w:rsidP="00985591">
      <w:pPr>
        <w:spacing w:line="276" w:lineRule="auto"/>
        <w:jc w:val="both"/>
        <w:rPr>
          <w:rFonts w:ascii="Book Antiqua" w:hAnsi="Book Antiqua"/>
        </w:rPr>
      </w:pPr>
      <w:r>
        <w:rPr>
          <w:rFonts w:ascii="Book Antiqua" w:hAnsi="Book Antiqua"/>
        </w:rPr>
        <w:t>Se identifica que, del</w:t>
      </w:r>
      <w:r w:rsidR="003D1C19" w:rsidRPr="00BF2ABA">
        <w:rPr>
          <w:rFonts w:ascii="Book Antiqua" w:hAnsi="Book Antiqua"/>
        </w:rPr>
        <w:t xml:space="preserve"> total de reuniones restaurativas (</w:t>
      </w:r>
      <w:r w:rsidR="0044292F">
        <w:rPr>
          <w:rFonts w:ascii="Book Antiqua" w:hAnsi="Book Antiqua"/>
        </w:rPr>
        <w:t>23</w:t>
      </w:r>
      <w:r w:rsidR="003D1C19" w:rsidRPr="00BF2ABA">
        <w:rPr>
          <w:rFonts w:ascii="Book Antiqua" w:hAnsi="Book Antiqua"/>
        </w:rPr>
        <w:t xml:space="preserve">), el </w:t>
      </w:r>
      <w:r w:rsidR="0044292F">
        <w:rPr>
          <w:rFonts w:ascii="Book Antiqua" w:hAnsi="Book Antiqua"/>
        </w:rPr>
        <w:t>86.96</w:t>
      </w:r>
      <w:r w:rsidR="003D1C19" w:rsidRPr="00BF2ABA">
        <w:rPr>
          <w:rFonts w:ascii="Book Antiqua" w:hAnsi="Book Antiqua"/>
        </w:rPr>
        <w:t xml:space="preserve">% de estas se realizaron, además, de ese porcentaje el </w:t>
      </w:r>
      <w:r w:rsidR="0044292F">
        <w:rPr>
          <w:rFonts w:ascii="Book Antiqua" w:hAnsi="Book Antiqua"/>
        </w:rPr>
        <w:t>100</w:t>
      </w:r>
      <w:r w:rsidR="003D1C19" w:rsidRPr="00BF2ABA">
        <w:rPr>
          <w:rFonts w:ascii="Book Antiqua" w:hAnsi="Book Antiqua"/>
        </w:rPr>
        <w:t xml:space="preserve">% tuvieron acuerdos, el porcentaje de las no realizadas fue de un </w:t>
      </w:r>
      <w:r w:rsidR="0044292F">
        <w:rPr>
          <w:rFonts w:ascii="Book Antiqua" w:hAnsi="Book Antiqua"/>
        </w:rPr>
        <w:t>13.04</w:t>
      </w:r>
      <w:r w:rsidR="003D1C19" w:rsidRPr="00BF2ABA">
        <w:rPr>
          <w:rFonts w:ascii="Book Antiqua" w:hAnsi="Book Antiqua"/>
        </w:rPr>
        <w:t xml:space="preserve">%. En relación con las audiencias de verificación señaladas (en total </w:t>
      </w:r>
      <w:r w:rsidR="0044292F">
        <w:rPr>
          <w:rFonts w:ascii="Book Antiqua" w:hAnsi="Book Antiqua"/>
        </w:rPr>
        <w:t>3</w:t>
      </w:r>
      <w:r w:rsidR="00BC470F" w:rsidRPr="00BF2ABA">
        <w:rPr>
          <w:rFonts w:ascii="Book Antiqua" w:hAnsi="Book Antiqua"/>
        </w:rPr>
        <w:t>), las</w:t>
      </w:r>
      <w:r w:rsidR="003D1C19" w:rsidRPr="00BF2ABA">
        <w:rPr>
          <w:rFonts w:ascii="Book Antiqua" w:hAnsi="Book Antiqua"/>
        </w:rPr>
        <w:t xml:space="preserve"> realizadas fueron de</w:t>
      </w:r>
      <w:r w:rsidR="0044292F">
        <w:rPr>
          <w:rFonts w:ascii="Book Antiqua" w:hAnsi="Book Antiqua"/>
        </w:rPr>
        <w:t xml:space="preserve"> 100% y las no realizada y</w:t>
      </w:r>
      <w:r w:rsidR="003D1C19" w:rsidRPr="00BF2ABA">
        <w:rPr>
          <w:rFonts w:ascii="Book Antiqua" w:hAnsi="Book Antiqua"/>
        </w:rPr>
        <w:t xml:space="preserve"> revocadas de un cero por ciento. </w:t>
      </w:r>
    </w:p>
    <w:p w14:paraId="4FB24E05" w14:textId="77777777" w:rsidR="000072DE" w:rsidRPr="00BF2ABA" w:rsidRDefault="000072DE" w:rsidP="00985591">
      <w:pPr>
        <w:spacing w:line="276" w:lineRule="auto"/>
        <w:jc w:val="both"/>
        <w:rPr>
          <w:rFonts w:ascii="Book Antiqua" w:hAnsi="Book Antiqua"/>
        </w:rPr>
      </w:pPr>
    </w:p>
    <w:p w14:paraId="7C4D603D" w14:textId="66BF3071" w:rsidR="003D1C19" w:rsidRPr="004F0E92" w:rsidRDefault="003D1C19" w:rsidP="00985591">
      <w:pPr>
        <w:spacing w:line="276" w:lineRule="auto"/>
        <w:jc w:val="both"/>
        <w:rPr>
          <w:rFonts w:ascii="Book Antiqua" w:hAnsi="Book Antiqua"/>
        </w:rPr>
      </w:pPr>
      <w:r w:rsidRPr="00BF2ABA">
        <w:rPr>
          <w:rFonts w:ascii="Book Antiqua" w:hAnsi="Book Antiqua"/>
        </w:rPr>
        <w:t>Las demás actividades relacionadas con red de apoyo y entrevistas se visualizan en el siguiente cuadro:</w:t>
      </w:r>
    </w:p>
    <w:p w14:paraId="3F7200FE" w14:textId="77777777" w:rsidR="003D1C19" w:rsidRPr="0044292F" w:rsidRDefault="003D1C19" w:rsidP="00985591">
      <w:pPr>
        <w:spacing w:line="276" w:lineRule="auto"/>
        <w:jc w:val="both"/>
        <w:rPr>
          <w:rFonts w:ascii="Book Antiqua" w:hAnsi="Book Antiqua"/>
        </w:rPr>
      </w:pPr>
    </w:p>
    <w:p w14:paraId="44832587" w14:textId="0B5CBD6A" w:rsidR="000072DE" w:rsidRPr="0044292F" w:rsidRDefault="00E736E5" w:rsidP="00985591">
      <w:pPr>
        <w:spacing w:line="276" w:lineRule="auto"/>
        <w:jc w:val="center"/>
        <w:rPr>
          <w:rFonts w:ascii="Book Antiqua" w:hAnsi="Book Antiqua" w:cs="Arial"/>
          <w:b/>
          <w:bCs/>
        </w:rPr>
      </w:pPr>
      <w:r w:rsidRPr="0044292F">
        <w:rPr>
          <w:rFonts w:ascii="Book Antiqua" w:hAnsi="Book Antiqua"/>
          <w:b/>
          <w:bCs/>
          <w:lang w:eastAsia="en-US"/>
        </w:rPr>
        <w:t xml:space="preserve">Cuadro </w:t>
      </w:r>
      <w:r w:rsidR="0044292F" w:rsidRPr="0044292F">
        <w:rPr>
          <w:rFonts w:ascii="Book Antiqua" w:hAnsi="Book Antiqua"/>
          <w:b/>
          <w:bCs/>
          <w:lang w:eastAsia="en-US"/>
        </w:rPr>
        <w:t>6</w:t>
      </w:r>
      <w:r w:rsidR="0052233C">
        <w:rPr>
          <w:rFonts w:ascii="Book Antiqua" w:hAnsi="Book Antiqua"/>
          <w:b/>
          <w:bCs/>
          <w:lang w:eastAsia="en-US"/>
        </w:rPr>
        <w:t>6</w:t>
      </w:r>
    </w:p>
    <w:p w14:paraId="4158CFEF" w14:textId="7A1CF8D6" w:rsidR="000072DE" w:rsidRPr="0044292F" w:rsidRDefault="000072DE" w:rsidP="00985591">
      <w:pPr>
        <w:spacing w:line="276" w:lineRule="auto"/>
        <w:jc w:val="center"/>
        <w:rPr>
          <w:rFonts w:ascii="Book Antiqua" w:hAnsi="Book Antiqua" w:cs="Arial"/>
        </w:rPr>
      </w:pPr>
      <w:r w:rsidRPr="0044292F">
        <w:rPr>
          <w:rFonts w:ascii="Book Antiqua" w:hAnsi="Book Antiqua" w:cs="Arial"/>
        </w:rPr>
        <w:t xml:space="preserve">Estadísticas Justicia Juvenil Restaurativa </w:t>
      </w:r>
    </w:p>
    <w:p w14:paraId="64521D73" w14:textId="7FDB4BB8" w:rsidR="00E736E5" w:rsidRPr="0052233C" w:rsidRDefault="0044292F" w:rsidP="0052233C">
      <w:pPr>
        <w:spacing w:line="276" w:lineRule="auto"/>
        <w:jc w:val="center"/>
        <w:rPr>
          <w:rFonts w:ascii="Book Antiqua" w:hAnsi="Book Antiqua"/>
          <w:lang w:eastAsia="en-US"/>
        </w:rPr>
      </w:pPr>
      <w:r>
        <w:rPr>
          <w:rFonts w:ascii="Book Antiqua" w:hAnsi="Book Antiqua" w:cs="Arial"/>
        </w:rPr>
        <w:t>julio</w:t>
      </w:r>
      <w:r w:rsidR="000072DE" w:rsidRPr="0044292F">
        <w:rPr>
          <w:rFonts w:ascii="Book Antiqua" w:hAnsi="Book Antiqua" w:cs="Arial"/>
        </w:rPr>
        <w:t xml:space="preserve"> 2021</w:t>
      </w:r>
    </w:p>
    <w:tbl>
      <w:tblPr>
        <w:tblW w:w="5216" w:type="dxa"/>
        <w:jc w:val="center"/>
        <w:tblCellMar>
          <w:left w:w="70" w:type="dxa"/>
          <w:right w:w="70" w:type="dxa"/>
        </w:tblCellMar>
        <w:tblLook w:val="04A0" w:firstRow="1" w:lastRow="0" w:firstColumn="1" w:lastColumn="0" w:noHBand="0" w:noVBand="1"/>
      </w:tblPr>
      <w:tblGrid>
        <w:gridCol w:w="4016"/>
        <w:gridCol w:w="1200"/>
      </w:tblGrid>
      <w:tr w:rsidR="0044292F" w:rsidRPr="009431BB" w14:paraId="39C83FBA" w14:textId="77777777" w:rsidTr="009431BB">
        <w:trPr>
          <w:trHeight w:val="290"/>
          <w:jc w:val="center"/>
        </w:trPr>
        <w:tc>
          <w:tcPr>
            <w:tcW w:w="5216" w:type="dxa"/>
            <w:gridSpan w:val="2"/>
            <w:tcBorders>
              <w:top w:val="single" w:sz="4" w:space="0" w:color="000000"/>
              <w:left w:val="single" w:sz="4" w:space="0" w:color="000000"/>
              <w:bottom w:val="single" w:sz="4" w:space="0" w:color="000000"/>
              <w:right w:val="single" w:sz="4" w:space="0" w:color="000000"/>
            </w:tcBorders>
            <w:shd w:val="clear" w:color="000000" w:fill="305496"/>
            <w:vAlign w:val="center"/>
            <w:hideMark/>
          </w:tcPr>
          <w:p w14:paraId="3CAFA7E1" w14:textId="77777777" w:rsidR="0044292F" w:rsidRPr="009431BB" w:rsidRDefault="0044292F" w:rsidP="00985591">
            <w:pPr>
              <w:spacing w:line="276" w:lineRule="auto"/>
              <w:jc w:val="center"/>
              <w:rPr>
                <w:rFonts w:ascii="Book Antiqua" w:hAnsi="Book Antiqua"/>
                <w:b/>
                <w:bCs/>
                <w:color w:val="FFFFFF"/>
                <w:sz w:val="16"/>
                <w:szCs w:val="16"/>
                <w:lang w:eastAsia="es-CR"/>
              </w:rPr>
            </w:pPr>
            <w:r w:rsidRPr="009431BB">
              <w:rPr>
                <w:rFonts w:ascii="Book Antiqua" w:hAnsi="Book Antiqua"/>
                <w:b/>
                <w:bCs/>
                <w:color w:val="FFFFFF"/>
                <w:sz w:val="16"/>
                <w:szCs w:val="16"/>
                <w:lang w:eastAsia="es-CR"/>
              </w:rPr>
              <w:t>Estadísticas Justicia Juvenil Restaurativa</w:t>
            </w:r>
          </w:p>
        </w:tc>
      </w:tr>
      <w:tr w:rsidR="0044292F" w:rsidRPr="009431BB" w14:paraId="36BEC07C" w14:textId="77777777" w:rsidTr="009431BB">
        <w:trPr>
          <w:trHeight w:val="290"/>
          <w:jc w:val="center"/>
        </w:trPr>
        <w:tc>
          <w:tcPr>
            <w:tcW w:w="5216" w:type="dxa"/>
            <w:gridSpan w:val="2"/>
            <w:tcBorders>
              <w:top w:val="single" w:sz="4" w:space="0" w:color="000000"/>
              <w:left w:val="single" w:sz="4" w:space="0" w:color="000000"/>
              <w:bottom w:val="single" w:sz="4" w:space="0" w:color="000000"/>
              <w:right w:val="single" w:sz="4" w:space="0" w:color="000000"/>
            </w:tcBorders>
            <w:shd w:val="clear" w:color="000000" w:fill="305496"/>
            <w:vAlign w:val="center"/>
            <w:hideMark/>
          </w:tcPr>
          <w:p w14:paraId="52418601" w14:textId="77777777" w:rsidR="0044292F" w:rsidRPr="009431BB" w:rsidRDefault="0044292F" w:rsidP="00985591">
            <w:pPr>
              <w:spacing w:line="276" w:lineRule="auto"/>
              <w:jc w:val="center"/>
              <w:rPr>
                <w:rFonts w:ascii="Book Antiqua" w:hAnsi="Book Antiqua"/>
                <w:b/>
                <w:bCs/>
                <w:color w:val="FFFFFF"/>
                <w:sz w:val="16"/>
                <w:szCs w:val="16"/>
                <w:lang w:eastAsia="es-CR"/>
              </w:rPr>
            </w:pPr>
            <w:r w:rsidRPr="009431BB">
              <w:rPr>
                <w:rFonts w:ascii="Book Antiqua" w:hAnsi="Book Antiqua"/>
                <w:b/>
                <w:bCs/>
                <w:color w:val="FFFFFF"/>
                <w:sz w:val="16"/>
                <w:szCs w:val="16"/>
                <w:lang w:eastAsia="es-CR"/>
              </w:rPr>
              <w:t>jul-21</w:t>
            </w:r>
          </w:p>
        </w:tc>
      </w:tr>
      <w:tr w:rsidR="0044292F" w:rsidRPr="009431BB" w14:paraId="0997B418" w14:textId="77777777" w:rsidTr="009431BB">
        <w:trPr>
          <w:trHeight w:val="290"/>
          <w:jc w:val="center"/>
        </w:trPr>
        <w:tc>
          <w:tcPr>
            <w:tcW w:w="4016" w:type="dxa"/>
            <w:tcBorders>
              <w:top w:val="nil"/>
              <w:left w:val="single" w:sz="4" w:space="0" w:color="000000"/>
              <w:bottom w:val="single" w:sz="4" w:space="0" w:color="000000"/>
              <w:right w:val="single" w:sz="4" w:space="0" w:color="000000"/>
            </w:tcBorders>
            <w:shd w:val="clear" w:color="000000" w:fill="DDEBF7"/>
            <w:vAlign w:val="center"/>
            <w:hideMark/>
          </w:tcPr>
          <w:p w14:paraId="4EEB3302" w14:textId="77777777" w:rsidR="0044292F" w:rsidRPr="009431BB" w:rsidRDefault="0044292F" w:rsidP="00985591">
            <w:pPr>
              <w:spacing w:line="276" w:lineRule="auto"/>
              <w:rPr>
                <w:rFonts w:ascii="Book Antiqua" w:hAnsi="Book Antiqua"/>
                <w:b/>
                <w:bCs/>
                <w:color w:val="000000"/>
                <w:sz w:val="16"/>
                <w:szCs w:val="16"/>
                <w:lang w:eastAsia="es-CR"/>
              </w:rPr>
            </w:pPr>
            <w:r w:rsidRPr="009431BB">
              <w:rPr>
                <w:rFonts w:ascii="Book Antiqua" w:hAnsi="Book Antiqua"/>
                <w:b/>
                <w:bCs/>
                <w:color w:val="000000"/>
                <w:sz w:val="16"/>
                <w:szCs w:val="16"/>
                <w:lang w:eastAsia="es-CR"/>
              </w:rPr>
              <w:t>Reuniones Restaurativas señaladas</w:t>
            </w:r>
          </w:p>
        </w:tc>
        <w:tc>
          <w:tcPr>
            <w:tcW w:w="1200" w:type="dxa"/>
            <w:tcBorders>
              <w:top w:val="nil"/>
              <w:left w:val="nil"/>
              <w:bottom w:val="single" w:sz="4" w:space="0" w:color="000000"/>
              <w:right w:val="single" w:sz="4" w:space="0" w:color="000000"/>
            </w:tcBorders>
            <w:shd w:val="clear" w:color="000000" w:fill="DDEBF7"/>
            <w:vAlign w:val="center"/>
            <w:hideMark/>
          </w:tcPr>
          <w:p w14:paraId="3010A506" w14:textId="77777777" w:rsidR="0044292F" w:rsidRPr="009431BB" w:rsidRDefault="0044292F" w:rsidP="00985591">
            <w:pPr>
              <w:spacing w:line="276" w:lineRule="auto"/>
              <w:jc w:val="center"/>
              <w:rPr>
                <w:rFonts w:ascii="Book Antiqua" w:hAnsi="Book Antiqua"/>
                <w:b/>
                <w:bCs/>
                <w:color w:val="000000"/>
                <w:sz w:val="16"/>
                <w:szCs w:val="16"/>
                <w:lang w:eastAsia="es-CR"/>
              </w:rPr>
            </w:pPr>
            <w:r w:rsidRPr="009431BB">
              <w:rPr>
                <w:rFonts w:ascii="Book Antiqua" w:hAnsi="Book Antiqua"/>
                <w:b/>
                <w:bCs/>
                <w:color w:val="000000"/>
                <w:sz w:val="16"/>
                <w:szCs w:val="16"/>
                <w:lang w:eastAsia="es-CR"/>
              </w:rPr>
              <w:t>23</w:t>
            </w:r>
          </w:p>
        </w:tc>
      </w:tr>
      <w:tr w:rsidR="0044292F" w:rsidRPr="009431BB" w14:paraId="32C77103" w14:textId="77777777" w:rsidTr="009431BB">
        <w:trPr>
          <w:trHeight w:val="290"/>
          <w:jc w:val="center"/>
        </w:trPr>
        <w:tc>
          <w:tcPr>
            <w:tcW w:w="4016" w:type="dxa"/>
            <w:tcBorders>
              <w:top w:val="nil"/>
              <w:left w:val="single" w:sz="4" w:space="0" w:color="000000"/>
              <w:bottom w:val="single" w:sz="4" w:space="0" w:color="000000"/>
              <w:right w:val="single" w:sz="4" w:space="0" w:color="000000"/>
            </w:tcBorders>
            <w:shd w:val="clear" w:color="000000" w:fill="FFFFFF"/>
            <w:vAlign w:val="center"/>
            <w:hideMark/>
          </w:tcPr>
          <w:p w14:paraId="1BE4B930" w14:textId="77777777" w:rsidR="0044292F" w:rsidRPr="009431BB" w:rsidRDefault="0044292F" w:rsidP="00985591">
            <w:pPr>
              <w:spacing w:line="276" w:lineRule="auto"/>
              <w:rPr>
                <w:rFonts w:ascii="Book Antiqua" w:hAnsi="Book Antiqua"/>
                <w:b/>
                <w:bCs/>
                <w:color w:val="000000"/>
                <w:sz w:val="16"/>
                <w:szCs w:val="16"/>
                <w:lang w:eastAsia="es-CR"/>
              </w:rPr>
            </w:pPr>
            <w:r w:rsidRPr="009431BB">
              <w:rPr>
                <w:rFonts w:ascii="Book Antiqua" w:hAnsi="Book Antiqua"/>
                <w:b/>
                <w:bCs/>
                <w:color w:val="000000"/>
                <w:sz w:val="16"/>
                <w:szCs w:val="16"/>
                <w:lang w:eastAsia="es-CR"/>
              </w:rPr>
              <w:t>Realizadas</w:t>
            </w:r>
          </w:p>
        </w:tc>
        <w:tc>
          <w:tcPr>
            <w:tcW w:w="1200" w:type="dxa"/>
            <w:tcBorders>
              <w:top w:val="nil"/>
              <w:left w:val="nil"/>
              <w:bottom w:val="single" w:sz="4" w:space="0" w:color="000000"/>
              <w:right w:val="single" w:sz="4" w:space="0" w:color="000000"/>
            </w:tcBorders>
            <w:shd w:val="clear" w:color="000000" w:fill="FFFFFF"/>
            <w:vAlign w:val="center"/>
            <w:hideMark/>
          </w:tcPr>
          <w:p w14:paraId="30A13051" w14:textId="77777777" w:rsidR="0044292F" w:rsidRPr="009431BB" w:rsidRDefault="0044292F" w:rsidP="00985591">
            <w:pPr>
              <w:spacing w:line="276" w:lineRule="auto"/>
              <w:jc w:val="center"/>
              <w:rPr>
                <w:rFonts w:ascii="Book Antiqua" w:hAnsi="Book Antiqua"/>
                <w:color w:val="000000"/>
                <w:sz w:val="16"/>
                <w:szCs w:val="16"/>
                <w:lang w:eastAsia="es-CR"/>
              </w:rPr>
            </w:pPr>
            <w:r w:rsidRPr="009431BB">
              <w:rPr>
                <w:rFonts w:ascii="Book Antiqua" w:hAnsi="Book Antiqua"/>
                <w:color w:val="000000"/>
                <w:sz w:val="16"/>
                <w:szCs w:val="16"/>
                <w:lang w:eastAsia="es-CR"/>
              </w:rPr>
              <w:t>20</w:t>
            </w:r>
          </w:p>
        </w:tc>
      </w:tr>
      <w:tr w:rsidR="0044292F" w:rsidRPr="009431BB" w14:paraId="05632812" w14:textId="77777777" w:rsidTr="009431BB">
        <w:trPr>
          <w:trHeight w:val="290"/>
          <w:jc w:val="center"/>
        </w:trPr>
        <w:tc>
          <w:tcPr>
            <w:tcW w:w="4016" w:type="dxa"/>
            <w:tcBorders>
              <w:top w:val="nil"/>
              <w:left w:val="single" w:sz="4" w:space="0" w:color="000000"/>
              <w:bottom w:val="single" w:sz="4" w:space="0" w:color="000000"/>
              <w:right w:val="single" w:sz="4" w:space="0" w:color="000000"/>
            </w:tcBorders>
            <w:shd w:val="clear" w:color="000000" w:fill="FFFFFF"/>
            <w:vAlign w:val="center"/>
            <w:hideMark/>
          </w:tcPr>
          <w:p w14:paraId="284754E9" w14:textId="77777777" w:rsidR="0044292F" w:rsidRPr="009431BB" w:rsidRDefault="0044292F" w:rsidP="00985591">
            <w:pPr>
              <w:spacing w:line="276" w:lineRule="auto"/>
              <w:rPr>
                <w:rFonts w:ascii="Book Antiqua" w:hAnsi="Book Antiqua"/>
                <w:color w:val="000000"/>
                <w:sz w:val="16"/>
                <w:szCs w:val="16"/>
                <w:lang w:eastAsia="es-CR"/>
              </w:rPr>
            </w:pPr>
            <w:r w:rsidRPr="009431BB">
              <w:rPr>
                <w:rFonts w:ascii="Book Antiqua" w:hAnsi="Book Antiqua"/>
                <w:color w:val="000000"/>
                <w:sz w:val="16"/>
                <w:szCs w:val="16"/>
                <w:lang w:eastAsia="es-CR"/>
              </w:rPr>
              <w:t>Con acuerdo</w:t>
            </w:r>
          </w:p>
        </w:tc>
        <w:tc>
          <w:tcPr>
            <w:tcW w:w="1200" w:type="dxa"/>
            <w:tcBorders>
              <w:top w:val="nil"/>
              <w:left w:val="nil"/>
              <w:bottom w:val="single" w:sz="4" w:space="0" w:color="000000"/>
              <w:right w:val="single" w:sz="4" w:space="0" w:color="000000"/>
            </w:tcBorders>
            <w:shd w:val="clear" w:color="000000" w:fill="FFFFFF"/>
            <w:vAlign w:val="center"/>
            <w:hideMark/>
          </w:tcPr>
          <w:p w14:paraId="539139CC" w14:textId="77777777" w:rsidR="0044292F" w:rsidRPr="009431BB" w:rsidRDefault="0044292F" w:rsidP="00985591">
            <w:pPr>
              <w:spacing w:line="276" w:lineRule="auto"/>
              <w:jc w:val="center"/>
              <w:rPr>
                <w:rFonts w:ascii="Book Antiqua" w:hAnsi="Book Antiqua"/>
                <w:color w:val="000000"/>
                <w:sz w:val="16"/>
                <w:szCs w:val="16"/>
                <w:lang w:eastAsia="es-CR"/>
              </w:rPr>
            </w:pPr>
            <w:r w:rsidRPr="009431BB">
              <w:rPr>
                <w:rFonts w:ascii="Book Antiqua" w:hAnsi="Book Antiqua"/>
                <w:color w:val="000000"/>
                <w:sz w:val="16"/>
                <w:szCs w:val="16"/>
                <w:lang w:eastAsia="es-CR"/>
              </w:rPr>
              <w:t>20</w:t>
            </w:r>
          </w:p>
        </w:tc>
      </w:tr>
      <w:tr w:rsidR="0044292F" w:rsidRPr="009431BB" w14:paraId="28757B9C" w14:textId="77777777" w:rsidTr="009431BB">
        <w:trPr>
          <w:trHeight w:val="290"/>
          <w:jc w:val="center"/>
        </w:trPr>
        <w:tc>
          <w:tcPr>
            <w:tcW w:w="4016" w:type="dxa"/>
            <w:tcBorders>
              <w:top w:val="nil"/>
              <w:left w:val="single" w:sz="4" w:space="0" w:color="000000"/>
              <w:bottom w:val="single" w:sz="4" w:space="0" w:color="000000"/>
              <w:right w:val="single" w:sz="4" w:space="0" w:color="000000"/>
            </w:tcBorders>
            <w:shd w:val="clear" w:color="000000" w:fill="FFFFFF"/>
            <w:vAlign w:val="center"/>
            <w:hideMark/>
          </w:tcPr>
          <w:p w14:paraId="4804EFAA" w14:textId="77777777" w:rsidR="0044292F" w:rsidRPr="009431BB" w:rsidRDefault="0044292F" w:rsidP="00985591">
            <w:pPr>
              <w:spacing w:line="276" w:lineRule="auto"/>
              <w:rPr>
                <w:rFonts w:ascii="Book Antiqua" w:hAnsi="Book Antiqua"/>
                <w:color w:val="000000"/>
                <w:sz w:val="16"/>
                <w:szCs w:val="16"/>
                <w:lang w:eastAsia="es-CR"/>
              </w:rPr>
            </w:pPr>
            <w:r w:rsidRPr="009431BB">
              <w:rPr>
                <w:rFonts w:ascii="Book Antiqua" w:hAnsi="Book Antiqua"/>
                <w:color w:val="000000"/>
                <w:sz w:val="16"/>
                <w:szCs w:val="16"/>
                <w:lang w:eastAsia="es-CR"/>
              </w:rPr>
              <w:t>No hubo acuerdo</w:t>
            </w:r>
          </w:p>
        </w:tc>
        <w:tc>
          <w:tcPr>
            <w:tcW w:w="1200" w:type="dxa"/>
            <w:tcBorders>
              <w:top w:val="nil"/>
              <w:left w:val="nil"/>
              <w:bottom w:val="single" w:sz="4" w:space="0" w:color="000000"/>
              <w:right w:val="single" w:sz="4" w:space="0" w:color="000000"/>
            </w:tcBorders>
            <w:shd w:val="clear" w:color="000000" w:fill="FFFFFF"/>
            <w:vAlign w:val="center"/>
            <w:hideMark/>
          </w:tcPr>
          <w:p w14:paraId="006B1E49" w14:textId="77777777" w:rsidR="0044292F" w:rsidRPr="009431BB" w:rsidRDefault="0044292F" w:rsidP="00985591">
            <w:pPr>
              <w:spacing w:line="276" w:lineRule="auto"/>
              <w:jc w:val="center"/>
              <w:rPr>
                <w:rFonts w:ascii="Book Antiqua" w:hAnsi="Book Antiqua"/>
                <w:color w:val="000000"/>
                <w:sz w:val="16"/>
                <w:szCs w:val="16"/>
                <w:lang w:eastAsia="es-CR"/>
              </w:rPr>
            </w:pPr>
            <w:r w:rsidRPr="009431BB">
              <w:rPr>
                <w:rFonts w:ascii="Book Antiqua" w:hAnsi="Book Antiqua"/>
                <w:color w:val="000000"/>
                <w:sz w:val="16"/>
                <w:szCs w:val="16"/>
                <w:lang w:eastAsia="es-CR"/>
              </w:rPr>
              <w:t>0</w:t>
            </w:r>
          </w:p>
        </w:tc>
      </w:tr>
      <w:tr w:rsidR="0044292F" w:rsidRPr="009431BB" w14:paraId="2DF23AD6" w14:textId="77777777" w:rsidTr="009431BB">
        <w:trPr>
          <w:trHeight w:val="290"/>
          <w:jc w:val="center"/>
        </w:trPr>
        <w:tc>
          <w:tcPr>
            <w:tcW w:w="4016" w:type="dxa"/>
            <w:tcBorders>
              <w:top w:val="nil"/>
              <w:left w:val="single" w:sz="4" w:space="0" w:color="000000"/>
              <w:bottom w:val="single" w:sz="4" w:space="0" w:color="000000"/>
              <w:right w:val="single" w:sz="4" w:space="0" w:color="000000"/>
            </w:tcBorders>
            <w:shd w:val="clear" w:color="000000" w:fill="FFFFFF"/>
            <w:vAlign w:val="center"/>
            <w:hideMark/>
          </w:tcPr>
          <w:p w14:paraId="3E13E624" w14:textId="77777777" w:rsidR="0044292F" w:rsidRPr="009431BB" w:rsidRDefault="0044292F" w:rsidP="00985591">
            <w:pPr>
              <w:spacing w:line="276" w:lineRule="auto"/>
              <w:rPr>
                <w:rFonts w:ascii="Book Antiqua" w:hAnsi="Book Antiqua"/>
                <w:b/>
                <w:bCs/>
                <w:color w:val="000000"/>
                <w:sz w:val="16"/>
                <w:szCs w:val="16"/>
                <w:lang w:eastAsia="es-CR"/>
              </w:rPr>
            </w:pPr>
            <w:r w:rsidRPr="009431BB">
              <w:rPr>
                <w:rFonts w:ascii="Book Antiqua" w:hAnsi="Book Antiqua"/>
                <w:b/>
                <w:bCs/>
                <w:color w:val="000000"/>
                <w:sz w:val="16"/>
                <w:szCs w:val="16"/>
                <w:lang w:eastAsia="es-CR"/>
              </w:rPr>
              <w:t>No realizadas</w:t>
            </w:r>
          </w:p>
        </w:tc>
        <w:tc>
          <w:tcPr>
            <w:tcW w:w="1200" w:type="dxa"/>
            <w:tcBorders>
              <w:top w:val="nil"/>
              <w:left w:val="nil"/>
              <w:bottom w:val="single" w:sz="4" w:space="0" w:color="000000"/>
              <w:right w:val="single" w:sz="4" w:space="0" w:color="000000"/>
            </w:tcBorders>
            <w:shd w:val="clear" w:color="000000" w:fill="FFFFFF"/>
            <w:vAlign w:val="center"/>
            <w:hideMark/>
          </w:tcPr>
          <w:p w14:paraId="1C70C996" w14:textId="77777777" w:rsidR="0044292F" w:rsidRPr="009431BB" w:rsidRDefault="0044292F" w:rsidP="00985591">
            <w:pPr>
              <w:spacing w:line="276" w:lineRule="auto"/>
              <w:jc w:val="center"/>
              <w:rPr>
                <w:rFonts w:ascii="Book Antiqua" w:hAnsi="Book Antiqua"/>
                <w:color w:val="000000"/>
                <w:sz w:val="16"/>
                <w:szCs w:val="16"/>
                <w:lang w:eastAsia="es-CR"/>
              </w:rPr>
            </w:pPr>
            <w:r w:rsidRPr="009431BB">
              <w:rPr>
                <w:rFonts w:ascii="Book Antiqua" w:hAnsi="Book Antiqua"/>
                <w:color w:val="000000"/>
                <w:sz w:val="16"/>
                <w:szCs w:val="16"/>
                <w:lang w:eastAsia="es-CR"/>
              </w:rPr>
              <w:t>3</w:t>
            </w:r>
          </w:p>
        </w:tc>
      </w:tr>
      <w:tr w:rsidR="0044292F" w:rsidRPr="009431BB" w14:paraId="706EDFBB" w14:textId="77777777" w:rsidTr="009431BB">
        <w:trPr>
          <w:trHeight w:val="290"/>
          <w:jc w:val="center"/>
        </w:trPr>
        <w:tc>
          <w:tcPr>
            <w:tcW w:w="4016" w:type="dxa"/>
            <w:tcBorders>
              <w:top w:val="nil"/>
              <w:left w:val="single" w:sz="4" w:space="0" w:color="000000"/>
              <w:bottom w:val="single" w:sz="4" w:space="0" w:color="000000"/>
              <w:right w:val="single" w:sz="4" w:space="0" w:color="000000"/>
            </w:tcBorders>
            <w:shd w:val="clear" w:color="000000" w:fill="DDEBF7"/>
            <w:vAlign w:val="center"/>
            <w:hideMark/>
          </w:tcPr>
          <w:p w14:paraId="40C7F830" w14:textId="0011FE7C" w:rsidR="0044292F" w:rsidRPr="009431BB" w:rsidRDefault="0044292F" w:rsidP="00985591">
            <w:pPr>
              <w:spacing w:line="276" w:lineRule="auto"/>
              <w:rPr>
                <w:rFonts w:ascii="Book Antiqua" w:hAnsi="Book Antiqua"/>
                <w:b/>
                <w:bCs/>
                <w:color w:val="000000"/>
                <w:sz w:val="16"/>
                <w:szCs w:val="16"/>
                <w:lang w:eastAsia="es-CR"/>
              </w:rPr>
            </w:pPr>
            <w:r w:rsidRPr="009431BB">
              <w:rPr>
                <w:rFonts w:ascii="Book Antiqua" w:hAnsi="Book Antiqua"/>
                <w:b/>
                <w:bCs/>
                <w:color w:val="000000"/>
                <w:sz w:val="16"/>
                <w:szCs w:val="16"/>
                <w:lang w:eastAsia="es-CR"/>
              </w:rPr>
              <w:t>Audiencia Verificación Señaladas</w:t>
            </w:r>
          </w:p>
        </w:tc>
        <w:tc>
          <w:tcPr>
            <w:tcW w:w="1200" w:type="dxa"/>
            <w:tcBorders>
              <w:top w:val="nil"/>
              <w:left w:val="nil"/>
              <w:bottom w:val="single" w:sz="4" w:space="0" w:color="000000"/>
              <w:right w:val="single" w:sz="4" w:space="0" w:color="000000"/>
            </w:tcBorders>
            <w:shd w:val="clear" w:color="000000" w:fill="DDEBF7"/>
            <w:vAlign w:val="center"/>
            <w:hideMark/>
          </w:tcPr>
          <w:p w14:paraId="5289181D" w14:textId="77777777" w:rsidR="0044292F" w:rsidRPr="009431BB" w:rsidRDefault="0044292F" w:rsidP="00985591">
            <w:pPr>
              <w:spacing w:line="276" w:lineRule="auto"/>
              <w:jc w:val="center"/>
              <w:rPr>
                <w:rFonts w:ascii="Book Antiqua" w:hAnsi="Book Antiqua"/>
                <w:b/>
                <w:bCs/>
                <w:color w:val="000000"/>
                <w:sz w:val="16"/>
                <w:szCs w:val="16"/>
                <w:lang w:eastAsia="es-CR"/>
              </w:rPr>
            </w:pPr>
            <w:r w:rsidRPr="009431BB">
              <w:rPr>
                <w:rFonts w:ascii="Book Antiqua" w:hAnsi="Book Antiqua"/>
                <w:b/>
                <w:bCs/>
                <w:color w:val="000000"/>
                <w:sz w:val="16"/>
                <w:szCs w:val="16"/>
                <w:lang w:eastAsia="es-CR"/>
              </w:rPr>
              <w:t>3</w:t>
            </w:r>
          </w:p>
        </w:tc>
      </w:tr>
      <w:tr w:rsidR="0044292F" w:rsidRPr="009431BB" w14:paraId="083E52B0" w14:textId="77777777" w:rsidTr="009431BB">
        <w:trPr>
          <w:trHeight w:val="290"/>
          <w:jc w:val="center"/>
        </w:trPr>
        <w:tc>
          <w:tcPr>
            <w:tcW w:w="4016" w:type="dxa"/>
            <w:tcBorders>
              <w:top w:val="nil"/>
              <w:left w:val="single" w:sz="4" w:space="0" w:color="000000"/>
              <w:bottom w:val="single" w:sz="4" w:space="0" w:color="000000"/>
              <w:right w:val="single" w:sz="4" w:space="0" w:color="000000"/>
            </w:tcBorders>
            <w:shd w:val="clear" w:color="000000" w:fill="FFFFFF"/>
            <w:vAlign w:val="center"/>
            <w:hideMark/>
          </w:tcPr>
          <w:p w14:paraId="688A08E9" w14:textId="77777777" w:rsidR="0044292F" w:rsidRPr="009431BB" w:rsidRDefault="0044292F" w:rsidP="00985591">
            <w:pPr>
              <w:spacing w:line="276" w:lineRule="auto"/>
              <w:rPr>
                <w:rFonts w:ascii="Book Antiqua" w:hAnsi="Book Antiqua"/>
                <w:color w:val="000000"/>
                <w:sz w:val="16"/>
                <w:szCs w:val="16"/>
                <w:lang w:eastAsia="es-CR"/>
              </w:rPr>
            </w:pPr>
            <w:r w:rsidRPr="009431BB">
              <w:rPr>
                <w:rFonts w:ascii="Book Antiqua" w:hAnsi="Book Antiqua"/>
                <w:color w:val="000000"/>
                <w:sz w:val="16"/>
                <w:szCs w:val="16"/>
                <w:lang w:eastAsia="es-CR"/>
              </w:rPr>
              <w:t>Realizadas</w:t>
            </w:r>
          </w:p>
        </w:tc>
        <w:tc>
          <w:tcPr>
            <w:tcW w:w="1200" w:type="dxa"/>
            <w:tcBorders>
              <w:top w:val="nil"/>
              <w:left w:val="nil"/>
              <w:bottom w:val="single" w:sz="4" w:space="0" w:color="000000"/>
              <w:right w:val="single" w:sz="4" w:space="0" w:color="000000"/>
            </w:tcBorders>
            <w:shd w:val="clear" w:color="000000" w:fill="FFFFFF"/>
            <w:vAlign w:val="center"/>
            <w:hideMark/>
          </w:tcPr>
          <w:p w14:paraId="1284B5C7" w14:textId="77777777" w:rsidR="0044292F" w:rsidRPr="009431BB" w:rsidRDefault="0044292F" w:rsidP="00985591">
            <w:pPr>
              <w:spacing w:line="276" w:lineRule="auto"/>
              <w:jc w:val="center"/>
              <w:rPr>
                <w:rFonts w:ascii="Book Antiqua" w:hAnsi="Book Antiqua"/>
                <w:color w:val="000000"/>
                <w:sz w:val="16"/>
                <w:szCs w:val="16"/>
                <w:lang w:eastAsia="es-CR"/>
              </w:rPr>
            </w:pPr>
            <w:r w:rsidRPr="009431BB">
              <w:rPr>
                <w:rFonts w:ascii="Book Antiqua" w:hAnsi="Book Antiqua"/>
                <w:color w:val="000000"/>
                <w:sz w:val="16"/>
                <w:szCs w:val="16"/>
                <w:lang w:eastAsia="es-CR"/>
              </w:rPr>
              <w:t>3</w:t>
            </w:r>
          </w:p>
        </w:tc>
      </w:tr>
      <w:tr w:rsidR="0044292F" w:rsidRPr="009431BB" w14:paraId="437355B0" w14:textId="77777777" w:rsidTr="009431BB">
        <w:trPr>
          <w:trHeight w:val="290"/>
          <w:jc w:val="center"/>
        </w:trPr>
        <w:tc>
          <w:tcPr>
            <w:tcW w:w="4016" w:type="dxa"/>
            <w:tcBorders>
              <w:top w:val="nil"/>
              <w:left w:val="single" w:sz="4" w:space="0" w:color="000000"/>
              <w:bottom w:val="single" w:sz="4" w:space="0" w:color="000000"/>
              <w:right w:val="single" w:sz="4" w:space="0" w:color="000000"/>
            </w:tcBorders>
            <w:shd w:val="clear" w:color="000000" w:fill="FFFFFF"/>
            <w:vAlign w:val="center"/>
            <w:hideMark/>
          </w:tcPr>
          <w:p w14:paraId="59F6D0AD" w14:textId="77777777" w:rsidR="0044292F" w:rsidRPr="009431BB" w:rsidRDefault="0044292F" w:rsidP="00985591">
            <w:pPr>
              <w:spacing w:line="276" w:lineRule="auto"/>
              <w:rPr>
                <w:rFonts w:ascii="Book Antiqua" w:hAnsi="Book Antiqua"/>
                <w:color w:val="000000"/>
                <w:sz w:val="16"/>
                <w:szCs w:val="16"/>
                <w:lang w:eastAsia="es-CR"/>
              </w:rPr>
            </w:pPr>
            <w:r w:rsidRPr="009431BB">
              <w:rPr>
                <w:rFonts w:ascii="Book Antiqua" w:hAnsi="Book Antiqua"/>
                <w:color w:val="000000"/>
                <w:sz w:val="16"/>
                <w:szCs w:val="16"/>
                <w:lang w:eastAsia="es-CR"/>
              </w:rPr>
              <w:t>No realizadas</w:t>
            </w:r>
          </w:p>
        </w:tc>
        <w:tc>
          <w:tcPr>
            <w:tcW w:w="1200" w:type="dxa"/>
            <w:tcBorders>
              <w:top w:val="nil"/>
              <w:left w:val="nil"/>
              <w:bottom w:val="single" w:sz="4" w:space="0" w:color="000000"/>
              <w:right w:val="single" w:sz="4" w:space="0" w:color="000000"/>
            </w:tcBorders>
            <w:shd w:val="clear" w:color="000000" w:fill="FFFFFF"/>
            <w:vAlign w:val="center"/>
            <w:hideMark/>
          </w:tcPr>
          <w:p w14:paraId="6CB0532A" w14:textId="77777777" w:rsidR="0044292F" w:rsidRPr="009431BB" w:rsidRDefault="0044292F" w:rsidP="00985591">
            <w:pPr>
              <w:spacing w:line="276" w:lineRule="auto"/>
              <w:jc w:val="center"/>
              <w:rPr>
                <w:rFonts w:ascii="Book Antiqua" w:hAnsi="Book Antiqua"/>
                <w:color w:val="000000"/>
                <w:sz w:val="16"/>
                <w:szCs w:val="16"/>
                <w:lang w:eastAsia="es-CR"/>
              </w:rPr>
            </w:pPr>
            <w:r w:rsidRPr="009431BB">
              <w:rPr>
                <w:rFonts w:ascii="Book Antiqua" w:hAnsi="Book Antiqua"/>
                <w:color w:val="000000"/>
                <w:sz w:val="16"/>
                <w:szCs w:val="16"/>
                <w:lang w:eastAsia="es-CR"/>
              </w:rPr>
              <w:t>0</w:t>
            </w:r>
          </w:p>
        </w:tc>
      </w:tr>
      <w:tr w:rsidR="0044292F" w:rsidRPr="009431BB" w14:paraId="33EAC3EF" w14:textId="77777777" w:rsidTr="009431BB">
        <w:trPr>
          <w:trHeight w:val="290"/>
          <w:jc w:val="center"/>
        </w:trPr>
        <w:tc>
          <w:tcPr>
            <w:tcW w:w="4016" w:type="dxa"/>
            <w:tcBorders>
              <w:top w:val="nil"/>
              <w:left w:val="single" w:sz="4" w:space="0" w:color="000000"/>
              <w:bottom w:val="single" w:sz="4" w:space="0" w:color="000000"/>
              <w:right w:val="single" w:sz="4" w:space="0" w:color="000000"/>
            </w:tcBorders>
            <w:shd w:val="clear" w:color="000000" w:fill="FFFFFF"/>
            <w:vAlign w:val="center"/>
            <w:hideMark/>
          </w:tcPr>
          <w:p w14:paraId="3AAB1C47" w14:textId="77777777" w:rsidR="0044292F" w:rsidRPr="009431BB" w:rsidRDefault="0044292F" w:rsidP="00985591">
            <w:pPr>
              <w:spacing w:line="276" w:lineRule="auto"/>
              <w:rPr>
                <w:rFonts w:ascii="Book Antiqua" w:hAnsi="Book Antiqua"/>
                <w:color w:val="000000"/>
                <w:sz w:val="16"/>
                <w:szCs w:val="16"/>
                <w:lang w:eastAsia="es-CR"/>
              </w:rPr>
            </w:pPr>
            <w:r w:rsidRPr="009431BB">
              <w:rPr>
                <w:rFonts w:ascii="Book Antiqua" w:hAnsi="Book Antiqua"/>
                <w:color w:val="000000"/>
                <w:sz w:val="16"/>
                <w:szCs w:val="16"/>
                <w:lang w:eastAsia="es-CR"/>
              </w:rPr>
              <w:t>Revocatoria</w:t>
            </w:r>
          </w:p>
        </w:tc>
        <w:tc>
          <w:tcPr>
            <w:tcW w:w="1200" w:type="dxa"/>
            <w:tcBorders>
              <w:top w:val="nil"/>
              <w:left w:val="nil"/>
              <w:bottom w:val="single" w:sz="4" w:space="0" w:color="000000"/>
              <w:right w:val="single" w:sz="4" w:space="0" w:color="000000"/>
            </w:tcBorders>
            <w:shd w:val="clear" w:color="000000" w:fill="FFFFFF"/>
            <w:vAlign w:val="center"/>
            <w:hideMark/>
          </w:tcPr>
          <w:p w14:paraId="51689361" w14:textId="77777777" w:rsidR="0044292F" w:rsidRPr="009431BB" w:rsidRDefault="0044292F" w:rsidP="00985591">
            <w:pPr>
              <w:spacing w:line="276" w:lineRule="auto"/>
              <w:jc w:val="center"/>
              <w:rPr>
                <w:rFonts w:ascii="Book Antiqua" w:hAnsi="Book Antiqua"/>
                <w:color w:val="000000"/>
                <w:sz w:val="16"/>
                <w:szCs w:val="16"/>
                <w:lang w:eastAsia="es-CR"/>
              </w:rPr>
            </w:pPr>
            <w:r w:rsidRPr="009431BB">
              <w:rPr>
                <w:rFonts w:ascii="Book Antiqua" w:hAnsi="Book Antiqua"/>
                <w:color w:val="000000"/>
                <w:sz w:val="16"/>
                <w:szCs w:val="16"/>
                <w:lang w:eastAsia="es-CR"/>
              </w:rPr>
              <w:t>0</w:t>
            </w:r>
          </w:p>
        </w:tc>
      </w:tr>
      <w:tr w:rsidR="0044292F" w:rsidRPr="009431BB" w14:paraId="37AD1D5D" w14:textId="77777777" w:rsidTr="009431BB">
        <w:trPr>
          <w:trHeight w:val="290"/>
          <w:jc w:val="center"/>
        </w:trPr>
        <w:tc>
          <w:tcPr>
            <w:tcW w:w="4016" w:type="dxa"/>
            <w:tcBorders>
              <w:top w:val="nil"/>
              <w:left w:val="single" w:sz="4" w:space="0" w:color="000000"/>
              <w:bottom w:val="single" w:sz="4" w:space="0" w:color="000000"/>
              <w:right w:val="single" w:sz="4" w:space="0" w:color="000000"/>
            </w:tcBorders>
            <w:shd w:val="clear" w:color="000000" w:fill="DDEBF7"/>
            <w:vAlign w:val="center"/>
            <w:hideMark/>
          </w:tcPr>
          <w:p w14:paraId="506B7D8B" w14:textId="77777777" w:rsidR="0044292F" w:rsidRPr="009431BB" w:rsidRDefault="0044292F" w:rsidP="00985591">
            <w:pPr>
              <w:spacing w:line="276" w:lineRule="auto"/>
              <w:rPr>
                <w:rFonts w:ascii="Book Antiqua" w:hAnsi="Book Antiqua"/>
                <w:b/>
                <w:bCs/>
                <w:color w:val="000000"/>
                <w:sz w:val="16"/>
                <w:szCs w:val="16"/>
                <w:lang w:eastAsia="es-CR"/>
              </w:rPr>
            </w:pPr>
            <w:r w:rsidRPr="009431BB">
              <w:rPr>
                <w:rFonts w:ascii="Book Antiqua" w:hAnsi="Book Antiqua"/>
                <w:b/>
                <w:bCs/>
                <w:color w:val="000000"/>
                <w:sz w:val="16"/>
                <w:szCs w:val="16"/>
                <w:lang w:eastAsia="es-CR"/>
              </w:rPr>
              <w:t>Red de apoyo</w:t>
            </w:r>
          </w:p>
        </w:tc>
        <w:tc>
          <w:tcPr>
            <w:tcW w:w="1200" w:type="dxa"/>
            <w:tcBorders>
              <w:top w:val="nil"/>
              <w:left w:val="nil"/>
              <w:bottom w:val="single" w:sz="4" w:space="0" w:color="000000"/>
              <w:right w:val="single" w:sz="4" w:space="0" w:color="000000"/>
            </w:tcBorders>
            <w:shd w:val="clear" w:color="000000" w:fill="DDEBF7"/>
            <w:vAlign w:val="center"/>
            <w:hideMark/>
          </w:tcPr>
          <w:p w14:paraId="46BC0F8B" w14:textId="77777777" w:rsidR="0044292F" w:rsidRPr="009431BB" w:rsidRDefault="0044292F" w:rsidP="00985591">
            <w:pPr>
              <w:spacing w:line="276" w:lineRule="auto"/>
              <w:jc w:val="center"/>
              <w:rPr>
                <w:rFonts w:ascii="Book Antiqua" w:hAnsi="Book Antiqua"/>
                <w:color w:val="000000"/>
                <w:sz w:val="16"/>
                <w:szCs w:val="16"/>
                <w:lang w:eastAsia="es-CR"/>
              </w:rPr>
            </w:pPr>
            <w:r w:rsidRPr="009431BB">
              <w:rPr>
                <w:rFonts w:ascii="Book Antiqua" w:hAnsi="Book Antiqua"/>
                <w:color w:val="000000"/>
                <w:sz w:val="16"/>
                <w:szCs w:val="16"/>
                <w:lang w:eastAsia="es-CR"/>
              </w:rPr>
              <w:t> </w:t>
            </w:r>
          </w:p>
        </w:tc>
      </w:tr>
      <w:tr w:rsidR="0044292F" w:rsidRPr="009431BB" w14:paraId="01AF778A" w14:textId="77777777" w:rsidTr="009431BB">
        <w:trPr>
          <w:trHeight w:val="290"/>
          <w:jc w:val="center"/>
        </w:trPr>
        <w:tc>
          <w:tcPr>
            <w:tcW w:w="4016" w:type="dxa"/>
            <w:tcBorders>
              <w:top w:val="nil"/>
              <w:left w:val="single" w:sz="4" w:space="0" w:color="000000"/>
              <w:bottom w:val="single" w:sz="4" w:space="0" w:color="000000"/>
              <w:right w:val="single" w:sz="4" w:space="0" w:color="000000"/>
            </w:tcBorders>
            <w:shd w:val="clear" w:color="000000" w:fill="FFFFFF"/>
            <w:vAlign w:val="center"/>
            <w:hideMark/>
          </w:tcPr>
          <w:p w14:paraId="074C58C6" w14:textId="77777777" w:rsidR="0044292F" w:rsidRPr="009431BB" w:rsidRDefault="0044292F" w:rsidP="00985591">
            <w:pPr>
              <w:spacing w:line="276" w:lineRule="auto"/>
              <w:rPr>
                <w:rFonts w:ascii="Book Antiqua" w:hAnsi="Book Antiqua"/>
                <w:color w:val="000000"/>
                <w:sz w:val="16"/>
                <w:szCs w:val="16"/>
                <w:lang w:eastAsia="es-CR"/>
              </w:rPr>
            </w:pPr>
            <w:r w:rsidRPr="009431BB">
              <w:rPr>
                <w:rFonts w:ascii="Book Antiqua" w:hAnsi="Book Antiqua"/>
                <w:color w:val="000000"/>
                <w:sz w:val="16"/>
                <w:szCs w:val="16"/>
                <w:lang w:eastAsia="es-CR"/>
              </w:rPr>
              <w:t>Coordinaciones interinstitucionales</w:t>
            </w:r>
          </w:p>
        </w:tc>
        <w:tc>
          <w:tcPr>
            <w:tcW w:w="1200" w:type="dxa"/>
            <w:tcBorders>
              <w:top w:val="nil"/>
              <w:left w:val="nil"/>
              <w:bottom w:val="single" w:sz="4" w:space="0" w:color="000000"/>
              <w:right w:val="single" w:sz="4" w:space="0" w:color="000000"/>
            </w:tcBorders>
            <w:shd w:val="clear" w:color="000000" w:fill="FFFFFF"/>
            <w:vAlign w:val="center"/>
            <w:hideMark/>
          </w:tcPr>
          <w:p w14:paraId="16F64B32" w14:textId="77777777" w:rsidR="0044292F" w:rsidRPr="009431BB" w:rsidRDefault="0044292F" w:rsidP="00985591">
            <w:pPr>
              <w:spacing w:line="276" w:lineRule="auto"/>
              <w:jc w:val="center"/>
              <w:rPr>
                <w:rFonts w:ascii="Book Antiqua" w:hAnsi="Book Antiqua"/>
                <w:color w:val="000000"/>
                <w:sz w:val="16"/>
                <w:szCs w:val="16"/>
                <w:lang w:eastAsia="es-CR"/>
              </w:rPr>
            </w:pPr>
            <w:r w:rsidRPr="009431BB">
              <w:rPr>
                <w:rFonts w:ascii="Book Antiqua" w:hAnsi="Book Antiqua"/>
                <w:color w:val="000000"/>
                <w:sz w:val="16"/>
                <w:szCs w:val="16"/>
                <w:lang w:eastAsia="es-CR"/>
              </w:rPr>
              <w:t>32</w:t>
            </w:r>
          </w:p>
        </w:tc>
      </w:tr>
      <w:tr w:rsidR="0044292F" w:rsidRPr="009431BB" w14:paraId="25337876" w14:textId="77777777" w:rsidTr="009431BB">
        <w:trPr>
          <w:trHeight w:val="290"/>
          <w:jc w:val="center"/>
        </w:trPr>
        <w:tc>
          <w:tcPr>
            <w:tcW w:w="4016" w:type="dxa"/>
            <w:tcBorders>
              <w:top w:val="nil"/>
              <w:left w:val="single" w:sz="4" w:space="0" w:color="000000"/>
              <w:bottom w:val="single" w:sz="4" w:space="0" w:color="000000"/>
              <w:right w:val="single" w:sz="4" w:space="0" w:color="000000"/>
            </w:tcBorders>
            <w:shd w:val="clear" w:color="000000" w:fill="FFFFFF"/>
            <w:vAlign w:val="center"/>
            <w:hideMark/>
          </w:tcPr>
          <w:p w14:paraId="4389895A" w14:textId="77777777" w:rsidR="0044292F" w:rsidRPr="009431BB" w:rsidRDefault="0044292F" w:rsidP="00985591">
            <w:pPr>
              <w:spacing w:line="276" w:lineRule="auto"/>
              <w:rPr>
                <w:rFonts w:ascii="Book Antiqua" w:hAnsi="Book Antiqua"/>
                <w:b/>
                <w:bCs/>
                <w:color w:val="000000"/>
                <w:sz w:val="16"/>
                <w:szCs w:val="16"/>
                <w:lang w:eastAsia="es-CR"/>
              </w:rPr>
            </w:pPr>
            <w:r w:rsidRPr="009431BB">
              <w:rPr>
                <w:rFonts w:ascii="Book Antiqua" w:hAnsi="Book Antiqua"/>
                <w:b/>
                <w:bCs/>
                <w:color w:val="000000"/>
                <w:sz w:val="16"/>
                <w:szCs w:val="16"/>
                <w:lang w:eastAsia="es-CR"/>
              </w:rPr>
              <w:t>Cantidad de instituciones que conforman la red</w:t>
            </w:r>
          </w:p>
        </w:tc>
        <w:tc>
          <w:tcPr>
            <w:tcW w:w="1200" w:type="dxa"/>
            <w:tcBorders>
              <w:top w:val="nil"/>
              <w:left w:val="nil"/>
              <w:bottom w:val="single" w:sz="4" w:space="0" w:color="000000"/>
              <w:right w:val="single" w:sz="4" w:space="0" w:color="000000"/>
            </w:tcBorders>
            <w:shd w:val="clear" w:color="000000" w:fill="FFFFFF"/>
            <w:vAlign w:val="center"/>
            <w:hideMark/>
          </w:tcPr>
          <w:p w14:paraId="0E671F96" w14:textId="77777777" w:rsidR="0044292F" w:rsidRPr="009431BB" w:rsidRDefault="0044292F" w:rsidP="00985591">
            <w:pPr>
              <w:spacing w:line="276" w:lineRule="auto"/>
              <w:jc w:val="center"/>
              <w:rPr>
                <w:rFonts w:ascii="Book Antiqua" w:hAnsi="Book Antiqua"/>
                <w:color w:val="000000"/>
                <w:sz w:val="16"/>
                <w:szCs w:val="16"/>
                <w:lang w:eastAsia="es-CR"/>
              </w:rPr>
            </w:pPr>
            <w:r w:rsidRPr="009431BB">
              <w:rPr>
                <w:rFonts w:ascii="Book Antiqua" w:hAnsi="Book Antiqua"/>
                <w:color w:val="000000"/>
                <w:sz w:val="16"/>
                <w:szCs w:val="16"/>
                <w:lang w:val="es-ES" w:eastAsia="es-CR"/>
              </w:rPr>
              <w:t>1407</w:t>
            </w:r>
          </w:p>
        </w:tc>
      </w:tr>
      <w:tr w:rsidR="0044292F" w:rsidRPr="009431BB" w14:paraId="46A784B8" w14:textId="77777777" w:rsidTr="009431BB">
        <w:trPr>
          <w:trHeight w:val="290"/>
          <w:jc w:val="center"/>
        </w:trPr>
        <w:tc>
          <w:tcPr>
            <w:tcW w:w="4016" w:type="dxa"/>
            <w:tcBorders>
              <w:top w:val="nil"/>
              <w:left w:val="single" w:sz="4" w:space="0" w:color="000000"/>
              <w:bottom w:val="single" w:sz="4" w:space="0" w:color="000000"/>
              <w:right w:val="single" w:sz="4" w:space="0" w:color="000000"/>
            </w:tcBorders>
            <w:shd w:val="clear" w:color="000000" w:fill="DDEBF7"/>
            <w:vAlign w:val="center"/>
            <w:hideMark/>
          </w:tcPr>
          <w:p w14:paraId="42A11ED5" w14:textId="77777777" w:rsidR="0044292F" w:rsidRPr="009431BB" w:rsidRDefault="0044292F" w:rsidP="00985591">
            <w:pPr>
              <w:spacing w:line="276" w:lineRule="auto"/>
              <w:rPr>
                <w:rFonts w:ascii="Book Antiqua" w:hAnsi="Book Antiqua"/>
                <w:b/>
                <w:bCs/>
                <w:color w:val="000000"/>
                <w:sz w:val="16"/>
                <w:szCs w:val="16"/>
                <w:lang w:eastAsia="es-CR"/>
              </w:rPr>
            </w:pPr>
            <w:r w:rsidRPr="009431BB">
              <w:rPr>
                <w:rFonts w:ascii="Book Antiqua" w:hAnsi="Book Antiqua"/>
                <w:b/>
                <w:bCs/>
                <w:color w:val="000000"/>
                <w:sz w:val="16"/>
                <w:szCs w:val="16"/>
                <w:lang w:eastAsia="es-CR"/>
              </w:rPr>
              <w:t>Entrevistas</w:t>
            </w:r>
          </w:p>
        </w:tc>
        <w:tc>
          <w:tcPr>
            <w:tcW w:w="1200" w:type="dxa"/>
            <w:tcBorders>
              <w:top w:val="nil"/>
              <w:left w:val="nil"/>
              <w:bottom w:val="single" w:sz="4" w:space="0" w:color="000000"/>
              <w:right w:val="single" w:sz="4" w:space="0" w:color="000000"/>
            </w:tcBorders>
            <w:shd w:val="clear" w:color="000000" w:fill="DDEBF7"/>
            <w:vAlign w:val="center"/>
            <w:hideMark/>
          </w:tcPr>
          <w:p w14:paraId="3A28B4A9" w14:textId="77777777" w:rsidR="0044292F" w:rsidRPr="009431BB" w:rsidRDefault="0044292F" w:rsidP="00985591">
            <w:pPr>
              <w:spacing w:line="276" w:lineRule="auto"/>
              <w:jc w:val="center"/>
              <w:rPr>
                <w:rFonts w:ascii="Book Antiqua" w:hAnsi="Book Antiqua"/>
                <w:color w:val="000000"/>
                <w:sz w:val="16"/>
                <w:szCs w:val="16"/>
                <w:lang w:eastAsia="es-CR"/>
              </w:rPr>
            </w:pPr>
            <w:r w:rsidRPr="009431BB">
              <w:rPr>
                <w:rFonts w:ascii="Book Antiqua" w:hAnsi="Book Antiqua"/>
                <w:color w:val="000000"/>
                <w:sz w:val="16"/>
                <w:szCs w:val="16"/>
                <w:lang w:eastAsia="es-CR"/>
              </w:rPr>
              <w:t> </w:t>
            </w:r>
          </w:p>
        </w:tc>
      </w:tr>
      <w:tr w:rsidR="0044292F" w:rsidRPr="009431BB" w14:paraId="7E959FE8" w14:textId="77777777" w:rsidTr="009431BB">
        <w:trPr>
          <w:trHeight w:val="290"/>
          <w:jc w:val="center"/>
        </w:trPr>
        <w:tc>
          <w:tcPr>
            <w:tcW w:w="4016" w:type="dxa"/>
            <w:tcBorders>
              <w:top w:val="nil"/>
              <w:left w:val="single" w:sz="4" w:space="0" w:color="000000"/>
              <w:bottom w:val="single" w:sz="4" w:space="0" w:color="000000"/>
              <w:right w:val="single" w:sz="4" w:space="0" w:color="000000"/>
            </w:tcBorders>
            <w:shd w:val="clear" w:color="000000" w:fill="FFFFFF"/>
            <w:vAlign w:val="center"/>
            <w:hideMark/>
          </w:tcPr>
          <w:p w14:paraId="239B7211" w14:textId="77777777" w:rsidR="0044292F" w:rsidRPr="009431BB" w:rsidRDefault="0044292F" w:rsidP="00985591">
            <w:pPr>
              <w:spacing w:line="276" w:lineRule="auto"/>
              <w:rPr>
                <w:rFonts w:ascii="Book Antiqua" w:hAnsi="Book Antiqua"/>
                <w:b/>
                <w:bCs/>
                <w:color w:val="000000"/>
                <w:sz w:val="16"/>
                <w:szCs w:val="16"/>
                <w:lang w:eastAsia="es-CR"/>
              </w:rPr>
            </w:pPr>
            <w:r w:rsidRPr="009431BB">
              <w:rPr>
                <w:rFonts w:ascii="Book Antiqua" w:hAnsi="Book Antiqua"/>
                <w:b/>
                <w:bCs/>
                <w:color w:val="000000"/>
                <w:sz w:val="16"/>
                <w:szCs w:val="16"/>
                <w:lang w:eastAsia="es-CR"/>
              </w:rPr>
              <w:t>Legales</w:t>
            </w:r>
          </w:p>
        </w:tc>
        <w:tc>
          <w:tcPr>
            <w:tcW w:w="1200" w:type="dxa"/>
            <w:tcBorders>
              <w:top w:val="nil"/>
              <w:left w:val="nil"/>
              <w:bottom w:val="single" w:sz="4" w:space="0" w:color="000000"/>
              <w:right w:val="single" w:sz="4" w:space="0" w:color="000000"/>
            </w:tcBorders>
            <w:shd w:val="clear" w:color="000000" w:fill="FFFFFF"/>
            <w:vAlign w:val="center"/>
            <w:hideMark/>
          </w:tcPr>
          <w:p w14:paraId="1D73CD3F" w14:textId="77777777" w:rsidR="0044292F" w:rsidRPr="009431BB" w:rsidRDefault="0044292F" w:rsidP="00985591">
            <w:pPr>
              <w:spacing w:line="276" w:lineRule="auto"/>
              <w:jc w:val="center"/>
              <w:rPr>
                <w:rFonts w:ascii="Book Antiqua" w:hAnsi="Book Antiqua"/>
                <w:color w:val="000000"/>
                <w:sz w:val="16"/>
                <w:szCs w:val="16"/>
                <w:lang w:eastAsia="es-CR"/>
              </w:rPr>
            </w:pPr>
            <w:r w:rsidRPr="009431BB">
              <w:rPr>
                <w:rFonts w:ascii="Book Antiqua" w:hAnsi="Book Antiqua"/>
                <w:sz w:val="16"/>
                <w:szCs w:val="16"/>
                <w:lang w:val="es-ES_tradnl" w:eastAsia="es-CR"/>
              </w:rPr>
              <w:t>221</w:t>
            </w:r>
          </w:p>
        </w:tc>
      </w:tr>
      <w:tr w:rsidR="0044292F" w:rsidRPr="009431BB" w14:paraId="31D39D50" w14:textId="77777777" w:rsidTr="009431BB">
        <w:trPr>
          <w:trHeight w:val="290"/>
          <w:jc w:val="center"/>
        </w:trPr>
        <w:tc>
          <w:tcPr>
            <w:tcW w:w="4016" w:type="dxa"/>
            <w:tcBorders>
              <w:top w:val="nil"/>
              <w:left w:val="single" w:sz="4" w:space="0" w:color="000000"/>
              <w:bottom w:val="single" w:sz="4" w:space="0" w:color="000000"/>
              <w:right w:val="single" w:sz="4" w:space="0" w:color="000000"/>
            </w:tcBorders>
            <w:shd w:val="clear" w:color="000000" w:fill="FFFFFF"/>
            <w:vAlign w:val="center"/>
            <w:hideMark/>
          </w:tcPr>
          <w:p w14:paraId="4D24860F" w14:textId="77777777" w:rsidR="0044292F" w:rsidRPr="009431BB" w:rsidRDefault="0044292F" w:rsidP="00985591">
            <w:pPr>
              <w:spacing w:line="276" w:lineRule="auto"/>
              <w:rPr>
                <w:rFonts w:ascii="Book Antiqua" w:hAnsi="Book Antiqua"/>
                <w:b/>
                <w:bCs/>
                <w:color w:val="000000"/>
                <w:sz w:val="16"/>
                <w:szCs w:val="16"/>
                <w:lang w:eastAsia="es-CR"/>
              </w:rPr>
            </w:pPr>
            <w:r w:rsidRPr="009431BB">
              <w:rPr>
                <w:rFonts w:ascii="Book Antiqua" w:hAnsi="Book Antiqua"/>
                <w:b/>
                <w:bCs/>
                <w:color w:val="000000"/>
                <w:sz w:val="16"/>
                <w:szCs w:val="16"/>
                <w:lang w:eastAsia="es-CR"/>
              </w:rPr>
              <w:t>Psicosociales</w:t>
            </w:r>
          </w:p>
        </w:tc>
        <w:tc>
          <w:tcPr>
            <w:tcW w:w="1200" w:type="dxa"/>
            <w:tcBorders>
              <w:top w:val="nil"/>
              <w:left w:val="nil"/>
              <w:bottom w:val="single" w:sz="4" w:space="0" w:color="000000"/>
              <w:right w:val="single" w:sz="4" w:space="0" w:color="000000"/>
            </w:tcBorders>
            <w:shd w:val="clear" w:color="000000" w:fill="FFFFFF"/>
            <w:vAlign w:val="center"/>
            <w:hideMark/>
          </w:tcPr>
          <w:p w14:paraId="0D37D42E" w14:textId="77777777" w:rsidR="0044292F" w:rsidRPr="009431BB" w:rsidRDefault="0044292F" w:rsidP="00985591">
            <w:pPr>
              <w:spacing w:line="276" w:lineRule="auto"/>
              <w:jc w:val="center"/>
              <w:rPr>
                <w:rFonts w:ascii="Book Antiqua" w:hAnsi="Book Antiqua"/>
                <w:color w:val="000000"/>
                <w:sz w:val="16"/>
                <w:szCs w:val="16"/>
                <w:lang w:eastAsia="es-CR"/>
              </w:rPr>
            </w:pPr>
            <w:r w:rsidRPr="009431BB">
              <w:rPr>
                <w:rFonts w:ascii="Book Antiqua" w:hAnsi="Book Antiqua"/>
                <w:color w:val="000000"/>
                <w:sz w:val="16"/>
                <w:szCs w:val="16"/>
                <w:lang w:eastAsia="es-CR"/>
              </w:rPr>
              <w:t>87</w:t>
            </w:r>
          </w:p>
        </w:tc>
      </w:tr>
      <w:tr w:rsidR="0044292F" w:rsidRPr="009431BB" w14:paraId="4E5D7B94" w14:textId="77777777" w:rsidTr="009431BB">
        <w:trPr>
          <w:trHeight w:val="290"/>
          <w:jc w:val="center"/>
        </w:trPr>
        <w:tc>
          <w:tcPr>
            <w:tcW w:w="4016" w:type="dxa"/>
            <w:tcBorders>
              <w:top w:val="nil"/>
              <w:left w:val="single" w:sz="4" w:space="0" w:color="000000"/>
              <w:bottom w:val="single" w:sz="4" w:space="0" w:color="000000"/>
              <w:right w:val="single" w:sz="4" w:space="0" w:color="000000"/>
            </w:tcBorders>
            <w:shd w:val="clear" w:color="000000" w:fill="FFFFFF"/>
            <w:vAlign w:val="center"/>
            <w:hideMark/>
          </w:tcPr>
          <w:p w14:paraId="1E46CD2C" w14:textId="77777777" w:rsidR="0044292F" w:rsidRPr="009431BB" w:rsidRDefault="0044292F" w:rsidP="00985591">
            <w:pPr>
              <w:spacing w:line="276" w:lineRule="auto"/>
              <w:rPr>
                <w:rFonts w:ascii="Book Antiqua" w:hAnsi="Book Antiqua"/>
                <w:b/>
                <w:bCs/>
                <w:color w:val="000000"/>
                <w:sz w:val="16"/>
                <w:szCs w:val="16"/>
                <w:lang w:eastAsia="es-CR"/>
              </w:rPr>
            </w:pPr>
            <w:r w:rsidRPr="009431BB">
              <w:rPr>
                <w:rFonts w:ascii="Book Antiqua" w:hAnsi="Book Antiqua"/>
                <w:b/>
                <w:bCs/>
                <w:color w:val="000000"/>
                <w:sz w:val="16"/>
                <w:szCs w:val="16"/>
                <w:lang w:eastAsia="es-CR"/>
              </w:rPr>
              <w:t>Seguimiento de medidas alternas</w:t>
            </w:r>
          </w:p>
        </w:tc>
        <w:tc>
          <w:tcPr>
            <w:tcW w:w="1200" w:type="dxa"/>
            <w:tcBorders>
              <w:top w:val="nil"/>
              <w:left w:val="nil"/>
              <w:bottom w:val="single" w:sz="4" w:space="0" w:color="000000"/>
              <w:right w:val="single" w:sz="4" w:space="0" w:color="000000"/>
            </w:tcBorders>
            <w:shd w:val="clear" w:color="000000" w:fill="FFFFFF"/>
            <w:vAlign w:val="center"/>
            <w:hideMark/>
          </w:tcPr>
          <w:p w14:paraId="1D39D2EC" w14:textId="77777777" w:rsidR="0044292F" w:rsidRPr="009431BB" w:rsidRDefault="0044292F" w:rsidP="00985591">
            <w:pPr>
              <w:spacing w:line="276" w:lineRule="auto"/>
              <w:jc w:val="center"/>
              <w:rPr>
                <w:rFonts w:ascii="Book Antiqua" w:hAnsi="Book Antiqua"/>
                <w:color w:val="000000"/>
                <w:sz w:val="16"/>
                <w:szCs w:val="16"/>
                <w:lang w:eastAsia="es-CR"/>
              </w:rPr>
            </w:pPr>
            <w:r w:rsidRPr="009431BB">
              <w:rPr>
                <w:rFonts w:ascii="Book Antiqua" w:hAnsi="Book Antiqua"/>
                <w:color w:val="000000"/>
                <w:sz w:val="16"/>
                <w:szCs w:val="16"/>
                <w:lang w:eastAsia="es-CR"/>
              </w:rPr>
              <w:t>13</w:t>
            </w:r>
          </w:p>
        </w:tc>
      </w:tr>
    </w:tbl>
    <w:p w14:paraId="770FE48E" w14:textId="77777777" w:rsidR="0044292F" w:rsidRPr="004F0E92" w:rsidRDefault="0044292F" w:rsidP="00985591">
      <w:pPr>
        <w:spacing w:line="276" w:lineRule="auto"/>
        <w:jc w:val="center"/>
        <w:rPr>
          <w:rFonts w:ascii="Book Antiqua" w:hAnsi="Book Antiqua"/>
          <w:b/>
          <w:bCs/>
          <w:color w:val="000000" w:themeColor="text1"/>
          <w:sz w:val="20"/>
          <w:szCs w:val="20"/>
        </w:rPr>
      </w:pPr>
      <w:r w:rsidRPr="004F0E92">
        <w:rPr>
          <w:rFonts w:ascii="Book Antiqua" w:hAnsi="Book Antiqua"/>
          <w:b/>
          <w:bCs/>
          <w:color w:val="000000" w:themeColor="text1"/>
          <w:sz w:val="20"/>
          <w:szCs w:val="20"/>
        </w:rPr>
        <w:t xml:space="preserve">Fuente: </w:t>
      </w:r>
      <w:r w:rsidRPr="004F0E92">
        <w:rPr>
          <w:rFonts w:ascii="Book Antiqua" w:hAnsi="Book Antiqua"/>
          <w:color w:val="000000" w:themeColor="text1"/>
          <w:sz w:val="20"/>
          <w:szCs w:val="20"/>
        </w:rPr>
        <w:t>Elabora</w:t>
      </w:r>
      <w:r>
        <w:rPr>
          <w:rFonts w:ascii="Book Antiqua" w:hAnsi="Book Antiqua"/>
          <w:color w:val="000000" w:themeColor="text1"/>
          <w:sz w:val="20"/>
          <w:szCs w:val="20"/>
        </w:rPr>
        <w:t>do por la Oficina Rectora de Justicia Restaurativa</w:t>
      </w:r>
    </w:p>
    <w:p w14:paraId="6846272E" w14:textId="77777777" w:rsidR="00565EC1" w:rsidRPr="004F0E92" w:rsidRDefault="00565EC1" w:rsidP="00985591">
      <w:pPr>
        <w:spacing w:line="276" w:lineRule="auto"/>
        <w:rPr>
          <w:rFonts w:ascii="Book Antiqua" w:hAnsi="Book Antiqua"/>
          <w:b/>
          <w:bCs/>
        </w:rPr>
      </w:pPr>
      <w:bookmarkStart w:id="22" w:name="_Hlk87361745"/>
    </w:p>
    <w:p w14:paraId="63A81AB1" w14:textId="570F890F" w:rsidR="000A6207" w:rsidRPr="004F0E92" w:rsidRDefault="000A6207" w:rsidP="000A6207">
      <w:pPr>
        <w:pStyle w:val="Ttulo1"/>
        <w:spacing w:line="276" w:lineRule="auto"/>
        <w:rPr>
          <w:b w:val="0"/>
          <w:bCs/>
        </w:rPr>
      </w:pPr>
      <w:bookmarkStart w:id="23" w:name="_Hlk87431380"/>
      <w:r w:rsidRPr="009431BB">
        <w:rPr>
          <w:bCs/>
        </w:rPr>
        <w:t xml:space="preserve">CAPITULO </w:t>
      </w:r>
      <w:r>
        <w:t>VI</w:t>
      </w:r>
      <w:r w:rsidR="001C37D6">
        <w:t>I</w:t>
      </w:r>
      <w:r>
        <w:t>.</w:t>
      </w:r>
      <w:r w:rsidRPr="009431BB">
        <w:rPr>
          <w:bCs/>
        </w:rPr>
        <w:t xml:space="preserve"> RESULTADOS DE MATERIA PENAL EN EL MES DE </w:t>
      </w:r>
      <w:r w:rsidR="00565EC1" w:rsidRPr="009431BB">
        <w:rPr>
          <w:bCs/>
        </w:rPr>
        <w:t>AGOSTO</w:t>
      </w:r>
    </w:p>
    <w:bookmarkEnd w:id="22"/>
    <w:bookmarkEnd w:id="23"/>
    <w:p w14:paraId="4314E698" w14:textId="77777777" w:rsidR="000A6207" w:rsidRPr="004F0E92" w:rsidRDefault="000A6207" w:rsidP="000A6207">
      <w:pPr>
        <w:shd w:val="clear" w:color="auto" w:fill="FFFFFF" w:themeFill="background1"/>
        <w:spacing w:line="276" w:lineRule="auto"/>
        <w:jc w:val="both"/>
        <w:rPr>
          <w:rFonts w:ascii="Book Antiqua" w:hAnsi="Book Antiqua"/>
          <w:b/>
          <w:bCs/>
          <w:lang w:val="es-ES_tradnl" w:eastAsia="en-US"/>
        </w:rPr>
      </w:pPr>
    </w:p>
    <w:p w14:paraId="13DF3D72" w14:textId="77248C41" w:rsidR="000A6207" w:rsidRPr="004F0E92" w:rsidRDefault="497C6400" w:rsidP="57A79FF7">
      <w:pPr>
        <w:tabs>
          <w:tab w:val="left" w:pos="426"/>
        </w:tabs>
        <w:spacing w:after="160" w:line="276" w:lineRule="auto"/>
        <w:contextualSpacing/>
        <w:outlineLvl w:val="1"/>
        <w:rPr>
          <w:b/>
          <w:color w:val="000000" w:themeColor="text1"/>
        </w:rPr>
      </w:pPr>
      <w:r w:rsidRPr="57A79FF7">
        <w:rPr>
          <w:rFonts w:ascii="Book Antiqua" w:hAnsi="Book Antiqua"/>
          <w:b/>
          <w:bCs/>
          <w:color w:val="000000" w:themeColor="text1"/>
        </w:rPr>
        <w:t>7</w:t>
      </w:r>
      <w:r w:rsidR="6781F4E4" w:rsidRPr="57A79FF7">
        <w:rPr>
          <w:rFonts w:ascii="Book Antiqua" w:hAnsi="Book Antiqua"/>
          <w:b/>
          <w:bCs/>
          <w:color w:val="000000" w:themeColor="text1"/>
        </w:rPr>
        <w:t xml:space="preserve">. </w:t>
      </w:r>
      <w:r w:rsidR="000A6207" w:rsidRPr="004F0E92">
        <w:rPr>
          <w:rFonts w:ascii="Book Antiqua" w:hAnsi="Book Antiqua"/>
          <w:b/>
          <w:color w:val="000000" w:themeColor="text1"/>
        </w:rPr>
        <w:t xml:space="preserve">Seguimiento resultados de materia Penal del mes de </w:t>
      </w:r>
      <w:r w:rsidR="00CD11AF">
        <w:rPr>
          <w:rFonts w:ascii="Book Antiqua" w:hAnsi="Book Antiqua"/>
          <w:b/>
          <w:color w:val="000000" w:themeColor="text1"/>
        </w:rPr>
        <w:t>agosto</w:t>
      </w:r>
    </w:p>
    <w:p w14:paraId="563A3F20" w14:textId="2171D444" w:rsidR="57A79FF7" w:rsidRDefault="57A79FF7" w:rsidP="57A79FF7">
      <w:pPr>
        <w:tabs>
          <w:tab w:val="left" w:pos="426"/>
        </w:tabs>
        <w:spacing w:after="160" w:line="276" w:lineRule="auto"/>
        <w:outlineLvl w:val="1"/>
        <w:rPr>
          <w:b/>
          <w:bCs/>
          <w:color w:val="000000" w:themeColor="text1"/>
        </w:rPr>
      </w:pPr>
    </w:p>
    <w:p w14:paraId="76450B4A" w14:textId="77777777" w:rsidR="000A6207" w:rsidRPr="004F0E92" w:rsidRDefault="000A6207" w:rsidP="000A6207">
      <w:pPr>
        <w:spacing w:line="276" w:lineRule="auto"/>
        <w:jc w:val="both"/>
        <w:rPr>
          <w:rFonts w:ascii="Book Antiqua" w:hAnsi="Book Antiqua"/>
          <w:color w:val="000000" w:themeColor="text1"/>
        </w:rPr>
      </w:pPr>
      <w:r w:rsidRPr="00C56519">
        <w:rPr>
          <w:rFonts w:ascii="Book Antiqua" w:hAnsi="Book Antiqua"/>
          <w:color w:val="000000" w:themeColor="text1"/>
        </w:rPr>
        <w:t>La Dirección de Planificación a través de la circular 61-20, e</w:t>
      </w:r>
      <w:r w:rsidRPr="001A078A">
        <w:rPr>
          <w:rFonts w:ascii="Book Antiqua" w:hAnsi="Book Antiqua"/>
          <w:color w:val="000000" w:themeColor="text1"/>
        </w:rPr>
        <w:t>s la responsab</w:t>
      </w:r>
      <w:r w:rsidRPr="00DB6970">
        <w:rPr>
          <w:rFonts w:ascii="Book Antiqua" w:hAnsi="Book Antiqua"/>
          <w:color w:val="000000" w:themeColor="text1"/>
        </w:rPr>
        <w:t xml:space="preserve">le del </w:t>
      </w:r>
      <w:r w:rsidRPr="0016469A">
        <w:rPr>
          <w:rFonts w:ascii="Book Antiqua" w:hAnsi="Book Antiqua"/>
          <w:color w:val="000000" w:themeColor="text1"/>
        </w:rPr>
        <w:t>seguimiento de los resultados de lo</w:t>
      </w:r>
      <w:r w:rsidRPr="00D92C45">
        <w:rPr>
          <w:rFonts w:ascii="Book Antiqua" w:hAnsi="Book Antiqua"/>
          <w:color w:val="000000" w:themeColor="text1"/>
        </w:rPr>
        <w:t>s planes de trabajo de los Juzgados Penales, Tri</w:t>
      </w:r>
      <w:r w:rsidRPr="004F7FEF">
        <w:rPr>
          <w:rFonts w:ascii="Book Antiqua" w:hAnsi="Book Antiqua"/>
          <w:color w:val="000000" w:themeColor="text1"/>
        </w:rPr>
        <w:t>bunales de Juicio, Tribunal y Secciones de Flagrancia, Juzgados de Ejecución de la Pena, Tribunal de Apelación</w:t>
      </w:r>
      <w:r w:rsidRPr="00BB710A">
        <w:rPr>
          <w:rFonts w:ascii="Book Antiqua" w:hAnsi="Book Antiqua"/>
          <w:color w:val="000000" w:themeColor="text1"/>
        </w:rPr>
        <w:t>, Sala Tercera, semana a semana cada una d</w:t>
      </w:r>
      <w:r w:rsidRPr="00AF216E">
        <w:rPr>
          <w:rFonts w:ascii="Book Antiqua" w:hAnsi="Book Antiqua"/>
          <w:color w:val="000000" w:themeColor="text1"/>
        </w:rPr>
        <w:t>e esas oficinas prese</w:t>
      </w:r>
      <w:r w:rsidRPr="00350753">
        <w:rPr>
          <w:rFonts w:ascii="Book Antiqua" w:hAnsi="Book Antiqua"/>
          <w:color w:val="000000" w:themeColor="text1"/>
        </w:rPr>
        <w:t>nta sus datos y son revisados por p</w:t>
      </w:r>
      <w:r w:rsidRPr="00FD0F4E">
        <w:rPr>
          <w:rFonts w:ascii="Book Antiqua" w:hAnsi="Book Antiqua"/>
          <w:color w:val="000000" w:themeColor="text1"/>
        </w:rPr>
        <w:t>rofesionales de dicha dirección, quienes dan retroalimentación en el llenado de ellos por alguna inc</w:t>
      </w:r>
      <w:r w:rsidRPr="00C446D3">
        <w:rPr>
          <w:rFonts w:ascii="Book Antiqua" w:hAnsi="Book Antiqua"/>
          <w:color w:val="000000" w:themeColor="text1"/>
        </w:rPr>
        <w:t>onsistencia y de manera mensual se</w:t>
      </w:r>
      <w:r w:rsidRPr="001C045B">
        <w:rPr>
          <w:rFonts w:ascii="Book Antiqua" w:hAnsi="Book Antiqua"/>
          <w:color w:val="000000" w:themeColor="text1"/>
        </w:rPr>
        <w:t xml:space="preserve"> sistematiza la información, circular 101-2020. Adicionalmente a partir del 22 de marzo de 2021, la Corte P</w:t>
      </w:r>
      <w:r w:rsidRPr="00950EE4">
        <w:rPr>
          <w:rFonts w:ascii="Book Antiqua" w:hAnsi="Book Antiqua"/>
          <w:color w:val="000000" w:themeColor="text1"/>
        </w:rPr>
        <w:t xml:space="preserve">lena en </w:t>
      </w:r>
      <w:r w:rsidRPr="008C34D4">
        <w:rPr>
          <w:rFonts w:ascii="Book Antiqua" w:hAnsi="Book Antiqua"/>
          <w:color w:val="000000" w:themeColor="text1"/>
        </w:rPr>
        <w:t>la sesión 12-202</w:t>
      </w:r>
      <w:r w:rsidRPr="00ED0468">
        <w:rPr>
          <w:rFonts w:ascii="Book Antiqua" w:hAnsi="Book Antiqua"/>
          <w:color w:val="000000" w:themeColor="text1"/>
        </w:rPr>
        <w:t>1</w:t>
      </w:r>
      <w:r w:rsidRPr="00BB6850">
        <w:rPr>
          <w:rFonts w:ascii="Book Antiqua" w:hAnsi="Book Antiqua"/>
          <w:color w:val="000000" w:themeColor="text1"/>
        </w:rPr>
        <w:t>, artícu</w:t>
      </w:r>
      <w:r w:rsidRPr="00604E74">
        <w:rPr>
          <w:rFonts w:ascii="Book Antiqua" w:hAnsi="Book Antiqua"/>
          <w:color w:val="000000" w:themeColor="text1"/>
        </w:rPr>
        <w:t>lo XVII a</w:t>
      </w:r>
      <w:r w:rsidRPr="00C47455">
        <w:rPr>
          <w:rFonts w:ascii="Book Antiqua" w:hAnsi="Book Antiqua"/>
          <w:color w:val="000000" w:themeColor="text1"/>
        </w:rPr>
        <w:t>prob</w:t>
      </w:r>
      <w:r w:rsidRPr="00740A51">
        <w:rPr>
          <w:rFonts w:ascii="Book Antiqua" w:hAnsi="Book Antiqua"/>
          <w:color w:val="000000" w:themeColor="text1"/>
        </w:rPr>
        <w:t>ó el in</w:t>
      </w:r>
      <w:r w:rsidRPr="00C56519">
        <w:rPr>
          <w:rFonts w:ascii="Book Antiqua" w:hAnsi="Book Antiqua"/>
          <w:color w:val="000000" w:themeColor="text1"/>
        </w:rPr>
        <w:t>forme 301-PLA-MI-2021, en donde se recomendó que a partir del mes de mayo el seguimiento se desarrollara a través de indicadores de gestión</w:t>
      </w:r>
      <w:r>
        <w:rPr>
          <w:rFonts w:ascii="Book Antiqua" w:hAnsi="Book Antiqua"/>
          <w:color w:val="000000" w:themeColor="text1"/>
        </w:rPr>
        <w:t>, lo cual se comunicó mediante la circular 92-2021 a todos los despachos del país. Esto, aplica únicamente para los Juzgados Penales, Tribunales Penales, Secciones de Flagrancia y Juzgados de Ejecución.</w:t>
      </w:r>
    </w:p>
    <w:p w14:paraId="0CE605E7" w14:textId="77777777" w:rsidR="000A6207" w:rsidRPr="00BF7F5F" w:rsidRDefault="000A6207" w:rsidP="00BF7F5F">
      <w:pPr>
        <w:spacing w:line="276" w:lineRule="auto"/>
        <w:rPr>
          <w:rFonts w:ascii="Book Antiqua" w:hAnsi="Book Antiqua"/>
          <w:color w:val="000000" w:themeColor="text1"/>
        </w:rPr>
      </w:pPr>
    </w:p>
    <w:p w14:paraId="6F7D29A9" w14:textId="44ED8ABA" w:rsidR="000A6207" w:rsidRPr="009431BB" w:rsidRDefault="2179C870" w:rsidP="57A79FF7">
      <w:pPr>
        <w:spacing w:after="160" w:line="276" w:lineRule="auto"/>
        <w:contextualSpacing/>
        <w:outlineLvl w:val="1"/>
        <w:rPr>
          <w:b/>
          <w:color w:val="000000" w:themeColor="text1"/>
        </w:rPr>
      </w:pPr>
      <w:r w:rsidRPr="57A79FF7">
        <w:rPr>
          <w:rFonts w:ascii="Book Antiqua" w:hAnsi="Book Antiqua"/>
          <w:b/>
          <w:bCs/>
          <w:color w:val="000000" w:themeColor="text1"/>
        </w:rPr>
        <w:t>7</w:t>
      </w:r>
      <w:r w:rsidR="2AB3CB22" w:rsidRPr="57A79FF7">
        <w:rPr>
          <w:rFonts w:ascii="Book Antiqua" w:hAnsi="Book Antiqua"/>
          <w:b/>
          <w:bCs/>
          <w:color w:val="000000" w:themeColor="text1"/>
        </w:rPr>
        <w:t xml:space="preserve">.1 </w:t>
      </w:r>
      <w:r w:rsidR="000A6207" w:rsidRPr="009431BB">
        <w:rPr>
          <w:rFonts w:ascii="Book Antiqua" w:hAnsi="Book Antiqua"/>
          <w:b/>
          <w:color w:val="000000" w:themeColor="text1"/>
        </w:rPr>
        <w:t>Resultados de desglose de actividades</w:t>
      </w:r>
    </w:p>
    <w:p w14:paraId="2FB421D2" w14:textId="77777777" w:rsidR="000A6207" w:rsidRPr="009431BB" w:rsidRDefault="000A6207" w:rsidP="000A6207">
      <w:pPr>
        <w:pStyle w:val="Prrafodelista"/>
        <w:spacing w:after="160" w:line="276" w:lineRule="auto"/>
        <w:ind w:left="360"/>
        <w:contextualSpacing/>
        <w:rPr>
          <w:rFonts w:ascii="Book Antiqua" w:hAnsi="Book Antiqua"/>
          <w:b/>
          <w:color w:val="000000" w:themeColor="text1"/>
        </w:rPr>
      </w:pPr>
    </w:p>
    <w:p w14:paraId="2C823EA5" w14:textId="3534CE12" w:rsidR="000A6207" w:rsidRPr="009431BB" w:rsidRDefault="1DF0EA73" w:rsidP="57A79FF7">
      <w:pPr>
        <w:tabs>
          <w:tab w:val="left" w:pos="426"/>
        </w:tabs>
        <w:spacing w:line="276" w:lineRule="auto"/>
        <w:jc w:val="both"/>
        <w:outlineLvl w:val="2"/>
        <w:rPr>
          <w:b/>
          <w:color w:val="000000" w:themeColor="text1"/>
          <w:lang w:eastAsia="es-CR"/>
        </w:rPr>
      </w:pPr>
      <w:r w:rsidRPr="57A79FF7">
        <w:rPr>
          <w:rFonts w:ascii="Book Antiqua" w:hAnsi="Book Antiqua"/>
          <w:b/>
          <w:bCs/>
          <w:color w:val="000000" w:themeColor="text1"/>
        </w:rPr>
        <w:t>7</w:t>
      </w:r>
      <w:r w:rsidR="290E2FFE" w:rsidRPr="57A79FF7">
        <w:rPr>
          <w:rFonts w:ascii="Book Antiqua" w:hAnsi="Book Antiqua"/>
          <w:b/>
          <w:bCs/>
          <w:color w:val="000000" w:themeColor="text1"/>
        </w:rPr>
        <w:t xml:space="preserve">.1.1 </w:t>
      </w:r>
      <w:r w:rsidR="000A6207" w:rsidRPr="009431BB">
        <w:rPr>
          <w:rFonts w:ascii="Book Antiqua" w:hAnsi="Book Antiqua"/>
          <w:b/>
          <w:bCs/>
          <w:color w:val="000000" w:themeColor="text1"/>
        </w:rPr>
        <w:t xml:space="preserve">Juzgados Penales </w:t>
      </w:r>
    </w:p>
    <w:p w14:paraId="1BAA131D" w14:textId="77777777" w:rsidR="000A6207" w:rsidRPr="006470CC" w:rsidRDefault="000A6207" w:rsidP="000A6207">
      <w:pPr>
        <w:pStyle w:val="Prrafodelista"/>
        <w:tabs>
          <w:tab w:val="left" w:pos="426"/>
        </w:tabs>
        <w:spacing w:line="276" w:lineRule="auto"/>
        <w:ind w:left="0"/>
        <w:jc w:val="both"/>
        <w:rPr>
          <w:rFonts w:ascii="Book Antiqua" w:hAnsi="Book Antiqua"/>
          <w:color w:val="000000" w:themeColor="text1"/>
          <w:highlight w:val="magenta"/>
        </w:rPr>
      </w:pPr>
    </w:p>
    <w:p w14:paraId="7128A2A2" w14:textId="15122B69" w:rsidR="000A6207" w:rsidRPr="009431BB" w:rsidRDefault="009431BB" w:rsidP="000A6207">
      <w:pPr>
        <w:pStyle w:val="Prrafodelista"/>
        <w:tabs>
          <w:tab w:val="left" w:pos="426"/>
        </w:tabs>
        <w:spacing w:line="276" w:lineRule="auto"/>
        <w:ind w:left="0"/>
        <w:jc w:val="both"/>
        <w:rPr>
          <w:rFonts w:ascii="Book Antiqua" w:hAnsi="Book Antiqua" w:cs="Calibri"/>
          <w:color w:val="000000" w:themeColor="text1"/>
          <w:lang w:eastAsia="es-CR"/>
        </w:rPr>
      </w:pPr>
      <w:r w:rsidRPr="009431BB">
        <w:rPr>
          <w:rFonts w:ascii="Book Antiqua" w:hAnsi="Book Antiqua"/>
          <w:color w:val="000000"/>
          <w:lang w:val="es-ES"/>
        </w:rPr>
        <w:t>Según los datos reportados en las matrices de indicadores por los Juzgados Penales, las principales actividades efectuadas por el personal de la judicatura durante el mes de agosto del 2021 fueron: 9535 asuntos finalizados por desestimación, sobreseimientos y auto apertura a juicio, 2343 audiencias preliminares realizadas y 750 vistas orales efectuadas.</w:t>
      </w:r>
    </w:p>
    <w:p w14:paraId="3EF41A76" w14:textId="77777777" w:rsidR="000A6207" w:rsidRPr="009431BB" w:rsidRDefault="000A6207" w:rsidP="000A6207">
      <w:pPr>
        <w:pStyle w:val="Prrafodelista"/>
        <w:tabs>
          <w:tab w:val="left" w:pos="426"/>
        </w:tabs>
        <w:spacing w:line="276" w:lineRule="auto"/>
        <w:ind w:left="0"/>
        <w:jc w:val="both"/>
        <w:rPr>
          <w:rFonts w:ascii="Book Antiqua" w:hAnsi="Book Antiqua" w:cs="Calibri"/>
          <w:color w:val="000000" w:themeColor="text1"/>
          <w:lang w:eastAsia="es-CR"/>
        </w:rPr>
      </w:pPr>
    </w:p>
    <w:p w14:paraId="35A7F337" w14:textId="77777777" w:rsidR="000A6207" w:rsidRPr="009431BB" w:rsidRDefault="000A6207" w:rsidP="000A6207">
      <w:pPr>
        <w:pStyle w:val="Prrafodelista"/>
        <w:tabs>
          <w:tab w:val="left" w:pos="426"/>
        </w:tabs>
        <w:spacing w:line="276" w:lineRule="auto"/>
        <w:ind w:left="0"/>
        <w:jc w:val="both"/>
        <w:rPr>
          <w:rFonts w:ascii="Book Antiqua" w:hAnsi="Book Antiqua" w:cs="Calibri"/>
          <w:color w:val="000000" w:themeColor="text1"/>
          <w:lang w:eastAsia="es-CR"/>
        </w:rPr>
      </w:pPr>
    </w:p>
    <w:p w14:paraId="072A505D" w14:textId="4374B295" w:rsidR="000A6207" w:rsidRPr="009431BB" w:rsidRDefault="000A6207" w:rsidP="000A6207">
      <w:pPr>
        <w:spacing w:line="276" w:lineRule="auto"/>
        <w:jc w:val="center"/>
        <w:rPr>
          <w:rFonts w:ascii="Book Antiqua" w:hAnsi="Book Antiqua"/>
          <w:b/>
          <w:color w:val="000000"/>
        </w:rPr>
      </w:pPr>
      <w:r w:rsidRPr="009431BB">
        <w:rPr>
          <w:rFonts w:ascii="Book Antiqua" w:hAnsi="Book Antiqua"/>
          <w:b/>
          <w:color w:val="000000"/>
        </w:rPr>
        <w:t xml:space="preserve">Gráfico </w:t>
      </w:r>
      <w:r w:rsidR="00772904">
        <w:rPr>
          <w:rFonts w:ascii="Book Antiqua" w:hAnsi="Book Antiqua"/>
          <w:b/>
          <w:color w:val="000000"/>
        </w:rPr>
        <w:t>21</w:t>
      </w:r>
    </w:p>
    <w:p w14:paraId="7D59A8EB" w14:textId="77777777" w:rsidR="000A6207" w:rsidRPr="009431BB" w:rsidRDefault="000A6207" w:rsidP="000A6207">
      <w:pPr>
        <w:spacing w:line="276" w:lineRule="auto"/>
        <w:jc w:val="center"/>
        <w:rPr>
          <w:rFonts w:ascii="Book Antiqua" w:hAnsi="Book Antiqua"/>
          <w:bCs/>
          <w:color w:val="000000"/>
        </w:rPr>
      </w:pPr>
      <w:r w:rsidRPr="009431BB">
        <w:rPr>
          <w:rFonts w:ascii="Book Antiqua" w:hAnsi="Book Antiqua"/>
          <w:bCs/>
          <w:color w:val="000000"/>
        </w:rPr>
        <w:t>Actividades principales efectuadas por el personal de la judicatura</w:t>
      </w:r>
    </w:p>
    <w:p w14:paraId="73B234DB" w14:textId="2FE26EEE" w:rsidR="000A6207" w:rsidRPr="00F04863" w:rsidRDefault="000A6207" w:rsidP="000A6207">
      <w:pPr>
        <w:spacing w:line="276" w:lineRule="auto"/>
        <w:jc w:val="center"/>
        <w:rPr>
          <w:rFonts w:ascii="Book Antiqua" w:hAnsi="Book Antiqua"/>
          <w:bCs/>
          <w:color w:val="000000"/>
        </w:rPr>
      </w:pPr>
      <w:r w:rsidRPr="009431BB">
        <w:rPr>
          <w:rFonts w:ascii="Book Antiqua" w:hAnsi="Book Antiqua"/>
          <w:bCs/>
          <w:color w:val="000000"/>
        </w:rPr>
        <w:t xml:space="preserve">de los Juzgados Penales durante </w:t>
      </w:r>
      <w:r w:rsidR="006470CC" w:rsidRPr="009431BB">
        <w:rPr>
          <w:rFonts w:ascii="Book Antiqua" w:hAnsi="Book Antiqua"/>
          <w:bCs/>
          <w:color w:val="000000"/>
        </w:rPr>
        <w:t>agosto</w:t>
      </w:r>
      <w:r w:rsidRPr="009431BB">
        <w:rPr>
          <w:rFonts w:ascii="Book Antiqua" w:hAnsi="Book Antiqua"/>
          <w:bCs/>
          <w:color w:val="000000"/>
        </w:rPr>
        <w:t xml:space="preserve"> de 2021</w:t>
      </w:r>
    </w:p>
    <w:p w14:paraId="16A2AE92" w14:textId="77777777" w:rsidR="000A6207" w:rsidRPr="00336B79" w:rsidRDefault="000A6207" w:rsidP="000A6207">
      <w:pPr>
        <w:spacing w:line="276" w:lineRule="auto"/>
        <w:jc w:val="center"/>
        <w:rPr>
          <w:rFonts w:ascii="Book Antiqua" w:hAnsi="Book Antiqua"/>
          <w:b/>
          <w:color w:val="000000"/>
        </w:rPr>
      </w:pPr>
    </w:p>
    <w:p w14:paraId="7A0FD800" w14:textId="3D2CC8FF" w:rsidR="000A6207" w:rsidRDefault="006470CC" w:rsidP="000A6207">
      <w:pPr>
        <w:spacing w:line="276" w:lineRule="auto"/>
        <w:jc w:val="center"/>
        <w:rPr>
          <w:rFonts w:ascii="Book Antiqua" w:hAnsi="Book Antiqua"/>
          <w:color w:val="000000" w:themeColor="text1"/>
          <w:highlight w:val="green"/>
        </w:rPr>
      </w:pPr>
      <w:r>
        <w:rPr>
          <w:noProof/>
        </w:rPr>
        <w:drawing>
          <wp:inline distT="0" distB="0" distL="0" distR="0" wp14:anchorId="7A27A39A" wp14:editId="18068C24">
            <wp:extent cx="4292221" cy="2268308"/>
            <wp:effectExtent l="0" t="0" r="0" b="0"/>
            <wp:docPr id="9" name="Gráfico 9">
              <a:extLst xmlns:a="http://schemas.openxmlformats.org/drawingml/2006/main">
                <a:ext uri="{FF2B5EF4-FFF2-40B4-BE49-F238E27FC236}">
                  <a16:creationId xmlns:a16="http://schemas.microsoft.com/office/drawing/2014/main" id="{75087806-06CE-41F0-8B4B-8732411350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CDE6459" w14:textId="4E3AFDB2" w:rsidR="000A6207" w:rsidRDefault="000A6207" w:rsidP="000A6207">
      <w:pPr>
        <w:spacing w:line="276" w:lineRule="auto"/>
        <w:jc w:val="center"/>
        <w:rPr>
          <w:rFonts w:ascii="Book Antiqua" w:hAnsi="Book Antiqua"/>
          <w:color w:val="000000"/>
          <w:sz w:val="20"/>
          <w:szCs w:val="20"/>
        </w:rPr>
      </w:pPr>
      <w:r w:rsidRPr="0013210E">
        <w:rPr>
          <w:rFonts w:ascii="Book Antiqua" w:hAnsi="Book Antiqua"/>
          <w:b/>
          <w:bCs/>
          <w:color w:val="000000"/>
          <w:sz w:val="20"/>
          <w:szCs w:val="20"/>
        </w:rPr>
        <w:t>Fuente:</w:t>
      </w:r>
      <w:r w:rsidRPr="00DE41EA">
        <w:rPr>
          <w:rFonts w:ascii="Book Antiqua" w:hAnsi="Book Antiqua"/>
          <w:color w:val="000000"/>
          <w:sz w:val="20"/>
          <w:szCs w:val="20"/>
        </w:rPr>
        <w:t xml:space="preserve"> </w:t>
      </w:r>
      <w:r>
        <w:rPr>
          <w:rFonts w:ascii="Book Antiqua" w:hAnsi="Book Antiqua"/>
          <w:color w:val="000000"/>
          <w:sz w:val="20"/>
          <w:szCs w:val="20"/>
        </w:rPr>
        <w:t>Matriz de indicadores de Gestión</w:t>
      </w:r>
    </w:p>
    <w:p w14:paraId="48236D7B" w14:textId="77777777" w:rsidR="006470CC" w:rsidRDefault="006470CC" w:rsidP="000A6207">
      <w:pPr>
        <w:spacing w:line="276" w:lineRule="auto"/>
        <w:jc w:val="center"/>
        <w:rPr>
          <w:rFonts w:ascii="Book Antiqua" w:hAnsi="Book Antiqua"/>
          <w:color w:val="000000"/>
          <w:sz w:val="20"/>
          <w:szCs w:val="20"/>
        </w:rPr>
      </w:pPr>
    </w:p>
    <w:p w14:paraId="3B97ACAE" w14:textId="1BF270B5" w:rsidR="00694721" w:rsidRDefault="00694721" w:rsidP="000A6207">
      <w:pPr>
        <w:spacing w:line="276" w:lineRule="auto"/>
        <w:jc w:val="center"/>
        <w:rPr>
          <w:rFonts w:ascii="Book Antiqua" w:hAnsi="Book Antiqua"/>
          <w:color w:val="000000"/>
          <w:sz w:val="20"/>
          <w:szCs w:val="20"/>
        </w:rPr>
      </w:pPr>
    </w:p>
    <w:p w14:paraId="3EDA95AA" w14:textId="77777777" w:rsidR="00A0115C" w:rsidRDefault="00A0115C" w:rsidP="000A6207">
      <w:pPr>
        <w:spacing w:line="276" w:lineRule="auto"/>
        <w:jc w:val="center"/>
        <w:rPr>
          <w:rFonts w:ascii="Book Antiqua" w:hAnsi="Book Antiqua"/>
          <w:color w:val="000000"/>
          <w:sz w:val="20"/>
          <w:szCs w:val="20"/>
        </w:rPr>
      </w:pPr>
    </w:p>
    <w:p w14:paraId="0ABC76FD" w14:textId="61DE7BCE" w:rsidR="000A6207" w:rsidRPr="00772904" w:rsidRDefault="59FC6F85" w:rsidP="57A79FF7">
      <w:pPr>
        <w:tabs>
          <w:tab w:val="left" w:pos="426"/>
        </w:tabs>
        <w:spacing w:line="276" w:lineRule="auto"/>
        <w:jc w:val="both"/>
        <w:rPr>
          <w:b/>
          <w:color w:val="000000" w:themeColor="text1"/>
          <w:lang w:eastAsia="es-CR"/>
        </w:rPr>
      </w:pPr>
      <w:r w:rsidRPr="57A79FF7">
        <w:rPr>
          <w:rFonts w:ascii="Book Antiqua" w:hAnsi="Book Antiqua"/>
          <w:b/>
          <w:bCs/>
          <w:color w:val="000000" w:themeColor="text1"/>
        </w:rPr>
        <w:t>7</w:t>
      </w:r>
      <w:r w:rsidR="17177733" w:rsidRPr="57A79FF7">
        <w:rPr>
          <w:rFonts w:ascii="Book Antiqua" w:hAnsi="Book Antiqua"/>
          <w:b/>
          <w:bCs/>
          <w:color w:val="000000" w:themeColor="text1"/>
        </w:rPr>
        <w:t xml:space="preserve">.1.2 </w:t>
      </w:r>
      <w:r w:rsidR="000A6207" w:rsidRPr="00772904">
        <w:rPr>
          <w:rFonts w:ascii="Book Antiqua" w:hAnsi="Book Antiqua"/>
          <w:b/>
          <w:bCs/>
          <w:color w:val="000000" w:themeColor="text1"/>
        </w:rPr>
        <w:t>Tribunales Penales</w:t>
      </w:r>
    </w:p>
    <w:p w14:paraId="7B2D746A" w14:textId="77777777" w:rsidR="000A6207" w:rsidRPr="00694721" w:rsidRDefault="000A6207" w:rsidP="00772904">
      <w:pPr>
        <w:pStyle w:val="Prrafodelista"/>
        <w:tabs>
          <w:tab w:val="left" w:pos="426"/>
        </w:tabs>
        <w:spacing w:line="276" w:lineRule="auto"/>
        <w:ind w:left="0"/>
        <w:jc w:val="both"/>
        <w:rPr>
          <w:rFonts w:ascii="Book Antiqua" w:hAnsi="Book Antiqua"/>
          <w:color w:val="000000" w:themeColor="text1"/>
          <w:highlight w:val="green"/>
        </w:rPr>
      </w:pPr>
    </w:p>
    <w:p w14:paraId="6A58B98B" w14:textId="73FC8734" w:rsidR="000A6207" w:rsidRPr="00A0115C" w:rsidRDefault="00772904" w:rsidP="00A0115C">
      <w:pPr>
        <w:spacing w:line="276" w:lineRule="auto"/>
        <w:jc w:val="both"/>
        <w:rPr>
          <w:rFonts w:ascii="Book Antiqua" w:hAnsi="Book Antiqua"/>
          <w:color w:val="000000" w:themeColor="text1"/>
          <w:highlight w:val="green"/>
        </w:rPr>
      </w:pPr>
      <w:r w:rsidRPr="00772904">
        <w:rPr>
          <w:rFonts w:ascii="Book Antiqua" w:hAnsi="Book Antiqua"/>
          <w:color w:val="000000"/>
        </w:rPr>
        <w:t>En los Tribunales Penales la actividad que se realiza con mayor proporción a nivel del personal de la judicatura es la de sentencia dictada con 989 y recurso de apelación con 429 en una segunda posición. Mediante revisión de matrices de indicadores se logra determinar las principales labores de las personas juzgadoras, se tiene, además, el dictado de medidas alternas como una de las actividades que se realizan con más frecuencia.</w:t>
      </w:r>
    </w:p>
    <w:p w14:paraId="1EC6F85D" w14:textId="77777777" w:rsidR="007B3CBE" w:rsidRDefault="007B3CBE" w:rsidP="000A6207">
      <w:pPr>
        <w:spacing w:line="276" w:lineRule="auto"/>
        <w:jc w:val="center"/>
        <w:rPr>
          <w:rFonts w:ascii="Book Antiqua" w:hAnsi="Book Antiqua"/>
          <w:b/>
          <w:color w:val="000000"/>
        </w:rPr>
      </w:pPr>
    </w:p>
    <w:p w14:paraId="68D30C18" w14:textId="4597F333" w:rsidR="000A6207" w:rsidRPr="00772904" w:rsidRDefault="000A6207" w:rsidP="000A6207">
      <w:pPr>
        <w:spacing w:line="276" w:lineRule="auto"/>
        <w:jc w:val="center"/>
        <w:rPr>
          <w:rFonts w:ascii="Book Antiqua" w:hAnsi="Book Antiqua"/>
          <w:b/>
          <w:color w:val="000000"/>
        </w:rPr>
      </w:pPr>
      <w:r w:rsidRPr="00772904">
        <w:rPr>
          <w:rFonts w:ascii="Book Antiqua" w:hAnsi="Book Antiqua"/>
          <w:b/>
          <w:color w:val="000000"/>
        </w:rPr>
        <w:t xml:space="preserve">Gráfico </w:t>
      </w:r>
      <w:r w:rsidR="007B3CBE">
        <w:rPr>
          <w:rFonts w:ascii="Book Antiqua" w:hAnsi="Book Antiqua"/>
          <w:b/>
          <w:color w:val="000000"/>
        </w:rPr>
        <w:t>22</w:t>
      </w:r>
    </w:p>
    <w:p w14:paraId="0383E591" w14:textId="77777777" w:rsidR="000A6207" w:rsidRPr="00772904" w:rsidRDefault="000A6207" w:rsidP="000A6207">
      <w:pPr>
        <w:spacing w:line="276" w:lineRule="auto"/>
        <w:jc w:val="center"/>
        <w:rPr>
          <w:rFonts w:ascii="Book Antiqua" w:hAnsi="Book Antiqua"/>
          <w:bCs/>
          <w:color w:val="000000"/>
        </w:rPr>
      </w:pPr>
      <w:r w:rsidRPr="00772904">
        <w:rPr>
          <w:rFonts w:ascii="Book Antiqua" w:hAnsi="Book Antiqua"/>
          <w:bCs/>
          <w:color w:val="000000"/>
        </w:rPr>
        <w:t>Actividades principales efectuadas por el personal de la judicatura</w:t>
      </w:r>
    </w:p>
    <w:p w14:paraId="760A8DEA" w14:textId="6ABF8C13" w:rsidR="000A6207" w:rsidRPr="00B5501E" w:rsidRDefault="000A6207" w:rsidP="000A6207">
      <w:pPr>
        <w:spacing w:line="276" w:lineRule="auto"/>
        <w:jc w:val="center"/>
        <w:rPr>
          <w:rFonts w:ascii="Book Antiqua" w:hAnsi="Book Antiqua"/>
          <w:bCs/>
          <w:color w:val="000000"/>
        </w:rPr>
      </w:pPr>
      <w:r w:rsidRPr="00772904">
        <w:rPr>
          <w:rFonts w:ascii="Book Antiqua" w:hAnsi="Book Antiqua"/>
          <w:bCs/>
          <w:color w:val="000000"/>
        </w:rPr>
        <w:t xml:space="preserve">de los Tribunales Penales durante </w:t>
      </w:r>
      <w:r w:rsidR="00CD11AF" w:rsidRPr="00772904">
        <w:rPr>
          <w:rFonts w:ascii="Book Antiqua" w:hAnsi="Book Antiqua"/>
          <w:bCs/>
          <w:color w:val="000000"/>
        </w:rPr>
        <w:t>agosto</w:t>
      </w:r>
      <w:r w:rsidRPr="00772904">
        <w:rPr>
          <w:rFonts w:ascii="Book Antiqua" w:hAnsi="Book Antiqua"/>
          <w:bCs/>
          <w:color w:val="000000"/>
        </w:rPr>
        <w:t xml:space="preserve"> de 2021</w:t>
      </w:r>
    </w:p>
    <w:p w14:paraId="0DF34A97" w14:textId="1D71DDD8" w:rsidR="000A6207" w:rsidRDefault="00CD11AF" w:rsidP="000A6207">
      <w:pPr>
        <w:spacing w:line="276" w:lineRule="auto"/>
        <w:jc w:val="center"/>
        <w:rPr>
          <w:rFonts w:ascii="Book Antiqua" w:hAnsi="Book Antiqua"/>
          <w:color w:val="000000" w:themeColor="text1"/>
          <w:highlight w:val="green"/>
        </w:rPr>
      </w:pPr>
      <w:r>
        <w:rPr>
          <w:noProof/>
        </w:rPr>
        <w:drawing>
          <wp:inline distT="0" distB="0" distL="0" distR="0" wp14:anchorId="3458759F" wp14:editId="40A5198C">
            <wp:extent cx="4726384" cy="2774141"/>
            <wp:effectExtent l="0" t="0" r="0" b="7620"/>
            <wp:docPr id="30" name="Gráfico 30">
              <a:extLst xmlns:a="http://schemas.openxmlformats.org/drawingml/2006/main">
                <a:ext uri="{FF2B5EF4-FFF2-40B4-BE49-F238E27FC236}">
                  <a16:creationId xmlns:a16="http://schemas.microsoft.com/office/drawing/2014/main" id="{AE70896E-2AA2-4F6E-96D1-06C1E97D26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9812AA4" w14:textId="77777777" w:rsidR="000A6207" w:rsidRDefault="000A6207" w:rsidP="000A6207">
      <w:pPr>
        <w:spacing w:line="276" w:lineRule="auto"/>
        <w:jc w:val="center"/>
        <w:rPr>
          <w:rFonts w:ascii="Book Antiqua" w:hAnsi="Book Antiqua"/>
          <w:color w:val="000000"/>
          <w:sz w:val="20"/>
          <w:szCs w:val="20"/>
        </w:rPr>
      </w:pPr>
      <w:r w:rsidRPr="0013210E">
        <w:rPr>
          <w:rFonts w:ascii="Book Antiqua" w:hAnsi="Book Antiqua"/>
          <w:b/>
          <w:bCs/>
          <w:color w:val="000000"/>
          <w:sz w:val="20"/>
          <w:szCs w:val="20"/>
        </w:rPr>
        <w:t>Fuente:</w:t>
      </w:r>
      <w:r w:rsidRPr="00DE41EA">
        <w:rPr>
          <w:rFonts w:ascii="Book Antiqua" w:hAnsi="Book Antiqua"/>
          <w:color w:val="000000"/>
          <w:sz w:val="20"/>
          <w:szCs w:val="20"/>
        </w:rPr>
        <w:t xml:space="preserve"> </w:t>
      </w:r>
      <w:r>
        <w:rPr>
          <w:rFonts w:ascii="Book Antiqua" w:hAnsi="Book Antiqua"/>
          <w:color w:val="000000"/>
          <w:sz w:val="20"/>
          <w:szCs w:val="20"/>
        </w:rPr>
        <w:t>Matriz de indicadores de Gestión</w:t>
      </w:r>
    </w:p>
    <w:p w14:paraId="7B4DC0B9" w14:textId="77777777" w:rsidR="000A6207" w:rsidRDefault="000A6207" w:rsidP="000A6207">
      <w:pPr>
        <w:spacing w:line="276" w:lineRule="auto"/>
        <w:jc w:val="center"/>
        <w:rPr>
          <w:rFonts w:ascii="Book Antiqua" w:hAnsi="Book Antiqua"/>
          <w:color w:val="000000" w:themeColor="text1"/>
          <w:highlight w:val="green"/>
        </w:rPr>
      </w:pPr>
    </w:p>
    <w:p w14:paraId="70E76FAA" w14:textId="77777777" w:rsidR="000A6207" w:rsidRDefault="000A6207" w:rsidP="000A6207">
      <w:pPr>
        <w:spacing w:line="276" w:lineRule="auto"/>
        <w:jc w:val="center"/>
        <w:rPr>
          <w:rFonts w:ascii="Book Antiqua" w:hAnsi="Book Antiqua"/>
          <w:color w:val="000000" w:themeColor="text1"/>
          <w:highlight w:val="green"/>
        </w:rPr>
      </w:pPr>
    </w:p>
    <w:p w14:paraId="79B3D3B3" w14:textId="26EB16C0" w:rsidR="000A6207" w:rsidRPr="007B3CBE" w:rsidRDefault="7B6985E1" w:rsidP="57A79FF7">
      <w:pPr>
        <w:tabs>
          <w:tab w:val="left" w:pos="426"/>
        </w:tabs>
        <w:spacing w:line="276" w:lineRule="auto"/>
        <w:jc w:val="both"/>
        <w:rPr>
          <w:b/>
          <w:color w:val="000000" w:themeColor="text1"/>
          <w:lang w:eastAsia="es-CR"/>
        </w:rPr>
      </w:pPr>
      <w:r w:rsidRPr="57A79FF7">
        <w:rPr>
          <w:rFonts w:ascii="Book Antiqua" w:hAnsi="Book Antiqua"/>
          <w:b/>
          <w:bCs/>
          <w:color w:val="000000" w:themeColor="text1"/>
        </w:rPr>
        <w:t>7</w:t>
      </w:r>
      <w:r w:rsidR="3F96E3E5" w:rsidRPr="57A79FF7">
        <w:rPr>
          <w:rFonts w:ascii="Book Antiqua" w:hAnsi="Book Antiqua"/>
          <w:b/>
          <w:bCs/>
          <w:color w:val="000000" w:themeColor="text1"/>
        </w:rPr>
        <w:t xml:space="preserve">.1.3 </w:t>
      </w:r>
      <w:r w:rsidR="000A6207" w:rsidRPr="007B3CBE">
        <w:rPr>
          <w:rFonts w:ascii="Book Antiqua" w:hAnsi="Book Antiqua"/>
          <w:b/>
          <w:bCs/>
          <w:color w:val="000000" w:themeColor="text1"/>
        </w:rPr>
        <w:t>Tribunal y Secciones de Flagrancia</w:t>
      </w:r>
    </w:p>
    <w:p w14:paraId="02CD7F7B" w14:textId="77777777" w:rsidR="000A6207" w:rsidRPr="007B3CBE" w:rsidRDefault="000A6207" w:rsidP="000A6207">
      <w:pPr>
        <w:pStyle w:val="Prrafodelista"/>
        <w:tabs>
          <w:tab w:val="left" w:pos="426"/>
        </w:tabs>
        <w:spacing w:line="276" w:lineRule="auto"/>
        <w:ind w:left="0"/>
        <w:jc w:val="both"/>
        <w:rPr>
          <w:rFonts w:ascii="Book Antiqua" w:hAnsi="Book Antiqua"/>
          <w:color w:val="000000" w:themeColor="text1"/>
        </w:rPr>
      </w:pPr>
    </w:p>
    <w:p w14:paraId="146F0400" w14:textId="77777777" w:rsidR="007B3CBE" w:rsidRPr="0085115E" w:rsidRDefault="007B3CBE" w:rsidP="007B3CBE">
      <w:pPr>
        <w:spacing w:line="276" w:lineRule="auto"/>
        <w:jc w:val="both"/>
        <w:rPr>
          <w:rFonts w:ascii="Book Antiqua" w:hAnsi="Book Antiqua"/>
          <w:color w:val="000000"/>
        </w:rPr>
      </w:pPr>
      <w:r w:rsidRPr="007B3CBE">
        <w:rPr>
          <w:rFonts w:ascii="Book Antiqua" w:hAnsi="Book Antiqua"/>
          <w:color w:val="000000"/>
        </w:rPr>
        <w:t>En materia de Flagrancia, se toma cómo referente de las principales actividades a nivel de judicatura las audiencias iniciales, las medidas alternas y la cantidad de sentencias dictadas, en razón de lo anterior, se procedió a realizar un conteo de las mismas durante el mes en estudio, obteniendo cómo resultado que las personas juzgadoras realizaron un total de 805 audiencias iniciales, 621 sentencias dictadas y se lograron un total de 417 medidas alternas.</w:t>
      </w:r>
    </w:p>
    <w:p w14:paraId="3CAFE86B" w14:textId="77777777" w:rsidR="000A6207" w:rsidRPr="007B3CBE" w:rsidRDefault="000A6207" w:rsidP="000A6207">
      <w:pPr>
        <w:spacing w:line="276" w:lineRule="auto"/>
        <w:jc w:val="center"/>
        <w:rPr>
          <w:rFonts w:ascii="Book Antiqua" w:hAnsi="Book Antiqua"/>
          <w:color w:val="000000" w:themeColor="text1"/>
        </w:rPr>
      </w:pPr>
    </w:p>
    <w:p w14:paraId="437425D7" w14:textId="61C0D5F2" w:rsidR="000A6207" w:rsidRPr="007B3CBE" w:rsidRDefault="000A6207" w:rsidP="000A6207">
      <w:pPr>
        <w:spacing w:line="276" w:lineRule="auto"/>
        <w:jc w:val="center"/>
        <w:rPr>
          <w:rFonts w:ascii="Book Antiqua" w:hAnsi="Book Antiqua"/>
          <w:b/>
          <w:color w:val="000000"/>
        </w:rPr>
      </w:pPr>
      <w:r w:rsidRPr="007B3CBE">
        <w:rPr>
          <w:rFonts w:ascii="Book Antiqua" w:hAnsi="Book Antiqua"/>
          <w:b/>
          <w:color w:val="000000"/>
        </w:rPr>
        <w:t xml:space="preserve">Gráfico </w:t>
      </w:r>
      <w:r w:rsidR="007B3CBE" w:rsidRPr="007B3CBE">
        <w:rPr>
          <w:rFonts w:ascii="Book Antiqua" w:hAnsi="Book Antiqua"/>
          <w:b/>
          <w:color w:val="000000"/>
        </w:rPr>
        <w:t>23</w:t>
      </w:r>
    </w:p>
    <w:p w14:paraId="59DC8232" w14:textId="77777777" w:rsidR="000A6207" w:rsidRPr="007B3CBE" w:rsidRDefault="000A6207" w:rsidP="000A6207">
      <w:pPr>
        <w:spacing w:line="276" w:lineRule="auto"/>
        <w:jc w:val="center"/>
        <w:rPr>
          <w:rFonts w:ascii="Book Antiqua" w:hAnsi="Book Antiqua"/>
          <w:bCs/>
          <w:color w:val="000000"/>
        </w:rPr>
      </w:pPr>
      <w:r w:rsidRPr="007B3CBE">
        <w:rPr>
          <w:rFonts w:ascii="Book Antiqua" w:hAnsi="Book Antiqua"/>
          <w:bCs/>
          <w:color w:val="000000"/>
        </w:rPr>
        <w:t>Actividades principales efectuadas por el personal de la judicatura</w:t>
      </w:r>
    </w:p>
    <w:p w14:paraId="7B7B90E0" w14:textId="21283575" w:rsidR="000A6207" w:rsidRPr="00B5501E" w:rsidRDefault="000A6207" w:rsidP="000A6207">
      <w:pPr>
        <w:spacing w:line="276" w:lineRule="auto"/>
        <w:jc w:val="center"/>
        <w:rPr>
          <w:rFonts w:ascii="Book Antiqua" w:hAnsi="Book Antiqua"/>
          <w:bCs/>
          <w:color w:val="000000"/>
        </w:rPr>
      </w:pPr>
      <w:r w:rsidRPr="007B3CBE">
        <w:rPr>
          <w:rFonts w:ascii="Book Antiqua" w:hAnsi="Book Antiqua"/>
          <w:bCs/>
          <w:color w:val="000000"/>
        </w:rPr>
        <w:t xml:space="preserve">de los Tribunales y Secciones de Flagrancia durante </w:t>
      </w:r>
      <w:r w:rsidR="00565EC1" w:rsidRPr="007B3CBE">
        <w:rPr>
          <w:rFonts w:ascii="Book Antiqua" w:hAnsi="Book Antiqua"/>
          <w:bCs/>
          <w:color w:val="000000"/>
        </w:rPr>
        <w:t>agosto</w:t>
      </w:r>
      <w:r w:rsidRPr="007B3CBE">
        <w:rPr>
          <w:rFonts w:ascii="Book Antiqua" w:hAnsi="Book Antiqua"/>
          <w:bCs/>
          <w:color w:val="000000"/>
        </w:rPr>
        <w:t xml:space="preserve"> de 2021</w:t>
      </w:r>
    </w:p>
    <w:p w14:paraId="4E71E3F9" w14:textId="77777777" w:rsidR="000A6207" w:rsidRDefault="000A6207" w:rsidP="000A6207">
      <w:pPr>
        <w:spacing w:line="276" w:lineRule="auto"/>
        <w:jc w:val="center"/>
        <w:rPr>
          <w:rFonts w:ascii="Book Antiqua" w:hAnsi="Book Antiqua"/>
          <w:color w:val="000000" w:themeColor="text1"/>
          <w:highlight w:val="green"/>
        </w:rPr>
      </w:pPr>
    </w:p>
    <w:p w14:paraId="0243B861" w14:textId="399E9844" w:rsidR="000A6207" w:rsidRDefault="00565EC1" w:rsidP="000A6207">
      <w:pPr>
        <w:spacing w:line="276" w:lineRule="auto"/>
        <w:jc w:val="center"/>
        <w:rPr>
          <w:rFonts w:ascii="Book Antiqua" w:hAnsi="Book Antiqua"/>
          <w:color w:val="000000" w:themeColor="text1"/>
          <w:highlight w:val="green"/>
        </w:rPr>
      </w:pPr>
      <w:r>
        <w:rPr>
          <w:noProof/>
        </w:rPr>
        <w:drawing>
          <wp:inline distT="0" distB="0" distL="0" distR="0" wp14:anchorId="144435FF" wp14:editId="0267479A">
            <wp:extent cx="3786389" cy="2492062"/>
            <wp:effectExtent l="0" t="0" r="5080" b="3810"/>
            <wp:docPr id="28" name="Gráfico 28">
              <a:extLst xmlns:a="http://schemas.openxmlformats.org/drawingml/2006/main">
                <a:ext uri="{FF2B5EF4-FFF2-40B4-BE49-F238E27FC236}">
                  <a16:creationId xmlns:a16="http://schemas.microsoft.com/office/drawing/2014/main" id="{11818860-2F7C-456A-A7E1-75FBD91FE0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B050A72" w14:textId="77777777" w:rsidR="000A6207" w:rsidRDefault="000A6207" w:rsidP="000A6207">
      <w:pPr>
        <w:spacing w:line="276" w:lineRule="auto"/>
        <w:jc w:val="center"/>
        <w:rPr>
          <w:rFonts w:ascii="Book Antiqua" w:hAnsi="Book Antiqua"/>
          <w:color w:val="000000"/>
          <w:sz w:val="20"/>
          <w:szCs w:val="20"/>
        </w:rPr>
      </w:pPr>
      <w:r w:rsidRPr="0013210E">
        <w:rPr>
          <w:rFonts w:ascii="Book Antiqua" w:hAnsi="Book Antiqua"/>
          <w:b/>
          <w:bCs/>
          <w:color w:val="000000"/>
          <w:sz w:val="20"/>
          <w:szCs w:val="20"/>
        </w:rPr>
        <w:t>Fuente:</w:t>
      </w:r>
      <w:r w:rsidRPr="00DE41EA">
        <w:rPr>
          <w:rFonts w:ascii="Book Antiqua" w:hAnsi="Book Antiqua"/>
          <w:color w:val="000000"/>
          <w:sz w:val="20"/>
          <w:szCs w:val="20"/>
        </w:rPr>
        <w:t xml:space="preserve"> </w:t>
      </w:r>
      <w:r>
        <w:rPr>
          <w:rFonts w:ascii="Book Antiqua" w:hAnsi="Book Antiqua"/>
          <w:color w:val="000000"/>
          <w:sz w:val="20"/>
          <w:szCs w:val="20"/>
        </w:rPr>
        <w:t>Matriz de indicadores de Gestión</w:t>
      </w:r>
    </w:p>
    <w:p w14:paraId="0B6EB3E0" w14:textId="77777777" w:rsidR="000A6207" w:rsidRDefault="000A6207" w:rsidP="000A6207">
      <w:pPr>
        <w:spacing w:line="276" w:lineRule="auto"/>
        <w:jc w:val="center"/>
        <w:rPr>
          <w:rFonts w:ascii="Book Antiqua" w:hAnsi="Book Antiqua"/>
          <w:color w:val="000000"/>
          <w:sz w:val="20"/>
          <w:szCs w:val="20"/>
        </w:rPr>
      </w:pPr>
    </w:p>
    <w:p w14:paraId="30F7578A" w14:textId="77777777" w:rsidR="000A6207" w:rsidRDefault="000A6207" w:rsidP="000A6207">
      <w:pPr>
        <w:spacing w:line="276" w:lineRule="auto"/>
        <w:jc w:val="center"/>
        <w:rPr>
          <w:rFonts w:ascii="Book Antiqua" w:hAnsi="Book Antiqua"/>
          <w:color w:val="000000"/>
          <w:sz w:val="20"/>
          <w:szCs w:val="20"/>
        </w:rPr>
      </w:pPr>
    </w:p>
    <w:p w14:paraId="1BE627B2" w14:textId="64E952C6" w:rsidR="000A6207" w:rsidRPr="00372E35" w:rsidRDefault="045F0B33" w:rsidP="57A79FF7">
      <w:pPr>
        <w:tabs>
          <w:tab w:val="left" w:pos="426"/>
        </w:tabs>
        <w:spacing w:line="276" w:lineRule="auto"/>
        <w:jc w:val="both"/>
        <w:rPr>
          <w:b/>
          <w:color w:val="000000" w:themeColor="text1"/>
          <w:lang w:eastAsia="es-CR"/>
        </w:rPr>
      </w:pPr>
      <w:r w:rsidRPr="57A79FF7">
        <w:rPr>
          <w:rFonts w:ascii="Book Antiqua" w:hAnsi="Book Antiqua"/>
          <w:b/>
          <w:bCs/>
          <w:color w:val="000000" w:themeColor="text1"/>
        </w:rPr>
        <w:t xml:space="preserve">7.1.4 </w:t>
      </w:r>
      <w:r w:rsidR="000A6207" w:rsidRPr="00372E35">
        <w:rPr>
          <w:rFonts w:ascii="Book Antiqua" w:hAnsi="Book Antiqua"/>
          <w:b/>
          <w:bCs/>
          <w:color w:val="000000" w:themeColor="text1"/>
        </w:rPr>
        <w:t>Juzgados de Ejecución de la Pena</w:t>
      </w:r>
    </w:p>
    <w:p w14:paraId="678D93FB" w14:textId="77777777" w:rsidR="000A6207" w:rsidRPr="000549BF" w:rsidRDefault="000A6207" w:rsidP="000A6207">
      <w:pPr>
        <w:pStyle w:val="Prrafodelista"/>
        <w:tabs>
          <w:tab w:val="left" w:pos="426"/>
        </w:tabs>
        <w:spacing w:line="276" w:lineRule="auto"/>
        <w:ind w:left="0"/>
        <w:jc w:val="both"/>
        <w:rPr>
          <w:rFonts w:ascii="Book Antiqua" w:hAnsi="Book Antiqua"/>
          <w:color w:val="000000" w:themeColor="text1"/>
        </w:rPr>
      </w:pPr>
    </w:p>
    <w:p w14:paraId="7C012F3C" w14:textId="6D0DB792" w:rsidR="00A0115C" w:rsidRDefault="000A6207" w:rsidP="000A6207">
      <w:pPr>
        <w:spacing w:line="276" w:lineRule="auto"/>
        <w:jc w:val="both"/>
        <w:rPr>
          <w:rFonts w:ascii="Book Antiqua" w:hAnsi="Book Antiqua"/>
          <w:b/>
          <w:color w:val="000000"/>
        </w:rPr>
      </w:pPr>
      <w:r w:rsidRPr="00D45FE2">
        <w:rPr>
          <w:rFonts w:ascii="Book Antiqua" w:hAnsi="Book Antiqua"/>
          <w:color w:val="000000" w:themeColor="text1"/>
        </w:rPr>
        <w:t xml:space="preserve">El personal de la judicatura de los Juzgados de Ejecución de la Pena firmó </w:t>
      </w:r>
      <w:r w:rsidR="00CF7031">
        <w:rPr>
          <w:rFonts w:ascii="Book Antiqua" w:hAnsi="Book Antiqua"/>
          <w:color w:val="000000" w:themeColor="text1"/>
        </w:rPr>
        <w:t>6229</w:t>
      </w:r>
      <w:r w:rsidRPr="00D45FE2">
        <w:rPr>
          <w:rFonts w:ascii="Book Antiqua" w:hAnsi="Book Antiqua"/>
          <w:color w:val="000000" w:themeColor="text1"/>
        </w:rPr>
        <w:t xml:space="preserve"> expedientes y finalizaron </w:t>
      </w:r>
      <w:r w:rsidR="00CF7031">
        <w:rPr>
          <w:rFonts w:ascii="Book Antiqua" w:hAnsi="Book Antiqua"/>
          <w:color w:val="000000" w:themeColor="text1"/>
        </w:rPr>
        <w:t>982</w:t>
      </w:r>
      <w:r w:rsidRPr="00D45FE2">
        <w:rPr>
          <w:rFonts w:ascii="Book Antiqua" w:hAnsi="Book Antiqua"/>
          <w:color w:val="000000" w:themeColor="text1"/>
        </w:rPr>
        <w:t xml:space="preserve"> incidentes</w:t>
      </w:r>
      <w:r w:rsidRPr="00381FD4">
        <w:rPr>
          <w:rFonts w:ascii="Book Antiqua" w:hAnsi="Book Antiqua"/>
          <w:color w:val="000000" w:themeColor="text1"/>
        </w:rPr>
        <w:t xml:space="preserve">. </w:t>
      </w:r>
      <w:r w:rsidRPr="0010293C">
        <w:rPr>
          <w:rFonts w:ascii="Book Antiqua" w:hAnsi="Book Antiqua"/>
          <w:color w:val="000000"/>
        </w:rPr>
        <w:t xml:space="preserve">Mediante revisión de matrices de indicadores se logra determinar las principales labores de las personas juzgadoras, se tiene, además, </w:t>
      </w:r>
      <w:r>
        <w:rPr>
          <w:rFonts w:ascii="Book Antiqua" w:hAnsi="Book Antiqua"/>
          <w:color w:val="000000"/>
        </w:rPr>
        <w:t>la realización de audiencias</w:t>
      </w:r>
      <w:r w:rsidRPr="0010293C">
        <w:rPr>
          <w:rFonts w:ascii="Book Antiqua" w:hAnsi="Book Antiqua"/>
          <w:color w:val="000000"/>
        </w:rPr>
        <w:t xml:space="preserve"> como una de las actividades que se </w:t>
      </w:r>
      <w:r>
        <w:rPr>
          <w:rFonts w:ascii="Book Antiqua" w:hAnsi="Book Antiqua"/>
          <w:color w:val="000000"/>
        </w:rPr>
        <w:t>efectúa</w:t>
      </w:r>
      <w:r w:rsidRPr="0010293C">
        <w:rPr>
          <w:rFonts w:ascii="Book Antiqua" w:hAnsi="Book Antiqua"/>
          <w:color w:val="000000"/>
        </w:rPr>
        <w:t xml:space="preserve"> con más frecuencia.</w:t>
      </w:r>
    </w:p>
    <w:p w14:paraId="424848E9" w14:textId="77777777" w:rsidR="00A0115C" w:rsidRDefault="00A0115C">
      <w:pPr>
        <w:rPr>
          <w:rFonts w:ascii="Book Antiqua" w:hAnsi="Book Antiqua"/>
          <w:b/>
          <w:color w:val="000000"/>
        </w:rPr>
      </w:pPr>
      <w:r>
        <w:rPr>
          <w:rFonts w:ascii="Book Antiqua" w:hAnsi="Book Antiqua"/>
          <w:b/>
          <w:color w:val="000000"/>
        </w:rPr>
        <w:br w:type="page"/>
      </w:r>
    </w:p>
    <w:p w14:paraId="75E854E4" w14:textId="77777777" w:rsidR="000A6207" w:rsidRPr="00A0115C" w:rsidRDefault="000A6207" w:rsidP="000A6207">
      <w:pPr>
        <w:spacing w:line="276" w:lineRule="auto"/>
        <w:jc w:val="both"/>
        <w:rPr>
          <w:rFonts w:ascii="Book Antiqua" w:hAnsi="Book Antiqua"/>
          <w:b/>
          <w:color w:val="000000"/>
        </w:rPr>
      </w:pPr>
    </w:p>
    <w:p w14:paraId="547E0B3B" w14:textId="77777777" w:rsidR="000A6207" w:rsidRDefault="000A6207" w:rsidP="000A6207">
      <w:pPr>
        <w:spacing w:line="276" w:lineRule="auto"/>
        <w:jc w:val="center"/>
        <w:rPr>
          <w:rFonts w:ascii="Book Antiqua" w:hAnsi="Book Antiqua"/>
          <w:color w:val="000000" w:themeColor="text1"/>
          <w:highlight w:val="green"/>
        </w:rPr>
      </w:pPr>
    </w:p>
    <w:p w14:paraId="0281A8C9" w14:textId="4CD5B504" w:rsidR="000A6207" w:rsidRPr="001F11BE" w:rsidRDefault="000A6207" w:rsidP="000A6207">
      <w:pPr>
        <w:spacing w:line="276" w:lineRule="auto"/>
        <w:jc w:val="center"/>
        <w:rPr>
          <w:rFonts w:ascii="Book Antiqua" w:hAnsi="Book Antiqua"/>
          <w:b/>
          <w:color w:val="000000"/>
        </w:rPr>
      </w:pPr>
      <w:r w:rsidRPr="001F11BE">
        <w:rPr>
          <w:rFonts w:ascii="Book Antiqua" w:hAnsi="Book Antiqua"/>
          <w:b/>
          <w:color w:val="000000"/>
        </w:rPr>
        <w:t xml:space="preserve">Gráfico </w:t>
      </w:r>
      <w:r w:rsidR="00CF7031">
        <w:rPr>
          <w:rFonts w:ascii="Book Antiqua" w:hAnsi="Book Antiqua"/>
          <w:b/>
          <w:color w:val="000000"/>
        </w:rPr>
        <w:t>24</w:t>
      </w:r>
    </w:p>
    <w:p w14:paraId="4334CC09" w14:textId="77777777" w:rsidR="000A6207" w:rsidRPr="00B5501E" w:rsidRDefault="000A6207" w:rsidP="000A6207">
      <w:pPr>
        <w:spacing w:line="276" w:lineRule="auto"/>
        <w:jc w:val="center"/>
        <w:rPr>
          <w:rFonts w:ascii="Book Antiqua" w:hAnsi="Book Antiqua"/>
          <w:bCs/>
          <w:color w:val="000000"/>
        </w:rPr>
      </w:pPr>
      <w:r w:rsidRPr="00B5501E">
        <w:rPr>
          <w:rFonts w:ascii="Book Antiqua" w:hAnsi="Book Antiqua"/>
          <w:bCs/>
          <w:color w:val="000000"/>
        </w:rPr>
        <w:t>Actividades principales efectuadas por el personal de la judicatura</w:t>
      </w:r>
    </w:p>
    <w:p w14:paraId="5B8444C5" w14:textId="6540CC03" w:rsidR="000A6207" w:rsidRPr="00B5501E" w:rsidRDefault="000A6207" w:rsidP="000A6207">
      <w:pPr>
        <w:spacing w:line="276" w:lineRule="auto"/>
        <w:jc w:val="center"/>
        <w:rPr>
          <w:rFonts w:ascii="Book Antiqua" w:hAnsi="Book Antiqua"/>
          <w:bCs/>
          <w:color w:val="000000"/>
        </w:rPr>
      </w:pPr>
      <w:r w:rsidRPr="00B5501E">
        <w:rPr>
          <w:rFonts w:ascii="Book Antiqua" w:hAnsi="Book Antiqua"/>
          <w:bCs/>
          <w:color w:val="000000"/>
        </w:rPr>
        <w:t xml:space="preserve">de los </w:t>
      </w:r>
      <w:r>
        <w:rPr>
          <w:rFonts w:ascii="Book Antiqua" w:hAnsi="Book Antiqua"/>
          <w:bCs/>
          <w:color w:val="000000"/>
        </w:rPr>
        <w:t>Juzgados de Ejecución de la Pena</w:t>
      </w:r>
      <w:r w:rsidRPr="00B5501E">
        <w:rPr>
          <w:rFonts w:ascii="Book Antiqua" w:hAnsi="Book Antiqua"/>
          <w:bCs/>
          <w:color w:val="000000"/>
        </w:rPr>
        <w:t xml:space="preserve"> durante </w:t>
      </w:r>
      <w:r w:rsidR="00CF7031">
        <w:rPr>
          <w:rFonts w:ascii="Book Antiqua" w:hAnsi="Book Antiqua"/>
          <w:bCs/>
          <w:color w:val="000000"/>
        </w:rPr>
        <w:t>agosto</w:t>
      </w:r>
      <w:r w:rsidRPr="00B5501E">
        <w:rPr>
          <w:rFonts w:ascii="Book Antiqua" w:hAnsi="Book Antiqua"/>
          <w:bCs/>
          <w:color w:val="000000"/>
        </w:rPr>
        <w:t xml:space="preserve"> de 2021</w:t>
      </w:r>
    </w:p>
    <w:p w14:paraId="7C4F1FB1" w14:textId="77777777" w:rsidR="000A6207" w:rsidRDefault="000A6207" w:rsidP="000A6207">
      <w:pPr>
        <w:spacing w:line="276" w:lineRule="auto"/>
        <w:jc w:val="center"/>
        <w:rPr>
          <w:rFonts w:ascii="Book Antiqua" w:hAnsi="Book Antiqua"/>
          <w:color w:val="000000" w:themeColor="text1"/>
          <w:highlight w:val="green"/>
        </w:rPr>
      </w:pPr>
    </w:p>
    <w:p w14:paraId="027FB93F" w14:textId="3F11B300" w:rsidR="000A6207" w:rsidRDefault="00CF7031" w:rsidP="000A6207">
      <w:pPr>
        <w:spacing w:line="276" w:lineRule="auto"/>
        <w:jc w:val="center"/>
        <w:rPr>
          <w:rFonts w:ascii="Book Antiqua" w:hAnsi="Book Antiqua"/>
          <w:color w:val="000000" w:themeColor="text1"/>
          <w:highlight w:val="green"/>
        </w:rPr>
      </w:pPr>
      <w:r w:rsidRPr="00CF7031">
        <w:rPr>
          <w:rFonts w:ascii="Book Antiqua" w:hAnsi="Book Antiqua"/>
          <w:noProof/>
        </w:rPr>
        <w:drawing>
          <wp:inline distT="0" distB="0" distL="0" distR="0" wp14:anchorId="250CCA10" wp14:editId="13B5A896">
            <wp:extent cx="4192073" cy="2427668"/>
            <wp:effectExtent l="0" t="0" r="0" b="0"/>
            <wp:docPr id="7" name="Gráfico 7">
              <a:extLst xmlns:a="http://schemas.openxmlformats.org/drawingml/2006/main">
                <a:ext uri="{FF2B5EF4-FFF2-40B4-BE49-F238E27FC236}">
                  <a16:creationId xmlns:a16="http://schemas.microsoft.com/office/drawing/2014/main" id="{BF633A44-9D5F-44E8-9BAC-5F6FA23CAC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8F267BF" w14:textId="77777777" w:rsidR="000A6207" w:rsidRDefault="000A6207" w:rsidP="000A6207">
      <w:pPr>
        <w:spacing w:line="276" w:lineRule="auto"/>
        <w:jc w:val="center"/>
        <w:rPr>
          <w:rFonts w:ascii="Book Antiqua" w:hAnsi="Book Antiqua"/>
          <w:color w:val="000000"/>
          <w:sz w:val="20"/>
          <w:szCs w:val="20"/>
        </w:rPr>
      </w:pPr>
      <w:r w:rsidRPr="0013210E">
        <w:rPr>
          <w:rFonts w:ascii="Book Antiqua" w:hAnsi="Book Antiqua"/>
          <w:b/>
          <w:bCs/>
          <w:color w:val="000000"/>
          <w:sz w:val="20"/>
          <w:szCs w:val="20"/>
        </w:rPr>
        <w:t>Fuente:</w:t>
      </w:r>
      <w:r w:rsidRPr="00DE41EA">
        <w:rPr>
          <w:rFonts w:ascii="Book Antiqua" w:hAnsi="Book Antiqua"/>
          <w:color w:val="000000"/>
          <w:sz w:val="20"/>
          <w:szCs w:val="20"/>
        </w:rPr>
        <w:t xml:space="preserve"> </w:t>
      </w:r>
      <w:r>
        <w:rPr>
          <w:rFonts w:ascii="Book Antiqua" w:hAnsi="Book Antiqua"/>
          <w:color w:val="000000"/>
          <w:sz w:val="20"/>
          <w:szCs w:val="20"/>
        </w:rPr>
        <w:t>Matriz de indicadores de Gestión</w:t>
      </w:r>
    </w:p>
    <w:p w14:paraId="6A48E1FA" w14:textId="77777777" w:rsidR="000A6207" w:rsidRDefault="000A6207" w:rsidP="000A6207">
      <w:pPr>
        <w:spacing w:line="276" w:lineRule="auto"/>
        <w:rPr>
          <w:rFonts w:ascii="Book Antiqua" w:hAnsi="Book Antiqua"/>
          <w:color w:val="000000" w:themeColor="text1"/>
          <w:highlight w:val="green"/>
        </w:rPr>
      </w:pPr>
    </w:p>
    <w:p w14:paraId="09122185" w14:textId="69DA8A67" w:rsidR="000A6207" w:rsidRPr="00D45FE2" w:rsidRDefault="000A6207" w:rsidP="000A6207">
      <w:pPr>
        <w:spacing w:line="276" w:lineRule="auto"/>
        <w:jc w:val="both"/>
        <w:rPr>
          <w:rFonts w:ascii="Book Antiqua" w:hAnsi="Book Antiqua"/>
          <w:color w:val="000000" w:themeColor="text1"/>
        </w:rPr>
      </w:pPr>
      <w:r w:rsidRPr="00D45FE2">
        <w:rPr>
          <w:rFonts w:ascii="Book Antiqua" w:hAnsi="Book Antiqua"/>
          <w:color w:val="000000" w:themeColor="text1"/>
        </w:rPr>
        <w:t xml:space="preserve">Adicional, es importante mencionar que, conforme la información consignada en las matrices de indicadores, el promedio nacional de los juzgados de ejecución para la resolución de los incidentes de modificación de pena fue </w:t>
      </w:r>
      <w:r w:rsidR="00CF7031">
        <w:rPr>
          <w:rFonts w:ascii="Book Antiqua" w:hAnsi="Book Antiqua"/>
          <w:color w:val="000000" w:themeColor="text1"/>
        </w:rPr>
        <w:t>6</w:t>
      </w:r>
      <w:r w:rsidRPr="00D45FE2">
        <w:rPr>
          <w:rFonts w:ascii="Book Antiqua" w:hAnsi="Book Antiqua"/>
          <w:color w:val="000000" w:themeColor="text1"/>
        </w:rPr>
        <w:t>5 días naturales y 1</w:t>
      </w:r>
      <w:r w:rsidR="00CF7031">
        <w:rPr>
          <w:rFonts w:ascii="Book Antiqua" w:hAnsi="Book Antiqua"/>
          <w:color w:val="000000" w:themeColor="text1"/>
        </w:rPr>
        <w:t>55</w:t>
      </w:r>
      <w:r w:rsidRPr="00D45FE2">
        <w:rPr>
          <w:rFonts w:ascii="Book Antiqua" w:hAnsi="Book Antiqua"/>
          <w:color w:val="000000" w:themeColor="text1"/>
        </w:rPr>
        <w:t xml:space="preserve"> días en finalizar un incidente de queja, lo cual según indican los despachos obedece a que los Centros Penitenciarios presentan los informes en plazos extensos.</w:t>
      </w:r>
    </w:p>
    <w:p w14:paraId="179C9BCC" w14:textId="77777777" w:rsidR="000A6207" w:rsidRDefault="000A6207" w:rsidP="000A6207">
      <w:pPr>
        <w:spacing w:line="276" w:lineRule="auto"/>
        <w:jc w:val="center"/>
        <w:rPr>
          <w:rFonts w:ascii="Book Antiqua" w:hAnsi="Book Antiqua"/>
          <w:color w:val="000000" w:themeColor="text1"/>
          <w:highlight w:val="green"/>
        </w:rPr>
      </w:pPr>
    </w:p>
    <w:p w14:paraId="6E11A897" w14:textId="77777777" w:rsidR="000A6207" w:rsidRPr="00FC14FE" w:rsidRDefault="000A6207" w:rsidP="000A6207">
      <w:pPr>
        <w:spacing w:line="276" w:lineRule="auto"/>
        <w:jc w:val="center"/>
        <w:rPr>
          <w:rFonts w:ascii="Book Antiqua" w:hAnsi="Book Antiqua"/>
          <w:color w:val="000000" w:themeColor="text1"/>
        </w:rPr>
      </w:pPr>
    </w:p>
    <w:p w14:paraId="367D8DA3" w14:textId="2B9D352F" w:rsidR="000A6207" w:rsidRPr="00FC14FE" w:rsidRDefault="4B9267C9" w:rsidP="57A79FF7">
      <w:pPr>
        <w:tabs>
          <w:tab w:val="left" w:pos="426"/>
        </w:tabs>
        <w:spacing w:line="276" w:lineRule="auto"/>
        <w:jc w:val="both"/>
        <w:rPr>
          <w:b/>
          <w:color w:val="000000" w:themeColor="text1"/>
          <w:lang w:eastAsia="es-CR"/>
        </w:rPr>
      </w:pPr>
      <w:r w:rsidRPr="57A79FF7">
        <w:rPr>
          <w:rFonts w:ascii="Book Antiqua" w:hAnsi="Book Antiqua"/>
          <w:b/>
          <w:bCs/>
          <w:color w:val="000000" w:themeColor="text1"/>
        </w:rPr>
        <w:t xml:space="preserve">7.1.5 </w:t>
      </w:r>
      <w:r w:rsidR="000A6207" w:rsidRPr="00FC14FE">
        <w:rPr>
          <w:rFonts w:ascii="Book Antiqua" w:hAnsi="Book Antiqua"/>
          <w:b/>
          <w:bCs/>
          <w:color w:val="000000" w:themeColor="text1"/>
        </w:rPr>
        <w:t>Tribunales de Apelación de Sentencia</w:t>
      </w:r>
    </w:p>
    <w:p w14:paraId="09AF6588" w14:textId="77777777" w:rsidR="000A6207" w:rsidRPr="000549BF" w:rsidRDefault="000A6207" w:rsidP="000A6207">
      <w:pPr>
        <w:pStyle w:val="Prrafodelista"/>
        <w:tabs>
          <w:tab w:val="left" w:pos="426"/>
        </w:tabs>
        <w:spacing w:line="276" w:lineRule="auto"/>
        <w:ind w:left="0"/>
        <w:jc w:val="both"/>
        <w:rPr>
          <w:rFonts w:ascii="Book Antiqua" w:hAnsi="Book Antiqua"/>
          <w:color w:val="000000" w:themeColor="text1"/>
        </w:rPr>
      </w:pPr>
    </w:p>
    <w:p w14:paraId="28D6D88A" w14:textId="33D5288D" w:rsidR="000A6207" w:rsidRDefault="00DF0535" w:rsidP="000A6207">
      <w:pPr>
        <w:spacing w:line="276" w:lineRule="auto"/>
        <w:jc w:val="both"/>
        <w:rPr>
          <w:rFonts w:ascii="Book Antiqua" w:hAnsi="Book Antiqua"/>
          <w:color w:val="000000"/>
        </w:rPr>
      </w:pPr>
      <w:r w:rsidRPr="00DF0535">
        <w:rPr>
          <w:rFonts w:ascii="Book Antiqua" w:hAnsi="Book Antiqua"/>
          <w:color w:val="000000"/>
        </w:rPr>
        <w:t>La principal labor realizada por los Tribunales de Apelación de Sentencia Penal fue el dictado de sentencias</w:t>
      </w:r>
      <w:r>
        <w:rPr>
          <w:rFonts w:ascii="Book Antiqua" w:hAnsi="Book Antiqua"/>
          <w:color w:val="000000"/>
        </w:rPr>
        <w:t xml:space="preserve"> con 315</w:t>
      </w:r>
      <w:r w:rsidRPr="00DF0535">
        <w:rPr>
          <w:rFonts w:ascii="Book Antiqua" w:hAnsi="Book Antiqua"/>
          <w:color w:val="000000"/>
        </w:rPr>
        <w:t>, seguido por</w:t>
      </w:r>
      <w:r>
        <w:rPr>
          <w:rFonts w:ascii="Book Antiqua" w:hAnsi="Book Antiqua"/>
          <w:color w:val="000000"/>
        </w:rPr>
        <w:t xml:space="preserve"> la solicitud de prisión preventiva resuelta</w:t>
      </w:r>
      <w:r w:rsidR="000B1CF8">
        <w:rPr>
          <w:rFonts w:ascii="Book Antiqua" w:hAnsi="Book Antiqua"/>
          <w:color w:val="000000"/>
        </w:rPr>
        <w:t xml:space="preserve"> con 124</w:t>
      </w:r>
      <w:r w:rsidRPr="00DF0535">
        <w:rPr>
          <w:rFonts w:ascii="Book Antiqua" w:hAnsi="Book Antiqua"/>
          <w:color w:val="000000"/>
        </w:rPr>
        <w:t>, las cuales corresponden a labores características de apelación de sentencia.</w:t>
      </w:r>
    </w:p>
    <w:p w14:paraId="553E0092" w14:textId="6A21E9A2" w:rsidR="00A0115C" w:rsidRDefault="00A0115C">
      <w:pPr>
        <w:rPr>
          <w:rFonts w:ascii="Book Antiqua" w:hAnsi="Book Antiqua"/>
          <w:color w:val="000000" w:themeColor="text1"/>
          <w:highlight w:val="green"/>
        </w:rPr>
      </w:pPr>
      <w:r>
        <w:rPr>
          <w:rFonts w:ascii="Book Antiqua" w:hAnsi="Book Antiqua"/>
          <w:color w:val="000000" w:themeColor="text1"/>
          <w:highlight w:val="green"/>
        </w:rPr>
        <w:br w:type="page"/>
      </w:r>
    </w:p>
    <w:p w14:paraId="320CE7A2" w14:textId="77777777" w:rsidR="000A6207" w:rsidRDefault="000A6207" w:rsidP="000A6207">
      <w:pPr>
        <w:spacing w:line="276" w:lineRule="auto"/>
        <w:jc w:val="center"/>
        <w:rPr>
          <w:rFonts w:ascii="Book Antiqua" w:hAnsi="Book Antiqua"/>
          <w:color w:val="000000" w:themeColor="text1"/>
          <w:highlight w:val="green"/>
        </w:rPr>
      </w:pPr>
    </w:p>
    <w:p w14:paraId="46A8C418" w14:textId="11700973" w:rsidR="000A6207" w:rsidRPr="001F11BE" w:rsidRDefault="000A6207" w:rsidP="000A6207">
      <w:pPr>
        <w:spacing w:line="276" w:lineRule="auto"/>
        <w:jc w:val="center"/>
        <w:rPr>
          <w:rFonts w:ascii="Book Antiqua" w:hAnsi="Book Antiqua"/>
          <w:b/>
          <w:color w:val="000000"/>
        </w:rPr>
      </w:pPr>
      <w:r w:rsidRPr="001F11BE">
        <w:rPr>
          <w:rFonts w:ascii="Book Antiqua" w:hAnsi="Book Antiqua"/>
          <w:b/>
          <w:color w:val="000000"/>
        </w:rPr>
        <w:t xml:space="preserve">Gráfico </w:t>
      </w:r>
      <w:r w:rsidR="00DF0535">
        <w:rPr>
          <w:rFonts w:ascii="Book Antiqua" w:hAnsi="Book Antiqua"/>
          <w:b/>
          <w:color w:val="000000"/>
        </w:rPr>
        <w:t>25</w:t>
      </w:r>
    </w:p>
    <w:p w14:paraId="5377AB81" w14:textId="77777777" w:rsidR="000A6207" w:rsidRPr="00B5501E" w:rsidRDefault="000A6207" w:rsidP="000A6207">
      <w:pPr>
        <w:spacing w:line="276" w:lineRule="auto"/>
        <w:jc w:val="center"/>
        <w:rPr>
          <w:rFonts w:ascii="Book Antiqua" w:hAnsi="Book Antiqua"/>
          <w:bCs/>
          <w:color w:val="000000"/>
        </w:rPr>
      </w:pPr>
      <w:r w:rsidRPr="00B5501E">
        <w:rPr>
          <w:rFonts w:ascii="Book Antiqua" w:hAnsi="Book Antiqua"/>
          <w:bCs/>
          <w:color w:val="000000"/>
        </w:rPr>
        <w:t>Actividades principales efectuadas por el personal de la judicatura</w:t>
      </w:r>
    </w:p>
    <w:p w14:paraId="30FB4516" w14:textId="25643762" w:rsidR="000A6207" w:rsidRPr="00B5501E" w:rsidRDefault="000A6207" w:rsidP="000A6207">
      <w:pPr>
        <w:spacing w:line="276" w:lineRule="auto"/>
        <w:jc w:val="center"/>
        <w:rPr>
          <w:rFonts w:ascii="Book Antiqua" w:hAnsi="Book Antiqua"/>
          <w:bCs/>
          <w:color w:val="000000"/>
        </w:rPr>
      </w:pPr>
      <w:r w:rsidRPr="00B5501E">
        <w:rPr>
          <w:rFonts w:ascii="Book Antiqua" w:hAnsi="Book Antiqua"/>
          <w:bCs/>
          <w:color w:val="000000"/>
        </w:rPr>
        <w:t xml:space="preserve">de los </w:t>
      </w:r>
      <w:r>
        <w:rPr>
          <w:rFonts w:ascii="Book Antiqua" w:hAnsi="Book Antiqua"/>
          <w:bCs/>
          <w:color w:val="000000"/>
        </w:rPr>
        <w:t>Tribunales de Apelación de Sentencia</w:t>
      </w:r>
      <w:r w:rsidRPr="00B5501E">
        <w:rPr>
          <w:rFonts w:ascii="Book Antiqua" w:hAnsi="Book Antiqua"/>
          <w:bCs/>
          <w:color w:val="000000"/>
        </w:rPr>
        <w:t xml:space="preserve"> durante </w:t>
      </w:r>
      <w:r w:rsidR="00DF0535">
        <w:rPr>
          <w:rFonts w:ascii="Book Antiqua" w:hAnsi="Book Antiqua"/>
          <w:bCs/>
          <w:color w:val="000000"/>
        </w:rPr>
        <w:t>agosto</w:t>
      </w:r>
      <w:r w:rsidRPr="00B5501E">
        <w:rPr>
          <w:rFonts w:ascii="Book Antiqua" w:hAnsi="Book Antiqua"/>
          <w:bCs/>
          <w:color w:val="000000"/>
        </w:rPr>
        <w:t xml:space="preserve"> de 2021</w:t>
      </w:r>
    </w:p>
    <w:p w14:paraId="329632F0" w14:textId="77777777" w:rsidR="000A6207" w:rsidRDefault="000A6207" w:rsidP="000A6207">
      <w:pPr>
        <w:spacing w:line="276" w:lineRule="auto"/>
        <w:jc w:val="center"/>
        <w:rPr>
          <w:rFonts w:ascii="Book Antiqua" w:hAnsi="Book Antiqua"/>
          <w:b/>
          <w:bCs/>
          <w:color w:val="000000"/>
          <w:sz w:val="20"/>
          <w:szCs w:val="20"/>
        </w:rPr>
      </w:pPr>
    </w:p>
    <w:p w14:paraId="472CE1C7" w14:textId="3FD8AA3E" w:rsidR="000A6207" w:rsidRDefault="00DF0535" w:rsidP="000A6207">
      <w:pPr>
        <w:spacing w:line="276" w:lineRule="auto"/>
        <w:jc w:val="center"/>
        <w:rPr>
          <w:rFonts w:ascii="Book Antiqua" w:hAnsi="Book Antiqua"/>
          <w:b/>
          <w:bCs/>
          <w:color w:val="000000"/>
          <w:sz w:val="20"/>
          <w:szCs w:val="20"/>
        </w:rPr>
      </w:pPr>
      <w:r>
        <w:rPr>
          <w:noProof/>
        </w:rPr>
        <w:drawing>
          <wp:inline distT="0" distB="0" distL="0" distR="0" wp14:anchorId="7607EC21" wp14:editId="74DCC1BC">
            <wp:extent cx="4364531" cy="2743200"/>
            <wp:effectExtent l="0" t="0" r="0" b="0"/>
            <wp:docPr id="12" name="Gráfico 12">
              <a:extLst xmlns:a="http://schemas.openxmlformats.org/drawingml/2006/main">
                <a:ext uri="{FF2B5EF4-FFF2-40B4-BE49-F238E27FC236}">
                  <a16:creationId xmlns:a16="http://schemas.microsoft.com/office/drawing/2014/main" id="{838F4A76-C520-467B-9841-A8757BB00E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FDE58CD" w14:textId="77777777" w:rsidR="000A6207" w:rsidRDefault="000A6207" w:rsidP="000A6207">
      <w:pPr>
        <w:spacing w:line="276" w:lineRule="auto"/>
        <w:jc w:val="center"/>
        <w:rPr>
          <w:rFonts w:ascii="Book Antiqua" w:hAnsi="Book Antiqua"/>
          <w:color w:val="000000"/>
          <w:sz w:val="20"/>
          <w:szCs w:val="20"/>
        </w:rPr>
      </w:pPr>
      <w:r w:rsidRPr="0013210E">
        <w:rPr>
          <w:rFonts w:ascii="Book Antiqua" w:hAnsi="Book Antiqua"/>
          <w:b/>
          <w:bCs/>
          <w:color w:val="000000"/>
          <w:sz w:val="20"/>
          <w:szCs w:val="20"/>
        </w:rPr>
        <w:t>Fuente:</w:t>
      </w:r>
      <w:r w:rsidRPr="00DE41EA">
        <w:rPr>
          <w:rFonts w:ascii="Book Antiqua" w:hAnsi="Book Antiqua"/>
          <w:color w:val="000000"/>
          <w:sz w:val="20"/>
          <w:szCs w:val="20"/>
        </w:rPr>
        <w:t xml:space="preserve"> </w:t>
      </w:r>
      <w:r w:rsidRPr="002754DF">
        <w:rPr>
          <w:rFonts w:ascii="Book Antiqua" w:hAnsi="Book Antiqua"/>
          <w:color w:val="000000"/>
          <w:sz w:val="20"/>
          <w:szCs w:val="20"/>
        </w:rPr>
        <w:t>Elaboración propia a partir de datos suministrados por despachos según circular 61-2020</w:t>
      </w:r>
    </w:p>
    <w:p w14:paraId="30016B38" w14:textId="77777777" w:rsidR="000A6207" w:rsidRDefault="000A6207" w:rsidP="000A6207">
      <w:pPr>
        <w:spacing w:line="276" w:lineRule="auto"/>
        <w:jc w:val="center"/>
        <w:rPr>
          <w:rFonts w:ascii="Book Antiqua" w:hAnsi="Book Antiqua"/>
          <w:color w:val="000000"/>
          <w:sz w:val="20"/>
          <w:szCs w:val="20"/>
        </w:rPr>
      </w:pPr>
    </w:p>
    <w:p w14:paraId="27B18D10" w14:textId="77777777" w:rsidR="000A6207" w:rsidRDefault="000A6207" w:rsidP="000A6207">
      <w:pPr>
        <w:spacing w:line="276" w:lineRule="auto"/>
        <w:rPr>
          <w:rFonts w:ascii="Book Antiqua" w:hAnsi="Book Antiqua"/>
          <w:color w:val="000000" w:themeColor="text1"/>
        </w:rPr>
      </w:pPr>
    </w:p>
    <w:p w14:paraId="617D6B03" w14:textId="4C0BAC0D" w:rsidR="000A6207" w:rsidRPr="007006E3" w:rsidRDefault="216E14B2" w:rsidP="57A79FF7">
      <w:pPr>
        <w:tabs>
          <w:tab w:val="left" w:pos="426"/>
        </w:tabs>
        <w:spacing w:line="276" w:lineRule="auto"/>
        <w:jc w:val="both"/>
        <w:rPr>
          <w:color w:val="000000" w:themeColor="text1"/>
        </w:rPr>
      </w:pPr>
      <w:r w:rsidRPr="57A79FF7">
        <w:rPr>
          <w:rFonts w:ascii="Book Antiqua" w:hAnsi="Book Antiqua"/>
          <w:b/>
          <w:bCs/>
          <w:color w:val="000000" w:themeColor="text1"/>
        </w:rPr>
        <w:t xml:space="preserve">7.1.6 </w:t>
      </w:r>
      <w:r w:rsidR="000A6207" w:rsidRPr="007006E3">
        <w:rPr>
          <w:rFonts w:ascii="Book Antiqua" w:hAnsi="Book Antiqua"/>
          <w:b/>
          <w:bCs/>
          <w:color w:val="000000" w:themeColor="text1"/>
        </w:rPr>
        <w:t>Sala Tercera</w:t>
      </w:r>
    </w:p>
    <w:p w14:paraId="237F47E1" w14:textId="77777777" w:rsidR="000A6207" w:rsidRPr="000549BF" w:rsidRDefault="000A6207" w:rsidP="000A6207">
      <w:pPr>
        <w:pStyle w:val="Prrafodelista"/>
        <w:tabs>
          <w:tab w:val="left" w:pos="426"/>
        </w:tabs>
        <w:spacing w:line="276" w:lineRule="auto"/>
        <w:ind w:left="0"/>
        <w:jc w:val="both"/>
        <w:rPr>
          <w:rFonts w:ascii="Book Antiqua" w:hAnsi="Book Antiqua"/>
          <w:color w:val="000000" w:themeColor="text1"/>
        </w:rPr>
      </w:pPr>
    </w:p>
    <w:p w14:paraId="64F54AE4" w14:textId="26620F9C" w:rsidR="000A6207" w:rsidRDefault="000A6207" w:rsidP="000A6207">
      <w:pPr>
        <w:spacing w:line="276" w:lineRule="auto"/>
        <w:jc w:val="both"/>
        <w:rPr>
          <w:rFonts w:ascii="Book Antiqua" w:hAnsi="Book Antiqua"/>
          <w:color w:val="000000"/>
        </w:rPr>
      </w:pPr>
      <w:r w:rsidRPr="00372E35">
        <w:rPr>
          <w:rFonts w:ascii="Book Antiqua" w:hAnsi="Book Antiqua"/>
          <w:color w:val="000000"/>
        </w:rPr>
        <w:t xml:space="preserve">El personal Profesional de la Sala Tercera refleja la mayor cantidad de actividades en la variable </w:t>
      </w:r>
      <w:r>
        <w:rPr>
          <w:rFonts w:ascii="Book Antiqua" w:hAnsi="Book Antiqua"/>
          <w:color w:val="000000"/>
        </w:rPr>
        <w:t>de revisión de expedientes y resoluciones 3</w:t>
      </w:r>
      <w:r w:rsidR="00DF0535">
        <w:rPr>
          <w:rFonts w:ascii="Book Antiqua" w:hAnsi="Book Antiqua"/>
          <w:color w:val="000000"/>
        </w:rPr>
        <w:t>18</w:t>
      </w:r>
      <w:r>
        <w:rPr>
          <w:rFonts w:ascii="Book Antiqua" w:hAnsi="Book Antiqua"/>
          <w:color w:val="000000"/>
        </w:rPr>
        <w:t xml:space="preserve">, </w:t>
      </w:r>
      <w:r w:rsidR="00DF0535">
        <w:rPr>
          <w:rFonts w:ascii="Book Antiqua" w:hAnsi="Book Antiqua"/>
          <w:color w:val="000000"/>
        </w:rPr>
        <w:t>proyectos de resolución</w:t>
      </w:r>
      <w:r w:rsidRPr="00372E35">
        <w:rPr>
          <w:rFonts w:ascii="Book Antiqua" w:hAnsi="Book Antiqua"/>
          <w:color w:val="000000"/>
        </w:rPr>
        <w:t xml:space="preserve"> </w:t>
      </w:r>
      <w:r>
        <w:rPr>
          <w:rFonts w:ascii="Book Antiqua" w:hAnsi="Book Antiqua"/>
          <w:color w:val="000000"/>
        </w:rPr>
        <w:t>1</w:t>
      </w:r>
      <w:r w:rsidR="00DF0535">
        <w:rPr>
          <w:rFonts w:ascii="Book Antiqua" w:hAnsi="Book Antiqua"/>
          <w:color w:val="000000"/>
        </w:rPr>
        <w:t>33</w:t>
      </w:r>
      <w:r>
        <w:rPr>
          <w:rFonts w:ascii="Book Antiqua" w:hAnsi="Book Antiqua"/>
          <w:color w:val="000000"/>
        </w:rPr>
        <w:t xml:space="preserve">, </w:t>
      </w:r>
      <w:r w:rsidRPr="00372E35">
        <w:rPr>
          <w:rFonts w:ascii="Book Antiqua" w:hAnsi="Book Antiqua"/>
          <w:color w:val="000000"/>
        </w:rPr>
        <w:t xml:space="preserve">clasificación de jurisprudencia </w:t>
      </w:r>
      <w:r>
        <w:rPr>
          <w:rFonts w:ascii="Book Antiqua" w:hAnsi="Book Antiqua"/>
          <w:color w:val="000000"/>
        </w:rPr>
        <w:t>1</w:t>
      </w:r>
      <w:r w:rsidR="00DF0535">
        <w:rPr>
          <w:rFonts w:ascii="Book Antiqua" w:hAnsi="Book Antiqua"/>
          <w:color w:val="000000"/>
        </w:rPr>
        <w:t>14</w:t>
      </w:r>
      <w:r>
        <w:rPr>
          <w:rFonts w:ascii="Book Antiqua" w:hAnsi="Book Antiqua"/>
          <w:color w:val="000000"/>
        </w:rPr>
        <w:t xml:space="preserve"> </w:t>
      </w:r>
      <w:r w:rsidRPr="00372E35">
        <w:rPr>
          <w:rFonts w:ascii="Book Antiqua" w:hAnsi="Book Antiqua"/>
          <w:color w:val="000000"/>
        </w:rPr>
        <w:t xml:space="preserve">y </w:t>
      </w:r>
      <w:r w:rsidR="00DF0535">
        <w:rPr>
          <w:rFonts w:ascii="Book Antiqua" w:hAnsi="Book Antiqua"/>
          <w:color w:val="000000"/>
        </w:rPr>
        <w:t>votaciones</w:t>
      </w:r>
      <w:r w:rsidRPr="00372E35">
        <w:rPr>
          <w:rFonts w:ascii="Book Antiqua" w:hAnsi="Book Antiqua"/>
          <w:color w:val="000000"/>
        </w:rPr>
        <w:t xml:space="preserve"> </w:t>
      </w:r>
      <w:r w:rsidR="00DF0535">
        <w:rPr>
          <w:rFonts w:ascii="Book Antiqua" w:hAnsi="Book Antiqua"/>
          <w:color w:val="000000"/>
        </w:rPr>
        <w:t>99</w:t>
      </w:r>
      <w:r w:rsidRPr="00372E35">
        <w:rPr>
          <w:rFonts w:ascii="Book Antiqua" w:hAnsi="Book Antiqua"/>
          <w:color w:val="000000"/>
        </w:rPr>
        <w:t xml:space="preserve">. </w:t>
      </w:r>
    </w:p>
    <w:p w14:paraId="314709F6" w14:textId="341F0E64" w:rsidR="00A0115C" w:rsidRDefault="00A0115C">
      <w:pPr>
        <w:rPr>
          <w:rFonts w:ascii="Book Antiqua" w:hAnsi="Book Antiqua"/>
          <w:color w:val="000000" w:themeColor="text1"/>
        </w:rPr>
      </w:pPr>
      <w:r>
        <w:rPr>
          <w:rFonts w:ascii="Book Antiqua" w:hAnsi="Book Antiqua"/>
          <w:color w:val="000000" w:themeColor="text1"/>
        </w:rPr>
        <w:br w:type="page"/>
      </w:r>
    </w:p>
    <w:p w14:paraId="2677D252" w14:textId="77777777" w:rsidR="000A6207" w:rsidRDefault="000A6207" w:rsidP="000A6207">
      <w:pPr>
        <w:spacing w:line="276" w:lineRule="auto"/>
        <w:jc w:val="both"/>
        <w:rPr>
          <w:rFonts w:ascii="Book Antiqua" w:hAnsi="Book Antiqua"/>
          <w:color w:val="000000" w:themeColor="text1"/>
        </w:rPr>
      </w:pPr>
    </w:p>
    <w:p w14:paraId="0D55E2E2" w14:textId="0F6D3AD6" w:rsidR="000A6207" w:rsidRPr="001F11BE" w:rsidRDefault="000A6207" w:rsidP="000A6207">
      <w:pPr>
        <w:spacing w:line="276" w:lineRule="auto"/>
        <w:jc w:val="center"/>
        <w:rPr>
          <w:rFonts w:ascii="Book Antiqua" w:hAnsi="Book Antiqua"/>
          <w:b/>
          <w:color w:val="000000"/>
        </w:rPr>
      </w:pPr>
      <w:r w:rsidRPr="001F11BE">
        <w:rPr>
          <w:rFonts w:ascii="Book Antiqua" w:hAnsi="Book Antiqua"/>
          <w:b/>
          <w:color w:val="000000"/>
        </w:rPr>
        <w:t xml:space="preserve">Gráfico </w:t>
      </w:r>
      <w:r>
        <w:rPr>
          <w:rFonts w:ascii="Book Antiqua" w:hAnsi="Book Antiqua"/>
          <w:b/>
          <w:color w:val="000000"/>
        </w:rPr>
        <w:t>2</w:t>
      </w:r>
      <w:r w:rsidR="00DF0535">
        <w:rPr>
          <w:rFonts w:ascii="Book Antiqua" w:hAnsi="Book Antiqua"/>
          <w:b/>
          <w:color w:val="000000"/>
        </w:rPr>
        <w:t>6</w:t>
      </w:r>
    </w:p>
    <w:p w14:paraId="32EDBAA4" w14:textId="77777777" w:rsidR="000A6207" w:rsidRPr="00B5501E" w:rsidRDefault="000A6207" w:rsidP="000A6207">
      <w:pPr>
        <w:spacing w:line="276" w:lineRule="auto"/>
        <w:jc w:val="center"/>
        <w:rPr>
          <w:rFonts w:ascii="Book Antiqua" w:hAnsi="Book Antiqua"/>
          <w:bCs/>
          <w:color w:val="000000"/>
        </w:rPr>
      </w:pPr>
      <w:r w:rsidRPr="00B5501E">
        <w:rPr>
          <w:rFonts w:ascii="Book Antiqua" w:hAnsi="Book Antiqua"/>
          <w:bCs/>
          <w:color w:val="000000"/>
        </w:rPr>
        <w:t>Actividades principales efectuadas por el personal de la judicatura</w:t>
      </w:r>
    </w:p>
    <w:p w14:paraId="651DE471" w14:textId="0B9DED08" w:rsidR="000A6207" w:rsidRPr="00B5501E" w:rsidRDefault="000A6207" w:rsidP="000A6207">
      <w:pPr>
        <w:spacing w:line="276" w:lineRule="auto"/>
        <w:jc w:val="center"/>
        <w:rPr>
          <w:rFonts w:ascii="Book Antiqua" w:hAnsi="Book Antiqua"/>
          <w:bCs/>
          <w:color w:val="000000"/>
        </w:rPr>
      </w:pPr>
      <w:r w:rsidRPr="00B5501E">
        <w:rPr>
          <w:rFonts w:ascii="Book Antiqua" w:hAnsi="Book Antiqua"/>
          <w:bCs/>
          <w:color w:val="000000"/>
        </w:rPr>
        <w:t xml:space="preserve">de </w:t>
      </w:r>
      <w:r>
        <w:rPr>
          <w:rFonts w:ascii="Book Antiqua" w:hAnsi="Book Antiqua"/>
          <w:bCs/>
          <w:color w:val="000000"/>
        </w:rPr>
        <w:t>la Sala Tercera</w:t>
      </w:r>
      <w:r w:rsidRPr="00B5501E">
        <w:rPr>
          <w:rFonts w:ascii="Book Antiqua" w:hAnsi="Book Antiqua"/>
          <w:bCs/>
          <w:color w:val="000000"/>
        </w:rPr>
        <w:t xml:space="preserve"> durante </w:t>
      </w:r>
      <w:r w:rsidR="00DF0535">
        <w:rPr>
          <w:rFonts w:ascii="Book Antiqua" w:hAnsi="Book Antiqua"/>
          <w:bCs/>
          <w:color w:val="000000"/>
        </w:rPr>
        <w:t>agosto</w:t>
      </w:r>
      <w:r w:rsidRPr="00B5501E">
        <w:rPr>
          <w:rFonts w:ascii="Book Antiqua" w:hAnsi="Book Antiqua"/>
          <w:bCs/>
          <w:color w:val="000000"/>
        </w:rPr>
        <w:t xml:space="preserve"> de 2021</w:t>
      </w:r>
    </w:p>
    <w:p w14:paraId="46D1AC1A" w14:textId="77777777" w:rsidR="000A6207" w:rsidRDefault="000A6207" w:rsidP="000A6207">
      <w:pPr>
        <w:spacing w:line="276" w:lineRule="auto"/>
        <w:rPr>
          <w:rFonts w:ascii="Book Antiqua" w:hAnsi="Book Antiqua"/>
          <w:color w:val="000000" w:themeColor="text1"/>
        </w:rPr>
      </w:pPr>
    </w:p>
    <w:p w14:paraId="74C42E3E" w14:textId="0105257C" w:rsidR="000A6207" w:rsidRDefault="00DF0535" w:rsidP="000A6207">
      <w:pPr>
        <w:spacing w:line="276" w:lineRule="auto"/>
        <w:jc w:val="center"/>
        <w:rPr>
          <w:rFonts w:ascii="Book Antiqua" w:hAnsi="Book Antiqua"/>
          <w:color w:val="000000" w:themeColor="text1"/>
        </w:rPr>
      </w:pPr>
      <w:r>
        <w:rPr>
          <w:noProof/>
        </w:rPr>
        <w:drawing>
          <wp:inline distT="0" distB="0" distL="0" distR="0" wp14:anchorId="3D7BC224" wp14:editId="54993991">
            <wp:extent cx="4249271" cy="2558783"/>
            <wp:effectExtent l="0" t="0" r="0" b="0"/>
            <wp:docPr id="34" name="Gráfico 34">
              <a:extLst xmlns:a="http://schemas.openxmlformats.org/drawingml/2006/main">
                <a:ext uri="{FF2B5EF4-FFF2-40B4-BE49-F238E27FC236}">
                  <a16:creationId xmlns:a16="http://schemas.microsoft.com/office/drawing/2014/main" id="{2AF0A976-1896-4639-8FE2-0FA5FF9F3F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52F07B2" w14:textId="77777777" w:rsidR="000A6207" w:rsidRDefault="000A6207" w:rsidP="000A6207">
      <w:pPr>
        <w:spacing w:line="276" w:lineRule="auto"/>
        <w:jc w:val="center"/>
        <w:rPr>
          <w:rFonts w:ascii="Book Antiqua" w:hAnsi="Book Antiqua"/>
          <w:color w:val="000000" w:themeColor="text1"/>
          <w:sz w:val="20"/>
          <w:szCs w:val="20"/>
        </w:rPr>
      </w:pPr>
      <w:r w:rsidRPr="0013210E">
        <w:rPr>
          <w:rFonts w:ascii="Book Antiqua" w:hAnsi="Book Antiqua"/>
          <w:b/>
          <w:bCs/>
          <w:color w:val="000000"/>
          <w:sz w:val="20"/>
          <w:szCs w:val="20"/>
        </w:rPr>
        <w:t>Fuente:</w:t>
      </w:r>
      <w:r w:rsidRPr="00DE41EA">
        <w:rPr>
          <w:rFonts w:ascii="Book Antiqua" w:hAnsi="Book Antiqua"/>
          <w:color w:val="000000"/>
          <w:sz w:val="20"/>
          <w:szCs w:val="20"/>
        </w:rPr>
        <w:t xml:space="preserve"> </w:t>
      </w:r>
      <w:r w:rsidRPr="002754DF">
        <w:rPr>
          <w:rFonts w:ascii="Book Antiqua" w:hAnsi="Book Antiqua"/>
          <w:color w:val="000000" w:themeColor="text1"/>
          <w:sz w:val="20"/>
          <w:szCs w:val="20"/>
        </w:rPr>
        <w:t>Elaboración propia a partir de datos suministrados por despachos según circular 61-2020</w:t>
      </w:r>
    </w:p>
    <w:p w14:paraId="18470538" w14:textId="77777777" w:rsidR="000A6207" w:rsidRDefault="000A6207" w:rsidP="000A6207">
      <w:pPr>
        <w:spacing w:line="276" w:lineRule="auto"/>
        <w:rPr>
          <w:rFonts w:ascii="Book Antiqua" w:hAnsi="Book Antiqua"/>
          <w:color w:val="000000" w:themeColor="text1"/>
          <w:sz w:val="20"/>
          <w:szCs w:val="20"/>
        </w:rPr>
      </w:pPr>
    </w:p>
    <w:p w14:paraId="779FE8BE" w14:textId="77777777" w:rsidR="000A6207" w:rsidRDefault="000A6207" w:rsidP="000A6207">
      <w:pPr>
        <w:spacing w:line="276" w:lineRule="auto"/>
        <w:jc w:val="center"/>
        <w:rPr>
          <w:rFonts w:ascii="Book Antiqua" w:hAnsi="Book Antiqua"/>
          <w:color w:val="000000" w:themeColor="text1"/>
          <w:sz w:val="20"/>
          <w:szCs w:val="20"/>
        </w:rPr>
      </w:pPr>
      <w:bookmarkStart w:id="24" w:name="_Hlk87431472"/>
    </w:p>
    <w:p w14:paraId="4CB0B217" w14:textId="75CEA66C" w:rsidR="000A6207" w:rsidRPr="00DF0535" w:rsidRDefault="71A6BFC2" w:rsidP="57A79FF7">
      <w:pPr>
        <w:tabs>
          <w:tab w:val="left" w:pos="426"/>
        </w:tabs>
        <w:spacing w:after="160" w:line="276" w:lineRule="auto"/>
        <w:contextualSpacing/>
        <w:outlineLvl w:val="1"/>
        <w:rPr>
          <w:b/>
          <w:color w:val="000000" w:themeColor="text1"/>
        </w:rPr>
      </w:pPr>
      <w:r w:rsidRPr="57A79FF7">
        <w:rPr>
          <w:rFonts w:ascii="Book Antiqua" w:hAnsi="Book Antiqua"/>
          <w:b/>
          <w:bCs/>
          <w:color w:val="000000" w:themeColor="text1"/>
        </w:rPr>
        <w:t xml:space="preserve">7.2. </w:t>
      </w:r>
      <w:r w:rsidR="000A6207" w:rsidRPr="00DF0535">
        <w:rPr>
          <w:rFonts w:ascii="Book Antiqua" w:hAnsi="Book Antiqua"/>
          <w:b/>
          <w:color w:val="000000" w:themeColor="text1"/>
        </w:rPr>
        <w:t>Cumplimiento de parámetros de producción</w:t>
      </w:r>
    </w:p>
    <w:bookmarkEnd w:id="24"/>
    <w:p w14:paraId="31ACF9F1" w14:textId="77777777" w:rsidR="000A6207" w:rsidRPr="007006E3" w:rsidRDefault="000A6207" w:rsidP="000A6207">
      <w:pPr>
        <w:spacing w:line="276" w:lineRule="auto"/>
        <w:rPr>
          <w:rFonts w:ascii="Book Antiqua" w:hAnsi="Book Antiqua"/>
          <w:b/>
          <w:color w:val="000000" w:themeColor="text1"/>
        </w:rPr>
      </w:pPr>
    </w:p>
    <w:p w14:paraId="53FD675E" w14:textId="77777777" w:rsidR="000A6207" w:rsidRPr="004F0E92" w:rsidRDefault="000A6207" w:rsidP="000A6207">
      <w:pPr>
        <w:spacing w:line="276" w:lineRule="auto"/>
        <w:jc w:val="both"/>
        <w:rPr>
          <w:rFonts w:ascii="Book Antiqua" w:hAnsi="Book Antiqua"/>
          <w:color w:val="000000" w:themeColor="text1"/>
        </w:rPr>
      </w:pPr>
      <w:r w:rsidRPr="007006E3">
        <w:rPr>
          <w:rFonts w:ascii="Book Antiqua" w:hAnsi="Book Antiqua"/>
          <w:color w:val="000000" w:themeColor="text1"/>
        </w:rPr>
        <w:t>La Circular 101-20, estableció parámetros de producción para las diferentes fases del proceso penal:</w:t>
      </w:r>
    </w:p>
    <w:p w14:paraId="3B7372AA" w14:textId="77777777" w:rsidR="000A6207" w:rsidRDefault="000A6207" w:rsidP="000A6207">
      <w:pPr>
        <w:spacing w:line="276" w:lineRule="auto"/>
        <w:jc w:val="both"/>
        <w:rPr>
          <w:rFonts w:ascii="Book Antiqua" w:hAnsi="Book Antiqua"/>
          <w:color w:val="000000" w:themeColor="text1"/>
        </w:rPr>
      </w:pPr>
    </w:p>
    <w:p w14:paraId="5702C4B7" w14:textId="77777777" w:rsidR="000A6207" w:rsidRPr="004F0E92" w:rsidRDefault="000A6207" w:rsidP="000A6207">
      <w:pPr>
        <w:spacing w:line="276" w:lineRule="auto"/>
        <w:jc w:val="both"/>
        <w:rPr>
          <w:rFonts w:ascii="Book Antiqua" w:hAnsi="Book Antiqua"/>
          <w:color w:val="000000" w:themeColor="text1"/>
        </w:rPr>
      </w:pPr>
    </w:p>
    <w:p w14:paraId="009F5A7D" w14:textId="77777777" w:rsidR="00A0115C" w:rsidRDefault="000A6207" w:rsidP="000A6207">
      <w:pPr>
        <w:spacing w:line="276" w:lineRule="auto"/>
        <w:jc w:val="center"/>
        <w:rPr>
          <w:rFonts w:ascii="Book Antiqua" w:hAnsi="Book Antiqua"/>
          <w:b/>
          <w:bCs/>
          <w:color w:val="000000" w:themeColor="text1"/>
        </w:rPr>
      </w:pPr>
      <w:r w:rsidRPr="00BF2ABA">
        <w:rPr>
          <w:rFonts w:ascii="Book Antiqua" w:hAnsi="Book Antiqua"/>
          <w:b/>
          <w:bCs/>
          <w:color w:val="000000" w:themeColor="text1"/>
        </w:rPr>
        <w:t xml:space="preserve">Cuadro </w:t>
      </w:r>
      <w:r w:rsidR="00EF7D33">
        <w:rPr>
          <w:rFonts w:ascii="Book Antiqua" w:hAnsi="Book Antiqua"/>
          <w:b/>
          <w:bCs/>
          <w:color w:val="000000" w:themeColor="text1"/>
        </w:rPr>
        <w:t>6</w:t>
      </w:r>
      <w:r w:rsidR="000B1CF8">
        <w:rPr>
          <w:rFonts w:ascii="Book Antiqua" w:hAnsi="Book Antiqua"/>
          <w:b/>
          <w:bCs/>
          <w:color w:val="000000" w:themeColor="text1"/>
        </w:rPr>
        <w:t>7</w:t>
      </w:r>
    </w:p>
    <w:p w14:paraId="20417BF8" w14:textId="0189055C" w:rsidR="000A6207" w:rsidRPr="00BF2ABA" w:rsidRDefault="000A6207" w:rsidP="000A6207">
      <w:pPr>
        <w:spacing w:line="276" w:lineRule="auto"/>
        <w:jc w:val="center"/>
        <w:rPr>
          <w:rFonts w:ascii="Book Antiqua" w:hAnsi="Book Antiqua"/>
          <w:b/>
          <w:bCs/>
          <w:color w:val="000000" w:themeColor="text1"/>
        </w:rPr>
      </w:pPr>
      <w:r w:rsidRPr="00BF2ABA">
        <w:rPr>
          <w:rFonts w:ascii="Book Antiqua" w:hAnsi="Book Antiqua"/>
          <w:b/>
          <w:bCs/>
          <w:color w:val="000000" w:themeColor="text1"/>
        </w:rPr>
        <w:t xml:space="preserve"> Parámetros de producción por fase de materia penal</w:t>
      </w:r>
    </w:p>
    <w:p w14:paraId="0B3DAA9F" w14:textId="77777777" w:rsidR="000A6207" w:rsidRPr="004F0E92" w:rsidRDefault="000A6207" w:rsidP="000A6207">
      <w:pPr>
        <w:spacing w:line="276" w:lineRule="auto"/>
        <w:rPr>
          <w:rFonts w:ascii="Book Antiqua" w:hAnsi="Book Antiqua"/>
          <w:color w:val="000000" w:themeColor="text1"/>
        </w:rPr>
      </w:pPr>
    </w:p>
    <w:tbl>
      <w:tblPr>
        <w:tblStyle w:val="Tablaconcuadrcula"/>
        <w:tblW w:w="9776" w:type="dxa"/>
        <w:tblLook w:val="04A0" w:firstRow="1" w:lastRow="0" w:firstColumn="1" w:lastColumn="0" w:noHBand="0" w:noVBand="1"/>
      </w:tblPr>
      <w:tblGrid>
        <w:gridCol w:w="1838"/>
        <w:gridCol w:w="3402"/>
        <w:gridCol w:w="4536"/>
      </w:tblGrid>
      <w:tr w:rsidR="000A6207" w:rsidRPr="00677475" w14:paraId="7DFD1DA6" w14:textId="77777777" w:rsidTr="00243F14">
        <w:trPr>
          <w:trHeight w:val="397"/>
        </w:trPr>
        <w:tc>
          <w:tcPr>
            <w:tcW w:w="1838" w:type="dxa"/>
            <w:shd w:val="clear" w:color="auto" w:fill="2F5496" w:themeFill="accent1" w:themeFillShade="BF"/>
          </w:tcPr>
          <w:p w14:paraId="57C73ADA" w14:textId="77777777" w:rsidR="000A6207" w:rsidRPr="00677475" w:rsidRDefault="000A6207" w:rsidP="00243F14">
            <w:pPr>
              <w:spacing w:line="276" w:lineRule="auto"/>
              <w:jc w:val="center"/>
              <w:rPr>
                <w:rFonts w:ascii="Book Antiqua" w:hAnsi="Book Antiqua"/>
                <w:b/>
                <w:color w:val="FFFFFF" w:themeColor="background1"/>
                <w:sz w:val="20"/>
                <w:szCs w:val="20"/>
              </w:rPr>
            </w:pPr>
            <w:r w:rsidRPr="00677475">
              <w:rPr>
                <w:rFonts w:ascii="Book Antiqua" w:hAnsi="Book Antiqua"/>
                <w:b/>
                <w:color w:val="FFFFFF" w:themeColor="background1"/>
                <w:sz w:val="20"/>
                <w:szCs w:val="20"/>
              </w:rPr>
              <w:t>Fase</w:t>
            </w:r>
          </w:p>
        </w:tc>
        <w:tc>
          <w:tcPr>
            <w:tcW w:w="3402" w:type="dxa"/>
            <w:shd w:val="clear" w:color="auto" w:fill="2F5496" w:themeFill="accent1" w:themeFillShade="BF"/>
          </w:tcPr>
          <w:p w14:paraId="112993AA" w14:textId="77777777" w:rsidR="000A6207" w:rsidRPr="00677475" w:rsidRDefault="000A6207" w:rsidP="00243F14">
            <w:pPr>
              <w:spacing w:line="276" w:lineRule="auto"/>
              <w:jc w:val="center"/>
              <w:rPr>
                <w:rFonts w:ascii="Book Antiqua" w:hAnsi="Book Antiqua"/>
                <w:b/>
                <w:color w:val="FFFFFF" w:themeColor="background1"/>
                <w:sz w:val="20"/>
                <w:szCs w:val="20"/>
              </w:rPr>
            </w:pPr>
            <w:r w:rsidRPr="00677475">
              <w:rPr>
                <w:rFonts w:ascii="Book Antiqua" w:hAnsi="Book Antiqua"/>
                <w:b/>
                <w:color w:val="FFFFFF" w:themeColor="background1"/>
                <w:sz w:val="20"/>
                <w:szCs w:val="20"/>
              </w:rPr>
              <w:t>Variable</w:t>
            </w:r>
          </w:p>
        </w:tc>
        <w:tc>
          <w:tcPr>
            <w:tcW w:w="4536" w:type="dxa"/>
            <w:shd w:val="clear" w:color="auto" w:fill="2F5496" w:themeFill="accent1" w:themeFillShade="BF"/>
          </w:tcPr>
          <w:p w14:paraId="0312ABC4" w14:textId="77777777" w:rsidR="000A6207" w:rsidRPr="00677475" w:rsidRDefault="000A6207" w:rsidP="00243F14">
            <w:pPr>
              <w:spacing w:line="276" w:lineRule="auto"/>
              <w:jc w:val="center"/>
              <w:rPr>
                <w:rFonts w:ascii="Book Antiqua" w:hAnsi="Book Antiqua"/>
                <w:b/>
                <w:color w:val="FFFFFF" w:themeColor="background1"/>
                <w:sz w:val="20"/>
                <w:szCs w:val="20"/>
              </w:rPr>
            </w:pPr>
            <w:r w:rsidRPr="00677475">
              <w:rPr>
                <w:rFonts w:ascii="Book Antiqua" w:hAnsi="Book Antiqua"/>
                <w:b/>
                <w:color w:val="FFFFFF" w:themeColor="background1"/>
                <w:sz w:val="20"/>
                <w:szCs w:val="20"/>
              </w:rPr>
              <w:t>Parámetro</w:t>
            </w:r>
          </w:p>
          <w:p w14:paraId="7E542ADB" w14:textId="77777777" w:rsidR="000A6207" w:rsidRPr="00677475" w:rsidRDefault="000A6207" w:rsidP="00243F14">
            <w:pPr>
              <w:spacing w:line="276" w:lineRule="auto"/>
              <w:jc w:val="center"/>
              <w:rPr>
                <w:rFonts w:ascii="Book Antiqua" w:hAnsi="Book Antiqua"/>
                <w:b/>
                <w:color w:val="FFFFFF" w:themeColor="background1"/>
                <w:sz w:val="20"/>
                <w:szCs w:val="20"/>
              </w:rPr>
            </w:pPr>
          </w:p>
        </w:tc>
      </w:tr>
      <w:tr w:rsidR="000A6207" w:rsidRPr="00677475" w14:paraId="3E816A9E" w14:textId="77777777" w:rsidTr="00243F14">
        <w:tc>
          <w:tcPr>
            <w:tcW w:w="1838" w:type="dxa"/>
          </w:tcPr>
          <w:p w14:paraId="72677771" w14:textId="77777777" w:rsidR="000A6207" w:rsidRPr="00677475" w:rsidRDefault="000A6207" w:rsidP="00243F14">
            <w:pPr>
              <w:spacing w:line="276" w:lineRule="auto"/>
              <w:jc w:val="center"/>
              <w:rPr>
                <w:rFonts w:ascii="Book Antiqua" w:hAnsi="Book Antiqua"/>
                <w:color w:val="000000" w:themeColor="text1"/>
                <w:sz w:val="20"/>
                <w:szCs w:val="20"/>
              </w:rPr>
            </w:pPr>
            <w:r w:rsidRPr="00677475">
              <w:rPr>
                <w:rFonts w:ascii="Book Antiqua" w:hAnsi="Book Antiqua"/>
                <w:color w:val="000000" w:themeColor="text1"/>
                <w:sz w:val="20"/>
                <w:szCs w:val="20"/>
              </w:rPr>
              <w:t>Preparatoria e Intermedia</w:t>
            </w:r>
          </w:p>
        </w:tc>
        <w:tc>
          <w:tcPr>
            <w:tcW w:w="3402" w:type="dxa"/>
          </w:tcPr>
          <w:p w14:paraId="065E19EC" w14:textId="77777777" w:rsidR="000A6207" w:rsidRPr="00677475" w:rsidRDefault="000A6207" w:rsidP="00243F14">
            <w:pPr>
              <w:spacing w:line="276" w:lineRule="auto"/>
              <w:jc w:val="center"/>
              <w:rPr>
                <w:rFonts w:ascii="Book Antiqua" w:hAnsi="Book Antiqua"/>
                <w:color w:val="000000" w:themeColor="text1"/>
                <w:sz w:val="20"/>
                <w:szCs w:val="20"/>
              </w:rPr>
            </w:pPr>
            <w:r w:rsidRPr="00677475">
              <w:rPr>
                <w:rFonts w:ascii="Book Antiqua" w:hAnsi="Book Antiqua"/>
                <w:color w:val="000000" w:themeColor="text1"/>
                <w:sz w:val="20"/>
                <w:szCs w:val="20"/>
              </w:rPr>
              <w:t>Desestimaciones, sobreseimientos y acusaciones</w:t>
            </w:r>
          </w:p>
        </w:tc>
        <w:tc>
          <w:tcPr>
            <w:tcW w:w="4536" w:type="dxa"/>
          </w:tcPr>
          <w:p w14:paraId="63152D8D" w14:textId="77777777" w:rsidR="000A6207" w:rsidRPr="00677475" w:rsidRDefault="000A6207" w:rsidP="00243F14">
            <w:pPr>
              <w:spacing w:line="276" w:lineRule="auto"/>
              <w:jc w:val="both"/>
              <w:rPr>
                <w:rFonts w:ascii="Book Antiqua" w:hAnsi="Book Antiqua"/>
                <w:color w:val="000000" w:themeColor="text1"/>
                <w:sz w:val="20"/>
                <w:szCs w:val="20"/>
              </w:rPr>
            </w:pPr>
            <w:r w:rsidRPr="00677475">
              <w:rPr>
                <w:rFonts w:ascii="Book Antiqua" w:hAnsi="Book Antiqua"/>
                <w:color w:val="000000" w:themeColor="text1"/>
                <w:sz w:val="20"/>
                <w:szCs w:val="20"/>
              </w:rPr>
              <w:t>Al menos seis asuntos diarios resueltos de desestimación o sobreseimiento o acusación, por cada plaza de jueza o juez, que se encuentre en etapa intermedia. Los Despachos deberán tener al menos una Jueza o Juez que se encuentre atendiendo la etapa preparatoria.</w:t>
            </w:r>
          </w:p>
        </w:tc>
      </w:tr>
      <w:tr w:rsidR="000A6207" w:rsidRPr="00677475" w14:paraId="036B2BAB" w14:textId="77777777" w:rsidTr="00243F14">
        <w:tc>
          <w:tcPr>
            <w:tcW w:w="1838" w:type="dxa"/>
          </w:tcPr>
          <w:p w14:paraId="05E3F490" w14:textId="77777777" w:rsidR="000A6207" w:rsidRDefault="000A6207" w:rsidP="00243F14">
            <w:pPr>
              <w:spacing w:line="276" w:lineRule="auto"/>
              <w:jc w:val="center"/>
              <w:rPr>
                <w:rFonts w:ascii="Book Antiqua" w:hAnsi="Book Antiqua"/>
                <w:color w:val="000000" w:themeColor="text1"/>
                <w:sz w:val="20"/>
                <w:szCs w:val="20"/>
              </w:rPr>
            </w:pPr>
          </w:p>
          <w:p w14:paraId="1529DE87" w14:textId="77777777" w:rsidR="000A6207" w:rsidRDefault="000A6207" w:rsidP="00243F14">
            <w:pPr>
              <w:spacing w:line="276" w:lineRule="auto"/>
              <w:jc w:val="center"/>
              <w:rPr>
                <w:rFonts w:ascii="Book Antiqua" w:hAnsi="Book Antiqua"/>
                <w:color w:val="000000" w:themeColor="text1"/>
                <w:sz w:val="20"/>
                <w:szCs w:val="20"/>
              </w:rPr>
            </w:pPr>
          </w:p>
          <w:p w14:paraId="024AACF3" w14:textId="77777777" w:rsidR="000A6207" w:rsidRPr="00677475" w:rsidRDefault="000A6207" w:rsidP="00243F14">
            <w:pPr>
              <w:spacing w:line="276" w:lineRule="auto"/>
              <w:jc w:val="center"/>
              <w:rPr>
                <w:rFonts w:ascii="Book Antiqua" w:hAnsi="Book Antiqua"/>
                <w:color w:val="000000" w:themeColor="text1"/>
                <w:sz w:val="20"/>
                <w:szCs w:val="20"/>
              </w:rPr>
            </w:pPr>
            <w:r w:rsidRPr="00677475">
              <w:rPr>
                <w:rFonts w:ascii="Book Antiqua" w:hAnsi="Book Antiqua"/>
                <w:color w:val="000000" w:themeColor="text1"/>
                <w:sz w:val="20"/>
                <w:szCs w:val="20"/>
              </w:rPr>
              <w:t>Juicio</w:t>
            </w:r>
          </w:p>
        </w:tc>
        <w:tc>
          <w:tcPr>
            <w:tcW w:w="3402" w:type="dxa"/>
          </w:tcPr>
          <w:p w14:paraId="05D999D5" w14:textId="77777777" w:rsidR="000A6207" w:rsidRDefault="000A6207" w:rsidP="00243F14">
            <w:pPr>
              <w:spacing w:line="276" w:lineRule="auto"/>
              <w:jc w:val="center"/>
              <w:rPr>
                <w:rFonts w:ascii="Book Antiqua" w:hAnsi="Book Antiqua"/>
                <w:color w:val="000000" w:themeColor="text1"/>
                <w:sz w:val="20"/>
                <w:szCs w:val="20"/>
              </w:rPr>
            </w:pPr>
          </w:p>
          <w:p w14:paraId="07EF32A9" w14:textId="77777777" w:rsidR="000A6207" w:rsidRDefault="000A6207" w:rsidP="00243F14">
            <w:pPr>
              <w:spacing w:line="276" w:lineRule="auto"/>
              <w:jc w:val="center"/>
              <w:rPr>
                <w:rFonts w:ascii="Book Antiqua" w:hAnsi="Book Antiqua"/>
                <w:color w:val="000000" w:themeColor="text1"/>
                <w:sz w:val="20"/>
                <w:szCs w:val="20"/>
              </w:rPr>
            </w:pPr>
          </w:p>
          <w:p w14:paraId="7E77434A" w14:textId="77777777" w:rsidR="000A6207" w:rsidRPr="00677475" w:rsidRDefault="000A6207" w:rsidP="00243F14">
            <w:pPr>
              <w:spacing w:line="276" w:lineRule="auto"/>
              <w:jc w:val="center"/>
              <w:rPr>
                <w:rFonts w:ascii="Book Antiqua" w:hAnsi="Book Antiqua"/>
                <w:color w:val="000000" w:themeColor="text1"/>
                <w:sz w:val="20"/>
                <w:szCs w:val="20"/>
              </w:rPr>
            </w:pPr>
            <w:r w:rsidRPr="00677475">
              <w:rPr>
                <w:rFonts w:ascii="Book Antiqua" w:hAnsi="Book Antiqua"/>
                <w:color w:val="000000" w:themeColor="text1"/>
                <w:sz w:val="20"/>
                <w:szCs w:val="20"/>
              </w:rPr>
              <w:t>Sentencias y medidas alternas</w:t>
            </w:r>
          </w:p>
          <w:p w14:paraId="405D70E3" w14:textId="77777777" w:rsidR="000A6207" w:rsidRPr="00677475" w:rsidRDefault="000A6207" w:rsidP="00243F14">
            <w:pPr>
              <w:spacing w:line="276" w:lineRule="auto"/>
              <w:jc w:val="center"/>
              <w:rPr>
                <w:rFonts w:ascii="Book Antiqua" w:hAnsi="Book Antiqua"/>
                <w:color w:val="000000" w:themeColor="text1"/>
                <w:sz w:val="20"/>
                <w:szCs w:val="20"/>
              </w:rPr>
            </w:pPr>
          </w:p>
        </w:tc>
        <w:tc>
          <w:tcPr>
            <w:tcW w:w="4536" w:type="dxa"/>
          </w:tcPr>
          <w:p w14:paraId="5BC082EA" w14:textId="77777777" w:rsidR="000A6207" w:rsidRPr="00677475" w:rsidRDefault="000A6207" w:rsidP="00243F14">
            <w:pPr>
              <w:pStyle w:val="Textosinformato"/>
              <w:spacing w:line="276" w:lineRule="auto"/>
              <w:jc w:val="both"/>
              <w:rPr>
                <w:rFonts w:ascii="Book Antiqua" w:hAnsi="Book Antiqua"/>
                <w:color w:val="000000" w:themeColor="text1"/>
                <w:sz w:val="20"/>
                <w:szCs w:val="20"/>
              </w:rPr>
            </w:pPr>
            <w:r w:rsidRPr="00677475">
              <w:rPr>
                <w:rFonts w:ascii="Book Antiqua" w:hAnsi="Book Antiqua"/>
                <w:color w:val="000000" w:themeColor="text1"/>
                <w:sz w:val="20"/>
                <w:szCs w:val="20"/>
              </w:rPr>
              <w:t>El parámetro de producción mensual será entre once a quince sentencias o medidas alternas por cada Sección Colegiada y entre quince a veinte sentencias o medidas alternas por cada Sección Unipersonal, mientras que las secciones mixtas tendrán un parámetro de treinta y dos sentencias o medidas alternas.</w:t>
            </w:r>
          </w:p>
        </w:tc>
      </w:tr>
      <w:tr w:rsidR="000A6207" w:rsidRPr="00677475" w14:paraId="3AFAB880" w14:textId="77777777" w:rsidTr="00243F14">
        <w:tc>
          <w:tcPr>
            <w:tcW w:w="1838" w:type="dxa"/>
          </w:tcPr>
          <w:p w14:paraId="4176FEBC" w14:textId="77777777" w:rsidR="000A6207" w:rsidRDefault="000A6207" w:rsidP="00243F14">
            <w:pPr>
              <w:spacing w:line="276" w:lineRule="auto"/>
              <w:jc w:val="center"/>
              <w:rPr>
                <w:rFonts w:ascii="Book Antiqua" w:hAnsi="Book Antiqua"/>
                <w:color w:val="000000" w:themeColor="text1"/>
                <w:sz w:val="20"/>
                <w:szCs w:val="20"/>
              </w:rPr>
            </w:pPr>
          </w:p>
          <w:p w14:paraId="0D17544E" w14:textId="77777777" w:rsidR="000A6207" w:rsidRDefault="000A6207" w:rsidP="00243F14">
            <w:pPr>
              <w:spacing w:line="276" w:lineRule="auto"/>
              <w:jc w:val="center"/>
              <w:rPr>
                <w:rFonts w:ascii="Book Antiqua" w:hAnsi="Book Antiqua"/>
                <w:color w:val="000000" w:themeColor="text1"/>
                <w:sz w:val="20"/>
                <w:szCs w:val="20"/>
              </w:rPr>
            </w:pPr>
          </w:p>
          <w:p w14:paraId="5309FE4A" w14:textId="77777777" w:rsidR="000A6207" w:rsidRPr="00677475" w:rsidRDefault="000A6207" w:rsidP="00243F14">
            <w:pPr>
              <w:spacing w:line="276" w:lineRule="auto"/>
              <w:jc w:val="center"/>
              <w:rPr>
                <w:rFonts w:ascii="Book Antiqua" w:hAnsi="Book Antiqua"/>
                <w:color w:val="000000" w:themeColor="text1"/>
                <w:sz w:val="20"/>
                <w:szCs w:val="20"/>
              </w:rPr>
            </w:pPr>
            <w:r w:rsidRPr="00677475">
              <w:rPr>
                <w:rFonts w:ascii="Book Antiqua" w:hAnsi="Book Antiqua"/>
                <w:color w:val="000000" w:themeColor="text1"/>
                <w:sz w:val="20"/>
                <w:szCs w:val="20"/>
              </w:rPr>
              <w:t>Flagrancia</w:t>
            </w:r>
          </w:p>
        </w:tc>
        <w:tc>
          <w:tcPr>
            <w:tcW w:w="3402" w:type="dxa"/>
          </w:tcPr>
          <w:p w14:paraId="416D4170" w14:textId="77777777" w:rsidR="000A6207" w:rsidRDefault="000A6207" w:rsidP="00243F14">
            <w:pPr>
              <w:spacing w:line="276" w:lineRule="auto"/>
              <w:jc w:val="center"/>
              <w:rPr>
                <w:rFonts w:ascii="Book Antiqua" w:hAnsi="Book Antiqua"/>
                <w:color w:val="000000" w:themeColor="text1"/>
                <w:sz w:val="20"/>
                <w:szCs w:val="20"/>
              </w:rPr>
            </w:pPr>
          </w:p>
          <w:p w14:paraId="17743663" w14:textId="77777777" w:rsidR="000A6207" w:rsidRDefault="000A6207" w:rsidP="00243F14">
            <w:pPr>
              <w:spacing w:line="276" w:lineRule="auto"/>
              <w:jc w:val="center"/>
              <w:rPr>
                <w:rFonts w:ascii="Book Antiqua" w:hAnsi="Book Antiqua"/>
                <w:color w:val="000000" w:themeColor="text1"/>
                <w:sz w:val="20"/>
                <w:szCs w:val="20"/>
              </w:rPr>
            </w:pPr>
          </w:p>
          <w:p w14:paraId="60573F7E" w14:textId="77777777" w:rsidR="000A6207" w:rsidRPr="00677475" w:rsidRDefault="000A6207" w:rsidP="00243F14">
            <w:pPr>
              <w:spacing w:line="276" w:lineRule="auto"/>
              <w:jc w:val="center"/>
              <w:rPr>
                <w:rFonts w:ascii="Book Antiqua" w:hAnsi="Book Antiqua"/>
                <w:color w:val="000000" w:themeColor="text1"/>
                <w:sz w:val="20"/>
                <w:szCs w:val="20"/>
              </w:rPr>
            </w:pPr>
            <w:r w:rsidRPr="00677475">
              <w:rPr>
                <w:rFonts w:ascii="Book Antiqua" w:hAnsi="Book Antiqua"/>
                <w:color w:val="000000" w:themeColor="text1"/>
                <w:sz w:val="20"/>
                <w:szCs w:val="20"/>
              </w:rPr>
              <w:t>Audiencias iniciales, sentencias y medidas alternas</w:t>
            </w:r>
          </w:p>
        </w:tc>
        <w:tc>
          <w:tcPr>
            <w:tcW w:w="4536" w:type="dxa"/>
          </w:tcPr>
          <w:p w14:paraId="0E2BA236" w14:textId="77777777" w:rsidR="000A6207" w:rsidRPr="00677475" w:rsidRDefault="000A6207" w:rsidP="00243F14">
            <w:pPr>
              <w:spacing w:line="276" w:lineRule="auto"/>
              <w:jc w:val="both"/>
              <w:rPr>
                <w:rFonts w:ascii="Book Antiqua" w:hAnsi="Book Antiqua"/>
                <w:color w:val="000000" w:themeColor="text1"/>
                <w:sz w:val="20"/>
                <w:szCs w:val="20"/>
              </w:rPr>
            </w:pPr>
            <w:r w:rsidRPr="00677475">
              <w:rPr>
                <w:rFonts w:ascii="Book Antiqua" w:hAnsi="Book Antiqua"/>
                <w:color w:val="000000" w:themeColor="text1"/>
                <w:sz w:val="20"/>
                <w:szCs w:val="20"/>
              </w:rPr>
              <w:t>El parámetro de producción mensual será de treinta y cinco sentencias o medidas alternas o audiencias iniciales por cada plaza de judicatura, si no se logra llegar a esa cantidad con procesos de flagrancia, la Sección deberá colaborar con el procedimiento ordinario del Tribunal.</w:t>
            </w:r>
          </w:p>
        </w:tc>
      </w:tr>
      <w:tr w:rsidR="000A6207" w:rsidRPr="00677475" w14:paraId="3DA04050" w14:textId="77777777" w:rsidTr="00243F14">
        <w:tc>
          <w:tcPr>
            <w:tcW w:w="1838" w:type="dxa"/>
          </w:tcPr>
          <w:p w14:paraId="3F84D9E5" w14:textId="77777777" w:rsidR="000A6207" w:rsidRDefault="000A6207" w:rsidP="00243F14">
            <w:pPr>
              <w:spacing w:line="276" w:lineRule="auto"/>
              <w:jc w:val="center"/>
              <w:rPr>
                <w:rFonts w:ascii="Book Antiqua" w:hAnsi="Book Antiqua"/>
                <w:color w:val="000000" w:themeColor="text1"/>
                <w:sz w:val="20"/>
                <w:szCs w:val="20"/>
              </w:rPr>
            </w:pPr>
          </w:p>
          <w:p w14:paraId="66A80666" w14:textId="77777777" w:rsidR="000A6207" w:rsidRDefault="000A6207" w:rsidP="00243F14">
            <w:pPr>
              <w:spacing w:line="276" w:lineRule="auto"/>
              <w:jc w:val="center"/>
              <w:rPr>
                <w:rFonts w:ascii="Book Antiqua" w:hAnsi="Book Antiqua"/>
                <w:color w:val="000000" w:themeColor="text1"/>
                <w:sz w:val="20"/>
                <w:szCs w:val="20"/>
              </w:rPr>
            </w:pPr>
          </w:p>
          <w:p w14:paraId="570A5996" w14:textId="77777777" w:rsidR="000A6207" w:rsidRDefault="000A6207" w:rsidP="00243F14">
            <w:pPr>
              <w:spacing w:line="276" w:lineRule="auto"/>
              <w:jc w:val="center"/>
              <w:rPr>
                <w:rFonts w:ascii="Book Antiqua" w:hAnsi="Book Antiqua"/>
                <w:color w:val="000000" w:themeColor="text1"/>
                <w:sz w:val="20"/>
                <w:szCs w:val="20"/>
              </w:rPr>
            </w:pPr>
          </w:p>
          <w:p w14:paraId="431BA3DD" w14:textId="77777777" w:rsidR="000A6207" w:rsidRPr="00677475" w:rsidRDefault="000A6207" w:rsidP="00243F14">
            <w:pPr>
              <w:spacing w:line="276" w:lineRule="auto"/>
              <w:jc w:val="center"/>
              <w:rPr>
                <w:rFonts w:ascii="Book Antiqua" w:hAnsi="Book Antiqua"/>
                <w:color w:val="000000" w:themeColor="text1"/>
                <w:sz w:val="20"/>
                <w:szCs w:val="20"/>
              </w:rPr>
            </w:pPr>
            <w:r w:rsidRPr="00677475">
              <w:rPr>
                <w:rFonts w:ascii="Book Antiqua" w:hAnsi="Book Antiqua"/>
                <w:color w:val="000000" w:themeColor="text1"/>
                <w:sz w:val="20"/>
                <w:szCs w:val="20"/>
              </w:rPr>
              <w:t>Apelación</w:t>
            </w:r>
          </w:p>
        </w:tc>
        <w:tc>
          <w:tcPr>
            <w:tcW w:w="3402" w:type="dxa"/>
          </w:tcPr>
          <w:p w14:paraId="166A1CFF" w14:textId="77777777" w:rsidR="000A6207" w:rsidRDefault="000A6207" w:rsidP="00243F14">
            <w:pPr>
              <w:spacing w:line="276" w:lineRule="auto"/>
              <w:jc w:val="center"/>
              <w:rPr>
                <w:rFonts w:ascii="Book Antiqua" w:hAnsi="Book Antiqua"/>
                <w:color w:val="000000" w:themeColor="text1"/>
                <w:sz w:val="20"/>
                <w:szCs w:val="20"/>
              </w:rPr>
            </w:pPr>
          </w:p>
          <w:p w14:paraId="7FE70F97" w14:textId="77777777" w:rsidR="000A6207" w:rsidRDefault="000A6207" w:rsidP="00243F14">
            <w:pPr>
              <w:spacing w:line="276" w:lineRule="auto"/>
              <w:jc w:val="center"/>
              <w:rPr>
                <w:rFonts w:ascii="Book Antiqua" w:hAnsi="Book Antiqua"/>
                <w:color w:val="000000" w:themeColor="text1"/>
                <w:sz w:val="20"/>
                <w:szCs w:val="20"/>
              </w:rPr>
            </w:pPr>
          </w:p>
          <w:p w14:paraId="5E4E1375" w14:textId="77777777" w:rsidR="000A6207" w:rsidRDefault="000A6207" w:rsidP="00243F14">
            <w:pPr>
              <w:spacing w:line="276" w:lineRule="auto"/>
              <w:jc w:val="center"/>
              <w:rPr>
                <w:rFonts w:ascii="Book Antiqua" w:hAnsi="Book Antiqua"/>
                <w:color w:val="000000" w:themeColor="text1"/>
                <w:sz w:val="20"/>
                <w:szCs w:val="20"/>
              </w:rPr>
            </w:pPr>
          </w:p>
          <w:p w14:paraId="744D563A" w14:textId="77777777" w:rsidR="000A6207" w:rsidRPr="00677475" w:rsidRDefault="000A6207" w:rsidP="00243F14">
            <w:pPr>
              <w:spacing w:line="276" w:lineRule="auto"/>
              <w:jc w:val="center"/>
              <w:rPr>
                <w:rFonts w:ascii="Book Antiqua" w:hAnsi="Book Antiqua"/>
                <w:color w:val="000000" w:themeColor="text1"/>
                <w:sz w:val="20"/>
                <w:szCs w:val="20"/>
              </w:rPr>
            </w:pPr>
            <w:r w:rsidRPr="00677475">
              <w:rPr>
                <w:rFonts w:ascii="Book Antiqua" w:hAnsi="Book Antiqua"/>
                <w:color w:val="000000" w:themeColor="text1"/>
                <w:sz w:val="20"/>
                <w:szCs w:val="20"/>
              </w:rPr>
              <w:t>Proyectos de resolución votados</w:t>
            </w:r>
          </w:p>
        </w:tc>
        <w:tc>
          <w:tcPr>
            <w:tcW w:w="4536" w:type="dxa"/>
          </w:tcPr>
          <w:p w14:paraId="55F1F065" w14:textId="77777777" w:rsidR="000A6207" w:rsidRPr="00677475" w:rsidRDefault="000A6207" w:rsidP="00243F14">
            <w:pPr>
              <w:pStyle w:val="Textosinformato"/>
              <w:spacing w:line="276" w:lineRule="auto"/>
              <w:jc w:val="both"/>
              <w:rPr>
                <w:rFonts w:ascii="Book Antiqua" w:hAnsi="Book Antiqua"/>
                <w:color w:val="000000" w:themeColor="text1"/>
                <w:sz w:val="20"/>
                <w:szCs w:val="20"/>
              </w:rPr>
            </w:pPr>
            <w:r w:rsidRPr="00677475">
              <w:rPr>
                <w:rFonts w:ascii="Book Antiqua" w:hAnsi="Book Antiqua"/>
                <w:color w:val="000000" w:themeColor="text1"/>
                <w:sz w:val="20"/>
                <w:szCs w:val="20"/>
              </w:rPr>
              <w:t xml:space="preserve">El parámetro de producción semanal será entre dos y tres proyectos de resolución (Terminado, circulado y votado) por cada plaza de Jueza o Juez, lo cual equivale a 10 mensuales. Posterior a esto, el Consejo Superior en la Sesión 115-2020, artículo VI, ratificó la nueva propuesta de cuotas basadas en datos históricos (Goicoechea 8, San Ramón 8, Cartago 9 y Santa Cruz 10), hasta el que se realice el Rediseño de Procesos en cada una de estas oficinas. </w:t>
            </w:r>
          </w:p>
        </w:tc>
      </w:tr>
      <w:tr w:rsidR="000A6207" w:rsidRPr="00677475" w14:paraId="44B40A4E" w14:textId="77777777" w:rsidTr="00243F14">
        <w:tc>
          <w:tcPr>
            <w:tcW w:w="1838" w:type="dxa"/>
          </w:tcPr>
          <w:p w14:paraId="47D00CF0" w14:textId="77777777" w:rsidR="000A6207" w:rsidRDefault="000A6207" w:rsidP="00243F14">
            <w:pPr>
              <w:spacing w:line="276" w:lineRule="auto"/>
              <w:jc w:val="center"/>
              <w:rPr>
                <w:rFonts w:ascii="Book Antiqua" w:hAnsi="Book Antiqua"/>
                <w:color w:val="000000" w:themeColor="text1"/>
                <w:sz w:val="20"/>
                <w:szCs w:val="20"/>
              </w:rPr>
            </w:pPr>
          </w:p>
          <w:p w14:paraId="138D1ECB" w14:textId="77777777" w:rsidR="000A6207" w:rsidRPr="00677475" w:rsidRDefault="000A6207" w:rsidP="00243F14">
            <w:pPr>
              <w:spacing w:line="276" w:lineRule="auto"/>
              <w:jc w:val="center"/>
              <w:rPr>
                <w:rFonts w:ascii="Book Antiqua" w:hAnsi="Book Antiqua"/>
                <w:color w:val="000000" w:themeColor="text1"/>
                <w:sz w:val="20"/>
                <w:szCs w:val="20"/>
              </w:rPr>
            </w:pPr>
            <w:r w:rsidRPr="00677475">
              <w:rPr>
                <w:rFonts w:ascii="Book Antiqua" w:hAnsi="Book Antiqua"/>
                <w:color w:val="000000" w:themeColor="text1"/>
                <w:sz w:val="20"/>
                <w:szCs w:val="20"/>
              </w:rPr>
              <w:t>Casación</w:t>
            </w:r>
          </w:p>
        </w:tc>
        <w:tc>
          <w:tcPr>
            <w:tcW w:w="3402" w:type="dxa"/>
          </w:tcPr>
          <w:p w14:paraId="27E30FCA" w14:textId="77777777" w:rsidR="000A6207" w:rsidRDefault="000A6207" w:rsidP="00243F14">
            <w:pPr>
              <w:spacing w:line="276" w:lineRule="auto"/>
              <w:jc w:val="center"/>
              <w:rPr>
                <w:rFonts w:ascii="Book Antiqua" w:hAnsi="Book Antiqua"/>
                <w:color w:val="000000" w:themeColor="text1"/>
                <w:sz w:val="20"/>
                <w:szCs w:val="20"/>
              </w:rPr>
            </w:pPr>
          </w:p>
          <w:p w14:paraId="4CE17B25" w14:textId="77777777" w:rsidR="000A6207" w:rsidRPr="00677475" w:rsidRDefault="000A6207" w:rsidP="00243F14">
            <w:pPr>
              <w:spacing w:line="276" w:lineRule="auto"/>
              <w:jc w:val="center"/>
              <w:rPr>
                <w:rFonts w:ascii="Book Antiqua" w:hAnsi="Book Antiqua"/>
                <w:color w:val="000000" w:themeColor="text1"/>
                <w:sz w:val="20"/>
                <w:szCs w:val="20"/>
              </w:rPr>
            </w:pPr>
            <w:r w:rsidRPr="00677475">
              <w:rPr>
                <w:rFonts w:ascii="Book Antiqua" w:hAnsi="Book Antiqua"/>
                <w:color w:val="000000" w:themeColor="text1"/>
                <w:sz w:val="20"/>
                <w:szCs w:val="20"/>
              </w:rPr>
              <w:t>Proyectos de resolución</w:t>
            </w:r>
          </w:p>
        </w:tc>
        <w:tc>
          <w:tcPr>
            <w:tcW w:w="4536" w:type="dxa"/>
          </w:tcPr>
          <w:p w14:paraId="013E0E37" w14:textId="77777777" w:rsidR="000A6207" w:rsidRPr="00677475" w:rsidRDefault="000A6207" w:rsidP="00243F14">
            <w:pPr>
              <w:pStyle w:val="Textosinformato"/>
              <w:spacing w:line="276" w:lineRule="auto"/>
              <w:jc w:val="both"/>
              <w:rPr>
                <w:rFonts w:ascii="Book Antiqua" w:hAnsi="Book Antiqua"/>
                <w:color w:val="000000" w:themeColor="text1"/>
                <w:sz w:val="20"/>
                <w:szCs w:val="20"/>
              </w:rPr>
            </w:pPr>
            <w:r w:rsidRPr="00677475">
              <w:rPr>
                <w:rFonts w:ascii="Book Antiqua" w:hAnsi="Book Antiqua"/>
                <w:color w:val="000000" w:themeColor="text1"/>
                <w:sz w:val="20"/>
                <w:szCs w:val="20"/>
              </w:rPr>
              <w:t>Seguirá brindando sus servicios ordinarios, los letrados tendrán un parámetro de producción de al menos dos proyectos por cada semana laboral, mientras se desarrolla el estudio de carga de trabajo de esa oficina.</w:t>
            </w:r>
          </w:p>
        </w:tc>
      </w:tr>
      <w:tr w:rsidR="000A6207" w:rsidRPr="00677475" w14:paraId="2B63B983" w14:textId="77777777" w:rsidTr="00243F14">
        <w:tc>
          <w:tcPr>
            <w:tcW w:w="1838" w:type="dxa"/>
          </w:tcPr>
          <w:p w14:paraId="49FC2043" w14:textId="77777777" w:rsidR="000A6207" w:rsidRPr="00677475" w:rsidRDefault="000A6207" w:rsidP="00243F14">
            <w:pPr>
              <w:spacing w:line="276" w:lineRule="auto"/>
              <w:jc w:val="center"/>
              <w:rPr>
                <w:rFonts w:ascii="Book Antiqua" w:hAnsi="Book Antiqua"/>
                <w:color w:val="000000" w:themeColor="text1"/>
                <w:sz w:val="20"/>
                <w:szCs w:val="20"/>
              </w:rPr>
            </w:pPr>
            <w:r w:rsidRPr="00677475">
              <w:rPr>
                <w:rFonts w:ascii="Book Antiqua" w:hAnsi="Book Antiqua"/>
                <w:color w:val="000000" w:themeColor="text1"/>
                <w:sz w:val="20"/>
                <w:szCs w:val="20"/>
              </w:rPr>
              <w:t>Ejecución de la pena</w:t>
            </w:r>
          </w:p>
        </w:tc>
        <w:tc>
          <w:tcPr>
            <w:tcW w:w="3402" w:type="dxa"/>
          </w:tcPr>
          <w:p w14:paraId="686E8C0B" w14:textId="77777777" w:rsidR="000A6207" w:rsidRPr="00677475" w:rsidRDefault="000A6207" w:rsidP="00243F14">
            <w:pPr>
              <w:spacing w:line="276" w:lineRule="auto"/>
              <w:jc w:val="center"/>
              <w:rPr>
                <w:rFonts w:ascii="Book Antiqua" w:hAnsi="Book Antiqua"/>
                <w:color w:val="000000" w:themeColor="text1"/>
                <w:sz w:val="20"/>
                <w:szCs w:val="20"/>
              </w:rPr>
            </w:pPr>
            <w:r w:rsidRPr="00677475">
              <w:rPr>
                <w:rFonts w:ascii="Book Antiqua" w:hAnsi="Book Antiqua"/>
                <w:color w:val="000000" w:themeColor="text1"/>
                <w:sz w:val="20"/>
                <w:szCs w:val="20"/>
              </w:rPr>
              <w:t>Firma de resoluciones</w:t>
            </w:r>
            <w:r>
              <w:rPr>
                <w:rFonts w:ascii="Book Antiqua" w:hAnsi="Book Antiqua"/>
                <w:color w:val="000000" w:themeColor="text1"/>
                <w:sz w:val="20"/>
                <w:szCs w:val="20"/>
              </w:rPr>
              <w:t xml:space="preserve"> (expedientes)</w:t>
            </w:r>
            <w:r w:rsidRPr="00677475">
              <w:rPr>
                <w:rFonts w:ascii="Book Antiqua" w:hAnsi="Book Antiqua"/>
                <w:color w:val="000000" w:themeColor="text1"/>
                <w:sz w:val="20"/>
                <w:szCs w:val="20"/>
              </w:rPr>
              <w:t xml:space="preserve"> y Asuntos terminados</w:t>
            </w:r>
          </w:p>
        </w:tc>
        <w:tc>
          <w:tcPr>
            <w:tcW w:w="4536" w:type="dxa"/>
          </w:tcPr>
          <w:p w14:paraId="73FF7CCD" w14:textId="77777777" w:rsidR="000A6207" w:rsidRPr="00677475" w:rsidRDefault="000A6207" w:rsidP="00243F14">
            <w:pPr>
              <w:spacing w:line="276" w:lineRule="auto"/>
              <w:jc w:val="both"/>
              <w:rPr>
                <w:rFonts w:ascii="Book Antiqua" w:hAnsi="Book Antiqua"/>
                <w:color w:val="000000" w:themeColor="text1"/>
                <w:sz w:val="20"/>
                <w:szCs w:val="20"/>
              </w:rPr>
            </w:pPr>
            <w:r w:rsidRPr="00677475">
              <w:rPr>
                <w:rFonts w:ascii="Book Antiqua" w:hAnsi="Book Antiqua"/>
                <w:color w:val="000000" w:themeColor="text1"/>
                <w:sz w:val="20"/>
                <w:szCs w:val="20"/>
              </w:rPr>
              <w:t>Tendrán un parámetro diario de cuatro asuntos terminados por cada plaza de judicatura y ocho proyectos diarios de resolución por cada plaza de Técnica o Técnico Judicial.</w:t>
            </w:r>
          </w:p>
        </w:tc>
      </w:tr>
    </w:tbl>
    <w:p w14:paraId="2BD0A5F1" w14:textId="77777777" w:rsidR="000A6207" w:rsidRPr="004F0E92" w:rsidRDefault="000A6207" w:rsidP="000A6207">
      <w:pPr>
        <w:spacing w:line="276" w:lineRule="auto"/>
        <w:rPr>
          <w:rFonts w:ascii="Book Antiqua" w:hAnsi="Book Antiqua"/>
          <w:b/>
          <w:color w:val="000000" w:themeColor="text1"/>
        </w:rPr>
      </w:pPr>
    </w:p>
    <w:p w14:paraId="7E7ACFBC" w14:textId="77777777" w:rsidR="000A6207" w:rsidRPr="004F0E92" w:rsidRDefault="000A6207" w:rsidP="000A6207">
      <w:pPr>
        <w:spacing w:line="276" w:lineRule="auto"/>
        <w:rPr>
          <w:rFonts w:ascii="Book Antiqua" w:hAnsi="Book Antiqua"/>
          <w:color w:val="000000" w:themeColor="text1"/>
        </w:rPr>
      </w:pPr>
      <w:r w:rsidRPr="004F0E92">
        <w:rPr>
          <w:rFonts w:ascii="Book Antiqua" w:hAnsi="Book Antiqua"/>
          <w:color w:val="000000" w:themeColor="text1"/>
        </w:rPr>
        <w:t>A continuación, se muestran los resultados de materia Penal:</w:t>
      </w:r>
    </w:p>
    <w:p w14:paraId="4880608C" w14:textId="77777777" w:rsidR="000A6207" w:rsidRDefault="000A6207" w:rsidP="000A6207">
      <w:pPr>
        <w:spacing w:line="276" w:lineRule="auto"/>
        <w:rPr>
          <w:rFonts w:ascii="Book Antiqua" w:hAnsi="Book Antiqua"/>
          <w:b/>
          <w:color w:val="000000" w:themeColor="text1"/>
        </w:rPr>
      </w:pPr>
    </w:p>
    <w:p w14:paraId="0004C171" w14:textId="7C5F2C7F" w:rsidR="00A0115C" w:rsidRDefault="00A0115C">
      <w:pPr>
        <w:rPr>
          <w:rFonts w:ascii="Book Antiqua" w:hAnsi="Book Antiqua"/>
          <w:b/>
          <w:color w:val="000000" w:themeColor="text1"/>
        </w:rPr>
      </w:pPr>
      <w:r>
        <w:rPr>
          <w:rFonts w:ascii="Book Antiqua" w:hAnsi="Book Antiqua"/>
          <w:b/>
          <w:color w:val="000000" w:themeColor="text1"/>
        </w:rPr>
        <w:br w:type="page"/>
      </w:r>
    </w:p>
    <w:p w14:paraId="6A3B0D97" w14:textId="77777777" w:rsidR="000A6207" w:rsidRPr="004F0E92" w:rsidRDefault="000A6207" w:rsidP="000A6207">
      <w:pPr>
        <w:spacing w:line="276" w:lineRule="auto"/>
        <w:rPr>
          <w:rFonts w:ascii="Book Antiqua" w:hAnsi="Book Antiqua"/>
          <w:b/>
          <w:color w:val="000000" w:themeColor="text1"/>
        </w:rPr>
      </w:pPr>
    </w:p>
    <w:p w14:paraId="517DB2B7" w14:textId="2D2E8CE8" w:rsidR="000A6207" w:rsidRPr="00EF7D33" w:rsidRDefault="128B7E9E" w:rsidP="57A79FF7">
      <w:pPr>
        <w:spacing w:after="160" w:line="276" w:lineRule="auto"/>
        <w:contextualSpacing/>
        <w:outlineLvl w:val="1"/>
        <w:rPr>
          <w:b/>
          <w:color w:val="000000" w:themeColor="text1"/>
        </w:rPr>
      </w:pPr>
      <w:r w:rsidRPr="57A79FF7">
        <w:rPr>
          <w:rFonts w:ascii="Book Antiqua" w:hAnsi="Book Antiqua"/>
          <w:b/>
          <w:bCs/>
          <w:color w:val="000000" w:themeColor="text1"/>
        </w:rPr>
        <w:t xml:space="preserve">7.2.1 </w:t>
      </w:r>
      <w:r w:rsidR="000A6207" w:rsidRPr="00EF7D33">
        <w:rPr>
          <w:rFonts w:ascii="Book Antiqua" w:hAnsi="Book Antiqua"/>
          <w:b/>
          <w:color w:val="000000" w:themeColor="text1"/>
        </w:rPr>
        <w:t>Juzgados Penales</w:t>
      </w:r>
    </w:p>
    <w:p w14:paraId="6A17DA16" w14:textId="77777777" w:rsidR="00EF7D33" w:rsidRPr="00EF7D33" w:rsidRDefault="00EF7D33" w:rsidP="00EF7D33">
      <w:pPr>
        <w:spacing w:line="276" w:lineRule="auto"/>
        <w:jc w:val="both"/>
        <w:rPr>
          <w:rFonts w:ascii="Book Antiqua" w:hAnsi="Book Antiqua"/>
          <w:color w:val="000000"/>
        </w:rPr>
      </w:pPr>
      <w:r w:rsidRPr="00EF7D33">
        <w:rPr>
          <w:rFonts w:ascii="Book Antiqua" w:hAnsi="Book Antiqua"/>
          <w:color w:val="000000"/>
        </w:rPr>
        <w:t xml:space="preserve">Los Juzgados Penales, tiene un promedio general a nivel nacional de cumplimiento de un 114% del parámetro de producción. Se observa que el juzgado con mayor cumplimiento es San Carlos (548%) y el de menor cumplimiento Buenos Aires (9%). </w:t>
      </w:r>
    </w:p>
    <w:p w14:paraId="07A6EB6F" w14:textId="0D47D929" w:rsidR="000A6207" w:rsidRPr="006470CC" w:rsidRDefault="000A6207" w:rsidP="000A6207">
      <w:pPr>
        <w:spacing w:line="276" w:lineRule="auto"/>
        <w:jc w:val="both"/>
        <w:rPr>
          <w:rFonts w:ascii="Book Antiqua" w:hAnsi="Book Antiqua"/>
          <w:color w:val="000000"/>
          <w:highlight w:val="magenta"/>
        </w:rPr>
      </w:pPr>
    </w:p>
    <w:p w14:paraId="29A2A6A4" w14:textId="77777777" w:rsidR="000A6207" w:rsidRPr="00EF7D33" w:rsidRDefault="000A6207" w:rsidP="000A6207">
      <w:pPr>
        <w:spacing w:line="276" w:lineRule="auto"/>
        <w:jc w:val="both"/>
        <w:rPr>
          <w:rFonts w:ascii="Book Antiqua" w:hAnsi="Book Antiqua"/>
          <w:color w:val="000000"/>
        </w:rPr>
      </w:pPr>
      <w:r w:rsidRPr="00EF7D33">
        <w:rPr>
          <w:rFonts w:ascii="Book Antiqua" w:hAnsi="Book Antiqua"/>
          <w:color w:val="000000"/>
        </w:rPr>
        <w:t>En el siguiente cuadro se aprecia el detalle:</w:t>
      </w:r>
    </w:p>
    <w:p w14:paraId="5FDFA696" w14:textId="77777777" w:rsidR="000A6207" w:rsidRPr="00EF7D33" w:rsidRDefault="000A6207" w:rsidP="000A6207">
      <w:pPr>
        <w:spacing w:line="276" w:lineRule="auto"/>
        <w:jc w:val="both"/>
        <w:rPr>
          <w:rFonts w:ascii="Book Antiqua" w:hAnsi="Book Antiqua"/>
          <w:color w:val="000000" w:themeColor="text1"/>
        </w:rPr>
      </w:pPr>
    </w:p>
    <w:p w14:paraId="2206AD7F" w14:textId="7322CD8E" w:rsidR="000A6207" w:rsidRPr="00EF7D33" w:rsidRDefault="000A6207" w:rsidP="000A6207">
      <w:pPr>
        <w:spacing w:line="276" w:lineRule="auto"/>
        <w:jc w:val="center"/>
        <w:rPr>
          <w:rFonts w:ascii="Book Antiqua" w:hAnsi="Book Antiqua"/>
          <w:b/>
          <w:color w:val="000000" w:themeColor="text1"/>
        </w:rPr>
      </w:pPr>
      <w:r w:rsidRPr="00EF7D33">
        <w:rPr>
          <w:rFonts w:ascii="Book Antiqua" w:hAnsi="Book Antiqua"/>
          <w:b/>
          <w:color w:val="000000" w:themeColor="text1"/>
        </w:rPr>
        <w:t xml:space="preserve">Cuadro </w:t>
      </w:r>
      <w:r w:rsidR="000B1CF8">
        <w:rPr>
          <w:rFonts w:ascii="Book Antiqua" w:hAnsi="Book Antiqua"/>
          <w:b/>
          <w:color w:val="000000" w:themeColor="text1"/>
        </w:rPr>
        <w:t>68</w:t>
      </w:r>
    </w:p>
    <w:p w14:paraId="753AB547" w14:textId="77777777" w:rsidR="000A6207" w:rsidRPr="00EF7D33" w:rsidRDefault="000A6207" w:rsidP="000A6207">
      <w:pPr>
        <w:spacing w:line="276" w:lineRule="auto"/>
        <w:jc w:val="center"/>
        <w:rPr>
          <w:rFonts w:ascii="Book Antiqua" w:hAnsi="Book Antiqua"/>
          <w:bCs/>
          <w:color w:val="000000" w:themeColor="text1"/>
        </w:rPr>
      </w:pPr>
      <w:r w:rsidRPr="00EF7D33">
        <w:rPr>
          <w:rFonts w:ascii="Book Antiqua" w:hAnsi="Book Antiqua"/>
          <w:bCs/>
          <w:color w:val="000000" w:themeColor="text1"/>
        </w:rPr>
        <w:t xml:space="preserve">Cumplimiento del parámetro de producción </w:t>
      </w:r>
    </w:p>
    <w:p w14:paraId="68496452" w14:textId="5C751F9A" w:rsidR="000A6207" w:rsidRDefault="000A6207" w:rsidP="000A6207">
      <w:pPr>
        <w:spacing w:line="276" w:lineRule="auto"/>
        <w:jc w:val="center"/>
        <w:rPr>
          <w:rFonts w:ascii="Book Antiqua" w:hAnsi="Book Antiqua"/>
          <w:bCs/>
          <w:color w:val="000000" w:themeColor="text1"/>
        </w:rPr>
      </w:pPr>
      <w:r w:rsidRPr="00EF7D33">
        <w:rPr>
          <w:rFonts w:ascii="Book Antiqua" w:hAnsi="Book Antiqua"/>
          <w:bCs/>
          <w:color w:val="000000" w:themeColor="text1"/>
        </w:rPr>
        <w:t xml:space="preserve">teórico de Juzgados Penales durante </w:t>
      </w:r>
      <w:r w:rsidR="006470CC" w:rsidRPr="00EF7D33">
        <w:rPr>
          <w:rFonts w:ascii="Book Antiqua" w:hAnsi="Book Antiqua"/>
          <w:bCs/>
          <w:color w:val="000000" w:themeColor="text1"/>
        </w:rPr>
        <w:t>agosto</w:t>
      </w:r>
      <w:r w:rsidRPr="00EF7D33">
        <w:rPr>
          <w:rFonts w:ascii="Book Antiqua" w:hAnsi="Book Antiqua"/>
          <w:bCs/>
          <w:color w:val="000000" w:themeColor="text1"/>
        </w:rPr>
        <w:t xml:space="preserve"> 2021</w:t>
      </w:r>
    </w:p>
    <w:tbl>
      <w:tblPr>
        <w:tblW w:w="7596" w:type="dxa"/>
        <w:jc w:val="center"/>
        <w:tblCellMar>
          <w:left w:w="70" w:type="dxa"/>
          <w:right w:w="70" w:type="dxa"/>
        </w:tblCellMar>
        <w:tblLook w:val="04A0" w:firstRow="1" w:lastRow="0" w:firstColumn="1" w:lastColumn="0" w:noHBand="0" w:noVBand="1"/>
      </w:tblPr>
      <w:tblGrid>
        <w:gridCol w:w="5336"/>
        <w:gridCol w:w="2260"/>
      </w:tblGrid>
      <w:tr w:rsidR="003E16F3" w:rsidRPr="00EF7D33" w14:paraId="722CEE43" w14:textId="77777777" w:rsidTr="00EF7D33">
        <w:trPr>
          <w:trHeight w:val="1510"/>
          <w:jc w:val="center"/>
        </w:trPr>
        <w:tc>
          <w:tcPr>
            <w:tcW w:w="5336" w:type="dxa"/>
            <w:tcBorders>
              <w:top w:val="single" w:sz="4" w:space="0" w:color="808080"/>
              <w:left w:val="single" w:sz="4" w:space="0" w:color="808080"/>
              <w:bottom w:val="single" w:sz="4" w:space="0" w:color="808080"/>
              <w:right w:val="single" w:sz="4" w:space="0" w:color="808080"/>
            </w:tcBorders>
            <w:shd w:val="clear" w:color="000000" w:fill="305496"/>
            <w:noWrap/>
            <w:vAlign w:val="center"/>
            <w:hideMark/>
          </w:tcPr>
          <w:p w14:paraId="1F27A29D" w14:textId="77777777" w:rsidR="003E16F3" w:rsidRPr="00EF7D33" w:rsidRDefault="003E16F3" w:rsidP="003E16F3">
            <w:pPr>
              <w:jc w:val="center"/>
              <w:rPr>
                <w:rFonts w:ascii="Book Antiqua" w:hAnsi="Book Antiqua" w:cs="Calibri"/>
                <w:b/>
                <w:bCs/>
                <w:color w:val="FFFFFF"/>
                <w:sz w:val="16"/>
                <w:szCs w:val="16"/>
                <w:lang w:eastAsia="es-CR"/>
              </w:rPr>
            </w:pPr>
            <w:r w:rsidRPr="00EF7D33">
              <w:rPr>
                <w:rFonts w:ascii="Book Antiqua" w:hAnsi="Book Antiqua" w:cs="Calibri"/>
                <w:b/>
                <w:bCs/>
                <w:color w:val="FFFFFF"/>
                <w:sz w:val="16"/>
                <w:szCs w:val="16"/>
                <w:lang w:eastAsia="es-CR"/>
              </w:rPr>
              <w:t>Oficina</w:t>
            </w:r>
          </w:p>
        </w:tc>
        <w:tc>
          <w:tcPr>
            <w:tcW w:w="2260" w:type="dxa"/>
            <w:tcBorders>
              <w:top w:val="single" w:sz="4" w:space="0" w:color="808080"/>
              <w:left w:val="nil"/>
              <w:bottom w:val="single" w:sz="4" w:space="0" w:color="808080"/>
              <w:right w:val="single" w:sz="4" w:space="0" w:color="808080"/>
            </w:tcBorders>
            <w:shd w:val="clear" w:color="000000" w:fill="305496"/>
            <w:vAlign w:val="center"/>
            <w:hideMark/>
          </w:tcPr>
          <w:p w14:paraId="4E962C43" w14:textId="5103DA6B" w:rsidR="003E16F3" w:rsidRPr="00EF7D33" w:rsidRDefault="003E16F3" w:rsidP="003E16F3">
            <w:pPr>
              <w:jc w:val="center"/>
              <w:rPr>
                <w:rFonts w:ascii="Book Antiqua" w:hAnsi="Book Antiqua" w:cs="Calibri"/>
                <w:b/>
                <w:bCs/>
                <w:color w:val="FFFFFF"/>
                <w:sz w:val="16"/>
                <w:szCs w:val="16"/>
                <w:lang w:eastAsia="es-CR"/>
              </w:rPr>
            </w:pPr>
            <w:r w:rsidRPr="00EF7D33">
              <w:rPr>
                <w:rFonts w:ascii="Book Antiqua" w:hAnsi="Book Antiqua" w:cs="Calibri"/>
                <w:b/>
                <w:bCs/>
                <w:color w:val="FFFFFF"/>
                <w:sz w:val="16"/>
                <w:szCs w:val="16"/>
                <w:lang w:eastAsia="es-CR"/>
              </w:rPr>
              <w:t>Porcentaje de cumplimiento / desestimación / sobreseimientos / acusación</w:t>
            </w:r>
          </w:p>
        </w:tc>
      </w:tr>
      <w:tr w:rsidR="003E16F3" w:rsidRPr="00EF7D33" w14:paraId="7A2C325B" w14:textId="77777777" w:rsidTr="00EF7D33">
        <w:trPr>
          <w:trHeight w:val="290"/>
          <w:jc w:val="center"/>
        </w:trPr>
        <w:tc>
          <w:tcPr>
            <w:tcW w:w="5336" w:type="dxa"/>
            <w:tcBorders>
              <w:top w:val="nil"/>
              <w:left w:val="single" w:sz="4" w:space="0" w:color="808080"/>
              <w:bottom w:val="single" w:sz="4" w:space="0" w:color="808080"/>
              <w:right w:val="single" w:sz="4" w:space="0" w:color="808080"/>
            </w:tcBorders>
            <w:shd w:val="clear" w:color="auto" w:fill="auto"/>
            <w:noWrap/>
            <w:vAlign w:val="bottom"/>
            <w:hideMark/>
          </w:tcPr>
          <w:p w14:paraId="40BD7E12" w14:textId="494E1174" w:rsidR="003E16F3" w:rsidRPr="00EF7D33" w:rsidRDefault="003E16F3" w:rsidP="003E16F3">
            <w:pPr>
              <w:rPr>
                <w:rFonts w:ascii="Book Antiqua" w:hAnsi="Book Antiqua" w:cs="Calibri"/>
                <w:color w:val="000000"/>
                <w:sz w:val="16"/>
                <w:szCs w:val="16"/>
                <w:lang w:eastAsia="es-CR"/>
              </w:rPr>
            </w:pPr>
            <w:r w:rsidRPr="00EF7D33">
              <w:rPr>
                <w:rFonts w:ascii="Book Antiqua" w:hAnsi="Book Antiqua" w:cs="Calibri"/>
                <w:color w:val="000000"/>
                <w:sz w:val="16"/>
                <w:szCs w:val="16"/>
                <w:lang w:eastAsia="es-CR"/>
              </w:rPr>
              <w:t>Juzgado Penal del I</w:t>
            </w:r>
            <w:r w:rsidR="009A34EB">
              <w:rPr>
                <w:rFonts w:ascii="Book Antiqua" w:hAnsi="Book Antiqua" w:cs="Calibri"/>
                <w:color w:val="000000"/>
                <w:sz w:val="16"/>
                <w:szCs w:val="16"/>
                <w:lang w:eastAsia="es-CR"/>
              </w:rPr>
              <w:t>I</w:t>
            </w:r>
            <w:r w:rsidRPr="00EF7D33">
              <w:rPr>
                <w:rFonts w:ascii="Book Antiqua" w:hAnsi="Book Antiqua" w:cs="Calibri"/>
                <w:color w:val="000000"/>
                <w:sz w:val="16"/>
                <w:szCs w:val="16"/>
                <w:lang w:eastAsia="es-CR"/>
              </w:rPr>
              <w:t xml:space="preserve"> Circuito Judicial de Alajuela</w:t>
            </w:r>
          </w:p>
        </w:tc>
        <w:tc>
          <w:tcPr>
            <w:tcW w:w="2260" w:type="dxa"/>
            <w:tcBorders>
              <w:top w:val="nil"/>
              <w:left w:val="nil"/>
              <w:bottom w:val="single" w:sz="4" w:space="0" w:color="808080"/>
              <w:right w:val="single" w:sz="4" w:space="0" w:color="808080"/>
            </w:tcBorders>
            <w:shd w:val="clear" w:color="auto" w:fill="auto"/>
            <w:noWrap/>
            <w:vAlign w:val="bottom"/>
            <w:hideMark/>
          </w:tcPr>
          <w:p w14:paraId="409A4A96" w14:textId="77777777" w:rsidR="003E16F3" w:rsidRPr="00EF7D33" w:rsidRDefault="003E16F3" w:rsidP="003E16F3">
            <w:pPr>
              <w:jc w:val="center"/>
              <w:rPr>
                <w:rFonts w:ascii="Book Antiqua" w:hAnsi="Book Antiqua" w:cs="Calibri"/>
                <w:color w:val="000000"/>
                <w:sz w:val="16"/>
                <w:szCs w:val="16"/>
                <w:lang w:eastAsia="es-CR"/>
              </w:rPr>
            </w:pPr>
            <w:r w:rsidRPr="00EF7D33">
              <w:rPr>
                <w:rFonts w:ascii="Book Antiqua" w:hAnsi="Book Antiqua" w:cs="Calibri"/>
                <w:color w:val="000000"/>
                <w:sz w:val="16"/>
                <w:szCs w:val="16"/>
                <w:lang w:eastAsia="es-CR"/>
              </w:rPr>
              <w:t>548 %</w:t>
            </w:r>
          </w:p>
        </w:tc>
      </w:tr>
      <w:tr w:rsidR="003E16F3" w:rsidRPr="00EF7D33" w14:paraId="58C1F862" w14:textId="77777777" w:rsidTr="00EF7D33">
        <w:trPr>
          <w:trHeight w:val="290"/>
          <w:jc w:val="center"/>
        </w:trPr>
        <w:tc>
          <w:tcPr>
            <w:tcW w:w="5336" w:type="dxa"/>
            <w:tcBorders>
              <w:top w:val="nil"/>
              <w:left w:val="single" w:sz="4" w:space="0" w:color="808080"/>
              <w:bottom w:val="single" w:sz="4" w:space="0" w:color="808080"/>
              <w:right w:val="single" w:sz="4" w:space="0" w:color="808080"/>
            </w:tcBorders>
            <w:shd w:val="clear" w:color="auto" w:fill="auto"/>
            <w:noWrap/>
            <w:vAlign w:val="bottom"/>
            <w:hideMark/>
          </w:tcPr>
          <w:p w14:paraId="0C94D369" w14:textId="77777777" w:rsidR="003E16F3" w:rsidRPr="00EF7D33" w:rsidRDefault="003E16F3" w:rsidP="003E16F3">
            <w:pPr>
              <w:rPr>
                <w:rFonts w:ascii="Book Antiqua" w:hAnsi="Book Antiqua" w:cs="Calibri"/>
                <w:color w:val="000000"/>
                <w:sz w:val="16"/>
                <w:szCs w:val="16"/>
                <w:lang w:eastAsia="es-CR"/>
              </w:rPr>
            </w:pPr>
            <w:r w:rsidRPr="00EF7D33">
              <w:rPr>
                <w:rFonts w:ascii="Book Antiqua" w:hAnsi="Book Antiqua" w:cs="Calibri"/>
                <w:color w:val="000000"/>
                <w:sz w:val="16"/>
                <w:szCs w:val="16"/>
                <w:lang w:eastAsia="es-CR"/>
              </w:rPr>
              <w:t>Juzgado Penal del I Circuito Judicial de Guanacaste</w:t>
            </w:r>
          </w:p>
        </w:tc>
        <w:tc>
          <w:tcPr>
            <w:tcW w:w="2260" w:type="dxa"/>
            <w:tcBorders>
              <w:top w:val="nil"/>
              <w:left w:val="nil"/>
              <w:bottom w:val="single" w:sz="4" w:space="0" w:color="808080"/>
              <w:right w:val="single" w:sz="4" w:space="0" w:color="808080"/>
            </w:tcBorders>
            <w:shd w:val="clear" w:color="auto" w:fill="auto"/>
            <w:noWrap/>
            <w:vAlign w:val="bottom"/>
            <w:hideMark/>
          </w:tcPr>
          <w:p w14:paraId="447F0A7B" w14:textId="77777777" w:rsidR="003E16F3" w:rsidRPr="00EF7D33" w:rsidRDefault="003E16F3" w:rsidP="003E16F3">
            <w:pPr>
              <w:jc w:val="center"/>
              <w:rPr>
                <w:rFonts w:ascii="Book Antiqua" w:hAnsi="Book Antiqua" w:cs="Calibri"/>
                <w:color w:val="000000"/>
                <w:sz w:val="16"/>
                <w:szCs w:val="16"/>
                <w:lang w:eastAsia="es-CR"/>
              </w:rPr>
            </w:pPr>
            <w:r w:rsidRPr="00EF7D33">
              <w:rPr>
                <w:rFonts w:ascii="Book Antiqua" w:hAnsi="Book Antiqua" w:cs="Calibri"/>
                <w:color w:val="000000"/>
                <w:sz w:val="16"/>
                <w:szCs w:val="16"/>
                <w:lang w:eastAsia="es-CR"/>
              </w:rPr>
              <w:t>339 %</w:t>
            </w:r>
          </w:p>
        </w:tc>
      </w:tr>
      <w:tr w:rsidR="003E16F3" w:rsidRPr="00EF7D33" w14:paraId="07C775BC" w14:textId="77777777" w:rsidTr="00EF7D33">
        <w:trPr>
          <w:trHeight w:val="290"/>
          <w:jc w:val="center"/>
        </w:trPr>
        <w:tc>
          <w:tcPr>
            <w:tcW w:w="5336" w:type="dxa"/>
            <w:tcBorders>
              <w:top w:val="nil"/>
              <w:left w:val="single" w:sz="4" w:space="0" w:color="808080"/>
              <w:bottom w:val="single" w:sz="4" w:space="0" w:color="808080"/>
              <w:right w:val="single" w:sz="4" w:space="0" w:color="808080"/>
            </w:tcBorders>
            <w:shd w:val="clear" w:color="auto" w:fill="auto"/>
            <w:noWrap/>
            <w:vAlign w:val="bottom"/>
            <w:hideMark/>
          </w:tcPr>
          <w:p w14:paraId="2462B06E" w14:textId="77777777" w:rsidR="003E16F3" w:rsidRPr="00EF7D33" w:rsidRDefault="003E16F3" w:rsidP="003E16F3">
            <w:pPr>
              <w:rPr>
                <w:rFonts w:ascii="Book Antiqua" w:hAnsi="Book Antiqua" w:cs="Calibri"/>
                <w:color w:val="000000"/>
                <w:sz w:val="16"/>
                <w:szCs w:val="16"/>
                <w:lang w:eastAsia="es-CR"/>
              </w:rPr>
            </w:pPr>
            <w:r w:rsidRPr="00EF7D33">
              <w:rPr>
                <w:rFonts w:ascii="Book Antiqua" w:hAnsi="Book Antiqua" w:cs="Calibri"/>
                <w:color w:val="000000"/>
                <w:sz w:val="16"/>
                <w:szCs w:val="16"/>
                <w:lang w:eastAsia="es-CR"/>
              </w:rPr>
              <w:t>Juzgado Penal de Grecia</w:t>
            </w:r>
          </w:p>
        </w:tc>
        <w:tc>
          <w:tcPr>
            <w:tcW w:w="2260" w:type="dxa"/>
            <w:tcBorders>
              <w:top w:val="nil"/>
              <w:left w:val="nil"/>
              <w:bottom w:val="single" w:sz="4" w:space="0" w:color="808080"/>
              <w:right w:val="single" w:sz="4" w:space="0" w:color="808080"/>
            </w:tcBorders>
            <w:shd w:val="clear" w:color="auto" w:fill="auto"/>
            <w:noWrap/>
            <w:vAlign w:val="bottom"/>
            <w:hideMark/>
          </w:tcPr>
          <w:p w14:paraId="791723DB" w14:textId="77777777" w:rsidR="003E16F3" w:rsidRPr="00EF7D33" w:rsidRDefault="003E16F3" w:rsidP="003E16F3">
            <w:pPr>
              <w:jc w:val="center"/>
              <w:rPr>
                <w:rFonts w:ascii="Book Antiqua" w:hAnsi="Book Antiqua" w:cs="Calibri"/>
                <w:color w:val="000000"/>
                <w:sz w:val="16"/>
                <w:szCs w:val="16"/>
                <w:lang w:eastAsia="es-CR"/>
              </w:rPr>
            </w:pPr>
            <w:r w:rsidRPr="00EF7D33">
              <w:rPr>
                <w:rFonts w:ascii="Book Antiqua" w:hAnsi="Book Antiqua" w:cs="Calibri"/>
                <w:color w:val="000000"/>
                <w:sz w:val="16"/>
                <w:szCs w:val="16"/>
                <w:lang w:eastAsia="es-CR"/>
              </w:rPr>
              <w:t>240 %</w:t>
            </w:r>
          </w:p>
        </w:tc>
      </w:tr>
      <w:tr w:rsidR="003E16F3" w:rsidRPr="00EF7D33" w14:paraId="653315CB" w14:textId="77777777" w:rsidTr="00EF7D33">
        <w:trPr>
          <w:trHeight w:val="290"/>
          <w:jc w:val="center"/>
        </w:trPr>
        <w:tc>
          <w:tcPr>
            <w:tcW w:w="5336" w:type="dxa"/>
            <w:tcBorders>
              <w:top w:val="nil"/>
              <w:left w:val="single" w:sz="4" w:space="0" w:color="808080"/>
              <w:bottom w:val="single" w:sz="4" w:space="0" w:color="808080"/>
              <w:right w:val="single" w:sz="4" w:space="0" w:color="808080"/>
            </w:tcBorders>
            <w:shd w:val="clear" w:color="auto" w:fill="auto"/>
            <w:noWrap/>
            <w:vAlign w:val="bottom"/>
            <w:hideMark/>
          </w:tcPr>
          <w:p w14:paraId="09FC5370" w14:textId="77777777" w:rsidR="003E16F3" w:rsidRPr="00EF7D33" w:rsidRDefault="003E16F3" w:rsidP="003E16F3">
            <w:pPr>
              <w:rPr>
                <w:rFonts w:ascii="Book Antiqua" w:hAnsi="Book Antiqua" w:cs="Calibri"/>
                <w:color w:val="000000"/>
                <w:sz w:val="16"/>
                <w:szCs w:val="16"/>
                <w:lang w:eastAsia="es-CR"/>
              </w:rPr>
            </w:pPr>
            <w:r w:rsidRPr="00EF7D33">
              <w:rPr>
                <w:rFonts w:ascii="Book Antiqua" w:hAnsi="Book Antiqua" w:cs="Calibri"/>
                <w:color w:val="000000"/>
                <w:sz w:val="16"/>
                <w:szCs w:val="16"/>
                <w:lang w:eastAsia="es-CR"/>
              </w:rPr>
              <w:t xml:space="preserve">Juzgado Penal de Santa Cruz </w:t>
            </w:r>
          </w:p>
        </w:tc>
        <w:tc>
          <w:tcPr>
            <w:tcW w:w="2260" w:type="dxa"/>
            <w:tcBorders>
              <w:top w:val="nil"/>
              <w:left w:val="nil"/>
              <w:bottom w:val="single" w:sz="4" w:space="0" w:color="808080"/>
              <w:right w:val="single" w:sz="4" w:space="0" w:color="808080"/>
            </w:tcBorders>
            <w:shd w:val="clear" w:color="auto" w:fill="auto"/>
            <w:noWrap/>
            <w:vAlign w:val="bottom"/>
            <w:hideMark/>
          </w:tcPr>
          <w:p w14:paraId="3019B49F" w14:textId="77777777" w:rsidR="003E16F3" w:rsidRPr="00EF7D33" w:rsidRDefault="003E16F3" w:rsidP="003E16F3">
            <w:pPr>
              <w:jc w:val="center"/>
              <w:rPr>
                <w:rFonts w:ascii="Book Antiqua" w:hAnsi="Book Antiqua" w:cs="Calibri"/>
                <w:color w:val="000000"/>
                <w:sz w:val="16"/>
                <w:szCs w:val="16"/>
                <w:lang w:eastAsia="es-CR"/>
              </w:rPr>
            </w:pPr>
            <w:r w:rsidRPr="00EF7D33">
              <w:rPr>
                <w:rFonts w:ascii="Book Antiqua" w:hAnsi="Book Antiqua" w:cs="Calibri"/>
                <w:color w:val="000000"/>
                <w:sz w:val="16"/>
                <w:szCs w:val="16"/>
                <w:lang w:eastAsia="es-CR"/>
              </w:rPr>
              <w:t>231 %</w:t>
            </w:r>
          </w:p>
        </w:tc>
      </w:tr>
      <w:tr w:rsidR="003E16F3" w:rsidRPr="00EF7D33" w14:paraId="288C6F0A" w14:textId="77777777" w:rsidTr="00EF7D33">
        <w:trPr>
          <w:trHeight w:val="290"/>
          <w:jc w:val="center"/>
        </w:trPr>
        <w:tc>
          <w:tcPr>
            <w:tcW w:w="5336" w:type="dxa"/>
            <w:tcBorders>
              <w:top w:val="nil"/>
              <w:left w:val="single" w:sz="4" w:space="0" w:color="808080"/>
              <w:bottom w:val="single" w:sz="4" w:space="0" w:color="808080"/>
              <w:right w:val="single" w:sz="4" w:space="0" w:color="808080"/>
            </w:tcBorders>
            <w:shd w:val="clear" w:color="auto" w:fill="auto"/>
            <w:noWrap/>
            <w:vAlign w:val="bottom"/>
            <w:hideMark/>
          </w:tcPr>
          <w:p w14:paraId="73D80B5F" w14:textId="25D74426" w:rsidR="003E16F3" w:rsidRPr="00EF7D33" w:rsidRDefault="003E16F3" w:rsidP="003E16F3">
            <w:pPr>
              <w:rPr>
                <w:rFonts w:ascii="Book Antiqua" w:hAnsi="Book Antiqua" w:cs="Calibri"/>
                <w:color w:val="000000"/>
                <w:sz w:val="16"/>
                <w:szCs w:val="16"/>
                <w:lang w:eastAsia="es-CR"/>
              </w:rPr>
            </w:pPr>
            <w:r w:rsidRPr="00EF7D33">
              <w:rPr>
                <w:rFonts w:ascii="Book Antiqua" w:hAnsi="Book Antiqua" w:cs="Calibri"/>
                <w:color w:val="000000"/>
                <w:sz w:val="16"/>
                <w:szCs w:val="16"/>
                <w:lang w:eastAsia="es-CR"/>
              </w:rPr>
              <w:t xml:space="preserve">Juzgado Penal del II Circuito Judicial Guanacaste </w:t>
            </w:r>
          </w:p>
        </w:tc>
        <w:tc>
          <w:tcPr>
            <w:tcW w:w="2260" w:type="dxa"/>
            <w:tcBorders>
              <w:top w:val="nil"/>
              <w:left w:val="nil"/>
              <w:bottom w:val="single" w:sz="4" w:space="0" w:color="808080"/>
              <w:right w:val="single" w:sz="4" w:space="0" w:color="808080"/>
            </w:tcBorders>
            <w:shd w:val="clear" w:color="auto" w:fill="auto"/>
            <w:noWrap/>
            <w:vAlign w:val="bottom"/>
            <w:hideMark/>
          </w:tcPr>
          <w:p w14:paraId="42393AAA" w14:textId="77777777" w:rsidR="003E16F3" w:rsidRPr="00EF7D33" w:rsidRDefault="003E16F3" w:rsidP="003E16F3">
            <w:pPr>
              <w:jc w:val="center"/>
              <w:rPr>
                <w:rFonts w:ascii="Book Antiqua" w:hAnsi="Book Antiqua" w:cs="Calibri"/>
                <w:color w:val="000000"/>
                <w:sz w:val="16"/>
                <w:szCs w:val="16"/>
                <w:lang w:eastAsia="es-CR"/>
              </w:rPr>
            </w:pPr>
            <w:r w:rsidRPr="00EF7D33">
              <w:rPr>
                <w:rFonts w:ascii="Book Antiqua" w:hAnsi="Book Antiqua" w:cs="Calibri"/>
                <w:color w:val="000000"/>
                <w:sz w:val="16"/>
                <w:szCs w:val="16"/>
                <w:lang w:eastAsia="es-CR"/>
              </w:rPr>
              <w:t>208 %</w:t>
            </w:r>
          </w:p>
        </w:tc>
      </w:tr>
      <w:tr w:rsidR="003E16F3" w:rsidRPr="00EF7D33" w14:paraId="58F53923" w14:textId="77777777" w:rsidTr="00EF7D33">
        <w:trPr>
          <w:trHeight w:val="290"/>
          <w:jc w:val="center"/>
        </w:trPr>
        <w:tc>
          <w:tcPr>
            <w:tcW w:w="5336" w:type="dxa"/>
            <w:tcBorders>
              <w:top w:val="nil"/>
              <w:left w:val="single" w:sz="4" w:space="0" w:color="808080"/>
              <w:bottom w:val="single" w:sz="4" w:space="0" w:color="808080"/>
              <w:right w:val="single" w:sz="4" w:space="0" w:color="808080"/>
            </w:tcBorders>
            <w:shd w:val="clear" w:color="auto" w:fill="auto"/>
            <w:noWrap/>
            <w:vAlign w:val="bottom"/>
            <w:hideMark/>
          </w:tcPr>
          <w:p w14:paraId="2E8C9FF6" w14:textId="77777777" w:rsidR="003E16F3" w:rsidRPr="00EF7D33" w:rsidRDefault="003E16F3" w:rsidP="003E16F3">
            <w:pPr>
              <w:rPr>
                <w:rFonts w:ascii="Book Antiqua" w:hAnsi="Book Antiqua" w:cs="Calibri"/>
                <w:color w:val="000000"/>
                <w:sz w:val="16"/>
                <w:szCs w:val="16"/>
                <w:lang w:eastAsia="es-CR"/>
              </w:rPr>
            </w:pPr>
            <w:r w:rsidRPr="00EF7D33">
              <w:rPr>
                <w:rFonts w:ascii="Book Antiqua" w:hAnsi="Book Antiqua" w:cs="Calibri"/>
                <w:color w:val="000000"/>
                <w:sz w:val="16"/>
                <w:szCs w:val="16"/>
                <w:lang w:eastAsia="es-CR"/>
              </w:rPr>
              <w:t>Juzgado Penal del I Circuito Judicial de La Zona Sur</w:t>
            </w:r>
          </w:p>
        </w:tc>
        <w:tc>
          <w:tcPr>
            <w:tcW w:w="2260" w:type="dxa"/>
            <w:tcBorders>
              <w:top w:val="nil"/>
              <w:left w:val="nil"/>
              <w:bottom w:val="single" w:sz="4" w:space="0" w:color="808080"/>
              <w:right w:val="single" w:sz="4" w:space="0" w:color="808080"/>
            </w:tcBorders>
            <w:shd w:val="clear" w:color="auto" w:fill="auto"/>
            <w:noWrap/>
            <w:vAlign w:val="bottom"/>
            <w:hideMark/>
          </w:tcPr>
          <w:p w14:paraId="63E16539" w14:textId="77777777" w:rsidR="003E16F3" w:rsidRPr="00EF7D33" w:rsidRDefault="003E16F3" w:rsidP="003E16F3">
            <w:pPr>
              <w:jc w:val="center"/>
              <w:rPr>
                <w:rFonts w:ascii="Book Antiqua" w:hAnsi="Book Antiqua" w:cs="Calibri"/>
                <w:color w:val="000000"/>
                <w:sz w:val="16"/>
                <w:szCs w:val="16"/>
                <w:lang w:eastAsia="es-CR"/>
              </w:rPr>
            </w:pPr>
            <w:r w:rsidRPr="00EF7D33">
              <w:rPr>
                <w:rFonts w:ascii="Book Antiqua" w:hAnsi="Book Antiqua" w:cs="Calibri"/>
                <w:color w:val="000000"/>
                <w:sz w:val="16"/>
                <w:szCs w:val="16"/>
                <w:lang w:eastAsia="es-CR"/>
              </w:rPr>
              <w:t>189 %</w:t>
            </w:r>
          </w:p>
        </w:tc>
      </w:tr>
      <w:tr w:rsidR="003E16F3" w:rsidRPr="00EF7D33" w14:paraId="7CC8D7A5" w14:textId="77777777" w:rsidTr="00EF7D33">
        <w:trPr>
          <w:trHeight w:val="290"/>
          <w:jc w:val="center"/>
        </w:trPr>
        <w:tc>
          <w:tcPr>
            <w:tcW w:w="5336" w:type="dxa"/>
            <w:tcBorders>
              <w:top w:val="nil"/>
              <w:left w:val="single" w:sz="4" w:space="0" w:color="808080"/>
              <w:bottom w:val="single" w:sz="4" w:space="0" w:color="808080"/>
              <w:right w:val="single" w:sz="4" w:space="0" w:color="808080"/>
            </w:tcBorders>
            <w:shd w:val="clear" w:color="auto" w:fill="auto"/>
            <w:noWrap/>
            <w:vAlign w:val="bottom"/>
            <w:hideMark/>
          </w:tcPr>
          <w:p w14:paraId="529DD01A" w14:textId="77777777" w:rsidR="003E16F3" w:rsidRPr="00EF7D33" w:rsidRDefault="003E16F3" w:rsidP="003E16F3">
            <w:pPr>
              <w:rPr>
                <w:rFonts w:ascii="Book Antiqua" w:hAnsi="Book Antiqua" w:cs="Calibri"/>
                <w:color w:val="000000"/>
                <w:sz w:val="16"/>
                <w:szCs w:val="16"/>
                <w:lang w:eastAsia="es-CR"/>
              </w:rPr>
            </w:pPr>
            <w:r w:rsidRPr="00EF7D33">
              <w:rPr>
                <w:rFonts w:ascii="Book Antiqua" w:hAnsi="Book Antiqua" w:cs="Calibri"/>
                <w:color w:val="000000"/>
                <w:sz w:val="16"/>
                <w:szCs w:val="16"/>
                <w:lang w:eastAsia="es-CR"/>
              </w:rPr>
              <w:t>Juzgado Penal de Sarapiquí</w:t>
            </w:r>
          </w:p>
        </w:tc>
        <w:tc>
          <w:tcPr>
            <w:tcW w:w="2260" w:type="dxa"/>
            <w:tcBorders>
              <w:top w:val="nil"/>
              <w:left w:val="nil"/>
              <w:bottom w:val="single" w:sz="4" w:space="0" w:color="808080"/>
              <w:right w:val="single" w:sz="4" w:space="0" w:color="808080"/>
            </w:tcBorders>
            <w:shd w:val="clear" w:color="auto" w:fill="auto"/>
            <w:noWrap/>
            <w:vAlign w:val="bottom"/>
            <w:hideMark/>
          </w:tcPr>
          <w:p w14:paraId="0B454DDD" w14:textId="77777777" w:rsidR="003E16F3" w:rsidRPr="00EF7D33" w:rsidRDefault="003E16F3" w:rsidP="003E16F3">
            <w:pPr>
              <w:jc w:val="center"/>
              <w:rPr>
                <w:rFonts w:ascii="Book Antiqua" w:hAnsi="Book Antiqua" w:cs="Calibri"/>
                <w:color w:val="000000"/>
                <w:sz w:val="16"/>
                <w:szCs w:val="16"/>
                <w:lang w:eastAsia="es-CR"/>
              </w:rPr>
            </w:pPr>
            <w:r w:rsidRPr="00EF7D33">
              <w:rPr>
                <w:rFonts w:ascii="Book Antiqua" w:hAnsi="Book Antiqua" w:cs="Calibri"/>
                <w:color w:val="000000"/>
                <w:sz w:val="16"/>
                <w:szCs w:val="16"/>
                <w:lang w:eastAsia="es-CR"/>
              </w:rPr>
              <w:t>147 %</w:t>
            </w:r>
          </w:p>
        </w:tc>
      </w:tr>
      <w:tr w:rsidR="003E16F3" w:rsidRPr="00EF7D33" w14:paraId="1E862C07" w14:textId="77777777" w:rsidTr="00EF7D33">
        <w:trPr>
          <w:trHeight w:val="290"/>
          <w:jc w:val="center"/>
        </w:trPr>
        <w:tc>
          <w:tcPr>
            <w:tcW w:w="5336" w:type="dxa"/>
            <w:tcBorders>
              <w:top w:val="nil"/>
              <w:left w:val="single" w:sz="4" w:space="0" w:color="808080"/>
              <w:bottom w:val="single" w:sz="4" w:space="0" w:color="808080"/>
              <w:right w:val="single" w:sz="4" w:space="0" w:color="808080"/>
            </w:tcBorders>
            <w:shd w:val="clear" w:color="auto" w:fill="auto"/>
            <w:noWrap/>
            <w:vAlign w:val="bottom"/>
            <w:hideMark/>
          </w:tcPr>
          <w:p w14:paraId="4005D645" w14:textId="77777777" w:rsidR="003E16F3" w:rsidRPr="00EF7D33" w:rsidRDefault="003E16F3" w:rsidP="003E16F3">
            <w:pPr>
              <w:rPr>
                <w:rFonts w:ascii="Book Antiqua" w:hAnsi="Book Antiqua" w:cs="Calibri"/>
                <w:color w:val="000000"/>
                <w:sz w:val="16"/>
                <w:szCs w:val="16"/>
                <w:lang w:eastAsia="es-CR"/>
              </w:rPr>
            </w:pPr>
            <w:r w:rsidRPr="00EF7D33">
              <w:rPr>
                <w:rFonts w:ascii="Book Antiqua" w:hAnsi="Book Antiqua" w:cs="Calibri"/>
                <w:color w:val="000000"/>
                <w:sz w:val="16"/>
                <w:szCs w:val="16"/>
                <w:lang w:eastAsia="es-CR"/>
              </w:rPr>
              <w:t xml:space="preserve">Juzgado Penal de La Unión </w:t>
            </w:r>
          </w:p>
        </w:tc>
        <w:tc>
          <w:tcPr>
            <w:tcW w:w="2260" w:type="dxa"/>
            <w:tcBorders>
              <w:top w:val="nil"/>
              <w:left w:val="nil"/>
              <w:bottom w:val="single" w:sz="4" w:space="0" w:color="808080"/>
              <w:right w:val="single" w:sz="4" w:space="0" w:color="808080"/>
            </w:tcBorders>
            <w:shd w:val="clear" w:color="auto" w:fill="auto"/>
            <w:noWrap/>
            <w:vAlign w:val="bottom"/>
            <w:hideMark/>
          </w:tcPr>
          <w:p w14:paraId="3AF9DC53" w14:textId="77777777" w:rsidR="003E16F3" w:rsidRPr="00EF7D33" w:rsidRDefault="003E16F3" w:rsidP="003E16F3">
            <w:pPr>
              <w:jc w:val="center"/>
              <w:rPr>
                <w:rFonts w:ascii="Book Antiqua" w:hAnsi="Book Antiqua" w:cs="Calibri"/>
                <w:color w:val="000000"/>
                <w:sz w:val="16"/>
                <w:szCs w:val="16"/>
                <w:lang w:eastAsia="es-CR"/>
              </w:rPr>
            </w:pPr>
            <w:r w:rsidRPr="00EF7D33">
              <w:rPr>
                <w:rFonts w:ascii="Book Antiqua" w:hAnsi="Book Antiqua" w:cs="Calibri"/>
                <w:color w:val="000000"/>
                <w:sz w:val="16"/>
                <w:szCs w:val="16"/>
                <w:lang w:eastAsia="es-CR"/>
              </w:rPr>
              <w:t>129 %</w:t>
            </w:r>
          </w:p>
        </w:tc>
      </w:tr>
      <w:tr w:rsidR="003E16F3" w:rsidRPr="00EF7D33" w14:paraId="7AAF0E97" w14:textId="77777777" w:rsidTr="00EF7D33">
        <w:trPr>
          <w:trHeight w:val="290"/>
          <w:jc w:val="center"/>
        </w:trPr>
        <w:tc>
          <w:tcPr>
            <w:tcW w:w="5336" w:type="dxa"/>
            <w:tcBorders>
              <w:top w:val="nil"/>
              <w:left w:val="single" w:sz="4" w:space="0" w:color="808080"/>
              <w:bottom w:val="single" w:sz="4" w:space="0" w:color="808080"/>
              <w:right w:val="single" w:sz="4" w:space="0" w:color="808080"/>
            </w:tcBorders>
            <w:shd w:val="clear" w:color="auto" w:fill="auto"/>
            <w:noWrap/>
            <w:vAlign w:val="bottom"/>
            <w:hideMark/>
          </w:tcPr>
          <w:p w14:paraId="1C53D426" w14:textId="77777777" w:rsidR="003E16F3" w:rsidRPr="00EF7D33" w:rsidRDefault="003E16F3" w:rsidP="003E16F3">
            <w:pPr>
              <w:rPr>
                <w:rFonts w:ascii="Book Antiqua" w:hAnsi="Book Antiqua" w:cs="Calibri"/>
                <w:color w:val="000000"/>
                <w:sz w:val="16"/>
                <w:szCs w:val="16"/>
                <w:lang w:eastAsia="es-CR"/>
              </w:rPr>
            </w:pPr>
            <w:r w:rsidRPr="00EF7D33">
              <w:rPr>
                <w:rFonts w:ascii="Book Antiqua" w:hAnsi="Book Antiqua" w:cs="Calibri"/>
                <w:color w:val="000000"/>
                <w:sz w:val="16"/>
                <w:szCs w:val="16"/>
                <w:lang w:eastAsia="es-CR"/>
              </w:rPr>
              <w:t>Juzgado Penal de Siquirres</w:t>
            </w:r>
          </w:p>
        </w:tc>
        <w:tc>
          <w:tcPr>
            <w:tcW w:w="2260" w:type="dxa"/>
            <w:tcBorders>
              <w:top w:val="nil"/>
              <w:left w:val="nil"/>
              <w:bottom w:val="single" w:sz="4" w:space="0" w:color="808080"/>
              <w:right w:val="single" w:sz="4" w:space="0" w:color="808080"/>
            </w:tcBorders>
            <w:shd w:val="clear" w:color="auto" w:fill="auto"/>
            <w:noWrap/>
            <w:vAlign w:val="bottom"/>
            <w:hideMark/>
          </w:tcPr>
          <w:p w14:paraId="56FE73D8" w14:textId="77777777" w:rsidR="003E16F3" w:rsidRPr="00EF7D33" w:rsidRDefault="003E16F3" w:rsidP="003E16F3">
            <w:pPr>
              <w:jc w:val="center"/>
              <w:rPr>
                <w:rFonts w:ascii="Book Antiqua" w:hAnsi="Book Antiqua" w:cs="Calibri"/>
                <w:color w:val="000000"/>
                <w:sz w:val="16"/>
                <w:szCs w:val="16"/>
                <w:lang w:eastAsia="es-CR"/>
              </w:rPr>
            </w:pPr>
            <w:r w:rsidRPr="00EF7D33">
              <w:rPr>
                <w:rFonts w:ascii="Book Antiqua" w:hAnsi="Book Antiqua" w:cs="Calibri"/>
                <w:color w:val="000000"/>
                <w:sz w:val="16"/>
                <w:szCs w:val="16"/>
                <w:lang w:eastAsia="es-CR"/>
              </w:rPr>
              <w:t>128 %</w:t>
            </w:r>
          </w:p>
        </w:tc>
      </w:tr>
      <w:tr w:rsidR="003E16F3" w:rsidRPr="00EF7D33" w14:paraId="36009940" w14:textId="77777777" w:rsidTr="00EF7D33">
        <w:trPr>
          <w:trHeight w:val="290"/>
          <w:jc w:val="center"/>
        </w:trPr>
        <w:tc>
          <w:tcPr>
            <w:tcW w:w="5336" w:type="dxa"/>
            <w:tcBorders>
              <w:top w:val="nil"/>
              <w:left w:val="single" w:sz="4" w:space="0" w:color="808080"/>
              <w:bottom w:val="single" w:sz="4" w:space="0" w:color="808080"/>
              <w:right w:val="single" w:sz="4" w:space="0" w:color="808080"/>
            </w:tcBorders>
            <w:shd w:val="clear" w:color="auto" w:fill="auto"/>
            <w:noWrap/>
            <w:vAlign w:val="bottom"/>
            <w:hideMark/>
          </w:tcPr>
          <w:p w14:paraId="28CFB0FE" w14:textId="77777777" w:rsidR="003E16F3" w:rsidRPr="00EF7D33" w:rsidRDefault="003E16F3" w:rsidP="003E16F3">
            <w:pPr>
              <w:rPr>
                <w:rFonts w:ascii="Book Antiqua" w:hAnsi="Book Antiqua" w:cs="Calibri"/>
                <w:color w:val="000000"/>
                <w:sz w:val="16"/>
                <w:szCs w:val="16"/>
                <w:lang w:eastAsia="es-CR"/>
              </w:rPr>
            </w:pPr>
            <w:r w:rsidRPr="00EF7D33">
              <w:rPr>
                <w:rFonts w:ascii="Book Antiqua" w:hAnsi="Book Antiqua" w:cs="Calibri"/>
                <w:color w:val="000000"/>
                <w:sz w:val="16"/>
                <w:szCs w:val="16"/>
                <w:lang w:eastAsia="es-CR"/>
              </w:rPr>
              <w:t>Juzgado Penal de Cartago</w:t>
            </w:r>
          </w:p>
        </w:tc>
        <w:tc>
          <w:tcPr>
            <w:tcW w:w="2260" w:type="dxa"/>
            <w:tcBorders>
              <w:top w:val="nil"/>
              <w:left w:val="nil"/>
              <w:bottom w:val="single" w:sz="4" w:space="0" w:color="808080"/>
              <w:right w:val="single" w:sz="4" w:space="0" w:color="808080"/>
            </w:tcBorders>
            <w:shd w:val="clear" w:color="auto" w:fill="auto"/>
            <w:noWrap/>
            <w:vAlign w:val="bottom"/>
            <w:hideMark/>
          </w:tcPr>
          <w:p w14:paraId="42C5B6BF" w14:textId="77777777" w:rsidR="003E16F3" w:rsidRPr="00EF7D33" w:rsidRDefault="003E16F3" w:rsidP="003E16F3">
            <w:pPr>
              <w:jc w:val="center"/>
              <w:rPr>
                <w:rFonts w:ascii="Book Antiqua" w:hAnsi="Book Antiqua" w:cs="Calibri"/>
                <w:color w:val="000000"/>
                <w:sz w:val="16"/>
                <w:szCs w:val="16"/>
                <w:lang w:eastAsia="es-CR"/>
              </w:rPr>
            </w:pPr>
            <w:r w:rsidRPr="00EF7D33">
              <w:rPr>
                <w:rFonts w:ascii="Book Antiqua" w:hAnsi="Book Antiqua" w:cs="Calibri"/>
                <w:color w:val="000000"/>
                <w:sz w:val="16"/>
                <w:szCs w:val="16"/>
                <w:lang w:eastAsia="es-CR"/>
              </w:rPr>
              <w:t>124 %</w:t>
            </w:r>
          </w:p>
        </w:tc>
      </w:tr>
      <w:tr w:rsidR="003E16F3" w:rsidRPr="00EF7D33" w14:paraId="102FF536" w14:textId="77777777" w:rsidTr="00EF7D33">
        <w:trPr>
          <w:trHeight w:val="290"/>
          <w:jc w:val="center"/>
        </w:trPr>
        <w:tc>
          <w:tcPr>
            <w:tcW w:w="5336" w:type="dxa"/>
            <w:tcBorders>
              <w:top w:val="nil"/>
              <w:left w:val="single" w:sz="4" w:space="0" w:color="808080"/>
              <w:bottom w:val="single" w:sz="4" w:space="0" w:color="808080"/>
              <w:right w:val="single" w:sz="4" w:space="0" w:color="808080"/>
            </w:tcBorders>
            <w:shd w:val="clear" w:color="auto" w:fill="auto"/>
            <w:noWrap/>
            <w:vAlign w:val="bottom"/>
            <w:hideMark/>
          </w:tcPr>
          <w:p w14:paraId="5003FA40" w14:textId="77777777" w:rsidR="003E16F3" w:rsidRPr="00EF7D33" w:rsidRDefault="003E16F3" w:rsidP="003E16F3">
            <w:pPr>
              <w:rPr>
                <w:rFonts w:ascii="Book Antiqua" w:hAnsi="Book Antiqua" w:cs="Calibri"/>
                <w:color w:val="000000"/>
                <w:sz w:val="16"/>
                <w:szCs w:val="16"/>
                <w:lang w:eastAsia="es-CR"/>
              </w:rPr>
            </w:pPr>
            <w:r w:rsidRPr="00EF7D33">
              <w:rPr>
                <w:rFonts w:ascii="Book Antiqua" w:hAnsi="Book Antiqua" w:cs="Calibri"/>
                <w:color w:val="000000"/>
                <w:sz w:val="16"/>
                <w:szCs w:val="16"/>
                <w:lang w:eastAsia="es-CR"/>
              </w:rPr>
              <w:t xml:space="preserve">Juzgado Penal de Garabito </w:t>
            </w:r>
          </w:p>
        </w:tc>
        <w:tc>
          <w:tcPr>
            <w:tcW w:w="2260" w:type="dxa"/>
            <w:tcBorders>
              <w:top w:val="nil"/>
              <w:left w:val="nil"/>
              <w:bottom w:val="single" w:sz="4" w:space="0" w:color="808080"/>
              <w:right w:val="single" w:sz="4" w:space="0" w:color="808080"/>
            </w:tcBorders>
            <w:shd w:val="clear" w:color="auto" w:fill="auto"/>
            <w:noWrap/>
            <w:vAlign w:val="bottom"/>
            <w:hideMark/>
          </w:tcPr>
          <w:p w14:paraId="43A44676" w14:textId="77777777" w:rsidR="003E16F3" w:rsidRPr="00EF7D33" w:rsidRDefault="003E16F3" w:rsidP="003E16F3">
            <w:pPr>
              <w:jc w:val="center"/>
              <w:rPr>
                <w:rFonts w:ascii="Book Antiqua" w:hAnsi="Book Antiqua" w:cs="Calibri"/>
                <w:color w:val="000000"/>
                <w:sz w:val="16"/>
                <w:szCs w:val="16"/>
                <w:lang w:eastAsia="es-CR"/>
              </w:rPr>
            </w:pPr>
            <w:r w:rsidRPr="00EF7D33">
              <w:rPr>
                <w:rFonts w:ascii="Book Antiqua" w:hAnsi="Book Antiqua" w:cs="Calibri"/>
                <w:color w:val="000000"/>
                <w:sz w:val="16"/>
                <w:szCs w:val="16"/>
                <w:lang w:eastAsia="es-CR"/>
              </w:rPr>
              <w:t>120 %</w:t>
            </w:r>
          </w:p>
        </w:tc>
      </w:tr>
      <w:tr w:rsidR="003E16F3" w:rsidRPr="00EF7D33" w14:paraId="31133115" w14:textId="77777777" w:rsidTr="00EF7D33">
        <w:trPr>
          <w:trHeight w:val="290"/>
          <w:jc w:val="center"/>
        </w:trPr>
        <w:tc>
          <w:tcPr>
            <w:tcW w:w="5336" w:type="dxa"/>
            <w:tcBorders>
              <w:top w:val="nil"/>
              <w:left w:val="single" w:sz="4" w:space="0" w:color="808080"/>
              <w:bottom w:val="single" w:sz="4" w:space="0" w:color="808080"/>
              <w:right w:val="single" w:sz="4" w:space="0" w:color="808080"/>
            </w:tcBorders>
            <w:shd w:val="clear" w:color="auto" w:fill="auto"/>
            <w:noWrap/>
            <w:vAlign w:val="bottom"/>
            <w:hideMark/>
          </w:tcPr>
          <w:p w14:paraId="1ADED204" w14:textId="606704F8" w:rsidR="003E16F3" w:rsidRPr="00EF7D33" w:rsidRDefault="003E16F3" w:rsidP="003E16F3">
            <w:pPr>
              <w:rPr>
                <w:rFonts w:ascii="Book Antiqua" w:hAnsi="Book Antiqua" w:cs="Calibri"/>
                <w:color w:val="000000"/>
                <w:sz w:val="16"/>
                <w:szCs w:val="16"/>
                <w:lang w:eastAsia="es-CR"/>
              </w:rPr>
            </w:pPr>
            <w:r w:rsidRPr="00EF7D33">
              <w:rPr>
                <w:rFonts w:ascii="Book Antiqua" w:hAnsi="Book Antiqua" w:cs="Calibri"/>
                <w:color w:val="000000"/>
                <w:sz w:val="16"/>
                <w:szCs w:val="16"/>
                <w:lang w:eastAsia="es-CR"/>
              </w:rPr>
              <w:t xml:space="preserve">Juzgado Penal III Circuito Judicial de Alajuela </w:t>
            </w:r>
          </w:p>
        </w:tc>
        <w:tc>
          <w:tcPr>
            <w:tcW w:w="2260" w:type="dxa"/>
            <w:tcBorders>
              <w:top w:val="nil"/>
              <w:left w:val="nil"/>
              <w:bottom w:val="single" w:sz="4" w:space="0" w:color="808080"/>
              <w:right w:val="single" w:sz="4" w:space="0" w:color="808080"/>
            </w:tcBorders>
            <w:shd w:val="clear" w:color="auto" w:fill="auto"/>
            <w:noWrap/>
            <w:vAlign w:val="bottom"/>
            <w:hideMark/>
          </w:tcPr>
          <w:p w14:paraId="712B9C2C" w14:textId="77777777" w:rsidR="003E16F3" w:rsidRPr="00EF7D33" w:rsidRDefault="003E16F3" w:rsidP="003E16F3">
            <w:pPr>
              <w:jc w:val="center"/>
              <w:rPr>
                <w:rFonts w:ascii="Book Antiqua" w:hAnsi="Book Antiqua" w:cs="Calibri"/>
                <w:color w:val="000000"/>
                <w:sz w:val="16"/>
                <w:szCs w:val="16"/>
                <w:lang w:eastAsia="es-CR"/>
              </w:rPr>
            </w:pPr>
            <w:r w:rsidRPr="00EF7D33">
              <w:rPr>
                <w:rFonts w:ascii="Book Antiqua" w:hAnsi="Book Antiqua" w:cs="Calibri"/>
                <w:color w:val="000000"/>
                <w:sz w:val="16"/>
                <w:szCs w:val="16"/>
                <w:lang w:eastAsia="es-CR"/>
              </w:rPr>
              <w:t>116 %</w:t>
            </w:r>
          </w:p>
        </w:tc>
      </w:tr>
      <w:tr w:rsidR="003E16F3" w:rsidRPr="00EF7D33" w14:paraId="035F2CD6" w14:textId="77777777" w:rsidTr="00EF7D33">
        <w:trPr>
          <w:trHeight w:val="290"/>
          <w:jc w:val="center"/>
        </w:trPr>
        <w:tc>
          <w:tcPr>
            <w:tcW w:w="5336" w:type="dxa"/>
            <w:tcBorders>
              <w:top w:val="nil"/>
              <w:left w:val="single" w:sz="4" w:space="0" w:color="808080"/>
              <w:bottom w:val="single" w:sz="4" w:space="0" w:color="808080"/>
              <w:right w:val="single" w:sz="4" w:space="0" w:color="808080"/>
            </w:tcBorders>
            <w:shd w:val="clear" w:color="auto" w:fill="auto"/>
            <w:noWrap/>
            <w:vAlign w:val="bottom"/>
            <w:hideMark/>
          </w:tcPr>
          <w:p w14:paraId="484EB816" w14:textId="77777777" w:rsidR="003E16F3" w:rsidRPr="00EF7D33" w:rsidRDefault="003E16F3" w:rsidP="003E16F3">
            <w:pPr>
              <w:rPr>
                <w:rFonts w:ascii="Book Antiqua" w:hAnsi="Book Antiqua" w:cs="Calibri"/>
                <w:color w:val="000000"/>
                <w:sz w:val="16"/>
                <w:szCs w:val="16"/>
                <w:lang w:eastAsia="es-CR"/>
              </w:rPr>
            </w:pPr>
            <w:r w:rsidRPr="00EF7D33">
              <w:rPr>
                <w:rFonts w:ascii="Book Antiqua" w:hAnsi="Book Antiqua" w:cs="Calibri"/>
                <w:color w:val="000000"/>
                <w:sz w:val="16"/>
                <w:szCs w:val="16"/>
                <w:lang w:eastAsia="es-CR"/>
              </w:rPr>
              <w:t>Juzgado Penal del I Circuito Judicial de La Zona Atlántica</w:t>
            </w:r>
          </w:p>
        </w:tc>
        <w:tc>
          <w:tcPr>
            <w:tcW w:w="2260" w:type="dxa"/>
            <w:tcBorders>
              <w:top w:val="nil"/>
              <w:left w:val="nil"/>
              <w:bottom w:val="single" w:sz="4" w:space="0" w:color="808080"/>
              <w:right w:val="single" w:sz="4" w:space="0" w:color="808080"/>
            </w:tcBorders>
            <w:shd w:val="clear" w:color="auto" w:fill="auto"/>
            <w:noWrap/>
            <w:vAlign w:val="bottom"/>
            <w:hideMark/>
          </w:tcPr>
          <w:p w14:paraId="0EF90C72" w14:textId="77777777" w:rsidR="003E16F3" w:rsidRPr="00EF7D33" w:rsidRDefault="003E16F3" w:rsidP="003E16F3">
            <w:pPr>
              <w:jc w:val="center"/>
              <w:rPr>
                <w:rFonts w:ascii="Book Antiqua" w:hAnsi="Book Antiqua" w:cs="Calibri"/>
                <w:color w:val="000000"/>
                <w:sz w:val="16"/>
                <w:szCs w:val="16"/>
                <w:lang w:eastAsia="es-CR"/>
              </w:rPr>
            </w:pPr>
            <w:r w:rsidRPr="00EF7D33">
              <w:rPr>
                <w:rFonts w:ascii="Book Antiqua" w:hAnsi="Book Antiqua" w:cs="Calibri"/>
                <w:color w:val="000000"/>
                <w:sz w:val="16"/>
                <w:szCs w:val="16"/>
                <w:lang w:eastAsia="es-CR"/>
              </w:rPr>
              <w:t>115 %</w:t>
            </w:r>
          </w:p>
        </w:tc>
      </w:tr>
      <w:tr w:rsidR="003E16F3" w:rsidRPr="00EF7D33" w14:paraId="3160499F" w14:textId="77777777" w:rsidTr="00EF7D33">
        <w:trPr>
          <w:trHeight w:val="290"/>
          <w:jc w:val="center"/>
        </w:trPr>
        <w:tc>
          <w:tcPr>
            <w:tcW w:w="5336" w:type="dxa"/>
            <w:tcBorders>
              <w:top w:val="nil"/>
              <w:left w:val="single" w:sz="4" w:space="0" w:color="808080"/>
              <w:bottom w:val="single" w:sz="4" w:space="0" w:color="808080"/>
              <w:right w:val="single" w:sz="4" w:space="0" w:color="808080"/>
            </w:tcBorders>
            <w:shd w:val="clear" w:color="auto" w:fill="auto"/>
            <w:noWrap/>
            <w:vAlign w:val="bottom"/>
            <w:hideMark/>
          </w:tcPr>
          <w:p w14:paraId="7547C2CA" w14:textId="77777777" w:rsidR="003E16F3" w:rsidRPr="00EF7D33" w:rsidRDefault="003E16F3" w:rsidP="003E16F3">
            <w:pPr>
              <w:rPr>
                <w:rFonts w:ascii="Book Antiqua" w:hAnsi="Book Antiqua" w:cs="Calibri"/>
                <w:color w:val="000000"/>
                <w:sz w:val="16"/>
                <w:szCs w:val="16"/>
                <w:lang w:eastAsia="es-CR"/>
              </w:rPr>
            </w:pPr>
            <w:r w:rsidRPr="00EF7D33">
              <w:rPr>
                <w:rFonts w:ascii="Book Antiqua" w:hAnsi="Book Antiqua" w:cs="Calibri"/>
                <w:color w:val="000000"/>
                <w:sz w:val="16"/>
                <w:szCs w:val="16"/>
                <w:lang w:eastAsia="es-CR"/>
              </w:rPr>
              <w:t xml:space="preserve">Juzgado Penal de San Joaquín de Flores </w:t>
            </w:r>
          </w:p>
        </w:tc>
        <w:tc>
          <w:tcPr>
            <w:tcW w:w="2260" w:type="dxa"/>
            <w:tcBorders>
              <w:top w:val="nil"/>
              <w:left w:val="nil"/>
              <w:bottom w:val="single" w:sz="4" w:space="0" w:color="808080"/>
              <w:right w:val="single" w:sz="4" w:space="0" w:color="808080"/>
            </w:tcBorders>
            <w:shd w:val="clear" w:color="auto" w:fill="auto"/>
            <w:noWrap/>
            <w:vAlign w:val="bottom"/>
            <w:hideMark/>
          </w:tcPr>
          <w:p w14:paraId="5D08B04C" w14:textId="77777777" w:rsidR="003E16F3" w:rsidRPr="00EF7D33" w:rsidRDefault="003E16F3" w:rsidP="003E16F3">
            <w:pPr>
              <w:jc w:val="center"/>
              <w:rPr>
                <w:rFonts w:ascii="Book Antiqua" w:hAnsi="Book Antiqua" w:cs="Calibri"/>
                <w:color w:val="000000"/>
                <w:sz w:val="16"/>
                <w:szCs w:val="16"/>
                <w:lang w:eastAsia="es-CR"/>
              </w:rPr>
            </w:pPr>
            <w:r w:rsidRPr="00EF7D33">
              <w:rPr>
                <w:rFonts w:ascii="Book Antiqua" w:hAnsi="Book Antiqua" w:cs="Calibri"/>
                <w:color w:val="000000"/>
                <w:sz w:val="16"/>
                <w:szCs w:val="16"/>
                <w:lang w:eastAsia="es-CR"/>
              </w:rPr>
              <w:t>114 %</w:t>
            </w:r>
          </w:p>
        </w:tc>
      </w:tr>
      <w:tr w:rsidR="003E16F3" w:rsidRPr="00EF7D33" w14:paraId="226EC317" w14:textId="77777777" w:rsidTr="00EF7D33">
        <w:trPr>
          <w:trHeight w:val="290"/>
          <w:jc w:val="center"/>
        </w:trPr>
        <w:tc>
          <w:tcPr>
            <w:tcW w:w="5336" w:type="dxa"/>
            <w:tcBorders>
              <w:top w:val="nil"/>
              <w:left w:val="single" w:sz="4" w:space="0" w:color="808080"/>
              <w:bottom w:val="single" w:sz="4" w:space="0" w:color="808080"/>
              <w:right w:val="single" w:sz="4" w:space="0" w:color="808080"/>
            </w:tcBorders>
            <w:shd w:val="clear" w:color="auto" w:fill="auto"/>
            <w:noWrap/>
            <w:vAlign w:val="bottom"/>
            <w:hideMark/>
          </w:tcPr>
          <w:p w14:paraId="55F535D2" w14:textId="77777777" w:rsidR="003E16F3" w:rsidRPr="00EF7D33" w:rsidRDefault="003E16F3" w:rsidP="003E16F3">
            <w:pPr>
              <w:rPr>
                <w:rFonts w:ascii="Book Antiqua" w:hAnsi="Book Antiqua" w:cs="Calibri"/>
                <w:color w:val="000000"/>
                <w:sz w:val="16"/>
                <w:szCs w:val="16"/>
                <w:lang w:eastAsia="es-CR"/>
              </w:rPr>
            </w:pPr>
            <w:r w:rsidRPr="00EF7D33">
              <w:rPr>
                <w:rFonts w:ascii="Book Antiqua" w:hAnsi="Book Antiqua" w:cs="Calibri"/>
                <w:color w:val="000000"/>
                <w:sz w:val="16"/>
                <w:szCs w:val="16"/>
                <w:lang w:eastAsia="es-CR"/>
              </w:rPr>
              <w:t xml:space="preserve">Juzgado Penal de Cañas </w:t>
            </w:r>
          </w:p>
        </w:tc>
        <w:tc>
          <w:tcPr>
            <w:tcW w:w="2260" w:type="dxa"/>
            <w:tcBorders>
              <w:top w:val="nil"/>
              <w:left w:val="nil"/>
              <w:bottom w:val="single" w:sz="4" w:space="0" w:color="808080"/>
              <w:right w:val="single" w:sz="4" w:space="0" w:color="808080"/>
            </w:tcBorders>
            <w:shd w:val="clear" w:color="auto" w:fill="auto"/>
            <w:noWrap/>
            <w:vAlign w:val="bottom"/>
            <w:hideMark/>
          </w:tcPr>
          <w:p w14:paraId="3B1EAA0F" w14:textId="77777777" w:rsidR="003E16F3" w:rsidRPr="00EF7D33" w:rsidRDefault="003E16F3" w:rsidP="003E16F3">
            <w:pPr>
              <w:jc w:val="center"/>
              <w:rPr>
                <w:rFonts w:ascii="Book Antiqua" w:hAnsi="Book Antiqua" w:cs="Calibri"/>
                <w:color w:val="000000"/>
                <w:sz w:val="16"/>
                <w:szCs w:val="16"/>
                <w:lang w:eastAsia="es-CR"/>
              </w:rPr>
            </w:pPr>
            <w:r w:rsidRPr="00EF7D33">
              <w:rPr>
                <w:rFonts w:ascii="Book Antiqua" w:hAnsi="Book Antiqua" w:cs="Calibri"/>
                <w:color w:val="000000"/>
                <w:sz w:val="16"/>
                <w:szCs w:val="16"/>
                <w:lang w:eastAsia="es-CR"/>
              </w:rPr>
              <w:t>108 %</w:t>
            </w:r>
          </w:p>
        </w:tc>
      </w:tr>
      <w:tr w:rsidR="003E16F3" w:rsidRPr="00EF7D33" w14:paraId="2A5E228E" w14:textId="77777777" w:rsidTr="00EF7D33">
        <w:trPr>
          <w:trHeight w:val="290"/>
          <w:jc w:val="center"/>
        </w:trPr>
        <w:tc>
          <w:tcPr>
            <w:tcW w:w="5336" w:type="dxa"/>
            <w:tcBorders>
              <w:top w:val="nil"/>
              <w:left w:val="single" w:sz="4" w:space="0" w:color="808080"/>
              <w:bottom w:val="single" w:sz="4" w:space="0" w:color="808080"/>
              <w:right w:val="single" w:sz="4" w:space="0" w:color="808080"/>
            </w:tcBorders>
            <w:shd w:val="clear" w:color="auto" w:fill="auto"/>
            <w:noWrap/>
            <w:vAlign w:val="bottom"/>
            <w:hideMark/>
          </w:tcPr>
          <w:p w14:paraId="0E3F0155" w14:textId="394FACCF" w:rsidR="003E16F3" w:rsidRPr="00EF7D33" w:rsidRDefault="003E16F3" w:rsidP="003E16F3">
            <w:pPr>
              <w:rPr>
                <w:rFonts w:ascii="Book Antiqua" w:hAnsi="Book Antiqua" w:cs="Calibri"/>
                <w:color w:val="000000"/>
                <w:sz w:val="16"/>
                <w:szCs w:val="16"/>
                <w:lang w:eastAsia="es-CR"/>
              </w:rPr>
            </w:pPr>
            <w:r w:rsidRPr="00EF7D33">
              <w:rPr>
                <w:rFonts w:ascii="Book Antiqua" w:hAnsi="Book Antiqua" w:cs="Calibri"/>
                <w:color w:val="000000"/>
                <w:sz w:val="16"/>
                <w:szCs w:val="16"/>
                <w:lang w:eastAsia="es-CR"/>
              </w:rPr>
              <w:t xml:space="preserve">Juzgado Penal de Pococí Guácimo </w:t>
            </w:r>
          </w:p>
        </w:tc>
        <w:tc>
          <w:tcPr>
            <w:tcW w:w="2260" w:type="dxa"/>
            <w:tcBorders>
              <w:top w:val="nil"/>
              <w:left w:val="nil"/>
              <w:bottom w:val="single" w:sz="4" w:space="0" w:color="808080"/>
              <w:right w:val="single" w:sz="4" w:space="0" w:color="808080"/>
            </w:tcBorders>
            <w:shd w:val="clear" w:color="auto" w:fill="auto"/>
            <w:noWrap/>
            <w:vAlign w:val="bottom"/>
            <w:hideMark/>
          </w:tcPr>
          <w:p w14:paraId="2222C14B" w14:textId="77777777" w:rsidR="003E16F3" w:rsidRPr="00EF7D33" w:rsidRDefault="003E16F3" w:rsidP="003E16F3">
            <w:pPr>
              <w:jc w:val="center"/>
              <w:rPr>
                <w:rFonts w:ascii="Book Antiqua" w:hAnsi="Book Antiqua" w:cs="Calibri"/>
                <w:color w:val="000000"/>
                <w:sz w:val="16"/>
                <w:szCs w:val="16"/>
                <w:lang w:eastAsia="es-CR"/>
              </w:rPr>
            </w:pPr>
            <w:r w:rsidRPr="00EF7D33">
              <w:rPr>
                <w:rFonts w:ascii="Book Antiqua" w:hAnsi="Book Antiqua" w:cs="Calibri"/>
                <w:color w:val="000000"/>
                <w:sz w:val="16"/>
                <w:szCs w:val="16"/>
                <w:lang w:eastAsia="es-CR"/>
              </w:rPr>
              <w:t>104 %</w:t>
            </w:r>
          </w:p>
        </w:tc>
      </w:tr>
      <w:tr w:rsidR="003E16F3" w:rsidRPr="00EF7D33" w14:paraId="351620A9" w14:textId="77777777" w:rsidTr="00EF7D33">
        <w:trPr>
          <w:trHeight w:val="290"/>
          <w:jc w:val="center"/>
        </w:trPr>
        <w:tc>
          <w:tcPr>
            <w:tcW w:w="5336" w:type="dxa"/>
            <w:tcBorders>
              <w:top w:val="nil"/>
              <w:left w:val="single" w:sz="4" w:space="0" w:color="808080"/>
              <w:bottom w:val="single" w:sz="4" w:space="0" w:color="808080"/>
              <w:right w:val="single" w:sz="4" w:space="0" w:color="808080"/>
            </w:tcBorders>
            <w:shd w:val="clear" w:color="auto" w:fill="auto"/>
            <w:noWrap/>
            <w:vAlign w:val="bottom"/>
            <w:hideMark/>
          </w:tcPr>
          <w:p w14:paraId="78605FEC" w14:textId="77777777" w:rsidR="003E16F3" w:rsidRPr="00EF7D33" w:rsidRDefault="003E16F3" w:rsidP="003E16F3">
            <w:pPr>
              <w:rPr>
                <w:rFonts w:ascii="Book Antiqua" w:hAnsi="Book Antiqua" w:cs="Calibri"/>
                <w:color w:val="000000"/>
                <w:sz w:val="16"/>
                <w:szCs w:val="16"/>
                <w:lang w:eastAsia="es-CR"/>
              </w:rPr>
            </w:pPr>
            <w:r w:rsidRPr="00EF7D33">
              <w:rPr>
                <w:rFonts w:ascii="Book Antiqua" w:hAnsi="Book Antiqua" w:cs="Calibri"/>
                <w:color w:val="000000"/>
                <w:sz w:val="16"/>
                <w:szCs w:val="16"/>
                <w:lang w:eastAsia="es-CR"/>
              </w:rPr>
              <w:t>Juzgado Penal de Quepos</w:t>
            </w:r>
          </w:p>
        </w:tc>
        <w:tc>
          <w:tcPr>
            <w:tcW w:w="2260" w:type="dxa"/>
            <w:tcBorders>
              <w:top w:val="nil"/>
              <w:left w:val="nil"/>
              <w:bottom w:val="single" w:sz="4" w:space="0" w:color="808080"/>
              <w:right w:val="single" w:sz="4" w:space="0" w:color="808080"/>
            </w:tcBorders>
            <w:shd w:val="clear" w:color="auto" w:fill="auto"/>
            <w:noWrap/>
            <w:vAlign w:val="bottom"/>
            <w:hideMark/>
          </w:tcPr>
          <w:p w14:paraId="244CE5BC" w14:textId="77777777" w:rsidR="003E16F3" w:rsidRPr="00EF7D33" w:rsidRDefault="003E16F3" w:rsidP="003E16F3">
            <w:pPr>
              <w:jc w:val="center"/>
              <w:rPr>
                <w:rFonts w:ascii="Book Antiqua" w:hAnsi="Book Antiqua" w:cs="Calibri"/>
                <w:color w:val="000000"/>
                <w:sz w:val="16"/>
                <w:szCs w:val="16"/>
                <w:lang w:eastAsia="es-CR"/>
              </w:rPr>
            </w:pPr>
            <w:r w:rsidRPr="00EF7D33">
              <w:rPr>
                <w:rFonts w:ascii="Book Antiqua" w:hAnsi="Book Antiqua" w:cs="Calibri"/>
                <w:color w:val="000000"/>
                <w:sz w:val="16"/>
                <w:szCs w:val="16"/>
                <w:lang w:eastAsia="es-CR"/>
              </w:rPr>
              <w:t>102 %</w:t>
            </w:r>
          </w:p>
        </w:tc>
      </w:tr>
      <w:tr w:rsidR="003E16F3" w:rsidRPr="00EF7D33" w14:paraId="731AAA73" w14:textId="77777777" w:rsidTr="00EF7D33">
        <w:trPr>
          <w:trHeight w:val="290"/>
          <w:jc w:val="center"/>
        </w:trPr>
        <w:tc>
          <w:tcPr>
            <w:tcW w:w="5336" w:type="dxa"/>
            <w:tcBorders>
              <w:top w:val="nil"/>
              <w:left w:val="single" w:sz="4" w:space="0" w:color="808080"/>
              <w:bottom w:val="single" w:sz="4" w:space="0" w:color="808080"/>
              <w:right w:val="single" w:sz="4" w:space="0" w:color="808080"/>
            </w:tcBorders>
            <w:shd w:val="clear" w:color="auto" w:fill="auto"/>
            <w:noWrap/>
            <w:vAlign w:val="bottom"/>
            <w:hideMark/>
          </w:tcPr>
          <w:p w14:paraId="2CEFB230" w14:textId="77777777" w:rsidR="003E16F3" w:rsidRPr="00EF7D33" w:rsidRDefault="003E16F3" w:rsidP="003E16F3">
            <w:pPr>
              <w:rPr>
                <w:rFonts w:ascii="Book Antiqua" w:hAnsi="Book Antiqua" w:cs="Calibri"/>
                <w:color w:val="000000"/>
                <w:sz w:val="16"/>
                <w:szCs w:val="16"/>
                <w:lang w:eastAsia="es-CR"/>
              </w:rPr>
            </w:pPr>
            <w:r w:rsidRPr="00EF7D33">
              <w:rPr>
                <w:rFonts w:ascii="Book Antiqua" w:hAnsi="Book Antiqua" w:cs="Calibri"/>
                <w:color w:val="000000"/>
                <w:sz w:val="16"/>
                <w:szCs w:val="16"/>
                <w:lang w:eastAsia="es-CR"/>
              </w:rPr>
              <w:t xml:space="preserve">Juzgado Penal de Talamanca </w:t>
            </w:r>
          </w:p>
        </w:tc>
        <w:tc>
          <w:tcPr>
            <w:tcW w:w="2260" w:type="dxa"/>
            <w:tcBorders>
              <w:top w:val="nil"/>
              <w:left w:val="nil"/>
              <w:bottom w:val="single" w:sz="4" w:space="0" w:color="808080"/>
              <w:right w:val="single" w:sz="4" w:space="0" w:color="808080"/>
            </w:tcBorders>
            <w:shd w:val="clear" w:color="auto" w:fill="auto"/>
            <w:noWrap/>
            <w:vAlign w:val="bottom"/>
            <w:hideMark/>
          </w:tcPr>
          <w:p w14:paraId="02939729" w14:textId="77777777" w:rsidR="003E16F3" w:rsidRPr="00EF7D33" w:rsidRDefault="003E16F3" w:rsidP="003E16F3">
            <w:pPr>
              <w:jc w:val="center"/>
              <w:rPr>
                <w:rFonts w:ascii="Book Antiqua" w:hAnsi="Book Antiqua" w:cs="Calibri"/>
                <w:color w:val="000000"/>
                <w:sz w:val="16"/>
                <w:szCs w:val="16"/>
                <w:lang w:eastAsia="es-CR"/>
              </w:rPr>
            </w:pPr>
            <w:r w:rsidRPr="00EF7D33">
              <w:rPr>
                <w:rFonts w:ascii="Book Antiqua" w:hAnsi="Book Antiqua" w:cs="Calibri"/>
                <w:color w:val="000000"/>
                <w:sz w:val="16"/>
                <w:szCs w:val="16"/>
                <w:lang w:eastAsia="es-CR"/>
              </w:rPr>
              <w:t>100 %</w:t>
            </w:r>
          </w:p>
        </w:tc>
      </w:tr>
      <w:tr w:rsidR="003E16F3" w:rsidRPr="00EF7D33" w14:paraId="381B24A0" w14:textId="77777777" w:rsidTr="00EF7D33">
        <w:trPr>
          <w:trHeight w:val="290"/>
          <w:jc w:val="center"/>
        </w:trPr>
        <w:tc>
          <w:tcPr>
            <w:tcW w:w="5336" w:type="dxa"/>
            <w:tcBorders>
              <w:top w:val="nil"/>
              <w:left w:val="single" w:sz="4" w:space="0" w:color="808080"/>
              <w:bottom w:val="single" w:sz="4" w:space="0" w:color="808080"/>
              <w:right w:val="single" w:sz="4" w:space="0" w:color="808080"/>
            </w:tcBorders>
            <w:shd w:val="clear" w:color="auto" w:fill="auto"/>
            <w:noWrap/>
            <w:vAlign w:val="bottom"/>
            <w:hideMark/>
          </w:tcPr>
          <w:p w14:paraId="610A0493" w14:textId="77777777" w:rsidR="003E16F3" w:rsidRPr="00EF7D33" w:rsidRDefault="003E16F3" w:rsidP="003E16F3">
            <w:pPr>
              <w:rPr>
                <w:rFonts w:ascii="Book Antiqua" w:hAnsi="Book Antiqua" w:cs="Calibri"/>
                <w:color w:val="000000"/>
                <w:sz w:val="16"/>
                <w:szCs w:val="16"/>
                <w:lang w:eastAsia="es-CR"/>
              </w:rPr>
            </w:pPr>
            <w:r w:rsidRPr="00EF7D33">
              <w:rPr>
                <w:rFonts w:ascii="Book Antiqua" w:hAnsi="Book Antiqua" w:cs="Calibri"/>
                <w:color w:val="000000"/>
                <w:sz w:val="16"/>
                <w:szCs w:val="16"/>
                <w:lang w:eastAsia="es-CR"/>
              </w:rPr>
              <w:t>Juzgado Penal de Puntarenas</w:t>
            </w:r>
          </w:p>
        </w:tc>
        <w:tc>
          <w:tcPr>
            <w:tcW w:w="2260" w:type="dxa"/>
            <w:tcBorders>
              <w:top w:val="nil"/>
              <w:left w:val="nil"/>
              <w:bottom w:val="single" w:sz="4" w:space="0" w:color="808080"/>
              <w:right w:val="single" w:sz="4" w:space="0" w:color="808080"/>
            </w:tcBorders>
            <w:shd w:val="clear" w:color="auto" w:fill="auto"/>
            <w:noWrap/>
            <w:vAlign w:val="bottom"/>
            <w:hideMark/>
          </w:tcPr>
          <w:p w14:paraId="585E637A" w14:textId="77777777" w:rsidR="003E16F3" w:rsidRPr="00EF7D33" w:rsidRDefault="003E16F3" w:rsidP="003E16F3">
            <w:pPr>
              <w:jc w:val="center"/>
              <w:rPr>
                <w:rFonts w:ascii="Book Antiqua" w:hAnsi="Book Antiqua" w:cs="Calibri"/>
                <w:color w:val="000000"/>
                <w:sz w:val="16"/>
                <w:szCs w:val="16"/>
                <w:lang w:eastAsia="es-CR"/>
              </w:rPr>
            </w:pPr>
            <w:r w:rsidRPr="00EF7D33">
              <w:rPr>
                <w:rFonts w:ascii="Book Antiqua" w:hAnsi="Book Antiqua" w:cs="Calibri"/>
                <w:color w:val="000000"/>
                <w:sz w:val="16"/>
                <w:szCs w:val="16"/>
                <w:lang w:eastAsia="es-CR"/>
              </w:rPr>
              <w:t>96 %</w:t>
            </w:r>
          </w:p>
        </w:tc>
      </w:tr>
      <w:tr w:rsidR="003E16F3" w:rsidRPr="00EF7D33" w14:paraId="3BC3B06D" w14:textId="77777777" w:rsidTr="00EF7D33">
        <w:trPr>
          <w:trHeight w:val="290"/>
          <w:jc w:val="center"/>
        </w:trPr>
        <w:tc>
          <w:tcPr>
            <w:tcW w:w="5336" w:type="dxa"/>
            <w:tcBorders>
              <w:top w:val="nil"/>
              <w:left w:val="single" w:sz="4" w:space="0" w:color="808080"/>
              <w:bottom w:val="single" w:sz="4" w:space="0" w:color="808080"/>
              <w:right w:val="single" w:sz="4" w:space="0" w:color="808080"/>
            </w:tcBorders>
            <w:shd w:val="clear" w:color="auto" w:fill="auto"/>
            <w:noWrap/>
            <w:vAlign w:val="bottom"/>
            <w:hideMark/>
          </w:tcPr>
          <w:p w14:paraId="0458D7C9" w14:textId="77777777" w:rsidR="003E16F3" w:rsidRPr="00EF7D33" w:rsidRDefault="003E16F3" w:rsidP="003E16F3">
            <w:pPr>
              <w:rPr>
                <w:rFonts w:ascii="Book Antiqua" w:hAnsi="Book Antiqua" w:cs="Calibri"/>
                <w:color w:val="000000"/>
                <w:sz w:val="16"/>
                <w:szCs w:val="16"/>
                <w:lang w:eastAsia="es-CR"/>
              </w:rPr>
            </w:pPr>
            <w:r w:rsidRPr="00EF7D33">
              <w:rPr>
                <w:rFonts w:ascii="Book Antiqua" w:hAnsi="Book Antiqua" w:cs="Calibri"/>
                <w:color w:val="000000"/>
                <w:sz w:val="16"/>
                <w:szCs w:val="16"/>
                <w:lang w:eastAsia="es-CR"/>
              </w:rPr>
              <w:t>Juzgado Penal de Batán</w:t>
            </w:r>
          </w:p>
        </w:tc>
        <w:tc>
          <w:tcPr>
            <w:tcW w:w="2260" w:type="dxa"/>
            <w:tcBorders>
              <w:top w:val="nil"/>
              <w:left w:val="nil"/>
              <w:bottom w:val="single" w:sz="4" w:space="0" w:color="808080"/>
              <w:right w:val="single" w:sz="4" w:space="0" w:color="808080"/>
            </w:tcBorders>
            <w:shd w:val="clear" w:color="auto" w:fill="auto"/>
            <w:noWrap/>
            <w:vAlign w:val="bottom"/>
            <w:hideMark/>
          </w:tcPr>
          <w:p w14:paraId="5F5ADC56" w14:textId="77777777" w:rsidR="003E16F3" w:rsidRPr="00EF7D33" w:rsidRDefault="003E16F3" w:rsidP="003E16F3">
            <w:pPr>
              <w:jc w:val="center"/>
              <w:rPr>
                <w:rFonts w:ascii="Book Antiqua" w:hAnsi="Book Antiqua" w:cs="Calibri"/>
                <w:color w:val="000000"/>
                <w:sz w:val="16"/>
                <w:szCs w:val="16"/>
                <w:lang w:eastAsia="es-CR"/>
              </w:rPr>
            </w:pPr>
            <w:r w:rsidRPr="00EF7D33">
              <w:rPr>
                <w:rFonts w:ascii="Book Antiqua" w:hAnsi="Book Antiqua" w:cs="Calibri"/>
                <w:color w:val="000000"/>
                <w:sz w:val="16"/>
                <w:szCs w:val="16"/>
                <w:lang w:eastAsia="es-CR"/>
              </w:rPr>
              <w:t>94 %</w:t>
            </w:r>
          </w:p>
        </w:tc>
      </w:tr>
      <w:tr w:rsidR="003E16F3" w:rsidRPr="00EF7D33" w14:paraId="789DA4E1" w14:textId="77777777" w:rsidTr="00EF7D33">
        <w:trPr>
          <w:trHeight w:val="290"/>
          <w:jc w:val="center"/>
        </w:trPr>
        <w:tc>
          <w:tcPr>
            <w:tcW w:w="5336" w:type="dxa"/>
            <w:tcBorders>
              <w:top w:val="nil"/>
              <w:left w:val="single" w:sz="4" w:space="0" w:color="808080"/>
              <w:bottom w:val="single" w:sz="4" w:space="0" w:color="808080"/>
              <w:right w:val="single" w:sz="4" w:space="0" w:color="808080"/>
            </w:tcBorders>
            <w:shd w:val="clear" w:color="auto" w:fill="auto"/>
            <w:noWrap/>
            <w:vAlign w:val="bottom"/>
            <w:hideMark/>
          </w:tcPr>
          <w:p w14:paraId="5D540FA0" w14:textId="2018BD89" w:rsidR="003E16F3" w:rsidRPr="00EF7D33" w:rsidRDefault="003E16F3" w:rsidP="003E16F3">
            <w:pPr>
              <w:rPr>
                <w:rFonts w:ascii="Book Antiqua" w:hAnsi="Book Antiqua" w:cs="Calibri"/>
                <w:color w:val="000000"/>
                <w:sz w:val="16"/>
                <w:szCs w:val="16"/>
                <w:lang w:eastAsia="es-CR"/>
              </w:rPr>
            </w:pPr>
            <w:r w:rsidRPr="00EF7D33">
              <w:rPr>
                <w:rFonts w:ascii="Book Antiqua" w:hAnsi="Book Antiqua" w:cs="Calibri"/>
                <w:color w:val="000000"/>
                <w:sz w:val="16"/>
                <w:szCs w:val="16"/>
                <w:lang w:eastAsia="es-CR"/>
              </w:rPr>
              <w:t>Juzgado Penal del III Circuito Judicial de San José</w:t>
            </w:r>
          </w:p>
        </w:tc>
        <w:tc>
          <w:tcPr>
            <w:tcW w:w="2260" w:type="dxa"/>
            <w:tcBorders>
              <w:top w:val="nil"/>
              <w:left w:val="nil"/>
              <w:bottom w:val="single" w:sz="4" w:space="0" w:color="808080"/>
              <w:right w:val="single" w:sz="4" w:space="0" w:color="808080"/>
            </w:tcBorders>
            <w:shd w:val="clear" w:color="auto" w:fill="auto"/>
            <w:noWrap/>
            <w:vAlign w:val="bottom"/>
            <w:hideMark/>
          </w:tcPr>
          <w:p w14:paraId="7CE858A5" w14:textId="77777777" w:rsidR="003E16F3" w:rsidRPr="00EF7D33" w:rsidRDefault="003E16F3" w:rsidP="003E16F3">
            <w:pPr>
              <w:jc w:val="center"/>
              <w:rPr>
                <w:rFonts w:ascii="Book Antiqua" w:hAnsi="Book Antiqua" w:cs="Calibri"/>
                <w:color w:val="000000"/>
                <w:sz w:val="16"/>
                <w:szCs w:val="16"/>
                <w:lang w:eastAsia="es-CR"/>
              </w:rPr>
            </w:pPr>
            <w:r w:rsidRPr="00EF7D33">
              <w:rPr>
                <w:rFonts w:ascii="Book Antiqua" w:hAnsi="Book Antiqua" w:cs="Calibri"/>
                <w:color w:val="000000"/>
                <w:sz w:val="16"/>
                <w:szCs w:val="16"/>
                <w:lang w:eastAsia="es-CR"/>
              </w:rPr>
              <w:t>94 %</w:t>
            </w:r>
          </w:p>
        </w:tc>
      </w:tr>
      <w:tr w:rsidR="003E16F3" w:rsidRPr="00EF7D33" w14:paraId="09B9DE17" w14:textId="77777777" w:rsidTr="00EF7D33">
        <w:trPr>
          <w:trHeight w:val="290"/>
          <w:jc w:val="center"/>
        </w:trPr>
        <w:tc>
          <w:tcPr>
            <w:tcW w:w="5336" w:type="dxa"/>
            <w:tcBorders>
              <w:top w:val="nil"/>
              <w:left w:val="single" w:sz="4" w:space="0" w:color="808080"/>
              <w:bottom w:val="single" w:sz="4" w:space="0" w:color="808080"/>
              <w:right w:val="single" w:sz="4" w:space="0" w:color="808080"/>
            </w:tcBorders>
            <w:shd w:val="clear" w:color="auto" w:fill="auto"/>
            <w:noWrap/>
            <w:vAlign w:val="bottom"/>
            <w:hideMark/>
          </w:tcPr>
          <w:p w14:paraId="52CB3E27" w14:textId="77777777" w:rsidR="003E16F3" w:rsidRPr="00EF7D33" w:rsidRDefault="003E16F3" w:rsidP="003E16F3">
            <w:pPr>
              <w:rPr>
                <w:rFonts w:ascii="Book Antiqua" w:hAnsi="Book Antiqua" w:cs="Calibri"/>
                <w:color w:val="000000"/>
                <w:sz w:val="16"/>
                <w:szCs w:val="16"/>
                <w:lang w:eastAsia="es-CR"/>
              </w:rPr>
            </w:pPr>
            <w:r w:rsidRPr="00EF7D33">
              <w:rPr>
                <w:rFonts w:ascii="Book Antiqua" w:hAnsi="Book Antiqua" w:cs="Calibri"/>
                <w:color w:val="000000"/>
                <w:sz w:val="16"/>
                <w:szCs w:val="16"/>
                <w:lang w:eastAsia="es-CR"/>
              </w:rPr>
              <w:t>Juzgado Penal de Pavas</w:t>
            </w:r>
          </w:p>
        </w:tc>
        <w:tc>
          <w:tcPr>
            <w:tcW w:w="2260" w:type="dxa"/>
            <w:tcBorders>
              <w:top w:val="nil"/>
              <w:left w:val="nil"/>
              <w:bottom w:val="single" w:sz="4" w:space="0" w:color="808080"/>
              <w:right w:val="single" w:sz="4" w:space="0" w:color="808080"/>
            </w:tcBorders>
            <w:shd w:val="clear" w:color="auto" w:fill="auto"/>
            <w:noWrap/>
            <w:vAlign w:val="bottom"/>
            <w:hideMark/>
          </w:tcPr>
          <w:p w14:paraId="5A1C4618" w14:textId="77777777" w:rsidR="003E16F3" w:rsidRPr="00EF7D33" w:rsidRDefault="003E16F3" w:rsidP="003E16F3">
            <w:pPr>
              <w:jc w:val="center"/>
              <w:rPr>
                <w:rFonts w:ascii="Book Antiqua" w:hAnsi="Book Antiqua" w:cs="Calibri"/>
                <w:color w:val="000000"/>
                <w:sz w:val="16"/>
                <w:szCs w:val="16"/>
                <w:lang w:eastAsia="es-CR"/>
              </w:rPr>
            </w:pPr>
            <w:r w:rsidRPr="00EF7D33">
              <w:rPr>
                <w:rFonts w:ascii="Book Antiqua" w:hAnsi="Book Antiqua" w:cs="Calibri"/>
                <w:color w:val="000000"/>
                <w:sz w:val="16"/>
                <w:szCs w:val="16"/>
                <w:lang w:eastAsia="es-CR"/>
              </w:rPr>
              <w:t>88 %</w:t>
            </w:r>
          </w:p>
        </w:tc>
      </w:tr>
      <w:tr w:rsidR="003E16F3" w:rsidRPr="00EF7D33" w14:paraId="1B44FFB4" w14:textId="77777777" w:rsidTr="00EF7D33">
        <w:trPr>
          <w:trHeight w:val="290"/>
          <w:jc w:val="center"/>
        </w:trPr>
        <w:tc>
          <w:tcPr>
            <w:tcW w:w="5336" w:type="dxa"/>
            <w:tcBorders>
              <w:top w:val="nil"/>
              <w:left w:val="single" w:sz="4" w:space="0" w:color="808080"/>
              <w:bottom w:val="single" w:sz="4" w:space="0" w:color="808080"/>
              <w:right w:val="single" w:sz="4" w:space="0" w:color="808080"/>
            </w:tcBorders>
            <w:shd w:val="clear" w:color="auto" w:fill="auto"/>
            <w:noWrap/>
            <w:vAlign w:val="bottom"/>
            <w:hideMark/>
          </w:tcPr>
          <w:p w14:paraId="3A89C3E4" w14:textId="77777777" w:rsidR="003E16F3" w:rsidRPr="00EF7D33" w:rsidRDefault="003E16F3" w:rsidP="003E16F3">
            <w:pPr>
              <w:rPr>
                <w:rFonts w:ascii="Book Antiqua" w:hAnsi="Book Antiqua" w:cs="Calibri"/>
                <w:color w:val="000000"/>
                <w:sz w:val="16"/>
                <w:szCs w:val="16"/>
                <w:lang w:eastAsia="es-CR"/>
              </w:rPr>
            </w:pPr>
            <w:r w:rsidRPr="00EF7D33">
              <w:rPr>
                <w:rFonts w:ascii="Book Antiqua" w:hAnsi="Book Antiqua" w:cs="Calibri"/>
                <w:color w:val="000000"/>
                <w:sz w:val="16"/>
                <w:szCs w:val="16"/>
                <w:lang w:eastAsia="es-CR"/>
              </w:rPr>
              <w:t xml:space="preserve">Juzgado Penal de Heredia </w:t>
            </w:r>
          </w:p>
        </w:tc>
        <w:tc>
          <w:tcPr>
            <w:tcW w:w="2260" w:type="dxa"/>
            <w:tcBorders>
              <w:top w:val="nil"/>
              <w:left w:val="nil"/>
              <w:bottom w:val="single" w:sz="4" w:space="0" w:color="808080"/>
              <w:right w:val="single" w:sz="4" w:space="0" w:color="808080"/>
            </w:tcBorders>
            <w:shd w:val="clear" w:color="auto" w:fill="auto"/>
            <w:noWrap/>
            <w:vAlign w:val="bottom"/>
            <w:hideMark/>
          </w:tcPr>
          <w:p w14:paraId="522CC9C2" w14:textId="77777777" w:rsidR="003E16F3" w:rsidRPr="00EF7D33" w:rsidRDefault="003E16F3" w:rsidP="003E16F3">
            <w:pPr>
              <w:jc w:val="center"/>
              <w:rPr>
                <w:rFonts w:ascii="Book Antiqua" w:hAnsi="Book Antiqua" w:cs="Calibri"/>
                <w:color w:val="000000"/>
                <w:sz w:val="16"/>
                <w:szCs w:val="16"/>
                <w:lang w:eastAsia="es-CR"/>
              </w:rPr>
            </w:pPr>
            <w:r w:rsidRPr="00EF7D33">
              <w:rPr>
                <w:rFonts w:ascii="Book Antiqua" w:hAnsi="Book Antiqua" w:cs="Calibri"/>
                <w:color w:val="000000"/>
                <w:sz w:val="16"/>
                <w:szCs w:val="16"/>
                <w:lang w:eastAsia="es-CR"/>
              </w:rPr>
              <w:t>83 %</w:t>
            </w:r>
          </w:p>
        </w:tc>
      </w:tr>
      <w:tr w:rsidR="003E16F3" w:rsidRPr="00EF7D33" w14:paraId="660C611C" w14:textId="77777777" w:rsidTr="00EF7D33">
        <w:trPr>
          <w:trHeight w:val="290"/>
          <w:jc w:val="center"/>
        </w:trPr>
        <w:tc>
          <w:tcPr>
            <w:tcW w:w="5336" w:type="dxa"/>
            <w:tcBorders>
              <w:top w:val="nil"/>
              <w:left w:val="single" w:sz="4" w:space="0" w:color="808080"/>
              <w:bottom w:val="single" w:sz="4" w:space="0" w:color="808080"/>
              <w:right w:val="single" w:sz="4" w:space="0" w:color="808080"/>
            </w:tcBorders>
            <w:shd w:val="clear" w:color="auto" w:fill="auto"/>
            <w:noWrap/>
            <w:vAlign w:val="bottom"/>
            <w:hideMark/>
          </w:tcPr>
          <w:p w14:paraId="41126944" w14:textId="77777777" w:rsidR="003E16F3" w:rsidRPr="00EF7D33" w:rsidRDefault="003E16F3" w:rsidP="003E16F3">
            <w:pPr>
              <w:rPr>
                <w:rFonts w:ascii="Book Antiqua" w:hAnsi="Book Antiqua" w:cs="Calibri"/>
                <w:color w:val="000000"/>
                <w:sz w:val="16"/>
                <w:szCs w:val="16"/>
                <w:lang w:eastAsia="es-CR"/>
              </w:rPr>
            </w:pPr>
            <w:r w:rsidRPr="00EF7D33">
              <w:rPr>
                <w:rFonts w:ascii="Book Antiqua" w:hAnsi="Book Antiqua" w:cs="Calibri"/>
                <w:color w:val="000000"/>
                <w:sz w:val="16"/>
                <w:szCs w:val="16"/>
                <w:lang w:eastAsia="es-CR"/>
              </w:rPr>
              <w:t xml:space="preserve">Juzgado Penal de Hatillo </w:t>
            </w:r>
          </w:p>
        </w:tc>
        <w:tc>
          <w:tcPr>
            <w:tcW w:w="2260" w:type="dxa"/>
            <w:tcBorders>
              <w:top w:val="nil"/>
              <w:left w:val="nil"/>
              <w:bottom w:val="single" w:sz="4" w:space="0" w:color="808080"/>
              <w:right w:val="single" w:sz="4" w:space="0" w:color="808080"/>
            </w:tcBorders>
            <w:shd w:val="clear" w:color="auto" w:fill="auto"/>
            <w:noWrap/>
            <w:vAlign w:val="bottom"/>
            <w:hideMark/>
          </w:tcPr>
          <w:p w14:paraId="7A5D3D7A" w14:textId="77777777" w:rsidR="003E16F3" w:rsidRPr="00EF7D33" w:rsidRDefault="003E16F3" w:rsidP="003E16F3">
            <w:pPr>
              <w:jc w:val="center"/>
              <w:rPr>
                <w:rFonts w:ascii="Book Antiqua" w:hAnsi="Book Antiqua" w:cs="Calibri"/>
                <w:color w:val="000000"/>
                <w:sz w:val="16"/>
                <w:szCs w:val="16"/>
                <w:lang w:eastAsia="es-CR"/>
              </w:rPr>
            </w:pPr>
            <w:r w:rsidRPr="00EF7D33">
              <w:rPr>
                <w:rFonts w:ascii="Book Antiqua" w:hAnsi="Book Antiqua" w:cs="Calibri"/>
                <w:color w:val="000000"/>
                <w:sz w:val="16"/>
                <w:szCs w:val="16"/>
                <w:lang w:eastAsia="es-CR"/>
              </w:rPr>
              <w:t>82 %</w:t>
            </w:r>
          </w:p>
        </w:tc>
      </w:tr>
      <w:tr w:rsidR="003E16F3" w:rsidRPr="00EF7D33" w14:paraId="144586D1" w14:textId="77777777" w:rsidTr="00EF7D33">
        <w:trPr>
          <w:trHeight w:val="290"/>
          <w:jc w:val="center"/>
        </w:trPr>
        <w:tc>
          <w:tcPr>
            <w:tcW w:w="5336" w:type="dxa"/>
            <w:tcBorders>
              <w:top w:val="nil"/>
              <w:left w:val="single" w:sz="4" w:space="0" w:color="808080"/>
              <w:bottom w:val="single" w:sz="4" w:space="0" w:color="808080"/>
              <w:right w:val="single" w:sz="4" w:space="0" w:color="808080"/>
            </w:tcBorders>
            <w:shd w:val="clear" w:color="auto" w:fill="auto"/>
            <w:noWrap/>
            <w:vAlign w:val="bottom"/>
            <w:hideMark/>
          </w:tcPr>
          <w:p w14:paraId="03F66FAE" w14:textId="77777777" w:rsidR="003E16F3" w:rsidRPr="00EF7D33" w:rsidRDefault="003E16F3" w:rsidP="003E16F3">
            <w:pPr>
              <w:rPr>
                <w:rFonts w:ascii="Book Antiqua" w:hAnsi="Book Antiqua" w:cs="Calibri"/>
                <w:color w:val="000000"/>
                <w:sz w:val="16"/>
                <w:szCs w:val="16"/>
                <w:lang w:eastAsia="es-CR"/>
              </w:rPr>
            </w:pPr>
            <w:r w:rsidRPr="00EF7D33">
              <w:rPr>
                <w:rFonts w:ascii="Book Antiqua" w:hAnsi="Book Antiqua" w:cs="Calibri"/>
                <w:color w:val="000000"/>
                <w:sz w:val="16"/>
                <w:szCs w:val="16"/>
                <w:lang w:eastAsia="es-CR"/>
              </w:rPr>
              <w:t>Juzgado Penal del I Circuito Judicial de Alajuela</w:t>
            </w:r>
          </w:p>
        </w:tc>
        <w:tc>
          <w:tcPr>
            <w:tcW w:w="2260" w:type="dxa"/>
            <w:tcBorders>
              <w:top w:val="nil"/>
              <w:left w:val="nil"/>
              <w:bottom w:val="single" w:sz="4" w:space="0" w:color="808080"/>
              <w:right w:val="single" w:sz="4" w:space="0" w:color="808080"/>
            </w:tcBorders>
            <w:shd w:val="clear" w:color="auto" w:fill="auto"/>
            <w:noWrap/>
            <w:vAlign w:val="bottom"/>
            <w:hideMark/>
          </w:tcPr>
          <w:p w14:paraId="20270708" w14:textId="77777777" w:rsidR="003E16F3" w:rsidRPr="00EF7D33" w:rsidRDefault="003E16F3" w:rsidP="003E16F3">
            <w:pPr>
              <w:jc w:val="center"/>
              <w:rPr>
                <w:rFonts w:ascii="Book Antiqua" w:hAnsi="Book Antiqua" w:cs="Calibri"/>
                <w:color w:val="000000"/>
                <w:sz w:val="16"/>
                <w:szCs w:val="16"/>
                <w:lang w:eastAsia="es-CR"/>
              </w:rPr>
            </w:pPr>
            <w:r w:rsidRPr="00EF7D33">
              <w:rPr>
                <w:rFonts w:ascii="Book Antiqua" w:hAnsi="Book Antiqua" w:cs="Calibri"/>
                <w:color w:val="000000"/>
                <w:sz w:val="16"/>
                <w:szCs w:val="16"/>
                <w:lang w:eastAsia="es-CR"/>
              </w:rPr>
              <w:t>79 %</w:t>
            </w:r>
          </w:p>
        </w:tc>
      </w:tr>
      <w:tr w:rsidR="003E16F3" w:rsidRPr="00EF7D33" w14:paraId="37249C82" w14:textId="77777777" w:rsidTr="00EF7D33">
        <w:trPr>
          <w:trHeight w:val="290"/>
          <w:jc w:val="center"/>
        </w:trPr>
        <w:tc>
          <w:tcPr>
            <w:tcW w:w="5336" w:type="dxa"/>
            <w:tcBorders>
              <w:top w:val="nil"/>
              <w:left w:val="single" w:sz="4" w:space="0" w:color="808080"/>
              <w:bottom w:val="single" w:sz="4" w:space="0" w:color="808080"/>
              <w:right w:val="single" w:sz="4" w:space="0" w:color="808080"/>
            </w:tcBorders>
            <w:shd w:val="clear" w:color="auto" w:fill="auto"/>
            <w:noWrap/>
            <w:vAlign w:val="bottom"/>
            <w:hideMark/>
          </w:tcPr>
          <w:p w14:paraId="4A51A949" w14:textId="106072C1" w:rsidR="003E16F3" w:rsidRPr="00EF7D33" w:rsidRDefault="003E16F3" w:rsidP="003E16F3">
            <w:pPr>
              <w:rPr>
                <w:rFonts w:ascii="Book Antiqua" w:hAnsi="Book Antiqua" w:cs="Calibri"/>
                <w:color w:val="000000"/>
                <w:sz w:val="16"/>
                <w:szCs w:val="16"/>
                <w:lang w:eastAsia="es-CR"/>
              </w:rPr>
            </w:pPr>
            <w:r w:rsidRPr="00EF7D33">
              <w:rPr>
                <w:rFonts w:ascii="Book Antiqua" w:hAnsi="Book Antiqua" w:cs="Calibri"/>
                <w:color w:val="000000"/>
                <w:sz w:val="16"/>
                <w:szCs w:val="16"/>
                <w:lang w:eastAsia="es-CR"/>
              </w:rPr>
              <w:t>Juzgado Penal del I Circuito Judicial de Alajuela, Sede Atenas</w:t>
            </w:r>
          </w:p>
        </w:tc>
        <w:tc>
          <w:tcPr>
            <w:tcW w:w="2260" w:type="dxa"/>
            <w:tcBorders>
              <w:top w:val="nil"/>
              <w:left w:val="nil"/>
              <w:bottom w:val="single" w:sz="4" w:space="0" w:color="808080"/>
              <w:right w:val="single" w:sz="4" w:space="0" w:color="808080"/>
            </w:tcBorders>
            <w:shd w:val="clear" w:color="auto" w:fill="auto"/>
            <w:noWrap/>
            <w:vAlign w:val="bottom"/>
            <w:hideMark/>
          </w:tcPr>
          <w:p w14:paraId="39D8398D" w14:textId="77777777" w:rsidR="003E16F3" w:rsidRPr="00EF7D33" w:rsidRDefault="003E16F3" w:rsidP="003E16F3">
            <w:pPr>
              <w:jc w:val="center"/>
              <w:rPr>
                <w:rFonts w:ascii="Book Antiqua" w:hAnsi="Book Antiqua" w:cs="Calibri"/>
                <w:color w:val="000000"/>
                <w:sz w:val="16"/>
                <w:szCs w:val="16"/>
                <w:lang w:eastAsia="es-CR"/>
              </w:rPr>
            </w:pPr>
            <w:r w:rsidRPr="00EF7D33">
              <w:rPr>
                <w:rFonts w:ascii="Book Antiqua" w:hAnsi="Book Antiqua" w:cs="Calibri"/>
                <w:color w:val="000000"/>
                <w:sz w:val="16"/>
                <w:szCs w:val="16"/>
                <w:lang w:eastAsia="es-CR"/>
              </w:rPr>
              <w:t>69 %</w:t>
            </w:r>
          </w:p>
        </w:tc>
      </w:tr>
      <w:tr w:rsidR="003E16F3" w:rsidRPr="00EF7D33" w14:paraId="13D366FE" w14:textId="77777777" w:rsidTr="00EF7D33">
        <w:trPr>
          <w:trHeight w:val="290"/>
          <w:jc w:val="center"/>
        </w:trPr>
        <w:tc>
          <w:tcPr>
            <w:tcW w:w="5336" w:type="dxa"/>
            <w:tcBorders>
              <w:top w:val="nil"/>
              <w:left w:val="single" w:sz="4" w:space="0" w:color="808080"/>
              <w:bottom w:val="single" w:sz="4" w:space="0" w:color="808080"/>
              <w:right w:val="single" w:sz="4" w:space="0" w:color="808080"/>
            </w:tcBorders>
            <w:shd w:val="clear" w:color="auto" w:fill="auto"/>
            <w:noWrap/>
            <w:vAlign w:val="bottom"/>
            <w:hideMark/>
          </w:tcPr>
          <w:p w14:paraId="1294E93E" w14:textId="47325B56" w:rsidR="003E16F3" w:rsidRPr="00EF7D33" w:rsidRDefault="003E16F3" w:rsidP="003E16F3">
            <w:pPr>
              <w:rPr>
                <w:rFonts w:ascii="Book Antiqua" w:hAnsi="Book Antiqua" w:cs="Calibri"/>
                <w:color w:val="000000"/>
                <w:sz w:val="16"/>
                <w:szCs w:val="16"/>
                <w:lang w:eastAsia="es-CR"/>
              </w:rPr>
            </w:pPr>
            <w:r w:rsidRPr="00EF7D33">
              <w:rPr>
                <w:rFonts w:ascii="Book Antiqua" w:hAnsi="Book Antiqua" w:cs="Calibri"/>
                <w:color w:val="000000"/>
                <w:sz w:val="16"/>
                <w:szCs w:val="16"/>
                <w:lang w:eastAsia="es-CR"/>
              </w:rPr>
              <w:t xml:space="preserve">Juzgado Penal del II Circuito Judicial de La Zona Sur </w:t>
            </w:r>
          </w:p>
        </w:tc>
        <w:tc>
          <w:tcPr>
            <w:tcW w:w="2260" w:type="dxa"/>
            <w:tcBorders>
              <w:top w:val="nil"/>
              <w:left w:val="nil"/>
              <w:bottom w:val="single" w:sz="4" w:space="0" w:color="808080"/>
              <w:right w:val="single" w:sz="4" w:space="0" w:color="808080"/>
            </w:tcBorders>
            <w:shd w:val="clear" w:color="auto" w:fill="auto"/>
            <w:noWrap/>
            <w:vAlign w:val="bottom"/>
            <w:hideMark/>
          </w:tcPr>
          <w:p w14:paraId="75C4A3F8" w14:textId="77777777" w:rsidR="003E16F3" w:rsidRPr="00EF7D33" w:rsidRDefault="003E16F3" w:rsidP="003E16F3">
            <w:pPr>
              <w:jc w:val="center"/>
              <w:rPr>
                <w:rFonts w:ascii="Book Antiqua" w:hAnsi="Book Antiqua" w:cs="Calibri"/>
                <w:color w:val="000000"/>
                <w:sz w:val="16"/>
                <w:szCs w:val="16"/>
                <w:lang w:eastAsia="es-CR"/>
              </w:rPr>
            </w:pPr>
            <w:r w:rsidRPr="00EF7D33">
              <w:rPr>
                <w:rFonts w:ascii="Book Antiqua" w:hAnsi="Book Antiqua" w:cs="Calibri"/>
                <w:color w:val="000000"/>
                <w:sz w:val="16"/>
                <w:szCs w:val="16"/>
                <w:lang w:eastAsia="es-CR"/>
              </w:rPr>
              <w:t>65 %</w:t>
            </w:r>
          </w:p>
        </w:tc>
      </w:tr>
      <w:tr w:rsidR="003E16F3" w:rsidRPr="00EF7D33" w14:paraId="07E3BB64" w14:textId="77777777" w:rsidTr="00EF7D33">
        <w:trPr>
          <w:trHeight w:val="290"/>
          <w:jc w:val="center"/>
        </w:trPr>
        <w:tc>
          <w:tcPr>
            <w:tcW w:w="5336" w:type="dxa"/>
            <w:tcBorders>
              <w:top w:val="nil"/>
              <w:left w:val="single" w:sz="4" w:space="0" w:color="808080"/>
              <w:bottom w:val="single" w:sz="4" w:space="0" w:color="808080"/>
              <w:right w:val="single" w:sz="4" w:space="0" w:color="808080"/>
            </w:tcBorders>
            <w:shd w:val="clear" w:color="auto" w:fill="auto"/>
            <w:noWrap/>
            <w:vAlign w:val="bottom"/>
            <w:hideMark/>
          </w:tcPr>
          <w:p w14:paraId="3022E887" w14:textId="77777777" w:rsidR="003E16F3" w:rsidRPr="00EF7D33" w:rsidRDefault="003E16F3" w:rsidP="003E16F3">
            <w:pPr>
              <w:rPr>
                <w:rFonts w:ascii="Book Antiqua" w:hAnsi="Book Antiqua" w:cs="Calibri"/>
                <w:color w:val="000000"/>
                <w:sz w:val="16"/>
                <w:szCs w:val="16"/>
                <w:lang w:eastAsia="es-CR"/>
              </w:rPr>
            </w:pPr>
            <w:r w:rsidRPr="00EF7D33">
              <w:rPr>
                <w:rFonts w:ascii="Book Antiqua" w:hAnsi="Book Antiqua" w:cs="Calibri"/>
                <w:color w:val="000000"/>
                <w:sz w:val="16"/>
                <w:szCs w:val="16"/>
                <w:lang w:eastAsia="es-CR"/>
              </w:rPr>
              <w:t xml:space="preserve">Juzgado Penal de Golfito </w:t>
            </w:r>
          </w:p>
        </w:tc>
        <w:tc>
          <w:tcPr>
            <w:tcW w:w="2260" w:type="dxa"/>
            <w:tcBorders>
              <w:top w:val="nil"/>
              <w:left w:val="nil"/>
              <w:bottom w:val="single" w:sz="4" w:space="0" w:color="808080"/>
              <w:right w:val="single" w:sz="4" w:space="0" w:color="808080"/>
            </w:tcBorders>
            <w:shd w:val="clear" w:color="auto" w:fill="auto"/>
            <w:noWrap/>
            <w:vAlign w:val="bottom"/>
            <w:hideMark/>
          </w:tcPr>
          <w:p w14:paraId="463F5D1B" w14:textId="77777777" w:rsidR="003E16F3" w:rsidRPr="00EF7D33" w:rsidRDefault="003E16F3" w:rsidP="003E16F3">
            <w:pPr>
              <w:jc w:val="center"/>
              <w:rPr>
                <w:rFonts w:ascii="Book Antiqua" w:hAnsi="Book Antiqua" w:cs="Calibri"/>
                <w:color w:val="000000"/>
                <w:sz w:val="16"/>
                <w:szCs w:val="16"/>
                <w:lang w:eastAsia="es-CR"/>
              </w:rPr>
            </w:pPr>
            <w:r w:rsidRPr="00EF7D33">
              <w:rPr>
                <w:rFonts w:ascii="Book Antiqua" w:hAnsi="Book Antiqua" w:cs="Calibri"/>
                <w:color w:val="000000"/>
                <w:sz w:val="16"/>
                <w:szCs w:val="16"/>
                <w:lang w:eastAsia="es-CR"/>
              </w:rPr>
              <w:t>63 %</w:t>
            </w:r>
          </w:p>
        </w:tc>
      </w:tr>
      <w:tr w:rsidR="003E16F3" w:rsidRPr="00EF7D33" w14:paraId="49909750" w14:textId="77777777" w:rsidTr="00EF7D33">
        <w:trPr>
          <w:trHeight w:val="290"/>
          <w:jc w:val="center"/>
        </w:trPr>
        <w:tc>
          <w:tcPr>
            <w:tcW w:w="5336" w:type="dxa"/>
            <w:tcBorders>
              <w:top w:val="nil"/>
              <w:left w:val="single" w:sz="4" w:space="0" w:color="808080"/>
              <w:bottom w:val="single" w:sz="4" w:space="0" w:color="808080"/>
              <w:right w:val="single" w:sz="4" w:space="0" w:color="808080"/>
            </w:tcBorders>
            <w:shd w:val="clear" w:color="auto" w:fill="auto"/>
            <w:noWrap/>
            <w:vAlign w:val="bottom"/>
            <w:hideMark/>
          </w:tcPr>
          <w:p w14:paraId="469891FE" w14:textId="77777777" w:rsidR="003E16F3" w:rsidRPr="00EF7D33" w:rsidRDefault="003E16F3" w:rsidP="003E16F3">
            <w:pPr>
              <w:rPr>
                <w:rFonts w:ascii="Book Antiqua" w:hAnsi="Book Antiqua" w:cs="Calibri"/>
                <w:color w:val="000000"/>
                <w:sz w:val="16"/>
                <w:szCs w:val="16"/>
                <w:lang w:eastAsia="es-CR"/>
              </w:rPr>
            </w:pPr>
            <w:r w:rsidRPr="00EF7D33">
              <w:rPr>
                <w:rFonts w:ascii="Book Antiqua" w:hAnsi="Book Antiqua" w:cs="Calibri"/>
                <w:color w:val="000000"/>
                <w:sz w:val="16"/>
                <w:szCs w:val="16"/>
                <w:lang w:eastAsia="es-CR"/>
              </w:rPr>
              <w:t>Juzgado Penal de Upala</w:t>
            </w:r>
          </w:p>
        </w:tc>
        <w:tc>
          <w:tcPr>
            <w:tcW w:w="2260" w:type="dxa"/>
            <w:tcBorders>
              <w:top w:val="nil"/>
              <w:left w:val="nil"/>
              <w:bottom w:val="single" w:sz="4" w:space="0" w:color="808080"/>
              <w:right w:val="single" w:sz="4" w:space="0" w:color="808080"/>
            </w:tcBorders>
            <w:shd w:val="clear" w:color="auto" w:fill="auto"/>
            <w:noWrap/>
            <w:vAlign w:val="bottom"/>
            <w:hideMark/>
          </w:tcPr>
          <w:p w14:paraId="66258C9F" w14:textId="77777777" w:rsidR="003E16F3" w:rsidRPr="00EF7D33" w:rsidRDefault="003E16F3" w:rsidP="003E16F3">
            <w:pPr>
              <w:jc w:val="center"/>
              <w:rPr>
                <w:rFonts w:ascii="Book Antiqua" w:hAnsi="Book Antiqua" w:cs="Calibri"/>
                <w:color w:val="000000"/>
                <w:sz w:val="16"/>
                <w:szCs w:val="16"/>
                <w:lang w:eastAsia="es-CR"/>
              </w:rPr>
            </w:pPr>
            <w:r w:rsidRPr="00EF7D33">
              <w:rPr>
                <w:rFonts w:ascii="Book Antiqua" w:hAnsi="Book Antiqua" w:cs="Calibri"/>
                <w:color w:val="000000"/>
                <w:sz w:val="16"/>
                <w:szCs w:val="16"/>
                <w:lang w:eastAsia="es-CR"/>
              </w:rPr>
              <w:t>62 %</w:t>
            </w:r>
          </w:p>
        </w:tc>
      </w:tr>
      <w:tr w:rsidR="003E16F3" w:rsidRPr="00EF7D33" w14:paraId="2EFB90B7" w14:textId="77777777" w:rsidTr="00EF7D33">
        <w:trPr>
          <w:trHeight w:val="290"/>
          <w:jc w:val="center"/>
        </w:trPr>
        <w:tc>
          <w:tcPr>
            <w:tcW w:w="5336" w:type="dxa"/>
            <w:tcBorders>
              <w:top w:val="nil"/>
              <w:left w:val="single" w:sz="4" w:space="0" w:color="808080"/>
              <w:bottom w:val="single" w:sz="4" w:space="0" w:color="808080"/>
              <w:right w:val="single" w:sz="4" w:space="0" w:color="808080"/>
            </w:tcBorders>
            <w:shd w:val="clear" w:color="auto" w:fill="auto"/>
            <w:noWrap/>
            <w:vAlign w:val="bottom"/>
            <w:hideMark/>
          </w:tcPr>
          <w:p w14:paraId="4B09B2F3" w14:textId="3BB7AFC1" w:rsidR="003E16F3" w:rsidRPr="00EF7D33" w:rsidRDefault="003E16F3" w:rsidP="003E16F3">
            <w:pPr>
              <w:rPr>
                <w:rFonts w:ascii="Book Antiqua" w:hAnsi="Book Antiqua" w:cs="Calibri"/>
                <w:color w:val="000000"/>
                <w:sz w:val="16"/>
                <w:szCs w:val="16"/>
                <w:lang w:eastAsia="es-CR"/>
              </w:rPr>
            </w:pPr>
            <w:r w:rsidRPr="00EF7D33">
              <w:rPr>
                <w:rFonts w:ascii="Book Antiqua" w:hAnsi="Book Antiqua" w:cs="Calibri"/>
                <w:color w:val="000000"/>
                <w:sz w:val="16"/>
                <w:szCs w:val="16"/>
                <w:lang w:eastAsia="es-CR"/>
              </w:rPr>
              <w:t xml:space="preserve">Juzgado Penal del II Circuito Judicial de San José </w:t>
            </w:r>
          </w:p>
        </w:tc>
        <w:tc>
          <w:tcPr>
            <w:tcW w:w="2260" w:type="dxa"/>
            <w:tcBorders>
              <w:top w:val="nil"/>
              <w:left w:val="nil"/>
              <w:bottom w:val="single" w:sz="4" w:space="0" w:color="808080"/>
              <w:right w:val="single" w:sz="4" w:space="0" w:color="808080"/>
            </w:tcBorders>
            <w:shd w:val="clear" w:color="auto" w:fill="auto"/>
            <w:noWrap/>
            <w:vAlign w:val="bottom"/>
            <w:hideMark/>
          </w:tcPr>
          <w:p w14:paraId="4E22FAC7" w14:textId="77777777" w:rsidR="003E16F3" w:rsidRPr="00EF7D33" w:rsidRDefault="003E16F3" w:rsidP="003E16F3">
            <w:pPr>
              <w:jc w:val="center"/>
              <w:rPr>
                <w:rFonts w:ascii="Book Antiqua" w:hAnsi="Book Antiqua" w:cs="Calibri"/>
                <w:color w:val="000000"/>
                <w:sz w:val="16"/>
                <w:szCs w:val="16"/>
                <w:lang w:eastAsia="es-CR"/>
              </w:rPr>
            </w:pPr>
            <w:r w:rsidRPr="00EF7D33">
              <w:rPr>
                <w:rFonts w:ascii="Book Antiqua" w:hAnsi="Book Antiqua" w:cs="Calibri"/>
                <w:color w:val="000000"/>
                <w:sz w:val="16"/>
                <w:szCs w:val="16"/>
                <w:lang w:eastAsia="es-CR"/>
              </w:rPr>
              <w:t>59 %</w:t>
            </w:r>
          </w:p>
        </w:tc>
      </w:tr>
      <w:tr w:rsidR="003E16F3" w:rsidRPr="00EF7D33" w14:paraId="7B94F48C" w14:textId="77777777" w:rsidTr="00EF7D33">
        <w:trPr>
          <w:trHeight w:val="290"/>
          <w:jc w:val="center"/>
        </w:trPr>
        <w:tc>
          <w:tcPr>
            <w:tcW w:w="5336" w:type="dxa"/>
            <w:tcBorders>
              <w:top w:val="nil"/>
              <w:left w:val="single" w:sz="4" w:space="0" w:color="808080"/>
              <w:bottom w:val="single" w:sz="4" w:space="0" w:color="808080"/>
              <w:right w:val="single" w:sz="4" w:space="0" w:color="808080"/>
            </w:tcBorders>
            <w:shd w:val="clear" w:color="auto" w:fill="auto"/>
            <w:noWrap/>
            <w:vAlign w:val="bottom"/>
            <w:hideMark/>
          </w:tcPr>
          <w:p w14:paraId="03EB8FF4" w14:textId="77777777" w:rsidR="003E16F3" w:rsidRPr="00EF7D33" w:rsidRDefault="003E16F3" w:rsidP="003E16F3">
            <w:pPr>
              <w:rPr>
                <w:rFonts w:ascii="Book Antiqua" w:hAnsi="Book Antiqua" w:cs="Calibri"/>
                <w:color w:val="000000"/>
                <w:sz w:val="16"/>
                <w:szCs w:val="16"/>
                <w:lang w:eastAsia="es-CR"/>
              </w:rPr>
            </w:pPr>
            <w:r w:rsidRPr="00EF7D33">
              <w:rPr>
                <w:rFonts w:ascii="Book Antiqua" w:hAnsi="Book Antiqua" w:cs="Calibri"/>
                <w:color w:val="000000"/>
                <w:sz w:val="16"/>
                <w:szCs w:val="16"/>
                <w:lang w:eastAsia="es-CR"/>
              </w:rPr>
              <w:t>Juzgado Penal de Turrialba</w:t>
            </w:r>
          </w:p>
        </w:tc>
        <w:tc>
          <w:tcPr>
            <w:tcW w:w="2260" w:type="dxa"/>
            <w:tcBorders>
              <w:top w:val="nil"/>
              <w:left w:val="nil"/>
              <w:bottom w:val="single" w:sz="4" w:space="0" w:color="808080"/>
              <w:right w:val="single" w:sz="4" w:space="0" w:color="808080"/>
            </w:tcBorders>
            <w:shd w:val="clear" w:color="auto" w:fill="auto"/>
            <w:noWrap/>
            <w:vAlign w:val="bottom"/>
            <w:hideMark/>
          </w:tcPr>
          <w:p w14:paraId="7EFE4473" w14:textId="77777777" w:rsidR="003E16F3" w:rsidRPr="00EF7D33" w:rsidRDefault="003E16F3" w:rsidP="003E16F3">
            <w:pPr>
              <w:jc w:val="center"/>
              <w:rPr>
                <w:rFonts w:ascii="Book Antiqua" w:hAnsi="Book Antiqua" w:cs="Calibri"/>
                <w:color w:val="000000"/>
                <w:sz w:val="16"/>
                <w:szCs w:val="16"/>
                <w:lang w:eastAsia="es-CR"/>
              </w:rPr>
            </w:pPr>
            <w:r w:rsidRPr="00EF7D33">
              <w:rPr>
                <w:rFonts w:ascii="Book Antiqua" w:hAnsi="Book Antiqua" w:cs="Calibri"/>
                <w:color w:val="000000"/>
                <w:sz w:val="16"/>
                <w:szCs w:val="16"/>
                <w:lang w:eastAsia="es-CR"/>
              </w:rPr>
              <w:t>52 %</w:t>
            </w:r>
          </w:p>
        </w:tc>
      </w:tr>
      <w:tr w:rsidR="003E16F3" w:rsidRPr="00EF7D33" w14:paraId="74A4FFBD" w14:textId="77777777" w:rsidTr="00EF7D33">
        <w:trPr>
          <w:trHeight w:val="290"/>
          <w:jc w:val="center"/>
        </w:trPr>
        <w:tc>
          <w:tcPr>
            <w:tcW w:w="5336" w:type="dxa"/>
            <w:tcBorders>
              <w:top w:val="nil"/>
              <w:left w:val="single" w:sz="4" w:space="0" w:color="808080"/>
              <w:bottom w:val="single" w:sz="4" w:space="0" w:color="808080"/>
              <w:right w:val="single" w:sz="4" w:space="0" w:color="808080"/>
            </w:tcBorders>
            <w:shd w:val="clear" w:color="auto" w:fill="auto"/>
            <w:noWrap/>
            <w:vAlign w:val="bottom"/>
            <w:hideMark/>
          </w:tcPr>
          <w:p w14:paraId="1C7699F8" w14:textId="3ADF7325" w:rsidR="003E16F3" w:rsidRPr="00EF7D33" w:rsidRDefault="003E16F3" w:rsidP="003E16F3">
            <w:pPr>
              <w:rPr>
                <w:rFonts w:ascii="Book Antiqua" w:hAnsi="Book Antiqua" w:cs="Calibri"/>
                <w:color w:val="000000"/>
                <w:sz w:val="16"/>
                <w:szCs w:val="16"/>
                <w:lang w:eastAsia="es-CR"/>
              </w:rPr>
            </w:pPr>
            <w:r w:rsidRPr="00EF7D33">
              <w:rPr>
                <w:rFonts w:ascii="Book Antiqua" w:hAnsi="Book Antiqua" w:cs="Calibri"/>
                <w:color w:val="000000"/>
                <w:sz w:val="16"/>
                <w:szCs w:val="16"/>
                <w:lang w:eastAsia="es-CR"/>
              </w:rPr>
              <w:t>Juzgado Penal del II Circuito Judicial de Alajuela, Sede Los Chiles</w:t>
            </w:r>
          </w:p>
        </w:tc>
        <w:tc>
          <w:tcPr>
            <w:tcW w:w="2260" w:type="dxa"/>
            <w:tcBorders>
              <w:top w:val="nil"/>
              <w:left w:val="nil"/>
              <w:bottom w:val="single" w:sz="4" w:space="0" w:color="808080"/>
              <w:right w:val="single" w:sz="4" w:space="0" w:color="808080"/>
            </w:tcBorders>
            <w:shd w:val="clear" w:color="auto" w:fill="auto"/>
            <w:noWrap/>
            <w:vAlign w:val="bottom"/>
            <w:hideMark/>
          </w:tcPr>
          <w:p w14:paraId="0CFD835B" w14:textId="77777777" w:rsidR="003E16F3" w:rsidRPr="00EF7D33" w:rsidRDefault="003E16F3" w:rsidP="003E16F3">
            <w:pPr>
              <w:jc w:val="center"/>
              <w:rPr>
                <w:rFonts w:ascii="Book Antiqua" w:hAnsi="Book Antiqua" w:cs="Calibri"/>
                <w:color w:val="000000"/>
                <w:sz w:val="16"/>
                <w:szCs w:val="16"/>
                <w:lang w:eastAsia="es-CR"/>
              </w:rPr>
            </w:pPr>
            <w:r w:rsidRPr="00EF7D33">
              <w:rPr>
                <w:rFonts w:ascii="Book Antiqua" w:hAnsi="Book Antiqua" w:cs="Calibri"/>
                <w:color w:val="000000"/>
                <w:sz w:val="16"/>
                <w:szCs w:val="16"/>
                <w:lang w:eastAsia="es-CR"/>
              </w:rPr>
              <w:t>43 %</w:t>
            </w:r>
          </w:p>
        </w:tc>
      </w:tr>
      <w:tr w:rsidR="003E16F3" w:rsidRPr="00EF7D33" w14:paraId="4C56E87E" w14:textId="77777777" w:rsidTr="00EF7D33">
        <w:trPr>
          <w:trHeight w:val="290"/>
          <w:jc w:val="center"/>
        </w:trPr>
        <w:tc>
          <w:tcPr>
            <w:tcW w:w="5336" w:type="dxa"/>
            <w:tcBorders>
              <w:top w:val="nil"/>
              <w:left w:val="single" w:sz="4" w:space="0" w:color="808080"/>
              <w:bottom w:val="single" w:sz="4" w:space="0" w:color="808080"/>
              <w:right w:val="single" w:sz="4" w:space="0" w:color="808080"/>
            </w:tcBorders>
            <w:shd w:val="clear" w:color="auto" w:fill="auto"/>
            <w:noWrap/>
            <w:vAlign w:val="bottom"/>
            <w:hideMark/>
          </w:tcPr>
          <w:p w14:paraId="78F3F303" w14:textId="77777777" w:rsidR="003E16F3" w:rsidRPr="00EF7D33" w:rsidRDefault="003E16F3" w:rsidP="003E16F3">
            <w:pPr>
              <w:rPr>
                <w:rFonts w:ascii="Book Antiqua" w:hAnsi="Book Antiqua" w:cs="Calibri"/>
                <w:color w:val="000000"/>
                <w:sz w:val="16"/>
                <w:szCs w:val="16"/>
                <w:lang w:eastAsia="es-CR"/>
              </w:rPr>
            </w:pPr>
            <w:r w:rsidRPr="00EF7D33">
              <w:rPr>
                <w:rFonts w:ascii="Book Antiqua" w:hAnsi="Book Antiqua" w:cs="Calibri"/>
                <w:color w:val="000000"/>
                <w:sz w:val="16"/>
                <w:szCs w:val="16"/>
                <w:lang w:eastAsia="es-CR"/>
              </w:rPr>
              <w:t>Juzgado Penal del I Circuito Judicial de San José</w:t>
            </w:r>
          </w:p>
        </w:tc>
        <w:tc>
          <w:tcPr>
            <w:tcW w:w="2260" w:type="dxa"/>
            <w:tcBorders>
              <w:top w:val="nil"/>
              <w:left w:val="nil"/>
              <w:bottom w:val="single" w:sz="4" w:space="0" w:color="808080"/>
              <w:right w:val="single" w:sz="4" w:space="0" w:color="808080"/>
            </w:tcBorders>
            <w:shd w:val="clear" w:color="auto" w:fill="auto"/>
            <w:noWrap/>
            <w:vAlign w:val="bottom"/>
            <w:hideMark/>
          </w:tcPr>
          <w:p w14:paraId="41BEB5F2" w14:textId="77777777" w:rsidR="003E16F3" w:rsidRPr="00EF7D33" w:rsidRDefault="003E16F3" w:rsidP="003E16F3">
            <w:pPr>
              <w:jc w:val="center"/>
              <w:rPr>
                <w:rFonts w:ascii="Book Antiqua" w:hAnsi="Book Antiqua" w:cs="Calibri"/>
                <w:color w:val="000000"/>
                <w:sz w:val="16"/>
                <w:szCs w:val="16"/>
                <w:lang w:eastAsia="es-CR"/>
              </w:rPr>
            </w:pPr>
            <w:r w:rsidRPr="00EF7D33">
              <w:rPr>
                <w:rFonts w:ascii="Book Antiqua" w:hAnsi="Book Antiqua" w:cs="Calibri"/>
                <w:color w:val="000000"/>
                <w:sz w:val="16"/>
                <w:szCs w:val="16"/>
                <w:lang w:eastAsia="es-CR"/>
              </w:rPr>
              <w:t>42 %</w:t>
            </w:r>
          </w:p>
        </w:tc>
      </w:tr>
      <w:tr w:rsidR="003E16F3" w:rsidRPr="00EF7D33" w14:paraId="03BA17BC" w14:textId="77777777" w:rsidTr="00EF7D33">
        <w:trPr>
          <w:trHeight w:val="290"/>
          <w:jc w:val="center"/>
        </w:trPr>
        <w:tc>
          <w:tcPr>
            <w:tcW w:w="5336" w:type="dxa"/>
            <w:tcBorders>
              <w:top w:val="nil"/>
              <w:left w:val="single" w:sz="4" w:space="0" w:color="808080"/>
              <w:bottom w:val="single" w:sz="4" w:space="0" w:color="808080"/>
              <w:right w:val="single" w:sz="4" w:space="0" w:color="808080"/>
            </w:tcBorders>
            <w:shd w:val="clear" w:color="auto" w:fill="auto"/>
            <w:noWrap/>
            <w:vAlign w:val="bottom"/>
            <w:hideMark/>
          </w:tcPr>
          <w:p w14:paraId="3D2212F9" w14:textId="77777777" w:rsidR="003E16F3" w:rsidRPr="00EF7D33" w:rsidRDefault="003E16F3" w:rsidP="003E16F3">
            <w:pPr>
              <w:rPr>
                <w:rFonts w:ascii="Book Antiqua" w:hAnsi="Book Antiqua" w:cs="Calibri"/>
                <w:color w:val="000000"/>
                <w:sz w:val="16"/>
                <w:szCs w:val="16"/>
                <w:lang w:eastAsia="es-CR"/>
              </w:rPr>
            </w:pPr>
            <w:r w:rsidRPr="00EF7D33">
              <w:rPr>
                <w:rFonts w:ascii="Book Antiqua" w:hAnsi="Book Antiqua" w:cs="Calibri"/>
                <w:color w:val="000000"/>
                <w:sz w:val="16"/>
                <w:szCs w:val="16"/>
                <w:lang w:eastAsia="es-CR"/>
              </w:rPr>
              <w:t>Juzgado Penal de Puntarenas, Sede Cóbano</w:t>
            </w:r>
          </w:p>
        </w:tc>
        <w:tc>
          <w:tcPr>
            <w:tcW w:w="2260" w:type="dxa"/>
            <w:tcBorders>
              <w:top w:val="nil"/>
              <w:left w:val="nil"/>
              <w:bottom w:val="single" w:sz="4" w:space="0" w:color="808080"/>
              <w:right w:val="single" w:sz="4" w:space="0" w:color="808080"/>
            </w:tcBorders>
            <w:shd w:val="clear" w:color="auto" w:fill="auto"/>
            <w:noWrap/>
            <w:vAlign w:val="bottom"/>
            <w:hideMark/>
          </w:tcPr>
          <w:p w14:paraId="5F3EB532" w14:textId="77777777" w:rsidR="003E16F3" w:rsidRPr="00EF7D33" w:rsidRDefault="003E16F3" w:rsidP="003E16F3">
            <w:pPr>
              <w:jc w:val="center"/>
              <w:rPr>
                <w:rFonts w:ascii="Book Antiqua" w:hAnsi="Book Antiqua" w:cs="Calibri"/>
                <w:color w:val="000000"/>
                <w:sz w:val="16"/>
                <w:szCs w:val="16"/>
                <w:lang w:eastAsia="es-CR"/>
              </w:rPr>
            </w:pPr>
            <w:r w:rsidRPr="00EF7D33">
              <w:rPr>
                <w:rFonts w:ascii="Book Antiqua" w:hAnsi="Book Antiqua" w:cs="Calibri"/>
                <w:color w:val="000000"/>
                <w:sz w:val="16"/>
                <w:szCs w:val="16"/>
                <w:lang w:eastAsia="es-CR"/>
              </w:rPr>
              <w:t>42 %</w:t>
            </w:r>
          </w:p>
        </w:tc>
      </w:tr>
      <w:tr w:rsidR="003E16F3" w:rsidRPr="00EF7D33" w14:paraId="3C1A2D2C" w14:textId="77777777" w:rsidTr="00EF7D33">
        <w:trPr>
          <w:trHeight w:val="290"/>
          <w:jc w:val="center"/>
        </w:trPr>
        <w:tc>
          <w:tcPr>
            <w:tcW w:w="5336" w:type="dxa"/>
            <w:tcBorders>
              <w:top w:val="nil"/>
              <w:left w:val="single" w:sz="4" w:space="0" w:color="808080"/>
              <w:bottom w:val="single" w:sz="4" w:space="0" w:color="808080"/>
              <w:right w:val="single" w:sz="4" w:space="0" w:color="808080"/>
            </w:tcBorders>
            <w:shd w:val="clear" w:color="auto" w:fill="auto"/>
            <w:noWrap/>
            <w:vAlign w:val="bottom"/>
            <w:hideMark/>
          </w:tcPr>
          <w:p w14:paraId="152D2F3D" w14:textId="27E37170" w:rsidR="003E16F3" w:rsidRPr="00EF7D33" w:rsidRDefault="003E16F3" w:rsidP="003E16F3">
            <w:pPr>
              <w:rPr>
                <w:rFonts w:ascii="Book Antiqua" w:hAnsi="Book Antiqua" w:cs="Calibri"/>
                <w:color w:val="000000"/>
                <w:sz w:val="16"/>
                <w:szCs w:val="16"/>
                <w:lang w:eastAsia="es-CR"/>
              </w:rPr>
            </w:pPr>
            <w:r w:rsidRPr="00EF7D33">
              <w:rPr>
                <w:rFonts w:ascii="Book Antiqua" w:hAnsi="Book Antiqua" w:cs="Calibri"/>
                <w:color w:val="000000"/>
                <w:sz w:val="16"/>
                <w:szCs w:val="16"/>
                <w:lang w:eastAsia="es-CR"/>
              </w:rPr>
              <w:t>Juzgado Penal del II Circuito Judicial de Alajuela, Sede La Fortuna</w:t>
            </w:r>
          </w:p>
        </w:tc>
        <w:tc>
          <w:tcPr>
            <w:tcW w:w="2260" w:type="dxa"/>
            <w:tcBorders>
              <w:top w:val="nil"/>
              <w:left w:val="nil"/>
              <w:bottom w:val="single" w:sz="4" w:space="0" w:color="808080"/>
              <w:right w:val="single" w:sz="4" w:space="0" w:color="808080"/>
            </w:tcBorders>
            <w:shd w:val="clear" w:color="auto" w:fill="auto"/>
            <w:noWrap/>
            <w:vAlign w:val="bottom"/>
            <w:hideMark/>
          </w:tcPr>
          <w:p w14:paraId="0179E386" w14:textId="77777777" w:rsidR="003E16F3" w:rsidRPr="00EF7D33" w:rsidRDefault="003E16F3" w:rsidP="003E16F3">
            <w:pPr>
              <w:jc w:val="center"/>
              <w:rPr>
                <w:rFonts w:ascii="Book Antiqua" w:hAnsi="Book Antiqua" w:cs="Calibri"/>
                <w:color w:val="000000"/>
                <w:sz w:val="16"/>
                <w:szCs w:val="16"/>
                <w:lang w:eastAsia="es-CR"/>
              </w:rPr>
            </w:pPr>
            <w:r w:rsidRPr="00EF7D33">
              <w:rPr>
                <w:rFonts w:ascii="Book Antiqua" w:hAnsi="Book Antiqua" w:cs="Calibri"/>
                <w:color w:val="000000"/>
                <w:sz w:val="16"/>
                <w:szCs w:val="16"/>
                <w:lang w:eastAsia="es-CR"/>
              </w:rPr>
              <w:t>42 %</w:t>
            </w:r>
          </w:p>
        </w:tc>
      </w:tr>
      <w:tr w:rsidR="003E16F3" w:rsidRPr="00EF7D33" w14:paraId="5C2C52EE" w14:textId="77777777" w:rsidTr="00EF7D33">
        <w:trPr>
          <w:trHeight w:val="290"/>
          <w:jc w:val="center"/>
        </w:trPr>
        <w:tc>
          <w:tcPr>
            <w:tcW w:w="5336" w:type="dxa"/>
            <w:tcBorders>
              <w:top w:val="nil"/>
              <w:left w:val="single" w:sz="4" w:space="0" w:color="808080"/>
              <w:bottom w:val="single" w:sz="4" w:space="0" w:color="808080"/>
              <w:right w:val="single" w:sz="4" w:space="0" w:color="808080"/>
            </w:tcBorders>
            <w:shd w:val="clear" w:color="auto" w:fill="auto"/>
            <w:noWrap/>
            <w:vAlign w:val="bottom"/>
            <w:hideMark/>
          </w:tcPr>
          <w:p w14:paraId="5343D23E" w14:textId="77777777" w:rsidR="003E16F3" w:rsidRPr="00EF7D33" w:rsidRDefault="003E16F3" w:rsidP="003E16F3">
            <w:pPr>
              <w:rPr>
                <w:rFonts w:ascii="Book Antiqua" w:hAnsi="Book Antiqua" w:cs="Calibri"/>
                <w:color w:val="000000"/>
                <w:sz w:val="16"/>
                <w:szCs w:val="16"/>
                <w:lang w:eastAsia="es-CR"/>
              </w:rPr>
            </w:pPr>
            <w:r w:rsidRPr="00EF7D33">
              <w:rPr>
                <w:rFonts w:ascii="Book Antiqua" w:hAnsi="Book Antiqua" w:cs="Calibri"/>
                <w:color w:val="000000"/>
                <w:sz w:val="16"/>
                <w:szCs w:val="16"/>
                <w:lang w:eastAsia="es-CR"/>
              </w:rPr>
              <w:t xml:space="preserve">Juzgado Penal de Osa </w:t>
            </w:r>
          </w:p>
        </w:tc>
        <w:tc>
          <w:tcPr>
            <w:tcW w:w="2260" w:type="dxa"/>
            <w:tcBorders>
              <w:top w:val="nil"/>
              <w:left w:val="nil"/>
              <w:bottom w:val="single" w:sz="4" w:space="0" w:color="808080"/>
              <w:right w:val="single" w:sz="4" w:space="0" w:color="808080"/>
            </w:tcBorders>
            <w:shd w:val="clear" w:color="auto" w:fill="auto"/>
            <w:noWrap/>
            <w:vAlign w:val="bottom"/>
            <w:hideMark/>
          </w:tcPr>
          <w:p w14:paraId="6BE570FC" w14:textId="77777777" w:rsidR="003E16F3" w:rsidRPr="00EF7D33" w:rsidRDefault="003E16F3" w:rsidP="003E16F3">
            <w:pPr>
              <w:jc w:val="center"/>
              <w:rPr>
                <w:rFonts w:ascii="Book Antiqua" w:hAnsi="Book Antiqua" w:cs="Calibri"/>
                <w:color w:val="000000"/>
                <w:sz w:val="16"/>
                <w:szCs w:val="16"/>
                <w:lang w:eastAsia="es-CR"/>
              </w:rPr>
            </w:pPr>
            <w:r w:rsidRPr="00EF7D33">
              <w:rPr>
                <w:rFonts w:ascii="Book Antiqua" w:hAnsi="Book Antiqua" w:cs="Calibri"/>
                <w:color w:val="000000"/>
                <w:sz w:val="16"/>
                <w:szCs w:val="16"/>
                <w:lang w:eastAsia="es-CR"/>
              </w:rPr>
              <w:t>41 %</w:t>
            </w:r>
          </w:p>
        </w:tc>
      </w:tr>
      <w:tr w:rsidR="003E16F3" w:rsidRPr="00EF7D33" w14:paraId="0E6EAF6F" w14:textId="77777777" w:rsidTr="00EF7D33">
        <w:trPr>
          <w:trHeight w:val="290"/>
          <w:jc w:val="center"/>
        </w:trPr>
        <w:tc>
          <w:tcPr>
            <w:tcW w:w="5336" w:type="dxa"/>
            <w:tcBorders>
              <w:top w:val="nil"/>
              <w:left w:val="single" w:sz="4" w:space="0" w:color="808080"/>
              <w:bottom w:val="single" w:sz="4" w:space="0" w:color="808080"/>
              <w:right w:val="single" w:sz="4" w:space="0" w:color="808080"/>
            </w:tcBorders>
            <w:shd w:val="clear" w:color="auto" w:fill="auto"/>
            <w:noWrap/>
            <w:vAlign w:val="bottom"/>
            <w:hideMark/>
          </w:tcPr>
          <w:p w14:paraId="2B765725" w14:textId="77777777" w:rsidR="003E16F3" w:rsidRPr="00EF7D33" w:rsidRDefault="003E16F3" w:rsidP="003E16F3">
            <w:pPr>
              <w:rPr>
                <w:rFonts w:ascii="Book Antiqua" w:hAnsi="Book Antiqua" w:cs="Calibri"/>
                <w:color w:val="000000"/>
                <w:sz w:val="16"/>
                <w:szCs w:val="16"/>
                <w:lang w:eastAsia="es-CR"/>
              </w:rPr>
            </w:pPr>
            <w:r w:rsidRPr="00EF7D33">
              <w:rPr>
                <w:rFonts w:ascii="Book Antiqua" w:hAnsi="Book Antiqua" w:cs="Calibri"/>
                <w:color w:val="000000"/>
                <w:sz w:val="16"/>
                <w:szCs w:val="16"/>
                <w:lang w:eastAsia="es-CR"/>
              </w:rPr>
              <w:t xml:space="preserve">Juzgado Penal de Puriscal </w:t>
            </w:r>
          </w:p>
        </w:tc>
        <w:tc>
          <w:tcPr>
            <w:tcW w:w="2260" w:type="dxa"/>
            <w:tcBorders>
              <w:top w:val="nil"/>
              <w:left w:val="nil"/>
              <w:bottom w:val="single" w:sz="4" w:space="0" w:color="808080"/>
              <w:right w:val="single" w:sz="4" w:space="0" w:color="808080"/>
            </w:tcBorders>
            <w:shd w:val="clear" w:color="auto" w:fill="auto"/>
            <w:noWrap/>
            <w:vAlign w:val="bottom"/>
            <w:hideMark/>
          </w:tcPr>
          <w:p w14:paraId="75F9E262" w14:textId="77777777" w:rsidR="003E16F3" w:rsidRPr="00EF7D33" w:rsidRDefault="003E16F3" w:rsidP="003E16F3">
            <w:pPr>
              <w:jc w:val="center"/>
              <w:rPr>
                <w:rFonts w:ascii="Book Antiqua" w:hAnsi="Book Antiqua" w:cs="Calibri"/>
                <w:color w:val="000000"/>
                <w:sz w:val="16"/>
                <w:szCs w:val="16"/>
                <w:lang w:eastAsia="es-CR"/>
              </w:rPr>
            </w:pPr>
            <w:r w:rsidRPr="00EF7D33">
              <w:rPr>
                <w:rFonts w:ascii="Book Antiqua" w:hAnsi="Book Antiqua" w:cs="Calibri"/>
                <w:color w:val="000000"/>
                <w:sz w:val="16"/>
                <w:szCs w:val="16"/>
                <w:lang w:eastAsia="es-CR"/>
              </w:rPr>
              <w:t>39 %</w:t>
            </w:r>
          </w:p>
        </w:tc>
      </w:tr>
      <w:tr w:rsidR="003E16F3" w:rsidRPr="00EF7D33" w14:paraId="0E223F25" w14:textId="77777777" w:rsidTr="00EF7D33">
        <w:trPr>
          <w:trHeight w:val="290"/>
          <w:jc w:val="center"/>
        </w:trPr>
        <w:tc>
          <w:tcPr>
            <w:tcW w:w="5336" w:type="dxa"/>
            <w:tcBorders>
              <w:top w:val="nil"/>
              <w:left w:val="single" w:sz="4" w:space="0" w:color="808080"/>
              <w:bottom w:val="single" w:sz="4" w:space="0" w:color="808080"/>
              <w:right w:val="single" w:sz="4" w:space="0" w:color="808080"/>
            </w:tcBorders>
            <w:shd w:val="clear" w:color="auto" w:fill="auto"/>
            <w:noWrap/>
            <w:vAlign w:val="bottom"/>
            <w:hideMark/>
          </w:tcPr>
          <w:p w14:paraId="474CE31B" w14:textId="77777777" w:rsidR="003E16F3" w:rsidRPr="00EF7D33" w:rsidRDefault="003E16F3" w:rsidP="003E16F3">
            <w:pPr>
              <w:rPr>
                <w:rFonts w:ascii="Book Antiqua" w:hAnsi="Book Antiqua" w:cs="Calibri"/>
                <w:color w:val="000000"/>
                <w:sz w:val="16"/>
                <w:szCs w:val="16"/>
                <w:lang w:eastAsia="es-CR"/>
              </w:rPr>
            </w:pPr>
            <w:r w:rsidRPr="00EF7D33">
              <w:rPr>
                <w:rFonts w:ascii="Book Antiqua" w:hAnsi="Book Antiqua" w:cs="Calibri"/>
                <w:color w:val="000000"/>
                <w:sz w:val="16"/>
                <w:szCs w:val="16"/>
                <w:lang w:eastAsia="es-CR"/>
              </w:rPr>
              <w:t xml:space="preserve">Juzgado Penal de Coto Brus </w:t>
            </w:r>
          </w:p>
        </w:tc>
        <w:tc>
          <w:tcPr>
            <w:tcW w:w="2260" w:type="dxa"/>
            <w:tcBorders>
              <w:top w:val="nil"/>
              <w:left w:val="nil"/>
              <w:bottom w:val="single" w:sz="4" w:space="0" w:color="808080"/>
              <w:right w:val="single" w:sz="4" w:space="0" w:color="808080"/>
            </w:tcBorders>
            <w:shd w:val="clear" w:color="auto" w:fill="auto"/>
            <w:noWrap/>
            <w:vAlign w:val="bottom"/>
            <w:hideMark/>
          </w:tcPr>
          <w:p w14:paraId="6BB15BF9" w14:textId="77777777" w:rsidR="003E16F3" w:rsidRPr="00EF7D33" w:rsidRDefault="003E16F3" w:rsidP="003E16F3">
            <w:pPr>
              <w:jc w:val="center"/>
              <w:rPr>
                <w:rFonts w:ascii="Book Antiqua" w:hAnsi="Book Antiqua" w:cs="Calibri"/>
                <w:color w:val="000000"/>
                <w:sz w:val="16"/>
                <w:szCs w:val="16"/>
                <w:lang w:eastAsia="es-CR"/>
              </w:rPr>
            </w:pPr>
            <w:r w:rsidRPr="00EF7D33">
              <w:rPr>
                <w:rFonts w:ascii="Book Antiqua" w:hAnsi="Book Antiqua" w:cs="Calibri"/>
                <w:color w:val="000000"/>
                <w:sz w:val="16"/>
                <w:szCs w:val="16"/>
                <w:lang w:eastAsia="es-CR"/>
              </w:rPr>
              <w:t>32 %</w:t>
            </w:r>
          </w:p>
        </w:tc>
      </w:tr>
      <w:tr w:rsidR="003E16F3" w:rsidRPr="00EF7D33" w14:paraId="12C693CB" w14:textId="77777777" w:rsidTr="00EF7D33">
        <w:trPr>
          <w:trHeight w:val="290"/>
          <w:jc w:val="center"/>
        </w:trPr>
        <w:tc>
          <w:tcPr>
            <w:tcW w:w="5336" w:type="dxa"/>
            <w:tcBorders>
              <w:top w:val="nil"/>
              <w:left w:val="single" w:sz="4" w:space="0" w:color="808080"/>
              <w:bottom w:val="single" w:sz="4" w:space="0" w:color="808080"/>
              <w:right w:val="single" w:sz="4" w:space="0" w:color="808080"/>
            </w:tcBorders>
            <w:shd w:val="clear" w:color="auto" w:fill="auto"/>
            <w:noWrap/>
            <w:vAlign w:val="bottom"/>
            <w:hideMark/>
          </w:tcPr>
          <w:p w14:paraId="52DD2045" w14:textId="77777777" w:rsidR="003E16F3" w:rsidRPr="00EF7D33" w:rsidRDefault="003E16F3" w:rsidP="003E16F3">
            <w:pPr>
              <w:rPr>
                <w:rFonts w:ascii="Book Antiqua" w:hAnsi="Book Antiqua" w:cs="Calibri"/>
                <w:color w:val="000000"/>
                <w:sz w:val="16"/>
                <w:szCs w:val="16"/>
                <w:lang w:eastAsia="es-CR"/>
              </w:rPr>
            </w:pPr>
            <w:r w:rsidRPr="00EF7D33">
              <w:rPr>
                <w:rFonts w:ascii="Book Antiqua" w:hAnsi="Book Antiqua" w:cs="Calibri"/>
                <w:color w:val="000000"/>
                <w:sz w:val="16"/>
                <w:szCs w:val="16"/>
                <w:lang w:eastAsia="es-CR"/>
              </w:rPr>
              <w:t xml:space="preserve">Juzgado Penal de Buenos Aires </w:t>
            </w:r>
          </w:p>
        </w:tc>
        <w:tc>
          <w:tcPr>
            <w:tcW w:w="2260" w:type="dxa"/>
            <w:tcBorders>
              <w:top w:val="nil"/>
              <w:left w:val="nil"/>
              <w:bottom w:val="single" w:sz="4" w:space="0" w:color="808080"/>
              <w:right w:val="single" w:sz="4" w:space="0" w:color="808080"/>
            </w:tcBorders>
            <w:shd w:val="clear" w:color="auto" w:fill="auto"/>
            <w:noWrap/>
            <w:vAlign w:val="bottom"/>
            <w:hideMark/>
          </w:tcPr>
          <w:p w14:paraId="082BC8E4" w14:textId="77777777" w:rsidR="003E16F3" w:rsidRPr="00EF7D33" w:rsidRDefault="003E16F3" w:rsidP="003E16F3">
            <w:pPr>
              <w:jc w:val="center"/>
              <w:rPr>
                <w:rFonts w:ascii="Book Antiqua" w:hAnsi="Book Antiqua" w:cs="Calibri"/>
                <w:color w:val="000000"/>
                <w:sz w:val="16"/>
                <w:szCs w:val="16"/>
                <w:lang w:eastAsia="es-CR"/>
              </w:rPr>
            </w:pPr>
            <w:r w:rsidRPr="00EF7D33">
              <w:rPr>
                <w:rFonts w:ascii="Book Antiqua" w:hAnsi="Book Antiqua" w:cs="Calibri"/>
                <w:color w:val="000000"/>
                <w:sz w:val="16"/>
                <w:szCs w:val="16"/>
                <w:lang w:eastAsia="es-CR"/>
              </w:rPr>
              <w:t>9 %</w:t>
            </w:r>
          </w:p>
        </w:tc>
      </w:tr>
      <w:tr w:rsidR="003E16F3" w:rsidRPr="00EF7D33" w14:paraId="78ED2F9E" w14:textId="77777777" w:rsidTr="00EF7D33">
        <w:trPr>
          <w:trHeight w:val="290"/>
          <w:jc w:val="center"/>
        </w:trPr>
        <w:tc>
          <w:tcPr>
            <w:tcW w:w="5336" w:type="dxa"/>
            <w:tcBorders>
              <w:top w:val="nil"/>
              <w:left w:val="single" w:sz="4" w:space="0" w:color="808080"/>
              <w:bottom w:val="single" w:sz="4" w:space="0" w:color="808080"/>
              <w:right w:val="single" w:sz="4" w:space="0" w:color="808080"/>
            </w:tcBorders>
            <w:shd w:val="clear" w:color="auto" w:fill="auto"/>
            <w:noWrap/>
            <w:vAlign w:val="center"/>
            <w:hideMark/>
          </w:tcPr>
          <w:p w14:paraId="672098BA" w14:textId="77777777" w:rsidR="003E16F3" w:rsidRPr="00EF7D33" w:rsidRDefault="003E16F3" w:rsidP="003E16F3">
            <w:pPr>
              <w:rPr>
                <w:rFonts w:ascii="Book Antiqua" w:hAnsi="Book Antiqua" w:cs="Calibri"/>
                <w:b/>
                <w:bCs/>
                <w:color w:val="000000"/>
                <w:sz w:val="16"/>
                <w:szCs w:val="16"/>
                <w:lang w:eastAsia="es-CR"/>
              </w:rPr>
            </w:pPr>
            <w:r w:rsidRPr="00EF7D33">
              <w:rPr>
                <w:rFonts w:ascii="Book Antiqua" w:hAnsi="Book Antiqua" w:cs="Calibri"/>
                <w:b/>
                <w:bCs/>
                <w:color w:val="000000"/>
                <w:sz w:val="16"/>
                <w:szCs w:val="16"/>
                <w:lang w:eastAsia="es-CR"/>
              </w:rPr>
              <w:t>Promedio Global</w:t>
            </w:r>
          </w:p>
        </w:tc>
        <w:tc>
          <w:tcPr>
            <w:tcW w:w="2260" w:type="dxa"/>
            <w:tcBorders>
              <w:top w:val="nil"/>
              <w:left w:val="nil"/>
              <w:bottom w:val="single" w:sz="4" w:space="0" w:color="808080"/>
              <w:right w:val="single" w:sz="4" w:space="0" w:color="808080"/>
            </w:tcBorders>
            <w:shd w:val="clear" w:color="auto" w:fill="auto"/>
            <w:noWrap/>
            <w:vAlign w:val="center"/>
            <w:hideMark/>
          </w:tcPr>
          <w:p w14:paraId="68900A6F" w14:textId="77777777" w:rsidR="003E16F3" w:rsidRPr="00EF7D33" w:rsidRDefault="003E16F3" w:rsidP="003E16F3">
            <w:pPr>
              <w:jc w:val="center"/>
              <w:rPr>
                <w:rFonts w:ascii="Book Antiqua" w:hAnsi="Book Antiqua" w:cs="Calibri"/>
                <w:b/>
                <w:bCs/>
                <w:color w:val="000000"/>
                <w:sz w:val="16"/>
                <w:szCs w:val="16"/>
                <w:lang w:eastAsia="es-CR"/>
              </w:rPr>
            </w:pPr>
            <w:r w:rsidRPr="00EF7D33">
              <w:rPr>
                <w:rFonts w:ascii="Book Antiqua" w:hAnsi="Book Antiqua" w:cs="Calibri"/>
                <w:b/>
                <w:bCs/>
                <w:color w:val="000000"/>
                <w:sz w:val="16"/>
                <w:szCs w:val="16"/>
                <w:lang w:eastAsia="es-CR"/>
              </w:rPr>
              <w:t>114%</w:t>
            </w:r>
          </w:p>
        </w:tc>
      </w:tr>
    </w:tbl>
    <w:p w14:paraId="70DC78FF" w14:textId="77777777" w:rsidR="000A6207" w:rsidRDefault="000A6207" w:rsidP="00EF7D33">
      <w:pPr>
        <w:spacing w:line="276" w:lineRule="auto"/>
        <w:jc w:val="center"/>
        <w:rPr>
          <w:rFonts w:ascii="Book Antiqua" w:hAnsi="Book Antiqua"/>
          <w:b/>
          <w:bCs/>
          <w:color w:val="000000" w:themeColor="text1"/>
          <w:sz w:val="20"/>
          <w:szCs w:val="20"/>
        </w:rPr>
      </w:pPr>
      <w:r w:rsidRPr="00677475">
        <w:rPr>
          <w:rFonts w:ascii="Book Antiqua" w:hAnsi="Book Antiqua"/>
          <w:b/>
          <w:bCs/>
          <w:color w:val="000000" w:themeColor="text1"/>
          <w:sz w:val="20"/>
          <w:szCs w:val="20"/>
        </w:rPr>
        <w:t xml:space="preserve">Fuente: </w:t>
      </w:r>
      <w:r w:rsidRPr="00677475">
        <w:rPr>
          <w:rFonts w:ascii="Book Antiqua" w:hAnsi="Book Antiqua"/>
          <w:color w:val="000000" w:themeColor="text1"/>
          <w:sz w:val="20"/>
          <w:szCs w:val="20"/>
        </w:rPr>
        <w:t>Matriz de indicadores de Gestión</w:t>
      </w:r>
    </w:p>
    <w:p w14:paraId="551AD462" w14:textId="77777777" w:rsidR="000A6207" w:rsidRDefault="000A6207" w:rsidP="000A6207">
      <w:pPr>
        <w:spacing w:line="276" w:lineRule="auto"/>
        <w:jc w:val="both"/>
        <w:rPr>
          <w:rFonts w:ascii="Book Antiqua" w:hAnsi="Book Antiqua"/>
          <w:color w:val="000000" w:themeColor="text1"/>
        </w:rPr>
      </w:pPr>
    </w:p>
    <w:p w14:paraId="4C046C51" w14:textId="77777777" w:rsidR="00EF7D33" w:rsidRPr="00EF7D33" w:rsidRDefault="00EF7D33" w:rsidP="00EF7D33">
      <w:pPr>
        <w:spacing w:line="276" w:lineRule="auto"/>
        <w:jc w:val="both"/>
        <w:rPr>
          <w:rFonts w:ascii="Book Antiqua" w:hAnsi="Book Antiqua"/>
          <w:lang w:eastAsia="es-CR"/>
        </w:rPr>
      </w:pPr>
      <w:r w:rsidRPr="00EF7D33">
        <w:rPr>
          <w:rFonts w:ascii="Book Antiqua" w:hAnsi="Book Antiqua"/>
          <w:lang w:eastAsia="es-CR"/>
        </w:rPr>
        <w:t>A pesar de tener un promedio global del 114% en la producción de los Juzgados Penales, aun así, hay despachos que se mantienen por debajo del 80% mínimo esperado, tales como Alajuela, Atenas, Corredores, Golfito, Upala, Goicoechea, Turrialba, Los Chiles, San José, Cóbano, La Fortuna, Osa, Puriscal, Coto Brus y Buenos Aires.</w:t>
      </w:r>
    </w:p>
    <w:p w14:paraId="60BC3FC8" w14:textId="77777777" w:rsidR="00EF7D33" w:rsidRPr="00EF7D33" w:rsidRDefault="00EF7D33" w:rsidP="00EF7D33">
      <w:pPr>
        <w:spacing w:line="276" w:lineRule="auto"/>
        <w:jc w:val="both"/>
        <w:rPr>
          <w:rFonts w:ascii="Book Antiqua" w:hAnsi="Book Antiqua"/>
          <w:lang w:eastAsia="es-CR"/>
        </w:rPr>
      </w:pPr>
    </w:p>
    <w:p w14:paraId="30E7CC20" w14:textId="77777777" w:rsidR="00EF7D33" w:rsidRPr="00EF7D33" w:rsidRDefault="00EF7D33" w:rsidP="00EF7D33">
      <w:pPr>
        <w:spacing w:line="276" w:lineRule="auto"/>
        <w:jc w:val="both"/>
        <w:rPr>
          <w:rFonts w:ascii="Book Antiqua" w:hAnsi="Book Antiqua"/>
          <w:lang w:eastAsia="es-CR"/>
        </w:rPr>
      </w:pPr>
      <w:r w:rsidRPr="00EF7D33">
        <w:rPr>
          <w:rFonts w:ascii="Book Antiqua" w:hAnsi="Book Antiqua"/>
          <w:lang w:eastAsia="es-CR"/>
        </w:rPr>
        <w:t>Es importante mencionar que, Cóbano es un despacho que tiene una entrada baja lo que dificulta el cumplimiento del parámetro y el Juzgado de Goicoechea se encuentran en proceso de abordaje por parte del Proyecto de Mejora Integral del Proceso Penal de la Dirección de Planificación.</w:t>
      </w:r>
    </w:p>
    <w:p w14:paraId="478EB3C1" w14:textId="77777777" w:rsidR="00EF7D33" w:rsidRPr="00EF7D33" w:rsidRDefault="00EF7D33" w:rsidP="00EF7D33">
      <w:pPr>
        <w:spacing w:line="276" w:lineRule="auto"/>
        <w:jc w:val="both"/>
        <w:rPr>
          <w:rFonts w:ascii="Book Antiqua" w:hAnsi="Book Antiqua"/>
          <w:lang w:eastAsia="es-CR"/>
        </w:rPr>
      </w:pPr>
    </w:p>
    <w:p w14:paraId="4892BB92" w14:textId="77777777" w:rsidR="00EF7D33" w:rsidRPr="00EF7D33" w:rsidRDefault="00EF7D33" w:rsidP="00EF7D33">
      <w:pPr>
        <w:spacing w:line="276" w:lineRule="auto"/>
        <w:jc w:val="both"/>
        <w:rPr>
          <w:rFonts w:ascii="Book Antiqua" w:hAnsi="Book Antiqua"/>
          <w:lang w:eastAsia="es-CR"/>
        </w:rPr>
      </w:pPr>
      <w:r w:rsidRPr="00EF7D33">
        <w:rPr>
          <w:rFonts w:ascii="Book Antiqua" w:hAnsi="Book Antiqua"/>
          <w:lang w:eastAsia="es-CR"/>
        </w:rPr>
        <w:t>Los juzgados de Alajuela, Atenas, Corredores, Golfito, Upala, Turrialba, Los Chiles, San José, La Fortuna, Osa, Puriscal, Coto Brus y Buenos Aires, lo que evidencian es la necesidad de mejora en su sistema de trabajo con la implementación del Modelo Penal para incrementar el nivel de cumplimiento.</w:t>
      </w:r>
    </w:p>
    <w:p w14:paraId="40329C51" w14:textId="77777777" w:rsidR="00EF7D33" w:rsidRPr="00EF7D33" w:rsidRDefault="00EF7D33" w:rsidP="00EF7D33">
      <w:pPr>
        <w:spacing w:line="276" w:lineRule="auto"/>
        <w:jc w:val="both"/>
        <w:rPr>
          <w:rFonts w:ascii="Book Antiqua" w:hAnsi="Book Antiqua"/>
          <w:lang w:eastAsia="es-CR"/>
        </w:rPr>
      </w:pPr>
    </w:p>
    <w:p w14:paraId="70A3A5D1" w14:textId="77777777" w:rsidR="00EF7D33" w:rsidRDefault="00EF7D33" w:rsidP="00EF7D33">
      <w:pPr>
        <w:spacing w:line="276" w:lineRule="auto"/>
        <w:jc w:val="both"/>
        <w:rPr>
          <w:rFonts w:ascii="Book Antiqua" w:hAnsi="Book Antiqua"/>
          <w:color w:val="000000" w:themeColor="text1"/>
        </w:rPr>
      </w:pPr>
      <w:r w:rsidRPr="00EF7D33">
        <w:rPr>
          <w:rFonts w:ascii="Book Antiqua" w:hAnsi="Book Antiqua"/>
          <w:color w:val="000000" w:themeColor="text1"/>
        </w:rPr>
        <w:t>Cabe resaltar que, el Juzgado Penal de San Carlos tuvo un incremento significativo en el cumplimiento del parámetro de producción teórico, debido a que el despacho en conjunto con el equipo del Modelo de Sostenibilidad de la zona realizó un plan de trabajo para atender el atraso en uno de los escritorios del personal técnico judicial.</w:t>
      </w:r>
    </w:p>
    <w:p w14:paraId="33CC6336" w14:textId="77777777" w:rsidR="000A6207" w:rsidRDefault="000A6207" w:rsidP="000A6207">
      <w:pPr>
        <w:spacing w:line="276" w:lineRule="auto"/>
        <w:rPr>
          <w:rFonts w:ascii="Book Antiqua" w:hAnsi="Book Antiqua"/>
          <w:b/>
          <w:color w:val="000000" w:themeColor="text1"/>
        </w:rPr>
      </w:pPr>
    </w:p>
    <w:p w14:paraId="2CB02D19" w14:textId="77777777" w:rsidR="000A6207" w:rsidRPr="004F0E92" w:rsidRDefault="000A6207" w:rsidP="000A6207">
      <w:pPr>
        <w:spacing w:line="276" w:lineRule="auto"/>
        <w:rPr>
          <w:rFonts w:ascii="Book Antiqua" w:hAnsi="Book Antiqua"/>
          <w:b/>
          <w:color w:val="000000" w:themeColor="text1"/>
        </w:rPr>
      </w:pPr>
    </w:p>
    <w:p w14:paraId="7DBED3F2" w14:textId="1F18C1BC" w:rsidR="000A6207" w:rsidRPr="00110DC3" w:rsidRDefault="5460E9AD" w:rsidP="57A79FF7">
      <w:pPr>
        <w:spacing w:after="160" w:line="276" w:lineRule="auto"/>
        <w:contextualSpacing/>
        <w:outlineLvl w:val="1"/>
        <w:rPr>
          <w:b/>
          <w:color w:val="000000" w:themeColor="text1"/>
        </w:rPr>
      </w:pPr>
      <w:r w:rsidRPr="57A79FF7">
        <w:rPr>
          <w:rFonts w:ascii="Book Antiqua" w:hAnsi="Book Antiqua"/>
          <w:b/>
          <w:bCs/>
          <w:color w:val="000000" w:themeColor="text1"/>
        </w:rPr>
        <w:t xml:space="preserve">7.2.2 </w:t>
      </w:r>
      <w:r w:rsidR="000A6207" w:rsidRPr="00110DC3">
        <w:rPr>
          <w:rFonts w:ascii="Book Antiqua" w:hAnsi="Book Antiqua"/>
          <w:b/>
          <w:color w:val="000000" w:themeColor="text1"/>
        </w:rPr>
        <w:t>Tribunal de Juicio</w:t>
      </w:r>
    </w:p>
    <w:p w14:paraId="12341297" w14:textId="77777777" w:rsidR="00110DC3" w:rsidRPr="00110DC3" w:rsidRDefault="00110DC3" w:rsidP="00110DC3">
      <w:pPr>
        <w:spacing w:line="276" w:lineRule="auto"/>
        <w:jc w:val="both"/>
        <w:rPr>
          <w:rFonts w:ascii="Book Antiqua" w:hAnsi="Book Antiqua"/>
          <w:color w:val="000000" w:themeColor="text1"/>
        </w:rPr>
      </w:pPr>
      <w:r w:rsidRPr="00110DC3">
        <w:rPr>
          <w:rFonts w:ascii="Book Antiqua" w:hAnsi="Book Antiqua"/>
          <w:color w:val="000000" w:themeColor="text1"/>
        </w:rPr>
        <w:t xml:space="preserve">Los Tribunales de Juicio según las matrices de indicadores que presentan cuentan con 87% de cumplimiento en forma general a nivel nacional; por lo cual, se destaca el trabajo que estos han venido desarrollando con sus estructuras ordinarias, a pesar de que en la mayoría de los lugares fueron retirados los recursos de los planes remediales. </w:t>
      </w:r>
    </w:p>
    <w:p w14:paraId="72B9DABB" w14:textId="77777777" w:rsidR="00110DC3" w:rsidRPr="00110DC3" w:rsidRDefault="00110DC3" w:rsidP="00110DC3">
      <w:pPr>
        <w:spacing w:line="276" w:lineRule="auto"/>
        <w:jc w:val="both"/>
        <w:rPr>
          <w:rFonts w:ascii="Book Antiqua" w:hAnsi="Book Antiqua"/>
          <w:color w:val="000000" w:themeColor="text1"/>
        </w:rPr>
      </w:pPr>
    </w:p>
    <w:p w14:paraId="5F093AC2" w14:textId="77777777" w:rsidR="00110DC3" w:rsidRPr="00110DC3" w:rsidRDefault="00110DC3" w:rsidP="00110DC3">
      <w:pPr>
        <w:spacing w:line="276" w:lineRule="auto"/>
        <w:jc w:val="both"/>
        <w:rPr>
          <w:rFonts w:ascii="Book Antiqua" w:hAnsi="Book Antiqua"/>
          <w:color w:val="000000" w:themeColor="text1"/>
        </w:rPr>
      </w:pPr>
      <w:r w:rsidRPr="00110DC3">
        <w:rPr>
          <w:rFonts w:ascii="Book Antiqua" w:hAnsi="Book Antiqua"/>
          <w:color w:val="000000" w:themeColor="text1"/>
        </w:rPr>
        <w:t>Se hace la observación que los datos están basados con las matrices de indicadores de los despachos; que tienen la responsabilidad de que el dato sea coincidente contra el Sistema Sigma, por lo que, como parte de la revisión que hace la Dirección de Planificación también se va a poder visualizar una comparación de ese valor contra lo que genera el sistema.</w:t>
      </w:r>
    </w:p>
    <w:p w14:paraId="00200404" w14:textId="77777777" w:rsidR="00110DC3" w:rsidRPr="00110DC3" w:rsidRDefault="00110DC3" w:rsidP="00110DC3">
      <w:pPr>
        <w:spacing w:line="276" w:lineRule="auto"/>
        <w:jc w:val="both"/>
        <w:rPr>
          <w:rFonts w:ascii="Book Antiqua" w:hAnsi="Book Antiqua"/>
          <w:color w:val="000000" w:themeColor="text1"/>
        </w:rPr>
      </w:pPr>
    </w:p>
    <w:p w14:paraId="6746B144" w14:textId="77777777" w:rsidR="00110DC3" w:rsidRPr="00110DC3" w:rsidRDefault="00110DC3" w:rsidP="00110DC3">
      <w:pPr>
        <w:spacing w:line="276" w:lineRule="auto"/>
        <w:jc w:val="both"/>
        <w:rPr>
          <w:rFonts w:ascii="Book Antiqua" w:hAnsi="Book Antiqua"/>
          <w:color w:val="000000" w:themeColor="text1"/>
        </w:rPr>
      </w:pPr>
      <w:r w:rsidRPr="00110DC3">
        <w:rPr>
          <w:rFonts w:ascii="Book Antiqua" w:hAnsi="Book Antiqua"/>
          <w:color w:val="000000" w:themeColor="text1"/>
        </w:rPr>
        <w:t>Importante señalar, que el Tribunal con mayor nivel de cumplimiento fue el Tribunal del II Circuito Judicial de la Zona Atlántica, sede Siquirres con un 142%; en tanto, el de menor nivel de cumplimiento fue el Tribunal Penal Segundo Circuito Judicial de la Zona Sur (Golfito) con un 13%.</w:t>
      </w:r>
    </w:p>
    <w:p w14:paraId="1E0B772A" w14:textId="77777777" w:rsidR="00110DC3" w:rsidRPr="00110DC3" w:rsidRDefault="00110DC3" w:rsidP="00110DC3">
      <w:pPr>
        <w:spacing w:line="276" w:lineRule="auto"/>
        <w:jc w:val="both"/>
        <w:rPr>
          <w:rFonts w:ascii="Book Antiqua" w:hAnsi="Book Antiqua"/>
          <w:color w:val="000000" w:themeColor="text1"/>
        </w:rPr>
      </w:pPr>
    </w:p>
    <w:p w14:paraId="38E758FB" w14:textId="77777777" w:rsidR="00110DC3" w:rsidRPr="00110DC3" w:rsidRDefault="00110DC3" w:rsidP="00110DC3">
      <w:pPr>
        <w:spacing w:line="276" w:lineRule="auto"/>
        <w:jc w:val="both"/>
        <w:rPr>
          <w:rFonts w:ascii="Book Antiqua" w:hAnsi="Book Antiqua"/>
          <w:color w:val="000000" w:themeColor="text1"/>
        </w:rPr>
      </w:pPr>
      <w:r w:rsidRPr="00110DC3">
        <w:rPr>
          <w:rFonts w:ascii="Book Antiqua" w:hAnsi="Book Antiqua"/>
          <w:color w:val="000000" w:themeColor="text1"/>
        </w:rPr>
        <w:t xml:space="preserve">Las oficinas que reflejan un rendimiento inferior al 80% son: Tribunal Penal del Primer Circuito Judicial de Guanacaste (Cañas) 78%, Tribunal Penal del Segundo Circuito Judicial de San José (Goicoechea) 74%, Tribunal Penal del Tercer Circuito Judicial de San José (Desamparados) 73%, Tribunal Penal del Segundo Circuito Judicial de Guanacaste (Santa Cruz) 72%, Tribunal Penal Segundo Circuito Judicial de la Zona Sur (Osa) 72%, Tribunal Penal de Sarapiquí 71%, Tribunal Penal del Tercer Circuito Judicial de San José Sede Suroeste (Pavas) 71%, Tribunal Penal del Primer Circuito Judicial de San José 64%, Tribunal Penal de Quepos 13% y Tribunal Penal Segundo Circuito Judicial de la Zona Sur (Golfito) 13%. </w:t>
      </w:r>
    </w:p>
    <w:p w14:paraId="1E4D5D0B" w14:textId="77777777" w:rsidR="00110DC3" w:rsidRPr="00110DC3" w:rsidRDefault="00110DC3" w:rsidP="00110DC3">
      <w:pPr>
        <w:spacing w:line="276" w:lineRule="auto"/>
        <w:jc w:val="both"/>
        <w:rPr>
          <w:rFonts w:ascii="Book Antiqua" w:hAnsi="Book Antiqua"/>
          <w:color w:val="000000" w:themeColor="text1"/>
        </w:rPr>
      </w:pPr>
    </w:p>
    <w:p w14:paraId="18F729E4" w14:textId="77777777" w:rsidR="00110DC3" w:rsidRPr="00110DC3" w:rsidRDefault="00110DC3" w:rsidP="00110DC3">
      <w:pPr>
        <w:spacing w:line="276" w:lineRule="auto"/>
        <w:jc w:val="both"/>
        <w:rPr>
          <w:rFonts w:ascii="Book Antiqua" w:hAnsi="Book Antiqua"/>
          <w:color w:val="000000" w:themeColor="text1"/>
        </w:rPr>
      </w:pPr>
      <w:r w:rsidRPr="00110DC3">
        <w:rPr>
          <w:rFonts w:ascii="Book Antiqua" w:hAnsi="Book Antiqua"/>
          <w:color w:val="000000" w:themeColor="text1"/>
        </w:rPr>
        <w:t>En lo que respecta al Tribunal Penal de Golfito le correspondió atender un juicio con duración estimada en tres meses. En Golfito el tribunal solo tiene 3 jueces, eso dejaría sin poder prestarse el servicio público mientras se celebra el debate en otra localidad. Asimismo, se requeriría la colaboración de personal técnico que de soporte en el juicio.</w:t>
      </w:r>
    </w:p>
    <w:p w14:paraId="5D0EE0D3" w14:textId="77777777" w:rsidR="00110DC3" w:rsidRPr="00110DC3" w:rsidRDefault="00110DC3" w:rsidP="00110DC3">
      <w:pPr>
        <w:spacing w:line="276" w:lineRule="auto"/>
        <w:jc w:val="both"/>
        <w:rPr>
          <w:rFonts w:ascii="Book Antiqua" w:hAnsi="Book Antiqua"/>
          <w:color w:val="000000" w:themeColor="text1"/>
        </w:rPr>
      </w:pPr>
    </w:p>
    <w:p w14:paraId="1480BD68" w14:textId="358B6882" w:rsidR="000A6207" w:rsidRDefault="00110DC3" w:rsidP="00110DC3">
      <w:pPr>
        <w:spacing w:line="276" w:lineRule="auto"/>
        <w:jc w:val="both"/>
        <w:rPr>
          <w:rFonts w:ascii="Book Antiqua" w:hAnsi="Book Antiqua"/>
          <w:color w:val="000000" w:themeColor="text1"/>
        </w:rPr>
      </w:pPr>
      <w:r w:rsidRPr="00110DC3">
        <w:rPr>
          <w:rFonts w:ascii="Book Antiqua" w:hAnsi="Book Antiqua"/>
          <w:color w:val="000000" w:themeColor="text1"/>
        </w:rPr>
        <w:t xml:space="preserve">Sobre el Tribunal Penal de Quepos, para el mes de agosto </w:t>
      </w:r>
      <w:r>
        <w:rPr>
          <w:rFonts w:ascii="Book Antiqua" w:hAnsi="Book Antiqua"/>
          <w:color w:val="000000" w:themeColor="text1"/>
        </w:rPr>
        <w:t>s</w:t>
      </w:r>
      <w:r w:rsidRPr="00110DC3">
        <w:rPr>
          <w:rFonts w:ascii="Book Antiqua" w:hAnsi="Book Antiqua"/>
          <w:color w:val="000000" w:themeColor="text1"/>
        </w:rPr>
        <w:t>e suspendieron 20 juicios colegiados (10 por señalar continuación de juicio complejo, 6 por señalar expedientes con persona detenida urgentes, 3 por solicitud de las partes y 1 por rebeldía). Se suspendieron 20 juicios unipersonales (19 por señalar continuación de debate complejo y 1 por feriado).</w:t>
      </w:r>
    </w:p>
    <w:p w14:paraId="64C96C03" w14:textId="77777777" w:rsidR="00110DC3" w:rsidRDefault="00110DC3" w:rsidP="00110DC3">
      <w:pPr>
        <w:spacing w:line="276" w:lineRule="auto"/>
        <w:jc w:val="both"/>
        <w:rPr>
          <w:rFonts w:ascii="Book Antiqua" w:hAnsi="Book Antiqua"/>
          <w:b/>
          <w:color w:val="000000" w:themeColor="text1"/>
        </w:rPr>
      </w:pPr>
    </w:p>
    <w:p w14:paraId="29EEFA5A" w14:textId="615D10FC" w:rsidR="000A6207" w:rsidRPr="00110DC3" w:rsidRDefault="000A6207" w:rsidP="000A6207">
      <w:pPr>
        <w:spacing w:line="276" w:lineRule="auto"/>
        <w:jc w:val="center"/>
        <w:rPr>
          <w:rFonts w:ascii="Book Antiqua" w:hAnsi="Book Antiqua"/>
          <w:b/>
          <w:color w:val="000000" w:themeColor="text1"/>
        </w:rPr>
      </w:pPr>
      <w:r w:rsidRPr="00110DC3">
        <w:rPr>
          <w:rFonts w:ascii="Book Antiqua" w:hAnsi="Book Antiqua"/>
          <w:b/>
          <w:color w:val="000000" w:themeColor="text1"/>
        </w:rPr>
        <w:t xml:space="preserve">Cuadro </w:t>
      </w:r>
      <w:r w:rsidR="000B1CF8">
        <w:rPr>
          <w:rFonts w:ascii="Book Antiqua" w:hAnsi="Book Antiqua"/>
          <w:b/>
          <w:color w:val="000000" w:themeColor="text1"/>
        </w:rPr>
        <w:t>69</w:t>
      </w:r>
    </w:p>
    <w:p w14:paraId="500711AE" w14:textId="77777777" w:rsidR="000A6207" w:rsidRPr="00110DC3" w:rsidRDefault="000A6207" w:rsidP="000A6207">
      <w:pPr>
        <w:spacing w:line="276" w:lineRule="auto"/>
        <w:jc w:val="center"/>
        <w:rPr>
          <w:rFonts w:ascii="Book Antiqua" w:hAnsi="Book Antiqua"/>
          <w:bCs/>
          <w:color w:val="000000" w:themeColor="text1"/>
        </w:rPr>
      </w:pPr>
      <w:r w:rsidRPr="00110DC3">
        <w:rPr>
          <w:rFonts w:ascii="Book Antiqua" w:hAnsi="Book Antiqua"/>
          <w:bCs/>
          <w:color w:val="000000" w:themeColor="text1"/>
        </w:rPr>
        <w:t xml:space="preserve">Cumplimiento del parámetro de producción </w:t>
      </w:r>
    </w:p>
    <w:p w14:paraId="60FE3191" w14:textId="0DEAB00C" w:rsidR="00F467CF" w:rsidRDefault="000A6207" w:rsidP="00110DC3">
      <w:pPr>
        <w:spacing w:line="276" w:lineRule="auto"/>
        <w:jc w:val="center"/>
        <w:rPr>
          <w:rFonts w:ascii="Book Antiqua" w:hAnsi="Book Antiqua"/>
          <w:bCs/>
          <w:color w:val="000000" w:themeColor="text1"/>
        </w:rPr>
      </w:pPr>
      <w:r w:rsidRPr="00110DC3">
        <w:rPr>
          <w:rFonts w:ascii="Book Antiqua" w:hAnsi="Book Antiqua"/>
          <w:bCs/>
          <w:color w:val="000000" w:themeColor="text1"/>
        </w:rPr>
        <w:t xml:space="preserve">teórico de Tribunales Penales durante </w:t>
      </w:r>
      <w:r w:rsidR="00CD11AF" w:rsidRPr="00110DC3">
        <w:rPr>
          <w:rFonts w:ascii="Book Antiqua" w:hAnsi="Book Antiqua"/>
          <w:bCs/>
          <w:color w:val="000000" w:themeColor="text1"/>
        </w:rPr>
        <w:t>agosto</w:t>
      </w:r>
      <w:r w:rsidRPr="00110DC3">
        <w:rPr>
          <w:rFonts w:ascii="Book Antiqua" w:hAnsi="Book Antiqua"/>
          <w:bCs/>
          <w:color w:val="000000" w:themeColor="text1"/>
        </w:rPr>
        <w:t xml:space="preserve"> 2021 </w:t>
      </w:r>
    </w:p>
    <w:tbl>
      <w:tblPr>
        <w:tblW w:w="9776" w:type="dxa"/>
        <w:jc w:val="center"/>
        <w:tblCellMar>
          <w:left w:w="70" w:type="dxa"/>
          <w:right w:w="70" w:type="dxa"/>
        </w:tblCellMar>
        <w:tblLook w:val="04A0" w:firstRow="1" w:lastRow="0" w:firstColumn="1" w:lastColumn="0" w:noHBand="0" w:noVBand="1"/>
      </w:tblPr>
      <w:tblGrid>
        <w:gridCol w:w="6298"/>
        <w:gridCol w:w="1786"/>
        <w:gridCol w:w="1275"/>
        <w:gridCol w:w="532"/>
      </w:tblGrid>
      <w:tr w:rsidR="00F467CF" w:rsidRPr="00110DC3" w14:paraId="76F33B12" w14:textId="77777777" w:rsidTr="0040138E">
        <w:trPr>
          <w:trHeight w:val="660"/>
          <w:jc w:val="center"/>
        </w:trPr>
        <w:tc>
          <w:tcPr>
            <w:tcW w:w="6298" w:type="dxa"/>
            <w:vMerge w:val="restart"/>
            <w:tcBorders>
              <w:top w:val="single" w:sz="4" w:space="0" w:color="auto"/>
              <w:left w:val="single" w:sz="4" w:space="0" w:color="auto"/>
              <w:bottom w:val="single" w:sz="4" w:space="0" w:color="000000"/>
              <w:right w:val="single" w:sz="4" w:space="0" w:color="auto"/>
            </w:tcBorders>
            <w:shd w:val="clear" w:color="000000" w:fill="305496"/>
            <w:noWrap/>
            <w:vAlign w:val="center"/>
            <w:hideMark/>
          </w:tcPr>
          <w:p w14:paraId="648C898E" w14:textId="77777777" w:rsidR="00F467CF" w:rsidRPr="00110DC3" w:rsidRDefault="00F467CF" w:rsidP="00F467CF">
            <w:pPr>
              <w:jc w:val="center"/>
              <w:rPr>
                <w:rFonts w:ascii="Book Antiqua" w:hAnsi="Book Antiqua" w:cs="Calibri"/>
                <w:b/>
                <w:bCs/>
                <w:color w:val="FFFFFF"/>
                <w:sz w:val="16"/>
                <w:szCs w:val="16"/>
                <w:lang w:eastAsia="es-CR"/>
              </w:rPr>
            </w:pPr>
            <w:r w:rsidRPr="00110DC3">
              <w:rPr>
                <w:rFonts w:ascii="Book Antiqua" w:hAnsi="Book Antiqua" w:cs="Calibri"/>
                <w:b/>
                <w:bCs/>
                <w:color w:val="FFFFFF"/>
                <w:sz w:val="16"/>
                <w:szCs w:val="16"/>
                <w:lang w:eastAsia="es-CR"/>
              </w:rPr>
              <w:t>Despacho</w:t>
            </w:r>
          </w:p>
        </w:tc>
        <w:tc>
          <w:tcPr>
            <w:tcW w:w="3478" w:type="dxa"/>
            <w:gridSpan w:val="3"/>
            <w:tcBorders>
              <w:top w:val="nil"/>
              <w:left w:val="single" w:sz="4" w:space="0" w:color="auto"/>
              <w:bottom w:val="single" w:sz="4" w:space="0" w:color="auto"/>
              <w:right w:val="nil"/>
            </w:tcBorders>
            <w:shd w:val="clear" w:color="000000" w:fill="305496"/>
            <w:vAlign w:val="center"/>
            <w:hideMark/>
          </w:tcPr>
          <w:p w14:paraId="7E860824" w14:textId="77777777" w:rsidR="00F467CF" w:rsidRPr="00110DC3" w:rsidRDefault="00F467CF" w:rsidP="00F467CF">
            <w:pPr>
              <w:jc w:val="center"/>
              <w:rPr>
                <w:rFonts w:ascii="Book Antiqua" w:hAnsi="Book Antiqua" w:cs="Calibri"/>
                <w:b/>
                <w:bCs/>
                <w:color w:val="FFFFFF"/>
                <w:sz w:val="16"/>
                <w:szCs w:val="16"/>
                <w:lang w:eastAsia="es-CR"/>
              </w:rPr>
            </w:pPr>
            <w:r w:rsidRPr="00110DC3">
              <w:rPr>
                <w:rFonts w:ascii="Book Antiqua" w:hAnsi="Book Antiqua" w:cs="Calibri"/>
                <w:b/>
                <w:bCs/>
                <w:color w:val="FFFFFF"/>
                <w:sz w:val="16"/>
                <w:szCs w:val="16"/>
                <w:lang w:eastAsia="es-CR"/>
              </w:rPr>
              <w:t xml:space="preserve">Porcentaje de cumplimiento Sentencias / Medida alterna </w:t>
            </w:r>
          </w:p>
        </w:tc>
      </w:tr>
      <w:tr w:rsidR="00F467CF" w:rsidRPr="00110DC3" w14:paraId="30CC987E" w14:textId="77777777" w:rsidTr="0040138E">
        <w:trPr>
          <w:trHeight w:val="290"/>
          <w:jc w:val="center"/>
        </w:trPr>
        <w:tc>
          <w:tcPr>
            <w:tcW w:w="6298" w:type="dxa"/>
            <w:vMerge/>
            <w:tcBorders>
              <w:top w:val="single" w:sz="4" w:space="0" w:color="auto"/>
              <w:left w:val="single" w:sz="4" w:space="0" w:color="auto"/>
              <w:bottom w:val="single" w:sz="4" w:space="0" w:color="000000"/>
              <w:right w:val="single" w:sz="4" w:space="0" w:color="auto"/>
            </w:tcBorders>
            <w:vAlign w:val="center"/>
            <w:hideMark/>
          </w:tcPr>
          <w:p w14:paraId="6C2E1440" w14:textId="77777777" w:rsidR="00F467CF" w:rsidRPr="00110DC3" w:rsidRDefault="00F467CF" w:rsidP="00F467CF">
            <w:pPr>
              <w:rPr>
                <w:rFonts w:ascii="Book Antiqua" w:hAnsi="Book Antiqua" w:cs="Calibri"/>
                <w:b/>
                <w:bCs/>
                <w:color w:val="FFFFFF"/>
                <w:sz w:val="16"/>
                <w:szCs w:val="16"/>
                <w:lang w:eastAsia="es-CR"/>
              </w:rPr>
            </w:pPr>
          </w:p>
        </w:tc>
        <w:tc>
          <w:tcPr>
            <w:tcW w:w="1786" w:type="dxa"/>
            <w:tcBorders>
              <w:top w:val="single" w:sz="4" w:space="0" w:color="auto"/>
              <w:left w:val="nil"/>
              <w:bottom w:val="single" w:sz="4" w:space="0" w:color="auto"/>
              <w:right w:val="single" w:sz="4" w:space="0" w:color="auto"/>
            </w:tcBorders>
            <w:shd w:val="clear" w:color="000000" w:fill="AEAAAA"/>
            <w:noWrap/>
            <w:vAlign w:val="center"/>
            <w:hideMark/>
          </w:tcPr>
          <w:p w14:paraId="3ECBDF0D" w14:textId="77777777" w:rsidR="00F467CF" w:rsidRPr="00110DC3" w:rsidRDefault="00F467CF" w:rsidP="00F467CF">
            <w:pPr>
              <w:jc w:val="center"/>
              <w:rPr>
                <w:rFonts w:ascii="Book Antiqua" w:hAnsi="Book Antiqua" w:cs="Calibri"/>
                <w:b/>
                <w:bCs/>
                <w:color w:val="FFFFFF"/>
                <w:sz w:val="16"/>
                <w:szCs w:val="16"/>
                <w:lang w:eastAsia="es-CR"/>
              </w:rPr>
            </w:pPr>
            <w:r w:rsidRPr="00110DC3">
              <w:rPr>
                <w:rFonts w:ascii="Book Antiqua" w:hAnsi="Book Antiqua" w:cs="Calibri"/>
                <w:b/>
                <w:bCs/>
                <w:color w:val="FFFFFF"/>
                <w:sz w:val="16"/>
                <w:szCs w:val="16"/>
                <w:lang w:eastAsia="es-CR"/>
              </w:rPr>
              <w:t>Indicadores</w:t>
            </w:r>
          </w:p>
        </w:tc>
        <w:tc>
          <w:tcPr>
            <w:tcW w:w="1275" w:type="dxa"/>
            <w:tcBorders>
              <w:top w:val="single" w:sz="4" w:space="0" w:color="auto"/>
              <w:left w:val="nil"/>
              <w:bottom w:val="single" w:sz="4" w:space="0" w:color="auto"/>
              <w:right w:val="single" w:sz="4" w:space="0" w:color="auto"/>
            </w:tcBorders>
            <w:shd w:val="clear" w:color="000000" w:fill="AEAAAA"/>
            <w:noWrap/>
            <w:vAlign w:val="center"/>
            <w:hideMark/>
          </w:tcPr>
          <w:p w14:paraId="2E38BCAE" w14:textId="77777777" w:rsidR="00F467CF" w:rsidRPr="00110DC3" w:rsidRDefault="00F467CF" w:rsidP="00F467CF">
            <w:pPr>
              <w:jc w:val="center"/>
              <w:rPr>
                <w:rFonts w:ascii="Book Antiqua" w:hAnsi="Book Antiqua" w:cs="Calibri"/>
                <w:b/>
                <w:bCs/>
                <w:color w:val="FFFFFF"/>
                <w:sz w:val="16"/>
                <w:szCs w:val="16"/>
                <w:lang w:eastAsia="es-CR"/>
              </w:rPr>
            </w:pPr>
            <w:r w:rsidRPr="00110DC3">
              <w:rPr>
                <w:rFonts w:ascii="Book Antiqua" w:hAnsi="Book Antiqua" w:cs="Calibri"/>
                <w:b/>
                <w:bCs/>
                <w:color w:val="FFFFFF"/>
                <w:sz w:val="16"/>
                <w:szCs w:val="16"/>
                <w:lang w:eastAsia="es-CR"/>
              </w:rPr>
              <w:t>Sigma</w:t>
            </w:r>
          </w:p>
        </w:tc>
        <w:tc>
          <w:tcPr>
            <w:tcW w:w="417" w:type="dxa"/>
            <w:tcBorders>
              <w:top w:val="single" w:sz="4" w:space="0" w:color="auto"/>
              <w:left w:val="nil"/>
              <w:bottom w:val="single" w:sz="4" w:space="0" w:color="auto"/>
              <w:right w:val="single" w:sz="4" w:space="0" w:color="auto"/>
            </w:tcBorders>
            <w:shd w:val="clear" w:color="000000" w:fill="AEAAAA"/>
            <w:noWrap/>
            <w:vAlign w:val="center"/>
            <w:hideMark/>
          </w:tcPr>
          <w:p w14:paraId="51AB3993" w14:textId="77777777" w:rsidR="00F467CF" w:rsidRPr="00110DC3" w:rsidRDefault="00F467CF" w:rsidP="00F467CF">
            <w:pPr>
              <w:jc w:val="center"/>
              <w:rPr>
                <w:rFonts w:ascii="Book Antiqua" w:hAnsi="Book Antiqua" w:cs="Calibri"/>
                <w:b/>
                <w:bCs/>
                <w:color w:val="FFFFFF"/>
                <w:sz w:val="16"/>
                <w:szCs w:val="16"/>
                <w:lang w:eastAsia="es-CR"/>
              </w:rPr>
            </w:pPr>
            <w:r w:rsidRPr="00110DC3">
              <w:rPr>
                <w:rFonts w:ascii="Book Antiqua" w:hAnsi="Book Antiqua" w:cs="Calibri"/>
                <w:b/>
                <w:bCs/>
                <w:color w:val="FFFFFF"/>
                <w:sz w:val="16"/>
                <w:szCs w:val="16"/>
                <w:lang w:eastAsia="es-CR"/>
              </w:rPr>
              <w:t>Dif%</w:t>
            </w:r>
          </w:p>
        </w:tc>
      </w:tr>
      <w:tr w:rsidR="00F467CF" w:rsidRPr="00110DC3" w14:paraId="213E2B57" w14:textId="77777777" w:rsidTr="0040138E">
        <w:trPr>
          <w:trHeight w:val="290"/>
          <w:jc w:val="center"/>
        </w:trPr>
        <w:tc>
          <w:tcPr>
            <w:tcW w:w="6298" w:type="dxa"/>
            <w:tcBorders>
              <w:top w:val="nil"/>
              <w:left w:val="single" w:sz="4" w:space="0" w:color="auto"/>
              <w:bottom w:val="single" w:sz="4" w:space="0" w:color="auto"/>
              <w:right w:val="single" w:sz="4" w:space="0" w:color="auto"/>
            </w:tcBorders>
            <w:shd w:val="clear" w:color="auto" w:fill="auto"/>
            <w:noWrap/>
            <w:vAlign w:val="center"/>
            <w:hideMark/>
          </w:tcPr>
          <w:p w14:paraId="3402D651" w14:textId="77777777" w:rsidR="00F467CF" w:rsidRPr="00110DC3" w:rsidRDefault="00F467CF" w:rsidP="00F467CF">
            <w:pP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Tribunal Penal del Segundo Circuito Judicial de la Zona Atlántica (Siquirres)</w:t>
            </w:r>
          </w:p>
        </w:tc>
        <w:tc>
          <w:tcPr>
            <w:tcW w:w="1786" w:type="dxa"/>
            <w:tcBorders>
              <w:top w:val="nil"/>
              <w:left w:val="nil"/>
              <w:bottom w:val="single" w:sz="4" w:space="0" w:color="auto"/>
              <w:right w:val="single" w:sz="4" w:space="0" w:color="auto"/>
            </w:tcBorders>
            <w:shd w:val="clear" w:color="auto" w:fill="auto"/>
            <w:noWrap/>
            <w:vAlign w:val="center"/>
            <w:hideMark/>
          </w:tcPr>
          <w:p w14:paraId="6BE4B245" w14:textId="77777777" w:rsidR="00F467CF" w:rsidRPr="00110DC3" w:rsidRDefault="00F467CF" w:rsidP="00F467CF">
            <w:pPr>
              <w:jc w:val="cente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142%</w:t>
            </w:r>
          </w:p>
        </w:tc>
        <w:tc>
          <w:tcPr>
            <w:tcW w:w="1275" w:type="dxa"/>
            <w:tcBorders>
              <w:top w:val="nil"/>
              <w:left w:val="nil"/>
              <w:bottom w:val="single" w:sz="4" w:space="0" w:color="auto"/>
              <w:right w:val="single" w:sz="4" w:space="0" w:color="auto"/>
            </w:tcBorders>
            <w:shd w:val="clear" w:color="auto" w:fill="auto"/>
            <w:noWrap/>
            <w:vAlign w:val="center"/>
            <w:hideMark/>
          </w:tcPr>
          <w:p w14:paraId="3F9800E5" w14:textId="77777777" w:rsidR="00F467CF" w:rsidRPr="00110DC3" w:rsidRDefault="00F467CF" w:rsidP="00F467CF">
            <w:pPr>
              <w:jc w:val="cente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154%</w:t>
            </w:r>
          </w:p>
        </w:tc>
        <w:tc>
          <w:tcPr>
            <w:tcW w:w="417" w:type="dxa"/>
            <w:tcBorders>
              <w:top w:val="nil"/>
              <w:left w:val="nil"/>
              <w:bottom w:val="single" w:sz="4" w:space="0" w:color="auto"/>
              <w:right w:val="single" w:sz="4" w:space="0" w:color="auto"/>
            </w:tcBorders>
            <w:shd w:val="clear" w:color="000000" w:fill="EDEDED"/>
            <w:noWrap/>
            <w:vAlign w:val="center"/>
            <w:hideMark/>
          </w:tcPr>
          <w:p w14:paraId="45672689" w14:textId="77777777" w:rsidR="00F467CF" w:rsidRPr="00110DC3" w:rsidRDefault="00F467CF" w:rsidP="00F467CF">
            <w:pPr>
              <w:jc w:val="cente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-4%</w:t>
            </w:r>
          </w:p>
        </w:tc>
      </w:tr>
      <w:tr w:rsidR="00F467CF" w:rsidRPr="00110DC3" w14:paraId="2827B2C3" w14:textId="77777777" w:rsidTr="0040138E">
        <w:trPr>
          <w:trHeight w:val="290"/>
          <w:jc w:val="center"/>
        </w:trPr>
        <w:tc>
          <w:tcPr>
            <w:tcW w:w="6298" w:type="dxa"/>
            <w:tcBorders>
              <w:top w:val="nil"/>
              <w:left w:val="single" w:sz="4" w:space="0" w:color="auto"/>
              <w:bottom w:val="single" w:sz="4" w:space="0" w:color="auto"/>
              <w:right w:val="single" w:sz="4" w:space="0" w:color="auto"/>
            </w:tcBorders>
            <w:shd w:val="clear" w:color="auto" w:fill="auto"/>
            <w:noWrap/>
            <w:vAlign w:val="center"/>
            <w:hideMark/>
          </w:tcPr>
          <w:p w14:paraId="69116CB7" w14:textId="77777777" w:rsidR="00F467CF" w:rsidRPr="00110DC3" w:rsidRDefault="00F467CF" w:rsidP="00F467CF">
            <w:pP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Tribunal Penal del Segundo Circuito Judicial de Alajuela (San Carlos)</w:t>
            </w:r>
          </w:p>
        </w:tc>
        <w:tc>
          <w:tcPr>
            <w:tcW w:w="1786" w:type="dxa"/>
            <w:tcBorders>
              <w:top w:val="nil"/>
              <w:left w:val="nil"/>
              <w:bottom w:val="single" w:sz="4" w:space="0" w:color="auto"/>
              <w:right w:val="single" w:sz="4" w:space="0" w:color="auto"/>
            </w:tcBorders>
            <w:shd w:val="clear" w:color="auto" w:fill="auto"/>
            <w:noWrap/>
            <w:vAlign w:val="center"/>
            <w:hideMark/>
          </w:tcPr>
          <w:p w14:paraId="5C848697" w14:textId="77777777" w:rsidR="00F467CF" w:rsidRPr="00110DC3" w:rsidRDefault="00F467CF" w:rsidP="00F467CF">
            <w:pPr>
              <w:jc w:val="cente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124%</w:t>
            </w:r>
          </w:p>
        </w:tc>
        <w:tc>
          <w:tcPr>
            <w:tcW w:w="1275" w:type="dxa"/>
            <w:tcBorders>
              <w:top w:val="nil"/>
              <w:left w:val="nil"/>
              <w:bottom w:val="single" w:sz="4" w:space="0" w:color="auto"/>
              <w:right w:val="single" w:sz="4" w:space="0" w:color="auto"/>
            </w:tcBorders>
            <w:shd w:val="clear" w:color="auto" w:fill="auto"/>
            <w:noWrap/>
            <w:vAlign w:val="center"/>
            <w:hideMark/>
          </w:tcPr>
          <w:p w14:paraId="632C2E16" w14:textId="77777777" w:rsidR="00F467CF" w:rsidRPr="00110DC3" w:rsidRDefault="00F467CF" w:rsidP="00F467CF">
            <w:pPr>
              <w:jc w:val="cente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122%</w:t>
            </w:r>
          </w:p>
        </w:tc>
        <w:tc>
          <w:tcPr>
            <w:tcW w:w="417" w:type="dxa"/>
            <w:tcBorders>
              <w:top w:val="nil"/>
              <w:left w:val="nil"/>
              <w:bottom w:val="single" w:sz="4" w:space="0" w:color="auto"/>
              <w:right w:val="single" w:sz="4" w:space="0" w:color="auto"/>
            </w:tcBorders>
            <w:shd w:val="clear" w:color="000000" w:fill="EDEDED"/>
            <w:noWrap/>
            <w:vAlign w:val="center"/>
            <w:hideMark/>
          </w:tcPr>
          <w:p w14:paraId="30F0FD07" w14:textId="77777777" w:rsidR="00F467CF" w:rsidRPr="00110DC3" w:rsidRDefault="00F467CF" w:rsidP="00F467CF">
            <w:pPr>
              <w:jc w:val="cente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-4%</w:t>
            </w:r>
          </w:p>
        </w:tc>
      </w:tr>
      <w:tr w:rsidR="00F467CF" w:rsidRPr="00110DC3" w14:paraId="14871479" w14:textId="77777777" w:rsidTr="0040138E">
        <w:trPr>
          <w:trHeight w:val="290"/>
          <w:jc w:val="center"/>
        </w:trPr>
        <w:tc>
          <w:tcPr>
            <w:tcW w:w="6298" w:type="dxa"/>
            <w:tcBorders>
              <w:top w:val="nil"/>
              <w:left w:val="single" w:sz="4" w:space="0" w:color="auto"/>
              <w:bottom w:val="single" w:sz="4" w:space="0" w:color="auto"/>
              <w:right w:val="single" w:sz="4" w:space="0" w:color="auto"/>
            </w:tcBorders>
            <w:shd w:val="clear" w:color="auto" w:fill="auto"/>
            <w:noWrap/>
            <w:vAlign w:val="center"/>
            <w:hideMark/>
          </w:tcPr>
          <w:p w14:paraId="1601A5AE" w14:textId="77777777" w:rsidR="00F467CF" w:rsidRPr="00110DC3" w:rsidRDefault="00F467CF" w:rsidP="00F467CF">
            <w:pP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Tribunal Penal de Turrialba</w:t>
            </w:r>
          </w:p>
        </w:tc>
        <w:tc>
          <w:tcPr>
            <w:tcW w:w="1786" w:type="dxa"/>
            <w:tcBorders>
              <w:top w:val="nil"/>
              <w:left w:val="nil"/>
              <w:bottom w:val="single" w:sz="4" w:space="0" w:color="auto"/>
              <w:right w:val="single" w:sz="4" w:space="0" w:color="auto"/>
            </w:tcBorders>
            <w:shd w:val="clear" w:color="auto" w:fill="auto"/>
            <w:noWrap/>
            <w:vAlign w:val="center"/>
            <w:hideMark/>
          </w:tcPr>
          <w:p w14:paraId="583DB896" w14:textId="77777777" w:rsidR="00F467CF" w:rsidRPr="00110DC3" w:rsidRDefault="00F467CF" w:rsidP="00F467CF">
            <w:pPr>
              <w:jc w:val="cente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122%</w:t>
            </w:r>
          </w:p>
        </w:tc>
        <w:tc>
          <w:tcPr>
            <w:tcW w:w="1275" w:type="dxa"/>
            <w:tcBorders>
              <w:top w:val="nil"/>
              <w:left w:val="nil"/>
              <w:bottom w:val="single" w:sz="4" w:space="0" w:color="auto"/>
              <w:right w:val="single" w:sz="4" w:space="0" w:color="auto"/>
            </w:tcBorders>
            <w:shd w:val="clear" w:color="auto" w:fill="auto"/>
            <w:noWrap/>
            <w:vAlign w:val="center"/>
            <w:hideMark/>
          </w:tcPr>
          <w:p w14:paraId="52DF2B0E" w14:textId="77777777" w:rsidR="00F467CF" w:rsidRPr="00110DC3" w:rsidRDefault="00F467CF" w:rsidP="00F467CF">
            <w:pPr>
              <w:jc w:val="cente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88%</w:t>
            </w:r>
          </w:p>
        </w:tc>
        <w:tc>
          <w:tcPr>
            <w:tcW w:w="417" w:type="dxa"/>
            <w:tcBorders>
              <w:top w:val="nil"/>
              <w:left w:val="nil"/>
              <w:bottom w:val="single" w:sz="4" w:space="0" w:color="auto"/>
              <w:right w:val="single" w:sz="4" w:space="0" w:color="auto"/>
            </w:tcBorders>
            <w:shd w:val="clear" w:color="000000" w:fill="EDEDED"/>
            <w:noWrap/>
            <w:vAlign w:val="center"/>
            <w:hideMark/>
          </w:tcPr>
          <w:p w14:paraId="5683ACC0" w14:textId="77777777" w:rsidR="00F467CF" w:rsidRPr="00110DC3" w:rsidRDefault="00F467CF" w:rsidP="00F467CF">
            <w:pPr>
              <w:jc w:val="cente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-6%</w:t>
            </w:r>
          </w:p>
        </w:tc>
      </w:tr>
      <w:tr w:rsidR="00F467CF" w:rsidRPr="00110DC3" w14:paraId="50628FAF" w14:textId="77777777" w:rsidTr="0040138E">
        <w:trPr>
          <w:trHeight w:val="290"/>
          <w:jc w:val="center"/>
        </w:trPr>
        <w:tc>
          <w:tcPr>
            <w:tcW w:w="6298" w:type="dxa"/>
            <w:tcBorders>
              <w:top w:val="nil"/>
              <w:left w:val="single" w:sz="4" w:space="0" w:color="auto"/>
              <w:bottom w:val="single" w:sz="4" w:space="0" w:color="auto"/>
              <w:right w:val="single" w:sz="4" w:space="0" w:color="auto"/>
            </w:tcBorders>
            <w:shd w:val="clear" w:color="auto" w:fill="auto"/>
            <w:noWrap/>
            <w:vAlign w:val="center"/>
            <w:hideMark/>
          </w:tcPr>
          <w:p w14:paraId="1D292DD1" w14:textId="77777777" w:rsidR="00F467CF" w:rsidRPr="00110DC3" w:rsidRDefault="00F467CF" w:rsidP="00F467CF">
            <w:pP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Tribunal Penal Primer Circuito Judicial de Alajuela</w:t>
            </w:r>
          </w:p>
        </w:tc>
        <w:tc>
          <w:tcPr>
            <w:tcW w:w="1786" w:type="dxa"/>
            <w:tcBorders>
              <w:top w:val="nil"/>
              <w:left w:val="nil"/>
              <w:bottom w:val="single" w:sz="4" w:space="0" w:color="auto"/>
              <w:right w:val="single" w:sz="4" w:space="0" w:color="auto"/>
            </w:tcBorders>
            <w:shd w:val="clear" w:color="auto" w:fill="auto"/>
            <w:noWrap/>
            <w:vAlign w:val="center"/>
            <w:hideMark/>
          </w:tcPr>
          <w:p w14:paraId="4FCF65D2" w14:textId="77777777" w:rsidR="00F467CF" w:rsidRPr="00110DC3" w:rsidRDefault="00F467CF" w:rsidP="00F467CF">
            <w:pPr>
              <w:jc w:val="cente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119%</w:t>
            </w:r>
          </w:p>
        </w:tc>
        <w:tc>
          <w:tcPr>
            <w:tcW w:w="1275" w:type="dxa"/>
            <w:tcBorders>
              <w:top w:val="nil"/>
              <w:left w:val="nil"/>
              <w:bottom w:val="single" w:sz="4" w:space="0" w:color="auto"/>
              <w:right w:val="single" w:sz="4" w:space="0" w:color="auto"/>
            </w:tcBorders>
            <w:shd w:val="clear" w:color="auto" w:fill="auto"/>
            <w:noWrap/>
            <w:vAlign w:val="center"/>
            <w:hideMark/>
          </w:tcPr>
          <w:p w14:paraId="6281FA49" w14:textId="77777777" w:rsidR="00F467CF" w:rsidRPr="00110DC3" w:rsidRDefault="00F467CF" w:rsidP="00F467CF">
            <w:pPr>
              <w:jc w:val="cente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133%</w:t>
            </w:r>
          </w:p>
        </w:tc>
        <w:tc>
          <w:tcPr>
            <w:tcW w:w="417" w:type="dxa"/>
            <w:tcBorders>
              <w:top w:val="nil"/>
              <w:left w:val="nil"/>
              <w:bottom w:val="single" w:sz="4" w:space="0" w:color="auto"/>
              <w:right w:val="single" w:sz="4" w:space="0" w:color="auto"/>
            </w:tcBorders>
            <w:shd w:val="clear" w:color="000000" w:fill="EDEDED"/>
            <w:noWrap/>
            <w:vAlign w:val="center"/>
            <w:hideMark/>
          </w:tcPr>
          <w:p w14:paraId="2F6BA9EC" w14:textId="77777777" w:rsidR="00F467CF" w:rsidRPr="00110DC3" w:rsidRDefault="00F467CF" w:rsidP="00F467CF">
            <w:pPr>
              <w:jc w:val="cente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-41%</w:t>
            </w:r>
          </w:p>
        </w:tc>
      </w:tr>
      <w:tr w:rsidR="00F467CF" w:rsidRPr="00110DC3" w14:paraId="3C1E5314" w14:textId="77777777" w:rsidTr="0040138E">
        <w:trPr>
          <w:trHeight w:val="290"/>
          <w:jc w:val="center"/>
        </w:trPr>
        <w:tc>
          <w:tcPr>
            <w:tcW w:w="6298" w:type="dxa"/>
            <w:tcBorders>
              <w:top w:val="nil"/>
              <w:left w:val="single" w:sz="4" w:space="0" w:color="auto"/>
              <w:bottom w:val="single" w:sz="4" w:space="0" w:color="auto"/>
              <w:right w:val="single" w:sz="4" w:space="0" w:color="auto"/>
            </w:tcBorders>
            <w:shd w:val="clear" w:color="auto" w:fill="auto"/>
            <w:noWrap/>
            <w:vAlign w:val="center"/>
            <w:hideMark/>
          </w:tcPr>
          <w:p w14:paraId="702F1B51" w14:textId="77777777" w:rsidR="00F467CF" w:rsidRPr="00110DC3" w:rsidRDefault="00F467CF" w:rsidP="00F467CF">
            <w:pP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Tribunal Penal del Primer Circuito Judicial de la Zona Sur (Perez Zeledón)</w:t>
            </w:r>
          </w:p>
        </w:tc>
        <w:tc>
          <w:tcPr>
            <w:tcW w:w="1786" w:type="dxa"/>
            <w:tcBorders>
              <w:top w:val="nil"/>
              <w:left w:val="nil"/>
              <w:bottom w:val="single" w:sz="4" w:space="0" w:color="auto"/>
              <w:right w:val="single" w:sz="4" w:space="0" w:color="auto"/>
            </w:tcBorders>
            <w:shd w:val="clear" w:color="auto" w:fill="auto"/>
            <w:noWrap/>
            <w:vAlign w:val="center"/>
            <w:hideMark/>
          </w:tcPr>
          <w:p w14:paraId="5A37DE19" w14:textId="77777777" w:rsidR="00F467CF" w:rsidRPr="00110DC3" w:rsidRDefault="00F467CF" w:rsidP="00F467CF">
            <w:pPr>
              <w:jc w:val="cente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118%</w:t>
            </w:r>
          </w:p>
        </w:tc>
        <w:tc>
          <w:tcPr>
            <w:tcW w:w="1275" w:type="dxa"/>
            <w:tcBorders>
              <w:top w:val="nil"/>
              <w:left w:val="nil"/>
              <w:bottom w:val="single" w:sz="4" w:space="0" w:color="auto"/>
              <w:right w:val="single" w:sz="4" w:space="0" w:color="auto"/>
            </w:tcBorders>
            <w:shd w:val="clear" w:color="auto" w:fill="auto"/>
            <w:noWrap/>
            <w:vAlign w:val="center"/>
            <w:hideMark/>
          </w:tcPr>
          <w:p w14:paraId="2C503FAC" w14:textId="77777777" w:rsidR="00F467CF" w:rsidRPr="00110DC3" w:rsidRDefault="00F467CF" w:rsidP="00F467CF">
            <w:pPr>
              <w:jc w:val="cente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131%</w:t>
            </w:r>
          </w:p>
        </w:tc>
        <w:tc>
          <w:tcPr>
            <w:tcW w:w="417" w:type="dxa"/>
            <w:tcBorders>
              <w:top w:val="nil"/>
              <w:left w:val="nil"/>
              <w:bottom w:val="single" w:sz="4" w:space="0" w:color="auto"/>
              <w:right w:val="single" w:sz="4" w:space="0" w:color="auto"/>
            </w:tcBorders>
            <w:shd w:val="clear" w:color="000000" w:fill="EDEDED"/>
            <w:noWrap/>
            <w:vAlign w:val="center"/>
            <w:hideMark/>
          </w:tcPr>
          <w:p w14:paraId="1DA7741E" w14:textId="77777777" w:rsidR="00F467CF" w:rsidRPr="00110DC3" w:rsidRDefault="00F467CF" w:rsidP="00F467CF">
            <w:pPr>
              <w:jc w:val="cente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-9%</w:t>
            </w:r>
          </w:p>
        </w:tc>
      </w:tr>
      <w:tr w:rsidR="00F467CF" w:rsidRPr="00110DC3" w14:paraId="5ED355E3" w14:textId="77777777" w:rsidTr="0040138E">
        <w:trPr>
          <w:trHeight w:val="290"/>
          <w:jc w:val="center"/>
        </w:trPr>
        <w:tc>
          <w:tcPr>
            <w:tcW w:w="6298" w:type="dxa"/>
            <w:tcBorders>
              <w:top w:val="nil"/>
              <w:left w:val="single" w:sz="4" w:space="0" w:color="auto"/>
              <w:bottom w:val="single" w:sz="4" w:space="0" w:color="auto"/>
              <w:right w:val="single" w:sz="4" w:space="0" w:color="auto"/>
            </w:tcBorders>
            <w:shd w:val="clear" w:color="auto" w:fill="auto"/>
            <w:noWrap/>
            <w:vAlign w:val="center"/>
            <w:hideMark/>
          </w:tcPr>
          <w:p w14:paraId="7265F83C" w14:textId="77777777" w:rsidR="00F467CF" w:rsidRPr="00110DC3" w:rsidRDefault="00F467CF" w:rsidP="00F467CF">
            <w:pP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Tribunal Penal de Puntarenas</w:t>
            </w:r>
          </w:p>
        </w:tc>
        <w:tc>
          <w:tcPr>
            <w:tcW w:w="1786" w:type="dxa"/>
            <w:tcBorders>
              <w:top w:val="nil"/>
              <w:left w:val="nil"/>
              <w:bottom w:val="single" w:sz="4" w:space="0" w:color="auto"/>
              <w:right w:val="single" w:sz="4" w:space="0" w:color="auto"/>
            </w:tcBorders>
            <w:shd w:val="clear" w:color="auto" w:fill="auto"/>
            <w:noWrap/>
            <w:vAlign w:val="center"/>
            <w:hideMark/>
          </w:tcPr>
          <w:p w14:paraId="4CF10B0F" w14:textId="77777777" w:rsidR="00F467CF" w:rsidRPr="00110DC3" w:rsidRDefault="00F467CF" w:rsidP="00F467CF">
            <w:pPr>
              <w:jc w:val="cente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112%</w:t>
            </w:r>
          </w:p>
        </w:tc>
        <w:tc>
          <w:tcPr>
            <w:tcW w:w="1275" w:type="dxa"/>
            <w:tcBorders>
              <w:top w:val="nil"/>
              <w:left w:val="nil"/>
              <w:bottom w:val="single" w:sz="4" w:space="0" w:color="auto"/>
              <w:right w:val="single" w:sz="4" w:space="0" w:color="auto"/>
            </w:tcBorders>
            <w:shd w:val="clear" w:color="auto" w:fill="auto"/>
            <w:noWrap/>
            <w:vAlign w:val="center"/>
            <w:hideMark/>
          </w:tcPr>
          <w:p w14:paraId="564222A1" w14:textId="77777777" w:rsidR="00F467CF" w:rsidRPr="00110DC3" w:rsidRDefault="00F467CF" w:rsidP="00F467CF">
            <w:pPr>
              <w:jc w:val="cente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128%</w:t>
            </w:r>
          </w:p>
        </w:tc>
        <w:tc>
          <w:tcPr>
            <w:tcW w:w="417" w:type="dxa"/>
            <w:tcBorders>
              <w:top w:val="nil"/>
              <w:left w:val="nil"/>
              <w:bottom w:val="single" w:sz="4" w:space="0" w:color="auto"/>
              <w:right w:val="single" w:sz="4" w:space="0" w:color="auto"/>
            </w:tcBorders>
            <w:shd w:val="clear" w:color="000000" w:fill="EDEDED"/>
            <w:noWrap/>
            <w:vAlign w:val="center"/>
            <w:hideMark/>
          </w:tcPr>
          <w:p w14:paraId="42374EB5" w14:textId="77777777" w:rsidR="00F467CF" w:rsidRPr="00110DC3" w:rsidRDefault="00F467CF" w:rsidP="00F467CF">
            <w:pPr>
              <w:jc w:val="cente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10%</w:t>
            </w:r>
          </w:p>
        </w:tc>
      </w:tr>
      <w:tr w:rsidR="00F467CF" w:rsidRPr="00110DC3" w14:paraId="3694A2C2" w14:textId="77777777" w:rsidTr="0040138E">
        <w:trPr>
          <w:trHeight w:val="290"/>
          <w:jc w:val="center"/>
        </w:trPr>
        <w:tc>
          <w:tcPr>
            <w:tcW w:w="6298" w:type="dxa"/>
            <w:tcBorders>
              <w:top w:val="nil"/>
              <w:left w:val="single" w:sz="4" w:space="0" w:color="auto"/>
              <w:bottom w:val="single" w:sz="4" w:space="0" w:color="auto"/>
              <w:right w:val="single" w:sz="4" w:space="0" w:color="auto"/>
            </w:tcBorders>
            <w:shd w:val="clear" w:color="auto" w:fill="auto"/>
            <w:noWrap/>
            <w:vAlign w:val="center"/>
            <w:hideMark/>
          </w:tcPr>
          <w:p w14:paraId="6C92C106" w14:textId="77777777" w:rsidR="00F467CF" w:rsidRPr="00110DC3" w:rsidRDefault="00F467CF" w:rsidP="00F467CF">
            <w:pP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Tribunal Penal del Primer Circuito Judicial de la Zona Atlántica (Limón)</w:t>
            </w:r>
          </w:p>
        </w:tc>
        <w:tc>
          <w:tcPr>
            <w:tcW w:w="1786" w:type="dxa"/>
            <w:tcBorders>
              <w:top w:val="nil"/>
              <w:left w:val="nil"/>
              <w:bottom w:val="single" w:sz="4" w:space="0" w:color="auto"/>
              <w:right w:val="single" w:sz="4" w:space="0" w:color="auto"/>
            </w:tcBorders>
            <w:shd w:val="clear" w:color="auto" w:fill="auto"/>
            <w:noWrap/>
            <w:vAlign w:val="center"/>
            <w:hideMark/>
          </w:tcPr>
          <w:p w14:paraId="55040208" w14:textId="77777777" w:rsidR="00F467CF" w:rsidRPr="00110DC3" w:rsidRDefault="00F467CF" w:rsidP="00F467CF">
            <w:pPr>
              <w:jc w:val="cente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107%</w:t>
            </w:r>
          </w:p>
        </w:tc>
        <w:tc>
          <w:tcPr>
            <w:tcW w:w="1275" w:type="dxa"/>
            <w:tcBorders>
              <w:top w:val="nil"/>
              <w:left w:val="nil"/>
              <w:bottom w:val="single" w:sz="4" w:space="0" w:color="auto"/>
              <w:right w:val="single" w:sz="4" w:space="0" w:color="auto"/>
            </w:tcBorders>
            <w:shd w:val="clear" w:color="auto" w:fill="auto"/>
            <w:noWrap/>
            <w:vAlign w:val="center"/>
            <w:hideMark/>
          </w:tcPr>
          <w:p w14:paraId="15CEDAAE" w14:textId="77777777" w:rsidR="00F467CF" w:rsidRPr="00110DC3" w:rsidRDefault="00F467CF" w:rsidP="00F467CF">
            <w:pPr>
              <w:jc w:val="cente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159%</w:t>
            </w:r>
          </w:p>
        </w:tc>
        <w:tc>
          <w:tcPr>
            <w:tcW w:w="417" w:type="dxa"/>
            <w:tcBorders>
              <w:top w:val="nil"/>
              <w:left w:val="nil"/>
              <w:bottom w:val="single" w:sz="4" w:space="0" w:color="auto"/>
              <w:right w:val="single" w:sz="4" w:space="0" w:color="auto"/>
            </w:tcBorders>
            <w:shd w:val="clear" w:color="000000" w:fill="EDEDED"/>
            <w:noWrap/>
            <w:vAlign w:val="center"/>
            <w:hideMark/>
          </w:tcPr>
          <w:p w14:paraId="3BA7FCA9" w14:textId="77777777" w:rsidR="00F467CF" w:rsidRPr="00110DC3" w:rsidRDefault="00F467CF" w:rsidP="00F467CF">
            <w:pPr>
              <w:jc w:val="cente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29%</w:t>
            </w:r>
          </w:p>
        </w:tc>
      </w:tr>
      <w:tr w:rsidR="00F467CF" w:rsidRPr="00110DC3" w14:paraId="564B8382" w14:textId="77777777" w:rsidTr="0040138E">
        <w:trPr>
          <w:trHeight w:val="290"/>
          <w:jc w:val="center"/>
        </w:trPr>
        <w:tc>
          <w:tcPr>
            <w:tcW w:w="6298" w:type="dxa"/>
            <w:tcBorders>
              <w:top w:val="nil"/>
              <w:left w:val="single" w:sz="4" w:space="0" w:color="auto"/>
              <w:bottom w:val="single" w:sz="4" w:space="0" w:color="auto"/>
              <w:right w:val="single" w:sz="4" w:space="0" w:color="auto"/>
            </w:tcBorders>
            <w:shd w:val="clear" w:color="auto" w:fill="auto"/>
            <w:noWrap/>
            <w:vAlign w:val="center"/>
            <w:hideMark/>
          </w:tcPr>
          <w:p w14:paraId="7F34AB43" w14:textId="77777777" w:rsidR="00F467CF" w:rsidRPr="00110DC3" w:rsidRDefault="00F467CF" w:rsidP="00F467CF">
            <w:pP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Tribunal Penal de Cartago</w:t>
            </w:r>
          </w:p>
        </w:tc>
        <w:tc>
          <w:tcPr>
            <w:tcW w:w="1786" w:type="dxa"/>
            <w:tcBorders>
              <w:top w:val="nil"/>
              <w:left w:val="nil"/>
              <w:bottom w:val="single" w:sz="4" w:space="0" w:color="auto"/>
              <w:right w:val="single" w:sz="4" w:space="0" w:color="auto"/>
            </w:tcBorders>
            <w:shd w:val="clear" w:color="auto" w:fill="auto"/>
            <w:noWrap/>
            <w:vAlign w:val="center"/>
            <w:hideMark/>
          </w:tcPr>
          <w:p w14:paraId="229B31C9" w14:textId="77777777" w:rsidR="00F467CF" w:rsidRPr="00110DC3" w:rsidRDefault="00F467CF" w:rsidP="00F467CF">
            <w:pPr>
              <w:jc w:val="cente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103%</w:t>
            </w:r>
          </w:p>
        </w:tc>
        <w:tc>
          <w:tcPr>
            <w:tcW w:w="1275" w:type="dxa"/>
            <w:tcBorders>
              <w:top w:val="nil"/>
              <w:left w:val="nil"/>
              <w:bottom w:val="single" w:sz="4" w:space="0" w:color="auto"/>
              <w:right w:val="single" w:sz="4" w:space="0" w:color="auto"/>
            </w:tcBorders>
            <w:shd w:val="clear" w:color="auto" w:fill="auto"/>
            <w:noWrap/>
            <w:vAlign w:val="center"/>
            <w:hideMark/>
          </w:tcPr>
          <w:p w14:paraId="36D1BD05" w14:textId="77777777" w:rsidR="00F467CF" w:rsidRPr="00110DC3" w:rsidRDefault="00F467CF" w:rsidP="00F467CF">
            <w:pPr>
              <w:jc w:val="cente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144%</w:t>
            </w:r>
          </w:p>
        </w:tc>
        <w:tc>
          <w:tcPr>
            <w:tcW w:w="417" w:type="dxa"/>
            <w:tcBorders>
              <w:top w:val="nil"/>
              <w:left w:val="nil"/>
              <w:bottom w:val="single" w:sz="4" w:space="0" w:color="auto"/>
              <w:right w:val="single" w:sz="4" w:space="0" w:color="auto"/>
            </w:tcBorders>
            <w:shd w:val="clear" w:color="000000" w:fill="EDEDED"/>
            <w:noWrap/>
            <w:vAlign w:val="center"/>
            <w:hideMark/>
          </w:tcPr>
          <w:p w14:paraId="274D29DB" w14:textId="77777777" w:rsidR="00F467CF" w:rsidRPr="00110DC3" w:rsidRDefault="00F467CF" w:rsidP="00F467CF">
            <w:pPr>
              <w:jc w:val="cente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-17%</w:t>
            </w:r>
          </w:p>
        </w:tc>
      </w:tr>
      <w:tr w:rsidR="00F467CF" w:rsidRPr="00110DC3" w14:paraId="25FA9787" w14:textId="77777777" w:rsidTr="0040138E">
        <w:trPr>
          <w:trHeight w:val="290"/>
          <w:jc w:val="center"/>
        </w:trPr>
        <w:tc>
          <w:tcPr>
            <w:tcW w:w="6298" w:type="dxa"/>
            <w:tcBorders>
              <w:top w:val="nil"/>
              <w:left w:val="single" w:sz="4" w:space="0" w:color="auto"/>
              <w:bottom w:val="single" w:sz="4" w:space="0" w:color="auto"/>
              <w:right w:val="single" w:sz="4" w:space="0" w:color="auto"/>
            </w:tcBorders>
            <w:shd w:val="clear" w:color="auto" w:fill="auto"/>
            <w:noWrap/>
            <w:vAlign w:val="center"/>
            <w:hideMark/>
          </w:tcPr>
          <w:p w14:paraId="2A0100F9" w14:textId="77777777" w:rsidR="00F467CF" w:rsidRPr="00110DC3" w:rsidRDefault="00F467CF" w:rsidP="00F467CF">
            <w:pP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Tribunal Penal del Segundo Circuito Judicial de Guanacaste (Nicoya)</w:t>
            </w:r>
          </w:p>
        </w:tc>
        <w:tc>
          <w:tcPr>
            <w:tcW w:w="1786" w:type="dxa"/>
            <w:tcBorders>
              <w:top w:val="nil"/>
              <w:left w:val="nil"/>
              <w:bottom w:val="single" w:sz="4" w:space="0" w:color="auto"/>
              <w:right w:val="single" w:sz="4" w:space="0" w:color="auto"/>
            </w:tcBorders>
            <w:shd w:val="clear" w:color="auto" w:fill="auto"/>
            <w:noWrap/>
            <w:vAlign w:val="center"/>
            <w:hideMark/>
          </w:tcPr>
          <w:p w14:paraId="038F15C5" w14:textId="77777777" w:rsidR="00F467CF" w:rsidRPr="00110DC3" w:rsidRDefault="00F467CF" w:rsidP="00F467CF">
            <w:pPr>
              <w:jc w:val="cente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100%</w:t>
            </w:r>
          </w:p>
        </w:tc>
        <w:tc>
          <w:tcPr>
            <w:tcW w:w="1275" w:type="dxa"/>
            <w:tcBorders>
              <w:top w:val="nil"/>
              <w:left w:val="nil"/>
              <w:bottom w:val="single" w:sz="4" w:space="0" w:color="auto"/>
              <w:right w:val="single" w:sz="4" w:space="0" w:color="auto"/>
            </w:tcBorders>
            <w:shd w:val="clear" w:color="auto" w:fill="auto"/>
            <w:noWrap/>
            <w:vAlign w:val="center"/>
            <w:hideMark/>
          </w:tcPr>
          <w:p w14:paraId="2342DAB8" w14:textId="77777777" w:rsidR="00F467CF" w:rsidRPr="00110DC3" w:rsidRDefault="00F467CF" w:rsidP="00F467CF">
            <w:pPr>
              <w:jc w:val="cente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104%</w:t>
            </w:r>
          </w:p>
        </w:tc>
        <w:tc>
          <w:tcPr>
            <w:tcW w:w="417" w:type="dxa"/>
            <w:tcBorders>
              <w:top w:val="nil"/>
              <w:left w:val="nil"/>
              <w:bottom w:val="single" w:sz="4" w:space="0" w:color="auto"/>
              <w:right w:val="single" w:sz="4" w:space="0" w:color="auto"/>
            </w:tcBorders>
            <w:shd w:val="clear" w:color="000000" w:fill="EDEDED"/>
            <w:noWrap/>
            <w:vAlign w:val="center"/>
            <w:hideMark/>
          </w:tcPr>
          <w:p w14:paraId="56CD8881" w14:textId="4F561B99" w:rsidR="00F467CF" w:rsidRPr="00110DC3" w:rsidRDefault="00E32E67" w:rsidP="00F467CF">
            <w:pPr>
              <w:jc w:val="center"/>
              <w:rPr>
                <w:rFonts w:ascii="Book Antiqua" w:hAnsi="Book Antiqua" w:cs="Calibri"/>
                <w:color w:val="000000"/>
                <w:sz w:val="16"/>
                <w:szCs w:val="16"/>
                <w:lang w:eastAsia="es-CR"/>
              </w:rPr>
            </w:pPr>
            <w:r>
              <w:rPr>
                <w:rFonts w:ascii="Book Antiqua" w:hAnsi="Book Antiqua" w:cs="Calibri"/>
                <w:color w:val="000000"/>
                <w:sz w:val="16"/>
                <w:szCs w:val="16"/>
                <w:lang w:eastAsia="es-CR"/>
              </w:rPr>
              <w:t>4</w:t>
            </w:r>
            <w:r w:rsidR="00F467CF" w:rsidRPr="00110DC3">
              <w:rPr>
                <w:rFonts w:ascii="Book Antiqua" w:hAnsi="Book Antiqua" w:cs="Calibri"/>
                <w:color w:val="000000"/>
                <w:sz w:val="16"/>
                <w:szCs w:val="16"/>
                <w:lang w:eastAsia="es-CR"/>
              </w:rPr>
              <w:t>%</w:t>
            </w:r>
          </w:p>
        </w:tc>
      </w:tr>
      <w:tr w:rsidR="00F467CF" w:rsidRPr="00110DC3" w14:paraId="4BC2899E" w14:textId="77777777" w:rsidTr="0040138E">
        <w:trPr>
          <w:trHeight w:val="290"/>
          <w:jc w:val="center"/>
        </w:trPr>
        <w:tc>
          <w:tcPr>
            <w:tcW w:w="6298" w:type="dxa"/>
            <w:tcBorders>
              <w:top w:val="nil"/>
              <w:left w:val="single" w:sz="4" w:space="0" w:color="auto"/>
              <w:bottom w:val="single" w:sz="4" w:space="0" w:color="auto"/>
              <w:right w:val="single" w:sz="4" w:space="0" w:color="auto"/>
            </w:tcBorders>
            <w:shd w:val="clear" w:color="auto" w:fill="auto"/>
            <w:noWrap/>
            <w:vAlign w:val="center"/>
            <w:hideMark/>
          </w:tcPr>
          <w:p w14:paraId="1993E7A4" w14:textId="77777777" w:rsidR="00F467CF" w:rsidRPr="00110DC3" w:rsidRDefault="00F467CF" w:rsidP="00F467CF">
            <w:pP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Tribunal Penal del Segundo Circuito Judicial de la Zona Atlántica (Guápiles)</w:t>
            </w:r>
          </w:p>
        </w:tc>
        <w:tc>
          <w:tcPr>
            <w:tcW w:w="1786" w:type="dxa"/>
            <w:tcBorders>
              <w:top w:val="nil"/>
              <w:left w:val="nil"/>
              <w:bottom w:val="single" w:sz="4" w:space="0" w:color="auto"/>
              <w:right w:val="single" w:sz="4" w:space="0" w:color="auto"/>
            </w:tcBorders>
            <w:shd w:val="clear" w:color="auto" w:fill="auto"/>
            <w:noWrap/>
            <w:vAlign w:val="center"/>
            <w:hideMark/>
          </w:tcPr>
          <w:p w14:paraId="5A2A50FF" w14:textId="77777777" w:rsidR="00F467CF" w:rsidRPr="00110DC3" w:rsidRDefault="00F467CF" w:rsidP="00F467CF">
            <w:pPr>
              <w:jc w:val="cente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100%</w:t>
            </w:r>
          </w:p>
        </w:tc>
        <w:tc>
          <w:tcPr>
            <w:tcW w:w="1275" w:type="dxa"/>
            <w:tcBorders>
              <w:top w:val="nil"/>
              <w:left w:val="nil"/>
              <w:bottom w:val="single" w:sz="4" w:space="0" w:color="auto"/>
              <w:right w:val="single" w:sz="4" w:space="0" w:color="auto"/>
            </w:tcBorders>
            <w:shd w:val="clear" w:color="auto" w:fill="auto"/>
            <w:noWrap/>
            <w:vAlign w:val="center"/>
            <w:hideMark/>
          </w:tcPr>
          <w:p w14:paraId="24723F59" w14:textId="77777777" w:rsidR="00F467CF" w:rsidRPr="00110DC3" w:rsidRDefault="00F467CF" w:rsidP="00F467CF">
            <w:pPr>
              <w:jc w:val="cente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123%</w:t>
            </w:r>
          </w:p>
        </w:tc>
        <w:tc>
          <w:tcPr>
            <w:tcW w:w="417" w:type="dxa"/>
            <w:tcBorders>
              <w:top w:val="nil"/>
              <w:left w:val="nil"/>
              <w:bottom w:val="single" w:sz="4" w:space="0" w:color="auto"/>
              <w:right w:val="single" w:sz="4" w:space="0" w:color="auto"/>
            </w:tcBorders>
            <w:shd w:val="clear" w:color="000000" w:fill="EDEDED"/>
            <w:noWrap/>
            <w:vAlign w:val="center"/>
            <w:hideMark/>
          </w:tcPr>
          <w:p w14:paraId="4DF504B6" w14:textId="77777777" w:rsidR="00F467CF" w:rsidRPr="00110DC3" w:rsidRDefault="00F467CF" w:rsidP="00F467CF">
            <w:pPr>
              <w:jc w:val="cente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38%</w:t>
            </w:r>
          </w:p>
        </w:tc>
      </w:tr>
      <w:tr w:rsidR="00F467CF" w:rsidRPr="00110DC3" w14:paraId="254605FF" w14:textId="77777777" w:rsidTr="0040138E">
        <w:trPr>
          <w:trHeight w:val="290"/>
          <w:jc w:val="center"/>
        </w:trPr>
        <w:tc>
          <w:tcPr>
            <w:tcW w:w="6298" w:type="dxa"/>
            <w:tcBorders>
              <w:top w:val="nil"/>
              <w:left w:val="single" w:sz="4" w:space="0" w:color="auto"/>
              <w:bottom w:val="single" w:sz="4" w:space="0" w:color="auto"/>
              <w:right w:val="single" w:sz="4" w:space="0" w:color="auto"/>
            </w:tcBorders>
            <w:shd w:val="clear" w:color="auto" w:fill="auto"/>
            <w:noWrap/>
            <w:vAlign w:val="center"/>
            <w:hideMark/>
          </w:tcPr>
          <w:p w14:paraId="01264187" w14:textId="77777777" w:rsidR="00F467CF" w:rsidRPr="00110DC3" w:rsidRDefault="00F467CF" w:rsidP="00F467CF">
            <w:pP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Tribunal Penal del Primer Circuito Judicial de Guanacaste (Liberia)</w:t>
            </w:r>
          </w:p>
        </w:tc>
        <w:tc>
          <w:tcPr>
            <w:tcW w:w="1786" w:type="dxa"/>
            <w:tcBorders>
              <w:top w:val="nil"/>
              <w:left w:val="nil"/>
              <w:bottom w:val="single" w:sz="4" w:space="0" w:color="auto"/>
              <w:right w:val="single" w:sz="4" w:space="0" w:color="auto"/>
            </w:tcBorders>
            <w:shd w:val="clear" w:color="auto" w:fill="auto"/>
            <w:noWrap/>
            <w:vAlign w:val="center"/>
            <w:hideMark/>
          </w:tcPr>
          <w:p w14:paraId="33AC8454" w14:textId="77777777" w:rsidR="00F467CF" w:rsidRPr="00110DC3" w:rsidRDefault="00F467CF" w:rsidP="00F467CF">
            <w:pPr>
              <w:jc w:val="cente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96%</w:t>
            </w:r>
          </w:p>
        </w:tc>
        <w:tc>
          <w:tcPr>
            <w:tcW w:w="1275" w:type="dxa"/>
            <w:tcBorders>
              <w:top w:val="nil"/>
              <w:left w:val="nil"/>
              <w:bottom w:val="single" w:sz="4" w:space="0" w:color="auto"/>
              <w:right w:val="single" w:sz="4" w:space="0" w:color="auto"/>
            </w:tcBorders>
            <w:shd w:val="clear" w:color="auto" w:fill="auto"/>
            <w:noWrap/>
            <w:vAlign w:val="center"/>
            <w:hideMark/>
          </w:tcPr>
          <w:p w14:paraId="7C5D4B67" w14:textId="77777777" w:rsidR="00F467CF" w:rsidRPr="00110DC3" w:rsidRDefault="00F467CF" w:rsidP="00F467CF">
            <w:pPr>
              <w:jc w:val="cente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157%</w:t>
            </w:r>
          </w:p>
        </w:tc>
        <w:tc>
          <w:tcPr>
            <w:tcW w:w="417" w:type="dxa"/>
            <w:tcBorders>
              <w:top w:val="nil"/>
              <w:left w:val="nil"/>
              <w:bottom w:val="single" w:sz="4" w:space="0" w:color="auto"/>
              <w:right w:val="single" w:sz="4" w:space="0" w:color="auto"/>
            </w:tcBorders>
            <w:shd w:val="clear" w:color="000000" w:fill="EDEDED"/>
            <w:noWrap/>
            <w:vAlign w:val="center"/>
            <w:hideMark/>
          </w:tcPr>
          <w:p w14:paraId="22229F4D" w14:textId="77777777" w:rsidR="00F467CF" w:rsidRPr="00110DC3" w:rsidRDefault="00F467CF" w:rsidP="00F467CF">
            <w:pPr>
              <w:jc w:val="cente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6%</w:t>
            </w:r>
          </w:p>
        </w:tc>
      </w:tr>
      <w:tr w:rsidR="00F467CF" w:rsidRPr="00110DC3" w14:paraId="36382A9F" w14:textId="77777777" w:rsidTr="0040138E">
        <w:trPr>
          <w:trHeight w:val="290"/>
          <w:jc w:val="center"/>
        </w:trPr>
        <w:tc>
          <w:tcPr>
            <w:tcW w:w="6298" w:type="dxa"/>
            <w:tcBorders>
              <w:top w:val="nil"/>
              <w:left w:val="single" w:sz="4" w:space="0" w:color="auto"/>
              <w:bottom w:val="single" w:sz="4" w:space="0" w:color="auto"/>
              <w:right w:val="single" w:sz="4" w:space="0" w:color="auto"/>
            </w:tcBorders>
            <w:shd w:val="clear" w:color="auto" w:fill="auto"/>
            <w:noWrap/>
            <w:vAlign w:val="center"/>
            <w:hideMark/>
          </w:tcPr>
          <w:p w14:paraId="0A60C3E2" w14:textId="6A7765A0" w:rsidR="00F467CF" w:rsidRPr="00110DC3" w:rsidRDefault="00F467CF" w:rsidP="00F467CF">
            <w:pP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Tribunal Penal del Tercer Circuito Judicial de Alajuela Sede Grecia</w:t>
            </w:r>
          </w:p>
        </w:tc>
        <w:tc>
          <w:tcPr>
            <w:tcW w:w="1786" w:type="dxa"/>
            <w:tcBorders>
              <w:top w:val="nil"/>
              <w:left w:val="nil"/>
              <w:bottom w:val="single" w:sz="4" w:space="0" w:color="auto"/>
              <w:right w:val="single" w:sz="4" w:space="0" w:color="auto"/>
            </w:tcBorders>
            <w:shd w:val="clear" w:color="auto" w:fill="auto"/>
            <w:noWrap/>
            <w:vAlign w:val="center"/>
            <w:hideMark/>
          </w:tcPr>
          <w:p w14:paraId="3D476A14" w14:textId="77777777" w:rsidR="00F467CF" w:rsidRPr="00110DC3" w:rsidRDefault="00F467CF" w:rsidP="00F467CF">
            <w:pPr>
              <w:jc w:val="cente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92%</w:t>
            </w:r>
          </w:p>
        </w:tc>
        <w:tc>
          <w:tcPr>
            <w:tcW w:w="1275" w:type="dxa"/>
            <w:tcBorders>
              <w:top w:val="nil"/>
              <w:left w:val="nil"/>
              <w:bottom w:val="single" w:sz="4" w:space="0" w:color="auto"/>
              <w:right w:val="single" w:sz="4" w:space="0" w:color="auto"/>
            </w:tcBorders>
            <w:shd w:val="clear" w:color="auto" w:fill="auto"/>
            <w:noWrap/>
            <w:vAlign w:val="center"/>
            <w:hideMark/>
          </w:tcPr>
          <w:p w14:paraId="77BD44D9" w14:textId="77777777" w:rsidR="00F467CF" w:rsidRPr="00110DC3" w:rsidRDefault="00F467CF" w:rsidP="00F467CF">
            <w:pPr>
              <w:jc w:val="cente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92%</w:t>
            </w:r>
          </w:p>
        </w:tc>
        <w:tc>
          <w:tcPr>
            <w:tcW w:w="417" w:type="dxa"/>
            <w:tcBorders>
              <w:top w:val="nil"/>
              <w:left w:val="nil"/>
              <w:bottom w:val="single" w:sz="4" w:space="0" w:color="auto"/>
              <w:right w:val="single" w:sz="4" w:space="0" w:color="auto"/>
            </w:tcBorders>
            <w:shd w:val="clear" w:color="000000" w:fill="EDEDED"/>
            <w:noWrap/>
            <w:vAlign w:val="center"/>
            <w:hideMark/>
          </w:tcPr>
          <w:p w14:paraId="330732E4" w14:textId="77777777" w:rsidR="00F467CF" w:rsidRPr="00110DC3" w:rsidRDefault="00F467CF" w:rsidP="00F467CF">
            <w:pPr>
              <w:jc w:val="cente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4%</w:t>
            </w:r>
          </w:p>
        </w:tc>
      </w:tr>
      <w:tr w:rsidR="00F467CF" w:rsidRPr="00110DC3" w14:paraId="2F4CA05E" w14:textId="77777777" w:rsidTr="0040138E">
        <w:trPr>
          <w:trHeight w:val="290"/>
          <w:jc w:val="center"/>
        </w:trPr>
        <w:tc>
          <w:tcPr>
            <w:tcW w:w="6298" w:type="dxa"/>
            <w:tcBorders>
              <w:top w:val="nil"/>
              <w:left w:val="single" w:sz="4" w:space="0" w:color="auto"/>
              <w:bottom w:val="single" w:sz="4" w:space="0" w:color="auto"/>
              <w:right w:val="single" w:sz="4" w:space="0" w:color="auto"/>
            </w:tcBorders>
            <w:shd w:val="clear" w:color="auto" w:fill="auto"/>
            <w:noWrap/>
            <w:vAlign w:val="center"/>
            <w:hideMark/>
          </w:tcPr>
          <w:p w14:paraId="23C7EEC7" w14:textId="77777777" w:rsidR="00F467CF" w:rsidRPr="00110DC3" w:rsidRDefault="00F467CF" w:rsidP="00F467CF">
            <w:pP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 xml:space="preserve">Tribunal Penal de Heredia </w:t>
            </w:r>
          </w:p>
        </w:tc>
        <w:tc>
          <w:tcPr>
            <w:tcW w:w="1786" w:type="dxa"/>
            <w:tcBorders>
              <w:top w:val="nil"/>
              <w:left w:val="nil"/>
              <w:bottom w:val="single" w:sz="4" w:space="0" w:color="auto"/>
              <w:right w:val="single" w:sz="4" w:space="0" w:color="auto"/>
            </w:tcBorders>
            <w:shd w:val="clear" w:color="auto" w:fill="auto"/>
            <w:noWrap/>
            <w:vAlign w:val="center"/>
            <w:hideMark/>
          </w:tcPr>
          <w:p w14:paraId="48201A0A" w14:textId="77777777" w:rsidR="00F467CF" w:rsidRPr="00110DC3" w:rsidRDefault="00F467CF" w:rsidP="00F467CF">
            <w:pPr>
              <w:jc w:val="cente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85%</w:t>
            </w:r>
          </w:p>
        </w:tc>
        <w:tc>
          <w:tcPr>
            <w:tcW w:w="1275" w:type="dxa"/>
            <w:tcBorders>
              <w:top w:val="nil"/>
              <w:left w:val="nil"/>
              <w:bottom w:val="single" w:sz="4" w:space="0" w:color="auto"/>
              <w:right w:val="single" w:sz="4" w:space="0" w:color="auto"/>
            </w:tcBorders>
            <w:shd w:val="clear" w:color="auto" w:fill="auto"/>
            <w:noWrap/>
            <w:vAlign w:val="center"/>
            <w:hideMark/>
          </w:tcPr>
          <w:p w14:paraId="1293D1FE" w14:textId="77777777" w:rsidR="00F467CF" w:rsidRPr="00110DC3" w:rsidRDefault="00F467CF" w:rsidP="00F467CF">
            <w:pPr>
              <w:jc w:val="cente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43%</w:t>
            </w:r>
          </w:p>
        </w:tc>
        <w:tc>
          <w:tcPr>
            <w:tcW w:w="417" w:type="dxa"/>
            <w:tcBorders>
              <w:top w:val="nil"/>
              <w:left w:val="nil"/>
              <w:bottom w:val="single" w:sz="4" w:space="0" w:color="auto"/>
              <w:right w:val="single" w:sz="4" w:space="0" w:color="auto"/>
            </w:tcBorders>
            <w:shd w:val="clear" w:color="000000" w:fill="EDEDED"/>
            <w:noWrap/>
            <w:vAlign w:val="center"/>
            <w:hideMark/>
          </w:tcPr>
          <w:p w14:paraId="4BEBC761" w14:textId="77777777" w:rsidR="00F467CF" w:rsidRPr="00110DC3" w:rsidRDefault="00F467CF" w:rsidP="00F467CF">
            <w:pPr>
              <w:jc w:val="cente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14%</w:t>
            </w:r>
          </w:p>
        </w:tc>
      </w:tr>
      <w:tr w:rsidR="00F467CF" w:rsidRPr="00110DC3" w14:paraId="1BADF9A5" w14:textId="77777777" w:rsidTr="0040138E">
        <w:trPr>
          <w:trHeight w:val="290"/>
          <w:jc w:val="center"/>
        </w:trPr>
        <w:tc>
          <w:tcPr>
            <w:tcW w:w="6298" w:type="dxa"/>
            <w:tcBorders>
              <w:top w:val="nil"/>
              <w:left w:val="single" w:sz="4" w:space="0" w:color="auto"/>
              <w:bottom w:val="single" w:sz="4" w:space="0" w:color="auto"/>
              <w:right w:val="single" w:sz="4" w:space="0" w:color="auto"/>
            </w:tcBorders>
            <w:shd w:val="clear" w:color="auto" w:fill="auto"/>
            <w:noWrap/>
            <w:vAlign w:val="center"/>
            <w:hideMark/>
          </w:tcPr>
          <w:p w14:paraId="29B0FE9B" w14:textId="0D63A226" w:rsidR="00F467CF" w:rsidRPr="00110DC3" w:rsidRDefault="00F467CF" w:rsidP="00F467CF">
            <w:pP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Tribunal Penal del Tercer Circuito Judicial de Alajuela (San Ramón)</w:t>
            </w:r>
          </w:p>
        </w:tc>
        <w:tc>
          <w:tcPr>
            <w:tcW w:w="1786" w:type="dxa"/>
            <w:tcBorders>
              <w:top w:val="nil"/>
              <w:left w:val="nil"/>
              <w:bottom w:val="single" w:sz="4" w:space="0" w:color="auto"/>
              <w:right w:val="single" w:sz="4" w:space="0" w:color="auto"/>
            </w:tcBorders>
            <w:shd w:val="clear" w:color="auto" w:fill="auto"/>
            <w:noWrap/>
            <w:vAlign w:val="center"/>
            <w:hideMark/>
          </w:tcPr>
          <w:p w14:paraId="06244C97" w14:textId="77777777" w:rsidR="00F467CF" w:rsidRPr="00110DC3" w:rsidRDefault="00F467CF" w:rsidP="00F467CF">
            <w:pPr>
              <w:jc w:val="cente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84%</w:t>
            </w:r>
          </w:p>
        </w:tc>
        <w:tc>
          <w:tcPr>
            <w:tcW w:w="1275" w:type="dxa"/>
            <w:tcBorders>
              <w:top w:val="nil"/>
              <w:left w:val="nil"/>
              <w:bottom w:val="single" w:sz="4" w:space="0" w:color="auto"/>
              <w:right w:val="single" w:sz="4" w:space="0" w:color="auto"/>
            </w:tcBorders>
            <w:shd w:val="clear" w:color="auto" w:fill="auto"/>
            <w:noWrap/>
            <w:vAlign w:val="center"/>
            <w:hideMark/>
          </w:tcPr>
          <w:p w14:paraId="399AECE3" w14:textId="77777777" w:rsidR="00F467CF" w:rsidRPr="00110DC3" w:rsidRDefault="00F467CF" w:rsidP="00F467CF">
            <w:pPr>
              <w:jc w:val="cente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100%</w:t>
            </w:r>
          </w:p>
        </w:tc>
        <w:tc>
          <w:tcPr>
            <w:tcW w:w="417" w:type="dxa"/>
            <w:tcBorders>
              <w:top w:val="nil"/>
              <w:left w:val="nil"/>
              <w:bottom w:val="single" w:sz="4" w:space="0" w:color="auto"/>
              <w:right w:val="single" w:sz="4" w:space="0" w:color="auto"/>
            </w:tcBorders>
            <w:shd w:val="clear" w:color="000000" w:fill="EDEDED"/>
            <w:noWrap/>
            <w:vAlign w:val="center"/>
            <w:hideMark/>
          </w:tcPr>
          <w:p w14:paraId="077E8481" w14:textId="77777777" w:rsidR="00F467CF" w:rsidRPr="00110DC3" w:rsidRDefault="00F467CF" w:rsidP="00F467CF">
            <w:pPr>
              <w:jc w:val="cente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-4%</w:t>
            </w:r>
          </w:p>
        </w:tc>
      </w:tr>
      <w:tr w:rsidR="00F467CF" w:rsidRPr="00110DC3" w14:paraId="1CC856AE" w14:textId="77777777" w:rsidTr="0040138E">
        <w:trPr>
          <w:trHeight w:val="290"/>
          <w:jc w:val="center"/>
        </w:trPr>
        <w:tc>
          <w:tcPr>
            <w:tcW w:w="6298" w:type="dxa"/>
            <w:tcBorders>
              <w:top w:val="nil"/>
              <w:left w:val="single" w:sz="4" w:space="0" w:color="auto"/>
              <w:bottom w:val="single" w:sz="4" w:space="0" w:color="auto"/>
              <w:right w:val="single" w:sz="4" w:space="0" w:color="auto"/>
            </w:tcBorders>
            <w:shd w:val="clear" w:color="auto" w:fill="auto"/>
            <w:noWrap/>
            <w:vAlign w:val="center"/>
            <w:hideMark/>
          </w:tcPr>
          <w:p w14:paraId="7C4EEBEE" w14:textId="77777777" w:rsidR="00F467CF" w:rsidRPr="00110DC3" w:rsidRDefault="00F467CF" w:rsidP="00F467CF">
            <w:pP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Tribunal Penal Segundo Circuito Judicial de la Zona Sur (Corredores)</w:t>
            </w:r>
          </w:p>
        </w:tc>
        <w:tc>
          <w:tcPr>
            <w:tcW w:w="1786" w:type="dxa"/>
            <w:tcBorders>
              <w:top w:val="nil"/>
              <w:left w:val="nil"/>
              <w:bottom w:val="single" w:sz="4" w:space="0" w:color="auto"/>
              <w:right w:val="single" w:sz="4" w:space="0" w:color="auto"/>
            </w:tcBorders>
            <w:shd w:val="clear" w:color="auto" w:fill="auto"/>
            <w:noWrap/>
            <w:vAlign w:val="center"/>
            <w:hideMark/>
          </w:tcPr>
          <w:p w14:paraId="7ABE041E" w14:textId="77777777" w:rsidR="00F467CF" w:rsidRPr="00110DC3" w:rsidRDefault="00F467CF" w:rsidP="00F467CF">
            <w:pPr>
              <w:jc w:val="cente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82%</w:t>
            </w:r>
          </w:p>
        </w:tc>
        <w:tc>
          <w:tcPr>
            <w:tcW w:w="1275" w:type="dxa"/>
            <w:tcBorders>
              <w:top w:val="nil"/>
              <w:left w:val="nil"/>
              <w:bottom w:val="single" w:sz="4" w:space="0" w:color="auto"/>
              <w:right w:val="single" w:sz="4" w:space="0" w:color="auto"/>
            </w:tcBorders>
            <w:shd w:val="clear" w:color="auto" w:fill="auto"/>
            <w:noWrap/>
            <w:vAlign w:val="center"/>
            <w:hideMark/>
          </w:tcPr>
          <w:p w14:paraId="66B0DA13" w14:textId="77777777" w:rsidR="00F467CF" w:rsidRPr="00110DC3" w:rsidRDefault="00F467CF" w:rsidP="00F467CF">
            <w:pPr>
              <w:jc w:val="cente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106%</w:t>
            </w:r>
          </w:p>
        </w:tc>
        <w:tc>
          <w:tcPr>
            <w:tcW w:w="417" w:type="dxa"/>
            <w:tcBorders>
              <w:top w:val="nil"/>
              <w:left w:val="nil"/>
              <w:bottom w:val="single" w:sz="4" w:space="0" w:color="auto"/>
              <w:right w:val="single" w:sz="4" w:space="0" w:color="auto"/>
            </w:tcBorders>
            <w:shd w:val="clear" w:color="000000" w:fill="EDEDED"/>
            <w:noWrap/>
            <w:vAlign w:val="center"/>
            <w:hideMark/>
          </w:tcPr>
          <w:p w14:paraId="29AAE963" w14:textId="77777777" w:rsidR="00F467CF" w:rsidRPr="00110DC3" w:rsidRDefault="00F467CF" w:rsidP="00F467CF">
            <w:pPr>
              <w:jc w:val="cente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-16%</w:t>
            </w:r>
          </w:p>
        </w:tc>
      </w:tr>
      <w:tr w:rsidR="00F467CF" w:rsidRPr="00110DC3" w14:paraId="251A4861" w14:textId="77777777" w:rsidTr="0040138E">
        <w:trPr>
          <w:trHeight w:val="290"/>
          <w:jc w:val="center"/>
        </w:trPr>
        <w:tc>
          <w:tcPr>
            <w:tcW w:w="6298" w:type="dxa"/>
            <w:tcBorders>
              <w:top w:val="nil"/>
              <w:left w:val="single" w:sz="4" w:space="0" w:color="auto"/>
              <w:bottom w:val="single" w:sz="4" w:space="0" w:color="auto"/>
              <w:right w:val="single" w:sz="4" w:space="0" w:color="auto"/>
            </w:tcBorders>
            <w:shd w:val="clear" w:color="auto" w:fill="auto"/>
            <w:noWrap/>
            <w:vAlign w:val="center"/>
            <w:hideMark/>
          </w:tcPr>
          <w:p w14:paraId="4CB21146" w14:textId="77777777" w:rsidR="00F467CF" w:rsidRPr="00110DC3" w:rsidRDefault="00F467CF" w:rsidP="00F467CF">
            <w:pP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Tribunal Penal del Primer Circuito Judicial de Guanacaste (Cañas)</w:t>
            </w:r>
          </w:p>
        </w:tc>
        <w:tc>
          <w:tcPr>
            <w:tcW w:w="1786" w:type="dxa"/>
            <w:tcBorders>
              <w:top w:val="nil"/>
              <w:left w:val="nil"/>
              <w:bottom w:val="single" w:sz="4" w:space="0" w:color="auto"/>
              <w:right w:val="single" w:sz="4" w:space="0" w:color="auto"/>
            </w:tcBorders>
            <w:shd w:val="clear" w:color="auto" w:fill="auto"/>
            <w:noWrap/>
            <w:vAlign w:val="center"/>
            <w:hideMark/>
          </w:tcPr>
          <w:p w14:paraId="664D8FE1" w14:textId="77777777" w:rsidR="00F467CF" w:rsidRPr="00110DC3" w:rsidRDefault="00F467CF" w:rsidP="00F467CF">
            <w:pPr>
              <w:jc w:val="cente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78%</w:t>
            </w:r>
          </w:p>
        </w:tc>
        <w:tc>
          <w:tcPr>
            <w:tcW w:w="1275" w:type="dxa"/>
            <w:tcBorders>
              <w:top w:val="nil"/>
              <w:left w:val="nil"/>
              <w:bottom w:val="single" w:sz="4" w:space="0" w:color="auto"/>
              <w:right w:val="single" w:sz="4" w:space="0" w:color="auto"/>
            </w:tcBorders>
            <w:shd w:val="clear" w:color="auto" w:fill="auto"/>
            <w:noWrap/>
            <w:vAlign w:val="center"/>
            <w:hideMark/>
          </w:tcPr>
          <w:p w14:paraId="4895A8B1" w14:textId="77777777" w:rsidR="00F467CF" w:rsidRPr="00110DC3" w:rsidRDefault="00F467CF" w:rsidP="00F467CF">
            <w:pPr>
              <w:jc w:val="cente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75%</w:t>
            </w:r>
          </w:p>
        </w:tc>
        <w:tc>
          <w:tcPr>
            <w:tcW w:w="417" w:type="dxa"/>
            <w:tcBorders>
              <w:top w:val="nil"/>
              <w:left w:val="nil"/>
              <w:bottom w:val="single" w:sz="4" w:space="0" w:color="auto"/>
              <w:right w:val="single" w:sz="4" w:space="0" w:color="auto"/>
            </w:tcBorders>
            <w:shd w:val="clear" w:color="000000" w:fill="EDEDED"/>
            <w:noWrap/>
            <w:vAlign w:val="center"/>
            <w:hideMark/>
          </w:tcPr>
          <w:p w14:paraId="3075751B" w14:textId="77777777" w:rsidR="00F467CF" w:rsidRPr="00110DC3" w:rsidRDefault="00F467CF" w:rsidP="00F467CF">
            <w:pPr>
              <w:jc w:val="cente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-6%</w:t>
            </w:r>
          </w:p>
        </w:tc>
      </w:tr>
      <w:tr w:rsidR="00F467CF" w:rsidRPr="00110DC3" w14:paraId="31E7B860" w14:textId="77777777" w:rsidTr="0040138E">
        <w:trPr>
          <w:trHeight w:val="290"/>
          <w:jc w:val="center"/>
        </w:trPr>
        <w:tc>
          <w:tcPr>
            <w:tcW w:w="6298" w:type="dxa"/>
            <w:tcBorders>
              <w:top w:val="nil"/>
              <w:left w:val="single" w:sz="4" w:space="0" w:color="auto"/>
              <w:bottom w:val="single" w:sz="4" w:space="0" w:color="auto"/>
              <w:right w:val="single" w:sz="4" w:space="0" w:color="auto"/>
            </w:tcBorders>
            <w:shd w:val="clear" w:color="auto" w:fill="auto"/>
            <w:noWrap/>
            <w:vAlign w:val="center"/>
            <w:hideMark/>
          </w:tcPr>
          <w:p w14:paraId="7C577439" w14:textId="1A7077A7" w:rsidR="00F467CF" w:rsidRPr="00110DC3" w:rsidRDefault="00F467CF" w:rsidP="00F467CF">
            <w:pP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Tribunal Penal del Segundo Circuito Judicial de San José (Goicoechea)</w:t>
            </w:r>
          </w:p>
        </w:tc>
        <w:tc>
          <w:tcPr>
            <w:tcW w:w="1786" w:type="dxa"/>
            <w:tcBorders>
              <w:top w:val="nil"/>
              <w:left w:val="nil"/>
              <w:bottom w:val="single" w:sz="4" w:space="0" w:color="auto"/>
              <w:right w:val="single" w:sz="4" w:space="0" w:color="auto"/>
            </w:tcBorders>
            <w:shd w:val="clear" w:color="auto" w:fill="auto"/>
            <w:noWrap/>
            <w:vAlign w:val="center"/>
            <w:hideMark/>
          </w:tcPr>
          <w:p w14:paraId="42129762" w14:textId="77777777" w:rsidR="00F467CF" w:rsidRPr="00110DC3" w:rsidRDefault="00F467CF" w:rsidP="00F467CF">
            <w:pPr>
              <w:jc w:val="cente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74%</w:t>
            </w:r>
          </w:p>
        </w:tc>
        <w:tc>
          <w:tcPr>
            <w:tcW w:w="1275" w:type="dxa"/>
            <w:tcBorders>
              <w:top w:val="nil"/>
              <w:left w:val="nil"/>
              <w:bottom w:val="single" w:sz="4" w:space="0" w:color="auto"/>
              <w:right w:val="single" w:sz="4" w:space="0" w:color="auto"/>
            </w:tcBorders>
            <w:shd w:val="clear" w:color="auto" w:fill="auto"/>
            <w:noWrap/>
            <w:vAlign w:val="center"/>
            <w:hideMark/>
          </w:tcPr>
          <w:p w14:paraId="5E465B00" w14:textId="77777777" w:rsidR="00F467CF" w:rsidRPr="00110DC3" w:rsidRDefault="00F467CF" w:rsidP="00F467CF">
            <w:pPr>
              <w:jc w:val="cente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150%</w:t>
            </w:r>
          </w:p>
        </w:tc>
        <w:tc>
          <w:tcPr>
            <w:tcW w:w="417" w:type="dxa"/>
            <w:tcBorders>
              <w:top w:val="nil"/>
              <w:left w:val="nil"/>
              <w:bottom w:val="single" w:sz="4" w:space="0" w:color="auto"/>
              <w:right w:val="single" w:sz="4" w:space="0" w:color="auto"/>
            </w:tcBorders>
            <w:shd w:val="clear" w:color="000000" w:fill="EDEDED"/>
            <w:noWrap/>
            <w:vAlign w:val="center"/>
            <w:hideMark/>
          </w:tcPr>
          <w:p w14:paraId="4C1DE504" w14:textId="77777777" w:rsidR="00F467CF" w:rsidRPr="00110DC3" w:rsidRDefault="00F467CF" w:rsidP="00F467CF">
            <w:pPr>
              <w:jc w:val="cente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-30%</w:t>
            </w:r>
          </w:p>
        </w:tc>
      </w:tr>
      <w:tr w:rsidR="00F467CF" w:rsidRPr="00110DC3" w14:paraId="2E7E2D5E" w14:textId="77777777" w:rsidTr="0040138E">
        <w:trPr>
          <w:trHeight w:val="290"/>
          <w:jc w:val="center"/>
        </w:trPr>
        <w:tc>
          <w:tcPr>
            <w:tcW w:w="6298" w:type="dxa"/>
            <w:tcBorders>
              <w:top w:val="nil"/>
              <w:left w:val="single" w:sz="4" w:space="0" w:color="auto"/>
              <w:bottom w:val="single" w:sz="4" w:space="0" w:color="auto"/>
              <w:right w:val="single" w:sz="4" w:space="0" w:color="auto"/>
            </w:tcBorders>
            <w:shd w:val="clear" w:color="auto" w:fill="auto"/>
            <w:noWrap/>
            <w:vAlign w:val="center"/>
            <w:hideMark/>
          </w:tcPr>
          <w:p w14:paraId="21990043" w14:textId="77777777" w:rsidR="00F467CF" w:rsidRPr="00110DC3" w:rsidRDefault="00F467CF" w:rsidP="00F467CF">
            <w:pP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Tribunal Penal del Tercer Circuito Judicial de San José (Desamparados)</w:t>
            </w:r>
          </w:p>
        </w:tc>
        <w:tc>
          <w:tcPr>
            <w:tcW w:w="1786" w:type="dxa"/>
            <w:tcBorders>
              <w:top w:val="nil"/>
              <w:left w:val="nil"/>
              <w:bottom w:val="single" w:sz="4" w:space="0" w:color="auto"/>
              <w:right w:val="single" w:sz="4" w:space="0" w:color="auto"/>
            </w:tcBorders>
            <w:shd w:val="clear" w:color="auto" w:fill="auto"/>
            <w:noWrap/>
            <w:vAlign w:val="center"/>
            <w:hideMark/>
          </w:tcPr>
          <w:p w14:paraId="05ABC576" w14:textId="77777777" w:rsidR="00F467CF" w:rsidRPr="00110DC3" w:rsidRDefault="00F467CF" w:rsidP="00F467CF">
            <w:pPr>
              <w:jc w:val="cente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73%</w:t>
            </w:r>
          </w:p>
        </w:tc>
        <w:tc>
          <w:tcPr>
            <w:tcW w:w="1275" w:type="dxa"/>
            <w:tcBorders>
              <w:top w:val="nil"/>
              <w:left w:val="nil"/>
              <w:bottom w:val="single" w:sz="4" w:space="0" w:color="auto"/>
              <w:right w:val="single" w:sz="4" w:space="0" w:color="auto"/>
            </w:tcBorders>
            <w:shd w:val="clear" w:color="auto" w:fill="auto"/>
            <w:noWrap/>
            <w:vAlign w:val="center"/>
            <w:hideMark/>
          </w:tcPr>
          <w:p w14:paraId="29C2FF68" w14:textId="77777777" w:rsidR="00F467CF" w:rsidRPr="00110DC3" w:rsidRDefault="00F467CF" w:rsidP="00F467CF">
            <w:pPr>
              <w:jc w:val="cente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109%</w:t>
            </w:r>
          </w:p>
        </w:tc>
        <w:tc>
          <w:tcPr>
            <w:tcW w:w="417" w:type="dxa"/>
            <w:tcBorders>
              <w:top w:val="nil"/>
              <w:left w:val="nil"/>
              <w:bottom w:val="single" w:sz="4" w:space="0" w:color="auto"/>
              <w:right w:val="single" w:sz="4" w:space="0" w:color="auto"/>
            </w:tcBorders>
            <w:shd w:val="clear" w:color="000000" w:fill="EDEDED"/>
            <w:noWrap/>
            <w:vAlign w:val="center"/>
            <w:hideMark/>
          </w:tcPr>
          <w:p w14:paraId="38CD13D2" w14:textId="77777777" w:rsidR="00F467CF" w:rsidRPr="00110DC3" w:rsidRDefault="00F467CF" w:rsidP="00F467CF">
            <w:pPr>
              <w:jc w:val="cente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-4%</w:t>
            </w:r>
          </w:p>
        </w:tc>
      </w:tr>
      <w:tr w:rsidR="00F467CF" w:rsidRPr="00110DC3" w14:paraId="68E20C64" w14:textId="77777777" w:rsidTr="0040138E">
        <w:trPr>
          <w:trHeight w:val="290"/>
          <w:jc w:val="center"/>
        </w:trPr>
        <w:tc>
          <w:tcPr>
            <w:tcW w:w="6298" w:type="dxa"/>
            <w:tcBorders>
              <w:top w:val="nil"/>
              <w:left w:val="single" w:sz="4" w:space="0" w:color="auto"/>
              <w:bottom w:val="single" w:sz="4" w:space="0" w:color="auto"/>
              <w:right w:val="single" w:sz="4" w:space="0" w:color="auto"/>
            </w:tcBorders>
            <w:shd w:val="clear" w:color="auto" w:fill="auto"/>
            <w:noWrap/>
            <w:vAlign w:val="center"/>
            <w:hideMark/>
          </w:tcPr>
          <w:p w14:paraId="399F2CF7" w14:textId="77777777" w:rsidR="00F467CF" w:rsidRPr="00110DC3" w:rsidRDefault="00F467CF" w:rsidP="00F467CF">
            <w:pP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Tribunal Penal del Segundo Circuito Judicial de Guanacaste (Santa Cruz)</w:t>
            </w:r>
          </w:p>
        </w:tc>
        <w:tc>
          <w:tcPr>
            <w:tcW w:w="1786" w:type="dxa"/>
            <w:tcBorders>
              <w:top w:val="nil"/>
              <w:left w:val="nil"/>
              <w:bottom w:val="single" w:sz="4" w:space="0" w:color="auto"/>
              <w:right w:val="single" w:sz="4" w:space="0" w:color="auto"/>
            </w:tcBorders>
            <w:shd w:val="clear" w:color="auto" w:fill="auto"/>
            <w:noWrap/>
            <w:vAlign w:val="center"/>
            <w:hideMark/>
          </w:tcPr>
          <w:p w14:paraId="2A8CD3F4" w14:textId="77777777" w:rsidR="00F467CF" w:rsidRPr="00110DC3" w:rsidRDefault="00F467CF" w:rsidP="00F467CF">
            <w:pPr>
              <w:jc w:val="cente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72%</w:t>
            </w:r>
          </w:p>
        </w:tc>
        <w:tc>
          <w:tcPr>
            <w:tcW w:w="1275" w:type="dxa"/>
            <w:tcBorders>
              <w:top w:val="nil"/>
              <w:left w:val="nil"/>
              <w:bottom w:val="single" w:sz="4" w:space="0" w:color="auto"/>
              <w:right w:val="single" w:sz="4" w:space="0" w:color="auto"/>
            </w:tcBorders>
            <w:shd w:val="clear" w:color="auto" w:fill="auto"/>
            <w:noWrap/>
            <w:vAlign w:val="center"/>
            <w:hideMark/>
          </w:tcPr>
          <w:p w14:paraId="77ABF168" w14:textId="77777777" w:rsidR="00F467CF" w:rsidRPr="00110DC3" w:rsidRDefault="00F467CF" w:rsidP="00F467CF">
            <w:pPr>
              <w:jc w:val="cente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72%</w:t>
            </w:r>
          </w:p>
        </w:tc>
        <w:tc>
          <w:tcPr>
            <w:tcW w:w="417" w:type="dxa"/>
            <w:tcBorders>
              <w:top w:val="nil"/>
              <w:left w:val="nil"/>
              <w:bottom w:val="single" w:sz="4" w:space="0" w:color="auto"/>
              <w:right w:val="single" w:sz="4" w:space="0" w:color="auto"/>
            </w:tcBorders>
            <w:shd w:val="clear" w:color="000000" w:fill="EDEDED"/>
            <w:noWrap/>
            <w:vAlign w:val="center"/>
            <w:hideMark/>
          </w:tcPr>
          <w:p w14:paraId="1A5924B6" w14:textId="77777777" w:rsidR="00F467CF" w:rsidRPr="00110DC3" w:rsidRDefault="00F467CF" w:rsidP="00F467CF">
            <w:pPr>
              <w:jc w:val="cente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4%</w:t>
            </w:r>
          </w:p>
        </w:tc>
      </w:tr>
      <w:tr w:rsidR="00F467CF" w:rsidRPr="00110DC3" w14:paraId="4789FC38" w14:textId="77777777" w:rsidTr="0040138E">
        <w:trPr>
          <w:trHeight w:val="290"/>
          <w:jc w:val="center"/>
        </w:trPr>
        <w:tc>
          <w:tcPr>
            <w:tcW w:w="6298" w:type="dxa"/>
            <w:tcBorders>
              <w:top w:val="nil"/>
              <w:left w:val="single" w:sz="4" w:space="0" w:color="auto"/>
              <w:bottom w:val="single" w:sz="4" w:space="0" w:color="auto"/>
              <w:right w:val="single" w:sz="4" w:space="0" w:color="auto"/>
            </w:tcBorders>
            <w:shd w:val="clear" w:color="auto" w:fill="auto"/>
            <w:noWrap/>
            <w:vAlign w:val="center"/>
            <w:hideMark/>
          </w:tcPr>
          <w:p w14:paraId="430253F6" w14:textId="77777777" w:rsidR="00F467CF" w:rsidRPr="00110DC3" w:rsidRDefault="00F467CF" w:rsidP="00F467CF">
            <w:pP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Tribunal Penal Segundo Circuito Judicial de la Zona Sur (Osa)</w:t>
            </w:r>
          </w:p>
        </w:tc>
        <w:tc>
          <w:tcPr>
            <w:tcW w:w="1786" w:type="dxa"/>
            <w:tcBorders>
              <w:top w:val="nil"/>
              <w:left w:val="nil"/>
              <w:bottom w:val="single" w:sz="4" w:space="0" w:color="auto"/>
              <w:right w:val="single" w:sz="4" w:space="0" w:color="auto"/>
            </w:tcBorders>
            <w:shd w:val="clear" w:color="auto" w:fill="auto"/>
            <w:noWrap/>
            <w:vAlign w:val="center"/>
            <w:hideMark/>
          </w:tcPr>
          <w:p w14:paraId="4B5BD2F7" w14:textId="77777777" w:rsidR="00F467CF" w:rsidRPr="00110DC3" w:rsidRDefault="00F467CF" w:rsidP="00F467CF">
            <w:pPr>
              <w:jc w:val="cente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72%</w:t>
            </w:r>
          </w:p>
        </w:tc>
        <w:tc>
          <w:tcPr>
            <w:tcW w:w="1275" w:type="dxa"/>
            <w:tcBorders>
              <w:top w:val="nil"/>
              <w:left w:val="nil"/>
              <w:bottom w:val="single" w:sz="4" w:space="0" w:color="auto"/>
              <w:right w:val="single" w:sz="4" w:space="0" w:color="auto"/>
            </w:tcBorders>
            <w:shd w:val="clear" w:color="auto" w:fill="auto"/>
            <w:noWrap/>
            <w:vAlign w:val="center"/>
            <w:hideMark/>
          </w:tcPr>
          <w:p w14:paraId="1CB93C54" w14:textId="77777777" w:rsidR="00F467CF" w:rsidRPr="00110DC3" w:rsidRDefault="00F467CF" w:rsidP="00F467CF">
            <w:pPr>
              <w:jc w:val="cente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72%</w:t>
            </w:r>
          </w:p>
        </w:tc>
        <w:tc>
          <w:tcPr>
            <w:tcW w:w="417" w:type="dxa"/>
            <w:tcBorders>
              <w:top w:val="nil"/>
              <w:left w:val="nil"/>
              <w:bottom w:val="single" w:sz="4" w:space="0" w:color="auto"/>
              <w:right w:val="single" w:sz="4" w:space="0" w:color="auto"/>
            </w:tcBorders>
            <w:shd w:val="clear" w:color="000000" w:fill="EDEDED"/>
            <w:noWrap/>
            <w:vAlign w:val="center"/>
            <w:hideMark/>
          </w:tcPr>
          <w:p w14:paraId="094C19E4" w14:textId="77777777" w:rsidR="00F467CF" w:rsidRPr="00110DC3" w:rsidRDefault="00F467CF" w:rsidP="00F467CF">
            <w:pPr>
              <w:jc w:val="cente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-3%</w:t>
            </w:r>
          </w:p>
        </w:tc>
      </w:tr>
      <w:tr w:rsidR="00F467CF" w:rsidRPr="00110DC3" w14:paraId="3B4C9615" w14:textId="77777777" w:rsidTr="0040138E">
        <w:trPr>
          <w:trHeight w:val="290"/>
          <w:jc w:val="center"/>
        </w:trPr>
        <w:tc>
          <w:tcPr>
            <w:tcW w:w="6298" w:type="dxa"/>
            <w:tcBorders>
              <w:top w:val="nil"/>
              <w:left w:val="single" w:sz="4" w:space="0" w:color="auto"/>
              <w:bottom w:val="single" w:sz="4" w:space="0" w:color="auto"/>
              <w:right w:val="single" w:sz="4" w:space="0" w:color="auto"/>
            </w:tcBorders>
            <w:shd w:val="clear" w:color="auto" w:fill="auto"/>
            <w:noWrap/>
            <w:vAlign w:val="center"/>
            <w:hideMark/>
          </w:tcPr>
          <w:p w14:paraId="139DD99F" w14:textId="77777777" w:rsidR="00F467CF" w:rsidRPr="00110DC3" w:rsidRDefault="00F467CF" w:rsidP="00F467CF">
            <w:pP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Tribunal Penal de Sarapiquí</w:t>
            </w:r>
          </w:p>
        </w:tc>
        <w:tc>
          <w:tcPr>
            <w:tcW w:w="1786" w:type="dxa"/>
            <w:tcBorders>
              <w:top w:val="nil"/>
              <w:left w:val="nil"/>
              <w:bottom w:val="single" w:sz="4" w:space="0" w:color="auto"/>
              <w:right w:val="single" w:sz="4" w:space="0" w:color="auto"/>
            </w:tcBorders>
            <w:shd w:val="clear" w:color="auto" w:fill="auto"/>
            <w:noWrap/>
            <w:vAlign w:val="center"/>
            <w:hideMark/>
          </w:tcPr>
          <w:p w14:paraId="29B2641B" w14:textId="77777777" w:rsidR="00F467CF" w:rsidRPr="00110DC3" w:rsidRDefault="00F467CF" w:rsidP="00F467CF">
            <w:pPr>
              <w:jc w:val="cente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71%</w:t>
            </w:r>
          </w:p>
        </w:tc>
        <w:tc>
          <w:tcPr>
            <w:tcW w:w="1275" w:type="dxa"/>
            <w:tcBorders>
              <w:top w:val="nil"/>
              <w:left w:val="nil"/>
              <w:bottom w:val="single" w:sz="4" w:space="0" w:color="auto"/>
              <w:right w:val="single" w:sz="4" w:space="0" w:color="auto"/>
            </w:tcBorders>
            <w:shd w:val="clear" w:color="auto" w:fill="auto"/>
            <w:noWrap/>
            <w:vAlign w:val="center"/>
            <w:hideMark/>
          </w:tcPr>
          <w:p w14:paraId="3BB73441" w14:textId="77777777" w:rsidR="00F467CF" w:rsidRPr="00110DC3" w:rsidRDefault="00F467CF" w:rsidP="00F467CF">
            <w:pPr>
              <w:jc w:val="cente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83%</w:t>
            </w:r>
          </w:p>
        </w:tc>
        <w:tc>
          <w:tcPr>
            <w:tcW w:w="417" w:type="dxa"/>
            <w:tcBorders>
              <w:top w:val="nil"/>
              <w:left w:val="nil"/>
              <w:bottom w:val="single" w:sz="4" w:space="0" w:color="auto"/>
              <w:right w:val="single" w:sz="4" w:space="0" w:color="auto"/>
            </w:tcBorders>
            <w:shd w:val="clear" w:color="000000" w:fill="EDEDED"/>
            <w:noWrap/>
            <w:vAlign w:val="center"/>
            <w:hideMark/>
          </w:tcPr>
          <w:p w14:paraId="7E5C7049" w14:textId="77777777" w:rsidR="00F467CF" w:rsidRPr="00110DC3" w:rsidRDefault="00F467CF" w:rsidP="00F467CF">
            <w:pPr>
              <w:jc w:val="cente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0%</w:t>
            </w:r>
          </w:p>
        </w:tc>
      </w:tr>
      <w:tr w:rsidR="00F467CF" w:rsidRPr="00110DC3" w14:paraId="1DFA56EE" w14:textId="77777777" w:rsidTr="0040138E">
        <w:trPr>
          <w:trHeight w:val="290"/>
          <w:jc w:val="center"/>
        </w:trPr>
        <w:tc>
          <w:tcPr>
            <w:tcW w:w="6298" w:type="dxa"/>
            <w:tcBorders>
              <w:top w:val="nil"/>
              <w:left w:val="single" w:sz="4" w:space="0" w:color="auto"/>
              <w:bottom w:val="single" w:sz="4" w:space="0" w:color="auto"/>
              <w:right w:val="single" w:sz="4" w:space="0" w:color="auto"/>
            </w:tcBorders>
            <w:shd w:val="clear" w:color="auto" w:fill="auto"/>
            <w:noWrap/>
            <w:vAlign w:val="center"/>
            <w:hideMark/>
          </w:tcPr>
          <w:p w14:paraId="04267D52" w14:textId="77777777" w:rsidR="00F467CF" w:rsidRPr="00110DC3" w:rsidRDefault="00F467CF" w:rsidP="00F467CF">
            <w:pP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Tribunal Penal del Tercer Circuito Judicial de San José Sede Suroeste (Pavas)</w:t>
            </w:r>
          </w:p>
        </w:tc>
        <w:tc>
          <w:tcPr>
            <w:tcW w:w="1786" w:type="dxa"/>
            <w:tcBorders>
              <w:top w:val="nil"/>
              <w:left w:val="nil"/>
              <w:bottom w:val="single" w:sz="4" w:space="0" w:color="auto"/>
              <w:right w:val="single" w:sz="4" w:space="0" w:color="auto"/>
            </w:tcBorders>
            <w:shd w:val="clear" w:color="auto" w:fill="auto"/>
            <w:noWrap/>
            <w:vAlign w:val="center"/>
            <w:hideMark/>
          </w:tcPr>
          <w:p w14:paraId="53A27686" w14:textId="77777777" w:rsidR="00F467CF" w:rsidRPr="00110DC3" w:rsidRDefault="00F467CF" w:rsidP="00F467CF">
            <w:pPr>
              <w:jc w:val="cente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71%</w:t>
            </w:r>
          </w:p>
        </w:tc>
        <w:tc>
          <w:tcPr>
            <w:tcW w:w="1275" w:type="dxa"/>
            <w:tcBorders>
              <w:top w:val="nil"/>
              <w:left w:val="nil"/>
              <w:bottom w:val="single" w:sz="4" w:space="0" w:color="auto"/>
              <w:right w:val="single" w:sz="4" w:space="0" w:color="auto"/>
            </w:tcBorders>
            <w:shd w:val="clear" w:color="auto" w:fill="auto"/>
            <w:noWrap/>
            <w:vAlign w:val="center"/>
            <w:hideMark/>
          </w:tcPr>
          <w:p w14:paraId="1AA9D450" w14:textId="77777777" w:rsidR="00F467CF" w:rsidRPr="00110DC3" w:rsidRDefault="00F467CF" w:rsidP="00F467CF">
            <w:pPr>
              <w:jc w:val="cente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79%</w:t>
            </w:r>
          </w:p>
        </w:tc>
        <w:tc>
          <w:tcPr>
            <w:tcW w:w="417" w:type="dxa"/>
            <w:tcBorders>
              <w:top w:val="nil"/>
              <w:left w:val="nil"/>
              <w:bottom w:val="single" w:sz="4" w:space="0" w:color="auto"/>
              <w:right w:val="single" w:sz="4" w:space="0" w:color="auto"/>
            </w:tcBorders>
            <w:shd w:val="clear" w:color="000000" w:fill="EDEDED"/>
            <w:noWrap/>
            <w:vAlign w:val="center"/>
            <w:hideMark/>
          </w:tcPr>
          <w:p w14:paraId="0042CE8B" w14:textId="77777777" w:rsidR="00F467CF" w:rsidRPr="00110DC3" w:rsidRDefault="00F467CF" w:rsidP="00F467CF">
            <w:pPr>
              <w:jc w:val="cente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27%</w:t>
            </w:r>
          </w:p>
        </w:tc>
      </w:tr>
      <w:tr w:rsidR="00F467CF" w:rsidRPr="00110DC3" w14:paraId="77156652" w14:textId="77777777" w:rsidTr="0040138E">
        <w:trPr>
          <w:trHeight w:val="290"/>
          <w:jc w:val="center"/>
        </w:trPr>
        <w:tc>
          <w:tcPr>
            <w:tcW w:w="6298" w:type="dxa"/>
            <w:tcBorders>
              <w:top w:val="nil"/>
              <w:left w:val="single" w:sz="4" w:space="0" w:color="auto"/>
              <w:bottom w:val="single" w:sz="4" w:space="0" w:color="auto"/>
              <w:right w:val="single" w:sz="4" w:space="0" w:color="auto"/>
            </w:tcBorders>
            <w:shd w:val="clear" w:color="auto" w:fill="auto"/>
            <w:noWrap/>
            <w:vAlign w:val="center"/>
            <w:hideMark/>
          </w:tcPr>
          <w:p w14:paraId="27E5B74A" w14:textId="77777777" w:rsidR="00F467CF" w:rsidRPr="00110DC3" w:rsidRDefault="00F467CF" w:rsidP="00F467CF">
            <w:pP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Tribunal Penal del Primer Circuito Judicial de San José</w:t>
            </w:r>
          </w:p>
        </w:tc>
        <w:tc>
          <w:tcPr>
            <w:tcW w:w="1786" w:type="dxa"/>
            <w:tcBorders>
              <w:top w:val="nil"/>
              <w:left w:val="nil"/>
              <w:bottom w:val="single" w:sz="4" w:space="0" w:color="auto"/>
              <w:right w:val="single" w:sz="4" w:space="0" w:color="auto"/>
            </w:tcBorders>
            <w:shd w:val="clear" w:color="auto" w:fill="auto"/>
            <w:noWrap/>
            <w:vAlign w:val="center"/>
            <w:hideMark/>
          </w:tcPr>
          <w:p w14:paraId="32B5570B" w14:textId="77777777" w:rsidR="00F467CF" w:rsidRPr="00110DC3" w:rsidRDefault="00F467CF" w:rsidP="00F467CF">
            <w:pPr>
              <w:jc w:val="cente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64%</w:t>
            </w:r>
          </w:p>
        </w:tc>
        <w:tc>
          <w:tcPr>
            <w:tcW w:w="1275" w:type="dxa"/>
            <w:tcBorders>
              <w:top w:val="nil"/>
              <w:left w:val="nil"/>
              <w:bottom w:val="single" w:sz="4" w:space="0" w:color="auto"/>
              <w:right w:val="single" w:sz="4" w:space="0" w:color="auto"/>
            </w:tcBorders>
            <w:shd w:val="clear" w:color="auto" w:fill="auto"/>
            <w:noWrap/>
            <w:vAlign w:val="center"/>
            <w:hideMark/>
          </w:tcPr>
          <w:p w14:paraId="71D90D92" w14:textId="77777777" w:rsidR="00F467CF" w:rsidRPr="00110DC3" w:rsidRDefault="00F467CF" w:rsidP="00F467CF">
            <w:pPr>
              <w:jc w:val="cente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64%</w:t>
            </w:r>
          </w:p>
        </w:tc>
        <w:tc>
          <w:tcPr>
            <w:tcW w:w="417" w:type="dxa"/>
            <w:tcBorders>
              <w:top w:val="nil"/>
              <w:left w:val="nil"/>
              <w:bottom w:val="single" w:sz="4" w:space="0" w:color="auto"/>
              <w:right w:val="single" w:sz="4" w:space="0" w:color="auto"/>
            </w:tcBorders>
            <w:shd w:val="clear" w:color="000000" w:fill="EDEDED"/>
            <w:noWrap/>
            <w:vAlign w:val="center"/>
            <w:hideMark/>
          </w:tcPr>
          <w:p w14:paraId="2EEA8C4E" w14:textId="77777777" w:rsidR="00F467CF" w:rsidRPr="00110DC3" w:rsidRDefault="00F467CF" w:rsidP="00F467CF">
            <w:pPr>
              <w:jc w:val="cente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0%</w:t>
            </w:r>
          </w:p>
        </w:tc>
      </w:tr>
      <w:tr w:rsidR="00F467CF" w:rsidRPr="00110DC3" w14:paraId="43971E7A" w14:textId="77777777" w:rsidTr="0040138E">
        <w:trPr>
          <w:trHeight w:val="290"/>
          <w:jc w:val="center"/>
        </w:trPr>
        <w:tc>
          <w:tcPr>
            <w:tcW w:w="6298" w:type="dxa"/>
            <w:tcBorders>
              <w:top w:val="nil"/>
              <w:left w:val="single" w:sz="4" w:space="0" w:color="auto"/>
              <w:bottom w:val="single" w:sz="4" w:space="0" w:color="auto"/>
              <w:right w:val="single" w:sz="4" w:space="0" w:color="auto"/>
            </w:tcBorders>
            <w:shd w:val="clear" w:color="auto" w:fill="auto"/>
            <w:noWrap/>
            <w:vAlign w:val="center"/>
            <w:hideMark/>
          </w:tcPr>
          <w:p w14:paraId="0B035DC4" w14:textId="77777777" w:rsidR="00F467CF" w:rsidRPr="00110DC3" w:rsidRDefault="00F467CF" w:rsidP="00F467CF">
            <w:pP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Tribunal Penal de Quepos</w:t>
            </w:r>
          </w:p>
        </w:tc>
        <w:tc>
          <w:tcPr>
            <w:tcW w:w="1786" w:type="dxa"/>
            <w:tcBorders>
              <w:top w:val="nil"/>
              <w:left w:val="nil"/>
              <w:bottom w:val="single" w:sz="4" w:space="0" w:color="auto"/>
              <w:right w:val="single" w:sz="4" w:space="0" w:color="auto"/>
            </w:tcBorders>
            <w:shd w:val="clear" w:color="auto" w:fill="auto"/>
            <w:noWrap/>
            <w:vAlign w:val="center"/>
            <w:hideMark/>
          </w:tcPr>
          <w:p w14:paraId="1B30D2FD" w14:textId="77777777" w:rsidR="00F467CF" w:rsidRPr="00110DC3" w:rsidRDefault="00F467CF" w:rsidP="00F467CF">
            <w:pPr>
              <w:jc w:val="cente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13%</w:t>
            </w:r>
          </w:p>
        </w:tc>
        <w:tc>
          <w:tcPr>
            <w:tcW w:w="1275" w:type="dxa"/>
            <w:tcBorders>
              <w:top w:val="nil"/>
              <w:left w:val="nil"/>
              <w:bottom w:val="single" w:sz="4" w:space="0" w:color="auto"/>
              <w:right w:val="single" w:sz="4" w:space="0" w:color="auto"/>
            </w:tcBorders>
            <w:shd w:val="clear" w:color="auto" w:fill="auto"/>
            <w:noWrap/>
            <w:vAlign w:val="center"/>
            <w:hideMark/>
          </w:tcPr>
          <w:p w14:paraId="3B1B02E3" w14:textId="77777777" w:rsidR="00F467CF" w:rsidRPr="00110DC3" w:rsidRDefault="00F467CF" w:rsidP="00F467CF">
            <w:pPr>
              <w:jc w:val="cente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22%</w:t>
            </w:r>
          </w:p>
        </w:tc>
        <w:tc>
          <w:tcPr>
            <w:tcW w:w="417" w:type="dxa"/>
            <w:tcBorders>
              <w:top w:val="nil"/>
              <w:left w:val="nil"/>
              <w:bottom w:val="single" w:sz="4" w:space="0" w:color="auto"/>
              <w:right w:val="single" w:sz="4" w:space="0" w:color="auto"/>
            </w:tcBorders>
            <w:shd w:val="clear" w:color="000000" w:fill="EDEDED"/>
            <w:noWrap/>
            <w:vAlign w:val="center"/>
            <w:hideMark/>
          </w:tcPr>
          <w:p w14:paraId="164A832D" w14:textId="77777777" w:rsidR="00F467CF" w:rsidRPr="00110DC3" w:rsidRDefault="00F467CF" w:rsidP="00F467CF">
            <w:pPr>
              <w:jc w:val="cente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6%</w:t>
            </w:r>
          </w:p>
        </w:tc>
      </w:tr>
      <w:tr w:rsidR="00F467CF" w:rsidRPr="00110DC3" w14:paraId="28859C4F" w14:textId="77777777" w:rsidTr="0040138E">
        <w:trPr>
          <w:trHeight w:val="290"/>
          <w:jc w:val="center"/>
        </w:trPr>
        <w:tc>
          <w:tcPr>
            <w:tcW w:w="6298" w:type="dxa"/>
            <w:tcBorders>
              <w:top w:val="nil"/>
              <w:left w:val="single" w:sz="4" w:space="0" w:color="auto"/>
              <w:bottom w:val="single" w:sz="4" w:space="0" w:color="auto"/>
              <w:right w:val="single" w:sz="4" w:space="0" w:color="auto"/>
            </w:tcBorders>
            <w:shd w:val="clear" w:color="auto" w:fill="auto"/>
            <w:noWrap/>
            <w:vAlign w:val="center"/>
            <w:hideMark/>
          </w:tcPr>
          <w:p w14:paraId="177912F4" w14:textId="77777777" w:rsidR="00F467CF" w:rsidRPr="00110DC3" w:rsidRDefault="00F467CF" w:rsidP="00F467CF">
            <w:pP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Tribunal Penal Segundo Circuito Judicial de la Zona Sur (Golfito)</w:t>
            </w:r>
          </w:p>
        </w:tc>
        <w:tc>
          <w:tcPr>
            <w:tcW w:w="1786" w:type="dxa"/>
            <w:tcBorders>
              <w:top w:val="nil"/>
              <w:left w:val="nil"/>
              <w:bottom w:val="single" w:sz="4" w:space="0" w:color="auto"/>
              <w:right w:val="single" w:sz="4" w:space="0" w:color="auto"/>
            </w:tcBorders>
            <w:shd w:val="clear" w:color="auto" w:fill="auto"/>
            <w:noWrap/>
            <w:vAlign w:val="center"/>
            <w:hideMark/>
          </w:tcPr>
          <w:p w14:paraId="1AD8CBF2" w14:textId="77777777" w:rsidR="00F467CF" w:rsidRPr="00110DC3" w:rsidRDefault="00F467CF" w:rsidP="00F467CF">
            <w:pPr>
              <w:jc w:val="cente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13%</w:t>
            </w:r>
          </w:p>
        </w:tc>
        <w:tc>
          <w:tcPr>
            <w:tcW w:w="1275" w:type="dxa"/>
            <w:tcBorders>
              <w:top w:val="nil"/>
              <w:left w:val="nil"/>
              <w:bottom w:val="single" w:sz="4" w:space="0" w:color="auto"/>
              <w:right w:val="single" w:sz="4" w:space="0" w:color="auto"/>
            </w:tcBorders>
            <w:shd w:val="clear" w:color="auto" w:fill="auto"/>
            <w:noWrap/>
            <w:vAlign w:val="center"/>
            <w:hideMark/>
          </w:tcPr>
          <w:p w14:paraId="0A14CA53" w14:textId="77777777" w:rsidR="00F467CF" w:rsidRPr="00110DC3" w:rsidRDefault="00F467CF" w:rsidP="00F467CF">
            <w:pPr>
              <w:jc w:val="cente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16%</w:t>
            </w:r>
          </w:p>
        </w:tc>
        <w:tc>
          <w:tcPr>
            <w:tcW w:w="417" w:type="dxa"/>
            <w:tcBorders>
              <w:top w:val="nil"/>
              <w:left w:val="nil"/>
              <w:bottom w:val="single" w:sz="4" w:space="0" w:color="auto"/>
              <w:right w:val="single" w:sz="4" w:space="0" w:color="auto"/>
            </w:tcBorders>
            <w:shd w:val="clear" w:color="000000" w:fill="EDEDED"/>
            <w:noWrap/>
            <w:vAlign w:val="center"/>
            <w:hideMark/>
          </w:tcPr>
          <w:p w14:paraId="5AA28999" w14:textId="77777777" w:rsidR="00F467CF" w:rsidRPr="00110DC3" w:rsidRDefault="00F467CF" w:rsidP="00F467CF">
            <w:pPr>
              <w:jc w:val="cente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6%</w:t>
            </w:r>
          </w:p>
        </w:tc>
      </w:tr>
      <w:tr w:rsidR="00F467CF" w:rsidRPr="00110DC3" w14:paraId="4635AD3B" w14:textId="77777777" w:rsidTr="0040138E">
        <w:trPr>
          <w:trHeight w:val="290"/>
          <w:jc w:val="center"/>
        </w:trPr>
        <w:tc>
          <w:tcPr>
            <w:tcW w:w="6298" w:type="dxa"/>
            <w:tcBorders>
              <w:top w:val="nil"/>
              <w:left w:val="single" w:sz="4" w:space="0" w:color="auto"/>
              <w:bottom w:val="single" w:sz="4" w:space="0" w:color="auto"/>
              <w:right w:val="single" w:sz="4" w:space="0" w:color="auto"/>
            </w:tcBorders>
            <w:shd w:val="clear" w:color="auto" w:fill="auto"/>
            <w:noWrap/>
            <w:vAlign w:val="center"/>
            <w:hideMark/>
          </w:tcPr>
          <w:p w14:paraId="28CA417E" w14:textId="77777777" w:rsidR="00F467CF" w:rsidRPr="00110DC3" w:rsidRDefault="00F467CF" w:rsidP="00F467CF">
            <w:pPr>
              <w:rPr>
                <w:rFonts w:ascii="Book Antiqua" w:hAnsi="Book Antiqua" w:cs="Calibri"/>
                <w:b/>
                <w:bCs/>
                <w:color w:val="000000"/>
                <w:sz w:val="16"/>
                <w:szCs w:val="16"/>
                <w:lang w:eastAsia="es-CR"/>
              </w:rPr>
            </w:pPr>
            <w:r w:rsidRPr="00110DC3">
              <w:rPr>
                <w:rFonts w:ascii="Book Antiqua" w:hAnsi="Book Antiqua" w:cs="Calibri"/>
                <w:b/>
                <w:bCs/>
                <w:color w:val="000000"/>
                <w:sz w:val="16"/>
                <w:szCs w:val="16"/>
                <w:lang w:eastAsia="es-CR"/>
              </w:rPr>
              <w:t>Promedio global</w:t>
            </w:r>
          </w:p>
        </w:tc>
        <w:tc>
          <w:tcPr>
            <w:tcW w:w="1786" w:type="dxa"/>
            <w:tcBorders>
              <w:top w:val="nil"/>
              <w:left w:val="nil"/>
              <w:bottom w:val="single" w:sz="4" w:space="0" w:color="auto"/>
              <w:right w:val="single" w:sz="4" w:space="0" w:color="auto"/>
            </w:tcBorders>
            <w:shd w:val="clear" w:color="auto" w:fill="auto"/>
            <w:noWrap/>
            <w:vAlign w:val="center"/>
            <w:hideMark/>
          </w:tcPr>
          <w:p w14:paraId="723F3A7D" w14:textId="77777777" w:rsidR="00F467CF" w:rsidRPr="00110DC3" w:rsidRDefault="00F467CF" w:rsidP="00F467CF">
            <w:pPr>
              <w:jc w:val="center"/>
              <w:rPr>
                <w:rFonts w:ascii="Book Antiqua" w:hAnsi="Book Antiqua" w:cs="Calibri"/>
                <w:b/>
                <w:bCs/>
                <w:color w:val="000000"/>
                <w:sz w:val="16"/>
                <w:szCs w:val="16"/>
                <w:lang w:eastAsia="es-CR"/>
              </w:rPr>
            </w:pPr>
            <w:r w:rsidRPr="00110DC3">
              <w:rPr>
                <w:rFonts w:ascii="Book Antiqua" w:hAnsi="Book Antiqua" w:cs="Calibri"/>
                <w:b/>
                <w:bCs/>
                <w:color w:val="000000"/>
                <w:sz w:val="16"/>
                <w:szCs w:val="16"/>
                <w:lang w:eastAsia="es-CR"/>
              </w:rPr>
              <w:t>87%</w:t>
            </w:r>
          </w:p>
        </w:tc>
        <w:tc>
          <w:tcPr>
            <w:tcW w:w="1275" w:type="dxa"/>
            <w:tcBorders>
              <w:top w:val="nil"/>
              <w:left w:val="nil"/>
              <w:bottom w:val="single" w:sz="4" w:space="0" w:color="auto"/>
              <w:right w:val="single" w:sz="4" w:space="0" w:color="auto"/>
            </w:tcBorders>
            <w:shd w:val="clear" w:color="auto" w:fill="auto"/>
            <w:noWrap/>
            <w:vAlign w:val="center"/>
            <w:hideMark/>
          </w:tcPr>
          <w:p w14:paraId="7EB3C4B1" w14:textId="77777777" w:rsidR="00F467CF" w:rsidRPr="00110DC3" w:rsidRDefault="00F467CF" w:rsidP="00F467CF">
            <w:pPr>
              <w:jc w:val="center"/>
              <w:rPr>
                <w:rFonts w:ascii="Book Antiqua" w:hAnsi="Book Antiqua" w:cs="Calibri"/>
                <w:b/>
                <w:bCs/>
                <w:color w:val="000000"/>
                <w:sz w:val="16"/>
                <w:szCs w:val="16"/>
                <w:lang w:eastAsia="es-CR"/>
              </w:rPr>
            </w:pPr>
            <w:r w:rsidRPr="00110DC3">
              <w:rPr>
                <w:rFonts w:ascii="Book Antiqua" w:hAnsi="Book Antiqua" w:cs="Calibri"/>
                <w:b/>
                <w:bCs/>
                <w:color w:val="000000"/>
                <w:sz w:val="16"/>
                <w:szCs w:val="16"/>
                <w:lang w:eastAsia="es-CR"/>
              </w:rPr>
              <w:t>101%</w:t>
            </w:r>
          </w:p>
        </w:tc>
        <w:tc>
          <w:tcPr>
            <w:tcW w:w="417" w:type="dxa"/>
            <w:tcBorders>
              <w:top w:val="nil"/>
              <w:left w:val="nil"/>
              <w:bottom w:val="single" w:sz="4" w:space="0" w:color="auto"/>
              <w:right w:val="single" w:sz="4" w:space="0" w:color="auto"/>
            </w:tcBorders>
            <w:shd w:val="clear" w:color="000000" w:fill="EDEDED"/>
            <w:noWrap/>
            <w:vAlign w:val="center"/>
            <w:hideMark/>
          </w:tcPr>
          <w:p w14:paraId="518DC119" w14:textId="77777777" w:rsidR="00F467CF" w:rsidRPr="00110DC3" w:rsidRDefault="00F467CF" w:rsidP="00F467CF">
            <w:pPr>
              <w:jc w:val="center"/>
              <w:rPr>
                <w:rFonts w:ascii="Book Antiqua" w:hAnsi="Book Antiqua" w:cs="Calibri"/>
                <w:color w:val="000000"/>
                <w:sz w:val="16"/>
                <w:szCs w:val="16"/>
                <w:lang w:eastAsia="es-CR"/>
              </w:rPr>
            </w:pPr>
            <w:r w:rsidRPr="00110DC3">
              <w:rPr>
                <w:rFonts w:ascii="Book Antiqua" w:hAnsi="Book Antiqua" w:cs="Calibri"/>
                <w:color w:val="000000"/>
                <w:sz w:val="16"/>
                <w:szCs w:val="16"/>
                <w:lang w:eastAsia="es-CR"/>
              </w:rPr>
              <w:t>14%</w:t>
            </w:r>
          </w:p>
        </w:tc>
      </w:tr>
    </w:tbl>
    <w:p w14:paraId="4E613278" w14:textId="56E0C238" w:rsidR="000A6207" w:rsidRDefault="000A6207" w:rsidP="00F467CF">
      <w:pPr>
        <w:spacing w:line="276" w:lineRule="auto"/>
        <w:jc w:val="center"/>
        <w:rPr>
          <w:rFonts w:ascii="Book Antiqua" w:hAnsi="Book Antiqua"/>
          <w:color w:val="000000" w:themeColor="text1"/>
          <w:sz w:val="20"/>
          <w:szCs w:val="20"/>
        </w:rPr>
      </w:pPr>
      <w:r w:rsidRPr="00677475">
        <w:rPr>
          <w:rFonts w:ascii="Book Antiqua" w:hAnsi="Book Antiqua"/>
          <w:b/>
          <w:bCs/>
          <w:color w:val="000000" w:themeColor="text1"/>
          <w:sz w:val="20"/>
          <w:szCs w:val="20"/>
        </w:rPr>
        <w:t xml:space="preserve">Fuente: </w:t>
      </w:r>
      <w:r w:rsidRPr="00677475">
        <w:rPr>
          <w:rFonts w:ascii="Book Antiqua" w:hAnsi="Book Antiqua"/>
          <w:color w:val="000000" w:themeColor="text1"/>
          <w:sz w:val="20"/>
          <w:szCs w:val="20"/>
        </w:rPr>
        <w:t>Matriz de indicadores de Gestión</w:t>
      </w:r>
      <w:r w:rsidR="00CD11AF">
        <w:rPr>
          <w:rFonts w:ascii="Book Antiqua" w:hAnsi="Book Antiqua"/>
          <w:color w:val="000000" w:themeColor="text1"/>
          <w:sz w:val="20"/>
          <w:szCs w:val="20"/>
        </w:rPr>
        <w:t xml:space="preserve"> y Sistema Sigma</w:t>
      </w:r>
    </w:p>
    <w:p w14:paraId="01DA0069" w14:textId="77777777" w:rsidR="000A6207" w:rsidRPr="004F0E92" w:rsidRDefault="000A6207" w:rsidP="000A6207">
      <w:pPr>
        <w:spacing w:line="276" w:lineRule="auto"/>
        <w:jc w:val="both"/>
        <w:rPr>
          <w:rFonts w:ascii="Book Antiqua" w:hAnsi="Book Antiqua" w:cs="Calibri"/>
          <w:color w:val="000000"/>
          <w:lang w:eastAsia="es-CR"/>
        </w:rPr>
      </w:pPr>
    </w:p>
    <w:p w14:paraId="24D9AC2C" w14:textId="77777777" w:rsidR="00110DC3" w:rsidRPr="00110DC3" w:rsidRDefault="00110DC3" w:rsidP="00110DC3">
      <w:pPr>
        <w:spacing w:line="276" w:lineRule="auto"/>
        <w:jc w:val="both"/>
        <w:rPr>
          <w:rFonts w:ascii="Book Antiqua" w:hAnsi="Book Antiqua" w:cs="Calibri"/>
          <w:color w:val="000000"/>
          <w:lang w:eastAsia="es-CR"/>
        </w:rPr>
      </w:pPr>
      <w:r w:rsidRPr="00110DC3">
        <w:rPr>
          <w:rFonts w:ascii="Book Antiqua" w:hAnsi="Book Antiqua" w:cs="Calibri"/>
          <w:color w:val="000000"/>
          <w:lang w:eastAsia="es-CR"/>
        </w:rPr>
        <w:t xml:space="preserve">Si bien es cierto el promedio global de cumplimiento en los Tribunales Penales es de un 87%, aún hay oficinas que reflejan un porcentaje bajo de resolución. Dentro de las principales justificaciones se encuentra: la declaratoria de alerta naranja en algunas de estas zonas, lo que provocó la suspensión de juicios y la programación de juicios con persona detenida, además casos positivos por covid-19 dentro del despacho, lo que provocó enviar a cuarentena a gran parte del personal; así como, la atención de juicios complejos de varias semanas. </w:t>
      </w:r>
    </w:p>
    <w:p w14:paraId="4DAEC729" w14:textId="77777777" w:rsidR="00110DC3" w:rsidRPr="00110DC3" w:rsidRDefault="00110DC3" w:rsidP="00110DC3">
      <w:pPr>
        <w:spacing w:line="276" w:lineRule="auto"/>
        <w:jc w:val="both"/>
        <w:rPr>
          <w:rFonts w:ascii="Book Antiqua" w:hAnsi="Book Antiqua" w:cs="Calibri"/>
          <w:color w:val="000000"/>
          <w:lang w:eastAsia="es-CR"/>
        </w:rPr>
      </w:pPr>
    </w:p>
    <w:p w14:paraId="4010E96A" w14:textId="5E610260" w:rsidR="000A6207" w:rsidRDefault="00110DC3" w:rsidP="00110DC3">
      <w:pPr>
        <w:spacing w:line="276" w:lineRule="auto"/>
        <w:jc w:val="both"/>
        <w:rPr>
          <w:rFonts w:ascii="Book Antiqua" w:hAnsi="Book Antiqua" w:cs="Calibri"/>
          <w:color w:val="000000"/>
          <w:lang w:eastAsia="es-CR"/>
        </w:rPr>
      </w:pPr>
      <w:r w:rsidRPr="00110DC3">
        <w:rPr>
          <w:rFonts w:ascii="Book Antiqua" w:hAnsi="Book Antiqua" w:cs="Calibri"/>
          <w:color w:val="000000"/>
          <w:lang w:eastAsia="es-CR"/>
        </w:rPr>
        <w:t>Como recomendación y dado que en todas las zonas las condiciones son distintas en cuanto a la disponibilidad de salas de juicio y acceso tecnológico, se sugiere seguir valorando impulsar la posibilidad de realizar audiencias virtuales y atender asuntos de forma escrita, pero se reconoce que la materia penal en su mayoría su forma de trabajo es presencial.</w:t>
      </w:r>
    </w:p>
    <w:p w14:paraId="18B77E1B" w14:textId="77777777" w:rsidR="000A6207" w:rsidRPr="000549BF" w:rsidRDefault="000A6207" w:rsidP="000A6207">
      <w:pPr>
        <w:tabs>
          <w:tab w:val="left" w:pos="2400"/>
        </w:tabs>
        <w:spacing w:line="276" w:lineRule="auto"/>
        <w:rPr>
          <w:rFonts w:ascii="Book Antiqua" w:hAnsi="Book Antiqua"/>
          <w:b/>
          <w:color w:val="000000" w:themeColor="text1"/>
        </w:rPr>
      </w:pPr>
    </w:p>
    <w:p w14:paraId="526D9013" w14:textId="6AA6C0F8" w:rsidR="000A6207" w:rsidRPr="00B50D58" w:rsidRDefault="7D467FA6" w:rsidP="57A79FF7">
      <w:pPr>
        <w:spacing w:after="160" w:line="276" w:lineRule="auto"/>
        <w:contextualSpacing/>
        <w:outlineLvl w:val="1"/>
        <w:rPr>
          <w:b/>
          <w:color w:val="000000" w:themeColor="text1"/>
        </w:rPr>
      </w:pPr>
      <w:r w:rsidRPr="57A79FF7">
        <w:rPr>
          <w:rFonts w:ascii="Book Antiqua" w:hAnsi="Book Antiqua"/>
          <w:b/>
          <w:bCs/>
          <w:color w:val="000000" w:themeColor="text1"/>
        </w:rPr>
        <w:t xml:space="preserve">7.2.3 </w:t>
      </w:r>
      <w:r w:rsidR="000A6207" w:rsidRPr="00B50D58">
        <w:rPr>
          <w:rFonts w:ascii="Book Antiqua" w:hAnsi="Book Antiqua"/>
          <w:b/>
          <w:color w:val="000000" w:themeColor="text1"/>
        </w:rPr>
        <w:t>Tribunal y Secciones de Flagrancia</w:t>
      </w:r>
    </w:p>
    <w:p w14:paraId="6FB0BA94" w14:textId="77777777" w:rsidR="00B50D58" w:rsidRPr="00B50D58" w:rsidRDefault="00B50D58" w:rsidP="00B50D58">
      <w:pPr>
        <w:spacing w:line="276" w:lineRule="auto"/>
        <w:jc w:val="both"/>
        <w:rPr>
          <w:rFonts w:ascii="Book Antiqua" w:hAnsi="Book Antiqua"/>
          <w:color w:val="000000" w:themeColor="text1"/>
        </w:rPr>
      </w:pPr>
      <w:r w:rsidRPr="00B50D58">
        <w:rPr>
          <w:rFonts w:ascii="Book Antiqua" w:hAnsi="Book Antiqua"/>
          <w:color w:val="000000" w:themeColor="text1"/>
        </w:rPr>
        <w:t>Las secciones de flagrancia tienen un parámetro de producción de 35 diligencias entre audiencias iniciales, sentencias o medidas alternas, por lo tanto, su comparación contra el valor teórico es de un 78%, considerando la colaboración al ordinario asciende a un 82%.</w:t>
      </w:r>
    </w:p>
    <w:p w14:paraId="69F2AD29" w14:textId="77777777" w:rsidR="00B50D58" w:rsidRPr="00B50D58" w:rsidRDefault="00B50D58" w:rsidP="00B50D58">
      <w:pPr>
        <w:spacing w:line="276" w:lineRule="auto"/>
        <w:jc w:val="both"/>
        <w:rPr>
          <w:rFonts w:ascii="Book Antiqua" w:hAnsi="Book Antiqua"/>
          <w:color w:val="000000" w:themeColor="text1"/>
        </w:rPr>
      </w:pPr>
    </w:p>
    <w:p w14:paraId="1DE9DF3B" w14:textId="77777777" w:rsidR="00B50D58" w:rsidRPr="00B50D58" w:rsidRDefault="00B50D58" w:rsidP="00B50D58">
      <w:pPr>
        <w:spacing w:line="276" w:lineRule="auto"/>
        <w:jc w:val="both"/>
        <w:rPr>
          <w:rFonts w:ascii="Book Antiqua" w:hAnsi="Book Antiqua"/>
          <w:color w:val="000000" w:themeColor="text1"/>
        </w:rPr>
      </w:pPr>
      <w:r w:rsidRPr="00B50D58">
        <w:rPr>
          <w:rFonts w:ascii="Book Antiqua" w:hAnsi="Book Antiqua"/>
          <w:color w:val="000000" w:themeColor="text1"/>
        </w:rPr>
        <w:t>El despacho con mayor nivel de producción es el Tribunal de Flagrancia del Primer Circuito Judicial de Alajuela, con un 147% y el de menor rendimiento fue el Tribunal de Flagrancia de Cartago con un 35% del valor teórico; es decir, poco más de la tercera parte del parámetro establecido.</w:t>
      </w:r>
    </w:p>
    <w:p w14:paraId="30258C0A" w14:textId="77777777" w:rsidR="00B50D58" w:rsidRPr="00B50D58" w:rsidRDefault="00B50D58" w:rsidP="00B50D58">
      <w:pPr>
        <w:spacing w:line="276" w:lineRule="auto"/>
        <w:jc w:val="both"/>
        <w:rPr>
          <w:rFonts w:ascii="Book Antiqua" w:hAnsi="Book Antiqua"/>
          <w:color w:val="000000" w:themeColor="text1"/>
        </w:rPr>
      </w:pPr>
    </w:p>
    <w:p w14:paraId="2B7A188D" w14:textId="77777777" w:rsidR="00B50D58" w:rsidRPr="00B50D58" w:rsidRDefault="00B50D58" w:rsidP="00B50D58">
      <w:pPr>
        <w:spacing w:line="276" w:lineRule="auto"/>
        <w:jc w:val="both"/>
        <w:rPr>
          <w:rFonts w:ascii="Book Antiqua" w:hAnsi="Book Antiqua"/>
          <w:color w:val="000000" w:themeColor="text1"/>
        </w:rPr>
      </w:pPr>
      <w:r w:rsidRPr="00B50D58">
        <w:rPr>
          <w:rFonts w:ascii="Book Antiqua" w:hAnsi="Book Antiqua"/>
          <w:color w:val="000000" w:themeColor="text1"/>
        </w:rPr>
        <w:t xml:space="preserve">Se destaca que, para el mes de agosto, de la totalidad de las oficinas del contexto de Flagrancia, Alajuela, San Ramón, Liberia, San Carlos y Heredia, son los únicos despachos que logran alcanzar un rendimiento igual o mayor al valor mínimo de producción con asuntos propios de la materia de Flagrancia. </w:t>
      </w:r>
    </w:p>
    <w:p w14:paraId="060CA68D" w14:textId="77777777" w:rsidR="00B50D58" w:rsidRPr="00B50D58" w:rsidRDefault="00B50D58" w:rsidP="00B50D58">
      <w:pPr>
        <w:spacing w:line="276" w:lineRule="auto"/>
        <w:jc w:val="both"/>
        <w:rPr>
          <w:rFonts w:ascii="Book Antiqua" w:hAnsi="Book Antiqua"/>
          <w:color w:val="000000" w:themeColor="text1"/>
        </w:rPr>
      </w:pPr>
    </w:p>
    <w:p w14:paraId="2E5E3415" w14:textId="4A618DE8" w:rsidR="00B50D58" w:rsidRPr="00B50D58" w:rsidRDefault="00B50D58" w:rsidP="00B50D58">
      <w:pPr>
        <w:spacing w:line="276" w:lineRule="auto"/>
        <w:jc w:val="both"/>
        <w:rPr>
          <w:rFonts w:ascii="Book Antiqua" w:hAnsi="Book Antiqua"/>
          <w:color w:val="000000" w:themeColor="text1"/>
        </w:rPr>
      </w:pPr>
      <w:r w:rsidRPr="00B50D58">
        <w:rPr>
          <w:rFonts w:ascii="Book Antiqua" w:hAnsi="Book Antiqua"/>
          <w:color w:val="000000" w:themeColor="text1"/>
        </w:rPr>
        <w:t xml:space="preserve">En ese sentido, se hace la observación que actualmente existen despachos de Flagrancia que brindan soporte a los Tribunales Ordinarios homólogos en la tramitación de asuntos propios de dicha dependencia, lo anterior, con el objetivo de maximizar el recurso humano y disminuir tiempos de respuesta, el detalle de lo anterior se amplía en el </w:t>
      </w:r>
      <w:r w:rsidRPr="000B1CF8">
        <w:rPr>
          <w:rFonts w:ascii="Book Antiqua" w:hAnsi="Book Antiqua"/>
          <w:color w:val="000000" w:themeColor="text1"/>
        </w:rPr>
        <w:t xml:space="preserve">capítulo </w:t>
      </w:r>
      <w:r w:rsidR="000B1CF8" w:rsidRPr="000B1CF8">
        <w:rPr>
          <w:rFonts w:ascii="Book Antiqua" w:hAnsi="Book Antiqua"/>
          <w:color w:val="000000" w:themeColor="text1"/>
        </w:rPr>
        <w:t>I</w:t>
      </w:r>
      <w:r w:rsidRPr="000B1CF8">
        <w:rPr>
          <w:rFonts w:ascii="Book Antiqua" w:hAnsi="Book Antiqua"/>
          <w:color w:val="000000" w:themeColor="text1"/>
        </w:rPr>
        <w:t>X del presente informe.</w:t>
      </w:r>
      <w:r w:rsidRPr="00B50D58">
        <w:rPr>
          <w:rFonts w:ascii="Book Antiqua" w:hAnsi="Book Antiqua"/>
          <w:color w:val="000000" w:themeColor="text1"/>
        </w:rPr>
        <w:t xml:space="preserve"> </w:t>
      </w:r>
    </w:p>
    <w:p w14:paraId="6F00E0B1" w14:textId="77777777" w:rsidR="00B50D58" w:rsidRPr="00B50D58" w:rsidRDefault="00B50D58" w:rsidP="00B50D58">
      <w:pPr>
        <w:spacing w:line="276" w:lineRule="auto"/>
        <w:jc w:val="both"/>
        <w:rPr>
          <w:rFonts w:ascii="Book Antiqua" w:hAnsi="Book Antiqua"/>
          <w:color w:val="000000" w:themeColor="text1"/>
        </w:rPr>
      </w:pPr>
    </w:p>
    <w:p w14:paraId="0FB8E90E" w14:textId="77777777" w:rsidR="00B50D58" w:rsidRPr="00B50D58" w:rsidRDefault="00B50D58" w:rsidP="00B50D58">
      <w:pPr>
        <w:spacing w:line="276" w:lineRule="auto"/>
        <w:jc w:val="both"/>
        <w:rPr>
          <w:rFonts w:ascii="Book Antiqua" w:hAnsi="Book Antiqua"/>
          <w:color w:val="000000" w:themeColor="text1"/>
        </w:rPr>
      </w:pPr>
      <w:r w:rsidRPr="00B50D58">
        <w:rPr>
          <w:rFonts w:ascii="Book Antiqua" w:hAnsi="Book Antiqua"/>
          <w:color w:val="000000" w:themeColor="text1"/>
        </w:rPr>
        <w:t xml:space="preserve"> Dicho lo anterior, contabilizando el soporte que las oficinas del contexto de Flagrancia le dan al ordinario Alajuela, San Ramón, Liberia, San Carlos y Heredia continúan siendo los únicos despachos que logran alcanzar un porcentaje igual o mayor al valor mínimo esperado. </w:t>
      </w:r>
    </w:p>
    <w:p w14:paraId="43D17037" w14:textId="77777777" w:rsidR="00B50D58" w:rsidRPr="00B50D58" w:rsidRDefault="00B50D58" w:rsidP="00B50D58">
      <w:pPr>
        <w:spacing w:line="276" w:lineRule="auto"/>
        <w:jc w:val="both"/>
        <w:rPr>
          <w:rFonts w:ascii="Book Antiqua" w:hAnsi="Book Antiqua"/>
          <w:color w:val="000000" w:themeColor="text1"/>
        </w:rPr>
      </w:pPr>
    </w:p>
    <w:p w14:paraId="5C77A36E" w14:textId="7F9A94E7" w:rsidR="000A6207" w:rsidRDefault="00B50D58" w:rsidP="00B50D58">
      <w:pPr>
        <w:spacing w:line="276" w:lineRule="auto"/>
        <w:jc w:val="both"/>
        <w:rPr>
          <w:rFonts w:ascii="Book Antiqua" w:hAnsi="Book Antiqua"/>
          <w:color w:val="000000" w:themeColor="text1"/>
        </w:rPr>
      </w:pPr>
      <w:r w:rsidRPr="00B50D58">
        <w:rPr>
          <w:rFonts w:ascii="Book Antiqua" w:hAnsi="Book Antiqua"/>
          <w:color w:val="000000" w:themeColor="text1"/>
        </w:rPr>
        <w:t>En relación con las oficinas que no cumplen con un porcentaje igual o mayor al valor mínimo esperado, resulta importante evidenciar el aumento en el porcentaje de rendimiento que presentan las oficinas con el soporte al ordinario.</w:t>
      </w:r>
    </w:p>
    <w:p w14:paraId="684F4FC3" w14:textId="77777777" w:rsidR="00B50D58" w:rsidRDefault="00B50D58" w:rsidP="00B50D58">
      <w:pPr>
        <w:spacing w:line="276" w:lineRule="auto"/>
        <w:jc w:val="both"/>
        <w:rPr>
          <w:rFonts w:ascii="Book Antiqua" w:hAnsi="Book Antiqua"/>
          <w:b/>
          <w:color w:val="000000" w:themeColor="text1"/>
        </w:rPr>
      </w:pPr>
    </w:p>
    <w:p w14:paraId="74C5981C" w14:textId="29520B27" w:rsidR="000A6207" w:rsidRPr="00B50D58" w:rsidRDefault="000A6207" w:rsidP="000A6207">
      <w:pPr>
        <w:spacing w:line="276" w:lineRule="auto"/>
        <w:jc w:val="center"/>
        <w:rPr>
          <w:rFonts w:ascii="Book Antiqua" w:hAnsi="Book Antiqua"/>
          <w:b/>
          <w:color w:val="000000" w:themeColor="text1"/>
        </w:rPr>
      </w:pPr>
      <w:r w:rsidRPr="00B50D58">
        <w:rPr>
          <w:rFonts w:ascii="Book Antiqua" w:hAnsi="Book Antiqua"/>
          <w:b/>
          <w:color w:val="000000" w:themeColor="text1"/>
        </w:rPr>
        <w:t xml:space="preserve">Cuadro </w:t>
      </w:r>
      <w:r w:rsidR="00B50D58" w:rsidRPr="00B50D58">
        <w:rPr>
          <w:rFonts w:ascii="Book Antiqua" w:hAnsi="Book Antiqua"/>
          <w:b/>
          <w:color w:val="000000" w:themeColor="text1"/>
        </w:rPr>
        <w:t>7</w:t>
      </w:r>
      <w:r w:rsidR="000B1CF8">
        <w:rPr>
          <w:rFonts w:ascii="Book Antiqua" w:hAnsi="Book Antiqua"/>
          <w:b/>
          <w:color w:val="000000" w:themeColor="text1"/>
        </w:rPr>
        <w:t>0</w:t>
      </w:r>
    </w:p>
    <w:p w14:paraId="5B69729D" w14:textId="77777777" w:rsidR="000A6207" w:rsidRPr="00B50D58" w:rsidRDefault="000A6207" w:rsidP="000A6207">
      <w:pPr>
        <w:spacing w:line="276" w:lineRule="auto"/>
        <w:jc w:val="center"/>
        <w:rPr>
          <w:rFonts w:ascii="Book Antiqua" w:hAnsi="Book Antiqua"/>
          <w:bCs/>
          <w:color w:val="000000" w:themeColor="text1"/>
        </w:rPr>
      </w:pPr>
      <w:r w:rsidRPr="00B50D58">
        <w:rPr>
          <w:rFonts w:ascii="Book Antiqua" w:hAnsi="Book Antiqua"/>
          <w:bCs/>
          <w:color w:val="000000" w:themeColor="text1"/>
        </w:rPr>
        <w:t xml:space="preserve">Cumplimiento del parámetro de producción teórico </w:t>
      </w:r>
    </w:p>
    <w:p w14:paraId="11C2B6C5" w14:textId="186AC3DA" w:rsidR="00B50D58" w:rsidRDefault="000A6207" w:rsidP="00B50D58">
      <w:pPr>
        <w:spacing w:line="276" w:lineRule="auto"/>
        <w:jc w:val="center"/>
        <w:rPr>
          <w:rFonts w:ascii="Book Antiqua" w:hAnsi="Book Antiqua"/>
          <w:bCs/>
          <w:color w:val="000000" w:themeColor="text1"/>
        </w:rPr>
      </w:pPr>
      <w:r w:rsidRPr="00B50D58">
        <w:rPr>
          <w:rFonts w:ascii="Book Antiqua" w:hAnsi="Book Antiqua"/>
          <w:bCs/>
          <w:color w:val="000000" w:themeColor="text1"/>
        </w:rPr>
        <w:t xml:space="preserve">de Tribunales y Secciones de Flagrancia durante </w:t>
      </w:r>
      <w:r w:rsidR="00565EC1" w:rsidRPr="00B50D58">
        <w:rPr>
          <w:rFonts w:ascii="Book Antiqua" w:hAnsi="Book Antiqua"/>
          <w:bCs/>
          <w:color w:val="000000" w:themeColor="text1"/>
        </w:rPr>
        <w:t>agosto</w:t>
      </w:r>
      <w:r w:rsidRPr="00B50D58">
        <w:rPr>
          <w:rFonts w:ascii="Book Antiqua" w:hAnsi="Book Antiqua"/>
          <w:bCs/>
          <w:color w:val="000000" w:themeColor="text1"/>
        </w:rPr>
        <w:t xml:space="preserve"> 2021</w:t>
      </w:r>
    </w:p>
    <w:tbl>
      <w:tblPr>
        <w:tblW w:w="8359" w:type="dxa"/>
        <w:jc w:val="center"/>
        <w:tblCellMar>
          <w:left w:w="70" w:type="dxa"/>
          <w:right w:w="70" w:type="dxa"/>
        </w:tblCellMar>
        <w:tblLook w:val="04A0" w:firstRow="1" w:lastRow="0" w:firstColumn="1" w:lastColumn="0" w:noHBand="0" w:noVBand="1"/>
      </w:tblPr>
      <w:tblGrid>
        <w:gridCol w:w="3395"/>
        <w:gridCol w:w="2129"/>
        <w:gridCol w:w="2835"/>
      </w:tblGrid>
      <w:tr w:rsidR="001C37D6" w:rsidRPr="00B71607" w14:paraId="0BB9A5E4" w14:textId="77777777" w:rsidTr="00B71607">
        <w:trPr>
          <w:trHeight w:val="780"/>
          <w:jc w:val="center"/>
        </w:trPr>
        <w:tc>
          <w:tcPr>
            <w:tcW w:w="3395" w:type="dxa"/>
            <w:tcBorders>
              <w:top w:val="single" w:sz="4" w:space="0" w:color="808080"/>
              <w:left w:val="single" w:sz="4" w:space="0" w:color="808080"/>
              <w:bottom w:val="single" w:sz="4" w:space="0" w:color="808080"/>
              <w:right w:val="single" w:sz="4" w:space="0" w:color="808080"/>
            </w:tcBorders>
            <w:shd w:val="clear" w:color="000000" w:fill="305496"/>
            <w:noWrap/>
            <w:vAlign w:val="center"/>
            <w:hideMark/>
          </w:tcPr>
          <w:p w14:paraId="7DB7BA7F" w14:textId="77777777" w:rsidR="001C37D6" w:rsidRPr="00B71607" w:rsidRDefault="001C37D6" w:rsidP="001C37D6">
            <w:pPr>
              <w:jc w:val="center"/>
              <w:rPr>
                <w:rFonts w:ascii="Book Antiqua" w:hAnsi="Book Antiqua" w:cs="Calibri"/>
                <w:b/>
                <w:bCs/>
                <w:color w:val="FFFFFF"/>
                <w:sz w:val="16"/>
                <w:szCs w:val="16"/>
                <w:lang w:eastAsia="es-CR"/>
              </w:rPr>
            </w:pPr>
            <w:r w:rsidRPr="00B71607">
              <w:rPr>
                <w:rFonts w:ascii="Book Antiqua" w:hAnsi="Book Antiqua" w:cs="Calibri"/>
                <w:b/>
                <w:bCs/>
                <w:color w:val="FFFFFF"/>
                <w:sz w:val="16"/>
                <w:szCs w:val="16"/>
                <w:lang w:eastAsia="es-CR"/>
              </w:rPr>
              <w:t>Oficina</w:t>
            </w:r>
          </w:p>
        </w:tc>
        <w:tc>
          <w:tcPr>
            <w:tcW w:w="2129" w:type="dxa"/>
            <w:tcBorders>
              <w:top w:val="single" w:sz="4" w:space="0" w:color="808080"/>
              <w:left w:val="nil"/>
              <w:bottom w:val="single" w:sz="4" w:space="0" w:color="808080"/>
              <w:right w:val="single" w:sz="4" w:space="0" w:color="808080"/>
            </w:tcBorders>
            <w:shd w:val="clear" w:color="000000" w:fill="305496"/>
            <w:vAlign w:val="center"/>
            <w:hideMark/>
          </w:tcPr>
          <w:p w14:paraId="0C7A9BEA" w14:textId="77777777" w:rsidR="001C37D6" w:rsidRPr="00B71607" w:rsidRDefault="001C37D6" w:rsidP="001C37D6">
            <w:pPr>
              <w:jc w:val="center"/>
              <w:rPr>
                <w:rFonts w:ascii="Book Antiqua" w:hAnsi="Book Antiqua" w:cs="Calibri"/>
                <w:b/>
                <w:bCs/>
                <w:color w:val="FFFFFF"/>
                <w:sz w:val="16"/>
                <w:szCs w:val="16"/>
                <w:lang w:eastAsia="es-CR"/>
              </w:rPr>
            </w:pPr>
            <w:r w:rsidRPr="00B71607">
              <w:rPr>
                <w:rFonts w:ascii="Book Antiqua" w:hAnsi="Book Antiqua" w:cs="Calibri"/>
                <w:b/>
                <w:bCs/>
                <w:color w:val="FFFFFF"/>
                <w:sz w:val="16"/>
                <w:szCs w:val="16"/>
                <w:lang w:eastAsia="es-CR"/>
              </w:rPr>
              <w:t>% de cumplimiento de cuota</w:t>
            </w:r>
          </w:p>
        </w:tc>
        <w:tc>
          <w:tcPr>
            <w:tcW w:w="2835" w:type="dxa"/>
            <w:tcBorders>
              <w:top w:val="single" w:sz="4" w:space="0" w:color="808080"/>
              <w:left w:val="nil"/>
              <w:bottom w:val="single" w:sz="4" w:space="0" w:color="808080"/>
              <w:right w:val="single" w:sz="4" w:space="0" w:color="808080"/>
            </w:tcBorders>
            <w:shd w:val="clear" w:color="000000" w:fill="305496"/>
            <w:vAlign w:val="center"/>
            <w:hideMark/>
          </w:tcPr>
          <w:p w14:paraId="56BC2A8F" w14:textId="77777777" w:rsidR="001C37D6" w:rsidRPr="00B71607" w:rsidRDefault="001C37D6" w:rsidP="001C37D6">
            <w:pPr>
              <w:jc w:val="center"/>
              <w:rPr>
                <w:rFonts w:ascii="Book Antiqua" w:hAnsi="Book Antiqua" w:cs="Calibri"/>
                <w:b/>
                <w:bCs/>
                <w:color w:val="FFFFFF"/>
                <w:sz w:val="16"/>
                <w:szCs w:val="16"/>
                <w:lang w:eastAsia="es-CR"/>
              </w:rPr>
            </w:pPr>
            <w:r w:rsidRPr="00B71607">
              <w:rPr>
                <w:rFonts w:ascii="Book Antiqua" w:hAnsi="Book Antiqua" w:cs="Calibri"/>
                <w:b/>
                <w:bCs/>
                <w:color w:val="FFFFFF"/>
                <w:sz w:val="16"/>
                <w:szCs w:val="16"/>
                <w:lang w:eastAsia="es-CR"/>
              </w:rPr>
              <w:t>% de cumplimiento considerando colaboración al ordinario</w:t>
            </w:r>
          </w:p>
        </w:tc>
      </w:tr>
      <w:tr w:rsidR="001C37D6" w:rsidRPr="00B71607" w14:paraId="1D198DFD" w14:textId="77777777" w:rsidTr="00B71607">
        <w:trPr>
          <w:trHeight w:val="290"/>
          <w:jc w:val="center"/>
        </w:trPr>
        <w:tc>
          <w:tcPr>
            <w:tcW w:w="3395" w:type="dxa"/>
            <w:tcBorders>
              <w:top w:val="nil"/>
              <w:left w:val="single" w:sz="4" w:space="0" w:color="808080"/>
              <w:bottom w:val="single" w:sz="4" w:space="0" w:color="808080"/>
              <w:right w:val="single" w:sz="4" w:space="0" w:color="808080"/>
            </w:tcBorders>
            <w:shd w:val="clear" w:color="auto" w:fill="auto"/>
            <w:noWrap/>
            <w:vAlign w:val="center"/>
            <w:hideMark/>
          </w:tcPr>
          <w:p w14:paraId="6C1DCB8E" w14:textId="77777777" w:rsidR="001C37D6" w:rsidRPr="00B71607" w:rsidRDefault="001C37D6" w:rsidP="001C37D6">
            <w:pPr>
              <w:rPr>
                <w:rFonts w:ascii="Book Antiqua" w:hAnsi="Book Antiqua" w:cs="Calibri"/>
                <w:color w:val="000000"/>
                <w:sz w:val="16"/>
                <w:szCs w:val="16"/>
                <w:lang w:eastAsia="es-CR"/>
              </w:rPr>
            </w:pPr>
            <w:r w:rsidRPr="00B71607">
              <w:rPr>
                <w:rFonts w:ascii="Book Antiqua" w:hAnsi="Book Antiqua" w:cs="Calibri"/>
                <w:color w:val="000000"/>
                <w:sz w:val="16"/>
                <w:szCs w:val="16"/>
                <w:lang w:eastAsia="es-CR"/>
              </w:rPr>
              <w:t>Tribunal de Flagrancia de Alajuela</w:t>
            </w:r>
          </w:p>
        </w:tc>
        <w:tc>
          <w:tcPr>
            <w:tcW w:w="2129" w:type="dxa"/>
            <w:tcBorders>
              <w:top w:val="nil"/>
              <w:left w:val="nil"/>
              <w:bottom w:val="single" w:sz="4" w:space="0" w:color="808080"/>
              <w:right w:val="single" w:sz="4" w:space="0" w:color="808080"/>
            </w:tcBorders>
            <w:shd w:val="clear" w:color="auto" w:fill="auto"/>
            <w:noWrap/>
            <w:vAlign w:val="center"/>
            <w:hideMark/>
          </w:tcPr>
          <w:p w14:paraId="4E16FB79" w14:textId="77777777" w:rsidR="001C37D6" w:rsidRPr="00B71607" w:rsidRDefault="001C37D6" w:rsidP="001C37D6">
            <w:pPr>
              <w:jc w:val="center"/>
              <w:rPr>
                <w:rFonts w:ascii="Book Antiqua" w:hAnsi="Book Antiqua" w:cs="Calibri"/>
                <w:color w:val="000000"/>
                <w:sz w:val="16"/>
                <w:szCs w:val="16"/>
                <w:lang w:eastAsia="es-CR"/>
              </w:rPr>
            </w:pPr>
            <w:r w:rsidRPr="00B71607">
              <w:rPr>
                <w:rFonts w:ascii="Book Antiqua" w:hAnsi="Book Antiqua" w:cs="Calibri"/>
                <w:color w:val="000000"/>
                <w:sz w:val="16"/>
                <w:szCs w:val="16"/>
                <w:lang w:eastAsia="es-CR"/>
              </w:rPr>
              <w:t>147%</w:t>
            </w:r>
          </w:p>
        </w:tc>
        <w:tc>
          <w:tcPr>
            <w:tcW w:w="2835" w:type="dxa"/>
            <w:tcBorders>
              <w:top w:val="nil"/>
              <w:left w:val="nil"/>
              <w:bottom w:val="single" w:sz="4" w:space="0" w:color="808080"/>
              <w:right w:val="single" w:sz="4" w:space="0" w:color="808080"/>
            </w:tcBorders>
            <w:shd w:val="clear" w:color="auto" w:fill="auto"/>
            <w:noWrap/>
            <w:vAlign w:val="center"/>
            <w:hideMark/>
          </w:tcPr>
          <w:p w14:paraId="62BA3895" w14:textId="77777777" w:rsidR="001C37D6" w:rsidRPr="00B71607" w:rsidRDefault="001C37D6" w:rsidP="001C37D6">
            <w:pPr>
              <w:jc w:val="center"/>
              <w:rPr>
                <w:rFonts w:ascii="Book Antiqua" w:hAnsi="Book Antiqua" w:cs="Calibri"/>
                <w:color w:val="000000"/>
                <w:sz w:val="16"/>
                <w:szCs w:val="16"/>
                <w:lang w:eastAsia="es-CR"/>
              </w:rPr>
            </w:pPr>
            <w:r w:rsidRPr="00B71607">
              <w:rPr>
                <w:rFonts w:ascii="Book Antiqua" w:hAnsi="Book Antiqua" w:cs="Calibri"/>
                <w:color w:val="000000"/>
                <w:sz w:val="16"/>
                <w:szCs w:val="16"/>
                <w:lang w:eastAsia="es-CR"/>
              </w:rPr>
              <w:t>150%</w:t>
            </w:r>
          </w:p>
        </w:tc>
      </w:tr>
      <w:tr w:rsidR="001C37D6" w:rsidRPr="00B71607" w14:paraId="674B7AA6" w14:textId="77777777" w:rsidTr="00B71607">
        <w:trPr>
          <w:trHeight w:val="290"/>
          <w:jc w:val="center"/>
        </w:trPr>
        <w:tc>
          <w:tcPr>
            <w:tcW w:w="3395" w:type="dxa"/>
            <w:tcBorders>
              <w:top w:val="nil"/>
              <w:left w:val="single" w:sz="4" w:space="0" w:color="808080"/>
              <w:bottom w:val="single" w:sz="4" w:space="0" w:color="808080"/>
              <w:right w:val="single" w:sz="4" w:space="0" w:color="808080"/>
            </w:tcBorders>
            <w:shd w:val="clear" w:color="auto" w:fill="auto"/>
            <w:noWrap/>
            <w:vAlign w:val="center"/>
            <w:hideMark/>
          </w:tcPr>
          <w:p w14:paraId="7868DEED" w14:textId="77777777" w:rsidR="001C37D6" w:rsidRPr="00B71607" w:rsidRDefault="001C37D6" w:rsidP="001C37D6">
            <w:pPr>
              <w:rPr>
                <w:rFonts w:ascii="Book Antiqua" w:hAnsi="Book Antiqua" w:cs="Calibri"/>
                <w:color w:val="000000"/>
                <w:sz w:val="16"/>
                <w:szCs w:val="16"/>
                <w:lang w:eastAsia="es-CR"/>
              </w:rPr>
            </w:pPr>
            <w:r w:rsidRPr="00B71607">
              <w:rPr>
                <w:rFonts w:ascii="Book Antiqua" w:hAnsi="Book Antiqua" w:cs="Calibri"/>
                <w:color w:val="000000"/>
                <w:sz w:val="16"/>
                <w:szCs w:val="16"/>
                <w:lang w:eastAsia="es-CR"/>
              </w:rPr>
              <w:t>Tribunal de Flagrancia de San Ramón</w:t>
            </w:r>
          </w:p>
        </w:tc>
        <w:tc>
          <w:tcPr>
            <w:tcW w:w="2129" w:type="dxa"/>
            <w:tcBorders>
              <w:top w:val="nil"/>
              <w:left w:val="nil"/>
              <w:bottom w:val="single" w:sz="4" w:space="0" w:color="808080"/>
              <w:right w:val="single" w:sz="4" w:space="0" w:color="808080"/>
            </w:tcBorders>
            <w:shd w:val="clear" w:color="auto" w:fill="auto"/>
            <w:noWrap/>
            <w:vAlign w:val="center"/>
            <w:hideMark/>
          </w:tcPr>
          <w:p w14:paraId="6A3D16E4" w14:textId="77777777" w:rsidR="001C37D6" w:rsidRPr="00B71607" w:rsidRDefault="001C37D6" w:rsidP="001C37D6">
            <w:pPr>
              <w:jc w:val="center"/>
              <w:rPr>
                <w:rFonts w:ascii="Book Antiqua" w:hAnsi="Book Antiqua" w:cs="Calibri"/>
                <w:color w:val="000000"/>
                <w:sz w:val="16"/>
                <w:szCs w:val="16"/>
                <w:lang w:eastAsia="es-CR"/>
              </w:rPr>
            </w:pPr>
            <w:r w:rsidRPr="00B71607">
              <w:rPr>
                <w:rFonts w:ascii="Book Antiqua" w:hAnsi="Book Antiqua" w:cs="Calibri"/>
                <w:color w:val="000000"/>
                <w:sz w:val="16"/>
                <w:szCs w:val="16"/>
                <w:lang w:eastAsia="es-CR"/>
              </w:rPr>
              <w:t>111%</w:t>
            </w:r>
          </w:p>
        </w:tc>
        <w:tc>
          <w:tcPr>
            <w:tcW w:w="2835" w:type="dxa"/>
            <w:tcBorders>
              <w:top w:val="nil"/>
              <w:left w:val="nil"/>
              <w:bottom w:val="single" w:sz="4" w:space="0" w:color="808080"/>
              <w:right w:val="single" w:sz="4" w:space="0" w:color="808080"/>
            </w:tcBorders>
            <w:shd w:val="clear" w:color="auto" w:fill="auto"/>
            <w:noWrap/>
            <w:vAlign w:val="center"/>
            <w:hideMark/>
          </w:tcPr>
          <w:p w14:paraId="44A41F24" w14:textId="77777777" w:rsidR="001C37D6" w:rsidRPr="00B71607" w:rsidRDefault="001C37D6" w:rsidP="001C37D6">
            <w:pPr>
              <w:jc w:val="center"/>
              <w:rPr>
                <w:rFonts w:ascii="Book Antiqua" w:hAnsi="Book Antiqua" w:cs="Calibri"/>
                <w:color w:val="000000"/>
                <w:sz w:val="16"/>
                <w:szCs w:val="16"/>
                <w:lang w:eastAsia="es-CR"/>
              </w:rPr>
            </w:pPr>
            <w:r w:rsidRPr="00B71607">
              <w:rPr>
                <w:rFonts w:ascii="Book Antiqua" w:hAnsi="Book Antiqua" w:cs="Calibri"/>
                <w:color w:val="000000"/>
                <w:sz w:val="16"/>
                <w:szCs w:val="16"/>
                <w:lang w:eastAsia="es-CR"/>
              </w:rPr>
              <w:t>116%</w:t>
            </w:r>
          </w:p>
        </w:tc>
      </w:tr>
      <w:tr w:rsidR="001C37D6" w:rsidRPr="00B71607" w14:paraId="0E2D51D7" w14:textId="77777777" w:rsidTr="00B71607">
        <w:trPr>
          <w:trHeight w:val="290"/>
          <w:jc w:val="center"/>
        </w:trPr>
        <w:tc>
          <w:tcPr>
            <w:tcW w:w="3395" w:type="dxa"/>
            <w:tcBorders>
              <w:top w:val="nil"/>
              <w:left w:val="single" w:sz="4" w:space="0" w:color="808080"/>
              <w:bottom w:val="single" w:sz="4" w:space="0" w:color="808080"/>
              <w:right w:val="single" w:sz="4" w:space="0" w:color="808080"/>
            </w:tcBorders>
            <w:shd w:val="clear" w:color="auto" w:fill="auto"/>
            <w:noWrap/>
            <w:vAlign w:val="center"/>
            <w:hideMark/>
          </w:tcPr>
          <w:p w14:paraId="55AD1296" w14:textId="77777777" w:rsidR="001C37D6" w:rsidRPr="00B71607" w:rsidRDefault="001C37D6" w:rsidP="001C37D6">
            <w:pPr>
              <w:rPr>
                <w:rFonts w:ascii="Book Antiqua" w:hAnsi="Book Antiqua" w:cs="Calibri"/>
                <w:color w:val="000000"/>
                <w:sz w:val="16"/>
                <w:szCs w:val="16"/>
                <w:lang w:eastAsia="es-CR"/>
              </w:rPr>
            </w:pPr>
            <w:r w:rsidRPr="00B71607">
              <w:rPr>
                <w:rFonts w:ascii="Book Antiqua" w:hAnsi="Book Antiqua" w:cs="Calibri"/>
                <w:color w:val="000000"/>
                <w:sz w:val="16"/>
                <w:szCs w:val="16"/>
                <w:lang w:eastAsia="es-CR"/>
              </w:rPr>
              <w:t>Tribunal de Flagrancia de Liberia</w:t>
            </w:r>
          </w:p>
        </w:tc>
        <w:tc>
          <w:tcPr>
            <w:tcW w:w="2129" w:type="dxa"/>
            <w:tcBorders>
              <w:top w:val="nil"/>
              <w:left w:val="nil"/>
              <w:bottom w:val="single" w:sz="4" w:space="0" w:color="808080"/>
              <w:right w:val="single" w:sz="4" w:space="0" w:color="808080"/>
            </w:tcBorders>
            <w:shd w:val="clear" w:color="auto" w:fill="auto"/>
            <w:noWrap/>
            <w:vAlign w:val="center"/>
            <w:hideMark/>
          </w:tcPr>
          <w:p w14:paraId="6BAEEDFD" w14:textId="77777777" w:rsidR="001C37D6" w:rsidRPr="00B71607" w:rsidRDefault="001C37D6" w:rsidP="001C37D6">
            <w:pPr>
              <w:jc w:val="center"/>
              <w:rPr>
                <w:rFonts w:ascii="Book Antiqua" w:hAnsi="Book Antiqua" w:cs="Calibri"/>
                <w:color w:val="000000"/>
                <w:sz w:val="16"/>
                <w:szCs w:val="16"/>
                <w:lang w:eastAsia="es-CR"/>
              </w:rPr>
            </w:pPr>
            <w:r w:rsidRPr="00B71607">
              <w:rPr>
                <w:rFonts w:ascii="Book Antiqua" w:hAnsi="Book Antiqua" w:cs="Calibri"/>
                <w:color w:val="000000"/>
                <w:sz w:val="16"/>
                <w:szCs w:val="16"/>
                <w:lang w:eastAsia="es-CR"/>
              </w:rPr>
              <w:t>111%</w:t>
            </w:r>
          </w:p>
        </w:tc>
        <w:tc>
          <w:tcPr>
            <w:tcW w:w="2835" w:type="dxa"/>
            <w:tcBorders>
              <w:top w:val="nil"/>
              <w:left w:val="nil"/>
              <w:bottom w:val="single" w:sz="4" w:space="0" w:color="808080"/>
              <w:right w:val="single" w:sz="4" w:space="0" w:color="808080"/>
            </w:tcBorders>
            <w:shd w:val="clear" w:color="auto" w:fill="auto"/>
            <w:noWrap/>
            <w:vAlign w:val="center"/>
            <w:hideMark/>
          </w:tcPr>
          <w:p w14:paraId="30ECF986" w14:textId="77777777" w:rsidR="001C37D6" w:rsidRPr="00B71607" w:rsidRDefault="001C37D6" w:rsidP="001C37D6">
            <w:pPr>
              <w:jc w:val="center"/>
              <w:rPr>
                <w:rFonts w:ascii="Book Antiqua" w:hAnsi="Book Antiqua" w:cs="Calibri"/>
                <w:color w:val="000000"/>
                <w:sz w:val="16"/>
                <w:szCs w:val="16"/>
                <w:lang w:eastAsia="es-CR"/>
              </w:rPr>
            </w:pPr>
            <w:r w:rsidRPr="00B71607">
              <w:rPr>
                <w:rFonts w:ascii="Book Antiqua" w:hAnsi="Book Antiqua" w:cs="Calibri"/>
                <w:color w:val="000000"/>
                <w:sz w:val="16"/>
                <w:szCs w:val="16"/>
                <w:lang w:eastAsia="es-CR"/>
              </w:rPr>
              <w:t>116%</w:t>
            </w:r>
          </w:p>
        </w:tc>
      </w:tr>
      <w:tr w:rsidR="001C37D6" w:rsidRPr="00B71607" w14:paraId="05496612" w14:textId="77777777" w:rsidTr="00B71607">
        <w:trPr>
          <w:trHeight w:val="290"/>
          <w:jc w:val="center"/>
        </w:trPr>
        <w:tc>
          <w:tcPr>
            <w:tcW w:w="3395" w:type="dxa"/>
            <w:tcBorders>
              <w:top w:val="nil"/>
              <w:left w:val="single" w:sz="4" w:space="0" w:color="808080"/>
              <w:bottom w:val="single" w:sz="4" w:space="0" w:color="808080"/>
              <w:right w:val="single" w:sz="4" w:space="0" w:color="808080"/>
            </w:tcBorders>
            <w:shd w:val="clear" w:color="auto" w:fill="auto"/>
            <w:noWrap/>
            <w:vAlign w:val="center"/>
            <w:hideMark/>
          </w:tcPr>
          <w:p w14:paraId="7BA95581" w14:textId="77777777" w:rsidR="001C37D6" w:rsidRPr="00B71607" w:rsidRDefault="001C37D6" w:rsidP="001C37D6">
            <w:pPr>
              <w:rPr>
                <w:rFonts w:ascii="Book Antiqua" w:hAnsi="Book Antiqua" w:cs="Calibri"/>
                <w:color w:val="000000"/>
                <w:sz w:val="16"/>
                <w:szCs w:val="16"/>
                <w:lang w:eastAsia="es-CR"/>
              </w:rPr>
            </w:pPr>
            <w:r w:rsidRPr="00B71607">
              <w:rPr>
                <w:rFonts w:ascii="Book Antiqua" w:hAnsi="Book Antiqua" w:cs="Calibri"/>
                <w:color w:val="000000"/>
                <w:sz w:val="16"/>
                <w:szCs w:val="16"/>
                <w:lang w:eastAsia="es-CR"/>
              </w:rPr>
              <w:t>Tribunal de Flagrancia de San Carlos</w:t>
            </w:r>
          </w:p>
        </w:tc>
        <w:tc>
          <w:tcPr>
            <w:tcW w:w="2129" w:type="dxa"/>
            <w:tcBorders>
              <w:top w:val="nil"/>
              <w:left w:val="nil"/>
              <w:bottom w:val="single" w:sz="4" w:space="0" w:color="808080"/>
              <w:right w:val="single" w:sz="4" w:space="0" w:color="808080"/>
            </w:tcBorders>
            <w:shd w:val="clear" w:color="auto" w:fill="auto"/>
            <w:noWrap/>
            <w:vAlign w:val="center"/>
            <w:hideMark/>
          </w:tcPr>
          <w:p w14:paraId="2A42431B" w14:textId="77777777" w:rsidR="001C37D6" w:rsidRPr="00B71607" w:rsidRDefault="001C37D6" w:rsidP="001C37D6">
            <w:pPr>
              <w:jc w:val="center"/>
              <w:rPr>
                <w:rFonts w:ascii="Book Antiqua" w:hAnsi="Book Antiqua" w:cs="Calibri"/>
                <w:color w:val="000000"/>
                <w:sz w:val="16"/>
                <w:szCs w:val="16"/>
                <w:lang w:eastAsia="es-CR"/>
              </w:rPr>
            </w:pPr>
            <w:r w:rsidRPr="00B71607">
              <w:rPr>
                <w:rFonts w:ascii="Book Antiqua" w:hAnsi="Book Antiqua" w:cs="Calibri"/>
                <w:color w:val="000000"/>
                <w:sz w:val="16"/>
                <w:szCs w:val="16"/>
                <w:lang w:eastAsia="es-CR"/>
              </w:rPr>
              <w:t>109%</w:t>
            </w:r>
          </w:p>
        </w:tc>
        <w:tc>
          <w:tcPr>
            <w:tcW w:w="2835" w:type="dxa"/>
            <w:tcBorders>
              <w:top w:val="nil"/>
              <w:left w:val="nil"/>
              <w:bottom w:val="single" w:sz="4" w:space="0" w:color="808080"/>
              <w:right w:val="single" w:sz="4" w:space="0" w:color="808080"/>
            </w:tcBorders>
            <w:shd w:val="clear" w:color="auto" w:fill="auto"/>
            <w:noWrap/>
            <w:vAlign w:val="center"/>
            <w:hideMark/>
          </w:tcPr>
          <w:p w14:paraId="4B15256B" w14:textId="77777777" w:rsidR="001C37D6" w:rsidRPr="00B71607" w:rsidRDefault="001C37D6" w:rsidP="001C37D6">
            <w:pPr>
              <w:jc w:val="center"/>
              <w:rPr>
                <w:rFonts w:ascii="Book Antiqua" w:hAnsi="Book Antiqua" w:cs="Calibri"/>
                <w:color w:val="000000"/>
                <w:sz w:val="16"/>
                <w:szCs w:val="16"/>
                <w:lang w:eastAsia="es-CR"/>
              </w:rPr>
            </w:pPr>
            <w:r w:rsidRPr="00B71607">
              <w:rPr>
                <w:rFonts w:ascii="Book Antiqua" w:hAnsi="Book Antiqua" w:cs="Calibri"/>
                <w:color w:val="000000"/>
                <w:sz w:val="16"/>
                <w:szCs w:val="16"/>
                <w:lang w:eastAsia="es-CR"/>
              </w:rPr>
              <w:t>109%</w:t>
            </w:r>
          </w:p>
        </w:tc>
      </w:tr>
      <w:tr w:rsidR="001C37D6" w:rsidRPr="00B71607" w14:paraId="2B93BD6E" w14:textId="77777777" w:rsidTr="00B71607">
        <w:trPr>
          <w:trHeight w:val="290"/>
          <w:jc w:val="center"/>
        </w:trPr>
        <w:tc>
          <w:tcPr>
            <w:tcW w:w="3395" w:type="dxa"/>
            <w:tcBorders>
              <w:top w:val="nil"/>
              <w:left w:val="single" w:sz="4" w:space="0" w:color="808080"/>
              <w:bottom w:val="single" w:sz="4" w:space="0" w:color="808080"/>
              <w:right w:val="single" w:sz="4" w:space="0" w:color="808080"/>
            </w:tcBorders>
            <w:shd w:val="clear" w:color="auto" w:fill="auto"/>
            <w:noWrap/>
            <w:vAlign w:val="center"/>
            <w:hideMark/>
          </w:tcPr>
          <w:p w14:paraId="6BDD7F1A" w14:textId="324C2781" w:rsidR="001C37D6" w:rsidRPr="00B71607" w:rsidRDefault="001C37D6" w:rsidP="001C37D6">
            <w:pPr>
              <w:rPr>
                <w:rFonts w:ascii="Book Antiqua" w:hAnsi="Book Antiqua" w:cs="Calibri"/>
                <w:color w:val="000000"/>
                <w:sz w:val="16"/>
                <w:szCs w:val="16"/>
                <w:lang w:eastAsia="es-CR"/>
              </w:rPr>
            </w:pPr>
            <w:r w:rsidRPr="00B71607">
              <w:rPr>
                <w:rFonts w:ascii="Book Antiqua" w:hAnsi="Book Antiqua" w:cs="Calibri"/>
                <w:color w:val="000000"/>
                <w:sz w:val="16"/>
                <w:szCs w:val="16"/>
                <w:lang w:eastAsia="es-CR"/>
              </w:rPr>
              <w:t>Tribunal de Flagrancia de Heredia</w:t>
            </w:r>
          </w:p>
        </w:tc>
        <w:tc>
          <w:tcPr>
            <w:tcW w:w="2129" w:type="dxa"/>
            <w:tcBorders>
              <w:top w:val="nil"/>
              <w:left w:val="nil"/>
              <w:bottom w:val="single" w:sz="4" w:space="0" w:color="808080"/>
              <w:right w:val="single" w:sz="4" w:space="0" w:color="808080"/>
            </w:tcBorders>
            <w:shd w:val="clear" w:color="auto" w:fill="auto"/>
            <w:noWrap/>
            <w:vAlign w:val="center"/>
            <w:hideMark/>
          </w:tcPr>
          <w:p w14:paraId="2B61FBFD" w14:textId="77777777" w:rsidR="001C37D6" w:rsidRPr="00B71607" w:rsidRDefault="001C37D6" w:rsidP="001C37D6">
            <w:pPr>
              <w:jc w:val="center"/>
              <w:rPr>
                <w:rFonts w:ascii="Book Antiqua" w:hAnsi="Book Antiqua" w:cs="Calibri"/>
                <w:color w:val="000000"/>
                <w:sz w:val="16"/>
                <w:szCs w:val="16"/>
                <w:lang w:eastAsia="es-CR"/>
              </w:rPr>
            </w:pPr>
            <w:r w:rsidRPr="00B71607">
              <w:rPr>
                <w:rFonts w:ascii="Book Antiqua" w:hAnsi="Book Antiqua" w:cs="Calibri"/>
                <w:color w:val="000000"/>
                <w:sz w:val="16"/>
                <w:szCs w:val="16"/>
                <w:lang w:eastAsia="es-CR"/>
              </w:rPr>
              <w:t>93%</w:t>
            </w:r>
          </w:p>
        </w:tc>
        <w:tc>
          <w:tcPr>
            <w:tcW w:w="2835" w:type="dxa"/>
            <w:tcBorders>
              <w:top w:val="nil"/>
              <w:left w:val="nil"/>
              <w:bottom w:val="single" w:sz="4" w:space="0" w:color="808080"/>
              <w:right w:val="single" w:sz="4" w:space="0" w:color="808080"/>
            </w:tcBorders>
            <w:shd w:val="clear" w:color="auto" w:fill="auto"/>
            <w:noWrap/>
            <w:vAlign w:val="center"/>
            <w:hideMark/>
          </w:tcPr>
          <w:p w14:paraId="690CCFFB" w14:textId="77777777" w:rsidR="001C37D6" w:rsidRPr="00B71607" w:rsidRDefault="001C37D6" w:rsidP="001C37D6">
            <w:pPr>
              <w:jc w:val="center"/>
              <w:rPr>
                <w:rFonts w:ascii="Book Antiqua" w:hAnsi="Book Antiqua" w:cs="Calibri"/>
                <w:color w:val="000000"/>
                <w:sz w:val="16"/>
                <w:szCs w:val="16"/>
                <w:lang w:eastAsia="es-CR"/>
              </w:rPr>
            </w:pPr>
            <w:r w:rsidRPr="00B71607">
              <w:rPr>
                <w:rFonts w:ascii="Book Antiqua" w:hAnsi="Book Antiqua" w:cs="Calibri"/>
                <w:color w:val="000000"/>
                <w:sz w:val="16"/>
                <w:szCs w:val="16"/>
                <w:lang w:eastAsia="es-CR"/>
              </w:rPr>
              <w:t>93%</w:t>
            </w:r>
          </w:p>
        </w:tc>
      </w:tr>
      <w:tr w:rsidR="001C37D6" w:rsidRPr="00B71607" w14:paraId="25C46C2B" w14:textId="77777777" w:rsidTr="00B71607">
        <w:trPr>
          <w:trHeight w:val="290"/>
          <w:jc w:val="center"/>
        </w:trPr>
        <w:tc>
          <w:tcPr>
            <w:tcW w:w="3395" w:type="dxa"/>
            <w:tcBorders>
              <w:top w:val="nil"/>
              <w:left w:val="single" w:sz="4" w:space="0" w:color="808080"/>
              <w:bottom w:val="single" w:sz="4" w:space="0" w:color="808080"/>
              <w:right w:val="single" w:sz="4" w:space="0" w:color="808080"/>
            </w:tcBorders>
            <w:shd w:val="clear" w:color="auto" w:fill="auto"/>
            <w:noWrap/>
            <w:vAlign w:val="center"/>
            <w:hideMark/>
          </w:tcPr>
          <w:p w14:paraId="5DD6F85B" w14:textId="77777777" w:rsidR="001C37D6" w:rsidRPr="00B71607" w:rsidRDefault="001C37D6" w:rsidP="001C37D6">
            <w:pPr>
              <w:rPr>
                <w:rFonts w:ascii="Book Antiqua" w:hAnsi="Book Antiqua" w:cs="Calibri"/>
                <w:color w:val="000000"/>
                <w:sz w:val="16"/>
                <w:szCs w:val="16"/>
                <w:lang w:eastAsia="es-CR"/>
              </w:rPr>
            </w:pPr>
            <w:r w:rsidRPr="00B71607">
              <w:rPr>
                <w:rFonts w:ascii="Book Antiqua" w:hAnsi="Book Antiqua" w:cs="Calibri"/>
                <w:color w:val="000000"/>
                <w:sz w:val="16"/>
                <w:szCs w:val="16"/>
                <w:lang w:eastAsia="es-CR"/>
              </w:rPr>
              <w:t>Tribunal de Flagrancia de Pococí</w:t>
            </w:r>
          </w:p>
        </w:tc>
        <w:tc>
          <w:tcPr>
            <w:tcW w:w="2129" w:type="dxa"/>
            <w:tcBorders>
              <w:top w:val="nil"/>
              <w:left w:val="nil"/>
              <w:bottom w:val="single" w:sz="4" w:space="0" w:color="808080"/>
              <w:right w:val="single" w:sz="4" w:space="0" w:color="808080"/>
            </w:tcBorders>
            <w:shd w:val="clear" w:color="auto" w:fill="auto"/>
            <w:noWrap/>
            <w:vAlign w:val="center"/>
            <w:hideMark/>
          </w:tcPr>
          <w:p w14:paraId="1B029B45" w14:textId="77777777" w:rsidR="001C37D6" w:rsidRPr="00B71607" w:rsidRDefault="001C37D6" w:rsidP="001C37D6">
            <w:pPr>
              <w:jc w:val="center"/>
              <w:rPr>
                <w:rFonts w:ascii="Book Antiqua" w:hAnsi="Book Antiqua" w:cs="Calibri"/>
                <w:color w:val="000000"/>
                <w:sz w:val="16"/>
                <w:szCs w:val="16"/>
                <w:lang w:eastAsia="es-CR"/>
              </w:rPr>
            </w:pPr>
            <w:r w:rsidRPr="00B71607">
              <w:rPr>
                <w:rFonts w:ascii="Book Antiqua" w:hAnsi="Book Antiqua" w:cs="Calibri"/>
                <w:color w:val="000000"/>
                <w:sz w:val="16"/>
                <w:szCs w:val="16"/>
                <w:lang w:eastAsia="es-CR"/>
              </w:rPr>
              <w:t>81%</w:t>
            </w:r>
          </w:p>
        </w:tc>
        <w:tc>
          <w:tcPr>
            <w:tcW w:w="2835" w:type="dxa"/>
            <w:tcBorders>
              <w:top w:val="nil"/>
              <w:left w:val="nil"/>
              <w:bottom w:val="single" w:sz="4" w:space="0" w:color="808080"/>
              <w:right w:val="single" w:sz="4" w:space="0" w:color="808080"/>
            </w:tcBorders>
            <w:shd w:val="clear" w:color="auto" w:fill="auto"/>
            <w:noWrap/>
            <w:vAlign w:val="center"/>
            <w:hideMark/>
          </w:tcPr>
          <w:p w14:paraId="4E0B623C" w14:textId="77777777" w:rsidR="001C37D6" w:rsidRPr="00B71607" w:rsidRDefault="001C37D6" w:rsidP="001C37D6">
            <w:pPr>
              <w:jc w:val="center"/>
              <w:rPr>
                <w:rFonts w:ascii="Book Antiqua" w:hAnsi="Book Antiqua" w:cs="Calibri"/>
                <w:color w:val="000000"/>
                <w:sz w:val="16"/>
                <w:szCs w:val="16"/>
                <w:lang w:eastAsia="es-CR"/>
              </w:rPr>
            </w:pPr>
            <w:r w:rsidRPr="00B71607">
              <w:rPr>
                <w:rFonts w:ascii="Book Antiqua" w:hAnsi="Book Antiqua" w:cs="Calibri"/>
                <w:color w:val="000000"/>
                <w:sz w:val="16"/>
                <w:szCs w:val="16"/>
                <w:lang w:eastAsia="es-CR"/>
              </w:rPr>
              <w:t>91%</w:t>
            </w:r>
          </w:p>
        </w:tc>
      </w:tr>
      <w:tr w:rsidR="001C37D6" w:rsidRPr="00B71607" w14:paraId="69703FD5" w14:textId="77777777" w:rsidTr="00B71607">
        <w:trPr>
          <w:trHeight w:val="290"/>
          <w:jc w:val="center"/>
        </w:trPr>
        <w:tc>
          <w:tcPr>
            <w:tcW w:w="3395" w:type="dxa"/>
            <w:tcBorders>
              <w:top w:val="nil"/>
              <w:left w:val="single" w:sz="4" w:space="0" w:color="808080"/>
              <w:bottom w:val="single" w:sz="4" w:space="0" w:color="808080"/>
              <w:right w:val="single" w:sz="4" w:space="0" w:color="808080"/>
            </w:tcBorders>
            <w:shd w:val="clear" w:color="auto" w:fill="auto"/>
            <w:noWrap/>
            <w:vAlign w:val="center"/>
            <w:hideMark/>
          </w:tcPr>
          <w:p w14:paraId="7B767553" w14:textId="77777777" w:rsidR="001C37D6" w:rsidRPr="00B71607" w:rsidRDefault="001C37D6" w:rsidP="001C37D6">
            <w:pPr>
              <w:rPr>
                <w:rFonts w:ascii="Book Antiqua" w:hAnsi="Book Antiqua" w:cs="Calibri"/>
                <w:color w:val="000000"/>
                <w:sz w:val="16"/>
                <w:szCs w:val="16"/>
                <w:lang w:eastAsia="es-CR"/>
              </w:rPr>
            </w:pPr>
            <w:r w:rsidRPr="00B71607">
              <w:rPr>
                <w:rFonts w:ascii="Book Antiqua" w:hAnsi="Book Antiqua" w:cs="Calibri"/>
                <w:color w:val="000000"/>
                <w:sz w:val="16"/>
                <w:szCs w:val="16"/>
                <w:lang w:eastAsia="es-CR"/>
              </w:rPr>
              <w:t>Tribunal de Flagrancia de Santa Cruz</w:t>
            </w:r>
          </w:p>
        </w:tc>
        <w:tc>
          <w:tcPr>
            <w:tcW w:w="2129" w:type="dxa"/>
            <w:tcBorders>
              <w:top w:val="nil"/>
              <w:left w:val="nil"/>
              <w:bottom w:val="single" w:sz="4" w:space="0" w:color="808080"/>
              <w:right w:val="single" w:sz="4" w:space="0" w:color="808080"/>
            </w:tcBorders>
            <w:shd w:val="clear" w:color="auto" w:fill="auto"/>
            <w:noWrap/>
            <w:vAlign w:val="center"/>
            <w:hideMark/>
          </w:tcPr>
          <w:p w14:paraId="0A7FEAD7" w14:textId="77777777" w:rsidR="001C37D6" w:rsidRPr="00B71607" w:rsidRDefault="001C37D6" w:rsidP="001C37D6">
            <w:pPr>
              <w:jc w:val="center"/>
              <w:rPr>
                <w:rFonts w:ascii="Book Antiqua" w:hAnsi="Book Antiqua" w:cs="Calibri"/>
                <w:color w:val="000000"/>
                <w:sz w:val="16"/>
                <w:szCs w:val="16"/>
                <w:lang w:eastAsia="es-CR"/>
              </w:rPr>
            </w:pPr>
            <w:r w:rsidRPr="00B71607">
              <w:rPr>
                <w:rFonts w:ascii="Book Antiqua" w:hAnsi="Book Antiqua" w:cs="Calibri"/>
                <w:color w:val="000000"/>
                <w:sz w:val="16"/>
                <w:szCs w:val="16"/>
                <w:lang w:eastAsia="es-CR"/>
              </w:rPr>
              <w:t>86%</w:t>
            </w:r>
          </w:p>
        </w:tc>
        <w:tc>
          <w:tcPr>
            <w:tcW w:w="2835" w:type="dxa"/>
            <w:tcBorders>
              <w:top w:val="nil"/>
              <w:left w:val="nil"/>
              <w:bottom w:val="single" w:sz="4" w:space="0" w:color="808080"/>
              <w:right w:val="single" w:sz="4" w:space="0" w:color="808080"/>
            </w:tcBorders>
            <w:shd w:val="clear" w:color="auto" w:fill="auto"/>
            <w:noWrap/>
            <w:vAlign w:val="center"/>
            <w:hideMark/>
          </w:tcPr>
          <w:p w14:paraId="6860ECFB" w14:textId="77777777" w:rsidR="001C37D6" w:rsidRPr="00B71607" w:rsidRDefault="001C37D6" w:rsidP="001C37D6">
            <w:pPr>
              <w:jc w:val="center"/>
              <w:rPr>
                <w:rFonts w:ascii="Book Antiqua" w:hAnsi="Book Antiqua" w:cs="Calibri"/>
                <w:color w:val="000000"/>
                <w:sz w:val="16"/>
                <w:szCs w:val="16"/>
                <w:lang w:eastAsia="es-CR"/>
              </w:rPr>
            </w:pPr>
            <w:r w:rsidRPr="00B71607">
              <w:rPr>
                <w:rFonts w:ascii="Book Antiqua" w:hAnsi="Book Antiqua" w:cs="Calibri"/>
                <w:color w:val="000000"/>
                <w:sz w:val="16"/>
                <w:szCs w:val="16"/>
                <w:lang w:eastAsia="es-CR"/>
              </w:rPr>
              <w:t>86%</w:t>
            </w:r>
          </w:p>
        </w:tc>
      </w:tr>
      <w:tr w:rsidR="001C37D6" w:rsidRPr="00B71607" w14:paraId="3AA53CB2" w14:textId="77777777" w:rsidTr="00B71607">
        <w:trPr>
          <w:trHeight w:val="290"/>
          <w:jc w:val="center"/>
        </w:trPr>
        <w:tc>
          <w:tcPr>
            <w:tcW w:w="3395" w:type="dxa"/>
            <w:tcBorders>
              <w:top w:val="nil"/>
              <w:left w:val="single" w:sz="4" w:space="0" w:color="808080"/>
              <w:bottom w:val="single" w:sz="4" w:space="0" w:color="808080"/>
              <w:right w:val="single" w:sz="4" w:space="0" w:color="808080"/>
            </w:tcBorders>
            <w:shd w:val="clear" w:color="auto" w:fill="auto"/>
            <w:noWrap/>
            <w:vAlign w:val="center"/>
            <w:hideMark/>
          </w:tcPr>
          <w:p w14:paraId="124DC8BD" w14:textId="77777777" w:rsidR="001C37D6" w:rsidRPr="00B71607" w:rsidRDefault="001C37D6" w:rsidP="001C37D6">
            <w:pPr>
              <w:rPr>
                <w:rFonts w:ascii="Book Antiqua" w:hAnsi="Book Antiqua" w:cs="Calibri"/>
                <w:color w:val="000000"/>
                <w:sz w:val="16"/>
                <w:szCs w:val="16"/>
                <w:lang w:eastAsia="es-CR"/>
              </w:rPr>
            </w:pPr>
            <w:r w:rsidRPr="00B71607">
              <w:rPr>
                <w:rFonts w:ascii="Book Antiqua" w:hAnsi="Book Antiqua" w:cs="Calibri"/>
                <w:color w:val="000000"/>
                <w:sz w:val="16"/>
                <w:szCs w:val="16"/>
                <w:lang w:eastAsia="es-CR"/>
              </w:rPr>
              <w:t>Tribunal de Flagrancia de Puntarenas</w:t>
            </w:r>
          </w:p>
        </w:tc>
        <w:tc>
          <w:tcPr>
            <w:tcW w:w="2129" w:type="dxa"/>
            <w:tcBorders>
              <w:top w:val="nil"/>
              <w:left w:val="nil"/>
              <w:bottom w:val="single" w:sz="4" w:space="0" w:color="808080"/>
              <w:right w:val="single" w:sz="4" w:space="0" w:color="808080"/>
            </w:tcBorders>
            <w:shd w:val="clear" w:color="auto" w:fill="auto"/>
            <w:noWrap/>
            <w:vAlign w:val="center"/>
            <w:hideMark/>
          </w:tcPr>
          <w:p w14:paraId="4D1AC5E3" w14:textId="77777777" w:rsidR="001C37D6" w:rsidRPr="00B71607" w:rsidRDefault="001C37D6" w:rsidP="001C37D6">
            <w:pPr>
              <w:jc w:val="center"/>
              <w:rPr>
                <w:rFonts w:ascii="Book Antiqua" w:hAnsi="Book Antiqua" w:cs="Calibri"/>
                <w:color w:val="000000"/>
                <w:sz w:val="16"/>
                <w:szCs w:val="16"/>
                <w:lang w:eastAsia="es-CR"/>
              </w:rPr>
            </w:pPr>
            <w:r w:rsidRPr="00B71607">
              <w:rPr>
                <w:rFonts w:ascii="Book Antiqua" w:hAnsi="Book Antiqua" w:cs="Calibri"/>
                <w:color w:val="000000"/>
                <w:sz w:val="16"/>
                <w:szCs w:val="16"/>
                <w:lang w:eastAsia="es-CR"/>
              </w:rPr>
              <w:t>62%</w:t>
            </w:r>
          </w:p>
        </w:tc>
        <w:tc>
          <w:tcPr>
            <w:tcW w:w="2835" w:type="dxa"/>
            <w:tcBorders>
              <w:top w:val="nil"/>
              <w:left w:val="nil"/>
              <w:bottom w:val="single" w:sz="4" w:space="0" w:color="808080"/>
              <w:right w:val="single" w:sz="4" w:space="0" w:color="808080"/>
            </w:tcBorders>
            <w:shd w:val="clear" w:color="auto" w:fill="auto"/>
            <w:noWrap/>
            <w:vAlign w:val="center"/>
            <w:hideMark/>
          </w:tcPr>
          <w:p w14:paraId="17267D65" w14:textId="77777777" w:rsidR="001C37D6" w:rsidRPr="00B71607" w:rsidRDefault="001C37D6" w:rsidP="001C37D6">
            <w:pPr>
              <w:jc w:val="center"/>
              <w:rPr>
                <w:rFonts w:ascii="Book Antiqua" w:hAnsi="Book Antiqua" w:cs="Calibri"/>
                <w:color w:val="000000"/>
                <w:sz w:val="16"/>
                <w:szCs w:val="16"/>
                <w:lang w:eastAsia="es-CR"/>
              </w:rPr>
            </w:pPr>
            <w:r w:rsidRPr="00B71607">
              <w:rPr>
                <w:rFonts w:ascii="Book Antiqua" w:hAnsi="Book Antiqua" w:cs="Calibri"/>
                <w:color w:val="000000"/>
                <w:sz w:val="16"/>
                <w:szCs w:val="16"/>
                <w:lang w:eastAsia="es-CR"/>
              </w:rPr>
              <w:t>69%</w:t>
            </w:r>
          </w:p>
        </w:tc>
      </w:tr>
      <w:tr w:rsidR="001C37D6" w:rsidRPr="00B71607" w14:paraId="25CB6AA1" w14:textId="77777777" w:rsidTr="00B71607">
        <w:trPr>
          <w:trHeight w:val="290"/>
          <w:jc w:val="center"/>
        </w:trPr>
        <w:tc>
          <w:tcPr>
            <w:tcW w:w="3395" w:type="dxa"/>
            <w:tcBorders>
              <w:top w:val="nil"/>
              <w:left w:val="single" w:sz="4" w:space="0" w:color="808080"/>
              <w:bottom w:val="single" w:sz="4" w:space="0" w:color="808080"/>
              <w:right w:val="single" w:sz="4" w:space="0" w:color="808080"/>
            </w:tcBorders>
            <w:shd w:val="clear" w:color="auto" w:fill="auto"/>
            <w:noWrap/>
            <w:vAlign w:val="center"/>
            <w:hideMark/>
          </w:tcPr>
          <w:p w14:paraId="70164A8F" w14:textId="77777777" w:rsidR="001C37D6" w:rsidRPr="00B71607" w:rsidRDefault="001C37D6" w:rsidP="001C37D6">
            <w:pPr>
              <w:rPr>
                <w:rFonts w:ascii="Book Antiqua" w:hAnsi="Book Antiqua" w:cs="Calibri"/>
                <w:color w:val="000000"/>
                <w:sz w:val="16"/>
                <w:szCs w:val="16"/>
                <w:lang w:eastAsia="es-CR"/>
              </w:rPr>
            </w:pPr>
            <w:r w:rsidRPr="00B71607">
              <w:rPr>
                <w:rFonts w:ascii="Book Antiqua" w:hAnsi="Book Antiqua" w:cs="Calibri"/>
                <w:color w:val="000000"/>
                <w:sz w:val="16"/>
                <w:szCs w:val="16"/>
                <w:lang w:eastAsia="es-CR"/>
              </w:rPr>
              <w:t>Tribunal de Flagrancia de Corredores</w:t>
            </w:r>
          </w:p>
        </w:tc>
        <w:tc>
          <w:tcPr>
            <w:tcW w:w="2129" w:type="dxa"/>
            <w:tcBorders>
              <w:top w:val="nil"/>
              <w:left w:val="nil"/>
              <w:bottom w:val="single" w:sz="4" w:space="0" w:color="808080"/>
              <w:right w:val="single" w:sz="4" w:space="0" w:color="808080"/>
            </w:tcBorders>
            <w:shd w:val="clear" w:color="auto" w:fill="auto"/>
            <w:noWrap/>
            <w:vAlign w:val="center"/>
            <w:hideMark/>
          </w:tcPr>
          <w:p w14:paraId="22373E3F" w14:textId="77777777" w:rsidR="001C37D6" w:rsidRPr="00B71607" w:rsidRDefault="001C37D6" w:rsidP="001C37D6">
            <w:pPr>
              <w:jc w:val="center"/>
              <w:rPr>
                <w:rFonts w:ascii="Book Antiqua" w:hAnsi="Book Antiqua" w:cs="Calibri"/>
                <w:color w:val="000000"/>
                <w:sz w:val="16"/>
                <w:szCs w:val="16"/>
                <w:lang w:eastAsia="es-CR"/>
              </w:rPr>
            </w:pPr>
            <w:r w:rsidRPr="00B71607">
              <w:rPr>
                <w:rFonts w:ascii="Book Antiqua" w:hAnsi="Book Antiqua" w:cs="Calibri"/>
                <w:color w:val="000000"/>
                <w:sz w:val="16"/>
                <w:szCs w:val="16"/>
                <w:lang w:eastAsia="es-CR"/>
              </w:rPr>
              <w:t>59%</w:t>
            </w:r>
          </w:p>
        </w:tc>
        <w:tc>
          <w:tcPr>
            <w:tcW w:w="2835" w:type="dxa"/>
            <w:tcBorders>
              <w:top w:val="nil"/>
              <w:left w:val="nil"/>
              <w:bottom w:val="single" w:sz="4" w:space="0" w:color="808080"/>
              <w:right w:val="single" w:sz="4" w:space="0" w:color="808080"/>
            </w:tcBorders>
            <w:shd w:val="clear" w:color="auto" w:fill="auto"/>
            <w:noWrap/>
            <w:vAlign w:val="center"/>
            <w:hideMark/>
          </w:tcPr>
          <w:p w14:paraId="3C5BB8C0" w14:textId="77777777" w:rsidR="001C37D6" w:rsidRPr="00B71607" w:rsidRDefault="001C37D6" w:rsidP="001C37D6">
            <w:pPr>
              <w:jc w:val="center"/>
              <w:rPr>
                <w:rFonts w:ascii="Book Antiqua" w:hAnsi="Book Antiqua" w:cs="Calibri"/>
                <w:color w:val="000000"/>
                <w:sz w:val="16"/>
                <w:szCs w:val="16"/>
                <w:lang w:eastAsia="es-CR"/>
              </w:rPr>
            </w:pPr>
            <w:r w:rsidRPr="00B71607">
              <w:rPr>
                <w:rFonts w:ascii="Book Antiqua" w:hAnsi="Book Antiqua" w:cs="Calibri"/>
                <w:color w:val="000000"/>
                <w:sz w:val="16"/>
                <w:szCs w:val="16"/>
                <w:lang w:eastAsia="es-CR"/>
              </w:rPr>
              <w:t>63%</w:t>
            </w:r>
          </w:p>
        </w:tc>
      </w:tr>
      <w:tr w:rsidR="001C37D6" w:rsidRPr="00B71607" w14:paraId="443D2724" w14:textId="77777777" w:rsidTr="00B71607">
        <w:trPr>
          <w:trHeight w:val="290"/>
          <w:jc w:val="center"/>
        </w:trPr>
        <w:tc>
          <w:tcPr>
            <w:tcW w:w="3395" w:type="dxa"/>
            <w:tcBorders>
              <w:top w:val="nil"/>
              <w:left w:val="single" w:sz="4" w:space="0" w:color="808080"/>
              <w:bottom w:val="single" w:sz="4" w:space="0" w:color="808080"/>
              <w:right w:val="single" w:sz="4" w:space="0" w:color="808080"/>
            </w:tcBorders>
            <w:shd w:val="clear" w:color="auto" w:fill="auto"/>
            <w:noWrap/>
            <w:vAlign w:val="center"/>
            <w:hideMark/>
          </w:tcPr>
          <w:p w14:paraId="07C663E8" w14:textId="77777777" w:rsidR="001C37D6" w:rsidRPr="00B71607" w:rsidRDefault="001C37D6" w:rsidP="001C37D6">
            <w:pPr>
              <w:rPr>
                <w:rFonts w:ascii="Book Antiqua" w:hAnsi="Book Antiqua" w:cs="Calibri"/>
                <w:color w:val="000000"/>
                <w:sz w:val="16"/>
                <w:szCs w:val="16"/>
                <w:lang w:eastAsia="es-CR"/>
              </w:rPr>
            </w:pPr>
            <w:r w:rsidRPr="00B71607">
              <w:rPr>
                <w:rFonts w:ascii="Book Antiqua" w:hAnsi="Book Antiqua" w:cs="Calibri"/>
                <w:color w:val="000000"/>
                <w:sz w:val="16"/>
                <w:szCs w:val="16"/>
                <w:lang w:eastAsia="es-CR"/>
              </w:rPr>
              <w:t>Tribunal de Flagrancia de Pérez Zeledón</w:t>
            </w:r>
          </w:p>
        </w:tc>
        <w:tc>
          <w:tcPr>
            <w:tcW w:w="2129" w:type="dxa"/>
            <w:tcBorders>
              <w:top w:val="nil"/>
              <w:left w:val="nil"/>
              <w:bottom w:val="single" w:sz="4" w:space="0" w:color="808080"/>
              <w:right w:val="single" w:sz="4" w:space="0" w:color="808080"/>
            </w:tcBorders>
            <w:shd w:val="clear" w:color="auto" w:fill="auto"/>
            <w:noWrap/>
            <w:vAlign w:val="center"/>
            <w:hideMark/>
          </w:tcPr>
          <w:p w14:paraId="60F35E59" w14:textId="77777777" w:rsidR="001C37D6" w:rsidRPr="00B71607" w:rsidRDefault="001C37D6" w:rsidP="001C37D6">
            <w:pPr>
              <w:jc w:val="center"/>
              <w:rPr>
                <w:rFonts w:ascii="Book Antiqua" w:hAnsi="Book Antiqua" w:cs="Calibri"/>
                <w:color w:val="000000"/>
                <w:sz w:val="16"/>
                <w:szCs w:val="16"/>
                <w:lang w:eastAsia="es-CR"/>
              </w:rPr>
            </w:pPr>
            <w:r w:rsidRPr="00B71607">
              <w:rPr>
                <w:rFonts w:ascii="Book Antiqua" w:hAnsi="Book Antiqua" w:cs="Calibri"/>
                <w:color w:val="000000"/>
                <w:sz w:val="16"/>
                <w:szCs w:val="16"/>
                <w:lang w:eastAsia="es-CR"/>
              </w:rPr>
              <w:t>52%</w:t>
            </w:r>
          </w:p>
        </w:tc>
        <w:tc>
          <w:tcPr>
            <w:tcW w:w="2835" w:type="dxa"/>
            <w:tcBorders>
              <w:top w:val="nil"/>
              <w:left w:val="nil"/>
              <w:bottom w:val="single" w:sz="4" w:space="0" w:color="808080"/>
              <w:right w:val="single" w:sz="4" w:space="0" w:color="808080"/>
            </w:tcBorders>
            <w:shd w:val="clear" w:color="auto" w:fill="auto"/>
            <w:noWrap/>
            <w:vAlign w:val="center"/>
            <w:hideMark/>
          </w:tcPr>
          <w:p w14:paraId="73775678" w14:textId="77777777" w:rsidR="001C37D6" w:rsidRPr="00B71607" w:rsidRDefault="001C37D6" w:rsidP="001C37D6">
            <w:pPr>
              <w:jc w:val="center"/>
              <w:rPr>
                <w:rFonts w:ascii="Book Antiqua" w:hAnsi="Book Antiqua" w:cs="Calibri"/>
                <w:color w:val="000000"/>
                <w:sz w:val="16"/>
                <w:szCs w:val="16"/>
                <w:lang w:eastAsia="es-CR"/>
              </w:rPr>
            </w:pPr>
            <w:r w:rsidRPr="00B71607">
              <w:rPr>
                <w:rFonts w:ascii="Book Antiqua" w:hAnsi="Book Antiqua" w:cs="Calibri"/>
                <w:color w:val="000000"/>
                <w:sz w:val="16"/>
                <w:szCs w:val="16"/>
                <w:lang w:eastAsia="es-CR"/>
              </w:rPr>
              <w:t>55%</w:t>
            </w:r>
          </w:p>
        </w:tc>
      </w:tr>
      <w:tr w:rsidR="001C37D6" w:rsidRPr="00B71607" w14:paraId="4C3E7796" w14:textId="77777777" w:rsidTr="00B71607">
        <w:trPr>
          <w:trHeight w:val="290"/>
          <w:jc w:val="center"/>
        </w:trPr>
        <w:tc>
          <w:tcPr>
            <w:tcW w:w="3395" w:type="dxa"/>
            <w:tcBorders>
              <w:top w:val="nil"/>
              <w:left w:val="single" w:sz="4" w:space="0" w:color="808080"/>
              <w:bottom w:val="single" w:sz="4" w:space="0" w:color="808080"/>
              <w:right w:val="single" w:sz="4" w:space="0" w:color="808080"/>
            </w:tcBorders>
            <w:shd w:val="clear" w:color="auto" w:fill="auto"/>
            <w:noWrap/>
            <w:vAlign w:val="center"/>
            <w:hideMark/>
          </w:tcPr>
          <w:p w14:paraId="79135921" w14:textId="77777777" w:rsidR="001C37D6" w:rsidRPr="00B71607" w:rsidRDefault="001C37D6" w:rsidP="001C37D6">
            <w:pPr>
              <w:rPr>
                <w:rFonts w:ascii="Book Antiqua" w:hAnsi="Book Antiqua" w:cs="Calibri"/>
                <w:color w:val="000000"/>
                <w:sz w:val="16"/>
                <w:szCs w:val="16"/>
                <w:lang w:eastAsia="es-CR"/>
              </w:rPr>
            </w:pPr>
            <w:r w:rsidRPr="00B71607">
              <w:rPr>
                <w:rFonts w:ascii="Book Antiqua" w:hAnsi="Book Antiqua" w:cs="Calibri"/>
                <w:color w:val="000000"/>
                <w:sz w:val="16"/>
                <w:szCs w:val="16"/>
                <w:lang w:eastAsia="es-CR"/>
              </w:rPr>
              <w:t>Tribunal de Flagrancia de Limón</w:t>
            </w:r>
          </w:p>
        </w:tc>
        <w:tc>
          <w:tcPr>
            <w:tcW w:w="2129" w:type="dxa"/>
            <w:tcBorders>
              <w:top w:val="nil"/>
              <w:left w:val="nil"/>
              <w:bottom w:val="single" w:sz="4" w:space="0" w:color="808080"/>
              <w:right w:val="single" w:sz="4" w:space="0" w:color="808080"/>
            </w:tcBorders>
            <w:shd w:val="clear" w:color="auto" w:fill="auto"/>
            <w:noWrap/>
            <w:vAlign w:val="center"/>
            <w:hideMark/>
          </w:tcPr>
          <w:p w14:paraId="764F4B02" w14:textId="77777777" w:rsidR="001C37D6" w:rsidRPr="00B71607" w:rsidRDefault="001C37D6" w:rsidP="001C37D6">
            <w:pPr>
              <w:jc w:val="center"/>
              <w:rPr>
                <w:rFonts w:ascii="Book Antiqua" w:hAnsi="Book Antiqua" w:cs="Calibri"/>
                <w:color w:val="000000"/>
                <w:sz w:val="16"/>
                <w:szCs w:val="16"/>
                <w:lang w:eastAsia="es-CR"/>
              </w:rPr>
            </w:pPr>
            <w:r w:rsidRPr="00B71607">
              <w:rPr>
                <w:rFonts w:ascii="Book Antiqua" w:hAnsi="Book Antiqua" w:cs="Calibri"/>
                <w:color w:val="000000"/>
                <w:sz w:val="16"/>
                <w:szCs w:val="16"/>
                <w:lang w:eastAsia="es-CR"/>
              </w:rPr>
              <w:t>39%</w:t>
            </w:r>
          </w:p>
        </w:tc>
        <w:tc>
          <w:tcPr>
            <w:tcW w:w="2835" w:type="dxa"/>
            <w:tcBorders>
              <w:top w:val="nil"/>
              <w:left w:val="nil"/>
              <w:bottom w:val="single" w:sz="4" w:space="0" w:color="808080"/>
              <w:right w:val="single" w:sz="4" w:space="0" w:color="808080"/>
            </w:tcBorders>
            <w:shd w:val="clear" w:color="auto" w:fill="auto"/>
            <w:noWrap/>
            <w:vAlign w:val="center"/>
            <w:hideMark/>
          </w:tcPr>
          <w:p w14:paraId="5AFD8E07" w14:textId="77777777" w:rsidR="001C37D6" w:rsidRPr="00B71607" w:rsidRDefault="001C37D6" w:rsidP="001C37D6">
            <w:pPr>
              <w:jc w:val="center"/>
              <w:rPr>
                <w:rFonts w:ascii="Book Antiqua" w:hAnsi="Book Antiqua" w:cs="Calibri"/>
                <w:color w:val="000000"/>
                <w:sz w:val="16"/>
                <w:szCs w:val="16"/>
                <w:lang w:eastAsia="es-CR"/>
              </w:rPr>
            </w:pPr>
            <w:r w:rsidRPr="00B71607">
              <w:rPr>
                <w:rFonts w:ascii="Book Antiqua" w:hAnsi="Book Antiqua" w:cs="Calibri"/>
                <w:color w:val="000000"/>
                <w:sz w:val="16"/>
                <w:szCs w:val="16"/>
                <w:lang w:eastAsia="es-CR"/>
              </w:rPr>
              <w:t>54%</w:t>
            </w:r>
          </w:p>
        </w:tc>
      </w:tr>
      <w:tr w:rsidR="001C37D6" w:rsidRPr="00B71607" w14:paraId="486D7117" w14:textId="77777777" w:rsidTr="00B71607">
        <w:trPr>
          <w:trHeight w:val="290"/>
          <w:jc w:val="center"/>
        </w:trPr>
        <w:tc>
          <w:tcPr>
            <w:tcW w:w="3395" w:type="dxa"/>
            <w:tcBorders>
              <w:top w:val="nil"/>
              <w:left w:val="single" w:sz="4" w:space="0" w:color="808080"/>
              <w:bottom w:val="single" w:sz="4" w:space="0" w:color="808080"/>
              <w:right w:val="single" w:sz="4" w:space="0" w:color="808080"/>
            </w:tcBorders>
            <w:shd w:val="clear" w:color="auto" w:fill="auto"/>
            <w:noWrap/>
            <w:vAlign w:val="center"/>
            <w:hideMark/>
          </w:tcPr>
          <w:p w14:paraId="137E958E" w14:textId="77777777" w:rsidR="001C37D6" w:rsidRPr="00B71607" w:rsidRDefault="001C37D6" w:rsidP="001C37D6">
            <w:pPr>
              <w:rPr>
                <w:rFonts w:ascii="Book Antiqua" w:hAnsi="Book Antiqua" w:cs="Calibri"/>
                <w:color w:val="000000"/>
                <w:sz w:val="16"/>
                <w:szCs w:val="16"/>
                <w:lang w:eastAsia="es-CR"/>
              </w:rPr>
            </w:pPr>
            <w:r w:rsidRPr="00B71607">
              <w:rPr>
                <w:rFonts w:ascii="Book Antiqua" w:hAnsi="Book Antiqua" w:cs="Calibri"/>
                <w:color w:val="000000"/>
                <w:sz w:val="16"/>
                <w:szCs w:val="16"/>
                <w:lang w:eastAsia="es-CR"/>
              </w:rPr>
              <w:t>Tribunal de Flagrancia de San José</w:t>
            </w:r>
          </w:p>
        </w:tc>
        <w:tc>
          <w:tcPr>
            <w:tcW w:w="2129" w:type="dxa"/>
            <w:tcBorders>
              <w:top w:val="nil"/>
              <w:left w:val="nil"/>
              <w:bottom w:val="single" w:sz="4" w:space="0" w:color="808080"/>
              <w:right w:val="single" w:sz="4" w:space="0" w:color="808080"/>
            </w:tcBorders>
            <w:shd w:val="clear" w:color="auto" w:fill="auto"/>
            <w:noWrap/>
            <w:vAlign w:val="center"/>
            <w:hideMark/>
          </w:tcPr>
          <w:p w14:paraId="7A3C16D0" w14:textId="77777777" w:rsidR="001C37D6" w:rsidRPr="00B71607" w:rsidRDefault="001C37D6" w:rsidP="001C37D6">
            <w:pPr>
              <w:jc w:val="center"/>
              <w:rPr>
                <w:rFonts w:ascii="Book Antiqua" w:hAnsi="Book Antiqua" w:cs="Calibri"/>
                <w:color w:val="000000"/>
                <w:sz w:val="16"/>
                <w:szCs w:val="16"/>
                <w:lang w:eastAsia="es-CR"/>
              </w:rPr>
            </w:pPr>
            <w:r w:rsidRPr="00B71607">
              <w:rPr>
                <w:rFonts w:ascii="Book Antiqua" w:hAnsi="Book Antiqua" w:cs="Calibri"/>
                <w:color w:val="000000"/>
                <w:sz w:val="16"/>
                <w:szCs w:val="16"/>
                <w:lang w:eastAsia="es-CR"/>
              </w:rPr>
              <w:t>52%</w:t>
            </w:r>
          </w:p>
        </w:tc>
        <w:tc>
          <w:tcPr>
            <w:tcW w:w="2835" w:type="dxa"/>
            <w:tcBorders>
              <w:top w:val="nil"/>
              <w:left w:val="nil"/>
              <w:bottom w:val="single" w:sz="4" w:space="0" w:color="808080"/>
              <w:right w:val="single" w:sz="4" w:space="0" w:color="808080"/>
            </w:tcBorders>
            <w:shd w:val="clear" w:color="auto" w:fill="auto"/>
            <w:noWrap/>
            <w:vAlign w:val="center"/>
            <w:hideMark/>
          </w:tcPr>
          <w:p w14:paraId="6E442C89" w14:textId="77777777" w:rsidR="001C37D6" w:rsidRPr="00B71607" w:rsidRDefault="001C37D6" w:rsidP="001C37D6">
            <w:pPr>
              <w:jc w:val="center"/>
              <w:rPr>
                <w:rFonts w:ascii="Book Antiqua" w:hAnsi="Book Antiqua" w:cs="Calibri"/>
                <w:color w:val="000000"/>
                <w:sz w:val="16"/>
                <w:szCs w:val="16"/>
                <w:lang w:eastAsia="es-CR"/>
              </w:rPr>
            </w:pPr>
            <w:r w:rsidRPr="00B71607">
              <w:rPr>
                <w:rFonts w:ascii="Book Antiqua" w:hAnsi="Book Antiqua" w:cs="Calibri"/>
                <w:color w:val="000000"/>
                <w:sz w:val="16"/>
                <w:szCs w:val="16"/>
                <w:lang w:eastAsia="es-CR"/>
              </w:rPr>
              <w:t>52%</w:t>
            </w:r>
          </w:p>
        </w:tc>
      </w:tr>
      <w:tr w:rsidR="001C37D6" w:rsidRPr="00B71607" w14:paraId="226E8B33" w14:textId="77777777" w:rsidTr="00B71607">
        <w:trPr>
          <w:trHeight w:val="290"/>
          <w:jc w:val="center"/>
        </w:trPr>
        <w:tc>
          <w:tcPr>
            <w:tcW w:w="3395" w:type="dxa"/>
            <w:tcBorders>
              <w:top w:val="nil"/>
              <w:left w:val="single" w:sz="4" w:space="0" w:color="808080"/>
              <w:bottom w:val="single" w:sz="4" w:space="0" w:color="808080"/>
              <w:right w:val="single" w:sz="4" w:space="0" w:color="808080"/>
            </w:tcBorders>
            <w:shd w:val="clear" w:color="auto" w:fill="auto"/>
            <w:noWrap/>
            <w:vAlign w:val="center"/>
            <w:hideMark/>
          </w:tcPr>
          <w:p w14:paraId="299859CC" w14:textId="0CEBB870" w:rsidR="001C37D6" w:rsidRPr="00B71607" w:rsidRDefault="001C37D6" w:rsidP="001C37D6">
            <w:pPr>
              <w:rPr>
                <w:rFonts w:ascii="Book Antiqua" w:hAnsi="Book Antiqua" w:cs="Calibri"/>
                <w:color w:val="000000"/>
                <w:sz w:val="16"/>
                <w:szCs w:val="16"/>
                <w:lang w:eastAsia="es-CR"/>
              </w:rPr>
            </w:pPr>
            <w:r w:rsidRPr="00B71607">
              <w:rPr>
                <w:rFonts w:ascii="Book Antiqua" w:hAnsi="Book Antiqua" w:cs="Calibri"/>
                <w:color w:val="000000"/>
                <w:sz w:val="16"/>
                <w:szCs w:val="16"/>
                <w:lang w:eastAsia="es-CR"/>
              </w:rPr>
              <w:t>Tribunal de Flagrancia de Goicochea</w:t>
            </w:r>
          </w:p>
        </w:tc>
        <w:tc>
          <w:tcPr>
            <w:tcW w:w="2129" w:type="dxa"/>
            <w:tcBorders>
              <w:top w:val="nil"/>
              <w:left w:val="nil"/>
              <w:bottom w:val="single" w:sz="4" w:space="0" w:color="808080"/>
              <w:right w:val="single" w:sz="4" w:space="0" w:color="808080"/>
            </w:tcBorders>
            <w:shd w:val="clear" w:color="auto" w:fill="auto"/>
            <w:noWrap/>
            <w:vAlign w:val="center"/>
            <w:hideMark/>
          </w:tcPr>
          <w:p w14:paraId="54B9A3CD" w14:textId="77777777" w:rsidR="001C37D6" w:rsidRPr="00B71607" w:rsidRDefault="001C37D6" w:rsidP="001C37D6">
            <w:pPr>
              <w:jc w:val="center"/>
              <w:rPr>
                <w:rFonts w:ascii="Book Antiqua" w:hAnsi="Book Antiqua" w:cs="Calibri"/>
                <w:color w:val="000000"/>
                <w:sz w:val="16"/>
                <w:szCs w:val="16"/>
                <w:lang w:eastAsia="es-CR"/>
              </w:rPr>
            </w:pPr>
            <w:r w:rsidRPr="00B71607">
              <w:rPr>
                <w:rFonts w:ascii="Book Antiqua" w:hAnsi="Book Antiqua" w:cs="Calibri"/>
                <w:color w:val="000000"/>
                <w:sz w:val="16"/>
                <w:szCs w:val="16"/>
                <w:lang w:eastAsia="es-CR"/>
              </w:rPr>
              <w:t>52%</w:t>
            </w:r>
          </w:p>
        </w:tc>
        <w:tc>
          <w:tcPr>
            <w:tcW w:w="2835" w:type="dxa"/>
            <w:tcBorders>
              <w:top w:val="nil"/>
              <w:left w:val="nil"/>
              <w:bottom w:val="single" w:sz="4" w:space="0" w:color="808080"/>
              <w:right w:val="single" w:sz="4" w:space="0" w:color="808080"/>
            </w:tcBorders>
            <w:shd w:val="clear" w:color="auto" w:fill="auto"/>
            <w:noWrap/>
            <w:vAlign w:val="center"/>
            <w:hideMark/>
          </w:tcPr>
          <w:p w14:paraId="70CDCE41" w14:textId="77777777" w:rsidR="001C37D6" w:rsidRPr="00B71607" w:rsidRDefault="001C37D6" w:rsidP="001C37D6">
            <w:pPr>
              <w:jc w:val="center"/>
              <w:rPr>
                <w:rFonts w:ascii="Book Antiqua" w:hAnsi="Book Antiqua" w:cs="Calibri"/>
                <w:color w:val="000000"/>
                <w:sz w:val="16"/>
                <w:szCs w:val="16"/>
                <w:lang w:eastAsia="es-CR"/>
              </w:rPr>
            </w:pPr>
            <w:r w:rsidRPr="00B71607">
              <w:rPr>
                <w:rFonts w:ascii="Book Antiqua" w:hAnsi="Book Antiqua" w:cs="Calibri"/>
                <w:color w:val="000000"/>
                <w:sz w:val="16"/>
                <w:szCs w:val="16"/>
                <w:lang w:eastAsia="es-CR"/>
              </w:rPr>
              <w:t>52%</w:t>
            </w:r>
          </w:p>
        </w:tc>
      </w:tr>
      <w:tr w:rsidR="001C37D6" w:rsidRPr="00B71607" w14:paraId="3A7353E5" w14:textId="77777777" w:rsidTr="00B71607">
        <w:trPr>
          <w:trHeight w:val="290"/>
          <w:jc w:val="center"/>
        </w:trPr>
        <w:tc>
          <w:tcPr>
            <w:tcW w:w="3395" w:type="dxa"/>
            <w:tcBorders>
              <w:top w:val="nil"/>
              <w:left w:val="single" w:sz="4" w:space="0" w:color="808080"/>
              <w:bottom w:val="single" w:sz="4" w:space="0" w:color="808080"/>
              <w:right w:val="single" w:sz="4" w:space="0" w:color="808080"/>
            </w:tcBorders>
            <w:shd w:val="clear" w:color="auto" w:fill="auto"/>
            <w:noWrap/>
            <w:vAlign w:val="center"/>
            <w:hideMark/>
          </w:tcPr>
          <w:p w14:paraId="05DEF979" w14:textId="77777777" w:rsidR="001C37D6" w:rsidRPr="00B71607" w:rsidRDefault="001C37D6" w:rsidP="001C37D6">
            <w:pPr>
              <w:rPr>
                <w:rFonts w:ascii="Book Antiqua" w:hAnsi="Book Antiqua" w:cs="Calibri"/>
                <w:color w:val="000000"/>
                <w:sz w:val="16"/>
                <w:szCs w:val="16"/>
                <w:lang w:eastAsia="es-CR"/>
              </w:rPr>
            </w:pPr>
            <w:r w:rsidRPr="00B71607">
              <w:rPr>
                <w:rFonts w:ascii="Book Antiqua" w:hAnsi="Book Antiqua" w:cs="Calibri"/>
                <w:color w:val="000000"/>
                <w:sz w:val="16"/>
                <w:szCs w:val="16"/>
                <w:lang w:eastAsia="es-CR"/>
              </w:rPr>
              <w:t>Tribunal de Flagrancia de Cartago</w:t>
            </w:r>
          </w:p>
        </w:tc>
        <w:tc>
          <w:tcPr>
            <w:tcW w:w="2129" w:type="dxa"/>
            <w:tcBorders>
              <w:top w:val="nil"/>
              <w:left w:val="nil"/>
              <w:bottom w:val="single" w:sz="4" w:space="0" w:color="808080"/>
              <w:right w:val="single" w:sz="4" w:space="0" w:color="808080"/>
            </w:tcBorders>
            <w:shd w:val="clear" w:color="auto" w:fill="auto"/>
            <w:noWrap/>
            <w:vAlign w:val="center"/>
            <w:hideMark/>
          </w:tcPr>
          <w:p w14:paraId="5615578B" w14:textId="77777777" w:rsidR="001C37D6" w:rsidRPr="00B71607" w:rsidRDefault="001C37D6" w:rsidP="001C37D6">
            <w:pPr>
              <w:jc w:val="center"/>
              <w:rPr>
                <w:rFonts w:ascii="Book Antiqua" w:hAnsi="Book Antiqua" w:cs="Calibri"/>
                <w:color w:val="000000"/>
                <w:sz w:val="16"/>
                <w:szCs w:val="16"/>
                <w:lang w:eastAsia="es-CR"/>
              </w:rPr>
            </w:pPr>
            <w:r w:rsidRPr="00B71607">
              <w:rPr>
                <w:rFonts w:ascii="Book Antiqua" w:hAnsi="Book Antiqua" w:cs="Calibri"/>
                <w:color w:val="000000"/>
                <w:sz w:val="16"/>
                <w:szCs w:val="16"/>
                <w:lang w:eastAsia="es-CR"/>
              </w:rPr>
              <w:t>35%</w:t>
            </w:r>
          </w:p>
        </w:tc>
        <w:tc>
          <w:tcPr>
            <w:tcW w:w="2835" w:type="dxa"/>
            <w:tcBorders>
              <w:top w:val="nil"/>
              <w:left w:val="nil"/>
              <w:bottom w:val="single" w:sz="4" w:space="0" w:color="808080"/>
              <w:right w:val="single" w:sz="4" w:space="0" w:color="808080"/>
            </w:tcBorders>
            <w:shd w:val="clear" w:color="auto" w:fill="auto"/>
            <w:noWrap/>
            <w:vAlign w:val="center"/>
            <w:hideMark/>
          </w:tcPr>
          <w:p w14:paraId="0BCC5F5E" w14:textId="77777777" w:rsidR="001C37D6" w:rsidRPr="00B71607" w:rsidRDefault="001C37D6" w:rsidP="001C37D6">
            <w:pPr>
              <w:jc w:val="center"/>
              <w:rPr>
                <w:rFonts w:ascii="Book Antiqua" w:hAnsi="Book Antiqua" w:cs="Calibri"/>
                <w:color w:val="000000"/>
                <w:sz w:val="16"/>
                <w:szCs w:val="16"/>
                <w:lang w:eastAsia="es-CR"/>
              </w:rPr>
            </w:pPr>
            <w:r w:rsidRPr="00B71607">
              <w:rPr>
                <w:rFonts w:ascii="Book Antiqua" w:hAnsi="Book Antiqua" w:cs="Calibri"/>
                <w:color w:val="000000"/>
                <w:sz w:val="16"/>
                <w:szCs w:val="16"/>
                <w:lang w:eastAsia="es-CR"/>
              </w:rPr>
              <w:t>45%</w:t>
            </w:r>
          </w:p>
        </w:tc>
      </w:tr>
      <w:tr w:rsidR="001C37D6" w:rsidRPr="00B71607" w14:paraId="234197EF" w14:textId="77777777" w:rsidTr="00B71607">
        <w:trPr>
          <w:trHeight w:val="290"/>
          <w:jc w:val="center"/>
        </w:trPr>
        <w:tc>
          <w:tcPr>
            <w:tcW w:w="3395" w:type="dxa"/>
            <w:tcBorders>
              <w:top w:val="nil"/>
              <w:left w:val="single" w:sz="4" w:space="0" w:color="808080"/>
              <w:bottom w:val="single" w:sz="4" w:space="0" w:color="808080"/>
              <w:right w:val="single" w:sz="4" w:space="0" w:color="808080"/>
            </w:tcBorders>
            <w:shd w:val="clear" w:color="auto" w:fill="auto"/>
            <w:noWrap/>
            <w:vAlign w:val="center"/>
            <w:hideMark/>
          </w:tcPr>
          <w:p w14:paraId="75663B40" w14:textId="77777777" w:rsidR="001C37D6" w:rsidRPr="00B71607" w:rsidRDefault="001C37D6" w:rsidP="001C37D6">
            <w:pPr>
              <w:rPr>
                <w:rFonts w:ascii="Book Antiqua" w:hAnsi="Book Antiqua" w:cs="Calibri"/>
                <w:b/>
                <w:bCs/>
                <w:color w:val="000000"/>
                <w:sz w:val="16"/>
                <w:szCs w:val="16"/>
                <w:lang w:eastAsia="es-CR"/>
              </w:rPr>
            </w:pPr>
            <w:r w:rsidRPr="00B71607">
              <w:rPr>
                <w:rFonts w:ascii="Book Antiqua" w:hAnsi="Book Antiqua" w:cs="Calibri"/>
                <w:b/>
                <w:bCs/>
                <w:color w:val="000000"/>
                <w:sz w:val="16"/>
                <w:szCs w:val="16"/>
                <w:lang w:eastAsia="es-CR"/>
              </w:rPr>
              <w:t>Promedio Global</w:t>
            </w:r>
          </w:p>
        </w:tc>
        <w:tc>
          <w:tcPr>
            <w:tcW w:w="2129" w:type="dxa"/>
            <w:tcBorders>
              <w:top w:val="nil"/>
              <w:left w:val="nil"/>
              <w:bottom w:val="single" w:sz="4" w:space="0" w:color="808080"/>
              <w:right w:val="single" w:sz="4" w:space="0" w:color="808080"/>
            </w:tcBorders>
            <w:shd w:val="clear" w:color="auto" w:fill="auto"/>
            <w:noWrap/>
            <w:vAlign w:val="center"/>
            <w:hideMark/>
          </w:tcPr>
          <w:p w14:paraId="6DFBF5E4" w14:textId="77777777" w:rsidR="001C37D6" w:rsidRPr="00B71607" w:rsidRDefault="001C37D6" w:rsidP="001C37D6">
            <w:pPr>
              <w:jc w:val="center"/>
              <w:rPr>
                <w:rFonts w:ascii="Book Antiqua" w:hAnsi="Book Antiqua" w:cs="Calibri"/>
                <w:b/>
                <w:bCs/>
                <w:color w:val="000000"/>
                <w:sz w:val="16"/>
                <w:szCs w:val="16"/>
                <w:lang w:eastAsia="es-CR"/>
              </w:rPr>
            </w:pPr>
            <w:r w:rsidRPr="00B71607">
              <w:rPr>
                <w:rFonts w:ascii="Book Antiqua" w:hAnsi="Book Antiqua" w:cs="Calibri"/>
                <w:b/>
                <w:bCs/>
                <w:color w:val="000000"/>
                <w:sz w:val="16"/>
                <w:szCs w:val="16"/>
                <w:lang w:eastAsia="es-CR"/>
              </w:rPr>
              <w:t>78%</w:t>
            </w:r>
          </w:p>
        </w:tc>
        <w:tc>
          <w:tcPr>
            <w:tcW w:w="2835" w:type="dxa"/>
            <w:tcBorders>
              <w:top w:val="nil"/>
              <w:left w:val="nil"/>
              <w:bottom w:val="single" w:sz="4" w:space="0" w:color="808080"/>
              <w:right w:val="single" w:sz="4" w:space="0" w:color="808080"/>
            </w:tcBorders>
            <w:shd w:val="clear" w:color="auto" w:fill="auto"/>
            <w:noWrap/>
            <w:vAlign w:val="center"/>
            <w:hideMark/>
          </w:tcPr>
          <w:p w14:paraId="76151E8A" w14:textId="77777777" w:rsidR="001C37D6" w:rsidRPr="00B71607" w:rsidRDefault="001C37D6" w:rsidP="001C37D6">
            <w:pPr>
              <w:jc w:val="center"/>
              <w:rPr>
                <w:rFonts w:ascii="Book Antiqua" w:hAnsi="Book Antiqua" w:cs="Calibri"/>
                <w:b/>
                <w:bCs/>
                <w:color w:val="000000"/>
                <w:sz w:val="16"/>
                <w:szCs w:val="16"/>
                <w:lang w:eastAsia="es-CR"/>
              </w:rPr>
            </w:pPr>
            <w:r w:rsidRPr="00B71607">
              <w:rPr>
                <w:rFonts w:ascii="Book Antiqua" w:hAnsi="Book Antiqua" w:cs="Calibri"/>
                <w:b/>
                <w:bCs/>
                <w:color w:val="000000"/>
                <w:sz w:val="16"/>
                <w:szCs w:val="16"/>
                <w:lang w:eastAsia="es-CR"/>
              </w:rPr>
              <w:t>82%</w:t>
            </w:r>
          </w:p>
        </w:tc>
      </w:tr>
    </w:tbl>
    <w:p w14:paraId="0F87E2A8" w14:textId="49F7854B" w:rsidR="00F75E3A" w:rsidRDefault="00F75E3A" w:rsidP="00B71607">
      <w:pPr>
        <w:spacing w:line="276" w:lineRule="auto"/>
        <w:jc w:val="center"/>
        <w:rPr>
          <w:rFonts w:ascii="Book Antiqua" w:hAnsi="Book Antiqua"/>
          <w:color w:val="000000" w:themeColor="text1"/>
          <w:sz w:val="20"/>
          <w:szCs w:val="20"/>
        </w:rPr>
      </w:pPr>
      <w:r w:rsidRPr="00677475">
        <w:rPr>
          <w:rFonts w:ascii="Book Antiqua" w:hAnsi="Book Antiqua"/>
          <w:b/>
          <w:bCs/>
          <w:color w:val="000000" w:themeColor="text1"/>
          <w:sz w:val="20"/>
          <w:szCs w:val="20"/>
        </w:rPr>
        <w:t xml:space="preserve">Fuente: </w:t>
      </w:r>
      <w:r w:rsidRPr="00677475">
        <w:rPr>
          <w:rFonts w:ascii="Book Antiqua" w:hAnsi="Book Antiqua"/>
          <w:color w:val="000000" w:themeColor="text1"/>
          <w:sz w:val="20"/>
          <w:szCs w:val="20"/>
        </w:rPr>
        <w:t>Matriz de indicadores de Gestión</w:t>
      </w:r>
    </w:p>
    <w:p w14:paraId="3E3DE229" w14:textId="37C16CA8" w:rsidR="000A6207" w:rsidRDefault="000A6207" w:rsidP="000A6207">
      <w:pPr>
        <w:spacing w:line="276" w:lineRule="auto"/>
        <w:jc w:val="center"/>
        <w:rPr>
          <w:rFonts w:ascii="Book Antiqua" w:hAnsi="Book Antiqua"/>
          <w:b/>
          <w:bCs/>
          <w:color w:val="000000" w:themeColor="text1"/>
          <w:sz w:val="20"/>
          <w:szCs w:val="20"/>
        </w:rPr>
      </w:pPr>
    </w:p>
    <w:p w14:paraId="39C6D23A" w14:textId="77777777" w:rsidR="00F75E3A" w:rsidRPr="00AC4A95" w:rsidRDefault="00F75E3A" w:rsidP="006F775A">
      <w:pPr>
        <w:spacing w:line="276" w:lineRule="auto"/>
        <w:rPr>
          <w:rFonts w:ascii="Book Antiqua" w:hAnsi="Book Antiqua"/>
          <w:b/>
          <w:bCs/>
          <w:color w:val="000000" w:themeColor="text1"/>
          <w:sz w:val="20"/>
          <w:szCs w:val="20"/>
        </w:rPr>
      </w:pPr>
    </w:p>
    <w:p w14:paraId="671A18CE" w14:textId="04610188" w:rsidR="000A6207" w:rsidRPr="000A5D59" w:rsidRDefault="27744381" w:rsidP="57A79FF7">
      <w:pPr>
        <w:spacing w:after="160" w:line="276" w:lineRule="auto"/>
        <w:contextualSpacing/>
        <w:outlineLvl w:val="1"/>
        <w:rPr>
          <w:b/>
          <w:color w:val="000000" w:themeColor="text1"/>
        </w:rPr>
      </w:pPr>
      <w:r w:rsidRPr="57A79FF7">
        <w:rPr>
          <w:rFonts w:ascii="Book Antiqua" w:hAnsi="Book Antiqua"/>
          <w:b/>
          <w:bCs/>
          <w:color w:val="000000" w:themeColor="text1"/>
        </w:rPr>
        <w:t xml:space="preserve">7.2.4 </w:t>
      </w:r>
      <w:r w:rsidR="000A6207" w:rsidRPr="000A5D59">
        <w:rPr>
          <w:rFonts w:ascii="Book Antiqua" w:hAnsi="Book Antiqua"/>
          <w:b/>
          <w:color w:val="000000" w:themeColor="text1"/>
        </w:rPr>
        <w:t>Juzgados de Ejecución de la Pena</w:t>
      </w:r>
    </w:p>
    <w:p w14:paraId="6F3695D6" w14:textId="2EFA8102" w:rsidR="000A6207" w:rsidRDefault="000A6207" w:rsidP="000A6207">
      <w:pPr>
        <w:spacing w:line="276" w:lineRule="auto"/>
        <w:jc w:val="both"/>
        <w:rPr>
          <w:rFonts w:ascii="Book Antiqua" w:hAnsi="Book Antiqua"/>
          <w:color w:val="000000" w:themeColor="text1"/>
        </w:rPr>
      </w:pPr>
      <w:r w:rsidRPr="00B76E68">
        <w:rPr>
          <w:rFonts w:ascii="Book Antiqua" w:hAnsi="Book Antiqua"/>
          <w:color w:val="000000" w:themeColor="text1"/>
        </w:rPr>
        <w:t xml:space="preserve">Los Juzgados de Ejecución de la Pena registran un </w:t>
      </w:r>
      <w:r w:rsidR="002E192B">
        <w:rPr>
          <w:rFonts w:ascii="Book Antiqua" w:hAnsi="Book Antiqua"/>
          <w:color w:val="000000" w:themeColor="text1"/>
        </w:rPr>
        <w:t>92</w:t>
      </w:r>
      <w:r w:rsidRPr="00B76E68">
        <w:rPr>
          <w:rFonts w:ascii="Book Antiqua" w:hAnsi="Book Antiqua"/>
          <w:color w:val="000000" w:themeColor="text1"/>
        </w:rPr>
        <w:t xml:space="preserve">% en </w:t>
      </w:r>
      <w:r>
        <w:rPr>
          <w:rFonts w:ascii="Book Antiqua" w:hAnsi="Book Antiqua"/>
          <w:color w:val="000000" w:themeColor="text1"/>
        </w:rPr>
        <w:t xml:space="preserve">incidentes terminados </w:t>
      </w:r>
      <w:r w:rsidRPr="00B76E68">
        <w:rPr>
          <w:rFonts w:ascii="Book Antiqua" w:hAnsi="Book Antiqua"/>
          <w:color w:val="000000" w:themeColor="text1"/>
        </w:rPr>
        <w:t xml:space="preserve">y </w:t>
      </w:r>
      <w:r w:rsidR="002E192B">
        <w:rPr>
          <w:rFonts w:ascii="Book Antiqua" w:hAnsi="Book Antiqua"/>
          <w:color w:val="000000" w:themeColor="text1"/>
        </w:rPr>
        <w:t>293</w:t>
      </w:r>
      <w:r w:rsidRPr="00B76E68">
        <w:rPr>
          <w:rFonts w:ascii="Book Antiqua" w:hAnsi="Book Antiqua"/>
          <w:color w:val="000000" w:themeColor="text1"/>
        </w:rPr>
        <w:t xml:space="preserve">% en firma de </w:t>
      </w:r>
      <w:r>
        <w:rPr>
          <w:rFonts w:ascii="Book Antiqua" w:hAnsi="Book Antiqua"/>
          <w:color w:val="000000" w:themeColor="text1"/>
        </w:rPr>
        <w:t>expedientes</w:t>
      </w:r>
      <w:r w:rsidRPr="00B76E68">
        <w:rPr>
          <w:rFonts w:ascii="Book Antiqua" w:hAnsi="Book Antiqua"/>
          <w:color w:val="000000" w:themeColor="text1"/>
        </w:rPr>
        <w:t>.</w:t>
      </w:r>
    </w:p>
    <w:p w14:paraId="1C1F2E60" w14:textId="77777777" w:rsidR="000A6207" w:rsidRDefault="000A6207" w:rsidP="000A6207">
      <w:pPr>
        <w:spacing w:line="276" w:lineRule="auto"/>
        <w:jc w:val="both"/>
        <w:rPr>
          <w:rFonts w:ascii="Book Antiqua" w:hAnsi="Book Antiqua"/>
          <w:color w:val="000000" w:themeColor="text1"/>
        </w:rPr>
      </w:pPr>
    </w:p>
    <w:p w14:paraId="7342E79F" w14:textId="39076BC1" w:rsidR="000A6207" w:rsidRDefault="000A6207" w:rsidP="000A6207">
      <w:pPr>
        <w:spacing w:line="276" w:lineRule="auto"/>
        <w:jc w:val="both"/>
        <w:rPr>
          <w:rFonts w:ascii="Book Antiqua" w:hAnsi="Book Antiqua" w:cs="Calibri"/>
          <w:color w:val="000000"/>
          <w:sz w:val="22"/>
          <w:szCs w:val="22"/>
          <w:lang w:eastAsia="es-CR"/>
        </w:rPr>
      </w:pPr>
      <w:r>
        <w:rPr>
          <w:rFonts w:ascii="Book Antiqua" w:hAnsi="Book Antiqua"/>
          <w:color w:val="000000" w:themeColor="text1"/>
        </w:rPr>
        <w:t xml:space="preserve">Para el caso de los asuntos culminados el </w:t>
      </w:r>
      <w:r w:rsidRPr="00886704">
        <w:rPr>
          <w:rFonts w:ascii="Book Antiqua" w:hAnsi="Book Antiqua" w:cs="Calibri"/>
          <w:color w:val="000000"/>
          <w:sz w:val="22"/>
          <w:szCs w:val="22"/>
          <w:lang w:eastAsia="es-CR"/>
        </w:rPr>
        <w:t xml:space="preserve">Juzgado de Ejecución de </w:t>
      </w:r>
      <w:r w:rsidR="002E192B">
        <w:rPr>
          <w:rFonts w:ascii="Book Antiqua" w:hAnsi="Book Antiqua" w:cs="Calibri"/>
          <w:color w:val="000000"/>
          <w:sz w:val="22"/>
          <w:szCs w:val="22"/>
          <w:lang w:eastAsia="es-CR"/>
        </w:rPr>
        <w:t>Liberia</w:t>
      </w:r>
      <w:r>
        <w:rPr>
          <w:rFonts w:ascii="Book Antiqua" w:hAnsi="Book Antiqua" w:cs="Calibri"/>
          <w:color w:val="000000"/>
          <w:sz w:val="22"/>
          <w:szCs w:val="22"/>
          <w:lang w:eastAsia="es-CR"/>
        </w:rPr>
        <w:t xml:space="preserve">, reporta el mayor rendimiento con un </w:t>
      </w:r>
      <w:r w:rsidR="002E192B">
        <w:rPr>
          <w:rFonts w:ascii="Book Antiqua" w:hAnsi="Book Antiqua" w:cs="Calibri"/>
          <w:color w:val="000000"/>
          <w:sz w:val="22"/>
          <w:szCs w:val="22"/>
          <w:lang w:eastAsia="es-CR"/>
        </w:rPr>
        <w:t>133</w:t>
      </w:r>
      <w:r>
        <w:rPr>
          <w:rFonts w:ascii="Book Antiqua" w:hAnsi="Book Antiqua" w:cs="Calibri"/>
          <w:color w:val="000000"/>
          <w:sz w:val="22"/>
          <w:szCs w:val="22"/>
          <w:lang w:eastAsia="es-CR"/>
        </w:rPr>
        <w:t xml:space="preserve">% sobre el parámetro, y el </w:t>
      </w:r>
      <w:r w:rsidRPr="00886704">
        <w:rPr>
          <w:rFonts w:ascii="Book Antiqua" w:hAnsi="Book Antiqua" w:cs="Calibri"/>
          <w:color w:val="000000"/>
          <w:sz w:val="22"/>
          <w:szCs w:val="22"/>
          <w:lang w:eastAsia="es-CR"/>
        </w:rPr>
        <w:t xml:space="preserve">Juzgado de Ejecución de la Pena del </w:t>
      </w:r>
      <w:r>
        <w:rPr>
          <w:rFonts w:ascii="Book Antiqua" w:hAnsi="Book Antiqua" w:cs="Calibri"/>
          <w:color w:val="000000"/>
          <w:sz w:val="22"/>
          <w:szCs w:val="22"/>
          <w:lang w:eastAsia="es-CR"/>
        </w:rPr>
        <w:t>Primer</w:t>
      </w:r>
      <w:r w:rsidRPr="00886704">
        <w:rPr>
          <w:rFonts w:ascii="Book Antiqua" w:hAnsi="Book Antiqua" w:cs="Calibri"/>
          <w:color w:val="000000"/>
          <w:sz w:val="22"/>
          <w:szCs w:val="22"/>
          <w:lang w:eastAsia="es-CR"/>
        </w:rPr>
        <w:t xml:space="preserve"> Circuito Judicial de la Zona Atlántica (</w:t>
      </w:r>
      <w:r>
        <w:rPr>
          <w:rFonts w:ascii="Book Antiqua" w:hAnsi="Book Antiqua" w:cs="Calibri"/>
          <w:color w:val="000000"/>
          <w:sz w:val="22"/>
          <w:szCs w:val="22"/>
          <w:lang w:eastAsia="es-CR"/>
        </w:rPr>
        <w:t>Limón</w:t>
      </w:r>
      <w:r w:rsidRPr="00886704">
        <w:rPr>
          <w:rFonts w:ascii="Book Antiqua" w:hAnsi="Book Antiqua" w:cs="Calibri"/>
          <w:color w:val="000000"/>
          <w:sz w:val="22"/>
          <w:szCs w:val="22"/>
          <w:lang w:eastAsia="es-CR"/>
        </w:rPr>
        <w:t>)</w:t>
      </w:r>
      <w:r>
        <w:rPr>
          <w:rFonts w:ascii="Book Antiqua" w:hAnsi="Book Antiqua" w:cs="Calibri"/>
          <w:color w:val="000000"/>
          <w:sz w:val="22"/>
          <w:szCs w:val="22"/>
          <w:lang w:eastAsia="es-CR"/>
        </w:rPr>
        <w:t xml:space="preserve"> presentan el menor porcentaje con un </w:t>
      </w:r>
      <w:r w:rsidR="002E192B">
        <w:rPr>
          <w:rFonts w:ascii="Book Antiqua" w:hAnsi="Book Antiqua" w:cs="Calibri"/>
          <w:color w:val="000000"/>
          <w:sz w:val="22"/>
          <w:szCs w:val="22"/>
          <w:lang w:eastAsia="es-CR"/>
        </w:rPr>
        <w:t>5</w:t>
      </w:r>
      <w:r>
        <w:rPr>
          <w:rFonts w:ascii="Book Antiqua" w:hAnsi="Book Antiqua" w:cs="Calibri"/>
          <w:color w:val="000000"/>
          <w:sz w:val="22"/>
          <w:szCs w:val="22"/>
          <w:lang w:eastAsia="es-CR"/>
        </w:rPr>
        <w:t>5%.</w:t>
      </w:r>
    </w:p>
    <w:p w14:paraId="68BCBB4A" w14:textId="77777777" w:rsidR="000A6207" w:rsidRPr="0053279E" w:rsidRDefault="000A6207" w:rsidP="000A6207">
      <w:pPr>
        <w:spacing w:line="276" w:lineRule="auto"/>
        <w:jc w:val="both"/>
        <w:rPr>
          <w:rFonts w:ascii="Book Antiqua" w:hAnsi="Book Antiqua"/>
          <w:color w:val="000000" w:themeColor="text1"/>
        </w:rPr>
      </w:pPr>
    </w:p>
    <w:p w14:paraId="2B6A01E4" w14:textId="77777777" w:rsidR="000A6207" w:rsidRPr="004F0E92" w:rsidRDefault="000A6207" w:rsidP="000A6207">
      <w:pPr>
        <w:spacing w:line="276" w:lineRule="auto"/>
        <w:jc w:val="both"/>
        <w:rPr>
          <w:rFonts w:ascii="Book Antiqua" w:hAnsi="Book Antiqua"/>
          <w:b/>
          <w:color w:val="000000" w:themeColor="text1"/>
        </w:rPr>
      </w:pPr>
      <w:r w:rsidRPr="0053279E">
        <w:rPr>
          <w:rFonts w:ascii="Book Antiqua" w:hAnsi="Book Antiqua"/>
          <w:color w:val="000000" w:themeColor="text1"/>
        </w:rPr>
        <w:t xml:space="preserve">El detalle se </w:t>
      </w:r>
      <w:r>
        <w:rPr>
          <w:rFonts w:ascii="Book Antiqua" w:hAnsi="Book Antiqua"/>
          <w:color w:val="000000" w:themeColor="text1"/>
        </w:rPr>
        <w:t>muestra</w:t>
      </w:r>
      <w:r w:rsidRPr="0053279E">
        <w:rPr>
          <w:rFonts w:ascii="Book Antiqua" w:hAnsi="Book Antiqua"/>
          <w:color w:val="000000" w:themeColor="text1"/>
        </w:rPr>
        <w:t xml:space="preserve"> en el siguiente cuadro.</w:t>
      </w:r>
    </w:p>
    <w:p w14:paraId="1CD752E9" w14:textId="77777777" w:rsidR="000A6207" w:rsidRPr="000549BF" w:rsidRDefault="000A6207" w:rsidP="000A6207">
      <w:pPr>
        <w:spacing w:line="276" w:lineRule="auto"/>
        <w:jc w:val="both"/>
        <w:rPr>
          <w:rFonts w:ascii="Book Antiqua" w:hAnsi="Book Antiqua"/>
          <w:color w:val="000000" w:themeColor="text1"/>
        </w:rPr>
      </w:pPr>
    </w:p>
    <w:p w14:paraId="0B946846" w14:textId="6F6E8FAA" w:rsidR="000A6207" w:rsidRPr="000549BF" w:rsidRDefault="000A6207" w:rsidP="000A6207">
      <w:pPr>
        <w:spacing w:line="276" w:lineRule="auto"/>
        <w:jc w:val="center"/>
        <w:rPr>
          <w:rFonts w:ascii="Book Antiqua" w:hAnsi="Book Antiqua"/>
          <w:b/>
          <w:color w:val="000000" w:themeColor="text1"/>
        </w:rPr>
      </w:pPr>
      <w:r w:rsidRPr="000549BF">
        <w:rPr>
          <w:rFonts w:ascii="Book Antiqua" w:hAnsi="Book Antiqua"/>
          <w:b/>
          <w:color w:val="000000" w:themeColor="text1"/>
        </w:rPr>
        <w:t xml:space="preserve">Cuadro </w:t>
      </w:r>
      <w:r w:rsidR="002E192B">
        <w:rPr>
          <w:rFonts w:ascii="Book Antiqua" w:hAnsi="Book Antiqua"/>
          <w:b/>
          <w:color w:val="000000" w:themeColor="text1"/>
        </w:rPr>
        <w:t>7</w:t>
      </w:r>
      <w:r w:rsidR="000B1CF8">
        <w:rPr>
          <w:rFonts w:ascii="Book Antiqua" w:hAnsi="Book Antiqua"/>
          <w:b/>
          <w:color w:val="000000" w:themeColor="text1"/>
        </w:rPr>
        <w:t>1</w:t>
      </w:r>
    </w:p>
    <w:p w14:paraId="5770FEAC" w14:textId="77777777" w:rsidR="000A6207" w:rsidRPr="00921892" w:rsidRDefault="000A6207" w:rsidP="00744F07">
      <w:pPr>
        <w:spacing w:line="276" w:lineRule="auto"/>
        <w:jc w:val="center"/>
        <w:rPr>
          <w:rFonts w:ascii="Book Antiqua" w:hAnsi="Book Antiqua"/>
          <w:bCs/>
          <w:color w:val="000000" w:themeColor="text1"/>
        </w:rPr>
      </w:pPr>
      <w:r w:rsidRPr="00921892">
        <w:rPr>
          <w:rFonts w:ascii="Book Antiqua" w:hAnsi="Book Antiqua"/>
          <w:bCs/>
          <w:color w:val="000000" w:themeColor="text1"/>
        </w:rPr>
        <w:t xml:space="preserve">Cumplimiento del parámetro de producción teórico de </w:t>
      </w:r>
      <w:r>
        <w:rPr>
          <w:rFonts w:ascii="Book Antiqua" w:hAnsi="Book Antiqua"/>
          <w:bCs/>
          <w:color w:val="000000" w:themeColor="text1"/>
        </w:rPr>
        <w:t>asuntos terminados</w:t>
      </w:r>
    </w:p>
    <w:p w14:paraId="24E703FF" w14:textId="544099E6" w:rsidR="000A6207" w:rsidRDefault="000A6207" w:rsidP="00744F07">
      <w:pPr>
        <w:spacing w:line="276" w:lineRule="auto"/>
        <w:jc w:val="center"/>
        <w:rPr>
          <w:rFonts w:ascii="Book Antiqua" w:hAnsi="Book Antiqua"/>
          <w:bCs/>
          <w:color w:val="000000" w:themeColor="text1"/>
        </w:rPr>
      </w:pPr>
      <w:r w:rsidRPr="00921892">
        <w:rPr>
          <w:rFonts w:ascii="Book Antiqua" w:hAnsi="Book Antiqua"/>
          <w:bCs/>
          <w:color w:val="000000" w:themeColor="text1"/>
        </w:rPr>
        <w:t xml:space="preserve">Juzgados de Ejecución de la Pena durante </w:t>
      </w:r>
      <w:r w:rsidR="002E192B">
        <w:rPr>
          <w:rFonts w:ascii="Book Antiqua" w:hAnsi="Book Antiqua"/>
          <w:bCs/>
          <w:color w:val="000000" w:themeColor="text1"/>
        </w:rPr>
        <w:t>agosto</w:t>
      </w:r>
      <w:r w:rsidRPr="00921892">
        <w:rPr>
          <w:rFonts w:ascii="Book Antiqua" w:hAnsi="Book Antiqua"/>
          <w:bCs/>
          <w:color w:val="000000" w:themeColor="text1"/>
        </w:rPr>
        <w:t xml:space="preserve"> 2021</w:t>
      </w:r>
    </w:p>
    <w:tbl>
      <w:tblPr>
        <w:tblW w:w="6461" w:type="dxa"/>
        <w:jc w:val="center"/>
        <w:tblCellMar>
          <w:left w:w="70" w:type="dxa"/>
          <w:right w:w="70" w:type="dxa"/>
        </w:tblCellMar>
        <w:tblLook w:val="04A0" w:firstRow="1" w:lastRow="0" w:firstColumn="1" w:lastColumn="0" w:noHBand="0" w:noVBand="1"/>
      </w:tblPr>
      <w:tblGrid>
        <w:gridCol w:w="3861"/>
        <w:gridCol w:w="2600"/>
      </w:tblGrid>
      <w:tr w:rsidR="00744F07" w:rsidRPr="00744F07" w14:paraId="0ED5E9E1" w14:textId="77777777" w:rsidTr="00744F07">
        <w:trPr>
          <w:trHeight w:val="780"/>
          <w:jc w:val="center"/>
        </w:trPr>
        <w:tc>
          <w:tcPr>
            <w:tcW w:w="3861" w:type="dxa"/>
            <w:tcBorders>
              <w:top w:val="single" w:sz="4" w:space="0" w:color="808080"/>
              <w:left w:val="single" w:sz="4" w:space="0" w:color="808080"/>
              <w:bottom w:val="single" w:sz="4" w:space="0" w:color="808080"/>
              <w:right w:val="single" w:sz="4" w:space="0" w:color="808080"/>
            </w:tcBorders>
            <w:shd w:val="clear" w:color="000000" w:fill="305496"/>
            <w:noWrap/>
            <w:vAlign w:val="center"/>
            <w:hideMark/>
          </w:tcPr>
          <w:p w14:paraId="59A6C09A" w14:textId="77777777" w:rsidR="00744F07" w:rsidRPr="00744F07" w:rsidRDefault="00744F07" w:rsidP="00744F07">
            <w:pPr>
              <w:jc w:val="center"/>
              <w:rPr>
                <w:rFonts w:ascii="Book Antiqua" w:hAnsi="Book Antiqua" w:cs="Calibri"/>
                <w:b/>
                <w:bCs/>
                <w:color w:val="FFFFFF"/>
                <w:sz w:val="16"/>
                <w:szCs w:val="16"/>
                <w:lang w:eastAsia="es-CR"/>
              </w:rPr>
            </w:pPr>
            <w:r w:rsidRPr="00744F07">
              <w:rPr>
                <w:rFonts w:ascii="Book Antiqua" w:hAnsi="Book Antiqua" w:cs="Calibri"/>
                <w:b/>
                <w:bCs/>
                <w:color w:val="FFFFFF"/>
                <w:sz w:val="16"/>
                <w:szCs w:val="16"/>
                <w:lang w:eastAsia="es-CR"/>
              </w:rPr>
              <w:t>Oficina</w:t>
            </w:r>
          </w:p>
        </w:tc>
        <w:tc>
          <w:tcPr>
            <w:tcW w:w="2600" w:type="dxa"/>
            <w:tcBorders>
              <w:top w:val="single" w:sz="4" w:space="0" w:color="808080"/>
              <w:left w:val="nil"/>
              <w:bottom w:val="single" w:sz="4" w:space="0" w:color="808080"/>
              <w:right w:val="single" w:sz="4" w:space="0" w:color="808080"/>
            </w:tcBorders>
            <w:shd w:val="clear" w:color="000000" w:fill="305496"/>
            <w:vAlign w:val="center"/>
            <w:hideMark/>
          </w:tcPr>
          <w:p w14:paraId="6D37C037" w14:textId="77777777" w:rsidR="00744F07" w:rsidRPr="00744F07" w:rsidRDefault="00744F07" w:rsidP="00744F07">
            <w:pPr>
              <w:jc w:val="center"/>
              <w:rPr>
                <w:rFonts w:ascii="Book Antiqua" w:hAnsi="Book Antiqua" w:cs="Calibri"/>
                <w:b/>
                <w:bCs/>
                <w:color w:val="FFFFFF"/>
                <w:sz w:val="16"/>
                <w:szCs w:val="16"/>
                <w:lang w:eastAsia="es-CR"/>
              </w:rPr>
            </w:pPr>
            <w:r w:rsidRPr="00744F07">
              <w:rPr>
                <w:rFonts w:ascii="Book Antiqua" w:hAnsi="Book Antiqua" w:cs="Calibri"/>
                <w:b/>
                <w:bCs/>
                <w:color w:val="FFFFFF"/>
                <w:sz w:val="16"/>
                <w:szCs w:val="16"/>
                <w:lang w:eastAsia="es-CR"/>
              </w:rPr>
              <w:t>Porcentaje cumplimiento cuota teórica de asuntos terminados</w:t>
            </w:r>
          </w:p>
        </w:tc>
      </w:tr>
      <w:tr w:rsidR="00744F07" w:rsidRPr="00744F07" w14:paraId="05E40393" w14:textId="77777777" w:rsidTr="00744F07">
        <w:trPr>
          <w:trHeight w:val="290"/>
          <w:jc w:val="center"/>
        </w:trPr>
        <w:tc>
          <w:tcPr>
            <w:tcW w:w="38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A25CB" w14:textId="77777777" w:rsidR="00744F07" w:rsidRPr="00744F07" w:rsidRDefault="00744F07" w:rsidP="00744F07">
            <w:pPr>
              <w:rPr>
                <w:rFonts w:ascii="Book Antiqua" w:hAnsi="Book Antiqua" w:cs="Calibri"/>
                <w:sz w:val="16"/>
                <w:szCs w:val="16"/>
                <w:lang w:eastAsia="es-CR"/>
              </w:rPr>
            </w:pPr>
            <w:r w:rsidRPr="00744F07">
              <w:rPr>
                <w:rFonts w:ascii="Book Antiqua" w:hAnsi="Book Antiqua" w:cs="Calibri"/>
                <w:sz w:val="16"/>
                <w:szCs w:val="16"/>
                <w:lang w:eastAsia="es-CR"/>
              </w:rPr>
              <w:t>Juzgado Ejecución de La Pena de Liberia</w:t>
            </w:r>
          </w:p>
        </w:tc>
        <w:tc>
          <w:tcPr>
            <w:tcW w:w="2600" w:type="dxa"/>
            <w:tcBorders>
              <w:top w:val="nil"/>
              <w:left w:val="single" w:sz="4" w:space="0" w:color="808080"/>
              <w:bottom w:val="single" w:sz="4" w:space="0" w:color="808080"/>
              <w:right w:val="single" w:sz="4" w:space="0" w:color="808080"/>
            </w:tcBorders>
            <w:shd w:val="clear" w:color="auto" w:fill="auto"/>
            <w:noWrap/>
            <w:vAlign w:val="center"/>
            <w:hideMark/>
          </w:tcPr>
          <w:p w14:paraId="4C08BA68" w14:textId="77777777" w:rsidR="00744F07" w:rsidRPr="00744F07" w:rsidRDefault="00744F07" w:rsidP="00744F07">
            <w:pPr>
              <w:jc w:val="center"/>
              <w:rPr>
                <w:rFonts w:ascii="Book Antiqua" w:hAnsi="Book Antiqua" w:cs="Calibri"/>
                <w:color w:val="000000"/>
                <w:sz w:val="16"/>
                <w:szCs w:val="16"/>
                <w:lang w:eastAsia="es-CR"/>
              </w:rPr>
            </w:pPr>
            <w:r w:rsidRPr="00744F07">
              <w:rPr>
                <w:rFonts w:ascii="Book Antiqua" w:hAnsi="Book Antiqua" w:cs="Calibri"/>
                <w:color w:val="000000"/>
                <w:sz w:val="16"/>
                <w:szCs w:val="16"/>
                <w:lang w:eastAsia="es-CR"/>
              </w:rPr>
              <w:t>133%</w:t>
            </w:r>
          </w:p>
        </w:tc>
      </w:tr>
      <w:tr w:rsidR="00744F07" w:rsidRPr="00744F07" w14:paraId="34B2A0FB" w14:textId="77777777" w:rsidTr="00744F07">
        <w:trPr>
          <w:trHeight w:val="290"/>
          <w:jc w:val="center"/>
        </w:trPr>
        <w:tc>
          <w:tcPr>
            <w:tcW w:w="3861" w:type="dxa"/>
            <w:tcBorders>
              <w:top w:val="nil"/>
              <w:left w:val="single" w:sz="4" w:space="0" w:color="auto"/>
              <w:bottom w:val="single" w:sz="4" w:space="0" w:color="auto"/>
              <w:right w:val="single" w:sz="4" w:space="0" w:color="auto"/>
            </w:tcBorders>
            <w:shd w:val="clear" w:color="auto" w:fill="auto"/>
            <w:noWrap/>
            <w:vAlign w:val="center"/>
            <w:hideMark/>
          </w:tcPr>
          <w:p w14:paraId="1769BF13" w14:textId="77777777" w:rsidR="00744F07" w:rsidRPr="00744F07" w:rsidRDefault="00744F07" w:rsidP="00744F07">
            <w:pPr>
              <w:rPr>
                <w:rFonts w:ascii="Book Antiqua" w:hAnsi="Book Antiqua" w:cs="Calibri"/>
                <w:sz w:val="16"/>
                <w:szCs w:val="16"/>
                <w:lang w:eastAsia="es-CR"/>
              </w:rPr>
            </w:pPr>
            <w:r w:rsidRPr="00744F07">
              <w:rPr>
                <w:rFonts w:ascii="Book Antiqua" w:hAnsi="Book Antiqua" w:cs="Calibri"/>
                <w:sz w:val="16"/>
                <w:szCs w:val="16"/>
                <w:lang w:eastAsia="es-CR"/>
              </w:rPr>
              <w:t>Juzgado Ejecución de La Pena de Cartago</w:t>
            </w:r>
          </w:p>
        </w:tc>
        <w:tc>
          <w:tcPr>
            <w:tcW w:w="2600" w:type="dxa"/>
            <w:tcBorders>
              <w:top w:val="nil"/>
              <w:left w:val="single" w:sz="4" w:space="0" w:color="808080"/>
              <w:bottom w:val="single" w:sz="4" w:space="0" w:color="808080"/>
              <w:right w:val="single" w:sz="4" w:space="0" w:color="808080"/>
            </w:tcBorders>
            <w:shd w:val="clear" w:color="auto" w:fill="auto"/>
            <w:noWrap/>
            <w:vAlign w:val="center"/>
            <w:hideMark/>
          </w:tcPr>
          <w:p w14:paraId="4ED3F6DF" w14:textId="77777777" w:rsidR="00744F07" w:rsidRPr="00744F07" w:rsidRDefault="00744F07" w:rsidP="00744F07">
            <w:pPr>
              <w:jc w:val="center"/>
              <w:rPr>
                <w:rFonts w:ascii="Book Antiqua" w:hAnsi="Book Antiqua" w:cs="Calibri"/>
                <w:color w:val="000000"/>
                <w:sz w:val="16"/>
                <w:szCs w:val="16"/>
                <w:lang w:eastAsia="es-CR"/>
              </w:rPr>
            </w:pPr>
            <w:r w:rsidRPr="00744F07">
              <w:rPr>
                <w:rFonts w:ascii="Book Antiqua" w:hAnsi="Book Antiqua" w:cs="Calibri"/>
                <w:color w:val="000000"/>
                <w:sz w:val="16"/>
                <w:szCs w:val="16"/>
                <w:lang w:eastAsia="es-CR"/>
              </w:rPr>
              <w:t>109%</w:t>
            </w:r>
          </w:p>
        </w:tc>
      </w:tr>
      <w:tr w:rsidR="00744F07" w:rsidRPr="00744F07" w14:paraId="0C1EE4CB" w14:textId="77777777" w:rsidTr="00744F07">
        <w:trPr>
          <w:trHeight w:val="290"/>
          <w:jc w:val="center"/>
        </w:trPr>
        <w:tc>
          <w:tcPr>
            <w:tcW w:w="3861" w:type="dxa"/>
            <w:tcBorders>
              <w:top w:val="nil"/>
              <w:left w:val="single" w:sz="4" w:space="0" w:color="auto"/>
              <w:bottom w:val="single" w:sz="4" w:space="0" w:color="auto"/>
              <w:right w:val="single" w:sz="4" w:space="0" w:color="auto"/>
            </w:tcBorders>
            <w:shd w:val="clear" w:color="auto" w:fill="auto"/>
            <w:noWrap/>
            <w:vAlign w:val="center"/>
            <w:hideMark/>
          </w:tcPr>
          <w:p w14:paraId="43D67A1A" w14:textId="77777777" w:rsidR="00744F07" w:rsidRPr="00744F07" w:rsidRDefault="00744F07" w:rsidP="00744F07">
            <w:pPr>
              <w:rPr>
                <w:rFonts w:ascii="Book Antiqua" w:hAnsi="Book Antiqua" w:cs="Calibri"/>
                <w:sz w:val="16"/>
                <w:szCs w:val="16"/>
                <w:lang w:eastAsia="es-CR"/>
              </w:rPr>
            </w:pPr>
            <w:r w:rsidRPr="00744F07">
              <w:rPr>
                <w:rFonts w:ascii="Book Antiqua" w:hAnsi="Book Antiqua" w:cs="Calibri"/>
                <w:sz w:val="16"/>
                <w:szCs w:val="16"/>
                <w:lang w:eastAsia="es-CR"/>
              </w:rPr>
              <w:t>Juzgado Ejecución de La Pena de San José</w:t>
            </w:r>
          </w:p>
        </w:tc>
        <w:tc>
          <w:tcPr>
            <w:tcW w:w="2600" w:type="dxa"/>
            <w:tcBorders>
              <w:top w:val="nil"/>
              <w:left w:val="single" w:sz="4" w:space="0" w:color="808080"/>
              <w:bottom w:val="single" w:sz="4" w:space="0" w:color="808080"/>
              <w:right w:val="single" w:sz="4" w:space="0" w:color="808080"/>
            </w:tcBorders>
            <w:shd w:val="clear" w:color="auto" w:fill="auto"/>
            <w:noWrap/>
            <w:vAlign w:val="center"/>
            <w:hideMark/>
          </w:tcPr>
          <w:p w14:paraId="161704C6" w14:textId="77777777" w:rsidR="00744F07" w:rsidRPr="00744F07" w:rsidRDefault="00744F07" w:rsidP="00744F07">
            <w:pPr>
              <w:jc w:val="center"/>
              <w:rPr>
                <w:rFonts w:ascii="Book Antiqua" w:hAnsi="Book Antiqua" w:cs="Calibri"/>
                <w:color w:val="000000"/>
                <w:sz w:val="16"/>
                <w:szCs w:val="16"/>
                <w:lang w:eastAsia="es-CR"/>
              </w:rPr>
            </w:pPr>
            <w:r w:rsidRPr="00744F07">
              <w:rPr>
                <w:rFonts w:ascii="Book Antiqua" w:hAnsi="Book Antiqua" w:cs="Calibri"/>
                <w:color w:val="000000"/>
                <w:sz w:val="16"/>
                <w:szCs w:val="16"/>
                <w:lang w:eastAsia="es-CR"/>
              </w:rPr>
              <w:t>98%</w:t>
            </w:r>
          </w:p>
        </w:tc>
      </w:tr>
      <w:tr w:rsidR="00744F07" w:rsidRPr="00744F07" w14:paraId="43D14BAC" w14:textId="77777777" w:rsidTr="00744F07">
        <w:trPr>
          <w:trHeight w:val="290"/>
          <w:jc w:val="center"/>
        </w:trPr>
        <w:tc>
          <w:tcPr>
            <w:tcW w:w="3861" w:type="dxa"/>
            <w:tcBorders>
              <w:top w:val="nil"/>
              <w:left w:val="single" w:sz="4" w:space="0" w:color="auto"/>
              <w:bottom w:val="single" w:sz="4" w:space="0" w:color="auto"/>
              <w:right w:val="single" w:sz="4" w:space="0" w:color="auto"/>
            </w:tcBorders>
            <w:shd w:val="clear" w:color="auto" w:fill="auto"/>
            <w:noWrap/>
            <w:vAlign w:val="center"/>
            <w:hideMark/>
          </w:tcPr>
          <w:p w14:paraId="183BF074" w14:textId="77777777" w:rsidR="00744F07" w:rsidRPr="00744F07" w:rsidRDefault="00744F07" w:rsidP="00744F07">
            <w:pPr>
              <w:rPr>
                <w:rFonts w:ascii="Book Antiqua" w:hAnsi="Book Antiqua" w:cs="Calibri"/>
                <w:sz w:val="16"/>
                <w:szCs w:val="16"/>
                <w:lang w:eastAsia="es-CR"/>
              </w:rPr>
            </w:pPr>
            <w:r w:rsidRPr="00744F07">
              <w:rPr>
                <w:rFonts w:ascii="Book Antiqua" w:hAnsi="Book Antiqua" w:cs="Calibri"/>
                <w:sz w:val="16"/>
                <w:szCs w:val="16"/>
                <w:lang w:eastAsia="es-CR"/>
              </w:rPr>
              <w:t>Juzgado Ejecución de La Pena de Alajuela</w:t>
            </w:r>
          </w:p>
        </w:tc>
        <w:tc>
          <w:tcPr>
            <w:tcW w:w="2600" w:type="dxa"/>
            <w:tcBorders>
              <w:top w:val="nil"/>
              <w:left w:val="single" w:sz="4" w:space="0" w:color="808080"/>
              <w:bottom w:val="single" w:sz="4" w:space="0" w:color="808080"/>
              <w:right w:val="single" w:sz="4" w:space="0" w:color="808080"/>
            </w:tcBorders>
            <w:shd w:val="clear" w:color="auto" w:fill="auto"/>
            <w:noWrap/>
            <w:vAlign w:val="center"/>
            <w:hideMark/>
          </w:tcPr>
          <w:p w14:paraId="4E84482A" w14:textId="77777777" w:rsidR="00744F07" w:rsidRPr="00744F07" w:rsidRDefault="00744F07" w:rsidP="00744F07">
            <w:pPr>
              <w:jc w:val="center"/>
              <w:rPr>
                <w:rFonts w:ascii="Book Antiqua" w:hAnsi="Book Antiqua" w:cs="Calibri"/>
                <w:color w:val="000000"/>
                <w:sz w:val="16"/>
                <w:szCs w:val="16"/>
                <w:lang w:eastAsia="es-CR"/>
              </w:rPr>
            </w:pPr>
            <w:r w:rsidRPr="00744F07">
              <w:rPr>
                <w:rFonts w:ascii="Book Antiqua" w:hAnsi="Book Antiqua" w:cs="Calibri"/>
                <w:color w:val="000000"/>
                <w:sz w:val="16"/>
                <w:szCs w:val="16"/>
                <w:lang w:eastAsia="es-CR"/>
              </w:rPr>
              <w:t>78%</w:t>
            </w:r>
          </w:p>
        </w:tc>
      </w:tr>
      <w:tr w:rsidR="00744F07" w:rsidRPr="00744F07" w14:paraId="2670513D" w14:textId="77777777" w:rsidTr="00744F07">
        <w:trPr>
          <w:trHeight w:val="290"/>
          <w:jc w:val="center"/>
        </w:trPr>
        <w:tc>
          <w:tcPr>
            <w:tcW w:w="3861" w:type="dxa"/>
            <w:tcBorders>
              <w:top w:val="nil"/>
              <w:left w:val="single" w:sz="4" w:space="0" w:color="auto"/>
              <w:bottom w:val="single" w:sz="4" w:space="0" w:color="auto"/>
              <w:right w:val="single" w:sz="4" w:space="0" w:color="auto"/>
            </w:tcBorders>
            <w:shd w:val="clear" w:color="auto" w:fill="auto"/>
            <w:noWrap/>
            <w:vAlign w:val="center"/>
            <w:hideMark/>
          </w:tcPr>
          <w:p w14:paraId="4F50EC36" w14:textId="77777777" w:rsidR="00744F07" w:rsidRPr="00744F07" w:rsidRDefault="00744F07" w:rsidP="00744F07">
            <w:pPr>
              <w:rPr>
                <w:rFonts w:ascii="Book Antiqua" w:hAnsi="Book Antiqua" w:cs="Calibri"/>
                <w:sz w:val="16"/>
                <w:szCs w:val="16"/>
                <w:lang w:eastAsia="es-CR"/>
              </w:rPr>
            </w:pPr>
            <w:r w:rsidRPr="00744F07">
              <w:rPr>
                <w:rFonts w:ascii="Book Antiqua" w:hAnsi="Book Antiqua" w:cs="Calibri"/>
                <w:sz w:val="16"/>
                <w:szCs w:val="16"/>
                <w:lang w:eastAsia="es-CR"/>
              </w:rPr>
              <w:t>Juzgado Ejecución de La Pena de Puntarenas</w:t>
            </w:r>
          </w:p>
        </w:tc>
        <w:tc>
          <w:tcPr>
            <w:tcW w:w="2600" w:type="dxa"/>
            <w:tcBorders>
              <w:top w:val="nil"/>
              <w:left w:val="single" w:sz="4" w:space="0" w:color="808080"/>
              <w:bottom w:val="single" w:sz="4" w:space="0" w:color="808080"/>
              <w:right w:val="single" w:sz="4" w:space="0" w:color="808080"/>
            </w:tcBorders>
            <w:shd w:val="clear" w:color="auto" w:fill="auto"/>
            <w:noWrap/>
            <w:vAlign w:val="center"/>
            <w:hideMark/>
          </w:tcPr>
          <w:p w14:paraId="6E82AE94" w14:textId="77777777" w:rsidR="00744F07" w:rsidRPr="00744F07" w:rsidRDefault="00744F07" w:rsidP="00744F07">
            <w:pPr>
              <w:jc w:val="center"/>
              <w:rPr>
                <w:rFonts w:ascii="Book Antiqua" w:hAnsi="Book Antiqua" w:cs="Calibri"/>
                <w:color w:val="000000"/>
                <w:sz w:val="16"/>
                <w:szCs w:val="16"/>
                <w:lang w:eastAsia="es-CR"/>
              </w:rPr>
            </w:pPr>
            <w:r w:rsidRPr="00744F07">
              <w:rPr>
                <w:rFonts w:ascii="Book Antiqua" w:hAnsi="Book Antiqua" w:cs="Calibri"/>
                <w:color w:val="000000"/>
                <w:sz w:val="16"/>
                <w:szCs w:val="16"/>
                <w:lang w:eastAsia="es-CR"/>
              </w:rPr>
              <w:t>78%</w:t>
            </w:r>
          </w:p>
        </w:tc>
      </w:tr>
      <w:tr w:rsidR="00744F07" w:rsidRPr="00744F07" w14:paraId="1FA106A5" w14:textId="77777777" w:rsidTr="00744F07">
        <w:trPr>
          <w:trHeight w:val="290"/>
          <w:jc w:val="center"/>
        </w:trPr>
        <w:tc>
          <w:tcPr>
            <w:tcW w:w="3861" w:type="dxa"/>
            <w:tcBorders>
              <w:top w:val="nil"/>
              <w:left w:val="single" w:sz="4" w:space="0" w:color="auto"/>
              <w:bottom w:val="single" w:sz="4" w:space="0" w:color="auto"/>
              <w:right w:val="single" w:sz="4" w:space="0" w:color="auto"/>
            </w:tcBorders>
            <w:shd w:val="clear" w:color="auto" w:fill="auto"/>
            <w:noWrap/>
            <w:vAlign w:val="center"/>
            <w:hideMark/>
          </w:tcPr>
          <w:p w14:paraId="3DE9532C" w14:textId="77777777" w:rsidR="00744F07" w:rsidRPr="00744F07" w:rsidRDefault="00744F07" w:rsidP="00744F07">
            <w:pPr>
              <w:rPr>
                <w:rFonts w:ascii="Book Antiqua" w:hAnsi="Book Antiqua" w:cs="Calibri"/>
                <w:sz w:val="16"/>
                <w:szCs w:val="16"/>
                <w:lang w:eastAsia="es-CR"/>
              </w:rPr>
            </w:pPr>
            <w:r w:rsidRPr="00744F07">
              <w:rPr>
                <w:rFonts w:ascii="Book Antiqua" w:hAnsi="Book Antiqua" w:cs="Calibri"/>
                <w:sz w:val="16"/>
                <w:szCs w:val="16"/>
                <w:lang w:eastAsia="es-CR"/>
              </w:rPr>
              <w:t>Juzgado Ejecución de La Pena de Limón</w:t>
            </w:r>
          </w:p>
        </w:tc>
        <w:tc>
          <w:tcPr>
            <w:tcW w:w="2600" w:type="dxa"/>
            <w:tcBorders>
              <w:top w:val="nil"/>
              <w:left w:val="single" w:sz="4" w:space="0" w:color="808080"/>
              <w:bottom w:val="single" w:sz="4" w:space="0" w:color="808080"/>
              <w:right w:val="single" w:sz="4" w:space="0" w:color="808080"/>
            </w:tcBorders>
            <w:shd w:val="clear" w:color="auto" w:fill="auto"/>
            <w:noWrap/>
            <w:vAlign w:val="center"/>
            <w:hideMark/>
          </w:tcPr>
          <w:p w14:paraId="3B2899CC" w14:textId="77777777" w:rsidR="00744F07" w:rsidRPr="00744F07" w:rsidRDefault="00744F07" w:rsidP="00744F07">
            <w:pPr>
              <w:jc w:val="center"/>
              <w:rPr>
                <w:rFonts w:ascii="Book Antiqua" w:hAnsi="Book Antiqua" w:cs="Calibri"/>
                <w:color w:val="000000"/>
                <w:sz w:val="16"/>
                <w:szCs w:val="16"/>
                <w:lang w:eastAsia="es-CR"/>
              </w:rPr>
            </w:pPr>
            <w:r w:rsidRPr="00744F07">
              <w:rPr>
                <w:rFonts w:ascii="Book Antiqua" w:hAnsi="Book Antiqua" w:cs="Calibri"/>
                <w:color w:val="000000"/>
                <w:sz w:val="16"/>
                <w:szCs w:val="16"/>
                <w:lang w:eastAsia="es-CR"/>
              </w:rPr>
              <w:t>55%</w:t>
            </w:r>
          </w:p>
        </w:tc>
      </w:tr>
      <w:tr w:rsidR="00744F07" w:rsidRPr="00744F07" w14:paraId="6400E7D4" w14:textId="77777777" w:rsidTr="00744F07">
        <w:trPr>
          <w:trHeight w:val="290"/>
          <w:jc w:val="center"/>
        </w:trPr>
        <w:tc>
          <w:tcPr>
            <w:tcW w:w="3861"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F88B21E" w14:textId="77777777" w:rsidR="00744F07" w:rsidRPr="00744F07" w:rsidRDefault="00744F07" w:rsidP="00744F07">
            <w:pPr>
              <w:rPr>
                <w:rFonts w:ascii="Book Antiqua" w:hAnsi="Book Antiqua" w:cs="Calibri"/>
                <w:sz w:val="16"/>
                <w:szCs w:val="16"/>
                <w:lang w:eastAsia="es-CR"/>
              </w:rPr>
            </w:pPr>
            <w:r w:rsidRPr="00744F07">
              <w:rPr>
                <w:rFonts w:ascii="Book Antiqua" w:hAnsi="Book Antiqua" w:cs="Calibri"/>
                <w:sz w:val="16"/>
                <w:szCs w:val="16"/>
                <w:lang w:eastAsia="es-CR"/>
              </w:rPr>
              <w:t>Juzgado Ejecución de La Pena de Pococí</w:t>
            </w:r>
          </w:p>
        </w:tc>
        <w:tc>
          <w:tcPr>
            <w:tcW w:w="2600" w:type="dxa"/>
            <w:tcBorders>
              <w:top w:val="nil"/>
              <w:left w:val="single" w:sz="4" w:space="0" w:color="808080"/>
              <w:bottom w:val="single" w:sz="4" w:space="0" w:color="808080"/>
              <w:right w:val="single" w:sz="4" w:space="0" w:color="808080"/>
            </w:tcBorders>
            <w:shd w:val="clear" w:color="auto" w:fill="F2F2F2" w:themeFill="background1" w:themeFillShade="F2"/>
            <w:noWrap/>
            <w:vAlign w:val="center"/>
            <w:hideMark/>
          </w:tcPr>
          <w:p w14:paraId="3A26225C" w14:textId="77777777" w:rsidR="00744F07" w:rsidRPr="00744F07" w:rsidRDefault="00744F07" w:rsidP="00744F07">
            <w:pPr>
              <w:jc w:val="center"/>
              <w:rPr>
                <w:rFonts w:ascii="Book Antiqua" w:hAnsi="Book Antiqua" w:cs="Calibri"/>
                <w:color w:val="000000"/>
                <w:sz w:val="16"/>
                <w:szCs w:val="16"/>
                <w:lang w:eastAsia="es-CR"/>
              </w:rPr>
            </w:pPr>
            <w:r w:rsidRPr="00744F07">
              <w:rPr>
                <w:rFonts w:ascii="Book Antiqua" w:hAnsi="Book Antiqua" w:cs="Calibri"/>
                <w:color w:val="000000"/>
                <w:sz w:val="16"/>
                <w:szCs w:val="16"/>
                <w:lang w:eastAsia="es-CR"/>
              </w:rPr>
              <w:t>0%</w:t>
            </w:r>
          </w:p>
        </w:tc>
      </w:tr>
      <w:tr w:rsidR="00744F07" w:rsidRPr="00744F07" w14:paraId="4305EBEB" w14:textId="77777777" w:rsidTr="00744F07">
        <w:trPr>
          <w:trHeight w:val="290"/>
          <w:jc w:val="center"/>
        </w:trPr>
        <w:tc>
          <w:tcPr>
            <w:tcW w:w="386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1CAAA01" w14:textId="77777777" w:rsidR="00744F07" w:rsidRPr="00744F07" w:rsidRDefault="00744F07" w:rsidP="00744F07">
            <w:pPr>
              <w:rPr>
                <w:rFonts w:ascii="Book Antiqua" w:hAnsi="Book Antiqua" w:cs="Calibri"/>
                <w:b/>
                <w:bCs/>
                <w:color w:val="000000"/>
                <w:sz w:val="16"/>
                <w:szCs w:val="16"/>
                <w:lang w:eastAsia="es-CR"/>
              </w:rPr>
            </w:pPr>
            <w:r w:rsidRPr="00744F07">
              <w:rPr>
                <w:rFonts w:ascii="Book Antiqua" w:hAnsi="Book Antiqua" w:cs="Calibri"/>
                <w:b/>
                <w:bCs/>
                <w:color w:val="000000"/>
                <w:sz w:val="16"/>
                <w:szCs w:val="16"/>
                <w:lang w:eastAsia="es-CR"/>
              </w:rPr>
              <w:t>Promedio Global</w:t>
            </w:r>
          </w:p>
        </w:tc>
        <w:tc>
          <w:tcPr>
            <w:tcW w:w="2600" w:type="dxa"/>
            <w:tcBorders>
              <w:top w:val="nil"/>
              <w:left w:val="nil"/>
              <w:bottom w:val="single" w:sz="4" w:space="0" w:color="808080"/>
              <w:right w:val="single" w:sz="4" w:space="0" w:color="808080"/>
            </w:tcBorders>
            <w:shd w:val="clear" w:color="auto" w:fill="auto"/>
            <w:noWrap/>
            <w:vAlign w:val="center"/>
            <w:hideMark/>
          </w:tcPr>
          <w:p w14:paraId="26E890C0" w14:textId="77777777" w:rsidR="00744F07" w:rsidRPr="00744F07" w:rsidRDefault="00744F07" w:rsidP="00744F07">
            <w:pPr>
              <w:jc w:val="center"/>
              <w:rPr>
                <w:rFonts w:ascii="Book Antiqua" w:hAnsi="Book Antiqua" w:cs="Calibri"/>
                <w:b/>
                <w:bCs/>
                <w:color w:val="000000"/>
                <w:sz w:val="16"/>
                <w:szCs w:val="16"/>
                <w:lang w:eastAsia="es-CR"/>
              </w:rPr>
            </w:pPr>
            <w:r w:rsidRPr="00744F07">
              <w:rPr>
                <w:rFonts w:ascii="Book Antiqua" w:hAnsi="Book Antiqua" w:cs="Calibri"/>
                <w:b/>
                <w:bCs/>
                <w:color w:val="000000"/>
                <w:sz w:val="16"/>
                <w:szCs w:val="16"/>
                <w:lang w:eastAsia="es-CR"/>
              </w:rPr>
              <w:t>92%</w:t>
            </w:r>
          </w:p>
        </w:tc>
      </w:tr>
    </w:tbl>
    <w:p w14:paraId="0C188CDA" w14:textId="77777777" w:rsidR="000A6207" w:rsidRDefault="000A6207" w:rsidP="000A6207">
      <w:pPr>
        <w:spacing w:line="276" w:lineRule="auto"/>
        <w:jc w:val="both"/>
        <w:rPr>
          <w:rFonts w:ascii="Book Antiqua" w:eastAsia="Book Antiqua" w:hAnsi="Book Antiqua" w:cs="Book Antiqua"/>
          <w:sz w:val="18"/>
          <w:szCs w:val="18"/>
        </w:rPr>
      </w:pPr>
      <w:r w:rsidRPr="009B6941">
        <w:rPr>
          <w:rFonts w:ascii="Book Antiqua" w:hAnsi="Book Antiqua"/>
          <w:bCs/>
          <w:color w:val="000000" w:themeColor="text1"/>
          <w:sz w:val="18"/>
          <w:szCs w:val="18"/>
        </w:rPr>
        <w:t xml:space="preserve">Nota: Las oficinas con ausencia del porcentaje de producción, obedece a que la información no fue recibida por esta dirección. En el caso del </w:t>
      </w:r>
      <w:r w:rsidRPr="0033474E">
        <w:rPr>
          <w:rFonts w:ascii="Book Antiqua" w:eastAsia="Book Antiqua" w:hAnsi="Book Antiqua" w:cs="Book Antiqua"/>
          <w:sz w:val="18"/>
          <w:szCs w:val="18"/>
        </w:rPr>
        <w:t>Juzgado Ejecución de La Pena de Pococí</w:t>
      </w:r>
      <w:r>
        <w:rPr>
          <w:rFonts w:ascii="Book Antiqua" w:eastAsia="Book Antiqua" w:hAnsi="Book Antiqua" w:cs="Book Antiqua"/>
          <w:sz w:val="18"/>
          <w:szCs w:val="18"/>
        </w:rPr>
        <w:t xml:space="preserve">, </w:t>
      </w:r>
      <w:r w:rsidRPr="009B6941">
        <w:rPr>
          <w:rFonts w:ascii="Book Antiqua" w:eastAsia="Book Antiqua" w:hAnsi="Book Antiqua" w:cs="Book Antiqua"/>
          <w:sz w:val="18"/>
          <w:szCs w:val="18"/>
        </w:rPr>
        <w:t>al no recibirse ningún dato se excluye del cálculo de la media general</w:t>
      </w:r>
      <w:r>
        <w:rPr>
          <w:rFonts w:ascii="Book Antiqua" w:eastAsia="Book Antiqua" w:hAnsi="Book Antiqua" w:cs="Book Antiqua"/>
          <w:sz w:val="18"/>
          <w:szCs w:val="18"/>
        </w:rPr>
        <w:t>.</w:t>
      </w:r>
    </w:p>
    <w:p w14:paraId="24E035E1" w14:textId="77777777" w:rsidR="000A6207" w:rsidRDefault="000A6207" w:rsidP="000A6207">
      <w:pPr>
        <w:spacing w:line="276" w:lineRule="auto"/>
        <w:rPr>
          <w:rFonts w:ascii="Book Antiqua" w:hAnsi="Book Antiqua"/>
          <w:b/>
          <w:bCs/>
          <w:color w:val="000000" w:themeColor="text1"/>
          <w:sz w:val="20"/>
          <w:szCs w:val="20"/>
        </w:rPr>
      </w:pPr>
      <w:r w:rsidRPr="00677475">
        <w:rPr>
          <w:rFonts w:ascii="Book Antiqua" w:hAnsi="Book Antiqua"/>
          <w:b/>
          <w:bCs/>
          <w:color w:val="000000" w:themeColor="text1"/>
          <w:sz w:val="20"/>
          <w:szCs w:val="20"/>
        </w:rPr>
        <w:t xml:space="preserve">Fuente: </w:t>
      </w:r>
      <w:r w:rsidRPr="00677475">
        <w:rPr>
          <w:rFonts w:ascii="Book Antiqua" w:hAnsi="Book Antiqua"/>
          <w:color w:val="000000" w:themeColor="text1"/>
          <w:sz w:val="20"/>
          <w:szCs w:val="20"/>
        </w:rPr>
        <w:t>Matriz de indicadores de Gestión</w:t>
      </w:r>
    </w:p>
    <w:p w14:paraId="487FB26F" w14:textId="77777777" w:rsidR="000A6207" w:rsidRPr="00921892" w:rsidRDefault="000A6207" w:rsidP="000A6207">
      <w:pPr>
        <w:spacing w:line="276" w:lineRule="auto"/>
        <w:rPr>
          <w:rFonts w:ascii="Book Antiqua" w:hAnsi="Book Antiqua"/>
          <w:b/>
          <w:color w:val="000000" w:themeColor="text1"/>
          <w:highlight w:val="yellow"/>
        </w:rPr>
      </w:pPr>
    </w:p>
    <w:p w14:paraId="65ED20EB" w14:textId="77777777" w:rsidR="000A6207" w:rsidRPr="008F2954" w:rsidRDefault="000A6207" w:rsidP="000A6207">
      <w:pPr>
        <w:spacing w:line="276" w:lineRule="auto"/>
        <w:rPr>
          <w:rFonts w:ascii="Book Antiqua" w:hAnsi="Book Antiqua"/>
          <w:bCs/>
          <w:color w:val="000000" w:themeColor="text1"/>
        </w:rPr>
      </w:pPr>
      <w:r w:rsidRPr="008F2954">
        <w:rPr>
          <w:rFonts w:ascii="Book Antiqua" w:hAnsi="Book Antiqua"/>
          <w:bCs/>
          <w:color w:val="000000" w:themeColor="text1"/>
        </w:rPr>
        <w:t>Con respecto a la firma de expedientes a continuación se puede ver el detalle:</w:t>
      </w:r>
    </w:p>
    <w:p w14:paraId="5514B3FB" w14:textId="77777777" w:rsidR="000A6207" w:rsidRPr="00921892" w:rsidRDefault="000A6207" w:rsidP="000A6207">
      <w:pPr>
        <w:spacing w:line="276" w:lineRule="auto"/>
        <w:rPr>
          <w:rFonts w:ascii="Book Antiqua" w:hAnsi="Book Antiqua"/>
          <w:bCs/>
          <w:color w:val="000000" w:themeColor="text1"/>
          <w:highlight w:val="yellow"/>
        </w:rPr>
      </w:pPr>
    </w:p>
    <w:p w14:paraId="16499182" w14:textId="3B4D7AFF" w:rsidR="000A6207" w:rsidRPr="00B072D8" w:rsidRDefault="000A6207" w:rsidP="000A6207">
      <w:pPr>
        <w:spacing w:line="276" w:lineRule="auto"/>
        <w:jc w:val="both"/>
        <w:rPr>
          <w:rFonts w:ascii="Book Antiqua" w:hAnsi="Book Antiqua"/>
          <w:bCs/>
          <w:color w:val="000000" w:themeColor="text1"/>
        </w:rPr>
      </w:pPr>
      <w:r w:rsidRPr="00B072D8">
        <w:rPr>
          <w:rFonts w:ascii="Book Antiqua" w:hAnsi="Book Antiqua"/>
          <w:bCs/>
          <w:color w:val="000000" w:themeColor="text1"/>
        </w:rPr>
        <w:t xml:space="preserve">Con base en el cuadro se aprecia que el </w:t>
      </w:r>
      <w:r w:rsidRPr="00B072D8">
        <w:rPr>
          <w:rFonts w:ascii="Book Antiqua" w:hAnsi="Book Antiqua" w:cs="Calibri"/>
          <w:color w:val="000000"/>
          <w:lang w:eastAsia="es-CR"/>
        </w:rPr>
        <w:t xml:space="preserve">Juzgado de Ejecución de la Pena de </w:t>
      </w:r>
      <w:r w:rsidR="00744F07">
        <w:rPr>
          <w:rFonts w:ascii="Book Antiqua" w:hAnsi="Book Antiqua" w:cs="Calibri"/>
          <w:color w:val="000000"/>
          <w:lang w:eastAsia="es-CR"/>
        </w:rPr>
        <w:t>San José</w:t>
      </w:r>
      <w:r w:rsidRPr="00B072D8">
        <w:rPr>
          <w:rFonts w:ascii="Book Antiqua" w:hAnsi="Book Antiqua" w:cs="Calibri"/>
          <w:color w:val="000000"/>
          <w:lang w:eastAsia="es-CR"/>
        </w:rPr>
        <w:t xml:space="preserve">, presentan el mayor rendimiento general con un </w:t>
      </w:r>
      <w:r w:rsidR="00744F07">
        <w:rPr>
          <w:rFonts w:ascii="Book Antiqua" w:hAnsi="Book Antiqua" w:cs="Calibri"/>
          <w:color w:val="000000"/>
          <w:lang w:eastAsia="es-CR"/>
        </w:rPr>
        <w:t>639</w:t>
      </w:r>
      <w:r w:rsidRPr="00B072D8">
        <w:rPr>
          <w:rFonts w:ascii="Book Antiqua" w:hAnsi="Book Antiqua" w:cs="Calibri"/>
          <w:color w:val="000000"/>
          <w:lang w:eastAsia="es-CR"/>
        </w:rPr>
        <w:t xml:space="preserve">% de cumplimiento, en tanto, el Juzgado de Ejecución de la Pena del Primer Circuito Judicial de la Zona Atlántica (Limón), </w:t>
      </w:r>
      <w:r>
        <w:rPr>
          <w:rFonts w:ascii="Book Antiqua" w:hAnsi="Book Antiqua" w:cs="Calibri"/>
          <w:color w:val="000000"/>
          <w:lang w:eastAsia="es-CR"/>
        </w:rPr>
        <w:t xml:space="preserve">obtiene rendimiento inferior a la cifra ideal con </w:t>
      </w:r>
      <w:r w:rsidRPr="00B072D8">
        <w:rPr>
          <w:rFonts w:ascii="Book Antiqua" w:hAnsi="Book Antiqua" w:cs="Calibri"/>
          <w:color w:val="000000"/>
          <w:lang w:eastAsia="es-CR"/>
        </w:rPr>
        <w:t xml:space="preserve">un </w:t>
      </w:r>
      <w:r w:rsidR="00744F07">
        <w:rPr>
          <w:rFonts w:ascii="Book Antiqua" w:hAnsi="Book Antiqua" w:cs="Calibri"/>
          <w:color w:val="000000"/>
          <w:lang w:eastAsia="es-CR"/>
        </w:rPr>
        <w:t>64</w:t>
      </w:r>
      <w:r w:rsidRPr="00B072D8">
        <w:rPr>
          <w:rFonts w:ascii="Book Antiqua" w:hAnsi="Book Antiqua" w:cs="Calibri"/>
          <w:color w:val="000000"/>
          <w:lang w:eastAsia="es-CR"/>
        </w:rPr>
        <w:t xml:space="preserve">%. En términos generales los despachos analizados cumplen en un </w:t>
      </w:r>
      <w:r w:rsidR="00744F07">
        <w:rPr>
          <w:rFonts w:ascii="Book Antiqua" w:hAnsi="Book Antiqua" w:cs="Calibri"/>
          <w:color w:val="000000"/>
          <w:lang w:eastAsia="es-CR"/>
        </w:rPr>
        <w:t>293</w:t>
      </w:r>
      <w:r w:rsidRPr="00B072D8">
        <w:rPr>
          <w:rFonts w:ascii="Book Antiqua" w:hAnsi="Book Antiqua" w:cs="Calibri"/>
          <w:color w:val="000000"/>
          <w:lang w:eastAsia="es-CR"/>
        </w:rPr>
        <w:t>%.</w:t>
      </w:r>
    </w:p>
    <w:p w14:paraId="3B907928" w14:textId="77777777" w:rsidR="000A6207" w:rsidRDefault="000A6207" w:rsidP="000A6207">
      <w:pPr>
        <w:spacing w:line="276" w:lineRule="auto"/>
        <w:rPr>
          <w:rFonts w:ascii="Book Antiqua" w:hAnsi="Book Antiqua"/>
          <w:b/>
          <w:color w:val="000000" w:themeColor="text1"/>
          <w:highlight w:val="green"/>
        </w:rPr>
      </w:pPr>
    </w:p>
    <w:p w14:paraId="3084D670" w14:textId="244FB13E" w:rsidR="000A6207" w:rsidRPr="00EC505D" w:rsidRDefault="000A6207" w:rsidP="000A6207">
      <w:pPr>
        <w:spacing w:line="276" w:lineRule="auto"/>
        <w:jc w:val="center"/>
        <w:rPr>
          <w:rFonts w:ascii="Book Antiqua" w:hAnsi="Book Antiqua"/>
          <w:b/>
          <w:color w:val="000000" w:themeColor="text1"/>
        </w:rPr>
      </w:pPr>
      <w:r w:rsidRPr="00EC505D">
        <w:rPr>
          <w:rFonts w:ascii="Book Antiqua" w:hAnsi="Book Antiqua"/>
          <w:b/>
          <w:color w:val="000000" w:themeColor="text1"/>
        </w:rPr>
        <w:t xml:space="preserve">Cuadro </w:t>
      </w:r>
      <w:r w:rsidR="00744F07">
        <w:rPr>
          <w:rFonts w:ascii="Book Antiqua" w:hAnsi="Book Antiqua"/>
          <w:b/>
          <w:color w:val="000000" w:themeColor="text1"/>
        </w:rPr>
        <w:t>7</w:t>
      </w:r>
      <w:r w:rsidR="000D77D4">
        <w:rPr>
          <w:rFonts w:ascii="Book Antiqua" w:hAnsi="Book Antiqua"/>
          <w:b/>
          <w:color w:val="000000" w:themeColor="text1"/>
        </w:rPr>
        <w:t>2</w:t>
      </w:r>
    </w:p>
    <w:p w14:paraId="73235788" w14:textId="08CC0F5F" w:rsidR="000A6207" w:rsidRDefault="000A6207" w:rsidP="000A6207">
      <w:pPr>
        <w:spacing w:line="276" w:lineRule="auto"/>
        <w:jc w:val="center"/>
        <w:rPr>
          <w:rFonts w:ascii="Book Antiqua" w:hAnsi="Book Antiqua"/>
          <w:bCs/>
          <w:color w:val="000000" w:themeColor="text1"/>
        </w:rPr>
      </w:pPr>
      <w:r w:rsidRPr="00921892">
        <w:rPr>
          <w:rFonts w:ascii="Book Antiqua" w:hAnsi="Book Antiqua"/>
          <w:bCs/>
          <w:color w:val="000000" w:themeColor="text1"/>
        </w:rPr>
        <w:t xml:space="preserve">Cumplimiento del parámetro de producción teórico de firma de </w:t>
      </w:r>
      <w:r>
        <w:rPr>
          <w:rFonts w:ascii="Book Antiqua" w:hAnsi="Book Antiqua"/>
          <w:bCs/>
          <w:color w:val="000000" w:themeColor="text1"/>
        </w:rPr>
        <w:t>expedientes</w:t>
      </w:r>
      <w:r w:rsidRPr="00921892">
        <w:rPr>
          <w:rFonts w:ascii="Book Antiqua" w:hAnsi="Book Antiqua"/>
          <w:bCs/>
          <w:color w:val="000000" w:themeColor="text1"/>
        </w:rPr>
        <w:t xml:space="preserve"> </w:t>
      </w:r>
      <w:r>
        <w:rPr>
          <w:rFonts w:ascii="Book Antiqua" w:hAnsi="Book Antiqua"/>
          <w:bCs/>
          <w:color w:val="000000" w:themeColor="text1"/>
        </w:rPr>
        <w:t xml:space="preserve">de los </w:t>
      </w:r>
      <w:r w:rsidRPr="00921892">
        <w:rPr>
          <w:rFonts w:ascii="Book Antiqua" w:hAnsi="Book Antiqua"/>
          <w:bCs/>
          <w:color w:val="000000" w:themeColor="text1"/>
        </w:rPr>
        <w:t xml:space="preserve">Juzgados de Ejecución de la Penal durante </w:t>
      </w:r>
      <w:r w:rsidR="00E07CA4">
        <w:rPr>
          <w:rFonts w:ascii="Book Antiqua" w:hAnsi="Book Antiqua"/>
          <w:bCs/>
          <w:color w:val="000000" w:themeColor="text1"/>
        </w:rPr>
        <w:t>agosto</w:t>
      </w:r>
      <w:r w:rsidRPr="00921892">
        <w:rPr>
          <w:rFonts w:ascii="Book Antiqua" w:hAnsi="Book Antiqua"/>
          <w:bCs/>
          <w:color w:val="000000" w:themeColor="text1"/>
        </w:rPr>
        <w:t xml:space="preserve"> 2021</w:t>
      </w:r>
    </w:p>
    <w:tbl>
      <w:tblPr>
        <w:tblW w:w="7278" w:type="dxa"/>
        <w:jc w:val="center"/>
        <w:tblCellMar>
          <w:left w:w="70" w:type="dxa"/>
          <w:right w:w="70" w:type="dxa"/>
        </w:tblCellMar>
        <w:tblLook w:val="04A0" w:firstRow="1" w:lastRow="0" w:firstColumn="1" w:lastColumn="0" w:noHBand="0" w:noVBand="1"/>
      </w:tblPr>
      <w:tblGrid>
        <w:gridCol w:w="4778"/>
        <w:gridCol w:w="2500"/>
      </w:tblGrid>
      <w:tr w:rsidR="00E07CA4" w:rsidRPr="00E07CA4" w14:paraId="52AC21F1" w14:textId="77777777" w:rsidTr="00E07CA4">
        <w:trPr>
          <w:trHeight w:val="780"/>
          <w:jc w:val="center"/>
        </w:trPr>
        <w:tc>
          <w:tcPr>
            <w:tcW w:w="4778" w:type="dxa"/>
            <w:tcBorders>
              <w:top w:val="single" w:sz="4" w:space="0" w:color="808080"/>
              <w:left w:val="single" w:sz="4" w:space="0" w:color="808080"/>
              <w:bottom w:val="single" w:sz="4" w:space="0" w:color="808080"/>
              <w:right w:val="single" w:sz="4" w:space="0" w:color="808080"/>
            </w:tcBorders>
            <w:shd w:val="clear" w:color="000000" w:fill="305496"/>
            <w:noWrap/>
            <w:vAlign w:val="center"/>
            <w:hideMark/>
          </w:tcPr>
          <w:p w14:paraId="6360641E" w14:textId="77777777" w:rsidR="00E07CA4" w:rsidRPr="00E07CA4" w:rsidRDefault="00E07CA4" w:rsidP="00E07CA4">
            <w:pPr>
              <w:jc w:val="center"/>
              <w:rPr>
                <w:rFonts w:ascii="Book Antiqua" w:hAnsi="Book Antiqua" w:cs="Calibri"/>
                <w:b/>
                <w:bCs/>
                <w:color w:val="FFFFFF"/>
                <w:sz w:val="16"/>
                <w:szCs w:val="16"/>
                <w:lang w:eastAsia="es-CR"/>
              </w:rPr>
            </w:pPr>
            <w:r w:rsidRPr="00E07CA4">
              <w:rPr>
                <w:rFonts w:ascii="Book Antiqua" w:hAnsi="Book Antiqua" w:cs="Calibri"/>
                <w:b/>
                <w:bCs/>
                <w:color w:val="FFFFFF"/>
                <w:sz w:val="16"/>
                <w:szCs w:val="16"/>
                <w:lang w:eastAsia="es-CR"/>
              </w:rPr>
              <w:t>Oficina</w:t>
            </w:r>
          </w:p>
        </w:tc>
        <w:tc>
          <w:tcPr>
            <w:tcW w:w="2500" w:type="dxa"/>
            <w:tcBorders>
              <w:top w:val="single" w:sz="4" w:space="0" w:color="808080"/>
              <w:left w:val="nil"/>
              <w:bottom w:val="single" w:sz="4" w:space="0" w:color="808080"/>
              <w:right w:val="single" w:sz="4" w:space="0" w:color="808080"/>
            </w:tcBorders>
            <w:shd w:val="clear" w:color="000000" w:fill="305496"/>
            <w:vAlign w:val="center"/>
            <w:hideMark/>
          </w:tcPr>
          <w:p w14:paraId="03EDBE59" w14:textId="77777777" w:rsidR="00E07CA4" w:rsidRPr="00E07CA4" w:rsidRDefault="00E07CA4" w:rsidP="00E07CA4">
            <w:pPr>
              <w:jc w:val="center"/>
              <w:rPr>
                <w:rFonts w:ascii="Book Antiqua" w:hAnsi="Book Antiqua" w:cs="Calibri"/>
                <w:b/>
                <w:bCs/>
                <w:color w:val="FFFFFF"/>
                <w:sz w:val="16"/>
                <w:szCs w:val="16"/>
                <w:lang w:eastAsia="es-CR"/>
              </w:rPr>
            </w:pPr>
            <w:r w:rsidRPr="00E07CA4">
              <w:rPr>
                <w:rFonts w:ascii="Book Antiqua" w:hAnsi="Book Antiqua" w:cs="Calibri"/>
                <w:b/>
                <w:bCs/>
                <w:color w:val="FFFFFF"/>
                <w:sz w:val="16"/>
                <w:szCs w:val="16"/>
                <w:lang w:eastAsia="es-CR"/>
              </w:rPr>
              <w:t>Porcentaje cumplimiento cuota teórica de firma de resolución</w:t>
            </w:r>
          </w:p>
        </w:tc>
      </w:tr>
      <w:tr w:rsidR="00E07CA4" w:rsidRPr="00E07CA4" w14:paraId="39A413B7" w14:textId="77777777" w:rsidTr="00E07CA4">
        <w:trPr>
          <w:trHeight w:val="290"/>
          <w:jc w:val="center"/>
        </w:trPr>
        <w:tc>
          <w:tcPr>
            <w:tcW w:w="47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9EEA93" w14:textId="77777777" w:rsidR="00E07CA4" w:rsidRPr="00E07CA4" w:rsidRDefault="00E07CA4" w:rsidP="00E07CA4">
            <w:pPr>
              <w:rPr>
                <w:rFonts w:ascii="Book Antiqua" w:hAnsi="Book Antiqua" w:cs="Calibri"/>
                <w:sz w:val="16"/>
                <w:szCs w:val="16"/>
                <w:lang w:eastAsia="es-CR"/>
              </w:rPr>
            </w:pPr>
            <w:r w:rsidRPr="00E07CA4">
              <w:rPr>
                <w:rFonts w:ascii="Book Antiqua" w:hAnsi="Book Antiqua" w:cs="Calibri"/>
                <w:sz w:val="16"/>
                <w:szCs w:val="16"/>
                <w:lang w:eastAsia="es-CR"/>
              </w:rPr>
              <w:t>Juzgado Ejecución de La Pena de San José</w:t>
            </w:r>
          </w:p>
        </w:tc>
        <w:tc>
          <w:tcPr>
            <w:tcW w:w="2500" w:type="dxa"/>
            <w:tcBorders>
              <w:top w:val="nil"/>
              <w:left w:val="single" w:sz="4" w:space="0" w:color="808080"/>
              <w:bottom w:val="single" w:sz="4" w:space="0" w:color="808080"/>
              <w:right w:val="single" w:sz="4" w:space="0" w:color="808080"/>
            </w:tcBorders>
            <w:shd w:val="clear" w:color="auto" w:fill="auto"/>
            <w:noWrap/>
            <w:vAlign w:val="center"/>
            <w:hideMark/>
          </w:tcPr>
          <w:p w14:paraId="5B99E2F1" w14:textId="77777777" w:rsidR="00E07CA4" w:rsidRPr="00E07CA4" w:rsidRDefault="00E07CA4" w:rsidP="00E07CA4">
            <w:pPr>
              <w:jc w:val="center"/>
              <w:rPr>
                <w:rFonts w:ascii="Book Antiqua" w:hAnsi="Book Antiqua" w:cs="Calibri"/>
                <w:color w:val="000000"/>
                <w:sz w:val="16"/>
                <w:szCs w:val="16"/>
                <w:lang w:eastAsia="es-CR"/>
              </w:rPr>
            </w:pPr>
            <w:r w:rsidRPr="00E07CA4">
              <w:rPr>
                <w:rFonts w:ascii="Book Antiqua" w:hAnsi="Book Antiqua" w:cs="Calibri"/>
                <w:color w:val="000000"/>
                <w:sz w:val="16"/>
                <w:szCs w:val="16"/>
                <w:lang w:eastAsia="es-CR"/>
              </w:rPr>
              <w:t>639%</w:t>
            </w:r>
          </w:p>
        </w:tc>
      </w:tr>
      <w:tr w:rsidR="00E07CA4" w:rsidRPr="00E07CA4" w14:paraId="0FA168D8" w14:textId="77777777" w:rsidTr="00E07CA4">
        <w:trPr>
          <w:trHeight w:val="290"/>
          <w:jc w:val="center"/>
        </w:trPr>
        <w:tc>
          <w:tcPr>
            <w:tcW w:w="4778" w:type="dxa"/>
            <w:tcBorders>
              <w:top w:val="nil"/>
              <w:left w:val="single" w:sz="4" w:space="0" w:color="auto"/>
              <w:bottom w:val="single" w:sz="4" w:space="0" w:color="auto"/>
              <w:right w:val="single" w:sz="4" w:space="0" w:color="auto"/>
            </w:tcBorders>
            <w:shd w:val="clear" w:color="auto" w:fill="auto"/>
            <w:noWrap/>
            <w:vAlign w:val="center"/>
            <w:hideMark/>
          </w:tcPr>
          <w:p w14:paraId="669516FD" w14:textId="77777777" w:rsidR="00E07CA4" w:rsidRPr="00E07CA4" w:rsidRDefault="00E07CA4" w:rsidP="00E07CA4">
            <w:pPr>
              <w:rPr>
                <w:rFonts w:ascii="Book Antiqua" w:hAnsi="Book Antiqua" w:cs="Calibri"/>
                <w:sz w:val="16"/>
                <w:szCs w:val="16"/>
                <w:lang w:eastAsia="es-CR"/>
              </w:rPr>
            </w:pPr>
            <w:r w:rsidRPr="00E07CA4">
              <w:rPr>
                <w:rFonts w:ascii="Book Antiqua" w:hAnsi="Book Antiqua" w:cs="Calibri"/>
                <w:sz w:val="16"/>
                <w:szCs w:val="16"/>
                <w:lang w:eastAsia="es-CR"/>
              </w:rPr>
              <w:t>Juzgado Ejecución de La Pena de Puntarenas</w:t>
            </w:r>
          </w:p>
        </w:tc>
        <w:tc>
          <w:tcPr>
            <w:tcW w:w="2500" w:type="dxa"/>
            <w:tcBorders>
              <w:top w:val="nil"/>
              <w:left w:val="single" w:sz="4" w:space="0" w:color="808080"/>
              <w:bottom w:val="single" w:sz="4" w:space="0" w:color="808080"/>
              <w:right w:val="single" w:sz="4" w:space="0" w:color="808080"/>
            </w:tcBorders>
            <w:shd w:val="clear" w:color="auto" w:fill="auto"/>
            <w:noWrap/>
            <w:vAlign w:val="center"/>
            <w:hideMark/>
          </w:tcPr>
          <w:p w14:paraId="009FDB01" w14:textId="77777777" w:rsidR="00E07CA4" w:rsidRPr="00E07CA4" w:rsidRDefault="00E07CA4" w:rsidP="00E07CA4">
            <w:pPr>
              <w:jc w:val="center"/>
              <w:rPr>
                <w:rFonts w:ascii="Book Antiqua" w:hAnsi="Book Antiqua" w:cs="Calibri"/>
                <w:color w:val="000000"/>
                <w:sz w:val="16"/>
                <w:szCs w:val="16"/>
                <w:lang w:eastAsia="es-CR"/>
              </w:rPr>
            </w:pPr>
            <w:r w:rsidRPr="00E07CA4">
              <w:rPr>
                <w:rFonts w:ascii="Book Antiqua" w:hAnsi="Book Antiqua" w:cs="Calibri"/>
                <w:color w:val="000000"/>
                <w:sz w:val="16"/>
                <w:szCs w:val="16"/>
                <w:lang w:eastAsia="es-CR"/>
              </w:rPr>
              <w:t>446%</w:t>
            </w:r>
          </w:p>
        </w:tc>
      </w:tr>
      <w:tr w:rsidR="00E07CA4" w:rsidRPr="00E07CA4" w14:paraId="3D2A7BFC" w14:textId="77777777" w:rsidTr="00E07CA4">
        <w:trPr>
          <w:trHeight w:val="290"/>
          <w:jc w:val="center"/>
        </w:trPr>
        <w:tc>
          <w:tcPr>
            <w:tcW w:w="4778" w:type="dxa"/>
            <w:tcBorders>
              <w:top w:val="nil"/>
              <w:left w:val="single" w:sz="4" w:space="0" w:color="auto"/>
              <w:bottom w:val="single" w:sz="4" w:space="0" w:color="auto"/>
              <w:right w:val="single" w:sz="4" w:space="0" w:color="auto"/>
            </w:tcBorders>
            <w:shd w:val="clear" w:color="auto" w:fill="auto"/>
            <w:noWrap/>
            <w:vAlign w:val="center"/>
            <w:hideMark/>
          </w:tcPr>
          <w:p w14:paraId="3E3FD1C7" w14:textId="77777777" w:rsidR="00E07CA4" w:rsidRPr="00E07CA4" w:rsidRDefault="00E07CA4" w:rsidP="00E07CA4">
            <w:pPr>
              <w:rPr>
                <w:rFonts w:ascii="Book Antiqua" w:hAnsi="Book Antiqua" w:cs="Calibri"/>
                <w:sz w:val="16"/>
                <w:szCs w:val="16"/>
                <w:lang w:eastAsia="es-CR"/>
              </w:rPr>
            </w:pPr>
            <w:r w:rsidRPr="00E07CA4">
              <w:rPr>
                <w:rFonts w:ascii="Book Antiqua" w:hAnsi="Book Antiqua" w:cs="Calibri"/>
                <w:sz w:val="16"/>
                <w:szCs w:val="16"/>
                <w:lang w:eastAsia="es-CR"/>
              </w:rPr>
              <w:t>Juzgado Ejecución de La Pena de Alajuela</w:t>
            </w:r>
          </w:p>
        </w:tc>
        <w:tc>
          <w:tcPr>
            <w:tcW w:w="2500" w:type="dxa"/>
            <w:tcBorders>
              <w:top w:val="nil"/>
              <w:left w:val="single" w:sz="4" w:space="0" w:color="808080"/>
              <w:bottom w:val="single" w:sz="4" w:space="0" w:color="808080"/>
              <w:right w:val="single" w:sz="4" w:space="0" w:color="808080"/>
            </w:tcBorders>
            <w:shd w:val="clear" w:color="auto" w:fill="auto"/>
            <w:noWrap/>
            <w:vAlign w:val="center"/>
            <w:hideMark/>
          </w:tcPr>
          <w:p w14:paraId="315FA42F" w14:textId="77777777" w:rsidR="00E07CA4" w:rsidRPr="00E07CA4" w:rsidRDefault="00E07CA4" w:rsidP="00E07CA4">
            <w:pPr>
              <w:jc w:val="center"/>
              <w:rPr>
                <w:rFonts w:ascii="Book Antiqua" w:hAnsi="Book Antiqua" w:cs="Calibri"/>
                <w:color w:val="000000"/>
                <w:sz w:val="16"/>
                <w:szCs w:val="16"/>
                <w:lang w:eastAsia="es-CR"/>
              </w:rPr>
            </w:pPr>
            <w:r w:rsidRPr="00E07CA4">
              <w:rPr>
                <w:rFonts w:ascii="Book Antiqua" w:hAnsi="Book Antiqua" w:cs="Calibri"/>
                <w:color w:val="000000"/>
                <w:sz w:val="16"/>
                <w:szCs w:val="16"/>
                <w:lang w:eastAsia="es-CR"/>
              </w:rPr>
              <w:t>270%</w:t>
            </w:r>
          </w:p>
        </w:tc>
      </w:tr>
      <w:tr w:rsidR="00E07CA4" w:rsidRPr="00E07CA4" w14:paraId="5E8F407B" w14:textId="77777777" w:rsidTr="00E07CA4">
        <w:trPr>
          <w:trHeight w:val="290"/>
          <w:jc w:val="center"/>
        </w:trPr>
        <w:tc>
          <w:tcPr>
            <w:tcW w:w="4778" w:type="dxa"/>
            <w:tcBorders>
              <w:top w:val="nil"/>
              <w:left w:val="single" w:sz="4" w:space="0" w:color="auto"/>
              <w:bottom w:val="single" w:sz="4" w:space="0" w:color="auto"/>
              <w:right w:val="single" w:sz="4" w:space="0" w:color="auto"/>
            </w:tcBorders>
            <w:shd w:val="clear" w:color="auto" w:fill="auto"/>
            <w:noWrap/>
            <w:vAlign w:val="center"/>
            <w:hideMark/>
          </w:tcPr>
          <w:p w14:paraId="21E35561" w14:textId="77777777" w:rsidR="00E07CA4" w:rsidRPr="00E07CA4" w:rsidRDefault="00E07CA4" w:rsidP="00E07CA4">
            <w:pPr>
              <w:rPr>
                <w:rFonts w:ascii="Book Antiqua" w:hAnsi="Book Antiqua" w:cs="Calibri"/>
                <w:sz w:val="16"/>
                <w:szCs w:val="16"/>
                <w:lang w:eastAsia="es-CR"/>
              </w:rPr>
            </w:pPr>
            <w:r w:rsidRPr="00E07CA4">
              <w:rPr>
                <w:rFonts w:ascii="Book Antiqua" w:hAnsi="Book Antiqua" w:cs="Calibri"/>
                <w:sz w:val="16"/>
                <w:szCs w:val="16"/>
                <w:lang w:eastAsia="es-CR"/>
              </w:rPr>
              <w:t>Juzgado Ejecución de La Pena de Liberia</w:t>
            </w:r>
          </w:p>
        </w:tc>
        <w:tc>
          <w:tcPr>
            <w:tcW w:w="2500" w:type="dxa"/>
            <w:tcBorders>
              <w:top w:val="nil"/>
              <w:left w:val="single" w:sz="4" w:space="0" w:color="808080"/>
              <w:bottom w:val="single" w:sz="4" w:space="0" w:color="808080"/>
              <w:right w:val="single" w:sz="4" w:space="0" w:color="808080"/>
            </w:tcBorders>
            <w:shd w:val="clear" w:color="auto" w:fill="auto"/>
            <w:noWrap/>
            <w:vAlign w:val="center"/>
            <w:hideMark/>
          </w:tcPr>
          <w:p w14:paraId="294F341F" w14:textId="77777777" w:rsidR="00E07CA4" w:rsidRPr="00E07CA4" w:rsidRDefault="00E07CA4" w:rsidP="00E07CA4">
            <w:pPr>
              <w:jc w:val="center"/>
              <w:rPr>
                <w:rFonts w:ascii="Book Antiqua" w:hAnsi="Book Antiqua" w:cs="Calibri"/>
                <w:color w:val="000000"/>
                <w:sz w:val="16"/>
                <w:szCs w:val="16"/>
                <w:lang w:eastAsia="es-CR"/>
              </w:rPr>
            </w:pPr>
            <w:r w:rsidRPr="00E07CA4">
              <w:rPr>
                <w:rFonts w:ascii="Book Antiqua" w:hAnsi="Book Antiqua" w:cs="Calibri"/>
                <w:color w:val="000000"/>
                <w:sz w:val="16"/>
                <w:szCs w:val="16"/>
                <w:lang w:eastAsia="es-CR"/>
              </w:rPr>
              <w:t>206%</w:t>
            </w:r>
          </w:p>
        </w:tc>
      </w:tr>
      <w:tr w:rsidR="00E07CA4" w:rsidRPr="00E07CA4" w14:paraId="271BBD6F" w14:textId="77777777" w:rsidTr="00E07CA4">
        <w:trPr>
          <w:trHeight w:val="290"/>
          <w:jc w:val="center"/>
        </w:trPr>
        <w:tc>
          <w:tcPr>
            <w:tcW w:w="4778" w:type="dxa"/>
            <w:tcBorders>
              <w:top w:val="nil"/>
              <w:left w:val="single" w:sz="4" w:space="0" w:color="auto"/>
              <w:bottom w:val="single" w:sz="4" w:space="0" w:color="auto"/>
              <w:right w:val="single" w:sz="4" w:space="0" w:color="auto"/>
            </w:tcBorders>
            <w:shd w:val="clear" w:color="auto" w:fill="auto"/>
            <w:noWrap/>
            <w:vAlign w:val="center"/>
            <w:hideMark/>
          </w:tcPr>
          <w:p w14:paraId="38A9A9DE" w14:textId="77777777" w:rsidR="00E07CA4" w:rsidRPr="00E07CA4" w:rsidRDefault="00E07CA4" w:rsidP="00E07CA4">
            <w:pPr>
              <w:rPr>
                <w:rFonts w:ascii="Book Antiqua" w:hAnsi="Book Antiqua" w:cs="Calibri"/>
                <w:sz w:val="16"/>
                <w:szCs w:val="16"/>
                <w:lang w:eastAsia="es-CR"/>
              </w:rPr>
            </w:pPr>
            <w:r w:rsidRPr="00E07CA4">
              <w:rPr>
                <w:rFonts w:ascii="Book Antiqua" w:hAnsi="Book Antiqua" w:cs="Calibri"/>
                <w:sz w:val="16"/>
                <w:szCs w:val="16"/>
                <w:lang w:eastAsia="es-CR"/>
              </w:rPr>
              <w:t>Juzgado Ejecución de La Pena de Cartago</w:t>
            </w:r>
          </w:p>
        </w:tc>
        <w:tc>
          <w:tcPr>
            <w:tcW w:w="2500" w:type="dxa"/>
            <w:tcBorders>
              <w:top w:val="nil"/>
              <w:left w:val="single" w:sz="4" w:space="0" w:color="808080"/>
              <w:bottom w:val="single" w:sz="4" w:space="0" w:color="808080"/>
              <w:right w:val="single" w:sz="4" w:space="0" w:color="808080"/>
            </w:tcBorders>
            <w:shd w:val="clear" w:color="auto" w:fill="auto"/>
            <w:noWrap/>
            <w:vAlign w:val="center"/>
            <w:hideMark/>
          </w:tcPr>
          <w:p w14:paraId="5FE674CD" w14:textId="77777777" w:rsidR="00E07CA4" w:rsidRPr="00E07CA4" w:rsidRDefault="00E07CA4" w:rsidP="00E07CA4">
            <w:pPr>
              <w:jc w:val="center"/>
              <w:rPr>
                <w:rFonts w:ascii="Book Antiqua" w:hAnsi="Book Antiqua" w:cs="Calibri"/>
                <w:color w:val="000000"/>
                <w:sz w:val="16"/>
                <w:szCs w:val="16"/>
                <w:lang w:eastAsia="es-CR"/>
              </w:rPr>
            </w:pPr>
            <w:r w:rsidRPr="00E07CA4">
              <w:rPr>
                <w:rFonts w:ascii="Book Antiqua" w:hAnsi="Book Antiqua" w:cs="Calibri"/>
                <w:color w:val="000000"/>
                <w:sz w:val="16"/>
                <w:szCs w:val="16"/>
                <w:lang w:eastAsia="es-CR"/>
              </w:rPr>
              <w:t>135%</w:t>
            </w:r>
          </w:p>
        </w:tc>
      </w:tr>
      <w:tr w:rsidR="00E07CA4" w:rsidRPr="00E07CA4" w14:paraId="7D680E6C" w14:textId="77777777" w:rsidTr="00E07CA4">
        <w:trPr>
          <w:trHeight w:val="290"/>
          <w:jc w:val="center"/>
        </w:trPr>
        <w:tc>
          <w:tcPr>
            <w:tcW w:w="4778" w:type="dxa"/>
            <w:tcBorders>
              <w:top w:val="nil"/>
              <w:left w:val="single" w:sz="4" w:space="0" w:color="auto"/>
              <w:bottom w:val="single" w:sz="4" w:space="0" w:color="auto"/>
              <w:right w:val="single" w:sz="4" w:space="0" w:color="auto"/>
            </w:tcBorders>
            <w:shd w:val="clear" w:color="auto" w:fill="auto"/>
            <w:noWrap/>
            <w:vAlign w:val="center"/>
            <w:hideMark/>
          </w:tcPr>
          <w:p w14:paraId="6E3F0072" w14:textId="77777777" w:rsidR="00E07CA4" w:rsidRPr="00E07CA4" w:rsidRDefault="00E07CA4" w:rsidP="00E07CA4">
            <w:pPr>
              <w:rPr>
                <w:rFonts w:ascii="Book Antiqua" w:hAnsi="Book Antiqua" w:cs="Calibri"/>
                <w:sz w:val="16"/>
                <w:szCs w:val="16"/>
                <w:lang w:eastAsia="es-CR"/>
              </w:rPr>
            </w:pPr>
            <w:r w:rsidRPr="00E07CA4">
              <w:rPr>
                <w:rFonts w:ascii="Book Antiqua" w:hAnsi="Book Antiqua" w:cs="Calibri"/>
                <w:sz w:val="16"/>
                <w:szCs w:val="16"/>
                <w:lang w:eastAsia="es-CR"/>
              </w:rPr>
              <w:t>Juzgado Ejecución de La Pena de Limón</w:t>
            </w:r>
          </w:p>
        </w:tc>
        <w:tc>
          <w:tcPr>
            <w:tcW w:w="2500" w:type="dxa"/>
            <w:tcBorders>
              <w:top w:val="nil"/>
              <w:left w:val="single" w:sz="4" w:space="0" w:color="808080"/>
              <w:bottom w:val="single" w:sz="4" w:space="0" w:color="808080"/>
              <w:right w:val="single" w:sz="4" w:space="0" w:color="808080"/>
            </w:tcBorders>
            <w:shd w:val="clear" w:color="auto" w:fill="auto"/>
            <w:noWrap/>
            <w:vAlign w:val="center"/>
            <w:hideMark/>
          </w:tcPr>
          <w:p w14:paraId="02010D4E" w14:textId="77777777" w:rsidR="00E07CA4" w:rsidRPr="00E07CA4" w:rsidRDefault="00E07CA4" w:rsidP="00E07CA4">
            <w:pPr>
              <w:jc w:val="center"/>
              <w:rPr>
                <w:rFonts w:ascii="Book Antiqua" w:hAnsi="Book Antiqua" w:cs="Calibri"/>
                <w:color w:val="000000"/>
                <w:sz w:val="16"/>
                <w:szCs w:val="16"/>
                <w:lang w:eastAsia="es-CR"/>
              </w:rPr>
            </w:pPr>
            <w:r w:rsidRPr="00E07CA4">
              <w:rPr>
                <w:rFonts w:ascii="Book Antiqua" w:hAnsi="Book Antiqua" w:cs="Calibri"/>
                <w:color w:val="000000"/>
                <w:sz w:val="16"/>
                <w:szCs w:val="16"/>
                <w:lang w:eastAsia="es-CR"/>
              </w:rPr>
              <w:t>64%</w:t>
            </w:r>
          </w:p>
        </w:tc>
      </w:tr>
      <w:tr w:rsidR="00E07CA4" w:rsidRPr="00E07CA4" w14:paraId="29617CE7" w14:textId="77777777" w:rsidTr="00E07CA4">
        <w:trPr>
          <w:trHeight w:val="290"/>
          <w:jc w:val="center"/>
        </w:trPr>
        <w:tc>
          <w:tcPr>
            <w:tcW w:w="4778"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BFE4212" w14:textId="77777777" w:rsidR="00E07CA4" w:rsidRPr="00E07CA4" w:rsidRDefault="00E07CA4" w:rsidP="00E07CA4">
            <w:pPr>
              <w:rPr>
                <w:rFonts w:ascii="Book Antiqua" w:hAnsi="Book Antiqua" w:cs="Calibri"/>
                <w:sz w:val="16"/>
                <w:szCs w:val="16"/>
                <w:lang w:eastAsia="es-CR"/>
              </w:rPr>
            </w:pPr>
            <w:r w:rsidRPr="00E07CA4">
              <w:rPr>
                <w:rFonts w:ascii="Book Antiqua" w:hAnsi="Book Antiqua" w:cs="Calibri"/>
                <w:sz w:val="16"/>
                <w:szCs w:val="16"/>
                <w:lang w:eastAsia="es-CR"/>
              </w:rPr>
              <w:t>Juzgado Ejecución de La Pena de Pococí</w:t>
            </w:r>
          </w:p>
        </w:tc>
        <w:tc>
          <w:tcPr>
            <w:tcW w:w="2500" w:type="dxa"/>
            <w:tcBorders>
              <w:top w:val="nil"/>
              <w:left w:val="single" w:sz="4" w:space="0" w:color="808080"/>
              <w:bottom w:val="single" w:sz="4" w:space="0" w:color="808080"/>
              <w:right w:val="single" w:sz="4" w:space="0" w:color="808080"/>
            </w:tcBorders>
            <w:shd w:val="clear" w:color="auto" w:fill="F2F2F2" w:themeFill="background1" w:themeFillShade="F2"/>
            <w:noWrap/>
            <w:vAlign w:val="center"/>
            <w:hideMark/>
          </w:tcPr>
          <w:p w14:paraId="04396843" w14:textId="77777777" w:rsidR="00E07CA4" w:rsidRPr="00E07CA4" w:rsidRDefault="00E07CA4" w:rsidP="00E07CA4">
            <w:pPr>
              <w:jc w:val="center"/>
              <w:rPr>
                <w:rFonts w:ascii="Book Antiqua" w:hAnsi="Book Antiqua" w:cs="Calibri"/>
                <w:color w:val="000000"/>
                <w:sz w:val="16"/>
                <w:szCs w:val="16"/>
                <w:lang w:eastAsia="es-CR"/>
              </w:rPr>
            </w:pPr>
            <w:r w:rsidRPr="00E07CA4">
              <w:rPr>
                <w:rFonts w:ascii="Book Antiqua" w:hAnsi="Book Antiqua" w:cs="Calibri"/>
                <w:color w:val="000000"/>
                <w:sz w:val="16"/>
                <w:szCs w:val="16"/>
                <w:lang w:eastAsia="es-CR"/>
              </w:rPr>
              <w:t>0%</w:t>
            </w:r>
          </w:p>
        </w:tc>
      </w:tr>
      <w:tr w:rsidR="00E07CA4" w:rsidRPr="00E07CA4" w14:paraId="6469D88D" w14:textId="77777777" w:rsidTr="00E07CA4">
        <w:trPr>
          <w:trHeight w:val="290"/>
          <w:jc w:val="center"/>
        </w:trPr>
        <w:tc>
          <w:tcPr>
            <w:tcW w:w="4778"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C0163FD" w14:textId="77777777" w:rsidR="00E07CA4" w:rsidRPr="00E07CA4" w:rsidRDefault="00E07CA4" w:rsidP="00E07CA4">
            <w:pPr>
              <w:rPr>
                <w:rFonts w:ascii="Book Antiqua" w:hAnsi="Book Antiqua" w:cs="Calibri"/>
                <w:b/>
                <w:bCs/>
                <w:color w:val="000000"/>
                <w:sz w:val="16"/>
                <w:szCs w:val="16"/>
                <w:lang w:eastAsia="es-CR"/>
              </w:rPr>
            </w:pPr>
            <w:r w:rsidRPr="00E07CA4">
              <w:rPr>
                <w:rFonts w:ascii="Book Antiqua" w:hAnsi="Book Antiqua" w:cs="Calibri"/>
                <w:b/>
                <w:bCs/>
                <w:color w:val="000000"/>
                <w:sz w:val="16"/>
                <w:szCs w:val="16"/>
                <w:lang w:eastAsia="es-CR"/>
              </w:rPr>
              <w:t>Promedio Global</w:t>
            </w:r>
          </w:p>
        </w:tc>
        <w:tc>
          <w:tcPr>
            <w:tcW w:w="2500" w:type="dxa"/>
            <w:tcBorders>
              <w:top w:val="nil"/>
              <w:left w:val="nil"/>
              <w:bottom w:val="single" w:sz="4" w:space="0" w:color="808080"/>
              <w:right w:val="single" w:sz="4" w:space="0" w:color="808080"/>
            </w:tcBorders>
            <w:shd w:val="clear" w:color="auto" w:fill="auto"/>
            <w:noWrap/>
            <w:vAlign w:val="center"/>
            <w:hideMark/>
          </w:tcPr>
          <w:p w14:paraId="7C65B1FB" w14:textId="77777777" w:rsidR="00E07CA4" w:rsidRPr="00E07CA4" w:rsidRDefault="00E07CA4" w:rsidP="00E07CA4">
            <w:pPr>
              <w:jc w:val="center"/>
              <w:rPr>
                <w:rFonts w:ascii="Book Antiqua" w:hAnsi="Book Antiqua" w:cs="Calibri"/>
                <w:b/>
                <w:bCs/>
                <w:color w:val="000000"/>
                <w:sz w:val="16"/>
                <w:szCs w:val="16"/>
                <w:lang w:eastAsia="es-CR"/>
              </w:rPr>
            </w:pPr>
            <w:r w:rsidRPr="00E07CA4">
              <w:rPr>
                <w:rFonts w:ascii="Book Antiqua" w:hAnsi="Book Antiqua" w:cs="Calibri"/>
                <w:b/>
                <w:bCs/>
                <w:color w:val="000000"/>
                <w:sz w:val="16"/>
                <w:szCs w:val="16"/>
                <w:lang w:eastAsia="es-CR"/>
              </w:rPr>
              <w:t>293%</w:t>
            </w:r>
          </w:p>
        </w:tc>
      </w:tr>
    </w:tbl>
    <w:p w14:paraId="0E14D0FF" w14:textId="77777777" w:rsidR="000A6207" w:rsidRPr="00572F11" w:rsidRDefault="000A6207" w:rsidP="000A6207">
      <w:pPr>
        <w:spacing w:line="276" w:lineRule="auto"/>
        <w:jc w:val="both"/>
        <w:rPr>
          <w:rFonts w:ascii="Book Antiqua" w:eastAsia="Book Antiqua" w:hAnsi="Book Antiqua" w:cs="Book Antiqua"/>
          <w:sz w:val="18"/>
          <w:szCs w:val="18"/>
        </w:rPr>
      </w:pPr>
      <w:r w:rsidRPr="009B6941">
        <w:rPr>
          <w:rFonts w:ascii="Book Antiqua" w:hAnsi="Book Antiqua"/>
          <w:bCs/>
          <w:color w:val="000000" w:themeColor="text1"/>
          <w:sz w:val="18"/>
          <w:szCs w:val="18"/>
        </w:rPr>
        <w:t xml:space="preserve">Nota: Las oficinas con ausencia del porcentaje de producción, obedece a que la información no fue recibida por esta dirección. En el caso del </w:t>
      </w:r>
      <w:r w:rsidRPr="0033474E">
        <w:rPr>
          <w:rFonts w:ascii="Book Antiqua" w:eastAsia="Book Antiqua" w:hAnsi="Book Antiqua" w:cs="Book Antiqua"/>
          <w:sz w:val="18"/>
          <w:szCs w:val="18"/>
        </w:rPr>
        <w:t>Juzgado Ejecución de La Pena de Pococí</w:t>
      </w:r>
      <w:r>
        <w:rPr>
          <w:rFonts w:ascii="Book Antiqua" w:eastAsia="Book Antiqua" w:hAnsi="Book Antiqua" w:cs="Book Antiqua"/>
          <w:sz w:val="18"/>
          <w:szCs w:val="18"/>
        </w:rPr>
        <w:t xml:space="preserve">, </w:t>
      </w:r>
      <w:r w:rsidRPr="009B6941">
        <w:rPr>
          <w:rFonts w:ascii="Book Antiqua" w:eastAsia="Book Antiqua" w:hAnsi="Book Antiqua" w:cs="Book Antiqua"/>
          <w:sz w:val="18"/>
          <w:szCs w:val="18"/>
        </w:rPr>
        <w:t>al no recibirse ningún dato se excluye del cálculo de la media general</w:t>
      </w:r>
      <w:r>
        <w:rPr>
          <w:rFonts w:ascii="Book Antiqua" w:eastAsia="Book Antiqua" w:hAnsi="Book Antiqua" w:cs="Book Antiqua"/>
          <w:sz w:val="18"/>
          <w:szCs w:val="18"/>
        </w:rPr>
        <w:t>.</w:t>
      </w:r>
    </w:p>
    <w:p w14:paraId="4FA2740B" w14:textId="77777777" w:rsidR="000A6207" w:rsidRDefault="000A6207" w:rsidP="000A6207">
      <w:pPr>
        <w:spacing w:line="276" w:lineRule="auto"/>
        <w:jc w:val="both"/>
        <w:rPr>
          <w:rFonts w:ascii="Book Antiqua" w:hAnsi="Book Antiqua"/>
          <w:b/>
          <w:bCs/>
          <w:color w:val="000000" w:themeColor="text1"/>
          <w:sz w:val="20"/>
          <w:szCs w:val="20"/>
        </w:rPr>
      </w:pPr>
      <w:r w:rsidRPr="00677475">
        <w:rPr>
          <w:rFonts w:ascii="Book Antiqua" w:hAnsi="Book Antiqua"/>
          <w:b/>
          <w:bCs/>
          <w:color w:val="000000" w:themeColor="text1"/>
          <w:sz w:val="20"/>
          <w:szCs w:val="20"/>
        </w:rPr>
        <w:t xml:space="preserve">Fuente: </w:t>
      </w:r>
      <w:r w:rsidRPr="00677475">
        <w:rPr>
          <w:rFonts w:ascii="Book Antiqua" w:hAnsi="Book Antiqua"/>
          <w:color w:val="000000" w:themeColor="text1"/>
          <w:sz w:val="20"/>
          <w:szCs w:val="20"/>
        </w:rPr>
        <w:t>Matriz de indicadores de Gestión</w:t>
      </w:r>
    </w:p>
    <w:p w14:paraId="264AA6AF" w14:textId="77777777" w:rsidR="000A6207" w:rsidRPr="004F0E92" w:rsidRDefault="000A6207" w:rsidP="000A6207">
      <w:pPr>
        <w:spacing w:line="276" w:lineRule="auto"/>
        <w:jc w:val="both"/>
        <w:rPr>
          <w:rFonts w:ascii="Book Antiqua" w:hAnsi="Book Antiqua"/>
          <w:b/>
          <w:color w:val="000000" w:themeColor="text1"/>
        </w:rPr>
      </w:pPr>
    </w:p>
    <w:p w14:paraId="18E95581" w14:textId="77777777" w:rsidR="000A6207" w:rsidRDefault="000A6207" w:rsidP="000A6207">
      <w:pPr>
        <w:spacing w:line="276" w:lineRule="auto"/>
        <w:jc w:val="both"/>
        <w:rPr>
          <w:rFonts w:ascii="Book Antiqua" w:hAnsi="Book Antiqua"/>
          <w:b/>
          <w:color w:val="000000" w:themeColor="text1"/>
        </w:rPr>
      </w:pPr>
    </w:p>
    <w:p w14:paraId="4A81E5BE" w14:textId="2B31EC2C" w:rsidR="000A6207" w:rsidRPr="00AA249F" w:rsidRDefault="3CAA9341" w:rsidP="57A79FF7">
      <w:pPr>
        <w:spacing w:after="160" w:line="276" w:lineRule="auto"/>
        <w:contextualSpacing/>
        <w:rPr>
          <w:b/>
          <w:color w:val="000000" w:themeColor="text1"/>
        </w:rPr>
      </w:pPr>
      <w:r w:rsidRPr="57A79FF7">
        <w:rPr>
          <w:rFonts w:ascii="Book Antiqua" w:hAnsi="Book Antiqua"/>
          <w:b/>
          <w:bCs/>
          <w:color w:val="000000" w:themeColor="text1"/>
        </w:rPr>
        <w:t xml:space="preserve">7.2.5 </w:t>
      </w:r>
      <w:r w:rsidR="000A6207" w:rsidRPr="00AA249F">
        <w:rPr>
          <w:rFonts w:ascii="Book Antiqua" w:hAnsi="Book Antiqua"/>
          <w:b/>
          <w:color w:val="000000" w:themeColor="text1"/>
        </w:rPr>
        <w:t>Tribunal de Apelación de la Sentencia Penal</w:t>
      </w:r>
    </w:p>
    <w:p w14:paraId="7457867B" w14:textId="77777777" w:rsidR="000A6207" w:rsidRDefault="000A6207" w:rsidP="000A6207">
      <w:pPr>
        <w:spacing w:line="276" w:lineRule="auto"/>
        <w:jc w:val="both"/>
        <w:rPr>
          <w:rFonts w:ascii="Book Antiqua" w:hAnsi="Book Antiqua"/>
          <w:color w:val="000000" w:themeColor="text1"/>
        </w:rPr>
      </w:pPr>
      <w:r w:rsidRPr="00B053D3">
        <w:rPr>
          <w:rFonts w:ascii="Book Antiqua" w:hAnsi="Book Antiqua"/>
          <w:color w:val="000000" w:themeColor="text1"/>
        </w:rPr>
        <w:t>En sesión de Consejo Superior en sesión 100-20, celebrada el 20 de octubre del 2020, artículo XXXIX, aprobó el informe técnico 1351-PLA-OI-2020, relacionado con la revisión de las cuotas establecidas a los Tribunales de Apelación de Sentencia Penal, en el cual se estableció que el cálculo de cumplimiento mensual de la cuota de asuntos terminados por plaza de Jueza o Juez, sería con los datos históricos de cada despacho, por lo que a continuación se detalla la cuota esperada de asuntos terminados por Tribunal:</w:t>
      </w:r>
    </w:p>
    <w:p w14:paraId="5CCF226E" w14:textId="77777777" w:rsidR="000A6207" w:rsidRDefault="000A6207" w:rsidP="000A6207">
      <w:pPr>
        <w:spacing w:line="276" w:lineRule="auto"/>
        <w:jc w:val="both"/>
        <w:rPr>
          <w:rFonts w:ascii="Book Antiqua" w:hAnsi="Book Antiqua"/>
          <w:b/>
          <w:color w:val="000000" w:themeColor="text1"/>
          <w:highlight w:val="yellow"/>
        </w:rPr>
      </w:pPr>
      <w:r w:rsidRPr="00982EF3">
        <w:rPr>
          <w:noProof/>
        </w:rPr>
        <w:drawing>
          <wp:anchor distT="0" distB="0" distL="114300" distR="114300" simplePos="0" relativeHeight="251658243" behindDoc="1" locked="0" layoutInCell="1" allowOverlap="1" wp14:anchorId="00BF860C" wp14:editId="4E8621EC">
            <wp:simplePos x="0" y="0"/>
            <wp:positionH relativeFrom="margin">
              <wp:align>left</wp:align>
            </wp:positionH>
            <wp:positionV relativeFrom="paragraph">
              <wp:posOffset>211660</wp:posOffset>
            </wp:positionV>
            <wp:extent cx="5744210" cy="667385"/>
            <wp:effectExtent l="0" t="0" r="8890" b="0"/>
            <wp:wrapTight wrapText="bothSides">
              <wp:wrapPolygon edited="0">
                <wp:start x="0" y="0"/>
                <wp:lineTo x="0" y="20963"/>
                <wp:lineTo x="19270" y="20963"/>
                <wp:lineTo x="19914" y="19730"/>
                <wp:lineTo x="21562" y="12331"/>
                <wp:lineTo x="21562"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4210" cy="667385"/>
                    </a:xfrm>
                    <a:prstGeom prst="rect">
                      <a:avLst/>
                    </a:prstGeom>
                    <a:noFill/>
                    <a:ln>
                      <a:noFill/>
                    </a:ln>
                  </pic:spPr>
                </pic:pic>
              </a:graphicData>
            </a:graphic>
            <wp14:sizeRelH relativeFrom="margin">
              <wp14:pctWidth>0</wp14:pctWidth>
            </wp14:sizeRelH>
          </wp:anchor>
        </w:drawing>
      </w:r>
    </w:p>
    <w:p w14:paraId="1168B8A5" w14:textId="77777777" w:rsidR="000A6207" w:rsidRPr="00F970F2" w:rsidRDefault="000A6207" w:rsidP="000A6207">
      <w:pPr>
        <w:spacing w:line="276" w:lineRule="auto"/>
        <w:jc w:val="both"/>
        <w:rPr>
          <w:rFonts w:ascii="Book Antiqua" w:hAnsi="Book Antiqua"/>
          <w:b/>
          <w:color w:val="000000" w:themeColor="text1"/>
          <w:highlight w:val="yellow"/>
        </w:rPr>
      </w:pPr>
    </w:p>
    <w:p w14:paraId="79804DE1" w14:textId="77777777" w:rsidR="000A6207" w:rsidRDefault="000A6207" w:rsidP="000A6207">
      <w:pPr>
        <w:shd w:val="clear" w:color="auto" w:fill="FFFFFF"/>
        <w:spacing w:line="276" w:lineRule="auto"/>
        <w:jc w:val="both"/>
        <w:rPr>
          <w:rFonts w:ascii="Book Antiqua" w:hAnsi="Book Antiqua"/>
        </w:rPr>
      </w:pPr>
    </w:p>
    <w:p w14:paraId="4A38BCEE" w14:textId="60BE2B8A" w:rsidR="000A6207" w:rsidRDefault="000A6207" w:rsidP="000A6207">
      <w:pPr>
        <w:shd w:val="clear" w:color="auto" w:fill="FFFFFF"/>
        <w:spacing w:line="276" w:lineRule="auto"/>
        <w:jc w:val="both"/>
        <w:rPr>
          <w:rFonts w:ascii="Book Antiqua" w:hAnsi="Book Antiqua"/>
        </w:rPr>
      </w:pPr>
      <w:r>
        <w:rPr>
          <w:rFonts w:ascii="Book Antiqua" w:hAnsi="Book Antiqua"/>
        </w:rPr>
        <w:t xml:space="preserve">A partir de las cuotas indicadas en el cuadro anterior, a continuación, se detalla el porcentaje de cumplimiento de estos despachos durante el mes de </w:t>
      </w:r>
      <w:r w:rsidR="00A1471E">
        <w:rPr>
          <w:rFonts w:ascii="Book Antiqua" w:hAnsi="Book Antiqua"/>
        </w:rPr>
        <w:t>agosto</w:t>
      </w:r>
      <w:r>
        <w:rPr>
          <w:rFonts w:ascii="Book Antiqua" w:hAnsi="Book Antiqua"/>
        </w:rPr>
        <w:t xml:space="preserve"> 2021:</w:t>
      </w:r>
    </w:p>
    <w:p w14:paraId="7DB4CA9A" w14:textId="77777777" w:rsidR="000A6207" w:rsidRDefault="000A6207" w:rsidP="000A6207">
      <w:pPr>
        <w:spacing w:line="276" w:lineRule="auto"/>
        <w:rPr>
          <w:rFonts w:ascii="Book Antiqua" w:hAnsi="Book Antiqua"/>
          <w:b/>
          <w:color w:val="000000" w:themeColor="text1"/>
        </w:rPr>
      </w:pPr>
    </w:p>
    <w:p w14:paraId="1BCD757A" w14:textId="6693951F" w:rsidR="000A6207" w:rsidRPr="00A86AC9" w:rsidRDefault="000A6207" w:rsidP="000A6207">
      <w:pPr>
        <w:spacing w:line="276" w:lineRule="auto"/>
        <w:jc w:val="center"/>
        <w:rPr>
          <w:rFonts w:ascii="Book Antiqua" w:hAnsi="Book Antiqua"/>
          <w:b/>
          <w:color w:val="000000" w:themeColor="text1"/>
        </w:rPr>
      </w:pPr>
      <w:r w:rsidRPr="00A86AC9">
        <w:rPr>
          <w:rFonts w:ascii="Book Antiqua" w:hAnsi="Book Antiqua"/>
          <w:b/>
          <w:color w:val="000000" w:themeColor="text1"/>
        </w:rPr>
        <w:t xml:space="preserve">Cuadro </w:t>
      </w:r>
      <w:r w:rsidR="00A1471E">
        <w:rPr>
          <w:rFonts w:ascii="Book Antiqua" w:hAnsi="Book Antiqua"/>
          <w:b/>
          <w:color w:val="000000" w:themeColor="text1"/>
        </w:rPr>
        <w:t>7</w:t>
      </w:r>
      <w:r w:rsidR="00635E2C">
        <w:rPr>
          <w:rFonts w:ascii="Book Antiqua" w:hAnsi="Book Antiqua"/>
          <w:b/>
          <w:color w:val="000000" w:themeColor="text1"/>
        </w:rPr>
        <w:t>3</w:t>
      </w:r>
    </w:p>
    <w:p w14:paraId="342082CB" w14:textId="77777777" w:rsidR="000A6207" w:rsidRPr="00A86AC9" w:rsidRDefault="000A6207" w:rsidP="000A6207">
      <w:pPr>
        <w:spacing w:line="276" w:lineRule="auto"/>
        <w:jc w:val="center"/>
        <w:rPr>
          <w:rFonts w:ascii="Book Antiqua" w:hAnsi="Book Antiqua"/>
          <w:bCs/>
          <w:color w:val="000000" w:themeColor="text1"/>
        </w:rPr>
      </w:pPr>
      <w:r w:rsidRPr="00A86AC9">
        <w:rPr>
          <w:rFonts w:ascii="Book Antiqua" w:hAnsi="Book Antiqua"/>
          <w:bCs/>
          <w:color w:val="000000" w:themeColor="text1"/>
        </w:rPr>
        <w:t xml:space="preserve">Cumplimiento del parámetro de producción </w:t>
      </w:r>
    </w:p>
    <w:p w14:paraId="5E46656F" w14:textId="536B2407" w:rsidR="000A6207" w:rsidRPr="00A86AC9" w:rsidRDefault="000A6207" w:rsidP="000A6207">
      <w:pPr>
        <w:spacing w:line="276" w:lineRule="auto"/>
        <w:jc w:val="center"/>
        <w:rPr>
          <w:rFonts w:ascii="Book Antiqua" w:hAnsi="Book Antiqua"/>
          <w:bCs/>
          <w:color w:val="000000" w:themeColor="text1"/>
        </w:rPr>
      </w:pPr>
      <w:r w:rsidRPr="00A86AC9">
        <w:rPr>
          <w:rFonts w:ascii="Book Antiqua" w:hAnsi="Book Antiqua"/>
          <w:bCs/>
          <w:color w:val="000000" w:themeColor="text1"/>
        </w:rPr>
        <w:t xml:space="preserve">teórico de Tribunales de Apelación durante </w:t>
      </w:r>
      <w:r w:rsidR="00A1471E">
        <w:rPr>
          <w:rFonts w:ascii="Book Antiqua" w:hAnsi="Book Antiqua"/>
          <w:bCs/>
          <w:color w:val="000000" w:themeColor="text1"/>
        </w:rPr>
        <w:t>agosto</w:t>
      </w:r>
      <w:r w:rsidRPr="00A86AC9">
        <w:rPr>
          <w:rFonts w:ascii="Book Antiqua" w:hAnsi="Book Antiqua"/>
          <w:bCs/>
          <w:color w:val="000000" w:themeColor="text1"/>
        </w:rPr>
        <w:t xml:space="preserve"> de 2021</w:t>
      </w:r>
    </w:p>
    <w:tbl>
      <w:tblPr>
        <w:tblW w:w="7420" w:type="dxa"/>
        <w:jc w:val="center"/>
        <w:tblCellMar>
          <w:left w:w="70" w:type="dxa"/>
          <w:right w:w="70" w:type="dxa"/>
        </w:tblCellMar>
        <w:tblLook w:val="04A0" w:firstRow="1" w:lastRow="0" w:firstColumn="1" w:lastColumn="0" w:noHBand="0" w:noVBand="1"/>
      </w:tblPr>
      <w:tblGrid>
        <w:gridCol w:w="5760"/>
        <w:gridCol w:w="1660"/>
      </w:tblGrid>
      <w:tr w:rsidR="00791D82" w:rsidRPr="00791D82" w14:paraId="51786052" w14:textId="77777777" w:rsidTr="00791D82">
        <w:trPr>
          <w:trHeight w:val="780"/>
          <w:jc w:val="center"/>
        </w:trPr>
        <w:tc>
          <w:tcPr>
            <w:tcW w:w="5760" w:type="dxa"/>
            <w:tcBorders>
              <w:top w:val="single" w:sz="4" w:space="0" w:color="808080"/>
              <w:left w:val="single" w:sz="4" w:space="0" w:color="808080"/>
              <w:bottom w:val="single" w:sz="4" w:space="0" w:color="808080"/>
              <w:right w:val="single" w:sz="4" w:space="0" w:color="808080"/>
            </w:tcBorders>
            <w:shd w:val="clear" w:color="000000" w:fill="305496"/>
            <w:noWrap/>
            <w:vAlign w:val="center"/>
            <w:hideMark/>
          </w:tcPr>
          <w:p w14:paraId="3D2797CC" w14:textId="77777777" w:rsidR="00791D82" w:rsidRPr="00791D82" w:rsidRDefault="00791D82" w:rsidP="00791D82">
            <w:pPr>
              <w:jc w:val="center"/>
              <w:rPr>
                <w:rFonts w:ascii="Book Antiqua" w:hAnsi="Book Antiqua" w:cs="Calibri"/>
                <w:b/>
                <w:bCs/>
                <w:color w:val="FFFFFF"/>
                <w:sz w:val="16"/>
                <w:szCs w:val="16"/>
                <w:lang w:eastAsia="es-CR"/>
              </w:rPr>
            </w:pPr>
            <w:r w:rsidRPr="00791D82">
              <w:rPr>
                <w:rFonts w:ascii="Book Antiqua" w:hAnsi="Book Antiqua" w:cs="Calibri"/>
                <w:b/>
                <w:bCs/>
                <w:color w:val="FFFFFF"/>
                <w:sz w:val="16"/>
                <w:szCs w:val="16"/>
                <w:lang w:eastAsia="es-CR"/>
              </w:rPr>
              <w:t>Oficina</w:t>
            </w:r>
          </w:p>
        </w:tc>
        <w:tc>
          <w:tcPr>
            <w:tcW w:w="1660" w:type="dxa"/>
            <w:tcBorders>
              <w:top w:val="single" w:sz="4" w:space="0" w:color="808080"/>
              <w:left w:val="nil"/>
              <w:bottom w:val="single" w:sz="4" w:space="0" w:color="808080"/>
              <w:right w:val="single" w:sz="4" w:space="0" w:color="808080"/>
            </w:tcBorders>
            <w:shd w:val="clear" w:color="000000" w:fill="305496"/>
            <w:vAlign w:val="center"/>
            <w:hideMark/>
          </w:tcPr>
          <w:p w14:paraId="32F739FD" w14:textId="77777777" w:rsidR="00791D82" w:rsidRPr="00791D82" w:rsidRDefault="00791D82" w:rsidP="00791D82">
            <w:pPr>
              <w:jc w:val="center"/>
              <w:rPr>
                <w:rFonts w:ascii="Book Antiqua" w:hAnsi="Book Antiqua" w:cs="Calibri"/>
                <w:b/>
                <w:bCs/>
                <w:color w:val="FFFFFF"/>
                <w:sz w:val="16"/>
                <w:szCs w:val="16"/>
                <w:lang w:eastAsia="es-CR"/>
              </w:rPr>
            </w:pPr>
            <w:r w:rsidRPr="00791D82">
              <w:rPr>
                <w:rFonts w:ascii="Book Antiqua" w:hAnsi="Book Antiqua" w:cs="Calibri"/>
                <w:b/>
                <w:bCs/>
                <w:color w:val="FFFFFF"/>
                <w:sz w:val="16"/>
                <w:szCs w:val="16"/>
                <w:lang w:eastAsia="es-CR"/>
              </w:rPr>
              <w:t>Porcentaje cumplimiento cuota teórica</w:t>
            </w:r>
          </w:p>
        </w:tc>
      </w:tr>
      <w:tr w:rsidR="00791D82" w:rsidRPr="00791D82" w14:paraId="5EEF753F" w14:textId="77777777" w:rsidTr="00791D82">
        <w:trPr>
          <w:trHeight w:val="290"/>
          <w:jc w:val="center"/>
        </w:trPr>
        <w:tc>
          <w:tcPr>
            <w:tcW w:w="5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141996" w14:textId="414A48A6" w:rsidR="00791D82" w:rsidRPr="00791D82" w:rsidRDefault="00791D82" w:rsidP="00791D82">
            <w:pPr>
              <w:rPr>
                <w:rFonts w:ascii="Book Antiqua" w:hAnsi="Book Antiqua" w:cs="Calibri"/>
                <w:sz w:val="16"/>
                <w:szCs w:val="16"/>
                <w:lang w:eastAsia="es-CR"/>
              </w:rPr>
            </w:pPr>
            <w:r w:rsidRPr="00791D82">
              <w:rPr>
                <w:rFonts w:ascii="Book Antiqua" w:hAnsi="Book Antiqua" w:cs="Calibri"/>
                <w:sz w:val="16"/>
                <w:szCs w:val="16"/>
                <w:lang w:eastAsia="es-CR"/>
              </w:rPr>
              <w:t>Tribunal de Apelación de Sentencia Penal de San Ramón</w:t>
            </w:r>
          </w:p>
        </w:tc>
        <w:tc>
          <w:tcPr>
            <w:tcW w:w="1660" w:type="dxa"/>
            <w:tcBorders>
              <w:top w:val="nil"/>
              <w:left w:val="single" w:sz="4" w:space="0" w:color="808080"/>
              <w:bottom w:val="single" w:sz="4" w:space="0" w:color="808080"/>
              <w:right w:val="single" w:sz="4" w:space="0" w:color="808080"/>
            </w:tcBorders>
            <w:shd w:val="clear" w:color="auto" w:fill="auto"/>
            <w:noWrap/>
            <w:vAlign w:val="center"/>
            <w:hideMark/>
          </w:tcPr>
          <w:p w14:paraId="28264345" w14:textId="77777777" w:rsidR="00791D82" w:rsidRPr="00791D82" w:rsidRDefault="00791D82" w:rsidP="00791D82">
            <w:pPr>
              <w:jc w:val="center"/>
              <w:rPr>
                <w:rFonts w:ascii="Book Antiqua" w:hAnsi="Book Antiqua" w:cs="Calibri"/>
                <w:color w:val="000000"/>
                <w:sz w:val="16"/>
                <w:szCs w:val="16"/>
                <w:lang w:eastAsia="es-CR"/>
              </w:rPr>
            </w:pPr>
            <w:r w:rsidRPr="00791D82">
              <w:rPr>
                <w:rFonts w:ascii="Book Antiqua" w:hAnsi="Book Antiqua" w:cs="Calibri"/>
                <w:color w:val="000000"/>
                <w:sz w:val="16"/>
                <w:szCs w:val="16"/>
                <w:lang w:eastAsia="es-CR"/>
              </w:rPr>
              <w:t>117%</w:t>
            </w:r>
          </w:p>
        </w:tc>
      </w:tr>
      <w:tr w:rsidR="00791D82" w:rsidRPr="00791D82" w14:paraId="020620A6" w14:textId="77777777" w:rsidTr="00791D82">
        <w:trPr>
          <w:trHeight w:val="290"/>
          <w:jc w:val="center"/>
        </w:trPr>
        <w:tc>
          <w:tcPr>
            <w:tcW w:w="5760" w:type="dxa"/>
            <w:tcBorders>
              <w:top w:val="nil"/>
              <w:left w:val="single" w:sz="4" w:space="0" w:color="auto"/>
              <w:bottom w:val="single" w:sz="4" w:space="0" w:color="auto"/>
              <w:right w:val="single" w:sz="4" w:space="0" w:color="auto"/>
            </w:tcBorders>
            <w:shd w:val="clear" w:color="auto" w:fill="auto"/>
            <w:noWrap/>
            <w:vAlign w:val="center"/>
            <w:hideMark/>
          </w:tcPr>
          <w:p w14:paraId="2371E128" w14:textId="27127F9B" w:rsidR="00791D82" w:rsidRPr="00791D82" w:rsidRDefault="00791D82" w:rsidP="00791D82">
            <w:pPr>
              <w:rPr>
                <w:rFonts w:ascii="Book Antiqua" w:hAnsi="Book Antiqua" w:cs="Calibri"/>
                <w:sz w:val="16"/>
                <w:szCs w:val="16"/>
                <w:lang w:eastAsia="es-CR"/>
              </w:rPr>
            </w:pPr>
            <w:r w:rsidRPr="00791D82">
              <w:rPr>
                <w:rFonts w:ascii="Book Antiqua" w:hAnsi="Book Antiqua" w:cs="Calibri"/>
                <w:sz w:val="16"/>
                <w:szCs w:val="16"/>
                <w:lang w:eastAsia="es-CR"/>
              </w:rPr>
              <w:t>Tribunal de Apelación de Sentencia Penal de Goicochea</w:t>
            </w:r>
          </w:p>
        </w:tc>
        <w:tc>
          <w:tcPr>
            <w:tcW w:w="1660" w:type="dxa"/>
            <w:tcBorders>
              <w:top w:val="nil"/>
              <w:left w:val="single" w:sz="4" w:space="0" w:color="808080"/>
              <w:bottom w:val="single" w:sz="4" w:space="0" w:color="808080"/>
              <w:right w:val="single" w:sz="4" w:space="0" w:color="808080"/>
            </w:tcBorders>
            <w:shd w:val="clear" w:color="auto" w:fill="auto"/>
            <w:noWrap/>
            <w:vAlign w:val="center"/>
            <w:hideMark/>
          </w:tcPr>
          <w:p w14:paraId="62D78B41" w14:textId="77777777" w:rsidR="00791D82" w:rsidRPr="00791D82" w:rsidRDefault="00791D82" w:rsidP="00791D82">
            <w:pPr>
              <w:jc w:val="center"/>
              <w:rPr>
                <w:rFonts w:ascii="Book Antiqua" w:hAnsi="Book Antiqua" w:cs="Calibri"/>
                <w:color w:val="000000"/>
                <w:sz w:val="16"/>
                <w:szCs w:val="16"/>
                <w:lang w:eastAsia="es-CR"/>
              </w:rPr>
            </w:pPr>
            <w:r w:rsidRPr="00791D82">
              <w:rPr>
                <w:rFonts w:ascii="Book Antiqua" w:hAnsi="Book Antiqua" w:cs="Calibri"/>
                <w:color w:val="000000"/>
                <w:sz w:val="16"/>
                <w:szCs w:val="16"/>
                <w:lang w:eastAsia="es-CR"/>
              </w:rPr>
              <w:t>105%</w:t>
            </w:r>
          </w:p>
        </w:tc>
      </w:tr>
      <w:tr w:rsidR="00791D82" w:rsidRPr="00791D82" w14:paraId="53FCFE72" w14:textId="77777777" w:rsidTr="00791D82">
        <w:trPr>
          <w:trHeight w:val="290"/>
          <w:jc w:val="center"/>
        </w:trPr>
        <w:tc>
          <w:tcPr>
            <w:tcW w:w="5760" w:type="dxa"/>
            <w:tcBorders>
              <w:top w:val="nil"/>
              <w:left w:val="single" w:sz="4" w:space="0" w:color="auto"/>
              <w:bottom w:val="single" w:sz="4" w:space="0" w:color="auto"/>
              <w:right w:val="single" w:sz="4" w:space="0" w:color="auto"/>
            </w:tcBorders>
            <w:shd w:val="clear" w:color="auto" w:fill="auto"/>
            <w:noWrap/>
            <w:vAlign w:val="center"/>
            <w:hideMark/>
          </w:tcPr>
          <w:p w14:paraId="401F2039" w14:textId="647D8BDE" w:rsidR="00791D82" w:rsidRPr="00791D82" w:rsidRDefault="00791D82" w:rsidP="00791D82">
            <w:pPr>
              <w:rPr>
                <w:rFonts w:ascii="Book Antiqua" w:hAnsi="Book Antiqua" w:cs="Calibri"/>
                <w:sz w:val="16"/>
                <w:szCs w:val="16"/>
                <w:lang w:eastAsia="es-CR"/>
              </w:rPr>
            </w:pPr>
            <w:r w:rsidRPr="00791D82">
              <w:rPr>
                <w:rFonts w:ascii="Book Antiqua" w:hAnsi="Book Antiqua" w:cs="Calibri"/>
                <w:sz w:val="16"/>
                <w:szCs w:val="16"/>
                <w:lang w:eastAsia="es-CR"/>
              </w:rPr>
              <w:t>Tribunal de Apelación de Sentencia Penal de Cartago</w:t>
            </w:r>
          </w:p>
        </w:tc>
        <w:tc>
          <w:tcPr>
            <w:tcW w:w="1660" w:type="dxa"/>
            <w:tcBorders>
              <w:top w:val="nil"/>
              <w:left w:val="single" w:sz="4" w:space="0" w:color="808080"/>
              <w:bottom w:val="single" w:sz="4" w:space="0" w:color="808080"/>
              <w:right w:val="single" w:sz="4" w:space="0" w:color="808080"/>
            </w:tcBorders>
            <w:shd w:val="clear" w:color="auto" w:fill="auto"/>
            <w:noWrap/>
            <w:vAlign w:val="center"/>
            <w:hideMark/>
          </w:tcPr>
          <w:p w14:paraId="05241317" w14:textId="77777777" w:rsidR="00791D82" w:rsidRPr="00791D82" w:rsidRDefault="00791D82" w:rsidP="00791D82">
            <w:pPr>
              <w:jc w:val="center"/>
              <w:rPr>
                <w:rFonts w:ascii="Book Antiqua" w:hAnsi="Book Antiqua" w:cs="Calibri"/>
                <w:color w:val="000000"/>
                <w:sz w:val="16"/>
                <w:szCs w:val="16"/>
                <w:lang w:eastAsia="es-CR"/>
              </w:rPr>
            </w:pPr>
            <w:r w:rsidRPr="00791D82">
              <w:rPr>
                <w:rFonts w:ascii="Book Antiqua" w:hAnsi="Book Antiqua" w:cs="Calibri"/>
                <w:color w:val="000000"/>
                <w:sz w:val="16"/>
                <w:szCs w:val="16"/>
                <w:lang w:eastAsia="es-CR"/>
              </w:rPr>
              <w:t>90%</w:t>
            </w:r>
          </w:p>
        </w:tc>
      </w:tr>
      <w:tr w:rsidR="00791D82" w:rsidRPr="00791D82" w14:paraId="4277BCD4" w14:textId="77777777" w:rsidTr="00791D82">
        <w:trPr>
          <w:trHeight w:val="290"/>
          <w:jc w:val="center"/>
        </w:trPr>
        <w:tc>
          <w:tcPr>
            <w:tcW w:w="5760" w:type="dxa"/>
            <w:tcBorders>
              <w:top w:val="nil"/>
              <w:left w:val="single" w:sz="4" w:space="0" w:color="auto"/>
              <w:bottom w:val="single" w:sz="4" w:space="0" w:color="auto"/>
              <w:right w:val="single" w:sz="4" w:space="0" w:color="auto"/>
            </w:tcBorders>
            <w:shd w:val="clear" w:color="auto" w:fill="auto"/>
            <w:noWrap/>
            <w:vAlign w:val="center"/>
            <w:hideMark/>
          </w:tcPr>
          <w:p w14:paraId="2BBA31E2" w14:textId="2282082C" w:rsidR="00791D82" w:rsidRPr="00791D82" w:rsidRDefault="00791D82" w:rsidP="00791D82">
            <w:pPr>
              <w:rPr>
                <w:rFonts w:ascii="Book Antiqua" w:hAnsi="Book Antiqua" w:cs="Calibri"/>
                <w:sz w:val="16"/>
                <w:szCs w:val="16"/>
                <w:lang w:eastAsia="es-CR"/>
              </w:rPr>
            </w:pPr>
            <w:r w:rsidRPr="00791D82">
              <w:rPr>
                <w:rFonts w:ascii="Book Antiqua" w:hAnsi="Book Antiqua" w:cs="Calibri"/>
                <w:sz w:val="16"/>
                <w:szCs w:val="16"/>
                <w:lang w:eastAsia="es-CR"/>
              </w:rPr>
              <w:t>Tribunal de Apelación de Sentencia Penal de Santa Cruz</w:t>
            </w:r>
          </w:p>
        </w:tc>
        <w:tc>
          <w:tcPr>
            <w:tcW w:w="1660" w:type="dxa"/>
            <w:tcBorders>
              <w:top w:val="nil"/>
              <w:left w:val="single" w:sz="4" w:space="0" w:color="808080"/>
              <w:bottom w:val="single" w:sz="4" w:space="0" w:color="808080"/>
              <w:right w:val="single" w:sz="4" w:space="0" w:color="808080"/>
            </w:tcBorders>
            <w:shd w:val="clear" w:color="auto" w:fill="auto"/>
            <w:noWrap/>
            <w:vAlign w:val="center"/>
            <w:hideMark/>
          </w:tcPr>
          <w:p w14:paraId="2118761B" w14:textId="77777777" w:rsidR="00791D82" w:rsidRPr="00791D82" w:rsidRDefault="00791D82" w:rsidP="00791D82">
            <w:pPr>
              <w:jc w:val="center"/>
              <w:rPr>
                <w:rFonts w:ascii="Book Antiqua" w:hAnsi="Book Antiqua" w:cs="Calibri"/>
                <w:color w:val="000000"/>
                <w:sz w:val="16"/>
                <w:szCs w:val="16"/>
                <w:lang w:eastAsia="es-CR"/>
              </w:rPr>
            </w:pPr>
            <w:r w:rsidRPr="00791D82">
              <w:rPr>
                <w:rFonts w:ascii="Book Antiqua" w:hAnsi="Book Antiqua" w:cs="Calibri"/>
                <w:color w:val="000000"/>
                <w:sz w:val="16"/>
                <w:szCs w:val="16"/>
                <w:lang w:eastAsia="es-CR"/>
              </w:rPr>
              <w:t>76%</w:t>
            </w:r>
          </w:p>
        </w:tc>
      </w:tr>
      <w:tr w:rsidR="00791D82" w:rsidRPr="00791D82" w14:paraId="110F3B65" w14:textId="77777777" w:rsidTr="00791D82">
        <w:trPr>
          <w:trHeight w:val="290"/>
          <w:jc w:val="center"/>
        </w:trPr>
        <w:tc>
          <w:tcPr>
            <w:tcW w:w="576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693F4C0" w14:textId="77777777" w:rsidR="00791D82" w:rsidRPr="00791D82" w:rsidRDefault="00791D82" w:rsidP="00791D82">
            <w:pPr>
              <w:rPr>
                <w:rFonts w:ascii="Book Antiqua" w:hAnsi="Book Antiqua" w:cs="Calibri"/>
                <w:b/>
                <w:bCs/>
                <w:color w:val="000000"/>
                <w:sz w:val="16"/>
                <w:szCs w:val="16"/>
                <w:lang w:eastAsia="es-CR"/>
              </w:rPr>
            </w:pPr>
            <w:r w:rsidRPr="00791D82">
              <w:rPr>
                <w:rFonts w:ascii="Book Antiqua" w:hAnsi="Book Antiqua" w:cs="Calibri"/>
                <w:b/>
                <w:bCs/>
                <w:color w:val="000000"/>
                <w:sz w:val="16"/>
                <w:szCs w:val="16"/>
                <w:lang w:eastAsia="es-CR"/>
              </w:rPr>
              <w:t>Promedio Global</w:t>
            </w:r>
          </w:p>
        </w:tc>
        <w:tc>
          <w:tcPr>
            <w:tcW w:w="1660" w:type="dxa"/>
            <w:tcBorders>
              <w:top w:val="nil"/>
              <w:left w:val="nil"/>
              <w:bottom w:val="single" w:sz="4" w:space="0" w:color="808080"/>
              <w:right w:val="single" w:sz="4" w:space="0" w:color="808080"/>
            </w:tcBorders>
            <w:shd w:val="clear" w:color="auto" w:fill="auto"/>
            <w:noWrap/>
            <w:vAlign w:val="center"/>
            <w:hideMark/>
          </w:tcPr>
          <w:p w14:paraId="75211428" w14:textId="77777777" w:rsidR="00791D82" w:rsidRPr="00791D82" w:rsidRDefault="00791D82" w:rsidP="00791D82">
            <w:pPr>
              <w:jc w:val="center"/>
              <w:rPr>
                <w:rFonts w:ascii="Book Antiqua" w:hAnsi="Book Antiqua" w:cs="Calibri"/>
                <w:b/>
                <w:bCs/>
                <w:color w:val="000000"/>
                <w:sz w:val="16"/>
                <w:szCs w:val="16"/>
                <w:lang w:eastAsia="es-CR"/>
              </w:rPr>
            </w:pPr>
            <w:r w:rsidRPr="00791D82">
              <w:rPr>
                <w:rFonts w:ascii="Book Antiqua" w:hAnsi="Book Antiqua" w:cs="Calibri"/>
                <w:b/>
                <w:bCs/>
                <w:color w:val="000000"/>
                <w:sz w:val="16"/>
                <w:szCs w:val="16"/>
                <w:lang w:eastAsia="es-CR"/>
              </w:rPr>
              <w:t>97%</w:t>
            </w:r>
          </w:p>
        </w:tc>
      </w:tr>
    </w:tbl>
    <w:p w14:paraId="5EB0C4ED" w14:textId="77777777" w:rsidR="000A6207" w:rsidRDefault="000A6207" w:rsidP="00791D82">
      <w:pPr>
        <w:spacing w:line="276" w:lineRule="auto"/>
        <w:rPr>
          <w:rFonts w:ascii="Book Antiqua" w:hAnsi="Book Antiqua"/>
          <w:color w:val="000000" w:themeColor="text1"/>
          <w:sz w:val="20"/>
          <w:szCs w:val="20"/>
        </w:rPr>
      </w:pPr>
      <w:r w:rsidRPr="0013210E">
        <w:rPr>
          <w:rFonts w:ascii="Book Antiqua" w:hAnsi="Book Antiqua"/>
          <w:b/>
          <w:bCs/>
          <w:color w:val="000000"/>
          <w:sz w:val="20"/>
          <w:szCs w:val="20"/>
        </w:rPr>
        <w:t>Fuente:</w:t>
      </w:r>
      <w:r w:rsidRPr="00DE41EA">
        <w:rPr>
          <w:rFonts w:ascii="Book Antiqua" w:hAnsi="Book Antiqua"/>
          <w:color w:val="000000"/>
          <w:sz w:val="20"/>
          <w:szCs w:val="20"/>
        </w:rPr>
        <w:t xml:space="preserve"> </w:t>
      </w:r>
      <w:r w:rsidRPr="002754DF">
        <w:rPr>
          <w:rFonts w:ascii="Book Antiqua" w:hAnsi="Book Antiqua"/>
          <w:color w:val="000000" w:themeColor="text1"/>
          <w:sz w:val="20"/>
          <w:szCs w:val="20"/>
        </w:rPr>
        <w:t>Elaboración propia a partir de datos suministrados por despachos según circular 61-2020</w:t>
      </w:r>
    </w:p>
    <w:p w14:paraId="3E7FAEA2" w14:textId="77777777" w:rsidR="000A6207" w:rsidRDefault="000A6207" w:rsidP="000A6207">
      <w:pPr>
        <w:spacing w:line="276" w:lineRule="auto"/>
        <w:jc w:val="both"/>
        <w:rPr>
          <w:rFonts w:ascii="Book Antiqua" w:hAnsi="Book Antiqua"/>
          <w:b/>
          <w:color w:val="000000" w:themeColor="text1"/>
        </w:rPr>
      </w:pPr>
    </w:p>
    <w:p w14:paraId="435B6454" w14:textId="5046EFBF" w:rsidR="000A6207" w:rsidRPr="0048228F" w:rsidRDefault="000A6207" w:rsidP="000A6207">
      <w:pPr>
        <w:spacing w:line="276" w:lineRule="auto"/>
        <w:ind w:right="-1"/>
        <w:jc w:val="both"/>
        <w:rPr>
          <w:rFonts w:ascii="Book Antiqua" w:hAnsi="Book Antiqua"/>
          <w:color w:val="000000"/>
        </w:rPr>
      </w:pPr>
      <w:r>
        <w:rPr>
          <w:rFonts w:ascii="Book Antiqua" w:hAnsi="Book Antiqua" w:cs="Arial"/>
        </w:rPr>
        <w:t xml:space="preserve">De manera general los Tribunales de Apelación de Sentencia alcanzaron un porcentaje de cumplimiento del </w:t>
      </w:r>
      <w:r w:rsidR="00791D82">
        <w:rPr>
          <w:rFonts w:ascii="Book Antiqua" w:hAnsi="Book Antiqua" w:cs="Arial"/>
        </w:rPr>
        <w:t>97</w:t>
      </w:r>
      <w:r>
        <w:rPr>
          <w:rFonts w:ascii="Book Antiqua" w:hAnsi="Book Antiqua" w:cs="Arial"/>
        </w:rPr>
        <w:t xml:space="preserve">%. </w:t>
      </w:r>
      <w:r w:rsidRPr="0048228F">
        <w:rPr>
          <w:rFonts w:ascii="Book Antiqua" w:hAnsi="Book Antiqua"/>
          <w:color w:val="000000"/>
        </w:rPr>
        <w:t>Importante señalar que</w:t>
      </w:r>
      <w:r>
        <w:rPr>
          <w:rFonts w:ascii="Book Antiqua" w:hAnsi="Book Antiqua"/>
          <w:color w:val="000000"/>
        </w:rPr>
        <w:t xml:space="preserve">, </w:t>
      </w:r>
      <w:r w:rsidRPr="0048228F">
        <w:rPr>
          <w:rFonts w:ascii="Book Antiqua" w:hAnsi="Book Antiqua"/>
          <w:color w:val="000000"/>
        </w:rPr>
        <w:t xml:space="preserve">únicamente el Tribunal de Apelación de la Sentencia Penal de </w:t>
      </w:r>
      <w:r w:rsidR="00791D82">
        <w:rPr>
          <w:rFonts w:ascii="Book Antiqua" w:hAnsi="Book Antiqua"/>
          <w:color w:val="000000"/>
        </w:rPr>
        <w:t>Santa Cruz</w:t>
      </w:r>
      <w:r w:rsidRPr="0048228F">
        <w:rPr>
          <w:rFonts w:ascii="Book Antiqua" w:hAnsi="Book Antiqua"/>
          <w:color w:val="000000"/>
        </w:rPr>
        <w:t xml:space="preserve">, alcanzó un porcentaje menor del </w:t>
      </w:r>
      <w:r w:rsidR="00635E2C">
        <w:rPr>
          <w:rFonts w:ascii="Book Antiqua" w:hAnsi="Book Antiqua"/>
          <w:color w:val="000000"/>
        </w:rPr>
        <w:t>90</w:t>
      </w:r>
      <w:r w:rsidRPr="0048228F">
        <w:rPr>
          <w:rFonts w:ascii="Book Antiqua" w:hAnsi="Book Antiqua"/>
          <w:color w:val="000000"/>
        </w:rPr>
        <w:t xml:space="preserve">%.  Por otro lado, </w:t>
      </w:r>
      <w:r w:rsidR="00791D82">
        <w:rPr>
          <w:rFonts w:ascii="Book Antiqua" w:hAnsi="Book Antiqua"/>
          <w:color w:val="000000"/>
        </w:rPr>
        <w:t>los tribunales de apelación</w:t>
      </w:r>
      <w:r w:rsidRPr="0048228F">
        <w:rPr>
          <w:rFonts w:ascii="Book Antiqua" w:hAnsi="Book Antiqua"/>
          <w:color w:val="000000"/>
        </w:rPr>
        <w:t xml:space="preserve"> de </w:t>
      </w:r>
      <w:r>
        <w:rPr>
          <w:rFonts w:ascii="Book Antiqua" w:hAnsi="Book Antiqua"/>
          <w:color w:val="000000"/>
        </w:rPr>
        <w:t>San Ramón</w:t>
      </w:r>
      <w:r w:rsidR="00791D82">
        <w:rPr>
          <w:rFonts w:ascii="Book Antiqua" w:hAnsi="Book Antiqua"/>
          <w:color w:val="000000"/>
        </w:rPr>
        <w:t xml:space="preserve"> y </w:t>
      </w:r>
      <w:r w:rsidR="00462DB6">
        <w:rPr>
          <w:rFonts w:ascii="Book Antiqua" w:hAnsi="Book Antiqua"/>
          <w:color w:val="000000"/>
        </w:rPr>
        <w:t>Goicochea</w:t>
      </w:r>
      <w:r w:rsidRPr="0048228F">
        <w:rPr>
          <w:rFonts w:ascii="Book Antiqua" w:hAnsi="Book Antiqua"/>
          <w:color w:val="000000"/>
        </w:rPr>
        <w:t xml:space="preserve"> </w:t>
      </w:r>
      <w:r w:rsidR="00462DB6">
        <w:rPr>
          <w:rFonts w:ascii="Book Antiqua" w:hAnsi="Book Antiqua"/>
          <w:color w:val="000000"/>
        </w:rPr>
        <w:t>obtuvieron</w:t>
      </w:r>
      <w:r>
        <w:rPr>
          <w:rFonts w:ascii="Book Antiqua" w:hAnsi="Book Antiqua"/>
          <w:color w:val="000000"/>
        </w:rPr>
        <w:t xml:space="preserve"> un rendimiento </w:t>
      </w:r>
      <w:r w:rsidR="00462DB6">
        <w:rPr>
          <w:rFonts w:ascii="Book Antiqua" w:hAnsi="Book Antiqua"/>
          <w:color w:val="000000"/>
        </w:rPr>
        <w:t>superior</w:t>
      </w:r>
      <w:r>
        <w:rPr>
          <w:rFonts w:ascii="Book Antiqua" w:hAnsi="Book Antiqua"/>
          <w:color w:val="000000"/>
        </w:rPr>
        <w:t xml:space="preserve"> 100%</w:t>
      </w:r>
      <w:r w:rsidRPr="0048228F">
        <w:rPr>
          <w:rFonts w:ascii="Book Antiqua" w:hAnsi="Book Antiqua"/>
          <w:color w:val="000000"/>
        </w:rPr>
        <w:t xml:space="preserve">. </w:t>
      </w:r>
    </w:p>
    <w:p w14:paraId="30AA92F3" w14:textId="77777777" w:rsidR="000A6207" w:rsidRPr="004F0E92" w:rsidRDefault="000A6207" w:rsidP="000A6207">
      <w:pPr>
        <w:spacing w:line="276" w:lineRule="auto"/>
        <w:jc w:val="both"/>
        <w:rPr>
          <w:rFonts w:ascii="Book Antiqua" w:hAnsi="Book Antiqua"/>
          <w:b/>
          <w:color w:val="000000" w:themeColor="text1"/>
        </w:rPr>
      </w:pPr>
    </w:p>
    <w:p w14:paraId="1AD439F7" w14:textId="09D6DE62" w:rsidR="000A6207" w:rsidRPr="00143762" w:rsidRDefault="50EF44B2" w:rsidP="57A79FF7">
      <w:pPr>
        <w:spacing w:after="160" w:line="276" w:lineRule="auto"/>
        <w:contextualSpacing/>
        <w:outlineLvl w:val="1"/>
        <w:rPr>
          <w:b/>
          <w:color w:val="000000" w:themeColor="text1"/>
        </w:rPr>
      </w:pPr>
      <w:r w:rsidRPr="57A79FF7">
        <w:rPr>
          <w:rFonts w:ascii="Book Antiqua" w:hAnsi="Book Antiqua"/>
          <w:b/>
          <w:bCs/>
          <w:color w:val="000000" w:themeColor="text1"/>
        </w:rPr>
        <w:t xml:space="preserve">7.2.6 </w:t>
      </w:r>
      <w:r w:rsidR="000A6207" w:rsidRPr="00143762">
        <w:rPr>
          <w:rFonts w:ascii="Book Antiqua" w:hAnsi="Book Antiqua"/>
          <w:b/>
          <w:color w:val="000000" w:themeColor="text1"/>
        </w:rPr>
        <w:t>Sala Tercera</w:t>
      </w:r>
    </w:p>
    <w:p w14:paraId="5AC0695C" w14:textId="7CEB7F37" w:rsidR="000A6207" w:rsidRPr="00EC505D" w:rsidRDefault="000A6207" w:rsidP="000A6207">
      <w:pPr>
        <w:spacing w:line="276" w:lineRule="auto"/>
        <w:jc w:val="both"/>
        <w:rPr>
          <w:rFonts w:ascii="Book Antiqua" w:hAnsi="Book Antiqua"/>
          <w:color w:val="000000" w:themeColor="text1"/>
        </w:rPr>
      </w:pPr>
      <w:r w:rsidRPr="00143762">
        <w:rPr>
          <w:rFonts w:ascii="Book Antiqua" w:hAnsi="Book Antiqua"/>
          <w:color w:val="000000" w:themeColor="text1"/>
        </w:rPr>
        <w:t xml:space="preserve">En el caso de la Sala Tercera el promedio de producción general es de un </w:t>
      </w:r>
      <w:r w:rsidR="00462DB6">
        <w:rPr>
          <w:rFonts w:ascii="Book Antiqua" w:hAnsi="Book Antiqua"/>
          <w:color w:val="000000" w:themeColor="text1"/>
        </w:rPr>
        <w:t>9</w:t>
      </w:r>
      <w:r>
        <w:rPr>
          <w:rFonts w:ascii="Book Antiqua" w:hAnsi="Book Antiqua"/>
          <w:color w:val="000000" w:themeColor="text1"/>
        </w:rPr>
        <w:t>6</w:t>
      </w:r>
      <w:r w:rsidRPr="00143762">
        <w:rPr>
          <w:rFonts w:ascii="Book Antiqua" w:hAnsi="Book Antiqua"/>
          <w:color w:val="000000" w:themeColor="text1"/>
        </w:rPr>
        <w:t xml:space="preserve">%, lo que muestra un </w:t>
      </w:r>
      <w:r w:rsidR="00462DB6">
        <w:rPr>
          <w:rFonts w:ascii="Book Antiqua" w:hAnsi="Book Antiqua"/>
          <w:color w:val="000000" w:themeColor="text1"/>
        </w:rPr>
        <w:t>incremento</w:t>
      </w:r>
      <w:r w:rsidRPr="00143762">
        <w:rPr>
          <w:rFonts w:ascii="Book Antiqua" w:hAnsi="Book Antiqua"/>
          <w:color w:val="000000" w:themeColor="text1"/>
        </w:rPr>
        <w:t xml:space="preserve"> con respecto a </w:t>
      </w:r>
      <w:r w:rsidR="00462DB6">
        <w:rPr>
          <w:rFonts w:ascii="Book Antiqua" w:hAnsi="Book Antiqua"/>
          <w:color w:val="000000" w:themeColor="text1"/>
        </w:rPr>
        <w:t xml:space="preserve">julio </w:t>
      </w:r>
      <w:r>
        <w:rPr>
          <w:rFonts w:ascii="Book Antiqua" w:hAnsi="Book Antiqua"/>
          <w:color w:val="000000" w:themeColor="text1"/>
        </w:rPr>
        <w:t>2021</w:t>
      </w:r>
      <w:r w:rsidRPr="00143762">
        <w:rPr>
          <w:rFonts w:ascii="Book Antiqua" w:hAnsi="Book Antiqua"/>
          <w:color w:val="000000" w:themeColor="text1"/>
        </w:rPr>
        <w:t xml:space="preserve"> de un </w:t>
      </w:r>
      <w:r w:rsidR="00462DB6">
        <w:rPr>
          <w:rFonts w:ascii="Book Antiqua" w:hAnsi="Book Antiqua"/>
          <w:color w:val="000000" w:themeColor="text1"/>
        </w:rPr>
        <w:t>25</w:t>
      </w:r>
      <w:r w:rsidRPr="00143762">
        <w:rPr>
          <w:rFonts w:ascii="Book Antiqua" w:hAnsi="Book Antiqua"/>
          <w:color w:val="000000" w:themeColor="text1"/>
        </w:rPr>
        <w:t xml:space="preserve">%, en el cual se había alcanzado un porcentaje de </w:t>
      </w:r>
      <w:r w:rsidR="00462DB6">
        <w:rPr>
          <w:rFonts w:ascii="Book Antiqua" w:hAnsi="Book Antiqua"/>
          <w:color w:val="000000" w:themeColor="text1"/>
        </w:rPr>
        <w:t>86</w:t>
      </w:r>
      <w:r w:rsidRPr="00143762">
        <w:rPr>
          <w:rFonts w:ascii="Book Antiqua" w:hAnsi="Book Antiqua"/>
          <w:color w:val="000000" w:themeColor="text1"/>
        </w:rPr>
        <w:t>% de acuerdo con el parámetro de producción teórico. El detalle en el siguiente cuadro</w:t>
      </w:r>
      <w:r>
        <w:rPr>
          <w:rFonts w:ascii="Book Antiqua" w:hAnsi="Book Antiqua"/>
          <w:color w:val="000000" w:themeColor="text1"/>
        </w:rPr>
        <w:t>.</w:t>
      </w:r>
    </w:p>
    <w:p w14:paraId="175B78B7" w14:textId="151729D8" w:rsidR="006F775A" w:rsidRDefault="006F775A">
      <w:pPr>
        <w:rPr>
          <w:rFonts w:ascii="Book Antiqua" w:hAnsi="Book Antiqua"/>
          <w:b/>
          <w:color w:val="000000" w:themeColor="text1"/>
        </w:rPr>
      </w:pPr>
      <w:r>
        <w:rPr>
          <w:rFonts w:ascii="Book Antiqua" w:hAnsi="Book Antiqua"/>
          <w:b/>
          <w:color w:val="000000" w:themeColor="text1"/>
        </w:rPr>
        <w:br w:type="page"/>
      </w:r>
    </w:p>
    <w:p w14:paraId="34AD06D5" w14:textId="77777777" w:rsidR="00462DB6" w:rsidRDefault="00462DB6" w:rsidP="000A6207">
      <w:pPr>
        <w:spacing w:line="276" w:lineRule="auto"/>
        <w:jc w:val="center"/>
        <w:rPr>
          <w:rFonts w:ascii="Book Antiqua" w:hAnsi="Book Antiqua"/>
          <w:b/>
          <w:color w:val="000000" w:themeColor="text1"/>
        </w:rPr>
      </w:pPr>
    </w:p>
    <w:p w14:paraId="2296C3D8" w14:textId="5BD3359D" w:rsidR="000A6207" w:rsidRPr="00EC505D" w:rsidRDefault="000A6207" w:rsidP="000A6207">
      <w:pPr>
        <w:spacing w:line="276" w:lineRule="auto"/>
        <w:jc w:val="center"/>
        <w:rPr>
          <w:rFonts w:ascii="Book Antiqua" w:hAnsi="Book Antiqua"/>
          <w:b/>
          <w:color w:val="000000" w:themeColor="text1"/>
        </w:rPr>
      </w:pPr>
      <w:r w:rsidRPr="00EC505D">
        <w:rPr>
          <w:rFonts w:ascii="Book Antiqua" w:hAnsi="Book Antiqua"/>
          <w:b/>
          <w:color w:val="000000" w:themeColor="text1"/>
        </w:rPr>
        <w:t xml:space="preserve">Cuadro </w:t>
      </w:r>
      <w:r w:rsidR="00462DB6">
        <w:rPr>
          <w:rFonts w:ascii="Book Antiqua" w:hAnsi="Book Antiqua"/>
          <w:b/>
          <w:color w:val="000000" w:themeColor="text1"/>
        </w:rPr>
        <w:t>7</w:t>
      </w:r>
      <w:r w:rsidR="00635E2C">
        <w:rPr>
          <w:rFonts w:ascii="Book Antiqua" w:hAnsi="Book Antiqua"/>
          <w:b/>
          <w:color w:val="000000" w:themeColor="text1"/>
        </w:rPr>
        <w:t>4</w:t>
      </w:r>
    </w:p>
    <w:p w14:paraId="0CE3EBA5" w14:textId="77777777" w:rsidR="000A6207" w:rsidRPr="00246242" w:rsidRDefault="000A6207" w:rsidP="000A6207">
      <w:pPr>
        <w:spacing w:line="276" w:lineRule="auto"/>
        <w:jc w:val="center"/>
        <w:rPr>
          <w:rFonts w:ascii="Book Antiqua" w:hAnsi="Book Antiqua"/>
          <w:bCs/>
          <w:color w:val="000000" w:themeColor="text1"/>
        </w:rPr>
      </w:pPr>
      <w:r w:rsidRPr="00246242">
        <w:rPr>
          <w:rFonts w:ascii="Book Antiqua" w:hAnsi="Book Antiqua"/>
          <w:bCs/>
          <w:color w:val="000000" w:themeColor="text1"/>
        </w:rPr>
        <w:t xml:space="preserve">Cumplimiento del parámetro de producción </w:t>
      </w:r>
    </w:p>
    <w:p w14:paraId="1ED3D8EF" w14:textId="63DF0D7F" w:rsidR="000A6207" w:rsidRDefault="000A6207" w:rsidP="000A6207">
      <w:pPr>
        <w:spacing w:line="276" w:lineRule="auto"/>
        <w:jc w:val="center"/>
        <w:rPr>
          <w:rFonts w:ascii="Book Antiqua" w:hAnsi="Book Antiqua"/>
          <w:bCs/>
          <w:color w:val="000000" w:themeColor="text1"/>
        </w:rPr>
      </w:pPr>
      <w:r w:rsidRPr="00246242">
        <w:rPr>
          <w:rFonts w:ascii="Book Antiqua" w:hAnsi="Book Antiqua"/>
          <w:bCs/>
          <w:color w:val="000000" w:themeColor="text1"/>
        </w:rPr>
        <w:t xml:space="preserve">teórico de la Sala Tercera durante </w:t>
      </w:r>
      <w:r w:rsidR="00462DB6">
        <w:rPr>
          <w:rFonts w:ascii="Book Antiqua" w:hAnsi="Book Antiqua"/>
          <w:bCs/>
          <w:color w:val="000000" w:themeColor="text1"/>
        </w:rPr>
        <w:t>setiembre</w:t>
      </w:r>
      <w:r w:rsidRPr="00246242">
        <w:rPr>
          <w:rFonts w:ascii="Book Antiqua" w:hAnsi="Book Antiqua"/>
          <w:bCs/>
          <w:color w:val="000000" w:themeColor="text1"/>
        </w:rPr>
        <w:t xml:space="preserve"> 2021</w:t>
      </w:r>
    </w:p>
    <w:tbl>
      <w:tblPr>
        <w:tblW w:w="6091" w:type="dxa"/>
        <w:jc w:val="center"/>
        <w:tblCellMar>
          <w:left w:w="70" w:type="dxa"/>
          <w:right w:w="70" w:type="dxa"/>
        </w:tblCellMar>
        <w:tblLook w:val="04A0" w:firstRow="1" w:lastRow="0" w:firstColumn="1" w:lastColumn="0" w:noHBand="0" w:noVBand="1"/>
      </w:tblPr>
      <w:tblGrid>
        <w:gridCol w:w="3875"/>
        <w:gridCol w:w="2216"/>
      </w:tblGrid>
      <w:tr w:rsidR="00462DB6" w:rsidRPr="00462DB6" w14:paraId="6BEDEC7A" w14:textId="77777777" w:rsidTr="00462DB6">
        <w:trPr>
          <w:trHeight w:val="1040"/>
          <w:jc w:val="center"/>
        </w:trPr>
        <w:tc>
          <w:tcPr>
            <w:tcW w:w="3875" w:type="dxa"/>
            <w:tcBorders>
              <w:top w:val="single" w:sz="4" w:space="0" w:color="808080"/>
              <w:left w:val="single" w:sz="4" w:space="0" w:color="808080"/>
              <w:bottom w:val="single" w:sz="4" w:space="0" w:color="808080"/>
              <w:right w:val="single" w:sz="4" w:space="0" w:color="808080"/>
            </w:tcBorders>
            <w:shd w:val="clear" w:color="000000" w:fill="305496"/>
            <w:noWrap/>
            <w:vAlign w:val="center"/>
            <w:hideMark/>
          </w:tcPr>
          <w:p w14:paraId="7326724C" w14:textId="77777777" w:rsidR="00462DB6" w:rsidRPr="00462DB6" w:rsidRDefault="00462DB6" w:rsidP="00462DB6">
            <w:pPr>
              <w:jc w:val="center"/>
              <w:rPr>
                <w:rFonts w:ascii="Book Antiqua" w:hAnsi="Book Antiqua" w:cs="Calibri"/>
                <w:b/>
                <w:bCs/>
                <w:color w:val="FFFFFF"/>
                <w:sz w:val="16"/>
                <w:szCs w:val="16"/>
                <w:lang w:eastAsia="es-CR"/>
              </w:rPr>
            </w:pPr>
            <w:r w:rsidRPr="00462DB6">
              <w:rPr>
                <w:rFonts w:ascii="Book Antiqua" w:hAnsi="Book Antiqua" w:cs="Calibri"/>
                <w:b/>
                <w:bCs/>
                <w:color w:val="FFFFFF"/>
                <w:sz w:val="16"/>
                <w:szCs w:val="16"/>
                <w:lang w:eastAsia="es-CR"/>
              </w:rPr>
              <w:t>Oficina</w:t>
            </w:r>
          </w:p>
        </w:tc>
        <w:tc>
          <w:tcPr>
            <w:tcW w:w="2216" w:type="dxa"/>
            <w:tcBorders>
              <w:top w:val="single" w:sz="4" w:space="0" w:color="808080"/>
              <w:left w:val="nil"/>
              <w:bottom w:val="single" w:sz="4" w:space="0" w:color="808080"/>
              <w:right w:val="single" w:sz="4" w:space="0" w:color="808080"/>
            </w:tcBorders>
            <w:shd w:val="clear" w:color="000000" w:fill="305496"/>
            <w:vAlign w:val="center"/>
            <w:hideMark/>
          </w:tcPr>
          <w:p w14:paraId="24FBD382" w14:textId="77777777" w:rsidR="00462DB6" w:rsidRPr="00462DB6" w:rsidRDefault="00462DB6" w:rsidP="00462DB6">
            <w:pPr>
              <w:jc w:val="center"/>
              <w:rPr>
                <w:rFonts w:ascii="Book Antiqua" w:hAnsi="Book Antiqua" w:cs="Calibri"/>
                <w:b/>
                <w:bCs/>
                <w:color w:val="FFFFFF"/>
                <w:sz w:val="16"/>
                <w:szCs w:val="16"/>
                <w:lang w:eastAsia="es-CR"/>
              </w:rPr>
            </w:pPr>
            <w:r w:rsidRPr="00462DB6">
              <w:rPr>
                <w:rFonts w:ascii="Book Antiqua" w:hAnsi="Book Antiqua" w:cs="Calibri"/>
                <w:b/>
                <w:bCs/>
                <w:color w:val="FFFFFF"/>
                <w:sz w:val="16"/>
                <w:szCs w:val="16"/>
                <w:lang w:eastAsia="es-CR"/>
              </w:rPr>
              <w:t xml:space="preserve">Porcentaje cumplimiento cuota teórica auto sentencias </w:t>
            </w:r>
          </w:p>
        </w:tc>
      </w:tr>
      <w:tr w:rsidR="00462DB6" w:rsidRPr="00462DB6" w14:paraId="3EC80580" w14:textId="77777777" w:rsidTr="00462DB6">
        <w:trPr>
          <w:trHeight w:val="290"/>
          <w:jc w:val="center"/>
        </w:trPr>
        <w:tc>
          <w:tcPr>
            <w:tcW w:w="3875" w:type="dxa"/>
            <w:tcBorders>
              <w:top w:val="nil"/>
              <w:left w:val="single" w:sz="4" w:space="0" w:color="808080"/>
              <w:bottom w:val="single" w:sz="4" w:space="0" w:color="808080"/>
              <w:right w:val="single" w:sz="4" w:space="0" w:color="808080"/>
            </w:tcBorders>
            <w:shd w:val="clear" w:color="auto" w:fill="auto"/>
            <w:noWrap/>
            <w:vAlign w:val="center"/>
            <w:hideMark/>
          </w:tcPr>
          <w:p w14:paraId="219604C0" w14:textId="77777777" w:rsidR="00462DB6" w:rsidRPr="00462DB6" w:rsidRDefault="00462DB6" w:rsidP="00462DB6">
            <w:pP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Sala Tercera</w:t>
            </w:r>
          </w:p>
        </w:tc>
        <w:tc>
          <w:tcPr>
            <w:tcW w:w="2216" w:type="dxa"/>
            <w:tcBorders>
              <w:top w:val="nil"/>
              <w:left w:val="nil"/>
              <w:bottom w:val="single" w:sz="4" w:space="0" w:color="808080"/>
              <w:right w:val="single" w:sz="4" w:space="0" w:color="808080"/>
            </w:tcBorders>
            <w:shd w:val="clear" w:color="auto" w:fill="auto"/>
            <w:noWrap/>
            <w:vAlign w:val="center"/>
            <w:hideMark/>
          </w:tcPr>
          <w:p w14:paraId="1340FA1E" w14:textId="28941E65" w:rsidR="00462DB6" w:rsidRPr="00462DB6" w:rsidRDefault="00462DB6" w:rsidP="00462DB6">
            <w:pPr>
              <w:jc w:val="center"/>
              <w:rPr>
                <w:rFonts w:ascii="Book Antiqua" w:hAnsi="Book Antiqua" w:cs="Calibri"/>
                <w:color w:val="000000"/>
                <w:sz w:val="16"/>
                <w:szCs w:val="16"/>
                <w:lang w:eastAsia="es-CR"/>
              </w:rPr>
            </w:pPr>
            <w:r>
              <w:rPr>
                <w:rFonts w:ascii="Book Antiqua" w:hAnsi="Book Antiqua" w:cs="Calibri"/>
                <w:color w:val="000000"/>
                <w:sz w:val="16"/>
                <w:szCs w:val="16"/>
                <w:lang w:eastAsia="es-CR"/>
              </w:rPr>
              <w:t>107</w:t>
            </w:r>
            <w:r w:rsidRPr="00462DB6">
              <w:rPr>
                <w:rFonts w:ascii="Book Antiqua" w:hAnsi="Book Antiqua" w:cs="Calibri"/>
                <w:color w:val="000000"/>
                <w:sz w:val="16"/>
                <w:szCs w:val="16"/>
                <w:lang w:eastAsia="es-CR"/>
              </w:rPr>
              <w:t>%</w:t>
            </w:r>
          </w:p>
        </w:tc>
      </w:tr>
    </w:tbl>
    <w:p w14:paraId="77265B52" w14:textId="77777777" w:rsidR="000A6207" w:rsidRDefault="000A6207" w:rsidP="00462DB6">
      <w:pPr>
        <w:spacing w:line="276" w:lineRule="auto"/>
        <w:rPr>
          <w:rFonts w:ascii="Book Antiqua" w:hAnsi="Book Antiqua"/>
          <w:color w:val="000000" w:themeColor="text1"/>
          <w:sz w:val="20"/>
          <w:szCs w:val="20"/>
        </w:rPr>
      </w:pPr>
      <w:r w:rsidRPr="0013210E">
        <w:rPr>
          <w:rFonts w:ascii="Book Antiqua" w:hAnsi="Book Antiqua"/>
          <w:b/>
          <w:bCs/>
          <w:color w:val="000000"/>
          <w:sz w:val="20"/>
          <w:szCs w:val="20"/>
        </w:rPr>
        <w:t>Fuente:</w:t>
      </w:r>
      <w:r w:rsidRPr="00DE41EA">
        <w:rPr>
          <w:rFonts w:ascii="Book Antiqua" w:hAnsi="Book Antiqua"/>
          <w:color w:val="000000"/>
          <w:sz w:val="20"/>
          <w:szCs w:val="20"/>
        </w:rPr>
        <w:t xml:space="preserve"> </w:t>
      </w:r>
      <w:r w:rsidRPr="002754DF">
        <w:rPr>
          <w:rFonts w:ascii="Book Antiqua" w:hAnsi="Book Antiqua"/>
          <w:color w:val="000000" w:themeColor="text1"/>
          <w:sz w:val="20"/>
          <w:szCs w:val="20"/>
        </w:rPr>
        <w:t>Elaboración propia a partir de datos suministrados por despachos según circular 61-2020</w:t>
      </w:r>
    </w:p>
    <w:p w14:paraId="76A7840D" w14:textId="77777777" w:rsidR="000A6207" w:rsidRPr="006F775A" w:rsidRDefault="000A6207" w:rsidP="006F775A">
      <w:pPr>
        <w:spacing w:after="160" w:line="276" w:lineRule="auto"/>
        <w:contextualSpacing/>
        <w:rPr>
          <w:rFonts w:ascii="Book Antiqua" w:hAnsi="Book Antiqua"/>
          <w:b/>
          <w:color w:val="000000" w:themeColor="text1"/>
        </w:rPr>
      </w:pPr>
    </w:p>
    <w:p w14:paraId="1381D878" w14:textId="1E1D0235" w:rsidR="000A6207" w:rsidRPr="00C53927" w:rsidRDefault="03B92B68" w:rsidP="57A79FF7">
      <w:pPr>
        <w:tabs>
          <w:tab w:val="left" w:pos="284"/>
        </w:tabs>
        <w:spacing w:line="276" w:lineRule="auto"/>
        <w:outlineLvl w:val="1"/>
        <w:rPr>
          <w:b/>
          <w:color w:val="000000" w:themeColor="text1"/>
        </w:rPr>
      </w:pPr>
      <w:r w:rsidRPr="57A79FF7">
        <w:rPr>
          <w:rFonts w:ascii="Book Antiqua" w:hAnsi="Book Antiqua"/>
          <w:b/>
          <w:bCs/>
          <w:color w:val="000000" w:themeColor="text1"/>
        </w:rPr>
        <w:t xml:space="preserve">7.3 </w:t>
      </w:r>
      <w:r w:rsidR="000A6207" w:rsidRPr="00C53927">
        <w:rPr>
          <w:rFonts w:ascii="Book Antiqua" w:hAnsi="Book Antiqua"/>
          <w:b/>
          <w:color w:val="000000" w:themeColor="text1"/>
        </w:rPr>
        <w:t>Simulación de parámetros de producción</w:t>
      </w:r>
    </w:p>
    <w:p w14:paraId="775A1CE0" w14:textId="77777777" w:rsidR="000A6207" w:rsidRPr="00F970F2" w:rsidRDefault="000A6207" w:rsidP="000A6207">
      <w:pPr>
        <w:spacing w:line="276" w:lineRule="auto"/>
        <w:rPr>
          <w:rFonts w:ascii="Book Antiqua" w:hAnsi="Book Antiqua"/>
          <w:b/>
          <w:color w:val="000000" w:themeColor="text1"/>
          <w:highlight w:val="yellow"/>
        </w:rPr>
      </w:pPr>
    </w:p>
    <w:p w14:paraId="5712C0CC" w14:textId="77777777" w:rsidR="000A6207" w:rsidRPr="00B152EF" w:rsidRDefault="000A6207" w:rsidP="000A6207">
      <w:pPr>
        <w:spacing w:line="276" w:lineRule="auto"/>
        <w:jc w:val="both"/>
        <w:rPr>
          <w:rFonts w:ascii="Book Antiqua" w:hAnsi="Book Antiqua"/>
          <w:bCs/>
          <w:color w:val="000000" w:themeColor="text1"/>
        </w:rPr>
      </w:pPr>
      <w:r w:rsidRPr="002178AB">
        <w:rPr>
          <w:rFonts w:ascii="Book Antiqua" w:hAnsi="Book Antiqua"/>
          <w:bCs/>
          <w:color w:val="000000" w:themeColor="text1"/>
        </w:rPr>
        <w:t xml:space="preserve">Realizando una simulación de la producción de las diferentes oficinas de materia penal contra su parámetro teórico, se visualiza que los Tribunales de Juicio, Juzgados de Ejecución, sobrepasan en más de un 100% el parámetro, en tanto, que los Tribunales de Apelación, la Sala Tercera y Juzgados Penales superan el 80%, </w:t>
      </w:r>
      <w:r w:rsidRPr="00B152EF">
        <w:rPr>
          <w:rFonts w:ascii="Book Antiqua" w:hAnsi="Book Antiqua"/>
          <w:bCs/>
          <w:color w:val="000000" w:themeColor="text1"/>
        </w:rPr>
        <w:t xml:space="preserve">valor mínimo esperado.  </w:t>
      </w:r>
      <w:r w:rsidRPr="00B152EF">
        <w:rPr>
          <w:rFonts w:ascii="Book Antiqua" w:hAnsi="Book Antiqua"/>
        </w:rPr>
        <w:t xml:space="preserve">De acuerdo con este resultado se destaca el alto compromiso del personal de las oficinas para atender sus labores, aún con el impacto sobre las oficinas de las medidas que sanitarias que se han tomado.  </w:t>
      </w:r>
    </w:p>
    <w:p w14:paraId="057B4308" w14:textId="77777777" w:rsidR="000A6207" w:rsidRPr="00B152EF" w:rsidRDefault="000A6207" w:rsidP="000A6207">
      <w:pPr>
        <w:spacing w:line="276" w:lineRule="auto"/>
        <w:jc w:val="both"/>
        <w:rPr>
          <w:rFonts w:ascii="Book Antiqua" w:hAnsi="Book Antiqua"/>
        </w:rPr>
      </w:pPr>
    </w:p>
    <w:p w14:paraId="64C7331D" w14:textId="77777777" w:rsidR="000A6207" w:rsidRPr="00B152EF" w:rsidRDefault="000A6207" w:rsidP="000A6207">
      <w:pPr>
        <w:spacing w:line="276" w:lineRule="auto"/>
        <w:jc w:val="both"/>
        <w:rPr>
          <w:rFonts w:ascii="Book Antiqua" w:hAnsi="Book Antiqua"/>
        </w:rPr>
      </w:pPr>
      <w:r w:rsidRPr="00B152EF">
        <w:rPr>
          <w:rFonts w:ascii="Book Antiqua" w:hAnsi="Book Antiqua"/>
        </w:rPr>
        <w:t>En el caso de Flagrancia hay que destacar que se parte de la entrada de asuntos en cada zona y que, como medida también han brindado colaboración con la carga de trabajo de los Tribunales Ordinarios con el fin de descongestionarlos.</w:t>
      </w:r>
    </w:p>
    <w:p w14:paraId="4900DBFE" w14:textId="77777777" w:rsidR="000A6207" w:rsidRDefault="000A6207" w:rsidP="000A6207">
      <w:pPr>
        <w:spacing w:line="276" w:lineRule="auto"/>
        <w:jc w:val="both"/>
        <w:rPr>
          <w:rFonts w:ascii="Book Antiqua" w:hAnsi="Book Antiqua"/>
          <w:highlight w:val="yellow"/>
        </w:rPr>
      </w:pPr>
    </w:p>
    <w:p w14:paraId="41046DCC" w14:textId="77777777" w:rsidR="000A6207" w:rsidRPr="00C91B90" w:rsidRDefault="000A6207" w:rsidP="000A6207">
      <w:pPr>
        <w:spacing w:line="276" w:lineRule="auto"/>
        <w:jc w:val="both"/>
        <w:rPr>
          <w:rFonts w:ascii="Book Antiqua" w:hAnsi="Book Antiqua"/>
          <w:b/>
          <w:color w:val="000000" w:themeColor="text1"/>
        </w:rPr>
      </w:pPr>
      <w:r w:rsidRPr="00C91B90">
        <w:rPr>
          <w:rFonts w:ascii="Book Antiqua" w:hAnsi="Book Antiqua"/>
        </w:rPr>
        <w:t>Es necesario aclarar, que también se debe considerar en este período, las medidas que hay que tener en el uso de las celdas, con el fin de mantener el aforo mínimo, que impactan de forma negativa en la realización de juicios en las diferentes zonas. Siendo necesario potenciar en los casos que sea posible el empleo de los juicios y audiencias virtuales.</w:t>
      </w:r>
      <w:r w:rsidRPr="00C91B90">
        <w:rPr>
          <w:rFonts w:ascii="Book Antiqua" w:hAnsi="Book Antiqua"/>
          <w:b/>
          <w:color w:val="000000" w:themeColor="text1"/>
        </w:rPr>
        <w:t xml:space="preserve"> </w:t>
      </w:r>
    </w:p>
    <w:p w14:paraId="61F512BC" w14:textId="77777777" w:rsidR="000A6207" w:rsidRDefault="000A6207" w:rsidP="000A6207">
      <w:pPr>
        <w:spacing w:line="276" w:lineRule="auto"/>
        <w:jc w:val="both"/>
        <w:rPr>
          <w:rFonts w:ascii="Book Antiqua" w:hAnsi="Book Antiqua"/>
          <w:highlight w:val="yellow"/>
        </w:rPr>
      </w:pPr>
    </w:p>
    <w:p w14:paraId="11DC9828" w14:textId="77777777" w:rsidR="000A6207" w:rsidRDefault="000A6207" w:rsidP="000A6207">
      <w:pPr>
        <w:spacing w:line="276" w:lineRule="auto"/>
        <w:jc w:val="both"/>
        <w:rPr>
          <w:rFonts w:ascii="Book Antiqua" w:hAnsi="Book Antiqua"/>
        </w:rPr>
      </w:pPr>
      <w:r w:rsidRPr="009123AD">
        <w:rPr>
          <w:rFonts w:ascii="Book Antiqua" w:hAnsi="Book Antiqua"/>
        </w:rPr>
        <w:t>De conformidad con lo expuesto anteriormente, se desglosa en los siguientes recuadros el porcentaje de cumplimiento del parámetro de producción teórico a nivel nacional por tipo de oficina y variable considerada según despacho.</w:t>
      </w:r>
      <w:r>
        <w:rPr>
          <w:rFonts w:ascii="Book Antiqua" w:hAnsi="Book Antiqua"/>
        </w:rPr>
        <w:t xml:space="preserve"> </w:t>
      </w:r>
    </w:p>
    <w:p w14:paraId="56C5F28C" w14:textId="77777777" w:rsidR="000A6207" w:rsidRDefault="000A6207" w:rsidP="000A6207">
      <w:pPr>
        <w:spacing w:line="276" w:lineRule="auto"/>
        <w:jc w:val="both"/>
        <w:rPr>
          <w:rFonts w:ascii="Book Antiqua" w:hAnsi="Book Antiqua"/>
        </w:rPr>
      </w:pPr>
    </w:p>
    <w:p w14:paraId="02F6D1A9" w14:textId="745DA936" w:rsidR="000A6207" w:rsidRDefault="000A6207" w:rsidP="000A6207">
      <w:pPr>
        <w:spacing w:line="276" w:lineRule="auto"/>
        <w:jc w:val="both"/>
        <w:rPr>
          <w:rFonts w:ascii="Book Antiqua" w:hAnsi="Book Antiqua"/>
        </w:rPr>
      </w:pPr>
      <w:r>
        <w:rPr>
          <w:rFonts w:ascii="Book Antiqua" w:hAnsi="Book Antiqua"/>
        </w:rPr>
        <w:t xml:space="preserve">En el </w:t>
      </w:r>
      <w:r w:rsidRPr="00B85E23">
        <w:rPr>
          <w:rFonts w:ascii="Book Antiqua" w:hAnsi="Book Antiqua"/>
          <w:b/>
          <w:bCs/>
        </w:rPr>
        <w:t xml:space="preserve">cuadro </w:t>
      </w:r>
      <w:r w:rsidR="00462DB6">
        <w:rPr>
          <w:rFonts w:ascii="Book Antiqua" w:hAnsi="Book Antiqua"/>
          <w:b/>
          <w:bCs/>
        </w:rPr>
        <w:t>7</w:t>
      </w:r>
      <w:r w:rsidR="00635E2C">
        <w:rPr>
          <w:rFonts w:ascii="Book Antiqua" w:hAnsi="Book Antiqua"/>
          <w:b/>
          <w:bCs/>
        </w:rPr>
        <w:t>5</w:t>
      </w:r>
      <w:r>
        <w:rPr>
          <w:rFonts w:ascii="Book Antiqua" w:hAnsi="Book Antiqua"/>
        </w:rPr>
        <w:t xml:space="preserve"> </w:t>
      </w:r>
      <w:r>
        <w:rPr>
          <w:rFonts w:ascii="Book Antiqua" w:hAnsi="Book Antiqua"/>
          <w:bCs/>
          <w:color w:val="000000" w:themeColor="text1"/>
        </w:rPr>
        <w:t xml:space="preserve">se inserta el resultado </w:t>
      </w:r>
      <w:r w:rsidRPr="00B85E23">
        <w:rPr>
          <w:rFonts w:ascii="Book Antiqua" w:hAnsi="Book Antiqua"/>
          <w:b/>
        </w:rPr>
        <w:t>de manera</w:t>
      </w:r>
      <w:r>
        <w:rPr>
          <w:rFonts w:ascii="Book Antiqua" w:hAnsi="Book Antiqua"/>
          <w:b/>
        </w:rPr>
        <w:t xml:space="preserve"> semanal, </w:t>
      </w:r>
      <w:r>
        <w:rPr>
          <w:rFonts w:ascii="Book Antiqua" w:hAnsi="Book Antiqua"/>
        </w:rPr>
        <w:t xml:space="preserve">a partir de los datos de mayo 2020 a abril 2021, suministrados por el personal de las oficinas mediante el informe de labores One drive (circular 61-20). </w:t>
      </w:r>
    </w:p>
    <w:p w14:paraId="51D5E9FB" w14:textId="77777777" w:rsidR="000A6207" w:rsidRPr="00F970F2" w:rsidRDefault="000A6207" w:rsidP="000A6207">
      <w:pPr>
        <w:spacing w:line="276" w:lineRule="auto"/>
        <w:jc w:val="both"/>
        <w:rPr>
          <w:rFonts w:ascii="Book Antiqua" w:hAnsi="Book Antiqua"/>
          <w:bCs/>
          <w:color w:val="000000" w:themeColor="text1"/>
          <w:highlight w:val="yellow"/>
        </w:rPr>
      </w:pPr>
    </w:p>
    <w:p w14:paraId="167E14C3" w14:textId="2A583B06" w:rsidR="000A6207" w:rsidRPr="007E572E" w:rsidRDefault="000A6207" w:rsidP="000A6207">
      <w:pPr>
        <w:spacing w:line="276" w:lineRule="auto"/>
        <w:jc w:val="center"/>
        <w:rPr>
          <w:rFonts w:ascii="Book Antiqua" w:hAnsi="Book Antiqua"/>
          <w:b/>
          <w:color w:val="000000" w:themeColor="text1"/>
        </w:rPr>
      </w:pPr>
      <w:r w:rsidRPr="007E572E">
        <w:rPr>
          <w:rFonts w:ascii="Book Antiqua" w:hAnsi="Book Antiqua"/>
          <w:b/>
          <w:color w:val="000000" w:themeColor="text1"/>
        </w:rPr>
        <w:t xml:space="preserve">Cuadro </w:t>
      </w:r>
      <w:r w:rsidR="00462DB6">
        <w:rPr>
          <w:rFonts w:ascii="Book Antiqua" w:hAnsi="Book Antiqua"/>
          <w:b/>
          <w:color w:val="000000" w:themeColor="text1"/>
        </w:rPr>
        <w:t>7</w:t>
      </w:r>
      <w:r w:rsidR="00635E2C">
        <w:rPr>
          <w:rFonts w:ascii="Book Antiqua" w:hAnsi="Book Antiqua"/>
          <w:b/>
          <w:color w:val="000000" w:themeColor="text1"/>
        </w:rPr>
        <w:t>5</w:t>
      </w:r>
    </w:p>
    <w:p w14:paraId="7DEF2765" w14:textId="77777777" w:rsidR="000A6207" w:rsidRPr="007E572E" w:rsidRDefault="000A6207" w:rsidP="000A6207">
      <w:pPr>
        <w:spacing w:line="276" w:lineRule="auto"/>
        <w:jc w:val="center"/>
        <w:rPr>
          <w:rFonts w:ascii="Book Antiqua" w:hAnsi="Book Antiqua"/>
          <w:bCs/>
          <w:color w:val="000000" w:themeColor="text1"/>
        </w:rPr>
      </w:pPr>
      <w:r w:rsidRPr="007E572E">
        <w:rPr>
          <w:rFonts w:ascii="Book Antiqua" w:hAnsi="Book Antiqua"/>
          <w:bCs/>
          <w:color w:val="000000" w:themeColor="text1"/>
        </w:rPr>
        <w:t xml:space="preserve">Cumplimiento del parámetro de producción teórico de </w:t>
      </w:r>
    </w:p>
    <w:p w14:paraId="2C01108F" w14:textId="15DD2AE7" w:rsidR="000A6207" w:rsidRPr="00635E2C" w:rsidRDefault="000A6207" w:rsidP="00635E2C">
      <w:pPr>
        <w:spacing w:line="276" w:lineRule="auto"/>
        <w:jc w:val="center"/>
        <w:rPr>
          <w:rFonts w:ascii="Book Antiqua" w:hAnsi="Book Antiqua"/>
          <w:bCs/>
          <w:color w:val="000000" w:themeColor="text1"/>
        </w:rPr>
      </w:pPr>
      <w:r w:rsidRPr="007E572E">
        <w:rPr>
          <w:rFonts w:ascii="Book Antiqua" w:hAnsi="Book Antiqua"/>
          <w:bCs/>
          <w:color w:val="000000" w:themeColor="text1"/>
        </w:rPr>
        <w:t>oficinas de materia penal desde el inicio de la medición de circular 61-2020</w:t>
      </w:r>
    </w:p>
    <w:tbl>
      <w:tblPr>
        <w:tblW w:w="10580" w:type="dxa"/>
        <w:jc w:val="center"/>
        <w:tblCellMar>
          <w:left w:w="70" w:type="dxa"/>
          <w:right w:w="70" w:type="dxa"/>
        </w:tblCellMar>
        <w:tblLook w:val="04A0" w:firstRow="1" w:lastRow="0" w:firstColumn="1" w:lastColumn="0" w:noHBand="0" w:noVBand="1"/>
      </w:tblPr>
      <w:tblGrid>
        <w:gridCol w:w="1200"/>
        <w:gridCol w:w="1740"/>
        <w:gridCol w:w="1200"/>
        <w:gridCol w:w="1360"/>
        <w:gridCol w:w="1200"/>
        <w:gridCol w:w="1340"/>
        <w:gridCol w:w="1340"/>
        <w:gridCol w:w="1200"/>
      </w:tblGrid>
      <w:tr w:rsidR="000A6207" w:rsidRPr="00462DB6" w14:paraId="05318521" w14:textId="77777777" w:rsidTr="00243F14">
        <w:trPr>
          <w:trHeight w:val="520"/>
          <w:jc w:val="center"/>
        </w:trPr>
        <w:tc>
          <w:tcPr>
            <w:tcW w:w="1200" w:type="dxa"/>
            <w:vMerge w:val="restart"/>
            <w:tcBorders>
              <w:top w:val="single" w:sz="4" w:space="0" w:color="auto"/>
              <w:left w:val="single" w:sz="4" w:space="0" w:color="auto"/>
              <w:bottom w:val="single" w:sz="4" w:space="0" w:color="auto"/>
              <w:right w:val="single" w:sz="4" w:space="0" w:color="auto"/>
            </w:tcBorders>
            <w:shd w:val="clear" w:color="000000" w:fill="305496"/>
            <w:vAlign w:val="center"/>
            <w:hideMark/>
          </w:tcPr>
          <w:p w14:paraId="3FE50CED" w14:textId="77777777" w:rsidR="000A6207" w:rsidRPr="00462DB6" w:rsidRDefault="000A6207" w:rsidP="00243F14">
            <w:pPr>
              <w:spacing w:line="276" w:lineRule="auto"/>
              <w:jc w:val="center"/>
              <w:rPr>
                <w:rFonts w:ascii="Book Antiqua" w:hAnsi="Book Antiqua" w:cs="Calibri"/>
                <w:b/>
                <w:bCs/>
                <w:color w:val="FFFFFF"/>
                <w:sz w:val="16"/>
                <w:szCs w:val="16"/>
                <w:lang w:eastAsia="es-CR"/>
              </w:rPr>
            </w:pPr>
            <w:r w:rsidRPr="00462DB6">
              <w:rPr>
                <w:rFonts w:ascii="Book Antiqua" w:hAnsi="Book Antiqua" w:cs="Calibri"/>
                <w:b/>
                <w:bCs/>
                <w:color w:val="FFFFFF"/>
                <w:sz w:val="16"/>
                <w:szCs w:val="16"/>
                <w:lang w:eastAsia="es-CR"/>
              </w:rPr>
              <w:t xml:space="preserve">Semana </w:t>
            </w:r>
          </w:p>
        </w:tc>
        <w:tc>
          <w:tcPr>
            <w:tcW w:w="1740" w:type="dxa"/>
            <w:tcBorders>
              <w:top w:val="single" w:sz="4" w:space="0" w:color="auto"/>
              <w:left w:val="nil"/>
              <w:bottom w:val="single" w:sz="4" w:space="0" w:color="auto"/>
              <w:right w:val="single" w:sz="4" w:space="0" w:color="auto"/>
            </w:tcBorders>
            <w:shd w:val="clear" w:color="000000" w:fill="305496"/>
            <w:vAlign w:val="center"/>
            <w:hideMark/>
          </w:tcPr>
          <w:p w14:paraId="512DA4CE" w14:textId="77777777" w:rsidR="000A6207" w:rsidRPr="00462DB6" w:rsidRDefault="000A6207" w:rsidP="00243F14">
            <w:pPr>
              <w:spacing w:line="276" w:lineRule="auto"/>
              <w:jc w:val="center"/>
              <w:rPr>
                <w:rFonts w:ascii="Book Antiqua" w:hAnsi="Book Antiqua" w:cs="Calibri"/>
                <w:b/>
                <w:bCs/>
                <w:color w:val="FFFFFF"/>
                <w:sz w:val="16"/>
                <w:szCs w:val="16"/>
                <w:lang w:eastAsia="es-CR"/>
              </w:rPr>
            </w:pPr>
            <w:r w:rsidRPr="00462DB6">
              <w:rPr>
                <w:rFonts w:ascii="Book Antiqua" w:hAnsi="Book Antiqua" w:cs="Calibri"/>
                <w:b/>
                <w:bCs/>
                <w:color w:val="FFFFFF"/>
                <w:sz w:val="16"/>
                <w:szCs w:val="16"/>
                <w:lang w:eastAsia="es-CR"/>
              </w:rPr>
              <w:t>Juzgados Penales</w:t>
            </w:r>
          </w:p>
        </w:tc>
        <w:tc>
          <w:tcPr>
            <w:tcW w:w="1200" w:type="dxa"/>
            <w:tcBorders>
              <w:top w:val="single" w:sz="4" w:space="0" w:color="auto"/>
              <w:left w:val="nil"/>
              <w:bottom w:val="single" w:sz="4" w:space="0" w:color="auto"/>
              <w:right w:val="single" w:sz="4" w:space="0" w:color="auto"/>
            </w:tcBorders>
            <w:shd w:val="clear" w:color="000000" w:fill="305496"/>
            <w:vAlign w:val="center"/>
            <w:hideMark/>
          </w:tcPr>
          <w:p w14:paraId="5F186254" w14:textId="77777777" w:rsidR="000A6207" w:rsidRPr="00462DB6" w:rsidRDefault="000A6207" w:rsidP="00243F14">
            <w:pPr>
              <w:spacing w:line="276" w:lineRule="auto"/>
              <w:jc w:val="center"/>
              <w:rPr>
                <w:rFonts w:ascii="Book Antiqua" w:hAnsi="Book Antiqua" w:cs="Calibri"/>
                <w:b/>
                <w:bCs/>
                <w:color w:val="FFFFFF"/>
                <w:sz w:val="16"/>
                <w:szCs w:val="16"/>
                <w:lang w:eastAsia="es-CR"/>
              </w:rPr>
            </w:pPr>
            <w:r w:rsidRPr="00462DB6">
              <w:rPr>
                <w:rFonts w:ascii="Book Antiqua" w:hAnsi="Book Antiqua" w:cs="Calibri"/>
                <w:b/>
                <w:bCs/>
                <w:color w:val="FFFFFF"/>
                <w:sz w:val="16"/>
                <w:szCs w:val="16"/>
                <w:lang w:eastAsia="es-CR"/>
              </w:rPr>
              <w:t>Tribunales de Juicio</w:t>
            </w:r>
          </w:p>
        </w:tc>
        <w:tc>
          <w:tcPr>
            <w:tcW w:w="1360" w:type="dxa"/>
            <w:tcBorders>
              <w:top w:val="single" w:sz="4" w:space="0" w:color="auto"/>
              <w:left w:val="nil"/>
              <w:bottom w:val="single" w:sz="4" w:space="0" w:color="auto"/>
              <w:right w:val="single" w:sz="4" w:space="0" w:color="auto"/>
            </w:tcBorders>
            <w:shd w:val="clear" w:color="000000" w:fill="305496"/>
            <w:noWrap/>
            <w:vAlign w:val="center"/>
            <w:hideMark/>
          </w:tcPr>
          <w:p w14:paraId="45811525" w14:textId="77777777" w:rsidR="000A6207" w:rsidRPr="00462DB6" w:rsidRDefault="000A6207" w:rsidP="00243F14">
            <w:pPr>
              <w:spacing w:line="276" w:lineRule="auto"/>
              <w:jc w:val="center"/>
              <w:rPr>
                <w:rFonts w:ascii="Book Antiqua" w:hAnsi="Book Antiqua" w:cs="Calibri"/>
                <w:b/>
                <w:bCs/>
                <w:color w:val="FFFFFF"/>
                <w:sz w:val="16"/>
                <w:szCs w:val="16"/>
                <w:lang w:eastAsia="es-CR"/>
              </w:rPr>
            </w:pPr>
            <w:r w:rsidRPr="00462DB6">
              <w:rPr>
                <w:rFonts w:ascii="Book Antiqua" w:hAnsi="Book Antiqua" w:cs="Calibri"/>
                <w:b/>
                <w:bCs/>
                <w:color w:val="FFFFFF"/>
                <w:sz w:val="16"/>
                <w:szCs w:val="16"/>
                <w:lang w:eastAsia="es-CR"/>
              </w:rPr>
              <w:t>Flagrancia</w:t>
            </w:r>
          </w:p>
        </w:tc>
        <w:tc>
          <w:tcPr>
            <w:tcW w:w="2540" w:type="dxa"/>
            <w:gridSpan w:val="2"/>
            <w:tcBorders>
              <w:top w:val="single" w:sz="4" w:space="0" w:color="auto"/>
              <w:left w:val="nil"/>
              <w:bottom w:val="single" w:sz="4" w:space="0" w:color="auto"/>
              <w:right w:val="single" w:sz="4" w:space="0" w:color="auto"/>
            </w:tcBorders>
            <w:shd w:val="clear" w:color="000000" w:fill="305496"/>
            <w:noWrap/>
            <w:vAlign w:val="center"/>
            <w:hideMark/>
          </w:tcPr>
          <w:p w14:paraId="0415041D" w14:textId="77777777" w:rsidR="000A6207" w:rsidRPr="00462DB6" w:rsidRDefault="000A6207" w:rsidP="00243F14">
            <w:pPr>
              <w:spacing w:line="276" w:lineRule="auto"/>
              <w:jc w:val="center"/>
              <w:rPr>
                <w:rFonts w:ascii="Book Antiqua" w:hAnsi="Book Antiqua" w:cs="Calibri"/>
                <w:b/>
                <w:bCs/>
                <w:color w:val="FFFFFF"/>
                <w:sz w:val="16"/>
                <w:szCs w:val="16"/>
                <w:lang w:eastAsia="es-CR"/>
              </w:rPr>
            </w:pPr>
            <w:r w:rsidRPr="00462DB6">
              <w:rPr>
                <w:rFonts w:ascii="Book Antiqua" w:hAnsi="Book Antiqua" w:cs="Calibri"/>
                <w:b/>
                <w:bCs/>
                <w:color w:val="FFFFFF"/>
                <w:sz w:val="16"/>
                <w:szCs w:val="16"/>
                <w:lang w:eastAsia="es-CR"/>
              </w:rPr>
              <w:t>Ejecución</w:t>
            </w:r>
          </w:p>
        </w:tc>
        <w:tc>
          <w:tcPr>
            <w:tcW w:w="1340" w:type="dxa"/>
            <w:tcBorders>
              <w:top w:val="single" w:sz="4" w:space="0" w:color="auto"/>
              <w:left w:val="nil"/>
              <w:bottom w:val="single" w:sz="4" w:space="0" w:color="auto"/>
              <w:right w:val="single" w:sz="4" w:space="0" w:color="auto"/>
            </w:tcBorders>
            <w:shd w:val="clear" w:color="000000" w:fill="305496"/>
            <w:noWrap/>
            <w:vAlign w:val="center"/>
            <w:hideMark/>
          </w:tcPr>
          <w:p w14:paraId="354B6D94" w14:textId="77777777" w:rsidR="000A6207" w:rsidRPr="00462DB6" w:rsidRDefault="000A6207" w:rsidP="00243F14">
            <w:pPr>
              <w:spacing w:line="276" w:lineRule="auto"/>
              <w:jc w:val="center"/>
              <w:rPr>
                <w:rFonts w:ascii="Book Antiqua" w:hAnsi="Book Antiqua" w:cs="Calibri"/>
                <w:b/>
                <w:bCs/>
                <w:color w:val="FFFFFF"/>
                <w:sz w:val="16"/>
                <w:szCs w:val="16"/>
                <w:lang w:eastAsia="es-CR"/>
              </w:rPr>
            </w:pPr>
            <w:r w:rsidRPr="00462DB6">
              <w:rPr>
                <w:rFonts w:ascii="Book Antiqua" w:hAnsi="Book Antiqua" w:cs="Calibri"/>
                <w:b/>
                <w:bCs/>
                <w:color w:val="FFFFFF"/>
                <w:sz w:val="16"/>
                <w:szCs w:val="16"/>
                <w:lang w:eastAsia="es-CR"/>
              </w:rPr>
              <w:t>Apelación</w:t>
            </w:r>
          </w:p>
        </w:tc>
        <w:tc>
          <w:tcPr>
            <w:tcW w:w="1200" w:type="dxa"/>
            <w:tcBorders>
              <w:top w:val="single" w:sz="4" w:space="0" w:color="auto"/>
              <w:left w:val="nil"/>
              <w:bottom w:val="single" w:sz="4" w:space="0" w:color="auto"/>
              <w:right w:val="single" w:sz="4" w:space="0" w:color="auto"/>
            </w:tcBorders>
            <w:shd w:val="clear" w:color="000000" w:fill="305496"/>
            <w:noWrap/>
            <w:vAlign w:val="center"/>
            <w:hideMark/>
          </w:tcPr>
          <w:p w14:paraId="29B7A494" w14:textId="77777777" w:rsidR="000A6207" w:rsidRPr="00462DB6" w:rsidRDefault="000A6207" w:rsidP="00243F14">
            <w:pPr>
              <w:spacing w:line="276" w:lineRule="auto"/>
              <w:jc w:val="center"/>
              <w:rPr>
                <w:rFonts w:ascii="Book Antiqua" w:hAnsi="Book Antiqua" w:cs="Calibri"/>
                <w:b/>
                <w:bCs/>
                <w:color w:val="FFFFFF"/>
                <w:sz w:val="16"/>
                <w:szCs w:val="16"/>
                <w:lang w:eastAsia="es-CR"/>
              </w:rPr>
            </w:pPr>
            <w:r w:rsidRPr="00462DB6">
              <w:rPr>
                <w:rFonts w:ascii="Book Antiqua" w:hAnsi="Book Antiqua" w:cs="Calibri"/>
                <w:b/>
                <w:bCs/>
                <w:color w:val="FFFFFF"/>
                <w:sz w:val="16"/>
                <w:szCs w:val="16"/>
                <w:lang w:eastAsia="es-CR"/>
              </w:rPr>
              <w:t>Sala Tercera</w:t>
            </w:r>
          </w:p>
        </w:tc>
      </w:tr>
      <w:tr w:rsidR="000A6207" w:rsidRPr="00462DB6" w14:paraId="0D10B8BD" w14:textId="77777777" w:rsidTr="00243F14">
        <w:trPr>
          <w:trHeight w:val="1300"/>
          <w:jc w:val="center"/>
        </w:trPr>
        <w:tc>
          <w:tcPr>
            <w:tcW w:w="1200" w:type="dxa"/>
            <w:vMerge/>
            <w:tcBorders>
              <w:top w:val="single" w:sz="4" w:space="0" w:color="auto"/>
              <w:left w:val="single" w:sz="4" w:space="0" w:color="auto"/>
              <w:bottom w:val="single" w:sz="4" w:space="0" w:color="auto"/>
              <w:right w:val="single" w:sz="4" w:space="0" w:color="auto"/>
            </w:tcBorders>
            <w:vAlign w:val="center"/>
            <w:hideMark/>
          </w:tcPr>
          <w:p w14:paraId="57CD01C7" w14:textId="77777777" w:rsidR="000A6207" w:rsidRPr="00462DB6" w:rsidRDefault="000A6207" w:rsidP="00243F14">
            <w:pPr>
              <w:spacing w:line="276" w:lineRule="auto"/>
              <w:rPr>
                <w:rFonts w:ascii="Book Antiqua" w:hAnsi="Book Antiqua" w:cs="Calibri"/>
                <w:b/>
                <w:bCs/>
                <w:color w:val="FFFFFF"/>
                <w:sz w:val="16"/>
                <w:szCs w:val="16"/>
                <w:lang w:eastAsia="es-CR"/>
              </w:rPr>
            </w:pPr>
          </w:p>
        </w:tc>
        <w:tc>
          <w:tcPr>
            <w:tcW w:w="1740" w:type="dxa"/>
            <w:tcBorders>
              <w:top w:val="nil"/>
              <w:left w:val="nil"/>
              <w:bottom w:val="single" w:sz="4" w:space="0" w:color="auto"/>
              <w:right w:val="single" w:sz="4" w:space="0" w:color="auto"/>
            </w:tcBorders>
            <w:shd w:val="clear" w:color="000000" w:fill="305496"/>
            <w:vAlign w:val="center"/>
            <w:hideMark/>
          </w:tcPr>
          <w:p w14:paraId="6ECA115F" w14:textId="77777777" w:rsidR="000A6207" w:rsidRPr="00462DB6" w:rsidRDefault="000A6207" w:rsidP="00243F14">
            <w:pPr>
              <w:spacing w:line="276" w:lineRule="auto"/>
              <w:jc w:val="center"/>
              <w:rPr>
                <w:rFonts w:ascii="Book Antiqua" w:hAnsi="Book Antiqua" w:cs="Calibri"/>
                <w:b/>
                <w:bCs/>
                <w:color w:val="FFFFFF"/>
                <w:sz w:val="16"/>
                <w:szCs w:val="16"/>
                <w:lang w:eastAsia="es-CR"/>
              </w:rPr>
            </w:pPr>
            <w:r w:rsidRPr="00462DB6">
              <w:rPr>
                <w:rFonts w:ascii="Book Antiqua" w:hAnsi="Book Antiqua" w:cs="Calibri"/>
                <w:b/>
                <w:bCs/>
                <w:color w:val="FFFFFF"/>
                <w:sz w:val="16"/>
                <w:szCs w:val="16"/>
                <w:lang w:eastAsia="es-CR"/>
              </w:rPr>
              <w:t>Desestimaciones, sobreseimientos y acusaciones</w:t>
            </w:r>
          </w:p>
        </w:tc>
        <w:tc>
          <w:tcPr>
            <w:tcW w:w="1200" w:type="dxa"/>
            <w:tcBorders>
              <w:top w:val="nil"/>
              <w:left w:val="nil"/>
              <w:bottom w:val="single" w:sz="4" w:space="0" w:color="auto"/>
              <w:right w:val="single" w:sz="4" w:space="0" w:color="auto"/>
            </w:tcBorders>
            <w:shd w:val="clear" w:color="000000" w:fill="305496"/>
            <w:vAlign w:val="center"/>
            <w:hideMark/>
          </w:tcPr>
          <w:p w14:paraId="590960CC" w14:textId="77777777" w:rsidR="000A6207" w:rsidRPr="00462DB6" w:rsidRDefault="000A6207" w:rsidP="00243F14">
            <w:pPr>
              <w:spacing w:line="276" w:lineRule="auto"/>
              <w:jc w:val="center"/>
              <w:rPr>
                <w:rFonts w:ascii="Book Antiqua" w:hAnsi="Book Antiqua" w:cs="Calibri"/>
                <w:b/>
                <w:bCs/>
                <w:color w:val="FFFFFF"/>
                <w:sz w:val="16"/>
                <w:szCs w:val="16"/>
                <w:lang w:eastAsia="es-CR"/>
              </w:rPr>
            </w:pPr>
            <w:r w:rsidRPr="00462DB6">
              <w:rPr>
                <w:rFonts w:ascii="Book Antiqua" w:hAnsi="Book Antiqua" w:cs="Calibri"/>
                <w:b/>
                <w:bCs/>
                <w:color w:val="FFFFFF"/>
                <w:sz w:val="16"/>
                <w:szCs w:val="16"/>
                <w:lang w:eastAsia="es-CR"/>
              </w:rPr>
              <w:t>Sentencias y medidas alternas</w:t>
            </w:r>
          </w:p>
        </w:tc>
        <w:tc>
          <w:tcPr>
            <w:tcW w:w="1360" w:type="dxa"/>
            <w:tcBorders>
              <w:top w:val="nil"/>
              <w:left w:val="nil"/>
              <w:bottom w:val="single" w:sz="4" w:space="0" w:color="auto"/>
              <w:right w:val="single" w:sz="4" w:space="0" w:color="auto"/>
            </w:tcBorders>
            <w:shd w:val="clear" w:color="000000" w:fill="305496"/>
            <w:vAlign w:val="center"/>
            <w:hideMark/>
          </w:tcPr>
          <w:p w14:paraId="57D3528A" w14:textId="77777777" w:rsidR="000A6207" w:rsidRPr="00462DB6" w:rsidRDefault="000A6207" w:rsidP="00243F14">
            <w:pPr>
              <w:spacing w:line="276" w:lineRule="auto"/>
              <w:jc w:val="center"/>
              <w:rPr>
                <w:rFonts w:ascii="Book Antiqua" w:hAnsi="Book Antiqua" w:cs="Calibri"/>
                <w:b/>
                <w:bCs/>
                <w:color w:val="FFFFFF"/>
                <w:sz w:val="16"/>
                <w:szCs w:val="16"/>
                <w:lang w:eastAsia="es-CR"/>
              </w:rPr>
            </w:pPr>
            <w:r w:rsidRPr="00462DB6">
              <w:rPr>
                <w:rFonts w:ascii="Book Antiqua" w:hAnsi="Book Antiqua" w:cs="Calibri"/>
                <w:b/>
                <w:bCs/>
                <w:color w:val="FFFFFF"/>
                <w:sz w:val="16"/>
                <w:szCs w:val="16"/>
                <w:lang w:eastAsia="es-CR"/>
              </w:rPr>
              <w:t>Audiencias iniciales, sentencias y medidas alternas</w:t>
            </w:r>
          </w:p>
        </w:tc>
        <w:tc>
          <w:tcPr>
            <w:tcW w:w="1200" w:type="dxa"/>
            <w:tcBorders>
              <w:top w:val="nil"/>
              <w:left w:val="nil"/>
              <w:bottom w:val="single" w:sz="4" w:space="0" w:color="auto"/>
              <w:right w:val="single" w:sz="4" w:space="0" w:color="auto"/>
            </w:tcBorders>
            <w:shd w:val="clear" w:color="000000" w:fill="305496"/>
            <w:vAlign w:val="center"/>
            <w:hideMark/>
          </w:tcPr>
          <w:p w14:paraId="61126F91" w14:textId="77777777" w:rsidR="000A6207" w:rsidRPr="00462DB6" w:rsidRDefault="000A6207" w:rsidP="00243F14">
            <w:pPr>
              <w:spacing w:line="276" w:lineRule="auto"/>
              <w:jc w:val="center"/>
              <w:rPr>
                <w:rFonts w:ascii="Book Antiqua" w:hAnsi="Book Antiqua" w:cs="Calibri"/>
                <w:b/>
                <w:bCs/>
                <w:color w:val="FFFFFF"/>
                <w:sz w:val="16"/>
                <w:szCs w:val="16"/>
                <w:lang w:eastAsia="es-CR"/>
              </w:rPr>
            </w:pPr>
            <w:r w:rsidRPr="00462DB6">
              <w:rPr>
                <w:rFonts w:ascii="Book Antiqua" w:hAnsi="Book Antiqua" w:cs="Calibri"/>
                <w:b/>
                <w:bCs/>
                <w:color w:val="FFFFFF"/>
                <w:sz w:val="16"/>
                <w:szCs w:val="16"/>
                <w:lang w:eastAsia="es-CR"/>
              </w:rPr>
              <w:t>Autos con carácter de sentencia</w:t>
            </w:r>
          </w:p>
        </w:tc>
        <w:tc>
          <w:tcPr>
            <w:tcW w:w="1340" w:type="dxa"/>
            <w:tcBorders>
              <w:top w:val="nil"/>
              <w:left w:val="nil"/>
              <w:bottom w:val="single" w:sz="4" w:space="0" w:color="auto"/>
              <w:right w:val="single" w:sz="4" w:space="0" w:color="auto"/>
            </w:tcBorders>
            <w:shd w:val="clear" w:color="000000" w:fill="305496"/>
            <w:vAlign w:val="center"/>
            <w:hideMark/>
          </w:tcPr>
          <w:p w14:paraId="1B4EFC0C" w14:textId="77777777" w:rsidR="000A6207" w:rsidRPr="00462DB6" w:rsidRDefault="000A6207" w:rsidP="00243F14">
            <w:pPr>
              <w:spacing w:line="276" w:lineRule="auto"/>
              <w:jc w:val="center"/>
              <w:rPr>
                <w:rFonts w:ascii="Book Antiqua" w:hAnsi="Book Antiqua" w:cs="Calibri"/>
                <w:b/>
                <w:bCs/>
                <w:color w:val="FFFFFF"/>
                <w:sz w:val="16"/>
                <w:szCs w:val="16"/>
                <w:lang w:eastAsia="es-CR"/>
              </w:rPr>
            </w:pPr>
            <w:r w:rsidRPr="00462DB6">
              <w:rPr>
                <w:rFonts w:ascii="Book Antiqua" w:hAnsi="Book Antiqua" w:cs="Calibri"/>
                <w:b/>
                <w:bCs/>
                <w:color w:val="FFFFFF"/>
                <w:sz w:val="16"/>
                <w:szCs w:val="16"/>
                <w:lang w:eastAsia="es-CR"/>
              </w:rPr>
              <w:t>Firma de resoluciones</w:t>
            </w:r>
          </w:p>
        </w:tc>
        <w:tc>
          <w:tcPr>
            <w:tcW w:w="1340" w:type="dxa"/>
            <w:tcBorders>
              <w:top w:val="nil"/>
              <w:left w:val="nil"/>
              <w:bottom w:val="single" w:sz="4" w:space="0" w:color="auto"/>
              <w:right w:val="single" w:sz="4" w:space="0" w:color="auto"/>
            </w:tcBorders>
            <w:shd w:val="clear" w:color="000000" w:fill="305496"/>
            <w:vAlign w:val="center"/>
            <w:hideMark/>
          </w:tcPr>
          <w:p w14:paraId="40282131" w14:textId="77777777" w:rsidR="000A6207" w:rsidRPr="00462DB6" w:rsidRDefault="000A6207" w:rsidP="00243F14">
            <w:pPr>
              <w:spacing w:line="276" w:lineRule="auto"/>
              <w:jc w:val="center"/>
              <w:rPr>
                <w:rFonts w:ascii="Book Antiqua" w:hAnsi="Book Antiqua" w:cs="Calibri"/>
                <w:b/>
                <w:bCs/>
                <w:color w:val="FFFFFF"/>
                <w:sz w:val="16"/>
                <w:szCs w:val="16"/>
                <w:lang w:eastAsia="es-CR"/>
              </w:rPr>
            </w:pPr>
            <w:r w:rsidRPr="00462DB6">
              <w:rPr>
                <w:rFonts w:ascii="Book Antiqua" w:hAnsi="Book Antiqua" w:cs="Calibri"/>
                <w:b/>
                <w:bCs/>
                <w:color w:val="FFFFFF"/>
                <w:sz w:val="16"/>
                <w:szCs w:val="16"/>
                <w:lang w:eastAsia="es-CR"/>
              </w:rPr>
              <w:t>Proyecto terminado, circulado y votado</w:t>
            </w:r>
          </w:p>
        </w:tc>
        <w:tc>
          <w:tcPr>
            <w:tcW w:w="1200" w:type="dxa"/>
            <w:tcBorders>
              <w:top w:val="nil"/>
              <w:left w:val="nil"/>
              <w:bottom w:val="single" w:sz="4" w:space="0" w:color="auto"/>
              <w:right w:val="single" w:sz="4" w:space="0" w:color="auto"/>
            </w:tcBorders>
            <w:shd w:val="clear" w:color="000000" w:fill="305496"/>
            <w:vAlign w:val="center"/>
            <w:hideMark/>
          </w:tcPr>
          <w:p w14:paraId="5E8E1D8E" w14:textId="77777777" w:rsidR="000A6207" w:rsidRPr="00462DB6" w:rsidRDefault="000A6207" w:rsidP="00243F14">
            <w:pPr>
              <w:spacing w:line="276" w:lineRule="auto"/>
              <w:jc w:val="center"/>
              <w:rPr>
                <w:rFonts w:ascii="Book Antiqua" w:hAnsi="Book Antiqua" w:cs="Calibri"/>
                <w:b/>
                <w:bCs/>
                <w:color w:val="FFFFFF"/>
                <w:sz w:val="16"/>
                <w:szCs w:val="16"/>
                <w:lang w:eastAsia="es-CR"/>
              </w:rPr>
            </w:pPr>
            <w:r w:rsidRPr="00462DB6">
              <w:rPr>
                <w:rFonts w:ascii="Book Antiqua" w:hAnsi="Book Antiqua" w:cs="Calibri"/>
                <w:b/>
                <w:bCs/>
                <w:color w:val="FFFFFF"/>
                <w:sz w:val="16"/>
                <w:szCs w:val="16"/>
                <w:lang w:eastAsia="es-CR"/>
              </w:rPr>
              <w:t>Proyectos</w:t>
            </w:r>
          </w:p>
        </w:tc>
      </w:tr>
      <w:tr w:rsidR="000A6207" w:rsidRPr="00462DB6" w14:paraId="6745159B"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558BF091"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w:t>
            </w:r>
          </w:p>
        </w:tc>
        <w:tc>
          <w:tcPr>
            <w:tcW w:w="1740" w:type="dxa"/>
            <w:tcBorders>
              <w:top w:val="nil"/>
              <w:left w:val="nil"/>
              <w:bottom w:val="single" w:sz="4" w:space="0" w:color="auto"/>
              <w:right w:val="single" w:sz="4" w:space="0" w:color="auto"/>
            </w:tcBorders>
            <w:shd w:val="clear" w:color="000000" w:fill="FFFFFF"/>
            <w:noWrap/>
            <w:vAlign w:val="center"/>
            <w:hideMark/>
          </w:tcPr>
          <w:p w14:paraId="7498D692"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69%</w:t>
            </w:r>
          </w:p>
        </w:tc>
        <w:tc>
          <w:tcPr>
            <w:tcW w:w="1200" w:type="dxa"/>
            <w:tcBorders>
              <w:top w:val="nil"/>
              <w:left w:val="nil"/>
              <w:bottom w:val="single" w:sz="4" w:space="0" w:color="auto"/>
              <w:right w:val="single" w:sz="4" w:space="0" w:color="auto"/>
            </w:tcBorders>
            <w:shd w:val="clear" w:color="000000" w:fill="FFFFFF"/>
            <w:noWrap/>
            <w:vAlign w:val="center"/>
            <w:hideMark/>
          </w:tcPr>
          <w:p w14:paraId="266C8E76"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142%</w:t>
            </w:r>
          </w:p>
        </w:tc>
        <w:tc>
          <w:tcPr>
            <w:tcW w:w="1360" w:type="dxa"/>
            <w:tcBorders>
              <w:top w:val="nil"/>
              <w:left w:val="nil"/>
              <w:bottom w:val="single" w:sz="4" w:space="0" w:color="auto"/>
              <w:right w:val="single" w:sz="4" w:space="0" w:color="auto"/>
            </w:tcBorders>
            <w:shd w:val="clear" w:color="000000" w:fill="FFFFFF"/>
            <w:noWrap/>
            <w:vAlign w:val="center"/>
            <w:hideMark/>
          </w:tcPr>
          <w:p w14:paraId="2DA1FC3E"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63%</w:t>
            </w:r>
          </w:p>
        </w:tc>
        <w:tc>
          <w:tcPr>
            <w:tcW w:w="1200" w:type="dxa"/>
            <w:tcBorders>
              <w:top w:val="nil"/>
              <w:left w:val="nil"/>
              <w:bottom w:val="single" w:sz="4" w:space="0" w:color="auto"/>
              <w:right w:val="single" w:sz="4" w:space="0" w:color="auto"/>
            </w:tcBorders>
            <w:shd w:val="clear" w:color="000000" w:fill="FFFFFF"/>
            <w:noWrap/>
            <w:vAlign w:val="center"/>
            <w:hideMark/>
          </w:tcPr>
          <w:p w14:paraId="3A5692EB"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88%</w:t>
            </w:r>
          </w:p>
        </w:tc>
        <w:tc>
          <w:tcPr>
            <w:tcW w:w="1340" w:type="dxa"/>
            <w:tcBorders>
              <w:top w:val="nil"/>
              <w:left w:val="nil"/>
              <w:bottom w:val="single" w:sz="4" w:space="0" w:color="auto"/>
              <w:right w:val="single" w:sz="4" w:space="0" w:color="auto"/>
            </w:tcBorders>
            <w:shd w:val="clear" w:color="000000" w:fill="FFFFFF"/>
            <w:noWrap/>
            <w:vAlign w:val="center"/>
            <w:hideMark/>
          </w:tcPr>
          <w:p w14:paraId="264F0449"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190%</w:t>
            </w:r>
          </w:p>
        </w:tc>
        <w:tc>
          <w:tcPr>
            <w:tcW w:w="1340" w:type="dxa"/>
            <w:tcBorders>
              <w:top w:val="nil"/>
              <w:left w:val="nil"/>
              <w:bottom w:val="single" w:sz="4" w:space="0" w:color="auto"/>
              <w:right w:val="single" w:sz="4" w:space="0" w:color="auto"/>
            </w:tcBorders>
            <w:shd w:val="clear" w:color="000000" w:fill="FFFFFF"/>
            <w:noWrap/>
            <w:vAlign w:val="center"/>
            <w:hideMark/>
          </w:tcPr>
          <w:p w14:paraId="40641FDD"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147%</w:t>
            </w:r>
          </w:p>
        </w:tc>
        <w:tc>
          <w:tcPr>
            <w:tcW w:w="1200" w:type="dxa"/>
            <w:tcBorders>
              <w:top w:val="nil"/>
              <w:left w:val="nil"/>
              <w:bottom w:val="single" w:sz="4" w:space="0" w:color="auto"/>
              <w:right w:val="single" w:sz="4" w:space="0" w:color="auto"/>
            </w:tcBorders>
            <w:shd w:val="clear" w:color="000000" w:fill="FFFFFF"/>
            <w:noWrap/>
            <w:vAlign w:val="center"/>
            <w:hideMark/>
          </w:tcPr>
          <w:p w14:paraId="5C2735BA"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115%</w:t>
            </w:r>
          </w:p>
        </w:tc>
      </w:tr>
      <w:tr w:rsidR="000A6207" w:rsidRPr="00462DB6" w14:paraId="5DB532B8"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605AD0DF"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2</w:t>
            </w:r>
          </w:p>
        </w:tc>
        <w:tc>
          <w:tcPr>
            <w:tcW w:w="1740" w:type="dxa"/>
            <w:tcBorders>
              <w:top w:val="nil"/>
              <w:left w:val="nil"/>
              <w:bottom w:val="single" w:sz="4" w:space="0" w:color="auto"/>
              <w:right w:val="single" w:sz="4" w:space="0" w:color="auto"/>
            </w:tcBorders>
            <w:shd w:val="clear" w:color="000000" w:fill="FFFFFF"/>
            <w:noWrap/>
            <w:vAlign w:val="center"/>
            <w:hideMark/>
          </w:tcPr>
          <w:p w14:paraId="170BD4A1"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74%</w:t>
            </w:r>
          </w:p>
        </w:tc>
        <w:tc>
          <w:tcPr>
            <w:tcW w:w="1200" w:type="dxa"/>
            <w:tcBorders>
              <w:top w:val="nil"/>
              <w:left w:val="nil"/>
              <w:bottom w:val="single" w:sz="4" w:space="0" w:color="auto"/>
              <w:right w:val="single" w:sz="4" w:space="0" w:color="auto"/>
            </w:tcBorders>
            <w:shd w:val="clear" w:color="000000" w:fill="FFFFFF"/>
            <w:noWrap/>
            <w:vAlign w:val="center"/>
            <w:hideMark/>
          </w:tcPr>
          <w:p w14:paraId="3BE8E141"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86%</w:t>
            </w:r>
          </w:p>
        </w:tc>
        <w:tc>
          <w:tcPr>
            <w:tcW w:w="1360" w:type="dxa"/>
            <w:tcBorders>
              <w:top w:val="nil"/>
              <w:left w:val="nil"/>
              <w:bottom w:val="single" w:sz="4" w:space="0" w:color="auto"/>
              <w:right w:val="single" w:sz="4" w:space="0" w:color="auto"/>
            </w:tcBorders>
            <w:shd w:val="clear" w:color="000000" w:fill="FFFFFF"/>
            <w:noWrap/>
            <w:vAlign w:val="center"/>
            <w:hideMark/>
          </w:tcPr>
          <w:p w14:paraId="7016605D"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77%</w:t>
            </w:r>
          </w:p>
        </w:tc>
        <w:tc>
          <w:tcPr>
            <w:tcW w:w="1200" w:type="dxa"/>
            <w:tcBorders>
              <w:top w:val="nil"/>
              <w:left w:val="nil"/>
              <w:bottom w:val="single" w:sz="4" w:space="0" w:color="auto"/>
              <w:right w:val="single" w:sz="4" w:space="0" w:color="auto"/>
            </w:tcBorders>
            <w:shd w:val="clear" w:color="000000" w:fill="FFFFFF"/>
            <w:noWrap/>
            <w:vAlign w:val="center"/>
            <w:hideMark/>
          </w:tcPr>
          <w:p w14:paraId="257BC340"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85%</w:t>
            </w:r>
          </w:p>
        </w:tc>
        <w:tc>
          <w:tcPr>
            <w:tcW w:w="1340" w:type="dxa"/>
            <w:tcBorders>
              <w:top w:val="nil"/>
              <w:left w:val="nil"/>
              <w:bottom w:val="single" w:sz="4" w:space="0" w:color="auto"/>
              <w:right w:val="single" w:sz="4" w:space="0" w:color="auto"/>
            </w:tcBorders>
            <w:shd w:val="clear" w:color="000000" w:fill="FFFFFF"/>
            <w:noWrap/>
            <w:vAlign w:val="center"/>
            <w:hideMark/>
          </w:tcPr>
          <w:p w14:paraId="17FE44A5"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227%</w:t>
            </w:r>
          </w:p>
        </w:tc>
        <w:tc>
          <w:tcPr>
            <w:tcW w:w="1340" w:type="dxa"/>
            <w:tcBorders>
              <w:top w:val="nil"/>
              <w:left w:val="nil"/>
              <w:bottom w:val="single" w:sz="4" w:space="0" w:color="auto"/>
              <w:right w:val="single" w:sz="4" w:space="0" w:color="auto"/>
            </w:tcBorders>
            <w:shd w:val="clear" w:color="000000" w:fill="FFFFFF"/>
            <w:noWrap/>
            <w:vAlign w:val="center"/>
            <w:hideMark/>
          </w:tcPr>
          <w:p w14:paraId="109C31FB"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102%</w:t>
            </w:r>
          </w:p>
        </w:tc>
        <w:tc>
          <w:tcPr>
            <w:tcW w:w="1200" w:type="dxa"/>
            <w:tcBorders>
              <w:top w:val="nil"/>
              <w:left w:val="nil"/>
              <w:bottom w:val="single" w:sz="4" w:space="0" w:color="auto"/>
              <w:right w:val="single" w:sz="4" w:space="0" w:color="auto"/>
            </w:tcBorders>
            <w:shd w:val="clear" w:color="000000" w:fill="FFFFFF"/>
            <w:noWrap/>
            <w:vAlign w:val="center"/>
            <w:hideMark/>
          </w:tcPr>
          <w:p w14:paraId="53361AF6"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94%</w:t>
            </w:r>
          </w:p>
        </w:tc>
      </w:tr>
      <w:tr w:rsidR="000A6207" w:rsidRPr="00462DB6" w14:paraId="441C5BEF"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0B67B781"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3</w:t>
            </w:r>
          </w:p>
        </w:tc>
        <w:tc>
          <w:tcPr>
            <w:tcW w:w="1740" w:type="dxa"/>
            <w:tcBorders>
              <w:top w:val="nil"/>
              <w:left w:val="nil"/>
              <w:bottom w:val="single" w:sz="4" w:space="0" w:color="auto"/>
              <w:right w:val="single" w:sz="4" w:space="0" w:color="auto"/>
            </w:tcBorders>
            <w:shd w:val="clear" w:color="000000" w:fill="FFFFFF"/>
            <w:noWrap/>
            <w:vAlign w:val="center"/>
            <w:hideMark/>
          </w:tcPr>
          <w:p w14:paraId="24F7909A"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86%</w:t>
            </w:r>
          </w:p>
        </w:tc>
        <w:tc>
          <w:tcPr>
            <w:tcW w:w="1200" w:type="dxa"/>
            <w:tcBorders>
              <w:top w:val="nil"/>
              <w:left w:val="nil"/>
              <w:bottom w:val="single" w:sz="4" w:space="0" w:color="auto"/>
              <w:right w:val="single" w:sz="4" w:space="0" w:color="auto"/>
            </w:tcBorders>
            <w:shd w:val="clear" w:color="000000" w:fill="FFFFFF"/>
            <w:noWrap/>
            <w:vAlign w:val="center"/>
            <w:hideMark/>
          </w:tcPr>
          <w:p w14:paraId="48733B63"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92%</w:t>
            </w:r>
          </w:p>
        </w:tc>
        <w:tc>
          <w:tcPr>
            <w:tcW w:w="1360" w:type="dxa"/>
            <w:tcBorders>
              <w:top w:val="nil"/>
              <w:left w:val="nil"/>
              <w:bottom w:val="single" w:sz="4" w:space="0" w:color="auto"/>
              <w:right w:val="single" w:sz="4" w:space="0" w:color="auto"/>
            </w:tcBorders>
            <w:shd w:val="clear" w:color="000000" w:fill="FFFFFF"/>
            <w:noWrap/>
            <w:vAlign w:val="center"/>
            <w:hideMark/>
          </w:tcPr>
          <w:p w14:paraId="07BA1DD5"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53%</w:t>
            </w:r>
          </w:p>
        </w:tc>
        <w:tc>
          <w:tcPr>
            <w:tcW w:w="1200" w:type="dxa"/>
            <w:tcBorders>
              <w:top w:val="nil"/>
              <w:left w:val="nil"/>
              <w:bottom w:val="single" w:sz="4" w:space="0" w:color="auto"/>
              <w:right w:val="single" w:sz="4" w:space="0" w:color="auto"/>
            </w:tcBorders>
            <w:shd w:val="clear" w:color="000000" w:fill="FFFFFF"/>
            <w:noWrap/>
            <w:vAlign w:val="center"/>
            <w:hideMark/>
          </w:tcPr>
          <w:p w14:paraId="0A173831"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99%</w:t>
            </w:r>
          </w:p>
        </w:tc>
        <w:tc>
          <w:tcPr>
            <w:tcW w:w="1340" w:type="dxa"/>
            <w:tcBorders>
              <w:top w:val="nil"/>
              <w:left w:val="nil"/>
              <w:bottom w:val="single" w:sz="4" w:space="0" w:color="auto"/>
              <w:right w:val="single" w:sz="4" w:space="0" w:color="auto"/>
            </w:tcBorders>
            <w:shd w:val="clear" w:color="000000" w:fill="FFFFFF"/>
            <w:noWrap/>
            <w:vAlign w:val="center"/>
            <w:hideMark/>
          </w:tcPr>
          <w:p w14:paraId="37D3720A"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244%</w:t>
            </w:r>
          </w:p>
        </w:tc>
        <w:tc>
          <w:tcPr>
            <w:tcW w:w="1340" w:type="dxa"/>
            <w:tcBorders>
              <w:top w:val="nil"/>
              <w:left w:val="nil"/>
              <w:bottom w:val="single" w:sz="4" w:space="0" w:color="auto"/>
              <w:right w:val="single" w:sz="4" w:space="0" w:color="auto"/>
            </w:tcBorders>
            <w:shd w:val="clear" w:color="000000" w:fill="FFFFFF"/>
            <w:noWrap/>
            <w:vAlign w:val="center"/>
            <w:hideMark/>
          </w:tcPr>
          <w:p w14:paraId="45CAB2FD"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113%</w:t>
            </w:r>
          </w:p>
        </w:tc>
        <w:tc>
          <w:tcPr>
            <w:tcW w:w="1200" w:type="dxa"/>
            <w:tcBorders>
              <w:top w:val="nil"/>
              <w:left w:val="nil"/>
              <w:bottom w:val="single" w:sz="4" w:space="0" w:color="auto"/>
              <w:right w:val="single" w:sz="4" w:space="0" w:color="auto"/>
            </w:tcBorders>
            <w:shd w:val="clear" w:color="000000" w:fill="FFFFFF"/>
            <w:noWrap/>
            <w:vAlign w:val="center"/>
            <w:hideMark/>
          </w:tcPr>
          <w:p w14:paraId="0C416716"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94%</w:t>
            </w:r>
          </w:p>
        </w:tc>
      </w:tr>
      <w:tr w:rsidR="000A6207" w:rsidRPr="00462DB6" w14:paraId="4139A4B3"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0EFFA85C"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4</w:t>
            </w:r>
          </w:p>
        </w:tc>
        <w:tc>
          <w:tcPr>
            <w:tcW w:w="1740" w:type="dxa"/>
            <w:tcBorders>
              <w:top w:val="nil"/>
              <w:left w:val="nil"/>
              <w:bottom w:val="single" w:sz="4" w:space="0" w:color="auto"/>
              <w:right w:val="single" w:sz="4" w:space="0" w:color="auto"/>
            </w:tcBorders>
            <w:shd w:val="clear" w:color="000000" w:fill="FFFFFF"/>
            <w:noWrap/>
            <w:vAlign w:val="center"/>
            <w:hideMark/>
          </w:tcPr>
          <w:p w14:paraId="00EA7E4F"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96%</w:t>
            </w:r>
          </w:p>
        </w:tc>
        <w:tc>
          <w:tcPr>
            <w:tcW w:w="1200" w:type="dxa"/>
            <w:tcBorders>
              <w:top w:val="nil"/>
              <w:left w:val="nil"/>
              <w:bottom w:val="single" w:sz="4" w:space="0" w:color="auto"/>
              <w:right w:val="single" w:sz="4" w:space="0" w:color="auto"/>
            </w:tcBorders>
            <w:shd w:val="clear" w:color="000000" w:fill="FFFFFF"/>
            <w:noWrap/>
            <w:vAlign w:val="center"/>
            <w:hideMark/>
          </w:tcPr>
          <w:p w14:paraId="3EFC489C"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97%</w:t>
            </w:r>
          </w:p>
        </w:tc>
        <w:tc>
          <w:tcPr>
            <w:tcW w:w="1360" w:type="dxa"/>
            <w:tcBorders>
              <w:top w:val="nil"/>
              <w:left w:val="nil"/>
              <w:bottom w:val="single" w:sz="4" w:space="0" w:color="auto"/>
              <w:right w:val="single" w:sz="4" w:space="0" w:color="auto"/>
            </w:tcBorders>
            <w:shd w:val="clear" w:color="000000" w:fill="FFFFFF"/>
            <w:noWrap/>
            <w:vAlign w:val="center"/>
            <w:hideMark/>
          </w:tcPr>
          <w:p w14:paraId="6F7A4D14"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44%</w:t>
            </w:r>
          </w:p>
        </w:tc>
        <w:tc>
          <w:tcPr>
            <w:tcW w:w="1200" w:type="dxa"/>
            <w:tcBorders>
              <w:top w:val="nil"/>
              <w:left w:val="nil"/>
              <w:bottom w:val="single" w:sz="4" w:space="0" w:color="auto"/>
              <w:right w:val="single" w:sz="4" w:space="0" w:color="auto"/>
            </w:tcBorders>
            <w:shd w:val="clear" w:color="000000" w:fill="FFFFFF"/>
            <w:noWrap/>
            <w:vAlign w:val="center"/>
            <w:hideMark/>
          </w:tcPr>
          <w:p w14:paraId="41EBFDB7"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161%</w:t>
            </w:r>
          </w:p>
        </w:tc>
        <w:tc>
          <w:tcPr>
            <w:tcW w:w="1340" w:type="dxa"/>
            <w:tcBorders>
              <w:top w:val="nil"/>
              <w:left w:val="nil"/>
              <w:bottom w:val="single" w:sz="4" w:space="0" w:color="auto"/>
              <w:right w:val="single" w:sz="4" w:space="0" w:color="auto"/>
            </w:tcBorders>
            <w:shd w:val="clear" w:color="000000" w:fill="FFFFFF"/>
            <w:noWrap/>
            <w:vAlign w:val="center"/>
            <w:hideMark/>
          </w:tcPr>
          <w:p w14:paraId="15711C4A"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273%</w:t>
            </w:r>
          </w:p>
        </w:tc>
        <w:tc>
          <w:tcPr>
            <w:tcW w:w="1340" w:type="dxa"/>
            <w:tcBorders>
              <w:top w:val="nil"/>
              <w:left w:val="nil"/>
              <w:bottom w:val="single" w:sz="4" w:space="0" w:color="auto"/>
              <w:right w:val="single" w:sz="4" w:space="0" w:color="auto"/>
            </w:tcBorders>
            <w:shd w:val="clear" w:color="000000" w:fill="FFFFFF"/>
            <w:noWrap/>
            <w:vAlign w:val="center"/>
            <w:hideMark/>
          </w:tcPr>
          <w:p w14:paraId="2F570F50"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198%</w:t>
            </w:r>
          </w:p>
        </w:tc>
        <w:tc>
          <w:tcPr>
            <w:tcW w:w="1200" w:type="dxa"/>
            <w:tcBorders>
              <w:top w:val="nil"/>
              <w:left w:val="nil"/>
              <w:bottom w:val="single" w:sz="4" w:space="0" w:color="auto"/>
              <w:right w:val="single" w:sz="4" w:space="0" w:color="auto"/>
            </w:tcBorders>
            <w:shd w:val="clear" w:color="000000" w:fill="FFFFFF"/>
            <w:noWrap/>
            <w:vAlign w:val="center"/>
            <w:hideMark/>
          </w:tcPr>
          <w:p w14:paraId="39F32E07"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68%</w:t>
            </w:r>
          </w:p>
        </w:tc>
      </w:tr>
      <w:tr w:rsidR="000A6207" w:rsidRPr="00462DB6" w14:paraId="6483CC47"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5B703EEB"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5</w:t>
            </w:r>
          </w:p>
        </w:tc>
        <w:tc>
          <w:tcPr>
            <w:tcW w:w="1740" w:type="dxa"/>
            <w:tcBorders>
              <w:top w:val="nil"/>
              <w:left w:val="nil"/>
              <w:bottom w:val="single" w:sz="4" w:space="0" w:color="auto"/>
              <w:right w:val="single" w:sz="4" w:space="0" w:color="auto"/>
            </w:tcBorders>
            <w:shd w:val="clear" w:color="000000" w:fill="FFFFFF"/>
            <w:noWrap/>
            <w:vAlign w:val="center"/>
            <w:hideMark/>
          </w:tcPr>
          <w:p w14:paraId="7C2A99AE"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73%</w:t>
            </w:r>
          </w:p>
        </w:tc>
        <w:tc>
          <w:tcPr>
            <w:tcW w:w="1200" w:type="dxa"/>
            <w:tcBorders>
              <w:top w:val="nil"/>
              <w:left w:val="nil"/>
              <w:bottom w:val="single" w:sz="4" w:space="0" w:color="auto"/>
              <w:right w:val="single" w:sz="4" w:space="0" w:color="auto"/>
            </w:tcBorders>
            <w:shd w:val="clear" w:color="000000" w:fill="FFFFFF"/>
            <w:noWrap/>
            <w:vAlign w:val="center"/>
            <w:hideMark/>
          </w:tcPr>
          <w:p w14:paraId="0956A006"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93%</w:t>
            </w:r>
          </w:p>
        </w:tc>
        <w:tc>
          <w:tcPr>
            <w:tcW w:w="1360" w:type="dxa"/>
            <w:tcBorders>
              <w:top w:val="nil"/>
              <w:left w:val="nil"/>
              <w:bottom w:val="single" w:sz="4" w:space="0" w:color="auto"/>
              <w:right w:val="single" w:sz="4" w:space="0" w:color="auto"/>
            </w:tcBorders>
            <w:shd w:val="clear" w:color="000000" w:fill="FFFFFF"/>
            <w:noWrap/>
            <w:vAlign w:val="center"/>
            <w:hideMark/>
          </w:tcPr>
          <w:p w14:paraId="5B45CABD"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58%</w:t>
            </w:r>
          </w:p>
        </w:tc>
        <w:tc>
          <w:tcPr>
            <w:tcW w:w="1200" w:type="dxa"/>
            <w:tcBorders>
              <w:top w:val="nil"/>
              <w:left w:val="nil"/>
              <w:bottom w:val="single" w:sz="4" w:space="0" w:color="auto"/>
              <w:right w:val="single" w:sz="4" w:space="0" w:color="auto"/>
            </w:tcBorders>
            <w:shd w:val="clear" w:color="000000" w:fill="FFFFFF"/>
            <w:noWrap/>
            <w:vAlign w:val="center"/>
            <w:hideMark/>
          </w:tcPr>
          <w:p w14:paraId="1F7F9638"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109%</w:t>
            </w:r>
          </w:p>
        </w:tc>
        <w:tc>
          <w:tcPr>
            <w:tcW w:w="1340" w:type="dxa"/>
            <w:tcBorders>
              <w:top w:val="nil"/>
              <w:left w:val="nil"/>
              <w:bottom w:val="single" w:sz="4" w:space="0" w:color="auto"/>
              <w:right w:val="single" w:sz="4" w:space="0" w:color="auto"/>
            </w:tcBorders>
            <w:shd w:val="clear" w:color="000000" w:fill="FFFFFF"/>
            <w:noWrap/>
            <w:vAlign w:val="center"/>
            <w:hideMark/>
          </w:tcPr>
          <w:p w14:paraId="7CB2A8D9"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185%</w:t>
            </w:r>
          </w:p>
        </w:tc>
        <w:tc>
          <w:tcPr>
            <w:tcW w:w="1340" w:type="dxa"/>
            <w:tcBorders>
              <w:top w:val="nil"/>
              <w:left w:val="nil"/>
              <w:bottom w:val="single" w:sz="4" w:space="0" w:color="auto"/>
              <w:right w:val="single" w:sz="4" w:space="0" w:color="auto"/>
            </w:tcBorders>
            <w:shd w:val="clear" w:color="000000" w:fill="FFFFFF"/>
            <w:noWrap/>
            <w:vAlign w:val="center"/>
            <w:hideMark/>
          </w:tcPr>
          <w:p w14:paraId="6D048A1C"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88%</w:t>
            </w:r>
          </w:p>
        </w:tc>
        <w:tc>
          <w:tcPr>
            <w:tcW w:w="1200" w:type="dxa"/>
            <w:tcBorders>
              <w:top w:val="nil"/>
              <w:left w:val="nil"/>
              <w:bottom w:val="single" w:sz="4" w:space="0" w:color="auto"/>
              <w:right w:val="single" w:sz="4" w:space="0" w:color="auto"/>
            </w:tcBorders>
            <w:shd w:val="clear" w:color="000000" w:fill="FFFFFF"/>
            <w:noWrap/>
            <w:vAlign w:val="center"/>
            <w:hideMark/>
          </w:tcPr>
          <w:p w14:paraId="623348FC"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88%</w:t>
            </w:r>
          </w:p>
        </w:tc>
      </w:tr>
      <w:tr w:rsidR="000A6207" w:rsidRPr="00462DB6" w14:paraId="74DEC5F7"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2F40ACBD"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6</w:t>
            </w:r>
          </w:p>
        </w:tc>
        <w:tc>
          <w:tcPr>
            <w:tcW w:w="1740" w:type="dxa"/>
            <w:tcBorders>
              <w:top w:val="nil"/>
              <w:left w:val="nil"/>
              <w:bottom w:val="single" w:sz="4" w:space="0" w:color="auto"/>
              <w:right w:val="single" w:sz="4" w:space="0" w:color="auto"/>
            </w:tcBorders>
            <w:shd w:val="clear" w:color="000000" w:fill="FFFFFF"/>
            <w:noWrap/>
            <w:vAlign w:val="center"/>
            <w:hideMark/>
          </w:tcPr>
          <w:p w14:paraId="5F2FAC8B"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81%</w:t>
            </w:r>
          </w:p>
        </w:tc>
        <w:tc>
          <w:tcPr>
            <w:tcW w:w="1200" w:type="dxa"/>
            <w:tcBorders>
              <w:top w:val="nil"/>
              <w:left w:val="nil"/>
              <w:bottom w:val="single" w:sz="4" w:space="0" w:color="auto"/>
              <w:right w:val="single" w:sz="4" w:space="0" w:color="auto"/>
            </w:tcBorders>
            <w:shd w:val="clear" w:color="000000" w:fill="FFFFFF"/>
            <w:noWrap/>
            <w:vAlign w:val="center"/>
            <w:hideMark/>
          </w:tcPr>
          <w:p w14:paraId="42FB4130"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88%</w:t>
            </w:r>
          </w:p>
        </w:tc>
        <w:tc>
          <w:tcPr>
            <w:tcW w:w="1360" w:type="dxa"/>
            <w:tcBorders>
              <w:top w:val="nil"/>
              <w:left w:val="nil"/>
              <w:bottom w:val="single" w:sz="4" w:space="0" w:color="auto"/>
              <w:right w:val="single" w:sz="4" w:space="0" w:color="auto"/>
            </w:tcBorders>
            <w:shd w:val="clear" w:color="000000" w:fill="FFFFFF"/>
            <w:noWrap/>
            <w:vAlign w:val="center"/>
            <w:hideMark/>
          </w:tcPr>
          <w:p w14:paraId="3C00AF78"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58%</w:t>
            </w:r>
          </w:p>
        </w:tc>
        <w:tc>
          <w:tcPr>
            <w:tcW w:w="1200" w:type="dxa"/>
            <w:tcBorders>
              <w:top w:val="nil"/>
              <w:left w:val="nil"/>
              <w:bottom w:val="single" w:sz="4" w:space="0" w:color="auto"/>
              <w:right w:val="single" w:sz="4" w:space="0" w:color="auto"/>
            </w:tcBorders>
            <w:shd w:val="clear" w:color="000000" w:fill="FFFFFF"/>
            <w:noWrap/>
            <w:vAlign w:val="center"/>
            <w:hideMark/>
          </w:tcPr>
          <w:p w14:paraId="0158710E"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96%</w:t>
            </w:r>
          </w:p>
        </w:tc>
        <w:tc>
          <w:tcPr>
            <w:tcW w:w="1340" w:type="dxa"/>
            <w:tcBorders>
              <w:top w:val="nil"/>
              <w:left w:val="nil"/>
              <w:bottom w:val="single" w:sz="4" w:space="0" w:color="auto"/>
              <w:right w:val="single" w:sz="4" w:space="0" w:color="auto"/>
            </w:tcBorders>
            <w:shd w:val="clear" w:color="000000" w:fill="FFFFFF"/>
            <w:noWrap/>
            <w:vAlign w:val="center"/>
            <w:hideMark/>
          </w:tcPr>
          <w:p w14:paraId="38F5CD20"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871%</w:t>
            </w:r>
          </w:p>
        </w:tc>
        <w:tc>
          <w:tcPr>
            <w:tcW w:w="1340" w:type="dxa"/>
            <w:tcBorders>
              <w:top w:val="nil"/>
              <w:left w:val="nil"/>
              <w:bottom w:val="single" w:sz="4" w:space="0" w:color="auto"/>
              <w:right w:val="single" w:sz="4" w:space="0" w:color="auto"/>
            </w:tcBorders>
            <w:shd w:val="clear" w:color="000000" w:fill="FFFFFF"/>
            <w:noWrap/>
            <w:vAlign w:val="center"/>
            <w:hideMark/>
          </w:tcPr>
          <w:p w14:paraId="48CB1074"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105%</w:t>
            </w:r>
          </w:p>
        </w:tc>
        <w:tc>
          <w:tcPr>
            <w:tcW w:w="1200" w:type="dxa"/>
            <w:tcBorders>
              <w:top w:val="nil"/>
              <w:left w:val="nil"/>
              <w:bottom w:val="single" w:sz="4" w:space="0" w:color="auto"/>
              <w:right w:val="single" w:sz="4" w:space="0" w:color="auto"/>
            </w:tcBorders>
            <w:shd w:val="clear" w:color="000000" w:fill="FFFFFF"/>
            <w:noWrap/>
            <w:vAlign w:val="center"/>
            <w:hideMark/>
          </w:tcPr>
          <w:p w14:paraId="3143108D"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97%</w:t>
            </w:r>
          </w:p>
        </w:tc>
      </w:tr>
      <w:tr w:rsidR="000A6207" w:rsidRPr="00462DB6" w14:paraId="3386DC60"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215D7F48"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7</w:t>
            </w:r>
          </w:p>
        </w:tc>
        <w:tc>
          <w:tcPr>
            <w:tcW w:w="1740" w:type="dxa"/>
            <w:tcBorders>
              <w:top w:val="nil"/>
              <w:left w:val="nil"/>
              <w:bottom w:val="single" w:sz="4" w:space="0" w:color="auto"/>
              <w:right w:val="single" w:sz="4" w:space="0" w:color="auto"/>
            </w:tcBorders>
            <w:shd w:val="clear" w:color="000000" w:fill="FFFFFF"/>
            <w:noWrap/>
            <w:vAlign w:val="center"/>
            <w:hideMark/>
          </w:tcPr>
          <w:p w14:paraId="1AE8AC06"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81%</w:t>
            </w:r>
          </w:p>
        </w:tc>
        <w:tc>
          <w:tcPr>
            <w:tcW w:w="1200" w:type="dxa"/>
            <w:tcBorders>
              <w:top w:val="nil"/>
              <w:left w:val="nil"/>
              <w:bottom w:val="single" w:sz="4" w:space="0" w:color="auto"/>
              <w:right w:val="single" w:sz="4" w:space="0" w:color="auto"/>
            </w:tcBorders>
            <w:shd w:val="clear" w:color="000000" w:fill="FFFFFF"/>
            <w:noWrap/>
            <w:vAlign w:val="center"/>
            <w:hideMark/>
          </w:tcPr>
          <w:p w14:paraId="6B1C24DD"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71%</w:t>
            </w:r>
          </w:p>
        </w:tc>
        <w:tc>
          <w:tcPr>
            <w:tcW w:w="1360" w:type="dxa"/>
            <w:tcBorders>
              <w:top w:val="nil"/>
              <w:left w:val="nil"/>
              <w:bottom w:val="single" w:sz="4" w:space="0" w:color="auto"/>
              <w:right w:val="single" w:sz="4" w:space="0" w:color="auto"/>
            </w:tcBorders>
            <w:shd w:val="clear" w:color="000000" w:fill="FFFFFF"/>
            <w:noWrap/>
            <w:vAlign w:val="center"/>
            <w:hideMark/>
          </w:tcPr>
          <w:p w14:paraId="31BF2573"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56%</w:t>
            </w:r>
          </w:p>
        </w:tc>
        <w:tc>
          <w:tcPr>
            <w:tcW w:w="1200" w:type="dxa"/>
            <w:tcBorders>
              <w:top w:val="nil"/>
              <w:left w:val="nil"/>
              <w:bottom w:val="single" w:sz="4" w:space="0" w:color="auto"/>
              <w:right w:val="single" w:sz="4" w:space="0" w:color="auto"/>
            </w:tcBorders>
            <w:shd w:val="clear" w:color="000000" w:fill="FFFFFF"/>
            <w:noWrap/>
            <w:vAlign w:val="center"/>
            <w:hideMark/>
          </w:tcPr>
          <w:p w14:paraId="0D0C8DAA"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93%</w:t>
            </w:r>
          </w:p>
        </w:tc>
        <w:tc>
          <w:tcPr>
            <w:tcW w:w="1340" w:type="dxa"/>
            <w:tcBorders>
              <w:top w:val="nil"/>
              <w:left w:val="nil"/>
              <w:bottom w:val="single" w:sz="4" w:space="0" w:color="auto"/>
              <w:right w:val="single" w:sz="4" w:space="0" w:color="auto"/>
            </w:tcBorders>
            <w:shd w:val="clear" w:color="000000" w:fill="FFFFFF"/>
            <w:noWrap/>
            <w:vAlign w:val="center"/>
            <w:hideMark/>
          </w:tcPr>
          <w:p w14:paraId="35A360EA"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227%</w:t>
            </w:r>
          </w:p>
        </w:tc>
        <w:tc>
          <w:tcPr>
            <w:tcW w:w="1340" w:type="dxa"/>
            <w:tcBorders>
              <w:top w:val="nil"/>
              <w:left w:val="nil"/>
              <w:bottom w:val="single" w:sz="4" w:space="0" w:color="auto"/>
              <w:right w:val="single" w:sz="4" w:space="0" w:color="auto"/>
            </w:tcBorders>
            <w:shd w:val="clear" w:color="000000" w:fill="FFFFFF"/>
            <w:noWrap/>
            <w:vAlign w:val="center"/>
            <w:hideMark/>
          </w:tcPr>
          <w:p w14:paraId="57C9C6A6"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69%</w:t>
            </w:r>
          </w:p>
        </w:tc>
        <w:tc>
          <w:tcPr>
            <w:tcW w:w="1200" w:type="dxa"/>
            <w:tcBorders>
              <w:top w:val="nil"/>
              <w:left w:val="nil"/>
              <w:bottom w:val="single" w:sz="4" w:space="0" w:color="auto"/>
              <w:right w:val="single" w:sz="4" w:space="0" w:color="auto"/>
            </w:tcBorders>
            <w:shd w:val="clear" w:color="000000" w:fill="FFFFFF"/>
            <w:noWrap/>
            <w:vAlign w:val="center"/>
            <w:hideMark/>
          </w:tcPr>
          <w:p w14:paraId="72D6BFBE"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82%</w:t>
            </w:r>
          </w:p>
        </w:tc>
      </w:tr>
      <w:tr w:rsidR="000A6207" w:rsidRPr="00462DB6" w14:paraId="55CCCBBE"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57C12E8F"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8</w:t>
            </w:r>
          </w:p>
        </w:tc>
        <w:tc>
          <w:tcPr>
            <w:tcW w:w="1740" w:type="dxa"/>
            <w:tcBorders>
              <w:top w:val="nil"/>
              <w:left w:val="nil"/>
              <w:bottom w:val="single" w:sz="4" w:space="0" w:color="auto"/>
              <w:right w:val="single" w:sz="4" w:space="0" w:color="auto"/>
            </w:tcBorders>
            <w:shd w:val="clear" w:color="000000" w:fill="FFFFFF"/>
            <w:noWrap/>
            <w:vAlign w:val="center"/>
            <w:hideMark/>
          </w:tcPr>
          <w:p w14:paraId="2923FC11"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78%</w:t>
            </w:r>
          </w:p>
        </w:tc>
        <w:tc>
          <w:tcPr>
            <w:tcW w:w="1200" w:type="dxa"/>
            <w:tcBorders>
              <w:top w:val="nil"/>
              <w:left w:val="nil"/>
              <w:bottom w:val="single" w:sz="4" w:space="0" w:color="auto"/>
              <w:right w:val="single" w:sz="4" w:space="0" w:color="auto"/>
            </w:tcBorders>
            <w:shd w:val="clear" w:color="000000" w:fill="FFFFFF"/>
            <w:noWrap/>
            <w:vAlign w:val="center"/>
            <w:hideMark/>
          </w:tcPr>
          <w:p w14:paraId="6489E307"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115%</w:t>
            </w:r>
          </w:p>
        </w:tc>
        <w:tc>
          <w:tcPr>
            <w:tcW w:w="1360" w:type="dxa"/>
            <w:tcBorders>
              <w:top w:val="nil"/>
              <w:left w:val="nil"/>
              <w:bottom w:val="single" w:sz="4" w:space="0" w:color="auto"/>
              <w:right w:val="single" w:sz="4" w:space="0" w:color="auto"/>
            </w:tcBorders>
            <w:shd w:val="clear" w:color="000000" w:fill="FFFFFF"/>
            <w:noWrap/>
            <w:vAlign w:val="center"/>
            <w:hideMark/>
          </w:tcPr>
          <w:p w14:paraId="18D76EFE"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63%</w:t>
            </w:r>
          </w:p>
        </w:tc>
        <w:tc>
          <w:tcPr>
            <w:tcW w:w="1200" w:type="dxa"/>
            <w:tcBorders>
              <w:top w:val="nil"/>
              <w:left w:val="nil"/>
              <w:bottom w:val="single" w:sz="4" w:space="0" w:color="auto"/>
              <w:right w:val="single" w:sz="4" w:space="0" w:color="auto"/>
            </w:tcBorders>
            <w:shd w:val="clear" w:color="000000" w:fill="FFFFFF"/>
            <w:noWrap/>
            <w:vAlign w:val="center"/>
            <w:hideMark/>
          </w:tcPr>
          <w:p w14:paraId="1BC9CBE2"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113%</w:t>
            </w:r>
          </w:p>
        </w:tc>
        <w:tc>
          <w:tcPr>
            <w:tcW w:w="1340" w:type="dxa"/>
            <w:tcBorders>
              <w:top w:val="nil"/>
              <w:left w:val="nil"/>
              <w:bottom w:val="single" w:sz="4" w:space="0" w:color="auto"/>
              <w:right w:val="single" w:sz="4" w:space="0" w:color="auto"/>
            </w:tcBorders>
            <w:shd w:val="clear" w:color="000000" w:fill="FFFFFF"/>
            <w:noWrap/>
            <w:vAlign w:val="center"/>
            <w:hideMark/>
          </w:tcPr>
          <w:p w14:paraId="279F6D20"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169%</w:t>
            </w:r>
          </w:p>
        </w:tc>
        <w:tc>
          <w:tcPr>
            <w:tcW w:w="1340" w:type="dxa"/>
            <w:tcBorders>
              <w:top w:val="nil"/>
              <w:left w:val="nil"/>
              <w:bottom w:val="single" w:sz="4" w:space="0" w:color="auto"/>
              <w:right w:val="single" w:sz="4" w:space="0" w:color="auto"/>
            </w:tcBorders>
            <w:shd w:val="clear" w:color="000000" w:fill="FFFFFF"/>
            <w:noWrap/>
            <w:vAlign w:val="center"/>
            <w:hideMark/>
          </w:tcPr>
          <w:p w14:paraId="2A2A3E2A"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88%</w:t>
            </w:r>
          </w:p>
        </w:tc>
        <w:tc>
          <w:tcPr>
            <w:tcW w:w="1200" w:type="dxa"/>
            <w:tcBorders>
              <w:top w:val="nil"/>
              <w:left w:val="nil"/>
              <w:bottom w:val="single" w:sz="4" w:space="0" w:color="auto"/>
              <w:right w:val="single" w:sz="4" w:space="0" w:color="auto"/>
            </w:tcBorders>
            <w:shd w:val="clear" w:color="000000" w:fill="FFFFFF"/>
            <w:noWrap/>
            <w:vAlign w:val="center"/>
            <w:hideMark/>
          </w:tcPr>
          <w:p w14:paraId="319FAD6C"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112%</w:t>
            </w:r>
          </w:p>
        </w:tc>
      </w:tr>
      <w:tr w:rsidR="000A6207" w:rsidRPr="00462DB6" w14:paraId="73CC8BBE"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2CB12B1D"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9</w:t>
            </w:r>
          </w:p>
        </w:tc>
        <w:tc>
          <w:tcPr>
            <w:tcW w:w="1740" w:type="dxa"/>
            <w:tcBorders>
              <w:top w:val="nil"/>
              <w:left w:val="nil"/>
              <w:bottom w:val="single" w:sz="4" w:space="0" w:color="auto"/>
              <w:right w:val="single" w:sz="4" w:space="0" w:color="auto"/>
            </w:tcBorders>
            <w:shd w:val="clear" w:color="000000" w:fill="FFFFFF"/>
            <w:noWrap/>
            <w:vAlign w:val="center"/>
            <w:hideMark/>
          </w:tcPr>
          <w:p w14:paraId="23CFD160"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71%</w:t>
            </w:r>
          </w:p>
        </w:tc>
        <w:tc>
          <w:tcPr>
            <w:tcW w:w="1200" w:type="dxa"/>
            <w:tcBorders>
              <w:top w:val="nil"/>
              <w:left w:val="nil"/>
              <w:bottom w:val="single" w:sz="4" w:space="0" w:color="auto"/>
              <w:right w:val="single" w:sz="4" w:space="0" w:color="auto"/>
            </w:tcBorders>
            <w:shd w:val="clear" w:color="000000" w:fill="FFFFFF"/>
            <w:noWrap/>
            <w:vAlign w:val="center"/>
            <w:hideMark/>
          </w:tcPr>
          <w:p w14:paraId="76A0218B"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133%</w:t>
            </w:r>
          </w:p>
        </w:tc>
        <w:tc>
          <w:tcPr>
            <w:tcW w:w="1360" w:type="dxa"/>
            <w:tcBorders>
              <w:top w:val="nil"/>
              <w:left w:val="nil"/>
              <w:bottom w:val="single" w:sz="4" w:space="0" w:color="auto"/>
              <w:right w:val="single" w:sz="4" w:space="0" w:color="auto"/>
            </w:tcBorders>
            <w:shd w:val="clear" w:color="000000" w:fill="FFFFFF"/>
            <w:noWrap/>
            <w:vAlign w:val="center"/>
            <w:hideMark/>
          </w:tcPr>
          <w:p w14:paraId="7833D13F"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52%</w:t>
            </w:r>
          </w:p>
        </w:tc>
        <w:tc>
          <w:tcPr>
            <w:tcW w:w="1200" w:type="dxa"/>
            <w:tcBorders>
              <w:top w:val="nil"/>
              <w:left w:val="nil"/>
              <w:bottom w:val="single" w:sz="4" w:space="0" w:color="auto"/>
              <w:right w:val="single" w:sz="4" w:space="0" w:color="auto"/>
            </w:tcBorders>
            <w:shd w:val="clear" w:color="000000" w:fill="FFFFFF"/>
            <w:noWrap/>
            <w:vAlign w:val="center"/>
            <w:hideMark/>
          </w:tcPr>
          <w:p w14:paraId="76EF528C"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109%</w:t>
            </w:r>
          </w:p>
        </w:tc>
        <w:tc>
          <w:tcPr>
            <w:tcW w:w="1340" w:type="dxa"/>
            <w:tcBorders>
              <w:top w:val="nil"/>
              <w:left w:val="nil"/>
              <w:bottom w:val="single" w:sz="4" w:space="0" w:color="auto"/>
              <w:right w:val="single" w:sz="4" w:space="0" w:color="auto"/>
            </w:tcBorders>
            <w:shd w:val="clear" w:color="000000" w:fill="FFFFFF"/>
            <w:noWrap/>
            <w:vAlign w:val="center"/>
            <w:hideMark/>
          </w:tcPr>
          <w:p w14:paraId="563EBE04"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185%</w:t>
            </w:r>
          </w:p>
        </w:tc>
        <w:tc>
          <w:tcPr>
            <w:tcW w:w="1340" w:type="dxa"/>
            <w:tcBorders>
              <w:top w:val="nil"/>
              <w:left w:val="nil"/>
              <w:bottom w:val="single" w:sz="4" w:space="0" w:color="auto"/>
              <w:right w:val="single" w:sz="4" w:space="0" w:color="auto"/>
            </w:tcBorders>
            <w:shd w:val="clear" w:color="000000" w:fill="FFFFFF"/>
            <w:noWrap/>
            <w:vAlign w:val="center"/>
            <w:hideMark/>
          </w:tcPr>
          <w:p w14:paraId="400C94B7"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81%</w:t>
            </w:r>
          </w:p>
        </w:tc>
        <w:tc>
          <w:tcPr>
            <w:tcW w:w="1200" w:type="dxa"/>
            <w:tcBorders>
              <w:top w:val="nil"/>
              <w:left w:val="nil"/>
              <w:bottom w:val="single" w:sz="4" w:space="0" w:color="auto"/>
              <w:right w:val="single" w:sz="4" w:space="0" w:color="auto"/>
            </w:tcBorders>
            <w:shd w:val="clear" w:color="000000" w:fill="FFFFFF"/>
            <w:noWrap/>
            <w:vAlign w:val="center"/>
            <w:hideMark/>
          </w:tcPr>
          <w:p w14:paraId="3DB21496"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97%</w:t>
            </w:r>
          </w:p>
        </w:tc>
      </w:tr>
      <w:tr w:rsidR="000A6207" w:rsidRPr="00462DB6" w14:paraId="6805C20C"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0919DC48"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10</w:t>
            </w:r>
          </w:p>
        </w:tc>
        <w:tc>
          <w:tcPr>
            <w:tcW w:w="1740" w:type="dxa"/>
            <w:tcBorders>
              <w:top w:val="nil"/>
              <w:left w:val="nil"/>
              <w:bottom w:val="single" w:sz="4" w:space="0" w:color="auto"/>
              <w:right w:val="single" w:sz="4" w:space="0" w:color="auto"/>
            </w:tcBorders>
            <w:shd w:val="clear" w:color="000000" w:fill="FFFFFF"/>
            <w:noWrap/>
            <w:vAlign w:val="center"/>
            <w:hideMark/>
          </w:tcPr>
          <w:p w14:paraId="40246B22"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89%</w:t>
            </w:r>
          </w:p>
        </w:tc>
        <w:tc>
          <w:tcPr>
            <w:tcW w:w="1200" w:type="dxa"/>
            <w:tcBorders>
              <w:top w:val="nil"/>
              <w:left w:val="nil"/>
              <w:bottom w:val="single" w:sz="4" w:space="0" w:color="auto"/>
              <w:right w:val="single" w:sz="4" w:space="0" w:color="auto"/>
            </w:tcBorders>
            <w:shd w:val="clear" w:color="000000" w:fill="FFFFFF"/>
            <w:noWrap/>
            <w:vAlign w:val="center"/>
            <w:hideMark/>
          </w:tcPr>
          <w:p w14:paraId="502EBAF0"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111%</w:t>
            </w:r>
          </w:p>
        </w:tc>
        <w:tc>
          <w:tcPr>
            <w:tcW w:w="1360" w:type="dxa"/>
            <w:tcBorders>
              <w:top w:val="nil"/>
              <w:left w:val="nil"/>
              <w:bottom w:val="single" w:sz="4" w:space="0" w:color="auto"/>
              <w:right w:val="single" w:sz="4" w:space="0" w:color="auto"/>
            </w:tcBorders>
            <w:shd w:val="clear" w:color="000000" w:fill="FFFFFF"/>
            <w:noWrap/>
            <w:vAlign w:val="center"/>
            <w:hideMark/>
          </w:tcPr>
          <w:p w14:paraId="2BC65CE2"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49%</w:t>
            </w:r>
          </w:p>
        </w:tc>
        <w:tc>
          <w:tcPr>
            <w:tcW w:w="1200" w:type="dxa"/>
            <w:tcBorders>
              <w:top w:val="nil"/>
              <w:left w:val="nil"/>
              <w:bottom w:val="single" w:sz="4" w:space="0" w:color="auto"/>
              <w:right w:val="single" w:sz="4" w:space="0" w:color="auto"/>
            </w:tcBorders>
            <w:shd w:val="clear" w:color="000000" w:fill="FFFFFF"/>
            <w:noWrap/>
            <w:vAlign w:val="center"/>
            <w:hideMark/>
          </w:tcPr>
          <w:p w14:paraId="73E61FD1"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109%</w:t>
            </w:r>
          </w:p>
        </w:tc>
        <w:tc>
          <w:tcPr>
            <w:tcW w:w="1340" w:type="dxa"/>
            <w:tcBorders>
              <w:top w:val="nil"/>
              <w:left w:val="nil"/>
              <w:bottom w:val="single" w:sz="4" w:space="0" w:color="auto"/>
              <w:right w:val="single" w:sz="4" w:space="0" w:color="auto"/>
            </w:tcBorders>
            <w:shd w:val="clear" w:color="000000" w:fill="FFFFFF"/>
            <w:noWrap/>
            <w:vAlign w:val="center"/>
            <w:hideMark/>
          </w:tcPr>
          <w:p w14:paraId="5E5F8D56"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253%</w:t>
            </w:r>
          </w:p>
        </w:tc>
        <w:tc>
          <w:tcPr>
            <w:tcW w:w="1340" w:type="dxa"/>
            <w:tcBorders>
              <w:top w:val="nil"/>
              <w:left w:val="nil"/>
              <w:bottom w:val="single" w:sz="4" w:space="0" w:color="auto"/>
              <w:right w:val="single" w:sz="4" w:space="0" w:color="auto"/>
            </w:tcBorders>
            <w:shd w:val="clear" w:color="000000" w:fill="FFFFFF"/>
            <w:noWrap/>
            <w:vAlign w:val="center"/>
            <w:hideMark/>
          </w:tcPr>
          <w:p w14:paraId="12BDF230"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89%</w:t>
            </w:r>
          </w:p>
        </w:tc>
        <w:tc>
          <w:tcPr>
            <w:tcW w:w="1200" w:type="dxa"/>
            <w:tcBorders>
              <w:top w:val="nil"/>
              <w:left w:val="nil"/>
              <w:bottom w:val="single" w:sz="4" w:space="0" w:color="auto"/>
              <w:right w:val="single" w:sz="4" w:space="0" w:color="auto"/>
            </w:tcBorders>
            <w:shd w:val="clear" w:color="000000" w:fill="FFFFFF"/>
            <w:noWrap/>
            <w:vAlign w:val="center"/>
            <w:hideMark/>
          </w:tcPr>
          <w:p w14:paraId="1C00DC07"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91%</w:t>
            </w:r>
          </w:p>
        </w:tc>
      </w:tr>
      <w:tr w:rsidR="000A6207" w:rsidRPr="00462DB6" w14:paraId="0A6A1EE4"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3FF22777"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11</w:t>
            </w:r>
          </w:p>
        </w:tc>
        <w:tc>
          <w:tcPr>
            <w:tcW w:w="1740" w:type="dxa"/>
            <w:tcBorders>
              <w:top w:val="nil"/>
              <w:left w:val="nil"/>
              <w:bottom w:val="single" w:sz="4" w:space="0" w:color="auto"/>
              <w:right w:val="single" w:sz="4" w:space="0" w:color="auto"/>
            </w:tcBorders>
            <w:shd w:val="clear" w:color="000000" w:fill="FFFFFF"/>
            <w:noWrap/>
            <w:vAlign w:val="center"/>
            <w:hideMark/>
          </w:tcPr>
          <w:p w14:paraId="47E0E9A8"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86%</w:t>
            </w:r>
          </w:p>
        </w:tc>
        <w:tc>
          <w:tcPr>
            <w:tcW w:w="1200" w:type="dxa"/>
            <w:tcBorders>
              <w:top w:val="nil"/>
              <w:left w:val="nil"/>
              <w:bottom w:val="single" w:sz="4" w:space="0" w:color="auto"/>
              <w:right w:val="single" w:sz="4" w:space="0" w:color="auto"/>
            </w:tcBorders>
            <w:shd w:val="clear" w:color="000000" w:fill="FFFFFF"/>
            <w:noWrap/>
            <w:vAlign w:val="center"/>
            <w:hideMark/>
          </w:tcPr>
          <w:p w14:paraId="1A709B50"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136%</w:t>
            </w:r>
          </w:p>
        </w:tc>
        <w:tc>
          <w:tcPr>
            <w:tcW w:w="1360" w:type="dxa"/>
            <w:tcBorders>
              <w:top w:val="nil"/>
              <w:left w:val="nil"/>
              <w:bottom w:val="single" w:sz="4" w:space="0" w:color="auto"/>
              <w:right w:val="single" w:sz="4" w:space="0" w:color="auto"/>
            </w:tcBorders>
            <w:shd w:val="clear" w:color="000000" w:fill="FFFFFF"/>
            <w:noWrap/>
            <w:vAlign w:val="center"/>
            <w:hideMark/>
          </w:tcPr>
          <w:p w14:paraId="6D031843"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52%</w:t>
            </w:r>
          </w:p>
        </w:tc>
        <w:tc>
          <w:tcPr>
            <w:tcW w:w="1200" w:type="dxa"/>
            <w:tcBorders>
              <w:top w:val="nil"/>
              <w:left w:val="nil"/>
              <w:bottom w:val="single" w:sz="4" w:space="0" w:color="auto"/>
              <w:right w:val="single" w:sz="4" w:space="0" w:color="auto"/>
            </w:tcBorders>
            <w:shd w:val="clear" w:color="000000" w:fill="FFFFFF"/>
            <w:noWrap/>
            <w:vAlign w:val="center"/>
            <w:hideMark/>
          </w:tcPr>
          <w:p w14:paraId="2AC6B821"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100%</w:t>
            </w:r>
          </w:p>
        </w:tc>
        <w:tc>
          <w:tcPr>
            <w:tcW w:w="1340" w:type="dxa"/>
            <w:tcBorders>
              <w:top w:val="nil"/>
              <w:left w:val="nil"/>
              <w:bottom w:val="single" w:sz="4" w:space="0" w:color="auto"/>
              <w:right w:val="single" w:sz="4" w:space="0" w:color="auto"/>
            </w:tcBorders>
            <w:shd w:val="clear" w:color="000000" w:fill="FFFFFF"/>
            <w:noWrap/>
            <w:vAlign w:val="center"/>
            <w:hideMark/>
          </w:tcPr>
          <w:p w14:paraId="24929225"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227%</w:t>
            </w:r>
          </w:p>
        </w:tc>
        <w:tc>
          <w:tcPr>
            <w:tcW w:w="1340" w:type="dxa"/>
            <w:tcBorders>
              <w:top w:val="nil"/>
              <w:left w:val="nil"/>
              <w:bottom w:val="single" w:sz="4" w:space="0" w:color="auto"/>
              <w:right w:val="single" w:sz="4" w:space="0" w:color="auto"/>
            </w:tcBorders>
            <w:shd w:val="clear" w:color="000000" w:fill="FFFFFF"/>
            <w:noWrap/>
            <w:vAlign w:val="center"/>
            <w:hideMark/>
          </w:tcPr>
          <w:p w14:paraId="25FD6C36"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97%</w:t>
            </w:r>
          </w:p>
        </w:tc>
        <w:tc>
          <w:tcPr>
            <w:tcW w:w="1200" w:type="dxa"/>
            <w:tcBorders>
              <w:top w:val="nil"/>
              <w:left w:val="nil"/>
              <w:bottom w:val="single" w:sz="4" w:space="0" w:color="auto"/>
              <w:right w:val="single" w:sz="4" w:space="0" w:color="auto"/>
            </w:tcBorders>
            <w:shd w:val="clear" w:color="000000" w:fill="FFFFFF"/>
            <w:noWrap/>
            <w:vAlign w:val="center"/>
            <w:hideMark/>
          </w:tcPr>
          <w:p w14:paraId="062D1422"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76%</w:t>
            </w:r>
          </w:p>
        </w:tc>
      </w:tr>
      <w:tr w:rsidR="000A6207" w:rsidRPr="00462DB6" w14:paraId="25FD7AC0"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242FCFB2"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12</w:t>
            </w:r>
          </w:p>
        </w:tc>
        <w:tc>
          <w:tcPr>
            <w:tcW w:w="1740" w:type="dxa"/>
            <w:tcBorders>
              <w:top w:val="nil"/>
              <w:left w:val="nil"/>
              <w:bottom w:val="single" w:sz="4" w:space="0" w:color="auto"/>
              <w:right w:val="single" w:sz="4" w:space="0" w:color="auto"/>
            </w:tcBorders>
            <w:shd w:val="clear" w:color="000000" w:fill="FFFFFF"/>
            <w:noWrap/>
            <w:vAlign w:val="center"/>
            <w:hideMark/>
          </w:tcPr>
          <w:p w14:paraId="593FA259"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99%</w:t>
            </w:r>
          </w:p>
        </w:tc>
        <w:tc>
          <w:tcPr>
            <w:tcW w:w="1200" w:type="dxa"/>
            <w:tcBorders>
              <w:top w:val="nil"/>
              <w:left w:val="nil"/>
              <w:bottom w:val="single" w:sz="4" w:space="0" w:color="auto"/>
              <w:right w:val="single" w:sz="4" w:space="0" w:color="auto"/>
            </w:tcBorders>
            <w:shd w:val="clear" w:color="000000" w:fill="FFFFFF"/>
            <w:noWrap/>
            <w:vAlign w:val="center"/>
            <w:hideMark/>
          </w:tcPr>
          <w:p w14:paraId="7944237E"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114%</w:t>
            </w:r>
          </w:p>
        </w:tc>
        <w:tc>
          <w:tcPr>
            <w:tcW w:w="1360" w:type="dxa"/>
            <w:tcBorders>
              <w:top w:val="nil"/>
              <w:left w:val="nil"/>
              <w:bottom w:val="single" w:sz="4" w:space="0" w:color="auto"/>
              <w:right w:val="single" w:sz="4" w:space="0" w:color="auto"/>
            </w:tcBorders>
            <w:shd w:val="clear" w:color="000000" w:fill="FFFFFF"/>
            <w:noWrap/>
            <w:vAlign w:val="center"/>
            <w:hideMark/>
          </w:tcPr>
          <w:p w14:paraId="46129FF2"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48%</w:t>
            </w:r>
          </w:p>
        </w:tc>
        <w:tc>
          <w:tcPr>
            <w:tcW w:w="1200" w:type="dxa"/>
            <w:tcBorders>
              <w:top w:val="nil"/>
              <w:left w:val="nil"/>
              <w:bottom w:val="single" w:sz="4" w:space="0" w:color="auto"/>
              <w:right w:val="single" w:sz="4" w:space="0" w:color="auto"/>
            </w:tcBorders>
            <w:shd w:val="clear" w:color="000000" w:fill="FFFFFF"/>
            <w:noWrap/>
            <w:vAlign w:val="center"/>
            <w:hideMark/>
          </w:tcPr>
          <w:p w14:paraId="538ED477"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113%</w:t>
            </w:r>
          </w:p>
        </w:tc>
        <w:tc>
          <w:tcPr>
            <w:tcW w:w="1340" w:type="dxa"/>
            <w:tcBorders>
              <w:top w:val="nil"/>
              <w:left w:val="nil"/>
              <w:bottom w:val="single" w:sz="4" w:space="0" w:color="auto"/>
              <w:right w:val="single" w:sz="4" w:space="0" w:color="auto"/>
            </w:tcBorders>
            <w:shd w:val="clear" w:color="000000" w:fill="FFFFFF"/>
            <w:noWrap/>
            <w:vAlign w:val="center"/>
            <w:hideMark/>
          </w:tcPr>
          <w:p w14:paraId="2979B2FF"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169%</w:t>
            </w:r>
          </w:p>
        </w:tc>
        <w:tc>
          <w:tcPr>
            <w:tcW w:w="1340" w:type="dxa"/>
            <w:tcBorders>
              <w:top w:val="nil"/>
              <w:left w:val="nil"/>
              <w:bottom w:val="single" w:sz="4" w:space="0" w:color="auto"/>
              <w:right w:val="single" w:sz="4" w:space="0" w:color="auto"/>
            </w:tcBorders>
            <w:shd w:val="clear" w:color="000000" w:fill="FFFFFF"/>
            <w:noWrap/>
            <w:vAlign w:val="center"/>
            <w:hideMark/>
          </w:tcPr>
          <w:p w14:paraId="3CD4AB57"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79%</w:t>
            </w:r>
          </w:p>
        </w:tc>
        <w:tc>
          <w:tcPr>
            <w:tcW w:w="1200" w:type="dxa"/>
            <w:tcBorders>
              <w:top w:val="nil"/>
              <w:left w:val="nil"/>
              <w:bottom w:val="single" w:sz="4" w:space="0" w:color="auto"/>
              <w:right w:val="single" w:sz="4" w:space="0" w:color="auto"/>
            </w:tcBorders>
            <w:shd w:val="clear" w:color="000000" w:fill="FFFFFF"/>
            <w:noWrap/>
            <w:vAlign w:val="center"/>
            <w:hideMark/>
          </w:tcPr>
          <w:p w14:paraId="45BE061E"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106%</w:t>
            </w:r>
          </w:p>
        </w:tc>
      </w:tr>
      <w:tr w:rsidR="000A6207" w:rsidRPr="00462DB6" w14:paraId="5055B277"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085AE707"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13</w:t>
            </w:r>
          </w:p>
        </w:tc>
        <w:tc>
          <w:tcPr>
            <w:tcW w:w="1740" w:type="dxa"/>
            <w:tcBorders>
              <w:top w:val="nil"/>
              <w:left w:val="nil"/>
              <w:bottom w:val="single" w:sz="4" w:space="0" w:color="auto"/>
              <w:right w:val="single" w:sz="4" w:space="0" w:color="auto"/>
            </w:tcBorders>
            <w:shd w:val="clear" w:color="000000" w:fill="FFFFFF"/>
            <w:noWrap/>
            <w:vAlign w:val="center"/>
            <w:hideMark/>
          </w:tcPr>
          <w:p w14:paraId="225DB1C4"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91%</w:t>
            </w:r>
          </w:p>
        </w:tc>
        <w:tc>
          <w:tcPr>
            <w:tcW w:w="1200" w:type="dxa"/>
            <w:tcBorders>
              <w:top w:val="nil"/>
              <w:left w:val="nil"/>
              <w:bottom w:val="single" w:sz="4" w:space="0" w:color="auto"/>
              <w:right w:val="single" w:sz="4" w:space="0" w:color="auto"/>
            </w:tcBorders>
            <w:shd w:val="clear" w:color="000000" w:fill="FFFFFF"/>
            <w:noWrap/>
            <w:vAlign w:val="center"/>
            <w:hideMark/>
          </w:tcPr>
          <w:p w14:paraId="7F7964D8"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106%</w:t>
            </w:r>
          </w:p>
        </w:tc>
        <w:tc>
          <w:tcPr>
            <w:tcW w:w="1360" w:type="dxa"/>
            <w:tcBorders>
              <w:top w:val="nil"/>
              <w:left w:val="nil"/>
              <w:bottom w:val="single" w:sz="4" w:space="0" w:color="auto"/>
              <w:right w:val="single" w:sz="4" w:space="0" w:color="auto"/>
            </w:tcBorders>
            <w:shd w:val="clear" w:color="000000" w:fill="FFFFFF"/>
            <w:noWrap/>
            <w:vAlign w:val="center"/>
            <w:hideMark/>
          </w:tcPr>
          <w:p w14:paraId="6F1EBEF5"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56%</w:t>
            </w:r>
          </w:p>
        </w:tc>
        <w:tc>
          <w:tcPr>
            <w:tcW w:w="1200" w:type="dxa"/>
            <w:tcBorders>
              <w:top w:val="nil"/>
              <w:left w:val="nil"/>
              <w:bottom w:val="single" w:sz="4" w:space="0" w:color="auto"/>
              <w:right w:val="single" w:sz="4" w:space="0" w:color="auto"/>
            </w:tcBorders>
            <w:shd w:val="clear" w:color="000000" w:fill="FFFFFF"/>
            <w:noWrap/>
            <w:vAlign w:val="center"/>
            <w:hideMark/>
          </w:tcPr>
          <w:p w14:paraId="0990AD06"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 105%</w:t>
            </w:r>
          </w:p>
        </w:tc>
        <w:tc>
          <w:tcPr>
            <w:tcW w:w="1340" w:type="dxa"/>
            <w:tcBorders>
              <w:top w:val="nil"/>
              <w:left w:val="nil"/>
              <w:bottom w:val="single" w:sz="4" w:space="0" w:color="auto"/>
              <w:right w:val="single" w:sz="4" w:space="0" w:color="auto"/>
            </w:tcBorders>
            <w:shd w:val="clear" w:color="000000" w:fill="FFFFFF"/>
            <w:noWrap/>
            <w:vAlign w:val="center"/>
            <w:hideMark/>
          </w:tcPr>
          <w:p w14:paraId="0E4A87F0"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 264%</w:t>
            </w:r>
          </w:p>
        </w:tc>
        <w:tc>
          <w:tcPr>
            <w:tcW w:w="1340" w:type="dxa"/>
            <w:tcBorders>
              <w:top w:val="nil"/>
              <w:left w:val="nil"/>
              <w:bottom w:val="single" w:sz="4" w:space="0" w:color="auto"/>
              <w:right w:val="single" w:sz="4" w:space="0" w:color="auto"/>
            </w:tcBorders>
            <w:shd w:val="clear" w:color="000000" w:fill="FFFFFF"/>
            <w:noWrap/>
            <w:vAlign w:val="center"/>
            <w:hideMark/>
          </w:tcPr>
          <w:p w14:paraId="5C4DC3F9"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96%</w:t>
            </w:r>
          </w:p>
        </w:tc>
        <w:tc>
          <w:tcPr>
            <w:tcW w:w="1200" w:type="dxa"/>
            <w:tcBorders>
              <w:top w:val="nil"/>
              <w:left w:val="nil"/>
              <w:bottom w:val="single" w:sz="4" w:space="0" w:color="auto"/>
              <w:right w:val="single" w:sz="4" w:space="0" w:color="auto"/>
            </w:tcBorders>
            <w:shd w:val="clear" w:color="000000" w:fill="FFFFFF"/>
            <w:noWrap/>
            <w:vAlign w:val="center"/>
            <w:hideMark/>
          </w:tcPr>
          <w:p w14:paraId="2E6413BB"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62%</w:t>
            </w:r>
          </w:p>
        </w:tc>
      </w:tr>
      <w:tr w:rsidR="000A6207" w:rsidRPr="00462DB6" w14:paraId="2C9ED7DA"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02AC6EA7"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14</w:t>
            </w:r>
          </w:p>
        </w:tc>
        <w:tc>
          <w:tcPr>
            <w:tcW w:w="1740" w:type="dxa"/>
            <w:tcBorders>
              <w:top w:val="nil"/>
              <w:left w:val="nil"/>
              <w:bottom w:val="single" w:sz="4" w:space="0" w:color="auto"/>
              <w:right w:val="single" w:sz="4" w:space="0" w:color="auto"/>
            </w:tcBorders>
            <w:shd w:val="clear" w:color="000000" w:fill="FFFFFF"/>
            <w:noWrap/>
            <w:vAlign w:val="center"/>
            <w:hideMark/>
          </w:tcPr>
          <w:p w14:paraId="2C1DB3F7"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111%</w:t>
            </w:r>
          </w:p>
        </w:tc>
        <w:tc>
          <w:tcPr>
            <w:tcW w:w="1200" w:type="dxa"/>
            <w:tcBorders>
              <w:top w:val="nil"/>
              <w:left w:val="nil"/>
              <w:bottom w:val="single" w:sz="4" w:space="0" w:color="auto"/>
              <w:right w:val="single" w:sz="4" w:space="0" w:color="auto"/>
            </w:tcBorders>
            <w:shd w:val="clear" w:color="000000" w:fill="FFFFFF"/>
            <w:noWrap/>
            <w:vAlign w:val="center"/>
            <w:hideMark/>
          </w:tcPr>
          <w:p w14:paraId="0A8DE686"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90%</w:t>
            </w:r>
          </w:p>
        </w:tc>
        <w:tc>
          <w:tcPr>
            <w:tcW w:w="1360" w:type="dxa"/>
            <w:tcBorders>
              <w:top w:val="nil"/>
              <w:left w:val="nil"/>
              <w:bottom w:val="single" w:sz="4" w:space="0" w:color="auto"/>
              <w:right w:val="single" w:sz="4" w:space="0" w:color="auto"/>
            </w:tcBorders>
            <w:shd w:val="clear" w:color="000000" w:fill="FFFFFF"/>
            <w:noWrap/>
            <w:vAlign w:val="center"/>
            <w:hideMark/>
          </w:tcPr>
          <w:p w14:paraId="00D15A5B"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95%</w:t>
            </w:r>
          </w:p>
        </w:tc>
        <w:tc>
          <w:tcPr>
            <w:tcW w:w="1200" w:type="dxa"/>
            <w:tcBorders>
              <w:top w:val="nil"/>
              <w:left w:val="nil"/>
              <w:bottom w:val="single" w:sz="4" w:space="0" w:color="auto"/>
              <w:right w:val="single" w:sz="4" w:space="0" w:color="auto"/>
            </w:tcBorders>
            <w:shd w:val="clear" w:color="000000" w:fill="FFFFFF"/>
            <w:noWrap/>
            <w:vAlign w:val="center"/>
            <w:hideMark/>
          </w:tcPr>
          <w:p w14:paraId="7A8406F5"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83%</w:t>
            </w:r>
          </w:p>
        </w:tc>
        <w:tc>
          <w:tcPr>
            <w:tcW w:w="1340" w:type="dxa"/>
            <w:tcBorders>
              <w:top w:val="nil"/>
              <w:left w:val="nil"/>
              <w:bottom w:val="single" w:sz="4" w:space="0" w:color="auto"/>
              <w:right w:val="single" w:sz="4" w:space="0" w:color="auto"/>
            </w:tcBorders>
            <w:shd w:val="clear" w:color="000000" w:fill="FFFFFF"/>
            <w:noWrap/>
            <w:vAlign w:val="center"/>
            <w:hideMark/>
          </w:tcPr>
          <w:p w14:paraId="360BE429"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202%</w:t>
            </w:r>
          </w:p>
        </w:tc>
        <w:tc>
          <w:tcPr>
            <w:tcW w:w="1340" w:type="dxa"/>
            <w:tcBorders>
              <w:top w:val="nil"/>
              <w:left w:val="nil"/>
              <w:bottom w:val="single" w:sz="4" w:space="0" w:color="auto"/>
              <w:right w:val="single" w:sz="4" w:space="0" w:color="auto"/>
            </w:tcBorders>
            <w:shd w:val="clear" w:color="000000" w:fill="FFFFFF"/>
            <w:noWrap/>
            <w:vAlign w:val="center"/>
            <w:hideMark/>
          </w:tcPr>
          <w:p w14:paraId="013CC15B"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75%</w:t>
            </w:r>
          </w:p>
        </w:tc>
        <w:tc>
          <w:tcPr>
            <w:tcW w:w="1200" w:type="dxa"/>
            <w:tcBorders>
              <w:top w:val="nil"/>
              <w:left w:val="nil"/>
              <w:bottom w:val="single" w:sz="4" w:space="0" w:color="auto"/>
              <w:right w:val="single" w:sz="4" w:space="0" w:color="auto"/>
            </w:tcBorders>
            <w:shd w:val="clear" w:color="000000" w:fill="FFFFFF"/>
            <w:noWrap/>
            <w:vAlign w:val="center"/>
            <w:hideMark/>
          </w:tcPr>
          <w:p w14:paraId="12D265FA"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94%</w:t>
            </w:r>
          </w:p>
        </w:tc>
      </w:tr>
      <w:tr w:rsidR="000A6207" w:rsidRPr="00462DB6" w14:paraId="02E7F4F7"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64CB95BB"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15</w:t>
            </w:r>
          </w:p>
        </w:tc>
        <w:tc>
          <w:tcPr>
            <w:tcW w:w="1740" w:type="dxa"/>
            <w:tcBorders>
              <w:top w:val="nil"/>
              <w:left w:val="nil"/>
              <w:bottom w:val="single" w:sz="4" w:space="0" w:color="auto"/>
              <w:right w:val="single" w:sz="4" w:space="0" w:color="auto"/>
            </w:tcBorders>
            <w:shd w:val="clear" w:color="000000" w:fill="FFFFFF"/>
            <w:noWrap/>
            <w:vAlign w:val="center"/>
            <w:hideMark/>
          </w:tcPr>
          <w:p w14:paraId="713C0CB9"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89%</w:t>
            </w:r>
          </w:p>
        </w:tc>
        <w:tc>
          <w:tcPr>
            <w:tcW w:w="1200" w:type="dxa"/>
            <w:tcBorders>
              <w:top w:val="nil"/>
              <w:left w:val="nil"/>
              <w:bottom w:val="single" w:sz="4" w:space="0" w:color="auto"/>
              <w:right w:val="single" w:sz="4" w:space="0" w:color="auto"/>
            </w:tcBorders>
            <w:shd w:val="clear" w:color="000000" w:fill="FFFFFF"/>
            <w:noWrap/>
            <w:vAlign w:val="center"/>
            <w:hideMark/>
          </w:tcPr>
          <w:p w14:paraId="27C0F903"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107%</w:t>
            </w:r>
          </w:p>
        </w:tc>
        <w:tc>
          <w:tcPr>
            <w:tcW w:w="1360" w:type="dxa"/>
            <w:tcBorders>
              <w:top w:val="nil"/>
              <w:left w:val="nil"/>
              <w:bottom w:val="single" w:sz="4" w:space="0" w:color="auto"/>
              <w:right w:val="single" w:sz="4" w:space="0" w:color="auto"/>
            </w:tcBorders>
            <w:shd w:val="clear" w:color="000000" w:fill="FFFFFF"/>
            <w:noWrap/>
            <w:vAlign w:val="center"/>
            <w:hideMark/>
          </w:tcPr>
          <w:p w14:paraId="311DBFD5"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62%</w:t>
            </w:r>
          </w:p>
        </w:tc>
        <w:tc>
          <w:tcPr>
            <w:tcW w:w="1200" w:type="dxa"/>
            <w:tcBorders>
              <w:top w:val="nil"/>
              <w:left w:val="nil"/>
              <w:bottom w:val="single" w:sz="4" w:space="0" w:color="auto"/>
              <w:right w:val="single" w:sz="4" w:space="0" w:color="auto"/>
            </w:tcBorders>
            <w:shd w:val="clear" w:color="000000" w:fill="FFFFFF"/>
            <w:noWrap/>
            <w:vAlign w:val="center"/>
            <w:hideMark/>
          </w:tcPr>
          <w:p w14:paraId="5D551CC1"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90%</w:t>
            </w:r>
          </w:p>
        </w:tc>
        <w:tc>
          <w:tcPr>
            <w:tcW w:w="1340" w:type="dxa"/>
            <w:tcBorders>
              <w:top w:val="nil"/>
              <w:left w:val="nil"/>
              <w:bottom w:val="single" w:sz="4" w:space="0" w:color="auto"/>
              <w:right w:val="single" w:sz="4" w:space="0" w:color="auto"/>
            </w:tcBorders>
            <w:shd w:val="clear" w:color="000000" w:fill="FFFFFF"/>
            <w:noWrap/>
            <w:vAlign w:val="center"/>
            <w:hideMark/>
          </w:tcPr>
          <w:p w14:paraId="253CF1CE"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210%</w:t>
            </w:r>
          </w:p>
        </w:tc>
        <w:tc>
          <w:tcPr>
            <w:tcW w:w="1340" w:type="dxa"/>
            <w:tcBorders>
              <w:top w:val="nil"/>
              <w:left w:val="nil"/>
              <w:bottom w:val="single" w:sz="4" w:space="0" w:color="auto"/>
              <w:right w:val="single" w:sz="4" w:space="0" w:color="auto"/>
            </w:tcBorders>
            <w:shd w:val="clear" w:color="000000" w:fill="FFFFFF"/>
            <w:noWrap/>
            <w:vAlign w:val="center"/>
            <w:hideMark/>
          </w:tcPr>
          <w:p w14:paraId="2E152F93"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73%</w:t>
            </w:r>
          </w:p>
        </w:tc>
        <w:tc>
          <w:tcPr>
            <w:tcW w:w="1200" w:type="dxa"/>
            <w:tcBorders>
              <w:top w:val="nil"/>
              <w:left w:val="nil"/>
              <w:bottom w:val="single" w:sz="4" w:space="0" w:color="auto"/>
              <w:right w:val="single" w:sz="4" w:space="0" w:color="auto"/>
            </w:tcBorders>
            <w:shd w:val="clear" w:color="000000" w:fill="FFFFFF"/>
            <w:noWrap/>
            <w:vAlign w:val="center"/>
            <w:hideMark/>
          </w:tcPr>
          <w:p w14:paraId="7DCED5AB"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129%</w:t>
            </w:r>
          </w:p>
        </w:tc>
      </w:tr>
      <w:tr w:rsidR="000A6207" w:rsidRPr="00462DB6" w14:paraId="0FF2B2C7"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17AD5451"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16</w:t>
            </w:r>
          </w:p>
        </w:tc>
        <w:tc>
          <w:tcPr>
            <w:tcW w:w="1740" w:type="dxa"/>
            <w:tcBorders>
              <w:top w:val="nil"/>
              <w:left w:val="nil"/>
              <w:bottom w:val="single" w:sz="4" w:space="0" w:color="auto"/>
              <w:right w:val="single" w:sz="4" w:space="0" w:color="auto"/>
            </w:tcBorders>
            <w:shd w:val="clear" w:color="000000" w:fill="FFFFFF"/>
            <w:noWrap/>
            <w:vAlign w:val="center"/>
            <w:hideMark/>
          </w:tcPr>
          <w:p w14:paraId="6F885DD3"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91%</w:t>
            </w:r>
          </w:p>
        </w:tc>
        <w:tc>
          <w:tcPr>
            <w:tcW w:w="1200" w:type="dxa"/>
            <w:tcBorders>
              <w:top w:val="nil"/>
              <w:left w:val="nil"/>
              <w:bottom w:val="single" w:sz="4" w:space="0" w:color="auto"/>
              <w:right w:val="single" w:sz="4" w:space="0" w:color="auto"/>
            </w:tcBorders>
            <w:shd w:val="clear" w:color="000000" w:fill="FFFFFF"/>
            <w:noWrap/>
            <w:vAlign w:val="center"/>
            <w:hideMark/>
          </w:tcPr>
          <w:p w14:paraId="5D84538C"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106%</w:t>
            </w:r>
          </w:p>
        </w:tc>
        <w:tc>
          <w:tcPr>
            <w:tcW w:w="1360" w:type="dxa"/>
            <w:tcBorders>
              <w:top w:val="nil"/>
              <w:left w:val="nil"/>
              <w:bottom w:val="single" w:sz="4" w:space="0" w:color="auto"/>
              <w:right w:val="single" w:sz="4" w:space="0" w:color="auto"/>
            </w:tcBorders>
            <w:shd w:val="clear" w:color="000000" w:fill="FFFFFF"/>
            <w:noWrap/>
            <w:vAlign w:val="center"/>
            <w:hideMark/>
          </w:tcPr>
          <w:p w14:paraId="38861147"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79%</w:t>
            </w:r>
          </w:p>
        </w:tc>
        <w:tc>
          <w:tcPr>
            <w:tcW w:w="1200" w:type="dxa"/>
            <w:tcBorders>
              <w:top w:val="nil"/>
              <w:left w:val="nil"/>
              <w:bottom w:val="single" w:sz="4" w:space="0" w:color="auto"/>
              <w:right w:val="single" w:sz="4" w:space="0" w:color="auto"/>
            </w:tcBorders>
            <w:shd w:val="clear" w:color="000000" w:fill="FFFFFF"/>
            <w:noWrap/>
            <w:vAlign w:val="center"/>
            <w:hideMark/>
          </w:tcPr>
          <w:p w14:paraId="0A51AE75"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89%</w:t>
            </w:r>
          </w:p>
        </w:tc>
        <w:tc>
          <w:tcPr>
            <w:tcW w:w="1340" w:type="dxa"/>
            <w:tcBorders>
              <w:top w:val="nil"/>
              <w:left w:val="nil"/>
              <w:bottom w:val="single" w:sz="4" w:space="0" w:color="auto"/>
              <w:right w:val="single" w:sz="4" w:space="0" w:color="auto"/>
            </w:tcBorders>
            <w:shd w:val="clear" w:color="000000" w:fill="FFFFFF"/>
            <w:noWrap/>
            <w:vAlign w:val="center"/>
            <w:hideMark/>
          </w:tcPr>
          <w:p w14:paraId="7A9E73ED"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157%</w:t>
            </w:r>
          </w:p>
        </w:tc>
        <w:tc>
          <w:tcPr>
            <w:tcW w:w="1340" w:type="dxa"/>
            <w:tcBorders>
              <w:top w:val="nil"/>
              <w:left w:val="nil"/>
              <w:bottom w:val="single" w:sz="4" w:space="0" w:color="auto"/>
              <w:right w:val="single" w:sz="4" w:space="0" w:color="auto"/>
            </w:tcBorders>
            <w:shd w:val="clear" w:color="000000" w:fill="FFFFFF"/>
            <w:noWrap/>
            <w:vAlign w:val="center"/>
            <w:hideMark/>
          </w:tcPr>
          <w:p w14:paraId="2BD2387F"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96%</w:t>
            </w:r>
          </w:p>
        </w:tc>
        <w:tc>
          <w:tcPr>
            <w:tcW w:w="1200" w:type="dxa"/>
            <w:tcBorders>
              <w:top w:val="nil"/>
              <w:left w:val="nil"/>
              <w:bottom w:val="single" w:sz="4" w:space="0" w:color="auto"/>
              <w:right w:val="single" w:sz="4" w:space="0" w:color="auto"/>
            </w:tcBorders>
            <w:shd w:val="clear" w:color="000000" w:fill="FFFFFF"/>
            <w:noWrap/>
            <w:vAlign w:val="center"/>
            <w:hideMark/>
          </w:tcPr>
          <w:p w14:paraId="3ACE1B1B"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88%</w:t>
            </w:r>
          </w:p>
        </w:tc>
      </w:tr>
      <w:tr w:rsidR="000A6207" w:rsidRPr="00462DB6" w14:paraId="480E21D8"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6CC13935"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17</w:t>
            </w:r>
          </w:p>
        </w:tc>
        <w:tc>
          <w:tcPr>
            <w:tcW w:w="1740" w:type="dxa"/>
            <w:tcBorders>
              <w:top w:val="nil"/>
              <w:left w:val="nil"/>
              <w:bottom w:val="single" w:sz="4" w:space="0" w:color="auto"/>
              <w:right w:val="single" w:sz="4" w:space="0" w:color="auto"/>
            </w:tcBorders>
            <w:shd w:val="clear" w:color="000000" w:fill="FFFFFF"/>
            <w:noWrap/>
            <w:vAlign w:val="center"/>
            <w:hideMark/>
          </w:tcPr>
          <w:p w14:paraId="4BBC99F1"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73%</w:t>
            </w:r>
          </w:p>
        </w:tc>
        <w:tc>
          <w:tcPr>
            <w:tcW w:w="1200" w:type="dxa"/>
            <w:tcBorders>
              <w:top w:val="nil"/>
              <w:left w:val="nil"/>
              <w:bottom w:val="single" w:sz="4" w:space="0" w:color="auto"/>
              <w:right w:val="single" w:sz="4" w:space="0" w:color="auto"/>
            </w:tcBorders>
            <w:shd w:val="clear" w:color="000000" w:fill="FFFFFF"/>
            <w:noWrap/>
            <w:vAlign w:val="center"/>
            <w:hideMark/>
          </w:tcPr>
          <w:p w14:paraId="1D6A9DC7"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102%</w:t>
            </w:r>
          </w:p>
        </w:tc>
        <w:tc>
          <w:tcPr>
            <w:tcW w:w="1360" w:type="dxa"/>
            <w:tcBorders>
              <w:top w:val="nil"/>
              <w:left w:val="nil"/>
              <w:bottom w:val="single" w:sz="4" w:space="0" w:color="auto"/>
              <w:right w:val="single" w:sz="4" w:space="0" w:color="auto"/>
            </w:tcBorders>
            <w:shd w:val="clear" w:color="000000" w:fill="FFFFFF"/>
            <w:noWrap/>
            <w:vAlign w:val="center"/>
            <w:hideMark/>
          </w:tcPr>
          <w:p w14:paraId="1E338C00"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54%</w:t>
            </w:r>
          </w:p>
        </w:tc>
        <w:tc>
          <w:tcPr>
            <w:tcW w:w="1200" w:type="dxa"/>
            <w:tcBorders>
              <w:top w:val="nil"/>
              <w:left w:val="nil"/>
              <w:bottom w:val="single" w:sz="4" w:space="0" w:color="auto"/>
              <w:right w:val="single" w:sz="4" w:space="0" w:color="auto"/>
            </w:tcBorders>
            <w:shd w:val="clear" w:color="000000" w:fill="FFFFFF"/>
            <w:noWrap/>
            <w:vAlign w:val="center"/>
            <w:hideMark/>
          </w:tcPr>
          <w:p w14:paraId="3A8E9206"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108%</w:t>
            </w:r>
          </w:p>
        </w:tc>
        <w:tc>
          <w:tcPr>
            <w:tcW w:w="1340" w:type="dxa"/>
            <w:tcBorders>
              <w:top w:val="nil"/>
              <w:left w:val="nil"/>
              <w:bottom w:val="single" w:sz="4" w:space="0" w:color="auto"/>
              <w:right w:val="single" w:sz="4" w:space="0" w:color="auto"/>
            </w:tcBorders>
            <w:shd w:val="clear" w:color="000000" w:fill="FFFFFF"/>
            <w:noWrap/>
            <w:vAlign w:val="center"/>
            <w:hideMark/>
          </w:tcPr>
          <w:p w14:paraId="0A84C899"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2.08</w:t>
            </w:r>
          </w:p>
        </w:tc>
        <w:tc>
          <w:tcPr>
            <w:tcW w:w="1340" w:type="dxa"/>
            <w:tcBorders>
              <w:top w:val="nil"/>
              <w:left w:val="nil"/>
              <w:bottom w:val="single" w:sz="4" w:space="0" w:color="auto"/>
              <w:right w:val="single" w:sz="4" w:space="0" w:color="auto"/>
            </w:tcBorders>
            <w:shd w:val="clear" w:color="000000" w:fill="FFFFFF"/>
            <w:noWrap/>
            <w:vAlign w:val="center"/>
            <w:hideMark/>
          </w:tcPr>
          <w:p w14:paraId="231055F3"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111%</w:t>
            </w:r>
          </w:p>
        </w:tc>
        <w:tc>
          <w:tcPr>
            <w:tcW w:w="1200" w:type="dxa"/>
            <w:tcBorders>
              <w:top w:val="nil"/>
              <w:left w:val="nil"/>
              <w:bottom w:val="single" w:sz="4" w:space="0" w:color="auto"/>
              <w:right w:val="single" w:sz="4" w:space="0" w:color="auto"/>
            </w:tcBorders>
            <w:shd w:val="clear" w:color="000000" w:fill="FFFFFF"/>
            <w:noWrap/>
            <w:vAlign w:val="center"/>
            <w:hideMark/>
          </w:tcPr>
          <w:p w14:paraId="44BDFFE1"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91%</w:t>
            </w:r>
          </w:p>
        </w:tc>
      </w:tr>
      <w:tr w:rsidR="000A6207" w:rsidRPr="00462DB6" w14:paraId="6CFC3216"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613543C4"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18</w:t>
            </w:r>
          </w:p>
        </w:tc>
        <w:tc>
          <w:tcPr>
            <w:tcW w:w="1740" w:type="dxa"/>
            <w:tcBorders>
              <w:top w:val="nil"/>
              <w:left w:val="nil"/>
              <w:bottom w:val="single" w:sz="4" w:space="0" w:color="auto"/>
              <w:right w:val="single" w:sz="4" w:space="0" w:color="auto"/>
            </w:tcBorders>
            <w:shd w:val="clear" w:color="000000" w:fill="FFFFFF"/>
            <w:noWrap/>
            <w:vAlign w:val="center"/>
            <w:hideMark/>
          </w:tcPr>
          <w:p w14:paraId="5375B069"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81%</w:t>
            </w:r>
          </w:p>
        </w:tc>
        <w:tc>
          <w:tcPr>
            <w:tcW w:w="1200" w:type="dxa"/>
            <w:tcBorders>
              <w:top w:val="nil"/>
              <w:left w:val="nil"/>
              <w:bottom w:val="single" w:sz="4" w:space="0" w:color="auto"/>
              <w:right w:val="single" w:sz="4" w:space="0" w:color="auto"/>
            </w:tcBorders>
            <w:shd w:val="clear" w:color="000000" w:fill="FFFFFF"/>
            <w:noWrap/>
            <w:vAlign w:val="center"/>
            <w:hideMark/>
          </w:tcPr>
          <w:p w14:paraId="64FD8FCC"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137%</w:t>
            </w:r>
          </w:p>
        </w:tc>
        <w:tc>
          <w:tcPr>
            <w:tcW w:w="1360" w:type="dxa"/>
            <w:tcBorders>
              <w:top w:val="nil"/>
              <w:left w:val="nil"/>
              <w:bottom w:val="single" w:sz="4" w:space="0" w:color="auto"/>
              <w:right w:val="single" w:sz="4" w:space="0" w:color="auto"/>
            </w:tcBorders>
            <w:shd w:val="clear" w:color="000000" w:fill="FFFFFF"/>
            <w:noWrap/>
            <w:vAlign w:val="center"/>
            <w:hideMark/>
          </w:tcPr>
          <w:p w14:paraId="6E827546"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56%</w:t>
            </w:r>
          </w:p>
        </w:tc>
        <w:tc>
          <w:tcPr>
            <w:tcW w:w="1200" w:type="dxa"/>
            <w:tcBorders>
              <w:top w:val="nil"/>
              <w:left w:val="nil"/>
              <w:bottom w:val="single" w:sz="4" w:space="0" w:color="auto"/>
              <w:right w:val="single" w:sz="4" w:space="0" w:color="auto"/>
            </w:tcBorders>
            <w:shd w:val="clear" w:color="000000" w:fill="FFFFFF"/>
            <w:noWrap/>
            <w:vAlign w:val="center"/>
            <w:hideMark/>
          </w:tcPr>
          <w:p w14:paraId="1DD9FB6A"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80%</w:t>
            </w:r>
          </w:p>
        </w:tc>
        <w:tc>
          <w:tcPr>
            <w:tcW w:w="1340" w:type="dxa"/>
            <w:tcBorders>
              <w:top w:val="nil"/>
              <w:left w:val="nil"/>
              <w:bottom w:val="single" w:sz="4" w:space="0" w:color="auto"/>
              <w:right w:val="single" w:sz="4" w:space="0" w:color="auto"/>
            </w:tcBorders>
            <w:shd w:val="clear" w:color="000000" w:fill="FFFFFF"/>
            <w:noWrap/>
            <w:vAlign w:val="center"/>
            <w:hideMark/>
          </w:tcPr>
          <w:p w14:paraId="4E8EC415"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222%</w:t>
            </w:r>
          </w:p>
        </w:tc>
        <w:tc>
          <w:tcPr>
            <w:tcW w:w="1340" w:type="dxa"/>
            <w:tcBorders>
              <w:top w:val="nil"/>
              <w:left w:val="nil"/>
              <w:bottom w:val="single" w:sz="4" w:space="0" w:color="auto"/>
              <w:right w:val="single" w:sz="4" w:space="0" w:color="auto"/>
            </w:tcBorders>
            <w:shd w:val="clear" w:color="000000" w:fill="FFFFFF"/>
            <w:noWrap/>
            <w:vAlign w:val="center"/>
            <w:hideMark/>
          </w:tcPr>
          <w:p w14:paraId="56054AC5"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92%</w:t>
            </w:r>
          </w:p>
        </w:tc>
        <w:tc>
          <w:tcPr>
            <w:tcW w:w="1200" w:type="dxa"/>
            <w:tcBorders>
              <w:top w:val="nil"/>
              <w:left w:val="nil"/>
              <w:bottom w:val="single" w:sz="4" w:space="0" w:color="auto"/>
              <w:right w:val="single" w:sz="4" w:space="0" w:color="auto"/>
            </w:tcBorders>
            <w:shd w:val="clear" w:color="000000" w:fill="FFFFFF"/>
            <w:noWrap/>
            <w:vAlign w:val="center"/>
            <w:hideMark/>
          </w:tcPr>
          <w:p w14:paraId="24124C0C"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94%</w:t>
            </w:r>
          </w:p>
        </w:tc>
      </w:tr>
      <w:tr w:rsidR="000A6207" w:rsidRPr="00462DB6" w14:paraId="3386A208"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221A6C02"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19</w:t>
            </w:r>
          </w:p>
        </w:tc>
        <w:tc>
          <w:tcPr>
            <w:tcW w:w="1740" w:type="dxa"/>
            <w:tcBorders>
              <w:top w:val="nil"/>
              <w:left w:val="nil"/>
              <w:bottom w:val="single" w:sz="4" w:space="0" w:color="auto"/>
              <w:right w:val="single" w:sz="4" w:space="0" w:color="auto"/>
            </w:tcBorders>
            <w:shd w:val="clear" w:color="000000" w:fill="FFFFFF"/>
            <w:noWrap/>
            <w:vAlign w:val="center"/>
            <w:hideMark/>
          </w:tcPr>
          <w:p w14:paraId="6AAE3F7F"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85%</w:t>
            </w:r>
          </w:p>
        </w:tc>
        <w:tc>
          <w:tcPr>
            <w:tcW w:w="1200" w:type="dxa"/>
            <w:tcBorders>
              <w:top w:val="nil"/>
              <w:left w:val="nil"/>
              <w:bottom w:val="single" w:sz="4" w:space="0" w:color="auto"/>
              <w:right w:val="single" w:sz="4" w:space="0" w:color="auto"/>
            </w:tcBorders>
            <w:shd w:val="clear" w:color="000000" w:fill="FFFFFF"/>
            <w:noWrap/>
            <w:vAlign w:val="center"/>
            <w:hideMark/>
          </w:tcPr>
          <w:p w14:paraId="39C6E2DF"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168%</w:t>
            </w:r>
          </w:p>
        </w:tc>
        <w:tc>
          <w:tcPr>
            <w:tcW w:w="1360" w:type="dxa"/>
            <w:tcBorders>
              <w:top w:val="nil"/>
              <w:left w:val="nil"/>
              <w:bottom w:val="single" w:sz="4" w:space="0" w:color="auto"/>
              <w:right w:val="single" w:sz="4" w:space="0" w:color="auto"/>
            </w:tcBorders>
            <w:shd w:val="clear" w:color="000000" w:fill="FFFFFF"/>
            <w:noWrap/>
            <w:vAlign w:val="center"/>
            <w:hideMark/>
          </w:tcPr>
          <w:p w14:paraId="1DFA68E5"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46%</w:t>
            </w:r>
          </w:p>
        </w:tc>
        <w:tc>
          <w:tcPr>
            <w:tcW w:w="1200" w:type="dxa"/>
            <w:tcBorders>
              <w:top w:val="nil"/>
              <w:left w:val="nil"/>
              <w:bottom w:val="single" w:sz="4" w:space="0" w:color="auto"/>
              <w:right w:val="single" w:sz="4" w:space="0" w:color="auto"/>
            </w:tcBorders>
            <w:shd w:val="clear" w:color="000000" w:fill="FFFFFF"/>
            <w:noWrap/>
            <w:vAlign w:val="center"/>
            <w:hideMark/>
          </w:tcPr>
          <w:p w14:paraId="2A96D18A"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100%</w:t>
            </w:r>
          </w:p>
        </w:tc>
        <w:tc>
          <w:tcPr>
            <w:tcW w:w="1340" w:type="dxa"/>
            <w:tcBorders>
              <w:top w:val="nil"/>
              <w:left w:val="nil"/>
              <w:bottom w:val="single" w:sz="4" w:space="0" w:color="auto"/>
              <w:right w:val="single" w:sz="4" w:space="0" w:color="auto"/>
            </w:tcBorders>
            <w:shd w:val="clear" w:color="000000" w:fill="FFFFFF"/>
            <w:noWrap/>
            <w:vAlign w:val="center"/>
            <w:hideMark/>
          </w:tcPr>
          <w:p w14:paraId="76F16562"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211%</w:t>
            </w:r>
          </w:p>
        </w:tc>
        <w:tc>
          <w:tcPr>
            <w:tcW w:w="1340" w:type="dxa"/>
            <w:tcBorders>
              <w:top w:val="nil"/>
              <w:left w:val="nil"/>
              <w:bottom w:val="single" w:sz="4" w:space="0" w:color="auto"/>
              <w:right w:val="single" w:sz="4" w:space="0" w:color="auto"/>
            </w:tcBorders>
            <w:shd w:val="clear" w:color="000000" w:fill="FFFFFF"/>
            <w:noWrap/>
            <w:vAlign w:val="center"/>
            <w:hideMark/>
          </w:tcPr>
          <w:p w14:paraId="25CB6108"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84%</w:t>
            </w:r>
          </w:p>
        </w:tc>
        <w:tc>
          <w:tcPr>
            <w:tcW w:w="1200" w:type="dxa"/>
            <w:tcBorders>
              <w:top w:val="nil"/>
              <w:left w:val="nil"/>
              <w:bottom w:val="single" w:sz="4" w:space="0" w:color="auto"/>
              <w:right w:val="single" w:sz="4" w:space="0" w:color="auto"/>
            </w:tcBorders>
            <w:shd w:val="clear" w:color="000000" w:fill="FFFFFF"/>
            <w:noWrap/>
            <w:vAlign w:val="center"/>
            <w:hideMark/>
          </w:tcPr>
          <w:p w14:paraId="06563046"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88%</w:t>
            </w:r>
          </w:p>
        </w:tc>
      </w:tr>
      <w:tr w:rsidR="000A6207" w:rsidRPr="00462DB6" w14:paraId="203DA117"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4F02D403"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20</w:t>
            </w:r>
          </w:p>
        </w:tc>
        <w:tc>
          <w:tcPr>
            <w:tcW w:w="1740" w:type="dxa"/>
            <w:tcBorders>
              <w:top w:val="nil"/>
              <w:left w:val="nil"/>
              <w:bottom w:val="single" w:sz="4" w:space="0" w:color="auto"/>
              <w:right w:val="single" w:sz="4" w:space="0" w:color="auto"/>
            </w:tcBorders>
            <w:shd w:val="clear" w:color="000000" w:fill="FFFFFF"/>
            <w:noWrap/>
            <w:vAlign w:val="center"/>
            <w:hideMark/>
          </w:tcPr>
          <w:p w14:paraId="3A8C5F64"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73%</w:t>
            </w:r>
          </w:p>
        </w:tc>
        <w:tc>
          <w:tcPr>
            <w:tcW w:w="1200" w:type="dxa"/>
            <w:tcBorders>
              <w:top w:val="nil"/>
              <w:left w:val="nil"/>
              <w:bottom w:val="single" w:sz="4" w:space="0" w:color="auto"/>
              <w:right w:val="single" w:sz="4" w:space="0" w:color="auto"/>
            </w:tcBorders>
            <w:shd w:val="clear" w:color="000000" w:fill="FFFFFF"/>
            <w:noWrap/>
            <w:vAlign w:val="center"/>
            <w:hideMark/>
          </w:tcPr>
          <w:p w14:paraId="3634532C"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157%</w:t>
            </w:r>
          </w:p>
        </w:tc>
        <w:tc>
          <w:tcPr>
            <w:tcW w:w="1360" w:type="dxa"/>
            <w:tcBorders>
              <w:top w:val="nil"/>
              <w:left w:val="nil"/>
              <w:bottom w:val="single" w:sz="4" w:space="0" w:color="auto"/>
              <w:right w:val="single" w:sz="4" w:space="0" w:color="auto"/>
            </w:tcBorders>
            <w:shd w:val="clear" w:color="000000" w:fill="FFFFFF"/>
            <w:noWrap/>
            <w:vAlign w:val="center"/>
            <w:hideMark/>
          </w:tcPr>
          <w:p w14:paraId="1067A2A4"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40%</w:t>
            </w:r>
          </w:p>
        </w:tc>
        <w:tc>
          <w:tcPr>
            <w:tcW w:w="1200" w:type="dxa"/>
            <w:tcBorders>
              <w:top w:val="nil"/>
              <w:left w:val="nil"/>
              <w:bottom w:val="single" w:sz="4" w:space="0" w:color="auto"/>
              <w:right w:val="single" w:sz="4" w:space="0" w:color="auto"/>
            </w:tcBorders>
            <w:shd w:val="clear" w:color="000000" w:fill="FFFFFF"/>
            <w:noWrap/>
            <w:vAlign w:val="center"/>
            <w:hideMark/>
          </w:tcPr>
          <w:p w14:paraId="72D73761"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120%</w:t>
            </w:r>
          </w:p>
        </w:tc>
        <w:tc>
          <w:tcPr>
            <w:tcW w:w="1340" w:type="dxa"/>
            <w:tcBorders>
              <w:top w:val="nil"/>
              <w:left w:val="nil"/>
              <w:bottom w:val="single" w:sz="4" w:space="0" w:color="auto"/>
              <w:right w:val="single" w:sz="4" w:space="0" w:color="auto"/>
            </w:tcBorders>
            <w:shd w:val="clear" w:color="000000" w:fill="FFFFFF"/>
            <w:noWrap/>
            <w:vAlign w:val="center"/>
            <w:hideMark/>
          </w:tcPr>
          <w:p w14:paraId="45748138"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220%</w:t>
            </w:r>
          </w:p>
        </w:tc>
        <w:tc>
          <w:tcPr>
            <w:tcW w:w="1340" w:type="dxa"/>
            <w:tcBorders>
              <w:top w:val="nil"/>
              <w:left w:val="nil"/>
              <w:bottom w:val="single" w:sz="4" w:space="0" w:color="auto"/>
              <w:right w:val="single" w:sz="4" w:space="0" w:color="auto"/>
            </w:tcBorders>
            <w:shd w:val="clear" w:color="000000" w:fill="FFFFFF"/>
            <w:noWrap/>
            <w:vAlign w:val="center"/>
            <w:hideMark/>
          </w:tcPr>
          <w:p w14:paraId="218E1A49"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116%</w:t>
            </w:r>
          </w:p>
        </w:tc>
        <w:tc>
          <w:tcPr>
            <w:tcW w:w="1200" w:type="dxa"/>
            <w:tcBorders>
              <w:top w:val="nil"/>
              <w:left w:val="nil"/>
              <w:bottom w:val="single" w:sz="4" w:space="0" w:color="auto"/>
              <w:right w:val="single" w:sz="4" w:space="0" w:color="auto"/>
            </w:tcBorders>
            <w:shd w:val="clear" w:color="000000" w:fill="FFFFFF"/>
            <w:noWrap/>
            <w:vAlign w:val="center"/>
            <w:hideMark/>
          </w:tcPr>
          <w:p w14:paraId="63932D4C"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74%</w:t>
            </w:r>
          </w:p>
        </w:tc>
      </w:tr>
      <w:tr w:rsidR="000A6207" w:rsidRPr="00462DB6" w14:paraId="44B91E5D"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7759B915"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21</w:t>
            </w:r>
          </w:p>
        </w:tc>
        <w:tc>
          <w:tcPr>
            <w:tcW w:w="1740" w:type="dxa"/>
            <w:tcBorders>
              <w:top w:val="nil"/>
              <w:left w:val="nil"/>
              <w:bottom w:val="single" w:sz="4" w:space="0" w:color="auto"/>
              <w:right w:val="single" w:sz="4" w:space="0" w:color="auto"/>
            </w:tcBorders>
            <w:shd w:val="clear" w:color="000000" w:fill="FFFFFF"/>
            <w:noWrap/>
            <w:vAlign w:val="center"/>
            <w:hideMark/>
          </w:tcPr>
          <w:p w14:paraId="481E50A4"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93%</w:t>
            </w:r>
          </w:p>
        </w:tc>
        <w:tc>
          <w:tcPr>
            <w:tcW w:w="1200" w:type="dxa"/>
            <w:tcBorders>
              <w:top w:val="nil"/>
              <w:left w:val="nil"/>
              <w:bottom w:val="single" w:sz="4" w:space="0" w:color="auto"/>
              <w:right w:val="single" w:sz="4" w:space="0" w:color="auto"/>
            </w:tcBorders>
            <w:shd w:val="clear" w:color="000000" w:fill="FFFFFF"/>
            <w:noWrap/>
            <w:vAlign w:val="center"/>
            <w:hideMark/>
          </w:tcPr>
          <w:p w14:paraId="4E0880B7"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193%</w:t>
            </w:r>
          </w:p>
        </w:tc>
        <w:tc>
          <w:tcPr>
            <w:tcW w:w="1360" w:type="dxa"/>
            <w:tcBorders>
              <w:top w:val="nil"/>
              <w:left w:val="nil"/>
              <w:bottom w:val="single" w:sz="4" w:space="0" w:color="auto"/>
              <w:right w:val="single" w:sz="4" w:space="0" w:color="auto"/>
            </w:tcBorders>
            <w:shd w:val="clear" w:color="000000" w:fill="FFFFFF"/>
            <w:noWrap/>
            <w:vAlign w:val="center"/>
            <w:hideMark/>
          </w:tcPr>
          <w:p w14:paraId="373EBDDA"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45%</w:t>
            </w:r>
          </w:p>
        </w:tc>
        <w:tc>
          <w:tcPr>
            <w:tcW w:w="1200" w:type="dxa"/>
            <w:tcBorders>
              <w:top w:val="nil"/>
              <w:left w:val="nil"/>
              <w:bottom w:val="single" w:sz="4" w:space="0" w:color="auto"/>
              <w:right w:val="single" w:sz="4" w:space="0" w:color="auto"/>
            </w:tcBorders>
            <w:shd w:val="clear" w:color="000000" w:fill="FFFFFF"/>
            <w:noWrap/>
            <w:vAlign w:val="center"/>
            <w:hideMark/>
          </w:tcPr>
          <w:p w14:paraId="7D063812"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120%</w:t>
            </w:r>
          </w:p>
        </w:tc>
        <w:tc>
          <w:tcPr>
            <w:tcW w:w="1340" w:type="dxa"/>
            <w:tcBorders>
              <w:top w:val="nil"/>
              <w:left w:val="nil"/>
              <w:bottom w:val="single" w:sz="4" w:space="0" w:color="auto"/>
              <w:right w:val="single" w:sz="4" w:space="0" w:color="auto"/>
            </w:tcBorders>
            <w:shd w:val="clear" w:color="000000" w:fill="FFFFFF"/>
            <w:noWrap/>
            <w:vAlign w:val="center"/>
            <w:hideMark/>
          </w:tcPr>
          <w:p w14:paraId="72A20F9C"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220%</w:t>
            </w:r>
          </w:p>
        </w:tc>
        <w:tc>
          <w:tcPr>
            <w:tcW w:w="1340" w:type="dxa"/>
            <w:tcBorders>
              <w:top w:val="nil"/>
              <w:left w:val="nil"/>
              <w:bottom w:val="single" w:sz="4" w:space="0" w:color="auto"/>
              <w:right w:val="single" w:sz="4" w:space="0" w:color="auto"/>
            </w:tcBorders>
            <w:shd w:val="clear" w:color="000000" w:fill="FFFFFF"/>
            <w:noWrap/>
            <w:vAlign w:val="center"/>
            <w:hideMark/>
          </w:tcPr>
          <w:p w14:paraId="4E3DC44A"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99%</w:t>
            </w:r>
          </w:p>
        </w:tc>
        <w:tc>
          <w:tcPr>
            <w:tcW w:w="1200" w:type="dxa"/>
            <w:tcBorders>
              <w:top w:val="nil"/>
              <w:left w:val="nil"/>
              <w:bottom w:val="single" w:sz="4" w:space="0" w:color="auto"/>
              <w:right w:val="single" w:sz="4" w:space="0" w:color="auto"/>
            </w:tcBorders>
            <w:shd w:val="clear" w:color="000000" w:fill="FFFFFF"/>
            <w:noWrap/>
            <w:vAlign w:val="center"/>
            <w:hideMark/>
          </w:tcPr>
          <w:p w14:paraId="32A02506"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106%</w:t>
            </w:r>
          </w:p>
        </w:tc>
      </w:tr>
      <w:tr w:rsidR="000A6207" w:rsidRPr="00462DB6" w14:paraId="15399CB9"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0CCE9EB2"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22</w:t>
            </w:r>
          </w:p>
        </w:tc>
        <w:tc>
          <w:tcPr>
            <w:tcW w:w="1740" w:type="dxa"/>
            <w:tcBorders>
              <w:top w:val="nil"/>
              <w:left w:val="nil"/>
              <w:bottom w:val="single" w:sz="4" w:space="0" w:color="auto"/>
              <w:right w:val="single" w:sz="4" w:space="0" w:color="auto"/>
            </w:tcBorders>
            <w:shd w:val="clear" w:color="000000" w:fill="FFFFFF"/>
            <w:noWrap/>
            <w:vAlign w:val="center"/>
            <w:hideMark/>
          </w:tcPr>
          <w:p w14:paraId="6DAABC06"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86%</w:t>
            </w:r>
          </w:p>
        </w:tc>
        <w:tc>
          <w:tcPr>
            <w:tcW w:w="1200" w:type="dxa"/>
            <w:tcBorders>
              <w:top w:val="nil"/>
              <w:left w:val="nil"/>
              <w:bottom w:val="single" w:sz="4" w:space="0" w:color="auto"/>
              <w:right w:val="single" w:sz="4" w:space="0" w:color="auto"/>
            </w:tcBorders>
            <w:shd w:val="clear" w:color="000000" w:fill="FFFFFF"/>
            <w:noWrap/>
            <w:vAlign w:val="center"/>
            <w:hideMark/>
          </w:tcPr>
          <w:p w14:paraId="49FC1635"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124%</w:t>
            </w:r>
          </w:p>
        </w:tc>
        <w:tc>
          <w:tcPr>
            <w:tcW w:w="1360" w:type="dxa"/>
            <w:tcBorders>
              <w:top w:val="nil"/>
              <w:left w:val="nil"/>
              <w:bottom w:val="single" w:sz="4" w:space="0" w:color="auto"/>
              <w:right w:val="single" w:sz="4" w:space="0" w:color="auto"/>
            </w:tcBorders>
            <w:shd w:val="clear" w:color="000000" w:fill="FFFFFF"/>
            <w:noWrap/>
            <w:vAlign w:val="center"/>
            <w:hideMark/>
          </w:tcPr>
          <w:p w14:paraId="66ECDBF9"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56%</w:t>
            </w:r>
          </w:p>
        </w:tc>
        <w:tc>
          <w:tcPr>
            <w:tcW w:w="1200" w:type="dxa"/>
            <w:tcBorders>
              <w:top w:val="nil"/>
              <w:left w:val="nil"/>
              <w:bottom w:val="single" w:sz="4" w:space="0" w:color="auto"/>
              <w:right w:val="single" w:sz="4" w:space="0" w:color="auto"/>
            </w:tcBorders>
            <w:shd w:val="clear" w:color="000000" w:fill="FFFFFF"/>
            <w:noWrap/>
            <w:vAlign w:val="center"/>
            <w:hideMark/>
          </w:tcPr>
          <w:p w14:paraId="27BFCECD"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95%</w:t>
            </w:r>
          </w:p>
        </w:tc>
        <w:tc>
          <w:tcPr>
            <w:tcW w:w="1340" w:type="dxa"/>
            <w:tcBorders>
              <w:top w:val="nil"/>
              <w:left w:val="nil"/>
              <w:bottom w:val="single" w:sz="4" w:space="0" w:color="auto"/>
              <w:right w:val="single" w:sz="4" w:space="0" w:color="auto"/>
            </w:tcBorders>
            <w:shd w:val="clear" w:color="000000" w:fill="FFFFFF"/>
            <w:noWrap/>
            <w:vAlign w:val="center"/>
            <w:hideMark/>
          </w:tcPr>
          <w:p w14:paraId="046D652B"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185%</w:t>
            </w:r>
          </w:p>
        </w:tc>
        <w:tc>
          <w:tcPr>
            <w:tcW w:w="1340" w:type="dxa"/>
            <w:tcBorders>
              <w:top w:val="nil"/>
              <w:left w:val="nil"/>
              <w:bottom w:val="single" w:sz="4" w:space="0" w:color="auto"/>
              <w:right w:val="single" w:sz="4" w:space="0" w:color="auto"/>
            </w:tcBorders>
            <w:shd w:val="clear" w:color="000000" w:fill="FFFFFF"/>
            <w:noWrap/>
            <w:vAlign w:val="center"/>
            <w:hideMark/>
          </w:tcPr>
          <w:p w14:paraId="73CEDC2A"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81%</w:t>
            </w:r>
          </w:p>
        </w:tc>
        <w:tc>
          <w:tcPr>
            <w:tcW w:w="1200" w:type="dxa"/>
            <w:tcBorders>
              <w:top w:val="nil"/>
              <w:left w:val="nil"/>
              <w:bottom w:val="single" w:sz="4" w:space="0" w:color="auto"/>
              <w:right w:val="single" w:sz="4" w:space="0" w:color="auto"/>
            </w:tcBorders>
            <w:shd w:val="clear" w:color="000000" w:fill="FFFFFF"/>
            <w:noWrap/>
            <w:vAlign w:val="center"/>
            <w:hideMark/>
          </w:tcPr>
          <w:p w14:paraId="61E12447"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116%</w:t>
            </w:r>
          </w:p>
        </w:tc>
      </w:tr>
      <w:tr w:rsidR="000A6207" w:rsidRPr="00462DB6" w14:paraId="023AD724"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5E3E3262"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23</w:t>
            </w:r>
          </w:p>
        </w:tc>
        <w:tc>
          <w:tcPr>
            <w:tcW w:w="1740" w:type="dxa"/>
            <w:tcBorders>
              <w:top w:val="nil"/>
              <w:left w:val="nil"/>
              <w:bottom w:val="single" w:sz="4" w:space="0" w:color="auto"/>
              <w:right w:val="single" w:sz="4" w:space="0" w:color="auto"/>
            </w:tcBorders>
            <w:shd w:val="clear" w:color="000000" w:fill="FFFFFF"/>
            <w:noWrap/>
            <w:vAlign w:val="center"/>
            <w:hideMark/>
          </w:tcPr>
          <w:p w14:paraId="131FB6E4"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86%</w:t>
            </w:r>
          </w:p>
        </w:tc>
        <w:tc>
          <w:tcPr>
            <w:tcW w:w="1200" w:type="dxa"/>
            <w:tcBorders>
              <w:top w:val="nil"/>
              <w:left w:val="nil"/>
              <w:bottom w:val="single" w:sz="4" w:space="0" w:color="auto"/>
              <w:right w:val="single" w:sz="4" w:space="0" w:color="auto"/>
            </w:tcBorders>
            <w:shd w:val="clear" w:color="000000" w:fill="FFFFFF"/>
            <w:noWrap/>
            <w:vAlign w:val="center"/>
            <w:hideMark/>
          </w:tcPr>
          <w:p w14:paraId="42B801C6"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94%</w:t>
            </w:r>
          </w:p>
        </w:tc>
        <w:tc>
          <w:tcPr>
            <w:tcW w:w="1360" w:type="dxa"/>
            <w:tcBorders>
              <w:top w:val="nil"/>
              <w:left w:val="nil"/>
              <w:bottom w:val="single" w:sz="4" w:space="0" w:color="auto"/>
              <w:right w:val="single" w:sz="4" w:space="0" w:color="auto"/>
            </w:tcBorders>
            <w:shd w:val="clear" w:color="000000" w:fill="FFFFFF"/>
            <w:noWrap/>
            <w:vAlign w:val="center"/>
            <w:hideMark/>
          </w:tcPr>
          <w:p w14:paraId="2828E492"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43%</w:t>
            </w:r>
          </w:p>
        </w:tc>
        <w:tc>
          <w:tcPr>
            <w:tcW w:w="1200" w:type="dxa"/>
            <w:tcBorders>
              <w:top w:val="nil"/>
              <w:left w:val="nil"/>
              <w:bottom w:val="single" w:sz="4" w:space="0" w:color="auto"/>
              <w:right w:val="single" w:sz="4" w:space="0" w:color="auto"/>
            </w:tcBorders>
            <w:shd w:val="clear" w:color="000000" w:fill="FFFFFF"/>
            <w:noWrap/>
            <w:vAlign w:val="center"/>
            <w:hideMark/>
          </w:tcPr>
          <w:p w14:paraId="43D56E22"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146%</w:t>
            </w:r>
          </w:p>
        </w:tc>
        <w:tc>
          <w:tcPr>
            <w:tcW w:w="1340" w:type="dxa"/>
            <w:tcBorders>
              <w:top w:val="nil"/>
              <w:left w:val="nil"/>
              <w:bottom w:val="single" w:sz="4" w:space="0" w:color="auto"/>
              <w:right w:val="single" w:sz="4" w:space="0" w:color="auto"/>
            </w:tcBorders>
            <w:shd w:val="clear" w:color="000000" w:fill="FFFFFF"/>
            <w:noWrap/>
            <w:vAlign w:val="center"/>
            <w:hideMark/>
          </w:tcPr>
          <w:p w14:paraId="6DEEF7EC"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279%</w:t>
            </w:r>
          </w:p>
        </w:tc>
        <w:tc>
          <w:tcPr>
            <w:tcW w:w="1340" w:type="dxa"/>
            <w:tcBorders>
              <w:top w:val="nil"/>
              <w:left w:val="nil"/>
              <w:bottom w:val="single" w:sz="4" w:space="0" w:color="auto"/>
              <w:right w:val="single" w:sz="4" w:space="0" w:color="auto"/>
            </w:tcBorders>
            <w:shd w:val="clear" w:color="000000" w:fill="FFFFFF"/>
            <w:noWrap/>
            <w:vAlign w:val="center"/>
            <w:hideMark/>
          </w:tcPr>
          <w:p w14:paraId="03AA1651"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83%</w:t>
            </w:r>
          </w:p>
        </w:tc>
        <w:tc>
          <w:tcPr>
            <w:tcW w:w="1200" w:type="dxa"/>
            <w:tcBorders>
              <w:top w:val="nil"/>
              <w:left w:val="nil"/>
              <w:bottom w:val="single" w:sz="4" w:space="0" w:color="auto"/>
              <w:right w:val="single" w:sz="4" w:space="0" w:color="auto"/>
            </w:tcBorders>
            <w:shd w:val="clear" w:color="000000" w:fill="FFFFFF"/>
            <w:noWrap/>
            <w:vAlign w:val="center"/>
            <w:hideMark/>
          </w:tcPr>
          <w:p w14:paraId="2F26E563"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92%</w:t>
            </w:r>
          </w:p>
        </w:tc>
      </w:tr>
      <w:tr w:rsidR="000A6207" w:rsidRPr="00462DB6" w14:paraId="63D2CF5A"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265C4131"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24</w:t>
            </w:r>
          </w:p>
        </w:tc>
        <w:tc>
          <w:tcPr>
            <w:tcW w:w="1740" w:type="dxa"/>
            <w:tcBorders>
              <w:top w:val="nil"/>
              <w:left w:val="nil"/>
              <w:bottom w:val="single" w:sz="4" w:space="0" w:color="auto"/>
              <w:right w:val="single" w:sz="4" w:space="0" w:color="auto"/>
            </w:tcBorders>
            <w:shd w:val="clear" w:color="000000" w:fill="FFFFFF"/>
            <w:noWrap/>
            <w:vAlign w:val="center"/>
            <w:hideMark/>
          </w:tcPr>
          <w:p w14:paraId="3C3DC8B9"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68%</w:t>
            </w:r>
          </w:p>
        </w:tc>
        <w:tc>
          <w:tcPr>
            <w:tcW w:w="1200" w:type="dxa"/>
            <w:tcBorders>
              <w:top w:val="nil"/>
              <w:left w:val="nil"/>
              <w:bottom w:val="single" w:sz="4" w:space="0" w:color="auto"/>
              <w:right w:val="single" w:sz="4" w:space="0" w:color="auto"/>
            </w:tcBorders>
            <w:shd w:val="clear" w:color="000000" w:fill="FFFFFF"/>
            <w:noWrap/>
            <w:vAlign w:val="center"/>
            <w:hideMark/>
          </w:tcPr>
          <w:p w14:paraId="294A3C79"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85%</w:t>
            </w:r>
          </w:p>
        </w:tc>
        <w:tc>
          <w:tcPr>
            <w:tcW w:w="1360" w:type="dxa"/>
            <w:tcBorders>
              <w:top w:val="nil"/>
              <w:left w:val="nil"/>
              <w:bottom w:val="single" w:sz="4" w:space="0" w:color="auto"/>
              <w:right w:val="single" w:sz="4" w:space="0" w:color="auto"/>
            </w:tcBorders>
            <w:shd w:val="clear" w:color="000000" w:fill="FFFFFF"/>
            <w:noWrap/>
            <w:vAlign w:val="center"/>
            <w:hideMark/>
          </w:tcPr>
          <w:p w14:paraId="1FFEAA94"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40%</w:t>
            </w:r>
          </w:p>
        </w:tc>
        <w:tc>
          <w:tcPr>
            <w:tcW w:w="1200" w:type="dxa"/>
            <w:tcBorders>
              <w:top w:val="nil"/>
              <w:left w:val="nil"/>
              <w:bottom w:val="single" w:sz="4" w:space="0" w:color="auto"/>
              <w:right w:val="single" w:sz="4" w:space="0" w:color="auto"/>
            </w:tcBorders>
            <w:shd w:val="clear" w:color="000000" w:fill="FFFFFF"/>
            <w:noWrap/>
            <w:vAlign w:val="center"/>
            <w:hideMark/>
          </w:tcPr>
          <w:p w14:paraId="07E2A139"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120%</w:t>
            </w:r>
          </w:p>
        </w:tc>
        <w:tc>
          <w:tcPr>
            <w:tcW w:w="1340" w:type="dxa"/>
            <w:tcBorders>
              <w:top w:val="nil"/>
              <w:left w:val="nil"/>
              <w:bottom w:val="single" w:sz="4" w:space="0" w:color="auto"/>
              <w:right w:val="single" w:sz="4" w:space="0" w:color="auto"/>
            </w:tcBorders>
            <w:shd w:val="clear" w:color="000000" w:fill="FFFFFF"/>
            <w:noWrap/>
            <w:vAlign w:val="center"/>
            <w:hideMark/>
          </w:tcPr>
          <w:p w14:paraId="1C4FB6B1"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279%</w:t>
            </w:r>
          </w:p>
        </w:tc>
        <w:tc>
          <w:tcPr>
            <w:tcW w:w="1340" w:type="dxa"/>
            <w:tcBorders>
              <w:top w:val="nil"/>
              <w:left w:val="nil"/>
              <w:bottom w:val="single" w:sz="4" w:space="0" w:color="auto"/>
              <w:right w:val="single" w:sz="4" w:space="0" w:color="auto"/>
            </w:tcBorders>
            <w:shd w:val="clear" w:color="000000" w:fill="FFFFFF"/>
            <w:noWrap/>
            <w:vAlign w:val="center"/>
            <w:hideMark/>
          </w:tcPr>
          <w:p w14:paraId="39205382"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107%</w:t>
            </w:r>
          </w:p>
        </w:tc>
        <w:tc>
          <w:tcPr>
            <w:tcW w:w="1200" w:type="dxa"/>
            <w:tcBorders>
              <w:top w:val="nil"/>
              <w:left w:val="nil"/>
              <w:bottom w:val="single" w:sz="4" w:space="0" w:color="auto"/>
              <w:right w:val="single" w:sz="4" w:space="0" w:color="auto"/>
            </w:tcBorders>
            <w:shd w:val="clear" w:color="000000" w:fill="FFFFFF"/>
            <w:noWrap/>
            <w:vAlign w:val="center"/>
            <w:hideMark/>
          </w:tcPr>
          <w:p w14:paraId="28306657"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113%</w:t>
            </w:r>
          </w:p>
        </w:tc>
      </w:tr>
      <w:tr w:rsidR="000A6207" w:rsidRPr="00462DB6" w14:paraId="47377D07"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29698EEE"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25</w:t>
            </w:r>
          </w:p>
        </w:tc>
        <w:tc>
          <w:tcPr>
            <w:tcW w:w="1740" w:type="dxa"/>
            <w:tcBorders>
              <w:top w:val="nil"/>
              <w:left w:val="nil"/>
              <w:bottom w:val="single" w:sz="4" w:space="0" w:color="auto"/>
              <w:right w:val="single" w:sz="4" w:space="0" w:color="auto"/>
            </w:tcBorders>
            <w:shd w:val="clear" w:color="000000" w:fill="FFFFFF"/>
            <w:noWrap/>
            <w:vAlign w:val="center"/>
            <w:hideMark/>
          </w:tcPr>
          <w:p w14:paraId="519D1521"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88%</w:t>
            </w:r>
          </w:p>
        </w:tc>
        <w:tc>
          <w:tcPr>
            <w:tcW w:w="1200" w:type="dxa"/>
            <w:tcBorders>
              <w:top w:val="nil"/>
              <w:left w:val="nil"/>
              <w:bottom w:val="single" w:sz="4" w:space="0" w:color="auto"/>
              <w:right w:val="single" w:sz="4" w:space="0" w:color="auto"/>
            </w:tcBorders>
            <w:shd w:val="clear" w:color="000000" w:fill="FFFFFF"/>
            <w:noWrap/>
            <w:vAlign w:val="center"/>
            <w:hideMark/>
          </w:tcPr>
          <w:p w14:paraId="12407692"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116%</w:t>
            </w:r>
          </w:p>
        </w:tc>
        <w:tc>
          <w:tcPr>
            <w:tcW w:w="1360" w:type="dxa"/>
            <w:tcBorders>
              <w:top w:val="nil"/>
              <w:left w:val="nil"/>
              <w:bottom w:val="single" w:sz="4" w:space="0" w:color="auto"/>
              <w:right w:val="single" w:sz="4" w:space="0" w:color="auto"/>
            </w:tcBorders>
            <w:shd w:val="clear" w:color="000000" w:fill="FFFFFF"/>
            <w:noWrap/>
            <w:vAlign w:val="center"/>
            <w:hideMark/>
          </w:tcPr>
          <w:p w14:paraId="4E1181E0"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45%</w:t>
            </w:r>
          </w:p>
        </w:tc>
        <w:tc>
          <w:tcPr>
            <w:tcW w:w="1200" w:type="dxa"/>
            <w:tcBorders>
              <w:top w:val="nil"/>
              <w:left w:val="nil"/>
              <w:bottom w:val="single" w:sz="4" w:space="0" w:color="auto"/>
              <w:right w:val="single" w:sz="4" w:space="0" w:color="auto"/>
            </w:tcBorders>
            <w:shd w:val="clear" w:color="000000" w:fill="FFFFFF"/>
            <w:noWrap/>
            <w:vAlign w:val="center"/>
            <w:hideMark/>
          </w:tcPr>
          <w:p w14:paraId="10B0491E"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106%</w:t>
            </w:r>
          </w:p>
        </w:tc>
        <w:tc>
          <w:tcPr>
            <w:tcW w:w="1340" w:type="dxa"/>
            <w:tcBorders>
              <w:top w:val="nil"/>
              <w:left w:val="nil"/>
              <w:bottom w:val="single" w:sz="4" w:space="0" w:color="auto"/>
              <w:right w:val="single" w:sz="4" w:space="0" w:color="auto"/>
            </w:tcBorders>
            <w:shd w:val="clear" w:color="000000" w:fill="FFFFFF"/>
            <w:noWrap/>
            <w:vAlign w:val="center"/>
            <w:hideMark/>
          </w:tcPr>
          <w:p w14:paraId="55F1B619"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204%</w:t>
            </w:r>
          </w:p>
        </w:tc>
        <w:tc>
          <w:tcPr>
            <w:tcW w:w="1340" w:type="dxa"/>
            <w:tcBorders>
              <w:top w:val="nil"/>
              <w:left w:val="nil"/>
              <w:bottom w:val="single" w:sz="4" w:space="0" w:color="auto"/>
              <w:right w:val="single" w:sz="4" w:space="0" w:color="auto"/>
            </w:tcBorders>
            <w:shd w:val="clear" w:color="000000" w:fill="FFFFFF"/>
            <w:noWrap/>
            <w:vAlign w:val="center"/>
            <w:hideMark/>
          </w:tcPr>
          <w:p w14:paraId="34E3D1BF"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82%</w:t>
            </w:r>
          </w:p>
        </w:tc>
        <w:tc>
          <w:tcPr>
            <w:tcW w:w="1200" w:type="dxa"/>
            <w:tcBorders>
              <w:top w:val="nil"/>
              <w:left w:val="nil"/>
              <w:bottom w:val="single" w:sz="4" w:space="0" w:color="auto"/>
              <w:right w:val="single" w:sz="4" w:space="0" w:color="auto"/>
            </w:tcBorders>
            <w:shd w:val="clear" w:color="000000" w:fill="FFFFFF"/>
            <w:noWrap/>
            <w:vAlign w:val="center"/>
            <w:hideMark/>
          </w:tcPr>
          <w:p w14:paraId="22F25F1C"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129%</w:t>
            </w:r>
          </w:p>
        </w:tc>
      </w:tr>
      <w:tr w:rsidR="000A6207" w:rsidRPr="00462DB6" w14:paraId="657A3F1D"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36C456CD"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26</w:t>
            </w:r>
          </w:p>
        </w:tc>
        <w:tc>
          <w:tcPr>
            <w:tcW w:w="1740" w:type="dxa"/>
            <w:tcBorders>
              <w:top w:val="nil"/>
              <w:left w:val="nil"/>
              <w:bottom w:val="single" w:sz="4" w:space="0" w:color="auto"/>
              <w:right w:val="single" w:sz="4" w:space="0" w:color="auto"/>
            </w:tcBorders>
            <w:shd w:val="clear" w:color="000000" w:fill="FFFFFF"/>
            <w:noWrap/>
            <w:vAlign w:val="center"/>
            <w:hideMark/>
          </w:tcPr>
          <w:p w14:paraId="2542C779"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73%</w:t>
            </w:r>
          </w:p>
        </w:tc>
        <w:tc>
          <w:tcPr>
            <w:tcW w:w="1200" w:type="dxa"/>
            <w:tcBorders>
              <w:top w:val="nil"/>
              <w:left w:val="nil"/>
              <w:bottom w:val="single" w:sz="4" w:space="0" w:color="auto"/>
              <w:right w:val="single" w:sz="4" w:space="0" w:color="auto"/>
            </w:tcBorders>
            <w:shd w:val="clear" w:color="000000" w:fill="FFFFFF"/>
            <w:noWrap/>
            <w:vAlign w:val="center"/>
            <w:hideMark/>
          </w:tcPr>
          <w:p w14:paraId="0DEB2E00"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104%</w:t>
            </w:r>
          </w:p>
        </w:tc>
        <w:tc>
          <w:tcPr>
            <w:tcW w:w="1360" w:type="dxa"/>
            <w:tcBorders>
              <w:top w:val="nil"/>
              <w:left w:val="nil"/>
              <w:bottom w:val="single" w:sz="4" w:space="0" w:color="auto"/>
              <w:right w:val="single" w:sz="4" w:space="0" w:color="auto"/>
            </w:tcBorders>
            <w:shd w:val="clear" w:color="000000" w:fill="FFFFFF"/>
            <w:noWrap/>
            <w:vAlign w:val="center"/>
            <w:hideMark/>
          </w:tcPr>
          <w:p w14:paraId="12505C97"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44%</w:t>
            </w:r>
          </w:p>
        </w:tc>
        <w:tc>
          <w:tcPr>
            <w:tcW w:w="1200" w:type="dxa"/>
            <w:tcBorders>
              <w:top w:val="nil"/>
              <w:left w:val="nil"/>
              <w:bottom w:val="single" w:sz="4" w:space="0" w:color="auto"/>
              <w:right w:val="single" w:sz="4" w:space="0" w:color="auto"/>
            </w:tcBorders>
            <w:shd w:val="clear" w:color="000000" w:fill="FFFFFF"/>
            <w:noWrap/>
            <w:vAlign w:val="center"/>
            <w:hideMark/>
          </w:tcPr>
          <w:p w14:paraId="2FFCD53D"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92%</w:t>
            </w:r>
          </w:p>
        </w:tc>
        <w:tc>
          <w:tcPr>
            <w:tcW w:w="1340" w:type="dxa"/>
            <w:tcBorders>
              <w:top w:val="nil"/>
              <w:left w:val="nil"/>
              <w:bottom w:val="single" w:sz="4" w:space="0" w:color="auto"/>
              <w:right w:val="single" w:sz="4" w:space="0" w:color="auto"/>
            </w:tcBorders>
            <w:shd w:val="clear" w:color="000000" w:fill="FFFFFF"/>
            <w:noWrap/>
            <w:vAlign w:val="center"/>
            <w:hideMark/>
          </w:tcPr>
          <w:p w14:paraId="118D4A79"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221%</w:t>
            </w:r>
          </w:p>
        </w:tc>
        <w:tc>
          <w:tcPr>
            <w:tcW w:w="1340" w:type="dxa"/>
            <w:tcBorders>
              <w:top w:val="nil"/>
              <w:left w:val="nil"/>
              <w:bottom w:val="single" w:sz="4" w:space="0" w:color="auto"/>
              <w:right w:val="single" w:sz="4" w:space="0" w:color="auto"/>
            </w:tcBorders>
            <w:shd w:val="clear" w:color="000000" w:fill="FFFFFF"/>
            <w:noWrap/>
            <w:vAlign w:val="center"/>
            <w:hideMark/>
          </w:tcPr>
          <w:p w14:paraId="746EB81B"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94%</w:t>
            </w:r>
          </w:p>
        </w:tc>
        <w:tc>
          <w:tcPr>
            <w:tcW w:w="1200" w:type="dxa"/>
            <w:tcBorders>
              <w:top w:val="nil"/>
              <w:left w:val="nil"/>
              <w:bottom w:val="single" w:sz="4" w:space="0" w:color="auto"/>
              <w:right w:val="single" w:sz="4" w:space="0" w:color="auto"/>
            </w:tcBorders>
            <w:shd w:val="clear" w:color="000000" w:fill="FFFFFF"/>
            <w:noWrap/>
            <w:vAlign w:val="center"/>
            <w:hideMark/>
          </w:tcPr>
          <w:p w14:paraId="5699CDD5"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84%</w:t>
            </w:r>
          </w:p>
        </w:tc>
      </w:tr>
      <w:tr w:rsidR="000A6207" w:rsidRPr="00462DB6" w14:paraId="3ABBF59E"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1DD43A77"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27</w:t>
            </w:r>
          </w:p>
        </w:tc>
        <w:tc>
          <w:tcPr>
            <w:tcW w:w="1740" w:type="dxa"/>
            <w:tcBorders>
              <w:top w:val="nil"/>
              <w:left w:val="nil"/>
              <w:bottom w:val="single" w:sz="4" w:space="0" w:color="auto"/>
              <w:right w:val="single" w:sz="4" w:space="0" w:color="auto"/>
            </w:tcBorders>
            <w:shd w:val="clear" w:color="000000" w:fill="FFFFFF"/>
            <w:noWrap/>
            <w:vAlign w:val="center"/>
            <w:hideMark/>
          </w:tcPr>
          <w:p w14:paraId="71D3B587"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99%</w:t>
            </w:r>
          </w:p>
        </w:tc>
        <w:tc>
          <w:tcPr>
            <w:tcW w:w="1200" w:type="dxa"/>
            <w:tcBorders>
              <w:top w:val="nil"/>
              <w:left w:val="nil"/>
              <w:bottom w:val="single" w:sz="4" w:space="0" w:color="auto"/>
              <w:right w:val="single" w:sz="4" w:space="0" w:color="auto"/>
            </w:tcBorders>
            <w:shd w:val="clear" w:color="000000" w:fill="FFFFFF"/>
            <w:noWrap/>
            <w:vAlign w:val="center"/>
            <w:hideMark/>
          </w:tcPr>
          <w:p w14:paraId="61E7F520"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76%</w:t>
            </w:r>
          </w:p>
        </w:tc>
        <w:tc>
          <w:tcPr>
            <w:tcW w:w="1360" w:type="dxa"/>
            <w:tcBorders>
              <w:top w:val="nil"/>
              <w:left w:val="nil"/>
              <w:bottom w:val="single" w:sz="4" w:space="0" w:color="auto"/>
              <w:right w:val="single" w:sz="4" w:space="0" w:color="auto"/>
            </w:tcBorders>
            <w:shd w:val="clear" w:color="000000" w:fill="FFFFFF"/>
            <w:noWrap/>
            <w:vAlign w:val="center"/>
            <w:hideMark/>
          </w:tcPr>
          <w:p w14:paraId="1AB3BAD9"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40%</w:t>
            </w:r>
          </w:p>
        </w:tc>
        <w:tc>
          <w:tcPr>
            <w:tcW w:w="1200" w:type="dxa"/>
            <w:tcBorders>
              <w:top w:val="nil"/>
              <w:left w:val="nil"/>
              <w:bottom w:val="single" w:sz="4" w:space="0" w:color="auto"/>
              <w:right w:val="single" w:sz="4" w:space="0" w:color="auto"/>
            </w:tcBorders>
            <w:shd w:val="clear" w:color="000000" w:fill="FFFFFF"/>
            <w:noWrap/>
            <w:vAlign w:val="center"/>
            <w:hideMark/>
          </w:tcPr>
          <w:p w14:paraId="7C13D1B9"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109%</w:t>
            </w:r>
          </w:p>
        </w:tc>
        <w:tc>
          <w:tcPr>
            <w:tcW w:w="1340" w:type="dxa"/>
            <w:tcBorders>
              <w:top w:val="nil"/>
              <w:left w:val="nil"/>
              <w:bottom w:val="single" w:sz="4" w:space="0" w:color="auto"/>
              <w:right w:val="single" w:sz="4" w:space="0" w:color="auto"/>
            </w:tcBorders>
            <w:shd w:val="clear" w:color="000000" w:fill="FFFFFF"/>
            <w:noWrap/>
            <w:vAlign w:val="center"/>
            <w:hideMark/>
          </w:tcPr>
          <w:p w14:paraId="1F619D92"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233%</w:t>
            </w:r>
          </w:p>
        </w:tc>
        <w:tc>
          <w:tcPr>
            <w:tcW w:w="1340" w:type="dxa"/>
            <w:tcBorders>
              <w:top w:val="nil"/>
              <w:left w:val="nil"/>
              <w:bottom w:val="single" w:sz="4" w:space="0" w:color="auto"/>
              <w:right w:val="single" w:sz="4" w:space="0" w:color="auto"/>
            </w:tcBorders>
            <w:shd w:val="clear" w:color="000000" w:fill="FFFFFF"/>
            <w:noWrap/>
            <w:vAlign w:val="center"/>
            <w:hideMark/>
          </w:tcPr>
          <w:p w14:paraId="7EE6AB26"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84%</w:t>
            </w:r>
          </w:p>
        </w:tc>
        <w:tc>
          <w:tcPr>
            <w:tcW w:w="1200" w:type="dxa"/>
            <w:tcBorders>
              <w:top w:val="nil"/>
              <w:left w:val="nil"/>
              <w:bottom w:val="single" w:sz="4" w:space="0" w:color="auto"/>
              <w:right w:val="single" w:sz="4" w:space="0" w:color="auto"/>
            </w:tcBorders>
            <w:shd w:val="clear" w:color="000000" w:fill="FFFFFF"/>
            <w:noWrap/>
            <w:vAlign w:val="center"/>
            <w:hideMark/>
          </w:tcPr>
          <w:p w14:paraId="7240CB16"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79%</w:t>
            </w:r>
          </w:p>
        </w:tc>
      </w:tr>
      <w:tr w:rsidR="000A6207" w:rsidRPr="00462DB6" w14:paraId="499EA92C"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57CA7428"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28</w:t>
            </w:r>
          </w:p>
        </w:tc>
        <w:tc>
          <w:tcPr>
            <w:tcW w:w="1740" w:type="dxa"/>
            <w:tcBorders>
              <w:top w:val="nil"/>
              <w:left w:val="nil"/>
              <w:bottom w:val="single" w:sz="4" w:space="0" w:color="auto"/>
              <w:right w:val="single" w:sz="4" w:space="0" w:color="auto"/>
            </w:tcBorders>
            <w:shd w:val="clear" w:color="000000" w:fill="FFFFFF"/>
            <w:noWrap/>
            <w:vAlign w:val="center"/>
            <w:hideMark/>
          </w:tcPr>
          <w:p w14:paraId="0CD7007F"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102%</w:t>
            </w:r>
          </w:p>
        </w:tc>
        <w:tc>
          <w:tcPr>
            <w:tcW w:w="1200" w:type="dxa"/>
            <w:tcBorders>
              <w:top w:val="nil"/>
              <w:left w:val="nil"/>
              <w:bottom w:val="single" w:sz="4" w:space="0" w:color="auto"/>
              <w:right w:val="single" w:sz="4" w:space="0" w:color="auto"/>
            </w:tcBorders>
            <w:shd w:val="clear" w:color="000000" w:fill="FFFFFF"/>
            <w:noWrap/>
            <w:vAlign w:val="center"/>
            <w:hideMark/>
          </w:tcPr>
          <w:p w14:paraId="2F3AB312"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70%</w:t>
            </w:r>
          </w:p>
        </w:tc>
        <w:tc>
          <w:tcPr>
            <w:tcW w:w="1360" w:type="dxa"/>
            <w:tcBorders>
              <w:top w:val="nil"/>
              <w:left w:val="nil"/>
              <w:bottom w:val="single" w:sz="4" w:space="0" w:color="auto"/>
              <w:right w:val="single" w:sz="4" w:space="0" w:color="auto"/>
            </w:tcBorders>
            <w:shd w:val="clear" w:color="000000" w:fill="FFFFFF"/>
            <w:noWrap/>
            <w:vAlign w:val="center"/>
            <w:hideMark/>
          </w:tcPr>
          <w:p w14:paraId="79F49672"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51%</w:t>
            </w:r>
          </w:p>
        </w:tc>
        <w:tc>
          <w:tcPr>
            <w:tcW w:w="1200" w:type="dxa"/>
            <w:tcBorders>
              <w:top w:val="nil"/>
              <w:left w:val="nil"/>
              <w:bottom w:val="single" w:sz="4" w:space="0" w:color="auto"/>
              <w:right w:val="single" w:sz="4" w:space="0" w:color="auto"/>
            </w:tcBorders>
            <w:shd w:val="clear" w:color="000000" w:fill="FFFFFF"/>
            <w:noWrap/>
            <w:vAlign w:val="center"/>
            <w:hideMark/>
          </w:tcPr>
          <w:p w14:paraId="373C9C9C"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97%</w:t>
            </w:r>
          </w:p>
        </w:tc>
        <w:tc>
          <w:tcPr>
            <w:tcW w:w="1340" w:type="dxa"/>
            <w:tcBorders>
              <w:top w:val="nil"/>
              <w:left w:val="nil"/>
              <w:bottom w:val="single" w:sz="4" w:space="0" w:color="auto"/>
              <w:right w:val="single" w:sz="4" w:space="0" w:color="auto"/>
            </w:tcBorders>
            <w:shd w:val="clear" w:color="000000" w:fill="FFFFFF"/>
            <w:noWrap/>
            <w:vAlign w:val="center"/>
            <w:hideMark/>
          </w:tcPr>
          <w:p w14:paraId="2B50D6A1"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243%</w:t>
            </w:r>
          </w:p>
        </w:tc>
        <w:tc>
          <w:tcPr>
            <w:tcW w:w="1340" w:type="dxa"/>
            <w:tcBorders>
              <w:top w:val="nil"/>
              <w:left w:val="nil"/>
              <w:bottom w:val="single" w:sz="4" w:space="0" w:color="auto"/>
              <w:right w:val="single" w:sz="4" w:space="0" w:color="auto"/>
            </w:tcBorders>
            <w:shd w:val="clear" w:color="000000" w:fill="FFFFFF"/>
            <w:noWrap/>
            <w:vAlign w:val="center"/>
            <w:hideMark/>
          </w:tcPr>
          <w:p w14:paraId="57469CAD"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95%</w:t>
            </w:r>
          </w:p>
        </w:tc>
        <w:tc>
          <w:tcPr>
            <w:tcW w:w="1200" w:type="dxa"/>
            <w:tcBorders>
              <w:top w:val="nil"/>
              <w:left w:val="nil"/>
              <w:bottom w:val="single" w:sz="4" w:space="0" w:color="auto"/>
              <w:right w:val="single" w:sz="4" w:space="0" w:color="auto"/>
            </w:tcBorders>
            <w:shd w:val="clear" w:color="000000" w:fill="FFFFFF"/>
            <w:noWrap/>
            <w:vAlign w:val="center"/>
            <w:hideMark/>
          </w:tcPr>
          <w:p w14:paraId="4AF58FE9"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84%</w:t>
            </w:r>
          </w:p>
        </w:tc>
      </w:tr>
      <w:tr w:rsidR="000A6207" w:rsidRPr="00462DB6" w14:paraId="3B324DB3"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66CCDA6B"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29</w:t>
            </w:r>
          </w:p>
        </w:tc>
        <w:tc>
          <w:tcPr>
            <w:tcW w:w="1740" w:type="dxa"/>
            <w:tcBorders>
              <w:top w:val="nil"/>
              <w:left w:val="nil"/>
              <w:bottom w:val="single" w:sz="4" w:space="0" w:color="auto"/>
              <w:right w:val="single" w:sz="4" w:space="0" w:color="auto"/>
            </w:tcBorders>
            <w:shd w:val="clear" w:color="000000" w:fill="FFFFFF"/>
            <w:noWrap/>
            <w:vAlign w:val="center"/>
            <w:hideMark/>
          </w:tcPr>
          <w:p w14:paraId="5BE4281D"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109%</w:t>
            </w:r>
          </w:p>
        </w:tc>
        <w:tc>
          <w:tcPr>
            <w:tcW w:w="1200" w:type="dxa"/>
            <w:tcBorders>
              <w:top w:val="nil"/>
              <w:left w:val="nil"/>
              <w:bottom w:val="single" w:sz="4" w:space="0" w:color="auto"/>
              <w:right w:val="single" w:sz="4" w:space="0" w:color="auto"/>
            </w:tcBorders>
            <w:shd w:val="clear" w:color="000000" w:fill="FFFFFF"/>
            <w:noWrap/>
            <w:vAlign w:val="center"/>
            <w:hideMark/>
          </w:tcPr>
          <w:p w14:paraId="5AE3DA4B"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97%</w:t>
            </w:r>
          </w:p>
        </w:tc>
        <w:tc>
          <w:tcPr>
            <w:tcW w:w="1360" w:type="dxa"/>
            <w:tcBorders>
              <w:top w:val="nil"/>
              <w:left w:val="nil"/>
              <w:bottom w:val="single" w:sz="4" w:space="0" w:color="auto"/>
              <w:right w:val="single" w:sz="4" w:space="0" w:color="auto"/>
            </w:tcBorders>
            <w:shd w:val="clear" w:color="000000" w:fill="FFFFFF"/>
            <w:noWrap/>
            <w:vAlign w:val="center"/>
            <w:hideMark/>
          </w:tcPr>
          <w:p w14:paraId="723A4F74"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41%</w:t>
            </w:r>
          </w:p>
        </w:tc>
        <w:tc>
          <w:tcPr>
            <w:tcW w:w="1200" w:type="dxa"/>
            <w:tcBorders>
              <w:top w:val="nil"/>
              <w:left w:val="nil"/>
              <w:bottom w:val="single" w:sz="4" w:space="0" w:color="auto"/>
              <w:right w:val="single" w:sz="4" w:space="0" w:color="auto"/>
            </w:tcBorders>
            <w:shd w:val="clear" w:color="000000" w:fill="FFFFFF"/>
            <w:noWrap/>
            <w:vAlign w:val="center"/>
            <w:hideMark/>
          </w:tcPr>
          <w:p w14:paraId="4206F7AC"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121%</w:t>
            </w:r>
          </w:p>
        </w:tc>
        <w:tc>
          <w:tcPr>
            <w:tcW w:w="1340" w:type="dxa"/>
            <w:tcBorders>
              <w:top w:val="nil"/>
              <w:left w:val="nil"/>
              <w:bottom w:val="single" w:sz="4" w:space="0" w:color="auto"/>
              <w:right w:val="single" w:sz="4" w:space="0" w:color="auto"/>
            </w:tcBorders>
            <w:shd w:val="clear" w:color="000000" w:fill="FFFFFF"/>
            <w:noWrap/>
            <w:vAlign w:val="center"/>
            <w:hideMark/>
          </w:tcPr>
          <w:p w14:paraId="205855EE"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236%</w:t>
            </w:r>
          </w:p>
        </w:tc>
        <w:tc>
          <w:tcPr>
            <w:tcW w:w="1340" w:type="dxa"/>
            <w:tcBorders>
              <w:top w:val="nil"/>
              <w:left w:val="nil"/>
              <w:bottom w:val="single" w:sz="4" w:space="0" w:color="auto"/>
              <w:right w:val="single" w:sz="4" w:space="0" w:color="auto"/>
            </w:tcBorders>
            <w:shd w:val="clear" w:color="000000" w:fill="FFFFFF"/>
            <w:noWrap/>
            <w:vAlign w:val="center"/>
            <w:hideMark/>
          </w:tcPr>
          <w:p w14:paraId="77E55A22"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92%</w:t>
            </w:r>
          </w:p>
        </w:tc>
        <w:tc>
          <w:tcPr>
            <w:tcW w:w="1200" w:type="dxa"/>
            <w:tcBorders>
              <w:top w:val="nil"/>
              <w:left w:val="nil"/>
              <w:bottom w:val="single" w:sz="4" w:space="0" w:color="auto"/>
              <w:right w:val="single" w:sz="4" w:space="0" w:color="auto"/>
            </w:tcBorders>
            <w:shd w:val="clear" w:color="000000" w:fill="FFFFFF"/>
            <w:noWrap/>
            <w:vAlign w:val="center"/>
            <w:hideMark/>
          </w:tcPr>
          <w:p w14:paraId="34BFBFEA"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111%</w:t>
            </w:r>
          </w:p>
        </w:tc>
      </w:tr>
      <w:tr w:rsidR="000A6207" w:rsidRPr="00462DB6" w14:paraId="384296AF"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13DB8FC4"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30</w:t>
            </w:r>
          </w:p>
        </w:tc>
        <w:tc>
          <w:tcPr>
            <w:tcW w:w="1740" w:type="dxa"/>
            <w:tcBorders>
              <w:top w:val="nil"/>
              <w:left w:val="nil"/>
              <w:bottom w:val="single" w:sz="4" w:space="0" w:color="auto"/>
              <w:right w:val="single" w:sz="4" w:space="0" w:color="auto"/>
            </w:tcBorders>
            <w:shd w:val="clear" w:color="000000" w:fill="FFFFFF"/>
            <w:noWrap/>
            <w:vAlign w:val="center"/>
            <w:hideMark/>
          </w:tcPr>
          <w:p w14:paraId="69270D78"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108%</w:t>
            </w:r>
          </w:p>
        </w:tc>
        <w:tc>
          <w:tcPr>
            <w:tcW w:w="1200" w:type="dxa"/>
            <w:tcBorders>
              <w:top w:val="nil"/>
              <w:left w:val="nil"/>
              <w:bottom w:val="single" w:sz="4" w:space="0" w:color="auto"/>
              <w:right w:val="single" w:sz="4" w:space="0" w:color="auto"/>
            </w:tcBorders>
            <w:shd w:val="clear" w:color="000000" w:fill="FFFFFF"/>
            <w:noWrap/>
            <w:vAlign w:val="center"/>
            <w:hideMark/>
          </w:tcPr>
          <w:p w14:paraId="1A3CA86F"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95%</w:t>
            </w:r>
          </w:p>
        </w:tc>
        <w:tc>
          <w:tcPr>
            <w:tcW w:w="1360" w:type="dxa"/>
            <w:tcBorders>
              <w:top w:val="nil"/>
              <w:left w:val="nil"/>
              <w:bottom w:val="single" w:sz="4" w:space="0" w:color="auto"/>
              <w:right w:val="single" w:sz="4" w:space="0" w:color="auto"/>
            </w:tcBorders>
            <w:shd w:val="clear" w:color="000000" w:fill="FFFFFF"/>
            <w:noWrap/>
            <w:vAlign w:val="center"/>
            <w:hideMark/>
          </w:tcPr>
          <w:p w14:paraId="24167D1F"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50%</w:t>
            </w:r>
          </w:p>
        </w:tc>
        <w:tc>
          <w:tcPr>
            <w:tcW w:w="1200" w:type="dxa"/>
            <w:tcBorders>
              <w:top w:val="nil"/>
              <w:left w:val="nil"/>
              <w:bottom w:val="single" w:sz="4" w:space="0" w:color="auto"/>
              <w:right w:val="single" w:sz="4" w:space="0" w:color="auto"/>
            </w:tcBorders>
            <w:shd w:val="clear" w:color="000000" w:fill="FFFFFF"/>
            <w:noWrap/>
            <w:vAlign w:val="center"/>
            <w:hideMark/>
          </w:tcPr>
          <w:p w14:paraId="0DCADD17"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130%</w:t>
            </w:r>
          </w:p>
        </w:tc>
        <w:tc>
          <w:tcPr>
            <w:tcW w:w="1340" w:type="dxa"/>
            <w:tcBorders>
              <w:top w:val="nil"/>
              <w:left w:val="nil"/>
              <w:bottom w:val="single" w:sz="4" w:space="0" w:color="auto"/>
              <w:right w:val="single" w:sz="4" w:space="0" w:color="auto"/>
            </w:tcBorders>
            <w:shd w:val="clear" w:color="000000" w:fill="FFFFFF"/>
            <w:noWrap/>
            <w:vAlign w:val="center"/>
            <w:hideMark/>
          </w:tcPr>
          <w:p w14:paraId="3A907221"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201%</w:t>
            </w:r>
          </w:p>
        </w:tc>
        <w:tc>
          <w:tcPr>
            <w:tcW w:w="1340" w:type="dxa"/>
            <w:tcBorders>
              <w:top w:val="nil"/>
              <w:left w:val="nil"/>
              <w:bottom w:val="single" w:sz="4" w:space="0" w:color="auto"/>
              <w:right w:val="single" w:sz="4" w:space="0" w:color="auto"/>
            </w:tcBorders>
            <w:shd w:val="clear" w:color="000000" w:fill="FFFFFF"/>
            <w:noWrap/>
            <w:vAlign w:val="center"/>
            <w:hideMark/>
          </w:tcPr>
          <w:p w14:paraId="52772D5C"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121%</w:t>
            </w:r>
          </w:p>
        </w:tc>
        <w:tc>
          <w:tcPr>
            <w:tcW w:w="1200" w:type="dxa"/>
            <w:tcBorders>
              <w:top w:val="nil"/>
              <w:left w:val="nil"/>
              <w:bottom w:val="single" w:sz="4" w:space="0" w:color="auto"/>
              <w:right w:val="single" w:sz="4" w:space="0" w:color="auto"/>
            </w:tcBorders>
            <w:shd w:val="clear" w:color="000000" w:fill="FFFFFF"/>
            <w:noWrap/>
            <w:vAlign w:val="center"/>
            <w:hideMark/>
          </w:tcPr>
          <w:p w14:paraId="4114064D"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103%</w:t>
            </w:r>
          </w:p>
        </w:tc>
      </w:tr>
      <w:tr w:rsidR="000A6207" w:rsidRPr="00462DB6" w14:paraId="0F4422A0"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6D9B81D3"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31</w:t>
            </w:r>
          </w:p>
        </w:tc>
        <w:tc>
          <w:tcPr>
            <w:tcW w:w="1740" w:type="dxa"/>
            <w:tcBorders>
              <w:top w:val="nil"/>
              <w:left w:val="nil"/>
              <w:bottom w:val="single" w:sz="4" w:space="0" w:color="auto"/>
              <w:right w:val="single" w:sz="4" w:space="0" w:color="auto"/>
            </w:tcBorders>
            <w:shd w:val="clear" w:color="000000" w:fill="FFFFFF"/>
            <w:noWrap/>
            <w:vAlign w:val="center"/>
            <w:hideMark/>
          </w:tcPr>
          <w:p w14:paraId="01D07C15"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63%</w:t>
            </w:r>
          </w:p>
        </w:tc>
        <w:tc>
          <w:tcPr>
            <w:tcW w:w="1200" w:type="dxa"/>
            <w:tcBorders>
              <w:top w:val="nil"/>
              <w:left w:val="nil"/>
              <w:bottom w:val="single" w:sz="4" w:space="0" w:color="auto"/>
              <w:right w:val="single" w:sz="4" w:space="0" w:color="auto"/>
            </w:tcBorders>
            <w:shd w:val="clear" w:color="000000" w:fill="FFFFFF"/>
            <w:noWrap/>
            <w:vAlign w:val="center"/>
            <w:hideMark/>
          </w:tcPr>
          <w:p w14:paraId="3634F1FE"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93%</w:t>
            </w:r>
          </w:p>
        </w:tc>
        <w:tc>
          <w:tcPr>
            <w:tcW w:w="1360" w:type="dxa"/>
            <w:tcBorders>
              <w:top w:val="nil"/>
              <w:left w:val="nil"/>
              <w:bottom w:val="single" w:sz="4" w:space="0" w:color="auto"/>
              <w:right w:val="single" w:sz="4" w:space="0" w:color="auto"/>
            </w:tcBorders>
            <w:shd w:val="clear" w:color="000000" w:fill="FFFFFF"/>
            <w:noWrap/>
            <w:vAlign w:val="center"/>
            <w:hideMark/>
          </w:tcPr>
          <w:p w14:paraId="2834783E"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32%</w:t>
            </w:r>
          </w:p>
        </w:tc>
        <w:tc>
          <w:tcPr>
            <w:tcW w:w="1200" w:type="dxa"/>
            <w:tcBorders>
              <w:top w:val="nil"/>
              <w:left w:val="nil"/>
              <w:bottom w:val="single" w:sz="4" w:space="0" w:color="auto"/>
              <w:right w:val="single" w:sz="4" w:space="0" w:color="auto"/>
            </w:tcBorders>
            <w:shd w:val="clear" w:color="000000" w:fill="FFFFFF"/>
            <w:noWrap/>
            <w:vAlign w:val="center"/>
            <w:hideMark/>
          </w:tcPr>
          <w:p w14:paraId="7FF59A44"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144%</w:t>
            </w:r>
          </w:p>
        </w:tc>
        <w:tc>
          <w:tcPr>
            <w:tcW w:w="1340" w:type="dxa"/>
            <w:tcBorders>
              <w:top w:val="nil"/>
              <w:left w:val="nil"/>
              <w:bottom w:val="single" w:sz="4" w:space="0" w:color="auto"/>
              <w:right w:val="single" w:sz="4" w:space="0" w:color="auto"/>
            </w:tcBorders>
            <w:shd w:val="clear" w:color="000000" w:fill="FFFFFF"/>
            <w:noWrap/>
            <w:vAlign w:val="center"/>
            <w:hideMark/>
          </w:tcPr>
          <w:p w14:paraId="0C2C284E"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290%</w:t>
            </w:r>
          </w:p>
        </w:tc>
        <w:tc>
          <w:tcPr>
            <w:tcW w:w="1340" w:type="dxa"/>
            <w:tcBorders>
              <w:top w:val="nil"/>
              <w:left w:val="nil"/>
              <w:bottom w:val="single" w:sz="4" w:space="0" w:color="auto"/>
              <w:right w:val="single" w:sz="4" w:space="0" w:color="auto"/>
            </w:tcBorders>
            <w:shd w:val="clear" w:color="000000" w:fill="FFFFFF"/>
            <w:noWrap/>
            <w:vAlign w:val="center"/>
            <w:hideMark/>
          </w:tcPr>
          <w:p w14:paraId="1512E6B8"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99%</w:t>
            </w:r>
          </w:p>
        </w:tc>
        <w:tc>
          <w:tcPr>
            <w:tcW w:w="1200" w:type="dxa"/>
            <w:tcBorders>
              <w:top w:val="nil"/>
              <w:left w:val="nil"/>
              <w:bottom w:val="single" w:sz="4" w:space="0" w:color="auto"/>
              <w:right w:val="single" w:sz="4" w:space="0" w:color="auto"/>
            </w:tcBorders>
            <w:shd w:val="clear" w:color="000000" w:fill="FFFFFF"/>
            <w:noWrap/>
            <w:vAlign w:val="center"/>
            <w:hideMark/>
          </w:tcPr>
          <w:p w14:paraId="1129E508"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85%</w:t>
            </w:r>
          </w:p>
        </w:tc>
      </w:tr>
      <w:tr w:rsidR="000A6207" w:rsidRPr="00462DB6" w14:paraId="6FBFBEE9"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43F108E0"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32</w:t>
            </w:r>
          </w:p>
        </w:tc>
        <w:tc>
          <w:tcPr>
            <w:tcW w:w="1740" w:type="dxa"/>
            <w:tcBorders>
              <w:top w:val="nil"/>
              <w:left w:val="nil"/>
              <w:bottom w:val="single" w:sz="4" w:space="0" w:color="auto"/>
              <w:right w:val="single" w:sz="4" w:space="0" w:color="auto"/>
            </w:tcBorders>
            <w:shd w:val="clear" w:color="000000" w:fill="FFFFFF"/>
            <w:noWrap/>
            <w:vAlign w:val="center"/>
            <w:hideMark/>
          </w:tcPr>
          <w:p w14:paraId="10EE4E6C"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65%</w:t>
            </w:r>
          </w:p>
        </w:tc>
        <w:tc>
          <w:tcPr>
            <w:tcW w:w="1200" w:type="dxa"/>
            <w:tcBorders>
              <w:top w:val="nil"/>
              <w:left w:val="nil"/>
              <w:bottom w:val="single" w:sz="4" w:space="0" w:color="auto"/>
              <w:right w:val="single" w:sz="4" w:space="0" w:color="auto"/>
            </w:tcBorders>
            <w:shd w:val="clear" w:color="000000" w:fill="FFFFFF"/>
            <w:noWrap/>
            <w:vAlign w:val="center"/>
            <w:hideMark/>
          </w:tcPr>
          <w:p w14:paraId="21433EEE"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86%</w:t>
            </w:r>
          </w:p>
        </w:tc>
        <w:tc>
          <w:tcPr>
            <w:tcW w:w="1360" w:type="dxa"/>
            <w:tcBorders>
              <w:top w:val="nil"/>
              <w:left w:val="nil"/>
              <w:bottom w:val="single" w:sz="4" w:space="0" w:color="auto"/>
              <w:right w:val="single" w:sz="4" w:space="0" w:color="auto"/>
            </w:tcBorders>
            <w:shd w:val="clear" w:color="000000" w:fill="FFFFFF"/>
            <w:noWrap/>
            <w:vAlign w:val="center"/>
            <w:hideMark/>
          </w:tcPr>
          <w:p w14:paraId="2BD2050E"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36%</w:t>
            </w:r>
          </w:p>
        </w:tc>
        <w:tc>
          <w:tcPr>
            <w:tcW w:w="1200" w:type="dxa"/>
            <w:tcBorders>
              <w:top w:val="nil"/>
              <w:left w:val="nil"/>
              <w:bottom w:val="single" w:sz="4" w:space="0" w:color="auto"/>
              <w:right w:val="single" w:sz="4" w:space="0" w:color="auto"/>
            </w:tcBorders>
            <w:shd w:val="clear" w:color="000000" w:fill="FFFFFF"/>
            <w:noWrap/>
            <w:vAlign w:val="center"/>
            <w:hideMark/>
          </w:tcPr>
          <w:p w14:paraId="3318C6B3"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80%</w:t>
            </w:r>
          </w:p>
        </w:tc>
        <w:tc>
          <w:tcPr>
            <w:tcW w:w="1340" w:type="dxa"/>
            <w:tcBorders>
              <w:top w:val="nil"/>
              <w:left w:val="nil"/>
              <w:bottom w:val="single" w:sz="4" w:space="0" w:color="auto"/>
              <w:right w:val="single" w:sz="4" w:space="0" w:color="auto"/>
            </w:tcBorders>
            <w:shd w:val="clear" w:color="000000" w:fill="FFFFFF"/>
            <w:noWrap/>
            <w:vAlign w:val="center"/>
            <w:hideMark/>
          </w:tcPr>
          <w:p w14:paraId="588B87FC"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259%</w:t>
            </w:r>
          </w:p>
        </w:tc>
        <w:tc>
          <w:tcPr>
            <w:tcW w:w="1340" w:type="dxa"/>
            <w:tcBorders>
              <w:top w:val="nil"/>
              <w:left w:val="nil"/>
              <w:bottom w:val="single" w:sz="4" w:space="0" w:color="auto"/>
              <w:right w:val="single" w:sz="4" w:space="0" w:color="auto"/>
            </w:tcBorders>
            <w:shd w:val="clear" w:color="000000" w:fill="FFFFFF"/>
            <w:noWrap/>
            <w:vAlign w:val="center"/>
            <w:hideMark/>
          </w:tcPr>
          <w:p w14:paraId="7BECA8E8"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104%</w:t>
            </w:r>
          </w:p>
        </w:tc>
        <w:tc>
          <w:tcPr>
            <w:tcW w:w="1200" w:type="dxa"/>
            <w:tcBorders>
              <w:top w:val="nil"/>
              <w:left w:val="nil"/>
              <w:bottom w:val="single" w:sz="4" w:space="0" w:color="auto"/>
              <w:right w:val="single" w:sz="4" w:space="0" w:color="auto"/>
            </w:tcBorders>
            <w:shd w:val="clear" w:color="000000" w:fill="FFFFFF"/>
            <w:noWrap/>
            <w:vAlign w:val="center"/>
            <w:hideMark/>
          </w:tcPr>
          <w:p w14:paraId="4118CEBB"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74%</w:t>
            </w:r>
          </w:p>
        </w:tc>
      </w:tr>
      <w:tr w:rsidR="000A6207" w:rsidRPr="00462DB6" w14:paraId="6A09EFDF"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2A0BEED3"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33</w:t>
            </w:r>
          </w:p>
        </w:tc>
        <w:tc>
          <w:tcPr>
            <w:tcW w:w="1740" w:type="dxa"/>
            <w:tcBorders>
              <w:top w:val="nil"/>
              <w:left w:val="nil"/>
              <w:bottom w:val="single" w:sz="4" w:space="0" w:color="auto"/>
              <w:right w:val="single" w:sz="4" w:space="0" w:color="auto"/>
            </w:tcBorders>
            <w:shd w:val="clear" w:color="000000" w:fill="FFFFFF"/>
            <w:noWrap/>
            <w:vAlign w:val="center"/>
            <w:hideMark/>
          </w:tcPr>
          <w:p w14:paraId="26D5E9FF"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72%</w:t>
            </w:r>
          </w:p>
        </w:tc>
        <w:tc>
          <w:tcPr>
            <w:tcW w:w="1200" w:type="dxa"/>
            <w:tcBorders>
              <w:top w:val="nil"/>
              <w:left w:val="nil"/>
              <w:bottom w:val="single" w:sz="4" w:space="0" w:color="auto"/>
              <w:right w:val="single" w:sz="4" w:space="0" w:color="auto"/>
            </w:tcBorders>
            <w:shd w:val="clear" w:color="000000" w:fill="FFFFFF"/>
            <w:noWrap/>
            <w:vAlign w:val="center"/>
            <w:hideMark/>
          </w:tcPr>
          <w:p w14:paraId="777EB134"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77%</w:t>
            </w:r>
          </w:p>
        </w:tc>
        <w:tc>
          <w:tcPr>
            <w:tcW w:w="1360" w:type="dxa"/>
            <w:tcBorders>
              <w:top w:val="nil"/>
              <w:left w:val="nil"/>
              <w:bottom w:val="single" w:sz="4" w:space="0" w:color="auto"/>
              <w:right w:val="single" w:sz="4" w:space="0" w:color="auto"/>
            </w:tcBorders>
            <w:shd w:val="clear" w:color="000000" w:fill="FFFFFF"/>
            <w:noWrap/>
            <w:vAlign w:val="center"/>
            <w:hideMark/>
          </w:tcPr>
          <w:p w14:paraId="5261025D"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47%</w:t>
            </w:r>
          </w:p>
        </w:tc>
        <w:tc>
          <w:tcPr>
            <w:tcW w:w="1200" w:type="dxa"/>
            <w:tcBorders>
              <w:top w:val="nil"/>
              <w:left w:val="nil"/>
              <w:bottom w:val="single" w:sz="4" w:space="0" w:color="auto"/>
              <w:right w:val="single" w:sz="4" w:space="0" w:color="auto"/>
            </w:tcBorders>
            <w:shd w:val="clear" w:color="000000" w:fill="FFFFFF"/>
            <w:noWrap/>
            <w:vAlign w:val="center"/>
            <w:hideMark/>
          </w:tcPr>
          <w:p w14:paraId="6EA487F8"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153%</w:t>
            </w:r>
          </w:p>
        </w:tc>
        <w:tc>
          <w:tcPr>
            <w:tcW w:w="1340" w:type="dxa"/>
            <w:tcBorders>
              <w:top w:val="nil"/>
              <w:left w:val="nil"/>
              <w:bottom w:val="single" w:sz="4" w:space="0" w:color="auto"/>
              <w:right w:val="single" w:sz="4" w:space="0" w:color="auto"/>
            </w:tcBorders>
            <w:shd w:val="clear" w:color="000000" w:fill="FFFFFF"/>
            <w:noWrap/>
            <w:vAlign w:val="center"/>
            <w:hideMark/>
          </w:tcPr>
          <w:p w14:paraId="39011B4C"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252%</w:t>
            </w:r>
          </w:p>
        </w:tc>
        <w:tc>
          <w:tcPr>
            <w:tcW w:w="1340" w:type="dxa"/>
            <w:tcBorders>
              <w:top w:val="nil"/>
              <w:left w:val="nil"/>
              <w:bottom w:val="single" w:sz="4" w:space="0" w:color="auto"/>
              <w:right w:val="single" w:sz="4" w:space="0" w:color="auto"/>
            </w:tcBorders>
            <w:shd w:val="clear" w:color="000000" w:fill="FFFFFF"/>
            <w:noWrap/>
            <w:vAlign w:val="center"/>
            <w:hideMark/>
          </w:tcPr>
          <w:p w14:paraId="7A810327"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121%</w:t>
            </w:r>
          </w:p>
        </w:tc>
        <w:tc>
          <w:tcPr>
            <w:tcW w:w="1200" w:type="dxa"/>
            <w:tcBorders>
              <w:top w:val="nil"/>
              <w:left w:val="nil"/>
              <w:bottom w:val="single" w:sz="4" w:space="0" w:color="auto"/>
              <w:right w:val="single" w:sz="4" w:space="0" w:color="auto"/>
            </w:tcBorders>
            <w:shd w:val="clear" w:color="000000" w:fill="FFFFFF"/>
            <w:noWrap/>
            <w:vAlign w:val="center"/>
            <w:hideMark/>
          </w:tcPr>
          <w:p w14:paraId="4262F97C"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109%</w:t>
            </w:r>
          </w:p>
        </w:tc>
      </w:tr>
      <w:tr w:rsidR="000A6207" w:rsidRPr="00462DB6" w14:paraId="7DA22E94"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1A443872"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34</w:t>
            </w:r>
          </w:p>
        </w:tc>
        <w:tc>
          <w:tcPr>
            <w:tcW w:w="1740" w:type="dxa"/>
            <w:tcBorders>
              <w:top w:val="nil"/>
              <w:left w:val="nil"/>
              <w:bottom w:val="single" w:sz="4" w:space="0" w:color="auto"/>
              <w:right w:val="single" w:sz="4" w:space="0" w:color="auto"/>
            </w:tcBorders>
            <w:shd w:val="clear" w:color="000000" w:fill="FFFFFF"/>
            <w:noWrap/>
            <w:vAlign w:val="center"/>
            <w:hideMark/>
          </w:tcPr>
          <w:p w14:paraId="46363F9C"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59%</w:t>
            </w:r>
          </w:p>
        </w:tc>
        <w:tc>
          <w:tcPr>
            <w:tcW w:w="1200" w:type="dxa"/>
            <w:tcBorders>
              <w:top w:val="nil"/>
              <w:left w:val="nil"/>
              <w:bottom w:val="single" w:sz="4" w:space="0" w:color="auto"/>
              <w:right w:val="single" w:sz="4" w:space="0" w:color="auto"/>
            </w:tcBorders>
            <w:shd w:val="clear" w:color="000000" w:fill="FFFFFF"/>
            <w:noWrap/>
            <w:vAlign w:val="center"/>
            <w:hideMark/>
          </w:tcPr>
          <w:p w14:paraId="2A33277A"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88%</w:t>
            </w:r>
          </w:p>
        </w:tc>
        <w:tc>
          <w:tcPr>
            <w:tcW w:w="1360" w:type="dxa"/>
            <w:tcBorders>
              <w:top w:val="nil"/>
              <w:left w:val="nil"/>
              <w:bottom w:val="single" w:sz="4" w:space="0" w:color="auto"/>
              <w:right w:val="single" w:sz="4" w:space="0" w:color="auto"/>
            </w:tcBorders>
            <w:shd w:val="clear" w:color="000000" w:fill="FFFFFF"/>
            <w:noWrap/>
            <w:vAlign w:val="center"/>
            <w:hideMark/>
          </w:tcPr>
          <w:p w14:paraId="077E4B11"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43%</w:t>
            </w:r>
          </w:p>
        </w:tc>
        <w:tc>
          <w:tcPr>
            <w:tcW w:w="1200" w:type="dxa"/>
            <w:tcBorders>
              <w:top w:val="nil"/>
              <w:left w:val="nil"/>
              <w:bottom w:val="single" w:sz="4" w:space="0" w:color="auto"/>
              <w:right w:val="single" w:sz="4" w:space="0" w:color="auto"/>
            </w:tcBorders>
            <w:shd w:val="clear" w:color="000000" w:fill="FFFFFF"/>
            <w:noWrap/>
            <w:vAlign w:val="center"/>
            <w:hideMark/>
          </w:tcPr>
          <w:p w14:paraId="13127331"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50%</w:t>
            </w:r>
          </w:p>
        </w:tc>
        <w:tc>
          <w:tcPr>
            <w:tcW w:w="1340" w:type="dxa"/>
            <w:tcBorders>
              <w:top w:val="nil"/>
              <w:left w:val="nil"/>
              <w:bottom w:val="single" w:sz="4" w:space="0" w:color="auto"/>
              <w:right w:val="single" w:sz="4" w:space="0" w:color="auto"/>
            </w:tcBorders>
            <w:shd w:val="clear" w:color="000000" w:fill="FFFFFF"/>
            <w:noWrap/>
            <w:vAlign w:val="center"/>
            <w:hideMark/>
          </w:tcPr>
          <w:p w14:paraId="45D9D220"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162%</w:t>
            </w:r>
          </w:p>
        </w:tc>
        <w:tc>
          <w:tcPr>
            <w:tcW w:w="1340" w:type="dxa"/>
            <w:tcBorders>
              <w:top w:val="nil"/>
              <w:left w:val="nil"/>
              <w:bottom w:val="single" w:sz="4" w:space="0" w:color="auto"/>
              <w:right w:val="single" w:sz="4" w:space="0" w:color="auto"/>
            </w:tcBorders>
            <w:shd w:val="clear" w:color="000000" w:fill="FFFFFF"/>
            <w:noWrap/>
            <w:vAlign w:val="center"/>
            <w:hideMark/>
          </w:tcPr>
          <w:p w14:paraId="505EFFB9"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53%</w:t>
            </w:r>
          </w:p>
        </w:tc>
        <w:tc>
          <w:tcPr>
            <w:tcW w:w="1200" w:type="dxa"/>
            <w:tcBorders>
              <w:top w:val="nil"/>
              <w:left w:val="nil"/>
              <w:bottom w:val="single" w:sz="4" w:space="0" w:color="auto"/>
              <w:right w:val="single" w:sz="4" w:space="0" w:color="auto"/>
            </w:tcBorders>
            <w:shd w:val="clear" w:color="000000" w:fill="FFFFFF"/>
            <w:noWrap/>
            <w:vAlign w:val="center"/>
            <w:hideMark/>
          </w:tcPr>
          <w:p w14:paraId="67853DD6"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106%</w:t>
            </w:r>
          </w:p>
        </w:tc>
      </w:tr>
      <w:tr w:rsidR="000A6207" w:rsidRPr="00462DB6" w14:paraId="279FAF52"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51E1DCED"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35</w:t>
            </w:r>
          </w:p>
        </w:tc>
        <w:tc>
          <w:tcPr>
            <w:tcW w:w="1740" w:type="dxa"/>
            <w:tcBorders>
              <w:top w:val="nil"/>
              <w:left w:val="nil"/>
              <w:bottom w:val="single" w:sz="4" w:space="0" w:color="auto"/>
              <w:right w:val="single" w:sz="4" w:space="0" w:color="auto"/>
            </w:tcBorders>
            <w:shd w:val="clear" w:color="000000" w:fill="FFFFFF"/>
            <w:noWrap/>
            <w:vAlign w:val="center"/>
            <w:hideMark/>
          </w:tcPr>
          <w:p w14:paraId="60E53EFF"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84%</w:t>
            </w:r>
          </w:p>
        </w:tc>
        <w:tc>
          <w:tcPr>
            <w:tcW w:w="1200" w:type="dxa"/>
            <w:tcBorders>
              <w:top w:val="nil"/>
              <w:left w:val="nil"/>
              <w:bottom w:val="single" w:sz="4" w:space="0" w:color="auto"/>
              <w:right w:val="single" w:sz="4" w:space="0" w:color="auto"/>
            </w:tcBorders>
            <w:shd w:val="clear" w:color="000000" w:fill="FFFFFF"/>
            <w:noWrap/>
            <w:vAlign w:val="center"/>
            <w:hideMark/>
          </w:tcPr>
          <w:p w14:paraId="55AEA0BD"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114%</w:t>
            </w:r>
          </w:p>
        </w:tc>
        <w:tc>
          <w:tcPr>
            <w:tcW w:w="1360" w:type="dxa"/>
            <w:tcBorders>
              <w:top w:val="nil"/>
              <w:left w:val="nil"/>
              <w:bottom w:val="single" w:sz="4" w:space="0" w:color="auto"/>
              <w:right w:val="single" w:sz="4" w:space="0" w:color="auto"/>
            </w:tcBorders>
            <w:shd w:val="clear" w:color="000000" w:fill="FFFFFF"/>
            <w:noWrap/>
            <w:vAlign w:val="center"/>
            <w:hideMark/>
          </w:tcPr>
          <w:p w14:paraId="27596647"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47%</w:t>
            </w:r>
          </w:p>
        </w:tc>
        <w:tc>
          <w:tcPr>
            <w:tcW w:w="1200" w:type="dxa"/>
            <w:tcBorders>
              <w:top w:val="nil"/>
              <w:left w:val="nil"/>
              <w:bottom w:val="single" w:sz="4" w:space="0" w:color="auto"/>
              <w:right w:val="single" w:sz="4" w:space="0" w:color="auto"/>
            </w:tcBorders>
            <w:shd w:val="clear" w:color="000000" w:fill="FFFFFF"/>
            <w:noWrap/>
            <w:vAlign w:val="center"/>
            <w:hideMark/>
          </w:tcPr>
          <w:p w14:paraId="2BB56FAF"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66%</w:t>
            </w:r>
          </w:p>
        </w:tc>
        <w:tc>
          <w:tcPr>
            <w:tcW w:w="1340" w:type="dxa"/>
            <w:tcBorders>
              <w:top w:val="nil"/>
              <w:left w:val="nil"/>
              <w:bottom w:val="single" w:sz="4" w:space="0" w:color="auto"/>
              <w:right w:val="single" w:sz="4" w:space="0" w:color="auto"/>
            </w:tcBorders>
            <w:shd w:val="clear" w:color="000000" w:fill="FFFFFF"/>
            <w:noWrap/>
            <w:vAlign w:val="center"/>
            <w:hideMark/>
          </w:tcPr>
          <w:p w14:paraId="6A8A67C2"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187%</w:t>
            </w:r>
          </w:p>
        </w:tc>
        <w:tc>
          <w:tcPr>
            <w:tcW w:w="1340" w:type="dxa"/>
            <w:tcBorders>
              <w:top w:val="nil"/>
              <w:left w:val="nil"/>
              <w:bottom w:val="single" w:sz="4" w:space="0" w:color="auto"/>
              <w:right w:val="single" w:sz="4" w:space="0" w:color="auto"/>
            </w:tcBorders>
            <w:shd w:val="clear" w:color="000000" w:fill="FFFFFF"/>
            <w:noWrap/>
            <w:vAlign w:val="center"/>
            <w:hideMark/>
          </w:tcPr>
          <w:p w14:paraId="5ABB7FDA"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56%</w:t>
            </w:r>
          </w:p>
        </w:tc>
        <w:tc>
          <w:tcPr>
            <w:tcW w:w="1200" w:type="dxa"/>
            <w:tcBorders>
              <w:top w:val="nil"/>
              <w:left w:val="nil"/>
              <w:bottom w:val="single" w:sz="4" w:space="0" w:color="auto"/>
              <w:right w:val="single" w:sz="4" w:space="0" w:color="auto"/>
            </w:tcBorders>
            <w:shd w:val="clear" w:color="000000" w:fill="FFFFFF"/>
            <w:noWrap/>
            <w:vAlign w:val="center"/>
            <w:hideMark/>
          </w:tcPr>
          <w:p w14:paraId="6624AA21"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88%</w:t>
            </w:r>
          </w:p>
        </w:tc>
      </w:tr>
      <w:tr w:rsidR="000A6207" w:rsidRPr="00462DB6" w14:paraId="0B227DB4"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3415B5E1"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36</w:t>
            </w:r>
          </w:p>
        </w:tc>
        <w:tc>
          <w:tcPr>
            <w:tcW w:w="1740" w:type="dxa"/>
            <w:tcBorders>
              <w:top w:val="nil"/>
              <w:left w:val="nil"/>
              <w:bottom w:val="single" w:sz="4" w:space="0" w:color="auto"/>
              <w:right w:val="single" w:sz="4" w:space="0" w:color="auto"/>
            </w:tcBorders>
            <w:shd w:val="clear" w:color="000000" w:fill="FFFFFF"/>
            <w:noWrap/>
            <w:vAlign w:val="center"/>
            <w:hideMark/>
          </w:tcPr>
          <w:p w14:paraId="3FEF5174"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91%</w:t>
            </w:r>
          </w:p>
        </w:tc>
        <w:tc>
          <w:tcPr>
            <w:tcW w:w="1200" w:type="dxa"/>
            <w:tcBorders>
              <w:top w:val="nil"/>
              <w:left w:val="nil"/>
              <w:bottom w:val="single" w:sz="4" w:space="0" w:color="auto"/>
              <w:right w:val="single" w:sz="4" w:space="0" w:color="auto"/>
            </w:tcBorders>
            <w:shd w:val="clear" w:color="000000" w:fill="FFFFFF"/>
            <w:noWrap/>
            <w:vAlign w:val="center"/>
            <w:hideMark/>
          </w:tcPr>
          <w:p w14:paraId="5B14AB60"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65%</w:t>
            </w:r>
          </w:p>
        </w:tc>
        <w:tc>
          <w:tcPr>
            <w:tcW w:w="1360" w:type="dxa"/>
            <w:tcBorders>
              <w:top w:val="nil"/>
              <w:left w:val="nil"/>
              <w:bottom w:val="single" w:sz="4" w:space="0" w:color="auto"/>
              <w:right w:val="single" w:sz="4" w:space="0" w:color="auto"/>
            </w:tcBorders>
            <w:shd w:val="clear" w:color="000000" w:fill="FFFFFF"/>
            <w:noWrap/>
            <w:vAlign w:val="center"/>
            <w:hideMark/>
          </w:tcPr>
          <w:p w14:paraId="42FF72B8"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46%</w:t>
            </w:r>
          </w:p>
        </w:tc>
        <w:tc>
          <w:tcPr>
            <w:tcW w:w="1200" w:type="dxa"/>
            <w:tcBorders>
              <w:top w:val="nil"/>
              <w:left w:val="nil"/>
              <w:bottom w:val="single" w:sz="4" w:space="0" w:color="auto"/>
              <w:right w:val="single" w:sz="4" w:space="0" w:color="auto"/>
            </w:tcBorders>
            <w:shd w:val="clear" w:color="000000" w:fill="FFFFFF"/>
            <w:noWrap/>
            <w:vAlign w:val="center"/>
            <w:hideMark/>
          </w:tcPr>
          <w:p w14:paraId="5CE0C573"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190%</w:t>
            </w:r>
          </w:p>
        </w:tc>
        <w:tc>
          <w:tcPr>
            <w:tcW w:w="1340" w:type="dxa"/>
            <w:tcBorders>
              <w:top w:val="nil"/>
              <w:left w:val="nil"/>
              <w:bottom w:val="single" w:sz="4" w:space="0" w:color="auto"/>
              <w:right w:val="single" w:sz="4" w:space="0" w:color="auto"/>
            </w:tcBorders>
            <w:shd w:val="clear" w:color="000000" w:fill="FFFFFF"/>
            <w:noWrap/>
            <w:vAlign w:val="center"/>
            <w:hideMark/>
          </w:tcPr>
          <w:p w14:paraId="3603A6FE"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165%</w:t>
            </w:r>
          </w:p>
        </w:tc>
        <w:tc>
          <w:tcPr>
            <w:tcW w:w="1340" w:type="dxa"/>
            <w:tcBorders>
              <w:top w:val="nil"/>
              <w:left w:val="nil"/>
              <w:bottom w:val="single" w:sz="4" w:space="0" w:color="auto"/>
              <w:right w:val="single" w:sz="4" w:space="0" w:color="auto"/>
            </w:tcBorders>
            <w:shd w:val="clear" w:color="000000" w:fill="FFFFFF"/>
            <w:noWrap/>
            <w:vAlign w:val="center"/>
            <w:hideMark/>
          </w:tcPr>
          <w:p w14:paraId="452A2C6C"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89%</w:t>
            </w:r>
          </w:p>
        </w:tc>
        <w:tc>
          <w:tcPr>
            <w:tcW w:w="1200" w:type="dxa"/>
            <w:tcBorders>
              <w:top w:val="nil"/>
              <w:left w:val="nil"/>
              <w:bottom w:val="single" w:sz="4" w:space="0" w:color="auto"/>
              <w:right w:val="single" w:sz="4" w:space="0" w:color="auto"/>
            </w:tcBorders>
            <w:shd w:val="clear" w:color="000000" w:fill="FFFFFF"/>
            <w:noWrap/>
            <w:vAlign w:val="center"/>
            <w:hideMark/>
          </w:tcPr>
          <w:p w14:paraId="7DF71661"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91%</w:t>
            </w:r>
          </w:p>
        </w:tc>
      </w:tr>
      <w:tr w:rsidR="000A6207" w:rsidRPr="00462DB6" w14:paraId="37C6539D"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453D1C9C"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37</w:t>
            </w:r>
          </w:p>
        </w:tc>
        <w:tc>
          <w:tcPr>
            <w:tcW w:w="1740" w:type="dxa"/>
            <w:tcBorders>
              <w:top w:val="nil"/>
              <w:left w:val="nil"/>
              <w:bottom w:val="single" w:sz="4" w:space="0" w:color="auto"/>
              <w:right w:val="single" w:sz="4" w:space="0" w:color="auto"/>
            </w:tcBorders>
            <w:shd w:val="clear" w:color="000000" w:fill="FFFFFF"/>
            <w:noWrap/>
            <w:vAlign w:val="center"/>
            <w:hideMark/>
          </w:tcPr>
          <w:p w14:paraId="547F6BAE"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92%</w:t>
            </w:r>
          </w:p>
        </w:tc>
        <w:tc>
          <w:tcPr>
            <w:tcW w:w="1200" w:type="dxa"/>
            <w:tcBorders>
              <w:top w:val="nil"/>
              <w:left w:val="nil"/>
              <w:bottom w:val="single" w:sz="4" w:space="0" w:color="auto"/>
              <w:right w:val="single" w:sz="4" w:space="0" w:color="auto"/>
            </w:tcBorders>
            <w:shd w:val="clear" w:color="000000" w:fill="FFFFFF"/>
            <w:noWrap/>
            <w:vAlign w:val="center"/>
            <w:hideMark/>
          </w:tcPr>
          <w:p w14:paraId="3752D857"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76%</w:t>
            </w:r>
          </w:p>
        </w:tc>
        <w:tc>
          <w:tcPr>
            <w:tcW w:w="1360" w:type="dxa"/>
            <w:tcBorders>
              <w:top w:val="nil"/>
              <w:left w:val="nil"/>
              <w:bottom w:val="single" w:sz="4" w:space="0" w:color="auto"/>
              <w:right w:val="single" w:sz="4" w:space="0" w:color="auto"/>
            </w:tcBorders>
            <w:shd w:val="clear" w:color="000000" w:fill="FFFFFF"/>
            <w:noWrap/>
            <w:vAlign w:val="center"/>
            <w:hideMark/>
          </w:tcPr>
          <w:p w14:paraId="00424B30"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47%</w:t>
            </w:r>
          </w:p>
        </w:tc>
        <w:tc>
          <w:tcPr>
            <w:tcW w:w="1200" w:type="dxa"/>
            <w:tcBorders>
              <w:top w:val="nil"/>
              <w:left w:val="nil"/>
              <w:bottom w:val="single" w:sz="4" w:space="0" w:color="auto"/>
              <w:right w:val="single" w:sz="4" w:space="0" w:color="auto"/>
            </w:tcBorders>
            <w:shd w:val="clear" w:color="000000" w:fill="FFFFFF"/>
            <w:noWrap/>
            <w:vAlign w:val="center"/>
            <w:hideMark/>
          </w:tcPr>
          <w:p w14:paraId="0A4B3227"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90%</w:t>
            </w:r>
          </w:p>
        </w:tc>
        <w:tc>
          <w:tcPr>
            <w:tcW w:w="1340" w:type="dxa"/>
            <w:tcBorders>
              <w:top w:val="nil"/>
              <w:left w:val="nil"/>
              <w:bottom w:val="single" w:sz="4" w:space="0" w:color="auto"/>
              <w:right w:val="single" w:sz="4" w:space="0" w:color="auto"/>
            </w:tcBorders>
            <w:shd w:val="clear" w:color="000000" w:fill="FFFFFF"/>
            <w:noWrap/>
            <w:vAlign w:val="center"/>
            <w:hideMark/>
          </w:tcPr>
          <w:p w14:paraId="01CFC11D"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104%</w:t>
            </w:r>
          </w:p>
        </w:tc>
        <w:tc>
          <w:tcPr>
            <w:tcW w:w="1340" w:type="dxa"/>
            <w:tcBorders>
              <w:top w:val="nil"/>
              <w:left w:val="nil"/>
              <w:bottom w:val="single" w:sz="4" w:space="0" w:color="auto"/>
              <w:right w:val="single" w:sz="4" w:space="0" w:color="auto"/>
            </w:tcBorders>
            <w:shd w:val="clear" w:color="000000" w:fill="FFFFFF"/>
            <w:noWrap/>
            <w:vAlign w:val="center"/>
            <w:hideMark/>
          </w:tcPr>
          <w:p w14:paraId="1A302735"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97%</w:t>
            </w:r>
          </w:p>
        </w:tc>
        <w:tc>
          <w:tcPr>
            <w:tcW w:w="1200" w:type="dxa"/>
            <w:tcBorders>
              <w:top w:val="nil"/>
              <w:left w:val="nil"/>
              <w:bottom w:val="single" w:sz="4" w:space="0" w:color="auto"/>
              <w:right w:val="single" w:sz="4" w:space="0" w:color="auto"/>
            </w:tcBorders>
            <w:shd w:val="clear" w:color="000000" w:fill="FFFFFF"/>
            <w:noWrap/>
            <w:vAlign w:val="center"/>
            <w:hideMark/>
          </w:tcPr>
          <w:p w14:paraId="445CD0E2"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124%</w:t>
            </w:r>
          </w:p>
        </w:tc>
      </w:tr>
      <w:tr w:rsidR="000A6207" w:rsidRPr="00462DB6" w14:paraId="5938B0C0"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4E826E19"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38</w:t>
            </w:r>
          </w:p>
        </w:tc>
        <w:tc>
          <w:tcPr>
            <w:tcW w:w="1740" w:type="dxa"/>
            <w:tcBorders>
              <w:top w:val="nil"/>
              <w:left w:val="nil"/>
              <w:bottom w:val="single" w:sz="4" w:space="0" w:color="auto"/>
              <w:right w:val="single" w:sz="4" w:space="0" w:color="auto"/>
            </w:tcBorders>
            <w:shd w:val="clear" w:color="000000" w:fill="FFFFFF"/>
            <w:noWrap/>
            <w:vAlign w:val="center"/>
            <w:hideMark/>
          </w:tcPr>
          <w:p w14:paraId="7CC69A88"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93%</w:t>
            </w:r>
          </w:p>
        </w:tc>
        <w:tc>
          <w:tcPr>
            <w:tcW w:w="1200" w:type="dxa"/>
            <w:tcBorders>
              <w:top w:val="nil"/>
              <w:left w:val="nil"/>
              <w:bottom w:val="single" w:sz="4" w:space="0" w:color="auto"/>
              <w:right w:val="single" w:sz="4" w:space="0" w:color="auto"/>
            </w:tcBorders>
            <w:shd w:val="clear" w:color="000000" w:fill="FFFFFF"/>
            <w:noWrap/>
            <w:vAlign w:val="center"/>
            <w:hideMark/>
          </w:tcPr>
          <w:p w14:paraId="6A23515C"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97%</w:t>
            </w:r>
          </w:p>
        </w:tc>
        <w:tc>
          <w:tcPr>
            <w:tcW w:w="1360" w:type="dxa"/>
            <w:tcBorders>
              <w:top w:val="nil"/>
              <w:left w:val="nil"/>
              <w:bottom w:val="single" w:sz="4" w:space="0" w:color="auto"/>
              <w:right w:val="single" w:sz="4" w:space="0" w:color="auto"/>
            </w:tcBorders>
            <w:shd w:val="clear" w:color="000000" w:fill="FFFFFF"/>
            <w:noWrap/>
            <w:vAlign w:val="center"/>
            <w:hideMark/>
          </w:tcPr>
          <w:p w14:paraId="67F51D4C"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58%</w:t>
            </w:r>
          </w:p>
        </w:tc>
        <w:tc>
          <w:tcPr>
            <w:tcW w:w="1200" w:type="dxa"/>
            <w:tcBorders>
              <w:top w:val="nil"/>
              <w:left w:val="nil"/>
              <w:bottom w:val="single" w:sz="4" w:space="0" w:color="auto"/>
              <w:right w:val="single" w:sz="4" w:space="0" w:color="auto"/>
            </w:tcBorders>
            <w:shd w:val="clear" w:color="000000" w:fill="FFFFFF"/>
            <w:noWrap/>
            <w:vAlign w:val="center"/>
            <w:hideMark/>
          </w:tcPr>
          <w:p w14:paraId="4171D582"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114%</w:t>
            </w:r>
          </w:p>
        </w:tc>
        <w:tc>
          <w:tcPr>
            <w:tcW w:w="1340" w:type="dxa"/>
            <w:tcBorders>
              <w:top w:val="nil"/>
              <w:left w:val="nil"/>
              <w:bottom w:val="single" w:sz="4" w:space="0" w:color="auto"/>
              <w:right w:val="single" w:sz="4" w:space="0" w:color="auto"/>
            </w:tcBorders>
            <w:shd w:val="clear" w:color="000000" w:fill="FFFFFF"/>
            <w:noWrap/>
            <w:vAlign w:val="center"/>
            <w:hideMark/>
          </w:tcPr>
          <w:p w14:paraId="4718C174"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221%</w:t>
            </w:r>
          </w:p>
        </w:tc>
        <w:tc>
          <w:tcPr>
            <w:tcW w:w="1340" w:type="dxa"/>
            <w:tcBorders>
              <w:top w:val="nil"/>
              <w:left w:val="nil"/>
              <w:bottom w:val="single" w:sz="4" w:space="0" w:color="auto"/>
              <w:right w:val="single" w:sz="4" w:space="0" w:color="auto"/>
            </w:tcBorders>
            <w:shd w:val="clear" w:color="000000" w:fill="FFFFFF"/>
            <w:noWrap/>
            <w:vAlign w:val="center"/>
            <w:hideMark/>
          </w:tcPr>
          <w:p w14:paraId="1BC26831"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81%</w:t>
            </w:r>
          </w:p>
        </w:tc>
        <w:tc>
          <w:tcPr>
            <w:tcW w:w="1200" w:type="dxa"/>
            <w:tcBorders>
              <w:top w:val="nil"/>
              <w:left w:val="nil"/>
              <w:bottom w:val="single" w:sz="4" w:space="0" w:color="auto"/>
              <w:right w:val="single" w:sz="4" w:space="0" w:color="auto"/>
            </w:tcBorders>
            <w:shd w:val="clear" w:color="000000" w:fill="FFFFFF"/>
            <w:noWrap/>
            <w:vAlign w:val="center"/>
            <w:hideMark/>
          </w:tcPr>
          <w:p w14:paraId="0C23EC9B"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106%</w:t>
            </w:r>
          </w:p>
        </w:tc>
      </w:tr>
      <w:tr w:rsidR="000A6207" w:rsidRPr="00462DB6" w14:paraId="43FE5C58"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6EE1A9A9"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39</w:t>
            </w:r>
          </w:p>
        </w:tc>
        <w:tc>
          <w:tcPr>
            <w:tcW w:w="1740" w:type="dxa"/>
            <w:tcBorders>
              <w:top w:val="nil"/>
              <w:left w:val="nil"/>
              <w:bottom w:val="single" w:sz="4" w:space="0" w:color="auto"/>
              <w:right w:val="single" w:sz="4" w:space="0" w:color="auto"/>
            </w:tcBorders>
            <w:shd w:val="clear" w:color="000000" w:fill="FFFFFF"/>
            <w:noWrap/>
            <w:vAlign w:val="center"/>
            <w:hideMark/>
          </w:tcPr>
          <w:p w14:paraId="6236B885"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85%</w:t>
            </w:r>
          </w:p>
        </w:tc>
        <w:tc>
          <w:tcPr>
            <w:tcW w:w="1200" w:type="dxa"/>
            <w:tcBorders>
              <w:top w:val="nil"/>
              <w:left w:val="nil"/>
              <w:bottom w:val="single" w:sz="4" w:space="0" w:color="auto"/>
              <w:right w:val="single" w:sz="4" w:space="0" w:color="auto"/>
            </w:tcBorders>
            <w:shd w:val="clear" w:color="000000" w:fill="FFFFFF"/>
            <w:noWrap/>
            <w:vAlign w:val="center"/>
            <w:hideMark/>
          </w:tcPr>
          <w:p w14:paraId="6851B788"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92%</w:t>
            </w:r>
          </w:p>
        </w:tc>
        <w:tc>
          <w:tcPr>
            <w:tcW w:w="1360" w:type="dxa"/>
            <w:tcBorders>
              <w:top w:val="nil"/>
              <w:left w:val="nil"/>
              <w:bottom w:val="single" w:sz="4" w:space="0" w:color="auto"/>
              <w:right w:val="single" w:sz="4" w:space="0" w:color="auto"/>
            </w:tcBorders>
            <w:shd w:val="clear" w:color="000000" w:fill="FFFFFF"/>
            <w:noWrap/>
            <w:vAlign w:val="center"/>
            <w:hideMark/>
          </w:tcPr>
          <w:p w14:paraId="21FAC7DB"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52%</w:t>
            </w:r>
          </w:p>
        </w:tc>
        <w:tc>
          <w:tcPr>
            <w:tcW w:w="1200" w:type="dxa"/>
            <w:tcBorders>
              <w:top w:val="nil"/>
              <w:left w:val="nil"/>
              <w:bottom w:val="single" w:sz="4" w:space="0" w:color="auto"/>
              <w:right w:val="single" w:sz="4" w:space="0" w:color="auto"/>
            </w:tcBorders>
            <w:shd w:val="clear" w:color="000000" w:fill="FFFFFF"/>
            <w:noWrap/>
            <w:vAlign w:val="center"/>
            <w:hideMark/>
          </w:tcPr>
          <w:p w14:paraId="2CD1E22B"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118%</w:t>
            </w:r>
          </w:p>
        </w:tc>
        <w:tc>
          <w:tcPr>
            <w:tcW w:w="1340" w:type="dxa"/>
            <w:tcBorders>
              <w:top w:val="nil"/>
              <w:left w:val="nil"/>
              <w:bottom w:val="single" w:sz="4" w:space="0" w:color="auto"/>
              <w:right w:val="single" w:sz="4" w:space="0" w:color="auto"/>
            </w:tcBorders>
            <w:shd w:val="clear" w:color="000000" w:fill="FFFFFF"/>
            <w:noWrap/>
            <w:vAlign w:val="center"/>
            <w:hideMark/>
          </w:tcPr>
          <w:p w14:paraId="0ADE5BA6"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196%</w:t>
            </w:r>
          </w:p>
        </w:tc>
        <w:tc>
          <w:tcPr>
            <w:tcW w:w="1340" w:type="dxa"/>
            <w:tcBorders>
              <w:top w:val="nil"/>
              <w:left w:val="nil"/>
              <w:bottom w:val="single" w:sz="4" w:space="0" w:color="auto"/>
              <w:right w:val="single" w:sz="4" w:space="0" w:color="auto"/>
            </w:tcBorders>
            <w:shd w:val="clear" w:color="000000" w:fill="FFFFFF"/>
            <w:noWrap/>
            <w:vAlign w:val="center"/>
            <w:hideMark/>
          </w:tcPr>
          <w:p w14:paraId="0F6EA27C"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83%</w:t>
            </w:r>
          </w:p>
        </w:tc>
        <w:tc>
          <w:tcPr>
            <w:tcW w:w="1200" w:type="dxa"/>
            <w:tcBorders>
              <w:top w:val="nil"/>
              <w:left w:val="nil"/>
              <w:bottom w:val="single" w:sz="4" w:space="0" w:color="auto"/>
              <w:right w:val="single" w:sz="4" w:space="0" w:color="auto"/>
            </w:tcBorders>
            <w:shd w:val="clear" w:color="000000" w:fill="FFFFFF"/>
            <w:noWrap/>
            <w:vAlign w:val="center"/>
            <w:hideMark/>
          </w:tcPr>
          <w:p w14:paraId="225C24D9"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112%</w:t>
            </w:r>
          </w:p>
        </w:tc>
      </w:tr>
      <w:tr w:rsidR="000A6207" w:rsidRPr="00462DB6" w14:paraId="756CE548"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102968B3"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40</w:t>
            </w:r>
          </w:p>
        </w:tc>
        <w:tc>
          <w:tcPr>
            <w:tcW w:w="1740" w:type="dxa"/>
            <w:tcBorders>
              <w:top w:val="nil"/>
              <w:left w:val="nil"/>
              <w:bottom w:val="single" w:sz="4" w:space="0" w:color="auto"/>
              <w:right w:val="single" w:sz="4" w:space="0" w:color="auto"/>
            </w:tcBorders>
            <w:shd w:val="clear" w:color="000000" w:fill="FFFFFF"/>
            <w:noWrap/>
            <w:vAlign w:val="center"/>
            <w:hideMark/>
          </w:tcPr>
          <w:p w14:paraId="1FA24E81"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67%</w:t>
            </w:r>
          </w:p>
        </w:tc>
        <w:tc>
          <w:tcPr>
            <w:tcW w:w="1200" w:type="dxa"/>
            <w:tcBorders>
              <w:top w:val="nil"/>
              <w:left w:val="nil"/>
              <w:bottom w:val="single" w:sz="4" w:space="0" w:color="auto"/>
              <w:right w:val="single" w:sz="4" w:space="0" w:color="auto"/>
            </w:tcBorders>
            <w:shd w:val="clear" w:color="000000" w:fill="FFFFFF"/>
            <w:noWrap/>
            <w:vAlign w:val="center"/>
            <w:hideMark/>
          </w:tcPr>
          <w:p w14:paraId="30AA7C89"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88%</w:t>
            </w:r>
          </w:p>
        </w:tc>
        <w:tc>
          <w:tcPr>
            <w:tcW w:w="1360" w:type="dxa"/>
            <w:tcBorders>
              <w:top w:val="nil"/>
              <w:left w:val="nil"/>
              <w:bottom w:val="single" w:sz="4" w:space="0" w:color="auto"/>
              <w:right w:val="single" w:sz="4" w:space="0" w:color="auto"/>
            </w:tcBorders>
            <w:shd w:val="clear" w:color="000000" w:fill="FFFFFF"/>
            <w:noWrap/>
            <w:vAlign w:val="center"/>
            <w:hideMark/>
          </w:tcPr>
          <w:p w14:paraId="17786D29"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55%</w:t>
            </w:r>
          </w:p>
        </w:tc>
        <w:tc>
          <w:tcPr>
            <w:tcW w:w="1200" w:type="dxa"/>
            <w:tcBorders>
              <w:top w:val="nil"/>
              <w:left w:val="nil"/>
              <w:bottom w:val="single" w:sz="4" w:space="0" w:color="auto"/>
              <w:right w:val="single" w:sz="4" w:space="0" w:color="auto"/>
            </w:tcBorders>
            <w:shd w:val="clear" w:color="000000" w:fill="FFFFFF"/>
            <w:noWrap/>
            <w:vAlign w:val="center"/>
            <w:hideMark/>
          </w:tcPr>
          <w:p w14:paraId="02008C20"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129%</w:t>
            </w:r>
          </w:p>
        </w:tc>
        <w:tc>
          <w:tcPr>
            <w:tcW w:w="1340" w:type="dxa"/>
            <w:tcBorders>
              <w:top w:val="nil"/>
              <w:left w:val="nil"/>
              <w:bottom w:val="single" w:sz="4" w:space="0" w:color="auto"/>
              <w:right w:val="single" w:sz="4" w:space="0" w:color="auto"/>
            </w:tcBorders>
            <w:shd w:val="clear" w:color="000000" w:fill="FFFFFF"/>
            <w:noWrap/>
            <w:vAlign w:val="center"/>
            <w:hideMark/>
          </w:tcPr>
          <w:p w14:paraId="6A0C4D03"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318%</w:t>
            </w:r>
          </w:p>
        </w:tc>
        <w:tc>
          <w:tcPr>
            <w:tcW w:w="1340" w:type="dxa"/>
            <w:tcBorders>
              <w:top w:val="nil"/>
              <w:left w:val="nil"/>
              <w:bottom w:val="single" w:sz="4" w:space="0" w:color="auto"/>
              <w:right w:val="single" w:sz="4" w:space="0" w:color="auto"/>
            </w:tcBorders>
            <w:shd w:val="clear" w:color="000000" w:fill="FFFFFF"/>
            <w:noWrap/>
            <w:vAlign w:val="center"/>
            <w:hideMark/>
          </w:tcPr>
          <w:p w14:paraId="74F35E6E"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89%</w:t>
            </w:r>
          </w:p>
        </w:tc>
        <w:tc>
          <w:tcPr>
            <w:tcW w:w="1200" w:type="dxa"/>
            <w:tcBorders>
              <w:top w:val="nil"/>
              <w:left w:val="nil"/>
              <w:bottom w:val="single" w:sz="4" w:space="0" w:color="auto"/>
              <w:right w:val="single" w:sz="4" w:space="0" w:color="auto"/>
            </w:tcBorders>
            <w:shd w:val="clear" w:color="000000" w:fill="FFFFFF"/>
            <w:noWrap/>
            <w:vAlign w:val="center"/>
            <w:hideMark/>
          </w:tcPr>
          <w:p w14:paraId="377A99D9"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129%</w:t>
            </w:r>
          </w:p>
        </w:tc>
      </w:tr>
      <w:tr w:rsidR="000A6207" w:rsidRPr="00462DB6" w14:paraId="2F247CC1"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6DA4F7FC"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41</w:t>
            </w:r>
          </w:p>
        </w:tc>
        <w:tc>
          <w:tcPr>
            <w:tcW w:w="1740" w:type="dxa"/>
            <w:tcBorders>
              <w:top w:val="nil"/>
              <w:left w:val="nil"/>
              <w:bottom w:val="single" w:sz="4" w:space="0" w:color="auto"/>
              <w:right w:val="single" w:sz="4" w:space="0" w:color="auto"/>
            </w:tcBorders>
            <w:shd w:val="clear" w:color="000000" w:fill="FFFFFF"/>
            <w:noWrap/>
            <w:vAlign w:val="center"/>
            <w:hideMark/>
          </w:tcPr>
          <w:p w14:paraId="6CCA7010"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100%</w:t>
            </w:r>
          </w:p>
        </w:tc>
        <w:tc>
          <w:tcPr>
            <w:tcW w:w="1200" w:type="dxa"/>
            <w:tcBorders>
              <w:top w:val="nil"/>
              <w:left w:val="nil"/>
              <w:bottom w:val="single" w:sz="4" w:space="0" w:color="auto"/>
              <w:right w:val="single" w:sz="4" w:space="0" w:color="auto"/>
            </w:tcBorders>
            <w:shd w:val="clear" w:color="000000" w:fill="FFFFFF"/>
            <w:noWrap/>
            <w:vAlign w:val="center"/>
            <w:hideMark/>
          </w:tcPr>
          <w:p w14:paraId="2D39F6D9"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85%</w:t>
            </w:r>
          </w:p>
        </w:tc>
        <w:tc>
          <w:tcPr>
            <w:tcW w:w="1360" w:type="dxa"/>
            <w:tcBorders>
              <w:top w:val="nil"/>
              <w:left w:val="nil"/>
              <w:bottom w:val="single" w:sz="4" w:space="0" w:color="auto"/>
              <w:right w:val="single" w:sz="4" w:space="0" w:color="auto"/>
            </w:tcBorders>
            <w:shd w:val="clear" w:color="000000" w:fill="FFFFFF"/>
            <w:noWrap/>
            <w:vAlign w:val="center"/>
            <w:hideMark/>
          </w:tcPr>
          <w:p w14:paraId="23BF9F00"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63%</w:t>
            </w:r>
          </w:p>
        </w:tc>
        <w:tc>
          <w:tcPr>
            <w:tcW w:w="1200" w:type="dxa"/>
            <w:tcBorders>
              <w:top w:val="nil"/>
              <w:left w:val="nil"/>
              <w:bottom w:val="single" w:sz="4" w:space="0" w:color="auto"/>
              <w:right w:val="single" w:sz="4" w:space="0" w:color="auto"/>
            </w:tcBorders>
            <w:shd w:val="clear" w:color="000000" w:fill="FFFFFF"/>
            <w:noWrap/>
            <w:vAlign w:val="center"/>
            <w:hideMark/>
          </w:tcPr>
          <w:p w14:paraId="0943975F"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123%</w:t>
            </w:r>
          </w:p>
        </w:tc>
        <w:tc>
          <w:tcPr>
            <w:tcW w:w="1340" w:type="dxa"/>
            <w:tcBorders>
              <w:top w:val="nil"/>
              <w:left w:val="nil"/>
              <w:bottom w:val="single" w:sz="4" w:space="0" w:color="auto"/>
              <w:right w:val="single" w:sz="4" w:space="0" w:color="auto"/>
            </w:tcBorders>
            <w:shd w:val="clear" w:color="000000" w:fill="FFFFFF"/>
            <w:noWrap/>
            <w:vAlign w:val="center"/>
            <w:hideMark/>
          </w:tcPr>
          <w:p w14:paraId="0112DF39"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281%</w:t>
            </w:r>
          </w:p>
        </w:tc>
        <w:tc>
          <w:tcPr>
            <w:tcW w:w="1340" w:type="dxa"/>
            <w:tcBorders>
              <w:top w:val="nil"/>
              <w:left w:val="nil"/>
              <w:bottom w:val="single" w:sz="4" w:space="0" w:color="auto"/>
              <w:right w:val="single" w:sz="4" w:space="0" w:color="auto"/>
            </w:tcBorders>
            <w:shd w:val="clear" w:color="000000" w:fill="FFFFFF"/>
            <w:noWrap/>
            <w:vAlign w:val="center"/>
            <w:hideMark/>
          </w:tcPr>
          <w:p w14:paraId="4C0A3AAA"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85%</w:t>
            </w:r>
          </w:p>
        </w:tc>
        <w:tc>
          <w:tcPr>
            <w:tcW w:w="1200" w:type="dxa"/>
            <w:tcBorders>
              <w:top w:val="nil"/>
              <w:left w:val="nil"/>
              <w:bottom w:val="single" w:sz="4" w:space="0" w:color="auto"/>
              <w:right w:val="single" w:sz="4" w:space="0" w:color="auto"/>
            </w:tcBorders>
            <w:shd w:val="clear" w:color="000000" w:fill="FFFFFF"/>
            <w:noWrap/>
            <w:vAlign w:val="center"/>
            <w:hideMark/>
          </w:tcPr>
          <w:p w14:paraId="3F796500"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112%</w:t>
            </w:r>
          </w:p>
        </w:tc>
      </w:tr>
      <w:tr w:rsidR="000A6207" w:rsidRPr="00462DB6" w14:paraId="07789E48"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25D2C418"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42</w:t>
            </w:r>
          </w:p>
        </w:tc>
        <w:tc>
          <w:tcPr>
            <w:tcW w:w="1740" w:type="dxa"/>
            <w:tcBorders>
              <w:top w:val="nil"/>
              <w:left w:val="nil"/>
              <w:bottom w:val="single" w:sz="4" w:space="0" w:color="auto"/>
              <w:right w:val="single" w:sz="4" w:space="0" w:color="auto"/>
            </w:tcBorders>
            <w:shd w:val="clear" w:color="000000" w:fill="FFFFFF"/>
            <w:noWrap/>
            <w:vAlign w:val="center"/>
            <w:hideMark/>
          </w:tcPr>
          <w:p w14:paraId="21B9873D"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79%</w:t>
            </w:r>
          </w:p>
        </w:tc>
        <w:tc>
          <w:tcPr>
            <w:tcW w:w="1200" w:type="dxa"/>
            <w:tcBorders>
              <w:top w:val="nil"/>
              <w:left w:val="nil"/>
              <w:bottom w:val="single" w:sz="4" w:space="0" w:color="auto"/>
              <w:right w:val="single" w:sz="4" w:space="0" w:color="auto"/>
            </w:tcBorders>
            <w:shd w:val="clear" w:color="000000" w:fill="FFFFFF"/>
            <w:noWrap/>
            <w:vAlign w:val="center"/>
            <w:hideMark/>
          </w:tcPr>
          <w:p w14:paraId="658603AD"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82%</w:t>
            </w:r>
          </w:p>
        </w:tc>
        <w:tc>
          <w:tcPr>
            <w:tcW w:w="1360" w:type="dxa"/>
            <w:tcBorders>
              <w:top w:val="nil"/>
              <w:left w:val="nil"/>
              <w:bottom w:val="single" w:sz="4" w:space="0" w:color="auto"/>
              <w:right w:val="single" w:sz="4" w:space="0" w:color="auto"/>
            </w:tcBorders>
            <w:shd w:val="clear" w:color="000000" w:fill="FFFFFF"/>
            <w:noWrap/>
            <w:vAlign w:val="center"/>
            <w:hideMark/>
          </w:tcPr>
          <w:p w14:paraId="6147FFDA"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57%</w:t>
            </w:r>
          </w:p>
        </w:tc>
        <w:tc>
          <w:tcPr>
            <w:tcW w:w="1200" w:type="dxa"/>
            <w:tcBorders>
              <w:top w:val="nil"/>
              <w:left w:val="nil"/>
              <w:bottom w:val="single" w:sz="4" w:space="0" w:color="auto"/>
              <w:right w:val="single" w:sz="4" w:space="0" w:color="auto"/>
            </w:tcBorders>
            <w:shd w:val="clear" w:color="000000" w:fill="FFFFFF"/>
            <w:noWrap/>
            <w:vAlign w:val="center"/>
            <w:hideMark/>
          </w:tcPr>
          <w:p w14:paraId="222F3FA4"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114%</w:t>
            </w:r>
          </w:p>
        </w:tc>
        <w:tc>
          <w:tcPr>
            <w:tcW w:w="1340" w:type="dxa"/>
            <w:tcBorders>
              <w:top w:val="nil"/>
              <w:left w:val="nil"/>
              <w:bottom w:val="single" w:sz="4" w:space="0" w:color="auto"/>
              <w:right w:val="single" w:sz="4" w:space="0" w:color="auto"/>
            </w:tcBorders>
            <w:shd w:val="clear" w:color="000000" w:fill="FFFFFF"/>
            <w:noWrap/>
            <w:vAlign w:val="center"/>
            <w:hideMark/>
          </w:tcPr>
          <w:p w14:paraId="09A92A35"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221%</w:t>
            </w:r>
          </w:p>
        </w:tc>
        <w:tc>
          <w:tcPr>
            <w:tcW w:w="1340" w:type="dxa"/>
            <w:tcBorders>
              <w:top w:val="nil"/>
              <w:left w:val="nil"/>
              <w:bottom w:val="single" w:sz="4" w:space="0" w:color="auto"/>
              <w:right w:val="single" w:sz="4" w:space="0" w:color="auto"/>
            </w:tcBorders>
            <w:shd w:val="clear" w:color="000000" w:fill="FFFFFF"/>
            <w:noWrap/>
            <w:vAlign w:val="center"/>
            <w:hideMark/>
          </w:tcPr>
          <w:p w14:paraId="39C4EC80"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65%</w:t>
            </w:r>
          </w:p>
        </w:tc>
        <w:tc>
          <w:tcPr>
            <w:tcW w:w="1200" w:type="dxa"/>
            <w:tcBorders>
              <w:top w:val="nil"/>
              <w:left w:val="nil"/>
              <w:bottom w:val="single" w:sz="4" w:space="0" w:color="auto"/>
              <w:right w:val="single" w:sz="4" w:space="0" w:color="auto"/>
            </w:tcBorders>
            <w:shd w:val="clear" w:color="000000" w:fill="FFFFFF"/>
            <w:noWrap/>
            <w:vAlign w:val="center"/>
            <w:hideMark/>
          </w:tcPr>
          <w:p w14:paraId="52B1BBA6"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91%</w:t>
            </w:r>
          </w:p>
        </w:tc>
      </w:tr>
      <w:tr w:rsidR="000A6207" w:rsidRPr="00462DB6" w14:paraId="064F12D0"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395CF4DE"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43</w:t>
            </w:r>
          </w:p>
        </w:tc>
        <w:tc>
          <w:tcPr>
            <w:tcW w:w="1740" w:type="dxa"/>
            <w:tcBorders>
              <w:top w:val="nil"/>
              <w:left w:val="nil"/>
              <w:bottom w:val="single" w:sz="4" w:space="0" w:color="auto"/>
              <w:right w:val="single" w:sz="4" w:space="0" w:color="auto"/>
            </w:tcBorders>
            <w:shd w:val="clear" w:color="000000" w:fill="FFFFFF"/>
            <w:noWrap/>
            <w:vAlign w:val="center"/>
            <w:hideMark/>
          </w:tcPr>
          <w:p w14:paraId="3E2AB1C7"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98%</w:t>
            </w:r>
          </w:p>
        </w:tc>
        <w:tc>
          <w:tcPr>
            <w:tcW w:w="1200" w:type="dxa"/>
            <w:tcBorders>
              <w:top w:val="nil"/>
              <w:left w:val="nil"/>
              <w:bottom w:val="single" w:sz="4" w:space="0" w:color="auto"/>
              <w:right w:val="single" w:sz="4" w:space="0" w:color="auto"/>
            </w:tcBorders>
            <w:shd w:val="clear" w:color="000000" w:fill="FFFFFF"/>
            <w:noWrap/>
            <w:vAlign w:val="center"/>
            <w:hideMark/>
          </w:tcPr>
          <w:p w14:paraId="06F303ED"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81%</w:t>
            </w:r>
          </w:p>
        </w:tc>
        <w:tc>
          <w:tcPr>
            <w:tcW w:w="1360" w:type="dxa"/>
            <w:tcBorders>
              <w:top w:val="nil"/>
              <w:left w:val="nil"/>
              <w:bottom w:val="single" w:sz="4" w:space="0" w:color="auto"/>
              <w:right w:val="single" w:sz="4" w:space="0" w:color="auto"/>
            </w:tcBorders>
            <w:shd w:val="clear" w:color="000000" w:fill="FFFFFF"/>
            <w:noWrap/>
            <w:vAlign w:val="center"/>
            <w:hideMark/>
          </w:tcPr>
          <w:p w14:paraId="33EA4C67"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60%</w:t>
            </w:r>
          </w:p>
        </w:tc>
        <w:tc>
          <w:tcPr>
            <w:tcW w:w="1200" w:type="dxa"/>
            <w:tcBorders>
              <w:top w:val="nil"/>
              <w:left w:val="nil"/>
              <w:bottom w:val="single" w:sz="4" w:space="0" w:color="auto"/>
              <w:right w:val="single" w:sz="4" w:space="0" w:color="auto"/>
            </w:tcBorders>
            <w:shd w:val="clear" w:color="000000" w:fill="FFFFFF"/>
            <w:noWrap/>
            <w:vAlign w:val="center"/>
            <w:hideMark/>
          </w:tcPr>
          <w:p w14:paraId="3E81D2D3"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118%</w:t>
            </w:r>
          </w:p>
        </w:tc>
        <w:tc>
          <w:tcPr>
            <w:tcW w:w="1340" w:type="dxa"/>
            <w:tcBorders>
              <w:top w:val="nil"/>
              <w:left w:val="nil"/>
              <w:bottom w:val="single" w:sz="4" w:space="0" w:color="auto"/>
              <w:right w:val="single" w:sz="4" w:space="0" w:color="auto"/>
            </w:tcBorders>
            <w:shd w:val="clear" w:color="000000" w:fill="FFFFFF"/>
            <w:noWrap/>
            <w:vAlign w:val="center"/>
            <w:hideMark/>
          </w:tcPr>
          <w:p w14:paraId="1581C677"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196%</w:t>
            </w:r>
          </w:p>
        </w:tc>
        <w:tc>
          <w:tcPr>
            <w:tcW w:w="1340" w:type="dxa"/>
            <w:tcBorders>
              <w:top w:val="nil"/>
              <w:left w:val="nil"/>
              <w:bottom w:val="single" w:sz="4" w:space="0" w:color="auto"/>
              <w:right w:val="single" w:sz="4" w:space="0" w:color="auto"/>
            </w:tcBorders>
            <w:shd w:val="clear" w:color="000000" w:fill="FFFFFF"/>
            <w:noWrap/>
            <w:vAlign w:val="center"/>
            <w:hideMark/>
          </w:tcPr>
          <w:p w14:paraId="2EA78698"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72%</w:t>
            </w:r>
          </w:p>
        </w:tc>
        <w:tc>
          <w:tcPr>
            <w:tcW w:w="1200" w:type="dxa"/>
            <w:tcBorders>
              <w:top w:val="nil"/>
              <w:left w:val="nil"/>
              <w:bottom w:val="single" w:sz="4" w:space="0" w:color="auto"/>
              <w:right w:val="single" w:sz="4" w:space="0" w:color="auto"/>
            </w:tcBorders>
            <w:shd w:val="clear" w:color="000000" w:fill="FFFFFF"/>
            <w:noWrap/>
            <w:vAlign w:val="center"/>
            <w:hideMark/>
          </w:tcPr>
          <w:p w14:paraId="6BE33402"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85%</w:t>
            </w:r>
          </w:p>
        </w:tc>
      </w:tr>
      <w:tr w:rsidR="000A6207" w:rsidRPr="00462DB6" w14:paraId="5BC657B8"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22916033"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44</w:t>
            </w:r>
          </w:p>
        </w:tc>
        <w:tc>
          <w:tcPr>
            <w:tcW w:w="1740" w:type="dxa"/>
            <w:tcBorders>
              <w:top w:val="nil"/>
              <w:left w:val="nil"/>
              <w:bottom w:val="single" w:sz="4" w:space="0" w:color="auto"/>
              <w:right w:val="single" w:sz="4" w:space="0" w:color="auto"/>
            </w:tcBorders>
            <w:shd w:val="clear" w:color="000000" w:fill="FFFFFF"/>
            <w:noWrap/>
            <w:vAlign w:val="center"/>
            <w:hideMark/>
          </w:tcPr>
          <w:p w14:paraId="3E244591"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87%</w:t>
            </w:r>
          </w:p>
        </w:tc>
        <w:tc>
          <w:tcPr>
            <w:tcW w:w="1200" w:type="dxa"/>
            <w:tcBorders>
              <w:top w:val="nil"/>
              <w:left w:val="nil"/>
              <w:bottom w:val="single" w:sz="4" w:space="0" w:color="auto"/>
              <w:right w:val="single" w:sz="4" w:space="0" w:color="auto"/>
            </w:tcBorders>
            <w:shd w:val="clear" w:color="000000" w:fill="FFFFFF"/>
            <w:noWrap/>
            <w:vAlign w:val="center"/>
            <w:hideMark/>
          </w:tcPr>
          <w:p w14:paraId="108D98A1"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94%</w:t>
            </w:r>
          </w:p>
        </w:tc>
        <w:tc>
          <w:tcPr>
            <w:tcW w:w="1360" w:type="dxa"/>
            <w:tcBorders>
              <w:top w:val="nil"/>
              <w:left w:val="nil"/>
              <w:bottom w:val="single" w:sz="4" w:space="0" w:color="auto"/>
              <w:right w:val="single" w:sz="4" w:space="0" w:color="auto"/>
            </w:tcBorders>
            <w:shd w:val="clear" w:color="000000" w:fill="FFFFFF"/>
            <w:noWrap/>
            <w:vAlign w:val="center"/>
            <w:hideMark/>
          </w:tcPr>
          <w:p w14:paraId="232520DF"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55%</w:t>
            </w:r>
          </w:p>
        </w:tc>
        <w:tc>
          <w:tcPr>
            <w:tcW w:w="1200" w:type="dxa"/>
            <w:tcBorders>
              <w:top w:val="nil"/>
              <w:left w:val="nil"/>
              <w:bottom w:val="single" w:sz="4" w:space="0" w:color="auto"/>
              <w:right w:val="single" w:sz="4" w:space="0" w:color="auto"/>
            </w:tcBorders>
            <w:shd w:val="clear" w:color="000000" w:fill="FFFFFF"/>
            <w:noWrap/>
            <w:vAlign w:val="center"/>
            <w:hideMark/>
          </w:tcPr>
          <w:p w14:paraId="626AD052"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129%</w:t>
            </w:r>
          </w:p>
        </w:tc>
        <w:tc>
          <w:tcPr>
            <w:tcW w:w="1340" w:type="dxa"/>
            <w:tcBorders>
              <w:top w:val="nil"/>
              <w:left w:val="nil"/>
              <w:bottom w:val="single" w:sz="4" w:space="0" w:color="auto"/>
              <w:right w:val="single" w:sz="4" w:space="0" w:color="auto"/>
            </w:tcBorders>
            <w:shd w:val="clear" w:color="000000" w:fill="FFFFFF"/>
            <w:noWrap/>
            <w:vAlign w:val="center"/>
            <w:hideMark/>
          </w:tcPr>
          <w:p w14:paraId="36C6B44E"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318%</w:t>
            </w:r>
          </w:p>
        </w:tc>
        <w:tc>
          <w:tcPr>
            <w:tcW w:w="1340" w:type="dxa"/>
            <w:tcBorders>
              <w:top w:val="nil"/>
              <w:left w:val="nil"/>
              <w:bottom w:val="single" w:sz="4" w:space="0" w:color="auto"/>
              <w:right w:val="single" w:sz="4" w:space="0" w:color="auto"/>
            </w:tcBorders>
            <w:shd w:val="clear" w:color="000000" w:fill="FFFFFF"/>
            <w:noWrap/>
            <w:vAlign w:val="center"/>
            <w:hideMark/>
          </w:tcPr>
          <w:p w14:paraId="7FFFD7FE"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49%</w:t>
            </w:r>
          </w:p>
        </w:tc>
        <w:tc>
          <w:tcPr>
            <w:tcW w:w="1200" w:type="dxa"/>
            <w:tcBorders>
              <w:top w:val="nil"/>
              <w:left w:val="nil"/>
              <w:bottom w:val="single" w:sz="4" w:space="0" w:color="auto"/>
              <w:right w:val="single" w:sz="4" w:space="0" w:color="auto"/>
            </w:tcBorders>
            <w:shd w:val="clear" w:color="000000" w:fill="FFFFFF"/>
            <w:noWrap/>
            <w:vAlign w:val="center"/>
            <w:hideMark/>
          </w:tcPr>
          <w:p w14:paraId="150E2C4E"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65%</w:t>
            </w:r>
          </w:p>
        </w:tc>
      </w:tr>
      <w:tr w:rsidR="000A6207" w:rsidRPr="00462DB6" w14:paraId="7A018176"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63200E33"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45</w:t>
            </w:r>
          </w:p>
        </w:tc>
        <w:tc>
          <w:tcPr>
            <w:tcW w:w="1740" w:type="dxa"/>
            <w:tcBorders>
              <w:top w:val="nil"/>
              <w:left w:val="nil"/>
              <w:bottom w:val="single" w:sz="4" w:space="0" w:color="auto"/>
              <w:right w:val="single" w:sz="4" w:space="0" w:color="auto"/>
            </w:tcBorders>
            <w:shd w:val="clear" w:color="000000" w:fill="FFFFFF"/>
            <w:noWrap/>
            <w:vAlign w:val="center"/>
            <w:hideMark/>
          </w:tcPr>
          <w:p w14:paraId="5FCDAAFE"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93%</w:t>
            </w:r>
          </w:p>
        </w:tc>
        <w:tc>
          <w:tcPr>
            <w:tcW w:w="1200" w:type="dxa"/>
            <w:tcBorders>
              <w:top w:val="nil"/>
              <w:left w:val="nil"/>
              <w:bottom w:val="single" w:sz="4" w:space="0" w:color="auto"/>
              <w:right w:val="single" w:sz="4" w:space="0" w:color="auto"/>
            </w:tcBorders>
            <w:shd w:val="clear" w:color="000000" w:fill="FFFFFF"/>
            <w:noWrap/>
            <w:vAlign w:val="center"/>
            <w:hideMark/>
          </w:tcPr>
          <w:p w14:paraId="7025C4C3"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117%</w:t>
            </w:r>
          </w:p>
        </w:tc>
        <w:tc>
          <w:tcPr>
            <w:tcW w:w="1360" w:type="dxa"/>
            <w:tcBorders>
              <w:top w:val="nil"/>
              <w:left w:val="nil"/>
              <w:bottom w:val="single" w:sz="4" w:space="0" w:color="auto"/>
              <w:right w:val="single" w:sz="4" w:space="0" w:color="auto"/>
            </w:tcBorders>
            <w:shd w:val="clear" w:color="000000" w:fill="FFFFFF"/>
            <w:noWrap/>
            <w:vAlign w:val="center"/>
            <w:hideMark/>
          </w:tcPr>
          <w:p w14:paraId="73FA5BA8"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59%</w:t>
            </w:r>
          </w:p>
        </w:tc>
        <w:tc>
          <w:tcPr>
            <w:tcW w:w="1200" w:type="dxa"/>
            <w:tcBorders>
              <w:top w:val="nil"/>
              <w:left w:val="nil"/>
              <w:bottom w:val="single" w:sz="4" w:space="0" w:color="auto"/>
              <w:right w:val="single" w:sz="4" w:space="0" w:color="auto"/>
            </w:tcBorders>
            <w:shd w:val="clear" w:color="000000" w:fill="FFFFFF"/>
            <w:noWrap/>
            <w:vAlign w:val="center"/>
            <w:hideMark/>
          </w:tcPr>
          <w:p w14:paraId="669B2EBF"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123%</w:t>
            </w:r>
          </w:p>
        </w:tc>
        <w:tc>
          <w:tcPr>
            <w:tcW w:w="1340" w:type="dxa"/>
            <w:tcBorders>
              <w:top w:val="nil"/>
              <w:left w:val="nil"/>
              <w:bottom w:val="single" w:sz="4" w:space="0" w:color="auto"/>
              <w:right w:val="single" w:sz="4" w:space="0" w:color="auto"/>
            </w:tcBorders>
            <w:shd w:val="clear" w:color="000000" w:fill="FFFFFF"/>
            <w:noWrap/>
            <w:vAlign w:val="center"/>
            <w:hideMark/>
          </w:tcPr>
          <w:p w14:paraId="6A5D32D2"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281%</w:t>
            </w:r>
          </w:p>
        </w:tc>
        <w:tc>
          <w:tcPr>
            <w:tcW w:w="1340" w:type="dxa"/>
            <w:tcBorders>
              <w:top w:val="nil"/>
              <w:left w:val="nil"/>
              <w:bottom w:val="single" w:sz="4" w:space="0" w:color="auto"/>
              <w:right w:val="single" w:sz="4" w:space="0" w:color="auto"/>
            </w:tcBorders>
            <w:shd w:val="clear" w:color="000000" w:fill="FFFFFF"/>
            <w:noWrap/>
            <w:vAlign w:val="center"/>
            <w:hideMark/>
          </w:tcPr>
          <w:p w14:paraId="14738F8A"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95%</w:t>
            </w:r>
          </w:p>
        </w:tc>
        <w:tc>
          <w:tcPr>
            <w:tcW w:w="1200" w:type="dxa"/>
            <w:tcBorders>
              <w:top w:val="nil"/>
              <w:left w:val="nil"/>
              <w:bottom w:val="single" w:sz="4" w:space="0" w:color="auto"/>
              <w:right w:val="single" w:sz="4" w:space="0" w:color="auto"/>
            </w:tcBorders>
            <w:shd w:val="clear" w:color="000000" w:fill="FFFFFF"/>
            <w:noWrap/>
            <w:vAlign w:val="center"/>
            <w:hideMark/>
          </w:tcPr>
          <w:p w14:paraId="30564E2A"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126%</w:t>
            </w:r>
          </w:p>
        </w:tc>
      </w:tr>
      <w:tr w:rsidR="000A6207" w:rsidRPr="00462DB6" w14:paraId="7112431B"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26D094C3"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46</w:t>
            </w:r>
          </w:p>
        </w:tc>
        <w:tc>
          <w:tcPr>
            <w:tcW w:w="1740" w:type="dxa"/>
            <w:tcBorders>
              <w:top w:val="nil"/>
              <w:left w:val="nil"/>
              <w:bottom w:val="single" w:sz="4" w:space="0" w:color="auto"/>
              <w:right w:val="single" w:sz="4" w:space="0" w:color="auto"/>
            </w:tcBorders>
            <w:shd w:val="clear" w:color="000000" w:fill="FFFFFF"/>
            <w:noWrap/>
            <w:vAlign w:val="center"/>
            <w:hideMark/>
          </w:tcPr>
          <w:p w14:paraId="2AE7D149"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66%</w:t>
            </w:r>
          </w:p>
        </w:tc>
        <w:tc>
          <w:tcPr>
            <w:tcW w:w="1200" w:type="dxa"/>
            <w:tcBorders>
              <w:top w:val="nil"/>
              <w:left w:val="nil"/>
              <w:bottom w:val="single" w:sz="4" w:space="0" w:color="auto"/>
              <w:right w:val="single" w:sz="4" w:space="0" w:color="auto"/>
            </w:tcBorders>
            <w:shd w:val="clear" w:color="000000" w:fill="FFFFFF"/>
            <w:noWrap/>
            <w:vAlign w:val="center"/>
            <w:hideMark/>
          </w:tcPr>
          <w:p w14:paraId="1A54AC32"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92%</w:t>
            </w:r>
          </w:p>
        </w:tc>
        <w:tc>
          <w:tcPr>
            <w:tcW w:w="1360" w:type="dxa"/>
            <w:tcBorders>
              <w:top w:val="nil"/>
              <w:left w:val="nil"/>
              <w:bottom w:val="single" w:sz="4" w:space="0" w:color="auto"/>
              <w:right w:val="single" w:sz="4" w:space="0" w:color="auto"/>
            </w:tcBorders>
            <w:shd w:val="clear" w:color="000000" w:fill="FFFFFF"/>
            <w:noWrap/>
            <w:vAlign w:val="center"/>
            <w:hideMark/>
          </w:tcPr>
          <w:p w14:paraId="3D5EC95D"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59%</w:t>
            </w:r>
          </w:p>
        </w:tc>
        <w:tc>
          <w:tcPr>
            <w:tcW w:w="1200" w:type="dxa"/>
            <w:tcBorders>
              <w:top w:val="nil"/>
              <w:left w:val="nil"/>
              <w:bottom w:val="single" w:sz="4" w:space="0" w:color="auto"/>
              <w:right w:val="single" w:sz="4" w:space="0" w:color="auto"/>
            </w:tcBorders>
            <w:shd w:val="clear" w:color="000000" w:fill="FFFFFF"/>
            <w:noWrap/>
            <w:vAlign w:val="center"/>
            <w:hideMark/>
          </w:tcPr>
          <w:p w14:paraId="785FCE65"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106%</w:t>
            </w:r>
          </w:p>
        </w:tc>
        <w:tc>
          <w:tcPr>
            <w:tcW w:w="1340" w:type="dxa"/>
            <w:tcBorders>
              <w:top w:val="nil"/>
              <w:left w:val="nil"/>
              <w:bottom w:val="single" w:sz="4" w:space="0" w:color="auto"/>
              <w:right w:val="single" w:sz="4" w:space="0" w:color="auto"/>
            </w:tcBorders>
            <w:shd w:val="clear" w:color="000000" w:fill="FFFFFF"/>
            <w:noWrap/>
            <w:vAlign w:val="center"/>
            <w:hideMark/>
          </w:tcPr>
          <w:p w14:paraId="0E7E0230"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276%</w:t>
            </w:r>
          </w:p>
        </w:tc>
        <w:tc>
          <w:tcPr>
            <w:tcW w:w="1340" w:type="dxa"/>
            <w:tcBorders>
              <w:top w:val="nil"/>
              <w:left w:val="nil"/>
              <w:bottom w:val="single" w:sz="4" w:space="0" w:color="auto"/>
              <w:right w:val="single" w:sz="4" w:space="0" w:color="auto"/>
            </w:tcBorders>
            <w:shd w:val="clear" w:color="000000" w:fill="FFFFFF"/>
            <w:noWrap/>
            <w:vAlign w:val="center"/>
            <w:hideMark/>
          </w:tcPr>
          <w:p w14:paraId="1326AAE8"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67%</w:t>
            </w:r>
          </w:p>
        </w:tc>
        <w:tc>
          <w:tcPr>
            <w:tcW w:w="1200" w:type="dxa"/>
            <w:tcBorders>
              <w:top w:val="nil"/>
              <w:left w:val="nil"/>
              <w:bottom w:val="single" w:sz="4" w:space="0" w:color="auto"/>
              <w:right w:val="single" w:sz="4" w:space="0" w:color="auto"/>
            </w:tcBorders>
            <w:shd w:val="clear" w:color="000000" w:fill="FFFFFF"/>
            <w:noWrap/>
            <w:vAlign w:val="center"/>
            <w:hideMark/>
          </w:tcPr>
          <w:p w14:paraId="4D7733FD"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91%</w:t>
            </w:r>
          </w:p>
        </w:tc>
      </w:tr>
      <w:tr w:rsidR="000A6207" w:rsidRPr="00462DB6" w14:paraId="7D1B5C01"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64A5469C"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47</w:t>
            </w:r>
          </w:p>
        </w:tc>
        <w:tc>
          <w:tcPr>
            <w:tcW w:w="1740" w:type="dxa"/>
            <w:tcBorders>
              <w:top w:val="nil"/>
              <w:left w:val="nil"/>
              <w:bottom w:val="single" w:sz="4" w:space="0" w:color="auto"/>
              <w:right w:val="single" w:sz="4" w:space="0" w:color="auto"/>
            </w:tcBorders>
            <w:shd w:val="clear" w:color="000000" w:fill="FFFFFF"/>
            <w:noWrap/>
            <w:vAlign w:val="center"/>
            <w:hideMark/>
          </w:tcPr>
          <w:p w14:paraId="3392CCC7"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83%</w:t>
            </w:r>
          </w:p>
        </w:tc>
        <w:tc>
          <w:tcPr>
            <w:tcW w:w="1200" w:type="dxa"/>
            <w:tcBorders>
              <w:top w:val="nil"/>
              <w:left w:val="nil"/>
              <w:bottom w:val="single" w:sz="4" w:space="0" w:color="auto"/>
              <w:right w:val="single" w:sz="4" w:space="0" w:color="auto"/>
            </w:tcBorders>
            <w:shd w:val="clear" w:color="000000" w:fill="FFFFFF"/>
            <w:noWrap/>
            <w:vAlign w:val="center"/>
            <w:hideMark/>
          </w:tcPr>
          <w:p w14:paraId="21C6BCAC"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86%</w:t>
            </w:r>
          </w:p>
        </w:tc>
        <w:tc>
          <w:tcPr>
            <w:tcW w:w="1360" w:type="dxa"/>
            <w:tcBorders>
              <w:top w:val="nil"/>
              <w:left w:val="nil"/>
              <w:bottom w:val="single" w:sz="4" w:space="0" w:color="auto"/>
              <w:right w:val="single" w:sz="4" w:space="0" w:color="auto"/>
            </w:tcBorders>
            <w:shd w:val="clear" w:color="000000" w:fill="FFFFFF"/>
            <w:noWrap/>
            <w:vAlign w:val="center"/>
            <w:hideMark/>
          </w:tcPr>
          <w:p w14:paraId="6040C5CF"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61%</w:t>
            </w:r>
          </w:p>
        </w:tc>
        <w:tc>
          <w:tcPr>
            <w:tcW w:w="1200" w:type="dxa"/>
            <w:tcBorders>
              <w:top w:val="nil"/>
              <w:left w:val="nil"/>
              <w:bottom w:val="single" w:sz="4" w:space="0" w:color="auto"/>
              <w:right w:val="single" w:sz="4" w:space="0" w:color="auto"/>
            </w:tcBorders>
            <w:shd w:val="clear" w:color="000000" w:fill="FFFFFF"/>
            <w:noWrap/>
            <w:vAlign w:val="center"/>
            <w:hideMark/>
          </w:tcPr>
          <w:p w14:paraId="2FF1804D"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102%</w:t>
            </w:r>
          </w:p>
        </w:tc>
        <w:tc>
          <w:tcPr>
            <w:tcW w:w="1340" w:type="dxa"/>
            <w:tcBorders>
              <w:top w:val="nil"/>
              <w:left w:val="nil"/>
              <w:bottom w:val="single" w:sz="4" w:space="0" w:color="auto"/>
              <w:right w:val="single" w:sz="4" w:space="0" w:color="auto"/>
            </w:tcBorders>
            <w:shd w:val="clear" w:color="000000" w:fill="FFFFFF"/>
            <w:noWrap/>
            <w:vAlign w:val="center"/>
            <w:hideMark/>
          </w:tcPr>
          <w:p w14:paraId="5ED3C53D"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209%</w:t>
            </w:r>
          </w:p>
        </w:tc>
        <w:tc>
          <w:tcPr>
            <w:tcW w:w="1340" w:type="dxa"/>
            <w:tcBorders>
              <w:top w:val="nil"/>
              <w:left w:val="nil"/>
              <w:bottom w:val="single" w:sz="4" w:space="0" w:color="auto"/>
              <w:right w:val="single" w:sz="4" w:space="0" w:color="auto"/>
            </w:tcBorders>
            <w:shd w:val="clear" w:color="000000" w:fill="FFFFFF"/>
            <w:noWrap/>
            <w:vAlign w:val="center"/>
            <w:hideMark/>
          </w:tcPr>
          <w:p w14:paraId="7D42A8FF"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77%</w:t>
            </w:r>
          </w:p>
        </w:tc>
        <w:tc>
          <w:tcPr>
            <w:tcW w:w="1200" w:type="dxa"/>
            <w:tcBorders>
              <w:top w:val="nil"/>
              <w:left w:val="nil"/>
              <w:bottom w:val="single" w:sz="4" w:space="0" w:color="auto"/>
              <w:right w:val="single" w:sz="4" w:space="0" w:color="auto"/>
            </w:tcBorders>
            <w:shd w:val="clear" w:color="000000" w:fill="FFFFFF"/>
            <w:noWrap/>
            <w:vAlign w:val="center"/>
            <w:hideMark/>
          </w:tcPr>
          <w:p w14:paraId="015A37CD"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97%</w:t>
            </w:r>
          </w:p>
        </w:tc>
      </w:tr>
      <w:tr w:rsidR="000A6207" w:rsidRPr="00462DB6" w14:paraId="01FCEA7C"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1DA59CD6"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48</w:t>
            </w:r>
          </w:p>
        </w:tc>
        <w:tc>
          <w:tcPr>
            <w:tcW w:w="1740" w:type="dxa"/>
            <w:tcBorders>
              <w:top w:val="nil"/>
              <w:left w:val="nil"/>
              <w:bottom w:val="single" w:sz="4" w:space="0" w:color="auto"/>
              <w:right w:val="single" w:sz="4" w:space="0" w:color="auto"/>
            </w:tcBorders>
            <w:shd w:val="clear" w:color="000000" w:fill="FFFFFF"/>
            <w:noWrap/>
            <w:vAlign w:val="center"/>
            <w:hideMark/>
          </w:tcPr>
          <w:p w14:paraId="757E702A"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94%</w:t>
            </w:r>
          </w:p>
        </w:tc>
        <w:tc>
          <w:tcPr>
            <w:tcW w:w="1200" w:type="dxa"/>
            <w:tcBorders>
              <w:top w:val="nil"/>
              <w:left w:val="nil"/>
              <w:bottom w:val="single" w:sz="4" w:space="0" w:color="auto"/>
              <w:right w:val="single" w:sz="4" w:space="0" w:color="auto"/>
            </w:tcBorders>
            <w:shd w:val="clear" w:color="000000" w:fill="FFFFFF"/>
            <w:noWrap/>
            <w:vAlign w:val="center"/>
            <w:hideMark/>
          </w:tcPr>
          <w:p w14:paraId="0EA204D4"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140%</w:t>
            </w:r>
          </w:p>
        </w:tc>
        <w:tc>
          <w:tcPr>
            <w:tcW w:w="1360" w:type="dxa"/>
            <w:tcBorders>
              <w:top w:val="nil"/>
              <w:left w:val="nil"/>
              <w:bottom w:val="single" w:sz="4" w:space="0" w:color="auto"/>
              <w:right w:val="single" w:sz="4" w:space="0" w:color="auto"/>
            </w:tcBorders>
            <w:shd w:val="clear" w:color="000000" w:fill="FFFFFF"/>
            <w:noWrap/>
            <w:vAlign w:val="center"/>
            <w:hideMark/>
          </w:tcPr>
          <w:p w14:paraId="789FFF5F"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63%</w:t>
            </w:r>
          </w:p>
        </w:tc>
        <w:tc>
          <w:tcPr>
            <w:tcW w:w="1200" w:type="dxa"/>
            <w:tcBorders>
              <w:top w:val="nil"/>
              <w:left w:val="nil"/>
              <w:bottom w:val="single" w:sz="4" w:space="0" w:color="auto"/>
              <w:right w:val="single" w:sz="4" w:space="0" w:color="auto"/>
            </w:tcBorders>
            <w:shd w:val="clear" w:color="000000" w:fill="FFFFFF"/>
            <w:noWrap/>
            <w:vAlign w:val="center"/>
            <w:hideMark/>
          </w:tcPr>
          <w:p w14:paraId="2D14CEDB"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105%</w:t>
            </w:r>
          </w:p>
        </w:tc>
        <w:tc>
          <w:tcPr>
            <w:tcW w:w="1340" w:type="dxa"/>
            <w:tcBorders>
              <w:top w:val="nil"/>
              <w:left w:val="nil"/>
              <w:bottom w:val="single" w:sz="4" w:space="0" w:color="auto"/>
              <w:right w:val="single" w:sz="4" w:space="0" w:color="auto"/>
            </w:tcBorders>
            <w:shd w:val="clear" w:color="000000" w:fill="FFFFFF"/>
            <w:noWrap/>
            <w:vAlign w:val="center"/>
            <w:hideMark/>
          </w:tcPr>
          <w:p w14:paraId="12507E67"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251%</w:t>
            </w:r>
          </w:p>
        </w:tc>
        <w:tc>
          <w:tcPr>
            <w:tcW w:w="1340" w:type="dxa"/>
            <w:tcBorders>
              <w:top w:val="nil"/>
              <w:left w:val="nil"/>
              <w:bottom w:val="single" w:sz="4" w:space="0" w:color="auto"/>
              <w:right w:val="single" w:sz="4" w:space="0" w:color="auto"/>
            </w:tcBorders>
            <w:shd w:val="clear" w:color="000000" w:fill="FFFFFF"/>
            <w:noWrap/>
            <w:vAlign w:val="center"/>
            <w:hideMark/>
          </w:tcPr>
          <w:p w14:paraId="350DFCE7"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93%</w:t>
            </w:r>
          </w:p>
        </w:tc>
        <w:tc>
          <w:tcPr>
            <w:tcW w:w="1200" w:type="dxa"/>
            <w:tcBorders>
              <w:top w:val="nil"/>
              <w:left w:val="nil"/>
              <w:bottom w:val="single" w:sz="4" w:space="0" w:color="auto"/>
              <w:right w:val="single" w:sz="4" w:space="0" w:color="auto"/>
            </w:tcBorders>
            <w:shd w:val="clear" w:color="000000" w:fill="FFFFFF"/>
            <w:noWrap/>
            <w:vAlign w:val="center"/>
            <w:hideMark/>
          </w:tcPr>
          <w:p w14:paraId="74ABE855"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109%</w:t>
            </w:r>
          </w:p>
        </w:tc>
      </w:tr>
      <w:tr w:rsidR="000A6207" w:rsidRPr="00462DB6" w14:paraId="766B2A93"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5EBC5636"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49</w:t>
            </w:r>
          </w:p>
        </w:tc>
        <w:tc>
          <w:tcPr>
            <w:tcW w:w="1740" w:type="dxa"/>
            <w:tcBorders>
              <w:top w:val="nil"/>
              <w:left w:val="nil"/>
              <w:bottom w:val="single" w:sz="4" w:space="0" w:color="auto"/>
              <w:right w:val="single" w:sz="4" w:space="0" w:color="auto"/>
            </w:tcBorders>
            <w:shd w:val="clear" w:color="000000" w:fill="FFFFFF"/>
            <w:noWrap/>
            <w:vAlign w:val="center"/>
            <w:hideMark/>
          </w:tcPr>
          <w:p w14:paraId="7A44342D"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109%</w:t>
            </w:r>
          </w:p>
        </w:tc>
        <w:tc>
          <w:tcPr>
            <w:tcW w:w="1200" w:type="dxa"/>
            <w:tcBorders>
              <w:top w:val="nil"/>
              <w:left w:val="nil"/>
              <w:bottom w:val="single" w:sz="4" w:space="0" w:color="auto"/>
              <w:right w:val="single" w:sz="4" w:space="0" w:color="auto"/>
            </w:tcBorders>
            <w:shd w:val="clear" w:color="000000" w:fill="FFFFFF"/>
            <w:noWrap/>
            <w:vAlign w:val="center"/>
            <w:hideMark/>
          </w:tcPr>
          <w:p w14:paraId="25929C08"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102%</w:t>
            </w:r>
          </w:p>
        </w:tc>
        <w:tc>
          <w:tcPr>
            <w:tcW w:w="1360" w:type="dxa"/>
            <w:tcBorders>
              <w:top w:val="nil"/>
              <w:left w:val="nil"/>
              <w:bottom w:val="single" w:sz="4" w:space="0" w:color="auto"/>
              <w:right w:val="single" w:sz="4" w:space="0" w:color="auto"/>
            </w:tcBorders>
            <w:shd w:val="clear" w:color="000000" w:fill="FFFFFF"/>
            <w:noWrap/>
            <w:vAlign w:val="center"/>
            <w:hideMark/>
          </w:tcPr>
          <w:p w14:paraId="0478B826"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52%</w:t>
            </w:r>
          </w:p>
        </w:tc>
        <w:tc>
          <w:tcPr>
            <w:tcW w:w="1200" w:type="dxa"/>
            <w:tcBorders>
              <w:top w:val="nil"/>
              <w:left w:val="nil"/>
              <w:bottom w:val="single" w:sz="4" w:space="0" w:color="auto"/>
              <w:right w:val="single" w:sz="4" w:space="0" w:color="auto"/>
            </w:tcBorders>
            <w:shd w:val="clear" w:color="000000" w:fill="FFFFFF"/>
            <w:noWrap/>
            <w:vAlign w:val="center"/>
            <w:hideMark/>
          </w:tcPr>
          <w:p w14:paraId="263D4A18"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95%</w:t>
            </w:r>
          </w:p>
        </w:tc>
        <w:tc>
          <w:tcPr>
            <w:tcW w:w="1340" w:type="dxa"/>
            <w:tcBorders>
              <w:top w:val="nil"/>
              <w:left w:val="nil"/>
              <w:bottom w:val="single" w:sz="4" w:space="0" w:color="auto"/>
              <w:right w:val="single" w:sz="4" w:space="0" w:color="auto"/>
            </w:tcBorders>
            <w:shd w:val="clear" w:color="000000" w:fill="FFFFFF"/>
            <w:noWrap/>
            <w:vAlign w:val="center"/>
            <w:hideMark/>
          </w:tcPr>
          <w:p w14:paraId="18504EB7"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278%</w:t>
            </w:r>
          </w:p>
        </w:tc>
        <w:tc>
          <w:tcPr>
            <w:tcW w:w="1340" w:type="dxa"/>
            <w:tcBorders>
              <w:top w:val="nil"/>
              <w:left w:val="nil"/>
              <w:bottom w:val="single" w:sz="4" w:space="0" w:color="auto"/>
              <w:right w:val="single" w:sz="4" w:space="0" w:color="auto"/>
            </w:tcBorders>
            <w:shd w:val="clear" w:color="000000" w:fill="FFFFFF"/>
            <w:noWrap/>
            <w:vAlign w:val="center"/>
            <w:hideMark/>
          </w:tcPr>
          <w:p w14:paraId="5BE88DB5"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101%</w:t>
            </w:r>
          </w:p>
        </w:tc>
        <w:tc>
          <w:tcPr>
            <w:tcW w:w="1200" w:type="dxa"/>
            <w:tcBorders>
              <w:top w:val="nil"/>
              <w:left w:val="nil"/>
              <w:bottom w:val="single" w:sz="4" w:space="0" w:color="auto"/>
              <w:right w:val="single" w:sz="4" w:space="0" w:color="auto"/>
            </w:tcBorders>
            <w:shd w:val="clear" w:color="000000" w:fill="FFFFFF"/>
            <w:noWrap/>
            <w:vAlign w:val="center"/>
            <w:hideMark/>
          </w:tcPr>
          <w:p w14:paraId="039140AF" w14:textId="77777777" w:rsidR="000A6207" w:rsidRPr="00462DB6" w:rsidRDefault="000A6207" w:rsidP="00243F14">
            <w:pPr>
              <w:spacing w:line="276" w:lineRule="auto"/>
              <w:jc w:val="center"/>
              <w:rPr>
                <w:rFonts w:ascii="Book Antiqua" w:hAnsi="Book Antiqua" w:cs="Calibri"/>
                <w:color w:val="000000"/>
                <w:sz w:val="16"/>
                <w:szCs w:val="16"/>
                <w:lang w:eastAsia="es-CR"/>
              </w:rPr>
            </w:pPr>
            <w:r w:rsidRPr="00462DB6">
              <w:rPr>
                <w:rFonts w:ascii="Book Antiqua" w:hAnsi="Book Antiqua" w:cs="Calibri"/>
                <w:color w:val="000000"/>
                <w:sz w:val="16"/>
                <w:szCs w:val="16"/>
                <w:lang w:eastAsia="es-CR"/>
              </w:rPr>
              <w:t>115%</w:t>
            </w:r>
          </w:p>
        </w:tc>
      </w:tr>
      <w:tr w:rsidR="000A6207" w:rsidRPr="00462DB6" w14:paraId="6D3C5D41"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084D41AA" w14:textId="77777777" w:rsidR="000A6207" w:rsidRPr="00462DB6" w:rsidRDefault="000A6207" w:rsidP="00243F14">
            <w:pPr>
              <w:spacing w:line="276" w:lineRule="auto"/>
              <w:jc w:val="center"/>
              <w:rPr>
                <w:rFonts w:ascii="Book Antiqua" w:hAnsi="Book Antiqua" w:cs="Calibri"/>
                <w:b/>
                <w:bCs/>
                <w:color w:val="000000"/>
                <w:sz w:val="16"/>
                <w:szCs w:val="16"/>
                <w:lang w:eastAsia="es-CR"/>
              </w:rPr>
            </w:pPr>
            <w:r w:rsidRPr="00462DB6">
              <w:rPr>
                <w:rFonts w:ascii="Book Antiqua" w:hAnsi="Book Antiqua" w:cs="Calibri"/>
                <w:b/>
                <w:bCs/>
                <w:color w:val="000000"/>
                <w:sz w:val="16"/>
                <w:szCs w:val="16"/>
                <w:lang w:eastAsia="es-CR"/>
              </w:rPr>
              <w:t>Promedio</w:t>
            </w:r>
          </w:p>
        </w:tc>
        <w:tc>
          <w:tcPr>
            <w:tcW w:w="1740" w:type="dxa"/>
            <w:tcBorders>
              <w:top w:val="nil"/>
              <w:left w:val="nil"/>
              <w:bottom w:val="single" w:sz="4" w:space="0" w:color="auto"/>
              <w:right w:val="single" w:sz="4" w:space="0" w:color="auto"/>
            </w:tcBorders>
            <w:shd w:val="clear" w:color="000000" w:fill="FFFFFF"/>
            <w:noWrap/>
            <w:vAlign w:val="center"/>
            <w:hideMark/>
          </w:tcPr>
          <w:p w14:paraId="16DCDEC4" w14:textId="77777777" w:rsidR="000A6207" w:rsidRPr="00462DB6" w:rsidRDefault="000A6207" w:rsidP="00243F14">
            <w:pPr>
              <w:spacing w:line="276" w:lineRule="auto"/>
              <w:jc w:val="center"/>
              <w:rPr>
                <w:rFonts w:ascii="Book Antiqua" w:hAnsi="Book Antiqua" w:cs="Calibri"/>
                <w:b/>
                <w:bCs/>
                <w:color w:val="000000"/>
                <w:sz w:val="16"/>
                <w:szCs w:val="16"/>
                <w:lang w:eastAsia="es-CR"/>
              </w:rPr>
            </w:pPr>
            <w:r w:rsidRPr="00462DB6">
              <w:rPr>
                <w:rFonts w:ascii="Book Antiqua" w:hAnsi="Book Antiqua" w:cs="Calibri"/>
                <w:b/>
                <w:bCs/>
                <w:color w:val="000000"/>
                <w:sz w:val="16"/>
                <w:szCs w:val="16"/>
                <w:lang w:eastAsia="es-CR"/>
              </w:rPr>
              <w:t>86%</w:t>
            </w:r>
          </w:p>
        </w:tc>
        <w:tc>
          <w:tcPr>
            <w:tcW w:w="1200" w:type="dxa"/>
            <w:tcBorders>
              <w:top w:val="nil"/>
              <w:left w:val="nil"/>
              <w:bottom w:val="single" w:sz="4" w:space="0" w:color="auto"/>
              <w:right w:val="single" w:sz="4" w:space="0" w:color="auto"/>
            </w:tcBorders>
            <w:shd w:val="clear" w:color="000000" w:fill="FFFFFF"/>
            <w:noWrap/>
            <w:vAlign w:val="center"/>
            <w:hideMark/>
          </w:tcPr>
          <w:p w14:paraId="325ACE09" w14:textId="77777777" w:rsidR="000A6207" w:rsidRPr="00462DB6" w:rsidRDefault="000A6207" w:rsidP="00243F14">
            <w:pPr>
              <w:spacing w:line="276" w:lineRule="auto"/>
              <w:jc w:val="center"/>
              <w:rPr>
                <w:rFonts w:ascii="Book Antiqua" w:hAnsi="Book Antiqua" w:cs="Calibri"/>
                <w:b/>
                <w:bCs/>
                <w:color w:val="000000"/>
                <w:sz w:val="16"/>
                <w:szCs w:val="16"/>
                <w:lang w:eastAsia="es-CR"/>
              </w:rPr>
            </w:pPr>
            <w:r w:rsidRPr="00462DB6">
              <w:rPr>
                <w:rFonts w:ascii="Book Antiqua" w:hAnsi="Book Antiqua" w:cs="Calibri"/>
                <w:b/>
                <w:bCs/>
                <w:color w:val="000000"/>
                <w:sz w:val="16"/>
                <w:szCs w:val="16"/>
                <w:lang w:eastAsia="es-CR"/>
              </w:rPr>
              <w:t>103%</w:t>
            </w:r>
          </w:p>
        </w:tc>
        <w:tc>
          <w:tcPr>
            <w:tcW w:w="1360" w:type="dxa"/>
            <w:tcBorders>
              <w:top w:val="nil"/>
              <w:left w:val="nil"/>
              <w:bottom w:val="single" w:sz="4" w:space="0" w:color="auto"/>
              <w:right w:val="single" w:sz="4" w:space="0" w:color="auto"/>
            </w:tcBorders>
            <w:shd w:val="clear" w:color="auto" w:fill="auto"/>
            <w:noWrap/>
            <w:vAlign w:val="center"/>
            <w:hideMark/>
          </w:tcPr>
          <w:p w14:paraId="609EF806" w14:textId="77777777" w:rsidR="000A6207" w:rsidRPr="00462DB6" w:rsidRDefault="000A6207" w:rsidP="00243F14">
            <w:pPr>
              <w:spacing w:line="276" w:lineRule="auto"/>
              <w:jc w:val="center"/>
              <w:rPr>
                <w:rFonts w:ascii="Book Antiqua" w:hAnsi="Book Antiqua" w:cs="Calibri"/>
                <w:b/>
                <w:bCs/>
                <w:color w:val="000000"/>
                <w:sz w:val="16"/>
                <w:szCs w:val="16"/>
                <w:lang w:eastAsia="es-CR"/>
              </w:rPr>
            </w:pPr>
            <w:r w:rsidRPr="00462DB6">
              <w:rPr>
                <w:rFonts w:ascii="Book Antiqua" w:hAnsi="Book Antiqua" w:cs="Calibri"/>
                <w:b/>
                <w:bCs/>
                <w:color w:val="000000"/>
                <w:sz w:val="16"/>
                <w:szCs w:val="16"/>
                <w:lang w:eastAsia="es-CR"/>
              </w:rPr>
              <w:t>53%</w:t>
            </w:r>
          </w:p>
        </w:tc>
        <w:tc>
          <w:tcPr>
            <w:tcW w:w="1200" w:type="dxa"/>
            <w:tcBorders>
              <w:top w:val="nil"/>
              <w:left w:val="nil"/>
              <w:bottom w:val="single" w:sz="4" w:space="0" w:color="auto"/>
              <w:right w:val="single" w:sz="4" w:space="0" w:color="auto"/>
            </w:tcBorders>
            <w:shd w:val="clear" w:color="000000" w:fill="FFFFFF"/>
            <w:noWrap/>
            <w:vAlign w:val="center"/>
            <w:hideMark/>
          </w:tcPr>
          <w:p w14:paraId="4D9DE654" w14:textId="77777777" w:rsidR="000A6207" w:rsidRPr="00462DB6" w:rsidRDefault="000A6207" w:rsidP="00243F14">
            <w:pPr>
              <w:spacing w:line="276" w:lineRule="auto"/>
              <w:jc w:val="center"/>
              <w:rPr>
                <w:rFonts w:ascii="Book Antiqua" w:hAnsi="Book Antiqua" w:cs="Calibri"/>
                <w:b/>
                <w:bCs/>
                <w:color w:val="000000"/>
                <w:sz w:val="16"/>
                <w:szCs w:val="16"/>
                <w:lang w:eastAsia="es-CR"/>
              </w:rPr>
            </w:pPr>
            <w:r w:rsidRPr="00462DB6">
              <w:rPr>
                <w:rFonts w:ascii="Book Antiqua" w:hAnsi="Book Antiqua" w:cs="Calibri"/>
                <w:b/>
                <w:bCs/>
                <w:color w:val="000000"/>
                <w:sz w:val="16"/>
                <w:szCs w:val="16"/>
                <w:lang w:eastAsia="es-CR"/>
              </w:rPr>
              <w:t>109%</w:t>
            </w:r>
          </w:p>
        </w:tc>
        <w:tc>
          <w:tcPr>
            <w:tcW w:w="1340" w:type="dxa"/>
            <w:tcBorders>
              <w:top w:val="nil"/>
              <w:left w:val="nil"/>
              <w:bottom w:val="single" w:sz="4" w:space="0" w:color="auto"/>
              <w:right w:val="single" w:sz="4" w:space="0" w:color="auto"/>
            </w:tcBorders>
            <w:shd w:val="clear" w:color="000000" w:fill="FFFFFF"/>
            <w:noWrap/>
            <w:vAlign w:val="center"/>
            <w:hideMark/>
          </w:tcPr>
          <w:p w14:paraId="3D9A10CA" w14:textId="77777777" w:rsidR="000A6207" w:rsidRPr="00462DB6" w:rsidRDefault="000A6207" w:rsidP="00243F14">
            <w:pPr>
              <w:spacing w:line="276" w:lineRule="auto"/>
              <w:jc w:val="center"/>
              <w:rPr>
                <w:rFonts w:ascii="Book Antiqua" w:hAnsi="Book Antiqua" w:cs="Calibri"/>
                <w:b/>
                <w:bCs/>
                <w:color w:val="000000"/>
                <w:sz w:val="16"/>
                <w:szCs w:val="16"/>
                <w:lang w:eastAsia="es-CR"/>
              </w:rPr>
            </w:pPr>
            <w:r w:rsidRPr="00462DB6">
              <w:rPr>
                <w:rFonts w:ascii="Book Antiqua" w:hAnsi="Book Antiqua" w:cs="Calibri"/>
                <w:b/>
                <w:bCs/>
                <w:color w:val="000000"/>
                <w:sz w:val="16"/>
                <w:szCs w:val="16"/>
                <w:lang w:eastAsia="es-CR"/>
              </w:rPr>
              <w:t>238%</w:t>
            </w:r>
          </w:p>
        </w:tc>
        <w:tc>
          <w:tcPr>
            <w:tcW w:w="1340" w:type="dxa"/>
            <w:tcBorders>
              <w:top w:val="nil"/>
              <w:left w:val="nil"/>
              <w:bottom w:val="single" w:sz="4" w:space="0" w:color="auto"/>
              <w:right w:val="single" w:sz="4" w:space="0" w:color="auto"/>
            </w:tcBorders>
            <w:shd w:val="clear" w:color="000000" w:fill="FFFFFF"/>
            <w:noWrap/>
            <w:vAlign w:val="center"/>
            <w:hideMark/>
          </w:tcPr>
          <w:p w14:paraId="5A82DAEA" w14:textId="77777777" w:rsidR="000A6207" w:rsidRPr="00462DB6" w:rsidRDefault="000A6207" w:rsidP="00243F14">
            <w:pPr>
              <w:spacing w:line="276" w:lineRule="auto"/>
              <w:jc w:val="center"/>
              <w:rPr>
                <w:rFonts w:ascii="Book Antiqua" w:hAnsi="Book Antiqua" w:cs="Calibri"/>
                <w:b/>
                <w:bCs/>
                <w:color w:val="000000"/>
                <w:sz w:val="16"/>
                <w:szCs w:val="16"/>
                <w:lang w:eastAsia="es-CR"/>
              </w:rPr>
            </w:pPr>
            <w:r w:rsidRPr="00462DB6">
              <w:rPr>
                <w:rFonts w:ascii="Book Antiqua" w:hAnsi="Book Antiqua" w:cs="Calibri"/>
                <w:b/>
                <w:bCs/>
                <w:color w:val="000000"/>
                <w:sz w:val="16"/>
                <w:szCs w:val="16"/>
                <w:lang w:eastAsia="es-CR"/>
              </w:rPr>
              <w:t>92%</w:t>
            </w:r>
          </w:p>
        </w:tc>
        <w:tc>
          <w:tcPr>
            <w:tcW w:w="1200" w:type="dxa"/>
            <w:tcBorders>
              <w:top w:val="nil"/>
              <w:left w:val="nil"/>
              <w:bottom w:val="single" w:sz="4" w:space="0" w:color="auto"/>
              <w:right w:val="single" w:sz="4" w:space="0" w:color="auto"/>
            </w:tcBorders>
            <w:shd w:val="clear" w:color="000000" w:fill="FFFFFF"/>
            <w:noWrap/>
            <w:vAlign w:val="center"/>
            <w:hideMark/>
          </w:tcPr>
          <w:p w14:paraId="6915326D" w14:textId="77777777" w:rsidR="000A6207" w:rsidRPr="00462DB6" w:rsidRDefault="000A6207" w:rsidP="00243F14">
            <w:pPr>
              <w:spacing w:line="276" w:lineRule="auto"/>
              <w:jc w:val="center"/>
              <w:rPr>
                <w:rFonts w:ascii="Book Antiqua" w:hAnsi="Book Antiqua" w:cs="Calibri"/>
                <w:b/>
                <w:bCs/>
                <w:color w:val="000000"/>
                <w:sz w:val="16"/>
                <w:szCs w:val="16"/>
                <w:lang w:eastAsia="es-CR"/>
              </w:rPr>
            </w:pPr>
            <w:r w:rsidRPr="00462DB6">
              <w:rPr>
                <w:rFonts w:ascii="Book Antiqua" w:hAnsi="Book Antiqua" w:cs="Calibri"/>
                <w:b/>
                <w:bCs/>
                <w:color w:val="000000"/>
                <w:sz w:val="16"/>
                <w:szCs w:val="16"/>
                <w:lang w:eastAsia="es-CR"/>
              </w:rPr>
              <w:t>97%</w:t>
            </w:r>
          </w:p>
        </w:tc>
      </w:tr>
    </w:tbl>
    <w:p w14:paraId="3FD288C4" w14:textId="77777777" w:rsidR="000A6207" w:rsidRPr="004F0E92" w:rsidRDefault="000A6207" w:rsidP="000A6207">
      <w:pPr>
        <w:spacing w:line="276" w:lineRule="auto"/>
        <w:jc w:val="right"/>
        <w:rPr>
          <w:rFonts w:ascii="Book Antiqua" w:hAnsi="Book Antiqua"/>
          <w:b/>
          <w:bCs/>
          <w:color w:val="000000" w:themeColor="text1"/>
          <w:sz w:val="20"/>
          <w:szCs w:val="20"/>
        </w:rPr>
      </w:pPr>
      <w:r w:rsidRPr="004F0E92">
        <w:rPr>
          <w:rFonts w:ascii="Book Antiqua" w:hAnsi="Book Antiqua"/>
          <w:b/>
          <w:bCs/>
          <w:color w:val="000000" w:themeColor="text1"/>
          <w:sz w:val="20"/>
          <w:szCs w:val="20"/>
        </w:rPr>
        <w:t xml:space="preserve">Fuente: </w:t>
      </w:r>
      <w:r w:rsidRPr="004F0E92">
        <w:rPr>
          <w:rFonts w:ascii="Book Antiqua" w:hAnsi="Book Antiqua"/>
          <w:color w:val="000000" w:themeColor="text1"/>
          <w:sz w:val="20"/>
          <w:szCs w:val="20"/>
        </w:rPr>
        <w:t>Elaboración propia a partir de datos suministrados por despachos según circular 61-2020</w:t>
      </w:r>
    </w:p>
    <w:p w14:paraId="0AD58E50" w14:textId="77777777" w:rsidR="000A6207" w:rsidRDefault="000A6207" w:rsidP="000A6207">
      <w:pPr>
        <w:spacing w:line="276" w:lineRule="auto"/>
        <w:jc w:val="both"/>
        <w:rPr>
          <w:rFonts w:ascii="Book Antiqua" w:hAnsi="Book Antiqua"/>
        </w:rPr>
      </w:pPr>
    </w:p>
    <w:p w14:paraId="3DC15500" w14:textId="48CF68D0" w:rsidR="000A6207" w:rsidRDefault="000A6207" w:rsidP="000A6207">
      <w:pPr>
        <w:spacing w:line="276" w:lineRule="auto"/>
        <w:jc w:val="both"/>
        <w:rPr>
          <w:rFonts w:ascii="Book Antiqua" w:hAnsi="Book Antiqua"/>
        </w:rPr>
      </w:pPr>
      <w:r>
        <w:rPr>
          <w:rFonts w:ascii="Book Antiqua" w:hAnsi="Book Antiqua"/>
        </w:rPr>
        <w:t>A partir de mayo de 2021, la Corte Plena en</w:t>
      </w:r>
      <w:r w:rsidRPr="00DC0B65">
        <w:rPr>
          <w:rFonts w:ascii="Book Antiqua" w:hAnsi="Book Antiqua"/>
        </w:rPr>
        <w:t xml:space="preserve"> sesión N°12-2021 del 22 de marzo de 2021</w:t>
      </w:r>
      <w:r>
        <w:rPr>
          <w:rFonts w:ascii="Book Antiqua" w:hAnsi="Book Antiqua"/>
        </w:rPr>
        <w:t xml:space="preserve">, aprobó que los Juzgados Penales, Tribunales Penales, Secciones de Flagrancia y Juzgados de Ejecución de la Pena, presentaran los informes mensualmente mediante la matriz de Indicadores de Gestión. Por lo que, en el </w:t>
      </w:r>
      <w:r w:rsidRPr="009123AD">
        <w:rPr>
          <w:rFonts w:ascii="Book Antiqua" w:hAnsi="Book Antiqua"/>
          <w:b/>
          <w:bCs/>
        </w:rPr>
        <w:t xml:space="preserve">cuadro </w:t>
      </w:r>
      <w:r w:rsidR="00FF03C7">
        <w:rPr>
          <w:rFonts w:ascii="Book Antiqua" w:hAnsi="Book Antiqua"/>
          <w:b/>
          <w:bCs/>
        </w:rPr>
        <w:t>7</w:t>
      </w:r>
      <w:r w:rsidR="00635E2C">
        <w:rPr>
          <w:rFonts w:ascii="Book Antiqua" w:hAnsi="Book Antiqua"/>
          <w:b/>
          <w:bCs/>
        </w:rPr>
        <w:t>6</w:t>
      </w:r>
      <w:r>
        <w:rPr>
          <w:rFonts w:ascii="Book Antiqua" w:hAnsi="Book Antiqua"/>
          <w:b/>
          <w:bCs/>
        </w:rPr>
        <w:t>,</w:t>
      </w:r>
      <w:r>
        <w:rPr>
          <w:rFonts w:ascii="Book Antiqua" w:hAnsi="Book Antiqua"/>
        </w:rPr>
        <w:t xml:space="preserve"> se detalla los porcentajes de cumplimento de forma mensual obtenidos tanto en el informe de labores como en la matriz de indicadores respectiva.</w:t>
      </w:r>
    </w:p>
    <w:p w14:paraId="3CE6B4D8" w14:textId="6D9136D3" w:rsidR="000A6207" w:rsidRDefault="000A6207" w:rsidP="000A6207">
      <w:pPr>
        <w:spacing w:line="276" w:lineRule="auto"/>
        <w:jc w:val="both"/>
        <w:rPr>
          <w:rFonts w:ascii="Book Antiqua" w:hAnsi="Book Antiqua"/>
        </w:rPr>
      </w:pPr>
    </w:p>
    <w:p w14:paraId="76F12852" w14:textId="1CA4D2BE" w:rsidR="006F775A" w:rsidRDefault="006F775A">
      <w:pPr>
        <w:rPr>
          <w:rFonts w:ascii="Book Antiqua" w:hAnsi="Book Antiqua"/>
        </w:rPr>
      </w:pPr>
      <w:r>
        <w:rPr>
          <w:rFonts w:ascii="Book Antiqua" w:hAnsi="Book Antiqua"/>
        </w:rPr>
        <w:br w:type="page"/>
      </w:r>
    </w:p>
    <w:p w14:paraId="7A358DB9" w14:textId="77777777" w:rsidR="006F775A" w:rsidRDefault="006F775A" w:rsidP="000A6207">
      <w:pPr>
        <w:spacing w:line="276" w:lineRule="auto"/>
        <w:jc w:val="both"/>
        <w:rPr>
          <w:rFonts w:ascii="Book Antiqua" w:hAnsi="Book Antiqua"/>
        </w:rPr>
      </w:pPr>
    </w:p>
    <w:p w14:paraId="2255E36E" w14:textId="77777777" w:rsidR="000A6207" w:rsidRPr="007272AB" w:rsidRDefault="000A6207" w:rsidP="000A6207">
      <w:pPr>
        <w:spacing w:line="276" w:lineRule="auto"/>
        <w:jc w:val="both"/>
        <w:rPr>
          <w:rFonts w:ascii="Book Antiqua" w:hAnsi="Book Antiqua"/>
        </w:rPr>
      </w:pPr>
    </w:p>
    <w:p w14:paraId="5402C9A7" w14:textId="66646F7C" w:rsidR="000A6207" w:rsidRPr="00582659" w:rsidRDefault="000A6207" w:rsidP="000A6207">
      <w:pPr>
        <w:spacing w:line="276" w:lineRule="auto"/>
        <w:jc w:val="center"/>
        <w:rPr>
          <w:rFonts w:ascii="Book Antiqua" w:hAnsi="Book Antiqua"/>
          <w:b/>
          <w:color w:val="000000" w:themeColor="text1"/>
        </w:rPr>
      </w:pPr>
      <w:r w:rsidRPr="00582659">
        <w:rPr>
          <w:rFonts w:ascii="Book Antiqua" w:hAnsi="Book Antiqua"/>
          <w:b/>
          <w:color w:val="000000" w:themeColor="text1"/>
        </w:rPr>
        <w:t xml:space="preserve">Cuadro </w:t>
      </w:r>
      <w:r w:rsidR="00FF03C7">
        <w:rPr>
          <w:rFonts w:ascii="Book Antiqua" w:hAnsi="Book Antiqua"/>
          <w:b/>
          <w:color w:val="000000" w:themeColor="text1"/>
        </w:rPr>
        <w:t>7</w:t>
      </w:r>
      <w:r w:rsidR="00635E2C">
        <w:rPr>
          <w:rFonts w:ascii="Book Antiqua" w:hAnsi="Book Antiqua"/>
          <w:b/>
          <w:color w:val="000000" w:themeColor="text1"/>
        </w:rPr>
        <w:t>6</w:t>
      </w:r>
    </w:p>
    <w:p w14:paraId="09FEEB94" w14:textId="77777777" w:rsidR="000A6207" w:rsidRPr="00582659" w:rsidRDefault="000A6207" w:rsidP="000A6207">
      <w:pPr>
        <w:spacing w:line="276" w:lineRule="auto"/>
        <w:jc w:val="center"/>
        <w:rPr>
          <w:rFonts w:ascii="Book Antiqua" w:hAnsi="Book Antiqua"/>
          <w:bCs/>
          <w:color w:val="000000" w:themeColor="text1"/>
        </w:rPr>
      </w:pPr>
      <w:r w:rsidRPr="00582659">
        <w:rPr>
          <w:rFonts w:ascii="Book Antiqua" w:hAnsi="Book Antiqua"/>
          <w:bCs/>
          <w:color w:val="000000" w:themeColor="text1"/>
        </w:rPr>
        <w:t xml:space="preserve">Cumplimiento del parámetro de producción teórico de </w:t>
      </w:r>
    </w:p>
    <w:p w14:paraId="13A0536D" w14:textId="77777777" w:rsidR="000A6207" w:rsidRDefault="000A6207" w:rsidP="000A6207">
      <w:pPr>
        <w:spacing w:line="276" w:lineRule="auto"/>
        <w:jc w:val="center"/>
        <w:rPr>
          <w:rFonts w:ascii="Book Antiqua" w:hAnsi="Book Antiqua"/>
        </w:rPr>
      </w:pPr>
      <w:r w:rsidRPr="00582659">
        <w:rPr>
          <w:rFonts w:ascii="Book Antiqua" w:hAnsi="Book Antiqua"/>
          <w:bCs/>
          <w:color w:val="000000" w:themeColor="text1"/>
        </w:rPr>
        <w:t>oficinas de materia</w:t>
      </w:r>
      <w:r>
        <w:rPr>
          <w:rFonts w:ascii="Book Antiqua" w:hAnsi="Book Antiqua"/>
          <w:bCs/>
          <w:color w:val="000000" w:themeColor="text1"/>
        </w:rPr>
        <w:t xml:space="preserve"> penal</w:t>
      </w:r>
      <w:r w:rsidRPr="00582659">
        <w:rPr>
          <w:rFonts w:ascii="Book Antiqua" w:hAnsi="Book Antiqua"/>
          <w:bCs/>
          <w:color w:val="000000" w:themeColor="text1"/>
        </w:rPr>
        <w:t xml:space="preserve">, </w:t>
      </w:r>
      <w:r w:rsidRPr="00582659">
        <w:rPr>
          <w:rFonts w:ascii="Book Antiqua" w:hAnsi="Book Antiqua"/>
        </w:rPr>
        <w:t xml:space="preserve">sesión </w:t>
      </w:r>
      <w:r>
        <w:rPr>
          <w:rFonts w:ascii="Book Antiqua" w:hAnsi="Book Antiqua"/>
        </w:rPr>
        <w:t xml:space="preserve">de Corte Plena </w:t>
      </w:r>
      <w:r w:rsidRPr="00582659">
        <w:rPr>
          <w:rFonts w:ascii="Book Antiqua" w:hAnsi="Book Antiqua"/>
        </w:rPr>
        <w:t>N°12-2021</w:t>
      </w:r>
    </w:p>
    <w:tbl>
      <w:tblPr>
        <w:tblW w:w="11052" w:type="dxa"/>
        <w:jc w:val="center"/>
        <w:tblCellMar>
          <w:left w:w="70" w:type="dxa"/>
          <w:right w:w="70" w:type="dxa"/>
        </w:tblCellMar>
        <w:tblLook w:val="04A0" w:firstRow="1" w:lastRow="0" w:firstColumn="1" w:lastColumn="0" w:noHBand="0" w:noVBand="1"/>
      </w:tblPr>
      <w:tblGrid>
        <w:gridCol w:w="921"/>
        <w:gridCol w:w="1740"/>
        <w:gridCol w:w="1200"/>
        <w:gridCol w:w="2300"/>
        <w:gridCol w:w="1200"/>
        <w:gridCol w:w="1340"/>
        <w:gridCol w:w="1340"/>
        <w:gridCol w:w="1011"/>
      </w:tblGrid>
      <w:tr w:rsidR="00386CBA" w:rsidRPr="00386CBA" w14:paraId="0E908C5F" w14:textId="77777777" w:rsidTr="00386CBA">
        <w:trPr>
          <w:trHeight w:val="520"/>
          <w:jc w:val="center"/>
        </w:trPr>
        <w:tc>
          <w:tcPr>
            <w:tcW w:w="921" w:type="dxa"/>
            <w:vMerge w:val="restart"/>
            <w:tcBorders>
              <w:top w:val="single" w:sz="4" w:space="0" w:color="auto"/>
              <w:left w:val="single" w:sz="4" w:space="0" w:color="auto"/>
              <w:bottom w:val="single" w:sz="4" w:space="0" w:color="auto"/>
              <w:right w:val="single" w:sz="4" w:space="0" w:color="auto"/>
            </w:tcBorders>
            <w:shd w:val="clear" w:color="000000" w:fill="305496"/>
            <w:vAlign w:val="center"/>
            <w:hideMark/>
          </w:tcPr>
          <w:p w14:paraId="0991B8B0" w14:textId="77777777" w:rsidR="00386CBA" w:rsidRPr="00386CBA" w:rsidRDefault="00386CBA" w:rsidP="00386CBA">
            <w:pPr>
              <w:jc w:val="center"/>
              <w:rPr>
                <w:rFonts w:ascii="Book Antiqua" w:hAnsi="Book Antiqua" w:cs="Calibri"/>
                <w:b/>
                <w:bCs/>
                <w:color w:val="FFFFFF"/>
                <w:sz w:val="16"/>
                <w:szCs w:val="16"/>
                <w:lang w:eastAsia="es-CR"/>
              </w:rPr>
            </w:pPr>
            <w:r w:rsidRPr="00386CBA">
              <w:rPr>
                <w:rFonts w:ascii="Book Antiqua" w:hAnsi="Book Antiqua" w:cs="Calibri"/>
                <w:b/>
                <w:bCs/>
                <w:color w:val="FFFFFF"/>
                <w:sz w:val="16"/>
                <w:szCs w:val="16"/>
                <w:lang w:eastAsia="es-CR"/>
              </w:rPr>
              <w:t>Mes</w:t>
            </w:r>
          </w:p>
        </w:tc>
        <w:tc>
          <w:tcPr>
            <w:tcW w:w="1740" w:type="dxa"/>
            <w:tcBorders>
              <w:top w:val="single" w:sz="4" w:space="0" w:color="auto"/>
              <w:left w:val="nil"/>
              <w:bottom w:val="single" w:sz="4" w:space="0" w:color="auto"/>
              <w:right w:val="single" w:sz="4" w:space="0" w:color="auto"/>
            </w:tcBorders>
            <w:shd w:val="clear" w:color="000000" w:fill="305496"/>
            <w:vAlign w:val="center"/>
            <w:hideMark/>
          </w:tcPr>
          <w:p w14:paraId="3666FE39" w14:textId="77777777" w:rsidR="00386CBA" w:rsidRPr="00386CBA" w:rsidRDefault="00386CBA" w:rsidP="00386CBA">
            <w:pPr>
              <w:jc w:val="center"/>
              <w:rPr>
                <w:rFonts w:ascii="Book Antiqua" w:hAnsi="Book Antiqua" w:cs="Calibri"/>
                <w:b/>
                <w:bCs/>
                <w:color w:val="FFFFFF"/>
                <w:sz w:val="16"/>
                <w:szCs w:val="16"/>
                <w:lang w:eastAsia="es-CR"/>
              </w:rPr>
            </w:pPr>
            <w:r w:rsidRPr="00386CBA">
              <w:rPr>
                <w:rFonts w:ascii="Book Antiqua" w:hAnsi="Book Antiqua" w:cs="Calibri"/>
                <w:b/>
                <w:bCs/>
                <w:color w:val="FFFFFF"/>
                <w:sz w:val="16"/>
                <w:szCs w:val="16"/>
                <w:lang w:eastAsia="es-CR"/>
              </w:rPr>
              <w:t>Juzgados Penales</w:t>
            </w:r>
          </w:p>
        </w:tc>
        <w:tc>
          <w:tcPr>
            <w:tcW w:w="1200" w:type="dxa"/>
            <w:tcBorders>
              <w:top w:val="single" w:sz="4" w:space="0" w:color="auto"/>
              <w:left w:val="nil"/>
              <w:bottom w:val="single" w:sz="4" w:space="0" w:color="auto"/>
              <w:right w:val="single" w:sz="4" w:space="0" w:color="auto"/>
            </w:tcBorders>
            <w:shd w:val="clear" w:color="000000" w:fill="305496"/>
            <w:vAlign w:val="center"/>
            <w:hideMark/>
          </w:tcPr>
          <w:p w14:paraId="283392B8" w14:textId="77777777" w:rsidR="00386CBA" w:rsidRPr="00386CBA" w:rsidRDefault="00386CBA" w:rsidP="00386CBA">
            <w:pPr>
              <w:jc w:val="center"/>
              <w:rPr>
                <w:rFonts w:ascii="Book Antiqua" w:hAnsi="Book Antiqua" w:cs="Calibri"/>
                <w:b/>
                <w:bCs/>
                <w:color w:val="FFFFFF"/>
                <w:sz w:val="16"/>
                <w:szCs w:val="16"/>
                <w:lang w:eastAsia="es-CR"/>
              </w:rPr>
            </w:pPr>
            <w:r w:rsidRPr="00386CBA">
              <w:rPr>
                <w:rFonts w:ascii="Book Antiqua" w:hAnsi="Book Antiqua" w:cs="Calibri"/>
                <w:b/>
                <w:bCs/>
                <w:color w:val="FFFFFF"/>
                <w:sz w:val="16"/>
                <w:szCs w:val="16"/>
                <w:lang w:eastAsia="es-CR"/>
              </w:rPr>
              <w:t>Tribunales de Juicio</w:t>
            </w:r>
          </w:p>
        </w:tc>
        <w:tc>
          <w:tcPr>
            <w:tcW w:w="2300" w:type="dxa"/>
            <w:tcBorders>
              <w:top w:val="single" w:sz="4" w:space="0" w:color="auto"/>
              <w:left w:val="nil"/>
              <w:bottom w:val="single" w:sz="4" w:space="0" w:color="auto"/>
              <w:right w:val="single" w:sz="4" w:space="0" w:color="auto"/>
            </w:tcBorders>
            <w:shd w:val="clear" w:color="000000" w:fill="305496"/>
            <w:noWrap/>
            <w:vAlign w:val="center"/>
            <w:hideMark/>
          </w:tcPr>
          <w:p w14:paraId="5D9077A8" w14:textId="77777777" w:rsidR="00386CBA" w:rsidRPr="00386CBA" w:rsidRDefault="00386CBA" w:rsidP="00386CBA">
            <w:pPr>
              <w:jc w:val="center"/>
              <w:rPr>
                <w:rFonts w:ascii="Book Antiqua" w:hAnsi="Book Antiqua" w:cs="Calibri"/>
                <w:b/>
                <w:bCs/>
                <w:color w:val="FFFFFF"/>
                <w:sz w:val="16"/>
                <w:szCs w:val="16"/>
                <w:lang w:eastAsia="es-CR"/>
              </w:rPr>
            </w:pPr>
            <w:r w:rsidRPr="00386CBA">
              <w:rPr>
                <w:rFonts w:ascii="Book Antiqua" w:hAnsi="Book Antiqua" w:cs="Calibri"/>
                <w:b/>
                <w:bCs/>
                <w:color w:val="FFFFFF"/>
                <w:sz w:val="16"/>
                <w:szCs w:val="16"/>
                <w:lang w:eastAsia="es-CR"/>
              </w:rPr>
              <w:t>Flagrancia</w:t>
            </w:r>
          </w:p>
        </w:tc>
        <w:tc>
          <w:tcPr>
            <w:tcW w:w="2540" w:type="dxa"/>
            <w:gridSpan w:val="2"/>
            <w:tcBorders>
              <w:top w:val="single" w:sz="4" w:space="0" w:color="auto"/>
              <w:left w:val="nil"/>
              <w:bottom w:val="single" w:sz="4" w:space="0" w:color="auto"/>
              <w:right w:val="single" w:sz="4" w:space="0" w:color="auto"/>
            </w:tcBorders>
            <w:shd w:val="clear" w:color="000000" w:fill="305496"/>
            <w:noWrap/>
            <w:vAlign w:val="center"/>
            <w:hideMark/>
          </w:tcPr>
          <w:p w14:paraId="0A4B4792" w14:textId="77777777" w:rsidR="00386CBA" w:rsidRPr="00386CBA" w:rsidRDefault="00386CBA" w:rsidP="00386CBA">
            <w:pPr>
              <w:jc w:val="center"/>
              <w:rPr>
                <w:rFonts w:ascii="Book Antiqua" w:hAnsi="Book Antiqua" w:cs="Calibri"/>
                <w:b/>
                <w:bCs/>
                <w:color w:val="FFFFFF"/>
                <w:sz w:val="16"/>
                <w:szCs w:val="16"/>
                <w:lang w:eastAsia="es-CR"/>
              </w:rPr>
            </w:pPr>
            <w:r w:rsidRPr="00386CBA">
              <w:rPr>
                <w:rFonts w:ascii="Book Antiqua" w:hAnsi="Book Antiqua" w:cs="Calibri"/>
                <w:b/>
                <w:bCs/>
                <w:color w:val="FFFFFF"/>
                <w:sz w:val="16"/>
                <w:szCs w:val="16"/>
                <w:lang w:eastAsia="es-CR"/>
              </w:rPr>
              <w:t>Ejecución</w:t>
            </w:r>
          </w:p>
        </w:tc>
        <w:tc>
          <w:tcPr>
            <w:tcW w:w="1340" w:type="dxa"/>
            <w:tcBorders>
              <w:top w:val="single" w:sz="4" w:space="0" w:color="auto"/>
              <w:left w:val="nil"/>
              <w:bottom w:val="single" w:sz="4" w:space="0" w:color="auto"/>
              <w:right w:val="single" w:sz="4" w:space="0" w:color="auto"/>
            </w:tcBorders>
            <w:shd w:val="clear" w:color="000000" w:fill="305496"/>
            <w:noWrap/>
            <w:vAlign w:val="center"/>
            <w:hideMark/>
          </w:tcPr>
          <w:p w14:paraId="05054FDC" w14:textId="77777777" w:rsidR="00386CBA" w:rsidRPr="00386CBA" w:rsidRDefault="00386CBA" w:rsidP="00386CBA">
            <w:pPr>
              <w:jc w:val="center"/>
              <w:rPr>
                <w:rFonts w:ascii="Book Antiqua" w:hAnsi="Book Antiqua" w:cs="Calibri"/>
                <w:b/>
                <w:bCs/>
                <w:color w:val="FFFFFF"/>
                <w:sz w:val="16"/>
                <w:szCs w:val="16"/>
                <w:lang w:eastAsia="es-CR"/>
              </w:rPr>
            </w:pPr>
            <w:r w:rsidRPr="00386CBA">
              <w:rPr>
                <w:rFonts w:ascii="Book Antiqua" w:hAnsi="Book Antiqua" w:cs="Calibri"/>
                <w:b/>
                <w:bCs/>
                <w:color w:val="FFFFFF"/>
                <w:sz w:val="16"/>
                <w:szCs w:val="16"/>
                <w:lang w:eastAsia="es-CR"/>
              </w:rPr>
              <w:t>Apelación</w:t>
            </w:r>
          </w:p>
        </w:tc>
        <w:tc>
          <w:tcPr>
            <w:tcW w:w="1011" w:type="dxa"/>
            <w:tcBorders>
              <w:top w:val="single" w:sz="4" w:space="0" w:color="auto"/>
              <w:left w:val="nil"/>
              <w:bottom w:val="single" w:sz="4" w:space="0" w:color="auto"/>
              <w:right w:val="single" w:sz="4" w:space="0" w:color="auto"/>
            </w:tcBorders>
            <w:shd w:val="clear" w:color="000000" w:fill="305496"/>
            <w:noWrap/>
            <w:vAlign w:val="center"/>
            <w:hideMark/>
          </w:tcPr>
          <w:p w14:paraId="37D557A8" w14:textId="77777777" w:rsidR="00386CBA" w:rsidRPr="00386CBA" w:rsidRDefault="00386CBA" w:rsidP="00386CBA">
            <w:pPr>
              <w:jc w:val="center"/>
              <w:rPr>
                <w:rFonts w:ascii="Book Antiqua" w:hAnsi="Book Antiqua" w:cs="Calibri"/>
                <w:b/>
                <w:bCs/>
                <w:color w:val="FFFFFF"/>
                <w:sz w:val="16"/>
                <w:szCs w:val="16"/>
                <w:lang w:eastAsia="es-CR"/>
              </w:rPr>
            </w:pPr>
            <w:r w:rsidRPr="00386CBA">
              <w:rPr>
                <w:rFonts w:ascii="Book Antiqua" w:hAnsi="Book Antiqua" w:cs="Calibri"/>
                <w:b/>
                <w:bCs/>
                <w:color w:val="FFFFFF"/>
                <w:sz w:val="16"/>
                <w:szCs w:val="16"/>
                <w:lang w:eastAsia="es-CR"/>
              </w:rPr>
              <w:t>Sala Tercera</w:t>
            </w:r>
          </w:p>
        </w:tc>
      </w:tr>
      <w:tr w:rsidR="00386CBA" w:rsidRPr="00386CBA" w14:paraId="7A4769FD" w14:textId="77777777" w:rsidTr="00386CBA">
        <w:trPr>
          <w:trHeight w:val="1300"/>
          <w:jc w:val="center"/>
        </w:trPr>
        <w:tc>
          <w:tcPr>
            <w:tcW w:w="921" w:type="dxa"/>
            <w:vMerge/>
            <w:tcBorders>
              <w:top w:val="single" w:sz="4" w:space="0" w:color="auto"/>
              <w:left w:val="single" w:sz="4" w:space="0" w:color="auto"/>
              <w:bottom w:val="single" w:sz="4" w:space="0" w:color="auto"/>
              <w:right w:val="single" w:sz="4" w:space="0" w:color="auto"/>
            </w:tcBorders>
            <w:vAlign w:val="center"/>
            <w:hideMark/>
          </w:tcPr>
          <w:p w14:paraId="5A65BECC" w14:textId="77777777" w:rsidR="00386CBA" w:rsidRPr="00386CBA" w:rsidRDefault="00386CBA" w:rsidP="00386CBA">
            <w:pPr>
              <w:rPr>
                <w:rFonts w:ascii="Book Antiqua" w:hAnsi="Book Antiqua" w:cs="Calibri"/>
                <w:b/>
                <w:bCs/>
                <w:color w:val="FFFFFF"/>
                <w:sz w:val="16"/>
                <w:szCs w:val="16"/>
                <w:lang w:eastAsia="es-CR"/>
              </w:rPr>
            </w:pPr>
          </w:p>
        </w:tc>
        <w:tc>
          <w:tcPr>
            <w:tcW w:w="1740" w:type="dxa"/>
            <w:tcBorders>
              <w:top w:val="nil"/>
              <w:left w:val="nil"/>
              <w:bottom w:val="single" w:sz="4" w:space="0" w:color="auto"/>
              <w:right w:val="single" w:sz="4" w:space="0" w:color="auto"/>
            </w:tcBorders>
            <w:shd w:val="clear" w:color="000000" w:fill="305496"/>
            <w:vAlign w:val="center"/>
            <w:hideMark/>
          </w:tcPr>
          <w:p w14:paraId="0C559159" w14:textId="77777777" w:rsidR="00386CBA" w:rsidRPr="00386CBA" w:rsidRDefault="00386CBA" w:rsidP="00386CBA">
            <w:pPr>
              <w:jc w:val="center"/>
              <w:rPr>
                <w:rFonts w:ascii="Book Antiqua" w:hAnsi="Book Antiqua" w:cs="Calibri"/>
                <w:b/>
                <w:bCs/>
                <w:color w:val="FFFFFF"/>
                <w:sz w:val="16"/>
                <w:szCs w:val="16"/>
                <w:lang w:eastAsia="es-CR"/>
              </w:rPr>
            </w:pPr>
            <w:r w:rsidRPr="00386CBA">
              <w:rPr>
                <w:rFonts w:ascii="Book Antiqua" w:hAnsi="Book Antiqua" w:cs="Calibri"/>
                <w:b/>
                <w:bCs/>
                <w:color w:val="FFFFFF"/>
                <w:sz w:val="16"/>
                <w:szCs w:val="16"/>
                <w:lang w:eastAsia="es-CR"/>
              </w:rPr>
              <w:t>Desestimaciones, sobreseimientos y acusaciones</w:t>
            </w:r>
          </w:p>
        </w:tc>
        <w:tc>
          <w:tcPr>
            <w:tcW w:w="1200" w:type="dxa"/>
            <w:tcBorders>
              <w:top w:val="nil"/>
              <w:left w:val="nil"/>
              <w:bottom w:val="single" w:sz="4" w:space="0" w:color="auto"/>
              <w:right w:val="single" w:sz="4" w:space="0" w:color="auto"/>
            </w:tcBorders>
            <w:shd w:val="clear" w:color="000000" w:fill="305496"/>
            <w:vAlign w:val="center"/>
            <w:hideMark/>
          </w:tcPr>
          <w:p w14:paraId="49B5B2C3" w14:textId="77777777" w:rsidR="00386CBA" w:rsidRPr="00386CBA" w:rsidRDefault="00386CBA" w:rsidP="00386CBA">
            <w:pPr>
              <w:jc w:val="center"/>
              <w:rPr>
                <w:rFonts w:ascii="Book Antiqua" w:hAnsi="Book Antiqua" w:cs="Calibri"/>
                <w:b/>
                <w:bCs/>
                <w:color w:val="FFFFFF"/>
                <w:sz w:val="16"/>
                <w:szCs w:val="16"/>
                <w:lang w:eastAsia="es-CR"/>
              </w:rPr>
            </w:pPr>
            <w:r w:rsidRPr="00386CBA">
              <w:rPr>
                <w:rFonts w:ascii="Book Antiqua" w:hAnsi="Book Antiqua" w:cs="Calibri"/>
                <w:b/>
                <w:bCs/>
                <w:color w:val="FFFFFF"/>
                <w:sz w:val="16"/>
                <w:szCs w:val="16"/>
                <w:lang w:eastAsia="es-CR"/>
              </w:rPr>
              <w:t>Sentencias y medidas alternas</w:t>
            </w:r>
          </w:p>
        </w:tc>
        <w:tc>
          <w:tcPr>
            <w:tcW w:w="2300" w:type="dxa"/>
            <w:tcBorders>
              <w:top w:val="nil"/>
              <w:left w:val="nil"/>
              <w:bottom w:val="single" w:sz="4" w:space="0" w:color="auto"/>
              <w:right w:val="single" w:sz="4" w:space="0" w:color="auto"/>
            </w:tcBorders>
            <w:shd w:val="clear" w:color="000000" w:fill="305496"/>
            <w:vAlign w:val="center"/>
            <w:hideMark/>
          </w:tcPr>
          <w:p w14:paraId="5A97BBDA" w14:textId="77777777" w:rsidR="00386CBA" w:rsidRPr="00386CBA" w:rsidRDefault="00386CBA" w:rsidP="00386CBA">
            <w:pPr>
              <w:jc w:val="center"/>
              <w:rPr>
                <w:rFonts w:ascii="Book Antiqua" w:hAnsi="Book Antiqua" w:cs="Calibri"/>
                <w:b/>
                <w:bCs/>
                <w:color w:val="FFFFFF"/>
                <w:sz w:val="16"/>
                <w:szCs w:val="16"/>
                <w:lang w:eastAsia="es-CR"/>
              </w:rPr>
            </w:pPr>
            <w:r w:rsidRPr="00386CBA">
              <w:rPr>
                <w:rFonts w:ascii="Book Antiqua" w:hAnsi="Book Antiqua" w:cs="Calibri"/>
                <w:b/>
                <w:bCs/>
                <w:color w:val="FFFFFF"/>
                <w:sz w:val="16"/>
                <w:szCs w:val="16"/>
                <w:lang w:eastAsia="es-CR"/>
              </w:rPr>
              <w:t>Audiencias iniciales, sentencias y medidas alternas considerando colaboración al ordinario</w:t>
            </w:r>
          </w:p>
        </w:tc>
        <w:tc>
          <w:tcPr>
            <w:tcW w:w="1200" w:type="dxa"/>
            <w:tcBorders>
              <w:top w:val="nil"/>
              <w:left w:val="nil"/>
              <w:bottom w:val="single" w:sz="4" w:space="0" w:color="auto"/>
              <w:right w:val="single" w:sz="4" w:space="0" w:color="auto"/>
            </w:tcBorders>
            <w:shd w:val="clear" w:color="000000" w:fill="305496"/>
            <w:vAlign w:val="center"/>
            <w:hideMark/>
          </w:tcPr>
          <w:p w14:paraId="0A0E924F" w14:textId="77777777" w:rsidR="00386CBA" w:rsidRPr="00386CBA" w:rsidRDefault="00386CBA" w:rsidP="00386CBA">
            <w:pPr>
              <w:jc w:val="center"/>
              <w:rPr>
                <w:rFonts w:ascii="Book Antiqua" w:hAnsi="Book Antiqua" w:cs="Calibri"/>
                <w:b/>
                <w:bCs/>
                <w:color w:val="FFFFFF"/>
                <w:sz w:val="16"/>
                <w:szCs w:val="16"/>
                <w:lang w:eastAsia="es-CR"/>
              </w:rPr>
            </w:pPr>
            <w:r w:rsidRPr="00386CBA">
              <w:rPr>
                <w:rFonts w:ascii="Book Antiqua" w:hAnsi="Book Antiqua" w:cs="Calibri"/>
                <w:b/>
                <w:bCs/>
                <w:color w:val="FFFFFF"/>
                <w:sz w:val="16"/>
                <w:szCs w:val="16"/>
                <w:lang w:eastAsia="es-CR"/>
              </w:rPr>
              <w:t>Incidentes terminados</w:t>
            </w:r>
          </w:p>
        </w:tc>
        <w:tc>
          <w:tcPr>
            <w:tcW w:w="1340" w:type="dxa"/>
            <w:tcBorders>
              <w:top w:val="nil"/>
              <w:left w:val="nil"/>
              <w:bottom w:val="single" w:sz="4" w:space="0" w:color="auto"/>
              <w:right w:val="single" w:sz="4" w:space="0" w:color="auto"/>
            </w:tcBorders>
            <w:shd w:val="clear" w:color="000000" w:fill="305496"/>
            <w:vAlign w:val="center"/>
            <w:hideMark/>
          </w:tcPr>
          <w:p w14:paraId="6C0F9AB1" w14:textId="77777777" w:rsidR="00386CBA" w:rsidRPr="00386CBA" w:rsidRDefault="00386CBA" w:rsidP="00386CBA">
            <w:pPr>
              <w:jc w:val="center"/>
              <w:rPr>
                <w:rFonts w:ascii="Book Antiqua" w:hAnsi="Book Antiqua" w:cs="Calibri"/>
                <w:b/>
                <w:bCs/>
                <w:color w:val="FFFFFF"/>
                <w:sz w:val="16"/>
                <w:szCs w:val="16"/>
                <w:lang w:eastAsia="es-CR"/>
              </w:rPr>
            </w:pPr>
            <w:r w:rsidRPr="00386CBA">
              <w:rPr>
                <w:rFonts w:ascii="Book Antiqua" w:hAnsi="Book Antiqua" w:cs="Calibri"/>
                <w:b/>
                <w:bCs/>
                <w:color w:val="FFFFFF"/>
                <w:sz w:val="16"/>
                <w:szCs w:val="16"/>
                <w:lang w:eastAsia="es-CR"/>
              </w:rPr>
              <w:t>Firma de expedientes</w:t>
            </w:r>
          </w:p>
        </w:tc>
        <w:tc>
          <w:tcPr>
            <w:tcW w:w="1340" w:type="dxa"/>
            <w:tcBorders>
              <w:top w:val="nil"/>
              <w:left w:val="nil"/>
              <w:bottom w:val="single" w:sz="4" w:space="0" w:color="auto"/>
              <w:right w:val="single" w:sz="4" w:space="0" w:color="auto"/>
            </w:tcBorders>
            <w:shd w:val="clear" w:color="000000" w:fill="305496"/>
            <w:vAlign w:val="center"/>
            <w:hideMark/>
          </w:tcPr>
          <w:p w14:paraId="2DAE68C5" w14:textId="77777777" w:rsidR="00386CBA" w:rsidRPr="00386CBA" w:rsidRDefault="00386CBA" w:rsidP="00386CBA">
            <w:pPr>
              <w:jc w:val="center"/>
              <w:rPr>
                <w:rFonts w:ascii="Book Antiqua" w:hAnsi="Book Antiqua" w:cs="Calibri"/>
                <w:b/>
                <w:bCs/>
                <w:color w:val="FFFFFF"/>
                <w:sz w:val="16"/>
                <w:szCs w:val="16"/>
                <w:lang w:eastAsia="es-CR"/>
              </w:rPr>
            </w:pPr>
            <w:r w:rsidRPr="00386CBA">
              <w:rPr>
                <w:rFonts w:ascii="Book Antiqua" w:hAnsi="Book Antiqua" w:cs="Calibri"/>
                <w:b/>
                <w:bCs/>
                <w:color w:val="FFFFFF"/>
                <w:sz w:val="16"/>
                <w:szCs w:val="16"/>
                <w:lang w:eastAsia="es-CR"/>
              </w:rPr>
              <w:t>Proyecto terminado, circulado y votado</w:t>
            </w:r>
          </w:p>
        </w:tc>
        <w:tc>
          <w:tcPr>
            <w:tcW w:w="1011" w:type="dxa"/>
            <w:tcBorders>
              <w:top w:val="nil"/>
              <w:left w:val="nil"/>
              <w:bottom w:val="single" w:sz="4" w:space="0" w:color="auto"/>
              <w:right w:val="single" w:sz="4" w:space="0" w:color="auto"/>
            </w:tcBorders>
            <w:shd w:val="clear" w:color="000000" w:fill="305496"/>
            <w:vAlign w:val="center"/>
            <w:hideMark/>
          </w:tcPr>
          <w:p w14:paraId="16F619C5" w14:textId="77777777" w:rsidR="00386CBA" w:rsidRPr="00386CBA" w:rsidRDefault="00386CBA" w:rsidP="00386CBA">
            <w:pPr>
              <w:jc w:val="center"/>
              <w:rPr>
                <w:rFonts w:ascii="Book Antiqua" w:hAnsi="Book Antiqua" w:cs="Calibri"/>
                <w:b/>
                <w:bCs/>
                <w:color w:val="FFFFFF"/>
                <w:sz w:val="16"/>
                <w:szCs w:val="16"/>
                <w:lang w:eastAsia="es-CR"/>
              </w:rPr>
            </w:pPr>
            <w:r w:rsidRPr="00386CBA">
              <w:rPr>
                <w:rFonts w:ascii="Book Antiqua" w:hAnsi="Book Antiqua" w:cs="Calibri"/>
                <w:b/>
                <w:bCs/>
                <w:color w:val="FFFFFF"/>
                <w:sz w:val="16"/>
                <w:szCs w:val="16"/>
                <w:lang w:eastAsia="es-CR"/>
              </w:rPr>
              <w:t>Proyectos</w:t>
            </w:r>
          </w:p>
        </w:tc>
      </w:tr>
      <w:tr w:rsidR="00386CBA" w:rsidRPr="00386CBA" w14:paraId="194F924D" w14:textId="77777777" w:rsidTr="00386CBA">
        <w:trPr>
          <w:trHeight w:val="290"/>
          <w:jc w:val="center"/>
        </w:trPr>
        <w:tc>
          <w:tcPr>
            <w:tcW w:w="921" w:type="dxa"/>
            <w:tcBorders>
              <w:top w:val="nil"/>
              <w:left w:val="single" w:sz="4" w:space="0" w:color="auto"/>
              <w:bottom w:val="single" w:sz="4" w:space="0" w:color="auto"/>
              <w:right w:val="single" w:sz="4" w:space="0" w:color="auto"/>
            </w:tcBorders>
            <w:shd w:val="clear" w:color="000000" w:fill="FFFFFF"/>
            <w:noWrap/>
            <w:vAlign w:val="center"/>
            <w:hideMark/>
          </w:tcPr>
          <w:p w14:paraId="20B9FD6E" w14:textId="77777777" w:rsidR="00386CBA" w:rsidRPr="00386CBA" w:rsidRDefault="00386CBA" w:rsidP="00386CBA">
            <w:pPr>
              <w:jc w:val="center"/>
              <w:rPr>
                <w:rFonts w:ascii="Book Antiqua" w:hAnsi="Book Antiqua" w:cs="Calibri"/>
                <w:color w:val="000000"/>
                <w:sz w:val="16"/>
                <w:szCs w:val="16"/>
                <w:lang w:eastAsia="es-CR"/>
              </w:rPr>
            </w:pPr>
            <w:r w:rsidRPr="00386CBA">
              <w:rPr>
                <w:rFonts w:ascii="Book Antiqua" w:hAnsi="Book Antiqua" w:cs="Calibri"/>
                <w:color w:val="000000"/>
                <w:sz w:val="16"/>
                <w:szCs w:val="16"/>
                <w:lang w:eastAsia="es-CR"/>
              </w:rPr>
              <w:t>Mayo</w:t>
            </w:r>
          </w:p>
        </w:tc>
        <w:tc>
          <w:tcPr>
            <w:tcW w:w="1740" w:type="dxa"/>
            <w:tcBorders>
              <w:top w:val="nil"/>
              <w:left w:val="nil"/>
              <w:bottom w:val="single" w:sz="4" w:space="0" w:color="auto"/>
              <w:right w:val="single" w:sz="4" w:space="0" w:color="auto"/>
            </w:tcBorders>
            <w:shd w:val="clear" w:color="auto" w:fill="auto"/>
            <w:noWrap/>
            <w:vAlign w:val="center"/>
            <w:hideMark/>
          </w:tcPr>
          <w:p w14:paraId="1A3C3BCE" w14:textId="77777777" w:rsidR="00386CBA" w:rsidRPr="00386CBA" w:rsidRDefault="00386CBA" w:rsidP="00386CBA">
            <w:pPr>
              <w:jc w:val="center"/>
              <w:rPr>
                <w:rFonts w:ascii="Book Antiqua" w:hAnsi="Book Antiqua" w:cs="Calibri"/>
                <w:color w:val="000000"/>
                <w:sz w:val="16"/>
                <w:szCs w:val="16"/>
                <w:lang w:eastAsia="es-CR"/>
              </w:rPr>
            </w:pPr>
            <w:r w:rsidRPr="00386CBA">
              <w:rPr>
                <w:rFonts w:ascii="Book Antiqua" w:hAnsi="Book Antiqua" w:cs="Calibri"/>
                <w:color w:val="000000"/>
                <w:sz w:val="16"/>
                <w:szCs w:val="16"/>
                <w:lang w:eastAsia="es-CR"/>
              </w:rPr>
              <w:t>100%</w:t>
            </w:r>
          </w:p>
        </w:tc>
        <w:tc>
          <w:tcPr>
            <w:tcW w:w="1200" w:type="dxa"/>
            <w:tcBorders>
              <w:top w:val="nil"/>
              <w:left w:val="nil"/>
              <w:bottom w:val="single" w:sz="4" w:space="0" w:color="auto"/>
              <w:right w:val="single" w:sz="4" w:space="0" w:color="auto"/>
            </w:tcBorders>
            <w:shd w:val="clear" w:color="auto" w:fill="auto"/>
            <w:noWrap/>
            <w:vAlign w:val="center"/>
            <w:hideMark/>
          </w:tcPr>
          <w:p w14:paraId="13CF1552" w14:textId="77777777" w:rsidR="00386CBA" w:rsidRPr="00386CBA" w:rsidRDefault="00386CBA" w:rsidP="00386CBA">
            <w:pPr>
              <w:jc w:val="center"/>
              <w:rPr>
                <w:rFonts w:ascii="Book Antiqua" w:hAnsi="Book Antiqua" w:cs="Calibri"/>
                <w:color w:val="000000"/>
                <w:sz w:val="16"/>
                <w:szCs w:val="16"/>
                <w:lang w:eastAsia="es-CR"/>
              </w:rPr>
            </w:pPr>
            <w:r w:rsidRPr="00386CBA">
              <w:rPr>
                <w:rFonts w:ascii="Book Antiqua" w:hAnsi="Book Antiqua" w:cs="Calibri"/>
                <w:color w:val="000000"/>
                <w:sz w:val="16"/>
                <w:szCs w:val="16"/>
                <w:lang w:eastAsia="es-CR"/>
              </w:rPr>
              <w:t>88%</w:t>
            </w:r>
          </w:p>
        </w:tc>
        <w:tc>
          <w:tcPr>
            <w:tcW w:w="2300" w:type="dxa"/>
            <w:tcBorders>
              <w:top w:val="nil"/>
              <w:left w:val="nil"/>
              <w:bottom w:val="single" w:sz="4" w:space="0" w:color="auto"/>
              <w:right w:val="single" w:sz="4" w:space="0" w:color="auto"/>
            </w:tcBorders>
            <w:shd w:val="clear" w:color="auto" w:fill="auto"/>
            <w:noWrap/>
            <w:vAlign w:val="center"/>
            <w:hideMark/>
          </w:tcPr>
          <w:p w14:paraId="0A71A935" w14:textId="77777777" w:rsidR="00386CBA" w:rsidRPr="00386CBA" w:rsidRDefault="00386CBA" w:rsidP="00386CBA">
            <w:pPr>
              <w:jc w:val="center"/>
              <w:rPr>
                <w:rFonts w:ascii="Book Antiqua" w:hAnsi="Book Antiqua" w:cs="Calibri"/>
                <w:color w:val="000000"/>
                <w:sz w:val="16"/>
                <w:szCs w:val="16"/>
                <w:lang w:eastAsia="es-CR"/>
              </w:rPr>
            </w:pPr>
            <w:r w:rsidRPr="00386CBA">
              <w:rPr>
                <w:rFonts w:ascii="Book Antiqua" w:hAnsi="Book Antiqua" w:cs="Calibri"/>
                <w:color w:val="000000"/>
                <w:sz w:val="16"/>
                <w:szCs w:val="16"/>
                <w:lang w:eastAsia="es-CR"/>
              </w:rPr>
              <w:t>86%</w:t>
            </w:r>
          </w:p>
        </w:tc>
        <w:tc>
          <w:tcPr>
            <w:tcW w:w="1200" w:type="dxa"/>
            <w:tcBorders>
              <w:top w:val="nil"/>
              <w:left w:val="nil"/>
              <w:bottom w:val="single" w:sz="4" w:space="0" w:color="auto"/>
              <w:right w:val="single" w:sz="4" w:space="0" w:color="auto"/>
            </w:tcBorders>
            <w:shd w:val="clear" w:color="auto" w:fill="auto"/>
            <w:noWrap/>
            <w:vAlign w:val="center"/>
            <w:hideMark/>
          </w:tcPr>
          <w:p w14:paraId="4575157E" w14:textId="77777777" w:rsidR="00386CBA" w:rsidRPr="00386CBA" w:rsidRDefault="00386CBA" w:rsidP="00386CBA">
            <w:pPr>
              <w:jc w:val="center"/>
              <w:rPr>
                <w:rFonts w:ascii="Book Antiqua" w:hAnsi="Book Antiqua" w:cs="Calibri"/>
                <w:color w:val="000000"/>
                <w:sz w:val="16"/>
                <w:szCs w:val="16"/>
                <w:lang w:eastAsia="es-CR"/>
              </w:rPr>
            </w:pPr>
            <w:r w:rsidRPr="00386CBA">
              <w:rPr>
                <w:rFonts w:ascii="Book Antiqua" w:hAnsi="Book Antiqua" w:cs="Calibri"/>
                <w:color w:val="000000"/>
                <w:sz w:val="16"/>
                <w:szCs w:val="16"/>
                <w:lang w:eastAsia="es-CR"/>
              </w:rPr>
              <w:t>93%</w:t>
            </w:r>
          </w:p>
        </w:tc>
        <w:tc>
          <w:tcPr>
            <w:tcW w:w="1340" w:type="dxa"/>
            <w:tcBorders>
              <w:top w:val="nil"/>
              <w:left w:val="nil"/>
              <w:bottom w:val="single" w:sz="4" w:space="0" w:color="auto"/>
              <w:right w:val="single" w:sz="4" w:space="0" w:color="auto"/>
            </w:tcBorders>
            <w:shd w:val="clear" w:color="auto" w:fill="auto"/>
            <w:noWrap/>
            <w:vAlign w:val="center"/>
            <w:hideMark/>
          </w:tcPr>
          <w:p w14:paraId="37C6684D" w14:textId="77777777" w:rsidR="00386CBA" w:rsidRPr="00386CBA" w:rsidRDefault="00386CBA" w:rsidP="00386CBA">
            <w:pPr>
              <w:jc w:val="center"/>
              <w:rPr>
                <w:rFonts w:ascii="Book Antiqua" w:hAnsi="Book Antiqua" w:cs="Calibri"/>
                <w:color w:val="000000"/>
                <w:sz w:val="16"/>
                <w:szCs w:val="16"/>
                <w:lang w:eastAsia="es-CR"/>
              </w:rPr>
            </w:pPr>
            <w:r w:rsidRPr="00386CBA">
              <w:rPr>
                <w:rFonts w:ascii="Book Antiqua" w:hAnsi="Book Antiqua" w:cs="Calibri"/>
                <w:color w:val="000000"/>
                <w:sz w:val="16"/>
                <w:szCs w:val="16"/>
                <w:lang w:eastAsia="es-CR"/>
              </w:rPr>
              <w:t>157%</w:t>
            </w:r>
          </w:p>
        </w:tc>
        <w:tc>
          <w:tcPr>
            <w:tcW w:w="1340" w:type="dxa"/>
            <w:tcBorders>
              <w:top w:val="nil"/>
              <w:left w:val="nil"/>
              <w:bottom w:val="single" w:sz="4" w:space="0" w:color="auto"/>
              <w:right w:val="single" w:sz="4" w:space="0" w:color="auto"/>
            </w:tcBorders>
            <w:shd w:val="clear" w:color="auto" w:fill="auto"/>
            <w:noWrap/>
            <w:vAlign w:val="center"/>
            <w:hideMark/>
          </w:tcPr>
          <w:p w14:paraId="519C3088" w14:textId="77777777" w:rsidR="00386CBA" w:rsidRPr="00386CBA" w:rsidRDefault="00386CBA" w:rsidP="00386CBA">
            <w:pPr>
              <w:jc w:val="center"/>
              <w:rPr>
                <w:rFonts w:ascii="Book Antiqua" w:hAnsi="Book Antiqua" w:cs="Calibri"/>
                <w:color w:val="000000"/>
                <w:sz w:val="16"/>
                <w:szCs w:val="16"/>
                <w:lang w:eastAsia="es-CR"/>
              </w:rPr>
            </w:pPr>
            <w:r w:rsidRPr="00386CBA">
              <w:rPr>
                <w:rFonts w:ascii="Book Antiqua" w:hAnsi="Book Antiqua" w:cs="Calibri"/>
                <w:color w:val="000000"/>
                <w:sz w:val="16"/>
                <w:szCs w:val="16"/>
                <w:lang w:eastAsia="es-CR"/>
              </w:rPr>
              <w:t>95%</w:t>
            </w:r>
          </w:p>
        </w:tc>
        <w:tc>
          <w:tcPr>
            <w:tcW w:w="1011" w:type="dxa"/>
            <w:tcBorders>
              <w:top w:val="nil"/>
              <w:left w:val="nil"/>
              <w:bottom w:val="single" w:sz="4" w:space="0" w:color="auto"/>
              <w:right w:val="single" w:sz="4" w:space="0" w:color="auto"/>
            </w:tcBorders>
            <w:shd w:val="clear" w:color="auto" w:fill="auto"/>
            <w:noWrap/>
            <w:vAlign w:val="center"/>
            <w:hideMark/>
          </w:tcPr>
          <w:p w14:paraId="6FFEB416" w14:textId="77777777" w:rsidR="00386CBA" w:rsidRPr="00386CBA" w:rsidRDefault="00386CBA" w:rsidP="00386CBA">
            <w:pPr>
              <w:jc w:val="center"/>
              <w:rPr>
                <w:rFonts w:ascii="Book Antiqua" w:hAnsi="Book Antiqua" w:cs="Calibri"/>
                <w:color w:val="000000"/>
                <w:sz w:val="16"/>
                <w:szCs w:val="16"/>
                <w:lang w:eastAsia="es-CR"/>
              </w:rPr>
            </w:pPr>
            <w:r w:rsidRPr="00386CBA">
              <w:rPr>
                <w:rFonts w:ascii="Book Antiqua" w:hAnsi="Book Antiqua" w:cs="Calibri"/>
                <w:color w:val="000000"/>
                <w:sz w:val="16"/>
                <w:szCs w:val="16"/>
                <w:lang w:eastAsia="es-CR"/>
              </w:rPr>
              <w:t>95%</w:t>
            </w:r>
          </w:p>
        </w:tc>
      </w:tr>
      <w:tr w:rsidR="00386CBA" w:rsidRPr="00386CBA" w14:paraId="2D470F0E" w14:textId="77777777" w:rsidTr="00386CBA">
        <w:trPr>
          <w:trHeight w:val="290"/>
          <w:jc w:val="center"/>
        </w:trPr>
        <w:tc>
          <w:tcPr>
            <w:tcW w:w="921" w:type="dxa"/>
            <w:tcBorders>
              <w:top w:val="nil"/>
              <w:left w:val="single" w:sz="4" w:space="0" w:color="auto"/>
              <w:bottom w:val="single" w:sz="4" w:space="0" w:color="auto"/>
              <w:right w:val="single" w:sz="4" w:space="0" w:color="auto"/>
            </w:tcBorders>
            <w:shd w:val="clear" w:color="000000" w:fill="FFFFFF"/>
            <w:noWrap/>
            <w:vAlign w:val="center"/>
            <w:hideMark/>
          </w:tcPr>
          <w:p w14:paraId="1CAC5370" w14:textId="77777777" w:rsidR="00386CBA" w:rsidRPr="00386CBA" w:rsidRDefault="00386CBA" w:rsidP="00386CBA">
            <w:pPr>
              <w:jc w:val="center"/>
              <w:rPr>
                <w:rFonts w:ascii="Book Antiqua" w:hAnsi="Book Antiqua" w:cs="Calibri"/>
                <w:color w:val="000000"/>
                <w:sz w:val="16"/>
                <w:szCs w:val="16"/>
                <w:lang w:eastAsia="es-CR"/>
              </w:rPr>
            </w:pPr>
            <w:r w:rsidRPr="00386CBA">
              <w:rPr>
                <w:rFonts w:ascii="Book Antiqua" w:hAnsi="Book Antiqua" w:cs="Calibri"/>
                <w:color w:val="000000"/>
                <w:sz w:val="16"/>
                <w:szCs w:val="16"/>
                <w:lang w:eastAsia="es-CR"/>
              </w:rPr>
              <w:t>Junio</w:t>
            </w:r>
          </w:p>
        </w:tc>
        <w:tc>
          <w:tcPr>
            <w:tcW w:w="1740" w:type="dxa"/>
            <w:tcBorders>
              <w:top w:val="nil"/>
              <w:left w:val="nil"/>
              <w:bottom w:val="single" w:sz="4" w:space="0" w:color="auto"/>
              <w:right w:val="single" w:sz="4" w:space="0" w:color="auto"/>
            </w:tcBorders>
            <w:shd w:val="clear" w:color="auto" w:fill="auto"/>
            <w:noWrap/>
            <w:vAlign w:val="center"/>
            <w:hideMark/>
          </w:tcPr>
          <w:p w14:paraId="1A09C3C2" w14:textId="77777777" w:rsidR="00386CBA" w:rsidRPr="00386CBA" w:rsidRDefault="00386CBA" w:rsidP="00386CBA">
            <w:pPr>
              <w:jc w:val="center"/>
              <w:rPr>
                <w:rFonts w:ascii="Book Antiqua" w:hAnsi="Book Antiqua" w:cs="Calibri"/>
                <w:color w:val="000000"/>
                <w:sz w:val="16"/>
                <w:szCs w:val="16"/>
                <w:lang w:eastAsia="es-CR"/>
              </w:rPr>
            </w:pPr>
            <w:r w:rsidRPr="00386CBA">
              <w:rPr>
                <w:rFonts w:ascii="Book Antiqua" w:hAnsi="Book Antiqua" w:cs="Calibri"/>
                <w:color w:val="000000"/>
                <w:sz w:val="16"/>
                <w:szCs w:val="16"/>
                <w:lang w:eastAsia="es-CR"/>
              </w:rPr>
              <w:t>104%</w:t>
            </w:r>
          </w:p>
        </w:tc>
        <w:tc>
          <w:tcPr>
            <w:tcW w:w="1200" w:type="dxa"/>
            <w:tcBorders>
              <w:top w:val="nil"/>
              <w:left w:val="nil"/>
              <w:bottom w:val="single" w:sz="4" w:space="0" w:color="auto"/>
              <w:right w:val="single" w:sz="4" w:space="0" w:color="auto"/>
            </w:tcBorders>
            <w:shd w:val="clear" w:color="auto" w:fill="auto"/>
            <w:noWrap/>
            <w:vAlign w:val="center"/>
            <w:hideMark/>
          </w:tcPr>
          <w:p w14:paraId="03A7BBAD" w14:textId="77777777" w:rsidR="00386CBA" w:rsidRPr="00386CBA" w:rsidRDefault="00386CBA" w:rsidP="00386CBA">
            <w:pPr>
              <w:jc w:val="center"/>
              <w:rPr>
                <w:rFonts w:ascii="Book Antiqua" w:hAnsi="Book Antiqua" w:cs="Calibri"/>
                <w:color w:val="000000"/>
                <w:sz w:val="16"/>
                <w:szCs w:val="16"/>
                <w:lang w:eastAsia="es-CR"/>
              </w:rPr>
            </w:pPr>
            <w:r w:rsidRPr="00386CBA">
              <w:rPr>
                <w:rFonts w:ascii="Book Antiqua" w:hAnsi="Book Antiqua" w:cs="Calibri"/>
                <w:color w:val="000000"/>
                <w:sz w:val="16"/>
                <w:szCs w:val="16"/>
                <w:lang w:eastAsia="es-CR"/>
              </w:rPr>
              <w:t>96%</w:t>
            </w:r>
          </w:p>
        </w:tc>
        <w:tc>
          <w:tcPr>
            <w:tcW w:w="2300" w:type="dxa"/>
            <w:tcBorders>
              <w:top w:val="nil"/>
              <w:left w:val="nil"/>
              <w:bottom w:val="single" w:sz="4" w:space="0" w:color="auto"/>
              <w:right w:val="single" w:sz="4" w:space="0" w:color="auto"/>
            </w:tcBorders>
            <w:shd w:val="clear" w:color="auto" w:fill="auto"/>
            <w:noWrap/>
            <w:vAlign w:val="center"/>
            <w:hideMark/>
          </w:tcPr>
          <w:p w14:paraId="54D7994A" w14:textId="77777777" w:rsidR="00386CBA" w:rsidRPr="00386CBA" w:rsidRDefault="00386CBA" w:rsidP="00386CBA">
            <w:pPr>
              <w:jc w:val="center"/>
              <w:rPr>
                <w:rFonts w:ascii="Book Antiqua" w:hAnsi="Book Antiqua" w:cs="Calibri"/>
                <w:color w:val="000000"/>
                <w:sz w:val="16"/>
                <w:szCs w:val="16"/>
                <w:lang w:eastAsia="es-CR"/>
              </w:rPr>
            </w:pPr>
            <w:r w:rsidRPr="00386CBA">
              <w:rPr>
                <w:rFonts w:ascii="Book Antiqua" w:hAnsi="Book Antiqua" w:cs="Calibri"/>
                <w:color w:val="000000"/>
                <w:sz w:val="16"/>
                <w:szCs w:val="16"/>
                <w:lang w:eastAsia="es-CR"/>
              </w:rPr>
              <w:t>86%</w:t>
            </w:r>
          </w:p>
        </w:tc>
        <w:tc>
          <w:tcPr>
            <w:tcW w:w="1200" w:type="dxa"/>
            <w:tcBorders>
              <w:top w:val="nil"/>
              <w:left w:val="nil"/>
              <w:bottom w:val="single" w:sz="4" w:space="0" w:color="auto"/>
              <w:right w:val="single" w:sz="4" w:space="0" w:color="auto"/>
            </w:tcBorders>
            <w:shd w:val="clear" w:color="auto" w:fill="auto"/>
            <w:noWrap/>
            <w:vAlign w:val="center"/>
            <w:hideMark/>
          </w:tcPr>
          <w:p w14:paraId="6E20839F" w14:textId="77777777" w:rsidR="00386CBA" w:rsidRPr="00386CBA" w:rsidRDefault="00386CBA" w:rsidP="00386CBA">
            <w:pPr>
              <w:jc w:val="center"/>
              <w:rPr>
                <w:rFonts w:ascii="Book Antiqua" w:hAnsi="Book Antiqua" w:cs="Calibri"/>
                <w:color w:val="000000"/>
                <w:sz w:val="16"/>
                <w:szCs w:val="16"/>
                <w:lang w:eastAsia="es-CR"/>
              </w:rPr>
            </w:pPr>
            <w:r w:rsidRPr="00386CBA">
              <w:rPr>
                <w:rFonts w:ascii="Book Antiqua" w:hAnsi="Book Antiqua" w:cs="Calibri"/>
                <w:color w:val="000000"/>
                <w:sz w:val="16"/>
                <w:szCs w:val="16"/>
                <w:lang w:eastAsia="es-CR"/>
              </w:rPr>
              <w:t>96%</w:t>
            </w:r>
          </w:p>
        </w:tc>
        <w:tc>
          <w:tcPr>
            <w:tcW w:w="1340" w:type="dxa"/>
            <w:tcBorders>
              <w:top w:val="nil"/>
              <w:left w:val="nil"/>
              <w:bottom w:val="single" w:sz="4" w:space="0" w:color="auto"/>
              <w:right w:val="single" w:sz="4" w:space="0" w:color="auto"/>
            </w:tcBorders>
            <w:shd w:val="clear" w:color="auto" w:fill="auto"/>
            <w:noWrap/>
            <w:vAlign w:val="center"/>
            <w:hideMark/>
          </w:tcPr>
          <w:p w14:paraId="70665F7F" w14:textId="77777777" w:rsidR="00386CBA" w:rsidRPr="00386CBA" w:rsidRDefault="00386CBA" w:rsidP="00386CBA">
            <w:pPr>
              <w:jc w:val="center"/>
              <w:rPr>
                <w:rFonts w:ascii="Book Antiqua" w:hAnsi="Book Antiqua" w:cs="Calibri"/>
                <w:color w:val="000000"/>
                <w:sz w:val="16"/>
                <w:szCs w:val="16"/>
                <w:lang w:eastAsia="es-CR"/>
              </w:rPr>
            </w:pPr>
            <w:r w:rsidRPr="00386CBA">
              <w:rPr>
                <w:rFonts w:ascii="Book Antiqua" w:hAnsi="Book Antiqua" w:cs="Calibri"/>
                <w:color w:val="000000"/>
                <w:sz w:val="16"/>
                <w:szCs w:val="16"/>
                <w:lang w:eastAsia="es-CR"/>
              </w:rPr>
              <w:t>187%</w:t>
            </w:r>
          </w:p>
        </w:tc>
        <w:tc>
          <w:tcPr>
            <w:tcW w:w="1340" w:type="dxa"/>
            <w:tcBorders>
              <w:top w:val="nil"/>
              <w:left w:val="nil"/>
              <w:bottom w:val="single" w:sz="4" w:space="0" w:color="auto"/>
              <w:right w:val="single" w:sz="4" w:space="0" w:color="auto"/>
            </w:tcBorders>
            <w:shd w:val="clear" w:color="auto" w:fill="auto"/>
            <w:noWrap/>
            <w:vAlign w:val="center"/>
            <w:hideMark/>
          </w:tcPr>
          <w:p w14:paraId="226A8B57" w14:textId="77777777" w:rsidR="00386CBA" w:rsidRPr="00386CBA" w:rsidRDefault="00386CBA" w:rsidP="00386CBA">
            <w:pPr>
              <w:jc w:val="center"/>
              <w:rPr>
                <w:rFonts w:ascii="Book Antiqua" w:hAnsi="Book Antiqua" w:cs="Calibri"/>
                <w:color w:val="000000"/>
                <w:sz w:val="16"/>
                <w:szCs w:val="16"/>
                <w:lang w:eastAsia="es-CR"/>
              </w:rPr>
            </w:pPr>
            <w:r w:rsidRPr="00386CBA">
              <w:rPr>
                <w:rFonts w:ascii="Book Antiqua" w:hAnsi="Book Antiqua" w:cs="Calibri"/>
                <w:color w:val="000000"/>
                <w:sz w:val="16"/>
                <w:szCs w:val="16"/>
                <w:lang w:eastAsia="es-CR"/>
              </w:rPr>
              <w:t>93%</w:t>
            </w:r>
          </w:p>
        </w:tc>
        <w:tc>
          <w:tcPr>
            <w:tcW w:w="1011" w:type="dxa"/>
            <w:tcBorders>
              <w:top w:val="nil"/>
              <w:left w:val="nil"/>
              <w:bottom w:val="single" w:sz="4" w:space="0" w:color="auto"/>
              <w:right w:val="single" w:sz="4" w:space="0" w:color="auto"/>
            </w:tcBorders>
            <w:shd w:val="clear" w:color="auto" w:fill="auto"/>
            <w:noWrap/>
            <w:vAlign w:val="center"/>
            <w:hideMark/>
          </w:tcPr>
          <w:p w14:paraId="6C705A5A" w14:textId="77777777" w:rsidR="00386CBA" w:rsidRPr="00386CBA" w:rsidRDefault="00386CBA" w:rsidP="00386CBA">
            <w:pPr>
              <w:jc w:val="center"/>
              <w:rPr>
                <w:rFonts w:ascii="Book Antiqua" w:hAnsi="Book Antiqua" w:cs="Calibri"/>
                <w:color w:val="000000"/>
                <w:sz w:val="16"/>
                <w:szCs w:val="16"/>
                <w:lang w:eastAsia="es-CR"/>
              </w:rPr>
            </w:pPr>
            <w:r w:rsidRPr="00386CBA">
              <w:rPr>
                <w:rFonts w:ascii="Book Antiqua" w:hAnsi="Book Antiqua" w:cs="Calibri"/>
                <w:color w:val="000000"/>
                <w:sz w:val="16"/>
                <w:szCs w:val="16"/>
                <w:lang w:eastAsia="es-CR"/>
              </w:rPr>
              <w:t>92%</w:t>
            </w:r>
          </w:p>
        </w:tc>
      </w:tr>
      <w:tr w:rsidR="00386CBA" w:rsidRPr="00386CBA" w14:paraId="1CEE2087" w14:textId="77777777" w:rsidTr="00386CBA">
        <w:trPr>
          <w:trHeight w:val="290"/>
          <w:jc w:val="center"/>
        </w:trPr>
        <w:tc>
          <w:tcPr>
            <w:tcW w:w="921" w:type="dxa"/>
            <w:tcBorders>
              <w:top w:val="nil"/>
              <w:left w:val="single" w:sz="4" w:space="0" w:color="auto"/>
              <w:bottom w:val="single" w:sz="4" w:space="0" w:color="auto"/>
              <w:right w:val="single" w:sz="4" w:space="0" w:color="auto"/>
            </w:tcBorders>
            <w:shd w:val="clear" w:color="000000" w:fill="FFFFFF"/>
            <w:noWrap/>
            <w:vAlign w:val="center"/>
            <w:hideMark/>
          </w:tcPr>
          <w:p w14:paraId="1A195658" w14:textId="77777777" w:rsidR="00386CBA" w:rsidRPr="00386CBA" w:rsidRDefault="00386CBA" w:rsidP="00386CBA">
            <w:pPr>
              <w:jc w:val="center"/>
              <w:rPr>
                <w:rFonts w:ascii="Book Antiqua" w:hAnsi="Book Antiqua" w:cs="Calibri"/>
                <w:color w:val="000000"/>
                <w:sz w:val="16"/>
                <w:szCs w:val="16"/>
                <w:lang w:eastAsia="es-CR"/>
              </w:rPr>
            </w:pPr>
            <w:r w:rsidRPr="00386CBA">
              <w:rPr>
                <w:rFonts w:ascii="Book Antiqua" w:hAnsi="Book Antiqua" w:cs="Calibri"/>
                <w:color w:val="000000"/>
                <w:sz w:val="16"/>
                <w:szCs w:val="16"/>
                <w:lang w:eastAsia="es-CR"/>
              </w:rPr>
              <w:t>Julio</w:t>
            </w:r>
          </w:p>
        </w:tc>
        <w:tc>
          <w:tcPr>
            <w:tcW w:w="1740" w:type="dxa"/>
            <w:tcBorders>
              <w:top w:val="nil"/>
              <w:left w:val="nil"/>
              <w:bottom w:val="single" w:sz="4" w:space="0" w:color="auto"/>
              <w:right w:val="single" w:sz="4" w:space="0" w:color="auto"/>
            </w:tcBorders>
            <w:shd w:val="clear" w:color="auto" w:fill="auto"/>
            <w:noWrap/>
            <w:vAlign w:val="center"/>
            <w:hideMark/>
          </w:tcPr>
          <w:p w14:paraId="591221AB" w14:textId="77777777" w:rsidR="00386CBA" w:rsidRPr="00386CBA" w:rsidRDefault="00386CBA" w:rsidP="00386CBA">
            <w:pPr>
              <w:jc w:val="center"/>
              <w:rPr>
                <w:rFonts w:ascii="Book Antiqua" w:hAnsi="Book Antiqua" w:cs="Calibri"/>
                <w:color w:val="000000"/>
                <w:sz w:val="16"/>
                <w:szCs w:val="16"/>
                <w:lang w:eastAsia="es-CR"/>
              </w:rPr>
            </w:pPr>
            <w:r w:rsidRPr="00386CBA">
              <w:rPr>
                <w:rFonts w:ascii="Book Antiqua" w:hAnsi="Book Antiqua" w:cs="Calibri"/>
                <w:color w:val="000000"/>
                <w:sz w:val="16"/>
                <w:szCs w:val="16"/>
                <w:lang w:eastAsia="es-CR"/>
              </w:rPr>
              <w:t>97%</w:t>
            </w:r>
          </w:p>
        </w:tc>
        <w:tc>
          <w:tcPr>
            <w:tcW w:w="1200" w:type="dxa"/>
            <w:tcBorders>
              <w:top w:val="nil"/>
              <w:left w:val="nil"/>
              <w:bottom w:val="single" w:sz="4" w:space="0" w:color="auto"/>
              <w:right w:val="single" w:sz="4" w:space="0" w:color="auto"/>
            </w:tcBorders>
            <w:shd w:val="clear" w:color="auto" w:fill="auto"/>
            <w:noWrap/>
            <w:vAlign w:val="center"/>
            <w:hideMark/>
          </w:tcPr>
          <w:p w14:paraId="27A283B3" w14:textId="77777777" w:rsidR="00386CBA" w:rsidRPr="00386CBA" w:rsidRDefault="00386CBA" w:rsidP="00386CBA">
            <w:pPr>
              <w:jc w:val="center"/>
              <w:rPr>
                <w:rFonts w:ascii="Book Antiqua" w:hAnsi="Book Antiqua" w:cs="Calibri"/>
                <w:color w:val="000000"/>
                <w:sz w:val="16"/>
                <w:szCs w:val="16"/>
                <w:lang w:eastAsia="es-CR"/>
              </w:rPr>
            </w:pPr>
            <w:r w:rsidRPr="00386CBA">
              <w:rPr>
                <w:rFonts w:ascii="Book Antiqua" w:hAnsi="Book Antiqua" w:cs="Calibri"/>
                <w:color w:val="000000"/>
                <w:sz w:val="16"/>
                <w:szCs w:val="16"/>
                <w:lang w:eastAsia="es-CR"/>
              </w:rPr>
              <w:t>90%</w:t>
            </w:r>
          </w:p>
        </w:tc>
        <w:tc>
          <w:tcPr>
            <w:tcW w:w="2300" w:type="dxa"/>
            <w:tcBorders>
              <w:top w:val="nil"/>
              <w:left w:val="nil"/>
              <w:bottom w:val="single" w:sz="4" w:space="0" w:color="auto"/>
              <w:right w:val="single" w:sz="4" w:space="0" w:color="auto"/>
            </w:tcBorders>
            <w:shd w:val="clear" w:color="auto" w:fill="auto"/>
            <w:noWrap/>
            <w:vAlign w:val="center"/>
            <w:hideMark/>
          </w:tcPr>
          <w:p w14:paraId="20A3370E" w14:textId="77777777" w:rsidR="00386CBA" w:rsidRPr="00386CBA" w:rsidRDefault="00386CBA" w:rsidP="00386CBA">
            <w:pPr>
              <w:jc w:val="center"/>
              <w:rPr>
                <w:rFonts w:ascii="Book Antiqua" w:hAnsi="Book Antiqua" w:cs="Calibri"/>
                <w:color w:val="000000"/>
                <w:sz w:val="16"/>
                <w:szCs w:val="16"/>
                <w:lang w:eastAsia="es-CR"/>
              </w:rPr>
            </w:pPr>
            <w:r w:rsidRPr="00386CBA">
              <w:rPr>
                <w:rFonts w:ascii="Book Antiqua" w:hAnsi="Book Antiqua" w:cs="Calibri"/>
                <w:color w:val="000000"/>
                <w:sz w:val="16"/>
                <w:szCs w:val="16"/>
                <w:lang w:eastAsia="es-CR"/>
              </w:rPr>
              <w:t>81%</w:t>
            </w:r>
          </w:p>
        </w:tc>
        <w:tc>
          <w:tcPr>
            <w:tcW w:w="1200" w:type="dxa"/>
            <w:tcBorders>
              <w:top w:val="nil"/>
              <w:left w:val="nil"/>
              <w:bottom w:val="single" w:sz="4" w:space="0" w:color="auto"/>
              <w:right w:val="single" w:sz="4" w:space="0" w:color="auto"/>
            </w:tcBorders>
            <w:shd w:val="clear" w:color="auto" w:fill="auto"/>
            <w:noWrap/>
            <w:vAlign w:val="center"/>
            <w:hideMark/>
          </w:tcPr>
          <w:p w14:paraId="3083E370" w14:textId="77777777" w:rsidR="00386CBA" w:rsidRPr="00386CBA" w:rsidRDefault="00386CBA" w:rsidP="00386CBA">
            <w:pPr>
              <w:jc w:val="center"/>
              <w:rPr>
                <w:rFonts w:ascii="Book Antiqua" w:hAnsi="Book Antiqua" w:cs="Calibri"/>
                <w:color w:val="000000"/>
                <w:sz w:val="16"/>
                <w:szCs w:val="16"/>
                <w:lang w:eastAsia="es-CR"/>
              </w:rPr>
            </w:pPr>
            <w:r w:rsidRPr="00386CBA">
              <w:rPr>
                <w:rFonts w:ascii="Book Antiqua" w:hAnsi="Book Antiqua" w:cs="Calibri"/>
                <w:color w:val="000000"/>
                <w:sz w:val="16"/>
                <w:szCs w:val="16"/>
                <w:lang w:eastAsia="es-CR"/>
              </w:rPr>
              <w:t>88%</w:t>
            </w:r>
          </w:p>
        </w:tc>
        <w:tc>
          <w:tcPr>
            <w:tcW w:w="1340" w:type="dxa"/>
            <w:tcBorders>
              <w:top w:val="nil"/>
              <w:left w:val="nil"/>
              <w:bottom w:val="single" w:sz="4" w:space="0" w:color="auto"/>
              <w:right w:val="single" w:sz="4" w:space="0" w:color="auto"/>
            </w:tcBorders>
            <w:shd w:val="clear" w:color="auto" w:fill="auto"/>
            <w:noWrap/>
            <w:vAlign w:val="center"/>
            <w:hideMark/>
          </w:tcPr>
          <w:p w14:paraId="4EB900E0" w14:textId="77777777" w:rsidR="00386CBA" w:rsidRPr="00386CBA" w:rsidRDefault="00386CBA" w:rsidP="00386CBA">
            <w:pPr>
              <w:jc w:val="center"/>
              <w:rPr>
                <w:rFonts w:ascii="Book Antiqua" w:hAnsi="Book Antiqua" w:cs="Calibri"/>
                <w:color w:val="000000"/>
                <w:sz w:val="16"/>
                <w:szCs w:val="16"/>
                <w:lang w:eastAsia="es-CR"/>
              </w:rPr>
            </w:pPr>
            <w:r w:rsidRPr="00386CBA">
              <w:rPr>
                <w:rFonts w:ascii="Book Antiqua" w:hAnsi="Book Antiqua" w:cs="Calibri"/>
                <w:color w:val="000000"/>
                <w:sz w:val="16"/>
                <w:szCs w:val="16"/>
                <w:lang w:eastAsia="es-CR"/>
              </w:rPr>
              <w:t>187%</w:t>
            </w:r>
          </w:p>
        </w:tc>
        <w:tc>
          <w:tcPr>
            <w:tcW w:w="1340" w:type="dxa"/>
            <w:tcBorders>
              <w:top w:val="nil"/>
              <w:left w:val="nil"/>
              <w:bottom w:val="single" w:sz="4" w:space="0" w:color="auto"/>
              <w:right w:val="single" w:sz="4" w:space="0" w:color="auto"/>
            </w:tcBorders>
            <w:shd w:val="clear" w:color="auto" w:fill="auto"/>
            <w:noWrap/>
            <w:vAlign w:val="center"/>
            <w:hideMark/>
          </w:tcPr>
          <w:p w14:paraId="2A636C44" w14:textId="77777777" w:rsidR="00386CBA" w:rsidRPr="00386CBA" w:rsidRDefault="00386CBA" w:rsidP="00386CBA">
            <w:pPr>
              <w:jc w:val="center"/>
              <w:rPr>
                <w:rFonts w:ascii="Book Antiqua" w:hAnsi="Book Antiqua" w:cs="Calibri"/>
                <w:color w:val="000000"/>
                <w:sz w:val="16"/>
                <w:szCs w:val="16"/>
                <w:lang w:eastAsia="es-CR"/>
              </w:rPr>
            </w:pPr>
            <w:r w:rsidRPr="00386CBA">
              <w:rPr>
                <w:rFonts w:ascii="Book Antiqua" w:hAnsi="Book Antiqua" w:cs="Calibri"/>
                <w:color w:val="000000"/>
                <w:sz w:val="16"/>
                <w:szCs w:val="16"/>
                <w:lang w:eastAsia="es-CR"/>
              </w:rPr>
              <w:t>87%</w:t>
            </w:r>
          </w:p>
        </w:tc>
        <w:tc>
          <w:tcPr>
            <w:tcW w:w="1011" w:type="dxa"/>
            <w:tcBorders>
              <w:top w:val="nil"/>
              <w:left w:val="nil"/>
              <w:bottom w:val="single" w:sz="4" w:space="0" w:color="auto"/>
              <w:right w:val="single" w:sz="4" w:space="0" w:color="auto"/>
            </w:tcBorders>
            <w:shd w:val="clear" w:color="auto" w:fill="auto"/>
            <w:noWrap/>
            <w:vAlign w:val="center"/>
            <w:hideMark/>
          </w:tcPr>
          <w:p w14:paraId="433D2CD8" w14:textId="77777777" w:rsidR="00386CBA" w:rsidRPr="00386CBA" w:rsidRDefault="00386CBA" w:rsidP="00386CBA">
            <w:pPr>
              <w:jc w:val="center"/>
              <w:rPr>
                <w:rFonts w:ascii="Book Antiqua" w:hAnsi="Book Antiqua" w:cs="Calibri"/>
                <w:color w:val="000000"/>
                <w:sz w:val="16"/>
                <w:szCs w:val="16"/>
                <w:lang w:eastAsia="es-CR"/>
              </w:rPr>
            </w:pPr>
            <w:r w:rsidRPr="00386CBA">
              <w:rPr>
                <w:rFonts w:ascii="Book Antiqua" w:hAnsi="Book Antiqua" w:cs="Calibri"/>
                <w:color w:val="000000"/>
                <w:sz w:val="16"/>
                <w:szCs w:val="16"/>
                <w:lang w:eastAsia="es-CR"/>
              </w:rPr>
              <w:t>86%</w:t>
            </w:r>
          </w:p>
        </w:tc>
      </w:tr>
      <w:tr w:rsidR="00386CBA" w:rsidRPr="00386CBA" w14:paraId="2C187DAE" w14:textId="77777777" w:rsidTr="00386CBA">
        <w:trPr>
          <w:trHeight w:val="290"/>
          <w:jc w:val="center"/>
        </w:trPr>
        <w:tc>
          <w:tcPr>
            <w:tcW w:w="921" w:type="dxa"/>
            <w:tcBorders>
              <w:top w:val="nil"/>
              <w:left w:val="single" w:sz="4" w:space="0" w:color="auto"/>
              <w:bottom w:val="single" w:sz="4" w:space="0" w:color="auto"/>
              <w:right w:val="single" w:sz="4" w:space="0" w:color="auto"/>
            </w:tcBorders>
            <w:shd w:val="clear" w:color="000000" w:fill="FFFFFF"/>
            <w:noWrap/>
            <w:vAlign w:val="center"/>
            <w:hideMark/>
          </w:tcPr>
          <w:p w14:paraId="7662AE83" w14:textId="77777777" w:rsidR="00386CBA" w:rsidRPr="00386CBA" w:rsidRDefault="00386CBA" w:rsidP="00386CBA">
            <w:pPr>
              <w:jc w:val="center"/>
              <w:rPr>
                <w:rFonts w:ascii="Book Antiqua" w:hAnsi="Book Antiqua" w:cs="Calibri"/>
                <w:color w:val="000000"/>
                <w:sz w:val="16"/>
                <w:szCs w:val="16"/>
                <w:lang w:eastAsia="es-CR"/>
              </w:rPr>
            </w:pPr>
            <w:r w:rsidRPr="00386CBA">
              <w:rPr>
                <w:rFonts w:ascii="Book Antiqua" w:hAnsi="Book Antiqua" w:cs="Calibri"/>
                <w:color w:val="000000"/>
                <w:sz w:val="16"/>
                <w:szCs w:val="16"/>
                <w:lang w:eastAsia="es-CR"/>
              </w:rPr>
              <w:t>Agosto</w:t>
            </w:r>
          </w:p>
        </w:tc>
        <w:tc>
          <w:tcPr>
            <w:tcW w:w="1740" w:type="dxa"/>
            <w:tcBorders>
              <w:top w:val="nil"/>
              <w:left w:val="nil"/>
              <w:bottom w:val="single" w:sz="4" w:space="0" w:color="auto"/>
              <w:right w:val="single" w:sz="4" w:space="0" w:color="auto"/>
            </w:tcBorders>
            <w:shd w:val="clear" w:color="auto" w:fill="auto"/>
            <w:noWrap/>
            <w:vAlign w:val="center"/>
            <w:hideMark/>
          </w:tcPr>
          <w:p w14:paraId="42CDBEC4" w14:textId="77777777" w:rsidR="00386CBA" w:rsidRPr="00386CBA" w:rsidRDefault="00386CBA" w:rsidP="00386CBA">
            <w:pPr>
              <w:jc w:val="center"/>
              <w:rPr>
                <w:rFonts w:ascii="Book Antiqua" w:hAnsi="Book Antiqua" w:cs="Calibri"/>
                <w:color w:val="000000"/>
                <w:sz w:val="16"/>
                <w:szCs w:val="16"/>
                <w:lang w:eastAsia="es-CR"/>
              </w:rPr>
            </w:pPr>
            <w:r w:rsidRPr="00386CBA">
              <w:rPr>
                <w:rFonts w:ascii="Book Antiqua" w:hAnsi="Book Antiqua" w:cs="Calibri"/>
                <w:color w:val="000000"/>
                <w:sz w:val="16"/>
                <w:szCs w:val="16"/>
                <w:lang w:eastAsia="es-CR"/>
              </w:rPr>
              <w:t>114%</w:t>
            </w:r>
          </w:p>
        </w:tc>
        <w:tc>
          <w:tcPr>
            <w:tcW w:w="1200" w:type="dxa"/>
            <w:tcBorders>
              <w:top w:val="nil"/>
              <w:left w:val="nil"/>
              <w:bottom w:val="single" w:sz="4" w:space="0" w:color="auto"/>
              <w:right w:val="single" w:sz="4" w:space="0" w:color="auto"/>
            </w:tcBorders>
            <w:shd w:val="clear" w:color="auto" w:fill="auto"/>
            <w:noWrap/>
            <w:vAlign w:val="center"/>
            <w:hideMark/>
          </w:tcPr>
          <w:p w14:paraId="6A1C43AF" w14:textId="77777777" w:rsidR="00386CBA" w:rsidRPr="00386CBA" w:rsidRDefault="00386CBA" w:rsidP="00386CBA">
            <w:pPr>
              <w:jc w:val="center"/>
              <w:rPr>
                <w:rFonts w:ascii="Book Antiqua" w:hAnsi="Book Antiqua" w:cs="Calibri"/>
                <w:color w:val="000000"/>
                <w:sz w:val="16"/>
                <w:szCs w:val="16"/>
                <w:lang w:eastAsia="es-CR"/>
              </w:rPr>
            </w:pPr>
            <w:r w:rsidRPr="00386CBA">
              <w:rPr>
                <w:rFonts w:ascii="Book Antiqua" w:hAnsi="Book Antiqua" w:cs="Calibri"/>
                <w:color w:val="000000"/>
                <w:sz w:val="16"/>
                <w:szCs w:val="16"/>
                <w:lang w:eastAsia="es-CR"/>
              </w:rPr>
              <w:t>87%</w:t>
            </w:r>
          </w:p>
        </w:tc>
        <w:tc>
          <w:tcPr>
            <w:tcW w:w="2300" w:type="dxa"/>
            <w:tcBorders>
              <w:top w:val="nil"/>
              <w:left w:val="nil"/>
              <w:bottom w:val="single" w:sz="4" w:space="0" w:color="auto"/>
              <w:right w:val="single" w:sz="4" w:space="0" w:color="auto"/>
            </w:tcBorders>
            <w:shd w:val="clear" w:color="auto" w:fill="auto"/>
            <w:noWrap/>
            <w:vAlign w:val="center"/>
            <w:hideMark/>
          </w:tcPr>
          <w:p w14:paraId="595D92A6" w14:textId="77777777" w:rsidR="00386CBA" w:rsidRPr="00386CBA" w:rsidRDefault="00386CBA" w:rsidP="00386CBA">
            <w:pPr>
              <w:jc w:val="center"/>
              <w:rPr>
                <w:rFonts w:ascii="Book Antiqua" w:hAnsi="Book Antiqua" w:cs="Calibri"/>
                <w:color w:val="000000"/>
                <w:sz w:val="16"/>
                <w:szCs w:val="16"/>
                <w:lang w:eastAsia="es-CR"/>
              </w:rPr>
            </w:pPr>
            <w:r w:rsidRPr="00386CBA">
              <w:rPr>
                <w:rFonts w:ascii="Book Antiqua" w:hAnsi="Book Antiqua" w:cs="Calibri"/>
                <w:color w:val="000000"/>
                <w:sz w:val="16"/>
                <w:szCs w:val="16"/>
                <w:lang w:eastAsia="es-CR"/>
              </w:rPr>
              <w:t>82%</w:t>
            </w:r>
          </w:p>
        </w:tc>
        <w:tc>
          <w:tcPr>
            <w:tcW w:w="1200" w:type="dxa"/>
            <w:tcBorders>
              <w:top w:val="nil"/>
              <w:left w:val="nil"/>
              <w:bottom w:val="single" w:sz="4" w:space="0" w:color="auto"/>
              <w:right w:val="single" w:sz="4" w:space="0" w:color="auto"/>
            </w:tcBorders>
            <w:shd w:val="clear" w:color="auto" w:fill="auto"/>
            <w:noWrap/>
            <w:vAlign w:val="center"/>
            <w:hideMark/>
          </w:tcPr>
          <w:p w14:paraId="75CFD0BB" w14:textId="77777777" w:rsidR="00386CBA" w:rsidRPr="00386CBA" w:rsidRDefault="00386CBA" w:rsidP="00386CBA">
            <w:pPr>
              <w:jc w:val="center"/>
              <w:rPr>
                <w:rFonts w:ascii="Book Antiqua" w:hAnsi="Book Antiqua" w:cs="Calibri"/>
                <w:color w:val="000000"/>
                <w:sz w:val="16"/>
                <w:szCs w:val="16"/>
                <w:lang w:eastAsia="es-CR"/>
              </w:rPr>
            </w:pPr>
            <w:r w:rsidRPr="00386CBA">
              <w:rPr>
                <w:rFonts w:ascii="Book Antiqua" w:hAnsi="Book Antiqua" w:cs="Calibri"/>
                <w:color w:val="000000"/>
                <w:sz w:val="16"/>
                <w:szCs w:val="16"/>
                <w:lang w:eastAsia="es-CR"/>
              </w:rPr>
              <w:t>92%</w:t>
            </w:r>
          </w:p>
        </w:tc>
        <w:tc>
          <w:tcPr>
            <w:tcW w:w="1340" w:type="dxa"/>
            <w:tcBorders>
              <w:top w:val="nil"/>
              <w:left w:val="nil"/>
              <w:bottom w:val="single" w:sz="4" w:space="0" w:color="auto"/>
              <w:right w:val="single" w:sz="4" w:space="0" w:color="auto"/>
            </w:tcBorders>
            <w:shd w:val="clear" w:color="auto" w:fill="auto"/>
            <w:noWrap/>
            <w:vAlign w:val="center"/>
            <w:hideMark/>
          </w:tcPr>
          <w:p w14:paraId="40877B63" w14:textId="77777777" w:rsidR="00386CBA" w:rsidRPr="00386CBA" w:rsidRDefault="00386CBA" w:rsidP="00386CBA">
            <w:pPr>
              <w:jc w:val="center"/>
              <w:rPr>
                <w:rFonts w:ascii="Book Antiqua" w:hAnsi="Book Antiqua" w:cs="Calibri"/>
                <w:color w:val="000000"/>
                <w:sz w:val="16"/>
                <w:szCs w:val="16"/>
                <w:lang w:eastAsia="es-CR"/>
              </w:rPr>
            </w:pPr>
            <w:r w:rsidRPr="00386CBA">
              <w:rPr>
                <w:rFonts w:ascii="Book Antiqua" w:hAnsi="Book Antiqua" w:cs="Calibri"/>
                <w:color w:val="000000"/>
                <w:sz w:val="16"/>
                <w:szCs w:val="16"/>
                <w:lang w:eastAsia="es-CR"/>
              </w:rPr>
              <w:t>293%</w:t>
            </w:r>
          </w:p>
        </w:tc>
        <w:tc>
          <w:tcPr>
            <w:tcW w:w="1340" w:type="dxa"/>
            <w:tcBorders>
              <w:top w:val="nil"/>
              <w:left w:val="nil"/>
              <w:bottom w:val="single" w:sz="4" w:space="0" w:color="auto"/>
              <w:right w:val="single" w:sz="4" w:space="0" w:color="auto"/>
            </w:tcBorders>
            <w:shd w:val="clear" w:color="auto" w:fill="auto"/>
            <w:noWrap/>
            <w:vAlign w:val="center"/>
            <w:hideMark/>
          </w:tcPr>
          <w:p w14:paraId="28955CB5" w14:textId="77777777" w:rsidR="00386CBA" w:rsidRPr="00386CBA" w:rsidRDefault="00386CBA" w:rsidP="00386CBA">
            <w:pPr>
              <w:jc w:val="center"/>
              <w:rPr>
                <w:rFonts w:ascii="Book Antiqua" w:hAnsi="Book Antiqua" w:cs="Calibri"/>
                <w:color w:val="000000"/>
                <w:sz w:val="16"/>
                <w:szCs w:val="16"/>
                <w:lang w:eastAsia="es-CR"/>
              </w:rPr>
            </w:pPr>
            <w:r w:rsidRPr="00386CBA">
              <w:rPr>
                <w:rFonts w:ascii="Book Antiqua" w:hAnsi="Book Antiqua" w:cs="Calibri"/>
                <w:color w:val="000000"/>
                <w:sz w:val="16"/>
                <w:szCs w:val="16"/>
                <w:lang w:eastAsia="es-CR"/>
              </w:rPr>
              <w:t>97%</w:t>
            </w:r>
          </w:p>
        </w:tc>
        <w:tc>
          <w:tcPr>
            <w:tcW w:w="1011" w:type="dxa"/>
            <w:tcBorders>
              <w:top w:val="nil"/>
              <w:left w:val="nil"/>
              <w:bottom w:val="single" w:sz="4" w:space="0" w:color="auto"/>
              <w:right w:val="single" w:sz="4" w:space="0" w:color="auto"/>
            </w:tcBorders>
            <w:shd w:val="clear" w:color="auto" w:fill="auto"/>
            <w:noWrap/>
            <w:vAlign w:val="center"/>
            <w:hideMark/>
          </w:tcPr>
          <w:p w14:paraId="05125A22" w14:textId="77777777" w:rsidR="00386CBA" w:rsidRPr="00386CBA" w:rsidRDefault="00386CBA" w:rsidP="00386CBA">
            <w:pPr>
              <w:jc w:val="center"/>
              <w:rPr>
                <w:rFonts w:ascii="Book Antiqua" w:hAnsi="Book Antiqua" w:cs="Calibri"/>
                <w:color w:val="000000"/>
                <w:sz w:val="16"/>
                <w:szCs w:val="16"/>
                <w:lang w:eastAsia="es-CR"/>
              </w:rPr>
            </w:pPr>
            <w:r w:rsidRPr="00386CBA">
              <w:rPr>
                <w:rFonts w:ascii="Book Antiqua" w:hAnsi="Book Antiqua" w:cs="Calibri"/>
                <w:color w:val="000000"/>
                <w:sz w:val="16"/>
                <w:szCs w:val="16"/>
                <w:lang w:eastAsia="es-CR"/>
              </w:rPr>
              <w:t>107%</w:t>
            </w:r>
          </w:p>
        </w:tc>
      </w:tr>
      <w:tr w:rsidR="00386CBA" w:rsidRPr="00386CBA" w14:paraId="6C619DB3" w14:textId="77777777" w:rsidTr="00386CBA">
        <w:trPr>
          <w:trHeight w:val="290"/>
          <w:jc w:val="center"/>
        </w:trPr>
        <w:tc>
          <w:tcPr>
            <w:tcW w:w="921" w:type="dxa"/>
            <w:tcBorders>
              <w:top w:val="nil"/>
              <w:left w:val="single" w:sz="4" w:space="0" w:color="auto"/>
              <w:bottom w:val="single" w:sz="4" w:space="0" w:color="auto"/>
              <w:right w:val="single" w:sz="4" w:space="0" w:color="auto"/>
            </w:tcBorders>
            <w:shd w:val="clear" w:color="000000" w:fill="FFFFFF"/>
            <w:noWrap/>
            <w:vAlign w:val="center"/>
            <w:hideMark/>
          </w:tcPr>
          <w:p w14:paraId="429A3FF2" w14:textId="77777777" w:rsidR="00386CBA" w:rsidRPr="00386CBA" w:rsidRDefault="00386CBA" w:rsidP="00386CBA">
            <w:pPr>
              <w:jc w:val="center"/>
              <w:rPr>
                <w:rFonts w:ascii="Book Antiqua" w:hAnsi="Book Antiqua" w:cs="Calibri"/>
                <w:b/>
                <w:bCs/>
                <w:color w:val="000000"/>
                <w:sz w:val="16"/>
                <w:szCs w:val="16"/>
                <w:lang w:eastAsia="es-CR"/>
              </w:rPr>
            </w:pPr>
            <w:r w:rsidRPr="00386CBA">
              <w:rPr>
                <w:rFonts w:ascii="Book Antiqua" w:hAnsi="Book Antiqua" w:cs="Calibri"/>
                <w:b/>
                <w:bCs/>
                <w:color w:val="000000"/>
                <w:sz w:val="16"/>
                <w:szCs w:val="16"/>
                <w:lang w:eastAsia="es-CR"/>
              </w:rPr>
              <w:t>Promedio</w:t>
            </w:r>
          </w:p>
        </w:tc>
        <w:tc>
          <w:tcPr>
            <w:tcW w:w="1740" w:type="dxa"/>
            <w:tcBorders>
              <w:top w:val="nil"/>
              <w:left w:val="nil"/>
              <w:bottom w:val="single" w:sz="4" w:space="0" w:color="auto"/>
              <w:right w:val="single" w:sz="4" w:space="0" w:color="auto"/>
            </w:tcBorders>
            <w:shd w:val="clear" w:color="000000" w:fill="FFFFFF"/>
            <w:noWrap/>
            <w:vAlign w:val="center"/>
            <w:hideMark/>
          </w:tcPr>
          <w:p w14:paraId="3294088C" w14:textId="77777777" w:rsidR="00386CBA" w:rsidRPr="00386CBA" w:rsidRDefault="00386CBA" w:rsidP="00386CBA">
            <w:pPr>
              <w:jc w:val="center"/>
              <w:rPr>
                <w:rFonts w:ascii="Book Antiqua" w:hAnsi="Book Antiqua" w:cs="Calibri"/>
                <w:b/>
                <w:bCs/>
                <w:color w:val="000000"/>
                <w:sz w:val="16"/>
                <w:szCs w:val="16"/>
                <w:lang w:eastAsia="es-CR"/>
              </w:rPr>
            </w:pPr>
            <w:r w:rsidRPr="00386CBA">
              <w:rPr>
                <w:rFonts w:ascii="Book Antiqua" w:hAnsi="Book Antiqua" w:cs="Calibri"/>
                <w:b/>
                <w:bCs/>
                <w:color w:val="000000"/>
                <w:sz w:val="16"/>
                <w:szCs w:val="16"/>
                <w:lang w:eastAsia="es-CR"/>
              </w:rPr>
              <w:t>104%</w:t>
            </w:r>
          </w:p>
        </w:tc>
        <w:tc>
          <w:tcPr>
            <w:tcW w:w="1200" w:type="dxa"/>
            <w:tcBorders>
              <w:top w:val="nil"/>
              <w:left w:val="nil"/>
              <w:bottom w:val="single" w:sz="4" w:space="0" w:color="auto"/>
              <w:right w:val="single" w:sz="4" w:space="0" w:color="auto"/>
            </w:tcBorders>
            <w:shd w:val="clear" w:color="000000" w:fill="FFFFFF"/>
            <w:noWrap/>
            <w:vAlign w:val="center"/>
            <w:hideMark/>
          </w:tcPr>
          <w:p w14:paraId="7418B055" w14:textId="77777777" w:rsidR="00386CBA" w:rsidRPr="00386CBA" w:rsidRDefault="00386CBA" w:rsidP="00386CBA">
            <w:pPr>
              <w:jc w:val="center"/>
              <w:rPr>
                <w:rFonts w:ascii="Book Antiqua" w:hAnsi="Book Antiqua" w:cs="Calibri"/>
                <w:b/>
                <w:bCs/>
                <w:color w:val="000000"/>
                <w:sz w:val="16"/>
                <w:szCs w:val="16"/>
                <w:lang w:eastAsia="es-CR"/>
              </w:rPr>
            </w:pPr>
            <w:r w:rsidRPr="00386CBA">
              <w:rPr>
                <w:rFonts w:ascii="Book Antiqua" w:hAnsi="Book Antiqua" w:cs="Calibri"/>
                <w:b/>
                <w:bCs/>
                <w:color w:val="000000"/>
                <w:sz w:val="16"/>
                <w:szCs w:val="16"/>
                <w:lang w:eastAsia="es-CR"/>
              </w:rPr>
              <w:t>90%</w:t>
            </w:r>
          </w:p>
        </w:tc>
        <w:tc>
          <w:tcPr>
            <w:tcW w:w="2300" w:type="dxa"/>
            <w:tcBorders>
              <w:top w:val="nil"/>
              <w:left w:val="nil"/>
              <w:bottom w:val="single" w:sz="4" w:space="0" w:color="auto"/>
              <w:right w:val="single" w:sz="4" w:space="0" w:color="auto"/>
            </w:tcBorders>
            <w:shd w:val="clear" w:color="000000" w:fill="FFFFFF"/>
            <w:noWrap/>
            <w:vAlign w:val="center"/>
            <w:hideMark/>
          </w:tcPr>
          <w:p w14:paraId="7231A609" w14:textId="77777777" w:rsidR="00386CBA" w:rsidRPr="00386CBA" w:rsidRDefault="00386CBA" w:rsidP="00386CBA">
            <w:pPr>
              <w:jc w:val="center"/>
              <w:rPr>
                <w:rFonts w:ascii="Book Antiqua" w:hAnsi="Book Antiqua" w:cs="Calibri"/>
                <w:b/>
                <w:bCs/>
                <w:color w:val="000000"/>
                <w:sz w:val="16"/>
                <w:szCs w:val="16"/>
                <w:lang w:eastAsia="es-CR"/>
              </w:rPr>
            </w:pPr>
            <w:r w:rsidRPr="00386CBA">
              <w:rPr>
                <w:rFonts w:ascii="Book Antiqua" w:hAnsi="Book Antiqua" w:cs="Calibri"/>
                <w:b/>
                <w:bCs/>
                <w:color w:val="000000"/>
                <w:sz w:val="16"/>
                <w:szCs w:val="16"/>
                <w:lang w:eastAsia="es-CR"/>
              </w:rPr>
              <w:t>84%</w:t>
            </w:r>
          </w:p>
        </w:tc>
        <w:tc>
          <w:tcPr>
            <w:tcW w:w="1200" w:type="dxa"/>
            <w:tcBorders>
              <w:top w:val="nil"/>
              <w:left w:val="nil"/>
              <w:bottom w:val="single" w:sz="4" w:space="0" w:color="auto"/>
              <w:right w:val="single" w:sz="4" w:space="0" w:color="auto"/>
            </w:tcBorders>
            <w:shd w:val="clear" w:color="000000" w:fill="FFFFFF"/>
            <w:noWrap/>
            <w:vAlign w:val="center"/>
            <w:hideMark/>
          </w:tcPr>
          <w:p w14:paraId="75BB9C88" w14:textId="77777777" w:rsidR="00386CBA" w:rsidRPr="00386CBA" w:rsidRDefault="00386CBA" w:rsidP="00386CBA">
            <w:pPr>
              <w:jc w:val="center"/>
              <w:rPr>
                <w:rFonts w:ascii="Book Antiqua" w:hAnsi="Book Antiqua" w:cs="Calibri"/>
                <w:b/>
                <w:bCs/>
                <w:color w:val="000000"/>
                <w:sz w:val="16"/>
                <w:szCs w:val="16"/>
                <w:lang w:eastAsia="es-CR"/>
              </w:rPr>
            </w:pPr>
            <w:r w:rsidRPr="00386CBA">
              <w:rPr>
                <w:rFonts w:ascii="Book Antiqua" w:hAnsi="Book Antiqua" w:cs="Calibri"/>
                <w:b/>
                <w:bCs/>
                <w:color w:val="000000"/>
                <w:sz w:val="16"/>
                <w:szCs w:val="16"/>
                <w:lang w:eastAsia="es-CR"/>
              </w:rPr>
              <w:t>92%</w:t>
            </w:r>
          </w:p>
        </w:tc>
        <w:tc>
          <w:tcPr>
            <w:tcW w:w="1340" w:type="dxa"/>
            <w:tcBorders>
              <w:top w:val="nil"/>
              <w:left w:val="nil"/>
              <w:bottom w:val="single" w:sz="4" w:space="0" w:color="auto"/>
              <w:right w:val="single" w:sz="4" w:space="0" w:color="auto"/>
            </w:tcBorders>
            <w:shd w:val="clear" w:color="000000" w:fill="FFFFFF"/>
            <w:noWrap/>
            <w:vAlign w:val="center"/>
            <w:hideMark/>
          </w:tcPr>
          <w:p w14:paraId="3970F196" w14:textId="77777777" w:rsidR="00386CBA" w:rsidRPr="00386CBA" w:rsidRDefault="00386CBA" w:rsidP="00386CBA">
            <w:pPr>
              <w:jc w:val="center"/>
              <w:rPr>
                <w:rFonts w:ascii="Book Antiqua" w:hAnsi="Book Antiqua" w:cs="Calibri"/>
                <w:b/>
                <w:bCs/>
                <w:color w:val="000000"/>
                <w:sz w:val="16"/>
                <w:szCs w:val="16"/>
                <w:lang w:eastAsia="es-CR"/>
              </w:rPr>
            </w:pPr>
            <w:r w:rsidRPr="00386CBA">
              <w:rPr>
                <w:rFonts w:ascii="Book Antiqua" w:hAnsi="Book Antiqua" w:cs="Calibri"/>
                <w:b/>
                <w:bCs/>
                <w:color w:val="000000"/>
                <w:sz w:val="16"/>
                <w:szCs w:val="16"/>
                <w:lang w:eastAsia="es-CR"/>
              </w:rPr>
              <w:t>206%</w:t>
            </w:r>
          </w:p>
        </w:tc>
        <w:tc>
          <w:tcPr>
            <w:tcW w:w="1340" w:type="dxa"/>
            <w:tcBorders>
              <w:top w:val="nil"/>
              <w:left w:val="nil"/>
              <w:bottom w:val="single" w:sz="4" w:space="0" w:color="auto"/>
              <w:right w:val="single" w:sz="4" w:space="0" w:color="auto"/>
            </w:tcBorders>
            <w:shd w:val="clear" w:color="000000" w:fill="FFFFFF"/>
            <w:noWrap/>
            <w:vAlign w:val="center"/>
            <w:hideMark/>
          </w:tcPr>
          <w:p w14:paraId="3CF0DBC9" w14:textId="77777777" w:rsidR="00386CBA" w:rsidRPr="00386CBA" w:rsidRDefault="00386CBA" w:rsidP="00386CBA">
            <w:pPr>
              <w:jc w:val="center"/>
              <w:rPr>
                <w:rFonts w:ascii="Book Antiqua" w:hAnsi="Book Antiqua" w:cs="Calibri"/>
                <w:b/>
                <w:bCs/>
                <w:color w:val="000000"/>
                <w:sz w:val="16"/>
                <w:szCs w:val="16"/>
                <w:lang w:eastAsia="es-CR"/>
              </w:rPr>
            </w:pPr>
            <w:r w:rsidRPr="00386CBA">
              <w:rPr>
                <w:rFonts w:ascii="Book Antiqua" w:hAnsi="Book Antiqua" w:cs="Calibri"/>
                <w:b/>
                <w:bCs/>
                <w:color w:val="000000"/>
                <w:sz w:val="16"/>
                <w:szCs w:val="16"/>
                <w:lang w:eastAsia="es-CR"/>
              </w:rPr>
              <w:t>93%</w:t>
            </w:r>
          </w:p>
        </w:tc>
        <w:tc>
          <w:tcPr>
            <w:tcW w:w="1011" w:type="dxa"/>
            <w:tcBorders>
              <w:top w:val="nil"/>
              <w:left w:val="nil"/>
              <w:bottom w:val="single" w:sz="4" w:space="0" w:color="auto"/>
              <w:right w:val="single" w:sz="4" w:space="0" w:color="auto"/>
            </w:tcBorders>
            <w:shd w:val="clear" w:color="000000" w:fill="FFFFFF"/>
            <w:noWrap/>
            <w:vAlign w:val="center"/>
            <w:hideMark/>
          </w:tcPr>
          <w:p w14:paraId="7F2C951E" w14:textId="77777777" w:rsidR="00386CBA" w:rsidRPr="00386CBA" w:rsidRDefault="00386CBA" w:rsidP="00386CBA">
            <w:pPr>
              <w:jc w:val="center"/>
              <w:rPr>
                <w:rFonts w:ascii="Book Antiqua" w:hAnsi="Book Antiqua" w:cs="Calibri"/>
                <w:b/>
                <w:bCs/>
                <w:color w:val="000000"/>
                <w:sz w:val="16"/>
                <w:szCs w:val="16"/>
                <w:lang w:eastAsia="es-CR"/>
              </w:rPr>
            </w:pPr>
            <w:r w:rsidRPr="00386CBA">
              <w:rPr>
                <w:rFonts w:ascii="Book Antiqua" w:hAnsi="Book Antiqua" w:cs="Calibri"/>
                <w:b/>
                <w:bCs/>
                <w:color w:val="000000"/>
                <w:sz w:val="16"/>
                <w:szCs w:val="16"/>
                <w:lang w:eastAsia="es-CR"/>
              </w:rPr>
              <w:t>95%</w:t>
            </w:r>
          </w:p>
        </w:tc>
      </w:tr>
    </w:tbl>
    <w:p w14:paraId="1C53B8EC" w14:textId="77777777" w:rsidR="000A6207" w:rsidRPr="004F0E92" w:rsidRDefault="000A6207" w:rsidP="000A6207">
      <w:pPr>
        <w:spacing w:line="276" w:lineRule="auto"/>
        <w:jc w:val="both"/>
        <w:rPr>
          <w:rFonts w:ascii="Book Antiqua" w:hAnsi="Book Antiqua"/>
          <w:b/>
          <w:bCs/>
          <w:color w:val="000000" w:themeColor="text1"/>
          <w:sz w:val="20"/>
          <w:szCs w:val="20"/>
        </w:rPr>
      </w:pPr>
      <w:r w:rsidRPr="004F0E92">
        <w:rPr>
          <w:rFonts w:ascii="Book Antiqua" w:hAnsi="Book Antiqua"/>
          <w:b/>
          <w:bCs/>
          <w:color w:val="000000" w:themeColor="text1"/>
          <w:sz w:val="20"/>
          <w:szCs w:val="20"/>
        </w:rPr>
        <w:t xml:space="preserve">Fuente: </w:t>
      </w:r>
      <w:r w:rsidRPr="004F0E92">
        <w:rPr>
          <w:rFonts w:ascii="Book Antiqua" w:hAnsi="Book Antiqua"/>
          <w:color w:val="000000" w:themeColor="text1"/>
          <w:sz w:val="20"/>
          <w:szCs w:val="20"/>
        </w:rPr>
        <w:t xml:space="preserve">Elaboración propia a partir de datos suministrados </w:t>
      </w:r>
      <w:r>
        <w:rPr>
          <w:rFonts w:ascii="Book Antiqua" w:hAnsi="Book Antiqua"/>
          <w:color w:val="000000" w:themeColor="text1"/>
          <w:sz w:val="20"/>
          <w:szCs w:val="20"/>
        </w:rPr>
        <w:t>en los informes one drive y matriz de indicadores</w:t>
      </w:r>
    </w:p>
    <w:p w14:paraId="536F79B6" w14:textId="77777777" w:rsidR="00386CBA" w:rsidRDefault="00386CBA" w:rsidP="000A6207">
      <w:pPr>
        <w:spacing w:line="276" w:lineRule="auto"/>
        <w:rPr>
          <w:rFonts w:ascii="Book Antiqua" w:hAnsi="Book Antiqua"/>
          <w:noProof/>
        </w:rPr>
      </w:pPr>
    </w:p>
    <w:p w14:paraId="777E566B" w14:textId="62F763BB" w:rsidR="000A6207" w:rsidRPr="004F0E92" w:rsidRDefault="33CF7958" w:rsidP="000A6207">
      <w:pPr>
        <w:pStyle w:val="Ttulo2"/>
        <w:spacing w:line="276" w:lineRule="auto"/>
        <w:rPr>
          <w:rFonts w:ascii="Book Antiqua" w:hAnsi="Book Antiqua"/>
          <w:b w:val="0"/>
          <w:bCs w:val="0"/>
          <w:noProof/>
        </w:rPr>
      </w:pPr>
      <w:r w:rsidRPr="57A79FF7">
        <w:rPr>
          <w:rFonts w:ascii="Book Antiqua" w:hAnsi="Book Antiqua"/>
          <w:noProof/>
        </w:rPr>
        <w:t>7.4</w:t>
      </w:r>
      <w:r w:rsidR="000A6207" w:rsidRPr="004F0E92">
        <w:rPr>
          <w:rFonts w:ascii="Book Antiqua" w:hAnsi="Book Antiqua"/>
          <w:noProof/>
        </w:rPr>
        <w:t xml:space="preserve"> Justicia Restaurativa</w:t>
      </w:r>
    </w:p>
    <w:p w14:paraId="44C6370A" w14:textId="77777777" w:rsidR="000A6207" w:rsidRPr="004F0E92" w:rsidRDefault="000A6207" w:rsidP="000A6207">
      <w:pPr>
        <w:spacing w:line="276" w:lineRule="auto"/>
        <w:jc w:val="both"/>
        <w:rPr>
          <w:rFonts w:ascii="Book Antiqua" w:hAnsi="Book Antiqua"/>
          <w:noProof/>
        </w:rPr>
      </w:pPr>
    </w:p>
    <w:p w14:paraId="0B9C1E10" w14:textId="3EB5EBD7" w:rsidR="00647181" w:rsidRPr="00BE1897" w:rsidRDefault="00647181" w:rsidP="00647181">
      <w:pPr>
        <w:spacing w:line="276" w:lineRule="auto"/>
        <w:jc w:val="both"/>
        <w:rPr>
          <w:rFonts w:ascii="Book Antiqua" w:hAnsi="Book Antiqua"/>
        </w:rPr>
      </w:pPr>
      <w:r w:rsidRPr="00BE1897">
        <w:rPr>
          <w:rFonts w:ascii="Book Antiqua" w:hAnsi="Book Antiqua"/>
        </w:rPr>
        <w:t xml:space="preserve">A continuación, se transcribe el informe remitido por la Oficina de Justicia Restaurativa, mediante correo electrónico de fecha </w:t>
      </w:r>
      <w:r w:rsidR="007620AA">
        <w:rPr>
          <w:rFonts w:ascii="Book Antiqua" w:hAnsi="Book Antiqua"/>
        </w:rPr>
        <w:t>03</w:t>
      </w:r>
      <w:r w:rsidRPr="00BE1897">
        <w:rPr>
          <w:rFonts w:ascii="Book Antiqua" w:hAnsi="Book Antiqua"/>
        </w:rPr>
        <w:t>-</w:t>
      </w:r>
      <w:r w:rsidR="007620AA">
        <w:rPr>
          <w:rFonts w:ascii="Book Antiqua" w:hAnsi="Book Antiqua"/>
        </w:rPr>
        <w:t>11</w:t>
      </w:r>
      <w:r w:rsidRPr="00BE1897">
        <w:rPr>
          <w:rFonts w:ascii="Book Antiqua" w:hAnsi="Book Antiqua"/>
        </w:rPr>
        <w:t>-2021.</w:t>
      </w:r>
    </w:p>
    <w:p w14:paraId="7A2F8206" w14:textId="77777777" w:rsidR="00647181" w:rsidRDefault="00647181" w:rsidP="000A6207">
      <w:pPr>
        <w:spacing w:line="276" w:lineRule="auto"/>
        <w:jc w:val="both"/>
        <w:rPr>
          <w:rFonts w:ascii="Book Antiqua" w:hAnsi="Book Antiqua"/>
        </w:rPr>
      </w:pPr>
    </w:p>
    <w:p w14:paraId="033A5154" w14:textId="1053CEC1" w:rsidR="000A6207" w:rsidRPr="00205D3C" w:rsidRDefault="000A6207" w:rsidP="000A6207">
      <w:pPr>
        <w:spacing w:line="276" w:lineRule="auto"/>
        <w:jc w:val="both"/>
        <w:rPr>
          <w:rFonts w:ascii="Book Antiqua" w:hAnsi="Book Antiqua"/>
        </w:rPr>
      </w:pPr>
      <w:r w:rsidRPr="00205D3C">
        <w:rPr>
          <w:rFonts w:ascii="Book Antiqua" w:hAnsi="Book Antiqua"/>
        </w:rPr>
        <w:t>Esta información obtenida de los informes del mes de</w:t>
      </w:r>
      <w:r w:rsidR="00647181">
        <w:rPr>
          <w:rFonts w:ascii="Book Antiqua" w:hAnsi="Book Antiqua"/>
        </w:rPr>
        <w:t xml:space="preserve"> agosto</w:t>
      </w:r>
      <w:r w:rsidRPr="00205D3C">
        <w:rPr>
          <w:rFonts w:ascii="Book Antiqua" w:hAnsi="Book Antiqua"/>
        </w:rPr>
        <w:t xml:space="preserve"> del 2021, remitida por los equipos interdisciplinarios, es preliminar, ya que se encuentra en validación por parte del grupo profesional</w:t>
      </w:r>
      <w:r>
        <w:rPr>
          <w:rFonts w:ascii="Book Antiqua" w:hAnsi="Book Antiqua"/>
        </w:rPr>
        <w:t>es</w:t>
      </w:r>
      <w:r w:rsidRPr="00205D3C">
        <w:rPr>
          <w:rFonts w:ascii="Book Antiqua" w:hAnsi="Book Antiqua"/>
        </w:rPr>
        <w:t xml:space="preserve"> a cargo de</w:t>
      </w:r>
      <w:r>
        <w:rPr>
          <w:rFonts w:ascii="Book Antiqua" w:hAnsi="Book Antiqua"/>
        </w:rPr>
        <w:t>l Subproceso de</w:t>
      </w:r>
      <w:r w:rsidRPr="00205D3C">
        <w:rPr>
          <w:rFonts w:ascii="Book Antiqua" w:hAnsi="Book Antiqua"/>
        </w:rPr>
        <w:t xml:space="preserve"> Estadística de la Dirección de Planificación</w:t>
      </w:r>
      <w:r>
        <w:rPr>
          <w:rFonts w:ascii="Book Antiqua" w:hAnsi="Book Antiqua"/>
        </w:rPr>
        <w:t>.</w:t>
      </w:r>
      <w:r w:rsidRPr="00205D3C">
        <w:rPr>
          <w:rFonts w:ascii="Book Antiqua" w:hAnsi="Book Antiqua"/>
        </w:rPr>
        <w:t xml:space="preserve"> </w:t>
      </w:r>
    </w:p>
    <w:p w14:paraId="6F4EBD0F" w14:textId="77777777" w:rsidR="000A6207" w:rsidRPr="004F0E92" w:rsidRDefault="000A6207" w:rsidP="000A6207">
      <w:pPr>
        <w:spacing w:line="276" w:lineRule="auto"/>
        <w:jc w:val="both"/>
        <w:rPr>
          <w:rFonts w:ascii="Book Antiqua" w:hAnsi="Book Antiqua"/>
        </w:rPr>
      </w:pPr>
    </w:p>
    <w:p w14:paraId="3AB7D579" w14:textId="7A396D0B" w:rsidR="000A6207" w:rsidRDefault="000A6207" w:rsidP="000A6207">
      <w:pPr>
        <w:spacing w:line="276" w:lineRule="auto"/>
        <w:jc w:val="both"/>
        <w:rPr>
          <w:rFonts w:ascii="Book Antiqua" w:hAnsi="Book Antiqua"/>
        </w:rPr>
      </w:pPr>
      <w:r>
        <w:rPr>
          <w:rFonts w:ascii="Book Antiqua" w:hAnsi="Book Antiqua"/>
        </w:rPr>
        <w:t>Según se observa del total de reuniones restaurativas (</w:t>
      </w:r>
      <w:r w:rsidR="00BE76D5">
        <w:rPr>
          <w:rFonts w:ascii="Book Antiqua" w:hAnsi="Book Antiqua"/>
        </w:rPr>
        <w:t>194</w:t>
      </w:r>
      <w:r>
        <w:rPr>
          <w:rFonts w:ascii="Book Antiqua" w:hAnsi="Book Antiqua"/>
        </w:rPr>
        <w:t xml:space="preserve">), el </w:t>
      </w:r>
      <w:r w:rsidR="00BE76D5">
        <w:rPr>
          <w:rFonts w:ascii="Book Antiqua" w:hAnsi="Book Antiqua"/>
        </w:rPr>
        <w:t>92.78</w:t>
      </w:r>
      <w:r>
        <w:rPr>
          <w:rFonts w:ascii="Book Antiqua" w:hAnsi="Book Antiqua"/>
        </w:rPr>
        <w:t>% de estas se realizaron, además, de ese porcentaje el 9</w:t>
      </w:r>
      <w:r w:rsidR="00AB751F">
        <w:rPr>
          <w:rFonts w:ascii="Book Antiqua" w:hAnsi="Book Antiqua"/>
        </w:rPr>
        <w:t>6</w:t>
      </w:r>
      <w:r>
        <w:rPr>
          <w:rFonts w:ascii="Book Antiqua" w:hAnsi="Book Antiqua"/>
        </w:rPr>
        <w:t>.</w:t>
      </w:r>
      <w:r w:rsidR="00AB751F">
        <w:rPr>
          <w:rFonts w:ascii="Book Antiqua" w:hAnsi="Book Antiqua"/>
        </w:rPr>
        <w:t>11</w:t>
      </w:r>
      <w:r>
        <w:rPr>
          <w:rFonts w:ascii="Book Antiqua" w:hAnsi="Book Antiqua"/>
        </w:rPr>
        <w:t xml:space="preserve">% tuvieron acuerdos y apenas un </w:t>
      </w:r>
      <w:r w:rsidR="00AB751F">
        <w:rPr>
          <w:rFonts w:ascii="Book Antiqua" w:hAnsi="Book Antiqua"/>
        </w:rPr>
        <w:t>3</w:t>
      </w:r>
      <w:r>
        <w:rPr>
          <w:rFonts w:ascii="Book Antiqua" w:hAnsi="Book Antiqua"/>
        </w:rPr>
        <w:t>.</w:t>
      </w:r>
      <w:r w:rsidR="00AB751F">
        <w:rPr>
          <w:rFonts w:ascii="Book Antiqua" w:hAnsi="Book Antiqua"/>
        </w:rPr>
        <w:t>89</w:t>
      </w:r>
      <w:r>
        <w:rPr>
          <w:rFonts w:ascii="Book Antiqua" w:hAnsi="Book Antiqua"/>
        </w:rPr>
        <w:t xml:space="preserve">% no hubo acuerdos, el porcentaje de las no realizadas fue de un </w:t>
      </w:r>
      <w:r w:rsidR="00AB751F">
        <w:rPr>
          <w:rFonts w:ascii="Book Antiqua" w:hAnsi="Book Antiqua"/>
        </w:rPr>
        <w:t>7</w:t>
      </w:r>
      <w:r>
        <w:rPr>
          <w:rFonts w:ascii="Book Antiqua" w:hAnsi="Book Antiqua"/>
        </w:rPr>
        <w:t>.</w:t>
      </w:r>
      <w:r w:rsidR="00AB751F">
        <w:rPr>
          <w:rFonts w:ascii="Book Antiqua" w:hAnsi="Book Antiqua"/>
        </w:rPr>
        <w:t>22</w:t>
      </w:r>
      <w:r>
        <w:rPr>
          <w:rFonts w:ascii="Book Antiqua" w:hAnsi="Book Antiqua"/>
        </w:rPr>
        <w:t xml:space="preserve">%. En relación con las audiencias de verificación señaladas (en total </w:t>
      </w:r>
      <w:r w:rsidR="00AB751F">
        <w:rPr>
          <w:rFonts w:ascii="Book Antiqua" w:hAnsi="Book Antiqua"/>
        </w:rPr>
        <w:t>48</w:t>
      </w:r>
      <w:r>
        <w:rPr>
          <w:rFonts w:ascii="Book Antiqua" w:hAnsi="Book Antiqua"/>
        </w:rPr>
        <w:t xml:space="preserve">), el mantener las medidas alternas, representó de ese rubro el </w:t>
      </w:r>
      <w:r w:rsidR="00AB751F">
        <w:rPr>
          <w:rFonts w:ascii="Book Antiqua" w:hAnsi="Book Antiqua"/>
        </w:rPr>
        <w:t>45</w:t>
      </w:r>
      <w:r>
        <w:rPr>
          <w:rFonts w:ascii="Book Antiqua" w:hAnsi="Book Antiqua"/>
        </w:rPr>
        <w:t>.</w:t>
      </w:r>
      <w:r w:rsidR="00AB751F">
        <w:rPr>
          <w:rFonts w:ascii="Book Antiqua" w:hAnsi="Book Antiqua"/>
        </w:rPr>
        <w:t>83</w:t>
      </w:r>
      <w:r>
        <w:rPr>
          <w:rFonts w:ascii="Book Antiqua" w:hAnsi="Book Antiqua"/>
        </w:rPr>
        <w:t xml:space="preserve">%, la modificación de la medida un </w:t>
      </w:r>
      <w:r w:rsidR="00AB751F">
        <w:rPr>
          <w:rFonts w:ascii="Book Antiqua" w:hAnsi="Book Antiqua"/>
        </w:rPr>
        <w:t>47.92</w:t>
      </w:r>
      <w:r>
        <w:rPr>
          <w:rFonts w:ascii="Book Antiqua" w:hAnsi="Book Antiqua"/>
        </w:rPr>
        <w:t>%, revocar la medida alterna un 6.</w:t>
      </w:r>
      <w:r w:rsidR="00AB751F">
        <w:rPr>
          <w:rFonts w:ascii="Book Antiqua" w:hAnsi="Book Antiqua"/>
        </w:rPr>
        <w:t>25</w:t>
      </w:r>
      <w:r>
        <w:rPr>
          <w:rFonts w:ascii="Book Antiqua" w:hAnsi="Book Antiqua"/>
        </w:rPr>
        <w:t>% y finalmente</w:t>
      </w:r>
      <w:r w:rsidR="00AB751F">
        <w:rPr>
          <w:rFonts w:ascii="Book Antiqua" w:hAnsi="Book Antiqua"/>
        </w:rPr>
        <w:t>, ausencia de</w:t>
      </w:r>
      <w:r>
        <w:rPr>
          <w:rFonts w:ascii="Book Antiqua" w:hAnsi="Book Antiqua"/>
        </w:rPr>
        <w:t xml:space="preserve"> </w:t>
      </w:r>
      <w:r w:rsidRPr="00701C87">
        <w:rPr>
          <w:rFonts w:ascii="Book Antiqua" w:hAnsi="Book Antiqua"/>
        </w:rPr>
        <w:t>la</w:t>
      </w:r>
      <w:r w:rsidR="00AB751F">
        <w:rPr>
          <w:rFonts w:ascii="Book Antiqua" w:hAnsi="Book Antiqua"/>
        </w:rPr>
        <w:t xml:space="preserve"> variable</w:t>
      </w:r>
      <w:r w:rsidRPr="00701C87">
        <w:rPr>
          <w:rFonts w:ascii="Book Antiqua" w:hAnsi="Book Antiqua"/>
        </w:rPr>
        <w:t xml:space="preserve"> homologa indemnización seguro</w:t>
      </w:r>
      <w:r w:rsidR="00AB751F">
        <w:rPr>
          <w:rFonts w:ascii="Book Antiqua" w:hAnsi="Book Antiqua"/>
        </w:rPr>
        <w:t>.</w:t>
      </w:r>
      <w:r w:rsidRPr="00701C87">
        <w:rPr>
          <w:rFonts w:ascii="Book Antiqua" w:hAnsi="Book Antiqua"/>
        </w:rPr>
        <w:t xml:space="preserve"> </w:t>
      </w:r>
    </w:p>
    <w:p w14:paraId="39855873" w14:textId="77777777" w:rsidR="000A6207" w:rsidRDefault="000A6207" w:rsidP="000A6207">
      <w:pPr>
        <w:spacing w:line="276" w:lineRule="auto"/>
        <w:jc w:val="both"/>
        <w:rPr>
          <w:rFonts w:ascii="Book Antiqua" w:hAnsi="Book Antiqua"/>
        </w:rPr>
      </w:pPr>
    </w:p>
    <w:p w14:paraId="4B9F1748" w14:textId="77777777" w:rsidR="000A6207" w:rsidRPr="00002C14" w:rsidRDefault="000A6207" w:rsidP="000A6207">
      <w:pPr>
        <w:spacing w:line="276" w:lineRule="auto"/>
        <w:jc w:val="both"/>
        <w:rPr>
          <w:rFonts w:ascii="Book Antiqua" w:hAnsi="Book Antiqua"/>
        </w:rPr>
      </w:pPr>
      <w:r w:rsidRPr="00002C14">
        <w:rPr>
          <w:rFonts w:ascii="Book Antiqua" w:hAnsi="Book Antiqua"/>
        </w:rPr>
        <w:t>Las demás actividades relacionadas con red de apoyo y entrevistas se visualizan en el siguiente cuadro:</w:t>
      </w:r>
    </w:p>
    <w:p w14:paraId="73213FD2" w14:textId="77777777" w:rsidR="000A6207" w:rsidRPr="00002C14" w:rsidRDefault="000A6207" w:rsidP="000A6207">
      <w:pPr>
        <w:spacing w:line="276" w:lineRule="auto"/>
        <w:jc w:val="both"/>
        <w:rPr>
          <w:rFonts w:ascii="Book Antiqua" w:hAnsi="Book Antiqua"/>
        </w:rPr>
      </w:pPr>
    </w:p>
    <w:p w14:paraId="5D9A59D7" w14:textId="7CC4673C" w:rsidR="000A6207" w:rsidRPr="00002C14" w:rsidRDefault="000A6207" w:rsidP="000A6207">
      <w:pPr>
        <w:spacing w:line="276" w:lineRule="auto"/>
        <w:jc w:val="center"/>
        <w:rPr>
          <w:rFonts w:ascii="Book Antiqua" w:hAnsi="Book Antiqua" w:cs="Arial"/>
          <w:b/>
          <w:bCs/>
        </w:rPr>
      </w:pPr>
      <w:r w:rsidRPr="00002C14">
        <w:rPr>
          <w:rFonts w:ascii="Book Antiqua" w:hAnsi="Book Antiqua"/>
          <w:b/>
          <w:bCs/>
          <w:highlight w:val="white"/>
        </w:rPr>
        <w:t xml:space="preserve">Cuadro </w:t>
      </w:r>
      <w:r w:rsidR="00BE76D5">
        <w:rPr>
          <w:rFonts w:ascii="Book Antiqua" w:hAnsi="Book Antiqua"/>
          <w:b/>
          <w:bCs/>
        </w:rPr>
        <w:t>7</w:t>
      </w:r>
      <w:r w:rsidR="00635E2C">
        <w:rPr>
          <w:rFonts w:ascii="Book Antiqua" w:hAnsi="Book Antiqua"/>
          <w:b/>
          <w:bCs/>
        </w:rPr>
        <w:t>7</w:t>
      </w:r>
    </w:p>
    <w:p w14:paraId="0575855F" w14:textId="77777777" w:rsidR="000A6207" w:rsidRPr="00002C14" w:rsidRDefault="000A6207" w:rsidP="000A6207">
      <w:pPr>
        <w:spacing w:line="276" w:lineRule="auto"/>
        <w:jc w:val="center"/>
        <w:rPr>
          <w:rFonts w:ascii="Book Antiqua" w:hAnsi="Book Antiqua" w:cs="Arial"/>
        </w:rPr>
      </w:pPr>
      <w:r w:rsidRPr="00002C14">
        <w:rPr>
          <w:rFonts w:ascii="Book Antiqua" w:hAnsi="Book Antiqua" w:cs="Arial"/>
        </w:rPr>
        <w:t xml:space="preserve">Estadísticas Justicia Penal Restaurativa </w:t>
      </w:r>
    </w:p>
    <w:p w14:paraId="088A2F15" w14:textId="3E766E0E" w:rsidR="000A6207" w:rsidRDefault="00BE76D5" w:rsidP="000A6207">
      <w:pPr>
        <w:spacing w:line="276" w:lineRule="auto"/>
        <w:jc w:val="center"/>
        <w:rPr>
          <w:rFonts w:ascii="Book Antiqua" w:hAnsi="Book Antiqua"/>
          <w:highlight w:val="white"/>
        </w:rPr>
      </w:pPr>
      <w:r>
        <w:rPr>
          <w:rFonts w:ascii="Book Antiqua" w:hAnsi="Book Antiqua" w:cs="Arial"/>
        </w:rPr>
        <w:t>agosto</w:t>
      </w:r>
      <w:r w:rsidR="000A6207" w:rsidRPr="00002C14">
        <w:rPr>
          <w:rFonts w:ascii="Book Antiqua" w:hAnsi="Book Antiqua" w:cs="Arial"/>
        </w:rPr>
        <w:t xml:space="preserve"> 2021</w:t>
      </w:r>
    </w:p>
    <w:tbl>
      <w:tblPr>
        <w:tblW w:w="5824" w:type="dxa"/>
        <w:jc w:val="center"/>
        <w:tblLayout w:type="fixed"/>
        <w:tblCellMar>
          <w:left w:w="70" w:type="dxa"/>
          <w:right w:w="70" w:type="dxa"/>
        </w:tblCellMar>
        <w:tblLook w:val="04A0" w:firstRow="1" w:lastRow="0" w:firstColumn="1" w:lastColumn="0" w:noHBand="0" w:noVBand="1"/>
      </w:tblPr>
      <w:tblGrid>
        <w:gridCol w:w="4265"/>
        <w:gridCol w:w="1559"/>
      </w:tblGrid>
      <w:tr w:rsidR="00BE76D5" w:rsidRPr="00BE76D5" w14:paraId="526B5F87" w14:textId="77777777" w:rsidTr="00BE76D5">
        <w:trPr>
          <w:trHeight w:val="708"/>
          <w:jc w:val="center"/>
        </w:trPr>
        <w:tc>
          <w:tcPr>
            <w:tcW w:w="5824" w:type="dxa"/>
            <w:gridSpan w:val="2"/>
            <w:tcBorders>
              <w:top w:val="single" w:sz="4" w:space="0" w:color="000000"/>
              <w:left w:val="single" w:sz="4" w:space="0" w:color="000000"/>
              <w:bottom w:val="single" w:sz="4" w:space="0" w:color="000000"/>
              <w:right w:val="single" w:sz="4" w:space="0" w:color="000000"/>
            </w:tcBorders>
            <w:shd w:val="clear" w:color="auto" w:fill="2F5496" w:themeFill="accent1" w:themeFillShade="BF"/>
            <w:vAlign w:val="bottom"/>
          </w:tcPr>
          <w:p w14:paraId="51FE493E" w14:textId="77777777" w:rsidR="00BE76D5" w:rsidRPr="00BE76D5" w:rsidRDefault="00BE76D5" w:rsidP="00243F14">
            <w:pPr>
              <w:widowControl w:val="0"/>
              <w:spacing w:line="276" w:lineRule="auto"/>
              <w:jc w:val="center"/>
              <w:rPr>
                <w:rFonts w:ascii="Book Antiqua" w:hAnsi="Book Antiqua" w:cs="Arial"/>
                <w:b/>
                <w:bCs/>
                <w:color w:val="FFFFFF"/>
                <w:sz w:val="16"/>
                <w:szCs w:val="16"/>
              </w:rPr>
            </w:pPr>
            <w:r w:rsidRPr="00BE76D5">
              <w:rPr>
                <w:rFonts w:ascii="Book Antiqua" w:hAnsi="Book Antiqua" w:cs="Arial"/>
                <w:b/>
                <w:bCs/>
                <w:color w:val="FFFFFF"/>
                <w:sz w:val="16"/>
                <w:szCs w:val="16"/>
              </w:rPr>
              <w:t>Estadísticas Justicia Penal Restaurativa</w:t>
            </w:r>
          </w:p>
          <w:p w14:paraId="234CBFEB" w14:textId="77777777" w:rsidR="00BE76D5" w:rsidRPr="00BE76D5" w:rsidRDefault="00BE76D5" w:rsidP="00243F14">
            <w:pPr>
              <w:widowControl w:val="0"/>
              <w:spacing w:line="276" w:lineRule="auto"/>
              <w:jc w:val="center"/>
              <w:rPr>
                <w:rFonts w:ascii="Book Antiqua" w:hAnsi="Book Antiqua" w:cs="Arial"/>
                <w:b/>
                <w:bCs/>
                <w:color w:val="FF0000"/>
                <w:sz w:val="16"/>
                <w:szCs w:val="16"/>
              </w:rPr>
            </w:pPr>
            <w:r w:rsidRPr="00BE76D5">
              <w:rPr>
                <w:rFonts w:ascii="Book Antiqua" w:hAnsi="Book Antiqua" w:cs="Arial"/>
                <w:b/>
                <w:bCs/>
                <w:color w:val="FFFFFF"/>
                <w:sz w:val="16"/>
                <w:szCs w:val="16"/>
                <w:lang w:eastAsia="zh-CN"/>
              </w:rPr>
              <w:t>agosto 2021</w:t>
            </w:r>
          </w:p>
        </w:tc>
      </w:tr>
      <w:tr w:rsidR="00BE76D5" w:rsidRPr="00BE76D5" w14:paraId="274C38C5" w14:textId="77777777" w:rsidTr="00BE76D5">
        <w:trPr>
          <w:trHeight w:val="363"/>
          <w:jc w:val="center"/>
        </w:trPr>
        <w:tc>
          <w:tcPr>
            <w:tcW w:w="4265" w:type="dxa"/>
            <w:tcBorders>
              <w:top w:val="single" w:sz="4" w:space="0" w:color="000000"/>
              <w:left w:val="single" w:sz="4" w:space="0" w:color="000000"/>
              <w:bottom w:val="single" w:sz="4" w:space="0" w:color="000000"/>
            </w:tcBorders>
            <w:shd w:val="clear" w:color="auto" w:fill="DEEAF6" w:themeFill="accent5" w:themeFillTint="33"/>
            <w:vAlign w:val="bottom"/>
          </w:tcPr>
          <w:p w14:paraId="7C3CB0FB" w14:textId="77777777" w:rsidR="00BE76D5" w:rsidRPr="00BE76D5" w:rsidRDefault="00BE76D5" w:rsidP="00243F14">
            <w:pPr>
              <w:widowControl w:val="0"/>
              <w:spacing w:line="276" w:lineRule="auto"/>
              <w:rPr>
                <w:rFonts w:ascii="Book Antiqua" w:hAnsi="Book Antiqua" w:cs="Arial"/>
                <w:b/>
                <w:bCs/>
                <w:color w:val="000000"/>
                <w:sz w:val="16"/>
                <w:szCs w:val="16"/>
              </w:rPr>
            </w:pPr>
            <w:r w:rsidRPr="00BE76D5">
              <w:rPr>
                <w:rFonts w:ascii="Book Antiqua" w:hAnsi="Book Antiqua" w:cs="Arial"/>
                <w:b/>
                <w:bCs/>
                <w:color w:val="000000"/>
                <w:sz w:val="16"/>
                <w:szCs w:val="16"/>
              </w:rPr>
              <w:t>Reuniones Restaurativas señaladas</w:t>
            </w:r>
          </w:p>
        </w:tc>
        <w:tc>
          <w:tcPr>
            <w:tcW w:w="1559" w:type="dxa"/>
            <w:tcBorders>
              <w:top w:val="single" w:sz="4" w:space="0" w:color="000000"/>
              <w:bottom w:val="single" w:sz="4" w:space="0" w:color="000000"/>
              <w:right w:val="single" w:sz="4" w:space="0" w:color="000000"/>
            </w:tcBorders>
            <w:shd w:val="clear" w:color="auto" w:fill="DEEAF6" w:themeFill="accent5" w:themeFillTint="33"/>
            <w:vAlign w:val="bottom"/>
          </w:tcPr>
          <w:p w14:paraId="3F5E7F73" w14:textId="77777777" w:rsidR="00BE76D5" w:rsidRPr="00BE76D5" w:rsidRDefault="00BE76D5" w:rsidP="00243F14">
            <w:pPr>
              <w:widowControl w:val="0"/>
              <w:spacing w:line="276" w:lineRule="auto"/>
              <w:jc w:val="center"/>
              <w:rPr>
                <w:rFonts w:ascii="Book Antiqua" w:hAnsi="Book Antiqua" w:cs="Arial"/>
                <w:b/>
                <w:bCs/>
                <w:color w:val="000000"/>
                <w:sz w:val="16"/>
                <w:szCs w:val="16"/>
              </w:rPr>
            </w:pPr>
            <w:r w:rsidRPr="00BE76D5">
              <w:rPr>
                <w:rFonts w:ascii="Book Antiqua" w:hAnsi="Book Antiqua" w:cs="Arial"/>
                <w:b/>
                <w:bCs/>
                <w:color w:val="000000"/>
                <w:sz w:val="16"/>
                <w:szCs w:val="16"/>
                <w:lang w:eastAsia="zh-CN"/>
              </w:rPr>
              <w:t>194</w:t>
            </w:r>
          </w:p>
        </w:tc>
      </w:tr>
      <w:tr w:rsidR="00BE76D5" w:rsidRPr="00BE76D5" w14:paraId="3FB86718" w14:textId="77777777" w:rsidTr="00BE76D5">
        <w:trPr>
          <w:trHeight w:val="363"/>
          <w:jc w:val="center"/>
        </w:trPr>
        <w:tc>
          <w:tcPr>
            <w:tcW w:w="4265" w:type="dxa"/>
            <w:tcBorders>
              <w:top w:val="single" w:sz="4" w:space="0" w:color="000000"/>
              <w:left w:val="single" w:sz="4" w:space="0" w:color="000000"/>
              <w:bottom w:val="single" w:sz="4" w:space="0" w:color="000000"/>
            </w:tcBorders>
            <w:shd w:val="clear" w:color="auto" w:fill="FFFFFF"/>
            <w:vAlign w:val="bottom"/>
          </w:tcPr>
          <w:p w14:paraId="322A96D0" w14:textId="77777777" w:rsidR="00BE76D5" w:rsidRPr="00BE76D5" w:rsidRDefault="00BE76D5" w:rsidP="00243F14">
            <w:pPr>
              <w:widowControl w:val="0"/>
              <w:spacing w:line="276" w:lineRule="auto"/>
              <w:ind w:firstLine="221"/>
              <w:rPr>
                <w:rFonts w:ascii="Book Antiqua" w:hAnsi="Book Antiqua" w:cs="Arial"/>
                <w:b/>
                <w:bCs/>
                <w:color w:val="000000"/>
                <w:sz w:val="16"/>
                <w:szCs w:val="16"/>
              </w:rPr>
            </w:pPr>
            <w:r w:rsidRPr="00BE76D5">
              <w:rPr>
                <w:rFonts w:ascii="Book Antiqua" w:hAnsi="Book Antiqua" w:cs="Arial"/>
                <w:b/>
                <w:bCs/>
                <w:color w:val="000000"/>
                <w:sz w:val="16"/>
                <w:szCs w:val="16"/>
              </w:rPr>
              <w:t>Realizadas</w:t>
            </w:r>
          </w:p>
        </w:tc>
        <w:tc>
          <w:tcPr>
            <w:tcW w:w="1559" w:type="dxa"/>
            <w:tcBorders>
              <w:top w:val="single" w:sz="4" w:space="0" w:color="000000"/>
              <w:bottom w:val="single" w:sz="4" w:space="0" w:color="000000"/>
              <w:right w:val="single" w:sz="4" w:space="0" w:color="000000"/>
            </w:tcBorders>
            <w:shd w:val="clear" w:color="auto" w:fill="FFFFFF"/>
            <w:vAlign w:val="bottom"/>
          </w:tcPr>
          <w:p w14:paraId="26E87AB6" w14:textId="77777777" w:rsidR="00BE76D5" w:rsidRPr="00BE76D5" w:rsidRDefault="00BE76D5" w:rsidP="00243F14">
            <w:pPr>
              <w:widowControl w:val="0"/>
              <w:spacing w:line="276" w:lineRule="auto"/>
              <w:jc w:val="center"/>
              <w:rPr>
                <w:rFonts w:ascii="Book Antiqua" w:hAnsi="Book Antiqua" w:cs="Arial"/>
                <w:color w:val="000000"/>
                <w:sz w:val="16"/>
                <w:szCs w:val="16"/>
              </w:rPr>
            </w:pPr>
            <w:r w:rsidRPr="00BE76D5">
              <w:rPr>
                <w:rFonts w:ascii="Book Antiqua" w:hAnsi="Book Antiqua" w:cs="Arial"/>
                <w:color w:val="000000"/>
                <w:sz w:val="16"/>
                <w:szCs w:val="16"/>
                <w:lang w:eastAsia="zh-CN"/>
              </w:rPr>
              <w:t>180</w:t>
            </w:r>
          </w:p>
        </w:tc>
      </w:tr>
      <w:tr w:rsidR="00BE76D5" w:rsidRPr="00BE76D5" w14:paraId="38846FFC" w14:textId="77777777" w:rsidTr="00BE76D5">
        <w:trPr>
          <w:trHeight w:val="363"/>
          <w:jc w:val="center"/>
        </w:trPr>
        <w:tc>
          <w:tcPr>
            <w:tcW w:w="4265" w:type="dxa"/>
            <w:tcBorders>
              <w:top w:val="single" w:sz="4" w:space="0" w:color="000000"/>
              <w:left w:val="single" w:sz="4" w:space="0" w:color="000000"/>
              <w:bottom w:val="single" w:sz="4" w:space="0" w:color="000000"/>
            </w:tcBorders>
            <w:shd w:val="clear" w:color="auto" w:fill="FFFFFF"/>
            <w:vAlign w:val="bottom"/>
          </w:tcPr>
          <w:p w14:paraId="2057C86E" w14:textId="77777777" w:rsidR="00BE76D5" w:rsidRPr="00BE76D5" w:rsidRDefault="00BE76D5" w:rsidP="00243F14">
            <w:pPr>
              <w:widowControl w:val="0"/>
              <w:spacing w:line="276" w:lineRule="auto"/>
              <w:ind w:firstLine="220"/>
              <w:rPr>
                <w:rFonts w:ascii="Book Antiqua" w:hAnsi="Book Antiqua" w:cs="Arial"/>
                <w:color w:val="000000"/>
                <w:sz w:val="16"/>
                <w:szCs w:val="16"/>
              </w:rPr>
            </w:pPr>
            <w:r w:rsidRPr="00BE76D5">
              <w:rPr>
                <w:rFonts w:ascii="Book Antiqua" w:hAnsi="Book Antiqua" w:cs="Arial"/>
                <w:color w:val="000000"/>
                <w:sz w:val="16"/>
                <w:szCs w:val="16"/>
              </w:rPr>
              <w:t>Con acuerdo</w:t>
            </w:r>
          </w:p>
        </w:tc>
        <w:tc>
          <w:tcPr>
            <w:tcW w:w="1559" w:type="dxa"/>
            <w:tcBorders>
              <w:top w:val="single" w:sz="4" w:space="0" w:color="000000"/>
              <w:bottom w:val="single" w:sz="4" w:space="0" w:color="000000"/>
              <w:right w:val="single" w:sz="4" w:space="0" w:color="000000"/>
            </w:tcBorders>
            <w:shd w:val="clear" w:color="auto" w:fill="FFFFFF"/>
            <w:vAlign w:val="bottom"/>
          </w:tcPr>
          <w:p w14:paraId="62B0ED17" w14:textId="77777777" w:rsidR="00BE76D5" w:rsidRPr="00BE76D5" w:rsidRDefault="00BE76D5" w:rsidP="00243F14">
            <w:pPr>
              <w:widowControl w:val="0"/>
              <w:spacing w:line="276" w:lineRule="auto"/>
              <w:jc w:val="center"/>
              <w:rPr>
                <w:rFonts w:ascii="Book Antiqua" w:hAnsi="Book Antiqua"/>
                <w:sz w:val="16"/>
                <w:szCs w:val="16"/>
              </w:rPr>
            </w:pPr>
            <w:r w:rsidRPr="00BE76D5">
              <w:rPr>
                <w:rFonts w:ascii="Book Antiqua" w:eastAsia="Segoe UI" w:hAnsi="Book Antiqua" w:cs="Tahoma"/>
                <w:sz w:val="16"/>
                <w:szCs w:val="16"/>
                <w:lang w:val="es-ES_tradnl" w:eastAsia="zh-CN"/>
              </w:rPr>
              <w:t>173</w:t>
            </w:r>
          </w:p>
        </w:tc>
      </w:tr>
      <w:tr w:rsidR="00BE76D5" w:rsidRPr="00BE76D5" w14:paraId="7AF562C6" w14:textId="77777777" w:rsidTr="00BE76D5">
        <w:trPr>
          <w:trHeight w:val="363"/>
          <w:jc w:val="center"/>
        </w:trPr>
        <w:tc>
          <w:tcPr>
            <w:tcW w:w="4265" w:type="dxa"/>
            <w:tcBorders>
              <w:top w:val="single" w:sz="4" w:space="0" w:color="000000"/>
              <w:left w:val="single" w:sz="4" w:space="0" w:color="000000"/>
              <w:bottom w:val="single" w:sz="4" w:space="0" w:color="000000"/>
            </w:tcBorders>
            <w:shd w:val="clear" w:color="auto" w:fill="FFFFFF"/>
            <w:vAlign w:val="bottom"/>
          </w:tcPr>
          <w:p w14:paraId="4BC8EE36" w14:textId="77777777" w:rsidR="00BE76D5" w:rsidRPr="00BE76D5" w:rsidRDefault="00BE76D5" w:rsidP="00243F14">
            <w:pPr>
              <w:widowControl w:val="0"/>
              <w:spacing w:line="276" w:lineRule="auto"/>
              <w:ind w:firstLine="220"/>
              <w:rPr>
                <w:rFonts w:ascii="Book Antiqua" w:hAnsi="Book Antiqua" w:cs="Arial"/>
                <w:color w:val="000000"/>
                <w:sz w:val="16"/>
                <w:szCs w:val="16"/>
              </w:rPr>
            </w:pPr>
            <w:r w:rsidRPr="00BE76D5">
              <w:rPr>
                <w:rFonts w:ascii="Book Antiqua" w:hAnsi="Book Antiqua" w:cs="Arial"/>
                <w:color w:val="000000"/>
                <w:sz w:val="16"/>
                <w:szCs w:val="16"/>
              </w:rPr>
              <w:t>No hubo acuerdo</w:t>
            </w:r>
          </w:p>
        </w:tc>
        <w:tc>
          <w:tcPr>
            <w:tcW w:w="1559" w:type="dxa"/>
            <w:tcBorders>
              <w:top w:val="single" w:sz="4" w:space="0" w:color="000000"/>
              <w:bottom w:val="single" w:sz="4" w:space="0" w:color="000000"/>
              <w:right w:val="single" w:sz="4" w:space="0" w:color="000000"/>
            </w:tcBorders>
            <w:shd w:val="clear" w:color="auto" w:fill="FFFFFF"/>
            <w:vAlign w:val="bottom"/>
          </w:tcPr>
          <w:p w14:paraId="76677B62" w14:textId="77777777" w:rsidR="00BE76D5" w:rsidRPr="00BE76D5" w:rsidRDefault="00BE76D5" w:rsidP="00243F14">
            <w:pPr>
              <w:widowControl w:val="0"/>
              <w:spacing w:line="276" w:lineRule="auto"/>
              <w:jc w:val="center"/>
              <w:rPr>
                <w:rFonts w:ascii="Book Antiqua" w:hAnsi="Book Antiqua"/>
                <w:sz w:val="16"/>
                <w:szCs w:val="16"/>
              </w:rPr>
            </w:pPr>
            <w:r w:rsidRPr="00BE76D5">
              <w:rPr>
                <w:rFonts w:ascii="Book Antiqua" w:eastAsia="Segoe UI" w:hAnsi="Book Antiqua" w:cs="Tahoma"/>
                <w:sz w:val="16"/>
                <w:szCs w:val="16"/>
                <w:lang w:val="es-ES_tradnl" w:eastAsia="zh-CN"/>
              </w:rPr>
              <w:t>7</w:t>
            </w:r>
          </w:p>
        </w:tc>
      </w:tr>
      <w:tr w:rsidR="00BE76D5" w:rsidRPr="00BE76D5" w14:paraId="69A2803D" w14:textId="77777777" w:rsidTr="00BE76D5">
        <w:trPr>
          <w:trHeight w:val="363"/>
          <w:jc w:val="center"/>
        </w:trPr>
        <w:tc>
          <w:tcPr>
            <w:tcW w:w="4265" w:type="dxa"/>
            <w:tcBorders>
              <w:top w:val="single" w:sz="4" w:space="0" w:color="000000"/>
              <w:left w:val="single" w:sz="4" w:space="0" w:color="000000"/>
              <w:bottom w:val="single" w:sz="4" w:space="0" w:color="000000"/>
            </w:tcBorders>
            <w:shd w:val="clear" w:color="auto" w:fill="FFFFFF"/>
            <w:vAlign w:val="bottom"/>
          </w:tcPr>
          <w:p w14:paraId="32DB2FA8" w14:textId="77777777" w:rsidR="00BE76D5" w:rsidRPr="00BE76D5" w:rsidRDefault="00BE76D5" w:rsidP="00243F14">
            <w:pPr>
              <w:widowControl w:val="0"/>
              <w:spacing w:line="276" w:lineRule="auto"/>
              <w:ind w:firstLine="221"/>
              <w:rPr>
                <w:rFonts w:ascii="Book Antiqua" w:hAnsi="Book Antiqua" w:cs="Arial"/>
                <w:b/>
                <w:bCs/>
                <w:color w:val="000000"/>
                <w:sz w:val="16"/>
                <w:szCs w:val="16"/>
              </w:rPr>
            </w:pPr>
            <w:r w:rsidRPr="00BE76D5">
              <w:rPr>
                <w:rFonts w:ascii="Book Antiqua" w:hAnsi="Book Antiqua" w:cs="Arial"/>
                <w:b/>
                <w:bCs/>
                <w:color w:val="000000"/>
                <w:sz w:val="16"/>
                <w:szCs w:val="16"/>
              </w:rPr>
              <w:t>No realizadas</w:t>
            </w:r>
          </w:p>
        </w:tc>
        <w:tc>
          <w:tcPr>
            <w:tcW w:w="1559" w:type="dxa"/>
            <w:tcBorders>
              <w:top w:val="single" w:sz="4" w:space="0" w:color="000000"/>
              <w:bottom w:val="single" w:sz="4" w:space="0" w:color="000000"/>
              <w:right w:val="single" w:sz="4" w:space="0" w:color="000000"/>
            </w:tcBorders>
            <w:shd w:val="clear" w:color="auto" w:fill="FFFFFF"/>
            <w:vAlign w:val="bottom"/>
          </w:tcPr>
          <w:p w14:paraId="1DBFFEE6" w14:textId="77777777" w:rsidR="00BE76D5" w:rsidRPr="00BE76D5" w:rsidRDefault="00BE76D5" w:rsidP="00243F14">
            <w:pPr>
              <w:widowControl w:val="0"/>
              <w:spacing w:line="276" w:lineRule="auto"/>
              <w:jc w:val="center"/>
              <w:rPr>
                <w:rFonts w:ascii="Book Antiqua" w:hAnsi="Book Antiqua" w:cs="Arial"/>
                <w:color w:val="000000"/>
                <w:sz w:val="16"/>
                <w:szCs w:val="16"/>
              </w:rPr>
            </w:pPr>
            <w:r w:rsidRPr="00BE76D5">
              <w:rPr>
                <w:rFonts w:ascii="Book Antiqua" w:hAnsi="Book Antiqua" w:cs="Arial"/>
                <w:color w:val="000000"/>
                <w:sz w:val="16"/>
                <w:szCs w:val="16"/>
                <w:lang w:eastAsia="zh-CN"/>
              </w:rPr>
              <w:t>14</w:t>
            </w:r>
          </w:p>
        </w:tc>
      </w:tr>
      <w:tr w:rsidR="00BE76D5" w:rsidRPr="00BE76D5" w14:paraId="75C349EA" w14:textId="77777777" w:rsidTr="00BE76D5">
        <w:trPr>
          <w:trHeight w:val="363"/>
          <w:jc w:val="center"/>
        </w:trPr>
        <w:tc>
          <w:tcPr>
            <w:tcW w:w="4265" w:type="dxa"/>
            <w:tcBorders>
              <w:top w:val="single" w:sz="4" w:space="0" w:color="000000"/>
              <w:left w:val="single" w:sz="4" w:space="0" w:color="000000"/>
              <w:bottom w:val="single" w:sz="4" w:space="0" w:color="000000"/>
            </w:tcBorders>
            <w:shd w:val="clear" w:color="auto" w:fill="DEEAF6" w:themeFill="accent5" w:themeFillTint="33"/>
            <w:vAlign w:val="bottom"/>
          </w:tcPr>
          <w:p w14:paraId="1A1E9754" w14:textId="18EB12B8" w:rsidR="00BE76D5" w:rsidRPr="00BE76D5" w:rsidRDefault="00BE76D5" w:rsidP="00243F14">
            <w:pPr>
              <w:widowControl w:val="0"/>
              <w:spacing w:line="276" w:lineRule="auto"/>
              <w:ind w:firstLine="221"/>
              <w:rPr>
                <w:rFonts w:ascii="Book Antiqua" w:hAnsi="Book Antiqua" w:cs="Arial"/>
                <w:b/>
                <w:bCs/>
                <w:color w:val="000000"/>
                <w:sz w:val="16"/>
                <w:szCs w:val="16"/>
              </w:rPr>
            </w:pPr>
            <w:r w:rsidRPr="00BE76D5">
              <w:rPr>
                <w:rFonts w:ascii="Book Antiqua" w:hAnsi="Book Antiqua" w:cs="Arial"/>
                <w:b/>
                <w:bCs/>
                <w:color w:val="000000"/>
                <w:sz w:val="16"/>
                <w:szCs w:val="16"/>
              </w:rPr>
              <w:t>Aud</w:t>
            </w:r>
            <w:r>
              <w:rPr>
                <w:rFonts w:ascii="Book Antiqua" w:hAnsi="Book Antiqua" w:cs="Arial"/>
                <w:b/>
                <w:bCs/>
                <w:color w:val="000000"/>
                <w:sz w:val="16"/>
                <w:szCs w:val="16"/>
              </w:rPr>
              <w:t>iencia</w:t>
            </w:r>
            <w:r w:rsidRPr="00BE76D5">
              <w:rPr>
                <w:rFonts w:ascii="Book Antiqua" w:hAnsi="Book Antiqua" w:cs="Arial"/>
                <w:b/>
                <w:bCs/>
                <w:color w:val="000000"/>
                <w:sz w:val="16"/>
                <w:szCs w:val="16"/>
              </w:rPr>
              <w:t xml:space="preserve"> Verificación Señaladas</w:t>
            </w:r>
          </w:p>
        </w:tc>
        <w:tc>
          <w:tcPr>
            <w:tcW w:w="1559" w:type="dxa"/>
            <w:tcBorders>
              <w:top w:val="single" w:sz="4" w:space="0" w:color="000000"/>
              <w:bottom w:val="single" w:sz="4" w:space="0" w:color="000000"/>
              <w:right w:val="single" w:sz="4" w:space="0" w:color="000000"/>
            </w:tcBorders>
            <w:shd w:val="clear" w:color="auto" w:fill="DEEAF6" w:themeFill="accent5" w:themeFillTint="33"/>
            <w:vAlign w:val="bottom"/>
          </w:tcPr>
          <w:p w14:paraId="22A02BF6" w14:textId="77777777" w:rsidR="00BE76D5" w:rsidRPr="00BE76D5" w:rsidRDefault="00BE76D5" w:rsidP="00243F14">
            <w:pPr>
              <w:widowControl w:val="0"/>
              <w:spacing w:line="276" w:lineRule="auto"/>
              <w:jc w:val="center"/>
              <w:rPr>
                <w:rFonts w:ascii="Book Antiqua" w:hAnsi="Book Antiqua" w:cs="Arial"/>
                <w:b/>
                <w:bCs/>
                <w:color w:val="000000"/>
                <w:sz w:val="16"/>
                <w:szCs w:val="16"/>
              </w:rPr>
            </w:pPr>
            <w:r w:rsidRPr="00BE76D5">
              <w:rPr>
                <w:rFonts w:ascii="Book Antiqua" w:hAnsi="Book Antiqua" w:cs="Arial"/>
                <w:b/>
                <w:bCs/>
                <w:color w:val="000000"/>
                <w:sz w:val="16"/>
                <w:szCs w:val="16"/>
                <w:lang w:eastAsia="zh-CN"/>
              </w:rPr>
              <w:t>48</w:t>
            </w:r>
          </w:p>
        </w:tc>
      </w:tr>
      <w:tr w:rsidR="00BE76D5" w:rsidRPr="00BE76D5" w14:paraId="2B28B120" w14:textId="77777777" w:rsidTr="00BE76D5">
        <w:trPr>
          <w:trHeight w:val="363"/>
          <w:jc w:val="center"/>
        </w:trPr>
        <w:tc>
          <w:tcPr>
            <w:tcW w:w="4265" w:type="dxa"/>
            <w:tcBorders>
              <w:top w:val="single" w:sz="4" w:space="0" w:color="000000"/>
              <w:left w:val="single" w:sz="4" w:space="0" w:color="000000"/>
              <w:bottom w:val="single" w:sz="4" w:space="0" w:color="000000"/>
            </w:tcBorders>
            <w:shd w:val="clear" w:color="auto" w:fill="FFFFFF"/>
            <w:vAlign w:val="bottom"/>
          </w:tcPr>
          <w:p w14:paraId="5FF79622" w14:textId="77777777" w:rsidR="00BE76D5" w:rsidRPr="00BE76D5" w:rsidRDefault="00BE76D5" w:rsidP="00243F14">
            <w:pPr>
              <w:widowControl w:val="0"/>
              <w:spacing w:line="276" w:lineRule="auto"/>
              <w:ind w:firstLine="220"/>
              <w:rPr>
                <w:rFonts w:ascii="Book Antiqua" w:hAnsi="Book Antiqua" w:cs="Arial"/>
                <w:color w:val="000000"/>
                <w:sz w:val="16"/>
                <w:szCs w:val="16"/>
              </w:rPr>
            </w:pPr>
            <w:r w:rsidRPr="00BE76D5">
              <w:rPr>
                <w:rFonts w:ascii="Book Antiqua" w:hAnsi="Book Antiqua" w:cs="Arial"/>
                <w:color w:val="000000"/>
                <w:sz w:val="16"/>
                <w:szCs w:val="16"/>
              </w:rPr>
              <w:t>Se mantiene medida alterna</w:t>
            </w:r>
          </w:p>
        </w:tc>
        <w:tc>
          <w:tcPr>
            <w:tcW w:w="1559" w:type="dxa"/>
            <w:tcBorders>
              <w:top w:val="single" w:sz="4" w:space="0" w:color="000000"/>
              <w:bottom w:val="single" w:sz="4" w:space="0" w:color="000000"/>
              <w:right w:val="single" w:sz="4" w:space="0" w:color="000000"/>
            </w:tcBorders>
            <w:shd w:val="clear" w:color="auto" w:fill="FFFFFF"/>
            <w:vAlign w:val="bottom"/>
          </w:tcPr>
          <w:p w14:paraId="38478792" w14:textId="77777777" w:rsidR="00BE76D5" w:rsidRPr="00BE76D5" w:rsidRDefault="00BE76D5" w:rsidP="00243F14">
            <w:pPr>
              <w:widowControl w:val="0"/>
              <w:spacing w:line="276" w:lineRule="auto"/>
              <w:jc w:val="center"/>
              <w:rPr>
                <w:rFonts w:ascii="Book Antiqua" w:hAnsi="Book Antiqua" w:cs="Arial"/>
                <w:color w:val="000000"/>
                <w:sz w:val="16"/>
                <w:szCs w:val="16"/>
              </w:rPr>
            </w:pPr>
            <w:r w:rsidRPr="00BE76D5">
              <w:rPr>
                <w:rFonts w:ascii="Book Antiqua" w:hAnsi="Book Antiqua" w:cs="Arial"/>
                <w:color w:val="000000"/>
                <w:sz w:val="16"/>
                <w:szCs w:val="16"/>
                <w:lang w:eastAsia="zh-CN"/>
              </w:rPr>
              <w:t>22</w:t>
            </w:r>
          </w:p>
        </w:tc>
      </w:tr>
      <w:tr w:rsidR="00BE76D5" w:rsidRPr="00BE76D5" w14:paraId="1B7118D5" w14:textId="77777777" w:rsidTr="00BE76D5">
        <w:trPr>
          <w:trHeight w:val="363"/>
          <w:jc w:val="center"/>
        </w:trPr>
        <w:tc>
          <w:tcPr>
            <w:tcW w:w="4265" w:type="dxa"/>
            <w:tcBorders>
              <w:top w:val="single" w:sz="4" w:space="0" w:color="000000"/>
              <w:left w:val="single" w:sz="4" w:space="0" w:color="000000"/>
              <w:bottom w:val="single" w:sz="4" w:space="0" w:color="000000"/>
            </w:tcBorders>
            <w:shd w:val="clear" w:color="auto" w:fill="FFFFFF"/>
            <w:vAlign w:val="bottom"/>
          </w:tcPr>
          <w:p w14:paraId="531FDE3C" w14:textId="77777777" w:rsidR="00BE76D5" w:rsidRPr="00BE76D5" w:rsidRDefault="00BE76D5" w:rsidP="00243F14">
            <w:pPr>
              <w:widowControl w:val="0"/>
              <w:spacing w:line="276" w:lineRule="auto"/>
              <w:ind w:firstLine="220"/>
              <w:rPr>
                <w:rFonts w:ascii="Book Antiqua" w:hAnsi="Book Antiqua" w:cs="Arial"/>
                <w:color w:val="000000"/>
                <w:sz w:val="16"/>
                <w:szCs w:val="16"/>
              </w:rPr>
            </w:pPr>
            <w:r w:rsidRPr="00BE76D5">
              <w:rPr>
                <w:rFonts w:ascii="Book Antiqua" w:hAnsi="Book Antiqua" w:cs="Arial"/>
                <w:color w:val="000000"/>
                <w:sz w:val="16"/>
                <w:szCs w:val="16"/>
              </w:rPr>
              <w:t>Se modifica medida alterna</w:t>
            </w:r>
          </w:p>
        </w:tc>
        <w:tc>
          <w:tcPr>
            <w:tcW w:w="1559" w:type="dxa"/>
            <w:tcBorders>
              <w:top w:val="single" w:sz="4" w:space="0" w:color="000000"/>
              <w:bottom w:val="single" w:sz="4" w:space="0" w:color="000000"/>
              <w:right w:val="single" w:sz="4" w:space="0" w:color="000000"/>
            </w:tcBorders>
            <w:shd w:val="clear" w:color="auto" w:fill="FFFFFF"/>
            <w:vAlign w:val="bottom"/>
          </w:tcPr>
          <w:p w14:paraId="089D73D3" w14:textId="77777777" w:rsidR="00BE76D5" w:rsidRPr="00BE76D5" w:rsidRDefault="00BE76D5" w:rsidP="00243F14">
            <w:pPr>
              <w:widowControl w:val="0"/>
              <w:spacing w:line="276" w:lineRule="auto"/>
              <w:jc w:val="center"/>
              <w:rPr>
                <w:rFonts w:ascii="Book Antiqua" w:hAnsi="Book Antiqua" w:cs="Arial"/>
                <w:color w:val="000000"/>
                <w:sz w:val="16"/>
                <w:szCs w:val="16"/>
              </w:rPr>
            </w:pPr>
            <w:r w:rsidRPr="00BE76D5">
              <w:rPr>
                <w:rFonts w:ascii="Book Antiqua" w:hAnsi="Book Antiqua" w:cs="Arial"/>
                <w:color w:val="000000"/>
                <w:sz w:val="16"/>
                <w:szCs w:val="16"/>
                <w:lang w:eastAsia="zh-CN"/>
              </w:rPr>
              <w:t>23</w:t>
            </w:r>
          </w:p>
        </w:tc>
      </w:tr>
      <w:tr w:rsidR="00BE76D5" w:rsidRPr="00BE76D5" w14:paraId="7006406E" w14:textId="77777777" w:rsidTr="00BE76D5">
        <w:trPr>
          <w:trHeight w:val="363"/>
          <w:jc w:val="center"/>
        </w:trPr>
        <w:tc>
          <w:tcPr>
            <w:tcW w:w="4265" w:type="dxa"/>
            <w:tcBorders>
              <w:top w:val="single" w:sz="4" w:space="0" w:color="000000"/>
              <w:left w:val="single" w:sz="4" w:space="0" w:color="000000"/>
              <w:bottom w:val="single" w:sz="4" w:space="0" w:color="000000"/>
            </w:tcBorders>
            <w:shd w:val="clear" w:color="auto" w:fill="FFFFFF"/>
            <w:vAlign w:val="bottom"/>
          </w:tcPr>
          <w:p w14:paraId="5CD2592D" w14:textId="77777777" w:rsidR="00BE76D5" w:rsidRPr="00BE76D5" w:rsidRDefault="00BE76D5" w:rsidP="00243F14">
            <w:pPr>
              <w:widowControl w:val="0"/>
              <w:spacing w:line="276" w:lineRule="auto"/>
              <w:ind w:firstLine="220"/>
              <w:rPr>
                <w:rFonts w:ascii="Book Antiqua" w:hAnsi="Book Antiqua" w:cs="Arial"/>
                <w:color w:val="000000"/>
                <w:sz w:val="16"/>
                <w:szCs w:val="16"/>
              </w:rPr>
            </w:pPr>
            <w:r w:rsidRPr="00BE76D5">
              <w:rPr>
                <w:rFonts w:ascii="Book Antiqua" w:hAnsi="Book Antiqua" w:cs="Arial"/>
                <w:color w:val="000000"/>
                <w:sz w:val="16"/>
                <w:szCs w:val="16"/>
              </w:rPr>
              <w:t>Se revoca medida alterna</w:t>
            </w:r>
          </w:p>
        </w:tc>
        <w:tc>
          <w:tcPr>
            <w:tcW w:w="1559" w:type="dxa"/>
            <w:tcBorders>
              <w:top w:val="single" w:sz="4" w:space="0" w:color="000000"/>
              <w:bottom w:val="single" w:sz="4" w:space="0" w:color="000000"/>
              <w:right w:val="single" w:sz="4" w:space="0" w:color="000000"/>
            </w:tcBorders>
            <w:shd w:val="clear" w:color="auto" w:fill="FFFFFF"/>
            <w:vAlign w:val="bottom"/>
          </w:tcPr>
          <w:p w14:paraId="0CB3FD3A" w14:textId="77777777" w:rsidR="00BE76D5" w:rsidRPr="00BE76D5" w:rsidRDefault="00BE76D5" w:rsidP="00243F14">
            <w:pPr>
              <w:widowControl w:val="0"/>
              <w:spacing w:line="276" w:lineRule="auto"/>
              <w:jc w:val="center"/>
              <w:rPr>
                <w:rFonts w:ascii="Book Antiqua" w:hAnsi="Book Antiqua" w:cs="Arial"/>
                <w:color w:val="000000"/>
                <w:sz w:val="16"/>
                <w:szCs w:val="16"/>
              </w:rPr>
            </w:pPr>
            <w:r w:rsidRPr="00BE76D5">
              <w:rPr>
                <w:rFonts w:ascii="Book Antiqua" w:hAnsi="Book Antiqua" w:cs="Arial"/>
                <w:color w:val="000000"/>
                <w:sz w:val="16"/>
                <w:szCs w:val="16"/>
                <w:lang w:eastAsia="zh-CN"/>
              </w:rPr>
              <w:t>3</w:t>
            </w:r>
          </w:p>
        </w:tc>
      </w:tr>
      <w:tr w:rsidR="00BE76D5" w:rsidRPr="00BE76D5" w14:paraId="2C1E2BB9" w14:textId="77777777" w:rsidTr="00BE76D5">
        <w:trPr>
          <w:trHeight w:val="363"/>
          <w:jc w:val="center"/>
        </w:trPr>
        <w:tc>
          <w:tcPr>
            <w:tcW w:w="4265" w:type="dxa"/>
            <w:tcBorders>
              <w:top w:val="single" w:sz="4" w:space="0" w:color="000000"/>
              <w:left w:val="single" w:sz="4" w:space="0" w:color="000000"/>
              <w:bottom w:val="single" w:sz="4" w:space="0" w:color="000000"/>
            </w:tcBorders>
            <w:shd w:val="clear" w:color="auto" w:fill="FFFFFF"/>
            <w:vAlign w:val="bottom"/>
          </w:tcPr>
          <w:p w14:paraId="3AE2BC2A" w14:textId="77777777" w:rsidR="00BE76D5" w:rsidRPr="00BE76D5" w:rsidRDefault="00BE76D5" w:rsidP="00243F14">
            <w:pPr>
              <w:widowControl w:val="0"/>
              <w:spacing w:line="276" w:lineRule="auto"/>
              <w:rPr>
                <w:rFonts w:ascii="Book Antiqua" w:hAnsi="Book Antiqua" w:cs="Arial"/>
                <w:color w:val="000000"/>
                <w:sz w:val="16"/>
                <w:szCs w:val="16"/>
              </w:rPr>
            </w:pPr>
            <w:r w:rsidRPr="00BE76D5">
              <w:rPr>
                <w:rFonts w:ascii="Book Antiqua" w:hAnsi="Book Antiqua" w:cs="Arial"/>
                <w:color w:val="000000"/>
                <w:sz w:val="16"/>
                <w:szCs w:val="16"/>
              </w:rPr>
              <w:t>Se homologa indemnización seguro</w:t>
            </w:r>
          </w:p>
        </w:tc>
        <w:tc>
          <w:tcPr>
            <w:tcW w:w="1559" w:type="dxa"/>
            <w:tcBorders>
              <w:top w:val="single" w:sz="4" w:space="0" w:color="000000"/>
              <w:bottom w:val="single" w:sz="4" w:space="0" w:color="000000"/>
              <w:right w:val="single" w:sz="4" w:space="0" w:color="000000"/>
            </w:tcBorders>
            <w:shd w:val="clear" w:color="auto" w:fill="FFFFFF"/>
            <w:vAlign w:val="bottom"/>
          </w:tcPr>
          <w:p w14:paraId="27596902" w14:textId="77777777" w:rsidR="00BE76D5" w:rsidRPr="00BE76D5" w:rsidRDefault="00BE76D5" w:rsidP="00243F14">
            <w:pPr>
              <w:widowControl w:val="0"/>
              <w:spacing w:line="276" w:lineRule="auto"/>
              <w:jc w:val="center"/>
              <w:rPr>
                <w:rFonts w:ascii="Book Antiqua" w:hAnsi="Book Antiqua" w:cs="Arial"/>
                <w:color w:val="000000"/>
                <w:sz w:val="16"/>
                <w:szCs w:val="16"/>
              </w:rPr>
            </w:pPr>
            <w:r w:rsidRPr="00BE76D5">
              <w:rPr>
                <w:rFonts w:ascii="Book Antiqua" w:hAnsi="Book Antiqua" w:cs="Arial"/>
                <w:color w:val="000000"/>
                <w:sz w:val="16"/>
                <w:szCs w:val="16"/>
              </w:rPr>
              <w:t>0</w:t>
            </w:r>
          </w:p>
        </w:tc>
      </w:tr>
      <w:tr w:rsidR="00BE76D5" w:rsidRPr="00BE76D5" w14:paraId="789FD741" w14:textId="77777777" w:rsidTr="00BE76D5">
        <w:trPr>
          <w:trHeight w:val="363"/>
          <w:jc w:val="center"/>
        </w:trPr>
        <w:tc>
          <w:tcPr>
            <w:tcW w:w="4265" w:type="dxa"/>
            <w:tcBorders>
              <w:top w:val="single" w:sz="4" w:space="0" w:color="000000"/>
              <w:left w:val="single" w:sz="4" w:space="0" w:color="000000"/>
              <w:bottom w:val="single" w:sz="4" w:space="0" w:color="000000"/>
            </w:tcBorders>
            <w:shd w:val="clear" w:color="auto" w:fill="DEEAF6" w:themeFill="accent5" w:themeFillTint="33"/>
            <w:vAlign w:val="bottom"/>
          </w:tcPr>
          <w:p w14:paraId="1C802250" w14:textId="77777777" w:rsidR="00BE76D5" w:rsidRPr="00BE76D5" w:rsidRDefault="00BE76D5" w:rsidP="00243F14">
            <w:pPr>
              <w:widowControl w:val="0"/>
              <w:spacing w:line="276" w:lineRule="auto"/>
              <w:ind w:firstLine="221"/>
              <w:rPr>
                <w:rFonts w:ascii="Book Antiqua" w:hAnsi="Book Antiqua" w:cs="Arial"/>
                <w:b/>
                <w:bCs/>
                <w:color w:val="000000"/>
                <w:sz w:val="16"/>
                <w:szCs w:val="16"/>
              </w:rPr>
            </w:pPr>
            <w:r w:rsidRPr="00BE76D5">
              <w:rPr>
                <w:rFonts w:ascii="Book Antiqua" w:hAnsi="Book Antiqua" w:cs="Arial"/>
                <w:b/>
                <w:bCs/>
                <w:color w:val="000000"/>
                <w:sz w:val="16"/>
                <w:szCs w:val="16"/>
              </w:rPr>
              <w:t>Red de apoyo</w:t>
            </w:r>
          </w:p>
        </w:tc>
        <w:tc>
          <w:tcPr>
            <w:tcW w:w="1559" w:type="dxa"/>
            <w:tcBorders>
              <w:top w:val="single" w:sz="4" w:space="0" w:color="000000"/>
              <w:bottom w:val="single" w:sz="4" w:space="0" w:color="000000"/>
              <w:right w:val="single" w:sz="4" w:space="0" w:color="000000"/>
            </w:tcBorders>
            <w:shd w:val="clear" w:color="auto" w:fill="DEEAF6" w:themeFill="accent5" w:themeFillTint="33"/>
            <w:vAlign w:val="bottom"/>
          </w:tcPr>
          <w:p w14:paraId="7AB12330" w14:textId="77777777" w:rsidR="00BE76D5" w:rsidRPr="00BE76D5" w:rsidRDefault="00BE76D5" w:rsidP="00243F14">
            <w:pPr>
              <w:widowControl w:val="0"/>
              <w:spacing w:line="276" w:lineRule="auto"/>
              <w:jc w:val="center"/>
              <w:rPr>
                <w:rFonts w:ascii="Book Antiqua" w:hAnsi="Book Antiqua" w:cs="Arial"/>
                <w:color w:val="000000"/>
                <w:sz w:val="16"/>
                <w:szCs w:val="16"/>
              </w:rPr>
            </w:pPr>
          </w:p>
        </w:tc>
      </w:tr>
      <w:tr w:rsidR="00BE76D5" w:rsidRPr="00BE76D5" w14:paraId="7F598185" w14:textId="77777777" w:rsidTr="00BE76D5">
        <w:trPr>
          <w:trHeight w:val="363"/>
          <w:jc w:val="center"/>
        </w:trPr>
        <w:tc>
          <w:tcPr>
            <w:tcW w:w="4265" w:type="dxa"/>
            <w:tcBorders>
              <w:top w:val="single" w:sz="4" w:space="0" w:color="000000"/>
              <w:left w:val="single" w:sz="4" w:space="0" w:color="000000"/>
              <w:bottom w:val="single" w:sz="4" w:space="0" w:color="000000"/>
            </w:tcBorders>
            <w:shd w:val="clear" w:color="auto" w:fill="FFFFFF"/>
            <w:vAlign w:val="bottom"/>
          </w:tcPr>
          <w:p w14:paraId="2711CB55" w14:textId="77777777" w:rsidR="00BE76D5" w:rsidRPr="00BE76D5" w:rsidRDefault="00BE76D5" w:rsidP="00243F14">
            <w:pPr>
              <w:widowControl w:val="0"/>
              <w:spacing w:line="276" w:lineRule="auto"/>
              <w:rPr>
                <w:rFonts w:ascii="Book Antiqua" w:hAnsi="Book Antiqua" w:cs="Arial"/>
                <w:color w:val="000000"/>
                <w:sz w:val="16"/>
                <w:szCs w:val="16"/>
              </w:rPr>
            </w:pPr>
            <w:r w:rsidRPr="00BE76D5">
              <w:rPr>
                <w:rFonts w:ascii="Book Antiqua" w:hAnsi="Book Antiqua" w:cs="Arial"/>
                <w:color w:val="000000"/>
                <w:sz w:val="16"/>
                <w:szCs w:val="16"/>
              </w:rPr>
              <w:t>Coordinaciones interinstitucionales</w:t>
            </w:r>
          </w:p>
        </w:tc>
        <w:tc>
          <w:tcPr>
            <w:tcW w:w="1559" w:type="dxa"/>
            <w:tcBorders>
              <w:top w:val="single" w:sz="4" w:space="0" w:color="000000"/>
              <w:bottom w:val="single" w:sz="4" w:space="0" w:color="000000"/>
              <w:right w:val="single" w:sz="4" w:space="0" w:color="000000"/>
            </w:tcBorders>
            <w:shd w:val="clear" w:color="auto" w:fill="FFFFFF"/>
            <w:vAlign w:val="bottom"/>
          </w:tcPr>
          <w:p w14:paraId="70B232F3" w14:textId="77777777" w:rsidR="00BE76D5" w:rsidRPr="00BE76D5" w:rsidRDefault="00BE76D5" w:rsidP="00243F14">
            <w:pPr>
              <w:widowControl w:val="0"/>
              <w:spacing w:line="276" w:lineRule="auto"/>
              <w:jc w:val="center"/>
              <w:rPr>
                <w:rFonts w:ascii="Book Antiqua" w:hAnsi="Book Antiqua" w:cs="Arial"/>
                <w:color w:val="000000"/>
                <w:sz w:val="16"/>
                <w:szCs w:val="16"/>
              </w:rPr>
            </w:pPr>
            <w:r w:rsidRPr="00BE76D5">
              <w:rPr>
                <w:rFonts w:ascii="Book Antiqua" w:hAnsi="Book Antiqua" w:cs="Arial"/>
                <w:color w:val="000000"/>
                <w:sz w:val="16"/>
                <w:szCs w:val="16"/>
                <w:lang w:eastAsia="zh-CN"/>
              </w:rPr>
              <w:t>352</w:t>
            </w:r>
          </w:p>
        </w:tc>
      </w:tr>
      <w:tr w:rsidR="00BE76D5" w:rsidRPr="00BE76D5" w14:paraId="0E72AA5C" w14:textId="77777777" w:rsidTr="00BE76D5">
        <w:trPr>
          <w:trHeight w:val="339"/>
          <w:jc w:val="center"/>
        </w:trPr>
        <w:tc>
          <w:tcPr>
            <w:tcW w:w="4265" w:type="dxa"/>
            <w:tcBorders>
              <w:top w:val="single" w:sz="4" w:space="0" w:color="000000"/>
              <w:left w:val="single" w:sz="4" w:space="0" w:color="000000"/>
              <w:bottom w:val="single" w:sz="4" w:space="0" w:color="000000"/>
            </w:tcBorders>
            <w:shd w:val="clear" w:color="auto" w:fill="FFFFFF"/>
            <w:vAlign w:val="bottom"/>
          </w:tcPr>
          <w:p w14:paraId="27CAC53A" w14:textId="77777777" w:rsidR="00BE76D5" w:rsidRPr="00BE76D5" w:rsidRDefault="00BE76D5" w:rsidP="00243F14">
            <w:pPr>
              <w:widowControl w:val="0"/>
              <w:spacing w:line="276" w:lineRule="auto"/>
              <w:rPr>
                <w:rFonts w:ascii="Book Antiqua" w:hAnsi="Book Antiqua" w:cs="Arial"/>
                <w:b/>
                <w:bCs/>
                <w:sz w:val="16"/>
                <w:szCs w:val="16"/>
              </w:rPr>
            </w:pPr>
            <w:r w:rsidRPr="00BE76D5">
              <w:rPr>
                <w:rFonts w:ascii="Book Antiqua" w:hAnsi="Book Antiqua" w:cs="Arial"/>
                <w:b/>
                <w:bCs/>
                <w:sz w:val="16"/>
                <w:szCs w:val="16"/>
              </w:rPr>
              <w:t>Cantidad de instituciones que conforman la red</w:t>
            </w:r>
          </w:p>
        </w:tc>
        <w:tc>
          <w:tcPr>
            <w:tcW w:w="1559" w:type="dxa"/>
            <w:tcBorders>
              <w:top w:val="single" w:sz="4" w:space="0" w:color="000000"/>
              <w:bottom w:val="single" w:sz="4" w:space="0" w:color="000000"/>
              <w:right w:val="single" w:sz="4" w:space="0" w:color="000000"/>
            </w:tcBorders>
            <w:shd w:val="clear" w:color="auto" w:fill="FFFFFF"/>
            <w:vAlign w:val="bottom"/>
          </w:tcPr>
          <w:p w14:paraId="28FD09EE" w14:textId="77777777" w:rsidR="00BE76D5" w:rsidRPr="00BE76D5" w:rsidRDefault="00BE76D5" w:rsidP="00243F14">
            <w:pPr>
              <w:widowControl w:val="0"/>
              <w:spacing w:line="276" w:lineRule="auto"/>
              <w:jc w:val="center"/>
              <w:rPr>
                <w:rFonts w:ascii="Book Antiqua" w:hAnsi="Book Antiqua" w:cs="Arial"/>
                <w:sz w:val="16"/>
                <w:szCs w:val="16"/>
              </w:rPr>
            </w:pPr>
            <w:r w:rsidRPr="00BE76D5">
              <w:rPr>
                <w:rFonts w:ascii="Book Antiqua" w:hAnsi="Book Antiqua" w:cs="Arial"/>
                <w:sz w:val="16"/>
                <w:szCs w:val="16"/>
                <w:lang w:eastAsia="zh-CN"/>
              </w:rPr>
              <w:t>1504</w:t>
            </w:r>
          </w:p>
        </w:tc>
      </w:tr>
      <w:tr w:rsidR="00BE76D5" w:rsidRPr="00BE76D5" w14:paraId="0008EE5E" w14:textId="77777777" w:rsidTr="00BE76D5">
        <w:trPr>
          <w:trHeight w:val="339"/>
          <w:jc w:val="center"/>
        </w:trPr>
        <w:tc>
          <w:tcPr>
            <w:tcW w:w="4265" w:type="dxa"/>
            <w:tcBorders>
              <w:top w:val="single" w:sz="4" w:space="0" w:color="000000"/>
              <w:left w:val="single" w:sz="4" w:space="0" w:color="000000"/>
              <w:bottom w:val="single" w:sz="4" w:space="0" w:color="000000"/>
            </w:tcBorders>
            <w:shd w:val="clear" w:color="auto" w:fill="DEEAF6" w:themeFill="accent5" w:themeFillTint="33"/>
            <w:vAlign w:val="bottom"/>
          </w:tcPr>
          <w:p w14:paraId="5FFE360E" w14:textId="77777777" w:rsidR="00BE76D5" w:rsidRPr="00BE76D5" w:rsidRDefault="00BE76D5" w:rsidP="00243F14">
            <w:pPr>
              <w:widowControl w:val="0"/>
              <w:spacing w:line="276" w:lineRule="auto"/>
              <w:rPr>
                <w:rFonts w:ascii="Book Antiqua" w:hAnsi="Book Antiqua" w:cs="Arial"/>
                <w:b/>
                <w:bCs/>
                <w:sz w:val="16"/>
                <w:szCs w:val="16"/>
              </w:rPr>
            </w:pPr>
            <w:r w:rsidRPr="00BE76D5">
              <w:rPr>
                <w:rFonts w:ascii="Book Antiqua" w:hAnsi="Book Antiqua" w:cs="Arial"/>
                <w:b/>
                <w:bCs/>
                <w:sz w:val="16"/>
                <w:szCs w:val="16"/>
              </w:rPr>
              <w:t>Entrevistas</w:t>
            </w:r>
          </w:p>
        </w:tc>
        <w:tc>
          <w:tcPr>
            <w:tcW w:w="1559" w:type="dxa"/>
            <w:tcBorders>
              <w:top w:val="single" w:sz="4" w:space="0" w:color="000000"/>
              <w:bottom w:val="single" w:sz="4" w:space="0" w:color="000000"/>
              <w:right w:val="single" w:sz="4" w:space="0" w:color="000000"/>
            </w:tcBorders>
            <w:shd w:val="clear" w:color="auto" w:fill="DEEAF6" w:themeFill="accent5" w:themeFillTint="33"/>
            <w:vAlign w:val="bottom"/>
          </w:tcPr>
          <w:p w14:paraId="366C9E7D" w14:textId="77777777" w:rsidR="00BE76D5" w:rsidRPr="00BE76D5" w:rsidRDefault="00BE76D5" w:rsidP="00243F14">
            <w:pPr>
              <w:widowControl w:val="0"/>
              <w:spacing w:line="276" w:lineRule="auto"/>
              <w:jc w:val="center"/>
              <w:rPr>
                <w:rFonts w:ascii="Book Antiqua" w:hAnsi="Book Antiqua" w:cs="Arial"/>
                <w:sz w:val="16"/>
                <w:szCs w:val="16"/>
              </w:rPr>
            </w:pPr>
          </w:p>
        </w:tc>
      </w:tr>
      <w:tr w:rsidR="00BE76D5" w:rsidRPr="00BE76D5" w14:paraId="391E4EB0" w14:textId="77777777" w:rsidTr="00BE76D5">
        <w:trPr>
          <w:trHeight w:val="339"/>
          <w:jc w:val="center"/>
        </w:trPr>
        <w:tc>
          <w:tcPr>
            <w:tcW w:w="4265" w:type="dxa"/>
            <w:tcBorders>
              <w:top w:val="single" w:sz="4" w:space="0" w:color="000000"/>
              <w:left w:val="single" w:sz="4" w:space="0" w:color="000000"/>
              <w:bottom w:val="single" w:sz="4" w:space="0" w:color="000000"/>
            </w:tcBorders>
            <w:shd w:val="clear" w:color="auto" w:fill="FFFFFF"/>
            <w:vAlign w:val="bottom"/>
          </w:tcPr>
          <w:p w14:paraId="71AD2E2A" w14:textId="77777777" w:rsidR="00BE76D5" w:rsidRPr="00BE76D5" w:rsidRDefault="00BE76D5" w:rsidP="00243F14">
            <w:pPr>
              <w:widowControl w:val="0"/>
              <w:spacing w:line="276" w:lineRule="auto"/>
              <w:rPr>
                <w:rFonts w:ascii="Book Antiqua" w:hAnsi="Book Antiqua" w:cs="Arial"/>
                <w:b/>
                <w:bCs/>
                <w:sz w:val="16"/>
                <w:szCs w:val="16"/>
              </w:rPr>
            </w:pPr>
            <w:r w:rsidRPr="00BE76D5">
              <w:rPr>
                <w:rFonts w:ascii="Book Antiqua" w:hAnsi="Book Antiqua" w:cs="Arial"/>
                <w:b/>
                <w:bCs/>
                <w:sz w:val="16"/>
                <w:szCs w:val="16"/>
              </w:rPr>
              <w:t>Legales</w:t>
            </w:r>
          </w:p>
        </w:tc>
        <w:tc>
          <w:tcPr>
            <w:tcW w:w="1559" w:type="dxa"/>
            <w:tcBorders>
              <w:top w:val="single" w:sz="4" w:space="0" w:color="000000"/>
              <w:bottom w:val="single" w:sz="4" w:space="0" w:color="000000"/>
              <w:right w:val="single" w:sz="4" w:space="0" w:color="000000"/>
            </w:tcBorders>
            <w:shd w:val="clear" w:color="auto" w:fill="FFFFFF"/>
            <w:vAlign w:val="bottom"/>
          </w:tcPr>
          <w:p w14:paraId="1BD0ECEF" w14:textId="77777777" w:rsidR="00BE76D5" w:rsidRPr="00BE76D5" w:rsidRDefault="00BE76D5" w:rsidP="00243F14">
            <w:pPr>
              <w:widowControl w:val="0"/>
              <w:spacing w:line="276" w:lineRule="auto"/>
              <w:jc w:val="center"/>
              <w:rPr>
                <w:rFonts w:ascii="Book Antiqua" w:hAnsi="Book Antiqua" w:cs="Arial"/>
                <w:sz w:val="16"/>
                <w:szCs w:val="16"/>
              </w:rPr>
            </w:pPr>
            <w:r w:rsidRPr="00BE76D5">
              <w:rPr>
                <w:rFonts w:ascii="Book Antiqua" w:hAnsi="Book Antiqua" w:cs="Arial"/>
                <w:sz w:val="16"/>
                <w:szCs w:val="16"/>
                <w:lang w:eastAsia="zh-CN"/>
              </w:rPr>
              <w:t>402</w:t>
            </w:r>
          </w:p>
        </w:tc>
      </w:tr>
      <w:tr w:rsidR="00BE76D5" w:rsidRPr="00BE76D5" w14:paraId="2AB3CC09" w14:textId="77777777" w:rsidTr="00BE76D5">
        <w:trPr>
          <w:trHeight w:val="339"/>
          <w:jc w:val="center"/>
        </w:trPr>
        <w:tc>
          <w:tcPr>
            <w:tcW w:w="4265" w:type="dxa"/>
            <w:tcBorders>
              <w:top w:val="single" w:sz="4" w:space="0" w:color="000000"/>
              <w:left w:val="single" w:sz="4" w:space="0" w:color="000000"/>
              <w:bottom w:val="single" w:sz="4" w:space="0" w:color="000000"/>
            </w:tcBorders>
            <w:shd w:val="clear" w:color="auto" w:fill="FFFFFF"/>
            <w:vAlign w:val="bottom"/>
          </w:tcPr>
          <w:p w14:paraId="5ABD82D0" w14:textId="77777777" w:rsidR="00BE76D5" w:rsidRPr="00BE76D5" w:rsidRDefault="00BE76D5" w:rsidP="00243F14">
            <w:pPr>
              <w:widowControl w:val="0"/>
              <w:spacing w:line="276" w:lineRule="auto"/>
              <w:rPr>
                <w:rFonts w:ascii="Book Antiqua" w:hAnsi="Book Antiqua" w:cs="Arial"/>
                <w:b/>
                <w:bCs/>
                <w:sz w:val="16"/>
                <w:szCs w:val="16"/>
              </w:rPr>
            </w:pPr>
            <w:r w:rsidRPr="00BE76D5">
              <w:rPr>
                <w:rFonts w:ascii="Book Antiqua" w:hAnsi="Book Antiqua" w:cs="Arial"/>
                <w:b/>
                <w:bCs/>
                <w:sz w:val="16"/>
                <w:szCs w:val="16"/>
              </w:rPr>
              <w:t>Psicosociales</w:t>
            </w:r>
          </w:p>
        </w:tc>
        <w:tc>
          <w:tcPr>
            <w:tcW w:w="1559" w:type="dxa"/>
            <w:tcBorders>
              <w:top w:val="single" w:sz="4" w:space="0" w:color="000000"/>
              <w:bottom w:val="single" w:sz="4" w:space="0" w:color="000000"/>
              <w:right w:val="single" w:sz="4" w:space="0" w:color="000000"/>
            </w:tcBorders>
            <w:shd w:val="clear" w:color="auto" w:fill="FFFFFF"/>
            <w:vAlign w:val="bottom"/>
          </w:tcPr>
          <w:p w14:paraId="33504D57" w14:textId="77777777" w:rsidR="00BE76D5" w:rsidRPr="00BE76D5" w:rsidRDefault="00BE76D5" w:rsidP="00243F14">
            <w:pPr>
              <w:widowControl w:val="0"/>
              <w:spacing w:line="276" w:lineRule="auto"/>
              <w:jc w:val="center"/>
              <w:rPr>
                <w:rFonts w:ascii="Book Antiqua" w:hAnsi="Book Antiqua" w:cs="Arial"/>
                <w:sz w:val="16"/>
                <w:szCs w:val="16"/>
              </w:rPr>
            </w:pPr>
            <w:r w:rsidRPr="00BE76D5">
              <w:rPr>
                <w:rFonts w:ascii="Book Antiqua" w:hAnsi="Book Antiqua" w:cs="Arial"/>
                <w:sz w:val="16"/>
                <w:szCs w:val="16"/>
                <w:lang w:eastAsia="zh-CN"/>
              </w:rPr>
              <w:t>331</w:t>
            </w:r>
          </w:p>
        </w:tc>
      </w:tr>
      <w:tr w:rsidR="00BE76D5" w:rsidRPr="00BE76D5" w14:paraId="6796FD6B" w14:textId="77777777" w:rsidTr="00BE76D5">
        <w:trPr>
          <w:trHeight w:val="339"/>
          <w:jc w:val="center"/>
        </w:trPr>
        <w:tc>
          <w:tcPr>
            <w:tcW w:w="4265" w:type="dxa"/>
            <w:tcBorders>
              <w:top w:val="single" w:sz="4" w:space="0" w:color="000000"/>
              <w:left w:val="single" w:sz="4" w:space="0" w:color="000000"/>
              <w:bottom w:val="single" w:sz="4" w:space="0" w:color="000000"/>
            </w:tcBorders>
            <w:shd w:val="clear" w:color="auto" w:fill="FFFFFF"/>
            <w:vAlign w:val="bottom"/>
          </w:tcPr>
          <w:p w14:paraId="4EA74F68" w14:textId="77777777" w:rsidR="00BE76D5" w:rsidRPr="00BE76D5" w:rsidRDefault="00BE76D5" w:rsidP="00243F14">
            <w:pPr>
              <w:widowControl w:val="0"/>
              <w:spacing w:line="276" w:lineRule="auto"/>
              <w:rPr>
                <w:rFonts w:ascii="Book Antiqua" w:hAnsi="Book Antiqua" w:cs="Arial"/>
                <w:b/>
                <w:bCs/>
                <w:sz w:val="16"/>
                <w:szCs w:val="16"/>
              </w:rPr>
            </w:pPr>
            <w:r w:rsidRPr="00BE76D5">
              <w:rPr>
                <w:rFonts w:ascii="Book Antiqua" w:hAnsi="Book Antiqua" w:cs="Arial"/>
                <w:b/>
                <w:bCs/>
                <w:sz w:val="16"/>
                <w:szCs w:val="16"/>
              </w:rPr>
              <w:t>Seguimiento de medidas alternas</w:t>
            </w:r>
          </w:p>
        </w:tc>
        <w:tc>
          <w:tcPr>
            <w:tcW w:w="1559" w:type="dxa"/>
            <w:tcBorders>
              <w:top w:val="single" w:sz="4" w:space="0" w:color="000000"/>
              <w:bottom w:val="single" w:sz="4" w:space="0" w:color="000000"/>
              <w:right w:val="single" w:sz="4" w:space="0" w:color="000000"/>
            </w:tcBorders>
            <w:shd w:val="clear" w:color="auto" w:fill="FFFFFF"/>
            <w:vAlign w:val="bottom"/>
          </w:tcPr>
          <w:p w14:paraId="039E3655" w14:textId="77777777" w:rsidR="00BE76D5" w:rsidRPr="00BE76D5" w:rsidRDefault="00BE76D5" w:rsidP="00243F14">
            <w:pPr>
              <w:widowControl w:val="0"/>
              <w:spacing w:line="276" w:lineRule="auto"/>
              <w:jc w:val="center"/>
              <w:rPr>
                <w:rFonts w:ascii="Book Antiqua" w:hAnsi="Book Antiqua" w:cs="Arial"/>
                <w:sz w:val="16"/>
                <w:szCs w:val="16"/>
              </w:rPr>
            </w:pPr>
            <w:r w:rsidRPr="00BE76D5">
              <w:rPr>
                <w:rFonts w:ascii="Book Antiqua" w:hAnsi="Book Antiqua" w:cs="Arial"/>
                <w:sz w:val="16"/>
                <w:szCs w:val="16"/>
                <w:lang w:eastAsia="zh-CN"/>
              </w:rPr>
              <w:t>185</w:t>
            </w:r>
          </w:p>
        </w:tc>
      </w:tr>
    </w:tbl>
    <w:p w14:paraId="453A4DD9" w14:textId="77777777" w:rsidR="000A6207" w:rsidRPr="004F0E92" w:rsidRDefault="000A6207" w:rsidP="00C761E4">
      <w:pPr>
        <w:spacing w:line="276" w:lineRule="auto"/>
        <w:jc w:val="center"/>
        <w:rPr>
          <w:rFonts w:ascii="Book Antiqua" w:hAnsi="Book Antiqua"/>
          <w:b/>
          <w:bCs/>
          <w:color w:val="000000" w:themeColor="text1"/>
          <w:sz w:val="20"/>
          <w:szCs w:val="20"/>
        </w:rPr>
      </w:pPr>
      <w:r w:rsidRPr="004F0E92">
        <w:rPr>
          <w:rFonts w:ascii="Book Antiqua" w:hAnsi="Book Antiqua"/>
          <w:b/>
          <w:bCs/>
          <w:color w:val="000000" w:themeColor="text1"/>
          <w:sz w:val="20"/>
          <w:szCs w:val="20"/>
        </w:rPr>
        <w:t xml:space="preserve">Fuente: </w:t>
      </w:r>
      <w:r w:rsidRPr="004F0E92">
        <w:rPr>
          <w:rFonts w:ascii="Book Antiqua" w:hAnsi="Book Antiqua"/>
          <w:color w:val="000000" w:themeColor="text1"/>
          <w:sz w:val="20"/>
          <w:szCs w:val="20"/>
        </w:rPr>
        <w:t>Elabora</w:t>
      </w:r>
      <w:r>
        <w:rPr>
          <w:rFonts w:ascii="Book Antiqua" w:hAnsi="Book Antiqua"/>
          <w:color w:val="000000" w:themeColor="text1"/>
          <w:sz w:val="20"/>
          <w:szCs w:val="20"/>
        </w:rPr>
        <w:t>do por la Oficina Rectora de Justicia Restaurativa</w:t>
      </w:r>
    </w:p>
    <w:p w14:paraId="10630595" w14:textId="77777777" w:rsidR="000A6207" w:rsidRPr="004F0E92" w:rsidRDefault="000A6207" w:rsidP="000A6207">
      <w:pPr>
        <w:spacing w:line="276" w:lineRule="auto"/>
        <w:rPr>
          <w:rFonts w:ascii="Book Antiqua" w:hAnsi="Book Antiqua"/>
        </w:rPr>
      </w:pPr>
    </w:p>
    <w:p w14:paraId="41D9CD71" w14:textId="1866B511" w:rsidR="000A6207" w:rsidRPr="004F0E92" w:rsidRDefault="000A6207" w:rsidP="000A6207">
      <w:pPr>
        <w:spacing w:line="276" w:lineRule="auto"/>
        <w:jc w:val="both"/>
        <w:rPr>
          <w:rFonts w:ascii="Book Antiqua" w:hAnsi="Book Antiqua"/>
        </w:rPr>
      </w:pPr>
      <w:r w:rsidRPr="004F0E92">
        <w:rPr>
          <w:rFonts w:ascii="Book Antiqua" w:hAnsi="Book Antiqua"/>
        </w:rPr>
        <w:t xml:space="preserve">A continuación, los datos más relevantes del mes de </w:t>
      </w:r>
      <w:r w:rsidR="00C761E4">
        <w:rPr>
          <w:rFonts w:ascii="Book Antiqua" w:hAnsi="Book Antiqua"/>
        </w:rPr>
        <w:t>agosto</w:t>
      </w:r>
      <w:r w:rsidRPr="004F0E92">
        <w:rPr>
          <w:rFonts w:ascii="Book Antiqua" w:hAnsi="Book Antiqua"/>
        </w:rPr>
        <w:t xml:space="preserve"> del 202</w:t>
      </w:r>
      <w:r>
        <w:rPr>
          <w:rFonts w:ascii="Book Antiqua" w:hAnsi="Book Antiqua"/>
        </w:rPr>
        <w:t>1</w:t>
      </w:r>
      <w:r w:rsidRPr="004F0E92">
        <w:rPr>
          <w:rFonts w:ascii="Book Antiqua" w:hAnsi="Book Antiqua"/>
        </w:rPr>
        <w:t xml:space="preserve"> de Justicia Juvenil Restaurativa: </w:t>
      </w:r>
    </w:p>
    <w:p w14:paraId="5BAB3740" w14:textId="77777777" w:rsidR="000A6207" w:rsidRDefault="000A6207" w:rsidP="000A6207">
      <w:pPr>
        <w:spacing w:line="276" w:lineRule="auto"/>
        <w:jc w:val="center"/>
        <w:rPr>
          <w:rFonts w:ascii="Book Antiqua" w:hAnsi="Book Antiqua"/>
          <w:lang w:eastAsia="en-US"/>
        </w:rPr>
      </w:pPr>
    </w:p>
    <w:p w14:paraId="52736BDD" w14:textId="626020F9" w:rsidR="000A6207" w:rsidRPr="00BF2ABA" w:rsidRDefault="000A6207" w:rsidP="000A6207">
      <w:pPr>
        <w:spacing w:line="276" w:lineRule="auto"/>
        <w:jc w:val="both"/>
        <w:rPr>
          <w:rFonts w:ascii="Book Antiqua" w:hAnsi="Book Antiqua"/>
        </w:rPr>
      </w:pPr>
      <w:r>
        <w:rPr>
          <w:rFonts w:ascii="Book Antiqua" w:hAnsi="Book Antiqua"/>
        </w:rPr>
        <w:t>Se identifica que, del</w:t>
      </w:r>
      <w:r w:rsidRPr="00BF2ABA">
        <w:rPr>
          <w:rFonts w:ascii="Book Antiqua" w:hAnsi="Book Antiqua"/>
        </w:rPr>
        <w:t xml:space="preserve"> total de reuniones restaurativas (</w:t>
      </w:r>
      <w:r>
        <w:rPr>
          <w:rFonts w:ascii="Book Antiqua" w:hAnsi="Book Antiqua"/>
        </w:rPr>
        <w:t>2</w:t>
      </w:r>
      <w:r w:rsidR="006F2673">
        <w:rPr>
          <w:rFonts w:ascii="Book Antiqua" w:hAnsi="Book Antiqua"/>
        </w:rPr>
        <w:t>9</w:t>
      </w:r>
      <w:r w:rsidRPr="00BF2ABA">
        <w:rPr>
          <w:rFonts w:ascii="Book Antiqua" w:hAnsi="Book Antiqua"/>
        </w:rPr>
        <w:t xml:space="preserve">), el </w:t>
      </w:r>
      <w:r w:rsidR="006F2673">
        <w:rPr>
          <w:rFonts w:ascii="Book Antiqua" w:hAnsi="Book Antiqua"/>
        </w:rPr>
        <w:t>72</w:t>
      </w:r>
      <w:r>
        <w:rPr>
          <w:rFonts w:ascii="Book Antiqua" w:hAnsi="Book Antiqua"/>
        </w:rPr>
        <w:t>.</w:t>
      </w:r>
      <w:r w:rsidR="006F2673">
        <w:rPr>
          <w:rFonts w:ascii="Book Antiqua" w:hAnsi="Book Antiqua"/>
        </w:rPr>
        <w:t>41</w:t>
      </w:r>
      <w:r w:rsidRPr="00BF2ABA">
        <w:rPr>
          <w:rFonts w:ascii="Book Antiqua" w:hAnsi="Book Antiqua"/>
        </w:rPr>
        <w:t xml:space="preserve">% de estas se realizaron, además, de ese porcentaje el </w:t>
      </w:r>
      <w:r w:rsidR="006F2673">
        <w:rPr>
          <w:rFonts w:ascii="Book Antiqua" w:hAnsi="Book Antiqua"/>
        </w:rPr>
        <w:t>95.24</w:t>
      </w:r>
      <w:r w:rsidRPr="00BF2ABA">
        <w:rPr>
          <w:rFonts w:ascii="Book Antiqua" w:hAnsi="Book Antiqua"/>
        </w:rPr>
        <w:t xml:space="preserve">% tuvieron acuerdos, el porcentaje de las no realizadas fue de un </w:t>
      </w:r>
      <w:r w:rsidR="006F2673">
        <w:rPr>
          <w:rFonts w:ascii="Book Antiqua" w:hAnsi="Book Antiqua"/>
        </w:rPr>
        <w:t>4</w:t>
      </w:r>
      <w:r>
        <w:rPr>
          <w:rFonts w:ascii="Book Antiqua" w:hAnsi="Book Antiqua"/>
        </w:rPr>
        <w:t>.</w:t>
      </w:r>
      <w:r w:rsidR="006F2673">
        <w:rPr>
          <w:rFonts w:ascii="Book Antiqua" w:hAnsi="Book Antiqua"/>
        </w:rPr>
        <w:t>76</w:t>
      </w:r>
      <w:r w:rsidRPr="00BF2ABA">
        <w:rPr>
          <w:rFonts w:ascii="Book Antiqua" w:hAnsi="Book Antiqua"/>
        </w:rPr>
        <w:t xml:space="preserve">%. En relación con las audiencias de </w:t>
      </w:r>
      <w:r w:rsidR="006F2673">
        <w:rPr>
          <w:rFonts w:ascii="Book Antiqua" w:hAnsi="Book Antiqua"/>
        </w:rPr>
        <w:t>verificación, se señaló una audiencia, la cual no fue realizada.</w:t>
      </w:r>
    </w:p>
    <w:p w14:paraId="30FDE06B" w14:textId="77777777" w:rsidR="000A6207" w:rsidRPr="00BF2ABA" w:rsidRDefault="000A6207" w:rsidP="000A6207">
      <w:pPr>
        <w:spacing w:line="276" w:lineRule="auto"/>
        <w:jc w:val="both"/>
        <w:rPr>
          <w:rFonts w:ascii="Book Antiqua" w:hAnsi="Book Antiqua"/>
        </w:rPr>
      </w:pPr>
    </w:p>
    <w:p w14:paraId="16972843" w14:textId="77777777" w:rsidR="000A6207" w:rsidRPr="004F0E92" w:rsidRDefault="000A6207" w:rsidP="000A6207">
      <w:pPr>
        <w:spacing w:line="276" w:lineRule="auto"/>
        <w:jc w:val="both"/>
        <w:rPr>
          <w:rFonts w:ascii="Book Antiqua" w:hAnsi="Book Antiqua"/>
        </w:rPr>
      </w:pPr>
      <w:r w:rsidRPr="00BF2ABA">
        <w:rPr>
          <w:rFonts w:ascii="Book Antiqua" w:hAnsi="Book Antiqua"/>
        </w:rPr>
        <w:t>Las demás actividades relacionadas con red de apoyo y entrevistas se visualizan en el siguiente cuadro:</w:t>
      </w:r>
    </w:p>
    <w:p w14:paraId="3FF05F71" w14:textId="77777777" w:rsidR="000A6207" w:rsidRPr="0044292F" w:rsidRDefault="000A6207" w:rsidP="000A6207">
      <w:pPr>
        <w:spacing w:line="276" w:lineRule="auto"/>
        <w:jc w:val="both"/>
        <w:rPr>
          <w:rFonts w:ascii="Book Antiqua" w:hAnsi="Book Antiqua"/>
        </w:rPr>
      </w:pPr>
    </w:p>
    <w:p w14:paraId="038A485F" w14:textId="60CA33D7" w:rsidR="000A6207" w:rsidRPr="0044292F" w:rsidRDefault="000A6207" w:rsidP="000A6207">
      <w:pPr>
        <w:spacing w:line="276" w:lineRule="auto"/>
        <w:jc w:val="center"/>
        <w:rPr>
          <w:rFonts w:ascii="Book Antiqua" w:hAnsi="Book Antiqua" w:cs="Arial"/>
          <w:b/>
          <w:bCs/>
        </w:rPr>
      </w:pPr>
      <w:r w:rsidRPr="0044292F">
        <w:rPr>
          <w:rFonts w:ascii="Book Antiqua" w:hAnsi="Book Antiqua"/>
          <w:b/>
          <w:bCs/>
          <w:lang w:eastAsia="en-US"/>
        </w:rPr>
        <w:t xml:space="preserve">Cuadro </w:t>
      </w:r>
      <w:r w:rsidR="00635E2C">
        <w:rPr>
          <w:rFonts w:ascii="Book Antiqua" w:hAnsi="Book Antiqua"/>
          <w:b/>
          <w:bCs/>
          <w:lang w:eastAsia="en-US"/>
        </w:rPr>
        <w:t>78</w:t>
      </w:r>
    </w:p>
    <w:p w14:paraId="6B072193" w14:textId="77777777" w:rsidR="000A6207" w:rsidRPr="0044292F" w:rsidRDefault="000A6207" w:rsidP="000A6207">
      <w:pPr>
        <w:spacing w:line="276" w:lineRule="auto"/>
        <w:jc w:val="center"/>
        <w:rPr>
          <w:rFonts w:ascii="Book Antiqua" w:hAnsi="Book Antiqua" w:cs="Arial"/>
        </w:rPr>
      </w:pPr>
      <w:r w:rsidRPr="0044292F">
        <w:rPr>
          <w:rFonts w:ascii="Book Antiqua" w:hAnsi="Book Antiqua" w:cs="Arial"/>
        </w:rPr>
        <w:t xml:space="preserve">Estadísticas Justicia Juvenil Restaurativa </w:t>
      </w:r>
    </w:p>
    <w:p w14:paraId="0BA00608" w14:textId="6455F238" w:rsidR="000A6207" w:rsidRPr="0044292F" w:rsidRDefault="001272DA" w:rsidP="000A6207">
      <w:pPr>
        <w:spacing w:line="276" w:lineRule="auto"/>
        <w:jc w:val="center"/>
        <w:rPr>
          <w:rFonts w:ascii="Book Antiqua" w:hAnsi="Book Antiqua"/>
          <w:lang w:eastAsia="en-US"/>
        </w:rPr>
      </w:pPr>
      <w:r>
        <w:rPr>
          <w:rFonts w:ascii="Book Antiqua" w:hAnsi="Book Antiqua" w:cs="Arial"/>
        </w:rPr>
        <w:t>agosto</w:t>
      </w:r>
      <w:r w:rsidR="000A6207" w:rsidRPr="0044292F">
        <w:rPr>
          <w:rFonts w:ascii="Book Antiqua" w:hAnsi="Book Antiqua" w:cs="Arial"/>
        </w:rPr>
        <w:t xml:space="preserve"> 2021</w:t>
      </w:r>
    </w:p>
    <w:tbl>
      <w:tblPr>
        <w:tblW w:w="5403" w:type="dxa"/>
        <w:jc w:val="center"/>
        <w:tblLayout w:type="fixed"/>
        <w:tblCellMar>
          <w:left w:w="70" w:type="dxa"/>
          <w:right w:w="70" w:type="dxa"/>
        </w:tblCellMar>
        <w:tblLook w:val="04A0" w:firstRow="1" w:lastRow="0" w:firstColumn="1" w:lastColumn="0" w:noHBand="0" w:noVBand="1"/>
      </w:tblPr>
      <w:tblGrid>
        <w:gridCol w:w="3844"/>
        <w:gridCol w:w="1559"/>
      </w:tblGrid>
      <w:tr w:rsidR="001272DA" w:rsidRPr="001272DA" w14:paraId="293F0987" w14:textId="77777777" w:rsidTr="00EB7E7A">
        <w:trPr>
          <w:trHeight w:val="708"/>
          <w:tblHeader/>
          <w:jc w:val="center"/>
        </w:trPr>
        <w:tc>
          <w:tcPr>
            <w:tcW w:w="5403" w:type="dxa"/>
            <w:gridSpan w:val="2"/>
            <w:tcBorders>
              <w:top w:val="single" w:sz="4" w:space="0" w:color="000000"/>
              <w:left w:val="single" w:sz="4" w:space="0" w:color="000000"/>
              <w:bottom w:val="single" w:sz="4" w:space="0" w:color="000000"/>
              <w:right w:val="single" w:sz="4" w:space="0" w:color="000000"/>
            </w:tcBorders>
            <w:shd w:val="clear" w:color="auto" w:fill="2F5496" w:themeFill="accent1" w:themeFillShade="BF"/>
            <w:vAlign w:val="bottom"/>
          </w:tcPr>
          <w:p w14:paraId="34606FFD" w14:textId="77777777" w:rsidR="001272DA" w:rsidRPr="001272DA" w:rsidRDefault="001272DA" w:rsidP="00243F14">
            <w:pPr>
              <w:widowControl w:val="0"/>
              <w:spacing w:line="276" w:lineRule="auto"/>
              <w:jc w:val="center"/>
              <w:rPr>
                <w:rFonts w:ascii="Book Antiqua" w:hAnsi="Book Antiqua" w:cs="Arial"/>
                <w:b/>
                <w:bCs/>
                <w:color w:val="FFFFFF"/>
                <w:sz w:val="16"/>
                <w:szCs w:val="16"/>
              </w:rPr>
            </w:pPr>
            <w:r w:rsidRPr="001272DA">
              <w:rPr>
                <w:rFonts w:ascii="Book Antiqua" w:hAnsi="Book Antiqua" w:cs="Arial"/>
                <w:b/>
                <w:bCs/>
                <w:color w:val="FFFFFF"/>
                <w:sz w:val="16"/>
                <w:szCs w:val="16"/>
              </w:rPr>
              <w:t>Estadísticas Justicia Juvenil Restaurativa</w:t>
            </w:r>
          </w:p>
          <w:p w14:paraId="72B51DA4" w14:textId="77777777" w:rsidR="001272DA" w:rsidRPr="001272DA" w:rsidRDefault="001272DA" w:rsidP="00243F14">
            <w:pPr>
              <w:widowControl w:val="0"/>
              <w:spacing w:line="276" w:lineRule="auto"/>
              <w:jc w:val="center"/>
              <w:rPr>
                <w:rFonts w:ascii="Book Antiqua" w:hAnsi="Book Antiqua" w:cs="Arial"/>
                <w:b/>
                <w:bCs/>
                <w:color w:val="FF0000"/>
                <w:sz w:val="16"/>
                <w:szCs w:val="16"/>
              </w:rPr>
            </w:pPr>
            <w:r w:rsidRPr="001272DA">
              <w:rPr>
                <w:rFonts w:ascii="Book Antiqua" w:hAnsi="Book Antiqua" w:cs="Arial"/>
                <w:b/>
                <w:bCs/>
                <w:color w:val="FFFFFF"/>
                <w:sz w:val="16"/>
                <w:szCs w:val="16"/>
                <w:lang w:eastAsia="zh-CN"/>
              </w:rPr>
              <w:t>agosto 2021</w:t>
            </w:r>
          </w:p>
        </w:tc>
      </w:tr>
      <w:tr w:rsidR="001272DA" w:rsidRPr="001272DA" w14:paraId="18AD5B54" w14:textId="77777777" w:rsidTr="00EB7E7A">
        <w:trPr>
          <w:trHeight w:val="363"/>
          <w:jc w:val="center"/>
        </w:trPr>
        <w:tc>
          <w:tcPr>
            <w:tcW w:w="3844" w:type="dxa"/>
            <w:tcBorders>
              <w:top w:val="single" w:sz="4" w:space="0" w:color="000000"/>
              <w:left w:val="single" w:sz="4" w:space="0" w:color="000000"/>
              <w:bottom w:val="single" w:sz="4" w:space="0" w:color="000000"/>
            </w:tcBorders>
            <w:shd w:val="clear" w:color="auto" w:fill="DEEAF6" w:themeFill="accent5" w:themeFillTint="33"/>
            <w:vAlign w:val="bottom"/>
          </w:tcPr>
          <w:p w14:paraId="725D37B6" w14:textId="77777777" w:rsidR="001272DA" w:rsidRPr="001272DA" w:rsidRDefault="001272DA" w:rsidP="00243F14">
            <w:pPr>
              <w:widowControl w:val="0"/>
              <w:spacing w:line="276" w:lineRule="auto"/>
              <w:rPr>
                <w:rFonts w:ascii="Book Antiqua" w:hAnsi="Book Antiqua" w:cs="Arial"/>
                <w:b/>
                <w:bCs/>
                <w:color w:val="000000"/>
                <w:sz w:val="16"/>
                <w:szCs w:val="16"/>
              </w:rPr>
            </w:pPr>
            <w:r w:rsidRPr="001272DA">
              <w:rPr>
                <w:rFonts w:ascii="Book Antiqua" w:hAnsi="Book Antiqua" w:cs="Arial"/>
                <w:b/>
                <w:bCs/>
                <w:color w:val="000000"/>
                <w:sz w:val="16"/>
                <w:szCs w:val="16"/>
              </w:rPr>
              <w:t>Reuniones Restaurativas señaladas</w:t>
            </w:r>
          </w:p>
        </w:tc>
        <w:tc>
          <w:tcPr>
            <w:tcW w:w="1559" w:type="dxa"/>
            <w:tcBorders>
              <w:top w:val="single" w:sz="4" w:space="0" w:color="000000"/>
              <w:bottom w:val="single" w:sz="4" w:space="0" w:color="000000"/>
              <w:right w:val="single" w:sz="4" w:space="0" w:color="000000"/>
            </w:tcBorders>
            <w:shd w:val="clear" w:color="auto" w:fill="DEEAF6" w:themeFill="accent5" w:themeFillTint="33"/>
            <w:vAlign w:val="bottom"/>
          </w:tcPr>
          <w:p w14:paraId="7D2F3FBE" w14:textId="77777777" w:rsidR="001272DA" w:rsidRPr="001272DA" w:rsidRDefault="001272DA" w:rsidP="00243F14">
            <w:pPr>
              <w:widowControl w:val="0"/>
              <w:spacing w:line="276" w:lineRule="auto"/>
              <w:jc w:val="center"/>
              <w:rPr>
                <w:rFonts w:ascii="Book Antiqua" w:hAnsi="Book Antiqua" w:cs="Arial"/>
                <w:b/>
                <w:bCs/>
                <w:color w:val="000000"/>
                <w:sz w:val="16"/>
                <w:szCs w:val="16"/>
              </w:rPr>
            </w:pPr>
            <w:r w:rsidRPr="001272DA">
              <w:rPr>
                <w:rFonts w:ascii="Book Antiqua" w:hAnsi="Book Antiqua" w:cs="Arial"/>
                <w:b/>
                <w:bCs/>
                <w:color w:val="000000"/>
                <w:sz w:val="16"/>
                <w:szCs w:val="16"/>
                <w:lang w:eastAsia="zh-CN"/>
              </w:rPr>
              <w:t>29</w:t>
            </w:r>
          </w:p>
        </w:tc>
      </w:tr>
      <w:tr w:rsidR="001272DA" w:rsidRPr="001272DA" w14:paraId="441E0031" w14:textId="77777777" w:rsidTr="00EB7E7A">
        <w:trPr>
          <w:trHeight w:val="363"/>
          <w:jc w:val="center"/>
        </w:trPr>
        <w:tc>
          <w:tcPr>
            <w:tcW w:w="3844" w:type="dxa"/>
            <w:tcBorders>
              <w:top w:val="single" w:sz="4" w:space="0" w:color="000000"/>
              <w:left w:val="single" w:sz="4" w:space="0" w:color="000000"/>
              <w:bottom w:val="single" w:sz="4" w:space="0" w:color="000000"/>
            </w:tcBorders>
            <w:shd w:val="clear" w:color="auto" w:fill="FFFFFF"/>
            <w:vAlign w:val="bottom"/>
          </w:tcPr>
          <w:p w14:paraId="4D95705E" w14:textId="77777777" w:rsidR="001272DA" w:rsidRPr="001272DA" w:rsidRDefault="001272DA" w:rsidP="00243F14">
            <w:pPr>
              <w:widowControl w:val="0"/>
              <w:spacing w:line="276" w:lineRule="auto"/>
              <w:ind w:firstLine="221"/>
              <w:rPr>
                <w:rFonts w:ascii="Book Antiqua" w:hAnsi="Book Antiqua" w:cs="Arial"/>
                <w:b/>
                <w:bCs/>
                <w:color w:val="000000"/>
                <w:sz w:val="16"/>
                <w:szCs w:val="16"/>
              </w:rPr>
            </w:pPr>
            <w:r w:rsidRPr="001272DA">
              <w:rPr>
                <w:rFonts w:ascii="Book Antiqua" w:hAnsi="Book Antiqua" w:cs="Arial"/>
                <w:b/>
                <w:bCs/>
                <w:color w:val="000000"/>
                <w:sz w:val="16"/>
                <w:szCs w:val="16"/>
              </w:rPr>
              <w:t>Realizadas</w:t>
            </w:r>
          </w:p>
        </w:tc>
        <w:tc>
          <w:tcPr>
            <w:tcW w:w="1559" w:type="dxa"/>
            <w:tcBorders>
              <w:top w:val="single" w:sz="4" w:space="0" w:color="000000"/>
              <w:bottom w:val="single" w:sz="4" w:space="0" w:color="000000"/>
              <w:right w:val="single" w:sz="4" w:space="0" w:color="000000"/>
            </w:tcBorders>
            <w:shd w:val="clear" w:color="auto" w:fill="FFFFFF"/>
            <w:vAlign w:val="bottom"/>
          </w:tcPr>
          <w:p w14:paraId="7904B198" w14:textId="77777777" w:rsidR="001272DA" w:rsidRPr="001272DA" w:rsidRDefault="001272DA" w:rsidP="00243F14">
            <w:pPr>
              <w:widowControl w:val="0"/>
              <w:spacing w:line="276" w:lineRule="auto"/>
              <w:jc w:val="center"/>
              <w:rPr>
                <w:rFonts w:ascii="Book Antiqua" w:hAnsi="Book Antiqua" w:cs="Arial"/>
                <w:color w:val="000000"/>
                <w:sz w:val="16"/>
                <w:szCs w:val="16"/>
              </w:rPr>
            </w:pPr>
            <w:r w:rsidRPr="001272DA">
              <w:rPr>
                <w:rFonts w:ascii="Book Antiqua" w:hAnsi="Book Antiqua" w:cs="Arial"/>
                <w:color w:val="000000"/>
                <w:sz w:val="16"/>
                <w:szCs w:val="16"/>
                <w:lang w:eastAsia="zh-CN"/>
              </w:rPr>
              <w:t>21</w:t>
            </w:r>
          </w:p>
        </w:tc>
      </w:tr>
      <w:tr w:rsidR="001272DA" w:rsidRPr="001272DA" w14:paraId="0385D4DB" w14:textId="77777777" w:rsidTr="00EB7E7A">
        <w:trPr>
          <w:trHeight w:val="363"/>
          <w:jc w:val="center"/>
        </w:trPr>
        <w:tc>
          <w:tcPr>
            <w:tcW w:w="3844" w:type="dxa"/>
            <w:tcBorders>
              <w:top w:val="single" w:sz="4" w:space="0" w:color="000000"/>
              <w:left w:val="single" w:sz="4" w:space="0" w:color="000000"/>
              <w:bottom w:val="single" w:sz="4" w:space="0" w:color="000000"/>
            </w:tcBorders>
            <w:shd w:val="clear" w:color="auto" w:fill="FFFFFF"/>
            <w:vAlign w:val="bottom"/>
          </w:tcPr>
          <w:p w14:paraId="4DFA27E6" w14:textId="77777777" w:rsidR="001272DA" w:rsidRPr="001272DA" w:rsidRDefault="001272DA" w:rsidP="00243F14">
            <w:pPr>
              <w:widowControl w:val="0"/>
              <w:spacing w:line="276" w:lineRule="auto"/>
              <w:ind w:firstLine="220"/>
              <w:rPr>
                <w:rFonts w:ascii="Book Antiqua" w:hAnsi="Book Antiqua" w:cs="Arial"/>
                <w:color w:val="000000"/>
                <w:sz w:val="16"/>
                <w:szCs w:val="16"/>
              </w:rPr>
            </w:pPr>
            <w:r w:rsidRPr="001272DA">
              <w:rPr>
                <w:rFonts w:ascii="Book Antiqua" w:hAnsi="Book Antiqua" w:cs="Arial"/>
                <w:color w:val="000000"/>
                <w:sz w:val="16"/>
                <w:szCs w:val="16"/>
              </w:rPr>
              <w:t>Con acuerdo</w:t>
            </w:r>
          </w:p>
        </w:tc>
        <w:tc>
          <w:tcPr>
            <w:tcW w:w="1559" w:type="dxa"/>
            <w:tcBorders>
              <w:top w:val="single" w:sz="4" w:space="0" w:color="000000"/>
              <w:bottom w:val="single" w:sz="4" w:space="0" w:color="000000"/>
              <w:right w:val="single" w:sz="4" w:space="0" w:color="000000"/>
            </w:tcBorders>
            <w:shd w:val="clear" w:color="auto" w:fill="FFFFFF"/>
            <w:vAlign w:val="bottom"/>
          </w:tcPr>
          <w:p w14:paraId="10D98311" w14:textId="77777777" w:rsidR="001272DA" w:rsidRPr="001272DA" w:rsidRDefault="001272DA" w:rsidP="00243F14">
            <w:pPr>
              <w:widowControl w:val="0"/>
              <w:spacing w:line="276" w:lineRule="auto"/>
              <w:jc w:val="center"/>
              <w:rPr>
                <w:rFonts w:ascii="Book Antiqua" w:hAnsi="Book Antiqua"/>
                <w:sz w:val="16"/>
                <w:szCs w:val="16"/>
              </w:rPr>
            </w:pPr>
            <w:r w:rsidRPr="001272DA">
              <w:rPr>
                <w:rFonts w:ascii="Book Antiqua" w:eastAsia="Segoe UI" w:hAnsi="Book Antiqua" w:cs="Tahoma"/>
                <w:sz w:val="16"/>
                <w:szCs w:val="16"/>
                <w:lang w:val="es-ES_tradnl" w:eastAsia="zh-CN"/>
              </w:rPr>
              <w:t>20</w:t>
            </w:r>
          </w:p>
        </w:tc>
      </w:tr>
      <w:tr w:rsidR="001272DA" w:rsidRPr="001272DA" w14:paraId="67FA5FFE" w14:textId="77777777" w:rsidTr="00EB7E7A">
        <w:trPr>
          <w:trHeight w:val="363"/>
          <w:jc w:val="center"/>
        </w:trPr>
        <w:tc>
          <w:tcPr>
            <w:tcW w:w="3844" w:type="dxa"/>
            <w:tcBorders>
              <w:top w:val="single" w:sz="4" w:space="0" w:color="000000"/>
              <w:left w:val="single" w:sz="4" w:space="0" w:color="000000"/>
              <w:bottom w:val="single" w:sz="4" w:space="0" w:color="000000"/>
            </w:tcBorders>
            <w:shd w:val="clear" w:color="auto" w:fill="FFFFFF"/>
            <w:vAlign w:val="bottom"/>
          </w:tcPr>
          <w:p w14:paraId="40439972" w14:textId="77777777" w:rsidR="001272DA" w:rsidRPr="001272DA" w:rsidRDefault="001272DA" w:rsidP="00243F14">
            <w:pPr>
              <w:widowControl w:val="0"/>
              <w:spacing w:line="276" w:lineRule="auto"/>
              <w:ind w:firstLine="220"/>
              <w:rPr>
                <w:rFonts w:ascii="Book Antiqua" w:hAnsi="Book Antiqua" w:cs="Arial"/>
                <w:color w:val="000000"/>
                <w:sz w:val="16"/>
                <w:szCs w:val="16"/>
              </w:rPr>
            </w:pPr>
            <w:r w:rsidRPr="001272DA">
              <w:rPr>
                <w:rFonts w:ascii="Book Antiqua" w:hAnsi="Book Antiqua" w:cs="Arial"/>
                <w:color w:val="000000"/>
                <w:sz w:val="16"/>
                <w:szCs w:val="16"/>
              </w:rPr>
              <w:t>No hubo acuerdo</w:t>
            </w:r>
          </w:p>
        </w:tc>
        <w:tc>
          <w:tcPr>
            <w:tcW w:w="1559" w:type="dxa"/>
            <w:tcBorders>
              <w:top w:val="single" w:sz="4" w:space="0" w:color="000000"/>
              <w:bottom w:val="single" w:sz="4" w:space="0" w:color="000000"/>
              <w:right w:val="single" w:sz="4" w:space="0" w:color="000000"/>
            </w:tcBorders>
            <w:shd w:val="clear" w:color="auto" w:fill="FFFFFF"/>
            <w:vAlign w:val="bottom"/>
          </w:tcPr>
          <w:p w14:paraId="7C62739E" w14:textId="77777777" w:rsidR="001272DA" w:rsidRPr="001272DA" w:rsidRDefault="001272DA" w:rsidP="00243F14">
            <w:pPr>
              <w:widowControl w:val="0"/>
              <w:spacing w:line="276" w:lineRule="auto"/>
              <w:jc w:val="center"/>
              <w:rPr>
                <w:rFonts w:ascii="Book Antiqua" w:hAnsi="Book Antiqua"/>
                <w:sz w:val="16"/>
                <w:szCs w:val="16"/>
              </w:rPr>
            </w:pPr>
            <w:r w:rsidRPr="001272DA">
              <w:rPr>
                <w:rFonts w:ascii="Book Antiqua" w:eastAsia="Segoe UI" w:hAnsi="Book Antiqua" w:cs="Tahoma"/>
                <w:sz w:val="16"/>
                <w:szCs w:val="16"/>
                <w:lang w:val="es-ES_tradnl" w:eastAsia="zh-CN"/>
              </w:rPr>
              <w:t>1</w:t>
            </w:r>
          </w:p>
        </w:tc>
      </w:tr>
      <w:tr w:rsidR="001272DA" w:rsidRPr="001272DA" w14:paraId="511DAAD9" w14:textId="77777777" w:rsidTr="00EB7E7A">
        <w:trPr>
          <w:trHeight w:val="363"/>
          <w:jc w:val="center"/>
        </w:trPr>
        <w:tc>
          <w:tcPr>
            <w:tcW w:w="3844" w:type="dxa"/>
            <w:tcBorders>
              <w:top w:val="single" w:sz="4" w:space="0" w:color="000000"/>
              <w:left w:val="single" w:sz="4" w:space="0" w:color="000000"/>
              <w:bottom w:val="single" w:sz="4" w:space="0" w:color="000000"/>
            </w:tcBorders>
            <w:shd w:val="clear" w:color="auto" w:fill="FFFFFF"/>
            <w:vAlign w:val="bottom"/>
          </w:tcPr>
          <w:p w14:paraId="0B418D2F" w14:textId="77777777" w:rsidR="001272DA" w:rsidRPr="001272DA" w:rsidRDefault="001272DA" w:rsidP="00243F14">
            <w:pPr>
              <w:widowControl w:val="0"/>
              <w:spacing w:line="276" w:lineRule="auto"/>
              <w:ind w:firstLine="221"/>
              <w:rPr>
                <w:rFonts w:ascii="Book Antiqua" w:hAnsi="Book Antiqua" w:cs="Arial"/>
                <w:b/>
                <w:bCs/>
                <w:color w:val="000000"/>
                <w:sz w:val="16"/>
                <w:szCs w:val="16"/>
              </w:rPr>
            </w:pPr>
            <w:r w:rsidRPr="001272DA">
              <w:rPr>
                <w:rFonts w:ascii="Book Antiqua" w:hAnsi="Book Antiqua" w:cs="Arial"/>
                <w:b/>
                <w:bCs/>
                <w:color w:val="000000"/>
                <w:sz w:val="16"/>
                <w:szCs w:val="16"/>
              </w:rPr>
              <w:t>No realizadas</w:t>
            </w:r>
          </w:p>
        </w:tc>
        <w:tc>
          <w:tcPr>
            <w:tcW w:w="1559" w:type="dxa"/>
            <w:tcBorders>
              <w:top w:val="single" w:sz="4" w:space="0" w:color="000000"/>
              <w:bottom w:val="single" w:sz="4" w:space="0" w:color="000000"/>
              <w:right w:val="single" w:sz="4" w:space="0" w:color="000000"/>
            </w:tcBorders>
            <w:shd w:val="clear" w:color="auto" w:fill="FFFFFF"/>
            <w:vAlign w:val="bottom"/>
          </w:tcPr>
          <w:p w14:paraId="6CD20BDA" w14:textId="77777777" w:rsidR="001272DA" w:rsidRPr="001272DA" w:rsidRDefault="001272DA" w:rsidP="00243F14">
            <w:pPr>
              <w:widowControl w:val="0"/>
              <w:spacing w:line="276" w:lineRule="auto"/>
              <w:jc w:val="center"/>
              <w:rPr>
                <w:rFonts w:ascii="Book Antiqua" w:hAnsi="Book Antiqua" w:cs="Arial"/>
                <w:color w:val="000000"/>
                <w:sz w:val="16"/>
                <w:szCs w:val="16"/>
              </w:rPr>
            </w:pPr>
            <w:r w:rsidRPr="001272DA">
              <w:rPr>
                <w:rFonts w:ascii="Book Antiqua" w:hAnsi="Book Antiqua" w:cs="Arial"/>
                <w:color w:val="000000"/>
                <w:sz w:val="16"/>
                <w:szCs w:val="16"/>
                <w:lang w:eastAsia="zh-CN"/>
              </w:rPr>
              <w:t>8</w:t>
            </w:r>
          </w:p>
        </w:tc>
      </w:tr>
      <w:tr w:rsidR="001272DA" w:rsidRPr="001272DA" w14:paraId="55038AB3" w14:textId="77777777" w:rsidTr="00EB7E7A">
        <w:trPr>
          <w:trHeight w:val="420"/>
          <w:jc w:val="center"/>
        </w:trPr>
        <w:tc>
          <w:tcPr>
            <w:tcW w:w="3844" w:type="dxa"/>
            <w:tcBorders>
              <w:top w:val="single" w:sz="4" w:space="0" w:color="000000"/>
              <w:left w:val="single" w:sz="4" w:space="0" w:color="000000"/>
              <w:bottom w:val="single" w:sz="4" w:space="0" w:color="000000"/>
            </w:tcBorders>
            <w:shd w:val="clear" w:color="auto" w:fill="DEEAF6" w:themeFill="accent5" w:themeFillTint="33"/>
            <w:vAlign w:val="bottom"/>
          </w:tcPr>
          <w:p w14:paraId="7A301C06" w14:textId="56A9FB70" w:rsidR="001272DA" w:rsidRPr="001272DA" w:rsidRDefault="001272DA" w:rsidP="00243F14">
            <w:pPr>
              <w:widowControl w:val="0"/>
              <w:spacing w:line="276" w:lineRule="auto"/>
              <w:ind w:firstLine="221"/>
              <w:rPr>
                <w:rFonts w:ascii="Book Antiqua" w:hAnsi="Book Antiqua" w:cs="Arial"/>
                <w:b/>
                <w:bCs/>
                <w:color w:val="000000"/>
                <w:sz w:val="16"/>
                <w:szCs w:val="16"/>
              </w:rPr>
            </w:pPr>
            <w:r w:rsidRPr="001272DA">
              <w:rPr>
                <w:rFonts w:ascii="Book Antiqua" w:hAnsi="Book Antiqua" w:cs="Arial"/>
                <w:b/>
                <w:bCs/>
                <w:color w:val="000000"/>
                <w:sz w:val="16"/>
                <w:szCs w:val="16"/>
              </w:rPr>
              <w:t>Aud</w:t>
            </w:r>
            <w:r>
              <w:rPr>
                <w:rFonts w:ascii="Book Antiqua" w:hAnsi="Book Antiqua" w:cs="Arial"/>
                <w:b/>
                <w:bCs/>
                <w:color w:val="000000"/>
                <w:sz w:val="16"/>
                <w:szCs w:val="16"/>
              </w:rPr>
              <w:t xml:space="preserve">iencia </w:t>
            </w:r>
            <w:r w:rsidRPr="001272DA">
              <w:rPr>
                <w:rFonts w:ascii="Book Antiqua" w:hAnsi="Book Antiqua" w:cs="Arial"/>
                <w:b/>
                <w:bCs/>
                <w:color w:val="000000"/>
                <w:sz w:val="16"/>
                <w:szCs w:val="16"/>
              </w:rPr>
              <w:t>Verificación Señaladas</w:t>
            </w:r>
          </w:p>
        </w:tc>
        <w:tc>
          <w:tcPr>
            <w:tcW w:w="1559" w:type="dxa"/>
            <w:tcBorders>
              <w:top w:val="single" w:sz="4" w:space="0" w:color="000000"/>
              <w:bottom w:val="single" w:sz="4" w:space="0" w:color="000000"/>
              <w:right w:val="single" w:sz="4" w:space="0" w:color="000000"/>
            </w:tcBorders>
            <w:shd w:val="clear" w:color="auto" w:fill="DEEAF6" w:themeFill="accent5" w:themeFillTint="33"/>
            <w:vAlign w:val="bottom"/>
          </w:tcPr>
          <w:p w14:paraId="22B0002D" w14:textId="77777777" w:rsidR="001272DA" w:rsidRPr="001272DA" w:rsidRDefault="001272DA" w:rsidP="00243F14">
            <w:pPr>
              <w:widowControl w:val="0"/>
              <w:spacing w:line="276" w:lineRule="auto"/>
              <w:jc w:val="center"/>
              <w:rPr>
                <w:rFonts w:ascii="Book Antiqua" w:hAnsi="Book Antiqua" w:cs="Arial"/>
                <w:b/>
                <w:bCs/>
                <w:color w:val="000000"/>
                <w:sz w:val="16"/>
                <w:szCs w:val="16"/>
              </w:rPr>
            </w:pPr>
            <w:r w:rsidRPr="001272DA">
              <w:rPr>
                <w:rFonts w:ascii="Book Antiqua" w:hAnsi="Book Antiqua" w:cs="Arial"/>
                <w:b/>
                <w:bCs/>
                <w:color w:val="000000"/>
                <w:sz w:val="16"/>
                <w:szCs w:val="16"/>
                <w:lang w:eastAsia="zh-CN"/>
              </w:rPr>
              <w:t>1</w:t>
            </w:r>
          </w:p>
        </w:tc>
      </w:tr>
      <w:tr w:rsidR="001272DA" w:rsidRPr="001272DA" w14:paraId="2C0C500B" w14:textId="77777777" w:rsidTr="00EB7E7A">
        <w:trPr>
          <w:trHeight w:val="363"/>
          <w:jc w:val="center"/>
        </w:trPr>
        <w:tc>
          <w:tcPr>
            <w:tcW w:w="3844" w:type="dxa"/>
            <w:tcBorders>
              <w:top w:val="single" w:sz="4" w:space="0" w:color="000000"/>
              <w:left w:val="single" w:sz="4" w:space="0" w:color="000000"/>
              <w:bottom w:val="single" w:sz="4" w:space="0" w:color="000000"/>
            </w:tcBorders>
            <w:shd w:val="clear" w:color="auto" w:fill="FFFFFF"/>
            <w:vAlign w:val="bottom"/>
          </w:tcPr>
          <w:p w14:paraId="03ECD264" w14:textId="77777777" w:rsidR="001272DA" w:rsidRPr="001272DA" w:rsidRDefault="001272DA" w:rsidP="00243F14">
            <w:pPr>
              <w:widowControl w:val="0"/>
              <w:spacing w:line="276" w:lineRule="auto"/>
              <w:ind w:firstLine="220"/>
              <w:rPr>
                <w:rFonts w:ascii="Book Antiqua" w:hAnsi="Book Antiqua" w:cs="Arial"/>
                <w:color w:val="000000"/>
                <w:sz w:val="16"/>
                <w:szCs w:val="16"/>
              </w:rPr>
            </w:pPr>
            <w:r w:rsidRPr="001272DA">
              <w:rPr>
                <w:rFonts w:ascii="Book Antiqua" w:hAnsi="Book Antiqua" w:cs="Arial"/>
                <w:color w:val="000000"/>
                <w:sz w:val="16"/>
                <w:szCs w:val="16"/>
              </w:rPr>
              <w:t>Realizadas</w:t>
            </w:r>
          </w:p>
        </w:tc>
        <w:tc>
          <w:tcPr>
            <w:tcW w:w="1559" w:type="dxa"/>
            <w:tcBorders>
              <w:top w:val="single" w:sz="4" w:space="0" w:color="000000"/>
              <w:bottom w:val="single" w:sz="4" w:space="0" w:color="000000"/>
              <w:right w:val="single" w:sz="4" w:space="0" w:color="000000"/>
            </w:tcBorders>
            <w:shd w:val="clear" w:color="auto" w:fill="FFFFFF"/>
            <w:vAlign w:val="bottom"/>
          </w:tcPr>
          <w:p w14:paraId="2F50063E" w14:textId="77777777" w:rsidR="001272DA" w:rsidRPr="001272DA" w:rsidRDefault="001272DA" w:rsidP="00243F14">
            <w:pPr>
              <w:widowControl w:val="0"/>
              <w:spacing w:line="276" w:lineRule="auto"/>
              <w:jc w:val="center"/>
              <w:rPr>
                <w:rFonts w:ascii="Book Antiqua" w:hAnsi="Book Antiqua" w:cs="Arial"/>
                <w:color w:val="000000"/>
                <w:sz w:val="16"/>
                <w:szCs w:val="16"/>
              </w:rPr>
            </w:pPr>
            <w:r w:rsidRPr="001272DA">
              <w:rPr>
                <w:rFonts w:ascii="Book Antiqua" w:hAnsi="Book Antiqua" w:cs="Arial"/>
                <w:color w:val="000000"/>
                <w:sz w:val="16"/>
                <w:szCs w:val="16"/>
                <w:lang w:eastAsia="zh-CN"/>
              </w:rPr>
              <w:t>0</w:t>
            </w:r>
          </w:p>
        </w:tc>
      </w:tr>
      <w:tr w:rsidR="001272DA" w:rsidRPr="001272DA" w14:paraId="2B2CC948" w14:textId="77777777" w:rsidTr="00EB7E7A">
        <w:trPr>
          <w:trHeight w:val="363"/>
          <w:jc w:val="center"/>
        </w:trPr>
        <w:tc>
          <w:tcPr>
            <w:tcW w:w="3844" w:type="dxa"/>
            <w:tcBorders>
              <w:top w:val="single" w:sz="4" w:space="0" w:color="000000"/>
              <w:left w:val="single" w:sz="4" w:space="0" w:color="000000"/>
              <w:bottom w:val="single" w:sz="4" w:space="0" w:color="000000"/>
            </w:tcBorders>
            <w:shd w:val="clear" w:color="auto" w:fill="FFFFFF"/>
            <w:vAlign w:val="bottom"/>
          </w:tcPr>
          <w:p w14:paraId="6F676F77" w14:textId="77777777" w:rsidR="001272DA" w:rsidRPr="001272DA" w:rsidRDefault="001272DA" w:rsidP="00243F14">
            <w:pPr>
              <w:widowControl w:val="0"/>
              <w:spacing w:line="276" w:lineRule="auto"/>
              <w:ind w:firstLine="220"/>
              <w:rPr>
                <w:rFonts w:ascii="Book Antiqua" w:hAnsi="Book Antiqua" w:cs="Arial"/>
                <w:color w:val="000000"/>
                <w:sz w:val="16"/>
                <w:szCs w:val="16"/>
              </w:rPr>
            </w:pPr>
            <w:r w:rsidRPr="001272DA">
              <w:rPr>
                <w:rFonts w:ascii="Book Antiqua" w:hAnsi="Book Antiqua" w:cs="Arial"/>
                <w:color w:val="000000"/>
                <w:sz w:val="16"/>
                <w:szCs w:val="16"/>
              </w:rPr>
              <w:t>No realizadas</w:t>
            </w:r>
          </w:p>
        </w:tc>
        <w:tc>
          <w:tcPr>
            <w:tcW w:w="1559" w:type="dxa"/>
            <w:tcBorders>
              <w:top w:val="single" w:sz="4" w:space="0" w:color="000000"/>
              <w:bottom w:val="single" w:sz="4" w:space="0" w:color="000000"/>
              <w:right w:val="single" w:sz="4" w:space="0" w:color="000000"/>
            </w:tcBorders>
            <w:shd w:val="clear" w:color="auto" w:fill="FFFFFF"/>
            <w:vAlign w:val="bottom"/>
          </w:tcPr>
          <w:p w14:paraId="6E2C0E48" w14:textId="77777777" w:rsidR="001272DA" w:rsidRPr="001272DA" w:rsidRDefault="001272DA" w:rsidP="00243F14">
            <w:pPr>
              <w:widowControl w:val="0"/>
              <w:spacing w:line="276" w:lineRule="auto"/>
              <w:jc w:val="center"/>
              <w:rPr>
                <w:rFonts w:ascii="Book Antiqua" w:hAnsi="Book Antiqua" w:cs="Arial"/>
                <w:color w:val="000000"/>
                <w:sz w:val="16"/>
                <w:szCs w:val="16"/>
              </w:rPr>
            </w:pPr>
            <w:r w:rsidRPr="001272DA">
              <w:rPr>
                <w:rFonts w:ascii="Book Antiqua" w:hAnsi="Book Antiqua" w:cs="Arial"/>
                <w:color w:val="000000"/>
                <w:sz w:val="16"/>
                <w:szCs w:val="16"/>
                <w:lang w:eastAsia="zh-CN"/>
              </w:rPr>
              <w:t>1</w:t>
            </w:r>
          </w:p>
        </w:tc>
      </w:tr>
      <w:tr w:rsidR="001272DA" w:rsidRPr="001272DA" w14:paraId="6F9F68FC" w14:textId="77777777" w:rsidTr="00EB7E7A">
        <w:trPr>
          <w:trHeight w:val="363"/>
          <w:jc w:val="center"/>
        </w:trPr>
        <w:tc>
          <w:tcPr>
            <w:tcW w:w="3844" w:type="dxa"/>
            <w:tcBorders>
              <w:top w:val="single" w:sz="4" w:space="0" w:color="000000"/>
              <w:left w:val="single" w:sz="4" w:space="0" w:color="000000"/>
              <w:bottom w:val="single" w:sz="4" w:space="0" w:color="000000"/>
            </w:tcBorders>
            <w:shd w:val="clear" w:color="auto" w:fill="FFFFFF"/>
            <w:vAlign w:val="bottom"/>
          </w:tcPr>
          <w:p w14:paraId="7032A300" w14:textId="77777777" w:rsidR="001272DA" w:rsidRPr="001272DA" w:rsidRDefault="001272DA" w:rsidP="00243F14">
            <w:pPr>
              <w:widowControl w:val="0"/>
              <w:spacing w:line="276" w:lineRule="auto"/>
              <w:ind w:firstLine="220"/>
              <w:rPr>
                <w:rFonts w:ascii="Book Antiqua" w:hAnsi="Book Antiqua" w:cs="Arial"/>
                <w:color w:val="000000"/>
                <w:sz w:val="16"/>
                <w:szCs w:val="16"/>
              </w:rPr>
            </w:pPr>
            <w:r w:rsidRPr="001272DA">
              <w:rPr>
                <w:rFonts w:ascii="Book Antiqua" w:hAnsi="Book Antiqua" w:cs="Arial"/>
                <w:color w:val="000000"/>
                <w:sz w:val="16"/>
                <w:szCs w:val="16"/>
              </w:rPr>
              <w:t>Revocatoria</w:t>
            </w:r>
          </w:p>
        </w:tc>
        <w:tc>
          <w:tcPr>
            <w:tcW w:w="1559" w:type="dxa"/>
            <w:tcBorders>
              <w:top w:val="single" w:sz="4" w:space="0" w:color="000000"/>
              <w:bottom w:val="single" w:sz="4" w:space="0" w:color="000000"/>
              <w:right w:val="single" w:sz="4" w:space="0" w:color="000000"/>
            </w:tcBorders>
            <w:shd w:val="clear" w:color="auto" w:fill="FFFFFF"/>
            <w:vAlign w:val="bottom"/>
          </w:tcPr>
          <w:p w14:paraId="61A41AA7" w14:textId="77777777" w:rsidR="001272DA" w:rsidRPr="001272DA" w:rsidRDefault="001272DA" w:rsidP="00243F14">
            <w:pPr>
              <w:widowControl w:val="0"/>
              <w:spacing w:line="276" w:lineRule="auto"/>
              <w:jc w:val="center"/>
              <w:rPr>
                <w:rFonts w:ascii="Book Antiqua" w:hAnsi="Book Antiqua" w:cs="Arial"/>
                <w:color w:val="000000"/>
                <w:sz w:val="16"/>
                <w:szCs w:val="16"/>
              </w:rPr>
            </w:pPr>
            <w:r w:rsidRPr="001272DA">
              <w:rPr>
                <w:rFonts w:ascii="Book Antiqua" w:hAnsi="Book Antiqua" w:cs="Arial"/>
                <w:color w:val="000000"/>
                <w:sz w:val="16"/>
                <w:szCs w:val="16"/>
                <w:lang w:eastAsia="zh-CN"/>
              </w:rPr>
              <w:t>0</w:t>
            </w:r>
          </w:p>
        </w:tc>
      </w:tr>
      <w:tr w:rsidR="001272DA" w:rsidRPr="001272DA" w14:paraId="735924B5" w14:textId="77777777" w:rsidTr="00EB7E7A">
        <w:trPr>
          <w:trHeight w:val="363"/>
          <w:jc w:val="center"/>
        </w:trPr>
        <w:tc>
          <w:tcPr>
            <w:tcW w:w="3844" w:type="dxa"/>
            <w:tcBorders>
              <w:top w:val="single" w:sz="4" w:space="0" w:color="000000"/>
              <w:left w:val="single" w:sz="4" w:space="0" w:color="000000"/>
              <w:bottom w:val="single" w:sz="4" w:space="0" w:color="000000"/>
            </w:tcBorders>
            <w:shd w:val="clear" w:color="auto" w:fill="DEEAF6" w:themeFill="accent5" w:themeFillTint="33"/>
            <w:vAlign w:val="bottom"/>
          </w:tcPr>
          <w:p w14:paraId="518B701A" w14:textId="77777777" w:rsidR="001272DA" w:rsidRPr="001272DA" w:rsidRDefault="001272DA" w:rsidP="00243F14">
            <w:pPr>
              <w:widowControl w:val="0"/>
              <w:spacing w:line="276" w:lineRule="auto"/>
              <w:ind w:firstLine="221"/>
              <w:rPr>
                <w:rFonts w:ascii="Book Antiqua" w:hAnsi="Book Antiqua" w:cs="Arial"/>
                <w:b/>
                <w:bCs/>
                <w:color w:val="000000"/>
                <w:sz w:val="16"/>
                <w:szCs w:val="16"/>
              </w:rPr>
            </w:pPr>
            <w:r w:rsidRPr="001272DA">
              <w:rPr>
                <w:rFonts w:ascii="Book Antiqua" w:hAnsi="Book Antiqua" w:cs="Arial"/>
                <w:b/>
                <w:bCs/>
                <w:color w:val="000000"/>
                <w:sz w:val="16"/>
                <w:szCs w:val="16"/>
              </w:rPr>
              <w:t>Red de apoyo</w:t>
            </w:r>
          </w:p>
        </w:tc>
        <w:tc>
          <w:tcPr>
            <w:tcW w:w="1559" w:type="dxa"/>
            <w:tcBorders>
              <w:top w:val="single" w:sz="4" w:space="0" w:color="000000"/>
              <w:bottom w:val="single" w:sz="4" w:space="0" w:color="000000"/>
              <w:right w:val="single" w:sz="4" w:space="0" w:color="000000"/>
            </w:tcBorders>
            <w:shd w:val="clear" w:color="auto" w:fill="DEEAF6" w:themeFill="accent5" w:themeFillTint="33"/>
            <w:vAlign w:val="bottom"/>
          </w:tcPr>
          <w:p w14:paraId="6D58664A" w14:textId="77777777" w:rsidR="001272DA" w:rsidRPr="001272DA" w:rsidRDefault="001272DA" w:rsidP="00243F14">
            <w:pPr>
              <w:widowControl w:val="0"/>
              <w:spacing w:line="276" w:lineRule="auto"/>
              <w:jc w:val="center"/>
              <w:rPr>
                <w:rFonts w:ascii="Book Antiqua" w:hAnsi="Book Antiqua" w:cs="Arial"/>
                <w:color w:val="000000"/>
                <w:sz w:val="16"/>
                <w:szCs w:val="16"/>
              </w:rPr>
            </w:pPr>
          </w:p>
        </w:tc>
      </w:tr>
      <w:tr w:rsidR="001272DA" w:rsidRPr="001272DA" w14:paraId="211847AC" w14:textId="77777777" w:rsidTr="00EB7E7A">
        <w:trPr>
          <w:trHeight w:val="363"/>
          <w:jc w:val="center"/>
        </w:trPr>
        <w:tc>
          <w:tcPr>
            <w:tcW w:w="3844" w:type="dxa"/>
            <w:tcBorders>
              <w:top w:val="single" w:sz="4" w:space="0" w:color="000000"/>
              <w:left w:val="single" w:sz="4" w:space="0" w:color="000000"/>
              <w:bottom w:val="single" w:sz="4" w:space="0" w:color="000000"/>
            </w:tcBorders>
            <w:shd w:val="clear" w:color="auto" w:fill="FFFFFF"/>
            <w:vAlign w:val="bottom"/>
          </w:tcPr>
          <w:p w14:paraId="3DE22F76" w14:textId="77777777" w:rsidR="001272DA" w:rsidRPr="001272DA" w:rsidRDefault="001272DA" w:rsidP="00243F14">
            <w:pPr>
              <w:widowControl w:val="0"/>
              <w:spacing w:line="276" w:lineRule="auto"/>
              <w:ind w:firstLine="220"/>
              <w:rPr>
                <w:rFonts w:ascii="Book Antiqua" w:hAnsi="Book Antiqua" w:cs="Arial"/>
                <w:color w:val="000000"/>
                <w:sz w:val="16"/>
                <w:szCs w:val="16"/>
              </w:rPr>
            </w:pPr>
            <w:r w:rsidRPr="001272DA">
              <w:rPr>
                <w:rFonts w:ascii="Book Antiqua" w:hAnsi="Book Antiqua" w:cs="Arial"/>
                <w:color w:val="000000"/>
                <w:sz w:val="16"/>
                <w:szCs w:val="16"/>
              </w:rPr>
              <w:t>Coordinaciones interinstitucionales</w:t>
            </w:r>
          </w:p>
        </w:tc>
        <w:tc>
          <w:tcPr>
            <w:tcW w:w="1559" w:type="dxa"/>
            <w:tcBorders>
              <w:top w:val="single" w:sz="4" w:space="0" w:color="000000"/>
              <w:bottom w:val="single" w:sz="4" w:space="0" w:color="000000"/>
              <w:right w:val="single" w:sz="4" w:space="0" w:color="000000"/>
            </w:tcBorders>
            <w:shd w:val="clear" w:color="auto" w:fill="FFFFFF"/>
            <w:vAlign w:val="bottom"/>
          </w:tcPr>
          <w:p w14:paraId="29439783" w14:textId="77777777" w:rsidR="001272DA" w:rsidRPr="001272DA" w:rsidRDefault="001272DA" w:rsidP="00243F14">
            <w:pPr>
              <w:widowControl w:val="0"/>
              <w:spacing w:line="276" w:lineRule="auto"/>
              <w:jc w:val="center"/>
              <w:rPr>
                <w:rFonts w:ascii="Book Antiqua" w:hAnsi="Book Antiqua" w:cs="Arial"/>
                <w:color w:val="000000"/>
                <w:sz w:val="16"/>
                <w:szCs w:val="16"/>
              </w:rPr>
            </w:pPr>
            <w:r w:rsidRPr="001272DA">
              <w:rPr>
                <w:rFonts w:ascii="Book Antiqua" w:hAnsi="Book Antiqua" w:cs="Arial"/>
                <w:color w:val="000000"/>
                <w:sz w:val="16"/>
                <w:szCs w:val="16"/>
                <w:lang w:eastAsia="zh-CN"/>
              </w:rPr>
              <w:t>57</w:t>
            </w:r>
          </w:p>
        </w:tc>
      </w:tr>
      <w:tr w:rsidR="001272DA" w:rsidRPr="001272DA" w14:paraId="5A1D23CD" w14:textId="77777777" w:rsidTr="00EB7E7A">
        <w:trPr>
          <w:trHeight w:val="339"/>
          <w:jc w:val="center"/>
        </w:trPr>
        <w:tc>
          <w:tcPr>
            <w:tcW w:w="3844" w:type="dxa"/>
            <w:tcBorders>
              <w:top w:val="single" w:sz="4" w:space="0" w:color="000000"/>
              <w:left w:val="single" w:sz="4" w:space="0" w:color="000000"/>
              <w:bottom w:val="single" w:sz="4" w:space="0" w:color="000000"/>
            </w:tcBorders>
            <w:shd w:val="clear" w:color="auto" w:fill="FFFFFF"/>
            <w:vAlign w:val="bottom"/>
          </w:tcPr>
          <w:p w14:paraId="3B82451C" w14:textId="77777777" w:rsidR="001272DA" w:rsidRPr="001272DA" w:rsidRDefault="001272DA" w:rsidP="00243F14">
            <w:pPr>
              <w:widowControl w:val="0"/>
              <w:spacing w:line="276" w:lineRule="auto"/>
              <w:rPr>
                <w:rFonts w:ascii="Book Antiqua" w:hAnsi="Book Antiqua" w:cs="Arial"/>
                <w:b/>
                <w:bCs/>
                <w:sz w:val="16"/>
                <w:szCs w:val="16"/>
              </w:rPr>
            </w:pPr>
            <w:r w:rsidRPr="001272DA">
              <w:rPr>
                <w:rFonts w:ascii="Book Antiqua" w:hAnsi="Book Antiqua" w:cs="Arial"/>
                <w:b/>
                <w:bCs/>
                <w:sz w:val="16"/>
                <w:szCs w:val="16"/>
              </w:rPr>
              <w:t>Cantidad de instituciones que conforman la red</w:t>
            </w:r>
          </w:p>
        </w:tc>
        <w:tc>
          <w:tcPr>
            <w:tcW w:w="1559" w:type="dxa"/>
            <w:tcBorders>
              <w:top w:val="single" w:sz="4" w:space="0" w:color="000000"/>
              <w:bottom w:val="single" w:sz="4" w:space="0" w:color="000000"/>
              <w:right w:val="single" w:sz="4" w:space="0" w:color="000000"/>
            </w:tcBorders>
            <w:shd w:val="clear" w:color="auto" w:fill="FFFFFF"/>
            <w:vAlign w:val="bottom"/>
          </w:tcPr>
          <w:p w14:paraId="0FA222C9" w14:textId="77777777" w:rsidR="001272DA" w:rsidRPr="001272DA" w:rsidRDefault="001272DA" w:rsidP="00243F14">
            <w:pPr>
              <w:widowControl w:val="0"/>
              <w:spacing w:line="276" w:lineRule="auto"/>
              <w:jc w:val="center"/>
              <w:rPr>
                <w:rFonts w:ascii="Book Antiqua" w:hAnsi="Book Antiqua" w:cs="Arial"/>
                <w:color w:val="000000"/>
                <w:sz w:val="16"/>
                <w:szCs w:val="16"/>
              </w:rPr>
            </w:pPr>
            <w:r w:rsidRPr="001272DA">
              <w:rPr>
                <w:rFonts w:ascii="Book Antiqua" w:hAnsi="Book Antiqua" w:cs="Arial"/>
                <w:color w:val="000000"/>
                <w:sz w:val="16"/>
                <w:szCs w:val="16"/>
                <w:lang w:eastAsia="zh-CN"/>
              </w:rPr>
              <w:t>1410</w:t>
            </w:r>
          </w:p>
        </w:tc>
      </w:tr>
      <w:tr w:rsidR="001272DA" w:rsidRPr="001272DA" w14:paraId="059AFA90" w14:textId="77777777" w:rsidTr="00EB7E7A">
        <w:trPr>
          <w:trHeight w:val="339"/>
          <w:jc w:val="center"/>
        </w:trPr>
        <w:tc>
          <w:tcPr>
            <w:tcW w:w="3844" w:type="dxa"/>
            <w:tcBorders>
              <w:top w:val="single" w:sz="4" w:space="0" w:color="000000"/>
              <w:left w:val="single" w:sz="4" w:space="0" w:color="000000"/>
              <w:bottom w:val="single" w:sz="4" w:space="0" w:color="000000"/>
            </w:tcBorders>
            <w:shd w:val="clear" w:color="auto" w:fill="DEEAF6" w:themeFill="accent5" w:themeFillTint="33"/>
            <w:vAlign w:val="bottom"/>
          </w:tcPr>
          <w:p w14:paraId="2AF364D0" w14:textId="77777777" w:rsidR="001272DA" w:rsidRPr="001272DA" w:rsidRDefault="001272DA" w:rsidP="00243F14">
            <w:pPr>
              <w:widowControl w:val="0"/>
              <w:spacing w:line="276" w:lineRule="auto"/>
              <w:rPr>
                <w:rFonts w:ascii="Book Antiqua" w:hAnsi="Book Antiqua" w:cs="Arial"/>
                <w:b/>
                <w:bCs/>
                <w:sz w:val="16"/>
                <w:szCs w:val="16"/>
              </w:rPr>
            </w:pPr>
            <w:r w:rsidRPr="001272DA">
              <w:rPr>
                <w:rFonts w:ascii="Book Antiqua" w:hAnsi="Book Antiqua" w:cs="Arial"/>
                <w:b/>
                <w:bCs/>
                <w:sz w:val="16"/>
                <w:szCs w:val="16"/>
              </w:rPr>
              <w:t>Entrevistas</w:t>
            </w:r>
          </w:p>
        </w:tc>
        <w:tc>
          <w:tcPr>
            <w:tcW w:w="1559" w:type="dxa"/>
            <w:tcBorders>
              <w:top w:val="single" w:sz="4" w:space="0" w:color="000000"/>
              <w:bottom w:val="single" w:sz="4" w:space="0" w:color="000000"/>
              <w:right w:val="single" w:sz="4" w:space="0" w:color="000000"/>
            </w:tcBorders>
            <w:shd w:val="clear" w:color="auto" w:fill="DEEAF6" w:themeFill="accent5" w:themeFillTint="33"/>
            <w:vAlign w:val="bottom"/>
          </w:tcPr>
          <w:p w14:paraId="566F4445" w14:textId="77777777" w:rsidR="001272DA" w:rsidRPr="001272DA" w:rsidRDefault="001272DA" w:rsidP="00243F14">
            <w:pPr>
              <w:widowControl w:val="0"/>
              <w:spacing w:line="276" w:lineRule="auto"/>
              <w:jc w:val="center"/>
              <w:rPr>
                <w:rFonts w:ascii="Book Antiqua" w:hAnsi="Book Antiqua" w:cs="Arial"/>
                <w:sz w:val="16"/>
                <w:szCs w:val="16"/>
              </w:rPr>
            </w:pPr>
          </w:p>
        </w:tc>
      </w:tr>
      <w:tr w:rsidR="001272DA" w:rsidRPr="001272DA" w14:paraId="39677EBB" w14:textId="77777777" w:rsidTr="00EB7E7A">
        <w:trPr>
          <w:trHeight w:val="339"/>
          <w:jc w:val="center"/>
        </w:trPr>
        <w:tc>
          <w:tcPr>
            <w:tcW w:w="3844" w:type="dxa"/>
            <w:tcBorders>
              <w:top w:val="single" w:sz="4" w:space="0" w:color="000000"/>
              <w:left w:val="single" w:sz="4" w:space="0" w:color="000000"/>
              <w:bottom w:val="single" w:sz="4" w:space="0" w:color="000000"/>
            </w:tcBorders>
            <w:shd w:val="clear" w:color="auto" w:fill="FFFFFF"/>
            <w:vAlign w:val="bottom"/>
          </w:tcPr>
          <w:p w14:paraId="258B2494" w14:textId="77777777" w:rsidR="001272DA" w:rsidRPr="001272DA" w:rsidRDefault="001272DA" w:rsidP="00243F14">
            <w:pPr>
              <w:widowControl w:val="0"/>
              <w:spacing w:line="276" w:lineRule="auto"/>
              <w:rPr>
                <w:rFonts w:ascii="Book Antiqua" w:hAnsi="Book Antiqua" w:cs="Arial"/>
                <w:b/>
                <w:bCs/>
                <w:sz w:val="16"/>
                <w:szCs w:val="16"/>
              </w:rPr>
            </w:pPr>
            <w:r w:rsidRPr="001272DA">
              <w:rPr>
                <w:rFonts w:ascii="Book Antiqua" w:hAnsi="Book Antiqua" w:cs="Arial"/>
                <w:b/>
                <w:bCs/>
                <w:sz w:val="16"/>
                <w:szCs w:val="16"/>
              </w:rPr>
              <w:t>Legales</w:t>
            </w:r>
          </w:p>
        </w:tc>
        <w:tc>
          <w:tcPr>
            <w:tcW w:w="1559" w:type="dxa"/>
            <w:tcBorders>
              <w:top w:val="single" w:sz="4" w:space="0" w:color="000000"/>
              <w:bottom w:val="single" w:sz="4" w:space="0" w:color="000000"/>
              <w:right w:val="single" w:sz="4" w:space="0" w:color="000000"/>
            </w:tcBorders>
            <w:shd w:val="clear" w:color="auto" w:fill="FFFFFF"/>
            <w:vAlign w:val="bottom"/>
          </w:tcPr>
          <w:p w14:paraId="6607196E" w14:textId="77777777" w:rsidR="001272DA" w:rsidRPr="001272DA" w:rsidRDefault="001272DA" w:rsidP="00243F14">
            <w:pPr>
              <w:widowControl w:val="0"/>
              <w:spacing w:line="276" w:lineRule="auto"/>
              <w:jc w:val="center"/>
              <w:rPr>
                <w:rFonts w:ascii="Book Antiqua" w:hAnsi="Book Antiqua" w:cs="Arial"/>
                <w:sz w:val="16"/>
                <w:szCs w:val="16"/>
              </w:rPr>
            </w:pPr>
            <w:r w:rsidRPr="001272DA">
              <w:rPr>
                <w:rFonts w:ascii="Book Antiqua" w:hAnsi="Book Antiqua" w:cs="Arial"/>
                <w:sz w:val="16"/>
                <w:szCs w:val="16"/>
                <w:lang w:eastAsia="zh-CN"/>
              </w:rPr>
              <w:t>175</w:t>
            </w:r>
          </w:p>
        </w:tc>
      </w:tr>
      <w:tr w:rsidR="001272DA" w:rsidRPr="001272DA" w14:paraId="50E4CF8A" w14:textId="77777777" w:rsidTr="00EB7E7A">
        <w:trPr>
          <w:trHeight w:val="339"/>
          <w:jc w:val="center"/>
        </w:trPr>
        <w:tc>
          <w:tcPr>
            <w:tcW w:w="3844" w:type="dxa"/>
            <w:tcBorders>
              <w:top w:val="single" w:sz="4" w:space="0" w:color="000000"/>
              <w:left w:val="single" w:sz="4" w:space="0" w:color="000000"/>
              <w:bottom w:val="single" w:sz="4" w:space="0" w:color="000000"/>
            </w:tcBorders>
            <w:shd w:val="clear" w:color="auto" w:fill="FFFFFF"/>
            <w:vAlign w:val="bottom"/>
          </w:tcPr>
          <w:p w14:paraId="5275A9BE" w14:textId="77777777" w:rsidR="001272DA" w:rsidRPr="001272DA" w:rsidRDefault="001272DA" w:rsidP="00243F14">
            <w:pPr>
              <w:widowControl w:val="0"/>
              <w:spacing w:line="276" w:lineRule="auto"/>
              <w:rPr>
                <w:rFonts w:ascii="Book Antiqua" w:hAnsi="Book Antiqua" w:cs="Arial"/>
                <w:b/>
                <w:bCs/>
                <w:sz w:val="16"/>
                <w:szCs w:val="16"/>
              </w:rPr>
            </w:pPr>
            <w:r w:rsidRPr="001272DA">
              <w:rPr>
                <w:rFonts w:ascii="Book Antiqua" w:hAnsi="Book Antiqua" w:cs="Arial"/>
                <w:b/>
                <w:bCs/>
                <w:sz w:val="16"/>
                <w:szCs w:val="16"/>
              </w:rPr>
              <w:t>Psicosociales</w:t>
            </w:r>
          </w:p>
        </w:tc>
        <w:tc>
          <w:tcPr>
            <w:tcW w:w="1559" w:type="dxa"/>
            <w:tcBorders>
              <w:top w:val="single" w:sz="4" w:space="0" w:color="000000"/>
              <w:bottom w:val="single" w:sz="4" w:space="0" w:color="000000"/>
              <w:right w:val="single" w:sz="4" w:space="0" w:color="000000"/>
            </w:tcBorders>
            <w:shd w:val="clear" w:color="auto" w:fill="FFFFFF"/>
            <w:vAlign w:val="bottom"/>
          </w:tcPr>
          <w:p w14:paraId="06FDC7C0" w14:textId="77777777" w:rsidR="001272DA" w:rsidRPr="001272DA" w:rsidRDefault="001272DA" w:rsidP="00243F14">
            <w:pPr>
              <w:widowControl w:val="0"/>
              <w:spacing w:line="276" w:lineRule="auto"/>
              <w:jc w:val="center"/>
              <w:rPr>
                <w:rFonts w:ascii="Book Antiqua" w:hAnsi="Book Antiqua" w:cs="Arial"/>
                <w:sz w:val="16"/>
                <w:szCs w:val="16"/>
              </w:rPr>
            </w:pPr>
            <w:r w:rsidRPr="001272DA">
              <w:rPr>
                <w:rFonts w:ascii="Book Antiqua" w:hAnsi="Book Antiqua" w:cs="Arial"/>
                <w:sz w:val="16"/>
                <w:szCs w:val="16"/>
                <w:lang w:eastAsia="zh-CN"/>
              </w:rPr>
              <w:t>82</w:t>
            </w:r>
          </w:p>
        </w:tc>
      </w:tr>
      <w:tr w:rsidR="001272DA" w:rsidRPr="001272DA" w14:paraId="09C3AF5B" w14:textId="77777777" w:rsidTr="00EB7E7A">
        <w:trPr>
          <w:trHeight w:val="376"/>
          <w:jc w:val="center"/>
        </w:trPr>
        <w:tc>
          <w:tcPr>
            <w:tcW w:w="3844" w:type="dxa"/>
            <w:tcBorders>
              <w:top w:val="single" w:sz="4" w:space="0" w:color="000000"/>
              <w:left w:val="single" w:sz="4" w:space="0" w:color="000000"/>
              <w:bottom w:val="single" w:sz="4" w:space="0" w:color="000000"/>
            </w:tcBorders>
            <w:shd w:val="clear" w:color="auto" w:fill="FFFFFF"/>
            <w:vAlign w:val="bottom"/>
          </w:tcPr>
          <w:p w14:paraId="74FAC336" w14:textId="77777777" w:rsidR="001272DA" w:rsidRPr="001272DA" w:rsidRDefault="001272DA" w:rsidP="00243F14">
            <w:pPr>
              <w:widowControl w:val="0"/>
              <w:spacing w:line="276" w:lineRule="auto"/>
              <w:rPr>
                <w:rFonts w:ascii="Book Antiqua" w:hAnsi="Book Antiqua" w:cs="Arial"/>
                <w:b/>
                <w:bCs/>
                <w:sz w:val="16"/>
                <w:szCs w:val="16"/>
              </w:rPr>
            </w:pPr>
            <w:r w:rsidRPr="001272DA">
              <w:rPr>
                <w:rFonts w:ascii="Book Antiqua" w:hAnsi="Book Antiqua" w:cs="Arial"/>
                <w:b/>
                <w:bCs/>
                <w:sz w:val="16"/>
                <w:szCs w:val="16"/>
              </w:rPr>
              <w:t>Seguimiento de medidas alternas</w:t>
            </w:r>
          </w:p>
        </w:tc>
        <w:tc>
          <w:tcPr>
            <w:tcW w:w="1559" w:type="dxa"/>
            <w:tcBorders>
              <w:top w:val="single" w:sz="4" w:space="0" w:color="000000"/>
              <w:bottom w:val="single" w:sz="4" w:space="0" w:color="000000"/>
              <w:right w:val="single" w:sz="4" w:space="0" w:color="000000"/>
            </w:tcBorders>
            <w:shd w:val="clear" w:color="auto" w:fill="FFFFFF"/>
            <w:vAlign w:val="bottom"/>
          </w:tcPr>
          <w:p w14:paraId="531FE5E7" w14:textId="77777777" w:rsidR="001272DA" w:rsidRPr="001272DA" w:rsidRDefault="001272DA" w:rsidP="00243F14">
            <w:pPr>
              <w:widowControl w:val="0"/>
              <w:spacing w:line="276" w:lineRule="auto"/>
              <w:jc w:val="center"/>
              <w:rPr>
                <w:rFonts w:ascii="Book Antiqua" w:hAnsi="Book Antiqua" w:cs="Arial"/>
                <w:sz w:val="16"/>
                <w:szCs w:val="16"/>
              </w:rPr>
            </w:pPr>
            <w:r w:rsidRPr="001272DA">
              <w:rPr>
                <w:rFonts w:ascii="Book Antiqua" w:hAnsi="Book Antiqua" w:cs="Arial"/>
                <w:sz w:val="16"/>
                <w:szCs w:val="16"/>
                <w:lang w:eastAsia="zh-CN"/>
              </w:rPr>
              <w:t>10</w:t>
            </w:r>
          </w:p>
        </w:tc>
      </w:tr>
    </w:tbl>
    <w:p w14:paraId="78BF44EC" w14:textId="77777777" w:rsidR="000A6207" w:rsidRPr="004F0E92" w:rsidRDefault="000A6207" w:rsidP="00EB7E7A">
      <w:pPr>
        <w:spacing w:line="276" w:lineRule="auto"/>
        <w:jc w:val="center"/>
        <w:rPr>
          <w:rFonts w:ascii="Book Antiqua" w:hAnsi="Book Antiqua"/>
          <w:b/>
          <w:bCs/>
          <w:color w:val="000000" w:themeColor="text1"/>
          <w:sz w:val="20"/>
          <w:szCs w:val="20"/>
        </w:rPr>
      </w:pPr>
      <w:r w:rsidRPr="004F0E92">
        <w:rPr>
          <w:rFonts w:ascii="Book Antiqua" w:hAnsi="Book Antiqua"/>
          <w:b/>
          <w:bCs/>
          <w:color w:val="000000" w:themeColor="text1"/>
          <w:sz w:val="20"/>
          <w:szCs w:val="20"/>
        </w:rPr>
        <w:t xml:space="preserve">Fuente: </w:t>
      </w:r>
      <w:r w:rsidRPr="004F0E92">
        <w:rPr>
          <w:rFonts w:ascii="Book Antiqua" w:hAnsi="Book Antiqua"/>
          <w:color w:val="000000" w:themeColor="text1"/>
          <w:sz w:val="20"/>
          <w:szCs w:val="20"/>
        </w:rPr>
        <w:t>Elabora</w:t>
      </w:r>
      <w:r>
        <w:rPr>
          <w:rFonts w:ascii="Book Antiqua" w:hAnsi="Book Antiqua"/>
          <w:color w:val="000000" w:themeColor="text1"/>
          <w:sz w:val="20"/>
          <w:szCs w:val="20"/>
        </w:rPr>
        <w:t>do por la Oficina Rectora de Justicia Restaurativa</w:t>
      </w:r>
    </w:p>
    <w:p w14:paraId="5CC41981" w14:textId="738AF614" w:rsidR="006F775A" w:rsidRDefault="006F775A">
      <w:pPr>
        <w:rPr>
          <w:rFonts w:ascii="Book Antiqua" w:hAnsi="Book Antiqua"/>
          <w:b/>
          <w:bCs/>
        </w:rPr>
      </w:pPr>
      <w:r>
        <w:rPr>
          <w:rFonts w:ascii="Book Antiqua" w:hAnsi="Book Antiqua"/>
          <w:b/>
          <w:bCs/>
        </w:rPr>
        <w:br w:type="page"/>
      </w:r>
    </w:p>
    <w:p w14:paraId="350F517B" w14:textId="77777777" w:rsidR="000A6207" w:rsidRPr="004F0E92" w:rsidRDefault="000A6207" w:rsidP="000A6207">
      <w:pPr>
        <w:spacing w:line="276" w:lineRule="auto"/>
        <w:rPr>
          <w:rFonts w:ascii="Book Antiqua" w:hAnsi="Book Antiqua"/>
          <w:b/>
          <w:bCs/>
        </w:rPr>
      </w:pPr>
    </w:p>
    <w:p w14:paraId="66FB4C60" w14:textId="77777777" w:rsidR="00F75E3A" w:rsidRPr="004F0E92" w:rsidRDefault="00F75E3A" w:rsidP="00F75E3A">
      <w:pPr>
        <w:spacing w:line="276" w:lineRule="auto"/>
        <w:rPr>
          <w:rFonts w:ascii="Book Antiqua" w:hAnsi="Book Antiqua"/>
          <w:b/>
          <w:bCs/>
        </w:rPr>
      </w:pPr>
    </w:p>
    <w:p w14:paraId="51ADFE54" w14:textId="01ADFB11" w:rsidR="00F75E3A" w:rsidRPr="00A463D0" w:rsidRDefault="00F75E3A" w:rsidP="00A463D0">
      <w:pPr>
        <w:pStyle w:val="Ttulo1"/>
        <w:spacing w:line="276" w:lineRule="auto"/>
        <w:jc w:val="both"/>
        <w:rPr>
          <w:b w:val="0"/>
          <w:bCs/>
        </w:rPr>
      </w:pPr>
      <w:bookmarkStart w:id="25" w:name="_Hlk87361996"/>
      <w:r w:rsidRPr="00A463D0">
        <w:rPr>
          <w:bCs/>
        </w:rPr>
        <w:t xml:space="preserve">CAPITULO </w:t>
      </w:r>
      <w:r w:rsidR="006F2673" w:rsidRPr="00A463D0">
        <w:rPr>
          <w:bCs/>
        </w:rPr>
        <w:t>XIII</w:t>
      </w:r>
      <w:r w:rsidRPr="00A463D0">
        <w:rPr>
          <w:bCs/>
        </w:rPr>
        <w:t>. RESULTADOS DE MATERIA PENAL EN EL MES DE SETIEMBRE</w:t>
      </w:r>
      <w:bookmarkEnd w:id="25"/>
    </w:p>
    <w:p w14:paraId="1B02B53C" w14:textId="77777777" w:rsidR="00F75E3A" w:rsidRPr="00A463D0" w:rsidRDefault="00F75E3A" w:rsidP="00F75E3A">
      <w:pPr>
        <w:shd w:val="clear" w:color="auto" w:fill="FFFFFF" w:themeFill="background1"/>
        <w:spacing w:line="276" w:lineRule="auto"/>
        <w:jc w:val="both"/>
        <w:rPr>
          <w:rFonts w:ascii="Book Antiqua" w:hAnsi="Book Antiqua"/>
          <w:b/>
          <w:bCs/>
          <w:lang w:val="es-ES_tradnl" w:eastAsia="en-US"/>
        </w:rPr>
      </w:pPr>
    </w:p>
    <w:p w14:paraId="51EF74AB" w14:textId="0E604C6A" w:rsidR="00F75E3A" w:rsidRPr="00A463D0" w:rsidRDefault="50267662" w:rsidP="57A79FF7">
      <w:pPr>
        <w:tabs>
          <w:tab w:val="left" w:pos="426"/>
        </w:tabs>
        <w:spacing w:after="160" w:line="276" w:lineRule="auto"/>
        <w:contextualSpacing/>
        <w:outlineLvl w:val="1"/>
        <w:rPr>
          <w:b/>
          <w:color w:val="000000" w:themeColor="text1"/>
        </w:rPr>
      </w:pPr>
      <w:r w:rsidRPr="57A79FF7">
        <w:rPr>
          <w:rFonts w:ascii="Book Antiqua" w:hAnsi="Book Antiqua"/>
          <w:b/>
          <w:bCs/>
          <w:color w:val="000000" w:themeColor="text1"/>
        </w:rPr>
        <w:t xml:space="preserve">8. </w:t>
      </w:r>
      <w:r w:rsidR="00F75E3A" w:rsidRPr="00A463D0">
        <w:rPr>
          <w:rFonts w:ascii="Book Antiqua" w:hAnsi="Book Antiqua"/>
          <w:b/>
          <w:color w:val="000000" w:themeColor="text1"/>
        </w:rPr>
        <w:t xml:space="preserve">Seguimiento resultados de materia Penal del mes de </w:t>
      </w:r>
      <w:r w:rsidR="00FC1501" w:rsidRPr="00A463D0">
        <w:rPr>
          <w:rFonts w:ascii="Book Antiqua" w:hAnsi="Book Antiqua"/>
          <w:b/>
          <w:color w:val="000000" w:themeColor="text1"/>
        </w:rPr>
        <w:t>setiembre</w:t>
      </w:r>
    </w:p>
    <w:p w14:paraId="6A5BB4F6" w14:textId="77777777" w:rsidR="00F75E3A" w:rsidRPr="004F0E92" w:rsidRDefault="00F75E3A" w:rsidP="00F75E3A">
      <w:pPr>
        <w:spacing w:line="276" w:lineRule="auto"/>
        <w:jc w:val="both"/>
        <w:rPr>
          <w:rFonts w:ascii="Book Antiqua" w:hAnsi="Book Antiqua"/>
          <w:color w:val="000000" w:themeColor="text1"/>
        </w:rPr>
      </w:pPr>
      <w:r w:rsidRPr="00C56519">
        <w:rPr>
          <w:rFonts w:ascii="Book Antiqua" w:hAnsi="Book Antiqua"/>
          <w:color w:val="000000" w:themeColor="text1"/>
        </w:rPr>
        <w:t>La Dirección de Planificación a través de la circular 61-20, e</w:t>
      </w:r>
      <w:r w:rsidRPr="001A078A">
        <w:rPr>
          <w:rFonts w:ascii="Book Antiqua" w:hAnsi="Book Antiqua"/>
          <w:color w:val="000000" w:themeColor="text1"/>
        </w:rPr>
        <w:t>s la responsab</w:t>
      </w:r>
      <w:r w:rsidRPr="00DB6970">
        <w:rPr>
          <w:rFonts w:ascii="Book Antiqua" w:hAnsi="Book Antiqua"/>
          <w:color w:val="000000" w:themeColor="text1"/>
        </w:rPr>
        <w:t xml:space="preserve">le del </w:t>
      </w:r>
      <w:r w:rsidRPr="0016469A">
        <w:rPr>
          <w:rFonts w:ascii="Book Antiqua" w:hAnsi="Book Antiqua"/>
          <w:color w:val="000000" w:themeColor="text1"/>
        </w:rPr>
        <w:t>seguimiento de los resultados de lo</w:t>
      </w:r>
      <w:r w:rsidRPr="00D92C45">
        <w:rPr>
          <w:rFonts w:ascii="Book Antiqua" w:hAnsi="Book Antiqua"/>
          <w:color w:val="000000" w:themeColor="text1"/>
        </w:rPr>
        <w:t>s planes de trabajo de los Juzgados Penales, Tri</w:t>
      </w:r>
      <w:r w:rsidRPr="004F7FEF">
        <w:rPr>
          <w:rFonts w:ascii="Book Antiqua" w:hAnsi="Book Antiqua"/>
          <w:color w:val="000000" w:themeColor="text1"/>
        </w:rPr>
        <w:t>bunales de Juicio, Tribunal y Secciones de Flagrancia, Juzgados de Ejecución de la Pena, Tribunal de Apelación</w:t>
      </w:r>
      <w:r w:rsidRPr="00BB710A">
        <w:rPr>
          <w:rFonts w:ascii="Book Antiqua" w:hAnsi="Book Antiqua"/>
          <w:color w:val="000000" w:themeColor="text1"/>
        </w:rPr>
        <w:t>, Sala Tercera, semana a semana cada una d</w:t>
      </w:r>
      <w:r w:rsidRPr="00AF216E">
        <w:rPr>
          <w:rFonts w:ascii="Book Antiqua" w:hAnsi="Book Antiqua"/>
          <w:color w:val="000000" w:themeColor="text1"/>
        </w:rPr>
        <w:t>e esas oficinas prese</w:t>
      </w:r>
      <w:r w:rsidRPr="00350753">
        <w:rPr>
          <w:rFonts w:ascii="Book Antiqua" w:hAnsi="Book Antiqua"/>
          <w:color w:val="000000" w:themeColor="text1"/>
        </w:rPr>
        <w:t>nta sus datos y son revisados por p</w:t>
      </w:r>
      <w:r w:rsidRPr="00FD0F4E">
        <w:rPr>
          <w:rFonts w:ascii="Book Antiqua" w:hAnsi="Book Antiqua"/>
          <w:color w:val="000000" w:themeColor="text1"/>
        </w:rPr>
        <w:t>rofesionales de dicha dirección, quienes dan retroalimentación en el llenado de ellos por alguna inc</w:t>
      </w:r>
      <w:r w:rsidRPr="00C446D3">
        <w:rPr>
          <w:rFonts w:ascii="Book Antiqua" w:hAnsi="Book Antiqua"/>
          <w:color w:val="000000" w:themeColor="text1"/>
        </w:rPr>
        <w:t>onsistencia y de manera mensual se</w:t>
      </w:r>
      <w:r w:rsidRPr="001C045B">
        <w:rPr>
          <w:rFonts w:ascii="Book Antiqua" w:hAnsi="Book Antiqua"/>
          <w:color w:val="000000" w:themeColor="text1"/>
        </w:rPr>
        <w:t xml:space="preserve"> sistematiza la información, circular 101-2020. Adicionalmente a partir del 22 de marzo de 2021, la Corte P</w:t>
      </w:r>
      <w:r w:rsidRPr="00950EE4">
        <w:rPr>
          <w:rFonts w:ascii="Book Antiqua" w:hAnsi="Book Antiqua"/>
          <w:color w:val="000000" w:themeColor="text1"/>
        </w:rPr>
        <w:t xml:space="preserve">lena en </w:t>
      </w:r>
      <w:r w:rsidRPr="008C34D4">
        <w:rPr>
          <w:rFonts w:ascii="Book Antiqua" w:hAnsi="Book Antiqua"/>
          <w:color w:val="000000" w:themeColor="text1"/>
        </w:rPr>
        <w:t>la sesión 12-202</w:t>
      </w:r>
      <w:r w:rsidRPr="00ED0468">
        <w:rPr>
          <w:rFonts w:ascii="Book Antiqua" w:hAnsi="Book Antiqua"/>
          <w:color w:val="000000" w:themeColor="text1"/>
        </w:rPr>
        <w:t>1</w:t>
      </w:r>
      <w:r w:rsidRPr="00BB6850">
        <w:rPr>
          <w:rFonts w:ascii="Book Antiqua" w:hAnsi="Book Antiqua"/>
          <w:color w:val="000000" w:themeColor="text1"/>
        </w:rPr>
        <w:t>, artícu</w:t>
      </w:r>
      <w:r w:rsidRPr="00604E74">
        <w:rPr>
          <w:rFonts w:ascii="Book Antiqua" w:hAnsi="Book Antiqua"/>
          <w:color w:val="000000" w:themeColor="text1"/>
        </w:rPr>
        <w:t>lo XVII a</w:t>
      </w:r>
      <w:r w:rsidRPr="00C47455">
        <w:rPr>
          <w:rFonts w:ascii="Book Antiqua" w:hAnsi="Book Antiqua"/>
          <w:color w:val="000000" w:themeColor="text1"/>
        </w:rPr>
        <w:t>prob</w:t>
      </w:r>
      <w:r w:rsidRPr="00740A51">
        <w:rPr>
          <w:rFonts w:ascii="Book Antiqua" w:hAnsi="Book Antiqua"/>
          <w:color w:val="000000" w:themeColor="text1"/>
        </w:rPr>
        <w:t>ó el in</w:t>
      </w:r>
      <w:r w:rsidRPr="00C56519">
        <w:rPr>
          <w:rFonts w:ascii="Book Antiqua" w:hAnsi="Book Antiqua"/>
          <w:color w:val="000000" w:themeColor="text1"/>
        </w:rPr>
        <w:t>forme 301-PLA-MI-2021, en donde se recomendó que a partir del mes de mayo el seguimiento se desarrollara a través de indicadores de gestión</w:t>
      </w:r>
      <w:r>
        <w:rPr>
          <w:rFonts w:ascii="Book Antiqua" w:hAnsi="Book Antiqua"/>
          <w:color w:val="000000" w:themeColor="text1"/>
        </w:rPr>
        <w:t>, lo cual se comunicó mediante la circular 92-2021 a todos los despachos del país. Esto, aplica únicamente para los Juzgados Penales, Tribunales Penales, Secciones de Flagrancia y Juzgados de Ejecución.</w:t>
      </w:r>
    </w:p>
    <w:p w14:paraId="5B3A3056" w14:textId="77777777" w:rsidR="00F75E3A" w:rsidRDefault="00F75E3A" w:rsidP="00F75E3A">
      <w:pPr>
        <w:pStyle w:val="Prrafodelista"/>
        <w:spacing w:line="276" w:lineRule="auto"/>
        <w:rPr>
          <w:rFonts w:ascii="Book Antiqua" w:hAnsi="Book Antiqua"/>
          <w:color w:val="000000" w:themeColor="text1"/>
        </w:rPr>
      </w:pPr>
    </w:p>
    <w:p w14:paraId="625D2D74" w14:textId="77777777" w:rsidR="00F75E3A" w:rsidRPr="004F0E92" w:rsidRDefault="00F75E3A" w:rsidP="00F75E3A">
      <w:pPr>
        <w:pStyle w:val="Prrafodelista"/>
        <w:spacing w:line="276" w:lineRule="auto"/>
        <w:rPr>
          <w:rFonts w:ascii="Book Antiqua" w:hAnsi="Book Antiqua"/>
          <w:color w:val="000000" w:themeColor="text1"/>
        </w:rPr>
      </w:pPr>
    </w:p>
    <w:p w14:paraId="2BA5AFA8" w14:textId="04C7A2C4" w:rsidR="00F75E3A" w:rsidRPr="00A64999" w:rsidRDefault="25C42148" w:rsidP="57A79FF7">
      <w:pPr>
        <w:spacing w:after="160" w:line="276" w:lineRule="auto"/>
        <w:contextualSpacing/>
        <w:outlineLvl w:val="1"/>
        <w:rPr>
          <w:b/>
          <w:color w:val="000000" w:themeColor="text1"/>
        </w:rPr>
      </w:pPr>
      <w:r w:rsidRPr="57A79FF7">
        <w:rPr>
          <w:rFonts w:ascii="Book Antiqua" w:hAnsi="Book Antiqua"/>
          <w:b/>
          <w:bCs/>
          <w:color w:val="000000" w:themeColor="text1"/>
        </w:rPr>
        <w:t xml:space="preserve">8.1 </w:t>
      </w:r>
      <w:r w:rsidR="00F75E3A" w:rsidRPr="00A64999">
        <w:rPr>
          <w:rFonts w:ascii="Book Antiqua" w:hAnsi="Book Antiqua"/>
          <w:b/>
          <w:color w:val="000000" w:themeColor="text1"/>
        </w:rPr>
        <w:t>Resultados de desglose de actividades</w:t>
      </w:r>
    </w:p>
    <w:p w14:paraId="0E5084D2" w14:textId="77777777" w:rsidR="00F75E3A" w:rsidRPr="00A64999" w:rsidRDefault="00F75E3A" w:rsidP="00F75E3A">
      <w:pPr>
        <w:pStyle w:val="Prrafodelista"/>
        <w:spacing w:after="160" w:line="276" w:lineRule="auto"/>
        <w:ind w:left="360"/>
        <w:contextualSpacing/>
        <w:rPr>
          <w:rFonts w:ascii="Book Antiqua" w:hAnsi="Book Antiqua"/>
          <w:b/>
          <w:color w:val="000000" w:themeColor="text1"/>
        </w:rPr>
      </w:pPr>
    </w:p>
    <w:p w14:paraId="42041606" w14:textId="27303535" w:rsidR="00F75E3A" w:rsidRPr="00A64999" w:rsidRDefault="74BAFBB0" w:rsidP="57A79FF7">
      <w:pPr>
        <w:tabs>
          <w:tab w:val="left" w:pos="426"/>
        </w:tabs>
        <w:spacing w:line="276" w:lineRule="auto"/>
        <w:jc w:val="both"/>
        <w:outlineLvl w:val="2"/>
        <w:rPr>
          <w:b/>
          <w:color w:val="000000" w:themeColor="text1"/>
          <w:lang w:eastAsia="es-CR"/>
        </w:rPr>
      </w:pPr>
      <w:r w:rsidRPr="57A79FF7">
        <w:rPr>
          <w:rFonts w:ascii="Book Antiqua" w:hAnsi="Book Antiqua"/>
          <w:b/>
          <w:bCs/>
          <w:color w:val="000000" w:themeColor="text1"/>
        </w:rPr>
        <w:t xml:space="preserve">8.1.1 </w:t>
      </w:r>
      <w:r w:rsidR="00F75E3A" w:rsidRPr="00A64999">
        <w:rPr>
          <w:rFonts w:ascii="Book Antiqua" w:hAnsi="Book Antiqua"/>
          <w:b/>
          <w:bCs/>
          <w:color w:val="000000" w:themeColor="text1"/>
        </w:rPr>
        <w:t xml:space="preserve">Juzgados Penales </w:t>
      </w:r>
    </w:p>
    <w:p w14:paraId="31CDC4B0" w14:textId="77777777" w:rsidR="00F75E3A" w:rsidRPr="00A64999" w:rsidRDefault="00F75E3A" w:rsidP="00F75E3A">
      <w:pPr>
        <w:pStyle w:val="Prrafodelista"/>
        <w:tabs>
          <w:tab w:val="left" w:pos="426"/>
        </w:tabs>
        <w:spacing w:line="276" w:lineRule="auto"/>
        <w:ind w:left="0"/>
        <w:jc w:val="both"/>
        <w:rPr>
          <w:rFonts w:ascii="Book Antiqua" w:hAnsi="Book Antiqua"/>
          <w:color w:val="000000" w:themeColor="text1"/>
        </w:rPr>
      </w:pPr>
    </w:p>
    <w:p w14:paraId="05321C5B" w14:textId="77777777" w:rsidR="00A64999" w:rsidRPr="00A64999" w:rsidRDefault="00A64999" w:rsidP="00A64999">
      <w:pPr>
        <w:spacing w:line="276" w:lineRule="auto"/>
        <w:jc w:val="both"/>
        <w:rPr>
          <w:rFonts w:ascii="Book Antiqua" w:hAnsi="Book Antiqua" w:cs="Arial"/>
        </w:rPr>
      </w:pPr>
      <w:r w:rsidRPr="00A64999">
        <w:rPr>
          <w:rFonts w:ascii="Book Antiqua" w:hAnsi="Book Antiqua"/>
          <w:color w:val="000000"/>
          <w:lang w:val="es-ES"/>
        </w:rPr>
        <w:t xml:space="preserve">Según los datos reportados en las matrices de indicadores por los Juzgados Penales, </w:t>
      </w:r>
      <w:r w:rsidRPr="00A64999">
        <w:rPr>
          <w:rFonts w:ascii="Book Antiqua" w:hAnsi="Book Antiqua"/>
          <w:color w:val="000000"/>
        </w:rPr>
        <w:t>las principales actividades efectuadas por el personal de la judicatura durante el mes de setiembre del 2021 fueron: 11427 asuntos finalizados por desestimación, sobreseimientos y auto apertura a juicio, 2436 audiencias preliminares realizadas y 740 vistas orales efectuadas.</w:t>
      </w:r>
    </w:p>
    <w:p w14:paraId="0ADE4012" w14:textId="77777777" w:rsidR="00F75E3A" w:rsidRDefault="00F75E3A" w:rsidP="00F75E3A">
      <w:pPr>
        <w:pStyle w:val="Prrafodelista"/>
        <w:tabs>
          <w:tab w:val="left" w:pos="426"/>
        </w:tabs>
        <w:spacing w:line="276" w:lineRule="auto"/>
        <w:ind w:left="0"/>
        <w:jc w:val="both"/>
        <w:rPr>
          <w:rFonts w:ascii="Book Antiqua" w:hAnsi="Book Antiqua" w:cs="Calibri"/>
          <w:color w:val="000000" w:themeColor="text1"/>
          <w:highlight w:val="green"/>
          <w:lang w:eastAsia="es-CR"/>
        </w:rPr>
      </w:pPr>
    </w:p>
    <w:p w14:paraId="0B4CBBBF" w14:textId="77777777" w:rsidR="00F75E3A" w:rsidRDefault="00F75E3A" w:rsidP="00F75E3A">
      <w:pPr>
        <w:pStyle w:val="Prrafodelista"/>
        <w:tabs>
          <w:tab w:val="left" w:pos="426"/>
        </w:tabs>
        <w:spacing w:line="276" w:lineRule="auto"/>
        <w:ind w:left="0"/>
        <w:jc w:val="both"/>
        <w:rPr>
          <w:rFonts w:ascii="Book Antiqua" w:hAnsi="Book Antiqua" w:cs="Calibri"/>
          <w:color w:val="000000" w:themeColor="text1"/>
          <w:highlight w:val="green"/>
          <w:lang w:eastAsia="es-CR"/>
        </w:rPr>
      </w:pPr>
    </w:p>
    <w:p w14:paraId="19CB53A0" w14:textId="27B5AB09" w:rsidR="006F775A" w:rsidRDefault="006F775A">
      <w:pPr>
        <w:rPr>
          <w:rFonts w:ascii="Book Antiqua" w:hAnsi="Book Antiqua" w:cs="Calibri"/>
          <w:color w:val="000000" w:themeColor="text1"/>
          <w:lang w:eastAsia="es-CR"/>
        </w:rPr>
      </w:pPr>
      <w:r>
        <w:rPr>
          <w:rFonts w:ascii="Book Antiqua" w:hAnsi="Book Antiqua" w:cs="Calibri"/>
          <w:color w:val="000000" w:themeColor="text1"/>
          <w:lang w:eastAsia="es-CR"/>
        </w:rPr>
        <w:br w:type="page"/>
      </w:r>
    </w:p>
    <w:p w14:paraId="7F6F3974" w14:textId="77777777" w:rsidR="00F75E3A" w:rsidRPr="00A64999" w:rsidRDefault="00F75E3A" w:rsidP="00F75E3A">
      <w:pPr>
        <w:pStyle w:val="Prrafodelista"/>
        <w:tabs>
          <w:tab w:val="left" w:pos="426"/>
        </w:tabs>
        <w:spacing w:line="276" w:lineRule="auto"/>
        <w:ind w:left="0"/>
        <w:jc w:val="both"/>
        <w:rPr>
          <w:rFonts w:ascii="Book Antiqua" w:hAnsi="Book Antiqua" w:cs="Calibri"/>
          <w:color w:val="000000" w:themeColor="text1"/>
          <w:lang w:eastAsia="es-CR"/>
        </w:rPr>
      </w:pPr>
    </w:p>
    <w:p w14:paraId="2853CE4F" w14:textId="6AC93424" w:rsidR="00F75E3A" w:rsidRPr="00A64999" w:rsidRDefault="00F75E3A" w:rsidP="00F75E3A">
      <w:pPr>
        <w:spacing w:line="276" w:lineRule="auto"/>
        <w:jc w:val="center"/>
        <w:rPr>
          <w:rFonts w:ascii="Book Antiqua" w:hAnsi="Book Antiqua"/>
          <w:b/>
          <w:color w:val="000000"/>
        </w:rPr>
      </w:pPr>
      <w:r w:rsidRPr="00A64999">
        <w:rPr>
          <w:rFonts w:ascii="Book Antiqua" w:hAnsi="Book Antiqua"/>
          <w:b/>
          <w:color w:val="000000"/>
        </w:rPr>
        <w:t xml:space="preserve">Gráfico </w:t>
      </w:r>
      <w:r w:rsidR="00A64999" w:rsidRPr="00A64999">
        <w:rPr>
          <w:rFonts w:ascii="Book Antiqua" w:hAnsi="Book Antiqua"/>
          <w:b/>
          <w:color w:val="000000"/>
        </w:rPr>
        <w:t>27</w:t>
      </w:r>
    </w:p>
    <w:p w14:paraId="321E747B" w14:textId="77777777" w:rsidR="00F75E3A" w:rsidRPr="00A64999" w:rsidRDefault="00F75E3A" w:rsidP="00F75E3A">
      <w:pPr>
        <w:spacing w:line="276" w:lineRule="auto"/>
        <w:jc w:val="center"/>
        <w:rPr>
          <w:rFonts w:ascii="Book Antiqua" w:hAnsi="Book Antiqua"/>
          <w:bCs/>
          <w:color w:val="000000"/>
        </w:rPr>
      </w:pPr>
      <w:r w:rsidRPr="00A64999">
        <w:rPr>
          <w:rFonts w:ascii="Book Antiqua" w:hAnsi="Book Antiqua"/>
          <w:bCs/>
          <w:color w:val="000000"/>
        </w:rPr>
        <w:t>Actividades principales efectuadas por el personal de la judicatura</w:t>
      </w:r>
    </w:p>
    <w:p w14:paraId="55676CF9" w14:textId="38F33A7E" w:rsidR="00F75E3A" w:rsidRPr="00F04863" w:rsidRDefault="00F75E3A" w:rsidP="00F75E3A">
      <w:pPr>
        <w:spacing w:line="276" w:lineRule="auto"/>
        <w:jc w:val="center"/>
        <w:rPr>
          <w:rFonts w:ascii="Book Antiqua" w:hAnsi="Book Antiqua"/>
          <w:bCs/>
          <w:color w:val="000000"/>
        </w:rPr>
      </w:pPr>
      <w:r w:rsidRPr="00A64999">
        <w:rPr>
          <w:rFonts w:ascii="Book Antiqua" w:hAnsi="Book Antiqua"/>
          <w:bCs/>
          <w:color w:val="000000"/>
        </w:rPr>
        <w:t xml:space="preserve">de los Juzgados Penales durante </w:t>
      </w:r>
      <w:r w:rsidR="003E16F3" w:rsidRPr="00A64999">
        <w:rPr>
          <w:rFonts w:ascii="Book Antiqua" w:hAnsi="Book Antiqua"/>
          <w:bCs/>
          <w:color w:val="000000"/>
        </w:rPr>
        <w:t>setiembre</w:t>
      </w:r>
      <w:r w:rsidRPr="00A64999">
        <w:rPr>
          <w:rFonts w:ascii="Book Antiqua" w:hAnsi="Book Antiqua"/>
          <w:bCs/>
          <w:color w:val="000000"/>
        </w:rPr>
        <w:t xml:space="preserve"> de 2021</w:t>
      </w:r>
    </w:p>
    <w:p w14:paraId="7BCC6192" w14:textId="77777777" w:rsidR="00F75E3A" w:rsidRPr="00336B79" w:rsidRDefault="00F75E3A" w:rsidP="00F75E3A">
      <w:pPr>
        <w:spacing w:line="276" w:lineRule="auto"/>
        <w:jc w:val="center"/>
        <w:rPr>
          <w:rFonts w:ascii="Book Antiqua" w:hAnsi="Book Antiqua"/>
          <w:b/>
          <w:color w:val="000000"/>
        </w:rPr>
      </w:pPr>
    </w:p>
    <w:p w14:paraId="6AC82B6D" w14:textId="499DE2FB" w:rsidR="00F75E3A" w:rsidRDefault="003E16F3" w:rsidP="00F75E3A">
      <w:pPr>
        <w:spacing w:line="276" w:lineRule="auto"/>
        <w:jc w:val="center"/>
        <w:rPr>
          <w:rFonts w:ascii="Book Antiqua" w:hAnsi="Book Antiqua"/>
          <w:color w:val="000000" w:themeColor="text1"/>
          <w:highlight w:val="green"/>
        </w:rPr>
      </w:pPr>
      <w:r>
        <w:rPr>
          <w:noProof/>
        </w:rPr>
        <w:drawing>
          <wp:inline distT="0" distB="0" distL="0" distR="0" wp14:anchorId="49198542" wp14:editId="68BBB50F">
            <wp:extent cx="4817660" cy="2831844"/>
            <wp:effectExtent l="0" t="0" r="2540" b="6985"/>
            <wp:docPr id="17" name="Gráfico 17">
              <a:extLst xmlns:a="http://schemas.openxmlformats.org/drawingml/2006/main">
                <a:ext uri="{FF2B5EF4-FFF2-40B4-BE49-F238E27FC236}">
                  <a16:creationId xmlns:a16="http://schemas.microsoft.com/office/drawing/2014/main" id="{2AB7EDF3-B4CC-498E-8C56-AF40027188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C36EB83" w14:textId="311E8266" w:rsidR="00F75E3A" w:rsidRDefault="00F75E3A" w:rsidP="00F75E3A">
      <w:pPr>
        <w:spacing w:line="276" w:lineRule="auto"/>
        <w:jc w:val="center"/>
        <w:rPr>
          <w:rFonts w:ascii="Book Antiqua" w:hAnsi="Book Antiqua"/>
          <w:color w:val="000000"/>
          <w:sz w:val="20"/>
          <w:szCs w:val="20"/>
        </w:rPr>
      </w:pPr>
      <w:r w:rsidRPr="0013210E">
        <w:rPr>
          <w:rFonts w:ascii="Book Antiqua" w:hAnsi="Book Antiqua"/>
          <w:b/>
          <w:bCs/>
          <w:color w:val="000000"/>
          <w:sz w:val="20"/>
          <w:szCs w:val="20"/>
        </w:rPr>
        <w:t>Fuente:</w:t>
      </w:r>
      <w:r w:rsidRPr="00DE41EA">
        <w:rPr>
          <w:rFonts w:ascii="Book Antiqua" w:hAnsi="Book Antiqua"/>
          <w:color w:val="000000"/>
          <w:sz w:val="20"/>
          <w:szCs w:val="20"/>
        </w:rPr>
        <w:t xml:space="preserve"> </w:t>
      </w:r>
      <w:r>
        <w:rPr>
          <w:rFonts w:ascii="Book Antiqua" w:hAnsi="Book Antiqua"/>
          <w:color w:val="000000"/>
          <w:sz w:val="20"/>
          <w:szCs w:val="20"/>
        </w:rPr>
        <w:t>Matriz de indicadores de Gestión</w:t>
      </w:r>
    </w:p>
    <w:p w14:paraId="7A7D4AE8" w14:textId="33AFADE7" w:rsidR="00D961A1" w:rsidRDefault="00D961A1" w:rsidP="00F75E3A">
      <w:pPr>
        <w:spacing w:line="276" w:lineRule="auto"/>
        <w:jc w:val="center"/>
        <w:rPr>
          <w:rFonts w:ascii="Book Antiqua" w:hAnsi="Book Antiqua"/>
          <w:color w:val="000000"/>
          <w:sz w:val="20"/>
          <w:szCs w:val="20"/>
        </w:rPr>
      </w:pPr>
    </w:p>
    <w:p w14:paraId="75AF4810" w14:textId="77777777" w:rsidR="00D961A1" w:rsidRDefault="00D961A1" w:rsidP="00F75E3A">
      <w:pPr>
        <w:spacing w:line="276" w:lineRule="auto"/>
        <w:jc w:val="center"/>
        <w:rPr>
          <w:rFonts w:ascii="Book Antiqua" w:hAnsi="Book Antiqua"/>
          <w:color w:val="000000"/>
          <w:sz w:val="20"/>
          <w:szCs w:val="20"/>
        </w:rPr>
      </w:pPr>
    </w:p>
    <w:p w14:paraId="01F5BE43" w14:textId="2D65FBD1" w:rsidR="00F75E3A" w:rsidRPr="00A64999" w:rsidRDefault="6E3F4BE9" w:rsidP="57A79FF7">
      <w:pPr>
        <w:tabs>
          <w:tab w:val="left" w:pos="426"/>
        </w:tabs>
        <w:spacing w:line="276" w:lineRule="auto"/>
        <w:jc w:val="both"/>
        <w:rPr>
          <w:b/>
          <w:color w:val="000000" w:themeColor="text1"/>
          <w:lang w:eastAsia="es-CR"/>
        </w:rPr>
      </w:pPr>
      <w:r w:rsidRPr="57A79FF7">
        <w:rPr>
          <w:rFonts w:ascii="Book Antiqua" w:hAnsi="Book Antiqua"/>
          <w:b/>
          <w:bCs/>
          <w:color w:val="000000" w:themeColor="text1"/>
        </w:rPr>
        <w:t xml:space="preserve">8.1.2 </w:t>
      </w:r>
      <w:r w:rsidR="00F75E3A" w:rsidRPr="00A64999">
        <w:rPr>
          <w:rFonts w:ascii="Book Antiqua" w:hAnsi="Book Antiqua"/>
          <w:b/>
          <w:bCs/>
          <w:color w:val="000000" w:themeColor="text1"/>
        </w:rPr>
        <w:t>Tribunales Penales</w:t>
      </w:r>
    </w:p>
    <w:p w14:paraId="4B90B042" w14:textId="77777777" w:rsidR="00F75E3A" w:rsidRPr="00A64999" w:rsidRDefault="00F75E3A" w:rsidP="00F75E3A">
      <w:pPr>
        <w:pStyle w:val="Prrafodelista"/>
        <w:tabs>
          <w:tab w:val="left" w:pos="426"/>
        </w:tabs>
        <w:spacing w:line="276" w:lineRule="auto"/>
        <w:ind w:left="0"/>
        <w:jc w:val="both"/>
        <w:rPr>
          <w:rFonts w:ascii="Book Antiqua" w:hAnsi="Book Antiqua"/>
          <w:color w:val="000000" w:themeColor="text1"/>
        </w:rPr>
      </w:pPr>
    </w:p>
    <w:p w14:paraId="584B644F" w14:textId="77777777" w:rsidR="00A64999" w:rsidRPr="00A64999" w:rsidRDefault="00A64999" w:rsidP="00A64999">
      <w:pPr>
        <w:spacing w:line="276" w:lineRule="auto"/>
        <w:jc w:val="both"/>
        <w:rPr>
          <w:rFonts w:ascii="Book Antiqua" w:hAnsi="Book Antiqua"/>
          <w:b/>
          <w:color w:val="000000"/>
        </w:rPr>
      </w:pPr>
      <w:r w:rsidRPr="00A64999">
        <w:rPr>
          <w:rFonts w:ascii="Book Antiqua" w:hAnsi="Book Antiqua"/>
          <w:color w:val="000000"/>
        </w:rPr>
        <w:t>En los Tribunales Penales la actividad que se realiza con mayor proporción a nivel del personal de la judicatura es la de sentencia dictada con 1115 y recurso de apelación con 387 en una segunda posición. Mediante revisión de matrices de indicadores se logra determinar las principales labores de las personas juzgadoras, se tiene, además, el dictado de medidas alternas como una de las actividades que se realizan con más frecuencia.</w:t>
      </w:r>
    </w:p>
    <w:p w14:paraId="4B34BA83" w14:textId="77777777" w:rsidR="00F75E3A" w:rsidRPr="00A64999" w:rsidRDefault="00F75E3A" w:rsidP="00F75E3A">
      <w:pPr>
        <w:spacing w:line="276" w:lineRule="auto"/>
        <w:jc w:val="center"/>
        <w:rPr>
          <w:rFonts w:ascii="Book Antiqua" w:hAnsi="Book Antiqua"/>
          <w:color w:val="000000" w:themeColor="text1"/>
        </w:rPr>
      </w:pPr>
    </w:p>
    <w:p w14:paraId="40E40A0F" w14:textId="68FC1864" w:rsidR="006F775A" w:rsidRDefault="006F775A">
      <w:pPr>
        <w:rPr>
          <w:rFonts w:ascii="Book Antiqua" w:hAnsi="Book Antiqua"/>
          <w:b/>
          <w:color w:val="000000"/>
        </w:rPr>
      </w:pPr>
      <w:r>
        <w:rPr>
          <w:rFonts w:ascii="Book Antiqua" w:hAnsi="Book Antiqua"/>
          <w:b/>
          <w:color w:val="000000"/>
        </w:rPr>
        <w:br w:type="page"/>
      </w:r>
    </w:p>
    <w:p w14:paraId="2A409AE8" w14:textId="77777777" w:rsidR="00F75E3A" w:rsidRPr="00A64999" w:rsidRDefault="00F75E3A" w:rsidP="00F75E3A">
      <w:pPr>
        <w:spacing w:line="276" w:lineRule="auto"/>
        <w:jc w:val="center"/>
        <w:rPr>
          <w:rFonts w:ascii="Book Antiqua" w:hAnsi="Book Antiqua"/>
          <w:b/>
          <w:color w:val="000000"/>
        </w:rPr>
      </w:pPr>
    </w:p>
    <w:p w14:paraId="0762AC75" w14:textId="10638E57" w:rsidR="00F75E3A" w:rsidRPr="00A64999" w:rsidRDefault="00F75E3A" w:rsidP="00F75E3A">
      <w:pPr>
        <w:spacing w:line="276" w:lineRule="auto"/>
        <w:jc w:val="center"/>
        <w:rPr>
          <w:rFonts w:ascii="Book Antiqua" w:hAnsi="Book Antiqua"/>
          <w:b/>
          <w:color w:val="000000"/>
        </w:rPr>
      </w:pPr>
      <w:r w:rsidRPr="00A64999">
        <w:rPr>
          <w:rFonts w:ascii="Book Antiqua" w:hAnsi="Book Antiqua"/>
          <w:b/>
          <w:color w:val="000000"/>
        </w:rPr>
        <w:t xml:space="preserve">Gráfico </w:t>
      </w:r>
      <w:r w:rsidR="00A64999">
        <w:rPr>
          <w:rFonts w:ascii="Book Antiqua" w:hAnsi="Book Antiqua"/>
          <w:b/>
          <w:color w:val="000000"/>
        </w:rPr>
        <w:t>28</w:t>
      </w:r>
    </w:p>
    <w:p w14:paraId="6F7EB129" w14:textId="77777777" w:rsidR="00F75E3A" w:rsidRPr="00A64999" w:rsidRDefault="00F75E3A" w:rsidP="00F75E3A">
      <w:pPr>
        <w:spacing w:line="276" w:lineRule="auto"/>
        <w:jc w:val="center"/>
        <w:rPr>
          <w:rFonts w:ascii="Book Antiqua" w:hAnsi="Book Antiqua"/>
          <w:bCs/>
          <w:color w:val="000000"/>
        </w:rPr>
      </w:pPr>
      <w:r w:rsidRPr="00A64999">
        <w:rPr>
          <w:rFonts w:ascii="Book Antiqua" w:hAnsi="Book Antiqua"/>
          <w:bCs/>
          <w:color w:val="000000"/>
        </w:rPr>
        <w:t>Actividades principales efectuadas por el personal de la judicatura</w:t>
      </w:r>
    </w:p>
    <w:p w14:paraId="6A5F559F" w14:textId="0B6BC163" w:rsidR="00F75E3A" w:rsidRPr="00B5501E" w:rsidRDefault="00F75E3A" w:rsidP="00F75E3A">
      <w:pPr>
        <w:spacing w:line="276" w:lineRule="auto"/>
        <w:jc w:val="center"/>
        <w:rPr>
          <w:rFonts w:ascii="Book Antiqua" w:hAnsi="Book Antiqua"/>
          <w:bCs/>
          <w:color w:val="000000"/>
        </w:rPr>
      </w:pPr>
      <w:r w:rsidRPr="00A64999">
        <w:rPr>
          <w:rFonts w:ascii="Book Antiqua" w:hAnsi="Book Antiqua"/>
          <w:bCs/>
          <w:color w:val="000000"/>
        </w:rPr>
        <w:t xml:space="preserve">de los Tribunales Penales durante </w:t>
      </w:r>
      <w:r w:rsidR="00D961A1" w:rsidRPr="00A64999">
        <w:rPr>
          <w:rFonts w:ascii="Book Antiqua" w:hAnsi="Book Antiqua"/>
          <w:bCs/>
          <w:color w:val="000000"/>
        </w:rPr>
        <w:t>setiembre</w:t>
      </w:r>
      <w:r w:rsidRPr="00A64999">
        <w:rPr>
          <w:rFonts w:ascii="Book Antiqua" w:hAnsi="Book Antiqua"/>
          <w:bCs/>
          <w:color w:val="000000"/>
        </w:rPr>
        <w:t xml:space="preserve"> de 2021</w:t>
      </w:r>
    </w:p>
    <w:p w14:paraId="6664ABF8" w14:textId="7095C829" w:rsidR="00F75E3A" w:rsidRDefault="00D961A1" w:rsidP="00F75E3A">
      <w:pPr>
        <w:spacing w:line="276" w:lineRule="auto"/>
        <w:jc w:val="center"/>
        <w:rPr>
          <w:rFonts w:ascii="Book Antiqua" w:hAnsi="Book Antiqua"/>
          <w:color w:val="000000" w:themeColor="text1"/>
          <w:highlight w:val="green"/>
        </w:rPr>
      </w:pPr>
      <w:r>
        <w:rPr>
          <w:noProof/>
        </w:rPr>
        <w:drawing>
          <wp:inline distT="0" distB="0" distL="0" distR="0" wp14:anchorId="3D2CC3BB" wp14:editId="06595E0C">
            <wp:extent cx="4333741" cy="2286000"/>
            <wp:effectExtent l="0" t="0" r="0" b="0"/>
            <wp:docPr id="36" name="Gráfico 36">
              <a:extLst xmlns:a="http://schemas.openxmlformats.org/drawingml/2006/main">
                <a:ext uri="{FF2B5EF4-FFF2-40B4-BE49-F238E27FC236}">
                  <a16:creationId xmlns:a16="http://schemas.microsoft.com/office/drawing/2014/main" id="{AFAE8848-6013-4720-9402-3F9CEF6085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F2648EC" w14:textId="77777777" w:rsidR="00F75E3A" w:rsidRDefault="00F75E3A" w:rsidP="00F75E3A">
      <w:pPr>
        <w:spacing w:line="276" w:lineRule="auto"/>
        <w:jc w:val="center"/>
        <w:rPr>
          <w:rFonts w:ascii="Book Antiqua" w:hAnsi="Book Antiqua"/>
          <w:color w:val="000000"/>
          <w:sz w:val="20"/>
          <w:szCs w:val="20"/>
        </w:rPr>
      </w:pPr>
      <w:r w:rsidRPr="0013210E">
        <w:rPr>
          <w:rFonts w:ascii="Book Antiqua" w:hAnsi="Book Antiqua"/>
          <w:b/>
          <w:bCs/>
          <w:color w:val="000000"/>
          <w:sz w:val="20"/>
          <w:szCs w:val="20"/>
        </w:rPr>
        <w:t>Fuente:</w:t>
      </w:r>
      <w:r w:rsidRPr="00DE41EA">
        <w:rPr>
          <w:rFonts w:ascii="Book Antiqua" w:hAnsi="Book Antiqua"/>
          <w:color w:val="000000"/>
          <w:sz w:val="20"/>
          <w:szCs w:val="20"/>
        </w:rPr>
        <w:t xml:space="preserve"> </w:t>
      </w:r>
      <w:r>
        <w:rPr>
          <w:rFonts w:ascii="Book Antiqua" w:hAnsi="Book Antiqua"/>
          <w:color w:val="000000"/>
          <w:sz w:val="20"/>
          <w:szCs w:val="20"/>
        </w:rPr>
        <w:t>Matriz de indicadores de Gestión</w:t>
      </w:r>
    </w:p>
    <w:p w14:paraId="3AC85AEE" w14:textId="77777777" w:rsidR="00F75E3A" w:rsidRDefault="00F75E3A" w:rsidP="00F75E3A">
      <w:pPr>
        <w:spacing w:line="276" w:lineRule="auto"/>
        <w:jc w:val="center"/>
        <w:rPr>
          <w:rFonts w:ascii="Book Antiqua" w:hAnsi="Book Antiqua"/>
          <w:color w:val="000000" w:themeColor="text1"/>
          <w:highlight w:val="green"/>
        </w:rPr>
      </w:pPr>
    </w:p>
    <w:p w14:paraId="33552418" w14:textId="77777777" w:rsidR="00F75E3A" w:rsidRDefault="00F75E3A" w:rsidP="00F75E3A">
      <w:pPr>
        <w:spacing w:line="276" w:lineRule="auto"/>
        <w:jc w:val="center"/>
        <w:rPr>
          <w:rFonts w:ascii="Book Antiqua" w:hAnsi="Book Antiqua"/>
          <w:color w:val="000000" w:themeColor="text1"/>
          <w:highlight w:val="green"/>
        </w:rPr>
      </w:pPr>
    </w:p>
    <w:p w14:paraId="64567912" w14:textId="3645954D" w:rsidR="00F75E3A" w:rsidRPr="007E3C3C" w:rsidRDefault="1796727D" w:rsidP="57A79FF7">
      <w:pPr>
        <w:tabs>
          <w:tab w:val="left" w:pos="426"/>
        </w:tabs>
        <w:spacing w:line="276" w:lineRule="auto"/>
        <w:jc w:val="both"/>
        <w:rPr>
          <w:b/>
          <w:color w:val="000000" w:themeColor="text1"/>
          <w:lang w:eastAsia="es-CR"/>
        </w:rPr>
      </w:pPr>
      <w:r w:rsidRPr="57A79FF7">
        <w:rPr>
          <w:rFonts w:ascii="Book Antiqua" w:hAnsi="Book Antiqua"/>
          <w:b/>
          <w:bCs/>
          <w:color w:val="000000" w:themeColor="text1"/>
        </w:rPr>
        <w:t xml:space="preserve">8.1.3 </w:t>
      </w:r>
      <w:r w:rsidR="00F75E3A" w:rsidRPr="007E3C3C">
        <w:rPr>
          <w:rFonts w:ascii="Book Antiqua" w:hAnsi="Book Antiqua"/>
          <w:b/>
          <w:bCs/>
          <w:color w:val="000000" w:themeColor="text1"/>
        </w:rPr>
        <w:t>Tribunal y Secciones de Flagrancia</w:t>
      </w:r>
    </w:p>
    <w:p w14:paraId="646F84E6" w14:textId="77777777" w:rsidR="00F75E3A" w:rsidRPr="007E3C3C" w:rsidRDefault="00F75E3A" w:rsidP="00F75E3A">
      <w:pPr>
        <w:pStyle w:val="Prrafodelista"/>
        <w:tabs>
          <w:tab w:val="left" w:pos="426"/>
        </w:tabs>
        <w:spacing w:line="276" w:lineRule="auto"/>
        <w:ind w:left="0"/>
        <w:jc w:val="both"/>
        <w:rPr>
          <w:rFonts w:ascii="Book Antiqua" w:hAnsi="Book Antiqua"/>
          <w:color w:val="000000" w:themeColor="text1"/>
        </w:rPr>
      </w:pPr>
    </w:p>
    <w:p w14:paraId="7E4ED928" w14:textId="621397CB" w:rsidR="007E3C3C" w:rsidRPr="0085115E" w:rsidRDefault="007E3C3C" w:rsidP="007E3C3C">
      <w:pPr>
        <w:spacing w:line="276" w:lineRule="auto"/>
        <w:jc w:val="both"/>
        <w:rPr>
          <w:rFonts w:ascii="Book Antiqua" w:hAnsi="Book Antiqua"/>
          <w:color w:val="000000"/>
        </w:rPr>
      </w:pPr>
      <w:r w:rsidRPr="007E3C3C">
        <w:rPr>
          <w:rFonts w:ascii="Book Antiqua" w:hAnsi="Book Antiqua"/>
          <w:color w:val="000000"/>
        </w:rPr>
        <w:t xml:space="preserve">En materia de Flagrancia, se toma cómo referente de las principales actividades a nivel de judicatura las audiencias iniciales, las medidas alternas y la cantidad de sentencias dictadas, </w:t>
      </w:r>
      <w:r w:rsidR="00F353FF" w:rsidRPr="007E3C3C">
        <w:rPr>
          <w:rFonts w:ascii="Book Antiqua" w:hAnsi="Book Antiqua"/>
          <w:color w:val="000000"/>
        </w:rPr>
        <w:t>debido a</w:t>
      </w:r>
      <w:r w:rsidRPr="007E3C3C">
        <w:rPr>
          <w:rFonts w:ascii="Book Antiqua" w:hAnsi="Book Antiqua"/>
          <w:color w:val="000000"/>
        </w:rPr>
        <w:t xml:space="preserve"> lo anterior, se procedió a realizar un conteo de las mismas durante el mes en estudio, obteniendo cómo resultado que las personas juzgadoras realizaron un total de 802 audiencias iniciales, 601 sentencias dictadas y se lograron un total de 438 medidas alternas.</w:t>
      </w:r>
    </w:p>
    <w:p w14:paraId="2F322FE6" w14:textId="77777777" w:rsidR="00F75E3A" w:rsidRPr="007E3C3C" w:rsidRDefault="00F75E3A" w:rsidP="00F75E3A">
      <w:pPr>
        <w:spacing w:line="276" w:lineRule="auto"/>
        <w:jc w:val="center"/>
        <w:rPr>
          <w:rFonts w:ascii="Book Antiqua" w:hAnsi="Book Antiqua"/>
          <w:color w:val="000000" w:themeColor="text1"/>
        </w:rPr>
      </w:pPr>
    </w:p>
    <w:p w14:paraId="4F513D0C" w14:textId="77777777" w:rsidR="006F775A" w:rsidRDefault="006F775A">
      <w:pPr>
        <w:rPr>
          <w:rFonts w:ascii="Book Antiqua" w:hAnsi="Book Antiqua"/>
          <w:b/>
          <w:color w:val="000000"/>
        </w:rPr>
      </w:pPr>
      <w:r>
        <w:rPr>
          <w:rFonts w:ascii="Book Antiqua" w:hAnsi="Book Antiqua"/>
          <w:b/>
          <w:color w:val="000000"/>
        </w:rPr>
        <w:br w:type="page"/>
      </w:r>
    </w:p>
    <w:p w14:paraId="33644407" w14:textId="0B838350" w:rsidR="00F75E3A" w:rsidRPr="007E3C3C" w:rsidRDefault="00F75E3A" w:rsidP="00F75E3A">
      <w:pPr>
        <w:spacing w:line="276" w:lineRule="auto"/>
        <w:jc w:val="center"/>
        <w:rPr>
          <w:rFonts w:ascii="Book Antiqua" w:hAnsi="Book Antiqua"/>
          <w:b/>
          <w:color w:val="000000"/>
        </w:rPr>
      </w:pPr>
      <w:r w:rsidRPr="007E3C3C">
        <w:rPr>
          <w:rFonts w:ascii="Book Antiqua" w:hAnsi="Book Antiqua"/>
          <w:b/>
          <w:color w:val="000000"/>
        </w:rPr>
        <w:t xml:space="preserve">Gráfico </w:t>
      </w:r>
      <w:r w:rsidR="007E3C3C">
        <w:rPr>
          <w:rFonts w:ascii="Book Antiqua" w:hAnsi="Book Antiqua"/>
          <w:b/>
          <w:color w:val="000000"/>
        </w:rPr>
        <w:t>29</w:t>
      </w:r>
    </w:p>
    <w:p w14:paraId="2892803C" w14:textId="77777777" w:rsidR="00F75E3A" w:rsidRPr="007E3C3C" w:rsidRDefault="00F75E3A" w:rsidP="00F75E3A">
      <w:pPr>
        <w:spacing w:line="276" w:lineRule="auto"/>
        <w:jc w:val="center"/>
        <w:rPr>
          <w:rFonts w:ascii="Book Antiqua" w:hAnsi="Book Antiqua"/>
          <w:bCs/>
          <w:color w:val="000000"/>
        </w:rPr>
      </w:pPr>
      <w:r w:rsidRPr="007E3C3C">
        <w:rPr>
          <w:rFonts w:ascii="Book Antiqua" w:hAnsi="Book Antiqua"/>
          <w:bCs/>
          <w:color w:val="000000"/>
        </w:rPr>
        <w:t>Actividades principales efectuadas por el personal de la judicatura</w:t>
      </w:r>
    </w:p>
    <w:p w14:paraId="174E4069" w14:textId="38A29CFB" w:rsidR="00F75E3A" w:rsidRPr="00B5501E" w:rsidRDefault="00F75E3A" w:rsidP="00F75E3A">
      <w:pPr>
        <w:spacing w:line="276" w:lineRule="auto"/>
        <w:jc w:val="center"/>
        <w:rPr>
          <w:rFonts w:ascii="Book Antiqua" w:hAnsi="Book Antiqua"/>
          <w:bCs/>
          <w:color w:val="000000"/>
        </w:rPr>
      </w:pPr>
      <w:r w:rsidRPr="007E3C3C">
        <w:rPr>
          <w:rFonts w:ascii="Book Antiqua" w:hAnsi="Book Antiqua"/>
          <w:bCs/>
          <w:color w:val="000000"/>
        </w:rPr>
        <w:t>de los Tribunales y Secciones de Flagrancia durante setiembre de 2021</w:t>
      </w:r>
    </w:p>
    <w:p w14:paraId="3009C1FB" w14:textId="77777777" w:rsidR="00F75E3A" w:rsidRDefault="00F75E3A" w:rsidP="00F75E3A">
      <w:pPr>
        <w:spacing w:line="276" w:lineRule="auto"/>
        <w:jc w:val="center"/>
        <w:rPr>
          <w:rFonts w:ascii="Book Antiqua" w:hAnsi="Book Antiqua"/>
          <w:color w:val="000000" w:themeColor="text1"/>
          <w:highlight w:val="green"/>
        </w:rPr>
      </w:pPr>
    </w:p>
    <w:p w14:paraId="016378C1" w14:textId="65CCAD4E" w:rsidR="00F75E3A" w:rsidRDefault="003C52D1" w:rsidP="00F75E3A">
      <w:pPr>
        <w:spacing w:line="276" w:lineRule="auto"/>
        <w:jc w:val="center"/>
        <w:rPr>
          <w:rFonts w:ascii="Book Antiqua" w:hAnsi="Book Antiqua"/>
          <w:color w:val="000000" w:themeColor="text1"/>
          <w:highlight w:val="green"/>
        </w:rPr>
      </w:pPr>
      <w:r>
        <w:rPr>
          <w:noProof/>
        </w:rPr>
        <w:drawing>
          <wp:inline distT="0" distB="0" distL="0" distR="0" wp14:anchorId="78216831" wp14:editId="36C75580">
            <wp:extent cx="4475408" cy="2601533"/>
            <wp:effectExtent l="0" t="0" r="1905" b="8890"/>
            <wp:docPr id="45" name="Gráfico 45">
              <a:extLst xmlns:a="http://schemas.openxmlformats.org/drawingml/2006/main">
                <a:ext uri="{FF2B5EF4-FFF2-40B4-BE49-F238E27FC236}">
                  <a16:creationId xmlns:a16="http://schemas.microsoft.com/office/drawing/2014/main" id="{17552E22-285A-4347-8E22-1C55079B9F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01C2AED" w14:textId="77777777" w:rsidR="00F75E3A" w:rsidRDefault="00F75E3A" w:rsidP="00F75E3A">
      <w:pPr>
        <w:spacing w:line="276" w:lineRule="auto"/>
        <w:jc w:val="center"/>
        <w:rPr>
          <w:rFonts w:ascii="Book Antiqua" w:hAnsi="Book Antiqua"/>
          <w:color w:val="000000"/>
          <w:sz w:val="20"/>
          <w:szCs w:val="20"/>
        </w:rPr>
      </w:pPr>
      <w:r w:rsidRPr="0013210E">
        <w:rPr>
          <w:rFonts w:ascii="Book Antiqua" w:hAnsi="Book Antiqua"/>
          <w:b/>
          <w:bCs/>
          <w:color w:val="000000"/>
          <w:sz w:val="20"/>
          <w:szCs w:val="20"/>
        </w:rPr>
        <w:t>Fuente:</w:t>
      </w:r>
      <w:r w:rsidRPr="00DE41EA">
        <w:rPr>
          <w:rFonts w:ascii="Book Antiqua" w:hAnsi="Book Antiqua"/>
          <w:color w:val="000000"/>
          <w:sz w:val="20"/>
          <w:szCs w:val="20"/>
        </w:rPr>
        <w:t xml:space="preserve"> </w:t>
      </w:r>
      <w:r>
        <w:rPr>
          <w:rFonts w:ascii="Book Antiqua" w:hAnsi="Book Antiqua"/>
          <w:color w:val="000000"/>
          <w:sz w:val="20"/>
          <w:szCs w:val="20"/>
        </w:rPr>
        <w:t>Matriz de indicadores de Gestión</w:t>
      </w:r>
    </w:p>
    <w:p w14:paraId="33A7A363" w14:textId="77777777" w:rsidR="00F75E3A" w:rsidRDefault="00F75E3A" w:rsidP="00F75E3A">
      <w:pPr>
        <w:spacing w:line="276" w:lineRule="auto"/>
        <w:jc w:val="center"/>
        <w:rPr>
          <w:rFonts w:ascii="Book Antiqua" w:hAnsi="Book Antiqua"/>
          <w:color w:val="000000"/>
          <w:sz w:val="20"/>
          <w:szCs w:val="20"/>
        </w:rPr>
      </w:pPr>
    </w:p>
    <w:p w14:paraId="4133D160" w14:textId="77777777" w:rsidR="00F75E3A" w:rsidRDefault="00F75E3A" w:rsidP="00F75E3A">
      <w:pPr>
        <w:spacing w:line="276" w:lineRule="auto"/>
        <w:jc w:val="center"/>
        <w:rPr>
          <w:rFonts w:ascii="Book Antiqua" w:hAnsi="Book Antiqua"/>
          <w:color w:val="000000"/>
          <w:sz w:val="20"/>
          <w:szCs w:val="20"/>
        </w:rPr>
      </w:pPr>
    </w:p>
    <w:p w14:paraId="7BF4237E" w14:textId="70E48B8F" w:rsidR="00F75E3A" w:rsidRPr="00372E35" w:rsidRDefault="30BA60B4" w:rsidP="57A79FF7">
      <w:pPr>
        <w:tabs>
          <w:tab w:val="left" w:pos="426"/>
        </w:tabs>
        <w:spacing w:line="276" w:lineRule="auto"/>
        <w:jc w:val="both"/>
        <w:rPr>
          <w:b/>
          <w:color w:val="000000" w:themeColor="text1"/>
          <w:lang w:eastAsia="es-CR"/>
        </w:rPr>
      </w:pPr>
      <w:r w:rsidRPr="57A79FF7">
        <w:rPr>
          <w:rFonts w:ascii="Book Antiqua" w:hAnsi="Book Antiqua"/>
          <w:b/>
          <w:bCs/>
          <w:color w:val="000000" w:themeColor="text1"/>
        </w:rPr>
        <w:t xml:space="preserve">8.1.4 </w:t>
      </w:r>
      <w:r w:rsidR="00F75E3A" w:rsidRPr="00372E35">
        <w:rPr>
          <w:rFonts w:ascii="Book Antiqua" w:hAnsi="Book Antiqua"/>
          <w:b/>
          <w:bCs/>
          <w:color w:val="000000" w:themeColor="text1"/>
        </w:rPr>
        <w:t>Juzgados de Ejecución de la Pena</w:t>
      </w:r>
    </w:p>
    <w:p w14:paraId="60028DE2" w14:textId="77777777" w:rsidR="00F75E3A" w:rsidRPr="000549BF" w:rsidRDefault="00F75E3A" w:rsidP="00F75E3A">
      <w:pPr>
        <w:pStyle w:val="Prrafodelista"/>
        <w:tabs>
          <w:tab w:val="left" w:pos="426"/>
        </w:tabs>
        <w:spacing w:line="276" w:lineRule="auto"/>
        <w:ind w:left="0"/>
        <w:jc w:val="both"/>
        <w:rPr>
          <w:rFonts w:ascii="Book Antiqua" w:hAnsi="Book Antiqua"/>
          <w:color w:val="000000" w:themeColor="text1"/>
        </w:rPr>
      </w:pPr>
    </w:p>
    <w:p w14:paraId="5D0A13B5" w14:textId="219F1F59" w:rsidR="00F75E3A" w:rsidRDefault="00F75E3A" w:rsidP="00F75E3A">
      <w:pPr>
        <w:spacing w:line="276" w:lineRule="auto"/>
        <w:jc w:val="both"/>
        <w:rPr>
          <w:rFonts w:ascii="Book Antiqua" w:hAnsi="Book Antiqua"/>
          <w:b/>
          <w:color w:val="000000"/>
        </w:rPr>
      </w:pPr>
      <w:r w:rsidRPr="00D45FE2">
        <w:rPr>
          <w:rFonts w:ascii="Book Antiqua" w:hAnsi="Book Antiqua"/>
          <w:color w:val="000000" w:themeColor="text1"/>
        </w:rPr>
        <w:t>El personal de la judicatura de los Juzgados de Ejecución de la Pena firmó 5</w:t>
      </w:r>
      <w:r w:rsidR="007E3C3C">
        <w:rPr>
          <w:rFonts w:ascii="Book Antiqua" w:hAnsi="Book Antiqua"/>
          <w:color w:val="000000" w:themeColor="text1"/>
        </w:rPr>
        <w:t>806</w:t>
      </w:r>
      <w:r w:rsidRPr="00D45FE2">
        <w:rPr>
          <w:rFonts w:ascii="Book Antiqua" w:hAnsi="Book Antiqua"/>
          <w:color w:val="000000" w:themeColor="text1"/>
        </w:rPr>
        <w:t xml:space="preserve"> expedientes y finalizaron 1</w:t>
      </w:r>
      <w:r w:rsidR="007E3C3C">
        <w:rPr>
          <w:rFonts w:ascii="Book Antiqua" w:hAnsi="Book Antiqua"/>
          <w:color w:val="000000" w:themeColor="text1"/>
        </w:rPr>
        <w:t>1301</w:t>
      </w:r>
      <w:r w:rsidRPr="00D45FE2">
        <w:rPr>
          <w:rFonts w:ascii="Book Antiqua" w:hAnsi="Book Antiqua"/>
          <w:color w:val="000000" w:themeColor="text1"/>
        </w:rPr>
        <w:t xml:space="preserve"> incidentes</w:t>
      </w:r>
      <w:r w:rsidRPr="00381FD4">
        <w:rPr>
          <w:rFonts w:ascii="Book Antiqua" w:hAnsi="Book Antiqua"/>
          <w:color w:val="000000" w:themeColor="text1"/>
        </w:rPr>
        <w:t xml:space="preserve">. </w:t>
      </w:r>
      <w:r w:rsidRPr="0010293C">
        <w:rPr>
          <w:rFonts w:ascii="Book Antiqua" w:hAnsi="Book Antiqua"/>
          <w:color w:val="000000"/>
        </w:rPr>
        <w:t xml:space="preserve">Mediante revisión de matrices de indicadores se logra determinar las principales labores de las personas juzgadoras, se tiene, además, </w:t>
      </w:r>
      <w:r>
        <w:rPr>
          <w:rFonts w:ascii="Book Antiqua" w:hAnsi="Book Antiqua"/>
          <w:color w:val="000000"/>
        </w:rPr>
        <w:t>la realización de audiencias</w:t>
      </w:r>
      <w:r w:rsidRPr="0010293C">
        <w:rPr>
          <w:rFonts w:ascii="Book Antiqua" w:hAnsi="Book Antiqua"/>
          <w:color w:val="000000"/>
        </w:rPr>
        <w:t xml:space="preserve"> como una de las actividades que se </w:t>
      </w:r>
      <w:r>
        <w:rPr>
          <w:rFonts w:ascii="Book Antiqua" w:hAnsi="Book Antiqua"/>
          <w:color w:val="000000"/>
        </w:rPr>
        <w:t>efectúa</w:t>
      </w:r>
      <w:r w:rsidRPr="0010293C">
        <w:rPr>
          <w:rFonts w:ascii="Book Antiqua" w:hAnsi="Book Antiqua"/>
          <w:color w:val="000000"/>
        </w:rPr>
        <w:t xml:space="preserve"> con más frecuencia.</w:t>
      </w:r>
    </w:p>
    <w:p w14:paraId="66A2E337" w14:textId="77777777" w:rsidR="00F75E3A" w:rsidRDefault="00F75E3A" w:rsidP="00F75E3A">
      <w:pPr>
        <w:spacing w:line="276" w:lineRule="auto"/>
        <w:jc w:val="both"/>
        <w:rPr>
          <w:rFonts w:ascii="Book Antiqua" w:hAnsi="Book Antiqua"/>
          <w:color w:val="000000" w:themeColor="text1"/>
        </w:rPr>
      </w:pPr>
    </w:p>
    <w:p w14:paraId="11F3945E" w14:textId="7A9FDCE8" w:rsidR="006F775A" w:rsidRDefault="006F775A">
      <w:pPr>
        <w:rPr>
          <w:rFonts w:ascii="Book Antiqua" w:hAnsi="Book Antiqua"/>
          <w:color w:val="000000" w:themeColor="text1"/>
          <w:highlight w:val="green"/>
        </w:rPr>
      </w:pPr>
      <w:r>
        <w:rPr>
          <w:rFonts w:ascii="Book Antiqua" w:hAnsi="Book Antiqua"/>
          <w:color w:val="000000" w:themeColor="text1"/>
          <w:highlight w:val="green"/>
        </w:rPr>
        <w:br w:type="page"/>
      </w:r>
    </w:p>
    <w:p w14:paraId="61EAB188" w14:textId="77777777" w:rsidR="00F75E3A" w:rsidRDefault="00F75E3A" w:rsidP="00F75E3A">
      <w:pPr>
        <w:spacing w:line="276" w:lineRule="auto"/>
        <w:jc w:val="center"/>
        <w:rPr>
          <w:rFonts w:ascii="Book Antiqua" w:hAnsi="Book Antiqua"/>
          <w:color w:val="000000" w:themeColor="text1"/>
          <w:highlight w:val="green"/>
        </w:rPr>
      </w:pPr>
    </w:p>
    <w:p w14:paraId="488F9664" w14:textId="72E6D942" w:rsidR="00F75E3A" w:rsidRPr="001F11BE" w:rsidRDefault="00F75E3A" w:rsidP="00F75E3A">
      <w:pPr>
        <w:spacing w:line="276" w:lineRule="auto"/>
        <w:jc w:val="center"/>
        <w:rPr>
          <w:rFonts w:ascii="Book Antiqua" w:hAnsi="Book Antiqua"/>
          <w:b/>
          <w:color w:val="000000"/>
        </w:rPr>
      </w:pPr>
      <w:r w:rsidRPr="001F11BE">
        <w:rPr>
          <w:rFonts w:ascii="Book Antiqua" w:hAnsi="Book Antiqua"/>
          <w:b/>
          <w:color w:val="000000"/>
        </w:rPr>
        <w:t xml:space="preserve">Gráfico </w:t>
      </w:r>
      <w:r w:rsidR="007E3C3C">
        <w:rPr>
          <w:rFonts w:ascii="Book Antiqua" w:hAnsi="Book Antiqua"/>
          <w:b/>
          <w:color w:val="000000"/>
        </w:rPr>
        <w:t>30</w:t>
      </w:r>
    </w:p>
    <w:p w14:paraId="478955AA" w14:textId="77777777" w:rsidR="00F75E3A" w:rsidRPr="00B5501E" w:rsidRDefault="00F75E3A" w:rsidP="00F75E3A">
      <w:pPr>
        <w:spacing w:line="276" w:lineRule="auto"/>
        <w:jc w:val="center"/>
        <w:rPr>
          <w:rFonts w:ascii="Book Antiqua" w:hAnsi="Book Antiqua"/>
          <w:bCs/>
          <w:color w:val="000000"/>
        </w:rPr>
      </w:pPr>
      <w:r w:rsidRPr="00B5501E">
        <w:rPr>
          <w:rFonts w:ascii="Book Antiqua" w:hAnsi="Book Antiqua"/>
          <w:bCs/>
          <w:color w:val="000000"/>
        </w:rPr>
        <w:t>Actividades principales efectuadas por el personal de la judicatura</w:t>
      </w:r>
    </w:p>
    <w:p w14:paraId="7AA844B4" w14:textId="03786AC2" w:rsidR="00F75E3A" w:rsidRPr="00B5501E" w:rsidRDefault="00F75E3A" w:rsidP="00F75E3A">
      <w:pPr>
        <w:spacing w:line="276" w:lineRule="auto"/>
        <w:jc w:val="center"/>
        <w:rPr>
          <w:rFonts w:ascii="Book Antiqua" w:hAnsi="Book Antiqua"/>
          <w:bCs/>
          <w:color w:val="000000"/>
        </w:rPr>
      </w:pPr>
      <w:r w:rsidRPr="00B5501E">
        <w:rPr>
          <w:rFonts w:ascii="Book Antiqua" w:hAnsi="Book Antiqua"/>
          <w:bCs/>
          <w:color w:val="000000"/>
        </w:rPr>
        <w:t xml:space="preserve">de los </w:t>
      </w:r>
      <w:r>
        <w:rPr>
          <w:rFonts w:ascii="Book Antiqua" w:hAnsi="Book Antiqua"/>
          <w:bCs/>
          <w:color w:val="000000"/>
        </w:rPr>
        <w:t>Juzgados de Ejecución de la Pena</w:t>
      </w:r>
      <w:r w:rsidRPr="00B5501E">
        <w:rPr>
          <w:rFonts w:ascii="Book Antiqua" w:hAnsi="Book Antiqua"/>
          <w:bCs/>
          <w:color w:val="000000"/>
        </w:rPr>
        <w:t xml:space="preserve"> durante </w:t>
      </w:r>
      <w:r w:rsidR="007E3C3C">
        <w:rPr>
          <w:rFonts w:ascii="Book Antiqua" w:hAnsi="Book Antiqua"/>
          <w:bCs/>
          <w:color w:val="000000"/>
        </w:rPr>
        <w:t>setiembre</w:t>
      </w:r>
      <w:r w:rsidRPr="00B5501E">
        <w:rPr>
          <w:rFonts w:ascii="Book Antiqua" w:hAnsi="Book Antiqua"/>
          <w:bCs/>
          <w:color w:val="000000"/>
        </w:rPr>
        <w:t xml:space="preserve"> de 2021</w:t>
      </w:r>
    </w:p>
    <w:p w14:paraId="2460A773" w14:textId="77777777" w:rsidR="00F75E3A" w:rsidRDefault="00F75E3A" w:rsidP="00F75E3A">
      <w:pPr>
        <w:spacing w:line="276" w:lineRule="auto"/>
        <w:jc w:val="center"/>
        <w:rPr>
          <w:rFonts w:ascii="Book Antiqua" w:hAnsi="Book Antiqua"/>
          <w:color w:val="000000" w:themeColor="text1"/>
          <w:highlight w:val="green"/>
        </w:rPr>
      </w:pPr>
    </w:p>
    <w:p w14:paraId="2B04BC92" w14:textId="254FACE3" w:rsidR="00F75E3A" w:rsidRDefault="007E3C3C" w:rsidP="00F75E3A">
      <w:pPr>
        <w:spacing w:line="276" w:lineRule="auto"/>
        <w:jc w:val="center"/>
        <w:rPr>
          <w:rFonts w:ascii="Book Antiqua" w:hAnsi="Book Antiqua"/>
          <w:color w:val="000000" w:themeColor="text1"/>
          <w:highlight w:val="green"/>
        </w:rPr>
      </w:pPr>
      <w:r>
        <w:rPr>
          <w:noProof/>
        </w:rPr>
        <w:drawing>
          <wp:inline distT="0" distB="0" distL="0" distR="0" wp14:anchorId="7CA83536" wp14:editId="3B865DDD">
            <wp:extent cx="3988014" cy="2274474"/>
            <wp:effectExtent l="0" t="0" r="0" b="0"/>
            <wp:docPr id="35" name="Gráfico 35">
              <a:extLst xmlns:a="http://schemas.openxmlformats.org/drawingml/2006/main">
                <a:ext uri="{FF2B5EF4-FFF2-40B4-BE49-F238E27FC236}">
                  <a16:creationId xmlns:a16="http://schemas.microsoft.com/office/drawing/2014/main" id="{E7A6DB64-9D88-4225-B95D-9EC3B4E166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FC3060D" w14:textId="77777777" w:rsidR="00F75E3A" w:rsidRDefault="00F75E3A" w:rsidP="00F75E3A">
      <w:pPr>
        <w:spacing w:line="276" w:lineRule="auto"/>
        <w:jc w:val="center"/>
        <w:rPr>
          <w:rFonts w:ascii="Book Antiqua" w:hAnsi="Book Antiqua"/>
          <w:color w:val="000000"/>
          <w:sz w:val="20"/>
          <w:szCs w:val="20"/>
        </w:rPr>
      </w:pPr>
      <w:r w:rsidRPr="0013210E">
        <w:rPr>
          <w:rFonts w:ascii="Book Antiqua" w:hAnsi="Book Antiqua"/>
          <w:b/>
          <w:bCs/>
          <w:color w:val="000000"/>
          <w:sz w:val="20"/>
          <w:szCs w:val="20"/>
        </w:rPr>
        <w:t>Fuente:</w:t>
      </w:r>
      <w:r w:rsidRPr="00DE41EA">
        <w:rPr>
          <w:rFonts w:ascii="Book Antiqua" w:hAnsi="Book Antiqua"/>
          <w:color w:val="000000"/>
          <w:sz w:val="20"/>
          <w:szCs w:val="20"/>
        </w:rPr>
        <w:t xml:space="preserve"> </w:t>
      </w:r>
      <w:r>
        <w:rPr>
          <w:rFonts w:ascii="Book Antiqua" w:hAnsi="Book Antiqua"/>
          <w:color w:val="000000"/>
          <w:sz w:val="20"/>
          <w:szCs w:val="20"/>
        </w:rPr>
        <w:t>Matriz de indicadores de Gestión</w:t>
      </w:r>
    </w:p>
    <w:p w14:paraId="27CC18D6" w14:textId="77777777" w:rsidR="00F75E3A" w:rsidRDefault="00F75E3A" w:rsidP="00F75E3A">
      <w:pPr>
        <w:spacing w:line="276" w:lineRule="auto"/>
        <w:rPr>
          <w:rFonts w:ascii="Book Antiqua" w:hAnsi="Book Antiqua"/>
          <w:color w:val="000000" w:themeColor="text1"/>
          <w:highlight w:val="green"/>
        </w:rPr>
      </w:pPr>
    </w:p>
    <w:p w14:paraId="5BE183CF" w14:textId="77777777" w:rsidR="00F75E3A" w:rsidRDefault="00F75E3A" w:rsidP="00F75E3A">
      <w:pPr>
        <w:spacing w:line="276" w:lineRule="auto"/>
        <w:rPr>
          <w:rFonts w:ascii="Book Antiqua" w:hAnsi="Book Antiqua"/>
          <w:color w:val="000000" w:themeColor="text1"/>
          <w:highlight w:val="green"/>
        </w:rPr>
      </w:pPr>
    </w:p>
    <w:p w14:paraId="758A93A2" w14:textId="24043DED" w:rsidR="00F75E3A" w:rsidRPr="00D45FE2" w:rsidRDefault="00F75E3A" w:rsidP="00F75E3A">
      <w:pPr>
        <w:spacing w:line="276" w:lineRule="auto"/>
        <w:jc w:val="both"/>
        <w:rPr>
          <w:rFonts w:ascii="Book Antiqua" w:hAnsi="Book Antiqua"/>
          <w:color w:val="000000" w:themeColor="text1"/>
        </w:rPr>
      </w:pPr>
      <w:r w:rsidRPr="00D45FE2">
        <w:rPr>
          <w:rFonts w:ascii="Book Antiqua" w:hAnsi="Book Antiqua"/>
          <w:color w:val="000000" w:themeColor="text1"/>
        </w:rPr>
        <w:t xml:space="preserve">Adicional, es importante mencionar que, conforme la información consignada en las matrices de indicadores, el promedio nacional de los juzgados de ejecución para la resolución de los incidentes de modificación de pena fue </w:t>
      </w:r>
      <w:r w:rsidR="007E3C3C">
        <w:rPr>
          <w:rFonts w:ascii="Book Antiqua" w:hAnsi="Book Antiqua"/>
          <w:color w:val="000000" w:themeColor="text1"/>
        </w:rPr>
        <w:t>58</w:t>
      </w:r>
      <w:r w:rsidRPr="00D45FE2">
        <w:rPr>
          <w:rFonts w:ascii="Book Antiqua" w:hAnsi="Book Antiqua"/>
          <w:color w:val="000000" w:themeColor="text1"/>
        </w:rPr>
        <w:t xml:space="preserve"> días naturales y </w:t>
      </w:r>
      <w:r w:rsidR="007E3C3C">
        <w:rPr>
          <w:rFonts w:ascii="Book Antiqua" w:hAnsi="Book Antiqua"/>
          <w:color w:val="000000" w:themeColor="text1"/>
        </w:rPr>
        <w:t>385</w:t>
      </w:r>
      <w:r w:rsidRPr="00D45FE2">
        <w:rPr>
          <w:rFonts w:ascii="Book Antiqua" w:hAnsi="Book Antiqua"/>
          <w:color w:val="000000" w:themeColor="text1"/>
        </w:rPr>
        <w:t xml:space="preserve"> días en finalizar un incidente de queja, lo cual según indican los despachos obedece a que los Centros Penitenciarios presentan los informes en plazos extensos.</w:t>
      </w:r>
    </w:p>
    <w:p w14:paraId="604E9C38" w14:textId="77777777" w:rsidR="00F75E3A" w:rsidRDefault="00F75E3A" w:rsidP="00F75E3A">
      <w:pPr>
        <w:spacing w:line="276" w:lineRule="auto"/>
        <w:jc w:val="center"/>
        <w:rPr>
          <w:rFonts w:ascii="Book Antiqua" w:hAnsi="Book Antiqua"/>
          <w:color w:val="000000" w:themeColor="text1"/>
          <w:highlight w:val="green"/>
        </w:rPr>
      </w:pPr>
    </w:p>
    <w:p w14:paraId="42CBFF9D" w14:textId="77777777" w:rsidR="00F75E3A" w:rsidRPr="00FC14FE" w:rsidRDefault="00F75E3A" w:rsidP="00F75E3A">
      <w:pPr>
        <w:spacing w:line="276" w:lineRule="auto"/>
        <w:jc w:val="center"/>
        <w:rPr>
          <w:rFonts w:ascii="Book Antiqua" w:hAnsi="Book Antiqua"/>
          <w:color w:val="000000" w:themeColor="text1"/>
        </w:rPr>
      </w:pPr>
    </w:p>
    <w:p w14:paraId="2719F9C3" w14:textId="3979D306" w:rsidR="00F75E3A" w:rsidRPr="00FC14FE" w:rsidRDefault="7F19E6A8" w:rsidP="57A79FF7">
      <w:pPr>
        <w:tabs>
          <w:tab w:val="left" w:pos="426"/>
        </w:tabs>
        <w:spacing w:line="276" w:lineRule="auto"/>
        <w:jc w:val="both"/>
        <w:rPr>
          <w:b/>
          <w:color w:val="000000" w:themeColor="text1"/>
          <w:lang w:eastAsia="es-CR"/>
        </w:rPr>
      </w:pPr>
      <w:r w:rsidRPr="57A79FF7">
        <w:rPr>
          <w:rFonts w:ascii="Book Antiqua" w:hAnsi="Book Antiqua"/>
          <w:b/>
          <w:bCs/>
          <w:color w:val="000000" w:themeColor="text1"/>
        </w:rPr>
        <w:t xml:space="preserve">8.1.4 </w:t>
      </w:r>
      <w:r w:rsidR="00F75E3A" w:rsidRPr="00FC14FE">
        <w:rPr>
          <w:rFonts w:ascii="Book Antiqua" w:hAnsi="Book Antiqua"/>
          <w:b/>
          <w:bCs/>
          <w:color w:val="000000" w:themeColor="text1"/>
        </w:rPr>
        <w:t>Tribunales de Apelación de Sentencia</w:t>
      </w:r>
    </w:p>
    <w:p w14:paraId="2A8F6B82" w14:textId="77777777" w:rsidR="00F75E3A" w:rsidRPr="000549BF" w:rsidRDefault="00F75E3A" w:rsidP="00F75E3A">
      <w:pPr>
        <w:pStyle w:val="Prrafodelista"/>
        <w:tabs>
          <w:tab w:val="left" w:pos="426"/>
        </w:tabs>
        <w:spacing w:line="276" w:lineRule="auto"/>
        <w:ind w:left="0"/>
        <w:jc w:val="both"/>
        <w:rPr>
          <w:rFonts w:ascii="Book Antiqua" w:hAnsi="Book Antiqua"/>
          <w:color w:val="000000" w:themeColor="text1"/>
        </w:rPr>
      </w:pPr>
    </w:p>
    <w:p w14:paraId="0AB9BBE1" w14:textId="41AD28D8" w:rsidR="007E3C3C" w:rsidRDefault="007E3C3C" w:rsidP="007E3C3C">
      <w:pPr>
        <w:spacing w:line="276" w:lineRule="auto"/>
        <w:jc w:val="both"/>
        <w:rPr>
          <w:rFonts w:ascii="Book Antiqua" w:hAnsi="Book Antiqua" w:cs="Arial"/>
        </w:rPr>
      </w:pPr>
      <w:r>
        <w:rPr>
          <w:rFonts w:ascii="Book Antiqua" w:hAnsi="Book Antiqua" w:cs="Arial"/>
        </w:rPr>
        <w:t>La principal labor realizada por los Tribunales de Apelación de Sentencia Penal fue el dictado de sentencias con 323, seguido por la revisión de proyectos con 157, las cuales corresponden a labores características de apelación de sentencia.</w:t>
      </w:r>
    </w:p>
    <w:p w14:paraId="6118039A" w14:textId="77777777" w:rsidR="00F75E3A" w:rsidRDefault="00F75E3A" w:rsidP="00F75E3A">
      <w:pPr>
        <w:spacing w:line="276" w:lineRule="auto"/>
        <w:jc w:val="center"/>
        <w:rPr>
          <w:rFonts w:ascii="Book Antiqua" w:hAnsi="Book Antiqua"/>
          <w:color w:val="000000" w:themeColor="text1"/>
          <w:highlight w:val="green"/>
        </w:rPr>
      </w:pPr>
    </w:p>
    <w:p w14:paraId="1BC55493" w14:textId="77777777" w:rsidR="006F775A" w:rsidRDefault="006F775A">
      <w:pPr>
        <w:rPr>
          <w:rFonts w:ascii="Book Antiqua" w:hAnsi="Book Antiqua"/>
          <w:b/>
          <w:color w:val="000000"/>
        </w:rPr>
      </w:pPr>
      <w:r>
        <w:rPr>
          <w:rFonts w:ascii="Book Antiqua" w:hAnsi="Book Antiqua"/>
          <w:b/>
          <w:color w:val="000000"/>
        </w:rPr>
        <w:br w:type="page"/>
      </w:r>
    </w:p>
    <w:p w14:paraId="714F05C1" w14:textId="03A994FD" w:rsidR="00F75E3A" w:rsidRPr="001F11BE" w:rsidRDefault="00F75E3A" w:rsidP="00F75E3A">
      <w:pPr>
        <w:spacing w:line="276" w:lineRule="auto"/>
        <w:jc w:val="center"/>
        <w:rPr>
          <w:rFonts w:ascii="Book Antiqua" w:hAnsi="Book Antiqua"/>
          <w:b/>
          <w:color w:val="000000"/>
        </w:rPr>
      </w:pPr>
      <w:r w:rsidRPr="001F11BE">
        <w:rPr>
          <w:rFonts w:ascii="Book Antiqua" w:hAnsi="Book Antiqua"/>
          <w:b/>
          <w:color w:val="000000"/>
        </w:rPr>
        <w:t xml:space="preserve">Gráfico </w:t>
      </w:r>
      <w:r w:rsidR="007E3C3C">
        <w:rPr>
          <w:rFonts w:ascii="Book Antiqua" w:hAnsi="Book Antiqua"/>
          <w:b/>
          <w:color w:val="000000"/>
        </w:rPr>
        <w:t>31</w:t>
      </w:r>
    </w:p>
    <w:p w14:paraId="7F9CC302" w14:textId="77777777" w:rsidR="00F75E3A" w:rsidRPr="00B5501E" w:rsidRDefault="00F75E3A" w:rsidP="00F75E3A">
      <w:pPr>
        <w:spacing w:line="276" w:lineRule="auto"/>
        <w:jc w:val="center"/>
        <w:rPr>
          <w:rFonts w:ascii="Book Antiqua" w:hAnsi="Book Antiqua"/>
          <w:bCs/>
          <w:color w:val="000000"/>
        </w:rPr>
      </w:pPr>
      <w:r w:rsidRPr="00B5501E">
        <w:rPr>
          <w:rFonts w:ascii="Book Antiqua" w:hAnsi="Book Antiqua"/>
          <w:bCs/>
          <w:color w:val="000000"/>
        </w:rPr>
        <w:t>Actividades principales efectuadas por el personal de la judicatura</w:t>
      </w:r>
    </w:p>
    <w:p w14:paraId="3BF21458" w14:textId="356914A4" w:rsidR="00F75E3A" w:rsidRPr="00B5501E" w:rsidRDefault="00F75E3A" w:rsidP="00F75E3A">
      <w:pPr>
        <w:spacing w:line="276" w:lineRule="auto"/>
        <w:jc w:val="center"/>
        <w:rPr>
          <w:rFonts w:ascii="Book Antiqua" w:hAnsi="Book Antiqua"/>
          <w:bCs/>
          <w:color w:val="000000"/>
        </w:rPr>
      </w:pPr>
      <w:r w:rsidRPr="00B5501E">
        <w:rPr>
          <w:rFonts w:ascii="Book Antiqua" w:hAnsi="Book Antiqua"/>
          <w:bCs/>
          <w:color w:val="000000"/>
        </w:rPr>
        <w:t xml:space="preserve">de los </w:t>
      </w:r>
      <w:r>
        <w:rPr>
          <w:rFonts w:ascii="Book Antiqua" w:hAnsi="Book Antiqua"/>
          <w:bCs/>
          <w:color w:val="000000"/>
        </w:rPr>
        <w:t>Tribunales de Apelación de Sentencia</w:t>
      </w:r>
      <w:r w:rsidRPr="00B5501E">
        <w:rPr>
          <w:rFonts w:ascii="Book Antiqua" w:hAnsi="Book Antiqua"/>
          <w:bCs/>
          <w:color w:val="000000"/>
        </w:rPr>
        <w:t xml:space="preserve"> durante </w:t>
      </w:r>
      <w:r w:rsidR="00926A73">
        <w:rPr>
          <w:rFonts w:ascii="Book Antiqua" w:hAnsi="Book Antiqua"/>
          <w:bCs/>
          <w:color w:val="000000"/>
        </w:rPr>
        <w:t>setiembre</w:t>
      </w:r>
      <w:r w:rsidRPr="00B5501E">
        <w:rPr>
          <w:rFonts w:ascii="Book Antiqua" w:hAnsi="Book Antiqua"/>
          <w:bCs/>
          <w:color w:val="000000"/>
        </w:rPr>
        <w:t xml:space="preserve"> de 2021</w:t>
      </w:r>
    </w:p>
    <w:p w14:paraId="51034E1B" w14:textId="77777777" w:rsidR="00F75E3A" w:rsidRDefault="00F75E3A" w:rsidP="00F75E3A">
      <w:pPr>
        <w:spacing w:line="276" w:lineRule="auto"/>
        <w:jc w:val="center"/>
        <w:rPr>
          <w:rFonts w:ascii="Book Antiqua" w:hAnsi="Book Antiqua"/>
          <w:b/>
          <w:bCs/>
          <w:color w:val="000000"/>
          <w:sz w:val="20"/>
          <w:szCs w:val="20"/>
        </w:rPr>
      </w:pPr>
    </w:p>
    <w:p w14:paraId="06D84F5C" w14:textId="0B3FB93C" w:rsidR="00F75E3A" w:rsidRDefault="00926A73" w:rsidP="00F75E3A">
      <w:pPr>
        <w:spacing w:line="276" w:lineRule="auto"/>
        <w:jc w:val="center"/>
        <w:rPr>
          <w:rFonts w:ascii="Book Antiqua" w:hAnsi="Book Antiqua"/>
          <w:b/>
          <w:bCs/>
          <w:color w:val="000000"/>
          <w:sz w:val="20"/>
          <w:szCs w:val="20"/>
        </w:rPr>
      </w:pPr>
      <w:r>
        <w:rPr>
          <w:noProof/>
        </w:rPr>
        <w:drawing>
          <wp:inline distT="0" distB="0" distL="0" distR="0" wp14:anchorId="26B1D963" wp14:editId="19921D19">
            <wp:extent cx="4487476" cy="2796988"/>
            <wp:effectExtent l="0" t="0" r="8890" b="3810"/>
            <wp:docPr id="37" name="Gráfico 37">
              <a:extLst xmlns:a="http://schemas.openxmlformats.org/drawingml/2006/main">
                <a:ext uri="{FF2B5EF4-FFF2-40B4-BE49-F238E27FC236}">
                  <a16:creationId xmlns:a16="http://schemas.microsoft.com/office/drawing/2014/main" id="{F8996D60-0632-48DF-BD9D-34A774E57B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3691EF7" w14:textId="77777777" w:rsidR="00F75E3A" w:rsidRDefault="00F75E3A" w:rsidP="00F75E3A">
      <w:pPr>
        <w:spacing w:line="276" w:lineRule="auto"/>
        <w:jc w:val="center"/>
        <w:rPr>
          <w:rFonts w:ascii="Book Antiqua" w:hAnsi="Book Antiqua"/>
          <w:color w:val="000000"/>
          <w:sz w:val="20"/>
          <w:szCs w:val="20"/>
        </w:rPr>
      </w:pPr>
      <w:r w:rsidRPr="0013210E">
        <w:rPr>
          <w:rFonts w:ascii="Book Antiqua" w:hAnsi="Book Antiqua"/>
          <w:b/>
          <w:bCs/>
          <w:color w:val="000000"/>
          <w:sz w:val="20"/>
          <w:szCs w:val="20"/>
        </w:rPr>
        <w:t>Fuente:</w:t>
      </w:r>
      <w:r w:rsidRPr="00DE41EA">
        <w:rPr>
          <w:rFonts w:ascii="Book Antiqua" w:hAnsi="Book Antiqua"/>
          <w:color w:val="000000"/>
          <w:sz w:val="20"/>
          <w:szCs w:val="20"/>
        </w:rPr>
        <w:t xml:space="preserve"> </w:t>
      </w:r>
      <w:r w:rsidRPr="002754DF">
        <w:rPr>
          <w:rFonts w:ascii="Book Antiqua" w:hAnsi="Book Antiqua"/>
          <w:color w:val="000000"/>
          <w:sz w:val="20"/>
          <w:szCs w:val="20"/>
        </w:rPr>
        <w:t>Elaboración propia a partir de datos suministrados por despachos según circular 61-2020</w:t>
      </w:r>
    </w:p>
    <w:p w14:paraId="62D5B974" w14:textId="77777777" w:rsidR="00F75E3A" w:rsidRDefault="00F75E3A" w:rsidP="00F75E3A">
      <w:pPr>
        <w:spacing w:line="276" w:lineRule="auto"/>
        <w:jc w:val="center"/>
        <w:rPr>
          <w:rFonts w:ascii="Book Antiqua" w:hAnsi="Book Antiqua"/>
          <w:color w:val="000000"/>
          <w:sz w:val="20"/>
          <w:szCs w:val="20"/>
        </w:rPr>
      </w:pPr>
    </w:p>
    <w:p w14:paraId="5DDA0D44" w14:textId="77777777" w:rsidR="00F75E3A" w:rsidRDefault="00F75E3A" w:rsidP="00F75E3A">
      <w:pPr>
        <w:spacing w:line="276" w:lineRule="auto"/>
        <w:rPr>
          <w:rFonts w:ascii="Book Antiqua" w:hAnsi="Book Antiqua"/>
          <w:color w:val="000000" w:themeColor="text1"/>
        </w:rPr>
      </w:pPr>
    </w:p>
    <w:p w14:paraId="113BD215" w14:textId="16087257" w:rsidR="00F75E3A" w:rsidRPr="007006E3" w:rsidRDefault="39666C13" w:rsidP="57A79FF7">
      <w:pPr>
        <w:tabs>
          <w:tab w:val="left" w:pos="426"/>
        </w:tabs>
        <w:spacing w:line="276" w:lineRule="auto"/>
        <w:jc w:val="both"/>
        <w:rPr>
          <w:color w:val="000000" w:themeColor="text1"/>
        </w:rPr>
      </w:pPr>
      <w:r w:rsidRPr="57A79FF7">
        <w:rPr>
          <w:rFonts w:ascii="Book Antiqua" w:hAnsi="Book Antiqua"/>
          <w:b/>
          <w:bCs/>
          <w:color w:val="000000" w:themeColor="text1"/>
        </w:rPr>
        <w:t xml:space="preserve">8.1.5 </w:t>
      </w:r>
      <w:r w:rsidR="00F75E3A" w:rsidRPr="007006E3">
        <w:rPr>
          <w:rFonts w:ascii="Book Antiqua" w:hAnsi="Book Antiqua"/>
          <w:b/>
          <w:bCs/>
          <w:color w:val="000000" w:themeColor="text1"/>
        </w:rPr>
        <w:t>Sala Tercera</w:t>
      </w:r>
    </w:p>
    <w:p w14:paraId="3EF72414" w14:textId="77777777" w:rsidR="00F75E3A" w:rsidRPr="000549BF" w:rsidRDefault="00F75E3A" w:rsidP="00F75E3A">
      <w:pPr>
        <w:pStyle w:val="Prrafodelista"/>
        <w:tabs>
          <w:tab w:val="left" w:pos="426"/>
        </w:tabs>
        <w:spacing w:line="276" w:lineRule="auto"/>
        <w:ind w:left="0"/>
        <w:jc w:val="both"/>
        <w:rPr>
          <w:rFonts w:ascii="Book Antiqua" w:hAnsi="Book Antiqua"/>
          <w:color w:val="000000" w:themeColor="text1"/>
        </w:rPr>
      </w:pPr>
    </w:p>
    <w:p w14:paraId="2A2FF2CD" w14:textId="59FB3341" w:rsidR="00F75E3A" w:rsidRDefault="00F75E3A" w:rsidP="00F75E3A">
      <w:pPr>
        <w:spacing w:line="276" w:lineRule="auto"/>
        <w:jc w:val="both"/>
        <w:rPr>
          <w:rFonts w:ascii="Book Antiqua" w:hAnsi="Book Antiqua"/>
          <w:color w:val="000000"/>
        </w:rPr>
      </w:pPr>
      <w:r w:rsidRPr="00372E35">
        <w:rPr>
          <w:rFonts w:ascii="Book Antiqua" w:hAnsi="Book Antiqua"/>
          <w:color w:val="000000"/>
        </w:rPr>
        <w:t xml:space="preserve">El personal Profesional de la Sala Tercera refleja la mayor cantidad de actividades en la variable </w:t>
      </w:r>
      <w:r>
        <w:rPr>
          <w:rFonts w:ascii="Book Antiqua" w:hAnsi="Book Antiqua"/>
          <w:color w:val="000000"/>
        </w:rPr>
        <w:t xml:space="preserve">de revisión de expedientes y resoluciones </w:t>
      </w:r>
      <w:r w:rsidR="00926A73">
        <w:rPr>
          <w:rFonts w:ascii="Book Antiqua" w:hAnsi="Book Antiqua"/>
          <w:color w:val="000000"/>
        </w:rPr>
        <w:t>327</w:t>
      </w:r>
      <w:r>
        <w:rPr>
          <w:rFonts w:ascii="Book Antiqua" w:hAnsi="Book Antiqua"/>
          <w:color w:val="000000"/>
        </w:rPr>
        <w:t xml:space="preserve">, </w:t>
      </w:r>
      <w:r w:rsidR="00926A73" w:rsidRPr="00372E35">
        <w:rPr>
          <w:rFonts w:ascii="Book Antiqua" w:hAnsi="Book Antiqua"/>
          <w:color w:val="000000"/>
        </w:rPr>
        <w:t>clasificación de jurisprudencia</w:t>
      </w:r>
      <w:r w:rsidRPr="00372E35">
        <w:rPr>
          <w:rFonts w:ascii="Book Antiqua" w:hAnsi="Book Antiqua"/>
          <w:color w:val="000000"/>
        </w:rPr>
        <w:t xml:space="preserve"> </w:t>
      </w:r>
      <w:r w:rsidR="00926A73">
        <w:rPr>
          <w:rFonts w:ascii="Book Antiqua" w:hAnsi="Book Antiqua"/>
          <w:color w:val="000000"/>
        </w:rPr>
        <w:t>218</w:t>
      </w:r>
      <w:r>
        <w:rPr>
          <w:rFonts w:ascii="Book Antiqua" w:hAnsi="Book Antiqua"/>
          <w:color w:val="000000"/>
        </w:rPr>
        <w:t xml:space="preserve">, </w:t>
      </w:r>
      <w:r w:rsidR="00926A73">
        <w:rPr>
          <w:rFonts w:ascii="Book Antiqua" w:hAnsi="Book Antiqua"/>
          <w:color w:val="000000"/>
        </w:rPr>
        <w:t>proyectos de resolución</w:t>
      </w:r>
      <w:r w:rsidR="00926A73" w:rsidRPr="00372E35">
        <w:rPr>
          <w:rFonts w:ascii="Book Antiqua" w:hAnsi="Book Antiqua"/>
          <w:color w:val="000000"/>
        </w:rPr>
        <w:t xml:space="preserve"> </w:t>
      </w:r>
      <w:r w:rsidR="00926A73">
        <w:rPr>
          <w:rFonts w:ascii="Book Antiqua" w:hAnsi="Book Antiqua"/>
          <w:color w:val="000000"/>
        </w:rPr>
        <w:t>125</w:t>
      </w:r>
      <w:r>
        <w:rPr>
          <w:rFonts w:ascii="Book Antiqua" w:hAnsi="Book Antiqua"/>
          <w:color w:val="000000"/>
        </w:rPr>
        <w:t xml:space="preserve"> </w:t>
      </w:r>
      <w:r w:rsidRPr="00372E35">
        <w:rPr>
          <w:rFonts w:ascii="Book Antiqua" w:hAnsi="Book Antiqua"/>
          <w:color w:val="000000"/>
        </w:rPr>
        <w:t xml:space="preserve">y </w:t>
      </w:r>
      <w:r w:rsidR="00926A73">
        <w:rPr>
          <w:rFonts w:ascii="Book Antiqua" w:hAnsi="Book Antiqua"/>
          <w:color w:val="000000"/>
        </w:rPr>
        <w:t xml:space="preserve">votaciones </w:t>
      </w:r>
      <w:r w:rsidRPr="00372E35">
        <w:rPr>
          <w:rFonts w:ascii="Book Antiqua" w:hAnsi="Book Antiqua"/>
          <w:color w:val="000000"/>
        </w:rPr>
        <w:t>1</w:t>
      </w:r>
      <w:r>
        <w:rPr>
          <w:rFonts w:ascii="Book Antiqua" w:hAnsi="Book Antiqua"/>
          <w:color w:val="000000"/>
        </w:rPr>
        <w:t>1</w:t>
      </w:r>
      <w:r w:rsidR="00926A73">
        <w:rPr>
          <w:rFonts w:ascii="Book Antiqua" w:hAnsi="Book Antiqua"/>
          <w:color w:val="000000"/>
        </w:rPr>
        <w:t>8</w:t>
      </w:r>
      <w:r w:rsidRPr="00372E35">
        <w:rPr>
          <w:rFonts w:ascii="Book Antiqua" w:hAnsi="Book Antiqua"/>
          <w:color w:val="000000"/>
        </w:rPr>
        <w:t xml:space="preserve">. </w:t>
      </w:r>
    </w:p>
    <w:p w14:paraId="0C826CA8" w14:textId="7C4A5AC0" w:rsidR="006F775A" w:rsidRDefault="006F775A">
      <w:pPr>
        <w:rPr>
          <w:rFonts w:ascii="Book Antiqua" w:hAnsi="Book Antiqua"/>
          <w:color w:val="000000" w:themeColor="text1"/>
        </w:rPr>
      </w:pPr>
      <w:r>
        <w:rPr>
          <w:rFonts w:ascii="Book Antiqua" w:hAnsi="Book Antiqua"/>
          <w:color w:val="000000" w:themeColor="text1"/>
        </w:rPr>
        <w:br w:type="page"/>
      </w:r>
    </w:p>
    <w:p w14:paraId="4B885F4D" w14:textId="77777777" w:rsidR="00F75E3A" w:rsidRDefault="00F75E3A" w:rsidP="00F75E3A">
      <w:pPr>
        <w:spacing w:line="276" w:lineRule="auto"/>
        <w:jc w:val="both"/>
        <w:rPr>
          <w:rFonts w:ascii="Book Antiqua" w:hAnsi="Book Antiqua"/>
          <w:color w:val="000000" w:themeColor="text1"/>
        </w:rPr>
      </w:pPr>
    </w:p>
    <w:p w14:paraId="028F15C4" w14:textId="4B9CA211" w:rsidR="00F75E3A" w:rsidRPr="001F11BE" w:rsidRDefault="00F75E3A" w:rsidP="00F75E3A">
      <w:pPr>
        <w:spacing w:line="276" w:lineRule="auto"/>
        <w:jc w:val="center"/>
        <w:rPr>
          <w:rFonts w:ascii="Book Antiqua" w:hAnsi="Book Antiqua"/>
          <w:b/>
          <w:color w:val="000000"/>
        </w:rPr>
      </w:pPr>
      <w:r w:rsidRPr="001F11BE">
        <w:rPr>
          <w:rFonts w:ascii="Book Antiqua" w:hAnsi="Book Antiqua"/>
          <w:b/>
          <w:color w:val="000000"/>
        </w:rPr>
        <w:t xml:space="preserve">Gráfico </w:t>
      </w:r>
      <w:r w:rsidR="00926A73">
        <w:rPr>
          <w:rFonts w:ascii="Book Antiqua" w:hAnsi="Book Antiqua"/>
          <w:b/>
          <w:color w:val="000000"/>
        </w:rPr>
        <w:t>32</w:t>
      </w:r>
    </w:p>
    <w:p w14:paraId="4642C48A" w14:textId="77777777" w:rsidR="00F75E3A" w:rsidRPr="00B5501E" w:rsidRDefault="00F75E3A" w:rsidP="00F75E3A">
      <w:pPr>
        <w:spacing w:line="276" w:lineRule="auto"/>
        <w:jc w:val="center"/>
        <w:rPr>
          <w:rFonts w:ascii="Book Antiqua" w:hAnsi="Book Antiqua"/>
          <w:bCs/>
          <w:color w:val="000000"/>
        </w:rPr>
      </w:pPr>
      <w:r w:rsidRPr="00B5501E">
        <w:rPr>
          <w:rFonts w:ascii="Book Antiqua" w:hAnsi="Book Antiqua"/>
          <w:bCs/>
          <w:color w:val="000000"/>
        </w:rPr>
        <w:t>Actividades principales efectuadas por el personal de la judicatura</w:t>
      </w:r>
    </w:p>
    <w:p w14:paraId="0A7AAECA" w14:textId="37EC676B" w:rsidR="00F75E3A" w:rsidRPr="00B5501E" w:rsidRDefault="00F75E3A" w:rsidP="00F75E3A">
      <w:pPr>
        <w:spacing w:line="276" w:lineRule="auto"/>
        <w:jc w:val="center"/>
        <w:rPr>
          <w:rFonts w:ascii="Book Antiqua" w:hAnsi="Book Antiqua"/>
          <w:bCs/>
          <w:color w:val="000000"/>
        </w:rPr>
      </w:pPr>
      <w:r w:rsidRPr="00B5501E">
        <w:rPr>
          <w:rFonts w:ascii="Book Antiqua" w:hAnsi="Book Antiqua"/>
          <w:bCs/>
          <w:color w:val="000000"/>
        </w:rPr>
        <w:t xml:space="preserve">de </w:t>
      </w:r>
      <w:r>
        <w:rPr>
          <w:rFonts w:ascii="Book Antiqua" w:hAnsi="Book Antiqua"/>
          <w:bCs/>
          <w:color w:val="000000"/>
        </w:rPr>
        <w:t>la Sala Tercera</w:t>
      </w:r>
      <w:r w:rsidRPr="00B5501E">
        <w:rPr>
          <w:rFonts w:ascii="Book Antiqua" w:hAnsi="Book Antiqua"/>
          <w:bCs/>
          <w:color w:val="000000"/>
        </w:rPr>
        <w:t xml:space="preserve"> durante </w:t>
      </w:r>
      <w:r w:rsidR="00926A73">
        <w:rPr>
          <w:rFonts w:ascii="Book Antiqua" w:hAnsi="Book Antiqua"/>
          <w:bCs/>
          <w:color w:val="000000"/>
        </w:rPr>
        <w:t>setiembre</w:t>
      </w:r>
      <w:r w:rsidRPr="00B5501E">
        <w:rPr>
          <w:rFonts w:ascii="Book Antiqua" w:hAnsi="Book Antiqua"/>
          <w:bCs/>
          <w:color w:val="000000"/>
        </w:rPr>
        <w:t xml:space="preserve"> de 2021</w:t>
      </w:r>
    </w:p>
    <w:p w14:paraId="1F903EE5" w14:textId="77777777" w:rsidR="00F75E3A" w:rsidRDefault="00F75E3A" w:rsidP="00F75E3A">
      <w:pPr>
        <w:spacing w:line="276" w:lineRule="auto"/>
        <w:rPr>
          <w:rFonts w:ascii="Book Antiqua" w:hAnsi="Book Antiqua"/>
          <w:color w:val="000000" w:themeColor="text1"/>
        </w:rPr>
      </w:pPr>
    </w:p>
    <w:p w14:paraId="7BC9A3EA" w14:textId="2DF171A9" w:rsidR="00F75E3A" w:rsidRDefault="00926A73" w:rsidP="00F75E3A">
      <w:pPr>
        <w:spacing w:line="276" w:lineRule="auto"/>
        <w:jc w:val="center"/>
        <w:rPr>
          <w:rFonts w:ascii="Book Antiqua" w:hAnsi="Book Antiqua"/>
          <w:color w:val="000000" w:themeColor="text1"/>
        </w:rPr>
      </w:pPr>
      <w:r>
        <w:rPr>
          <w:noProof/>
        </w:rPr>
        <w:drawing>
          <wp:inline distT="0" distB="0" distL="0" distR="0" wp14:anchorId="22A230A5" wp14:editId="2DEF53E7">
            <wp:extent cx="4349163" cy="2497311"/>
            <wp:effectExtent l="0" t="0" r="0" b="0"/>
            <wp:docPr id="46" name="Gráfico 46">
              <a:extLst xmlns:a="http://schemas.openxmlformats.org/drawingml/2006/main">
                <a:ext uri="{FF2B5EF4-FFF2-40B4-BE49-F238E27FC236}">
                  <a16:creationId xmlns:a16="http://schemas.microsoft.com/office/drawing/2014/main" id="{177AEAFA-4470-492B-B1CB-BCE83CADAA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1A24837" w14:textId="77777777" w:rsidR="00F75E3A" w:rsidRDefault="00F75E3A" w:rsidP="00F75E3A">
      <w:pPr>
        <w:spacing w:line="276" w:lineRule="auto"/>
        <w:jc w:val="center"/>
        <w:rPr>
          <w:rFonts w:ascii="Book Antiqua" w:hAnsi="Book Antiqua"/>
          <w:color w:val="000000" w:themeColor="text1"/>
          <w:sz w:val="20"/>
          <w:szCs w:val="20"/>
        </w:rPr>
      </w:pPr>
      <w:r w:rsidRPr="0013210E">
        <w:rPr>
          <w:rFonts w:ascii="Book Antiqua" w:hAnsi="Book Antiqua"/>
          <w:b/>
          <w:bCs/>
          <w:color w:val="000000"/>
          <w:sz w:val="20"/>
          <w:szCs w:val="20"/>
        </w:rPr>
        <w:t>Fuente:</w:t>
      </w:r>
      <w:r w:rsidRPr="00DE41EA">
        <w:rPr>
          <w:rFonts w:ascii="Book Antiqua" w:hAnsi="Book Antiqua"/>
          <w:color w:val="000000"/>
          <w:sz w:val="20"/>
          <w:szCs w:val="20"/>
        </w:rPr>
        <w:t xml:space="preserve"> </w:t>
      </w:r>
      <w:r w:rsidRPr="002754DF">
        <w:rPr>
          <w:rFonts w:ascii="Book Antiqua" w:hAnsi="Book Antiqua"/>
          <w:color w:val="000000" w:themeColor="text1"/>
          <w:sz w:val="20"/>
          <w:szCs w:val="20"/>
        </w:rPr>
        <w:t>Elaboración propia a partir de datos suministrados por despachos según circular 61-2020</w:t>
      </w:r>
    </w:p>
    <w:p w14:paraId="49B9115D" w14:textId="77777777" w:rsidR="00F75E3A" w:rsidRDefault="00F75E3A" w:rsidP="00F75E3A">
      <w:pPr>
        <w:spacing w:line="276" w:lineRule="auto"/>
        <w:rPr>
          <w:rFonts w:ascii="Book Antiqua" w:hAnsi="Book Antiqua"/>
          <w:color w:val="000000" w:themeColor="text1"/>
          <w:sz w:val="20"/>
          <w:szCs w:val="20"/>
        </w:rPr>
      </w:pPr>
    </w:p>
    <w:p w14:paraId="5BDBFD25" w14:textId="77777777" w:rsidR="00F75E3A" w:rsidRDefault="00F75E3A" w:rsidP="00F75E3A">
      <w:pPr>
        <w:spacing w:line="276" w:lineRule="auto"/>
        <w:jc w:val="center"/>
        <w:rPr>
          <w:rFonts w:ascii="Book Antiqua" w:hAnsi="Book Antiqua"/>
          <w:color w:val="000000" w:themeColor="text1"/>
          <w:sz w:val="20"/>
          <w:szCs w:val="20"/>
        </w:rPr>
      </w:pPr>
    </w:p>
    <w:p w14:paraId="218B4A03" w14:textId="79CA4130" w:rsidR="00F75E3A" w:rsidRPr="007006E3" w:rsidRDefault="6176B916" w:rsidP="57A79FF7">
      <w:pPr>
        <w:tabs>
          <w:tab w:val="left" w:pos="426"/>
        </w:tabs>
        <w:spacing w:after="160" w:line="276" w:lineRule="auto"/>
        <w:contextualSpacing/>
        <w:outlineLvl w:val="1"/>
        <w:rPr>
          <w:b/>
          <w:color w:val="000000" w:themeColor="text1"/>
        </w:rPr>
      </w:pPr>
      <w:r w:rsidRPr="57A79FF7">
        <w:rPr>
          <w:rFonts w:ascii="Book Antiqua" w:hAnsi="Book Antiqua"/>
          <w:b/>
          <w:bCs/>
          <w:color w:val="000000" w:themeColor="text1"/>
        </w:rPr>
        <w:t xml:space="preserve">8.2 </w:t>
      </w:r>
      <w:r w:rsidR="00F75E3A" w:rsidRPr="007006E3">
        <w:rPr>
          <w:rFonts w:ascii="Book Antiqua" w:hAnsi="Book Antiqua"/>
          <w:b/>
          <w:color w:val="000000" w:themeColor="text1"/>
        </w:rPr>
        <w:t>Cumplimiento de parámetros de producción</w:t>
      </w:r>
    </w:p>
    <w:p w14:paraId="77A31932" w14:textId="77777777" w:rsidR="00F75E3A" w:rsidRPr="007006E3" w:rsidRDefault="00F75E3A" w:rsidP="00F75E3A">
      <w:pPr>
        <w:spacing w:line="276" w:lineRule="auto"/>
        <w:rPr>
          <w:rFonts w:ascii="Book Antiqua" w:hAnsi="Book Antiqua"/>
          <w:b/>
          <w:color w:val="000000" w:themeColor="text1"/>
        </w:rPr>
      </w:pPr>
    </w:p>
    <w:p w14:paraId="470A97A3" w14:textId="77777777" w:rsidR="00F75E3A" w:rsidRPr="004F0E92" w:rsidRDefault="00F75E3A" w:rsidP="00F75E3A">
      <w:pPr>
        <w:spacing w:line="276" w:lineRule="auto"/>
        <w:jc w:val="both"/>
        <w:rPr>
          <w:rFonts w:ascii="Book Antiqua" w:hAnsi="Book Antiqua"/>
          <w:color w:val="000000" w:themeColor="text1"/>
        </w:rPr>
      </w:pPr>
      <w:r w:rsidRPr="007006E3">
        <w:rPr>
          <w:rFonts w:ascii="Book Antiqua" w:hAnsi="Book Antiqua"/>
          <w:color w:val="000000" w:themeColor="text1"/>
        </w:rPr>
        <w:t>La Circular 101-20, estableció parámetros de producción para las diferentes fases del proceso penal:</w:t>
      </w:r>
    </w:p>
    <w:p w14:paraId="7C682772" w14:textId="77777777" w:rsidR="00F75E3A" w:rsidRDefault="00F75E3A" w:rsidP="00F75E3A">
      <w:pPr>
        <w:spacing w:line="276" w:lineRule="auto"/>
        <w:jc w:val="both"/>
        <w:rPr>
          <w:rFonts w:ascii="Book Antiqua" w:hAnsi="Book Antiqua"/>
          <w:color w:val="000000" w:themeColor="text1"/>
        </w:rPr>
      </w:pPr>
    </w:p>
    <w:p w14:paraId="42BE3B72" w14:textId="77777777" w:rsidR="00F75E3A" w:rsidRPr="004F0E92" w:rsidRDefault="00F75E3A" w:rsidP="00F75E3A">
      <w:pPr>
        <w:spacing w:line="276" w:lineRule="auto"/>
        <w:jc w:val="both"/>
        <w:rPr>
          <w:rFonts w:ascii="Book Antiqua" w:hAnsi="Book Antiqua"/>
          <w:color w:val="000000" w:themeColor="text1"/>
        </w:rPr>
      </w:pPr>
    </w:p>
    <w:p w14:paraId="5B23F470" w14:textId="77777777" w:rsidR="006F775A" w:rsidRDefault="00F75E3A" w:rsidP="00F75E3A">
      <w:pPr>
        <w:spacing w:line="276" w:lineRule="auto"/>
        <w:jc w:val="center"/>
        <w:rPr>
          <w:rFonts w:ascii="Book Antiqua" w:hAnsi="Book Antiqua"/>
          <w:b/>
          <w:bCs/>
          <w:color w:val="000000" w:themeColor="text1"/>
        </w:rPr>
      </w:pPr>
      <w:r w:rsidRPr="00BF2ABA">
        <w:rPr>
          <w:rFonts w:ascii="Book Antiqua" w:hAnsi="Book Antiqua"/>
          <w:b/>
          <w:bCs/>
          <w:color w:val="000000" w:themeColor="text1"/>
        </w:rPr>
        <w:t xml:space="preserve">Cuadro </w:t>
      </w:r>
      <w:r w:rsidR="00F353FF">
        <w:rPr>
          <w:rFonts w:ascii="Book Antiqua" w:hAnsi="Book Antiqua"/>
          <w:b/>
          <w:bCs/>
          <w:color w:val="000000" w:themeColor="text1"/>
        </w:rPr>
        <w:t>79</w:t>
      </w:r>
    </w:p>
    <w:p w14:paraId="16FB6825" w14:textId="6F1D892A" w:rsidR="00F75E3A" w:rsidRPr="00BF2ABA" w:rsidRDefault="00F75E3A" w:rsidP="00F75E3A">
      <w:pPr>
        <w:spacing w:line="276" w:lineRule="auto"/>
        <w:jc w:val="center"/>
        <w:rPr>
          <w:rFonts w:ascii="Book Antiqua" w:hAnsi="Book Antiqua"/>
          <w:b/>
          <w:bCs/>
          <w:color w:val="000000" w:themeColor="text1"/>
        </w:rPr>
      </w:pPr>
      <w:r w:rsidRPr="00BF2ABA">
        <w:rPr>
          <w:rFonts w:ascii="Book Antiqua" w:hAnsi="Book Antiqua"/>
          <w:b/>
          <w:bCs/>
          <w:color w:val="000000" w:themeColor="text1"/>
        </w:rPr>
        <w:t xml:space="preserve"> Parámetros de producción por fase de materia penal</w:t>
      </w:r>
    </w:p>
    <w:p w14:paraId="45D72437" w14:textId="77777777" w:rsidR="00F75E3A" w:rsidRPr="004F0E92" w:rsidRDefault="00F75E3A" w:rsidP="00F75E3A">
      <w:pPr>
        <w:spacing w:line="276" w:lineRule="auto"/>
        <w:rPr>
          <w:rFonts w:ascii="Book Antiqua" w:hAnsi="Book Antiqua"/>
          <w:color w:val="000000" w:themeColor="text1"/>
        </w:rPr>
      </w:pPr>
    </w:p>
    <w:tbl>
      <w:tblPr>
        <w:tblStyle w:val="Tablaconcuadrcula"/>
        <w:tblW w:w="9776" w:type="dxa"/>
        <w:tblLook w:val="04A0" w:firstRow="1" w:lastRow="0" w:firstColumn="1" w:lastColumn="0" w:noHBand="0" w:noVBand="1"/>
      </w:tblPr>
      <w:tblGrid>
        <w:gridCol w:w="1838"/>
        <w:gridCol w:w="3402"/>
        <w:gridCol w:w="4536"/>
      </w:tblGrid>
      <w:tr w:rsidR="00F75E3A" w:rsidRPr="00677475" w14:paraId="616C2121" w14:textId="77777777" w:rsidTr="00243F14">
        <w:trPr>
          <w:trHeight w:val="397"/>
        </w:trPr>
        <w:tc>
          <w:tcPr>
            <w:tcW w:w="1838" w:type="dxa"/>
            <w:shd w:val="clear" w:color="auto" w:fill="2F5496" w:themeFill="accent1" w:themeFillShade="BF"/>
          </w:tcPr>
          <w:p w14:paraId="69952479" w14:textId="77777777" w:rsidR="00F75E3A" w:rsidRPr="00677475" w:rsidRDefault="00F75E3A" w:rsidP="00243F14">
            <w:pPr>
              <w:spacing w:line="276" w:lineRule="auto"/>
              <w:jc w:val="center"/>
              <w:rPr>
                <w:rFonts w:ascii="Book Antiqua" w:hAnsi="Book Antiqua"/>
                <w:b/>
                <w:color w:val="FFFFFF" w:themeColor="background1"/>
                <w:sz w:val="20"/>
                <w:szCs w:val="20"/>
              </w:rPr>
            </w:pPr>
            <w:r w:rsidRPr="00677475">
              <w:rPr>
                <w:rFonts w:ascii="Book Antiqua" w:hAnsi="Book Antiqua"/>
                <w:b/>
                <w:color w:val="FFFFFF" w:themeColor="background1"/>
                <w:sz w:val="20"/>
                <w:szCs w:val="20"/>
              </w:rPr>
              <w:t>Fase</w:t>
            </w:r>
          </w:p>
        </w:tc>
        <w:tc>
          <w:tcPr>
            <w:tcW w:w="3402" w:type="dxa"/>
            <w:shd w:val="clear" w:color="auto" w:fill="2F5496" w:themeFill="accent1" w:themeFillShade="BF"/>
          </w:tcPr>
          <w:p w14:paraId="19A535A3" w14:textId="77777777" w:rsidR="00F75E3A" w:rsidRPr="00677475" w:rsidRDefault="00F75E3A" w:rsidP="00243F14">
            <w:pPr>
              <w:spacing w:line="276" w:lineRule="auto"/>
              <w:jc w:val="center"/>
              <w:rPr>
                <w:rFonts w:ascii="Book Antiqua" w:hAnsi="Book Antiqua"/>
                <w:b/>
                <w:color w:val="FFFFFF" w:themeColor="background1"/>
                <w:sz w:val="20"/>
                <w:szCs w:val="20"/>
              </w:rPr>
            </w:pPr>
            <w:r w:rsidRPr="00677475">
              <w:rPr>
                <w:rFonts w:ascii="Book Antiqua" w:hAnsi="Book Antiqua"/>
                <w:b/>
                <w:color w:val="FFFFFF" w:themeColor="background1"/>
                <w:sz w:val="20"/>
                <w:szCs w:val="20"/>
              </w:rPr>
              <w:t>Variable</w:t>
            </w:r>
          </w:p>
        </w:tc>
        <w:tc>
          <w:tcPr>
            <w:tcW w:w="4536" w:type="dxa"/>
            <w:shd w:val="clear" w:color="auto" w:fill="2F5496" w:themeFill="accent1" w:themeFillShade="BF"/>
          </w:tcPr>
          <w:p w14:paraId="72077578" w14:textId="77777777" w:rsidR="00F75E3A" w:rsidRPr="00677475" w:rsidRDefault="00F75E3A" w:rsidP="00243F14">
            <w:pPr>
              <w:spacing w:line="276" w:lineRule="auto"/>
              <w:jc w:val="center"/>
              <w:rPr>
                <w:rFonts w:ascii="Book Antiqua" w:hAnsi="Book Antiqua"/>
                <w:b/>
                <w:color w:val="FFFFFF" w:themeColor="background1"/>
                <w:sz w:val="20"/>
                <w:szCs w:val="20"/>
              </w:rPr>
            </w:pPr>
            <w:r w:rsidRPr="00677475">
              <w:rPr>
                <w:rFonts w:ascii="Book Antiqua" w:hAnsi="Book Antiqua"/>
                <w:b/>
                <w:color w:val="FFFFFF" w:themeColor="background1"/>
                <w:sz w:val="20"/>
                <w:szCs w:val="20"/>
              </w:rPr>
              <w:t>Parámetro</w:t>
            </w:r>
          </w:p>
          <w:p w14:paraId="233272D5" w14:textId="77777777" w:rsidR="00F75E3A" w:rsidRPr="00677475" w:rsidRDefault="00F75E3A" w:rsidP="00243F14">
            <w:pPr>
              <w:spacing w:line="276" w:lineRule="auto"/>
              <w:jc w:val="center"/>
              <w:rPr>
                <w:rFonts w:ascii="Book Antiqua" w:hAnsi="Book Antiqua"/>
                <w:b/>
                <w:color w:val="FFFFFF" w:themeColor="background1"/>
                <w:sz w:val="20"/>
                <w:szCs w:val="20"/>
              </w:rPr>
            </w:pPr>
          </w:p>
        </w:tc>
      </w:tr>
      <w:tr w:rsidR="00F75E3A" w:rsidRPr="00677475" w14:paraId="15883A0C" w14:textId="77777777" w:rsidTr="00243F14">
        <w:tc>
          <w:tcPr>
            <w:tcW w:w="1838" w:type="dxa"/>
          </w:tcPr>
          <w:p w14:paraId="0C3FE155" w14:textId="77777777" w:rsidR="00F75E3A" w:rsidRPr="00677475" w:rsidRDefault="00F75E3A" w:rsidP="00243F14">
            <w:pPr>
              <w:spacing w:line="276" w:lineRule="auto"/>
              <w:jc w:val="center"/>
              <w:rPr>
                <w:rFonts w:ascii="Book Antiqua" w:hAnsi="Book Antiqua"/>
                <w:color w:val="000000" w:themeColor="text1"/>
                <w:sz w:val="20"/>
                <w:szCs w:val="20"/>
              </w:rPr>
            </w:pPr>
            <w:r w:rsidRPr="00677475">
              <w:rPr>
                <w:rFonts w:ascii="Book Antiqua" w:hAnsi="Book Antiqua"/>
                <w:color w:val="000000" w:themeColor="text1"/>
                <w:sz w:val="20"/>
                <w:szCs w:val="20"/>
              </w:rPr>
              <w:t>Preparatoria e Intermedia</w:t>
            </w:r>
          </w:p>
        </w:tc>
        <w:tc>
          <w:tcPr>
            <w:tcW w:w="3402" w:type="dxa"/>
          </w:tcPr>
          <w:p w14:paraId="09B43467" w14:textId="77777777" w:rsidR="00F75E3A" w:rsidRPr="00677475" w:rsidRDefault="00F75E3A" w:rsidP="00243F14">
            <w:pPr>
              <w:spacing w:line="276" w:lineRule="auto"/>
              <w:jc w:val="center"/>
              <w:rPr>
                <w:rFonts w:ascii="Book Antiqua" w:hAnsi="Book Antiqua"/>
                <w:color w:val="000000" w:themeColor="text1"/>
                <w:sz w:val="20"/>
                <w:szCs w:val="20"/>
              </w:rPr>
            </w:pPr>
            <w:r w:rsidRPr="00677475">
              <w:rPr>
                <w:rFonts w:ascii="Book Antiqua" w:hAnsi="Book Antiqua"/>
                <w:color w:val="000000" w:themeColor="text1"/>
                <w:sz w:val="20"/>
                <w:szCs w:val="20"/>
              </w:rPr>
              <w:t>Desestimaciones, sobreseimientos y acusaciones</w:t>
            </w:r>
          </w:p>
        </w:tc>
        <w:tc>
          <w:tcPr>
            <w:tcW w:w="4536" w:type="dxa"/>
          </w:tcPr>
          <w:p w14:paraId="614B0192" w14:textId="77777777" w:rsidR="00F75E3A" w:rsidRPr="00677475" w:rsidRDefault="00F75E3A" w:rsidP="00243F14">
            <w:pPr>
              <w:spacing w:line="276" w:lineRule="auto"/>
              <w:jc w:val="both"/>
              <w:rPr>
                <w:rFonts w:ascii="Book Antiqua" w:hAnsi="Book Antiqua"/>
                <w:color w:val="000000" w:themeColor="text1"/>
                <w:sz w:val="20"/>
                <w:szCs w:val="20"/>
              </w:rPr>
            </w:pPr>
            <w:r w:rsidRPr="00677475">
              <w:rPr>
                <w:rFonts w:ascii="Book Antiqua" w:hAnsi="Book Antiqua"/>
                <w:color w:val="000000" w:themeColor="text1"/>
                <w:sz w:val="20"/>
                <w:szCs w:val="20"/>
              </w:rPr>
              <w:t>Al menos seis asuntos diarios resueltos de desestimación o sobreseimiento o acusación, por cada plaza de jueza o juez, que se encuentre en etapa intermedia. Los Despachos deberán tener al menos una Jueza o Juez que se encuentre atendiendo la etapa preparatoria.</w:t>
            </w:r>
          </w:p>
        </w:tc>
      </w:tr>
      <w:tr w:rsidR="00F75E3A" w:rsidRPr="00677475" w14:paraId="67AECE53" w14:textId="77777777" w:rsidTr="00243F14">
        <w:tc>
          <w:tcPr>
            <w:tcW w:w="1838" w:type="dxa"/>
          </w:tcPr>
          <w:p w14:paraId="2627A970" w14:textId="77777777" w:rsidR="00F75E3A" w:rsidRDefault="00F75E3A" w:rsidP="00243F14">
            <w:pPr>
              <w:spacing w:line="276" w:lineRule="auto"/>
              <w:jc w:val="center"/>
              <w:rPr>
                <w:rFonts w:ascii="Book Antiqua" w:hAnsi="Book Antiqua"/>
                <w:color w:val="000000" w:themeColor="text1"/>
                <w:sz w:val="20"/>
                <w:szCs w:val="20"/>
              </w:rPr>
            </w:pPr>
          </w:p>
          <w:p w14:paraId="5A9C07AD" w14:textId="77777777" w:rsidR="00F75E3A" w:rsidRDefault="00F75E3A" w:rsidP="00243F14">
            <w:pPr>
              <w:spacing w:line="276" w:lineRule="auto"/>
              <w:jc w:val="center"/>
              <w:rPr>
                <w:rFonts w:ascii="Book Antiqua" w:hAnsi="Book Antiqua"/>
                <w:color w:val="000000" w:themeColor="text1"/>
                <w:sz w:val="20"/>
                <w:szCs w:val="20"/>
              </w:rPr>
            </w:pPr>
          </w:p>
          <w:p w14:paraId="2EDF5775" w14:textId="77777777" w:rsidR="00F75E3A" w:rsidRPr="00677475" w:rsidRDefault="00F75E3A" w:rsidP="00243F14">
            <w:pPr>
              <w:spacing w:line="276" w:lineRule="auto"/>
              <w:jc w:val="center"/>
              <w:rPr>
                <w:rFonts w:ascii="Book Antiqua" w:hAnsi="Book Antiqua"/>
                <w:color w:val="000000" w:themeColor="text1"/>
                <w:sz w:val="20"/>
                <w:szCs w:val="20"/>
              </w:rPr>
            </w:pPr>
            <w:r w:rsidRPr="00677475">
              <w:rPr>
                <w:rFonts w:ascii="Book Antiqua" w:hAnsi="Book Antiqua"/>
                <w:color w:val="000000" w:themeColor="text1"/>
                <w:sz w:val="20"/>
                <w:szCs w:val="20"/>
              </w:rPr>
              <w:t>Juicio</w:t>
            </w:r>
          </w:p>
        </w:tc>
        <w:tc>
          <w:tcPr>
            <w:tcW w:w="3402" w:type="dxa"/>
          </w:tcPr>
          <w:p w14:paraId="492AF4A7" w14:textId="77777777" w:rsidR="00F75E3A" w:rsidRDefault="00F75E3A" w:rsidP="00243F14">
            <w:pPr>
              <w:spacing w:line="276" w:lineRule="auto"/>
              <w:jc w:val="center"/>
              <w:rPr>
                <w:rFonts w:ascii="Book Antiqua" w:hAnsi="Book Antiqua"/>
                <w:color w:val="000000" w:themeColor="text1"/>
                <w:sz w:val="20"/>
                <w:szCs w:val="20"/>
              </w:rPr>
            </w:pPr>
          </w:p>
          <w:p w14:paraId="0FF879A5" w14:textId="77777777" w:rsidR="00F75E3A" w:rsidRDefault="00F75E3A" w:rsidP="00243F14">
            <w:pPr>
              <w:spacing w:line="276" w:lineRule="auto"/>
              <w:jc w:val="center"/>
              <w:rPr>
                <w:rFonts w:ascii="Book Antiqua" w:hAnsi="Book Antiqua"/>
                <w:color w:val="000000" w:themeColor="text1"/>
                <w:sz w:val="20"/>
                <w:szCs w:val="20"/>
              </w:rPr>
            </w:pPr>
          </w:p>
          <w:p w14:paraId="4A5F73A6" w14:textId="77777777" w:rsidR="00F75E3A" w:rsidRPr="00677475" w:rsidRDefault="00F75E3A" w:rsidP="00243F14">
            <w:pPr>
              <w:spacing w:line="276" w:lineRule="auto"/>
              <w:jc w:val="center"/>
              <w:rPr>
                <w:rFonts w:ascii="Book Antiqua" w:hAnsi="Book Antiqua"/>
                <w:color w:val="000000" w:themeColor="text1"/>
                <w:sz w:val="20"/>
                <w:szCs w:val="20"/>
              </w:rPr>
            </w:pPr>
            <w:r w:rsidRPr="00677475">
              <w:rPr>
                <w:rFonts w:ascii="Book Antiqua" w:hAnsi="Book Antiqua"/>
                <w:color w:val="000000" w:themeColor="text1"/>
                <w:sz w:val="20"/>
                <w:szCs w:val="20"/>
              </w:rPr>
              <w:t>Sentencias y medidas alternas</w:t>
            </w:r>
          </w:p>
          <w:p w14:paraId="4AE496CC" w14:textId="77777777" w:rsidR="00F75E3A" w:rsidRPr="00677475" w:rsidRDefault="00F75E3A" w:rsidP="00243F14">
            <w:pPr>
              <w:spacing w:line="276" w:lineRule="auto"/>
              <w:jc w:val="center"/>
              <w:rPr>
                <w:rFonts w:ascii="Book Antiqua" w:hAnsi="Book Antiqua"/>
                <w:color w:val="000000" w:themeColor="text1"/>
                <w:sz w:val="20"/>
                <w:szCs w:val="20"/>
              </w:rPr>
            </w:pPr>
          </w:p>
        </w:tc>
        <w:tc>
          <w:tcPr>
            <w:tcW w:w="4536" w:type="dxa"/>
          </w:tcPr>
          <w:p w14:paraId="3E79F4BD" w14:textId="77777777" w:rsidR="00F75E3A" w:rsidRPr="00677475" w:rsidRDefault="00F75E3A" w:rsidP="00243F14">
            <w:pPr>
              <w:pStyle w:val="Textosinformato"/>
              <w:spacing w:line="276" w:lineRule="auto"/>
              <w:jc w:val="both"/>
              <w:rPr>
                <w:rFonts w:ascii="Book Antiqua" w:hAnsi="Book Antiqua"/>
                <w:color w:val="000000" w:themeColor="text1"/>
                <w:sz w:val="20"/>
                <w:szCs w:val="20"/>
              </w:rPr>
            </w:pPr>
            <w:r w:rsidRPr="00677475">
              <w:rPr>
                <w:rFonts w:ascii="Book Antiqua" w:hAnsi="Book Antiqua"/>
                <w:color w:val="000000" w:themeColor="text1"/>
                <w:sz w:val="20"/>
                <w:szCs w:val="20"/>
              </w:rPr>
              <w:t>El parámetro de producción mensual será entre once a quince sentencias o medidas alternas por cada Sección Colegiada y entre quince a veinte sentencias o medidas alternas por cada Sección Unipersonal, mientras que las secciones mixtas tendrán un parámetro de treinta y dos sentencias o medidas alternas.</w:t>
            </w:r>
          </w:p>
        </w:tc>
      </w:tr>
      <w:tr w:rsidR="00F75E3A" w:rsidRPr="00677475" w14:paraId="5CE1DCC9" w14:textId="77777777" w:rsidTr="00243F14">
        <w:tc>
          <w:tcPr>
            <w:tcW w:w="1838" w:type="dxa"/>
          </w:tcPr>
          <w:p w14:paraId="382E33EC" w14:textId="77777777" w:rsidR="00F75E3A" w:rsidRDefault="00F75E3A" w:rsidP="00243F14">
            <w:pPr>
              <w:spacing w:line="276" w:lineRule="auto"/>
              <w:jc w:val="center"/>
              <w:rPr>
                <w:rFonts w:ascii="Book Antiqua" w:hAnsi="Book Antiqua"/>
                <w:color w:val="000000" w:themeColor="text1"/>
                <w:sz w:val="20"/>
                <w:szCs w:val="20"/>
              </w:rPr>
            </w:pPr>
          </w:p>
          <w:p w14:paraId="5F8AC28B" w14:textId="77777777" w:rsidR="00F75E3A" w:rsidRDefault="00F75E3A" w:rsidP="00243F14">
            <w:pPr>
              <w:spacing w:line="276" w:lineRule="auto"/>
              <w:jc w:val="center"/>
              <w:rPr>
                <w:rFonts w:ascii="Book Antiqua" w:hAnsi="Book Antiqua"/>
                <w:color w:val="000000" w:themeColor="text1"/>
                <w:sz w:val="20"/>
                <w:szCs w:val="20"/>
              </w:rPr>
            </w:pPr>
          </w:p>
          <w:p w14:paraId="69563838" w14:textId="77777777" w:rsidR="00F75E3A" w:rsidRPr="00677475" w:rsidRDefault="00F75E3A" w:rsidP="00243F14">
            <w:pPr>
              <w:spacing w:line="276" w:lineRule="auto"/>
              <w:jc w:val="center"/>
              <w:rPr>
                <w:rFonts w:ascii="Book Antiqua" w:hAnsi="Book Antiqua"/>
                <w:color w:val="000000" w:themeColor="text1"/>
                <w:sz w:val="20"/>
                <w:szCs w:val="20"/>
              </w:rPr>
            </w:pPr>
            <w:r w:rsidRPr="00677475">
              <w:rPr>
                <w:rFonts w:ascii="Book Antiqua" w:hAnsi="Book Antiqua"/>
                <w:color w:val="000000" w:themeColor="text1"/>
                <w:sz w:val="20"/>
                <w:szCs w:val="20"/>
              </w:rPr>
              <w:t>Flagrancia</w:t>
            </w:r>
          </w:p>
        </w:tc>
        <w:tc>
          <w:tcPr>
            <w:tcW w:w="3402" w:type="dxa"/>
          </w:tcPr>
          <w:p w14:paraId="2BB7A180" w14:textId="77777777" w:rsidR="00F75E3A" w:rsidRDefault="00F75E3A" w:rsidP="00243F14">
            <w:pPr>
              <w:spacing w:line="276" w:lineRule="auto"/>
              <w:jc w:val="center"/>
              <w:rPr>
                <w:rFonts w:ascii="Book Antiqua" w:hAnsi="Book Antiqua"/>
                <w:color w:val="000000" w:themeColor="text1"/>
                <w:sz w:val="20"/>
                <w:szCs w:val="20"/>
              </w:rPr>
            </w:pPr>
          </w:p>
          <w:p w14:paraId="3EBB6738" w14:textId="77777777" w:rsidR="00F75E3A" w:rsidRDefault="00F75E3A" w:rsidP="00243F14">
            <w:pPr>
              <w:spacing w:line="276" w:lineRule="auto"/>
              <w:jc w:val="center"/>
              <w:rPr>
                <w:rFonts w:ascii="Book Antiqua" w:hAnsi="Book Antiqua"/>
                <w:color w:val="000000" w:themeColor="text1"/>
                <w:sz w:val="20"/>
                <w:szCs w:val="20"/>
              </w:rPr>
            </w:pPr>
          </w:p>
          <w:p w14:paraId="3673A044" w14:textId="77777777" w:rsidR="00F75E3A" w:rsidRPr="00677475" w:rsidRDefault="00F75E3A" w:rsidP="00243F14">
            <w:pPr>
              <w:spacing w:line="276" w:lineRule="auto"/>
              <w:jc w:val="center"/>
              <w:rPr>
                <w:rFonts w:ascii="Book Antiqua" w:hAnsi="Book Antiqua"/>
                <w:color w:val="000000" w:themeColor="text1"/>
                <w:sz w:val="20"/>
                <w:szCs w:val="20"/>
              </w:rPr>
            </w:pPr>
            <w:r w:rsidRPr="00677475">
              <w:rPr>
                <w:rFonts w:ascii="Book Antiqua" w:hAnsi="Book Antiqua"/>
                <w:color w:val="000000" w:themeColor="text1"/>
                <w:sz w:val="20"/>
                <w:szCs w:val="20"/>
              </w:rPr>
              <w:t>Audiencias iniciales, sentencias y medidas alternas</w:t>
            </w:r>
          </w:p>
        </w:tc>
        <w:tc>
          <w:tcPr>
            <w:tcW w:w="4536" w:type="dxa"/>
          </w:tcPr>
          <w:p w14:paraId="0CD83124" w14:textId="77777777" w:rsidR="00F75E3A" w:rsidRPr="00677475" w:rsidRDefault="00F75E3A" w:rsidP="00243F14">
            <w:pPr>
              <w:spacing w:line="276" w:lineRule="auto"/>
              <w:jc w:val="both"/>
              <w:rPr>
                <w:rFonts w:ascii="Book Antiqua" w:hAnsi="Book Antiqua"/>
                <w:color w:val="000000" w:themeColor="text1"/>
                <w:sz w:val="20"/>
                <w:szCs w:val="20"/>
              </w:rPr>
            </w:pPr>
            <w:r w:rsidRPr="00677475">
              <w:rPr>
                <w:rFonts w:ascii="Book Antiqua" w:hAnsi="Book Antiqua"/>
                <w:color w:val="000000" w:themeColor="text1"/>
                <w:sz w:val="20"/>
                <w:szCs w:val="20"/>
              </w:rPr>
              <w:t>El parámetro de producción mensual será de treinta y cinco sentencias o medidas alternas o audiencias iniciales por cada plaza de judicatura, si no se logra llegar a esa cantidad con procesos de flagrancia, la Sección deberá colaborar con el procedimiento ordinario del Tribunal.</w:t>
            </w:r>
          </w:p>
        </w:tc>
      </w:tr>
      <w:tr w:rsidR="00F75E3A" w:rsidRPr="00677475" w14:paraId="451B7E10" w14:textId="77777777" w:rsidTr="00243F14">
        <w:tc>
          <w:tcPr>
            <w:tcW w:w="1838" w:type="dxa"/>
          </w:tcPr>
          <w:p w14:paraId="5FDFF963" w14:textId="77777777" w:rsidR="00F75E3A" w:rsidRDefault="00F75E3A" w:rsidP="00243F14">
            <w:pPr>
              <w:spacing w:line="276" w:lineRule="auto"/>
              <w:jc w:val="center"/>
              <w:rPr>
                <w:rFonts w:ascii="Book Antiqua" w:hAnsi="Book Antiqua"/>
                <w:color w:val="000000" w:themeColor="text1"/>
                <w:sz w:val="20"/>
                <w:szCs w:val="20"/>
              </w:rPr>
            </w:pPr>
          </w:p>
          <w:p w14:paraId="2E6F3A29" w14:textId="77777777" w:rsidR="00F75E3A" w:rsidRDefault="00F75E3A" w:rsidP="00243F14">
            <w:pPr>
              <w:spacing w:line="276" w:lineRule="auto"/>
              <w:jc w:val="center"/>
              <w:rPr>
                <w:rFonts w:ascii="Book Antiqua" w:hAnsi="Book Antiqua"/>
                <w:color w:val="000000" w:themeColor="text1"/>
                <w:sz w:val="20"/>
                <w:szCs w:val="20"/>
              </w:rPr>
            </w:pPr>
          </w:p>
          <w:p w14:paraId="7C16FFA6" w14:textId="77777777" w:rsidR="00F75E3A" w:rsidRDefault="00F75E3A" w:rsidP="00243F14">
            <w:pPr>
              <w:spacing w:line="276" w:lineRule="auto"/>
              <w:jc w:val="center"/>
              <w:rPr>
                <w:rFonts w:ascii="Book Antiqua" w:hAnsi="Book Antiqua"/>
                <w:color w:val="000000" w:themeColor="text1"/>
                <w:sz w:val="20"/>
                <w:szCs w:val="20"/>
              </w:rPr>
            </w:pPr>
          </w:p>
          <w:p w14:paraId="195A6B75" w14:textId="77777777" w:rsidR="00F75E3A" w:rsidRPr="00677475" w:rsidRDefault="00F75E3A" w:rsidP="00243F14">
            <w:pPr>
              <w:spacing w:line="276" w:lineRule="auto"/>
              <w:jc w:val="center"/>
              <w:rPr>
                <w:rFonts w:ascii="Book Antiqua" w:hAnsi="Book Antiqua"/>
                <w:color w:val="000000" w:themeColor="text1"/>
                <w:sz w:val="20"/>
                <w:szCs w:val="20"/>
              </w:rPr>
            </w:pPr>
            <w:r w:rsidRPr="00677475">
              <w:rPr>
                <w:rFonts w:ascii="Book Antiqua" w:hAnsi="Book Antiqua"/>
                <w:color w:val="000000" w:themeColor="text1"/>
                <w:sz w:val="20"/>
                <w:szCs w:val="20"/>
              </w:rPr>
              <w:t>Apelación</w:t>
            </w:r>
          </w:p>
        </w:tc>
        <w:tc>
          <w:tcPr>
            <w:tcW w:w="3402" w:type="dxa"/>
          </w:tcPr>
          <w:p w14:paraId="3CD92D90" w14:textId="77777777" w:rsidR="00F75E3A" w:rsidRDefault="00F75E3A" w:rsidP="00243F14">
            <w:pPr>
              <w:spacing w:line="276" w:lineRule="auto"/>
              <w:jc w:val="center"/>
              <w:rPr>
                <w:rFonts w:ascii="Book Antiqua" w:hAnsi="Book Antiqua"/>
                <w:color w:val="000000" w:themeColor="text1"/>
                <w:sz w:val="20"/>
                <w:szCs w:val="20"/>
              </w:rPr>
            </w:pPr>
          </w:p>
          <w:p w14:paraId="72B5C0C8" w14:textId="77777777" w:rsidR="00F75E3A" w:rsidRDefault="00F75E3A" w:rsidP="00243F14">
            <w:pPr>
              <w:spacing w:line="276" w:lineRule="auto"/>
              <w:jc w:val="center"/>
              <w:rPr>
                <w:rFonts w:ascii="Book Antiqua" w:hAnsi="Book Antiqua"/>
                <w:color w:val="000000" w:themeColor="text1"/>
                <w:sz w:val="20"/>
                <w:szCs w:val="20"/>
              </w:rPr>
            </w:pPr>
          </w:p>
          <w:p w14:paraId="41B19FD5" w14:textId="77777777" w:rsidR="00F75E3A" w:rsidRDefault="00F75E3A" w:rsidP="00243F14">
            <w:pPr>
              <w:spacing w:line="276" w:lineRule="auto"/>
              <w:jc w:val="center"/>
              <w:rPr>
                <w:rFonts w:ascii="Book Antiqua" w:hAnsi="Book Antiqua"/>
                <w:color w:val="000000" w:themeColor="text1"/>
                <w:sz w:val="20"/>
                <w:szCs w:val="20"/>
              </w:rPr>
            </w:pPr>
          </w:p>
          <w:p w14:paraId="564D8CDD" w14:textId="77777777" w:rsidR="00F75E3A" w:rsidRPr="00677475" w:rsidRDefault="00F75E3A" w:rsidP="00243F14">
            <w:pPr>
              <w:spacing w:line="276" w:lineRule="auto"/>
              <w:jc w:val="center"/>
              <w:rPr>
                <w:rFonts w:ascii="Book Antiqua" w:hAnsi="Book Antiqua"/>
                <w:color w:val="000000" w:themeColor="text1"/>
                <w:sz w:val="20"/>
                <w:szCs w:val="20"/>
              </w:rPr>
            </w:pPr>
            <w:r w:rsidRPr="00677475">
              <w:rPr>
                <w:rFonts w:ascii="Book Antiqua" w:hAnsi="Book Antiqua"/>
                <w:color w:val="000000" w:themeColor="text1"/>
                <w:sz w:val="20"/>
                <w:szCs w:val="20"/>
              </w:rPr>
              <w:t>Proyectos de resolución votados</w:t>
            </w:r>
          </w:p>
        </w:tc>
        <w:tc>
          <w:tcPr>
            <w:tcW w:w="4536" w:type="dxa"/>
          </w:tcPr>
          <w:p w14:paraId="7821D5FF" w14:textId="77777777" w:rsidR="00F75E3A" w:rsidRPr="00677475" w:rsidRDefault="00F75E3A" w:rsidP="00243F14">
            <w:pPr>
              <w:pStyle w:val="Textosinformato"/>
              <w:spacing w:line="276" w:lineRule="auto"/>
              <w:jc w:val="both"/>
              <w:rPr>
                <w:rFonts w:ascii="Book Antiqua" w:hAnsi="Book Antiqua"/>
                <w:color w:val="000000" w:themeColor="text1"/>
                <w:sz w:val="20"/>
                <w:szCs w:val="20"/>
              </w:rPr>
            </w:pPr>
            <w:r w:rsidRPr="00677475">
              <w:rPr>
                <w:rFonts w:ascii="Book Antiqua" w:hAnsi="Book Antiqua"/>
                <w:color w:val="000000" w:themeColor="text1"/>
                <w:sz w:val="20"/>
                <w:szCs w:val="20"/>
              </w:rPr>
              <w:t xml:space="preserve">El parámetro de producción semanal será entre dos y tres proyectos de resolución (Terminado, circulado y votado) por cada plaza de Jueza o Juez, lo cual equivale a 10 mensuales. Posterior a esto, el Consejo Superior en la Sesión 115-2020, artículo VI, ratificó la nueva propuesta de cuotas basadas en datos históricos (Goicoechea 8, San Ramón 8, Cartago 9 y Santa Cruz 10), hasta el que se realice el Rediseño de Procesos en cada una de estas oficinas. </w:t>
            </w:r>
          </w:p>
        </w:tc>
      </w:tr>
      <w:tr w:rsidR="00F75E3A" w:rsidRPr="00677475" w14:paraId="721A9A03" w14:textId="77777777" w:rsidTr="00243F14">
        <w:tc>
          <w:tcPr>
            <w:tcW w:w="1838" w:type="dxa"/>
          </w:tcPr>
          <w:p w14:paraId="4AC01157" w14:textId="77777777" w:rsidR="00F75E3A" w:rsidRDefault="00F75E3A" w:rsidP="00243F14">
            <w:pPr>
              <w:spacing w:line="276" w:lineRule="auto"/>
              <w:jc w:val="center"/>
              <w:rPr>
                <w:rFonts w:ascii="Book Antiqua" w:hAnsi="Book Antiqua"/>
                <w:color w:val="000000" w:themeColor="text1"/>
                <w:sz w:val="20"/>
                <w:szCs w:val="20"/>
              </w:rPr>
            </w:pPr>
          </w:p>
          <w:p w14:paraId="4566152A" w14:textId="77777777" w:rsidR="00F75E3A" w:rsidRPr="00677475" w:rsidRDefault="00F75E3A" w:rsidP="00243F14">
            <w:pPr>
              <w:spacing w:line="276" w:lineRule="auto"/>
              <w:jc w:val="center"/>
              <w:rPr>
                <w:rFonts w:ascii="Book Antiqua" w:hAnsi="Book Antiqua"/>
                <w:color w:val="000000" w:themeColor="text1"/>
                <w:sz w:val="20"/>
                <w:szCs w:val="20"/>
              </w:rPr>
            </w:pPr>
            <w:r w:rsidRPr="00677475">
              <w:rPr>
                <w:rFonts w:ascii="Book Antiqua" w:hAnsi="Book Antiqua"/>
                <w:color w:val="000000" w:themeColor="text1"/>
                <w:sz w:val="20"/>
                <w:szCs w:val="20"/>
              </w:rPr>
              <w:t>Casación</w:t>
            </w:r>
          </w:p>
        </w:tc>
        <w:tc>
          <w:tcPr>
            <w:tcW w:w="3402" w:type="dxa"/>
          </w:tcPr>
          <w:p w14:paraId="7846CEEF" w14:textId="77777777" w:rsidR="00F75E3A" w:rsidRDefault="00F75E3A" w:rsidP="00243F14">
            <w:pPr>
              <w:spacing w:line="276" w:lineRule="auto"/>
              <w:jc w:val="center"/>
              <w:rPr>
                <w:rFonts w:ascii="Book Antiqua" w:hAnsi="Book Antiqua"/>
                <w:color w:val="000000" w:themeColor="text1"/>
                <w:sz w:val="20"/>
                <w:szCs w:val="20"/>
              </w:rPr>
            </w:pPr>
          </w:p>
          <w:p w14:paraId="4F7DAF7E" w14:textId="77777777" w:rsidR="00F75E3A" w:rsidRPr="00677475" w:rsidRDefault="00F75E3A" w:rsidP="00243F14">
            <w:pPr>
              <w:spacing w:line="276" w:lineRule="auto"/>
              <w:jc w:val="center"/>
              <w:rPr>
                <w:rFonts w:ascii="Book Antiqua" w:hAnsi="Book Antiqua"/>
                <w:color w:val="000000" w:themeColor="text1"/>
                <w:sz w:val="20"/>
                <w:szCs w:val="20"/>
              </w:rPr>
            </w:pPr>
            <w:r w:rsidRPr="00677475">
              <w:rPr>
                <w:rFonts w:ascii="Book Antiqua" w:hAnsi="Book Antiqua"/>
                <w:color w:val="000000" w:themeColor="text1"/>
                <w:sz w:val="20"/>
                <w:szCs w:val="20"/>
              </w:rPr>
              <w:t>Proyectos de resolución</w:t>
            </w:r>
          </w:p>
        </w:tc>
        <w:tc>
          <w:tcPr>
            <w:tcW w:w="4536" w:type="dxa"/>
          </w:tcPr>
          <w:p w14:paraId="23C25A9A" w14:textId="77777777" w:rsidR="00F75E3A" w:rsidRPr="00677475" w:rsidRDefault="00F75E3A" w:rsidP="00243F14">
            <w:pPr>
              <w:pStyle w:val="Textosinformato"/>
              <w:spacing w:line="276" w:lineRule="auto"/>
              <w:jc w:val="both"/>
              <w:rPr>
                <w:rFonts w:ascii="Book Antiqua" w:hAnsi="Book Antiqua"/>
                <w:color w:val="000000" w:themeColor="text1"/>
                <w:sz w:val="20"/>
                <w:szCs w:val="20"/>
              </w:rPr>
            </w:pPr>
            <w:r w:rsidRPr="00677475">
              <w:rPr>
                <w:rFonts w:ascii="Book Antiqua" w:hAnsi="Book Antiqua"/>
                <w:color w:val="000000" w:themeColor="text1"/>
                <w:sz w:val="20"/>
                <w:szCs w:val="20"/>
              </w:rPr>
              <w:t>Seguirá brindando sus servicios ordinarios, los letrados tendrán un parámetro de producción de al menos dos proyectos por cada semana laboral, mientras se desarrolla el estudio de carga de trabajo de esa oficina.</w:t>
            </w:r>
          </w:p>
        </w:tc>
      </w:tr>
      <w:tr w:rsidR="00F75E3A" w:rsidRPr="00677475" w14:paraId="23E04EC7" w14:textId="77777777" w:rsidTr="00243F14">
        <w:tc>
          <w:tcPr>
            <w:tcW w:w="1838" w:type="dxa"/>
          </w:tcPr>
          <w:p w14:paraId="01935DA7" w14:textId="77777777" w:rsidR="00F75E3A" w:rsidRPr="00677475" w:rsidRDefault="00F75E3A" w:rsidP="00243F14">
            <w:pPr>
              <w:spacing w:line="276" w:lineRule="auto"/>
              <w:jc w:val="center"/>
              <w:rPr>
                <w:rFonts w:ascii="Book Antiqua" w:hAnsi="Book Antiqua"/>
                <w:color w:val="000000" w:themeColor="text1"/>
                <w:sz w:val="20"/>
                <w:szCs w:val="20"/>
              </w:rPr>
            </w:pPr>
            <w:r w:rsidRPr="00677475">
              <w:rPr>
                <w:rFonts w:ascii="Book Antiqua" w:hAnsi="Book Antiqua"/>
                <w:color w:val="000000" w:themeColor="text1"/>
                <w:sz w:val="20"/>
                <w:szCs w:val="20"/>
              </w:rPr>
              <w:t>Ejecución de la pena</w:t>
            </w:r>
          </w:p>
        </w:tc>
        <w:tc>
          <w:tcPr>
            <w:tcW w:w="3402" w:type="dxa"/>
          </w:tcPr>
          <w:p w14:paraId="0D7C8D30" w14:textId="77777777" w:rsidR="00F75E3A" w:rsidRPr="00677475" w:rsidRDefault="00F75E3A" w:rsidP="00243F14">
            <w:pPr>
              <w:spacing w:line="276" w:lineRule="auto"/>
              <w:jc w:val="center"/>
              <w:rPr>
                <w:rFonts w:ascii="Book Antiqua" w:hAnsi="Book Antiqua"/>
                <w:color w:val="000000" w:themeColor="text1"/>
                <w:sz w:val="20"/>
                <w:szCs w:val="20"/>
              </w:rPr>
            </w:pPr>
            <w:r w:rsidRPr="00677475">
              <w:rPr>
                <w:rFonts w:ascii="Book Antiqua" w:hAnsi="Book Antiqua"/>
                <w:color w:val="000000" w:themeColor="text1"/>
                <w:sz w:val="20"/>
                <w:szCs w:val="20"/>
              </w:rPr>
              <w:t>Firma de resoluciones</w:t>
            </w:r>
            <w:r>
              <w:rPr>
                <w:rFonts w:ascii="Book Antiqua" w:hAnsi="Book Antiqua"/>
                <w:color w:val="000000" w:themeColor="text1"/>
                <w:sz w:val="20"/>
                <w:szCs w:val="20"/>
              </w:rPr>
              <w:t xml:space="preserve"> (expedientes)</w:t>
            </w:r>
            <w:r w:rsidRPr="00677475">
              <w:rPr>
                <w:rFonts w:ascii="Book Antiqua" w:hAnsi="Book Antiqua"/>
                <w:color w:val="000000" w:themeColor="text1"/>
                <w:sz w:val="20"/>
                <w:szCs w:val="20"/>
              </w:rPr>
              <w:t xml:space="preserve"> y Asuntos terminados</w:t>
            </w:r>
          </w:p>
        </w:tc>
        <w:tc>
          <w:tcPr>
            <w:tcW w:w="4536" w:type="dxa"/>
          </w:tcPr>
          <w:p w14:paraId="7E4122C8" w14:textId="77777777" w:rsidR="00F75E3A" w:rsidRPr="00677475" w:rsidRDefault="00F75E3A" w:rsidP="00243F14">
            <w:pPr>
              <w:spacing w:line="276" w:lineRule="auto"/>
              <w:jc w:val="both"/>
              <w:rPr>
                <w:rFonts w:ascii="Book Antiqua" w:hAnsi="Book Antiqua"/>
                <w:color w:val="000000" w:themeColor="text1"/>
                <w:sz w:val="20"/>
                <w:szCs w:val="20"/>
              </w:rPr>
            </w:pPr>
            <w:r w:rsidRPr="00677475">
              <w:rPr>
                <w:rFonts w:ascii="Book Antiqua" w:hAnsi="Book Antiqua"/>
                <w:color w:val="000000" w:themeColor="text1"/>
                <w:sz w:val="20"/>
                <w:szCs w:val="20"/>
              </w:rPr>
              <w:t>Tendrán un parámetro diario de cuatro asuntos terminados por cada plaza de judicatura y ocho proyectos diarios de resolución por cada plaza de Técnica o Técnico Judicial.</w:t>
            </w:r>
          </w:p>
        </w:tc>
      </w:tr>
    </w:tbl>
    <w:p w14:paraId="6F3AEAC0" w14:textId="77777777" w:rsidR="00F75E3A" w:rsidRPr="004F0E92" w:rsidRDefault="00F75E3A" w:rsidP="00F75E3A">
      <w:pPr>
        <w:spacing w:line="276" w:lineRule="auto"/>
        <w:rPr>
          <w:rFonts w:ascii="Book Antiqua" w:hAnsi="Book Antiqua"/>
          <w:b/>
          <w:color w:val="000000" w:themeColor="text1"/>
        </w:rPr>
      </w:pPr>
    </w:p>
    <w:p w14:paraId="424CCC60" w14:textId="77777777" w:rsidR="00F75E3A" w:rsidRPr="004F0E92" w:rsidRDefault="00F75E3A" w:rsidP="00F75E3A">
      <w:pPr>
        <w:spacing w:line="276" w:lineRule="auto"/>
        <w:rPr>
          <w:rFonts w:ascii="Book Antiqua" w:hAnsi="Book Antiqua"/>
          <w:color w:val="000000" w:themeColor="text1"/>
        </w:rPr>
      </w:pPr>
      <w:r w:rsidRPr="004F0E92">
        <w:rPr>
          <w:rFonts w:ascii="Book Antiqua" w:hAnsi="Book Antiqua"/>
          <w:color w:val="000000" w:themeColor="text1"/>
        </w:rPr>
        <w:t>A continuación, se muestran los resultados de materia Penal:</w:t>
      </w:r>
    </w:p>
    <w:p w14:paraId="174945D6" w14:textId="77777777" w:rsidR="00F75E3A" w:rsidRDefault="00F75E3A" w:rsidP="00F75E3A">
      <w:pPr>
        <w:spacing w:line="276" w:lineRule="auto"/>
        <w:rPr>
          <w:rFonts w:ascii="Book Antiqua" w:hAnsi="Book Antiqua"/>
          <w:b/>
          <w:color w:val="000000" w:themeColor="text1"/>
        </w:rPr>
      </w:pPr>
    </w:p>
    <w:p w14:paraId="7108D6BD" w14:textId="0D6540FC" w:rsidR="006F775A" w:rsidRDefault="006F775A">
      <w:pPr>
        <w:rPr>
          <w:rFonts w:ascii="Book Antiqua" w:hAnsi="Book Antiqua"/>
          <w:b/>
          <w:color w:val="000000" w:themeColor="text1"/>
        </w:rPr>
      </w:pPr>
      <w:r>
        <w:rPr>
          <w:rFonts w:ascii="Book Antiqua" w:hAnsi="Book Antiqua"/>
          <w:b/>
          <w:color w:val="000000" w:themeColor="text1"/>
        </w:rPr>
        <w:br w:type="page"/>
      </w:r>
    </w:p>
    <w:p w14:paraId="007AC44A" w14:textId="77777777" w:rsidR="00F75E3A" w:rsidRPr="004F0E92" w:rsidRDefault="00F75E3A" w:rsidP="00F75E3A">
      <w:pPr>
        <w:spacing w:line="276" w:lineRule="auto"/>
        <w:rPr>
          <w:rFonts w:ascii="Book Antiqua" w:hAnsi="Book Antiqua"/>
          <w:b/>
          <w:color w:val="000000" w:themeColor="text1"/>
        </w:rPr>
      </w:pPr>
    </w:p>
    <w:p w14:paraId="7B23131B" w14:textId="314A9851" w:rsidR="00F75E3A" w:rsidRPr="00C72F54" w:rsidRDefault="6F27BB99" w:rsidP="57A79FF7">
      <w:pPr>
        <w:spacing w:after="160" w:line="276" w:lineRule="auto"/>
        <w:contextualSpacing/>
        <w:outlineLvl w:val="1"/>
        <w:rPr>
          <w:b/>
          <w:color w:val="000000" w:themeColor="text1"/>
        </w:rPr>
      </w:pPr>
      <w:r w:rsidRPr="57A79FF7">
        <w:rPr>
          <w:rFonts w:ascii="Book Antiqua" w:hAnsi="Book Antiqua"/>
          <w:b/>
          <w:bCs/>
          <w:color w:val="000000" w:themeColor="text1"/>
        </w:rPr>
        <w:t xml:space="preserve">8.2.1 </w:t>
      </w:r>
      <w:r w:rsidR="00F75E3A" w:rsidRPr="00C72F54">
        <w:rPr>
          <w:rFonts w:ascii="Book Antiqua" w:hAnsi="Book Antiqua"/>
          <w:b/>
          <w:color w:val="000000" w:themeColor="text1"/>
        </w:rPr>
        <w:t>Juzgados Penales</w:t>
      </w:r>
    </w:p>
    <w:p w14:paraId="625BC623" w14:textId="77777777" w:rsidR="00C72F54" w:rsidRPr="00C72F54" w:rsidRDefault="00C72F54" w:rsidP="00C72F54">
      <w:pPr>
        <w:spacing w:line="276" w:lineRule="auto"/>
        <w:jc w:val="both"/>
        <w:rPr>
          <w:rFonts w:ascii="Book Antiqua" w:hAnsi="Book Antiqua"/>
          <w:color w:val="000000"/>
        </w:rPr>
      </w:pPr>
      <w:r w:rsidRPr="00C72F54">
        <w:rPr>
          <w:rFonts w:ascii="Book Antiqua" w:hAnsi="Book Antiqua"/>
          <w:color w:val="000000"/>
        </w:rPr>
        <w:t xml:space="preserve">Los Juzgados Penales, tiene un promedio general a nivel nacional de cumplimiento de un 127% del parámetro de producción. Se observa que el juzgado con mayor cumplimiento es San Carlos (753%) y el de menor cumplimiento Buenos Aires (15%). </w:t>
      </w:r>
    </w:p>
    <w:p w14:paraId="75CD1AA2" w14:textId="77777777" w:rsidR="00C72F54" w:rsidRPr="00C72F54" w:rsidRDefault="00C72F54" w:rsidP="00C72F54">
      <w:pPr>
        <w:spacing w:line="276" w:lineRule="auto"/>
        <w:jc w:val="both"/>
        <w:rPr>
          <w:rFonts w:ascii="Book Antiqua" w:hAnsi="Book Antiqua"/>
          <w:color w:val="000000"/>
        </w:rPr>
      </w:pPr>
      <w:r w:rsidRPr="00C72F54">
        <w:rPr>
          <w:rFonts w:ascii="Book Antiqua" w:hAnsi="Book Antiqua"/>
          <w:color w:val="000000"/>
        </w:rPr>
        <w:t xml:space="preserve"> </w:t>
      </w:r>
    </w:p>
    <w:p w14:paraId="3E49F54A" w14:textId="4D4E6337" w:rsidR="00F75E3A" w:rsidRDefault="00C72F54" w:rsidP="00C72F54">
      <w:pPr>
        <w:spacing w:line="276" w:lineRule="auto"/>
        <w:jc w:val="both"/>
        <w:rPr>
          <w:rFonts w:ascii="Book Antiqua" w:hAnsi="Book Antiqua"/>
          <w:color w:val="000000"/>
        </w:rPr>
      </w:pPr>
      <w:r w:rsidRPr="00C72F54">
        <w:rPr>
          <w:rFonts w:ascii="Book Antiqua" w:hAnsi="Book Antiqua"/>
          <w:color w:val="000000"/>
        </w:rPr>
        <w:t>En el siguiente cuadro se aprecia el detalle:</w:t>
      </w:r>
    </w:p>
    <w:p w14:paraId="53410275" w14:textId="77777777" w:rsidR="00C72F54" w:rsidRPr="00060EA9" w:rsidRDefault="00C72F54" w:rsidP="00C72F54">
      <w:pPr>
        <w:spacing w:line="276" w:lineRule="auto"/>
        <w:jc w:val="both"/>
        <w:rPr>
          <w:rFonts w:ascii="Book Antiqua" w:hAnsi="Book Antiqua"/>
          <w:color w:val="000000" w:themeColor="text1"/>
          <w:highlight w:val="green"/>
        </w:rPr>
      </w:pPr>
    </w:p>
    <w:p w14:paraId="3653DC5E" w14:textId="68D9F941" w:rsidR="00F75E3A" w:rsidRPr="00C72F54" w:rsidRDefault="00F75E3A" w:rsidP="00F75E3A">
      <w:pPr>
        <w:spacing w:line="276" w:lineRule="auto"/>
        <w:jc w:val="center"/>
        <w:rPr>
          <w:rFonts w:ascii="Book Antiqua" w:hAnsi="Book Antiqua"/>
          <w:b/>
          <w:color w:val="000000" w:themeColor="text1"/>
        </w:rPr>
      </w:pPr>
      <w:r w:rsidRPr="00C72F54">
        <w:rPr>
          <w:rFonts w:ascii="Book Antiqua" w:hAnsi="Book Antiqua"/>
          <w:b/>
          <w:color w:val="000000" w:themeColor="text1"/>
        </w:rPr>
        <w:t xml:space="preserve">Cuadro </w:t>
      </w:r>
      <w:r w:rsidR="00F353FF">
        <w:rPr>
          <w:rFonts w:ascii="Book Antiqua" w:hAnsi="Book Antiqua"/>
          <w:b/>
          <w:color w:val="000000" w:themeColor="text1"/>
        </w:rPr>
        <w:t>80</w:t>
      </w:r>
    </w:p>
    <w:p w14:paraId="4A39DCBD" w14:textId="77777777" w:rsidR="00F75E3A" w:rsidRPr="00C72F54" w:rsidRDefault="00F75E3A" w:rsidP="00F75E3A">
      <w:pPr>
        <w:spacing w:line="276" w:lineRule="auto"/>
        <w:jc w:val="center"/>
        <w:rPr>
          <w:rFonts w:ascii="Book Antiqua" w:hAnsi="Book Antiqua"/>
          <w:bCs/>
          <w:color w:val="000000" w:themeColor="text1"/>
        </w:rPr>
      </w:pPr>
      <w:r w:rsidRPr="00C72F54">
        <w:rPr>
          <w:rFonts w:ascii="Book Antiqua" w:hAnsi="Book Antiqua"/>
          <w:bCs/>
          <w:color w:val="000000" w:themeColor="text1"/>
        </w:rPr>
        <w:t xml:space="preserve">Cumplimiento del parámetro de producción </w:t>
      </w:r>
    </w:p>
    <w:p w14:paraId="28D6094A" w14:textId="5FF9568B" w:rsidR="00F75E3A" w:rsidRDefault="00F75E3A" w:rsidP="00F75E3A">
      <w:pPr>
        <w:spacing w:line="276" w:lineRule="auto"/>
        <w:jc w:val="center"/>
        <w:rPr>
          <w:rFonts w:ascii="Book Antiqua" w:hAnsi="Book Antiqua"/>
          <w:bCs/>
          <w:color w:val="000000" w:themeColor="text1"/>
        </w:rPr>
      </w:pPr>
      <w:r w:rsidRPr="00C72F54">
        <w:rPr>
          <w:rFonts w:ascii="Book Antiqua" w:hAnsi="Book Antiqua"/>
          <w:bCs/>
          <w:color w:val="000000" w:themeColor="text1"/>
        </w:rPr>
        <w:t xml:space="preserve">teórico de Juzgados Penales durante </w:t>
      </w:r>
      <w:r w:rsidR="003E16F3" w:rsidRPr="00C72F54">
        <w:rPr>
          <w:rFonts w:ascii="Book Antiqua" w:hAnsi="Book Antiqua"/>
          <w:bCs/>
          <w:color w:val="000000" w:themeColor="text1"/>
        </w:rPr>
        <w:t>setiembre</w:t>
      </w:r>
      <w:r w:rsidRPr="00C72F54">
        <w:rPr>
          <w:rFonts w:ascii="Book Antiqua" w:hAnsi="Book Antiqua"/>
          <w:bCs/>
          <w:color w:val="000000" w:themeColor="text1"/>
        </w:rPr>
        <w:t xml:space="preserve"> 2021</w:t>
      </w:r>
    </w:p>
    <w:tbl>
      <w:tblPr>
        <w:tblW w:w="7481" w:type="dxa"/>
        <w:jc w:val="center"/>
        <w:tblCellMar>
          <w:left w:w="70" w:type="dxa"/>
          <w:right w:w="70" w:type="dxa"/>
        </w:tblCellMar>
        <w:tblLook w:val="04A0" w:firstRow="1" w:lastRow="0" w:firstColumn="1" w:lastColumn="0" w:noHBand="0" w:noVBand="1"/>
      </w:tblPr>
      <w:tblGrid>
        <w:gridCol w:w="5761"/>
        <w:gridCol w:w="1720"/>
      </w:tblGrid>
      <w:tr w:rsidR="003E16F3" w:rsidRPr="00C72F54" w14:paraId="792BC722" w14:textId="77777777" w:rsidTr="00C72F54">
        <w:trPr>
          <w:trHeight w:val="1510"/>
          <w:jc w:val="center"/>
        </w:trPr>
        <w:tc>
          <w:tcPr>
            <w:tcW w:w="5761" w:type="dxa"/>
            <w:tcBorders>
              <w:top w:val="single" w:sz="4" w:space="0" w:color="808080"/>
              <w:left w:val="single" w:sz="4" w:space="0" w:color="808080"/>
              <w:bottom w:val="single" w:sz="4" w:space="0" w:color="808080"/>
              <w:right w:val="single" w:sz="4" w:space="0" w:color="808080"/>
            </w:tcBorders>
            <w:shd w:val="clear" w:color="000000" w:fill="305496"/>
            <w:noWrap/>
            <w:vAlign w:val="center"/>
            <w:hideMark/>
          </w:tcPr>
          <w:p w14:paraId="6F4E292A" w14:textId="77777777" w:rsidR="003E16F3" w:rsidRPr="00C72F54" w:rsidRDefault="003E16F3" w:rsidP="003E16F3">
            <w:pPr>
              <w:jc w:val="center"/>
              <w:rPr>
                <w:rFonts w:ascii="Book Antiqua" w:hAnsi="Book Antiqua" w:cs="Calibri"/>
                <w:b/>
                <w:bCs/>
                <w:color w:val="FFFFFF"/>
                <w:sz w:val="16"/>
                <w:szCs w:val="16"/>
                <w:lang w:eastAsia="es-CR"/>
              </w:rPr>
            </w:pPr>
            <w:r w:rsidRPr="00C72F54">
              <w:rPr>
                <w:rFonts w:ascii="Book Antiqua" w:hAnsi="Book Antiqua" w:cs="Calibri"/>
                <w:b/>
                <w:bCs/>
                <w:color w:val="FFFFFF"/>
                <w:sz w:val="16"/>
                <w:szCs w:val="16"/>
                <w:lang w:eastAsia="es-CR"/>
              </w:rPr>
              <w:t>Oficina</w:t>
            </w:r>
          </w:p>
        </w:tc>
        <w:tc>
          <w:tcPr>
            <w:tcW w:w="1720" w:type="dxa"/>
            <w:tcBorders>
              <w:top w:val="single" w:sz="4" w:space="0" w:color="808080"/>
              <w:left w:val="nil"/>
              <w:bottom w:val="single" w:sz="4" w:space="0" w:color="808080"/>
              <w:right w:val="single" w:sz="4" w:space="0" w:color="808080"/>
            </w:tcBorders>
            <w:shd w:val="clear" w:color="000000" w:fill="305496"/>
            <w:vAlign w:val="center"/>
            <w:hideMark/>
          </w:tcPr>
          <w:p w14:paraId="248E10EB" w14:textId="5D879D41" w:rsidR="003E16F3" w:rsidRPr="00C72F54" w:rsidRDefault="003E16F3" w:rsidP="003E16F3">
            <w:pPr>
              <w:jc w:val="center"/>
              <w:rPr>
                <w:rFonts w:ascii="Book Antiqua" w:hAnsi="Book Antiqua" w:cs="Calibri"/>
                <w:b/>
                <w:bCs/>
                <w:color w:val="FFFFFF"/>
                <w:sz w:val="16"/>
                <w:szCs w:val="16"/>
                <w:lang w:eastAsia="es-CR"/>
              </w:rPr>
            </w:pPr>
            <w:r w:rsidRPr="00C72F54">
              <w:rPr>
                <w:rFonts w:ascii="Book Antiqua" w:hAnsi="Book Antiqua" w:cs="Calibri"/>
                <w:b/>
                <w:bCs/>
                <w:color w:val="FFFFFF"/>
                <w:sz w:val="16"/>
                <w:szCs w:val="16"/>
                <w:lang w:eastAsia="es-CR"/>
              </w:rPr>
              <w:t>Porcentaje de cumplimiento / desestimación / sobreseimientos / acusación</w:t>
            </w:r>
          </w:p>
        </w:tc>
      </w:tr>
      <w:tr w:rsidR="003E16F3" w:rsidRPr="00C72F54" w14:paraId="27C58AD6" w14:textId="77777777" w:rsidTr="00C72F54">
        <w:trPr>
          <w:trHeight w:val="290"/>
          <w:jc w:val="center"/>
        </w:trPr>
        <w:tc>
          <w:tcPr>
            <w:tcW w:w="5761" w:type="dxa"/>
            <w:tcBorders>
              <w:top w:val="nil"/>
              <w:left w:val="single" w:sz="4" w:space="0" w:color="808080"/>
              <w:bottom w:val="single" w:sz="4" w:space="0" w:color="808080"/>
              <w:right w:val="single" w:sz="4" w:space="0" w:color="808080"/>
            </w:tcBorders>
            <w:shd w:val="clear" w:color="auto" w:fill="auto"/>
            <w:noWrap/>
            <w:vAlign w:val="bottom"/>
            <w:hideMark/>
          </w:tcPr>
          <w:p w14:paraId="1F83534C" w14:textId="6C7848F6" w:rsidR="003E16F3" w:rsidRPr="00C72F54" w:rsidRDefault="003E16F3" w:rsidP="003E16F3">
            <w:pPr>
              <w:rPr>
                <w:rFonts w:ascii="Book Antiqua" w:hAnsi="Book Antiqua" w:cs="Calibri"/>
                <w:color w:val="000000"/>
                <w:sz w:val="16"/>
                <w:szCs w:val="16"/>
                <w:lang w:eastAsia="es-CR"/>
              </w:rPr>
            </w:pPr>
            <w:r w:rsidRPr="00C72F54">
              <w:rPr>
                <w:rFonts w:ascii="Book Antiqua" w:hAnsi="Book Antiqua" w:cs="Calibri"/>
                <w:color w:val="000000"/>
                <w:sz w:val="16"/>
                <w:szCs w:val="16"/>
                <w:lang w:eastAsia="es-CR"/>
              </w:rPr>
              <w:t>Juzgado Penal del II Circuito Judicial de Alajuela</w:t>
            </w:r>
          </w:p>
        </w:tc>
        <w:tc>
          <w:tcPr>
            <w:tcW w:w="1720" w:type="dxa"/>
            <w:tcBorders>
              <w:top w:val="nil"/>
              <w:left w:val="nil"/>
              <w:bottom w:val="single" w:sz="4" w:space="0" w:color="808080"/>
              <w:right w:val="single" w:sz="4" w:space="0" w:color="808080"/>
            </w:tcBorders>
            <w:shd w:val="clear" w:color="auto" w:fill="auto"/>
            <w:noWrap/>
            <w:vAlign w:val="bottom"/>
            <w:hideMark/>
          </w:tcPr>
          <w:p w14:paraId="0C1F4C7A" w14:textId="77777777" w:rsidR="003E16F3" w:rsidRPr="00C72F54" w:rsidRDefault="003E16F3" w:rsidP="003E16F3">
            <w:pPr>
              <w:jc w:val="center"/>
              <w:rPr>
                <w:rFonts w:ascii="Book Antiqua" w:hAnsi="Book Antiqua" w:cs="Calibri"/>
                <w:color w:val="000000"/>
                <w:sz w:val="16"/>
                <w:szCs w:val="16"/>
                <w:lang w:eastAsia="es-CR"/>
              </w:rPr>
            </w:pPr>
            <w:r w:rsidRPr="00C72F54">
              <w:rPr>
                <w:rFonts w:ascii="Book Antiqua" w:hAnsi="Book Antiqua" w:cs="Calibri"/>
                <w:color w:val="000000"/>
                <w:sz w:val="16"/>
                <w:szCs w:val="16"/>
                <w:lang w:eastAsia="es-CR"/>
              </w:rPr>
              <w:t>753 %</w:t>
            </w:r>
          </w:p>
        </w:tc>
      </w:tr>
      <w:tr w:rsidR="003E16F3" w:rsidRPr="00C72F54" w14:paraId="6E325F81" w14:textId="77777777" w:rsidTr="00C72F54">
        <w:trPr>
          <w:trHeight w:val="290"/>
          <w:jc w:val="center"/>
        </w:trPr>
        <w:tc>
          <w:tcPr>
            <w:tcW w:w="5761" w:type="dxa"/>
            <w:tcBorders>
              <w:top w:val="nil"/>
              <w:left w:val="single" w:sz="4" w:space="0" w:color="808080"/>
              <w:bottom w:val="single" w:sz="4" w:space="0" w:color="808080"/>
              <w:right w:val="single" w:sz="4" w:space="0" w:color="808080"/>
            </w:tcBorders>
            <w:shd w:val="clear" w:color="auto" w:fill="auto"/>
            <w:noWrap/>
            <w:vAlign w:val="bottom"/>
            <w:hideMark/>
          </w:tcPr>
          <w:p w14:paraId="606BF527" w14:textId="12A683CA" w:rsidR="003E16F3" w:rsidRPr="00C72F54" w:rsidRDefault="003E16F3" w:rsidP="003E16F3">
            <w:pPr>
              <w:rPr>
                <w:rFonts w:ascii="Book Antiqua" w:hAnsi="Book Antiqua" w:cs="Calibri"/>
                <w:color w:val="000000"/>
                <w:sz w:val="16"/>
                <w:szCs w:val="16"/>
                <w:lang w:eastAsia="es-CR"/>
              </w:rPr>
            </w:pPr>
            <w:r w:rsidRPr="00C72F54">
              <w:rPr>
                <w:rFonts w:ascii="Book Antiqua" w:hAnsi="Book Antiqua" w:cs="Calibri"/>
                <w:color w:val="000000"/>
                <w:sz w:val="16"/>
                <w:szCs w:val="16"/>
                <w:lang w:eastAsia="es-CR"/>
              </w:rPr>
              <w:t xml:space="preserve">Juzgado Penal del II Circuito Judicial Guanacaste </w:t>
            </w:r>
          </w:p>
        </w:tc>
        <w:tc>
          <w:tcPr>
            <w:tcW w:w="1720" w:type="dxa"/>
            <w:tcBorders>
              <w:top w:val="nil"/>
              <w:left w:val="nil"/>
              <w:bottom w:val="single" w:sz="4" w:space="0" w:color="808080"/>
              <w:right w:val="single" w:sz="4" w:space="0" w:color="808080"/>
            </w:tcBorders>
            <w:shd w:val="clear" w:color="auto" w:fill="auto"/>
            <w:noWrap/>
            <w:vAlign w:val="bottom"/>
            <w:hideMark/>
          </w:tcPr>
          <w:p w14:paraId="28A8C8F6" w14:textId="77777777" w:rsidR="003E16F3" w:rsidRPr="00C72F54" w:rsidRDefault="003E16F3" w:rsidP="003E16F3">
            <w:pPr>
              <w:jc w:val="center"/>
              <w:rPr>
                <w:rFonts w:ascii="Book Antiqua" w:hAnsi="Book Antiqua" w:cs="Calibri"/>
                <w:color w:val="000000"/>
                <w:sz w:val="16"/>
                <w:szCs w:val="16"/>
                <w:lang w:eastAsia="es-CR"/>
              </w:rPr>
            </w:pPr>
            <w:r w:rsidRPr="00C72F54">
              <w:rPr>
                <w:rFonts w:ascii="Book Antiqua" w:hAnsi="Book Antiqua" w:cs="Calibri"/>
                <w:color w:val="000000"/>
                <w:sz w:val="16"/>
                <w:szCs w:val="16"/>
                <w:lang w:eastAsia="es-CR"/>
              </w:rPr>
              <w:t>336 %</w:t>
            </w:r>
          </w:p>
        </w:tc>
      </w:tr>
      <w:tr w:rsidR="003E16F3" w:rsidRPr="00C72F54" w14:paraId="59708030" w14:textId="77777777" w:rsidTr="00C72F54">
        <w:trPr>
          <w:trHeight w:val="290"/>
          <w:jc w:val="center"/>
        </w:trPr>
        <w:tc>
          <w:tcPr>
            <w:tcW w:w="5761" w:type="dxa"/>
            <w:tcBorders>
              <w:top w:val="nil"/>
              <w:left w:val="single" w:sz="4" w:space="0" w:color="808080"/>
              <w:bottom w:val="single" w:sz="4" w:space="0" w:color="808080"/>
              <w:right w:val="single" w:sz="4" w:space="0" w:color="808080"/>
            </w:tcBorders>
            <w:shd w:val="clear" w:color="auto" w:fill="auto"/>
            <w:noWrap/>
            <w:vAlign w:val="bottom"/>
            <w:hideMark/>
          </w:tcPr>
          <w:p w14:paraId="1D86C569" w14:textId="77777777" w:rsidR="003E16F3" w:rsidRPr="00C72F54" w:rsidRDefault="003E16F3" w:rsidP="003E16F3">
            <w:pPr>
              <w:rPr>
                <w:rFonts w:ascii="Book Antiqua" w:hAnsi="Book Antiqua" w:cs="Calibri"/>
                <w:color w:val="000000"/>
                <w:sz w:val="16"/>
                <w:szCs w:val="16"/>
                <w:lang w:eastAsia="es-CR"/>
              </w:rPr>
            </w:pPr>
            <w:r w:rsidRPr="00C72F54">
              <w:rPr>
                <w:rFonts w:ascii="Book Antiqua" w:hAnsi="Book Antiqua" w:cs="Calibri"/>
                <w:color w:val="000000"/>
                <w:sz w:val="16"/>
                <w:szCs w:val="16"/>
                <w:lang w:eastAsia="es-CR"/>
              </w:rPr>
              <w:t>Juzgado Penal del I Circuito Judicial de La Zona Sur</w:t>
            </w:r>
          </w:p>
        </w:tc>
        <w:tc>
          <w:tcPr>
            <w:tcW w:w="1720" w:type="dxa"/>
            <w:tcBorders>
              <w:top w:val="nil"/>
              <w:left w:val="nil"/>
              <w:bottom w:val="single" w:sz="4" w:space="0" w:color="808080"/>
              <w:right w:val="single" w:sz="4" w:space="0" w:color="808080"/>
            </w:tcBorders>
            <w:shd w:val="clear" w:color="auto" w:fill="auto"/>
            <w:noWrap/>
            <w:vAlign w:val="bottom"/>
            <w:hideMark/>
          </w:tcPr>
          <w:p w14:paraId="56501633" w14:textId="77777777" w:rsidR="003E16F3" w:rsidRPr="00C72F54" w:rsidRDefault="003E16F3" w:rsidP="003E16F3">
            <w:pPr>
              <w:jc w:val="center"/>
              <w:rPr>
                <w:rFonts w:ascii="Book Antiqua" w:hAnsi="Book Antiqua" w:cs="Calibri"/>
                <w:color w:val="000000"/>
                <w:sz w:val="16"/>
                <w:szCs w:val="16"/>
                <w:lang w:eastAsia="es-CR"/>
              </w:rPr>
            </w:pPr>
            <w:r w:rsidRPr="00C72F54">
              <w:rPr>
                <w:rFonts w:ascii="Book Antiqua" w:hAnsi="Book Antiqua" w:cs="Calibri"/>
                <w:color w:val="000000"/>
                <w:sz w:val="16"/>
                <w:szCs w:val="16"/>
                <w:lang w:eastAsia="es-CR"/>
              </w:rPr>
              <w:t>324 %</w:t>
            </w:r>
          </w:p>
        </w:tc>
      </w:tr>
      <w:tr w:rsidR="003E16F3" w:rsidRPr="00C72F54" w14:paraId="083713C8" w14:textId="77777777" w:rsidTr="00C72F54">
        <w:trPr>
          <w:trHeight w:val="290"/>
          <w:jc w:val="center"/>
        </w:trPr>
        <w:tc>
          <w:tcPr>
            <w:tcW w:w="5761" w:type="dxa"/>
            <w:tcBorders>
              <w:top w:val="nil"/>
              <w:left w:val="single" w:sz="4" w:space="0" w:color="808080"/>
              <w:bottom w:val="single" w:sz="4" w:space="0" w:color="808080"/>
              <w:right w:val="single" w:sz="4" w:space="0" w:color="808080"/>
            </w:tcBorders>
            <w:shd w:val="clear" w:color="auto" w:fill="auto"/>
            <w:noWrap/>
            <w:vAlign w:val="bottom"/>
            <w:hideMark/>
          </w:tcPr>
          <w:p w14:paraId="4BF28D39" w14:textId="77777777" w:rsidR="003E16F3" w:rsidRPr="00C72F54" w:rsidRDefault="003E16F3" w:rsidP="003E16F3">
            <w:pPr>
              <w:rPr>
                <w:rFonts w:ascii="Book Antiqua" w:hAnsi="Book Antiqua" w:cs="Calibri"/>
                <w:color w:val="000000"/>
                <w:sz w:val="16"/>
                <w:szCs w:val="16"/>
                <w:lang w:eastAsia="es-CR"/>
              </w:rPr>
            </w:pPr>
            <w:r w:rsidRPr="00C72F54">
              <w:rPr>
                <w:rFonts w:ascii="Book Antiqua" w:hAnsi="Book Antiqua" w:cs="Calibri"/>
                <w:color w:val="000000"/>
                <w:sz w:val="16"/>
                <w:szCs w:val="16"/>
                <w:lang w:eastAsia="es-CR"/>
              </w:rPr>
              <w:t xml:space="preserve">Juzgado Penal de Santa Cruz </w:t>
            </w:r>
          </w:p>
        </w:tc>
        <w:tc>
          <w:tcPr>
            <w:tcW w:w="1720" w:type="dxa"/>
            <w:tcBorders>
              <w:top w:val="nil"/>
              <w:left w:val="nil"/>
              <w:bottom w:val="single" w:sz="4" w:space="0" w:color="808080"/>
              <w:right w:val="single" w:sz="4" w:space="0" w:color="808080"/>
            </w:tcBorders>
            <w:shd w:val="clear" w:color="auto" w:fill="auto"/>
            <w:noWrap/>
            <w:vAlign w:val="bottom"/>
            <w:hideMark/>
          </w:tcPr>
          <w:p w14:paraId="3320B11A" w14:textId="77777777" w:rsidR="003E16F3" w:rsidRPr="00C72F54" w:rsidRDefault="003E16F3" w:rsidP="003E16F3">
            <w:pPr>
              <w:jc w:val="center"/>
              <w:rPr>
                <w:rFonts w:ascii="Book Antiqua" w:hAnsi="Book Antiqua" w:cs="Calibri"/>
                <w:color w:val="000000"/>
                <w:sz w:val="16"/>
                <w:szCs w:val="16"/>
                <w:lang w:eastAsia="es-CR"/>
              </w:rPr>
            </w:pPr>
            <w:r w:rsidRPr="00C72F54">
              <w:rPr>
                <w:rFonts w:ascii="Book Antiqua" w:hAnsi="Book Antiqua" w:cs="Calibri"/>
                <w:color w:val="000000"/>
                <w:sz w:val="16"/>
                <w:szCs w:val="16"/>
                <w:lang w:eastAsia="es-CR"/>
              </w:rPr>
              <w:t>223 %</w:t>
            </w:r>
          </w:p>
        </w:tc>
      </w:tr>
      <w:tr w:rsidR="003E16F3" w:rsidRPr="00C72F54" w14:paraId="56D3D54D" w14:textId="77777777" w:rsidTr="00C72F54">
        <w:trPr>
          <w:trHeight w:val="290"/>
          <w:jc w:val="center"/>
        </w:trPr>
        <w:tc>
          <w:tcPr>
            <w:tcW w:w="5761" w:type="dxa"/>
            <w:tcBorders>
              <w:top w:val="nil"/>
              <w:left w:val="single" w:sz="4" w:space="0" w:color="808080"/>
              <w:bottom w:val="single" w:sz="4" w:space="0" w:color="808080"/>
              <w:right w:val="single" w:sz="4" w:space="0" w:color="808080"/>
            </w:tcBorders>
            <w:shd w:val="clear" w:color="auto" w:fill="auto"/>
            <w:noWrap/>
            <w:vAlign w:val="bottom"/>
            <w:hideMark/>
          </w:tcPr>
          <w:p w14:paraId="43FE9142" w14:textId="77777777" w:rsidR="003E16F3" w:rsidRPr="00C72F54" w:rsidRDefault="003E16F3" w:rsidP="003E16F3">
            <w:pPr>
              <w:rPr>
                <w:rFonts w:ascii="Book Antiqua" w:hAnsi="Book Antiqua" w:cs="Calibri"/>
                <w:color w:val="000000"/>
                <w:sz w:val="16"/>
                <w:szCs w:val="16"/>
                <w:lang w:eastAsia="es-CR"/>
              </w:rPr>
            </w:pPr>
            <w:r w:rsidRPr="00C72F54">
              <w:rPr>
                <w:rFonts w:ascii="Book Antiqua" w:hAnsi="Book Antiqua" w:cs="Calibri"/>
                <w:color w:val="000000"/>
                <w:sz w:val="16"/>
                <w:szCs w:val="16"/>
                <w:lang w:eastAsia="es-CR"/>
              </w:rPr>
              <w:t>Juzgado Penal de Upala</w:t>
            </w:r>
          </w:p>
        </w:tc>
        <w:tc>
          <w:tcPr>
            <w:tcW w:w="1720" w:type="dxa"/>
            <w:tcBorders>
              <w:top w:val="nil"/>
              <w:left w:val="nil"/>
              <w:bottom w:val="single" w:sz="4" w:space="0" w:color="808080"/>
              <w:right w:val="single" w:sz="4" w:space="0" w:color="808080"/>
            </w:tcBorders>
            <w:shd w:val="clear" w:color="auto" w:fill="auto"/>
            <w:noWrap/>
            <w:vAlign w:val="bottom"/>
            <w:hideMark/>
          </w:tcPr>
          <w:p w14:paraId="18177442" w14:textId="77777777" w:rsidR="003E16F3" w:rsidRPr="00C72F54" w:rsidRDefault="003E16F3" w:rsidP="003E16F3">
            <w:pPr>
              <w:jc w:val="center"/>
              <w:rPr>
                <w:rFonts w:ascii="Book Antiqua" w:hAnsi="Book Antiqua" w:cs="Calibri"/>
                <w:color w:val="000000"/>
                <w:sz w:val="16"/>
                <w:szCs w:val="16"/>
                <w:lang w:eastAsia="es-CR"/>
              </w:rPr>
            </w:pPr>
            <w:r w:rsidRPr="00C72F54">
              <w:rPr>
                <w:rFonts w:ascii="Book Antiqua" w:hAnsi="Book Antiqua" w:cs="Calibri"/>
                <w:color w:val="000000"/>
                <w:sz w:val="16"/>
                <w:szCs w:val="16"/>
                <w:lang w:eastAsia="es-CR"/>
              </w:rPr>
              <w:t>197 %</w:t>
            </w:r>
          </w:p>
        </w:tc>
      </w:tr>
      <w:tr w:rsidR="003E16F3" w:rsidRPr="00C72F54" w14:paraId="55369AD2" w14:textId="77777777" w:rsidTr="00C72F54">
        <w:trPr>
          <w:trHeight w:val="290"/>
          <w:jc w:val="center"/>
        </w:trPr>
        <w:tc>
          <w:tcPr>
            <w:tcW w:w="5761" w:type="dxa"/>
            <w:tcBorders>
              <w:top w:val="nil"/>
              <w:left w:val="single" w:sz="4" w:space="0" w:color="808080"/>
              <w:bottom w:val="single" w:sz="4" w:space="0" w:color="808080"/>
              <w:right w:val="single" w:sz="4" w:space="0" w:color="808080"/>
            </w:tcBorders>
            <w:shd w:val="clear" w:color="auto" w:fill="auto"/>
            <w:noWrap/>
            <w:vAlign w:val="bottom"/>
            <w:hideMark/>
          </w:tcPr>
          <w:p w14:paraId="17AAD633" w14:textId="77777777" w:rsidR="003E16F3" w:rsidRPr="00C72F54" w:rsidRDefault="003E16F3" w:rsidP="003E16F3">
            <w:pPr>
              <w:rPr>
                <w:rFonts w:ascii="Book Antiqua" w:hAnsi="Book Antiqua" w:cs="Calibri"/>
                <w:color w:val="000000"/>
                <w:sz w:val="16"/>
                <w:szCs w:val="16"/>
                <w:lang w:eastAsia="es-CR"/>
              </w:rPr>
            </w:pPr>
            <w:r w:rsidRPr="00C72F54">
              <w:rPr>
                <w:rFonts w:ascii="Book Antiqua" w:hAnsi="Book Antiqua" w:cs="Calibri"/>
                <w:color w:val="000000"/>
                <w:sz w:val="16"/>
                <w:szCs w:val="16"/>
                <w:lang w:eastAsia="es-CR"/>
              </w:rPr>
              <w:t>Juzgado Penal de Grecia</w:t>
            </w:r>
          </w:p>
        </w:tc>
        <w:tc>
          <w:tcPr>
            <w:tcW w:w="1720" w:type="dxa"/>
            <w:tcBorders>
              <w:top w:val="nil"/>
              <w:left w:val="nil"/>
              <w:bottom w:val="single" w:sz="4" w:space="0" w:color="808080"/>
              <w:right w:val="single" w:sz="4" w:space="0" w:color="808080"/>
            </w:tcBorders>
            <w:shd w:val="clear" w:color="auto" w:fill="auto"/>
            <w:noWrap/>
            <w:vAlign w:val="bottom"/>
            <w:hideMark/>
          </w:tcPr>
          <w:p w14:paraId="0FE8133C" w14:textId="77777777" w:rsidR="003E16F3" w:rsidRPr="00C72F54" w:rsidRDefault="003E16F3" w:rsidP="003E16F3">
            <w:pPr>
              <w:jc w:val="center"/>
              <w:rPr>
                <w:rFonts w:ascii="Book Antiqua" w:hAnsi="Book Antiqua" w:cs="Calibri"/>
                <w:color w:val="000000"/>
                <w:sz w:val="16"/>
                <w:szCs w:val="16"/>
                <w:lang w:eastAsia="es-CR"/>
              </w:rPr>
            </w:pPr>
            <w:r w:rsidRPr="00C72F54">
              <w:rPr>
                <w:rFonts w:ascii="Book Antiqua" w:hAnsi="Book Antiqua" w:cs="Calibri"/>
                <w:color w:val="000000"/>
                <w:sz w:val="16"/>
                <w:szCs w:val="16"/>
                <w:lang w:eastAsia="es-CR"/>
              </w:rPr>
              <w:t>179 %</w:t>
            </w:r>
          </w:p>
        </w:tc>
      </w:tr>
      <w:tr w:rsidR="003E16F3" w:rsidRPr="00C72F54" w14:paraId="61098BDC" w14:textId="77777777" w:rsidTr="00C72F54">
        <w:trPr>
          <w:trHeight w:val="290"/>
          <w:jc w:val="center"/>
        </w:trPr>
        <w:tc>
          <w:tcPr>
            <w:tcW w:w="5761" w:type="dxa"/>
            <w:tcBorders>
              <w:top w:val="nil"/>
              <w:left w:val="single" w:sz="4" w:space="0" w:color="808080"/>
              <w:bottom w:val="single" w:sz="4" w:space="0" w:color="808080"/>
              <w:right w:val="single" w:sz="4" w:space="0" w:color="808080"/>
            </w:tcBorders>
            <w:shd w:val="clear" w:color="auto" w:fill="auto"/>
            <w:noWrap/>
            <w:vAlign w:val="bottom"/>
            <w:hideMark/>
          </w:tcPr>
          <w:p w14:paraId="2ADE42B5" w14:textId="77777777" w:rsidR="003E16F3" w:rsidRPr="00C72F54" w:rsidRDefault="003E16F3" w:rsidP="003E16F3">
            <w:pPr>
              <w:rPr>
                <w:rFonts w:ascii="Book Antiqua" w:hAnsi="Book Antiqua" w:cs="Calibri"/>
                <w:color w:val="000000"/>
                <w:sz w:val="16"/>
                <w:szCs w:val="16"/>
                <w:lang w:eastAsia="es-CR"/>
              </w:rPr>
            </w:pPr>
            <w:r w:rsidRPr="00C72F54">
              <w:rPr>
                <w:rFonts w:ascii="Book Antiqua" w:hAnsi="Book Antiqua" w:cs="Calibri"/>
                <w:color w:val="000000"/>
                <w:sz w:val="16"/>
                <w:szCs w:val="16"/>
                <w:lang w:eastAsia="es-CR"/>
              </w:rPr>
              <w:t xml:space="preserve">Juzgado Penal de Heredia </w:t>
            </w:r>
          </w:p>
        </w:tc>
        <w:tc>
          <w:tcPr>
            <w:tcW w:w="1720" w:type="dxa"/>
            <w:tcBorders>
              <w:top w:val="nil"/>
              <w:left w:val="nil"/>
              <w:bottom w:val="single" w:sz="4" w:space="0" w:color="808080"/>
              <w:right w:val="single" w:sz="4" w:space="0" w:color="808080"/>
            </w:tcBorders>
            <w:shd w:val="clear" w:color="auto" w:fill="auto"/>
            <w:noWrap/>
            <w:vAlign w:val="bottom"/>
            <w:hideMark/>
          </w:tcPr>
          <w:p w14:paraId="2BB1DA1E" w14:textId="77777777" w:rsidR="003E16F3" w:rsidRPr="00C72F54" w:rsidRDefault="003E16F3" w:rsidP="003E16F3">
            <w:pPr>
              <w:jc w:val="center"/>
              <w:rPr>
                <w:rFonts w:ascii="Book Antiqua" w:hAnsi="Book Antiqua" w:cs="Calibri"/>
                <w:color w:val="000000"/>
                <w:sz w:val="16"/>
                <w:szCs w:val="16"/>
                <w:lang w:eastAsia="es-CR"/>
              </w:rPr>
            </w:pPr>
            <w:r w:rsidRPr="00C72F54">
              <w:rPr>
                <w:rFonts w:ascii="Book Antiqua" w:hAnsi="Book Antiqua" w:cs="Calibri"/>
                <w:color w:val="000000"/>
                <w:sz w:val="16"/>
                <w:szCs w:val="16"/>
                <w:lang w:eastAsia="es-CR"/>
              </w:rPr>
              <w:t>148 %</w:t>
            </w:r>
          </w:p>
        </w:tc>
      </w:tr>
      <w:tr w:rsidR="003E16F3" w:rsidRPr="00C72F54" w14:paraId="17004C56" w14:textId="77777777" w:rsidTr="00C72F54">
        <w:trPr>
          <w:trHeight w:val="290"/>
          <w:jc w:val="center"/>
        </w:trPr>
        <w:tc>
          <w:tcPr>
            <w:tcW w:w="5761" w:type="dxa"/>
            <w:tcBorders>
              <w:top w:val="nil"/>
              <w:left w:val="single" w:sz="4" w:space="0" w:color="808080"/>
              <w:bottom w:val="single" w:sz="4" w:space="0" w:color="808080"/>
              <w:right w:val="single" w:sz="4" w:space="0" w:color="808080"/>
            </w:tcBorders>
            <w:shd w:val="clear" w:color="auto" w:fill="auto"/>
            <w:noWrap/>
            <w:vAlign w:val="bottom"/>
            <w:hideMark/>
          </w:tcPr>
          <w:p w14:paraId="46476464" w14:textId="77777777" w:rsidR="003E16F3" w:rsidRPr="00C72F54" w:rsidRDefault="003E16F3" w:rsidP="003E16F3">
            <w:pPr>
              <w:rPr>
                <w:rFonts w:ascii="Book Antiqua" w:hAnsi="Book Antiqua" w:cs="Calibri"/>
                <w:color w:val="000000"/>
                <w:sz w:val="16"/>
                <w:szCs w:val="16"/>
                <w:lang w:eastAsia="es-CR"/>
              </w:rPr>
            </w:pPr>
            <w:r w:rsidRPr="00C72F54">
              <w:rPr>
                <w:rFonts w:ascii="Book Antiqua" w:hAnsi="Book Antiqua" w:cs="Calibri"/>
                <w:color w:val="000000"/>
                <w:sz w:val="16"/>
                <w:szCs w:val="16"/>
                <w:lang w:eastAsia="es-CR"/>
              </w:rPr>
              <w:t xml:space="preserve">Juzgado Penal de La Unión </w:t>
            </w:r>
          </w:p>
        </w:tc>
        <w:tc>
          <w:tcPr>
            <w:tcW w:w="1720" w:type="dxa"/>
            <w:tcBorders>
              <w:top w:val="nil"/>
              <w:left w:val="nil"/>
              <w:bottom w:val="single" w:sz="4" w:space="0" w:color="808080"/>
              <w:right w:val="single" w:sz="4" w:space="0" w:color="808080"/>
            </w:tcBorders>
            <w:shd w:val="clear" w:color="auto" w:fill="auto"/>
            <w:noWrap/>
            <w:vAlign w:val="bottom"/>
            <w:hideMark/>
          </w:tcPr>
          <w:p w14:paraId="3BE338A1" w14:textId="77777777" w:rsidR="003E16F3" w:rsidRPr="00C72F54" w:rsidRDefault="003E16F3" w:rsidP="003E16F3">
            <w:pPr>
              <w:jc w:val="center"/>
              <w:rPr>
                <w:rFonts w:ascii="Book Antiqua" w:hAnsi="Book Antiqua" w:cs="Calibri"/>
                <w:color w:val="000000"/>
                <w:sz w:val="16"/>
                <w:szCs w:val="16"/>
                <w:lang w:eastAsia="es-CR"/>
              </w:rPr>
            </w:pPr>
            <w:r w:rsidRPr="00C72F54">
              <w:rPr>
                <w:rFonts w:ascii="Book Antiqua" w:hAnsi="Book Antiqua" w:cs="Calibri"/>
                <w:color w:val="000000"/>
                <w:sz w:val="16"/>
                <w:szCs w:val="16"/>
                <w:lang w:eastAsia="es-CR"/>
              </w:rPr>
              <w:t>146 %</w:t>
            </w:r>
          </w:p>
        </w:tc>
      </w:tr>
      <w:tr w:rsidR="003E16F3" w:rsidRPr="00C72F54" w14:paraId="4CE36705" w14:textId="77777777" w:rsidTr="00C72F54">
        <w:trPr>
          <w:trHeight w:val="290"/>
          <w:jc w:val="center"/>
        </w:trPr>
        <w:tc>
          <w:tcPr>
            <w:tcW w:w="5761" w:type="dxa"/>
            <w:tcBorders>
              <w:top w:val="nil"/>
              <w:left w:val="single" w:sz="4" w:space="0" w:color="808080"/>
              <w:bottom w:val="single" w:sz="4" w:space="0" w:color="808080"/>
              <w:right w:val="single" w:sz="4" w:space="0" w:color="808080"/>
            </w:tcBorders>
            <w:shd w:val="clear" w:color="auto" w:fill="auto"/>
            <w:noWrap/>
            <w:vAlign w:val="bottom"/>
            <w:hideMark/>
          </w:tcPr>
          <w:p w14:paraId="017D3C8A" w14:textId="2C07D158" w:rsidR="003E16F3" w:rsidRPr="00C72F54" w:rsidRDefault="003E16F3" w:rsidP="003E16F3">
            <w:pPr>
              <w:rPr>
                <w:rFonts w:ascii="Book Antiqua" w:hAnsi="Book Antiqua" w:cs="Calibri"/>
                <w:color w:val="000000"/>
                <w:sz w:val="16"/>
                <w:szCs w:val="16"/>
                <w:lang w:eastAsia="es-CR"/>
              </w:rPr>
            </w:pPr>
            <w:r w:rsidRPr="00C72F54">
              <w:rPr>
                <w:rFonts w:ascii="Book Antiqua" w:hAnsi="Book Antiqua" w:cs="Calibri"/>
                <w:color w:val="000000"/>
                <w:sz w:val="16"/>
                <w:szCs w:val="16"/>
                <w:lang w:eastAsia="es-CR"/>
              </w:rPr>
              <w:t>Juzgado Penal del III Circuito Judicial de San José</w:t>
            </w:r>
          </w:p>
        </w:tc>
        <w:tc>
          <w:tcPr>
            <w:tcW w:w="1720" w:type="dxa"/>
            <w:tcBorders>
              <w:top w:val="nil"/>
              <w:left w:val="nil"/>
              <w:bottom w:val="single" w:sz="4" w:space="0" w:color="808080"/>
              <w:right w:val="single" w:sz="4" w:space="0" w:color="808080"/>
            </w:tcBorders>
            <w:shd w:val="clear" w:color="auto" w:fill="auto"/>
            <w:noWrap/>
            <w:vAlign w:val="bottom"/>
            <w:hideMark/>
          </w:tcPr>
          <w:p w14:paraId="3C881D93" w14:textId="77777777" w:rsidR="003E16F3" w:rsidRPr="00C72F54" w:rsidRDefault="003E16F3" w:rsidP="003E16F3">
            <w:pPr>
              <w:jc w:val="center"/>
              <w:rPr>
                <w:rFonts w:ascii="Book Antiqua" w:hAnsi="Book Antiqua" w:cs="Calibri"/>
                <w:color w:val="000000"/>
                <w:sz w:val="16"/>
                <w:szCs w:val="16"/>
                <w:lang w:eastAsia="es-CR"/>
              </w:rPr>
            </w:pPr>
            <w:r w:rsidRPr="00C72F54">
              <w:rPr>
                <w:rFonts w:ascii="Book Antiqua" w:hAnsi="Book Antiqua" w:cs="Calibri"/>
                <w:color w:val="000000"/>
                <w:sz w:val="16"/>
                <w:szCs w:val="16"/>
                <w:lang w:eastAsia="es-CR"/>
              </w:rPr>
              <w:t>146 %</w:t>
            </w:r>
          </w:p>
        </w:tc>
      </w:tr>
      <w:tr w:rsidR="003E16F3" w:rsidRPr="00C72F54" w14:paraId="54FC8F5D" w14:textId="77777777" w:rsidTr="00C72F54">
        <w:trPr>
          <w:trHeight w:val="290"/>
          <w:jc w:val="center"/>
        </w:trPr>
        <w:tc>
          <w:tcPr>
            <w:tcW w:w="5761" w:type="dxa"/>
            <w:tcBorders>
              <w:top w:val="nil"/>
              <w:left w:val="single" w:sz="4" w:space="0" w:color="808080"/>
              <w:bottom w:val="single" w:sz="4" w:space="0" w:color="808080"/>
              <w:right w:val="single" w:sz="4" w:space="0" w:color="808080"/>
            </w:tcBorders>
            <w:shd w:val="clear" w:color="auto" w:fill="auto"/>
            <w:noWrap/>
            <w:vAlign w:val="bottom"/>
            <w:hideMark/>
          </w:tcPr>
          <w:p w14:paraId="4AF40F38" w14:textId="77777777" w:rsidR="003E16F3" w:rsidRPr="00C72F54" w:rsidRDefault="003E16F3" w:rsidP="003E16F3">
            <w:pPr>
              <w:rPr>
                <w:rFonts w:ascii="Book Antiqua" w:hAnsi="Book Antiqua" w:cs="Calibri"/>
                <w:color w:val="000000"/>
                <w:sz w:val="16"/>
                <w:szCs w:val="16"/>
                <w:lang w:eastAsia="es-CR"/>
              </w:rPr>
            </w:pPr>
            <w:r w:rsidRPr="00C72F54">
              <w:rPr>
                <w:rFonts w:ascii="Book Antiqua" w:hAnsi="Book Antiqua" w:cs="Calibri"/>
                <w:color w:val="000000"/>
                <w:sz w:val="16"/>
                <w:szCs w:val="16"/>
                <w:lang w:eastAsia="es-CR"/>
              </w:rPr>
              <w:t xml:space="preserve">Juzgado Penal de Golfito </w:t>
            </w:r>
          </w:p>
        </w:tc>
        <w:tc>
          <w:tcPr>
            <w:tcW w:w="1720" w:type="dxa"/>
            <w:tcBorders>
              <w:top w:val="nil"/>
              <w:left w:val="nil"/>
              <w:bottom w:val="single" w:sz="4" w:space="0" w:color="808080"/>
              <w:right w:val="single" w:sz="4" w:space="0" w:color="808080"/>
            </w:tcBorders>
            <w:shd w:val="clear" w:color="auto" w:fill="auto"/>
            <w:noWrap/>
            <w:vAlign w:val="bottom"/>
            <w:hideMark/>
          </w:tcPr>
          <w:p w14:paraId="0FF8C079" w14:textId="77777777" w:rsidR="003E16F3" w:rsidRPr="00C72F54" w:rsidRDefault="003E16F3" w:rsidP="003E16F3">
            <w:pPr>
              <w:jc w:val="center"/>
              <w:rPr>
                <w:rFonts w:ascii="Book Antiqua" w:hAnsi="Book Antiqua" w:cs="Calibri"/>
                <w:color w:val="000000"/>
                <w:sz w:val="16"/>
                <w:szCs w:val="16"/>
                <w:lang w:eastAsia="es-CR"/>
              </w:rPr>
            </w:pPr>
            <w:r w:rsidRPr="00C72F54">
              <w:rPr>
                <w:rFonts w:ascii="Book Antiqua" w:hAnsi="Book Antiqua" w:cs="Calibri"/>
                <w:color w:val="000000"/>
                <w:sz w:val="16"/>
                <w:szCs w:val="16"/>
                <w:lang w:eastAsia="es-CR"/>
              </w:rPr>
              <w:t>146 %</w:t>
            </w:r>
          </w:p>
        </w:tc>
      </w:tr>
      <w:tr w:rsidR="003E16F3" w:rsidRPr="00C72F54" w14:paraId="27327E59" w14:textId="77777777" w:rsidTr="00C72F54">
        <w:trPr>
          <w:trHeight w:val="290"/>
          <w:jc w:val="center"/>
        </w:trPr>
        <w:tc>
          <w:tcPr>
            <w:tcW w:w="5761" w:type="dxa"/>
            <w:tcBorders>
              <w:top w:val="nil"/>
              <w:left w:val="single" w:sz="4" w:space="0" w:color="808080"/>
              <w:bottom w:val="single" w:sz="4" w:space="0" w:color="808080"/>
              <w:right w:val="single" w:sz="4" w:space="0" w:color="808080"/>
            </w:tcBorders>
            <w:shd w:val="clear" w:color="auto" w:fill="auto"/>
            <w:noWrap/>
            <w:vAlign w:val="bottom"/>
            <w:hideMark/>
          </w:tcPr>
          <w:p w14:paraId="7814BF78" w14:textId="77777777" w:rsidR="003E16F3" w:rsidRPr="00C72F54" w:rsidRDefault="003E16F3" w:rsidP="003E16F3">
            <w:pPr>
              <w:rPr>
                <w:rFonts w:ascii="Book Antiqua" w:hAnsi="Book Antiqua" w:cs="Calibri"/>
                <w:color w:val="000000"/>
                <w:sz w:val="16"/>
                <w:szCs w:val="16"/>
                <w:lang w:eastAsia="es-CR"/>
              </w:rPr>
            </w:pPr>
            <w:r w:rsidRPr="00C72F54">
              <w:rPr>
                <w:rFonts w:ascii="Book Antiqua" w:hAnsi="Book Antiqua" w:cs="Calibri"/>
                <w:color w:val="000000"/>
                <w:sz w:val="16"/>
                <w:szCs w:val="16"/>
                <w:lang w:eastAsia="es-CR"/>
              </w:rPr>
              <w:t xml:space="preserve">Juzgado Penal de Cañas </w:t>
            </w:r>
          </w:p>
        </w:tc>
        <w:tc>
          <w:tcPr>
            <w:tcW w:w="1720" w:type="dxa"/>
            <w:tcBorders>
              <w:top w:val="nil"/>
              <w:left w:val="nil"/>
              <w:bottom w:val="single" w:sz="4" w:space="0" w:color="808080"/>
              <w:right w:val="single" w:sz="4" w:space="0" w:color="808080"/>
            </w:tcBorders>
            <w:shd w:val="clear" w:color="auto" w:fill="auto"/>
            <w:noWrap/>
            <w:vAlign w:val="bottom"/>
            <w:hideMark/>
          </w:tcPr>
          <w:p w14:paraId="4F0252E2" w14:textId="77777777" w:rsidR="003E16F3" w:rsidRPr="00C72F54" w:rsidRDefault="003E16F3" w:rsidP="003E16F3">
            <w:pPr>
              <w:jc w:val="center"/>
              <w:rPr>
                <w:rFonts w:ascii="Book Antiqua" w:hAnsi="Book Antiqua" w:cs="Calibri"/>
                <w:color w:val="000000"/>
                <w:sz w:val="16"/>
                <w:szCs w:val="16"/>
                <w:lang w:eastAsia="es-CR"/>
              </w:rPr>
            </w:pPr>
            <w:r w:rsidRPr="00C72F54">
              <w:rPr>
                <w:rFonts w:ascii="Book Antiqua" w:hAnsi="Book Antiqua" w:cs="Calibri"/>
                <w:color w:val="000000"/>
                <w:sz w:val="16"/>
                <w:szCs w:val="16"/>
                <w:lang w:eastAsia="es-CR"/>
              </w:rPr>
              <w:t>141 %</w:t>
            </w:r>
          </w:p>
        </w:tc>
      </w:tr>
      <w:tr w:rsidR="003E16F3" w:rsidRPr="00C72F54" w14:paraId="57020393" w14:textId="77777777" w:rsidTr="00C72F54">
        <w:trPr>
          <w:trHeight w:val="290"/>
          <w:jc w:val="center"/>
        </w:trPr>
        <w:tc>
          <w:tcPr>
            <w:tcW w:w="5761" w:type="dxa"/>
            <w:tcBorders>
              <w:top w:val="nil"/>
              <w:left w:val="single" w:sz="4" w:space="0" w:color="808080"/>
              <w:bottom w:val="single" w:sz="4" w:space="0" w:color="808080"/>
              <w:right w:val="single" w:sz="4" w:space="0" w:color="808080"/>
            </w:tcBorders>
            <w:shd w:val="clear" w:color="auto" w:fill="auto"/>
            <w:noWrap/>
            <w:vAlign w:val="bottom"/>
            <w:hideMark/>
          </w:tcPr>
          <w:p w14:paraId="5725D26E" w14:textId="77777777" w:rsidR="003E16F3" w:rsidRPr="00C72F54" w:rsidRDefault="003E16F3" w:rsidP="003E16F3">
            <w:pPr>
              <w:rPr>
                <w:rFonts w:ascii="Book Antiqua" w:hAnsi="Book Antiqua" w:cs="Calibri"/>
                <w:color w:val="000000"/>
                <w:sz w:val="16"/>
                <w:szCs w:val="16"/>
                <w:lang w:eastAsia="es-CR"/>
              </w:rPr>
            </w:pPr>
            <w:r w:rsidRPr="00C72F54">
              <w:rPr>
                <w:rFonts w:ascii="Book Antiqua" w:hAnsi="Book Antiqua" w:cs="Calibri"/>
                <w:color w:val="000000"/>
                <w:sz w:val="16"/>
                <w:szCs w:val="16"/>
                <w:lang w:eastAsia="es-CR"/>
              </w:rPr>
              <w:t>Juzgado Penal de Quepos</w:t>
            </w:r>
          </w:p>
        </w:tc>
        <w:tc>
          <w:tcPr>
            <w:tcW w:w="1720" w:type="dxa"/>
            <w:tcBorders>
              <w:top w:val="nil"/>
              <w:left w:val="nil"/>
              <w:bottom w:val="single" w:sz="4" w:space="0" w:color="808080"/>
              <w:right w:val="single" w:sz="4" w:space="0" w:color="808080"/>
            </w:tcBorders>
            <w:shd w:val="clear" w:color="auto" w:fill="auto"/>
            <w:noWrap/>
            <w:vAlign w:val="bottom"/>
            <w:hideMark/>
          </w:tcPr>
          <w:p w14:paraId="6106A558" w14:textId="77777777" w:rsidR="003E16F3" w:rsidRPr="00C72F54" w:rsidRDefault="003E16F3" w:rsidP="003E16F3">
            <w:pPr>
              <w:jc w:val="center"/>
              <w:rPr>
                <w:rFonts w:ascii="Book Antiqua" w:hAnsi="Book Antiqua" w:cs="Calibri"/>
                <w:color w:val="000000"/>
                <w:sz w:val="16"/>
                <w:szCs w:val="16"/>
                <w:lang w:eastAsia="es-CR"/>
              </w:rPr>
            </w:pPr>
            <w:r w:rsidRPr="00C72F54">
              <w:rPr>
                <w:rFonts w:ascii="Book Antiqua" w:hAnsi="Book Antiqua" w:cs="Calibri"/>
                <w:color w:val="000000"/>
                <w:sz w:val="16"/>
                <w:szCs w:val="16"/>
                <w:lang w:eastAsia="es-CR"/>
              </w:rPr>
              <w:t>136 %</w:t>
            </w:r>
          </w:p>
        </w:tc>
      </w:tr>
      <w:tr w:rsidR="003E16F3" w:rsidRPr="00C72F54" w14:paraId="03A68160" w14:textId="77777777" w:rsidTr="00C72F54">
        <w:trPr>
          <w:trHeight w:val="290"/>
          <w:jc w:val="center"/>
        </w:trPr>
        <w:tc>
          <w:tcPr>
            <w:tcW w:w="5761" w:type="dxa"/>
            <w:tcBorders>
              <w:top w:val="nil"/>
              <w:left w:val="single" w:sz="4" w:space="0" w:color="808080"/>
              <w:bottom w:val="single" w:sz="4" w:space="0" w:color="808080"/>
              <w:right w:val="single" w:sz="4" w:space="0" w:color="808080"/>
            </w:tcBorders>
            <w:shd w:val="clear" w:color="auto" w:fill="auto"/>
            <w:noWrap/>
            <w:vAlign w:val="bottom"/>
            <w:hideMark/>
          </w:tcPr>
          <w:p w14:paraId="034FF9BE" w14:textId="77777777" w:rsidR="003E16F3" w:rsidRPr="00C72F54" w:rsidRDefault="003E16F3" w:rsidP="003E16F3">
            <w:pPr>
              <w:rPr>
                <w:rFonts w:ascii="Book Antiqua" w:hAnsi="Book Antiqua" w:cs="Calibri"/>
                <w:color w:val="000000"/>
                <w:sz w:val="16"/>
                <w:szCs w:val="16"/>
                <w:lang w:eastAsia="es-CR"/>
              </w:rPr>
            </w:pPr>
            <w:r w:rsidRPr="00C72F54">
              <w:rPr>
                <w:rFonts w:ascii="Book Antiqua" w:hAnsi="Book Antiqua" w:cs="Calibri"/>
                <w:color w:val="000000"/>
                <w:sz w:val="16"/>
                <w:szCs w:val="16"/>
                <w:lang w:eastAsia="es-CR"/>
              </w:rPr>
              <w:t xml:space="preserve">Juzgado Penal de San Joaquín de Flores </w:t>
            </w:r>
          </w:p>
        </w:tc>
        <w:tc>
          <w:tcPr>
            <w:tcW w:w="1720" w:type="dxa"/>
            <w:tcBorders>
              <w:top w:val="nil"/>
              <w:left w:val="nil"/>
              <w:bottom w:val="single" w:sz="4" w:space="0" w:color="808080"/>
              <w:right w:val="single" w:sz="4" w:space="0" w:color="808080"/>
            </w:tcBorders>
            <w:shd w:val="clear" w:color="auto" w:fill="auto"/>
            <w:noWrap/>
            <w:vAlign w:val="bottom"/>
            <w:hideMark/>
          </w:tcPr>
          <w:p w14:paraId="2E2CB19C" w14:textId="77777777" w:rsidR="003E16F3" w:rsidRPr="00C72F54" w:rsidRDefault="003E16F3" w:rsidP="003E16F3">
            <w:pPr>
              <w:jc w:val="center"/>
              <w:rPr>
                <w:rFonts w:ascii="Book Antiqua" w:hAnsi="Book Antiqua" w:cs="Calibri"/>
                <w:color w:val="000000"/>
                <w:sz w:val="16"/>
                <w:szCs w:val="16"/>
                <w:lang w:eastAsia="es-CR"/>
              </w:rPr>
            </w:pPr>
            <w:r w:rsidRPr="00C72F54">
              <w:rPr>
                <w:rFonts w:ascii="Book Antiqua" w:hAnsi="Book Antiqua" w:cs="Calibri"/>
                <w:color w:val="000000"/>
                <w:sz w:val="16"/>
                <w:szCs w:val="16"/>
                <w:lang w:eastAsia="es-CR"/>
              </w:rPr>
              <w:t>132 %</w:t>
            </w:r>
          </w:p>
        </w:tc>
      </w:tr>
      <w:tr w:rsidR="003E16F3" w:rsidRPr="00C72F54" w14:paraId="074484F8" w14:textId="77777777" w:rsidTr="00C72F54">
        <w:trPr>
          <w:trHeight w:val="290"/>
          <w:jc w:val="center"/>
        </w:trPr>
        <w:tc>
          <w:tcPr>
            <w:tcW w:w="5761" w:type="dxa"/>
            <w:tcBorders>
              <w:top w:val="nil"/>
              <w:left w:val="single" w:sz="4" w:space="0" w:color="808080"/>
              <w:bottom w:val="single" w:sz="4" w:space="0" w:color="808080"/>
              <w:right w:val="single" w:sz="4" w:space="0" w:color="808080"/>
            </w:tcBorders>
            <w:shd w:val="clear" w:color="auto" w:fill="auto"/>
            <w:noWrap/>
            <w:vAlign w:val="bottom"/>
            <w:hideMark/>
          </w:tcPr>
          <w:p w14:paraId="25BDDFDF" w14:textId="77777777" w:rsidR="003E16F3" w:rsidRPr="00C72F54" w:rsidRDefault="003E16F3" w:rsidP="003E16F3">
            <w:pPr>
              <w:rPr>
                <w:rFonts w:ascii="Book Antiqua" w:hAnsi="Book Antiqua" w:cs="Calibri"/>
                <w:color w:val="000000"/>
                <w:sz w:val="16"/>
                <w:szCs w:val="16"/>
                <w:lang w:eastAsia="es-CR"/>
              </w:rPr>
            </w:pPr>
            <w:r w:rsidRPr="00C72F54">
              <w:rPr>
                <w:rFonts w:ascii="Book Antiqua" w:hAnsi="Book Antiqua" w:cs="Calibri"/>
                <w:color w:val="000000"/>
                <w:sz w:val="16"/>
                <w:szCs w:val="16"/>
                <w:lang w:eastAsia="es-CR"/>
              </w:rPr>
              <w:t>Juzgado Penal de Puntarenas</w:t>
            </w:r>
          </w:p>
        </w:tc>
        <w:tc>
          <w:tcPr>
            <w:tcW w:w="1720" w:type="dxa"/>
            <w:tcBorders>
              <w:top w:val="nil"/>
              <w:left w:val="nil"/>
              <w:bottom w:val="single" w:sz="4" w:space="0" w:color="808080"/>
              <w:right w:val="single" w:sz="4" w:space="0" w:color="808080"/>
            </w:tcBorders>
            <w:shd w:val="clear" w:color="auto" w:fill="auto"/>
            <w:noWrap/>
            <w:vAlign w:val="bottom"/>
            <w:hideMark/>
          </w:tcPr>
          <w:p w14:paraId="004236FF" w14:textId="77777777" w:rsidR="003E16F3" w:rsidRPr="00C72F54" w:rsidRDefault="003E16F3" w:rsidP="003E16F3">
            <w:pPr>
              <w:jc w:val="center"/>
              <w:rPr>
                <w:rFonts w:ascii="Book Antiqua" w:hAnsi="Book Antiqua" w:cs="Calibri"/>
                <w:color w:val="000000"/>
                <w:sz w:val="16"/>
                <w:szCs w:val="16"/>
                <w:lang w:eastAsia="es-CR"/>
              </w:rPr>
            </w:pPr>
            <w:r w:rsidRPr="00C72F54">
              <w:rPr>
                <w:rFonts w:ascii="Book Antiqua" w:hAnsi="Book Antiqua" w:cs="Calibri"/>
                <w:color w:val="000000"/>
                <w:sz w:val="16"/>
                <w:szCs w:val="16"/>
                <w:lang w:eastAsia="es-CR"/>
              </w:rPr>
              <w:t>119 %</w:t>
            </w:r>
          </w:p>
        </w:tc>
      </w:tr>
      <w:tr w:rsidR="003E16F3" w:rsidRPr="00C72F54" w14:paraId="0863EED0" w14:textId="77777777" w:rsidTr="00C72F54">
        <w:trPr>
          <w:trHeight w:val="290"/>
          <w:jc w:val="center"/>
        </w:trPr>
        <w:tc>
          <w:tcPr>
            <w:tcW w:w="5761" w:type="dxa"/>
            <w:tcBorders>
              <w:top w:val="nil"/>
              <w:left w:val="single" w:sz="4" w:space="0" w:color="808080"/>
              <w:bottom w:val="single" w:sz="4" w:space="0" w:color="808080"/>
              <w:right w:val="single" w:sz="4" w:space="0" w:color="808080"/>
            </w:tcBorders>
            <w:shd w:val="clear" w:color="auto" w:fill="auto"/>
            <w:noWrap/>
            <w:vAlign w:val="bottom"/>
            <w:hideMark/>
          </w:tcPr>
          <w:p w14:paraId="6AADD7A3" w14:textId="77777777" w:rsidR="003E16F3" w:rsidRPr="00C72F54" w:rsidRDefault="003E16F3" w:rsidP="003E16F3">
            <w:pPr>
              <w:rPr>
                <w:rFonts w:ascii="Book Antiqua" w:hAnsi="Book Antiqua" w:cs="Calibri"/>
                <w:color w:val="000000"/>
                <w:sz w:val="16"/>
                <w:szCs w:val="16"/>
                <w:lang w:eastAsia="es-CR"/>
              </w:rPr>
            </w:pPr>
            <w:r w:rsidRPr="00C72F54">
              <w:rPr>
                <w:rFonts w:ascii="Book Antiqua" w:hAnsi="Book Antiqua" w:cs="Calibri"/>
                <w:color w:val="000000"/>
                <w:sz w:val="16"/>
                <w:szCs w:val="16"/>
                <w:lang w:eastAsia="es-CR"/>
              </w:rPr>
              <w:t>Juzgado Penal de Cartago</w:t>
            </w:r>
          </w:p>
        </w:tc>
        <w:tc>
          <w:tcPr>
            <w:tcW w:w="1720" w:type="dxa"/>
            <w:tcBorders>
              <w:top w:val="nil"/>
              <w:left w:val="nil"/>
              <w:bottom w:val="single" w:sz="4" w:space="0" w:color="808080"/>
              <w:right w:val="single" w:sz="4" w:space="0" w:color="808080"/>
            </w:tcBorders>
            <w:shd w:val="clear" w:color="auto" w:fill="auto"/>
            <w:noWrap/>
            <w:vAlign w:val="bottom"/>
            <w:hideMark/>
          </w:tcPr>
          <w:p w14:paraId="2A36839D" w14:textId="77777777" w:rsidR="003E16F3" w:rsidRPr="00C72F54" w:rsidRDefault="003E16F3" w:rsidP="003E16F3">
            <w:pPr>
              <w:jc w:val="center"/>
              <w:rPr>
                <w:rFonts w:ascii="Book Antiqua" w:hAnsi="Book Antiqua" w:cs="Calibri"/>
                <w:color w:val="000000"/>
                <w:sz w:val="16"/>
                <w:szCs w:val="16"/>
                <w:lang w:eastAsia="es-CR"/>
              </w:rPr>
            </w:pPr>
            <w:r w:rsidRPr="00C72F54">
              <w:rPr>
                <w:rFonts w:ascii="Book Antiqua" w:hAnsi="Book Antiqua" w:cs="Calibri"/>
                <w:color w:val="000000"/>
                <w:sz w:val="16"/>
                <w:szCs w:val="16"/>
                <w:lang w:eastAsia="es-CR"/>
              </w:rPr>
              <w:t>116 %</w:t>
            </w:r>
          </w:p>
        </w:tc>
      </w:tr>
      <w:tr w:rsidR="003E16F3" w:rsidRPr="00C72F54" w14:paraId="58562A70" w14:textId="77777777" w:rsidTr="00C72F54">
        <w:trPr>
          <w:trHeight w:val="290"/>
          <w:jc w:val="center"/>
        </w:trPr>
        <w:tc>
          <w:tcPr>
            <w:tcW w:w="5761" w:type="dxa"/>
            <w:tcBorders>
              <w:top w:val="nil"/>
              <w:left w:val="single" w:sz="4" w:space="0" w:color="808080"/>
              <w:bottom w:val="single" w:sz="4" w:space="0" w:color="808080"/>
              <w:right w:val="single" w:sz="4" w:space="0" w:color="808080"/>
            </w:tcBorders>
            <w:shd w:val="clear" w:color="auto" w:fill="auto"/>
            <w:noWrap/>
            <w:vAlign w:val="bottom"/>
            <w:hideMark/>
          </w:tcPr>
          <w:p w14:paraId="7CCD4DB1" w14:textId="77777777" w:rsidR="003E16F3" w:rsidRPr="00C72F54" w:rsidRDefault="003E16F3" w:rsidP="003E16F3">
            <w:pPr>
              <w:rPr>
                <w:rFonts w:ascii="Book Antiqua" w:hAnsi="Book Antiqua" w:cs="Calibri"/>
                <w:color w:val="000000"/>
                <w:sz w:val="16"/>
                <w:szCs w:val="16"/>
                <w:lang w:eastAsia="es-CR"/>
              </w:rPr>
            </w:pPr>
            <w:r w:rsidRPr="00C72F54">
              <w:rPr>
                <w:rFonts w:ascii="Book Antiqua" w:hAnsi="Book Antiqua" w:cs="Calibri"/>
                <w:color w:val="000000"/>
                <w:sz w:val="16"/>
                <w:szCs w:val="16"/>
                <w:lang w:eastAsia="es-CR"/>
              </w:rPr>
              <w:t>Juzgado Penal de Pavas</w:t>
            </w:r>
          </w:p>
        </w:tc>
        <w:tc>
          <w:tcPr>
            <w:tcW w:w="1720" w:type="dxa"/>
            <w:tcBorders>
              <w:top w:val="nil"/>
              <w:left w:val="nil"/>
              <w:bottom w:val="single" w:sz="4" w:space="0" w:color="808080"/>
              <w:right w:val="single" w:sz="4" w:space="0" w:color="808080"/>
            </w:tcBorders>
            <w:shd w:val="clear" w:color="auto" w:fill="auto"/>
            <w:noWrap/>
            <w:vAlign w:val="bottom"/>
            <w:hideMark/>
          </w:tcPr>
          <w:p w14:paraId="6B2A7EFA" w14:textId="77777777" w:rsidR="003E16F3" w:rsidRPr="00C72F54" w:rsidRDefault="003E16F3" w:rsidP="003E16F3">
            <w:pPr>
              <w:jc w:val="center"/>
              <w:rPr>
                <w:rFonts w:ascii="Book Antiqua" w:hAnsi="Book Antiqua" w:cs="Calibri"/>
                <w:color w:val="000000"/>
                <w:sz w:val="16"/>
                <w:szCs w:val="16"/>
                <w:lang w:eastAsia="es-CR"/>
              </w:rPr>
            </w:pPr>
            <w:r w:rsidRPr="00C72F54">
              <w:rPr>
                <w:rFonts w:ascii="Book Antiqua" w:hAnsi="Book Antiqua" w:cs="Calibri"/>
                <w:color w:val="000000"/>
                <w:sz w:val="16"/>
                <w:szCs w:val="16"/>
                <w:lang w:eastAsia="es-CR"/>
              </w:rPr>
              <w:t>115 %</w:t>
            </w:r>
          </w:p>
        </w:tc>
      </w:tr>
      <w:tr w:rsidR="003E16F3" w:rsidRPr="00C72F54" w14:paraId="3FD3D479" w14:textId="77777777" w:rsidTr="00C72F54">
        <w:trPr>
          <w:trHeight w:val="290"/>
          <w:jc w:val="center"/>
        </w:trPr>
        <w:tc>
          <w:tcPr>
            <w:tcW w:w="5761" w:type="dxa"/>
            <w:tcBorders>
              <w:top w:val="nil"/>
              <w:left w:val="single" w:sz="4" w:space="0" w:color="808080"/>
              <w:bottom w:val="single" w:sz="4" w:space="0" w:color="808080"/>
              <w:right w:val="single" w:sz="4" w:space="0" w:color="808080"/>
            </w:tcBorders>
            <w:shd w:val="clear" w:color="auto" w:fill="auto"/>
            <w:noWrap/>
            <w:vAlign w:val="bottom"/>
            <w:hideMark/>
          </w:tcPr>
          <w:p w14:paraId="7CA700FF" w14:textId="77777777" w:rsidR="003E16F3" w:rsidRPr="00C72F54" w:rsidRDefault="003E16F3" w:rsidP="003E16F3">
            <w:pPr>
              <w:rPr>
                <w:rFonts w:ascii="Book Antiqua" w:hAnsi="Book Antiqua" w:cs="Calibri"/>
                <w:color w:val="000000"/>
                <w:sz w:val="16"/>
                <w:szCs w:val="16"/>
                <w:lang w:eastAsia="es-CR"/>
              </w:rPr>
            </w:pPr>
            <w:r w:rsidRPr="00C72F54">
              <w:rPr>
                <w:rFonts w:ascii="Book Antiqua" w:hAnsi="Book Antiqua" w:cs="Calibri"/>
                <w:color w:val="000000"/>
                <w:sz w:val="16"/>
                <w:szCs w:val="16"/>
                <w:lang w:eastAsia="es-CR"/>
              </w:rPr>
              <w:t>Juzgado Penal de Siquirres</w:t>
            </w:r>
          </w:p>
        </w:tc>
        <w:tc>
          <w:tcPr>
            <w:tcW w:w="1720" w:type="dxa"/>
            <w:tcBorders>
              <w:top w:val="nil"/>
              <w:left w:val="nil"/>
              <w:bottom w:val="single" w:sz="4" w:space="0" w:color="808080"/>
              <w:right w:val="single" w:sz="4" w:space="0" w:color="808080"/>
            </w:tcBorders>
            <w:shd w:val="clear" w:color="auto" w:fill="auto"/>
            <w:noWrap/>
            <w:vAlign w:val="bottom"/>
            <w:hideMark/>
          </w:tcPr>
          <w:p w14:paraId="2DDE2F93" w14:textId="77777777" w:rsidR="003E16F3" w:rsidRPr="00C72F54" w:rsidRDefault="003E16F3" w:rsidP="003E16F3">
            <w:pPr>
              <w:jc w:val="center"/>
              <w:rPr>
                <w:rFonts w:ascii="Book Antiqua" w:hAnsi="Book Antiqua" w:cs="Calibri"/>
                <w:color w:val="000000"/>
                <w:sz w:val="16"/>
                <w:szCs w:val="16"/>
                <w:lang w:eastAsia="es-CR"/>
              </w:rPr>
            </w:pPr>
            <w:r w:rsidRPr="00C72F54">
              <w:rPr>
                <w:rFonts w:ascii="Book Antiqua" w:hAnsi="Book Antiqua" w:cs="Calibri"/>
                <w:color w:val="000000"/>
                <w:sz w:val="16"/>
                <w:szCs w:val="16"/>
                <w:lang w:eastAsia="es-CR"/>
              </w:rPr>
              <w:t>113 %</w:t>
            </w:r>
          </w:p>
        </w:tc>
      </w:tr>
      <w:tr w:rsidR="003E16F3" w:rsidRPr="00C72F54" w14:paraId="6CD69AD6" w14:textId="77777777" w:rsidTr="00C72F54">
        <w:trPr>
          <w:trHeight w:val="290"/>
          <w:jc w:val="center"/>
        </w:trPr>
        <w:tc>
          <w:tcPr>
            <w:tcW w:w="5761" w:type="dxa"/>
            <w:tcBorders>
              <w:top w:val="nil"/>
              <w:left w:val="single" w:sz="4" w:space="0" w:color="808080"/>
              <w:bottom w:val="single" w:sz="4" w:space="0" w:color="808080"/>
              <w:right w:val="single" w:sz="4" w:space="0" w:color="808080"/>
            </w:tcBorders>
            <w:shd w:val="clear" w:color="auto" w:fill="auto"/>
            <w:noWrap/>
            <w:vAlign w:val="bottom"/>
            <w:hideMark/>
          </w:tcPr>
          <w:p w14:paraId="3C8AF708" w14:textId="77777777" w:rsidR="003E16F3" w:rsidRPr="00C72F54" w:rsidRDefault="003E16F3" w:rsidP="003E16F3">
            <w:pPr>
              <w:rPr>
                <w:rFonts w:ascii="Book Antiqua" w:hAnsi="Book Antiqua" w:cs="Calibri"/>
                <w:color w:val="000000"/>
                <w:sz w:val="16"/>
                <w:szCs w:val="16"/>
                <w:lang w:eastAsia="es-CR"/>
              </w:rPr>
            </w:pPr>
            <w:r w:rsidRPr="00C72F54">
              <w:rPr>
                <w:rFonts w:ascii="Book Antiqua" w:hAnsi="Book Antiqua" w:cs="Calibri"/>
                <w:color w:val="000000"/>
                <w:sz w:val="16"/>
                <w:szCs w:val="16"/>
                <w:lang w:eastAsia="es-CR"/>
              </w:rPr>
              <w:t>Juzgado Penal de Batán</w:t>
            </w:r>
          </w:p>
        </w:tc>
        <w:tc>
          <w:tcPr>
            <w:tcW w:w="1720" w:type="dxa"/>
            <w:tcBorders>
              <w:top w:val="nil"/>
              <w:left w:val="nil"/>
              <w:bottom w:val="single" w:sz="4" w:space="0" w:color="808080"/>
              <w:right w:val="single" w:sz="4" w:space="0" w:color="808080"/>
            </w:tcBorders>
            <w:shd w:val="clear" w:color="auto" w:fill="auto"/>
            <w:noWrap/>
            <w:vAlign w:val="bottom"/>
            <w:hideMark/>
          </w:tcPr>
          <w:p w14:paraId="3A33B5EA" w14:textId="77777777" w:rsidR="003E16F3" w:rsidRPr="00C72F54" w:rsidRDefault="003E16F3" w:rsidP="003E16F3">
            <w:pPr>
              <w:jc w:val="center"/>
              <w:rPr>
                <w:rFonts w:ascii="Book Antiqua" w:hAnsi="Book Antiqua" w:cs="Calibri"/>
                <w:color w:val="000000"/>
                <w:sz w:val="16"/>
                <w:szCs w:val="16"/>
                <w:lang w:eastAsia="es-CR"/>
              </w:rPr>
            </w:pPr>
            <w:r w:rsidRPr="00C72F54">
              <w:rPr>
                <w:rFonts w:ascii="Book Antiqua" w:hAnsi="Book Antiqua" w:cs="Calibri"/>
                <w:color w:val="000000"/>
                <w:sz w:val="16"/>
                <w:szCs w:val="16"/>
                <w:lang w:eastAsia="es-CR"/>
              </w:rPr>
              <w:t>104 %</w:t>
            </w:r>
          </w:p>
        </w:tc>
      </w:tr>
      <w:tr w:rsidR="003E16F3" w:rsidRPr="00C72F54" w14:paraId="0FD2E0C2" w14:textId="77777777" w:rsidTr="00C72F54">
        <w:trPr>
          <w:trHeight w:val="290"/>
          <w:jc w:val="center"/>
        </w:trPr>
        <w:tc>
          <w:tcPr>
            <w:tcW w:w="5761" w:type="dxa"/>
            <w:tcBorders>
              <w:top w:val="nil"/>
              <w:left w:val="single" w:sz="4" w:space="0" w:color="808080"/>
              <w:bottom w:val="single" w:sz="4" w:space="0" w:color="808080"/>
              <w:right w:val="single" w:sz="4" w:space="0" w:color="808080"/>
            </w:tcBorders>
            <w:shd w:val="clear" w:color="auto" w:fill="auto"/>
            <w:noWrap/>
            <w:vAlign w:val="bottom"/>
            <w:hideMark/>
          </w:tcPr>
          <w:p w14:paraId="7FFEF2DB" w14:textId="15592C8A" w:rsidR="003E16F3" w:rsidRPr="00C72F54" w:rsidRDefault="003E16F3" w:rsidP="003E16F3">
            <w:pPr>
              <w:rPr>
                <w:rFonts w:ascii="Book Antiqua" w:hAnsi="Book Antiqua" w:cs="Calibri"/>
                <w:color w:val="000000"/>
                <w:sz w:val="16"/>
                <w:szCs w:val="16"/>
                <w:lang w:eastAsia="es-CR"/>
              </w:rPr>
            </w:pPr>
            <w:r w:rsidRPr="00C72F54">
              <w:rPr>
                <w:rFonts w:ascii="Book Antiqua" w:hAnsi="Book Antiqua" w:cs="Calibri"/>
                <w:color w:val="000000"/>
                <w:sz w:val="16"/>
                <w:szCs w:val="16"/>
                <w:lang w:eastAsia="es-CR"/>
              </w:rPr>
              <w:t xml:space="preserve">Juzgado Penal III Circuito Judicial de Alajuela </w:t>
            </w:r>
          </w:p>
        </w:tc>
        <w:tc>
          <w:tcPr>
            <w:tcW w:w="1720" w:type="dxa"/>
            <w:tcBorders>
              <w:top w:val="nil"/>
              <w:left w:val="nil"/>
              <w:bottom w:val="single" w:sz="4" w:space="0" w:color="808080"/>
              <w:right w:val="single" w:sz="4" w:space="0" w:color="808080"/>
            </w:tcBorders>
            <w:shd w:val="clear" w:color="auto" w:fill="auto"/>
            <w:noWrap/>
            <w:vAlign w:val="bottom"/>
            <w:hideMark/>
          </w:tcPr>
          <w:p w14:paraId="72B7CA25" w14:textId="77777777" w:rsidR="003E16F3" w:rsidRPr="00C72F54" w:rsidRDefault="003E16F3" w:rsidP="003E16F3">
            <w:pPr>
              <w:jc w:val="center"/>
              <w:rPr>
                <w:rFonts w:ascii="Book Antiqua" w:hAnsi="Book Antiqua" w:cs="Calibri"/>
                <w:color w:val="000000"/>
                <w:sz w:val="16"/>
                <w:szCs w:val="16"/>
                <w:lang w:eastAsia="es-CR"/>
              </w:rPr>
            </w:pPr>
            <w:r w:rsidRPr="00C72F54">
              <w:rPr>
                <w:rFonts w:ascii="Book Antiqua" w:hAnsi="Book Antiqua" w:cs="Calibri"/>
                <w:color w:val="000000"/>
                <w:sz w:val="16"/>
                <w:szCs w:val="16"/>
                <w:lang w:eastAsia="es-CR"/>
              </w:rPr>
              <w:t>102 %</w:t>
            </w:r>
          </w:p>
        </w:tc>
      </w:tr>
      <w:tr w:rsidR="003E16F3" w:rsidRPr="00C72F54" w14:paraId="40F44ED7" w14:textId="77777777" w:rsidTr="00C72F54">
        <w:trPr>
          <w:trHeight w:val="290"/>
          <w:jc w:val="center"/>
        </w:trPr>
        <w:tc>
          <w:tcPr>
            <w:tcW w:w="5761" w:type="dxa"/>
            <w:tcBorders>
              <w:top w:val="nil"/>
              <w:left w:val="single" w:sz="4" w:space="0" w:color="808080"/>
              <w:bottom w:val="single" w:sz="4" w:space="0" w:color="808080"/>
              <w:right w:val="single" w:sz="4" w:space="0" w:color="808080"/>
            </w:tcBorders>
            <w:shd w:val="clear" w:color="auto" w:fill="auto"/>
            <w:noWrap/>
            <w:vAlign w:val="bottom"/>
            <w:hideMark/>
          </w:tcPr>
          <w:p w14:paraId="28053AEF" w14:textId="5AE17089" w:rsidR="003E16F3" w:rsidRPr="00C72F54" w:rsidRDefault="003E16F3" w:rsidP="003E16F3">
            <w:pPr>
              <w:rPr>
                <w:rFonts w:ascii="Book Antiqua" w:hAnsi="Book Antiqua" w:cs="Calibri"/>
                <w:color w:val="000000"/>
                <w:sz w:val="16"/>
                <w:szCs w:val="16"/>
                <w:lang w:eastAsia="es-CR"/>
              </w:rPr>
            </w:pPr>
            <w:r w:rsidRPr="00C72F54">
              <w:rPr>
                <w:rFonts w:ascii="Book Antiqua" w:hAnsi="Book Antiqua" w:cs="Calibri"/>
                <w:color w:val="000000"/>
                <w:sz w:val="16"/>
                <w:szCs w:val="16"/>
                <w:lang w:eastAsia="es-CR"/>
              </w:rPr>
              <w:t xml:space="preserve">Juzgado Penal de Pococí Guácimo </w:t>
            </w:r>
          </w:p>
        </w:tc>
        <w:tc>
          <w:tcPr>
            <w:tcW w:w="1720" w:type="dxa"/>
            <w:tcBorders>
              <w:top w:val="nil"/>
              <w:left w:val="nil"/>
              <w:bottom w:val="single" w:sz="4" w:space="0" w:color="808080"/>
              <w:right w:val="single" w:sz="4" w:space="0" w:color="808080"/>
            </w:tcBorders>
            <w:shd w:val="clear" w:color="auto" w:fill="auto"/>
            <w:noWrap/>
            <w:vAlign w:val="bottom"/>
            <w:hideMark/>
          </w:tcPr>
          <w:p w14:paraId="6BB2AF19" w14:textId="77777777" w:rsidR="003E16F3" w:rsidRPr="00C72F54" w:rsidRDefault="003E16F3" w:rsidP="003E16F3">
            <w:pPr>
              <w:jc w:val="center"/>
              <w:rPr>
                <w:rFonts w:ascii="Book Antiqua" w:hAnsi="Book Antiqua" w:cs="Calibri"/>
                <w:color w:val="000000"/>
                <w:sz w:val="16"/>
                <w:szCs w:val="16"/>
                <w:lang w:eastAsia="es-CR"/>
              </w:rPr>
            </w:pPr>
            <w:r w:rsidRPr="00C72F54">
              <w:rPr>
                <w:rFonts w:ascii="Book Antiqua" w:hAnsi="Book Antiqua" w:cs="Calibri"/>
                <w:color w:val="000000"/>
                <w:sz w:val="16"/>
                <w:szCs w:val="16"/>
                <w:lang w:eastAsia="es-CR"/>
              </w:rPr>
              <w:t>91 %</w:t>
            </w:r>
          </w:p>
        </w:tc>
      </w:tr>
      <w:tr w:rsidR="003E16F3" w:rsidRPr="00C72F54" w14:paraId="0FF6DF98" w14:textId="77777777" w:rsidTr="00C72F54">
        <w:trPr>
          <w:trHeight w:val="290"/>
          <w:jc w:val="center"/>
        </w:trPr>
        <w:tc>
          <w:tcPr>
            <w:tcW w:w="5761" w:type="dxa"/>
            <w:tcBorders>
              <w:top w:val="nil"/>
              <w:left w:val="single" w:sz="4" w:space="0" w:color="808080"/>
              <w:bottom w:val="single" w:sz="4" w:space="0" w:color="808080"/>
              <w:right w:val="single" w:sz="4" w:space="0" w:color="808080"/>
            </w:tcBorders>
            <w:shd w:val="clear" w:color="auto" w:fill="auto"/>
            <w:noWrap/>
            <w:vAlign w:val="bottom"/>
            <w:hideMark/>
          </w:tcPr>
          <w:p w14:paraId="77815236" w14:textId="47D6A2C3" w:rsidR="003E16F3" w:rsidRPr="00C72F54" w:rsidRDefault="003E16F3" w:rsidP="003E16F3">
            <w:pPr>
              <w:rPr>
                <w:rFonts w:ascii="Book Antiqua" w:hAnsi="Book Antiqua" w:cs="Calibri"/>
                <w:color w:val="000000"/>
                <w:sz w:val="16"/>
                <w:szCs w:val="16"/>
                <w:lang w:eastAsia="es-CR"/>
              </w:rPr>
            </w:pPr>
            <w:r w:rsidRPr="00C72F54">
              <w:rPr>
                <w:rFonts w:ascii="Book Antiqua" w:hAnsi="Book Antiqua" w:cs="Calibri"/>
                <w:color w:val="000000"/>
                <w:sz w:val="16"/>
                <w:szCs w:val="16"/>
                <w:lang w:eastAsia="es-CR"/>
              </w:rPr>
              <w:t>Juzgado Penal del I Circuito Judicial de Alajuela, Sede Atenas</w:t>
            </w:r>
          </w:p>
        </w:tc>
        <w:tc>
          <w:tcPr>
            <w:tcW w:w="1720" w:type="dxa"/>
            <w:tcBorders>
              <w:top w:val="nil"/>
              <w:left w:val="nil"/>
              <w:bottom w:val="single" w:sz="4" w:space="0" w:color="808080"/>
              <w:right w:val="single" w:sz="4" w:space="0" w:color="808080"/>
            </w:tcBorders>
            <w:shd w:val="clear" w:color="auto" w:fill="auto"/>
            <w:noWrap/>
            <w:vAlign w:val="bottom"/>
            <w:hideMark/>
          </w:tcPr>
          <w:p w14:paraId="373BE617" w14:textId="77777777" w:rsidR="003E16F3" w:rsidRPr="00C72F54" w:rsidRDefault="003E16F3" w:rsidP="003E16F3">
            <w:pPr>
              <w:jc w:val="center"/>
              <w:rPr>
                <w:rFonts w:ascii="Book Antiqua" w:hAnsi="Book Antiqua" w:cs="Calibri"/>
                <w:color w:val="000000"/>
                <w:sz w:val="16"/>
                <w:szCs w:val="16"/>
                <w:lang w:eastAsia="es-CR"/>
              </w:rPr>
            </w:pPr>
            <w:r w:rsidRPr="00C72F54">
              <w:rPr>
                <w:rFonts w:ascii="Book Antiqua" w:hAnsi="Book Antiqua" w:cs="Calibri"/>
                <w:color w:val="000000"/>
                <w:sz w:val="16"/>
                <w:szCs w:val="16"/>
                <w:lang w:eastAsia="es-CR"/>
              </w:rPr>
              <w:t>89 %</w:t>
            </w:r>
          </w:p>
        </w:tc>
      </w:tr>
      <w:tr w:rsidR="003E16F3" w:rsidRPr="00C72F54" w14:paraId="1D231D2E" w14:textId="77777777" w:rsidTr="00C72F54">
        <w:trPr>
          <w:trHeight w:val="290"/>
          <w:jc w:val="center"/>
        </w:trPr>
        <w:tc>
          <w:tcPr>
            <w:tcW w:w="5761" w:type="dxa"/>
            <w:tcBorders>
              <w:top w:val="nil"/>
              <w:left w:val="single" w:sz="4" w:space="0" w:color="808080"/>
              <w:bottom w:val="single" w:sz="4" w:space="0" w:color="808080"/>
              <w:right w:val="single" w:sz="4" w:space="0" w:color="808080"/>
            </w:tcBorders>
            <w:shd w:val="clear" w:color="auto" w:fill="auto"/>
            <w:noWrap/>
            <w:vAlign w:val="bottom"/>
            <w:hideMark/>
          </w:tcPr>
          <w:p w14:paraId="0CEC7887" w14:textId="77777777" w:rsidR="003E16F3" w:rsidRPr="00C72F54" w:rsidRDefault="003E16F3" w:rsidP="003E16F3">
            <w:pPr>
              <w:rPr>
                <w:rFonts w:ascii="Book Antiqua" w:hAnsi="Book Antiqua" w:cs="Calibri"/>
                <w:color w:val="000000"/>
                <w:sz w:val="16"/>
                <w:szCs w:val="16"/>
                <w:lang w:eastAsia="es-CR"/>
              </w:rPr>
            </w:pPr>
            <w:r w:rsidRPr="00C72F54">
              <w:rPr>
                <w:rFonts w:ascii="Book Antiqua" w:hAnsi="Book Antiqua" w:cs="Calibri"/>
                <w:color w:val="000000"/>
                <w:sz w:val="16"/>
                <w:szCs w:val="16"/>
                <w:lang w:eastAsia="es-CR"/>
              </w:rPr>
              <w:t>Juzgado Penal del I Circuito Judicial de Guanacaste</w:t>
            </w:r>
          </w:p>
        </w:tc>
        <w:tc>
          <w:tcPr>
            <w:tcW w:w="1720" w:type="dxa"/>
            <w:tcBorders>
              <w:top w:val="nil"/>
              <w:left w:val="nil"/>
              <w:bottom w:val="single" w:sz="4" w:space="0" w:color="808080"/>
              <w:right w:val="single" w:sz="4" w:space="0" w:color="808080"/>
            </w:tcBorders>
            <w:shd w:val="clear" w:color="auto" w:fill="auto"/>
            <w:noWrap/>
            <w:vAlign w:val="bottom"/>
            <w:hideMark/>
          </w:tcPr>
          <w:p w14:paraId="66D89042" w14:textId="77777777" w:rsidR="003E16F3" w:rsidRPr="00C72F54" w:rsidRDefault="003E16F3" w:rsidP="003E16F3">
            <w:pPr>
              <w:jc w:val="center"/>
              <w:rPr>
                <w:rFonts w:ascii="Book Antiqua" w:hAnsi="Book Antiqua" w:cs="Calibri"/>
                <w:color w:val="000000"/>
                <w:sz w:val="16"/>
                <w:szCs w:val="16"/>
                <w:lang w:eastAsia="es-CR"/>
              </w:rPr>
            </w:pPr>
            <w:r w:rsidRPr="00C72F54">
              <w:rPr>
                <w:rFonts w:ascii="Book Antiqua" w:hAnsi="Book Antiqua" w:cs="Calibri"/>
                <w:color w:val="000000"/>
                <w:sz w:val="16"/>
                <w:szCs w:val="16"/>
                <w:lang w:eastAsia="es-CR"/>
              </w:rPr>
              <w:t>88 %</w:t>
            </w:r>
          </w:p>
        </w:tc>
      </w:tr>
      <w:tr w:rsidR="003E16F3" w:rsidRPr="00C72F54" w14:paraId="1E070240" w14:textId="77777777" w:rsidTr="00C72F54">
        <w:trPr>
          <w:trHeight w:val="290"/>
          <w:jc w:val="center"/>
        </w:trPr>
        <w:tc>
          <w:tcPr>
            <w:tcW w:w="5761" w:type="dxa"/>
            <w:tcBorders>
              <w:top w:val="nil"/>
              <w:left w:val="single" w:sz="4" w:space="0" w:color="808080"/>
              <w:bottom w:val="single" w:sz="4" w:space="0" w:color="808080"/>
              <w:right w:val="single" w:sz="4" w:space="0" w:color="808080"/>
            </w:tcBorders>
            <w:shd w:val="clear" w:color="auto" w:fill="auto"/>
            <w:noWrap/>
            <w:vAlign w:val="bottom"/>
            <w:hideMark/>
          </w:tcPr>
          <w:p w14:paraId="67232215" w14:textId="77777777" w:rsidR="003E16F3" w:rsidRPr="00C72F54" w:rsidRDefault="003E16F3" w:rsidP="003E16F3">
            <w:pPr>
              <w:rPr>
                <w:rFonts w:ascii="Book Antiqua" w:hAnsi="Book Antiqua" w:cs="Calibri"/>
                <w:color w:val="000000"/>
                <w:sz w:val="16"/>
                <w:szCs w:val="16"/>
                <w:lang w:eastAsia="es-CR"/>
              </w:rPr>
            </w:pPr>
            <w:r w:rsidRPr="00C72F54">
              <w:rPr>
                <w:rFonts w:ascii="Book Antiqua" w:hAnsi="Book Antiqua" w:cs="Calibri"/>
                <w:color w:val="000000"/>
                <w:sz w:val="16"/>
                <w:szCs w:val="16"/>
                <w:lang w:eastAsia="es-CR"/>
              </w:rPr>
              <w:t xml:space="preserve">Juzgado Penal de Talamanca </w:t>
            </w:r>
          </w:p>
        </w:tc>
        <w:tc>
          <w:tcPr>
            <w:tcW w:w="1720" w:type="dxa"/>
            <w:tcBorders>
              <w:top w:val="nil"/>
              <w:left w:val="nil"/>
              <w:bottom w:val="single" w:sz="4" w:space="0" w:color="808080"/>
              <w:right w:val="single" w:sz="4" w:space="0" w:color="808080"/>
            </w:tcBorders>
            <w:shd w:val="clear" w:color="auto" w:fill="auto"/>
            <w:noWrap/>
            <w:vAlign w:val="bottom"/>
            <w:hideMark/>
          </w:tcPr>
          <w:p w14:paraId="49DF7E8F" w14:textId="77777777" w:rsidR="003E16F3" w:rsidRPr="00C72F54" w:rsidRDefault="003E16F3" w:rsidP="003E16F3">
            <w:pPr>
              <w:jc w:val="center"/>
              <w:rPr>
                <w:rFonts w:ascii="Book Antiqua" w:hAnsi="Book Antiqua" w:cs="Calibri"/>
                <w:color w:val="000000"/>
                <w:sz w:val="16"/>
                <w:szCs w:val="16"/>
                <w:lang w:eastAsia="es-CR"/>
              </w:rPr>
            </w:pPr>
            <w:r w:rsidRPr="00C72F54">
              <w:rPr>
                <w:rFonts w:ascii="Book Antiqua" w:hAnsi="Book Antiqua" w:cs="Calibri"/>
                <w:color w:val="000000"/>
                <w:sz w:val="16"/>
                <w:szCs w:val="16"/>
                <w:lang w:eastAsia="es-CR"/>
              </w:rPr>
              <w:t>88 %</w:t>
            </w:r>
          </w:p>
        </w:tc>
      </w:tr>
      <w:tr w:rsidR="003E16F3" w:rsidRPr="00C72F54" w14:paraId="48AC1152" w14:textId="77777777" w:rsidTr="00C72F54">
        <w:trPr>
          <w:trHeight w:val="290"/>
          <w:jc w:val="center"/>
        </w:trPr>
        <w:tc>
          <w:tcPr>
            <w:tcW w:w="5761" w:type="dxa"/>
            <w:tcBorders>
              <w:top w:val="nil"/>
              <w:left w:val="single" w:sz="4" w:space="0" w:color="808080"/>
              <w:bottom w:val="single" w:sz="4" w:space="0" w:color="808080"/>
              <w:right w:val="single" w:sz="4" w:space="0" w:color="808080"/>
            </w:tcBorders>
            <w:shd w:val="clear" w:color="auto" w:fill="auto"/>
            <w:noWrap/>
            <w:vAlign w:val="bottom"/>
            <w:hideMark/>
          </w:tcPr>
          <w:p w14:paraId="0DEE23F9" w14:textId="77777777" w:rsidR="003E16F3" w:rsidRPr="00C72F54" w:rsidRDefault="003E16F3" w:rsidP="003E16F3">
            <w:pPr>
              <w:rPr>
                <w:rFonts w:ascii="Book Antiqua" w:hAnsi="Book Antiqua" w:cs="Calibri"/>
                <w:color w:val="000000"/>
                <w:sz w:val="16"/>
                <w:szCs w:val="16"/>
                <w:lang w:eastAsia="es-CR"/>
              </w:rPr>
            </w:pPr>
            <w:r w:rsidRPr="00C72F54">
              <w:rPr>
                <w:rFonts w:ascii="Book Antiqua" w:hAnsi="Book Antiqua" w:cs="Calibri"/>
                <w:color w:val="000000"/>
                <w:sz w:val="16"/>
                <w:szCs w:val="16"/>
                <w:lang w:eastAsia="es-CR"/>
              </w:rPr>
              <w:t>Juzgado Penal del I Circuito Judicial de La Zona Atlántica</w:t>
            </w:r>
          </w:p>
        </w:tc>
        <w:tc>
          <w:tcPr>
            <w:tcW w:w="1720" w:type="dxa"/>
            <w:tcBorders>
              <w:top w:val="nil"/>
              <w:left w:val="nil"/>
              <w:bottom w:val="single" w:sz="4" w:space="0" w:color="808080"/>
              <w:right w:val="single" w:sz="4" w:space="0" w:color="808080"/>
            </w:tcBorders>
            <w:shd w:val="clear" w:color="auto" w:fill="auto"/>
            <w:noWrap/>
            <w:vAlign w:val="bottom"/>
            <w:hideMark/>
          </w:tcPr>
          <w:p w14:paraId="03E6CF51" w14:textId="77777777" w:rsidR="003E16F3" w:rsidRPr="00C72F54" w:rsidRDefault="003E16F3" w:rsidP="003E16F3">
            <w:pPr>
              <w:jc w:val="center"/>
              <w:rPr>
                <w:rFonts w:ascii="Book Antiqua" w:hAnsi="Book Antiqua" w:cs="Calibri"/>
                <w:color w:val="000000"/>
                <w:sz w:val="16"/>
                <w:szCs w:val="16"/>
                <w:lang w:eastAsia="es-CR"/>
              </w:rPr>
            </w:pPr>
            <w:r w:rsidRPr="00C72F54">
              <w:rPr>
                <w:rFonts w:ascii="Book Antiqua" w:hAnsi="Book Antiqua" w:cs="Calibri"/>
                <w:color w:val="000000"/>
                <w:sz w:val="16"/>
                <w:szCs w:val="16"/>
                <w:lang w:eastAsia="es-CR"/>
              </w:rPr>
              <w:t>84 %</w:t>
            </w:r>
          </w:p>
        </w:tc>
      </w:tr>
      <w:tr w:rsidR="003E16F3" w:rsidRPr="00C72F54" w14:paraId="6D2DE92F" w14:textId="77777777" w:rsidTr="00C72F54">
        <w:trPr>
          <w:trHeight w:val="290"/>
          <w:jc w:val="center"/>
        </w:trPr>
        <w:tc>
          <w:tcPr>
            <w:tcW w:w="5761" w:type="dxa"/>
            <w:tcBorders>
              <w:top w:val="nil"/>
              <w:left w:val="single" w:sz="4" w:space="0" w:color="808080"/>
              <w:bottom w:val="single" w:sz="4" w:space="0" w:color="808080"/>
              <w:right w:val="single" w:sz="4" w:space="0" w:color="808080"/>
            </w:tcBorders>
            <w:shd w:val="clear" w:color="auto" w:fill="auto"/>
            <w:noWrap/>
            <w:vAlign w:val="bottom"/>
            <w:hideMark/>
          </w:tcPr>
          <w:p w14:paraId="0C2147CA" w14:textId="74A7B075" w:rsidR="003E16F3" w:rsidRPr="00C72F54" w:rsidRDefault="003E16F3" w:rsidP="003E16F3">
            <w:pPr>
              <w:rPr>
                <w:rFonts w:ascii="Book Antiqua" w:hAnsi="Book Antiqua" w:cs="Calibri"/>
                <w:color w:val="000000"/>
                <w:sz w:val="16"/>
                <w:szCs w:val="16"/>
                <w:lang w:eastAsia="es-CR"/>
              </w:rPr>
            </w:pPr>
            <w:r w:rsidRPr="00C72F54">
              <w:rPr>
                <w:rFonts w:ascii="Book Antiqua" w:hAnsi="Book Antiqua" w:cs="Calibri"/>
                <w:color w:val="000000"/>
                <w:sz w:val="16"/>
                <w:szCs w:val="16"/>
                <w:lang w:eastAsia="es-CR"/>
              </w:rPr>
              <w:t>Juzgado Penal del II Circuito Judicial de Alajuela, Sede Los Chiles</w:t>
            </w:r>
          </w:p>
        </w:tc>
        <w:tc>
          <w:tcPr>
            <w:tcW w:w="1720" w:type="dxa"/>
            <w:tcBorders>
              <w:top w:val="nil"/>
              <w:left w:val="nil"/>
              <w:bottom w:val="single" w:sz="4" w:space="0" w:color="808080"/>
              <w:right w:val="single" w:sz="4" w:space="0" w:color="808080"/>
            </w:tcBorders>
            <w:shd w:val="clear" w:color="auto" w:fill="auto"/>
            <w:noWrap/>
            <w:vAlign w:val="bottom"/>
            <w:hideMark/>
          </w:tcPr>
          <w:p w14:paraId="73CBD16B" w14:textId="77777777" w:rsidR="003E16F3" w:rsidRPr="00C72F54" w:rsidRDefault="003E16F3" w:rsidP="003E16F3">
            <w:pPr>
              <w:jc w:val="center"/>
              <w:rPr>
                <w:rFonts w:ascii="Book Antiqua" w:hAnsi="Book Antiqua" w:cs="Calibri"/>
                <w:color w:val="000000"/>
                <w:sz w:val="16"/>
                <w:szCs w:val="16"/>
                <w:lang w:eastAsia="es-CR"/>
              </w:rPr>
            </w:pPr>
            <w:r w:rsidRPr="00C72F54">
              <w:rPr>
                <w:rFonts w:ascii="Book Antiqua" w:hAnsi="Book Antiqua" w:cs="Calibri"/>
                <w:color w:val="000000"/>
                <w:sz w:val="16"/>
                <w:szCs w:val="16"/>
                <w:lang w:eastAsia="es-CR"/>
              </w:rPr>
              <w:t>83 %</w:t>
            </w:r>
          </w:p>
        </w:tc>
      </w:tr>
      <w:tr w:rsidR="003E16F3" w:rsidRPr="00C72F54" w14:paraId="4CFE48DB" w14:textId="77777777" w:rsidTr="00C72F54">
        <w:trPr>
          <w:trHeight w:val="290"/>
          <w:jc w:val="center"/>
        </w:trPr>
        <w:tc>
          <w:tcPr>
            <w:tcW w:w="5761" w:type="dxa"/>
            <w:tcBorders>
              <w:top w:val="nil"/>
              <w:left w:val="single" w:sz="4" w:space="0" w:color="808080"/>
              <w:bottom w:val="single" w:sz="4" w:space="0" w:color="808080"/>
              <w:right w:val="single" w:sz="4" w:space="0" w:color="808080"/>
            </w:tcBorders>
            <w:shd w:val="clear" w:color="auto" w:fill="auto"/>
            <w:noWrap/>
            <w:vAlign w:val="bottom"/>
            <w:hideMark/>
          </w:tcPr>
          <w:p w14:paraId="15579EE5" w14:textId="77777777" w:rsidR="003E16F3" w:rsidRPr="00C72F54" w:rsidRDefault="003E16F3" w:rsidP="003E16F3">
            <w:pPr>
              <w:rPr>
                <w:rFonts w:ascii="Book Antiqua" w:hAnsi="Book Antiqua" w:cs="Calibri"/>
                <w:color w:val="000000"/>
                <w:sz w:val="16"/>
                <w:szCs w:val="16"/>
                <w:lang w:eastAsia="es-CR"/>
              </w:rPr>
            </w:pPr>
            <w:r w:rsidRPr="00C72F54">
              <w:rPr>
                <w:rFonts w:ascii="Book Antiqua" w:hAnsi="Book Antiqua" w:cs="Calibri"/>
                <w:color w:val="000000"/>
                <w:sz w:val="16"/>
                <w:szCs w:val="16"/>
                <w:lang w:eastAsia="es-CR"/>
              </w:rPr>
              <w:t>Juzgado Penal de Sarapiquí</w:t>
            </w:r>
          </w:p>
        </w:tc>
        <w:tc>
          <w:tcPr>
            <w:tcW w:w="1720" w:type="dxa"/>
            <w:tcBorders>
              <w:top w:val="nil"/>
              <w:left w:val="nil"/>
              <w:bottom w:val="single" w:sz="4" w:space="0" w:color="808080"/>
              <w:right w:val="single" w:sz="4" w:space="0" w:color="808080"/>
            </w:tcBorders>
            <w:shd w:val="clear" w:color="auto" w:fill="auto"/>
            <w:noWrap/>
            <w:vAlign w:val="bottom"/>
            <w:hideMark/>
          </w:tcPr>
          <w:p w14:paraId="5D77838B" w14:textId="77777777" w:rsidR="003E16F3" w:rsidRPr="00C72F54" w:rsidRDefault="003E16F3" w:rsidP="003E16F3">
            <w:pPr>
              <w:jc w:val="center"/>
              <w:rPr>
                <w:rFonts w:ascii="Book Antiqua" w:hAnsi="Book Antiqua" w:cs="Calibri"/>
                <w:color w:val="000000"/>
                <w:sz w:val="16"/>
                <w:szCs w:val="16"/>
                <w:lang w:eastAsia="es-CR"/>
              </w:rPr>
            </w:pPr>
            <w:r w:rsidRPr="00C72F54">
              <w:rPr>
                <w:rFonts w:ascii="Book Antiqua" w:hAnsi="Book Antiqua" w:cs="Calibri"/>
                <w:color w:val="000000"/>
                <w:sz w:val="16"/>
                <w:szCs w:val="16"/>
                <w:lang w:eastAsia="es-CR"/>
              </w:rPr>
              <w:t>82 %</w:t>
            </w:r>
          </w:p>
        </w:tc>
      </w:tr>
      <w:tr w:rsidR="003E16F3" w:rsidRPr="00C72F54" w14:paraId="46347FCF" w14:textId="77777777" w:rsidTr="00C72F54">
        <w:trPr>
          <w:trHeight w:val="290"/>
          <w:jc w:val="center"/>
        </w:trPr>
        <w:tc>
          <w:tcPr>
            <w:tcW w:w="5761" w:type="dxa"/>
            <w:tcBorders>
              <w:top w:val="nil"/>
              <w:left w:val="single" w:sz="4" w:space="0" w:color="808080"/>
              <w:bottom w:val="single" w:sz="4" w:space="0" w:color="808080"/>
              <w:right w:val="single" w:sz="4" w:space="0" w:color="808080"/>
            </w:tcBorders>
            <w:shd w:val="clear" w:color="auto" w:fill="auto"/>
            <w:noWrap/>
            <w:vAlign w:val="bottom"/>
            <w:hideMark/>
          </w:tcPr>
          <w:p w14:paraId="523DDFD6" w14:textId="77777777" w:rsidR="003E16F3" w:rsidRPr="00C72F54" w:rsidRDefault="003E16F3" w:rsidP="003E16F3">
            <w:pPr>
              <w:rPr>
                <w:rFonts w:ascii="Book Antiqua" w:hAnsi="Book Antiqua" w:cs="Calibri"/>
                <w:color w:val="000000"/>
                <w:sz w:val="16"/>
                <w:szCs w:val="16"/>
                <w:lang w:eastAsia="es-CR"/>
              </w:rPr>
            </w:pPr>
            <w:r w:rsidRPr="00C72F54">
              <w:rPr>
                <w:rFonts w:ascii="Book Antiqua" w:hAnsi="Book Antiqua" w:cs="Calibri"/>
                <w:color w:val="000000"/>
                <w:sz w:val="16"/>
                <w:szCs w:val="16"/>
                <w:lang w:eastAsia="es-CR"/>
              </w:rPr>
              <w:t>Juzgado Penal de Turrialba</w:t>
            </w:r>
          </w:p>
        </w:tc>
        <w:tc>
          <w:tcPr>
            <w:tcW w:w="1720" w:type="dxa"/>
            <w:tcBorders>
              <w:top w:val="nil"/>
              <w:left w:val="nil"/>
              <w:bottom w:val="single" w:sz="4" w:space="0" w:color="808080"/>
              <w:right w:val="single" w:sz="4" w:space="0" w:color="808080"/>
            </w:tcBorders>
            <w:shd w:val="clear" w:color="auto" w:fill="auto"/>
            <w:noWrap/>
            <w:vAlign w:val="bottom"/>
            <w:hideMark/>
          </w:tcPr>
          <w:p w14:paraId="2AC0EC43" w14:textId="77777777" w:rsidR="003E16F3" w:rsidRPr="00C72F54" w:rsidRDefault="003E16F3" w:rsidP="003E16F3">
            <w:pPr>
              <w:jc w:val="center"/>
              <w:rPr>
                <w:rFonts w:ascii="Book Antiqua" w:hAnsi="Book Antiqua" w:cs="Calibri"/>
                <w:color w:val="000000"/>
                <w:sz w:val="16"/>
                <w:szCs w:val="16"/>
                <w:lang w:eastAsia="es-CR"/>
              </w:rPr>
            </w:pPr>
            <w:r w:rsidRPr="00C72F54">
              <w:rPr>
                <w:rFonts w:ascii="Book Antiqua" w:hAnsi="Book Antiqua" w:cs="Calibri"/>
                <w:color w:val="000000"/>
                <w:sz w:val="16"/>
                <w:szCs w:val="16"/>
                <w:lang w:eastAsia="es-CR"/>
              </w:rPr>
              <w:t>78 %</w:t>
            </w:r>
          </w:p>
        </w:tc>
      </w:tr>
      <w:tr w:rsidR="003E16F3" w:rsidRPr="00C72F54" w14:paraId="6F7AF4E7" w14:textId="77777777" w:rsidTr="00C72F54">
        <w:trPr>
          <w:trHeight w:val="290"/>
          <w:jc w:val="center"/>
        </w:trPr>
        <w:tc>
          <w:tcPr>
            <w:tcW w:w="5761" w:type="dxa"/>
            <w:tcBorders>
              <w:top w:val="nil"/>
              <w:left w:val="single" w:sz="4" w:space="0" w:color="808080"/>
              <w:bottom w:val="single" w:sz="4" w:space="0" w:color="808080"/>
              <w:right w:val="single" w:sz="4" w:space="0" w:color="808080"/>
            </w:tcBorders>
            <w:shd w:val="clear" w:color="auto" w:fill="auto"/>
            <w:noWrap/>
            <w:vAlign w:val="bottom"/>
            <w:hideMark/>
          </w:tcPr>
          <w:p w14:paraId="67180E40" w14:textId="77777777" w:rsidR="003E16F3" w:rsidRPr="00C72F54" w:rsidRDefault="003E16F3" w:rsidP="003E16F3">
            <w:pPr>
              <w:rPr>
                <w:rFonts w:ascii="Book Antiqua" w:hAnsi="Book Antiqua" w:cs="Calibri"/>
                <w:color w:val="000000"/>
                <w:sz w:val="16"/>
                <w:szCs w:val="16"/>
                <w:lang w:eastAsia="es-CR"/>
              </w:rPr>
            </w:pPr>
            <w:r w:rsidRPr="00C72F54">
              <w:rPr>
                <w:rFonts w:ascii="Book Antiqua" w:hAnsi="Book Antiqua" w:cs="Calibri"/>
                <w:color w:val="000000"/>
                <w:sz w:val="16"/>
                <w:szCs w:val="16"/>
                <w:lang w:eastAsia="es-CR"/>
              </w:rPr>
              <w:t>Juzgado Penal del I Circuito Judicial de San José</w:t>
            </w:r>
          </w:p>
        </w:tc>
        <w:tc>
          <w:tcPr>
            <w:tcW w:w="1720" w:type="dxa"/>
            <w:tcBorders>
              <w:top w:val="nil"/>
              <w:left w:val="nil"/>
              <w:bottom w:val="single" w:sz="4" w:space="0" w:color="808080"/>
              <w:right w:val="single" w:sz="4" w:space="0" w:color="808080"/>
            </w:tcBorders>
            <w:shd w:val="clear" w:color="auto" w:fill="auto"/>
            <w:noWrap/>
            <w:vAlign w:val="bottom"/>
            <w:hideMark/>
          </w:tcPr>
          <w:p w14:paraId="20E7963A" w14:textId="77777777" w:rsidR="003E16F3" w:rsidRPr="00C72F54" w:rsidRDefault="003E16F3" w:rsidP="003E16F3">
            <w:pPr>
              <w:jc w:val="center"/>
              <w:rPr>
                <w:rFonts w:ascii="Book Antiqua" w:hAnsi="Book Antiqua" w:cs="Calibri"/>
                <w:color w:val="000000"/>
                <w:sz w:val="16"/>
                <w:szCs w:val="16"/>
                <w:lang w:eastAsia="es-CR"/>
              </w:rPr>
            </w:pPr>
            <w:r w:rsidRPr="00C72F54">
              <w:rPr>
                <w:rFonts w:ascii="Book Antiqua" w:hAnsi="Book Antiqua" w:cs="Calibri"/>
                <w:color w:val="000000"/>
                <w:sz w:val="16"/>
                <w:szCs w:val="16"/>
                <w:lang w:eastAsia="es-CR"/>
              </w:rPr>
              <w:t>76 %</w:t>
            </w:r>
          </w:p>
        </w:tc>
      </w:tr>
      <w:tr w:rsidR="003E16F3" w:rsidRPr="00C72F54" w14:paraId="7600A9E1" w14:textId="77777777" w:rsidTr="00C72F54">
        <w:trPr>
          <w:trHeight w:val="290"/>
          <w:jc w:val="center"/>
        </w:trPr>
        <w:tc>
          <w:tcPr>
            <w:tcW w:w="5761" w:type="dxa"/>
            <w:tcBorders>
              <w:top w:val="nil"/>
              <w:left w:val="single" w:sz="4" w:space="0" w:color="808080"/>
              <w:bottom w:val="single" w:sz="4" w:space="0" w:color="808080"/>
              <w:right w:val="single" w:sz="4" w:space="0" w:color="808080"/>
            </w:tcBorders>
            <w:shd w:val="clear" w:color="auto" w:fill="auto"/>
            <w:noWrap/>
            <w:vAlign w:val="bottom"/>
            <w:hideMark/>
          </w:tcPr>
          <w:p w14:paraId="5B1226D8" w14:textId="2E4594C0" w:rsidR="003E16F3" w:rsidRPr="00C72F54" w:rsidRDefault="003E16F3" w:rsidP="003E16F3">
            <w:pPr>
              <w:rPr>
                <w:rFonts w:ascii="Book Antiqua" w:hAnsi="Book Antiqua" w:cs="Calibri"/>
                <w:color w:val="000000"/>
                <w:sz w:val="16"/>
                <w:szCs w:val="16"/>
                <w:lang w:eastAsia="es-CR"/>
              </w:rPr>
            </w:pPr>
            <w:r w:rsidRPr="00C72F54">
              <w:rPr>
                <w:rFonts w:ascii="Book Antiqua" w:hAnsi="Book Antiqua" w:cs="Calibri"/>
                <w:color w:val="000000"/>
                <w:sz w:val="16"/>
                <w:szCs w:val="16"/>
                <w:lang w:eastAsia="es-CR"/>
              </w:rPr>
              <w:t xml:space="preserve">Juzgado Penal del II Circuito Judicial de San José </w:t>
            </w:r>
          </w:p>
        </w:tc>
        <w:tc>
          <w:tcPr>
            <w:tcW w:w="1720" w:type="dxa"/>
            <w:tcBorders>
              <w:top w:val="nil"/>
              <w:left w:val="nil"/>
              <w:bottom w:val="single" w:sz="4" w:space="0" w:color="808080"/>
              <w:right w:val="single" w:sz="4" w:space="0" w:color="808080"/>
            </w:tcBorders>
            <w:shd w:val="clear" w:color="auto" w:fill="auto"/>
            <w:noWrap/>
            <w:vAlign w:val="bottom"/>
            <w:hideMark/>
          </w:tcPr>
          <w:p w14:paraId="62692015" w14:textId="77777777" w:rsidR="003E16F3" w:rsidRPr="00C72F54" w:rsidRDefault="003E16F3" w:rsidP="003E16F3">
            <w:pPr>
              <w:jc w:val="center"/>
              <w:rPr>
                <w:rFonts w:ascii="Book Antiqua" w:hAnsi="Book Antiqua" w:cs="Calibri"/>
                <w:color w:val="000000"/>
                <w:sz w:val="16"/>
                <w:szCs w:val="16"/>
                <w:lang w:eastAsia="es-CR"/>
              </w:rPr>
            </w:pPr>
            <w:r w:rsidRPr="00C72F54">
              <w:rPr>
                <w:rFonts w:ascii="Book Antiqua" w:hAnsi="Book Antiqua" w:cs="Calibri"/>
                <w:color w:val="000000"/>
                <w:sz w:val="16"/>
                <w:szCs w:val="16"/>
                <w:lang w:eastAsia="es-CR"/>
              </w:rPr>
              <w:t>76 %</w:t>
            </w:r>
          </w:p>
        </w:tc>
      </w:tr>
      <w:tr w:rsidR="003E16F3" w:rsidRPr="00C72F54" w14:paraId="7B2084FF" w14:textId="77777777" w:rsidTr="00C72F54">
        <w:trPr>
          <w:trHeight w:val="290"/>
          <w:jc w:val="center"/>
        </w:trPr>
        <w:tc>
          <w:tcPr>
            <w:tcW w:w="5761" w:type="dxa"/>
            <w:tcBorders>
              <w:top w:val="nil"/>
              <w:left w:val="single" w:sz="4" w:space="0" w:color="808080"/>
              <w:bottom w:val="single" w:sz="4" w:space="0" w:color="808080"/>
              <w:right w:val="single" w:sz="4" w:space="0" w:color="808080"/>
            </w:tcBorders>
            <w:shd w:val="clear" w:color="auto" w:fill="auto"/>
            <w:noWrap/>
            <w:vAlign w:val="bottom"/>
            <w:hideMark/>
          </w:tcPr>
          <w:p w14:paraId="12821E4B" w14:textId="77777777" w:rsidR="003E16F3" w:rsidRPr="00C72F54" w:rsidRDefault="003E16F3" w:rsidP="003E16F3">
            <w:pPr>
              <w:rPr>
                <w:rFonts w:ascii="Book Antiqua" w:hAnsi="Book Antiqua" w:cs="Calibri"/>
                <w:color w:val="000000"/>
                <w:sz w:val="16"/>
                <w:szCs w:val="16"/>
                <w:lang w:eastAsia="es-CR"/>
              </w:rPr>
            </w:pPr>
            <w:r w:rsidRPr="00C72F54">
              <w:rPr>
                <w:rFonts w:ascii="Book Antiqua" w:hAnsi="Book Antiqua" w:cs="Calibri"/>
                <w:color w:val="000000"/>
                <w:sz w:val="16"/>
                <w:szCs w:val="16"/>
                <w:lang w:eastAsia="es-CR"/>
              </w:rPr>
              <w:t xml:space="preserve">Juzgado Penal de Osa </w:t>
            </w:r>
          </w:p>
        </w:tc>
        <w:tc>
          <w:tcPr>
            <w:tcW w:w="1720" w:type="dxa"/>
            <w:tcBorders>
              <w:top w:val="nil"/>
              <w:left w:val="nil"/>
              <w:bottom w:val="single" w:sz="4" w:space="0" w:color="808080"/>
              <w:right w:val="single" w:sz="4" w:space="0" w:color="808080"/>
            </w:tcBorders>
            <w:shd w:val="clear" w:color="auto" w:fill="auto"/>
            <w:noWrap/>
            <w:vAlign w:val="bottom"/>
            <w:hideMark/>
          </w:tcPr>
          <w:p w14:paraId="24D0D8F9" w14:textId="77777777" w:rsidR="003E16F3" w:rsidRPr="00C72F54" w:rsidRDefault="003E16F3" w:rsidP="003E16F3">
            <w:pPr>
              <w:jc w:val="center"/>
              <w:rPr>
                <w:rFonts w:ascii="Book Antiqua" w:hAnsi="Book Antiqua" w:cs="Calibri"/>
                <w:color w:val="000000"/>
                <w:sz w:val="16"/>
                <w:szCs w:val="16"/>
                <w:lang w:eastAsia="es-CR"/>
              </w:rPr>
            </w:pPr>
            <w:r w:rsidRPr="00C72F54">
              <w:rPr>
                <w:rFonts w:ascii="Book Antiqua" w:hAnsi="Book Antiqua" w:cs="Calibri"/>
                <w:color w:val="000000"/>
                <w:sz w:val="16"/>
                <w:szCs w:val="16"/>
                <w:lang w:eastAsia="es-CR"/>
              </w:rPr>
              <w:t>75 %</w:t>
            </w:r>
          </w:p>
        </w:tc>
      </w:tr>
      <w:tr w:rsidR="003E16F3" w:rsidRPr="00C72F54" w14:paraId="07B427AD" w14:textId="77777777" w:rsidTr="00C72F54">
        <w:trPr>
          <w:trHeight w:val="290"/>
          <w:jc w:val="center"/>
        </w:trPr>
        <w:tc>
          <w:tcPr>
            <w:tcW w:w="5761" w:type="dxa"/>
            <w:tcBorders>
              <w:top w:val="nil"/>
              <w:left w:val="single" w:sz="4" w:space="0" w:color="808080"/>
              <w:bottom w:val="single" w:sz="4" w:space="0" w:color="808080"/>
              <w:right w:val="single" w:sz="4" w:space="0" w:color="808080"/>
            </w:tcBorders>
            <w:shd w:val="clear" w:color="auto" w:fill="auto"/>
            <w:noWrap/>
            <w:vAlign w:val="bottom"/>
            <w:hideMark/>
          </w:tcPr>
          <w:p w14:paraId="299B21D9" w14:textId="77777777" w:rsidR="003E16F3" w:rsidRPr="00C72F54" w:rsidRDefault="003E16F3" w:rsidP="003E16F3">
            <w:pPr>
              <w:rPr>
                <w:rFonts w:ascii="Book Antiqua" w:hAnsi="Book Antiqua" w:cs="Calibri"/>
                <w:color w:val="000000"/>
                <w:sz w:val="16"/>
                <w:szCs w:val="16"/>
                <w:lang w:eastAsia="es-CR"/>
              </w:rPr>
            </w:pPr>
            <w:r w:rsidRPr="00C72F54">
              <w:rPr>
                <w:rFonts w:ascii="Book Antiqua" w:hAnsi="Book Antiqua" w:cs="Calibri"/>
                <w:color w:val="000000"/>
                <w:sz w:val="16"/>
                <w:szCs w:val="16"/>
                <w:lang w:eastAsia="es-CR"/>
              </w:rPr>
              <w:t>Juzgado Penal del I Circuito Judicial de Alajuela</w:t>
            </w:r>
          </w:p>
        </w:tc>
        <w:tc>
          <w:tcPr>
            <w:tcW w:w="1720" w:type="dxa"/>
            <w:tcBorders>
              <w:top w:val="nil"/>
              <w:left w:val="nil"/>
              <w:bottom w:val="single" w:sz="4" w:space="0" w:color="808080"/>
              <w:right w:val="single" w:sz="4" w:space="0" w:color="808080"/>
            </w:tcBorders>
            <w:shd w:val="clear" w:color="auto" w:fill="auto"/>
            <w:noWrap/>
            <w:vAlign w:val="bottom"/>
            <w:hideMark/>
          </w:tcPr>
          <w:p w14:paraId="3F6E5B5F" w14:textId="77777777" w:rsidR="003E16F3" w:rsidRPr="00C72F54" w:rsidRDefault="003E16F3" w:rsidP="003E16F3">
            <w:pPr>
              <w:jc w:val="center"/>
              <w:rPr>
                <w:rFonts w:ascii="Book Antiqua" w:hAnsi="Book Antiqua" w:cs="Calibri"/>
                <w:color w:val="000000"/>
                <w:sz w:val="16"/>
                <w:szCs w:val="16"/>
                <w:lang w:eastAsia="es-CR"/>
              </w:rPr>
            </w:pPr>
            <w:r w:rsidRPr="00C72F54">
              <w:rPr>
                <w:rFonts w:ascii="Book Antiqua" w:hAnsi="Book Antiqua" w:cs="Calibri"/>
                <w:color w:val="000000"/>
                <w:sz w:val="16"/>
                <w:szCs w:val="16"/>
                <w:lang w:eastAsia="es-CR"/>
              </w:rPr>
              <w:t>75 %</w:t>
            </w:r>
          </w:p>
        </w:tc>
      </w:tr>
      <w:tr w:rsidR="003E16F3" w:rsidRPr="00C72F54" w14:paraId="214BFCA5" w14:textId="77777777" w:rsidTr="00C72F54">
        <w:trPr>
          <w:trHeight w:val="290"/>
          <w:jc w:val="center"/>
        </w:trPr>
        <w:tc>
          <w:tcPr>
            <w:tcW w:w="5761" w:type="dxa"/>
            <w:tcBorders>
              <w:top w:val="nil"/>
              <w:left w:val="single" w:sz="4" w:space="0" w:color="808080"/>
              <w:bottom w:val="single" w:sz="4" w:space="0" w:color="808080"/>
              <w:right w:val="single" w:sz="4" w:space="0" w:color="808080"/>
            </w:tcBorders>
            <w:shd w:val="clear" w:color="auto" w:fill="auto"/>
            <w:noWrap/>
            <w:vAlign w:val="bottom"/>
            <w:hideMark/>
          </w:tcPr>
          <w:p w14:paraId="2562DB5C" w14:textId="459C0B35" w:rsidR="003E16F3" w:rsidRPr="00C72F54" w:rsidRDefault="003E16F3" w:rsidP="003E16F3">
            <w:pPr>
              <w:rPr>
                <w:rFonts w:ascii="Book Antiqua" w:hAnsi="Book Antiqua" w:cs="Calibri"/>
                <w:color w:val="000000"/>
                <w:sz w:val="16"/>
                <w:szCs w:val="16"/>
                <w:lang w:eastAsia="es-CR"/>
              </w:rPr>
            </w:pPr>
            <w:r w:rsidRPr="00C72F54">
              <w:rPr>
                <w:rFonts w:ascii="Book Antiqua" w:hAnsi="Book Antiqua" w:cs="Calibri"/>
                <w:color w:val="000000"/>
                <w:sz w:val="16"/>
                <w:szCs w:val="16"/>
                <w:lang w:eastAsia="es-CR"/>
              </w:rPr>
              <w:t xml:space="preserve">Juzgado Penal del II Circuito Judicial de La Zona Sur </w:t>
            </w:r>
          </w:p>
        </w:tc>
        <w:tc>
          <w:tcPr>
            <w:tcW w:w="1720" w:type="dxa"/>
            <w:tcBorders>
              <w:top w:val="nil"/>
              <w:left w:val="nil"/>
              <w:bottom w:val="single" w:sz="4" w:space="0" w:color="808080"/>
              <w:right w:val="single" w:sz="4" w:space="0" w:color="808080"/>
            </w:tcBorders>
            <w:shd w:val="clear" w:color="auto" w:fill="auto"/>
            <w:noWrap/>
            <w:vAlign w:val="bottom"/>
            <w:hideMark/>
          </w:tcPr>
          <w:p w14:paraId="5C862526" w14:textId="77777777" w:rsidR="003E16F3" w:rsidRPr="00C72F54" w:rsidRDefault="003E16F3" w:rsidP="003E16F3">
            <w:pPr>
              <w:jc w:val="center"/>
              <w:rPr>
                <w:rFonts w:ascii="Book Antiqua" w:hAnsi="Book Antiqua" w:cs="Calibri"/>
                <w:color w:val="000000"/>
                <w:sz w:val="16"/>
                <w:szCs w:val="16"/>
                <w:lang w:eastAsia="es-CR"/>
              </w:rPr>
            </w:pPr>
            <w:r w:rsidRPr="00C72F54">
              <w:rPr>
                <w:rFonts w:ascii="Book Antiqua" w:hAnsi="Book Antiqua" w:cs="Calibri"/>
                <w:color w:val="000000"/>
                <w:sz w:val="16"/>
                <w:szCs w:val="16"/>
                <w:lang w:eastAsia="es-CR"/>
              </w:rPr>
              <w:t>70 %</w:t>
            </w:r>
          </w:p>
        </w:tc>
      </w:tr>
      <w:tr w:rsidR="003E16F3" w:rsidRPr="00C72F54" w14:paraId="520912E6" w14:textId="77777777" w:rsidTr="00C72F54">
        <w:trPr>
          <w:trHeight w:val="290"/>
          <w:jc w:val="center"/>
        </w:trPr>
        <w:tc>
          <w:tcPr>
            <w:tcW w:w="5761" w:type="dxa"/>
            <w:tcBorders>
              <w:top w:val="nil"/>
              <w:left w:val="single" w:sz="4" w:space="0" w:color="808080"/>
              <w:bottom w:val="single" w:sz="4" w:space="0" w:color="808080"/>
              <w:right w:val="single" w:sz="4" w:space="0" w:color="808080"/>
            </w:tcBorders>
            <w:shd w:val="clear" w:color="auto" w:fill="auto"/>
            <w:noWrap/>
            <w:vAlign w:val="bottom"/>
            <w:hideMark/>
          </w:tcPr>
          <w:p w14:paraId="7B28179C" w14:textId="77777777" w:rsidR="003E16F3" w:rsidRPr="00C72F54" w:rsidRDefault="003E16F3" w:rsidP="003E16F3">
            <w:pPr>
              <w:rPr>
                <w:rFonts w:ascii="Book Antiqua" w:hAnsi="Book Antiqua" w:cs="Calibri"/>
                <w:color w:val="000000"/>
                <w:sz w:val="16"/>
                <w:szCs w:val="16"/>
                <w:lang w:eastAsia="es-CR"/>
              </w:rPr>
            </w:pPr>
            <w:r w:rsidRPr="00C72F54">
              <w:rPr>
                <w:rFonts w:ascii="Book Antiqua" w:hAnsi="Book Antiqua" w:cs="Calibri"/>
                <w:color w:val="000000"/>
                <w:sz w:val="16"/>
                <w:szCs w:val="16"/>
                <w:lang w:eastAsia="es-CR"/>
              </w:rPr>
              <w:t xml:space="preserve">Juzgado Penal de Hatillo </w:t>
            </w:r>
          </w:p>
        </w:tc>
        <w:tc>
          <w:tcPr>
            <w:tcW w:w="1720" w:type="dxa"/>
            <w:tcBorders>
              <w:top w:val="nil"/>
              <w:left w:val="nil"/>
              <w:bottom w:val="single" w:sz="4" w:space="0" w:color="808080"/>
              <w:right w:val="single" w:sz="4" w:space="0" w:color="808080"/>
            </w:tcBorders>
            <w:shd w:val="clear" w:color="auto" w:fill="auto"/>
            <w:noWrap/>
            <w:vAlign w:val="bottom"/>
            <w:hideMark/>
          </w:tcPr>
          <w:p w14:paraId="4C1EBB6D" w14:textId="77777777" w:rsidR="003E16F3" w:rsidRPr="00C72F54" w:rsidRDefault="003E16F3" w:rsidP="003E16F3">
            <w:pPr>
              <w:jc w:val="center"/>
              <w:rPr>
                <w:rFonts w:ascii="Book Antiqua" w:hAnsi="Book Antiqua" w:cs="Calibri"/>
                <w:color w:val="000000"/>
                <w:sz w:val="16"/>
                <w:szCs w:val="16"/>
                <w:lang w:eastAsia="es-CR"/>
              </w:rPr>
            </w:pPr>
            <w:r w:rsidRPr="00C72F54">
              <w:rPr>
                <w:rFonts w:ascii="Book Antiqua" w:hAnsi="Book Antiqua" w:cs="Calibri"/>
                <w:color w:val="000000"/>
                <w:sz w:val="16"/>
                <w:szCs w:val="16"/>
                <w:lang w:eastAsia="es-CR"/>
              </w:rPr>
              <w:t>67 %</w:t>
            </w:r>
          </w:p>
        </w:tc>
      </w:tr>
      <w:tr w:rsidR="003E16F3" w:rsidRPr="00C72F54" w14:paraId="6A8A148F" w14:textId="77777777" w:rsidTr="00C72F54">
        <w:trPr>
          <w:trHeight w:val="290"/>
          <w:jc w:val="center"/>
        </w:trPr>
        <w:tc>
          <w:tcPr>
            <w:tcW w:w="5761" w:type="dxa"/>
            <w:tcBorders>
              <w:top w:val="nil"/>
              <w:left w:val="single" w:sz="4" w:space="0" w:color="808080"/>
              <w:bottom w:val="single" w:sz="4" w:space="0" w:color="808080"/>
              <w:right w:val="single" w:sz="4" w:space="0" w:color="808080"/>
            </w:tcBorders>
            <w:shd w:val="clear" w:color="auto" w:fill="auto"/>
            <w:noWrap/>
            <w:vAlign w:val="bottom"/>
            <w:hideMark/>
          </w:tcPr>
          <w:p w14:paraId="4126D447" w14:textId="77777777" w:rsidR="003E16F3" w:rsidRPr="00C72F54" w:rsidRDefault="003E16F3" w:rsidP="003E16F3">
            <w:pPr>
              <w:rPr>
                <w:rFonts w:ascii="Book Antiqua" w:hAnsi="Book Antiqua" w:cs="Calibri"/>
                <w:color w:val="000000"/>
                <w:sz w:val="16"/>
                <w:szCs w:val="16"/>
                <w:lang w:eastAsia="es-CR"/>
              </w:rPr>
            </w:pPr>
            <w:r w:rsidRPr="00C72F54">
              <w:rPr>
                <w:rFonts w:ascii="Book Antiqua" w:hAnsi="Book Antiqua" w:cs="Calibri"/>
                <w:color w:val="000000"/>
                <w:sz w:val="16"/>
                <w:szCs w:val="16"/>
                <w:lang w:eastAsia="es-CR"/>
              </w:rPr>
              <w:t>Juzgado Penal de Puntarenas, Sede Cóbano</w:t>
            </w:r>
          </w:p>
        </w:tc>
        <w:tc>
          <w:tcPr>
            <w:tcW w:w="1720" w:type="dxa"/>
            <w:tcBorders>
              <w:top w:val="nil"/>
              <w:left w:val="nil"/>
              <w:bottom w:val="single" w:sz="4" w:space="0" w:color="808080"/>
              <w:right w:val="single" w:sz="4" w:space="0" w:color="808080"/>
            </w:tcBorders>
            <w:shd w:val="clear" w:color="auto" w:fill="auto"/>
            <w:noWrap/>
            <w:vAlign w:val="bottom"/>
            <w:hideMark/>
          </w:tcPr>
          <w:p w14:paraId="09AA6FA7" w14:textId="77777777" w:rsidR="003E16F3" w:rsidRPr="00C72F54" w:rsidRDefault="003E16F3" w:rsidP="003E16F3">
            <w:pPr>
              <w:jc w:val="center"/>
              <w:rPr>
                <w:rFonts w:ascii="Book Antiqua" w:hAnsi="Book Antiqua" w:cs="Calibri"/>
                <w:color w:val="000000"/>
                <w:sz w:val="16"/>
                <w:szCs w:val="16"/>
                <w:lang w:eastAsia="es-CR"/>
              </w:rPr>
            </w:pPr>
            <w:r w:rsidRPr="00C72F54">
              <w:rPr>
                <w:rFonts w:ascii="Book Antiqua" w:hAnsi="Book Antiqua" w:cs="Calibri"/>
                <w:color w:val="000000"/>
                <w:sz w:val="16"/>
                <w:szCs w:val="16"/>
                <w:lang w:eastAsia="es-CR"/>
              </w:rPr>
              <w:t>33 %</w:t>
            </w:r>
          </w:p>
        </w:tc>
      </w:tr>
      <w:tr w:rsidR="003E16F3" w:rsidRPr="00C72F54" w14:paraId="1D266966" w14:textId="77777777" w:rsidTr="00C72F54">
        <w:trPr>
          <w:trHeight w:val="290"/>
          <w:jc w:val="center"/>
        </w:trPr>
        <w:tc>
          <w:tcPr>
            <w:tcW w:w="5761" w:type="dxa"/>
            <w:tcBorders>
              <w:top w:val="nil"/>
              <w:left w:val="single" w:sz="4" w:space="0" w:color="808080"/>
              <w:bottom w:val="single" w:sz="4" w:space="0" w:color="808080"/>
              <w:right w:val="single" w:sz="4" w:space="0" w:color="808080"/>
            </w:tcBorders>
            <w:shd w:val="clear" w:color="auto" w:fill="auto"/>
            <w:noWrap/>
            <w:vAlign w:val="bottom"/>
            <w:hideMark/>
          </w:tcPr>
          <w:p w14:paraId="4E43A94F" w14:textId="1A9A12EA" w:rsidR="003E16F3" w:rsidRPr="00C72F54" w:rsidRDefault="003E16F3" w:rsidP="003E16F3">
            <w:pPr>
              <w:rPr>
                <w:rFonts w:ascii="Book Antiqua" w:hAnsi="Book Antiqua" w:cs="Calibri"/>
                <w:color w:val="000000"/>
                <w:sz w:val="16"/>
                <w:szCs w:val="16"/>
                <w:lang w:eastAsia="es-CR"/>
              </w:rPr>
            </w:pPr>
            <w:r w:rsidRPr="00C72F54">
              <w:rPr>
                <w:rFonts w:ascii="Book Antiqua" w:hAnsi="Book Antiqua" w:cs="Calibri"/>
                <w:color w:val="000000"/>
                <w:sz w:val="16"/>
                <w:szCs w:val="16"/>
                <w:lang w:eastAsia="es-CR"/>
              </w:rPr>
              <w:t>Juzgado Penal del II Circuito Judicial de Alajuela, Sede La Fortuna</w:t>
            </w:r>
          </w:p>
        </w:tc>
        <w:tc>
          <w:tcPr>
            <w:tcW w:w="1720" w:type="dxa"/>
            <w:tcBorders>
              <w:top w:val="nil"/>
              <w:left w:val="nil"/>
              <w:bottom w:val="single" w:sz="4" w:space="0" w:color="808080"/>
              <w:right w:val="single" w:sz="4" w:space="0" w:color="808080"/>
            </w:tcBorders>
            <w:shd w:val="clear" w:color="auto" w:fill="auto"/>
            <w:noWrap/>
            <w:vAlign w:val="bottom"/>
            <w:hideMark/>
          </w:tcPr>
          <w:p w14:paraId="14C3231A" w14:textId="77777777" w:rsidR="003E16F3" w:rsidRPr="00C72F54" w:rsidRDefault="003E16F3" w:rsidP="003E16F3">
            <w:pPr>
              <w:jc w:val="center"/>
              <w:rPr>
                <w:rFonts w:ascii="Book Antiqua" w:hAnsi="Book Antiqua" w:cs="Calibri"/>
                <w:color w:val="000000"/>
                <w:sz w:val="16"/>
                <w:szCs w:val="16"/>
                <w:lang w:eastAsia="es-CR"/>
              </w:rPr>
            </w:pPr>
            <w:r w:rsidRPr="00C72F54">
              <w:rPr>
                <w:rFonts w:ascii="Book Antiqua" w:hAnsi="Book Antiqua" w:cs="Calibri"/>
                <w:color w:val="000000"/>
                <w:sz w:val="16"/>
                <w:szCs w:val="16"/>
                <w:lang w:eastAsia="es-CR"/>
              </w:rPr>
              <w:t>32 %</w:t>
            </w:r>
          </w:p>
        </w:tc>
      </w:tr>
      <w:tr w:rsidR="003E16F3" w:rsidRPr="00C72F54" w14:paraId="273BB027" w14:textId="77777777" w:rsidTr="00C72F54">
        <w:trPr>
          <w:trHeight w:val="290"/>
          <w:jc w:val="center"/>
        </w:trPr>
        <w:tc>
          <w:tcPr>
            <w:tcW w:w="5761" w:type="dxa"/>
            <w:tcBorders>
              <w:top w:val="nil"/>
              <w:left w:val="single" w:sz="4" w:space="0" w:color="808080"/>
              <w:bottom w:val="single" w:sz="4" w:space="0" w:color="808080"/>
              <w:right w:val="single" w:sz="4" w:space="0" w:color="808080"/>
            </w:tcBorders>
            <w:shd w:val="clear" w:color="auto" w:fill="auto"/>
            <w:noWrap/>
            <w:vAlign w:val="bottom"/>
            <w:hideMark/>
          </w:tcPr>
          <w:p w14:paraId="65A6366F" w14:textId="77777777" w:rsidR="003E16F3" w:rsidRPr="00C72F54" w:rsidRDefault="003E16F3" w:rsidP="003E16F3">
            <w:pPr>
              <w:rPr>
                <w:rFonts w:ascii="Book Antiqua" w:hAnsi="Book Antiqua" w:cs="Calibri"/>
                <w:color w:val="000000"/>
                <w:sz w:val="16"/>
                <w:szCs w:val="16"/>
                <w:lang w:eastAsia="es-CR"/>
              </w:rPr>
            </w:pPr>
            <w:r w:rsidRPr="00C72F54">
              <w:rPr>
                <w:rFonts w:ascii="Book Antiqua" w:hAnsi="Book Antiqua" w:cs="Calibri"/>
                <w:color w:val="000000"/>
                <w:sz w:val="16"/>
                <w:szCs w:val="16"/>
                <w:lang w:eastAsia="es-CR"/>
              </w:rPr>
              <w:t xml:space="preserve">Juzgado Penal de Coto Brus </w:t>
            </w:r>
          </w:p>
        </w:tc>
        <w:tc>
          <w:tcPr>
            <w:tcW w:w="1720" w:type="dxa"/>
            <w:tcBorders>
              <w:top w:val="nil"/>
              <w:left w:val="nil"/>
              <w:bottom w:val="single" w:sz="4" w:space="0" w:color="808080"/>
              <w:right w:val="single" w:sz="4" w:space="0" w:color="808080"/>
            </w:tcBorders>
            <w:shd w:val="clear" w:color="auto" w:fill="auto"/>
            <w:noWrap/>
            <w:vAlign w:val="bottom"/>
            <w:hideMark/>
          </w:tcPr>
          <w:p w14:paraId="34832BFF" w14:textId="77777777" w:rsidR="003E16F3" w:rsidRPr="00C72F54" w:rsidRDefault="003E16F3" w:rsidP="003E16F3">
            <w:pPr>
              <w:jc w:val="center"/>
              <w:rPr>
                <w:rFonts w:ascii="Book Antiqua" w:hAnsi="Book Antiqua" w:cs="Calibri"/>
                <w:color w:val="000000"/>
                <w:sz w:val="16"/>
                <w:szCs w:val="16"/>
                <w:lang w:eastAsia="es-CR"/>
              </w:rPr>
            </w:pPr>
            <w:r w:rsidRPr="00C72F54">
              <w:rPr>
                <w:rFonts w:ascii="Book Antiqua" w:hAnsi="Book Antiqua" w:cs="Calibri"/>
                <w:color w:val="000000"/>
                <w:sz w:val="16"/>
                <w:szCs w:val="16"/>
                <w:lang w:eastAsia="es-CR"/>
              </w:rPr>
              <w:t>31 %</w:t>
            </w:r>
          </w:p>
        </w:tc>
      </w:tr>
      <w:tr w:rsidR="003E16F3" w:rsidRPr="00C72F54" w14:paraId="32ABCACF" w14:textId="77777777" w:rsidTr="00C72F54">
        <w:trPr>
          <w:trHeight w:val="290"/>
          <w:jc w:val="center"/>
        </w:trPr>
        <w:tc>
          <w:tcPr>
            <w:tcW w:w="5761" w:type="dxa"/>
            <w:tcBorders>
              <w:top w:val="nil"/>
              <w:left w:val="single" w:sz="4" w:space="0" w:color="808080"/>
              <w:bottom w:val="single" w:sz="4" w:space="0" w:color="808080"/>
              <w:right w:val="single" w:sz="4" w:space="0" w:color="808080"/>
            </w:tcBorders>
            <w:shd w:val="clear" w:color="auto" w:fill="auto"/>
            <w:noWrap/>
            <w:vAlign w:val="bottom"/>
            <w:hideMark/>
          </w:tcPr>
          <w:p w14:paraId="37E18BD4" w14:textId="77777777" w:rsidR="003E16F3" w:rsidRPr="00C72F54" w:rsidRDefault="003E16F3" w:rsidP="003E16F3">
            <w:pPr>
              <w:rPr>
                <w:rFonts w:ascii="Book Antiqua" w:hAnsi="Book Antiqua" w:cs="Calibri"/>
                <w:color w:val="000000"/>
                <w:sz w:val="16"/>
                <w:szCs w:val="16"/>
                <w:lang w:eastAsia="es-CR"/>
              </w:rPr>
            </w:pPr>
            <w:r w:rsidRPr="00C72F54">
              <w:rPr>
                <w:rFonts w:ascii="Book Antiqua" w:hAnsi="Book Antiqua" w:cs="Calibri"/>
                <w:color w:val="000000"/>
                <w:sz w:val="16"/>
                <w:szCs w:val="16"/>
                <w:lang w:eastAsia="es-CR"/>
              </w:rPr>
              <w:t xml:space="preserve">Juzgado Penal de Garabito </w:t>
            </w:r>
          </w:p>
        </w:tc>
        <w:tc>
          <w:tcPr>
            <w:tcW w:w="1720" w:type="dxa"/>
            <w:tcBorders>
              <w:top w:val="nil"/>
              <w:left w:val="nil"/>
              <w:bottom w:val="single" w:sz="4" w:space="0" w:color="808080"/>
              <w:right w:val="single" w:sz="4" w:space="0" w:color="808080"/>
            </w:tcBorders>
            <w:shd w:val="clear" w:color="auto" w:fill="auto"/>
            <w:noWrap/>
            <w:vAlign w:val="bottom"/>
            <w:hideMark/>
          </w:tcPr>
          <w:p w14:paraId="62BE1EAD" w14:textId="77777777" w:rsidR="003E16F3" w:rsidRPr="00C72F54" w:rsidRDefault="003E16F3" w:rsidP="003E16F3">
            <w:pPr>
              <w:jc w:val="center"/>
              <w:rPr>
                <w:rFonts w:ascii="Book Antiqua" w:hAnsi="Book Antiqua" w:cs="Calibri"/>
                <w:color w:val="000000"/>
                <w:sz w:val="16"/>
                <w:szCs w:val="16"/>
                <w:lang w:eastAsia="es-CR"/>
              </w:rPr>
            </w:pPr>
            <w:r w:rsidRPr="00C72F54">
              <w:rPr>
                <w:rFonts w:ascii="Book Antiqua" w:hAnsi="Book Antiqua" w:cs="Calibri"/>
                <w:color w:val="000000"/>
                <w:sz w:val="16"/>
                <w:szCs w:val="16"/>
                <w:lang w:eastAsia="es-CR"/>
              </w:rPr>
              <w:t>28 %</w:t>
            </w:r>
          </w:p>
        </w:tc>
      </w:tr>
      <w:tr w:rsidR="003E16F3" w:rsidRPr="00C72F54" w14:paraId="35570C8D" w14:textId="77777777" w:rsidTr="00C72F54">
        <w:trPr>
          <w:trHeight w:val="290"/>
          <w:jc w:val="center"/>
        </w:trPr>
        <w:tc>
          <w:tcPr>
            <w:tcW w:w="5761" w:type="dxa"/>
            <w:tcBorders>
              <w:top w:val="nil"/>
              <w:left w:val="single" w:sz="4" w:space="0" w:color="808080"/>
              <w:bottom w:val="single" w:sz="4" w:space="0" w:color="808080"/>
              <w:right w:val="single" w:sz="4" w:space="0" w:color="808080"/>
            </w:tcBorders>
            <w:shd w:val="clear" w:color="auto" w:fill="auto"/>
            <w:noWrap/>
            <w:vAlign w:val="bottom"/>
            <w:hideMark/>
          </w:tcPr>
          <w:p w14:paraId="039039A0" w14:textId="77777777" w:rsidR="003E16F3" w:rsidRPr="00C72F54" w:rsidRDefault="003E16F3" w:rsidP="003E16F3">
            <w:pPr>
              <w:rPr>
                <w:rFonts w:ascii="Book Antiqua" w:hAnsi="Book Antiqua" w:cs="Calibri"/>
                <w:color w:val="000000"/>
                <w:sz w:val="16"/>
                <w:szCs w:val="16"/>
                <w:lang w:eastAsia="es-CR"/>
              </w:rPr>
            </w:pPr>
            <w:r w:rsidRPr="00C72F54">
              <w:rPr>
                <w:rFonts w:ascii="Book Antiqua" w:hAnsi="Book Antiqua" w:cs="Calibri"/>
                <w:color w:val="000000"/>
                <w:sz w:val="16"/>
                <w:szCs w:val="16"/>
                <w:lang w:eastAsia="es-CR"/>
              </w:rPr>
              <w:t xml:space="preserve">Juzgado Penal de Puriscal </w:t>
            </w:r>
          </w:p>
        </w:tc>
        <w:tc>
          <w:tcPr>
            <w:tcW w:w="1720" w:type="dxa"/>
            <w:tcBorders>
              <w:top w:val="nil"/>
              <w:left w:val="nil"/>
              <w:bottom w:val="single" w:sz="4" w:space="0" w:color="808080"/>
              <w:right w:val="single" w:sz="4" w:space="0" w:color="808080"/>
            </w:tcBorders>
            <w:shd w:val="clear" w:color="auto" w:fill="auto"/>
            <w:noWrap/>
            <w:vAlign w:val="bottom"/>
            <w:hideMark/>
          </w:tcPr>
          <w:p w14:paraId="4EFF5B1B" w14:textId="77777777" w:rsidR="003E16F3" w:rsidRPr="00C72F54" w:rsidRDefault="003E16F3" w:rsidP="003E16F3">
            <w:pPr>
              <w:jc w:val="center"/>
              <w:rPr>
                <w:rFonts w:ascii="Book Antiqua" w:hAnsi="Book Antiqua" w:cs="Calibri"/>
                <w:color w:val="000000"/>
                <w:sz w:val="16"/>
                <w:szCs w:val="16"/>
                <w:lang w:eastAsia="es-CR"/>
              </w:rPr>
            </w:pPr>
            <w:r w:rsidRPr="00C72F54">
              <w:rPr>
                <w:rFonts w:ascii="Book Antiqua" w:hAnsi="Book Antiqua" w:cs="Calibri"/>
                <w:color w:val="000000"/>
                <w:sz w:val="16"/>
                <w:szCs w:val="16"/>
                <w:lang w:eastAsia="es-CR"/>
              </w:rPr>
              <w:t>18 %</w:t>
            </w:r>
          </w:p>
        </w:tc>
      </w:tr>
      <w:tr w:rsidR="003E16F3" w:rsidRPr="00C72F54" w14:paraId="58EBA386" w14:textId="77777777" w:rsidTr="00C72F54">
        <w:trPr>
          <w:trHeight w:val="290"/>
          <w:jc w:val="center"/>
        </w:trPr>
        <w:tc>
          <w:tcPr>
            <w:tcW w:w="5761" w:type="dxa"/>
            <w:tcBorders>
              <w:top w:val="nil"/>
              <w:left w:val="single" w:sz="4" w:space="0" w:color="808080"/>
              <w:bottom w:val="single" w:sz="4" w:space="0" w:color="808080"/>
              <w:right w:val="single" w:sz="4" w:space="0" w:color="808080"/>
            </w:tcBorders>
            <w:shd w:val="clear" w:color="auto" w:fill="auto"/>
            <w:noWrap/>
            <w:vAlign w:val="bottom"/>
            <w:hideMark/>
          </w:tcPr>
          <w:p w14:paraId="67894CB8" w14:textId="77777777" w:rsidR="003E16F3" w:rsidRPr="00C72F54" w:rsidRDefault="003E16F3" w:rsidP="003E16F3">
            <w:pPr>
              <w:rPr>
                <w:rFonts w:ascii="Book Antiqua" w:hAnsi="Book Antiqua" w:cs="Calibri"/>
                <w:color w:val="000000"/>
                <w:sz w:val="16"/>
                <w:szCs w:val="16"/>
                <w:lang w:eastAsia="es-CR"/>
              </w:rPr>
            </w:pPr>
            <w:r w:rsidRPr="00C72F54">
              <w:rPr>
                <w:rFonts w:ascii="Book Antiqua" w:hAnsi="Book Antiqua" w:cs="Calibri"/>
                <w:color w:val="000000"/>
                <w:sz w:val="16"/>
                <w:szCs w:val="16"/>
                <w:lang w:eastAsia="es-CR"/>
              </w:rPr>
              <w:t xml:space="preserve">Juzgado Penal de Buenos Aires </w:t>
            </w:r>
          </w:p>
        </w:tc>
        <w:tc>
          <w:tcPr>
            <w:tcW w:w="1720" w:type="dxa"/>
            <w:tcBorders>
              <w:top w:val="nil"/>
              <w:left w:val="nil"/>
              <w:bottom w:val="single" w:sz="4" w:space="0" w:color="808080"/>
              <w:right w:val="single" w:sz="4" w:space="0" w:color="808080"/>
            </w:tcBorders>
            <w:shd w:val="clear" w:color="auto" w:fill="auto"/>
            <w:noWrap/>
            <w:vAlign w:val="bottom"/>
            <w:hideMark/>
          </w:tcPr>
          <w:p w14:paraId="19512456" w14:textId="77777777" w:rsidR="003E16F3" w:rsidRPr="00C72F54" w:rsidRDefault="003E16F3" w:rsidP="003E16F3">
            <w:pPr>
              <w:jc w:val="center"/>
              <w:rPr>
                <w:rFonts w:ascii="Book Antiqua" w:hAnsi="Book Antiqua" w:cs="Calibri"/>
                <w:color w:val="000000"/>
                <w:sz w:val="16"/>
                <w:szCs w:val="16"/>
                <w:lang w:eastAsia="es-CR"/>
              </w:rPr>
            </w:pPr>
            <w:r w:rsidRPr="00C72F54">
              <w:rPr>
                <w:rFonts w:ascii="Book Antiqua" w:hAnsi="Book Antiqua" w:cs="Calibri"/>
                <w:color w:val="000000"/>
                <w:sz w:val="16"/>
                <w:szCs w:val="16"/>
                <w:lang w:eastAsia="es-CR"/>
              </w:rPr>
              <w:t>15 %</w:t>
            </w:r>
          </w:p>
        </w:tc>
      </w:tr>
      <w:tr w:rsidR="003E16F3" w:rsidRPr="00C72F54" w14:paraId="49313DBA" w14:textId="77777777" w:rsidTr="00C72F54">
        <w:trPr>
          <w:trHeight w:val="290"/>
          <w:jc w:val="center"/>
        </w:trPr>
        <w:tc>
          <w:tcPr>
            <w:tcW w:w="5761" w:type="dxa"/>
            <w:tcBorders>
              <w:top w:val="nil"/>
              <w:left w:val="single" w:sz="4" w:space="0" w:color="808080"/>
              <w:bottom w:val="single" w:sz="4" w:space="0" w:color="808080"/>
              <w:right w:val="single" w:sz="4" w:space="0" w:color="808080"/>
            </w:tcBorders>
            <w:shd w:val="clear" w:color="auto" w:fill="auto"/>
            <w:noWrap/>
            <w:vAlign w:val="center"/>
            <w:hideMark/>
          </w:tcPr>
          <w:p w14:paraId="62ED32EE" w14:textId="77777777" w:rsidR="003E16F3" w:rsidRPr="00C72F54" w:rsidRDefault="003E16F3" w:rsidP="003E16F3">
            <w:pPr>
              <w:rPr>
                <w:rFonts w:ascii="Book Antiqua" w:hAnsi="Book Antiqua" w:cs="Calibri"/>
                <w:b/>
                <w:bCs/>
                <w:color w:val="000000"/>
                <w:sz w:val="16"/>
                <w:szCs w:val="16"/>
                <w:lang w:eastAsia="es-CR"/>
              </w:rPr>
            </w:pPr>
            <w:r w:rsidRPr="00C72F54">
              <w:rPr>
                <w:rFonts w:ascii="Book Antiqua" w:hAnsi="Book Antiqua" w:cs="Calibri"/>
                <w:b/>
                <w:bCs/>
                <w:color w:val="000000"/>
                <w:sz w:val="16"/>
                <w:szCs w:val="16"/>
                <w:lang w:eastAsia="es-CR"/>
              </w:rPr>
              <w:t>Promedio Global</w:t>
            </w:r>
          </w:p>
        </w:tc>
        <w:tc>
          <w:tcPr>
            <w:tcW w:w="1720" w:type="dxa"/>
            <w:tcBorders>
              <w:top w:val="nil"/>
              <w:left w:val="nil"/>
              <w:bottom w:val="single" w:sz="4" w:space="0" w:color="808080"/>
              <w:right w:val="single" w:sz="4" w:space="0" w:color="808080"/>
            </w:tcBorders>
            <w:shd w:val="clear" w:color="auto" w:fill="auto"/>
            <w:noWrap/>
            <w:vAlign w:val="center"/>
            <w:hideMark/>
          </w:tcPr>
          <w:p w14:paraId="40C7B9D7" w14:textId="77777777" w:rsidR="003E16F3" w:rsidRPr="00C72F54" w:rsidRDefault="003E16F3" w:rsidP="003E16F3">
            <w:pPr>
              <w:jc w:val="center"/>
              <w:rPr>
                <w:rFonts w:ascii="Book Antiqua" w:hAnsi="Book Antiqua" w:cs="Calibri"/>
                <w:b/>
                <w:bCs/>
                <w:color w:val="000000"/>
                <w:sz w:val="16"/>
                <w:szCs w:val="16"/>
                <w:lang w:eastAsia="es-CR"/>
              </w:rPr>
            </w:pPr>
            <w:r w:rsidRPr="00C72F54">
              <w:rPr>
                <w:rFonts w:ascii="Book Antiqua" w:hAnsi="Book Antiqua" w:cs="Calibri"/>
                <w:b/>
                <w:bCs/>
                <w:color w:val="000000"/>
                <w:sz w:val="16"/>
                <w:szCs w:val="16"/>
                <w:lang w:eastAsia="es-CR"/>
              </w:rPr>
              <w:t>127%</w:t>
            </w:r>
          </w:p>
        </w:tc>
      </w:tr>
    </w:tbl>
    <w:p w14:paraId="668D794E" w14:textId="77777777" w:rsidR="00F75E3A" w:rsidRDefault="00F75E3A" w:rsidP="00C72F54">
      <w:pPr>
        <w:spacing w:line="276" w:lineRule="auto"/>
        <w:jc w:val="center"/>
        <w:rPr>
          <w:rFonts w:ascii="Book Antiqua" w:hAnsi="Book Antiqua"/>
          <w:b/>
          <w:bCs/>
          <w:color w:val="000000" w:themeColor="text1"/>
          <w:sz w:val="20"/>
          <w:szCs w:val="20"/>
        </w:rPr>
      </w:pPr>
      <w:r w:rsidRPr="00677475">
        <w:rPr>
          <w:rFonts w:ascii="Book Antiqua" w:hAnsi="Book Antiqua"/>
          <w:b/>
          <w:bCs/>
          <w:color w:val="000000" w:themeColor="text1"/>
          <w:sz w:val="20"/>
          <w:szCs w:val="20"/>
        </w:rPr>
        <w:t xml:space="preserve">Fuente: </w:t>
      </w:r>
      <w:r w:rsidRPr="00677475">
        <w:rPr>
          <w:rFonts w:ascii="Book Antiqua" w:hAnsi="Book Antiqua"/>
          <w:color w:val="000000" w:themeColor="text1"/>
          <w:sz w:val="20"/>
          <w:szCs w:val="20"/>
        </w:rPr>
        <w:t>Matriz de indicadores de Gestión</w:t>
      </w:r>
    </w:p>
    <w:p w14:paraId="5C738445" w14:textId="77777777" w:rsidR="00F75E3A" w:rsidRDefault="00F75E3A" w:rsidP="00F75E3A">
      <w:pPr>
        <w:spacing w:line="276" w:lineRule="auto"/>
        <w:jc w:val="both"/>
        <w:rPr>
          <w:rFonts w:ascii="Book Antiqua" w:hAnsi="Book Antiqua"/>
          <w:color w:val="000000" w:themeColor="text1"/>
        </w:rPr>
      </w:pPr>
    </w:p>
    <w:p w14:paraId="04C815FE" w14:textId="77777777" w:rsidR="00C72F54" w:rsidRPr="00BF5562" w:rsidRDefault="00C72F54" w:rsidP="00C72F54">
      <w:pPr>
        <w:spacing w:line="276" w:lineRule="auto"/>
        <w:jc w:val="both"/>
        <w:rPr>
          <w:rFonts w:ascii="Book Antiqua" w:hAnsi="Book Antiqua"/>
          <w:lang w:eastAsia="es-CR"/>
        </w:rPr>
      </w:pPr>
      <w:r w:rsidRPr="00BF5562">
        <w:rPr>
          <w:rFonts w:ascii="Book Antiqua" w:hAnsi="Book Antiqua"/>
          <w:lang w:eastAsia="es-CR"/>
        </w:rPr>
        <w:t>A pesar de tener un promedio global del 127% en la producción de los Juzgados Penales, aun así, hay despachos que se mantienen por debajo del 80% mínimo esperado, tales como Turrialba, San José, Goicoechea, Osa, Alajuela, Corredores, Hatillo, Cóbano, La Fortuna, Coto Brus, Garabito, Puriscal y Buenos Aires.</w:t>
      </w:r>
    </w:p>
    <w:p w14:paraId="0B006FFE" w14:textId="77777777" w:rsidR="00C72F54" w:rsidRPr="00BF5562" w:rsidRDefault="00C72F54" w:rsidP="00C72F54">
      <w:pPr>
        <w:spacing w:line="276" w:lineRule="auto"/>
        <w:jc w:val="both"/>
        <w:rPr>
          <w:rFonts w:ascii="Book Antiqua" w:hAnsi="Book Antiqua"/>
          <w:lang w:eastAsia="es-CR"/>
        </w:rPr>
      </w:pPr>
    </w:p>
    <w:p w14:paraId="2AD51806" w14:textId="77777777" w:rsidR="00C72F54" w:rsidRPr="00BF5562" w:rsidRDefault="00C72F54" w:rsidP="00C72F54">
      <w:pPr>
        <w:spacing w:line="276" w:lineRule="auto"/>
        <w:jc w:val="both"/>
        <w:rPr>
          <w:rFonts w:ascii="Book Antiqua" w:hAnsi="Book Antiqua"/>
          <w:lang w:eastAsia="es-CR"/>
        </w:rPr>
      </w:pPr>
      <w:r w:rsidRPr="00BF5562">
        <w:rPr>
          <w:rFonts w:ascii="Book Antiqua" w:hAnsi="Book Antiqua"/>
          <w:lang w:eastAsia="es-CR"/>
        </w:rPr>
        <w:t>Es importante destacar que en el caso de Cóbano, es un despacho que tiene una entrada baja lo que dificulta el cumplimiento del parámetro y el Juzgado de Goicoechea se encuentran en proceso de abordaje por parte del Proyecto de Mejora Integral del Proceso Penal de la Dirección de Planificación.</w:t>
      </w:r>
    </w:p>
    <w:p w14:paraId="4C077339" w14:textId="77777777" w:rsidR="00C72F54" w:rsidRPr="00BF5562" w:rsidRDefault="00C72F54" w:rsidP="00C72F54">
      <w:pPr>
        <w:spacing w:line="276" w:lineRule="auto"/>
        <w:jc w:val="both"/>
        <w:rPr>
          <w:rFonts w:ascii="Book Antiqua" w:hAnsi="Book Antiqua"/>
          <w:lang w:eastAsia="es-CR"/>
        </w:rPr>
      </w:pPr>
    </w:p>
    <w:p w14:paraId="54DC31C4" w14:textId="77777777" w:rsidR="00C72F54" w:rsidRPr="00BF5562" w:rsidRDefault="00C72F54" w:rsidP="00C72F54">
      <w:pPr>
        <w:spacing w:line="276" w:lineRule="auto"/>
        <w:jc w:val="both"/>
        <w:rPr>
          <w:rFonts w:ascii="Book Antiqua" w:hAnsi="Book Antiqua"/>
          <w:lang w:eastAsia="es-CR"/>
        </w:rPr>
      </w:pPr>
      <w:r w:rsidRPr="00BF5562">
        <w:rPr>
          <w:rFonts w:ascii="Book Antiqua" w:hAnsi="Book Antiqua"/>
          <w:lang w:eastAsia="es-CR"/>
        </w:rPr>
        <w:t>Los juzgados de Turrialba, San José, Osa, Alajuela, Corredores, Hatillo, La Fortuna, Coto Brus, Garabito, Puriscal y Buenos Aires, lo que evidencian es la necesidad de mejora en su sistema de trabajo con la implementación del Modelo Penal para incrementar el nivel de cumplimiento.</w:t>
      </w:r>
    </w:p>
    <w:p w14:paraId="1E6E00CD" w14:textId="77777777" w:rsidR="00C72F54" w:rsidRPr="00BF5562" w:rsidRDefault="00C72F54" w:rsidP="00C72F54">
      <w:pPr>
        <w:spacing w:line="276" w:lineRule="auto"/>
        <w:jc w:val="both"/>
        <w:rPr>
          <w:rFonts w:ascii="Book Antiqua" w:hAnsi="Book Antiqua"/>
          <w:lang w:eastAsia="es-CR"/>
        </w:rPr>
      </w:pPr>
    </w:p>
    <w:p w14:paraId="7D216EB8" w14:textId="77777777" w:rsidR="00C72F54" w:rsidRDefault="00C72F54" w:rsidP="00C72F54">
      <w:pPr>
        <w:spacing w:line="276" w:lineRule="auto"/>
        <w:jc w:val="both"/>
        <w:rPr>
          <w:rFonts w:ascii="Book Antiqua" w:hAnsi="Book Antiqua"/>
          <w:color w:val="000000" w:themeColor="text1"/>
        </w:rPr>
      </w:pPr>
      <w:r w:rsidRPr="00BF5562">
        <w:rPr>
          <w:rFonts w:ascii="Book Antiqua" w:hAnsi="Book Antiqua"/>
          <w:color w:val="000000" w:themeColor="text1"/>
        </w:rPr>
        <w:t>Cabe resaltar que, el Juzgado Penal de San Carlos tuvo un incremento significativo en el cumplimiento del parámetro de producción teórico, debido a que el despacho en conjunto con el equipo del Modelo de Sostenibilidad de la zona realizó un plan de trabajo para atender el atraso en uno de los escritorios del personal técnico judicial.</w:t>
      </w:r>
    </w:p>
    <w:p w14:paraId="4A1775FA" w14:textId="77777777" w:rsidR="00F75E3A" w:rsidRDefault="00F75E3A" w:rsidP="00F75E3A">
      <w:pPr>
        <w:spacing w:line="276" w:lineRule="auto"/>
        <w:rPr>
          <w:rFonts w:ascii="Book Antiqua" w:hAnsi="Book Antiqua"/>
          <w:b/>
          <w:color w:val="000000" w:themeColor="text1"/>
        </w:rPr>
      </w:pPr>
    </w:p>
    <w:p w14:paraId="1EB82AB4" w14:textId="4FBCDA9A" w:rsidR="00CF5CE4" w:rsidRPr="004F0E92" w:rsidRDefault="00CF5CE4" w:rsidP="00F75E3A">
      <w:pPr>
        <w:spacing w:line="276" w:lineRule="auto"/>
        <w:rPr>
          <w:b/>
          <w:color w:val="000000" w:themeColor="text1"/>
        </w:rPr>
      </w:pPr>
    </w:p>
    <w:p w14:paraId="4BF14218" w14:textId="02E09761" w:rsidR="00F75E3A" w:rsidRPr="00D8479D" w:rsidRDefault="20EF4E83" w:rsidP="57A79FF7">
      <w:pPr>
        <w:spacing w:after="160" w:line="276" w:lineRule="auto"/>
        <w:contextualSpacing/>
        <w:outlineLvl w:val="1"/>
        <w:rPr>
          <w:b/>
          <w:color w:val="000000" w:themeColor="text1"/>
        </w:rPr>
      </w:pPr>
      <w:r w:rsidRPr="57A79FF7">
        <w:rPr>
          <w:rFonts w:ascii="Book Antiqua" w:hAnsi="Book Antiqua"/>
          <w:b/>
          <w:bCs/>
          <w:color w:val="000000" w:themeColor="text1"/>
        </w:rPr>
        <w:t xml:space="preserve">8.2.2 </w:t>
      </w:r>
      <w:r w:rsidR="00F75E3A" w:rsidRPr="00D8479D">
        <w:rPr>
          <w:rFonts w:ascii="Book Antiqua" w:hAnsi="Book Antiqua"/>
          <w:b/>
          <w:color w:val="000000" w:themeColor="text1"/>
        </w:rPr>
        <w:t>Tribunal de Juicio</w:t>
      </w:r>
    </w:p>
    <w:p w14:paraId="7ECEB5A1" w14:textId="5D1A0725" w:rsidR="57A79FF7" w:rsidRDefault="57A79FF7" w:rsidP="57A79FF7">
      <w:pPr>
        <w:spacing w:after="160" w:line="276" w:lineRule="auto"/>
        <w:outlineLvl w:val="1"/>
        <w:rPr>
          <w:b/>
          <w:bCs/>
          <w:color w:val="000000" w:themeColor="text1"/>
        </w:rPr>
      </w:pPr>
    </w:p>
    <w:p w14:paraId="54F1EA35" w14:textId="77777777" w:rsidR="00D8479D" w:rsidRPr="00D8479D" w:rsidRDefault="00D8479D" w:rsidP="00D8479D">
      <w:pPr>
        <w:spacing w:line="276" w:lineRule="auto"/>
        <w:jc w:val="both"/>
        <w:rPr>
          <w:rFonts w:ascii="Book Antiqua" w:hAnsi="Book Antiqua"/>
          <w:color w:val="000000" w:themeColor="text1"/>
        </w:rPr>
      </w:pPr>
      <w:r w:rsidRPr="00D8479D">
        <w:rPr>
          <w:rFonts w:ascii="Book Antiqua" w:hAnsi="Book Antiqua"/>
          <w:color w:val="000000" w:themeColor="text1"/>
        </w:rPr>
        <w:t xml:space="preserve">Los Tribunales de Juicio según las matrices de indicadores que presentan cuentan con 100% de cumplimiento en forma general a nivel nacional; por lo cual, se destaca el trabajo que estos han venido desarrollando con sus estructuras ordinarias, a pesar de que en la mayoría de los lugares fueron retirados los recursos de los planes remediales. </w:t>
      </w:r>
    </w:p>
    <w:p w14:paraId="5FB2D3AF" w14:textId="77777777" w:rsidR="00D8479D" w:rsidRPr="00D8479D" w:rsidRDefault="00D8479D" w:rsidP="00D8479D">
      <w:pPr>
        <w:spacing w:line="276" w:lineRule="auto"/>
        <w:jc w:val="both"/>
        <w:rPr>
          <w:rFonts w:ascii="Book Antiqua" w:hAnsi="Book Antiqua"/>
          <w:color w:val="000000" w:themeColor="text1"/>
        </w:rPr>
      </w:pPr>
    </w:p>
    <w:p w14:paraId="6A6FD802" w14:textId="77777777" w:rsidR="00D8479D" w:rsidRPr="00D8479D" w:rsidRDefault="00D8479D" w:rsidP="00D8479D">
      <w:pPr>
        <w:spacing w:line="276" w:lineRule="auto"/>
        <w:jc w:val="both"/>
        <w:rPr>
          <w:rFonts w:ascii="Book Antiqua" w:hAnsi="Book Antiqua"/>
          <w:color w:val="000000" w:themeColor="text1"/>
        </w:rPr>
      </w:pPr>
      <w:r w:rsidRPr="00D8479D">
        <w:rPr>
          <w:rFonts w:ascii="Book Antiqua" w:hAnsi="Book Antiqua"/>
          <w:color w:val="000000" w:themeColor="text1"/>
        </w:rPr>
        <w:t>Se hace la observación que los datos están basados con las matrices de indicadores de los despachos; que tienen la responsabilidad de que el dato sea coincidente contra el Sistema Sigma, por lo que, como parte de la revisión que hace la Dirección de Planificación también se va a poder visualizar una comparación de ese valor contra lo que genera el sistema.</w:t>
      </w:r>
    </w:p>
    <w:p w14:paraId="5FBEB318" w14:textId="77777777" w:rsidR="00D8479D" w:rsidRPr="00D8479D" w:rsidRDefault="00D8479D" w:rsidP="00D8479D">
      <w:pPr>
        <w:spacing w:line="276" w:lineRule="auto"/>
        <w:jc w:val="both"/>
        <w:rPr>
          <w:rFonts w:ascii="Book Antiqua" w:hAnsi="Book Antiqua"/>
          <w:color w:val="000000" w:themeColor="text1"/>
        </w:rPr>
      </w:pPr>
    </w:p>
    <w:p w14:paraId="31E98EEA" w14:textId="77777777" w:rsidR="00D8479D" w:rsidRPr="00D8479D" w:rsidRDefault="00D8479D" w:rsidP="00D8479D">
      <w:pPr>
        <w:spacing w:line="276" w:lineRule="auto"/>
        <w:jc w:val="both"/>
        <w:rPr>
          <w:rFonts w:ascii="Book Antiqua" w:hAnsi="Book Antiqua"/>
          <w:color w:val="000000" w:themeColor="text1"/>
        </w:rPr>
      </w:pPr>
      <w:r w:rsidRPr="00D8479D">
        <w:rPr>
          <w:rFonts w:ascii="Book Antiqua" w:hAnsi="Book Antiqua"/>
          <w:color w:val="000000" w:themeColor="text1"/>
        </w:rPr>
        <w:t>Importante señalar, que el Tribunal con mayor nivel de cumplimiento fue el Tribunal Penal del I Circuito Judicial de Alajuela con un 198%; en tanto, el de menor nivel de cumplimiento fue el Tribunal Penal Segundo Circuito Judicial de la Zona Sur (Golfito) con un 13%.</w:t>
      </w:r>
    </w:p>
    <w:p w14:paraId="681C6FC3" w14:textId="77777777" w:rsidR="00D8479D" w:rsidRPr="00D8479D" w:rsidRDefault="00D8479D" w:rsidP="00D8479D">
      <w:pPr>
        <w:spacing w:line="276" w:lineRule="auto"/>
        <w:jc w:val="both"/>
        <w:rPr>
          <w:rFonts w:ascii="Book Antiqua" w:hAnsi="Book Antiqua"/>
          <w:color w:val="000000" w:themeColor="text1"/>
        </w:rPr>
      </w:pPr>
    </w:p>
    <w:p w14:paraId="25F873FE" w14:textId="77777777" w:rsidR="00D8479D" w:rsidRPr="00D8479D" w:rsidRDefault="00D8479D" w:rsidP="00D8479D">
      <w:pPr>
        <w:spacing w:line="276" w:lineRule="auto"/>
        <w:jc w:val="both"/>
        <w:rPr>
          <w:rFonts w:ascii="Book Antiqua" w:hAnsi="Book Antiqua"/>
          <w:color w:val="000000" w:themeColor="text1"/>
        </w:rPr>
      </w:pPr>
      <w:r w:rsidRPr="00D8479D">
        <w:rPr>
          <w:rFonts w:ascii="Book Antiqua" w:hAnsi="Book Antiqua"/>
          <w:color w:val="000000" w:themeColor="text1"/>
        </w:rPr>
        <w:t>Las oficinas que reflejan un rendimiento inferior al 80% son: Tribunal Penal del Segundo Circuito Judicial de Guanacaste (Nicoya) 76%, Tribunal Penal del Segundo Circuito Judicial de San José (Goicoechea) 75%, Tribunal Penal del Primer Circuito Judicial de San José 63%, Tribunal Penal Segundo Circuito Judicial de la Zona Sur (Osa) 31% y Tribunal Penal Segundo Circuito Judicial de la Zona Sur (Golfito) 13%.</w:t>
      </w:r>
    </w:p>
    <w:p w14:paraId="47869D2E" w14:textId="77777777" w:rsidR="00D8479D" w:rsidRPr="00D8479D" w:rsidRDefault="00D8479D" w:rsidP="00D8479D">
      <w:pPr>
        <w:spacing w:line="276" w:lineRule="auto"/>
        <w:jc w:val="both"/>
        <w:rPr>
          <w:rFonts w:ascii="Book Antiqua" w:hAnsi="Book Antiqua"/>
          <w:color w:val="000000" w:themeColor="text1"/>
        </w:rPr>
      </w:pPr>
    </w:p>
    <w:p w14:paraId="1248D99C" w14:textId="77777777" w:rsidR="00D8479D" w:rsidRPr="00D8479D" w:rsidRDefault="00D8479D" w:rsidP="00D8479D">
      <w:pPr>
        <w:spacing w:line="276" w:lineRule="auto"/>
        <w:jc w:val="both"/>
        <w:rPr>
          <w:rFonts w:ascii="Book Antiqua" w:hAnsi="Book Antiqua"/>
          <w:color w:val="000000" w:themeColor="text1"/>
        </w:rPr>
      </w:pPr>
      <w:r w:rsidRPr="00D8479D">
        <w:rPr>
          <w:rFonts w:ascii="Book Antiqua" w:hAnsi="Book Antiqua"/>
          <w:color w:val="000000" w:themeColor="text1"/>
        </w:rPr>
        <w:t>En lo que respecta al Tribunal Penal de Golfito le correspondió atender un juicio con duración estimada en tres meses, sin embargo, el juicio se ha extendido por varios meses más. En Golfito el tribunal solo tiene 3 jueces, eso dejaría sin poder prestarse el servicio público mientras se celebra el debate en otra localidad. Asimismo, se requeriría la colaboración de personal técnico que de soporte en el juico.</w:t>
      </w:r>
    </w:p>
    <w:p w14:paraId="0FD0FEBB" w14:textId="77777777" w:rsidR="00D8479D" w:rsidRPr="00D8479D" w:rsidRDefault="00D8479D" w:rsidP="00D8479D">
      <w:pPr>
        <w:spacing w:line="276" w:lineRule="auto"/>
        <w:jc w:val="both"/>
        <w:rPr>
          <w:rFonts w:ascii="Book Antiqua" w:hAnsi="Book Antiqua"/>
          <w:color w:val="000000" w:themeColor="text1"/>
        </w:rPr>
      </w:pPr>
    </w:p>
    <w:p w14:paraId="2A63C0EA" w14:textId="3D8DCA39" w:rsidR="00F75E3A" w:rsidRDefault="00D8479D" w:rsidP="00D8479D">
      <w:pPr>
        <w:spacing w:line="276" w:lineRule="auto"/>
        <w:jc w:val="both"/>
        <w:rPr>
          <w:rFonts w:ascii="Book Antiqua" w:hAnsi="Book Antiqua"/>
          <w:color w:val="000000" w:themeColor="text1"/>
        </w:rPr>
      </w:pPr>
      <w:r w:rsidRPr="00D8479D">
        <w:rPr>
          <w:rFonts w:ascii="Book Antiqua" w:hAnsi="Book Antiqua"/>
          <w:color w:val="000000" w:themeColor="text1"/>
        </w:rPr>
        <w:t>En el caso del Tribunal Penal Segundo Circuito Judicial de la Zona Sur (Osa), argumenta su bajo rendimiento en que durante el mes de setiembre la cantidad de juicios colegiados que se lograron realizar fue escasa, debido a que se presentaron incapacidades de salud de varios imputados y en al menos un caso no se logró e traslado de la persona privada de libertad por saturación de celdas del OIJ, de igual forma los juicios unipersonales se vieron afectados por incapacidad de los defensores y en varios casos los imputados fueron declarados rebeldes.</w:t>
      </w:r>
    </w:p>
    <w:p w14:paraId="0393B3BE" w14:textId="54633AFE" w:rsidR="00D8479D" w:rsidRDefault="00D8479D" w:rsidP="00D8479D">
      <w:pPr>
        <w:spacing w:line="276" w:lineRule="auto"/>
        <w:jc w:val="both"/>
        <w:rPr>
          <w:rFonts w:ascii="Book Antiqua" w:hAnsi="Book Antiqua"/>
          <w:color w:val="000000" w:themeColor="text1"/>
        </w:rPr>
      </w:pPr>
    </w:p>
    <w:p w14:paraId="7DDAFA3C" w14:textId="77777777" w:rsidR="00D8479D" w:rsidRPr="00D961A1" w:rsidRDefault="00D8479D" w:rsidP="00D8479D">
      <w:pPr>
        <w:spacing w:line="276" w:lineRule="auto"/>
        <w:jc w:val="both"/>
        <w:rPr>
          <w:rFonts w:ascii="Book Antiqua" w:hAnsi="Book Antiqua"/>
          <w:b/>
          <w:color w:val="000000" w:themeColor="text1"/>
          <w:highlight w:val="green"/>
        </w:rPr>
      </w:pPr>
    </w:p>
    <w:p w14:paraId="4FECA527" w14:textId="55855AFD" w:rsidR="00F75E3A" w:rsidRPr="00D8479D" w:rsidRDefault="00F75E3A" w:rsidP="00F75E3A">
      <w:pPr>
        <w:spacing w:line="276" w:lineRule="auto"/>
        <w:jc w:val="center"/>
        <w:rPr>
          <w:rFonts w:ascii="Book Antiqua" w:hAnsi="Book Antiqua"/>
          <w:b/>
          <w:color w:val="000000" w:themeColor="text1"/>
        </w:rPr>
      </w:pPr>
      <w:r w:rsidRPr="00D8479D">
        <w:rPr>
          <w:rFonts w:ascii="Book Antiqua" w:hAnsi="Book Antiqua"/>
          <w:b/>
          <w:color w:val="000000" w:themeColor="text1"/>
        </w:rPr>
        <w:t xml:space="preserve">Cuadro </w:t>
      </w:r>
      <w:r w:rsidR="00D8479D" w:rsidRPr="00D8479D">
        <w:rPr>
          <w:rFonts w:ascii="Book Antiqua" w:hAnsi="Book Antiqua"/>
          <w:b/>
          <w:color w:val="000000" w:themeColor="text1"/>
        </w:rPr>
        <w:t>8</w:t>
      </w:r>
      <w:r w:rsidR="00F353FF">
        <w:rPr>
          <w:rFonts w:ascii="Book Antiqua" w:hAnsi="Book Antiqua"/>
          <w:b/>
          <w:color w:val="000000" w:themeColor="text1"/>
        </w:rPr>
        <w:t>1</w:t>
      </w:r>
    </w:p>
    <w:p w14:paraId="4488A255" w14:textId="77777777" w:rsidR="00F75E3A" w:rsidRPr="00D8479D" w:rsidRDefault="00F75E3A" w:rsidP="00F75E3A">
      <w:pPr>
        <w:spacing w:line="276" w:lineRule="auto"/>
        <w:jc w:val="center"/>
        <w:rPr>
          <w:rFonts w:ascii="Book Antiqua" w:hAnsi="Book Antiqua"/>
          <w:bCs/>
          <w:color w:val="000000" w:themeColor="text1"/>
        </w:rPr>
      </w:pPr>
      <w:r w:rsidRPr="00D8479D">
        <w:rPr>
          <w:rFonts w:ascii="Book Antiqua" w:hAnsi="Book Antiqua"/>
          <w:bCs/>
          <w:color w:val="000000" w:themeColor="text1"/>
        </w:rPr>
        <w:t xml:space="preserve">Cumplimiento del parámetro de producción </w:t>
      </w:r>
    </w:p>
    <w:p w14:paraId="4D794A6D" w14:textId="5C426F65" w:rsidR="00F75E3A" w:rsidRPr="00D8479D" w:rsidRDefault="00F75E3A" w:rsidP="00D8479D">
      <w:pPr>
        <w:spacing w:line="276" w:lineRule="auto"/>
        <w:jc w:val="center"/>
        <w:rPr>
          <w:rFonts w:ascii="Book Antiqua" w:hAnsi="Book Antiqua"/>
          <w:bCs/>
          <w:color w:val="000000" w:themeColor="text1"/>
        </w:rPr>
      </w:pPr>
      <w:r w:rsidRPr="00D8479D">
        <w:rPr>
          <w:rFonts w:ascii="Book Antiqua" w:hAnsi="Book Antiqua"/>
          <w:bCs/>
          <w:color w:val="000000" w:themeColor="text1"/>
        </w:rPr>
        <w:t xml:space="preserve">teórico de Tribunales Penales durante </w:t>
      </w:r>
      <w:r w:rsidR="00D961A1" w:rsidRPr="00D8479D">
        <w:rPr>
          <w:rFonts w:ascii="Book Antiqua" w:hAnsi="Book Antiqua"/>
          <w:bCs/>
          <w:color w:val="000000" w:themeColor="text1"/>
        </w:rPr>
        <w:t xml:space="preserve">setiembre </w:t>
      </w:r>
      <w:r w:rsidRPr="00D8479D">
        <w:rPr>
          <w:rFonts w:ascii="Book Antiqua" w:hAnsi="Book Antiqua"/>
          <w:bCs/>
          <w:color w:val="000000" w:themeColor="text1"/>
        </w:rPr>
        <w:t xml:space="preserve">2021 </w:t>
      </w:r>
    </w:p>
    <w:tbl>
      <w:tblPr>
        <w:tblW w:w="10060" w:type="dxa"/>
        <w:jc w:val="center"/>
        <w:tblCellMar>
          <w:left w:w="70" w:type="dxa"/>
          <w:right w:w="70" w:type="dxa"/>
        </w:tblCellMar>
        <w:tblLook w:val="04A0" w:firstRow="1" w:lastRow="0" w:firstColumn="1" w:lastColumn="0" w:noHBand="0" w:noVBand="1"/>
      </w:tblPr>
      <w:tblGrid>
        <w:gridCol w:w="6542"/>
        <w:gridCol w:w="1914"/>
        <w:gridCol w:w="1050"/>
        <w:gridCol w:w="554"/>
      </w:tblGrid>
      <w:tr w:rsidR="00D961A1" w:rsidRPr="00D8479D" w14:paraId="6DB10F93" w14:textId="77777777" w:rsidTr="00D14032">
        <w:trPr>
          <w:trHeight w:val="660"/>
          <w:jc w:val="center"/>
        </w:trPr>
        <w:tc>
          <w:tcPr>
            <w:tcW w:w="6542" w:type="dxa"/>
            <w:vMerge w:val="restart"/>
            <w:tcBorders>
              <w:top w:val="single" w:sz="4" w:space="0" w:color="auto"/>
              <w:left w:val="single" w:sz="4" w:space="0" w:color="auto"/>
              <w:bottom w:val="single" w:sz="4" w:space="0" w:color="000000"/>
              <w:right w:val="single" w:sz="4" w:space="0" w:color="auto"/>
            </w:tcBorders>
            <w:shd w:val="clear" w:color="000000" w:fill="305496"/>
            <w:noWrap/>
            <w:vAlign w:val="center"/>
            <w:hideMark/>
          </w:tcPr>
          <w:p w14:paraId="2E802B6A" w14:textId="77777777" w:rsidR="00D961A1" w:rsidRPr="00D8479D" w:rsidRDefault="00D961A1" w:rsidP="00D961A1">
            <w:pPr>
              <w:jc w:val="center"/>
              <w:rPr>
                <w:rFonts w:ascii="Book Antiqua" w:hAnsi="Book Antiqua" w:cs="Calibri"/>
                <w:b/>
                <w:bCs/>
                <w:color w:val="FFFFFF"/>
                <w:sz w:val="16"/>
                <w:szCs w:val="16"/>
                <w:lang w:eastAsia="es-CR"/>
              </w:rPr>
            </w:pPr>
            <w:r w:rsidRPr="00D8479D">
              <w:rPr>
                <w:rFonts w:ascii="Book Antiqua" w:hAnsi="Book Antiqua" w:cs="Calibri"/>
                <w:b/>
                <w:bCs/>
                <w:color w:val="FFFFFF"/>
                <w:sz w:val="16"/>
                <w:szCs w:val="16"/>
                <w:lang w:eastAsia="es-CR"/>
              </w:rPr>
              <w:t>Despacho</w:t>
            </w:r>
          </w:p>
        </w:tc>
        <w:tc>
          <w:tcPr>
            <w:tcW w:w="3518" w:type="dxa"/>
            <w:gridSpan w:val="3"/>
            <w:tcBorders>
              <w:top w:val="nil"/>
              <w:left w:val="single" w:sz="4" w:space="0" w:color="auto"/>
              <w:bottom w:val="single" w:sz="4" w:space="0" w:color="auto"/>
              <w:right w:val="nil"/>
            </w:tcBorders>
            <w:shd w:val="clear" w:color="000000" w:fill="305496"/>
            <w:vAlign w:val="center"/>
            <w:hideMark/>
          </w:tcPr>
          <w:p w14:paraId="060E4D1D" w14:textId="77777777" w:rsidR="00D961A1" w:rsidRPr="00D8479D" w:rsidRDefault="00D961A1" w:rsidP="00D961A1">
            <w:pPr>
              <w:jc w:val="center"/>
              <w:rPr>
                <w:rFonts w:ascii="Book Antiqua" w:hAnsi="Book Antiqua" w:cs="Calibri"/>
                <w:b/>
                <w:bCs/>
                <w:color w:val="FFFFFF"/>
                <w:sz w:val="16"/>
                <w:szCs w:val="16"/>
                <w:lang w:eastAsia="es-CR"/>
              </w:rPr>
            </w:pPr>
            <w:r w:rsidRPr="00D8479D">
              <w:rPr>
                <w:rFonts w:ascii="Book Antiqua" w:hAnsi="Book Antiqua" w:cs="Calibri"/>
                <w:b/>
                <w:bCs/>
                <w:color w:val="FFFFFF"/>
                <w:sz w:val="16"/>
                <w:szCs w:val="16"/>
                <w:lang w:eastAsia="es-CR"/>
              </w:rPr>
              <w:t xml:space="preserve">Porcentaje de cumplimiento Sentencias / Medida alterna </w:t>
            </w:r>
          </w:p>
        </w:tc>
      </w:tr>
      <w:tr w:rsidR="00D961A1" w:rsidRPr="00D8479D" w14:paraId="7894F6CA" w14:textId="77777777" w:rsidTr="00D14032">
        <w:trPr>
          <w:trHeight w:val="290"/>
          <w:jc w:val="center"/>
        </w:trPr>
        <w:tc>
          <w:tcPr>
            <w:tcW w:w="6542" w:type="dxa"/>
            <w:vMerge/>
            <w:tcBorders>
              <w:top w:val="single" w:sz="4" w:space="0" w:color="auto"/>
              <w:left w:val="single" w:sz="4" w:space="0" w:color="auto"/>
              <w:bottom w:val="single" w:sz="4" w:space="0" w:color="000000"/>
              <w:right w:val="single" w:sz="4" w:space="0" w:color="auto"/>
            </w:tcBorders>
            <w:vAlign w:val="center"/>
            <w:hideMark/>
          </w:tcPr>
          <w:p w14:paraId="3CAF6387" w14:textId="77777777" w:rsidR="00D961A1" w:rsidRPr="00D8479D" w:rsidRDefault="00D961A1" w:rsidP="00D961A1">
            <w:pPr>
              <w:rPr>
                <w:rFonts w:ascii="Book Antiqua" w:hAnsi="Book Antiqua" w:cs="Calibri"/>
                <w:b/>
                <w:bCs/>
                <w:color w:val="FFFFFF"/>
                <w:sz w:val="16"/>
                <w:szCs w:val="16"/>
                <w:lang w:eastAsia="es-CR"/>
              </w:rPr>
            </w:pPr>
          </w:p>
        </w:tc>
        <w:tc>
          <w:tcPr>
            <w:tcW w:w="1914" w:type="dxa"/>
            <w:tcBorders>
              <w:top w:val="single" w:sz="4" w:space="0" w:color="auto"/>
              <w:left w:val="nil"/>
              <w:bottom w:val="single" w:sz="4" w:space="0" w:color="auto"/>
              <w:right w:val="single" w:sz="4" w:space="0" w:color="auto"/>
            </w:tcBorders>
            <w:shd w:val="clear" w:color="000000" w:fill="AEAAAA"/>
            <w:noWrap/>
            <w:vAlign w:val="center"/>
            <w:hideMark/>
          </w:tcPr>
          <w:p w14:paraId="2F8A05E4" w14:textId="77777777" w:rsidR="00D961A1" w:rsidRPr="00D8479D" w:rsidRDefault="00D961A1" w:rsidP="00D961A1">
            <w:pPr>
              <w:jc w:val="center"/>
              <w:rPr>
                <w:rFonts w:ascii="Book Antiqua" w:hAnsi="Book Antiqua" w:cs="Calibri"/>
                <w:b/>
                <w:bCs/>
                <w:color w:val="FFFFFF"/>
                <w:sz w:val="16"/>
                <w:szCs w:val="16"/>
                <w:lang w:eastAsia="es-CR"/>
              </w:rPr>
            </w:pPr>
            <w:r w:rsidRPr="00D8479D">
              <w:rPr>
                <w:rFonts w:ascii="Book Antiqua" w:hAnsi="Book Antiqua" w:cs="Calibri"/>
                <w:b/>
                <w:bCs/>
                <w:color w:val="FFFFFF"/>
                <w:sz w:val="16"/>
                <w:szCs w:val="16"/>
                <w:lang w:eastAsia="es-CR"/>
              </w:rPr>
              <w:t>Indicadores</w:t>
            </w:r>
          </w:p>
        </w:tc>
        <w:tc>
          <w:tcPr>
            <w:tcW w:w="1050" w:type="dxa"/>
            <w:tcBorders>
              <w:top w:val="single" w:sz="4" w:space="0" w:color="auto"/>
              <w:left w:val="nil"/>
              <w:bottom w:val="single" w:sz="4" w:space="0" w:color="auto"/>
              <w:right w:val="single" w:sz="4" w:space="0" w:color="auto"/>
            </w:tcBorders>
            <w:shd w:val="clear" w:color="000000" w:fill="AEAAAA"/>
            <w:noWrap/>
            <w:vAlign w:val="center"/>
            <w:hideMark/>
          </w:tcPr>
          <w:p w14:paraId="5D10B91E" w14:textId="77777777" w:rsidR="00D961A1" w:rsidRPr="00D8479D" w:rsidRDefault="00D961A1" w:rsidP="00D961A1">
            <w:pPr>
              <w:jc w:val="center"/>
              <w:rPr>
                <w:rFonts w:ascii="Book Antiqua" w:hAnsi="Book Antiqua" w:cs="Calibri"/>
                <w:b/>
                <w:bCs/>
                <w:color w:val="FFFFFF"/>
                <w:sz w:val="16"/>
                <w:szCs w:val="16"/>
                <w:lang w:eastAsia="es-CR"/>
              </w:rPr>
            </w:pPr>
            <w:r w:rsidRPr="00D8479D">
              <w:rPr>
                <w:rFonts w:ascii="Book Antiqua" w:hAnsi="Book Antiqua" w:cs="Calibri"/>
                <w:b/>
                <w:bCs/>
                <w:color w:val="FFFFFF"/>
                <w:sz w:val="16"/>
                <w:szCs w:val="16"/>
                <w:lang w:eastAsia="es-CR"/>
              </w:rPr>
              <w:t>Sigma</w:t>
            </w:r>
          </w:p>
        </w:tc>
        <w:tc>
          <w:tcPr>
            <w:tcW w:w="554" w:type="dxa"/>
            <w:tcBorders>
              <w:top w:val="single" w:sz="4" w:space="0" w:color="auto"/>
              <w:left w:val="nil"/>
              <w:bottom w:val="single" w:sz="4" w:space="0" w:color="auto"/>
              <w:right w:val="single" w:sz="4" w:space="0" w:color="auto"/>
            </w:tcBorders>
            <w:shd w:val="clear" w:color="000000" w:fill="AEAAAA"/>
            <w:noWrap/>
            <w:vAlign w:val="center"/>
            <w:hideMark/>
          </w:tcPr>
          <w:p w14:paraId="659AA410" w14:textId="77777777" w:rsidR="00D961A1" w:rsidRPr="00D8479D" w:rsidRDefault="00D961A1" w:rsidP="00D961A1">
            <w:pPr>
              <w:jc w:val="center"/>
              <w:rPr>
                <w:rFonts w:ascii="Book Antiqua" w:hAnsi="Book Antiqua" w:cs="Calibri"/>
                <w:b/>
                <w:bCs/>
                <w:color w:val="FFFFFF"/>
                <w:sz w:val="16"/>
                <w:szCs w:val="16"/>
                <w:lang w:eastAsia="es-CR"/>
              </w:rPr>
            </w:pPr>
            <w:r w:rsidRPr="00D8479D">
              <w:rPr>
                <w:rFonts w:ascii="Book Antiqua" w:hAnsi="Book Antiqua" w:cs="Calibri"/>
                <w:b/>
                <w:bCs/>
                <w:color w:val="FFFFFF"/>
                <w:sz w:val="16"/>
                <w:szCs w:val="16"/>
                <w:lang w:eastAsia="es-CR"/>
              </w:rPr>
              <w:t>Dif%</w:t>
            </w:r>
          </w:p>
        </w:tc>
      </w:tr>
      <w:tr w:rsidR="00D961A1" w:rsidRPr="00D8479D" w14:paraId="33B96DEF" w14:textId="77777777" w:rsidTr="00D14032">
        <w:trPr>
          <w:trHeight w:val="290"/>
          <w:jc w:val="center"/>
        </w:trPr>
        <w:tc>
          <w:tcPr>
            <w:tcW w:w="6542" w:type="dxa"/>
            <w:tcBorders>
              <w:top w:val="nil"/>
              <w:left w:val="single" w:sz="4" w:space="0" w:color="auto"/>
              <w:bottom w:val="single" w:sz="4" w:space="0" w:color="auto"/>
              <w:right w:val="single" w:sz="4" w:space="0" w:color="auto"/>
            </w:tcBorders>
            <w:shd w:val="clear" w:color="auto" w:fill="auto"/>
            <w:noWrap/>
            <w:vAlign w:val="center"/>
            <w:hideMark/>
          </w:tcPr>
          <w:p w14:paraId="05CCA2B1" w14:textId="77777777" w:rsidR="00D961A1" w:rsidRPr="00D8479D" w:rsidRDefault="00D961A1" w:rsidP="00D961A1">
            <w:pP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Tribunal Penal Primer Circuito Judicial de Alajuela</w:t>
            </w:r>
          </w:p>
        </w:tc>
        <w:tc>
          <w:tcPr>
            <w:tcW w:w="1914" w:type="dxa"/>
            <w:tcBorders>
              <w:top w:val="nil"/>
              <w:left w:val="nil"/>
              <w:bottom w:val="single" w:sz="4" w:space="0" w:color="auto"/>
              <w:right w:val="single" w:sz="4" w:space="0" w:color="auto"/>
            </w:tcBorders>
            <w:shd w:val="clear" w:color="auto" w:fill="auto"/>
            <w:noWrap/>
            <w:vAlign w:val="center"/>
            <w:hideMark/>
          </w:tcPr>
          <w:p w14:paraId="168A04CB" w14:textId="77777777" w:rsidR="00D961A1" w:rsidRPr="00D8479D" w:rsidRDefault="00D961A1" w:rsidP="00D961A1">
            <w:pPr>
              <w:jc w:val="cente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198%</w:t>
            </w:r>
          </w:p>
        </w:tc>
        <w:tc>
          <w:tcPr>
            <w:tcW w:w="1050" w:type="dxa"/>
            <w:tcBorders>
              <w:top w:val="nil"/>
              <w:left w:val="nil"/>
              <w:bottom w:val="single" w:sz="4" w:space="0" w:color="auto"/>
              <w:right w:val="single" w:sz="4" w:space="0" w:color="auto"/>
            </w:tcBorders>
            <w:shd w:val="clear" w:color="auto" w:fill="auto"/>
            <w:noWrap/>
            <w:vAlign w:val="center"/>
            <w:hideMark/>
          </w:tcPr>
          <w:p w14:paraId="47E6A4D4" w14:textId="77777777" w:rsidR="00D961A1" w:rsidRPr="00D8479D" w:rsidRDefault="00D961A1" w:rsidP="00D961A1">
            <w:pPr>
              <w:jc w:val="cente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174%</w:t>
            </w:r>
          </w:p>
        </w:tc>
        <w:tc>
          <w:tcPr>
            <w:tcW w:w="554" w:type="dxa"/>
            <w:tcBorders>
              <w:top w:val="nil"/>
              <w:left w:val="nil"/>
              <w:bottom w:val="single" w:sz="4" w:space="0" w:color="auto"/>
              <w:right w:val="single" w:sz="4" w:space="0" w:color="auto"/>
            </w:tcBorders>
            <w:shd w:val="clear" w:color="000000" w:fill="EDEDED"/>
            <w:noWrap/>
            <w:vAlign w:val="center"/>
            <w:hideMark/>
          </w:tcPr>
          <w:p w14:paraId="764E44FC" w14:textId="77777777" w:rsidR="00D961A1" w:rsidRPr="00D8479D" w:rsidRDefault="00D961A1" w:rsidP="00D961A1">
            <w:pPr>
              <w:jc w:val="cente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-24%</w:t>
            </w:r>
          </w:p>
        </w:tc>
      </w:tr>
      <w:tr w:rsidR="00D961A1" w:rsidRPr="00D8479D" w14:paraId="68B968CA" w14:textId="77777777" w:rsidTr="00D14032">
        <w:trPr>
          <w:trHeight w:val="290"/>
          <w:jc w:val="center"/>
        </w:trPr>
        <w:tc>
          <w:tcPr>
            <w:tcW w:w="6542" w:type="dxa"/>
            <w:tcBorders>
              <w:top w:val="nil"/>
              <w:left w:val="single" w:sz="4" w:space="0" w:color="auto"/>
              <w:bottom w:val="single" w:sz="4" w:space="0" w:color="auto"/>
              <w:right w:val="single" w:sz="4" w:space="0" w:color="auto"/>
            </w:tcBorders>
            <w:shd w:val="clear" w:color="auto" w:fill="auto"/>
            <w:noWrap/>
            <w:vAlign w:val="center"/>
            <w:hideMark/>
          </w:tcPr>
          <w:p w14:paraId="6BBB435C" w14:textId="77777777" w:rsidR="00D961A1" w:rsidRPr="00D8479D" w:rsidRDefault="00D961A1" w:rsidP="00D961A1">
            <w:pP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Tribunal Penal de Cartago</w:t>
            </w:r>
          </w:p>
        </w:tc>
        <w:tc>
          <w:tcPr>
            <w:tcW w:w="1914" w:type="dxa"/>
            <w:tcBorders>
              <w:top w:val="nil"/>
              <w:left w:val="nil"/>
              <w:bottom w:val="single" w:sz="4" w:space="0" w:color="auto"/>
              <w:right w:val="single" w:sz="4" w:space="0" w:color="auto"/>
            </w:tcBorders>
            <w:shd w:val="clear" w:color="auto" w:fill="auto"/>
            <w:noWrap/>
            <w:vAlign w:val="center"/>
            <w:hideMark/>
          </w:tcPr>
          <w:p w14:paraId="0A1422F3" w14:textId="77777777" w:rsidR="00D961A1" w:rsidRPr="00D8479D" w:rsidRDefault="00D961A1" w:rsidP="00D961A1">
            <w:pPr>
              <w:jc w:val="cente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191%</w:t>
            </w:r>
          </w:p>
        </w:tc>
        <w:tc>
          <w:tcPr>
            <w:tcW w:w="1050" w:type="dxa"/>
            <w:tcBorders>
              <w:top w:val="nil"/>
              <w:left w:val="nil"/>
              <w:bottom w:val="single" w:sz="4" w:space="0" w:color="auto"/>
              <w:right w:val="single" w:sz="4" w:space="0" w:color="auto"/>
            </w:tcBorders>
            <w:shd w:val="clear" w:color="auto" w:fill="auto"/>
            <w:noWrap/>
            <w:vAlign w:val="center"/>
            <w:hideMark/>
          </w:tcPr>
          <w:p w14:paraId="418D87F0" w14:textId="77777777" w:rsidR="00D961A1" w:rsidRPr="00D8479D" w:rsidRDefault="00D961A1" w:rsidP="00D961A1">
            <w:pPr>
              <w:jc w:val="cente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97%</w:t>
            </w:r>
          </w:p>
        </w:tc>
        <w:tc>
          <w:tcPr>
            <w:tcW w:w="554" w:type="dxa"/>
            <w:tcBorders>
              <w:top w:val="nil"/>
              <w:left w:val="nil"/>
              <w:bottom w:val="single" w:sz="4" w:space="0" w:color="auto"/>
              <w:right w:val="single" w:sz="4" w:space="0" w:color="auto"/>
            </w:tcBorders>
            <w:shd w:val="clear" w:color="000000" w:fill="EDEDED"/>
            <w:noWrap/>
            <w:vAlign w:val="center"/>
            <w:hideMark/>
          </w:tcPr>
          <w:p w14:paraId="6DA4DCD9" w14:textId="77777777" w:rsidR="00D961A1" w:rsidRPr="00D8479D" w:rsidRDefault="00D961A1" w:rsidP="00D961A1">
            <w:pPr>
              <w:jc w:val="cente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-94%</w:t>
            </w:r>
          </w:p>
        </w:tc>
      </w:tr>
      <w:tr w:rsidR="00D961A1" w:rsidRPr="00D8479D" w14:paraId="07DA4E00" w14:textId="77777777" w:rsidTr="00D14032">
        <w:trPr>
          <w:trHeight w:val="290"/>
          <w:jc w:val="center"/>
        </w:trPr>
        <w:tc>
          <w:tcPr>
            <w:tcW w:w="6542" w:type="dxa"/>
            <w:tcBorders>
              <w:top w:val="nil"/>
              <w:left w:val="single" w:sz="4" w:space="0" w:color="auto"/>
              <w:bottom w:val="single" w:sz="4" w:space="0" w:color="auto"/>
              <w:right w:val="single" w:sz="4" w:space="0" w:color="auto"/>
            </w:tcBorders>
            <w:shd w:val="clear" w:color="auto" w:fill="auto"/>
            <w:noWrap/>
            <w:vAlign w:val="center"/>
            <w:hideMark/>
          </w:tcPr>
          <w:p w14:paraId="2BF6063E" w14:textId="77777777" w:rsidR="00D961A1" w:rsidRPr="00D8479D" w:rsidRDefault="00D961A1" w:rsidP="00D961A1">
            <w:pP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Tribunal Penal del Segundo Circuito Judicial de Alajuela (San Carlos)</w:t>
            </w:r>
          </w:p>
        </w:tc>
        <w:tc>
          <w:tcPr>
            <w:tcW w:w="1914" w:type="dxa"/>
            <w:tcBorders>
              <w:top w:val="nil"/>
              <w:left w:val="nil"/>
              <w:bottom w:val="single" w:sz="4" w:space="0" w:color="auto"/>
              <w:right w:val="single" w:sz="4" w:space="0" w:color="auto"/>
            </w:tcBorders>
            <w:shd w:val="clear" w:color="auto" w:fill="auto"/>
            <w:noWrap/>
            <w:vAlign w:val="center"/>
            <w:hideMark/>
          </w:tcPr>
          <w:p w14:paraId="185A51D7" w14:textId="77777777" w:rsidR="00D961A1" w:rsidRPr="00D8479D" w:rsidRDefault="00D961A1" w:rsidP="00D961A1">
            <w:pPr>
              <w:jc w:val="cente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135%</w:t>
            </w:r>
          </w:p>
        </w:tc>
        <w:tc>
          <w:tcPr>
            <w:tcW w:w="1050" w:type="dxa"/>
            <w:tcBorders>
              <w:top w:val="nil"/>
              <w:left w:val="nil"/>
              <w:bottom w:val="single" w:sz="4" w:space="0" w:color="auto"/>
              <w:right w:val="single" w:sz="4" w:space="0" w:color="auto"/>
            </w:tcBorders>
            <w:shd w:val="clear" w:color="auto" w:fill="auto"/>
            <w:noWrap/>
            <w:vAlign w:val="center"/>
            <w:hideMark/>
          </w:tcPr>
          <w:p w14:paraId="5C026C5C" w14:textId="77777777" w:rsidR="00D961A1" w:rsidRPr="00D8479D" w:rsidRDefault="00D961A1" w:rsidP="00D961A1">
            <w:pPr>
              <w:jc w:val="cente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133%</w:t>
            </w:r>
          </w:p>
        </w:tc>
        <w:tc>
          <w:tcPr>
            <w:tcW w:w="554" w:type="dxa"/>
            <w:tcBorders>
              <w:top w:val="nil"/>
              <w:left w:val="nil"/>
              <w:bottom w:val="single" w:sz="4" w:space="0" w:color="auto"/>
              <w:right w:val="single" w:sz="4" w:space="0" w:color="auto"/>
            </w:tcBorders>
            <w:shd w:val="clear" w:color="000000" w:fill="EDEDED"/>
            <w:noWrap/>
            <w:vAlign w:val="center"/>
            <w:hideMark/>
          </w:tcPr>
          <w:p w14:paraId="6403FBA8" w14:textId="77777777" w:rsidR="00D961A1" w:rsidRPr="00D8479D" w:rsidRDefault="00D961A1" w:rsidP="00D961A1">
            <w:pPr>
              <w:jc w:val="cente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-2%</w:t>
            </w:r>
          </w:p>
        </w:tc>
      </w:tr>
      <w:tr w:rsidR="00D961A1" w:rsidRPr="00D8479D" w14:paraId="2F21C067" w14:textId="77777777" w:rsidTr="00D14032">
        <w:trPr>
          <w:trHeight w:val="290"/>
          <w:jc w:val="center"/>
        </w:trPr>
        <w:tc>
          <w:tcPr>
            <w:tcW w:w="6542" w:type="dxa"/>
            <w:tcBorders>
              <w:top w:val="nil"/>
              <w:left w:val="single" w:sz="4" w:space="0" w:color="auto"/>
              <w:bottom w:val="single" w:sz="4" w:space="0" w:color="auto"/>
              <w:right w:val="single" w:sz="4" w:space="0" w:color="auto"/>
            </w:tcBorders>
            <w:shd w:val="clear" w:color="auto" w:fill="auto"/>
            <w:noWrap/>
            <w:vAlign w:val="center"/>
            <w:hideMark/>
          </w:tcPr>
          <w:p w14:paraId="5CEF140A" w14:textId="77777777" w:rsidR="00D961A1" w:rsidRPr="00D8479D" w:rsidRDefault="00D961A1" w:rsidP="00D961A1">
            <w:pP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 xml:space="preserve">Tribunal Penal de Heredia </w:t>
            </w:r>
          </w:p>
        </w:tc>
        <w:tc>
          <w:tcPr>
            <w:tcW w:w="1914" w:type="dxa"/>
            <w:tcBorders>
              <w:top w:val="nil"/>
              <w:left w:val="nil"/>
              <w:bottom w:val="single" w:sz="4" w:space="0" w:color="auto"/>
              <w:right w:val="single" w:sz="4" w:space="0" w:color="auto"/>
            </w:tcBorders>
            <w:shd w:val="clear" w:color="auto" w:fill="auto"/>
            <w:noWrap/>
            <w:vAlign w:val="center"/>
            <w:hideMark/>
          </w:tcPr>
          <w:p w14:paraId="5AE0ACC2" w14:textId="77777777" w:rsidR="00D961A1" w:rsidRPr="00D8479D" w:rsidRDefault="00D961A1" w:rsidP="00D961A1">
            <w:pPr>
              <w:jc w:val="cente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122%</w:t>
            </w:r>
          </w:p>
        </w:tc>
        <w:tc>
          <w:tcPr>
            <w:tcW w:w="1050" w:type="dxa"/>
            <w:tcBorders>
              <w:top w:val="nil"/>
              <w:left w:val="nil"/>
              <w:bottom w:val="single" w:sz="4" w:space="0" w:color="auto"/>
              <w:right w:val="single" w:sz="4" w:space="0" w:color="auto"/>
            </w:tcBorders>
            <w:shd w:val="clear" w:color="auto" w:fill="auto"/>
            <w:noWrap/>
            <w:vAlign w:val="center"/>
            <w:hideMark/>
          </w:tcPr>
          <w:p w14:paraId="7850623E" w14:textId="77777777" w:rsidR="00D961A1" w:rsidRPr="00D8479D" w:rsidRDefault="00D961A1" w:rsidP="00D961A1">
            <w:pPr>
              <w:jc w:val="cente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111%</w:t>
            </w:r>
          </w:p>
        </w:tc>
        <w:tc>
          <w:tcPr>
            <w:tcW w:w="554" w:type="dxa"/>
            <w:tcBorders>
              <w:top w:val="nil"/>
              <w:left w:val="nil"/>
              <w:bottom w:val="single" w:sz="4" w:space="0" w:color="auto"/>
              <w:right w:val="single" w:sz="4" w:space="0" w:color="auto"/>
            </w:tcBorders>
            <w:shd w:val="clear" w:color="000000" w:fill="EDEDED"/>
            <w:noWrap/>
            <w:vAlign w:val="center"/>
            <w:hideMark/>
          </w:tcPr>
          <w:p w14:paraId="3ED5E793" w14:textId="77777777" w:rsidR="00D961A1" w:rsidRPr="00D8479D" w:rsidRDefault="00D961A1" w:rsidP="00D961A1">
            <w:pPr>
              <w:jc w:val="cente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-11%</w:t>
            </w:r>
          </w:p>
        </w:tc>
      </w:tr>
      <w:tr w:rsidR="00D961A1" w:rsidRPr="00D8479D" w14:paraId="32AA4730" w14:textId="77777777" w:rsidTr="00D14032">
        <w:trPr>
          <w:trHeight w:val="290"/>
          <w:jc w:val="center"/>
        </w:trPr>
        <w:tc>
          <w:tcPr>
            <w:tcW w:w="6542" w:type="dxa"/>
            <w:tcBorders>
              <w:top w:val="nil"/>
              <w:left w:val="single" w:sz="4" w:space="0" w:color="auto"/>
              <w:bottom w:val="single" w:sz="4" w:space="0" w:color="auto"/>
              <w:right w:val="single" w:sz="4" w:space="0" w:color="auto"/>
            </w:tcBorders>
            <w:shd w:val="clear" w:color="auto" w:fill="auto"/>
            <w:noWrap/>
            <w:vAlign w:val="center"/>
            <w:hideMark/>
          </w:tcPr>
          <w:p w14:paraId="3CDF0CA1" w14:textId="77777777" w:rsidR="00D961A1" w:rsidRPr="00D8479D" w:rsidRDefault="00D961A1" w:rsidP="00D961A1">
            <w:pP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Tribunal Penal del Segundo Circuito Judicial de la Zona Atlántica (Siquirres)</w:t>
            </w:r>
          </w:p>
        </w:tc>
        <w:tc>
          <w:tcPr>
            <w:tcW w:w="1914" w:type="dxa"/>
            <w:tcBorders>
              <w:top w:val="nil"/>
              <w:left w:val="nil"/>
              <w:bottom w:val="single" w:sz="4" w:space="0" w:color="auto"/>
              <w:right w:val="single" w:sz="4" w:space="0" w:color="auto"/>
            </w:tcBorders>
            <w:shd w:val="clear" w:color="auto" w:fill="auto"/>
            <w:noWrap/>
            <w:vAlign w:val="center"/>
            <w:hideMark/>
          </w:tcPr>
          <w:p w14:paraId="53F454D4" w14:textId="77777777" w:rsidR="00D961A1" w:rsidRPr="00D8479D" w:rsidRDefault="00D961A1" w:rsidP="00D961A1">
            <w:pPr>
              <w:jc w:val="cente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121%</w:t>
            </w:r>
          </w:p>
        </w:tc>
        <w:tc>
          <w:tcPr>
            <w:tcW w:w="1050" w:type="dxa"/>
            <w:tcBorders>
              <w:top w:val="nil"/>
              <w:left w:val="nil"/>
              <w:bottom w:val="single" w:sz="4" w:space="0" w:color="auto"/>
              <w:right w:val="single" w:sz="4" w:space="0" w:color="auto"/>
            </w:tcBorders>
            <w:shd w:val="clear" w:color="auto" w:fill="auto"/>
            <w:noWrap/>
            <w:vAlign w:val="center"/>
            <w:hideMark/>
          </w:tcPr>
          <w:p w14:paraId="5F6728C6" w14:textId="77777777" w:rsidR="00D961A1" w:rsidRPr="00D8479D" w:rsidRDefault="00D961A1" w:rsidP="00D961A1">
            <w:pPr>
              <w:jc w:val="cente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121%</w:t>
            </w:r>
          </w:p>
        </w:tc>
        <w:tc>
          <w:tcPr>
            <w:tcW w:w="554" w:type="dxa"/>
            <w:tcBorders>
              <w:top w:val="nil"/>
              <w:left w:val="nil"/>
              <w:bottom w:val="single" w:sz="4" w:space="0" w:color="auto"/>
              <w:right w:val="single" w:sz="4" w:space="0" w:color="auto"/>
            </w:tcBorders>
            <w:shd w:val="clear" w:color="000000" w:fill="EDEDED"/>
            <w:noWrap/>
            <w:vAlign w:val="center"/>
            <w:hideMark/>
          </w:tcPr>
          <w:p w14:paraId="13941304" w14:textId="77777777" w:rsidR="00D961A1" w:rsidRPr="00D8479D" w:rsidRDefault="00D961A1" w:rsidP="00D961A1">
            <w:pPr>
              <w:jc w:val="cente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0%</w:t>
            </w:r>
          </w:p>
        </w:tc>
      </w:tr>
      <w:tr w:rsidR="00D961A1" w:rsidRPr="00D8479D" w14:paraId="2B7DFB4C" w14:textId="77777777" w:rsidTr="00D14032">
        <w:trPr>
          <w:trHeight w:val="290"/>
          <w:jc w:val="center"/>
        </w:trPr>
        <w:tc>
          <w:tcPr>
            <w:tcW w:w="6542" w:type="dxa"/>
            <w:tcBorders>
              <w:top w:val="nil"/>
              <w:left w:val="single" w:sz="4" w:space="0" w:color="auto"/>
              <w:bottom w:val="single" w:sz="4" w:space="0" w:color="auto"/>
              <w:right w:val="single" w:sz="4" w:space="0" w:color="auto"/>
            </w:tcBorders>
            <w:shd w:val="clear" w:color="auto" w:fill="auto"/>
            <w:noWrap/>
            <w:vAlign w:val="center"/>
            <w:hideMark/>
          </w:tcPr>
          <w:p w14:paraId="4979C1E5" w14:textId="77777777" w:rsidR="00D961A1" w:rsidRPr="00D8479D" w:rsidRDefault="00D961A1" w:rsidP="00D961A1">
            <w:pP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Tribunal Penal de Turrialba</w:t>
            </w:r>
          </w:p>
        </w:tc>
        <w:tc>
          <w:tcPr>
            <w:tcW w:w="1914" w:type="dxa"/>
            <w:tcBorders>
              <w:top w:val="nil"/>
              <w:left w:val="nil"/>
              <w:bottom w:val="single" w:sz="4" w:space="0" w:color="auto"/>
              <w:right w:val="single" w:sz="4" w:space="0" w:color="auto"/>
            </w:tcBorders>
            <w:shd w:val="clear" w:color="auto" w:fill="auto"/>
            <w:noWrap/>
            <w:vAlign w:val="center"/>
            <w:hideMark/>
          </w:tcPr>
          <w:p w14:paraId="5F1056A4" w14:textId="77777777" w:rsidR="00D961A1" w:rsidRPr="00D8479D" w:rsidRDefault="00D961A1" w:rsidP="00D961A1">
            <w:pPr>
              <w:jc w:val="cente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116%</w:t>
            </w:r>
          </w:p>
        </w:tc>
        <w:tc>
          <w:tcPr>
            <w:tcW w:w="1050" w:type="dxa"/>
            <w:tcBorders>
              <w:top w:val="nil"/>
              <w:left w:val="nil"/>
              <w:bottom w:val="single" w:sz="4" w:space="0" w:color="auto"/>
              <w:right w:val="single" w:sz="4" w:space="0" w:color="auto"/>
            </w:tcBorders>
            <w:shd w:val="clear" w:color="auto" w:fill="auto"/>
            <w:noWrap/>
            <w:vAlign w:val="center"/>
            <w:hideMark/>
          </w:tcPr>
          <w:p w14:paraId="10D8B35D" w14:textId="77777777" w:rsidR="00D961A1" w:rsidRPr="00D8479D" w:rsidRDefault="00D961A1" w:rsidP="00D961A1">
            <w:pPr>
              <w:jc w:val="cente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113%</w:t>
            </w:r>
          </w:p>
        </w:tc>
        <w:tc>
          <w:tcPr>
            <w:tcW w:w="554" w:type="dxa"/>
            <w:tcBorders>
              <w:top w:val="nil"/>
              <w:left w:val="nil"/>
              <w:bottom w:val="single" w:sz="4" w:space="0" w:color="auto"/>
              <w:right w:val="single" w:sz="4" w:space="0" w:color="auto"/>
            </w:tcBorders>
            <w:shd w:val="clear" w:color="000000" w:fill="EDEDED"/>
            <w:noWrap/>
            <w:vAlign w:val="center"/>
            <w:hideMark/>
          </w:tcPr>
          <w:p w14:paraId="6465ABD5" w14:textId="77777777" w:rsidR="00D961A1" w:rsidRPr="00D8479D" w:rsidRDefault="00D961A1" w:rsidP="00D961A1">
            <w:pPr>
              <w:jc w:val="cente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-3%</w:t>
            </w:r>
          </w:p>
        </w:tc>
      </w:tr>
      <w:tr w:rsidR="00D961A1" w:rsidRPr="00D8479D" w14:paraId="0599DC09" w14:textId="77777777" w:rsidTr="00D14032">
        <w:trPr>
          <w:trHeight w:val="290"/>
          <w:jc w:val="center"/>
        </w:trPr>
        <w:tc>
          <w:tcPr>
            <w:tcW w:w="6542" w:type="dxa"/>
            <w:tcBorders>
              <w:top w:val="nil"/>
              <w:left w:val="single" w:sz="4" w:space="0" w:color="auto"/>
              <w:bottom w:val="single" w:sz="4" w:space="0" w:color="auto"/>
              <w:right w:val="single" w:sz="4" w:space="0" w:color="auto"/>
            </w:tcBorders>
            <w:shd w:val="clear" w:color="auto" w:fill="auto"/>
            <w:noWrap/>
            <w:vAlign w:val="center"/>
            <w:hideMark/>
          </w:tcPr>
          <w:p w14:paraId="1B1E6230" w14:textId="77777777" w:rsidR="00D961A1" w:rsidRPr="00D8479D" w:rsidRDefault="00D961A1" w:rsidP="00D961A1">
            <w:pP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Tribunal Penal del Primer Circuito Judicial de Guanacaste (Cañas)</w:t>
            </w:r>
          </w:p>
        </w:tc>
        <w:tc>
          <w:tcPr>
            <w:tcW w:w="1914" w:type="dxa"/>
            <w:tcBorders>
              <w:top w:val="nil"/>
              <w:left w:val="nil"/>
              <w:bottom w:val="single" w:sz="4" w:space="0" w:color="auto"/>
              <w:right w:val="single" w:sz="4" w:space="0" w:color="auto"/>
            </w:tcBorders>
            <w:shd w:val="clear" w:color="auto" w:fill="auto"/>
            <w:noWrap/>
            <w:vAlign w:val="center"/>
            <w:hideMark/>
          </w:tcPr>
          <w:p w14:paraId="77A97B2A" w14:textId="77777777" w:rsidR="00D961A1" w:rsidRPr="00D8479D" w:rsidRDefault="00D961A1" w:rsidP="00D961A1">
            <w:pPr>
              <w:jc w:val="cente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116%</w:t>
            </w:r>
          </w:p>
        </w:tc>
        <w:tc>
          <w:tcPr>
            <w:tcW w:w="1050" w:type="dxa"/>
            <w:tcBorders>
              <w:top w:val="nil"/>
              <w:left w:val="nil"/>
              <w:bottom w:val="single" w:sz="4" w:space="0" w:color="auto"/>
              <w:right w:val="single" w:sz="4" w:space="0" w:color="auto"/>
            </w:tcBorders>
            <w:shd w:val="clear" w:color="auto" w:fill="auto"/>
            <w:noWrap/>
            <w:vAlign w:val="center"/>
            <w:hideMark/>
          </w:tcPr>
          <w:p w14:paraId="3BE6EF26" w14:textId="77777777" w:rsidR="00D961A1" w:rsidRPr="00D8479D" w:rsidRDefault="00D961A1" w:rsidP="00D961A1">
            <w:pPr>
              <w:jc w:val="cente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116%</w:t>
            </w:r>
          </w:p>
        </w:tc>
        <w:tc>
          <w:tcPr>
            <w:tcW w:w="554" w:type="dxa"/>
            <w:tcBorders>
              <w:top w:val="nil"/>
              <w:left w:val="nil"/>
              <w:bottom w:val="single" w:sz="4" w:space="0" w:color="auto"/>
              <w:right w:val="single" w:sz="4" w:space="0" w:color="auto"/>
            </w:tcBorders>
            <w:shd w:val="clear" w:color="000000" w:fill="EDEDED"/>
            <w:noWrap/>
            <w:vAlign w:val="center"/>
            <w:hideMark/>
          </w:tcPr>
          <w:p w14:paraId="25714612" w14:textId="77777777" w:rsidR="00D961A1" w:rsidRPr="00D8479D" w:rsidRDefault="00D961A1" w:rsidP="00D961A1">
            <w:pPr>
              <w:jc w:val="cente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0%</w:t>
            </w:r>
          </w:p>
        </w:tc>
      </w:tr>
      <w:tr w:rsidR="00D961A1" w:rsidRPr="00D8479D" w14:paraId="65EE23D8" w14:textId="77777777" w:rsidTr="00D14032">
        <w:trPr>
          <w:trHeight w:val="290"/>
          <w:jc w:val="center"/>
        </w:trPr>
        <w:tc>
          <w:tcPr>
            <w:tcW w:w="6542" w:type="dxa"/>
            <w:tcBorders>
              <w:top w:val="nil"/>
              <w:left w:val="single" w:sz="4" w:space="0" w:color="auto"/>
              <w:bottom w:val="single" w:sz="4" w:space="0" w:color="auto"/>
              <w:right w:val="single" w:sz="4" w:space="0" w:color="auto"/>
            </w:tcBorders>
            <w:shd w:val="clear" w:color="auto" w:fill="auto"/>
            <w:noWrap/>
            <w:vAlign w:val="center"/>
            <w:hideMark/>
          </w:tcPr>
          <w:p w14:paraId="7A9B0149" w14:textId="77777777" w:rsidR="00D961A1" w:rsidRPr="00D8479D" w:rsidRDefault="00D961A1" w:rsidP="00D961A1">
            <w:pP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Tribunal Penal del Tercer Circuito Judicial de San José (Desamparados)</w:t>
            </w:r>
          </w:p>
        </w:tc>
        <w:tc>
          <w:tcPr>
            <w:tcW w:w="1914" w:type="dxa"/>
            <w:tcBorders>
              <w:top w:val="nil"/>
              <w:left w:val="nil"/>
              <w:bottom w:val="single" w:sz="4" w:space="0" w:color="auto"/>
              <w:right w:val="single" w:sz="4" w:space="0" w:color="auto"/>
            </w:tcBorders>
            <w:shd w:val="clear" w:color="auto" w:fill="auto"/>
            <w:noWrap/>
            <w:vAlign w:val="center"/>
            <w:hideMark/>
          </w:tcPr>
          <w:p w14:paraId="278D3A51" w14:textId="77777777" w:rsidR="00D961A1" w:rsidRPr="00D8479D" w:rsidRDefault="00D961A1" w:rsidP="00D961A1">
            <w:pPr>
              <w:jc w:val="cente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116%</w:t>
            </w:r>
          </w:p>
        </w:tc>
        <w:tc>
          <w:tcPr>
            <w:tcW w:w="1050" w:type="dxa"/>
            <w:tcBorders>
              <w:top w:val="nil"/>
              <w:left w:val="nil"/>
              <w:bottom w:val="single" w:sz="4" w:space="0" w:color="auto"/>
              <w:right w:val="single" w:sz="4" w:space="0" w:color="auto"/>
            </w:tcBorders>
            <w:shd w:val="clear" w:color="auto" w:fill="auto"/>
            <w:noWrap/>
            <w:vAlign w:val="center"/>
            <w:hideMark/>
          </w:tcPr>
          <w:p w14:paraId="7003055F" w14:textId="77777777" w:rsidR="00D961A1" w:rsidRPr="00D8479D" w:rsidRDefault="00D961A1" w:rsidP="00D961A1">
            <w:pPr>
              <w:jc w:val="cente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107%</w:t>
            </w:r>
          </w:p>
        </w:tc>
        <w:tc>
          <w:tcPr>
            <w:tcW w:w="554" w:type="dxa"/>
            <w:tcBorders>
              <w:top w:val="nil"/>
              <w:left w:val="nil"/>
              <w:bottom w:val="single" w:sz="4" w:space="0" w:color="auto"/>
              <w:right w:val="single" w:sz="4" w:space="0" w:color="auto"/>
            </w:tcBorders>
            <w:shd w:val="clear" w:color="000000" w:fill="EDEDED"/>
            <w:noWrap/>
            <w:vAlign w:val="center"/>
            <w:hideMark/>
          </w:tcPr>
          <w:p w14:paraId="3EF20672" w14:textId="77777777" w:rsidR="00D961A1" w:rsidRPr="00D8479D" w:rsidRDefault="00D961A1" w:rsidP="00D961A1">
            <w:pPr>
              <w:jc w:val="cente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-9%</w:t>
            </w:r>
          </w:p>
        </w:tc>
      </w:tr>
      <w:tr w:rsidR="00D961A1" w:rsidRPr="00D8479D" w14:paraId="4CE42FD6" w14:textId="77777777" w:rsidTr="00D14032">
        <w:trPr>
          <w:trHeight w:val="290"/>
          <w:jc w:val="center"/>
        </w:trPr>
        <w:tc>
          <w:tcPr>
            <w:tcW w:w="6542" w:type="dxa"/>
            <w:tcBorders>
              <w:top w:val="nil"/>
              <w:left w:val="single" w:sz="4" w:space="0" w:color="auto"/>
              <w:bottom w:val="single" w:sz="4" w:space="0" w:color="auto"/>
              <w:right w:val="single" w:sz="4" w:space="0" w:color="auto"/>
            </w:tcBorders>
            <w:shd w:val="clear" w:color="auto" w:fill="auto"/>
            <w:noWrap/>
            <w:vAlign w:val="center"/>
            <w:hideMark/>
          </w:tcPr>
          <w:p w14:paraId="7BE20CE7" w14:textId="77777777" w:rsidR="00D961A1" w:rsidRPr="00D8479D" w:rsidRDefault="00D961A1" w:rsidP="00D961A1">
            <w:pP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Tribunal Penal del Primer Circuito Judicial de la Zona Sur (Perez Zeledón)</w:t>
            </w:r>
          </w:p>
        </w:tc>
        <w:tc>
          <w:tcPr>
            <w:tcW w:w="1914" w:type="dxa"/>
            <w:tcBorders>
              <w:top w:val="nil"/>
              <w:left w:val="nil"/>
              <w:bottom w:val="single" w:sz="4" w:space="0" w:color="auto"/>
              <w:right w:val="single" w:sz="4" w:space="0" w:color="auto"/>
            </w:tcBorders>
            <w:shd w:val="clear" w:color="auto" w:fill="auto"/>
            <w:noWrap/>
            <w:vAlign w:val="center"/>
            <w:hideMark/>
          </w:tcPr>
          <w:p w14:paraId="2A15E84A" w14:textId="77777777" w:rsidR="00D961A1" w:rsidRPr="00D8479D" w:rsidRDefault="00D961A1" w:rsidP="00D961A1">
            <w:pPr>
              <w:jc w:val="cente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116%</w:t>
            </w:r>
          </w:p>
        </w:tc>
        <w:tc>
          <w:tcPr>
            <w:tcW w:w="1050" w:type="dxa"/>
            <w:tcBorders>
              <w:top w:val="nil"/>
              <w:left w:val="nil"/>
              <w:bottom w:val="single" w:sz="4" w:space="0" w:color="auto"/>
              <w:right w:val="single" w:sz="4" w:space="0" w:color="auto"/>
            </w:tcBorders>
            <w:shd w:val="clear" w:color="auto" w:fill="auto"/>
            <w:noWrap/>
            <w:vAlign w:val="center"/>
            <w:hideMark/>
          </w:tcPr>
          <w:p w14:paraId="257D27CA" w14:textId="77777777" w:rsidR="00D961A1" w:rsidRPr="00D8479D" w:rsidRDefault="00D961A1" w:rsidP="00D961A1">
            <w:pPr>
              <w:jc w:val="cente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100%</w:t>
            </w:r>
          </w:p>
        </w:tc>
        <w:tc>
          <w:tcPr>
            <w:tcW w:w="554" w:type="dxa"/>
            <w:tcBorders>
              <w:top w:val="nil"/>
              <w:left w:val="nil"/>
              <w:bottom w:val="single" w:sz="4" w:space="0" w:color="auto"/>
              <w:right w:val="single" w:sz="4" w:space="0" w:color="auto"/>
            </w:tcBorders>
            <w:shd w:val="clear" w:color="000000" w:fill="EDEDED"/>
            <w:noWrap/>
            <w:vAlign w:val="center"/>
            <w:hideMark/>
          </w:tcPr>
          <w:p w14:paraId="4D6C401B" w14:textId="77777777" w:rsidR="00D961A1" w:rsidRPr="00D8479D" w:rsidRDefault="00D961A1" w:rsidP="00D961A1">
            <w:pPr>
              <w:jc w:val="cente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-16%</w:t>
            </w:r>
          </w:p>
        </w:tc>
      </w:tr>
      <w:tr w:rsidR="00D961A1" w:rsidRPr="00D8479D" w14:paraId="4B6042F6" w14:textId="77777777" w:rsidTr="00D14032">
        <w:trPr>
          <w:trHeight w:val="290"/>
          <w:jc w:val="center"/>
        </w:trPr>
        <w:tc>
          <w:tcPr>
            <w:tcW w:w="6542" w:type="dxa"/>
            <w:tcBorders>
              <w:top w:val="nil"/>
              <w:left w:val="single" w:sz="4" w:space="0" w:color="auto"/>
              <w:bottom w:val="single" w:sz="4" w:space="0" w:color="auto"/>
              <w:right w:val="single" w:sz="4" w:space="0" w:color="auto"/>
            </w:tcBorders>
            <w:shd w:val="clear" w:color="auto" w:fill="auto"/>
            <w:noWrap/>
            <w:vAlign w:val="center"/>
            <w:hideMark/>
          </w:tcPr>
          <w:p w14:paraId="690C1163" w14:textId="77777777" w:rsidR="00D961A1" w:rsidRPr="00D8479D" w:rsidRDefault="00D961A1" w:rsidP="00D961A1">
            <w:pP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Tribunal Penal del Segundo Circuito Judicial de la Zona Atlántica (Guápiles)</w:t>
            </w:r>
          </w:p>
        </w:tc>
        <w:tc>
          <w:tcPr>
            <w:tcW w:w="1914" w:type="dxa"/>
            <w:tcBorders>
              <w:top w:val="nil"/>
              <w:left w:val="nil"/>
              <w:bottom w:val="single" w:sz="4" w:space="0" w:color="auto"/>
              <w:right w:val="single" w:sz="4" w:space="0" w:color="auto"/>
            </w:tcBorders>
            <w:shd w:val="clear" w:color="auto" w:fill="auto"/>
            <w:noWrap/>
            <w:vAlign w:val="center"/>
            <w:hideMark/>
          </w:tcPr>
          <w:p w14:paraId="0F03EB58" w14:textId="77777777" w:rsidR="00D961A1" w:rsidRPr="00D8479D" w:rsidRDefault="00D961A1" w:rsidP="00D961A1">
            <w:pPr>
              <w:jc w:val="cente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113%</w:t>
            </w:r>
          </w:p>
        </w:tc>
        <w:tc>
          <w:tcPr>
            <w:tcW w:w="1050" w:type="dxa"/>
            <w:tcBorders>
              <w:top w:val="nil"/>
              <w:left w:val="nil"/>
              <w:bottom w:val="single" w:sz="4" w:space="0" w:color="auto"/>
              <w:right w:val="single" w:sz="4" w:space="0" w:color="auto"/>
            </w:tcBorders>
            <w:shd w:val="clear" w:color="auto" w:fill="auto"/>
            <w:noWrap/>
            <w:vAlign w:val="center"/>
            <w:hideMark/>
          </w:tcPr>
          <w:p w14:paraId="2468436C" w14:textId="77777777" w:rsidR="00D961A1" w:rsidRPr="00D8479D" w:rsidRDefault="00D961A1" w:rsidP="00D961A1">
            <w:pPr>
              <w:jc w:val="cente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135%</w:t>
            </w:r>
          </w:p>
        </w:tc>
        <w:tc>
          <w:tcPr>
            <w:tcW w:w="554" w:type="dxa"/>
            <w:tcBorders>
              <w:top w:val="nil"/>
              <w:left w:val="nil"/>
              <w:bottom w:val="single" w:sz="4" w:space="0" w:color="auto"/>
              <w:right w:val="single" w:sz="4" w:space="0" w:color="auto"/>
            </w:tcBorders>
            <w:shd w:val="clear" w:color="000000" w:fill="EDEDED"/>
            <w:noWrap/>
            <w:vAlign w:val="center"/>
            <w:hideMark/>
          </w:tcPr>
          <w:p w14:paraId="4EEF3F67" w14:textId="77777777" w:rsidR="00D961A1" w:rsidRPr="00D8479D" w:rsidRDefault="00D961A1" w:rsidP="00D961A1">
            <w:pPr>
              <w:jc w:val="cente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23%</w:t>
            </w:r>
          </w:p>
        </w:tc>
      </w:tr>
      <w:tr w:rsidR="00D961A1" w:rsidRPr="00D8479D" w14:paraId="4DCA96E8" w14:textId="77777777" w:rsidTr="00D14032">
        <w:trPr>
          <w:trHeight w:val="290"/>
          <w:jc w:val="center"/>
        </w:trPr>
        <w:tc>
          <w:tcPr>
            <w:tcW w:w="6542" w:type="dxa"/>
            <w:tcBorders>
              <w:top w:val="nil"/>
              <w:left w:val="single" w:sz="4" w:space="0" w:color="auto"/>
              <w:bottom w:val="single" w:sz="4" w:space="0" w:color="auto"/>
              <w:right w:val="single" w:sz="4" w:space="0" w:color="auto"/>
            </w:tcBorders>
            <w:shd w:val="clear" w:color="auto" w:fill="auto"/>
            <w:noWrap/>
            <w:vAlign w:val="center"/>
            <w:hideMark/>
          </w:tcPr>
          <w:p w14:paraId="46F5AA76" w14:textId="77777777" w:rsidR="00D961A1" w:rsidRPr="00D8479D" w:rsidRDefault="00D961A1" w:rsidP="00D961A1">
            <w:pP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Tribunal Penal de Sarapiquí</w:t>
            </w:r>
          </w:p>
        </w:tc>
        <w:tc>
          <w:tcPr>
            <w:tcW w:w="1914" w:type="dxa"/>
            <w:tcBorders>
              <w:top w:val="nil"/>
              <w:left w:val="nil"/>
              <w:bottom w:val="single" w:sz="4" w:space="0" w:color="auto"/>
              <w:right w:val="single" w:sz="4" w:space="0" w:color="auto"/>
            </w:tcBorders>
            <w:shd w:val="clear" w:color="auto" w:fill="auto"/>
            <w:noWrap/>
            <w:vAlign w:val="center"/>
            <w:hideMark/>
          </w:tcPr>
          <w:p w14:paraId="59995B90" w14:textId="77777777" w:rsidR="00D961A1" w:rsidRPr="00D8479D" w:rsidRDefault="00D961A1" w:rsidP="00D961A1">
            <w:pPr>
              <w:jc w:val="cente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104%</w:t>
            </w:r>
          </w:p>
        </w:tc>
        <w:tc>
          <w:tcPr>
            <w:tcW w:w="1050" w:type="dxa"/>
            <w:tcBorders>
              <w:top w:val="nil"/>
              <w:left w:val="nil"/>
              <w:bottom w:val="single" w:sz="4" w:space="0" w:color="auto"/>
              <w:right w:val="single" w:sz="4" w:space="0" w:color="auto"/>
            </w:tcBorders>
            <w:shd w:val="clear" w:color="auto" w:fill="auto"/>
            <w:noWrap/>
            <w:vAlign w:val="center"/>
            <w:hideMark/>
          </w:tcPr>
          <w:p w14:paraId="6B5A9653" w14:textId="77777777" w:rsidR="00D961A1" w:rsidRPr="00D8479D" w:rsidRDefault="00D961A1" w:rsidP="00D961A1">
            <w:pPr>
              <w:jc w:val="cente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104%</w:t>
            </w:r>
          </w:p>
        </w:tc>
        <w:tc>
          <w:tcPr>
            <w:tcW w:w="554" w:type="dxa"/>
            <w:tcBorders>
              <w:top w:val="nil"/>
              <w:left w:val="nil"/>
              <w:bottom w:val="single" w:sz="4" w:space="0" w:color="auto"/>
              <w:right w:val="single" w:sz="4" w:space="0" w:color="auto"/>
            </w:tcBorders>
            <w:shd w:val="clear" w:color="000000" w:fill="EDEDED"/>
            <w:noWrap/>
            <w:vAlign w:val="center"/>
            <w:hideMark/>
          </w:tcPr>
          <w:p w14:paraId="0D45E764" w14:textId="77777777" w:rsidR="00D961A1" w:rsidRPr="00D8479D" w:rsidRDefault="00D961A1" w:rsidP="00D961A1">
            <w:pPr>
              <w:jc w:val="cente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0%</w:t>
            </w:r>
          </w:p>
        </w:tc>
      </w:tr>
      <w:tr w:rsidR="00D961A1" w:rsidRPr="00D8479D" w14:paraId="6B216078" w14:textId="77777777" w:rsidTr="00D14032">
        <w:trPr>
          <w:trHeight w:val="290"/>
          <w:jc w:val="center"/>
        </w:trPr>
        <w:tc>
          <w:tcPr>
            <w:tcW w:w="6542" w:type="dxa"/>
            <w:tcBorders>
              <w:top w:val="nil"/>
              <w:left w:val="single" w:sz="4" w:space="0" w:color="auto"/>
              <w:bottom w:val="single" w:sz="4" w:space="0" w:color="auto"/>
              <w:right w:val="single" w:sz="4" w:space="0" w:color="auto"/>
            </w:tcBorders>
            <w:shd w:val="clear" w:color="auto" w:fill="auto"/>
            <w:noWrap/>
            <w:vAlign w:val="center"/>
            <w:hideMark/>
          </w:tcPr>
          <w:p w14:paraId="700C293B" w14:textId="77777777" w:rsidR="00D961A1" w:rsidRPr="00D8479D" w:rsidRDefault="00D961A1" w:rsidP="00D961A1">
            <w:pP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Tribunal Penal de Puntarenas</w:t>
            </w:r>
          </w:p>
        </w:tc>
        <w:tc>
          <w:tcPr>
            <w:tcW w:w="1914" w:type="dxa"/>
            <w:tcBorders>
              <w:top w:val="nil"/>
              <w:left w:val="nil"/>
              <w:bottom w:val="single" w:sz="4" w:space="0" w:color="auto"/>
              <w:right w:val="single" w:sz="4" w:space="0" w:color="auto"/>
            </w:tcBorders>
            <w:shd w:val="clear" w:color="auto" w:fill="auto"/>
            <w:noWrap/>
            <w:vAlign w:val="center"/>
            <w:hideMark/>
          </w:tcPr>
          <w:p w14:paraId="1D96AC4E" w14:textId="77777777" w:rsidR="00D961A1" w:rsidRPr="00D8479D" w:rsidRDefault="00D961A1" w:rsidP="00D961A1">
            <w:pPr>
              <w:jc w:val="cente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98%</w:t>
            </w:r>
          </w:p>
        </w:tc>
        <w:tc>
          <w:tcPr>
            <w:tcW w:w="1050" w:type="dxa"/>
            <w:tcBorders>
              <w:top w:val="nil"/>
              <w:left w:val="nil"/>
              <w:bottom w:val="single" w:sz="4" w:space="0" w:color="auto"/>
              <w:right w:val="single" w:sz="4" w:space="0" w:color="auto"/>
            </w:tcBorders>
            <w:shd w:val="clear" w:color="auto" w:fill="auto"/>
            <w:noWrap/>
            <w:vAlign w:val="center"/>
            <w:hideMark/>
          </w:tcPr>
          <w:p w14:paraId="385CE728" w14:textId="77777777" w:rsidR="00D961A1" w:rsidRPr="00D8479D" w:rsidRDefault="00D961A1" w:rsidP="00D961A1">
            <w:pPr>
              <w:jc w:val="cente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114%</w:t>
            </w:r>
          </w:p>
        </w:tc>
        <w:tc>
          <w:tcPr>
            <w:tcW w:w="554" w:type="dxa"/>
            <w:tcBorders>
              <w:top w:val="nil"/>
              <w:left w:val="nil"/>
              <w:bottom w:val="single" w:sz="4" w:space="0" w:color="auto"/>
              <w:right w:val="single" w:sz="4" w:space="0" w:color="auto"/>
            </w:tcBorders>
            <w:shd w:val="clear" w:color="000000" w:fill="EDEDED"/>
            <w:noWrap/>
            <w:vAlign w:val="center"/>
            <w:hideMark/>
          </w:tcPr>
          <w:p w14:paraId="5F1CB38F" w14:textId="77777777" w:rsidR="00D961A1" w:rsidRPr="00D8479D" w:rsidRDefault="00D961A1" w:rsidP="00D961A1">
            <w:pPr>
              <w:jc w:val="cente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16%</w:t>
            </w:r>
          </w:p>
        </w:tc>
      </w:tr>
      <w:tr w:rsidR="00D961A1" w:rsidRPr="00D8479D" w14:paraId="0B81D61A" w14:textId="77777777" w:rsidTr="00D14032">
        <w:trPr>
          <w:trHeight w:val="290"/>
          <w:jc w:val="center"/>
        </w:trPr>
        <w:tc>
          <w:tcPr>
            <w:tcW w:w="6542" w:type="dxa"/>
            <w:tcBorders>
              <w:top w:val="nil"/>
              <w:left w:val="single" w:sz="4" w:space="0" w:color="auto"/>
              <w:bottom w:val="single" w:sz="4" w:space="0" w:color="auto"/>
              <w:right w:val="single" w:sz="4" w:space="0" w:color="auto"/>
            </w:tcBorders>
            <w:shd w:val="clear" w:color="auto" w:fill="auto"/>
            <w:noWrap/>
            <w:vAlign w:val="center"/>
            <w:hideMark/>
          </w:tcPr>
          <w:p w14:paraId="7A7ECE88" w14:textId="77777777" w:rsidR="00D961A1" w:rsidRPr="00D8479D" w:rsidRDefault="00D961A1" w:rsidP="00D961A1">
            <w:pP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Tribunal Penal del Primer Circuito Judicial de la Zona Atlántica (Limón)</w:t>
            </w:r>
          </w:p>
        </w:tc>
        <w:tc>
          <w:tcPr>
            <w:tcW w:w="1914" w:type="dxa"/>
            <w:tcBorders>
              <w:top w:val="nil"/>
              <w:left w:val="nil"/>
              <w:bottom w:val="single" w:sz="4" w:space="0" w:color="auto"/>
              <w:right w:val="single" w:sz="4" w:space="0" w:color="auto"/>
            </w:tcBorders>
            <w:shd w:val="clear" w:color="auto" w:fill="auto"/>
            <w:noWrap/>
            <w:vAlign w:val="center"/>
            <w:hideMark/>
          </w:tcPr>
          <w:p w14:paraId="6DC629D2" w14:textId="77777777" w:rsidR="00D961A1" w:rsidRPr="00D8479D" w:rsidRDefault="00D961A1" w:rsidP="00D961A1">
            <w:pPr>
              <w:jc w:val="cente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95%</w:t>
            </w:r>
          </w:p>
        </w:tc>
        <w:tc>
          <w:tcPr>
            <w:tcW w:w="1050" w:type="dxa"/>
            <w:tcBorders>
              <w:top w:val="nil"/>
              <w:left w:val="nil"/>
              <w:bottom w:val="single" w:sz="4" w:space="0" w:color="auto"/>
              <w:right w:val="single" w:sz="4" w:space="0" w:color="auto"/>
            </w:tcBorders>
            <w:shd w:val="clear" w:color="auto" w:fill="auto"/>
            <w:noWrap/>
            <w:vAlign w:val="center"/>
            <w:hideMark/>
          </w:tcPr>
          <w:p w14:paraId="663F4536" w14:textId="77777777" w:rsidR="00D961A1" w:rsidRPr="00D8479D" w:rsidRDefault="00D961A1" w:rsidP="00D961A1">
            <w:pPr>
              <w:jc w:val="cente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138%</w:t>
            </w:r>
          </w:p>
        </w:tc>
        <w:tc>
          <w:tcPr>
            <w:tcW w:w="554" w:type="dxa"/>
            <w:tcBorders>
              <w:top w:val="nil"/>
              <w:left w:val="nil"/>
              <w:bottom w:val="single" w:sz="4" w:space="0" w:color="auto"/>
              <w:right w:val="single" w:sz="4" w:space="0" w:color="auto"/>
            </w:tcBorders>
            <w:shd w:val="clear" w:color="000000" w:fill="EDEDED"/>
            <w:noWrap/>
            <w:vAlign w:val="center"/>
            <w:hideMark/>
          </w:tcPr>
          <w:p w14:paraId="244F266C" w14:textId="77777777" w:rsidR="00D961A1" w:rsidRPr="00D8479D" w:rsidRDefault="00D961A1" w:rsidP="00D961A1">
            <w:pPr>
              <w:jc w:val="cente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43%</w:t>
            </w:r>
          </w:p>
        </w:tc>
      </w:tr>
      <w:tr w:rsidR="00D961A1" w:rsidRPr="00D8479D" w14:paraId="333D7FC2" w14:textId="77777777" w:rsidTr="00D14032">
        <w:trPr>
          <w:trHeight w:val="290"/>
          <w:jc w:val="center"/>
        </w:trPr>
        <w:tc>
          <w:tcPr>
            <w:tcW w:w="6542" w:type="dxa"/>
            <w:tcBorders>
              <w:top w:val="nil"/>
              <w:left w:val="single" w:sz="4" w:space="0" w:color="auto"/>
              <w:bottom w:val="single" w:sz="4" w:space="0" w:color="auto"/>
              <w:right w:val="single" w:sz="4" w:space="0" w:color="auto"/>
            </w:tcBorders>
            <w:shd w:val="clear" w:color="auto" w:fill="auto"/>
            <w:noWrap/>
            <w:vAlign w:val="center"/>
            <w:hideMark/>
          </w:tcPr>
          <w:p w14:paraId="0EFF6742" w14:textId="210160CB" w:rsidR="00D961A1" w:rsidRPr="00D8479D" w:rsidRDefault="00D961A1" w:rsidP="00D961A1">
            <w:pP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Tribunal Penal del Tercer Circuito Judicial de Alajuela (San Ramón)</w:t>
            </w:r>
          </w:p>
        </w:tc>
        <w:tc>
          <w:tcPr>
            <w:tcW w:w="1914" w:type="dxa"/>
            <w:tcBorders>
              <w:top w:val="nil"/>
              <w:left w:val="nil"/>
              <w:bottom w:val="single" w:sz="4" w:space="0" w:color="auto"/>
              <w:right w:val="single" w:sz="4" w:space="0" w:color="auto"/>
            </w:tcBorders>
            <w:shd w:val="clear" w:color="auto" w:fill="auto"/>
            <w:noWrap/>
            <w:vAlign w:val="center"/>
            <w:hideMark/>
          </w:tcPr>
          <w:p w14:paraId="77291136" w14:textId="77777777" w:rsidR="00D961A1" w:rsidRPr="00D8479D" w:rsidRDefault="00D961A1" w:rsidP="00D961A1">
            <w:pPr>
              <w:jc w:val="cente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88%</w:t>
            </w:r>
          </w:p>
        </w:tc>
        <w:tc>
          <w:tcPr>
            <w:tcW w:w="1050" w:type="dxa"/>
            <w:tcBorders>
              <w:top w:val="nil"/>
              <w:left w:val="nil"/>
              <w:bottom w:val="single" w:sz="4" w:space="0" w:color="auto"/>
              <w:right w:val="single" w:sz="4" w:space="0" w:color="auto"/>
            </w:tcBorders>
            <w:shd w:val="clear" w:color="auto" w:fill="auto"/>
            <w:noWrap/>
            <w:vAlign w:val="center"/>
            <w:hideMark/>
          </w:tcPr>
          <w:p w14:paraId="7D863455" w14:textId="77777777" w:rsidR="00D961A1" w:rsidRPr="00D8479D" w:rsidRDefault="00D961A1" w:rsidP="00D961A1">
            <w:pPr>
              <w:jc w:val="cente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92%</w:t>
            </w:r>
          </w:p>
        </w:tc>
        <w:tc>
          <w:tcPr>
            <w:tcW w:w="554" w:type="dxa"/>
            <w:tcBorders>
              <w:top w:val="nil"/>
              <w:left w:val="nil"/>
              <w:bottom w:val="single" w:sz="4" w:space="0" w:color="auto"/>
              <w:right w:val="single" w:sz="4" w:space="0" w:color="auto"/>
            </w:tcBorders>
            <w:shd w:val="clear" w:color="000000" w:fill="EDEDED"/>
            <w:noWrap/>
            <w:vAlign w:val="center"/>
            <w:hideMark/>
          </w:tcPr>
          <w:p w14:paraId="20929A7D" w14:textId="77777777" w:rsidR="00D961A1" w:rsidRPr="00D8479D" w:rsidRDefault="00D961A1" w:rsidP="00D961A1">
            <w:pPr>
              <w:jc w:val="cente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4%</w:t>
            </w:r>
          </w:p>
        </w:tc>
      </w:tr>
      <w:tr w:rsidR="00D961A1" w:rsidRPr="00D8479D" w14:paraId="6233089C" w14:textId="77777777" w:rsidTr="00D14032">
        <w:trPr>
          <w:trHeight w:val="290"/>
          <w:jc w:val="center"/>
        </w:trPr>
        <w:tc>
          <w:tcPr>
            <w:tcW w:w="6542" w:type="dxa"/>
            <w:tcBorders>
              <w:top w:val="nil"/>
              <w:left w:val="single" w:sz="4" w:space="0" w:color="auto"/>
              <w:bottom w:val="single" w:sz="4" w:space="0" w:color="auto"/>
              <w:right w:val="single" w:sz="4" w:space="0" w:color="auto"/>
            </w:tcBorders>
            <w:shd w:val="clear" w:color="auto" w:fill="auto"/>
            <w:noWrap/>
            <w:vAlign w:val="center"/>
            <w:hideMark/>
          </w:tcPr>
          <w:p w14:paraId="595B00DA" w14:textId="77777777" w:rsidR="00D961A1" w:rsidRPr="00D8479D" w:rsidRDefault="00D961A1" w:rsidP="00D961A1">
            <w:pP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Tribunal Penal de Quepos</w:t>
            </w:r>
          </w:p>
        </w:tc>
        <w:tc>
          <w:tcPr>
            <w:tcW w:w="1914" w:type="dxa"/>
            <w:tcBorders>
              <w:top w:val="nil"/>
              <w:left w:val="nil"/>
              <w:bottom w:val="single" w:sz="4" w:space="0" w:color="auto"/>
              <w:right w:val="single" w:sz="4" w:space="0" w:color="auto"/>
            </w:tcBorders>
            <w:shd w:val="clear" w:color="auto" w:fill="auto"/>
            <w:noWrap/>
            <w:vAlign w:val="center"/>
            <w:hideMark/>
          </w:tcPr>
          <w:p w14:paraId="133CA110" w14:textId="77777777" w:rsidR="00D961A1" w:rsidRPr="00D8479D" w:rsidRDefault="00D961A1" w:rsidP="00D961A1">
            <w:pPr>
              <w:jc w:val="cente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88%</w:t>
            </w:r>
          </w:p>
        </w:tc>
        <w:tc>
          <w:tcPr>
            <w:tcW w:w="1050" w:type="dxa"/>
            <w:tcBorders>
              <w:top w:val="nil"/>
              <w:left w:val="nil"/>
              <w:bottom w:val="single" w:sz="4" w:space="0" w:color="auto"/>
              <w:right w:val="single" w:sz="4" w:space="0" w:color="auto"/>
            </w:tcBorders>
            <w:shd w:val="clear" w:color="auto" w:fill="auto"/>
            <w:noWrap/>
            <w:vAlign w:val="center"/>
            <w:hideMark/>
          </w:tcPr>
          <w:p w14:paraId="17FB8B94" w14:textId="77777777" w:rsidR="00D961A1" w:rsidRPr="00D8479D" w:rsidRDefault="00D961A1" w:rsidP="00D961A1">
            <w:pPr>
              <w:jc w:val="cente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69%</w:t>
            </w:r>
          </w:p>
        </w:tc>
        <w:tc>
          <w:tcPr>
            <w:tcW w:w="554" w:type="dxa"/>
            <w:tcBorders>
              <w:top w:val="nil"/>
              <w:left w:val="nil"/>
              <w:bottom w:val="single" w:sz="4" w:space="0" w:color="auto"/>
              <w:right w:val="single" w:sz="4" w:space="0" w:color="auto"/>
            </w:tcBorders>
            <w:shd w:val="clear" w:color="000000" w:fill="EDEDED"/>
            <w:noWrap/>
            <w:vAlign w:val="center"/>
            <w:hideMark/>
          </w:tcPr>
          <w:p w14:paraId="2826590D" w14:textId="77777777" w:rsidR="00D961A1" w:rsidRPr="00D8479D" w:rsidRDefault="00D961A1" w:rsidP="00D961A1">
            <w:pPr>
              <w:jc w:val="cente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-19%</w:t>
            </w:r>
          </w:p>
        </w:tc>
      </w:tr>
      <w:tr w:rsidR="00D961A1" w:rsidRPr="00D8479D" w14:paraId="0632BF7A" w14:textId="77777777" w:rsidTr="00D14032">
        <w:trPr>
          <w:trHeight w:val="290"/>
          <w:jc w:val="center"/>
        </w:trPr>
        <w:tc>
          <w:tcPr>
            <w:tcW w:w="6542" w:type="dxa"/>
            <w:tcBorders>
              <w:top w:val="nil"/>
              <w:left w:val="single" w:sz="4" w:space="0" w:color="auto"/>
              <w:bottom w:val="single" w:sz="4" w:space="0" w:color="auto"/>
              <w:right w:val="single" w:sz="4" w:space="0" w:color="auto"/>
            </w:tcBorders>
            <w:shd w:val="clear" w:color="auto" w:fill="auto"/>
            <w:noWrap/>
            <w:vAlign w:val="center"/>
            <w:hideMark/>
          </w:tcPr>
          <w:p w14:paraId="5ADE2E0C" w14:textId="77777777" w:rsidR="00D961A1" w:rsidRPr="00D8479D" w:rsidRDefault="00D961A1" w:rsidP="00D961A1">
            <w:pP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Tribunal Penal del Primer Circuito Judicial de Guanacaste (Liberia)</w:t>
            </w:r>
          </w:p>
        </w:tc>
        <w:tc>
          <w:tcPr>
            <w:tcW w:w="1914" w:type="dxa"/>
            <w:tcBorders>
              <w:top w:val="nil"/>
              <w:left w:val="nil"/>
              <w:bottom w:val="single" w:sz="4" w:space="0" w:color="auto"/>
              <w:right w:val="single" w:sz="4" w:space="0" w:color="auto"/>
            </w:tcBorders>
            <w:shd w:val="clear" w:color="auto" w:fill="auto"/>
            <w:noWrap/>
            <w:vAlign w:val="center"/>
            <w:hideMark/>
          </w:tcPr>
          <w:p w14:paraId="18997959" w14:textId="77777777" w:rsidR="00D961A1" w:rsidRPr="00D8479D" w:rsidRDefault="00D961A1" w:rsidP="00D961A1">
            <w:pPr>
              <w:jc w:val="cente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85%</w:t>
            </w:r>
          </w:p>
        </w:tc>
        <w:tc>
          <w:tcPr>
            <w:tcW w:w="1050" w:type="dxa"/>
            <w:tcBorders>
              <w:top w:val="nil"/>
              <w:left w:val="nil"/>
              <w:bottom w:val="single" w:sz="4" w:space="0" w:color="auto"/>
              <w:right w:val="single" w:sz="4" w:space="0" w:color="auto"/>
            </w:tcBorders>
            <w:shd w:val="clear" w:color="auto" w:fill="auto"/>
            <w:noWrap/>
            <w:vAlign w:val="center"/>
            <w:hideMark/>
          </w:tcPr>
          <w:p w14:paraId="52D10FE4" w14:textId="77777777" w:rsidR="00D961A1" w:rsidRPr="00D8479D" w:rsidRDefault="00D961A1" w:rsidP="00D961A1">
            <w:pPr>
              <w:jc w:val="cente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115%</w:t>
            </w:r>
          </w:p>
        </w:tc>
        <w:tc>
          <w:tcPr>
            <w:tcW w:w="554" w:type="dxa"/>
            <w:tcBorders>
              <w:top w:val="nil"/>
              <w:left w:val="nil"/>
              <w:bottom w:val="single" w:sz="4" w:space="0" w:color="auto"/>
              <w:right w:val="single" w:sz="4" w:space="0" w:color="auto"/>
            </w:tcBorders>
            <w:shd w:val="clear" w:color="000000" w:fill="EDEDED"/>
            <w:noWrap/>
            <w:vAlign w:val="center"/>
            <w:hideMark/>
          </w:tcPr>
          <w:p w14:paraId="395B7F63" w14:textId="77777777" w:rsidR="00D961A1" w:rsidRPr="00D8479D" w:rsidRDefault="00D961A1" w:rsidP="00D961A1">
            <w:pPr>
              <w:jc w:val="cente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30%</w:t>
            </w:r>
          </w:p>
        </w:tc>
      </w:tr>
      <w:tr w:rsidR="00D961A1" w:rsidRPr="00D8479D" w14:paraId="0C2CF7DB" w14:textId="77777777" w:rsidTr="00D14032">
        <w:trPr>
          <w:trHeight w:val="290"/>
          <w:jc w:val="center"/>
        </w:trPr>
        <w:tc>
          <w:tcPr>
            <w:tcW w:w="6542" w:type="dxa"/>
            <w:tcBorders>
              <w:top w:val="nil"/>
              <w:left w:val="single" w:sz="4" w:space="0" w:color="auto"/>
              <w:bottom w:val="single" w:sz="4" w:space="0" w:color="auto"/>
              <w:right w:val="single" w:sz="4" w:space="0" w:color="auto"/>
            </w:tcBorders>
            <w:shd w:val="clear" w:color="auto" w:fill="auto"/>
            <w:noWrap/>
            <w:vAlign w:val="center"/>
            <w:hideMark/>
          </w:tcPr>
          <w:p w14:paraId="63E85BDF" w14:textId="77777777" w:rsidR="00D961A1" w:rsidRPr="00D8479D" w:rsidRDefault="00D961A1" w:rsidP="00D961A1">
            <w:pP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Tribunal Penal del Tercer Circuito Judicial de San José Sede Suroeste (Pavas)</w:t>
            </w:r>
          </w:p>
        </w:tc>
        <w:tc>
          <w:tcPr>
            <w:tcW w:w="1914" w:type="dxa"/>
            <w:tcBorders>
              <w:top w:val="nil"/>
              <w:left w:val="nil"/>
              <w:bottom w:val="single" w:sz="4" w:space="0" w:color="auto"/>
              <w:right w:val="single" w:sz="4" w:space="0" w:color="auto"/>
            </w:tcBorders>
            <w:shd w:val="clear" w:color="auto" w:fill="auto"/>
            <w:noWrap/>
            <w:vAlign w:val="center"/>
            <w:hideMark/>
          </w:tcPr>
          <w:p w14:paraId="64196ED3" w14:textId="77777777" w:rsidR="00D961A1" w:rsidRPr="00D8479D" w:rsidRDefault="00D961A1" w:rsidP="00D961A1">
            <w:pPr>
              <w:jc w:val="cente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85%</w:t>
            </w:r>
          </w:p>
        </w:tc>
        <w:tc>
          <w:tcPr>
            <w:tcW w:w="1050" w:type="dxa"/>
            <w:tcBorders>
              <w:top w:val="nil"/>
              <w:left w:val="nil"/>
              <w:bottom w:val="single" w:sz="4" w:space="0" w:color="auto"/>
              <w:right w:val="single" w:sz="4" w:space="0" w:color="auto"/>
            </w:tcBorders>
            <w:shd w:val="clear" w:color="auto" w:fill="auto"/>
            <w:noWrap/>
            <w:vAlign w:val="center"/>
            <w:hideMark/>
          </w:tcPr>
          <w:p w14:paraId="3EBD754F" w14:textId="77777777" w:rsidR="00D961A1" w:rsidRPr="00D8479D" w:rsidRDefault="00D961A1" w:rsidP="00D961A1">
            <w:pPr>
              <w:jc w:val="cente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59%</w:t>
            </w:r>
          </w:p>
        </w:tc>
        <w:tc>
          <w:tcPr>
            <w:tcW w:w="554" w:type="dxa"/>
            <w:tcBorders>
              <w:top w:val="nil"/>
              <w:left w:val="nil"/>
              <w:bottom w:val="single" w:sz="4" w:space="0" w:color="auto"/>
              <w:right w:val="single" w:sz="4" w:space="0" w:color="auto"/>
            </w:tcBorders>
            <w:shd w:val="clear" w:color="000000" w:fill="EDEDED"/>
            <w:noWrap/>
            <w:vAlign w:val="center"/>
            <w:hideMark/>
          </w:tcPr>
          <w:p w14:paraId="054A3DAE" w14:textId="77777777" w:rsidR="00D961A1" w:rsidRPr="00D8479D" w:rsidRDefault="00D961A1" w:rsidP="00D961A1">
            <w:pPr>
              <w:jc w:val="cente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-26%</w:t>
            </w:r>
          </w:p>
        </w:tc>
      </w:tr>
      <w:tr w:rsidR="00D961A1" w:rsidRPr="00D8479D" w14:paraId="102597BF" w14:textId="77777777" w:rsidTr="00D14032">
        <w:trPr>
          <w:trHeight w:val="290"/>
          <w:jc w:val="center"/>
        </w:trPr>
        <w:tc>
          <w:tcPr>
            <w:tcW w:w="6542" w:type="dxa"/>
            <w:tcBorders>
              <w:top w:val="nil"/>
              <w:left w:val="single" w:sz="4" w:space="0" w:color="auto"/>
              <w:bottom w:val="single" w:sz="4" w:space="0" w:color="auto"/>
              <w:right w:val="single" w:sz="4" w:space="0" w:color="auto"/>
            </w:tcBorders>
            <w:shd w:val="clear" w:color="auto" w:fill="auto"/>
            <w:noWrap/>
            <w:vAlign w:val="center"/>
            <w:hideMark/>
          </w:tcPr>
          <w:p w14:paraId="342D5684" w14:textId="77777777" w:rsidR="00D961A1" w:rsidRPr="00D8479D" w:rsidRDefault="00D961A1" w:rsidP="00D961A1">
            <w:pP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Tribunal Penal del Segundo Circuito Judicial de Guanacaste (Santa Cruz)</w:t>
            </w:r>
          </w:p>
        </w:tc>
        <w:tc>
          <w:tcPr>
            <w:tcW w:w="1914" w:type="dxa"/>
            <w:tcBorders>
              <w:top w:val="nil"/>
              <w:left w:val="nil"/>
              <w:bottom w:val="single" w:sz="4" w:space="0" w:color="auto"/>
              <w:right w:val="single" w:sz="4" w:space="0" w:color="auto"/>
            </w:tcBorders>
            <w:shd w:val="clear" w:color="auto" w:fill="auto"/>
            <w:noWrap/>
            <w:vAlign w:val="center"/>
            <w:hideMark/>
          </w:tcPr>
          <w:p w14:paraId="4A5CC425" w14:textId="77777777" w:rsidR="00D961A1" w:rsidRPr="00D8479D" w:rsidRDefault="00D961A1" w:rsidP="00D961A1">
            <w:pPr>
              <w:jc w:val="cente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84%</w:t>
            </w:r>
          </w:p>
        </w:tc>
        <w:tc>
          <w:tcPr>
            <w:tcW w:w="1050" w:type="dxa"/>
            <w:tcBorders>
              <w:top w:val="nil"/>
              <w:left w:val="nil"/>
              <w:bottom w:val="single" w:sz="4" w:space="0" w:color="auto"/>
              <w:right w:val="single" w:sz="4" w:space="0" w:color="auto"/>
            </w:tcBorders>
            <w:shd w:val="clear" w:color="auto" w:fill="auto"/>
            <w:noWrap/>
            <w:vAlign w:val="center"/>
            <w:hideMark/>
          </w:tcPr>
          <w:p w14:paraId="63DD9023" w14:textId="77777777" w:rsidR="00D961A1" w:rsidRPr="00D8479D" w:rsidRDefault="00D961A1" w:rsidP="00D961A1">
            <w:pPr>
              <w:jc w:val="cente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84%</w:t>
            </w:r>
          </w:p>
        </w:tc>
        <w:tc>
          <w:tcPr>
            <w:tcW w:w="554" w:type="dxa"/>
            <w:tcBorders>
              <w:top w:val="nil"/>
              <w:left w:val="nil"/>
              <w:bottom w:val="single" w:sz="4" w:space="0" w:color="auto"/>
              <w:right w:val="single" w:sz="4" w:space="0" w:color="auto"/>
            </w:tcBorders>
            <w:shd w:val="clear" w:color="000000" w:fill="EDEDED"/>
            <w:noWrap/>
            <w:vAlign w:val="center"/>
            <w:hideMark/>
          </w:tcPr>
          <w:p w14:paraId="45EF809B" w14:textId="77777777" w:rsidR="00D961A1" w:rsidRPr="00D8479D" w:rsidRDefault="00D961A1" w:rsidP="00D961A1">
            <w:pPr>
              <w:jc w:val="cente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0%</w:t>
            </w:r>
          </w:p>
        </w:tc>
      </w:tr>
      <w:tr w:rsidR="00D961A1" w:rsidRPr="00D8479D" w14:paraId="53F28FB1" w14:textId="77777777" w:rsidTr="00D14032">
        <w:trPr>
          <w:trHeight w:val="290"/>
          <w:jc w:val="center"/>
        </w:trPr>
        <w:tc>
          <w:tcPr>
            <w:tcW w:w="6542" w:type="dxa"/>
            <w:tcBorders>
              <w:top w:val="nil"/>
              <w:left w:val="single" w:sz="4" w:space="0" w:color="auto"/>
              <w:bottom w:val="single" w:sz="4" w:space="0" w:color="auto"/>
              <w:right w:val="single" w:sz="4" w:space="0" w:color="auto"/>
            </w:tcBorders>
            <w:shd w:val="clear" w:color="auto" w:fill="auto"/>
            <w:noWrap/>
            <w:vAlign w:val="center"/>
            <w:hideMark/>
          </w:tcPr>
          <w:p w14:paraId="0D3B4146" w14:textId="6E4DFF60" w:rsidR="00D961A1" w:rsidRPr="00D8479D" w:rsidRDefault="00D961A1" w:rsidP="00D961A1">
            <w:pP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Tribunal Penal del Tercer Circuito Judicial de Alajuela Sede Grecia</w:t>
            </w:r>
          </w:p>
        </w:tc>
        <w:tc>
          <w:tcPr>
            <w:tcW w:w="1914" w:type="dxa"/>
            <w:tcBorders>
              <w:top w:val="nil"/>
              <w:left w:val="nil"/>
              <w:bottom w:val="single" w:sz="4" w:space="0" w:color="auto"/>
              <w:right w:val="single" w:sz="4" w:space="0" w:color="auto"/>
            </w:tcBorders>
            <w:shd w:val="clear" w:color="auto" w:fill="auto"/>
            <w:noWrap/>
            <w:vAlign w:val="center"/>
            <w:hideMark/>
          </w:tcPr>
          <w:p w14:paraId="3543C776" w14:textId="77777777" w:rsidR="00D961A1" w:rsidRPr="00D8479D" w:rsidRDefault="00D961A1" w:rsidP="00D961A1">
            <w:pPr>
              <w:jc w:val="cente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83%</w:t>
            </w:r>
          </w:p>
        </w:tc>
        <w:tc>
          <w:tcPr>
            <w:tcW w:w="1050" w:type="dxa"/>
            <w:tcBorders>
              <w:top w:val="nil"/>
              <w:left w:val="nil"/>
              <w:bottom w:val="single" w:sz="4" w:space="0" w:color="auto"/>
              <w:right w:val="single" w:sz="4" w:space="0" w:color="auto"/>
            </w:tcBorders>
            <w:shd w:val="clear" w:color="auto" w:fill="auto"/>
            <w:noWrap/>
            <w:vAlign w:val="center"/>
            <w:hideMark/>
          </w:tcPr>
          <w:p w14:paraId="0447DA14" w14:textId="77777777" w:rsidR="00D961A1" w:rsidRPr="00D8479D" w:rsidRDefault="00D961A1" w:rsidP="00D961A1">
            <w:pPr>
              <w:jc w:val="cente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88%</w:t>
            </w:r>
          </w:p>
        </w:tc>
        <w:tc>
          <w:tcPr>
            <w:tcW w:w="554" w:type="dxa"/>
            <w:tcBorders>
              <w:top w:val="nil"/>
              <w:left w:val="nil"/>
              <w:bottom w:val="single" w:sz="4" w:space="0" w:color="auto"/>
              <w:right w:val="single" w:sz="4" w:space="0" w:color="auto"/>
            </w:tcBorders>
            <w:shd w:val="clear" w:color="000000" w:fill="EDEDED"/>
            <w:noWrap/>
            <w:vAlign w:val="center"/>
            <w:hideMark/>
          </w:tcPr>
          <w:p w14:paraId="5385ED6F" w14:textId="77777777" w:rsidR="00D961A1" w:rsidRPr="00D8479D" w:rsidRDefault="00D961A1" w:rsidP="00D961A1">
            <w:pPr>
              <w:jc w:val="cente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4%</w:t>
            </w:r>
          </w:p>
        </w:tc>
      </w:tr>
      <w:tr w:rsidR="00D961A1" w:rsidRPr="00D8479D" w14:paraId="21DDE7CC" w14:textId="77777777" w:rsidTr="00D14032">
        <w:trPr>
          <w:trHeight w:val="290"/>
          <w:jc w:val="center"/>
        </w:trPr>
        <w:tc>
          <w:tcPr>
            <w:tcW w:w="6542" w:type="dxa"/>
            <w:tcBorders>
              <w:top w:val="nil"/>
              <w:left w:val="single" w:sz="4" w:space="0" w:color="auto"/>
              <w:bottom w:val="single" w:sz="4" w:space="0" w:color="auto"/>
              <w:right w:val="single" w:sz="4" w:space="0" w:color="auto"/>
            </w:tcBorders>
            <w:shd w:val="clear" w:color="auto" w:fill="auto"/>
            <w:noWrap/>
            <w:vAlign w:val="center"/>
            <w:hideMark/>
          </w:tcPr>
          <w:p w14:paraId="1B7F675F" w14:textId="77777777" w:rsidR="00D961A1" w:rsidRPr="00D8479D" w:rsidRDefault="00D961A1" w:rsidP="00D961A1">
            <w:pP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Tribunal Penal Segundo Circuito Judicial de la Zona Sur (Corredores)</w:t>
            </w:r>
          </w:p>
        </w:tc>
        <w:tc>
          <w:tcPr>
            <w:tcW w:w="1914" w:type="dxa"/>
            <w:tcBorders>
              <w:top w:val="nil"/>
              <w:left w:val="nil"/>
              <w:bottom w:val="single" w:sz="4" w:space="0" w:color="auto"/>
              <w:right w:val="single" w:sz="4" w:space="0" w:color="auto"/>
            </w:tcBorders>
            <w:shd w:val="clear" w:color="auto" w:fill="auto"/>
            <w:noWrap/>
            <w:vAlign w:val="center"/>
            <w:hideMark/>
          </w:tcPr>
          <w:p w14:paraId="01AD7AD6" w14:textId="77777777" w:rsidR="00D961A1" w:rsidRPr="00D8479D" w:rsidRDefault="00D961A1" w:rsidP="00D961A1">
            <w:pPr>
              <w:jc w:val="cente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82%</w:t>
            </w:r>
          </w:p>
        </w:tc>
        <w:tc>
          <w:tcPr>
            <w:tcW w:w="1050" w:type="dxa"/>
            <w:tcBorders>
              <w:top w:val="nil"/>
              <w:left w:val="nil"/>
              <w:bottom w:val="single" w:sz="4" w:space="0" w:color="auto"/>
              <w:right w:val="single" w:sz="4" w:space="0" w:color="auto"/>
            </w:tcBorders>
            <w:shd w:val="clear" w:color="auto" w:fill="auto"/>
            <w:noWrap/>
            <w:vAlign w:val="center"/>
            <w:hideMark/>
          </w:tcPr>
          <w:p w14:paraId="774E169E" w14:textId="77777777" w:rsidR="00D961A1" w:rsidRPr="00D8479D" w:rsidRDefault="00D961A1" w:rsidP="00D961A1">
            <w:pPr>
              <w:jc w:val="cente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78%</w:t>
            </w:r>
          </w:p>
        </w:tc>
        <w:tc>
          <w:tcPr>
            <w:tcW w:w="554" w:type="dxa"/>
            <w:tcBorders>
              <w:top w:val="nil"/>
              <w:left w:val="nil"/>
              <w:bottom w:val="single" w:sz="4" w:space="0" w:color="auto"/>
              <w:right w:val="single" w:sz="4" w:space="0" w:color="auto"/>
            </w:tcBorders>
            <w:shd w:val="clear" w:color="000000" w:fill="EDEDED"/>
            <w:noWrap/>
            <w:vAlign w:val="center"/>
            <w:hideMark/>
          </w:tcPr>
          <w:p w14:paraId="09C6920E" w14:textId="77777777" w:rsidR="00D961A1" w:rsidRPr="00D8479D" w:rsidRDefault="00D961A1" w:rsidP="00D961A1">
            <w:pPr>
              <w:jc w:val="cente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-10%</w:t>
            </w:r>
          </w:p>
        </w:tc>
      </w:tr>
      <w:tr w:rsidR="00D961A1" w:rsidRPr="00D8479D" w14:paraId="130D74CD" w14:textId="77777777" w:rsidTr="00D14032">
        <w:trPr>
          <w:trHeight w:val="290"/>
          <w:jc w:val="center"/>
        </w:trPr>
        <w:tc>
          <w:tcPr>
            <w:tcW w:w="6542" w:type="dxa"/>
            <w:tcBorders>
              <w:top w:val="nil"/>
              <w:left w:val="single" w:sz="4" w:space="0" w:color="auto"/>
              <w:bottom w:val="single" w:sz="4" w:space="0" w:color="auto"/>
              <w:right w:val="single" w:sz="4" w:space="0" w:color="auto"/>
            </w:tcBorders>
            <w:shd w:val="clear" w:color="auto" w:fill="auto"/>
            <w:noWrap/>
            <w:vAlign w:val="center"/>
            <w:hideMark/>
          </w:tcPr>
          <w:p w14:paraId="5912463D" w14:textId="77777777" w:rsidR="00D961A1" w:rsidRPr="00D8479D" w:rsidRDefault="00D961A1" w:rsidP="00D961A1">
            <w:pP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Tribunal Penal del Segundo Circuito Judicial de Guanacaste (Nicoya)</w:t>
            </w:r>
          </w:p>
        </w:tc>
        <w:tc>
          <w:tcPr>
            <w:tcW w:w="1914" w:type="dxa"/>
            <w:tcBorders>
              <w:top w:val="nil"/>
              <w:left w:val="nil"/>
              <w:bottom w:val="single" w:sz="4" w:space="0" w:color="auto"/>
              <w:right w:val="single" w:sz="4" w:space="0" w:color="auto"/>
            </w:tcBorders>
            <w:shd w:val="clear" w:color="auto" w:fill="auto"/>
            <w:noWrap/>
            <w:vAlign w:val="center"/>
            <w:hideMark/>
          </w:tcPr>
          <w:p w14:paraId="2D1D76CA" w14:textId="77777777" w:rsidR="00D961A1" w:rsidRPr="00D8479D" w:rsidRDefault="00D961A1" w:rsidP="00D961A1">
            <w:pPr>
              <w:jc w:val="cente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76%</w:t>
            </w:r>
          </w:p>
        </w:tc>
        <w:tc>
          <w:tcPr>
            <w:tcW w:w="1050" w:type="dxa"/>
            <w:tcBorders>
              <w:top w:val="nil"/>
              <w:left w:val="nil"/>
              <w:bottom w:val="single" w:sz="4" w:space="0" w:color="auto"/>
              <w:right w:val="single" w:sz="4" w:space="0" w:color="auto"/>
            </w:tcBorders>
            <w:shd w:val="clear" w:color="auto" w:fill="auto"/>
            <w:noWrap/>
            <w:vAlign w:val="center"/>
            <w:hideMark/>
          </w:tcPr>
          <w:p w14:paraId="5E62FB0C" w14:textId="77777777" w:rsidR="00D961A1" w:rsidRPr="00D8479D" w:rsidRDefault="00D961A1" w:rsidP="00D961A1">
            <w:pPr>
              <w:jc w:val="cente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76%</w:t>
            </w:r>
          </w:p>
        </w:tc>
        <w:tc>
          <w:tcPr>
            <w:tcW w:w="554" w:type="dxa"/>
            <w:tcBorders>
              <w:top w:val="nil"/>
              <w:left w:val="nil"/>
              <w:bottom w:val="single" w:sz="4" w:space="0" w:color="auto"/>
              <w:right w:val="single" w:sz="4" w:space="0" w:color="auto"/>
            </w:tcBorders>
            <w:shd w:val="clear" w:color="000000" w:fill="EDEDED"/>
            <w:noWrap/>
            <w:vAlign w:val="center"/>
            <w:hideMark/>
          </w:tcPr>
          <w:p w14:paraId="1645E922" w14:textId="77777777" w:rsidR="00D961A1" w:rsidRPr="00D8479D" w:rsidRDefault="00D961A1" w:rsidP="00D961A1">
            <w:pPr>
              <w:jc w:val="cente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0%</w:t>
            </w:r>
          </w:p>
        </w:tc>
      </w:tr>
      <w:tr w:rsidR="00D961A1" w:rsidRPr="00D8479D" w14:paraId="60ECF34F" w14:textId="77777777" w:rsidTr="00D14032">
        <w:trPr>
          <w:trHeight w:val="290"/>
          <w:jc w:val="center"/>
        </w:trPr>
        <w:tc>
          <w:tcPr>
            <w:tcW w:w="6542" w:type="dxa"/>
            <w:tcBorders>
              <w:top w:val="nil"/>
              <w:left w:val="single" w:sz="4" w:space="0" w:color="auto"/>
              <w:bottom w:val="single" w:sz="4" w:space="0" w:color="auto"/>
              <w:right w:val="single" w:sz="4" w:space="0" w:color="auto"/>
            </w:tcBorders>
            <w:shd w:val="clear" w:color="auto" w:fill="auto"/>
            <w:noWrap/>
            <w:vAlign w:val="center"/>
            <w:hideMark/>
          </w:tcPr>
          <w:p w14:paraId="06469FD6" w14:textId="7623BFC9" w:rsidR="00D961A1" w:rsidRPr="00D8479D" w:rsidRDefault="00D961A1" w:rsidP="00D961A1">
            <w:pP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Tribunal Penal del Segundo Circuito Judicial de San José (Goicoechea)</w:t>
            </w:r>
          </w:p>
        </w:tc>
        <w:tc>
          <w:tcPr>
            <w:tcW w:w="1914" w:type="dxa"/>
            <w:tcBorders>
              <w:top w:val="nil"/>
              <w:left w:val="nil"/>
              <w:bottom w:val="single" w:sz="4" w:space="0" w:color="auto"/>
              <w:right w:val="single" w:sz="4" w:space="0" w:color="auto"/>
            </w:tcBorders>
            <w:shd w:val="clear" w:color="auto" w:fill="auto"/>
            <w:noWrap/>
            <w:vAlign w:val="center"/>
            <w:hideMark/>
          </w:tcPr>
          <w:p w14:paraId="5E6E9388" w14:textId="77777777" w:rsidR="00D961A1" w:rsidRPr="00D8479D" w:rsidRDefault="00D961A1" w:rsidP="00D961A1">
            <w:pPr>
              <w:jc w:val="cente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75%</w:t>
            </w:r>
          </w:p>
        </w:tc>
        <w:tc>
          <w:tcPr>
            <w:tcW w:w="1050" w:type="dxa"/>
            <w:tcBorders>
              <w:top w:val="nil"/>
              <w:left w:val="nil"/>
              <w:bottom w:val="single" w:sz="4" w:space="0" w:color="auto"/>
              <w:right w:val="single" w:sz="4" w:space="0" w:color="auto"/>
            </w:tcBorders>
            <w:shd w:val="clear" w:color="auto" w:fill="auto"/>
            <w:noWrap/>
            <w:vAlign w:val="center"/>
            <w:hideMark/>
          </w:tcPr>
          <w:p w14:paraId="531EAA7D" w14:textId="77777777" w:rsidR="00D961A1" w:rsidRPr="00D8479D" w:rsidRDefault="00D961A1" w:rsidP="00D961A1">
            <w:pPr>
              <w:jc w:val="cente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69%</w:t>
            </w:r>
          </w:p>
        </w:tc>
        <w:tc>
          <w:tcPr>
            <w:tcW w:w="554" w:type="dxa"/>
            <w:tcBorders>
              <w:top w:val="nil"/>
              <w:left w:val="nil"/>
              <w:bottom w:val="single" w:sz="4" w:space="0" w:color="auto"/>
              <w:right w:val="single" w:sz="4" w:space="0" w:color="auto"/>
            </w:tcBorders>
            <w:shd w:val="clear" w:color="000000" w:fill="EDEDED"/>
            <w:noWrap/>
            <w:vAlign w:val="center"/>
            <w:hideMark/>
          </w:tcPr>
          <w:p w14:paraId="5A7F4E55" w14:textId="77777777" w:rsidR="00D961A1" w:rsidRPr="00D8479D" w:rsidRDefault="00D961A1" w:rsidP="00D961A1">
            <w:pPr>
              <w:jc w:val="cente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-5%</w:t>
            </w:r>
          </w:p>
        </w:tc>
      </w:tr>
      <w:tr w:rsidR="00D961A1" w:rsidRPr="00D8479D" w14:paraId="050A84E1" w14:textId="77777777" w:rsidTr="00D14032">
        <w:trPr>
          <w:trHeight w:val="290"/>
          <w:jc w:val="center"/>
        </w:trPr>
        <w:tc>
          <w:tcPr>
            <w:tcW w:w="6542" w:type="dxa"/>
            <w:tcBorders>
              <w:top w:val="nil"/>
              <w:left w:val="single" w:sz="4" w:space="0" w:color="auto"/>
              <w:bottom w:val="single" w:sz="4" w:space="0" w:color="auto"/>
              <w:right w:val="single" w:sz="4" w:space="0" w:color="auto"/>
            </w:tcBorders>
            <w:shd w:val="clear" w:color="auto" w:fill="auto"/>
            <w:noWrap/>
            <w:vAlign w:val="center"/>
            <w:hideMark/>
          </w:tcPr>
          <w:p w14:paraId="7D3F1522" w14:textId="77777777" w:rsidR="00D961A1" w:rsidRPr="00D8479D" w:rsidRDefault="00D961A1" w:rsidP="00D961A1">
            <w:pP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Tribunal Penal del Primer Circuito Judicial de San José</w:t>
            </w:r>
          </w:p>
        </w:tc>
        <w:tc>
          <w:tcPr>
            <w:tcW w:w="1914" w:type="dxa"/>
            <w:tcBorders>
              <w:top w:val="nil"/>
              <w:left w:val="nil"/>
              <w:bottom w:val="single" w:sz="4" w:space="0" w:color="auto"/>
              <w:right w:val="single" w:sz="4" w:space="0" w:color="auto"/>
            </w:tcBorders>
            <w:shd w:val="clear" w:color="auto" w:fill="auto"/>
            <w:noWrap/>
            <w:vAlign w:val="center"/>
            <w:hideMark/>
          </w:tcPr>
          <w:p w14:paraId="781AA7B8" w14:textId="77777777" w:rsidR="00D961A1" w:rsidRPr="00D8479D" w:rsidRDefault="00D961A1" w:rsidP="00D961A1">
            <w:pPr>
              <w:jc w:val="cente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63%</w:t>
            </w:r>
          </w:p>
        </w:tc>
        <w:tc>
          <w:tcPr>
            <w:tcW w:w="1050" w:type="dxa"/>
            <w:tcBorders>
              <w:top w:val="nil"/>
              <w:left w:val="nil"/>
              <w:bottom w:val="single" w:sz="4" w:space="0" w:color="auto"/>
              <w:right w:val="single" w:sz="4" w:space="0" w:color="auto"/>
            </w:tcBorders>
            <w:shd w:val="clear" w:color="auto" w:fill="auto"/>
            <w:noWrap/>
            <w:vAlign w:val="center"/>
            <w:hideMark/>
          </w:tcPr>
          <w:p w14:paraId="31A12D1D" w14:textId="77777777" w:rsidR="00D961A1" w:rsidRPr="00D8479D" w:rsidRDefault="00D961A1" w:rsidP="00D961A1">
            <w:pPr>
              <w:jc w:val="cente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65%</w:t>
            </w:r>
          </w:p>
        </w:tc>
        <w:tc>
          <w:tcPr>
            <w:tcW w:w="554" w:type="dxa"/>
            <w:tcBorders>
              <w:top w:val="nil"/>
              <w:left w:val="nil"/>
              <w:bottom w:val="single" w:sz="4" w:space="0" w:color="auto"/>
              <w:right w:val="single" w:sz="4" w:space="0" w:color="auto"/>
            </w:tcBorders>
            <w:shd w:val="clear" w:color="000000" w:fill="EDEDED"/>
            <w:noWrap/>
            <w:vAlign w:val="center"/>
            <w:hideMark/>
          </w:tcPr>
          <w:p w14:paraId="0F4C8156" w14:textId="77777777" w:rsidR="00D961A1" w:rsidRPr="00D8479D" w:rsidRDefault="00D961A1" w:rsidP="00D961A1">
            <w:pPr>
              <w:jc w:val="cente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2%</w:t>
            </w:r>
          </w:p>
        </w:tc>
      </w:tr>
      <w:tr w:rsidR="00D961A1" w:rsidRPr="00D8479D" w14:paraId="341AE3B5" w14:textId="77777777" w:rsidTr="00D14032">
        <w:trPr>
          <w:trHeight w:val="290"/>
          <w:jc w:val="center"/>
        </w:trPr>
        <w:tc>
          <w:tcPr>
            <w:tcW w:w="6542" w:type="dxa"/>
            <w:tcBorders>
              <w:top w:val="nil"/>
              <w:left w:val="single" w:sz="4" w:space="0" w:color="auto"/>
              <w:bottom w:val="single" w:sz="4" w:space="0" w:color="auto"/>
              <w:right w:val="single" w:sz="4" w:space="0" w:color="auto"/>
            </w:tcBorders>
            <w:shd w:val="clear" w:color="auto" w:fill="auto"/>
            <w:noWrap/>
            <w:vAlign w:val="center"/>
            <w:hideMark/>
          </w:tcPr>
          <w:p w14:paraId="7F986DE5" w14:textId="77777777" w:rsidR="00D961A1" w:rsidRPr="00D8479D" w:rsidRDefault="00D961A1" w:rsidP="00D961A1">
            <w:pP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Tribunal Penal Segundo Circuito Judicial de la Zona Sur (Osa)</w:t>
            </w:r>
          </w:p>
        </w:tc>
        <w:tc>
          <w:tcPr>
            <w:tcW w:w="1914" w:type="dxa"/>
            <w:tcBorders>
              <w:top w:val="nil"/>
              <w:left w:val="nil"/>
              <w:bottom w:val="single" w:sz="4" w:space="0" w:color="auto"/>
              <w:right w:val="single" w:sz="4" w:space="0" w:color="auto"/>
            </w:tcBorders>
            <w:shd w:val="clear" w:color="auto" w:fill="auto"/>
            <w:noWrap/>
            <w:vAlign w:val="center"/>
            <w:hideMark/>
          </w:tcPr>
          <w:p w14:paraId="15BCF94F" w14:textId="77777777" w:rsidR="00D961A1" w:rsidRPr="00D8479D" w:rsidRDefault="00D961A1" w:rsidP="00D961A1">
            <w:pPr>
              <w:jc w:val="cente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31%</w:t>
            </w:r>
          </w:p>
        </w:tc>
        <w:tc>
          <w:tcPr>
            <w:tcW w:w="1050" w:type="dxa"/>
            <w:tcBorders>
              <w:top w:val="nil"/>
              <w:left w:val="nil"/>
              <w:bottom w:val="single" w:sz="4" w:space="0" w:color="auto"/>
              <w:right w:val="single" w:sz="4" w:space="0" w:color="auto"/>
            </w:tcBorders>
            <w:shd w:val="clear" w:color="auto" w:fill="auto"/>
            <w:noWrap/>
            <w:vAlign w:val="center"/>
            <w:hideMark/>
          </w:tcPr>
          <w:p w14:paraId="0DB4FCC8" w14:textId="77777777" w:rsidR="00D961A1" w:rsidRPr="00D8479D" w:rsidRDefault="00D961A1" w:rsidP="00D961A1">
            <w:pPr>
              <w:jc w:val="cente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28%</w:t>
            </w:r>
          </w:p>
        </w:tc>
        <w:tc>
          <w:tcPr>
            <w:tcW w:w="554" w:type="dxa"/>
            <w:tcBorders>
              <w:top w:val="nil"/>
              <w:left w:val="nil"/>
              <w:bottom w:val="single" w:sz="4" w:space="0" w:color="auto"/>
              <w:right w:val="single" w:sz="4" w:space="0" w:color="auto"/>
            </w:tcBorders>
            <w:shd w:val="clear" w:color="000000" w:fill="EDEDED"/>
            <w:noWrap/>
            <w:vAlign w:val="center"/>
            <w:hideMark/>
          </w:tcPr>
          <w:p w14:paraId="73523728" w14:textId="77777777" w:rsidR="00D961A1" w:rsidRPr="00D8479D" w:rsidRDefault="00D961A1" w:rsidP="00D961A1">
            <w:pPr>
              <w:jc w:val="cente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-3%</w:t>
            </w:r>
          </w:p>
        </w:tc>
      </w:tr>
      <w:tr w:rsidR="00D961A1" w:rsidRPr="00D8479D" w14:paraId="44B338ED" w14:textId="77777777" w:rsidTr="00D14032">
        <w:trPr>
          <w:trHeight w:val="290"/>
          <w:jc w:val="center"/>
        </w:trPr>
        <w:tc>
          <w:tcPr>
            <w:tcW w:w="6542" w:type="dxa"/>
            <w:tcBorders>
              <w:top w:val="nil"/>
              <w:left w:val="single" w:sz="4" w:space="0" w:color="auto"/>
              <w:bottom w:val="single" w:sz="4" w:space="0" w:color="auto"/>
              <w:right w:val="single" w:sz="4" w:space="0" w:color="auto"/>
            </w:tcBorders>
            <w:shd w:val="clear" w:color="auto" w:fill="auto"/>
            <w:noWrap/>
            <w:vAlign w:val="center"/>
            <w:hideMark/>
          </w:tcPr>
          <w:p w14:paraId="069E5912" w14:textId="77777777" w:rsidR="00D961A1" w:rsidRPr="00D8479D" w:rsidRDefault="00D961A1" w:rsidP="00D961A1">
            <w:pP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Tribunal Penal Segundo Circuito Judicial de la Zona Sur (Golfito)</w:t>
            </w:r>
          </w:p>
        </w:tc>
        <w:tc>
          <w:tcPr>
            <w:tcW w:w="1914" w:type="dxa"/>
            <w:tcBorders>
              <w:top w:val="nil"/>
              <w:left w:val="nil"/>
              <w:bottom w:val="single" w:sz="4" w:space="0" w:color="auto"/>
              <w:right w:val="single" w:sz="4" w:space="0" w:color="auto"/>
            </w:tcBorders>
            <w:shd w:val="clear" w:color="auto" w:fill="auto"/>
            <w:noWrap/>
            <w:vAlign w:val="center"/>
            <w:hideMark/>
          </w:tcPr>
          <w:p w14:paraId="03CBB181" w14:textId="77777777" w:rsidR="00D961A1" w:rsidRPr="00D8479D" w:rsidRDefault="00D961A1" w:rsidP="00D961A1">
            <w:pPr>
              <w:jc w:val="cente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13%</w:t>
            </w:r>
          </w:p>
        </w:tc>
        <w:tc>
          <w:tcPr>
            <w:tcW w:w="1050" w:type="dxa"/>
            <w:tcBorders>
              <w:top w:val="nil"/>
              <w:left w:val="nil"/>
              <w:bottom w:val="single" w:sz="4" w:space="0" w:color="auto"/>
              <w:right w:val="single" w:sz="4" w:space="0" w:color="auto"/>
            </w:tcBorders>
            <w:shd w:val="clear" w:color="auto" w:fill="auto"/>
            <w:noWrap/>
            <w:vAlign w:val="center"/>
            <w:hideMark/>
          </w:tcPr>
          <w:p w14:paraId="38654A8D" w14:textId="77777777" w:rsidR="00D961A1" w:rsidRPr="00D8479D" w:rsidRDefault="00D961A1" w:rsidP="00D961A1">
            <w:pPr>
              <w:jc w:val="cente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13%</w:t>
            </w:r>
          </w:p>
        </w:tc>
        <w:tc>
          <w:tcPr>
            <w:tcW w:w="554" w:type="dxa"/>
            <w:tcBorders>
              <w:top w:val="nil"/>
              <w:left w:val="nil"/>
              <w:bottom w:val="single" w:sz="4" w:space="0" w:color="auto"/>
              <w:right w:val="single" w:sz="4" w:space="0" w:color="auto"/>
            </w:tcBorders>
            <w:shd w:val="clear" w:color="000000" w:fill="EDEDED"/>
            <w:noWrap/>
            <w:vAlign w:val="center"/>
            <w:hideMark/>
          </w:tcPr>
          <w:p w14:paraId="20E9CEE7" w14:textId="77777777" w:rsidR="00D961A1" w:rsidRPr="00D8479D" w:rsidRDefault="00D961A1" w:rsidP="00D961A1">
            <w:pPr>
              <w:jc w:val="cente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0%</w:t>
            </w:r>
          </w:p>
        </w:tc>
      </w:tr>
      <w:tr w:rsidR="00D961A1" w:rsidRPr="00D8479D" w14:paraId="2144C19E" w14:textId="77777777" w:rsidTr="00D14032">
        <w:trPr>
          <w:trHeight w:val="290"/>
          <w:jc w:val="center"/>
        </w:trPr>
        <w:tc>
          <w:tcPr>
            <w:tcW w:w="6542" w:type="dxa"/>
            <w:tcBorders>
              <w:top w:val="nil"/>
              <w:left w:val="single" w:sz="4" w:space="0" w:color="auto"/>
              <w:bottom w:val="single" w:sz="4" w:space="0" w:color="auto"/>
              <w:right w:val="single" w:sz="4" w:space="0" w:color="auto"/>
            </w:tcBorders>
            <w:shd w:val="clear" w:color="auto" w:fill="auto"/>
            <w:noWrap/>
            <w:vAlign w:val="center"/>
            <w:hideMark/>
          </w:tcPr>
          <w:p w14:paraId="2A9BC11A" w14:textId="77777777" w:rsidR="00D961A1" w:rsidRPr="00D8479D" w:rsidRDefault="00D961A1" w:rsidP="00D961A1">
            <w:pPr>
              <w:rPr>
                <w:rFonts w:ascii="Book Antiqua" w:hAnsi="Book Antiqua" w:cs="Calibri"/>
                <w:b/>
                <w:bCs/>
                <w:color w:val="000000"/>
                <w:sz w:val="16"/>
                <w:szCs w:val="16"/>
                <w:lang w:eastAsia="es-CR"/>
              </w:rPr>
            </w:pPr>
            <w:r w:rsidRPr="00D8479D">
              <w:rPr>
                <w:rFonts w:ascii="Book Antiqua" w:hAnsi="Book Antiqua" w:cs="Calibri"/>
                <w:b/>
                <w:bCs/>
                <w:color w:val="000000"/>
                <w:sz w:val="16"/>
                <w:szCs w:val="16"/>
                <w:lang w:eastAsia="es-CR"/>
              </w:rPr>
              <w:t>Promedio global</w:t>
            </w:r>
          </w:p>
        </w:tc>
        <w:tc>
          <w:tcPr>
            <w:tcW w:w="1914" w:type="dxa"/>
            <w:tcBorders>
              <w:top w:val="nil"/>
              <w:left w:val="nil"/>
              <w:bottom w:val="single" w:sz="4" w:space="0" w:color="auto"/>
              <w:right w:val="single" w:sz="4" w:space="0" w:color="auto"/>
            </w:tcBorders>
            <w:shd w:val="clear" w:color="auto" w:fill="auto"/>
            <w:noWrap/>
            <w:vAlign w:val="center"/>
            <w:hideMark/>
          </w:tcPr>
          <w:p w14:paraId="344BD697" w14:textId="77777777" w:rsidR="00D961A1" w:rsidRPr="00D8479D" w:rsidRDefault="00D961A1" w:rsidP="00D961A1">
            <w:pPr>
              <w:jc w:val="center"/>
              <w:rPr>
                <w:rFonts w:ascii="Book Antiqua" w:hAnsi="Book Antiqua" w:cs="Calibri"/>
                <w:b/>
                <w:bCs/>
                <w:color w:val="000000"/>
                <w:sz w:val="16"/>
                <w:szCs w:val="16"/>
                <w:lang w:eastAsia="es-CR"/>
              </w:rPr>
            </w:pPr>
            <w:r w:rsidRPr="00D8479D">
              <w:rPr>
                <w:rFonts w:ascii="Book Antiqua" w:hAnsi="Book Antiqua" w:cs="Calibri"/>
                <w:b/>
                <w:bCs/>
                <w:color w:val="000000"/>
                <w:sz w:val="16"/>
                <w:szCs w:val="16"/>
                <w:lang w:eastAsia="es-CR"/>
              </w:rPr>
              <w:t>100%</w:t>
            </w:r>
          </w:p>
        </w:tc>
        <w:tc>
          <w:tcPr>
            <w:tcW w:w="1050" w:type="dxa"/>
            <w:tcBorders>
              <w:top w:val="nil"/>
              <w:left w:val="nil"/>
              <w:bottom w:val="single" w:sz="4" w:space="0" w:color="auto"/>
              <w:right w:val="single" w:sz="4" w:space="0" w:color="auto"/>
            </w:tcBorders>
            <w:shd w:val="clear" w:color="auto" w:fill="auto"/>
            <w:noWrap/>
            <w:vAlign w:val="center"/>
            <w:hideMark/>
          </w:tcPr>
          <w:p w14:paraId="5C743805" w14:textId="77777777" w:rsidR="00D961A1" w:rsidRPr="00D8479D" w:rsidRDefault="00D961A1" w:rsidP="00D961A1">
            <w:pPr>
              <w:jc w:val="center"/>
              <w:rPr>
                <w:rFonts w:ascii="Book Antiqua" w:hAnsi="Book Antiqua" w:cs="Calibri"/>
                <w:b/>
                <w:bCs/>
                <w:color w:val="000000"/>
                <w:sz w:val="16"/>
                <w:szCs w:val="16"/>
                <w:lang w:eastAsia="es-CR"/>
              </w:rPr>
            </w:pPr>
            <w:r w:rsidRPr="00D8479D">
              <w:rPr>
                <w:rFonts w:ascii="Book Antiqua" w:hAnsi="Book Antiqua" w:cs="Calibri"/>
                <w:b/>
                <w:bCs/>
                <w:color w:val="000000"/>
                <w:sz w:val="16"/>
                <w:szCs w:val="16"/>
                <w:lang w:eastAsia="es-CR"/>
              </w:rPr>
              <w:t>96%</w:t>
            </w:r>
          </w:p>
        </w:tc>
        <w:tc>
          <w:tcPr>
            <w:tcW w:w="554" w:type="dxa"/>
            <w:tcBorders>
              <w:top w:val="nil"/>
              <w:left w:val="nil"/>
              <w:bottom w:val="single" w:sz="4" w:space="0" w:color="auto"/>
              <w:right w:val="single" w:sz="4" w:space="0" w:color="auto"/>
            </w:tcBorders>
            <w:shd w:val="clear" w:color="000000" w:fill="EDEDED"/>
            <w:noWrap/>
            <w:vAlign w:val="center"/>
            <w:hideMark/>
          </w:tcPr>
          <w:p w14:paraId="7195F77F" w14:textId="77777777" w:rsidR="00D961A1" w:rsidRPr="00D8479D" w:rsidRDefault="00D961A1" w:rsidP="00D961A1">
            <w:pPr>
              <w:jc w:val="center"/>
              <w:rPr>
                <w:rFonts w:ascii="Book Antiqua" w:hAnsi="Book Antiqua" w:cs="Calibri"/>
                <w:color w:val="000000"/>
                <w:sz w:val="16"/>
                <w:szCs w:val="16"/>
                <w:lang w:eastAsia="es-CR"/>
              </w:rPr>
            </w:pPr>
            <w:r w:rsidRPr="00D8479D">
              <w:rPr>
                <w:rFonts w:ascii="Book Antiqua" w:hAnsi="Book Antiqua" w:cs="Calibri"/>
                <w:color w:val="000000"/>
                <w:sz w:val="16"/>
                <w:szCs w:val="16"/>
                <w:lang w:eastAsia="es-CR"/>
              </w:rPr>
              <w:t>-4%</w:t>
            </w:r>
          </w:p>
        </w:tc>
      </w:tr>
    </w:tbl>
    <w:p w14:paraId="44465501" w14:textId="3136C095" w:rsidR="00F75E3A" w:rsidRDefault="00F75E3A" w:rsidP="00D961A1">
      <w:pPr>
        <w:spacing w:line="276" w:lineRule="auto"/>
        <w:jc w:val="center"/>
        <w:rPr>
          <w:rFonts w:ascii="Book Antiqua" w:hAnsi="Book Antiqua"/>
          <w:color w:val="000000" w:themeColor="text1"/>
          <w:sz w:val="20"/>
          <w:szCs w:val="20"/>
        </w:rPr>
      </w:pPr>
      <w:r w:rsidRPr="00677475">
        <w:rPr>
          <w:rFonts w:ascii="Book Antiqua" w:hAnsi="Book Antiqua"/>
          <w:b/>
          <w:bCs/>
          <w:color w:val="000000" w:themeColor="text1"/>
          <w:sz w:val="20"/>
          <w:szCs w:val="20"/>
        </w:rPr>
        <w:t xml:space="preserve">Fuente: </w:t>
      </w:r>
      <w:r w:rsidRPr="00677475">
        <w:rPr>
          <w:rFonts w:ascii="Book Antiqua" w:hAnsi="Book Antiqua"/>
          <w:color w:val="000000" w:themeColor="text1"/>
          <w:sz w:val="20"/>
          <w:szCs w:val="20"/>
        </w:rPr>
        <w:t>Matriz de indicadores de Gestión</w:t>
      </w:r>
      <w:r w:rsidR="00D961A1">
        <w:rPr>
          <w:rFonts w:ascii="Book Antiqua" w:hAnsi="Book Antiqua"/>
          <w:color w:val="000000" w:themeColor="text1"/>
          <w:sz w:val="20"/>
          <w:szCs w:val="20"/>
        </w:rPr>
        <w:t xml:space="preserve"> y Sistema Sigma</w:t>
      </w:r>
    </w:p>
    <w:p w14:paraId="5937EA31" w14:textId="77777777" w:rsidR="00F75E3A" w:rsidRPr="004F0E92" w:rsidRDefault="00F75E3A" w:rsidP="00F75E3A">
      <w:pPr>
        <w:spacing w:line="276" w:lineRule="auto"/>
        <w:jc w:val="both"/>
        <w:rPr>
          <w:rFonts w:ascii="Book Antiqua" w:hAnsi="Book Antiqua" w:cs="Calibri"/>
          <w:color w:val="000000"/>
          <w:lang w:eastAsia="es-CR"/>
        </w:rPr>
      </w:pPr>
    </w:p>
    <w:p w14:paraId="6617AB41" w14:textId="77777777" w:rsidR="00D14032" w:rsidRPr="0009337C" w:rsidRDefault="00D14032" w:rsidP="00D14032">
      <w:pPr>
        <w:spacing w:line="276" w:lineRule="auto"/>
        <w:jc w:val="both"/>
        <w:rPr>
          <w:rFonts w:ascii="Book Antiqua" w:hAnsi="Book Antiqua" w:cs="Calibri"/>
          <w:color w:val="000000"/>
          <w:lang w:eastAsia="es-CR"/>
        </w:rPr>
      </w:pPr>
      <w:r w:rsidRPr="00D14032">
        <w:rPr>
          <w:rFonts w:ascii="Book Antiqua" w:hAnsi="Book Antiqua" w:cs="Calibri"/>
          <w:color w:val="000000"/>
          <w:lang w:eastAsia="es-CR"/>
        </w:rPr>
        <w:t>Si bien es cierto el promedio global de cumplimiento en los Tribunales Penales es de un 100%, aún hay oficinas que reflejan un porcentaje bajo de resolución. Dentro de las principales justificaciones se encuentra: la declaratoria de alerta naranja en algunas de estas zonas, lo que provocó la suspensión de juicios y la programación de juicios con persona detenida, además casos positivos por covid-19 dentro del despacho, lo que provocó enviar a cuarentena a gran parte del personal; así como, la atención de juicios complejos de varias semanas.</w:t>
      </w:r>
      <w:r w:rsidRPr="0009337C">
        <w:rPr>
          <w:rFonts w:ascii="Book Antiqua" w:hAnsi="Book Antiqua" w:cs="Calibri"/>
          <w:color w:val="000000"/>
          <w:lang w:eastAsia="es-CR"/>
        </w:rPr>
        <w:t xml:space="preserve"> </w:t>
      </w:r>
    </w:p>
    <w:p w14:paraId="53B1E293" w14:textId="77777777" w:rsidR="00F75E3A" w:rsidRDefault="00F75E3A" w:rsidP="00F75E3A">
      <w:pPr>
        <w:spacing w:line="276" w:lineRule="auto"/>
        <w:rPr>
          <w:rFonts w:ascii="Book Antiqua" w:hAnsi="Book Antiqua"/>
          <w:b/>
          <w:color w:val="000000" w:themeColor="text1"/>
        </w:rPr>
      </w:pPr>
    </w:p>
    <w:p w14:paraId="4B507AD8" w14:textId="3976E53C" w:rsidR="00F75E3A" w:rsidRPr="000549BF" w:rsidRDefault="00F75E3A" w:rsidP="00F75E3A">
      <w:pPr>
        <w:tabs>
          <w:tab w:val="left" w:pos="2400"/>
        </w:tabs>
        <w:spacing w:line="276" w:lineRule="auto"/>
        <w:rPr>
          <w:rFonts w:ascii="Book Antiqua" w:hAnsi="Book Antiqua"/>
          <w:b/>
          <w:color w:val="000000" w:themeColor="text1"/>
        </w:rPr>
      </w:pPr>
    </w:p>
    <w:p w14:paraId="698589C8" w14:textId="6159807C" w:rsidR="00F75E3A" w:rsidRPr="0035055C" w:rsidRDefault="484C6227" w:rsidP="57A79FF7">
      <w:pPr>
        <w:spacing w:after="160" w:line="276" w:lineRule="auto"/>
        <w:contextualSpacing/>
        <w:outlineLvl w:val="1"/>
        <w:rPr>
          <w:b/>
          <w:color w:val="000000" w:themeColor="text1"/>
        </w:rPr>
      </w:pPr>
      <w:r w:rsidRPr="57A79FF7">
        <w:rPr>
          <w:rFonts w:ascii="Book Antiqua" w:hAnsi="Book Antiqua"/>
          <w:b/>
          <w:bCs/>
          <w:color w:val="000000" w:themeColor="text1"/>
        </w:rPr>
        <w:t xml:space="preserve">8.2.3 </w:t>
      </w:r>
      <w:r w:rsidR="00F75E3A" w:rsidRPr="0035055C">
        <w:rPr>
          <w:rFonts w:ascii="Book Antiqua" w:hAnsi="Book Antiqua"/>
          <w:b/>
          <w:color w:val="000000" w:themeColor="text1"/>
        </w:rPr>
        <w:t>Tribunal y Secciones de Flagrancia</w:t>
      </w:r>
    </w:p>
    <w:p w14:paraId="17C1DAD9" w14:textId="081A2221" w:rsidR="57A79FF7" w:rsidRDefault="57A79FF7" w:rsidP="57A79FF7">
      <w:pPr>
        <w:spacing w:after="160" w:line="276" w:lineRule="auto"/>
        <w:outlineLvl w:val="1"/>
        <w:rPr>
          <w:b/>
          <w:bCs/>
          <w:color w:val="000000" w:themeColor="text1"/>
        </w:rPr>
      </w:pPr>
    </w:p>
    <w:p w14:paraId="5209BEE1" w14:textId="77777777" w:rsidR="0023630D" w:rsidRPr="0023630D" w:rsidRDefault="0023630D" w:rsidP="0023630D">
      <w:pPr>
        <w:spacing w:line="276" w:lineRule="auto"/>
        <w:jc w:val="both"/>
        <w:rPr>
          <w:rFonts w:ascii="Book Antiqua" w:hAnsi="Book Antiqua"/>
          <w:color w:val="000000" w:themeColor="text1"/>
        </w:rPr>
      </w:pPr>
      <w:r w:rsidRPr="0023630D">
        <w:rPr>
          <w:rFonts w:ascii="Book Antiqua" w:hAnsi="Book Antiqua"/>
          <w:color w:val="000000" w:themeColor="text1"/>
        </w:rPr>
        <w:t>Las secciones de flagrancia tienen un parámetro de producción de 35 diligencias entre audiencias iniciales, sentencias o medidas alternas, por lo tanto, su comparación contra el valor teórico es de un 77%, considerando la colaboración al ordinario asciende a un 81%.</w:t>
      </w:r>
    </w:p>
    <w:p w14:paraId="5AEC8C09" w14:textId="77777777" w:rsidR="0023630D" w:rsidRPr="0023630D" w:rsidRDefault="0023630D" w:rsidP="0023630D">
      <w:pPr>
        <w:spacing w:line="276" w:lineRule="auto"/>
        <w:jc w:val="both"/>
        <w:rPr>
          <w:rFonts w:ascii="Book Antiqua" w:hAnsi="Book Antiqua"/>
          <w:color w:val="000000" w:themeColor="text1"/>
        </w:rPr>
      </w:pPr>
    </w:p>
    <w:p w14:paraId="3FC52E5B" w14:textId="24EDC58A" w:rsidR="0023630D" w:rsidRPr="0023630D" w:rsidRDefault="0023630D" w:rsidP="0023630D">
      <w:pPr>
        <w:spacing w:line="276" w:lineRule="auto"/>
        <w:jc w:val="both"/>
        <w:rPr>
          <w:rFonts w:ascii="Book Antiqua" w:hAnsi="Book Antiqua"/>
          <w:color w:val="000000" w:themeColor="text1"/>
        </w:rPr>
      </w:pPr>
      <w:r w:rsidRPr="0023630D">
        <w:rPr>
          <w:rFonts w:ascii="Book Antiqua" w:hAnsi="Book Antiqua"/>
          <w:color w:val="000000" w:themeColor="text1"/>
        </w:rPr>
        <w:t xml:space="preserve">El despacho con mayor nivel de producción es el Tribunal de Flagrancia de San Carlos, con un 130% y el de menor rendimiento fue el Tribunal de Flagrancia de </w:t>
      </w:r>
      <w:r>
        <w:rPr>
          <w:rFonts w:ascii="Book Antiqua" w:hAnsi="Book Antiqua"/>
          <w:color w:val="000000" w:themeColor="text1"/>
        </w:rPr>
        <w:t>Goicochea</w:t>
      </w:r>
      <w:r w:rsidRPr="0023630D">
        <w:rPr>
          <w:rFonts w:ascii="Book Antiqua" w:hAnsi="Book Antiqua"/>
          <w:color w:val="000000" w:themeColor="text1"/>
        </w:rPr>
        <w:t xml:space="preserve"> con un </w:t>
      </w:r>
      <w:r>
        <w:rPr>
          <w:rFonts w:ascii="Book Antiqua" w:hAnsi="Book Antiqua"/>
          <w:color w:val="000000" w:themeColor="text1"/>
        </w:rPr>
        <w:t>44</w:t>
      </w:r>
      <w:r w:rsidRPr="0023630D">
        <w:rPr>
          <w:rFonts w:ascii="Book Antiqua" w:hAnsi="Book Antiqua"/>
          <w:color w:val="000000" w:themeColor="text1"/>
        </w:rPr>
        <w:t>% del valor teórico; es decir, poco más de la tercera parte del parámetro establecido.</w:t>
      </w:r>
    </w:p>
    <w:p w14:paraId="0A9020EB" w14:textId="77777777" w:rsidR="0023630D" w:rsidRPr="0023630D" w:rsidRDefault="0023630D" w:rsidP="0023630D">
      <w:pPr>
        <w:spacing w:line="276" w:lineRule="auto"/>
        <w:jc w:val="both"/>
        <w:rPr>
          <w:rFonts w:ascii="Book Antiqua" w:hAnsi="Book Antiqua"/>
          <w:color w:val="000000" w:themeColor="text1"/>
        </w:rPr>
      </w:pPr>
    </w:p>
    <w:p w14:paraId="564B9244" w14:textId="77777777" w:rsidR="0023630D" w:rsidRPr="0023630D" w:rsidRDefault="0023630D" w:rsidP="0023630D">
      <w:pPr>
        <w:spacing w:line="276" w:lineRule="auto"/>
        <w:jc w:val="both"/>
        <w:rPr>
          <w:rFonts w:ascii="Book Antiqua" w:hAnsi="Book Antiqua"/>
          <w:color w:val="000000" w:themeColor="text1"/>
        </w:rPr>
      </w:pPr>
      <w:r w:rsidRPr="0023630D">
        <w:rPr>
          <w:rFonts w:ascii="Book Antiqua" w:hAnsi="Book Antiqua"/>
          <w:color w:val="000000" w:themeColor="text1"/>
        </w:rPr>
        <w:t xml:space="preserve">Se destaca que, para el mes de setiembre, de la totalidad de las oficinas del contexto de Flagrancia, San Carlos, Alajuela, Liberia, Heredia y San Ramón, son los únicos despachos que logran alcanzar un rendimiento igual o mayor al valor mínimo de producción con asuntos propios de la materia de Flagrancia. </w:t>
      </w:r>
    </w:p>
    <w:p w14:paraId="2C370BB4" w14:textId="77777777" w:rsidR="0023630D" w:rsidRPr="0023630D" w:rsidRDefault="0023630D" w:rsidP="0023630D">
      <w:pPr>
        <w:spacing w:line="276" w:lineRule="auto"/>
        <w:jc w:val="both"/>
        <w:rPr>
          <w:rFonts w:ascii="Book Antiqua" w:hAnsi="Book Antiqua"/>
          <w:color w:val="000000" w:themeColor="text1"/>
        </w:rPr>
      </w:pPr>
    </w:p>
    <w:p w14:paraId="56C8B96D" w14:textId="78009058" w:rsidR="0023630D" w:rsidRPr="0023630D" w:rsidRDefault="0023630D" w:rsidP="0023630D">
      <w:pPr>
        <w:spacing w:line="276" w:lineRule="auto"/>
        <w:jc w:val="both"/>
        <w:rPr>
          <w:rFonts w:ascii="Book Antiqua" w:hAnsi="Book Antiqua"/>
          <w:color w:val="000000" w:themeColor="text1"/>
        </w:rPr>
      </w:pPr>
      <w:r w:rsidRPr="0023630D">
        <w:rPr>
          <w:rFonts w:ascii="Book Antiqua" w:hAnsi="Book Antiqua"/>
          <w:color w:val="000000" w:themeColor="text1"/>
        </w:rPr>
        <w:t xml:space="preserve">En ese sentido, se hace la observación que actualmente existen despachos de Flagrancia que brindan soporte a los Tribunales Ordinarios homólogos en la tramitación de asuntos propios de dicha dependencia, lo anterior, con el objetivo de maximizar el recurso </w:t>
      </w:r>
      <w:r w:rsidRPr="00F353FF">
        <w:rPr>
          <w:rFonts w:ascii="Book Antiqua" w:hAnsi="Book Antiqua"/>
          <w:color w:val="000000" w:themeColor="text1"/>
        </w:rPr>
        <w:t xml:space="preserve">humano y disminuir tiempos de respuesta, el detalle de lo anterior se amplía en el capítulo </w:t>
      </w:r>
      <w:r w:rsidR="00F353FF" w:rsidRPr="00F353FF">
        <w:rPr>
          <w:rFonts w:ascii="Book Antiqua" w:hAnsi="Book Antiqua"/>
          <w:color w:val="000000" w:themeColor="text1"/>
        </w:rPr>
        <w:t>I</w:t>
      </w:r>
      <w:r w:rsidRPr="00F353FF">
        <w:rPr>
          <w:rFonts w:ascii="Book Antiqua" w:hAnsi="Book Antiqua"/>
          <w:color w:val="000000" w:themeColor="text1"/>
        </w:rPr>
        <w:t>X del presente informe.</w:t>
      </w:r>
      <w:r w:rsidRPr="0023630D">
        <w:rPr>
          <w:rFonts w:ascii="Book Antiqua" w:hAnsi="Book Antiqua"/>
          <w:color w:val="000000" w:themeColor="text1"/>
        </w:rPr>
        <w:t xml:space="preserve"> </w:t>
      </w:r>
    </w:p>
    <w:p w14:paraId="6D7E7DE9" w14:textId="77777777" w:rsidR="0023630D" w:rsidRPr="0023630D" w:rsidRDefault="0023630D" w:rsidP="0023630D">
      <w:pPr>
        <w:spacing w:line="276" w:lineRule="auto"/>
        <w:jc w:val="both"/>
        <w:rPr>
          <w:rFonts w:ascii="Book Antiqua" w:hAnsi="Book Antiqua"/>
          <w:color w:val="000000" w:themeColor="text1"/>
        </w:rPr>
      </w:pPr>
    </w:p>
    <w:p w14:paraId="28B14264" w14:textId="0CCC5D47" w:rsidR="0023630D" w:rsidRPr="0023630D" w:rsidRDefault="0023630D" w:rsidP="0023630D">
      <w:pPr>
        <w:spacing w:line="276" w:lineRule="auto"/>
        <w:jc w:val="both"/>
        <w:rPr>
          <w:rFonts w:ascii="Book Antiqua" w:hAnsi="Book Antiqua"/>
          <w:color w:val="000000" w:themeColor="text1"/>
        </w:rPr>
      </w:pPr>
      <w:r w:rsidRPr="0023630D">
        <w:rPr>
          <w:rFonts w:ascii="Book Antiqua" w:hAnsi="Book Antiqua"/>
          <w:color w:val="000000" w:themeColor="text1"/>
        </w:rPr>
        <w:t xml:space="preserve"> Dicho lo anterior, contabilizando el soporte que las oficinas del contexto de Flagrancia le dan al ordinario, San Carlos, Alajuela, Liberia, Heredia y San Ramón continúan siendo los únicos despachos que logran alcanzar un porcentaje igual o mayor al valor mínimo esperado. </w:t>
      </w:r>
    </w:p>
    <w:p w14:paraId="334CBBCA" w14:textId="77777777" w:rsidR="0023630D" w:rsidRPr="0023630D" w:rsidRDefault="0023630D" w:rsidP="0023630D">
      <w:pPr>
        <w:spacing w:line="276" w:lineRule="auto"/>
        <w:jc w:val="both"/>
        <w:rPr>
          <w:rFonts w:ascii="Book Antiqua" w:hAnsi="Book Antiqua"/>
          <w:color w:val="000000" w:themeColor="text1"/>
        </w:rPr>
      </w:pPr>
    </w:p>
    <w:p w14:paraId="2BFA1EB0" w14:textId="4F183B60" w:rsidR="00F75E3A" w:rsidRDefault="0023630D" w:rsidP="0023630D">
      <w:pPr>
        <w:spacing w:line="276" w:lineRule="auto"/>
        <w:jc w:val="both"/>
        <w:rPr>
          <w:rFonts w:ascii="Book Antiqua" w:hAnsi="Book Antiqua"/>
          <w:color w:val="000000" w:themeColor="text1"/>
        </w:rPr>
      </w:pPr>
      <w:r w:rsidRPr="0023630D">
        <w:rPr>
          <w:rFonts w:ascii="Book Antiqua" w:hAnsi="Book Antiqua"/>
          <w:color w:val="000000" w:themeColor="text1"/>
        </w:rPr>
        <w:t>En relación con las oficinas que no cumplen con un porcentaje igual o mayor al valor mínimo esperado, resulta importante evidenciar el aumento en el porcentaje de rendimiento que presentan las oficinas con el soporte al ordinario.</w:t>
      </w:r>
    </w:p>
    <w:p w14:paraId="6FAAAD49" w14:textId="77777777" w:rsidR="0023630D" w:rsidRDefault="0023630D" w:rsidP="0023630D">
      <w:pPr>
        <w:spacing w:line="276" w:lineRule="auto"/>
        <w:jc w:val="both"/>
        <w:rPr>
          <w:rFonts w:ascii="Book Antiqua" w:hAnsi="Book Antiqua"/>
          <w:b/>
          <w:color w:val="000000" w:themeColor="text1"/>
        </w:rPr>
      </w:pPr>
    </w:p>
    <w:p w14:paraId="35780FAB" w14:textId="6B0497E2" w:rsidR="00F75E3A" w:rsidRPr="0023630D" w:rsidRDefault="00F75E3A" w:rsidP="00F75E3A">
      <w:pPr>
        <w:spacing w:line="276" w:lineRule="auto"/>
        <w:jc w:val="center"/>
        <w:rPr>
          <w:rFonts w:ascii="Book Antiqua" w:hAnsi="Book Antiqua"/>
          <w:b/>
          <w:color w:val="000000" w:themeColor="text1"/>
        </w:rPr>
      </w:pPr>
      <w:r w:rsidRPr="0023630D">
        <w:rPr>
          <w:rFonts w:ascii="Book Antiqua" w:hAnsi="Book Antiqua"/>
          <w:b/>
          <w:color w:val="000000" w:themeColor="text1"/>
        </w:rPr>
        <w:t xml:space="preserve">Cuadro </w:t>
      </w:r>
      <w:r w:rsidR="0023630D" w:rsidRPr="0023630D">
        <w:rPr>
          <w:rFonts w:ascii="Book Antiqua" w:hAnsi="Book Antiqua"/>
          <w:b/>
          <w:color w:val="000000" w:themeColor="text1"/>
        </w:rPr>
        <w:t>8</w:t>
      </w:r>
      <w:r w:rsidR="00F353FF">
        <w:rPr>
          <w:rFonts w:ascii="Book Antiqua" w:hAnsi="Book Antiqua"/>
          <w:b/>
          <w:color w:val="000000" w:themeColor="text1"/>
        </w:rPr>
        <w:t>2</w:t>
      </w:r>
    </w:p>
    <w:p w14:paraId="59FDE2C5" w14:textId="77777777" w:rsidR="00F75E3A" w:rsidRPr="0023630D" w:rsidRDefault="00F75E3A" w:rsidP="00F75E3A">
      <w:pPr>
        <w:spacing w:line="276" w:lineRule="auto"/>
        <w:jc w:val="center"/>
        <w:rPr>
          <w:rFonts w:ascii="Book Antiqua" w:hAnsi="Book Antiqua"/>
          <w:bCs/>
          <w:color w:val="000000" w:themeColor="text1"/>
        </w:rPr>
      </w:pPr>
      <w:r w:rsidRPr="0023630D">
        <w:rPr>
          <w:rFonts w:ascii="Book Antiqua" w:hAnsi="Book Antiqua"/>
          <w:bCs/>
          <w:color w:val="000000" w:themeColor="text1"/>
        </w:rPr>
        <w:t xml:space="preserve">Cumplimiento del parámetro de producción teórico </w:t>
      </w:r>
    </w:p>
    <w:p w14:paraId="7BF17CA0" w14:textId="449939B2" w:rsidR="00F75E3A" w:rsidRDefault="00F75E3A" w:rsidP="00F75E3A">
      <w:pPr>
        <w:spacing w:line="276" w:lineRule="auto"/>
        <w:jc w:val="center"/>
        <w:rPr>
          <w:rFonts w:ascii="Book Antiqua" w:hAnsi="Book Antiqua"/>
          <w:bCs/>
          <w:color w:val="000000" w:themeColor="text1"/>
        </w:rPr>
      </w:pPr>
      <w:r w:rsidRPr="0023630D">
        <w:rPr>
          <w:rFonts w:ascii="Book Antiqua" w:hAnsi="Book Antiqua"/>
          <w:bCs/>
          <w:color w:val="000000" w:themeColor="text1"/>
        </w:rPr>
        <w:t xml:space="preserve">de Tribunales y Secciones de Flagrancia durante </w:t>
      </w:r>
      <w:r w:rsidR="003C52D1" w:rsidRPr="0023630D">
        <w:rPr>
          <w:rFonts w:ascii="Book Antiqua" w:hAnsi="Book Antiqua"/>
          <w:bCs/>
          <w:color w:val="000000" w:themeColor="text1"/>
        </w:rPr>
        <w:t xml:space="preserve">setiembre </w:t>
      </w:r>
      <w:r w:rsidRPr="0023630D">
        <w:rPr>
          <w:rFonts w:ascii="Book Antiqua" w:hAnsi="Book Antiqua"/>
          <w:bCs/>
          <w:color w:val="000000" w:themeColor="text1"/>
        </w:rPr>
        <w:t>2021</w:t>
      </w:r>
    </w:p>
    <w:tbl>
      <w:tblPr>
        <w:tblW w:w="8505" w:type="dxa"/>
        <w:jc w:val="center"/>
        <w:tblCellMar>
          <w:left w:w="70" w:type="dxa"/>
          <w:right w:w="70" w:type="dxa"/>
        </w:tblCellMar>
        <w:tblLook w:val="04A0" w:firstRow="1" w:lastRow="0" w:firstColumn="1" w:lastColumn="0" w:noHBand="0" w:noVBand="1"/>
      </w:tblPr>
      <w:tblGrid>
        <w:gridCol w:w="3679"/>
        <w:gridCol w:w="2133"/>
        <w:gridCol w:w="2693"/>
      </w:tblGrid>
      <w:tr w:rsidR="003C52D1" w:rsidRPr="0023630D" w14:paraId="6983533D" w14:textId="77777777" w:rsidTr="0023630D">
        <w:trPr>
          <w:trHeight w:val="780"/>
          <w:jc w:val="center"/>
        </w:trPr>
        <w:tc>
          <w:tcPr>
            <w:tcW w:w="3679" w:type="dxa"/>
            <w:tcBorders>
              <w:top w:val="single" w:sz="4" w:space="0" w:color="808080"/>
              <w:left w:val="single" w:sz="4" w:space="0" w:color="808080"/>
              <w:bottom w:val="single" w:sz="4" w:space="0" w:color="808080"/>
              <w:right w:val="single" w:sz="4" w:space="0" w:color="808080"/>
            </w:tcBorders>
            <w:shd w:val="clear" w:color="000000" w:fill="305496"/>
            <w:noWrap/>
            <w:vAlign w:val="center"/>
            <w:hideMark/>
          </w:tcPr>
          <w:p w14:paraId="77B8A81A" w14:textId="77777777" w:rsidR="003C52D1" w:rsidRPr="0023630D" w:rsidRDefault="003C52D1" w:rsidP="003C52D1">
            <w:pPr>
              <w:jc w:val="center"/>
              <w:rPr>
                <w:rFonts w:ascii="Book Antiqua" w:hAnsi="Book Antiqua" w:cs="Calibri"/>
                <w:b/>
                <w:bCs/>
                <w:color w:val="FFFFFF"/>
                <w:sz w:val="16"/>
                <w:szCs w:val="16"/>
                <w:lang w:eastAsia="es-CR"/>
              </w:rPr>
            </w:pPr>
            <w:r w:rsidRPr="0023630D">
              <w:rPr>
                <w:rFonts w:ascii="Book Antiqua" w:hAnsi="Book Antiqua" w:cs="Calibri"/>
                <w:b/>
                <w:bCs/>
                <w:color w:val="FFFFFF"/>
                <w:sz w:val="16"/>
                <w:szCs w:val="16"/>
                <w:lang w:eastAsia="es-CR"/>
              </w:rPr>
              <w:t>Oficina</w:t>
            </w:r>
          </w:p>
        </w:tc>
        <w:tc>
          <w:tcPr>
            <w:tcW w:w="2133" w:type="dxa"/>
            <w:tcBorders>
              <w:top w:val="single" w:sz="4" w:space="0" w:color="808080"/>
              <w:left w:val="nil"/>
              <w:bottom w:val="single" w:sz="4" w:space="0" w:color="808080"/>
              <w:right w:val="single" w:sz="4" w:space="0" w:color="808080"/>
            </w:tcBorders>
            <w:shd w:val="clear" w:color="000000" w:fill="305496"/>
            <w:vAlign w:val="center"/>
            <w:hideMark/>
          </w:tcPr>
          <w:p w14:paraId="0215EF9A" w14:textId="77777777" w:rsidR="003C52D1" w:rsidRPr="0023630D" w:rsidRDefault="003C52D1" w:rsidP="003C52D1">
            <w:pPr>
              <w:jc w:val="center"/>
              <w:rPr>
                <w:rFonts w:ascii="Book Antiqua" w:hAnsi="Book Antiqua" w:cs="Calibri"/>
                <w:b/>
                <w:bCs/>
                <w:color w:val="FFFFFF"/>
                <w:sz w:val="16"/>
                <w:szCs w:val="16"/>
                <w:lang w:eastAsia="es-CR"/>
              </w:rPr>
            </w:pPr>
            <w:r w:rsidRPr="0023630D">
              <w:rPr>
                <w:rFonts w:ascii="Book Antiqua" w:hAnsi="Book Antiqua" w:cs="Calibri"/>
                <w:b/>
                <w:bCs/>
                <w:color w:val="FFFFFF"/>
                <w:sz w:val="16"/>
                <w:szCs w:val="16"/>
                <w:lang w:eastAsia="es-CR"/>
              </w:rPr>
              <w:t>% de cumplimiento de cuota</w:t>
            </w:r>
          </w:p>
        </w:tc>
        <w:tc>
          <w:tcPr>
            <w:tcW w:w="2693" w:type="dxa"/>
            <w:tcBorders>
              <w:top w:val="single" w:sz="4" w:space="0" w:color="808080"/>
              <w:left w:val="nil"/>
              <w:bottom w:val="single" w:sz="4" w:space="0" w:color="808080"/>
              <w:right w:val="single" w:sz="4" w:space="0" w:color="808080"/>
            </w:tcBorders>
            <w:shd w:val="clear" w:color="000000" w:fill="305496"/>
            <w:vAlign w:val="center"/>
            <w:hideMark/>
          </w:tcPr>
          <w:p w14:paraId="1E9587B1" w14:textId="77777777" w:rsidR="003C52D1" w:rsidRPr="0023630D" w:rsidRDefault="003C52D1" w:rsidP="003C52D1">
            <w:pPr>
              <w:jc w:val="center"/>
              <w:rPr>
                <w:rFonts w:ascii="Book Antiqua" w:hAnsi="Book Antiqua" w:cs="Calibri"/>
                <w:b/>
                <w:bCs/>
                <w:color w:val="FFFFFF"/>
                <w:sz w:val="16"/>
                <w:szCs w:val="16"/>
                <w:lang w:eastAsia="es-CR"/>
              </w:rPr>
            </w:pPr>
            <w:r w:rsidRPr="0023630D">
              <w:rPr>
                <w:rFonts w:ascii="Book Antiqua" w:hAnsi="Book Antiqua" w:cs="Calibri"/>
                <w:b/>
                <w:bCs/>
                <w:color w:val="FFFFFF"/>
                <w:sz w:val="16"/>
                <w:szCs w:val="16"/>
                <w:lang w:eastAsia="es-CR"/>
              </w:rPr>
              <w:t>% de cumplimiento considerando colaboración al ordinario</w:t>
            </w:r>
          </w:p>
        </w:tc>
      </w:tr>
      <w:tr w:rsidR="003C52D1" w:rsidRPr="0023630D" w14:paraId="2D54F293" w14:textId="77777777" w:rsidTr="0023630D">
        <w:trPr>
          <w:trHeight w:val="290"/>
          <w:jc w:val="center"/>
        </w:trPr>
        <w:tc>
          <w:tcPr>
            <w:tcW w:w="3679" w:type="dxa"/>
            <w:tcBorders>
              <w:top w:val="nil"/>
              <w:left w:val="single" w:sz="4" w:space="0" w:color="808080"/>
              <w:bottom w:val="single" w:sz="4" w:space="0" w:color="808080"/>
              <w:right w:val="single" w:sz="4" w:space="0" w:color="808080"/>
            </w:tcBorders>
            <w:shd w:val="clear" w:color="auto" w:fill="auto"/>
            <w:noWrap/>
            <w:vAlign w:val="center"/>
            <w:hideMark/>
          </w:tcPr>
          <w:p w14:paraId="6E1D3601" w14:textId="77777777" w:rsidR="003C52D1" w:rsidRPr="0023630D" w:rsidRDefault="003C52D1" w:rsidP="003C52D1">
            <w:pPr>
              <w:rPr>
                <w:rFonts w:ascii="Book Antiqua" w:hAnsi="Book Antiqua" w:cs="Calibri"/>
                <w:color w:val="000000"/>
                <w:sz w:val="16"/>
                <w:szCs w:val="16"/>
                <w:lang w:eastAsia="es-CR"/>
              </w:rPr>
            </w:pPr>
            <w:r w:rsidRPr="0023630D">
              <w:rPr>
                <w:rFonts w:ascii="Book Antiqua" w:hAnsi="Book Antiqua" w:cs="Calibri"/>
                <w:color w:val="000000"/>
                <w:sz w:val="16"/>
                <w:szCs w:val="16"/>
                <w:lang w:eastAsia="es-CR"/>
              </w:rPr>
              <w:t>Tribunal de Flagrancia de San Carlos</w:t>
            </w:r>
          </w:p>
        </w:tc>
        <w:tc>
          <w:tcPr>
            <w:tcW w:w="2133" w:type="dxa"/>
            <w:tcBorders>
              <w:top w:val="nil"/>
              <w:left w:val="nil"/>
              <w:bottom w:val="single" w:sz="4" w:space="0" w:color="808080"/>
              <w:right w:val="single" w:sz="4" w:space="0" w:color="808080"/>
            </w:tcBorders>
            <w:shd w:val="clear" w:color="auto" w:fill="auto"/>
            <w:noWrap/>
            <w:vAlign w:val="center"/>
            <w:hideMark/>
          </w:tcPr>
          <w:p w14:paraId="71ADC550" w14:textId="77777777" w:rsidR="003C52D1" w:rsidRPr="0023630D" w:rsidRDefault="003C52D1" w:rsidP="003C52D1">
            <w:pPr>
              <w:jc w:val="center"/>
              <w:rPr>
                <w:rFonts w:ascii="Book Antiqua" w:hAnsi="Book Antiqua" w:cs="Calibri"/>
                <w:color w:val="000000"/>
                <w:sz w:val="16"/>
                <w:szCs w:val="16"/>
                <w:lang w:eastAsia="es-CR"/>
              </w:rPr>
            </w:pPr>
            <w:r w:rsidRPr="0023630D">
              <w:rPr>
                <w:rFonts w:ascii="Book Antiqua" w:hAnsi="Book Antiqua" w:cs="Calibri"/>
                <w:color w:val="000000"/>
                <w:sz w:val="16"/>
                <w:szCs w:val="16"/>
                <w:lang w:eastAsia="es-CR"/>
              </w:rPr>
              <w:t>130%</w:t>
            </w:r>
          </w:p>
        </w:tc>
        <w:tc>
          <w:tcPr>
            <w:tcW w:w="2693" w:type="dxa"/>
            <w:tcBorders>
              <w:top w:val="nil"/>
              <w:left w:val="nil"/>
              <w:bottom w:val="single" w:sz="4" w:space="0" w:color="808080"/>
              <w:right w:val="single" w:sz="4" w:space="0" w:color="808080"/>
            </w:tcBorders>
            <w:shd w:val="clear" w:color="auto" w:fill="auto"/>
            <w:noWrap/>
            <w:vAlign w:val="center"/>
            <w:hideMark/>
          </w:tcPr>
          <w:p w14:paraId="32777F21" w14:textId="77777777" w:rsidR="003C52D1" w:rsidRPr="0023630D" w:rsidRDefault="003C52D1" w:rsidP="003C52D1">
            <w:pPr>
              <w:jc w:val="center"/>
              <w:rPr>
                <w:rFonts w:ascii="Book Antiqua" w:hAnsi="Book Antiqua" w:cs="Calibri"/>
                <w:color w:val="000000"/>
                <w:sz w:val="16"/>
                <w:szCs w:val="16"/>
                <w:lang w:eastAsia="es-CR"/>
              </w:rPr>
            </w:pPr>
            <w:r w:rsidRPr="0023630D">
              <w:rPr>
                <w:rFonts w:ascii="Book Antiqua" w:hAnsi="Book Antiqua" w:cs="Calibri"/>
                <w:color w:val="000000"/>
                <w:sz w:val="16"/>
                <w:szCs w:val="16"/>
                <w:lang w:eastAsia="es-CR"/>
              </w:rPr>
              <w:t>130%</w:t>
            </w:r>
          </w:p>
        </w:tc>
      </w:tr>
      <w:tr w:rsidR="003C52D1" w:rsidRPr="0023630D" w14:paraId="3EACA660" w14:textId="77777777" w:rsidTr="0023630D">
        <w:trPr>
          <w:trHeight w:val="290"/>
          <w:jc w:val="center"/>
        </w:trPr>
        <w:tc>
          <w:tcPr>
            <w:tcW w:w="3679" w:type="dxa"/>
            <w:tcBorders>
              <w:top w:val="nil"/>
              <w:left w:val="single" w:sz="4" w:space="0" w:color="808080"/>
              <w:bottom w:val="single" w:sz="4" w:space="0" w:color="808080"/>
              <w:right w:val="single" w:sz="4" w:space="0" w:color="808080"/>
            </w:tcBorders>
            <w:shd w:val="clear" w:color="auto" w:fill="auto"/>
            <w:noWrap/>
            <w:vAlign w:val="center"/>
            <w:hideMark/>
          </w:tcPr>
          <w:p w14:paraId="2EEAC639" w14:textId="77777777" w:rsidR="003C52D1" w:rsidRPr="0023630D" w:rsidRDefault="003C52D1" w:rsidP="003C52D1">
            <w:pPr>
              <w:rPr>
                <w:rFonts w:ascii="Book Antiqua" w:hAnsi="Book Antiqua" w:cs="Calibri"/>
                <w:color w:val="000000"/>
                <w:sz w:val="16"/>
                <w:szCs w:val="16"/>
                <w:lang w:eastAsia="es-CR"/>
              </w:rPr>
            </w:pPr>
            <w:r w:rsidRPr="0023630D">
              <w:rPr>
                <w:rFonts w:ascii="Book Antiqua" w:hAnsi="Book Antiqua" w:cs="Calibri"/>
                <w:color w:val="000000"/>
                <w:sz w:val="16"/>
                <w:szCs w:val="16"/>
                <w:lang w:eastAsia="es-CR"/>
              </w:rPr>
              <w:t>Tribunal de Flagrancia de Alajuela</w:t>
            </w:r>
          </w:p>
        </w:tc>
        <w:tc>
          <w:tcPr>
            <w:tcW w:w="2133" w:type="dxa"/>
            <w:tcBorders>
              <w:top w:val="nil"/>
              <w:left w:val="nil"/>
              <w:bottom w:val="single" w:sz="4" w:space="0" w:color="808080"/>
              <w:right w:val="single" w:sz="4" w:space="0" w:color="808080"/>
            </w:tcBorders>
            <w:shd w:val="clear" w:color="auto" w:fill="auto"/>
            <w:noWrap/>
            <w:vAlign w:val="center"/>
            <w:hideMark/>
          </w:tcPr>
          <w:p w14:paraId="7FC343DB" w14:textId="77777777" w:rsidR="003C52D1" w:rsidRPr="0023630D" w:rsidRDefault="003C52D1" w:rsidP="003C52D1">
            <w:pPr>
              <w:jc w:val="center"/>
              <w:rPr>
                <w:rFonts w:ascii="Book Antiqua" w:hAnsi="Book Antiqua" w:cs="Calibri"/>
                <w:color w:val="000000"/>
                <w:sz w:val="16"/>
                <w:szCs w:val="16"/>
                <w:lang w:eastAsia="es-CR"/>
              </w:rPr>
            </w:pPr>
            <w:r w:rsidRPr="0023630D">
              <w:rPr>
                <w:rFonts w:ascii="Book Antiqua" w:hAnsi="Book Antiqua" w:cs="Calibri"/>
                <w:color w:val="000000"/>
                <w:sz w:val="16"/>
                <w:szCs w:val="16"/>
                <w:lang w:eastAsia="es-CR"/>
              </w:rPr>
              <w:t>120%</w:t>
            </w:r>
          </w:p>
        </w:tc>
        <w:tc>
          <w:tcPr>
            <w:tcW w:w="2693" w:type="dxa"/>
            <w:tcBorders>
              <w:top w:val="nil"/>
              <w:left w:val="nil"/>
              <w:bottom w:val="single" w:sz="4" w:space="0" w:color="808080"/>
              <w:right w:val="single" w:sz="4" w:space="0" w:color="808080"/>
            </w:tcBorders>
            <w:shd w:val="clear" w:color="auto" w:fill="auto"/>
            <w:noWrap/>
            <w:vAlign w:val="center"/>
            <w:hideMark/>
          </w:tcPr>
          <w:p w14:paraId="010F2FE2" w14:textId="77777777" w:rsidR="003C52D1" w:rsidRPr="0023630D" w:rsidRDefault="003C52D1" w:rsidP="003C52D1">
            <w:pPr>
              <w:jc w:val="center"/>
              <w:rPr>
                <w:rFonts w:ascii="Book Antiqua" w:hAnsi="Book Antiqua" w:cs="Calibri"/>
                <w:color w:val="000000"/>
                <w:sz w:val="16"/>
                <w:szCs w:val="16"/>
                <w:lang w:eastAsia="es-CR"/>
              </w:rPr>
            </w:pPr>
            <w:r w:rsidRPr="0023630D">
              <w:rPr>
                <w:rFonts w:ascii="Book Antiqua" w:hAnsi="Book Antiqua" w:cs="Calibri"/>
                <w:color w:val="000000"/>
                <w:sz w:val="16"/>
                <w:szCs w:val="16"/>
                <w:lang w:eastAsia="es-CR"/>
              </w:rPr>
              <w:t>124%</w:t>
            </w:r>
          </w:p>
        </w:tc>
      </w:tr>
      <w:tr w:rsidR="003C52D1" w:rsidRPr="0023630D" w14:paraId="0527BD27" w14:textId="77777777" w:rsidTr="0023630D">
        <w:trPr>
          <w:trHeight w:val="290"/>
          <w:jc w:val="center"/>
        </w:trPr>
        <w:tc>
          <w:tcPr>
            <w:tcW w:w="3679" w:type="dxa"/>
            <w:tcBorders>
              <w:top w:val="nil"/>
              <w:left w:val="single" w:sz="4" w:space="0" w:color="808080"/>
              <w:bottom w:val="single" w:sz="4" w:space="0" w:color="808080"/>
              <w:right w:val="single" w:sz="4" w:space="0" w:color="808080"/>
            </w:tcBorders>
            <w:shd w:val="clear" w:color="auto" w:fill="auto"/>
            <w:noWrap/>
            <w:vAlign w:val="center"/>
            <w:hideMark/>
          </w:tcPr>
          <w:p w14:paraId="00779057" w14:textId="77777777" w:rsidR="003C52D1" w:rsidRPr="0023630D" w:rsidRDefault="003C52D1" w:rsidP="003C52D1">
            <w:pPr>
              <w:rPr>
                <w:rFonts w:ascii="Book Antiqua" w:hAnsi="Book Antiqua" w:cs="Calibri"/>
                <w:color w:val="000000"/>
                <w:sz w:val="16"/>
                <w:szCs w:val="16"/>
                <w:lang w:eastAsia="es-CR"/>
              </w:rPr>
            </w:pPr>
            <w:r w:rsidRPr="0023630D">
              <w:rPr>
                <w:rFonts w:ascii="Book Antiqua" w:hAnsi="Book Antiqua" w:cs="Calibri"/>
                <w:color w:val="000000"/>
                <w:sz w:val="16"/>
                <w:szCs w:val="16"/>
                <w:lang w:eastAsia="es-CR"/>
              </w:rPr>
              <w:t>Tribunal de Flagrancia de Liberia</w:t>
            </w:r>
          </w:p>
        </w:tc>
        <w:tc>
          <w:tcPr>
            <w:tcW w:w="2133" w:type="dxa"/>
            <w:tcBorders>
              <w:top w:val="nil"/>
              <w:left w:val="nil"/>
              <w:bottom w:val="single" w:sz="4" w:space="0" w:color="808080"/>
              <w:right w:val="single" w:sz="4" w:space="0" w:color="808080"/>
            </w:tcBorders>
            <w:shd w:val="clear" w:color="auto" w:fill="auto"/>
            <w:noWrap/>
            <w:vAlign w:val="center"/>
            <w:hideMark/>
          </w:tcPr>
          <w:p w14:paraId="05E901EC" w14:textId="77777777" w:rsidR="003C52D1" w:rsidRPr="0023630D" w:rsidRDefault="003C52D1" w:rsidP="003C52D1">
            <w:pPr>
              <w:jc w:val="center"/>
              <w:rPr>
                <w:rFonts w:ascii="Book Antiqua" w:hAnsi="Book Antiqua" w:cs="Calibri"/>
                <w:color w:val="000000"/>
                <w:sz w:val="16"/>
                <w:szCs w:val="16"/>
                <w:lang w:eastAsia="es-CR"/>
              </w:rPr>
            </w:pPr>
            <w:r w:rsidRPr="0023630D">
              <w:rPr>
                <w:rFonts w:ascii="Book Antiqua" w:hAnsi="Book Antiqua" w:cs="Calibri"/>
                <w:color w:val="000000"/>
                <w:sz w:val="16"/>
                <w:szCs w:val="16"/>
                <w:lang w:eastAsia="es-CR"/>
              </w:rPr>
              <w:t>107%</w:t>
            </w:r>
          </w:p>
        </w:tc>
        <w:tc>
          <w:tcPr>
            <w:tcW w:w="2693" w:type="dxa"/>
            <w:tcBorders>
              <w:top w:val="nil"/>
              <w:left w:val="nil"/>
              <w:bottom w:val="single" w:sz="4" w:space="0" w:color="808080"/>
              <w:right w:val="single" w:sz="4" w:space="0" w:color="808080"/>
            </w:tcBorders>
            <w:shd w:val="clear" w:color="auto" w:fill="auto"/>
            <w:noWrap/>
            <w:vAlign w:val="center"/>
            <w:hideMark/>
          </w:tcPr>
          <w:p w14:paraId="56FB6392" w14:textId="77777777" w:rsidR="003C52D1" w:rsidRPr="0023630D" w:rsidRDefault="003C52D1" w:rsidP="003C52D1">
            <w:pPr>
              <w:jc w:val="center"/>
              <w:rPr>
                <w:rFonts w:ascii="Book Antiqua" w:hAnsi="Book Antiqua" w:cs="Calibri"/>
                <w:color w:val="000000"/>
                <w:sz w:val="16"/>
                <w:szCs w:val="16"/>
                <w:lang w:eastAsia="es-CR"/>
              </w:rPr>
            </w:pPr>
            <w:r w:rsidRPr="0023630D">
              <w:rPr>
                <w:rFonts w:ascii="Book Antiqua" w:hAnsi="Book Antiqua" w:cs="Calibri"/>
                <w:color w:val="000000"/>
                <w:sz w:val="16"/>
                <w:szCs w:val="16"/>
                <w:lang w:eastAsia="es-CR"/>
              </w:rPr>
              <w:t>109%</w:t>
            </w:r>
          </w:p>
        </w:tc>
      </w:tr>
      <w:tr w:rsidR="003C52D1" w:rsidRPr="0023630D" w14:paraId="511A7706" w14:textId="77777777" w:rsidTr="0023630D">
        <w:trPr>
          <w:trHeight w:val="290"/>
          <w:jc w:val="center"/>
        </w:trPr>
        <w:tc>
          <w:tcPr>
            <w:tcW w:w="3679" w:type="dxa"/>
            <w:tcBorders>
              <w:top w:val="nil"/>
              <w:left w:val="single" w:sz="4" w:space="0" w:color="808080"/>
              <w:bottom w:val="single" w:sz="4" w:space="0" w:color="808080"/>
              <w:right w:val="single" w:sz="4" w:space="0" w:color="808080"/>
            </w:tcBorders>
            <w:shd w:val="clear" w:color="auto" w:fill="auto"/>
            <w:noWrap/>
            <w:vAlign w:val="center"/>
            <w:hideMark/>
          </w:tcPr>
          <w:p w14:paraId="609044FA" w14:textId="38FB96F5" w:rsidR="003C52D1" w:rsidRPr="0023630D" w:rsidRDefault="003C52D1" w:rsidP="003C52D1">
            <w:pPr>
              <w:rPr>
                <w:rFonts w:ascii="Book Antiqua" w:hAnsi="Book Antiqua" w:cs="Calibri"/>
                <w:color w:val="000000"/>
                <w:sz w:val="16"/>
                <w:szCs w:val="16"/>
                <w:lang w:eastAsia="es-CR"/>
              </w:rPr>
            </w:pPr>
            <w:r w:rsidRPr="0023630D">
              <w:rPr>
                <w:rFonts w:ascii="Book Antiqua" w:hAnsi="Book Antiqua" w:cs="Calibri"/>
                <w:color w:val="000000"/>
                <w:sz w:val="16"/>
                <w:szCs w:val="16"/>
                <w:lang w:eastAsia="es-CR"/>
              </w:rPr>
              <w:t xml:space="preserve">Tribunal de Flagrancia de Heredia </w:t>
            </w:r>
          </w:p>
        </w:tc>
        <w:tc>
          <w:tcPr>
            <w:tcW w:w="2133" w:type="dxa"/>
            <w:tcBorders>
              <w:top w:val="nil"/>
              <w:left w:val="nil"/>
              <w:bottom w:val="single" w:sz="4" w:space="0" w:color="808080"/>
              <w:right w:val="single" w:sz="4" w:space="0" w:color="808080"/>
            </w:tcBorders>
            <w:shd w:val="clear" w:color="auto" w:fill="auto"/>
            <w:noWrap/>
            <w:vAlign w:val="center"/>
            <w:hideMark/>
          </w:tcPr>
          <w:p w14:paraId="19B3136C" w14:textId="77777777" w:rsidR="003C52D1" w:rsidRPr="0023630D" w:rsidRDefault="003C52D1" w:rsidP="003C52D1">
            <w:pPr>
              <w:jc w:val="center"/>
              <w:rPr>
                <w:rFonts w:ascii="Book Antiqua" w:hAnsi="Book Antiqua" w:cs="Calibri"/>
                <w:color w:val="000000"/>
                <w:sz w:val="16"/>
                <w:szCs w:val="16"/>
                <w:lang w:eastAsia="es-CR"/>
              </w:rPr>
            </w:pPr>
            <w:r w:rsidRPr="0023630D">
              <w:rPr>
                <w:rFonts w:ascii="Book Antiqua" w:hAnsi="Book Antiqua" w:cs="Calibri"/>
                <w:color w:val="000000"/>
                <w:sz w:val="16"/>
                <w:szCs w:val="16"/>
                <w:lang w:eastAsia="es-CR"/>
              </w:rPr>
              <w:t>103%</w:t>
            </w:r>
          </w:p>
        </w:tc>
        <w:tc>
          <w:tcPr>
            <w:tcW w:w="2693" w:type="dxa"/>
            <w:tcBorders>
              <w:top w:val="nil"/>
              <w:left w:val="nil"/>
              <w:bottom w:val="single" w:sz="4" w:space="0" w:color="808080"/>
              <w:right w:val="single" w:sz="4" w:space="0" w:color="808080"/>
            </w:tcBorders>
            <w:shd w:val="clear" w:color="auto" w:fill="auto"/>
            <w:noWrap/>
            <w:vAlign w:val="center"/>
            <w:hideMark/>
          </w:tcPr>
          <w:p w14:paraId="05FCDF98" w14:textId="77777777" w:rsidR="003C52D1" w:rsidRPr="0023630D" w:rsidRDefault="003C52D1" w:rsidP="003C52D1">
            <w:pPr>
              <w:jc w:val="center"/>
              <w:rPr>
                <w:rFonts w:ascii="Book Antiqua" w:hAnsi="Book Antiqua" w:cs="Calibri"/>
                <w:color w:val="000000"/>
                <w:sz w:val="16"/>
                <w:szCs w:val="16"/>
                <w:lang w:eastAsia="es-CR"/>
              </w:rPr>
            </w:pPr>
            <w:r w:rsidRPr="0023630D">
              <w:rPr>
                <w:rFonts w:ascii="Book Antiqua" w:hAnsi="Book Antiqua" w:cs="Calibri"/>
                <w:color w:val="000000"/>
                <w:sz w:val="16"/>
                <w:szCs w:val="16"/>
                <w:lang w:eastAsia="es-CR"/>
              </w:rPr>
              <w:t>103%</w:t>
            </w:r>
          </w:p>
        </w:tc>
      </w:tr>
      <w:tr w:rsidR="003C52D1" w:rsidRPr="0023630D" w14:paraId="70DCAB40" w14:textId="77777777" w:rsidTr="0023630D">
        <w:trPr>
          <w:trHeight w:val="290"/>
          <w:jc w:val="center"/>
        </w:trPr>
        <w:tc>
          <w:tcPr>
            <w:tcW w:w="3679" w:type="dxa"/>
            <w:tcBorders>
              <w:top w:val="nil"/>
              <w:left w:val="single" w:sz="4" w:space="0" w:color="808080"/>
              <w:bottom w:val="single" w:sz="4" w:space="0" w:color="808080"/>
              <w:right w:val="single" w:sz="4" w:space="0" w:color="808080"/>
            </w:tcBorders>
            <w:shd w:val="clear" w:color="auto" w:fill="auto"/>
            <w:noWrap/>
            <w:vAlign w:val="center"/>
            <w:hideMark/>
          </w:tcPr>
          <w:p w14:paraId="7F5512D8" w14:textId="77777777" w:rsidR="003C52D1" w:rsidRPr="0023630D" w:rsidRDefault="003C52D1" w:rsidP="003C52D1">
            <w:pPr>
              <w:rPr>
                <w:rFonts w:ascii="Book Antiqua" w:hAnsi="Book Antiqua" w:cs="Calibri"/>
                <w:color w:val="000000"/>
                <w:sz w:val="16"/>
                <w:szCs w:val="16"/>
                <w:lang w:eastAsia="es-CR"/>
              </w:rPr>
            </w:pPr>
            <w:r w:rsidRPr="0023630D">
              <w:rPr>
                <w:rFonts w:ascii="Book Antiqua" w:hAnsi="Book Antiqua" w:cs="Calibri"/>
                <w:color w:val="000000"/>
                <w:sz w:val="16"/>
                <w:szCs w:val="16"/>
                <w:lang w:eastAsia="es-CR"/>
              </w:rPr>
              <w:t>Tribunal de Flagrancia de San Ramón</w:t>
            </w:r>
          </w:p>
        </w:tc>
        <w:tc>
          <w:tcPr>
            <w:tcW w:w="2133" w:type="dxa"/>
            <w:tcBorders>
              <w:top w:val="nil"/>
              <w:left w:val="nil"/>
              <w:bottom w:val="single" w:sz="4" w:space="0" w:color="808080"/>
              <w:right w:val="single" w:sz="4" w:space="0" w:color="808080"/>
            </w:tcBorders>
            <w:shd w:val="clear" w:color="auto" w:fill="auto"/>
            <w:noWrap/>
            <w:vAlign w:val="center"/>
            <w:hideMark/>
          </w:tcPr>
          <w:p w14:paraId="7DC0D75C" w14:textId="77777777" w:rsidR="003C52D1" w:rsidRPr="0023630D" w:rsidRDefault="003C52D1" w:rsidP="003C52D1">
            <w:pPr>
              <w:jc w:val="center"/>
              <w:rPr>
                <w:rFonts w:ascii="Book Antiqua" w:hAnsi="Book Antiqua" w:cs="Calibri"/>
                <w:color w:val="000000"/>
                <w:sz w:val="16"/>
                <w:szCs w:val="16"/>
                <w:lang w:eastAsia="es-CR"/>
              </w:rPr>
            </w:pPr>
            <w:r w:rsidRPr="0023630D">
              <w:rPr>
                <w:rFonts w:ascii="Book Antiqua" w:hAnsi="Book Antiqua" w:cs="Calibri"/>
                <w:color w:val="000000"/>
                <w:sz w:val="16"/>
                <w:szCs w:val="16"/>
                <w:lang w:eastAsia="es-CR"/>
              </w:rPr>
              <w:t>90%</w:t>
            </w:r>
          </w:p>
        </w:tc>
        <w:tc>
          <w:tcPr>
            <w:tcW w:w="2693" w:type="dxa"/>
            <w:tcBorders>
              <w:top w:val="nil"/>
              <w:left w:val="nil"/>
              <w:bottom w:val="single" w:sz="4" w:space="0" w:color="808080"/>
              <w:right w:val="single" w:sz="4" w:space="0" w:color="808080"/>
            </w:tcBorders>
            <w:shd w:val="clear" w:color="auto" w:fill="auto"/>
            <w:noWrap/>
            <w:vAlign w:val="center"/>
            <w:hideMark/>
          </w:tcPr>
          <w:p w14:paraId="6A12DE07" w14:textId="77777777" w:rsidR="003C52D1" w:rsidRPr="0023630D" w:rsidRDefault="003C52D1" w:rsidP="003C52D1">
            <w:pPr>
              <w:jc w:val="center"/>
              <w:rPr>
                <w:rFonts w:ascii="Book Antiqua" w:hAnsi="Book Antiqua" w:cs="Calibri"/>
                <w:color w:val="000000"/>
                <w:sz w:val="16"/>
                <w:szCs w:val="16"/>
                <w:lang w:eastAsia="es-CR"/>
              </w:rPr>
            </w:pPr>
            <w:r w:rsidRPr="0023630D">
              <w:rPr>
                <w:rFonts w:ascii="Book Antiqua" w:hAnsi="Book Antiqua" w:cs="Calibri"/>
                <w:color w:val="000000"/>
                <w:sz w:val="16"/>
                <w:szCs w:val="16"/>
                <w:lang w:eastAsia="es-CR"/>
              </w:rPr>
              <w:t>90%</w:t>
            </w:r>
          </w:p>
        </w:tc>
      </w:tr>
      <w:tr w:rsidR="003C52D1" w:rsidRPr="0023630D" w14:paraId="7585C883" w14:textId="77777777" w:rsidTr="0023630D">
        <w:trPr>
          <w:trHeight w:val="290"/>
          <w:jc w:val="center"/>
        </w:trPr>
        <w:tc>
          <w:tcPr>
            <w:tcW w:w="3679" w:type="dxa"/>
            <w:tcBorders>
              <w:top w:val="nil"/>
              <w:left w:val="single" w:sz="4" w:space="0" w:color="808080"/>
              <w:bottom w:val="single" w:sz="4" w:space="0" w:color="808080"/>
              <w:right w:val="single" w:sz="4" w:space="0" w:color="808080"/>
            </w:tcBorders>
            <w:shd w:val="clear" w:color="auto" w:fill="auto"/>
            <w:noWrap/>
            <w:vAlign w:val="center"/>
            <w:hideMark/>
          </w:tcPr>
          <w:p w14:paraId="5CA2A7FD" w14:textId="77777777" w:rsidR="003C52D1" w:rsidRPr="0023630D" w:rsidRDefault="003C52D1" w:rsidP="003C52D1">
            <w:pPr>
              <w:rPr>
                <w:rFonts w:ascii="Book Antiqua" w:hAnsi="Book Antiqua" w:cs="Calibri"/>
                <w:color w:val="000000"/>
                <w:sz w:val="16"/>
                <w:szCs w:val="16"/>
                <w:lang w:eastAsia="es-CR"/>
              </w:rPr>
            </w:pPr>
            <w:r w:rsidRPr="0023630D">
              <w:rPr>
                <w:rFonts w:ascii="Book Antiqua" w:hAnsi="Book Antiqua" w:cs="Calibri"/>
                <w:color w:val="000000"/>
                <w:sz w:val="16"/>
                <w:szCs w:val="16"/>
                <w:lang w:eastAsia="es-CR"/>
              </w:rPr>
              <w:t>Tribunal de Flagrancia de Santa Cruz</w:t>
            </w:r>
          </w:p>
        </w:tc>
        <w:tc>
          <w:tcPr>
            <w:tcW w:w="2133" w:type="dxa"/>
            <w:tcBorders>
              <w:top w:val="nil"/>
              <w:left w:val="nil"/>
              <w:bottom w:val="single" w:sz="4" w:space="0" w:color="808080"/>
              <w:right w:val="single" w:sz="4" w:space="0" w:color="808080"/>
            </w:tcBorders>
            <w:shd w:val="clear" w:color="auto" w:fill="auto"/>
            <w:noWrap/>
            <w:vAlign w:val="center"/>
            <w:hideMark/>
          </w:tcPr>
          <w:p w14:paraId="67138AEC" w14:textId="77777777" w:rsidR="003C52D1" w:rsidRPr="0023630D" w:rsidRDefault="003C52D1" w:rsidP="003C52D1">
            <w:pPr>
              <w:jc w:val="center"/>
              <w:rPr>
                <w:rFonts w:ascii="Book Antiqua" w:hAnsi="Book Antiqua" w:cs="Calibri"/>
                <w:color w:val="000000"/>
                <w:sz w:val="16"/>
                <w:szCs w:val="16"/>
                <w:lang w:eastAsia="es-CR"/>
              </w:rPr>
            </w:pPr>
            <w:r w:rsidRPr="0023630D">
              <w:rPr>
                <w:rFonts w:ascii="Book Antiqua" w:hAnsi="Book Antiqua" w:cs="Calibri"/>
                <w:color w:val="000000"/>
                <w:sz w:val="16"/>
                <w:szCs w:val="16"/>
                <w:lang w:eastAsia="es-CR"/>
              </w:rPr>
              <w:t>89%</w:t>
            </w:r>
          </w:p>
        </w:tc>
        <w:tc>
          <w:tcPr>
            <w:tcW w:w="2693" w:type="dxa"/>
            <w:tcBorders>
              <w:top w:val="nil"/>
              <w:left w:val="nil"/>
              <w:bottom w:val="single" w:sz="4" w:space="0" w:color="808080"/>
              <w:right w:val="single" w:sz="4" w:space="0" w:color="808080"/>
            </w:tcBorders>
            <w:shd w:val="clear" w:color="auto" w:fill="auto"/>
            <w:noWrap/>
            <w:vAlign w:val="center"/>
            <w:hideMark/>
          </w:tcPr>
          <w:p w14:paraId="73C55CCB" w14:textId="77777777" w:rsidR="003C52D1" w:rsidRPr="0023630D" w:rsidRDefault="003C52D1" w:rsidP="003C52D1">
            <w:pPr>
              <w:jc w:val="center"/>
              <w:rPr>
                <w:rFonts w:ascii="Book Antiqua" w:hAnsi="Book Antiqua" w:cs="Calibri"/>
                <w:color w:val="000000"/>
                <w:sz w:val="16"/>
                <w:szCs w:val="16"/>
                <w:lang w:eastAsia="es-CR"/>
              </w:rPr>
            </w:pPr>
            <w:r w:rsidRPr="0023630D">
              <w:rPr>
                <w:rFonts w:ascii="Book Antiqua" w:hAnsi="Book Antiqua" w:cs="Calibri"/>
                <w:color w:val="000000"/>
                <w:sz w:val="16"/>
                <w:szCs w:val="16"/>
                <w:lang w:eastAsia="es-CR"/>
              </w:rPr>
              <w:t>89%</w:t>
            </w:r>
          </w:p>
        </w:tc>
      </w:tr>
      <w:tr w:rsidR="003C52D1" w:rsidRPr="0023630D" w14:paraId="4881CD2A" w14:textId="77777777" w:rsidTr="0023630D">
        <w:trPr>
          <w:trHeight w:val="290"/>
          <w:jc w:val="center"/>
        </w:trPr>
        <w:tc>
          <w:tcPr>
            <w:tcW w:w="3679" w:type="dxa"/>
            <w:tcBorders>
              <w:top w:val="nil"/>
              <w:left w:val="single" w:sz="4" w:space="0" w:color="808080"/>
              <w:bottom w:val="single" w:sz="4" w:space="0" w:color="808080"/>
              <w:right w:val="single" w:sz="4" w:space="0" w:color="808080"/>
            </w:tcBorders>
            <w:shd w:val="clear" w:color="auto" w:fill="auto"/>
            <w:noWrap/>
            <w:vAlign w:val="center"/>
            <w:hideMark/>
          </w:tcPr>
          <w:p w14:paraId="286A31AB" w14:textId="77777777" w:rsidR="003C52D1" w:rsidRPr="0023630D" w:rsidRDefault="003C52D1" w:rsidP="003C52D1">
            <w:pPr>
              <w:rPr>
                <w:rFonts w:ascii="Book Antiqua" w:hAnsi="Book Antiqua" w:cs="Calibri"/>
                <w:color w:val="000000"/>
                <w:sz w:val="16"/>
                <w:szCs w:val="16"/>
                <w:lang w:eastAsia="es-CR"/>
              </w:rPr>
            </w:pPr>
            <w:r w:rsidRPr="0023630D">
              <w:rPr>
                <w:rFonts w:ascii="Book Antiqua" w:hAnsi="Book Antiqua" w:cs="Calibri"/>
                <w:color w:val="000000"/>
                <w:sz w:val="16"/>
                <w:szCs w:val="16"/>
                <w:lang w:eastAsia="es-CR"/>
              </w:rPr>
              <w:t>Tribunal de Flagrancia de Puntarenas</w:t>
            </w:r>
          </w:p>
        </w:tc>
        <w:tc>
          <w:tcPr>
            <w:tcW w:w="2133" w:type="dxa"/>
            <w:tcBorders>
              <w:top w:val="nil"/>
              <w:left w:val="nil"/>
              <w:bottom w:val="single" w:sz="4" w:space="0" w:color="808080"/>
              <w:right w:val="single" w:sz="4" w:space="0" w:color="808080"/>
            </w:tcBorders>
            <w:shd w:val="clear" w:color="auto" w:fill="auto"/>
            <w:noWrap/>
            <w:vAlign w:val="center"/>
            <w:hideMark/>
          </w:tcPr>
          <w:p w14:paraId="0D002C24" w14:textId="77777777" w:rsidR="003C52D1" w:rsidRPr="0023630D" w:rsidRDefault="003C52D1" w:rsidP="003C52D1">
            <w:pPr>
              <w:jc w:val="center"/>
              <w:rPr>
                <w:rFonts w:ascii="Book Antiqua" w:hAnsi="Book Antiqua" w:cs="Calibri"/>
                <w:color w:val="000000"/>
                <w:sz w:val="16"/>
                <w:szCs w:val="16"/>
                <w:lang w:eastAsia="es-CR"/>
              </w:rPr>
            </w:pPr>
            <w:r w:rsidRPr="0023630D">
              <w:rPr>
                <w:rFonts w:ascii="Book Antiqua" w:hAnsi="Book Antiqua" w:cs="Calibri"/>
                <w:color w:val="000000"/>
                <w:sz w:val="16"/>
                <w:szCs w:val="16"/>
                <w:lang w:eastAsia="es-CR"/>
              </w:rPr>
              <w:t>57%</w:t>
            </w:r>
          </w:p>
        </w:tc>
        <w:tc>
          <w:tcPr>
            <w:tcW w:w="2693" w:type="dxa"/>
            <w:tcBorders>
              <w:top w:val="nil"/>
              <w:left w:val="nil"/>
              <w:bottom w:val="single" w:sz="4" w:space="0" w:color="808080"/>
              <w:right w:val="single" w:sz="4" w:space="0" w:color="808080"/>
            </w:tcBorders>
            <w:shd w:val="clear" w:color="auto" w:fill="auto"/>
            <w:noWrap/>
            <w:vAlign w:val="center"/>
            <w:hideMark/>
          </w:tcPr>
          <w:p w14:paraId="5AAA0B56" w14:textId="77777777" w:rsidR="003C52D1" w:rsidRPr="0023630D" w:rsidRDefault="003C52D1" w:rsidP="003C52D1">
            <w:pPr>
              <w:jc w:val="center"/>
              <w:rPr>
                <w:rFonts w:ascii="Book Antiqua" w:hAnsi="Book Antiqua" w:cs="Calibri"/>
                <w:color w:val="000000"/>
                <w:sz w:val="16"/>
                <w:szCs w:val="16"/>
                <w:lang w:eastAsia="es-CR"/>
              </w:rPr>
            </w:pPr>
            <w:r w:rsidRPr="0023630D">
              <w:rPr>
                <w:rFonts w:ascii="Book Antiqua" w:hAnsi="Book Antiqua" w:cs="Calibri"/>
                <w:color w:val="000000"/>
                <w:sz w:val="16"/>
                <w:szCs w:val="16"/>
                <w:lang w:eastAsia="es-CR"/>
              </w:rPr>
              <w:t>71%</w:t>
            </w:r>
          </w:p>
        </w:tc>
      </w:tr>
      <w:tr w:rsidR="003C52D1" w:rsidRPr="0023630D" w14:paraId="714B1EF8" w14:textId="77777777" w:rsidTr="0023630D">
        <w:trPr>
          <w:trHeight w:val="290"/>
          <w:jc w:val="center"/>
        </w:trPr>
        <w:tc>
          <w:tcPr>
            <w:tcW w:w="3679" w:type="dxa"/>
            <w:tcBorders>
              <w:top w:val="nil"/>
              <w:left w:val="single" w:sz="4" w:space="0" w:color="808080"/>
              <w:bottom w:val="single" w:sz="4" w:space="0" w:color="808080"/>
              <w:right w:val="single" w:sz="4" w:space="0" w:color="808080"/>
            </w:tcBorders>
            <w:shd w:val="clear" w:color="auto" w:fill="auto"/>
            <w:noWrap/>
            <w:vAlign w:val="center"/>
            <w:hideMark/>
          </w:tcPr>
          <w:p w14:paraId="36A8A5D1" w14:textId="77777777" w:rsidR="003C52D1" w:rsidRPr="0023630D" w:rsidRDefault="003C52D1" w:rsidP="003C52D1">
            <w:pPr>
              <w:rPr>
                <w:rFonts w:ascii="Book Antiqua" w:hAnsi="Book Antiqua" w:cs="Calibri"/>
                <w:color w:val="000000"/>
                <w:sz w:val="16"/>
                <w:szCs w:val="16"/>
                <w:lang w:eastAsia="es-CR"/>
              </w:rPr>
            </w:pPr>
            <w:r w:rsidRPr="0023630D">
              <w:rPr>
                <w:rFonts w:ascii="Book Antiqua" w:hAnsi="Book Antiqua" w:cs="Calibri"/>
                <w:color w:val="000000"/>
                <w:sz w:val="16"/>
                <w:szCs w:val="16"/>
                <w:lang w:eastAsia="es-CR"/>
              </w:rPr>
              <w:t>Tribunal de Flagrancia de San José</w:t>
            </w:r>
          </w:p>
        </w:tc>
        <w:tc>
          <w:tcPr>
            <w:tcW w:w="2133" w:type="dxa"/>
            <w:tcBorders>
              <w:top w:val="nil"/>
              <w:left w:val="nil"/>
              <w:bottom w:val="single" w:sz="4" w:space="0" w:color="808080"/>
              <w:right w:val="single" w:sz="4" w:space="0" w:color="808080"/>
            </w:tcBorders>
            <w:shd w:val="clear" w:color="auto" w:fill="auto"/>
            <w:noWrap/>
            <w:vAlign w:val="center"/>
            <w:hideMark/>
          </w:tcPr>
          <w:p w14:paraId="7EEE096E" w14:textId="77777777" w:rsidR="003C52D1" w:rsidRPr="0023630D" w:rsidRDefault="003C52D1" w:rsidP="003C52D1">
            <w:pPr>
              <w:jc w:val="center"/>
              <w:rPr>
                <w:rFonts w:ascii="Book Antiqua" w:hAnsi="Book Antiqua" w:cs="Calibri"/>
                <w:color w:val="000000"/>
                <w:sz w:val="16"/>
                <w:szCs w:val="16"/>
                <w:lang w:eastAsia="es-CR"/>
              </w:rPr>
            </w:pPr>
            <w:r w:rsidRPr="0023630D">
              <w:rPr>
                <w:rFonts w:ascii="Book Antiqua" w:hAnsi="Book Antiqua" w:cs="Calibri"/>
                <w:color w:val="000000"/>
                <w:sz w:val="16"/>
                <w:szCs w:val="16"/>
                <w:lang w:eastAsia="es-CR"/>
              </w:rPr>
              <w:t>70%</w:t>
            </w:r>
          </w:p>
        </w:tc>
        <w:tc>
          <w:tcPr>
            <w:tcW w:w="2693" w:type="dxa"/>
            <w:tcBorders>
              <w:top w:val="nil"/>
              <w:left w:val="nil"/>
              <w:bottom w:val="single" w:sz="4" w:space="0" w:color="808080"/>
              <w:right w:val="single" w:sz="4" w:space="0" w:color="808080"/>
            </w:tcBorders>
            <w:shd w:val="clear" w:color="auto" w:fill="auto"/>
            <w:noWrap/>
            <w:vAlign w:val="center"/>
            <w:hideMark/>
          </w:tcPr>
          <w:p w14:paraId="0CECBE3F" w14:textId="77777777" w:rsidR="003C52D1" w:rsidRPr="0023630D" w:rsidRDefault="003C52D1" w:rsidP="003C52D1">
            <w:pPr>
              <w:jc w:val="center"/>
              <w:rPr>
                <w:rFonts w:ascii="Book Antiqua" w:hAnsi="Book Antiqua" w:cs="Calibri"/>
                <w:color w:val="000000"/>
                <w:sz w:val="16"/>
                <w:szCs w:val="16"/>
                <w:lang w:eastAsia="es-CR"/>
              </w:rPr>
            </w:pPr>
            <w:r w:rsidRPr="0023630D">
              <w:rPr>
                <w:rFonts w:ascii="Book Antiqua" w:hAnsi="Book Antiqua" w:cs="Calibri"/>
                <w:color w:val="000000"/>
                <w:sz w:val="16"/>
                <w:szCs w:val="16"/>
                <w:lang w:eastAsia="es-CR"/>
              </w:rPr>
              <w:t>70%</w:t>
            </w:r>
          </w:p>
        </w:tc>
      </w:tr>
      <w:tr w:rsidR="003C52D1" w:rsidRPr="0023630D" w14:paraId="7BEA4350" w14:textId="77777777" w:rsidTr="0023630D">
        <w:trPr>
          <w:trHeight w:val="290"/>
          <w:jc w:val="center"/>
        </w:trPr>
        <w:tc>
          <w:tcPr>
            <w:tcW w:w="3679" w:type="dxa"/>
            <w:tcBorders>
              <w:top w:val="nil"/>
              <w:left w:val="single" w:sz="4" w:space="0" w:color="808080"/>
              <w:bottom w:val="single" w:sz="4" w:space="0" w:color="808080"/>
              <w:right w:val="single" w:sz="4" w:space="0" w:color="808080"/>
            </w:tcBorders>
            <w:shd w:val="clear" w:color="auto" w:fill="auto"/>
            <w:noWrap/>
            <w:vAlign w:val="center"/>
            <w:hideMark/>
          </w:tcPr>
          <w:p w14:paraId="69F0171D" w14:textId="77777777" w:rsidR="003C52D1" w:rsidRPr="0023630D" w:rsidRDefault="003C52D1" w:rsidP="003C52D1">
            <w:pPr>
              <w:rPr>
                <w:rFonts w:ascii="Book Antiqua" w:hAnsi="Book Antiqua" w:cs="Calibri"/>
                <w:color w:val="000000"/>
                <w:sz w:val="16"/>
                <w:szCs w:val="16"/>
                <w:lang w:eastAsia="es-CR"/>
              </w:rPr>
            </w:pPr>
            <w:r w:rsidRPr="0023630D">
              <w:rPr>
                <w:rFonts w:ascii="Book Antiqua" w:hAnsi="Book Antiqua" w:cs="Calibri"/>
                <w:color w:val="000000"/>
                <w:sz w:val="16"/>
                <w:szCs w:val="16"/>
                <w:lang w:eastAsia="es-CR"/>
              </w:rPr>
              <w:t>Tribunal de Flagrancia de Cartago</w:t>
            </w:r>
          </w:p>
        </w:tc>
        <w:tc>
          <w:tcPr>
            <w:tcW w:w="2133" w:type="dxa"/>
            <w:tcBorders>
              <w:top w:val="nil"/>
              <w:left w:val="nil"/>
              <w:bottom w:val="single" w:sz="4" w:space="0" w:color="808080"/>
              <w:right w:val="single" w:sz="4" w:space="0" w:color="808080"/>
            </w:tcBorders>
            <w:shd w:val="clear" w:color="auto" w:fill="auto"/>
            <w:noWrap/>
            <w:vAlign w:val="center"/>
            <w:hideMark/>
          </w:tcPr>
          <w:p w14:paraId="3AB399AA" w14:textId="77777777" w:rsidR="003C52D1" w:rsidRPr="0023630D" w:rsidRDefault="003C52D1" w:rsidP="003C52D1">
            <w:pPr>
              <w:jc w:val="center"/>
              <w:rPr>
                <w:rFonts w:ascii="Book Antiqua" w:hAnsi="Book Antiqua" w:cs="Calibri"/>
                <w:color w:val="000000"/>
                <w:sz w:val="16"/>
                <w:szCs w:val="16"/>
                <w:lang w:eastAsia="es-CR"/>
              </w:rPr>
            </w:pPr>
            <w:r w:rsidRPr="0023630D">
              <w:rPr>
                <w:rFonts w:ascii="Book Antiqua" w:hAnsi="Book Antiqua" w:cs="Calibri"/>
                <w:color w:val="000000"/>
                <w:sz w:val="16"/>
                <w:szCs w:val="16"/>
                <w:lang w:eastAsia="es-CR"/>
              </w:rPr>
              <w:t>63%</w:t>
            </w:r>
          </w:p>
        </w:tc>
        <w:tc>
          <w:tcPr>
            <w:tcW w:w="2693" w:type="dxa"/>
            <w:tcBorders>
              <w:top w:val="nil"/>
              <w:left w:val="nil"/>
              <w:bottom w:val="single" w:sz="4" w:space="0" w:color="808080"/>
              <w:right w:val="single" w:sz="4" w:space="0" w:color="808080"/>
            </w:tcBorders>
            <w:shd w:val="clear" w:color="auto" w:fill="auto"/>
            <w:noWrap/>
            <w:vAlign w:val="center"/>
            <w:hideMark/>
          </w:tcPr>
          <w:p w14:paraId="171AD857" w14:textId="77777777" w:rsidR="003C52D1" w:rsidRPr="0023630D" w:rsidRDefault="003C52D1" w:rsidP="003C52D1">
            <w:pPr>
              <w:jc w:val="center"/>
              <w:rPr>
                <w:rFonts w:ascii="Book Antiqua" w:hAnsi="Book Antiqua" w:cs="Calibri"/>
                <w:color w:val="000000"/>
                <w:sz w:val="16"/>
                <w:szCs w:val="16"/>
                <w:lang w:eastAsia="es-CR"/>
              </w:rPr>
            </w:pPr>
            <w:r w:rsidRPr="0023630D">
              <w:rPr>
                <w:rFonts w:ascii="Book Antiqua" w:hAnsi="Book Antiqua" w:cs="Calibri"/>
                <w:color w:val="000000"/>
                <w:sz w:val="16"/>
                <w:szCs w:val="16"/>
                <w:lang w:eastAsia="es-CR"/>
              </w:rPr>
              <w:t>67%</w:t>
            </w:r>
          </w:p>
        </w:tc>
      </w:tr>
      <w:tr w:rsidR="003C52D1" w:rsidRPr="0023630D" w14:paraId="1664EFF4" w14:textId="77777777" w:rsidTr="0023630D">
        <w:trPr>
          <w:trHeight w:val="290"/>
          <w:jc w:val="center"/>
        </w:trPr>
        <w:tc>
          <w:tcPr>
            <w:tcW w:w="3679" w:type="dxa"/>
            <w:tcBorders>
              <w:top w:val="nil"/>
              <w:left w:val="single" w:sz="4" w:space="0" w:color="808080"/>
              <w:bottom w:val="single" w:sz="4" w:space="0" w:color="808080"/>
              <w:right w:val="single" w:sz="4" w:space="0" w:color="808080"/>
            </w:tcBorders>
            <w:shd w:val="clear" w:color="auto" w:fill="auto"/>
            <w:noWrap/>
            <w:vAlign w:val="center"/>
            <w:hideMark/>
          </w:tcPr>
          <w:p w14:paraId="65255FBA" w14:textId="77777777" w:rsidR="003C52D1" w:rsidRPr="0023630D" w:rsidRDefault="003C52D1" w:rsidP="003C52D1">
            <w:pPr>
              <w:rPr>
                <w:rFonts w:ascii="Book Antiqua" w:hAnsi="Book Antiqua" w:cs="Calibri"/>
                <w:color w:val="000000"/>
                <w:sz w:val="16"/>
                <w:szCs w:val="16"/>
                <w:lang w:eastAsia="es-CR"/>
              </w:rPr>
            </w:pPr>
            <w:r w:rsidRPr="0023630D">
              <w:rPr>
                <w:rFonts w:ascii="Book Antiqua" w:hAnsi="Book Antiqua" w:cs="Calibri"/>
                <w:color w:val="000000"/>
                <w:sz w:val="16"/>
                <w:szCs w:val="16"/>
                <w:lang w:eastAsia="es-CR"/>
              </w:rPr>
              <w:t>Tribunal de Flagrancia de Pococí</w:t>
            </w:r>
          </w:p>
        </w:tc>
        <w:tc>
          <w:tcPr>
            <w:tcW w:w="2133" w:type="dxa"/>
            <w:tcBorders>
              <w:top w:val="nil"/>
              <w:left w:val="nil"/>
              <w:bottom w:val="single" w:sz="4" w:space="0" w:color="808080"/>
              <w:right w:val="single" w:sz="4" w:space="0" w:color="808080"/>
            </w:tcBorders>
            <w:shd w:val="clear" w:color="auto" w:fill="auto"/>
            <w:noWrap/>
            <w:vAlign w:val="center"/>
            <w:hideMark/>
          </w:tcPr>
          <w:p w14:paraId="65D65296" w14:textId="77777777" w:rsidR="003C52D1" w:rsidRPr="0023630D" w:rsidRDefault="003C52D1" w:rsidP="003C52D1">
            <w:pPr>
              <w:jc w:val="center"/>
              <w:rPr>
                <w:rFonts w:ascii="Book Antiqua" w:hAnsi="Book Antiqua" w:cs="Calibri"/>
                <w:color w:val="000000"/>
                <w:sz w:val="16"/>
                <w:szCs w:val="16"/>
                <w:lang w:eastAsia="es-CR"/>
              </w:rPr>
            </w:pPr>
            <w:r w:rsidRPr="0023630D">
              <w:rPr>
                <w:rFonts w:ascii="Book Antiqua" w:hAnsi="Book Antiqua" w:cs="Calibri"/>
                <w:color w:val="000000"/>
                <w:sz w:val="16"/>
                <w:szCs w:val="16"/>
                <w:lang w:eastAsia="es-CR"/>
              </w:rPr>
              <w:t>54%</w:t>
            </w:r>
          </w:p>
        </w:tc>
        <w:tc>
          <w:tcPr>
            <w:tcW w:w="2693" w:type="dxa"/>
            <w:tcBorders>
              <w:top w:val="nil"/>
              <w:left w:val="nil"/>
              <w:bottom w:val="single" w:sz="4" w:space="0" w:color="808080"/>
              <w:right w:val="single" w:sz="4" w:space="0" w:color="808080"/>
            </w:tcBorders>
            <w:shd w:val="clear" w:color="auto" w:fill="auto"/>
            <w:noWrap/>
            <w:vAlign w:val="center"/>
            <w:hideMark/>
          </w:tcPr>
          <w:p w14:paraId="6A2B3389" w14:textId="77777777" w:rsidR="003C52D1" w:rsidRPr="0023630D" w:rsidRDefault="003C52D1" w:rsidP="003C52D1">
            <w:pPr>
              <w:jc w:val="center"/>
              <w:rPr>
                <w:rFonts w:ascii="Book Antiqua" w:hAnsi="Book Antiqua" w:cs="Calibri"/>
                <w:color w:val="000000"/>
                <w:sz w:val="16"/>
                <w:szCs w:val="16"/>
                <w:lang w:eastAsia="es-CR"/>
              </w:rPr>
            </w:pPr>
            <w:r w:rsidRPr="0023630D">
              <w:rPr>
                <w:rFonts w:ascii="Book Antiqua" w:hAnsi="Book Antiqua" w:cs="Calibri"/>
                <w:color w:val="000000"/>
                <w:sz w:val="16"/>
                <w:szCs w:val="16"/>
                <w:lang w:eastAsia="es-CR"/>
              </w:rPr>
              <w:t>66%</w:t>
            </w:r>
          </w:p>
        </w:tc>
      </w:tr>
      <w:tr w:rsidR="003C52D1" w:rsidRPr="0023630D" w14:paraId="0D5F6C39" w14:textId="77777777" w:rsidTr="0023630D">
        <w:trPr>
          <w:trHeight w:val="290"/>
          <w:jc w:val="center"/>
        </w:trPr>
        <w:tc>
          <w:tcPr>
            <w:tcW w:w="3679" w:type="dxa"/>
            <w:tcBorders>
              <w:top w:val="nil"/>
              <w:left w:val="single" w:sz="4" w:space="0" w:color="808080"/>
              <w:bottom w:val="single" w:sz="4" w:space="0" w:color="808080"/>
              <w:right w:val="single" w:sz="4" w:space="0" w:color="808080"/>
            </w:tcBorders>
            <w:shd w:val="clear" w:color="auto" w:fill="auto"/>
            <w:noWrap/>
            <w:vAlign w:val="center"/>
            <w:hideMark/>
          </w:tcPr>
          <w:p w14:paraId="39562DAC" w14:textId="77777777" w:rsidR="003C52D1" w:rsidRPr="0023630D" w:rsidRDefault="003C52D1" w:rsidP="003C52D1">
            <w:pPr>
              <w:rPr>
                <w:rFonts w:ascii="Book Antiqua" w:hAnsi="Book Antiqua" w:cs="Calibri"/>
                <w:color w:val="000000"/>
                <w:sz w:val="16"/>
                <w:szCs w:val="16"/>
                <w:lang w:eastAsia="es-CR"/>
              </w:rPr>
            </w:pPr>
            <w:r w:rsidRPr="0023630D">
              <w:rPr>
                <w:rFonts w:ascii="Book Antiqua" w:hAnsi="Book Antiqua" w:cs="Calibri"/>
                <w:color w:val="000000"/>
                <w:sz w:val="16"/>
                <w:szCs w:val="16"/>
                <w:lang w:eastAsia="es-CR"/>
              </w:rPr>
              <w:t>Tribunal de Flagrancia de Pérez Zeledón</w:t>
            </w:r>
          </w:p>
        </w:tc>
        <w:tc>
          <w:tcPr>
            <w:tcW w:w="2133" w:type="dxa"/>
            <w:tcBorders>
              <w:top w:val="nil"/>
              <w:left w:val="nil"/>
              <w:bottom w:val="single" w:sz="4" w:space="0" w:color="808080"/>
              <w:right w:val="single" w:sz="4" w:space="0" w:color="808080"/>
            </w:tcBorders>
            <w:shd w:val="clear" w:color="auto" w:fill="auto"/>
            <w:noWrap/>
            <w:vAlign w:val="center"/>
            <w:hideMark/>
          </w:tcPr>
          <w:p w14:paraId="3A22E4A5" w14:textId="77777777" w:rsidR="003C52D1" w:rsidRPr="0023630D" w:rsidRDefault="003C52D1" w:rsidP="003C52D1">
            <w:pPr>
              <w:jc w:val="center"/>
              <w:rPr>
                <w:rFonts w:ascii="Book Antiqua" w:hAnsi="Book Antiqua" w:cs="Calibri"/>
                <w:color w:val="000000"/>
                <w:sz w:val="16"/>
                <w:szCs w:val="16"/>
                <w:lang w:eastAsia="es-CR"/>
              </w:rPr>
            </w:pPr>
            <w:r w:rsidRPr="0023630D">
              <w:rPr>
                <w:rFonts w:ascii="Book Antiqua" w:hAnsi="Book Antiqua" w:cs="Calibri"/>
                <w:color w:val="000000"/>
                <w:sz w:val="16"/>
                <w:szCs w:val="16"/>
                <w:lang w:eastAsia="es-CR"/>
              </w:rPr>
              <w:t>58%</w:t>
            </w:r>
          </w:p>
        </w:tc>
        <w:tc>
          <w:tcPr>
            <w:tcW w:w="2693" w:type="dxa"/>
            <w:tcBorders>
              <w:top w:val="nil"/>
              <w:left w:val="nil"/>
              <w:bottom w:val="single" w:sz="4" w:space="0" w:color="808080"/>
              <w:right w:val="single" w:sz="4" w:space="0" w:color="808080"/>
            </w:tcBorders>
            <w:shd w:val="clear" w:color="auto" w:fill="auto"/>
            <w:noWrap/>
            <w:vAlign w:val="center"/>
            <w:hideMark/>
          </w:tcPr>
          <w:p w14:paraId="67AA5A84" w14:textId="77777777" w:rsidR="003C52D1" w:rsidRPr="0023630D" w:rsidRDefault="003C52D1" w:rsidP="003C52D1">
            <w:pPr>
              <w:jc w:val="center"/>
              <w:rPr>
                <w:rFonts w:ascii="Book Antiqua" w:hAnsi="Book Antiqua" w:cs="Calibri"/>
                <w:color w:val="000000"/>
                <w:sz w:val="16"/>
                <w:szCs w:val="16"/>
                <w:lang w:eastAsia="es-CR"/>
              </w:rPr>
            </w:pPr>
            <w:r w:rsidRPr="0023630D">
              <w:rPr>
                <w:rFonts w:ascii="Book Antiqua" w:hAnsi="Book Antiqua" w:cs="Calibri"/>
                <w:color w:val="000000"/>
                <w:sz w:val="16"/>
                <w:szCs w:val="16"/>
                <w:lang w:eastAsia="es-CR"/>
              </w:rPr>
              <w:t>64%</w:t>
            </w:r>
          </w:p>
        </w:tc>
      </w:tr>
      <w:tr w:rsidR="003C52D1" w:rsidRPr="0023630D" w14:paraId="3D90A6B9" w14:textId="77777777" w:rsidTr="0023630D">
        <w:trPr>
          <w:trHeight w:val="290"/>
          <w:jc w:val="center"/>
        </w:trPr>
        <w:tc>
          <w:tcPr>
            <w:tcW w:w="3679" w:type="dxa"/>
            <w:tcBorders>
              <w:top w:val="nil"/>
              <w:left w:val="single" w:sz="4" w:space="0" w:color="808080"/>
              <w:bottom w:val="single" w:sz="4" w:space="0" w:color="808080"/>
              <w:right w:val="single" w:sz="4" w:space="0" w:color="808080"/>
            </w:tcBorders>
            <w:shd w:val="clear" w:color="auto" w:fill="auto"/>
            <w:noWrap/>
            <w:vAlign w:val="center"/>
            <w:hideMark/>
          </w:tcPr>
          <w:p w14:paraId="20C77A43" w14:textId="77777777" w:rsidR="003C52D1" w:rsidRPr="0023630D" w:rsidRDefault="003C52D1" w:rsidP="003C52D1">
            <w:pPr>
              <w:rPr>
                <w:rFonts w:ascii="Book Antiqua" w:hAnsi="Book Antiqua" w:cs="Calibri"/>
                <w:color w:val="000000"/>
                <w:sz w:val="16"/>
                <w:szCs w:val="16"/>
                <w:lang w:eastAsia="es-CR"/>
              </w:rPr>
            </w:pPr>
            <w:r w:rsidRPr="0023630D">
              <w:rPr>
                <w:rFonts w:ascii="Book Antiqua" w:hAnsi="Book Antiqua" w:cs="Calibri"/>
                <w:color w:val="000000"/>
                <w:sz w:val="16"/>
                <w:szCs w:val="16"/>
                <w:lang w:eastAsia="es-CR"/>
              </w:rPr>
              <w:t>Tribunal de Flagrancia de Corredores</w:t>
            </w:r>
          </w:p>
        </w:tc>
        <w:tc>
          <w:tcPr>
            <w:tcW w:w="2133" w:type="dxa"/>
            <w:tcBorders>
              <w:top w:val="nil"/>
              <w:left w:val="nil"/>
              <w:bottom w:val="single" w:sz="4" w:space="0" w:color="808080"/>
              <w:right w:val="single" w:sz="4" w:space="0" w:color="808080"/>
            </w:tcBorders>
            <w:shd w:val="clear" w:color="auto" w:fill="auto"/>
            <w:noWrap/>
            <w:vAlign w:val="center"/>
            <w:hideMark/>
          </w:tcPr>
          <w:p w14:paraId="1FAA0E9E" w14:textId="77777777" w:rsidR="003C52D1" w:rsidRPr="0023630D" w:rsidRDefault="003C52D1" w:rsidP="003C52D1">
            <w:pPr>
              <w:jc w:val="center"/>
              <w:rPr>
                <w:rFonts w:ascii="Book Antiqua" w:hAnsi="Book Antiqua" w:cs="Calibri"/>
                <w:color w:val="000000"/>
                <w:sz w:val="16"/>
                <w:szCs w:val="16"/>
                <w:lang w:eastAsia="es-CR"/>
              </w:rPr>
            </w:pPr>
            <w:r w:rsidRPr="0023630D">
              <w:rPr>
                <w:rFonts w:ascii="Book Antiqua" w:hAnsi="Book Antiqua" w:cs="Calibri"/>
                <w:color w:val="000000"/>
                <w:sz w:val="16"/>
                <w:szCs w:val="16"/>
                <w:lang w:eastAsia="es-CR"/>
              </w:rPr>
              <w:t>56%</w:t>
            </w:r>
          </w:p>
        </w:tc>
        <w:tc>
          <w:tcPr>
            <w:tcW w:w="2693" w:type="dxa"/>
            <w:tcBorders>
              <w:top w:val="nil"/>
              <w:left w:val="nil"/>
              <w:bottom w:val="single" w:sz="4" w:space="0" w:color="808080"/>
              <w:right w:val="single" w:sz="4" w:space="0" w:color="808080"/>
            </w:tcBorders>
            <w:shd w:val="clear" w:color="auto" w:fill="auto"/>
            <w:noWrap/>
            <w:vAlign w:val="center"/>
            <w:hideMark/>
          </w:tcPr>
          <w:p w14:paraId="59FF98AA" w14:textId="77777777" w:rsidR="003C52D1" w:rsidRPr="0023630D" w:rsidRDefault="003C52D1" w:rsidP="003C52D1">
            <w:pPr>
              <w:jc w:val="center"/>
              <w:rPr>
                <w:rFonts w:ascii="Book Antiqua" w:hAnsi="Book Antiqua" w:cs="Calibri"/>
                <w:color w:val="000000"/>
                <w:sz w:val="16"/>
                <w:szCs w:val="16"/>
                <w:lang w:eastAsia="es-CR"/>
              </w:rPr>
            </w:pPr>
            <w:r w:rsidRPr="0023630D">
              <w:rPr>
                <w:rFonts w:ascii="Book Antiqua" w:hAnsi="Book Antiqua" w:cs="Calibri"/>
                <w:color w:val="000000"/>
                <w:sz w:val="16"/>
                <w:szCs w:val="16"/>
                <w:lang w:eastAsia="es-CR"/>
              </w:rPr>
              <w:t>59%</w:t>
            </w:r>
          </w:p>
        </w:tc>
      </w:tr>
      <w:tr w:rsidR="003C52D1" w:rsidRPr="0023630D" w14:paraId="02944122" w14:textId="77777777" w:rsidTr="0023630D">
        <w:trPr>
          <w:trHeight w:val="290"/>
          <w:jc w:val="center"/>
        </w:trPr>
        <w:tc>
          <w:tcPr>
            <w:tcW w:w="3679" w:type="dxa"/>
            <w:tcBorders>
              <w:top w:val="nil"/>
              <w:left w:val="single" w:sz="4" w:space="0" w:color="808080"/>
              <w:bottom w:val="single" w:sz="4" w:space="0" w:color="808080"/>
              <w:right w:val="single" w:sz="4" w:space="0" w:color="808080"/>
            </w:tcBorders>
            <w:shd w:val="clear" w:color="auto" w:fill="auto"/>
            <w:noWrap/>
            <w:vAlign w:val="center"/>
            <w:hideMark/>
          </w:tcPr>
          <w:p w14:paraId="7158CF6F" w14:textId="77777777" w:rsidR="003C52D1" w:rsidRPr="0023630D" w:rsidRDefault="003C52D1" w:rsidP="003C52D1">
            <w:pPr>
              <w:rPr>
                <w:rFonts w:ascii="Book Antiqua" w:hAnsi="Book Antiqua" w:cs="Calibri"/>
                <w:color w:val="000000"/>
                <w:sz w:val="16"/>
                <w:szCs w:val="16"/>
                <w:lang w:eastAsia="es-CR"/>
              </w:rPr>
            </w:pPr>
            <w:r w:rsidRPr="0023630D">
              <w:rPr>
                <w:rFonts w:ascii="Book Antiqua" w:hAnsi="Book Antiqua" w:cs="Calibri"/>
                <w:color w:val="000000"/>
                <w:sz w:val="16"/>
                <w:szCs w:val="16"/>
                <w:lang w:eastAsia="es-CR"/>
              </w:rPr>
              <w:t>Tribunal de Flagrancia de Limón</w:t>
            </w:r>
          </w:p>
        </w:tc>
        <w:tc>
          <w:tcPr>
            <w:tcW w:w="2133" w:type="dxa"/>
            <w:tcBorders>
              <w:top w:val="nil"/>
              <w:left w:val="nil"/>
              <w:bottom w:val="single" w:sz="4" w:space="0" w:color="808080"/>
              <w:right w:val="single" w:sz="4" w:space="0" w:color="808080"/>
            </w:tcBorders>
            <w:shd w:val="clear" w:color="auto" w:fill="auto"/>
            <w:noWrap/>
            <w:vAlign w:val="center"/>
            <w:hideMark/>
          </w:tcPr>
          <w:p w14:paraId="771AD96B" w14:textId="77777777" w:rsidR="003C52D1" w:rsidRPr="0023630D" w:rsidRDefault="003C52D1" w:rsidP="003C52D1">
            <w:pPr>
              <w:jc w:val="center"/>
              <w:rPr>
                <w:rFonts w:ascii="Book Antiqua" w:hAnsi="Book Antiqua" w:cs="Calibri"/>
                <w:color w:val="000000"/>
                <w:sz w:val="16"/>
                <w:szCs w:val="16"/>
                <w:lang w:eastAsia="es-CR"/>
              </w:rPr>
            </w:pPr>
            <w:r w:rsidRPr="0023630D">
              <w:rPr>
                <w:rFonts w:ascii="Book Antiqua" w:hAnsi="Book Antiqua" w:cs="Calibri"/>
                <w:color w:val="000000"/>
                <w:sz w:val="16"/>
                <w:szCs w:val="16"/>
                <w:lang w:eastAsia="es-CR"/>
              </w:rPr>
              <w:t>38%</w:t>
            </w:r>
          </w:p>
        </w:tc>
        <w:tc>
          <w:tcPr>
            <w:tcW w:w="2693" w:type="dxa"/>
            <w:tcBorders>
              <w:top w:val="nil"/>
              <w:left w:val="nil"/>
              <w:bottom w:val="single" w:sz="4" w:space="0" w:color="808080"/>
              <w:right w:val="single" w:sz="4" w:space="0" w:color="808080"/>
            </w:tcBorders>
            <w:shd w:val="clear" w:color="auto" w:fill="auto"/>
            <w:noWrap/>
            <w:vAlign w:val="center"/>
            <w:hideMark/>
          </w:tcPr>
          <w:p w14:paraId="5C13E710" w14:textId="77777777" w:rsidR="003C52D1" w:rsidRPr="0023630D" w:rsidRDefault="003C52D1" w:rsidP="003C52D1">
            <w:pPr>
              <w:jc w:val="center"/>
              <w:rPr>
                <w:rFonts w:ascii="Book Antiqua" w:hAnsi="Book Antiqua" w:cs="Calibri"/>
                <w:color w:val="000000"/>
                <w:sz w:val="16"/>
                <w:szCs w:val="16"/>
                <w:lang w:eastAsia="es-CR"/>
              </w:rPr>
            </w:pPr>
            <w:r w:rsidRPr="0023630D">
              <w:rPr>
                <w:rFonts w:ascii="Book Antiqua" w:hAnsi="Book Antiqua" w:cs="Calibri"/>
                <w:color w:val="000000"/>
                <w:sz w:val="16"/>
                <w:szCs w:val="16"/>
                <w:lang w:eastAsia="es-CR"/>
              </w:rPr>
              <w:t>52%</w:t>
            </w:r>
          </w:p>
        </w:tc>
      </w:tr>
      <w:tr w:rsidR="003C52D1" w:rsidRPr="0023630D" w14:paraId="70C2D10E" w14:textId="77777777" w:rsidTr="0023630D">
        <w:trPr>
          <w:trHeight w:val="290"/>
          <w:jc w:val="center"/>
        </w:trPr>
        <w:tc>
          <w:tcPr>
            <w:tcW w:w="3679" w:type="dxa"/>
            <w:tcBorders>
              <w:top w:val="nil"/>
              <w:left w:val="single" w:sz="4" w:space="0" w:color="808080"/>
              <w:bottom w:val="single" w:sz="4" w:space="0" w:color="808080"/>
              <w:right w:val="single" w:sz="4" w:space="0" w:color="808080"/>
            </w:tcBorders>
            <w:shd w:val="clear" w:color="auto" w:fill="auto"/>
            <w:noWrap/>
            <w:vAlign w:val="center"/>
            <w:hideMark/>
          </w:tcPr>
          <w:p w14:paraId="0C93738C" w14:textId="3DA15CF5" w:rsidR="003C52D1" w:rsidRPr="0023630D" w:rsidRDefault="003C52D1" w:rsidP="003C52D1">
            <w:pPr>
              <w:rPr>
                <w:rFonts w:ascii="Book Antiqua" w:hAnsi="Book Antiqua" w:cs="Calibri"/>
                <w:color w:val="000000"/>
                <w:sz w:val="16"/>
                <w:szCs w:val="16"/>
                <w:lang w:eastAsia="es-CR"/>
              </w:rPr>
            </w:pPr>
            <w:r w:rsidRPr="0023630D">
              <w:rPr>
                <w:rFonts w:ascii="Book Antiqua" w:hAnsi="Book Antiqua" w:cs="Calibri"/>
                <w:color w:val="000000"/>
                <w:sz w:val="16"/>
                <w:szCs w:val="16"/>
                <w:lang w:eastAsia="es-CR"/>
              </w:rPr>
              <w:t xml:space="preserve">Tribunal de Flagrancia de Goicochea </w:t>
            </w:r>
          </w:p>
        </w:tc>
        <w:tc>
          <w:tcPr>
            <w:tcW w:w="2133" w:type="dxa"/>
            <w:tcBorders>
              <w:top w:val="nil"/>
              <w:left w:val="nil"/>
              <w:bottom w:val="single" w:sz="4" w:space="0" w:color="808080"/>
              <w:right w:val="single" w:sz="4" w:space="0" w:color="808080"/>
            </w:tcBorders>
            <w:shd w:val="clear" w:color="auto" w:fill="auto"/>
            <w:noWrap/>
            <w:vAlign w:val="center"/>
            <w:hideMark/>
          </w:tcPr>
          <w:p w14:paraId="0FC46C33" w14:textId="77777777" w:rsidR="003C52D1" w:rsidRPr="0023630D" w:rsidRDefault="003C52D1" w:rsidP="003C52D1">
            <w:pPr>
              <w:jc w:val="center"/>
              <w:rPr>
                <w:rFonts w:ascii="Book Antiqua" w:hAnsi="Book Antiqua" w:cs="Calibri"/>
                <w:color w:val="000000"/>
                <w:sz w:val="16"/>
                <w:szCs w:val="16"/>
                <w:lang w:eastAsia="es-CR"/>
              </w:rPr>
            </w:pPr>
            <w:r w:rsidRPr="0023630D">
              <w:rPr>
                <w:rFonts w:ascii="Book Antiqua" w:hAnsi="Book Antiqua" w:cs="Calibri"/>
                <w:color w:val="000000"/>
                <w:sz w:val="16"/>
                <w:szCs w:val="16"/>
                <w:lang w:eastAsia="es-CR"/>
              </w:rPr>
              <w:t>44%</w:t>
            </w:r>
          </w:p>
        </w:tc>
        <w:tc>
          <w:tcPr>
            <w:tcW w:w="2693" w:type="dxa"/>
            <w:tcBorders>
              <w:top w:val="nil"/>
              <w:left w:val="nil"/>
              <w:bottom w:val="single" w:sz="4" w:space="0" w:color="808080"/>
              <w:right w:val="single" w:sz="4" w:space="0" w:color="808080"/>
            </w:tcBorders>
            <w:shd w:val="clear" w:color="auto" w:fill="auto"/>
            <w:noWrap/>
            <w:vAlign w:val="center"/>
            <w:hideMark/>
          </w:tcPr>
          <w:p w14:paraId="7D779CAF" w14:textId="77777777" w:rsidR="003C52D1" w:rsidRPr="0023630D" w:rsidRDefault="003C52D1" w:rsidP="003C52D1">
            <w:pPr>
              <w:jc w:val="center"/>
              <w:rPr>
                <w:rFonts w:ascii="Book Antiqua" w:hAnsi="Book Antiqua" w:cs="Calibri"/>
                <w:color w:val="000000"/>
                <w:sz w:val="16"/>
                <w:szCs w:val="16"/>
                <w:lang w:eastAsia="es-CR"/>
              </w:rPr>
            </w:pPr>
            <w:r w:rsidRPr="0023630D">
              <w:rPr>
                <w:rFonts w:ascii="Book Antiqua" w:hAnsi="Book Antiqua" w:cs="Calibri"/>
                <w:color w:val="000000"/>
                <w:sz w:val="16"/>
                <w:szCs w:val="16"/>
                <w:lang w:eastAsia="es-CR"/>
              </w:rPr>
              <w:t>44%</w:t>
            </w:r>
          </w:p>
        </w:tc>
      </w:tr>
      <w:tr w:rsidR="003C52D1" w:rsidRPr="0023630D" w14:paraId="68C81BC6" w14:textId="77777777" w:rsidTr="0023630D">
        <w:trPr>
          <w:trHeight w:val="290"/>
          <w:jc w:val="center"/>
        </w:trPr>
        <w:tc>
          <w:tcPr>
            <w:tcW w:w="3679" w:type="dxa"/>
            <w:tcBorders>
              <w:top w:val="nil"/>
              <w:left w:val="single" w:sz="4" w:space="0" w:color="808080"/>
              <w:bottom w:val="single" w:sz="4" w:space="0" w:color="808080"/>
              <w:right w:val="single" w:sz="4" w:space="0" w:color="808080"/>
            </w:tcBorders>
            <w:shd w:val="clear" w:color="auto" w:fill="auto"/>
            <w:noWrap/>
            <w:vAlign w:val="center"/>
            <w:hideMark/>
          </w:tcPr>
          <w:p w14:paraId="7CDB08D5" w14:textId="77777777" w:rsidR="003C52D1" w:rsidRPr="0023630D" w:rsidRDefault="003C52D1" w:rsidP="003C52D1">
            <w:pPr>
              <w:rPr>
                <w:rFonts w:ascii="Book Antiqua" w:hAnsi="Book Antiqua" w:cs="Calibri"/>
                <w:b/>
                <w:bCs/>
                <w:color w:val="000000"/>
                <w:sz w:val="16"/>
                <w:szCs w:val="16"/>
                <w:lang w:eastAsia="es-CR"/>
              </w:rPr>
            </w:pPr>
            <w:r w:rsidRPr="0023630D">
              <w:rPr>
                <w:rFonts w:ascii="Book Antiqua" w:hAnsi="Book Antiqua" w:cs="Calibri"/>
                <w:b/>
                <w:bCs/>
                <w:color w:val="000000"/>
                <w:sz w:val="16"/>
                <w:szCs w:val="16"/>
                <w:lang w:eastAsia="es-CR"/>
              </w:rPr>
              <w:t>Promedio Global</w:t>
            </w:r>
          </w:p>
        </w:tc>
        <w:tc>
          <w:tcPr>
            <w:tcW w:w="2133" w:type="dxa"/>
            <w:tcBorders>
              <w:top w:val="nil"/>
              <w:left w:val="nil"/>
              <w:bottom w:val="single" w:sz="4" w:space="0" w:color="808080"/>
              <w:right w:val="single" w:sz="4" w:space="0" w:color="808080"/>
            </w:tcBorders>
            <w:shd w:val="clear" w:color="auto" w:fill="auto"/>
            <w:noWrap/>
            <w:vAlign w:val="center"/>
            <w:hideMark/>
          </w:tcPr>
          <w:p w14:paraId="79EED23B" w14:textId="77777777" w:rsidR="003C52D1" w:rsidRPr="0023630D" w:rsidRDefault="003C52D1" w:rsidP="003C52D1">
            <w:pPr>
              <w:jc w:val="center"/>
              <w:rPr>
                <w:rFonts w:ascii="Book Antiqua" w:hAnsi="Book Antiqua" w:cs="Calibri"/>
                <w:b/>
                <w:bCs/>
                <w:color w:val="000000"/>
                <w:sz w:val="16"/>
                <w:szCs w:val="16"/>
                <w:lang w:eastAsia="es-CR"/>
              </w:rPr>
            </w:pPr>
            <w:r w:rsidRPr="0023630D">
              <w:rPr>
                <w:rFonts w:ascii="Book Antiqua" w:hAnsi="Book Antiqua" w:cs="Calibri"/>
                <w:b/>
                <w:bCs/>
                <w:color w:val="000000"/>
                <w:sz w:val="16"/>
                <w:szCs w:val="16"/>
                <w:lang w:eastAsia="es-CR"/>
              </w:rPr>
              <w:t>77%</w:t>
            </w:r>
          </w:p>
        </w:tc>
        <w:tc>
          <w:tcPr>
            <w:tcW w:w="2693" w:type="dxa"/>
            <w:tcBorders>
              <w:top w:val="nil"/>
              <w:left w:val="nil"/>
              <w:bottom w:val="single" w:sz="4" w:space="0" w:color="808080"/>
              <w:right w:val="single" w:sz="4" w:space="0" w:color="808080"/>
            </w:tcBorders>
            <w:shd w:val="clear" w:color="auto" w:fill="auto"/>
            <w:noWrap/>
            <w:vAlign w:val="center"/>
            <w:hideMark/>
          </w:tcPr>
          <w:p w14:paraId="5A040F34" w14:textId="77777777" w:rsidR="003C52D1" w:rsidRPr="0023630D" w:rsidRDefault="003C52D1" w:rsidP="003C52D1">
            <w:pPr>
              <w:jc w:val="center"/>
              <w:rPr>
                <w:rFonts w:ascii="Book Antiqua" w:hAnsi="Book Antiqua" w:cs="Calibri"/>
                <w:b/>
                <w:bCs/>
                <w:color w:val="000000"/>
                <w:sz w:val="16"/>
                <w:szCs w:val="16"/>
                <w:lang w:eastAsia="es-CR"/>
              </w:rPr>
            </w:pPr>
            <w:r w:rsidRPr="0023630D">
              <w:rPr>
                <w:rFonts w:ascii="Book Antiqua" w:hAnsi="Book Antiqua" w:cs="Calibri"/>
                <w:b/>
                <w:bCs/>
                <w:color w:val="000000"/>
                <w:sz w:val="16"/>
                <w:szCs w:val="16"/>
                <w:lang w:eastAsia="es-CR"/>
              </w:rPr>
              <w:t>81%</w:t>
            </w:r>
          </w:p>
        </w:tc>
      </w:tr>
    </w:tbl>
    <w:p w14:paraId="7E480A8D" w14:textId="77777777" w:rsidR="00F75E3A" w:rsidRDefault="00F75E3A" w:rsidP="003C52D1">
      <w:pPr>
        <w:spacing w:line="276" w:lineRule="auto"/>
        <w:jc w:val="center"/>
        <w:rPr>
          <w:rFonts w:ascii="Book Antiqua" w:hAnsi="Book Antiqua"/>
          <w:color w:val="000000" w:themeColor="text1"/>
          <w:sz w:val="20"/>
          <w:szCs w:val="20"/>
        </w:rPr>
      </w:pPr>
      <w:r w:rsidRPr="00677475">
        <w:rPr>
          <w:rFonts w:ascii="Book Antiqua" w:hAnsi="Book Antiqua"/>
          <w:b/>
          <w:bCs/>
          <w:color w:val="000000" w:themeColor="text1"/>
          <w:sz w:val="20"/>
          <w:szCs w:val="20"/>
        </w:rPr>
        <w:t xml:space="preserve">Fuente: </w:t>
      </w:r>
      <w:r w:rsidRPr="00677475">
        <w:rPr>
          <w:rFonts w:ascii="Book Antiqua" w:hAnsi="Book Antiqua"/>
          <w:color w:val="000000" w:themeColor="text1"/>
          <w:sz w:val="20"/>
          <w:szCs w:val="20"/>
        </w:rPr>
        <w:t>Matriz de indicadores de Gestión</w:t>
      </w:r>
    </w:p>
    <w:p w14:paraId="2CC9C5D3" w14:textId="77777777" w:rsidR="00F75E3A" w:rsidRDefault="00F75E3A" w:rsidP="00F75E3A">
      <w:pPr>
        <w:spacing w:line="276" w:lineRule="auto"/>
        <w:jc w:val="center"/>
        <w:rPr>
          <w:rFonts w:ascii="Book Antiqua" w:hAnsi="Book Antiqua"/>
          <w:b/>
          <w:bCs/>
          <w:color w:val="000000" w:themeColor="text1"/>
          <w:sz w:val="20"/>
          <w:szCs w:val="20"/>
        </w:rPr>
      </w:pPr>
    </w:p>
    <w:p w14:paraId="53B6FA35" w14:textId="77777777" w:rsidR="00F75E3A" w:rsidRPr="00AC4A95" w:rsidRDefault="00F75E3A" w:rsidP="00F75E3A">
      <w:pPr>
        <w:spacing w:line="276" w:lineRule="auto"/>
        <w:jc w:val="center"/>
        <w:rPr>
          <w:rFonts w:ascii="Book Antiqua" w:hAnsi="Book Antiqua"/>
          <w:b/>
          <w:bCs/>
          <w:color w:val="000000" w:themeColor="text1"/>
          <w:sz w:val="20"/>
          <w:szCs w:val="20"/>
        </w:rPr>
      </w:pPr>
    </w:p>
    <w:p w14:paraId="2DA992D4" w14:textId="4B5F38C2" w:rsidR="00F75E3A" w:rsidRPr="000A5D59" w:rsidRDefault="376D9EEE" w:rsidP="57A79FF7">
      <w:pPr>
        <w:spacing w:after="160" w:line="276" w:lineRule="auto"/>
        <w:contextualSpacing/>
        <w:outlineLvl w:val="1"/>
        <w:rPr>
          <w:b/>
          <w:color w:val="000000" w:themeColor="text1"/>
        </w:rPr>
      </w:pPr>
      <w:r w:rsidRPr="57A79FF7">
        <w:rPr>
          <w:rFonts w:ascii="Book Antiqua" w:hAnsi="Book Antiqua"/>
          <w:b/>
          <w:bCs/>
          <w:color w:val="000000" w:themeColor="text1"/>
        </w:rPr>
        <w:t xml:space="preserve">8.2.4 </w:t>
      </w:r>
      <w:r w:rsidR="00F75E3A" w:rsidRPr="000A5D59">
        <w:rPr>
          <w:rFonts w:ascii="Book Antiqua" w:hAnsi="Book Antiqua"/>
          <w:b/>
          <w:color w:val="000000" w:themeColor="text1"/>
        </w:rPr>
        <w:t>Juzgados de Ejecución de la Pena</w:t>
      </w:r>
    </w:p>
    <w:p w14:paraId="4FF1F426" w14:textId="4186A3EE" w:rsidR="57A79FF7" w:rsidRDefault="57A79FF7" w:rsidP="57A79FF7">
      <w:pPr>
        <w:spacing w:after="160" w:line="276" w:lineRule="auto"/>
        <w:outlineLvl w:val="1"/>
        <w:rPr>
          <w:b/>
          <w:bCs/>
          <w:color w:val="000000" w:themeColor="text1"/>
        </w:rPr>
      </w:pPr>
    </w:p>
    <w:p w14:paraId="5D72A51B" w14:textId="1CB03CB8" w:rsidR="00F75E3A" w:rsidRDefault="00F75E3A" w:rsidP="00F75E3A">
      <w:pPr>
        <w:spacing w:line="276" w:lineRule="auto"/>
        <w:jc w:val="both"/>
        <w:rPr>
          <w:rFonts w:ascii="Book Antiqua" w:hAnsi="Book Antiqua"/>
          <w:color w:val="000000" w:themeColor="text1"/>
        </w:rPr>
      </w:pPr>
      <w:r w:rsidRPr="00B76E68">
        <w:rPr>
          <w:rFonts w:ascii="Book Antiqua" w:hAnsi="Book Antiqua"/>
          <w:color w:val="000000" w:themeColor="text1"/>
        </w:rPr>
        <w:t xml:space="preserve">Los Juzgados de Ejecución de la Pena registran un </w:t>
      </w:r>
      <w:r w:rsidR="0035055C">
        <w:rPr>
          <w:rFonts w:ascii="Book Antiqua" w:hAnsi="Book Antiqua"/>
          <w:color w:val="000000" w:themeColor="text1"/>
        </w:rPr>
        <w:t>90</w:t>
      </w:r>
      <w:r w:rsidRPr="00B76E68">
        <w:rPr>
          <w:rFonts w:ascii="Book Antiqua" w:hAnsi="Book Antiqua"/>
          <w:color w:val="000000" w:themeColor="text1"/>
        </w:rPr>
        <w:t xml:space="preserve">% en </w:t>
      </w:r>
      <w:r>
        <w:rPr>
          <w:rFonts w:ascii="Book Antiqua" w:hAnsi="Book Antiqua"/>
          <w:color w:val="000000" w:themeColor="text1"/>
        </w:rPr>
        <w:t xml:space="preserve">incidentes terminados </w:t>
      </w:r>
      <w:r w:rsidRPr="00B76E68">
        <w:rPr>
          <w:rFonts w:ascii="Book Antiqua" w:hAnsi="Book Antiqua"/>
          <w:color w:val="000000" w:themeColor="text1"/>
        </w:rPr>
        <w:t xml:space="preserve">y </w:t>
      </w:r>
      <w:r w:rsidR="0035055C">
        <w:rPr>
          <w:rFonts w:ascii="Book Antiqua" w:hAnsi="Book Antiqua"/>
          <w:color w:val="000000" w:themeColor="text1"/>
        </w:rPr>
        <w:t>226</w:t>
      </w:r>
      <w:r w:rsidRPr="00B76E68">
        <w:rPr>
          <w:rFonts w:ascii="Book Antiqua" w:hAnsi="Book Antiqua"/>
          <w:color w:val="000000" w:themeColor="text1"/>
        </w:rPr>
        <w:t xml:space="preserve">% en firma de </w:t>
      </w:r>
      <w:r>
        <w:rPr>
          <w:rFonts w:ascii="Book Antiqua" w:hAnsi="Book Antiqua"/>
          <w:color w:val="000000" w:themeColor="text1"/>
        </w:rPr>
        <w:t>expedientes</w:t>
      </w:r>
      <w:r w:rsidRPr="00B76E68">
        <w:rPr>
          <w:rFonts w:ascii="Book Antiqua" w:hAnsi="Book Antiqua"/>
          <w:color w:val="000000" w:themeColor="text1"/>
        </w:rPr>
        <w:t>.</w:t>
      </w:r>
    </w:p>
    <w:p w14:paraId="1234F1B3" w14:textId="77777777" w:rsidR="00F75E3A" w:rsidRDefault="00F75E3A" w:rsidP="00F75E3A">
      <w:pPr>
        <w:spacing w:line="276" w:lineRule="auto"/>
        <w:jc w:val="both"/>
        <w:rPr>
          <w:rFonts w:ascii="Book Antiqua" w:hAnsi="Book Antiqua"/>
          <w:color w:val="000000" w:themeColor="text1"/>
        </w:rPr>
      </w:pPr>
    </w:p>
    <w:p w14:paraId="1429214B" w14:textId="3E0091C3" w:rsidR="00F75E3A" w:rsidRDefault="00F75E3A" w:rsidP="00F75E3A">
      <w:pPr>
        <w:spacing w:line="276" w:lineRule="auto"/>
        <w:jc w:val="both"/>
        <w:rPr>
          <w:rFonts w:ascii="Book Antiqua" w:hAnsi="Book Antiqua" w:cs="Calibri"/>
          <w:color w:val="000000"/>
          <w:sz w:val="22"/>
          <w:szCs w:val="22"/>
          <w:lang w:eastAsia="es-CR"/>
        </w:rPr>
      </w:pPr>
      <w:r>
        <w:rPr>
          <w:rFonts w:ascii="Book Antiqua" w:hAnsi="Book Antiqua"/>
          <w:color w:val="000000" w:themeColor="text1"/>
        </w:rPr>
        <w:t xml:space="preserve">Para el caso de los asuntos culminados el </w:t>
      </w:r>
      <w:r w:rsidRPr="00886704">
        <w:rPr>
          <w:rFonts w:ascii="Book Antiqua" w:hAnsi="Book Antiqua" w:cs="Calibri"/>
          <w:color w:val="000000"/>
          <w:sz w:val="22"/>
          <w:szCs w:val="22"/>
          <w:lang w:eastAsia="es-CR"/>
        </w:rPr>
        <w:t xml:space="preserve">Juzgado de Ejecución de </w:t>
      </w:r>
      <w:r>
        <w:rPr>
          <w:rFonts w:ascii="Book Antiqua" w:hAnsi="Book Antiqua" w:cs="Calibri"/>
          <w:color w:val="000000"/>
          <w:sz w:val="22"/>
          <w:szCs w:val="22"/>
          <w:lang w:eastAsia="es-CR"/>
        </w:rPr>
        <w:t xml:space="preserve">Alajuela, reporta el mayor rendimiento con un </w:t>
      </w:r>
      <w:r w:rsidR="0035055C">
        <w:rPr>
          <w:rFonts w:ascii="Book Antiqua" w:hAnsi="Book Antiqua" w:cs="Calibri"/>
          <w:color w:val="000000"/>
          <w:sz w:val="22"/>
          <w:szCs w:val="22"/>
          <w:lang w:eastAsia="es-CR"/>
        </w:rPr>
        <w:t>144</w:t>
      </w:r>
      <w:r>
        <w:rPr>
          <w:rFonts w:ascii="Book Antiqua" w:hAnsi="Book Antiqua" w:cs="Calibri"/>
          <w:color w:val="000000"/>
          <w:sz w:val="22"/>
          <w:szCs w:val="22"/>
          <w:lang w:eastAsia="es-CR"/>
        </w:rPr>
        <w:t xml:space="preserve">% sobre el parámetro, y el </w:t>
      </w:r>
      <w:r w:rsidRPr="00886704">
        <w:rPr>
          <w:rFonts w:ascii="Book Antiqua" w:hAnsi="Book Antiqua" w:cs="Calibri"/>
          <w:color w:val="000000"/>
          <w:sz w:val="22"/>
          <w:szCs w:val="22"/>
          <w:lang w:eastAsia="es-CR"/>
        </w:rPr>
        <w:t xml:space="preserve">Juzgado de Ejecución de la Pena del </w:t>
      </w:r>
      <w:r>
        <w:rPr>
          <w:rFonts w:ascii="Book Antiqua" w:hAnsi="Book Antiqua" w:cs="Calibri"/>
          <w:color w:val="000000"/>
          <w:sz w:val="22"/>
          <w:szCs w:val="22"/>
          <w:lang w:eastAsia="es-CR"/>
        </w:rPr>
        <w:t>Primer</w:t>
      </w:r>
      <w:r w:rsidRPr="00886704">
        <w:rPr>
          <w:rFonts w:ascii="Book Antiqua" w:hAnsi="Book Antiqua" w:cs="Calibri"/>
          <w:color w:val="000000"/>
          <w:sz w:val="22"/>
          <w:szCs w:val="22"/>
          <w:lang w:eastAsia="es-CR"/>
        </w:rPr>
        <w:t xml:space="preserve"> Circuito Judicial de la Zona Atlántica (</w:t>
      </w:r>
      <w:r>
        <w:rPr>
          <w:rFonts w:ascii="Book Antiqua" w:hAnsi="Book Antiqua" w:cs="Calibri"/>
          <w:color w:val="000000"/>
          <w:sz w:val="22"/>
          <w:szCs w:val="22"/>
          <w:lang w:eastAsia="es-CR"/>
        </w:rPr>
        <w:t>Limón</w:t>
      </w:r>
      <w:r w:rsidRPr="00886704">
        <w:rPr>
          <w:rFonts w:ascii="Book Antiqua" w:hAnsi="Book Antiqua" w:cs="Calibri"/>
          <w:color w:val="000000"/>
          <w:sz w:val="22"/>
          <w:szCs w:val="22"/>
          <w:lang w:eastAsia="es-CR"/>
        </w:rPr>
        <w:t>)</w:t>
      </w:r>
      <w:r>
        <w:rPr>
          <w:rFonts w:ascii="Book Antiqua" w:hAnsi="Book Antiqua" w:cs="Calibri"/>
          <w:color w:val="000000"/>
          <w:sz w:val="22"/>
          <w:szCs w:val="22"/>
          <w:lang w:eastAsia="es-CR"/>
        </w:rPr>
        <w:t xml:space="preserve"> presentan el menor porcentaje con un </w:t>
      </w:r>
      <w:r w:rsidR="0035055C">
        <w:rPr>
          <w:rFonts w:ascii="Book Antiqua" w:hAnsi="Book Antiqua" w:cs="Calibri"/>
          <w:color w:val="000000"/>
          <w:sz w:val="22"/>
          <w:szCs w:val="22"/>
          <w:lang w:eastAsia="es-CR"/>
        </w:rPr>
        <w:t>28</w:t>
      </w:r>
      <w:r>
        <w:rPr>
          <w:rFonts w:ascii="Book Antiqua" w:hAnsi="Book Antiqua" w:cs="Calibri"/>
          <w:color w:val="000000"/>
          <w:sz w:val="22"/>
          <w:szCs w:val="22"/>
          <w:lang w:eastAsia="es-CR"/>
        </w:rPr>
        <w:t>%.</w:t>
      </w:r>
    </w:p>
    <w:p w14:paraId="08EEF5BE" w14:textId="77777777" w:rsidR="00F75E3A" w:rsidRPr="0053279E" w:rsidRDefault="00F75E3A" w:rsidP="00F75E3A">
      <w:pPr>
        <w:spacing w:line="276" w:lineRule="auto"/>
        <w:jc w:val="both"/>
        <w:rPr>
          <w:rFonts w:ascii="Book Antiqua" w:hAnsi="Book Antiqua"/>
          <w:color w:val="000000" w:themeColor="text1"/>
        </w:rPr>
      </w:pPr>
    </w:p>
    <w:p w14:paraId="5256360A" w14:textId="77777777" w:rsidR="00F75E3A" w:rsidRPr="004F0E92" w:rsidRDefault="00F75E3A" w:rsidP="00F75E3A">
      <w:pPr>
        <w:spacing w:line="276" w:lineRule="auto"/>
        <w:jc w:val="both"/>
        <w:rPr>
          <w:rFonts w:ascii="Book Antiqua" w:hAnsi="Book Antiqua"/>
          <w:b/>
          <w:color w:val="000000" w:themeColor="text1"/>
        </w:rPr>
      </w:pPr>
      <w:r w:rsidRPr="0053279E">
        <w:rPr>
          <w:rFonts w:ascii="Book Antiqua" w:hAnsi="Book Antiqua"/>
          <w:color w:val="000000" w:themeColor="text1"/>
        </w:rPr>
        <w:t xml:space="preserve">El detalle se </w:t>
      </w:r>
      <w:r>
        <w:rPr>
          <w:rFonts w:ascii="Book Antiqua" w:hAnsi="Book Antiqua"/>
          <w:color w:val="000000" w:themeColor="text1"/>
        </w:rPr>
        <w:t>muestra</w:t>
      </w:r>
      <w:r w:rsidRPr="0053279E">
        <w:rPr>
          <w:rFonts w:ascii="Book Antiqua" w:hAnsi="Book Antiqua"/>
          <w:color w:val="000000" w:themeColor="text1"/>
        </w:rPr>
        <w:t xml:space="preserve"> en el siguiente cuadro.</w:t>
      </w:r>
    </w:p>
    <w:p w14:paraId="50640A6E" w14:textId="77777777" w:rsidR="00F75E3A" w:rsidRPr="000549BF" w:rsidRDefault="00F75E3A" w:rsidP="00F75E3A">
      <w:pPr>
        <w:spacing w:line="276" w:lineRule="auto"/>
        <w:jc w:val="both"/>
        <w:rPr>
          <w:rFonts w:ascii="Book Antiqua" w:hAnsi="Book Antiqua"/>
          <w:color w:val="000000" w:themeColor="text1"/>
        </w:rPr>
      </w:pPr>
    </w:p>
    <w:p w14:paraId="28F0EDE9" w14:textId="7DDD0FBE" w:rsidR="00F75E3A" w:rsidRPr="000549BF" w:rsidRDefault="00F75E3A" w:rsidP="00F75E3A">
      <w:pPr>
        <w:spacing w:line="276" w:lineRule="auto"/>
        <w:jc w:val="center"/>
        <w:rPr>
          <w:rFonts w:ascii="Book Antiqua" w:hAnsi="Book Antiqua"/>
          <w:b/>
          <w:color w:val="000000" w:themeColor="text1"/>
        </w:rPr>
      </w:pPr>
      <w:r w:rsidRPr="000549BF">
        <w:rPr>
          <w:rFonts w:ascii="Book Antiqua" w:hAnsi="Book Antiqua"/>
          <w:b/>
          <w:color w:val="000000" w:themeColor="text1"/>
        </w:rPr>
        <w:t xml:space="preserve">Cuadro </w:t>
      </w:r>
      <w:r w:rsidR="00F353FF">
        <w:rPr>
          <w:rFonts w:ascii="Book Antiqua" w:hAnsi="Book Antiqua"/>
          <w:b/>
          <w:color w:val="000000" w:themeColor="text1"/>
        </w:rPr>
        <w:t>83</w:t>
      </w:r>
    </w:p>
    <w:p w14:paraId="3DE3D637" w14:textId="77777777" w:rsidR="00F75E3A" w:rsidRPr="00921892" w:rsidRDefault="00F75E3A" w:rsidP="00F75E3A">
      <w:pPr>
        <w:spacing w:line="276" w:lineRule="auto"/>
        <w:jc w:val="center"/>
        <w:rPr>
          <w:rFonts w:ascii="Book Antiqua" w:hAnsi="Book Antiqua"/>
          <w:bCs/>
          <w:color w:val="000000" w:themeColor="text1"/>
        </w:rPr>
      </w:pPr>
      <w:r w:rsidRPr="00921892">
        <w:rPr>
          <w:rFonts w:ascii="Book Antiqua" w:hAnsi="Book Antiqua"/>
          <w:bCs/>
          <w:color w:val="000000" w:themeColor="text1"/>
        </w:rPr>
        <w:t xml:space="preserve">Cumplimiento del parámetro de producción teórico de </w:t>
      </w:r>
      <w:r>
        <w:rPr>
          <w:rFonts w:ascii="Book Antiqua" w:hAnsi="Book Antiqua"/>
          <w:bCs/>
          <w:color w:val="000000" w:themeColor="text1"/>
        </w:rPr>
        <w:t>asuntos terminados</w:t>
      </w:r>
    </w:p>
    <w:p w14:paraId="689DDC43" w14:textId="40AFEC8A" w:rsidR="00F75E3A" w:rsidRDefault="00F75E3A" w:rsidP="00F75E3A">
      <w:pPr>
        <w:spacing w:line="276" w:lineRule="auto"/>
        <w:jc w:val="center"/>
        <w:rPr>
          <w:rFonts w:ascii="Book Antiqua" w:hAnsi="Book Antiqua"/>
          <w:bCs/>
          <w:color w:val="000000" w:themeColor="text1"/>
        </w:rPr>
      </w:pPr>
      <w:r w:rsidRPr="00921892">
        <w:rPr>
          <w:rFonts w:ascii="Book Antiqua" w:hAnsi="Book Antiqua"/>
          <w:bCs/>
          <w:color w:val="000000" w:themeColor="text1"/>
        </w:rPr>
        <w:t xml:space="preserve"> Juzgados de Ejecución de la Pena durante </w:t>
      </w:r>
      <w:r w:rsidR="0035055C">
        <w:rPr>
          <w:rFonts w:ascii="Book Antiqua" w:hAnsi="Book Antiqua"/>
          <w:bCs/>
          <w:color w:val="000000" w:themeColor="text1"/>
        </w:rPr>
        <w:t>setiembre</w:t>
      </w:r>
      <w:r w:rsidRPr="00921892">
        <w:rPr>
          <w:rFonts w:ascii="Book Antiqua" w:hAnsi="Book Antiqua"/>
          <w:bCs/>
          <w:color w:val="000000" w:themeColor="text1"/>
        </w:rPr>
        <w:t xml:space="preserve"> 2021</w:t>
      </w:r>
    </w:p>
    <w:tbl>
      <w:tblPr>
        <w:tblW w:w="6740" w:type="dxa"/>
        <w:jc w:val="center"/>
        <w:tblCellMar>
          <w:left w:w="70" w:type="dxa"/>
          <w:right w:w="70" w:type="dxa"/>
        </w:tblCellMar>
        <w:tblLook w:val="04A0" w:firstRow="1" w:lastRow="0" w:firstColumn="1" w:lastColumn="0" w:noHBand="0" w:noVBand="1"/>
      </w:tblPr>
      <w:tblGrid>
        <w:gridCol w:w="4140"/>
        <w:gridCol w:w="2600"/>
      </w:tblGrid>
      <w:tr w:rsidR="0035055C" w:rsidRPr="0035055C" w14:paraId="0AFA9782" w14:textId="77777777" w:rsidTr="0035055C">
        <w:trPr>
          <w:trHeight w:val="780"/>
          <w:jc w:val="center"/>
        </w:trPr>
        <w:tc>
          <w:tcPr>
            <w:tcW w:w="4140" w:type="dxa"/>
            <w:tcBorders>
              <w:top w:val="single" w:sz="4" w:space="0" w:color="808080"/>
              <w:left w:val="single" w:sz="4" w:space="0" w:color="808080"/>
              <w:bottom w:val="single" w:sz="4" w:space="0" w:color="808080"/>
              <w:right w:val="single" w:sz="4" w:space="0" w:color="808080"/>
            </w:tcBorders>
            <w:shd w:val="clear" w:color="000000" w:fill="305496"/>
            <w:noWrap/>
            <w:vAlign w:val="center"/>
            <w:hideMark/>
          </w:tcPr>
          <w:p w14:paraId="1CC99F8B" w14:textId="77777777" w:rsidR="0035055C" w:rsidRPr="0035055C" w:rsidRDefault="0035055C" w:rsidP="0035055C">
            <w:pPr>
              <w:jc w:val="center"/>
              <w:rPr>
                <w:rFonts w:ascii="Book Antiqua" w:hAnsi="Book Antiqua" w:cs="Calibri"/>
                <w:b/>
                <w:bCs/>
                <w:color w:val="FFFFFF"/>
                <w:sz w:val="16"/>
                <w:szCs w:val="16"/>
                <w:lang w:eastAsia="es-CR"/>
              </w:rPr>
            </w:pPr>
            <w:r w:rsidRPr="0035055C">
              <w:rPr>
                <w:rFonts w:ascii="Book Antiqua" w:hAnsi="Book Antiqua" w:cs="Calibri"/>
                <w:b/>
                <w:bCs/>
                <w:color w:val="FFFFFF"/>
                <w:sz w:val="16"/>
                <w:szCs w:val="16"/>
                <w:lang w:eastAsia="es-CR"/>
              </w:rPr>
              <w:t>Oficina</w:t>
            </w:r>
          </w:p>
        </w:tc>
        <w:tc>
          <w:tcPr>
            <w:tcW w:w="2600" w:type="dxa"/>
            <w:tcBorders>
              <w:top w:val="single" w:sz="4" w:space="0" w:color="808080"/>
              <w:left w:val="nil"/>
              <w:bottom w:val="single" w:sz="4" w:space="0" w:color="808080"/>
              <w:right w:val="single" w:sz="4" w:space="0" w:color="808080"/>
            </w:tcBorders>
            <w:shd w:val="clear" w:color="000000" w:fill="305496"/>
            <w:vAlign w:val="center"/>
            <w:hideMark/>
          </w:tcPr>
          <w:p w14:paraId="7DFA6B7D" w14:textId="77777777" w:rsidR="0035055C" w:rsidRPr="0035055C" w:rsidRDefault="0035055C" w:rsidP="0035055C">
            <w:pPr>
              <w:jc w:val="center"/>
              <w:rPr>
                <w:rFonts w:ascii="Book Antiqua" w:hAnsi="Book Antiqua" w:cs="Calibri"/>
                <w:b/>
                <w:bCs/>
                <w:color w:val="FFFFFF"/>
                <w:sz w:val="16"/>
                <w:szCs w:val="16"/>
                <w:lang w:eastAsia="es-CR"/>
              </w:rPr>
            </w:pPr>
            <w:r w:rsidRPr="0035055C">
              <w:rPr>
                <w:rFonts w:ascii="Book Antiqua" w:hAnsi="Book Antiqua" w:cs="Calibri"/>
                <w:b/>
                <w:bCs/>
                <w:color w:val="FFFFFF"/>
                <w:sz w:val="16"/>
                <w:szCs w:val="16"/>
                <w:lang w:eastAsia="es-CR"/>
              </w:rPr>
              <w:t>Porcentaje cumplimiento cuota teórica de asuntos terminados</w:t>
            </w:r>
          </w:p>
        </w:tc>
      </w:tr>
      <w:tr w:rsidR="0035055C" w:rsidRPr="0035055C" w14:paraId="0F881D33" w14:textId="77777777" w:rsidTr="0035055C">
        <w:trPr>
          <w:trHeight w:val="290"/>
          <w:jc w:val="center"/>
        </w:trPr>
        <w:tc>
          <w:tcPr>
            <w:tcW w:w="4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93001C" w14:textId="77777777" w:rsidR="0035055C" w:rsidRPr="0035055C" w:rsidRDefault="0035055C" w:rsidP="0035055C">
            <w:pPr>
              <w:rPr>
                <w:rFonts w:ascii="Book Antiqua" w:hAnsi="Book Antiqua" w:cs="Calibri"/>
                <w:sz w:val="16"/>
                <w:szCs w:val="16"/>
                <w:lang w:eastAsia="es-CR"/>
              </w:rPr>
            </w:pPr>
            <w:r w:rsidRPr="0035055C">
              <w:rPr>
                <w:rFonts w:ascii="Book Antiqua" w:hAnsi="Book Antiqua" w:cs="Calibri"/>
                <w:sz w:val="16"/>
                <w:szCs w:val="16"/>
                <w:lang w:eastAsia="es-CR"/>
              </w:rPr>
              <w:t>Juzgado Ejecución de La Pena de Alajuela</w:t>
            </w:r>
          </w:p>
        </w:tc>
        <w:tc>
          <w:tcPr>
            <w:tcW w:w="2600" w:type="dxa"/>
            <w:tcBorders>
              <w:top w:val="nil"/>
              <w:left w:val="single" w:sz="4" w:space="0" w:color="808080"/>
              <w:bottom w:val="single" w:sz="4" w:space="0" w:color="808080"/>
              <w:right w:val="single" w:sz="4" w:space="0" w:color="808080"/>
            </w:tcBorders>
            <w:shd w:val="clear" w:color="auto" w:fill="auto"/>
            <w:noWrap/>
            <w:vAlign w:val="center"/>
            <w:hideMark/>
          </w:tcPr>
          <w:p w14:paraId="0478209F" w14:textId="77777777" w:rsidR="0035055C" w:rsidRPr="0035055C" w:rsidRDefault="0035055C" w:rsidP="0035055C">
            <w:pPr>
              <w:jc w:val="center"/>
              <w:rPr>
                <w:rFonts w:ascii="Book Antiqua" w:hAnsi="Book Antiqua" w:cs="Calibri"/>
                <w:color w:val="000000"/>
                <w:sz w:val="16"/>
                <w:szCs w:val="16"/>
                <w:lang w:eastAsia="es-CR"/>
              </w:rPr>
            </w:pPr>
            <w:r w:rsidRPr="0035055C">
              <w:rPr>
                <w:rFonts w:ascii="Book Antiqua" w:hAnsi="Book Antiqua" w:cs="Calibri"/>
                <w:color w:val="000000"/>
                <w:sz w:val="16"/>
                <w:szCs w:val="16"/>
                <w:lang w:eastAsia="es-CR"/>
              </w:rPr>
              <w:t>144%</w:t>
            </w:r>
          </w:p>
        </w:tc>
      </w:tr>
      <w:tr w:rsidR="0035055C" w:rsidRPr="0035055C" w14:paraId="7BD2ACB1" w14:textId="77777777" w:rsidTr="0035055C">
        <w:trPr>
          <w:trHeight w:val="290"/>
          <w:jc w:val="center"/>
        </w:trPr>
        <w:tc>
          <w:tcPr>
            <w:tcW w:w="4140" w:type="dxa"/>
            <w:tcBorders>
              <w:top w:val="nil"/>
              <w:left w:val="single" w:sz="4" w:space="0" w:color="auto"/>
              <w:bottom w:val="single" w:sz="4" w:space="0" w:color="auto"/>
              <w:right w:val="single" w:sz="4" w:space="0" w:color="auto"/>
            </w:tcBorders>
            <w:shd w:val="clear" w:color="auto" w:fill="auto"/>
            <w:noWrap/>
            <w:vAlign w:val="center"/>
            <w:hideMark/>
          </w:tcPr>
          <w:p w14:paraId="73D4F229" w14:textId="77777777" w:rsidR="0035055C" w:rsidRPr="0035055C" w:rsidRDefault="0035055C" w:rsidP="0035055C">
            <w:pPr>
              <w:rPr>
                <w:rFonts w:ascii="Book Antiqua" w:hAnsi="Book Antiqua" w:cs="Calibri"/>
                <w:sz w:val="16"/>
                <w:szCs w:val="16"/>
                <w:lang w:eastAsia="es-CR"/>
              </w:rPr>
            </w:pPr>
            <w:r w:rsidRPr="0035055C">
              <w:rPr>
                <w:rFonts w:ascii="Book Antiqua" w:hAnsi="Book Antiqua" w:cs="Calibri"/>
                <w:sz w:val="16"/>
                <w:szCs w:val="16"/>
                <w:lang w:eastAsia="es-CR"/>
              </w:rPr>
              <w:t>Juzgado Ejecución de La Pena de San José</w:t>
            </w:r>
          </w:p>
        </w:tc>
        <w:tc>
          <w:tcPr>
            <w:tcW w:w="2600" w:type="dxa"/>
            <w:tcBorders>
              <w:top w:val="nil"/>
              <w:left w:val="single" w:sz="4" w:space="0" w:color="808080"/>
              <w:bottom w:val="single" w:sz="4" w:space="0" w:color="808080"/>
              <w:right w:val="single" w:sz="4" w:space="0" w:color="808080"/>
            </w:tcBorders>
            <w:shd w:val="clear" w:color="auto" w:fill="auto"/>
            <w:noWrap/>
            <w:vAlign w:val="center"/>
            <w:hideMark/>
          </w:tcPr>
          <w:p w14:paraId="4B5AF76B" w14:textId="77777777" w:rsidR="0035055C" w:rsidRPr="0035055C" w:rsidRDefault="0035055C" w:rsidP="0035055C">
            <w:pPr>
              <w:jc w:val="center"/>
              <w:rPr>
                <w:rFonts w:ascii="Book Antiqua" w:hAnsi="Book Antiqua" w:cs="Calibri"/>
                <w:color w:val="000000"/>
                <w:sz w:val="16"/>
                <w:szCs w:val="16"/>
                <w:lang w:eastAsia="es-CR"/>
              </w:rPr>
            </w:pPr>
            <w:r w:rsidRPr="0035055C">
              <w:rPr>
                <w:rFonts w:ascii="Book Antiqua" w:hAnsi="Book Antiqua" w:cs="Calibri"/>
                <w:color w:val="000000"/>
                <w:sz w:val="16"/>
                <w:szCs w:val="16"/>
                <w:lang w:eastAsia="es-CR"/>
              </w:rPr>
              <w:t>111%</w:t>
            </w:r>
          </w:p>
        </w:tc>
      </w:tr>
      <w:tr w:rsidR="0035055C" w:rsidRPr="0035055C" w14:paraId="6526E873" w14:textId="77777777" w:rsidTr="0035055C">
        <w:trPr>
          <w:trHeight w:val="290"/>
          <w:jc w:val="center"/>
        </w:trPr>
        <w:tc>
          <w:tcPr>
            <w:tcW w:w="4140" w:type="dxa"/>
            <w:tcBorders>
              <w:top w:val="nil"/>
              <w:left w:val="single" w:sz="4" w:space="0" w:color="auto"/>
              <w:bottom w:val="single" w:sz="4" w:space="0" w:color="auto"/>
              <w:right w:val="single" w:sz="4" w:space="0" w:color="auto"/>
            </w:tcBorders>
            <w:shd w:val="clear" w:color="auto" w:fill="auto"/>
            <w:noWrap/>
            <w:vAlign w:val="center"/>
            <w:hideMark/>
          </w:tcPr>
          <w:p w14:paraId="5C3806EC" w14:textId="77777777" w:rsidR="0035055C" w:rsidRPr="0035055C" w:rsidRDefault="0035055C" w:rsidP="0035055C">
            <w:pPr>
              <w:rPr>
                <w:rFonts w:ascii="Book Antiqua" w:hAnsi="Book Antiqua" w:cs="Calibri"/>
                <w:sz w:val="16"/>
                <w:szCs w:val="16"/>
                <w:lang w:eastAsia="es-CR"/>
              </w:rPr>
            </w:pPr>
            <w:r w:rsidRPr="0035055C">
              <w:rPr>
                <w:rFonts w:ascii="Book Antiqua" w:hAnsi="Book Antiqua" w:cs="Calibri"/>
                <w:sz w:val="16"/>
                <w:szCs w:val="16"/>
                <w:lang w:eastAsia="es-CR"/>
              </w:rPr>
              <w:t>Juzgado Ejecución de La Pena de Cartago</w:t>
            </w:r>
          </w:p>
        </w:tc>
        <w:tc>
          <w:tcPr>
            <w:tcW w:w="2600" w:type="dxa"/>
            <w:tcBorders>
              <w:top w:val="nil"/>
              <w:left w:val="single" w:sz="4" w:space="0" w:color="808080"/>
              <w:bottom w:val="single" w:sz="4" w:space="0" w:color="808080"/>
              <w:right w:val="single" w:sz="4" w:space="0" w:color="808080"/>
            </w:tcBorders>
            <w:shd w:val="clear" w:color="auto" w:fill="auto"/>
            <w:noWrap/>
            <w:vAlign w:val="center"/>
            <w:hideMark/>
          </w:tcPr>
          <w:p w14:paraId="6C6E790D" w14:textId="77777777" w:rsidR="0035055C" w:rsidRPr="0035055C" w:rsidRDefault="0035055C" w:rsidP="0035055C">
            <w:pPr>
              <w:jc w:val="center"/>
              <w:rPr>
                <w:rFonts w:ascii="Book Antiqua" w:hAnsi="Book Antiqua" w:cs="Calibri"/>
                <w:color w:val="000000"/>
                <w:sz w:val="16"/>
                <w:szCs w:val="16"/>
                <w:lang w:eastAsia="es-CR"/>
              </w:rPr>
            </w:pPr>
            <w:r w:rsidRPr="0035055C">
              <w:rPr>
                <w:rFonts w:ascii="Book Antiqua" w:hAnsi="Book Antiqua" w:cs="Calibri"/>
                <w:color w:val="000000"/>
                <w:sz w:val="16"/>
                <w:szCs w:val="16"/>
                <w:lang w:eastAsia="es-CR"/>
              </w:rPr>
              <w:t>111%</w:t>
            </w:r>
          </w:p>
        </w:tc>
      </w:tr>
      <w:tr w:rsidR="0035055C" w:rsidRPr="0035055C" w14:paraId="6D1AF06D" w14:textId="77777777" w:rsidTr="0035055C">
        <w:trPr>
          <w:trHeight w:val="290"/>
          <w:jc w:val="center"/>
        </w:trPr>
        <w:tc>
          <w:tcPr>
            <w:tcW w:w="4140" w:type="dxa"/>
            <w:tcBorders>
              <w:top w:val="nil"/>
              <w:left w:val="single" w:sz="4" w:space="0" w:color="auto"/>
              <w:bottom w:val="single" w:sz="4" w:space="0" w:color="auto"/>
              <w:right w:val="single" w:sz="4" w:space="0" w:color="auto"/>
            </w:tcBorders>
            <w:shd w:val="clear" w:color="auto" w:fill="auto"/>
            <w:noWrap/>
            <w:vAlign w:val="center"/>
            <w:hideMark/>
          </w:tcPr>
          <w:p w14:paraId="20B06004" w14:textId="77777777" w:rsidR="0035055C" w:rsidRPr="0035055C" w:rsidRDefault="0035055C" w:rsidP="0035055C">
            <w:pPr>
              <w:rPr>
                <w:rFonts w:ascii="Book Antiqua" w:hAnsi="Book Antiqua" w:cs="Calibri"/>
                <w:sz w:val="16"/>
                <w:szCs w:val="16"/>
                <w:lang w:eastAsia="es-CR"/>
              </w:rPr>
            </w:pPr>
            <w:r w:rsidRPr="0035055C">
              <w:rPr>
                <w:rFonts w:ascii="Book Antiqua" w:hAnsi="Book Antiqua" w:cs="Calibri"/>
                <w:sz w:val="16"/>
                <w:szCs w:val="16"/>
                <w:lang w:eastAsia="es-CR"/>
              </w:rPr>
              <w:t>Juzgado Ejecución de La Pena de Puntarenas</w:t>
            </w:r>
          </w:p>
        </w:tc>
        <w:tc>
          <w:tcPr>
            <w:tcW w:w="2600" w:type="dxa"/>
            <w:tcBorders>
              <w:top w:val="nil"/>
              <w:left w:val="single" w:sz="4" w:space="0" w:color="808080"/>
              <w:bottom w:val="single" w:sz="4" w:space="0" w:color="808080"/>
              <w:right w:val="single" w:sz="4" w:space="0" w:color="808080"/>
            </w:tcBorders>
            <w:shd w:val="clear" w:color="auto" w:fill="auto"/>
            <w:noWrap/>
            <w:vAlign w:val="center"/>
            <w:hideMark/>
          </w:tcPr>
          <w:p w14:paraId="296043EF" w14:textId="77777777" w:rsidR="0035055C" w:rsidRPr="0035055C" w:rsidRDefault="0035055C" w:rsidP="0035055C">
            <w:pPr>
              <w:jc w:val="center"/>
              <w:rPr>
                <w:rFonts w:ascii="Book Antiqua" w:hAnsi="Book Antiqua" w:cs="Calibri"/>
                <w:color w:val="000000"/>
                <w:sz w:val="16"/>
                <w:szCs w:val="16"/>
                <w:lang w:eastAsia="es-CR"/>
              </w:rPr>
            </w:pPr>
            <w:r w:rsidRPr="0035055C">
              <w:rPr>
                <w:rFonts w:ascii="Book Antiqua" w:hAnsi="Book Antiqua" w:cs="Calibri"/>
                <w:color w:val="000000"/>
                <w:sz w:val="16"/>
                <w:szCs w:val="16"/>
                <w:lang w:eastAsia="es-CR"/>
              </w:rPr>
              <w:t>74%</w:t>
            </w:r>
          </w:p>
        </w:tc>
      </w:tr>
      <w:tr w:rsidR="0035055C" w:rsidRPr="0035055C" w14:paraId="718F0548" w14:textId="77777777" w:rsidTr="0035055C">
        <w:trPr>
          <w:trHeight w:val="290"/>
          <w:jc w:val="center"/>
        </w:trPr>
        <w:tc>
          <w:tcPr>
            <w:tcW w:w="4140" w:type="dxa"/>
            <w:tcBorders>
              <w:top w:val="nil"/>
              <w:left w:val="single" w:sz="4" w:space="0" w:color="auto"/>
              <w:bottom w:val="single" w:sz="4" w:space="0" w:color="auto"/>
              <w:right w:val="single" w:sz="4" w:space="0" w:color="auto"/>
            </w:tcBorders>
            <w:shd w:val="clear" w:color="auto" w:fill="auto"/>
            <w:noWrap/>
            <w:vAlign w:val="center"/>
            <w:hideMark/>
          </w:tcPr>
          <w:p w14:paraId="3D86862D" w14:textId="77777777" w:rsidR="0035055C" w:rsidRPr="0035055C" w:rsidRDefault="0035055C" w:rsidP="0035055C">
            <w:pPr>
              <w:rPr>
                <w:rFonts w:ascii="Book Antiqua" w:hAnsi="Book Antiqua" w:cs="Calibri"/>
                <w:sz w:val="16"/>
                <w:szCs w:val="16"/>
                <w:lang w:eastAsia="es-CR"/>
              </w:rPr>
            </w:pPr>
            <w:r w:rsidRPr="0035055C">
              <w:rPr>
                <w:rFonts w:ascii="Book Antiqua" w:hAnsi="Book Antiqua" w:cs="Calibri"/>
                <w:sz w:val="16"/>
                <w:szCs w:val="16"/>
                <w:lang w:eastAsia="es-CR"/>
              </w:rPr>
              <w:t>Juzgado Ejecución de La Pena de Liberia</w:t>
            </w:r>
          </w:p>
        </w:tc>
        <w:tc>
          <w:tcPr>
            <w:tcW w:w="2600" w:type="dxa"/>
            <w:tcBorders>
              <w:top w:val="nil"/>
              <w:left w:val="single" w:sz="4" w:space="0" w:color="808080"/>
              <w:bottom w:val="single" w:sz="4" w:space="0" w:color="808080"/>
              <w:right w:val="single" w:sz="4" w:space="0" w:color="808080"/>
            </w:tcBorders>
            <w:shd w:val="clear" w:color="auto" w:fill="auto"/>
            <w:noWrap/>
            <w:vAlign w:val="center"/>
            <w:hideMark/>
          </w:tcPr>
          <w:p w14:paraId="6CD63A7F" w14:textId="77777777" w:rsidR="0035055C" w:rsidRPr="0035055C" w:rsidRDefault="0035055C" w:rsidP="0035055C">
            <w:pPr>
              <w:jc w:val="center"/>
              <w:rPr>
                <w:rFonts w:ascii="Book Antiqua" w:hAnsi="Book Antiqua" w:cs="Calibri"/>
                <w:color w:val="000000"/>
                <w:sz w:val="16"/>
                <w:szCs w:val="16"/>
                <w:lang w:eastAsia="es-CR"/>
              </w:rPr>
            </w:pPr>
            <w:r w:rsidRPr="0035055C">
              <w:rPr>
                <w:rFonts w:ascii="Book Antiqua" w:hAnsi="Book Antiqua" w:cs="Calibri"/>
                <w:color w:val="000000"/>
                <w:sz w:val="16"/>
                <w:szCs w:val="16"/>
                <w:lang w:eastAsia="es-CR"/>
              </w:rPr>
              <w:t>71%</w:t>
            </w:r>
          </w:p>
        </w:tc>
      </w:tr>
      <w:tr w:rsidR="0035055C" w:rsidRPr="0035055C" w14:paraId="620D61F9" w14:textId="77777777" w:rsidTr="0035055C">
        <w:trPr>
          <w:trHeight w:val="290"/>
          <w:jc w:val="center"/>
        </w:trPr>
        <w:tc>
          <w:tcPr>
            <w:tcW w:w="4140" w:type="dxa"/>
            <w:tcBorders>
              <w:top w:val="nil"/>
              <w:left w:val="single" w:sz="4" w:space="0" w:color="auto"/>
              <w:bottom w:val="single" w:sz="4" w:space="0" w:color="auto"/>
              <w:right w:val="single" w:sz="4" w:space="0" w:color="auto"/>
            </w:tcBorders>
            <w:shd w:val="clear" w:color="auto" w:fill="auto"/>
            <w:noWrap/>
            <w:vAlign w:val="center"/>
            <w:hideMark/>
          </w:tcPr>
          <w:p w14:paraId="16CA91C5" w14:textId="77777777" w:rsidR="0035055C" w:rsidRPr="0035055C" w:rsidRDefault="0035055C" w:rsidP="0035055C">
            <w:pPr>
              <w:rPr>
                <w:rFonts w:ascii="Book Antiqua" w:hAnsi="Book Antiqua" w:cs="Calibri"/>
                <w:sz w:val="16"/>
                <w:szCs w:val="16"/>
                <w:lang w:eastAsia="es-CR"/>
              </w:rPr>
            </w:pPr>
            <w:r w:rsidRPr="0035055C">
              <w:rPr>
                <w:rFonts w:ascii="Book Antiqua" w:hAnsi="Book Antiqua" w:cs="Calibri"/>
                <w:sz w:val="16"/>
                <w:szCs w:val="16"/>
                <w:lang w:eastAsia="es-CR"/>
              </w:rPr>
              <w:t>Juzgado Ejecución de La Pena de Limón</w:t>
            </w:r>
          </w:p>
        </w:tc>
        <w:tc>
          <w:tcPr>
            <w:tcW w:w="2600" w:type="dxa"/>
            <w:tcBorders>
              <w:top w:val="nil"/>
              <w:left w:val="single" w:sz="4" w:space="0" w:color="808080"/>
              <w:bottom w:val="single" w:sz="4" w:space="0" w:color="808080"/>
              <w:right w:val="single" w:sz="4" w:space="0" w:color="808080"/>
            </w:tcBorders>
            <w:shd w:val="clear" w:color="auto" w:fill="auto"/>
            <w:noWrap/>
            <w:vAlign w:val="center"/>
            <w:hideMark/>
          </w:tcPr>
          <w:p w14:paraId="7446FAB8" w14:textId="77777777" w:rsidR="0035055C" w:rsidRPr="0035055C" w:rsidRDefault="0035055C" w:rsidP="0035055C">
            <w:pPr>
              <w:jc w:val="center"/>
              <w:rPr>
                <w:rFonts w:ascii="Book Antiqua" w:hAnsi="Book Antiqua" w:cs="Calibri"/>
                <w:color w:val="000000"/>
                <w:sz w:val="16"/>
                <w:szCs w:val="16"/>
                <w:lang w:eastAsia="es-CR"/>
              </w:rPr>
            </w:pPr>
            <w:r w:rsidRPr="0035055C">
              <w:rPr>
                <w:rFonts w:ascii="Book Antiqua" w:hAnsi="Book Antiqua" w:cs="Calibri"/>
                <w:color w:val="000000"/>
                <w:sz w:val="16"/>
                <w:szCs w:val="16"/>
                <w:lang w:eastAsia="es-CR"/>
              </w:rPr>
              <w:t>28%</w:t>
            </w:r>
          </w:p>
        </w:tc>
      </w:tr>
      <w:tr w:rsidR="0035055C" w:rsidRPr="0035055C" w14:paraId="6599904D" w14:textId="77777777" w:rsidTr="0035055C">
        <w:trPr>
          <w:trHeight w:val="290"/>
          <w:jc w:val="center"/>
        </w:trPr>
        <w:tc>
          <w:tcPr>
            <w:tcW w:w="4140" w:type="dxa"/>
            <w:tcBorders>
              <w:top w:val="nil"/>
              <w:left w:val="single" w:sz="4" w:space="0" w:color="auto"/>
              <w:bottom w:val="single" w:sz="4" w:space="0" w:color="auto"/>
              <w:right w:val="single" w:sz="4" w:space="0" w:color="auto"/>
            </w:tcBorders>
            <w:shd w:val="clear" w:color="auto" w:fill="auto"/>
            <w:noWrap/>
            <w:vAlign w:val="center"/>
            <w:hideMark/>
          </w:tcPr>
          <w:p w14:paraId="3674747C" w14:textId="77777777" w:rsidR="0035055C" w:rsidRPr="0035055C" w:rsidRDefault="0035055C" w:rsidP="0035055C">
            <w:pPr>
              <w:rPr>
                <w:rFonts w:ascii="Book Antiqua" w:hAnsi="Book Antiqua" w:cs="Calibri"/>
                <w:sz w:val="16"/>
                <w:szCs w:val="16"/>
                <w:lang w:eastAsia="es-CR"/>
              </w:rPr>
            </w:pPr>
            <w:r w:rsidRPr="0035055C">
              <w:rPr>
                <w:rFonts w:ascii="Book Antiqua" w:hAnsi="Book Antiqua" w:cs="Calibri"/>
                <w:sz w:val="16"/>
                <w:szCs w:val="16"/>
                <w:lang w:eastAsia="es-CR"/>
              </w:rPr>
              <w:t>Juzgado Ejecución de La Pena de Pococí</w:t>
            </w:r>
          </w:p>
        </w:tc>
        <w:tc>
          <w:tcPr>
            <w:tcW w:w="2600" w:type="dxa"/>
            <w:tcBorders>
              <w:top w:val="nil"/>
              <w:left w:val="single" w:sz="4" w:space="0" w:color="808080"/>
              <w:bottom w:val="single" w:sz="4" w:space="0" w:color="808080"/>
              <w:right w:val="single" w:sz="4" w:space="0" w:color="808080"/>
            </w:tcBorders>
            <w:shd w:val="clear" w:color="auto" w:fill="auto"/>
            <w:noWrap/>
            <w:vAlign w:val="center"/>
            <w:hideMark/>
          </w:tcPr>
          <w:p w14:paraId="2CA58985" w14:textId="77777777" w:rsidR="0035055C" w:rsidRPr="0035055C" w:rsidRDefault="0035055C" w:rsidP="0035055C">
            <w:pPr>
              <w:jc w:val="center"/>
              <w:rPr>
                <w:rFonts w:ascii="Book Antiqua" w:hAnsi="Book Antiqua" w:cs="Calibri"/>
                <w:color w:val="000000"/>
                <w:sz w:val="16"/>
                <w:szCs w:val="16"/>
                <w:lang w:eastAsia="es-CR"/>
              </w:rPr>
            </w:pPr>
            <w:r w:rsidRPr="0035055C">
              <w:rPr>
                <w:rFonts w:ascii="Book Antiqua" w:hAnsi="Book Antiqua" w:cs="Calibri"/>
                <w:color w:val="000000"/>
                <w:sz w:val="16"/>
                <w:szCs w:val="16"/>
                <w:lang w:eastAsia="es-CR"/>
              </w:rPr>
              <w:t>0%</w:t>
            </w:r>
          </w:p>
        </w:tc>
      </w:tr>
      <w:tr w:rsidR="0035055C" w:rsidRPr="0035055C" w14:paraId="0AF165E7" w14:textId="77777777" w:rsidTr="0035055C">
        <w:trPr>
          <w:trHeight w:val="290"/>
          <w:jc w:val="center"/>
        </w:trPr>
        <w:tc>
          <w:tcPr>
            <w:tcW w:w="414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F41C3C5" w14:textId="77777777" w:rsidR="0035055C" w:rsidRPr="0035055C" w:rsidRDefault="0035055C" w:rsidP="0035055C">
            <w:pPr>
              <w:rPr>
                <w:rFonts w:ascii="Book Antiqua" w:hAnsi="Book Antiqua" w:cs="Calibri"/>
                <w:b/>
                <w:bCs/>
                <w:color w:val="000000"/>
                <w:sz w:val="16"/>
                <w:szCs w:val="16"/>
                <w:lang w:eastAsia="es-CR"/>
              </w:rPr>
            </w:pPr>
            <w:r w:rsidRPr="0035055C">
              <w:rPr>
                <w:rFonts w:ascii="Book Antiqua" w:hAnsi="Book Antiqua" w:cs="Calibri"/>
                <w:b/>
                <w:bCs/>
                <w:color w:val="000000"/>
                <w:sz w:val="16"/>
                <w:szCs w:val="16"/>
                <w:lang w:eastAsia="es-CR"/>
              </w:rPr>
              <w:t>Promedio Global</w:t>
            </w:r>
          </w:p>
        </w:tc>
        <w:tc>
          <w:tcPr>
            <w:tcW w:w="2600" w:type="dxa"/>
            <w:tcBorders>
              <w:top w:val="nil"/>
              <w:left w:val="nil"/>
              <w:bottom w:val="single" w:sz="4" w:space="0" w:color="808080"/>
              <w:right w:val="single" w:sz="4" w:space="0" w:color="808080"/>
            </w:tcBorders>
            <w:shd w:val="clear" w:color="auto" w:fill="auto"/>
            <w:noWrap/>
            <w:vAlign w:val="center"/>
            <w:hideMark/>
          </w:tcPr>
          <w:p w14:paraId="290048B1" w14:textId="77777777" w:rsidR="0035055C" w:rsidRPr="0035055C" w:rsidRDefault="0035055C" w:rsidP="0035055C">
            <w:pPr>
              <w:jc w:val="center"/>
              <w:rPr>
                <w:rFonts w:ascii="Book Antiqua" w:hAnsi="Book Antiqua" w:cs="Calibri"/>
                <w:b/>
                <w:bCs/>
                <w:color w:val="000000"/>
                <w:sz w:val="16"/>
                <w:szCs w:val="16"/>
                <w:lang w:eastAsia="es-CR"/>
              </w:rPr>
            </w:pPr>
            <w:r w:rsidRPr="0035055C">
              <w:rPr>
                <w:rFonts w:ascii="Book Antiqua" w:hAnsi="Book Antiqua" w:cs="Calibri"/>
                <w:b/>
                <w:bCs/>
                <w:color w:val="000000"/>
                <w:sz w:val="16"/>
                <w:szCs w:val="16"/>
                <w:lang w:eastAsia="es-CR"/>
              </w:rPr>
              <w:t>90%</w:t>
            </w:r>
          </w:p>
        </w:tc>
      </w:tr>
    </w:tbl>
    <w:p w14:paraId="4FDD149A" w14:textId="77777777" w:rsidR="00F75E3A" w:rsidRDefault="00F75E3A" w:rsidP="00F75E3A">
      <w:pPr>
        <w:spacing w:line="276" w:lineRule="auto"/>
        <w:jc w:val="both"/>
        <w:rPr>
          <w:rFonts w:ascii="Book Antiqua" w:eastAsia="Book Antiqua" w:hAnsi="Book Antiqua" w:cs="Book Antiqua"/>
          <w:sz w:val="18"/>
          <w:szCs w:val="18"/>
        </w:rPr>
      </w:pPr>
      <w:r w:rsidRPr="009B6941">
        <w:rPr>
          <w:rFonts w:ascii="Book Antiqua" w:hAnsi="Book Antiqua"/>
          <w:bCs/>
          <w:color w:val="000000" w:themeColor="text1"/>
          <w:sz w:val="18"/>
          <w:szCs w:val="18"/>
        </w:rPr>
        <w:t xml:space="preserve">Nota: Las oficinas con ausencia del porcentaje de producción, obedece a que la información no fue recibida por esta dirección. En el caso del </w:t>
      </w:r>
      <w:r w:rsidRPr="0033474E">
        <w:rPr>
          <w:rFonts w:ascii="Book Antiqua" w:eastAsia="Book Antiqua" w:hAnsi="Book Antiqua" w:cs="Book Antiqua"/>
          <w:sz w:val="18"/>
          <w:szCs w:val="18"/>
        </w:rPr>
        <w:t>Juzgado Ejecución de La Pena de Pococí</w:t>
      </w:r>
      <w:r>
        <w:rPr>
          <w:rFonts w:ascii="Book Antiqua" w:eastAsia="Book Antiqua" w:hAnsi="Book Antiqua" w:cs="Book Antiqua"/>
          <w:sz w:val="18"/>
          <w:szCs w:val="18"/>
        </w:rPr>
        <w:t xml:space="preserve">, </w:t>
      </w:r>
      <w:r w:rsidRPr="009B6941">
        <w:rPr>
          <w:rFonts w:ascii="Book Antiqua" w:eastAsia="Book Antiqua" w:hAnsi="Book Antiqua" w:cs="Book Antiqua"/>
          <w:sz w:val="18"/>
          <w:szCs w:val="18"/>
        </w:rPr>
        <w:t>al no recibirse ningún dato se excluye del cálculo de la media general</w:t>
      </w:r>
      <w:r>
        <w:rPr>
          <w:rFonts w:ascii="Book Antiqua" w:eastAsia="Book Antiqua" w:hAnsi="Book Antiqua" w:cs="Book Antiqua"/>
          <w:sz w:val="18"/>
          <w:szCs w:val="18"/>
        </w:rPr>
        <w:t>.</w:t>
      </w:r>
    </w:p>
    <w:p w14:paraId="6F6C2951" w14:textId="77777777" w:rsidR="00F75E3A" w:rsidRDefault="00F75E3A" w:rsidP="00F75E3A">
      <w:pPr>
        <w:spacing w:line="276" w:lineRule="auto"/>
        <w:rPr>
          <w:rFonts w:ascii="Book Antiqua" w:hAnsi="Book Antiqua"/>
          <w:b/>
          <w:bCs/>
          <w:color w:val="000000" w:themeColor="text1"/>
          <w:sz w:val="20"/>
          <w:szCs w:val="20"/>
        </w:rPr>
      </w:pPr>
      <w:r w:rsidRPr="00677475">
        <w:rPr>
          <w:rFonts w:ascii="Book Antiqua" w:hAnsi="Book Antiqua"/>
          <w:b/>
          <w:bCs/>
          <w:color w:val="000000" w:themeColor="text1"/>
          <w:sz w:val="20"/>
          <w:szCs w:val="20"/>
        </w:rPr>
        <w:t xml:space="preserve">Fuente: </w:t>
      </w:r>
      <w:r w:rsidRPr="00677475">
        <w:rPr>
          <w:rFonts w:ascii="Book Antiqua" w:hAnsi="Book Antiqua"/>
          <w:color w:val="000000" w:themeColor="text1"/>
          <w:sz w:val="20"/>
          <w:szCs w:val="20"/>
        </w:rPr>
        <w:t>Matriz de indicadores de Gestión</w:t>
      </w:r>
    </w:p>
    <w:p w14:paraId="2379EC4F" w14:textId="77777777" w:rsidR="00F75E3A" w:rsidRPr="00921892" w:rsidRDefault="00F75E3A" w:rsidP="00F75E3A">
      <w:pPr>
        <w:spacing w:line="276" w:lineRule="auto"/>
        <w:rPr>
          <w:rFonts w:ascii="Book Antiqua" w:hAnsi="Book Antiqua"/>
          <w:b/>
          <w:color w:val="000000" w:themeColor="text1"/>
          <w:highlight w:val="yellow"/>
        </w:rPr>
      </w:pPr>
    </w:p>
    <w:p w14:paraId="176B4B1F" w14:textId="77777777" w:rsidR="00F75E3A" w:rsidRPr="008F2954" w:rsidRDefault="00F75E3A" w:rsidP="00F75E3A">
      <w:pPr>
        <w:spacing w:line="276" w:lineRule="auto"/>
        <w:rPr>
          <w:rFonts w:ascii="Book Antiqua" w:hAnsi="Book Antiqua"/>
          <w:bCs/>
          <w:color w:val="000000" w:themeColor="text1"/>
        </w:rPr>
      </w:pPr>
      <w:r w:rsidRPr="008F2954">
        <w:rPr>
          <w:rFonts w:ascii="Book Antiqua" w:hAnsi="Book Antiqua"/>
          <w:bCs/>
          <w:color w:val="000000" w:themeColor="text1"/>
        </w:rPr>
        <w:t>Con respecto a la firma de expedientes a continuación se puede ver el detalle:</w:t>
      </w:r>
    </w:p>
    <w:p w14:paraId="0A2DB57D" w14:textId="77777777" w:rsidR="00F75E3A" w:rsidRPr="00921892" w:rsidRDefault="00F75E3A" w:rsidP="00F75E3A">
      <w:pPr>
        <w:spacing w:line="276" w:lineRule="auto"/>
        <w:rPr>
          <w:rFonts w:ascii="Book Antiqua" w:hAnsi="Book Antiqua"/>
          <w:bCs/>
          <w:color w:val="000000" w:themeColor="text1"/>
          <w:highlight w:val="yellow"/>
        </w:rPr>
      </w:pPr>
    </w:p>
    <w:p w14:paraId="16982BFE" w14:textId="1591AB3C" w:rsidR="00F75E3A" w:rsidRPr="00B072D8" w:rsidRDefault="00F75E3A" w:rsidP="00F75E3A">
      <w:pPr>
        <w:spacing w:line="276" w:lineRule="auto"/>
        <w:jc w:val="both"/>
        <w:rPr>
          <w:rFonts w:ascii="Book Antiqua" w:hAnsi="Book Antiqua"/>
          <w:bCs/>
          <w:color w:val="000000" w:themeColor="text1"/>
        </w:rPr>
      </w:pPr>
      <w:r w:rsidRPr="00B072D8">
        <w:rPr>
          <w:rFonts w:ascii="Book Antiqua" w:hAnsi="Book Antiqua"/>
          <w:bCs/>
          <w:color w:val="000000" w:themeColor="text1"/>
        </w:rPr>
        <w:t xml:space="preserve">Con base en el cuadro se aprecia que el </w:t>
      </w:r>
      <w:r w:rsidRPr="00B072D8">
        <w:rPr>
          <w:rFonts w:ascii="Book Antiqua" w:hAnsi="Book Antiqua" w:cs="Calibri"/>
          <w:color w:val="000000"/>
          <w:lang w:eastAsia="es-CR"/>
        </w:rPr>
        <w:t xml:space="preserve">Juzgado de Ejecución de la Pena de </w:t>
      </w:r>
      <w:r w:rsidR="0035055C">
        <w:rPr>
          <w:rFonts w:ascii="Book Antiqua" w:hAnsi="Book Antiqua" w:cs="Calibri"/>
          <w:color w:val="000000"/>
          <w:lang w:eastAsia="es-CR"/>
        </w:rPr>
        <w:t>San José</w:t>
      </w:r>
      <w:r w:rsidRPr="00B072D8">
        <w:rPr>
          <w:rFonts w:ascii="Book Antiqua" w:hAnsi="Book Antiqua" w:cs="Calibri"/>
          <w:color w:val="000000"/>
          <w:lang w:eastAsia="es-CR"/>
        </w:rPr>
        <w:t xml:space="preserve">, presenta el mayor rendimiento general con un </w:t>
      </w:r>
      <w:r w:rsidR="0035055C">
        <w:rPr>
          <w:rFonts w:ascii="Book Antiqua" w:hAnsi="Book Antiqua" w:cs="Calibri"/>
          <w:color w:val="000000"/>
          <w:lang w:eastAsia="es-CR"/>
        </w:rPr>
        <w:t>407</w:t>
      </w:r>
      <w:r w:rsidRPr="00B072D8">
        <w:rPr>
          <w:rFonts w:ascii="Book Antiqua" w:hAnsi="Book Antiqua" w:cs="Calibri"/>
          <w:color w:val="000000"/>
          <w:lang w:eastAsia="es-CR"/>
        </w:rPr>
        <w:t xml:space="preserve">% de cumplimiento, en tanto, el Juzgado de Ejecución de la Pena del Primer Circuito Judicial de la Zona Atlántica (Limón), </w:t>
      </w:r>
      <w:r>
        <w:rPr>
          <w:rFonts w:ascii="Book Antiqua" w:hAnsi="Book Antiqua" w:cs="Calibri"/>
          <w:color w:val="000000"/>
          <w:lang w:eastAsia="es-CR"/>
        </w:rPr>
        <w:t xml:space="preserve">obtiene rendimiento inferior a la cifra ideal con </w:t>
      </w:r>
      <w:r w:rsidRPr="00B072D8">
        <w:rPr>
          <w:rFonts w:ascii="Book Antiqua" w:hAnsi="Book Antiqua" w:cs="Calibri"/>
          <w:color w:val="000000"/>
          <w:lang w:eastAsia="es-CR"/>
        </w:rPr>
        <w:t xml:space="preserve">un </w:t>
      </w:r>
      <w:r w:rsidR="0035055C">
        <w:rPr>
          <w:rFonts w:ascii="Book Antiqua" w:hAnsi="Book Antiqua" w:cs="Calibri"/>
          <w:color w:val="000000"/>
          <w:lang w:eastAsia="es-CR"/>
        </w:rPr>
        <w:t>64</w:t>
      </w:r>
      <w:r w:rsidRPr="00B072D8">
        <w:rPr>
          <w:rFonts w:ascii="Book Antiqua" w:hAnsi="Book Antiqua" w:cs="Calibri"/>
          <w:color w:val="000000"/>
          <w:lang w:eastAsia="es-CR"/>
        </w:rPr>
        <w:t xml:space="preserve">%. En términos generales los despachos analizados cumplen en un </w:t>
      </w:r>
      <w:r w:rsidR="0035055C">
        <w:rPr>
          <w:rFonts w:ascii="Book Antiqua" w:hAnsi="Book Antiqua" w:cs="Calibri"/>
          <w:color w:val="000000"/>
          <w:lang w:eastAsia="es-CR"/>
        </w:rPr>
        <w:t>226</w:t>
      </w:r>
      <w:r w:rsidRPr="00B072D8">
        <w:rPr>
          <w:rFonts w:ascii="Book Antiqua" w:hAnsi="Book Antiqua" w:cs="Calibri"/>
          <w:color w:val="000000"/>
          <w:lang w:eastAsia="es-CR"/>
        </w:rPr>
        <w:t>%.</w:t>
      </w:r>
    </w:p>
    <w:p w14:paraId="66DC6FDC" w14:textId="77777777" w:rsidR="00F75E3A" w:rsidRPr="00B072D8" w:rsidRDefault="00F75E3A" w:rsidP="00F75E3A">
      <w:pPr>
        <w:spacing w:line="276" w:lineRule="auto"/>
        <w:jc w:val="center"/>
        <w:rPr>
          <w:rFonts w:ascii="Book Antiqua" w:hAnsi="Book Antiqua"/>
          <w:b/>
          <w:color w:val="000000" w:themeColor="text1"/>
          <w:highlight w:val="green"/>
        </w:rPr>
      </w:pPr>
    </w:p>
    <w:p w14:paraId="31BC3ACA" w14:textId="77777777" w:rsidR="00F75E3A" w:rsidRDefault="00F75E3A" w:rsidP="00F75E3A">
      <w:pPr>
        <w:spacing w:line="276" w:lineRule="auto"/>
        <w:rPr>
          <w:rFonts w:ascii="Book Antiqua" w:hAnsi="Book Antiqua"/>
          <w:b/>
          <w:color w:val="000000" w:themeColor="text1"/>
          <w:highlight w:val="green"/>
        </w:rPr>
      </w:pPr>
    </w:p>
    <w:p w14:paraId="1D28387E" w14:textId="5578E494" w:rsidR="00F75E3A" w:rsidRPr="00EC505D" w:rsidRDefault="00F75E3A" w:rsidP="00F75E3A">
      <w:pPr>
        <w:spacing w:line="276" w:lineRule="auto"/>
        <w:jc w:val="center"/>
        <w:rPr>
          <w:rFonts w:ascii="Book Antiqua" w:hAnsi="Book Antiqua"/>
          <w:b/>
          <w:color w:val="000000" w:themeColor="text1"/>
        </w:rPr>
      </w:pPr>
      <w:r w:rsidRPr="00EC505D">
        <w:rPr>
          <w:rFonts w:ascii="Book Antiqua" w:hAnsi="Book Antiqua"/>
          <w:b/>
          <w:color w:val="000000" w:themeColor="text1"/>
        </w:rPr>
        <w:t xml:space="preserve">Cuadro </w:t>
      </w:r>
      <w:r w:rsidR="0035055C">
        <w:rPr>
          <w:rFonts w:ascii="Book Antiqua" w:hAnsi="Book Antiqua"/>
          <w:b/>
          <w:color w:val="000000" w:themeColor="text1"/>
        </w:rPr>
        <w:t>8</w:t>
      </w:r>
      <w:r w:rsidR="00F353FF">
        <w:rPr>
          <w:rFonts w:ascii="Book Antiqua" w:hAnsi="Book Antiqua"/>
          <w:b/>
          <w:color w:val="000000" w:themeColor="text1"/>
        </w:rPr>
        <w:t>4</w:t>
      </w:r>
    </w:p>
    <w:p w14:paraId="2B0BFCD6" w14:textId="225DF1B3" w:rsidR="00F75E3A" w:rsidRDefault="00F75E3A" w:rsidP="00F75E3A">
      <w:pPr>
        <w:spacing w:line="276" w:lineRule="auto"/>
        <w:jc w:val="center"/>
        <w:rPr>
          <w:rFonts w:ascii="Book Antiqua" w:hAnsi="Book Antiqua"/>
          <w:bCs/>
          <w:color w:val="000000" w:themeColor="text1"/>
        </w:rPr>
      </w:pPr>
      <w:r w:rsidRPr="00921892">
        <w:rPr>
          <w:rFonts w:ascii="Book Antiqua" w:hAnsi="Book Antiqua"/>
          <w:bCs/>
          <w:color w:val="000000" w:themeColor="text1"/>
        </w:rPr>
        <w:t xml:space="preserve">Cumplimiento del parámetro de producción teórico de firma de </w:t>
      </w:r>
      <w:r>
        <w:rPr>
          <w:rFonts w:ascii="Book Antiqua" w:hAnsi="Book Antiqua"/>
          <w:bCs/>
          <w:color w:val="000000" w:themeColor="text1"/>
        </w:rPr>
        <w:t>expedientes</w:t>
      </w:r>
      <w:r w:rsidRPr="00921892">
        <w:rPr>
          <w:rFonts w:ascii="Book Antiqua" w:hAnsi="Book Antiqua"/>
          <w:bCs/>
          <w:color w:val="000000" w:themeColor="text1"/>
        </w:rPr>
        <w:t xml:space="preserve"> </w:t>
      </w:r>
      <w:r>
        <w:rPr>
          <w:rFonts w:ascii="Book Antiqua" w:hAnsi="Book Antiqua"/>
          <w:bCs/>
          <w:color w:val="000000" w:themeColor="text1"/>
        </w:rPr>
        <w:t xml:space="preserve">de los </w:t>
      </w:r>
      <w:r w:rsidRPr="00921892">
        <w:rPr>
          <w:rFonts w:ascii="Book Antiqua" w:hAnsi="Book Antiqua"/>
          <w:bCs/>
          <w:color w:val="000000" w:themeColor="text1"/>
        </w:rPr>
        <w:t xml:space="preserve">Juzgados de Ejecución de la Penal durante </w:t>
      </w:r>
      <w:r w:rsidR="0035055C">
        <w:rPr>
          <w:rFonts w:ascii="Book Antiqua" w:hAnsi="Book Antiqua"/>
          <w:bCs/>
          <w:color w:val="000000" w:themeColor="text1"/>
        </w:rPr>
        <w:t>setiembre</w:t>
      </w:r>
      <w:r w:rsidRPr="00921892">
        <w:rPr>
          <w:rFonts w:ascii="Book Antiqua" w:hAnsi="Book Antiqua"/>
          <w:bCs/>
          <w:color w:val="000000" w:themeColor="text1"/>
        </w:rPr>
        <w:t xml:space="preserve"> 2021</w:t>
      </w:r>
    </w:p>
    <w:tbl>
      <w:tblPr>
        <w:tblW w:w="6994" w:type="dxa"/>
        <w:jc w:val="center"/>
        <w:tblCellMar>
          <w:left w:w="70" w:type="dxa"/>
          <w:right w:w="70" w:type="dxa"/>
        </w:tblCellMar>
        <w:tblLook w:val="04A0" w:firstRow="1" w:lastRow="0" w:firstColumn="1" w:lastColumn="0" w:noHBand="0" w:noVBand="1"/>
      </w:tblPr>
      <w:tblGrid>
        <w:gridCol w:w="4494"/>
        <w:gridCol w:w="2500"/>
      </w:tblGrid>
      <w:tr w:rsidR="0035055C" w:rsidRPr="0035055C" w14:paraId="686A4C12" w14:textId="77777777" w:rsidTr="0035055C">
        <w:trPr>
          <w:trHeight w:val="780"/>
          <w:jc w:val="center"/>
        </w:trPr>
        <w:tc>
          <w:tcPr>
            <w:tcW w:w="4494" w:type="dxa"/>
            <w:tcBorders>
              <w:top w:val="single" w:sz="4" w:space="0" w:color="808080"/>
              <w:left w:val="single" w:sz="4" w:space="0" w:color="808080"/>
              <w:bottom w:val="single" w:sz="4" w:space="0" w:color="808080"/>
              <w:right w:val="single" w:sz="4" w:space="0" w:color="808080"/>
            </w:tcBorders>
            <w:shd w:val="clear" w:color="000000" w:fill="305496"/>
            <w:noWrap/>
            <w:vAlign w:val="center"/>
            <w:hideMark/>
          </w:tcPr>
          <w:p w14:paraId="359B8313" w14:textId="77777777" w:rsidR="0035055C" w:rsidRPr="0035055C" w:rsidRDefault="0035055C" w:rsidP="0035055C">
            <w:pPr>
              <w:jc w:val="center"/>
              <w:rPr>
                <w:rFonts w:ascii="Book Antiqua" w:hAnsi="Book Antiqua" w:cs="Calibri"/>
                <w:b/>
                <w:bCs/>
                <w:color w:val="FFFFFF"/>
                <w:sz w:val="16"/>
                <w:szCs w:val="16"/>
                <w:lang w:eastAsia="es-CR"/>
              </w:rPr>
            </w:pPr>
            <w:r w:rsidRPr="0035055C">
              <w:rPr>
                <w:rFonts w:ascii="Book Antiqua" w:hAnsi="Book Antiqua" w:cs="Calibri"/>
                <w:b/>
                <w:bCs/>
                <w:color w:val="FFFFFF"/>
                <w:sz w:val="16"/>
                <w:szCs w:val="16"/>
                <w:lang w:eastAsia="es-CR"/>
              </w:rPr>
              <w:t>Oficina</w:t>
            </w:r>
          </w:p>
        </w:tc>
        <w:tc>
          <w:tcPr>
            <w:tcW w:w="2500" w:type="dxa"/>
            <w:tcBorders>
              <w:top w:val="single" w:sz="4" w:space="0" w:color="808080"/>
              <w:left w:val="nil"/>
              <w:bottom w:val="single" w:sz="4" w:space="0" w:color="808080"/>
              <w:right w:val="single" w:sz="4" w:space="0" w:color="808080"/>
            </w:tcBorders>
            <w:shd w:val="clear" w:color="000000" w:fill="305496"/>
            <w:vAlign w:val="center"/>
            <w:hideMark/>
          </w:tcPr>
          <w:p w14:paraId="2A004BD7" w14:textId="77777777" w:rsidR="0035055C" w:rsidRPr="0035055C" w:rsidRDefault="0035055C" w:rsidP="0035055C">
            <w:pPr>
              <w:jc w:val="center"/>
              <w:rPr>
                <w:rFonts w:ascii="Book Antiqua" w:hAnsi="Book Antiqua" w:cs="Calibri"/>
                <w:b/>
                <w:bCs/>
                <w:color w:val="FFFFFF"/>
                <w:sz w:val="16"/>
                <w:szCs w:val="16"/>
                <w:lang w:eastAsia="es-CR"/>
              </w:rPr>
            </w:pPr>
            <w:r w:rsidRPr="0035055C">
              <w:rPr>
                <w:rFonts w:ascii="Book Antiqua" w:hAnsi="Book Antiqua" w:cs="Calibri"/>
                <w:b/>
                <w:bCs/>
                <w:color w:val="FFFFFF"/>
                <w:sz w:val="16"/>
                <w:szCs w:val="16"/>
                <w:lang w:eastAsia="es-CR"/>
              </w:rPr>
              <w:t>Porcentaje cumplimiento cuota teórica de firma de resolución</w:t>
            </w:r>
          </w:p>
        </w:tc>
      </w:tr>
      <w:tr w:rsidR="0035055C" w:rsidRPr="0035055C" w14:paraId="28938326" w14:textId="77777777" w:rsidTr="0035055C">
        <w:trPr>
          <w:trHeight w:val="290"/>
          <w:jc w:val="center"/>
        </w:trPr>
        <w:tc>
          <w:tcPr>
            <w:tcW w:w="44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54DFE" w14:textId="77777777" w:rsidR="0035055C" w:rsidRPr="0035055C" w:rsidRDefault="0035055C" w:rsidP="0035055C">
            <w:pPr>
              <w:rPr>
                <w:rFonts w:ascii="Book Antiqua" w:hAnsi="Book Antiqua" w:cs="Calibri"/>
                <w:sz w:val="16"/>
                <w:szCs w:val="16"/>
                <w:lang w:eastAsia="es-CR"/>
              </w:rPr>
            </w:pPr>
            <w:r w:rsidRPr="0035055C">
              <w:rPr>
                <w:rFonts w:ascii="Book Antiqua" w:hAnsi="Book Antiqua" w:cs="Calibri"/>
                <w:sz w:val="16"/>
                <w:szCs w:val="16"/>
                <w:lang w:eastAsia="es-CR"/>
              </w:rPr>
              <w:t>Juzgado Ejecución de La Pena de San José</w:t>
            </w:r>
          </w:p>
        </w:tc>
        <w:tc>
          <w:tcPr>
            <w:tcW w:w="2500" w:type="dxa"/>
            <w:tcBorders>
              <w:top w:val="nil"/>
              <w:left w:val="single" w:sz="4" w:space="0" w:color="808080"/>
              <w:bottom w:val="single" w:sz="4" w:space="0" w:color="808080"/>
              <w:right w:val="single" w:sz="4" w:space="0" w:color="808080"/>
            </w:tcBorders>
            <w:shd w:val="clear" w:color="auto" w:fill="auto"/>
            <w:noWrap/>
            <w:vAlign w:val="center"/>
            <w:hideMark/>
          </w:tcPr>
          <w:p w14:paraId="6DBDE1FC" w14:textId="77777777" w:rsidR="0035055C" w:rsidRPr="0035055C" w:rsidRDefault="0035055C" w:rsidP="0035055C">
            <w:pPr>
              <w:jc w:val="center"/>
              <w:rPr>
                <w:rFonts w:ascii="Book Antiqua" w:hAnsi="Book Antiqua" w:cs="Calibri"/>
                <w:color w:val="000000"/>
                <w:sz w:val="16"/>
                <w:szCs w:val="16"/>
                <w:lang w:eastAsia="es-CR"/>
              </w:rPr>
            </w:pPr>
            <w:r w:rsidRPr="0035055C">
              <w:rPr>
                <w:rFonts w:ascii="Book Antiqua" w:hAnsi="Book Antiqua" w:cs="Calibri"/>
                <w:color w:val="000000"/>
                <w:sz w:val="16"/>
                <w:szCs w:val="16"/>
                <w:lang w:eastAsia="es-CR"/>
              </w:rPr>
              <w:t>407%</w:t>
            </w:r>
          </w:p>
        </w:tc>
      </w:tr>
      <w:tr w:rsidR="0035055C" w:rsidRPr="0035055C" w14:paraId="53B52FBA" w14:textId="77777777" w:rsidTr="0035055C">
        <w:trPr>
          <w:trHeight w:val="290"/>
          <w:jc w:val="center"/>
        </w:trPr>
        <w:tc>
          <w:tcPr>
            <w:tcW w:w="4494" w:type="dxa"/>
            <w:tcBorders>
              <w:top w:val="nil"/>
              <w:left w:val="single" w:sz="4" w:space="0" w:color="auto"/>
              <w:bottom w:val="single" w:sz="4" w:space="0" w:color="auto"/>
              <w:right w:val="single" w:sz="4" w:space="0" w:color="auto"/>
            </w:tcBorders>
            <w:shd w:val="clear" w:color="auto" w:fill="auto"/>
            <w:noWrap/>
            <w:vAlign w:val="center"/>
            <w:hideMark/>
          </w:tcPr>
          <w:p w14:paraId="3E1B135C" w14:textId="77777777" w:rsidR="0035055C" w:rsidRPr="0035055C" w:rsidRDefault="0035055C" w:rsidP="0035055C">
            <w:pPr>
              <w:rPr>
                <w:rFonts w:ascii="Book Antiqua" w:hAnsi="Book Antiqua" w:cs="Calibri"/>
                <w:sz w:val="16"/>
                <w:szCs w:val="16"/>
                <w:lang w:eastAsia="es-CR"/>
              </w:rPr>
            </w:pPr>
            <w:r w:rsidRPr="0035055C">
              <w:rPr>
                <w:rFonts w:ascii="Book Antiqua" w:hAnsi="Book Antiqua" w:cs="Calibri"/>
                <w:sz w:val="16"/>
                <w:szCs w:val="16"/>
                <w:lang w:eastAsia="es-CR"/>
              </w:rPr>
              <w:t>Juzgado Ejecución de La Pena de Puntarenas</w:t>
            </w:r>
          </w:p>
        </w:tc>
        <w:tc>
          <w:tcPr>
            <w:tcW w:w="2500" w:type="dxa"/>
            <w:tcBorders>
              <w:top w:val="nil"/>
              <w:left w:val="single" w:sz="4" w:space="0" w:color="808080"/>
              <w:bottom w:val="single" w:sz="4" w:space="0" w:color="808080"/>
              <w:right w:val="single" w:sz="4" w:space="0" w:color="808080"/>
            </w:tcBorders>
            <w:shd w:val="clear" w:color="auto" w:fill="auto"/>
            <w:noWrap/>
            <w:vAlign w:val="center"/>
            <w:hideMark/>
          </w:tcPr>
          <w:p w14:paraId="2FC27FFF" w14:textId="77777777" w:rsidR="0035055C" w:rsidRPr="0035055C" w:rsidRDefault="0035055C" w:rsidP="0035055C">
            <w:pPr>
              <w:jc w:val="center"/>
              <w:rPr>
                <w:rFonts w:ascii="Book Antiqua" w:hAnsi="Book Antiqua" w:cs="Calibri"/>
                <w:color w:val="000000"/>
                <w:sz w:val="16"/>
                <w:szCs w:val="16"/>
                <w:lang w:eastAsia="es-CR"/>
              </w:rPr>
            </w:pPr>
            <w:r w:rsidRPr="0035055C">
              <w:rPr>
                <w:rFonts w:ascii="Book Antiqua" w:hAnsi="Book Antiqua" w:cs="Calibri"/>
                <w:color w:val="000000"/>
                <w:sz w:val="16"/>
                <w:szCs w:val="16"/>
                <w:lang w:eastAsia="es-CR"/>
              </w:rPr>
              <w:t>286%</w:t>
            </w:r>
          </w:p>
        </w:tc>
      </w:tr>
      <w:tr w:rsidR="0035055C" w:rsidRPr="0035055C" w14:paraId="0994E2D9" w14:textId="77777777" w:rsidTr="0035055C">
        <w:trPr>
          <w:trHeight w:val="290"/>
          <w:jc w:val="center"/>
        </w:trPr>
        <w:tc>
          <w:tcPr>
            <w:tcW w:w="4494" w:type="dxa"/>
            <w:tcBorders>
              <w:top w:val="nil"/>
              <w:left w:val="single" w:sz="4" w:space="0" w:color="auto"/>
              <w:bottom w:val="single" w:sz="4" w:space="0" w:color="auto"/>
              <w:right w:val="single" w:sz="4" w:space="0" w:color="auto"/>
            </w:tcBorders>
            <w:shd w:val="clear" w:color="auto" w:fill="auto"/>
            <w:noWrap/>
            <w:vAlign w:val="center"/>
            <w:hideMark/>
          </w:tcPr>
          <w:p w14:paraId="68F4E775" w14:textId="77777777" w:rsidR="0035055C" w:rsidRPr="0035055C" w:rsidRDefault="0035055C" w:rsidP="0035055C">
            <w:pPr>
              <w:rPr>
                <w:rFonts w:ascii="Book Antiqua" w:hAnsi="Book Antiqua" w:cs="Calibri"/>
                <w:sz w:val="16"/>
                <w:szCs w:val="16"/>
                <w:lang w:eastAsia="es-CR"/>
              </w:rPr>
            </w:pPr>
            <w:r w:rsidRPr="0035055C">
              <w:rPr>
                <w:rFonts w:ascii="Book Antiqua" w:hAnsi="Book Antiqua" w:cs="Calibri"/>
                <w:sz w:val="16"/>
                <w:szCs w:val="16"/>
                <w:lang w:eastAsia="es-CR"/>
              </w:rPr>
              <w:t>Juzgado Ejecución de La Pena de Alajuela</w:t>
            </w:r>
          </w:p>
        </w:tc>
        <w:tc>
          <w:tcPr>
            <w:tcW w:w="2500" w:type="dxa"/>
            <w:tcBorders>
              <w:top w:val="nil"/>
              <w:left w:val="single" w:sz="4" w:space="0" w:color="808080"/>
              <w:bottom w:val="single" w:sz="4" w:space="0" w:color="808080"/>
              <w:right w:val="single" w:sz="4" w:space="0" w:color="808080"/>
            </w:tcBorders>
            <w:shd w:val="clear" w:color="auto" w:fill="auto"/>
            <w:noWrap/>
            <w:vAlign w:val="center"/>
            <w:hideMark/>
          </w:tcPr>
          <w:p w14:paraId="16605B22" w14:textId="77777777" w:rsidR="0035055C" w:rsidRPr="0035055C" w:rsidRDefault="0035055C" w:rsidP="0035055C">
            <w:pPr>
              <w:jc w:val="center"/>
              <w:rPr>
                <w:rFonts w:ascii="Book Antiqua" w:hAnsi="Book Antiqua" w:cs="Calibri"/>
                <w:color w:val="000000"/>
                <w:sz w:val="16"/>
                <w:szCs w:val="16"/>
                <w:lang w:eastAsia="es-CR"/>
              </w:rPr>
            </w:pPr>
            <w:r w:rsidRPr="0035055C">
              <w:rPr>
                <w:rFonts w:ascii="Book Antiqua" w:hAnsi="Book Antiqua" w:cs="Calibri"/>
                <w:color w:val="000000"/>
                <w:sz w:val="16"/>
                <w:szCs w:val="16"/>
                <w:lang w:eastAsia="es-CR"/>
              </w:rPr>
              <w:t>269%</w:t>
            </w:r>
          </w:p>
        </w:tc>
      </w:tr>
      <w:tr w:rsidR="0035055C" w:rsidRPr="0035055C" w14:paraId="7EACA76F" w14:textId="77777777" w:rsidTr="0035055C">
        <w:trPr>
          <w:trHeight w:val="290"/>
          <w:jc w:val="center"/>
        </w:trPr>
        <w:tc>
          <w:tcPr>
            <w:tcW w:w="4494" w:type="dxa"/>
            <w:tcBorders>
              <w:top w:val="nil"/>
              <w:left w:val="single" w:sz="4" w:space="0" w:color="auto"/>
              <w:bottom w:val="single" w:sz="4" w:space="0" w:color="auto"/>
              <w:right w:val="single" w:sz="4" w:space="0" w:color="auto"/>
            </w:tcBorders>
            <w:shd w:val="clear" w:color="auto" w:fill="auto"/>
            <w:noWrap/>
            <w:vAlign w:val="center"/>
            <w:hideMark/>
          </w:tcPr>
          <w:p w14:paraId="2FCF5ADA" w14:textId="77777777" w:rsidR="0035055C" w:rsidRPr="0035055C" w:rsidRDefault="0035055C" w:rsidP="0035055C">
            <w:pPr>
              <w:rPr>
                <w:rFonts w:ascii="Book Antiqua" w:hAnsi="Book Antiqua" w:cs="Calibri"/>
                <w:sz w:val="16"/>
                <w:szCs w:val="16"/>
                <w:lang w:eastAsia="es-CR"/>
              </w:rPr>
            </w:pPr>
            <w:r w:rsidRPr="0035055C">
              <w:rPr>
                <w:rFonts w:ascii="Book Antiqua" w:hAnsi="Book Antiqua" w:cs="Calibri"/>
                <w:sz w:val="16"/>
                <w:szCs w:val="16"/>
                <w:lang w:eastAsia="es-CR"/>
              </w:rPr>
              <w:t>Juzgado Ejecución de La Pena de Cartago</w:t>
            </w:r>
          </w:p>
        </w:tc>
        <w:tc>
          <w:tcPr>
            <w:tcW w:w="2500" w:type="dxa"/>
            <w:tcBorders>
              <w:top w:val="nil"/>
              <w:left w:val="single" w:sz="4" w:space="0" w:color="808080"/>
              <w:bottom w:val="single" w:sz="4" w:space="0" w:color="808080"/>
              <w:right w:val="single" w:sz="4" w:space="0" w:color="808080"/>
            </w:tcBorders>
            <w:shd w:val="clear" w:color="auto" w:fill="auto"/>
            <w:noWrap/>
            <w:vAlign w:val="center"/>
            <w:hideMark/>
          </w:tcPr>
          <w:p w14:paraId="40DD23A1" w14:textId="77777777" w:rsidR="0035055C" w:rsidRPr="0035055C" w:rsidRDefault="0035055C" w:rsidP="0035055C">
            <w:pPr>
              <w:jc w:val="center"/>
              <w:rPr>
                <w:rFonts w:ascii="Book Antiqua" w:hAnsi="Book Antiqua" w:cs="Calibri"/>
                <w:color w:val="000000"/>
                <w:sz w:val="16"/>
                <w:szCs w:val="16"/>
                <w:lang w:eastAsia="es-CR"/>
              </w:rPr>
            </w:pPr>
            <w:r w:rsidRPr="0035055C">
              <w:rPr>
                <w:rFonts w:ascii="Book Antiqua" w:hAnsi="Book Antiqua" w:cs="Calibri"/>
                <w:color w:val="000000"/>
                <w:sz w:val="16"/>
                <w:szCs w:val="16"/>
                <w:lang w:eastAsia="es-CR"/>
              </w:rPr>
              <w:t>184%</w:t>
            </w:r>
          </w:p>
        </w:tc>
      </w:tr>
      <w:tr w:rsidR="0035055C" w:rsidRPr="0035055C" w14:paraId="1EFEB738" w14:textId="77777777" w:rsidTr="0035055C">
        <w:trPr>
          <w:trHeight w:val="290"/>
          <w:jc w:val="center"/>
        </w:trPr>
        <w:tc>
          <w:tcPr>
            <w:tcW w:w="4494" w:type="dxa"/>
            <w:tcBorders>
              <w:top w:val="nil"/>
              <w:left w:val="single" w:sz="4" w:space="0" w:color="auto"/>
              <w:bottom w:val="single" w:sz="4" w:space="0" w:color="auto"/>
              <w:right w:val="single" w:sz="4" w:space="0" w:color="auto"/>
            </w:tcBorders>
            <w:shd w:val="clear" w:color="auto" w:fill="auto"/>
            <w:noWrap/>
            <w:vAlign w:val="center"/>
            <w:hideMark/>
          </w:tcPr>
          <w:p w14:paraId="40A04642" w14:textId="77777777" w:rsidR="0035055C" w:rsidRPr="0035055C" w:rsidRDefault="0035055C" w:rsidP="0035055C">
            <w:pPr>
              <w:rPr>
                <w:rFonts w:ascii="Book Antiqua" w:hAnsi="Book Antiqua" w:cs="Calibri"/>
                <w:sz w:val="16"/>
                <w:szCs w:val="16"/>
                <w:lang w:eastAsia="es-CR"/>
              </w:rPr>
            </w:pPr>
            <w:r w:rsidRPr="0035055C">
              <w:rPr>
                <w:rFonts w:ascii="Book Antiqua" w:hAnsi="Book Antiqua" w:cs="Calibri"/>
                <w:sz w:val="16"/>
                <w:szCs w:val="16"/>
                <w:lang w:eastAsia="es-CR"/>
              </w:rPr>
              <w:t>Juzgado Ejecución de La Pena de Liberia</w:t>
            </w:r>
          </w:p>
        </w:tc>
        <w:tc>
          <w:tcPr>
            <w:tcW w:w="2500" w:type="dxa"/>
            <w:tcBorders>
              <w:top w:val="nil"/>
              <w:left w:val="single" w:sz="4" w:space="0" w:color="808080"/>
              <w:bottom w:val="single" w:sz="4" w:space="0" w:color="808080"/>
              <w:right w:val="single" w:sz="4" w:space="0" w:color="808080"/>
            </w:tcBorders>
            <w:shd w:val="clear" w:color="auto" w:fill="auto"/>
            <w:noWrap/>
            <w:vAlign w:val="center"/>
            <w:hideMark/>
          </w:tcPr>
          <w:p w14:paraId="5FB43268" w14:textId="77777777" w:rsidR="0035055C" w:rsidRPr="0035055C" w:rsidRDefault="0035055C" w:rsidP="0035055C">
            <w:pPr>
              <w:jc w:val="center"/>
              <w:rPr>
                <w:rFonts w:ascii="Book Antiqua" w:hAnsi="Book Antiqua" w:cs="Calibri"/>
                <w:color w:val="000000"/>
                <w:sz w:val="16"/>
                <w:szCs w:val="16"/>
                <w:lang w:eastAsia="es-CR"/>
              </w:rPr>
            </w:pPr>
            <w:r w:rsidRPr="0035055C">
              <w:rPr>
                <w:rFonts w:ascii="Book Antiqua" w:hAnsi="Book Antiqua" w:cs="Calibri"/>
                <w:color w:val="000000"/>
                <w:sz w:val="16"/>
                <w:szCs w:val="16"/>
                <w:lang w:eastAsia="es-CR"/>
              </w:rPr>
              <w:t>144%</w:t>
            </w:r>
          </w:p>
        </w:tc>
      </w:tr>
      <w:tr w:rsidR="0035055C" w:rsidRPr="0035055C" w14:paraId="01F733CD" w14:textId="77777777" w:rsidTr="0035055C">
        <w:trPr>
          <w:trHeight w:val="290"/>
          <w:jc w:val="center"/>
        </w:trPr>
        <w:tc>
          <w:tcPr>
            <w:tcW w:w="4494" w:type="dxa"/>
            <w:tcBorders>
              <w:top w:val="nil"/>
              <w:left w:val="single" w:sz="4" w:space="0" w:color="auto"/>
              <w:bottom w:val="single" w:sz="4" w:space="0" w:color="auto"/>
              <w:right w:val="single" w:sz="4" w:space="0" w:color="auto"/>
            </w:tcBorders>
            <w:shd w:val="clear" w:color="auto" w:fill="auto"/>
            <w:noWrap/>
            <w:vAlign w:val="center"/>
            <w:hideMark/>
          </w:tcPr>
          <w:p w14:paraId="2CC7A75A" w14:textId="77777777" w:rsidR="0035055C" w:rsidRPr="0035055C" w:rsidRDefault="0035055C" w:rsidP="0035055C">
            <w:pPr>
              <w:rPr>
                <w:rFonts w:ascii="Book Antiqua" w:hAnsi="Book Antiqua" w:cs="Calibri"/>
                <w:sz w:val="16"/>
                <w:szCs w:val="16"/>
                <w:lang w:eastAsia="es-CR"/>
              </w:rPr>
            </w:pPr>
            <w:r w:rsidRPr="0035055C">
              <w:rPr>
                <w:rFonts w:ascii="Book Antiqua" w:hAnsi="Book Antiqua" w:cs="Calibri"/>
                <w:sz w:val="16"/>
                <w:szCs w:val="16"/>
                <w:lang w:eastAsia="es-CR"/>
              </w:rPr>
              <w:t>Juzgado Ejecución de La Pena de Limón</w:t>
            </w:r>
          </w:p>
        </w:tc>
        <w:tc>
          <w:tcPr>
            <w:tcW w:w="2500" w:type="dxa"/>
            <w:tcBorders>
              <w:top w:val="nil"/>
              <w:left w:val="single" w:sz="4" w:space="0" w:color="808080"/>
              <w:bottom w:val="single" w:sz="4" w:space="0" w:color="808080"/>
              <w:right w:val="single" w:sz="4" w:space="0" w:color="808080"/>
            </w:tcBorders>
            <w:shd w:val="clear" w:color="auto" w:fill="auto"/>
            <w:noWrap/>
            <w:vAlign w:val="center"/>
            <w:hideMark/>
          </w:tcPr>
          <w:p w14:paraId="026BF088" w14:textId="77777777" w:rsidR="0035055C" w:rsidRPr="0035055C" w:rsidRDefault="0035055C" w:rsidP="0035055C">
            <w:pPr>
              <w:jc w:val="center"/>
              <w:rPr>
                <w:rFonts w:ascii="Book Antiqua" w:hAnsi="Book Antiqua" w:cs="Calibri"/>
                <w:color w:val="000000"/>
                <w:sz w:val="16"/>
                <w:szCs w:val="16"/>
                <w:lang w:eastAsia="es-CR"/>
              </w:rPr>
            </w:pPr>
            <w:r w:rsidRPr="0035055C">
              <w:rPr>
                <w:rFonts w:ascii="Book Antiqua" w:hAnsi="Book Antiqua" w:cs="Calibri"/>
                <w:color w:val="000000"/>
                <w:sz w:val="16"/>
                <w:szCs w:val="16"/>
                <w:lang w:eastAsia="es-CR"/>
              </w:rPr>
              <w:t>64%</w:t>
            </w:r>
          </w:p>
        </w:tc>
      </w:tr>
      <w:tr w:rsidR="0035055C" w:rsidRPr="0035055C" w14:paraId="7F930016" w14:textId="77777777" w:rsidTr="0035055C">
        <w:trPr>
          <w:trHeight w:val="290"/>
          <w:jc w:val="center"/>
        </w:trPr>
        <w:tc>
          <w:tcPr>
            <w:tcW w:w="4494" w:type="dxa"/>
            <w:tcBorders>
              <w:top w:val="nil"/>
              <w:left w:val="single" w:sz="4" w:space="0" w:color="auto"/>
              <w:bottom w:val="single" w:sz="4" w:space="0" w:color="auto"/>
              <w:right w:val="single" w:sz="4" w:space="0" w:color="auto"/>
            </w:tcBorders>
            <w:shd w:val="clear" w:color="auto" w:fill="auto"/>
            <w:noWrap/>
            <w:vAlign w:val="center"/>
            <w:hideMark/>
          </w:tcPr>
          <w:p w14:paraId="038B0144" w14:textId="77777777" w:rsidR="0035055C" w:rsidRPr="0035055C" w:rsidRDefault="0035055C" w:rsidP="0035055C">
            <w:pPr>
              <w:rPr>
                <w:rFonts w:ascii="Book Antiqua" w:hAnsi="Book Antiqua" w:cs="Calibri"/>
                <w:sz w:val="16"/>
                <w:szCs w:val="16"/>
                <w:lang w:eastAsia="es-CR"/>
              </w:rPr>
            </w:pPr>
            <w:r w:rsidRPr="0035055C">
              <w:rPr>
                <w:rFonts w:ascii="Book Antiqua" w:hAnsi="Book Antiqua" w:cs="Calibri"/>
                <w:sz w:val="16"/>
                <w:szCs w:val="16"/>
                <w:lang w:eastAsia="es-CR"/>
              </w:rPr>
              <w:t>Juzgado Ejecución de La Pena de Pococí</w:t>
            </w:r>
          </w:p>
        </w:tc>
        <w:tc>
          <w:tcPr>
            <w:tcW w:w="2500" w:type="dxa"/>
            <w:tcBorders>
              <w:top w:val="nil"/>
              <w:left w:val="single" w:sz="4" w:space="0" w:color="808080"/>
              <w:bottom w:val="single" w:sz="4" w:space="0" w:color="808080"/>
              <w:right w:val="single" w:sz="4" w:space="0" w:color="808080"/>
            </w:tcBorders>
            <w:shd w:val="clear" w:color="auto" w:fill="auto"/>
            <w:noWrap/>
            <w:vAlign w:val="center"/>
            <w:hideMark/>
          </w:tcPr>
          <w:p w14:paraId="06BC4440" w14:textId="77777777" w:rsidR="0035055C" w:rsidRPr="0035055C" w:rsidRDefault="0035055C" w:rsidP="0035055C">
            <w:pPr>
              <w:jc w:val="center"/>
              <w:rPr>
                <w:rFonts w:ascii="Book Antiqua" w:hAnsi="Book Antiqua" w:cs="Calibri"/>
                <w:color w:val="000000"/>
                <w:sz w:val="16"/>
                <w:szCs w:val="16"/>
                <w:lang w:eastAsia="es-CR"/>
              </w:rPr>
            </w:pPr>
            <w:r w:rsidRPr="0035055C">
              <w:rPr>
                <w:rFonts w:ascii="Book Antiqua" w:hAnsi="Book Antiqua" w:cs="Calibri"/>
                <w:color w:val="000000"/>
                <w:sz w:val="16"/>
                <w:szCs w:val="16"/>
                <w:lang w:eastAsia="es-CR"/>
              </w:rPr>
              <w:t>0%</w:t>
            </w:r>
          </w:p>
        </w:tc>
      </w:tr>
      <w:tr w:rsidR="0035055C" w:rsidRPr="0035055C" w14:paraId="513D4E79" w14:textId="77777777" w:rsidTr="0035055C">
        <w:trPr>
          <w:trHeight w:val="290"/>
          <w:jc w:val="center"/>
        </w:trPr>
        <w:tc>
          <w:tcPr>
            <w:tcW w:w="4494"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5773EE5" w14:textId="77777777" w:rsidR="0035055C" w:rsidRPr="0035055C" w:rsidRDefault="0035055C" w:rsidP="0035055C">
            <w:pPr>
              <w:rPr>
                <w:rFonts w:ascii="Book Antiqua" w:hAnsi="Book Antiqua" w:cs="Calibri"/>
                <w:b/>
                <w:bCs/>
                <w:color w:val="000000"/>
                <w:sz w:val="16"/>
                <w:szCs w:val="16"/>
                <w:lang w:eastAsia="es-CR"/>
              </w:rPr>
            </w:pPr>
            <w:r w:rsidRPr="0035055C">
              <w:rPr>
                <w:rFonts w:ascii="Book Antiqua" w:hAnsi="Book Antiqua" w:cs="Calibri"/>
                <w:b/>
                <w:bCs/>
                <w:color w:val="000000"/>
                <w:sz w:val="16"/>
                <w:szCs w:val="16"/>
                <w:lang w:eastAsia="es-CR"/>
              </w:rPr>
              <w:t>Promedio Global</w:t>
            </w:r>
          </w:p>
        </w:tc>
        <w:tc>
          <w:tcPr>
            <w:tcW w:w="2500" w:type="dxa"/>
            <w:tcBorders>
              <w:top w:val="nil"/>
              <w:left w:val="nil"/>
              <w:bottom w:val="single" w:sz="4" w:space="0" w:color="808080"/>
              <w:right w:val="single" w:sz="4" w:space="0" w:color="808080"/>
            </w:tcBorders>
            <w:shd w:val="clear" w:color="auto" w:fill="auto"/>
            <w:noWrap/>
            <w:vAlign w:val="center"/>
            <w:hideMark/>
          </w:tcPr>
          <w:p w14:paraId="0AB4B2D5" w14:textId="77777777" w:rsidR="0035055C" w:rsidRPr="0035055C" w:rsidRDefault="0035055C" w:rsidP="0035055C">
            <w:pPr>
              <w:jc w:val="center"/>
              <w:rPr>
                <w:rFonts w:ascii="Book Antiqua" w:hAnsi="Book Antiqua" w:cs="Calibri"/>
                <w:b/>
                <w:bCs/>
                <w:color w:val="000000"/>
                <w:sz w:val="16"/>
                <w:szCs w:val="16"/>
                <w:lang w:eastAsia="es-CR"/>
              </w:rPr>
            </w:pPr>
            <w:r w:rsidRPr="0035055C">
              <w:rPr>
                <w:rFonts w:ascii="Book Antiqua" w:hAnsi="Book Antiqua" w:cs="Calibri"/>
                <w:b/>
                <w:bCs/>
                <w:color w:val="000000"/>
                <w:sz w:val="16"/>
                <w:szCs w:val="16"/>
                <w:lang w:eastAsia="es-CR"/>
              </w:rPr>
              <w:t>226%</w:t>
            </w:r>
          </w:p>
        </w:tc>
      </w:tr>
    </w:tbl>
    <w:p w14:paraId="37EEBD39" w14:textId="77777777" w:rsidR="00F75E3A" w:rsidRPr="00572F11" w:rsidRDefault="00F75E3A" w:rsidP="00F75E3A">
      <w:pPr>
        <w:spacing w:line="276" w:lineRule="auto"/>
        <w:jc w:val="both"/>
        <w:rPr>
          <w:rFonts w:ascii="Book Antiqua" w:eastAsia="Book Antiqua" w:hAnsi="Book Antiqua" w:cs="Book Antiqua"/>
          <w:sz w:val="18"/>
          <w:szCs w:val="18"/>
        </w:rPr>
      </w:pPr>
      <w:r w:rsidRPr="009B6941">
        <w:rPr>
          <w:rFonts w:ascii="Book Antiqua" w:hAnsi="Book Antiqua"/>
          <w:bCs/>
          <w:color w:val="000000" w:themeColor="text1"/>
          <w:sz w:val="18"/>
          <w:szCs w:val="18"/>
        </w:rPr>
        <w:t xml:space="preserve">Nota: Las oficinas con ausencia del porcentaje de producción, obedece a que la información no fue recibida por esta dirección. En el caso del </w:t>
      </w:r>
      <w:r w:rsidRPr="0033474E">
        <w:rPr>
          <w:rFonts w:ascii="Book Antiqua" w:eastAsia="Book Antiqua" w:hAnsi="Book Antiqua" w:cs="Book Antiqua"/>
          <w:sz w:val="18"/>
          <w:szCs w:val="18"/>
        </w:rPr>
        <w:t>Juzgado Ejecución de La Pena de Pococí</w:t>
      </w:r>
      <w:r>
        <w:rPr>
          <w:rFonts w:ascii="Book Antiqua" w:eastAsia="Book Antiqua" w:hAnsi="Book Antiqua" w:cs="Book Antiqua"/>
          <w:sz w:val="18"/>
          <w:szCs w:val="18"/>
        </w:rPr>
        <w:t xml:space="preserve">, </w:t>
      </w:r>
      <w:r w:rsidRPr="009B6941">
        <w:rPr>
          <w:rFonts w:ascii="Book Antiqua" w:eastAsia="Book Antiqua" w:hAnsi="Book Antiqua" w:cs="Book Antiqua"/>
          <w:sz w:val="18"/>
          <w:szCs w:val="18"/>
        </w:rPr>
        <w:t>al no recibirse ningún dato se excluye del cálculo de la media general</w:t>
      </w:r>
      <w:r>
        <w:rPr>
          <w:rFonts w:ascii="Book Antiqua" w:eastAsia="Book Antiqua" w:hAnsi="Book Antiqua" w:cs="Book Antiqua"/>
          <w:sz w:val="18"/>
          <w:szCs w:val="18"/>
        </w:rPr>
        <w:t>.</w:t>
      </w:r>
    </w:p>
    <w:p w14:paraId="5CDE16C3" w14:textId="77777777" w:rsidR="00F75E3A" w:rsidRDefault="00F75E3A" w:rsidP="00F75E3A">
      <w:pPr>
        <w:spacing w:line="276" w:lineRule="auto"/>
        <w:jc w:val="both"/>
        <w:rPr>
          <w:rFonts w:ascii="Book Antiqua" w:hAnsi="Book Antiqua"/>
          <w:b/>
          <w:bCs/>
          <w:color w:val="000000" w:themeColor="text1"/>
          <w:sz w:val="20"/>
          <w:szCs w:val="20"/>
        </w:rPr>
      </w:pPr>
      <w:r w:rsidRPr="00677475">
        <w:rPr>
          <w:rFonts w:ascii="Book Antiqua" w:hAnsi="Book Antiqua"/>
          <w:b/>
          <w:bCs/>
          <w:color w:val="000000" w:themeColor="text1"/>
          <w:sz w:val="20"/>
          <w:szCs w:val="20"/>
        </w:rPr>
        <w:t xml:space="preserve">Fuente: </w:t>
      </w:r>
      <w:r w:rsidRPr="00677475">
        <w:rPr>
          <w:rFonts w:ascii="Book Antiqua" w:hAnsi="Book Antiqua"/>
          <w:color w:val="000000" w:themeColor="text1"/>
          <w:sz w:val="20"/>
          <w:szCs w:val="20"/>
        </w:rPr>
        <w:t>Matriz de indicadores de Gestión</w:t>
      </w:r>
    </w:p>
    <w:p w14:paraId="4F1C15A0" w14:textId="77777777" w:rsidR="00F75E3A" w:rsidRPr="004F0E92" w:rsidRDefault="00F75E3A" w:rsidP="00F75E3A">
      <w:pPr>
        <w:spacing w:line="276" w:lineRule="auto"/>
        <w:jc w:val="both"/>
        <w:rPr>
          <w:rFonts w:ascii="Book Antiqua" w:hAnsi="Book Antiqua"/>
          <w:b/>
          <w:color w:val="000000" w:themeColor="text1"/>
        </w:rPr>
      </w:pPr>
    </w:p>
    <w:p w14:paraId="03766C5A" w14:textId="77777777" w:rsidR="00F75E3A" w:rsidRDefault="00F75E3A" w:rsidP="00F75E3A">
      <w:pPr>
        <w:spacing w:line="276" w:lineRule="auto"/>
        <w:jc w:val="both"/>
        <w:rPr>
          <w:rFonts w:ascii="Book Antiqua" w:hAnsi="Book Antiqua"/>
          <w:b/>
          <w:color w:val="000000" w:themeColor="text1"/>
        </w:rPr>
      </w:pPr>
    </w:p>
    <w:p w14:paraId="71276846" w14:textId="3CD7BB40" w:rsidR="00F75E3A" w:rsidRPr="00AA249F" w:rsidRDefault="47478BD2" w:rsidP="57A79FF7">
      <w:pPr>
        <w:spacing w:after="160" w:line="276" w:lineRule="auto"/>
        <w:contextualSpacing/>
        <w:rPr>
          <w:b/>
          <w:color w:val="000000" w:themeColor="text1"/>
        </w:rPr>
      </w:pPr>
      <w:r w:rsidRPr="57A79FF7">
        <w:rPr>
          <w:rFonts w:ascii="Book Antiqua" w:hAnsi="Book Antiqua"/>
          <w:b/>
          <w:bCs/>
          <w:color w:val="000000" w:themeColor="text1"/>
        </w:rPr>
        <w:t xml:space="preserve">8.2.5 </w:t>
      </w:r>
      <w:r w:rsidR="00F75E3A" w:rsidRPr="00AA249F">
        <w:rPr>
          <w:rFonts w:ascii="Book Antiqua" w:hAnsi="Book Antiqua"/>
          <w:b/>
          <w:color w:val="000000" w:themeColor="text1"/>
        </w:rPr>
        <w:t>Tribunal de Apelación de la Sentencia Penal</w:t>
      </w:r>
    </w:p>
    <w:p w14:paraId="207CDDD3" w14:textId="1265F0F6" w:rsidR="57A79FF7" w:rsidRDefault="57A79FF7" w:rsidP="57A79FF7">
      <w:pPr>
        <w:spacing w:after="160" w:line="276" w:lineRule="auto"/>
        <w:rPr>
          <w:b/>
          <w:bCs/>
          <w:color w:val="000000" w:themeColor="text1"/>
        </w:rPr>
      </w:pPr>
    </w:p>
    <w:p w14:paraId="0FD82C62" w14:textId="77777777" w:rsidR="00F75E3A" w:rsidRDefault="00F75E3A" w:rsidP="00F75E3A">
      <w:pPr>
        <w:spacing w:line="276" w:lineRule="auto"/>
        <w:jc w:val="both"/>
        <w:rPr>
          <w:rFonts w:ascii="Book Antiqua" w:hAnsi="Book Antiqua"/>
          <w:color w:val="000000" w:themeColor="text1"/>
        </w:rPr>
      </w:pPr>
      <w:r w:rsidRPr="00B053D3">
        <w:rPr>
          <w:rFonts w:ascii="Book Antiqua" w:hAnsi="Book Antiqua"/>
          <w:color w:val="000000" w:themeColor="text1"/>
        </w:rPr>
        <w:t>En sesión de Consejo Superior en sesión 100-20, celebrada el 20 de octubre del 2020, artículo XXXIX, aprobó el informe técnico 1351-PLA-OI-2020, relacionado con la revisión de las cuotas establecidas a los Tribunales de Apelación de Sentencia Penal, en el cual se estableció que el cálculo de cumplimiento mensual de la cuota de asuntos terminados por plaza de Jueza o Juez, sería con los datos históricos de cada despacho, por lo que a continuación se detalla la cuota esperada de asuntos terminados por Tribunal:</w:t>
      </w:r>
    </w:p>
    <w:p w14:paraId="732B7541" w14:textId="77777777" w:rsidR="00F75E3A" w:rsidRDefault="00F75E3A" w:rsidP="00F75E3A">
      <w:pPr>
        <w:spacing w:line="276" w:lineRule="auto"/>
        <w:jc w:val="both"/>
        <w:rPr>
          <w:rFonts w:ascii="Book Antiqua" w:hAnsi="Book Antiqua"/>
          <w:b/>
          <w:color w:val="000000" w:themeColor="text1"/>
          <w:highlight w:val="yellow"/>
        </w:rPr>
      </w:pPr>
      <w:r w:rsidRPr="00982EF3">
        <w:rPr>
          <w:noProof/>
        </w:rPr>
        <w:drawing>
          <wp:anchor distT="0" distB="0" distL="114300" distR="114300" simplePos="0" relativeHeight="251658244" behindDoc="1" locked="0" layoutInCell="1" allowOverlap="1" wp14:anchorId="7E8E4E7A" wp14:editId="34658DBD">
            <wp:simplePos x="0" y="0"/>
            <wp:positionH relativeFrom="margin">
              <wp:align>left</wp:align>
            </wp:positionH>
            <wp:positionV relativeFrom="paragraph">
              <wp:posOffset>211660</wp:posOffset>
            </wp:positionV>
            <wp:extent cx="5744210" cy="667385"/>
            <wp:effectExtent l="0" t="0" r="8890" b="0"/>
            <wp:wrapTight wrapText="bothSides">
              <wp:wrapPolygon edited="0">
                <wp:start x="0" y="0"/>
                <wp:lineTo x="0" y="20963"/>
                <wp:lineTo x="19270" y="20963"/>
                <wp:lineTo x="19914" y="19730"/>
                <wp:lineTo x="21562" y="12331"/>
                <wp:lineTo x="21562" y="0"/>
                <wp:lineTo x="0" y="0"/>
              </wp:wrapPolygon>
            </wp:wrapTight>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4210" cy="667385"/>
                    </a:xfrm>
                    <a:prstGeom prst="rect">
                      <a:avLst/>
                    </a:prstGeom>
                    <a:noFill/>
                    <a:ln>
                      <a:noFill/>
                    </a:ln>
                  </pic:spPr>
                </pic:pic>
              </a:graphicData>
            </a:graphic>
            <wp14:sizeRelH relativeFrom="margin">
              <wp14:pctWidth>0</wp14:pctWidth>
            </wp14:sizeRelH>
          </wp:anchor>
        </w:drawing>
      </w:r>
    </w:p>
    <w:p w14:paraId="653E2DA8" w14:textId="77777777" w:rsidR="00F75E3A" w:rsidRPr="00F970F2" w:rsidRDefault="00F75E3A" w:rsidP="00F75E3A">
      <w:pPr>
        <w:spacing w:line="276" w:lineRule="auto"/>
        <w:jc w:val="both"/>
        <w:rPr>
          <w:rFonts w:ascii="Book Antiqua" w:hAnsi="Book Antiqua"/>
          <w:b/>
          <w:color w:val="000000" w:themeColor="text1"/>
          <w:highlight w:val="yellow"/>
        </w:rPr>
      </w:pPr>
    </w:p>
    <w:p w14:paraId="1D6A675E" w14:textId="77777777" w:rsidR="00F75E3A" w:rsidRDefault="00F75E3A" w:rsidP="00F75E3A">
      <w:pPr>
        <w:shd w:val="clear" w:color="auto" w:fill="FFFFFF"/>
        <w:spacing w:line="276" w:lineRule="auto"/>
        <w:jc w:val="both"/>
        <w:rPr>
          <w:rFonts w:ascii="Book Antiqua" w:hAnsi="Book Antiqua"/>
        </w:rPr>
      </w:pPr>
    </w:p>
    <w:p w14:paraId="160C32C1" w14:textId="6A5956BC" w:rsidR="00F75E3A" w:rsidRDefault="00F75E3A" w:rsidP="00F75E3A">
      <w:pPr>
        <w:shd w:val="clear" w:color="auto" w:fill="FFFFFF"/>
        <w:spacing w:line="276" w:lineRule="auto"/>
        <w:jc w:val="both"/>
        <w:rPr>
          <w:rFonts w:ascii="Book Antiqua" w:hAnsi="Book Antiqua"/>
        </w:rPr>
      </w:pPr>
      <w:r>
        <w:rPr>
          <w:rFonts w:ascii="Book Antiqua" w:hAnsi="Book Antiqua"/>
        </w:rPr>
        <w:t xml:space="preserve">A partir de las cuotas indicadas en el cuadro anterior, a continuación, se detalla el porcentaje de cumplimiento de estos despachos durante el mes de </w:t>
      </w:r>
      <w:r w:rsidR="000832FA">
        <w:rPr>
          <w:rFonts w:ascii="Book Antiqua" w:hAnsi="Book Antiqua"/>
        </w:rPr>
        <w:t>setiembre</w:t>
      </w:r>
      <w:r>
        <w:rPr>
          <w:rFonts w:ascii="Book Antiqua" w:hAnsi="Book Antiqua"/>
        </w:rPr>
        <w:t xml:space="preserve"> 2021:</w:t>
      </w:r>
    </w:p>
    <w:p w14:paraId="6D03D307" w14:textId="77777777" w:rsidR="00F75E3A" w:rsidRDefault="00F75E3A" w:rsidP="00F75E3A">
      <w:pPr>
        <w:spacing w:line="276" w:lineRule="auto"/>
        <w:rPr>
          <w:rFonts w:ascii="Book Antiqua" w:hAnsi="Book Antiqua"/>
          <w:b/>
          <w:color w:val="000000" w:themeColor="text1"/>
        </w:rPr>
      </w:pPr>
    </w:p>
    <w:p w14:paraId="46C3A73B" w14:textId="253D176B" w:rsidR="00F75E3A" w:rsidRPr="00A86AC9" w:rsidRDefault="00F75E3A" w:rsidP="00F75E3A">
      <w:pPr>
        <w:spacing w:line="276" w:lineRule="auto"/>
        <w:jc w:val="center"/>
        <w:rPr>
          <w:rFonts w:ascii="Book Antiqua" w:hAnsi="Book Antiqua"/>
          <w:b/>
          <w:color w:val="000000" w:themeColor="text1"/>
        </w:rPr>
      </w:pPr>
      <w:r w:rsidRPr="00A86AC9">
        <w:rPr>
          <w:rFonts w:ascii="Book Antiqua" w:hAnsi="Book Antiqua"/>
          <w:b/>
          <w:color w:val="000000" w:themeColor="text1"/>
        </w:rPr>
        <w:t xml:space="preserve">Cuadro </w:t>
      </w:r>
      <w:r w:rsidR="000832FA">
        <w:rPr>
          <w:rFonts w:ascii="Book Antiqua" w:hAnsi="Book Antiqua"/>
          <w:b/>
          <w:color w:val="000000" w:themeColor="text1"/>
        </w:rPr>
        <w:t>8</w:t>
      </w:r>
      <w:r w:rsidR="00F353FF">
        <w:rPr>
          <w:rFonts w:ascii="Book Antiqua" w:hAnsi="Book Antiqua"/>
          <w:b/>
          <w:color w:val="000000" w:themeColor="text1"/>
        </w:rPr>
        <w:t>5</w:t>
      </w:r>
    </w:p>
    <w:p w14:paraId="5AF36DA8" w14:textId="77777777" w:rsidR="00F75E3A" w:rsidRPr="00A86AC9" w:rsidRDefault="00F75E3A" w:rsidP="00F75E3A">
      <w:pPr>
        <w:spacing w:line="276" w:lineRule="auto"/>
        <w:jc w:val="center"/>
        <w:rPr>
          <w:rFonts w:ascii="Book Antiqua" w:hAnsi="Book Antiqua"/>
          <w:bCs/>
          <w:color w:val="000000" w:themeColor="text1"/>
        </w:rPr>
      </w:pPr>
      <w:r w:rsidRPr="00A86AC9">
        <w:rPr>
          <w:rFonts w:ascii="Book Antiqua" w:hAnsi="Book Antiqua"/>
          <w:bCs/>
          <w:color w:val="000000" w:themeColor="text1"/>
        </w:rPr>
        <w:t xml:space="preserve">Cumplimiento del parámetro de producción </w:t>
      </w:r>
    </w:p>
    <w:p w14:paraId="47C29D19" w14:textId="157315EF" w:rsidR="00F75E3A" w:rsidRDefault="00F75E3A" w:rsidP="00F75E3A">
      <w:pPr>
        <w:spacing w:line="276" w:lineRule="auto"/>
        <w:jc w:val="center"/>
        <w:rPr>
          <w:rFonts w:ascii="Book Antiqua" w:hAnsi="Book Antiqua"/>
          <w:bCs/>
          <w:color w:val="000000" w:themeColor="text1"/>
        </w:rPr>
      </w:pPr>
      <w:r w:rsidRPr="00A86AC9">
        <w:rPr>
          <w:rFonts w:ascii="Book Antiqua" w:hAnsi="Book Antiqua"/>
          <w:bCs/>
          <w:color w:val="000000" w:themeColor="text1"/>
        </w:rPr>
        <w:t xml:space="preserve">teórico de Tribunales de Apelación durante </w:t>
      </w:r>
      <w:r w:rsidR="000832FA">
        <w:rPr>
          <w:rFonts w:ascii="Book Antiqua" w:hAnsi="Book Antiqua"/>
          <w:bCs/>
          <w:color w:val="000000" w:themeColor="text1"/>
        </w:rPr>
        <w:t>setiembre</w:t>
      </w:r>
      <w:r w:rsidRPr="00A86AC9">
        <w:rPr>
          <w:rFonts w:ascii="Book Antiqua" w:hAnsi="Book Antiqua"/>
          <w:bCs/>
          <w:color w:val="000000" w:themeColor="text1"/>
        </w:rPr>
        <w:t xml:space="preserve"> de 2021</w:t>
      </w:r>
    </w:p>
    <w:tbl>
      <w:tblPr>
        <w:tblW w:w="6995" w:type="dxa"/>
        <w:jc w:val="center"/>
        <w:tblCellMar>
          <w:left w:w="70" w:type="dxa"/>
          <w:right w:w="70" w:type="dxa"/>
        </w:tblCellMar>
        <w:tblLook w:val="04A0" w:firstRow="1" w:lastRow="0" w:firstColumn="1" w:lastColumn="0" w:noHBand="0" w:noVBand="1"/>
      </w:tblPr>
      <w:tblGrid>
        <w:gridCol w:w="5335"/>
        <w:gridCol w:w="1660"/>
      </w:tblGrid>
      <w:tr w:rsidR="000832FA" w:rsidRPr="000832FA" w14:paraId="16187E22" w14:textId="77777777" w:rsidTr="000832FA">
        <w:trPr>
          <w:trHeight w:val="780"/>
          <w:jc w:val="center"/>
        </w:trPr>
        <w:tc>
          <w:tcPr>
            <w:tcW w:w="5335" w:type="dxa"/>
            <w:tcBorders>
              <w:top w:val="single" w:sz="4" w:space="0" w:color="808080"/>
              <w:left w:val="single" w:sz="4" w:space="0" w:color="808080"/>
              <w:bottom w:val="single" w:sz="4" w:space="0" w:color="808080"/>
              <w:right w:val="single" w:sz="4" w:space="0" w:color="808080"/>
            </w:tcBorders>
            <w:shd w:val="clear" w:color="000000" w:fill="305496"/>
            <w:noWrap/>
            <w:vAlign w:val="center"/>
            <w:hideMark/>
          </w:tcPr>
          <w:p w14:paraId="252C2C5F" w14:textId="77777777" w:rsidR="000832FA" w:rsidRPr="000832FA" w:rsidRDefault="000832FA" w:rsidP="000832FA">
            <w:pPr>
              <w:jc w:val="center"/>
              <w:rPr>
                <w:rFonts w:ascii="Book Antiqua" w:hAnsi="Book Antiqua" w:cs="Calibri"/>
                <w:b/>
                <w:bCs/>
                <w:color w:val="FFFFFF"/>
                <w:sz w:val="16"/>
                <w:szCs w:val="16"/>
                <w:lang w:eastAsia="es-CR"/>
              </w:rPr>
            </w:pPr>
            <w:r w:rsidRPr="000832FA">
              <w:rPr>
                <w:rFonts w:ascii="Book Antiqua" w:hAnsi="Book Antiqua" w:cs="Calibri"/>
                <w:b/>
                <w:bCs/>
                <w:color w:val="FFFFFF"/>
                <w:sz w:val="16"/>
                <w:szCs w:val="16"/>
                <w:lang w:eastAsia="es-CR"/>
              </w:rPr>
              <w:t>Oficina</w:t>
            </w:r>
          </w:p>
        </w:tc>
        <w:tc>
          <w:tcPr>
            <w:tcW w:w="1660" w:type="dxa"/>
            <w:tcBorders>
              <w:top w:val="single" w:sz="4" w:space="0" w:color="808080"/>
              <w:left w:val="nil"/>
              <w:bottom w:val="single" w:sz="4" w:space="0" w:color="808080"/>
              <w:right w:val="single" w:sz="4" w:space="0" w:color="808080"/>
            </w:tcBorders>
            <w:shd w:val="clear" w:color="000000" w:fill="305496"/>
            <w:vAlign w:val="center"/>
            <w:hideMark/>
          </w:tcPr>
          <w:p w14:paraId="2AAEFC79" w14:textId="77777777" w:rsidR="000832FA" w:rsidRPr="000832FA" w:rsidRDefault="000832FA" w:rsidP="000832FA">
            <w:pPr>
              <w:jc w:val="center"/>
              <w:rPr>
                <w:rFonts w:ascii="Book Antiqua" w:hAnsi="Book Antiqua" w:cs="Calibri"/>
                <w:b/>
                <w:bCs/>
                <w:color w:val="FFFFFF"/>
                <w:sz w:val="16"/>
                <w:szCs w:val="16"/>
                <w:lang w:eastAsia="es-CR"/>
              </w:rPr>
            </w:pPr>
            <w:r w:rsidRPr="000832FA">
              <w:rPr>
                <w:rFonts w:ascii="Book Antiqua" w:hAnsi="Book Antiqua" w:cs="Calibri"/>
                <w:b/>
                <w:bCs/>
                <w:color w:val="FFFFFF"/>
                <w:sz w:val="16"/>
                <w:szCs w:val="16"/>
                <w:lang w:eastAsia="es-CR"/>
              </w:rPr>
              <w:t>Porcentaje cumplimiento cuota teórica</w:t>
            </w:r>
          </w:p>
        </w:tc>
      </w:tr>
      <w:tr w:rsidR="000832FA" w:rsidRPr="000832FA" w14:paraId="426ED86E" w14:textId="77777777" w:rsidTr="000832FA">
        <w:trPr>
          <w:trHeight w:val="290"/>
          <w:jc w:val="center"/>
        </w:trPr>
        <w:tc>
          <w:tcPr>
            <w:tcW w:w="53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AB9F77" w14:textId="7414B8E9" w:rsidR="000832FA" w:rsidRPr="000832FA" w:rsidRDefault="000832FA" w:rsidP="000832FA">
            <w:pPr>
              <w:rPr>
                <w:rFonts w:ascii="Book Antiqua" w:hAnsi="Book Antiqua" w:cs="Calibri"/>
                <w:sz w:val="16"/>
                <w:szCs w:val="16"/>
                <w:lang w:eastAsia="es-CR"/>
              </w:rPr>
            </w:pPr>
            <w:r w:rsidRPr="000832FA">
              <w:rPr>
                <w:rFonts w:ascii="Book Antiqua" w:hAnsi="Book Antiqua" w:cs="Calibri"/>
                <w:sz w:val="16"/>
                <w:szCs w:val="16"/>
                <w:lang w:eastAsia="es-CR"/>
              </w:rPr>
              <w:t>Tribunal de Apelación de Sentencia Penal de Santa Cruz</w:t>
            </w:r>
          </w:p>
        </w:tc>
        <w:tc>
          <w:tcPr>
            <w:tcW w:w="1660" w:type="dxa"/>
            <w:tcBorders>
              <w:top w:val="nil"/>
              <w:left w:val="single" w:sz="4" w:space="0" w:color="808080"/>
              <w:bottom w:val="single" w:sz="4" w:space="0" w:color="808080"/>
              <w:right w:val="single" w:sz="4" w:space="0" w:color="808080"/>
            </w:tcBorders>
            <w:shd w:val="clear" w:color="auto" w:fill="auto"/>
            <w:noWrap/>
            <w:vAlign w:val="center"/>
            <w:hideMark/>
          </w:tcPr>
          <w:p w14:paraId="07116C27" w14:textId="77777777" w:rsidR="000832FA" w:rsidRPr="000832FA" w:rsidRDefault="000832FA" w:rsidP="000832FA">
            <w:pPr>
              <w:jc w:val="center"/>
              <w:rPr>
                <w:rFonts w:ascii="Book Antiqua" w:hAnsi="Book Antiqua" w:cs="Calibri"/>
                <w:color w:val="000000"/>
                <w:sz w:val="16"/>
                <w:szCs w:val="16"/>
                <w:lang w:eastAsia="es-CR"/>
              </w:rPr>
            </w:pPr>
            <w:r w:rsidRPr="000832FA">
              <w:rPr>
                <w:rFonts w:ascii="Book Antiqua" w:hAnsi="Book Antiqua" w:cs="Calibri"/>
                <w:color w:val="000000"/>
                <w:sz w:val="16"/>
                <w:szCs w:val="16"/>
                <w:lang w:eastAsia="es-CR"/>
              </w:rPr>
              <w:t>88%</w:t>
            </w:r>
          </w:p>
        </w:tc>
      </w:tr>
      <w:tr w:rsidR="000832FA" w:rsidRPr="000832FA" w14:paraId="5A15373E" w14:textId="77777777" w:rsidTr="000832FA">
        <w:trPr>
          <w:trHeight w:val="290"/>
          <w:jc w:val="center"/>
        </w:trPr>
        <w:tc>
          <w:tcPr>
            <w:tcW w:w="5335" w:type="dxa"/>
            <w:tcBorders>
              <w:top w:val="nil"/>
              <w:left w:val="single" w:sz="4" w:space="0" w:color="auto"/>
              <w:bottom w:val="single" w:sz="4" w:space="0" w:color="auto"/>
              <w:right w:val="single" w:sz="4" w:space="0" w:color="auto"/>
            </w:tcBorders>
            <w:shd w:val="clear" w:color="auto" w:fill="auto"/>
            <w:noWrap/>
            <w:vAlign w:val="center"/>
            <w:hideMark/>
          </w:tcPr>
          <w:p w14:paraId="3171B9A5" w14:textId="65254CB5" w:rsidR="000832FA" w:rsidRPr="000832FA" w:rsidRDefault="000832FA" w:rsidP="000832FA">
            <w:pPr>
              <w:rPr>
                <w:rFonts w:ascii="Book Antiqua" w:hAnsi="Book Antiqua" w:cs="Calibri"/>
                <w:sz w:val="16"/>
                <w:szCs w:val="16"/>
                <w:lang w:eastAsia="es-CR"/>
              </w:rPr>
            </w:pPr>
            <w:r w:rsidRPr="000832FA">
              <w:rPr>
                <w:rFonts w:ascii="Book Antiqua" w:hAnsi="Book Antiqua" w:cs="Calibri"/>
                <w:sz w:val="16"/>
                <w:szCs w:val="16"/>
                <w:lang w:eastAsia="es-CR"/>
              </w:rPr>
              <w:t>Tribunal de Apelación de Sentencia Penal de Cartago</w:t>
            </w:r>
          </w:p>
        </w:tc>
        <w:tc>
          <w:tcPr>
            <w:tcW w:w="1660" w:type="dxa"/>
            <w:tcBorders>
              <w:top w:val="nil"/>
              <w:left w:val="single" w:sz="4" w:space="0" w:color="808080"/>
              <w:bottom w:val="single" w:sz="4" w:space="0" w:color="808080"/>
              <w:right w:val="single" w:sz="4" w:space="0" w:color="808080"/>
            </w:tcBorders>
            <w:shd w:val="clear" w:color="auto" w:fill="auto"/>
            <w:noWrap/>
            <w:vAlign w:val="center"/>
            <w:hideMark/>
          </w:tcPr>
          <w:p w14:paraId="72EBC5EE" w14:textId="77777777" w:rsidR="000832FA" w:rsidRPr="000832FA" w:rsidRDefault="000832FA" w:rsidP="000832FA">
            <w:pPr>
              <w:jc w:val="center"/>
              <w:rPr>
                <w:rFonts w:ascii="Book Antiqua" w:hAnsi="Book Antiqua" w:cs="Calibri"/>
                <w:color w:val="000000"/>
                <w:sz w:val="16"/>
                <w:szCs w:val="16"/>
                <w:lang w:eastAsia="es-CR"/>
              </w:rPr>
            </w:pPr>
            <w:r w:rsidRPr="000832FA">
              <w:rPr>
                <w:rFonts w:ascii="Book Antiqua" w:hAnsi="Book Antiqua" w:cs="Calibri"/>
                <w:color w:val="000000"/>
                <w:sz w:val="16"/>
                <w:szCs w:val="16"/>
                <w:lang w:eastAsia="es-CR"/>
              </w:rPr>
              <w:t>84%</w:t>
            </w:r>
          </w:p>
        </w:tc>
      </w:tr>
      <w:tr w:rsidR="000832FA" w:rsidRPr="000832FA" w14:paraId="11BBBA1C" w14:textId="77777777" w:rsidTr="000832FA">
        <w:trPr>
          <w:trHeight w:val="290"/>
          <w:jc w:val="center"/>
        </w:trPr>
        <w:tc>
          <w:tcPr>
            <w:tcW w:w="5335" w:type="dxa"/>
            <w:tcBorders>
              <w:top w:val="nil"/>
              <w:left w:val="single" w:sz="4" w:space="0" w:color="auto"/>
              <w:bottom w:val="single" w:sz="4" w:space="0" w:color="auto"/>
              <w:right w:val="single" w:sz="4" w:space="0" w:color="auto"/>
            </w:tcBorders>
            <w:shd w:val="clear" w:color="auto" w:fill="auto"/>
            <w:noWrap/>
            <w:vAlign w:val="center"/>
            <w:hideMark/>
          </w:tcPr>
          <w:p w14:paraId="7AF5220E" w14:textId="145BFC56" w:rsidR="000832FA" w:rsidRPr="000832FA" w:rsidRDefault="000832FA" w:rsidP="000832FA">
            <w:pPr>
              <w:rPr>
                <w:rFonts w:ascii="Book Antiqua" w:hAnsi="Book Antiqua" w:cs="Calibri"/>
                <w:sz w:val="16"/>
                <w:szCs w:val="16"/>
                <w:lang w:eastAsia="es-CR"/>
              </w:rPr>
            </w:pPr>
            <w:r w:rsidRPr="000832FA">
              <w:rPr>
                <w:rFonts w:ascii="Book Antiqua" w:hAnsi="Book Antiqua" w:cs="Calibri"/>
                <w:sz w:val="16"/>
                <w:szCs w:val="16"/>
                <w:lang w:eastAsia="es-CR"/>
              </w:rPr>
              <w:t>Tribunal de Apelación de Sentencia Penal de Goicochea</w:t>
            </w:r>
          </w:p>
        </w:tc>
        <w:tc>
          <w:tcPr>
            <w:tcW w:w="1660" w:type="dxa"/>
            <w:tcBorders>
              <w:top w:val="nil"/>
              <w:left w:val="single" w:sz="4" w:space="0" w:color="808080"/>
              <w:bottom w:val="single" w:sz="4" w:space="0" w:color="808080"/>
              <w:right w:val="single" w:sz="4" w:space="0" w:color="808080"/>
            </w:tcBorders>
            <w:shd w:val="clear" w:color="auto" w:fill="auto"/>
            <w:noWrap/>
            <w:vAlign w:val="center"/>
            <w:hideMark/>
          </w:tcPr>
          <w:p w14:paraId="29287FCE" w14:textId="77777777" w:rsidR="000832FA" w:rsidRPr="000832FA" w:rsidRDefault="000832FA" w:rsidP="000832FA">
            <w:pPr>
              <w:jc w:val="center"/>
              <w:rPr>
                <w:rFonts w:ascii="Book Antiqua" w:hAnsi="Book Antiqua" w:cs="Calibri"/>
                <w:color w:val="000000"/>
                <w:sz w:val="16"/>
                <w:szCs w:val="16"/>
                <w:lang w:eastAsia="es-CR"/>
              </w:rPr>
            </w:pPr>
            <w:r w:rsidRPr="000832FA">
              <w:rPr>
                <w:rFonts w:ascii="Book Antiqua" w:hAnsi="Book Antiqua" w:cs="Calibri"/>
                <w:color w:val="000000"/>
                <w:sz w:val="16"/>
                <w:szCs w:val="16"/>
                <w:lang w:eastAsia="es-CR"/>
              </w:rPr>
              <w:t>79%</w:t>
            </w:r>
          </w:p>
        </w:tc>
      </w:tr>
      <w:tr w:rsidR="000832FA" w:rsidRPr="000832FA" w14:paraId="58825323" w14:textId="77777777" w:rsidTr="000832FA">
        <w:trPr>
          <w:trHeight w:val="290"/>
          <w:jc w:val="center"/>
        </w:trPr>
        <w:tc>
          <w:tcPr>
            <w:tcW w:w="5335" w:type="dxa"/>
            <w:tcBorders>
              <w:top w:val="nil"/>
              <w:left w:val="single" w:sz="4" w:space="0" w:color="auto"/>
              <w:bottom w:val="single" w:sz="4" w:space="0" w:color="auto"/>
              <w:right w:val="single" w:sz="4" w:space="0" w:color="auto"/>
            </w:tcBorders>
            <w:shd w:val="clear" w:color="auto" w:fill="auto"/>
            <w:noWrap/>
            <w:vAlign w:val="center"/>
            <w:hideMark/>
          </w:tcPr>
          <w:p w14:paraId="69DF8775" w14:textId="28280816" w:rsidR="000832FA" w:rsidRPr="000832FA" w:rsidRDefault="000832FA" w:rsidP="000832FA">
            <w:pPr>
              <w:rPr>
                <w:rFonts w:ascii="Book Antiqua" w:hAnsi="Book Antiqua" w:cs="Calibri"/>
                <w:sz w:val="16"/>
                <w:szCs w:val="16"/>
                <w:lang w:eastAsia="es-CR"/>
              </w:rPr>
            </w:pPr>
            <w:r w:rsidRPr="000832FA">
              <w:rPr>
                <w:rFonts w:ascii="Book Antiqua" w:hAnsi="Book Antiqua" w:cs="Calibri"/>
                <w:sz w:val="16"/>
                <w:szCs w:val="16"/>
                <w:lang w:eastAsia="es-CR"/>
              </w:rPr>
              <w:t>Tribunal de Apelación de Sentencia Penal de San Ramón</w:t>
            </w:r>
          </w:p>
        </w:tc>
        <w:tc>
          <w:tcPr>
            <w:tcW w:w="1660" w:type="dxa"/>
            <w:tcBorders>
              <w:top w:val="nil"/>
              <w:left w:val="single" w:sz="4" w:space="0" w:color="808080"/>
              <w:bottom w:val="single" w:sz="4" w:space="0" w:color="808080"/>
              <w:right w:val="single" w:sz="4" w:space="0" w:color="808080"/>
            </w:tcBorders>
            <w:shd w:val="clear" w:color="auto" w:fill="auto"/>
            <w:noWrap/>
            <w:vAlign w:val="center"/>
            <w:hideMark/>
          </w:tcPr>
          <w:p w14:paraId="3F5C71B0" w14:textId="77777777" w:rsidR="000832FA" w:rsidRPr="000832FA" w:rsidRDefault="000832FA" w:rsidP="000832FA">
            <w:pPr>
              <w:jc w:val="center"/>
              <w:rPr>
                <w:rFonts w:ascii="Book Antiqua" w:hAnsi="Book Antiqua" w:cs="Calibri"/>
                <w:color w:val="000000"/>
                <w:sz w:val="16"/>
                <w:szCs w:val="16"/>
                <w:lang w:eastAsia="es-CR"/>
              </w:rPr>
            </w:pPr>
            <w:r w:rsidRPr="000832FA">
              <w:rPr>
                <w:rFonts w:ascii="Book Antiqua" w:hAnsi="Book Antiqua" w:cs="Calibri"/>
                <w:color w:val="000000"/>
                <w:sz w:val="16"/>
                <w:szCs w:val="16"/>
                <w:lang w:eastAsia="es-CR"/>
              </w:rPr>
              <w:t>76%</w:t>
            </w:r>
          </w:p>
        </w:tc>
      </w:tr>
      <w:tr w:rsidR="000832FA" w:rsidRPr="000832FA" w14:paraId="2238C6F2" w14:textId="77777777" w:rsidTr="000832FA">
        <w:trPr>
          <w:trHeight w:val="290"/>
          <w:jc w:val="center"/>
        </w:trPr>
        <w:tc>
          <w:tcPr>
            <w:tcW w:w="5335"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ABC5CA1" w14:textId="77777777" w:rsidR="000832FA" w:rsidRPr="000832FA" w:rsidRDefault="000832FA" w:rsidP="000832FA">
            <w:pPr>
              <w:rPr>
                <w:rFonts w:ascii="Book Antiqua" w:hAnsi="Book Antiqua" w:cs="Calibri"/>
                <w:b/>
                <w:bCs/>
                <w:color w:val="000000"/>
                <w:sz w:val="16"/>
                <w:szCs w:val="16"/>
                <w:lang w:eastAsia="es-CR"/>
              </w:rPr>
            </w:pPr>
            <w:r w:rsidRPr="000832FA">
              <w:rPr>
                <w:rFonts w:ascii="Book Antiqua" w:hAnsi="Book Antiqua" w:cs="Calibri"/>
                <w:b/>
                <w:bCs/>
                <w:color w:val="000000"/>
                <w:sz w:val="16"/>
                <w:szCs w:val="16"/>
                <w:lang w:eastAsia="es-CR"/>
              </w:rPr>
              <w:t>Promedio Global</w:t>
            </w:r>
          </w:p>
        </w:tc>
        <w:tc>
          <w:tcPr>
            <w:tcW w:w="1660" w:type="dxa"/>
            <w:tcBorders>
              <w:top w:val="nil"/>
              <w:left w:val="nil"/>
              <w:bottom w:val="single" w:sz="4" w:space="0" w:color="808080"/>
              <w:right w:val="single" w:sz="4" w:space="0" w:color="808080"/>
            </w:tcBorders>
            <w:shd w:val="clear" w:color="auto" w:fill="auto"/>
            <w:noWrap/>
            <w:vAlign w:val="center"/>
            <w:hideMark/>
          </w:tcPr>
          <w:p w14:paraId="473A4A14" w14:textId="77777777" w:rsidR="000832FA" w:rsidRPr="000832FA" w:rsidRDefault="000832FA" w:rsidP="000832FA">
            <w:pPr>
              <w:jc w:val="center"/>
              <w:rPr>
                <w:rFonts w:ascii="Book Antiqua" w:hAnsi="Book Antiqua" w:cs="Calibri"/>
                <w:b/>
                <w:bCs/>
                <w:color w:val="000000"/>
                <w:sz w:val="16"/>
                <w:szCs w:val="16"/>
                <w:lang w:eastAsia="es-CR"/>
              </w:rPr>
            </w:pPr>
            <w:r w:rsidRPr="000832FA">
              <w:rPr>
                <w:rFonts w:ascii="Book Antiqua" w:hAnsi="Book Antiqua" w:cs="Calibri"/>
                <w:b/>
                <w:bCs/>
                <w:color w:val="000000"/>
                <w:sz w:val="16"/>
                <w:szCs w:val="16"/>
                <w:lang w:eastAsia="es-CR"/>
              </w:rPr>
              <w:t>82%</w:t>
            </w:r>
          </w:p>
        </w:tc>
      </w:tr>
    </w:tbl>
    <w:p w14:paraId="3CC38AE6" w14:textId="77777777" w:rsidR="00F75E3A" w:rsidRDefault="00F75E3A" w:rsidP="00005081">
      <w:pPr>
        <w:spacing w:line="276" w:lineRule="auto"/>
        <w:jc w:val="center"/>
        <w:rPr>
          <w:rFonts w:ascii="Book Antiqua" w:hAnsi="Book Antiqua"/>
          <w:color w:val="000000" w:themeColor="text1"/>
          <w:sz w:val="20"/>
          <w:szCs w:val="20"/>
        </w:rPr>
      </w:pPr>
      <w:r w:rsidRPr="0013210E">
        <w:rPr>
          <w:rFonts w:ascii="Book Antiqua" w:hAnsi="Book Antiqua"/>
          <w:b/>
          <w:bCs/>
          <w:color w:val="000000"/>
          <w:sz w:val="20"/>
          <w:szCs w:val="20"/>
        </w:rPr>
        <w:t>Fuente:</w:t>
      </w:r>
      <w:r w:rsidRPr="00DE41EA">
        <w:rPr>
          <w:rFonts w:ascii="Book Antiqua" w:hAnsi="Book Antiqua"/>
          <w:color w:val="000000"/>
          <w:sz w:val="20"/>
          <w:szCs w:val="20"/>
        </w:rPr>
        <w:t xml:space="preserve"> </w:t>
      </w:r>
      <w:r w:rsidRPr="002754DF">
        <w:rPr>
          <w:rFonts w:ascii="Book Antiqua" w:hAnsi="Book Antiqua"/>
          <w:color w:val="000000" w:themeColor="text1"/>
          <w:sz w:val="20"/>
          <w:szCs w:val="20"/>
        </w:rPr>
        <w:t>Elaboración propia a partir de datos suministrados por despachos según circular 61-2020</w:t>
      </w:r>
    </w:p>
    <w:p w14:paraId="34B4769E" w14:textId="77777777" w:rsidR="00F75E3A" w:rsidRDefault="00F75E3A" w:rsidP="00F75E3A">
      <w:pPr>
        <w:spacing w:line="276" w:lineRule="auto"/>
        <w:jc w:val="both"/>
        <w:rPr>
          <w:rFonts w:ascii="Book Antiqua" w:hAnsi="Book Antiqua"/>
          <w:b/>
          <w:color w:val="000000" w:themeColor="text1"/>
        </w:rPr>
      </w:pPr>
    </w:p>
    <w:p w14:paraId="0A3755CE" w14:textId="7FF359AA" w:rsidR="00F75E3A" w:rsidRPr="0048228F" w:rsidRDefault="00F75E3A" w:rsidP="00F75E3A">
      <w:pPr>
        <w:spacing w:line="276" w:lineRule="auto"/>
        <w:ind w:right="-1"/>
        <w:jc w:val="both"/>
        <w:rPr>
          <w:rFonts w:ascii="Book Antiqua" w:hAnsi="Book Antiqua"/>
          <w:color w:val="000000"/>
        </w:rPr>
      </w:pPr>
      <w:r>
        <w:rPr>
          <w:rFonts w:ascii="Book Antiqua" w:hAnsi="Book Antiqua" w:cs="Arial"/>
        </w:rPr>
        <w:t>De manera general los Tribunales de Apelación de Sentencia alcanzaron un porcentaje de cumplimiento del 8</w:t>
      </w:r>
      <w:r w:rsidR="000832FA">
        <w:rPr>
          <w:rFonts w:ascii="Book Antiqua" w:hAnsi="Book Antiqua" w:cs="Arial"/>
        </w:rPr>
        <w:t>2</w:t>
      </w:r>
      <w:r>
        <w:rPr>
          <w:rFonts w:ascii="Book Antiqua" w:hAnsi="Book Antiqua" w:cs="Arial"/>
        </w:rPr>
        <w:t xml:space="preserve">%. </w:t>
      </w:r>
      <w:r w:rsidRPr="0048228F">
        <w:rPr>
          <w:rFonts w:ascii="Book Antiqua" w:hAnsi="Book Antiqua"/>
          <w:color w:val="000000"/>
        </w:rPr>
        <w:t>Importante señalar que</w:t>
      </w:r>
      <w:r>
        <w:rPr>
          <w:rFonts w:ascii="Book Antiqua" w:hAnsi="Book Antiqua"/>
          <w:color w:val="000000"/>
        </w:rPr>
        <w:t xml:space="preserve">, </w:t>
      </w:r>
      <w:r w:rsidRPr="0048228F">
        <w:rPr>
          <w:rFonts w:ascii="Book Antiqua" w:hAnsi="Book Antiqua"/>
          <w:color w:val="000000"/>
        </w:rPr>
        <w:t xml:space="preserve">únicamente </w:t>
      </w:r>
      <w:r w:rsidR="00005081">
        <w:rPr>
          <w:rFonts w:ascii="Book Antiqua" w:hAnsi="Book Antiqua"/>
          <w:color w:val="000000"/>
        </w:rPr>
        <w:t xml:space="preserve">los </w:t>
      </w:r>
      <w:r w:rsidRPr="0048228F">
        <w:rPr>
          <w:rFonts w:ascii="Book Antiqua" w:hAnsi="Book Antiqua"/>
          <w:color w:val="000000"/>
        </w:rPr>
        <w:t>Tribunal</w:t>
      </w:r>
      <w:r w:rsidR="00005081">
        <w:rPr>
          <w:rFonts w:ascii="Book Antiqua" w:hAnsi="Book Antiqua"/>
          <w:color w:val="000000"/>
        </w:rPr>
        <w:t>es</w:t>
      </w:r>
      <w:r w:rsidRPr="0048228F">
        <w:rPr>
          <w:rFonts w:ascii="Book Antiqua" w:hAnsi="Book Antiqua"/>
          <w:color w:val="000000"/>
        </w:rPr>
        <w:t xml:space="preserve"> de Apelación de la Sentencia Penal de </w:t>
      </w:r>
      <w:r>
        <w:rPr>
          <w:rFonts w:ascii="Book Antiqua" w:hAnsi="Book Antiqua"/>
          <w:color w:val="000000"/>
        </w:rPr>
        <w:t>Goicochea</w:t>
      </w:r>
      <w:r w:rsidR="00005081">
        <w:rPr>
          <w:rFonts w:ascii="Book Antiqua" w:hAnsi="Book Antiqua"/>
          <w:color w:val="000000"/>
        </w:rPr>
        <w:t xml:space="preserve"> y San Ramón</w:t>
      </w:r>
      <w:r w:rsidRPr="0048228F">
        <w:rPr>
          <w:rFonts w:ascii="Book Antiqua" w:hAnsi="Book Antiqua"/>
          <w:color w:val="000000"/>
        </w:rPr>
        <w:t>, alcanz</w:t>
      </w:r>
      <w:r w:rsidR="00005081">
        <w:rPr>
          <w:rFonts w:ascii="Book Antiqua" w:hAnsi="Book Antiqua"/>
          <w:color w:val="000000"/>
        </w:rPr>
        <w:t>aron</w:t>
      </w:r>
      <w:r w:rsidRPr="0048228F">
        <w:rPr>
          <w:rFonts w:ascii="Book Antiqua" w:hAnsi="Book Antiqua"/>
          <w:color w:val="000000"/>
        </w:rPr>
        <w:t xml:space="preserve"> un porcentaje menor del </w:t>
      </w:r>
      <w:r>
        <w:rPr>
          <w:rFonts w:ascii="Book Antiqua" w:hAnsi="Book Antiqua"/>
          <w:color w:val="000000"/>
        </w:rPr>
        <w:t>80</w:t>
      </w:r>
      <w:r w:rsidRPr="0048228F">
        <w:rPr>
          <w:rFonts w:ascii="Book Antiqua" w:hAnsi="Book Antiqua"/>
          <w:color w:val="000000"/>
        </w:rPr>
        <w:t xml:space="preserve">%.  Por otro lado, </w:t>
      </w:r>
      <w:r w:rsidR="00005081">
        <w:rPr>
          <w:rFonts w:ascii="Book Antiqua" w:hAnsi="Book Antiqua"/>
          <w:color w:val="000000"/>
        </w:rPr>
        <w:t xml:space="preserve">los tribunales de Santa Cruz y </w:t>
      </w:r>
      <w:r w:rsidR="00CB0A9A">
        <w:rPr>
          <w:rFonts w:ascii="Book Antiqua" w:hAnsi="Book Antiqua"/>
          <w:color w:val="000000"/>
        </w:rPr>
        <w:t>Cartago</w:t>
      </w:r>
      <w:r w:rsidRPr="0048228F">
        <w:rPr>
          <w:rFonts w:ascii="Book Antiqua" w:hAnsi="Book Antiqua"/>
          <w:color w:val="000000"/>
        </w:rPr>
        <w:t xml:space="preserve"> </w:t>
      </w:r>
      <w:r w:rsidR="00005081">
        <w:rPr>
          <w:rFonts w:ascii="Book Antiqua" w:hAnsi="Book Antiqua"/>
          <w:color w:val="000000"/>
        </w:rPr>
        <w:t xml:space="preserve">superaron la cifra ideal </w:t>
      </w:r>
      <w:r w:rsidR="00CB0A9A">
        <w:rPr>
          <w:rFonts w:ascii="Book Antiqua" w:hAnsi="Book Antiqua"/>
          <w:color w:val="000000"/>
        </w:rPr>
        <w:t>con un</w:t>
      </w:r>
      <w:r w:rsidR="00005081">
        <w:rPr>
          <w:rFonts w:ascii="Book Antiqua" w:hAnsi="Book Antiqua"/>
          <w:color w:val="000000"/>
        </w:rPr>
        <w:t xml:space="preserve"> 8</w:t>
      </w:r>
      <w:r w:rsidR="00CB0A9A">
        <w:rPr>
          <w:rFonts w:ascii="Book Antiqua" w:hAnsi="Book Antiqua"/>
          <w:color w:val="000000"/>
        </w:rPr>
        <w:t>8</w:t>
      </w:r>
      <w:r w:rsidR="00005081">
        <w:rPr>
          <w:rFonts w:ascii="Book Antiqua" w:hAnsi="Book Antiqua"/>
          <w:color w:val="000000"/>
        </w:rPr>
        <w:t xml:space="preserve">% y </w:t>
      </w:r>
      <w:r w:rsidR="00CB0A9A">
        <w:rPr>
          <w:rFonts w:ascii="Book Antiqua" w:hAnsi="Book Antiqua"/>
          <w:color w:val="000000"/>
        </w:rPr>
        <w:t>4</w:t>
      </w:r>
      <w:r w:rsidR="00005081">
        <w:rPr>
          <w:rFonts w:ascii="Book Antiqua" w:hAnsi="Book Antiqua"/>
          <w:color w:val="000000"/>
        </w:rPr>
        <w:t>4%</w:t>
      </w:r>
      <w:r>
        <w:rPr>
          <w:rFonts w:ascii="Book Antiqua" w:hAnsi="Book Antiqua"/>
          <w:color w:val="000000"/>
        </w:rPr>
        <w:t xml:space="preserve"> </w:t>
      </w:r>
      <w:r w:rsidR="00CB0A9A">
        <w:rPr>
          <w:rFonts w:ascii="Book Antiqua" w:hAnsi="Book Antiqua"/>
          <w:color w:val="000000"/>
        </w:rPr>
        <w:t>respectivamente.</w:t>
      </w:r>
      <w:r w:rsidRPr="0048228F">
        <w:rPr>
          <w:rFonts w:ascii="Book Antiqua" w:hAnsi="Book Antiqua"/>
          <w:color w:val="000000"/>
        </w:rPr>
        <w:t xml:space="preserve"> </w:t>
      </w:r>
    </w:p>
    <w:p w14:paraId="07E3817A" w14:textId="77777777" w:rsidR="00F75E3A" w:rsidRDefault="00F75E3A" w:rsidP="00F75E3A">
      <w:pPr>
        <w:spacing w:line="276" w:lineRule="auto"/>
        <w:jc w:val="both"/>
        <w:rPr>
          <w:rFonts w:ascii="Book Antiqua" w:hAnsi="Book Antiqua"/>
          <w:b/>
          <w:color w:val="000000" w:themeColor="text1"/>
        </w:rPr>
      </w:pPr>
    </w:p>
    <w:p w14:paraId="3DEADD4B" w14:textId="77777777" w:rsidR="00F75E3A" w:rsidRPr="004F0E92" w:rsidRDefault="00F75E3A" w:rsidP="00F75E3A">
      <w:pPr>
        <w:spacing w:line="276" w:lineRule="auto"/>
        <w:jc w:val="both"/>
        <w:rPr>
          <w:rFonts w:ascii="Book Antiqua" w:hAnsi="Book Antiqua"/>
          <w:b/>
          <w:color w:val="000000" w:themeColor="text1"/>
        </w:rPr>
      </w:pPr>
    </w:p>
    <w:p w14:paraId="76385405" w14:textId="3E5B359D" w:rsidR="00F75E3A" w:rsidRPr="00143762" w:rsidRDefault="37DC6798" w:rsidP="57A79FF7">
      <w:pPr>
        <w:spacing w:after="160" w:line="276" w:lineRule="auto"/>
        <w:contextualSpacing/>
        <w:outlineLvl w:val="1"/>
        <w:rPr>
          <w:b/>
          <w:color w:val="000000" w:themeColor="text1"/>
        </w:rPr>
      </w:pPr>
      <w:r w:rsidRPr="57A79FF7">
        <w:rPr>
          <w:rFonts w:ascii="Book Antiqua" w:hAnsi="Book Antiqua"/>
          <w:b/>
          <w:bCs/>
          <w:color w:val="000000" w:themeColor="text1"/>
        </w:rPr>
        <w:t xml:space="preserve">8.2.6 </w:t>
      </w:r>
      <w:r w:rsidR="00F75E3A" w:rsidRPr="00143762">
        <w:rPr>
          <w:rFonts w:ascii="Book Antiqua" w:hAnsi="Book Antiqua"/>
          <w:b/>
          <w:color w:val="000000" w:themeColor="text1"/>
        </w:rPr>
        <w:t>Sala Tercera</w:t>
      </w:r>
    </w:p>
    <w:p w14:paraId="7F9D0CF0" w14:textId="30A5FA16" w:rsidR="57A79FF7" w:rsidRDefault="57A79FF7" w:rsidP="57A79FF7">
      <w:pPr>
        <w:spacing w:after="160" w:line="276" w:lineRule="auto"/>
        <w:outlineLvl w:val="1"/>
        <w:rPr>
          <w:b/>
          <w:bCs/>
          <w:color w:val="000000" w:themeColor="text1"/>
        </w:rPr>
      </w:pPr>
    </w:p>
    <w:p w14:paraId="69FC327C" w14:textId="20FBBD4E" w:rsidR="00F75E3A" w:rsidRPr="00EC505D" w:rsidRDefault="00F75E3A" w:rsidP="00F75E3A">
      <w:pPr>
        <w:spacing w:line="276" w:lineRule="auto"/>
        <w:jc w:val="both"/>
        <w:rPr>
          <w:rFonts w:ascii="Book Antiqua" w:hAnsi="Book Antiqua"/>
          <w:color w:val="000000" w:themeColor="text1"/>
        </w:rPr>
      </w:pPr>
      <w:r w:rsidRPr="00143762">
        <w:rPr>
          <w:rFonts w:ascii="Book Antiqua" w:hAnsi="Book Antiqua"/>
          <w:color w:val="000000" w:themeColor="text1"/>
        </w:rPr>
        <w:t xml:space="preserve">En el caso de la Sala Tercera el promedio de producción general es de un </w:t>
      </w:r>
      <w:r w:rsidR="000744C3">
        <w:rPr>
          <w:rFonts w:ascii="Book Antiqua" w:hAnsi="Book Antiqua"/>
          <w:color w:val="000000" w:themeColor="text1"/>
        </w:rPr>
        <w:t>9</w:t>
      </w:r>
      <w:r>
        <w:rPr>
          <w:rFonts w:ascii="Book Antiqua" w:hAnsi="Book Antiqua"/>
          <w:color w:val="000000" w:themeColor="text1"/>
        </w:rPr>
        <w:t>6</w:t>
      </w:r>
      <w:r w:rsidRPr="00143762">
        <w:rPr>
          <w:rFonts w:ascii="Book Antiqua" w:hAnsi="Book Antiqua"/>
          <w:color w:val="000000" w:themeColor="text1"/>
        </w:rPr>
        <w:t xml:space="preserve">%, lo que muestra una disminución con respecto a </w:t>
      </w:r>
      <w:r w:rsidR="000744C3">
        <w:rPr>
          <w:rFonts w:ascii="Book Antiqua" w:hAnsi="Book Antiqua"/>
          <w:color w:val="000000" w:themeColor="text1"/>
        </w:rPr>
        <w:t>agosto</w:t>
      </w:r>
      <w:r>
        <w:rPr>
          <w:rFonts w:ascii="Book Antiqua" w:hAnsi="Book Antiqua"/>
          <w:color w:val="000000" w:themeColor="text1"/>
        </w:rPr>
        <w:t xml:space="preserve"> 2021</w:t>
      </w:r>
      <w:r w:rsidRPr="00143762">
        <w:rPr>
          <w:rFonts w:ascii="Book Antiqua" w:hAnsi="Book Antiqua"/>
          <w:color w:val="000000" w:themeColor="text1"/>
        </w:rPr>
        <w:t xml:space="preserve"> de un </w:t>
      </w:r>
      <w:r w:rsidR="000744C3">
        <w:rPr>
          <w:rFonts w:ascii="Book Antiqua" w:hAnsi="Book Antiqua"/>
          <w:color w:val="000000" w:themeColor="text1"/>
        </w:rPr>
        <w:t>10</w:t>
      </w:r>
      <w:r w:rsidRPr="00143762">
        <w:rPr>
          <w:rFonts w:ascii="Book Antiqua" w:hAnsi="Book Antiqua"/>
          <w:color w:val="000000" w:themeColor="text1"/>
        </w:rPr>
        <w:t xml:space="preserve">%, en el cual se había alcanzado un porcentaje de </w:t>
      </w:r>
      <w:r w:rsidR="000744C3">
        <w:rPr>
          <w:rFonts w:ascii="Book Antiqua" w:hAnsi="Book Antiqua"/>
          <w:color w:val="000000" w:themeColor="text1"/>
        </w:rPr>
        <w:t>107</w:t>
      </w:r>
      <w:r w:rsidRPr="00143762">
        <w:rPr>
          <w:rFonts w:ascii="Book Antiqua" w:hAnsi="Book Antiqua"/>
          <w:color w:val="000000" w:themeColor="text1"/>
        </w:rPr>
        <w:t>% de acuerdo con el parámetro de producción teórico. El detalle en el siguiente cuadro</w:t>
      </w:r>
      <w:r>
        <w:rPr>
          <w:rFonts w:ascii="Book Antiqua" w:hAnsi="Book Antiqua"/>
          <w:color w:val="000000" w:themeColor="text1"/>
        </w:rPr>
        <w:t>.</w:t>
      </w:r>
    </w:p>
    <w:p w14:paraId="59DE0033" w14:textId="77777777" w:rsidR="000744C3" w:rsidRDefault="000744C3" w:rsidP="00F75E3A">
      <w:pPr>
        <w:spacing w:line="276" w:lineRule="auto"/>
        <w:jc w:val="center"/>
        <w:rPr>
          <w:rFonts w:ascii="Book Antiqua" w:hAnsi="Book Antiqua"/>
          <w:b/>
          <w:color w:val="000000" w:themeColor="text1"/>
        </w:rPr>
      </w:pPr>
    </w:p>
    <w:p w14:paraId="0B29A3D4" w14:textId="3AF6C564" w:rsidR="00F75E3A" w:rsidRPr="00EC505D" w:rsidRDefault="00F75E3A" w:rsidP="00F75E3A">
      <w:pPr>
        <w:spacing w:line="276" w:lineRule="auto"/>
        <w:jc w:val="center"/>
        <w:rPr>
          <w:rFonts w:ascii="Book Antiqua" w:hAnsi="Book Antiqua"/>
          <w:b/>
          <w:color w:val="000000" w:themeColor="text1"/>
        </w:rPr>
      </w:pPr>
      <w:r w:rsidRPr="00EC505D">
        <w:rPr>
          <w:rFonts w:ascii="Book Antiqua" w:hAnsi="Book Antiqua"/>
          <w:b/>
          <w:color w:val="000000" w:themeColor="text1"/>
        </w:rPr>
        <w:t xml:space="preserve">Cuadro </w:t>
      </w:r>
      <w:r w:rsidR="00CB0A9A">
        <w:rPr>
          <w:rFonts w:ascii="Book Antiqua" w:hAnsi="Book Antiqua"/>
          <w:b/>
          <w:color w:val="000000" w:themeColor="text1"/>
        </w:rPr>
        <w:t>8</w:t>
      </w:r>
      <w:r w:rsidR="00F353FF">
        <w:rPr>
          <w:rFonts w:ascii="Book Antiqua" w:hAnsi="Book Antiqua"/>
          <w:b/>
          <w:color w:val="000000" w:themeColor="text1"/>
        </w:rPr>
        <w:t>6</w:t>
      </w:r>
    </w:p>
    <w:p w14:paraId="577EBB41" w14:textId="77777777" w:rsidR="00F75E3A" w:rsidRPr="00246242" w:rsidRDefault="00F75E3A" w:rsidP="00F75E3A">
      <w:pPr>
        <w:spacing w:line="276" w:lineRule="auto"/>
        <w:jc w:val="center"/>
        <w:rPr>
          <w:rFonts w:ascii="Book Antiqua" w:hAnsi="Book Antiqua"/>
          <w:bCs/>
          <w:color w:val="000000" w:themeColor="text1"/>
        </w:rPr>
      </w:pPr>
      <w:r w:rsidRPr="00246242">
        <w:rPr>
          <w:rFonts w:ascii="Book Antiqua" w:hAnsi="Book Antiqua"/>
          <w:bCs/>
          <w:color w:val="000000" w:themeColor="text1"/>
        </w:rPr>
        <w:t xml:space="preserve">Cumplimiento del parámetro de producción </w:t>
      </w:r>
    </w:p>
    <w:p w14:paraId="160D4DA4" w14:textId="3D249EE6" w:rsidR="00F75E3A" w:rsidRPr="00246242" w:rsidRDefault="00F75E3A" w:rsidP="009179C3">
      <w:pPr>
        <w:spacing w:line="276" w:lineRule="auto"/>
        <w:jc w:val="center"/>
        <w:rPr>
          <w:rFonts w:ascii="Book Antiqua" w:hAnsi="Book Antiqua"/>
          <w:bCs/>
          <w:color w:val="000000" w:themeColor="text1"/>
        </w:rPr>
      </w:pPr>
      <w:r w:rsidRPr="00246242">
        <w:rPr>
          <w:rFonts w:ascii="Book Antiqua" w:hAnsi="Book Antiqua"/>
          <w:bCs/>
          <w:color w:val="000000" w:themeColor="text1"/>
        </w:rPr>
        <w:t xml:space="preserve">teórico de la Sala Tercera durante </w:t>
      </w:r>
      <w:r w:rsidR="009179C3">
        <w:rPr>
          <w:rFonts w:ascii="Book Antiqua" w:hAnsi="Book Antiqua"/>
          <w:bCs/>
          <w:color w:val="000000" w:themeColor="text1"/>
        </w:rPr>
        <w:t>setiembre</w:t>
      </w:r>
      <w:r w:rsidRPr="00246242">
        <w:rPr>
          <w:rFonts w:ascii="Book Antiqua" w:hAnsi="Book Antiqua"/>
          <w:bCs/>
          <w:color w:val="000000" w:themeColor="text1"/>
        </w:rPr>
        <w:t xml:space="preserve"> 2021</w:t>
      </w:r>
    </w:p>
    <w:tbl>
      <w:tblPr>
        <w:tblW w:w="6502" w:type="dxa"/>
        <w:jc w:val="center"/>
        <w:tblCellMar>
          <w:left w:w="70" w:type="dxa"/>
          <w:right w:w="70" w:type="dxa"/>
        </w:tblCellMar>
        <w:tblLook w:val="04A0" w:firstRow="1" w:lastRow="0" w:firstColumn="1" w:lastColumn="0" w:noHBand="0" w:noVBand="1"/>
      </w:tblPr>
      <w:tblGrid>
        <w:gridCol w:w="4442"/>
        <w:gridCol w:w="2060"/>
      </w:tblGrid>
      <w:tr w:rsidR="00F75E3A" w:rsidRPr="00CB0A9A" w14:paraId="12DFFCF8" w14:textId="77777777" w:rsidTr="00243F14">
        <w:trPr>
          <w:trHeight w:val="1040"/>
          <w:jc w:val="center"/>
        </w:trPr>
        <w:tc>
          <w:tcPr>
            <w:tcW w:w="4442" w:type="dxa"/>
            <w:tcBorders>
              <w:top w:val="single" w:sz="4" w:space="0" w:color="808080"/>
              <w:left w:val="single" w:sz="4" w:space="0" w:color="808080"/>
              <w:bottom w:val="single" w:sz="4" w:space="0" w:color="808080"/>
              <w:right w:val="single" w:sz="4" w:space="0" w:color="808080"/>
            </w:tcBorders>
            <w:shd w:val="clear" w:color="000000" w:fill="305496"/>
            <w:noWrap/>
            <w:vAlign w:val="center"/>
            <w:hideMark/>
          </w:tcPr>
          <w:p w14:paraId="176848E6" w14:textId="77777777" w:rsidR="00F75E3A" w:rsidRPr="00CB0A9A" w:rsidRDefault="00F75E3A" w:rsidP="00243F14">
            <w:pPr>
              <w:spacing w:line="276" w:lineRule="auto"/>
              <w:jc w:val="center"/>
              <w:rPr>
                <w:rFonts w:ascii="Book Antiqua" w:hAnsi="Book Antiqua" w:cs="Calibri"/>
                <w:b/>
                <w:bCs/>
                <w:color w:val="FFFFFF"/>
                <w:sz w:val="16"/>
                <w:szCs w:val="16"/>
                <w:lang w:eastAsia="es-CR"/>
              </w:rPr>
            </w:pPr>
            <w:r w:rsidRPr="00CB0A9A">
              <w:rPr>
                <w:rFonts w:ascii="Book Antiqua" w:hAnsi="Book Antiqua" w:cs="Calibri"/>
                <w:b/>
                <w:bCs/>
                <w:color w:val="FFFFFF"/>
                <w:sz w:val="16"/>
                <w:szCs w:val="16"/>
                <w:lang w:eastAsia="es-CR"/>
              </w:rPr>
              <w:t>Oficina</w:t>
            </w:r>
          </w:p>
        </w:tc>
        <w:tc>
          <w:tcPr>
            <w:tcW w:w="2060" w:type="dxa"/>
            <w:tcBorders>
              <w:top w:val="single" w:sz="4" w:space="0" w:color="808080"/>
              <w:left w:val="nil"/>
              <w:bottom w:val="single" w:sz="4" w:space="0" w:color="808080"/>
              <w:right w:val="single" w:sz="4" w:space="0" w:color="808080"/>
            </w:tcBorders>
            <w:shd w:val="clear" w:color="000000" w:fill="305496"/>
            <w:vAlign w:val="center"/>
            <w:hideMark/>
          </w:tcPr>
          <w:p w14:paraId="16C15B80" w14:textId="77777777" w:rsidR="00F75E3A" w:rsidRPr="00CB0A9A" w:rsidRDefault="00F75E3A" w:rsidP="00243F14">
            <w:pPr>
              <w:spacing w:line="276" w:lineRule="auto"/>
              <w:jc w:val="center"/>
              <w:rPr>
                <w:rFonts w:ascii="Book Antiqua" w:hAnsi="Book Antiqua" w:cs="Calibri"/>
                <w:b/>
                <w:bCs/>
                <w:color w:val="FFFFFF"/>
                <w:sz w:val="16"/>
                <w:szCs w:val="16"/>
                <w:lang w:eastAsia="es-CR"/>
              </w:rPr>
            </w:pPr>
            <w:r w:rsidRPr="00CB0A9A">
              <w:rPr>
                <w:rFonts w:ascii="Book Antiqua" w:hAnsi="Book Antiqua" w:cs="Calibri"/>
                <w:b/>
                <w:bCs/>
                <w:color w:val="FFFFFF"/>
                <w:sz w:val="16"/>
                <w:szCs w:val="16"/>
                <w:lang w:eastAsia="es-CR"/>
              </w:rPr>
              <w:t xml:space="preserve">Porcentaje cumplimiento cuota teórica auto sentencias </w:t>
            </w:r>
          </w:p>
        </w:tc>
      </w:tr>
      <w:tr w:rsidR="00F75E3A" w:rsidRPr="00CB0A9A" w14:paraId="0E9060EE" w14:textId="77777777" w:rsidTr="00243F14">
        <w:trPr>
          <w:trHeight w:val="290"/>
          <w:jc w:val="center"/>
        </w:trPr>
        <w:tc>
          <w:tcPr>
            <w:tcW w:w="4442" w:type="dxa"/>
            <w:tcBorders>
              <w:top w:val="nil"/>
              <w:left w:val="single" w:sz="4" w:space="0" w:color="808080"/>
              <w:bottom w:val="single" w:sz="4" w:space="0" w:color="808080"/>
              <w:right w:val="single" w:sz="4" w:space="0" w:color="808080"/>
            </w:tcBorders>
            <w:shd w:val="clear" w:color="auto" w:fill="auto"/>
            <w:noWrap/>
            <w:vAlign w:val="center"/>
            <w:hideMark/>
          </w:tcPr>
          <w:p w14:paraId="35F863CD" w14:textId="77777777" w:rsidR="00F75E3A" w:rsidRPr="00CB0A9A" w:rsidRDefault="00F75E3A" w:rsidP="00243F14">
            <w:pPr>
              <w:spacing w:line="276" w:lineRule="auto"/>
              <w:jc w:val="center"/>
              <w:rPr>
                <w:rFonts w:ascii="Book Antiqua" w:hAnsi="Book Antiqua" w:cs="Calibri"/>
                <w:color w:val="000000"/>
                <w:sz w:val="16"/>
                <w:szCs w:val="16"/>
                <w:lang w:eastAsia="es-CR"/>
              </w:rPr>
            </w:pPr>
            <w:r w:rsidRPr="00CB0A9A">
              <w:rPr>
                <w:rFonts w:ascii="Book Antiqua" w:hAnsi="Book Antiqua" w:cs="Calibri"/>
                <w:color w:val="000000"/>
                <w:sz w:val="16"/>
                <w:szCs w:val="16"/>
                <w:lang w:eastAsia="es-CR"/>
              </w:rPr>
              <w:t>Sala Tercera</w:t>
            </w:r>
          </w:p>
        </w:tc>
        <w:tc>
          <w:tcPr>
            <w:tcW w:w="2060" w:type="dxa"/>
            <w:tcBorders>
              <w:top w:val="nil"/>
              <w:left w:val="nil"/>
              <w:bottom w:val="single" w:sz="4" w:space="0" w:color="808080"/>
              <w:right w:val="single" w:sz="4" w:space="0" w:color="808080"/>
            </w:tcBorders>
            <w:shd w:val="clear" w:color="auto" w:fill="auto"/>
            <w:noWrap/>
            <w:vAlign w:val="center"/>
            <w:hideMark/>
          </w:tcPr>
          <w:p w14:paraId="151981AC" w14:textId="767963C3" w:rsidR="00F75E3A" w:rsidRPr="00CB0A9A" w:rsidRDefault="00CB0A9A" w:rsidP="00243F14">
            <w:pPr>
              <w:spacing w:line="276" w:lineRule="auto"/>
              <w:jc w:val="center"/>
              <w:rPr>
                <w:rFonts w:ascii="Book Antiqua" w:hAnsi="Book Antiqua" w:cs="Calibri"/>
                <w:color w:val="000000"/>
                <w:sz w:val="16"/>
                <w:szCs w:val="16"/>
                <w:lang w:eastAsia="es-CR"/>
              </w:rPr>
            </w:pPr>
            <w:r>
              <w:rPr>
                <w:rFonts w:ascii="Book Antiqua" w:hAnsi="Book Antiqua" w:cs="Calibri"/>
                <w:color w:val="000000"/>
                <w:sz w:val="16"/>
                <w:szCs w:val="16"/>
                <w:lang w:eastAsia="es-CR"/>
              </w:rPr>
              <w:t>9</w:t>
            </w:r>
            <w:r w:rsidR="00F75E3A" w:rsidRPr="00CB0A9A">
              <w:rPr>
                <w:rFonts w:ascii="Book Antiqua" w:hAnsi="Book Antiqua" w:cs="Calibri"/>
                <w:color w:val="000000"/>
                <w:sz w:val="16"/>
                <w:szCs w:val="16"/>
                <w:lang w:eastAsia="es-CR"/>
              </w:rPr>
              <w:t>6%</w:t>
            </w:r>
          </w:p>
        </w:tc>
      </w:tr>
    </w:tbl>
    <w:p w14:paraId="53E33BD6" w14:textId="77777777" w:rsidR="00F75E3A" w:rsidRDefault="00F75E3A" w:rsidP="00F75E3A">
      <w:pPr>
        <w:spacing w:line="276" w:lineRule="auto"/>
        <w:jc w:val="center"/>
        <w:rPr>
          <w:rFonts w:ascii="Book Antiqua" w:hAnsi="Book Antiqua"/>
          <w:color w:val="000000" w:themeColor="text1"/>
          <w:sz w:val="20"/>
          <w:szCs w:val="20"/>
        </w:rPr>
      </w:pPr>
      <w:r w:rsidRPr="0013210E">
        <w:rPr>
          <w:rFonts w:ascii="Book Antiqua" w:hAnsi="Book Antiqua"/>
          <w:b/>
          <w:bCs/>
          <w:color w:val="000000"/>
          <w:sz w:val="20"/>
          <w:szCs w:val="20"/>
        </w:rPr>
        <w:t>Fuente:</w:t>
      </w:r>
      <w:r w:rsidRPr="00DE41EA">
        <w:rPr>
          <w:rFonts w:ascii="Book Antiqua" w:hAnsi="Book Antiqua"/>
          <w:color w:val="000000"/>
          <w:sz w:val="20"/>
          <w:szCs w:val="20"/>
        </w:rPr>
        <w:t xml:space="preserve"> </w:t>
      </w:r>
      <w:r w:rsidRPr="002754DF">
        <w:rPr>
          <w:rFonts w:ascii="Book Antiqua" w:hAnsi="Book Antiqua"/>
          <w:color w:val="000000" w:themeColor="text1"/>
          <w:sz w:val="20"/>
          <w:szCs w:val="20"/>
        </w:rPr>
        <w:t>Elaboración propia a partir de datos suministrados por despachos según circular 61-2020</w:t>
      </w:r>
    </w:p>
    <w:p w14:paraId="6C87BD12" w14:textId="77777777" w:rsidR="009179C3" w:rsidRPr="006F775A" w:rsidRDefault="009179C3" w:rsidP="006F775A">
      <w:pPr>
        <w:spacing w:after="160" w:line="276" w:lineRule="auto"/>
        <w:contextualSpacing/>
        <w:rPr>
          <w:rFonts w:ascii="Book Antiqua" w:hAnsi="Book Antiqua"/>
          <w:b/>
          <w:color w:val="000000" w:themeColor="text1"/>
        </w:rPr>
      </w:pPr>
    </w:p>
    <w:p w14:paraId="72782B9C" w14:textId="27812A82" w:rsidR="00F75E3A" w:rsidRPr="00C53927" w:rsidRDefault="13D27342" w:rsidP="57A79FF7">
      <w:pPr>
        <w:tabs>
          <w:tab w:val="left" w:pos="284"/>
        </w:tabs>
        <w:spacing w:line="276" w:lineRule="auto"/>
        <w:outlineLvl w:val="1"/>
        <w:rPr>
          <w:b/>
          <w:color w:val="000000" w:themeColor="text1"/>
        </w:rPr>
      </w:pPr>
      <w:r w:rsidRPr="57A79FF7">
        <w:rPr>
          <w:rFonts w:ascii="Book Antiqua" w:hAnsi="Book Antiqua"/>
          <w:b/>
          <w:bCs/>
          <w:color w:val="000000" w:themeColor="text1"/>
        </w:rPr>
        <w:t xml:space="preserve">8.3 </w:t>
      </w:r>
      <w:r w:rsidR="00F75E3A" w:rsidRPr="00C53927">
        <w:rPr>
          <w:rFonts w:ascii="Book Antiqua" w:hAnsi="Book Antiqua"/>
          <w:b/>
          <w:color w:val="000000" w:themeColor="text1"/>
        </w:rPr>
        <w:t>Simulación de parámetros de producción</w:t>
      </w:r>
    </w:p>
    <w:p w14:paraId="072DE14F" w14:textId="77777777" w:rsidR="00F75E3A" w:rsidRPr="00F970F2" w:rsidRDefault="00F75E3A" w:rsidP="00F75E3A">
      <w:pPr>
        <w:spacing w:line="276" w:lineRule="auto"/>
        <w:rPr>
          <w:rFonts w:ascii="Book Antiqua" w:hAnsi="Book Antiqua"/>
          <w:b/>
          <w:color w:val="000000" w:themeColor="text1"/>
          <w:highlight w:val="yellow"/>
        </w:rPr>
      </w:pPr>
    </w:p>
    <w:p w14:paraId="06293AE4" w14:textId="77777777" w:rsidR="00F75E3A" w:rsidRPr="00B152EF" w:rsidRDefault="00F75E3A" w:rsidP="00F75E3A">
      <w:pPr>
        <w:spacing w:line="276" w:lineRule="auto"/>
        <w:jc w:val="both"/>
        <w:rPr>
          <w:rFonts w:ascii="Book Antiqua" w:hAnsi="Book Antiqua"/>
          <w:bCs/>
          <w:color w:val="000000" w:themeColor="text1"/>
        </w:rPr>
      </w:pPr>
      <w:r w:rsidRPr="002178AB">
        <w:rPr>
          <w:rFonts w:ascii="Book Antiqua" w:hAnsi="Book Antiqua"/>
          <w:bCs/>
          <w:color w:val="000000" w:themeColor="text1"/>
        </w:rPr>
        <w:t xml:space="preserve">Realizando una simulación de la producción de las diferentes oficinas de materia penal contra su parámetro teórico, se visualiza que los Tribunales de Juicio, Juzgados de Ejecución, sobrepasan en más de un 100% el parámetro, en tanto, que los Tribunales de Apelación, la Sala Tercera y Juzgados Penales superan el 80%, </w:t>
      </w:r>
      <w:r w:rsidRPr="00B152EF">
        <w:rPr>
          <w:rFonts w:ascii="Book Antiqua" w:hAnsi="Book Antiqua"/>
          <w:bCs/>
          <w:color w:val="000000" w:themeColor="text1"/>
        </w:rPr>
        <w:t xml:space="preserve">valor mínimo esperado.  </w:t>
      </w:r>
      <w:r w:rsidRPr="00B152EF">
        <w:rPr>
          <w:rFonts w:ascii="Book Antiqua" w:hAnsi="Book Antiqua"/>
        </w:rPr>
        <w:t xml:space="preserve">De acuerdo con este resultado se destaca el alto compromiso del personal de las oficinas para atender sus labores, aún con el impacto sobre las oficinas de las medidas que sanitarias que se han tomado.  </w:t>
      </w:r>
    </w:p>
    <w:p w14:paraId="76C4F03A" w14:textId="77777777" w:rsidR="00F75E3A" w:rsidRPr="00B152EF" w:rsidRDefault="00F75E3A" w:rsidP="00F75E3A">
      <w:pPr>
        <w:spacing w:line="276" w:lineRule="auto"/>
        <w:jc w:val="both"/>
        <w:rPr>
          <w:rFonts w:ascii="Book Antiqua" w:hAnsi="Book Antiqua"/>
        </w:rPr>
      </w:pPr>
    </w:p>
    <w:p w14:paraId="7C40D222" w14:textId="77777777" w:rsidR="00F75E3A" w:rsidRPr="00B152EF" w:rsidRDefault="00F75E3A" w:rsidP="00F75E3A">
      <w:pPr>
        <w:spacing w:line="276" w:lineRule="auto"/>
        <w:jc w:val="both"/>
        <w:rPr>
          <w:rFonts w:ascii="Book Antiqua" w:hAnsi="Book Antiqua"/>
        </w:rPr>
      </w:pPr>
      <w:r w:rsidRPr="00B152EF">
        <w:rPr>
          <w:rFonts w:ascii="Book Antiqua" w:hAnsi="Book Antiqua"/>
        </w:rPr>
        <w:t>En el caso de Flagrancia hay que destacar que se parte de la entrada de asuntos en cada zona y que, como medida también han brindado colaboración con la carga de trabajo de los Tribunales Ordinarios con el fin de descongestionarlos.</w:t>
      </w:r>
    </w:p>
    <w:p w14:paraId="5DCA664C" w14:textId="77777777" w:rsidR="00F75E3A" w:rsidRDefault="00F75E3A" w:rsidP="00F75E3A">
      <w:pPr>
        <w:spacing w:line="276" w:lineRule="auto"/>
        <w:jc w:val="both"/>
        <w:rPr>
          <w:rFonts w:ascii="Book Antiqua" w:hAnsi="Book Antiqua"/>
          <w:highlight w:val="yellow"/>
        </w:rPr>
      </w:pPr>
    </w:p>
    <w:p w14:paraId="38C36CDE" w14:textId="77777777" w:rsidR="00F75E3A" w:rsidRPr="00C91B90" w:rsidRDefault="00F75E3A" w:rsidP="00F75E3A">
      <w:pPr>
        <w:spacing w:line="276" w:lineRule="auto"/>
        <w:jc w:val="both"/>
        <w:rPr>
          <w:rFonts w:ascii="Book Antiqua" w:hAnsi="Book Antiqua"/>
          <w:b/>
          <w:color w:val="000000" w:themeColor="text1"/>
        </w:rPr>
      </w:pPr>
      <w:r w:rsidRPr="00C91B90">
        <w:rPr>
          <w:rFonts w:ascii="Book Antiqua" w:hAnsi="Book Antiqua"/>
        </w:rPr>
        <w:t>Es necesario aclarar, que también se debe considerar en este período, las medidas que hay que tener en el uso de las celdas, con el fin de mantener el aforo mínimo, que impactan de forma negativa en la realización de juicios en las diferentes zonas. Siendo necesario potenciar en los casos que sea posible el empleo de los juicios y audiencias virtuales.</w:t>
      </w:r>
      <w:r w:rsidRPr="00C91B90">
        <w:rPr>
          <w:rFonts w:ascii="Book Antiqua" w:hAnsi="Book Antiqua"/>
          <w:b/>
          <w:color w:val="000000" w:themeColor="text1"/>
        </w:rPr>
        <w:t xml:space="preserve"> </w:t>
      </w:r>
    </w:p>
    <w:p w14:paraId="3C3452C5" w14:textId="77777777" w:rsidR="00F75E3A" w:rsidRDefault="00F75E3A" w:rsidP="00F75E3A">
      <w:pPr>
        <w:spacing w:line="276" w:lineRule="auto"/>
        <w:jc w:val="both"/>
        <w:rPr>
          <w:rFonts w:ascii="Book Antiqua" w:hAnsi="Book Antiqua"/>
          <w:highlight w:val="yellow"/>
        </w:rPr>
      </w:pPr>
    </w:p>
    <w:p w14:paraId="3E582C67" w14:textId="77777777" w:rsidR="00F75E3A" w:rsidRDefault="00F75E3A" w:rsidP="00F75E3A">
      <w:pPr>
        <w:spacing w:line="276" w:lineRule="auto"/>
        <w:jc w:val="both"/>
        <w:rPr>
          <w:rFonts w:ascii="Book Antiqua" w:hAnsi="Book Antiqua"/>
        </w:rPr>
      </w:pPr>
      <w:r w:rsidRPr="009123AD">
        <w:rPr>
          <w:rFonts w:ascii="Book Antiqua" w:hAnsi="Book Antiqua"/>
        </w:rPr>
        <w:t>De conformidad con lo expuesto anteriormente, se desglosa en los siguientes recuadros el porcentaje de cumplimiento del parámetro de producción teórico a nivel nacional por tipo de oficina y variable considerada según despacho.</w:t>
      </w:r>
      <w:r>
        <w:rPr>
          <w:rFonts w:ascii="Book Antiqua" w:hAnsi="Book Antiqua"/>
        </w:rPr>
        <w:t xml:space="preserve"> </w:t>
      </w:r>
    </w:p>
    <w:p w14:paraId="57AC4747" w14:textId="77777777" w:rsidR="00F75E3A" w:rsidRDefault="00F75E3A" w:rsidP="00F75E3A">
      <w:pPr>
        <w:spacing w:line="276" w:lineRule="auto"/>
        <w:jc w:val="both"/>
        <w:rPr>
          <w:rFonts w:ascii="Book Antiqua" w:hAnsi="Book Antiqua"/>
        </w:rPr>
      </w:pPr>
    </w:p>
    <w:p w14:paraId="07376329" w14:textId="02789F52" w:rsidR="00F75E3A" w:rsidRDefault="00F75E3A" w:rsidP="00F75E3A">
      <w:pPr>
        <w:spacing w:line="276" w:lineRule="auto"/>
        <w:jc w:val="both"/>
        <w:rPr>
          <w:rFonts w:ascii="Book Antiqua" w:hAnsi="Book Antiqua"/>
        </w:rPr>
      </w:pPr>
      <w:r>
        <w:rPr>
          <w:rFonts w:ascii="Book Antiqua" w:hAnsi="Book Antiqua"/>
        </w:rPr>
        <w:t xml:space="preserve">En el </w:t>
      </w:r>
      <w:r w:rsidRPr="00B85E23">
        <w:rPr>
          <w:rFonts w:ascii="Book Antiqua" w:hAnsi="Book Antiqua"/>
          <w:b/>
          <w:bCs/>
        </w:rPr>
        <w:t xml:space="preserve">cuadro </w:t>
      </w:r>
      <w:r w:rsidR="000744C3">
        <w:rPr>
          <w:rFonts w:ascii="Book Antiqua" w:hAnsi="Book Antiqua"/>
          <w:b/>
          <w:bCs/>
        </w:rPr>
        <w:t>8</w:t>
      </w:r>
      <w:r w:rsidR="009179C3">
        <w:rPr>
          <w:rFonts w:ascii="Book Antiqua" w:hAnsi="Book Antiqua"/>
          <w:b/>
          <w:bCs/>
        </w:rPr>
        <w:t>7</w:t>
      </w:r>
      <w:r>
        <w:rPr>
          <w:rFonts w:ascii="Book Antiqua" w:hAnsi="Book Antiqua"/>
          <w:bCs/>
          <w:color w:val="000000" w:themeColor="text1"/>
        </w:rPr>
        <w:t xml:space="preserve">se inserta el resultado </w:t>
      </w:r>
      <w:r w:rsidRPr="00B85E23">
        <w:rPr>
          <w:rFonts w:ascii="Book Antiqua" w:hAnsi="Book Antiqua"/>
          <w:b/>
        </w:rPr>
        <w:t>de manera</w:t>
      </w:r>
      <w:r>
        <w:rPr>
          <w:rFonts w:ascii="Book Antiqua" w:hAnsi="Book Antiqua"/>
          <w:b/>
        </w:rPr>
        <w:t xml:space="preserve"> semanal, </w:t>
      </w:r>
      <w:r>
        <w:rPr>
          <w:rFonts w:ascii="Book Antiqua" w:hAnsi="Book Antiqua"/>
        </w:rPr>
        <w:t xml:space="preserve">a partir de los datos de mayo 2020 a abril 2021, suministrados por el personal de las oficinas mediante el informe de labores One drive (circular 61-20). </w:t>
      </w:r>
    </w:p>
    <w:p w14:paraId="72E3D2BD" w14:textId="77777777" w:rsidR="00F75E3A" w:rsidRPr="00F970F2" w:rsidRDefault="00F75E3A" w:rsidP="00F75E3A">
      <w:pPr>
        <w:spacing w:line="276" w:lineRule="auto"/>
        <w:jc w:val="both"/>
        <w:rPr>
          <w:rFonts w:ascii="Book Antiqua" w:hAnsi="Book Antiqua"/>
          <w:bCs/>
          <w:color w:val="000000" w:themeColor="text1"/>
          <w:highlight w:val="yellow"/>
        </w:rPr>
      </w:pPr>
    </w:p>
    <w:p w14:paraId="29189B5E" w14:textId="30CD8328" w:rsidR="00F75E3A" w:rsidRPr="007E572E" w:rsidRDefault="00F75E3A" w:rsidP="00F75E3A">
      <w:pPr>
        <w:spacing w:line="276" w:lineRule="auto"/>
        <w:jc w:val="center"/>
        <w:rPr>
          <w:rFonts w:ascii="Book Antiqua" w:hAnsi="Book Antiqua"/>
          <w:b/>
          <w:color w:val="000000" w:themeColor="text1"/>
        </w:rPr>
      </w:pPr>
      <w:r w:rsidRPr="007E572E">
        <w:rPr>
          <w:rFonts w:ascii="Book Antiqua" w:hAnsi="Book Antiqua"/>
          <w:b/>
          <w:color w:val="000000" w:themeColor="text1"/>
        </w:rPr>
        <w:t xml:space="preserve">Cuadro </w:t>
      </w:r>
      <w:r w:rsidR="000744C3">
        <w:rPr>
          <w:rFonts w:ascii="Book Antiqua" w:hAnsi="Book Antiqua"/>
          <w:b/>
          <w:color w:val="000000" w:themeColor="text1"/>
        </w:rPr>
        <w:t>8</w:t>
      </w:r>
      <w:r w:rsidR="009179C3">
        <w:rPr>
          <w:rFonts w:ascii="Book Antiqua" w:hAnsi="Book Antiqua"/>
          <w:b/>
          <w:color w:val="000000" w:themeColor="text1"/>
        </w:rPr>
        <w:t>7</w:t>
      </w:r>
    </w:p>
    <w:p w14:paraId="300D1E9F" w14:textId="77777777" w:rsidR="00F75E3A" w:rsidRPr="007E572E" w:rsidRDefault="00F75E3A" w:rsidP="00F75E3A">
      <w:pPr>
        <w:spacing w:line="276" w:lineRule="auto"/>
        <w:jc w:val="center"/>
        <w:rPr>
          <w:rFonts w:ascii="Book Antiqua" w:hAnsi="Book Antiqua"/>
          <w:bCs/>
          <w:color w:val="000000" w:themeColor="text1"/>
        </w:rPr>
      </w:pPr>
      <w:r w:rsidRPr="007E572E">
        <w:rPr>
          <w:rFonts w:ascii="Book Antiqua" w:hAnsi="Book Antiqua"/>
          <w:bCs/>
          <w:color w:val="000000" w:themeColor="text1"/>
        </w:rPr>
        <w:t xml:space="preserve">Cumplimiento del parámetro de producción teórico de </w:t>
      </w:r>
    </w:p>
    <w:p w14:paraId="025C7974" w14:textId="77777777" w:rsidR="00F75E3A" w:rsidRPr="00AA249F" w:rsidRDefault="00F75E3A" w:rsidP="00F75E3A">
      <w:pPr>
        <w:spacing w:line="276" w:lineRule="auto"/>
        <w:jc w:val="center"/>
        <w:rPr>
          <w:rFonts w:ascii="Book Antiqua" w:hAnsi="Book Antiqua"/>
          <w:bCs/>
          <w:color w:val="000000" w:themeColor="text1"/>
        </w:rPr>
      </w:pPr>
      <w:r w:rsidRPr="007E572E">
        <w:rPr>
          <w:rFonts w:ascii="Book Antiqua" w:hAnsi="Book Antiqua"/>
          <w:bCs/>
          <w:color w:val="000000" w:themeColor="text1"/>
        </w:rPr>
        <w:t>oficinas de materia penal desde el inicio de la medición de circular 61-2020</w:t>
      </w:r>
    </w:p>
    <w:p w14:paraId="30AC19C1" w14:textId="77777777" w:rsidR="00F75E3A" w:rsidRDefault="00F75E3A" w:rsidP="00F75E3A">
      <w:pPr>
        <w:spacing w:line="276" w:lineRule="auto"/>
        <w:rPr>
          <w:rFonts w:ascii="Book Antiqua" w:hAnsi="Book Antiqua"/>
          <w:b/>
          <w:color w:val="000000" w:themeColor="text1"/>
          <w:highlight w:val="yellow"/>
        </w:rPr>
      </w:pPr>
    </w:p>
    <w:tbl>
      <w:tblPr>
        <w:tblW w:w="10580" w:type="dxa"/>
        <w:jc w:val="center"/>
        <w:tblCellMar>
          <w:left w:w="70" w:type="dxa"/>
          <w:right w:w="70" w:type="dxa"/>
        </w:tblCellMar>
        <w:tblLook w:val="04A0" w:firstRow="1" w:lastRow="0" w:firstColumn="1" w:lastColumn="0" w:noHBand="0" w:noVBand="1"/>
      </w:tblPr>
      <w:tblGrid>
        <w:gridCol w:w="1200"/>
        <w:gridCol w:w="1740"/>
        <w:gridCol w:w="1200"/>
        <w:gridCol w:w="1360"/>
        <w:gridCol w:w="1200"/>
        <w:gridCol w:w="1340"/>
        <w:gridCol w:w="1340"/>
        <w:gridCol w:w="1200"/>
      </w:tblGrid>
      <w:tr w:rsidR="00F75E3A" w:rsidRPr="000744C3" w14:paraId="5B09C085" w14:textId="77777777" w:rsidTr="00243F14">
        <w:trPr>
          <w:trHeight w:val="520"/>
          <w:jc w:val="center"/>
        </w:trPr>
        <w:tc>
          <w:tcPr>
            <w:tcW w:w="1200" w:type="dxa"/>
            <w:vMerge w:val="restart"/>
            <w:tcBorders>
              <w:top w:val="single" w:sz="4" w:space="0" w:color="auto"/>
              <w:left w:val="single" w:sz="4" w:space="0" w:color="auto"/>
              <w:bottom w:val="single" w:sz="4" w:space="0" w:color="auto"/>
              <w:right w:val="single" w:sz="4" w:space="0" w:color="auto"/>
            </w:tcBorders>
            <w:shd w:val="clear" w:color="000000" w:fill="305496"/>
            <w:vAlign w:val="center"/>
            <w:hideMark/>
          </w:tcPr>
          <w:p w14:paraId="5564C6F3" w14:textId="77777777" w:rsidR="00F75E3A" w:rsidRPr="000744C3" w:rsidRDefault="00F75E3A" w:rsidP="00243F14">
            <w:pPr>
              <w:spacing w:line="276" w:lineRule="auto"/>
              <w:jc w:val="center"/>
              <w:rPr>
                <w:rFonts w:ascii="Book Antiqua" w:hAnsi="Book Antiqua" w:cs="Calibri"/>
                <w:b/>
                <w:bCs/>
                <w:color w:val="FFFFFF"/>
                <w:sz w:val="16"/>
                <w:szCs w:val="16"/>
                <w:lang w:eastAsia="es-CR"/>
              </w:rPr>
            </w:pPr>
            <w:r w:rsidRPr="000744C3">
              <w:rPr>
                <w:rFonts w:ascii="Book Antiqua" w:hAnsi="Book Antiqua" w:cs="Calibri"/>
                <w:b/>
                <w:bCs/>
                <w:color w:val="FFFFFF"/>
                <w:sz w:val="16"/>
                <w:szCs w:val="16"/>
                <w:lang w:eastAsia="es-CR"/>
              </w:rPr>
              <w:t xml:space="preserve">Semana </w:t>
            </w:r>
          </w:p>
        </w:tc>
        <w:tc>
          <w:tcPr>
            <w:tcW w:w="1740" w:type="dxa"/>
            <w:tcBorders>
              <w:top w:val="single" w:sz="4" w:space="0" w:color="auto"/>
              <w:left w:val="nil"/>
              <w:bottom w:val="single" w:sz="4" w:space="0" w:color="auto"/>
              <w:right w:val="single" w:sz="4" w:space="0" w:color="auto"/>
            </w:tcBorders>
            <w:shd w:val="clear" w:color="000000" w:fill="305496"/>
            <w:vAlign w:val="center"/>
            <w:hideMark/>
          </w:tcPr>
          <w:p w14:paraId="16312DD9" w14:textId="77777777" w:rsidR="00F75E3A" w:rsidRPr="000744C3" w:rsidRDefault="00F75E3A" w:rsidP="00243F14">
            <w:pPr>
              <w:spacing w:line="276" w:lineRule="auto"/>
              <w:jc w:val="center"/>
              <w:rPr>
                <w:rFonts w:ascii="Book Antiqua" w:hAnsi="Book Antiqua" w:cs="Calibri"/>
                <w:b/>
                <w:bCs/>
                <w:color w:val="FFFFFF"/>
                <w:sz w:val="16"/>
                <w:szCs w:val="16"/>
                <w:lang w:eastAsia="es-CR"/>
              </w:rPr>
            </w:pPr>
            <w:r w:rsidRPr="000744C3">
              <w:rPr>
                <w:rFonts w:ascii="Book Antiqua" w:hAnsi="Book Antiqua" w:cs="Calibri"/>
                <w:b/>
                <w:bCs/>
                <w:color w:val="FFFFFF"/>
                <w:sz w:val="16"/>
                <w:szCs w:val="16"/>
                <w:lang w:eastAsia="es-CR"/>
              </w:rPr>
              <w:t>Juzgados Penales</w:t>
            </w:r>
          </w:p>
        </w:tc>
        <w:tc>
          <w:tcPr>
            <w:tcW w:w="1200" w:type="dxa"/>
            <w:tcBorders>
              <w:top w:val="single" w:sz="4" w:space="0" w:color="auto"/>
              <w:left w:val="nil"/>
              <w:bottom w:val="single" w:sz="4" w:space="0" w:color="auto"/>
              <w:right w:val="single" w:sz="4" w:space="0" w:color="auto"/>
            </w:tcBorders>
            <w:shd w:val="clear" w:color="000000" w:fill="305496"/>
            <w:vAlign w:val="center"/>
            <w:hideMark/>
          </w:tcPr>
          <w:p w14:paraId="77B8A1F0" w14:textId="77777777" w:rsidR="00F75E3A" w:rsidRPr="000744C3" w:rsidRDefault="00F75E3A" w:rsidP="00243F14">
            <w:pPr>
              <w:spacing w:line="276" w:lineRule="auto"/>
              <w:jc w:val="center"/>
              <w:rPr>
                <w:rFonts w:ascii="Book Antiqua" w:hAnsi="Book Antiqua" w:cs="Calibri"/>
                <w:b/>
                <w:bCs/>
                <w:color w:val="FFFFFF"/>
                <w:sz w:val="16"/>
                <w:szCs w:val="16"/>
                <w:lang w:eastAsia="es-CR"/>
              </w:rPr>
            </w:pPr>
            <w:r w:rsidRPr="000744C3">
              <w:rPr>
                <w:rFonts w:ascii="Book Antiqua" w:hAnsi="Book Antiqua" w:cs="Calibri"/>
                <w:b/>
                <w:bCs/>
                <w:color w:val="FFFFFF"/>
                <w:sz w:val="16"/>
                <w:szCs w:val="16"/>
                <w:lang w:eastAsia="es-CR"/>
              </w:rPr>
              <w:t>Tribunales de Juicio</w:t>
            </w:r>
          </w:p>
        </w:tc>
        <w:tc>
          <w:tcPr>
            <w:tcW w:w="1360" w:type="dxa"/>
            <w:tcBorders>
              <w:top w:val="single" w:sz="4" w:space="0" w:color="auto"/>
              <w:left w:val="nil"/>
              <w:bottom w:val="single" w:sz="4" w:space="0" w:color="auto"/>
              <w:right w:val="single" w:sz="4" w:space="0" w:color="auto"/>
            </w:tcBorders>
            <w:shd w:val="clear" w:color="000000" w:fill="305496"/>
            <w:noWrap/>
            <w:vAlign w:val="center"/>
            <w:hideMark/>
          </w:tcPr>
          <w:p w14:paraId="012978AA" w14:textId="77777777" w:rsidR="00F75E3A" w:rsidRPr="000744C3" w:rsidRDefault="00F75E3A" w:rsidP="00243F14">
            <w:pPr>
              <w:spacing w:line="276" w:lineRule="auto"/>
              <w:jc w:val="center"/>
              <w:rPr>
                <w:rFonts w:ascii="Book Antiqua" w:hAnsi="Book Antiqua" w:cs="Calibri"/>
                <w:b/>
                <w:bCs/>
                <w:color w:val="FFFFFF"/>
                <w:sz w:val="16"/>
                <w:szCs w:val="16"/>
                <w:lang w:eastAsia="es-CR"/>
              </w:rPr>
            </w:pPr>
            <w:r w:rsidRPr="000744C3">
              <w:rPr>
                <w:rFonts w:ascii="Book Antiqua" w:hAnsi="Book Antiqua" w:cs="Calibri"/>
                <w:b/>
                <w:bCs/>
                <w:color w:val="FFFFFF"/>
                <w:sz w:val="16"/>
                <w:szCs w:val="16"/>
                <w:lang w:eastAsia="es-CR"/>
              </w:rPr>
              <w:t>Flagrancia</w:t>
            </w:r>
          </w:p>
        </w:tc>
        <w:tc>
          <w:tcPr>
            <w:tcW w:w="2540" w:type="dxa"/>
            <w:gridSpan w:val="2"/>
            <w:tcBorders>
              <w:top w:val="single" w:sz="4" w:space="0" w:color="auto"/>
              <w:left w:val="nil"/>
              <w:bottom w:val="single" w:sz="4" w:space="0" w:color="auto"/>
              <w:right w:val="single" w:sz="4" w:space="0" w:color="auto"/>
            </w:tcBorders>
            <w:shd w:val="clear" w:color="000000" w:fill="305496"/>
            <w:noWrap/>
            <w:vAlign w:val="center"/>
            <w:hideMark/>
          </w:tcPr>
          <w:p w14:paraId="2F06CAA1" w14:textId="77777777" w:rsidR="00F75E3A" w:rsidRPr="000744C3" w:rsidRDefault="00F75E3A" w:rsidP="00243F14">
            <w:pPr>
              <w:spacing w:line="276" w:lineRule="auto"/>
              <w:jc w:val="center"/>
              <w:rPr>
                <w:rFonts w:ascii="Book Antiqua" w:hAnsi="Book Antiqua" w:cs="Calibri"/>
                <w:b/>
                <w:bCs/>
                <w:color w:val="FFFFFF"/>
                <w:sz w:val="16"/>
                <w:szCs w:val="16"/>
                <w:lang w:eastAsia="es-CR"/>
              </w:rPr>
            </w:pPr>
            <w:r w:rsidRPr="000744C3">
              <w:rPr>
                <w:rFonts w:ascii="Book Antiqua" w:hAnsi="Book Antiqua" w:cs="Calibri"/>
                <w:b/>
                <w:bCs/>
                <w:color w:val="FFFFFF"/>
                <w:sz w:val="16"/>
                <w:szCs w:val="16"/>
                <w:lang w:eastAsia="es-CR"/>
              </w:rPr>
              <w:t>Ejecución</w:t>
            </w:r>
          </w:p>
        </w:tc>
        <w:tc>
          <w:tcPr>
            <w:tcW w:w="1340" w:type="dxa"/>
            <w:tcBorders>
              <w:top w:val="single" w:sz="4" w:space="0" w:color="auto"/>
              <w:left w:val="nil"/>
              <w:bottom w:val="single" w:sz="4" w:space="0" w:color="auto"/>
              <w:right w:val="single" w:sz="4" w:space="0" w:color="auto"/>
            </w:tcBorders>
            <w:shd w:val="clear" w:color="000000" w:fill="305496"/>
            <w:noWrap/>
            <w:vAlign w:val="center"/>
            <w:hideMark/>
          </w:tcPr>
          <w:p w14:paraId="32985729" w14:textId="77777777" w:rsidR="00F75E3A" w:rsidRPr="000744C3" w:rsidRDefault="00F75E3A" w:rsidP="00243F14">
            <w:pPr>
              <w:spacing w:line="276" w:lineRule="auto"/>
              <w:jc w:val="center"/>
              <w:rPr>
                <w:rFonts w:ascii="Book Antiqua" w:hAnsi="Book Antiqua" w:cs="Calibri"/>
                <w:b/>
                <w:bCs/>
                <w:color w:val="FFFFFF"/>
                <w:sz w:val="16"/>
                <w:szCs w:val="16"/>
                <w:lang w:eastAsia="es-CR"/>
              </w:rPr>
            </w:pPr>
            <w:r w:rsidRPr="000744C3">
              <w:rPr>
                <w:rFonts w:ascii="Book Antiqua" w:hAnsi="Book Antiqua" w:cs="Calibri"/>
                <w:b/>
                <w:bCs/>
                <w:color w:val="FFFFFF"/>
                <w:sz w:val="16"/>
                <w:szCs w:val="16"/>
                <w:lang w:eastAsia="es-CR"/>
              </w:rPr>
              <w:t>Apelación</w:t>
            </w:r>
          </w:p>
        </w:tc>
        <w:tc>
          <w:tcPr>
            <w:tcW w:w="1200" w:type="dxa"/>
            <w:tcBorders>
              <w:top w:val="single" w:sz="4" w:space="0" w:color="auto"/>
              <w:left w:val="nil"/>
              <w:bottom w:val="single" w:sz="4" w:space="0" w:color="auto"/>
              <w:right w:val="single" w:sz="4" w:space="0" w:color="auto"/>
            </w:tcBorders>
            <w:shd w:val="clear" w:color="000000" w:fill="305496"/>
            <w:noWrap/>
            <w:vAlign w:val="center"/>
            <w:hideMark/>
          </w:tcPr>
          <w:p w14:paraId="1954889D" w14:textId="77777777" w:rsidR="00F75E3A" w:rsidRPr="000744C3" w:rsidRDefault="00F75E3A" w:rsidP="00243F14">
            <w:pPr>
              <w:spacing w:line="276" w:lineRule="auto"/>
              <w:jc w:val="center"/>
              <w:rPr>
                <w:rFonts w:ascii="Book Antiqua" w:hAnsi="Book Antiqua" w:cs="Calibri"/>
                <w:b/>
                <w:bCs/>
                <w:color w:val="FFFFFF"/>
                <w:sz w:val="16"/>
                <w:szCs w:val="16"/>
                <w:lang w:eastAsia="es-CR"/>
              </w:rPr>
            </w:pPr>
            <w:r w:rsidRPr="000744C3">
              <w:rPr>
                <w:rFonts w:ascii="Book Antiqua" w:hAnsi="Book Antiqua" w:cs="Calibri"/>
                <w:b/>
                <w:bCs/>
                <w:color w:val="FFFFFF"/>
                <w:sz w:val="16"/>
                <w:szCs w:val="16"/>
                <w:lang w:eastAsia="es-CR"/>
              </w:rPr>
              <w:t>Sala Tercera</w:t>
            </w:r>
          </w:p>
        </w:tc>
      </w:tr>
      <w:tr w:rsidR="00F75E3A" w:rsidRPr="000744C3" w14:paraId="7EA38548" w14:textId="77777777" w:rsidTr="00243F14">
        <w:trPr>
          <w:trHeight w:val="1300"/>
          <w:jc w:val="center"/>
        </w:trPr>
        <w:tc>
          <w:tcPr>
            <w:tcW w:w="1200" w:type="dxa"/>
            <w:vMerge/>
            <w:tcBorders>
              <w:top w:val="single" w:sz="4" w:space="0" w:color="auto"/>
              <w:left w:val="single" w:sz="4" w:space="0" w:color="auto"/>
              <w:bottom w:val="single" w:sz="4" w:space="0" w:color="auto"/>
              <w:right w:val="single" w:sz="4" w:space="0" w:color="auto"/>
            </w:tcBorders>
            <w:vAlign w:val="center"/>
            <w:hideMark/>
          </w:tcPr>
          <w:p w14:paraId="202B8978" w14:textId="77777777" w:rsidR="00F75E3A" w:rsidRPr="000744C3" w:rsidRDefault="00F75E3A" w:rsidP="00243F14">
            <w:pPr>
              <w:spacing w:line="276" w:lineRule="auto"/>
              <w:rPr>
                <w:rFonts w:ascii="Book Antiqua" w:hAnsi="Book Antiqua" w:cs="Calibri"/>
                <w:b/>
                <w:bCs/>
                <w:color w:val="FFFFFF"/>
                <w:sz w:val="16"/>
                <w:szCs w:val="16"/>
                <w:lang w:eastAsia="es-CR"/>
              </w:rPr>
            </w:pPr>
          </w:p>
        </w:tc>
        <w:tc>
          <w:tcPr>
            <w:tcW w:w="1740" w:type="dxa"/>
            <w:tcBorders>
              <w:top w:val="nil"/>
              <w:left w:val="nil"/>
              <w:bottom w:val="single" w:sz="4" w:space="0" w:color="auto"/>
              <w:right w:val="single" w:sz="4" w:space="0" w:color="auto"/>
            </w:tcBorders>
            <w:shd w:val="clear" w:color="000000" w:fill="305496"/>
            <w:vAlign w:val="center"/>
            <w:hideMark/>
          </w:tcPr>
          <w:p w14:paraId="414585FA" w14:textId="77777777" w:rsidR="00F75E3A" w:rsidRPr="000744C3" w:rsidRDefault="00F75E3A" w:rsidP="00243F14">
            <w:pPr>
              <w:spacing w:line="276" w:lineRule="auto"/>
              <w:jc w:val="center"/>
              <w:rPr>
                <w:rFonts w:ascii="Book Antiqua" w:hAnsi="Book Antiqua" w:cs="Calibri"/>
                <w:b/>
                <w:bCs/>
                <w:color w:val="FFFFFF"/>
                <w:sz w:val="16"/>
                <w:szCs w:val="16"/>
                <w:lang w:eastAsia="es-CR"/>
              </w:rPr>
            </w:pPr>
            <w:r w:rsidRPr="000744C3">
              <w:rPr>
                <w:rFonts w:ascii="Book Antiqua" w:hAnsi="Book Antiqua" w:cs="Calibri"/>
                <w:b/>
                <w:bCs/>
                <w:color w:val="FFFFFF"/>
                <w:sz w:val="16"/>
                <w:szCs w:val="16"/>
                <w:lang w:eastAsia="es-CR"/>
              </w:rPr>
              <w:t>Desestimaciones, sobreseimientos y acusaciones</w:t>
            </w:r>
          </w:p>
        </w:tc>
        <w:tc>
          <w:tcPr>
            <w:tcW w:w="1200" w:type="dxa"/>
            <w:tcBorders>
              <w:top w:val="nil"/>
              <w:left w:val="nil"/>
              <w:bottom w:val="single" w:sz="4" w:space="0" w:color="auto"/>
              <w:right w:val="single" w:sz="4" w:space="0" w:color="auto"/>
            </w:tcBorders>
            <w:shd w:val="clear" w:color="000000" w:fill="305496"/>
            <w:vAlign w:val="center"/>
            <w:hideMark/>
          </w:tcPr>
          <w:p w14:paraId="2331A94E" w14:textId="77777777" w:rsidR="00F75E3A" w:rsidRPr="000744C3" w:rsidRDefault="00F75E3A" w:rsidP="00243F14">
            <w:pPr>
              <w:spacing w:line="276" w:lineRule="auto"/>
              <w:jc w:val="center"/>
              <w:rPr>
                <w:rFonts w:ascii="Book Antiqua" w:hAnsi="Book Antiqua" w:cs="Calibri"/>
                <w:b/>
                <w:bCs/>
                <w:color w:val="FFFFFF"/>
                <w:sz w:val="16"/>
                <w:szCs w:val="16"/>
                <w:lang w:eastAsia="es-CR"/>
              </w:rPr>
            </w:pPr>
            <w:r w:rsidRPr="000744C3">
              <w:rPr>
                <w:rFonts w:ascii="Book Antiqua" w:hAnsi="Book Antiqua" w:cs="Calibri"/>
                <w:b/>
                <w:bCs/>
                <w:color w:val="FFFFFF"/>
                <w:sz w:val="16"/>
                <w:szCs w:val="16"/>
                <w:lang w:eastAsia="es-CR"/>
              </w:rPr>
              <w:t>Sentencias y medidas alternas</w:t>
            </w:r>
          </w:p>
        </w:tc>
        <w:tc>
          <w:tcPr>
            <w:tcW w:w="1360" w:type="dxa"/>
            <w:tcBorders>
              <w:top w:val="nil"/>
              <w:left w:val="nil"/>
              <w:bottom w:val="single" w:sz="4" w:space="0" w:color="auto"/>
              <w:right w:val="single" w:sz="4" w:space="0" w:color="auto"/>
            </w:tcBorders>
            <w:shd w:val="clear" w:color="000000" w:fill="305496"/>
            <w:vAlign w:val="center"/>
            <w:hideMark/>
          </w:tcPr>
          <w:p w14:paraId="4338D4E0" w14:textId="77777777" w:rsidR="00F75E3A" w:rsidRPr="000744C3" w:rsidRDefault="00F75E3A" w:rsidP="00243F14">
            <w:pPr>
              <w:spacing w:line="276" w:lineRule="auto"/>
              <w:jc w:val="center"/>
              <w:rPr>
                <w:rFonts w:ascii="Book Antiqua" w:hAnsi="Book Antiqua" w:cs="Calibri"/>
                <w:b/>
                <w:bCs/>
                <w:color w:val="FFFFFF"/>
                <w:sz w:val="16"/>
                <w:szCs w:val="16"/>
                <w:lang w:eastAsia="es-CR"/>
              </w:rPr>
            </w:pPr>
            <w:r w:rsidRPr="000744C3">
              <w:rPr>
                <w:rFonts w:ascii="Book Antiqua" w:hAnsi="Book Antiqua" w:cs="Calibri"/>
                <w:b/>
                <w:bCs/>
                <w:color w:val="FFFFFF"/>
                <w:sz w:val="16"/>
                <w:szCs w:val="16"/>
                <w:lang w:eastAsia="es-CR"/>
              </w:rPr>
              <w:t>Audiencias iniciales, sentencias y medidas alternas</w:t>
            </w:r>
          </w:p>
        </w:tc>
        <w:tc>
          <w:tcPr>
            <w:tcW w:w="1200" w:type="dxa"/>
            <w:tcBorders>
              <w:top w:val="nil"/>
              <w:left w:val="nil"/>
              <w:bottom w:val="single" w:sz="4" w:space="0" w:color="auto"/>
              <w:right w:val="single" w:sz="4" w:space="0" w:color="auto"/>
            </w:tcBorders>
            <w:shd w:val="clear" w:color="000000" w:fill="305496"/>
            <w:vAlign w:val="center"/>
            <w:hideMark/>
          </w:tcPr>
          <w:p w14:paraId="764B7069" w14:textId="77777777" w:rsidR="00F75E3A" w:rsidRPr="000744C3" w:rsidRDefault="00F75E3A" w:rsidP="00243F14">
            <w:pPr>
              <w:spacing w:line="276" w:lineRule="auto"/>
              <w:jc w:val="center"/>
              <w:rPr>
                <w:rFonts w:ascii="Book Antiqua" w:hAnsi="Book Antiqua" w:cs="Calibri"/>
                <w:b/>
                <w:bCs/>
                <w:color w:val="FFFFFF"/>
                <w:sz w:val="16"/>
                <w:szCs w:val="16"/>
                <w:lang w:eastAsia="es-CR"/>
              </w:rPr>
            </w:pPr>
            <w:r w:rsidRPr="000744C3">
              <w:rPr>
                <w:rFonts w:ascii="Book Antiqua" w:hAnsi="Book Antiqua" w:cs="Calibri"/>
                <w:b/>
                <w:bCs/>
                <w:color w:val="FFFFFF"/>
                <w:sz w:val="16"/>
                <w:szCs w:val="16"/>
                <w:lang w:eastAsia="es-CR"/>
              </w:rPr>
              <w:t>Autos con carácter de sentencia</w:t>
            </w:r>
          </w:p>
        </w:tc>
        <w:tc>
          <w:tcPr>
            <w:tcW w:w="1340" w:type="dxa"/>
            <w:tcBorders>
              <w:top w:val="nil"/>
              <w:left w:val="nil"/>
              <w:bottom w:val="single" w:sz="4" w:space="0" w:color="auto"/>
              <w:right w:val="single" w:sz="4" w:space="0" w:color="auto"/>
            </w:tcBorders>
            <w:shd w:val="clear" w:color="000000" w:fill="305496"/>
            <w:vAlign w:val="center"/>
            <w:hideMark/>
          </w:tcPr>
          <w:p w14:paraId="47246095" w14:textId="77777777" w:rsidR="00F75E3A" w:rsidRPr="000744C3" w:rsidRDefault="00F75E3A" w:rsidP="00243F14">
            <w:pPr>
              <w:spacing w:line="276" w:lineRule="auto"/>
              <w:jc w:val="center"/>
              <w:rPr>
                <w:rFonts w:ascii="Book Antiqua" w:hAnsi="Book Antiqua" w:cs="Calibri"/>
                <w:b/>
                <w:bCs/>
                <w:color w:val="FFFFFF"/>
                <w:sz w:val="16"/>
                <w:szCs w:val="16"/>
                <w:lang w:eastAsia="es-CR"/>
              </w:rPr>
            </w:pPr>
            <w:r w:rsidRPr="000744C3">
              <w:rPr>
                <w:rFonts w:ascii="Book Antiqua" w:hAnsi="Book Antiqua" w:cs="Calibri"/>
                <w:b/>
                <w:bCs/>
                <w:color w:val="FFFFFF"/>
                <w:sz w:val="16"/>
                <w:szCs w:val="16"/>
                <w:lang w:eastAsia="es-CR"/>
              </w:rPr>
              <w:t>Firma de resoluciones</w:t>
            </w:r>
          </w:p>
        </w:tc>
        <w:tc>
          <w:tcPr>
            <w:tcW w:w="1340" w:type="dxa"/>
            <w:tcBorders>
              <w:top w:val="nil"/>
              <w:left w:val="nil"/>
              <w:bottom w:val="single" w:sz="4" w:space="0" w:color="auto"/>
              <w:right w:val="single" w:sz="4" w:space="0" w:color="auto"/>
            </w:tcBorders>
            <w:shd w:val="clear" w:color="000000" w:fill="305496"/>
            <w:vAlign w:val="center"/>
            <w:hideMark/>
          </w:tcPr>
          <w:p w14:paraId="599A1875" w14:textId="77777777" w:rsidR="00F75E3A" w:rsidRPr="000744C3" w:rsidRDefault="00F75E3A" w:rsidP="00243F14">
            <w:pPr>
              <w:spacing w:line="276" w:lineRule="auto"/>
              <w:jc w:val="center"/>
              <w:rPr>
                <w:rFonts w:ascii="Book Antiqua" w:hAnsi="Book Antiqua" w:cs="Calibri"/>
                <w:b/>
                <w:bCs/>
                <w:color w:val="FFFFFF"/>
                <w:sz w:val="16"/>
                <w:szCs w:val="16"/>
                <w:lang w:eastAsia="es-CR"/>
              </w:rPr>
            </w:pPr>
            <w:r w:rsidRPr="000744C3">
              <w:rPr>
                <w:rFonts w:ascii="Book Antiqua" w:hAnsi="Book Antiqua" w:cs="Calibri"/>
                <w:b/>
                <w:bCs/>
                <w:color w:val="FFFFFF"/>
                <w:sz w:val="16"/>
                <w:szCs w:val="16"/>
                <w:lang w:eastAsia="es-CR"/>
              </w:rPr>
              <w:t>Proyecto terminado, circulado y votado</w:t>
            </w:r>
          </w:p>
        </w:tc>
        <w:tc>
          <w:tcPr>
            <w:tcW w:w="1200" w:type="dxa"/>
            <w:tcBorders>
              <w:top w:val="nil"/>
              <w:left w:val="nil"/>
              <w:bottom w:val="single" w:sz="4" w:space="0" w:color="auto"/>
              <w:right w:val="single" w:sz="4" w:space="0" w:color="auto"/>
            </w:tcBorders>
            <w:shd w:val="clear" w:color="000000" w:fill="305496"/>
            <w:vAlign w:val="center"/>
            <w:hideMark/>
          </w:tcPr>
          <w:p w14:paraId="07A922AA" w14:textId="77777777" w:rsidR="00F75E3A" w:rsidRPr="000744C3" w:rsidRDefault="00F75E3A" w:rsidP="00243F14">
            <w:pPr>
              <w:spacing w:line="276" w:lineRule="auto"/>
              <w:jc w:val="center"/>
              <w:rPr>
                <w:rFonts w:ascii="Book Antiqua" w:hAnsi="Book Antiqua" w:cs="Calibri"/>
                <w:b/>
                <w:bCs/>
                <w:color w:val="FFFFFF"/>
                <w:sz w:val="16"/>
                <w:szCs w:val="16"/>
                <w:lang w:eastAsia="es-CR"/>
              </w:rPr>
            </w:pPr>
            <w:r w:rsidRPr="000744C3">
              <w:rPr>
                <w:rFonts w:ascii="Book Antiqua" w:hAnsi="Book Antiqua" w:cs="Calibri"/>
                <w:b/>
                <w:bCs/>
                <w:color w:val="FFFFFF"/>
                <w:sz w:val="16"/>
                <w:szCs w:val="16"/>
                <w:lang w:eastAsia="es-CR"/>
              </w:rPr>
              <w:t>Proyectos</w:t>
            </w:r>
          </w:p>
        </w:tc>
      </w:tr>
      <w:tr w:rsidR="00F75E3A" w:rsidRPr="000744C3" w14:paraId="61981A83"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623D1DD4"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w:t>
            </w:r>
          </w:p>
        </w:tc>
        <w:tc>
          <w:tcPr>
            <w:tcW w:w="1740" w:type="dxa"/>
            <w:tcBorders>
              <w:top w:val="nil"/>
              <w:left w:val="nil"/>
              <w:bottom w:val="single" w:sz="4" w:space="0" w:color="auto"/>
              <w:right w:val="single" w:sz="4" w:space="0" w:color="auto"/>
            </w:tcBorders>
            <w:shd w:val="clear" w:color="000000" w:fill="FFFFFF"/>
            <w:noWrap/>
            <w:vAlign w:val="center"/>
            <w:hideMark/>
          </w:tcPr>
          <w:p w14:paraId="5DAE45D3"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69%</w:t>
            </w:r>
          </w:p>
        </w:tc>
        <w:tc>
          <w:tcPr>
            <w:tcW w:w="1200" w:type="dxa"/>
            <w:tcBorders>
              <w:top w:val="nil"/>
              <w:left w:val="nil"/>
              <w:bottom w:val="single" w:sz="4" w:space="0" w:color="auto"/>
              <w:right w:val="single" w:sz="4" w:space="0" w:color="auto"/>
            </w:tcBorders>
            <w:shd w:val="clear" w:color="000000" w:fill="FFFFFF"/>
            <w:noWrap/>
            <w:vAlign w:val="center"/>
            <w:hideMark/>
          </w:tcPr>
          <w:p w14:paraId="01B99A81"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142%</w:t>
            </w:r>
          </w:p>
        </w:tc>
        <w:tc>
          <w:tcPr>
            <w:tcW w:w="1360" w:type="dxa"/>
            <w:tcBorders>
              <w:top w:val="nil"/>
              <w:left w:val="nil"/>
              <w:bottom w:val="single" w:sz="4" w:space="0" w:color="auto"/>
              <w:right w:val="single" w:sz="4" w:space="0" w:color="auto"/>
            </w:tcBorders>
            <w:shd w:val="clear" w:color="000000" w:fill="FFFFFF"/>
            <w:noWrap/>
            <w:vAlign w:val="center"/>
            <w:hideMark/>
          </w:tcPr>
          <w:p w14:paraId="4868FB17"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63%</w:t>
            </w:r>
          </w:p>
        </w:tc>
        <w:tc>
          <w:tcPr>
            <w:tcW w:w="1200" w:type="dxa"/>
            <w:tcBorders>
              <w:top w:val="nil"/>
              <w:left w:val="nil"/>
              <w:bottom w:val="single" w:sz="4" w:space="0" w:color="auto"/>
              <w:right w:val="single" w:sz="4" w:space="0" w:color="auto"/>
            </w:tcBorders>
            <w:shd w:val="clear" w:color="000000" w:fill="FFFFFF"/>
            <w:noWrap/>
            <w:vAlign w:val="center"/>
            <w:hideMark/>
          </w:tcPr>
          <w:p w14:paraId="7E756BFC"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88%</w:t>
            </w:r>
          </w:p>
        </w:tc>
        <w:tc>
          <w:tcPr>
            <w:tcW w:w="1340" w:type="dxa"/>
            <w:tcBorders>
              <w:top w:val="nil"/>
              <w:left w:val="nil"/>
              <w:bottom w:val="single" w:sz="4" w:space="0" w:color="auto"/>
              <w:right w:val="single" w:sz="4" w:space="0" w:color="auto"/>
            </w:tcBorders>
            <w:shd w:val="clear" w:color="000000" w:fill="FFFFFF"/>
            <w:noWrap/>
            <w:vAlign w:val="center"/>
            <w:hideMark/>
          </w:tcPr>
          <w:p w14:paraId="79BC9017"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190%</w:t>
            </w:r>
          </w:p>
        </w:tc>
        <w:tc>
          <w:tcPr>
            <w:tcW w:w="1340" w:type="dxa"/>
            <w:tcBorders>
              <w:top w:val="nil"/>
              <w:left w:val="nil"/>
              <w:bottom w:val="single" w:sz="4" w:space="0" w:color="auto"/>
              <w:right w:val="single" w:sz="4" w:space="0" w:color="auto"/>
            </w:tcBorders>
            <w:shd w:val="clear" w:color="000000" w:fill="FFFFFF"/>
            <w:noWrap/>
            <w:vAlign w:val="center"/>
            <w:hideMark/>
          </w:tcPr>
          <w:p w14:paraId="51F0B1C6"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147%</w:t>
            </w:r>
          </w:p>
        </w:tc>
        <w:tc>
          <w:tcPr>
            <w:tcW w:w="1200" w:type="dxa"/>
            <w:tcBorders>
              <w:top w:val="nil"/>
              <w:left w:val="nil"/>
              <w:bottom w:val="single" w:sz="4" w:space="0" w:color="auto"/>
              <w:right w:val="single" w:sz="4" w:space="0" w:color="auto"/>
            </w:tcBorders>
            <w:shd w:val="clear" w:color="000000" w:fill="FFFFFF"/>
            <w:noWrap/>
            <w:vAlign w:val="center"/>
            <w:hideMark/>
          </w:tcPr>
          <w:p w14:paraId="19E0D6AB"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115%</w:t>
            </w:r>
          </w:p>
        </w:tc>
      </w:tr>
      <w:tr w:rsidR="00F75E3A" w:rsidRPr="000744C3" w14:paraId="5050D11B"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233DFCDE"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2</w:t>
            </w:r>
          </w:p>
        </w:tc>
        <w:tc>
          <w:tcPr>
            <w:tcW w:w="1740" w:type="dxa"/>
            <w:tcBorders>
              <w:top w:val="nil"/>
              <w:left w:val="nil"/>
              <w:bottom w:val="single" w:sz="4" w:space="0" w:color="auto"/>
              <w:right w:val="single" w:sz="4" w:space="0" w:color="auto"/>
            </w:tcBorders>
            <w:shd w:val="clear" w:color="000000" w:fill="FFFFFF"/>
            <w:noWrap/>
            <w:vAlign w:val="center"/>
            <w:hideMark/>
          </w:tcPr>
          <w:p w14:paraId="1C1A8BFF"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74%</w:t>
            </w:r>
          </w:p>
        </w:tc>
        <w:tc>
          <w:tcPr>
            <w:tcW w:w="1200" w:type="dxa"/>
            <w:tcBorders>
              <w:top w:val="nil"/>
              <w:left w:val="nil"/>
              <w:bottom w:val="single" w:sz="4" w:space="0" w:color="auto"/>
              <w:right w:val="single" w:sz="4" w:space="0" w:color="auto"/>
            </w:tcBorders>
            <w:shd w:val="clear" w:color="000000" w:fill="FFFFFF"/>
            <w:noWrap/>
            <w:vAlign w:val="center"/>
            <w:hideMark/>
          </w:tcPr>
          <w:p w14:paraId="417963B8"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86%</w:t>
            </w:r>
          </w:p>
        </w:tc>
        <w:tc>
          <w:tcPr>
            <w:tcW w:w="1360" w:type="dxa"/>
            <w:tcBorders>
              <w:top w:val="nil"/>
              <w:left w:val="nil"/>
              <w:bottom w:val="single" w:sz="4" w:space="0" w:color="auto"/>
              <w:right w:val="single" w:sz="4" w:space="0" w:color="auto"/>
            </w:tcBorders>
            <w:shd w:val="clear" w:color="000000" w:fill="FFFFFF"/>
            <w:noWrap/>
            <w:vAlign w:val="center"/>
            <w:hideMark/>
          </w:tcPr>
          <w:p w14:paraId="68F35884"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77%</w:t>
            </w:r>
          </w:p>
        </w:tc>
        <w:tc>
          <w:tcPr>
            <w:tcW w:w="1200" w:type="dxa"/>
            <w:tcBorders>
              <w:top w:val="nil"/>
              <w:left w:val="nil"/>
              <w:bottom w:val="single" w:sz="4" w:space="0" w:color="auto"/>
              <w:right w:val="single" w:sz="4" w:space="0" w:color="auto"/>
            </w:tcBorders>
            <w:shd w:val="clear" w:color="000000" w:fill="FFFFFF"/>
            <w:noWrap/>
            <w:vAlign w:val="center"/>
            <w:hideMark/>
          </w:tcPr>
          <w:p w14:paraId="5A97B584"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85%</w:t>
            </w:r>
          </w:p>
        </w:tc>
        <w:tc>
          <w:tcPr>
            <w:tcW w:w="1340" w:type="dxa"/>
            <w:tcBorders>
              <w:top w:val="nil"/>
              <w:left w:val="nil"/>
              <w:bottom w:val="single" w:sz="4" w:space="0" w:color="auto"/>
              <w:right w:val="single" w:sz="4" w:space="0" w:color="auto"/>
            </w:tcBorders>
            <w:shd w:val="clear" w:color="000000" w:fill="FFFFFF"/>
            <w:noWrap/>
            <w:vAlign w:val="center"/>
            <w:hideMark/>
          </w:tcPr>
          <w:p w14:paraId="091B6292"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227%</w:t>
            </w:r>
          </w:p>
        </w:tc>
        <w:tc>
          <w:tcPr>
            <w:tcW w:w="1340" w:type="dxa"/>
            <w:tcBorders>
              <w:top w:val="nil"/>
              <w:left w:val="nil"/>
              <w:bottom w:val="single" w:sz="4" w:space="0" w:color="auto"/>
              <w:right w:val="single" w:sz="4" w:space="0" w:color="auto"/>
            </w:tcBorders>
            <w:shd w:val="clear" w:color="000000" w:fill="FFFFFF"/>
            <w:noWrap/>
            <w:vAlign w:val="center"/>
            <w:hideMark/>
          </w:tcPr>
          <w:p w14:paraId="7AA137CD"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102%</w:t>
            </w:r>
          </w:p>
        </w:tc>
        <w:tc>
          <w:tcPr>
            <w:tcW w:w="1200" w:type="dxa"/>
            <w:tcBorders>
              <w:top w:val="nil"/>
              <w:left w:val="nil"/>
              <w:bottom w:val="single" w:sz="4" w:space="0" w:color="auto"/>
              <w:right w:val="single" w:sz="4" w:space="0" w:color="auto"/>
            </w:tcBorders>
            <w:shd w:val="clear" w:color="000000" w:fill="FFFFFF"/>
            <w:noWrap/>
            <w:vAlign w:val="center"/>
            <w:hideMark/>
          </w:tcPr>
          <w:p w14:paraId="15E6BF97"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94%</w:t>
            </w:r>
          </w:p>
        </w:tc>
      </w:tr>
      <w:tr w:rsidR="00F75E3A" w:rsidRPr="000744C3" w14:paraId="32549FD1"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4772DD10"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3</w:t>
            </w:r>
          </w:p>
        </w:tc>
        <w:tc>
          <w:tcPr>
            <w:tcW w:w="1740" w:type="dxa"/>
            <w:tcBorders>
              <w:top w:val="nil"/>
              <w:left w:val="nil"/>
              <w:bottom w:val="single" w:sz="4" w:space="0" w:color="auto"/>
              <w:right w:val="single" w:sz="4" w:space="0" w:color="auto"/>
            </w:tcBorders>
            <w:shd w:val="clear" w:color="000000" w:fill="FFFFFF"/>
            <w:noWrap/>
            <w:vAlign w:val="center"/>
            <w:hideMark/>
          </w:tcPr>
          <w:p w14:paraId="1C978A01"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86%</w:t>
            </w:r>
          </w:p>
        </w:tc>
        <w:tc>
          <w:tcPr>
            <w:tcW w:w="1200" w:type="dxa"/>
            <w:tcBorders>
              <w:top w:val="nil"/>
              <w:left w:val="nil"/>
              <w:bottom w:val="single" w:sz="4" w:space="0" w:color="auto"/>
              <w:right w:val="single" w:sz="4" w:space="0" w:color="auto"/>
            </w:tcBorders>
            <w:shd w:val="clear" w:color="000000" w:fill="FFFFFF"/>
            <w:noWrap/>
            <w:vAlign w:val="center"/>
            <w:hideMark/>
          </w:tcPr>
          <w:p w14:paraId="7C95FE02"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92%</w:t>
            </w:r>
          </w:p>
        </w:tc>
        <w:tc>
          <w:tcPr>
            <w:tcW w:w="1360" w:type="dxa"/>
            <w:tcBorders>
              <w:top w:val="nil"/>
              <w:left w:val="nil"/>
              <w:bottom w:val="single" w:sz="4" w:space="0" w:color="auto"/>
              <w:right w:val="single" w:sz="4" w:space="0" w:color="auto"/>
            </w:tcBorders>
            <w:shd w:val="clear" w:color="000000" w:fill="FFFFFF"/>
            <w:noWrap/>
            <w:vAlign w:val="center"/>
            <w:hideMark/>
          </w:tcPr>
          <w:p w14:paraId="213E9507"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53%</w:t>
            </w:r>
          </w:p>
        </w:tc>
        <w:tc>
          <w:tcPr>
            <w:tcW w:w="1200" w:type="dxa"/>
            <w:tcBorders>
              <w:top w:val="nil"/>
              <w:left w:val="nil"/>
              <w:bottom w:val="single" w:sz="4" w:space="0" w:color="auto"/>
              <w:right w:val="single" w:sz="4" w:space="0" w:color="auto"/>
            </w:tcBorders>
            <w:shd w:val="clear" w:color="000000" w:fill="FFFFFF"/>
            <w:noWrap/>
            <w:vAlign w:val="center"/>
            <w:hideMark/>
          </w:tcPr>
          <w:p w14:paraId="78E80295"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99%</w:t>
            </w:r>
          </w:p>
        </w:tc>
        <w:tc>
          <w:tcPr>
            <w:tcW w:w="1340" w:type="dxa"/>
            <w:tcBorders>
              <w:top w:val="nil"/>
              <w:left w:val="nil"/>
              <w:bottom w:val="single" w:sz="4" w:space="0" w:color="auto"/>
              <w:right w:val="single" w:sz="4" w:space="0" w:color="auto"/>
            </w:tcBorders>
            <w:shd w:val="clear" w:color="000000" w:fill="FFFFFF"/>
            <w:noWrap/>
            <w:vAlign w:val="center"/>
            <w:hideMark/>
          </w:tcPr>
          <w:p w14:paraId="77B8148C"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244%</w:t>
            </w:r>
          </w:p>
        </w:tc>
        <w:tc>
          <w:tcPr>
            <w:tcW w:w="1340" w:type="dxa"/>
            <w:tcBorders>
              <w:top w:val="nil"/>
              <w:left w:val="nil"/>
              <w:bottom w:val="single" w:sz="4" w:space="0" w:color="auto"/>
              <w:right w:val="single" w:sz="4" w:space="0" w:color="auto"/>
            </w:tcBorders>
            <w:shd w:val="clear" w:color="000000" w:fill="FFFFFF"/>
            <w:noWrap/>
            <w:vAlign w:val="center"/>
            <w:hideMark/>
          </w:tcPr>
          <w:p w14:paraId="6BF939F7"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113%</w:t>
            </w:r>
          </w:p>
        </w:tc>
        <w:tc>
          <w:tcPr>
            <w:tcW w:w="1200" w:type="dxa"/>
            <w:tcBorders>
              <w:top w:val="nil"/>
              <w:left w:val="nil"/>
              <w:bottom w:val="single" w:sz="4" w:space="0" w:color="auto"/>
              <w:right w:val="single" w:sz="4" w:space="0" w:color="auto"/>
            </w:tcBorders>
            <w:shd w:val="clear" w:color="000000" w:fill="FFFFFF"/>
            <w:noWrap/>
            <w:vAlign w:val="center"/>
            <w:hideMark/>
          </w:tcPr>
          <w:p w14:paraId="5331A35A"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94%</w:t>
            </w:r>
          </w:p>
        </w:tc>
      </w:tr>
      <w:tr w:rsidR="00F75E3A" w:rsidRPr="000744C3" w14:paraId="37344082"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7383F2E2"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4</w:t>
            </w:r>
          </w:p>
        </w:tc>
        <w:tc>
          <w:tcPr>
            <w:tcW w:w="1740" w:type="dxa"/>
            <w:tcBorders>
              <w:top w:val="nil"/>
              <w:left w:val="nil"/>
              <w:bottom w:val="single" w:sz="4" w:space="0" w:color="auto"/>
              <w:right w:val="single" w:sz="4" w:space="0" w:color="auto"/>
            </w:tcBorders>
            <w:shd w:val="clear" w:color="000000" w:fill="FFFFFF"/>
            <w:noWrap/>
            <w:vAlign w:val="center"/>
            <w:hideMark/>
          </w:tcPr>
          <w:p w14:paraId="2809BFC4"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96%</w:t>
            </w:r>
          </w:p>
        </w:tc>
        <w:tc>
          <w:tcPr>
            <w:tcW w:w="1200" w:type="dxa"/>
            <w:tcBorders>
              <w:top w:val="nil"/>
              <w:left w:val="nil"/>
              <w:bottom w:val="single" w:sz="4" w:space="0" w:color="auto"/>
              <w:right w:val="single" w:sz="4" w:space="0" w:color="auto"/>
            </w:tcBorders>
            <w:shd w:val="clear" w:color="000000" w:fill="FFFFFF"/>
            <w:noWrap/>
            <w:vAlign w:val="center"/>
            <w:hideMark/>
          </w:tcPr>
          <w:p w14:paraId="190E78D4"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97%</w:t>
            </w:r>
          </w:p>
        </w:tc>
        <w:tc>
          <w:tcPr>
            <w:tcW w:w="1360" w:type="dxa"/>
            <w:tcBorders>
              <w:top w:val="nil"/>
              <w:left w:val="nil"/>
              <w:bottom w:val="single" w:sz="4" w:space="0" w:color="auto"/>
              <w:right w:val="single" w:sz="4" w:space="0" w:color="auto"/>
            </w:tcBorders>
            <w:shd w:val="clear" w:color="000000" w:fill="FFFFFF"/>
            <w:noWrap/>
            <w:vAlign w:val="center"/>
            <w:hideMark/>
          </w:tcPr>
          <w:p w14:paraId="5B3E2073"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44%</w:t>
            </w:r>
          </w:p>
        </w:tc>
        <w:tc>
          <w:tcPr>
            <w:tcW w:w="1200" w:type="dxa"/>
            <w:tcBorders>
              <w:top w:val="nil"/>
              <w:left w:val="nil"/>
              <w:bottom w:val="single" w:sz="4" w:space="0" w:color="auto"/>
              <w:right w:val="single" w:sz="4" w:space="0" w:color="auto"/>
            </w:tcBorders>
            <w:shd w:val="clear" w:color="000000" w:fill="FFFFFF"/>
            <w:noWrap/>
            <w:vAlign w:val="center"/>
            <w:hideMark/>
          </w:tcPr>
          <w:p w14:paraId="796FC7E5"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161%</w:t>
            </w:r>
          </w:p>
        </w:tc>
        <w:tc>
          <w:tcPr>
            <w:tcW w:w="1340" w:type="dxa"/>
            <w:tcBorders>
              <w:top w:val="nil"/>
              <w:left w:val="nil"/>
              <w:bottom w:val="single" w:sz="4" w:space="0" w:color="auto"/>
              <w:right w:val="single" w:sz="4" w:space="0" w:color="auto"/>
            </w:tcBorders>
            <w:shd w:val="clear" w:color="000000" w:fill="FFFFFF"/>
            <w:noWrap/>
            <w:vAlign w:val="center"/>
            <w:hideMark/>
          </w:tcPr>
          <w:p w14:paraId="5054A084"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273%</w:t>
            </w:r>
          </w:p>
        </w:tc>
        <w:tc>
          <w:tcPr>
            <w:tcW w:w="1340" w:type="dxa"/>
            <w:tcBorders>
              <w:top w:val="nil"/>
              <w:left w:val="nil"/>
              <w:bottom w:val="single" w:sz="4" w:space="0" w:color="auto"/>
              <w:right w:val="single" w:sz="4" w:space="0" w:color="auto"/>
            </w:tcBorders>
            <w:shd w:val="clear" w:color="000000" w:fill="FFFFFF"/>
            <w:noWrap/>
            <w:vAlign w:val="center"/>
            <w:hideMark/>
          </w:tcPr>
          <w:p w14:paraId="599EB966"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198%</w:t>
            </w:r>
          </w:p>
        </w:tc>
        <w:tc>
          <w:tcPr>
            <w:tcW w:w="1200" w:type="dxa"/>
            <w:tcBorders>
              <w:top w:val="nil"/>
              <w:left w:val="nil"/>
              <w:bottom w:val="single" w:sz="4" w:space="0" w:color="auto"/>
              <w:right w:val="single" w:sz="4" w:space="0" w:color="auto"/>
            </w:tcBorders>
            <w:shd w:val="clear" w:color="000000" w:fill="FFFFFF"/>
            <w:noWrap/>
            <w:vAlign w:val="center"/>
            <w:hideMark/>
          </w:tcPr>
          <w:p w14:paraId="393B68E7"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68%</w:t>
            </w:r>
          </w:p>
        </w:tc>
      </w:tr>
      <w:tr w:rsidR="00F75E3A" w:rsidRPr="000744C3" w14:paraId="58575E5A"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6A9B85DA"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5</w:t>
            </w:r>
          </w:p>
        </w:tc>
        <w:tc>
          <w:tcPr>
            <w:tcW w:w="1740" w:type="dxa"/>
            <w:tcBorders>
              <w:top w:val="nil"/>
              <w:left w:val="nil"/>
              <w:bottom w:val="single" w:sz="4" w:space="0" w:color="auto"/>
              <w:right w:val="single" w:sz="4" w:space="0" w:color="auto"/>
            </w:tcBorders>
            <w:shd w:val="clear" w:color="000000" w:fill="FFFFFF"/>
            <w:noWrap/>
            <w:vAlign w:val="center"/>
            <w:hideMark/>
          </w:tcPr>
          <w:p w14:paraId="6B6AF919"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73%</w:t>
            </w:r>
          </w:p>
        </w:tc>
        <w:tc>
          <w:tcPr>
            <w:tcW w:w="1200" w:type="dxa"/>
            <w:tcBorders>
              <w:top w:val="nil"/>
              <w:left w:val="nil"/>
              <w:bottom w:val="single" w:sz="4" w:space="0" w:color="auto"/>
              <w:right w:val="single" w:sz="4" w:space="0" w:color="auto"/>
            </w:tcBorders>
            <w:shd w:val="clear" w:color="000000" w:fill="FFFFFF"/>
            <w:noWrap/>
            <w:vAlign w:val="center"/>
            <w:hideMark/>
          </w:tcPr>
          <w:p w14:paraId="01E32C6C"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93%</w:t>
            </w:r>
          </w:p>
        </w:tc>
        <w:tc>
          <w:tcPr>
            <w:tcW w:w="1360" w:type="dxa"/>
            <w:tcBorders>
              <w:top w:val="nil"/>
              <w:left w:val="nil"/>
              <w:bottom w:val="single" w:sz="4" w:space="0" w:color="auto"/>
              <w:right w:val="single" w:sz="4" w:space="0" w:color="auto"/>
            </w:tcBorders>
            <w:shd w:val="clear" w:color="000000" w:fill="FFFFFF"/>
            <w:noWrap/>
            <w:vAlign w:val="center"/>
            <w:hideMark/>
          </w:tcPr>
          <w:p w14:paraId="032BD3ED"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58%</w:t>
            </w:r>
          </w:p>
        </w:tc>
        <w:tc>
          <w:tcPr>
            <w:tcW w:w="1200" w:type="dxa"/>
            <w:tcBorders>
              <w:top w:val="nil"/>
              <w:left w:val="nil"/>
              <w:bottom w:val="single" w:sz="4" w:space="0" w:color="auto"/>
              <w:right w:val="single" w:sz="4" w:space="0" w:color="auto"/>
            </w:tcBorders>
            <w:shd w:val="clear" w:color="000000" w:fill="FFFFFF"/>
            <w:noWrap/>
            <w:vAlign w:val="center"/>
            <w:hideMark/>
          </w:tcPr>
          <w:p w14:paraId="436DD06A"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109%</w:t>
            </w:r>
          </w:p>
        </w:tc>
        <w:tc>
          <w:tcPr>
            <w:tcW w:w="1340" w:type="dxa"/>
            <w:tcBorders>
              <w:top w:val="nil"/>
              <w:left w:val="nil"/>
              <w:bottom w:val="single" w:sz="4" w:space="0" w:color="auto"/>
              <w:right w:val="single" w:sz="4" w:space="0" w:color="auto"/>
            </w:tcBorders>
            <w:shd w:val="clear" w:color="000000" w:fill="FFFFFF"/>
            <w:noWrap/>
            <w:vAlign w:val="center"/>
            <w:hideMark/>
          </w:tcPr>
          <w:p w14:paraId="66E14E83"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185%</w:t>
            </w:r>
          </w:p>
        </w:tc>
        <w:tc>
          <w:tcPr>
            <w:tcW w:w="1340" w:type="dxa"/>
            <w:tcBorders>
              <w:top w:val="nil"/>
              <w:left w:val="nil"/>
              <w:bottom w:val="single" w:sz="4" w:space="0" w:color="auto"/>
              <w:right w:val="single" w:sz="4" w:space="0" w:color="auto"/>
            </w:tcBorders>
            <w:shd w:val="clear" w:color="000000" w:fill="FFFFFF"/>
            <w:noWrap/>
            <w:vAlign w:val="center"/>
            <w:hideMark/>
          </w:tcPr>
          <w:p w14:paraId="6C8DF23F"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88%</w:t>
            </w:r>
          </w:p>
        </w:tc>
        <w:tc>
          <w:tcPr>
            <w:tcW w:w="1200" w:type="dxa"/>
            <w:tcBorders>
              <w:top w:val="nil"/>
              <w:left w:val="nil"/>
              <w:bottom w:val="single" w:sz="4" w:space="0" w:color="auto"/>
              <w:right w:val="single" w:sz="4" w:space="0" w:color="auto"/>
            </w:tcBorders>
            <w:shd w:val="clear" w:color="000000" w:fill="FFFFFF"/>
            <w:noWrap/>
            <w:vAlign w:val="center"/>
            <w:hideMark/>
          </w:tcPr>
          <w:p w14:paraId="1C9341FE"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88%</w:t>
            </w:r>
          </w:p>
        </w:tc>
      </w:tr>
      <w:tr w:rsidR="00F75E3A" w:rsidRPr="000744C3" w14:paraId="2F010337"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2ACB7B90"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6</w:t>
            </w:r>
          </w:p>
        </w:tc>
        <w:tc>
          <w:tcPr>
            <w:tcW w:w="1740" w:type="dxa"/>
            <w:tcBorders>
              <w:top w:val="nil"/>
              <w:left w:val="nil"/>
              <w:bottom w:val="single" w:sz="4" w:space="0" w:color="auto"/>
              <w:right w:val="single" w:sz="4" w:space="0" w:color="auto"/>
            </w:tcBorders>
            <w:shd w:val="clear" w:color="000000" w:fill="FFFFFF"/>
            <w:noWrap/>
            <w:vAlign w:val="center"/>
            <w:hideMark/>
          </w:tcPr>
          <w:p w14:paraId="5B50071F"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81%</w:t>
            </w:r>
          </w:p>
        </w:tc>
        <w:tc>
          <w:tcPr>
            <w:tcW w:w="1200" w:type="dxa"/>
            <w:tcBorders>
              <w:top w:val="nil"/>
              <w:left w:val="nil"/>
              <w:bottom w:val="single" w:sz="4" w:space="0" w:color="auto"/>
              <w:right w:val="single" w:sz="4" w:space="0" w:color="auto"/>
            </w:tcBorders>
            <w:shd w:val="clear" w:color="000000" w:fill="FFFFFF"/>
            <w:noWrap/>
            <w:vAlign w:val="center"/>
            <w:hideMark/>
          </w:tcPr>
          <w:p w14:paraId="282E18DD"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88%</w:t>
            </w:r>
          </w:p>
        </w:tc>
        <w:tc>
          <w:tcPr>
            <w:tcW w:w="1360" w:type="dxa"/>
            <w:tcBorders>
              <w:top w:val="nil"/>
              <w:left w:val="nil"/>
              <w:bottom w:val="single" w:sz="4" w:space="0" w:color="auto"/>
              <w:right w:val="single" w:sz="4" w:space="0" w:color="auto"/>
            </w:tcBorders>
            <w:shd w:val="clear" w:color="000000" w:fill="FFFFFF"/>
            <w:noWrap/>
            <w:vAlign w:val="center"/>
            <w:hideMark/>
          </w:tcPr>
          <w:p w14:paraId="0B7C9FA5"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58%</w:t>
            </w:r>
          </w:p>
        </w:tc>
        <w:tc>
          <w:tcPr>
            <w:tcW w:w="1200" w:type="dxa"/>
            <w:tcBorders>
              <w:top w:val="nil"/>
              <w:left w:val="nil"/>
              <w:bottom w:val="single" w:sz="4" w:space="0" w:color="auto"/>
              <w:right w:val="single" w:sz="4" w:space="0" w:color="auto"/>
            </w:tcBorders>
            <w:shd w:val="clear" w:color="000000" w:fill="FFFFFF"/>
            <w:noWrap/>
            <w:vAlign w:val="center"/>
            <w:hideMark/>
          </w:tcPr>
          <w:p w14:paraId="470529C0"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96%</w:t>
            </w:r>
          </w:p>
        </w:tc>
        <w:tc>
          <w:tcPr>
            <w:tcW w:w="1340" w:type="dxa"/>
            <w:tcBorders>
              <w:top w:val="nil"/>
              <w:left w:val="nil"/>
              <w:bottom w:val="single" w:sz="4" w:space="0" w:color="auto"/>
              <w:right w:val="single" w:sz="4" w:space="0" w:color="auto"/>
            </w:tcBorders>
            <w:shd w:val="clear" w:color="000000" w:fill="FFFFFF"/>
            <w:noWrap/>
            <w:vAlign w:val="center"/>
            <w:hideMark/>
          </w:tcPr>
          <w:p w14:paraId="2C1F760E"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871%</w:t>
            </w:r>
          </w:p>
        </w:tc>
        <w:tc>
          <w:tcPr>
            <w:tcW w:w="1340" w:type="dxa"/>
            <w:tcBorders>
              <w:top w:val="nil"/>
              <w:left w:val="nil"/>
              <w:bottom w:val="single" w:sz="4" w:space="0" w:color="auto"/>
              <w:right w:val="single" w:sz="4" w:space="0" w:color="auto"/>
            </w:tcBorders>
            <w:shd w:val="clear" w:color="000000" w:fill="FFFFFF"/>
            <w:noWrap/>
            <w:vAlign w:val="center"/>
            <w:hideMark/>
          </w:tcPr>
          <w:p w14:paraId="4E00BF9E"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105%</w:t>
            </w:r>
          </w:p>
        </w:tc>
        <w:tc>
          <w:tcPr>
            <w:tcW w:w="1200" w:type="dxa"/>
            <w:tcBorders>
              <w:top w:val="nil"/>
              <w:left w:val="nil"/>
              <w:bottom w:val="single" w:sz="4" w:space="0" w:color="auto"/>
              <w:right w:val="single" w:sz="4" w:space="0" w:color="auto"/>
            </w:tcBorders>
            <w:shd w:val="clear" w:color="000000" w:fill="FFFFFF"/>
            <w:noWrap/>
            <w:vAlign w:val="center"/>
            <w:hideMark/>
          </w:tcPr>
          <w:p w14:paraId="0DC3E3A6"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97%</w:t>
            </w:r>
          </w:p>
        </w:tc>
      </w:tr>
      <w:tr w:rsidR="00F75E3A" w:rsidRPr="000744C3" w14:paraId="774DEF38"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54E51964"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7</w:t>
            </w:r>
          </w:p>
        </w:tc>
        <w:tc>
          <w:tcPr>
            <w:tcW w:w="1740" w:type="dxa"/>
            <w:tcBorders>
              <w:top w:val="nil"/>
              <w:left w:val="nil"/>
              <w:bottom w:val="single" w:sz="4" w:space="0" w:color="auto"/>
              <w:right w:val="single" w:sz="4" w:space="0" w:color="auto"/>
            </w:tcBorders>
            <w:shd w:val="clear" w:color="000000" w:fill="FFFFFF"/>
            <w:noWrap/>
            <w:vAlign w:val="center"/>
            <w:hideMark/>
          </w:tcPr>
          <w:p w14:paraId="740BE4F2"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81%</w:t>
            </w:r>
          </w:p>
        </w:tc>
        <w:tc>
          <w:tcPr>
            <w:tcW w:w="1200" w:type="dxa"/>
            <w:tcBorders>
              <w:top w:val="nil"/>
              <w:left w:val="nil"/>
              <w:bottom w:val="single" w:sz="4" w:space="0" w:color="auto"/>
              <w:right w:val="single" w:sz="4" w:space="0" w:color="auto"/>
            </w:tcBorders>
            <w:shd w:val="clear" w:color="000000" w:fill="FFFFFF"/>
            <w:noWrap/>
            <w:vAlign w:val="center"/>
            <w:hideMark/>
          </w:tcPr>
          <w:p w14:paraId="075B0D08"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71%</w:t>
            </w:r>
          </w:p>
        </w:tc>
        <w:tc>
          <w:tcPr>
            <w:tcW w:w="1360" w:type="dxa"/>
            <w:tcBorders>
              <w:top w:val="nil"/>
              <w:left w:val="nil"/>
              <w:bottom w:val="single" w:sz="4" w:space="0" w:color="auto"/>
              <w:right w:val="single" w:sz="4" w:space="0" w:color="auto"/>
            </w:tcBorders>
            <w:shd w:val="clear" w:color="000000" w:fill="FFFFFF"/>
            <w:noWrap/>
            <w:vAlign w:val="center"/>
            <w:hideMark/>
          </w:tcPr>
          <w:p w14:paraId="4B0F9BC9"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56%</w:t>
            </w:r>
          </w:p>
        </w:tc>
        <w:tc>
          <w:tcPr>
            <w:tcW w:w="1200" w:type="dxa"/>
            <w:tcBorders>
              <w:top w:val="nil"/>
              <w:left w:val="nil"/>
              <w:bottom w:val="single" w:sz="4" w:space="0" w:color="auto"/>
              <w:right w:val="single" w:sz="4" w:space="0" w:color="auto"/>
            </w:tcBorders>
            <w:shd w:val="clear" w:color="000000" w:fill="FFFFFF"/>
            <w:noWrap/>
            <w:vAlign w:val="center"/>
            <w:hideMark/>
          </w:tcPr>
          <w:p w14:paraId="30D84A7B"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93%</w:t>
            </w:r>
          </w:p>
        </w:tc>
        <w:tc>
          <w:tcPr>
            <w:tcW w:w="1340" w:type="dxa"/>
            <w:tcBorders>
              <w:top w:val="nil"/>
              <w:left w:val="nil"/>
              <w:bottom w:val="single" w:sz="4" w:space="0" w:color="auto"/>
              <w:right w:val="single" w:sz="4" w:space="0" w:color="auto"/>
            </w:tcBorders>
            <w:shd w:val="clear" w:color="000000" w:fill="FFFFFF"/>
            <w:noWrap/>
            <w:vAlign w:val="center"/>
            <w:hideMark/>
          </w:tcPr>
          <w:p w14:paraId="74AE3010"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227%</w:t>
            </w:r>
          </w:p>
        </w:tc>
        <w:tc>
          <w:tcPr>
            <w:tcW w:w="1340" w:type="dxa"/>
            <w:tcBorders>
              <w:top w:val="nil"/>
              <w:left w:val="nil"/>
              <w:bottom w:val="single" w:sz="4" w:space="0" w:color="auto"/>
              <w:right w:val="single" w:sz="4" w:space="0" w:color="auto"/>
            </w:tcBorders>
            <w:shd w:val="clear" w:color="000000" w:fill="FFFFFF"/>
            <w:noWrap/>
            <w:vAlign w:val="center"/>
            <w:hideMark/>
          </w:tcPr>
          <w:p w14:paraId="5976DEC8"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69%</w:t>
            </w:r>
          </w:p>
        </w:tc>
        <w:tc>
          <w:tcPr>
            <w:tcW w:w="1200" w:type="dxa"/>
            <w:tcBorders>
              <w:top w:val="nil"/>
              <w:left w:val="nil"/>
              <w:bottom w:val="single" w:sz="4" w:space="0" w:color="auto"/>
              <w:right w:val="single" w:sz="4" w:space="0" w:color="auto"/>
            </w:tcBorders>
            <w:shd w:val="clear" w:color="000000" w:fill="FFFFFF"/>
            <w:noWrap/>
            <w:vAlign w:val="center"/>
            <w:hideMark/>
          </w:tcPr>
          <w:p w14:paraId="404D79FF"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82%</w:t>
            </w:r>
          </w:p>
        </w:tc>
      </w:tr>
      <w:tr w:rsidR="00F75E3A" w:rsidRPr="000744C3" w14:paraId="7544FBF9"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03DF3168"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8</w:t>
            </w:r>
          </w:p>
        </w:tc>
        <w:tc>
          <w:tcPr>
            <w:tcW w:w="1740" w:type="dxa"/>
            <w:tcBorders>
              <w:top w:val="nil"/>
              <w:left w:val="nil"/>
              <w:bottom w:val="single" w:sz="4" w:space="0" w:color="auto"/>
              <w:right w:val="single" w:sz="4" w:space="0" w:color="auto"/>
            </w:tcBorders>
            <w:shd w:val="clear" w:color="000000" w:fill="FFFFFF"/>
            <w:noWrap/>
            <w:vAlign w:val="center"/>
            <w:hideMark/>
          </w:tcPr>
          <w:p w14:paraId="24771236"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78%</w:t>
            </w:r>
          </w:p>
        </w:tc>
        <w:tc>
          <w:tcPr>
            <w:tcW w:w="1200" w:type="dxa"/>
            <w:tcBorders>
              <w:top w:val="nil"/>
              <w:left w:val="nil"/>
              <w:bottom w:val="single" w:sz="4" w:space="0" w:color="auto"/>
              <w:right w:val="single" w:sz="4" w:space="0" w:color="auto"/>
            </w:tcBorders>
            <w:shd w:val="clear" w:color="000000" w:fill="FFFFFF"/>
            <w:noWrap/>
            <w:vAlign w:val="center"/>
            <w:hideMark/>
          </w:tcPr>
          <w:p w14:paraId="07027AA3"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115%</w:t>
            </w:r>
          </w:p>
        </w:tc>
        <w:tc>
          <w:tcPr>
            <w:tcW w:w="1360" w:type="dxa"/>
            <w:tcBorders>
              <w:top w:val="nil"/>
              <w:left w:val="nil"/>
              <w:bottom w:val="single" w:sz="4" w:space="0" w:color="auto"/>
              <w:right w:val="single" w:sz="4" w:space="0" w:color="auto"/>
            </w:tcBorders>
            <w:shd w:val="clear" w:color="000000" w:fill="FFFFFF"/>
            <w:noWrap/>
            <w:vAlign w:val="center"/>
            <w:hideMark/>
          </w:tcPr>
          <w:p w14:paraId="05276A9A"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63%</w:t>
            </w:r>
          </w:p>
        </w:tc>
        <w:tc>
          <w:tcPr>
            <w:tcW w:w="1200" w:type="dxa"/>
            <w:tcBorders>
              <w:top w:val="nil"/>
              <w:left w:val="nil"/>
              <w:bottom w:val="single" w:sz="4" w:space="0" w:color="auto"/>
              <w:right w:val="single" w:sz="4" w:space="0" w:color="auto"/>
            </w:tcBorders>
            <w:shd w:val="clear" w:color="000000" w:fill="FFFFFF"/>
            <w:noWrap/>
            <w:vAlign w:val="center"/>
            <w:hideMark/>
          </w:tcPr>
          <w:p w14:paraId="54314FF0"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113%</w:t>
            </w:r>
          </w:p>
        </w:tc>
        <w:tc>
          <w:tcPr>
            <w:tcW w:w="1340" w:type="dxa"/>
            <w:tcBorders>
              <w:top w:val="nil"/>
              <w:left w:val="nil"/>
              <w:bottom w:val="single" w:sz="4" w:space="0" w:color="auto"/>
              <w:right w:val="single" w:sz="4" w:space="0" w:color="auto"/>
            </w:tcBorders>
            <w:shd w:val="clear" w:color="000000" w:fill="FFFFFF"/>
            <w:noWrap/>
            <w:vAlign w:val="center"/>
            <w:hideMark/>
          </w:tcPr>
          <w:p w14:paraId="02D49AA9"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169%</w:t>
            </w:r>
          </w:p>
        </w:tc>
        <w:tc>
          <w:tcPr>
            <w:tcW w:w="1340" w:type="dxa"/>
            <w:tcBorders>
              <w:top w:val="nil"/>
              <w:left w:val="nil"/>
              <w:bottom w:val="single" w:sz="4" w:space="0" w:color="auto"/>
              <w:right w:val="single" w:sz="4" w:space="0" w:color="auto"/>
            </w:tcBorders>
            <w:shd w:val="clear" w:color="000000" w:fill="FFFFFF"/>
            <w:noWrap/>
            <w:vAlign w:val="center"/>
            <w:hideMark/>
          </w:tcPr>
          <w:p w14:paraId="313DEB29"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88%</w:t>
            </w:r>
          </w:p>
        </w:tc>
        <w:tc>
          <w:tcPr>
            <w:tcW w:w="1200" w:type="dxa"/>
            <w:tcBorders>
              <w:top w:val="nil"/>
              <w:left w:val="nil"/>
              <w:bottom w:val="single" w:sz="4" w:space="0" w:color="auto"/>
              <w:right w:val="single" w:sz="4" w:space="0" w:color="auto"/>
            </w:tcBorders>
            <w:shd w:val="clear" w:color="000000" w:fill="FFFFFF"/>
            <w:noWrap/>
            <w:vAlign w:val="center"/>
            <w:hideMark/>
          </w:tcPr>
          <w:p w14:paraId="2F734C5B"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112%</w:t>
            </w:r>
          </w:p>
        </w:tc>
      </w:tr>
      <w:tr w:rsidR="00F75E3A" w:rsidRPr="000744C3" w14:paraId="62F22C5D"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72837325"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9</w:t>
            </w:r>
          </w:p>
        </w:tc>
        <w:tc>
          <w:tcPr>
            <w:tcW w:w="1740" w:type="dxa"/>
            <w:tcBorders>
              <w:top w:val="nil"/>
              <w:left w:val="nil"/>
              <w:bottom w:val="single" w:sz="4" w:space="0" w:color="auto"/>
              <w:right w:val="single" w:sz="4" w:space="0" w:color="auto"/>
            </w:tcBorders>
            <w:shd w:val="clear" w:color="000000" w:fill="FFFFFF"/>
            <w:noWrap/>
            <w:vAlign w:val="center"/>
            <w:hideMark/>
          </w:tcPr>
          <w:p w14:paraId="37E53DAA"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71%</w:t>
            </w:r>
          </w:p>
        </w:tc>
        <w:tc>
          <w:tcPr>
            <w:tcW w:w="1200" w:type="dxa"/>
            <w:tcBorders>
              <w:top w:val="nil"/>
              <w:left w:val="nil"/>
              <w:bottom w:val="single" w:sz="4" w:space="0" w:color="auto"/>
              <w:right w:val="single" w:sz="4" w:space="0" w:color="auto"/>
            </w:tcBorders>
            <w:shd w:val="clear" w:color="000000" w:fill="FFFFFF"/>
            <w:noWrap/>
            <w:vAlign w:val="center"/>
            <w:hideMark/>
          </w:tcPr>
          <w:p w14:paraId="707B79E6"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133%</w:t>
            </w:r>
          </w:p>
        </w:tc>
        <w:tc>
          <w:tcPr>
            <w:tcW w:w="1360" w:type="dxa"/>
            <w:tcBorders>
              <w:top w:val="nil"/>
              <w:left w:val="nil"/>
              <w:bottom w:val="single" w:sz="4" w:space="0" w:color="auto"/>
              <w:right w:val="single" w:sz="4" w:space="0" w:color="auto"/>
            </w:tcBorders>
            <w:shd w:val="clear" w:color="000000" w:fill="FFFFFF"/>
            <w:noWrap/>
            <w:vAlign w:val="center"/>
            <w:hideMark/>
          </w:tcPr>
          <w:p w14:paraId="4C004FE9"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52%</w:t>
            </w:r>
          </w:p>
        </w:tc>
        <w:tc>
          <w:tcPr>
            <w:tcW w:w="1200" w:type="dxa"/>
            <w:tcBorders>
              <w:top w:val="nil"/>
              <w:left w:val="nil"/>
              <w:bottom w:val="single" w:sz="4" w:space="0" w:color="auto"/>
              <w:right w:val="single" w:sz="4" w:space="0" w:color="auto"/>
            </w:tcBorders>
            <w:shd w:val="clear" w:color="000000" w:fill="FFFFFF"/>
            <w:noWrap/>
            <w:vAlign w:val="center"/>
            <w:hideMark/>
          </w:tcPr>
          <w:p w14:paraId="43067217"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109%</w:t>
            </w:r>
          </w:p>
        </w:tc>
        <w:tc>
          <w:tcPr>
            <w:tcW w:w="1340" w:type="dxa"/>
            <w:tcBorders>
              <w:top w:val="nil"/>
              <w:left w:val="nil"/>
              <w:bottom w:val="single" w:sz="4" w:space="0" w:color="auto"/>
              <w:right w:val="single" w:sz="4" w:space="0" w:color="auto"/>
            </w:tcBorders>
            <w:shd w:val="clear" w:color="000000" w:fill="FFFFFF"/>
            <w:noWrap/>
            <w:vAlign w:val="center"/>
            <w:hideMark/>
          </w:tcPr>
          <w:p w14:paraId="6953AB07"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185%</w:t>
            </w:r>
          </w:p>
        </w:tc>
        <w:tc>
          <w:tcPr>
            <w:tcW w:w="1340" w:type="dxa"/>
            <w:tcBorders>
              <w:top w:val="nil"/>
              <w:left w:val="nil"/>
              <w:bottom w:val="single" w:sz="4" w:space="0" w:color="auto"/>
              <w:right w:val="single" w:sz="4" w:space="0" w:color="auto"/>
            </w:tcBorders>
            <w:shd w:val="clear" w:color="000000" w:fill="FFFFFF"/>
            <w:noWrap/>
            <w:vAlign w:val="center"/>
            <w:hideMark/>
          </w:tcPr>
          <w:p w14:paraId="49D5211B"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81%</w:t>
            </w:r>
          </w:p>
        </w:tc>
        <w:tc>
          <w:tcPr>
            <w:tcW w:w="1200" w:type="dxa"/>
            <w:tcBorders>
              <w:top w:val="nil"/>
              <w:left w:val="nil"/>
              <w:bottom w:val="single" w:sz="4" w:space="0" w:color="auto"/>
              <w:right w:val="single" w:sz="4" w:space="0" w:color="auto"/>
            </w:tcBorders>
            <w:shd w:val="clear" w:color="000000" w:fill="FFFFFF"/>
            <w:noWrap/>
            <w:vAlign w:val="center"/>
            <w:hideMark/>
          </w:tcPr>
          <w:p w14:paraId="1063E26D"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97%</w:t>
            </w:r>
          </w:p>
        </w:tc>
      </w:tr>
      <w:tr w:rsidR="00F75E3A" w:rsidRPr="000744C3" w14:paraId="04565BD8"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7F9CD189"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10</w:t>
            </w:r>
          </w:p>
        </w:tc>
        <w:tc>
          <w:tcPr>
            <w:tcW w:w="1740" w:type="dxa"/>
            <w:tcBorders>
              <w:top w:val="nil"/>
              <w:left w:val="nil"/>
              <w:bottom w:val="single" w:sz="4" w:space="0" w:color="auto"/>
              <w:right w:val="single" w:sz="4" w:space="0" w:color="auto"/>
            </w:tcBorders>
            <w:shd w:val="clear" w:color="000000" w:fill="FFFFFF"/>
            <w:noWrap/>
            <w:vAlign w:val="center"/>
            <w:hideMark/>
          </w:tcPr>
          <w:p w14:paraId="3E1F683C"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89%</w:t>
            </w:r>
          </w:p>
        </w:tc>
        <w:tc>
          <w:tcPr>
            <w:tcW w:w="1200" w:type="dxa"/>
            <w:tcBorders>
              <w:top w:val="nil"/>
              <w:left w:val="nil"/>
              <w:bottom w:val="single" w:sz="4" w:space="0" w:color="auto"/>
              <w:right w:val="single" w:sz="4" w:space="0" w:color="auto"/>
            </w:tcBorders>
            <w:shd w:val="clear" w:color="000000" w:fill="FFFFFF"/>
            <w:noWrap/>
            <w:vAlign w:val="center"/>
            <w:hideMark/>
          </w:tcPr>
          <w:p w14:paraId="55EE9C30"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111%</w:t>
            </w:r>
          </w:p>
        </w:tc>
        <w:tc>
          <w:tcPr>
            <w:tcW w:w="1360" w:type="dxa"/>
            <w:tcBorders>
              <w:top w:val="nil"/>
              <w:left w:val="nil"/>
              <w:bottom w:val="single" w:sz="4" w:space="0" w:color="auto"/>
              <w:right w:val="single" w:sz="4" w:space="0" w:color="auto"/>
            </w:tcBorders>
            <w:shd w:val="clear" w:color="000000" w:fill="FFFFFF"/>
            <w:noWrap/>
            <w:vAlign w:val="center"/>
            <w:hideMark/>
          </w:tcPr>
          <w:p w14:paraId="3DEAC7D6"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49%</w:t>
            </w:r>
          </w:p>
        </w:tc>
        <w:tc>
          <w:tcPr>
            <w:tcW w:w="1200" w:type="dxa"/>
            <w:tcBorders>
              <w:top w:val="nil"/>
              <w:left w:val="nil"/>
              <w:bottom w:val="single" w:sz="4" w:space="0" w:color="auto"/>
              <w:right w:val="single" w:sz="4" w:space="0" w:color="auto"/>
            </w:tcBorders>
            <w:shd w:val="clear" w:color="000000" w:fill="FFFFFF"/>
            <w:noWrap/>
            <w:vAlign w:val="center"/>
            <w:hideMark/>
          </w:tcPr>
          <w:p w14:paraId="730133E2"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109%</w:t>
            </w:r>
          </w:p>
        </w:tc>
        <w:tc>
          <w:tcPr>
            <w:tcW w:w="1340" w:type="dxa"/>
            <w:tcBorders>
              <w:top w:val="nil"/>
              <w:left w:val="nil"/>
              <w:bottom w:val="single" w:sz="4" w:space="0" w:color="auto"/>
              <w:right w:val="single" w:sz="4" w:space="0" w:color="auto"/>
            </w:tcBorders>
            <w:shd w:val="clear" w:color="000000" w:fill="FFFFFF"/>
            <w:noWrap/>
            <w:vAlign w:val="center"/>
            <w:hideMark/>
          </w:tcPr>
          <w:p w14:paraId="10304876"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253%</w:t>
            </w:r>
          </w:p>
        </w:tc>
        <w:tc>
          <w:tcPr>
            <w:tcW w:w="1340" w:type="dxa"/>
            <w:tcBorders>
              <w:top w:val="nil"/>
              <w:left w:val="nil"/>
              <w:bottom w:val="single" w:sz="4" w:space="0" w:color="auto"/>
              <w:right w:val="single" w:sz="4" w:space="0" w:color="auto"/>
            </w:tcBorders>
            <w:shd w:val="clear" w:color="000000" w:fill="FFFFFF"/>
            <w:noWrap/>
            <w:vAlign w:val="center"/>
            <w:hideMark/>
          </w:tcPr>
          <w:p w14:paraId="275884F3"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89%</w:t>
            </w:r>
          </w:p>
        </w:tc>
        <w:tc>
          <w:tcPr>
            <w:tcW w:w="1200" w:type="dxa"/>
            <w:tcBorders>
              <w:top w:val="nil"/>
              <w:left w:val="nil"/>
              <w:bottom w:val="single" w:sz="4" w:space="0" w:color="auto"/>
              <w:right w:val="single" w:sz="4" w:space="0" w:color="auto"/>
            </w:tcBorders>
            <w:shd w:val="clear" w:color="000000" w:fill="FFFFFF"/>
            <w:noWrap/>
            <w:vAlign w:val="center"/>
            <w:hideMark/>
          </w:tcPr>
          <w:p w14:paraId="09F12CF5"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91%</w:t>
            </w:r>
          </w:p>
        </w:tc>
      </w:tr>
      <w:tr w:rsidR="00F75E3A" w:rsidRPr="000744C3" w14:paraId="54788C33"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000E20B9"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11</w:t>
            </w:r>
          </w:p>
        </w:tc>
        <w:tc>
          <w:tcPr>
            <w:tcW w:w="1740" w:type="dxa"/>
            <w:tcBorders>
              <w:top w:val="nil"/>
              <w:left w:val="nil"/>
              <w:bottom w:val="single" w:sz="4" w:space="0" w:color="auto"/>
              <w:right w:val="single" w:sz="4" w:space="0" w:color="auto"/>
            </w:tcBorders>
            <w:shd w:val="clear" w:color="000000" w:fill="FFFFFF"/>
            <w:noWrap/>
            <w:vAlign w:val="center"/>
            <w:hideMark/>
          </w:tcPr>
          <w:p w14:paraId="390A15FA"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86%</w:t>
            </w:r>
          </w:p>
        </w:tc>
        <w:tc>
          <w:tcPr>
            <w:tcW w:w="1200" w:type="dxa"/>
            <w:tcBorders>
              <w:top w:val="nil"/>
              <w:left w:val="nil"/>
              <w:bottom w:val="single" w:sz="4" w:space="0" w:color="auto"/>
              <w:right w:val="single" w:sz="4" w:space="0" w:color="auto"/>
            </w:tcBorders>
            <w:shd w:val="clear" w:color="000000" w:fill="FFFFFF"/>
            <w:noWrap/>
            <w:vAlign w:val="center"/>
            <w:hideMark/>
          </w:tcPr>
          <w:p w14:paraId="52F9D736"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136%</w:t>
            </w:r>
          </w:p>
        </w:tc>
        <w:tc>
          <w:tcPr>
            <w:tcW w:w="1360" w:type="dxa"/>
            <w:tcBorders>
              <w:top w:val="nil"/>
              <w:left w:val="nil"/>
              <w:bottom w:val="single" w:sz="4" w:space="0" w:color="auto"/>
              <w:right w:val="single" w:sz="4" w:space="0" w:color="auto"/>
            </w:tcBorders>
            <w:shd w:val="clear" w:color="000000" w:fill="FFFFFF"/>
            <w:noWrap/>
            <w:vAlign w:val="center"/>
            <w:hideMark/>
          </w:tcPr>
          <w:p w14:paraId="55C20D5B"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52%</w:t>
            </w:r>
          </w:p>
        </w:tc>
        <w:tc>
          <w:tcPr>
            <w:tcW w:w="1200" w:type="dxa"/>
            <w:tcBorders>
              <w:top w:val="nil"/>
              <w:left w:val="nil"/>
              <w:bottom w:val="single" w:sz="4" w:space="0" w:color="auto"/>
              <w:right w:val="single" w:sz="4" w:space="0" w:color="auto"/>
            </w:tcBorders>
            <w:shd w:val="clear" w:color="000000" w:fill="FFFFFF"/>
            <w:noWrap/>
            <w:vAlign w:val="center"/>
            <w:hideMark/>
          </w:tcPr>
          <w:p w14:paraId="108734A1"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100%</w:t>
            </w:r>
          </w:p>
        </w:tc>
        <w:tc>
          <w:tcPr>
            <w:tcW w:w="1340" w:type="dxa"/>
            <w:tcBorders>
              <w:top w:val="nil"/>
              <w:left w:val="nil"/>
              <w:bottom w:val="single" w:sz="4" w:space="0" w:color="auto"/>
              <w:right w:val="single" w:sz="4" w:space="0" w:color="auto"/>
            </w:tcBorders>
            <w:shd w:val="clear" w:color="000000" w:fill="FFFFFF"/>
            <w:noWrap/>
            <w:vAlign w:val="center"/>
            <w:hideMark/>
          </w:tcPr>
          <w:p w14:paraId="2DFAAC6D"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227%</w:t>
            </w:r>
          </w:p>
        </w:tc>
        <w:tc>
          <w:tcPr>
            <w:tcW w:w="1340" w:type="dxa"/>
            <w:tcBorders>
              <w:top w:val="nil"/>
              <w:left w:val="nil"/>
              <w:bottom w:val="single" w:sz="4" w:space="0" w:color="auto"/>
              <w:right w:val="single" w:sz="4" w:space="0" w:color="auto"/>
            </w:tcBorders>
            <w:shd w:val="clear" w:color="000000" w:fill="FFFFFF"/>
            <w:noWrap/>
            <w:vAlign w:val="center"/>
            <w:hideMark/>
          </w:tcPr>
          <w:p w14:paraId="04B5A453"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97%</w:t>
            </w:r>
          </w:p>
        </w:tc>
        <w:tc>
          <w:tcPr>
            <w:tcW w:w="1200" w:type="dxa"/>
            <w:tcBorders>
              <w:top w:val="nil"/>
              <w:left w:val="nil"/>
              <w:bottom w:val="single" w:sz="4" w:space="0" w:color="auto"/>
              <w:right w:val="single" w:sz="4" w:space="0" w:color="auto"/>
            </w:tcBorders>
            <w:shd w:val="clear" w:color="000000" w:fill="FFFFFF"/>
            <w:noWrap/>
            <w:vAlign w:val="center"/>
            <w:hideMark/>
          </w:tcPr>
          <w:p w14:paraId="476DA5A5"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76%</w:t>
            </w:r>
          </w:p>
        </w:tc>
      </w:tr>
      <w:tr w:rsidR="00F75E3A" w:rsidRPr="000744C3" w14:paraId="2C65FD8D"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2FA75187"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12</w:t>
            </w:r>
          </w:p>
        </w:tc>
        <w:tc>
          <w:tcPr>
            <w:tcW w:w="1740" w:type="dxa"/>
            <w:tcBorders>
              <w:top w:val="nil"/>
              <w:left w:val="nil"/>
              <w:bottom w:val="single" w:sz="4" w:space="0" w:color="auto"/>
              <w:right w:val="single" w:sz="4" w:space="0" w:color="auto"/>
            </w:tcBorders>
            <w:shd w:val="clear" w:color="000000" w:fill="FFFFFF"/>
            <w:noWrap/>
            <w:vAlign w:val="center"/>
            <w:hideMark/>
          </w:tcPr>
          <w:p w14:paraId="40EF6915"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99%</w:t>
            </w:r>
          </w:p>
        </w:tc>
        <w:tc>
          <w:tcPr>
            <w:tcW w:w="1200" w:type="dxa"/>
            <w:tcBorders>
              <w:top w:val="nil"/>
              <w:left w:val="nil"/>
              <w:bottom w:val="single" w:sz="4" w:space="0" w:color="auto"/>
              <w:right w:val="single" w:sz="4" w:space="0" w:color="auto"/>
            </w:tcBorders>
            <w:shd w:val="clear" w:color="000000" w:fill="FFFFFF"/>
            <w:noWrap/>
            <w:vAlign w:val="center"/>
            <w:hideMark/>
          </w:tcPr>
          <w:p w14:paraId="3B9F1795"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114%</w:t>
            </w:r>
          </w:p>
        </w:tc>
        <w:tc>
          <w:tcPr>
            <w:tcW w:w="1360" w:type="dxa"/>
            <w:tcBorders>
              <w:top w:val="nil"/>
              <w:left w:val="nil"/>
              <w:bottom w:val="single" w:sz="4" w:space="0" w:color="auto"/>
              <w:right w:val="single" w:sz="4" w:space="0" w:color="auto"/>
            </w:tcBorders>
            <w:shd w:val="clear" w:color="000000" w:fill="FFFFFF"/>
            <w:noWrap/>
            <w:vAlign w:val="center"/>
            <w:hideMark/>
          </w:tcPr>
          <w:p w14:paraId="61587782"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48%</w:t>
            </w:r>
          </w:p>
        </w:tc>
        <w:tc>
          <w:tcPr>
            <w:tcW w:w="1200" w:type="dxa"/>
            <w:tcBorders>
              <w:top w:val="nil"/>
              <w:left w:val="nil"/>
              <w:bottom w:val="single" w:sz="4" w:space="0" w:color="auto"/>
              <w:right w:val="single" w:sz="4" w:space="0" w:color="auto"/>
            </w:tcBorders>
            <w:shd w:val="clear" w:color="000000" w:fill="FFFFFF"/>
            <w:noWrap/>
            <w:vAlign w:val="center"/>
            <w:hideMark/>
          </w:tcPr>
          <w:p w14:paraId="19EDA1E7"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113%</w:t>
            </w:r>
          </w:p>
        </w:tc>
        <w:tc>
          <w:tcPr>
            <w:tcW w:w="1340" w:type="dxa"/>
            <w:tcBorders>
              <w:top w:val="nil"/>
              <w:left w:val="nil"/>
              <w:bottom w:val="single" w:sz="4" w:space="0" w:color="auto"/>
              <w:right w:val="single" w:sz="4" w:space="0" w:color="auto"/>
            </w:tcBorders>
            <w:shd w:val="clear" w:color="000000" w:fill="FFFFFF"/>
            <w:noWrap/>
            <w:vAlign w:val="center"/>
            <w:hideMark/>
          </w:tcPr>
          <w:p w14:paraId="4C68CF11"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169%</w:t>
            </w:r>
          </w:p>
        </w:tc>
        <w:tc>
          <w:tcPr>
            <w:tcW w:w="1340" w:type="dxa"/>
            <w:tcBorders>
              <w:top w:val="nil"/>
              <w:left w:val="nil"/>
              <w:bottom w:val="single" w:sz="4" w:space="0" w:color="auto"/>
              <w:right w:val="single" w:sz="4" w:space="0" w:color="auto"/>
            </w:tcBorders>
            <w:shd w:val="clear" w:color="000000" w:fill="FFFFFF"/>
            <w:noWrap/>
            <w:vAlign w:val="center"/>
            <w:hideMark/>
          </w:tcPr>
          <w:p w14:paraId="6BDCA932"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79%</w:t>
            </w:r>
          </w:p>
        </w:tc>
        <w:tc>
          <w:tcPr>
            <w:tcW w:w="1200" w:type="dxa"/>
            <w:tcBorders>
              <w:top w:val="nil"/>
              <w:left w:val="nil"/>
              <w:bottom w:val="single" w:sz="4" w:space="0" w:color="auto"/>
              <w:right w:val="single" w:sz="4" w:space="0" w:color="auto"/>
            </w:tcBorders>
            <w:shd w:val="clear" w:color="000000" w:fill="FFFFFF"/>
            <w:noWrap/>
            <w:vAlign w:val="center"/>
            <w:hideMark/>
          </w:tcPr>
          <w:p w14:paraId="0B53E432"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106%</w:t>
            </w:r>
          </w:p>
        </w:tc>
      </w:tr>
      <w:tr w:rsidR="00F75E3A" w:rsidRPr="000744C3" w14:paraId="4B9A3269"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5FBCC437"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13</w:t>
            </w:r>
          </w:p>
        </w:tc>
        <w:tc>
          <w:tcPr>
            <w:tcW w:w="1740" w:type="dxa"/>
            <w:tcBorders>
              <w:top w:val="nil"/>
              <w:left w:val="nil"/>
              <w:bottom w:val="single" w:sz="4" w:space="0" w:color="auto"/>
              <w:right w:val="single" w:sz="4" w:space="0" w:color="auto"/>
            </w:tcBorders>
            <w:shd w:val="clear" w:color="000000" w:fill="FFFFFF"/>
            <w:noWrap/>
            <w:vAlign w:val="center"/>
            <w:hideMark/>
          </w:tcPr>
          <w:p w14:paraId="67C06272"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91%</w:t>
            </w:r>
          </w:p>
        </w:tc>
        <w:tc>
          <w:tcPr>
            <w:tcW w:w="1200" w:type="dxa"/>
            <w:tcBorders>
              <w:top w:val="nil"/>
              <w:left w:val="nil"/>
              <w:bottom w:val="single" w:sz="4" w:space="0" w:color="auto"/>
              <w:right w:val="single" w:sz="4" w:space="0" w:color="auto"/>
            </w:tcBorders>
            <w:shd w:val="clear" w:color="000000" w:fill="FFFFFF"/>
            <w:noWrap/>
            <w:vAlign w:val="center"/>
            <w:hideMark/>
          </w:tcPr>
          <w:p w14:paraId="5A8DA1E7"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106%</w:t>
            </w:r>
          </w:p>
        </w:tc>
        <w:tc>
          <w:tcPr>
            <w:tcW w:w="1360" w:type="dxa"/>
            <w:tcBorders>
              <w:top w:val="nil"/>
              <w:left w:val="nil"/>
              <w:bottom w:val="single" w:sz="4" w:space="0" w:color="auto"/>
              <w:right w:val="single" w:sz="4" w:space="0" w:color="auto"/>
            </w:tcBorders>
            <w:shd w:val="clear" w:color="000000" w:fill="FFFFFF"/>
            <w:noWrap/>
            <w:vAlign w:val="center"/>
            <w:hideMark/>
          </w:tcPr>
          <w:p w14:paraId="068909BE"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56%</w:t>
            </w:r>
          </w:p>
        </w:tc>
        <w:tc>
          <w:tcPr>
            <w:tcW w:w="1200" w:type="dxa"/>
            <w:tcBorders>
              <w:top w:val="nil"/>
              <w:left w:val="nil"/>
              <w:bottom w:val="single" w:sz="4" w:space="0" w:color="auto"/>
              <w:right w:val="single" w:sz="4" w:space="0" w:color="auto"/>
            </w:tcBorders>
            <w:shd w:val="clear" w:color="000000" w:fill="FFFFFF"/>
            <w:noWrap/>
            <w:vAlign w:val="center"/>
            <w:hideMark/>
          </w:tcPr>
          <w:p w14:paraId="524763F0"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 105%</w:t>
            </w:r>
          </w:p>
        </w:tc>
        <w:tc>
          <w:tcPr>
            <w:tcW w:w="1340" w:type="dxa"/>
            <w:tcBorders>
              <w:top w:val="nil"/>
              <w:left w:val="nil"/>
              <w:bottom w:val="single" w:sz="4" w:space="0" w:color="auto"/>
              <w:right w:val="single" w:sz="4" w:space="0" w:color="auto"/>
            </w:tcBorders>
            <w:shd w:val="clear" w:color="000000" w:fill="FFFFFF"/>
            <w:noWrap/>
            <w:vAlign w:val="center"/>
            <w:hideMark/>
          </w:tcPr>
          <w:p w14:paraId="17D1C495"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 264%</w:t>
            </w:r>
          </w:p>
        </w:tc>
        <w:tc>
          <w:tcPr>
            <w:tcW w:w="1340" w:type="dxa"/>
            <w:tcBorders>
              <w:top w:val="nil"/>
              <w:left w:val="nil"/>
              <w:bottom w:val="single" w:sz="4" w:space="0" w:color="auto"/>
              <w:right w:val="single" w:sz="4" w:space="0" w:color="auto"/>
            </w:tcBorders>
            <w:shd w:val="clear" w:color="000000" w:fill="FFFFFF"/>
            <w:noWrap/>
            <w:vAlign w:val="center"/>
            <w:hideMark/>
          </w:tcPr>
          <w:p w14:paraId="656F4C29"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96%</w:t>
            </w:r>
          </w:p>
        </w:tc>
        <w:tc>
          <w:tcPr>
            <w:tcW w:w="1200" w:type="dxa"/>
            <w:tcBorders>
              <w:top w:val="nil"/>
              <w:left w:val="nil"/>
              <w:bottom w:val="single" w:sz="4" w:space="0" w:color="auto"/>
              <w:right w:val="single" w:sz="4" w:space="0" w:color="auto"/>
            </w:tcBorders>
            <w:shd w:val="clear" w:color="000000" w:fill="FFFFFF"/>
            <w:noWrap/>
            <w:vAlign w:val="center"/>
            <w:hideMark/>
          </w:tcPr>
          <w:p w14:paraId="79C9BE65"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62%</w:t>
            </w:r>
          </w:p>
        </w:tc>
      </w:tr>
      <w:tr w:rsidR="00F75E3A" w:rsidRPr="000744C3" w14:paraId="7C3100EC"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758CBA96"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14</w:t>
            </w:r>
          </w:p>
        </w:tc>
        <w:tc>
          <w:tcPr>
            <w:tcW w:w="1740" w:type="dxa"/>
            <w:tcBorders>
              <w:top w:val="nil"/>
              <w:left w:val="nil"/>
              <w:bottom w:val="single" w:sz="4" w:space="0" w:color="auto"/>
              <w:right w:val="single" w:sz="4" w:space="0" w:color="auto"/>
            </w:tcBorders>
            <w:shd w:val="clear" w:color="000000" w:fill="FFFFFF"/>
            <w:noWrap/>
            <w:vAlign w:val="center"/>
            <w:hideMark/>
          </w:tcPr>
          <w:p w14:paraId="32DF0188"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111%</w:t>
            </w:r>
          </w:p>
        </w:tc>
        <w:tc>
          <w:tcPr>
            <w:tcW w:w="1200" w:type="dxa"/>
            <w:tcBorders>
              <w:top w:val="nil"/>
              <w:left w:val="nil"/>
              <w:bottom w:val="single" w:sz="4" w:space="0" w:color="auto"/>
              <w:right w:val="single" w:sz="4" w:space="0" w:color="auto"/>
            </w:tcBorders>
            <w:shd w:val="clear" w:color="000000" w:fill="FFFFFF"/>
            <w:noWrap/>
            <w:vAlign w:val="center"/>
            <w:hideMark/>
          </w:tcPr>
          <w:p w14:paraId="304A8DC2"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90%</w:t>
            </w:r>
          </w:p>
        </w:tc>
        <w:tc>
          <w:tcPr>
            <w:tcW w:w="1360" w:type="dxa"/>
            <w:tcBorders>
              <w:top w:val="nil"/>
              <w:left w:val="nil"/>
              <w:bottom w:val="single" w:sz="4" w:space="0" w:color="auto"/>
              <w:right w:val="single" w:sz="4" w:space="0" w:color="auto"/>
            </w:tcBorders>
            <w:shd w:val="clear" w:color="000000" w:fill="FFFFFF"/>
            <w:noWrap/>
            <w:vAlign w:val="center"/>
            <w:hideMark/>
          </w:tcPr>
          <w:p w14:paraId="372D0CAA"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95%</w:t>
            </w:r>
          </w:p>
        </w:tc>
        <w:tc>
          <w:tcPr>
            <w:tcW w:w="1200" w:type="dxa"/>
            <w:tcBorders>
              <w:top w:val="nil"/>
              <w:left w:val="nil"/>
              <w:bottom w:val="single" w:sz="4" w:space="0" w:color="auto"/>
              <w:right w:val="single" w:sz="4" w:space="0" w:color="auto"/>
            </w:tcBorders>
            <w:shd w:val="clear" w:color="000000" w:fill="FFFFFF"/>
            <w:noWrap/>
            <w:vAlign w:val="center"/>
            <w:hideMark/>
          </w:tcPr>
          <w:p w14:paraId="564BB0A5"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83%</w:t>
            </w:r>
          </w:p>
        </w:tc>
        <w:tc>
          <w:tcPr>
            <w:tcW w:w="1340" w:type="dxa"/>
            <w:tcBorders>
              <w:top w:val="nil"/>
              <w:left w:val="nil"/>
              <w:bottom w:val="single" w:sz="4" w:space="0" w:color="auto"/>
              <w:right w:val="single" w:sz="4" w:space="0" w:color="auto"/>
            </w:tcBorders>
            <w:shd w:val="clear" w:color="000000" w:fill="FFFFFF"/>
            <w:noWrap/>
            <w:vAlign w:val="center"/>
            <w:hideMark/>
          </w:tcPr>
          <w:p w14:paraId="30C49072"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202%</w:t>
            </w:r>
          </w:p>
        </w:tc>
        <w:tc>
          <w:tcPr>
            <w:tcW w:w="1340" w:type="dxa"/>
            <w:tcBorders>
              <w:top w:val="nil"/>
              <w:left w:val="nil"/>
              <w:bottom w:val="single" w:sz="4" w:space="0" w:color="auto"/>
              <w:right w:val="single" w:sz="4" w:space="0" w:color="auto"/>
            </w:tcBorders>
            <w:shd w:val="clear" w:color="000000" w:fill="FFFFFF"/>
            <w:noWrap/>
            <w:vAlign w:val="center"/>
            <w:hideMark/>
          </w:tcPr>
          <w:p w14:paraId="7FE62B78"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75%</w:t>
            </w:r>
          </w:p>
        </w:tc>
        <w:tc>
          <w:tcPr>
            <w:tcW w:w="1200" w:type="dxa"/>
            <w:tcBorders>
              <w:top w:val="nil"/>
              <w:left w:val="nil"/>
              <w:bottom w:val="single" w:sz="4" w:space="0" w:color="auto"/>
              <w:right w:val="single" w:sz="4" w:space="0" w:color="auto"/>
            </w:tcBorders>
            <w:shd w:val="clear" w:color="000000" w:fill="FFFFFF"/>
            <w:noWrap/>
            <w:vAlign w:val="center"/>
            <w:hideMark/>
          </w:tcPr>
          <w:p w14:paraId="3C1E946D"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94%</w:t>
            </w:r>
          </w:p>
        </w:tc>
      </w:tr>
      <w:tr w:rsidR="00F75E3A" w:rsidRPr="000744C3" w14:paraId="241F91F1"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7EFD4A14"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15</w:t>
            </w:r>
          </w:p>
        </w:tc>
        <w:tc>
          <w:tcPr>
            <w:tcW w:w="1740" w:type="dxa"/>
            <w:tcBorders>
              <w:top w:val="nil"/>
              <w:left w:val="nil"/>
              <w:bottom w:val="single" w:sz="4" w:space="0" w:color="auto"/>
              <w:right w:val="single" w:sz="4" w:space="0" w:color="auto"/>
            </w:tcBorders>
            <w:shd w:val="clear" w:color="000000" w:fill="FFFFFF"/>
            <w:noWrap/>
            <w:vAlign w:val="center"/>
            <w:hideMark/>
          </w:tcPr>
          <w:p w14:paraId="560FD448"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89%</w:t>
            </w:r>
          </w:p>
        </w:tc>
        <w:tc>
          <w:tcPr>
            <w:tcW w:w="1200" w:type="dxa"/>
            <w:tcBorders>
              <w:top w:val="nil"/>
              <w:left w:val="nil"/>
              <w:bottom w:val="single" w:sz="4" w:space="0" w:color="auto"/>
              <w:right w:val="single" w:sz="4" w:space="0" w:color="auto"/>
            </w:tcBorders>
            <w:shd w:val="clear" w:color="000000" w:fill="FFFFFF"/>
            <w:noWrap/>
            <w:vAlign w:val="center"/>
            <w:hideMark/>
          </w:tcPr>
          <w:p w14:paraId="384FA11A"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107%</w:t>
            </w:r>
          </w:p>
        </w:tc>
        <w:tc>
          <w:tcPr>
            <w:tcW w:w="1360" w:type="dxa"/>
            <w:tcBorders>
              <w:top w:val="nil"/>
              <w:left w:val="nil"/>
              <w:bottom w:val="single" w:sz="4" w:space="0" w:color="auto"/>
              <w:right w:val="single" w:sz="4" w:space="0" w:color="auto"/>
            </w:tcBorders>
            <w:shd w:val="clear" w:color="000000" w:fill="FFFFFF"/>
            <w:noWrap/>
            <w:vAlign w:val="center"/>
            <w:hideMark/>
          </w:tcPr>
          <w:p w14:paraId="61E43F34"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62%</w:t>
            </w:r>
          </w:p>
        </w:tc>
        <w:tc>
          <w:tcPr>
            <w:tcW w:w="1200" w:type="dxa"/>
            <w:tcBorders>
              <w:top w:val="nil"/>
              <w:left w:val="nil"/>
              <w:bottom w:val="single" w:sz="4" w:space="0" w:color="auto"/>
              <w:right w:val="single" w:sz="4" w:space="0" w:color="auto"/>
            </w:tcBorders>
            <w:shd w:val="clear" w:color="000000" w:fill="FFFFFF"/>
            <w:noWrap/>
            <w:vAlign w:val="center"/>
            <w:hideMark/>
          </w:tcPr>
          <w:p w14:paraId="0C59A927"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90%</w:t>
            </w:r>
          </w:p>
        </w:tc>
        <w:tc>
          <w:tcPr>
            <w:tcW w:w="1340" w:type="dxa"/>
            <w:tcBorders>
              <w:top w:val="nil"/>
              <w:left w:val="nil"/>
              <w:bottom w:val="single" w:sz="4" w:space="0" w:color="auto"/>
              <w:right w:val="single" w:sz="4" w:space="0" w:color="auto"/>
            </w:tcBorders>
            <w:shd w:val="clear" w:color="000000" w:fill="FFFFFF"/>
            <w:noWrap/>
            <w:vAlign w:val="center"/>
            <w:hideMark/>
          </w:tcPr>
          <w:p w14:paraId="66BAE8ED"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210%</w:t>
            </w:r>
          </w:p>
        </w:tc>
        <w:tc>
          <w:tcPr>
            <w:tcW w:w="1340" w:type="dxa"/>
            <w:tcBorders>
              <w:top w:val="nil"/>
              <w:left w:val="nil"/>
              <w:bottom w:val="single" w:sz="4" w:space="0" w:color="auto"/>
              <w:right w:val="single" w:sz="4" w:space="0" w:color="auto"/>
            </w:tcBorders>
            <w:shd w:val="clear" w:color="000000" w:fill="FFFFFF"/>
            <w:noWrap/>
            <w:vAlign w:val="center"/>
            <w:hideMark/>
          </w:tcPr>
          <w:p w14:paraId="2B86A8EF"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73%</w:t>
            </w:r>
          </w:p>
        </w:tc>
        <w:tc>
          <w:tcPr>
            <w:tcW w:w="1200" w:type="dxa"/>
            <w:tcBorders>
              <w:top w:val="nil"/>
              <w:left w:val="nil"/>
              <w:bottom w:val="single" w:sz="4" w:space="0" w:color="auto"/>
              <w:right w:val="single" w:sz="4" w:space="0" w:color="auto"/>
            </w:tcBorders>
            <w:shd w:val="clear" w:color="000000" w:fill="FFFFFF"/>
            <w:noWrap/>
            <w:vAlign w:val="center"/>
            <w:hideMark/>
          </w:tcPr>
          <w:p w14:paraId="680BB4AF"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129%</w:t>
            </w:r>
          </w:p>
        </w:tc>
      </w:tr>
      <w:tr w:rsidR="00F75E3A" w:rsidRPr="000744C3" w14:paraId="61671378"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6A2E8165"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16</w:t>
            </w:r>
          </w:p>
        </w:tc>
        <w:tc>
          <w:tcPr>
            <w:tcW w:w="1740" w:type="dxa"/>
            <w:tcBorders>
              <w:top w:val="nil"/>
              <w:left w:val="nil"/>
              <w:bottom w:val="single" w:sz="4" w:space="0" w:color="auto"/>
              <w:right w:val="single" w:sz="4" w:space="0" w:color="auto"/>
            </w:tcBorders>
            <w:shd w:val="clear" w:color="000000" w:fill="FFFFFF"/>
            <w:noWrap/>
            <w:vAlign w:val="center"/>
            <w:hideMark/>
          </w:tcPr>
          <w:p w14:paraId="1526FE66"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91%</w:t>
            </w:r>
          </w:p>
        </w:tc>
        <w:tc>
          <w:tcPr>
            <w:tcW w:w="1200" w:type="dxa"/>
            <w:tcBorders>
              <w:top w:val="nil"/>
              <w:left w:val="nil"/>
              <w:bottom w:val="single" w:sz="4" w:space="0" w:color="auto"/>
              <w:right w:val="single" w:sz="4" w:space="0" w:color="auto"/>
            </w:tcBorders>
            <w:shd w:val="clear" w:color="000000" w:fill="FFFFFF"/>
            <w:noWrap/>
            <w:vAlign w:val="center"/>
            <w:hideMark/>
          </w:tcPr>
          <w:p w14:paraId="13FA4874"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106%</w:t>
            </w:r>
          </w:p>
        </w:tc>
        <w:tc>
          <w:tcPr>
            <w:tcW w:w="1360" w:type="dxa"/>
            <w:tcBorders>
              <w:top w:val="nil"/>
              <w:left w:val="nil"/>
              <w:bottom w:val="single" w:sz="4" w:space="0" w:color="auto"/>
              <w:right w:val="single" w:sz="4" w:space="0" w:color="auto"/>
            </w:tcBorders>
            <w:shd w:val="clear" w:color="000000" w:fill="FFFFFF"/>
            <w:noWrap/>
            <w:vAlign w:val="center"/>
            <w:hideMark/>
          </w:tcPr>
          <w:p w14:paraId="03BA42DE"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79%</w:t>
            </w:r>
          </w:p>
        </w:tc>
        <w:tc>
          <w:tcPr>
            <w:tcW w:w="1200" w:type="dxa"/>
            <w:tcBorders>
              <w:top w:val="nil"/>
              <w:left w:val="nil"/>
              <w:bottom w:val="single" w:sz="4" w:space="0" w:color="auto"/>
              <w:right w:val="single" w:sz="4" w:space="0" w:color="auto"/>
            </w:tcBorders>
            <w:shd w:val="clear" w:color="000000" w:fill="FFFFFF"/>
            <w:noWrap/>
            <w:vAlign w:val="center"/>
            <w:hideMark/>
          </w:tcPr>
          <w:p w14:paraId="1BA3DF05"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89%</w:t>
            </w:r>
          </w:p>
        </w:tc>
        <w:tc>
          <w:tcPr>
            <w:tcW w:w="1340" w:type="dxa"/>
            <w:tcBorders>
              <w:top w:val="nil"/>
              <w:left w:val="nil"/>
              <w:bottom w:val="single" w:sz="4" w:space="0" w:color="auto"/>
              <w:right w:val="single" w:sz="4" w:space="0" w:color="auto"/>
            </w:tcBorders>
            <w:shd w:val="clear" w:color="000000" w:fill="FFFFFF"/>
            <w:noWrap/>
            <w:vAlign w:val="center"/>
            <w:hideMark/>
          </w:tcPr>
          <w:p w14:paraId="78AF8846"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157%</w:t>
            </w:r>
          </w:p>
        </w:tc>
        <w:tc>
          <w:tcPr>
            <w:tcW w:w="1340" w:type="dxa"/>
            <w:tcBorders>
              <w:top w:val="nil"/>
              <w:left w:val="nil"/>
              <w:bottom w:val="single" w:sz="4" w:space="0" w:color="auto"/>
              <w:right w:val="single" w:sz="4" w:space="0" w:color="auto"/>
            </w:tcBorders>
            <w:shd w:val="clear" w:color="000000" w:fill="FFFFFF"/>
            <w:noWrap/>
            <w:vAlign w:val="center"/>
            <w:hideMark/>
          </w:tcPr>
          <w:p w14:paraId="010BCDE2"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96%</w:t>
            </w:r>
          </w:p>
        </w:tc>
        <w:tc>
          <w:tcPr>
            <w:tcW w:w="1200" w:type="dxa"/>
            <w:tcBorders>
              <w:top w:val="nil"/>
              <w:left w:val="nil"/>
              <w:bottom w:val="single" w:sz="4" w:space="0" w:color="auto"/>
              <w:right w:val="single" w:sz="4" w:space="0" w:color="auto"/>
            </w:tcBorders>
            <w:shd w:val="clear" w:color="000000" w:fill="FFFFFF"/>
            <w:noWrap/>
            <w:vAlign w:val="center"/>
            <w:hideMark/>
          </w:tcPr>
          <w:p w14:paraId="3CE612AC"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88%</w:t>
            </w:r>
          </w:p>
        </w:tc>
      </w:tr>
      <w:tr w:rsidR="00F75E3A" w:rsidRPr="000744C3" w14:paraId="66AFA1AD"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4A62D6BB"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17</w:t>
            </w:r>
          </w:p>
        </w:tc>
        <w:tc>
          <w:tcPr>
            <w:tcW w:w="1740" w:type="dxa"/>
            <w:tcBorders>
              <w:top w:val="nil"/>
              <w:left w:val="nil"/>
              <w:bottom w:val="single" w:sz="4" w:space="0" w:color="auto"/>
              <w:right w:val="single" w:sz="4" w:space="0" w:color="auto"/>
            </w:tcBorders>
            <w:shd w:val="clear" w:color="000000" w:fill="FFFFFF"/>
            <w:noWrap/>
            <w:vAlign w:val="center"/>
            <w:hideMark/>
          </w:tcPr>
          <w:p w14:paraId="4CD4B29A"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73%</w:t>
            </w:r>
          </w:p>
        </w:tc>
        <w:tc>
          <w:tcPr>
            <w:tcW w:w="1200" w:type="dxa"/>
            <w:tcBorders>
              <w:top w:val="nil"/>
              <w:left w:val="nil"/>
              <w:bottom w:val="single" w:sz="4" w:space="0" w:color="auto"/>
              <w:right w:val="single" w:sz="4" w:space="0" w:color="auto"/>
            </w:tcBorders>
            <w:shd w:val="clear" w:color="000000" w:fill="FFFFFF"/>
            <w:noWrap/>
            <w:vAlign w:val="center"/>
            <w:hideMark/>
          </w:tcPr>
          <w:p w14:paraId="16D4A2A7"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102%</w:t>
            </w:r>
          </w:p>
        </w:tc>
        <w:tc>
          <w:tcPr>
            <w:tcW w:w="1360" w:type="dxa"/>
            <w:tcBorders>
              <w:top w:val="nil"/>
              <w:left w:val="nil"/>
              <w:bottom w:val="single" w:sz="4" w:space="0" w:color="auto"/>
              <w:right w:val="single" w:sz="4" w:space="0" w:color="auto"/>
            </w:tcBorders>
            <w:shd w:val="clear" w:color="000000" w:fill="FFFFFF"/>
            <w:noWrap/>
            <w:vAlign w:val="center"/>
            <w:hideMark/>
          </w:tcPr>
          <w:p w14:paraId="767098F0"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54%</w:t>
            </w:r>
          </w:p>
        </w:tc>
        <w:tc>
          <w:tcPr>
            <w:tcW w:w="1200" w:type="dxa"/>
            <w:tcBorders>
              <w:top w:val="nil"/>
              <w:left w:val="nil"/>
              <w:bottom w:val="single" w:sz="4" w:space="0" w:color="auto"/>
              <w:right w:val="single" w:sz="4" w:space="0" w:color="auto"/>
            </w:tcBorders>
            <w:shd w:val="clear" w:color="000000" w:fill="FFFFFF"/>
            <w:noWrap/>
            <w:vAlign w:val="center"/>
            <w:hideMark/>
          </w:tcPr>
          <w:p w14:paraId="58A818D6"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108%</w:t>
            </w:r>
          </w:p>
        </w:tc>
        <w:tc>
          <w:tcPr>
            <w:tcW w:w="1340" w:type="dxa"/>
            <w:tcBorders>
              <w:top w:val="nil"/>
              <w:left w:val="nil"/>
              <w:bottom w:val="single" w:sz="4" w:space="0" w:color="auto"/>
              <w:right w:val="single" w:sz="4" w:space="0" w:color="auto"/>
            </w:tcBorders>
            <w:shd w:val="clear" w:color="000000" w:fill="FFFFFF"/>
            <w:noWrap/>
            <w:vAlign w:val="center"/>
            <w:hideMark/>
          </w:tcPr>
          <w:p w14:paraId="43CDA814"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2.08</w:t>
            </w:r>
          </w:p>
        </w:tc>
        <w:tc>
          <w:tcPr>
            <w:tcW w:w="1340" w:type="dxa"/>
            <w:tcBorders>
              <w:top w:val="nil"/>
              <w:left w:val="nil"/>
              <w:bottom w:val="single" w:sz="4" w:space="0" w:color="auto"/>
              <w:right w:val="single" w:sz="4" w:space="0" w:color="auto"/>
            </w:tcBorders>
            <w:shd w:val="clear" w:color="000000" w:fill="FFFFFF"/>
            <w:noWrap/>
            <w:vAlign w:val="center"/>
            <w:hideMark/>
          </w:tcPr>
          <w:p w14:paraId="43B5D50B"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111%</w:t>
            </w:r>
          </w:p>
        </w:tc>
        <w:tc>
          <w:tcPr>
            <w:tcW w:w="1200" w:type="dxa"/>
            <w:tcBorders>
              <w:top w:val="nil"/>
              <w:left w:val="nil"/>
              <w:bottom w:val="single" w:sz="4" w:space="0" w:color="auto"/>
              <w:right w:val="single" w:sz="4" w:space="0" w:color="auto"/>
            </w:tcBorders>
            <w:shd w:val="clear" w:color="000000" w:fill="FFFFFF"/>
            <w:noWrap/>
            <w:vAlign w:val="center"/>
            <w:hideMark/>
          </w:tcPr>
          <w:p w14:paraId="31BACF4E"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91%</w:t>
            </w:r>
          </w:p>
        </w:tc>
      </w:tr>
      <w:tr w:rsidR="00F75E3A" w:rsidRPr="000744C3" w14:paraId="4D407838"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7ADA487B"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18</w:t>
            </w:r>
          </w:p>
        </w:tc>
        <w:tc>
          <w:tcPr>
            <w:tcW w:w="1740" w:type="dxa"/>
            <w:tcBorders>
              <w:top w:val="nil"/>
              <w:left w:val="nil"/>
              <w:bottom w:val="single" w:sz="4" w:space="0" w:color="auto"/>
              <w:right w:val="single" w:sz="4" w:space="0" w:color="auto"/>
            </w:tcBorders>
            <w:shd w:val="clear" w:color="000000" w:fill="FFFFFF"/>
            <w:noWrap/>
            <w:vAlign w:val="center"/>
            <w:hideMark/>
          </w:tcPr>
          <w:p w14:paraId="231B8056"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81%</w:t>
            </w:r>
          </w:p>
        </w:tc>
        <w:tc>
          <w:tcPr>
            <w:tcW w:w="1200" w:type="dxa"/>
            <w:tcBorders>
              <w:top w:val="nil"/>
              <w:left w:val="nil"/>
              <w:bottom w:val="single" w:sz="4" w:space="0" w:color="auto"/>
              <w:right w:val="single" w:sz="4" w:space="0" w:color="auto"/>
            </w:tcBorders>
            <w:shd w:val="clear" w:color="000000" w:fill="FFFFFF"/>
            <w:noWrap/>
            <w:vAlign w:val="center"/>
            <w:hideMark/>
          </w:tcPr>
          <w:p w14:paraId="71171B36"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137%</w:t>
            </w:r>
          </w:p>
        </w:tc>
        <w:tc>
          <w:tcPr>
            <w:tcW w:w="1360" w:type="dxa"/>
            <w:tcBorders>
              <w:top w:val="nil"/>
              <w:left w:val="nil"/>
              <w:bottom w:val="single" w:sz="4" w:space="0" w:color="auto"/>
              <w:right w:val="single" w:sz="4" w:space="0" w:color="auto"/>
            </w:tcBorders>
            <w:shd w:val="clear" w:color="000000" w:fill="FFFFFF"/>
            <w:noWrap/>
            <w:vAlign w:val="center"/>
            <w:hideMark/>
          </w:tcPr>
          <w:p w14:paraId="1E7BDAC2"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56%</w:t>
            </w:r>
          </w:p>
        </w:tc>
        <w:tc>
          <w:tcPr>
            <w:tcW w:w="1200" w:type="dxa"/>
            <w:tcBorders>
              <w:top w:val="nil"/>
              <w:left w:val="nil"/>
              <w:bottom w:val="single" w:sz="4" w:space="0" w:color="auto"/>
              <w:right w:val="single" w:sz="4" w:space="0" w:color="auto"/>
            </w:tcBorders>
            <w:shd w:val="clear" w:color="000000" w:fill="FFFFFF"/>
            <w:noWrap/>
            <w:vAlign w:val="center"/>
            <w:hideMark/>
          </w:tcPr>
          <w:p w14:paraId="10840CEF"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80%</w:t>
            </w:r>
          </w:p>
        </w:tc>
        <w:tc>
          <w:tcPr>
            <w:tcW w:w="1340" w:type="dxa"/>
            <w:tcBorders>
              <w:top w:val="nil"/>
              <w:left w:val="nil"/>
              <w:bottom w:val="single" w:sz="4" w:space="0" w:color="auto"/>
              <w:right w:val="single" w:sz="4" w:space="0" w:color="auto"/>
            </w:tcBorders>
            <w:shd w:val="clear" w:color="000000" w:fill="FFFFFF"/>
            <w:noWrap/>
            <w:vAlign w:val="center"/>
            <w:hideMark/>
          </w:tcPr>
          <w:p w14:paraId="34F0F91A"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222%</w:t>
            </w:r>
          </w:p>
        </w:tc>
        <w:tc>
          <w:tcPr>
            <w:tcW w:w="1340" w:type="dxa"/>
            <w:tcBorders>
              <w:top w:val="nil"/>
              <w:left w:val="nil"/>
              <w:bottom w:val="single" w:sz="4" w:space="0" w:color="auto"/>
              <w:right w:val="single" w:sz="4" w:space="0" w:color="auto"/>
            </w:tcBorders>
            <w:shd w:val="clear" w:color="000000" w:fill="FFFFFF"/>
            <w:noWrap/>
            <w:vAlign w:val="center"/>
            <w:hideMark/>
          </w:tcPr>
          <w:p w14:paraId="1B9130D7"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92%</w:t>
            </w:r>
          </w:p>
        </w:tc>
        <w:tc>
          <w:tcPr>
            <w:tcW w:w="1200" w:type="dxa"/>
            <w:tcBorders>
              <w:top w:val="nil"/>
              <w:left w:val="nil"/>
              <w:bottom w:val="single" w:sz="4" w:space="0" w:color="auto"/>
              <w:right w:val="single" w:sz="4" w:space="0" w:color="auto"/>
            </w:tcBorders>
            <w:shd w:val="clear" w:color="000000" w:fill="FFFFFF"/>
            <w:noWrap/>
            <w:vAlign w:val="center"/>
            <w:hideMark/>
          </w:tcPr>
          <w:p w14:paraId="2C0B6C24"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94%</w:t>
            </w:r>
          </w:p>
        </w:tc>
      </w:tr>
      <w:tr w:rsidR="00F75E3A" w:rsidRPr="000744C3" w14:paraId="7006204E"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3D50DFB3"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19</w:t>
            </w:r>
          </w:p>
        </w:tc>
        <w:tc>
          <w:tcPr>
            <w:tcW w:w="1740" w:type="dxa"/>
            <w:tcBorders>
              <w:top w:val="nil"/>
              <w:left w:val="nil"/>
              <w:bottom w:val="single" w:sz="4" w:space="0" w:color="auto"/>
              <w:right w:val="single" w:sz="4" w:space="0" w:color="auto"/>
            </w:tcBorders>
            <w:shd w:val="clear" w:color="000000" w:fill="FFFFFF"/>
            <w:noWrap/>
            <w:vAlign w:val="center"/>
            <w:hideMark/>
          </w:tcPr>
          <w:p w14:paraId="62A2AA52"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85%</w:t>
            </w:r>
          </w:p>
        </w:tc>
        <w:tc>
          <w:tcPr>
            <w:tcW w:w="1200" w:type="dxa"/>
            <w:tcBorders>
              <w:top w:val="nil"/>
              <w:left w:val="nil"/>
              <w:bottom w:val="single" w:sz="4" w:space="0" w:color="auto"/>
              <w:right w:val="single" w:sz="4" w:space="0" w:color="auto"/>
            </w:tcBorders>
            <w:shd w:val="clear" w:color="000000" w:fill="FFFFFF"/>
            <w:noWrap/>
            <w:vAlign w:val="center"/>
            <w:hideMark/>
          </w:tcPr>
          <w:p w14:paraId="156CF2E5"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168%</w:t>
            </w:r>
          </w:p>
        </w:tc>
        <w:tc>
          <w:tcPr>
            <w:tcW w:w="1360" w:type="dxa"/>
            <w:tcBorders>
              <w:top w:val="nil"/>
              <w:left w:val="nil"/>
              <w:bottom w:val="single" w:sz="4" w:space="0" w:color="auto"/>
              <w:right w:val="single" w:sz="4" w:space="0" w:color="auto"/>
            </w:tcBorders>
            <w:shd w:val="clear" w:color="000000" w:fill="FFFFFF"/>
            <w:noWrap/>
            <w:vAlign w:val="center"/>
            <w:hideMark/>
          </w:tcPr>
          <w:p w14:paraId="0FAEEC46"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46%</w:t>
            </w:r>
          </w:p>
        </w:tc>
        <w:tc>
          <w:tcPr>
            <w:tcW w:w="1200" w:type="dxa"/>
            <w:tcBorders>
              <w:top w:val="nil"/>
              <w:left w:val="nil"/>
              <w:bottom w:val="single" w:sz="4" w:space="0" w:color="auto"/>
              <w:right w:val="single" w:sz="4" w:space="0" w:color="auto"/>
            </w:tcBorders>
            <w:shd w:val="clear" w:color="000000" w:fill="FFFFFF"/>
            <w:noWrap/>
            <w:vAlign w:val="center"/>
            <w:hideMark/>
          </w:tcPr>
          <w:p w14:paraId="44AAEBEE"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100%</w:t>
            </w:r>
          </w:p>
        </w:tc>
        <w:tc>
          <w:tcPr>
            <w:tcW w:w="1340" w:type="dxa"/>
            <w:tcBorders>
              <w:top w:val="nil"/>
              <w:left w:val="nil"/>
              <w:bottom w:val="single" w:sz="4" w:space="0" w:color="auto"/>
              <w:right w:val="single" w:sz="4" w:space="0" w:color="auto"/>
            </w:tcBorders>
            <w:shd w:val="clear" w:color="000000" w:fill="FFFFFF"/>
            <w:noWrap/>
            <w:vAlign w:val="center"/>
            <w:hideMark/>
          </w:tcPr>
          <w:p w14:paraId="6C29F3A2"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211%</w:t>
            </w:r>
          </w:p>
        </w:tc>
        <w:tc>
          <w:tcPr>
            <w:tcW w:w="1340" w:type="dxa"/>
            <w:tcBorders>
              <w:top w:val="nil"/>
              <w:left w:val="nil"/>
              <w:bottom w:val="single" w:sz="4" w:space="0" w:color="auto"/>
              <w:right w:val="single" w:sz="4" w:space="0" w:color="auto"/>
            </w:tcBorders>
            <w:shd w:val="clear" w:color="000000" w:fill="FFFFFF"/>
            <w:noWrap/>
            <w:vAlign w:val="center"/>
            <w:hideMark/>
          </w:tcPr>
          <w:p w14:paraId="20747674"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84%</w:t>
            </w:r>
          </w:p>
        </w:tc>
        <w:tc>
          <w:tcPr>
            <w:tcW w:w="1200" w:type="dxa"/>
            <w:tcBorders>
              <w:top w:val="nil"/>
              <w:left w:val="nil"/>
              <w:bottom w:val="single" w:sz="4" w:space="0" w:color="auto"/>
              <w:right w:val="single" w:sz="4" w:space="0" w:color="auto"/>
            </w:tcBorders>
            <w:shd w:val="clear" w:color="000000" w:fill="FFFFFF"/>
            <w:noWrap/>
            <w:vAlign w:val="center"/>
            <w:hideMark/>
          </w:tcPr>
          <w:p w14:paraId="2EF1097F"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88%</w:t>
            </w:r>
          </w:p>
        </w:tc>
      </w:tr>
      <w:tr w:rsidR="00F75E3A" w:rsidRPr="000744C3" w14:paraId="74C003C3"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36124201"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20</w:t>
            </w:r>
          </w:p>
        </w:tc>
        <w:tc>
          <w:tcPr>
            <w:tcW w:w="1740" w:type="dxa"/>
            <w:tcBorders>
              <w:top w:val="nil"/>
              <w:left w:val="nil"/>
              <w:bottom w:val="single" w:sz="4" w:space="0" w:color="auto"/>
              <w:right w:val="single" w:sz="4" w:space="0" w:color="auto"/>
            </w:tcBorders>
            <w:shd w:val="clear" w:color="000000" w:fill="FFFFFF"/>
            <w:noWrap/>
            <w:vAlign w:val="center"/>
            <w:hideMark/>
          </w:tcPr>
          <w:p w14:paraId="757AE8F7"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73%</w:t>
            </w:r>
          </w:p>
        </w:tc>
        <w:tc>
          <w:tcPr>
            <w:tcW w:w="1200" w:type="dxa"/>
            <w:tcBorders>
              <w:top w:val="nil"/>
              <w:left w:val="nil"/>
              <w:bottom w:val="single" w:sz="4" w:space="0" w:color="auto"/>
              <w:right w:val="single" w:sz="4" w:space="0" w:color="auto"/>
            </w:tcBorders>
            <w:shd w:val="clear" w:color="000000" w:fill="FFFFFF"/>
            <w:noWrap/>
            <w:vAlign w:val="center"/>
            <w:hideMark/>
          </w:tcPr>
          <w:p w14:paraId="07484C50"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157%</w:t>
            </w:r>
          </w:p>
        </w:tc>
        <w:tc>
          <w:tcPr>
            <w:tcW w:w="1360" w:type="dxa"/>
            <w:tcBorders>
              <w:top w:val="nil"/>
              <w:left w:val="nil"/>
              <w:bottom w:val="single" w:sz="4" w:space="0" w:color="auto"/>
              <w:right w:val="single" w:sz="4" w:space="0" w:color="auto"/>
            </w:tcBorders>
            <w:shd w:val="clear" w:color="000000" w:fill="FFFFFF"/>
            <w:noWrap/>
            <w:vAlign w:val="center"/>
            <w:hideMark/>
          </w:tcPr>
          <w:p w14:paraId="7BA440D9"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40%</w:t>
            </w:r>
          </w:p>
        </w:tc>
        <w:tc>
          <w:tcPr>
            <w:tcW w:w="1200" w:type="dxa"/>
            <w:tcBorders>
              <w:top w:val="nil"/>
              <w:left w:val="nil"/>
              <w:bottom w:val="single" w:sz="4" w:space="0" w:color="auto"/>
              <w:right w:val="single" w:sz="4" w:space="0" w:color="auto"/>
            </w:tcBorders>
            <w:shd w:val="clear" w:color="000000" w:fill="FFFFFF"/>
            <w:noWrap/>
            <w:vAlign w:val="center"/>
            <w:hideMark/>
          </w:tcPr>
          <w:p w14:paraId="6758AFFA"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120%</w:t>
            </w:r>
          </w:p>
        </w:tc>
        <w:tc>
          <w:tcPr>
            <w:tcW w:w="1340" w:type="dxa"/>
            <w:tcBorders>
              <w:top w:val="nil"/>
              <w:left w:val="nil"/>
              <w:bottom w:val="single" w:sz="4" w:space="0" w:color="auto"/>
              <w:right w:val="single" w:sz="4" w:space="0" w:color="auto"/>
            </w:tcBorders>
            <w:shd w:val="clear" w:color="000000" w:fill="FFFFFF"/>
            <w:noWrap/>
            <w:vAlign w:val="center"/>
            <w:hideMark/>
          </w:tcPr>
          <w:p w14:paraId="5064006E"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220%</w:t>
            </w:r>
          </w:p>
        </w:tc>
        <w:tc>
          <w:tcPr>
            <w:tcW w:w="1340" w:type="dxa"/>
            <w:tcBorders>
              <w:top w:val="nil"/>
              <w:left w:val="nil"/>
              <w:bottom w:val="single" w:sz="4" w:space="0" w:color="auto"/>
              <w:right w:val="single" w:sz="4" w:space="0" w:color="auto"/>
            </w:tcBorders>
            <w:shd w:val="clear" w:color="000000" w:fill="FFFFFF"/>
            <w:noWrap/>
            <w:vAlign w:val="center"/>
            <w:hideMark/>
          </w:tcPr>
          <w:p w14:paraId="27716A68"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116%</w:t>
            </w:r>
          </w:p>
        </w:tc>
        <w:tc>
          <w:tcPr>
            <w:tcW w:w="1200" w:type="dxa"/>
            <w:tcBorders>
              <w:top w:val="nil"/>
              <w:left w:val="nil"/>
              <w:bottom w:val="single" w:sz="4" w:space="0" w:color="auto"/>
              <w:right w:val="single" w:sz="4" w:space="0" w:color="auto"/>
            </w:tcBorders>
            <w:shd w:val="clear" w:color="000000" w:fill="FFFFFF"/>
            <w:noWrap/>
            <w:vAlign w:val="center"/>
            <w:hideMark/>
          </w:tcPr>
          <w:p w14:paraId="450BE794"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74%</w:t>
            </w:r>
          </w:p>
        </w:tc>
      </w:tr>
      <w:tr w:rsidR="00F75E3A" w:rsidRPr="000744C3" w14:paraId="58C0D20A"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055D385E"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21</w:t>
            </w:r>
          </w:p>
        </w:tc>
        <w:tc>
          <w:tcPr>
            <w:tcW w:w="1740" w:type="dxa"/>
            <w:tcBorders>
              <w:top w:val="nil"/>
              <w:left w:val="nil"/>
              <w:bottom w:val="single" w:sz="4" w:space="0" w:color="auto"/>
              <w:right w:val="single" w:sz="4" w:space="0" w:color="auto"/>
            </w:tcBorders>
            <w:shd w:val="clear" w:color="000000" w:fill="FFFFFF"/>
            <w:noWrap/>
            <w:vAlign w:val="center"/>
            <w:hideMark/>
          </w:tcPr>
          <w:p w14:paraId="6448309C"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93%</w:t>
            </w:r>
          </w:p>
        </w:tc>
        <w:tc>
          <w:tcPr>
            <w:tcW w:w="1200" w:type="dxa"/>
            <w:tcBorders>
              <w:top w:val="nil"/>
              <w:left w:val="nil"/>
              <w:bottom w:val="single" w:sz="4" w:space="0" w:color="auto"/>
              <w:right w:val="single" w:sz="4" w:space="0" w:color="auto"/>
            </w:tcBorders>
            <w:shd w:val="clear" w:color="000000" w:fill="FFFFFF"/>
            <w:noWrap/>
            <w:vAlign w:val="center"/>
            <w:hideMark/>
          </w:tcPr>
          <w:p w14:paraId="407DAEEF"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193%</w:t>
            </w:r>
          </w:p>
        </w:tc>
        <w:tc>
          <w:tcPr>
            <w:tcW w:w="1360" w:type="dxa"/>
            <w:tcBorders>
              <w:top w:val="nil"/>
              <w:left w:val="nil"/>
              <w:bottom w:val="single" w:sz="4" w:space="0" w:color="auto"/>
              <w:right w:val="single" w:sz="4" w:space="0" w:color="auto"/>
            </w:tcBorders>
            <w:shd w:val="clear" w:color="000000" w:fill="FFFFFF"/>
            <w:noWrap/>
            <w:vAlign w:val="center"/>
            <w:hideMark/>
          </w:tcPr>
          <w:p w14:paraId="30ACCDA2"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45%</w:t>
            </w:r>
          </w:p>
        </w:tc>
        <w:tc>
          <w:tcPr>
            <w:tcW w:w="1200" w:type="dxa"/>
            <w:tcBorders>
              <w:top w:val="nil"/>
              <w:left w:val="nil"/>
              <w:bottom w:val="single" w:sz="4" w:space="0" w:color="auto"/>
              <w:right w:val="single" w:sz="4" w:space="0" w:color="auto"/>
            </w:tcBorders>
            <w:shd w:val="clear" w:color="000000" w:fill="FFFFFF"/>
            <w:noWrap/>
            <w:vAlign w:val="center"/>
            <w:hideMark/>
          </w:tcPr>
          <w:p w14:paraId="70598C47"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120%</w:t>
            </w:r>
          </w:p>
        </w:tc>
        <w:tc>
          <w:tcPr>
            <w:tcW w:w="1340" w:type="dxa"/>
            <w:tcBorders>
              <w:top w:val="nil"/>
              <w:left w:val="nil"/>
              <w:bottom w:val="single" w:sz="4" w:space="0" w:color="auto"/>
              <w:right w:val="single" w:sz="4" w:space="0" w:color="auto"/>
            </w:tcBorders>
            <w:shd w:val="clear" w:color="000000" w:fill="FFFFFF"/>
            <w:noWrap/>
            <w:vAlign w:val="center"/>
            <w:hideMark/>
          </w:tcPr>
          <w:p w14:paraId="3667641F"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220%</w:t>
            </w:r>
          </w:p>
        </w:tc>
        <w:tc>
          <w:tcPr>
            <w:tcW w:w="1340" w:type="dxa"/>
            <w:tcBorders>
              <w:top w:val="nil"/>
              <w:left w:val="nil"/>
              <w:bottom w:val="single" w:sz="4" w:space="0" w:color="auto"/>
              <w:right w:val="single" w:sz="4" w:space="0" w:color="auto"/>
            </w:tcBorders>
            <w:shd w:val="clear" w:color="000000" w:fill="FFFFFF"/>
            <w:noWrap/>
            <w:vAlign w:val="center"/>
            <w:hideMark/>
          </w:tcPr>
          <w:p w14:paraId="3778DB7E"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99%</w:t>
            </w:r>
          </w:p>
        </w:tc>
        <w:tc>
          <w:tcPr>
            <w:tcW w:w="1200" w:type="dxa"/>
            <w:tcBorders>
              <w:top w:val="nil"/>
              <w:left w:val="nil"/>
              <w:bottom w:val="single" w:sz="4" w:space="0" w:color="auto"/>
              <w:right w:val="single" w:sz="4" w:space="0" w:color="auto"/>
            </w:tcBorders>
            <w:shd w:val="clear" w:color="000000" w:fill="FFFFFF"/>
            <w:noWrap/>
            <w:vAlign w:val="center"/>
            <w:hideMark/>
          </w:tcPr>
          <w:p w14:paraId="32894FA2"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106%</w:t>
            </w:r>
          </w:p>
        </w:tc>
      </w:tr>
      <w:tr w:rsidR="00F75E3A" w:rsidRPr="000744C3" w14:paraId="31CF4800"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7846C1D1"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22</w:t>
            </w:r>
          </w:p>
        </w:tc>
        <w:tc>
          <w:tcPr>
            <w:tcW w:w="1740" w:type="dxa"/>
            <w:tcBorders>
              <w:top w:val="nil"/>
              <w:left w:val="nil"/>
              <w:bottom w:val="single" w:sz="4" w:space="0" w:color="auto"/>
              <w:right w:val="single" w:sz="4" w:space="0" w:color="auto"/>
            </w:tcBorders>
            <w:shd w:val="clear" w:color="000000" w:fill="FFFFFF"/>
            <w:noWrap/>
            <w:vAlign w:val="center"/>
            <w:hideMark/>
          </w:tcPr>
          <w:p w14:paraId="4D865640"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86%</w:t>
            </w:r>
          </w:p>
        </w:tc>
        <w:tc>
          <w:tcPr>
            <w:tcW w:w="1200" w:type="dxa"/>
            <w:tcBorders>
              <w:top w:val="nil"/>
              <w:left w:val="nil"/>
              <w:bottom w:val="single" w:sz="4" w:space="0" w:color="auto"/>
              <w:right w:val="single" w:sz="4" w:space="0" w:color="auto"/>
            </w:tcBorders>
            <w:shd w:val="clear" w:color="000000" w:fill="FFFFFF"/>
            <w:noWrap/>
            <w:vAlign w:val="center"/>
            <w:hideMark/>
          </w:tcPr>
          <w:p w14:paraId="35A7C1AC"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124%</w:t>
            </w:r>
          </w:p>
        </w:tc>
        <w:tc>
          <w:tcPr>
            <w:tcW w:w="1360" w:type="dxa"/>
            <w:tcBorders>
              <w:top w:val="nil"/>
              <w:left w:val="nil"/>
              <w:bottom w:val="single" w:sz="4" w:space="0" w:color="auto"/>
              <w:right w:val="single" w:sz="4" w:space="0" w:color="auto"/>
            </w:tcBorders>
            <w:shd w:val="clear" w:color="000000" w:fill="FFFFFF"/>
            <w:noWrap/>
            <w:vAlign w:val="center"/>
            <w:hideMark/>
          </w:tcPr>
          <w:p w14:paraId="7FBDB6F3"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56%</w:t>
            </w:r>
          </w:p>
        </w:tc>
        <w:tc>
          <w:tcPr>
            <w:tcW w:w="1200" w:type="dxa"/>
            <w:tcBorders>
              <w:top w:val="nil"/>
              <w:left w:val="nil"/>
              <w:bottom w:val="single" w:sz="4" w:space="0" w:color="auto"/>
              <w:right w:val="single" w:sz="4" w:space="0" w:color="auto"/>
            </w:tcBorders>
            <w:shd w:val="clear" w:color="000000" w:fill="FFFFFF"/>
            <w:noWrap/>
            <w:vAlign w:val="center"/>
            <w:hideMark/>
          </w:tcPr>
          <w:p w14:paraId="2C2095D2"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95%</w:t>
            </w:r>
          </w:p>
        </w:tc>
        <w:tc>
          <w:tcPr>
            <w:tcW w:w="1340" w:type="dxa"/>
            <w:tcBorders>
              <w:top w:val="nil"/>
              <w:left w:val="nil"/>
              <w:bottom w:val="single" w:sz="4" w:space="0" w:color="auto"/>
              <w:right w:val="single" w:sz="4" w:space="0" w:color="auto"/>
            </w:tcBorders>
            <w:shd w:val="clear" w:color="000000" w:fill="FFFFFF"/>
            <w:noWrap/>
            <w:vAlign w:val="center"/>
            <w:hideMark/>
          </w:tcPr>
          <w:p w14:paraId="79205168"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185%</w:t>
            </w:r>
          </w:p>
        </w:tc>
        <w:tc>
          <w:tcPr>
            <w:tcW w:w="1340" w:type="dxa"/>
            <w:tcBorders>
              <w:top w:val="nil"/>
              <w:left w:val="nil"/>
              <w:bottom w:val="single" w:sz="4" w:space="0" w:color="auto"/>
              <w:right w:val="single" w:sz="4" w:space="0" w:color="auto"/>
            </w:tcBorders>
            <w:shd w:val="clear" w:color="000000" w:fill="FFFFFF"/>
            <w:noWrap/>
            <w:vAlign w:val="center"/>
            <w:hideMark/>
          </w:tcPr>
          <w:p w14:paraId="67E004DB"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81%</w:t>
            </w:r>
          </w:p>
        </w:tc>
        <w:tc>
          <w:tcPr>
            <w:tcW w:w="1200" w:type="dxa"/>
            <w:tcBorders>
              <w:top w:val="nil"/>
              <w:left w:val="nil"/>
              <w:bottom w:val="single" w:sz="4" w:space="0" w:color="auto"/>
              <w:right w:val="single" w:sz="4" w:space="0" w:color="auto"/>
            </w:tcBorders>
            <w:shd w:val="clear" w:color="000000" w:fill="FFFFFF"/>
            <w:noWrap/>
            <w:vAlign w:val="center"/>
            <w:hideMark/>
          </w:tcPr>
          <w:p w14:paraId="18272BFD"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116%</w:t>
            </w:r>
          </w:p>
        </w:tc>
      </w:tr>
      <w:tr w:rsidR="00F75E3A" w:rsidRPr="000744C3" w14:paraId="2FBF66B5"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7809FF97"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23</w:t>
            </w:r>
          </w:p>
        </w:tc>
        <w:tc>
          <w:tcPr>
            <w:tcW w:w="1740" w:type="dxa"/>
            <w:tcBorders>
              <w:top w:val="nil"/>
              <w:left w:val="nil"/>
              <w:bottom w:val="single" w:sz="4" w:space="0" w:color="auto"/>
              <w:right w:val="single" w:sz="4" w:space="0" w:color="auto"/>
            </w:tcBorders>
            <w:shd w:val="clear" w:color="000000" w:fill="FFFFFF"/>
            <w:noWrap/>
            <w:vAlign w:val="center"/>
            <w:hideMark/>
          </w:tcPr>
          <w:p w14:paraId="329F2AA9"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86%</w:t>
            </w:r>
          </w:p>
        </w:tc>
        <w:tc>
          <w:tcPr>
            <w:tcW w:w="1200" w:type="dxa"/>
            <w:tcBorders>
              <w:top w:val="nil"/>
              <w:left w:val="nil"/>
              <w:bottom w:val="single" w:sz="4" w:space="0" w:color="auto"/>
              <w:right w:val="single" w:sz="4" w:space="0" w:color="auto"/>
            </w:tcBorders>
            <w:shd w:val="clear" w:color="000000" w:fill="FFFFFF"/>
            <w:noWrap/>
            <w:vAlign w:val="center"/>
            <w:hideMark/>
          </w:tcPr>
          <w:p w14:paraId="1F3450F7"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94%</w:t>
            </w:r>
          </w:p>
        </w:tc>
        <w:tc>
          <w:tcPr>
            <w:tcW w:w="1360" w:type="dxa"/>
            <w:tcBorders>
              <w:top w:val="nil"/>
              <w:left w:val="nil"/>
              <w:bottom w:val="single" w:sz="4" w:space="0" w:color="auto"/>
              <w:right w:val="single" w:sz="4" w:space="0" w:color="auto"/>
            </w:tcBorders>
            <w:shd w:val="clear" w:color="000000" w:fill="FFFFFF"/>
            <w:noWrap/>
            <w:vAlign w:val="center"/>
            <w:hideMark/>
          </w:tcPr>
          <w:p w14:paraId="3512D6B8"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43%</w:t>
            </w:r>
          </w:p>
        </w:tc>
        <w:tc>
          <w:tcPr>
            <w:tcW w:w="1200" w:type="dxa"/>
            <w:tcBorders>
              <w:top w:val="nil"/>
              <w:left w:val="nil"/>
              <w:bottom w:val="single" w:sz="4" w:space="0" w:color="auto"/>
              <w:right w:val="single" w:sz="4" w:space="0" w:color="auto"/>
            </w:tcBorders>
            <w:shd w:val="clear" w:color="000000" w:fill="FFFFFF"/>
            <w:noWrap/>
            <w:vAlign w:val="center"/>
            <w:hideMark/>
          </w:tcPr>
          <w:p w14:paraId="2EC41328"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146%</w:t>
            </w:r>
          </w:p>
        </w:tc>
        <w:tc>
          <w:tcPr>
            <w:tcW w:w="1340" w:type="dxa"/>
            <w:tcBorders>
              <w:top w:val="nil"/>
              <w:left w:val="nil"/>
              <w:bottom w:val="single" w:sz="4" w:space="0" w:color="auto"/>
              <w:right w:val="single" w:sz="4" w:space="0" w:color="auto"/>
            </w:tcBorders>
            <w:shd w:val="clear" w:color="000000" w:fill="FFFFFF"/>
            <w:noWrap/>
            <w:vAlign w:val="center"/>
            <w:hideMark/>
          </w:tcPr>
          <w:p w14:paraId="331FB5DB"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279%</w:t>
            </w:r>
          </w:p>
        </w:tc>
        <w:tc>
          <w:tcPr>
            <w:tcW w:w="1340" w:type="dxa"/>
            <w:tcBorders>
              <w:top w:val="nil"/>
              <w:left w:val="nil"/>
              <w:bottom w:val="single" w:sz="4" w:space="0" w:color="auto"/>
              <w:right w:val="single" w:sz="4" w:space="0" w:color="auto"/>
            </w:tcBorders>
            <w:shd w:val="clear" w:color="000000" w:fill="FFFFFF"/>
            <w:noWrap/>
            <w:vAlign w:val="center"/>
            <w:hideMark/>
          </w:tcPr>
          <w:p w14:paraId="6290619B"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83%</w:t>
            </w:r>
          </w:p>
        </w:tc>
        <w:tc>
          <w:tcPr>
            <w:tcW w:w="1200" w:type="dxa"/>
            <w:tcBorders>
              <w:top w:val="nil"/>
              <w:left w:val="nil"/>
              <w:bottom w:val="single" w:sz="4" w:space="0" w:color="auto"/>
              <w:right w:val="single" w:sz="4" w:space="0" w:color="auto"/>
            </w:tcBorders>
            <w:shd w:val="clear" w:color="000000" w:fill="FFFFFF"/>
            <w:noWrap/>
            <w:vAlign w:val="center"/>
            <w:hideMark/>
          </w:tcPr>
          <w:p w14:paraId="57FD6959"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92%</w:t>
            </w:r>
          </w:p>
        </w:tc>
      </w:tr>
      <w:tr w:rsidR="00F75E3A" w:rsidRPr="000744C3" w14:paraId="1DFF3BAE"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5CD3EC64"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24</w:t>
            </w:r>
          </w:p>
        </w:tc>
        <w:tc>
          <w:tcPr>
            <w:tcW w:w="1740" w:type="dxa"/>
            <w:tcBorders>
              <w:top w:val="nil"/>
              <w:left w:val="nil"/>
              <w:bottom w:val="single" w:sz="4" w:space="0" w:color="auto"/>
              <w:right w:val="single" w:sz="4" w:space="0" w:color="auto"/>
            </w:tcBorders>
            <w:shd w:val="clear" w:color="000000" w:fill="FFFFFF"/>
            <w:noWrap/>
            <w:vAlign w:val="center"/>
            <w:hideMark/>
          </w:tcPr>
          <w:p w14:paraId="4920B2D6"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68%</w:t>
            </w:r>
          </w:p>
        </w:tc>
        <w:tc>
          <w:tcPr>
            <w:tcW w:w="1200" w:type="dxa"/>
            <w:tcBorders>
              <w:top w:val="nil"/>
              <w:left w:val="nil"/>
              <w:bottom w:val="single" w:sz="4" w:space="0" w:color="auto"/>
              <w:right w:val="single" w:sz="4" w:space="0" w:color="auto"/>
            </w:tcBorders>
            <w:shd w:val="clear" w:color="000000" w:fill="FFFFFF"/>
            <w:noWrap/>
            <w:vAlign w:val="center"/>
            <w:hideMark/>
          </w:tcPr>
          <w:p w14:paraId="067994E9"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85%</w:t>
            </w:r>
          </w:p>
        </w:tc>
        <w:tc>
          <w:tcPr>
            <w:tcW w:w="1360" w:type="dxa"/>
            <w:tcBorders>
              <w:top w:val="nil"/>
              <w:left w:val="nil"/>
              <w:bottom w:val="single" w:sz="4" w:space="0" w:color="auto"/>
              <w:right w:val="single" w:sz="4" w:space="0" w:color="auto"/>
            </w:tcBorders>
            <w:shd w:val="clear" w:color="000000" w:fill="FFFFFF"/>
            <w:noWrap/>
            <w:vAlign w:val="center"/>
            <w:hideMark/>
          </w:tcPr>
          <w:p w14:paraId="015267F8"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40%</w:t>
            </w:r>
          </w:p>
        </w:tc>
        <w:tc>
          <w:tcPr>
            <w:tcW w:w="1200" w:type="dxa"/>
            <w:tcBorders>
              <w:top w:val="nil"/>
              <w:left w:val="nil"/>
              <w:bottom w:val="single" w:sz="4" w:space="0" w:color="auto"/>
              <w:right w:val="single" w:sz="4" w:space="0" w:color="auto"/>
            </w:tcBorders>
            <w:shd w:val="clear" w:color="000000" w:fill="FFFFFF"/>
            <w:noWrap/>
            <w:vAlign w:val="center"/>
            <w:hideMark/>
          </w:tcPr>
          <w:p w14:paraId="516B46D8"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120%</w:t>
            </w:r>
          </w:p>
        </w:tc>
        <w:tc>
          <w:tcPr>
            <w:tcW w:w="1340" w:type="dxa"/>
            <w:tcBorders>
              <w:top w:val="nil"/>
              <w:left w:val="nil"/>
              <w:bottom w:val="single" w:sz="4" w:space="0" w:color="auto"/>
              <w:right w:val="single" w:sz="4" w:space="0" w:color="auto"/>
            </w:tcBorders>
            <w:shd w:val="clear" w:color="000000" w:fill="FFFFFF"/>
            <w:noWrap/>
            <w:vAlign w:val="center"/>
            <w:hideMark/>
          </w:tcPr>
          <w:p w14:paraId="1B89BDB0"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279%</w:t>
            </w:r>
          </w:p>
        </w:tc>
        <w:tc>
          <w:tcPr>
            <w:tcW w:w="1340" w:type="dxa"/>
            <w:tcBorders>
              <w:top w:val="nil"/>
              <w:left w:val="nil"/>
              <w:bottom w:val="single" w:sz="4" w:space="0" w:color="auto"/>
              <w:right w:val="single" w:sz="4" w:space="0" w:color="auto"/>
            </w:tcBorders>
            <w:shd w:val="clear" w:color="000000" w:fill="FFFFFF"/>
            <w:noWrap/>
            <w:vAlign w:val="center"/>
            <w:hideMark/>
          </w:tcPr>
          <w:p w14:paraId="0E3ED97D"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107%</w:t>
            </w:r>
          </w:p>
        </w:tc>
        <w:tc>
          <w:tcPr>
            <w:tcW w:w="1200" w:type="dxa"/>
            <w:tcBorders>
              <w:top w:val="nil"/>
              <w:left w:val="nil"/>
              <w:bottom w:val="single" w:sz="4" w:space="0" w:color="auto"/>
              <w:right w:val="single" w:sz="4" w:space="0" w:color="auto"/>
            </w:tcBorders>
            <w:shd w:val="clear" w:color="000000" w:fill="FFFFFF"/>
            <w:noWrap/>
            <w:vAlign w:val="center"/>
            <w:hideMark/>
          </w:tcPr>
          <w:p w14:paraId="1C2A4E01"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113%</w:t>
            </w:r>
          </w:p>
        </w:tc>
      </w:tr>
      <w:tr w:rsidR="00F75E3A" w:rsidRPr="000744C3" w14:paraId="48458BC5"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63A14858"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25</w:t>
            </w:r>
          </w:p>
        </w:tc>
        <w:tc>
          <w:tcPr>
            <w:tcW w:w="1740" w:type="dxa"/>
            <w:tcBorders>
              <w:top w:val="nil"/>
              <w:left w:val="nil"/>
              <w:bottom w:val="single" w:sz="4" w:space="0" w:color="auto"/>
              <w:right w:val="single" w:sz="4" w:space="0" w:color="auto"/>
            </w:tcBorders>
            <w:shd w:val="clear" w:color="000000" w:fill="FFFFFF"/>
            <w:noWrap/>
            <w:vAlign w:val="center"/>
            <w:hideMark/>
          </w:tcPr>
          <w:p w14:paraId="3D613268"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88%</w:t>
            </w:r>
          </w:p>
        </w:tc>
        <w:tc>
          <w:tcPr>
            <w:tcW w:w="1200" w:type="dxa"/>
            <w:tcBorders>
              <w:top w:val="nil"/>
              <w:left w:val="nil"/>
              <w:bottom w:val="single" w:sz="4" w:space="0" w:color="auto"/>
              <w:right w:val="single" w:sz="4" w:space="0" w:color="auto"/>
            </w:tcBorders>
            <w:shd w:val="clear" w:color="000000" w:fill="FFFFFF"/>
            <w:noWrap/>
            <w:vAlign w:val="center"/>
            <w:hideMark/>
          </w:tcPr>
          <w:p w14:paraId="54D7A2D6"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116%</w:t>
            </w:r>
          </w:p>
        </w:tc>
        <w:tc>
          <w:tcPr>
            <w:tcW w:w="1360" w:type="dxa"/>
            <w:tcBorders>
              <w:top w:val="nil"/>
              <w:left w:val="nil"/>
              <w:bottom w:val="single" w:sz="4" w:space="0" w:color="auto"/>
              <w:right w:val="single" w:sz="4" w:space="0" w:color="auto"/>
            </w:tcBorders>
            <w:shd w:val="clear" w:color="000000" w:fill="FFFFFF"/>
            <w:noWrap/>
            <w:vAlign w:val="center"/>
            <w:hideMark/>
          </w:tcPr>
          <w:p w14:paraId="6F8ECA86"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45%</w:t>
            </w:r>
          </w:p>
        </w:tc>
        <w:tc>
          <w:tcPr>
            <w:tcW w:w="1200" w:type="dxa"/>
            <w:tcBorders>
              <w:top w:val="nil"/>
              <w:left w:val="nil"/>
              <w:bottom w:val="single" w:sz="4" w:space="0" w:color="auto"/>
              <w:right w:val="single" w:sz="4" w:space="0" w:color="auto"/>
            </w:tcBorders>
            <w:shd w:val="clear" w:color="000000" w:fill="FFFFFF"/>
            <w:noWrap/>
            <w:vAlign w:val="center"/>
            <w:hideMark/>
          </w:tcPr>
          <w:p w14:paraId="53FC6E44"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106%</w:t>
            </w:r>
          </w:p>
        </w:tc>
        <w:tc>
          <w:tcPr>
            <w:tcW w:w="1340" w:type="dxa"/>
            <w:tcBorders>
              <w:top w:val="nil"/>
              <w:left w:val="nil"/>
              <w:bottom w:val="single" w:sz="4" w:space="0" w:color="auto"/>
              <w:right w:val="single" w:sz="4" w:space="0" w:color="auto"/>
            </w:tcBorders>
            <w:shd w:val="clear" w:color="000000" w:fill="FFFFFF"/>
            <w:noWrap/>
            <w:vAlign w:val="center"/>
            <w:hideMark/>
          </w:tcPr>
          <w:p w14:paraId="161EFCA6"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204%</w:t>
            </w:r>
          </w:p>
        </w:tc>
        <w:tc>
          <w:tcPr>
            <w:tcW w:w="1340" w:type="dxa"/>
            <w:tcBorders>
              <w:top w:val="nil"/>
              <w:left w:val="nil"/>
              <w:bottom w:val="single" w:sz="4" w:space="0" w:color="auto"/>
              <w:right w:val="single" w:sz="4" w:space="0" w:color="auto"/>
            </w:tcBorders>
            <w:shd w:val="clear" w:color="000000" w:fill="FFFFFF"/>
            <w:noWrap/>
            <w:vAlign w:val="center"/>
            <w:hideMark/>
          </w:tcPr>
          <w:p w14:paraId="3DCF2CE5"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82%</w:t>
            </w:r>
          </w:p>
        </w:tc>
        <w:tc>
          <w:tcPr>
            <w:tcW w:w="1200" w:type="dxa"/>
            <w:tcBorders>
              <w:top w:val="nil"/>
              <w:left w:val="nil"/>
              <w:bottom w:val="single" w:sz="4" w:space="0" w:color="auto"/>
              <w:right w:val="single" w:sz="4" w:space="0" w:color="auto"/>
            </w:tcBorders>
            <w:shd w:val="clear" w:color="000000" w:fill="FFFFFF"/>
            <w:noWrap/>
            <w:vAlign w:val="center"/>
            <w:hideMark/>
          </w:tcPr>
          <w:p w14:paraId="4FFA16B2"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129%</w:t>
            </w:r>
          </w:p>
        </w:tc>
      </w:tr>
      <w:tr w:rsidR="00F75E3A" w:rsidRPr="000744C3" w14:paraId="2052F9A7"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2F0FEDFE"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26</w:t>
            </w:r>
          </w:p>
        </w:tc>
        <w:tc>
          <w:tcPr>
            <w:tcW w:w="1740" w:type="dxa"/>
            <w:tcBorders>
              <w:top w:val="nil"/>
              <w:left w:val="nil"/>
              <w:bottom w:val="single" w:sz="4" w:space="0" w:color="auto"/>
              <w:right w:val="single" w:sz="4" w:space="0" w:color="auto"/>
            </w:tcBorders>
            <w:shd w:val="clear" w:color="000000" w:fill="FFFFFF"/>
            <w:noWrap/>
            <w:vAlign w:val="center"/>
            <w:hideMark/>
          </w:tcPr>
          <w:p w14:paraId="1129F28E"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73%</w:t>
            </w:r>
          </w:p>
        </w:tc>
        <w:tc>
          <w:tcPr>
            <w:tcW w:w="1200" w:type="dxa"/>
            <w:tcBorders>
              <w:top w:val="nil"/>
              <w:left w:val="nil"/>
              <w:bottom w:val="single" w:sz="4" w:space="0" w:color="auto"/>
              <w:right w:val="single" w:sz="4" w:space="0" w:color="auto"/>
            </w:tcBorders>
            <w:shd w:val="clear" w:color="000000" w:fill="FFFFFF"/>
            <w:noWrap/>
            <w:vAlign w:val="center"/>
            <w:hideMark/>
          </w:tcPr>
          <w:p w14:paraId="114AFDCB"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104%</w:t>
            </w:r>
          </w:p>
        </w:tc>
        <w:tc>
          <w:tcPr>
            <w:tcW w:w="1360" w:type="dxa"/>
            <w:tcBorders>
              <w:top w:val="nil"/>
              <w:left w:val="nil"/>
              <w:bottom w:val="single" w:sz="4" w:space="0" w:color="auto"/>
              <w:right w:val="single" w:sz="4" w:space="0" w:color="auto"/>
            </w:tcBorders>
            <w:shd w:val="clear" w:color="000000" w:fill="FFFFFF"/>
            <w:noWrap/>
            <w:vAlign w:val="center"/>
            <w:hideMark/>
          </w:tcPr>
          <w:p w14:paraId="04F6FDD0"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44%</w:t>
            </w:r>
          </w:p>
        </w:tc>
        <w:tc>
          <w:tcPr>
            <w:tcW w:w="1200" w:type="dxa"/>
            <w:tcBorders>
              <w:top w:val="nil"/>
              <w:left w:val="nil"/>
              <w:bottom w:val="single" w:sz="4" w:space="0" w:color="auto"/>
              <w:right w:val="single" w:sz="4" w:space="0" w:color="auto"/>
            </w:tcBorders>
            <w:shd w:val="clear" w:color="000000" w:fill="FFFFFF"/>
            <w:noWrap/>
            <w:vAlign w:val="center"/>
            <w:hideMark/>
          </w:tcPr>
          <w:p w14:paraId="1273B65C"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92%</w:t>
            </w:r>
          </w:p>
        </w:tc>
        <w:tc>
          <w:tcPr>
            <w:tcW w:w="1340" w:type="dxa"/>
            <w:tcBorders>
              <w:top w:val="nil"/>
              <w:left w:val="nil"/>
              <w:bottom w:val="single" w:sz="4" w:space="0" w:color="auto"/>
              <w:right w:val="single" w:sz="4" w:space="0" w:color="auto"/>
            </w:tcBorders>
            <w:shd w:val="clear" w:color="000000" w:fill="FFFFFF"/>
            <w:noWrap/>
            <w:vAlign w:val="center"/>
            <w:hideMark/>
          </w:tcPr>
          <w:p w14:paraId="7C2797D2"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221%</w:t>
            </w:r>
          </w:p>
        </w:tc>
        <w:tc>
          <w:tcPr>
            <w:tcW w:w="1340" w:type="dxa"/>
            <w:tcBorders>
              <w:top w:val="nil"/>
              <w:left w:val="nil"/>
              <w:bottom w:val="single" w:sz="4" w:space="0" w:color="auto"/>
              <w:right w:val="single" w:sz="4" w:space="0" w:color="auto"/>
            </w:tcBorders>
            <w:shd w:val="clear" w:color="000000" w:fill="FFFFFF"/>
            <w:noWrap/>
            <w:vAlign w:val="center"/>
            <w:hideMark/>
          </w:tcPr>
          <w:p w14:paraId="15F86088"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94%</w:t>
            </w:r>
          </w:p>
        </w:tc>
        <w:tc>
          <w:tcPr>
            <w:tcW w:w="1200" w:type="dxa"/>
            <w:tcBorders>
              <w:top w:val="nil"/>
              <w:left w:val="nil"/>
              <w:bottom w:val="single" w:sz="4" w:space="0" w:color="auto"/>
              <w:right w:val="single" w:sz="4" w:space="0" w:color="auto"/>
            </w:tcBorders>
            <w:shd w:val="clear" w:color="000000" w:fill="FFFFFF"/>
            <w:noWrap/>
            <w:vAlign w:val="center"/>
            <w:hideMark/>
          </w:tcPr>
          <w:p w14:paraId="749C0404"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84%</w:t>
            </w:r>
          </w:p>
        </w:tc>
      </w:tr>
      <w:tr w:rsidR="00F75E3A" w:rsidRPr="000744C3" w14:paraId="6527BFAD"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2A403A3C"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27</w:t>
            </w:r>
          </w:p>
        </w:tc>
        <w:tc>
          <w:tcPr>
            <w:tcW w:w="1740" w:type="dxa"/>
            <w:tcBorders>
              <w:top w:val="nil"/>
              <w:left w:val="nil"/>
              <w:bottom w:val="single" w:sz="4" w:space="0" w:color="auto"/>
              <w:right w:val="single" w:sz="4" w:space="0" w:color="auto"/>
            </w:tcBorders>
            <w:shd w:val="clear" w:color="000000" w:fill="FFFFFF"/>
            <w:noWrap/>
            <w:vAlign w:val="center"/>
            <w:hideMark/>
          </w:tcPr>
          <w:p w14:paraId="7D06DCF8"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99%</w:t>
            </w:r>
          </w:p>
        </w:tc>
        <w:tc>
          <w:tcPr>
            <w:tcW w:w="1200" w:type="dxa"/>
            <w:tcBorders>
              <w:top w:val="nil"/>
              <w:left w:val="nil"/>
              <w:bottom w:val="single" w:sz="4" w:space="0" w:color="auto"/>
              <w:right w:val="single" w:sz="4" w:space="0" w:color="auto"/>
            </w:tcBorders>
            <w:shd w:val="clear" w:color="000000" w:fill="FFFFFF"/>
            <w:noWrap/>
            <w:vAlign w:val="center"/>
            <w:hideMark/>
          </w:tcPr>
          <w:p w14:paraId="0B5819BF"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76%</w:t>
            </w:r>
          </w:p>
        </w:tc>
        <w:tc>
          <w:tcPr>
            <w:tcW w:w="1360" w:type="dxa"/>
            <w:tcBorders>
              <w:top w:val="nil"/>
              <w:left w:val="nil"/>
              <w:bottom w:val="single" w:sz="4" w:space="0" w:color="auto"/>
              <w:right w:val="single" w:sz="4" w:space="0" w:color="auto"/>
            </w:tcBorders>
            <w:shd w:val="clear" w:color="000000" w:fill="FFFFFF"/>
            <w:noWrap/>
            <w:vAlign w:val="center"/>
            <w:hideMark/>
          </w:tcPr>
          <w:p w14:paraId="4DE06D68"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40%</w:t>
            </w:r>
          </w:p>
        </w:tc>
        <w:tc>
          <w:tcPr>
            <w:tcW w:w="1200" w:type="dxa"/>
            <w:tcBorders>
              <w:top w:val="nil"/>
              <w:left w:val="nil"/>
              <w:bottom w:val="single" w:sz="4" w:space="0" w:color="auto"/>
              <w:right w:val="single" w:sz="4" w:space="0" w:color="auto"/>
            </w:tcBorders>
            <w:shd w:val="clear" w:color="000000" w:fill="FFFFFF"/>
            <w:noWrap/>
            <w:vAlign w:val="center"/>
            <w:hideMark/>
          </w:tcPr>
          <w:p w14:paraId="35D21163"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109%</w:t>
            </w:r>
          </w:p>
        </w:tc>
        <w:tc>
          <w:tcPr>
            <w:tcW w:w="1340" w:type="dxa"/>
            <w:tcBorders>
              <w:top w:val="nil"/>
              <w:left w:val="nil"/>
              <w:bottom w:val="single" w:sz="4" w:space="0" w:color="auto"/>
              <w:right w:val="single" w:sz="4" w:space="0" w:color="auto"/>
            </w:tcBorders>
            <w:shd w:val="clear" w:color="000000" w:fill="FFFFFF"/>
            <w:noWrap/>
            <w:vAlign w:val="center"/>
            <w:hideMark/>
          </w:tcPr>
          <w:p w14:paraId="56F1DE4D"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233%</w:t>
            </w:r>
          </w:p>
        </w:tc>
        <w:tc>
          <w:tcPr>
            <w:tcW w:w="1340" w:type="dxa"/>
            <w:tcBorders>
              <w:top w:val="nil"/>
              <w:left w:val="nil"/>
              <w:bottom w:val="single" w:sz="4" w:space="0" w:color="auto"/>
              <w:right w:val="single" w:sz="4" w:space="0" w:color="auto"/>
            </w:tcBorders>
            <w:shd w:val="clear" w:color="000000" w:fill="FFFFFF"/>
            <w:noWrap/>
            <w:vAlign w:val="center"/>
            <w:hideMark/>
          </w:tcPr>
          <w:p w14:paraId="17EA19ED"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84%</w:t>
            </w:r>
          </w:p>
        </w:tc>
        <w:tc>
          <w:tcPr>
            <w:tcW w:w="1200" w:type="dxa"/>
            <w:tcBorders>
              <w:top w:val="nil"/>
              <w:left w:val="nil"/>
              <w:bottom w:val="single" w:sz="4" w:space="0" w:color="auto"/>
              <w:right w:val="single" w:sz="4" w:space="0" w:color="auto"/>
            </w:tcBorders>
            <w:shd w:val="clear" w:color="000000" w:fill="FFFFFF"/>
            <w:noWrap/>
            <w:vAlign w:val="center"/>
            <w:hideMark/>
          </w:tcPr>
          <w:p w14:paraId="0AF1466F"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79%</w:t>
            </w:r>
          </w:p>
        </w:tc>
      </w:tr>
      <w:tr w:rsidR="00F75E3A" w:rsidRPr="000744C3" w14:paraId="6323997F"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40F14842"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28</w:t>
            </w:r>
          </w:p>
        </w:tc>
        <w:tc>
          <w:tcPr>
            <w:tcW w:w="1740" w:type="dxa"/>
            <w:tcBorders>
              <w:top w:val="nil"/>
              <w:left w:val="nil"/>
              <w:bottom w:val="single" w:sz="4" w:space="0" w:color="auto"/>
              <w:right w:val="single" w:sz="4" w:space="0" w:color="auto"/>
            </w:tcBorders>
            <w:shd w:val="clear" w:color="000000" w:fill="FFFFFF"/>
            <w:noWrap/>
            <w:vAlign w:val="center"/>
            <w:hideMark/>
          </w:tcPr>
          <w:p w14:paraId="036DE1D9"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102%</w:t>
            </w:r>
          </w:p>
        </w:tc>
        <w:tc>
          <w:tcPr>
            <w:tcW w:w="1200" w:type="dxa"/>
            <w:tcBorders>
              <w:top w:val="nil"/>
              <w:left w:val="nil"/>
              <w:bottom w:val="single" w:sz="4" w:space="0" w:color="auto"/>
              <w:right w:val="single" w:sz="4" w:space="0" w:color="auto"/>
            </w:tcBorders>
            <w:shd w:val="clear" w:color="000000" w:fill="FFFFFF"/>
            <w:noWrap/>
            <w:vAlign w:val="center"/>
            <w:hideMark/>
          </w:tcPr>
          <w:p w14:paraId="297DFB74"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70%</w:t>
            </w:r>
          </w:p>
        </w:tc>
        <w:tc>
          <w:tcPr>
            <w:tcW w:w="1360" w:type="dxa"/>
            <w:tcBorders>
              <w:top w:val="nil"/>
              <w:left w:val="nil"/>
              <w:bottom w:val="single" w:sz="4" w:space="0" w:color="auto"/>
              <w:right w:val="single" w:sz="4" w:space="0" w:color="auto"/>
            </w:tcBorders>
            <w:shd w:val="clear" w:color="000000" w:fill="FFFFFF"/>
            <w:noWrap/>
            <w:vAlign w:val="center"/>
            <w:hideMark/>
          </w:tcPr>
          <w:p w14:paraId="61245EC4"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51%</w:t>
            </w:r>
          </w:p>
        </w:tc>
        <w:tc>
          <w:tcPr>
            <w:tcW w:w="1200" w:type="dxa"/>
            <w:tcBorders>
              <w:top w:val="nil"/>
              <w:left w:val="nil"/>
              <w:bottom w:val="single" w:sz="4" w:space="0" w:color="auto"/>
              <w:right w:val="single" w:sz="4" w:space="0" w:color="auto"/>
            </w:tcBorders>
            <w:shd w:val="clear" w:color="000000" w:fill="FFFFFF"/>
            <w:noWrap/>
            <w:vAlign w:val="center"/>
            <w:hideMark/>
          </w:tcPr>
          <w:p w14:paraId="4B5465EF"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97%</w:t>
            </w:r>
          </w:p>
        </w:tc>
        <w:tc>
          <w:tcPr>
            <w:tcW w:w="1340" w:type="dxa"/>
            <w:tcBorders>
              <w:top w:val="nil"/>
              <w:left w:val="nil"/>
              <w:bottom w:val="single" w:sz="4" w:space="0" w:color="auto"/>
              <w:right w:val="single" w:sz="4" w:space="0" w:color="auto"/>
            </w:tcBorders>
            <w:shd w:val="clear" w:color="000000" w:fill="FFFFFF"/>
            <w:noWrap/>
            <w:vAlign w:val="center"/>
            <w:hideMark/>
          </w:tcPr>
          <w:p w14:paraId="7FD76EC4"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243%</w:t>
            </w:r>
          </w:p>
        </w:tc>
        <w:tc>
          <w:tcPr>
            <w:tcW w:w="1340" w:type="dxa"/>
            <w:tcBorders>
              <w:top w:val="nil"/>
              <w:left w:val="nil"/>
              <w:bottom w:val="single" w:sz="4" w:space="0" w:color="auto"/>
              <w:right w:val="single" w:sz="4" w:space="0" w:color="auto"/>
            </w:tcBorders>
            <w:shd w:val="clear" w:color="000000" w:fill="FFFFFF"/>
            <w:noWrap/>
            <w:vAlign w:val="center"/>
            <w:hideMark/>
          </w:tcPr>
          <w:p w14:paraId="06C15975"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95%</w:t>
            </w:r>
          </w:p>
        </w:tc>
        <w:tc>
          <w:tcPr>
            <w:tcW w:w="1200" w:type="dxa"/>
            <w:tcBorders>
              <w:top w:val="nil"/>
              <w:left w:val="nil"/>
              <w:bottom w:val="single" w:sz="4" w:space="0" w:color="auto"/>
              <w:right w:val="single" w:sz="4" w:space="0" w:color="auto"/>
            </w:tcBorders>
            <w:shd w:val="clear" w:color="000000" w:fill="FFFFFF"/>
            <w:noWrap/>
            <w:vAlign w:val="center"/>
            <w:hideMark/>
          </w:tcPr>
          <w:p w14:paraId="4291818B"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84%</w:t>
            </w:r>
          </w:p>
        </w:tc>
      </w:tr>
      <w:tr w:rsidR="00F75E3A" w:rsidRPr="000744C3" w14:paraId="1618662C"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67C47B78"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29</w:t>
            </w:r>
          </w:p>
        </w:tc>
        <w:tc>
          <w:tcPr>
            <w:tcW w:w="1740" w:type="dxa"/>
            <w:tcBorders>
              <w:top w:val="nil"/>
              <w:left w:val="nil"/>
              <w:bottom w:val="single" w:sz="4" w:space="0" w:color="auto"/>
              <w:right w:val="single" w:sz="4" w:space="0" w:color="auto"/>
            </w:tcBorders>
            <w:shd w:val="clear" w:color="000000" w:fill="FFFFFF"/>
            <w:noWrap/>
            <w:vAlign w:val="center"/>
            <w:hideMark/>
          </w:tcPr>
          <w:p w14:paraId="77C19EBB"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109%</w:t>
            </w:r>
          </w:p>
        </w:tc>
        <w:tc>
          <w:tcPr>
            <w:tcW w:w="1200" w:type="dxa"/>
            <w:tcBorders>
              <w:top w:val="nil"/>
              <w:left w:val="nil"/>
              <w:bottom w:val="single" w:sz="4" w:space="0" w:color="auto"/>
              <w:right w:val="single" w:sz="4" w:space="0" w:color="auto"/>
            </w:tcBorders>
            <w:shd w:val="clear" w:color="000000" w:fill="FFFFFF"/>
            <w:noWrap/>
            <w:vAlign w:val="center"/>
            <w:hideMark/>
          </w:tcPr>
          <w:p w14:paraId="59F35A9A"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97%</w:t>
            </w:r>
          </w:p>
        </w:tc>
        <w:tc>
          <w:tcPr>
            <w:tcW w:w="1360" w:type="dxa"/>
            <w:tcBorders>
              <w:top w:val="nil"/>
              <w:left w:val="nil"/>
              <w:bottom w:val="single" w:sz="4" w:space="0" w:color="auto"/>
              <w:right w:val="single" w:sz="4" w:space="0" w:color="auto"/>
            </w:tcBorders>
            <w:shd w:val="clear" w:color="000000" w:fill="FFFFFF"/>
            <w:noWrap/>
            <w:vAlign w:val="center"/>
            <w:hideMark/>
          </w:tcPr>
          <w:p w14:paraId="67E7AAB9"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41%</w:t>
            </w:r>
          </w:p>
        </w:tc>
        <w:tc>
          <w:tcPr>
            <w:tcW w:w="1200" w:type="dxa"/>
            <w:tcBorders>
              <w:top w:val="nil"/>
              <w:left w:val="nil"/>
              <w:bottom w:val="single" w:sz="4" w:space="0" w:color="auto"/>
              <w:right w:val="single" w:sz="4" w:space="0" w:color="auto"/>
            </w:tcBorders>
            <w:shd w:val="clear" w:color="000000" w:fill="FFFFFF"/>
            <w:noWrap/>
            <w:vAlign w:val="center"/>
            <w:hideMark/>
          </w:tcPr>
          <w:p w14:paraId="3D8D60CF"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121%</w:t>
            </w:r>
          </w:p>
        </w:tc>
        <w:tc>
          <w:tcPr>
            <w:tcW w:w="1340" w:type="dxa"/>
            <w:tcBorders>
              <w:top w:val="nil"/>
              <w:left w:val="nil"/>
              <w:bottom w:val="single" w:sz="4" w:space="0" w:color="auto"/>
              <w:right w:val="single" w:sz="4" w:space="0" w:color="auto"/>
            </w:tcBorders>
            <w:shd w:val="clear" w:color="000000" w:fill="FFFFFF"/>
            <w:noWrap/>
            <w:vAlign w:val="center"/>
            <w:hideMark/>
          </w:tcPr>
          <w:p w14:paraId="73C7CAB9"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236%</w:t>
            </w:r>
          </w:p>
        </w:tc>
        <w:tc>
          <w:tcPr>
            <w:tcW w:w="1340" w:type="dxa"/>
            <w:tcBorders>
              <w:top w:val="nil"/>
              <w:left w:val="nil"/>
              <w:bottom w:val="single" w:sz="4" w:space="0" w:color="auto"/>
              <w:right w:val="single" w:sz="4" w:space="0" w:color="auto"/>
            </w:tcBorders>
            <w:shd w:val="clear" w:color="000000" w:fill="FFFFFF"/>
            <w:noWrap/>
            <w:vAlign w:val="center"/>
            <w:hideMark/>
          </w:tcPr>
          <w:p w14:paraId="52B92021"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92%</w:t>
            </w:r>
          </w:p>
        </w:tc>
        <w:tc>
          <w:tcPr>
            <w:tcW w:w="1200" w:type="dxa"/>
            <w:tcBorders>
              <w:top w:val="nil"/>
              <w:left w:val="nil"/>
              <w:bottom w:val="single" w:sz="4" w:space="0" w:color="auto"/>
              <w:right w:val="single" w:sz="4" w:space="0" w:color="auto"/>
            </w:tcBorders>
            <w:shd w:val="clear" w:color="000000" w:fill="FFFFFF"/>
            <w:noWrap/>
            <w:vAlign w:val="center"/>
            <w:hideMark/>
          </w:tcPr>
          <w:p w14:paraId="231274D2"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111%</w:t>
            </w:r>
          </w:p>
        </w:tc>
      </w:tr>
      <w:tr w:rsidR="00F75E3A" w:rsidRPr="000744C3" w14:paraId="2D805966"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41145D35"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30</w:t>
            </w:r>
          </w:p>
        </w:tc>
        <w:tc>
          <w:tcPr>
            <w:tcW w:w="1740" w:type="dxa"/>
            <w:tcBorders>
              <w:top w:val="nil"/>
              <w:left w:val="nil"/>
              <w:bottom w:val="single" w:sz="4" w:space="0" w:color="auto"/>
              <w:right w:val="single" w:sz="4" w:space="0" w:color="auto"/>
            </w:tcBorders>
            <w:shd w:val="clear" w:color="000000" w:fill="FFFFFF"/>
            <w:noWrap/>
            <w:vAlign w:val="center"/>
            <w:hideMark/>
          </w:tcPr>
          <w:p w14:paraId="45488F13"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108%</w:t>
            </w:r>
          </w:p>
        </w:tc>
        <w:tc>
          <w:tcPr>
            <w:tcW w:w="1200" w:type="dxa"/>
            <w:tcBorders>
              <w:top w:val="nil"/>
              <w:left w:val="nil"/>
              <w:bottom w:val="single" w:sz="4" w:space="0" w:color="auto"/>
              <w:right w:val="single" w:sz="4" w:space="0" w:color="auto"/>
            </w:tcBorders>
            <w:shd w:val="clear" w:color="000000" w:fill="FFFFFF"/>
            <w:noWrap/>
            <w:vAlign w:val="center"/>
            <w:hideMark/>
          </w:tcPr>
          <w:p w14:paraId="0BA5970F"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95%</w:t>
            </w:r>
          </w:p>
        </w:tc>
        <w:tc>
          <w:tcPr>
            <w:tcW w:w="1360" w:type="dxa"/>
            <w:tcBorders>
              <w:top w:val="nil"/>
              <w:left w:val="nil"/>
              <w:bottom w:val="single" w:sz="4" w:space="0" w:color="auto"/>
              <w:right w:val="single" w:sz="4" w:space="0" w:color="auto"/>
            </w:tcBorders>
            <w:shd w:val="clear" w:color="000000" w:fill="FFFFFF"/>
            <w:noWrap/>
            <w:vAlign w:val="center"/>
            <w:hideMark/>
          </w:tcPr>
          <w:p w14:paraId="6AA0D50A"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50%</w:t>
            </w:r>
          </w:p>
        </w:tc>
        <w:tc>
          <w:tcPr>
            <w:tcW w:w="1200" w:type="dxa"/>
            <w:tcBorders>
              <w:top w:val="nil"/>
              <w:left w:val="nil"/>
              <w:bottom w:val="single" w:sz="4" w:space="0" w:color="auto"/>
              <w:right w:val="single" w:sz="4" w:space="0" w:color="auto"/>
            </w:tcBorders>
            <w:shd w:val="clear" w:color="000000" w:fill="FFFFFF"/>
            <w:noWrap/>
            <w:vAlign w:val="center"/>
            <w:hideMark/>
          </w:tcPr>
          <w:p w14:paraId="3719E27C"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130%</w:t>
            </w:r>
          </w:p>
        </w:tc>
        <w:tc>
          <w:tcPr>
            <w:tcW w:w="1340" w:type="dxa"/>
            <w:tcBorders>
              <w:top w:val="nil"/>
              <w:left w:val="nil"/>
              <w:bottom w:val="single" w:sz="4" w:space="0" w:color="auto"/>
              <w:right w:val="single" w:sz="4" w:space="0" w:color="auto"/>
            </w:tcBorders>
            <w:shd w:val="clear" w:color="000000" w:fill="FFFFFF"/>
            <w:noWrap/>
            <w:vAlign w:val="center"/>
            <w:hideMark/>
          </w:tcPr>
          <w:p w14:paraId="77128091"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201%</w:t>
            </w:r>
          </w:p>
        </w:tc>
        <w:tc>
          <w:tcPr>
            <w:tcW w:w="1340" w:type="dxa"/>
            <w:tcBorders>
              <w:top w:val="nil"/>
              <w:left w:val="nil"/>
              <w:bottom w:val="single" w:sz="4" w:space="0" w:color="auto"/>
              <w:right w:val="single" w:sz="4" w:space="0" w:color="auto"/>
            </w:tcBorders>
            <w:shd w:val="clear" w:color="000000" w:fill="FFFFFF"/>
            <w:noWrap/>
            <w:vAlign w:val="center"/>
            <w:hideMark/>
          </w:tcPr>
          <w:p w14:paraId="1BDB2C7F"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121%</w:t>
            </w:r>
          </w:p>
        </w:tc>
        <w:tc>
          <w:tcPr>
            <w:tcW w:w="1200" w:type="dxa"/>
            <w:tcBorders>
              <w:top w:val="nil"/>
              <w:left w:val="nil"/>
              <w:bottom w:val="single" w:sz="4" w:space="0" w:color="auto"/>
              <w:right w:val="single" w:sz="4" w:space="0" w:color="auto"/>
            </w:tcBorders>
            <w:shd w:val="clear" w:color="000000" w:fill="FFFFFF"/>
            <w:noWrap/>
            <w:vAlign w:val="center"/>
            <w:hideMark/>
          </w:tcPr>
          <w:p w14:paraId="4246B451"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103%</w:t>
            </w:r>
          </w:p>
        </w:tc>
      </w:tr>
      <w:tr w:rsidR="00F75E3A" w:rsidRPr="000744C3" w14:paraId="3E6B4C23"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2FF26CF5"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31</w:t>
            </w:r>
          </w:p>
        </w:tc>
        <w:tc>
          <w:tcPr>
            <w:tcW w:w="1740" w:type="dxa"/>
            <w:tcBorders>
              <w:top w:val="nil"/>
              <w:left w:val="nil"/>
              <w:bottom w:val="single" w:sz="4" w:space="0" w:color="auto"/>
              <w:right w:val="single" w:sz="4" w:space="0" w:color="auto"/>
            </w:tcBorders>
            <w:shd w:val="clear" w:color="000000" w:fill="FFFFFF"/>
            <w:noWrap/>
            <w:vAlign w:val="center"/>
            <w:hideMark/>
          </w:tcPr>
          <w:p w14:paraId="024AB0C0"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63%</w:t>
            </w:r>
          </w:p>
        </w:tc>
        <w:tc>
          <w:tcPr>
            <w:tcW w:w="1200" w:type="dxa"/>
            <w:tcBorders>
              <w:top w:val="nil"/>
              <w:left w:val="nil"/>
              <w:bottom w:val="single" w:sz="4" w:space="0" w:color="auto"/>
              <w:right w:val="single" w:sz="4" w:space="0" w:color="auto"/>
            </w:tcBorders>
            <w:shd w:val="clear" w:color="000000" w:fill="FFFFFF"/>
            <w:noWrap/>
            <w:vAlign w:val="center"/>
            <w:hideMark/>
          </w:tcPr>
          <w:p w14:paraId="066B5CA4"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93%</w:t>
            </w:r>
          </w:p>
        </w:tc>
        <w:tc>
          <w:tcPr>
            <w:tcW w:w="1360" w:type="dxa"/>
            <w:tcBorders>
              <w:top w:val="nil"/>
              <w:left w:val="nil"/>
              <w:bottom w:val="single" w:sz="4" w:space="0" w:color="auto"/>
              <w:right w:val="single" w:sz="4" w:space="0" w:color="auto"/>
            </w:tcBorders>
            <w:shd w:val="clear" w:color="000000" w:fill="FFFFFF"/>
            <w:noWrap/>
            <w:vAlign w:val="center"/>
            <w:hideMark/>
          </w:tcPr>
          <w:p w14:paraId="5FCDBD78"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32%</w:t>
            </w:r>
          </w:p>
        </w:tc>
        <w:tc>
          <w:tcPr>
            <w:tcW w:w="1200" w:type="dxa"/>
            <w:tcBorders>
              <w:top w:val="nil"/>
              <w:left w:val="nil"/>
              <w:bottom w:val="single" w:sz="4" w:space="0" w:color="auto"/>
              <w:right w:val="single" w:sz="4" w:space="0" w:color="auto"/>
            </w:tcBorders>
            <w:shd w:val="clear" w:color="000000" w:fill="FFFFFF"/>
            <w:noWrap/>
            <w:vAlign w:val="center"/>
            <w:hideMark/>
          </w:tcPr>
          <w:p w14:paraId="72EA96C6"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144%</w:t>
            </w:r>
          </w:p>
        </w:tc>
        <w:tc>
          <w:tcPr>
            <w:tcW w:w="1340" w:type="dxa"/>
            <w:tcBorders>
              <w:top w:val="nil"/>
              <w:left w:val="nil"/>
              <w:bottom w:val="single" w:sz="4" w:space="0" w:color="auto"/>
              <w:right w:val="single" w:sz="4" w:space="0" w:color="auto"/>
            </w:tcBorders>
            <w:shd w:val="clear" w:color="000000" w:fill="FFFFFF"/>
            <w:noWrap/>
            <w:vAlign w:val="center"/>
            <w:hideMark/>
          </w:tcPr>
          <w:p w14:paraId="2CA713F4"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290%</w:t>
            </w:r>
          </w:p>
        </w:tc>
        <w:tc>
          <w:tcPr>
            <w:tcW w:w="1340" w:type="dxa"/>
            <w:tcBorders>
              <w:top w:val="nil"/>
              <w:left w:val="nil"/>
              <w:bottom w:val="single" w:sz="4" w:space="0" w:color="auto"/>
              <w:right w:val="single" w:sz="4" w:space="0" w:color="auto"/>
            </w:tcBorders>
            <w:shd w:val="clear" w:color="000000" w:fill="FFFFFF"/>
            <w:noWrap/>
            <w:vAlign w:val="center"/>
            <w:hideMark/>
          </w:tcPr>
          <w:p w14:paraId="20B55262"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99%</w:t>
            </w:r>
          </w:p>
        </w:tc>
        <w:tc>
          <w:tcPr>
            <w:tcW w:w="1200" w:type="dxa"/>
            <w:tcBorders>
              <w:top w:val="nil"/>
              <w:left w:val="nil"/>
              <w:bottom w:val="single" w:sz="4" w:space="0" w:color="auto"/>
              <w:right w:val="single" w:sz="4" w:space="0" w:color="auto"/>
            </w:tcBorders>
            <w:shd w:val="clear" w:color="000000" w:fill="FFFFFF"/>
            <w:noWrap/>
            <w:vAlign w:val="center"/>
            <w:hideMark/>
          </w:tcPr>
          <w:p w14:paraId="67262BCD"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85%</w:t>
            </w:r>
          </w:p>
        </w:tc>
      </w:tr>
      <w:tr w:rsidR="00F75E3A" w:rsidRPr="000744C3" w14:paraId="4BD344FA"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3554AD70"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32</w:t>
            </w:r>
          </w:p>
        </w:tc>
        <w:tc>
          <w:tcPr>
            <w:tcW w:w="1740" w:type="dxa"/>
            <w:tcBorders>
              <w:top w:val="nil"/>
              <w:left w:val="nil"/>
              <w:bottom w:val="single" w:sz="4" w:space="0" w:color="auto"/>
              <w:right w:val="single" w:sz="4" w:space="0" w:color="auto"/>
            </w:tcBorders>
            <w:shd w:val="clear" w:color="000000" w:fill="FFFFFF"/>
            <w:noWrap/>
            <w:vAlign w:val="center"/>
            <w:hideMark/>
          </w:tcPr>
          <w:p w14:paraId="0C8E698C"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65%</w:t>
            </w:r>
          </w:p>
        </w:tc>
        <w:tc>
          <w:tcPr>
            <w:tcW w:w="1200" w:type="dxa"/>
            <w:tcBorders>
              <w:top w:val="nil"/>
              <w:left w:val="nil"/>
              <w:bottom w:val="single" w:sz="4" w:space="0" w:color="auto"/>
              <w:right w:val="single" w:sz="4" w:space="0" w:color="auto"/>
            </w:tcBorders>
            <w:shd w:val="clear" w:color="000000" w:fill="FFFFFF"/>
            <w:noWrap/>
            <w:vAlign w:val="center"/>
            <w:hideMark/>
          </w:tcPr>
          <w:p w14:paraId="4E73DAC1"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86%</w:t>
            </w:r>
          </w:p>
        </w:tc>
        <w:tc>
          <w:tcPr>
            <w:tcW w:w="1360" w:type="dxa"/>
            <w:tcBorders>
              <w:top w:val="nil"/>
              <w:left w:val="nil"/>
              <w:bottom w:val="single" w:sz="4" w:space="0" w:color="auto"/>
              <w:right w:val="single" w:sz="4" w:space="0" w:color="auto"/>
            </w:tcBorders>
            <w:shd w:val="clear" w:color="000000" w:fill="FFFFFF"/>
            <w:noWrap/>
            <w:vAlign w:val="center"/>
            <w:hideMark/>
          </w:tcPr>
          <w:p w14:paraId="4D9BEF1C"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36%</w:t>
            </w:r>
          </w:p>
        </w:tc>
        <w:tc>
          <w:tcPr>
            <w:tcW w:w="1200" w:type="dxa"/>
            <w:tcBorders>
              <w:top w:val="nil"/>
              <w:left w:val="nil"/>
              <w:bottom w:val="single" w:sz="4" w:space="0" w:color="auto"/>
              <w:right w:val="single" w:sz="4" w:space="0" w:color="auto"/>
            </w:tcBorders>
            <w:shd w:val="clear" w:color="000000" w:fill="FFFFFF"/>
            <w:noWrap/>
            <w:vAlign w:val="center"/>
            <w:hideMark/>
          </w:tcPr>
          <w:p w14:paraId="7230EC92"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80%</w:t>
            </w:r>
          </w:p>
        </w:tc>
        <w:tc>
          <w:tcPr>
            <w:tcW w:w="1340" w:type="dxa"/>
            <w:tcBorders>
              <w:top w:val="nil"/>
              <w:left w:val="nil"/>
              <w:bottom w:val="single" w:sz="4" w:space="0" w:color="auto"/>
              <w:right w:val="single" w:sz="4" w:space="0" w:color="auto"/>
            </w:tcBorders>
            <w:shd w:val="clear" w:color="000000" w:fill="FFFFFF"/>
            <w:noWrap/>
            <w:vAlign w:val="center"/>
            <w:hideMark/>
          </w:tcPr>
          <w:p w14:paraId="59F0905A"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259%</w:t>
            </w:r>
          </w:p>
        </w:tc>
        <w:tc>
          <w:tcPr>
            <w:tcW w:w="1340" w:type="dxa"/>
            <w:tcBorders>
              <w:top w:val="nil"/>
              <w:left w:val="nil"/>
              <w:bottom w:val="single" w:sz="4" w:space="0" w:color="auto"/>
              <w:right w:val="single" w:sz="4" w:space="0" w:color="auto"/>
            </w:tcBorders>
            <w:shd w:val="clear" w:color="000000" w:fill="FFFFFF"/>
            <w:noWrap/>
            <w:vAlign w:val="center"/>
            <w:hideMark/>
          </w:tcPr>
          <w:p w14:paraId="7CDEBB83"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104%</w:t>
            </w:r>
          </w:p>
        </w:tc>
        <w:tc>
          <w:tcPr>
            <w:tcW w:w="1200" w:type="dxa"/>
            <w:tcBorders>
              <w:top w:val="nil"/>
              <w:left w:val="nil"/>
              <w:bottom w:val="single" w:sz="4" w:space="0" w:color="auto"/>
              <w:right w:val="single" w:sz="4" w:space="0" w:color="auto"/>
            </w:tcBorders>
            <w:shd w:val="clear" w:color="000000" w:fill="FFFFFF"/>
            <w:noWrap/>
            <w:vAlign w:val="center"/>
            <w:hideMark/>
          </w:tcPr>
          <w:p w14:paraId="07CC833C"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74%</w:t>
            </w:r>
          </w:p>
        </w:tc>
      </w:tr>
      <w:tr w:rsidR="00F75E3A" w:rsidRPr="000744C3" w14:paraId="358F4637"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0309FCCC"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33</w:t>
            </w:r>
          </w:p>
        </w:tc>
        <w:tc>
          <w:tcPr>
            <w:tcW w:w="1740" w:type="dxa"/>
            <w:tcBorders>
              <w:top w:val="nil"/>
              <w:left w:val="nil"/>
              <w:bottom w:val="single" w:sz="4" w:space="0" w:color="auto"/>
              <w:right w:val="single" w:sz="4" w:space="0" w:color="auto"/>
            </w:tcBorders>
            <w:shd w:val="clear" w:color="000000" w:fill="FFFFFF"/>
            <w:noWrap/>
            <w:vAlign w:val="center"/>
            <w:hideMark/>
          </w:tcPr>
          <w:p w14:paraId="3133C6A6"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72%</w:t>
            </w:r>
          </w:p>
        </w:tc>
        <w:tc>
          <w:tcPr>
            <w:tcW w:w="1200" w:type="dxa"/>
            <w:tcBorders>
              <w:top w:val="nil"/>
              <w:left w:val="nil"/>
              <w:bottom w:val="single" w:sz="4" w:space="0" w:color="auto"/>
              <w:right w:val="single" w:sz="4" w:space="0" w:color="auto"/>
            </w:tcBorders>
            <w:shd w:val="clear" w:color="000000" w:fill="FFFFFF"/>
            <w:noWrap/>
            <w:vAlign w:val="center"/>
            <w:hideMark/>
          </w:tcPr>
          <w:p w14:paraId="2A588C0D"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77%</w:t>
            </w:r>
          </w:p>
        </w:tc>
        <w:tc>
          <w:tcPr>
            <w:tcW w:w="1360" w:type="dxa"/>
            <w:tcBorders>
              <w:top w:val="nil"/>
              <w:left w:val="nil"/>
              <w:bottom w:val="single" w:sz="4" w:space="0" w:color="auto"/>
              <w:right w:val="single" w:sz="4" w:space="0" w:color="auto"/>
            </w:tcBorders>
            <w:shd w:val="clear" w:color="000000" w:fill="FFFFFF"/>
            <w:noWrap/>
            <w:vAlign w:val="center"/>
            <w:hideMark/>
          </w:tcPr>
          <w:p w14:paraId="22018C9E"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47%</w:t>
            </w:r>
          </w:p>
        </w:tc>
        <w:tc>
          <w:tcPr>
            <w:tcW w:w="1200" w:type="dxa"/>
            <w:tcBorders>
              <w:top w:val="nil"/>
              <w:left w:val="nil"/>
              <w:bottom w:val="single" w:sz="4" w:space="0" w:color="auto"/>
              <w:right w:val="single" w:sz="4" w:space="0" w:color="auto"/>
            </w:tcBorders>
            <w:shd w:val="clear" w:color="000000" w:fill="FFFFFF"/>
            <w:noWrap/>
            <w:vAlign w:val="center"/>
            <w:hideMark/>
          </w:tcPr>
          <w:p w14:paraId="307C3E39"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153%</w:t>
            </w:r>
          </w:p>
        </w:tc>
        <w:tc>
          <w:tcPr>
            <w:tcW w:w="1340" w:type="dxa"/>
            <w:tcBorders>
              <w:top w:val="nil"/>
              <w:left w:val="nil"/>
              <w:bottom w:val="single" w:sz="4" w:space="0" w:color="auto"/>
              <w:right w:val="single" w:sz="4" w:space="0" w:color="auto"/>
            </w:tcBorders>
            <w:shd w:val="clear" w:color="000000" w:fill="FFFFFF"/>
            <w:noWrap/>
            <w:vAlign w:val="center"/>
            <w:hideMark/>
          </w:tcPr>
          <w:p w14:paraId="296BECB8"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252%</w:t>
            </w:r>
          </w:p>
        </w:tc>
        <w:tc>
          <w:tcPr>
            <w:tcW w:w="1340" w:type="dxa"/>
            <w:tcBorders>
              <w:top w:val="nil"/>
              <w:left w:val="nil"/>
              <w:bottom w:val="single" w:sz="4" w:space="0" w:color="auto"/>
              <w:right w:val="single" w:sz="4" w:space="0" w:color="auto"/>
            </w:tcBorders>
            <w:shd w:val="clear" w:color="000000" w:fill="FFFFFF"/>
            <w:noWrap/>
            <w:vAlign w:val="center"/>
            <w:hideMark/>
          </w:tcPr>
          <w:p w14:paraId="2C652AC8"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121%</w:t>
            </w:r>
          </w:p>
        </w:tc>
        <w:tc>
          <w:tcPr>
            <w:tcW w:w="1200" w:type="dxa"/>
            <w:tcBorders>
              <w:top w:val="nil"/>
              <w:left w:val="nil"/>
              <w:bottom w:val="single" w:sz="4" w:space="0" w:color="auto"/>
              <w:right w:val="single" w:sz="4" w:space="0" w:color="auto"/>
            </w:tcBorders>
            <w:shd w:val="clear" w:color="000000" w:fill="FFFFFF"/>
            <w:noWrap/>
            <w:vAlign w:val="center"/>
            <w:hideMark/>
          </w:tcPr>
          <w:p w14:paraId="40270FA0"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109%</w:t>
            </w:r>
          </w:p>
        </w:tc>
      </w:tr>
      <w:tr w:rsidR="00F75E3A" w:rsidRPr="000744C3" w14:paraId="457DA687"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548584B2"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34</w:t>
            </w:r>
          </w:p>
        </w:tc>
        <w:tc>
          <w:tcPr>
            <w:tcW w:w="1740" w:type="dxa"/>
            <w:tcBorders>
              <w:top w:val="nil"/>
              <w:left w:val="nil"/>
              <w:bottom w:val="single" w:sz="4" w:space="0" w:color="auto"/>
              <w:right w:val="single" w:sz="4" w:space="0" w:color="auto"/>
            </w:tcBorders>
            <w:shd w:val="clear" w:color="000000" w:fill="FFFFFF"/>
            <w:noWrap/>
            <w:vAlign w:val="center"/>
            <w:hideMark/>
          </w:tcPr>
          <w:p w14:paraId="21407CE7"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59%</w:t>
            </w:r>
          </w:p>
        </w:tc>
        <w:tc>
          <w:tcPr>
            <w:tcW w:w="1200" w:type="dxa"/>
            <w:tcBorders>
              <w:top w:val="nil"/>
              <w:left w:val="nil"/>
              <w:bottom w:val="single" w:sz="4" w:space="0" w:color="auto"/>
              <w:right w:val="single" w:sz="4" w:space="0" w:color="auto"/>
            </w:tcBorders>
            <w:shd w:val="clear" w:color="000000" w:fill="FFFFFF"/>
            <w:noWrap/>
            <w:vAlign w:val="center"/>
            <w:hideMark/>
          </w:tcPr>
          <w:p w14:paraId="42047466"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88%</w:t>
            </w:r>
          </w:p>
        </w:tc>
        <w:tc>
          <w:tcPr>
            <w:tcW w:w="1360" w:type="dxa"/>
            <w:tcBorders>
              <w:top w:val="nil"/>
              <w:left w:val="nil"/>
              <w:bottom w:val="single" w:sz="4" w:space="0" w:color="auto"/>
              <w:right w:val="single" w:sz="4" w:space="0" w:color="auto"/>
            </w:tcBorders>
            <w:shd w:val="clear" w:color="000000" w:fill="FFFFFF"/>
            <w:noWrap/>
            <w:vAlign w:val="center"/>
            <w:hideMark/>
          </w:tcPr>
          <w:p w14:paraId="3FF235A9"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43%</w:t>
            </w:r>
          </w:p>
        </w:tc>
        <w:tc>
          <w:tcPr>
            <w:tcW w:w="1200" w:type="dxa"/>
            <w:tcBorders>
              <w:top w:val="nil"/>
              <w:left w:val="nil"/>
              <w:bottom w:val="single" w:sz="4" w:space="0" w:color="auto"/>
              <w:right w:val="single" w:sz="4" w:space="0" w:color="auto"/>
            </w:tcBorders>
            <w:shd w:val="clear" w:color="000000" w:fill="FFFFFF"/>
            <w:noWrap/>
            <w:vAlign w:val="center"/>
            <w:hideMark/>
          </w:tcPr>
          <w:p w14:paraId="4A016E9C"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50%</w:t>
            </w:r>
          </w:p>
        </w:tc>
        <w:tc>
          <w:tcPr>
            <w:tcW w:w="1340" w:type="dxa"/>
            <w:tcBorders>
              <w:top w:val="nil"/>
              <w:left w:val="nil"/>
              <w:bottom w:val="single" w:sz="4" w:space="0" w:color="auto"/>
              <w:right w:val="single" w:sz="4" w:space="0" w:color="auto"/>
            </w:tcBorders>
            <w:shd w:val="clear" w:color="000000" w:fill="FFFFFF"/>
            <w:noWrap/>
            <w:vAlign w:val="center"/>
            <w:hideMark/>
          </w:tcPr>
          <w:p w14:paraId="33FD24D3"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162%</w:t>
            </w:r>
          </w:p>
        </w:tc>
        <w:tc>
          <w:tcPr>
            <w:tcW w:w="1340" w:type="dxa"/>
            <w:tcBorders>
              <w:top w:val="nil"/>
              <w:left w:val="nil"/>
              <w:bottom w:val="single" w:sz="4" w:space="0" w:color="auto"/>
              <w:right w:val="single" w:sz="4" w:space="0" w:color="auto"/>
            </w:tcBorders>
            <w:shd w:val="clear" w:color="000000" w:fill="FFFFFF"/>
            <w:noWrap/>
            <w:vAlign w:val="center"/>
            <w:hideMark/>
          </w:tcPr>
          <w:p w14:paraId="117A7771"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53%</w:t>
            </w:r>
          </w:p>
        </w:tc>
        <w:tc>
          <w:tcPr>
            <w:tcW w:w="1200" w:type="dxa"/>
            <w:tcBorders>
              <w:top w:val="nil"/>
              <w:left w:val="nil"/>
              <w:bottom w:val="single" w:sz="4" w:space="0" w:color="auto"/>
              <w:right w:val="single" w:sz="4" w:space="0" w:color="auto"/>
            </w:tcBorders>
            <w:shd w:val="clear" w:color="000000" w:fill="FFFFFF"/>
            <w:noWrap/>
            <w:vAlign w:val="center"/>
            <w:hideMark/>
          </w:tcPr>
          <w:p w14:paraId="2244D3CA"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106%</w:t>
            </w:r>
          </w:p>
        </w:tc>
      </w:tr>
      <w:tr w:rsidR="00F75E3A" w:rsidRPr="000744C3" w14:paraId="15355FA7"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006A6117"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35</w:t>
            </w:r>
          </w:p>
        </w:tc>
        <w:tc>
          <w:tcPr>
            <w:tcW w:w="1740" w:type="dxa"/>
            <w:tcBorders>
              <w:top w:val="nil"/>
              <w:left w:val="nil"/>
              <w:bottom w:val="single" w:sz="4" w:space="0" w:color="auto"/>
              <w:right w:val="single" w:sz="4" w:space="0" w:color="auto"/>
            </w:tcBorders>
            <w:shd w:val="clear" w:color="000000" w:fill="FFFFFF"/>
            <w:noWrap/>
            <w:vAlign w:val="center"/>
            <w:hideMark/>
          </w:tcPr>
          <w:p w14:paraId="0C1B4CE1"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84%</w:t>
            </w:r>
          </w:p>
        </w:tc>
        <w:tc>
          <w:tcPr>
            <w:tcW w:w="1200" w:type="dxa"/>
            <w:tcBorders>
              <w:top w:val="nil"/>
              <w:left w:val="nil"/>
              <w:bottom w:val="single" w:sz="4" w:space="0" w:color="auto"/>
              <w:right w:val="single" w:sz="4" w:space="0" w:color="auto"/>
            </w:tcBorders>
            <w:shd w:val="clear" w:color="000000" w:fill="FFFFFF"/>
            <w:noWrap/>
            <w:vAlign w:val="center"/>
            <w:hideMark/>
          </w:tcPr>
          <w:p w14:paraId="0E611CF3"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114%</w:t>
            </w:r>
          </w:p>
        </w:tc>
        <w:tc>
          <w:tcPr>
            <w:tcW w:w="1360" w:type="dxa"/>
            <w:tcBorders>
              <w:top w:val="nil"/>
              <w:left w:val="nil"/>
              <w:bottom w:val="single" w:sz="4" w:space="0" w:color="auto"/>
              <w:right w:val="single" w:sz="4" w:space="0" w:color="auto"/>
            </w:tcBorders>
            <w:shd w:val="clear" w:color="000000" w:fill="FFFFFF"/>
            <w:noWrap/>
            <w:vAlign w:val="center"/>
            <w:hideMark/>
          </w:tcPr>
          <w:p w14:paraId="3EA040A6"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47%</w:t>
            </w:r>
          </w:p>
        </w:tc>
        <w:tc>
          <w:tcPr>
            <w:tcW w:w="1200" w:type="dxa"/>
            <w:tcBorders>
              <w:top w:val="nil"/>
              <w:left w:val="nil"/>
              <w:bottom w:val="single" w:sz="4" w:space="0" w:color="auto"/>
              <w:right w:val="single" w:sz="4" w:space="0" w:color="auto"/>
            </w:tcBorders>
            <w:shd w:val="clear" w:color="000000" w:fill="FFFFFF"/>
            <w:noWrap/>
            <w:vAlign w:val="center"/>
            <w:hideMark/>
          </w:tcPr>
          <w:p w14:paraId="24DD0280"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66%</w:t>
            </w:r>
          </w:p>
        </w:tc>
        <w:tc>
          <w:tcPr>
            <w:tcW w:w="1340" w:type="dxa"/>
            <w:tcBorders>
              <w:top w:val="nil"/>
              <w:left w:val="nil"/>
              <w:bottom w:val="single" w:sz="4" w:space="0" w:color="auto"/>
              <w:right w:val="single" w:sz="4" w:space="0" w:color="auto"/>
            </w:tcBorders>
            <w:shd w:val="clear" w:color="000000" w:fill="FFFFFF"/>
            <w:noWrap/>
            <w:vAlign w:val="center"/>
            <w:hideMark/>
          </w:tcPr>
          <w:p w14:paraId="4DB5B0BB"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187%</w:t>
            </w:r>
          </w:p>
        </w:tc>
        <w:tc>
          <w:tcPr>
            <w:tcW w:w="1340" w:type="dxa"/>
            <w:tcBorders>
              <w:top w:val="nil"/>
              <w:left w:val="nil"/>
              <w:bottom w:val="single" w:sz="4" w:space="0" w:color="auto"/>
              <w:right w:val="single" w:sz="4" w:space="0" w:color="auto"/>
            </w:tcBorders>
            <w:shd w:val="clear" w:color="000000" w:fill="FFFFFF"/>
            <w:noWrap/>
            <w:vAlign w:val="center"/>
            <w:hideMark/>
          </w:tcPr>
          <w:p w14:paraId="4E49D3AB"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56%</w:t>
            </w:r>
          </w:p>
        </w:tc>
        <w:tc>
          <w:tcPr>
            <w:tcW w:w="1200" w:type="dxa"/>
            <w:tcBorders>
              <w:top w:val="nil"/>
              <w:left w:val="nil"/>
              <w:bottom w:val="single" w:sz="4" w:space="0" w:color="auto"/>
              <w:right w:val="single" w:sz="4" w:space="0" w:color="auto"/>
            </w:tcBorders>
            <w:shd w:val="clear" w:color="000000" w:fill="FFFFFF"/>
            <w:noWrap/>
            <w:vAlign w:val="center"/>
            <w:hideMark/>
          </w:tcPr>
          <w:p w14:paraId="014A29E1"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88%</w:t>
            </w:r>
          </w:p>
        </w:tc>
      </w:tr>
      <w:tr w:rsidR="00F75E3A" w:rsidRPr="000744C3" w14:paraId="5BD3F8B2"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3BA34503"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36</w:t>
            </w:r>
          </w:p>
        </w:tc>
        <w:tc>
          <w:tcPr>
            <w:tcW w:w="1740" w:type="dxa"/>
            <w:tcBorders>
              <w:top w:val="nil"/>
              <w:left w:val="nil"/>
              <w:bottom w:val="single" w:sz="4" w:space="0" w:color="auto"/>
              <w:right w:val="single" w:sz="4" w:space="0" w:color="auto"/>
            </w:tcBorders>
            <w:shd w:val="clear" w:color="000000" w:fill="FFFFFF"/>
            <w:noWrap/>
            <w:vAlign w:val="center"/>
            <w:hideMark/>
          </w:tcPr>
          <w:p w14:paraId="019B640A"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91%</w:t>
            </w:r>
          </w:p>
        </w:tc>
        <w:tc>
          <w:tcPr>
            <w:tcW w:w="1200" w:type="dxa"/>
            <w:tcBorders>
              <w:top w:val="nil"/>
              <w:left w:val="nil"/>
              <w:bottom w:val="single" w:sz="4" w:space="0" w:color="auto"/>
              <w:right w:val="single" w:sz="4" w:space="0" w:color="auto"/>
            </w:tcBorders>
            <w:shd w:val="clear" w:color="000000" w:fill="FFFFFF"/>
            <w:noWrap/>
            <w:vAlign w:val="center"/>
            <w:hideMark/>
          </w:tcPr>
          <w:p w14:paraId="41598AA1"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65%</w:t>
            </w:r>
          </w:p>
        </w:tc>
        <w:tc>
          <w:tcPr>
            <w:tcW w:w="1360" w:type="dxa"/>
            <w:tcBorders>
              <w:top w:val="nil"/>
              <w:left w:val="nil"/>
              <w:bottom w:val="single" w:sz="4" w:space="0" w:color="auto"/>
              <w:right w:val="single" w:sz="4" w:space="0" w:color="auto"/>
            </w:tcBorders>
            <w:shd w:val="clear" w:color="000000" w:fill="FFFFFF"/>
            <w:noWrap/>
            <w:vAlign w:val="center"/>
            <w:hideMark/>
          </w:tcPr>
          <w:p w14:paraId="232828C5"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46%</w:t>
            </w:r>
          </w:p>
        </w:tc>
        <w:tc>
          <w:tcPr>
            <w:tcW w:w="1200" w:type="dxa"/>
            <w:tcBorders>
              <w:top w:val="nil"/>
              <w:left w:val="nil"/>
              <w:bottom w:val="single" w:sz="4" w:space="0" w:color="auto"/>
              <w:right w:val="single" w:sz="4" w:space="0" w:color="auto"/>
            </w:tcBorders>
            <w:shd w:val="clear" w:color="000000" w:fill="FFFFFF"/>
            <w:noWrap/>
            <w:vAlign w:val="center"/>
            <w:hideMark/>
          </w:tcPr>
          <w:p w14:paraId="56B0CA2F"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190%</w:t>
            </w:r>
          </w:p>
        </w:tc>
        <w:tc>
          <w:tcPr>
            <w:tcW w:w="1340" w:type="dxa"/>
            <w:tcBorders>
              <w:top w:val="nil"/>
              <w:left w:val="nil"/>
              <w:bottom w:val="single" w:sz="4" w:space="0" w:color="auto"/>
              <w:right w:val="single" w:sz="4" w:space="0" w:color="auto"/>
            </w:tcBorders>
            <w:shd w:val="clear" w:color="000000" w:fill="FFFFFF"/>
            <w:noWrap/>
            <w:vAlign w:val="center"/>
            <w:hideMark/>
          </w:tcPr>
          <w:p w14:paraId="574944E4"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165%</w:t>
            </w:r>
          </w:p>
        </w:tc>
        <w:tc>
          <w:tcPr>
            <w:tcW w:w="1340" w:type="dxa"/>
            <w:tcBorders>
              <w:top w:val="nil"/>
              <w:left w:val="nil"/>
              <w:bottom w:val="single" w:sz="4" w:space="0" w:color="auto"/>
              <w:right w:val="single" w:sz="4" w:space="0" w:color="auto"/>
            </w:tcBorders>
            <w:shd w:val="clear" w:color="000000" w:fill="FFFFFF"/>
            <w:noWrap/>
            <w:vAlign w:val="center"/>
            <w:hideMark/>
          </w:tcPr>
          <w:p w14:paraId="30E4B42C"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89%</w:t>
            </w:r>
          </w:p>
        </w:tc>
        <w:tc>
          <w:tcPr>
            <w:tcW w:w="1200" w:type="dxa"/>
            <w:tcBorders>
              <w:top w:val="nil"/>
              <w:left w:val="nil"/>
              <w:bottom w:val="single" w:sz="4" w:space="0" w:color="auto"/>
              <w:right w:val="single" w:sz="4" w:space="0" w:color="auto"/>
            </w:tcBorders>
            <w:shd w:val="clear" w:color="000000" w:fill="FFFFFF"/>
            <w:noWrap/>
            <w:vAlign w:val="center"/>
            <w:hideMark/>
          </w:tcPr>
          <w:p w14:paraId="50E0D18D"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91%</w:t>
            </w:r>
          </w:p>
        </w:tc>
      </w:tr>
      <w:tr w:rsidR="00F75E3A" w:rsidRPr="000744C3" w14:paraId="48DE454E"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6DF8A2C6"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37</w:t>
            </w:r>
          </w:p>
        </w:tc>
        <w:tc>
          <w:tcPr>
            <w:tcW w:w="1740" w:type="dxa"/>
            <w:tcBorders>
              <w:top w:val="nil"/>
              <w:left w:val="nil"/>
              <w:bottom w:val="single" w:sz="4" w:space="0" w:color="auto"/>
              <w:right w:val="single" w:sz="4" w:space="0" w:color="auto"/>
            </w:tcBorders>
            <w:shd w:val="clear" w:color="000000" w:fill="FFFFFF"/>
            <w:noWrap/>
            <w:vAlign w:val="center"/>
            <w:hideMark/>
          </w:tcPr>
          <w:p w14:paraId="76896529"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92%</w:t>
            </w:r>
          </w:p>
        </w:tc>
        <w:tc>
          <w:tcPr>
            <w:tcW w:w="1200" w:type="dxa"/>
            <w:tcBorders>
              <w:top w:val="nil"/>
              <w:left w:val="nil"/>
              <w:bottom w:val="single" w:sz="4" w:space="0" w:color="auto"/>
              <w:right w:val="single" w:sz="4" w:space="0" w:color="auto"/>
            </w:tcBorders>
            <w:shd w:val="clear" w:color="000000" w:fill="FFFFFF"/>
            <w:noWrap/>
            <w:vAlign w:val="center"/>
            <w:hideMark/>
          </w:tcPr>
          <w:p w14:paraId="0FFAD101"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76%</w:t>
            </w:r>
          </w:p>
        </w:tc>
        <w:tc>
          <w:tcPr>
            <w:tcW w:w="1360" w:type="dxa"/>
            <w:tcBorders>
              <w:top w:val="nil"/>
              <w:left w:val="nil"/>
              <w:bottom w:val="single" w:sz="4" w:space="0" w:color="auto"/>
              <w:right w:val="single" w:sz="4" w:space="0" w:color="auto"/>
            </w:tcBorders>
            <w:shd w:val="clear" w:color="000000" w:fill="FFFFFF"/>
            <w:noWrap/>
            <w:vAlign w:val="center"/>
            <w:hideMark/>
          </w:tcPr>
          <w:p w14:paraId="2430D7A0"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47%</w:t>
            </w:r>
          </w:p>
        </w:tc>
        <w:tc>
          <w:tcPr>
            <w:tcW w:w="1200" w:type="dxa"/>
            <w:tcBorders>
              <w:top w:val="nil"/>
              <w:left w:val="nil"/>
              <w:bottom w:val="single" w:sz="4" w:space="0" w:color="auto"/>
              <w:right w:val="single" w:sz="4" w:space="0" w:color="auto"/>
            </w:tcBorders>
            <w:shd w:val="clear" w:color="000000" w:fill="FFFFFF"/>
            <w:noWrap/>
            <w:vAlign w:val="center"/>
            <w:hideMark/>
          </w:tcPr>
          <w:p w14:paraId="00CCDAD0"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90%</w:t>
            </w:r>
          </w:p>
        </w:tc>
        <w:tc>
          <w:tcPr>
            <w:tcW w:w="1340" w:type="dxa"/>
            <w:tcBorders>
              <w:top w:val="nil"/>
              <w:left w:val="nil"/>
              <w:bottom w:val="single" w:sz="4" w:space="0" w:color="auto"/>
              <w:right w:val="single" w:sz="4" w:space="0" w:color="auto"/>
            </w:tcBorders>
            <w:shd w:val="clear" w:color="000000" w:fill="FFFFFF"/>
            <w:noWrap/>
            <w:vAlign w:val="center"/>
            <w:hideMark/>
          </w:tcPr>
          <w:p w14:paraId="4DF30E31"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104%</w:t>
            </w:r>
          </w:p>
        </w:tc>
        <w:tc>
          <w:tcPr>
            <w:tcW w:w="1340" w:type="dxa"/>
            <w:tcBorders>
              <w:top w:val="nil"/>
              <w:left w:val="nil"/>
              <w:bottom w:val="single" w:sz="4" w:space="0" w:color="auto"/>
              <w:right w:val="single" w:sz="4" w:space="0" w:color="auto"/>
            </w:tcBorders>
            <w:shd w:val="clear" w:color="000000" w:fill="FFFFFF"/>
            <w:noWrap/>
            <w:vAlign w:val="center"/>
            <w:hideMark/>
          </w:tcPr>
          <w:p w14:paraId="00744339"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97%</w:t>
            </w:r>
          </w:p>
        </w:tc>
        <w:tc>
          <w:tcPr>
            <w:tcW w:w="1200" w:type="dxa"/>
            <w:tcBorders>
              <w:top w:val="nil"/>
              <w:left w:val="nil"/>
              <w:bottom w:val="single" w:sz="4" w:space="0" w:color="auto"/>
              <w:right w:val="single" w:sz="4" w:space="0" w:color="auto"/>
            </w:tcBorders>
            <w:shd w:val="clear" w:color="000000" w:fill="FFFFFF"/>
            <w:noWrap/>
            <w:vAlign w:val="center"/>
            <w:hideMark/>
          </w:tcPr>
          <w:p w14:paraId="0743A359"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124%</w:t>
            </w:r>
          </w:p>
        </w:tc>
      </w:tr>
      <w:tr w:rsidR="00F75E3A" w:rsidRPr="000744C3" w14:paraId="51F3C1C7"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12159A9E"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38</w:t>
            </w:r>
          </w:p>
        </w:tc>
        <w:tc>
          <w:tcPr>
            <w:tcW w:w="1740" w:type="dxa"/>
            <w:tcBorders>
              <w:top w:val="nil"/>
              <w:left w:val="nil"/>
              <w:bottom w:val="single" w:sz="4" w:space="0" w:color="auto"/>
              <w:right w:val="single" w:sz="4" w:space="0" w:color="auto"/>
            </w:tcBorders>
            <w:shd w:val="clear" w:color="000000" w:fill="FFFFFF"/>
            <w:noWrap/>
            <w:vAlign w:val="center"/>
            <w:hideMark/>
          </w:tcPr>
          <w:p w14:paraId="61D94FF3"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93%</w:t>
            </w:r>
          </w:p>
        </w:tc>
        <w:tc>
          <w:tcPr>
            <w:tcW w:w="1200" w:type="dxa"/>
            <w:tcBorders>
              <w:top w:val="nil"/>
              <w:left w:val="nil"/>
              <w:bottom w:val="single" w:sz="4" w:space="0" w:color="auto"/>
              <w:right w:val="single" w:sz="4" w:space="0" w:color="auto"/>
            </w:tcBorders>
            <w:shd w:val="clear" w:color="000000" w:fill="FFFFFF"/>
            <w:noWrap/>
            <w:vAlign w:val="center"/>
            <w:hideMark/>
          </w:tcPr>
          <w:p w14:paraId="68DD1217"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97%</w:t>
            </w:r>
          </w:p>
        </w:tc>
        <w:tc>
          <w:tcPr>
            <w:tcW w:w="1360" w:type="dxa"/>
            <w:tcBorders>
              <w:top w:val="nil"/>
              <w:left w:val="nil"/>
              <w:bottom w:val="single" w:sz="4" w:space="0" w:color="auto"/>
              <w:right w:val="single" w:sz="4" w:space="0" w:color="auto"/>
            </w:tcBorders>
            <w:shd w:val="clear" w:color="000000" w:fill="FFFFFF"/>
            <w:noWrap/>
            <w:vAlign w:val="center"/>
            <w:hideMark/>
          </w:tcPr>
          <w:p w14:paraId="040BDD04"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58%</w:t>
            </w:r>
          </w:p>
        </w:tc>
        <w:tc>
          <w:tcPr>
            <w:tcW w:w="1200" w:type="dxa"/>
            <w:tcBorders>
              <w:top w:val="nil"/>
              <w:left w:val="nil"/>
              <w:bottom w:val="single" w:sz="4" w:space="0" w:color="auto"/>
              <w:right w:val="single" w:sz="4" w:space="0" w:color="auto"/>
            </w:tcBorders>
            <w:shd w:val="clear" w:color="000000" w:fill="FFFFFF"/>
            <w:noWrap/>
            <w:vAlign w:val="center"/>
            <w:hideMark/>
          </w:tcPr>
          <w:p w14:paraId="562AA211"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114%</w:t>
            </w:r>
          </w:p>
        </w:tc>
        <w:tc>
          <w:tcPr>
            <w:tcW w:w="1340" w:type="dxa"/>
            <w:tcBorders>
              <w:top w:val="nil"/>
              <w:left w:val="nil"/>
              <w:bottom w:val="single" w:sz="4" w:space="0" w:color="auto"/>
              <w:right w:val="single" w:sz="4" w:space="0" w:color="auto"/>
            </w:tcBorders>
            <w:shd w:val="clear" w:color="000000" w:fill="FFFFFF"/>
            <w:noWrap/>
            <w:vAlign w:val="center"/>
            <w:hideMark/>
          </w:tcPr>
          <w:p w14:paraId="3C98482F"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221%</w:t>
            </w:r>
          </w:p>
        </w:tc>
        <w:tc>
          <w:tcPr>
            <w:tcW w:w="1340" w:type="dxa"/>
            <w:tcBorders>
              <w:top w:val="nil"/>
              <w:left w:val="nil"/>
              <w:bottom w:val="single" w:sz="4" w:space="0" w:color="auto"/>
              <w:right w:val="single" w:sz="4" w:space="0" w:color="auto"/>
            </w:tcBorders>
            <w:shd w:val="clear" w:color="000000" w:fill="FFFFFF"/>
            <w:noWrap/>
            <w:vAlign w:val="center"/>
            <w:hideMark/>
          </w:tcPr>
          <w:p w14:paraId="3915FD07"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81%</w:t>
            </w:r>
          </w:p>
        </w:tc>
        <w:tc>
          <w:tcPr>
            <w:tcW w:w="1200" w:type="dxa"/>
            <w:tcBorders>
              <w:top w:val="nil"/>
              <w:left w:val="nil"/>
              <w:bottom w:val="single" w:sz="4" w:space="0" w:color="auto"/>
              <w:right w:val="single" w:sz="4" w:space="0" w:color="auto"/>
            </w:tcBorders>
            <w:shd w:val="clear" w:color="000000" w:fill="FFFFFF"/>
            <w:noWrap/>
            <w:vAlign w:val="center"/>
            <w:hideMark/>
          </w:tcPr>
          <w:p w14:paraId="1B98DA19"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106%</w:t>
            </w:r>
          </w:p>
        </w:tc>
      </w:tr>
      <w:tr w:rsidR="00F75E3A" w:rsidRPr="000744C3" w14:paraId="510917E9"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0F5DE130"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39</w:t>
            </w:r>
          </w:p>
        </w:tc>
        <w:tc>
          <w:tcPr>
            <w:tcW w:w="1740" w:type="dxa"/>
            <w:tcBorders>
              <w:top w:val="nil"/>
              <w:left w:val="nil"/>
              <w:bottom w:val="single" w:sz="4" w:space="0" w:color="auto"/>
              <w:right w:val="single" w:sz="4" w:space="0" w:color="auto"/>
            </w:tcBorders>
            <w:shd w:val="clear" w:color="000000" w:fill="FFFFFF"/>
            <w:noWrap/>
            <w:vAlign w:val="center"/>
            <w:hideMark/>
          </w:tcPr>
          <w:p w14:paraId="1F94A583"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85%</w:t>
            </w:r>
          </w:p>
        </w:tc>
        <w:tc>
          <w:tcPr>
            <w:tcW w:w="1200" w:type="dxa"/>
            <w:tcBorders>
              <w:top w:val="nil"/>
              <w:left w:val="nil"/>
              <w:bottom w:val="single" w:sz="4" w:space="0" w:color="auto"/>
              <w:right w:val="single" w:sz="4" w:space="0" w:color="auto"/>
            </w:tcBorders>
            <w:shd w:val="clear" w:color="000000" w:fill="FFFFFF"/>
            <w:noWrap/>
            <w:vAlign w:val="center"/>
            <w:hideMark/>
          </w:tcPr>
          <w:p w14:paraId="249E5979"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92%</w:t>
            </w:r>
          </w:p>
        </w:tc>
        <w:tc>
          <w:tcPr>
            <w:tcW w:w="1360" w:type="dxa"/>
            <w:tcBorders>
              <w:top w:val="nil"/>
              <w:left w:val="nil"/>
              <w:bottom w:val="single" w:sz="4" w:space="0" w:color="auto"/>
              <w:right w:val="single" w:sz="4" w:space="0" w:color="auto"/>
            </w:tcBorders>
            <w:shd w:val="clear" w:color="000000" w:fill="FFFFFF"/>
            <w:noWrap/>
            <w:vAlign w:val="center"/>
            <w:hideMark/>
          </w:tcPr>
          <w:p w14:paraId="69DB4A5A"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52%</w:t>
            </w:r>
          </w:p>
        </w:tc>
        <w:tc>
          <w:tcPr>
            <w:tcW w:w="1200" w:type="dxa"/>
            <w:tcBorders>
              <w:top w:val="nil"/>
              <w:left w:val="nil"/>
              <w:bottom w:val="single" w:sz="4" w:space="0" w:color="auto"/>
              <w:right w:val="single" w:sz="4" w:space="0" w:color="auto"/>
            </w:tcBorders>
            <w:shd w:val="clear" w:color="000000" w:fill="FFFFFF"/>
            <w:noWrap/>
            <w:vAlign w:val="center"/>
            <w:hideMark/>
          </w:tcPr>
          <w:p w14:paraId="1CC03EE8"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118%</w:t>
            </w:r>
          </w:p>
        </w:tc>
        <w:tc>
          <w:tcPr>
            <w:tcW w:w="1340" w:type="dxa"/>
            <w:tcBorders>
              <w:top w:val="nil"/>
              <w:left w:val="nil"/>
              <w:bottom w:val="single" w:sz="4" w:space="0" w:color="auto"/>
              <w:right w:val="single" w:sz="4" w:space="0" w:color="auto"/>
            </w:tcBorders>
            <w:shd w:val="clear" w:color="000000" w:fill="FFFFFF"/>
            <w:noWrap/>
            <w:vAlign w:val="center"/>
            <w:hideMark/>
          </w:tcPr>
          <w:p w14:paraId="163A0674"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196%</w:t>
            </w:r>
          </w:p>
        </w:tc>
        <w:tc>
          <w:tcPr>
            <w:tcW w:w="1340" w:type="dxa"/>
            <w:tcBorders>
              <w:top w:val="nil"/>
              <w:left w:val="nil"/>
              <w:bottom w:val="single" w:sz="4" w:space="0" w:color="auto"/>
              <w:right w:val="single" w:sz="4" w:space="0" w:color="auto"/>
            </w:tcBorders>
            <w:shd w:val="clear" w:color="000000" w:fill="FFFFFF"/>
            <w:noWrap/>
            <w:vAlign w:val="center"/>
            <w:hideMark/>
          </w:tcPr>
          <w:p w14:paraId="4B163E25"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83%</w:t>
            </w:r>
          </w:p>
        </w:tc>
        <w:tc>
          <w:tcPr>
            <w:tcW w:w="1200" w:type="dxa"/>
            <w:tcBorders>
              <w:top w:val="nil"/>
              <w:left w:val="nil"/>
              <w:bottom w:val="single" w:sz="4" w:space="0" w:color="auto"/>
              <w:right w:val="single" w:sz="4" w:space="0" w:color="auto"/>
            </w:tcBorders>
            <w:shd w:val="clear" w:color="000000" w:fill="FFFFFF"/>
            <w:noWrap/>
            <w:vAlign w:val="center"/>
            <w:hideMark/>
          </w:tcPr>
          <w:p w14:paraId="2F5AFF83"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112%</w:t>
            </w:r>
          </w:p>
        </w:tc>
      </w:tr>
      <w:tr w:rsidR="00F75E3A" w:rsidRPr="000744C3" w14:paraId="192B0307"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64E71EE2"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40</w:t>
            </w:r>
          </w:p>
        </w:tc>
        <w:tc>
          <w:tcPr>
            <w:tcW w:w="1740" w:type="dxa"/>
            <w:tcBorders>
              <w:top w:val="nil"/>
              <w:left w:val="nil"/>
              <w:bottom w:val="single" w:sz="4" w:space="0" w:color="auto"/>
              <w:right w:val="single" w:sz="4" w:space="0" w:color="auto"/>
            </w:tcBorders>
            <w:shd w:val="clear" w:color="000000" w:fill="FFFFFF"/>
            <w:noWrap/>
            <w:vAlign w:val="center"/>
            <w:hideMark/>
          </w:tcPr>
          <w:p w14:paraId="1198AAC2"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67%</w:t>
            </w:r>
          </w:p>
        </w:tc>
        <w:tc>
          <w:tcPr>
            <w:tcW w:w="1200" w:type="dxa"/>
            <w:tcBorders>
              <w:top w:val="nil"/>
              <w:left w:val="nil"/>
              <w:bottom w:val="single" w:sz="4" w:space="0" w:color="auto"/>
              <w:right w:val="single" w:sz="4" w:space="0" w:color="auto"/>
            </w:tcBorders>
            <w:shd w:val="clear" w:color="000000" w:fill="FFFFFF"/>
            <w:noWrap/>
            <w:vAlign w:val="center"/>
            <w:hideMark/>
          </w:tcPr>
          <w:p w14:paraId="28DB821C"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88%</w:t>
            </w:r>
          </w:p>
        </w:tc>
        <w:tc>
          <w:tcPr>
            <w:tcW w:w="1360" w:type="dxa"/>
            <w:tcBorders>
              <w:top w:val="nil"/>
              <w:left w:val="nil"/>
              <w:bottom w:val="single" w:sz="4" w:space="0" w:color="auto"/>
              <w:right w:val="single" w:sz="4" w:space="0" w:color="auto"/>
            </w:tcBorders>
            <w:shd w:val="clear" w:color="000000" w:fill="FFFFFF"/>
            <w:noWrap/>
            <w:vAlign w:val="center"/>
            <w:hideMark/>
          </w:tcPr>
          <w:p w14:paraId="081B3767"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55%</w:t>
            </w:r>
          </w:p>
        </w:tc>
        <w:tc>
          <w:tcPr>
            <w:tcW w:w="1200" w:type="dxa"/>
            <w:tcBorders>
              <w:top w:val="nil"/>
              <w:left w:val="nil"/>
              <w:bottom w:val="single" w:sz="4" w:space="0" w:color="auto"/>
              <w:right w:val="single" w:sz="4" w:space="0" w:color="auto"/>
            </w:tcBorders>
            <w:shd w:val="clear" w:color="000000" w:fill="FFFFFF"/>
            <w:noWrap/>
            <w:vAlign w:val="center"/>
            <w:hideMark/>
          </w:tcPr>
          <w:p w14:paraId="17292BFC"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129%</w:t>
            </w:r>
          </w:p>
        </w:tc>
        <w:tc>
          <w:tcPr>
            <w:tcW w:w="1340" w:type="dxa"/>
            <w:tcBorders>
              <w:top w:val="nil"/>
              <w:left w:val="nil"/>
              <w:bottom w:val="single" w:sz="4" w:space="0" w:color="auto"/>
              <w:right w:val="single" w:sz="4" w:space="0" w:color="auto"/>
            </w:tcBorders>
            <w:shd w:val="clear" w:color="000000" w:fill="FFFFFF"/>
            <w:noWrap/>
            <w:vAlign w:val="center"/>
            <w:hideMark/>
          </w:tcPr>
          <w:p w14:paraId="2189138D"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318%</w:t>
            </w:r>
          </w:p>
        </w:tc>
        <w:tc>
          <w:tcPr>
            <w:tcW w:w="1340" w:type="dxa"/>
            <w:tcBorders>
              <w:top w:val="nil"/>
              <w:left w:val="nil"/>
              <w:bottom w:val="single" w:sz="4" w:space="0" w:color="auto"/>
              <w:right w:val="single" w:sz="4" w:space="0" w:color="auto"/>
            </w:tcBorders>
            <w:shd w:val="clear" w:color="000000" w:fill="FFFFFF"/>
            <w:noWrap/>
            <w:vAlign w:val="center"/>
            <w:hideMark/>
          </w:tcPr>
          <w:p w14:paraId="22BFDA1F"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89%</w:t>
            </w:r>
          </w:p>
        </w:tc>
        <w:tc>
          <w:tcPr>
            <w:tcW w:w="1200" w:type="dxa"/>
            <w:tcBorders>
              <w:top w:val="nil"/>
              <w:left w:val="nil"/>
              <w:bottom w:val="single" w:sz="4" w:space="0" w:color="auto"/>
              <w:right w:val="single" w:sz="4" w:space="0" w:color="auto"/>
            </w:tcBorders>
            <w:shd w:val="clear" w:color="000000" w:fill="FFFFFF"/>
            <w:noWrap/>
            <w:vAlign w:val="center"/>
            <w:hideMark/>
          </w:tcPr>
          <w:p w14:paraId="351F9F32"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129%</w:t>
            </w:r>
          </w:p>
        </w:tc>
      </w:tr>
      <w:tr w:rsidR="00F75E3A" w:rsidRPr="000744C3" w14:paraId="4E84EDEC"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221FF06C"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41</w:t>
            </w:r>
          </w:p>
        </w:tc>
        <w:tc>
          <w:tcPr>
            <w:tcW w:w="1740" w:type="dxa"/>
            <w:tcBorders>
              <w:top w:val="nil"/>
              <w:left w:val="nil"/>
              <w:bottom w:val="single" w:sz="4" w:space="0" w:color="auto"/>
              <w:right w:val="single" w:sz="4" w:space="0" w:color="auto"/>
            </w:tcBorders>
            <w:shd w:val="clear" w:color="000000" w:fill="FFFFFF"/>
            <w:noWrap/>
            <w:vAlign w:val="center"/>
            <w:hideMark/>
          </w:tcPr>
          <w:p w14:paraId="3E5720A6"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100%</w:t>
            </w:r>
          </w:p>
        </w:tc>
        <w:tc>
          <w:tcPr>
            <w:tcW w:w="1200" w:type="dxa"/>
            <w:tcBorders>
              <w:top w:val="nil"/>
              <w:left w:val="nil"/>
              <w:bottom w:val="single" w:sz="4" w:space="0" w:color="auto"/>
              <w:right w:val="single" w:sz="4" w:space="0" w:color="auto"/>
            </w:tcBorders>
            <w:shd w:val="clear" w:color="000000" w:fill="FFFFFF"/>
            <w:noWrap/>
            <w:vAlign w:val="center"/>
            <w:hideMark/>
          </w:tcPr>
          <w:p w14:paraId="2F8C49BC"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85%</w:t>
            </w:r>
          </w:p>
        </w:tc>
        <w:tc>
          <w:tcPr>
            <w:tcW w:w="1360" w:type="dxa"/>
            <w:tcBorders>
              <w:top w:val="nil"/>
              <w:left w:val="nil"/>
              <w:bottom w:val="single" w:sz="4" w:space="0" w:color="auto"/>
              <w:right w:val="single" w:sz="4" w:space="0" w:color="auto"/>
            </w:tcBorders>
            <w:shd w:val="clear" w:color="000000" w:fill="FFFFFF"/>
            <w:noWrap/>
            <w:vAlign w:val="center"/>
            <w:hideMark/>
          </w:tcPr>
          <w:p w14:paraId="33F58B70"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63%</w:t>
            </w:r>
          </w:p>
        </w:tc>
        <w:tc>
          <w:tcPr>
            <w:tcW w:w="1200" w:type="dxa"/>
            <w:tcBorders>
              <w:top w:val="nil"/>
              <w:left w:val="nil"/>
              <w:bottom w:val="single" w:sz="4" w:space="0" w:color="auto"/>
              <w:right w:val="single" w:sz="4" w:space="0" w:color="auto"/>
            </w:tcBorders>
            <w:shd w:val="clear" w:color="000000" w:fill="FFFFFF"/>
            <w:noWrap/>
            <w:vAlign w:val="center"/>
            <w:hideMark/>
          </w:tcPr>
          <w:p w14:paraId="6DF30EDE"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123%</w:t>
            </w:r>
          </w:p>
        </w:tc>
        <w:tc>
          <w:tcPr>
            <w:tcW w:w="1340" w:type="dxa"/>
            <w:tcBorders>
              <w:top w:val="nil"/>
              <w:left w:val="nil"/>
              <w:bottom w:val="single" w:sz="4" w:space="0" w:color="auto"/>
              <w:right w:val="single" w:sz="4" w:space="0" w:color="auto"/>
            </w:tcBorders>
            <w:shd w:val="clear" w:color="000000" w:fill="FFFFFF"/>
            <w:noWrap/>
            <w:vAlign w:val="center"/>
            <w:hideMark/>
          </w:tcPr>
          <w:p w14:paraId="208E49EB"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281%</w:t>
            </w:r>
          </w:p>
        </w:tc>
        <w:tc>
          <w:tcPr>
            <w:tcW w:w="1340" w:type="dxa"/>
            <w:tcBorders>
              <w:top w:val="nil"/>
              <w:left w:val="nil"/>
              <w:bottom w:val="single" w:sz="4" w:space="0" w:color="auto"/>
              <w:right w:val="single" w:sz="4" w:space="0" w:color="auto"/>
            </w:tcBorders>
            <w:shd w:val="clear" w:color="000000" w:fill="FFFFFF"/>
            <w:noWrap/>
            <w:vAlign w:val="center"/>
            <w:hideMark/>
          </w:tcPr>
          <w:p w14:paraId="0DB68C2C"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85%</w:t>
            </w:r>
          </w:p>
        </w:tc>
        <w:tc>
          <w:tcPr>
            <w:tcW w:w="1200" w:type="dxa"/>
            <w:tcBorders>
              <w:top w:val="nil"/>
              <w:left w:val="nil"/>
              <w:bottom w:val="single" w:sz="4" w:space="0" w:color="auto"/>
              <w:right w:val="single" w:sz="4" w:space="0" w:color="auto"/>
            </w:tcBorders>
            <w:shd w:val="clear" w:color="000000" w:fill="FFFFFF"/>
            <w:noWrap/>
            <w:vAlign w:val="center"/>
            <w:hideMark/>
          </w:tcPr>
          <w:p w14:paraId="2F2C389F"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112%</w:t>
            </w:r>
          </w:p>
        </w:tc>
      </w:tr>
      <w:tr w:rsidR="00F75E3A" w:rsidRPr="000744C3" w14:paraId="36A41713"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5CA85F7C"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42</w:t>
            </w:r>
          </w:p>
        </w:tc>
        <w:tc>
          <w:tcPr>
            <w:tcW w:w="1740" w:type="dxa"/>
            <w:tcBorders>
              <w:top w:val="nil"/>
              <w:left w:val="nil"/>
              <w:bottom w:val="single" w:sz="4" w:space="0" w:color="auto"/>
              <w:right w:val="single" w:sz="4" w:space="0" w:color="auto"/>
            </w:tcBorders>
            <w:shd w:val="clear" w:color="000000" w:fill="FFFFFF"/>
            <w:noWrap/>
            <w:vAlign w:val="center"/>
            <w:hideMark/>
          </w:tcPr>
          <w:p w14:paraId="4263EF57"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79%</w:t>
            </w:r>
          </w:p>
        </w:tc>
        <w:tc>
          <w:tcPr>
            <w:tcW w:w="1200" w:type="dxa"/>
            <w:tcBorders>
              <w:top w:val="nil"/>
              <w:left w:val="nil"/>
              <w:bottom w:val="single" w:sz="4" w:space="0" w:color="auto"/>
              <w:right w:val="single" w:sz="4" w:space="0" w:color="auto"/>
            </w:tcBorders>
            <w:shd w:val="clear" w:color="000000" w:fill="FFFFFF"/>
            <w:noWrap/>
            <w:vAlign w:val="center"/>
            <w:hideMark/>
          </w:tcPr>
          <w:p w14:paraId="0EE1A789"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82%</w:t>
            </w:r>
          </w:p>
        </w:tc>
        <w:tc>
          <w:tcPr>
            <w:tcW w:w="1360" w:type="dxa"/>
            <w:tcBorders>
              <w:top w:val="nil"/>
              <w:left w:val="nil"/>
              <w:bottom w:val="single" w:sz="4" w:space="0" w:color="auto"/>
              <w:right w:val="single" w:sz="4" w:space="0" w:color="auto"/>
            </w:tcBorders>
            <w:shd w:val="clear" w:color="000000" w:fill="FFFFFF"/>
            <w:noWrap/>
            <w:vAlign w:val="center"/>
            <w:hideMark/>
          </w:tcPr>
          <w:p w14:paraId="01E4FED3"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57%</w:t>
            </w:r>
          </w:p>
        </w:tc>
        <w:tc>
          <w:tcPr>
            <w:tcW w:w="1200" w:type="dxa"/>
            <w:tcBorders>
              <w:top w:val="nil"/>
              <w:left w:val="nil"/>
              <w:bottom w:val="single" w:sz="4" w:space="0" w:color="auto"/>
              <w:right w:val="single" w:sz="4" w:space="0" w:color="auto"/>
            </w:tcBorders>
            <w:shd w:val="clear" w:color="000000" w:fill="FFFFFF"/>
            <w:noWrap/>
            <w:vAlign w:val="center"/>
            <w:hideMark/>
          </w:tcPr>
          <w:p w14:paraId="4910A624"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114%</w:t>
            </w:r>
          </w:p>
        </w:tc>
        <w:tc>
          <w:tcPr>
            <w:tcW w:w="1340" w:type="dxa"/>
            <w:tcBorders>
              <w:top w:val="nil"/>
              <w:left w:val="nil"/>
              <w:bottom w:val="single" w:sz="4" w:space="0" w:color="auto"/>
              <w:right w:val="single" w:sz="4" w:space="0" w:color="auto"/>
            </w:tcBorders>
            <w:shd w:val="clear" w:color="000000" w:fill="FFFFFF"/>
            <w:noWrap/>
            <w:vAlign w:val="center"/>
            <w:hideMark/>
          </w:tcPr>
          <w:p w14:paraId="1EC2837B"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221%</w:t>
            </w:r>
          </w:p>
        </w:tc>
        <w:tc>
          <w:tcPr>
            <w:tcW w:w="1340" w:type="dxa"/>
            <w:tcBorders>
              <w:top w:val="nil"/>
              <w:left w:val="nil"/>
              <w:bottom w:val="single" w:sz="4" w:space="0" w:color="auto"/>
              <w:right w:val="single" w:sz="4" w:space="0" w:color="auto"/>
            </w:tcBorders>
            <w:shd w:val="clear" w:color="000000" w:fill="FFFFFF"/>
            <w:noWrap/>
            <w:vAlign w:val="center"/>
            <w:hideMark/>
          </w:tcPr>
          <w:p w14:paraId="273ACC58"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65%</w:t>
            </w:r>
          </w:p>
        </w:tc>
        <w:tc>
          <w:tcPr>
            <w:tcW w:w="1200" w:type="dxa"/>
            <w:tcBorders>
              <w:top w:val="nil"/>
              <w:left w:val="nil"/>
              <w:bottom w:val="single" w:sz="4" w:space="0" w:color="auto"/>
              <w:right w:val="single" w:sz="4" w:space="0" w:color="auto"/>
            </w:tcBorders>
            <w:shd w:val="clear" w:color="000000" w:fill="FFFFFF"/>
            <w:noWrap/>
            <w:vAlign w:val="center"/>
            <w:hideMark/>
          </w:tcPr>
          <w:p w14:paraId="15BE0A76"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91%</w:t>
            </w:r>
          </w:p>
        </w:tc>
      </w:tr>
      <w:tr w:rsidR="00F75E3A" w:rsidRPr="000744C3" w14:paraId="64A3BFAD"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5016154F"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43</w:t>
            </w:r>
          </w:p>
        </w:tc>
        <w:tc>
          <w:tcPr>
            <w:tcW w:w="1740" w:type="dxa"/>
            <w:tcBorders>
              <w:top w:val="nil"/>
              <w:left w:val="nil"/>
              <w:bottom w:val="single" w:sz="4" w:space="0" w:color="auto"/>
              <w:right w:val="single" w:sz="4" w:space="0" w:color="auto"/>
            </w:tcBorders>
            <w:shd w:val="clear" w:color="000000" w:fill="FFFFFF"/>
            <w:noWrap/>
            <w:vAlign w:val="center"/>
            <w:hideMark/>
          </w:tcPr>
          <w:p w14:paraId="7A3C56A1"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98%</w:t>
            </w:r>
          </w:p>
        </w:tc>
        <w:tc>
          <w:tcPr>
            <w:tcW w:w="1200" w:type="dxa"/>
            <w:tcBorders>
              <w:top w:val="nil"/>
              <w:left w:val="nil"/>
              <w:bottom w:val="single" w:sz="4" w:space="0" w:color="auto"/>
              <w:right w:val="single" w:sz="4" w:space="0" w:color="auto"/>
            </w:tcBorders>
            <w:shd w:val="clear" w:color="000000" w:fill="FFFFFF"/>
            <w:noWrap/>
            <w:vAlign w:val="center"/>
            <w:hideMark/>
          </w:tcPr>
          <w:p w14:paraId="77D46402"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81%</w:t>
            </w:r>
          </w:p>
        </w:tc>
        <w:tc>
          <w:tcPr>
            <w:tcW w:w="1360" w:type="dxa"/>
            <w:tcBorders>
              <w:top w:val="nil"/>
              <w:left w:val="nil"/>
              <w:bottom w:val="single" w:sz="4" w:space="0" w:color="auto"/>
              <w:right w:val="single" w:sz="4" w:space="0" w:color="auto"/>
            </w:tcBorders>
            <w:shd w:val="clear" w:color="000000" w:fill="FFFFFF"/>
            <w:noWrap/>
            <w:vAlign w:val="center"/>
            <w:hideMark/>
          </w:tcPr>
          <w:p w14:paraId="2A0D94F1"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60%</w:t>
            </w:r>
          </w:p>
        </w:tc>
        <w:tc>
          <w:tcPr>
            <w:tcW w:w="1200" w:type="dxa"/>
            <w:tcBorders>
              <w:top w:val="nil"/>
              <w:left w:val="nil"/>
              <w:bottom w:val="single" w:sz="4" w:space="0" w:color="auto"/>
              <w:right w:val="single" w:sz="4" w:space="0" w:color="auto"/>
            </w:tcBorders>
            <w:shd w:val="clear" w:color="000000" w:fill="FFFFFF"/>
            <w:noWrap/>
            <w:vAlign w:val="center"/>
            <w:hideMark/>
          </w:tcPr>
          <w:p w14:paraId="6617B0E6"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118%</w:t>
            </w:r>
          </w:p>
        </w:tc>
        <w:tc>
          <w:tcPr>
            <w:tcW w:w="1340" w:type="dxa"/>
            <w:tcBorders>
              <w:top w:val="nil"/>
              <w:left w:val="nil"/>
              <w:bottom w:val="single" w:sz="4" w:space="0" w:color="auto"/>
              <w:right w:val="single" w:sz="4" w:space="0" w:color="auto"/>
            </w:tcBorders>
            <w:shd w:val="clear" w:color="000000" w:fill="FFFFFF"/>
            <w:noWrap/>
            <w:vAlign w:val="center"/>
            <w:hideMark/>
          </w:tcPr>
          <w:p w14:paraId="35EA4F1B"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196%</w:t>
            </w:r>
          </w:p>
        </w:tc>
        <w:tc>
          <w:tcPr>
            <w:tcW w:w="1340" w:type="dxa"/>
            <w:tcBorders>
              <w:top w:val="nil"/>
              <w:left w:val="nil"/>
              <w:bottom w:val="single" w:sz="4" w:space="0" w:color="auto"/>
              <w:right w:val="single" w:sz="4" w:space="0" w:color="auto"/>
            </w:tcBorders>
            <w:shd w:val="clear" w:color="000000" w:fill="FFFFFF"/>
            <w:noWrap/>
            <w:vAlign w:val="center"/>
            <w:hideMark/>
          </w:tcPr>
          <w:p w14:paraId="78E999B2"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72%</w:t>
            </w:r>
          </w:p>
        </w:tc>
        <w:tc>
          <w:tcPr>
            <w:tcW w:w="1200" w:type="dxa"/>
            <w:tcBorders>
              <w:top w:val="nil"/>
              <w:left w:val="nil"/>
              <w:bottom w:val="single" w:sz="4" w:space="0" w:color="auto"/>
              <w:right w:val="single" w:sz="4" w:space="0" w:color="auto"/>
            </w:tcBorders>
            <w:shd w:val="clear" w:color="000000" w:fill="FFFFFF"/>
            <w:noWrap/>
            <w:vAlign w:val="center"/>
            <w:hideMark/>
          </w:tcPr>
          <w:p w14:paraId="34BA282B"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85%</w:t>
            </w:r>
          </w:p>
        </w:tc>
      </w:tr>
      <w:tr w:rsidR="00F75E3A" w:rsidRPr="000744C3" w14:paraId="0CA687F1"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78FD49AE"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44</w:t>
            </w:r>
          </w:p>
        </w:tc>
        <w:tc>
          <w:tcPr>
            <w:tcW w:w="1740" w:type="dxa"/>
            <w:tcBorders>
              <w:top w:val="nil"/>
              <w:left w:val="nil"/>
              <w:bottom w:val="single" w:sz="4" w:space="0" w:color="auto"/>
              <w:right w:val="single" w:sz="4" w:space="0" w:color="auto"/>
            </w:tcBorders>
            <w:shd w:val="clear" w:color="000000" w:fill="FFFFFF"/>
            <w:noWrap/>
            <w:vAlign w:val="center"/>
            <w:hideMark/>
          </w:tcPr>
          <w:p w14:paraId="28007F64"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87%</w:t>
            </w:r>
          </w:p>
        </w:tc>
        <w:tc>
          <w:tcPr>
            <w:tcW w:w="1200" w:type="dxa"/>
            <w:tcBorders>
              <w:top w:val="nil"/>
              <w:left w:val="nil"/>
              <w:bottom w:val="single" w:sz="4" w:space="0" w:color="auto"/>
              <w:right w:val="single" w:sz="4" w:space="0" w:color="auto"/>
            </w:tcBorders>
            <w:shd w:val="clear" w:color="000000" w:fill="FFFFFF"/>
            <w:noWrap/>
            <w:vAlign w:val="center"/>
            <w:hideMark/>
          </w:tcPr>
          <w:p w14:paraId="3623D773"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94%</w:t>
            </w:r>
          </w:p>
        </w:tc>
        <w:tc>
          <w:tcPr>
            <w:tcW w:w="1360" w:type="dxa"/>
            <w:tcBorders>
              <w:top w:val="nil"/>
              <w:left w:val="nil"/>
              <w:bottom w:val="single" w:sz="4" w:space="0" w:color="auto"/>
              <w:right w:val="single" w:sz="4" w:space="0" w:color="auto"/>
            </w:tcBorders>
            <w:shd w:val="clear" w:color="000000" w:fill="FFFFFF"/>
            <w:noWrap/>
            <w:vAlign w:val="center"/>
            <w:hideMark/>
          </w:tcPr>
          <w:p w14:paraId="180D327E"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55%</w:t>
            </w:r>
          </w:p>
        </w:tc>
        <w:tc>
          <w:tcPr>
            <w:tcW w:w="1200" w:type="dxa"/>
            <w:tcBorders>
              <w:top w:val="nil"/>
              <w:left w:val="nil"/>
              <w:bottom w:val="single" w:sz="4" w:space="0" w:color="auto"/>
              <w:right w:val="single" w:sz="4" w:space="0" w:color="auto"/>
            </w:tcBorders>
            <w:shd w:val="clear" w:color="000000" w:fill="FFFFFF"/>
            <w:noWrap/>
            <w:vAlign w:val="center"/>
            <w:hideMark/>
          </w:tcPr>
          <w:p w14:paraId="4D56CBD6"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129%</w:t>
            </w:r>
          </w:p>
        </w:tc>
        <w:tc>
          <w:tcPr>
            <w:tcW w:w="1340" w:type="dxa"/>
            <w:tcBorders>
              <w:top w:val="nil"/>
              <w:left w:val="nil"/>
              <w:bottom w:val="single" w:sz="4" w:space="0" w:color="auto"/>
              <w:right w:val="single" w:sz="4" w:space="0" w:color="auto"/>
            </w:tcBorders>
            <w:shd w:val="clear" w:color="000000" w:fill="FFFFFF"/>
            <w:noWrap/>
            <w:vAlign w:val="center"/>
            <w:hideMark/>
          </w:tcPr>
          <w:p w14:paraId="15D6B633"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318%</w:t>
            </w:r>
          </w:p>
        </w:tc>
        <w:tc>
          <w:tcPr>
            <w:tcW w:w="1340" w:type="dxa"/>
            <w:tcBorders>
              <w:top w:val="nil"/>
              <w:left w:val="nil"/>
              <w:bottom w:val="single" w:sz="4" w:space="0" w:color="auto"/>
              <w:right w:val="single" w:sz="4" w:space="0" w:color="auto"/>
            </w:tcBorders>
            <w:shd w:val="clear" w:color="000000" w:fill="FFFFFF"/>
            <w:noWrap/>
            <w:vAlign w:val="center"/>
            <w:hideMark/>
          </w:tcPr>
          <w:p w14:paraId="691873C1"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49%</w:t>
            </w:r>
          </w:p>
        </w:tc>
        <w:tc>
          <w:tcPr>
            <w:tcW w:w="1200" w:type="dxa"/>
            <w:tcBorders>
              <w:top w:val="nil"/>
              <w:left w:val="nil"/>
              <w:bottom w:val="single" w:sz="4" w:space="0" w:color="auto"/>
              <w:right w:val="single" w:sz="4" w:space="0" w:color="auto"/>
            </w:tcBorders>
            <w:shd w:val="clear" w:color="000000" w:fill="FFFFFF"/>
            <w:noWrap/>
            <w:vAlign w:val="center"/>
            <w:hideMark/>
          </w:tcPr>
          <w:p w14:paraId="6A1D99EA"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65%</w:t>
            </w:r>
          </w:p>
        </w:tc>
      </w:tr>
      <w:tr w:rsidR="00F75E3A" w:rsidRPr="000744C3" w14:paraId="0887AD14"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6BB9EB89"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45</w:t>
            </w:r>
          </w:p>
        </w:tc>
        <w:tc>
          <w:tcPr>
            <w:tcW w:w="1740" w:type="dxa"/>
            <w:tcBorders>
              <w:top w:val="nil"/>
              <w:left w:val="nil"/>
              <w:bottom w:val="single" w:sz="4" w:space="0" w:color="auto"/>
              <w:right w:val="single" w:sz="4" w:space="0" w:color="auto"/>
            </w:tcBorders>
            <w:shd w:val="clear" w:color="000000" w:fill="FFFFFF"/>
            <w:noWrap/>
            <w:vAlign w:val="center"/>
            <w:hideMark/>
          </w:tcPr>
          <w:p w14:paraId="568DCF71"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93%</w:t>
            </w:r>
          </w:p>
        </w:tc>
        <w:tc>
          <w:tcPr>
            <w:tcW w:w="1200" w:type="dxa"/>
            <w:tcBorders>
              <w:top w:val="nil"/>
              <w:left w:val="nil"/>
              <w:bottom w:val="single" w:sz="4" w:space="0" w:color="auto"/>
              <w:right w:val="single" w:sz="4" w:space="0" w:color="auto"/>
            </w:tcBorders>
            <w:shd w:val="clear" w:color="000000" w:fill="FFFFFF"/>
            <w:noWrap/>
            <w:vAlign w:val="center"/>
            <w:hideMark/>
          </w:tcPr>
          <w:p w14:paraId="195C18D1"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117%</w:t>
            </w:r>
          </w:p>
        </w:tc>
        <w:tc>
          <w:tcPr>
            <w:tcW w:w="1360" w:type="dxa"/>
            <w:tcBorders>
              <w:top w:val="nil"/>
              <w:left w:val="nil"/>
              <w:bottom w:val="single" w:sz="4" w:space="0" w:color="auto"/>
              <w:right w:val="single" w:sz="4" w:space="0" w:color="auto"/>
            </w:tcBorders>
            <w:shd w:val="clear" w:color="000000" w:fill="FFFFFF"/>
            <w:noWrap/>
            <w:vAlign w:val="center"/>
            <w:hideMark/>
          </w:tcPr>
          <w:p w14:paraId="7D30B994"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59%</w:t>
            </w:r>
          </w:p>
        </w:tc>
        <w:tc>
          <w:tcPr>
            <w:tcW w:w="1200" w:type="dxa"/>
            <w:tcBorders>
              <w:top w:val="nil"/>
              <w:left w:val="nil"/>
              <w:bottom w:val="single" w:sz="4" w:space="0" w:color="auto"/>
              <w:right w:val="single" w:sz="4" w:space="0" w:color="auto"/>
            </w:tcBorders>
            <w:shd w:val="clear" w:color="000000" w:fill="FFFFFF"/>
            <w:noWrap/>
            <w:vAlign w:val="center"/>
            <w:hideMark/>
          </w:tcPr>
          <w:p w14:paraId="514C50AF"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123%</w:t>
            </w:r>
          </w:p>
        </w:tc>
        <w:tc>
          <w:tcPr>
            <w:tcW w:w="1340" w:type="dxa"/>
            <w:tcBorders>
              <w:top w:val="nil"/>
              <w:left w:val="nil"/>
              <w:bottom w:val="single" w:sz="4" w:space="0" w:color="auto"/>
              <w:right w:val="single" w:sz="4" w:space="0" w:color="auto"/>
            </w:tcBorders>
            <w:shd w:val="clear" w:color="000000" w:fill="FFFFFF"/>
            <w:noWrap/>
            <w:vAlign w:val="center"/>
            <w:hideMark/>
          </w:tcPr>
          <w:p w14:paraId="77C03565"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281%</w:t>
            </w:r>
          </w:p>
        </w:tc>
        <w:tc>
          <w:tcPr>
            <w:tcW w:w="1340" w:type="dxa"/>
            <w:tcBorders>
              <w:top w:val="nil"/>
              <w:left w:val="nil"/>
              <w:bottom w:val="single" w:sz="4" w:space="0" w:color="auto"/>
              <w:right w:val="single" w:sz="4" w:space="0" w:color="auto"/>
            </w:tcBorders>
            <w:shd w:val="clear" w:color="000000" w:fill="FFFFFF"/>
            <w:noWrap/>
            <w:vAlign w:val="center"/>
            <w:hideMark/>
          </w:tcPr>
          <w:p w14:paraId="23CD4C25"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95%</w:t>
            </w:r>
          </w:p>
        </w:tc>
        <w:tc>
          <w:tcPr>
            <w:tcW w:w="1200" w:type="dxa"/>
            <w:tcBorders>
              <w:top w:val="nil"/>
              <w:left w:val="nil"/>
              <w:bottom w:val="single" w:sz="4" w:space="0" w:color="auto"/>
              <w:right w:val="single" w:sz="4" w:space="0" w:color="auto"/>
            </w:tcBorders>
            <w:shd w:val="clear" w:color="000000" w:fill="FFFFFF"/>
            <w:noWrap/>
            <w:vAlign w:val="center"/>
            <w:hideMark/>
          </w:tcPr>
          <w:p w14:paraId="15EEE303"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126%</w:t>
            </w:r>
          </w:p>
        </w:tc>
      </w:tr>
      <w:tr w:rsidR="00F75E3A" w:rsidRPr="000744C3" w14:paraId="1799B2E4"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58079A93"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46</w:t>
            </w:r>
          </w:p>
        </w:tc>
        <w:tc>
          <w:tcPr>
            <w:tcW w:w="1740" w:type="dxa"/>
            <w:tcBorders>
              <w:top w:val="nil"/>
              <w:left w:val="nil"/>
              <w:bottom w:val="single" w:sz="4" w:space="0" w:color="auto"/>
              <w:right w:val="single" w:sz="4" w:space="0" w:color="auto"/>
            </w:tcBorders>
            <w:shd w:val="clear" w:color="000000" w:fill="FFFFFF"/>
            <w:noWrap/>
            <w:vAlign w:val="center"/>
            <w:hideMark/>
          </w:tcPr>
          <w:p w14:paraId="36C1F017"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66%</w:t>
            </w:r>
          </w:p>
        </w:tc>
        <w:tc>
          <w:tcPr>
            <w:tcW w:w="1200" w:type="dxa"/>
            <w:tcBorders>
              <w:top w:val="nil"/>
              <w:left w:val="nil"/>
              <w:bottom w:val="single" w:sz="4" w:space="0" w:color="auto"/>
              <w:right w:val="single" w:sz="4" w:space="0" w:color="auto"/>
            </w:tcBorders>
            <w:shd w:val="clear" w:color="000000" w:fill="FFFFFF"/>
            <w:noWrap/>
            <w:vAlign w:val="center"/>
            <w:hideMark/>
          </w:tcPr>
          <w:p w14:paraId="49247168"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92%</w:t>
            </w:r>
          </w:p>
        </w:tc>
        <w:tc>
          <w:tcPr>
            <w:tcW w:w="1360" w:type="dxa"/>
            <w:tcBorders>
              <w:top w:val="nil"/>
              <w:left w:val="nil"/>
              <w:bottom w:val="single" w:sz="4" w:space="0" w:color="auto"/>
              <w:right w:val="single" w:sz="4" w:space="0" w:color="auto"/>
            </w:tcBorders>
            <w:shd w:val="clear" w:color="000000" w:fill="FFFFFF"/>
            <w:noWrap/>
            <w:vAlign w:val="center"/>
            <w:hideMark/>
          </w:tcPr>
          <w:p w14:paraId="161F6E76"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59%</w:t>
            </w:r>
          </w:p>
        </w:tc>
        <w:tc>
          <w:tcPr>
            <w:tcW w:w="1200" w:type="dxa"/>
            <w:tcBorders>
              <w:top w:val="nil"/>
              <w:left w:val="nil"/>
              <w:bottom w:val="single" w:sz="4" w:space="0" w:color="auto"/>
              <w:right w:val="single" w:sz="4" w:space="0" w:color="auto"/>
            </w:tcBorders>
            <w:shd w:val="clear" w:color="000000" w:fill="FFFFFF"/>
            <w:noWrap/>
            <w:vAlign w:val="center"/>
            <w:hideMark/>
          </w:tcPr>
          <w:p w14:paraId="4EDD69E0"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106%</w:t>
            </w:r>
          </w:p>
        </w:tc>
        <w:tc>
          <w:tcPr>
            <w:tcW w:w="1340" w:type="dxa"/>
            <w:tcBorders>
              <w:top w:val="nil"/>
              <w:left w:val="nil"/>
              <w:bottom w:val="single" w:sz="4" w:space="0" w:color="auto"/>
              <w:right w:val="single" w:sz="4" w:space="0" w:color="auto"/>
            </w:tcBorders>
            <w:shd w:val="clear" w:color="000000" w:fill="FFFFFF"/>
            <w:noWrap/>
            <w:vAlign w:val="center"/>
            <w:hideMark/>
          </w:tcPr>
          <w:p w14:paraId="1F339B61"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276%</w:t>
            </w:r>
          </w:p>
        </w:tc>
        <w:tc>
          <w:tcPr>
            <w:tcW w:w="1340" w:type="dxa"/>
            <w:tcBorders>
              <w:top w:val="nil"/>
              <w:left w:val="nil"/>
              <w:bottom w:val="single" w:sz="4" w:space="0" w:color="auto"/>
              <w:right w:val="single" w:sz="4" w:space="0" w:color="auto"/>
            </w:tcBorders>
            <w:shd w:val="clear" w:color="000000" w:fill="FFFFFF"/>
            <w:noWrap/>
            <w:vAlign w:val="center"/>
            <w:hideMark/>
          </w:tcPr>
          <w:p w14:paraId="19DCAC63"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67%</w:t>
            </w:r>
          </w:p>
        </w:tc>
        <w:tc>
          <w:tcPr>
            <w:tcW w:w="1200" w:type="dxa"/>
            <w:tcBorders>
              <w:top w:val="nil"/>
              <w:left w:val="nil"/>
              <w:bottom w:val="single" w:sz="4" w:space="0" w:color="auto"/>
              <w:right w:val="single" w:sz="4" w:space="0" w:color="auto"/>
            </w:tcBorders>
            <w:shd w:val="clear" w:color="000000" w:fill="FFFFFF"/>
            <w:noWrap/>
            <w:vAlign w:val="center"/>
            <w:hideMark/>
          </w:tcPr>
          <w:p w14:paraId="41CE04C4"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91%</w:t>
            </w:r>
          </w:p>
        </w:tc>
      </w:tr>
      <w:tr w:rsidR="00F75E3A" w:rsidRPr="000744C3" w14:paraId="7327619A"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7E708694"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47</w:t>
            </w:r>
          </w:p>
        </w:tc>
        <w:tc>
          <w:tcPr>
            <w:tcW w:w="1740" w:type="dxa"/>
            <w:tcBorders>
              <w:top w:val="nil"/>
              <w:left w:val="nil"/>
              <w:bottom w:val="single" w:sz="4" w:space="0" w:color="auto"/>
              <w:right w:val="single" w:sz="4" w:space="0" w:color="auto"/>
            </w:tcBorders>
            <w:shd w:val="clear" w:color="000000" w:fill="FFFFFF"/>
            <w:noWrap/>
            <w:vAlign w:val="center"/>
            <w:hideMark/>
          </w:tcPr>
          <w:p w14:paraId="3DE7CCFC"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83%</w:t>
            </w:r>
          </w:p>
        </w:tc>
        <w:tc>
          <w:tcPr>
            <w:tcW w:w="1200" w:type="dxa"/>
            <w:tcBorders>
              <w:top w:val="nil"/>
              <w:left w:val="nil"/>
              <w:bottom w:val="single" w:sz="4" w:space="0" w:color="auto"/>
              <w:right w:val="single" w:sz="4" w:space="0" w:color="auto"/>
            </w:tcBorders>
            <w:shd w:val="clear" w:color="000000" w:fill="FFFFFF"/>
            <w:noWrap/>
            <w:vAlign w:val="center"/>
            <w:hideMark/>
          </w:tcPr>
          <w:p w14:paraId="00AFA4B6"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86%</w:t>
            </w:r>
          </w:p>
        </w:tc>
        <w:tc>
          <w:tcPr>
            <w:tcW w:w="1360" w:type="dxa"/>
            <w:tcBorders>
              <w:top w:val="nil"/>
              <w:left w:val="nil"/>
              <w:bottom w:val="single" w:sz="4" w:space="0" w:color="auto"/>
              <w:right w:val="single" w:sz="4" w:space="0" w:color="auto"/>
            </w:tcBorders>
            <w:shd w:val="clear" w:color="000000" w:fill="FFFFFF"/>
            <w:noWrap/>
            <w:vAlign w:val="center"/>
            <w:hideMark/>
          </w:tcPr>
          <w:p w14:paraId="6D4E8054"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61%</w:t>
            </w:r>
          </w:p>
        </w:tc>
        <w:tc>
          <w:tcPr>
            <w:tcW w:w="1200" w:type="dxa"/>
            <w:tcBorders>
              <w:top w:val="nil"/>
              <w:left w:val="nil"/>
              <w:bottom w:val="single" w:sz="4" w:space="0" w:color="auto"/>
              <w:right w:val="single" w:sz="4" w:space="0" w:color="auto"/>
            </w:tcBorders>
            <w:shd w:val="clear" w:color="000000" w:fill="FFFFFF"/>
            <w:noWrap/>
            <w:vAlign w:val="center"/>
            <w:hideMark/>
          </w:tcPr>
          <w:p w14:paraId="779E08C8"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102%</w:t>
            </w:r>
          </w:p>
        </w:tc>
        <w:tc>
          <w:tcPr>
            <w:tcW w:w="1340" w:type="dxa"/>
            <w:tcBorders>
              <w:top w:val="nil"/>
              <w:left w:val="nil"/>
              <w:bottom w:val="single" w:sz="4" w:space="0" w:color="auto"/>
              <w:right w:val="single" w:sz="4" w:space="0" w:color="auto"/>
            </w:tcBorders>
            <w:shd w:val="clear" w:color="000000" w:fill="FFFFFF"/>
            <w:noWrap/>
            <w:vAlign w:val="center"/>
            <w:hideMark/>
          </w:tcPr>
          <w:p w14:paraId="04C3C630"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209%</w:t>
            </w:r>
          </w:p>
        </w:tc>
        <w:tc>
          <w:tcPr>
            <w:tcW w:w="1340" w:type="dxa"/>
            <w:tcBorders>
              <w:top w:val="nil"/>
              <w:left w:val="nil"/>
              <w:bottom w:val="single" w:sz="4" w:space="0" w:color="auto"/>
              <w:right w:val="single" w:sz="4" w:space="0" w:color="auto"/>
            </w:tcBorders>
            <w:shd w:val="clear" w:color="000000" w:fill="FFFFFF"/>
            <w:noWrap/>
            <w:vAlign w:val="center"/>
            <w:hideMark/>
          </w:tcPr>
          <w:p w14:paraId="6596D7B5"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77%</w:t>
            </w:r>
          </w:p>
        </w:tc>
        <w:tc>
          <w:tcPr>
            <w:tcW w:w="1200" w:type="dxa"/>
            <w:tcBorders>
              <w:top w:val="nil"/>
              <w:left w:val="nil"/>
              <w:bottom w:val="single" w:sz="4" w:space="0" w:color="auto"/>
              <w:right w:val="single" w:sz="4" w:space="0" w:color="auto"/>
            </w:tcBorders>
            <w:shd w:val="clear" w:color="000000" w:fill="FFFFFF"/>
            <w:noWrap/>
            <w:vAlign w:val="center"/>
            <w:hideMark/>
          </w:tcPr>
          <w:p w14:paraId="66DE2467"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97%</w:t>
            </w:r>
          </w:p>
        </w:tc>
      </w:tr>
      <w:tr w:rsidR="00F75E3A" w:rsidRPr="000744C3" w14:paraId="7B1ECB5D"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48D83726"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48</w:t>
            </w:r>
          </w:p>
        </w:tc>
        <w:tc>
          <w:tcPr>
            <w:tcW w:w="1740" w:type="dxa"/>
            <w:tcBorders>
              <w:top w:val="nil"/>
              <w:left w:val="nil"/>
              <w:bottom w:val="single" w:sz="4" w:space="0" w:color="auto"/>
              <w:right w:val="single" w:sz="4" w:space="0" w:color="auto"/>
            </w:tcBorders>
            <w:shd w:val="clear" w:color="000000" w:fill="FFFFFF"/>
            <w:noWrap/>
            <w:vAlign w:val="center"/>
            <w:hideMark/>
          </w:tcPr>
          <w:p w14:paraId="29C87D5B"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94%</w:t>
            </w:r>
          </w:p>
        </w:tc>
        <w:tc>
          <w:tcPr>
            <w:tcW w:w="1200" w:type="dxa"/>
            <w:tcBorders>
              <w:top w:val="nil"/>
              <w:left w:val="nil"/>
              <w:bottom w:val="single" w:sz="4" w:space="0" w:color="auto"/>
              <w:right w:val="single" w:sz="4" w:space="0" w:color="auto"/>
            </w:tcBorders>
            <w:shd w:val="clear" w:color="000000" w:fill="FFFFFF"/>
            <w:noWrap/>
            <w:vAlign w:val="center"/>
            <w:hideMark/>
          </w:tcPr>
          <w:p w14:paraId="0B7DC9A7"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140%</w:t>
            </w:r>
          </w:p>
        </w:tc>
        <w:tc>
          <w:tcPr>
            <w:tcW w:w="1360" w:type="dxa"/>
            <w:tcBorders>
              <w:top w:val="nil"/>
              <w:left w:val="nil"/>
              <w:bottom w:val="single" w:sz="4" w:space="0" w:color="auto"/>
              <w:right w:val="single" w:sz="4" w:space="0" w:color="auto"/>
            </w:tcBorders>
            <w:shd w:val="clear" w:color="000000" w:fill="FFFFFF"/>
            <w:noWrap/>
            <w:vAlign w:val="center"/>
            <w:hideMark/>
          </w:tcPr>
          <w:p w14:paraId="73ADCAFB"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63%</w:t>
            </w:r>
          </w:p>
        </w:tc>
        <w:tc>
          <w:tcPr>
            <w:tcW w:w="1200" w:type="dxa"/>
            <w:tcBorders>
              <w:top w:val="nil"/>
              <w:left w:val="nil"/>
              <w:bottom w:val="single" w:sz="4" w:space="0" w:color="auto"/>
              <w:right w:val="single" w:sz="4" w:space="0" w:color="auto"/>
            </w:tcBorders>
            <w:shd w:val="clear" w:color="000000" w:fill="FFFFFF"/>
            <w:noWrap/>
            <w:vAlign w:val="center"/>
            <w:hideMark/>
          </w:tcPr>
          <w:p w14:paraId="6D50EBAD"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105%</w:t>
            </w:r>
          </w:p>
        </w:tc>
        <w:tc>
          <w:tcPr>
            <w:tcW w:w="1340" w:type="dxa"/>
            <w:tcBorders>
              <w:top w:val="nil"/>
              <w:left w:val="nil"/>
              <w:bottom w:val="single" w:sz="4" w:space="0" w:color="auto"/>
              <w:right w:val="single" w:sz="4" w:space="0" w:color="auto"/>
            </w:tcBorders>
            <w:shd w:val="clear" w:color="000000" w:fill="FFFFFF"/>
            <w:noWrap/>
            <w:vAlign w:val="center"/>
            <w:hideMark/>
          </w:tcPr>
          <w:p w14:paraId="546E4CA6"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251%</w:t>
            </w:r>
          </w:p>
        </w:tc>
        <w:tc>
          <w:tcPr>
            <w:tcW w:w="1340" w:type="dxa"/>
            <w:tcBorders>
              <w:top w:val="nil"/>
              <w:left w:val="nil"/>
              <w:bottom w:val="single" w:sz="4" w:space="0" w:color="auto"/>
              <w:right w:val="single" w:sz="4" w:space="0" w:color="auto"/>
            </w:tcBorders>
            <w:shd w:val="clear" w:color="000000" w:fill="FFFFFF"/>
            <w:noWrap/>
            <w:vAlign w:val="center"/>
            <w:hideMark/>
          </w:tcPr>
          <w:p w14:paraId="267F5F70"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93%</w:t>
            </w:r>
          </w:p>
        </w:tc>
        <w:tc>
          <w:tcPr>
            <w:tcW w:w="1200" w:type="dxa"/>
            <w:tcBorders>
              <w:top w:val="nil"/>
              <w:left w:val="nil"/>
              <w:bottom w:val="single" w:sz="4" w:space="0" w:color="auto"/>
              <w:right w:val="single" w:sz="4" w:space="0" w:color="auto"/>
            </w:tcBorders>
            <w:shd w:val="clear" w:color="000000" w:fill="FFFFFF"/>
            <w:noWrap/>
            <w:vAlign w:val="center"/>
            <w:hideMark/>
          </w:tcPr>
          <w:p w14:paraId="7F7D0B13"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109%</w:t>
            </w:r>
          </w:p>
        </w:tc>
      </w:tr>
      <w:tr w:rsidR="00F75E3A" w:rsidRPr="000744C3" w14:paraId="16FE8322"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676CAB8A"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49</w:t>
            </w:r>
          </w:p>
        </w:tc>
        <w:tc>
          <w:tcPr>
            <w:tcW w:w="1740" w:type="dxa"/>
            <w:tcBorders>
              <w:top w:val="nil"/>
              <w:left w:val="nil"/>
              <w:bottom w:val="single" w:sz="4" w:space="0" w:color="auto"/>
              <w:right w:val="single" w:sz="4" w:space="0" w:color="auto"/>
            </w:tcBorders>
            <w:shd w:val="clear" w:color="000000" w:fill="FFFFFF"/>
            <w:noWrap/>
            <w:vAlign w:val="center"/>
            <w:hideMark/>
          </w:tcPr>
          <w:p w14:paraId="4EFDB79B"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109%</w:t>
            </w:r>
          </w:p>
        </w:tc>
        <w:tc>
          <w:tcPr>
            <w:tcW w:w="1200" w:type="dxa"/>
            <w:tcBorders>
              <w:top w:val="nil"/>
              <w:left w:val="nil"/>
              <w:bottom w:val="single" w:sz="4" w:space="0" w:color="auto"/>
              <w:right w:val="single" w:sz="4" w:space="0" w:color="auto"/>
            </w:tcBorders>
            <w:shd w:val="clear" w:color="000000" w:fill="FFFFFF"/>
            <w:noWrap/>
            <w:vAlign w:val="center"/>
            <w:hideMark/>
          </w:tcPr>
          <w:p w14:paraId="7679936A"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102%</w:t>
            </w:r>
          </w:p>
        </w:tc>
        <w:tc>
          <w:tcPr>
            <w:tcW w:w="1360" w:type="dxa"/>
            <w:tcBorders>
              <w:top w:val="nil"/>
              <w:left w:val="nil"/>
              <w:bottom w:val="single" w:sz="4" w:space="0" w:color="auto"/>
              <w:right w:val="single" w:sz="4" w:space="0" w:color="auto"/>
            </w:tcBorders>
            <w:shd w:val="clear" w:color="000000" w:fill="FFFFFF"/>
            <w:noWrap/>
            <w:vAlign w:val="center"/>
            <w:hideMark/>
          </w:tcPr>
          <w:p w14:paraId="31194F1B"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52%</w:t>
            </w:r>
          </w:p>
        </w:tc>
        <w:tc>
          <w:tcPr>
            <w:tcW w:w="1200" w:type="dxa"/>
            <w:tcBorders>
              <w:top w:val="nil"/>
              <w:left w:val="nil"/>
              <w:bottom w:val="single" w:sz="4" w:space="0" w:color="auto"/>
              <w:right w:val="single" w:sz="4" w:space="0" w:color="auto"/>
            </w:tcBorders>
            <w:shd w:val="clear" w:color="000000" w:fill="FFFFFF"/>
            <w:noWrap/>
            <w:vAlign w:val="center"/>
            <w:hideMark/>
          </w:tcPr>
          <w:p w14:paraId="32FC938E"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95%</w:t>
            </w:r>
          </w:p>
        </w:tc>
        <w:tc>
          <w:tcPr>
            <w:tcW w:w="1340" w:type="dxa"/>
            <w:tcBorders>
              <w:top w:val="nil"/>
              <w:left w:val="nil"/>
              <w:bottom w:val="single" w:sz="4" w:space="0" w:color="auto"/>
              <w:right w:val="single" w:sz="4" w:space="0" w:color="auto"/>
            </w:tcBorders>
            <w:shd w:val="clear" w:color="000000" w:fill="FFFFFF"/>
            <w:noWrap/>
            <w:vAlign w:val="center"/>
            <w:hideMark/>
          </w:tcPr>
          <w:p w14:paraId="1EB572C6"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278%</w:t>
            </w:r>
          </w:p>
        </w:tc>
        <w:tc>
          <w:tcPr>
            <w:tcW w:w="1340" w:type="dxa"/>
            <w:tcBorders>
              <w:top w:val="nil"/>
              <w:left w:val="nil"/>
              <w:bottom w:val="single" w:sz="4" w:space="0" w:color="auto"/>
              <w:right w:val="single" w:sz="4" w:space="0" w:color="auto"/>
            </w:tcBorders>
            <w:shd w:val="clear" w:color="000000" w:fill="FFFFFF"/>
            <w:noWrap/>
            <w:vAlign w:val="center"/>
            <w:hideMark/>
          </w:tcPr>
          <w:p w14:paraId="3200D4A5"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101%</w:t>
            </w:r>
          </w:p>
        </w:tc>
        <w:tc>
          <w:tcPr>
            <w:tcW w:w="1200" w:type="dxa"/>
            <w:tcBorders>
              <w:top w:val="nil"/>
              <w:left w:val="nil"/>
              <w:bottom w:val="single" w:sz="4" w:space="0" w:color="auto"/>
              <w:right w:val="single" w:sz="4" w:space="0" w:color="auto"/>
            </w:tcBorders>
            <w:shd w:val="clear" w:color="000000" w:fill="FFFFFF"/>
            <w:noWrap/>
            <w:vAlign w:val="center"/>
            <w:hideMark/>
          </w:tcPr>
          <w:p w14:paraId="64EA990D" w14:textId="77777777" w:rsidR="00F75E3A" w:rsidRPr="000744C3" w:rsidRDefault="00F75E3A" w:rsidP="00243F14">
            <w:pPr>
              <w:spacing w:line="276" w:lineRule="auto"/>
              <w:jc w:val="center"/>
              <w:rPr>
                <w:rFonts w:ascii="Book Antiqua" w:hAnsi="Book Antiqua" w:cs="Calibri"/>
                <w:color w:val="000000"/>
                <w:sz w:val="16"/>
                <w:szCs w:val="16"/>
                <w:lang w:eastAsia="es-CR"/>
              </w:rPr>
            </w:pPr>
            <w:r w:rsidRPr="000744C3">
              <w:rPr>
                <w:rFonts w:ascii="Book Antiqua" w:hAnsi="Book Antiqua" w:cs="Calibri"/>
                <w:color w:val="000000"/>
                <w:sz w:val="16"/>
                <w:szCs w:val="16"/>
                <w:lang w:eastAsia="es-CR"/>
              </w:rPr>
              <w:t>115%</w:t>
            </w:r>
          </w:p>
        </w:tc>
      </w:tr>
      <w:tr w:rsidR="00F75E3A" w:rsidRPr="000744C3" w14:paraId="26BB0437" w14:textId="77777777" w:rsidTr="00243F14">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3CF9690C" w14:textId="77777777" w:rsidR="00F75E3A" w:rsidRPr="000744C3" w:rsidRDefault="00F75E3A" w:rsidP="00243F14">
            <w:pPr>
              <w:spacing w:line="276" w:lineRule="auto"/>
              <w:jc w:val="center"/>
              <w:rPr>
                <w:rFonts w:ascii="Book Antiqua" w:hAnsi="Book Antiqua" w:cs="Calibri"/>
                <w:b/>
                <w:bCs/>
                <w:color w:val="000000"/>
                <w:sz w:val="16"/>
                <w:szCs w:val="16"/>
                <w:lang w:eastAsia="es-CR"/>
              </w:rPr>
            </w:pPr>
            <w:r w:rsidRPr="000744C3">
              <w:rPr>
                <w:rFonts w:ascii="Book Antiqua" w:hAnsi="Book Antiqua" w:cs="Calibri"/>
                <w:b/>
                <w:bCs/>
                <w:color w:val="000000"/>
                <w:sz w:val="16"/>
                <w:szCs w:val="16"/>
                <w:lang w:eastAsia="es-CR"/>
              </w:rPr>
              <w:t>Promedio</w:t>
            </w:r>
          </w:p>
        </w:tc>
        <w:tc>
          <w:tcPr>
            <w:tcW w:w="1740" w:type="dxa"/>
            <w:tcBorders>
              <w:top w:val="nil"/>
              <w:left w:val="nil"/>
              <w:bottom w:val="single" w:sz="4" w:space="0" w:color="auto"/>
              <w:right w:val="single" w:sz="4" w:space="0" w:color="auto"/>
            </w:tcBorders>
            <w:shd w:val="clear" w:color="000000" w:fill="FFFFFF"/>
            <w:noWrap/>
            <w:vAlign w:val="center"/>
            <w:hideMark/>
          </w:tcPr>
          <w:p w14:paraId="473FC5F4" w14:textId="77777777" w:rsidR="00F75E3A" w:rsidRPr="000744C3" w:rsidRDefault="00F75E3A" w:rsidP="00243F14">
            <w:pPr>
              <w:spacing w:line="276" w:lineRule="auto"/>
              <w:jc w:val="center"/>
              <w:rPr>
                <w:rFonts w:ascii="Book Antiqua" w:hAnsi="Book Antiqua" w:cs="Calibri"/>
                <w:b/>
                <w:bCs/>
                <w:color w:val="000000"/>
                <w:sz w:val="16"/>
                <w:szCs w:val="16"/>
                <w:lang w:eastAsia="es-CR"/>
              </w:rPr>
            </w:pPr>
            <w:r w:rsidRPr="000744C3">
              <w:rPr>
                <w:rFonts w:ascii="Book Antiqua" w:hAnsi="Book Antiqua" w:cs="Calibri"/>
                <w:b/>
                <w:bCs/>
                <w:color w:val="000000"/>
                <w:sz w:val="16"/>
                <w:szCs w:val="16"/>
                <w:lang w:eastAsia="es-CR"/>
              </w:rPr>
              <w:t>86%</w:t>
            </w:r>
          </w:p>
        </w:tc>
        <w:tc>
          <w:tcPr>
            <w:tcW w:w="1200" w:type="dxa"/>
            <w:tcBorders>
              <w:top w:val="nil"/>
              <w:left w:val="nil"/>
              <w:bottom w:val="single" w:sz="4" w:space="0" w:color="auto"/>
              <w:right w:val="single" w:sz="4" w:space="0" w:color="auto"/>
            </w:tcBorders>
            <w:shd w:val="clear" w:color="000000" w:fill="FFFFFF"/>
            <w:noWrap/>
            <w:vAlign w:val="center"/>
            <w:hideMark/>
          </w:tcPr>
          <w:p w14:paraId="7499FE40" w14:textId="77777777" w:rsidR="00F75E3A" w:rsidRPr="000744C3" w:rsidRDefault="00F75E3A" w:rsidP="00243F14">
            <w:pPr>
              <w:spacing w:line="276" w:lineRule="auto"/>
              <w:jc w:val="center"/>
              <w:rPr>
                <w:rFonts w:ascii="Book Antiqua" w:hAnsi="Book Antiqua" w:cs="Calibri"/>
                <w:b/>
                <w:bCs/>
                <w:color w:val="000000"/>
                <w:sz w:val="16"/>
                <w:szCs w:val="16"/>
                <w:lang w:eastAsia="es-CR"/>
              </w:rPr>
            </w:pPr>
            <w:r w:rsidRPr="000744C3">
              <w:rPr>
                <w:rFonts w:ascii="Book Antiqua" w:hAnsi="Book Antiqua" w:cs="Calibri"/>
                <w:b/>
                <w:bCs/>
                <w:color w:val="000000"/>
                <w:sz w:val="16"/>
                <w:szCs w:val="16"/>
                <w:lang w:eastAsia="es-CR"/>
              </w:rPr>
              <w:t>103%</w:t>
            </w:r>
          </w:p>
        </w:tc>
        <w:tc>
          <w:tcPr>
            <w:tcW w:w="1360" w:type="dxa"/>
            <w:tcBorders>
              <w:top w:val="nil"/>
              <w:left w:val="nil"/>
              <w:bottom w:val="single" w:sz="4" w:space="0" w:color="auto"/>
              <w:right w:val="single" w:sz="4" w:space="0" w:color="auto"/>
            </w:tcBorders>
            <w:shd w:val="clear" w:color="auto" w:fill="auto"/>
            <w:noWrap/>
            <w:vAlign w:val="center"/>
            <w:hideMark/>
          </w:tcPr>
          <w:p w14:paraId="52BBCA92" w14:textId="77777777" w:rsidR="00F75E3A" w:rsidRPr="000744C3" w:rsidRDefault="00F75E3A" w:rsidP="00243F14">
            <w:pPr>
              <w:spacing w:line="276" w:lineRule="auto"/>
              <w:jc w:val="center"/>
              <w:rPr>
                <w:rFonts w:ascii="Book Antiqua" w:hAnsi="Book Antiqua" w:cs="Calibri"/>
                <w:b/>
                <w:bCs/>
                <w:color w:val="000000"/>
                <w:sz w:val="16"/>
                <w:szCs w:val="16"/>
                <w:lang w:eastAsia="es-CR"/>
              </w:rPr>
            </w:pPr>
            <w:r w:rsidRPr="000744C3">
              <w:rPr>
                <w:rFonts w:ascii="Book Antiqua" w:hAnsi="Book Antiqua" w:cs="Calibri"/>
                <w:b/>
                <w:bCs/>
                <w:color w:val="000000"/>
                <w:sz w:val="16"/>
                <w:szCs w:val="16"/>
                <w:lang w:eastAsia="es-CR"/>
              </w:rPr>
              <w:t>53%</w:t>
            </w:r>
          </w:p>
        </w:tc>
        <w:tc>
          <w:tcPr>
            <w:tcW w:w="1200" w:type="dxa"/>
            <w:tcBorders>
              <w:top w:val="nil"/>
              <w:left w:val="nil"/>
              <w:bottom w:val="single" w:sz="4" w:space="0" w:color="auto"/>
              <w:right w:val="single" w:sz="4" w:space="0" w:color="auto"/>
            </w:tcBorders>
            <w:shd w:val="clear" w:color="000000" w:fill="FFFFFF"/>
            <w:noWrap/>
            <w:vAlign w:val="center"/>
            <w:hideMark/>
          </w:tcPr>
          <w:p w14:paraId="09571D7B" w14:textId="77777777" w:rsidR="00F75E3A" w:rsidRPr="000744C3" w:rsidRDefault="00F75E3A" w:rsidP="00243F14">
            <w:pPr>
              <w:spacing w:line="276" w:lineRule="auto"/>
              <w:jc w:val="center"/>
              <w:rPr>
                <w:rFonts w:ascii="Book Antiqua" w:hAnsi="Book Antiqua" w:cs="Calibri"/>
                <w:b/>
                <w:bCs/>
                <w:color w:val="000000"/>
                <w:sz w:val="16"/>
                <w:szCs w:val="16"/>
                <w:lang w:eastAsia="es-CR"/>
              </w:rPr>
            </w:pPr>
            <w:r w:rsidRPr="000744C3">
              <w:rPr>
                <w:rFonts w:ascii="Book Antiqua" w:hAnsi="Book Antiqua" w:cs="Calibri"/>
                <w:b/>
                <w:bCs/>
                <w:color w:val="000000"/>
                <w:sz w:val="16"/>
                <w:szCs w:val="16"/>
                <w:lang w:eastAsia="es-CR"/>
              </w:rPr>
              <w:t>109%</w:t>
            </w:r>
          </w:p>
        </w:tc>
        <w:tc>
          <w:tcPr>
            <w:tcW w:w="1340" w:type="dxa"/>
            <w:tcBorders>
              <w:top w:val="nil"/>
              <w:left w:val="nil"/>
              <w:bottom w:val="single" w:sz="4" w:space="0" w:color="auto"/>
              <w:right w:val="single" w:sz="4" w:space="0" w:color="auto"/>
            </w:tcBorders>
            <w:shd w:val="clear" w:color="000000" w:fill="FFFFFF"/>
            <w:noWrap/>
            <w:vAlign w:val="center"/>
            <w:hideMark/>
          </w:tcPr>
          <w:p w14:paraId="6E12B45F" w14:textId="77777777" w:rsidR="00F75E3A" w:rsidRPr="000744C3" w:rsidRDefault="00F75E3A" w:rsidP="00243F14">
            <w:pPr>
              <w:spacing w:line="276" w:lineRule="auto"/>
              <w:jc w:val="center"/>
              <w:rPr>
                <w:rFonts w:ascii="Book Antiqua" w:hAnsi="Book Antiqua" w:cs="Calibri"/>
                <w:b/>
                <w:bCs/>
                <w:color w:val="000000"/>
                <w:sz w:val="16"/>
                <w:szCs w:val="16"/>
                <w:lang w:eastAsia="es-CR"/>
              </w:rPr>
            </w:pPr>
            <w:r w:rsidRPr="000744C3">
              <w:rPr>
                <w:rFonts w:ascii="Book Antiqua" w:hAnsi="Book Antiqua" w:cs="Calibri"/>
                <w:b/>
                <w:bCs/>
                <w:color w:val="000000"/>
                <w:sz w:val="16"/>
                <w:szCs w:val="16"/>
                <w:lang w:eastAsia="es-CR"/>
              </w:rPr>
              <w:t>238%</w:t>
            </w:r>
          </w:p>
        </w:tc>
        <w:tc>
          <w:tcPr>
            <w:tcW w:w="1340" w:type="dxa"/>
            <w:tcBorders>
              <w:top w:val="nil"/>
              <w:left w:val="nil"/>
              <w:bottom w:val="single" w:sz="4" w:space="0" w:color="auto"/>
              <w:right w:val="single" w:sz="4" w:space="0" w:color="auto"/>
            </w:tcBorders>
            <w:shd w:val="clear" w:color="000000" w:fill="FFFFFF"/>
            <w:noWrap/>
            <w:vAlign w:val="center"/>
            <w:hideMark/>
          </w:tcPr>
          <w:p w14:paraId="5E9EA5A8" w14:textId="77777777" w:rsidR="00F75E3A" w:rsidRPr="000744C3" w:rsidRDefault="00F75E3A" w:rsidP="00243F14">
            <w:pPr>
              <w:spacing w:line="276" w:lineRule="auto"/>
              <w:jc w:val="center"/>
              <w:rPr>
                <w:rFonts w:ascii="Book Antiqua" w:hAnsi="Book Antiqua" w:cs="Calibri"/>
                <w:b/>
                <w:bCs/>
                <w:color w:val="000000"/>
                <w:sz w:val="16"/>
                <w:szCs w:val="16"/>
                <w:lang w:eastAsia="es-CR"/>
              </w:rPr>
            </w:pPr>
            <w:r w:rsidRPr="000744C3">
              <w:rPr>
                <w:rFonts w:ascii="Book Antiqua" w:hAnsi="Book Antiqua" w:cs="Calibri"/>
                <w:b/>
                <w:bCs/>
                <w:color w:val="000000"/>
                <w:sz w:val="16"/>
                <w:szCs w:val="16"/>
                <w:lang w:eastAsia="es-CR"/>
              </w:rPr>
              <w:t>92%</w:t>
            </w:r>
          </w:p>
        </w:tc>
        <w:tc>
          <w:tcPr>
            <w:tcW w:w="1200" w:type="dxa"/>
            <w:tcBorders>
              <w:top w:val="nil"/>
              <w:left w:val="nil"/>
              <w:bottom w:val="single" w:sz="4" w:space="0" w:color="auto"/>
              <w:right w:val="single" w:sz="4" w:space="0" w:color="auto"/>
            </w:tcBorders>
            <w:shd w:val="clear" w:color="000000" w:fill="FFFFFF"/>
            <w:noWrap/>
            <w:vAlign w:val="center"/>
            <w:hideMark/>
          </w:tcPr>
          <w:p w14:paraId="074615B2" w14:textId="77777777" w:rsidR="00F75E3A" w:rsidRPr="000744C3" w:rsidRDefault="00F75E3A" w:rsidP="00243F14">
            <w:pPr>
              <w:spacing w:line="276" w:lineRule="auto"/>
              <w:jc w:val="center"/>
              <w:rPr>
                <w:rFonts w:ascii="Book Antiqua" w:hAnsi="Book Antiqua" w:cs="Calibri"/>
                <w:b/>
                <w:bCs/>
                <w:color w:val="000000"/>
                <w:sz w:val="16"/>
                <w:szCs w:val="16"/>
                <w:lang w:eastAsia="es-CR"/>
              </w:rPr>
            </w:pPr>
            <w:r w:rsidRPr="000744C3">
              <w:rPr>
                <w:rFonts w:ascii="Book Antiqua" w:hAnsi="Book Antiqua" w:cs="Calibri"/>
                <w:b/>
                <w:bCs/>
                <w:color w:val="000000"/>
                <w:sz w:val="16"/>
                <w:szCs w:val="16"/>
                <w:lang w:eastAsia="es-CR"/>
              </w:rPr>
              <w:t>97%</w:t>
            </w:r>
          </w:p>
        </w:tc>
      </w:tr>
    </w:tbl>
    <w:p w14:paraId="6F9D6E72" w14:textId="77777777" w:rsidR="00F75E3A" w:rsidRPr="004F0E92" w:rsidRDefault="00F75E3A" w:rsidP="00F75E3A">
      <w:pPr>
        <w:spacing w:line="276" w:lineRule="auto"/>
        <w:jc w:val="right"/>
        <w:rPr>
          <w:rFonts w:ascii="Book Antiqua" w:hAnsi="Book Antiqua"/>
          <w:b/>
          <w:bCs/>
          <w:color w:val="000000" w:themeColor="text1"/>
          <w:sz w:val="20"/>
          <w:szCs w:val="20"/>
        </w:rPr>
      </w:pPr>
      <w:r w:rsidRPr="004F0E92">
        <w:rPr>
          <w:rFonts w:ascii="Book Antiqua" w:hAnsi="Book Antiqua"/>
          <w:b/>
          <w:bCs/>
          <w:color w:val="000000" w:themeColor="text1"/>
          <w:sz w:val="20"/>
          <w:szCs w:val="20"/>
        </w:rPr>
        <w:t xml:space="preserve">Fuente: </w:t>
      </w:r>
      <w:r w:rsidRPr="004F0E92">
        <w:rPr>
          <w:rFonts w:ascii="Book Antiqua" w:hAnsi="Book Antiqua"/>
          <w:color w:val="000000" w:themeColor="text1"/>
          <w:sz w:val="20"/>
          <w:szCs w:val="20"/>
        </w:rPr>
        <w:t>Elaboración propia a partir de datos suministrados por despachos según circular 61-2020</w:t>
      </w:r>
    </w:p>
    <w:p w14:paraId="05A2FBA9" w14:textId="77777777" w:rsidR="00F75E3A" w:rsidRDefault="00F75E3A" w:rsidP="00F75E3A">
      <w:pPr>
        <w:spacing w:line="276" w:lineRule="auto"/>
        <w:jc w:val="both"/>
        <w:rPr>
          <w:rFonts w:ascii="Book Antiqua" w:hAnsi="Book Antiqua"/>
        </w:rPr>
      </w:pPr>
    </w:p>
    <w:p w14:paraId="589D39C4" w14:textId="1D5AFFD7" w:rsidR="00F75E3A" w:rsidRDefault="00F75E3A" w:rsidP="00F75E3A">
      <w:pPr>
        <w:spacing w:line="276" w:lineRule="auto"/>
        <w:jc w:val="both"/>
        <w:rPr>
          <w:rFonts w:ascii="Book Antiqua" w:hAnsi="Book Antiqua"/>
        </w:rPr>
      </w:pPr>
      <w:r w:rsidRPr="003AB218">
        <w:rPr>
          <w:rFonts w:ascii="Book Antiqua" w:hAnsi="Book Antiqua"/>
        </w:rPr>
        <w:t xml:space="preserve">A partir de mayo de 2021, la Corte Plena en sesión N°12-2021 del 22 de marzo de 2021, aprobó que los Juzgados Penales, Tribunales Penales, Secciones de Flagrancia y Juzgados de Ejecución de la Pena, presentaran los informes mensualmente mediante la matriz de Indicadores de Gestión. Por lo que, en el </w:t>
      </w:r>
      <w:r w:rsidRPr="003AB218">
        <w:rPr>
          <w:rFonts w:ascii="Book Antiqua" w:hAnsi="Book Antiqua"/>
          <w:b/>
          <w:bCs/>
        </w:rPr>
        <w:t xml:space="preserve">cuadro </w:t>
      </w:r>
      <w:r w:rsidR="75CE37AA" w:rsidRPr="003AB218">
        <w:rPr>
          <w:rFonts w:ascii="Book Antiqua" w:hAnsi="Book Antiqua"/>
          <w:b/>
          <w:bCs/>
        </w:rPr>
        <w:t>8</w:t>
      </w:r>
      <w:r w:rsidR="009179C3" w:rsidRPr="003AB218">
        <w:rPr>
          <w:rFonts w:ascii="Book Antiqua" w:hAnsi="Book Antiqua"/>
          <w:b/>
          <w:bCs/>
        </w:rPr>
        <w:t>8</w:t>
      </w:r>
      <w:r w:rsidRPr="003AB218">
        <w:rPr>
          <w:rFonts w:ascii="Book Antiqua" w:hAnsi="Book Antiqua"/>
          <w:b/>
          <w:bCs/>
        </w:rPr>
        <w:t>,</w:t>
      </w:r>
      <w:r w:rsidRPr="003AB218">
        <w:rPr>
          <w:rFonts w:ascii="Book Antiqua" w:hAnsi="Book Antiqua"/>
        </w:rPr>
        <w:t xml:space="preserve"> se detalla los porcentajes de cumplimento de forma mensual obtenidos tanto en el informe de labores como en la matriz de indicadores respectiva.</w:t>
      </w:r>
    </w:p>
    <w:p w14:paraId="22BDF6F6" w14:textId="77777777" w:rsidR="00F75E3A" w:rsidRDefault="00F75E3A" w:rsidP="00F75E3A">
      <w:pPr>
        <w:spacing w:line="276" w:lineRule="auto"/>
        <w:jc w:val="both"/>
        <w:rPr>
          <w:rFonts w:ascii="Book Antiqua" w:hAnsi="Book Antiqua"/>
        </w:rPr>
      </w:pPr>
    </w:p>
    <w:p w14:paraId="69A2CB7F" w14:textId="7C97F400" w:rsidR="006F775A" w:rsidRDefault="006F775A">
      <w:pPr>
        <w:rPr>
          <w:rFonts w:ascii="Book Antiqua" w:hAnsi="Book Antiqua"/>
        </w:rPr>
      </w:pPr>
      <w:r>
        <w:rPr>
          <w:rFonts w:ascii="Book Antiqua" w:hAnsi="Book Antiqua"/>
        </w:rPr>
        <w:br w:type="page"/>
      </w:r>
    </w:p>
    <w:p w14:paraId="6C78919E" w14:textId="77777777" w:rsidR="00F75E3A" w:rsidRPr="007272AB" w:rsidRDefault="00F75E3A" w:rsidP="00F75E3A">
      <w:pPr>
        <w:spacing w:line="276" w:lineRule="auto"/>
        <w:jc w:val="both"/>
        <w:rPr>
          <w:rFonts w:ascii="Book Antiqua" w:hAnsi="Book Antiqua"/>
        </w:rPr>
      </w:pPr>
    </w:p>
    <w:p w14:paraId="2565C1F2" w14:textId="62A930F7" w:rsidR="00F75E3A" w:rsidRPr="00582659" w:rsidRDefault="00F75E3A" w:rsidP="00F75E3A">
      <w:pPr>
        <w:spacing w:line="276" w:lineRule="auto"/>
        <w:jc w:val="center"/>
        <w:rPr>
          <w:rFonts w:ascii="Book Antiqua" w:hAnsi="Book Antiqua"/>
          <w:b/>
          <w:color w:val="000000" w:themeColor="text1"/>
        </w:rPr>
      </w:pPr>
      <w:r w:rsidRPr="00582659">
        <w:rPr>
          <w:rFonts w:ascii="Book Antiqua" w:hAnsi="Book Antiqua"/>
          <w:b/>
          <w:color w:val="000000" w:themeColor="text1"/>
        </w:rPr>
        <w:t xml:space="preserve">Cuadro </w:t>
      </w:r>
      <w:r w:rsidR="009179C3">
        <w:rPr>
          <w:rFonts w:ascii="Book Antiqua" w:hAnsi="Book Antiqua"/>
          <w:b/>
          <w:color w:val="000000" w:themeColor="text1"/>
        </w:rPr>
        <w:t>88</w:t>
      </w:r>
    </w:p>
    <w:p w14:paraId="4BCE2F97" w14:textId="77777777" w:rsidR="00F75E3A" w:rsidRPr="00582659" w:rsidRDefault="00F75E3A" w:rsidP="00F75E3A">
      <w:pPr>
        <w:spacing w:line="276" w:lineRule="auto"/>
        <w:jc w:val="center"/>
        <w:rPr>
          <w:rFonts w:ascii="Book Antiqua" w:hAnsi="Book Antiqua"/>
          <w:bCs/>
          <w:color w:val="000000" w:themeColor="text1"/>
        </w:rPr>
      </w:pPr>
      <w:r w:rsidRPr="00582659">
        <w:rPr>
          <w:rFonts w:ascii="Book Antiqua" w:hAnsi="Book Antiqua"/>
          <w:bCs/>
          <w:color w:val="000000" w:themeColor="text1"/>
        </w:rPr>
        <w:t xml:space="preserve">Cumplimiento del parámetro de producción teórico de </w:t>
      </w:r>
    </w:p>
    <w:p w14:paraId="4004830E" w14:textId="77777777" w:rsidR="00F75E3A" w:rsidRDefault="00F75E3A" w:rsidP="00F75E3A">
      <w:pPr>
        <w:spacing w:line="276" w:lineRule="auto"/>
        <w:jc w:val="center"/>
        <w:rPr>
          <w:rFonts w:ascii="Book Antiqua" w:hAnsi="Book Antiqua"/>
        </w:rPr>
      </w:pPr>
      <w:r w:rsidRPr="00582659">
        <w:rPr>
          <w:rFonts w:ascii="Book Antiqua" w:hAnsi="Book Antiqua"/>
          <w:bCs/>
          <w:color w:val="000000" w:themeColor="text1"/>
        </w:rPr>
        <w:t>oficinas de materia</w:t>
      </w:r>
      <w:r>
        <w:rPr>
          <w:rFonts w:ascii="Book Antiqua" w:hAnsi="Book Antiqua"/>
          <w:bCs/>
          <w:color w:val="000000" w:themeColor="text1"/>
        </w:rPr>
        <w:t xml:space="preserve"> penal</w:t>
      </w:r>
      <w:r w:rsidRPr="00582659">
        <w:rPr>
          <w:rFonts w:ascii="Book Antiqua" w:hAnsi="Book Antiqua"/>
          <w:bCs/>
          <w:color w:val="000000" w:themeColor="text1"/>
        </w:rPr>
        <w:t xml:space="preserve">, </w:t>
      </w:r>
      <w:r w:rsidRPr="00582659">
        <w:rPr>
          <w:rFonts w:ascii="Book Antiqua" w:hAnsi="Book Antiqua"/>
        </w:rPr>
        <w:t xml:space="preserve">sesión </w:t>
      </w:r>
      <w:r>
        <w:rPr>
          <w:rFonts w:ascii="Book Antiqua" w:hAnsi="Book Antiqua"/>
        </w:rPr>
        <w:t xml:space="preserve">de Corte Plena </w:t>
      </w:r>
      <w:r w:rsidRPr="00582659">
        <w:rPr>
          <w:rFonts w:ascii="Book Antiqua" w:hAnsi="Book Antiqua"/>
        </w:rPr>
        <w:t>N°12-2021</w:t>
      </w:r>
    </w:p>
    <w:tbl>
      <w:tblPr>
        <w:tblW w:w="10740" w:type="dxa"/>
        <w:jc w:val="center"/>
        <w:tblCellMar>
          <w:left w:w="70" w:type="dxa"/>
          <w:right w:w="70" w:type="dxa"/>
        </w:tblCellMar>
        <w:tblLook w:val="04A0" w:firstRow="1" w:lastRow="0" w:firstColumn="1" w:lastColumn="0" w:noHBand="0" w:noVBand="1"/>
      </w:tblPr>
      <w:tblGrid>
        <w:gridCol w:w="996"/>
        <w:gridCol w:w="1643"/>
        <w:gridCol w:w="1133"/>
        <w:gridCol w:w="2172"/>
        <w:gridCol w:w="1133"/>
        <w:gridCol w:w="1265"/>
        <w:gridCol w:w="1265"/>
        <w:gridCol w:w="1133"/>
      </w:tblGrid>
      <w:tr w:rsidR="00414A67" w:rsidRPr="00414A67" w14:paraId="42F45ABC" w14:textId="77777777" w:rsidTr="00592F59">
        <w:trPr>
          <w:trHeight w:val="503"/>
          <w:jc w:val="center"/>
        </w:trPr>
        <w:tc>
          <w:tcPr>
            <w:tcW w:w="996" w:type="dxa"/>
            <w:vMerge w:val="restart"/>
            <w:tcBorders>
              <w:top w:val="single" w:sz="4" w:space="0" w:color="auto"/>
              <w:left w:val="single" w:sz="4" w:space="0" w:color="auto"/>
              <w:bottom w:val="single" w:sz="4" w:space="0" w:color="auto"/>
              <w:right w:val="single" w:sz="4" w:space="0" w:color="auto"/>
            </w:tcBorders>
            <w:shd w:val="clear" w:color="000000" w:fill="305496"/>
            <w:vAlign w:val="center"/>
            <w:hideMark/>
          </w:tcPr>
          <w:p w14:paraId="18A7C03B" w14:textId="77777777" w:rsidR="00414A67" w:rsidRPr="00414A67" w:rsidRDefault="00414A67" w:rsidP="00414A67">
            <w:pPr>
              <w:jc w:val="center"/>
              <w:rPr>
                <w:rFonts w:ascii="Book Antiqua" w:hAnsi="Book Antiqua" w:cs="Calibri"/>
                <w:b/>
                <w:bCs/>
                <w:color w:val="FFFFFF"/>
                <w:sz w:val="16"/>
                <w:szCs w:val="16"/>
                <w:lang w:eastAsia="es-CR"/>
              </w:rPr>
            </w:pPr>
            <w:r w:rsidRPr="00414A67">
              <w:rPr>
                <w:rFonts w:ascii="Book Antiqua" w:hAnsi="Book Antiqua" w:cs="Calibri"/>
                <w:b/>
                <w:bCs/>
                <w:color w:val="FFFFFF"/>
                <w:sz w:val="16"/>
                <w:szCs w:val="16"/>
                <w:lang w:eastAsia="es-CR"/>
              </w:rPr>
              <w:t>Mes</w:t>
            </w:r>
          </w:p>
        </w:tc>
        <w:tc>
          <w:tcPr>
            <w:tcW w:w="1643" w:type="dxa"/>
            <w:tcBorders>
              <w:top w:val="single" w:sz="4" w:space="0" w:color="auto"/>
              <w:left w:val="nil"/>
              <w:bottom w:val="single" w:sz="4" w:space="0" w:color="auto"/>
              <w:right w:val="single" w:sz="4" w:space="0" w:color="auto"/>
            </w:tcBorders>
            <w:shd w:val="clear" w:color="000000" w:fill="305496"/>
            <w:vAlign w:val="center"/>
            <w:hideMark/>
          </w:tcPr>
          <w:p w14:paraId="76866309" w14:textId="77777777" w:rsidR="00414A67" w:rsidRPr="00414A67" w:rsidRDefault="00414A67" w:rsidP="00414A67">
            <w:pPr>
              <w:jc w:val="center"/>
              <w:rPr>
                <w:rFonts w:ascii="Book Antiqua" w:hAnsi="Book Antiqua" w:cs="Calibri"/>
                <w:b/>
                <w:bCs/>
                <w:color w:val="FFFFFF"/>
                <w:sz w:val="16"/>
                <w:szCs w:val="16"/>
                <w:lang w:eastAsia="es-CR"/>
              </w:rPr>
            </w:pPr>
            <w:r w:rsidRPr="00414A67">
              <w:rPr>
                <w:rFonts w:ascii="Book Antiqua" w:hAnsi="Book Antiqua" w:cs="Calibri"/>
                <w:b/>
                <w:bCs/>
                <w:color w:val="FFFFFF"/>
                <w:sz w:val="16"/>
                <w:szCs w:val="16"/>
                <w:lang w:eastAsia="es-CR"/>
              </w:rPr>
              <w:t>Juzgados Penales</w:t>
            </w:r>
          </w:p>
        </w:tc>
        <w:tc>
          <w:tcPr>
            <w:tcW w:w="1133" w:type="dxa"/>
            <w:tcBorders>
              <w:top w:val="single" w:sz="4" w:space="0" w:color="auto"/>
              <w:left w:val="nil"/>
              <w:bottom w:val="single" w:sz="4" w:space="0" w:color="auto"/>
              <w:right w:val="single" w:sz="4" w:space="0" w:color="auto"/>
            </w:tcBorders>
            <w:shd w:val="clear" w:color="000000" w:fill="305496"/>
            <w:vAlign w:val="center"/>
            <w:hideMark/>
          </w:tcPr>
          <w:p w14:paraId="1C9234AD" w14:textId="77777777" w:rsidR="00414A67" w:rsidRPr="00414A67" w:rsidRDefault="00414A67" w:rsidP="00414A67">
            <w:pPr>
              <w:jc w:val="center"/>
              <w:rPr>
                <w:rFonts w:ascii="Book Antiqua" w:hAnsi="Book Antiqua" w:cs="Calibri"/>
                <w:b/>
                <w:bCs/>
                <w:color w:val="FFFFFF"/>
                <w:sz w:val="16"/>
                <w:szCs w:val="16"/>
                <w:lang w:eastAsia="es-CR"/>
              </w:rPr>
            </w:pPr>
            <w:r w:rsidRPr="00414A67">
              <w:rPr>
                <w:rFonts w:ascii="Book Antiqua" w:hAnsi="Book Antiqua" w:cs="Calibri"/>
                <w:b/>
                <w:bCs/>
                <w:color w:val="FFFFFF"/>
                <w:sz w:val="16"/>
                <w:szCs w:val="16"/>
                <w:lang w:eastAsia="es-CR"/>
              </w:rPr>
              <w:t>Tribunales de Juicio</w:t>
            </w:r>
          </w:p>
        </w:tc>
        <w:tc>
          <w:tcPr>
            <w:tcW w:w="2172" w:type="dxa"/>
            <w:tcBorders>
              <w:top w:val="single" w:sz="4" w:space="0" w:color="auto"/>
              <w:left w:val="nil"/>
              <w:bottom w:val="single" w:sz="4" w:space="0" w:color="auto"/>
              <w:right w:val="single" w:sz="4" w:space="0" w:color="auto"/>
            </w:tcBorders>
            <w:shd w:val="clear" w:color="000000" w:fill="305496"/>
            <w:noWrap/>
            <w:vAlign w:val="center"/>
            <w:hideMark/>
          </w:tcPr>
          <w:p w14:paraId="2FFB939C" w14:textId="77777777" w:rsidR="00414A67" w:rsidRPr="00414A67" w:rsidRDefault="00414A67" w:rsidP="00414A67">
            <w:pPr>
              <w:jc w:val="center"/>
              <w:rPr>
                <w:rFonts w:ascii="Book Antiqua" w:hAnsi="Book Antiqua" w:cs="Calibri"/>
                <w:b/>
                <w:bCs/>
                <w:color w:val="FFFFFF"/>
                <w:sz w:val="16"/>
                <w:szCs w:val="16"/>
                <w:lang w:eastAsia="es-CR"/>
              </w:rPr>
            </w:pPr>
            <w:r w:rsidRPr="00414A67">
              <w:rPr>
                <w:rFonts w:ascii="Book Antiqua" w:hAnsi="Book Antiqua" w:cs="Calibri"/>
                <w:b/>
                <w:bCs/>
                <w:color w:val="FFFFFF"/>
                <w:sz w:val="16"/>
                <w:szCs w:val="16"/>
                <w:lang w:eastAsia="es-CR"/>
              </w:rPr>
              <w:t>Flagrancia</w:t>
            </w:r>
          </w:p>
        </w:tc>
        <w:tc>
          <w:tcPr>
            <w:tcW w:w="2398" w:type="dxa"/>
            <w:gridSpan w:val="2"/>
            <w:tcBorders>
              <w:top w:val="single" w:sz="4" w:space="0" w:color="auto"/>
              <w:left w:val="nil"/>
              <w:bottom w:val="single" w:sz="4" w:space="0" w:color="auto"/>
              <w:right w:val="single" w:sz="4" w:space="0" w:color="auto"/>
            </w:tcBorders>
            <w:shd w:val="clear" w:color="000000" w:fill="305496"/>
            <w:noWrap/>
            <w:vAlign w:val="center"/>
            <w:hideMark/>
          </w:tcPr>
          <w:p w14:paraId="615A9B71" w14:textId="77777777" w:rsidR="00414A67" w:rsidRPr="00414A67" w:rsidRDefault="00414A67" w:rsidP="00414A67">
            <w:pPr>
              <w:jc w:val="center"/>
              <w:rPr>
                <w:rFonts w:ascii="Book Antiqua" w:hAnsi="Book Antiqua" w:cs="Calibri"/>
                <w:b/>
                <w:bCs/>
                <w:color w:val="FFFFFF"/>
                <w:sz w:val="16"/>
                <w:szCs w:val="16"/>
                <w:lang w:eastAsia="es-CR"/>
              </w:rPr>
            </w:pPr>
            <w:r w:rsidRPr="00414A67">
              <w:rPr>
                <w:rFonts w:ascii="Book Antiqua" w:hAnsi="Book Antiqua" w:cs="Calibri"/>
                <w:b/>
                <w:bCs/>
                <w:color w:val="FFFFFF"/>
                <w:sz w:val="16"/>
                <w:szCs w:val="16"/>
                <w:lang w:eastAsia="es-CR"/>
              </w:rPr>
              <w:t>Ejecución</w:t>
            </w:r>
          </w:p>
        </w:tc>
        <w:tc>
          <w:tcPr>
            <w:tcW w:w="1265" w:type="dxa"/>
            <w:tcBorders>
              <w:top w:val="single" w:sz="4" w:space="0" w:color="auto"/>
              <w:left w:val="nil"/>
              <w:bottom w:val="single" w:sz="4" w:space="0" w:color="auto"/>
              <w:right w:val="single" w:sz="4" w:space="0" w:color="auto"/>
            </w:tcBorders>
            <w:shd w:val="clear" w:color="000000" w:fill="305496"/>
            <w:noWrap/>
            <w:vAlign w:val="center"/>
            <w:hideMark/>
          </w:tcPr>
          <w:p w14:paraId="6C0A1ABC" w14:textId="77777777" w:rsidR="00414A67" w:rsidRPr="00414A67" w:rsidRDefault="00414A67" w:rsidP="00414A67">
            <w:pPr>
              <w:jc w:val="center"/>
              <w:rPr>
                <w:rFonts w:ascii="Book Antiqua" w:hAnsi="Book Antiqua" w:cs="Calibri"/>
                <w:b/>
                <w:bCs/>
                <w:color w:val="FFFFFF"/>
                <w:sz w:val="16"/>
                <w:szCs w:val="16"/>
                <w:lang w:eastAsia="es-CR"/>
              </w:rPr>
            </w:pPr>
            <w:r w:rsidRPr="00414A67">
              <w:rPr>
                <w:rFonts w:ascii="Book Antiqua" w:hAnsi="Book Antiqua" w:cs="Calibri"/>
                <w:b/>
                <w:bCs/>
                <w:color w:val="FFFFFF"/>
                <w:sz w:val="16"/>
                <w:szCs w:val="16"/>
                <w:lang w:eastAsia="es-CR"/>
              </w:rPr>
              <w:t>Apelación</w:t>
            </w:r>
          </w:p>
        </w:tc>
        <w:tc>
          <w:tcPr>
            <w:tcW w:w="1133" w:type="dxa"/>
            <w:tcBorders>
              <w:top w:val="single" w:sz="4" w:space="0" w:color="auto"/>
              <w:left w:val="nil"/>
              <w:bottom w:val="single" w:sz="4" w:space="0" w:color="auto"/>
              <w:right w:val="single" w:sz="4" w:space="0" w:color="auto"/>
            </w:tcBorders>
            <w:shd w:val="clear" w:color="000000" w:fill="305496"/>
            <w:noWrap/>
            <w:vAlign w:val="center"/>
            <w:hideMark/>
          </w:tcPr>
          <w:p w14:paraId="5AB09296" w14:textId="77777777" w:rsidR="00414A67" w:rsidRPr="00414A67" w:rsidRDefault="00414A67" w:rsidP="00414A67">
            <w:pPr>
              <w:jc w:val="center"/>
              <w:rPr>
                <w:rFonts w:ascii="Book Antiqua" w:hAnsi="Book Antiqua" w:cs="Calibri"/>
                <w:b/>
                <w:bCs/>
                <w:color w:val="FFFFFF"/>
                <w:sz w:val="16"/>
                <w:szCs w:val="16"/>
                <w:lang w:eastAsia="es-CR"/>
              </w:rPr>
            </w:pPr>
            <w:r w:rsidRPr="00414A67">
              <w:rPr>
                <w:rFonts w:ascii="Book Antiqua" w:hAnsi="Book Antiqua" w:cs="Calibri"/>
                <w:b/>
                <w:bCs/>
                <w:color w:val="FFFFFF"/>
                <w:sz w:val="16"/>
                <w:szCs w:val="16"/>
                <w:lang w:eastAsia="es-CR"/>
              </w:rPr>
              <w:t>Sala Tercera</w:t>
            </w:r>
          </w:p>
        </w:tc>
      </w:tr>
      <w:tr w:rsidR="00414A67" w:rsidRPr="00414A67" w14:paraId="66ECCF32" w14:textId="77777777" w:rsidTr="00592F59">
        <w:trPr>
          <w:trHeight w:val="1258"/>
          <w:jc w:val="center"/>
        </w:trPr>
        <w:tc>
          <w:tcPr>
            <w:tcW w:w="996" w:type="dxa"/>
            <w:vMerge/>
            <w:tcBorders>
              <w:top w:val="single" w:sz="4" w:space="0" w:color="auto"/>
              <w:left w:val="single" w:sz="4" w:space="0" w:color="auto"/>
              <w:bottom w:val="single" w:sz="4" w:space="0" w:color="auto"/>
              <w:right w:val="single" w:sz="4" w:space="0" w:color="auto"/>
            </w:tcBorders>
            <w:vAlign w:val="center"/>
            <w:hideMark/>
          </w:tcPr>
          <w:p w14:paraId="3349BAC2" w14:textId="77777777" w:rsidR="00414A67" w:rsidRPr="00414A67" w:rsidRDefault="00414A67" w:rsidP="00414A67">
            <w:pPr>
              <w:rPr>
                <w:rFonts w:ascii="Book Antiqua" w:hAnsi="Book Antiqua" w:cs="Calibri"/>
                <w:b/>
                <w:bCs/>
                <w:color w:val="FFFFFF"/>
                <w:sz w:val="16"/>
                <w:szCs w:val="16"/>
                <w:lang w:eastAsia="es-CR"/>
              </w:rPr>
            </w:pPr>
          </w:p>
        </w:tc>
        <w:tc>
          <w:tcPr>
            <w:tcW w:w="1643" w:type="dxa"/>
            <w:tcBorders>
              <w:top w:val="nil"/>
              <w:left w:val="nil"/>
              <w:bottom w:val="single" w:sz="4" w:space="0" w:color="auto"/>
              <w:right w:val="single" w:sz="4" w:space="0" w:color="auto"/>
            </w:tcBorders>
            <w:shd w:val="clear" w:color="000000" w:fill="305496"/>
            <w:vAlign w:val="center"/>
            <w:hideMark/>
          </w:tcPr>
          <w:p w14:paraId="2E8E83DD" w14:textId="77777777" w:rsidR="00414A67" w:rsidRPr="00414A67" w:rsidRDefault="00414A67" w:rsidP="00414A67">
            <w:pPr>
              <w:jc w:val="center"/>
              <w:rPr>
                <w:rFonts w:ascii="Book Antiqua" w:hAnsi="Book Antiqua" w:cs="Calibri"/>
                <w:b/>
                <w:bCs/>
                <w:color w:val="FFFFFF"/>
                <w:sz w:val="16"/>
                <w:szCs w:val="16"/>
                <w:lang w:eastAsia="es-CR"/>
              </w:rPr>
            </w:pPr>
            <w:r w:rsidRPr="00414A67">
              <w:rPr>
                <w:rFonts w:ascii="Book Antiqua" w:hAnsi="Book Antiqua" w:cs="Calibri"/>
                <w:b/>
                <w:bCs/>
                <w:color w:val="FFFFFF"/>
                <w:sz w:val="16"/>
                <w:szCs w:val="16"/>
                <w:lang w:eastAsia="es-CR"/>
              </w:rPr>
              <w:t>Desestimaciones, sobreseimientos y acusaciones</w:t>
            </w:r>
          </w:p>
        </w:tc>
        <w:tc>
          <w:tcPr>
            <w:tcW w:w="1133" w:type="dxa"/>
            <w:tcBorders>
              <w:top w:val="nil"/>
              <w:left w:val="nil"/>
              <w:bottom w:val="single" w:sz="4" w:space="0" w:color="auto"/>
              <w:right w:val="single" w:sz="4" w:space="0" w:color="auto"/>
            </w:tcBorders>
            <w:shd w:val="clear" w:color="000000" w:fill="305496"/>
            <w:vAlign w:val="center"/>
            <w:hideMark/>
          </w:tcPr>
          <w:p w14:paraId="2C657187" w14:textId="77777777" w:rsidR="00414A67" w:rsidRPr="00414A67" w:rsidRDefault="00414A67" w:rsidP="00414A67">
            <w:pPr>
              <w:jc w:val="center"/>
              <w:rPr>
                <w:rFonts w:ascii="Book Antiqua" w:hAnsi="Book Antiqua" w:cs="Calibri"/>
                <w:b/>
                <w:bCs/>
                <w:color w:val="FFFFFF"/>
                <w:sz w:val="16"/>
                <w:szCs w:val="16"/>
                <w:lang w:eastAsia="es-CR"/>
              </w:rPr>
            </w:pPr>
            <w:r w:rsidRPr="00414A67">
              <w:rPr>
                <w:rFonts w:ascii="Book Antiqua" w:hAnsi="Book Antiqua" w:cs="Calibri"/>
                <w:b/>
                <w:bCs/>
                <w:color w:val="FFFFFF"/>
                <w:sz w:val="16"/>
                <w:szCs w:val="16"/>
                <w:lang w:eastAsia="es-CR"/>
              </w:rPr>
              <w:t>Sentencias y medidas alternas</w:t>
            </w:r>
          </w:p>
        </w:tc>
        <w:tc>
          <w:tcPr>
            <w:tcW w:w="2172" w:type="dxa"/>
            <w:tcBorders>
              <w:top w:val="nil"/>
              <w:left w:val="nil"/>
              <w:bottom w:val="single" w:sz="4" w:space="0" w:color="auto"/>
              <w:right w:val="single" w:sz="4" w:space="0" w:color="auto"/>
            </w:tcBorders>
            <w:shd w:val="clear" w:color="000000" w:fill="305496"/>
            <w:vAlign w:val="center"/>
            <w:hideMark/>
          </w:tcPr>
          <w:p w14:paraId="4AC12361" w14:textId="77777777" w:rsidR="00414A67" w:rsidRPr="00414A67" w:rsidRDefault="00414A67" w:rsidP="00414A67">
            <w:pPr>
              <w:jc w:val="center"/>
              <w:rPr>
                <w:rFonts w:ascii="Book Antiqua" w:hAnsi="Book Antiqua" w:cs="Calibri"/>
                <w:b/>
                <w:bCs/>
                <w:color w:val="FFFFFF"/>
                <w:sz w:val="16"/>
                <w:szCs w:val="16"/>
                <w:lang w:eastAsia="es-CR"/>
              </w:rPr>
            </w:pPr>
            <w:r w:rsidRPr="00414A67">
              <w:rPr>
                <w:rFonts w:ascii="Book Antiqua" w:hAnsi="Book Antiqua" w:cs="Calibri"/>
                <w:b/>
                <w:bCs/>
                <w:color w:val="FFFFFF"/>
                <w:sz w:val="16"/>
                <w:szCs w:val="16"/>
                <w:lang w:eastAsia="es-CR"/>
              </w:rPr>
              <w:t>Audiencias iniciales, sentencias y medidas alternas considerando colaboración al ordinario</w:t>
            </w:r>
          </w:p>
        </w:tc>
        <w:tc>
          <w:tcPr>
            <w:tcW w:w="1133" w:type="dxa"/>
            <w:tcBorders>
              <w:top w:val="nil"/>
              <w:left w:val="nil"/>
              <w:bottom w:val="single" w:sz="4" w:space="0" w:color="auto"/>
              <w:right w:val="single" w:sz="4" w:space="0" w:color="auto"/>
            </w:tcBorders>
            <w:shd w:val="clear" w:color="000000" w:fill="305496"/>
            <w:vAlign w:val="center"/>
            <w:hideMark/>
          </w:tcPr>
          <w:p w14:paraId="6E772A2F" w14:textId="77777777" w:rsidR="00414A67" w:rsidRPr="00414A67" w:rsidRDefault="00414A67" w:rsidP="00414A67">
            <w:pPr>
              <w:jc w:val="center"/>
              <w:rPr>
                <w:rFonts w:ascii="Book Antiqua" w:hAnsi="Book Antiqua" w:cs="Calibri"/>
                <w:b/>
                <w:bCs/>
                <w:color w:val="FFFFFF"/>
                <w:sz w:val="16"/>
                <w:szCs w:val="16"/>
                <w:lang w:eastAsia="es-CR"/>
              </w:rPr>
            </w:pPr>
            <w:r w:rsidRPr="00414A67">
              <w:rPr>
                <w:rFonts w:ascii="Book Antiqua" w:hAnsi="Book Antiqua" w:cs="Calibri"/>
                <w:b/>
                <w:bCs/>
                <w:color w:val="FFFFFF"/>
                <w:sz w:val="16"/>
                <w:szCs w:val="16"/>
                <w:lang w:eastAsia="es-CR"/>
              </w:rPr>
              <w:t>Incidentes terminados</w:t>
            </w:r>
          </w:p>
        </w:tc>
        <w:tc>
          <w:tcPr>
            <w:tcW w:w="1265" w:type="dxa"/>
            <w:tcBorders>
              <w:top w:val="nil"/>
              <w:left w:val="nil"/>
              <w:bottom w:val="single" w:sz="4" w:space="0" w:color="auto"/>
              <w:right w:val="single" w:sz="4" w:space="0" w:color="auto"/>
            </w:tcBorders>
            <w:shd w:val="clear" w:color="000000" w:fill="305496"/>
            <w:vAlign w:val="center"/>
            <w:hideMark/>
          </w:tcPr>
          <w:p w14:paraId="6C9A4721" w14:textId="77777777" w:rsidR="00414A67" w:rsidRPr="00414A67" w:rsidRDefault="00414A67" w:rsidP="00414A67">
            <w:pPr>
              <w:jc w:val="center"/>
              <w:rPr>
                <w:rFonts w:ascii="Book Antiqua" w:hAnsi="Book Antiqua" w:cs="Calibri"/>
                <w:b/>
                <w:bCs/>
                <w:color w:val="FFFFFF"/>
                <w:sz w:val="16"/>
                <w:szCs w:val="16"/>
                <w:lang w:eastAsia="es-CR"/>
              </w:rPr>
            </w:pPr>
            <w:r w:rsidRPr="00414A67">
              <w:rPr>
                <w:rFonts w:ascii="Book Antiqua" w:hAnsi="Book Antiqua" w:cs="Calibri"/>
                <w:b/>
                <w:bCs/>
                <w:color w:val="FFFFFF"/>
                <w:sz w:val="16"/>
                <w:szCs w:val="16"/>
                <w:lang w:eastAsia="es-CR"/>
              </w:rPr>
              <w:t>Firma de expedientes</w:t>
            </w:r>
          </w:p>
        </w:tc>
        <w:tc>
          <w:tcPr>
            <w:tcW w:w="1265" w:type="dxa"/>
            <w:tcBorders>
              <w:top w:val="nil"/>
              <w:left w:val="nil"/>
              <w:bottom w:val="single" w:sz="4" w:space="0" w:color="auto"/>
              <w:right w:val="single" w:sz="4" w:space="0" w:color="auto"/>
            </w:tcBorders>
            <w:shd w:val="clear" w:color="000000" w:fill="305496"/>
            <w:vAlign w:val="center"/>
            <w:hideMark/>
          </w:tcPr>
          <w:p w14:paraId="75A7B924" w14:textId="77777777" w:rsidR="00414A67" w:rsidRPr="00414A67" w:rsidRDefault="00414A67" w:rsidP="00414A67">
            <w:pPr>
              <w:jc w:val="center"/>
              <w:rPr>
                <w:rFonts w:ascii="Book Antiqua" w:hAnsi="Book Antiqua" w:cs="Calibri"/>
                <w:b/>
                <w:bCs/>
                <w:color w:val="FFFFFF"/>
                <w:sz w:val="16"/>
                <w:szCs w:val="16"/>
                <w:lang w:eastAsia="es-CR"/>
              </w:rPr>
            </w:pPr>
            <w:r w:rsidRPr="00414A67">
              <w:rPr>
                <w:rFonts w:ascii="Book Antiqua" w:hAnsi="Book Antiqua" w:cs="Calibri"/>
                <w:b/>
                <w:bCs/>
                <w:color w:val="FFFFFF"/>
                <w:sz w:val="16"/>
                <w:szCs w:val="16"/>
                <w:lang w:eastAsia="es-CR"/>
              </w:rPr>
              <w:t>Proyecto terminado, circulado y votado</w:t>
            </w:r>
          </w:p>
        </w:tc>
        <w:tc>
          <w:tcPr>
            <w:tcW w:w="1133" w:type="dxa"/>
            <w:tcBorders>
              <w:top w:val="nil"/>
              <w:left w:val="nil"/>
              <w:bottom w:val="single" w:sz="4" w:space="0" w:color="auto"/>
              <w:right w:val="single" w:sz="4" w:space="0" w:color="auto"/>
            </w:tcBorders>
            <w:shd w:val="clear" w:color="000000" w:fill="305496"/>
            <w:vAlign w:val="center"/>
            <w:hideMark/>
          </w:tcPr>
          <w:p w14:paraId="3E769988" w14:textId="77777777" w:rsidR="00414A67" w:rsidRPr="00414A67" w:rsidRDefault="00414A67" w:rsidP="00414A67">
            <w:pPr>
              <w:jc w:val="center"/>
              <w:rPr>
                <w:rFonts w:ascii="Book Antiqua" w:hAnsi="Book Antiqua" w:cs="Calibri"/>
                <w:b/>
                <w:bCs/>
                <w:color w:val="FFFFFF"/>
                <w:sz w:val="16"/>
                <w:szCs w:val="16"/>
                <w:lang w:eastAsia="es-CR"/>
              </w:rPr>
            </w:pPr>
            <w:r w:rsidRPr="00414A67">
              <w:rPr>
                <w:rFonts w:ascii="Book Antiqua" w:hAnsi="Book Antiqua" w:cs="Calibri"/>
                <w:b/>
                <w:bCs/>
                <w:color w:val="FFFFFF"/>
                <w:sz w:val="16"/>
                <w:szCs w:val="16"/>
                <w:lang w:eastAsia="es-CR"/>
              </w:rPr>
              <w:t>Proyectos</w:t>
            </w:r>
          </w:p>
        </w:tc>
      </w:tr>
      <w:tr w:rsidR="00414A67" w:rsidRPr="00414A67" w14:paraId="3E553CDB" w14:textId="77777777" w:rsidTr="00592F59">
        <w:trPr>
          <w:trHeight w:val="280"/>
          <w:jc w:val="center"/>
        </w:trPr>
        <w:tc>
          <w:tcPr>
            <w:tcW w:w="996" w:type="dxa"/>
            <w:tcBorders>
              <w:top w:val="nil"/>
              <w:left w:val="single" w:sz="4" w:space="0" w:color="auto"/>
              <w:bottom w:val="single" w:sz="4" w:space="0" w:color="auto"/>
              <w:right w:val="single" w:sz="4" w:space="0" w:color="auto"/>
            </w:tcBorders>
            <w:shd w:val="clear" w:color="000000" w:fill="FFFFFF"/>
            <w:noWrap/>
            <w:vAlign w:val="center"/>
            <w:hideMark/>
          </w:tcPr>
          <w:p w14:paraId="25D5945F" w14:textId="77777777" w:rsidR="00414A67" w:rsidRPr="00414A67" w:rsidRDefault="00414A67" w:rsidP="00414A67">
            <w:pPr>
              <w:jc w:val="center"/>
              <w:rPr>
                <w:rFonts w:ascii="Book Antiqua" w:hAnsi="Book Antiqua" w:cs="Calibri"/>
                <w:color w:val="000000"/>
                <w:sz w:val="16"/>
                <w:szCs w:val="16"/>
                <w:lang w:eastAsia="es-CR"/>
              </w:rPr>
            </w:pPr>
            <w:r w:rsidRPr="00414A67">
              <w:rPr>
                <w:rFonts w:ascii="Book Antiqua" w:hAnsi="Book Antiqua" w:cs="Calibri"/>
                <w:color w:val="000000"/>
                <w:sz w:val="16"/>
                <w:szCs w:val="16"/>
                <w:lang w:eastAsia="es-CR"/>
              </w:rPr>
              <w:t>Mayo</w:t>
            </w:r>
          </w:p>
        </w:tc>
        <w:tc>
          <w:tcPr>
            <w:tcW w:w="1643" w:type="dxa"/>
            <w:tcBorders>
              <w:top w:val="nil"/>
              <w:left w:val="nil"/>
              <w:bottom w:val="single" w:sz="4" w:space="0" w:color="auto"/>
              <w:right w:val="single" w:sz="4" w:space="0" w:color="auto"/>
            </w:tcBorders>
            <w:shd w:val="clear" w:color="auto" w:fill="auto"/>
            <w:noWrap/>
            <w:vAlign w:val="center"/>
            <w:hideMark/>
          </w:tcPr>
          <w:p w14:paraId="0DA9C6DF" w14:textId="77777777" w:rsidR="00414A67" w:rsidRPr="00414A67" w:rsidRDefault="00414A67" w:rsidP="00414A67">
            <w:pPr>
              <w:jc w:val="center"/>
              <w:rPr>
                <w:rFonts w:ascii="Book Antiqua" w:hAnsi="Book Antiqua" w:cs="Calibri"/>
                <w:color w:val="000000"/>
                <w:sz w:val="16"/>
                <w:szCs w:val="16"/>
                <w:lang w:eastAsia="es-CR"/>
              </w:rPr>
            </w:pPr>
            <w:r w:rsidRPr="00414A67">
              <w:rPr>
                <w:rFonts w:ascii="Book Antiqua" w:hAnsi="Book Antiqua" w:cs="Calibri"/>
                <w:color w:val="000000"/>
                <w:sz w:val="16"/>
                <w:szCs w:val="16"/>
                <w:lang w:eastAsia="es-CR"/>
              </w:rPr>
              <w:t>100%</w:t>
            </w:r>
          </w:p>
        </w:tc>
        <w:tc>
          <w:tcPr>
            <w:tcW w:w="1133" w:type="dxa"/>
            <w:tcBorders>
              <w:top w:val="nil"/>
              <w:left w:val="nil"/>
              <w:bottom w:val="single" w:sz="4" w:space="0" w:color="auto"/>
              <w:right w:val="single" w:sz="4" w:space="0" w:color="auto"/>
            </w:tcBorders>
            <w:shd w:val="clear" w:color="auto" w:fill="auto"/>
            <w:noWrap/>
            <w:vAlign w:val="center"/>
            <w:hideMark/>
          </w:tcPr>
          <w:p w14:paraId="453F21FE" w14:textId="77777777" w:rsidR="00414A67" w:rsidRPr="00414A67" w:rsidRDefault="00414A67" w:rsidP="00414A67">
            <w:pPr>
              <w:jc w:val="center"/>
              <w:rPr>
                <w:rFonts w:ascii="Book Antiqua" w:hAnsi="Book Antiqua" w:cs="Calibri"/>
                <w:color w:val="000000"/>
                <w:sz w:val="16"/>
                <w:szCs w:val="16"/>
                <w:lang w:eastAsia="es-CR"/>
              </w:rPr>
            </w:pPr>
            <w:r w:rsidRPr="00414A67">
              <w:rPr>
                <w:rFonts w:ascii="Book Antiqua" w:hAnsi="Book Antiqua" w:cs="Calibri"/>
                <w:color w:val="000000"/>
                <w:sz w:val="16"/>
                <w:szCs w:val="16"/>
                <w:lang w:eastAsia="es-CR"/>
              </w:rPr>
              <w:t>88%</w:t>
            </w:r>
          </w:p>
        </w:tc>
        <w:tc>
          <w:tcPr>
            <w:tcW w:w="2172" w:type="dxa"/>
            <w:tcBorders>
              <w:top w:val="nil"/>
              <w:left w:val="nil"/>
              <w:bottom w:val="single" w:sz="4" w:space="0" w:color="auto"/>
              <w:right w:val="single" w:sz="4" w:space="0" w:color="auto"/>
            </w:tcBorders>
            <w:shd w:val="clear" w:color="auto" w:fill="auto"/>
            <w:noWrap/>
            <w:vAlign w:val="center"/>
            <w:hideMark/>
          </w:tcPr>
          <w:p w14:paraId="2207E3F8" w14:textId="77777777" w:rsidR="00414A67" w:rsidRPr="00414A67" w:rsidRDefault="00414A67" w:rsidP="00414A67">
            <w:pPr>
              <w:jc w:val="center"/>
              <w:rPr>
                <w:rFonts w:ascii="Book Antiqua" w:hAnsi="Book Antiqua" w:cs="Calibri"/>
                <w:color w:val="000000"/>
                <w:sz w:val="16"/>
                <w:szCs w:val="16"/>
                <w:lang w:eastAsia="es-CR"/>
              </w:rPr>
            </w:pPr>
            <w:r w:rsidRPr="00414A67">
              <w:rPr>
                <w:rFonts w:ascii="Book Antiqua" w:hAnsi="Book Antiqua" w:cs="Calibri"/>
                <w:color w:val="000000"/>
                <w:sz w:val="16"/>
                <w:szCs w:val="16"/>
                <w:lang w:eastAsia="es-CR"/>
              </w:rPr>
              <w:t>86%</w:t>
            </w:r>
          </w:p>
        </w:tc>
        <w:tc>
          <w:tcPr>
            <w:tcW w:w="1133" w:type="dxa"/>
            <w:tcBorders>
              <w:top w:val="nil"/>
              <w:left w:val="nil"/>
              <w:bottom w:val="single" w:sz="4" w:space="0" w:color="auto"/>
              <w:right w:val="single" w:sz="4" w:space="0" w:color="auto"/>
            </w:tcBorders>
            <w:shd w:val="clear" w:color="auto" w:fill="auto"/>
            <w:noWrap/>
            <w:vAlign w:val="center"/>
            <w:hideMark/>
          </w:tcPr>
          <w:p w14:paraId="23C15AA4" w14:textId="77777777" w:rsidR="00414A67" w:rsidRPr="00414A67" w:rsidRDefault="00414A67" w:rsidP="00414A67">
            <w:pPr>
              <w:jc w:val="center"/>
              <w:rPr>
                <w:rFonts w:ascii="Book Antiqua" w:hAnsi="Book Antiqua" w:cs="Calibri"/>
                <w:color w:val="000000"/>
                <w:sz w:val="16"/>
                <w:szCs w:val="16"/>
                <w:lang w:eastAsia="es-CR"/>
              </w:rPr>
            </w:pPr>
            <w:r w:rsidRPr="00414A67">
              <w:rPr>
                <w:rFonts w:ascii="Book Antiqua" w:hAnsi="Book Antiqua" w:cs="Calibri"/>
                <w:color w:val="000000"/>
                <w:sz w:val="16"/>
                <w:szCs w:val="16"/>
                <w:lang w:eastAsia="es-CR"/>
              </w:rPr>
              <w:t>93%</w:t>
            </w:r>
          </w:p>
        </w:tc>
        <w:tc>
          <w:tcPr>
            <w:tcW w:w="1265" w:type="dxa"/>
            <w:tcBorders>
              <w:top w:val="nil"/>
              <w:left w:val="nil"/>
              <w:bottom w:val="single" w:sz="4" w:space="0" w:color="auto"/>
              <w:right w:val="single" w:sz="4" w:space="0" w:color="auto"/>
            </w:tcBorders>
            <w:shd w:val="clear" w:color="auto" w:fill="auto"/>
            <w:noWrap/>
            <w:vAlign w:val="center"/>
            <w:hideMark/>
          </w:tcPr>
          <w:p w14:paraId="4BBF0C3C" w14:textId="77777777" w:rsidR="00414A67" w:rsidRPr="00414A67" w:rsidRDefault="00414A67" w:rsidP="00414A67">
            <w:pPr>
              <w:jc w:val="center"/>
              <w:rPr>
                <w:rFonts w:ascii="Book Antiqua" w:hAnsi="Book Antiqua" w:cs="Calibri"/>
                <w:color w:val="000000"/>
                <w:sz w:val="16"/>
                <w:szCs w:val="16"/>
                <w:lang w:eastAsia="es-CR"/>
              </w:rPr>
            </w:pPr>
            <w:r w:rsidRPr="00414A67">
              <w:rPr>
                <w:rFonts w:ascii="Book Antiqua" w:hAnsi="Book Antiqua" w:cs="Calibri"/>
                <w:color w:val="000000"/>
                <w:sz w:val="16"/>
                <w:szCs w:val="16"/>
                <w:lang w:eastAsia="es-CR"/>
              </w:rPr>
              <w:t>157%</w:t>
            </w:r>
          </w:p>
        </w:tc>
        <w:tc>
          <w:tcPr>
            <w:tcW w:w="1265" w:type="dxa"/>
            <w:tcBorders>
              <w:top w:val="nil"/>
              <w:left w:val="nil"/>
              <w:bottom w:val="single" w:sz="4" w:space="0" w:color="auto"/>
              <w:right w:val="single" w:sz="4" w:space="0" w:color="auto"/>
            </w:tcBorders>
            <w:shd w:val="clear" w:color="auto" w:fill="auto"/>
            <w:noWrap/>
            <w:vAlign w:val="center"/>
            <w:hideMark/>
          </w:tcPr>
          <w:p w14:paraId="7B453EA6" w14:textId="77777777" w:rsidR="00414A67" w:rsidRPr="00414A67" w:rsidRDefault="00414A67" w:rsidP="00414A67">
            <w:pPr>
              <w:jc w:val="center"/>
              <w:rPr>
                <w:rFonts w:ascii="Book Antiqua" w:hAnsi="Book Antiqua" w:cs="Calibri"/>
                <w:color w:val="000000"/>
                <w:sz w:val="16"/>
                <w:szCs w:val="16"/>
                <w:lang w:eastAsia="es-CR"/>
              </w:rPr>
            </w:pPr>
            <w:r w:rsidRPr="00414A67">
              <w:rPr>
                <w:rFonts w:ascii="Book Antiqua" w:hAnsi="Book Antiqua" w:cs="Calibri"/>
                <w:color w:val="000000"/>
                <w:sz w:val="16"/>
                <w:szCs w:val="16"/>
                <w:lang w:eastAsia="es-CR"/>
              </w:rPr>
              <w:t>95%</w:t>
            </w:r>
          </w:p>
        </w:tc>
        <w:tc>
          <w:tcPr>
            <w:tcW w:w="1133" w:type="dxa"/>
            <w:tcBorders>
              <w:top w:val="nil"/>
              <w:left w:val="nil"/>
              <w:bottom w:val="single" w:sz="4" w:space="0" w:color="auto"/>
              <w:right w:val="single" w:sz="4" w:space="0" w:color="auto"/>
            </w:tcBorders>
            <w:shd w:val="clear" w:color="auto" w:fill="auto"/>
            <w:noWrap/>
            <w:vAlign w:val="center"/>
            <w:hideMark/>
          </w:tcPr>
          <w:p w14:paraId="2A8152E1" w14:textId="77777777" w:rsidR="00414A67" w:rsidRPr="00414A67" w:rsidRDefault="00414A67" w:rsidP="00414A67">
            <w:pPr>
              <w:jc w:val="center"/>
              <w:rPr>
                <w:rFonts w:ascii="Book Antiqua" w:hAnsi="Book Antiqua" w:cs="Calibri"/>
                <w:color w:val="000000"/>
                <w:sz w:val="16"/>
                <w:szCs w:val="16"/>
                <w:lang w:eastAsia="es-CR"/>
              </w:rPr>
            </w:pPr>
            <w:r w:rsidRPr="00414A67">
              <w:rPr>
                <w:rFonts w:ascii="Book Antiqua" w:hAnsi="Book Antiqua" w:cs="Calibri"/>
                <w:color w:val="000000"/>
                <w:sz w:val="16"/>
                <w:szCs w:val="16"/>
                <w:lang w:eastAsia="es-CR"/>
              </w:rPr>
              <w:t>95%</w:t>
            </w:r>
          </w:p>
        </w:tc>
      </w:tr>
      <w:tr w:rsidR="00414A67" w:rsidRPr="00414A67" w14:paraId="70827C86" w14:textId="77777777" w:rsidTr="00592F59">
        <w:trPr>
          <w:trHeight w:val="280"/>
          <w:jc w:val="center"/>
        </w:trPr>
        <w:tc>
          <w:tcPr>
            <w:tcW w:w="996" w:type="dxa"/>
            <w:tcBorders>
              <w:top w:val="nil"/>
              <w:left w:val="single" w:sz="4" w:space="0" w:color="auto"/>
              <w:bottom w:val="single" w:sz="4" w:space="0" w:color="auto"/>
              <w:right w:val="single" w:sz="4" w:space="0" w:color="auto"/>
            </w:tcBorders>
            <w:shd w:val="clear" w:color="000000" w:fill="FFFFFF"/>
            <w:noWrap/>
            <w:vAlign w:val="center"/>
            <w:hideMark/>
          </w:tcPr>
          <w:p w14:paraId="670C8376" w14:textId="77777777" w:rsidR="00414A67" w:rsidRPr="00414A67" w:rsidRDefault="00414A67" w:rsidP="00414A67">
            <w:pPr>
              <w:jc w:val="center"/>
              <w:rPr>
                <w:rFonts w:ascii="Book Antiqua" w:hAnsi="Book Antiqua" w:cs="Calibri"/>
                <w:color w:val="000000"/>
                <w:sz w:val="16"/>
                <w:szCs w:val="16"/>
                <w:lang w:eastAsia="es-CR"/>
              </w:rPr>
            </w:pPr>
            <w:r w:rsidRPr="00414A67">
              <w:rPr>
                <w:rFonts w:ascii="Book Antiqua" w:hAnsi="Book Antiqua" w:cs="Calibri"/>
                <w:color w:val="000000"/>
                <w:sz w:val="16"/>
                <w:szCs w:val="16"/>
                <w:lang w:eastAsia="es-CR"/>
              </w:rPr>
              <w:t>Junio</w:t>
            </w:r>
          </w:p>
        </w:tc>
        <w:tc>
          <w:tcPr>
            <w:tcW w:w="1643" w:type="dxa"/>
            <w:tcBorders>
              <w:top w:val="nil"/>
              <w:left w:val="nil"/>
              <w:bottom w:val="single" w:sz="4" w:space="0" w:color="auto"/>
              <w:right w:val="single" w:sz="4" w:space="0" w:color="auto"/>
            </w:tcBorders>
            <w:shd w:val="clear" w:color="auto" w:fill="auto"/>
            <w:noWrap/>
            <w:vAlign w:val="center"/>
            <w:hideMark/>
          </w:tcPr>
          <w:p w14:paraId="661C20E7" w14:textId="77777777" w:rsidR="00414A67" w:rsidRPr="00414A67" w:rsidRDefault="00414A67" w:rsidP="00414A67">
            <w:pPr>
              <w:jc w:val="center"/>
              <w:rPr>
                <w:rFonts w:ascii="Book Antiqua" w:hAnsi="Book Antiqua" w:cs="Calibri"/>
                <w:color w:val="000000"/>
                <w:sz w:val="16"/>
                <w:szCs w:val="16"/>
                <w:lang w:eastAsia="es-CR"/>
              </w:rPr>
            </w:pPr>
            <w:r w:rsidRPr="00414A67">
              <w:rPr>
                <w:rFonts w:ascii="Book Antiqua" w:hAnsi="Book Antiqua" w:cs="Calibri"/>
                <w:color w:val="000000"/>
                <w:sz w:val="16"/>
                <w:szCs w:val="16"/>
                <w:lang w:eastAsia="es-CR"/>
              </w:rPr>
              <w:t>104%</w:t>
            </w:r>
          </w:p>
        </w:tc>
        <w:tc>
          <w:tcPr>
            <w:tcW w:w="1133" w:type="dxa"/>
            <w:tcBorders>
              <w:top w:val="nil"/>
              <w:left w:val="nil"/>
              <w:bottom w:val="single" w:sz="4" w:space="0" w:color="auto"/>
              <w:right w:val="single" w:sz="4" w:space="0" w:color="auto"/>
            </w:tcBorders>
            <w:shd w:val="clear" w:color="auto" w:fill="auto"/>
            <w:noWrap/>
            <w:vAlign w:val="center"/>
            <w:hideMark/>
          </w:tcPr>
          <w:p w14:paraId="6027325B" w14:textId="77777777" w:rsidR="00414A67" w:rsidRPr="00414A67" w:rsidRDefault="00414A67" w:rsidP="00414A67">
            <w:pPr>
              <w:jc w:val="center"/>
              <w:rPr>
                <w:rFonts w:ascii="Book Antiqua" w:hAnsi="Book Antiqua" w:cs="Calibri"/>
                <w:color w:val="000000"/>
                <w:sz w:val="16"/>
                <w:szCs w:val="16"/>
                <w:lang w:eastAsia="es-CR"/>
              </w:rPr>
            </w:pPr>
            <w:r w:rsidRPr="00414A67">
              <w:rPr>
                <w:rFonts w:ascii="Book Antiqua" w:hAnsi="Book Antiqua" w:cs="Calibri"/>
                <w:color w:val="000000"/>
                <w:sz w:val="16"/>
                <w:szCs w:val="16"/>
                <w:lang w:eastAsia="es-CR"/>
              </w:rPr>
              <w:t>96%</w:t>
            </w:r>
          </w:p>
        </w:tc>
        <w:tc>
          <w:tcPr>
            <w:tcW w:w="2172" w:type="dxa"/>
            <w:tcBorders>
              <w:top w:val="nil"/>
              <w:left w:val="nil"/>
              <w:bottom w:val="single" w:sz="4" w:space="0" w:color="auto"/>
              <w:right w:val="single" w:sz="4" w:space="0" w:color="auto"/>
            </w:tcBorders>
            <w:shd w:val="clear" w:color="auto" w:fill="auto"/>
            <w:noWrap/>
            <w:vAlign w:val="center"/>
            <w:hideMark/>
          </w:tcPr>
          <w:p w14:paraId="5AC3B13D" w14:textId="77777777" w:rsidR="00414A67" w:rsidRPr="00414A67" w:rsidRDefault="00414A67" w:rsidP="00414A67">
            <w:pPr>
              <w:jc w:val="center"/>
              <w:rPr>
                <w:rFonts w:ascii="Book Antiqua" w:hAnsi="Book Antiqua" w:cs="Calibri"/>
                <w:color w:val="000000"/>
                <w:sz w:val="16"/>
                <w:szCs w:val="16"/>
                <w:lang w:eastAsia="es-CR"/>
              </w:rPr>
            </w:pPr>
            <w:r w:rsidRPr="00414A67">
              <w:rPr>
                <w:rFonts w:ascii="Book Antiqua" w:hAnsi="Book Antiqua" w:cs="Calibri"/>
                <w:color w:val="000000"/>
                <w:sz w:val="16"/>
                <w:szCs w:val="16"/>
                <w:lang w:eastAsia="es-CR"/>
              </w:rPr>
              <w:t>86%</w:t>
            </w:r>
          </w:p>
        </w:tc>
        <w:tc>
          <w:tcPr>
            <w:tcW w:w="1133" w:type="dxa"/>
            <w:tcBorders>
              <w:top w:val="nil"/>
              <w:left w:val="nil"/>
              <w:bottom w:val="single" w:sz="4" w:space="0" w:color="auto"/>
              <w:right w:val="single" w:sz="4" w:space="0" w:color="auto"/>
            </w:tcBorders>
            <w:shd w:val="clear" w:color="auto" w:fill="auto"/>
            <w:noWrap/>
            <w:vAlign w:val="center"/>
            <w:hideMark/>
          </w:tcPr>
          <w:p w14:paraId="20734562" w14:textId="77777777" w:rsidR="00414A67" w:rsidRPr="00414A67" w:rsidRDefault="00414A67" w:rsidP="00414A67">
            <w:pPr>
              <w:jc w:val="center"/>
              <w:rPr>
                <w:rFonts w:ascii="Book Antiqua" w:hAnsi="Book Antiqua" w:cs="Calibri"/>
                <w:color w:val="000000"/>
                <w:sz w:val="16"/>
                <w:szCs w:val="16"/>
                <w:lang w:eastAsia="es-CR"/>
              </w:rPr>
            </w:pPr>
            <w:r w:rsidRPr="00414A67">
              <w:rPr>
                <w:rFonts w:ascii="Book Antiqua" w:hAnsi="Book Antiqua" w:cs="Calibri"/>
                <w:color w:val="000000"/>
                <w:sz w:val="16"/>
                <w:szCs w:val="16"/>
                <w:lang w:eastAsia="es-CR"/>
              </w:rPr>
              <w:t>96%</w:t>
            </w:r>
          </w:p>
        </w:tc>
        <w:tc>
          <w:tcPr>
            <w:tcW w:w="1265" w:type="dxa"/>
            <w:tcBorders>
              <w:top w:val="nil"/>
              <w:left w:val="nil"/>
              <w:bottom w:val="single" w:sz="4" w:space="0" w:color="auto"/>
              <w:right w:val="single" w:sz="4" w:space="0" w:color="auto"/>
            </w:tcBorders>
            <w:shd w:val="clear" w:color="auto" w:fill="auto"/>
            <w:noWrap/>
            <w:vAlign w:val="center"/>
            <w:hideMark/>
          </w:tcPr>
          <w:p w14:paraId="01397A60" w14:textId="77777777" w:rsidR="00414A67" w:rsidRPr="00414A67" w:rsidRDefault="00414A67" w:rsidP="00414A67">
            <w:pPr>
              <w:jc w:val="center"/>
              <w:rPr>
                <w:rFonts w:ascii="Book Antiqua" w:hAnsi="Book Antiqua" w:cs="Calibri"/>
                <w:color w:val="000000"/>
                <w:sz w:val="16"/>
                <w:szCs w:val="16"/>
                <w:lang w:eastAsia="es-CR"/>
              </w:rPr>
            </w:pPr>
            <w:r w:rsidRPr="00414A67">
              <w:rPr>
                <w:rFonts w:ascii="Book Antiqua" w:hAnsi="Book Antiqua" w:cs="Calibri"/>
                <w:color w:val="000000"/>
                <w:sz w:val="16"/>
                <w:szCs w:val="16"/>
                <w:lang w:eastAsia="es-CR"/>
              </w:rPr>
              <w:t>187%</w:t>
            </w:r>
          </w:p>
        </w:tc>
        <w:tc>
          <w:tcPr>
            <w:tcW w:w="1265" w:type="dxa"/>
            <w:tcBorders>
              <w:top w:val="nil"/>
              <w:left w:val="nil"/>
              <w:bottom w:val="single" w:sz="4" w:space="0" w:color="auto"/>
              <w:right w:val="single" w:sz="4" w:space="0" w:color="auto"/>
            </w:tcBorders>
            <w:shd w:val="clear" w:color="auto" w:fill="auto"/>
            <w:noWrap/>
            <w:vAlign w:val="center"/>
            <w:hideMark/>
          </w:tcPr>
          <w:p w14:paraId="15186A14" w14:textId="77777777" w:rsidR="00414A67" w:rsidRPr="00414A67" w:rsidRDefault="00414A67" w:rsidP="00414A67">
            <w:pPr>
              <w:jc w:val="center"/>
              <w:rPr>
                <w:rFonts w:ascii="Book Antiqua" w:hAnsi="Book Antiqua" w:cs="Calibri"/>
                <w:color w:val="000000"/>
                <w:sz w:val="16"/>
                <w:szCs w:val="16"/>
                <w:lang w:eastAsia="es-CR"/>
              </w:rPr>
            </w:pPr>
            <w:r w:rsidRPr="00414A67">
              <w:rPr>
                <w:rFonts w:ascii="Book Antiqua" w:hAnsi="Book Antiqua" w:cs="Calibri"/>
                <w:color w:val="000000"/>
                <w:sz w:val="16"/>
                <w:szCs w:val="16"/>
                <w:lang w:eastAsia="es-CR"/>
              </w:rPr>
              <w:t>93%</w:t>
            </w:r>
          </w:p>
        </w:tc>
        <w:tc>
          <w:tcPr>
            <w:tcW w:w="1133" w:type="dxa"/>
            <w:tcBorders>
              <w:top w:val="nil"/>
              <w:left w:val="nil"/>
              <w:bottom w:val="single" w:sz="4" w:space="0" w:color="auto"/>
              <w:right w:val="single" w:sz="4" w:space="0" w:color="auto"/>
            </w:tcBorders>
            <w:shd w:val="clear" w:color="auto" w:fill="auto"/>
            <w:noWrap/>
            <w:vAlign w:val="center"/>
            <w:hideMark/>
          </w:tcPr>
          <w:p w14:paraId="64AA3364" w14:textId="77777777" w:rsidR="00414A67" w:rsidRPr="00414A67" w:rsidRDefault="00414A67" w:rsidP="00414A67">
            <w:pPr>
              <w:jc w:val="center"/>
              <w:rPr>
                <w:rFonts w:ascii="Book Antiqua" w:hAnsi="Book Antiqua" w:cs="Calibri"/>
                <w:color w:val="000000"/>
                <w:sz w:val="16"/>
                <w:szCs w:val="16"/>
                <w:lang w:eastAsia="es-CR"/>
              </w:rPr>
            </w:pPr>
            <w:r w:rsidRPr="00414A67">
              <w:rPr>
                <w:rFonts w:ascii="Book Antiqua" w:hAnsi="Book Antiqua" w:cs="Calibri"/>
                <w:color w:val="000000"/>
                <w:sz w:val="16"/>
                <w:szCs w:val="16"/>
                <w:lang w:eastAsia="es-CR"/>
              </w:rPr>
              <w:t>92%</w:t>
            </w:r>
          </w:p>
        </w:tc>
      </w:tr>
      <w:tr w:rsidR="00414A67" w:rsidRPr="00414A67" w14:paraId="61F30694" w14:textId="77777777" w:rsidTr="00592F59">
        <w:trPr>
          <w:trHeight w:val="280"/>
          <w:jc w:val="center"/>
        </w:trPr>
        <w:tc>
          <w:tcPr>
            <w:tcW w:w="996" w:type="dxa"/>
            <w:tcBorders>
              <w:top w:val="nil"/>
              <w:left w:val="single" w:sz="4" w:space="0" w:color="auto"/>
              <w:bottom w:val="single" w:sz="4" w:space="0" w:color="auto"/>
              <w:right w:val="single" w:sz="4" w:space="0" w:color="auto"/>
            </w:tcBorders>
            <w:shd w:val="clear" w:color="000000" w:fill="FFFFFF"/>
            <w:noWrap/>
            <w:vAlign w:val="center"/>
            <w:hideMark/>
          </w:tcPr>
          <w:p w14:paraId="58F00622" w14:textId="77777777" w:rsidR="00414A67" w:rsidRPr="00414A67" w:rsidRDefault="00414A67" w:rsidP="00414A67">
            <w:pPr>
              <w:jc w:val="center"/>
              <w:rPr>
                <w:rFonts w:ascii="Book Antiqua" w:hAnsi="Book Antiqua" w:cs="Calibri"/>
                <w:color w:val="000000"/>
                <w:sz w:val="16"/>
                <w:szCs w:val="16"/>
                <w:lang w:eastAsia="es-CR"/>
              </w:rPr>
            </w:pPr>
            <w:r w:rsidRPr="00414A67">
              <w:rPr>
                <w:rFonts w:ascii="Book Antiqua" w:hAnsi="Book Antiqua" w:cs="Calibri"/>
                <w:color w:val="000000"/>
                <w:sz w:val="16"/>
                <w:szCs w:val="16"/>
                <w:lang w:eastAsia="es-CR"/>
              </w:rPr>
              <w:t>Julio</w:t>
            </w:r>
          </w:p>
        </w:tc>
        <w:tc>
          <w:tcPr>
            <w:tcW w:w="1643" w:type="dxa"/>
            <w:tcBorders>
              <w:top w:val="nil"/>
              <w:left w:val="nil"/>
              <w:bottom w:val="single" w:sz="4" w:space="0" w:color="auto"/>
              <w:right w:val="single" w:sz="4" w:space="0" w:color="auto"/>
            </w:tcBorders>
            <w:shd w:val="clear" w:color="auto" w:fill="auto"/>
            <w:noWrap/>
            <w:vAlign w:val="center"/>
            <w:hideMark/>
          </w:tcPr>
          <w:p w14:paraId="0B281E19" w14:textId="77777777" w:rsidR="00414A67" w:rsidRPr="00414A67" w:rsidRDefault="00414A67" w:rsidP="00414A67">
            <w:pPr>
              <w:jc w:val="center"/>
              <w:rPr>
                <w:rFonts w:ascii="Book Antiqua" w:hAnsi="Book Antiqua" w:cs="Calibri"/>
                <w:color w:val="000000"/>
                <w:sz w:val="16"/>
                <w:szCs w:val="16"/>
                <w:lang w:eastAsia="es-CR"/>
              </w:rPr>
            </w:pPr>
            <w:r w:rsidRPr="00414A67">
              <w:rPr>
                <w:rFonts w:ascii="Book Antiqua" w:hAnsi="Book Antiqua" w:cs="Calibri"/>
                <w:color w:val="000000"/>
                <w:sz w:val="16"/>
                <w:szCs w:val="16"/>
                <w:lang w:eastAsia="es-CR"/>
              </w:rPr>
              <w:t>97%</w:t>
            </w:r>
          </w:p>
        </w:tc>
        <w:tc>
          <w:tcPr>
            <w:tcW w:w="1133" w:type="dxa"/>
            <w:tcBorders>
              <w:top w:val="nil"/>
              <w:left w:val="nil"/>
              <w:bottom w:val="single" w:sz="4" w:space="0" w:color="auto"/>
              <w:right w:val="single" w:sz="4" w:space="0" w:color="auto"/>
            </w:tcBorders>
            <w:shd w:val="clear" w:color="auto" w:fill="auto"/>
            <w:noWrap/>
            <w:vAlign w:val="center"/>
            <w:hideMark/>
          </w:tcPr>
          <w:p w14:paraId="1D174D19" w14:textId="77777777" w:rsidR="00414A67" w:rsidRPr="00414A67" w:rsidRDefault="00414A67" w:rsidP="00414A67">
            <w:pPr>
              <w:jc w:val="center"/>
              <w:rPr>
                <w:rFonts w:ascii="Book Antiqua" w:hAnsi="Book Antiqua" w:cs="Calibri"/>
                <w:color w:val="000000"/>
                <w:sz w:val="16"/>
                <w:szCs w:val="16"/>
                <w:lang w:eastAsia="es-CR"/>
              </w:rPr>
            </w:pPr>
            <w:r w:rsidRPr="00414A67">
              <w:rPr>
                <w:rFonts w:ascii="Book Antiqua" w:hAnsi="Book Antiqua" w:cs="Calibri"/>
                <w:color w:val="000000"/>
                <w:sz w:val="16"/>
                <w:szCs w:val="16"/>
                <w:lang w:eastAsia="es-CR"/>
              </w:rPr>
              <w:t>90%</w:t>
            </w:r>
          </w:p>
        </w:tc>
        <w:tc>
          <w:tcPr>
            <w:tcW w:w="2172" w:type="dxa"/>
            <w:tcBorders>
              <w:top w:val="nil"/>
              <w:left w:val="nil"/>
              <w:bottom w:val="single" w:sz="4" w:space="0" w:color="auto"/>
              <w:right w:val="single" w:sz="4" w:space="0" w:color="auto"/>
            </w:tcBorders>
            <w:shd w:val="clear" w:color="auto" w:fill="auto"/>
            <w:noWrap/>
            <w:vAlign w:val="center"/>
            <w:hideMark/>
          </w:tcPr>
          <w:p w14:paraId="21F56B69" w14:textId="77777777" w:rsidR="00414A67" w:rsidRPr="00414A67" w:rsidRDefault="00414A67" w:rsidP="00414A67">
            <w:pPr>
              <w:jc w:val="center"/>
              <w:rPr>
                <w:rFonts w:ascii="Book Antiqua" w:hAnsi="Book Antiqua" w:cs="Calibri"/>
                <w:color w:val="000000"/>
                <w:sz w:val="16"/>
                <w:szCs w:val="16"/>
                <w:lang w:eastAsia="es-CR"/>
              </w:rPr>
            </w:pPr>
            <w:r w:rsidRPr="00414A67">
              <w:rPr>
                <w:rFonts w:ascii="Book Antiqua" w:hAnsi="Book Antiqua" w:cs="Calibri"/>
                <w:color w:val="000000"/>
                <w:sz w:val="16"/>
                <w:szCs w:val="16"/>
                <w:lang w:eastAsia="es-CR"/>
              </w:rPr>
              <w:t>81%</w:t>
            </w:r>
          </w:p>
        </w:tc>
        <w:tc>
          <w:tcPr>
            <w:tcW w:w="1133" w:type="dxa"/>
            <w:tcBorders>
              <w:top w:val="nil"/>
              <w:left w:val="nil"/>
              <w:bottom w:val="single" w:sz="4" w:space="0" w:color="auto"/>
              <w:right w:val="single" w:sz="4" w:space="0" w:color="auto"/>
            </w:tcBorders>
            <w:shd w:val="clear" w:color="auto" w:fill="auto"/>
            <w:noWrap/>
            <w:vAlign w:val="center"/>
            <w:hideMark/>
          </w:tcPr>
          <w:p w14:paraId="5F265EE1" w14:textId="77777777" w:rsidR="00414A67" w:rsidRPr="00414A67" w:rsidRDefault="00414A67" w:rsidP="00414A67">
            <w:pPr>
              <w:jc w:val="center"/>
              <w:rPr>
                <w:rFonts w:ascii="Book Antiqua" w:hAnsi="Book Antiqua" w:cs="Calibri"/>
                <w:color w:val="000000"/>
                <w:sz w:val="16"/>
                <w:szCs w:val="16"/>
                <w:lang w:eastAsia="es-CR"/>
              </w:rPr>
            </w:pPr>
            <w:r w:rsidRPr="00414A67">
              <w:rPr>
                <w:rFonts w:ascii="Book Antiqua" w:hAnsi="Book Antiqua" w:cs="Calibri"/>
                <w:color w:val="000000"/>
                <w:sz w:val="16"/>
                <w:szCs w:val="16"/>
                <w:lang w:eastAsia="es-CR"/>
              </w:rPr>
              <w:t>88%</w:t>
            </w:r>
          </w:p>
        </w:tc>
        <w:tc>
          <w:tcPr>
            <w:tcW w:w="1265" w:type="dxa"/>
            <w:tcBorders>
              <w:top w:val="nil"/>
              <w:left w:val="nil"/>
              <w:bottom w:val="single" w:sz="4" w:space="0" w:color="auto"/>
              <w:right w:val="single" w:sz="4" w:space="0" w:color="auto"/>
            </w:tcBorders>
            <w:shd w:val="clear" w:color="auto" w:fill="auto"/>
            <w:noWrap/>
            <w:vAlign w:val="center"/>
            <w:hideMark/>
          </w:tcPr>
          <w:p w14:paraId="5E12BF5E" w14:textId="77777777" w:rsidR="00414A67" w:rsidRPr="00414A67" w:rsidRDefault="00414A67" w:rsidP="00414A67">
            <w:pPr>
              <w:jc w:val="center"/>
              <w:rPr>
                <w:rFonts w:ascii="Book Antiqua" w:hAnsi="Book Antiqua" w:cs="Calibri"/>
                <w:color w:val="000000"/>
                <w:sz w:val="16"/>
                <w:szCs w:val="16"/>
                <w:lang w:eastAsia="es-CR"/>
              </w:rPr>
            </w:pPr>
            <w:r w:rsidRPr="00414A67">
              <w:rPr>
                <w:rFonts w:ascii="Book Antiqua" w:hAnsi="Book Antiqua" w:cs="Calibri"/>
                <w:color w:val="000000"/>
                <w:sz w:val="16"/>
                <w:szCs w:val="16"/>
                <w:lang w:eastAsia="es-CR"/>
              </w:rPr>
              <w:t>187%</w:t>
            </w:r>
          </w:p>
        </w:tc>
        <w:tc>
          <w:tcPr>
            <w:tcW w:w="1265" w:type="dxa"/>
            <w:tcBorders>
              <w:top w:val="nil"/>
              <w:left w:val="nil"/>
              <w:bottom w:val="single" w:sz="4" w:space="0" w:color="auto"/>
              <w:right w:val="single" w:sz="4" w:space="0" w:color="auto"/>
            </w:tcBorders>
            <w:shd w:val="clear" w:color="auto" w:fill="auto"/>
            <w:noWrap/>
            <w:vAlign w:val="center"/>
            <w:hideMark/>
          </w:tcPr>
          <w:p w14:paraId="10446CFE" w14:textId="77777777" w:rsidR="00414A67" w:rsidRPr="00414A67" w:rsidRDefault="00414A67" w:rsidP="00414A67">
            <w:pPr>
              <w:jc w:val="center"/>
              <w:rPr>
                <w:rFonts w:ascii="Book Antiqua" w:hAnsi="Book Antiqua" w:cs="Calibri"/>
                <w:color w:val="000000"/>
                <w:sz w:val="16"/>
                <w:szCs w:val="16"/>
                <w:lang w:eastAsia="es-CR"/>
              </w:rPr>
            </w:pPr>
            <w:r w:rsidRPr="00414A67">
              <w:rPr>
                <w:rFonts w:ascii="Book Antiqua" w:hAnsi="Book Antiqua" w:cs="Calibri"/>
                <w:color w:val="000000"/>
                <w:sz w:val="16"/>
                <w:szCs w:val="16"/>
                <w:lang w:eastAsia="es-CR"/>
              </w:rPr>
              <w:t>87%</w:t>
            </w:r>
          </w:p>
        </w:tc>
        <w:tc>
          <w:tcPr>
            <w:tcW w:w="1133" w:type="dxa"/>
            <w:tcBorders>
              <w:top w:val="nil"/>
              <w:left w:val="nil"/>
              <w:bottom w:val="single" w:sz="4" w:space="0" w:color="auto"/>
              <w:right w:val="single" w:sz="4" w:space="0" w:color="auto"/>
            </w:tcBorders>
            <w:shd w:val="clear" w:color="auto" w:fill="auto"/>
            <w:noWrap/>
            <w:vAlign w:val="center"/>
            <w:hideMark/>
          </w:tcPr>
          <w:p w14:paraId="2C15F8B5" w14:textId="77777777" w:rsidR="00414A67" w:rsidRPr="00414A67" w:rsidRDefault="00414A67" w:rsidP="00414A67">
            <w:pPr>
              <w:jc w:val="center"/>
              <w:rPr>
                <w:rFonts w:ascii="Book Antiqua" w:hAnsi="Book Antiqua" w:cs="Calibri"/>
                <w:color w:val="000000"/>
                <w:sz w:val="16"/>
                <w:szCs w:val="16"/>
                <w:lang w:eastAsia="es-CR"/>
              </w:rPr>
            </w:pPr>
            <w:r w:rsidRPr="00414A67">
              <w:rPr>
                <w:rFonts w:ascii="Book Antiqua" w:hAnsi="Book Antiqua" w:cs="Calibri"/>
                <w:color w:val="000000"/>
                <w:sz w:val="16"/>
                <w:szCs w:val="16"/>
                <w:lang w:eastAsia="es-CR"/>
              </w:rPr>
              <w:t>86%</w:t>
            </w:r>
          </w:p>
        </w:tc>
      </w:tr>
      <w:tr w:rsidR="00414A67" w:rsidRPr="00414A67" w14:paraId="50F804FD" w14:textId="77777777" w:rsidTr="00592F59">
        <w:trPr>
          <w:trHeight w:val="280"/>
          <w:jc w:val="center"/>
        </w:trPr>
        <w:tc>
          <w:tcPr>
            <w:tcW w:w="996" w:type="dxa"/>
            <w:tcBorders>
              <w:top w:val="nil"/>
              <w:left w:val="single" w:sz="4" w:space="0" w:color="auto"/>
              <w:bottom w:val="single" w:sz="4" w:space="0" w:color="auto"/>
              <w:right w:val="single" w:sz="4" w:space="0" w:color="auto"/>
            </w:tcBorders>
            <w:shd w:val="clear" w:color="000000" w:fill="FFFFFF"/>
            <w:noWrap/>
            <w:vAlign w:val="center"/>
            <w:hideMark/>
          </w:tcPr>
          <w:p w14:paraId="435038E7" w14:textId="77777777" w:rsidR="00414A67" w:rsidRPr="00414A67" w:rsidRDefault="00414A67" w:rsidP="00414A67">
            <w:pPr>
              <w:jc w:val="center"/>
              <w:rPr>
                <w:rFonts w:ascii="Book Antiqua" w:hAnsi="Book Antiqua" w:cs="Calibri"/>
                <w:color w:val="000000"/>
                <w:sz w:val="16"/>
                <w:szCs w:val="16"/>
                <w:lang w:eastAsia="es-CR"/>
              </w:rPr>
            </w:pPr>
            <w:r w:rsidRPr="00414A67">
              <w:rPr>
                <w:rFonts w:ascii="Book Antiqua" w:hAnsi="Book Antiqua" w:cs="Calibri"/>
                <w:color w:val="000000"/>
                <w:sz w:val="16"/>
                <w:szCs w:val="16"/>
                <w:lang w:eastAsia="es-CR"/>
              </w:rPr>
              <w:t>Agosto</w:t>
            </w:r>
          </w:p>
        </w:tc>
        <w:tc>
          <w:tcPr>
            <w:tcW w:w="1643" w:type="dxa"/>
            <w:tcBorders>
              <w:top w:val="nil"/>
              <w:left w:val="nil"/>
              <w:bottom w:val="single" w:sz="4" w:space="0" w:color="auto"/>
              <w:right w:val="single" w:sz="4" w:space="0" w:color="auto"/>
            </w:tcBorders>
            <w:shd w:val="clear" w:color="auto" w:fill="auto"/>
            <w:noWrap/>
            <w:vAlign w:val="center"/>
            <w:hideMark/>
          </w:tcPr>
          <w:p w14:paraId="77A3C749" w14:textId="77777777" w:rsidR="00414A67" w:rsidRPr="00414A67" w:rsidRDefault="00414A67" w:rsidP="00414A67">
            <w:pPr>
              <w:jc w:val="center"/>
              <w:rPr>
                <w:rFonts w:ascii="Book Antiqua" w:hAnsi="Book Antiqua" w:cs="Calibri"/>
                <w:color w:val="000000"/>
                <w:sz w:val="16"/>
                <w:szCs w:val="16"/>
                <w:lang w:eastAsia="es-CR"/>
              </w:rPr>
            </w:pPr>
            <w:r w:rsidRPr="00414A67">
              <w:rPr>
                <w:rFonts w:ascii="Book Antiqua" w:hAnsi="Book Antiqua" w:cs="Calibri"/>
                <w:color w:val="000000"/>
                <w:sz w:val="16"/>
                <w:szCs w:val="16"/>
                <w:lang w:eastAsia="es-CR"/>
              </w:rPr>
              <w:t>114%</w:t>
            </w:r>
          </w:p>
        </w:tc>
        <w:tc>
          <w:tcPr>
            <w:tcW w:w="1133" w:type="dxa"/>
            <w:tcBorders>
              <w:top w:val="nil"/>
              <w:left w:val="nil"/>
              <w:bottom w:val="single" w:sz="4" w:space="0" w:color="auto"/>
              <w:right w:val="single" w:sz="4" w:space="0" w:color="auto"/>
            </w:tcBorders>
            <w:shd w:val="clear" w:color="auto" w:fill="auto"/>
            <w:noWrap/>
            <w:vAlign w:val="center"/>
            <w:hideMark/>
          </w:tcPr>
          <w:p w14:paraId="612145C3" w14:textId="77777777" w:rsidR="00414A67" w:rsidRPr="00414A67" w:rsidRDefault="00414A67" w:rsidP="00414A67">
            <w:pPr>
              <w:jc w:val="center"/>
              <w:rPr>
                <w:rFonts w:ascii="Book Antiqua" w:hAnsi="Book Antiqua" w:cs="Calibri"/>
                <w:color w:val="000000"/>
                <w:sz w:val="16"/>
                <w:szCs w:val="16"/>
                <w:lang w:eastAsia="es-CR"/>
              </w:rPr>
            </w:pPr>
            <w:r w:rsidRPr="00414A67">
              <w:rPr>
                <w:rFonts w:ascii="Book Antiqua" w:hAnsi="Book Antiqua" w:cs="Calibri"/>
                <w:color w:val="000000"/>
                <w:sz w:val="16"/>
                <w:szCs w:val="16"/>
                <w:lang w:eastAsia="es-CR"/>
              </w:rPr>
              <w:t>87%</w:t>
            </w:r>
          </w:p>
        </w:tc>
        <w:tc>
          <w:tcPr>
            <w:tcW w:w="2172" w:type="dxa"/>
            <w:tcBorders>
              <w:top w:val="nil"/>
              <w:left w:val="nil"/>
              <w:bottom w:val="single" w:sz="4" w:space="0" w:color="auto"/>
              <w:right w:val="single" w:sz="4" w:space="0" w:color="auto"/>
            </w:tcBorders>
            <w:shd w:val="clear" w:color="auto" w:fill="auto"/>
            <w:noWrap/>
            <w:vAlign w:val="center"/>
            <w:hideMark/>
          </w:tcPr>
          <w:p w14:paraId="547E28A0" w14:textId="77777777" w:rsidR="00414A67" w:rsidRPr="00414A67" w:rsidRDefault="00414A67" w:rsidP="00414A67">
            <w:pPr>
              <w:jc w:val="center"/>
              <w:rPr>
                <w:rFonts w:ascii="Book Antiqua" w:hAnsi="Book Antiqua" w:cs="Calibri"/>
                <w:color w:val="000000"/>
                <w:sz w:val="16"/>
                <w:szCs w:val="16"/>
                <w:lang w:eastAsia="es-CR"/>
              </w:rPr>
            </w:pPr>
            <w:r w:rsidRPr="00414A67">
              <w:rPr>
                <w:rFonts w:ascii="Book Antiqua" w:hAnsi="Book Antiqua" w:cs="Calibri"/>
                <w:color w:val="000000"/>
                <w:sz w:val="16"/>
                <w:szCs w:val="16"/>
                <w:lang w:eastAsia="es-CR"/>
              </w:rPr>
              <w:t>82%</w:t>
            </w:r>
          </w:p>
        </w:tc>
        <w:tc>
          <w:tcPr>
            <w:tcW w:w="1133" w:type="dxa"/>
            <w:tcBorders>
              <w:top w:val="nil"/>
              <w:left w:val="nil"/>
              <w:bottom w:val="single" w:sz="4" w:space="0" w:color="auto"/>
              <w:right w:val="single" w:sz="4" w:space="0" w:color="auto"/>
            </w:tcBorders>
            <w:shd w:val="clear" w:color="auto" w:fill="auto"/>
            <w:noWrap/>
            <w:vAlign w:val="center"/>
            <w:hideMark/>
          </w:tcPr>
          <w:p w14:paraId="06E9535A" w14:textId="77777777" w:rsidR="00414A67" w:rsidRPr="00414A67" w:rsidRDefault="00414A67" w:rsidP="00414A67">
            <w:pPr>
              <w:jc w:val="center"/>
              <w:rPr>
                <w:rFonts w:ascii="Book Antiqua" w:hAnsi="Book Antiqua" w:cs="Calibri"/>
                <w:color w:val="000000"/>
                <w:sz w:val="16"/>
                <w:szCs w:val="16"/>
                <w:lang w:eastAsia="es-CR"/>
              </w:rPr>
            </w:pPr>
            <w:r w:rsidRPr="00414A67">
              <w:rPr>
                <w:rFonts w:ascii="Book Antiqua" w:hAnsi="Book Antiqua" w:cs="Calibri"/>
                <w:color w:val="000000"/>
                <w:sz w:val="16"/>
                <w:szCs w:val="16"/>
                <w:lang w:eastAsia="es-CR"/>
              </w:rPr>
              <w:t>92%</w:t>
            </w:r>
          </w:p>
        </w:tc>
        <w:tc>
          <w:tcPr>
            <w:tcW w:w="1265" w:type="dxa"/>
            <w:tcBorders>
              <w:top w:val="nil"/>
              <w:left w:val="nil"/>
              <w:bottom w:val="single" w:sz="4" w:space="0" w:color="auto"/>
              <w:right w:val="single" w:sz="4" w:space="0" w:color="auto"/>
            </w:tcBorders>
            <w:shd w:val="clear" w:color="auto" w:fill="auto"/>
            <w:noWrap/>
            <w:vAlign w:val="center"/>
            <w:hideMark/>
          </w:tcPr>
          <w:p w14:paraId="402F5346" w14:textId="77777777" w:rsidR="00414A67" w:rsidRPr="00414A67" w:rsidRDefault="00414A67" w:rsidP="00414A67">
            <w:pPr>
              <w:jc w:val="center"/>
              <w:rPr>
                <w:rFonts w:ascii="Book Antiqua" w:hAnsi="Book Antiqua" w:cs="Calibri"/>
                <w:color w:val="000000"/>
                <w:sz w:val="16"/>
                <w:szCs w:val="16"/>
                <w:lang w:eastAsia="es-CR"/>
              </w:rPr>
            </w:pPr>
            <w:r w:rsidRPr="00414A67">
              <w:rPr>
                <w:rFonts w:ascii="Book Antiqua" w:hAnsi="Book Antiqua" w:cs="Calibri"/>
                <w:color w:val="000000"/>
                <w:sz w:val="16"/>
                <w:szCs w:val="16"/>
                <w:lang w:eastAsia="es-CR"/>
              </w:rPr>
              <w:t>293%</w:t>
            </w:r>
          </w:p>
        </w:tc>
        <w:tc>
          <w:tcPr>
            <w:tcW w:w="1265" w:type="dxa"/>
            <w:tcBorders>
              <w:top w:val="nil"/>
              <w:left w:val="nil"/>
              <w:bottom w:val="single" w:sz="4" w:space="0" w:color="auto"/>
              <w:right w:val="single" w:sz="4" w:space="0" w:color="auto"/>
            </w:tcBorders>
            <w:shd w:val="clear" w:color="auto" w:fill="auto"/>
            <w:noWrap/>
            <w:vAlign w:val="center"/>
            <w:hideMark/>
          </w:tcPr>
          <w:p w14:paraId="729A8B61" w14:textId="77777777" w:rsidR="00414A67" w:rsidRPr="00414A67" w:rsidRDefault="00414A67" w:rsidP="00414A67">
            <w:pPr>
              <w:jc w:val="center"/>
              <w:rPr>
                <w:rFonts w:ascii="Book Antiqua" w:hAnsi="Book Antiqua" w:cs="Calibri"/>
                <w:color w:val="000000"/>
                <w:sz w:val="16"/>
                <w:szCs w:val="16"/>
                <w:lang w:eastAsia="es-CR"/>
              </w:rPr>
            </w:pPr>
            <w:r w:rsidRPr="00414A67">
              <w:rPr>
                <w:rFonts w:ascii="Book Antiqua" w:hAnsi="Book Antiqua" w:cs="Calibri"/>
                <w:color w:val="000000"/>
                <w:sz w:val="16"/>
                <w:szCs w:val="16"/>
                <w:lang w:eastAsia="es-CR"/>
              </w:rPr>
              <w:t>97%</w:t>
            </w:r>
          </w:p>
        </w:tc>
        <w:tc>
          <w:tcPr>
            <w:tcW w:w="1133" w:type="dxa"/>
            <w:tcBorders>
              <w:top w:val="nil"/>
              <w:left w:val="nil"/>
              <w:bottom w:val="single" w:sz="4" w:space="0" w:color="auto"/>
              <w:right w:val="single" w:sz="4" w:space="0" w:color="auto"/>
            </w:tcBorders>
            <w:shd w:val="clear" w:color="auto" w:fill="auto"/>
            <w:noWrap/>
            <w:vAlign w:val="center"/>
            <w:hideMark/>
          </w:tcPr>
          <w:p w14:paraId="2DE1F81C" w14:textId="77777777" w:rsidR="00414A67" w:rsidRPr="00414A67" w:rsidRDefault="00414A67" w:rsidP="00414A67">
            <w:pPr>
              <w:jc w:val="center"/>
              <w:rPr>
                <w:rFonts w:ascii="Book Antiqua" w:hAnsi="Book Antiqua" w:cs="Calibri"/>
                <w:color w:val="000000"/>
                <w:sz w:val="16"/>
                <w:szCs w:val="16"/>
                <w:lang w:eastAsia="es-CR"/>
              </w:rPr>
            </w:pPr>
            <w:r w:rsidRPr="00414A67">
              <w:rPr>
                <w:rFonts w:ascii="Book Antiqua" w:hAnsi="Book Antiqua" w:cs="Calibri"/>
                <w:color w:val="000000"/>
                <w:sz w:val="16"/>
                <w:szCs w:val="16"/>
                <w:lang w:eastAsia="es-CR"/>
              </w:rPr>
              <w:t>107%</w:t>
            </w:r>
          </w:p>
        </w:tc>
      </w:tr>
      <w:tr w:rsidR="00414A67" w:rsidRPr="00414A67" w14:paraId="48960552" w14:textId="77777777" w:rsidTr="00592F59">
        <w:trPr>
          <w:trHeight w:val="280"/>
          <w:jc w:val="center"/>
        </w:trPr>
        <w:tc>
          <w:tcPr>
            <w:tcW w:w="996" w:type="dxa"/>
            <w:tcBorders>
              <w:top w:val="nil"/>
              <w:left w:val="single" w:sz="4" w:space="0" w:color="auto"/>
              <w:bottom w:val="single" w:sz="4" w:space="0" w:color="auto"/>
              <w:right w:val="single" w:sz="4" w:space="0" w:color="auto"/>
            </w:tcBorders>
            <w:shd w:val="clear" w:color="000000" w:fill="FFFFFF"/>
            <w:noWrap/>
            <w:vAlign w:val="center"/>
            <w:hideMark/>
          </w:tcPr>
          <w:p w14:paraId="55E44E4D" w14:textId="77777777" w:rsidR="00414A67" w:rsidRPr="00414A67" w:rsidRDefault="00414A67" w:rsidP="00414A67">
            <w:pPr>
              <w:jc w:val="center"/>
              <w:rPr>
                <w:rFonts w:ascii="Book Antiqua" w:hAnsi="Book Antiqua" w:cs="Calibri"/>
                <w:color w:val="000000"/>
                <w:sz w:val="16"/>
                <w:szCs w:val="16"/>
                <w:lang w:eastAsia="es-CR"/>
              </w:rPr>
            </w:pPr>
            <w:r w:rsidRPr="00414A67">
              <w:rPr>
                <w:rFonts w:ascii="Book Antiqua" w:hAnsi="Book Antiqua" w:cs="Calibri"/>
                <w:color w:val="000000"/>
                <w:sz w:val="16"/>
                <w:szCs w:val="16"/>
                <w:lang w:eastAsia="es-CR"/>
              </w:rPr>
              <w:t>Setiembre</w:t>
            </w:r>
          </w:p>
        </w:tc>
        <w:tc>
          <w:tcPr>
            <w:tcW w:w="1643" w:type="dxa"/>
            <w:tcBorders>
              <w:top w:val="nil"/>
              <w:left w:val="nil"/>
              <w:bottom w:val="single" w:sz="4" w:space="0" w:color="auto"/>
              <w:right w:val="single" w:sz="4" w:space="0" w:color="auto"/>
            </w:tcBorders>
            <w:shd w:val="clear" w:color="auto" w:fill="auto"/>
            <w:noWrap/>
            <w:vAlign w:val="center"/>
            <w:hideMark/>
          </w:tcPr>
          <w:p w14:paraId="329CCB7F" w14:textId="77777777" w:rsidR="00414A67" w:rsidRPr="00414A67" w:rsidRDefault="00414A67" w:rsidP="00414A67">
            <w:pPr>
              <w:jc w:val="center"/>
              <w:rPr>
                <w:rFonts w:ascii="Book Antiqua" w:hAnsi="Book Antiqua" w:cs="Calibri"/>
                <w:color w:val="000000"/>
                <w:sz w:val="16"/>
                <w:szCs w:val="16"/>
                <w:lang w:eastAsia="es-CR"/>
              </w:rPr>
            </w:pPr>
            <w:r w:rsidRPr="00414A67">
              <w:rPr>
                <w:rFonts w:ascii="Book Antiqua" w:hAnsi="Book Antiqua" w:cs="Calibri"/>
                <w:color w:val="000000"/>
                <w:sz w:val="16"/>
                <w:szCs w:val="16"/>
                <w:lang w:eastAsia="es-CR"/>
              </w:rPr>
              <w:t>127%</w:t>
            </w:r>
          </w:p>
        </w:tc>
        <w:tc>
          <w:tcPr>
            <w:tcW w:w="1133" w:type="dxa"/>
            <w:tcBorders>
              <w:top w:val="nil"/>
              <w:left w:val="nil"/>
              <w:bottom w:val="single" w:sz="4" w:space="0" w:color="auto"/>
              <w:right w:val="single" w:sz="4" w:space="0" w:color="auto"/>
            </w:tcBorders>
            <w:shd w:val="clear" w:color="auto" w:fill="auto"/>
            <w:noWrap/>
            <w:vAlign w:val="center"/>
            <w:hideMark/>
          </w:tcPr>
          <w:p w14:paraId="443793B7" w14:textId="77777777" w:rsidR="00414A67" w:rsidRPr="00414A67" w:rsidRDefault="00414A67" w:rsidP="00414A67">
            <w:pPr>
              <w:jc w:val="center"/>
              <w:rPr>
                <w:rFonts w:ascii="Book Antiqua" w:hAnsi="Book Antiqua" w:cs="Calibri"/>
                <w:color w:val="000000"/>
                <w:sz w:val="16"/>
                <w:szCs w:val="16"/>
                <w:lang w:eastAsia="es-CR"/>
              </w:rPr>
            </w:pPr>
            <w:r w:rsidRPr="00414A67">
              <w:rPr>
                <w:rFonts w:ascii="Book Antiqua" w:hAnsi="Book Antiqua" w:cs="Calibri"/>
                <w:color w:val="000000"/>
                <w:sz w:val="16"/>
                <w:szCs w:val="16"/>
                <w:lang w:eastAsia="es-CR"/>
              </w:rPr>
              <w:t>100%</w:t>
            </w:r>
          </w:p>
        </w:tc>
        <w:tc>
          <w:tcPr>
            <w:tcW w:w="2172" w:type="dxa"/>
            <w:tcBorders>
              <w:top w:val="nil"/>
              <w:left w:val="nil"/>
              <w:bottom w:val="single" w:sz="4" w:space="0" w:color="auto"/>
              <w:right w:val="single" w:sz="4" w:space="0" w:color="auto"/>
            </w:tcBorders>
            <w:shd w:val="clear" w:color="auto" w:fill="auto"/>
            <w:noWrap/>
            <w:vAlign w:val="center"/>
            <w:hideMark/>
          </w:tcPr>
          <w:p w14:paraId="232A9F63" w14:textId="77777777" w:rsidR="00414A67" w:rsidRPr="00414A67" w:rsidRDefault="00414A67" w:rsidP="00414A67">
            <w:pPr>
              <w:jc w:val="center"/>
              <w:rPr>
                <w:rFonts w:ascii="Book Antiqua" w:hAnsi="Book Antiqua" w:cs="Calibri"/>
                <w:color w:val="000000"/>
                <w:sz w:val="16"/>
                <w:szCs w:val="16"/>
                <w:lang w:eastAsia="es-CR"/>
              </w:rPr>
            </w:pPr>
            <w:r w:rsidRPr="00414A67">
              <w:rPr>
                <w:rFonts w:ascii="Book Antiqua" w:hAnsi="Book Antiqua" w:cs="Calibri"/>
                <w:color w:val="000000"/>
                <w:sz w:val="16"/>
                <w:szCs w:val="16"/>
                <w:lang w:eastAsia="es-CR"/>
              </w:rPr>
              <w:t>81%</w:t>
            </w:r>
          </w:p>
        </w:tc>
        <w:tc>
          <w:tcPr>
            <w:tcW w:w="1133" w:type="dxa"/>
            <w:tcBorders>
              <w:top w:val="nil"/>
              <w:left w:val="nil"/>
              <w:bottom w:val="single" w:sz="4" w:space="0" w:color="auto"/>
              <w:right w:val="single" w:sz="4" w:space="0" w:color="auto"/>
            </w:tcBorders>
            <w:shd w:val="clear" w:color="auto" w:fill="auto"/>
            <w:noWrap/>
            <w:vAlign w:val="center"/>
            <w:hideMark/>
          </w:tcPr>
          <w:p w14:paraId="35314C84" w14:textId="77777777" w:rsidR="00414A67" w:rsidRPr="00414A67" w:rsidRDefault="00414A67" w:rsidP="00414A67">
            <w:pPr>
              <w:jc w:val="center"/>
              <w:rPr>
                <w:rFonts w:ascii="Book Antiqua" w:hAnsi="Book Antiqua" w:cs="Calibri"/>
                <w:color w:val="000000"/>
                <w:sz w:val="16"/>
                <w:szCs w:val="16"/>
                <w:lang w:eastAsia="es-CR"/>
              </w:rPr>
            </w:pPr>
            <w:r w:rsidRPr="00414A67">
              <w:rPr>
                <w:rFonts w:ascii="Book Antiqua" w:hAnsi="Book Antiqua" w:cs="Calibri"/>
                <w:color w:val="000000"/>
                <w:sz w:val="16"/>
                <w:szCs w:val="16"/>
                <w:lang w:eastAsia="es-CR"/>
              </w:rPr>
              <w:t>90%</w:t>
            </w:r>
          </w:p>
        </w:tc>
        <w:tc>
          <w:tcPr>
            <w:tcW w:w="1265" w:type="dxa"/>
            <w:tcBorders>
              <w:top w:val="nil"/>
              <w:left w:val="nil"/>
              <w:bottom w:val="single" w:sz="4" w:space="0" w:color="auto"/>
              <w:right w:val="single" w:sz="4" w:space="0" w:color="auto"/>
            </w:tcBorders>
            <w:shd w:val="clear" w:color="auto" w:fill="auto"/>
            <w:noWrap/>
            <w:vAlign w:val="center"/>
            <w:hideMark/>
          </w:tcPr>
          <w:p w14:paraId="3F513C98" w14:textId="77777777" w:rsidR="00414A67" w:rsidRPr="00414A67" w:rsidRDefault="00414A67" w:rsidP="00414A67">
            <w:pPr>
              <w:jc w:val="center"/>
              <w:rPr>
                <w:rFonts w:ascii="Book Antiqua" w:hAnsi="Book Antiqua" w:cs="Calibri"/>
                <w:color w:val="000000"/>
                <w:sz w:val="16"/>
                <w:szCs w:val="16"/>
                <w:lang w:eastAsia="es-CR"/>
              </w:rPr>
            </w:pPr>
            <w:r w:rsidRPr="00414A67">
              <w:rPr>
                <w:rFonts w:ascii="Book Antiqua" w:hAnsi="Book Antiqua" w:cs="Calibri"/>
                <w:color w:val="000000"/>
                <w:sz w:val="16"/>
                <w:szCs w:val="16"/>
                <w:lang w:eastAsia="es-CR"/>
              </w:rPr>
              <w:t>226%</w:t>
            </w:r>
          </w:p>
        </w:tc>
        <w:tc>
          <w:tcPr>
            <w:tcW w:w="1265" w:type="dxa"/>
            <w:tcBorders>
              <w:top w:val="nil"/>
              <w:left w:val="nil"/>
              <w:bottom w:val="single" w:sz="4" w:space="0" w:color="auto"/>
              <w:right w:val="single" w:sz="4" w:space="0" w:color="auto"/>
            </w:tcBorders>
            <w:shd w:val="clear" w:color="auto" w:fill="auto"/>
            <w:noWrap/>
            <w:vAlign w:val="center"/>
            <w:hideMark/>
          </w:tcPr>
          <w:p w14:paraId="2A8E687D" w14:textId="77777777" w:rsidR="00414A67" w:rsidRPr="00414A67" w:rsidRDefault="00414A67" w:rsidP="00414A67">
            <w:pPr>
              <w:jc w:val="center"/>
              <w:rPr>
                <w:rFonts w:ascii="Book Antiqua" w:hAnsi="Book Antiqua" w:cs="Calibri"/>
                <w:color w:val="000000"/>
                <w:sz w:val="16"/>
                <w:szCs w:val="16"/>
                <w:lang w:eastAsia="es-CR"/>
              </w:rPr>
            </w:pPr>
            <w:r w:rsidRPr="00414A67">
              <w:rPr>
                <w:rFonts w:ascii="Book Antiqua" w:hAnsi="Book Antiqua" w:cs="Calibri"/>
                <w:color w:val="000000"/>
                <w:sz w:val="16"/>
                <w:szCs w:val="16"/>
                <w:lang w:eastAsia="es-CR"/>
              </w:rPr>
              <w:t>82%</w:t>
            </w:r>
          </w:p>
        </w:tc>
        <w:tc>
          <w:tcPr>
            <w:tcW w:w="1133" w:type="dxa"/>
            <w:tcBorders>
              <w:top w:val="nil"/>
              <w:left w:val="nil"/>
              <w:bottom w:val="single" w:sz="4" w:space="0" w:color="auto"/>
              <w:right w:val="single" w:sz="4" w:space="0" w:color="auto"/>
            </w:tcBorders>
            <w:shd w:val="clear" w:color="auto" w:fill="auto"/>
            <w:noWrap/>
            <w:vAlign w:val="center"/>
            <w:hideMark/>
          </w:tcPr>
          <w:p w14:paraId="344B5203" w14:textId="77777777" w:rsidR="00414A67" w:rsidRPr="00414A67" w:rsidRDefault="00414A67" w:rsidP="00414A67">
            <w:pPr>
              <w:jc w:val="center"/>
              <w:rPr>
                <w:rFonts w:ascii="Book Antiqua" w:hAnsi="Book Antiqua" w:cs="Calibri"/>
                <w:color w:val="000000"/>
                <w:sz w:val="16"/>
                <w:szCs w:val="16"/>
                <w:lang w:eastAsia="es-CR"/>
              </w:rPr>
            </w:pPr>
            <w:r w:rsidRPr="00414A67">
              <w:rPr>
                <w:rFonts w:ascii="Book Antiqua" w:hAnsi="Book Antiqua" w:cs="Calibri"/>
                <w:color w:val="000000"/>
                <w:sz w:val="16"/>
                <w:szCs w:val="16"/>
                <w:lang w:eastAsia="es-CR"/>
              </w:rPr>
              <w:t>96%</w:t>
            </w:r>
          </w:p>
        </w:tc>
      </w:tr>
      <w:tr w:rsidR="00414A67" w:rsidRPr="00414A67" w14:paraId="7EFA2329" w14:textId="77777777" w:rsidTr="00592F59">
        <w:trPr>
          <w:trHeight w:val="280"/>
          <w:jc w:val="center"/>
        </w:trPr>
        <w:tc>
          <w:tcPr>
            <w:tcW w:w="996" w:type="dxa"/>
            <w:tcBorders>
              <w:top w:val="nil"/>
              <w:left w:val="single" w:sz="4" w:space="0" w:color="auto"/>
              <w:bottom w:val="single" w:sz="4" w:space="0" w:color="auto"/>
              <w:right w:val="single" w:sz="4" w:space="0" w:color="auto"/>
            </w:tcBorders>
            <w:shd w:val="clear" w:color="000000" w:fill="FFFFFF"/>
            <w:noWrap/>
            <w:vAlign w:val="center"/>
            <w:hideMark/>
          </w:tcPr>
          <w:p w14:paraId="3E56F886" w14:textId="77777777" w:rsidR="00414A67" w:rsidRPr="00414A67" w:rsidRDefault="00414A67" w:rsidP="00414A67">
            <w:pPr>
              <w:jc w:val="center"/>
              <w:rPr>
                <w:rFonts w:ascii="Book Antiqua" w:hAnsi="Book Antiqua" w:cs="Calibri"/>
                <w:b/>
                <w:bCs/>
                <w:color w:val="000000"/>
                <w:sz w:val="16"/>
                <w:szCs w:val="16"/>
                <w:lang w:eastAsia="es-CR"/>
              </w:rPr>
            </w:pPr>
            <w:r w:rsidRPr="00414A67">
              <w:rPr>
                <w:rFonts w:ascii="Book Antiqua" w:hAnsi="Book Antiqua" w:cs="Calibri"/>
                <w:b/>
                <w:bCs/>
                <w:color w:val="000000"/>
                <w:sz w:val="16"/>
                <w:szCs w:val="16"/>
                <w:lang w:eastAsia="es-CR"/>
              </w:rPr>
              <w:t>Promedio</w:t>
            </w:r>
          </w:p>
        </w:tc>
        <w:tc>
          <w:tcPr>
            <w:tcW w:w="1643" w:type="dxa"/>
            <w:tcBorders>
              <w:top w:val="nil"/>
              <w:left w:val="nil"/>
              <w:bottom w:val="single" w:sz="4" w:space="0" w:color="auto"/>
              <w:right w:val="single" w:sz="4" w:space="0" w:color="auto"/>
            </w:tcBorders>
            <w:shd w:val="clear" w:color="000000" w:fill="FFFFFF"/>
            <w:noWrap/>
            <w:vAlign w:val="center"/>
            <w:hideMark/>
          </w:tcPr>
          <w:p w14:paraId="29890F70" w14:textId="77777777" w:rsidR="00414A67" w:rsidRPr="00414A67" w:rsidRDefault="00414A67" w:rsidP="00414A67">
            <w:pPr>
              <w:jc w:val="center"/>
              <w:rPr>
                <w:rFonts w:ascii="Book Antiqua" w:hAnsi="Book Antiqua" w:cs="Calibri"/>
                <w:b/>
                <w:bCs/>
                <w:color w:val="000000"/>
                <w:sz w:val="16"/>
                <w:szCs w:val="16"/>
                <w:lang w:eastAsia="es-CR"/>
              </w:rPr>
            </w:pPr>
            <w:r w:rsidRPr="00414A67">
              <w:rPr>
                <w:rFonts w:ascii="Book Antiqua" w:hAnsi="Book Antiqua" w:cs="Calibri"/>
                <w:b/>
                <w:bCs/>
                <w:color w:val="000000"/>
                <w:sz w:val="16"/>
                <w:szCs w:val="16"/>
                <w:lang w:eastAsia="es-CR"/>
              </w:rPr>
              <w:t>108%</w:t>
            </w:r>
          </w:p>
        </w:tc>
        <w:tc>
          <w:tcPr>
            <w:tcW w:w="1133" w:type="dxa"/>
            <w:tcBorders>
              <w:top w:val="nil"/>
              <w:left w:val="nil"/>
              <w:bottom w:val="single" w:sz="4" w:space="0" w:color="auto"/>
              <w:right w:val="single" w:sz="4" w:space="0" w:color="auto"/>
            </w:tcBorders>
            <w:shd w:val="clear" w:color="000000" w:fill="FFFFFF"/>
            <w:noWrap/>
            <w:vAlign w:val="center"/>
            <w:hideMark/>
          </w:tcPr>
          <w:p w14:paraId="0A21FE9A" w14:textId="77777777" w:rsidR="00414A67" w:rsidRPr="00414A67" w:rsidRDefault="00414A67" w:rsidP="00414A67">
            <w:pPr>
              <w:jc w:val="center"/>
              <w:rPr>
                <w:rFonts w:ascii="Book Antiqua" w:hAnsi="Book Antiqua" w:cs="Calibri"/>
                <w:b/>
                <w:bCs/>
                <w:color w:val="000000"/>
                <w:sz w:val="16"/>
                <w:szCs w:val="16"/>
                <w:lang w:eastAsia="es-CR"/>
              </w:rPr>
            </w:pPr>
            <w:r w:rsidRPr="00414A67">
              <w:rPr>
                <w:rFonts w:ascii="Book Antiqua" w:hAnsi="Book Antiqua" w:cs="Calibri"/>
                <w:b/>
                <w:bCs/>
                <w:color w:val="000000"/>
                <w:sz w:val="16"/>
                <w:szCs w:val="16"/>
                <w:lang w:eastAsia="es-CR"/>
              </w:rPr>
              <w:t>92%</w:t>
            </w:r>
          </w:p>
        </w:tc>
        <w:tc>
          <w:tcPr>
            <w:tcW w:w="2172" w:type="dxa"/>
            <w:tcBorders>
              <w:top w:val="nil"/>
              <w:left w:val="nil"/>
              <w:bottom w:val="single" w:sz="4" w:space="0" w:color="auto"/>
              <w:right w:val="single" w:sz="4" w:space="0" w:color="auto"/>
            </w:tcBorders>
            <w:shd w:val="clear" w:color="000000" w:fill="FFFFFF"/>
            <w:noWrap/>
            <w:vAlign w:val="center"/>
            <w:hideMark/>
          </w:tcPr>
          <w:p w14:paraId="5531154A" w14:textId="77777777" w:rsidR="00414A67" w:rsidRPr="00414A67" w:rsidRDefault="00414A67" w:rsidP="00414A67">
            <w:pPr>
              <w:jc w:val="center"/>
              <w:rPr>
                <w:rFonts w:ascii="Book Antiqua" w:hAnsi="Book Antiqua" w:cs="Calibri"/>
                <w:b/>
                <w:bCs/>
                <w:color w:val="000000"/>
                <w:sz w:val="16"/>
                <w:szCs w:val="16"/>
                <w:lang w:eastAsia="es-CR"/>
              </w:rPr>
            </w:pPr>
            <w:r w:rsidRPr="00414A67">
              <w:rPr>
                <w:rFonts w:ascii="Book Antiqua" w:hAnsi="Book Antiqua" w:cs="Calibri"/>
                <w:b/>
                <w:bCs/>
                <w:color w:val="000000"/>
                <w:sz w:val="16"/>
                <w:szCs w:val="16"/>
                <w:lang w:eastAsia="es-CR"/>
              </w:rPr>
              <w:t>83%</w:t>
            </w:r>
          </w:p>
        </w:tc>
        <w:tc>
          <w:tcPr>
            <w:tcW w:w="1133" w:type="dxa"/>
            <w:tcBorders>
              <w:top w:val="nil"/>
              <w:left w:val="nil"/>
              <w:bottom w:val="single" w:sz="4" w:space="0" w:color="auto"/>
              <w:right w:val="single" w:sz="4" w:space="0" w:color="auto"/>
            </w:tcBorders>
            <w:shd w:val="clear" w:color="000000" w:fill="FFFFFF"/>
            <w:noWrap/>
            <w:vAlign w:val="center"/>
            <w:hideMark/>
          </w:tcPr>
          <w:p w14:paraId="570A8C53" w14:textId="77777777" w:rsidR="00414A67" w:rsidRPr="00414A67" w:rsidRDefault="00414A67" w:rsidP="00414A67">
            <w:pPr>
              <w:jc w:val="center"/>
              <w:rPr>
                <w:rFonts w:ascii="Book Antiqua" w:hAnsi="Book Antiqua" w:cs="Calibri"/>
                <w:b/>
                <w:bCs/>
                <w:color w:val="000000"/>
                <w:sz w:val="16"/>
                <w:szCs w:val="16"/>
                <w:lang w:eastAsia="es-CR"/>
              </w:rPr>
            </w:pPr>
            <w:r w:rsidRPr="00414A67">
              <w:rPr>
                <w:rFonts w:ascii="Book Antiqua" w:hAnsi="Book Antiqua" w:cs="Calibri"/>
                <w:b/>
                <w:bCs/>
                <w:color w:val="000000"/>
                <w:sz w:val="16"/>
                <w:szCs w:val="16"/>
                <w:lang w:eastAsia="es-CR"/>
              </w:rPr>
              <w:t>92%</w:t>
            </w:r>
          </w:p>
        </w:tc>
        <w:tc>
          <w:tcPr>
            <w:tcW w:w="1265" w:type="dxa"/>
            <w:tcBorders>
              <w:top w:val="nil"/>
              <w:left w:val="nil"/>
              <w:bottom w:val="single" w:sz="4" w:space="0" w:color="auto"/>
              <w:right w:val="single" w:sz="4" w:space="0" w:color="auto"/>
            </w:tcBorders>
            <w:shd w:val="clear" w:color="000000" w:fill="FFFFFF"/>
            <w:noWrap/>
            <w:vAlign w:val="center"/>
            <w:hideMark/>
          </w:tcPr>
          <w:p w14:paraId="4AB64131" w14:textId="77777777" w:rsidR="00414A67" w:rsidRPr="00414A67" w:rsidRDefault="00414A67" w:rsidP="00414A67">
            <w:pPr>
              <w:jc w:val="center"/>
              <w:rPr>
                <w:rFonts w:ascii="Book Antiqua" w:hAnsi="Book Antiqua" w:cs="Calibri"/>
                <w:b/>
                <w:bCs/>
                <w:color w:val="000000"/>
                <w:sz w:val="16"/>
                <w:szCs w:val="16"/>
                <w:lang w:eastAsia="es-CR"/>
              </w:rPr>
            </w:pPr>
            <w:r w:rsidRPr="00414A67">
              <w:rPr>
                <w:rFonts w:ascii="Book Antiqua" w:hAnsi="Book Antiqua" w:cs="Calibri"/>
                <w:b/>
                <w:bCs/>
                <w:color w:val="000000"/>
                <w:sz w:val="16"/>
                <w:szCs w:val="16"/>
                <w:lang w:eastAsia="es-CR"/>
              </w:rPr>
              <w:t>210%</w:t>
            </w:r>
          </w:p>
        </w:tc>
        <w:tc>
          <w:tcPr>
            <w:tcW w:w="1265" w:type="dxa"/>
            <w:tcBorders>
              <w:top w:val="nil"/>
              <w:left w:val="nil"/>
              <w:bottom w:val="single" w:sz="4" w:space="0" w:color="auto"/>
              <w:right w:val="single" w:sz="4" w:space="0" w:color="auto"/>
            </w:tcBorders>
            <w:shd w:val="clear" w:color="000000" w:fill="FFFFFF"/>
            <w:noWrap/>
            <w:vAlign w:val="center"/>
            <w:hideMark/>
          </w:tcPr>
          <w:p w14:paraId="4CEFC400" w14:textId="77777777" w:rsidR="00414A67" w:rsidRPr="00414A67" w:rsidRDefault="00414A67" w:rsidP="00414A67">
            <w:pPr>
              <w:jc w:val="center"/>
              <w:rPr>
                <w:rFonts w:ascii="Book Antiqua" w:hAnsi="Book Antiqua" w:cs="Calibri"/>
                <w:b/>
                <w:bCs/>
                <w:color w:val="000000"/>
                <w:sz w:val="16"/>
                <w:szCs w:val="16"/>
                <w:lang w:eastAsia="es-CR"/>
              </w:rPr>
            </w:pPr>
            <w:r w:rsidRPr="00414A67">
              <w:rPr>
                <w:rFonts w:ascii="Book Antiqua" w:hAnsi="Book Antiqua" w:cs="Calibri"/>
                <w:b/>
                <w:bCs/>
                <w:color w:val="000000"/>
                <w:sz w:val="16"/>
                <w:szCs w:val="16"/>
                <w:lang w:eastAsia="es-CR"/>
              </w:rPr>
              <w:t>91%</w:t>
            </w:r>
          </w:p>
        </w:tc>
        <w:tc>
          <w:tcPr>
            <w:tcW w:w="1133" w:type="dxa"/>
            <w:tcBorders>
              <w:top w:val="nil"/>
              <w:left w:val="nil"/>
              <w:bottom w:val="single" w:sz="4" w:space="0" w:color="auto"/>
              <w:right w:val="single" w:sz="4" w:space="0" w:color="auto"/>
            </w:tcBorders>
            <w:shd w:val="clear" w:color="000000" w:fill="FFFFFF"/>
            <w:noWrap/>
            <w:vAlign w:val="center"/>
            <w:hideMark/>
          </w:tcPr>
          <w:p w14:paraId="253F0D9E" w14:textId="77777777" w:rsidR="00414A67" w:rsidRPr="00414A67" w:rsidRDefault="00414A67" w:rsidP="00414A67">
            <w:pPr>
              <w:jc w:val="center"/>
              <w:rPr>
                <w:rFonts w:ascii="Book Antiqua" w:hAnsi="Book Antiqua" w:cs="Calibri"/>
                <w:b/>
                <w:bCs/>
                <w:color w:val="000000"/>
                <w:sz w:val="16"/>
                <w:szCs w:val="16"/>
                <w:lang w:eastAsia="es-CR"/>
              </w:rPr>
            </w:pPr>
            <w:r w:rsidRPr="00414A67">
              <w:rPr>
                <w:rFonts w:ascii="Book Antiqua" w:hAnsi="Book Antiqua" w:cs="Calibri"/>
                <w:b/>
                <w:bCs/>
                <w:color w:val="000000"/>
                <w:sz w:val="16"/>
                <w:szCs w:val="16"/>
                <w:lang w:eastAsia="es-CR"/>
              </w:rPr>
              <w:t>95%</w:t>
            </w:r>
          </w:p>
        </w:tc>
      </w:tr>
    </w:tbl>
    <w:p w14:paraId="64182CC6" w14:textId="77777777" w:rsidR="00F75E3A" w:rsidRPr="004F0E92" w:rsidRDefault="00F75E3A" w:rsidP="00F75E3A">
      <w:pPr>
        <w:spacing w:line="276" w:lineRule="auto"/>
        <w:jc w:val="both"/>
        <w:rPr>
          <w:rFonts w:ascii="Book Antiqua" w:hAnsi="Book Antiqua"/>
          <w:b/>
          <w:bCs/>
          <w:color w:val="000000" w:themeColor="text1"/>
          <w:sz w:val="20"/>
          <w:szCs w:val="20"/>
        </w:rPr>
      </w:pPr>
      <w:r w:rsidRPr="004F0E92">
        <w:rPr>
          <w:rFonts w:ascii="Book Antiqua" w:hAnsi="Book Antiqua"/>
          <w:b/>
          <w:bCs/>
          <w:color w:val="000000" w:themeColor="text1"/>
          <w:sz w:val="20"/>
          <w:szCs w:val="20"/>
        </w:rPr>
        <w:t xml:space="preserve">Fuente: </w:t>
      </w:r>
      <w:r w:rsidRPr="004F0E92">
        <w:rPr>
          <w:rFonts w:ascii="Book Antiqua" w:hAnsi="Book Antiqua"/>
          <w:color w:val="000000" w:themeColor="text1"/>
          <w:sz w:val="20"/>
          <w:szCs w:val="20"/>
        </w:rPr>
        <w:t xml:space="preserve">Elaboración propia a partir de datos suministrados </w:t>
      </w:r>
      <w:r>
        <w:rPr>
          <w:rFonts w:ascii="Book Antiqua" w:hAnsi="Book Antiqua"/>
          <w:color w:val="000000" w:themeColor="text1"/>
          <w:sz w:val="20"/>
          <w:szCs w:val="20"/>
        </w:rPr>
        <w:t>en los informes one drive y matriz de indicadores</w:t>
      </w:r>
    </w:p>
    <w:p w14:paraId="0E7A915B" w14:textId="77777777" w:rsidR="00F75E3A" w:rsidRDefault="00F75E3A" w:rsidP="00F75E3A">
      <w:pPr>
        <w:spacing w:line="276" w:lineRule="auto"/>
        <w:rPr>
          <w:rFonts w:ascii="Book Antiqua" w:hAnsi="Book Antiqua"/>
          <w:noProof/>
        </w:rPr>
      </w:pPr>
    </w:p>
    <w:p w14:paraId="0F271957" w14:textId="22E1E1DB" w:rsidR="00F75E3A" w:rsidRPr="004F0E92" w:rsidRDefault="70CE0CDC" w:rsidP="00F75E3A">
      <w:pPr>
        <w:pStyle w:val="Ttulo2"/>
        <w:spacing w:line="276" w:lineRule="auto"/>
        <w:rPr>
          <w:rFonts w:ascii="Book Antiqua" w:hAnsi="Book Antiqua"/>
          <w:b w:val="0"/>
          <w:bCs w:val="0"/>
          <w:noProof/>
        </w:rPr>
      </w:pPr>
      <w:r w:rsidRPr="57A79FF7">
        <w:rPr>
          <w:rFonts w:ascii="Book Antiqua" w:hAnsi="Book Antiqua"/>
          <w:noProof/>
        </w:rPr>
        <w:t>8.4</w:t>
      </w:r>
      <w:r w:rsidR="00F75E3A" w:rsidRPr="004F0E92">
        <w:rPr>
          <w:rFonts w:ascii="Book Antiqua" w:hAnsi="Book Antiqua"/>
          <w:noProof/>
        </w:rPr>
        <w:t xml:space="preserve"> Justicia Restaurativa</w:t>
      </w:r>
    </w:p>
    <w:p w14:paraId="6A03EACE" w14:textId="0B580B8D" w:rsidR="00F75E3A" w:rsidRDefault="00F75E3A" w:rsidP="00F75E3A">
      <w:pPr>
        <w:spacing w:line="276" w:lineRule="auto"/>
        <w:jc w:val="both"/>
        <w:rPr>
          <w:rFonts w:ascii="Book Antiqua" w:hAnsi="Book Antiqua"/>
          <w:noProof/>
        </w:rPr>
      </w:pPr>
    </w:p>
    <w:p w14:paraId="4BBFC829" w14:textId="174D16CD" w:rsidR="00656F6A" w:rsidRDefault="00656F6A" w:rsidP="00F75E3A">
      <w:pPr>
        <w:spacing w:line="276" w:lineRule="auto"/>
        <w:jc w:val="both"/>
        <w:rPr>
          <w:rFonts w:ascii="Book Antiqua" w:hAnsi="Book Antiqua"/>
          <w:noProof/>
        </w:rPr>
      </w:pPr>
      <w:r w:rsidRPr="00656F6A">
        <w:rPr>
          <w:rFonts w:ascii="Book Antiqua" w:hAnsi="Book Antiqua"/>
          <w:noProof/>
        </w:rPr>
        <w:t xml:space="preserve">A continuación, se transcribe el informe remitido por la Oficina de Justicia Restaurativa, mediante correo electrónico de fecha </w:t>
      </w:r>
      <w:r>
        <w:rPr>
          <w:rFonts w:ascii="Book Antiqua" w:hAnsi="Book Antiqua"/>
          <w:noProof/>
        </w:rPr>
        <w:t>03</w:t>
      </w:r>
      <w:r w:rsidRPr="00656F6A">
        <w:rPr>
          <w:rFonts w:ascii="Book Antiqua" w:hAnsi="Book Antiqua"/>
          <w:noProof/>
        </w:rPr>
        <w:t>-</w:t>
      </w:r>
      <w:r>
        <w:rPr>
          <w:rFonts w:ascii="Book Antiqua" w:hAnsi="Book Antiqua"/>
          <w:noProof/>
        </w:rPr>
        <w:t>11</w:t>
      </w:r>
      <w:r w:rsidRPr="00656F6A">
        <w:rPr>
          <w:rFonts w:ascii="Book Antiqua" w:hAnsi="Book Antiqua"/>
          <w:noProof/>
        </w:rPr>
        <w:t>-2021.</w:t>
      </w:r>
    </w:p>
    <w:p w14:paraId="26902621" w14:textId="77777777" w:rsidR="00656F6A" w:rsidRPr="004F0E92" w:rsidRDefault="00656F6A" w:rsidP="00F75E3A">
      <w:pPr>
        <w:spacing w:line="276" w:lineRule="auto"/>
        <w:jc w:val="both"/>
        <w:rPr>
          <w:rFonts w:ascii="Book Antiqua" w:hAnsi="Book Antiqua"/>
          <w:noProof/>
        </w:rPr>
      </w:pPr>
    </w:p>
    <w:p w14:paraId="3353D6A0" w14:textId="3C65A6BC" w:rsidR="00F75E3A" w:rsidRPr="00205D3C" w:rsidRDefault="00F75E3A" w:rsidP="00F75E3A">
      <w:pPr>
        <w:spacing w:line="276" w:lineRule="auto"/>
        <w:jc w:val="both"/>
        <w:rPr>
          <w:rFonts w:ascii="Book Antiqua" w:hAnsi="Book Antiqua"/>
        </w:rPr>
      </w:pPr>
      <w:r w:rsidRPr="00205D3C">
        <w:rPr>
          <w:rFonts w:ascii="Book Antiqua" w:hAnsi="Book Antiqua"/>
        </w:rPr>
        <w:t xml:space="preserve">Esta información obtenida de los informes del mes de </w:t>
      </w:r>
      <w:r w:rsidR="00656F6A">
        <w:rPr>
          <w:rFonts w:ascii="Book Antiqua" w:hAnsi="Book Antiqua"/>
        </w:rPr>
        <w:t>setiembre</w:t>
      </w:r>
      <w:r w:rsidRPr="00205D3C">
        <w:rPr>
          <w:rFonts w:ascii="Book Antiqua" w:hAnsi="Book Antiqua"/>
        </w:rPr>
        <w:t xml:space="preserve"> del 2021, remitida por los equipos interdisciplinarios, es preliminar, ya que se encuentra en validación por parte del grupo profesional</w:t>
      </w:r>
      <w:r>
        <w:rPr>
          <w:rFonts w:ascii="Book Antiqua" w:hAnsi="Book Antiqua"/>
        </w:rPr>
        <w:t>es</w:t>
      </w:r>
      <w:r w:rsidRPr="00205D3C">
        <w:rPr>
          <w:rFonts w:ascii="Book Antiqua" w:hAnsi="Book Antiqua"/>
        </w:rPr>
        <w:t xml:space="preserve"> a cargo de</w:t>
      </w:r>
      <w:r>
        <w:rPr>
          <w:rFonts w:ascii="Book Antiqua" w:hAnsi="Book Antiqua"/>
        </w:rPr>
        <w:t>l Subproceso de</w:t>
      </w:r>
      <w:r w:rsidRPr="00205D3C">
        <w:rPr>
          <w:rFonts w:ascii="Book Antiqua" w:hAnsi="Book Antiqua"/>
        </w:rPr>
        <w:t xml:space="preserve"> Estadística de la Dirección de Planificación</w:t>
      </w:r>
      <w:r>
        <w:rPr>
          <w:rFonts w:ascii="Book Antiqua" w:hAnsi="Book Antiqua"/>
        </w:rPr>
        <w:t>.</w:t>
      </w:r>
      <w:r w:rsidRPr="00205D3C">
        <w:rPr>
          <w:rFonts w:ascii="Book Antiqua" w:hAnsi="Book Antiqua"/>
        </w:rPr>
        <w:t xml:space="preserve"> </w:t>
      </w:r>
    </w:p>
    <w:p w14:paraId="325D8048" w14:textId="77777777" w:rsidR="00F75E3A" w:rsidRPr="004F0E92" w:rsidRDefault="00F75E3A" w:rsidP="00F75E3A">
      <w:pPr>
        <w:spacing w:line="276" w:lineRule="auto"/>
        <w:jc w:val="both"/>
        <w:rPr>
          <w:rFonts w:ascii="Book Antiqua" w:hAnsi="Book Antiqua"/>
        </w:rPr>
      </w:pPr>
    </w:p>
    <w:p w14:paraId="480F20EC" w14:textId="30660F6A" w:rsidR="00F75E3A" w:rsidRDefault="00F75E3A" w:rsidP="00F75E3A">
      <w:pPr>
        <w:spacing w:line="276" w:lineRule="auto"/>
        <w:jc w:val="both"/>
        <w:rPr>
          <w:rFonts w:ascii="Book Antiqua" w:hAnsi="Book Antiqua"/>
        </w:rPr>
      </w:pPr>
      <w:r>
        <w:rPr>
          <w:rFonts w:ascii="Book Antiqua" w:hAnsi="Book Antiqua"/>
        </w:rPr>
        <w:t>Según se observa del total de reuniones restaurativas (</w:t>
      </w:r>
      <w:r w:rsidR="00C31401">
        <w:rPr>
          <w:rFonts w:ascii="Book Antiqua" w:hAnsi="Book Antiqua"/>
        </w:rPr>
        <w:t>195</w:t>
      </w:r>
      <w:r>
        <w:rPr>
          <w:rFonts w:ascii="Book Antiqua" w:hAnsi="Book Antiqua"/>
        </w:rPr>
        <w:t xml:space="preserve">), el </w:t>
      </w:r>
      <w:r w:rsidR="00C31401">
        <w:rPr>
          <w:rFonts w:ascii="Book Antiqua" w:hAnsi="Book Antiqua"/>
        </w:rPr>
        <w:t>90.</w:t>
      </w:r>
      <w:r>
        <w:rPr>
          <w:rFonts w:ascii="Book Antiqua" w:hAnsi="Book Antiqua"/>
        </w:rPr>
        <w:t>7</w:t>
      </w:r>
      <w:r w:rsidR="00C31401">
        <w:rPr>
          <w:rFonts w:ascii="Book Antiqua" w:hAnsi="Book Antiqua"/>
        </w:rPr>
        <w:t>7</w:t>
      </w:r>
      <w:r>
        <w:rPr>
          <w:rFonts w:ascii="Book Antiqua" w:hAnsi="Book Antiqua"/>
        </w:rPr>
        <w:t xml:space="preserve">% de estas se realizaron, además, de ese porcentaje el </w:t>
      </w:r>
      <w:r w:rsidR="00C31401">
        <w:rPr>
          <w:rFonts w:ascii="Book Antiqua" w:hAnsi="Book Antiqua"/>
        </w:rPr>
        <w:t>96</w:t>
      </w:r>
      <w:r>
        <w:rPr>
          <w:rFonts w:ascii="Book Antiqua" w:hAnsi="Book Antiqua"/>
        </w:rPr>
        <w:t>.</w:t>
      </w:r>
      <w:r w:rsidR="00C31401">
        <w:rPr>
          <w:rFonts w:ascii="Book Antiqua" w:hAnsi="Book Antiqua"/>
        </w:rPr>
        <w:t>05</w:t>
      </w:r>
      <w:r>
        <w:rPr>
          <w:rFonts w:ascii="Book Antiqua" w:hAnsi="Book Antiqua"/>
        </w:rPr>
        <w:t xml:space="preserve">% tuvieron acuerdos y apenas un </w:t>
      </w:r>
      <w:r w:rsidR="00C31401">
        <w:rPr>
          <w:rFonts w:ascii="Book Antiqua" w:hAnsi="Book Antiqua"/>
        </w:rPr>
        <w:t>3</w:t>
      </w:r>
      <w:r>
        <w:rPr>
          <w:rFonts w:ascii="Book Antiqua" w:hAnsi="Book Antiqua"/>
        </w:rPr>
        <w:t>.</w:t>
      </w:r>
      <w:r w:rsidR="00C31401">
        <w:rPr>
          <w:rFonts w:ascii="Book Antiqua" w:hAnsi="Book Antiqua"/>
        </w:rPr>
        <w:t>95</w:t>
      </w:r>
      <w:r>
        <w:rPr>
          <w:rFonts w:ascii="Book Antiqua" w:hAnsi="Book Antiqua"/>
        </w:rPr>
        <w:t xml:space="preserve">% no hubo acuerdos, el porcentaje de las no realizadas fue de un </w:t>
      </w:r>
      <w:r w:rsidR="00C31401">
        <w:rPr>
          <w:rFonts w:ascii="Book Antiqua" w:hAnsi="Book Antiqua"/>
        </w:rPr>
        <w:t>9</w:t>
      </w:r>
      <w:r>
        <w:rPr>
          <w:rFonts w:ascii="Book Antiqua" w:hAnsi="Book Antiqua"/>
        </w:rPr>
        <w:t>.</w:t>
      </w:r>
      <w:r w:rsidR="00C31401">
        <w:rPr>
          <w:rFonts w:ascii="Book Antiqua" w:hAnsi="Book Antiqua"/>
        </w:rPr>
        <w:t>23</w:t>
      </w:r>
      <w:r>
        <w:rPr>
          <w:rFonts w:ascii="Book Antiqua" w:hAnsi="Book Antiqua"/>
        </w:rPr>
        <w:t xml:space="preserve">%. En relación con las audiencias de verificación </w:t>
      </w:r>
      <w:r w:rsidR="00C31401">
        <w:rPr>
          <w:rFonts w:ascii="Book Antiqua" w:hAnsi="Book Antiqua"/>
        </w:rPr>
        <w:t>se señalaron en ese mes un total de 75 audiencias.</w:t>
      </w:r>
    </w:p>
    <w:p w14:paraId="076EE49D" w14:textId="77777777" w:rsidR="00F75E3A" w:rsidRDefault="00F75E3A" w:rsidP="00F75E3A">
      <w:pPr>
        <w:spacing w:line="276" w:lineRule="auto"/>
        <w:jc w:val="both"/>
        <w:rPr>
          <w:rFonts w:ascii="Book Antiqua" w:hAnsi="Book Antiqua"/>
        </w:rPr>
      </w:pPr>
    </w:p>
    <w:p w14:paraId="44451D92" w14:textId="77777777" w:rsidR="00F75E3A" w:rsidRPr="00002C14" w:rsidRDefault="00F75E3A" w:rsidP="00F75E3A">
      <w:pPr>
        <w:spacing w:line="276" w:lineRule="auto"/>
        <w:jc w:val="both"/>
        <w:rPr>
          <w:rFonts w:ascii="Book Antiqua" w:hAnsi="Book Antiqua"/>
        </w:rPr>
      </w:pPr>
      <w:r w:rsidRPr="00002C14">
        <w:rPr>
          <w:rFonts w:ascii="Book Antiqua" w:hAnsi="Book Antiqua"/>
        </w:rPr>
        <w:t>Las demás actividades relacionadas con red de apoyo y entrevistas se visualizan en el siguiente cuadro:</w:t>
      </w:r>
    </w:p>
    <w:p w14:paraId="2A8C4F45" w14:textId="77777777" w:rsidR="00F75E3A" w:rsidRDefault="00F75E3A" w:rsidP="00F75E3A">
      <w:pPr>
        <w:spacing w:line="276" w:lineRule="auto"/>
        <w:jc w:val="both"/>
        <w:rPr>
          <w:rFonts w:ascii="Book Antiqua" w:hAnsi="Book Antiqua"/>
        </w:rPr>
      </w:pPr>
    </w:p>
    <w:p w14:paraId="63C9CCC0" w14:textId="77777777" w:rsidR="00F75E3A" w:rsidRPr="00002C14" w:rsidRDefault="00F75E3A" w:rsidP="00F75E3A">
      <w:pPr>
        <w:spacing w:line="276" w:lineRule="auto"/>
        <w:jc w:val="both"/>
        <w:rPr>
          <w:rFonts w:ascii="Book Antiqua" w:hAnsi="Book Antiqua"/>
        </w:rPr>
      </w:pPr>
    </w:p>
    <w:p w14:paraId="4FC0D4EA" w14:textId="60583F91" w:rsidR="00F75E3A" w:rsidRPr="00002C14" w:rsidRDefault="00F75E3A" w:rsidP="00F75E3A">
      <w:pPr>
        <w:spacing w:line="276" w:lineRule="auto"/>
        <w:jc w:val="center"/>
        <w:rPr>
          <w:rFonts w:ascii="Book Antiqua" w:hAnsi="Book Antiqua" w:cs="Arial"/>
          <w:b/>
          <w:bCs/>
        </w:rPr>
      </w:pPr>
      <w:r w:rsidRPr="00002C14">
        <w:rPr>
          <w:rFonts w:ascii="Book Antiqua" w:hAnsi="Book Antiqua"/>
          <w:b/>
          <w:bCs/>
          <w:highlight w:val="white"/>
        </w:rPr>
        <w:t xml:space="preserve">Cuadro </w:t>
      </w:r>
      <w:r w:rsidR="009179C3">
        <w:rPr>
          <w:rFonts w:ascii="Book Antiqua" w:hAnsi="Book Antiqua"/>
          <w:b/>
          <w:bCs/>
        </w:rPr>
        <w:t>89</w:t>
      </w:r>
    </w:p>
    <w:p w14:paraId="33B4F5D1" w14:textId="77777777" w:rsidR="00F75E3A" w:rsidRPr="00002C14" w:rsidRDefault="00F75E3A" w:rsidP="00F75E3A">
      <w:pPr>
        <w:spacing w:line="276" w:lineRule="auto"/>
        <w:jc w:val="center"/>
        <w:rPr>
          <w:rFonts w:ascii="Book Antiqua" w:hAnsi="Book Antiqua" w:cs="Arial"/>
        </w:rPr>
      </w:pPr>
      <w:r w:rsidRPr="00002C14">
        <w:rPr>
          <w:rFonts w:ascii="Book Antiqua" w:hAnsi="Book Antiqua" w:cs="Arial"/>
        </w:rPr>
        <w:t xml:space="preserve">Estadísticas Justicia Penal Restaurativa </w:t>
      </w:r>
    </w:p>
    <w:p w14:paraId="4047207A" w14:textId="6651A7FD" w:rsidR="00F75E3A" w:rsidRDefault="00B92E18" w:rsidP="00F75E3A">
      <w:pPr>
        <w:spacing w:line="276" w:lineRule="auto"/>
        <w:jc w:val="center"/>
        <w:rPr>
          <w:rFonts w:ascii="Book Antiqua" w:hAnsi="Book Antiqua"/>
          <w:highlight w:val="white"/>
        </w:rPr>
      </w:pPr>
      <w:r>
        <w:rPr>
          <w:rFonts w:ascii="Book Antiqua" w:hAnsi="Book Antiqua" w:cs="Arial"/>
        </w:rPr>
        <w:t>setiembre</w:t>
      </w:r>
      <w:r w:rsidR="00F75E3A" w:rsidRPr="00002C14">
        <w:rPr>
          <w:rFonts w:ascii="Book Antiqua" w:hAnsi="Book Antiqua" w:cs="Arial"/>
        </w:rPr>
        <w:t xml:space="preserve"> 2021</w:t>
      </w:r>
    </w:p>
    <w:tbl>
      <w:tblPr>
        <w:tblW w:w="5541" w:type="dxa"/>
        <w:jc w:val="center"/>
        <w:tblLayout w:type="fixed"/>
        <w:tblCellMar>
          <w:left w:w="70" w:type="dxa"/>
          <w:right w:w="70" w:type="dxa"/>
        </w:tblCellMar>
        <w:tblLook w:val="04A0" w:firstRow="1" w:lastRow="0" w:firstColumn="1" w:lastColumn="0" w:noHBand="0" w:noVBand="1"/>
      </w:tblPr>
      <w:tblGrid>
        <w:gridCol w:w="3982"/>
        <w:gridCol w:w="1559"/>
      </w:tblGrid>
      <w:tr w:rsidR="00B92E18" w:rsidRPr="00B92E18" w14:paraId="4A941956" w14:textId="77777777" w:rsidTr="00B92E18">
        <w:trPr>
          <w:trHeight w:val="708"/>
          <w:jc w:val="center"/>
        </w:trPr>
        <w:tc>
          <w:tcPr>
            <w:tcW w:w="5541" w:type="dxa"/>
            <w:gridSpan w:val="2"/>
            <w:tcBorders>
              <w:top w:val="single" w:sz="4" w:space="0" w:color="000000"/>
              <w:left w:val="single" w:sz="4" w:space="0" w:color="000000"/>
              <w:bottom w:val="single" w:sz="4" w:space="0" w:color="000000"/>
              <w:right w:val="single" w:sz="4" w:space="0" w:color="000000"/>
            </w:tcBorders>
            <w:shd w:val="clear" w:color="auto" w:fill="2F5496" w:themeFill="accent1" w:themeFillShade="BF"/>
            <w:vAlign w:val="bottom"/>
          </w:tcPr>
          <w:p w14:paraId="17C91DA4" w14:textId="77777777" w:rsidR="00B92E18" w:rsidRPr="00B92E18" w:rsidRDefault="00B92E18" w:rsidP="00243F14">
            <w:pPr>
              <w:widowControl w:val="0"/>
              <w:spacing w:line="276" w:lineRule="auto"/>
              <w:jc w:val="center"/>
              <w:rPr>
                <w:rFonts w:ascii="Book Antiqua" w:hAnsi="Book Antiqua" w:cs="Arial"/>
                <w:b/>
                <w:bCs/>
                <w:color w:val="FFFFFF"/>
                <w:sz w:val="16"/>
                <w:szCs w:val="16"/>
              </w:rPr>
            </w:pPr>
            <w:r w:rsidRPr="00B92E18">
              <w:rPr>
                <w:rFonts w:ascii="Book Antiqua" w:hAnsi="Book Antiqua" w:cs="Arial"/>
                <w:b/>
                <w:bCs/>
                <w:color w:val="FFFFFF"/>
                <w:sz w:val="16"/>
                <w:szCs w:val="16"/>
              </w:rPr>
              <w:t>Estadísticas Justicia Penal Restaurativa</w:t>
            </w:r>
          </w:p>
          <w:p w14:paraId="1982D0E1" w14:textId="77777777" w:rsidR="00B92E18" w:rsidRPr="00B92E18" w:rsidRDefault="00B92E18" w:rsidP="00243F14">
            <w:pPr>
              <w:widowControl w:val="0"/>
              <w:spacing w:line="276" w:lineRule="auto"/>
              <w:jc w:val="center"/>
              <w:rPr>
                <w:rFonts w:ascii="Book Antiqua" w:hAnsi="Book Antiqua" w:cs="Arial"/>
                <w:b/>
                <w:bCs/>
                <w:color w:val="FF0000"/>
                <w:sz w:val="16"/>
                <w:szCs w:val="16"/>
              </w:rPr>
            </w:pPr>
            <w:r w:rsidRPr="00B92E18">
              <w:rPr>
                <w:rFonts w:ascii="Book Antiqua" w:hAnsi="Book Antiqua" w:cs="Arial"/>
                <w:b/>
                <w:bCs/>
                <w:color w:val="FFFFFF"/>
                <w:sz w:val="16"/>
                <w:szCs w:val="16"/>
                <w:lang w:eastAsia="zh-CN"/>
              </w:rPr>
              <w:t>setiembre 2021</w:t>
            </w:r>
          </w:p>
        </w:tc>
      </w:tr>
      <w:tr w:rsidR="00B92E18" w:rsidRPr="00B92E18" w14:paraId="377F0D30" w14:textId="77777777" w:rsidTr="00B92E18">
        <w:trPr>
          <w:trHeight w:val="363"/>
          <w:jc w:val="center"/>
        </w:trPr>
        <w:tc>
          <w:tcPr>
            <w:tcW w:w="3982" w:type="dxa"/>
            <w:tcBorders>
              <w:top w:val="single" w:sz="4" w:space="0" w:color="000000"/>
              <w:left w:val="single" w:sz="4" w:space="0" w:color="000000"/>
              <w:bottom w:val="single" w:sz="4" w:space="0" w:color="000000"/>
            </w:tcBorders>
            <w:shd w:val="clear" w:color="auto" w:fill="DEEAF6" w:themeFill="accent5" w:themeFillTint="33"/>
            <w:vAlign w:val="bottom"/>
          </w:tcPr>
          <w:p w14:paraId="2E9CCAAA" w14:textId="77777777" w:rsidR="00B92E18" w:rsidRPr="00B92E18" w:rsidRDefault="00B92E18" w:rsidP="00243F14">
            <w:pPr>
              <w:widowControl w:val="0"/>
              <w:spacing w:line="276" w:lineRule="auto"/>
              <w:rPr>
                <w:rFonts w:ascii="Book Antiqua" w:hAnsi="Book Antiqua" w:cs="Arial"/>
                <w:b/>
                <w:bCs/>
                <w:color w:val="000000"/>
                <w:sz w:val="16"/>
                <w:szCs w:val="16"/>
              </w:rPr>
            </w:pPr>
            <w:r w:rsidRPr="00B92E18">
              <w:rPr>
                <w:rFonts w:ascii="Book Antiqua" w:hAnsi="Book Antiqua" w:cs="Arial"/>
                <w:b/>
                <w:bCs/>
                <w:color w:val="000000"/>
                <w:sz w:val="16"/>
                <w:szCs w:val="16"/>
              </w:rPr>
              <w:t>Reuniones Restaurativas señaladas</w:t>
            </w:r>
          </w:p>
        </w:tc>
        <w:tc>
          <w:tcPr>
            <w:tcW w:w="1559" w:type="dxa"/>
            <w:tcBorders>
              <w:top w:val="single" w:sz="4" w:space="0" w:color="000000"/>
              <w:bottom w:val="single" w:sz="4" w:space="0" w:color="000000"/>
              <w:right w:val="single" w:sz="4" w:space="0" w:color="000000"/>
            </w:tcBorders>
            <w:shd w:val="clear" w:color="auto" w:fill="DEEAF6" w:themeFill="accent5" w:themeFillTint="33"/>
            <w:vAlign w:val="bottom"/>
          </w:tcPr>
          <w:p w14:paraId="5017AE1A" w14:textId="77777777" w:rsidR="00B92E18" w:rsidRPr="00B92E18" w:rsidRDefault="00B92E18" w:rsidP="00243F14">
            <w:pPr>
              <w:widowControl w:val="0"/>
              <w:spacing w:line="276" w:lineRule="auto"/>
              <w:jc w:val="center"/>
              <w:rPr>
                <w:rFonts w:ascii="Book Antiqua" w:hAnsi="Book Antiqua" w:cs="Arial"/>
                <w:b/>
                <w:bCs/>
                <w:color w:val="000000"/>
                <w:sz w:val="16"/>
                <w:szCs w:val="16"/>
              </w:rPr>
            </w:pPr>
            <w:r w:rsidRPr="00B92E18">
              <w:rPr>
                <w:rFonts w:ascii="Book Antiqua" w:hAnsi="Book Antiqua" w:cs="Arial"/>
                <w:b/>
                <w:bCs/>
                <w:color w:val="000000"/>
                <w:sz w:val="16"/>
                <w:szCs w:val="16"/>
                <w:lang w:eastAsia="zh-CN"/>
              </w:rPr>
              <w:t>195</w:t>
            </w:r>
          </w:p>
        </w:tc>
      </w:tr>
      <w:tr w:rsidR="00B92E18" w:rsidRPr="00B92E18" w14:paraId="4E8BFEB5" w14:textId="77777777" w:rsidTr="00B92E18">
        <w:trPr>
          <w:trHeight w:val="363"/>
          <w:jc w:val="center"/>
        </w:trPr>
        <w:tc>
          <w:tcPr>
            <w:tcW w:w="3982" w:type="dxa"/>
            <w:tcBorders>
              <w:top w:val="single" w:sz="4" w:space="0" w:color="000000"/>
              <w:left w:val="single" w:sz="4" w:space="0" w:color="000000"/>
              <w:bottom w:val="single" w:sz="4" w:space="0" w:color="000000"/>
            </w:tcBorders>
            <w:shd w:val="clear" w:color="auto" w:fill="FFFFFF"/>
            <w:vAlign w:val="bottom"/>
          </w:tcPr>
          <w:p w14:paraId="2029B9F0" w14:textId="77777777" w:rsidR="00B92E18" w:rsidRPr="00B92E18" w:rsidRDefault="00B92E18" w:rsidP="00243F14">
            <w:pPr>
              <w:widowControl w:val="0"/>
              <w:spacing w:line="276" w:lineRule="auto"/>
              <w:ind w:firstLine="221"/>
              <w:rPr>
                <w:rFonts w:ascii="Book Antiqua" w:hAnsi="Book Antiqua" w:cs="Arial"/>
                <w:b/>
                <w:bCs/>
                <w:color w:val="000000"/>
                <w:sz w:val="16"/>
                <w:szCs w:val="16"/>
              </w:rPr>
            </w:pPr>
            <w:r w:rsidRPr="00B92E18">
              <w:rPr>
                <w:rFonts w:ascii="Book Antiqua" w:hAnsi="Book Antiqua" w:cs="Arial"/>
                <w:b/>
                <w:bCs/>
                <w:color w:val="000000"/>
                <w:sz w:val="16"/>
                <w:szCs w:val="16"/>
              </w:rPr>
              <w:t>Realizadas</w:t>
            </w:r>
          </w:p>
        </w:tc>
        <w:tc>
          <w:tcPr>
            <w:tcW w:w="1559" w:type="dxa"/>
            <w:tcBorders>
              <w:top w:val="single" w:sz="4" w:space="0" w:color="000000"/>
              <w:bottom w:val="single" w:sz="4" w:space="0" w:color="000000"/>
              <w:right w:val="single" w:sz="4" w:space="0" w:color="000000"/>
            </w:tcBorders>
            <w:shd w:val="clear" w:color="auto" w:fill="FFFFFF"/>
            <w:vAlign w:val="bottom"/>
          </w:tcPr>
          <w:p w14:paraId="7BCEFB4F" w14:textId="77777777" w:rsidR="00B92E18" w:rsidRPr="00B92E18" w:rsidRDefault="00B92E18" w:rsidP="00243F14">
            <w:pPr>
              <w:widowControl w:val="0"/>
              <w:spacing w:line="276" w:lineRule="auto"/>
              <w:jc w:val="center"/>
              <w:rPr>
                <w:rFonts w:ascii="Book Antiqua" w:hAnsi="Book Antiqua" w:cs="Arial"/>
                <w:color w:val="000000"/>
                <w:sz w:val="16"/>
                <w:szCs w:val="16"/>
              </w:rPr>
            </w:pPr>
            <w:r w:rsidRPr="00B92E18">
              <w:rPr>
                <w:rFonts w:ascii="Book Antiqua" w:hAnsi="Book Antiqua" w:cs="Arial"/>
                <w:color w:val="000000"/>
                <w:sz w:val="16"/>
                <w:szCs w:val="16"/>
                <w:lang w:eastAsia="zh-CN"/>
              </w:rPr>
              <w:t>177</w:t>
            </w:r>
          </w:p>
        </w:tc>
      </w:tr>
      <w:tr w:rsidR="00B92E18" w:rsidRPr="00B92E18" w14:paraId="269327B0" w14:textId="77777777" w:rsidTr="00B92E18">
        <w:trPr>
          <w:trHeight w:val="363"/>
          <w:jc w:val="center"/>
        </w:trPr>
        <w:tc>
          <w:tcPr>
            <w:tcW w:w="3982" w:type="dxa"/>
            <w:tcBorders>
              <w:top w:val="single" w:sz="4" w:space="0" w:color="000000"/>
              <w:left w:val="single" w:sz="4" w:space="0" w:color="000000"/>
              <w:bottom w:val="single" w:sz="4" w:space="0" w:color="000000"/>
            </w:tcBorders>
            <w:shd w:val="clear" w:color="auto" w:fill="FFFFFF"/>
            <w:vAlign w:val="bottom"/>
          </w:tcPr>
          <w:p w14:paraId="6BB74D14" w14:textId="77777777" w:rsidR="00B92E18" w:rsidRPr="00B92E18" w:rsidRDefault="00B92E18" w:rsidP="00243F14">
            <w:pPr>
              <w:widowControl w:val="0"/>
              <w:spacing w:line="276" w:lineRule="auto"/>
              <w:ind w:firstLine="220"/>
              <w:rPr>
                <w:rFonts w:ascii="Book Antiqua" w:hAnsi="Book Antiqua" w:cs="Arial"/>
                <w:color w:val="000000"/>
                <w:sz w:val="16"/>
                <w:szCs w:val="16"/>
              </w:rPr>
            </w:pPr>
            <w:r w:rsidRPr="00B92E18">
              <w:rPr>
                <w:rFonts w:ascii="Book Antiqua" w:hAnsi="Book Antiqua" w:cs="Arial"/>
                <w:color w:val="000000"/>
                <w:sz w:val="16"/>
                <w:szCs w:val="16"/>
              </w:rPr>
              <w:t>Con acuerdo</w:t>
            </w:r>
          </w:p>
        </w:tc>
        <w:tc>
          <w:tcPr>
            <w:tcW w:w="1559" w:type="dxa"/>
            <w:tcBorders>
              <w:top w:val="single" w:sz="4" w:space="0" w:color="000000"/>
              <w:bottom w:val="single" w:sz="4" w:space="0" w:color="000000"/>
              <w:right w:val="single" w:sz="4" w:space="0" w:color="000000"/>
            </w:tcBorders>
            <w:shd w:val="clear" w:color="auto" w:fill="FFFFFF"/>
            <w:vAlign w:val="bottom"/>
          </w:tcPr>
          <w:p w14:paraId="7214E49C" w14:textId="77777777" w:rsidR="00B92E18" w:rsidRPr="00B92E18" w:rsidRDefault="00B92E18" w:rsidP="00243F14">
            <w:pPr>
              <w:widowControl w:val="0"/>
              <w:spacing w:line="276" w:lineRule="auto"/>
              <w:jc w:val="center"/>
              <w:rPr>
                <w:rFonts w:ascii="Book Antiqua" w:hAnsi="Book Antiqua"/>
                <w:sz w:val="16"/>
                <w:szCs w:val="16"/>
              </w:rPr>
            </w:pPr>
            <w:r w:rsidRPr="00B92E18">
              <w:rPr>
                <w:rFonts w:ascii="Book Antiqua" w:eastAsia="Segoe UI" w:hAnsi="Book Antiqua" w:cs="Tahoma"/>
                <w:sz w:val="16"/>
                <w:szCs w:val="16"/>
                <w:lang w:val="es-ES_tradnl" w:eastAsia="zh-CN"/>
              </w:rPr>
              <w:t>170</w:t>
            </w:r>
          </w:p>
        </w:tc>
      </w:tr>
      <w:tr w:rsidR="00B92E18" w:rsidRPr="00B92E18" w14:paraId="56CB8A54" w14:textId="77777777" w:rsidTr="00B92E18">
        <w:trPr>
          <w:trHeight w:val="363"/>
          <w:jc w:val="center"/>
        </w:trPr>
        <w:tc>
          <w:tcPr>
            <w:tcW w:w="3982" w:type="dxa"/>
            <w:tcBorders>
              <w:top w:val="single" w:sz="4" w:space="0" w:color="000000"/>
              <w:left w:val="single" w:sz="4" w:space="0" w:color="000000"/>
              <w:bottom w:val="single" w:sz="4" w:space="0" w:color="000000"/>
            </w:tcBorders>
            <w:shd w:val="clear" w:color="auto" w:fill="FFFFFF"/>
            <w:vAlign w:val="bottom"/>
          </w:tcPr>
          <w:p w14:paraId="76665DE1" w14:textId="77777777" w:rsidR="00B92E18" w:rsidRPr="00B92E18" w:rsidRDefault="00B92E18" w:rsidP="00243F14">
            <w:pPr>
              <w:widowControl w:val="0"/>
              <w:spacing w:line="276" w:lineRule="auto"/>
              <w:ind w:firstLine="220"/>
              <w:rPr>
                <w:rFonts w:ascii="Book Antiqua" w:hAnsi="Book Antiqua" w:cs="Arial"/>
                <w:color w:val="000000"/>
                <w:sz w:val="16"/>
                <w:szCs w:val="16"/>
              </w:rPr>
            </w:pPr>
            <w:r w:rsidRPr="00B92E18">
              <w:rPr>
                <w:rFonts w:ascii="Book Antiqua" w:hAnsi="Book Antiqua" w:cs="Arial"/>
                <w:color w:val="000000"/>
                <w:sz w:val="16"/>
                <w:szCs w:val="16"/>
              </w:rPr>
              <w:t>No hubo acuerdo</w:t>
            </w:r>
          </w:p>
        </w:tc>
        <w:tc>
          <w:tcPr>
            <w:tcW w:w="1559" w:type="dxa"/>
            <w:tcBorders>
              <w:top w:val="single" w:sz="4" w:space="0" w:color="000000"/>
              <w:bottom w:val="single" w:sz="4" w:space="0" w:color="000000"/>
              <w:right w:val="single" w:sz="4" w:space="0" w:color="000000"/>
            </w:tcBorders>
            <w:shd w:val="clear" w:color="auto" w:fill="FFFFFF"/>
            <w:vAlign w:val="bottom"/>
          </w:tcPr>
          <w:p w14:paraId="502C83DD" w14:textId="77777777" w:rsidR="00B92E18" w:rsidRPr="00B92E18" w:rsidRDefault="00B92E18" w:rsidP="00243F14">
            <w:pPr>
              <w:widowControl w:val="0"/>
              <w:spacing w:line="276" w:lineRule="auto"/>
              <w:jc w:val="center"/>
              <w:rPr>
                <w:rFonts w:ascii="Book Antiqua" w:hAnsi="Book Antiqua"/>
                <w:sz w:val="16"/>
                <w:szCs w:val="16"/>
              </w:rPr>
            </w:pPr>
            <w:r w:rsidRPr="00B92E18">
              <w:rPr>
                <w:rFonts w:ascii="Book Antiqua" w:eastAsia="Segoe UI" w:hAnsi="Book Antiqua" w:cs="Tahoma"/>
                <w:sz w:val="16"/>
                <w:szCs w:val="16"/>
                <w:lang w:val="es-ES_tradnl" w:eastAsia="zh-CN"/>
              </w:rPr>
              <w:t>7</w:t>
            </w:r>
          </w:p>
        </w:tc>
      </w:tr>
      <w:tr w:rsidR="00B92E18" w:rsidRPr="00B92E18" w14:paraId="3443FA40" w14:textId="77777777" w:rsidTr="00B92E18">
        <w:trPr>
          <w:trHeight w:val="363"/>
          <w:jc w:val="center"/>
        </w:trPr>
        <w:tc>
          <w:tcPr>
            <w:tcW w:w="3982" w:type="dxa"/>
            <w:tcBorders>
              <w:top w:val="single" w:sz="4" w:space="0" w:color="000000"/>
              <w:left w:val="single" w:sz="4" w:space="0" w:color="000000"/>
              <w:bottom w:val="single" w:sz="4" w:space="0" w:color="000000"/>
            </w:tcBorders>
            <w:shd w:val="clear" w:color="auto" w:fill="FFFFFF"/>
            <w:vAlign w:val="bottom"/>
          </w:tcPr>
          <w:p w14:paraId="59869893" w14:textId="77777777" w:rsidR="00B92E18" w:rsidRPr="00B92E18" w:rsidRDefault="00B92E18" w:rsidP="00243F14">
            <w:pPr>
              <w:widowControl w:val="0"/>
              <w:spacing w:line="276" w:lineRule="auto"/>
              <w:ind w:firstLine="221"/>
              <w:rPr>
                <w:rFonts w:ascii="Book Antiqua" w:hAnsi="Book Antiqua" w:cs="Arial"/>
                <w:b/>
                <w:bCs/>
                <w:color w:val="000000"/>
                <w:sz w:val="16"/>
                <w:szCs w:val="16"/>
              </w:rPr>
            </w:pPr>
            <w:r w:rsidRPr="00B92E18">
              <w:rPr>
                <w:rFonts w:ascii="Book Antiqua" w:hAnsi="Book Antiqua" w:cs="Arial"/>
                <w:b/>
                <w:bCs/>
                <w:color w:val="000000"/>
                <w:sz w:val="16"/>
                <w:szCs w:val="16"/>
              </w:rPr>
              <w:t>No realizadas</w:t>
            </w:r>
          </w:p>
        </w:tc>
        <w:tc>
          <w:tcPr>
            <w:tcW w:w="1559" w:type="dxa"/>
            <w:tcBorders>
              <w:top w:val="single" w:sz="4" w:space="0" w:color="000000"/>
              <w:bottom w:val="single" w:sz="4" w:space="0" w:color="000000"/>
              <w:right w:val="single" w:sz="4" w:space="0" w:color="000000"/>
            </w:tcBorders>
            <w:shd w:val="clear" w:color="auto" w:fill="FFFFFF"/>
            <w:vAlign w:val="bottom"/>
          </w:tcPr>
          <w:p w14:paraId="1B981400" w14:textId="77777777" w:rsidR="00B92E18" w:rsidRPr="00B92E18" w:rsidRDefault="00B92E18" w:rsidP="00243F14">
            <w:pPr>
              <w:widowControl w:val="0"/>
              <w:spacing w:line="276" w:lineRule="auto"/>
              <w:jc w:val="center"/>
              <w:rPr>
                <w:rFonts w:ascii="Book Antiqua" w:hAnsi="Book Antiqua" w:cs="Arial"/>
                <w:color w:val="000000"/>
                <w:sz w:val="16"/>
                <w:szCs w:val="16"/>
              </w:rPr>
            </w:pPr>
            <w:r w:rsidRPr="00B92E18">
              <w:rPr>
                <w:rFonts w:ascii="Book Antiqua" w:hAnsi="Book Antiqua" w:cs="Arial"/>
                <w:color w:val="000000"/>
                <w:sz w:val="16"/>
                <w:szCs w:val="16"/>
                <w:lang w:eastAsia="zh-CN"/>
              </w:rPr>
              <w:t>18</w:t>
            </w:r>
          </w:p>
        </w:tc>
      </w:tr>
      <w:tr w:rsidR="00B92E18" w:rsidRPr="00B92E18" w14:paraId="206DF87D" w14:textId="77777777" w:rsidTr="00B92E18">
        <w:trPr>
          <w:trHeight w:val="363"/>
          <w:jc w:val="center"/>
        </w:trPr>
        <w:tc>
          <w:tcPr>
            <w:tcW w:w="3982" w:type="dxa"/>
            <w:tcBorders>
              <w:top w:val="single" w:sz="4" w:space="0" w:color="000000"/>
              <w:left w:val="single" w:sz="4" w:space="0" w:color="000000"/>
              <w:bottom w:val="single" w:sz="4" w:space="0" w:color="000000"/>
            </w:tcBorders>
            <w:shd w:val="clear" w:color="auto" w:fill="DEEAF6" w:themeFill="accent5" w:themeFillTint="33"/>
            <w:vAlign w:val="bottom"/>
          </w:tcPr>
          <w:p w14:paraId="2EE43035" w14:textId="5C6575B0" w:rsidR="00B92E18" w:rsidRPr="00B92E18" w:rsidRDefault="00B92E18" w:rsidP="00243F14">
            <w:pPr>
              <w:widowControl w:val="0"/>
              <w:spacing w:line="276" w:lineRule="auto"/>
              <w:ind w:firstLine="221"/>
              <w:rPr>
                <w:rFonts w:ascii="Book Antiqua" w:hAnsi="Book Antiqua" w:cs="Arial"/>
                <w:b/>
                <w:bCs/>
                <w:color w:val="000000"/>
                <w:sz w:val="16"/>
                <w:szCs w:val="16"/>
              </w:rPr>
            </w:pPr>
            <w:r w:rsidRPr="00B92E18">
              <w:rPr>
                <w:rFonts w:ascii="Book Antiqua" w:hAnsi="Book Antiqua" w:cs="Arial"/>
                <w:b/>
                <w:bCs/>
                <w:color w:val="000000"/>
                <w:sz w:val="16"/>
                <w:szCs w:val="16"/>
              </w:rPr>
              <w:t>Aud</w:t>
            </w:r>
            <w:r>
              <w:rPr>
                <w:rFonts w:ascii="Book Antiqua" w:hAnsi="Book Antiqua" w:cs="Arial"/>
                <w:b/>
                <w:bCs/>
                <w:color w:val="000000"/>
                <w:sz w:val="16"/>
                <w:szCs w:val="16"/>
              </w:rPr>
              <w:t>iencia</w:t>
            </w:r>
            <w:r w:rsidRPr="00B92E18">
              <w:rPr>
                <w:rFonts w:ascii="Book Antiqua" w:hAnsi="Book Antiqua" w:cs="Arial"/>
                <w:b/>
                <w:bCs/>
                <w:color w:val="000000"/>
                <w:sz w:val="16"/>
                <w:szCs w:val="16"/>
              </w:rPr>
              <w:t xml:space="preserve"> Verificación Señaladas</w:t>
            </w:r>
          </w:p>
        </w:tc>
        <w:tc>
          <w:tcPr>
            <w:tcW w:w="1559" w:type="dxa"/>
            <w:tcBorders>
              <w:top w:val="single" w:sz="4" w:space="0" w:color="000000"/>
              <w:bottom w:val="single" w:sz="4" w:space="0" w:color="000000"/>
              <w:right w:val="single" w:sz="4" w:space="0" w:color="000000"/>
            </w:tcBorders>
            <w:shd w:val="clear" w:color="auto" w:fill="DEEAF6" w:themeFill="accent5" w:themeFillTint="33"/>
            <w:vAlign w:val="bottom"/>
          </w:tcPr>
          <w:p w14:paraId="031A3B9F" w14:textId="77777777" w:rsidR="00B92E18" w:rsidRPr="00B92E18" w:rsidRDefault="00B92E18" w:rsidP="00243F14">
            <w:pPr>
              <w:widowControl w:val="0"/>
              <w:spacing w:line="276" w:lineRule="auto"/>
              <w:jc w:val="center"/>
              <w:rPr>
                <w:rFonts w:ascii="Book Antiqua" w:hAnsi="Book Antiqua" w:cs="Arial"/>
                <w:b/>
                <w:bCs/>
                <w:color w:val="000000"/>
                <w:sz w:val="16"/>
                <w:szCs w:val="16"/>
              </w:rPr>
            </w:pPr>
            <w:r w:rsidRPr="00B92E18">
              <w:rPr>
                <w:rFonts w:ascii="Book Antiqua" w:hAnsi="Book Antiqua" w:cs="Arial"/>
                <w:b/>
                <w:bCs/>
                <w:color w:val="000000"/>
                <w:sz w:val="16"/>
                <w:szCs w:val="16"/>
                <w:lang w:eastAsia="zh-CN"/>
              </w:rPr>
              <w:t>75</w:t>
            </w:r>
          </w:p>
        </w:tc>
      </w:tr>
      <w:tr w:rsidR="00B92E18" w:rsidRPr="00B92E18" w14:paraId="175D912D" w14:textId="77777777" w:rsidTr="00B92E18">
        <w:trPr>
          <w:trHeight w:val="363"/>
          <w:jc w:val="center"/>
        </w:trPr>
        <w:tc>
          <w:tcPr>
            <w:tcW w:w="3982" w:type="dxa"/>
            <w:tcBorders>
              <w:top w:val="single" w:sz="4" w:space="0" w:color="000000"/>
              <w:left w:val="single" w:sz="4" w:space="0" w:color="000000"/>
              <w:bottom w:val="single" w:sz="4" w:space="0" w:color="000000"/>
            </w:tcBorders>
            <w:shd w:val="clear" w:color="auto" w:fill="FFFFFF"/>
            <w:vAlign w:val="bottom"/>
          </w:tcPr>
          <w:p w14:paraId="35E28FF5" w14:textId="77777777" w:rsidR="00B92E18" w:rsidRPr="00B92E18" w:rsidRDefault="00B92E18" w:rsidP="00243F14">
            <w:pPr>
              <w:widowControl w:val="0"/>
              <w:spacing w:line="276" w:lineRule="auto"/>
              <w:ind w:firstLine="220"/>
              <w:rPr>
                <w:rFonts w:ascii="Book Antiqua" w:hAnsi="Book Antiqua" w:cs="Arial"/>
                <w:color w:val="000000"/>
                <w:sz w:val="16"/>
                <w:szCs w:val="16"/>
              </w:rPr>
            </w:pPr>
            <w:r w:rsidRPr="00B92E18">
              <w:rPr>
                <w:rFonts w:ascii="Book Antiqua" w:hAnsi="Book Antiqua" w:cs="Arial"/>
                <w:color w:val="000000"/>
                <w:sz w:val="16"/>
                <w:szCs w:val="16"/>
              </w:rPr>
              <w:t>Se mantiene medida alterna</w:t>
            </w:r>
          </w:p>
        </w:tc>
        <w:tc>
          <w:tcPr>
            <w:tcW w:w="1559" w:type="dxa"/>
            <w:tcBorders>
              <w:top w:val="single" w:sz="4" w:space="0" w:color="000000"/>
              <w:bottom w:val="single" w:sz="4" w:space="0" w:color="000000"/>
              <w:right w:val="single" w:sz="4" w:space="0" w:color="000000"/>
            </w:tcBorders>
            <w:shd w:val="clear" w:color="auto" w:fill="FFFFFF"/>
            <w:vAlign w:val="bottom"/>
          </w:tcPr>
          <w:p w14:paraId="4FB96B7E" w14:textId="77777777" w:rsidR="00B92E18" w:rsidRPr="00B92E18" w:rsidRDefault="00B92E18" w:rsidP="00243F14">
            <w:pPr>
              <w:widowControl w:val="0"/>
              <w:spacing w:line="276" w:lineRule="auto"/>
              <w:jc w:val="center"/>
              <w:rPr>
                <w:rFonts w:ascii="Book Antiqua" w:hAnsi="Book Antiqua" w:cs="Arial"/>
                <w:color w:val="000000"/>
                <w:sz w:val="16"/>
                <w:szCs w:val="16"/>
              </w:rPr>
            </w:pPr>
            <w:r w:rsidRPr="00B92E18">
              <w:rPr>
                <w:rFonts w:ascii="Book Antiqua" w:hAnsi="Book Antiqua" w:cs="Arial"/>
                <w:color w:val="000000"/>
                <w:sz w:val="16"/>
                <w:szCs w:val="16"/>
                <w:lang w:eastAsia="zh-CN"/>
              </w:rPr>
              <w:t>NA</w:t>
            </w:r>
          </w:p>
        </w:tc>
      </w:tr>
      <w:tr w:rsidR="00B92E18" w:rsidRPr="00B92E18" w14:paraId="17A36F32" w14:textId="77777777" w:rsidTr="00B92E18">
        <w:trPr>
          <w:trHeight w:val="363"/>
          <w:jc w:val="center"/>
        </w:trPr>
        <w:tc>
          <w:tcPr>
            <w:tcW w:w="3982" w:type="dxa"/>
            <w:tcBorders>
              <w:top w:val="single" w:sz="4" w:space="0" w:color="000000"/>
              <w:left w:val="single" w:sz="4" w:space="0" w:color="000000"/>
              <w:bottom w:val="single" w:sz="4" w:space="0" w:color="000000"/>
            </w:tcBorders>
            <w:shd w:val="clear" w:color="auto" w:fill="FFFFFF"/>
            <w:vAlign w:val="bottom"/>
          </w:tcPr>
          <w:p w14:paraId="7B971B00" w14:textId="77777777" w:rsidR="00B92E18" w:rsidRPr="00B92E18" w:rsidRDefault="00B92E18" w:rsidP="00243F14">
            <w:pPr>
              <w:widowControl w:val="0"/>
              <w:spacing w:line="276" w:lineRule="auto"/>
              <w:ind w:firstLine="220"/>
              <w:rPr>
                <w:rFonts w:ascii="Book Antiqua" w:hAnsi="Book Antiqua" w:cs="Arial"/>
                <w:color w:val="000000"/>
                <w:sz w:val="16"/>
                <w:szCs w:val="16"/>
              </w:rPr>
            </w:pPr>
            <w:r w:rsidRPr="00B92E18">
              <w:rPr>
                <w:rFonts w:ascii="Book Antiqua" w:hAnsi="Book Antiqua" w:cs="Arial"/>
                <w:color w:val="000000"/>
                <w:sz w:val="16"/>
                <w:szCs w:val="16"/>
              </w:rPr>
              <w:t>Se modifica medida alterna</w:t>
            </w:r>
          </w:p>
        </w:tc>
        <w:tc>
          <w:tcPr>
            <w:tcW w:w="1559" w:type="dxa"/>
            <w:tcBorders>
              <w:top w:val="single" w:sz="4" w:space="0" w:color="000000"/>
              <w:bottom w:val="single" w:sz="4" w:space="0" w:color="000000"/>
              <w:right w:val="single" w:sz="4" w:space="0" w:color="000000"/>
            </w:tcBorders>
            <w:shd w:val="clear" w:color="auto" w:fill="FFFFFF"/>
            <w:vAlign w:val="bottom"/>
          </w:tcPr>
          <w:p w14:paraId="6EF3BCEB" w14:textId="77777777" w:rsidR="00B92E18" w:rsidRPr="00B92E18" w:rsidRDefault="00B92E18" w:rsidP="00243F14">
            <w:pPr>
              <w:widowControl w:val="0"/>
              <w:spacing w:line="276" w:lineRule="auto"/>
              <w:jc w:val="center"/>
              <w:rPr>
                <w:rFonts w:ascii="Book Antiqua" w:hAnsi="Book Antiqua" w:cs="Arial"/>
                <w:color w:val="000000"/>
                <w:sz w:val="16"/>
                <w:szCs w:val="16"/>
              </w:rPr>
            </w:pPr>
            <w:r w:rsidRPr="00B92E18">
              <w:rPr>
                <w:rFonts w:ascii="Book Antiqua" w:hAnsi="Book Antiqua" w:cs="Arial"/>
                <w:color w:val="000000"/>
                <w:sz w:val="16"/>
                <w:szCs w:val="16"/>
                <w:lang w:eastAsia="zh-CN"/>
              </w:rPr>
              <w:t>NA</w:t>
            </w:r>
          </w:p>
        </w:tc>
      </w:tr>
      <w:tr w:rsidR="00B92E18" w:rsidRPr="00B92E18" w14:paraId="4E83D85C" w14:textId="77777777" w:rsidTr="00B92E18">
        <w:trPr>
          <w:trHeight w:val="363"/>
          <w:jc w:val="center"/>
        </w:trPr>
        <w:tc>
          <w:tcPr>
            <w:tcW w:w="3982" w:type="dxa"/>
            <w:tcBorders>
              <w:top w:val="single" w:sz="4" w:space="0" w:color="000000"/>
              <w:left w:val="single" w:sz="4" w:space="0" w:color="000000"/>
              <w:bottom w:val="single" w:sz="4" w:space="0" w:color="000000"/>
            </w:tcBorders>
            <w:shd w:val="clear" w:color="auto" w:fill="FFFFFF"/>
            <w:vAlign w:val="bottom"/>
          </w:tcPr>
          <w:p w14:paraId="73ED9353" w14:textId="77777777" w:rsidR="00B92E18" w:rsidRPr="00B92E18" w:rsidRDefault="00B92E18" w:rsidP="00243F14">
            <w:pPr>
              <w:widowControl w:val="0"/>
              <w:spacing w:line="276" w:lineRule="auto"/>
              <w:ind w:firstLine="220"/>
              <w:rPr>
                <w:rFonts w:ascii="Book Antiqua" w:hAnsi="Book Antiqua" w:cs="Arial"/>
                <w:color w:val="000000"/>
                <w:sz w:val="16"/>
                <w:szCs w:val="16"/>
              </w:rPr>
            </w:pPr>
            <w:r w:rsidRPr="00B92E18">
              <w:rPr>
                <w:rFonts w:ascii="Book Antiqua" w:hAnsi="Book Antiqua" w:cs="Arial"/>
                <w:color w:val="000000"/>
                <w:sz w:val="16"/>
                <w:szCs w:val="16"/>
              </w:rPr>
              <w:t>Se revoca medida alterna</w:t>
            </w:r>
          </w:p>
        </w:tc>
        <w:tc>
          <w:tcPr>
            <w:tcW w:w="1559" w:type="dxa"/>
            <w:tcBorders>
              <w:top w:val="single" w:sz="4" w:space="0" w:color="000000"/>
              <w:bottom w:val="single" w:sz="4" w:space="0" w:color="000000"/>
              <w:right w:val="single" w:sz="4" w:space="0" w:color="000000"/>
            </w:tcBorders>
            <w:shd w:val="clear" w:color="auto" w:fill="FFFFFF"/>
            <w:vAlign w:val="bottom"/>
          </w:tcPr>
          <w:p w14:paraId="7C39BFE6" w14:textId="77777777" w:rsidR="00B92E18" w:rsidRPr="00B92E18" w:rsidRDefault="00B92E18" w:rsidP="00243F14">
            <w:pPr>
              <w:widowControl w:val="0"/>
              <w:spacing w:line="276" w:lineRule="auto"/>
              <w:jc w:val="center"/>
              <w:rPr>
                <w:rFonts w:ascii="Book Antiqua" w:hAnsi="Book Antiqua" w:cs="Arial"/>
                <w:color w:val="000000"/>
                <w:sz w:val="16"/>
                <w:szCs w:val="16"/>
              </w:rPr>
            </w:pPr>
            <w:r w:rsidRPr="00B92E18">
              <w:rPr>
                <w:rFonts w:ascii="Book Antiqua" w:hAnsi="Book Antiqua" w:cs="Arial"/>
                <w:color w:val="000000"/>
                <w:sz w:val="16"/>
                <w:szCs w:val="16"/>
                <w:lang w:eastAsia="zh-CN"/>
              </w:rPr>
              <w:t>NA</w:t>
            </w:r>
          </w:p>
        </w:tc>
      </w:tr>
      <w:tr w:rsidR="00B92E18" w:rsidRPr="00B92E18" w14:paraId="4C4A74CA" w14:textId="77777777" w:rsidTr="00B92E18">
        <w:trPr>
          <w:trHeight w:val="363"/>
          <w:jc w:val="center"/>
        </w:trPr>
        <w:tc>
          <w:tcPr>
            <w:tcW w:w="3982" w:type="dxa"/>
            <w:tcBorders>
              <w:top w:val="single" w:sz="4" w:space="0" w:color="000000"/>
              <w:left w:val="single" w:sz="4" w:space="0" w:color="000000"/>
              <w:bottom w:val="single" w:sz="4" w:space="0" w:color="000000"/>
            </w:tcBorders>
            <w:shd w:val="clear" w:color="auto" w:fill="FFFFFF"/>
            <w:vAlign w:val="bottom"/>
          </w:tcPr>
          <w:p w14:paraId="33101A5D" w14:textId="77777777" w:rsidR="00B92E18" w:rsidRPr="00B92E18" w:rsidRDefault="00B92E18" w:rsidP="00243F14">
            <w:pPr>
              <w:widowControl w:val="0"/>
              <w:spacing w:line="276" w:lineRule="auto"/>
              <w:rPr>
                <w:rFonts w:ascii="Book Antiqua" w:hAnsi="Book Antiqua" w:cs="Arial"/>
                <w:color w:val="000000"/>
                <w:sz w:val="16"/>
                <w:szCs w:val="16"/>
              </w:rPr>
            </w:pPr>
            <w:r w:rsidRPr="00B92E18">
              <w:rPr>
                <w:rFonts w:ascii="Book Antiqua" w:hAnsi="Book Antiqua" w:cs="Arial"/>
                <w:color w:val="000000"/>
                <w:sz w:val="16"/>
                <w:szCs w:val="16"/>
              </w:rPr>
              <w:t>Se homologa indemnización seguro</w:t>
            </w:r>
          </w:p>
        </w:tc>
        <w:tc>
          <w:tcPr>
            <w:tcW w:w="1559" w:type="dxa"/>
            <w:tcBorders>
              <w:top w:val="single" w:sz="4" w:space="0" w:color="000000"/>
              <w:bottom w:val="single" w:sz="4" w:space="0" w:color="000000"/>
              <w:right w:val="single" w:sz="4" w:space="0" w:color="000000"/>
            </w:tcBorders>
            <w:shd w:val="clear" w:color="auto" w:fill="FFFFFF"/>
            <w:vAlign w:val="bottom"/>
          </w:tcPr>
          <w:p w14:paraId="0BD02C91" w14:textId="77777777" w:rsidR="00B92E18" w:rsidRPr="00B92E18" w:rsidRDefault="00B92E18" w:rsidP="00243F14">
            <w:pPr>
              <w:widowControl w:val="0"/>
              <w:spacing w:line="276" w:lineRule="auto"/>
              <w:jc w:val="center"/>
              <w:rPr>
                <w:rFonts w:ascii="Book Antiqua" w:hAnsi="Book Antiqua" w:cs="Arial"/>
                <w:color w:val="000000"/>
                <w:sz w:val="16"/>
                <w:szCs w:val="16"/>
              </w:rPr>
            </w:pPr>
            <w:r w:rsidRPr="00B92E18">
              <w:rPr>
                <w:rFonts w:ascii="Book Antiqua" w:hAnsi="Book Antiqua" w:cs="Arial"/>
                <w:color w:val="000000"/>
                <w:sz w:val="16"/>
                <w:szCs w:val="16"/>
                <w:lang w:eastAsia="zh-CN"/>
              </w:rPr>
              <w:t>NA</w:t>
            </w:r>
          </w:p>
        </w:tc>
      </w:tr>
      <w:tr w:rsidR="00B92E18" w:rsidRPr="00B92E18" w14:paraId="1D094328" w14:textId="77777777" w:rsidTr="00B92E18">
        <w:trPr>
          <w:trHeight w:val="363"/>
          <w:jc w:val="center"/>
        </w:trPr>
        <w:tc>
          <w:tcPr>
            <w:tcW w:w="3982" w:type="dxa"/>
            <w:tcBorders>
              <w:top w:val="single" w:sz="4" w:space="0" w:color="000000"/>
              <w:left w:val="single" w:sz="4" w:space="0" w:color="000000"/>
              <w:bottom w:val="single" w:sz="4" w:space="0" w:color="000000"/>
            </w:tcBorders>
            <w:shd w:val="clear" w:color="auto" w:fill="DEEAF6" w:themeFill="accent5" w:themeFillTint="33"/>
            <w:vAlign w:val="bottom"/>
          </w:tcPr>
          <w:p w14:paraId="5F6F5979" w14:textId="77777777" w:rsidR="00B92E18" w:rsidRPr="00B92E18" w:rsidRDefault="00B92E18" w:rsidP="00243F14">
            <w:pPr>
              <w:widowControl w:val="0"/>
              <w:spacing w:line="276" w:lineRule="auto"/>
              <w:ind w:firstLine="221"/>
              <w:rPr>
                <w:rFonts w:ascii="Book Antiqua" w:hAnsi="Book Antiqua" w:cs="Arial"/>
                <w:b/>
                <w:bCs/>
                <w:color w:val="000000"/>
                <w:sz w:val="16"/>
                <w:szCs w:val="16"/>
              </w:rPr>
            </w:pPr>
            <w:r w:rsidRPr="00B92E18">
              <w:rPr>
                <w:rFonts w:ascii="Book Antiqua" w:hAnsi="Book Antiqua" w:cs="Arial"/>
                <w:b/>
                <w:bCs/>
                <w:color w:val="000000"/>
                <w:sz w:val="16"/>
                <w:szCs w:val="16"/>
              </w:rPr>
              <w:t>Red de apoyo</w:t>
            </w:r>
          </w:p>
        </w:tc>
        <w:tc>
          <w:tcPr>
            <w:tcW w:w="1559" w:type="dxa"/>
            <w:tcBorders>
              <w:top w:val="single" w:sz="4" w:space="0" w:color="000000"/>
              <w:bottom w:val="single" w:sz="4" w:space="0" w:color="000000"/>
              <w:right w:val="single" w:sz="4" w:space="0" w:color="000000"/>
            </w:tcBorders>
            <w:shd w:val="clear" w:color="auto" w:fill="DEEAF6" w:themeFill="accent5" w:themeFillTint="33"/>
            <w:vAlign w:val="bottom"/>
          </w:tcPr>
          <w:p w14:paraId="4DC86CF8" w14:textId="77777777" w:rsidR="00B92E18" w:rsidRPr="00B92E18" w:rsidRDefault="00B92E18" w:rsidP="00243F14">
            <w:pPr>
              <w:widowControl w:val="0"/>
              <w:spacing w:line="276" w:lineRule="auto"/>
              <w:jc w:val="center"/>
              <w:rPr>
                <w:rFonts w:ascii="Book Antiqua" w:hAnsi="Book Antiqua" w:cs="Arial"/>
                <w:color w:val="000000"/>
                <w:sz w:val="16"/>
                <w:szCs w:val="16"/>
              </w:rPr>
            </w:pPr>
          </w:p>
        </w:tc>
      </w:tr>
      <w:tr w:rsidR="00B92E18" w:rsidRPr="00B92E18" w14:paraId="151CABFD" w14:textId="77777777" w:rsidTr="00B92E18">
        <w:trPr>
          <w:trHeight w:val="363"/>
          <w:jc w:val="center"/>
        </w:trPr>
        <w:tc>
          <w:tcPr>
            <w:tcW w:w="3982" w:type="dxa"/>
            <w:tcBorders>
              <w:top w:val="single" w:sz="4" w:space="0" w:color="000000"/>
              <w:left w:val="single" w:sz="4" w:space="0" w:color="000000"/>
              <w:bottom w:val="single" w:sz="4" w:space="0" w:color="000000"/>
            </w:tcBorders>
            <w:shd w:val="clear" w:color="auto" w:fill="FFFFFF"/>
            <w:vAlign w:val="bottom"/>
          </w:tcPr>
          <w:p w14:paraId="07621FF0" w14:textId="77777777" w:rsidR="00B92E18" w:rsidRPr="00B92E18" w:rsidRDefault="00B92E18" w:rsidP="00243F14">
            <w:pPr>
              <w:widowControl w:val="0"/>
              <w:spacing w:line="276" w:lineRule="auto"/>
              <w:rPr>
                <w:rFonts w:ascii="Book Antiqua" w:hAnsi="Book Antiqua" w:cs="Arial"/>
                <w:color w:val="000000"/>
                <w:sz w:val="16"/>
                <w:szCs w:val="16"/>
              </w:rPr>
            </w:pPr>
            <w:r w:rsidRPr="00B92E18">
              <w:rPr>
                <w:rFonts w:ascii="Book Antiqua" w:hAnsi="Book Antiqua" w:cs="Arial"/>
                <w:color w:val="000000"/>
                <w:sz w:val="16"/>
                <w:szCs w:val="16"/>
              </w:rPr>
              <w:t>Coordinaciones interinstitucionales</w:t>
            </w:r>
          </w:p>
        </w:tc>
        <w:tc>
          <w:tcPr>
            <w:tcW w:w="1559" w:type="dxa"/>
            <w:tcBorders>
              <w:top w:val="single" w:sz="4" w:space="0" w:color="000000"/>
              <w:bottom w:val="single" w:sz="4" w:space="0" w:color="000000"/>
              <w:right w:val="single" w:sz="4" w:space="0" w:color="000000"/>
            </w:tcBorders>
            <w:shd w:val="clear" w:color="auto" w:fill="FFFFFF"/>
            <w:vAlign w:val="bottom"/>
          </w:tcPr>
          <w:p w14:paraId="5A6FFBD3" w14:textId="77777777" w:rsidR="00B92E18" w:rsidRPr="00B92E18" w:rsidRDefault="00B92E18" w:rsidP="00243F14">
            <w:pPr>
              <w:widowControl w:val="0"/>
              <w:spacing w:line="276" w:lineRule="auto"/>
              <w:jc w:val="center"/>
              <w:rPr>
                <w:rFonts w:ascii="Book Antiqua" w:hAnsi="Book Antiqua" w:cs="Arial"/>
                <w:color w:val="000000"/>
                <w:sz w:val="16"/>
                <w:szCs w:val="16"/>
              </w:rPr>
            </w:pPr>
            <w:r w:rsidRPr="00B92E18">
              <w:rPr>
                <w:rFonts w:ascii="Book Antiqua" w:hAnsi="Book Antiqua" w:cs="Arial"/>
                <w:color w:val="000000"/>
                <w:sz w:val="16"/>
                <w:szCs w:val="16"/>
                <w:lang w:eastAsia="zh-CN"/>
              </w:rPr>
              <w:t>569</w:t>
            </w:r>
          </w:p>
        </w:tc>
      </w:tr>
      <w:tr w:rsidR="00B92E18" w:rsidRPr="00B92E18" w14:paraId="5D53BD3A" w14:textId="77777777" w:rsidTr="00B92E18">
        <w:trPr>
          <w:trHeight w:val="339"/>
          <w:jc w:val="center"/>
        </w:trPr>
        <w:tc>
          <w:tcPr>
            <w:tcW w:w="3982" w:type="dxa"/>
            <w:tcBorders>
              <w:top w:val="single" w:sz="4" w:space="0" w:color="000000"/>
              <w:left w:val="single" w:sz="4" w:space="0" w:color="000000"/>
              <w:bottom w:val="single" w:sz="4" w:space="0" w:color="000000"/>
            </w:tcBorders>
            <w:shd w:val="clear" w:color="auto" w:fill="FFFFFF"/>
            <w:vAlign w:val="bottom"/>
          </w:tcPr>
          <w:p w14:paraId="07FED6B1" w14:textId="77777777" w:rsidR="00B92E18" w:rsidRPr="00B92E18" w:rsidRDefault="00B92E18" w:rsidP="00243F14">
            <w:pPr>
              <w:widowControl w:val="0"/>
              <w:spacing w:line="276" w:lineRule="auto"/>
              <w:rPr>
                <w:rFonts w:ascii="Book Antiqua" w:hAnsi="Book Antiqua" w:cs="Arial"/>
                <w:b/>
                <w:bCs/>
                <w:sz w:val="16"/>
                <w:szCs w:val="16"/>
              </w:rPr>
            </w:pPr>
            <w:r w:rsidRPr="00B92E18">
              <w:rPr>
                <w:rFonts w:ascii="Book Antiqua" w:hAnsi="Book Antiqua" w:cs="Arial"/>
                <w:b/>
                <w:bCs/>
                <w:sz w:val="16"/>
                <w:szCs w:val="16"/>
              </w:rPr>
              <w:t>Cantidad de instituciones que conforman la red</w:t>
            </w:r>
          </w:p>
        </w:tc>
        <w:tc>
          <w:tcPr>
            <w:tcW w:w="1559" w:type="dxa"/>
            <w:tcBorders>
              <w:top w:val="single" w:sz="4" w:space="0" w:color="000000"/>
              <w:bottom w:val="single" w:sz="4" w:space="0" w:color="000000"/>
              <w:right w:val="single" w:sz="4" w:space="0" w:color="000000"/>
            </w:tcBorders>
            <w:shd w:val="clear" w:color="auto" w:fill="FFFFFF"/>
            <w:vAlign w:val="bottom"/>
          </w:tcPr>
          <w:p w14:paraId="567EE63E" w14:textId="77777777" w:rsidR="00B92E18" w:rsidRPr="00B92E18" w:rsidRDefault="00B92E18" w:rsidP="00243F14">
            <w:pPr>
              <w:widowControl w:val="0"/>
              <w:spacing w:line="276" w:lineRule="auto"/>
              <w:jc w:val="center"/>
              <w:rPr>
                <w:rFonts w:ascii="Book Antiqua" w:hAnsi="Book Antiqua" w:cs="Arial"/>
                <w:sz w:val="16"/>
                <w:szCs w:val="16"/>
              </w:rPr>
            </w:pPr>
            <w:r w:rsidRPr="00B92E18">
              <w:rPr>
                <w:rFonts w:ascii="Book Antiqua" w:hAnsi="Book Antiqua" w:cs="Arial"/>
                <w:sz w:val="16"/>
                <w:szCs w:val="16"/>
                <w:lang w:eastAsia="zh-CN"/>
              </w:rPr>
              <w:t>2022</w:t>
            </w:r>
          </w:p>
        </w:tc>
      </w:tr>
      <w:tr w:rsidR="00B92E18" w:rsidRPr="00B92E18" w14:paraId="4908CCF8" w14:textId="77777777" w:rsidTr="00B92E18">
        <w:trPr>
          <w:trHeight w:val="339"/>
          <w:jc w:val="center"/>
        </w:trPr>
        <w:tc>
          <w:tcPr>
            <w:tcW w:w="3982" w:type="dxa"/>
            <w:tcBorders>
              <w:top w:val="single" w:sz="4" w:space="0" w:color="000000"/>
              <w:left w:val="single" w:sz="4" w:space="0" w:color="000000"/>
              <w:bottom w:val="single" w:sz="4" w:space="0" w:color="000000"/>
            </w:tcBorders>
            <w:shd w:val="clear" w:color="auto" w:fill="DEEAF6" w:themeFill="accent5" w:themeFillTint="33"/>
            <w:vAlign w:val="bottom"/>
          </w:tcPr>
          <w:p w14:paraId="708F38B4" w14:textId="77777777" w:rsidR="00B92E18" w:rsidRPr="00B92E18" w:rsidRDefault="00B92E18" w:rsidP="00243F14">
            <w:pPr>
              <w:widowControl w:val="0"/>
              <w:spacing w:line="276" w:lineRule="auto"/>
              <w:rPr>
                <w:rFonts w:ascii="Book Antiqua" w:hAnsi="Book Antiqua" w:cs="Arial"/>
                <w:b/>
                <w:bCs/>
                <w:sz w:val="16"/>
                <w:szCs w:val="16"/>
              </w:rPr>
            </w:pPr>
            <w:r w:rsidRPr="00B92E18">
              <w:rPr>
                <w:rFonts w:ascii="Book Antiqua" w:hAnsi="Book Antiqua" w:cs="Arial"/>
                <w:b/>
                <w:bCs/>
                <w:sz w:val="16"/>
                <w:szCs w:val="16"/>
              </w:rPr>
              <w:t>Entrevistas</w:t>
            </w:r>
          </w:p>
        </w:tc>
        <w:tc>
          <w:tcPr>
            <w:tcW w:w="1559" w:type="dxa"/>
            <w:tcBorders>
              <w:top w:val="single" w:sz="4" w:space="0" w:color="000000"/>
              <w:bottom w:val="single" w:sz="4" w:space="0" w:color="000000"/>
              <w:right w:val="single" w:sz="4" w:space="0" w:color="000000"/>
            </w:tcBorders>
            <w:shd w:val="clear" w:color="auto" w:fill="DEEAF6" w:themeFill="accent5" w:themeFillTint="33"/>
            <w:vAlign w:val="bottom"/>
          </w:tcPr>
          <w:p w14:paraId="417F3B0A" w14:textId="77777777" w:rsidR="00B92E18" w:rsidRPr="00B92E18" w:rsidRDefault="00B92E18" w:rsidP="00243F14">
            <w:pPr>
              <w:widowControl w:val="0"/>
              <w:spacing w:line="276" w:lineRule="auto"/>
              <w:jc w:val="center"/>
              <w:rPr>
                <w:rFonts w:ascii="Book Antiqua" w:hAnsi="Book Antiqua" w:cs="Arial"/>
                <w:sz w:val="16"/>
                <w:szCs w:val="16"/>
              </w:rPr>
            </w:pPr>
          </w:p>
        </w:tc>
      </w:tr>
      <w:tr w:rsidR="00B92E18" w:rsidRPr="00B92E18" w14:paraId="4D957A34" w14:textId="77777777" w:rsidTr="00B92E18">
        <w:trPr>
          <w:trHeight w:val="339"/>
          <w:jc w:val="center"/>
        </w:trPr>
        <w:tc>
          <w:tcPr>
            <w:tcW w:w="3982" w:type="dxa"/>
            <w:tcBorders>
              <w:top w:val="single" w:sz="4" w:space="0" w:color="000000"/>
              <w:left w:val="single" w:sz="4" w:space="0" w:color="000000"/>
              <w:bottom w:val="single" w:sz="4" w:space="0" w:color="000000"/>
            </w:tcBorders>
            <w:shd w:val="clear" w:color="auto" w:fill="FFFFFF"/>
            <w:vAlign w:val="bottom"/>
          </w:tcPr>
          <w:p w14:paraId="71AC13DE" w14:textId="77777777" w:rsidR="00B92E18" w:rsidRPr="00B92E18" w:rsidRDefault="00B92E18" w:rsidP="00243F14">
            <w:pPr>
              <w:widowControl w:val="0"/>
              <w:spacing w:line="276" w:lineRule="auto"/>
              <w:rPr>
                <w:rFonts w:ascii="Book Antiqua" w:hAnsi="Book Antiqua" w:cs="Arial"/>
                <w:b/>
                <w:bCs/>
                <w:sz w:val="16"/>
                <w:szCs w:val="16"/>
              </w:rPr>
            </w:pPr>
            <w:r w:rsidRPr="00B92E18">
              <w:rPr>
                <w:rFonts w:ascii="Book Antiqua" w:hAnsi="Book Antiqua" w:cs="Arial"/>
                <w:b/>
                <w:bCs/>
                <w:sz w:val="16"/>
                <w:szCs w:val="16"/>
              </w:rPr>
              <w:t>Legales</w:t>
            </w:r>
          </w:p>
        </w:tc>
        <w:tc>
          <w:tcPr>
            <w:tcW w:w="1559" w:type="dxa"/>
            <w:tcBorders>
              <w:top w:val="single" w:sz="4" w:space="0" w:color="000000"/>
              <w:bottom w:val="single" w:sz="4" w:space="0" w:color="000000"/>
              <w:right w:val="single" w:sz="4" w:space="0" w:color="000000"/>
            </w:tcBorders>
            <w:shd w:val="clear" w:color="auto" w:fill="FFFFFF"/>
            <w:vAlign w:val="bottom"/>
          </w:tcPr>
          <w:p w14:paraId="71831A51" w14:textId="77777777" w:rsidR="00B92E18" w:rsidRPr="00B92E18" w:rsidRDefault="00B92E18" w:rsidP="00243F14">
            <w:pPr>
              <w:widowControl w:val="0"/>
              <w:spacing w:line="276" w:lineRule="auto"/>
              <w:jc w:val="center"/>
              <w:rPr>
                <w:rFonts w:ascii="Book Antiqua" w:hAnsi="Book Antiqua" w:cs="Arial"/>
                <w:sz w:val="16"/>
                <w:szCs w:val="16"/>
              </w:rPr>
            </w:pPr>
            <w:r w:rsidRPr="00B92E18">
              <w:rPr>
                <w:rFonts w:ascii="Book Antiqua" w:hAnsi="Book Antiqua" w:cs="Arial"/>
                <w:sz w:val="16"/>
                <w:szCs w:val="16"/>
                <w:lang w:eastAsia="zh-CN"/>
              </w:rPr>
              <w:t>236</w:t>
            </w:r>
          </w:p>
        </w:tc>
      </w:tr>
      <w:tr w:rsidR="00B92E18" w:rsidRPr="00B92E18" w14:paraId="4DDDAF6C" w14:textId="77777777" w:rsidTr="00B92E18">
        <w:trPr>
          <w:trHeight w:val="339"/>
          <w:jc w:val="center"/>
        </w:trPr>
        <w:tc>
          <w:tcPr>
            <w:tcW w:w="3982" w:type="dxa"/>
            <w:tcBorders>
              <w:top w:val="single" w:sz="4" w:space="0" w:color="000000"/>
              <w:left w:val="single" w:sz="4" w:space="0" w:color="000000"/>
              <w:bottom w:val="single" w:sz="4" w:space="0" w:color="000000"/>
            </w:tcBorders>
            <w:shd w:val="clear" w:color="auto" w:fill="FFFFFF"/>
            <w:vAlign w:val="bottom"/>
          </w:tcPr>
          <w:p w14:paraId="7A7E0291" w14:textId="77777777" w:rsidR="00B92E18" w:rsidRPr="00B92E18" w:rsidRDefault="00B92E18" w:rsidP="00243F14">
            <w:pPr>
              <w:widowControl w:val="0"/>
              <w:spacing w:line="276" w:lineRule="auto"/>
              <w:rPr>
                <w:rFonts w:ascii="Book Antiqua" w:hAnsi="Book Antiqua" w:cs="Arial"/>
                <w:b/>
                <w:bCs/>
                <w:sz w:val="16"/>
                <w:szCs w:val="16"/>
              </w:rPr>
            </w:pPr>
            <w:r w:rsidRPr="00B92E18">
              <w:rPr>
                <w:rFonts w:ascii="Book Antiqua" w:hAnsi="Book Antiqua" w:cs="Arial"/>
                <w:b/>
                <w:bCs/>
                <w:sz w:val="16"/>
                <w:szCs w:val="16"/>
              </w:rPr>
              <w:t>Psicosociales</w:t>
            </w:r>
          </w:p>
        </w:tc>
        <w:tc>
          <w:tcPr>
            <w:tcW w:w="1559" w:type="dxa"/>
            <w:tcBorders>
              <w:top w:val="single" w:sz="4" w:space="0" w:color="000000"/>
              <w:bottom w:val="single" w:sz="4" w:space="0" w:color="000000"/>
              <w:right w:val="single" w:sz="4" w:space="0" w:color="000000"/>
            </w:tcBorders>
            <w:shd w:val="clear" w:color="auto" w:fill="FFFFFF"/>
            <w:vAlign w:val="bottom"/>
          </w:tcPr>
          <w:p w14:paraId="4F35612C" w14:textId="77777777" w:rsidR="00B92E18" w:rsidRPr="00B92E18" w:rsidRDefault="00B92E18" w:rsidP="00243F14">
            <w:pPr>
              <w:widowControl w:val="0"/>
              <w:spacing w:line="276" w:lineRule="auto"/>
              <w:jc w:val="center"/>
              <w:rPr>
                <w:rFonts w:ascii="Book Antiqua" w:hAnsi="Book Antiqua" w:cs="Arial"/>
                <w:sz w:val="16"/>
                <w:szCs w:val="16"/>
              </w:rPr>
            </w:pPr>
            <w:r w:rsidRPr="00B92E18">
              <w:rPr>
                <w:rFonts w:ascii="Book Antiqua" w:hAnsi="Book Antiqua" w:cs="Arial"/>
                <w:sz w:val="16"/>
                <w:szCs w:val="16"/>
                <w:lang w:eastAsia="zh-CN"/>
              </w:rPr>
              <w:t>158</w:t>
            </w:r>
          </w:p>
        </w:tc>
      </w:tr>
      <w:tr w:rsidR="00B92E18" w:rsidRPr="00B92E18" w14:paraId="2261FF58" w14:textId="77777777" w:rsidTr="00B92E18">
        <w:trPr>
          <w:trHeight w:val="339"/>
          <w:jc w:val="center"/>
        </w:trPr>
        <w:tc>
          <w:tcPr>
            <w:tcW w:w="3982" w:type="dxa"/>
            <w:tcBorders>
              <w:top w:val="single" w:sz="4" w:space="0" w:color="000000"/>
              <w:left w:val="single" w:sz="4" w:space="0" w:color="000000"/>
              <w:bottom w:val="single" w:sz="4" w:space="0" w:color="000000"/>
            </w:tcBorders>
            <w:shd w:val="clear" w:color="auto" w:fill="FFFFFF"/>
            <w:vAlign w:val="bottom"/>
          </w:tcPr>
          <w:p w14:paraId="4C9FA54A" w14:textId="77777777" w:rsidR="00B92E18" w:rsidRPr="00B92E18" w:rsidRDefault="00B92E18" w:rsidP="00243F14">
            <w:pPr>
              <w:widowControl w:val="0"/>
              <w:spacing w:line="276" w:lineRule="auto"/>
              <w:rPr>
                <w:rFonts w:ascii="Book Antiqua" w:hAnsi="Book Antiqua" w:cs="Arial"/>
                <w:b/>
                <w:bCs/>
                <w:sz w:val="16"/>
                <w:szCs w:val="16"/>
              </w:rPr>
            </w:pPr>
            <w:r w:rsidRPr="00B92E18">
              <w:rPr>
                <w:rFonts w:ascii="Book Antiqua" w:hAnsi="Book Antiqua" w:cs="Arial"/>
                <w:b/>
                <w:bCs/>
                <w:sz w:val="16"/>
                <w:szCs w:val="16"/>
              </w:rPr>
              <w:t>Seguimiento de medidas alternas</w:t>
            </w:r>
          </w:p>
        </w:tc>
        <w:tc>
          <w:tcPr>
            <w:tcW w:w="1559" w:type="dxa"/>
            <w:tcBorders>
              <w:top w:val="single" w:sz="4" w:space="0" w:color="000000"/>
              <w:bottom w:val="single" w:sz="4" w:space="0" w:color="000000"/>
              <w:right w:val="single" w:sz="4" w:space="0" w:color="000000"/>
            </w:tcBorders>
            <w:shd w:val="clear" w:color="auto" w:fill="FFFFFF"/>
            <w:vAlign w:val="bottom"/>
          </w:tcPr>
          <w:p w14:paraId="2394E6AB" w14:textId="77777777" w:rsidR="00B92E18" w:rsidRPr="00B92E18" w:rsidRDefault="00B92E18" w:rsidP="00243F14">
            <w:pPr>
              <w:widowControl w:val="0"/>
              <w:spacing w:line="276" w:lineRule="auto"/>
              <w:jc w:val="center"/>
              <w:rPr>
                <w:rFonts w:ascii="Book Antiqua" w:hAnsi="Book Antiqua" w:cs="Arial"/>
                <w:sz w:val="16"/>
                <w:szCs w:val="16"/>
              </w:rPr>
            </w:pPr>
            <w:r w:rsidRPr="00B92E18">
              <w:rPr>
                <w:rFonts w:ascii="Book Antiqua" w:hAnsi="Book Antiqua" w:cs="Arial"/>
                <w:sz w:val="16"/>
                <w:szCs w:val="16"/>
                <w:lang w:eastAsia="zh-CN"/>
              </w:rPr>
              <w:t>228</w:t>
            </w:r>
          </w:p>
        </w:tc>
      </w:tr>
    </w:tbl>
    <w:p w14:paraId="2D516E92" w14:textId="77777777" w:rsidR="00F75E3A" w:rsidRPr="004F0E92" w:rsidRDefault="00F75E3A" w:rsidP="00B92E18">
      <w:pPr>
        <w:spacing w:line="276" w:lineRule="auto"/>
        <w:jc w:val="center"/>
        <w:rPr>
          <w:rFonts w:ascii="Book Antiqua" w:hAnsi="Book Antiqua"/>
          <w:b/>
          <w:bCs/>
          <w:color w:val="000000" w:themeColor="text1"/>
          <w:sz w:val="20"/>
          <w:szCs w:val="20"/>
        </w:rPr>
      </w:pPr>
      <w:r w:rsidRPr="004F0E92">
        <w:rPr>
          <w:rFonts w:ascii="Book Antiqua" w:hAnsi="Book Antiqua"/>
          <w:b/>
          <w:bCs/>
          <w:color w:val="000000" w:themeColor="text1"/>
          <w:sz w:val="20"/>
          <w:szCs w:val="20"/>
        </w:rPr>
        <w:t xml:space="preserve">Fuente: </w:t>
      </w:r>
      <w:r w:rsidRPr="004F0E92">
        <w:rPr>
          <w:rFonts w:ascii="Book Antiqua" w:hAnsi="Book Antiqua"/>
          <w:color w:val="000000" w:themeColor="text1"/>
          <w:sz w:val="20"/>
          <w:szCs w:val="20"/>
        </w:rPr>
        <w:t>Elabora</w:t>
      </w:r>
      <w:r>
        <w:rPr>
          <w:rFonts w:ascii="Book Antiqua" w:hAnsi="Book Antiqua"/>
          <w:color w:val="000000" w:themeColor="text1"/>
          <w:sz w:val="20"/>
          <w:szCs w:val="20"/>
        </w:rPr>
        <w:t>do por la Oficina Rectora de Justicia Restaurativa</w:t>
      </w:r>
    </w:p>
    <w:p w14:paraId="280B9335" w14:textId="77777777" w:rsidR="00F75E3A" w:rsidRPr="004F0E92" w:rsidRDefault="00F75E3A" w:rsidP="00F75E3A">
      <w:pPr>
        <w:spacing w:line="276" w:lineRule="auto"/>
        <w:rPr>
          <w:rFonts w:ascii="Book Antiqua" w:hAnsi="Book Antiqua"/>
        </w:rPr>
      </w:pPr>
    </w:p>
    <w:p w14:paraId="5F1B2C9F" w14:textId="77777777" w:rsidR="00F75E3A" w:rsidRPr="004F0E92" w:rsidRDefault="00F75E3A" w:rsidP="00F75E3A">
      <w:pPr>
        <w:spacing w:line="276" w:lineRule="auto"/>
        <w:rPr>
          <w:rFonts w:ascii="Book Antiqua" w:hAnsi="Book Antiqua"/>
        </w:rPr>
      </w:pPr>
    </w:p>
    <w:p w14:paraId="308BBDD5" w14:textId="47D1CF5E" w:rsidR="00F75E3A" w:rsidRPr="004F0E92" w:rsidRDefault="00F75E3A" w:rsidP="00F75E3A">
      <w:pPr>
        <w:spacing w:line="276" w:lineRule="auto"/>
        <w:jc w:val="both"/>
        <w:rPr>
          <w:rFonts w:ascii="Book Antiqua" w:hAnsi="Book Antiqua"/>
        </w:rPr>
      </w:pPr>
      <w:r w:rsidRPr="004F0E92">
        <w:rPr>
          <w:rFonts w:ascii="Book Antiqua" w:hAnsi="Book Antiqua"/>
        </w:rPr>
        <w:t xml:space="preserve">A continuación, los datos más relevantes del mes de </w:t>
      </w:r>
      <w:r w:rsidR="00C31401">
        <w:rPr>
          <w:rFonts w:ascii="Book Antiqua" w:hAnsi="Book Antiqua"/>
        </w:rPr>
        <w:t>setiembre</w:t>
      </w:r>
      <w:r w:rsidRPr="004F0E92">
        <w:rPr>
          <w:rFonts w:ascii="Book Antiqua" w:hAnsi="Book Antiqua"/>
        </w:rPr>
        <w:t xml:space="preserve"> del 202</w:t>
      </w:r>
      <w:r>
        <w:rPr>
          <w:rFonts w:ascii="Book Antiqua" w:hAnsi="Book Antiqua"/>
        </w:rPr>
        <w:t>1</w:t>
      </w:r>
      <w:r w:rsidRPr="004F0E92">
        <w:rPr>
          <w:rFonts w:ascii="Book Antiqua" w:hAnsi="Book Antiqua"/>
        </w:rPr>
        <w:t xml:space="preserve"> de Justicia Juvenil Restaurativa: </w:t>
      </w:r>
    </w:p>
    <w:p w14:paraId="7BFE67B2" w14:textId="77777777" w:rsidR="00F75E3A" w:rsidRDefault="00F75E3A" w:rsidP="00F75E3A">
      <w:pPr>
        <w:spacing w:line="276" w:lineRule="auto"/>
        <w:jc w:val="center"/>
        <w:rPr>
          <w:rFonts w:ascii="Book Antiqua" w:hAnsi="Book Antiqua"/>
          <w:lang w:eastAsia="en-US"/>
        </w:rPr>
      </w:pPr>
    </w:p>
    <w:p w14:paraId="69DD1744" w14:textId="573EB656" w:rsidR="00F75E3A" w:rsidRPr="00BF2ABA" w:rsidRDefault="00F75E3A" w:rsidP="00F75E3A">
      <w:pPr>
        <w:spacing w:line="276" w:lineRule="auto"/>
        <w:jc w:val="both"/>
        <w:rPr>
          <w:rFonts w:ascii="Book Antiqua" w:hAnsi="Book Antiqua"/>
        </w:rPr>
      </w:pPr>
      <w:r>
        <w:rPr>
          <w:rFonts w:ascii="Book Antiqua" w:hAnsi="Book Antiqua"/>
        </w:rPr>
        <w:t>Se identifica que, del</w:t>
      </w:r>
      <w:r w:rsidRPr="00BF2ABA">
        <w:rPr>
          <w:rFonts w:ascii="Book Antiqua" w:hAnsi="Book Antiqua"/>
        </w:rPr>
        <w:t xml:space="preserve"> total de reuniones restaurativas (</w:t>
      </w:r>
      <w:r w:rsidR="000E011B">
        <w:rPr>
          <w:rFonts w:ascii="Book Antiqua" w:hAnsi="Book Antiqua"/>
        </w:rPr>
        <w:t>35</w:t>
      </w:r>
      <w:r w:rsidRPr="00BF2ABA">
        <w:rPr>
          <w:rFonts w:ascii="Book Antiqua" w:hAnsi="Book Antiqua"/>
        </w:rPr>
        <w:t xml:space="preserve">), el </w:t>
      </w:r>
      <w:r w:rsidR="000E011B">
        <w:rPr>
          <w:rFonts w:ascii="Book Antiqua" w:hAnsi="Book Antiqua"/>
        </w:rPr>
        <w:t>77</w:t>
      </w:r>
      <w:r>
        <w:rPr>
          <w:rFonts w:ascii="Book Antiqua" w:hAnsi="Book Antiqua"/>
        </w:rPr>
        <w:t>.</w:t>
      </w:r>
      <w:r w:rsidR="000E011B">
        <w:rPr>
          <w:rFonts w:ascii="Book Antiqua" w:hAnsi="Book Antiqua"/>
        </w:rPr>
        <w:t>14</w:t>
      </w:r>
      <w:r w:rsidRPr="00BF2ABA">
        <w:rPr>
          <w:rFonts w:ascii="Book Antiqua" w:hAnsi="Book Antiqua"/>
        </w:rPr>
        <w:t xml:space="preserve">% de estas se realizaron, además, de ese porcentaje el </w:t>
      </w:r>
      <w:r w:rsidR="000E011B">
        <w:rPr>
          <w:rFonts w:ascii="Book Antiqua" w:hAnsi="Book Antiqua"/>
        </w:rPr>
        <w:t>96.30</w:t>
      </w:r>
      <w:r w:rsidRPr="00BF2ABA">
        <w:rPr>
          <w:rFonts w:ascii="Book Antiqua" w:hAnsi="Book Antiqua"/>
        </w:rPr>
        <w:t xml:space="preserve">% tuvieron acuerdos, el porcentaje de las no realizadas fue de un </w:t>
      </w:r>
      <w:r w:rsidR="000E011B">
        <w:rPr>
          <w:rFonts w:ascii="Book Antiqua" w:hAnsi="Book Antiqua"/>
        </w:rPr>
        <w:t>22</w:t>
      </w:r>
      <w:r>
        <w:rPr>
          <w:rFonts w:ascii="Book Antiqua" w:hAnsi="Book Antiqua"/>
        </w:rPr>
        <w:t>.</w:t>
      </w:r>
      <w:r w:rsidR="000E011B">
        <w:rPr>
          <w:rFonts w:ascii="Book Antiqua" w:hAnsi="Book Antiqua"/>
        </w:rPr>
        <w:t>86</w:t>
      </w:r>
      <w:r w:rsidRPr="00BF2ABA">
        <w:rPr>
          <w:rFonts w:ascii="Book Antiqua" w:hAnsi="Book Antiqua"/>
        </w:rPr>
        <w:t xml:space="preserve">%. En relación con las audiencias de verificación señaladas (en total </w:t>
      </w:r>
      <w:r w:rsidR="000E011B">
        <w:rPr>
          <w:rFonts w:ascii="Book Antiqua" w:hAnsi="Book Antiqua"/>
        </w:rPr>
        <w:t>7</w:t>
      </w:r>
      <w:r w:rsidRPr="00BF2ABA">
        <w:rPr>
          <w:rFonts w:ascii="Book Antiqua" w:hAnsi="Book Antiqua"/>
        </w:rPr>
        <w:t>), las realizadas fueron de</w:t>
      </w:r>
      <w:r>
        <w:rPr>
          <w:rFonts w:ascii="Book Antiqua" w:hAnsi="Book Antiqua"/>
        </w:rPr>
        <w:t xml:space="preserve"> </w:t>
      </w:r>
      <w:r w:rsidR="000E011B">
        <w:rPr>
          <w:rFonts w:ascii="Book Antiqua" w:hAnsi="Book Antiqua"/>
        </w:rPr>
        <w:t>71.43</w:t>
      </w:r>
      <w:r>
        <w:rPr>
          <w:rFonts w:ascii="Book Antiqua" w:hAnsi="Book Antiqua"/>
        </w:rPr>
        <w:t>% y las no realizada</w:t>
      </w:r>
      <w:r w:rsidR="000E011B">
        <w:rPr>
          <w:rFonts w:ascii="Book Antiqua" w:hAnsi="Book Antiqua"/>
        </w:rPr>
        <w:t>s</w:t>
      </w:r>
      <w:r>
        <w:rPr>
          <w:rFonts w:ascii="Book Antiqua" w:hAnsi="Book Antiqua"/>
        </w:rPr>
        <w:t xml:space="preserve"> y</w:t>
      </w:r>
      <w:r w:rsidRPr="00BF2ABA">
        <w:rPr>
          <w:rFonts w:ascii="Book Antiqua" w:hAnsi="Book Antiqua"/>
        </w:rPr>
        <w:t xml:space="preserve"> revocadas </w:t>
      </w:r>
      <w:r w:rsidR="000E011B">
        <w:rPr>
          <w:rFonts w:ascii="Book Antiqua" w:hAnsi="Book Antiqua"/>
        </w:rPr>
        <w:t>de un 28.57%</w:t>
      </w:r>
    </w:p>
    <w:p w14:paraId="61D2726E" w14:textId="77777777" w:rsidR="00F75E3A" w:rsidRPr="00BF2ABA" w:rsidRDefault="00F75E3A" w:rsidP="00F75E3A">
      <w:pPr>
        <w:spacing w:line="276" w:lineRule="auto"/>
        <w:jc w:val="both"/>
        <w:rPr>
          <w:rFonts w:ascii="Book Antiqua" w:hAnsi="Book Antiqua"/>
        </w:rPr>
      </w:pPr>
    </w:p>
    <w:p w14:paraId="617CC0EC" w14:textId="77777777" w:rsidR="00F75E3A" w:rsidRPr="004F0E92" w:rsidRDefault="00F75E3A" w:rsidP="00F75E3A">
      <w:pPr>
        <w:spacing w:line="276" w:lineRule="auto"/>
        <w:jc w:val="both"/>
        <w:rPr>
          <w:rFonts w:ascii="Book Antiqua" w:hAnsi="Book Antiqua"/>
        </w:rPr>
      </w:pPr>
      <w:r w:rsidRPr="00BF2ABA">
        <w:rPr>
          <w:rFonts w:ascii="Book Antiqua" w:hAnsi="Book Antiqua"/>
        </w:rPr>
        <w:t>Las demás actividades relacionadas con red de apoyo y entrevistas se visualizan en el siguiente cuadro:</w:t>
      </w:r>
    </w:p>
    <w:p w14:paraId="0A020B35" w14:textId="77777777" w:rsidR="00F75E3A" w:rsidRPr="0044292F" w:rsidRDefault="00F75E3A" w:rsidP="00F75E3A">
      <w:pPr>
        <w:spacing w:line="276" w:lineRule="auto"/>
        <w:jc w:val="both"/>
        <w:rPr>
          <w:rFonts w:ascii="Book Antiqua" w:hAnsi="Book Antiqua"/>
        </w:rPr>
      </w:pPr>
    </w:p>
    <w:p w14:paraId="0B74B232" w14:textId="1A2C67B8" w:rsidR="00F75E3A" w:rsidRPr="0044292F" w:rsidRDefault="00F75E3A" w:rsidP="00F75E3A">
      <w:pPr>
        <w:spacing w:line="276" w:lineRule="auto"/>
        <w:jc w:val="center"/>
        <w:rPr>
          <w:rFonts w:ascii="Book Antiqua" w:hAnsi="Book Antiqua" w:cs="Arial"/>
          <w:b/>
          <w:bCs/>
        </w:rPr>
      </w:pPr>
      <w:r w:rsidRPr="0044292F">
        <w:rPr>
          <w:rFonts w:ascii="Book Antiqua" w:hAnsi="Book Antiqua"/>
          <w:b/>
          <w:bCs/>
          <w:lang w:eastAsia="en-US"/>
        </w:rPr>
        <w:t xml:space="preserve">Cuadro </w:t>
      </w:r>
      <w:r w:rsidR="009179C3">
        <w:rPr>
          <w:rFonts w:ascii="Book Antiqua" w:hAnsi="Book Antiqua"/>
          <w:b/>
          <w:bCs/>
          <w:lang w:eastAsia="en-US"/>
        </w:rPr>
        <w:t>90</w:t>
      </w:r>
    </w:p>
    <w:p w14:paraId="16E4D5A6" w14:textId="77777777" w:rsidR="00F75E3A" w:rsidRPr="0044292F" w:rsidRDefault="00F75E3A" w:rsidP="00F75E3A">
      <w:pPr>
        <w:spacing w:line="276" w:lineRule="auto"/>
        <w:jc w:val="center"/>
        <w:rPr>
          <w:rFonts w:ascii="Book Antiqua" w:hAnsi="Book Antiqua" w:cs="Arial"/>
        </w:rPr>
      </w:pPr>
      <w:r w:rsidRPr="0044292F">
        <w:rPr>
          <w:rFonts w:ascii="Book Antiqua" w:hAnsi="Book Antiqua" w:cs="Arial"/>
        </w:rPr>
        <w:t xml:space="preserve">Estadísticas Justicia Juvenil Restaurativa </w:t>
      </w:r>
    </w:p>
    <w:p w14:paraId="63E4FE98" w14:textId="5DD469DD" w:rsidR="00F75E3A" w:rsidRDefault="00B92E18" w:rsidP="00F75E3A">
      <w:pPr>
        <w:spacing w:line="276" w:lineRule="auto"/>
        <w:jc w:val="center"/>
        <w:rPr>
          <w:rFonts w:ascii="Book Antiqua" w:hAnsi="Book Antiqua" w:cs="Arial"/>
        </w:rPr>
      </w:pPr>
      <w:r>
        <w:rPr>
          <w:rFonts w:ascii="Book Antiqua" w:hAnsi="Book Antiqua" w:cs="Arial"/>
        </w:rPr>
        <w:t>setiembre</w:t>
      </w:r>
      <w:r w:rsidR="00F75E3A" w:rsidRPr="0044292F">
        <w:rPr>
          <w:rFonts w:ascii="Book Antiqua" w:hAnsi="Book Antiqua" w:cs="Arial"/>
        </w:rPr>
        <w:t xml:space="preserve"> 2021</w:t>
      </w:r>
    </w:p>
    <w:tbl>
      <w:tblPr>
        <w:tblW w:w="5115" w:type="dxa"/>
        <w:jc w:val="center"/>
        <w:tblLayout w:type="fixed"/>
        <w:tblCellMar>
          <w:left w:w="70" w:type="dxa"/>
          <w:right w:w="70" w:type="dxa"/>
        </w:tblCellMar>
        <w:tblLook w:val="04A0" w:firstRow="1" w:lastRow="0" w:firstColumn="1" w:lastColumn="0" w:noHBand="0" w:noVBand="1"/>
      </w:tblPr>
      <w:tblGrid>
        <w:gridCol w:w="3556"/>
        <w:gridCol w:w="1559"/>
      </w:tblGrid>
      <w:tr w:rsidR="00B92E18" w:rsidRPr="00B92E18" w14:paraId="590301F6" w14:textId="77777777" w:rsidTr="00B92E18">
        <w:trPr>
          <w:trHeight w:val="708"/>
          <w:tblHeader/>
          <w:jc w:val="center"/>
        </w:trPr>
        <w:tc>
          <w:tcPr>
            <w:tcW w:w="5115" w:type="dxa"/>
            <w:gridSpan w:val="2"/>
            <w:tcBorders>
              <w:top w:val="single" w:sz="4" w:space="0" w:color="000000"/>
              <w:left w:val="single" w:sz="4" w:space="0" w:color="000000"/>
              <w:bottom w:val="single" w:sz="4" w:space="0" w:color="000000"/>
              <w:right w:val="single" w:sz="4" w:space="0" w:color="000000"/>
            </w:tcBorders>
            <w:shd w:val="clear" w:color="auto" w:fill="2F5496" w:themeFill="accent1" w:themeFillShade="BF"/>
            <w:vAlign w:val="bottom"/>
          </w:tcPr>
          <w:p w14:paraId="25AE9A75" w14:textId="77777777" w:rsidR="00B92E18" w:rsidRPr="00B92E18" w:rsidRDefault="00B92E18" w:rsidP="00243F14">
            <w:pPr>
              <w:widowControl w:val="0"/>
              <w:spacing w:line="276" w:lineRule="auto"/>
              <w:jc w:val="center"/>
              <w:rPr>
                <w:rFonts w:ascii="Book Antiqua" w:hAnsi="Book Antiqua" w:cs="Arial"/>
                <w:b/>
                <w:bCs/>
                <w:color w:val="FFFFFF"/>
                <w:sz w:val="16"/>
                <w:szCs w:val="16"/>
              </w:rPr>
            </w:pPr>
            <w:r w:rsidRPr="00B92E18">
              <w:rPr>
                <w:rFonts w:ascii="Book Antiqua" w:hAnsi="Book Antiqua" w:cs="Arial"/>
                <w:b/>
                <w:bCs/>
                <w:color w:val="FFFFFF"/>
                <w:sz w:val="16"/>
                <w:szCs w:val="16"/>
              </w:rPr>
              <w:t>Estadísticas Justicia Juvenil Restaurativa</w:t>
            </w:r>
          </w:p>
          <w:p w14:paraId="366843EF" w14:textId="77777777" w:rsidR="00B92E18" w:rsidRPr="00B92E18" w:rsidRDefault="00B92E18" w:rsidP="00243F14">
            <w:pPr>
              <w:widowControl w:val="0"/>
              <w:spacing w:line="276" w:lineRule="auto"/>
              <w:jc w:val="center"/>
              <w:rPr>
                <w:rFonts w:ascii="Book Antiqua" w:hAnsi="Book Antiqua" w:cs="Arial"/>
                <w:b/>
                <w:bCs/>
                <w:color w:val="FF0000"/>
                <w:sz w:val="16"/>
                <w:szCs w:val="16"/>
              </w:rPr>
            </w:pPr>
            <w:r w:rsidRPr="00B92E18">
              <w:rPr>
                <w:rFonts w:ascii="Book Antiqua" w:hAnsi="Book Antiqua" w:cs="Arial"/>
                <w:b/>
                <w:bCs/>
                <w:color w:val="FFFFFF"/>
                <w:sz w:val="16"/>
                <w:szCs w:val="16"/>
                <w:lang w:eastAsia="zh-CN"/>
              </w:rPr>
              <w:t>setiembre 2021</w:t>
            </w:r>
          </w:p>
        </w:tc>
      </w:tr>
      <w:tr w:rsidR="00B92E18" w:rsidRPr="00B92E18" w14:paraId="50D854BB" w14:textId="77777777" w:rsidTr="00B92E18">
        <w:trPr>
          <w:trHeight w:val="363"/>
          <w:jc w:val="center"/>
        </w:trPr>
        <w:tc>
          <w:tcPr>
            <w:tcW w:w="3556" w:type="dxa"/>
            <w:tcBorders>
              <w:top w:val="single" w:sz="4" w:space="0" w:color="000000"/>
              <w:left w:val="single" w:sz="4" w:space="0" w:color="000000"/>
              <w:bottom w:val="single" w:sz="4" w:space="0" w:color="000000"/>
            </w:tcBorders>
            <w:shd w:val="clear" w:color="auto" w:fill="DEEAF6" w:themeFill="accent5" w:themeFillTint="33"/>
            <w:vAlign w:val="bottom"/>
          </w:tcPr>
          <w:p w14:paraId="636F27E9" w14:textId="77777777" w:rsidR="00B92E18" w:rsidRPr="00B92E18" w:rsidRDefault="00B92E18" w:rsidP="00243F14">
            <w:pPr>
              <w:widowControl w:val="0"/>
              <w:spacing w:line="276" w:lineRule="auto"/>
              <w:rPr>
                <w:rFonts w:ascii="Book Antiqua" w:hAnsi="Book Antiqua" w:cs="Arial"/>
                <w:b/>
                <w:bCs/>
                <w:color w:val="000000"/>
                <w:sz w:val="16"/>
                <w:szCs w:val="16"/>
              </w:rPr>
            </w:pPr>
            <w:r w:rsidRPr="00B92E18">
              <w:rPr>
                <w:rFonts w:ascii="Book Antiqua" w:hAnsi="Book Antiqua" w:cs="Arial"/>
                <w:b/>
                <w:bCs/>
                <w:color w:val="000000"/>
                <w:sz w:val="16"/>
                <w:szCs w:val="16"/>
              </w:rPr>
              <w:t>Reuniones Restaurativas señaladas</w:t>
            </w:r>
          </w:p>
        </w:tc>
        <w:tc>
          <w:tcPr>
            <w:tcW w:w="1559" w:type="dxa"/>
            <w:tcBorders>
              <w:top w:val="single" w:sz="4" w:space="0" w:color="000000"/>
              <w:bottom w:val="single" w:sz="4" w:space="0" w:color="000000"/>
              <w:right w:val="single" w:sz="4" w:space="0" w:color="000000"/>
            </w:tcBorders>
            <w:shd w:val="clear" w:color="auto" w:fill="DEEAF6" w:themeFill="accent5" w:themeFillTint="33"/>
            <w:vAlign w:val="bottom"/>
          </w:tcPr>
          <w:p w14:paraId="3A5B04EA" w14:textId="77777777" w:rsidR="00B92E18" w:rsidRPr="00B92E18" w:rsidRDefault="00B92E18" w:rsidP="00243F14">
            <w:pPr>
              <w:widowControl w:val="0"/>
              <w:spacing w:line="276" w:lineRule="auto"/>
              <w:jc w:val="center"/>
              <w:rPr>
                <w:rFonts w:ascii="Book Antiqua" w:hAnsi="Book Antiqua" w:cs="Arial"/>
                <w:b/>
                <w:bCs/>
                <w:color w:val="000000"/>
                <w:sz w:val="16"/>
                <w:szCs w:val="16"/>
              </w:rPr>
            </w:pPr>
            <w:r w:rsidRPr="00B92E18">
              <w:rPr>
                <w:rFonts w:ascii="Book Antiqua" w:hAnsi="Book Antiqua" w:cs="Arial"/>
                <w:b/>
                <w:bCs/>
                <w:color w:val="000000"/>
                <w:sz w:val="16"/>
                <w:szCs w:val="16"/>
                <w:lang w:eastAsia="zh-CN"/>
              </w:rPr>
              <w:t>35</w:t>
            </w:r>
          </w:p>
        </w:tc>
      </w:tr>
      <w:tr w:rsidR="00B92E18" w:rsidRPr="00B92E18" w14:paraId="101D5278" w14:textId="77777777" w:rsidTr="00B92E18">
        <w:trPr>
          <w:trHeight w:val="363"/>
          <w:jc w:val="center"/>
        </w:trPr>
        <w:tc>
          <w:tcPr>
            <w:tcW w:w="3556" w:type="dxa"/>
            <w:tcBorders>
              <w:top w:val="single" w:sz="4" w:space="0" w:color="000000"/>
              <w:left w:val="single" w:sz="4" w:space="0" w:color="000000"/>
              <w:bottom w:val="single" w:sz="4" w:space="0" w:color="000000"/>
            </w:tcBorders>
            <w:shd w:val="clear" w:color="auto" w:fill="FFFFFF"/>
            <w:vAlign w:val="bottom"/>
          </w:tcPr>
          <w:p w14:paraId="16376DF7" w14:textId="77777777" w:rsidR="00B92E18" w:rsidRPr="00B92E18" w:rsidRDefault="00B92E18" w:rsidP="00243F14">
            <w:pPr>
              <w:widowControl w:val="0"/>
              <w:spacing w:line="276" w:lineRule="auto"/>
              <w:ind w:firstLine="221"/>
              <w:rPr>
                <w:rFonts w:ascii="Book Antiqua" w:hAnsi="Book Antiqua" w:cs="Arial"/>
                <w:b/>
                <w:bCs/>
                <w:color w:val="000000"/>
                <w:sz w:val="16"/>
                <w:szCs w:val="16"/>
              </w:rPr>
            </w:pPr>
            <w:r w:rsidRPr="00B92E18">
              <w:rPr>
                <w:rFonts w:ascii="Book Antiqua" w:hAnsi="Book Antiqua" w:cs="Arial"/>
                <w:b/>
                <w:bCs/>
                <w:color w:val="000000"/>
                <w:sz w:val="16"/>
                <w:szCs w:val="16"/>
              </w:rPr>
              <w:t>Realizadas</w:t>
            </w:r>
          </w:p>
        </w:tc>
        <w:tc>
          <w:tcPr>
            <w:tcW w:w="1559" w:type="dxa"/>
            <w:tcBorders>
              <w:top w:val="single" w:sz="4" w:space="0" w:color="000000"/>
              <w:bottom w:val="single" w:sz="4" w:space="0" w:color="000000"/>
              <w:right w:val="single" w:sz="4" w:space="0" w:color="000000"/>
            </w:tcBorders>
            <w:shd w:val="clear" w:color="auto" w:fill="FFFFFF"/>
            <w:vAlign w:val="bottom"/>
          </w:tcPr>
          <w:p w14:paraId="67826303" w14:textId="77777777" w:rsidR="00B92E18" w:rsidRPr="00B92E18" w:rsidRDefault="00B92E18" w:rsidP="00243F14">
            <w:pPr>
              <w:widowControl w:val="0"/>
              <w:spacing w:line="276" w:lineRule="auto"/>
              <w:jc w:val="center"/>
              <w:rPr>
                <w:rFonts w:ascii="Book Antiqua" w:hAnsi="Book Antiqua" w:cs="Arial"/>
                <w:color w:val="000000"/>
                <w:sz w:val="16"/>
                <w:szCs w:val="16"/>
              </w:rPr>
            </w:pPr>
            <w:r w:rsidRPr="00B92E18">
              <w:rPr>
                <w:rFonts w:ascii="Book Antiqua" w:hAnsi="Book Antiqua" w:cs="Arial"/>
                <w:color w:val="000000"/>
                <w:sz w:val="16"/>
                <w:szCs w:val="16"/>
                <w:lang w:eastAsia="zh-CN"/>
              </w:rPr>
              <w:t>27</w:t>
            </w:r>
          </w:p>
        </w:tc>
      </w:tr>
      <w:tr w:rsidR="00B92E18" w:rsidRPr="00B92E18" w14:paraId="28D04696" w14:textId="77777777" w:rsidTr="00B92E18">
        <w:trPr>
          <w:trHeight w:val="363"/>
          <w:jc w:val="center"/>
        </w:trPr>
        <w:tc>
          <w:tcPr>
            <w:tcW w:w="3556" w:type="dxa"/>
            <w:tcBorders>
              <w:top w:val="single" w:sz="4" w:space="0" w:color="000000"/>
              <w:left w:val="single" w:sz="4" w:space="0" w:color="000000"/>
              <w:bottom w:val="single" w:sz="4" w:space="0" w:color="000000"/>
            </w:tcBorders>
            <w:shd w:val="clear" w:color="auto" w:fill="FFFFFF"/>
            <w:vAlign w:val="bottom"/>
          </w:tcPr>
          <w:p w14:paraId="4FF17A0B" w14:textId="77777777" w:rsidR="00B92E18" w:rsidRPr="00B92E18" w:rsidRDefault="00B92E18" w:rsidP="00243F14">
            <w:pPr>
              <w:widowControl w:val="0"/>
              <w:spacing w:line="276" w:lineRule="auto"/>
              <w:ind w:firstLine="220"/>
              <w:rPr>
                <w:rFonts w:ascii="Book Antiqua" w:hAnsi="Book Antiqua" w:cs="Arial"/>
                <w:color w:val="000000"/>
                <w:sz w:val="16"/>
                <w:szCs w:val="16"/>
              </w:rPr>
            </w:pPr>
            <w:r w:rsidRPr="00B92E18">
              <w:rPr>
                <w:rFonts w:ascii="Book Antiqua" w:hAnsi="Book Antiqua" w:cs="Arial"/>
                <w:color w:val="000000"/>
                <w:sz w:val="16"/>
                <w:szCs w:val="16"/>
              </w:rPr>
              <w:t>Con acuerdo</w:t>
            </w:r>
          </w:p>
        </w:tc>
        <w:tc>
          <w:tcPr>
            <w:tcW w:w="1559" w:type="dxa"/>
            <w:tcBorders>
              <w:top w:val="single" w:sz="4" w:space="0" w:color="000000"/>
              <w:bottom w:val="single" w:sz="4" w:space="0" w:color="000000"/>
              <w:right w:val="single" w:sz="4" w:space="0" w:color="000000"/>
            </w:tcBorders>
            <w:shd w:val="clear" w:color="auto" w:fill="FFFFFF"/>
            <w:vAlign w:val="bottom"/>
          </w:tcPr>
          <w:p w14:paraId="7DE3D787" w14:textId="77777777" w:rsidR="00B92E18" w:rsidRPr="00B92E18" w:rsidRDefault="00B92E18" w:rsidP="00243F14">
            <w:pPr>
              <w:widowControl w:val="0"/>
              <w:spacing w:line="276" w:lineRule="auto"/>
              <w:jc w:val="center"/>
              <w:rPr>
                <w:rFonts w:ascii="Book Antiqua" w:hAnsi="Book Antiqua"/>
                <w:sz w:val="16"/>
                <w:szCs w:val="16"/>
              </w:rPr>
            </w:pPr>
            <w:r w:rsidRPr="00B92E18">
              <w:rPr>
                <w:rFonts w:ascii="Book Antiqua" w:eastAsia="Segoe UI" w:hAnsi="Book Antiqua" w:cs="Tahoma"/>
                <w:sz w:val="16"/>
                <w:szCs w:val="16"/>
                <w:lang w:val="es-ES_tradnl" w:eastAsia="zh-CN"/>
              </w:rPr>
              <w:t>26</w:t>
            </w:r>
          </w:p>
        </w:tc>
      </w:tr>
      <w:tr w:rsidR="00B92E18" w:rsidRPr="00B92E18" w14:paraId="1ACC7C3D" w14:textId="77777777" w:rsidTr="00B92E18">
        <w:trPr>
          <w:trHeight w:val="363"/>
          <w:jc w:val="center"/>
        </w:trPr>
        <w:tc>
          <w:tcPr>
            <w:tcW w:w="3556" w:type="dxa"/>
            <w:tcBorders>
              <w:top w:val="single" w:sz="4" w:space="0" w:color="000000"/>
              <w:left w:val="single" w:sz="4" w:space="0" w:color="000000"/>
              <w:bottom w:val="single" w:sz="4" w:space="0" w:color="000000"/>
            </w:tcBorders>
            <w:shd w:val="clear" w:color="auto" w:fill="FFFFFF"/>
            <w:vAlign w:val="bottom"/>
          </w:tcPr>
          <w:p w14:paraId="5930BBBC" w14:textId="77777777" w:rsidR="00B92E18" w:rsidRPr="00B92E18" w:rsidRDefault="00B92E18" w:rsidP="00243F14">
            <w:pPr>
              <w:widowControl w:val="0"/>
              <w:spacing w:line="276" w:lineRule="auto"/>
              <w:ind w:firstLine="220"/>
              <w:rPr>
                <w:rFonts w:ascii="Book Antiqua" w:hAnsi="Book Antiqua" w:cs="Arial"/>
                <w:color w:val="000000"/>
                <w:sz w:val="16"/>
                <w:szCs w:val="16"/>
              </w:rPr>
            </w:pPr>
            <w:r w:rsidRPr="00B92E18">
              <w:rPr>
                <w:rFonts w:ascii="Book Antiqua" w:hAnsi="Book Antiqua" w:cs="Arial"/>
                <w:color w:val="000000"/>
                <w:sz w:val="16"/>
                <w:szCs w:val="16"/>
              </w:rPr>
              <w:t>No hubo acuerdo</w:t>
            </w:r>
          </w:p>
        </w:tc>
        <w:tc>
          <w:tcPr>
            <w:tcW w:w="1559" w:type="dxa"/>
            <w:tcBorders>
              <w:top w:val="single" w:sz="4" w:space="0" w:color="000000"/>
              <w:bottom w:val="single" w:sz="4" w:space="0" w:color="000000"/>
              <w:right w:val="single" w:sz="4" w:space="0" w:color="000000"/>
            </w:tcBorders>
            <w:shd w:val="clear" w:color="auto" w:fill="FFFFFF"/>
            <w:vAlign w:val="bottom"/>
          </w:tcPr>
          <w:p w14:paraId="3D9F13EF" w14:textId="77777777" w:rsidR="00B92E18" w:rsidRPr="00B92E18" w:rsidRDefault="00B92E18" w:rsidP="00243F14">
            <w:pPr>
              <w:widowControl w:val="0"/>
              <w:spacing w:line="276" w:lineRule="auto"/>
              <w:jc w:val="center"/>
              <w:rPr>
                <w:rFonts w:ascii="Book Antiqua" w:hAnsi="Book Antiqua"/>
                <w:sz w:val="16"/>
                <w:szCs w:val="16"/>
              </w:rPr>
            </w:pPr>
            <w:r w:rsidRPr="00B92E18">
              <w:rPr>
                <w:rFonts w:ascii="Book Antiqua" w:hAnsi="Book Antiqua"/>
                <w:sz w:val="16"/>
                <w:szCs w:val="16"/>
                <w:lang w:val="es-ES_tradnl" w:eastAsia="zh-CN"/>
              </w:rPr>
              <w:t>1</w:t>
            </w:r>
          </w:p>
        </w:tc>
      </w:tr>
      <w:tr w:rsidR="00B92E18" w:rsidRPr="00B92E18" w14:paraId="05D549EF" w14:textId="77777777" w:rsidTr="00B92E18">
        <w:trPr>
          <w:trHeight w:val="363"/>
          <w:jc w:val="center"/>
        </w:trPr>
        <w:tc>
          <w:tcPr>
            <w:tcW w:w="3556" w:type="dxa"/>
            <w:tcBorders>
              <w:top w:val="single" w:sz="4" w:space="0" w:color="000000"/>
              <w:left w:val="single" w:sz="4" w:space="0" w:color="000000"/>
              <w:bottom w:val="single" w:sz="4" w:space="0" w:color="000000"/>
            </w:tcBorders>
            <w:shd w:val="clear" w:color="auto" w:fill="FFFFFF"/>
            <w:vAlign w:val="bottom"/>
          </w:tcPr>
          <w:p w14:paraId="31C6DD6B" w14:textId="77777777" w:rsidR="00B92E18" w:rsidRPr="00B92E18" w:rsidRDefault="00B92E18" w:rsidP="00243F14">
            <w:pPr>
              <w:widowControl w:val="0"/>
              <w:spacing w:line="276" w:lineRule="auto"/>
              <w:ind w:firstLine="221"/>
              <w:rPr>
                <w:rFonts w:ascii="Book Antiqua" w:hAnsi="Book Antiqua" w:cs="Arial"/>
                <w:b/>
                <w:bCs/>
                <w:color w:val="000000"/>
                <w:sz w:val="16"/>
                <w:szCs w:val="16"/>
              </w:rPr>
            </w:pPr>
            <w:r w:rsidRPr="00B92E18">
              <w:rPr>
                <w:rFonts w:ascii="Book Antiqua" w:hAnsi="Book Antiqua" w:cs="Arial"/>
                <w:b/>
                <w:bCs/>
                <w:color w:val="000000"/>
                <w:sz w:val="16"/>
                <w:szCs w:val="16"/>
              </w:rPr>
              <w:t>No realizadas</w:t>
            </w:r>
          </w:p>
        </w:tc>
        <w:tc>
          <w:tcPr>
            <w:tcW w:w="1559" w:type="dxa"/>
            <w:tcBorders>
              <w:top w:val="single" w:sz="4" w:space="0" w:color="000000"/>
              <w:bottom w:val="single" w:sz="4" w:space="0" w:color="000000"/>
              <w:right w:val="single" w:sz="4" w:space="0" w:color="000000"/>
            </w:tcBorders>
            <w:shd w:val="clear" w:color="auto" w:fill="FFFFFF"/>
            <w:vAlign w:val="bottom"/>
          </w:tcPr>
          <w:p w14:paraId="3529209F" w14:textId="77777777" w:rsidR="00B92E18" w:rsidRPr="00B92E18" w:rsidRDefault="00B92E18" w:rsidP="00243F14">
            <w:pPr>
              <w:widowControl w:val="0"/>
              <w:spacing w:line="276" w:lineRule="auto"/>
              <w:jc w:val="center"/>
              <w:rPr>
                <w:rFonts w:ascii="Book Antiqua" w:hAnsi="Book Antiqua" w:cs="Arial"/>
                <w:color w:val="000000"/>
                <w:sz w:val="16"/>
                <w:szCs w:val="16"/>
              </w:rPr>
            </w:pPr>
            <w:r w:rsidRPr="00B92E18">
              <w:rPr>
                <w:rFonts w:ascii="Book Antiqua" w:hAnsi="Book Antiqua" w:cs="Arial"/>
                <w:color w:val="000000"/>
                <w:sz w:val="16"/>
                <w:szCs w:val="16"/>
                <w:lang w:eastAsia="zh-CN"/>
              </w:rPr>
              <w:t>8</w:t>
            </w:r>
          </w:p>
        </w:tc>
      </w:tr>
      <w:tr w:rsidR="00B92E18" w:rsidRPr="00B92E18" w14:paraId="244AB5AD" w14:textId="77777777" w:rsidTr="00B92E18">
        <w:trPr>
          <w:trHeight w:val="420"/>
          <w:jc w:val="center"/>
        </w:trPr>
        <w:tc>
          <w:tcPr>
            <w:tcW w:w="3556" w:type="dxa"/>
            <w:tcBorders>
              <w:top w:val="single" w:sz="4" w:space="0" w:color="000000"/>
              <w:left w:val="single" w:sz="4" w:space="0" w:color="000000"/>
              <w:bottom w:val="single" w:sz="4" w:space="0" w:color="000000"/>
            </w:tcBorders>
            <w:shd w:val="clear" w:color="auto" w:fill="DEEAF6" w:themeFill="accent5" w:themeFillTint="33"/>
            <w:vAlign w:val="bottom"/>
          </w:tcPr>
          <w:p w14:paraId="628204F4" w14:textId="46238566" w:rsidR="00B92E18" w:rsidRPr="00B92E18" w:rsidRDefault="00B92E18" w:rsidP="00243F14">
            <w:pPr>
              <w:widowControl w:val="0"/>
              <w:spacing w:line="276" w:lineRule="auto"/>
              <w:ind w:firstLine="221"/>
              <w:rPr>
                <w:rFonts w:ascii="Book Antiqua" w:hAnsi="Book Antiqua" w:cs="Arial"/>
                <w:b/>
                <w:bCs/>
                <w:color w:val="000000"/>
                <w:sz w:val="16"/>
                <w:szCs w:val="16"/>
              </w:rPr>
            </w:pPr>
            <w:r w:rsidRPr="00B92E18">
              <w:rPr>
                <w:rFonts w:ascii="Book Antiqua" w:hAnsi="Book Antiqua" w:cs="Arial"/>
                <w:b/>
                <w:bCs/>
                <w:color w:val="000000"/>
                <w:sz w:val="16"/>
                <w:szCs w:val="16"/>
              </w:rPr>
              <w:t>Aud</w:t>
            </w:r>
            <w:r>
              <w:rPr>
                <w:rFonts w:ascii="Book Antiqua" w:hAnsi="Book Antiqua" w:cs="Arial"/>
                <w:b/>
                <w:bCs/>
                <w:color w:val="000000"/>
                <w:sz w:val="16"/>
                <w:szCs w:val="16"/>
              </w:rPr>
              <w:t>iencia</w:t>
            </w:r>
            <w:r w:rsidRPr="00B92E18">
              <w:rPr>
                <w:rFonts w:ascii="Book Antiqua" w:hAnsi="Book Antiqua" w:cs="Arial"/>
                <w:b/>
                <w:bCs/>
                <w:color w:val="000000"/>
                <w:sz w:val="16"/>
                <w:szCs w:val="16"/>
              </w:rPr>
              <w:t xml:space="preserve"> Verificación Señaladas</w:t>
            </w:r>
          </w:p>
        </w:tc>
        <w:tc>
          <w:tcPr>
            <w:tcW w:w="1559" w:type="dxa"/>
            <w:tcBorders>
              <w:top w:val="single" w:sz="4" w:space="0" w:color="000000"/>
              <w:bottom w:val="single" w:sz="4" w:space="0" w:color="000000"/>
              <w:right w:val="single" w:sz="4" w:space="0" w:color="000000"/>
            </w:tcBorders>
            <w:shd w:val="clear" w:color="auto" w:fill="DEEAF6" w:themeFill="accent5" w:themeFillTint="33"/>
            <w:vAlign w:val="bottom"/>
          </w:tcPr>
          <w:p w14:paraId="3104E826" w14:textId="77777777" w:rsidR="00B92E18" w:rsidRPr="00B92E18" w:rsidRDefault="00B92E18" w:rsidP="00243F14">
            <w:pPr>
              <w:widowControl w:val="0"/>
              <w:spacing w:line="276" w:lineRule="auto"/>
              <w:jc w:val="center"/>
              <w:rPr>
                <w:rFonts w:ascii="Book Antiqua" w:hAnsi="Book Antiqua" w:cs="Arial"/>
                <w:b/>
                <w:bCs/>
                <w:color w:val="000000"/>
                <w:sz w:val="16"/>
                <w:szCs w:val="16"/>
              </w:rPr>
            </w:pPr>
            <w:r w:rsidRPr="00B92E18">
              <w:rPr>
                <w:rFonts w:ascii="Book Antiqua" w:hAnsi="Book Antiqua" w:cs="Arial"/>
                <w:b/>
                <w:bCs/>
                <w:color w:val="000000"/>
                <w:sz w:val="16"/>
                <w:szCs w:val="16"/>
                <w:lang w:eastAsia="zh-CN"/>
              </w:rPr>
              <w:t>7</w:t>
            </w:r>
          </w:p>
        </w:tc>
      </w:tr>
      <w:tr w:rsidR="00B92E18" w:rsidRPr="00B92E18" w14:paraId="06BDF4B8" w14:textId="77777777" w:rsidTr="00B92E18">
        <w:trPr>
          <w:trHeight w:val="363"/>
          <w:jc w:val="center"/>
        </w:trPr>
        <w:tc>
          <w:tcPr>
            <w:tcW w:w="3556" w:type="dxa"/>
            <w:tcBorders>
              <w:top w:val="single" w:sz="4" w:space="0" w:color="000000"/>
              <w:left w:val="single" w:sz="4" w:space="0" w:color="000000"/>
              <w:bottom w:val="single" w:sz="4" w:space="0" w:color="000000"/>
            </w:tcBorders>
            <w:shd w:val="clear" w:color="auto" w:fill="FFFFFF"/>
            <w:vAlign w:val="bottom"/>
          </w:tcPr>
          <w:p w14:paraId="61286658" w14:textId="77777777" w:rsidR="00B92E18" w:rsidRPr="00B92E18" w:rsidRDefault="00B92E18" w:rsidP="00243F14">
            <w:pPr>
              <w:widowControl w:val="0"/>
              <w:spacing w:line="276" w:lineRule="auto"/>
              <w:ind w:firstLine="220"/>
              <w:rPr>
                <w:rFonts w:ascii="Book Antiqua" w:hAnsi="Book Antiqua" w:cs="Arial"/>
                <w:color w:val="000000"/>
                <w:sz w:val="16"/>
                <w:szCs w:val="16"/>
              </w:rPr>
            </w:pPr>
            <w:r w:rsidRPr="00B92E18">
              <w:rPr>
                <w:rFonts w:ascii="Book Antiqua" w:hAnsi="Book Antiqua" w:cs="Arial"/>
                <w:color w:val="000000"/>
                <w:sz w:val="16"/>
                <w:szCs w:val="16"/>
              </w:rPr>
              <w:t>Realizadas</w:t>
            </w:r>
          </w:p>
        </w:tc>
        <w:tc>
          <w:tcPr>
            <w:tcW w:w="1559" w:type="dxa"/>
            <w:tcBorders>
              <w:top w:val="single" w:sz="4" w:space="0" w:color="000000"/>
              <w:bottom w:val="single" w:sz="4" w:space="0" w:color="000000"/>
              <w:right w:val="single" w:sz="4" w:space="0" w:color="000000"/>
            </w:tcBorders>
            <w:shd w:val="clear" w:color="auto" w:fill="FFFFFF"/>
            <w:vAlign w:val="bottom"/>
          </w:tcPr>
          <w:p w14:paraId="65EB1628" w14:textId="77777777" w:rsidR="00B92E18" w:rsidRPr="00B92E18" w:rsidRDefault="00B92E18" w:rsidP="00243F14">
            <w:pPr>
              <w:widowControl w:val="0"/>
              <w:spacing w:line="276" w:lineRule="auto"/>
              <w:jc w:val="center"/>
              <w:rPr>
                <w:rFonts w:ascii="Book Antiqua" w:hAnsi="Book Antiqua" w:cs="Arial"/>
                <w:color w:val="000000"/>
                <w:sz w:val="16"/>
                <w:szCs w:val="16"/>
              </w:rPr>
            </w:pPr>
            <w:r w:rsidRPr="00B92E18">
              <w:rPr>
                <w:rFonts w:ascii="Book Antiqua" w:hAnsi="Book Antiqua" w:cs="Arial"/>
                <w:color w:val="000000"/>
                <w:sz w:val="16"/>
                <w:szCs w:val="16"/>
                <w:lang w:eastAsia="zh-CN"/>
              </w:rPr>
              <w:t>5</w:t>
            </w:r>
          </w:p>
        </w:tc>
      </w:tr>
      <w:tr w:rsidR="00B92E18" w:rsidRPr="00B92E18" w14:paraId="23648594" w14:textId="77777777" w:rsidTr="00B92E18">
        <w:trPr>
          <w:trHeight w:val="363"/>
          <w:jc w:val="center"/>
        </w:trPr>
        <w:tc>
          <w:tcPr>
            <w:tcW w:w="3556" w:type="dxa"/>
            <w:tcBorders>
              <w:top w:val="single" w:sz="4" w:space="0" w:color="000000"/>
              <w:left w:val="single" w:sz="4" w:space="0" w:color="000000"/>
              <w:bottom w:val="single" w:sz="4" w:space="0" w:color="000000"/>
            </w:tcBorders>
            <w:shd w:val="clear" w:color="auto" w:fill="FFFFFF"/>
            <w:vAlign w:val="bottom"/>
          </w:tcPr>
          <w:p w14:paraId="4061F7CF" w14:textId="77777777" w:rsidR="00B92E18" w:rsidRPr="00B92E18" w:rsidRDefault="00B92E18" w:rsidP="00243F14">
            <w:pPr>
              <w:widowControl w:val="0"/>
              <w:spacing w:line="276" w:lineRule="auto"/>
              <w:ind w:firstLine="220"/>
              <w:rPr>
                <w:rFonts w:ascii="Book Antiqua" w:hAnsi="Book Antiqua" w:cs="Arial"/>
                <w:color w:val="000000"/>
                <w:sz w:val="16"/>
                <w:szCs w:val="16"/>
              </w:rPr>
            </w:pPr>
            <w:r w:rsidRPr="00B92E18">
              <w:rPr>
                <w:rFonts w:ascii="Book Antiqua" w:hAnsi="Book Antiqua" w:cs="Arial"/>
                <w:color w:val="000000"/>
                <w:sz w:val="16"/>
                <w:szCs w:val="16"/>
              </w:rPr>
              <w:t>No realizadas</w:t>
            </w:r>
          </w:p>
        </w:tc>
        <w:tc>
          <w:tcPr>
            <w:tcW w:w="1559" w:type="dxa"/>
            <w:tcBorders>
              <w:top w:val="single" w:sz="4" w:space="0" w:color="000000"/>
              <w:bottom w:val="single" w:sz="4" w:space="0" w:color="000000"/>
              <w:right w:val="single" w:sz="4" w:space="0" w:color="000000"/>
            </w:tcBorders>
            <w:shd w:val="clear" w:color="auto" w:fill="FFFFFF"/>
            <w:vAlign w:val="bottom"/>
          </w:tcPr>
          <w:p w14:paraId="096C8630" w14:textId="77777777" w:rsidR="00B92E18" w:rsidRPr="00B92E18" w:rsidRDefault="00B92E18" w:rsidP="00243F14">
            <w:pPr>
              <w:widowControl w:val="0"/>
              <w:spacing w:line="276" w:lineRule="auto"/>
              <w:jc w:val="center"/>
              <w:rPr>
                <w:rFonts w:ascii="Book Antiqua" w:hAnsi="Book Antiqua" w:cs="Arial"/>
                <w:color w:val="000000"/>
                <w:sz w:val="16"/>
                <w:szCs w:val="16"/>
              </w:rPr>
            </w:pPr>
            <w:r w:rsidRPr="00B92E18">
              <w:rPr>
                <w:rFonts w:ascii="Book Antiqua" w:hAnsi="Book Antiqua" w:cs="Arial"/>
                <w:color w:val="000000"/>
                <w:sz w:val="16"/>
                <w:szCs w:val="16"/>
                <w:lang w:eastAsia="zh-CN"/>
              </w:rPr>
              <w:t>1</w:t>
            </w:r>
          </w:p>
        </w:tc>
      </w:tr>
      <w:tr w:rsidR="00B92E18" w:rsidRPr="00B92E18" w14:paraId="5DB92614" w14:textId="77777777" w:rsidTr="00B92E18">
        <w:trPr>
          <w:trHeight w:val="363"/>
          <w:jc w:val="center"/>
        </w:trPr>
        <w:tc>
          <w:tcPr>
            <w:tcW w:w="3556" w:type="dxa"/>
            <w:tcBorders>
              <w:top w:val="single" w:sz="4" w:space="0" w:color="000000"/>
              <w:left w:val="single" w:sz="4" w:space="0" w:color="000000"/>
              <w:bottom w:val="single" w:sz="4" w:space="0" w:color="000000"/>
            </w:tcBorders>
            <w:shd w:val="clear" w:color="auto" w:fill="FFFFFF"/>
            <w:vAlign w:val="bottom"/>
          </w:tcPr>
          <w:p w14:paraId="626543B3" w14:textId="77777777" w:rsidR="00B92E18" w:rsidRPr="00B92E18" w:rsidRDefault="00B92E18" w:rsidP="00243F14">
            <w:pPr>
              <w:widowControl w:val="0"/>
              <w:spacing w:line="276" w:lineRule="auto"/>
              <w:ind w:firstLine="220"/>
              <w:rPr>
                <w:rFonts w:ascii="Book Antiqua" w:hAnsi="Book Antiqua" w:cs="Arial"/>
                <w:color w:val="000000"/>
                <w:sz w:val="16"/>
                <w:szCs w:val="16"/>
              </w:rPr>
            </w:pPr>
            <w:r w:rsidRPr="00B92E18">
              <w:rPr>
                <w:rFonts w:ascii="Book Antiqua" w:hAnsi="Book Antiqua" w:cs="Arial"/>
                <w:color w:val="000000"/>
                <w:sz w:val="16"/>
                <w:szCs w:val="16"/>
              </w:rPr>
              <w:t>Revocatoria</w:t>
            </w:r>
          </w:p>
        </w:tc>
        <w:tc>
          <w:tcPr>
            <w:tcW w:w="1559" w:type="dxa"/>
            <w:tcBorders>
              <w:top w:val="single" w:sz="4" w:space="0" w:color="000000"/>
              <w:bottom w:val="single" w:sz="4" w:space="0" w:color="000000"/>
              <w:right w:val="single" w:sz="4" w:space="0" w:color="000000"/>
            </w:tcBorders>
            <w:shd w:val="clear" w:color="auto" w:fill="FFFFFF"/>
            <w:vAlign w:val="bottom"/>
          </w:tcPr>
          <w:p w14:paraId="61E30810" w14:textId="77777777" w:rsidR="00B92E18" w:rsidRPr="00B92E18" w:rsidRDefault="00B92E18" w:rsidP="00243F14">
            <w:pPr>
              <w:widowControl w:val="0"/>
              <w:spacing w:line="276" w:lineRule="auto"/>
              <w:jc w:val="center"/>
              <w:rPr>
                <w:rFonts w:ascii="Book Antiqua" w:hAnsi="Book Antiqua" w:cs="Arial"/>
                <w:color w:val="000000"/>
                <w:sz w:val="16"/>
                <w:szCs w:val="16"/>
              </w:rPr>
            </w:pPr>
            <w:r w:rsidRPr="00B92E18">
              <w:rPr>
                <w:rFonts w:ascii="Book Antiqua" w:hAnsi="Book Antiqua" w:cs="Arial"/>
                <w:color w:val="000000"/>
                <w:sz w:val="16"/>
                <w:szCs w:val="16"/>
                <w:lang w:eastAsia="zh-CN"/>
              </w:rPr>
              <w:t>1</w:t>
            </w:r>
          </w:p>
        </w:tc>
      </w:tr>
      <w:tr w:rsidR="00B92E18" w:rsidRPr="00B92E18" w14:paraId="0F27E59B" w14:textId="77777777" w:rsidTr="00B92E18">
        <w:trPr>
          <w:trHeight w:val="363"/>
          <w:jc w:val="center"/>
        </w:trPr>
        <w:tc>
          <w:tcPr>
            <w:tcW w:w="3556" w:type="dxa"/>
            <w:tcBorders>
              <w:top w:val="single" w:sz="4" w:space="0" w:color="000000"/>
              <w:left w:val="single" w:sz="4" w:space="0" w:color="000000"/>
              <w:bottom w:val="single" w:sz="4" w:space="0" w:color="000000"/>
            </w:tcBorders>
            <w:shd w:val="clear" w:color="auto" w:fill="DEEAF6" w:themeFill="accent5" w:themeFillTint="33"/>
            <w:vAlign w:val="bottom"/>
          </w:tcPr>
          <w:p w14:paraId="22F6A60F" w14:textId="77777777" w:rsidR="00B92E18" w:rsidRPr="00B92E18" w:rsidRDefault="00B92E18" w:rsidP="00243F14">
            <w:pPr>
              <w:widowControl w:val="0"/>
              <w:spacing w:line="276" w:lineRule="auto"/>
              <w:ind w:firstLine="221"/>
              <w:rPr>
                <w:rFonts w:ascii="Book Antiqua" w:hAnsi="Book Antiqua" w:cs="Arial"/>
                <w:b/>
                <w:bCs/>
                <w:color w:val="000000"/>
                <w:sz w:val="16"/>
                <w:szCs w:val="16"/>
              </w:rPr>
            </w:pPr>
            <w:r w:rsidRPr="00B92E18">
              <w:rPr>
                <w:rFonts w:ascii="Book Antiqua" w:hAnsi="Book Antiqua" w:cs="Arial"/>
                <w:b/>
                <w:bCs/>
                <w:color w:val="000000"/>
                <w:sz w:val="16"/>
                <w:szCs w:val="16"/>
              </w:rPr>
              <w:t>Red de apoyo</w:t>
            </w:r>
          </w:p>
        </w:tc>
        <w:tc>
          <w:tcPr>
            <w:tcW w:w="1559" w:type="dxa"/>
            <w:tcBorders>
              <w:top w:val="single" w:sz="4" w:space="0" w:color="000000"/>
              <w:bottom w:val="single" w:sz="4" w:space="0" w:color="000000"/>
              <w:right w:val="single" w:sz="4" w:space="0" w:color="000000"/>
            </w:tcBorders>
            <w:shd w:val="clear" w:color="auto" w:fill="DEEAF6" w:themeFill="accent5" w:themeFillTint="33"/>
            <w:vAlign w:val="bottom"/>
          </w:tcPr>
          <w:p w14:paraId="6B4D4A4A" w14:textId="77777777" w:rsidR="00B92E18" w:rsidRPr="00B92E18" w:rsidRDefault="00B92E18" w:rsidP="00243F14">
            <w:pPr>
              <w:widowControl w:val="0"/>
              <w:spacing w:line="276" w:lineRule="auto"/>
              <w:jc w:val="center"/>
              <w:rPr>
                <w:rFonts w:ascii="Book Antiqua" w:hAnsi="Book Antiqua" w:cs="Arial"/>
                <w:color w:val="000000"/>
                <w:sz w:val="16"/>
                <w:szCs w:val="16"/>
              </w:rPr>
            </w:pPr>
          </w:p>
        </w:tc>
      </w:tr>
      <w:tr w:rsidR="00B92E18" w:rsidRPr="00B92E18" w14:paraId="46753E33" w14:textId="77777777" w:rsidTr="00B92E18">
        <w:trPr>
          <w:trHeight w:val="363"/>
          <w:jc w:val="center"/>
        </w:trPr>
        <w:tc>
          <w:tcPr>
            <w:tcW w:w="3556" w:type="dxa"/>
            <w:tcBorders>
              <w:top w:val="single" w:sz="4" w:space="0" w:color="000000"/>
              <w:left w:val="single" w:sz="4" w:space="0" w:color="000000"/>
              <w:bottom w:val="single" w:sz="4" w:space="0" w:color="000000"/>
            </w:tcBorders>
            <w:shd w:val="clear" w:color="auto" w:fill="FFFFFF"/>
            <w:vAlign w:val="bottom"/>
          </w:tcPr>
          <w:p w14:paraId="08A0345E" w14:textId="77777777" w:rsidR="00B92E18" w:rsidRPr="00B92E18" w:rsidRDefault="00B92E18" w:rsidP="00243F14">
            <w:pPr>
              <w:widowControl w:val="0"/>
              <w:spacing w:line="276" w:lineRule="auto"/>
              <w:ind w:firstLine="220"/>
              <w:rPr>
                <w:rFonts w:ascii="Book Antiqua" w:hAnsi="Book Antiqua" w:cs="Arial"/>
                <w:color w:val="000000"/>
                <w:sz w:val="16"/>
                <w:szCs w:val="16"/>
              </w:rPr>
            </w:pPr>
            <w:r w:rsidRPr="00B92E18">
              <w:rPr>
                <w:rFonts w:ascii="Book Antiqua" w:hAnsi="Book Antiqua" w:cs="Arial"/>
                <w:color w:val="000000"/>
                <w:sz w:val="16"/>
                <w:szCs w:val="16"/>
              </w:rPr>
              <w:t>Coordinaciones interinstitucionales</w:t>
            </w:r>
          </w:p>
        </w:tc>
        <w:tc>
          <w:tcPr>
            <w:tcW w:w="1559" w:type="dxa"/>
            <w:tcBorders>
              <w:top w:val="single" w:sz="4" w:space="0" w:color="000000"/>
              <w:bottom w:val="single" w:sz="4" w:space="0" w:color="000000"/>
              <w:right w:val="single" w:sz="4" w:space="0" w:color="000000"/>
            </w:tcBorders>
            <w:shd w:val="clear" w:color="auto" w:fill="FFFFFF"/>
            <w:vAlign w:val="bottom"/>
          </w:tcPr>
          <w:p w14:paraId="0505B173" w14:textId="77777777" w:rsidR="00B92E18" w:rsidRPr="00B92E18" w:rsidRDefault="00B92E18" w:rsidP="00243F14">
            <w:pPr>
              <w:widowControl w:val="0"/>
              <w:spacing w:line="276" w:lineRule="auto"/>
              <w:jc w:val="center"/>
              <w:rPr>
                <w:rFonts w:ascii="Book Antiqua" w:hAnsi="Book Antiqua" w:cs="Arial"/>
                <w:color w:val="000000"/>
                <w:sz w:val="16"/>
                <w:szCs w:val="16"/>
              </w:rPr>
            </w:pPr>
            <w:r w:rsidRPr="00B92E18">
              <w:rPr>
                <w:rFonts w:ascii="Book Antiqua" w:hAnsi="Book Antiqua" w:cs="Arial"/>
                <w:color w:val="000000"/>
                <w:sz w:val="16"/>
                <w:szCs w:val="16"/>
                <w:lang w:eastAsia="zh-CN"/>
              </w:rPr>
              <w:t>80</w:t>
            </w:r>
          </w:p>
        </w:tc>
      </w:tr>
      <w:tr w:rsidR="00B92E18" w:rsidRPr="00B92E18" w14:paraId="58DD5624" w14:textId="77777777" w:rsidTr="00B92E18">
        <w:trPr>
          <w:trHeight w:val="339"/>
          <w:jc w:val="center"/>
        </w:trPr>
        <w:tc>
          <w:tcPr>
            <w:tcW w:w="3556" w:type="dxa"/>
            <w:tcBorders>
              <w:top w:val="single" w:sz="4" w:space="0" w:color="000000"/>
              <w:left w:val="single" w:sz="4" w:space="0" w:color="000000"/>
              <w:bottom w:val="single" w:sz="4" w:space="0" w:color="000000"/>
            </w:tcBorders>
            <w:shd w:val="clear" w:color="auto" w:fill="FFFFFF"/>
            <w:vAlign w:val="bottom"/>
          </w:tcPr>
          <w:p w14:paraId="1AE017ED" w14:textId="77777777" w:rsidR="00B92E18" w:rsidRPr="00B92E18" w:rsidRDefault="00B92E18" w:rsidP="00243F14">
            <w:pPr>
              <w:widowControl w:val="0"/>
              <w:spacing w:line="276" w:lineRule="auto"/>
              <w:rPr>
                <w:rFonts w:ascii="Book Antiqua" w:hAnsi="Book Antiqua" w:cs="Arial"/>
                <w:b/>
                <w:bCs/>
                <w:sz w:val="16"/>
                <w:szCs w:val="16"/>
              </w:rPr>
            </w:pPr>
            <w:r w:rsidRPr="00B92E18">
              <w:rPr>
                <w:rFonts w:ascii="Book Antiqua" w:hAnsi="Book Antiqua" w:cs="Arial"/>
                <w:b/>
                <w:bCs/>
                <w:sz w:val="16"/>
                <w:szCs w:val="16"/>
              </w:rPr>
              <w:t>Cantidad de instituciones que conforman la red</w:t>
            </w:r>
          </w:p>
        </w:tc>
        <w:tc>
          <w:tcPr>
            <w:tcW w:w="1559" w:type="dxa"/>
            <w:tcBorders>
              <w:top w:val="single" w:sz="4" w:space="0" w:color="000000"/>
              <w:bottom w:val="single" w:sz="4" w:space="0" w:color="000000"/>
              <w:right w:val="single" w:sz="4" w:space="0" w:color="000000"/>
            </w:tcBorders>
            <w:shd w:val="clear" w:color="auto" w:fill="FFFFFF"/>
            <w:vAlign w:val="bottom"/>
          </w:tcPr>
          <w:p w14:paraId="22029A12" w14:textId="77777777" w:rsidR="00B92E18" w:rsidRPr="00B92E18" w:rsidRDefault="00B92E18" w:rsidP="00243F14">
            <w:pPr>
              <w:widowControl w:val="0"/>
              <w:spacing w:line="276" w:lineRule="auto"/>
              <w:jc w:val="center"/>
              <w:rPr>
                <w:rFonts w:ascii="Book Antiqua" w:hAnsi="Book Antiqua" w:cs="Arial"/>
                <w:color w:val="000000"/>
                <w:sz w:val="16"/>
                <w:szCs w:val="16"/>
              </w:rPr>
            </w:pPr>
            <w:r w:rsidRPr="00B92E18">
              <w:rPr>
                <w:rFonts w:ascii="Book Antiqua" w:hAnsi="Book Antiqua" w:cs="Arial"/>
                <w:color w:val="000000"/>
                <w:sz w:val="16"/>
                <w:szCs w:val="16"/>
                <w:lang w:eastAsia="zh-CN"/>
              </w:rPr>
              <w:t>1429</w:t>
            </w:r>
          </w:p>
        </w:tc>
      </w:tr>
      <w:tr w:rsidR="00B92E18" w:rsidRPr="00B92E18" w14:paraId="681B3E9B" w14:textId="77777777" w:rsidTr="00B92E18">
        <w:trPr>
          <w:trHeight w:val="339"/>
          <w:jc w:val="center"/>
        </w:trPr>
        <w:tc>
          <w:tcPr>
            <w:tcW w:w="3556" w:type="dxa"/>
            <w:tcBorders>
              <w:top w:val="single" w:sz="4" w:space="0" w:color="000000"/>
              <w:left w:val="single" w:sz="4" w:space="0" w:color="000000"/>
              <w:bottom w:val="single" w:sz="4" w:space="0" w:color="000000"/>
            </w:tcBorders>
            <w:shd w:val="clear" w:color="auto" w:fill="DEEAF6" w:themeFill="accent5" w:themeFillTint="33"/>
            <w:vAlign w:val="bottom"/>
          </w:tcPr>
          <w:p w14:paraId="3E3E865C" w14:textId="77777777" w:rsidR="00B92E18" w:rsidRPr="00B92E18" w:rsidRDefault="00B92E18" w:rsidP="00243F14">
            <w:pPr>
              <w:widowControl w:val="0"/>
              <w:spacing w:line="276" w:lineRule="auto"/>
              <w:rPr>
                <w:rFonts w:ascii="Book Antiqua" w:hAnsi="Book Antiqua" w:cs="Arial"/>
                <w:b/>
                <w:bCs/>
                <w:sz w:val="16"/>
                <w:szCs w:val="16"/>
              </w:rPr>
            </w:pPr>
            <w:r w:rsidRPr="00B92E18">
              <w:rPr>
                <w:rFonts w:ascii="Book Antiqua" w:hAnsi="Book Antiqua" w:cs="Arial"/>
                <w:b/>
                <w:bCs/>
                <w:sz w:val="16"/>
                <w:szCs w:val="16"/>
              </w:rPr>
              <w:t>Entrevistas</w:t>
            </w:r>
          </w:p>
        </w:tc>
        <w:tc>
          <w:tcPr>
            <w:tcW w:w="1559" w:type="dxa"/>
            <w:tcBorders>
              <w:top w:val="single" w:sz="4" w:space="0" w:color="000000"/>
              <w:bottom w:val="single" w:sz="4" w:space="0" w:color="000000"/>
              <w:right w:val="single" w:sz="4" w:space="0" w:color="000000"/>
            </w:tcBorders>
            <w:shd w:val="clear" w:color="auto" w:fill="DEEAF6" w:themeFill="accent5" w:themeFillTint="33"/>
            <w:vAlign w:val="bottom"/>
          </w:tcPr>
          <w:p w14:paraId="7FB544BF" w14:textId="77777777" w:rsidR="00B92E18" w:rsidRPr="00B92E18" w:rsidRDefault="00B92E18" w:rsidP="00243F14">
            <w:pPr>
              <w:widowControl w:val="0"/>
              <w:spacing w:line="276" w:lineRule="auto"/>
              <w:jc w:val="center"/>
              <w:rPr>
                <w:rFonts w:ascii="Book Antiqua" w:hAnsi="Book Antiqua" w:cs="Arial"/>
                <w:sz w:val="16"/>
                <w:szCs w:val="16"/>
              </w:rPr>
            </w:pPr>
          </w:p>
        </w:tc>
      </w:tr>
      <w:tr w:rsidR="00B92E18" w:rsidRPr="00B92E18" w14:paraId="044786D2" w14:textId="77777777" w:rsidTr="00B92E18">
        <w:trPr>
          <w:trHeight w:val="339"/>
          <w:jc w:val="center"/>
        </w:trPr>
        <w:tc>
          <w:tcPr>
            <w:tcW w:w="3556" w:type="dxa"/>
            <w:tcBorders>
              <w:top w:val="single" w:sz="4" w:space="0" w:color="000000"/>
              <w:left w:val="single" w:sz="4" w:space="0" w:color="000000"/>
              <w:bottom w:val="single" w:sz="4" w:space="0" w:color="000000"/>
            </w:tcBorders>
            <w:shd w:val="clear" w:color="auto" w:fill="FFFFFF"/>
            <w:vAlign w:val="bottom"/>
          </w:tcPr>
          <w:p w14:paraId="783DBDCF" w14:textId="77777777" w:rsidR="00B92E18" w:rsidRPr="00B92E18" w:rsidRDefault="00B92E18" w:rsidP="00243F14">
            <w:pPr>
              <w:widowControl w:val="0"/>
              <w:spacing w:line="276" w:lineRule="auto"/>
              <w:rPr>
                <w:rFonts w:ascii="Book Antiqua" w:hAnsi="Book Antiqua" w:cs="Arial"/>
                <w:b/>
                <w:bCs/>
                <w:sz w:val="16"/>
                <w:szCs w:val="16"/>
              </w:rPr>
            </w:pPr>
            <w:r w:rsidRPr="00B92E18">
              <w:rPr>
                <w:rFonts w:ascii="Book Antiqua" w:hAnsi="Book Antiqua" w:cs="Arial"/>
                <w:b/>
                <w:bCs/>
                <w:sz w:val="16"/>
                <w:szCs w:val="16"/>
              </w:rPr>
              <w:t>Legales</w:t>
            </w:r>
          </w:p>
        </w:tc>
        <w:tc>
          <w:tcPr>
            <w:tcW w:w="1559" w:type="dxa"/>
            <w:tcBorders>
              <w:top w:val="single" w:sz="4" w:space="0" w:color="000000"/>
              <w:bottom w:val="single" w:sz="4" w:space="0" w:color="000000"/>
              <w:right w:val="single" w:sz="4" w:space="0" w:color="000000"/>
            </w:tcBorders>
            <w:shd w:val="clear" w:color="auto" w:fill="FFFFFF"/>
            <w:vAlign w:val="bottom"/>
          </w:tcPr>
          <w:p w14:paraId="73A7B7EA" w14:textId="77777777" w:rsidR="00B92E18" w:rsidRPr="00B92E18" w:rsidRDefault="00B92E18" w:rsidP="00243F14">
            <w:pPr>
              <w:widowControl w:val="0"/>
              <w:spacing w:line="276" w:lineRule="auto"/>
              <w:jc w:val="center"/>
              <w:rPr>
                <w:rFonts w:ascii="Book Antiqua" w:hAnsi="Book Antiqua" w:cs="Arial"/>
                <w:sz w:val="16"/>
                <w:szCs w:val="16"/>
              </w:rPr>
            </w:pPr>
            <w:r w:rsidRPr="00B92E18">
              <w:rPr>
                <w:rFonts w:ascii="Book Antiqua" w:hAnsi="Book Antiqua" w:cs="Arial"/>
                <w:sz w:val="16"/>
                <w:szCs w:val="16"/>
                <w:lang w:eastAsia="zh-CN"/>
              </w:rPr>
              <w:t>119</w:t>
            </w:r>
          </w:p>
        </w:tc>
      </w:tr>
      <w:tr w:rsidR="00B92E18" w:rsidRPr="00B92E18" w14:paraId="6A6F03F2" w14:textId="77777777" w:rsidTr="00B92E18">
        <w:trPr>
          <w:trHeight w:val="339"/>
          <w:jc w:val="center"/>
        </w:trPr>
        <w:tc>
          <w:tcPr>
            <w:tcW w:w="3556" w:type="dxa"/>
            <w:tcBorders>
              <w:top w:val="single" w:sz="4" w:space="0" w:color="000000"/>
              <w:left w:val="single" w:sz="4" w:space="0" w:color="000000"/>
              <w:bottom w:val="single" w:sz="4" w:space="0" w:color="000000"/>
            </w:tcBorders>
            <w:shd w:val="clear" w:color="auto" w:fill="FFFFFF"/>
            <w:vAlign w:val="bottom"/>
          </w:tcPr>
          <w:p w14:paraId="470BCEAD" w14:textId="77777777" w:rsidR="00B92E18" w:rsidRPr="00B92E18" w:rsidRDefault="00B92E18" w:rsidP="00243F14">
            <w:pPr>
              <w:widowControl w:val="0"/>
              <w:spacing w:line="276" w:lineRule="auto"/>
              <w:rPr>
                <w:rFonts w:ascii="Book Antiqua" w:hAnsi="Book Antiqua" w:cs="Arial"/>
                <w:b/>
                <w:bCs/>
                <w:sz w:val="16"/>
                <w:szCs w:val="16"/>
              </w:rPr>
            </w:pPr>
            <w:r w:rsidRPr="00B92E18">
              <w:rPr>
                <w:rFonts w:ascii="Book Antiqua" w:hAnsi="Book Antiqua" w:cs="Arial"/>
                <w:b/>
                <w:bCs/>
                <w:sz w:val="16"/>
                <w:szCs w:val="16"/>
              </w:rPr>
              <w:t>Psicosociales</w:t>
            </w:r>
          </w:p>
        </w:tc>
        <w:tc>
          <w:tcPr>
            <w:tcW w:w="1559" w:type="dxa"/>
            <w:tcBorders>
              <w:top w:val="single" w:sz="4" w:space="0" w:color="000000"/>
              <w:bottom w:val="single" w:sz="4" w:space="0" w:color="000000"/>
              <w:right w:val="single" w:sz="4" w:space="0" w:color="000000"/>
            </w:tcBorders>
            <w:shd w:val="clear" w:color="auto" w:fill="FFFFFF"/>
            <w:vAlign w:val="bottom"/>
          </w:tcPr>
          <w:p w14:paraId="2B049904" w14:textId="77777777" w:rsidR="00B92E18" w:rsidRPr="00B92E18" w:rsidRDefault="00B92E18" w:rsidP="00243F14">
            <w:pPr>
              <w:widowControl w:val="0"/>
              <w:spacing w:line="276" w:lineRule="auto"/>
              <w:jc w:val="center"/>
              <w:rPr>
                <w:rFonts w:ascii="Book Antiqua" w:hAnsi="Book Antiqua" w:cs="Arial"/>
                <w:sz w:val="16"/>
                <w:szCs w:val="16"/>
              </w:rPr>
            </w:pPr>
            <w:r w:rsidRPr="00B92E18">
              <w:rPr>
                <w:rFonts w:ascii="Book Antiqua" w:hAnsi="Book Antiqua" w:cs="Arial"/>
                <w:sz w:val="16"/>
                <w:szCs w:val="16"/>
                <w:lang w:eastAsia="zh-CN"/>
              </w:rPr>
              <w:t>85</w:t>
            </w:r>
          </w:p>
        </w:tc>
      </w:tr>
      <w:tr w:rsidR="00B92E18" w:rsidRPr="00B92E18" w14:paraId="4359D14E" w14:textId="77777777" w:rsidTr="00B92E18">
        <w:trPr>
          <w:trHeight w:val="376"/>
          <w:jc w:val="center"/>
        </w:trPr>
        <w:tc>
          <w:tcPr>
            <w:tcW w:w="3556" w:type="dxa"/>
            <w:tcBorders>
              <w:top w:val="single" w:sz="4" w:space="0" w:color="000000"/>
              <w:left w:val="single" w:sz="4" w:space="0" w:color="000000"/>
              <w:bottom w:val="single" w:sz="4" w:space="0" w:color="000000"/>
            </w:tcBorders>
            <w:shd w:val="clear" w:color="auto" w:fill="FFFFFF"/>
            <w:vAlign w:val="bottom"/>
          </w:tcPr>
          <w:p w14:paraId="3FF73E6B" w14:textId="77777777" w:rsidR="00B92E18" w:rsidRPr="00B92E18" w:rsidRDefault="00B92E18" w:rsidP="00243F14">
            <w:pPr>
              <w:widowControl w:val="0"/>
              <w:spacing w:line="276" w:lineRule="auto"/>
              <w:rPr>
                <w:rFonts w:ascii="Book Antiqua" w:hAnsi="Book Antiqua" w:cs="Arial"/>
                <w:b/>
                <w:bCs/>
                <w:sz w:val="16"/>
                <w:szCs w:val="16"/>
              </w:rPr>
            </w:pPr>
            <w:r w:rsidRPr="00B92E18">
              <w:rPr>
                <w:rFonts w:ascii="Book Antiqua" w:hAnsi="Book Antiqua" w:cs="Arial"/>
                <w:b/>
                <w:bCs/>
                <w:sz w:val="16"/>
                <w:szCs w:val="16"/>
              </w:rPr>
              <w:t>Seguimiento de medidas alternas</w:t>
            </w:r>
          </w:p>
        </w:tc>
        <w:tc>
          <w:tcPr>
            <w:tcW w:w="1559" w:type="dxa"/>
            <w:tcBorders>
              <w:top w:val="single" w:sz="4" w:space="0" w:color="000000"/>
              <w:bottom w:val="single" w:sz="4" w:space="0" w:color="000000"/>
              <w:right w:val="single" w:sz="4" w:space="0" w:color="000000"/>
            </w:tcBorders>
            <w:shd w:val="clear" w:color="auto" w:fill="FFFFFF"/>
            <w:vAlign w:val="bottom"/>
          </w:tcPr>
          <w:p w14:paraId="0B22711B" w14:textId="77777777" w:rsidR="00B92E18" w:rsidRPr="00B92E18" w:rsidRDefault="00B92E18" w:rsidP="00243F14">
            <w:pPr>
              <w:widowControl w:val="0"/>
              <w:spacing w:line="276" w:lineRule="auto"/>
              <w:jc w:val="center"/>
              <w:rPr>
                <w:rFonts w:ascii="Book Antiqua" w:hAnsi="Book Antiqua" w:cs="Arial"/>
                <w:sz w:val="16"/>
                <w:szCs w:val="16"/>
              </w:rPr>
            </w:pPr>
            <w:r w:rsidRPr="00B92E18">
              <w:rPr>
                <w:rFonts w:ascii="Book Antiqua" w:hAnsi="Book Antiqua" w:cs="Arial"/>
                <w:sz w:val="16"/>
                <w:szCs w:val="16"/>
                <w:lang w:eastAsia="zh-CN"/>
              </w:rPr>
              <w:t>7</w:t>
            </w:r>
          </w:p>
        </w:tc>
      </w:tr>
    </w:tbl>
    <w:p w14:paraId="558C7B1C" w14:textId="77777777" w:rsidR="00F75E3A" w:rsidRPr="004F0E92" w:rsidRDefault="00F75E3A" w:rsidP="00B92E18">
      <w:pPr>
        <w:spacing w:line="276" w:lineRule="auto"/>
        <w:jc w:val="center"/>
        <w:rPr>
          <w:rFonts w:ascii="Book Antiqua" w:hAnsi="Book Antiqua"/>
          <w:b/>
          <w:bCs/>
          <w:color w:val="000000" w:themeColor="text1"/>
          <w:sz w:val="20"/>
          <w:szCs w:val="20"/>
        </w:rPr>
      </w:pPr>
      <w:r w:rsidRPr="004F0E92">
        <w:rPr>
          <w:rFonts w:ascii="Book Antiqua" w:hAnsi="Book Antiqua"/>
          <w:b/>
          <w:bCs/>
          <w:color w:val="000000" w:themeColor="text1"/>
          <w:sz w:val="20"/>
          <w:szCs w:val="20"/>
        </w:rPr>
        <w:t xml:space="preserve">Fuente: </w:t>
      </w:r>
      <w:r w:rsidRPr="004F0E92">
        <w:rPr>
          <w:rFonts w:ascii="Book Antiqua" w:hAnsi="Book Antiqua"/>
          <w:color w:val="000000" w:themeColor="text1"/>
          <w:sz w:val="20"/>
          <w:szCs w:val="20"/>
        </w:rPr>
        <w:t>Elabora</w:t>
      </w:r>
      <w:r>
        <w:rPr>
          <w:rFonts w:ascii="Book Antiqua" w:hAnsi="Book Antiqua"/>
          <w:color w:val="000000" w:themeColor="text1"/>
          <w:sz w:val="20"/>
          <w:szCs w:val="20"/>
        </w:rPr>
        <w:t>do por la Oficina Rectora de Justicia Restaurativa</w:t>
      </w:r>
    </w:p>
    <w:p w14:paraId="2BEF7938" w14:textId="687750B5" w:rsidR="006F775A" w:rsidRDefault="006F775A">
      <w:pPr>
        <w:rPr>
          <w:rFonts w:ascii="Book Antiqua" w:hAnsi="Book Antiqua"/>
          <w:b/>
          <w:bCs/>
          <w:lang w:val="es-ES_tradnl" w:eastAsia="en-US"/>
        </w:rPr>
      </w:pPr>
      <w:r>
        <w:rPr>
          <w:rFonts w:ascii="Book Antiqua" w:hAnsi="Book Antiqua"/>
          <w:b/>
          <w:bCs/>
          <w:lang w:val="es-ES_tradnl" w:eastAsia="en-US"/>
        </w:rPr>
        <w:br w:type="page"/>
      </w:r>
    </w:p>
    <w:p w14:paraId="446028C3" w14:textId="77777777" w:rsidR="0028459F" w:rsidRDefault="0028459F" w:rsidP="00985591">
      <w:pPr>
        <w:spacing w:line="276" w:lineRule="auto"/>
        <w:jc w:val="both"/>
        <w:rPr>
          <w:rFonts w:ascii="Book Antiqua" w:hAnsi="Book Antiqua"/>
          <w:b/>
          <w:bCs/>
          <w:lang w:val="es-ES_tradnl" w:eastAsia="en-US"/>
        </w:rPr>
      </w:pPr>
    </w:p>
    <w:p w14:paraId="24BC2A11" w14:textId="77777777" w:rsidR="00B92E18" w:rsidRDefault="00B92E18" w:rsidP="00985591">
      <w:pPr>
        <w:spacing w:line="276" w:lineRule="auto"/>
        <w:jc w:val="both"/>
        <w:rPr>
          <w:rFonts w:ascii="Book Antiqua" w:hAnsi="Book Antiqua"/>
          <w:b/>
          <w:bCs/>
          <w:lang w:val="es-ES_tradnl" w:eastAsia="en-US"/>
        </w:rPr>
      </w:pPr>
    </w:p>
    <w:p w14:paraId="164B8158" w14:textId="5C7383D1" w:rsidR="00FF34AD" w:rsidRDefault="00FF34AD" w:rsidP="00985591">
      <w:pPr>
        <w:pStyle w:val="Ttulo1"/>
        <w:spacing w:line="276" w:lineRule="auto"/>
        <w:jc w:val="both"/>
        <w:rPr>
          <w:b w:val="0"/>
          <w:bCs/>
        </w:rPr>
      </w:pPr>
      <w:r w:rsidRPr="006A0D1F">
        <w:rPr>
          <w:bCs/>
        </w:rPr>
        <w:t xml:space="preserve">CAPITULO </w:t>
      </w:r>
      <w:r w:rsidR="00B92E18">
        <w:rPr>
          <w:bCs/>
        </w:rPr>
        <w:t>I</w:t>
      </w:r>
      <w:r w:rsidR="003C52D1">
        <w:rPr>
          <w:bCs/>
        </w:rPr>
        <w:t>X</w:t>
      </w:r>
      <w:r w:rsidRPr="006A0D1F">
        <w:rPr>
          <w:bCs/>
        </w:rPr>
        <w:t xml:space="preserve">. </w:t>
      </w:r>
      <w:r w:rsidR="00A82983" w:rsidRPr="006A0D1F">
        <w:rPr>
          <w:bCs/>
        </w:rPr>
        <w:t>ACCIONES INSTITUCIONALES PARA MAXIMIZAR LOS SERVICIOS</w:t>
      </w:r>
    </w:p>
    <w:p w14:paraId="28C7724E" w14:textId="0678DE4D" w:rsidR="00A82983" w:rsidRDefault="00A82983" w:rsidP="00985591">
      <w:pPr>
        <w:spacing w:line="276" w:lineRule="auto"/>
        <w:jc w:val="both"/>
        <w:rPr>
          <w:rFonts w:ascii="Book Antiqua" w:hAnsi="Book Antiqua"/>
          <w:b/>
          <w:bCs/>
          <w:lang w:val="es-ES_tradnl" w:eastAsia="en-US"/>
        </w:rPr>
      </w:pPr>
    </w:p>
    <w:p w14:paraId="42714489" w14:textId="77777777" w:rsidR="00AB4A44" w:rsidRPr="002B0E41" w:rsidRDefault="00AB4A44" w:rsidP="00AB4A44">
      <w:pPr>
        <w:spacing w:line="276" w:lineRule="auto"/>
        <w:jc w:val="both"/>
        <w:rPr>
          <w:rFonts w:ascii="Book Antiqua" w:hAnsi="Book Antiqua"/>
          <w:color w:val="000000"/>
        </w:rPr>
      </w:pPr>
      <w:r w:rsidRPr="002B0E41">
        <w:rPr>
          <w:rFonts w:ascii="Book Antiqua" w:hAnsi="Book Antiqua"/>
          <w:color w:val="000000"/>
        </w:rPr>
        <w:t>La Dirección de Planificación ha realizado planes de trabajo con personal de flagrancia para poder maximizar la capacidad que tienen ese personal y dar soporte a las estructuras ordinarias, en ese sentido, la</w:t>
      </w:r>
      <w:r w:rsidRPr="002B0E41">
        <w:rPr>
          <w:rFonts w:ascii="Book Antiqua" w:hAnsi="Book Antiqua" w:cs="Calibri"/>
          <w:color w:val="000000"/>
          <w:bdr w:val="none" w:sz="0" w:space="0" w:color="auto" w:frame="1"/>
          <w:lang w:eastAsia="es-CR"/>
        </w:rPr>
        <w:t xml:space="preserve"> Corte Plena </w:t>
      </w:r>
      <w:r w:rsidRPr="002B0E41">
        <w:rPr>
          <w:rFonts w:ascii="Book Antiqua" w:hAnsi="Book Antiqua"/>
          <w:lang w:val="es-ES" w:eastAsia="es-CR"/>
        </w:rPr>
        <w:t>en sesión N° 27-2021 celebrada el 30 de junio de 2021 artículo II</w:t>
      </w:r>
      <w:r w:rsidRPr="002B0E41">
        <w:rPr>
          <w:rFonts w:ascii="Book Antiqua" w:hAnsi="Book Antiqua" w:cs="Calibri"/>
          <w:color w:val="000000"/>
          <w:bdr w:val="none" w:sz="0" w:space="0" w:color="auto" w:frame="1"/>
          <w:shd w:val="clear" w:color="auto" w:fill="FFFFFF"/>
          <w:lang w:eastAsia="es-CR"/>
        </w:rPr>
        <w:t>, conoció el informe 706-PLA-MI-2021 </w:t>
      </w:r>
      <w:r w:rsidRPr="002B0E41">
        <w:rPr>
          <w:rFonts w:ascii="Book Antiqua" w:hAnsi="Book Antiqua" w:cs="Calibri"/>
          <w:color w:val="000000"/>
          <w:bdr w:val="none" w:sz="0" w:space="0" w:color="auto" w:frame="1"/>
          <w:shd w:val="clear" w:color="auto" w:fill="FFFFFF"/>
          <w:lang w:val="es-ES" w:eastAsia="es-CR"/>
        </w:rPr>
        <w:t> relacionado con los resultados del seguimiento mensual de la materia penal, durante la atención de la emergencia COVID-19, de febrero  a abril 2021 y aprobó las recomendaciones ahí plasmadas, para el caso que nos ocupa:</w:t>
      </w:r>
    </w:p>
    <w:p w14:paraId="4B542247" w14:textId="77777777" w:rsidR="002B0E41" w:rsidRPr="002B0E41" w:rsidRDefault="002B0E41" w:rsidP="00985591">
      <w:pPr>
        <w:shd w:val="clear" w:color="auto" w:fill="FFFFFF"/>
        <w:spacing w:line="276" w:lineRule="auto"/>
        <w:jc w:val="both"/>
        <w:textAlignment w:val="baseline"/>
        <w:rPr>
          <w:rFonts w:ascii="Book Antiqua" w:hAnsi="Book Antiqua" w:cs="Calibri"/>
          <w:color w:val="201F1E"/>
          <w:lang w:eastAsia="es-CR"/>
        </w:rPr>
      </w:pPr>
      <w:r w:rsidRPr="002B0E41">
        <w:rPr>
          <w:rFonts w:ascii="Book Antiqua" w:hAnsi="Book Antiqua" w:cs="Calibri"/>
          <w:color w:val="000000"/>
          <w:bdr w:val="none" w:sz="0" w:space="0" w:color="auto" w:frame="1"/>
          <w:lang w:eastAsia="es-CR"/>
        </w:rPr>
        <w:t> </w:t>
      </w:r>
    </w:p>
    <w:p w14:paraId="6FC5FEAA" w14:textId="77777777" w:rsidR="00AB4A44" w:rsidRDefault="00AB4A44" w:rsidP="00985591">
      <w:pPr>
        <w:shd w:val="clear" w:color="auto" w:fill="FFFFFF"/>
        <w:spacing w:line="276" w:lineRule="auto"/>
        <w:ind w:left="426" w:right="758"/>
        <w:jc w:val="both"/>
        <w:textAlignment w:val="baseline"/>
        <w:rPr>
          <w:rFonts w:ascii="Book Antiqua" w:hAnsi="Book Antiqua" w:cs="Calibri"/>
          <w:i/>
          <w:iCs/>
          <w:color w:val="000000"/>
          <w:bdr w:val="none" w:sz="0" w:space="0" w:color="auto" w:frame="1"/>
          <w:lang w:eastAsia="es-CR"/>
        </w:rPr>
      </w:pPr>
      <w:r w:rsidRPr="00AB4A44">
        <w:rPr>
          <w:rFonts w:ascii="Book Antiqua" w:hAnsi="Book Antiqua" w:cs="Calibri"/>
          <w:i/>
          <w:iCs/>
          <w:color w:val="000000"/>
          <w:bdr w:val="none" w:sz="0" w:space="0" w:color="auto" w:frame="1"/>
          <w:lang w:eastAsia="es-CR"/>
        </w:rPr>
        <w:t>“En vista de que las Secciones de Flagrancia de los Tribunales Penales según el cumplimiento de los parámetros de producción no tienen con su carga de trabajo actual la posibilidad de estar exclusivamente atendiendo temas de flagrancia, deberán dar soporte a los Tribunales Penales Ordinarios en cualquier tipo de delito, sean juicios colegiados o unipersonales porque son parte de un único Tribunal y pueden desarrollar cualquier tipo de juicio, bajo la coordinación de la persona juzgadora que coordina el Tribunal Ordinario, siempre y cuando no se afecte el servicio público de flagrancia, respetando los análisis de capacidad instalada de cada zona geográfico según las cuotas de producción. En base a este nuevo criterio se modificarían los parámetros establecidos previamente por la Dirección de Planificación en los informes técnicos 330 y 749 PLA-OI-2019, los cuales limitaban a expedientes muy específicos el soporte de flagrancia.”</w:t>
      </w:r>
    </w:p>
    <w:p w14:paraId="0F7292E1" w14:textId="36EE51D4" w:rsidR="002B0E41" w:rsidRPr="002B0E41" w:rsidRDefault="002B0E41" w:rsidP="00985591">
      <w:pPr>
        <w:shd w:val="clear" w:color="auto" w:fill="FFFFFF"/>
        <w:spacing w:line="276" w:lineRule="auto"/>
        <w:ind w:left="426" w:right="758"/>
        <w:jc w:val="both"/>
        <w:textAlignment w:val="baseline"/>
        <w:rPr>
          <w:rFonts w:ascii="Book Antiqua" w:hAnsi="Book Antiqua" w:cs="Calibri"/>
          <w:color w:val="201F1E"/>
          <w:lang w:eastAsia="es-CR"/>
        </w:rPr>
      </w:pPr>
      <w:r w:rsidRPr="002B0E41">
        <w:rPr>
          <w:rFonts w:ascii="Book Antiqua" w:hAnsi="Book Antiqua" w:cs="Arial"/>
          <w:color w:val="000000"/>
          <w:bdr w:val="none" w:sz="0" w:space="0" w:color="auto" w:frame="1"/>
          <w:lang w:eastAsia="es-CR"/>
        </w:rPr>
        <w:t> </w:t>
      </w:r>
    </w:p>
    <w:p w14:paraId="31F73F3F" w14:textId="17D67FEC" w:rsidR="006F775A" w:rsidRDefault="00AB4A44" w:rsidP="00985591">
      <w:pPr>
        <w:spacing w:line="276" w:lineRule="auto"/>
        <w:jc w:val="both"/>
        <w:rPr>
          <w:rFonts w:ascii="Book Antiqua" w:hAnsi="Book Antiqua" w:cs="Calibri"/>
          <w:color w:val="000000"/>
          <w:bdr w:val="none" w:sz="0" w:space="0" w:color="auto" w:frame="1"/>
          <w:shd w:val="clear" w:color="auto" w:fill="FFFFFF"/>
          <w:lang w:eastAsia="es-CR"/>
        </w:rPr>
      </w:pPr>
      <w:r w:rsidRPr="00AB4A44">
        <w:rPr>
          <w:rFonts w:ascii="Book Antiqua" w:hAnsi="Book Antiqua" w:cs="Calibri"/>
          <w:color w:val="000000"/>
          <w:bdr w:val="none" w:sz="0" w:space="0" w:color="auto" w:frame="1"/>
          <w:shd w:val="clear" w:color="auto" w:fill="FFFFFF"/>
          <w:lang w:eastAsia="es-CR"/>
        </w:rPr>
        <w:t>Con lo anterior, se apertura la posibilidad de que las colaboraciones del Flagrancia al ordinario se den para cualquier tipo de expediente, sea colegiado o unipersonal. En la siguiente tabla se observa el detalle de los despachos que actualmente brindan algún tipo de colaboración al ordinario.</w:t>
      </w:r>
    </w:p>
    <w:p w14:paraId="1AF6454C" w14:textId="77777777" w:rsidR="006F775A" w:rsidRDefault="006F775A">
      <w:pPr>
        <w:rPr>
          <w:rFonts w:ascii="Book Antiqua" w:hAnsi="Book Antiqua" w:cs="Calibri"/>
          <w:color w:val="000000"/>
          <w:bdr w:val="none" w:sz="0" w:space="0" w:color="auto" w:frame="1"/>
          <w:shd w:val="clear" w:color="auto" w:fill="FFFFFF"/>
          <w:lang w:eastAsia="es-CR"/>
        </w:rPr>
      </w:pPr>
      <w:r>
        <w:rPr>
          <w:rFonts w:ascii="Book Antiqua" w:hAnsi="Book Antiqua" w:cs="Calibri"/>
          <w:color w:val="000000"/>
          <w:bdr w:val="none" w:sz="0" w:space="0" w:color="auto" w:frame="1"/>
          <w:shd w:val="clear" w:color="auto" w:fill="FFFFFF"/>
          <w:lang w:eastAsia="es-CR"/>
        </w:rPr>
        <w:br w:type="page"/>
      </w:r>
    </w:p>
    <w:p w14:paraId="3F255FBC" w14:textId="77777777" w:rsidR="00FF34AD" w:rsidRDefault="00FF34AD" w:rsidP="00985591">
      <w:pPr>
        <w:spacing w:line="276" w:lineRule="auto"/>
        <w:jc w:val="both"/>
        <w:rPr>
          <w:rFonts w:ascii="Book Antiqua" w:hAnsi="Book Antiqua" w:cs="Calibri"/>
          <w:color w:val="000000"/>
          <w:bdr w:val="none" w:sz="0" w:space="0" w:color="auto" w:frame="1"/>
          <w:shd w:val="clear" w:color="auto" w:fill="FFFFFF"/>
          <w:lang w:eastAsia="es-CR"/>
        </w:rPr>
      </w:pPr>
    </w:p>
    <w:p w14:paraId="1F913B49" w14:textId="77777777" w:rsidR="00AB4A44" w:rsidRDefault="00AB4A44" w:rsidP="00985591">
      <w:pPr>
        <w:spacing w:line="276" w:lineRule="auto"/>
        <w:jc w:val="both"/>
        <w:rPr>
          <w:rFonts w:ascii="Book Antiqua" w:hAnsi="Book Antiqua"/>
          <w:b/>
          <w:bCs/>
          <w:lang w:val="es-ES_tradnl" w:eastAsia="en-US"/>
        </w:rPr>
      </w:pPr>
    </w:p>
    <w:p w14:paraId="744D4EE0" w14:textId="227937C8" w:rsidR="00181CB9" w:rsidRPr="00181CB9" w:rsidRDefault="00181CB9" w:rsidP="00985591">
      <w:pPr>
        <w:spacing w:line="276" w:lineRule="auto"/>
        <w:jc w:val="center"/>
        <w:rPr>
          <w:rFonts w:ascii="Book Antiqua" w:hAnsi="Book Antiqua"/>
          <w:b/>
          <w:color w:val="000000"/>
        </w:rPr>
      </w:pPr>
      <w:r w:rsidRPr="00181CB9">
        <w:rPr>
          <w:rFonts w:ascii="Book Antiqua" w:hAnsi="Book Antiqua"/>
          <w:b/>
          <w:color w:val="000000"/>
        </w:rPr>
        <w:t xml:space="preserve">Cuadro </w:t>
      </w:r>
      <w:r w:rsidR="00AB4A44">
        <w:rPr>
          <w:rFonts w:ascii="Book Antiqua" w:hAnsi="Book Antiqua"/>
          <w:b/>
          <w:color w:val="000000"/>
        </w:rPr>
        <w:t>9</w:t>
      </w:r>
      <w:r w:rsidR="009179C3">
        <w:rPr>
          <w:rFonts w:ascii="Book Antiqua" w:hAnsi="Book Antiqua"/>
          <w:b/>
          <w:color w:val="000000"/>
        </w:rPr>
        <w:t>1</w:t>
      </w:r>
    </w:p>
    <w:p w14:paraId="54D7DBAA" w14:textId="392EF44B" w:rsidR="00181CB9" w:rsidRDefault="00181CB9" w:rsidP="00985591">
      <w:pPr>
        <w:spacing w:line="276" w:lineRule="auto"/>
        <w:jc w:val="center"/>
        <w:rPr>
          <w:rFonts w:ascii="Book Antiqua" w:hAnsi="Book Antiqua"/>
          <w:bCs/>
          <w:color w:val="000000"/>
        </w:rPr>
      </w:pPr>
      <w:r w:rsidRPr="00181CB9">
        <w:rPr>
          <w:rFonts w:ascii="Book Antiqua" w:hAnsi="Book Antiqua"/>
          <w:bCs/>
          <w:color w:val="000000"/>
        </w:rPr>
        <w:t>Oficinas de Flagrancia que brindan colaboración al ordinario</w:t>
      </w:r>
    </w:p>
    <w:tbl>
      <w:tblPr>
        <w:tblW w:w="9209" w:type="dxa"/>
        <w:jc w:val="center"/>
        <w:tblCellMar>
          <w:left w:w="70" w:type="dxa"/>
          <w:right w:w="70" w:type="dxa"/>
        </w:tblCellMar>
        <w:tblLook w:val="04A0" w:firstRow="1" w:lastRow="0" w:firstColumn="1" w:lastColumn="0" w:noHBand="0" w:noVBand="1"/>
      </w:tblPr>
      <w:tblGrid>
        <w:gridCol w:w="387"/>
        <w:gridCol w:w="7121"/>
        <w:gridCol w:w="851"/>
        <w:gridCol w:w="850"/>
      </w:tblGrid>
      <w:tr w:rsidR="00AB4A44" w:rsidRPr="00AB4A44" w14:paraId="63D12095" w14:textId="77777777" w:rsidTr="00AB4A44">
        <w:trPr>
          <w:trHeight w:val="275"/>
          <w:jc w:val="center"/>
        </w:trPr>
        <w:tc>
          <w:tcPr>
            <w:tcW w:w="387" w:type="dxa"/>
            <w:vMerge w:val="restart"/>
            <w:tcBorders>
              <w:top w:val="single" w:sz="4" w:space="0" w:color="auto"/>
              <w:left w:val="single" w:sz="4" w:space="0" w:color="auto"/>
              <w:bottom w:val="single" w:sz="4" w:space="0" w:color="auto"/>
              <w:right w:val="single" w:sz="4" w:space="0" w:color="auto"/>
            </w:tcBorders>
            <w:shd w:val="clear" w:color="000000" w:fill="305496"/>
            <w:noWrap/>
            <w:vAlign w:val="center"/>
            <w:hideMark/>
          </w:tcPr>
          <w:p w14:paraId="2ED4382D" w14:textId="77777777" w:rsidR="00AB4A44" w:rsidRPr="00AB4A44" w:rsidRDefault="00AB4A44" w:rsidP="00243F14">
            <w:pPr>
              <w:spacing w:line="276" w:lineRule="auto"/>
              <w:jc w:val="center"/>
              <w:rPr>
                <w:rFonts w:ascii="Book Antiqua" w:hAnsi="Book Antiqua" w:cs="Calibri"/>
                <w:b/>
                <w:bCs/>
                <w:color w:val="FFFFFF"/>
                <w:sz w:val="16"/>
                <w:szCs w:val="16"/>
                <w:lang w:eastAsia="es-CR"/>
              </w:rPr>
            </w:pPr>
            <w:r w:rsidRPr="00AB4A44">
              <w:rPr>
                <w:rFonts w:ascii="Book Antiqua" w:hAnsi="Book Antiqua" w:cs="Calibri"/>
                <w:b/>
                <w:bCs/>
                <w:color w:val="FFFFFF"/>
                <w:sz w:val="16"/>
                <w:szCs w:val="16"/>
                <w:lang w:eastAsia="es-CR"/>
              </w:rPr>
              <w:t>N°</w:t>
            </w:r>
          </w:p>
        </w:tc>
        <w:tc>
          <w:tcPr>
            <w:tcW w:w="7121" w:type="dxa"/>
            <w:vMerge w:val="restart"/>
            <w:tcBorders>
              <w:top w:val="single" w:sz="4" w:space="0" w:color="auto"/>
              <w:left w:val="single" w:sz="4" w:space="0" w:color="auto"/>
              <w:bottom w:val="single" w:sz="4" w:space="0" w:color="auto"/>
              <w:right w:val="single" w:sz="4" w:space="0" w:color="auto"/>
            </w:tcBorders>
            <w:shd w:val="clear" w:color="000000" w:fill="305496"/>
            <w:noWrap/>
            <w:vAlign w:val="center"/>
            <w:hideMark/>
          </w:tcPr>
          <w:p w14:paraId="1E7BDE5B" w14:textId="77777777" w:rsidR="00AB4A44" w:rsidRPr="00AB4A44" w:rsidRDefault="00AB4A44" w:rsidP="00243F14">
            <w:pPr>
              <w:spacing w:line="276" w:lineRule="auto"/>
              <w:rPr>
                <w:rFonts w:ascii="Book Antiqua" w:hAnsi="Book Antiqua" w:cs="Calibri"/>
                <w:b/>
                <w:bCs/>
                <w:color w:val="FFFFFF"/>
                <w:sz w:val="16"/>
                <w:szCs w:val="16"/>
                <w:lang w:eastAsia="es-CR"/>
              </w:rPr>
            </w:pPr>
            <w:r w:rsidRPr="00AB4A44">
              <w:rPr>
                <w:rFonts w:ascii="Book Antiqua" w:hAnsi="Book Antiqua" w:cs="Calibri"/>
                <w:b/>
                <w:bCs/>
                <w:color w:val="FFFFFF"/>
                <w:sz w:val="16"/>
                <w:szCs w:val="16"/>
                <w:lang w:eastAsia="es-CR"/>
              </w:rPr>
              <w:t>Oficina</w:t>
            </w:r>
          </w:p>
        </w:tc>
        <w:tc>
          <w:tcPr>
            <w:tcW w:w="1701"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110E11E4" w14:textId="77777777" w:rsidR="00AB4A44" w:rsidRPr="00AB4A44" w:rsidRDefault="00AB4A44" w:rsidP="00243F14">
            <w:pPr>
              <w:spacing w:line="276" w:lineRule="auto"/>
              <w:jc w:val="center"/>
              <w:rPr>
                <w:rFonts w:ascii="Book Antiqua" w:hAnsi="Book Antiqua" w:cs="Calibri"/>
                <w:color w:val="262626"/>
                <w:sz w:val="16"/>
                <w:szCs w:val="16"/>
                <w:lang w:eastAsia="es-CR"/>
              </w:rPr>
            </w:pPr>
            <w:r w:rsidRPr="00AB4A44">
              <w:rPr>
                <w:rFonts w:ascii="Book Antiqua" w:hAnsi="Book Antiqua" w:cs="Calibri"/>
                <w:color w:val="262626"/>
                <w:sz w:val="16"/>
                <w:szCs w:val="16"/>
                <w:lang w:eastAsia="es-CR"/>
              </w:rPr>
              <w:t>Colaboración al ordinario</w:t>
            </w:r>
          </w:p>
        </w:tc>
      </w:tr>
      <w:tr w:rsidR="00AB4A44" w:rsidRPr="00AB4A44" w14:paraId="18A6EDA6" w14:textId="77777777" w:rsidTr="00AB4A44">
        <w:trPr>
          <w:trHeight w:val="275"/>
          <w:jc w:val="center"/>
        </w:trPr>
        <w:tc>
          <w:tcPr>
            <w:tcW w:w="387" w:type="dxa"/>
            <w:vMerge/>
            <w:tcBorders>
              <w:top w:val="single" w:sz="4" w:space="0" w:color="auto"/>
              <w:left w:val="single" w:sz="4" w:space="0" w:color="auto"/>
              <w:bottom w:val="single" w:sz="4" w:space="0" w:color="auto"/>
              <w:right w:val="single" w:sz="4" w:space="0" w:color="auto"/>
            </w:tcBorders>
            <w:vAlign w:val="center"/>
            <w:hideMark/>
          </w:tcPr>
          <w:p w14:paraId="68DBDC47" w14:textId="77777777" w:rsidR="00AB4A44" w:rsidRPr="00AB4A44" w:rsidRDefault="00AB4A44" w:rsidP="00243F14">
            <w:pPr>
              <w:spacing w:line="276" w:lineRule="auto"/>
              <w:rPr>
                <w:rFonts w:ascii="Book Antiqua" w:hAnsi="Book Antiqua" w:cs="Calibri"/>
                <w:b/>
                <w:bCs/>
                <w:color w:val="FFFFFF"/>
                <w:sz w:val="16"/>
                <w:szCs w:val="16"/>
                <w:lang w:eastAsia="es-CR"/>
              </w:rPr>
            </w:pPr>
          </w:p>
        </w:tc>
        <w:tc>
          <w:tcPr>
            <w:tcW w:w="7121" w:type="dxa"/>
            <w:vMerge/>
            <w:tcBorders>
              <w:top w:val="single" w:sz="4" w:space="0" w:color="auto"/>
              <w:left w:val="single" w:sz="4" w:space="0" w:color="auto"/>
              <w:bottom w:val="single" w:sz="4" w:space="0" w:color="auto"/>
              <w:right w:val="single" w:sz="4" w:space="0" w:color="auto"/>
            </w:tcBorders>
            <w:vAlign w:val="center"/>
            <w:hideMark/>
          </w:tcPr>
          <w:p w14:paraId="559E7C10" w14:textId="77777777" w:rsidR="00AB4A44" w:rsidRPr="00AB4A44" w:rsidRDefault="00AB4A44" w:rsidP="00243F14">
            <w:pPr>
              <w:spacing w:line="276" w:lineRule="auto"/>
              <w:rPr>
                <w:rFonts w:ascii="Book Antiqua" w:hAnsi="Book Antiqua" w:cs="Calibri"/>
                <w:b/>
                <w:bCs/>
                <w:color w:val="FFFFFF"/>
                <w:sz w:val="16"/>
                <w:szCs w:val="16"/>
                <w:lang w:eastAsia="es-CR"/>
              </w:rPr>
            </w:pPr>
          </w:p>
        </w:tc>
        <w:tc>
          <w:tcPr>
            <w:tcW w:w="851" w:type="dxa"/>
            <w:tcBorders>
              <w:top w:val="nil"/>
              <w:left w:val="nil"/>
              <w:bottom w:val="single" w:sz="4" w:space="0" w:color="auto"/>
              <w:right w:val="single" w:sz="4" w:space="0" w:color="auto"/>
            </w:tcBorders>
            <w:shd w:val="clear" w:color="000000" w:fill="F2F2F2"/>
            <w:noWrap/>
            <w:vAlign w:val="center"/>
            <w:hideMark/>
          </w:tcPr>
          <w:p w14:paraId="3C0A5DB6" w14:textId="77777777" w:rsidR="00AB4A44" w:rsidRPr="00AB4A44" w:rsidRDefault="00AB4A44" w:rsidP="00243F14">
            <w:pPr>
              <w:spacing w:line="276" w:lineRule="auto"/>
              <w:jc w:val="center"/>
              <w:rPr>
                <w:rFonts w:ascii="Book Antiqua" w:hAnsi="Book Antiqua" w:cs="Calibri"/>
                <w:color w:val="000000"/>
                <w:sz w:val="16"/>
                <w:szCs w:val="16"/>
                <w:lang w:eastAsia="es-CR"/>
              </w:rPr>
            </w:pPr>
            <w:r w:rsidRPr="00AB4A44">
              <w:rPr>
                <w:rFonts w:ascii="Book Antiqua" w:hAnsi="Book Antiqua" w:cs="Calibri"/>
                <w:color w:val="000000"/>
                <w:sz w:val="16"/>
                <w:szCs w:val="16"/>
                <w:lang w:eastAsia="es-CR"/>
              </w:rPr>
              <w:t>Si</w:t>
            </w:r>
          </w:p>
        </w:tc>
        <w:tc>
          <w:tcPr>
            <w:tcW w:w="850" w:type="dxa"/>
            <w:tcBorders>
              <w:top w:val="nil"/>
              <w:left w:val="nil"/>
              <w:bottom w:val="single" w:sz="4" w:space="0" w:color="auto"/>
              <w:right w:val="single" w:sz="4" w:space="0" w:color="auto"/>
            </w:tcBorders>
            <w:shd w:val="clear" w:color="000000" w:fill="F2F2F2"/>
            <w:noWrap/>
            <w:vAlign w:val="center"/>
            <w:hideMark/>
          </w:tcPr>
          <w:p w14:paraId="74B9D82B" w14:textId="77777777" w:rsidR="00AB4A44" w:rsidRPr="00AB4A44" w:rsidRDefault="00AB4A44" w:rsidP="00243F14">
            <w:pPr>
              <w:spacing w:line="276" w:lineRule="auto"/>
              <w:jc w:val="center"/>
              <w:rPr>
                <w:rFonts w:ascii="Book Antiqua" w:hAnsi="Book Antiqua" w:cs="Calibri"/>
                <w:color w:val="000000"/>
                <w:sz w:val="16"/>
                <w:szCs w:val="16"/>
                <w:lang w:eastAsia="es-CR"/>
              </w:rPr>
            </w:pPr>
            <w:r w:rsidRPr="00AB4A44">
              <w:rPr>
                <w:rFonts w:ascii="Book Antiqua" w:hAnsi="Book Antiqua" w:cs="Calibri"/>
                <w:color w:val="000000"/>
                <w:sz w:val="16"/>
                <w:szCs w:val="16"/>
                <w:lang w:eastAsia="es-CR"/>
              </w:rPr>
              <w:t>No</w:t>
            </w:r>
          </w:p>
        </w:tc>
      </w:tr>
      <w:tr w:rsidR="00AB4A44" w:rsidRPr="00AB4A44" w14:paraId="3DA7442F" w14:textId="77777777" w:rsidTr="00AB4A44">
        <w:trPr>
          <w:trHeight w:val="275"/>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14:paraId="56F7AEE1" w14:textId="77777777" w:rsidR="00AB4A44" w:rsidRPr="00AB4A44" w:rsidRDefault="00AB4A44" w:rsidP="00243F14">
            <w:pPr>
              <w:spacing w:line="276" w:lineRule="auto"/>
              <w:jc w:val="center"/>
              <w:rPr>
                <w:rFonts w:ascii="Book Antiqua" w:hAnsi="Book Antiqua" w:cs="Calibri"/>
                <w:color w:val="000000"/>
                <w:sz w:val="16"/>
                <w:szCs w:val="16"/>
                <w:lang w:eastAsia="es-CR"/>
              </w:rPr>
            </w:pPr>
            <w:r w:rsidRPr="00AB4A44">
              <w:rPr>
                <w:rFonts w:ascii="Book Antiqua" w:hAnsi="Book Antiqua" w:cs="Calibri"/>
                <w:color w:val="000000"/>
                <w:sz w:val="16"/>
                <w:szCs w:val="16"/>
                <w:lang w:eastAsia="es-CR"/>
              </w:rPr>
              <w:t>1</w:t>
            </w:r>
          </w:p>
        </w:tc>
        <w:tc>
          <w:tcPr>
            <w:tcW w:w="7121" w:type="dxa"/>
            <w:tcBorders>
              <w:top w:val="nil"/>
              <w:left w:val="nil"/>
              <w:bottom w:val="single" w:sz="4" w:space="0" w:color="auto"/>
              <w:right w:val="single" w:sz="4" w:space="0" w:color="auto"/>
            </w:tcBorders>
            <w:shd w:val="clear" w:color="auto" w:fill="auto"/>
            <w:noWrap/>
            <w:vAlign w:val="center"/>
            <w:hideMark/>
          </w:tcPr>
          <w:p w14:paraId="76FCC2B4" w14:textId="77777777" w:rsidR="00AB4A44" w:rsidRPr="00AB4A44" w:rsidRDefault="00AB4A44" w:rsidP="00243F14">
            <w:pPr>
              <w:spacing w:line="276" w:lineRule="auto"/>
              <w:rPr>
                <w:rFonts w:ascii="Book Antiqua" w:hAnsi="Book Antiqua" w:cs="Calibri"/>
                <w:color w:val="000000"/>
                <w:sz w:val="16"/>
                <w:szCs w:val="16"/>
                <w:lang w:eastAsia="es-CR"/>
              </w:rPr>
            </w:pPr>
            <w:r w:rsidRPr="00AB4A44">
              <w:rPr>
                <w:rFonts w:ascii="Book Antiqua" w:hAnsi="Book Antiqua" w:cs="Calibri"/>
                <w:color w:val="000000"/>
                <w:sz w:val="16"/>
                <w:szCs w:val="16"/>
                <w:lang w:eastAsia="es-CR"/>
              </w:rPr>
              <w:t>Tribunal de Flagrancia del Primer Circuito Judicial de San José</w:t>
            </w:r>
          </w:p>
        </w:tc>
        <w:tc>
          <w:tcPr>
            <w:tcW w:w="851" w:type="dxa"/>
            <w:tcBorders>
              <w:top w:val="nil"/>
              <w:left w:val="nil"/>
              <w:bottom w:val="single" w:sz="4" w:space="0" w:color="auto"/>
              <w:right w:val="single" w:sz="4" w:space="0" w:color="auto"/>
            </w:tcBorders>
            <w:shd w:val="clear" w:color="auto" w:fill="auto"/>
            <w:noWrap/>
            <w:vAlign w:val="center"/>
            <w:hideMark/>
          </w:tcPr>
          <w:p w14:paraId="59C672D8" w14:textId="6702033F" w:rsidR="00AB4A44" w:rsidRPr="00AB4A44" w:rsidRDefault="00AB4A44" w:rsidP="00243F14">
            <w:pPr>
              <w:spacing w:line="276" w:lineRule="auto"/>
              <w:jc w:val="center"/>
              <w:rPr>
                <w:rFonts w:ascii="Book Antiqua" w:hAnsi="Book Antiqua" w:cs="Calibri"/>
                <w:color w:val="000000"/>
                <w:sz w:val="16"/>
                <w:szCs w:val="16"/>
                <w:lang w:eastAsia="es-CR"/>
              </w:rPr>
            </w:pPr>
            <w:r w:rsidRPr="00AB4A44">
              <w:rPr>
                <w:rFonts w:ascii="Book Antiqua" w:hAnsi="Book Antiqua" w:cs="Calibri"/>
                <w:color w:val="000000"/>
                <w:sz w:val="16"/>
                <w:szCs w:val="16"/>
                <w:lang w:eastAsia="es-CR"/>
              </w:rPr>
              <w:t> </w:t>
            </w:r>
            <w:r w:rsidR="00220F92">
              <w:rPr>
                <w:rFonts w:ascii="Book Antiqua" w:hAnsi="Book Antiqua" w:cs="Calibri"/>
                <w:color w:val="000000"/>
                <w:sz w:val="16"/>
                <w:szCs w:val="16"/>
                <w:lang w:eastAsia="es-CR"/>
              </w:rPr>
              <w:t>X</w:t>
            </w:r>
          </w:p>
        </w:tc>
        <w:tc>
          <w:tcPr>
            <w:tcW w:w="850" w:type="dxa"/>
            <w:tcBorders>
              <w:top w:val="nil"/>
              <w:left w:val="nil"/>
              <w:bottom w:val="single" w:sz="4" w:space="0" w:color="auto"/>
              <w:right w:val="single" w:sz="4" w:space="0" w:color="auto"/>
            </w:tcBorders>
            <w:shd w:val="clear" w:color="auto" w:fill="auto"/>
            <w:noWrap/>
            <w:vAlign w:val="center"/>
            <w:hideMark/>
          </w:tcPr>
          <w:p w14:paraId="2D30A143" w14:textId="3D2C493A" w:rsidR="00AB4A44" w:rsidRPr="00AB4A44" w:rsidRDefault="00AB4A44" w:rsidP="00243F14">
            <w:pPr>
              <w:spacing w:line="276" w:lineRule="auto"/>
              <w:jc w:val="center"/>
              <w:rPr>
                <w:rFonts w:ascii="Book Antiqua" w:hAnsi="Book Antiqua" w:cs="Calibri"/>
                <w:color w:val="000000"/>
                <w:sz w:val="16"/>
                <w:szCs w:val="16"/>
                <w:lang w:eastAsia="es-CR"/>
              </w:rPr>
            </w:pPr>
          </w:p>
        </w:tc>
      </w:tr>
      <w:tr w:rsidR="00AB4A44" w:rsidRPr="00AB4A44" w14:paraId="255B8FCD" w14:textId="77777777" w:rsidTr="00AB4A44">
        <w:trPr>
          <w:trHeight w:val="275"/>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14:paraId="54EF856E" w14:textId="77777777" w:rsidR="00AB4A44" w:rsidRPr="00AB4A44" w:rsidRDefault="00AB4A44" w:rsidP="00243F14">
            <w:pPr>
              <w:spacing w:line="276" w:lineRule="auto"/>
              <w:jc w:val="center"/>
              <w:rPr>
                <w:rFonts w:ascii="Book Antiqua" w:hAnsi="Book Antiqua" w:cs="Calibri"/>
                <w:color w:val="000000"/>
                <w:sz w:val="16"/>
                <w:szCs w:val="16"/>
                <w:lang w:eastAsia="es-CR"/>
              </w:rPr>
            </w:pPr>
            <w:r w:rsidRPr="00AB4A44">
              <w:rPr>
                <w:rFonts w:ascii="Book Antiqua" w:hAnsi="Book Antiqua" w:cs="Calibri"/>
                <w:color w:val="000000"/>
                <w:sz w:val="16"/>
                <w:szCs w:val="16"/>
                <w:lang w:eastAsia="es-CR"/>
              </w:rPr>
              <w:t>2</w:t>
            </w:r>
          </w:p>
        </w:tc>
        <w:tc>
          <w:tcPr>
            <w:tcW w:w="7121" w:type="dxa"/>
            <w:tcBorders>
              <w:top w:val="nil"/>
              <w:left w:val="nil"/>
              <w:bottom w:val="single" w:sz="4" w:space="0" w:color="auto"/>
              <w:right w:val="single" w:sz="4" w:space="0" w:color="auto"/>
            </w:tcBorders>
            <w:shd w:val="clear" w:color="auto" w:fill="auto"/>
            <w:noWrap/>
            <w:vAlign w:val="center"/>
            <w:hideMark/>
          </w:tcPr>
          <w:p w14:paraId="03DEBC4F" w14:textId="77777777" w:rsidR="00AB4A44" w:rsidRPr="00AB4A44" w:rsidRDefault="00AB4A44" w:rsidP="00243F14">
            <w:pPr>
              <w:spacing w:line="276" w:lineRule="auto"/>
              <w:rPr>
                <w:rFonts w:ascii="Book Antiqua" w:hAnsi="Book Antiqua" w:cs="Calibri"/>
                <w:color w:val="000000"/>
                <w:sz w:val="16"/>
                <w:szCs w:val="16"/>
                <w:lang w:eastAsia="es-CR"/>
              </w:rPr>
            </w:pPr>
            <w:r w:rsidRPr="00AB4A44">
              <w:rPr>
                <w:rFonts w:ascii="Book Antiqua" w:hAnsi="Book Antiqua" w:cs="Calibri"/>
                <w:color w:val="000000"/>
                <w:sz w:val="16"/>
                <w:szCs w:val="16"/>
                <w:lang w:eastAsia="es-CR"/>
              </w:rPr>
              <w:t>Tribunal de Flagrancia del Segundo Circuito Judicial de San José (Goicoechea)</w:t>
            </w:r>
          </w:p>
        </w:tc>
        <w:tc>
          <w:tcPr>
            <w:tcW w:w="851" w:type="dxa"/>
            <w:tcBorders>
              <w:top w:val="nil"/>
              <w:left w:val="nil"/>
              <w:bottom w:val="single" w:sz="4" w:space="0" w:color="auto"/>
              <w:right w:val="single" w:sz="4" w:space="0" w:color="auto"/>
            </w:tcBorders>
            <w:shd w:val="clear" w:color="auto" w:fill="auto"/>
            <w:noWrap/>
            <w:vAlign w:val="center"/>
            <w:hideMark/>
          </w:tcPr>
          <w:p w14:paraId="12EAD308" w14:textId="77777777" w:rsidR="00AB4A44" w:rsidRPr="00AB4A44" w:rsidRDefault="00AB4A44" w:rsidP="00243F14">
            <w:pPr>
              <w:spacing w:line="276" w:lineRule="auto"/>
              <w:jc w:val="center"/>
              <w:rPr>
                <w:rFonts w:ascii="Book Antiqua" w:hAnsi="Book Antiqua" w:cs="Calibri"/>
                <w:color w:val="000000"/>
                <w:sz w:val="16"/>
                <w:szCs w:val="16"/>
                <w:lang w:eastAsia="es-CR"/>
              </w:rPr>
            </w:pPr>
            <w:r w:rsidRPr="00AB4A44">
              <w:rPr>
                <w:rFonts w:ascii="Book Antiqua" w:hAnsi="Book Antiqua" w:cs="Calibri"/>
                <w:color w:val="000000"/>
                <w:sz w:val="16"/>
                <w:szCs w:val="16"/>
                <w:lang w:eastAsia="es-CR"/>
              </w:rPr>
              <w:t> </w:t>
            </w:r>
          </w:p>
        </w:tc>
        <w:tc>
          <w:tcPr>
            <w:tcW w:w="850" w:type="dxa"/>
            <w:tcBorders>
              <w:top w:val="nil"/>
              <w:left w:val="nil"/>
              <w:bottom w:val="single" w:sz="4" w:space="0" w:color="auto"/>
              <w:right w:val="single" w:sz="4" w:space="0" w:color="auto"/>
            </w:tcBorders>
            <w:shd w:val="clear" w:color="auto" w:fill="auto"/>
            <w:noWrap/>
            <w:vAlign w:val="center"/>
            <w:hideMark/>
          </w:tcPr>
          <w:p w14:paraId="55AE9373" w14:textId="77777777" w:rsidR="00AB4A44" w:rsidRPr="00AB4A44" w:rsidRDefault="00AB4A44" w:rsidP="00243F14">
            <w:pPr>
              <w:spacing w:line="276" w:lineRule="auto"/>
              <w:jc w:val="center"/>
              <w:rPr>
                <w:rFonts w:ascii="Book Antiqua" w:hAnsi="Book Antiqua" w:cs="Calibri"/>
                <w:color w:val="000000"/>
                <w:sz w:val="16"/>
                <w:szCs w:val="16"/>
                <w:lang w:eastAsia="es-CR"/>
              </w:rPr>
            </w:pPr>
            <w:r w:rsidRPr="00AB4A44">
              <w:rPr>
                <w:rFonts w:ascii="Book Antiqua" w:hAnsi="Book Antiqua" w:cs="Calibri"/>
                <w:color w:val="000000"/>
                <w:sz w:val="16"/>
                <w:szCs w:val="16"/>
                <w:lang w:eastAsia="es-CR"/>
              </w:rPr>
              <w:t>X</w:t>
            </w:r>
          </w:p>
        </w:tc>
      </w:tr>
      <w:tr w:rsidR="00AB4A44" w:rsidRPr="00AB4A44" w14:paraId="5A394367" w14:textId="77777777" w:rsidTr="00AB4A44">
        <w:trPr>
          <w:trHeight w:val="275"/>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14:paraId="44A869F7" w14:textId="77777777" w:rsidR="00AB4A44" w:rsidRPr="00AB4A44" w:rsidRDefault="00AB4A44" w:rsidP="00243F14">
            <w:pPr>
              <w:spacing w:line="276" w:lineRule="auto"/>
              <w:jc w:val="center"/>
              <w:rPr>
                <w:rFonts w:ascii="Book Antiqua" w:hAnsi="Book Antiqua" w:cs="Calibri"/>
                <w:color w:val="000000"/>
                <w:sz w:val="16"/>
                <w:szCs w:val="16"/>
                <w:lang w:eastAsia="es-CR"/>
              </w:rPr>
            </w:pPr>
            <w:r w:rsidRPr="00AB4A44">
              <w:rPr>
                <w:rFonts w:ascii="Book Antiqua" w:hAnsi="Book Antiqua" w:cs="Calibri"/>
                <w:color w:val="000000"/>
                <w:sz w:val="16"/>
                <w:szCs w:val="16"/>
                <w:lang w:eastAsia="es-CR"/>
              </w:rPr>
              <w:t>3</w:t>
            </w:r>
          </w:p>
        </w:tc>
        <w:tc>
          <w:tcPr>
            <w:tcW w:w="7121" w:type="dxa"/>
            <w:tcBorders>
              <w:top w:val="nil"/>
              <w:left w:val="nil"/>
              <w:bottom w:val="single" w:sz="4" w:space="0" w:color="auto"/>
              <w:right w:val="single" w:sz="4" w:space="0" w:color="auto"/>
            </w:tcBorders>
            <w:shd w:val="clear" w:color="auto" w:fill="auto"/>
            <w:noWrap/>
            <w:vAlign w:val="center"/>
            <w:hideMark/>
          </w:tcPr>
          <w:p w14:paraId="0BF5EEF1" w14:textId="77777777" w:rsidR="00AB4A44" w:rsidRPr="00AB4A44" w:rsidRDefault="00AB4A44" w:rsidP="00243F14">
            <w:pPr>
              <w:spacing w:line="276" w:lineRule="auto"/>
              <w:rPr>
                <w:rFonts w:ascii="Book Antiqua" w:hAnsi="Book Antiqua" w:cs="Calibri"/>
                <w:color w:val="000000"/>
                <w:sz w:val="16"/>
                <w:szCs w:val="16"/>
                <w:lang w:eastAsia="es-CR"/>
              </w:rPr>
            </w:pPr>
            <w:r w:rsidRPr="00AB4A44">
              <w:rPr>
                <w:rFonts w:ascii="Book Antiqua" w:hAnsi="Book Antiqua" w:cs="Calibri"/>
                <w:color w:val="000000"/>
                <w:sz w:val="16"/>
                <w:szCs w:val="16"/>
                <w:lang w:eastAsia="es-CR"/>
              </w:rPr>
              <w:t>Tribunal de Flagrancia del Segundo Circuito Judicial de Alajuela (San Carlos)</w:t>
            </w:r>
          </w:p>
        </w:tc>
        <w:tc>
          <w:tcPr>
            <w:tcW w:w="851" w:type="dxa"/>
            <w:tcBorders>
              <w:top w:val="nil"/>
              <w:left w:val="nil"/>
              <w:bottom w:val="single" w:sz="4" w:space="0" w:color="auto"/>
              <w:right w:val="single" w:sz="4" w:space="0" w:color="auto"/>
            </w:tcBorders>
            <w:shd w:val="clear" w:color="auto" w:fill="auto"/>
            <w:noWrap/>
            <w:vAlign w:val="center"/>
            <w:hideMark/>
          </w:tcPr>
          <w:p w14:paraId="74DC4E97" w14:textId="77777777" w:rsidR="00AB4A44" w:rsidRPr="00AB4A44" w:rsidRDefault="00AB4A44" w:rsidP="00243F14">
            <w:pPr>
              <w:spacing w:line="276" w:lineRule="auto"/>
              <w:jc w:val="center"/>
              <w:rPr>
                <w:rFonts w:ascii="Book Antiqua" w:hAnsi="Book Antiqua" w:cs="Calibri"/>
                <w:color w:val="000000"/>
                <w:sz w:val="16"/>
                <w:szCs w:val="16"/>
                <w:lang w:eastAsia="es-CR"/>
              </w:rPr>
            </w:pPr>
            <w:r w:rsidRPr="00AB4A44">
              <w:rPr>
                <w:rFonts w:ascii="Book Antiqua" w:hAnsi="Book Antiqua" w:cs="Calibri"/>
                <w:color w:val="000000"/>
                <w:sz w:val="16"/>
                <w:szCs w:val="16"/>
                <w:lang w:eastAsia="es-CR"/>
              </w:rPr>
              <w:t> </w:t>
            </w:r>
          </w:p>
        </w:tc>
        <w:tc>
          <w:tcPr>
            <w:tcW w:w="850" w:type="dxa"/>
            <w:tcBorders>
              <w:top w:val="nil"/>
              <w:left w:val="nil"/>
              <w:bottom w:val="single" w:sz="4" w:space="0" w:color="auto"/>
              <w:right w:val="single" w:sz="4" w:space="0" w:color="auto"/>
            </w:tcBorders>
            <w:shd w:val="clear" w:color="auto" w:fill="auto"/>
            <w:noWrap/>
            <w:vAlign w:val="center"/>
            <w:hideMark/>
          </w:tcPr>
          <w:p w14:paraId="42BFFC27" w14:textId="77777777" w:rsidR="00AB4A44" w:rsidRPr="00AB4A44" w:rsidRDefault="00AB4A44" w:rsidP="00243F14">
            <w:pPr>
              <w:spacing w:line="276" w:lineRule="auto"/>
              <w:jc w:val="center"/>
              <w:rPr>
                <w:rFonts w:ascii="Book Antiqua" w:hAnsi="Book Antiqua" w:cs="Calibri"/>
                <w:color w:val="000000"/>
                <w:sz w:val="16"/>
                <w:szCs w:val="16"/>
                <w:lang w:eastAsia="es-CR"/>
              </w:rPr>
            </w:pPr>
            <w:r w:rsidRPr="00AB4A44">
              <w:rPr>
                <w:rFonts w:ascii="Book Antiqua" w:hAnsi="Book Antiqua" w:cs="Calibri"/>
                <w:color w:val="000000"/>
                <w:sz w:val="16"/>
                <w:szCs w:val="16"/>
                <w:lang w:eastAsia="es-CR"/>
              </w:rPr>
              <w:t>X</w:t>
            </w:r>
          </w:p>
        </w:tc>
      </w:tr>
      <w:tr w:rsidR="00AB4A44" w:rsidRPr="00AB4A44" w14:paraId="7202A631" w14:textId="77777777" w:rsidTr="00AB4A44">
        <w:trPr>
          <w:trHeight w:val="275"/>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14:paraId="61DB9B16" w14:textId="77777777" w:rsidR="00AB4A44" w:rsidRPr="00AB4A44" w:rsidRDefault="00AB4A44" w:rsidP="00243F14">
            <w:pPr>
              <w:spacing w:line="276" w:lineRule="auto"/>
              <w:jc w:val="center"/>
              <w:rPr>
                <w:rFonts w:ascii="Book Antiqua" w:hAnsi="Book Antiqua" w:cs="Calibri"/>
                <w:color w:val="000000"/>
                <w:sz w:val="16"/>
                <w:szCs w:val="16"/>
                <w:lang w:eastAsia="es-CR"/>
              </w:rPr>
            </w:pPr>
            <w:r w:rsidRPr="00AB4A44">
              <w:rPr>
                <w:rFonts w:ascii="Book Antiqua" w:hAnsi="Book Antiqua" w:cs="Calibri"/>
                <w:color w:val="000000"/>
                <w:sz w:val="16"/>
                <w:szCs w:val="16"/>
                <w:lang w:eastAsia="es-CR"/>
              </w:rPr>
              <w:t>4</w:t>
            </w:r>
          </w:p>
        </w:tc>
        <w:tc>
          <w:tcPr>
            <w:tcW w:w="7121" w:type="dxa"/>
            <w:tcBorders>
              <w:top w:val="nil"/>
              <w:left w:val="nil"/>
              <w:bottom w:val="single" w:sz="4" w:space="0" w:color="auto"/>
              <w:right w:val="single" w:sz="4" w:space="0" w:color="auto"/>
            </w:tcBorders>
            <w:shd w:val="clear" w:color="auto" w:fill="auto"/>
            <w:noWrap/>
            <w:vAlign w:val="center"/>
            <w:hideMark/>
          </w:tcPr>
          <w:p w14:paraId="40D97E92" w14:textId="77777777" w:rsidR="00AB4A44" w:rsidRPr="00AB4A44" w:rsidRDefault="00AB4A44" w:rsidP="00243F14">
            <w:pPr>
              <w:spacing w:line="276" w:lineRule="auto"/>
              <w:rPr>
                <w:rFonts w:ascii="Book Antiqua" w:hAnsi="Book Antiqua" w:cs="Calibri"/>
                <w:color w:val="000000"/>
                <w:sz w:val="16"/>
                <w:szCs w:val="16"/>
                <w:lang w:eastAsia="es-CR"/>
              </w:rPr>
            </w:pPr>
            <w:r w:rsidRPr="00AB4A44">
              <w:rPr>
                <w:rFonts w:ascii="Book Antiqua" w:hAnsi="Book Antiqua" w:cs="Calibri"/>
                <w:color w:val="000000"/>
                <w:sz w:val="16"/>
                <w:szCs w:val="16"/>
                <w:lang w:eastAsia="es-CR"/>
              </w:rPr>
              <w:t>Tribunal de Flagrancia de Heredia</w:t>
            </w:r>
          </w:p>
        </w:tc>
        <w:tc>
          <w:tcPr>
            <w:tcW w:w="851" w:type="dxa"/>
            <w:tcBorders>
              <w:top w:val="nil"/>
              <w:left w:val="nil"/>
              <w:bottom w:val="single" w:sz="4" w:space="0" w:color="auto"/>
              <w:right w:val="single" w:sz="4" w:space="0" w:color="auto"/>
            </w:tcBorders>
            <w:shd w:val="clear" w:color="auto" w:fill="auto"/>
            <w:noWrap/>
            <w:vAlign w:val="center"/>
            <w:hideMark/>
          </w:tcPr>
          <w:p w14:paraId="72D9903C" w14:textId="77777777" w:rsidR="00AB4A44" w:rsidRPr="00AB4A44" w:rsidRDefault="00AB4A44" w:rsidP="00243F14">
            <w:pPr>
              <w:spacing w:line="276" w:lineRule="auto"/>
              <w:jc w:val="center"/>
              <w:rPr>
                <w:rFonts w:ascii="Book Antiqua" w:hAnsi="Book Antiqua" w:cs="Calibri"/>
                <w:color w:val="000000"/>
                <w:sz w:val="16"/>
                <w:szCs w:val="16"/>
                <w:lang w:eastAsia="es-CR"/>
              </w:rPr>
            </w:pPr>
            <w:r w:rsidRPr="00AB4A44">
              <w:rPr>
                <w:rFonts w:ascii="Book Antiqua" w:hAnsi="Book Antiqua" w:cs="Calibri"/>
                <w:color w:val="000000"/>
                <w:sz w:val="16"/>
                <w:szCs w:val="16"/>
                <w:lang w:eastAsia="es-CR"/>
              </w:rPr>
              <w:t> </w:t>
            </w:r>
          </w:p>
        </w:tc>
        <w:tc>
          <w:tcPr>
            <w:tcW w:w="850" w:type="dxa"/>
            <w:tcBorders>
              <w:top w:val="nil"/>
              <w:left w:val="nil"/>
              <w:bottom w:val="single" w:sz="4" w:space="0" w:color="auto"/>
              <w:right w:val="single" w:sz="4" w:space="0" w:color="auto"/>
            </w:tcBorders>
            <w:shd w:val="clear" w:color="auto" w:fill="auto"/>
            <w:noWrap/>
            <w:vAlign w:val="center"/>
            <w:hideMark/>
          </w:tcPr>
          <w:p w14:paraId="1F7F4EE7" w14:textId="77777777" w:rsidR="00AB4A44" w:rsidRPr="00AB4A44" w:rsidRDefault="00AB4A44" w:rsidP="00243F14">
            <w:pPr>
              <w:spacing w:line="276" w:lineRule="auto"/>
              <w:jc w:val="center"/>
              <w:rPr>
                <w:rFonts w:ascii="Book Antiqua" w:hAnsi="Book Antiqua" w:cs="Calibri"/>
                <w:color w:val="000000"/>
                <w:sz w:val="16"/>
                <w:szCs w:val="16"/>
                <w:lang w:eastAsia="es-CR"/>
              </w:rPr>
            </w:pPr>
            <w:r w:rsidRPr="00AB4A44">
              <w:rPr>
                <w:rFonts w:ascii="Book Antiqua" w:hAnsi="Book Antiqua" w:cs="Calibri"/>
                <w:color w:val="000000"/>
                <w:sz w:val="16"/>
                <w:szCs w:val="16"/>
                <w:lang w:eastAsia="es-CR"/>
              </w:rPr>
              <w:t>X</w:t>
            </w:r>
          </w:p>
        </w:tc>
      </w:tr>
      <w:tr w:rsidR="00AB4A44" w:rsidRPr="00AB4A44" w14:paraId="48998B69" w14:textId="77777777" w:rsidTr="00AB4A44">
        <w:trPr>
          <w:trHeight w:val="275"/>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14:paraId="6AAEA16E" w14:textId="77777777" w:rsidR="00AB4A44" w:rsidRPr="00AB4A44" w:rsidRDefault="00AB4A44" w:rsidP="00243F14">
            <w:pPr>
              <w:spacing w:line="276" w:lineRule="auto"/>
              <w:jc w:val="center"/>
              <w:rPr>
                <w:rFonts w:ascii="Book Antiqua" w:hAnsi="Book Antiqua" w:cs="Calibri"/>
                <w:color w:val="000000"/>
                <w:sz w:val="16"/>
                <w:szCs w:val="16"/>
                <w:lang w:eastAsia="es-CR"/>
              </w:rPr>
            </w:pPr>
            <w:r w:rsidRPr="00AB4A44">
              <w:rPr>
                <w:rFonts w:ascii="Book Antiqua" w:hAnsi="Book Antiqua" w:cs="Calibri"/>
                <w:color w:val="000000"/>
                <w:sz w:val="16"/>
                <w:szCs w:val="16"/>
                <w:lang w:eastAsia="es-CR"/>
              </w:rPr>
              <w:t>5</w:t>
            </w:r>
          </w:p>
        </w:tc>
        <w:tc>
          <w:tcPr>
            <w:tcW w:w="7121" w:type="dxa"/>
            <w:tcBorders>
              <w:top w:val="nil"/>
              <w:left w:val="nil"/>
              <w:bottom w:val="single" w:sz="4" w:space="0" w:color="auto"/>
              <w:right w:val="single" w:sz="4" w:space="0" w:color="auto"/>
            </w:tcBorders>
            <w:shd w:val="clear" w:color="auto" w:fill="auto"/>
            <w:noWrap/>
            <w:vAlign w:val="center"/>
            <w:hideMark/>
          </w:tcPr>
          <w:p w14:paraId="4873EE13" w14:textId="77777777" w:rsidR="00AB4A44" w:rsidRPr="00AB4A44" w:rsidRDefault="00AB4A44" w:rsidP="00243F14">
            <w:pPr>
              <w:spacing w:line="276" w:lineRule="auto"/>
              <w:rPr>
                <w:rFonts w:ascii="Book Antiqua" w:hAnsi="Book Antiqua" w:cs="Calibri"/>
                <w:color w:val="000000"/>
                <w:sz w:val="16"/>
                <w:szCs w:val="16"/>
                <w:lang w:eastAsia="es-CR"/>
              </w:rPr>
            </w:pPr>
            <w:r w:rsidRPr="00AB4A44">
              <w:rPr>
                <w:rFonts w:ascii="Book Antiqua" w:hAnsi="Book Antiqua" w:cs="Calibri"/>
                <w:color w:val="000000"/>
                <w:sz w:val="16"/>
                <w:szCs w:val="16"/>
                <w:lang w:eastAsia="es-CR"/>
              </w:rPr>
              <w:t>Tribunal de Flagrancia del Primer Circuito Judicial de la Zona Sur (Pérez Zeledón)</w:t>
            </w:r>
          </w:p>
        </w:tc>
        <w:tc>
          <w:tcPr>
            <w:tcW w:w="851" w:type="dxa"/>
            <w:tcBorders>
              <w:top w:val="nil"/>
              <w:left w:val="nil"/>
              <w:bottom w:val="single" w:sz="4" w:space="0" w:color="auto"/>
              <w:right w:val="single" w:sz="4" w:space="0" w:color="auto"/>
            </w:tcBorders>
            <w:shd w:val="clear" w:color="auto" w:fill="auto"/>
            <w:noWrap/>
            <w:vAlign w:val="center"/>
            <w:hideMark/>
          </w:tcPr>
          <w:p w14:paraId="22812512" w14:textId="77777777" w:rsidR="00AB4A44" w:rsidRPr="00AB4A44" w:rsidRDefault="00AB4A44" w:rsidP="00243F14">
            <w:pPr>
              <w:spacing w:line="276" w:lineRule="auto"/>
              <w:jc w:val="center"/>
              <w:rPr>
                <w:rFonts w:ascii="Book Antiqua" w:hAnsi="Book Antiqua" w:cs="Calibri"/>
                <w:color w:val="000000"/>
                <w:sz w:val="16"/>
                <w:szCs w:val="16"/>
                <w:lang w:eastAsia="es-CR"/>
              </w:rPr>
            </w:pPr>
            <w:r w:rsidRPr="00AB4A44">
              <w:rPr>
                <w:rFonts w:ascii="Book Antiqua" w:hAnsi="Book Antiqua" w:cs="Calibri"/>
                <w:color w:val="000000"/>
                <w:sz w:val="16"/>
                <w:szCs w:val="16"/>
                <w:lang w:eastAsia="es-CR"/>
              </w:rPr>
              <w:t> </w:t>
            </w:r>
          </w:p>
        </w:tc>
        <w:tc>
          <w:tcPr>
            <w:tcW w:w="850" w:type="dxa"/>
            <w:tcBorders>
              <w:top w:val="nil"/>
              <w:left w:val="nil"/>
              <w:bottom w:val="single" w:sz="4" w:space="0" w:color="auto"/>
              <w:right w:val="single" w:sz="4" w:space="0" w:color="auto"/>
            </w:tcBorders>
            <w:shd w:val="clear" w:color="auto" w:fill="auto"/>
            <w:noWrap/>
            <w:vAlign w:val="center"/>
            <w:hideMark/>
          </w:tcPr>
          <w:p w14:paraId="4F77F908" w14:textId="77777777" w:rsidR="00AB4A44" w:rsidRPr="00AB4A44" w:rsidRDefault="00AB4A44" w:rsidP="00243F14">
            <w:pPr>
              <w:spacing w:line="276" w:lineRule="auto"/>
              <w:jc w:val="center"/>
              <w:rPr>
                <w:rFonts w:ascii="Book Antiqua" w:hAnsi="Book Antiqua" w:cs="Calibri"/>
                <w:color w:val="000000"/>
                <w:sz w:val="16"/>
                <w:szCs w:val="16"/>
                <w:lang w:eastAsia="es-CR"/>
              </w:rPr>
            </w:pPr>
            <w:r w:rsidRPr="00AB4A44">
              <w:rPr>
                <w:rFonts w:ascii="Book Antiqua" w:hAnsi="Book Antiqua" w:cs="Calibri"/>
                <w:color w:val="000000"/>
                <w:sz w:val="16"/>
                <w:szCs w:val="16"/>
                <w:lang w:eastAsia="es-CR"/>
              </w:rPr>
              <w:t>X</w:t>
            </w:r>
          </w:p>
        </w:tc>
      </w:tr>
      <w:tr w:rsidR="00AB4A44" w:rsidRPr="00AB4A44" w14:paraId="791B0DC2" w14:textId="77777777" w:rsidTr="00AB4A44">
        <w:trPr>
          <w:trHeight w:val="275"/>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14:paraId="45861D60" w14:textId="77777777" w:rsidR="00AB4A44" w:rsidRPr="00AB4A44" w:rsidRDefault="00AB4A44" w:rsidP="00243F14">
            <w:pPr>
              <w:spacing w:line="276" w:lineRule="auto"/>
              <w:jc w:val="center"/>
              <w:rPr>
                <w:rFonts w:ascii="Book Antiqua" w:hAnsi="Book Antiqua" w:cs="Calibri"/>
                <w:color w:val="000000"/>
                <w:sz w:val="16"/>
                <w:szCs w:val="16"/>
                <w:lang w:eastAsia="es-CR"/>
              </w:rPr>
            </w:pPr>
            <w:r w:rsidRPr="00AB4A44">
              <w:rPr>
                <w:rFonts w:ascii="Book Antiqua" w:hAnsi="Book Antiqua" w:cs="Calibri"/>
                <w:color w:val="000000"/>
                <w:sz w:val="16"/>
                <w:szCs w:val="16"/>
                <w:lang w:eastAsia="es-CR"/>
              </w:rPr>
              <w:t>6</w:t>
            </w:r>
          </w:p>
        </w:tc>
        <w:tc>
          <w:tcPr>
            <w:tcW w:w="7121" w:type="dxa"/>
            <w:tcBorders>
              <w:top w:val="nil"/>
              <w:left w:val="nil"/>
              <w:bottom w:val="single" w:sz="4" w:space="0" w:color="auto"/>
              <w:right w:val="single" w:sz="4" w:space="0" w:color="auto"/>
            </w:tcBorders>
            <w:shd w:val="clear" w:color="auto" w:fill="auto"/>
            <w:noWrap/>
            <w:vAlign w:val="center"/>
            <w:hideMark/>
          </w:tcPr>
          <w:p w14:paraId="4521CABC" w14:textId="77777777" w:rsidR="00AB4A44" w:rsidRPr="00AB4A44" w:rsidRDefault="00AB4A44" w:rsidP="00243F14">
            <w:pPr>
              <w:spacing w:line="276" w:lineRule="auto"/>
              <w:rPr>
                <w:rFonts w:ascii="Book Antiqua" w:hAnsi="Book Antiqua" w:cs="Calibri"/>
                <w:color w:val="000000"/>
                <w:sz w:val="16"/>
                <w:szCs w:val="16"/>
                <w:lang w:eastAsia="es-CR"/>
              </w:rPr>
            </w:pPr>
            <w:r w:rsidRPr="00AB4A44">
              <w:rPr>
                <w:rFonts w:ascii="Book Antiqua" w:hAnsi="Book Antiqua" w:cs="Calibri"/>
                <w:color w:val="000000"/>
                <w:sz w:val="16"/>
                <w:szCs w:val="16"/>
                <w:lang w:eastAsia="es-CR"/>
              </w:rPr>
              <w:t>Tribunal de Flagrancia del Primer Circuito Judicial de Alajuela</w:t>
            </w:r>
          </w:p>
        </w:tc>
        <w:tc>
          <w:tcPr>
            <w:tcW w:w="851" w:type="dxa"/>
            <w:tcBorders>
              <w:top w:val="nil"/>
              <w:left w:val="nil"/>
              <w:bottom w:val="single" w:sz="4" w:space="0" w:color="auto"/>
              <w:right w:val="single" w:sz="4" w:space="0" w:color="auto"/>
            </w:tcBorders>
            <w:shd w:val="clear" w:color="auto" w:fill="auto"/>
            <w:noWrap/>
            <w:vAlign w:val="center"/>
            <w:hideMark/>
          </w:tcPr>
          <w:p w14:paraId="3C6B667D" w14:textId="77777777" w:rsidR="00AB4A44" w:rsidRPr="00AB4A44" w:rsidRDefault="00AB4A44" w:rsidP="00243F14">
            <w:pPr>
              <w:spacing w:line="276" w:lineRule="auto"/>
              <w:jc w:val="center"/>
              <w:rPr>
                <w:rFonts w:ascii="Book Antiqua" w:hAnsi="Book Antiqua" w:cs="Calibri"/>
                <w:color w:val="000000"/>
                <w:sz w:val="16"/>
                <w:szCs w:val="16"/>
                <w:lang w:eastAsia="es-CR"/>
              </w:rPr>
            </w:pPr>
            <w:r w:rsidRPr="00AB4A44">
              <w:rPr>
                <w:rFonts w:ascii="Book Antiqua" w:hAnsi="Book Antiqua" w:cs="Calibri"/>
                <w:color w:val="000000"/>
                <w:sz w:val="16"/>
                <w:szCs w:val="16"/>
                <w:lang w:eastAsia="es-CR"/>
              </w:rPr>
              <w:t>X</w:t>
            </w:r>
          </w:p>
        </w:tc>
        <w:tc>
          <w:tcPr>
            <w:tcW w:w="850" w:type="dxa"/>
            <w:tcBorders>
              <w:top w:val="nil"/>
              <w:left w:val="nil"/>
              <w:bottom w:val="single" w:sz="4" w:space="0" w:color="auto"/>
              <w:right w:val="single" w:sz="4" w:space="0" w:color="auto"/>
            </w:tcBorders>
            <w:shd w:val="clear" w:color="auto" w:fill="auto"/>
            <w:noWrap/>
            <w:vAlign w:val="center"/>
            <w:hideMark/>
          </w:tcPr>
          <w:p w14:paraId="7F479B3A" w14:textId="77777777" w:rsidR="00AB4A44" w:rsidRPr="00AB4A44" w:rsidRDefault="00AB4A44" w:rsidP="00243F14">
            <w:pPr>
              <w:spacing w:line="276" w:lineRule="auto"/>
              <w:jc w:val="center"/>
              <w:rPr>
                <w:rFonts w:ascii="Book Antiqua" w:hAnsi="Book Antiqua" w:cs="Calibri"/>
                <w:color w:val="000000"/>
                <w:sz w:val="16"/>
                <w:szCs w:val="16"/>
                <w:lang w:eastAsia="es-CR"/>
              </w:rPr>
            </w:pPr>
            <w:r w:rsidRPr="00AB4A44">
              <w:rPr>
                <w:rFonts w:ascii="Book Antiqua" w:hAnsi="Book Antiqua" w:cs="Calibri"/>
                <w:color w:val="000000"/>
                <w:sz w:val="16"/>
                <w:szCs w:val="16"/>
                <w:lang w:eastAsia="es-CR"/>
              </w:rPr>
              <w:t> </w:t>
            </w:r>
          </w:p>
        </w:tc>
      </w:tr>
      <w:tr w:rsidR="00AB4A44" w:rsidRPr="00AB4A44" w14:paraId="36FC9048" w14:textId="77777777" w:rsidTr="00AB4A44">
        <w:trPr>
          <w:trHeight w:val="275"/>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14:paraId="1DEBB7E6" w14:textId="77777777" w:rsidR="00AB4A44" w:rsidRPr="00AB4A44" w:rsidRDefault="00AB4A44" w:rsidP="00243F14">
            <w:pPr>
              <w:spacing w:line="276" w:lineRule="auto"/>
              <w:jc w:val="center"/>
              <w:rPr>
                <w:rFonts w:ascii="Book Antiqua" w:hAnsi="Book Antiqua" w:cs="Calibri"/>
                <w:color w:val="000000"/>
                <w:sz w:val="16"/>
                <w:szCs w:val="16"/>
                <w:lang w:eastAsia="es-CR"/>
              </w:rPr>
            </w:pPr>
            <w:r w:rsidRPr="00AB4A44">
              <w:rPr>
                <w:rFonts w:ascii="Book Antiqua" w:hAnsi="Book Antiqua" w:cs="Calibri"/>
                <w:color w:val="000000"/>
                <w:sz w:val="16"/>
                <w:szCs w:val="16"/>
                <w:lang w:eastAsia="es-CR"/>
              </w:rPr>
              <w:t>7</w:t>
            </w:r>
          </w:p>
        </w:tc>
        <w:tc>
          <w:tcPr>
            <w:tcW w:w="7121" w:type="dxa"/>
            <w:tcBorders>
              <w:top w:val="nil"/>
              <w:left w:val="nil"/>
              <w:bottom w:val="single" w:sz="4" w:space="0" w:color="auto"/>
              <w:right w:val="single" w:sz="4" w:space="0" w:color="auto"/>
            </w:tcBorders>
            <w:shd w:val="clear" w:color="auto" w:fill="auto"/>
            <w:noWrap/>
            <w:vAlign w:val="center"/>
            <w:hideMark/>
          </w:tcPr>
          <w:p w14:paraId="76FAC619" w14:textId="77777777" w:rsidR="00AB4A44" w:rsidRPr="00AB4A44" w:rsidRDefault="00AB4A44" w:rsidP="00243F14">
            <w:pPr>
              <w:spacing w:line="276" w:lineRule="auto"/>
              <w:rPr>
                <w:rFonts w:ascii="Book Antiqua" w:hAnsi="Book Antiqua" w:cs="Calibri"/>
                <w:color w:val="000000"/>
                <w:sz w:val="16"/>
                <w:szCs w:val="16"/>
                <w:lang w:eastAsia="es-CR"/>
              </w:rPr>
            </w:pPr>
            <w:r w:rsidRPr="00AB4A44">
              <w:rPr>
                <w:rFonts w:ascii="Book Antiqua" w:hAnsi="Book Antiqua" w:cs="Calibri"/>
                <w:color w:val="000000"/>
                <w:sz w:val="16"/>
                <w:szCs w:val="16"/>
                <w:lang w:eastAsia="es-CR"/>
              </w:rPr>
              <w:t>Tribunal de Flagrancia del Tercer Circuito Judicial de Alajuela (San Ramón)</w:t>
            </w:r>
          </w:p>
        </w:tc>
        <w:tc>
          <w:tcPr>
            <w:tcW w:w="851" w:type="dxa"/>
            <w:tcBorders>
              <w:top w:val="nil"/>
              <w:left w:val="nil"/>
              <w:bottom w:val="single" w:sz="4" w:space="0" w:color="auto"/>
              <w:right w:val="single" w:sz="4" w:space="0" w:color="auto"/>
            </w:tcBorders>
            <w:shd w:val="clear" w:color="auto" w:fill="auto"/>
            <w:noWrap/>
            <w:vAlign w:val="center"/>
            <w:hideMark/>
          </w:tcPr>
          <w:p w14:paraId="0D8E9B3B" w14:textId="77777777" w:rsidR="00AB4A44" w:rsidRPr="00AB4A44" w:rsidRDefault="00AB4A44" w:rsidP="00243F14">
            <w:pPr>
              <w:spacing w:line="276" w:lineRule="auto"/>
              <w:jc w:val="center"/>
              <w:rPr>
                <w:rFonts w:ascii="Book Antiqua" w:hAnsi="Book Antiqua" w:cs="Calibri"/>
                <w:color w:val="000000"/>
                <w:sz w:val="16"/>
                <w:szCs w:val="16"/>
                <w:lang w:eastAsia="es-CR"/>
              </w:rPr>
            </w:pPr>
            <w:r w:rsidRPr="00AB4A44">
              <w:rPr>
                <w:rFonts w:ascii="Book Antiqua" w:hAnsi="Book Antiqua" w:cs="Calibri"/>
                <w:color w:val="000000"/>
                <w:sz w:val="16"/>
                <w:szCs w:val="16"/>
                <w:lang w:eastAsia="es-CR"/>
              </w:rPr>
              <w:t>X</w:t>
            </w:r>
          </w:p>
        </w:tc>
        <w:tc>
          <w:tcPr>
            <w:tcW w:w="850" w:type="dxa"/>
            <w:tcBorders>
              <w:top w:val="nil"/>
              <w:left w:val="nil"/>
              <w:bottom w:val="single" w:sz="4" w:space="0" w:color="auto"/>
              <w:right w:val="single" w:sz="4" w:space="0" w:color="auto"/>
            </w:tcBorders>
            <w:shd w:val="clear" w:color="auto" w:fill="auto"/>
            <w:noWrap/>
            <w:vAlign w:val="center"/>
            <w:hideMark/>
          </w:tcPr>
          <w:p w14:paraId="32E5DA83" w14:textId="77777777" w:rsidR="00AB4A44" w:rsidRPr="00AB4A44" w:rsidRDefault="00AB4A44" w:rsidP="00243F14">
            <w:pPr>
              <w:spacing w:line="276" w:lineRule="auto"/>
              <w:jc w:val="center"/>
              <w:rPr>
                <w:rFonts w:ascii="Book Antiqua" w:hAnsi="Book Antiqua" w:cs="Calibri"/>
                <w:color w:val="000000"/>
                <w:sz w:val="16"/>
                <w:szCs w:val="16"/>
                <w:lang w:eastAsia="es-CR"/>
              </w:rPr>
            </w:pPr>
            <w:r w:rsidRPr="00AB4A44">
              <w:rPr>
                <w:rFonts w:ascii="Book Antiqua" w:hAnsi="Book Antiqua" w:cs="Calibri"/>
                <w:color w:val="000000"/>
                <w:sz w:val="16"/>
                <w:szCs w:val="16"/>
                <w:lang w:eastAsia="es-CR"/>
              </w:rPr>
              <w:t> </w:t>
            </w:r>
          </w:p>
        </w:tc>
      </w:tr>
      <w:tr w:rsidR="00AB4A44" w:rsidRPr="00AB4A44" w14:paraId="2005A13D" w14:textId="77777777" w:rsidTr="00AB4A44">
        <w:trPr>
          <w:trHeight w:val="275"/>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14:paraId="1237F8F2" w14:textId="77777777" w:rsidR="00AB4A44" w:rsidRPr="00AB4A44" w:rsidRDefault="00AB4A44" w:rsidP="00243F14">
            <w:pPr>
              <w:spacing w:line="276" w:lineRule="auto"/>
              <w:jc w:val="center"/>
              <w:rPr>
                <w:rFonts w:ascii="Book Antiqua" w:hAnsi="Book Antiqua" w:cs="Calibri"/>
                <w:color w:val="000000"/>
                <w:sz w:val="16"/>
                <w:szCs w:val="16"/>
                <w:lang w:eastAsia="es-CR"/>
              </w:rPr>
            </w:pPr>
            <w:r w:rsidRPr="00AB4A44">
              <w:rPr>
                <w:rFonts w:ascii="Book Antiqua" w:hAnsi="Book Antiqua" w:cs="Calibri"/>
                <w:color w:val="000000"/>
                <w:sz w:val="16"/>
                <w:szCs w:val="16"/>
                <w:lang w:eastAsia="es-CR"/>
              </w:rPr>
              <w:t>8</w:t>
            </w:r>
          </w:p>
        </w:tc>
        <w:tc>
          <w:tcPr>
            <w:tcW w:w="7121" w:type="dxa"/>
            <w:tcBorders>
              <w:top w:val="nil"/>
              <w:left w:val="nil"/>
              <w:bottom w:val="single" w:sz="4" w:space="0" w:color="auto"/>
              <w:right w:val="single" w:sz="4" w:space="0" w:color="auto"/>
            </w:tcBorders>
            <w:shd w:val="clear" w:color="auto" w:fill="auto"/>
            <w:noWrap/>
            <w:vAlign w:val="center"/>
            <w:hideMark/>
          </w:tcPr>
          <w:p w14:paraId="085606C7" w14:textId="77777777" w:rsidR="00AB4A44" w:rsidRPr="00AB4A44" w:rsidRDefault="00AB4A44" w:rsidP="00243F14">
            <w:pPr>
              <w:spacing w:line="276" w:lineRule="auto"/>
              <w:rPr>
                <w:rFonts w:ascii="Book Antiqua" w:hAnsi="Book Antiqua" w:cs="Calibri"/>
                <w:color w:val="000000"/>
                <w:sz w:val="16"/>
                <w:szCs w:val="16"/>
                <w:lang w:eastAsia="es-CR"/>
              </w:rPr>
            </w:pPr>
            <w:r w:rsidRPr="00AB4A44">
              <w:rPr>
                <w:rFonts w:ascii="Book Antiqua" w:hAnsi="Book Antiqua" w:cs="Calibri"/>
                <w:color w:val="000000"/>
                <w:sz w:val="16"/>
                <w:szCs w:val="16"/>
                <w:lang w:eastAsia="es-CR"/>
              </w:rPr>
              <w:t>Tribunal de Flagrancia de Cartago</w:t>
            </w:r>
          </w:p>
        </w:tc>
        <w:tc>
          <w:tcPr>
            <w:tcW w:w="851" w:type="dxa"/>
            <w:tcBorders>
              <w:top w:val="nil"/>
              <w:left w:val="nil"/>
              <w:bottom w:val="single" w:sz="4" w:space="0" w:color="auto"/>
              <w:right w:val="single" w:sz="4" w:space="0" w:color="auto"/>
            </w:tcBorders>
            <w:shd w:val="clear" w:color="auto" w:fill="auto"/>
            <w:noWrap/>
            <w:vAlign w:val="center"/>
            <w:hideMark/>
          </w:tcPr>
          <w:p w14:paraId="674EAFDF" w14:textId="77777777" w:rsidR="00AB4A44" w:rsidRPr="00AB4A44" w:rsidRDefault="00AB4A44" w:rsidP="00243F14">
            <w:pPr>
              <w:spacing w:line="276" w:lineRule="auto"/>
              <w:jc w:val="center"/>
              <w:rPr>
                <w:rFonts w:ascii="Book Antiqua" w:hAnsi="Book Antiqua" w:cs="Calibri"/>
                <w:color w:val="000000"/>
                <w:sz w:val="16"/>
                <w:szCs w:val="16"/>
                <w:lang w:eastAsia="es-CR"/>
              </w:rPr>
            </w:pPr>
            <w:r w:rsidRPr="00AB4A44">
              <w:rPr>
                <w:rFonts w:ascii="Book Antiqua" w:hAnsi="Book Antiqua" w:cs="Calibri"/>
                <w:color w:val="000000"/>
                <w:sz w:val="16"/>
                <w:szCs w:val="16"/>
                <w:lang w:eastAsia="es-CR"/>
              </w:rPr>
              <w:t>X</w:t>
            </w:r>
          </w:p>
        </w:tc>
        <w:tc>
          <w:tcPr>
            <w:tcW w:w="850" w:type="dxa"/>
            <w:tcBorders>
              <w:top w:val="nil"/>
              <w:left w:val="nil"/>
              <w:bottom w:val="single" w:sz="4" w:space="0" w:color="auto"/>
              <w:right w:val="single" w:sz="4" w:space="0" w:color="auto"/>
            </w:tcBorders>
            <w:shd w:val="clear" w:color="auto" w:fill="auto"/>
            <w:noWrap/>
            <w:vAlign w:val="center"/>
            <w:hideMark/>
          </w:tcPr>
          <w:p w14:paraId="50BDE4F6" w14:textId="77777777" w:rsidR="00AB4A44" w:rsidRPr="00AB4A44" w:rsidRDefault="00AB4A44" w:rsidP="00243F14">
            <w:pPr>
              <w:spacing w:line="276" w:lineRule="auto"/>
              <w:jc w:val="center"/>
              <w:rPr>
                <w:rFonts w:ascii="Book Antiqua" w:hAnsi="Book Antiqua" w:cs="Calibri"/>
                <w:color w:val="000000"/>
                <w:sz w:val="16"/>
                <w:szCs w:val="16"/>
                <w:lang w:eastAsia="es-CR"/>
              </w:rPr>
            </w:pPr>
            <w:r w:rsidRPr="00AB4A44">
              <w:rPr>
                <w:rFonts w:ascii="Book Antiqua" w:hAnsi="Book Antiqua" w:cs="Calibri"/>
                <w:color w:val="000000"/>
                <w:sz w:val="16"/>
                <w:szCs w:val="16"/>
                <w:lang w:eastAsia="es-CR"/>
              </w:rPr>
              <w:t> </w:t>
            </w:r>
          </w:p>
        </w:tc>
      </w:tr>
      <w:tr w:rsidR="00AB4A44" w:rsidRPr="00AB4A44" w14:paraId="4D2F9790" w14:textId="77777777" w:rsidTr="00AB4A44">
        <w:trPr>
          <w:trHeight w:val="275"/>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14:paraId="13075BE8" w14:textId="77777777" w:rsidR="00AB4A44" w:rsidRPr="00AB4A44" w:rsidRDefault="00AB4A44" w:rsidP="00243F14">
            <w:pPr>
              <w:spacing w:line="276" w:lineRule="auto"/>
              <w:jc w:val="center"/>
              <w:rPr>
                <w:rFonts w:ascii="Book Antiqua" w:hAnsi="Book Antiqua" w:cs="Calibri"/>
                <w:color w:val="000000"/>
                <w:sz w:val="16"/>
                <w:szCs w:val="16"/>
                <w:lang w:eastAsia="es-CR"/>
              </w:rPr>
            </w:pPr>
            <w:r w:rsidRPr="00AB4A44">
              <w:rPr>
                <w:rFonts w:ascii="Book Antiqua" w:hAnsi="Book Antiqua" w:cs="Calibri"/>
                <w:color w:val="000000"/>
                <w:sz w:val="16"/>
                <w:szCs w:val="16"/>
                <w:lang w:eastAsia="es-CR"/>
              </w:rPr>
              <w:t>9</w:t>
            </w:r>
          </w:p>
        </w:tc>
        <w:tc>
          <w:tcPr>
            <w:tcW w:w="7121" w:type="dxa"/>
            <w:tcBorders>
              <w:top w:val="nil"/>
              <w:left w:val="nil"/>
              <w:bottom w:val="single" w:sz="4" w:space="0" w:color="auto"/>
              <w:right w:val="single" w:sz="4" w:space="0" w:color="auto"/>
            </w:tcBorders>
            <w:shd w:val="clear" w:color="auto" w:fill="auto"/>
            <w:noWrap/>
            <w:vAlign w:val="center"/>
            <w:hideMark/>
          </w:tcPr>
          <w:p w14:paraId="1C5D9658" w14:textId="77777777" w:rsidR="00AB4A44" w:rsidRPr="00AB4A44" w:rsidRDefault="00AB4A44" w:rsidP="00243F14">
            <w:pPr>
              <w:spacing w:line="276" w:lineRule="auto"/>
              <w:rPr>
                <w:rFonts w:ascii="Book Antiqua" w:hAnsi="Book Antiqua" w:cs="Calibri"/>
                <w:color w:val="000000"/>
                <w:sz w:val="16"/>
                <w:szCs w:val="16"/>
                <w:lang w:eastAsia="es-CR"/>
              </w:rPr>
            </w:pPr>
            <w:r w:rsidRPr="00AB4A44">
              <w:rPr>
                <w:rFonts w:ascii="Book Antiqua" w:hAnsi="Book Antiqua" w:cs="Calibri"/>
                <w:color w:val="000000"/>
                <w:sz w:val="16"/>
                <w:szCs w:val="16"/>
                <w:lang w:eastAsia="es-CR"/>
              </w:rPr>
              <w:t>Tribunal de Flagrancia del Primer Circuito Judicial de Guanacaste (Liberia)</w:t>
            </w:r>
          </w:p>
        </w:tc>
        <w:tc>
          <w:tcPr>
            <w:tcW w:w="851" w:type="dxa"/>
            <w:tcBorders>
              <w:top w:val="nil"/>
              <w:left w:val="nil"/>
              <w:bottom w:val="single" w:sz="4" w:space="0" w:color="auto"/>
              <w:right w:val="single" w:sz="4" w:space="0" w:color="auto"/>
            </w:tcBorders>
            <w:shd w:val="clear" w:color="auto" w:fill="auto"/>
            <w:noWrap/>
            <w:vAlign w:val="center"/>
            <w:hideMark/>
          </w:tcPr>
          <w:p w14:paraId="4D5D7740" w14:textId="77777777" w:rsidR="00AB4A44" w:rsidRPr="00AB4A44" w:rsidRDefault="00AB4A44" w:rsidP="00243F14">
            <w:pPr>
              <w:spacing w:line="276" w:lineRule="auto"/>
              <w:jc w:val="center"/>
              <w:rPr>
                <w:rFonts w:ascii="Book Antiqua" w:hAnsi="Book Antiqua" w:cs="Calibri"/>
                <w:color w:val="000000"/>
                <w:sz w:val="16"/>
                <w:szCs w:val="16"/>
                <w:lang w:eastAsia="es-CR"/>
              </w:rPr>
            </w:pPr>
            <w:r w:rsidRPr="00AB4A44">
              <w:rPr>
                <w:rFonts w:ascii="Book Antiqua" w:hAnsi="Book Antiqua" w:cs="Calibri"/>
                <w:color w:val="000000"/>
                <w:sz w:val="16"/>
                <w:szCs w:val="16"/>
                <w:lang w:eastAsia="es-CR"/>
              </w:rPr>
              <w:t>X</w:t>
            </w:r>
          </w:p>
        </w:tc>
        <w:tc>
          <w:tcPr>
            <w:tcW w:w="850" w:type="dxa"/>
            <w:tcBorders>
              <w:top w:val="nil"/>
              <w:left w:val="nil"/>
              <w:bottom w:val="single" w:sz="4" w:space="0" w:color="auto"/>
              <w:right w:val="single" w:sz="4" w:space="0" w:color="auto"/>
            </w:tcBorders>
            <w:shd w:val="clear" w:color="auto" w:fill="auto"/>
            <w:noWrap/>
            <w:vAlign w:val="center"/>
            <w:hideMark/>
          </w:tcPr>
          <w:p w14:paraId="15B49E74" w14:textId="77777777" w:rsidR="00AB4A44" w:rsidRPr="00AB4A44" w:rsidRDefault="00AB4A44" w:rsidP="00243F14">
            <w:pPr>
              <w:spacing w:line="276" w:lineRule="auto"/>
              <w:jc w:val="center"/>
              <w:rPr>
                <w:rFonts w:ascii="Book Antiqua" w:hAnsi="Book Antiqua" w:cs="Calibri"/>
                <w:color w:val="000000"/>
                <w:sz w:val="16"/>
                <w:szCs w:val="16"/>
                <w:lang w:eastAsia="es-CR"/>
              </w:rPr>
            </w:pPr>
            <w:r w:rsidRPr="00AB4A44">
              <w:rPr>
                <w:rFonts w:ascii="Book Antiqua" w:hAnsi="Book Antiqua" w:cs="Calibri"/>
                <w:color w:val="000000"/>
                <w:sz w:val="16"/>
                <w:szCs w:val="16"/>
                <w:lang w:eastAsia="es-CR"/>
              </w:rPr>
              <w:t> </w:t>
            </w:r>
          </w:p>
        </w:tc>
      </w:tr>
      <w:tr w:rsidR="00AB4A44" w:rsidRPr="00AB4A44" w14:paraId="517FCA40" w14:textId="77777777" w:rsidTr="00AB4A44">
        <w:trPr>
          <w:trHeight w:val="275"/>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14:paraId="35D65DD5" w14:textId="77777777" w:rsidR="00AB4A44" w:rsidRPr="00AB4A44" w:rsidRDefault="00AB4A44" w:rsidP="00243F14">
            <w:pPr>
              <w:spacing w:line="276" w:lineRule="auto"/>
              <w:jc w:val="center"/>
              <w:rPr>
                <w:rFonts w:ascii="Book Antiqua" w:hAnsi="Book Antiqua" w:cs="Calibri"/>
                <w:color w:val="000000"/>
                <w:sz w:val="16"/>
                <w:szCs w:val="16"/>
                <w:lang w:eastAsia="es-CR"/>
              </w:rPr>
            </w:pPr>
            <w:r w:rsidRPr="00AB4A44">
              <w:rPr>
                <w:rFonts w:ascii="Book Antiqua" w:hAnsi="Book Antiqua" w:cs="Calibri"/>
                <w:color w:val="000000"/>
                <w:sz w:val="16"/>
                <w:szCs w:val="16"/>
                <w:lang w:eastAsia="es-CR"/>
              </w:rPr>
              <w:t>10</w:t>
            </w:r>
          </w:p>
        </w:tc>
        <w:tc>
          <w:tcPr>
            <w:tcW w:w="7121" w:type="dxa"/>
            <w:tcBorders>
              <w:top w:val="nil"/>
              <w:left w:val="nil"/>
              <w:bottom w:val="single" w:sz="4" w:space="0" w:color="auto"/>
              <w:right w:val="single" w:sz="4" w:space="0" w:color="auto"/>
            </w:tcBorders>
            <w:shd w:val="clear" w:color="auto" w:fill="auto"/>
            <w:noWrap/>
            <w:vAlign w:val="center"/>
            <w:hideMark/>
          </w:tcPr>
          <w:p w14:paraId="7BDA8B24" w14:textId="77777777" w:rsidR="00AB4A44" w:rsidRPr="00AB4A44" w:rsidRDefault="00AB4A44" w:rsidP="00243F14">
            <w:pPr>
              <w:spacing w:line="276" w:lineRule="auto"/>
              <w:rPr>
                <w:rFonts w:ascii="Book Antiqua" w:hAnsi="Book Antiqua" w:cs="Calibri"/>
                <w:color w:val="000000"/>
                <w:sz w:val="16"/>
                <w:szCs w:val="16"/>
                <w:lang w:eastAsia="es-CR"/>
              </w:rPr>
            </w:pPr>
            <w:r w:rsidRPr="00AB4A44">
              <w:rPr>
                <w:rFonts w:ascii="Book Antiqua" w:hAnsi="Book Antiqua" w:cs="Calibri"/>
                <w:color w:val="000000"/>
                <w:sz w:val="16"/>
                <w:szCs w:val="16"/>
                <w:lang w:eastAsia="es-CR"/>
              </w:rPr>
              <w:t>Tribunal de Flagrancia del Segundo Circuito Judicial de Guanacaste (Santa Cruz)</w:t>
            </w:r>
          </w:p>
        </w:tc>
        <w:tc>
          <w:tcPr>
            <w:tcW w:w="851" w:type="dxa"/>
            <w:tcBorders>
              <w:top w:val="nil"/>
              <w:left w:val="nil"/>
              <w:bottom w:val="single" w:sz="4" w:space="0" w:color="auto"/>
              <w:right w:val="single" w:sz="4" w:space="0" w:color="auto"/>
            </w:tcBorders>
            <w:shd w:val="clear" w:color="auto" w:fill="auto"/>
            <w:noWrap/>
            <w:vAlign w:val="center"/>
            <w:hideMark/>
          </w:tcPr>
          <w:p w14:paraId="0A18F152" w14:textId="77777777" w:rsidR="00AB4A44" w:rsidRPr="00AB4A44" w:rsidRDefault="00AB4A44" w:rsidP="00243F14">
            <w:pPr>
              <w:spacing w:line="276" w:lineRule="auto"/>
              <w:jc w:val="center"/>
              <w:rPr>
                <w:rFonts w:ascii="Book Antiqua" w:hAnsi="Book Antiqua" w:cs="Calibri"/>
                <w:color w:val="000000"/>
                <w:sz w:val="16"/>
                <w:szCs w:val="16"/>
                <w:lang w:eastAsia="es-CR"/>
              </w:rPr>
            </w:pPr>
            <w:r w:rsidRPr="00AB4A44">
              <w:rPr>
                <w:rFonts w:ascii="Book Antiqua" w:hAnsi="Book Antiqua" w:cs="Calibri"/>
                <w:color w:val="000000"/>
                <w:sz w:val="16"/>
                <w:szCs w:val="16"/>
                <w:lang w:eastAsia="es-CR"/>
              </w:rPr>
              <w:t>X</w:t>
            </w:r>
          </w:p>
        </w:tc>
        <w:tc>
          <w:tcPr>
            <w:tcW w:w="850" w:type="dxa"/>
            <w:tcBorders>
              <w:top w:val="nil"/>
              <w:left w:val="nil"/>
              <w:bottom w:val="single" w:sz="4" w:space="0" w:color="auto"/>
              <w:right w:val="single" w:sz="4" w:space="0" w:color="auto"/>
            </w:tcBorders>
            <w:shd w:val="clear" w:color="auto" w:fill="auto"/>
            <w:noWrap/>
            <w:vAlign w:val="center"/>
            <w:hideMark/>
          </w:tcPr>
          <w:p w14:paraId="79EE9966" w14:textId="77777777" w:rsidR="00AB4A44" w:rsidRPr="00AB4A44" w:rsidRDefault="00AB4A44" w:rsidP="00243F14">
            <w:pPr>
              <w:spacing w:line="276" w:lineRule="auto"/>
              <w:jc w:val="center"/>
              <w:rPr>
                <w:rFonts w:ascii="Book Antiqua" w:hAnsi="Book Antiqua" w:cs="Calibri"/>
                <w:color w:val="000000"/>
                <w:sz w:val="16"/>
                <w:szCs w:val="16"/>
                <w:lang w:eastAsia="es-CR"/>
              </w:rPr>
            </w:pPr>
            <w:r w:rsidRPr="00AB4A44">
              <w:rPr>
                <w:rFonts w:ascii="Book Antiqua" w:hAnsi="Book Antiqua" w:cs="Calibri"/>
                <w:color w:val="000000"/>
                <w:sz w:val="16"/>
                <w:szCs w:val="16"/>
                <w:lang w:eastAsia="es-CR"/>
              </w:rPr>
              <w:t> </w:t>
            </w:r>
          </w:p>
        </w:tc>
      </w:tr>
      <w:tr w:rsidR="00AB4A44" w:rsidRPr="00AB4A44" w14:paraId="08296817" w14:textId="77777777" w:rsidTr="00AB4A44">
        <w:trPr>
          <w:trHeight w:val="275"/>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14:paraId="2E7EDE2E" w14:textId="77777777" w:rsidR="00AB4A44" w:rsidRPr="00AB4A44" w:rsidRDefault="00AB4A44" w:rsidP="00243F14">
            <w:pPr>
              <w:spacing w:line="276" w:lineRule="auto"/>
              <w:jc w:val="center"/>
              <w:rPr>
                <w:rFonts w:ascii="Book Antiqua" w:hAnsi="Book Antiqua" w:cs="Calibri"/>
                <w:color w:val="000000"/>
                <w:sz w:val="16"/>
                <w:szCs w:val="16"/>
                <w:lang w:eastAsia="es-CR"/>
              </w:rPr>
            </w:pPr>
            <w:r w:rsidRPr="00AB4A44">
              <w:rPr>
                <w:rFonts w:ascii="Book Antiqua" w:hAnsi="Book Antiqua" w:cs="Calibri"/>
                <w:color w:val="000000"/>
                <w:sz w:val="16"/>
                <w:szCs w:val="16"/>
                <w:lang w:eastAsia="es-CR"/>
              </w:rPr>
              <w:t>11</w:t>
            </w:r>
          </w:p>
        </w:tc>
        <w:tc>
          <w:tcPr>
            <w:tcW w:w="7121" w:type="dxa"/>
            <w:tcBorders>
              <w:top w:val="nil"/>
              <w:left w:val="nil"/>
              <w:bottom w:val="single" w:sz="4" w:space="0" w:color="auto"/>
              <w:right w:val="single" w:sz="4" w:space="0" w:color="auto"/>
            </w:tcBorders>
            <w:shd w:val="clear" w:color="auto" w:fill="auto"/>
            <w:noWrap/>
            <w:vAlign w:val="center"/>
            <w:hideMark/>
          </w:tcPr>
          <w:p w14:paraId="541E57E3" w14:textId="77777777" w:rsidR="00AB4A44" w:rsidRPr="00AB4A44" w:rsidRDefault="00AB4A44" w:rsidP="00243F14">
            <w:pPr>
              <w:spacing w:line="276" w:lineRule="auto"/>
              <w:rPr>
                <w:rFonts w:ascii="Book Antiqua" w:hAnsi="Book Antiqua" w:cs="Calibri"/>
                <w:color w:val="000000"/>
                <w:sz w:val="16"/>
                <w:szCs w:val="16"/>
                <w:lang w:eastAsia="es-CR"/>
              </w:rPr>
            </w:pPr>
            <w:r w:rsidRPr="00AB4A44">
              <w:rPr>
                <w:rFonts w:ascii="Book Antiqua" w:hAnsi="Book Antiqua" w:cs="Calibri"/>
                <w:color w:val="000000"/>
                <w:sz w:val="16"/>
                <w:szCs w:val="16"/>
                <w:lang w:eastAsia="es-CR"/>
              </w:rPr>
              <w:t>Tribunal de Flagrancia de Puntarenas</w:t>
            </w:r>
          </w:p>
        </w:tc>
        <w:tc>
          <w:tcPr>
            <w:tcW w:w="851" w:type="dxa"/>
            <w:tcBorders>
              <w:top w:val="nil"/>
              <w:left w:val="nil"/>
              <w:bottom w:val="single" w:sz="4" w:space="0" w:color="auto"/>
              <w:right w:val="single" w:sz="4" w:space="0" w:color="auto"/>
            </w:tcBorders>
            <w:shd w:val="clear" w:color="auto" w:fill="auto"/>
            <w:noWrap/>
            <w:vAlign w:val="center"/>
            <w:hideMark/>
          </w:tcPr>
          <w:p w14:paraId="2B1E7CC1" w14:textId="77777777" w:rsidR="00AB4A44" w:rsidRPr="00AB4A44" w:rsidRDefault="00AB4A44" w:rsidP="00243F14">
            <w:pPr>
              <w:spacing w:line="276" w:lineRule="auto"/>
              <w:jc w:val="center"/>
              <w:rPr>
                <w:rFonts w:ascii="Book Antiqua" w:hAnsi="Book Antiqua" w:cs="Calibri"/>
                <w:color w:val="000000"/>
                <w:sz w:val="16"/>
                <w:szCs w:val="16"/>
                <w:lang w:eastAsia="es-CR"/>
              </w:rPr>
            </w:pPr>
            <w:r w:rsidRPr="00AB4A44">
              <w:rPr>
                <w:rFonts w:ascii="Book Antiqua" w:hAnsi="Book Antiqua" w:cs="Calibri"/>
                <w:color w:val="000000"/>
                <w:sz w:val="16"/>
                <w:szCs w:val="16"/>
                <w:lang w:eastAsia="es-CR"/>
              </w:rPr>
              <w:t>X</w:t>
            </w:r>
          </w:p>
        </w:tc>
        <w:tc>
          <w:tcPr>
            <w:tcW w:w="850" w:type="dxa"/>
            <w:tcBorders>
              <w:top w:val="nil"/>
              <w:left w:val="nil"/>
              <w:bottom w:val="single" w:sz="4" w:space="0" w:color="auto"/>
              <w:right w:val="single" w:sz="4" w:space="0" w:color="auto"/>
            </w:tcBorders>
            <w:shd w:val="clear" w:color="auto" w:fill="auto"/>
            <w:noWrap/>
            <w:vAlign w:val="center"/>
            <w:hideMark/>
          </w:tcPr>
          <w:p w14:paraId="4BA4B10F" w14:textId="77777777" w:rsidR="00AB4A44" w:rsidRPr="00AB4A44" w:rsidRDefault="00AB4A44" w:rsidP="00243F14">
            <w:pPr>
              <w:spacing w:line="276" w:lineRule="auto"/>
              <w:jc w:val="center"/>
              <w:rPr>
                <w:rFonts w:ascii="Book Antiqua" w:hAnsi="Book Antiqua" w:cs="Calibri"/>
                <w:color w:val="000000"/>
                <w:sz w:val="16"/>
                <w:szCs w:val="16"/>
                <w:lang w:eastAsia="es-CR"/>
              </w:rPr>
            </w:pPr>
            <w:r w:rsidRPr="00AB4A44">
              <w:rPr>
                <w:rFonts w:ascii="Book Antiqua" w:hAnsi="Book Antiqua" w:cs="Calibri"/>
                <w:color w:val="000000"/>
                <w:sz w:val="16"/>
                <w:szCs w:val="16"/>
                <w:lang w:eastAsia="es-CR"/>
              </w:rPr>
              <w:t> </w:t>
            </w:r>
          </w:p>
        </w:tc>
      </w:tr>
      <w:tr w:rsidR="00AB4A44" w:rsidRPr="00AB4A44" w14:paraId="6CB04557" w14:textId="77777777" w:rsidTr="00AB4A44">
        <w:trPr>
          <w:trHeight w:val="275"/>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14:paraId="378AF374" w14:textId="77777777" w:rsidR="00AB4A44" w:rsidRPr="00AB4A44" w:rsidRDefault="00AB4A44" w:rsidP="00243F14">
            <w:pPr>
              <w:spacing w:line="276" w:lineRule="auto"/>
              <w:jc w:val="center"/>
              <w:rPr>
                <w:rFonts w:ascii="Book Antiqua" w:hAnsi="Book Antiqua" w:cs="Calibri"/>
                <w:color w:val="000000"/>
                <w:sz w:val="16"/>
                <w:szCs w:val="16"/>
                <w:lang w:eastAsia="es-CR"/>
              </w:rPr>
            </w:pPr>
            <w:r w:rsidRPr="00AB4A44">
              <w:rPr>
                <w:rFonts w:ascii="Book Antiqua" w:hAnsi="Book Antiqua" w:cs="Calibri"/>
                <w:color w:val="000000"/>
                <w:sz w:val="16"/>
                <w:szCs w:val="16"/>
                <w:lang w:eastAsia="es-CR"/>
              </w:rPr>
              <w:t>12</w:t>
            </w:r>
          </w:p>
        </w:tc>
        <w:tc>
          <w:tcPr>
            <w:tcW w:w="7121" w:type="dxa"/>
            <w:tcBorders>
              <w:top w:val="nil"/>
              <w:left w:val="nil"/>
              <w:bottom w:val="single" w:sz="4" w:space="0" w:color="auto"/>
              <w:right w:val="single" w:sz="4" w:space="0" w:color="auto"/>
            </w:tcBorders>
            <w:shd w:val="clear" w:color="auto" w:fill="auto"/>
            <w:noWrap/>
            <w:vAlign w:val="center"/>
            <w:hideMark/>
          </w:tcPr>
          <w:p w14:paraId="68AA6C59" w14:textId="77777777" w:rsidR="00AB4A44" w:rsidRPr="00AB4A44" w:rsidRDefault="00AB4A44" w:rsidP="00243F14">
            <w:pPr>
              <w:spacing w:line="276" w:lineRule="auto"/>
              <w:rPr>
                <w:rFonts w:ascii="Book Antiqua" w:hAnsi="Book Antiqua" w:cs="Calibri"/>
                <w:color w:val="000000"/>
                <w:sz w:val="16"/>
                <w:szCs w:val="16"/>
                <w:lang w:eastAsia="es-CR"/>
              </w:rPr>
            </w:pPr>
            <w:r w:rsidRPr="00AB4A44">
              <w:rPr>
                <w:rFonts w:ascii="Book Antiqua" w:hAnsi="Book Antiqua" w:cs="Calibri"/>
                <w:color w:val="000000"/>
                <w:sz w:val="16"/>
                <w:szCs w:val="16"/>
                <w:lang w:eastAsia="es-CR"/>
              </w:rPr>
              <w:t>Tribunal de Flagrancia del Primer Circuito Judicial de la Zona Atlántica (Limón)</w:t>
            </w:r>
          </w:p>
        </w:tc>
        <w:tc>
          <w:tcPr>
            <w:tcW w:w="851" w:type="dxa"/>
            <w:tcBorders>
              <w:top w:val="nil"/>
              <w:left w:val="nil"/>
              <w:bottom w:val="single" w:sz="4" w:space="0" w:color="auto"/>
              <w:right w:val="single" w:sz="4" w:space="0" w:color="auto"/>
            </w:tcBorders>
            <w:shd w:val="clear" w:color="auto" w:fill="auto"/>
            <w:noWrap/>
            <w:vAlign w:val="center"/>
            <w:hideMark/>
          </w:tcPr>
          <w:p w14:paraId="6D0B8FE9" w14:textId="77777777" w:rsidR="00AB4A44" w:rsidRPr="00AB4A44" w:rsidRDefault="00AB4A44" w:rsidP="00243F14">
            <w:pPr>
              <w:spacing w:line="276" w:lineRule="auto"/>
              <w:jc w:val="center"/>
              <w:rPr>
                <w:rFonts w:ascii="Book Antiqua" w:hAnsi="Book Antiqua" w:cs="Calibri"/>
                <w:color w:val="000000"/>
                <w:sz w:val="16"/>
                <w:szCs w:val="16"/>
                <w:lang w:eastAsia="es-CR"/>
              </w:rPr>
            </w:pPr>
            <w:r w:rsidRPr="00AB4A44">
              <w:rPr>
                <w:rFonts w:ascii="Book Antiqua" w:hAnsi="Book Antiqua" w:cs="Calibri"/>
                <w:color w:val="000000"/>
                <w:sz w:val="16"/>
                <w:szCs w:val="16"/>
                <w:lang w:eastAsia="es-CR"/>
              </w:rPr>
              <w:t>X</w:t>
            </w:r>
          </w:p>
        </w:tc>
        <w:tc>
          <w:tcPr>
            <w:tcW w:w="850" w:type="dxa"/>
            <w:tcBorders>
              <w:top w:val="nil"/>
              <w:left w:val="nil"/>
              <w:bottom w:val="single" w:sz="4" w:space="0" w:color="auto"/>
              <w:right w:val="single" w:sz="4" w:space="0" w:color="auto"/>
            </w:tcBorders>
            <w:shd w:val="clear" w:color="auto" w:fill="auto"/>
            <w:noWrap/>
            <w:vAlign w:val="center"/>
            <w:hideMark/>
          </w:tcPr>
          <w:p w14:paraId="6F9CC7F7" w14:textId="77777777" w:rsidR="00AB4A44" w:rsidRPr="00AB4A44" w:rsidRDefault="00AB4A44" w:rsidP="00243F14">
            <w:pPr>
              <w:spacing w:line="276" w:lineRule="auto"/>
              <w:jc w:val="center"/>
              <w:rPr>
                <w:rFonts w:ascii="Book Antiqua" w:hAnsi="Book Antiqua" w:cs="Calibri"/>
                <w:color w:val="000000"/>
                <w:sz w:val="16"/>
                <w:szCs w:val="16"/>
                <w:lang w:eastAsia="es-CR"/>
              </w:rPr>
            </w:pPr>
            <w:r w:rsidRPr="00AB4A44">
              <w:rPr>
                <w:rFonts w:ascii="Book Antiqua" w:hAnsi="Book Antiqua" w:cs="Calibri"/>
                <w:color w:val="000000"/>
                <w:sz w:val="16"/>
                <w:szCs w:val="16"/>
                <w:lang w:eastAsia="es-CR"/>
              </w:rPr>
              <w:t> </w:t>
            </w:r>
          </w:p>
        </w:tc>
      </w:tr>
      <w:tr w:rsidR="00AB4A44" w:rsidRPr="00AB4A44" w14:paraId="22CA3FD1" w14:textId="77777777" w:rsidTr="00AB4A44">
        <w:trPr>
          <w:trHeight w:val="275"/>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14:paraId="41610920" w14:textId="77777777" w:rsidR="00AB4A44" w:rsidRPr="00AB4A44" w:rsidRDefault="00AB4A44" w:rsidP="00243F14">
            <w:pPr>
              <w:spacing w:line="276" w:lineRule="auto"/>
              <w:jc w:val="center"/>
              <w:rPr>
                <w:rFonts w:ascii="Book Antiqua" w:hAnsi="Book Antiqua" w:cs="Calibri"/>
                <w:color w:val="000000"/>
                <w:sz w:val="16"/>
                <w:szCs w:val="16"/>
                <w:lang w:eastAsia="es-CR"/>
              </w:rPr>
            </w:pPr>
            <w:r w:rsidRPr="00AB4A44">
              <w:rPr>
                <w:rFonts w:ascii="Book Antiqua" w:hAnsi="Book Antiqua" w:cs="Calibri"/>
                <w:color w:val="000000"/>
                <w:sz w:val="16"/>
                <w:szCs w:val="16"/>
                <w:lang w:eastAsia="es-CR"/>
              </w:rPr>
              <w:t>13</w:t>
            </w:r>
          </w:p>
        </w:tc>
        <w:tc>
          <w:tcPr>
            <w:tcW w:w="7121" w:type="dxa"/>
            <w:tcBorders>
              <w:top w:val="nil"/>
              <w:left w:val="nil"/>
              <w:bottom w:val="single" w:sz="4" w:space="0" w:color="auto"/>
              <w:right w:val="single" w:sz="4" w:space="0" w:color="auto"/>
            </w:tcBorders>
            <w:shd w:val="clear" w:color="auto" w:fill="auto"/>
            <w:noWrap/>
            <w:vAlign w:val="center"/>
            <w:hideMark/>
          </w:tcPr>
          <w:p w14:paraId="42A7E778" w14:textId="77777777" w:rsidR="00AB4A44" w:rsidRPr="00AB4A44" w:rsidRDefault="00AB4A44" w:rsidP="00243F14">
            <w:pPr>
              <w:spacing w:line="276" w:lineRule="auto"/>
              <w:rPr>
                <w:rFonts w:ascii="Book Antiqua" w:hAnsi="Book Antiqua" w:cs="Calibri"/>
                <w:color w:val="000000"/>
                <w:sz w:val="16"/>
                <w:szCs w:val="16"/>
                <w:lang w:eastAsia="es-CR"/>
              </w:rPr>
            </w:pPr>
            <w:r w:rsidRPr="00AB4A44">
              <w:rPr>
                <w:rFonts w:ascii="Book Antiqua" w:hAnsi="Book Antiqua" w:cs="Calibri"/>
                <w:color w:val="000000"/>
                <w:sz w:val="16"/>
                <w:szCs w:val="16"/>
                <w:lang w:eastAsia="es-CR"/>
              </w:rPr>
              <w:t>Tribunal de Flagrancia del Segundo Circuito Judicial de la Zona Atlántica (Guápiles)</w:t>
            </w:r>
          </w:p>
        </w:tc>
        <w:tc>
          <w:tcPr>
            <w:tcW w:w="851" w:type="dxa"/>
            <w:tcBorders>
              <w:top w:val="nil"/>
              <w:left w:val="nil"/>
              <w:bottom w:val="single" w:sz="4" w:space="0" w:color="auto"/>
              <w:right w:val="single" w:sz="4" w:space="0" w:color="auto"/>
            </w:tcBorders>
            <w:shd w:val="clear" w:color="auto" w:fill="auto"/>
            <w:noWrap/>
            <w:vAlign w:val="center"/>
            <w:hideMark/>
          </w:tcPr>
          <w:p w14:paraId="3E67AE13" w14:textId="77777777" w:rsidR="00AB4A44" w:rsidRPr="00AB4A44" w:rsidRDefault="00AB4A44" w:rsidP="00243F14">
            <w:pPr>
              <w:spacing w:line="276" w:lineRule="auto"/>
              <w:jc w:val="center"/>
              <w:rPr>
                <w:rFonts w:ascii="Book Antiqua" w:hAnsi="Book Antiqua" w:cs="Calibri"/>
                <w:color w:val="000000"/>
                <w:sz w:val="16"/>
                <w:szCs w:val="16"/>
                <w:lang w:eastAsia="es-CR"/>
              </w:rPr>
            </w:pPr>
            <w:r w:rsidRPr="00AB4A44">
              <w:rPr>
                <w:rFonts w:ascii="Book Antiqua" w:hAnsi="Book Antiqua" w:cs="Calibri"/>
                <w:color w:val="000000"/>
                <w:sz w:val="16"/>
                <w:szCs w:val="16"/>
                <w:lang w:eastAsia="es-CR"/>
              </w:rPr>
              <w:t>X</w:t>
            </w:r>
          </w:p>
        </w:tc>
        <w:tc>
          <w:tcPr>
            <w:tcW w:w="850" w:type="dxa"/>
            <w:tcBorders>
              <w:top w:val="nil"/>
              <w:left w:val="nil"/>
              <w:bottom w:val="single" w:sz="4" w:space="0" w:color="auto"/>
              <w:right w:val="single" w:sz="4" w:space="0" w:color="auto"/>
            </w:tcBorders>
            <w:shd w:val="clear" w:color="auto" w:fill="auto"/>
            <w:noWrap/>
            <w:vAlign w:val="center"/>
            <w:hideMark/>
          </w:tcPr>
          <w:p w14:paraId="2A8DF3AF" w14:textId="77777777" w:rsidR="00AB4A44" w:rsidRPr="00AB4A44" w:rsidRDefault="00AB4A44" w:rsidP="00243F14">
            <w:pPr>
              <w:spacing w:line="276" w:lineRule="auto"/>
              <w:jc w:val="center"/>
              <w:rPr>
                <w:rFonts w:ascii="Book Antiqua" w:hAnsi="Book Antiqua" w:cs="Calibri"/>
                <w:color w:val="000000"/>
                <w:sz w:val="16"/>
                <w:szCs w:val="16"/>
                <w:lang w:eastAsia="es-CR"/>
              </w:rPr>
            </w:pPr>
            <w:r w:rsidRPr="00AB4A44">
              <w:rPr>
                <w:rFonts w:ascii="Book Antiqua" w:hAnsi="Book Antiqua" w:cs="Calibri"/>
                <w:color w:val="000000"/>
                <w:sz w:val="16"/>
                <w:szCs w:val="16"/>
                <w:lang w:eastAsia="es-CR"/>
              </w:rPr>
              <w:t> </w:t>
            </w:r>
          </w:p>
        </w:tc>
      </w:tr>
      <w:tr w:rsidR="00AB4A44" w:rsidRPr="00AB4A44" w14:paraId="2554B95A" w14:textId="77777777" w:rsidTr="00AB4A44">
        <w:trPr>
          <w:trHeight w:val="275"/>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14:paraId="43FEF417" w14:textId="77777777" w:rsidR="00AB4A44" w:rsidRPr="00AB4A44" w:rsidRDefault="00AB4A44" w:rsidP="00243F14">
            <w:pPr>
              <w:spacing w:line="276" w:lineRule="auto"/>
              <w:jc w:val="center"/>
              <w:rPr>
                <w:rFonts w:ascii="Book Antiqua" w:hAnsi="Book Antiqua" w:cs="Calibri"/>
                <w:color w:val="000000"/>
                <w:sz w:val="16"/>
                <w:szCs w:val="16"/>
                <w:lang w:eastAsia="es-CR"/>
              </w:rPr>
            </w:pPr>
            <w:r w:rsidRPr="00AB4A44">
              <w:rPr>
                <w:rFonts w:ascii="Book Antiqua" w:hAnsi="Book Antiqua" w:cs="Calibri"/>
                <w:color w:val="000000"/>
                <w:sz w:val="16"/>
                <w:szCs w:val="16"/>
                <w:lang w:eastAsia="es-CR"/>
              </w:rPr>
              <w:t>14</w:t>
            </w:r>
          </w:p>
        </w:tc>
        <w:tc>
          <w:tcPr>
            <w:tcW w:w="7121" w:type="dxa"/>
            <w:tcBorders>
              <w:top w:val="nil"/>
              <w:left w:val="nil"/>
              <w:bottom w:val="single" w:sz="4" w:space="0" w:color="auto"/>
              <w:right w:val="single" w:sz="4" w:space="0" w:color="auto"/>
            </w:tcBorders>
            <w:shd w:val="clear" w:color="auto" w:fill="auto"/>
            <w:noWrap/>
            <w:vAlign w:val="center"/>
            <w:hideMark/>
          </w:tcPr>
          <w:p w14:paraId="26E6F4EB" w14:textId="77777777" w:rsidR="00AB4A44" w:rsidRPr="00AB4A44" w:rsidRDefault="00AB4A44" w:rsidP="00243F14">
            <w:pPr>
              <w:spacing w:line="276" w:lineRule="auto"/>
              <w:rPr>
                <w:rFonts w:ascii="Book Antiqua" w:hAnsi="Book Antiqua" w:cs="Calibri"/>
                <w:color w:val="000000"/>
                <w:sz w:val="16"/>
                <w:szCs w:val="16"/>
                <w:lang w:eastAsia="es-CR"/>
              </w:rPr>
            </w:pPr>
            <w:r w:rsidRPr="00AB4A44">
              <w:rPr>
                <w:rFonts w:ascii="Book Antiqua" w:hAnsi="Book Antiqua" w:cs="Calibri"/>
                <w:color w:val="000000"/>
                <w:sz w:val="16"/>
                <w:szCs w:val="16"/>
                <w:lang w:eastAsia="es-CR"/>
              </w:rPr>
              <w:t>Tribunal de Flagrancia del Segundo Circuito Judicial de la Zona Sur (Corredores)</w:t>
            </w:r>
          </w:p>
        </w:tc>
        <w:tc>
          <w:tcPr>
            <w:tcW w:w="851" w:type="dxa"/>
            <w:tcBorders>
              <w:top w:val="nil"/>
              <w:left w:val="nil"/>
              <w:bottom w:val="single" w:sz="4" w:space="0" w:color="auto"/>
              <w:right w:val="single" w:sz="4" w:space="0" w:color="auto"/>
            </w:tcBorders>
            <w:shd w:val="clear" w:color="auto" w:fill="auto"/>
            <w:noWrap/>
            <w:vAlign w:val="center"/>
            <w:hideMark/>
          </w:tcPr>
          <w:p w14:paraId="054E97B1" w14:textId="77777777" w:rsidR="00AB4A44" w:rsidRPr="00AB4A44" w:rsidRDefault="00AB4A44" w:rsidP="00243F14">
            <w:pPr>
              <w:spacing w:line="276" w:lineRule="auto"/>
              <w:jc w:val="center"/>
              <w:rPr>
                <w:rFonts w:ascii="Book Antiqua" w:hAnsi="Book Antiqua" w:cs="Calibri"/>
                <w:color w:val="000000"/>
                <w:sz w:val="16"/>
                <w:szCs w:val="16"/>
                <w:lang w:eastAsia="es-CR"/>
              </w:rPr>
            </w:pPr>
            <w:r w:rsidRPr="00AB4A44">
              <w:rPr>
                <w:rFonts w:ascii="Book Antiqua" w:hAnsi="Book Antiqua" w:cs="Calibri"/>
                <w:color w:val="000000"/>
                <w:sz w:val="16"/>
                <w:szCs w:val="16"/>
                <w:lang w:eastAsia="es-CR"/>
              </w:rPr>
              <w:t>X</w:t>
            </w:r>
          </w:p>
        </w:tc>
        <w:tc>
          <w:tcPr>
            <w:tcW w:w="850" w:type="dxa"/>
            <w:tcBorders>
              <w:top w:val="nil"/>
              <w:left w:val="nil"/>
              <w:bottom w:val="single" w:sz="4" w:space="0" w:color="auto"/>
              <w:right w:val="single" w:sz="4" w:space="0" w:color="auto"/>
            </w:tcBorders>
            <w:shd w:val="clear" w:color="auto" w:fill="auto"/>
            <w:noWrap/>
            <w:vAlign w:val="center"/>
            <w:hideMark/>
          </w:tcPr>
          <w:p w14:paraId="331E1D3F" w14:textId="77777777" w:rsidR="00AB4A44" w:rsidRPr="00AB4A44" w:rsidRDefault="00AB4A44" w:rsidP="00243F14">
            <w:pPr>
              <w:spacing w:line="276" w:lineRule="auto"/>
              <w:jc w:val="center"/>
              <w:rPr>
                <w:rFonts w:ascii="Book Antiqua" w:hAnsi="Book Antiqua" w:cs="Calibri"/>
                <w:color w:val="000000"/>
                <w:sz w:val="16"/>
                <w:szCs w:val="16"/>
                <w:lang w:eastAsia="es-CR"/>
              </w:rPr>
            </w:pPr>
            <w:r w:rsidRPr="00AB4A44">
              <w:rPr>
                <w:rFonts w:ascii="Book Antiqua" w:hAnsi="Book Antiqua" w:cs="Calibri"/>
                <w:color w:val="000000"/>
                <w:sz w:val="16"/>
                <w:szCs w:val="16"/>
                <w:lang w:eastAsia="es-CR"/>
              </w:rPr>
              <w:t> </w:t>
            </w:r>
          </w:p>
        </w:tc>
      </w:tr>
    </w:tbl>
    <w:p w14:paraId="080E5F48" w14:textId="679CADC6" w:rsidR="003E30C8" w:rsidRPr="004F0E92" w:rsidRDefault="003E30C8" w:rsidP="00AB4A44">
      <w:pPr>
        <w:spacing w:line="276" w:lineRule="auto"/>
        <w:jc w:val="center"/>
        <w:rPr>
          <w:rFonts w:ascii="Book Antiqua" w:hAnsi="Book Antiqua"/>
          <w:b/>
          <w:bCs/>
          <w:color w:val="000000" w:themeColor="text1"/>
          <w:sz w:val="20"/>
          <w:szCs w:val="20"/>
        </w:rPr>
      </w:pPr>
      <w:r w:rsidRPr="004F0E92">
        <w:rPr>
          <w:rFonts w:ascii="Book Antiqua" w:hAnsi="Book Antiqua"/>
          <w:b/>
          <w:bCs/>
          <w:color w:val="000000" w:themeColor="text1"/>
          <w:sz w:val="20"/>
          <w:szCs w:val="20"/>
        </w:rPr>
        <w:t xml:space="preserve">Fuente: </w:t>
      </w:r>
      <w:r>
        <w:rPr>
          <w:rFonts w:ascii="Book Antiqua" w:hAnsi="Book Antiqua"/>
          <w:color w:val="000000" w:themeColor="text1"/>
          <w:sz w:val="20"/>
          <w:szCs w:val="20"/>
        </w:rPr>
        <w:t>Matriz de Indicadores de Gestión</w:t>
      </w:r>
    </w:p>
    <w:p w14:paraId="33EA5A39" w14:textId="77777777" w:rsidR="00181CB9" w:rsidRPr="00181CB9" w:rsidRDefault="00181CB9" w:rsidP="00985591">
      <w:pPr>
        <w:spacing w:line="276" w:lineRule="auto"/>
        <w:jc w:val="center"/>
        <w:rPr>
          <w:rFonts w:ascii="Book Antiqua" w:hAnsi="Book Antiqua" w:cs="Calibri"/>
          <w:bCs/>
          <w:color w:val="000000"/>
          <w:bdr w:val="none" w:sz="0" w:space="0" w:color="auto" w:frame="1"/>
          <w:shd w:val="clear" w:color="auto" w:fill="FFFFFF"/>
          <w:lang w:eastAsia="es-CR"/>
        </w:rPr>
      </w:pPr>
    </w:p>
    <w:p w14:paraId="06BC545D" w14:textId="77777777" w:rsidR="00AB4A44" w:rsidRPr="00AB4A44" w:rsidRDefault="00AB4A44" w:rsidP="00AB4A44">
      <w:pPr>
        <w:spacing w:line="276" w:lineRule="auto"/>
        <w:jc w:val="both"/>
        <w:rPr>
          <w:rFonts w:ascii="Book Antiqua" w:hAnsi="Book Antiqua" w:cs="Arial"/>
          <w:color w:val="000000"/>
          <w:lang w:val="es-ES"/>
        </w:rPr>
      </w:pPr>
      <w:r w:rsidRPr="00AB4A44">
        <w:rPr>
          <w:rFonts w:ascii="Book Antiqua" w:hAnsi="Book Antiqua" w:cs="Arial"/>
          <w:color w:val="000000"/>
          <w:lang w:val="es-ES"/>
        </w:rPr>
        <w:t>Tal y cómo se observa, actualmente 9 de los 14 despachos de Flagrancia existentes, es decir el 64% de las oficinas brindan colaboración al Ordinario, propiamente las secciones de Flagrancia: Limón, Alajuela, Corredores, Liberia, Puntarenas, Santa Cruz, Guápiles, San Ramón, Cartago dan soporte al Tribunal Penal Ordinario en el desarrollo de juicios unipersonales, con excepción de Alajuela en el cual el recurso es parte de una sección colegiada.</w:t>
      </w:r>
    </w:p>
    <w:p w14:paraId="01FD241E" w14:textId="77777777" w:rsidR="00AB4A44" w:rsidRPr="00AB4A44" w:rsidRDefault="00AB4A44" w:rsidP="00AB4A44">
      <w:pPr>
        <w:spacing w:line="276" w:lineRule="auto"/>
        <w:jc w:val="both"/>
        <w:rPr>
          <w:rFonts w:ascii="Book Antiqua" w:hAnsi="Book Antiqua" w:cs="Arial"/>
          <w:color w:val="000000"/>
          <w:lang w:val="es-ES"/>
        </w:rPr>
      </w:pPr>
    </w:p>
    <w:p w14:paraId="27A94716" w14:textId="675F4C71" w:rsidR="00E3356A" w:rsidRDefault="00AB4A44" w:rsidP="00AB4A44">
      <w:pPr>
        <w:spacing w:line="276" w:lineRule="auto"/>
        <w:jc w:val="both"/>
        <w:rPr>
          <w:rFonts w:ascii="Book Antiqua" w:hAnsi="Book Antiqua"/>
          <w:lang w:val="es-ES"/>
        </w:rPr>
      </w:pPr>
      <w:r w:rsidRPr="00AB4A44">
        <w:rPr>
          <w:rFonts w:ascii="Book Antiqua" w:hAnsi="Book Antiqua" w:cs="Arial"/>
          <w:color w:val="000000"/>
          <w:lang w:val="es-ES"/>
        </w:rPr>
        <w:t>Al respecto, resulta importante indicar que previo al rediseño de procesos, las Secciones de Flagrancia de Guápiles y Puntarenas daban soporte al ordinario y se consideran como modelos porque son despachos que han logrado unificarse como el deber ser indica: una sola estructura de trabajo.</w:t>
      </w:r>
    </w:p>
    <w:p w14:paraId="5187C635" w14:textId="74CD2FCD" w:rsidR="006F775A" w:rsidRDefault="006F775A">
      <w:pPr>
        <w:rPr>
          <w:rFonts w:ascii="Book Antiqua" w:hAnsi="Book Antiqua"/>
          <w:b/>
          <w:bCs/>
          <w:lang w:val="es-ES_tradnl" w:eastAsia="en-US"/>
        </w:rPr>
      </w:pPr>
      <w:r>
        <w:rPr>
          <w:rFonts w:ascii="Book Antiqua" w:hAnsi="Book Antiqua"/>
          <w:b/>
          <w:bCs/>
          <w:lang w:val="es-ES_tradnl" w:eastAsia="en-US"/>
        </w:rPr>
        <w:br w:type="page"/>
      </w:r>
    </w:p>
    <w:p w14:paraId="7EAFB857" w14:textId="77777777" w:rsidR="005F4F34" w:rsidRDefault="005F4F34" w:rsidP="00985591">
      <w:pPr>
        <w:spacing w:line="276" w:lineRule="auto"/>
        <w:jc w:val="both"/>
        <w:rPr>
          <w:rFonts w:ascii="Book Antiqua" w:hAnsi="Book Antiqua"/>
          <w:b/>
          <w:bCs/>
          <w:lang w:val="es-ES_tradnl" w:eastAsia="en-US"/>
        </w:rPr>
      </w:pPr>
    </w:p>
    <w:p w14:paraId="16584690" w14:textId="21A1FA6A" w:rsidR="00950EE4" w:rsidRPr="008B00CB" w:rsidRDefault="00950EE4" w:rsidP="00985591">
      <w:pPr>
        <w:pStyle w:val="Ttulo1"/>
        <w:spacing w:line="276" w:lineRule="auto"/>
        <w:rPr>
          <w:b w:val="0"/>
          <w:bCs/>
        </w:rPr>
      </w:pPr>
      <w:r w:rsidRPr="00BB2DC2">
        <w:rPr>
          <w:bCs/>
        </w:rPr>
        <w:t xml:space="preserve">CAPITULO </w:t>
      </w:r>
      <w:r w:rsidR="00BB2DC2" w:rsidRPr="00BB2DC2">
        <w:rPr>
          <w:bCs/>
        </w:rPr>
        <w:t>X</w:t>
      </w:r>
      <w:r w:rsidRPr="00BB2DC2">
        <w:rPr>
          <w:bCs/>
        </w:rPr>
        <w:t xml:space="preserve">. </w:t>
      </w:r>
      <w:r w:rsidR="008D4C8B" w:rsidRPr="00BB2DC2">
        <w:rPr>
          <w:bCs/>
        </w:rPr>
        <w:t>AFECTACIONES EN DESPACHOS JUDICIALES POR CASOS REPORTADOS DE COVID 19</w:t>
      </w:r>
    </w:p>
    <w:p w14:paraId="328586D1" w14:textId="77777777" w:rsidR="00950EE4" w:rsidRDefault="00950EE4" w:rsidP="00985591">
      <w:pPr>
        <w:spacing w:line="276" w:lineRule="auto"/>
        <w:jc w:val="both"/>
        <w:rPr>
          <w:rFonts w:ascii="Book Antiqua" w:hAnsi="Book Antiqua"/>
          <w:lang w:val="es-ES_tradnl" w:eastAsia="en-US"/>
        </w:rPr>
      </w:pPr>
    </w:p>
    <w:p w14:paraId="456ADD90" w14:textId="77777777" w:rsidR="00BB2DC2" w:rsidRPr="00D17D3E" w:rsidRDefault="00BB2DC2" w:rsidP="00BB2DC2">
      <w:pPr>
        <w:spacing w:line="276" w:lineRule="auto"/>
        <w:jc w:val="both"/>
        <w:rPr>
          <w:rFonts w:ascii="Book Antiqua" w:hAnsi="Book Antiqua" w:cs="Arial"/>
        </w:rPr>
      </w:pPr>
      <w:r w:rsidRPr="00D17D3E">
        <w:rPr>
          <w:rFonts w:ascii="Book Antiqua" w:hAnsi="Book Antiqua" w:cs="Arial"/>
        </w:rPr>
        <w:t>Se solicitó información a la Dirección Ejecutiva sobre las acciones que se han realizado en las diferentes oficinas por el cierre temporal de las oficinas para efectuar los procesos de desinfección por casos reportados de COVID 19 y en el siguiente cuadro se detalla la información remitida al Consejo Superior:</w:t>
      </w:r>
    </w:p>
    <w:p w14:paraId="5010971A" w14:textId="77777777" w:rsidR="00950EE4" w:rsidRDefault="00950EE4" w:rsidP="00985591">
      <w:pPr>
        <w:spacing w:line="276" w:lineRule="auto"/>
        <w:jc w:val="both"/>
        <w:rPr>
          <w:rFonts w:ascii="Book Antiqua" w:hAnsi="Book Antiqua"/>
          <w:lang w:val="es-ES_tradnl" w:eastAsia="en-US"/>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1"/>
        <w:gridCol w:w="3928"/>
      </w:tblGrid>
      <w:tr w:rsidR="00693C77" w:rsidRPr="00914EB7" w14:paraId="26466CBD" w14:textId="77777777" w:rsidTr="00243F14">
        <w:tc>
          <w:tcPr>
            <w:tcW w:w="4601" w:type="dxa"/>
            <w:shd w:val="clear" w:color="auto" w:fill="auto"/>
          </w:tcPr>
          <w:p w14:paraId="70EC494D" w14:textId="77777777" w:rsidR="00693C77" w:rsidRPr="00930CE4" w:rsidRDefault="00693C77" w:rsidP="00243F14">
            <w:pPr>
              <w:spacing w:line="276" w:lineRule="auto"/>
              <w:jc w:val="center"/>
              <w:rPr>
                <w:rFonts w:ascii="Book Antiqua" w:hAnsi="Book Antiqua"/>
                <w:b/>
                <w:bCs/>
                <w:lang w:val="es-ES_tradnl" w:eastAsia="en-US"/>
              </w:rPr>
            </w:pPr>
            <w:r w:rsidRPr="00930CE4">
              <w:rPr>
                <w:rFonts w:ascii="Book Antiqua" w:hAnsi="Book Antiqua"/>
                <w:b/>
                <w:bCs/>
                <w:lang w:val="es-ES_tradnl" w:eastAsia="en-US"/>
              </w:rPr>
              <w:t>Instancia institucional</w:t>
            </w:r>
          </w:p>
        </w:tc>
        <w:tc>
          <w:tcPr>
            <w:tcW w:w="3928" w:type="dxa"/>
            <w:shd w:val="clear" w:color="auto" w:fill="auto"/>
          </w:tcPr>
          <w:p w14:paraId="33C4F70D" w14:textId="77777777" w:rsidR="00693C77" w:rsidRPr="00930CE4" w:rsidRDefault="00693C77" w:rsidP="00243F14">
            <w:pPr>
              <w:spacing w:line="276" w:lineRule="auto"/>
              <w:jc w:val="center"/>
              <w:rPr>
                <w:rFonts w:ascii="Book Antiqua" w:hAnsi="Book Antiqua"/>
                <w:b/>
                <w:bCs/>
                <w:lang w:val="es-ES_tradnl" w:eastAsia="en-US"/>
              </w:rPr>
            </w:pPr>
            <w:r w:rsidRPr="00930CE4">
              <w:rPr>
                <w:rFonts w:ascii="Book Antiqua" w:hAnsi="Book Antiqua"/>
                <w:b/>
                <w:bCs/>
                <w:lang w:val="es-ES_tradnl" w:eastAsia="en-US"/>
              </w:rPr>
              <w:t>Reportes generados</w:t>
            </w:r>
          </w:p>
        </w:tc>
      </w:tr>
      <w:tr w:rsidR="00693C77" w:rsidRPr="00914EB7" w14:paraId="4256388D" w14:textId="77777777" w:rsidTr="00243F14">
        <w:tc>
          <w:tcPr>
            <w:tcW w:w="4601" w:type="dxa"/>
            <w:shd w:val="clear" w:color="auto" w:fill="auto"/>
          </w:tcPr>
          <w:p w14:paraId="76C65F48" w14:textId="77777777" w:rsidR="00693C77" w:rsidRPr="00914EB7" w:rsidRDefault="00693C77" w:rsidP="00243F14">
            <w:pPr>
              <w:spacing w:line="276" w:lineRule="auto"/>
              <w:jc w:val="both"/>
              <w:rPr>
                <w:rFonts w:ascii="Book Antiqua" w:hAnsi="Book Antiqua"/>
                <w:highlight w:val="yellow"/>
                <w:lang w:val="es-ES_tradnl" w:eastAsia="en-US"/>
              </w:rPr>
            </w:pPr>
            <w:r w:rsidRPr="00930CE4">
              <w:rPr>
                <w:rFonts w:ascii="Book Antiqua" w:hAnsi="Book Antiqua"/>
                <w:lang w:val="es-ES_tradnl" w:eastAsia="en-US"/>
              </w:rPr>
              <w:t>Dirección Ejecutiva</w:t>
            </w:r>
          </w:p>
        </w:tc>
        <w:tc>
          <w:tcPr>
            <w:tcW w:w="3928" w:type="dxa"/>
            <w:shd w:val="clear" w:color="auto" w:fill="auto"/>
          </w:tcPr>
          <w:p w14:paraId="33423814" w14:textId="06C3022B" w:rsidR="00693C77" w:rsidRDefault="00693C77" w:rsidP="00243F14">
            <w:pPr>
              <w:spacing w:line="276" w:lineRule="auto"/>
              <w:jc w:val="center"/>
              <w:rPr>
                <w:rFonts w:ascii="Book Antiqua" w:hAnsi="Book Antiqua"/>
                <w:lang w:val="es-ES_tradnl" w:eastAsia="en-US"/>
              </w:rPr>
            </w:pPr>
            <w:r w:rsidRPr="00D73011">
              <w:rPr>
                <w:rFonts w:ascii="Book Antiqua" w:hAnsi="Book Antiqua"/>
                <w:lang w:val="es-ES_tradnl" w:eastAsia="en-US"/>
              </w:rPr>
              <w:object w:dxaOrig="1508" w:dyaOrig="983" w14:anchorId="608AEEFF">
                <v:shape id="_x0000_i1026" type="#_x0000_t75" style="width:74.5pt;height:48.5pt" o:ole="">
                  <v:imagedata r:id="rId50" o:title=""/>
                </v:shape>
                <o:OLEObject Type="Embed" ProgID="Acrobat.Document.DC" ShapeID="_x0000_i1026" DrawAspect="Icon" ObjectID="_1732366299" r:id="rId51"/>
              </w:object>
            </w:r>
            <w:r>
              <w:rPr>
                <w:rFonts w:ascii="Book Antiqua" w:hAnsi="Book Antiqua"/>
                <w:lang w:val="es-ES_tradnl" w:eastAsia="en-US"/>
              </w:rPr>
              <w:t xml:space="preserve">         </w:t>
            </w:r>
            <w:r>
              <w:rPr>
                <w:rFonts w:ascii="Book Antiqua" w:hAnsi="Book Antiqua"/>
                <w:lang w:val="es-ES_tradnl" w:eastAsia="en-US"/>
              </w:rPr>
              <w:object w:dxaOrig="1508" w:dyaOrig="983" w14:anchorId="4CFF9550">
                <v:shape id="_x0000_i1027" type="#_x0000_t75" style="width:74.5pt;height:48.5pt" o:ole="">
                  <v:imagedata r:id="rId52" o:title=""/>
                </v:shape>
                <o:OLEObject Type="Embed" ProgID="Acrobat.Document.DC" ShapeID="_x0000_i1027" DrawAspect="Icon" ObjectID="_1732366300" r:id="rId53"/>
              </w:object>
            </w:r>
          </w:p>
          <w:p w14:paraId="0E6E38E7" w14:textId="0236DD27" w:rsidR="00693C77" w:rsidRDefault="00693C77" w:rsidP="00243F14">
            <w:pPr>
              <w:spacing w:line="276" w:lineRule="auto"/>
              <w:jc w:val="center"/>
              <w:rPr>
                <w:rFonts w:ascii="Book Antiqua" w:hAnsi="Book Antiqua"/>
                <w:lang w:val="es-ES_tradnl" w:eastAsia="en-US"/>
              </w:rPr>
            </w:pPr>
            <w:r>
              <w:rPr>
                <w:rFonts w:ascii="Book Antiqua" w:hAnsi="Book Antiqua"/>
                <w:lang w:val="es-ES_tradnl" w:eastAsia="en-US"/>
              </w:rPr>
              <w:object w:dxaOrig="1508" w:dyaOrig="983" w14:anchorId="040FEE64">
                <v:shape id="_x0000_i1028" type="#_x0000_t75" style="width:74.5pt;height:48.5pt" o:ole="">
                  <v:imagedata r:id="rId54" o:title=""/>
                </v:shape>
                <o:OLEObject Type="Embed" ProgID="Acrobat.Document.DC" ShapeID="_x0000_i1028" DrawAspect="Icon" ObjectID="_1732366301" r:id="rId55"/>
              </w:object>
            </w:r>
            <w:r>
              <w:rPr>
                <w:rFonts w:ascii="Book Antiqua" w:hAnsi="Book Antiqua"/>
                <w:lang w:val="es-ES_tradnl" w:eastAsia="en-US"/>
              </w:rPr>
              <w:t xml:space="preserve">        </w:t>
            </w:r>
            <w:r>
              <w:rPr>
                <w:rFonts w:ascii="Book Antiqua" w:hAnsi="Book Antiqua"/>
                <w:lang w:val="es-ES_tradnl" w:eastAsia="en-US"/>
              </w:rPr>
              <w:object w:dxaOrig="1508" w:dyaOrig="983" w14:anchorId="72391B03">
                <v:shape id="_x0000_i1029" type="#_x0000_t75" style="width:74.5pt;height:48.5pt" o:ole="">
                  <v:imagedata r:id="rId56" o:title=""/>
                </v:shape>
                <o:OLEObject Type="Embed" ProgID="Acrobat.Document.DC" ShapeID="_x0000_i1029" DrawAspect="Icon" ObjectID="_1732366302" r:id="rId57"/>
              </w:object>
            </w:r>
          </w:p>
          <w:p w14:paraId="35899D08" w14:textId="0DCED71F" w:rsidR="00693C77" w:rsidRDefault="00693C77" w:rsidP="00243F14">
            <w:pPr>
              <w:spacing w:line="276" w:lineRule="auto"/>
              <w:jc w:val="center"/>
              <w:rPr>
                <w:rFonts w:ascii="Book Antiqua" w:hAnsi="Book Antiqua"/>
                <w:lang w:val="es-ES_tradnl" w:eastAsia="en-US"/>
              </w:rPr>
            </w:pPr>
            <w:r>
              <w:rPr>
                <w:rFonts w:ascii="Book Antiqua" w:hAnsi="Book Antiqua"/>
                <w:lang w:val="es-ES_tradnl" w:eastAsia="en-US"/>
              </w:rPr>
              <w:object w:dxaOrig="1508" w:dyaOrig="983" w14:anchorId="13CE3422">
                <v:shape id="_x0000_i1030" type="#_x0000_t75" style="width:74.5pt;height:48.5pt" o:ole="">
                  <v:imagedata r:id="rId58" o:title=""/>
                </v:shape>
                <o:OLEObject Type="Embed" ProgID="Acrobat.Document.DC" ShapeID="_x0000_i1030" DrawAspect="Icon" ObjectID="_1732366303" r:id="rId59"/>
              </w:object>
            </w:r>
            <w:r>
              <w:rPr>
                <w:rFonts w:ascii="Book Antiqua" w:hAnsi="Book Antiqua"/>
                <w:lang w:val="es-ES_tradnl" w:eastAsia="en-US"/>
              </w:rPr>
              <w:t xml:space="preserve">          </w:t>
            </w:r>
            <w:r>
              <w:rPr>
                <w:rFonts w:ascii="Book Antiqua" w:hAnsi="Book Antiqua"/>
                <w:lang w:val="es-ES_tradnl" w:eastAsia="en-US"/>
              </w:rPr>
              <w:object w:dxaOrig="1508" w:dyaOrig="983" w14:anchorId="68B2C182">
                <v:shape id="_x0000_i1031" type="#_x0000_t75" style="width:74.5pt;height:48.5pt" o:ole="">
                  <v:imagedata r:id="rId60" o:title=""/>
                </v:shape>
                <o:OLEObject Type="Embed" ProgID="Acrobat.Document.DC" ShapeID="_x0000_i1031" DrawAspect="Icon" ObjectID="_1732366304" r:id="rId61"/>
              </w:object>
            </w:r>
          </w:p>
          <w:p w14:paraId="7B5A0EB3" w14:textId="531F6B59" w:rsidR="00693C77" w:rsidRPr="005701C8" w:rsidRDefault="00693C77" w:rsidP="00243F14">
            <w:pPr>
              <w:spacing w:line="276" w:lineRule="auto"/>
              <w:jc w:val="center"/>
              <w:rPr>
                <w:rFonts w:ascii="Book Antiqua" w:hAnsi="Book Antiqua"/>
                <w:lang w:val="es-ES_tradnl" w:eastAsia="en-US"/>
              </w:rPr>
            </w:pPr>
            <w:r w:rsidRPr="003F47C1">
              <w:rPr>
                <w:rFonts w:ascii="Book Antiqua" w:hAnsi="Book Antiqua"/>
                <w:lang w:val="es-ES_tradnl" w:eastAsia="en-US"/>
              </w:rPr>
              <w:object w:dxaOrig="1508" w:dyaOrig="983" w14:anchorId="2CB68B2B">
                <v:shape id="_x0000_i1032" type="#_x0000_t75" style="width:74.5pt;height:48.5pt" o:ole="">
                  <v:imagedata r:id="rId62" o:title=""/>
                </v:shape>
                <o:OLEObject Type="Embed" ProgID="Acrobat.Document.DC" ShapeID="_x0000_i1032" DrawAspect="Icon" ObjectID="_1732366305" r:id="rId63"/>
              </w:object>
            </w:r>
            <w:r>
              <w:rPr>
                <w:rFonts w:ascii="Book Antiqua" w:hAnsi="Book Antiqua"/>
                <w:lang w:val="es-ES_tradnl" w:eastAsia="en-US"/>
              </w:rPr>
              <w:t xml:space="preserve">          </w:t>
            </w:r>
            <w:r>
              <w:rPr>
                <w:rFonts w:ascii="Book Antiqua" w:hAnsi="Book Antiqua"/>
                <w:lang w:val="es-ES_tradnl" w:eastAsia="en-US"/>
              </w:rPr>
              <w:object w:dxaOrig="1508" w:dyaOrig="983" w14:anchorId="7205BC85">
                <v:shape id="_x0000_i1033" type="#_x0000_t75" style="width:74.5pt;height:48.5pt" o:ole="">
                  <v:imagedata r:id="rId64" o:title=""/>
                </v:shape>
                <o:OLEObject Type="Embed" ProgID="Acrobat.Document.DC" ShapeID="_x0000_i1033" DrawAspect="Icon" ObjectID="_1732366306" r:id="rId65"/>
              </w:object>
            </w:r>
          </w:p>
          <w:p w14:paraId="48F2DE37" w14:textId="776610D1" w:rsidR="00693C77" w:rsidRDefault="00693C77" w:rsidP="00243F14">
            <w:pPr>
              <w:spacing w:line="276" w:lineRule="auto"/>
              <w:jc w:val="center"/>
              <w:rPr>
                <w:rFonts w:ascii="Book Antiqua" w:hAnsi="Book Antiqua"/>
                <w:highlight w:val="yellow"/>
                <w:lang w:val="es-ES_tradnl" w:eastAsia="en-US"/>
              </w:rPr>
            </w:pPr>
            <w:r w:rsidRPr="003F47C1">
              <w:rPr>
                <w:rFonts w:ascii="Book Antiqua" w:hAnsi="Book Antiqua"/>
                <w:lang w:val="es-ES_tradnl" w:eastAsia="en-US"/>
              </w:rPr>
              <w:object w:dxaOrig="1508" w:dyaOrig="983" w14:anchorId="611E3A98">
                <v:shape id="_x0000_i1034" type="#_x0000_t75" style="width:74.5pt;height:48.5pt" o:ole="">
                  <v:imagedata r:id="rId66" o:title=""/>
                </v:shape>
                <o:OLEObject Type="Embed" ProgID="Acrobat.Document.DC" ShapeID="_x0000_i1034" DrawAspect="Icon" ObjectID="_1732366307" r:id="rId67"/>
              </w:object>
            </w:r>
            <w:r>
              <w:rPr>
                <w:rFonts w:ascii="Book Antiqua" w:hAnsi="Book Antiqua"/>
                <w:lang w:val="es-ES_tradnl" w:eastAsia="en-US"/>
              </w:rPr>
              <w:t xml:space="preserve">          </w:t>
            </w:r>
            <w:r>
              <w:rPr>
                <w:rFonts w:ascii="Book Antiqua" w:hAnsi="Book Antiqua"/>
                <w:lang w:val="es-ES_tradnl" w:eastAsia="en-US"/>
              </w:rPr>
              <w:object w:dxaOrig="1508" w:dyaOrig="983" w14:anchorId="5FBAB1DB">
                <v:shape id="_x0000_i1035" type="#_x0000_t75" style="width:74.5pt;height:48.5pt" o:ole="">
                  <v:imagedata r:id="rId68" o:title=""/>
                </v:shape>
                <o:OLEObject Type="Embed" ProgID="Acrobat.Document.DC" ShapeID="_x0000_i1035" DrawAspect="Icon" ObjectID="_1732366308" r:id="rId69"/>
              </w:object>
            </w:r>
          </w:p>
          <w:p w14:paraId="2843C11E" w14:textId="21A019D0" w:rsidR="00693C77" w:rsidRPr="005701C8" w:rsidRDefault="00693C77" w:rsidP="00243F14">
            <w:pPr>
              <w:spacing w:line="276" w:lineRule="auto"/>
              <w:jc w:val="center"/>
              <w:rPr>
                <w:rFonts w:ascii="Book Antiqua" w:hAnsi="Book Antiqua"/>
                <w:lang w:val="es-ES_tradnl" w:eastAsia="en-US"/>
              </w:rPr>
            </w:pPr>
            <w:r w:rsidRPr="005701C8">
              <w:rPr>
                <w:rFonts w:ascii="Book Antiqua" w:hAnsi="Book Antiqua"/>
                <w:lang w:val="es-ES_tradnl" w:eastAsia="en-US"/>
              </w:rPr>
              <w:object w:dxaOrig="1508" w:dyaOrig="983" w14:anchorId="18461A31">
                <v:shape id="_x0000_i1036" type="#_x0000_t75" style="width:74.5pt;height:48.5pt" o:ole="">
                  <v:imagedata r:id="rId70" o:title=""/>
                </v:shape>
                <o:OLEObject Type="Embed" ProgID="Acrobat.Document.DC" ShapeID="_x0000_i1036" DrawAspect="Icon" ObjectID="_1732366309" r:id="rId71"/>
              </w:object>
            </w:r>
            <w:r>
              <w:rPr>
                <w:rFonts w:ascii="Book Antiqua" w:hAnsi="Book Antiqua"/>
                <w:lang w:val="es-ES_tradnl" w:eastAsia="en-US"/>
              </w:rPr>
              <w:t xml:space="preserve">          </w:t>
            </w:r>
            <w:r>
              <w:rPr>
                <w:rFonts w:ascii="Book Antiqua" w:hAnsi="Book Antiqua"/>
                <w:lang w:val="es-ES_tradnl" w:eastAsia="en-US"/>
              </w:rPr>
              <w:object w:dxaOrig="1508" w:dyaOrig="983" w14:anchorId="54679866">
                <v:shape id="_x0000_i1037" type="#_x0000_t75" style="width:74.5pt;height:48.5pt" o:ole="">
                  <v:imagedata r:id="rId72" o:title=""/>
                </v:shape>
                <o:OLEObject Type="Embed" ProgID="Acrobat.Document.DC" ShapeID="_x0000_i1037" DrawAspect="Icon" ObjectID="_1732366310" r:id="rId73"/>
              </w:object>
            </w:r>
          </w:p>
          <w:p w14:paraId="4A546D45" w14:textId="160B0C05" w:rsidR="00693C77" w:rsidRDefault="00693C77" w:rsidP="00243F14">
            <w:pPr>
              <w:spacing w:line="276" w:lineRule="auto"/>
              <w:jc w:val="center"/>
              <w:rPr>
                <w:rFonts w:ascii="Book Antiqua" w:hAnsi="Book Antiqua"/>
                <w:lang w:val="es-ES_tradnl" w:eastAsia="en-US"/>
              </w:rPr>
            </w:pPr>
            <w:r w:rsidRPr="005701C8">
              <w:rPr>
                <w:rFonts w:ascii="Book Antiqua" w:hAnsi="Book Antiqua"/>
                <w:lang w:val="es-ES_tradnl" w:eastAsia="en-US"/>
              </w:rPr>
              <w:object w:dxaOrig="1508" w:dyaOrig="983" w14:anchorId="254E6FA7">
                <v:shape id="_x0000_i1038" type="#_x0000_t75" style="width:74.5pt;height:48.5pt" o:ole="">
                  <v:imagedata r:id="rId74" o:title=""/>
                </v:shape>
                <o:OLEObject Type="Embed" ProgID="Acrobat.Document.DC" ShapeID="_x0000_i1038" DrawAspect="Icon" ObjectID="_1732366311" r:id="rId75"/>
              </w:object>
            </w:r>
          </w:p>
          <w:p w14:paraId="23F0D3F3" w14:textId="40D8CBEC" w:rsidR="00693C77" w:rsidRDefault="00693C77" w:rsidP="00243F14">
            <w:pPr>
              <w:spacing w:line="276" w:lineRule="auto"/>
              <w:jc w:val="center"/>
              <w:rPr>
                <w:rFonts w:ascii="Book Antiqua" w:hAnsi="Book Antiqua"/>
                <w:lang w:val="es-ES_tradnl" w:eastAsia="en-US"/>
              </w:rPr>
            </w:pPr>
            <w:r>
              <w:rPr>
                <w:rFonts w:ascii="Book Antiqua" w:hAnsi="Book Antiqua"/>
                <w:lang w:val="es-ES_tradnl" w:eastAsia="en-US"/>
              </w:rPr>
              <w:object w:dxaOrig="1508" w:dyaOrig="983" w14:anchorId="4D1E110A">
                <v:shape id="_x0000_i1039" type="#_x0000_t75" style="width:75.5pt;height:49pt" o:ole="">
                  <v:imagedata r:id="rId76" o:title=""/>
                </v:shape>
                <o:OLEObject Type="Embed" ProgID="Acrobat.Document.DC" ShapeID="_x0000_i1039" DrawAspect="Icon" ObjectID="_1732366312" r:id="rId77"/>
              </w:object>
            </w:r>
            <w:r>
              <w:rPr>
                <w:rFonts w:ascii="Book Antiqua" w:hAnsi="Book Antiqua"/>
                <w:lang w:val="es-ES_tradnl" w:eastAsia="en-US"/>
              </w:rPr>
              <w:object w:dxaOrig="1508" w:dyaOrig="983" w14:anchorId="15808F64">
                <v:shape id="_x0000_i1040" type="#_x0000_t75" style="width:75.5pt;height:49pt" o:ole="">
                  <v:imagedata r:id="rId78" o:title=""/>
                </v:shape>
                <o:OLEObject Type="Embed" ProgID="Acrobat.Document.DC" ShapeID="_x0000_i1040" DrawAspect="Icon" ObjectID="_1732366313" r:id="rId79"/>
              </w:object>
            </w:r>
          </w:p>
          <w:p w14:paraId="68FFC99F" w14:textId="5813E7BD" w:rsidR="00693C77" w:rsidRDefault="00693C77" w:rsidP="00243F14">
            <w:pPr>
              <w:spacing w:line="276" w:lineRule="auto"/>
              <w:jc w:val="center"/>
              <w:rPr>
                <w:rFonts w:ascii="Book Antiqua" w:hAnsi="Book Antiqua"/>
                <w:lang w:val="es-ES_tradnl" w:eastAsia="en-US"/>
              </w:rPr>
            </w:pPr>
            <w:r>
              <w:rPr>
                <w:rFonts w:ascii="Book Antiqua" w:hAnsi="Book Antiqua"/>
                <w:lang w:val="es-ES_tradnl" w:eastAsia="en-US"/>
              </w:rPr>
              <w:object w:dxaOrig="1508" w:dyaOrig="983" w14:anchorId="0009B23E">
                <v:shape id="_x0000_i1041" type="#_x0000_t75" style="width:75.5pt;height:49pt" o:ole="">
                  <v:imagedata r:id="rId80" o:title=""/>
                </v:shape>
                <o:OLEObject Type="Embed" ProgID="Acrobat.Document.DC" ShapeID="_x0000_i1041" DrawAspect="Icon" ObjectID="_1732366314" r:id="rId81"/>
              </w:object>
            </w:r>
            <w:r>
              <w:rPr>
                <w:rFonts w:ascii="Book Antiqua" w:hAnsi="Book Antiqua"/>
                <w:lang w:val="es-ES_tradnl" w:eastAsia="en-US"/>
              </w:rPr>
              <w:object w:dxaOrig="1508" w:dyaOrig="983" w14:anchorId="0F07AFDF">
                <v:shape id="_x0000_i1042" type="#_x0000_t75" style="width:75.5pt;height:49pt" o:ole="">
                  <v:imagedata r:id="rId82" o:title=""/>
                </v:shape>
                <o:OLEObject Type="Embed" ProgID="Acrobat.Document.DC" ShapeID="_x0000_i1042" DrawAspect="Icon" ObjectID="_1732366315" r:id="rId83"/>
              </w:object>
            </w:r>
            <w:r>
              <w:rPr>
                <w:rFonts w:ascii="Book Antiqua" w:hAnsi="Book Antiqua"/>
                <w:lang w:val="es-ES_tradnl" w:eastAsia="en-US"/>
              </w:rPr>
              <w:object w:dxaOrig="1508" w:dyaOrig="983" w14:anchorId="34F2AC18">
                <v:shape id="_x0000_i1043" type="#_x0000_t75" style="width:75.5pt;height:49pt" o:ole="">
                  <v:imagedata r:id="rId84" o:title=""/>
                </v:shape>
                <o:OLEObject Type="Embed" ProgID="Acrobat.Document.DC" ShapeID="_x0000_i1043" DrawAspect="Icon" ObjectID="_1732366316" r:id="rId85"/>
              </w:object>
            </w:r>
            <w:r>
              <w:rPr>
                <w:rFonts w:ascii="Book Antiqua" w:hAnsi="Book Antiqua"/>
                <w:lang w:val="es-ES_tradnl" w:eastAsia="en-US"/>
              </w:rPr>
              <w:object w:dxaOrig="1508" w:dyaOrig="983" w14:anchorId="5CC0F10C">
                <v:shape id="_x0000_i1044" type="#_x0000_t75" style="width:75.5pt;height:49pt" o:ole="">
                  <v:imagedata r:id="rId86" o:title=""/>
                </v:shape>
                <o:OLEObject Type="Embed" ProgID="Acrobat.Document.DC" ShapeID="_x0000_i1044" DrawAspect="Icon" ObjectID="_1732366317" r:id="rId87"/>
              </w:object>
            </w:r>
          </w:p>
          <w:p w14:paraId="37E6C961" w14:textId="77777777" w:rsidR="00693C77" w:rsidRDefault="00693C77" w:rsidP="00243F14">
            <w:pPr>
              <w:spacing w:line="276" w:lineRule="auto"/>
              <w:jc w:val="center"/>
              <w:rPr>
                <w:rFonts w:ascii="Book Antiqua" w:hAnsi="Book Antiqua"/>
                <w:lang w:val="es-ES_tradnl" w:eastAsia="en-US"/>
              </w:rPr>
            </w:pPr>
          </w:p>
          <w:p w14:paraId="2BC8684E" w14:textId="77777777" w:rsidR="00693C77" w:rsidRPr="00914EB7" w:rsidRDefault="00693C77" w:rsidP="00243F14">
            <w:pPr>
              <w:spacing w:line="276" w:lineRule="auto"/>
              <w:jc w:val="center"/>
              <w:rPr>
                <w:rFonts w:ascii="Book Antiqua" w:hAnsi="Book Antiqua"/>
                <w:highlight w:val="yellow"/>
                <w:lang w:val="es-ES_tradnl" w:eastAsia="en-US"/>
              </w:rPr>
            </w:pPr>
          </w:p>
        </w:tc>
      </w:tr>
    </w:tbl>
    <w:p w14:paraId="115385EB" w14:textId="77777777" w:rsidR="008C34D4" w:rsidRDefault="008C34D4" w:rsidP="00985591">
      <w:pPr>
        <w:spacing w:line="276" w:lineRule="auto"/>
        <w:jc w:val="both"/>
        <w:rPr>
          <w:rFonts w:ascii="Book Antiqua" w:hAnsi="Book Antiqua"/>
          <w:lang w:val="es-ES_tradnl" w:eastAsia="en-US"/>
        </w:rPr>
      </w:pPr>
    </w:p>
    <w:bookmarkEnd w:id="21"/>
    <w:p w14:paraId="3D1DD3BD" w14:textId="66AD4B05" w:rsidR="00693C77" w:rsidRDefault="00693C77" w:rsidP="00693C77">
      <w:pPr>
        <w:spacing w:line="276" w:lineRule="auto"/>
        <w:jc w:val="both"/>
        <w:rPr>
          <w:rFonts w:ascii="Book Antiqua" w:hAnsi="Book Antiqua"/>
          <w:lang w:val="es-ES_tradnl" w:eastAsia="en-US"/>
        </w:rPr>
      </w:pPr>
      <w:r w:rsidRPr="005701C8">
        <w:rPr>
          <w:rFonts w:ascii="Book Antiqua" w:hAnsi="Book Antiqua"/>
          <w:lang w:val="es-ES_tradnl" w:eastAsia="en-US"/>
        </w:rPr>
        <w:t xml:space="preserve">De la información anterior, </w:t>
      </w:r>
      <w:r>
        <w:rPr>
          <w:rFonts w:ascii="Book Antiqua" w:hAnsi="Book Antiqua"/>
          <w:lang w:val="es-ES_tradnl" w:eastAsia="en-US"/>
        </w:rPr>
        <w:t xml:space="preserve">en resumen </w:t>
      </w:r>
      <w:bookmarkStart w:id="26" w:name="_Hlk87814218"/>
      <w:r>
        <w:rPr>
          <w:rFonts w:ascii="Book Antiqua" w:hAnsi="Book Antiqua"/>
          <w:lang w:val="es-ES_tradnl" w:eastAsia="en-US"/>
        </w:rPr>
        <w:t xml:space="preserve">la cantidad de oficinas desinfectadas fueron las siguientes: </w:t>
      </w:r>
      <w:r w:rsidRPr="00D17D3E">
        <w:rPr>
          <w:rFonts w:ascii="Book Antiqua" w:hAnsi="Book Antiqua"/>
          <w:lang w:val="es-ES_tradnl" w:eastAsia="en-US"/>
        </w:rPr>
        <w:t>298 en mayo</w:t>
      </w:r>
      <w:r>
        <w:rPr>
          <w:rFonts w:ascii="Book Antiqua" w:hAnsi="Book Antiqua"/>
          <w:lang w:val="es-ES_tradnl" w:eastAsia="en-US"/>
        </w:rPr>
        <w:t xml:space="preserve"> 2021</w:t>
      </w:r>
      <w:r w:rsidRPr="00D17D3E">
        <w:rPr>
          <w:rFonts w:ascii="Book Antiqua" w:hAnsi="Book Antiqua"/>
          <w:lang w:val="es-ES_tradnl" w:eastAsia="en-US"/>
        </w:rPr>
        <w:t>, 230 junio</w:t>
      </w:r>
      <w:r>
        <w:rPr>
          <w:rFonts w:ascii="Book Antiqua" w:hAnsi="Book Antiqua"/>
          <w:lang w:val="es-ES_tradnl" w:eastAsia="en-US"/>
        </w:rPr>
        <w:t xml:space="preserve"> 2021,</w:t>
      </w:r>
      <w:r w:rsidRPr="00D17D3E">
        <w:rPr>
          <w:rFonts w:ascii="Book Antiqua" w:hAnsi="Book Antiqua"/>
          <w:lang w:val="es-ES_tradnl" w:eastAsia="en-US"/>
        </w:rPr>
        <w:t xml:space="preserve"> 159 juli</w:t>
      </w:r>
      <w:r>
        <w:rPr>
          <w:rFonts w:ascii="Book Antiqua" w:hAnsi="Book Antiqua"/>
          <w:lang w:val="es-ES_tradnl" w:eastAsia="en-US"/>
        </w:rPr>
        <w:t xml:space="preserve">o 2021, 209 de agosto 2021 y 112  al 10 de setiembre del 2021, por lo que </w:t>
      </w:r>
      <w:r w:rsidRPr="005701C8">
        <w:rPr>
          <w:rFonts w:ascii="Book Antiqua" w:hAnsi="Book Antiqua"/>
          <w:lang w:val="es-ES_tradnl" w:eastAsia="en-US"/>
        </w:rPr>
        <w:t>se concluye que la pandemia COVID 19, ha tenido una afectación directa en los despachos del Poder Judicial, dado a que se han dado cierres de oficinas, desinfecciones y personal que se ha contagiado de dicha enfermedad, lo cual repercute en el servicio público y se han tenido que diseñar estrategias institucionales para poder enfrentar dichas adversidades.</w:t>
      </w:r>
    </w:p>
    <w:p w14:paraId="35B1A065" w14:textId="77777777" w:rsidR="0073399F" w:rsidRDefault="0073399F">
      <w:pPr>
        <w:rPr>
          <w:rFonts w:ascii="Book Antiqua" w:eastAsia="Calibri" w:hAnsi="Book Antiqua" w:cs="Arial"/>
          <w:color w:val="000000" w:themeColor="text1"/>
          <w:lang w:val="es-ES" w:eastAsia="es-CR"/>
        </w:rPr>
      </w:pPr>
      <w:bookmarkStart w:id="27" w:name="_Hlk87362500"/>
      <w:bookmarkEnd w:id="26"/>
    </w:p>
    <w:p w14:paraId="7A630958" w14:textId="290FD777" w:rsidR="0073399F" w:rsidRDefault="0073399F" w:rsidP="00290270">
      <w:pPr>
        <w:spacing w:line="276" w:lineRule="auto"/>
        <w:jc w:val="both"/>
        <w:rPr>
          <w:rFonts w:ascii="Book Antiqua" w:eastAsia="Calibri" w:hAnsi="Book Antiqua" w:cs="Arial"/>
          <w:b/>
          <w:bCs/>
          <w:color w:val="000000" w:themeColor="text1"/>
          <w:lang w:val="es-ES" w:eastAsia="es-CR"/>
        </w:rPr>
      </w:pPr>
      <w:r w:rsidRPr="00693C77">
        <w:rPr>
          <w:rFonts w:ascii="Book Antiqua" w:eastAsia="Calibri" w:hAnsi="Book Antiqua" w:cs="Arial"/>
          <w:color w:val="000000" w:themeColor="text1"/>
          <w:lang w:val="es-ES" w:eastAsia="es-CR"/>
        </w:rPr>
        <w:t>C</w:t>
      </w:r>
      <w:r w:rsidRPr="00693C77">
        <w:rPr>
          <w:rFonts w:ascii="Book Antiqua" w:eastAsia="Calibri" w:hAnsi="Book Antiqua" w:cs="Arial"/>
          <w:b/>
          <w:bCs/>
          <w:color w:val="000000" w:themeColor="text1"/>
          <w:lang w:val="es-ES" w:eastAsia="es-CR"/>
        </w:rPr>
        <w:t xml:space="preserve">APITULO XI. </w:t>
      </w:r>
      <w:r>
        <w:rPr>
          <w:rFonts w:ascii="Book Antiqua" w:eastAsia="Calibri" w:hAnsi="Book Antiqua" w:cs="Arial"/>
          <w:b/>
          <w:bCs/>
          <w:color w:val="000000" w:themeColor="text1"/>
          <w:lang w:val="es-ES" w:eastAsia="es-CR"/>
        </w:rPr>
        <w:t>MODELO DE SOSTENIBILIDAD EN LOS CIRCUITOS JUDICIALES</w:t>
      </w:r>
      <w:r w:rsidR="00290270">
        <w:rPr>
          <w:rFonts w:ascii="Book Antiqua" w:eastAsia="Calibri" w:hAnsi="Book Antiqua" w:cs="Arial"/>
          <w:b/>
          <w:bCs/>
          <w:color w:val="000000" w:themeColor="text1"/>
          <w:lang w:val="es-ES" w:eastAsia="es-CR"/>
        </w:rPr>
        <w:t xml:space="preserve"> DESARROLLADO POR LA DIRECCION DE PLANIFICACION</w:t>
      </w:r>
    </w:p>
    <w:p w14:paraId="28B4A522" w14:textId="46891963" w:rsidR="0073399F" w:rsidRDefault="0073399F" w:rsidP="0073399F">
      <w:pPr>
        <w:spacing w:line="276" w:lineRule="auto"/>
        <w:rPr>
          <w:rFonts w:ascii="Book Antiqua" w:eastAsia="Calibri" w:hAnsi="Book Antiqua" w:cs="Arial"/>
          <w:b/>
          <w:bCs/>
          <w:color w:val="000000" w:themeColor="text1"/>
          <w:lang w:val="es-ES" w:eastAsia="es-CR"/>
        </w:rPr>
      </w:pPr>
    </w:p>
    <w:p w14:paraId="149FCEFF" w14:textId="07D92D51" w:rsidR="0073399F" w:rsidRPr="0073399F" w:rsidRDefault="0073399F" w:rsidP="0073399F">
      <w:pPr>
        <w:spacing w:line="276" w:lineRule="auto"/>
        <w:jc w:val="both"/>
        <w:rPr>
          <w:rFonts w:ascii="Book Antiqua" w:eastAsia="Calibri" w:hAnsi="Book Antiqua" w:cs="Arial"/>
          <w:color w:val="000000" w:themeColor="text1"/>
          <w:lang w:val="es-ES" w:eastAsia="es-CR"/>
        </w:rPr>
      </w:pPr>
      <w:r w:rsidRPr="0073399F">
        <w:rPr>
          <w:rFonts w:ascii="Book Antiqua" w:eastAsia="Calibri" w:hAnsi="Book Antiqua" w:cs="Arial"/>
          <w:color w:val="000000" w:themeColor="text1"/>
          <w:lang w:val="es-ES" w:eastAsia="es-CR"/>
        </w:rPr>
        <w:t>La Dirección de Planificación cuenta con profesionales destacados en 8 Circuitos Judiciales: Primer Circuito Judicial de Alajuela, Segundo Circuito Judicial de Alajuela, Circuito Judicial de Heredia, Circuito Judicial de Cartago, Primer Circuito Judicial de Guanacaste, Primer Circuito Judicial de la Zona Atlántica, Circuito Judicial de Puntarenas y Primer Circuito Judicial de la Zona Sur</w:t>
      </w:r>
      <w:r>
        <w:rPr>
          <w:rFonts w:ascii="Book Antiqua" w:eastAsia="Calibri" w:hAnsi="Book Antiqua" w:cs="Arial"/>
          <w:color w:val="000000" w:themeColor="text1"/>
          <w:lang w:val="es-ES" w:eastAsia="es-CR"/>
        </w:rPr>
        <w:t>, entre sus tareas principales se encuentra el desarrollo de planes de trabajo, seguimiento anual de materias y retroalimentaciones a los Consejos de Administración, a continuación se detalla los resultados principales alcanzados:</w:t>
      </w:r>
    </w:p>
    <w:p w14:paraId="6CAC69BE" w14:textId="77777777" w:rsidR="0073399F" w:rsidRDefault="0073399F" w:rsidP="0073399F">
      <w:pPr>
        <w:spacing w:line="276" w:lineRule="auto"/>
        <w:rPr>
          <w:rFonts w:ascii="Book Antiqua" w:eastAsia="Calibri" w:hAnsi="Book Antiqua" w:cs="Arial"/>
          <w:b/>
          <w:bCs/>
          <w:color w:val="000000" w:themeColor="text1"/>
          <w:lang w:val="es-ES" w:eastAsia="es-CR"/>
        </w:rPr>
      </w:pPr>
    </w:p>
    <w:p w14:paraId="05C1C7CB" w14:textId="7FA05FD3" w:rsidR="0073399F" w:rsidRDefault="0073399F" w:rsidP="0073399F">
      <w:pPr>
        <w:spacing w:line="276" w:lineRule="auto"/>
        <w:rPr>
          <w:rFonts w:ascii="Book Antiqua" w:eastAsia="Calibri" w:hAnsi="Book Antiqua" w:cs="Arial"/>
          <w:b/>
          <w:bCs/>
          <w:color w:val="000000" w:themeColor="text1"/>
          <w:lang w:val="es-ES" w:eastAsia="es-CR"/>
        </w:rPr>
      </w:pPr>
      <w:r>
        <w:rPr>
          <w:rFonts w:ascii="Book Antiqua" w:eastAsia="Calibri" w:hAnsi="Book Antiqua" w:cs="Arial"/>
          <w:b/>
          <w:bCs/>
          <w:color w:val="000000" w:themeColor="text1"/>
          <w:lang w:val="es-ES" w:eastAsia="es-CR"/>
        </w:rPr>
        <w:t>11.1 Planes de Trabajo</w:t>
      </w:r>
    </w:p>
    <w:p w14:paraId="1A535FBC" w14:textId="77777777" w:rsidR="0073399F" w:rsidRPr="009F1F8D" w:rsidRDefault="0073399F" w:rsidP="0073399F">
      <w:pPr>
        <w:pStyle w:val="NormalWeb"/>
        <w:jc w:val="both"/>
        <w:rPr>
          <w:rFonts w:ascii="Book Antiqua" w:hAnsi="Book Antiqua" w:cs="Segoe UI"/>
          <w:color w:val="212529"/>
          <w:lang w:val="es-ES"/>
        </w:rPr>
      </w:pPr>
      <w:r w:rsidRPr="009F1F8D">
        <w:rPr>
          <w:rFonts w:ascii="Book Antiqua" w:hAnsi="Book Antiqua" w:cs="Segoe UI"/>
          <w:color w:val="212529"/>
          <w:lang w:val="es-ES"/>
        </w:rPr>
        <w:t>Los profesionales del Modelo de Seguimiento y Sostenibilidad realizaron un total de 471 planes de trabajo durante el periodo octubre 2020-octubre 2021. De ese total, 43 planes se realizaron en materia agraria, 23 en materia civil, 125 planes en materia de cobro, 12 en materia de contravenciones, 14 en ejecución de la pena, 9 en tránsito, 37 en materia laboral, 5 en la Oficina de Trabajo Social y Psicología, 16 en violencia doméstica, 66 en materia penal y 92 en pensiones alimentarias.</w:t>
      </w:r>
    </w:p>
    <w:p w14:paraId="0B8C7BA7" w14:textId="77777777" w:rsidR="0073399F" w:rsidRPr="009F1F8D" w:rsidRDefault="0073399F" w:rsidP="0073399F">
      <w:pPr>
        <w:pStyle w:val="NormalWeb"/>
        <w:jc w:val="both"/>
        <w:rPr>
          <w:rFonts w:ascii="Book Antiqua" w:hAnsi="Book Antiqua" w:cs="Segoe UI"/>
          <w:color w:val="212529"/>
          <w:lang w:val="es-ES"/>
        </w:rPr>
      </w:pPr>
      <w:r w:rsidRPr="009F1F8D">
        <w:rPr>
          <w:rFonts w:ascii="Book Antiqua" w:hAnsi="Book Antiqua" w:cs="Segoe UI"/>
          <w:color w:val="212529"/>
          <w:lang w:val="es-ES"/>
        </w:rPr>
        <w:t xml:space="preserve">Los 471 planes </w:t>
      </w:r>
      <w:r>
        <w:rPr>
          <w:rFonts w:ascii="Book Antiqua" w:hAnsi="Book Antiqua" w:cs="Segoe UI"/>
          <w:color w:val="212529"/>
          <w:lang w:val="es-ES"/>
        </w:rPr>
        <w:t xml:space="preserve">de trabajo en los despachos u oficinas judiciales, </w:t>
      </w:r>
      <w:r w:rsidRPr="009F1F8D">
        <w:rPr>
          <w:rFonts w:ascii="Book Antiqua" w:hAnsi="Book Antiqua" w:cs="Segoe UI"/>
          <w:color w:val="212529"/>
          <w:lang w:val="es-ES"/>
        </w:rPr>
        <w:t>se distribuyeron de la siguiente manera:</w:t>
      </w:r>
    </w:p>
    <w:p w14:paraId="27706CAB" w14:textId="77777777" w:rsidR="0073399F" w:rsidRPr="009F1F8D" w:rsidRDefault="0073399F" w:rsidP="0073399F">
      <w:pPr>
        <w:ind w:hanging="851"/>
        <w:jc w:val="both"/>
        <w:rPr>
          <w:rFonts w:ascii="Book Antiqua" w:hAnsi="Book Antiqua"/>
        </w:rPr>
      </w:pPr>
      <w:r w:rsidRPr="009F1F8D">
        <w:rPr>
          <w:rFonts w:ascii="Book Antiqua" w:hAnsi="Book Antiqua"/>
          <w:noProof/>
        </w:rPr>
        <w:drawing>
          <wp:inline distT="0" distB="0" distL="0" distR="0" wp14:anchorId="71AF2D06" wp14:editId="685F3E7B">
            <wp:extent cx="6469498" cy="4481945"/>
            <wp:effectExtent l="0" t="0" r="7620" b="0"/>
            <wp:docPr id="18" name="Imagen 18"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Diagrama&#10;&#10;Descripción generada automáticamente"/>
                    <pic:cNvPicPr/>
                  </pic:nvPicPr>
                  <pic:blipFill>
                    <a:blip r:embed="rId88"/>
                    <a:stretch>
                      <a:fillRect/>
                    </a:stretch>
                  </pic:blipFill>
                  <pic:spPr>
                    <a:xfrm>
                      <a:off x="0" y="0"/>
                      <a:ext cx="6504562" cy="4506237"/>
                    </a:xfrm>
                    <a:prstGeom prst="rect">
                      <a:avLst/>
                    </a:prstGeom>
                  </pic:spPr>
                </pic:pic>
              </a:graphicData>
            </a:graphic>
          </wp:inline>
        </w:drawing>
      </w:r>
    </w:p>
    <w:p w14:paraId="1F059C0A" w14:textId="77777777" w:rsidR="0073399F" w:rsidRPr="009F1F8D" w:rsidRDefault="0073399F" w:rsidP="0073399F">
      <w:pPr>
        <w:jc w:val="both"/>
        <w:rPr>
          <w:rFonts w:ascii="Book Antiqua" w:hAnsi="Book Antiqua"/>
        </w:rPr>
      </w:pPr>
    </w:p>
    <w:p w14:paraId="353FDCC9" w14:textId="77777777" w:rsidR="0073399F" w:rsidRPr="009F1F8D" w:rsidRDefault="0073399F" w:rsidP="0073399F">
      <w:pPr>
        <w:jc w:val="both"/>
        <w:rPr>
          <w:rFonts w:ascii="Book Antiqua" w:hAnsi="Book Antiqua"/>
        </w:rPr>
      </w:pPr>
    </w:p>
    <w:p w14:paraId="6E05EADA" w14:textId="77777777" w:rsidR="0073399F" w:rsidRPr="009F1F8D" w:rsidRDefault="0073399F" w:rsidP="0073399F">
      <w:pPr>
        <w:jc w:val="both"/>
        <w:rPr>
          <w:rFonts w:ascii="Book Antiqua" w:hAnsi="Book Antiqua"/>
        </w:rPr>
      </w:pPr>
    </w:p>
    <w:p w14:paraId="740F933F" w14:textId="77777777" w:rsidR="0073399F" w:rsidRPr="009F1F8D" w:rsidRDefault="0073399F" w:rsidP="0073399F">
      <w:pPr>
        <w:pStyle w:val="NormalWeb"/>
        <w:jc w:val="both"/>
        <w:rPr>
          <w:rFonts w:ascii="Book Antiqua" w:hAnsi="Book Antiqua" w:cs="Segoe UI"/>
          <w:color w:val="212529"/>
          <w:lang w:val="es-ES"/>
        </w:rPr>
      </w:pPr>
      <w:r>
        <w:rPr>
          <w:rFonts w:ascii="Book Antiqua" w:hAnsi="Book Antiqua" w:cs="Segoe UI"/>
          <w:color w:val="212529"/>
          <w:lang w:val="es-ES"/>
        </w:rPr>
        <w:t xml:space="preserve">Es importante indicar que los planes anteriores, son elaborados </w:t>
      </w:r>
      <w:r w:rsidRPr="009F1F8D">
        <w:rPr>
          <w:rFonts w:ascii="Book Antiqua" w:hAnsi="Book Antiqua" w:cs="Segoe UI"/>
          <w:color w:val="212529"/>
          <w:lang w:val="es-ES"/>
        </w:rPr>
        <w:t>en co</w:t>
      </w:r>
      <w:r>
        <w:rPr>
          <w:rFonts w:ascii="Book Antiqua" w:hAnsi="Book Antiqua" w:cs="Segoe UI"/>
          <w:color w:val="212529"/>
          <w:lang w:val="es-ES"/>
        </w:rPr>
        <w:t>njunto</w:t>
      </w:r>
      <w:r w:rsidRPr="009F1F8D">
        <w:rPr>
          <w:rFonts w:ascii="Book Antiqua" w:hAnsi="Book Antiqua" w:cs="Segoe UI"/>
          <w:color w:val="212529"/>
          <w:lang w:val="es-ES"/>
        </w:rPr>
        <w:t xml:space="preserve"> con la Administración Regional y con las respectivas oficinas que forman parte del modelo de Seguimiento y Sostenibilidad; con la finalidad, de mejorar la gestión de los despachos en aquellos indicadores que se encuentran en estado crítico, a fin de que se logre estabilizar el indicador y el despacho pueda mejora su gestión haciendo uso de su capacidad instalada; o bien, reforzando aquellos despachos que a pesar de cumplir con los indicadores de gestión, su carga de trabajo, sobrepasa su capacidad instalada.</w:t>
      </w:r>
    </w:p>
    <w:p w14:paraId="77B63AE0" w14:textId="4C91649D" w:rsidR="0073399F" w:rsidRPr="0073399F" w:rsidRDefault="0073399F" w:rsidP="0073399F">
      <w:pPr>
        <w:pStyle w:val="NormalWeb"/>
        <w:jc w:val="both"/>
        <w:rPr>
          <w:rFonts w:ascii="Book Antiqua" w:hAnsi="Book Antiqua" w:cs="Segoe UI"/>
          <w:b/>
          <w:bCs/>
          <w:color w:val="212529"/>
          <w:lang w:val="es-ES"/>
        </w:rPr>
      </w:pPr>
      <w:r w:rsidRPr="0073399F">
        <w:rPr>
          <w:rFonts w:ascii="Book Antiqua" w:hAnsi="Book Antiqua" w:cs="Segoe UI"/>
          <w:b/>
          <w:bCs/>
          <w:color w:val="212529"/>
          <w:lang w:val="es-ES"/>
        </w:rPr>
        <w:t>11.2 Presentaciones a los Consejos de Administración</w:t>
      </w:r>
    </w:p>
    <w:p w14:paraId="161B46FC" w14:textId="5178EE91" w:rsidR="0073399F" w:rsidRPr="009F1F8D" w:rsidRDefault="0073399F" w:rsidP="0073399F">
      <w:pPr>
        <w:tabs>
          <w:tab w:val="left" w:pos="982"/>
        </w:tabs>
        <w:jc w:val="both"/>
        <w:rPr>
          <w:rFonts w:ascii="Book Antiqua" w:hAnsi="Book Antiqua" w:cs="Segoe UI"/>
          <w:color w:val="212529"/>
          <w:lang w:val="es-ES" w:eastAsia="es-CR"/>
        </w:rPr>
      </w:pPr>
      <w:r w:rsidRPr="009F1F8D">
        <w:rPr>
          <w:rFonts w:ascii="Book Antiqua" w:hAnsi="Book Antiqua" w:cs="Segoe UI"/>
          <w:color w:val="212529"/>
          <w:lang w:val="es-ES" w:eastAsia="es-CR"/>
        </w:rPr>
        <w:t>A continuación</w:t>
      </w:r>
      <w:r>
        <w:rPr>
          <w:rFonts w:ascii="Book Antiqua" w:hAnsi="Book Antiqua" w:cs="Segoe UI"/>
          <w:color w:val="212529"/>
          <w:lang w:val="es-ES" w:eastAsia="es-CR"/>
        </w:rPr>
        <w:t>,</w:t>
      </w:r>
      <w:r w:rsidRPr="009F1F8D">
        <w:rPr>
          <w:rFonts w:ascii="Book Antiqua" w:hAnsi="Book Antiqua" w:cs="Segoe UI"/>
          <w:color w:val="212529"/>
          <w:lang w:val="es-ES" w:eastAsia="es-CR"/>
        </w:rPr>
        <w:t xml:space="preserve"> se detallan el total de presentaciones realizadas a los Consejos de Administración por </w:t>
      </w:r>
      <w:r>
        <w:rPr>
          <w:rFonts w:ascii="Book Antiqua" w:hAnsi="Book Antiqua" w:cs="Segoe UI"/>
          <w:color w:val="212529"/>
          <w:lang w:val="es-ES" w:eastAsia="es-CR"/>
        </w:rPr>
        <w:t>C</w:t>
      </w:r>
      <w:r w:rsidRPr="009F1F8D">
        <w:rPr>
          <w:rFonts w:ascii="Book Antiqua" w:hAnsi="Book Antiqua" w:cs="Segoe UI"/>
          <w:color w:val="212529"/>
          <w:lang w:val="es-ES" w:eastAsia="es-CR"/>
        </w:rPr>
        <w:t>ircuito:</w:t>
      </w:r>
    </w:p>
    <w:p w14:paraId="2F7EE4B9" w14:textId="77777777" w:rsidR="0073399F" w:rsidRPr="009F1F8D" w:rsidRDefault="0073399F" w:rsidP="0073399F">
      <w:pPr>
        <w:jc w:val="both"/>
        <w:rPr>
          <w:rFonts w:ascii="Book Antiqua" w:hAnsi="Book Antiqua"/>
        </w:rPr>
      </w:pPr>
      <w:r w:rsidRPr="009F1F8D">
        <w:rPr>
          <w:rFonts w:ascii="Book Antiqua" w:hAnsi="Book Antiqua"/>
          <w:noProof/>
        </w:rPr>
        <w:drawing>
          <wp:inline distT="0" distB="0" distL="0" distR="0" wp14:anchorId="5D033309" wp14:editId="5EC9B922">
            <wp:extent cx="5399864" cy="6040581"/>
            <wp:effectExtent l="0" t="0" r="0" b="0"/>
            <wp:docPr id="21" name="Imagen 21"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Escala de tiempo&#10;&#10;Descripción generada automáticamente"/>
                    <pic:cNvPicPr/>
                  </pic:nvPicPr>
                  <pic:blipFill>
                    <a:blip r:embed="rId89"/>
                    <a:stretch>
                      <a:fillRect/>
                    </a:stretch>
                  </pic:blipFill>
                  <pic:spPr>
                    <a:xfrm>
                      <a:off x="0" y="0"/>
                      <a:ext cx="5427779" cy="6071809"/>
                    </a:xfrm>
                    <a:prstGeom prst="rect">
                      <a:avLst/>
                    </a:prstGeom>
                  </pic:spPr>
                </pic:pic>
              </a:graphicData>
            </a:graphic>
          </wp:inline>
        </w:drawing>
      </w:r>
    </w:p>
    <w:p w14:paraId="1985CB4E" w14:textId="77777777" w:rsidR="0073399F" w:rsidRDefault="0073399F" w:rsidP="0073399F">
      <w:pPr>
        <w:pStyle w:val="Ttulo1"/>
        <w:keepLines/>
        <w:widowControl/>
        <w:autoSpaceDN/>
        <w:adjustRightInd/>
        <w:spacing w:before="240"/>
        <w:jc w:val="both"/>
        <w:rPr>
          <w:bCs/>
          <w:color w:val="auto"/>
          <w:szCs w:val="24"/>
        </w:rPr>
      </w:pPr>
    </w:p>
    <w:p w14:paraId="3219695F" w14:textId="3F97803A" w:rsidR="0073399F" w:rsidRPr="00086FB7" w:rsidRDefault="0073399F" w:rsidP="0073399F">
      <w:pPr>
        <w:pStyle w:val="Ttulo1"/>
        <w:keepLines/>
        <w:widowControl/>
        <w:numPr>
          <w:ilvl w:val="1"/>
          <w:numId w:val="24"/>
        </w:numPr>
        <w:autoSpaceDN/>
        <w:adjustRightInd/>
        <w:spacing w:before="240"/>
        <w:jc w:val="both"/>
        <w:rPr>
          <w:color w:val="auto"/>
        </w:rPr>
      </w:pPr>
      <w:r w:rsidRPr="57A79FF7">
        <w:rPr>
          <w:color w:val="auto"/>
        </w:rPr>
        <w:t xml:space="preserve"> Seguimiento anual del Circuito Judicial</w:t>
      </w:r>
    </w:p>
    <w:p w14:paraId="13EC2506" w14:textId="77777777" w:rsidR="0073399F" w:rsidRPr="009F1F8D" w:rsidRDefault="0073399F" w:rsidP="0073399F">
      <w:pPr>
        <w:jc w:val="both"/>
        <w:rPr>
          <w:rFonts w:ascii="Book Antiqua" w:hAnsi="Book Antiqua"/>
        </w:rPr>
      </w:pPr>
    </w:p>
    <w:p w14:paraId="655523E8" w14:textId="77777777" w:rsidR="0073399F" w:rsidRPr="009F1F8D" w:rsidRDefault="0073399F" w:rsidP="0073399F">
      <w:pPr>
        <w:pStyle w:val="NormalWeb"/>
        <w:jc w:val="both"/>
        <w:rPr>
          <w:rFonts w:ascii="Book Antiqua" w:hAnsi="Book Antiqua" w:cs="Segoe UI"/>
          <w:color w:val="212529"/>
          <w:lang w:val="es-ES"/>
        </w:rPr>
      </w:pPr>
      <w:r w:rsidRPr="009F1F8D">
        <w:rPr>
          <w:rFonts w:ascii="Book Antiqua" w:hAnsi="Book Antiqua" w:cs="Segoe UI"/>
          <w:color w:val="212529"/>
          <w:lang w:val="es-ES"/>
        </w:rPr>
        <w:t>Dentro de los abordajes que se han realizado como parte de las labores del modelo de Seguimiento y Sostenibilidad, se encuentra la elaboración de siete informes sobre el comportamiento del circuito durante el año 2020, los cuales presentan dentro de su contenido aspectos como:</w:t>
      </w:r>
    </w:p>
    <w:p w14:paraId="0E4F5520" w14:textId="77777777" w:rsidR="0073399F" w:rsidRPr="009F1F8D" w:rsidRDefault="003537E7" w:rsidP="0073399F">
      <w:pPr>
        <w:pStyle w:val="TDC2"/>
        <w:numPr>
          <w:ilvl w:val="0"/>
          <w:numId w:val="23"/>
        </w:numPr>
        <w:spacing w:after="100" w:line="259" w:lineRule="auto"/>
        <w:jc w:val="both"/>
        <w:rPr>
          <w:rFonts w:ascii="Book Antiqua" w:hAnsi="Book Antiqua" w:cs="Segoe UI"/>
          <w:color w:val="212529"/>
          <w:lang w:val="es-ES" w:eastAsia="es-CR"/>
        </w:rPr>
      </w:pPr>
      <w:hyperlink w:anchor="_Toc82818254" w:history="1">
        <w:r w:rsidR="0073399F" w:rsidRPr="009F1F8D">
          <w:rPr>
            <w:rFonts w:ascii="Book Antiqua" w:hAnsi="Book Antiqua" w:cs="Segoe UI"/>
            <w:color w:val="212529"/>
            <w:lang w:val="es-ES" w:eastAsia="es-CR"/>
          </w:rPr>
          <w:t>Cantidad de reuniones en las que se participó durante el 2020</w:t>
        </w:r>
      </w:hyperlink>
      <w:r w:rsidR="0073399F" w:rsidRPr="009F1F8D">
        <w:rPr>
          <w:rFonts w:ascii="Book Antiqua" w:hAnsi="Book Antiqua" w:cs="Segoe UI"/>
          <w:color w:val="212529"/>
          <w:lang w:val="es-ES" w:eastAsia="es-CR"/>
        </w:rPr>
        <w:t>.</w:t>
      </w:r>
    </w:p>
    <w:p w14:paraId="148157F0" w14:textId="77777777" w:rsidR="0073399F" w:rsidRPr="009F1F8D" w:rsidRDefault="0073399F" w:rsidP="0073399F">
      <w:pPr>
        <w:pStyle w:val="TDC2"/>
        <w:numPr>
          <w:ilvl w:val="0"/>
          <w:numId w:val="23"/>
        </w:numPr>
        <w:spacing w:after="100" w:line="259" w:lineRule="auto"/>
        <w:jc w:val="both"/>
        <w:rPr>
          <w:rFonts w:ascii="Book Antiqua" w:hAnsi="Book Antiqua" w:cs="Segoe UI"/>
          <w:color w:val="212529"/>
          <w:lang w:val="es-ES" w:eastAsia="es-CR"/>
        </w:rPr>
      </w:pPr>
      <w:r w:rsidRPr="009F1F8D">
        <w:rPr>
          <w:rFonts w:ascii="Book Antiqua" w:hAnsi="Book Antiqua" w:cs="Segoe UI"/>
          <w:color w:val="212529"/>
          <w:lang w:val="es-ES" w:eastAsia="es-CR"/>
        </w:rPr>
        <w:t>Sesiones de Consejo de Administración en que se ha participado.</w:t>
      </w:r>
    </w:p>
    <w:p w14:paraId="41174537" w14:textId="77777777" w:rsidR="0073399F" w:rsidRPr="009F1F8D" w:rsidRDefault="003537E7" w:rsidP="0073399F">
      <w:pPr>
        <w:pStyle w:val="TDC1"/>
        <w:numPr>
          <w:ilvl w:val="0"/>
          <w:numId w:val="23"/>
        </w:numPr>
        <w:tabs>
          <w:tab w:val="right" w:leader="dot" w:pos="8828"/>
        </w:tabs>
        <w:spacing w:after="100" w:line="259" w:lineRule="auto"/>
        <w:jc w:val="both"/>
        <w:rPr>
          <w:rFonts w:ascii="Book Antiqua" w:hAnsi="Book Antiqua" w:cs="Segoe UI"/>
          <w:color w:val="212529"/>
          <w:lang w:val="es-ES" w:eastAsia="es-CR"/>
        </w:rPr>
      </w:pPr>
      <w:hyperlink w:anchor="_Toc82818258" w:history="1">
        <w:r w:rsidR="0073399F" w:rsidRPr="009F1F8D">
          <w:rPr>
            <w:rFonts w:ascii="Book Antiqua" w:hAnsi="Book Antiqua" w:cs="Segoe UI"/>
            <w:color w:val="212529"/>
            <w:lang w:val="es-ES" w:eastAsia="es-CR"/>
          </w:rPr>
          <w:t xml:space="preserve"> Situación Global del Circuito</w:t>
        </w:r>
      </w:hyperlink>
      <w:r w:rsidR="0073399F" w:rsidRPr="009F1F8D">
        <w:rPr>
          <w:rFonts w:ascii="Book Antiqua" w:hAnsi="Book Antiqua" w:cs="Segoe UI"/>
          <w:color w:val="212529"/>
          <w:lang w:val="es-ES" w:eastAsia="es-CR"/>
        </w:rPr>
        <w:t>.</w:t>
      </w:r>
    </w:p>
    <w:p w14:paraId="34C71D35" w14:textId="77777777" w:rsidR="0073399F" w:rsidRPr="009F1F8D" w:rsidRDefault="003537E7" w:rsidP="0073399F">
      <w:pPr>
        <w:pStyle w:val="TDC2"/>
        <w:numPr>
          <w:ilvl w:val="0"/>
          <w:numId w:val="23"/>
        </w:numPr>
        <w:spacing w:after="100" w:line="259" w:lineRule="auto"/>
        <w:jc w:val="both"/>
        <w:rPr>
          <w:rFonts w:ascii="Book Antiqua" w:hAnsi="Book Antiqua" w:cs="Segoe UI"/>
          <w:color w:val="212529"/>
          <w:lang w:val="es-ES" w:eastAsia="es-CR"/>
        </w:rPr>
      </w:pPr>
      <w:hyperlink w:anchor="_Toc82818259" w:history="1">
        <w:r w:rsidR="0073399F" w:rsidRPr="009F1F8D">
          <w:rPr>
            <w:rFonts w:ascii="Book Antiqua" w:hAnsi="Book Antiqua" w:cs="Segoe UI"/>
            <w:color w:val="212529"/>
            <w:lang w:val="es-ES" w:eastAsia="es-CR"/>
          </w:rPr>
          <w:t>Promedio de entrada, terminados y circulante.</w:t>
        </w:r>
      </w:hyperlink>
    </w:p>
    <w:p w14:paraId="55B84601" w14:textId="77777777" w:rsidR="0073399F" w:rsidRPr="009F1F8D" w:rsidRDefault="003537E7" w:rsidP="0073399F">
      <w:pPr>
        <w:pStyle w:val="TDC2"/>
        <w:numPr>
          <w:ilvl w:val="0"/>
          <w:numId w:val="23"/>
        </w:numPr>
        <w:spacing w:after="100" w:line="259" w:lineRule="auto"/>
        <w:jc w:val="both"/>
        <w:rPr>
          <w:rFonts w:ascii="Book Antiqua" w:hAnsi="Book Antiqua" w:cs="Segoe UI"/>
          <w:color w:val="212529"/>
          <w:lang w:val="es-ES" w:eastAsia="es-CR"/>
        </w:rPr>
      </w:pPr>
      <w:hyperlink w:anchor="_Toc82818260" w:history="1">
        <w:r w:rsidR="0073399F" w:rsidRPr="009F1F8D">
          <w:rPr>
            <w:rFonts w:ascii="Book Antiqua" w:hAnsi="Book Antiqua" w:cs="Segoe UI"/>
            <w:color w:val="212529"/>
            <w:lang w:val="es-ES" w:eastAsia="es-CR"/>
          </w:rPr>
          <w:t>Estructura del Circuito Judicial según la Relación de Puestos de la Dirección de Gestión Humana</w:t>
        </w:r>
      </w:hyperlink>
      <w:r w:rsidR="0073399F" w:rsidRPr="009F1F8D">
        <w:rPr>
          <w:rFonts w:ascii="Book Antiqua" w:hAnsi="Book Antiqua" w:cs="Segoe UI"/>
          <w:color w:val="212529"/>
          <w:lang w:val="es-ES" w:eastAsia="es-CR"/>
        </w:rPr>
        <w:t>.</w:t>
      </w:r>
    </w:p>
    <w:p w14:paraId="196286B5" w14:textId="77777777" w:rsidR="0073399F" w:rsidRPr="009F1F8D" w:rsidRDefault="003537E7" w:rsidP="0073399F">
      <w:pPr>
        <w:pStyle w:val="TDC2"/>
        <w:numPr>
          <w:ilvl w:val="0"/>
          <w:numId w:val="23"/>
        </w:numPr>
        <w:spacing w:after="100" w:line="259" w:lineRule="auto"/>
        <w:jc w:val="both"/>
        <w:rPr>
          <w:rFonts w:ascii="Book Antiqua" w:hAnsi="Book Antiqua" w:cs="Segoe UI"/>
          <w:color w:val="212529"/>
          <w:lang w:val="es-ES" w:eastAsia="es-CR"/>
        </w:rPr>
      </w:pPr>
      <w:hyperlink w:anchor="_Toc82818261" w:history="1">
        <w:r w:rsidR="0073399F" w:rsidRPr="009F1F8D">
          <w:rPr>
            <w:rFonts w:ascii="Book Antiqua" w:hAnsi="Book Antiqua" w:cs="Segoe UI"/>
            <w:color w:val="212529"/>
            <w:lang w:val="es-ES" w:eastAsia="es-CR"/>
          </w:rPr>
          <w:t>Oficinas atendidas por la Dirección de Planificación</w:t>
        </w:r>
      </w:hyperlink>
      <w:r w:rsidR="0073399F" w:rsidRPr="009F1F8D">
        <w:rPr>
          <w:rFonts w:ascii="Book Antiqua" w:hAnsi="Book Antiqua" w:cs="Segoe UI"/>
          <w:color w:val="212529"/>
          <w:lang w:val="es-ES" w:eastAsia="es-CR"/>
        </w:rPr>
        <w:t>.</w:t>
      </w:r>
    </w:p>
    <w:p w14:paraId="73D68845" w14:textId="77777777" w:rsidR="0073399F" w:rsidRPr="009F1F8D" w:rsidRDefault="003537E7" w:rsidP="0073399F">
      <w:pPr>
        <w:pStyle w:val="TDC2"/>
        <w:numPr>
          <w:ilvl w:val="0"/>
          <w:numId w:val="23"/>
        </w:numPr>
        <w:spacing w:after="100" w:line="259" w:lineRule="auto"/>
        <w:jc w:val="both"/>
        <w:rPr>
          <w:rFonts w:ascii="Book Antiqua" w:hAnsi="Book Antiqua" w:cs="Segoe UI"/>
          <w:color w:val="212529"/>
          <w:lang w:val="es-ES" w:eastAsia="es-CR"/>
        </w:rPr>
      </w:pPr>
      <w:hyperlink w:anchor="_Toc82818263" w:history="1">
        <w:r w:rsidR="0073399F" w:rsidRPr="009F1F8D">
          <w:rPr>
            <w:rFonts w:ascii="Book Antiqua" w:hAnsi="Book Antiqua" w:cs="Segoe UI"/>
            <w:color w:val="212529"/>
            <w:lang w:val="es-ES" w:eastAsia="es-CR"/>
          </w:rPr>
          <w:t>Análisis integral de los resultados de los Indicadores de Gestión</w:t>
        </w:r>
      </w:hyperlink>
      <w:r w:rsidR="0073399F" w:rsidRPr="009F1F8D">
        <w:rPr>
          <w:rFonts w:ascii="Book Antiqua" w:hAnsi="Book Antiqua" w:cs="Segoe UI"/>
          <w:color w:val="212529"/>
          <w:lang w:val="es-ES" w:eastAsia="es-CR"/>
        </w:rPr>
        <w:t>.</w:t>
      </w:r>
    </w:p>
    <w:p w14:paraId="0836B9F4" w14:textId="77777777" w:rsidR="0073399F" w:rsidRPr="009F1F8D" w:rsidRDefault="003537E7" w:rsidP="0073399F">
      <w:pPr>
        <w:pStyle w:val="TDC2"/>
        <w:numPr>
          <w:ilvl w:val="0"/>
          <w:numId w:val="23"/>
        </w:numPr>
        <w:spacing w:after="100" w:line="259" w:lineRule="auto"/>
        <w:jc w:val="both"/>
        <w:rPr>
          <w:rFonts w:ascii="Book Antiqua" w:hAnsi="Book Antiqua" w:cs="Segoe UI"/>
          <w:color w:val="212529"/>
          <w:lang w:val="es-ES" w:eastAsia="es-CR"/>
        </w:rPr>
      </w:pPr>
      <w:hyperlink w:anchor="_Toc82818265" w:history="1">
        <w:r w:rsidR="0073399F" w:rsidRPr="009F1F8D">
          <w:rPr>
            <w:rFonts w:ascii="Book Antiqua" w:hAnsi="Book Antiqua" w:cs="Segoe UI"/>
            <w:color w:val="212529"/>
            <w:lang w:val="es-ES" w:eastAsia="es-CR"/>
          </w:rPr>
          <w:t>Audiencias realizadas y no realizadas por despacho.</w:t>
        </w:r>
      </w:hyperlink>
    </w:p>
    <w:p w14:paraId="368874EC" w14:textId="77777777" w:rsidR="0073399F" w:rsidRPr="009F1F8D" w:rsidRDefault="003537E7" w:rsidP="0073399F">
      <w:pPr>
        <w:pStyle w:val="TDC2"/>
        <w:numPr>
          <w:ilvl w:val="0"/>
          <w:numId w:val="23"/>
        </w:numPr>
        <w:spacing w:after="100" w:line="259" w:lineRule="auto"/>
        <w:jc w:val="both"/>
        <w:rPr>
          <w:rFonts w:ascii="Book Antiqua" w:hAnsi="Book Antiqua" w:cs="Segoe UI"/>
          <w:color w:val="212529"/>
          <w:lang w:val="es-ES" w:eastAsia="es-CR"/>
        </w:rPr>
      </w:pPr>
      <w:hyperlink w:anchor="_Toc82818266" w:history="1">
        <w:r w:rsidR="0073399F" w:rsidRPr="009F1F8D">
          <w:rPr>
            <w:rFonts w:ascii="Book Antiqua" w:hAnsi="Book Antiqua" w:cs="Segoe UI"/>
            <w:color w:val="212529"/>
            <w:lang w:val="es-ES" w:eastAsia="es-CR"/>
          </w:rPr>
          <w:t>Cumplimiento por parte de las oficinas del Circuito con relación a la operativa del Modelo de Seguimiento</w:t>
        </w:r>
      </w:hyperlink>
      <w:r w:rsidR="0073399F" w:rsidRPr="009F1F8D">
        <w:rPr>
          <w:rFonts w:ascii="Book Antiqua" w:hAnsi="Book Antiqua" w:cs="Segoe UI"/>
          <w:color w:val="212529"/>
          <w:lang w:val="es-ES" w:eastAsia="es-CR"/>
        </w:rPr>
        <w:t>.</w:t>
      </w:r>
    </w:p>
    <w:p w14:paraId="2BFA4CD0" w14:textId="77777777" w:rsidR="0073399F" w:rsidRPr="009F1F8D" w:rsidRDefault="003537E7" w:rsidP="0073399F">
      <w:pPr>
        <w:pStyle w:val="TDC2"/>
        <w:numPr>
          <w:ilvl w:val="0"/>
          <w:numId w:val="23"/>
        </w:numPr>
        <w:spacing w:after="100" w:line="259" w:lineRule="auto"/>
        <w:jc w:val="both"/>
        <w:rPr>
          <w:rFonts w:ascii="Book Antiqua" w:hAnsi="Book Antiqua" w:cs="Segoe UI"/>
          <w:color w:val="212529"/>
          <w:lang w:val="es-ES" w:eastAsia="es-CR"/>
        </w:rPr>
      </w:pPr>
      <w:hyperlink w:anchor="_Toc82818267" w:history="1">
        <w:r w:rsidR="0073399F" w:rsidRPr="009F1F8D">
          <w:rPr>
            <w:rFonts w:ascii="Book Antiqua" w:hAnsi="Book Antiqua" w:cs="Segoe UI"/>
            <w:color w:val="212529"/>
            <w:lang w:val="es-ES" w:eastAsia="es-CR"/>
          </w:rPr>
          <w:t>Resultado de los principales Indicadores de Gestión</w:t>
        </w:r>
      </w:hyperlink>
      <w:r w:rsidR="0073399F" w:rsidRPr="009F1F8D">
        <w:rPr>
          <w:rFonts w:ascii="Book Antiqua" w:hAnsi="Book Antiqua" w:cs="Segoe UI"/>
          <w:color w:val="212529"/>
          <w:lang w:val="es-ES" w:eastAsia="es-CR"/>
        </w:rPr>
        <w:t>.</w:t>
      </w:r>
    </w:p>
    <w:p w14:paraId="3C61A18D" w14:textId="77777777" w:rsidR="0073399F" w:rsidRPr="009F1F8D" w:rsidRDefault="003537E7" w:rsidP="0073399F">
      <w:pPr>
        <w:pStyle w:val="TDC2"/>
        <w:numPr>
          <w:ilvl w:val="0"/>
          <w:numId w:val="23"/>
        </w:numPr>
        <w:spacing w:after="100" w:line="259" w:lineRule="auto"/>
        <w:jc w:val="both"/>
        <w:rPr>
          <w:rFonts w:ascii="Book Antiqua" w:hAnsi="Book Antiqua" w:cs="Segoe UI"/>
          <w:color w:val="212529"/>
          <w:lang w:val="es-ES" w:eastAsia="es-CR"/>
        </w:rPr>
      </w:pPr>
      <w:hyperlink w:anchor="_Toc82818268" w:history="1">
        <w:r w:rsidR="0073399F" w:rsidRPr="009F1F8D">
          <w:rPr>
            <w:rFonts w:ascii="Book Antiqua" w:hAnsi="Book Antiqua" w:cs="Segoe UI"/>
            <w:color w:val="212529"/>
            <w:lang w:val="es-ES" w:eastAsia="es-CR"/>
          </w:rPr>
          <w:t>Estado general del Circuito Judicial conforme al Modelo de Análisis Integral de Despachos y Oficinas MAIC</w:t>
        </w:r>
      </w:hyperlink>
      <w:r w:rsidR="0073399F" w:rsidRPr="009F1F8D">
        <w:rPr>
          <w:rFonts w:ascii="Book Antiqua" w:hAnsi="Book Antiqua" w:cs="Segoe UI"/>
          <w:color w:val="212529"/>
          <w:lang w:val="es-ES" w:eastAsia="es-CR"/>
        </w:rPr>
        <w:t>.</w:t>
      </w:r>
    </w:p>
    <w:p w14:paraId="087F7DD6" w14:textId="77777777" w:rsidR="0073399F" w:rsidRPr="009F1F8D" w:rsidRDefault="003537E7" w:rsidP="0073399F">
      <w:pPr>
        <w:pStyle w:val="TDC2"/>
        <w:numPr>
          <w:ilvl w:val="0"/>
          <w:numId w:val="23"/>
        </w:numPr>
        <w:spacing w:after="100" w:line="259" w:lineRule="auto"/>
        <w:jc w:val="both"/>
        <w:rPr>
          <w:rFonts w:ascii="Book Antiqua" w:hAnsi="Book Antiqua" w:cs="Segoe UI"/>
          <w:color w:val="212529"/>
          <w:lang w:val="es-ES" w:eastAsia="es-CR"/>
        </w:rPr>
      </w:pPr>
      <w:hyperlink w:anchor="_Toc82818269" w:history="1">
        <w:r w:rsidR="0073399F" w:rsidRPr="009F1F8D">
          <w:rPr>
            <w:rFonts w:ascii="Book Antiqua" w:hAnsi="Book Antiqua" w:cs="Segoe UI"/>
            <w:color w:val="212529"/>
            <w:lang w:val="es-ES" w:eastAsia="es-CR"/>
          </w:rPr>
          <w:t>Grado de criticidad de los despachos y su evolución</w:t>
        </w:r>
      </w:hyperlink>
      <w:r w:rsidR="0073399F" w:rsidRPr="009F1F8D">
        <w:rPr>
          <w:rFonts w:ascii="Book Antiqua" w:hAnsi="Book Antiqua" w:cs="Segoe UI"/>
          <w:color w:val="212529"/>
          <w:lang w:val="es-ES" w:eastAsia="es-CR"/>
        </w:rPr>
        <w:t>.</w:t>
      </w:r>
    </w:p>
    <w:p w14:paraId="1E0B2587" w14:textId="77777777" w:rsidR="0073399F" w:rsidRPr="009F1F8D" w:rsidRDefault="003537E7" w:rsidP="0073399F">
      <w:pPr>
        <w:pStyle w:val="TDC3"/>
        <w:numPr>
          <w:ilvl w:val="0"/>
          <w:numId w:val="23"/>
        </w:numPr>
        <w:tabs>
          <w:tab w:val="left" w:pos="1100"/>
          <w:tab w:val="right" w:leader="dot" w:pos="8828"/>
        </w:tabs>
        <w:spacing w:after="100"/>
        <w:jc w:val="both"/>
        <w:rPr>
          <w:rFonts w:ascii="Book Antiqua" w:hAnsi="Book Antiqua" w:cs="Segoe UI"/>
          <w:color w:val="212529"/>
          <w:lang w:val="es-ES" w:eastAsia="es-CR"/>
        </w:rPr>
      </w:pPr>
      <w:hyperlink w:anchor="_Toc82818270" w:history="1">
        <w:r w:rsidR="0073399F" w:rsidRPr="009F1F8D">
          <w:rPr>
            <w:rFonts w:ascii="Book Antiqua" w:hAnsi="Book Antiqua" w:cs="Segoe UI"/>
            <w:color w:val="212529"/>
            <w:lang w:val="es-ES" w:eastAsia="es-CR"/>
          </w:rPr>
          <w:t xml:space="preserve">Despachos que se encuentran con un muy buen desempeño en el cumplimiento de los Indicadores de Gestión. </w:t>
        </w:r>
      </w:hyperlink>
    </w:p>
    <w:p w14:paraId="2CAB7B05" w14:textId="77777777" w:rsidR="0073399F" w:rsidRPr="009F1F8D" w:rsidRDefault="003537E7" w:rsidP="0073399F">
      <w:pPr>
        <w:pStyle w:val="TDC3"/>
        <w:numPr>
          <w:ilvl w:val="0"/>
          <w:numId w:val="23"/>
        </w:numPr>
        <w:tabs>
          <w:tab w:val="left" w:pos="1100"/>
          <w:tab w:val="right" w:leader="dot" w:pos="8828"/>
        </w:tabs>
        <w:spacing w:after="100"/>
        <w:jc w:val="both"/>
        <w:rPr>
          <w:rFonts w:ascii="Book Antiqua" w:hAnsi="Book Antiqua" w:cs="Segoe UI"/>
          <w:color w:val="212529"/>
          <w:lang w:val="es-ES" w:eastAsia="es-CR"/>
        </w:rPr>
      </w:pPr>
      <w:hyperlink w:anchor="_Toc82818271" w:history="1">
        <w:r w:rsidR="0073399F" w:rsidRPr="009F1F8D">
          <w:rPr>
            <w:rFonts w:ascii="Book Antiqua" w:hAnsi="Book Antiqua" w:cs="Segoe UI"/>
            <w:color w:val="212529"/>
            <w:lang w:val="es-ES" w:eastAsia="es-CR"/>
          </w:rPr>
          <w:t xml:space="preserve">Despachos que se encuentran en estado crítico. </w:t>
        </w:r>
      </w:hyperlink>
    </w:p>
    <w:p w14:paraId="499B3387" w14:textId="77777777" w:rsidR="0073399F" w:rsidRPr="009F1F8D" w:rsidRDefault="0073399F" w:rsidP="0073399F">
      <w:pPr>
        <w:pStyle w:val="TDC2"/>
        <w:numPr>
          <w:ilvl w:val="0"/>
          <w:numId w:val="23"/>
        </w:numPr>
        <w:spacing w:after="100" w:line="259" w:lineRule="auto"/>
        <w:jc w:val="both"/>
        <w:rPr>
          <w:rFonts w:ascii="Book Antiqua" w:hAnsi="Book Antiqua" w:cs="Segoe UI"/>
          <w:color w:val="212529"/>
          <w:lang w:val="es-ES" w:eastAsia="es-CR"/>
        </w:rPr>
      </w:pPr>
      <w:r w:rsidRPr="009F1F8D">
        <w:rPr>
          <w:rFonts w:ascii="Book Antiqua" w:hAnsi="Book Antiqua" w:cs="Segoe UI"/>
          <w:color w:val="212529"/>
          <w:lang w:val="es-ES" w:eastAsia="es-CR"/>
        </w:rPr>
        <w:t>P</w:t>
      </w:r>
      <w:hyperlink w:anchor="_Toc82818273" w:history="1">
        <w:r w:rsidRPr="009F1F8D">
          <w:rPr>
            <w:rFonts w:ascii="Book Antiqua" w:hAnsi="Book Antiqua" w:cs="Segoe UI"/>
            <w:color w:val="212529"/>
            <w:lang w:val="es-ES" w:eastAsia="es-CR"/>
          </w:rPr>
          <w:t>anes y seguimientos realizados</w:t>
        </w:r>
      </w:hyperlink>
      <w:r w:rsidRPr="009F1F8D">
        <w:rPr>
          <w:rFonts w:ascii="Book Antiqua" w:hAnsi="Book Antiqua" w:cs="Segoe UI"/>
          <w:color w:val="212529"/>
          <w:lang w:val="es-ES" w:eastAsia="es-CR"/>
        </w:rPr>
        <w:t>.</w:t>
      </w:r>
    </w:p>
    <w:p w14:paraId="62148B2C" w14:textId="77777777" w:rsidR="0073399F" w:rsidRPr="009F1F8D" w:rsidRDefault="003537E7" w:rsidP="0073399F">
      <w:pPr>
        <w:pStyle w:val="TDC1"/>
        <w:numPr>
          <w:ilvl w:val="0"/>
          <w:numId w:val="23"/>
        </w:numPr>
        <w:tabs>
          <w:tab w:val="right" w:leader="dot" w:pos="8828"/>
        </w:tabs>
        <w:spacing w:after="100" w:line="259" w:lineRule="auto"/>
        <w:jc w:val="both"/>
        <w:rPr>
          <w:rFonts w:ascii="Book Antiqua" w:hAnsi="Book Antiqua" w:cs="Segoe UI"/>
          <w:color w:val="212529"/>
          <w:lang w:val="es-ES" w:eastAsia="es-CR"/>
        </w:rPr>
      </w:pPr>
      <w:hyperlink w:anchor="_Toc82818274" w:history="1">
        <w:r w:rsidR="0073399F" w:rsidRPr="009F1F8D">
          <w:rPr>
            <w:rFonts w:ascii="Book Antiqua" w:hAnsi="Book Antiqua" w:cs="Segoe UI"/>
            <w:color w:val="212529"/>
            <w:lang w:val="es-ES" w:eastAsia="es-CR"/>
          </w:rPr>
          <w:t>Otras labores de seguimiento y sostenibilidad</w:t>
        </w:r>
      </w:hyperlink>
      <w:r w:rsidR="0073399F" w:rsidRPr="009F1F8D">
        <w:rPr>
          <w:rFonts w:ascii="Book Antiqua" w:hAnsi="Book Antiqua" w:cs="Segoe UI"/>
          <w:color w:val="212529"/>
          <w:lang w:val="es-ES" w:eastAsia="es-CR"/>
        </w:rPr>
        <w:t>.</w:t>
      </w:r>
    </w:p>
    <w:p w14:paraId="492BFB9D" w14:textId="77777777" w:rsidR="0073399F" w:rsidRPr="009F1F8D" w:rsidRDefault="003537E7" w:rsidP="0073399F">
      <w:pPr>
        <w:pStyle w:val="NormalWeb"/>
        <w:numPr>
          <w:ilvl w:val="0"/>
          <w:numId w:val="23"/>
        </w:numPr>
        <w:spacing w:before="0" w:beforeAutospacing="0"/>
        <w:jc w:val="both"/>
        <w:rPr>
          <w:rFonts w:ascii="Book Antiqua" w:hAnsi="Book Antiqua" w:cs="Arial"/>
          <w:b/>
          <w:bCs/>
          <w:color w:val="2F5496" w:themeColor="accent1" w:themeShade="BF"/>
        </w:rPr>
      </w:pPr>
      <w:hyperlink w:anchor="_Toc82818275" w:history="1">
        <w:r w:rsidR="0073399F" w:rsidRPr="009F1F8D">
          <w:rPr>
            <w:rFonts w:ascii="Book Antiqua" w:hAnsi="Book Antiqua" w:cs="Segoe UI"/>
            <w:color w:val="212529"/>
            <w:lang w:val="es-ES"/>
          </w:rPr>
          <w:t>Recomendaciones</w:t>
        </w:r>
      </w:hyperlink>
      <w:r w:rsidR="0073399F" w:rsidRPr="009F1F8D">
        <w:rPr>
          <w:rFonts w:ascii="Book Antiqua" w:hAnsi="Book Antiqua" w:cs="Segoe UI"/>
          <w:color w:val="212529"/>
          <w:lang w:val="es-ES"/>
        </w:rPr>
        <w:t>.</w:t>
      </w:r>
    </w:p>
    <w:p w14:paraId="0E28F9CD" w14:textId="1E52FBFC" w:rsidR="0073399F" w:rsidRPr="006F775A" w:rsidRDefault="0073399F" w:rsidP="0073399F">
      <w:pPr>
        <w:pStyle w:val="NormalWeb"/>
        <w:jc w:val="both"/>
        <w:rPr>
          <w:rFonts w:ascii="Book Antiqua" w:hAnsi="Book Antiqua" w:cs="Segoe UI"/>
          <w:color w:val="212529"/>
          <w:lang w:val="es-ES"/>
        </w:rPr>
      </w:pPr>
      <w:r w:rsidRPr="009F1F8D">
        <w:rPr>
          <w:rFonts w:ascii="Book Antiqua" w:hAnsi="Book Antiqua" w:cs="Segoe UI"/>
          <w:color w:val="212529"/>
          <w:lang w:val="es-ES"/>
        </w:rPr>
        <w:t>Los informes realizados son los siguientes:</w:t>
      </w:r>
    </w:p>
    <w:p w14:paraId="5503E4EB" w14:textId="77777777" w:rsidR="0073399F" w:rsidRPr="009F1F8D" w:rsidRDefault="0073399F" w:rsidP="0073399F">
      <w:pPr>
        <w:jc w:val="both"/>
        <w:rPr>
          <w:rFonts w:ascii="Book Antiqua" w:hAnsi="Book Antiqua"/>
        </w:rPr>
      </w:pPr>
      <w:r w:rsidRPr="009F1F8D">
        <w:rPr>
          <w:rFonts w:ascii="Book Antiqua" w:hAnsi="Book Antiqua"/>
          <w:noProof/>
        </w:rPr>
        <w:drawing>
          <wp:inline distT="0" distB="0" distL="0" distR="0" wp14:anchorId="7BD03786" wp14:editId="7DEEF847">
            <wp:extent cx="5400040" cy="3148496"/>
            <wp:effectExtent l="0" t="0" r="0" b="0"/>
            <wp:docPr id="26" name="Imagen 26"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Escala de tiempo&#10;&#10;Descripción generada automáticamente"/>
                    <pic:cNvPicPr/>
                  </pic:nvPicPr>
                  <pic:blipFill>
                    <a:blip r:embed="rId90"/>
                    <a:stretch>
                      <a:fillRect/>
                    </a:stretch>
                  </pic:blipFill>
                  <pic:spPr>
                    <a:xfrm>
                      <a:off x="0" y="0"/>
                      <a:ext cx="5400040" cy="3148496"/>
                    </a:xfrm>
                    <a:prstGeom prst="rect">
                      <a:avLst/>
                    </a:prstGeom>
                  </pic:spPr>
                </pic:pic>
              </a:graphicData>
            </a:graphic>
          </wp:inline>
        </w:drawing>
      </w:r>
    </w:p>
    <w:p w14:paraId="6C00BDAB" w14:textId="77777777" w:rsidR="0073399F" w:rsidRDefault="0073399F" w:rsidP="0073399F">
      <w:pPr>
        <w:pStyle w:val="Ttulo1"/>
        <w:keepLines/>
        <w:widowControl/>
        <w:autoSpaceDN/>
        <w:adjustRightInd/>
        <w:spacing w:before="240"/>
        <w:jc w:val="both"/>
        <w:rPr>
          <w:bCs/>
          <w:color w:val="auto"/>
          <w:szCs w:val="24"/>
        </w:rPr>
      </w:pPr>
    </w:p>
    <w:p w14:paraId="1171F519" w14:textId="475D6366" w:rsidR="0073399F" w:rsidRPr="00325BC5" w:rsidRDefault="0073399F" w:rsidP="0073399F">
      <w:pPr>
        <w:pStyle w:val="Ttulo1"/>
        <w:keepLines/>
        <w:widowControl/>
        <w:numPr>
          <w:ilvl w:val="1"/>
          <w:numId w:val="24"/>
        </w:numPr>
        <w:autoSpaceDN/>
        <w:adjustRightInd/>
        <w:spacing w:before="240"/>
        <w:jc w:val="both"/>
        <w:rPr>
          <w:color w:val="auto"/>
        </w:rPr>
      </w:pPr>
      <w:r w:rsidRPr="57A79FF7">
        <w:rPr>
          <w:color w:val="auto"/>
        </w:rPr>
        <w:t xml:space="preserve"> Seguimiento anual por materia</w:t>
      </w:r>
    </w:p>
    <w:p w14:paraId="5BD47EDF" w14:textId="77777777" w:rsidR="0073399F" w:rsidRPr="009F1F8D" w:rsidRDefault="0073399F" w:rsidP="0073399F">
      <w:pPr>
        <w:jc w:val="both"/>
        <w:rPr>
          <w:rFonts w:ascii="Book Antiqua" w:hAnsi="Book Antiqua"/>
        </w:rPr>
      </w:pPr>
    </w:p>
    <w:p w14:paraId="02141319" w14:textId="77777777" w:rsidR="0073399F" w:rsidRPr="009F1F8D" w:rsidRDefault="0073399F" w:rsidP="0073399F">
      <w:pPr>
        <w:pStyle w:val="NormalWeb"/>
        <w:jc w:val="both"/>
        <w:rPr>
          <w:rFonts w:ascii="Book Antiqua" w:hAnsi="Book Antiqua" w:cs="Segoe UI"/>
          <w:color w:val="212529"/>
          <w:lang w:val="es-ES"/>
        </w:rPr>
      </w:pPr>
      <w:r w:rsidRPr="009F1F8D">
        <w:rPr>
          <w:rFonts w:ascii="Book Antiqua" w:hAnsi="Book Antiqua" w:cs="Segoe UI"/>
          <w:color w:val="212529"/>
          <w:lang w:val="es-ES"/>
        </w:rPr>
        <w:t>Como parte de las responsabilidades de los profesionales del Modelo de Seguimiento y Sostenibilidad y que a su vez se constituye en un objetivo del Plan Anual Operativo del Subproceso de Evaluación, se encuentra la elaboración del informe relacionado con el análisis y cuadros estadísticos, sobre los movimientos de trabajo en diversas materias para el periodo 2020, el cual se realiza en forma conjunta con el Subproceso de Estadística.</w:t>
      </w:r>
    </w:p>
    <w:p w14:paraId="572D50A4" w14:textId="77777777" w:rsidR="0073399F" w:rsidRPr="009F1F8D" w:rsidRDefault="0073399F" w:rsidP="0073399F">
      <w:pPr>
        <w:pStyle w:val="NormalWeb"/>
        <w:jc w:val="both"/>
        <w:rPr>
          <w:rFonts w:ascii="Book Antiqua" w:hAnsi="Book Antiqua" w:cs="Segoe UI"/>
          <w:color w:val="212529"/>
          <w:lang w:val="es-ES"/>
        </w:rPr>
      </w:pPr>
      <w:r w:rsidRPr="009F1F8D">
        <w:rPr>
          <w:rFonts w:ascii="Book Antiqua" w:hAnsi="Book Antiqua" w:cs="Segoe UI"/>
          <w:color w:val="212529"/>
          <w:lang w:val="es-ES"/>
        </w:rPr>
        <w:t>A continuación, se detallan los informes elaborados y la materia que se analizó en cada uno de ellos:</w:t>
      </w:r>
    </w:p>
    <w:p w14:paraId="007B8404" w14:textId="77777777" w:rsidR="0073399F" w:rsidRDefault="0073399F" w:rsidP="0073399F">
      <w:pPr>
        <w:jc w:val="both"/>
        <w:rPr>
          <w:rFonts w:ascii="Book Antiqua" w:hAnsi="Book Antiqua"/>
        </w:rPr>
      </w:pPr>
      <w:r w:rsidRPr="009F1F8D">
        <w:rPr>
          <w:rFonts w:ascii="Book Antiqua" w:hAnsi="Book Antiqua"/>
          <w:noProof/>
        </w:rPr>
        <w:drawing>
          <wp:inline distT="0" distB="0" distL="0" distR="0" wp14:anchorId="53B7AB83" wp14:editId="483B93D6">
            <wp:extent cx="5400040" cy="3019574"/>
            <wp:effectExtent l="0" t="0" r="0" b="9525"/>
            <wp:docPr id="41" name="Imagen 41" descr="Diagram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Diagrama, Texto&#10;&#10;Descripción generada automáticamente"/>
                    <pic:cNvPicPr/>
                  </pic:nvPicPr>
                  <pic:blipFill>
                    <a:blip r:embed="rId91"/>
                    <a:stretch>
                      <a:fillRect/>
                    </a:stretch>
                  </pic:blipFill>
                  <pic:spPr>
                    <a:xfrm>
                      <a:off x="0" y="0"/>
                      <a:ext cx="5400040" cy="3019574"/>
                    </a:xfrm>
                    <a:prstGeom prst="rect">
                      <a:avLst/>
                    </a:prstGeom>
                  </pic:spPr>
                </pic:pic>
              </a:graphicData>
            </a:graphic>
          </wp:inline>
        </w:drawing>
      </w:r>
    </w:p>
    <w:p w14:paraId="1D844F2B" w14:textId="77777777" w:rsidR="0073399F" w:rsidRDefault="0073399F" w:rsidP="0073399F">
      <w:pPr>
        <w:jc w:val="both"/>
        <w:rPr>
          <w:rFonts w:ascii="Book Antiqua" w:hAnsi="Book Antiqua"/>
        </w:rPr>
      </w:pPr>
    </w:p>
    <w:p w14:paraId="77DDE38F" w14:textId="77777777" w:rsidR="0073399F" w:rsidRPr="009F1F8D" w:rsidRDefault="0073399F" w:rsidP="0073399F">
      <w:pPr>
        <w:jc w:val="both"/>
        <w:rPr>
          <w:rFonts w:ascii="Book Antiqua" w:hAnsi="Book Antiqua"/>
        </w:rPr>
      </w:pPr>
      <w:r>
        <w:rPr>
          <w:rFonts w:ascii="Book Antiqua" w:hAnsi="Book Antiqua"/>
        </w:rPr>
        <w:t>Se tiene en proceso además la materia Contravencional del país</w:t>
      </w:r>
    </w:p>
    <w:p w14:paraId="166FE079" w14:textId="2D490696" w:rsidR="0073399F" w:rsidRPr="00416203" w:rsidRDefault="0073399F" w:rsidP="0004421E">
      <w:pPr>
        <w:pStyle w:val="Ttulo1"/>
        <w:keepLines/>
        <w:widowControl/>
        <w:autoSpaceDN/>
        <w:adjustRightInd/>
        <w:spacing w:before="240"/>
        <w:ind w:left="720" w:firstLine="0"/>
        <w:jc w:val="both"/>
        <w:rPr>
          <w:b w:val="0"/>
          <w:bCs/>
          <w:color w:val="auto"/>
          <w:szCs w:val="24"/>
        </w:rPr>
      </w:pPr>
    </w:p>
    <w:p w14:paraId="6EA5B1C3" w14:textId="0BDE993D" w:rsidR="004C5CBE" w:rsidRPr="00C2185E" w:rsidRDefault="004C5CBE" w:rsidP="004C5CBE">
      <w:pPr>
        <w:pStyle w:val="Prrafodelista"/>
        <w:ind w:left="420"/>
        <w:rPr>
          <w:rFonts w:ascii="Book Antiqua" w:hAnsi="Book Antiqua" w:cs="Arial"/>
          <w:b/>
          <w:bCs/>
          <w:kern w:val="32"/>
          <w:lang w:val="x-none"/>
        </w:rPr>
      </w:pPr>
      <w:r w:rsidRPr="57A79FF7">
        <w:rPr>
          <w:rFonts w:ascii="Book Antiqua" w:eastAsia="Calibri" w:hAnsi="Book Antiqua" w:cs="Arial"/>
          <w:b/>
          <w:bCs/>
          <w:color w:val="000000" w:themeColor="text1"/>
          <w:lang w:val="es-ES" w:eastAsia="es-CR"/>
        </w:rPr>
        <w:t xml:space="preserve">11.5 </w:t>
      </w:r>
      <w:r w:rsidRPr="00C2185E">
        <w:rPr>
          <w:rFonts w:ascii="Book Antiqua" w:hAnsi="Book Antiqua" w:cs="Arial"/>
          <w:b/>
          <w:bCs/>
          <w:kern w:val="32"/>
          <w:lang w:val="x-none"/>
        </w:rPr>
        <w:t xml:space="preserve">Calificación del Despacho </w:t>
      </w:r>
      <w:r>
        <w:rPr>
          <w:rFonts w:ascii="Book Antiqua" w:hAnsi="Book Antiqua" w:cs="Arial"/>
          <w:b/>
          <w:bCs/>
          <w:kern w:val="32"/>
        </w:rPr>
        <w:t xml:space="preserve">en materia penal </w:t>
      </w:r>
      <w:r w:rsidRPr="00C2185E">
        <w:rPr>
          <w:rFonts w:ascii="Book Antiqua" w:hAnsi="Book Antiqua" w:cs="Arial"/>
          <w:b/>
          <w:bCs/>
          <w:kern w:val="32"/>
          <w:lang w:val="x-none"/>
        </w:rPr>
        <w:t>según Indicadores de Gestión </w:t>
      </w:r>
    </w:p>
    <w:p w14:paraId="65A17D59" w14:textId="77777777" w:rsidR="004C5CBE" w:rsidRDefault="004C5CBE" w:rsidP="004C5CBE"/>
    <w:p w14:paraId="7F52B4BE" w14:textId="77777777" w:rsidR="004C5CBE" w:rsidRPr="00C2185E" w:rsidRDefault="004C5CBE" w:rsidP="004C5CBE">
      <w:pPr>
        <w:jc w:val="both"/>
        <w:rPr>
          <w:rFonts w:ascii="Book Antiqua" w:hAnsi="Book Antiqua"/>
          <w:lang w:eastAsia="es-CR"/>
        </w:rPr>
      </w:pPr>
      <w:r w:rsidRPr="00C2185E">
        <w:rPr>
          <w:rFonts w:ascii="Book Antiqua" w:hAnsi="Book Antiqua"/>
          <w:lang w:eastAsia="es-CR"/>
        </w:rPr>
        <w:t xml:space="preserve">Como parte del análisis y seguimiento que realiza la persona profesional de la Dirección de Planificación a cargo del Despacho, </w:t>
      </w:r>
      <w:r>
        <w:rPr>
          <w:rFonts w:ascii="Book Antiqua" w:hAnsi="Book Antiqua"/>
          <w:lang w:eastAsia="es-CR"/>
        </w:rPr>
        <w:t xml:space="preserve">se implementó para el mes de </w:t>
      </w:r>
      <w:r w:rsidRPr="007F2AD5">
        <w:rPr>
          <w:rFonts w:ascii="Book Antiqua" w:hAnsi="Book Antiqua"/>
          <w:b/>
          <w:bCs/>
          <w:lang w:eastAsia="es-CR"/>
        </w:rPr>
        <w:t>setiembre 2021</w:t>
      </w:r>
      <w:r>
        <w:rPr>
          <w:rFonts w:ascii="Book Antiqua" w:hAnsi="Book Antiqua"/>
          <w:lang w:eastAsia="es-CR"/>
        </w:rPr>
        <w:t xml:space="preserve"> un </w:t>
      </w:r>
      <w:r w:rsidRPr="00C2185E">
        <w:rPr>
          <w:rFonts w:ascii="Book Antiqua" w:hAnsi="Book Antiqua"/>
          <w:lang w:eastAsia="es-CR"/>
        </w:rPr>
        <w:t xml:space="preserve">análisis integral del estado </w:t>
      </w:r>
      <w:r>
        <w:rPr>
          <w:rFonts w:ascii="Book Antiqua" w:hAnsi="Book Antiqua"/>
          <w:lang w:eastAsia="es-CR"/>
        </w:rPr>
        <w:t>de las oficinas</w:t>
      </w:r>
      <w:r w:rsidRPr="00C2185E">
        <w:rPr>
          <w:rFonts w:ascii="Book Antiqua" w:hAnsi="Book Antiqua"/>
          <w:lang w:eastAsia="es-CR"/>
        </w:rPr>
        <w:t xml:space="preserve">, basado en el “Modelo de Análisis Integral </w:t>
      </w:r>
      <w:r>
        <w:rPr>
          <w:rFonts w:ascii="Book Antiqua" w:hAnsi="Book Antiqua"/>
          <w:lang w:eastAsia="es-CR"/>
        </w:rPr>
        <w:t>del Circuito Judicial (MAIC)</w:t>
      </w:r>
      <w:r w:rsidRPr="00C2185E">
        <w:rPr>
          <w:rFonts w:ascii="Book Antiqua" w:hAnsi="Book Antiqua"/>
          <w:lang w:eastAsia="es-CR"/>
        </w:rPr>
        <w:t xml:space="preserve">”; herramienta creada por el Subproceso de Evaluación de la Dirección de Planificación. </w:t>
      </w:r>
    </w:p>
    <w:p w14:paraId="22ECCF11" w14:textId="77777777" w:rsidR="004C5CBE" w:rsidRDefault="004C5CBE" w:rsidP="004C5CBE"/>
    <w:p w14:paraId="71D08455" w14:textId="77777777" w:rsidR="004C5CBE" w:rsidRDefault="004C5CBE" w:rsidP="004C5CBE">
      <w:pPr>
        <w:jc w:val="both"/>
        <w:rPr>
          <w:rFonts w:ascii="Book Antiqua" w:hAnsi="Book Antiqua"/>
          <w:lang w:eastAsia="es-CR"/>
        </w:rPr>
      </w:pPr>
      <w:r w:rsidRPr="007F2AD5">
        <w:rPr>
          <w:rFonts w:ascii="Book Antiqua" w:hAnsi="Book Antiqua"/>
          <w:lang w:eastAsia="es-CR"/>
        </w:rPr>
        <w:t>El análisis integral que se realiza de los resultados de la matriz de indicadores de gestión de cada despacho u oficina permite ubicarlo en un estado general, que se identifica con una letra específica (A, B, C, D o E) donde la letra “A” califica al Despacho como excelente hasta la letra “E” como crítico con rendimiento de personal aceptable, para ubicar a</w:t>
      </w:r>
      <w:r>
        <w:rPr>
          <w:rFonts w:ascii="Book Antiqua" w:hAnsi="Book Antiqua"/>
          <w:lang w:eastAsia="es-CR"/>
        </w:rPr>
        <w:t xml:space="preserve"> la </w:t>
      </w:r>
      <w:r w:rsidRPr="007F2AD5">
        <w:rPr>
          <w:rFonts w:ascii="Book Antiqua" w:hAnsi="Book Antiqua"/>
          <w:lang w:eastAsia="es-CR"/>
        </w:rPr>
        <w:t>Oficina en alguna de estas letras (calificaciones) se deben cumplir ciertos parámetros y condiciones que se detallan a continuación:</w:t>
      </w:r>
    </w:p>
    <w:p w14:paraId="6771A3D1" w14:textId="77777777" w:rsidR="004C5CBE" w:rsidRDefault="004C5CBE" w:rsidP="004C5CBE">
      <w:pPr>
        <w:jc w:val="both"/>
        <w:rPr>
          <w:rFonts w:ascii="Book Antiqua" w:hAnsi="Book Antiqua"/>
          <w:lang w:eastAsia="es-CR"/>
        </w:rPr>
      </w:pPr>
    </w:p>
    <w:p w14:paraId="7DA892AE" w14:textId="77777777" w:rsidR="004C5CBE" w:rsidRDefault="004C5CBE">
      <w:pPr>
        <w:rPr>
          <w:rFonts w:ascii="Book Antiqua" w:hAnsi="Book Antiqua"/>
          <w:b/>
          <w:highlight w:val="yellow"/>
        </w:rPr>
      </w:pPr>
      <w:r w:rsidRPr="57A79FF7">
        <w:rPr>
          <w:i/>
          <w:iCs/>
          <w:highlight w:val="yellow"/>
        </w:rPr>
        <w:br w:type="page"/>
      </w:r>
    </w:p>
    <w:p w14:paraId="671306AC" w14:textId="1F86BB07" w:rsidR="57A79FF7" w:rsidRDefault="57A79FF7" w:rsidP="57A79FF7">
      <w:pPr>
        <w:pStyle w:val="Tablas"/>
        <w:spacing w:line="240" w:lineRule="auto"/>
        <w:rPr>
          <w:i w:val="0"/>
          <w:iCs w:val="0"/>
          <w:sz w:val="24"/>
          <w:szCs w:val="24"/>
        </w:rPr>
      </w:pPr>
    </w:p>
    <w:p w14:paraId="0DA67B58" w14:textId="5CBF3C19" w:rsidR="004C5CBE" w:rsidRPr="000A7F05" w:rsidRDefault="004C5CBE" w:rsidP="57A79FF7">
      <w:pPr>
        <w:pStyle w:val="Tablas"/>
        <w:spacing w:line="240" w:lineRule="auto"/>
        <w:rPr>
          <w:i w:val="0"/>
          <w:iCs w:val="0"/>
          <w:sz w:val="24"/>
          <w:szCs w:val="24"/>
        </w:rPr>
      </w:pPr>
      <w:r w:rsidRPr="57A79FF7">
        <w:rPr>
          <w:i w:val="0"/>
          <w:iCs w:val="0"/>
          <w:sz w:val="24"/>
          <w:szCs w:val="24"/>
        </w:rPr>
        <w:t>Cuad</w:t>
      </w:r>
      <w:r w:rsidR="5642880C" w:rsidRPr="57A79FF7">
        <w:rPr>
          <w:i w:val="0"/>
          <w:iCs w:val="0"/>
          <w:sz w:val="24"/>
          <w:szCs w:val="24"/>
        </w:rPr>
        <w:t>ro 92</w:t>
      </w:r>
    </w:p>
    <w:p w14:paraId="46D6A075" w14:textId="77777777" w:rsidR="004C5CBE" w:rsidRPr="00C52A3C" w:rsidRDefault="004C5CBE" w:rsidP="004C5CBE">
      <w:pPr>
        <w:pStyle w:val="Tablas"/>
        <w:spacing w:line="240" w:lineRule="auto"/>
        <w:rPr>
          <w:rFonts w:eastAsia="Calibri"/>
          <w:b w:val="0"/>
          <w:bCs/>
          <w:i w:val="0"/>
          <w:iCs w:val="0"/>
          <w:sz w:val="24"/>
          <w:szCs w:val="24"/>
          <w:lang w:eastAsia="zh-CN"/>
        </w:rPr>
      </w:pPr>
      <w:bookmarkStart w:id="28" w:name="_Toc43452887"/>
      <w:r w:rsidRPr="00C52A3C">
        <w:rPr>
          <w:rFonts w:eastAsia="Calibri"/>
          <w:b w:val="0"/>
          <w:bCs/>
          <w:i w:val="0"/>
          <w:iCs w:val="0"/>
          <w:sz w:val="24"/>
          <w:szCs w:val="24"/>
          <w:lang w:eastAsia="zh-CN"/>
        </w:rPr>
        <w:t>Tabla de evaluación de indicadores de gestión de cada oficina, Subproceso de Evaluación de la Dirección de Planificación, 2020.</w:t>
      </w:r>
      <w:bookmarkEnd w:id="28"/>
    </w:p>
    <w:tbl>
      <w:tblPr>
        <w:tblW w:w="10932" w:type="dxa"/>
        <w:jc w:val="center"/>
        <w:tblCellMar>
          <w:left w:w="70" w:type="dxa"/>
          <w:right w:w="70" w:type="dxa"/>
        </w:tblCellMar>
        <w:tblLook w:val="04A0" w:firstRow="1" w:lastRow="0" w:firstColumn="1" w:lastColumn="0" w:noHBand="0" w:noVBand="1"/>
      </w:tblPr>
      <w:tblGrid>
        <w:gridCol w:w="1866"/>
        <w:gridCol w:w="1240"/>
        <w:gridCol w:w="1537"/>
        <w:gridCol w:w="1477"/>
        <w:gridCol w:w="4812"/>
      </w:tblGrid>
      <w:tr w:rsidR="004C5CBE" w:rsidRPr="00A330E4" w14:paraId="43265243" w14:textId="77777777" w:rsidTr="004C5CBE">
        <w:trPr>
          <w:trHeight w:val="700"/>
          <w:jc w:val="center"/>
        </w:trPr>
        <w:tc>
          <w:tcPr>
            <w:tcW w:w="1866" w:type="dxa"/>
            <w:tcBorders>
              <w:top w:val="single" w:sz="4" w:space="0" w:color="auto"/>
              <w:left w:val="single" w:sz="4" w:space="0" w:color="auto"/>
              <w:bottom w:val="single" w:sz="4" w:space="0" w:color="auto"/>
              <w:right w:val="single" w:sz="4" w:space="0" w:color="auto"/>
            </w:tcBorders>
            <w:shd w:val="clear" w:color="CCFFCC" w:fill="0033CC"/>
            <w:vAlign w:val="center"/>
            <w:hideMark/>
          </w:tcPr>
          <w:p w14:paraId="32D678E7" w14:textId="77777777" w:rsidR="004C5CBE" w:rsidRPr="00A330E4" w:rsidRDefault="004C5CBE" w:rsidP="004C5CBE">
            <w:pPr>
              <w:jc w:val="center"/>
              <w:rPr>
                <w:rFonts w:ascii="Book Antiqua" w:hAnsi="Book Antiqua" w:cs="Calibri"/>
                <w:b/>
                <w:bCs/>
                <w:color w:val="FFFFFF"/>
                <w:sz w:val="20"/>
                <w:szCs w:val="20"/>
                <w:lang w:eastAsia="es-CR"/>
              </w:rPr>
            </w:pPr>
            <w:r w:rsidRPr="00A330E4">
              <w:rPr>
                <w:rFonts w:ascii="Book Antiqua" w:hAnsi="Book Antiqua" w:cs="Calibri"/>
                <w:b/>
                <w:bCs/>
                <w:color w:val="FFFFFF"/>
                <w:sz w:val="20"/>
                <w:szCs w:val="20"/>
                <w:lang w:eastAsia="es-CR"/>
              </w:rPr>
              <w:t>Definición Breve</w:t>
            </w:r>
          </w:p>
        </w:tc>
        <w:tc>
          <w:tcPr>
            <w:tcW w:w="1240" w:type="dxa"/>
            <w:tcBorders>
              <w:top w:val="single" w:sz="4" w:space="0" w:color="auto"/>
              <w:left w:val="nil"/>
              <w:bottom w:val="single" w:sz="4" w:space="0" w:color="auto"/>
              <w:right w:val="single" w:sz="4" w:space="0" w:color="auto"/>
            </w:tcBorders>
            <w:shd w:val="clear" w:color="CCFFCC" w:fill="0033CC"/>
            <w:vAlign w:val="center"/>
            <w:hideMark/>
          </w:tcPr>
          <w:p w14:paraId="68E90BEF" w14:textId="77777777" w:rsidR="004C5CBE" w:rsidRPr="00A330E4" w:rsidRDefault="004C5CBE" w:rsidP="004C5CBE">
            <w:pPr>
              <w:jc w:val="center"/>
              <w:rPr>
                <w:rFonts w:ascii="Book Antiqua" w:hAnsi="Book Antiqua" w:cs="Calibri"/>
                <w:b/>
                <w:bCs/>
                <w:color w:val="FFFFFF"/>
                <w:sz w:val="20"/>
                <w:szCs w:val="20"/>
                <w:lang w:eastAsia="es-CR"/>
              </w:rPr>
            </w:pPr>
            <w:r w:rsidRPr="00A330E4">
              <w:rPr>
                <w:rFonts w:ascii="Book Antiqua" w:hAnsi="Book Antiqua" w:cs="Calibri"/>
                <w:b/>
                <w:bCs/>
                <w:color w:val="FFFFFF"/>
                <w:sz w:val="20"/>
                <w:szCs w:val="20"/>
                <w:lang w:eastAsia="es-CR"/>
              </w:rPr>
              <w:t>Calif</w:t>
            </w:r>
            <w:r>
              <w:rPr>
                <w:rFonts w:ascii="Book Antiqua" w:hAnsi="Book Antiqua" w:cs="Calibri"/>
                <w:b/>
                <w:bCs/>
                <w:color w:val="FFFFFF"/>
                <w:sz w:val="20"/>
                <w:szCs w:val="20"/>
                <w:lang w:eastAsia="es-CR"/>
              </w:rPr>
              <w:t>icación</w:t>
            </w:r>
          </w:p>
        </w:tc>
        <w:tc>
          <w:tcPr>
            <w:tcW w:w="1537" w:type="dxa"/>
            <w:tcBorders>
              <w:top w:val="single" w:sz="4" w:space="0" w:color="auto"/>
              <w:left w:val="nil"/>
              <w:bottom w:val="single" w:sz="4" w:space="0" w:color="auto"/>
              <w:right w:val="single" w:sz="4" w:space="0" w:color="auto"/>
            </w:tcBorders>
            <w:shd w:val="clear" w:color="CCFFCC" w:fill="0033CC"/>
            <w:vAlign w:val="center"/>
            <w:hideMark/>
          </w:tcPr>
          <w:p w14:paraId="4F7BBDBE" w14:textId="77777777" w:rsidR="004C5CBE" w:rsidRPr="00A330E4" w:rsidRDefault="004C5CBE" w:rsidP="004C5CBE">
            <w:pPr>
              <w:jc w:val="center"/>
              <w:rPr>
                <w:rFonts w:ascii="Book Antiqua" w:hAnsi="Book Antiqua" w:cs="Calibri"/>
                <w:b/>
                <w:bCs/>
                <w:color w:val="FFFFFF"/>
                <w:sz w:val="20"/>
                <w:szCs w:val="20"/>
                <w:lang w:eastAsia="es-CR"/>
              </w:rPr>
            </w:pPr>
            <w:r w:rsidRPr="00A330E4">
              <w:rPr>
                <w:rFonts w:ascii="Book Antiqua" w:hAnsi="Book Antiqua" w:cs="Calibri"/>
                <w:b/>
                <w:bCs/>
                <w:color w:val="FFFFFF"/>
                <w:sz w:val="20"/>
                <w:szCs w:val="20"/>
                <w:lang w:eastAsia="es-CR"/>
              </w:rPr>
              <w:t xml:space="preserve">Cant. indic. en color rojo </w:t>
            </w:r>
            <w:r w:rsidRPr="00A330E4">
              <w:rPr>
                <w:rFonts w:ascii="Book Antiqua" w:hAnsi="Book Antiqua" w:cs="Calibri"/>
                <w:b/>
                <w:bCs/>
                <w:color w:val="FFFFFF"/>
                <w:sz w:val="20"/>
                <w:szCs w:val="20"/>
                <w:lang w:eastAsia="es-CR"/>
              </w:rPr>
              <w:br/>
              <w:t>(oport. de mejora)</w:t>
            </w:r>
          </w:p>
        </w:tc>
        <w:tc>
          <w:tcPr>
            <w:tcW w:w="1477" w:type="dxa"/>
            <w:tcBorders>
              <w:top w:val="single" w:sz="4" w:space="0" w:color="auto"/>
              <w:left w:val="nil"/>
              <w:bottom w:val="single" w:sz="4" w:space="0" w:color="auto"/>
              <w:right w:val="single" w:sz="4" w:space="0" w:color="auto"/>
            </w:tcBorders>
            <w:shd w:val="clear" w:color="CCFFCC" w:fill="0033CC"/>
            <w:vAlign w:val="center"/>
            <w:hideMark/>
          </w:tcPr>
          <w:p w14:paraId="592B0DC5" w14:textId="77777777" w:rsidR="004C5CBE" w:rsidRPr="00A330E4" w:rsidRDefault="004C5CBE" w:rsidP="004C5CBE">
            <w:pPr>
              <w:jc w:val="center"/>
              <w:rPr>
                <w:rFonts w:ascii="Book Antiqua" w:hAnsi="Book Antiqua" w:cs="Calibri"/>
                <w:b/>
                <w:bCs/>
                <w:color w:val="FFFFFF"/>
                <w:sz w:val="20"/>
                <w:szCs w:val="20"/>
                <w:lang w:eastAsia="es-CR"/>
              </w:rPr>
            </w:pPr>
            <w:r w:rsidRPr="00A330E4">
              <w:rPr>
                <w:rFonts w:ascii="Book Antiqua" w:hAnsi="Book Antiqua" w:cs="Calibri"/>
                <w:b/>
                <w:bCs/>
                <w:color w:val="FFFFFF"/>
                <w:sz w:val="20"/>
                <w:szCs w:val="20"/>
                <w:lang w:eastAsia="es-CR"/>
              </w:rPr>
              <w:t>Diferencia de rango establecido</w:t>
            </w:r>
          </w:p>
        </w:tc>
        <w:tc>
          <w:tcPr>
            <w:tcW w:w="4812" w:type="dxa"/>
            <w:tcBorders>
              <w:top w:val="single" w:sz="4" w:space="0" w:color="auto"/>
              <w:left w:val="nil"/>
              <w:bottom w:val="single" w:sz="4" w:space="0" w:color="auto"/>
              <w:right w:val="single" w:sz="4" w:space="0" w:color="auto"/>
            </w:tcBorders>
            <w:shd w:val="clear" w:color="CCFFCC" w:fill="0033CC"/>
            <w:vAlign w:val="center"/>
            <w:hideMark/>
          </w:tcPr>
          <w:p w14:paraId="63BC200C" w14:textId="77777777" w:rsidR="004C5CBE" w:rsidRPr="00A330E4" w:rsidRDefault="004C5CBE" w:rsidP="004C5CBE">
            <w:pPr>
              <w:jc w:val="center"/>
              <w:rPr>
                <w:rFonts w:ascii="Book Antiqua" w:hAnsi="Book Antiqua" w:cs="Calibri"/>
                <w:b/>
                <w:bCs/>
                <w:color w:val="FFFFFF"/>
                <w:sz w:val="20"/>
                <w:szCs w:val="20"/>
                <w:lang w:eastAsia="es-CR"/>
              </w:rPr>
            </w:pPr>
            <w:r w:rsidRPr="00A330E4">
              <w:rPr>
                <w:rFonts w:ascii="Book Antiqua" w:hAnsi="Book Antiqua" w:cs="Calibri"/>
                <w:b/>
                <w:bCs/>
                <w:color w:val="FFFFFF"/>
                <w:sz w:val="20"/>
                <w:szCs w:val="20"/>
                <w:lang w:eastAsia="es-CR"/>
              </w:rPr>
              <w:t>Observaciones</w:t>
            </w:r>
          </w:p>
        </w:tc>
      </w:tr>
      <w:tr w:rsidR="004C5CBE" w:rsidRPr="00A330E4" w14:paraId="58252C18" w14:textId="77777777" w:rsidTr="004C5CBE">
        <w:trPr>
          <w:trHeight w:val="1050"/>
          <w:jc w:val="center"/>
        </w:trPr>
        <w:tc>
          <w:tcPr>
            <w:tcW w:w="1866" w:type="dxa"/>
            <w:tcBorders>
              <w:top w:val="nil"/>
              <w:left w:val="single" w:sz="4" w:space="0" w:color="auto"/>
              <w:bottom w:val="single" w:sz="4" w:space="0" w:color="auto"/>
              <w:right w:val="single" w:sz="4" w:space="0" w:color="auto"/>
            </w:tcBorders>
            <w:shd w:val="clear" w:color="auto" w:fill="auto"/>
            <w:vAlign w:val="center"/>
            <w:hideMark/>
          </w:tcPr>
          <w:p w14:paraId="302EAF61" w14:textId="77777777" w:rsidR="004C5CBE" w:rsidRPr="00A330E4" w:rsidRDefault="004C5CBE" w:rsidP="004C5CBE">
            <w:pPr>
              <w:jc w:val="right"/>
              <w:rPr>
                <w:rFonts w:ascii="Book Antiqua" w:hAnsi="Book Antiqua" w:cs="Calibri"/>
                <w:b/>
                <w:bCs/>
                <w:i/>
                <w:iCs/>
                <w:color w:val="000000"/>
                <w:sz w:val="20"/>
                <w:szCs w:val="20"/>
                <w:lang w:eastAsia="es-CR"/>
              </w:rPr>
            </w:pPr>
            <w:r w:rsidRPr="00A330E4">
              <w:rPr>
                <w:rFonts w:ascii="Book Antiqua" w:hAnsi="Book Antiqua" w:cs="Calibri"/>
                <w:b/>
                <w:bCs/>
                <w:i/>
                <w:iCs/>
                <w:color w:val="000000"/>
                <w:sz w:val="20"/>
                <w:szCs w:val="20"/>
                <w:lang w:eastAsia="es-CR"/>
              </w:rPr>
              <w:t>Crítico con rendimiento del personal aceptable</w:t>
            </w:r>
          </w:p>
        </w:tc>
        <w:tc>
          <w:tcPr>
            <w:tcW w:w="1240" w:type="dxa"/>
            <w:tcBorders>
              <w:top w:val="nil"/>
              <w:left w:val="nil"/>
              <w:bottom w:val="single" w:sz="4" w:space="0" w:color="auto"/>
              <w:right w:val="single" w:sz="4" w:space="0" w:color="auto"/>
            </w:tcBorders>
            <w:shd w:val="clear" w:color="F79646" w:fill="FF9933"/>
            <w:vAlign w:val="center"/>
            <w:hideMark/>
          </w:tcPr>
          <w:p w14:paraId="0A0AEA51" w14:textId="77777777" w:rsidR="004C5CBE" w:rsidRPr="00A330E4" w:rsidRDefault="004C5CBE" w:rsidP="004C5CBE">
            <w:pPr>
              <w:jc w:val="center"/>
              <w:rPr>
                <w:rFonts w:ascii="Book Antiqua" w:hAnsi="Book Antiqua" w:cs="Calibri"/>
                <w:b/>
                <w:bCs/>
                <w:color w:val="000000"/>
                <w:sz w:val="20"/>
                <w:szCs w:val="20"/>
                <w:lang w:eastAsia="es-CR"/>
              </w:rPr>
            </w:pPr>
            <w:r w:rsidRPr="00A330E4">
              <w:rPr>
                <w:rFonts w:ascii="Book Antiqua" w:hAnsi="Book Antiqua" w:cs="Calibri"/>
                <w:b/>
                <w:bCs/>
                <w:color w:val="000000"/>
                <w:sz w:val="20"/>
                <w:szCs w:val="20"/>
                <w:lang w:eastAsia="es-CR"/>
              </w:rPr>
              <w:t>E</w:t>
            </w:r>
          </w:p>
        </w:tc>
        <w:tc>
          <w:tcPr>
            <w:tcW w:w="1537" w:type="dxa"/>
            <w:tcBorders>
              <w:top w:val="nil"/>
              <w:left w:val="nil"/>
              <w:bottom w:val="single" w:sz="4" w:space="0" w:color="auto"/>
              <w:right w:val="single" w:sz="4" w:space="0" w:color="auto"/>
            </w:tcBorders>
            <w:shd w:val="clear" w:color="auto" w:fill="auto"/>
            <w:vAlign w:val="center"/>
            <w:hideMark/>
          </w:tcPr>
          <w:p w14:paraId="5FCBE33D" w14:textId="77777777" w:rsidR="004C5CBE" w:rsidRPr="00A330E4" w:rsidRDefault="004C5CBE" w:rsidP="004C5CBE">
            <w:pPr>
              <w:jc w:val="center"/>
              <w:rPr>
                <w:rFonts w:ascii="Book Antiqua" w:hAnsi="Book Antiqua" w:cs="Calibri"/>
                <w:color w:val="000000"/>
                <w:sz w:val="20"/>
                <w:szCs w:val="20"/>
                <w:lang w:eastAsia="es-CR"/>
              </w:rPr>
            </w:pPr>
            <w:r w:rsidRPr="00A330E4">
              <w:rPr>
                <w:rFonts w:ascii="Book Antiqua" w:hAnsi="Book Antiqua" w:cs="Calibri"/>
                <w:color w:val="000000"/>
                <w:sz w:val="20"/>
                <w:szCs w:val="20"/>
                <w:lang w:eastAsia="es-CR"/>
              </w:rPr>
              <w:t>De uno hasta su totalidad</w:t>
            </w:r>
          </w:p>
        </w:tc>
        <w:tc>
          <w:tcPr>
            <w:tcW w:w="1477" w:type="dxa"/>
            <w:tcBorders>
              <w:top w:val="nil"/>
              <w:left w:val="nil"/>
              <w:bottom w:val="single" w:sz="4" w:space="0" w:color="auto"/>
              <w:right w:val="single" w:sz="4" w:space="0" w:color="auto"/>
            </w:tcBorders>
            <w:shd w:val="clear" w:color="auto" w:fill="auto"/>
            <w:vAlign w:val="center"/>
            <w:hideMark/>
          </w:tcPr>
          <w:p w14:paraId="2BD995BF" w14:textId="77777777" w:rsidR="004C5CBE" w:rsidRPr="00A330E4" w:rsidRDefault="004C5CBE" w:rsidP="004C5CBE">
            <w:pPr>
              <w:jc w:val="center"/>
              <w:rPr>
                <w:rFonts w:ascii="Book Antiqua" w:hAnsi="Book Antiqua" w:cs="Calibri"/>
                <w:b/>
                <w:bCs/>
                <w:color w:val="000000"/>
                <w:sz w:val="20"/>
                <w:szCs w:val="20"/>
                <w:lang w:eastAsia="es-CR"/>
              </w:rPr>
            </w:pPr>
            <w:r w:rsidRPr="00A330E4">
              <w:rPr>
                <w:rFonts w:ascii="Book Antiqua" w:hAnsi="Book Antiqua" w:cs="Calibri"/>
                <w:b/>
                <w:bCs/>
                <w:color w:val="000000"/>
                <w:sz w:val="20"/>
                <w:szCs w:val="20"/>
                <w:lang w:eastAsia="es-CR"/>
              </w:rPr>
              <w:t>100% en adelante</w:t>
            </w:r>
          </w:p>
        </w:tc>
        <w:tc>
          <w:tcPr>
            <w:tcW w:w="4812" w:type="dxa"/>
            <w:tcBorders>
              <w:top w:val="nil"/>
              <w:left w:val="nil"/>
              <w:bottom w:val="single" w:sz="4" w:space="0" w:color="auto"/>
              <w:right w:val="single" w:sz="4" w:space="0" w:color="auto"/>
            </w:tcBorders>
            <w:shd w:val="clear" w:color="auto" w:fill="auto"/>
            <w:vAlign w:val="center"/>
            <w:hideMark/>
          </w:tcPr>
          <w:p w14:paraId="55527A28" w14:textId="77777777" w:rsidR="004C5CBE" w:rsidRPr="00A330E4" w:rsidRDefault="004C5CBE" w:rsidP="004C5CBE">
            <w:pPr>
              <w:jc w:val="center"/>
              <w:rPr>
                <w:rFonts w:ascii="Book Antiqua" w:hAnsi="Book Antiqua" w:cs="Calibri"/>
                <w:color w:val="000000"/>
                <w:sz w:val="20"/>
                <w:szCs w:val="20"/>
                <w:lang w:eastAsia="es-CR"/>
              </w:rPr>
            </w:pPr>
            <w:r w:rsidRPr="00A330E4">
              <w:rPr>
                <w:rFonts w:ascii="Book Antiqua" w:hAnsi="Book Antiqua" w:cs="Calibri"/>
                <w:color w:val="000000"/>
                <w:sz w:val="20"/>
                <w:szCs w:val="20"/>
                <w:lang w:eastAsia="es-CR"/>
              </w:rPr>
              <w:t xml:space="preserve">Si en la matriz de detecta al menos un indicador que su resultado se aleja negativamente un 100% o más del rango establecido </w:t>
            </w:r>
            <w:r w:rsidRPr="00A330E4">
              <w:rPr>
                <w:rFonts w:ascii="Book Antiqua" w:hAnsi="Book Antiqua" w:cs="Calibri"/>
                <w:b/>
                <w:bCs/>
                <w:color w:val="000000"/>
                <w:sz w:val="20"/>
                <w:szCs w:val="20"/>
                <w:lang w:eastAsia="es-CR"/>
              </w:rPr>
              <w:t xml:space="preserve">pero el rendimiento de al menos el 80% del personal se encuentra en el rango "estándar" o "medio" </w:t>
            </w:r>
            <w:r w:rsidRPr="00A330E4">
              <w:rPr>
                <w:rFonts w:ascii="Book Antiqua" w:hAnsi="Book Antiqua" w:cs="Calibri"/>
                <w:color w:val="000000"/>
                <w:sz w:val="20"/>
                <w:szCs w:val="20"/>
                <w:lang w:eastAsia="es-CR"/>
              </w:rPr>
              <w:t>se debe ubicar en esta categoría</w:t>
            </w:r>
          </w:p>
        </w:tc>
      </w:tr>
      <w:tr w:rsidR="004C5CBE" w:rsidRPr="00A330E4" w14:paraId="40199F13" w14:textId="77777777" w:rsidTr="004C5CBE">
        <w:trPr>
          <w:trHeight w:val="1050"/>
          <w:jc w:val="center"/>
        </w:trPr>
        <w:tc>
          <w:tcPr>
            <w:tcW w:w="1866" w:type="dxa"/>
            <w:tcBorders>
              <w:top w:val="nil"/>
              <w:left w:val="single" w:sz="4" w:space="0" w:color="auto"/>
              <w:bottom w:val="single" w:sz="4" w:space="0" w:color="auto"/>
              <w:right w:val="single" w:sz="4" w:space="0" w:color="auto"/>
            </w:tcBorders>
            <w:shd w:val="clear" w:color="auto" w:fill="auto"/>
            <w:noWrap/>
            <w:vAlign w:val="center"/>
            <w:hideMark/>
          </w:tcPr>
          <w:p w14:paraId="25196D36" w14:textId="77777777" w:rsidR="004C5CBE" w:rsidRPr="00A330E4" w:rsidRDefault="004C5CBE" w:rsidP="004C5CBE">
            <w:pPr>
              <w:jc w:val="right"/>
              <w:rPr>
                <w:rFonts w:ascii="Book Antiqua" w:hAnsi="Book Antiqua" w:cs="Calibri"/>
                <w:b/>
                <w:bCs/>
                <w:i/>
                <w:iCs/>
                <w:color w:val="000000"/>
                <w:sz w:val="20"/>
                <w:szCs w:val="20"/>
                <w:lang w:eastAsia="es-CR"/>
              </w:rPr>
            </w:pPr>
            <w:r w:rsidRPr="00A330E4">
              <w:rPr>
                <w:rFonts w:ascii="Book Antiqua" w:hAnsi="Book Antiqua" w:cs="Calibri"/>
                <w:b/>
                <w:bCs/>
                <w:i/>
                <w:iCs/>
                <w:color w:val="000000"/>
                <w:sz w:val="20"/>
                <w:szCs w:val="20"/>
                <w:lang w:eastAsia="es-CR"/>
              </w:rPr>
              <w:t>Crítico</w:t>
            </w:r>
          </w:p>
        </w:tc>
        <w:tc>
          <w:tcPr>
            <w:tcW w:w="1240" w:type="dxa"/>
            <w:tcBorders>
              <w:top w:val="nil"/>
              <w:left w:val="nil"/>
              <w:bottom w:val="single" w:sz="4" w:space="0" w:color="auto"/>
              <w:right w:val="single" w:sz="4" w:space="0" w:color="auto"/>
            </w:tcBorders>
            <w:shd w:val="clear" w:color="993300" w:fill="FF0000"/>
            <w:vAlign w:val="center"/>
            <w:hideMark/>
          </w:tcPr>
          <w:p w14:paraId="5B7F77F3" w14:textId="77777777" w:rsidR="004C5CBE" w:rsidRPr="00A330E4" w:rsidRDefault="004C5CBE" w:rsidP="004C5CBE">
            <w:pPr>
              <w:jc w:val="center"/>
              <w:rPr>
                <w:rFonts w:ascii="Book Antiqua" w:hAnsi="Book Antiqua" w:cs="Calibri"/>
                <w:b/>
                <w:bCs/>
                <w:color w:val="000000"/>
                <w:sz w:val="20"/>
                <w:szCs w:val="20"/>
                <w:lang w:eastAsia="es-CR"/>
              </w:rPr>
            </w:pPr>
            <w:r w:rsidRPr="00A330E4">
              <w:rPr>
                <w:rFonts w:ascii="Book Antiqua" w:hAnsi="Book Antiqua" w:cs="Calibri"/>
                <w:b/>
                <w:bCs/>
                <w:color w:val="000000"/>
                <w:sz w:val="20"/>
                <w:szCs w:val="20"/>
                <w:lang w:eastAsia="es-CR"/>
              </w:rPr>
              <w:t>D</w:t>
            </w:r>
          </w:p>
        </w:tc>
        <w:tc>
          <w:tcPr>
            <w:tcW w:w="1537" w:type="dxa"/>
            <w:tcBorders>
              <w:top w:val="nil"/>
              <w:left w:val="nil"/>
              <w:bottom w:val="single" w:sz="4" w:space="0" w:color="auto"/>
              <w:right w:val="single" w:sz="4" w:space="0" w:color="auto"/>
            </w:tcBorders>
            <w:shd w:val="clear" w:color="auto" w:fill="auto"/>
            <w:vAlign w:val="center"/>
            <w:hideMark/>
          </w:tcPr>
          <w:p w14:paraId="44297C1F" w14:textId="77777777" w:rsidR="004C5CBE" w:rsidRPr="00A330E4" w:rsidRDefault="004C5CBE" w:rsidP="004C5CBE">
            <w:pPr>
              <w:jc w:val="center"/>
              <w:rPr>
                <w:rFonts w:ascii="Book Antiqua" w:hAnsi="Book Antiqua" w:cs="Calibri"/>
                <w:color w:val="000000"/>
                <w:sz w:val="20"/>
                <w:szCs w:val="20"/>
                <w:lang w:eastAsia="es-CR"/>
              </w:rPr>
            </w:pPr>
            <w:r w:rsidRPr="00A330E4">
              <w:rPr>
                <w:rFonts w:ascii="Book Antiqua" w:hAnsi="Book Antiqua" w:cs="Calibri"/>
                <w:color w:val="000000"/>
                <w:sz w:val="20"/>
                <w:szCs w:val="20"/>
                <w:lang w:eastAsia="es-CR"/>
              </w:rPr>
              <w:t>De uno hasta su totalidad</w:t>
            </w:r>
          </w:p>
        </w:tc>
        <w:tc>
          <w:tcPr>
            <w:tcW w:w="1477" w:type="dxa"/>
            <w:tcBorders>
              <w:top w:val="nil"/>
              <w:left w:val="nil"/>
              <w:bottom w:val="single" w:sz="4" w:space="0" w:color="auto"/>
              <w:right w:val="single" w:sz="4" w:space="0" w:color="auto"/>
            </w:tcBorders>
            <w:shd w:val="clear" w:color="auto" w:fill="auto"/>
            <w:vAlign w:val="center"/>
            <w:hideMark/>
          </w:tcPr>
          <w:p w14:paraId="068B78BF" w14:textId="77777777" w:rsidR="004C5CBE" w:rsidRPr="00A330E4" w:rsidRDefault="004C5CBE" w:rsidP="004C5CBE">
            <w:pPr>
              <w:jc w:val="center"/>
              <w:rPr>
                <w:rFonts w:ascii="Book Antiqua" w:hAnsi="Book Antiqua" w:cs="Calibri"/>
                <w:b/>
                <w:bCs/>
                <w:color w:val="000000"/>
                <w:sz w:val="20"/>
                <w:szCs w:val="20"/>
                <w:lang w:eastAsia="es-CR"/>
              </w:rPr>
            </w:pPr>
            <w:r w:rsidRPr="00A330E4">
              <w:rPr>
                <w:rFonts w:ascii="Book Antiqua" w:hAnsi="Book Antiqua" w:cs="Calibri"/>
                <w:b/>
                <w:bCs/>
                <w:color w:val="000000"/>
                <w:sz w:val="20"/>
                <w:szCs w:val="20"/>
                <w:lang w:eastAsia="es-CR"/>
              </w:rPr>
              <w:t>100% en adelante</w:t>
            </w:r>
          </w:p>
        </w:tc>
        <w:tc>
          <w:tcPr>
            <w:tcW w:w="4812" w:type="dxa"/>
            <w:tcBorders>
              <w:top w:val="nil"/>
              <w:left w:val="nil"/>
              <w:bottom w:val="single" w:sz="4" w:space="0" w:color="auto"/>
              <w:right w:val="single" w:sz="4" w:space="0" w:color="auto"/>
            </w:tcBorders>
            <w:shd w:val="clear" w:color="auto" w:fill="auto"/>
            <w:vAlign w:val="center"/>
            <w:hideMark/>
          </w:tcPr>
          <w:p w14:paraId="2FA3F5CE" w14:textId="77777777" w:rsidR="004C5CBE" w:rsidRPr="00A330E4" w:rsidRDefault="004C5CBE" w:rsidP="004C5CBE">
            <w:pPr>
              <w:jc w:val="center"/>
              <w:rPr>
                <w:rFonts w:ascii="Book Antiqua" w:hAnsi="Book Antiqua" w:cs="Calibri"/>
                <w:color w:val="000000"/>
                <w:sz w:val="20"/>
                <w:szCs w:val="20"/>
                <w:lang w:eastAsia="es-CR"/>
              </w:rPr>
            </w:pPr>
            <w:r w:rsidRPr="00A330E4">
              <w:rPr>
                <w:rFonts w:ascii="Book Antiqua" w:hAnsi="Book Antiqua" w:cs="Calibri"/>
                <w:color w:val="000000"/>
                <w:sz w:val="20"/>
                <w:szCs w:val="20"/>
                <w:lang w:eastAsia="es-CR"/>
              </w:rPr>
              <w:t xml:space="preserve">Si en la matriz se detecta al menos un indicador que su resultado se aleja negativamente un </w:t>
            </w:r>
            <w:r w:rsidRPr="00A330E4">
              <w:rPr>
                <w:rFonts w:ascii="Book Antiqua" w:hAnsi="Book Antiqua" w:cs="Calibri"/>
                <w:b/>
                <w:bCs/>
                <w:color w:val="000000"/>
                <w:sz w:val="20"/>
                <w:szCs w:val="20"/>
                <w:lang w:eastAsia="es-CR"/>
              </w:rPr>
              <w:t>100%</w:t>
            </w:r>
            <w:r w:rsidRPr="00A330E4">
              <w:rPr>
                <w:rFonts w:ascii="Book Antiqua" w:hAnsi="Book Antiqua" w:cs="Calibri"/>
                <w:color w:val="000000"/>
                <w:sz w:val="20"/>
                <w:szCs w:val="20"/>
                <w:lang w:eastAsia="es-CR"/>
              </w:rPr>
              <w:t xml:space="preserve"> o más del rango establecido se debe ubicar en esta categoría.</w:t>
            </w:r>
          </w:p>
        </w:tc>
      </w:tr>
      <w:tr w:rsidR="004C5CBE" w:rsidRPr="00A330E4" w14:paraId="7A4D434E" w14:textId="77777777" w:rsidTr="004C5CBE">
        <w:trPr>
          <w:trHeight w:val="737"/>
          <w:jc w:val="center"/>
        </w:trPr>
        <w:tc>
          <w:tcPr>
            <w:tcW w:w="1866" w:type="dxa"/>
            <w:tcBorders>
              <w:top w:val="nil"/>
              <w:left w:val="single" w:sz="4" w:space="0" w:color="auto"/>
              <w:bottom w:val="single" w:sz="4" w:space="0" w:color="auto"/>
              <w:right w:val="single" w:sz="4" w:space="0" w:color="auto"/>
            </w:tcBorders>
            <w:shd w:val="clear" w:color="auto" w:fill="auto"/>
            <w:vAlign w:val="center"/>
            <w:hideMark/>
          </w:tcPr>
          <w:p w14:paraId="31F8816E" w14:textId="77777777" w:rsidR="004C5CBE" w:rsidRPr="00A330E4" w:rsidRDefault="004C5CBE" w:rsidP="004C5CBE">
            <w:pPr>
              <w:jc w:val="right"/>
              <w:rPr>
                <w:rFonts w:ascii="Book Antiqua" w:hAnsi="Book Antiqua" w:cs="Calibri"/>
                <w:b/>
                <w:bCs/>
                <w:i/>
                <w:iCs/>
                <w:color w:val="000000"/>
                <w:sz w:val="20"/>
                <w:szCs w:val="20"/>
                <w:lang w:eastAsia="es-CR"/>
              </w:rPr>
            </w:pPr>
            <w:r w:rsidRPr="00A330E4">
              <w:rPr>
                <w:rFonts w:ascii="Book Antiqua" w:hAnsi="Book Antiqua" w:cs="Calibri"/>
                <w:b/>
                <w:bCs/>
                <w:i/>
                <w:iCs/>
                <w:color w:val="000000"/>
                <w:sz w:val="20"/>
                <w:szCs w:val="20"/>
                <w:lang w:eastAsia="es-CR"/>
              </w:rPr>
              <w:t>Con oportunidades de mejora manejables</w:t>
            </w:r>
          </w:p>
        </w:tc>
        <w:tc>
          <w:tcPr>
            <w:tcW w:w="1240" w:type="dxa"/>
            <w:tcBorders>
              <w:top w:val="nil"/>
              <w:left w:val="nil"/>
              <w:bottom w:val="single" w:sz="4" w:space="0" w:color="auto"/>
              <w:right w:val="single" w:sz="4" w:space="0" w:color="auto"/>
            </w:tcBorders>
            <w:shd w:val="clear" w:color="FFFF00" w:fill="FFFF00"/>
            <w:vAlign w:val="center"/>
            <w:hideMark/>
          </w:tcPr>
          <w:p w14:paraId="258A3786" w14:textId="77777777" w:rsidR="004C5CBE" w:rsidRPr="00A330E4" w:rsidRDefault="004C5CBE" w:rsidP="004C5CBE">
            <w:pPr>
              <w:jc w:val="center"/>
              <w:rPr>
                <w:rFonts w:ascii="Book Antiqua" w:hAnsi="Book Antiqua" w:cs="Calibri"/>
                <w:b/>
                <w:bCs/>
                <w:color w:val="000000"/>
                <w:sz w:val="20"/>
                <w:szCs w:val="20"/>
                <w:lang w:eastAsia="es-CR"/>
              </w:rPr>
            </w:pPr>
            <w:r w:rsidRPr="00A330E4">
              <w:rPr>
                <w:rFonts w:ascii="Book Antiqua" w:hAnsi="Book Antiqua" w:cs="Calibri"/>
                <w:b/>
                <w:bCs/>
                <w:color w:val="000000"/>
                <w:sz w:val="20"/>
                <w:szCs w:val="20"/>
                <w:lang w:eastAsia="es-CR"/>
              </w:rPr>
              <w:t>C</w:t>
            </w:r>
          </w:p>
        </w:tc>
        <w:tc>
          <w:tcPr>
            <w:tcW w:w="1537" w:type="dxa"/>
            <w:tcBorders>
              <w:top w:val="nil"/>
              <w:left w:val="nil"/>
              <w:bottom w:val="single" w:sz="4" w:space="0" w:color="auto"/>
              <w:right w:val="single" w:sz="4" w:space="0" w:color="auto"/>
            </w:tcBorders>
            <w:shd w:val="clear" w:color="auto" w:fill="auto"/>
            <w:vAlign w:val="center"/>
            <w:hideMark/>
          </w:tcPr>
          <w:p w14:paraId="4280CBFF" w14:textId="77777777" w:rsidR="004C5CBE" w:rsidRPr="00A330E4" w:rsidRDefault="004C5CBE" w:rsidP="004C5CBE">
            <w:pPr>
              <w:jc w:val="center"/>
              <w:rPr>
                <w:rFonts w:ascii="Book Antiqua" w:hAnsi="Book Antiqua" w:cs="Calibri"/>
                <w:color w:val="000000"/>
                <w:sz w:val="20"/>
                <w:szCs w:val="20"/>
                <w:lang w:eastAsia="es-CR"/>
              </w:rPr>
            </w:pPr>
            <w:r w:rsidRPr="00A330E4">
              <w:rPr>
                <w:rFonts w:ascii="Book Antiqua" w:hAnsi="Book Antiqua" w:cs="Calibri"/>
                <w:color w:val="000000"/>
                <w:sz w:val="20"/>
                <w:szCs w:val="20"/>
                <w:lang w:eastAsia="es-CR"/>
              </w:rPr>
              <w:t>De uno hasta su totalidad</w:t>
            </w:r>
          </w:p>
        </w:tc>
        <w:tc>
          <w:tcPr>
            <w:tcW w:w="1477" w:type="dxa"/>
            <w:tcBorders>
              <w:top w:val="nil"/>
              <w:left w:val="nil"/>
              <w:bottom w:val="single" w:sz="4" w:space="0" w:color="auto"/>
              <w:right w:val="single" w:sz="4" w:space="0" w:color="auto"/>
            </w:tcBorders>
            <w:shd w:val="clear" w:color="auto" w:fill="auto"/>
            <w:vAlign w:val="center"/>
            <w:hideMark/>
          </w:tcPr>
          <w:p w14:paraId="621ED7F1" w14:textId="77777777" w:rsidR="004C5CBE" w:rsidRPr="00A330E4" w:rsidRDefault="004C5CBE" w:rsidP="004C5CBE">
            <w:pPr>
              <w:jc w:val="center"/>
              <w:rPr>
                <w:rFonts w:ascii="Book Antiqua" w:hAnsi="Book Antiqua" w:cs="Calibri"/>
                <w:b/>
                <w:bCs/>
                <w:color w:val="000000"/>
                <w:sz w:val="20"/>
                <w:szCs w:val="20"/>
                <w:lang w:eastAsia="es-CR"/>
              </w:rPr>
            </w:pPr>
            <w:r w:rsidRPr="00A330E4">
              <w:rPr>
                <w:rFonts w:ascii="Book Antiqua" w:hAnsi="Book Antiqua" w:cs="Calibri"/>
                <w:b/>
                <w:bCs/>
                <w:color w:val="000000"/>
                <w:sz w:val="20"/>
                <w:szCs w:val="20"/>
                <w:lang w:eastAsia="es-CR"/>
              </w:rPr>
              <w:t>50% a 99%</w:t>
            </w:r>
          </w:p>
        </w:tc>
        <w:tc>
          <w:tcPr>
            <w:tcW w:w="4812" w:type="dxa"/>
            <w:tcBorders>
              <w:top w:val="nil"/>
              <w:left w:val="nil"/>
              <w:bottom w:val="single" w:sz="4" w:space="0" w:color="auto"/>
              <w:right w:val="single" w:sz="4" w:space="0" w:color="auto"/>
            </w:tcBorders>
            <w:shd w:val="clear" w:color="auto" w:fill="auto"/>
            <w:vAlign w:val="center"/>
            <w:hideMark/>
          </w:tcPr>
          <w:p w14:paraId="544F1E61" w14:textId="77777777" w:rsidR="004C5CBE" w:rsidRPr="00A330E4" w:rsidRDefault="004C5CBE" w:rsidP="004C5CBE">
            <w:pPr>
              <w:jc w:val="center"/>
              <w:rPr>
                <w:rFonts w:ascii="Book Antiqua" w:hAnsi="Book Antiqua" w:cs="Calibri"/>
                <w:color w:val="000000"/>
                <w:sz w:val="20"/>
                <w:szCs w:val="20"/>
                <w:lang w:eastAsia="es-CR"/>
              </w:rPr>
            </w:pPr>
            <w:r w:rsidRPr="00A330E4">
              <w:rPr>
                <w:rFonts w:ascii="Book Antiqua" w:hAnsi="Book Antiqua" w:cs="Calibri"/>
                <w:color w:val="000000"/>
                <w:sz w:val="20"/>
                <w:szCs w:val="20"/>
                <w:lang w:eastAsia="es-CR"/>
              </w:rPr>
              <w:t xml:space="preserve">Si en la matriz se detecta al menos un indicador que su resultado se aleja negativamente de un </w:t>
            </w:r>
            <w:r w:rsidRPr="00A330E4">
              <w:rPr>
                <w:rFonts w:ascii="Book Antiqua" w:hAnsi="Book Antiqua" w:cs="Calibri"/>
                <w:b/>
                <w:bCs/>
                <w:color w:val="000000"/>
                <w:sz w:val="20"/>
                <w:szCs w:val="20"/>
                <w:lang w:eastAsia="es-CR"/>
              </w:rPr>
              <w:t>50% a un 99%</w:t>
            </w:r>
            <w:r w:rsidRPr="00A330E4">
              <w:rPr>
                <w:rFonts w:ascii="Book Antiqua" w:hAnsi="Book Antiqua" w:cs="Calibri"/>
                <w:color w:val="000000"/>
                <w:sz w:val="20"/>
                <w:szCs w:val="20"/>
                <w:lang w:eastAsia="es-CR"/>
              </w:rPr>
              <w:t xml:space="preserve"> del rango establecido se debe ubicar en esta categoría.</w:t>
            </w:r>
          </w:p>
        </w:tc>
      </w:tr>
      <w:tr w:rsidR="004C5CBE" w:rsidRPr="00A330E4" w14:paraId="70C064D3" w14:textId="77777777" w:rsidTr="004C5CBE">
        <w:trPr>
          <w:trHeight w:val="737"/>
          <w:jc w:val="center"/>
        </w:trPr>
        <w:tc>
          <w:tcPr>
            <w:tcW w:w="1866" w:type="dxa"/>
            <w:tcBorders>
              <w:top w:val="nil"/>
              <w:left w:val="single" w:sz="4" w:space="0" w:color="auto"/>
              <w:bottom w:val="single" w:sz="4" w:space="0" w:color="auto"/>
              <w:right w:val="single" w:sz="4" w:space="0" w:color="auto"/>
            </w:tcBorders>
            <w:shd w:val="clear" w:color="auto" w:fill="auto"/>
            <w:noWrap/>
            <w:vAlign w:val="center"/>
            <w:hideMark/>
          </w:tcPr>
          <w:p w14:paraId="011BFFE6" w14:textId="77777777" w:rsidR="004C5CBE" w:rsidRPr="00A330E4" w:rsidRDefault="004C5CBE" w:rsidP="004C5CBE">
            <w:pPr>
              <w:jc w:val="right"/>
              <w:rPr>
                <w:rFonts w:ascii="Book Antiqua" w:hAnsi="Book Antiqua" w:cs="Calibri"/>
                <w:b/>
                <w:bCs/>
                <w:i/>
                <w:iCs/>
                <w:color w:val="000000"/>
                <w:sz w:val="20"/>
                <w:szCs w:val="20"/>
                <w:lang w:eastAsia="es-CR"/>
              </w:rPr>
            </w:pPr>
            <w:r w:rsidRPr="00A330E4">
              <w:rPr>
                <w:rFonts w:ascii="Book Antiqua" w:hAnsi="Book Antiqua" w:cs="Calibri"/>
                <w:b/>
                <w:bCs/>
                <w:i/>
                <w:iCs/>
                <w:color w:val="000000"/>
                <w:sz w:val="20"/>
                <w:szCs w:val="20"/>
                <w:lang w:eastAsia="es-CR"/>
              </w:rPr>
              <w:t>Bien</w:t>
            </w:r>
          </w:p>
        </w:tc>
        <w:tc>
          <w:tcPr>
            <w:tcW w:w="1240" w:type="dxa"/>
            <w:tcBorders>
              <w:top w:val="nil"/>
              <w:left w:val="nil"/>
              <w:bottom w:val="single" w:sz="4" w:space="0" w:color="auto"/>
              <w:right w:val="single" w:sz="4" w:space="0" w:color="auto"/>
            </w:tcBorders>
            <w:shd w:val="clear" w:color="008080" w:fill="00B050"/>
            <w:vAlign w:val="center"/>
            <w:hideMark/>
          </w:tcPr>
          <w:p w14:paraId="2A34D813" w14:textId="77777777" w:rsidR="004C5CBE" w:rsidRPr="00A330E4" w:rsidRDefault="004C5CBE" w:rsidP="004C5CBE">
            <w:pPr>
              <w:jc w:val="center"/>
              <w:rPr>
                <w:rFonts w:ascii="Book Antiqua" w:hAnsi="Book Antiqua" w:cs="Calibri"/>
                <w:b/>
                <w:bCs/>
                <w:color w:val="000000"/>
                <w:sz w:val="20"/>
                <w:szCs w:val="20"/>
                <w:lang w:eastAsia="es-CR"/>
              </w:rPr>
            </w:pPr>
            <w:r w:rsidRPr="00A330E4">
              <w:rPr>
                <w:rFonts w:ascii="Book Antiqua" w:hAnsi="Book Antiqua" w:cs="Calibri"/>
                <w:b/>
                <w:bCs/>
                <w:color w:val="000000"/>
                <w:sz w:val="20"/>
                <w:szCs w:val="20"/>
                <w:lang w:eastAsia="es-CR"/>
              </w:rPr>
              <w:t>B</w:t>
            </w:r>
          </w:p>
        </w:tc>
        <w:tc>
          <w:tcPr>
            <w:tcW w:w="1537" w:type="dxa"/>
            <w:tcBorders>
              <w:top w:val="nil"/>
              <w:left w:val="nil"/>
              <w:bottom w:val="single" w:sz="4" w:space="0" w:color="auto"/>
              <w:right w:val="single" w:sz="4" w:space="0" w:color="auto"/>
            </w:tcBorders>
            <w:shd w:val="clear" w:color="auto" w:fill="auto"/>
            <w:vAlign w:val="center"/>
            <w:hideMark/>
          </w:tcPr>
          <w:p w14:paraId="48520940" w14:textId="77777777" w:rsidR="004C5CBE" w:rsidRPr="00A330E4" w:rsidRDefault="004C5CBE" w:rsidP="004C5CBE">
            <w:pPr>
              <w:jc w:val="center"/>
              <w:rPr>
                <w:rFonts w:ascii="Book Antiqua" w:hAnsi="Book Antiqua" w:cs="Calibri"/>
                <w:color w:val="000000"/>
                <w:sz w:val="20"/>
                <w:szCs w:val="20"/>
                <w:lang w:eastAsia="es-CR"/>
              </w:rPr>
            </w:pPr>
            <w:r w:rsidRPr="00A330E4">
              <w:rPr>
                <w:rFonts w:ascii="Book Antiqua" w:hAnsi="Book Antiqua" w:cs="Calibri"/>
                <w:color w:val="000000"/>
                <w:sz w:val="20"/>
                <w:szCs w:val="20"/>
                <w:lang w:eastAsia="es-CR"/>
              </w:rPr>
              <w:t>De uno hasta su totalidad</w:t>
            </w:r>
          </w:p>
        </w:tc>
        <w:tc>
          <w:tcPr>
            <w:tcW w:w="1477" w:type="dxa"/>
            <w:tcBorders>
              <w:top w:val="nil"/>
              <w:left w:val="nil"/>
              <w:bottom w:val="single" w:sz="4" w:space="0" w:color="auto"/>
              <w:right w:val="single" w:sz="4" w:space="0" w:color="auto"/>
            </w:tcBorders>
            <w:shd w:val="clear" w:color="auto" w:fill="auto"/>
            <w:vAlign w:val="center"/>
            <w:hideMark/>
          </w:tcPr>
          <w:p w14:paraId="0E39B202" w14:textId="77777777" w:rsidR="004C5CBE" w:rsidRPr="00A330E4" w:rsidRDefault="004C5CBE" w:rsidP="004C5CBE">
            <w:pPr>
              <w:jc w:val="center"/>
              <w:rPr>
                <w:rFonts w:ascii="Book Antiqua" w:hAnsi="Book Antiqua" w:cs="Calibri"/>
                <w:b/>
                <w:bCs/>
                <w:color w:val="000000"/>
                <w:sz w:val="20"/>
                <w:szCs w:val="20"/>
                <w:lang w:eastAsia="es-CR"/>
              </w:rPr>
            </w:pPr>
            <w:r w:rsidRPr="00A330E4">
              <w:rPr>
                <w:rFonts w:ascii="Book Antiqua" w:hAnsi="Book Antiqua" w:cs="Calibri"/>
                <w:b/>
                <w:bCs/>
                <w:color w:val="000000"/>
                <w:sz w:val="20"/>
                <w:szCs w:val="20"/>
                <w:lang w:eastAsia="es-CR"/>
              </w:rPr>
              <w:t>De 11% a 49%</w:t>
            </w:r>
          </w:p>
        </w:tc>
        <w:tc>
          <w:tcPr>
            <w:tcW w:w="4812" w:type="dxa"/>
            <w:tcBorders>
              <w:top w:val="nil"/>
              <w:left w:val="nil"/>
              <w:bottom w:val="single" w:sz="4" w:space="0" w:color="auto"/>
              <w:right w:val="single" w:sz="4" w:space="0" w:color="auto"/>
            </w:tcBorders>
            <w:shd w:val="clear" w:color="auto" w:fill="auto"/>
            <w:vAlign w:val="center"/>
            <w:hideMark/>
          </w:tcPr>
          <w:p w14:paraId="566EB91D" w14:textId="77777777" w:rsidR="004C5CBE" w:rsidRPr="00A330E4" w:rsidRDefault="004C5CBE" w:rsidP="004C5CBE">
            <w:pPr>
              <w:jc w:val="center"/>
              <w:rPr>
                <w:rFonts w:ascii="Book Antiqua" w:hAnsi="Book Antiqua" w:cs="Calibri"/>
                <w:color w:val="000000"/>
                <w:sz w:val="20"/>
                <w:szCs w:val="20"/>
                <w:lang w:eastAsia="es-CR"/>
              </w:rPr>
            </w:pPr>
            <w:r w:rsidRPr="00A330E4">
              <w:rPr>
                <w:rFonts w:ascii="Book Antiqua" w:hAnsi="Book Antiqua" w:cs="Calibri"/>
                <w:color w:val="000000"/>
                <w:sz w:val="20"/>
                <w:szCs w:val="20"/>
                <w:lang w:eastAsia="es-CR"/>
              </w:rPr>
              <w:t xml:space="preserve">Si en la matriz se detecta al menos un indicador que su resultado se aleja negativamente de un </w:t>
            </w:r>
            <w:r w:rsidRPr="00A330E4">
              <w:rPr>
                <w:rFonts w:ascii="Book Antiqua" w:hAnsi="Book Antiqua" w:cs="Calibri"/>
                <w:b/>
                <w:bCs/>
                <w:color w:val="000000"/>
                <w:sz w:val="20"/>
                <w:szCs w:val="20"/>
                <w:lang w:eastAsia="es-CR"/>
              </w:rPr>
              <w:t>11% a un 49%</w:t>
            </w:r>
            <w:r w:rsidRPr="00A330E4">
              <w:rPr>
                <w:rFonts w:ascii="Book Antiqua" w:hAnsi="Book Antiqua" w:cs="Calibri"/>
                <w:color w:val="000000"/>
                <w:sz w:val="20"/>
                <w:szCs w:val="20"/>
                <w:lang w:eastAsia="es-CR"/>
              </w:rPr>
              <w:t xml:space="preserve"> del rango establecido se debe ubicar en esta categoría.</w:t>
            </w:r>
          </w:p>
        </w:tc>
      </w:tr>
      <w:tr w:rsidR="004C5CBE" w:rsidRPr="00A330E4" w14:paraId="5EB99B5E" w14:textId="77777777" w:rsidTr="004C5CBE">
        <w:trPr>
          <w:trHeight w:val="737"/>
          <w:jc w:val="center"/>
        </w:trPr>
        <w:tc>
          <w:tcPr>
            <w:tcW w:w="1866" w:type="dxa"/>
            <w:tcBorders>
              <w:top w:val="nil"/>
              <w:left w:val="single" w:sz="4" w:space="0" w:color="auto"/>
              <w:bottom w:val="single" w:sz="4" w:space="0" w:color="auto"/>
              <w:right w:val="single" w:sz="4" w:space="0" w:color="auto"/>
            </w:tcBorders>
            <w:shd w:val="clear" w:color="auto" w:fill="auto"/>
            <w:noWrap/>
            <w:vAlign w:val="center"/>
            <w:hideMark/>
          </w:tcPr>
          <w:p w14:paraId="1FE8E3F2" w14:textId="77777777" w:rsidR="004C5CBE" w:rsidRPr="00A330E4" w:rsidRDefault="004C5CBE" w:rsidP="004C5CBE">
            <w:pPr>
              <w:jc w:val="right"/>
              <w:rPr>
                <w:rFonts w:ascii="Book Antiqua" w:hAnsi="Book Antiqua" w:cs="Calibri"/>
                <w:b/>
                <w:bCs/>
                <w:i/>
                <w:iCs/>
                <w:color w:val="000000"/>
                <w:sz w:val="20"/>
                <w:szCs w:val="20"/>
                <w:lang w:eastAsia="es-CR"/>
              </w:rPr>
            </w:pPr>
            <w:r w:rsidRPr="00A330E4">
              <w:rPr>
                <w:rFonts w:ascii="Book Antiqua" w:hAnsi="Book Antiqua" w:cs="Calibri"/>
                <w:b/>
                <w:bCs/>
                <w:i/>
                <w:iCs/>
                <w:color w:val="000000"/>
                <w:sz w:val="20"/>
                <w:szCs w:val="20"/>
                <w:lang w:eastAsia="es-CR"/>
              </w:rPr>
              <w:t>Excelente</w:t>
            </w:r>
          </w:p>
        </w:tc>
        <w:tc>
          <w:tcPr>
            <w:tcW w:w="1240" w:type="dxa"/>
            <w:tcBorders>
              <w:top w:val="nil"/>
              <w:left w:val="nil"/>
              <w:bottom w:val="single" w:sz="4" w:space="0" w:color="auto"/>
              <w:right w:val="single" w:sz="4" w:space="0" w:color="auto"/>
            </w:tcBorders>
            <w:shd w:val="clear" w:color="0000CC" w:fill="0000FF"/>
            <w:vAlign w:val="center"/>
            <w:hideMark/>
          </w:tcPr>
          <w:p w14:paraId="447D86F7" w14:textId="77777777" w:rsidR="004C5CBE" w:rsidRPr="00A330E4" w:rsidRDefault="004C5CBE" w:rsidP="004C5CBE">
            <w:pPr>
              <w:jc w:val="center"/>
              <w:rPr>
                <w:rFonts w:ascii="Book Antiqua" w:hAnsi="Book Antiqua" w:cs="Calibri"/>
                <w:b/>
                <w:bCs/>
                <w:color w:val="000000"/>
                <w:sz w:val="20"/>
                <w:szCs w:val="20"/>
                <w:lang w:eastAsia="es-CR"/>
              </w:rPr>
            </w:pPr>
            <w:r w:rsidRPr="00A330E4">
              <w:rPr>
                <w:rFonts w:ascii="Book Antiqua" w:hAnsi="Book Antiqua" w:cs="Calibri"/>
                <w:b/>
                <w:bCs/>
                <w:color w:val="000000"/>
                <w:sz w:val="20"/>
                <w:szCs w:val="20"/>
                <w:lang w:eastAsia="es-CR"/>
              </w:rPr>
              <w:t>A</w:t>
            </w:r>
          </w:p>
        </w:tc>
        <w:tc>
          <w:tcPr>
            <w:tcW w:w="1537" w:type="dxa"/>
            <w:tcBorders>
              <w:top w:val="nil"/>
              <w:left w:val="nil"/>
              <w:bottom w:val="single" w:sz="4" w:space="0" w:color="auto"/>
              <w:right w:val="single" w:sz="4" w:space="0" w:color="auto"/>
            </w:tcBorders>
            <w:shd w:val="clear" w:color="auto" w:fill="auto"/>
            <w:vAlign w:val="center"/>
            <w:hideMark/>
          </w:tcPr>
          <w:p w14:paraId="1EAF9995" w14:textId="77777777" w:rsidR="004C5CBE" w:rsidRPr="00A330E4" w:rsidRDefault="004C5CBE" w:rsidP="004C5CBE">
            <w:pPr>
              <w:jc w:val="center"/>
              <w:rPr>
                <w:rFonts w:ascii="Book Antiqua" w:hAnsi="Book Antiqua" w:cs="Calibri"/>
                <w:color w:val="000000"/>
                <w:sz w:val="20"/>
                <w:szCs w:val="20"/>
                <w:lang w:eastAsia="es-CR"/>
              </w:rPr>
            </w:pPr>
            <w:r w:rsidRPr="00A330E4">
              <w:rPr>
                <w:rFonts w:ascii="Book Antiqua" w:hAnsi="Book Antiqua" w:cs="Calibri"/>
                <w:color w:val="000000"/>
                <w:sz w:val="20"/>
                <w:szCs w:val="20"/>
                <w:lang w:eastAsia="es-CR"/>
              </w:rPr>
              <w:t>Cero o bien de uno hasta su totalidad</w:t>
            </w:r>
          </w:p>
        </w:tc>
        <w:tc>
          <w:tcPr>
            <w:tcW w:w="1477" w:type="dxa"/>
            <w:tcBorders>
              <w:top w:val="nil"/>
              <w:left w:val="nil"/>
              <w:bottom w:val="single" w:sz="4" w:space="0" w:color="auto"/>
              <w:right w:val="single" w:sz="4" w:space="0" w:color="auto"/>
            </w:tcBorders>
            <w:shd w:val="clear" w:color="auto" w:fill="auto"/>
            <w:vAlign w:val="center"/>
            <w:hideMark/>
          </w:tcPr>
          <w:p w14:paraId="51A3B987" w14:textId="77777777" w:rsidR="004C5CBE" w:rsidRPr="00A330E4" w:rsidRDefault="004C5CBE" w:rsidP="004C5CBE">
            <w:pPr>
              <w:jc w:val="center"/>
              <w:rPr>
                <w:rFonts w:ascii="Book Antiqua" w:hAnsi="Book Antiqua" w:cs="Calibri"/>
                <w:b/>
                <w:bCs/>
                <w:color w:val="000000"/>
                <w:sz w:val="20"/>
                <w:szCs w:val="20"/>
                <w:lang w:eastAsia="es-CR"/>
              </w:rPr>
            </w:pPr>
            <w:r w:rsidRPr="00A330E4">
              <w:rPr>
                <w:rFonts w:ascii="Book Antiqua" w:hAnsi="Book Antiqua" w:cs="Calibri"/>
                <w:b/>
                <w:bCs/>
                <w:color w:val="000000"/>
                <w:sz w:val="20"/>
                <w:szCs w:val="20"/>
                <w:lang w:eastAsia="es-CR"/>
              </w:rPr>
              <w:t>De 0% a 10%</w:t>
            </w:r>
          </w:p>
        </w:tc>
        <w:tc>
          <w:tcPr>
            <w:tcW w:w="4812" w:type="dxa"/>
            <w:tcBorders>
              <w:top w:val="nil"/>
              <w:left w:val="nil"/>
              <w:bottom w:val="single" w:sz="4" w:space="0" w:color="auto"/>
              <w:right w:val="single" w:sz="4" w:space="0" w:color="auto"/>
            </w:tcBorders>
            <w:shd w:val="clear" w:color="auto" w:fill="auto"/>
            <w:vAlign w:val="center"/>
            <w:hideMark/>
          </w:tcPr>
          <w:p w14:paraId="11114610" w14:textId="77777777" w:rsidR="004C5CBE" w:rsidRPr="00A330E4" w:rsidRDefault="004C5CBE" w:rsidP="004C5CBE">
            <w:pPr>
              <w:jc w:val="center"/>
              <w:rPr>
                <w:rFonts w:ascii="Book Antiqua" w:hAnsi="Book Antiqua" w:cs="Calibri"/>
                <w:color w:val="000000"/>
                <w:sz w:val="20"/>
                <w:szCs w:val="20"/>
                <w:lang w:eastAsia="es-CR"/>
              </w:rPr>
            </w:pPr>
            <w:r w:rsidRPr="00A330E4">
              <w:rPr>
                <w:rFonts w:ascii="Book Antiqua" w:hAnsi="Book Antiqua" w:cs="Calibri"/>
                <w:color w:val="000000"/>
                <w:sz w:val="20"/>
                <w:szCs w:val="20"/>
                <w:lang w:eastAsia="es-CR"/>
              </w:rPr>
              <w:t xml:space="preserve">Si en la matriz se detecta que el indicador con mayor oportunidad de mejora se aleja negativamente máximo un </w:t>
            </w:r>
            <w:r w:rsidRPr="00A330E4">
              <w:rPr>
                <w:rFonts w:ascii="Book Antiqua" w:hAnsi="Book Antiqua" w:cs="Calibri"/>
                <w:b/>
                <w:bCs/>
                <w:color w:val="000000"/>
                <w:sz w:val="20"/>
                <w:szCs w:val="20"/>
                <w:lang w:eastAsia="es-CR"/>
              </w:rPr>
              <w:t>10%</w:t>
            </w:r>
            <w:r w:rsidRPr="00A330E4">
              <w:rPr>
                <w:rFonts w:ascii="Book Antiqua" w:hAnsi="Book Antiqua" w:cs="Calibri"/>
                <w:color w:val="000000"/>
                <w:sz w:val="20"/>
                <w:szCs w:val="20"/>
                <w:lang w:eastAsia="es-CR"/>
              </w:rPr>
              <w:t xml:space="preserve"> del rango establecido, se debe ubicar en esta categoría.</w:t>
            </w:r>
          </w:p>
        </w:tc>
      </w:tr>
    </w:tbl>
    <w:p w14:paraId="118A50E6" w14:textId="77777777" w:rsidR="004C5CBE" w:rsidRPr="00A330E4" w:rsidRDefault="004C5CBE" w:rsidP="004C5CBE">
      <w:pPr>
        <w:ind w:left="1276"/>
        <w:jc w:val="center"/>
        <w:rPr>
          <w:rFonts w:ascii="Book Antiqua" w:hAnsi="Book Antiqua"/>
          <w:b/>
          <w:bCs/>
          <w:sz w:val="20"/>
          <w:szCs w:val="20"/>
        </w:rPr>
      </w:pPr>
      <w:r w:rsidRPr="57A79FF7">
        <w:rPr>
          <w:rFonts w:ascii="Book Antiqua" w:hAnsi="Book Antiqua"/>
          <w:b/>
          <w:bCs/>
          <w:sz w:val="20"/>
          <w:szCs w:val="20"/>
        </w:rPr>
        <w:t xml:space="preserve">Fuente: </w:t>
      </w:r>
      <w:r w:rsidRPr="57A79FF7">
        <w:rPr>
          <w:rFonts w:ascii="Book Antiqua" w:hAnsi="Book Antiqua"/>
          <w:sz w:val="20"/>
          <w:szCs w:val="20"/>
        </w:rPr>
        <w:t>Subproceso de Evaluación</w:t>
      </w:r>
    </w:p>
    <w:p w14:paraId="0E1A2F24" w14:textId="0D15D365" w:rsidR="57A79FF7" w:rsidRDefault="57A79FF7" w:rsidP="57A79FF7">
      <w:pPr>
        <w:ind w:left="1276"/>
        <w:jc w:val="center"/>
      </w:pPr>
    </w:p>
    <w:p w14:paraId="024E42AD" w14:textId="77777777" w:rsidR="004C5CBE" w:rsidRDefault="004C5CBE" w:rsidP="004C5CBE">
      <w:pPr>
        <w:jc w:val="both"/>
        <w:rPr>
          <w:rFonts w:ascii="Book Antiqua" w:hAnsi="Book Antiqua"/>
          <w:lang w:eastAsia="es-CR"/>
        </w:rPr>
      </w:pPr>
      <w:r w:rsidRPr="00367132">
        <w:rPr>
          <w:rFonts w:ascii="Book Antiqua" w:hAnsi="Book Antiqua"/>
          <w:lang w:eastAsia="es-CR"/>
        </w:rPr>
        <w:t xml:space="preserve">Esta herramienta tiene como finalidad generar una visión global del despacho de, la cual se permite identificar la Oficina que requiere colaboración prioritaria en un momento determinado o la necesaria ejecución de un plan remedial que corrija situaciones determinadas. </w:t>
      </w:r>
    </w:p>
    <w:p w14:paraId="0F60A664" w14:textId="77777777" w:rsidR="004C5CBE" w:rsidRDefault="004C5CBE" w:rsidP="004C5CBE">
      <w:pPr>
        <w:jc w:val="both"/>
        <w:rPr>
          <w:rFonts w:ascii="Book Antiqua" w:hAnsi="Book Antiqua"/>
          <w:lang w:eastAsia="es-CR"/>
        </w:rPr>
      </w:pPr>
    </w:p>
    <w:p w14:paraId="57D2AE71" w14:textId="77777777" w:rsidR="004C5CBE" w:rsidRPr="00C52A3C" w:rsidRDefault="004C5CBE" w:rsidP="004C5CBE">
      <w:pPr>
        <w:jc w:val="both"/>
        <w:rPr>
          <w:rFonts w:ascii="Book Antiqua" w:hAnsi="Book Antiqua"/>
          <w:b/>
          <w:lang w:eastAsia="es-CR"/>
        </w:rPr>
      </w:pPr>
    </w:p>
    <w:p w14:paraId="75D34ACA" w14:textId="77777777" w:rsidR="004C5CBE" w:rsidRDefault="004C5CBE">
      <w:pPr>
        <w:rPr>
          <w:rFonts w:ascii="Book Antiqua" w:hAnsi="Book Antiqua"/>
          <w:b/>
          <w:highlight w:val="yellow"/>
        </w:rPr>
      </w:pPr>
      <w:r>
        <w:rPr>
          <w:i/>
          <w:iCs/>
          <w:highlight w:val="yellow"/>
        </w:rPr>
        <w:br w:type="page"/>
      </w:r>
    </w:p>
    <w:p w14:paraId="55B3A980" w14:textId="77777777" w:rsidR="004C5CBE" w:rsidRPr="00307D3C" w:rsidRDefault="004C5CBE" w:rsidP="004C5CBE">
      <w:pPr>
        <w:jc w:val="both"/>
        <w:rPr>
          <w:rFonts w:ascii="Book Antiqua" w:hAnsi="Book Antiqua"/>
          <w:lang w:eastAsia="es-CR"/>
        </w:rPr>
      </w:pPr>
    </w:p>
    <w:p w14:paraId="687A702F" w14:textId="77777777" w:rsidR="004C5CBE" w:rsidRDefault="004C5CBE" w:rsidP="004C5CBE">
      <w:pPr>
        <w:jc w:val="both"/>
        <w:rPr>
          <w:rFonts w:ascii="Book Antiqua" w:hAnsi="Book Antiqua"/>
          <w:lang w:eastAsia="es-CR"/>
        </w:rPr>
      </w:pPr>
      <w:r>
        <w:rPr>
          <w:rFonts w:ascii="Book Antiqua" w:hAnsi="Book Antiqua"/>
          <w:lang w:eastAsia="es-CR"/>
        </w:rPr>
        <w:t>De las 85 oficinas penales que disponen de indicadores de gestión, se realizó el análisis a los 84 despachos que presentaron la matriz del mes de setiembre de 2021; de los cuales corresponden a 39 juzgados penales, 25 a los tribunales de juicio, 14 a las secciones de flagrancia y 6 a los juzgados de ejecución de la pena.</w:t>
      </w:r>
    </w:p>
    <w:p w14:paraId="030D340C" w14:textId="77777777" w:rsidR="006F775A" w:rsidRDefault="004C5CBE" w:rsidP="006F775A">
      <w:pPr>
        <w:jc w:val="both"/>
        <w:rPr>
          <w:rFonts w:ascii="Book Antiqua" w:hAnsi="Book Antiqua"/>
          <w:b/>
          <w:bCs/>
        </w:rPr>
      </w:pPr>
      <w:r>
        <w:rPr>
          <w:rFonts w:ascii="Book Antiqua" w:hAnsi="Book Antiqua"/>
          <w:lang w:eastAsia="es-CR"/>
        </w:rPr>
        <w:t>Del análisis se determina, que, del total de las oficinas, 8 (10%), obtienen una calificación A, 24 (29%) presentan calificación B, 20 (24%) son calificación C, 17 (20%) tienen calificación D y 15 (18%) presentan la calificación E, tal y como se muestra en la siguiente tabla.</w:t>
      </w:r>
      <w:r w:rsidR="002112B5">
        <w:rPr>
          <w:rFonts w:ascii="Book Antiqua" w:hAnsi="Book Antiqua"/>
          <w:lang w:eastAsia="es-CR"/>
        </w:rPr>
        <w:t xml:space="preserve"> Está clasificación permitirá orientar acciones más concretas en las oficinas representadas con las clasificaciones descritas.</w:t>
      </w:r>
    </w:p>
    <w:p w14:paraId="04A2D63A" w14:textId="77777777" w:rsidR="006F775A" w:rsidRDefault="006F775A" w:rsidP="006F775A">
      <w:pPr>
        <w:jc w:val="both"/>
        <w:rPr>
          <w:rFonts w:ascii="Book Antiqua" w:hAnsi="Book Antiqua"/>
          <w:b/>
          <w:bCs/>
        </w:rPr>
      </w:pPr>
    </w:p>
    <w:p w14:paraId="660A5907" w14:textId="2C9253BA" w:rsidR="004C5CBE" w:rsidRPr="006F775A" w:rsidRDefault="004C5CBE" w:rsidP="006F775A">
      <w:pPr>
        <w:jc w:val="center"/>
        <w:rPr>
          <w:rFonts w:ascii="Book Antiqua" w:hAnsi="Book Antiqua"/>
          <w:lang w:eastAsia="es-CR"/>
        </w:rPr>
      </w:pPr>
      <w:r w:rsidRPr="57A79FF7">
        <w:rPr>
          <w:rFonts w:ascii="Book Antiqua" w:hAnsi="Book Antiqua"/>
          <w:b/>
          <w:bCs/>
        </w:rPr>
        <w:t xml:space="preserve">Cuadro </w:t>
      </w:r>
      <w:r w:rsidR="611B8622" w:rsidRPr="57A79FF7">
        <w:rPr>
          <w:rFonts w:ascii="Book Antiqua" w:hAnsi="Book Antiqua"/>
          <w:b/>
          <w:bCs/>
        </w:rPr>
        <w:t>94</w:t>
      </w:r>
    </w:p>
    <w:p w14:paraId="36063E01" w14:textId="77777777" w:rsidR="004C5CBE" w:rsidRPr="00C52A3C" w:rsidRDefault="004C5CBE" w:rsidP="004C5CBE">
      <w:pPr>
        <w:jc w:val="center"/>
        <w:rPr>
          <w:rFonts w:ascii="Book Antiqua" w:hAnsi="Book Antiqua"/>
          <w:bCs/>
          <w:lang w:eastAsia="es-CR"/>
        </w:rPr>
      </w:pPr>
      <w:r w:rsidRPr="004C5CBE">
        <w:rPr>
          <w:rFonts w:ascii="Book Antiqua" w:eastAsia="Calibri" w:hAnsi="Book Antiqua"/>
          <w:bCs/>
          <w:lang w:eastAsia="zh-CN"/>
        </w:rPr>
        <w:t>Resumen del resultado MAIC por tipo</w:t>
      </w:r>
      <w:r>
        <w:rPr>
          <w:rFonts w:ascii="Book Antiqua" w:eastAsia="Calibri" w:hAnsi="Book Antiqua"/>
          <w:bCs/>
          <w:lang w:eastAsia="zh-CN"/>
        </w:rPr>
        <w:t xml:space="preserve"> de oficina</w:t>
      </w:r>
    </w:p>
    <w:tbl>
      <w:tblPr>
        <w:tblW w:w="10632" w:type="dxa"/>
        <w:jc w:val="center"/>
        <w:tblCellMar>
          <w:left w:w="70" w:type="dxa"/>
          <w:right w:w="70" w:type="dxa"/>
        </w:tblCellMar>
        <w:tblLook w:val="04A0" w:firstRow="1" w:lastRow="0" w:firstColumn="1" w:lastColumn="0" w:noHBand="0" w:noVBand="1"/>
      </w:tblPr>
      <w:tblGrid>
        <w:gridCol w:w="2268"/>
        <w:gridCol w:w="993"/>
        <w:gridCol w:w="708"/>
        <w:gridCol w:w="567"/>
        <w:gridCol w:w="567"/>
        <w:gridCol w:w="715"/>
        <w:gridCol w:w="717"/>
        <w:gridCol w:w="643"/>
        <w:gridCol w:w="643"/>
        <w:gridCol w:w="643"/>
        <w:gridCol w:w="643"/>
        <w:gridCol w:w="643"/>
        <w:gridCol w:w="14"/>
        <w:gridCol w:w="868"/>
      </w:tblGrid>
      <w:tr w:rsidR="004C5CBE" w:rsidRPr="00C52A3C" w14:paraId="728CA99E" w14:textId="77777777" w:rsidTr="004C5CBE">
        <w:trPr>
          <w:trHeight w:val="239"/>
          <w:jc w:val="center"/>
        </w:trPr>
        <w:tc>
          <w:tcPr>
            <w:tcW w:w="2268" w:type="dxa"/>
            <w:tcBorders>
              <w:top w:val="nil"/>
              <w:left w:val="nil"/>
              <w:bottom w:val="nil"/>
              <w:right w:val="nil"/>
            </w:tcBorders>
            <w:shd w:val="clear" w:color="auto" w:fill="auto"/>
            <w:noWrap/>
            <w:vAlign w:val="center"/>
            <w:hideMark/>
          </w:tcPr>
          <w:p w14:paraId="28858BC0" w14:textId="77777777" w:rsidR="004C5CBE" w:rsidRPr="00247079" w:rsidRDefault="004C5CBE" w:rsidP="004C5CBE">
            <w:pPr>
              <w:jc w:val="center"/>
              <w:rPr>
                <w:rFonts w:ascii="Book Antiqua" w:hAnsi="Book Antiqua"/>
                <w:sz w:val="20"/>
                <w:szCs w:val="20"/>
                <w:lang w:eastAsia="es-CR"/>
              </w:rPr>
            </w:pPr>
          </w:p>
        </w:tc>
        <w:tc>
          <w:tcPr>
            <w:tcW w:w="7496" w:type="dxa"/>
            <w:gridSpan w:val="12"/>
            <w:tcBorders>
              <w:top w:val="nil"/>
              <w:left w:val="nil"/>
              <w:bottom w:val="single" w:sz="4" w:space="0" w:color="auto"/>
              <w:right w:val="nil"/>
            </w:tcBorders>
            <w:shd w:val="clear" w:color="auto" w:fill="auto"/>
            <w:noWrap/>
            <w:vAlign w:val="center"/>
            <w:hideMark/>
          </w:tcPr>
          <w:p w14:paraId="264F00FF" w14:textId="77777777" w:rsidR="004C5CBE" w:rsidRPr="00247079" w:rsidRDefault="004C5CBE" w:rsidP="004C5CBE">
            <w:pPr>
              <w:rPr>
                <w:rFonts w:ascii="Book Antiqua" w:hAnsi="Book Antiqua" w:cs="Calibri"/>
                <w:b/>
                <w:bCs/>
                <w:color w:val="000000"/>
                <w:sz w:val="20"/>
                <w:szCs w:val="20"/>
                <w:lang w:eastAsia="es-CR"/>
              </w:rPr>
            </w:pPr>
          </w:p>
        </w:tc>
        <w:tc>
          <w:tcPr>
            <w:tcW w:w="868" w:type="dxa"/>
            <w:tcBorders>
              <w:top w:val="nil"/>
              <w:left w:val="nil"/>
              <w:bottom w:val="single" w:sz="4" w:space="0" w:color="auto"/>
              <w:right w:val="nil"/>
            </w:tcBorders>
            <w:shd w:val="clear" w:color="auto" w:fill="auto"/>
            <w:noWrap/>
            <w:vAlign w:val="center"/>
            <w:hideMark/>
          </w:tcPr>
          <w:p w14:paraId="3FE5EB9D" w14:textId="77777777" w:rsidR="004C5CBE" w:rsidRPr="00247079" w:rsidRDefault="004C5CBE" w:rsidP="004C5CBE">
            <w:pPr>
              <w:rPr>
                <w:rFonts w:ascii="Book Antiqua" w:hAnsi="Book Antiqua" w:cs="Calibri"/>
                <w:b/>
                <w:bCs/>
                <w:color w:val="000000"/>
                <w:sz w:val="20"/>
                <w:szCs w:val="20"/>
                <w:lang w:eastAsia="es-CR"/>
              </w:rPr>
            </w:pPr>
            <w:r w:rsidRPr="00247079">
              <w:rPr>
                <w:rFonts w:ascii="Book Antiqua" w:hAnsi="Book Antiqua" w:cs="Calibri"/>
                <w:b/>
                <w:bCs/>
                <w:color w:val="000000"/>
                <w:sz w:val="20"/>
                <w:szCs w:val="20"/>
                <w:lang w:eastAsia="es-CR"/>
              </w:rPr>
              <w:t> </w:t>
            </w:r>
          </w:p>
        </w:tc>
      </w:tr>
      <w:tr w:rsidR="004C5CBE" w:rsidRPr="00C52A3C" w14:paraId="562BBD61" w14:textId="77777777" w:rsidTr="004C5CBE">
        <w:trPr>
          <w:trHeight w:val="239"/>
          <w:jc w:val="center"/>
        </w:trPr>
        <w:tc>
          <w:tcPr>
            <w:tcW w:w="2268" w:type="dxa"/>
            <w:tcBorders>
              <w:top w:val="nil"/>
              <w:left w:val="nil"/>
              <w:bottom w:val="nil"/>
              <w:right w:val="nil"/>
            </w:tcBorders>
            <w:shd w:val="clear" w:color="auto" w:fill="auto"/>
            <w:noWrap/>
            <w:vAlign w:val="center"/>
            <w:hideMark/>
          </w:tcPr>
          <w:p w14:paraId="19540C76" w14:textId="77777777" w:rsidR="004C5CBE" w:rsidRPr="00247079" w:rsidRDefault="004C5CBE" w:rsidP="004C5CBE">
            <w:pPr>
              <w:rPr>
                <w:rFonts w:ascii="Book Antiqua" w:hAnsi="Book Antiqua" w:cs="Calibri"/>
                <w:b/>
                <w:bCs/>
                <w:color w:val="000000"/>
                <w:sz w:val="20"/>
                <w:szCs w:val="20"/>
                <w:lang w:eastAsia="es-CR"/>
              </w:rPr>
            </w:pPr>
          </w:p>
        </w:tc>
        <w:tc>
          <w:tcPr>
            <w:tcW w:w="993" w:type="dxa"/>
            <w:tcBorders>
              <w:top w:val="nil"/>
              <w:left w:val="single" w:sz="4" w:space="0" w:color="auto"/>
              <w:bottom w:val="single" w:sz="4" w:space="0" w:color="auto"/>
              <w:right w:val="single" w:sz="4" w:space="0" w:color="auto"/>
            </w:tcBorders>
            <w:shd w:val="clear" w:color="000000" w:fill="0033CC"/>
            <w:noWrap/>
            <w:vAlign w:val="bottom"/>
            <w:hideMark/>
          </w:tcPr>
          <w:p w14:paraId="486EBA4C" w14:textId="77777777" w:rsidR="004C5CBE" w:rsidRPr="00247079" w:rsidRDefault="004C5CBE" w:rsidP="004C5CBE">
            <w:pPr>
              <w:jc w:val="center"/>
              <w:rPr>
                <w:rFonts w:ascii="Book Antiqua" w:hAnsi="Book Antiqua" w:cs="Calibri"/>
                <w:b/>
                <w:bCs/>
                <w:color w:val="FFFFFF"/>
                <w:sz w:val="20"/>
                <w:szCs w:val="20"/>
                <w:lang w:eastAsia="es-CR"/>
              </w:rPr>
            </w:pPr>
            <w:r w:rsidRPr="00247079">
              <w:rPr>
                <w:rFonts w:ascii="Book Antiqua" w:hAnsi="Book Antiqua" w:cs="Calibri"/>
                <w:b/>
                <w:bCs/>
                <w:color w:val="FFFFFF"/>
                <w:sz w:val="20"/>
                <w:szCs w:val="20"/>
                <w:lang w:eastAsia="es-CR"/>
              </w:rPr>
              <w:t>A</w:t>
            </w:r>
          </w:p>
        </w:tc>
        <w:tc>
          <w:tcPr>
            <w:tcW w:w="708" w:type="dxa"/>
            <w:tcBorders>
              <w:top w:val="nil"/>
              <w:left w:val="nil"/>
              <w:bottom w:val="single" w:sz="4" w:space="0" w:color="auto"/>
              <w:right w:val="single" w:sz="4" w:space="0" w:color="auto"/>
            </w:tcBorders>
            <w:shd w:val="clear" w:color="000000" w:fill="009900"/>
            <w:noWrap/>
            <w:vAlign w:val="bottom"/>
            <w:hideMark/>
          </w:tcPr>
          <w:p w14:paraId="5AEDCE9F" w14:textId="77777777" w:rsidR="004C5CBE" w:rsidRPr="00247079" w:rsidRDefault="004C5CBE" w:rsidP="004C5CBE">
            <w:pPr>
              <w:jc w:val="center"/>
              <w:rPr>
                <w:rFonts w:ascii="Book Antiqua" w:hAnsi="Book Antiqua" w:cs="Calibri"/>
                <w:b/>
                <w:bCs/>
                <w:color w:val="FFFFFF"/>
                <w:sz w:val="20"/>
                <w:szCs w:val="20"/>
                <w:lang w:eastAsia="es-CR"/>
              </w:rPr>
            </w:pPr>
            <w:r w:rsidRPr="00247079">
              <w:rPr>
                <w:rFonts w:ascii="Book Antiqua" w:hAnsi="Book Antiqua" w:cs="Calibri"/>
                <w:b/>
                <w:bCs/>
                <w:color w:val="FFFFFF"/>
                <w:sz w:val="20"/>
                <w:szCs w:val="20"/>
                <w:lang w:eastAsia="es-CR"/>
              </w:rPr>
              <w:t>B</w:t>
            </w:r>
          </w:p>
        </w:tc>
        <w:tc>
          <w:tcPr>
            <w:tcW w:w="567" w:type="dxa"/>
            <w:tcBorders>
              <w:top w:val="nil"/>
              <w:left w:val="nil"/>
              <w:bottom w:val="single" w:sz="4" w:space="0" w:color="auto"/>
              <w:right w:val="single" w:sz="4" w:space="0" w:color="auto"/>
            </w:tcBorders>
            <w:shd w:val="clear" w:color="000000" w:fill="F8F200"/>
            <w:noWrap/>
            <w:vAlign w:val="bottom"/>
            <w:hideMark/>
          </w:tcPr>
          <w:p w14:paraId="701CA1DF" w14:textId="77777777" w:rsidR="004C5CBE" w:rsidRPr="00247079" w:rsidRDefault="004C5CBE" w:rsidP="004C5CBE">
            <w:pPr>
              <w:jc w:val="center"/>
              <w:rPr>
                <w:rFonts w:ascii="Book Antiqua" w:hAnsi="Book Antiqua" w:cs="Calibri"/>
                <w:b/>
                <w:bCs/>
                <w:color w:val="161616"/>
                <w:sz w:val="20"/>
                <w:szCs w:val="20"/>
                <w:lang w:eastAsia="es-CR"/>
              </w:rPr>
            </w:pPr>
            <w:r w:rsidRPr="00247079">
              <w:rPr>
                <w:rFonts w:ascii="Book Antiqua" w:hAnsi="Book Antiqua" w:cs="Calibri"/>
                <w:b/>
                <w:bCs/>
                <w:color w:val="161616"/>
                <w:sz w:val="20"/>
                <w:szCs w:val="20"/>
                <w:lang w:eastAsia="es-CR"/>
              </w:rPr>
              <w:t>C</w:t>
            </w:r>
          </w:p>
        </w:tc>
        <w:tc>
          <w:tcPr>
            <w:tcW w:w="567" w:type="dxa"/>
            <w:tcBorders>
              <w:top w:val="nil"/>
              <w:left w:val="nil"/>
              <w:bottom w:val="single" w:sz="4" w:space="0" w:color="auto"/>
              <w:right w:val="single" w:sz="4" w:space="0" w:color="auto"/>
            </w:tcBorders>
            <w:shd w:val="clear" w:color="000000" w:fill="FF0000"/>
            <w:noWrap/>
            <w:vAlign w:val="bottom"/>
            <w:hideMark/>
          </w:tcPr>
          <w:p w14:paraId="157AC85F" w14:textId="77777777" w:rsidR="004C5CBE" w:rsidRPr="00247079" w:rsidRDefault="004C5CBE" w:rsidP="004C5CBE">
            <w:pPr>
              <w:jc w:val="center"/>
              <w:rPr>
                <w:rFonts w:ascii="Book Antiqua" w:hAnsi="Book Antiqua" w:cs="Calibri"/>
                <w:b/>
                <w:bCs/>
                <w:color w:val="FFFFFF"/>
                <w:sz w:val="20"/>
                <w:szCs w:val="20"/>
                <w:lang w:eastAsia="es-CR"/>
              </w:rPr>
            </w:pPr>
            <w:r w:rsidRPr="00247079">
              <w:rPr>
                <w:rFonts w:ascii="Book Antiqua" w:hAnsi="Book Antiqua" w:cs="Calibri"/>
                <w:b/>
                <w:bCs/>
                <w:color w:val="FFFFFF"/>
                <w:sz w:val="20"/>
                <w:szCs w:val="20"/>
                <w:lang w:eastAsia="es-CR"/>
              </w:rPr>
              <w:t>D</w:t>
            </w:r>
          </w:p>
        </w:tc>
        <w:tc>
          <w:tcPr>
            <w:tcW w:w="715" w:type="dxa"/>
            <w:tcBorders>
              <w:top w:val="nil"/>
              <w:left w:val="nil"/>
              <w:bottom w:val="single" w:sz="4" w:space="0" w:color="auto"/>
              <w:right w:val="single" w:sz="4" w:space="0" w:color="auto"/>
            </w:tcBorders>
            <w:shd w:val="clear" w:color="000000" w:fill="FF9900"/>
            <w:noWrap/>
            <w:vAlign w:val="bottom"/>
            <w:hideMark/>
          </w:tcPr>
          <w:p w14:paraId="2265AEC5" w14:textId="77777777" w:rsidR="004C5CBE" w:rsidRPr="00247079" w:rsidRDefault="004C5CBE" w:rsidP="004C5CBE">
            <w:pPr>
              <w:jc w:val="center"/>
              <w:rPr>
                <w:rFonts w:ascii="Book Antiqua" w:hAnsi="Book Antiqua" w:cs="Calibri"/>
                <w:b/>
                <w:bCs/>
                <w:color w:val="FFFFFF"/>
                <w:sz w:val="20"/>
                <w:szCs w:val="20"/>
                <w:lang w:eastAsia="es-CR"/>
              </w:rPr>
            </w:pPr>
            <w:r w:rsidRPr="00247079">
              <w:rPr>
                <w:rFonts w:ascii="Book Antiqua" w:hAnsi="Book Antiqua" w:cs="Calibri"/>
                <w:b/>
                <w:bCs/>
                <w:color w:val="FFFFFF"/>
                <w:sz w:val="20"/>
                <w:szCs w:val="20"/>
                <w:lang w:eastAsia="es-CR"/>
              </w:rPr>
              <w:t>E</w:t>
            </w:r>
          </w:p>
        </w:tc>
        <w:tc>
          <w:tcPr>
            <w:tcW w:w="717" w:type="dxa"/>
            <w:tcBorders>
              <w:top w:val="nil"/>
              <w:left w:val="nil"/>
              <w:bottom w:val="single" w:sz="4" w:space="0" w:color="auto"/>
              <w:right w:val="single" w:sz="4" w:space="0" w:color="auto"/>
            </w:tcBorders>
            <w:shd w:val="clear" w:color="000000" w:fill="F2F2F2"/>
            <w:noWrap/>
            <w:vAlign w:val="center"/>
            <w:hideMark/>
          </w:tcPr>
          <w:p w14:paraId="31EE6F45" w14:textId="77777777" w:rsidR="004C5CBE" w:rsidRPr="00C52A3C" w:rsidRDefault="004C5CBE" w:rsidP="004C5CBE">
            <w:pPr>
              <w:jc w:val="right"/>
              <w:rPr>
                <w:rFonts w:ascii="Book Antiqua" w:hAnsi="Book Antiqua" w:cs="Calibri"/>
                <w:b/>
                <w:bCs/>
                <w:color w:val="000000"/>
                <w:sz w:val="20"/>
                <w:szCs w:val="20"/>
                <w:lang w:eastAsia="es-CR"/>
              </w:rPr>
            </w:pPr>
          </w:p>
          <w:p w14:paraId="232F6A48" w14:textId="77777777" w:rsidR="004C5CBE" w:rsidRPr="00247079" w:rsidRDefault="004C5CBE" w:rsidP="004C5CBE">
            <w:pPr>
              <w:rPr>
                <w:rFonts w:ascii="Book Antiqua" w:hAnsi="Book Antiqua" w:cs="Calibri"/>
                <w:b/>
                <w:bCs/>
                <w:color w:val="000000"/>
                <w:sz w:val="20"/>
                <w:szCs w:val="20"/>
                <w:lang w:eastAsia="es-CR"/>
              </w:rPr>
            </w:pPr>
            <w:r w:rsidRPr="00247079">
              <w:rPr>
                <w:rFonts w:ascii="Book Antiqua" w:hAnsi="Book Antiqua" w:cs="Calibri"/>
                <w:b/>
                <w:bCs/>
                <w:color w:val="000000"/>
                <w:sz w:val="20"/>
                <w:szCs w:val="20"/>
                <w:lang w:eastAsia="es-CR"/>
              </w:rPr>
              <w:t>Total</w:t>
            </w:r>
          </w:p>
        </w:tc>
        <w:tc>
          <w:tcPr>
            <w:tcW w:w="643" w:type="dxa"/>
            <w:tcBorders>
              <w:top w:val="nil"/>
              <w:left w:val="nil"/>
              <w:bottom w:val="single" w:sz="4" w:space="0" w:color="auto"/>
              <w:right w:val="single" w:sz="4" w:space="0" w:color="auto"/>
            </w:tcBorders>
            <w:shd w:val="clear" w:color="000000" w:fill="0033CC"/>
            <w:noWrap/>
            <w:vAlign w:val="bottom"/>
            <w:hideMark/>
          </w:tcPr>
          <w:p w14:paraId="6D0D192E" w14:textId="77777777" w:rsidR="004C5CBE" w:rsidRPr="00247079" w:rsidRDefault="004C5CBE" w:rsidP="004C5CBE">
            <w:pPr>
              <w:jc w:val="center"/>
              <w:rPr>
                <w:rFonts w:ascii="Book Antiqua" w:hAnsi="Book Antiqua" w:cs="Calibri"/>
                <w:b/>
                <w:bCs/>
                <w:color w:val="FFFFFF"/>
                <w:sz w:val="20"/>
                <w:szCs w:val="20"/>
                <w:lang w:eastAsia="es-CR"/>
              </w:rPr>
            </w:pPr>
            <w:r w:rsidRPr="00247079">
              <w:rPr>
                <w:rFonts w:ascii="Book Antiqua" w:hAnsi="Book Antiqua" w:cs="Calibri"/>
                <w:b/>
                <w:bCs/>
                <w:color w:val="FFFFFF"/>
                <w:sz w:val="20"/>
                <w:szCs w:val="20"/>
                <w:lang w:eastAsia="es-CR"/>
              </w:rPr>
              <w:t>A</w:t>
            </w:r>
          </w:p>
        </w:tc>
        <w:tc>
          <w:tcPr>
            <w:tcW w:w="643" w:type="dxa"/>
            <w:tcBorders>
              <w:top w:val="nil"/>
              <w:left w:val="nil"/>
              <w:bottom w:val="single" w:sz="4" w:space="0" w:color="auto"/>
              <w:right w:val="single" w:sz="4" w:space="0" w:color="auto"/>
            </w:tcBorders>
            <w:shd w:val="clear" w:color="000000" w:fill="009900"/>
            <w:noWrap/>
            <w:vAlign w:val="bottom"/>
            <w:hideMark/>
          </w:tcPr>
          <w:p w14:paraId="2A8BEF6D" w14:textId="77777777" w:rsidR="004C5CBE" w:rsidRPr="00247079" w:rsidRDefault="004C5CBE" w:rsidP="004C5CBE">
            <w:pPr>
              <w:jc w:val="center"/>
              <w:rPr>
                <w:rFonts w:ascii="Book Antiqua" w:hAnsi="Book Antiqua" w:cs="Calibri"/>
                <w:b/>
                <w:bCs/>
                <w:color w:val="FFFFFF"/>
                <w:sz w:val="20"/>
                <w:szCs w:val="20"/>
                <w:lang w:eastAsia="es-CR"/>
              </w:rPr>
            </w:pPr>
            <w:r w:rsidRPr="00247079">
              <w:rPr>
                <w:rFonts w:ascii="Book Antiqua" w:hAnsi="Book Antiqua" w:cs="Calibri"/>
                <w:b/>
                <w:bCs/>
                <w:color w:val="FFFFFF"/>
                <w:sz w:val="20"/>
                <w:szCs w:val="20"/>
                <w:lang w:eastAsia="es-CR"/>
              </w:rPr>
              <w:t>B</w:t>
            </w:r>
          </w:p>
        </w:tc>
        <w:tc>
          <w:tcPr>
            <w:tcW w:w="643" w:type="dxa"/>
            <w:tcBorders>
              <w:top w:val="nil"/>
              <w:left w:val="nil"/>
              <w:bottom w:val="single" w:sz="4" w:space="0" w:color="auto"/>
              <w:right w:val="single" w:sz="4" w:space="0" w:color="auto"/>
            </w:tcBorders>
            <w:shd w:val="clear" w:color="000000" w:fill="F8F200"/>
            <w:noWrap/>
            <w:vAlign w:val="bottom"/>
            <w:hideMark/>
          </w:tcPr>
          <w:p w14:paraId="556CE9DC" w14:textId="77777777" w:rsidR="004C5CBE" w:rsidRPr="00247079" w:rsidRDefault="004C5CBE" w:rsidP="004C5CBE">
            <w:pPr>
              <w:jc w:val="center"/>
              <w:rPr>
                <w:rFonts w:ascii="Book Antiqua" w:hAnsi="Book Antiqua" w:cs="Calibri"/>
                <w:b/>
                <w:bCs/>
                <w:color w:val="161616"/>
                <w:sz w:val="20"/>
                <w:szCs w:val="20"/>
                <w:lang w:eastAsia="es-CR"/>
              </w:rPr>
            </w:pPr>
            <w:r w:rsidRPr="00247079">
              <w:rPr>
                <w:rFonts w:ascii="Book Antiqua" w:hAnsi="Book Antiqua" w:cs="Calibri"/>
                <w:b/>
                <w:bCs/>
                <w:color w:val="161616"/>
                <w:sz w:val="20"/>
                <w:szCs w:val="20"/>
                <w:lang w:eastAsia="es-CR"/>
              </w:rPr>
              <w:t>C</w:t>
            </w:r>
          </w:p>
        </w:tc>
        <w:tc>
          <w:tcPr>
            <w:tcW w:w="643" w:type="dxa"/>
            <w:tcBorders>
              <w:top w:val="nil"/>
              <w:left w:val="nil"/>
              <w:bottom w:val="single" w:sz="4" w:space="0" w:color="auto"/>
              <w:right w:val="single" w:sz="4" w:space="0" w:color="auto"/>
            </w:tcBorders>
            <w:shd w:val="clear" w:color="000000" w:fill="FF0000"/>
            <w:noWrap/>
            <w:vAlign w:val="bottom"/>
            <w:hideMark/>
          </w:tcPr>
          <w:p w14:paraId="4E547EC7" w14:textId="77777777" w:rsidR="004C5CBE" w:rsidRPr="00247079" w:rsidRDefault="004C5CBE" w:rsidP="004C5CBE">
            <w:pPr>
              <w:jc w:val="center"/>
              <w:rPr>
                <w:rFonts w:ascii="Book Antiqua" w:hAnsi="Book Antiqua" w:cs="Calibri"/>
                <w:b/>
                <w:bCs/>
                <w:color w:val="FFFFFF"/>
                <w:sz w:val="20"/>
                <w:szCs w:val="20"/>
                <w:lang w:eastAsia="es-CR"/>
              </w:rPr>
            </w:pPr>
            <w:r w:rsidRPr="00247079">
              <w:rPr>
                <w:rFonts w:ascii="Book Antiqua" w:hAnsi="Book Antiqua" w:cs="Calibri"/>
                <w:b/>
                <w:bCs/>
                <w:color w:val="FFFFFF"/>
                <w:sz w:val="20"/>
                <w:szCs w:val="20"/>
                <w:lang w:eastAsia="es-CR"/>
              </w:rPr>
              <w:t>D</w:t>
            </w:r>
          </w:p>
        </w:tc>
        <w:tc>
          <w:tcPr>
            <w:tcW w:w="643" w:type="dxa"/>
            <w:tcBorders>
              <w:top w:val="nil"/>
              <w:left w:val="nil"/>
              <w:bottom w:val="single" w:sz="4" w:space="0" w:color="auto"/>
              <w:right w:val="single" w:sz="4" w:space="0" w:color="auto"/>
            </w:tcBorders>
            <w:shd w:val="clear" w:color="000000" w:fill="FF9900"/>
            <w:noWrap/>
            <w:vAlign w:val="bottom"/>
            <w:hideMark/>
          </w:tcPr>
          <w:p w14:paraId="1A907AAD" w14:textId="77777777" w:rsidR="004C5CBE" w:rsidRPr="00247079" w:rsidRDefault="004C5CBE" w:rsidP="004C5CBE">
            <w:pPr>
              <w:jc w:val="center"/>
              <w:rPr>
                <w:rFonts w:ascii="Book Antiqua" w:hAnsi="Book Antiqua" w:cs="Calibri"/>
                <w:b/>
                <w:bCs/>
                <w:color w:val="FFFFFF"/>
                <w:sz w:val="20"/>
                <w:szCs w:val="20"/>
                <w:lang w:eastAsia="es-CR"/>
              </w:rPr>
            </w:pPr>
            <w:r w:rsidRPr="00247079">
              <w:rPr>
                <w:rFonts w:ascii="Book Antiqua" w:hAnsi="Book Antiqua" w:cs="Calibri"/>
                <w:b/>
                <w:bCs/>
                <w:color w:val="FFFFFF"/>
                <w:sz w:val="20"/>
                <w:szCs w:val="20"/>
                <w:lang w:eastAsia="es-CR"/>
              </w:rPr>
              <w:t>E</w:t>
            </w:r>
          </w:p>
        </w:tc>
        <w:tc>
          <w:tcPr>
            <w:tcW w:w="882" w:type="dxa"/>
            <w:gridSpan w:val="2"/>
            <w:tcBorders>
              <w:top w:val="nil"/>
              <w:left w:val="nil"/>
              <w:bottom w:val="single" w:sz="4" w:space="0" w:color="auto"/>
              <w:right w:val="single" w:sz="4" w:space="0" w:color="auto"/>
            </w:tcBorders>
            <w:shd w:val="clear" w:color="000000" w:fill="F2F2F2"/>
            <w:noWrap/>
            <w:vAlign w:val="center"/>
            <w:hideMark/>
          </w:tcPr>
          <w:p w14:paraId="33BF0548" w14:textId="77777777" w:rsidR="004C5CBE" w:rsidRDefault="004C5CBE" w:rsidP="004C5CBE">
            <w:pPr>
              <w:jc w:val="right"/>
              <w:rPr>
                <w:rFonts w:ascii="Book Antiqua" w:hAnsi="Book Antiqua" w:cs="Calibri"/>
                <w:b/>
                <w:bCs/>
                <w:color w:val="000000"/>
                <w:sz w:val="20"/>
                <w:szCs w:val="20"/>
                <w:lang w:eastAsia="es-CR"/>
              </w:rPr>
            </w:pPr>
          </w:p>
          <w:p w14:paraId="423A6B1B" w14:textId="77777777" w:rsidR="004C5CBE" w:rsidRPr="00247079" w:rsidRDefault="004C5CBE" w:rsidP="004C5CBE">
            <w:pPr>
              <w:jc w:val="right"/>
              <w:rPr>
                <w:rFonts w:ascii="Book Antiqua" w:hAnsi="Book Antiqua" w:cs="Calibri"/>
                <w:b/>
                <w:bCs/>
                <w:color w:val="000000"/>
                <w:sz w:val="20"/>
                <w:szCs w:val="20"/>
                <w:lang w:eastAsia="es-CR"/>
              </w:rPr>
            </w:pPr>
            <w:r w:rsidRPr="00247079">
              <w:rPr>
                <w:rFonts w:ascii="Book Antiqua" w:hAnsi="Book Antiqua" w:cs="Calibri"/>
                <w:b/>
                <w:bCs/>
                <w:color w:val="000000"/>
                <w:sz w:val="20"/>
                <w:szCs w:val="20"/>
                <w:lang w:eastAsia="es-CR"/>
              </w:rPr>
              <w:t>% total</w:t>
            </w:r>
          </w:p>
        </w:tc>
      </w:tr>
      <w:tr w:rsidR="004C5CBE" w:rsidRPr="00C52A3C" w14:paraId="706ED3F1" w14:textId="77777777" w:rsidTr="004C5CBE">
        <w:trPr>
          <w:trHeight w:val="239"/>
          <w:jc w:val="center"/>
        </w:trPr>
        <w:tc>
          <w:tcPr>
            <w:tcW w:w="2268" w:type="dxa"/>
            <w:tcBorders>
              <w:top w:val="nil"/>
              <w:left w:val="nil"/>
              <w:bottom w:val="nil"/>
              <w:right w:val="nil"/>
            </w:tcBorders>
            <w:shd w:val="clear" w:color="auto" w:fill="auto"/>
            <w:noWrap/>
            <w:vAlign w:val="bottom"/>
            <w:hideMark/>
          </w:tcPr>
          <w:p w14:paraId="670D1285" w14:textId="77777777" w:rsidR="004C5CBE" w:rsidRPr="00247079" w:rsidRDefault="004C5CBE" w:rsidP="004C5CBE">
            <w:pPr>
              <w:jc w:val="right"/>
              <w:rPr>
                <w:rFonts w:ascii="Book Antiqua" w:hAnsi="Book Antiqua" w:cs="Calibri"/>
                <w:color w:val="000000"/>
                <w:sz w:val="20"/>
                <w:szCs w:val="20"/>
                <w:lang w:eastAsia="es-CR"/>
              </w:rPr>
            </w:pPr>
            <w:r w:rsidRPr="00247079">
              <w:rPr>
                <w:rFonts w:ascii="Book Antiqua" w:hAnsi="Book Antiqua" w:cs="Calibri"/>
                <w:color w:val="000000"/>
                <w:sz w:val="20"/>
                <w:szCs w:val="20"/>
                <w:lang w:eastAsia="es-CR"/>
              </w:rPr>
              <w:t>Juzgados Penales</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B8C61D0" w14:textId="77777777" w:rsidR="004C5CBE" w:rsidRPr="00247079" w:rsidRDefault="004C5CBE" w:rsidP="004C5CBE">
            <w:pPr>
              <w:jc w:val="center"/>
              <w:rPr>
                <w:rFonts w:ascii="Book Antiqua" w:hAnsi="Book Antiqua" w:cs="Calibri"/>
                <w:color w:val="000000"/>
                <w:sz w:val="20"/>
                <w:szCs w:val="20"/>
                <w:lang w:eastAsia="es-CR"/>
              </w:rPr>
            </w:pPr>
            <w:r w:rsidRPr="00247079">
              <w:rPr>
                <w:rFonts w:ascii="Book Antiqua" w:hAnsi="Book Antiqua" w:cs="Calibri"/>
                <w:color w:val="000000"/>
                <w:sz w:val="20"/>
                <w:szCs w:val="20"/>
                <w:lang w:eastAsia="es-CR"/>
              </w:rPr>
              <w:t>4</w:t>
            </w:r>
          </w:p>
        </w:tc>
        <w:tc>
          <w:tcPr>
            <w:tcW w:w="708" w:type="dxa"/>
            <w:tcBorders>
              <w:top w:val="nil"/>
              <w:left w:val="nil"/>
              <w:bottom w:val="single" w:sz="4" w:space="0" w:color="auto"/>
              <w:right w:val="single" w:sz="4" w:space="0" w:color="auto"/>
            </w:tcBorders>
            <w:shd w:val="clear" w:color="auto" w:fill="auto"/>
            <w:noWrap/>
            <w:vAlign w:val="center"/>
            <w:hideMark/>
          </w:tcPr>
          <w:p w14:paraId="53915F2C" w14:textId="77777777" w:rsidR="004C5CBE" w:rsidRPr="00247079" w:rsidRDefault="004C5CBE" w:rsidP="004C5CBE">
            <w:pPr>
              <w:jc w:val="center"/>
              <w:rPr>
                <w:rFonts w:ascii="Book Antiqua" w:hAnsi="Book Antiqua" w:cs="Calibri"/>
                <w:color w:val="000000"/>
                <w:sz w:val="20"/>
                <w:szCs w:val="20"/>
                <w:lang w:eastAsia="es-CR"/>
              </w:rPr>
            </w:pPr>
            <w:r w:rsidRPr="00247079">
              <w:rPr>
                <w:rFonts w:ascii="Book Antiqua" w:hAnsi="Book Antiqua" w:cs="Calibri"/>
                <w:color w:val="000000"/>
                <w:sz w:val="20"/>
                <w:szCs w:val="20"/>
                <w:lang w:eastAsia="es-CR"/>
              </w:rPr>
              <w:t>14</w:t>
            </w:r>
          </w:p>
        </w:tc>
        <w:tc>
          <w:tcPr>
            <w:tcW w:w="567" w:type="dxa"/>
            <w:tcBorders>
              <w:top w:val="nil"/>
              <w:left w:val="nil"/>
              <w:bottom w:val="single" w:sz="4" w:space="0" w:color="auto"/>
              <w:right w:val="single" w:sz="4" w:space="0" w:color="auto"/>
            </w:tcBorders>
            <w:shd w:val="clear" w:color="auto" w:fill="auto"/>
            <w:noWrap/>
            <w:vAlign w:val="center"/>
            <w:hideMark/>
          </w:tcPr>
          <w:p w14:paraId="0AFD0982" w14:textId="77777777" w:rsidR="004C5CBE" w:rsidRPr="00247079" w:rsidRDefault="004C5CBE" w:rsidP="004C5CBE">
            <w:pPr>
              <w:jc w:val="center"/>
              <w:rPr>
                <w:rFonts w:ascii="Book Antiqua" w:hAnsi="Book Antiqua" w:cs="Calibri"/>
                <w:color w:val="000000"/>
                <w:sz w:val="20"/>
                <w:szCs w:val="20"/>
                <w:lang w:eastAsia="es-CR"/>
              </w:rPr>
            </w:pPr>
            <w:r w:rsidRPr="00247079">
              <w:rPr>
                <w:rFonts w:ascii="Book Antiqua" w:hAnsi="Book Antiqua" w:cs="Calibri"/>
                <w:color w:val="000000"/>
                <w:sz w:val="20"/>
                <w:szCs w:val="20"/>
                <w:lang w:eastAsia="es-CR"/>
              </w:rPr>
              <w:t>10</w:t>
            </w:r>
          </w:p>
        </w:tc>
        <w:tc>
          <w:tcPr>
            <w:tcW w:w="567" w:type="dxa"/>
            <w:tcBorders>
              <w:top w:val="nil"/>
              <w:left w:val="nil"/>
              <w:bottom w:val="single" w:sz="4" w:space="0" w:color="auto"/>
              <w:right w:val="single" w:sz="4" w:space="0" w:color="auto"/>
            </w:tcBorders>
            <w:shd w:val="clear" w:color="auto" w:fill="auto"/>
            <w:noWrap/>
            <w:vAlign w:val="center"/>
            <w:hideMark/>
          </w:tcPr>
          <w:p w14:paraId="286270A2" w14:textId="77777777" w:rsidR="004C5CBE" w:rsidRPr="00247079" w:rsidRDefault="004C5CBE" w:rsidP="004C5CBE">
            <w:pPr>
              <w:jc w:val="center"/>
              <w:rPr>
                <w:rFonts w:ascii="Book Antiqua" w:hAnsi="Book Antiqua" w:cs="Calibri"/>
                <w:color w:val="000000"/>
                <w:sz w:val="20"/>
                <w:szCs w:val="20"/>
                <w:lang w:eastAsia="es-CR"/>
              </w:rPr>
            </w:pPr>
            <w:r w:rsidRPr="00247079">
              <w:rPr>
                <w:rFonts w:ascii="Book Antiqua" w:hAnsi="Book Antiqua" w:cs="Calibri"/>
                <w:color w:val="000000"/>
                <w:sz w:val="20"/>
                <w:szCs w:val="20"/>
                <w:lang w:eastAsia="es-CR"/>
              </w:rPr>
              <w:t>6</w:t>
            </w:r>
          </w:p>
        </w:tc>
        <w:tc>
          <w:tcPr>
            <w:tcW w:w="715" w:type="dxa"/>
            <w:tcBorders>
              <w:top w:val="nil"/>
              <w:left w:val="nil"/>
              <w:bottom w:val="single" w:sz="4" w:space="0" w:color="auto"/>
              <w:right w:val="single" w:sz="4" w:space="0" w:color="auto"/>
            </w:tcBorders>
            <w:shd w:val="clear" w:color="auto" w:fill="auto"/>
            <w:noWrap/>
            <w:vAlign w:val="center"/>
            <w:hideMark/>
          </w:tcPr>
          <w:p w14:paraId="6387B75D" w14:textId="77777777" w:rsidR="004C5CBE" w:rsidRPr="00247079" w:rsidRDefault="004C5CBE" w:rsidP="004C5CBE">
            <w:pPr>
              <w:jc w:val="center"/>
              <w:rPr>
                <w:rFonts w:ascii="Book Antiqua" w:hAnsi="Book Antiqua" w:cs="Calibri"/>
                <w:color w:val="000000"/>
                <w:sz w:val="20"/>
                <w:szCs w:val="20"/>
                <w:lang w:eastAsia="es-CR"/>
              </w:rPr>
            </w:pPr>
            <w:r w:rsidRPr="00247079">
              <w:rPr>
                <w:rFonts w:ascii="Book Antiqua" w:hAnsi="Book Antiqua" w:cs="Calibri"/>
                <w:color w:val="000000"/>
                <w:sz w:val="20"/>
                <w:szCs w:val="20"/>
                <w:lang w:eastAsia="es-CR"/>
              </w:rPr>
              <w:t>5</w:t>
            </w:r>
          </w:p>
        </w:tc>
        <w:tc>
          <w:tcPr>
            <w:tcW w:w="717" w:type="dxa"/>
            <w:tcBorders>
              <w:top w:val="nil"/>
              <w:left w:val="nil"/>
              <w:bottom w:val="single" w:sz="4" w:space="0" w:color="auto"/>
              <w:right w:val="single" w:sz="4" w:space="0" w:color="auto"/>
            </w:tcBorders>
            <w:shd w:val="clear" w:color="auto" w:fill="auto"/>
            <w:noWrap/>
            <w:vAlign w:val="center"/>
            <w:hideMark/>
          </w:tcPr>
          <w:p w14:paraId="689253AF" w14:textId="77777777" w:rsidR="004C5CBE" w:rsidRPr="00247079" w:rsidRDefault="004C5CBE" w:rsidP="004C5CBE">
            <w:pPr>
              <w:jc w:val="center"/>
              <w:rPr>
                <w:rFonts w:ascii="Book Antiqua" w:hAnsi="Book Antiqua" w:cs="Calibri"/>
                <w:b/>
                <w:bCs/>
                <w:color w:val="000000"/>
                <w:sz w:val="20"/>
                <w:szCs w:val="20"/>
                <w:lang w:eastAsia="es-CR"/>
              </w:rPr>
            </w:pPr>
            <w:r w:rsidRPr="00247079">
              <w:rPr>
                <w:rFonts w:ascii="Book Antiqua" w:hAnsi="Book Antiqua" w:cs="Calibri"/>
                <w:b/>
                <w:bCs/>
                <w:color w:val="000000"/>
                <w:sz w:val="20"/>
                <w:szCs w:val="20"/>
                <w:lang w:eastAsia="es-CR"/>
              </w:rPr>
              <w:t>39</w:t>
            </w:r>
          </w:p>
        </w:tc>
        <w:tc>
          <w:tcPr>
            <w:tcW w:w="643" w:type="dxa"/>
            <w:tcBorders>
              <w:top w:val="nil"/>
              <w:left w:val="nil"/>
              <w:bottom w:val="single" w:sz="4" w:space="0" w:color="auto"/>
              <w:right w:val="single" w:sz="4" w:space="0" w:color="auto"/>
            </w:tcBorders>
            <w:shd w:val="clear" w:color="auto" w:fill="auto"/>
            <w:noWrap/>
            <w:vAlign w:val="center"/>
            <w:hideMark/>
          </w:tcPr>
          <w:p w14:paraId="50A145CD" w14:textId="77777777" w:rsidR="004C5CBE" w:rsidRPr="00247079" w:rsidRDefault="004C5CBE" w:rsidP="004C5CBE">
            <w:pPr>
              <w:jc w:val="center"/>
              <w:rPr>
                <w:rFonts w:ascii="Book Antiqua" w:hAnsi="Book Antiqua" w:cs="Calibri"/>
                <w:sz w:val="20"/>
                <w:szCs w:val="20"/>
                <w:lang w:eastAsia="es-CR"/>
              </w:rPr>
            </w:pPr>
            <w:r w:rsidRPr="00247079">
              <w:rPr>
                <w:rFonts w:ascii="Book Antiqua" w:hAnsi="Book Antiqua" w:cs="Calibri"/>
                <w:sz w:val="20"/>
                <w:szCs w:val="20"/>
                <w:lang w:eastAsia="es-CR"/>
              </w:rPr>
              <w:t>10 %</w:t>
            </w:r>
          </w:p>
        </w:tc>
        <w:tc>
          <w:tcPr>
            <w:tcW w:w="643" w:type="dxa"/>
            <w:tcBorders>
              <w:top w:val="nil"/>
              <w:left w:val="nil"/>
              <w:bottom w:val="single" w:sz="4" w:space="0" w:color="auto"/>
              <w:right w:val="single" w:sz="4" w:space="0" w:color="auto"/>
            </w:tcBorders>
            <w:shd w:val="clear" w:color="auto" w:fill="auto"/>
            <w:noWrap/>
            <w:vAlign w:val="center"/>
            <w:hideMark/>
          </w:tcPr>
          <w:p w14:paraId="55FFB285" w14:textId="77777777" w:rsidR="004C5CBE" w:rsidRPr="00247079" w:rsidRDefault="004C5CBE" w:rsidP="004C5CBE">
            <w:pPr>
              <w:jc w:val="center"/>
              <w:rPr>
                <w:rFonts w:ascii="Book Antiqua" w:hAnsi="Book Antiqua" w:cs="Calibri"/>
                <w:sz w:val="20"/>
                <w:szCs w:val="20"/>
                <w:lang w:eastAsia="es-CR"/>
              </w:rPr>
            </w:pPr>
            <w:r w:rsidRPr="00247079">
              <w:rPr>
                <w:rFonts w:ascii="Book Antiqua" w:hAnsi="Book Antiqua" w:cs="Calibri"/>
                <w:sz w:val="20"/>
                <w:szCs w:val="20"/>
                <w:lang w:eastAsia="es-CR"/>
              </w:rPr>
              <w:t>36 %</w:t>
            </w:r>
          </w:p>
        </w:tc>
        <w:tc>
          <w:tcPr>
            <w:tcW w:w="643" w:type="dxa"/>
            <w:tcBorders>
              <w:top w:val="nil"/>
              <w:left w:val="nil"/>
              <w:bottom w:val="single" w:sz="4" w:space="0" w:color="auto"/>
              <w:right w:val="single" w:sz="4" w:space="0" w:color="auto"/>
            </w:tcBorders>
            <w:shd w:val="clear" w:color="auto" w:fill="auto"/>
            <w:noWrap/>
            <w:vAlign w:val="center"/>
            <w:hideMark/>
          </w:tcPr>
          <w:p w14:paraId="4D708B7B" w14:textId="77777777" w:rsidR="004C5CBE" w:rsidRPr="00247079" w:rsidRDefault="004C5CBE" w:rsidP="004C5CBE">
            <w:pPr>
              <w:jc w:val="center"/>
              <w:rPr>
                <w:rFonts w:ascii="Book Antiqua" w:hAnsi="Book Antiqua" w:cs="Calibri"/>
                <w:sz w:val="20"/>
                <w:szCs w:val="20"/>
                <w:lang w:eastAsia="es-CR"/>
              </w:rPr>
            </w:pPr>
            <w:r w:rsidRPr="00247079">
              <w:rPr>
                <w:rFonts w:ascii="Book Antiqua" w:hAnsi="Book Antiqua" w:cs="Calibri"/>
                <w:sz w:val="20"/>
                <w:szCs w:val="20"/>
                <w:lang w:eastAsia="es-CR"/>
              </w:rPr>
              <w:t>26 %</w:t>
            </w:r>
          </w:p>
        </w:tc>
        <w:tc>
          <w:tcPr>
            <w:tcW w:w="643" w:type="dxa"/>
            <w:tcBorders>
              <w:top w:val="nil"/>
              <w:left w:val="nil"/>
              <w:bottom w:val="single" w:sz="4" w:space="0" w:color="auto"/>
              <w:right w:val="single" w:sz="4" w:space="0" w:color="auto"/>
            </w:tcBorders>
            <w:shd w:val="clear" w:color="auto" w:fill="auto"/>
            <w:noWrap/>
            <w:vAlign w:val="center"/>
            <w:hideMark/>
          </w:tcPr>
          <w:p w14:paraId="71A3CE7D" w14:textId="77777777" w:rsidR="004C5CBE" w:rsidRPr="00247079" w:rsidRDefault="004C5CBE" w:rsidP="004C5CBE">
            <w:pPr>
              <w:jc w:val="center"/>
              <w:rPr>
                <w:rFonts w:ascii="Book Antiqua" w:hAnsi="Book Antiqua" w:cs="Calibri"/>
                <w:sz w:val="20"/>
                <w:szCs w:val="20"/>
                <w:lang w:eastAsia="es-CR"/>
              </w:rPr>
            </w:pPr>
            <w:r w:rsidRPr="00247079">
              <w:rPr>
                <w:rFonts w:ascii="Book Antiqua" w:hAnsi="Book Antiqua" w:cs="Calibri"/>
                <w:sz w:val="20"/>
                <w:szCs w:val="20"/>
                <w:lang w:eastAsia="es-CR"/>
              </w:rPr>
              <w:t>15 %</w:t>
            </w:r>
          </w:p>
        </w:tc>
        <w:tc>
          <w:tcPr>
            <w:tcW w:w="643" w:type="dxa"/>
            <w:tcBorders>
              <w:top w:val="nil"/>
              <w:left w:val="nil"/>
              <w:bottom w:val="single" w:sz="4" w:space="0" w:color="auto"/>
              <w:right w:val="single" w:sz="4" w:space="0" w:color="auto"/>
            </w:tcBorders>
            <w:shd w:val="clear" w:color="auto" w:fill="auto"/>
            <w:noWrap/>
            <w:vAlign w:val="center"/>
            <w:hideMark/>
          </w:tcPr>
          <w:p w14:paraId="34358553" w14:textId="77777777" w:rsidR="004C5CBE" w:rsidRPr="00247079" w:rsidRDefault="004C5CBE" w:rsidP="004C5CBE">
            <w:pPr>
              <w:jc w:val="center"/>
              <w:rPr>
                <w:rFonts w:ascii="Book Antiqua" w:hAnsi="Book Antiqua" w:cs="Calibri"/>
                <w:sz w:val="20"/>
                <w:szCs w:val="20"/>
                <w:lang w:eastAsia="es-CR"/>
              </w:rPr>
            </w:pPr>
            <w:r w:rsidRPr="00247079">
              <w:rPr>
                <w:rFonts w:ascii="Book Antiqua" w:hAnsi="Book Antiqua" w:cs="Calibri"/>
                <w:sz w:val="20"/>
                <w:szCs w:val="20"/>
                <w:lang w:eastAsia="es-CR"/>
              </w:rPr>
              <w:t>13 %</w:t>
            </w:r>
          </w:p>
        </w:tc>
        <w:tc>
          <w:tcPr>
            <w:tcW w:w="882" w:type="dxa"/>
            <w:gridSpan w:val="2"/>
            <w:tcBorders>
              <w:top w:val="nil"/>
              <w:left w:val="nil"/>
              <w:bottom w:val="single" w:sz="4" w:space="0" w:color="auto"/>
              <w:right w:val="single" w:sz="4" w:space="0" w:color="auto"/>
            </w:tcBorders>
            <w:shd w:val="clear" w:color="auto" w:fill="auto"/>
            <w:noWrap/>
            <w:vAlign w:val="center"/>
            <w:hideMark/>
          </w:tcPr>
          <w:p w14:paraId="04489AFF" w14:textId="77777777" w:rsidR="004C5CBE" w:rsidRPr="00247079" w:rsidRDefault="004C5CBE" w:rsidP="004C5CBE">
            <w:pPr>
              <w:jc w:val="center"/>
              <w:rPr>
                <w:rFonts w:ascii="Book Antiqua" w:hAnsi="Book Antiqua" w:cs="Calibri"/>
                <w:b/>
                <w:bCs/>
                <w:sz w:val="20"/>
                <w:szCs w:val="20"/>
                <w:lang w:eastAsia="es-CR"/>
              </w:rPr>
            </w:pPr>
            <w:r w:rsidRPr="00247079">
              <w:rPr>
                <w:rFonts w:ascii="Book Antiqua" w:hAnsi="Book Antiqua" w:cs="Calibri"/>
                <w:b/>
                <w:bCs/>
                <w:sz w:val="20"/>
                <w:szCs w:val="20"/>
                <w:lang w:eastAsia="es-CR"/>
              </w:rPr>
              <w:t>100 %</w:t>
            </w:r>
          </w:p>
        </w:tc>
      </w:tr>
      <w:tr w:rsidR="004C5CBE" w:rsidRPr="00C52A3C" w14:paraId="49B70308" w14:textId="77777777" w:rsidTr="004C5CBE">
        <w:trPr>
          <w:trHeight w:val="239"/>
          <w:jc w:val="center"/>
        </w:trPr>
        <w:tc>
          <w:tcPr>
            <w:tcW w:w="2268" w:type="dxa"/>
            <w:tcBorders>
              <w:top w:val="nil"/>
              <w:left w:val="nil"/>
              <w:bottom w:val="nil"/>
              <w:right w:val="nil"/>
            </w:tcBorders>
            <w:shd w:val="clear" w:color="auto" w:fill="auto"/>
            <w:noWrap/>
            <w:vAlign w:val="center"/>
            <w:hideMark/>
          </w:tcPr>
          <w:p w14:paraId="66C5C44D" w14:textId="77777777" w:rsidR="004C5CBE" w:rsidRPr="00247079" w:rsidRDefault="004C5CBE" w:rsidP="004C5CBE">
            <w:pPr>
              <w:jc w:val="right"/>
              <w:rPr>
                <w:rFonts w:ascii="Book Antiqua" w:hAnsi="Book Antiqua" w:cs="Calibri"/>
                <w:color w:val="000000"/>
                <w:sz w:val="20"/>
                <w:szCs w:val="20"/>
                <w:lang w:eastAsia="es-CR"/>
              </w:rPr>
            </w:pPr>
            <w:r w:rsidRPr="00247079">
              <w:rPr>
                <w:rFonts w:ascii="Book Antiqua" w:hAnsi="Book Antiqua" w:cs="Calibri"/>
                <w:color w:val="000000"/>
                <w:sz w:val="20"/>
                <w:szCs w:val="20"/>
                <w:lang w:eastAsia="es-CR"/>
              </w:rPr>
              <w:t>Tribunales de Juicio</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C08B2A3" w14:textId="77777777" w:rsidR="004C5CBE" w:rsidRPr="00247079" w:rsidRDefault="004C5CBE" w:rsidP="004C5CBE">
            <w:pPr>
              <w:jc w:val="center"/>
              <w:rPr>
                <w:rFonts w:ascii="Book Antiqua" w:hAnsi="Book Antiqua" w:cs="Calibri"/>
                <w:color w:val="000000"/>
                <w:sz w:val="20"/>
                <w:szCs w:val="20"/>
                <w:lang w:eastAsia="es-CR"/>
              </w:rPr>
            </w:pPr>
            <w:r w:rsidRPr="00247079">
              <w:rPr>
                <w:rFonts w:ascii="Book Antiqua" w:hAnsi="Book Antiqua" w:cs="Calibri"/>
                <w:color w:val="000000"/>
                <w:sz w:val="20"/>
                <w:szCs w:val="20"/>
                <w:lang w:eastAsia="es-CR"/>
              </w:rPr>
              <w:t>1</w:t>
            </w:r>
          </w:p>
        </w:tc>
        <w:tc>
          <w:tcPr>
            <w:tcW w:w="708" w:type="dxa"/>
            <w:tcBorders>
              <w:top w:val="nil"/>
              <w:left w:val="nil"/>
              <w:bottom w:val="single" w:sz="4" w:space="0" w:color="auto"/>
              <w:right w:val="single" w:sz="4" w:space="0" w:color="auto"/>
            </w:tcBorders>
            <w:shd w:val="clear" w:color="auto" w:fill="auto"/>
            <w:noWrap/>
            <w:vAlign w:val="center"/>
            <w:hideMark/>
          </w:tcPr>
          <w:p w14:paraId="04B9E9F1" w14:textId="77777777" w:rsidR="004C5CBE" w:rsidRPr="00247079" w:rsidRDefault="004C5CBE" w:rsidP="004C5CBE">
            <w:pPr>
              <w:jc w:val="center"/>
              <w:rPr>
                <w:rFonts w:ascii="Book Antiqua" w:hAnsi="Book Antiqua" w:cs="Calibri"/>
                <w:color w:val="000000"/>
                <w:sz w:val="20"/>
                <w:szCs w:val="20"/>
                <w:lang w:eastAsia="es-CR"/>
              </w:rPr>
            </w:pPr>
            <w:r w:rsidRPr="00247079">
              <w:rPr>
                <w:rFonts w:ascii="Book Antiqua" w:hAnsi="Book Antiqua" w:cs="Calibri"/>
                <w:color w:val="000000"/>
                <w:sz w:val="20"/>
                <w:szCs w:val="20"/>
                <w:lang w:eastAsia="es-CR"/>
              </w:rPr>
              <w:t>3</w:t>
            </w:r>
          </w:p>
        </w:tc>
        <w:tc>
          <w:tcPr>
            <w:tcW w:w="567" w:type="dxa"/>
            <w:tcBorders>
              <w:top w:val="nil"/>
              <w:left w:val="nil"/>
              <w:bottom w:val="single" w:sz="4" w:space="0" w:color="auto"/>
              <w:right w:val="single" w:sz="4" w:space="0" w:color="auto"/>
            </w:tcBorders>
            <w:shd w:val="clear" w:color="auto" w:fill="auto"/>
            <w:noWrap/>
            <w:vAlign w:val="center"/>
            <w:hideMark/>
          </w:tcPr>
          <w:p w14:paraId="6B50640B" w14:textId="77777777" w:rsidR="004C5CBE" w:rsidRPr="00247079" w:rsidRDefault="004C5CBE" w:rsidP="004C5CBE">
            <w:pPr>
              <w:jc w:val="center"/>
              <w:rPr>
                <w:rFonts w:ascii="Book Antiqua" w:hAnsi="Book Antiqua" w:cs="Calibri"/>
                <w:color w:val="000000"/>
                <w:sz w:val="20"/>
                <w:szCs w:val="20"/>
                <w:lang w:eastAsia="es-CR"/>
              </w:rPr>
            </w:pPr>
            <w:r w:rsidRPr="00247079">
              <w:rPr>
                <w:rFonts w:ascii="Book Antiqua" w:hAnsi="Book Antiqua" w:cs="Calibri"/>
                <w:color w:val="000000"/>
                <w:sz w:val="20"/>
                <w:szCs w:val="20"/>
                <w:lang w:eastAsia="es-CR"/>
              </w:rPr>
              <w:t>7</w:t>
            </w:r>
          </w:p>
        </w:tc>
        <w:tc>
          <w:tcPr>
            <w:tcW w:w="567" w:type="dxa"/>
            <w:tcBorders>
              <w:top w:val="nil"/>
              <w:left w:val="nil"/>
              <w:bottom w:val="single" w:sz="4" w:space="0" w:color="auto"/>
              <w:right w:val="single" w:sz="4" w:space="0" w:color="auto"/>
            </w:tcBorders>
            <w:shd w:val="clear" w:color="auto" w:fill="auto"/>
            <w:noWrap/>
            <w:vAlign w:val="center"/>
            <w:hideMark/>
          </w:tcPr>
          <w:p w14:paraId="061ADB42" w14:textId="77777777" w:rsidR="004C5CBE" w:rsidRPr="00247079" w:rsidRDefault="004C5CBE" w:rsidP="004C5CBE">
            <w:pPr>
              <w:jc w:val="center"/>
              <w:rPr>
                <w:rFonts w:ascii="Book Antiqua" w:hAnsi="Book Antiqua" w:cs="Calibri"/>
                <w:color w:val="000000"/>
                <w:sz w:val="20"/>
                <w:szCs w:val="20"/>
                <w:lang w:eastAsia="es-CR"/>
              </w:rPr>
            </w:pPr>
            <w:r w:rsidRPr="00247079">
              <w:rPr>
                <w:rFonts w:ascii="Book Antiqua" w:hAnsi="Book Antiqua" w:cs="Calibri"/>
                <w:color w:val="000000"/>
                <w:sz w:val="20"/>
                <w:szCs w:val="20"/>
                <w:lang w:eastAsia="es-CR"/>
              </w:rPr>
              <w:t>8</w:t>
            </w:r>
          </w:p>
        </w:tc>
        <w:tc>
          <w:tcPr>
            <w:tcW w:w="715" w:type="dxa"/>
            <w:tcBorders>
              <w:top w:val="nil"/>
              <w:left w:val="nil"/>
              <w:bottom w:val="single" w:sz="4" w:space="0" w:color="auto"/>
              <w:right w:val="single" w:sz="4" w:space="0" w:color="auto"/>
            </w:tcBorders>
            <w:shd w:val="clear" w:color="auto" w:fill="auto"/>
            <w:noWrap/>
            <w:vAlign w:val="center"/>
            <w:hideMark/>
          </w:tcPr>
          <w:p w14:paraId="4F5A1DC3" w14:textId="77777777" w:rsidR="004C5CBE" w:rsidRPr="00247079" w:rsidRDefault="004C5CBE" w:rsidP="004C5CBE">
            <w:pPr>
              <w:jc w:val="center"/>
              <w:rPr>
                <w:rFonts w:ascii="Book Antiqua" w:hAnsi="Book Antiqua" w:cs="Calibri"/>
                <w:color w:val="000000"/>
                <w:sz w:val="20"/>
                <w:szCs w:val="20"/>
                <w:lang w:eastAsia="es-CR"/>
              </w:rPr>
            </w:pPr>
            <w:r w:rsidRPr="00247079">
              <w:rPr>
                <w:rFonts w:ascii="Book Antiqua" w:hAnsi="Book Antiqua" w:cs="Calibri"/>
                <w:color w:val="000000"/>
                <w:sz w:val="20"/>
                <w:szCs w:val="20"/>
                <w:lang w:eastAsia="es-CR"/>
              </w:rPr>
              <w:t>6</w:t>
            </w:r>
          </w:p>
        </w:tc>
        <w:tc>
          <w:tcPr>
            <w:tcW w:w="717" w:type="dxa"/>
            <w:tcBorders>
              <w:top w:val="nil"/>
              <w:left w:val="nil"/>
              <w:bottom w:val="single" w:sz="4" w:space="0" w:color="auto"/>
              <w:right w:val="single" w:sz="4" w:space="0" w:color="auto"/>
            </w:tcBorders>
            <w:shd w:val="clear" w:color="auto" w:fill="auto"/>
            <w:noWrap/>
            <w:vAlign w:val="center"/>
            <w:hideMark/>
          </w:tcPr>
          <w:p w14:paraId="4F3490D0" w14:textId="77777777" w:rsidR="004C5CBE" w:rsidRPr="00247079" w:rsidRDefault="004C5CBE" w:rsidP="004C5CBE">
            <w:pPr>
              <w:jc w:val="center"/>
              <w:rPr>
                <w:rFonts w:ascii="Book Antiqua" w:hAnsi="Book Antiqua" w:cs="Calibri"/>
                <w:b/>
                <w:bCs/>
                <w:color w:val="000000"/>
                <w:sz w:val="20"/>
                <w:szCs w:val="20"/>
                <w:lang w:eastAsia="es-CR"/>
              </w:rPr>
            </w:pPr>
            <w:r w:rsidRPr="00247079">
              <w:rPr>
                <w:rFonts w:ascii="Book Antiqua" w:hAnsi="Book Antiqua" w:cs="Calibri"/>
                <w:b/>
                <w:bCs/>
                <w:color w:val="000000"/>
                <w:sz w:val="20"/>
                <w:szCs w:val="20"/>
                <w:lang w:eastAsia="es-CR"/>
              </w:rPr>
              <w:t>25</w:t>
            </w:r>
          </w:p>
        </w:tc>
        <w:tc>
          <w:tcPr>
            <w:tcW w:w="643" w:type="dxa"/>
            <w:tcBorders>
              <w:top w:val="nil"/>
              <w:left w:val="nil"/>
              <w:bottom w:val="single" w:sz="4" w:space="0" w:color="auto"/>
              <w:right w:val="single" w:sz="4" w:space="0" w:color="auto"/>
            </w:tcBorders>
            <w:shd w:val="clear" w:color="auto" w:fill="auto"/>
            <w:noWrap/>
            <w:vAlign w:val="center"/>
            <w:hideMark/>
          </w:tcPr>
          <w:p w14:paraId="2EA466A3" w14:textId="77777777" w:rsidR="004C5CBE" w:rsidRPr="00247079" w:rsidRDefault="004C5CBE" w:rsidP="004C5CBE">
            <w:pPr>
              <w:jc w:val="center"/>
              <w:rPr>
                <w:rFonts w:ascii="Book Antiqua" w:hAnsi="Book Antiqua" w:cs="Calibri"/>
                <w:sz w:val="20"/>
                <w:szCs w:val="20"/>
                <w:lang w:eastAsia="es-CR"/>
              </w:rPr>
            </w:pPr>
            <w:r w:rsidRPr="00247079">
              <w:rPr>
                <w:rFonts w:ascii="Book Antiqua" w:hAnsi="Book Antiqua" w:cs="Calibri"/>
                <w:sz w:val="20"/>
                <w:szCs w:val="20"/>
                <w:lang w:eastAsia="es-CR"/>
              </w:rPr>
              <w:t>4 %</w:t>
            </w:r>
          </w:p>
        </w:tc>
        <w:tc>
          <w:tcPr>
            <w:tcW w:w="643" w:type="dxa"/>
            <w:tcBorders>
              <w:top w:val="nil"/>
              <w:left w:val="nil"/>
              <w:bottom w:val="single" w:sz="4" w:space="0" w:color="auto"/>
              <w:right w:val="single" w:sz="4" w:space="0" w:color="auto"/>
            </w:tcBorders>
            <w:shd w:val="clear" w:color="auto" w:fill="auto"/>
            <w:noWrap/>
            <w:vAlign w:val="center"/>
            <w:hideMark/>
          </w:tcPr>
          <w:p w14:paraId="74024458" w14:textId="77777777" w:rsidR="004C5CBE" w:rsidRPr="00247079" w:rsidRDefault="004C5CBE" w:rsidP="004C5CBE">
            <w:pPr>
              <w:jc w:val="center"/>
              <w:rPr>
                <w:rFonts w:ascii="Book Antiqua" w:hAnsi="Book Antiqua" w:cs="Calibri"/>
                <w:sz w:val="20"/>
                <w:szCs w:val="20"/>
                <w:lang w:eastAsia="es-CR"/>
              </w:rPr>
            </w:pPr>
            <w:r w:rsidRPr="00247079">
              <w:rPr>
                <w:rFonts w:ascii="Book Antiqua" w:hAnsi="Book Antiqua" w:cs="Calibri"/>
                <w:sz w:val="20"/>
                <w:szCs w:val="20"/>
                <w:lang w:eastAsia="es-CR"/>
              </w:rPr>
              <w:t>12 %</w:t>
            </w:r>
          </w:p>
        </w:tc>
        <w:tc>
          <w:tcPr>
            <w:tcW w:w="643" w:type="dxa"/>
            <w:tcBorders>
              <w:top w:val="nil"/>
              <w:left w:val="nil"/>
              <w:bottom w:val="single" w:sz="4" w:space="0" w:color="auto"/>
              <w:right w:val="single" w:sz="4" w:space="0" w:color="auto"/>
            </w:tcBorders>
            <w:shd w:val="clear" w:color="auto" w:fill="auto"/>
            <w:noWrap/>
            <w:vAlign w:val="center"/>
            <w:hideMark/>
          </w:tcPr>
          <w:p w14:paraId="1604C89A" w14:textId="77777777" w:rsidR="004C5CBE" w:rsidRPr="00247079" w:rsidRDefault="004C5CBE" w:rsidP="004C5CBE">
            <w:pPr>
              <w:jc w:val="center"/>
              <w:rPr>
                <w:rFonts w:ascii="Book Antiqua" w:hAnsi="Book Antiqua" w:cs="Calibri"/>
                <w:sz w:val="20"/>
                <w:szCs w:val="20"/>
                <w:lang w:eastAsia="es-CR"/>
              </w:rPr>
            </w:pPr>
            <w:r w:rsidRPr="00247079">
              <w:rPr>
                <w:rFonts w:ascii="Book Antiqua" w:hAnsi="Book Antiqua" w:cs="Calibri"/>
                <w:sz w:val="20"/>
                <w:szCs w:val="20"/>
                <w:lang w:eastAsia="es-CR"/>
              </w:rPr>
              <w:t>28 %</w:t>
            </w:r>
          </w:p>
        </w:tc>
        <w:tc>
          <w:tcPr>
            <w:tcW w:w="643" w:type="dxa"/>
            <w:tcBorders>
              <w:top w:val="nil"/>
              <w:left w:val="nil"/>
              <w:bottom w:val="single" w:sz="4" w:space="0" w:color="auto"/>
              <w:right w:val="single" w:sz="4" w:space="0" w:color="auto"/>
            </w:tcBorders>
            <w:shd w:val="clear" w:color="auto" w:fill="auto"/>
            <w:noWrap/>
            <w:vAlign w:val="center"/>
            <w:hideMark/>
          </w:tcPr>
          <w:p w14:paraId="50906D53" w14:textId="77777777" w:rsidR="004C5CBE" w:rsidRPr="00247079" w:rsidRDefault="004C5CBE" w:rsidP="004C5CBE">
            <w:pPr>
              <w:jc w:val="center"/>
              <w:rPr>
                <w:rFonts w:ascii="Book Antiqua" w:hAnsi="Book Antiqua" w:cs="Calibri"/>
                <w:sz w:val="20"/>
                <w:szCs w:val="20"/>
                <w:lang w:eastAsia="es-CR"/>
              </w:rPr>
            </w:pPr>
            <w:r w:rsidRPr="00247079">
              <w:rPr>
                <w:rFonts w:ascii="Book Antiqua" w:hAnsi="Book Antiqua" w:cs="Calibri"/>
                <w:sz w:val="20"/>
                <w:szCs w:val="20"/>
                <w:lang w:eastAsia="es-CR"/>
              </w:rPr>
              <w:t>32 %</w:t>
            </w:r>
          </w:p>
        </w:tc>
        <w:tc>
          <w:tcPr>
            <w:tcW w:w="643" w:type="dxa"/>
            <w:tcBorders>
              <w:top w:val="nil"/>
              <w:left w:val="nil"/>
              <w:bottom w:val="single" w:sz="4" w:space="0" w:color="auto"/>
              <w:right w:val="single" w:sz="4" w:space="0" w:color="auto"/>
            </w:tcBorders>
            <w:shd w:val="clear" w:color="auto" w:fill="auto"/>
            <w:noWrap/>
            <w:vAlign w:val="center"/>
            <w:hideMark/>
          </w:tcPr>
          <w:p w14:paraId="4FBED787" w14:textId="77777777" w:rsidR="004C5CBE" w:rsidRPr="00247079" w:rsidRDefault="004C5CBE" w:rsidP="004C5CBE">
            <w:pPr>
              <w:jc w:val="center"/>
              <w:rPr>
                <w:rFonts w:ascii="Book Antiqua" w:hAnsi="Book Antiqua" w:cs="Calibri"/>
                <w:sz w:val="20"/>
                <w:szCs w:val="20"/>
                <w:lang w:eastAsia="es-CR"/>
              </w:rPr>
            </w:pPr>
            <w:r w:rsidRPr="00247079">
              <w:rPr>
                <w:rFonts w:ascii="Book Antiqua" w:hAnsi="Book Antiqua" w:cs="Calibri"/>
                <w:sz w:val="20"/>
                <w:szCs w:val="20"/>
                <w:lang w:eastAsia="es-CR"/>
              </w:rPr>
              <w:t>24 %</w:t>
            </w:r>
          </w:p>
        </w:tc>
        <w:tc>
          <w:tcPr>
            <w:tcW w:w="882" w:type="dxa"/>
            <w:gridSpan w:val="2"/>
            <w:tcBorders>
              <w:top w:val="nil"/>
              <w:left w:val="nil"/>
              <w:bottom w:val="single" w:sz="4" w:space="0" w:color="auto"/>
              <w:right w:val="single" w:sz="4" w:space="0" w:color="auto"/>
            </w:tcBorders>
            <w:shd w:val="clear" w:color="auto" w:fill="auto"/>
            <w:noWrap/>
            <w:vAlign w:val="center"/>
            <w:hideMark/>
          </w:tcPr>
          <w:p w14:paraId="675F2FBB" w14:textId="77777777" w:rsidR="004C5CBE" w:rsidRPr="00247079" w:rsidRDefault="004C5CBE" w:rsidP="004C5CBE">
            <w:pPr>
              <w:jc w:val="center"/>
              <w:rPr>
                <w:rFonts w:ascii="Book Antiqua" w:hAnsi="Book Antiqua" w:cs="Calibri"/>
                <w:b/>
                <w:bCs/>
                <w:sz w:val="20"/>
                <w:szCs w:val="20"/>
                <w:lang w:eastAsia="es-CR"/>
              </w:rPr>
            </w:pPr>
            <w:r w:rsidRPr="00247079">
              <w:rPr>
                <w:rFonts w:ascii="Book Antiqua" w:hAnsi="Book Antiqua" w:cs="Calibri"/>
                <w:b/>
                <w:bCs/>
                <w:sz w:val="20"/>
                <w:szCs w:val="20"/>
                <w:lang w:eastAsia="es-CR"/>
              </w:rPr>
              <w:t>100 %</w:t>
            </w:r>
          </w:p>
        </w:tc>
      </w:tr>
      <w:tr w:rsidR="004C5CBE" w:rsidRPr="00C52A3C" w14:paraId="014FEF78" w14:textId="77777777" w:rsidTr="004C5CBE">
        <w:trPr>
          <w:trHeight w:val="239"/>
          <w:jc w:val="center"/>
        </w:trPr>
        <w:tc>
          <w:tcPr>
            <w:tcW w:w="2268" w:type="dxa"/>
            <w:tcBorders>
              <w:top w:val="nil"/>
              <w:left w:val="nil"/>
              <w:bottom w:val="nil"/>
              <w:right w:val="nil"/>
            </w:tcBorders>
            <w:shd w:val="clear" w:color="auto" w:fill="auto"/>
            <w:noWrap/>
            <w:vAlign w:val="center"/>
            <w:hideMark/>
          </w:tcPr>
          <w:p w14:paraId="0CFC2B8B" w14:textId="77777777" w:rsidR="004C5CBE" w:rsidRPr="00247079" w:rsidRDefault="004C5CBE" w:rsidP="004C5CBE">
            <w:pPr>
              <w:jc w:val="right"/>
              <w:rPr>
                <w:rFonts w:ascii="Book Antiqua" w:hAnsi="Book Antiqua" w:cs="Calibri"/>
                <w:color w:val="000000"/>
                <w:sz w:val="20"/>
                <w:szCs w:val="20"/>
                <w:lang w:eastAsia="es-CR"/>
              </w:rPr>
            </w:pPr>
            <w:r w:rsidRPr="00247079">
              <w:rPr>
                <w:rFonts w:ascii="Book Antiqua" w:hAnsi="Book Antiqua" w:cs="Calibri"/>
                <w:color w:val="000000"/>
                <w:sz w:val="20"/>
                <w:szCs w:val="20"/>
                <w:lang w:eastAsia="es-CR"/>
              </w:rPr>
              <w:t>Flagrancia</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11F1A9C" w14:textId="77777777" w:rsidR="004C5CBE" w:rsidRPr="00247079" w:rsidRDefault="004C5CBE" w:rsidP="004C5CBE">
            <w:pPr>
              <w:jc w:val="center"/>
              <w:rPr>
                <w:rFonts w:ascii="Book Antiqua" w:hAnsi="Book Antiqua" w:cs="Calibri"/>
                <w:color w:val="000000"/>
                <w:sz w:val="20"/>
                <w:szCs w:val="20"/>
                <w:lang w:eastAsia="es-CR"/>
              </w:rPr>
            </w:pPr>
            <w:r w:rsidRPr="00247079">
              <w:rPr>
                <w:rFonts w:ascii="Book Antiqua" w:hAnsi="Book Antiqua" w:cs="Calibri"/>
                <w:color w:val="000000"/>
                <w:sz w:val="20"/>
                <w:szCs w:val="20"/>
                <w:lang w:eastAsia="es-CR"/>
              </w:rPr>
              <w:t>2</w:t>
            </w:r>
          </w:p>
        </w:tc>
        <w:tc>
          <w:tcPr>
            <w:tcW w:w="708" w:type="dxa"/>
            <w:tcBorders>
              <w:top w:val="nil"/>
              <w:left w:val="nil"/>
              <w:bottom w:val="single" w:sz="4" w:space="0" w:color="auto"/>
              <w:right w:val="single" w:sz="4" w:space="0" w:color="auto"/>
            </w:tcBorders>
            <w:shd w:val="clear" w:color="auto" w:fill="auto"/>
            <w:noWrap/>
            <w:vAlign w:val="center"/>
            <w:hideMark/>
          </w:tcPr>
          <w:p w14:paraId="614CA577" w14:textId="77777777" w:rsidR="004C5CBE" w:rsidRPr="00247079" w:rsidRDefault="004C5CBE" w:rsidP="004C5CBE">
            <w:pPr>
              <w:jc w:val="center"/>
              <w:rPr>
                <w:rFonts w:ascii="Book Antiqua" w:hAnsi="Book Antiqua" w:cs="Calibri"/>
                <w:color w:val="000000"/>
                <w:sz w:val="20"/>
                <w:szCs w:val="20"/>
                <w:lang w:eastAsia="es-CR"/>
              </w:rPr>
            </w:pPr>
            <w:r w:rsidRPr="00247079">
              <w:rPr>
                <w:rFonts w:ascii="Book Antiqua" w:hAnsi="Book Antiqua" w:cs="Calibri"/>
                <w:color w:val="000000"/>
                <w:sz w:val="20"/>
                <w:szCs w:val="20"/>
                <w:lang w:eastAsia="es-CR"/>
              </w:rPr>
              <w:t>4</w:t>
            </w:r>
          </w:p>
        </w:tc>
        <w:tc>
          <w:tcPr>
            <w:tcW w:w="567" w:type="dxa"/>
            <w:tcBorders>
              <w:top w:val="nil"/>
              <w:left w:val="nil"/>
              <w:bottom w:val="single" w:sz="4" w:space="0" w:color="auto"/>
              <w:right w:val="single" w:sz="4" w:space="0" w:color="auto"/>
            </w:tcBorders>
            <w:shd w:val="clear" w:color="auto" w:fill="auto"/>
            <w:noWrap/>
            <w:vAlign w:val="center"/>
            <w:hideMark/>
          </w:tcPr>
          <w:p w14:paraId="5474BB6B" w14:textId="77777777" w:rsidR="004C5CBE" w:rsidRPr="00247079" w:rsidRDefault="004C5CBE" w:rsidP="004C5CBE">
            <w:pPr>
              <w:jc w:val="center"/>
              <w:rPr>
                <w:rFonts w:ascii="Book Antiqua" w:hAnsi="Book Antiqua" w:cs="Calibri"/>
                <w:color w:val="000000"/>
                <w:sz w:val="20"/>
                <w:szCs w:val="20"/>
                <w:lang w:eastAsia="es-CR"/>
              </w:rPr>
            </w:pPr>
            <w:r w:rsidRPr="00247079">
              <w:rPr>
                <w:rFonts w:ascii="Book Antiqua" w:hAnsi="Book Antiqua" w:cs="Calibri"/>
                <w:color w:val="000000"/>
                <w:sz w:val="20"/>
                <w:szCs w:val="20"/>
                <w:lang w:eastAsia="es-CR"/>
              </w:rPr>
              <w:t>2</w:t>
            </w:r>
          </w:p>
        </w:tc>
        <w:tc>
          <w:tcPr>
            <w:tcW w:w="567" w:type="dxa"/>
            <w:tcBorders>
              <w:top w:val="nil"/>
              <w:left w:val="nil"/>
              <w:bottom w:val="single" w:sz="4" w:space="0" w:color="auto"/>
              <w:right w:val="single" w:sz="4" w:space="0" w:color="auto"/>
            </w:tcBorders>
            <w:shd w:val="clear" w:color="auto" w:fill="auto"/>
            <w:noWrap/>
            <w:vAlign w:val="center"/>
            <w:hideMark/>
          </w:tcPr>
          <w:p w14:paraId="1D46D502" w14:textId="77777777" w:rsidR="004C5CBE" w:rsidRPr="00247079" w:rsidRDefault="004C5CBE" w:rsidP="004C5CBE">
            <w:pPr>
              <w:jc w:val="center"/>
              <w:rPr>
                <w:rFonts w:ascii="Book Antiqua" w:hAnsi="Book Antiqua" w:cs="Calibri"/>
                <w:color w:val="000000"/>
                <w:sz w:val="20"/>
                <w:szCs w:val="20"/>
                <w:lang w:eastAsia="es-CR"/>
              </w:rPr>
            </w:pPr>
            <w:r w:rsidRPr="00247079">
              <w:rPr>
                <w:rFonts w:ascii="Book Antiqua" w:hAnsi="Book Antiqua" w:cs="Calibri"/>
                <w:color w:val="000000"/>
                <w:sz w:val="20"/>
                <w:szCs w:val="20"/>
                <w:lang w:eastAsia="es-CR"/>
              </w:rPr>
              <w:t>3</w:t>
            </w:r>
          </w:p>
        </w:tc>
        <w:tc>
          <w:tcPr>
            <w:tcW w:w="715" w:type="dxa"/>
            <w:tcBorders>
              <w:top w:val="nil"/>
              <w:left w:val="nil"/>
              <w:bottom w:val="single" w:sz="4" w:space="0" w:color="auto"/>
              <w:right w:val="single" w:sz="4" w:space="0" w:color="auto"/>
            </w:tcBorders>
            <w:shd w:val="clear" w:color="auto" w:fill="auto"/>
            <w:noWrap/>
            <w:vAlign w:val="center"/>
            <w:hideMark/>
          </w:tcPr>
          <w:p w14:paraId="41667F19" w14:textId="77777777" w:rsidR="004C5CBE" w:rsidRPr="00247079" w:rsidRDefault="004C5CBE" w:rsidP="004C5CBE">
            <w:pPr>
              <w:jc w:val="center"/>
              <w:rPr>
                <w:rFonts w:ascii="Book Antiqua" w:hAnsi="Book Antiqua" w:cs="Calibri"/>
                <w:color w:val="000000"/>
                <w:sz w:val="20"/>
                <w:szCs w:val="20"/>
                <w:lang w:eastAsia="es-CR"/>
              </w:rPr>
            </w:pPr>
            <w:r w:rsidRPr="00247079">
              <w:rPr>
                <w:rFonts w:ascii="Book Antiqua" w:hAnsi="Book Antiqua" w:cs="Calibri"/>
                <w:color w:val="000000"/>
                <w:sz w:val="20"/>
                <w:szCs w:val="20"/>
                <w:lang w:eastAsia="es-CR"/>
              </w:rPr>
              <w:t>3</w:t>
            </w:r>
          </w:p>
        </w:tc>
        <w:tc>
          <w:tcPr>
            <w:tcW w:w="717" w:type="dxa"/>
            <w:tcBorders>
              <w:top w:val="nil"/>
              <w:left w:val="nil"/>
              <w:bottom w:val="single" w:sz="4" w:space="0" w:color="auto"/>
              <w:right w:val="single" w:sz="4" w:space="0" w:color="auto"/>
            </w:tcBorders>
            <w:shd w:val="clear" w:color="auto" w:fill="auto"/>
            <w:noWrap/>
            <w:vAlign w:val="center"/>
            <w:hideMark/>
          </w:tcPr>
          <w:p w14:paraId="1426C5F7" w14:textId="77777777" w:rsidR="004C5CBE" w:rsidRPr="00247079" w:rsidRDefault="004C5CBE" w:rsidP="004C5CBE">
            <w:pPr>
              <w:jc w:val="center"/>
              <w:rPr>
                <w:rFonts w:ascii="Book Antiqua" w:hAnsi="Book Antiqua" w:cs="Calibri"/>
                <w:b/>
                <w:bCs/>
                <w:color w:val="000000"/>
                <w:sz w:val="20"/>
                <w:szCs w:val="20"/>
                <w:lang w:eastAsia="es-CR"/>
              </w:rPr>
            </w:pPr>
            <w:r w:rsidRPr="00247079">
              <w:rPr>
                <w:rFonts w:ascii="Book Antiqua" w:hAnsi="Book Antiqua" w:cs="Calibri"/>
                <w:b/>
                <w:bCs/>
                <w:color w:val="000000"/>
                <w:sz w:val="20"/>
                <w:szCs w:val="20"/>
                <w:lang w:eastAsia="es-CR"/>
              </w:rPr>
              <w:t>14</w:t>
            </w:r>
          </w:p>
        </w:tc>
        <w:tc>
          <w:tcPr>
            <w:tcW w:w="643" w:type="dxa"/>
            <w:tcBorders>
              <w:top w:val="nil"/>
              <w:left w:val="nil"/>
              <w:bottom w:val="single" w:sz="4" w:space="0" w:color="auto"/>
              <w:right w:val="single" w:sz="4" w:space="0" w:color="auto"/>
            </w:tcBorders>
            <w:shd w:val="clear" w:color="auto" w:fill="auto"/>
            <w:noWrap/>
            <w:vAlign w:val="center"/>
            <w:hideMark/>
          </w:tcPr>
          <w:p w14:paraId="2E854D14" w14:textId="77777777" w:rsidR="004C5CBE" w:rsidRPr="00247079" w:rsidRDefault="004C5CBE" w:rsidP="004C5CBE">
            <w:pPr>
              <w:jc w:val="center"/>
              <w:rPr>
                <w:rFonts w:ascii="Book Antiqua" w:hAnsi="Book Antiqua" w:cs="Calibri"/>
                <w:sz w:val="20"/>
                <w:szCs w:val="20"/>
                <w:lang w:eastAsia="es-CR"/>
              </w:rPr>
            </w:pPr>
            <w:r w:rsidRPr="00247079">
              <w:rPr>
                <w:rFonts w:ascii="Book Antiqua" w:hAnsi="Book Antiqua" w:cs="Calibri"/>
                <w:sz w:val="20"/>
                <w:szCs w:val="20"/>
                <w:lang w:eastAsia="es-CR"/>
              </w:rPr>
              <w:t>14 %</w:t>
            </w:r>
          </w:p>
        </w:tc>
        <w:tc>
          <w:tcPr>
            <w:tcW w:w="643" w:type="dxa"/>
            <w:tcBorders>
              <w:top w:val="nil"/>
              <w:left w:val="nil"/>
              <w:bottom w:val="single" w:sz="4" w:space="0" w:color="auto"/>
              <w:right w:val="single" w:sz="4" w:space="0" w:color="auto"/>
            </w:tcBorders>
            <w:shd w:val="clear" w:color="auto" w:fill="auto"/>
            <w:noWrap/>
            <w:vAlign w:val="center"/>
            <w:hideMark/>
          </w:tcPr>
          <w:p w14:paraId="4AEAC285" w14:textId="77777777" w:rsidR="004C5CBE" w:rsidRPr="00247079" w:rsidRDefault="004C5CBE" w:rsidP="004C5CBE">
            <w:pPr>
              <w:jc w:val="center"/>
              <w:rPr>
                <w:rFonts w:ascii="Book Antiqua" w:hAnsi="Book Antiqua" w:cs="Calibri"/>
                <w:sz w:val="20"/>
                <w:szCs w:val="20"/>
                <w:lang w:eastAsia="es-CR"/>
              </w:rPr>
            </w:pPr>
            <w:r w:rsidRPr="00247079">
              <w:rPr>
                <w:rFonts w:ascii="Book Antiqua" w:hAnsi="Book Antiqua" w:cs="Calibri"/>
                <w:sz w:val="20"/>
                <w:szCs w:val="20"/>
                <w:lang w:eastAsia="es-CR"/>
              </w:rPr>
              <w:t>29 %</w:t>
            </w:r>
          </w:p>
        </w:tc>
        <w:tc>
          <w:tcPr>
            <w:tcW w:w="643" w:type="dxa"/>
            <w:tcBorders>
              <w:top w:val="nil"/>
              <w:left w:val="nil"/>
              <w:bottom w:val="single" w:sz="4" w:space="0" w:color="auto"/>
              <w:right w:val="single" w:sz="4" w:space="0" w:color="auto"/>
            </w:tcBorders>
            <w:shd w:val="clear" w:color="auto" w:fill="auto"/>
            <w:noWrap/>
            <w:vAlign w:val="center"/>
            <w:hideMark/>
          </w:tcPr>
          <w:p w14:paraId="2B354262" w14:textId="77777777" w:rsidR="004C5CBE" w:rsidRPr="00247079" w:rsidRDefault="004C5CBE" w:rsidP="004C5CBE">
            <w:pPr>
              <w:jc w:val="center"/>
              <w:rPr>
                <w:rFonts w:ascii="Book Antiqua" w:hAnsi="Book Antiqua" w:cs="Calibri"/>
                <w:sz w:val="20"/>
                <w:szCs w:val="20"/>
                <w:lang w:eastAsia="es-CR"/>
              </w:rPr>
            </w:pPr>
            <w:r w:rsidRPr="00247079">
              <w:rPr>
                <w:rFonts w:ascii="Book Antiqua" w:hAnsi="Book Antiqua" w:cs="Calibri"/>
                <w:sz w:val="20"/>
                <w:szCs w:val="20"/>
                <w:lang w:eastAsia="es-CR"/>
              </w:rPr>
              <w:t>14 %</w:t>
            </w:r>
          </w:p>
        </w:tc>
        <w:tc>
          <w:tcPr>
            <w:tcW w:w="643" w:type="dxa"/>
            <w:tcBorders>
              <w:top w:val="nil"/>
              <w:left w:val="nil"/>
              <w:bottom w:val="single" w:sz="4" w:space="0" w:color="auto"/>
              <w:right w:val="single" w:sz="4" w:space="0" w:color="auto"/>
            </w:tcBorders>
            <w:shd w:val="clear" w:color="auto" w:fill="auto"/>
            <w:noWrap/>
            <w:vAlign w:val="center"/>
            <w:hideMark/>
          </w:tcPr>
          <w:p w14:paraId="354069D1" w14:textId="77777777" w:rsidR="004C5CBE" w:rsidRPr="00247079" w:rsidRDefault="004C5CBE" w:rsidP="004C5CBE">
            <w:pPr>
              <w:jc w:val="center"/>
              <w:rPr>
                <w:rFonts w:ascii="Book Antiqua" w:hAnsi="Book Antiqua" w:cs="Calibri"/>
                <w:sz w:val="20"/>
                <w:szCs w:val="20"/>
                <w:lang w:eastAsia="es-CR"/>
              </w:rPr>
            </w:pPr>
            <w:r w:rsidRPr="00247079">
              <w:rPr>
                <w:rFonts w:ascii="Book Antiqua" w:hAnsi="Book Antiqua" w:cs="Calibri"/>
                <w:sz w:val="20"/>
                <w:szCs w:val="20"/>
                <w:lang w:eastAsia="es-CR"/>
              </w:rPr>
              <w:t>21 %</w:t>
            </w:r>
          </w:p>
        </w:tc>
        <w:tc>
          <w:tcPr>
            <w:tcW w:w="643" w:type="dxa"/>
            <w:tcBorders>
              <w:top w:val="nil"/>
              <w:left w:val="nil"/>
              <w:bottom w:val="single" w:sz="4" w:space="0" w:color="auto"/>
              <w:right w:val="single" w:sz="4" w:space="0" w:color="auto"/>
            </w:tcBorders>
            <w:shd w:val="clear" w:color="auto" w:fill="auto"/>
            <w:noWrap/>
            <w:vAlign w:val="center"/>
            <w:hideMark/>
          </w:tcPr>
          <w:p w14:paraId="032843F5" w14:textId="77777777" w:rsidR="004C5CBE" w:rsidRPr="00247079" w:rsidRDefault="004C5CBE" w:rsidP="004C5CBE">
            <w:pPr>
              <w:jc w:val="center"/>
              <w:rPr>
                <w:rFonts w:ascii="Book Antiqua" w:hAnsi="Book Antiqua" w:cs="Calibri"/>
                <w:sz w:val="20"/>
                <w:szCs w:val="20"/>
                <w:lang w:eastAsia="es-CR"/>
              </w:rPr>
            </w:pPr>
            <w:r w:rsidRPr="00247079">
              <w:rPr>
                <w:rFonts w:ascii="Book Antiqua" w:hAnsi="Book Antiqua" w:cs="Calibri"/>
                <w:sz w:val="20"/>
                <w:szCs w:val="20"/>
                <w:lang w:eastAsia="es-CR"/>
              </w:rPr>
              <w:t>21 %</w:t>
            </w:r>
          </w:p>
        </w:tc>
        <w:tc>
          <w:tcPr>
            <w:tcW w:w="882" w:type="dxa"/>
            <w:gridSpan w:val="2"/>
            <w:tcBorders>
              <w:top w:val="nil"/>
              <w:left w:val="nil"/>
              <w:bottom w:val="single" w:sz="4" w:space="0" w:color="auto"/>
              <w:right w:val="single" w:sz="4" w:space="0" w:color="auto"/>
            </w:tcBorders>
            <w:shd w:val="clear" w:color="auto" w:fill="auto"/>
            <w:noWrap/>
            <w:vAlign w:val="center"/>
            <w:hideMark/>
          </w:tcPr>
          <w:p w14:paraId="3AC3B6FE" w14:textId="77777777" w:rsidR="004C5CBE" w:rsidRPr="00247079" w:rsidRDefault="004C5CBE" w:rsidP="004C5CBE">
            <w:pPr>
              <w:jc w:val="center"/>
              <w:rPr>
                <w:rFonts w:ascii="Book Antiqua" w:hAnsi="Book Antiqua" w:cs="Calibri"/>
                <w:b/>
                <w:bCs/>
                <w:sz w:val="20"/>
                <w:szCs w:val="20"/>
                <w:lang w:eastAsia="es-CR"/>
              </w:rPr>
            </w:pPr>
            <w:r w:rsidRPr="00247079">
              <w:rPr>
                <w:rFonts w:ascii="Book Antiqua" w:hAnsi="Book Antiqua" w:cs="Calibri"/>
                <w:b/>
                <w:bCs/>
                <w:sz w:val="20"/>
                <w:szCs w:val="20"/>
                <w:lang w:eastAsia="es-CR"/>
              </w:rPr>
              <w:t>100 %</w:t>
            </w:r>
          </w:p>
        </w:tc>
      </w:tr>
      <w:tr w:rsidR="004C5CBE" w:rsidRPr="00C52A3C" w14:paraId="0F4EFFAA" w14:textId="77777777" w:rsidTr="004C5CBE">
        <w:trPr>
          <w:trHeight w:val="239"/>
          <w:jc w:val="center"/>
        </w:trPr>
        <w:tc>
          <w:tcPr>
            <w:tcW w:w="2268" w:type="dxa"/>
            <w:tcBorders>
              <w:top w:val="nil"/>
              <w:left w:val="nil"/>
              <w:bottom w:val="nil"/>
              <w:right w:val="nil"/>
            </w:tcBorders>
            <w:shd w:val="clear" w:color="auto" w:fill="auto"/>
            <w:noWrap/>
            <w:vAlign w:val="center"/>
            <w:hideMark/>
          </w:tcPr>
          <w:p w14:paraId="72A273C1" w14:textId="77777777" w:rsidR="004C5CBE" w:rsidRPr="00247079" w:rsidRDefault="004C5CBE" w:rsidP="004C5CBE">
            <w:pPr>
              <w:jc w:val="right"/>
              <w:rPr>
                <w:rFonts w:ascii="Book Antiqua" w:hAnsi="Book Antiqua" w:cs="Calibri"/>
                <w:color w:val="000000"/>
                <w:sz w:val="20"/>
                <w:szCs w:val="20"/>
                <w:lang w:eastAsia="es-CR"/>
              </w:rPr>
            </w:pPr>
            <w:r w:rsidRPr="00247079">
              <w:rPr>
                <w:rFonts w:ascii="Book Antiqua" w:hAnsi="Book Antiqua" w:cs="Calibri"/>
                <w:color w:val="000000"/>
                <w:sz w:val="20"/>
                <w:szCs w:val="20"/>
                <w:lang w:eastAsia="es-CR"/>
              </w:rPr>
              <w:t>Juzgados de Ejecución</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D3FB6E9" w14:textId="77777777" w:rsidR="004C5CBE" w:rsidRPr="00247079" w:rsidRDefault="004C5CBE" w:rsidP="004C5CBE">
            <w:pPr>
              <w:jc w:val="center"/>
              <w:rPr>
                <w:rFonts w:ascii="Book Antiqua" w:hAnsi="Book Antiqua" w:cs="Calibri"/>
                <w:color w:val="000000"/>
                <w:sz w:val="20"/>
                <w:szCs w:val="20"/>
                <w:lang w:eastAsia="es-CR"/>
              </w:rPr>
            </w:pPr>
            <w:r w:rsidRPr="00247079">
              <w:rPr>
                <w:rFonts w:ascii="Book Antiqua" w:hAnsi="Book Antiqua" w:cs="Calibri"/>
                <w:color w:val="000000"/>
                <w:sz w:val="20"/>
                <w:szCs w:val="20"/>
                <w:lang w:eastAsia="es-CR"/>
              </w:rPr>
              <w:t>1</w:t>
            </w:r>
          </w:p>
        </w:tc>
        <w:tc>
          <w:tcPr>
            <w:tcW w:w="708" w:type="dxa"/>
            <w:tcBorders>
              <w:top w:val="nil"/>
              <w:left w:val="nil"/>
              <w:bottom w:val="single" w:sz="4" w:space="0" w:color="auto"/>
              <w:right w:val="single" w:sz="4" w:space="0" w:color="auto"/>
            </w:tcBorders>
            <w:shd w:val="clear" w:color="auto" w:fill="auto"/>
            <w:noWrap/>
            <w:vAlign w:val="center"/>
            <w:hideMark/>
          </w:tcPr>
          <w:p w14:paraId="70590180" w14:textId="77777777" w:rsidR="004C5CBE" w:rsidRPr="00247079" w:rsidRDefault="004C5CBE" w:rsidP="004C5CBE">
            <w:pPr>
              <w:jc w:val="center"/>
              <w:rPr>
                <w:rFonts w:ascii="Book Antiqua" w:hAnsi="Book Antiqua" w:cs="Calibri"/>
                <w:color w:val="000000"/>
                <w:sz w:val="20"/>
                <w:szCs w:val="20"/>
                <w:lang w:eastAsia="es-CR"/>
              </w:rPr>
            </w:pPr>
            <w:r w:rsidRPr="00247079">
              <w:rPr>
                <w:rFonts w:ascii="Book Antiqua" w:hAnsi="Book Antiqua" w:cs="Calibri"/>
                <w:color w:val="000000"/>
                <w:sz w:val="20"/>
                <w:szCs w:val="20"/>
                <w:lang w:eastAsia="es-CR"/>
              </w:rPr>
              <w:t>3</w:t>
            </w:r>
          </w:p>
        </w:tc>
        <w:tc>
          <w:tcPr>
            <w:tcW w:w="567" w:type="dxa"/>
            <w:tcBorders>
              <w:top w:val="nil"/>
              <w:left w:val="nil"/>
              <w:bottom w:val="single" w:sz="4" w:space="0" w:color="auto"/>
              <w:right w:val="single" w:sz="4" w:space="0" w:color="auto"/>
            </w:tcBorders>
            <w:shd w:val="clear" w:color="auto" w:fill="auto"/>
            <w:noWrap/>
            <w:vAlign w:val="center"/>
            <w:hideMark/>
          </w:tcPr>
          <w:p w14:paraId="219B8B2E" w14:textId="77777777" w:rsidR="004C5CBE" w:rsidRPr="00247079" w:rsidRDefault="004C5CBE" w:rsidP="004C5CBE">
            <w:pPr>
              <w:jc w:val="center"/>
              <w:rPr>
                <w:rFonts w:ascii="Book Antiqua" w:hAnsi="Book Antiqua" w:cs="Calibri"/>
                <w:color w:val="000000"/>
                <w:sz w:val="20"/>
                <w:szCs w:val="20"/>
                <w:lang w:eastAsia="es-CR"/>
              </w:rPr>
            </w:pPr>
            <w:r w:rsidRPr="00247079">
              <w:rPr>
                <w:rFonts w:ascii="Book Antiqua" w:hAnsi="Book Antiqua" w:cs="Calibri"/>
                <w:color w:val="000000"/>
                <w:sz w:val="20"/>
                <w:szCs w:val="20"/>
                <w:lang w:eastAsia="es-CR"/>
              </w:rPr>
              <w:t>1</w:t>
            </w:r>
          </w:p>
        </w:tc>
        <w:tc>
          <w:tcPr>
            <w:tcW w:w="567" w:type="dxa"/>
            <w:tcBorders>
              <w:top w:val="nil"/>
              <w:left w:val="nil"/>
              <w:bottom w:val="single" w:sz="4" w:space="0" w:color="auto"/>
              <w:right w:val="single" w:sz="4" w:space="0" w:color="auto"/>
            </w:tcBorders>
            <w:shd w:val="clear" w:color="auto" w:fill="auto"/>
            <w:noWrap/>
            <w:vAlign w:val="center"/>
            <w:hideMark/>
          </w:tcPr>
          <w:p w14:paraId="67372AF7" w14:textId="77777777" w:rsidR="004C5CBE" w:rsidRPr="00247079" w:rsidRDefault="004C5CBE" w:rsidP="004C5CBE">
            <w:pPr>
              <w:jc w:val="center"/>
              <w:rPr>
                <w:rFonts w:ascii="Book Antiqua" w:hAnsi="Book Antiqua" w:cs="Calibri"/>
                <w:color w:val="000000"/>
                <w:sz w:val="20"/>
                <w:szCs w:val="20"/>
                <w:lang w:eastAsia="es-CR"/>
              </w:rPr>
            </w:pPr>
            <w:r w:rsidRPr="00247079">
              <w:rPr>
                <w:rFonts w:ascii="Book Antiqua" w:hAnsi="Book Antiqua" w:cs="Calibri"/>
                <w:color w:val="000000"/>
                <w:sz w:val="20"/>
                <w:szCs w:val="20"/>
                <w:lang w:eastAsia="es-CR"/>
              </w:rPr>
              <w:t>0</w:t>
            </w:r>
          </w:p>
        </w:tc>
        <w:tc>
          <w:tcPr>
            <w:tcW w:w="715" w:type="dxa"/>
            <w:tcBorders>
              <w:top w:val="nil"/>
              <w:left w:val="nil"/>
              <w:bottom w:val="single" w:sz="4" w:space="0" w:color="auto"/>
              <w:right w:val="single" w:sz="4" w:space="0" w:color="auto"/>
            </w:tcBorders>
            <w:shd w:val="clear" w:color="auto" w:fill="auto"/>
            <w:noWrap/>
            <w:vAlign w:val="center"/>
            <w:hideMark/>
          </w:tcPr>
          <w:p w14:paraId="4A783BF8" w14:textId="77777777" w:rsidR="004C5CBE" w:rsidRPr="00247079" w:rsidRDefault="004C5CBE" w:rsidP="004C5CBE">
            <w:pPr>
              <w:jc w:val="center"/>
              <w:rPr>
                <w:rFonts w:ascii="Book Antiqua" w:hAnsi="Book Antiqua" w:cs="Calibri"/>
                <w:color w:val="000000"/>
                <w:sz w:val="20"/>
                <w:szCs w:val="20"/>
                <w:lang w:eastAsia="es-CR"/>
              </w:rPr>
            </w:pPr>
            <w:r w:rsidRPr="00247079">
              <w:rPr>
                <w:rFonts w:ascii="Book Antiqua" w:hAnsi="Book Antiqua" w:cs="Calibri"/>
                <w:color w:val="000000"/>
                <w:sz w:val="20"/>
                <w:szCs w:val="20"/>
                <w:lang w:eastAsia="es-CR"/>
              </w:rPr>
              <w:t>1</w:t>
            </w:r>
          </w:p>
        </w:tc>
        <w:tc>
          <w:tcPr>
            <w:tcW w:w="717" w:type="dxa"/>
            <w:tcBorders>
              <w:top w:val="nil"/>
              <w:left w:val="nil"/>
              <w:bottom w:val="single" w:sz="4" w:space="0" w:color="auto"/>
              <w:right w:val="single" w:sz="4" w:space="0" w:color="auto"/>
            </w:tcBorders>
            <w:shd w:val="clear" w:color="auto" w:fill="auto"/>
            <w:noWrap/>
            <w:vAlign w:val="center"/>
            <w:hideMark/>
          </w:tcPr>
          <w:p w14:paraId="01A164B3" w14:textId="77777777" w:rsidR="004C5CBE" w:rsidRPr="00247079" w:rsidRDefault="004C5CBE" w:rsidP="004C5CBE">
            <w:pPr>
              <w:jc w:val="center"/>
              <w:rPr>
                <w:rFonts w:ascii="Book Antiqua" w:hAnsi="Book Antiqua" w:cs="Calibri"/>
                <w:b/>
                <w:bCs/>
                <w:color w:val="000000"/>
                <w:sz w:val="20"/>
                <w:szCs w:val="20"/>
                <w:lang w:eastAsia="es-CR"/>
              </w:rPr>
            </w:pPr>
            <w:r w:rsidRPr="00247079">
              <w:rPr>
                <w:rFonts w:ascii="Book Antiqua" w:hAnsi="Book Antiqua" w:cs="Calibri"/>
                <w:b/>
                <w:bCs/>
                <w:color w:val="000000"/>
                <w:sz w:val="20"/>
                <w:szCs w:val="20"/>
                <w:lang w:eastAsia="es-CR"/>
              </w:rPr>
              <w:t>6</w:t>
            </w:r>
          </w:p>
        </w:tc>
        <w:tc>
          <w:tcPr>
            <w:tcW w:w="643" w:type="dxa"/>
            <w:tcBorders>
              <w:top w:val="nil"/>
              <w:left w:val="nil"/>
              <w:bottom w:val="single" w:sz="4" w:space="0" w:color="auto"/>
              <w:right w:val="single" w:sz="4" w:space="0" w:color="auto"/>
            </w:tcBorders>
            <w:shd w:val="clear" w:color="auto" w:fill="auto"/>
            <w:noWrap/>
            <w:vAlign w:val="center"/>
            <w:hideMark/>
          </w:tcPr>
          <w:p w14:paraId="27A0E512" w14:textId="77777777" w:rsidR="004C5CBE" w:rsidRPr="00247079" w:rsidRDefault="004C5CBE" w:rsidP="004C5CBE">
            <w:pPr>
              <w:jc w:val="center"/>
              <w:rPr>
                <w:rFonts w:ascii="Book Antiqua" w:hAnsi="Book Antiqua" w:cs="Calibri"/>
                <w:sz w:val="20"/>
                <w:szCs w:val="20"/>
                <w:lang w:eastAsia="es-CR"/>
              </w:rPr>
            </w:pPr>
            <w:r w:rsidRPr="00247079">
              <w:rPr>
                <w:rFonts w:ascii="Book Antiqua" w:hAnsi="Book Antiqua" w:cs="Calibri"/>
                <w:sz w:val="20"/>
                <w:szCs w:val="20"/>
                <w:lang w:eastAsia="es-CR"/>
              </w:rPr>
              <w:t>17 %</w:t>
            </w:r>
          </w:p>
        </w:tc>
        <w:tc>
          <w:tcPr>
            <w:tcW w:w="643" w:type="dxa"/>
            <w:tcBorders>
              <w:top w:val="nil"/>
              <w:left w:val="nil"/>
              <w:bottom w:val="single" w:sz="4" w:space="0" w:color="auto"/>
              <w:right w:val="single" w:sz="4" w:space="0" w:color="auto"/>
            </w:tcBorders>
            <w:shd w:val="clear" w:color="auto" w:fill="auto"/>
            <w:noWrap/>
            <w:vAlign w:val="center"/>
            <w:hideMark/>
          </w:tcPr>
          <w:p w14:paraId="6280A64D" w14:textId="77777777" w:rsidR="004C5CBE" w:rsidRPr="00247079" w:rsidRDefault="004C5CBE" w:rsidP="004C5CBE">
            <w:pPr>
              <w:jc w:val="center"/>
              <w:rPr>
                <w:rFonts w:ascii="Book Antiqua" w:hAnsi="Book Antiqua" w:cs="Calibri"/>
                <w:sz w:val="20"/>
                <w:szCs w:val="20"/>
                <w:lang w:eastAsia="es-CR"/>
              </w:rPr>
            </w:pPr>
            <w:r w:rsidRPr="00247079">
              <w:rPr>
                <w:rFonts w:ascii="Book Antiqua" w:hAnsi="Book Antiqua" w:cs="Calibri"/>
                <w:sz w:val="20"/>
                <w:szCs w:val="20"/>
                <w:lang w:eastAsia="es-CR"/>
              </w:rPr>
              <w:t>50 %</w:t>
            </w:r>
          </w:p>
        </w:tc>
        <w:tc>
          <w:tcPr>
            <w:tcW w:w="643" w:type="dxa"/>
            <w:tcBorders>
              <w:top w:val="nil"/>
              <w:left w:val="nil"/>
              <w:bottom w:val="single" w:sz="4" w:space="0" w:color="auto"/>
              <w:right w:val="single" w:sz="4" w:space="0" w:color="auto"/>
            </w:tcBorders>
            <w:shd w:val="clear" w:color="auto" w:fill="auto"/>
            <w:noWrap/>
            <w:vAlign w:val="center"/>
            <w:hideMark/>
          </w:tcPr>
          <w:p w14:paraId="7C78B73E" w14:textId="77777777" w:rsidR="004C5CBE" w:rsidRPr="00247079" w:rsidRDefault="004C5CBE" w:rsidP="004C5CBE">
            <w:pPr>
              <w:jc w:val="center"/>
              <w:rPr>
                <w:rFonts w:ascii="Book Antiqua" w:hAnsi="Book Antiqua" w:cs="Calibri"/>
                <w:sz w:val="20"/>
                <w:szCs w:val="20"/>
                <w:lang w:eastAsia="es-CR"/>
              </w:rPr>
            </w:pPr>
            <w:r w:rsidRPr="00247079">
              <w:rPr>
                <w:rFonts w:ascii="Book Antiqua" w:hAnsi="Book Antiqua" w:cs="Calibri"/>
                <w:sz w:val="20"/>
                <w:szCs w:val="20"/>
                <w:lang w:eastAsia="es-CR"/>
              </w:rPr>
              <w:t>17 %</w:t>
            </w:r>
          </w:p>
        </w:tc>
        <w:tc>
          <w:tcPr>
            <w:tcW w:w="643" w:type="dxa"/>
            <w:tcBorders>
              <w:top w:val="nil"/>
              <w:left w:val="nil"/>
              <w:bottom w:val="single" w:sz="4" w:space="0" w:color="auto"/>
              <w:right w:val="single" w:sz="4" w:space="0" w:color="auto"/>
            </w:tcBorders>
            <w:shd w:val="clear" w:color="auto" w:fill="auto"/>
            <w:noWrap/>
            <w:vAlign w:val="center"/>
            <w:hideMark/>
          </w:tcPr>
          <w:p w14:paraId="3E1AB0D2" w14:textId="77777777" w:rsidR="004C5CBE" w:rsidRPr="00247079" w:rsidRDefault="004C5CBE" w:rsidP="004C5CBE">
            <w:pPr>
              <w:jc w:val="center"/>
              <w:rPr>
                <w:rFonts w:ascii="Book Antiqua" w:hAnsi="Book Antiqua" w:cs="Calibri"/>
                <w:sz w:val="20"/>
                <w:szCs w:val="20"/>
                <w:lang w:eastAsia="es-CR"/>
              </w:rPr>
            </w:pPr>
            <w:r w:rsidRPr="00247079">
              <w:rPr>
                <w:rFonts w:ascii="Book Antiqua" w:hAnsi="Book Antiqua" w:cs="Calibri"/>
                <w:sz w:val="20"/>
                <w:szCs w:val="20"/>
                <w:lang w:eastAsia="es-CR"/>
              </w:rPr>
              <w:t>0 %</w:t>
            </w:r>
          </w:p>
        </w:tc>
        <w:tc>
          <w:tcPr>
            <w:tcW w:w="643" w:type="dxa"/>
            <w:tcBorders>
              <w:top w:val="nil"/>
              <w:left w:val="nil"/>
              <w:bottom w:val="single" w:sz="4" w:space="0" w:color="auto"/>
              <w:right w:val="single" w:sz="4" w:space="0" w:color="auto"/>
            </w:tcBorders>
            <w:shd w:val="clear" w:color="auto" w:fill="auto"/>
            <w:noWrap/>
            <w:vAlign w:val="center"/>
            <w:hideMark/>
          </w:tcPr>
          <w:p w14:paraId="20FE4654" w14:textId="77777777" w:rsidR="004C5CBE" w:rsidRPr="00247079" w:rsidRDefault="004C5CBE" w:rsidP="004C5CBE">
            <w:pPr>
              <w:jc w:val="center"/>
              <w:rPr>
                <w:rFonts w:ascii="Book Antiqua" w:hAnsi="Book Antiqua" w:cs="Calibri"/>
                <w:sz w:val="20"/>
                <w:szCs w:val="20"/>
                <w:lang w:eastAsia="es-CR"/>
              </w:rPr>
            </w:pPr>
            <w:r w:rsidRPr="00247079">
              <w:rPr>
                <w:rFonts w:ascii="Book Antiqua" w:hAnsi="Book Antiqua" w:cs="Calibri"/>
                <w:sz w:val="20"/>
                <w:szCs w:val="20"/>
                <w:lang w:eastAsia="es-CR"/>
              </w:rPr>
              <w:t>17 %</w:t>
            </w:r>
          </w:p>
        </w:tc>
        <w:tc>
          <w:tcPr>
            <w:tcW w:w="882" w:type="dxa"/>
            <w:gridSpan w:val="2"/>
            <w:tcBorders>
              <w:top w:val="nil"/>
              <w:left w:val="nil"/>
              <w:bottom w:val="single" w:sz="4" w:space="0" w:color="auto"/>
              <w:right w:val="single" w:sz="4" w:space="0" w:color="auto"/>
            </w:tcBorders>
            <w:shd w:val="clear" w:color="auto" w:fill="auto"/>
            <w:noWrap/>
            <w:vAlign w:val="center"/>
            <w:hideMark/>
          </w:tcPr>
          <w:p w14:paraId="55DCB66B" w14:textId="77777777" w:rsidR="004C5CBE" w:rsidRPr="00247079" w:rsidRDefault="004C5CBE" w:rsidP="004C5CBE">
            <w:pPr>
              <w:jc w:val="center"/>
              <w:rPr>
                <w:rFonts w:ascii="Book Antiqua" w:hAnsi="Book Antiqua" w:cs="Calibri"/>
                <w:b/>
                <w:bCs/>
                <w:sz w:val="20"/>
                <w:szCs w:val="20"/>
                <w:lang w:eastAsia="es-CR"/>
              </w:rPr>
            </w:pPr>
            <w:r w:rsidRPr="00247079">
              <w:rPr>
                <w:rFonts w:ascii="Book Antiqua" w:hAnsi="Book Antiqua" w:cs="Calibri"/>
                <w:b/>
                <w:bCs/>
                <w:sz w:val="20"/>
                <w:szCs w:val="20"/>
                <w:lang w:eastAsia="es-CR"/>
              </w:rPr>
              <w:t>100 %</w:t>
            </w:r>
          </w:p>
        </w:tc>
      </w:tr>
      <w:tr w:rsidR="004C5CBE" w:rsidRPr="00C52A3C" w14:paraId="4AE251C4" w14:textId="77777777" w:rsidTr="004C5CBE">
        <w:trPr>
          <w:trHeight w:val="239"/>
          <w:jc w:val="center"/>
        </w:trPr>
        <w:tc>
          <w:tcPr>
            <w:tcW w:w="2268" w:type="dxa"/>
            <w:tcBorders>
              <w:top w:val="nil"/>
              <w:left w:val="nil"/>
              <w:bottom w:val="nil"/>
              <w:right w:val="nil"/>
            </w:tcBorders>
            <w:shd w:val="clear" w:color="auto" w:fill="auto"/>
            <w:noWrap/>
            <w:vAlign w:val="center"/>
            <w:hideMark/>
          </w:tcPr>
          <w:p w14:paraId="64B2D999" w14:textId="77777777" w:rsidR="004C5CBE" w:rsidRPr="00247079" w:rsidRDefault="004C5CBE" w:rsidP="004C5CBE">
            <w:pPr>
              <w:jc w:val="right"/>
              <w:rPr>
                <w:rFonts w:ascii="Book Antiqua" w:hAnsi="Book Antiqua" w:cs="Calibri"/>
                <w:b/>
                <w:bCs/>
                <w:color w:val="000000"/>
                <w:sz w:val="20"/>
                <w:szCs w:val="20"/>
                <w:lang w:eastAsia="es-CR"/>
              </w:rPr>
            </w:pPr>
            <w:r w:rsidRPr="00247079">
              <w:rPr>
                <w:rFonts w:ascii="Book Antiqua" w:hAnsi="Book Antiqua" w:cs="Calibri"/>
                <w:b/>
                <w:bCs/>
                <w:color w:val="000000"/>
                <w:sz w:val="20"/>
                <w:szCs w:val="20"/>
                <w:lang w:eastAsia="es-CR"/>
              </w:rPr>
              <w:t>Total de la materia</w:t>
            </w:r>
          </w:p>
        </w:tc>
        <w:tc>
          <w:tcPr>
            <w:tcW w:w="993" w:type="dxa"/>
            <w:tcBorders>
              <w:top w:val="nil"/>
              <w:left w:val="single" w:sz="4" w:space="0" w:color="auto"/>
              <w:bottom w:val="single" w:sz="4" w:space="0" w:color="auto"/>
              <w:right w:val="single" w:sz="4" w:space="0" w:color="auto"/>
            </w:tcBorders>
            <w:shd w:val="clear" w:color="000000" w:fill="F2F2F2"/>
            <w:noWrap/>
            <w:vAlign w:val="center"/>
            <w:hideMark/>
          </w:tcPr>
          <w:p w14:paraId="3C52AF4E" w14:textId="77777777" w:rsidR="004C5CBE" w:rsidRPr="00247079" w:rsidRDefault="004C5CBE" w:rsidP="004C5CBE">
            <w:pPr>
              <w:jc w:val="center"/>
              <w:rPr>
                <w:rFonts w:ascii="Book Antiqua" w:hAnsi="Book Antiqua" w:cs="Calibri"/>
                <w:b/>
                <w:bCs/>
                <w:color w:val="000000"/>
                <w:sz w:val="20"/>
                <w:szCs w:val="20"/>
                <w:lang w:eastAsia="es-CR"/>
              </w:rPr>
            </w:pPr>
            <w:r w:rsidRPr="00247079">
              <w:rPr>
                <w:rFonts w:ascii="Book Antiqua" w:hAnsi="Book Antiqua" w:cs="Calibri"/>
                <w:b/>
                <w:bCs/>
                <w:color w:val="000000"/>
                <w:sz w:val="20"/>
                <w:szCs w:val="20"/>
                <w:lang w:eastAsia="es-CR"/>
              </w:rPr>
              <w:t>8</w:t>
            </w:r>
          </w:p>
        </w:tc>
        <w:tc>
          <w:tcPr>
            <w:tcW w:w="708" w:type="dxa"/>
            <w:tcBorders>
              <w:top w:val="nil"/>
              <w:left w:val="nil"/>
              <w:bottom w:val="single" w:sz="4" w:space="0" w:color="auto"/>
              <w:right w:val="single" w:sz="4" w:space="0" w:color="auto"/>
            </w:tcBorders>
            <w:shd w:val="clear" w:color="000000" w:fill="F2F2F2"/>
            <w:noWrap/>
            <w:vAlign w:val="center"/>
            <w:hideMark/>
          </w:tcPr>
          <w:p w14:paraId="4B1C0C51" w14:textId="77777777" w:rsidR="004C5CBE" w:rsidRPr="00247079" w:rsidRDefault="004C5CBE" w:rsidP="004C5CBE">
            <w:pPr>
              <w:jc w:val="center"/>
              <w:rPr>
                <w:rFonts w:ascii="Book Antiqua" w:hAnsi="Book Antiqua" w:cs="Calibri"/>
                <w:b/>
                <w:bCs/>
                <w:color w:val="000000"/>
                <w:sz w:val="20"/>
                <w:szCs w:val="20"/>
                <w:lang w:eastAsia="es-CR"/>
              </w:rPr>
            </w:pPr>
            <w:r w:rsidRPr="00247079">
              <w:rPr>
                <w:rFonts w:ascii="Book Antiqua" w:hAnsi="Book Antiqua" w:cs="Calibri"/>
                <w:b/>
                <w:bCs/>
                <w:color w:val="000000"/>
                <w:sz w:val="20"/>
                <w:szCs w:val="20"/>
                <w:lang w:eastAsia="es-CR"/>
              </w:rPr>
              <w:t>24</w:t>
            </w:r>
          </w:p>
        </w:tc>
        <w:tc>
          <w:tcPr>
            <w:tcW w:w="567" w:type="dxa"/>
            <w:tcBorders>
              <w:top w:val="nil"/>
              <w:left w:val="nil"/>
              <w:bottom w:val="single" w:sz="4" w:space="0" w:color="auto"/>
              <w:right w:val="single" w:sz="4" w:space="0" w:color="auto"/>
            </w:tcBorders>
            <w:shd w:val="clear" w:color="000000" w:fill="F2F2F2"/>
            <w:noWrap/>
            <w:vAlign w:val="center"/>
            <w:hideMark/>
          </w:tcPr>
          <w:p w14:paraId="0E11561F" w14:textId="77777777" w:rsidR="004C5CBE" w:rsidRPr="00247079" w:rsidRDefault="004C5CBE" w:rsidP="004C5CBE">
            <w:pPr>
              <w:jc w:val="center"/>
              <w:rPr>
                <w:rFonts w:ascii="Book Antiqua" w:hAnsi="Book Antiqua" w:cs="Calibri"/>
                <w:b/>
                <w:bCs/>
                <w:color w:val="000000"/>
                <w:sz w:val="20"/>
                <w:szCs w:val="20"/>
                <w:lang w:eastAsia="es-CR"/>
              </w:rPr>
            </w:pPr>
            <w:r w:rsidRPr="00247079">
              <w:rPr>
                <w:rFonts w:ascii="Book Antiqua" w:hAnsi="Book Antiqua" w:cs="Calibri"/>
                <w:b/>
                <w:bCs/>
                <w:color w:val="000000"/>
                <w:sz w:val="20"/>
                <w:szCs w:val="20"/>
                <w:lang w:eastAsia="es-CR"/>
              </w:rPr>
              <w:t>20</w:t>
            </w:r>
          </w:p>
        </w:tc>
        <w:tc>
          <w:tcPr>
            <w:tcW w:w="567" w:type="dxa"/>
            <w:tcBorders>
              <w:top w:val="nil"/>
              <w:left w:val="nil"/>
              <w:bottom w:val="single" w:sz="4" w:space="0" w:color="auto"/>
              <w:right w:val="single" w:sz="4" w:space="0" w:color="auto"/>
            </w:tcBorders>
            <w:shd w:val="clear" w:color="000000" w:fill="F2F2F2"/>
            <w:noWrap/>
            <w:vAlign w:val="center"/>
            <w:hideMark/>
          </w:tcPr>
          <w:p w14:paraId="4A219CCE" w14:textId="77777777" w:rsidR="004C5CBE" w:rsidRPr="00247079" w:rsidRDefault="004C5CBE" w:rsidP="004C5CBE">
            <w:pPr>
              <w:jc w:val="center"/>
              <w:rPr>
                <w:rFonts w:ascii="Book Antiqua" w:hAnsi="Book Antiqua" w:cs="Calibri"/>
                <w:b/>
                <w:bCs/>
                <w:color w:val="000000"/>
                <w:sz w:val="20"/>
                <w:szCs w:val="20"/>
                <w:lang w:eastAsia="es-CR"/>
              </w:rPr>
            </w:pPr>
            <w:r w:rsidRPr="00247079">
              <w:rPr>
                <w:rFonts w:ascii="Book Antiqua" w:hAnsi="Book Antiqua" w:cs="Calibri"/>
                <w:b/>
                <w:bCs/>
                <w:color w:val="000000"/>
                <w:sz w:val="20"/>
                <w:szCs w:val="20"/>
                <w:lang w:eastAsia="es-CR"/>
              </w:rPr>
              <w:t>17</w:t>
            </w:r>
          </w:p>
        </w:tc>
        <w:tc>
          <w:tcPr>
            <w:tcW w:w="715" w:type="dxa"/>
            <w:tcBorders>
              <w:top w:val="nil"/>
              <w:left w:val="nil"/>
              <w:bottom w:val="single" w:sz="4" w:space="0" w:color="auto"/>
              <w:right w:val="single" w:sz="4" w:space="0" w:color="auto"/>
            </w:tcBorders>
            <w:shd w:val="clear" w:color="000000" w:fill="F2F2F2"/>
            <w:noWrap/>
            <w:vAlign w:val="center"/>
            <w:hideMark/>
          </w:tcPr>
          <w:p w14:paraId="068977DC" w14:textId="77777777" w:rsidR="004C5CBE" w:rsidRPr="00247079" w:rsidRDefault="004C5CBE" w:rsidP="004C5CBE">
            <w:pPr>
              <w:jc w:val="center"/>
              <w:rPr>
                <w:rFonts w:ascii="Book Antiqua" w:hAnsi="Book Antiqua" w:cs="Calibri"/>
                <w:b/>
                <w:bCs/>
                <w:color w:val="000000"/>
                <w:sz w:val="20"/>
                <w:szCs w:val="20"/>
                <w:lang w:eastAsia="es-CR"/>
              </w:rPr>
            </w:pPr>
            <w:r w:rsidRPr="00247079">
              <w:rPr>
                <w:rFonts w:ascii="Book Antiqua" w:hAnsi="Book Antiqua" w:cs="Calibri"/>
                <w:b/>
                <w:bCs/>
                <w:color w:val="000000"/>
                <w:sz w:val="20"/>
                <w:szCs w:val="20"/>
                <w:lang w:eastAsia="es-CR"/>
              </w:rPr>
              <w:t>15</w:t>
            </w:r>
          </w:p>
        </w:tc>
        <w:tc>
          <w:tcPr>
            <w:tcW w:w="717" w:type="dxa"/>
            <w:tcBorders>
              <w:top w:val="nil"/>
              <w:left w:val="nil"/>
              <w:bottom w:val="single" w:sz="4" w:space="0" w:color="auto"/>
              <w:right w:val="single" w:sz="4" w:space="0" w:color="auto"/>
            </w:tcBorders>
            <w:shd w:val="clear" w:color="000000" w:fill="F2F2F2"/>
            <w:noWrap/>
            <w:vAlign w:val="center"/>
            <w:hideMark/>
          </w:tcPr>
          <w:p w14:paraId="62C7F169" w14:textId="77777777" w:rsidR="004C5CBE" w:rsidRPr="00247079" w:rsidRDefault="004C5CBE" w:rsidP="004C5CBE">
            <w:pPr>
              <w:jc w:val="center"/>
              <w:rPr>
                <w:rFonts w:ascii="Book Antiqua" w:hAnsi="Book Antiqua" w:cs="Calibri"/>
                <w:b/>
                <w:bCs/>
                <w:color w:val="000000"/>
                <w:sz w:val="20"/>
                <w:szCs w:val="20"/>
                <w:lang w:eastAsia="es-CR"/>
              </w:rPr>
            </w:pPr>
            <w:r w:rsidRPr="00247079">
              <w:rPr>
                <w:rFonts w:ascii="Book Antiqua" w:hAnsi="Book Antiqua" w:cs="Calibri"/>
                <w:b/>
                <w:bCs/>
                <w:color w:val="000000"/>
                <w:sz w:val="20"/>
                <w:szCs w:val="20"/>
                <w:lang w:eastAsia="es-CR"/>
              </w:rPr>
              <w:t>84</w:t>
            </w:r>
          </w:p>
        </w:tc>
        <w:tc>
          <w:tcPr>
            <w:tcW w:w="643" w:type="dxa"/>
            <w:tcBorders>
              <w:top w:val="nil"/>
              <w:left w:val="nil"/>
              <w:bottom w:val="single" w:sz="4" w:space="0" w:color="auto"/>
              <w:right w:val="single" w:sz="4" w:space="0" w:color="auto"/>
            </w:tcBorders>
            <w:shd w:val="clear" w:color="000000" w:fill="F2F2F2"/>
            <w:noWrap/>
            <w:vAlign w:val="center"/>
            <w:hideMark/>
          </w:tcPr>
          <w:p w14:paraId="2B8535B8" w14:textId="77777777" w:rsidR="004C5CBE" w:rsidRPr="00247079" w:rsidRDefault="004C5CBE" w:rsidP="004C5CBE">
            <w:pPr>
              <w:jc w:val="center"/>
              <w:rPr>
                <w:rFonts w:ascii="Book Antiqua" w:hAnsi="Book Antiqua" w:cs="Calibri"/>
                <w:b/>
                <w:bCs/>
                <w:sz w:val="20"/>
                <w:szCs w:val="20"/>
                <w:lang w:eastAsia="es-CR"/>
              </w:rPr>
            </w:pPr>
            <w:r w:rsidRPr="00247079">
              <w:rPr>
                <w:rFonts w:ascii="Book Antiqua" w:hAnsi="Book Antiqua" w:cs="Calibri"/>
                <w:b/>
                <w:bCs/>
                <w:sz w:val="20"/>
                <w:szCs w:val="20"/>
                <w:lang w:eastAsia="es-CR"/>
              </w:rPr>
              <w:t>10 %</w:t>
            </w:r>
          </w:p>
        </w:tc>
        <w:tc>
          <w:tcPr>
            <w:tcW w:w="643" w:type="dxa"/>
            <w:tcBorders>
              <w:top w:val="nil"/>
              <w:left w:val="nil"/>
              <w:bottom w:val="single" w:sz="4" w:space="0" w:color="auto"/>
              <w:right w:val="single" w:sz="4" w:space="0" w:color="auto"/>
            </w:tcBorders>
            <w:shd w:val="clear" w:color="000000" w:fill="F2F2F2"/>
            <w:noWrap/>
            <w:vAlign w:val="center"/>
            <w:hideMark/>
          </w:tcPr>
          <w:p w14:paraId="306A8EE3" w14:textId="77777777" w:rsidR="004C5CBE" w:rsidRPr="00247079" w:rsidRDefault="004C5CBE" w:rsidP="004C5CBE">
            <w:pPr>
              <w:jc w:val="center"/>
              <w:rPr>
                <w:rFonts w:ascii="Book Antiqua" w:hAnsi="Book Antiqua" w:cs="Calibri"/>
                <w:b/>
                <w:bCs/>
                <w:sz w:val="20"/>
                <w:szCs w:val="20"/>
                <w:lang w:eastAsia="es-CR"/>
              </w:rPr>
            </w:pPr>
            <w:r w:rsidRPr="00247079">
              <w:rPr>
                <w:rFonts w:ascii="Book Antiqua" w:hAnsi="Book Antiqua" w:cs="Calibri"/>
                <w:b/>
                <w:bCs/>
                <w:sz w:val="20"/>
                <w:szCs w:val="20"/>
                <w:lang w:eastAsia="es-CR"/>
              </w:rPr>
              <w:t>29 %</w:t>
            </w:r>
          </w:p>
        </w:tc>
        <w:tc>
          <w:tcPr>
            <w:tcW w:w="643" w:type="dxa"/>
            <w:tcBorders>
              <w:top w:val="nil"/>
              <w:left w:val="nil"/>
              <w:bottom w:val="single" w:sz="4" w:space="0" w:color="auto"/>
              <w:right w:val="single" w:sz="4" w:space="0" w:color="auto"/>
            </w:tcBorders>
            <w:shd w:val="clear" w:color="000000" w:fill="F2F2F2"/>
            <w:noWrap/>
            <w:vAlign w:val="center"/>
            <w:hideMark/>
          </w:tcPr>
          <w:p w14:paraId="02F87967" w14:textId="77777777" w:rsidR="004C5CBE" w:rsidRPr="00247079" w:rsidRDefault="004C5CBE" w:rsidP="004C5CBE">
            <w:pPr>
              <w:jc w:val="center"/>
              <w:rPr>
                <w:rFonts w:ascii="Book Antiqua" w:hAnsi="Book Antiqua" w:cs="Calibri"/>
                <w:b/>
                <w:bCs/>
                <w:sz w:val="20"/>
                <w:szCs w:val="20"/>
                <w:lang w:eastAsia="es-CR"/>
              </w:rPr>
            </w:pPr>
            <w:r w:rsidRPr="00247079">
              <w:rPr>
                <w:rFonts w:ascii="Book Antiqua" w:hAnsi="Book Antiqua" w:cs="Calibri"/>
                <w:b/>
                <w:bCs/>
                <w:sz w:val="20"/>
                <w:szCs w:val="20"/>
                <w:lang w:eastAsia="es-CR"/>
              </w:rPr>
              <w:t>24 %</w:t>
            </w:r>
          </w:p>
        </w:tc>
        <w:tc>
          <w:tcPr>
            <w:tcW w:w="643" w:type="dxa"/>
            <w:tcBorders>
              <w:top w:val="nil"/>
              <w:left w:val="nil"/>
              <w:bottom w:val="single" w:sz="4" w:space="0" w:color="auto"/>
              <w:right w:val="single" w:sz="4" w:space="0" w:color="auto"/>
            </w:tcBorders>
            <w:shd w:val="clear" w:color="000000" w:fill="F2F2F2"/>
            <w:noWrap/>
            <w:vAlign w:val="center"/>
            <w:hideMark/>
          </w:tcPr>
          <w:p w14:paraId="11561D37" w14:textId="77777777" w:rsidR="004C5CBE" w:rsidRPr="00247079" w:rsidRDefault="004C5CBE" w:rsidP="004C5CBE">
            <w:pPr>
              <w:jc w:val="center"/>
              <w:rPr>
                <w:rFonts w:ascii="Book Antiqua" w:hAnsi="Book Antiqua" w:cs="Calibri"/>
                <w:b/>
                <w:bCs/>
                <w:sz w:val="20"/>
                <w:szCs w:val="20"/>
                <w:lang w:eastAsia="es-CR"/>
              </w:rPr>
            </w:pPr>
            <w:r w:rsidRPr="00247079">
              <w:rPr>
                <w:rFonts w:ascii="Book Antiqua" w:hAnsi="Book Antiqua" w:cs="Calibri"/>
                <w:b/>
                <w:bCs/>
                <w:sz w:val="20"/>
                <w:szCs w:val="20"/>
                <w:lang w:eastAsia="es-CR"/>
              </w:rPr>
              <w:t>20 %</w:t>
            </w:r>
          </w:p>
        </w:tc>
        <w:tc>
          <w:tcPr>
            <w:tcW w:w="643" w:type="dxa"/>
            <w:tcBorders>
              <w:top w:val="nil"/>
              <w:left w:val="nil"/>
              <w:bottom w:val="single" w:sz="4" w:space="0" w:color="auto"/>
              <w:right w:val="single" w:sz="4" w:space="0" w:color="auto"/>
            </w:tcBorders>
            <w:shd w:val="clear" w:color="000000" w:fill="F2F2F2"/>
            <w:noWrap/>
            <w:vAlign w:val="center"/>
            <w:hideMark/>
          </w:tcPr>
          <w:p w14:paraId="2FAB94AF" w14:textId="77777777" w:rsidR="004C5CBE" w:rsidRPr="00247079" w:rsidRDefault="004C5CBE" w:rsidP="004C5CBE">
            <w:pPr>
              <w:jc w:val="center"/>
              <w:rPr>
                <w:rFonts w:ascii="Book Antiqua" w:hAnsi="Book Antiqua" w:cs="Calibri"/>
                <w:b/>
                <w:bCs/>
                <w:sz w:val="20"/>
                <w:szCs w:val="20"/>
                <w:lang w:eastAsia="es-CR"/>
              </w:rPr>
            </w:pPr>
            <w:r w:rsidRPr="00247079">
              <w:rPr>
                <w:rFonts w:ascii="Book Antiqua" w:hAnsi="Book Antiqua" w:cs="Calibri"/>
                <w:b/>
                <w:bCs/>
                <w:sz w:val="20"/>
                <w:szCs w:val="20"/>
                <w:lang w:eastAsia="es-CR"/>
              </w:rPr>
              <w:t>18 %</w:t>
            </w:r>
          </w:p>
        </w:tc>
        <w:tc>
          <w:tcPr>
            <w:tcW w:w="882" w:type="dxa"/>
            <w:gridSpan w:val="2"/>
            <w:tcBorders>
              <w:top w:val="nil"/>
              <w:left w:val="nil"/>
              <w:bottom w:val="single" w:sz="4" w:space="0" w:color="auto"/>
              <w:right w:val="single" w:sz="4" w:space="0" w:color="auto"/>
            </w:tcBorders>
            <w:shd w:val="clear" w:color="000000" w:fill="F2F2F2"/>
            <w:noWrap/>
            <w:vAlign w:val="center"/>
            <w:hideMark/>
          </w:tcPr>
          <w:p w14:paraId="6473D5EA" w14:textId="77777777" w:rsidR="004C5CBE" w:rsidRPr="00247079" w:rsidRDefault="004C5CBE" w:rsidP="004C5CBE">
            <w:pPr>
              <w:jc w:val="center"/>
              <w:rPr>
                <w:rFonts w:ascii="Book Antiqua" w:hAnsi="Book Antiqua" w:cs="Calibri"/>
                <w:b/>
                <w:bCs/>
                <w:sz w:val="20"/>
                <w:szCs w:val="20"/>
                <w:lang w:eastAsia="es-CR"/>
              </w:rPr>
            </w:pPr>
            <w:r w:rsidRPr="00247079">
              <w:rPr>
                <w:rFonts w:ascii="Book Antiqua" w:hAnsi="Book Antiqua" w:cs="Calibri"/>
                <w:b/>
                <w:bCs/>
                <w:sz w:val="20"/>
                <w:szCs w:val="20"/>
                <w:lang w:eastAsia="es-CR"/>
              </w:rPr>
              <w:t>100 %</w:t>
            </w:r>
          </w:p>
        </w:tc>
      </w:tr>
    </w:tbl>
    <w:p w14:paraId="6767AB49" w14:textId="77777777" w:rsidR="004C5CBE" w:rsidRPr="00307D3C" w:rsidRDefault="004C5CBE" w:rsidP="004C5CBE">
      <w:pPr>
        <w:pStyle w:val="Tablas"/>
        <w:spacing w:line="240" w:lineRule="auto"/>
        <w:rPr>
          <w:rFonts w:eastAsia="Calibri"/>
          <w:b w:val="0"/>
          <w:i w:val="0"/>
          <w:iCs w:val="0"/>
          <w:sz w:val="24"/>
          <w:szCs w:val="24"/>
          <w:lang w:eastAsia="zh-CN"/>
        </w:rPr>
      </w:pPr>
      <w:r w:rsidRPr="00307D3C">
        <w:rPr>
          <w:bCs/>
          <w:i w:val="0"/>
          <w:iCs w:val="0"/>
        </w:rPr>
        <w:t xml:space="preserve">Fuente: </w:t>
      </w:r>
      <w:r w:rsidRPr="00307D3C">
        <w:rPr>
          <w:b w:val="0"/>
          <w:i w:val="0"/>
          <w:iCs w:val="0"/>
        </w:rPr>
        <w:t>Subproceso de Modernización Institucional</w:t>
      </w:r>
    </w:p>
    <w:p w14:paraId="0F22FC9E" w14:textId="77777777" w:rsidR="004C5CBE" w:rsidRDefault="004C5CBE" w:rsidP="004C5CBE">
      <w:pPr>
        <w:jc w:val="both"/>
        <w:rPr>
          <w:rFonts w:ascii="Book Antiqua" w:hAnsi="Book Antiqua"/>
          <w:lang w:eastAsia="es-CR"/>
        </w:rPr>
      </w:pPr>
    </w:p>
    <w:p w14:paraId="4C266357" w14:textId="175CED52" w:rsidR="00681785" w:rsidRPr="006F775A" w:rsidRDefault="00681785" w:rsidP="006F775A">
      <w:pPr>
        <w:rPr>
          <w:rFonts w:ascii="Book Antiqua" w:eastAsia="Calibri" w:hAnsi="Book Antiqua" w:cs="Arial"/>
          <w:color w:val="000000" w:themeColor="text1"/>
          <w:lang w:val="es-ES" w:eastAsia="es-CR"/>
        </w:rPr>
      </w:pPr>
      <w:r w:rsidRPr="006F775A">
        <w:rPr>
          <w:rFonts w:ascii="Book Antiqua" w:eastAsia="Calibri" w:hAnsi="Book Antiqua" w:cs="Arial"/>
          <w:color w:val="000000" w:themeColor="text1"/>
          <w:lang w:val="es-ES" w:eastAsia="es-CR"/>
        </w:rPr>
        <w:t>C</w:t>
      </w:r>
      <w:r w:rsidRPr="006F775A">
        <w:rPr>
          <w:rFonts w:ascii="Book Antiqua" w:eastAsia="Calibri" w:hAnsi="Book Antiqua" w:cs="Arial"/>
          <w:b/>
          <w:bCs/>
          <w:color w:val="000000" w:themeColor="text1"/>
          <w:lang w:val="es-ES" w:eastAsia="es-CR"/>
        </w:rPr>
        <w:t xml:space="preserve">APITULO </w:t>
      </w:r>
      <w:r w:rsidR="00693C77" w:rsidRPr="006F775A">
        <w:rPr>
          <w:rFonts w:ascii="Book Antiqua" w:eastAsia="Calibri" w:hAnsi="Book Antiqua" w:cs="Arial"/>
          <w:b/>
          <w:bCs/>
          <w:color w:val="000000" w:themeColor="text1"/>
          <w:lang w:val="es-ES" w:eastAsia="es-CR"/>
        </w:rPr>
        <w:t>XI</w:t>
      </w:r>
      <w:r w:rsidR="0004421E" w:rsidRPr="006F775A">
        <w:rPr>
          <w:rFonts w:ascii="Book Antiqua" w:eastAsia="Calibri" w:hAnsi="Book Antiqua" w:cs="Arial"/>
          <w:b/>
          <w:bCs/>
          <w:color w:val="000000" w:themeColor="text1"/>
          <w:lang w:val="es-ES" w:eastAsia="es-CR"/>
        </w:rPr>
        <w:t>I</w:t>
      </w:r>
      <w:r w:rsidRPr="006F775A">
        <w:rPr>
          <w:rFonts w:ascii="Book Antiqua" w:eastAsia="Calibri" w:hAnsi="Book Antiqua" w:cs="Arial"/>
          <w:b/>
          <w:bCs/>
          <w:color w:val="000000" w:themeColor="text1"/>
          <w:lang w:val="es-ES" w:eastAsia="es-CR"/>
        </w:rPr>
        <w:t>. CONCLUSIONES</w:t>
      </w:r>
    </w:p>
    <w:bookmarkEnd w:id="27"/>
    <w:p w14:paraId="32A21077" w14:textId="55BA1B33" w:rsidR="00681785" w:rsidRPr="00693C77" w:rsidRDefault="00681785" w:rsidP="00985591">
      <w:pPr>
        <w:spacing w:line="276" w:lineRule="auto"/>
        <w:rPr>
          <w:rFonts w:ascii="Book Antiqua" w:eastAsia="Calibri" w:hAnsi="Book Antiqua" w:cs="Arial"/>
          <w:color w:val="000000" w:themeColor="text1"/>
          <w:lang w:val="es-ES" w:eastAsia="es-CR"/>
        </w:rPr>
      </w:pPr>
    </w:p>
    <w:p w14:paraId="5FB253F5" w14:textId="14A9F9F0" w:rsidR="00681785" w:rsidRPr="004F0E92" w:rsidRDefault="00681785" w:rsidP="00985591">
      <w:pPr>
        <w:spacing w:line="276" w:lineRule="auto"/>
        <w:rPr>
          <w:rFonts w:ascii="Book Antiqua" w:eastAsia="Calibri" w:hAnsi="Book Antiqua" w:cs="Arial"/>
          <w:color w:val="000000" w:themeColor="text1"/>
          <w:lang w:val="es-ES" w:eastAsia="es-CR"/>
        </w:rPr>
      </w:pPr>
      <w:r w:rsidRPr="00693C77">
        <w:rPr>
          <w:rFonts w:ascii="Book Antiqua" w:eastAsia="Calibri" w:hAnsi="Book Antiqua" w:cs="Arial"/>
          <w:color w:val="000000" w:themeColor="text1"/>
          <w:lang w:val="es-ES" w:eastAsia="es-CR"/>
        </w:rPr>
        <w:t xml:space="preserve">A </w:t>
      </w:r>
      <w:r w:rsidR="00066748" w:rsidRPr="00693C77">
        <w:rPr>
          <w:rFonts w:ascii="Book Antiqua" w:eastAsia="Calibri" w:hAnsi="Book Antiqua" w:cs="Arial"/>
          <w:color w:val="000000" w:themeColor="text1"/>
          <w:lang w:val="es-ES" w:eastAsia="es-CR"/>
        </w:rPr>
        <w:t>continuación,</w:t>
      </w:r>
      <w:r w:rsidRPr="00693C77">
        <w:rPr>
          <w:rFonts w:ascii="Book Antiqua" w:eastAsia="Calibri" w:hAnsi="Book Antiqua" w:cs="Arial"/>
          <w:color w:val="000000" w:themeColor="text1"/>
          <w:lang w:val="es-ES" w:eastAsia="es-CR"/>
        </w:rPr>
        <w:t xml:space="preserve"> se detallan las conclusiones de cada apartado:</w:t>
      </w:r>
    </w:p>
    <w:p w14:paraId="634410B5" w14:textId="77777777" w:rsidR="00AB39EC" w:rsidRPr="004F0E92" w:rsidRDefault="00AB39EC" w:rsidP="00985591">
      <w:pPr>
        <w:spacing w:line="276" w:lineRule="auto"/>
        <w:rPr>
          <w:rFonts w:ascii="Book Antiqua" w:eastAsia="Calibri" w:hAnsi="Book Antiqua" w:cs="Arial"/>
          <w:color w:val="000000" w:themeColor="text1"/>
          <w:lang w:val="es-ES" w:eastAsia="es-CR"/>
        </w:rPr>
      </w:pPr>
    </w:p>
    <w:p w14:paraId="77BDD07A" w14:textId="37712B04" w:rsidR="00681785" w:rsidRPr="004F0E92" w:rsidRDefault="00681785" w:rsidP="00985591">
      <w:pPr>
        <w:spacing w:line="276" w:lineRule="auto"/>
        <w:rPr>
          <w:rFonts w:ascii="Book Antiqua" w:hAnsi="Book Antiqua"/>
          <w:b/>
          <w:bCs/>
        </w:rPr>
      </w:pPr>
      <w:r w:rsidRPr="009179C3">
        <w:rPr>
          <w:rFonts w:ascii="Book Antiqua" w:hAnsi="Book Antiqua"/>
          <w:b/>
          <w:bCs/>
        </w:rPr>
        <w:t>Capítulo I. Movimiento general de trabajo</w:t>
      </w:r>
    </w:p>
    <w:p w14:paraId="21C2A28B" w14:textId="77777777" w:rsidR="00681785" w:rsidRPr="004F0E92" w:rsidRDefault="00681785" w:rsidP="00985591">
      <w:pPr>
        <w:spacing w:line="276" w:lineRule="auto"/>
        <w:rPr>
          <w:rFonts w:ascii="Book Antiqua" w:hAnsi="Book Antiqua"/>
        </w:rPr>
      </w:pPr>
    </w:p>
    <w:p w14:paraId="2C3052C4" w14:textId="77777777" w:rsidR="008B5392" w:rsidRPr="008B5392" w:rsidRDefault="00257E23" w:rsidP="0073399F">
      <w:pPr>
        <w:pStyle w:val="Prrafodelista"/>
        <w:numPr>
          <w:ilvl w:val="0"/>
          <w:numId w:val="11"/>
        </w:numPr>
        <w:jc w:val="both"/>
        <w:rPr>
          <w:rFonts w:ascii="Book Antiqua" w:hAnsi="Book Antiqua"/>
          <w:lang w:eastAsia="es-CR"/>
        </w:rPr>
      </w:pPr>
      <w:r w:rsidRPr="008B5392">
        <w:rPr>
          <w:rFonts w:ascii="Book Antiqua" w:hAnsi="Book Antiqua"/>
          <w:lang w:eastAsia="es-CR"/>
        </w:rPr>
        <w:t xml:space="preserve">El </w:t>
      </w:r>
      <w:r w:rsidR="008B5392" w:rsidRPr="008B5392">
        <w:rPr>
          <w:rFonts w:ascii="Book Antiqua" w:hAnsi="Book Antiqua"/>
          <w:lang w:eastAsia="es-CR"/>
        </w:rPr>
        <w:t>promedio de entrada mensual de asuntos nuevos de enero a setiembre de 2021 fue de 58.314 asuntos, lo que, representa una disminución significativa en relación con el 2019 del 15.85% y una leve recuperación al darse un incremento del 1.80% con respecto al año anterior. El mayor promedio mensual de 2021, lo obtiene la categoría No Penal con 38.778 registros, seguidamente, la materia Penal con 14.458.</w:t>
      </w:r>
    </w:p>
    <w:p w14:paraId="6F16C966" w14:textId="54E3E8BE" w:rsidR="001665C6" w:rsidRPr="008B5392" w:rsidRDefault="001665C6" w:rsidP="008B5392">
      <w:pPr>
        <w:pStyle w:val="Prrafodelista"/>
        <w:spacing w:line="276" w:lineRule="auto"/>
        <w:ind w:left="720"/>
        <w:contextualSpacing/>
        <w:jc w:val="both"/>
        <w:rPr>
          <w:rFonts w:ascii="Book Antiqua" w:hAnsi="Book Antiqua"/>
          <w:lang w:eastAsia="en-US"/>
        </w:rPr>
      </w:pPr>
    </w:p>
    <w:p w14:paraId="0B96BA74" w14:textId="6A7727C4" w:rsidR="008B5392" w:rsidRPr="008B5392" w:rsidRDefault="008B5392" w:rsidP="0073399F">
      <w:pPr>
        <w:pStyle w:val="Prrafodelista"/>
        <w:numPr>
          <w:ilvl w:val="0"/>
          <w:numId w:val="11"/>
        </w:numPr>
        <w:spacing w:line="276" w:lineRule="auto"/>
        <w:contextualSpacing/>
        <w:jc w:val="both"/>
        <w:rPr>
          <w:rFonts w:ascii="Book Antiqua" w:hAnsi="Book Antiqua"/>
          <w:lang w:val="es-ES_tradnl" w:eastAsia="en-US"/>
        </w:rPr>
      </w:pPr>
      <w:r w:rsidRPr="008B5392">
        <w:rPr>
          <w:rFonts w:ascii="Book Antiqua" w:hAnsi="Book Antiqua"/>
          <w:lang w:val="es-ES_tradnl" w:eastAsia="en-US"/>
        </w:rPr>
        <w:t>El promedio mensual de los casos culminados de enero a setiembre del año en curso es de 56.882 asuntos,</w:t>
      </w:r>
      <w:r w:rsidRPr="008B5392">
        <w:rPr>
          <w:rFonts w:ascii="Book Antiqua" w:hAnsi="Book Antiqua"/>
          <w:lang w:val="es-ES" w:eastAsia="en-US"/>
        </w:rPr>
        <w:t xml:space="preserve"> lo que significa, un decrecimiento del 7.71% en comparación con el 2019 y un incremento del 7.33% con respecto al 2020.</w:t>
      </w:r>
    </w:p>
    <w:p w14:paraId="6BB53CCB" w14:textId="77777777" w:rsidR="00EA1AEC" w:rsidRPr="00EA1AEC" w:rsidRDefault="00EA1AEC" w:rsidP="00985591">
      <w:pPr>
        <w:spacing w:line="276" w:lineRule="auto"/>
        <w:contextualSpacing/>
        <w:jc w:val="both"/>
        <w:rPr>
          <w:rFonts w:ascii="Book Antiqua" w:hAnsi="Book Antiqua"/>
          <w:lang w:val="es-ES_tradnl" w:eastAsia="en-US"/>
        </w:rPr>
      </w:pPr>
    </w:p>
    <w:p w14:paraId="4378CBB1" w14:textId="4DE6FE5B" w:rsidR="006211E7" w:rsidRPr="008B5392" w:rsidRDefault="008B5392" w:rsidP="0073399F">
      <w:pPr>
        <w:pStyle w:val="Prrafodelista"/>
        <w:numPr>
          <w:ilvl w:val="0"/>
          <w:numId w:val="11"/>
        </w:numPr>
        <w:shd w:val="clear" w:color="auto" w:fill="FFFFFF" w:themeFill="background1"/>
        <w:spacing w:line="276" w:lineRule="auto"/>
        <w:contextualSpacing/>
        <w:jc w:val="both"/>
        <w:rPr>
          <w:rFonts w:ascii="Book Antiqua" w:hAnsi="Book Antiqua"/>
          <w:lang w:val="es-ES_tradnl" w:eastAsia="en-US"/>
        </w:rPr>
      </w:pPr>
      <w:r w:rsidRPr="008B5392">
        <w:rPr>
          <w:rFonts w:ascii="Book Antiqua" w:hAnsi="Book Antiqua"/>
          <w:lang w:val="es-ES_tradnl" w:eastAsia="en-US"/>
        </w:rPr>
        <w:t>A</w:t>
      </w:r>
      <w:r w:rsidR="001665C6" w:rsidRPr="008B5392">
        <w:rPr>
          <w:rFonts w:ascii="Book Antiqua" w:hAnsi="Book Antiqua"/>
          <w:lang w:val="es-ES_tradnl" w:eastAsia="en-US"/>
        </w:rPr>
        <w:t xml:space="preserve"> </w:t>
      </w:r>
      <w:r w:rsidRPr="008B5392">
        <w:rPr>
          <w:rFonts w:ascii="Book Antiqua" w:hAnsi="Book Antiqua"/>
          <w:lang w:val="es-ES_tradnl" w:eastAsia="en-US"/>
        </w:rPr>
        <w:t>nivel de toda la institución en setiembre 2021 incluyendo cobro se cierra con 1.345.085 expedientes activos lo que implica un incremento del circulante con respecto a diciembre 2019, el cual era de 1.287.171 siendo esta, una tasa del 4.50%. Al comparar con el 2020, se visualiza una leve disminución de 0.61%, lo que significa una reducción de 8.191 registros en total. Al realizarse ese mismo análisis, pero sin considerar la materia cobratoria se determina que en setiembre el circulante final hubiera sido de 515.706, en diciembre 2020 de 520.593 y en diciembre 2019 de 539.015, lo cual implicó una disminución del 4.32% con respecto al 2019 y 0.94% en relación con el 2020.</w:t>
      </w:r>
    </w:p>
    <w:p w14:paraId="516C94D5" w14:textId="77777777" w:rsidR="001665C6" w:rsidRPr="00E67287" w:rsidRDefault="001665C6" w:rsidP="00985591">
      <w:pPr>
        <w:shd w:val="clear" w:color="auto" w:fill="FFFFFF" w:themeFill="background1"/>
        <w:spacing w:line="276" w:lineRule="auto"/>
        <w:contextualSpacing/>
        <w:jc w:val="both"/>
        <w:rPr>
          <w:rFonts w:ascii="Book Antiqua" w:hAnsi="Book Antiqua"/>
          <w:lang w:val="es-ES_tradnl"/>
        </w:rPr>
      </w:pPr>
    </w:p>
    <w:p w14:paraId="4D968027" w14:textId="2A416FE9" w:rsidR="001665C6" w:rsidRDefault="001665C6" w:rsidP="0073399F">
      <w:pPr>
        <w:pStyle w:val="Prrafodelista"/>
        <w:numPr>
          <w:ilvl w:val="0"/>
          <w:numId w:val="11"/>
        </w:numPr>
        <w:shd w:val="clear" w:color="auto" w:fill="FFFFFF" w:themeFill="background1"/>
        <w:spacing w:line="276" w:lineRule="auto"/>
        <w:contextualSpacing/>
        <w:jc w:val="both"/>
        <w:rPr>
          <w:rFonts w:ascii="Book Antiqua" w:hAnsi="Book Antiqua"/>
          <w:lang w:val="es-ES_tradnl"/>
        </w:rPr>
      </w:pPr>
      <w:r>
        <w:rPr>
          <w:rFonts w:ascii="Book Antiqua" w:hAnsi="Book Antiqua"/>
          <w:lang w:val="es-ES_tradnl"/>
        </w:rPr>
        <w:t>Las siguientes materias no mejoraron sus terminados con respecto al</w:t>
      </w:r>
      <w:r w:rsidR="00A82BDC">
        <w:rPr>
          <w:rFonts w:ascii="Book Antiqua" w:hAnsi="Book Antiqua"/>
          <w:lang w:val="es-ES_tradnl"/>
        </w:rPr>
        <w:t xml:space="preserve"> 2019 y 2020</w:t>
      </w:r>
      <w:r>
        <w:rPr>
          <w:rFonts w:ascii="Book Antiqua" w:hAnsi="Book Antiqua"/>
          <w:lang w:val="es-ES_tradnl"/>
        </w:rPr>
        <w:t>:</w:t>
      </w:r>
    </w:p>
    <w:p w14:paraId="302307C3" w14:textId="77777777" w:rsidR="0028459F" w:rsidRDefault="0028459F" w:rsidP="00985591">
      <w:pPr>
        <w:pStyle w:val="Prrafodelista"/>
        <w:shd w:val="clear" w:color="auto" w:fill="FFFFFF" w:themeFill="background1"/>
        <w:spacing w:line="276" w:lineRule="auto"/>
        <w:ind w:left="720"/>
        <w:contextualSpacing/>
        <w:jc w:val="center"/>
        <w:rPr>
          <w:rFonts w:ascii="Book Antiqua" w:hAnsi="Book Antiqua"/>
          <w:b/>
          <w:bCs/>
          <w:lang w:val="es-ES_tradnl"/>
        </w:rPr>
      </w:pPr>
    </w:p>
    <w:p w14:paraId="17821C80" w14:textId="77777777" w:rsidR="0028459F" w:rsidRDefault="0028459F" w:rsidP="00985591">
      <w:pPr>
        <w:pStyle w:val="Prrafodelista"/>
        <w:shd w:val="clear" w:color="auto" w:fill="FFFFFF" w:themeFill="background1"/>
        <w:spacing w:line="276" w:lineRule="auto"/>
        <w:ind w:left="720"/>
        <w:contextualSpacing/>
        <w:jc w:val="center"/>
        <w:rPr>
          <w:rFonts w:ascii="Book Antiqua" w:hAnsi="Book Antiqua"/>
          <w:b/>
          <w:bCs/>
          <w:lang w:val="es-ES_tradnl"/>
        </w:rPr>
      </w:pPr>
    </w:p>
    <w:p w14:paraId="611BFB8B" w14:textId="77777777" w:rsidR="006F775A" w:rsidRDefault="001665C6" w:rsidP="002952B3">
      <w:pPr>
        <w:pStyle w:val="Prrafodelista"/>
        <w:shd w:val="clear" w:color="auto" w:fill="FFFFFF" w:themeFill="background1"/>
        <w:spacing w:line="276" w:lineRule="auto"/>
        <w:ind w:left="720"/>
        <w:contextualSpacing/>
        <w:jc w:val="center"/>
        <w:rPr>
          <w:rFonts w:ascii="Book Antiqua" w:hAnsi="Book Antiqua"/>
          <w:b/>
          <w:bCs/>
          <w:lang w:val="es-ES_tradnl"/>
        </w:rPr>
      </w:pPr>
      <w:r w:rsidRPr="00A82BDC">
        <w:rPr>
          <w:rFonts w:ascii="Book Antiqua" w:hAnsi="Book Antiqua"/>
          <w:b/>
          <w:bCs/>
          <w:lang w:val="es-ES_tradnl"/>
        </w:rPr>
        <w:t xml:space="preserve">Cuadro </w:t>
      </w:r>
      <w:r w:rsidR="00291BCD">
        <w:rPr>
          <w:rFonts w:ascii="Book Antiqua" w:hAnsi="Book Antiqua"/>
          <w:b/>
          <w:bCs/>
          <w:lang w:val="es-ES_tradnl"/>
        </w:rPr>
        <w:t>92</w:t>
      </w:r>
    </w:p>
    <w:p w14:paraId="3DD49513" w14:textId="6E8E388A" w:rsidR="001665C6" w:rsidRPr="002952B3" w:rsidRDefault="001665C6" w:rsidP="002952B3">
      <w:pPr>
        <w:pStyle w:val="Prrafodelista"/>
        <w:shd w:val="clear" w:color="auto" w:fill="FFFFFF" w:themeFill="background1"/>
        <w:spacing w:line="276" w:lineRule="auto"/>
        <w:ind w:left="720"/>
        <w:contextualSpacing/>
        <w:jc w:val="center"/>
        <w:rPr>
          <w:rFonts w:ascii="Book Antiqua" w:hAnsi="Book Antiqua"/>
          <w:b/>
          <w:bCs/>
          <w:highlight w:val="cyan"/>
          <w:lang w:val="es-ES_tradnl"/>
        </w:rPr>
      </w:pPr>
      <w:r w:rsidRPr="00291BCD">
        <w:rPr>
          <w:rFonts w:ascii="Book Antiqua" w:hAnsi="Book Antiqua"/>
          <w:b/>
          <w:bCs/>
          <w:lang w:val="es-ES_tradnl"/>
        </w:rPr>
        <w:t xml:space="preserve"> </w:t>
      </w:r>
      <w:r w:rsidR="00291BCD" w:rsidRPr="00291BCD">
        <w:rPr>
          <w:rFonts w:ascii="Book Antiqua" w:hAnsi="Book Antiqua"/>
          <w:b/>
          <w:bCs/>
          <w:lang w:val="es-ES_tradnl"/>
        </w:rPr>
        <w:t>Porcentaje de crecimiento 2021 versus 2019 y 2020 en terminados</w:t>
      </w:r>
    </w:p>
    <w:tbl>
      <w:tblPr>
        <w:tblW w:w="5740" w:type="dxa"/>
        <w:jc w:val="center"/>
        <w:tblCellMar>
          <w:left w:w="70" w:type="dxa"/>
          <w:right w:w="70" w:type="dxa"/>
        </w:tblCellMar>
        <w:tblLook w:val="04A0" w:firstRow="1" w:lastRow="0" w:firstColumn="1" w:lastColumn="0" w:noHBand="0" w:noVBand="1"/>
      </w:tblPr>
      <w:tblGrid>
        <w:gridCol w:w="3340"/>
        <w:gridCol w:w="1200"/>
        <w:gridCol w:w="1200"/>
      </w:tblGrid>
      <w:tr w:rsidR="00291BCD" w:rsidRPr="00A65686" w14:paraId="3D8779B5" w14:textId="77777777" w:rsidTr="00243F14">
        <w:trPr>
          <w:trHeight w:val="520"/>
          <w:jc w:val="center"/>
        </w:trPr>
        <w:tc>
          <w:tcPr>
            <w:tcW w:w="3340" w:type="dxa"/>
            <w:tcBorders>
              <w:top w:val="single" w:sz="4" w:space="0" w:color="auto"/>
              <w:left w:val="single" w:sz="4" w:space="0" w:color="auto"/>
              <w:bottom w:val="single" w:sz="4" w:space="0" w:color="auto"/>
              <w:right w:val="single" w:sz="4" w:space="0" w:color="auto"/>
            </w:tcBorders>
            <w:shd w:val="clear" w:color="000000" w:fill="305496"/>
            <w:noWrap/>
            <w:vAlign w:val="center"/>
            <w:hideMark/>
          </w:tcPr>
          <w:p w14:paraId="4E71E5C7" w14:textId="77777777" w:rsidR="00291BCD" w:rsidRPr="00A65686" w:rsidRDefault="00291BCD" w:rsidP="00243F14">
            <w:pPr>
              <w:jc w:val="center"/>
              <w:rPr>
                <w:rFonts w:ascii="Book Antiqua" w:hAnsi="Book Antiqua" w:cs="Calibri"/>
                <w:b/>
                <w:bCs/>
                <w:color w:val="FFFFFF"/>
                <w:sz w:val="16"/>
                <w:szCs w:val="16"/>
                <w:lang w:eastAsia="es-CR"/>
              </w:rPr>
            </w:pPr>
            <w:r w:rsidRPr="00A65686">
              <w:rPr>
                <w:rFonts w:ascii="Book Antiqua" w:hAnsi="Book Antiqua" w:cs="Calibri"/>
                <w:b/>
                <w:bCs/>
                <w:color w:val="FFFFFF"/>
                <w:sz w:val="16"/>
                <w:szCs w:val="16"/>
                <w:lang w:eastAsia="es-CR"/>
              </w:rPr>
              <w:t>Materia</w:t>
            </w:r>
          </w:p>
        </w:tc>
        <w:tc>
          <w:tcPr>
            <w:tcW w:w="1200" w:type="dxa"/>
            <w:tcBorders>
              <w:top w:val="single" w:sz="4" w:space="0" w:color="auto"/>
              <w:left w:val="nil"/>
              <w:bottom w:val="single" w:sz="4" w:space="0" w:color="auto"/>
              <w:right w:val="single" w:sz="4" w:space="0" w:color="auto"/>
            </w:tcBorders>
            <w:shd w:val="clear" w:color="000000" w:fill="305496"/>
            <w:vAlign w:val="center"/>
            <w:hideMark/>
          </w:tcPr>
          <w:p w14:paraId="0288F0EB" w14:textId="77777777" w:rsidR="00291BCD" w:rsidRPr="00A65686" w:rsidRDefault="00291BCD" w:rsidP="00243F14">
            <w:pPr>
              <w:jc w:val="center"/>
              <w:rPr>
                <w:rFonts w:ascii="Book Antiqua" w:hAnsi="Book Antiqua" w:cs="Calibri"/>
                <w:b/>
                <w:bCs/>
                <w:color w:val="FFFFFF"/>
                <w:sz w:val="16"/>
                <w:szCs w:val="16"/>
                <w:lang w:eastAsia="es-CR"/>
              </w:rPr>
            </w:pPr>
            <w:r w:rsidRPr="00A65686">
              <w:rPr>
                <w:rFonts w:ascii="Book Antiqua" w:hAnsi="Book Antiqua" w:cs="Calibri"/>
                <w:b/>
                <w:bCs/>
                <w:color w:val="FFFFFF"/>
                <w:sz w:val="16"/>
                <w:szCs w:val="16"/>
                <w:lang w:eastAsia="es-CR"/>
              </w:rPr>
              <w:t>Diferencia 2021vs 2019</w:t>
            </w:r>
          </w:p>
        </w:tc>
        <w:tc>
          <w:tcPr>
            <w:tcW w:w="1200" w:type="dxa"/>
            <w:tcBorders>
              <w:top w:val="single" w:sz="4" w:space="0" w:color="auto"/>
              <w:left w:val="nil"/>
              <w:bottom w:val="single" w:sz="4" w:space="0" w:color="auto"/>
              <w:right w:val="single" w:sz="4" w:space="0" w:color="auto"/>
            </w:tcBorders>
            <w:shd w:val="clear" w:color="000000" w:fill="305496"/>
            <w:vAlign w:val="center"/>
            <w:hideMark/>
          </w:tcPr>
          <w:p w14:paraId="5A8F10E1" w14:textId="77777777" w:rsidR="00291BCD" w:rsidRPr="00A65686" w:rsidRDefault="00291BCD" w:rsidP="00243F14">
            <w:pPr>
              <w:jc w:val="center"/>
              <w:rPr>
                <w:rFonts w:ascii="Book Antiqua" w:hAnsi="Book Antiqua" w:cs="Calibri"/>
                <w:b/>
                <w:bCs/>
                <w:color w:val="FFFFFF"/>
                <w:sz w:val="16"/>
                <w:szCs w:val="16"/>
                <w:lang w:eastAsia="es-CR"/>
              </w:rPr>
            </w:pPr>
            <w:r w:rsidRPr="00A65686">
              <w:rPr>
                <w:rFonts w:ascii="Book Antiqua" w:hAnsi="Book Antiqua" w:cs="Calibri"/>
                <w:b/>
                <w:bCs/>
                <w:color w:val="FFFFFF"/>
                <w:sz w:val="16"/>
                <w:szCs w:val="16"/>
                <w:lang w:eastAsia="es-CR"/>
              </w:rPr>
              <w:t>Diferencia 2021vs 2020</w:t>
            </w:r>
          </w:p>
        </w:tc>
      </w:tr>
      <w:tr w:rsidR="00291BCD" w:rsidRPr="00A65686" w14:paraId="7B709797" w14:textId="77777777" w:rsidTr="00243F14">
        <w:trPr>
          <w:trHeight w:val="290"/>
          <w:jc w:val="center"/>
        </w:trPr>
        <w:tc>
          <w:tcPr>
            <w:tcW w:w="3340" w:type="dxa"/>
            <w:tcBorders>
              <w:top w:val="nil"/>
              <w:left w:val="single" w:sz="4" w:space="0" w:color="auto"/>
              <w:bottom w:val="single" w:sz="4" w:space="0" w:color="auto"/>
              <w:right w:val="single" w:sz="4" w:space="0" w:color="auto"/>
            </w:tcBorders>
            <w:shd w:val="clear" w:color="auto" w:fill="auto"/>
            <w:noWrap/>
            <w:vAlign w:val="center"/>
            <w:hideMark/>
          </w:tcPr>
          <w:p w14:paraId="1154E9CD" w14:textId="77777777" w:rsidR="00291BCD" w:rsidRPr="00A65686" w:rsidRDefault="00291BCD" w:rsidP="00243F14">
            <w:pPr>
              <w:rPr>
                <w:rFonts w:ascii="Book Antiqua" w:hAnsi="Book Antiqua" w:cs="Calibri"/>
                <w:color w:val="000000"/>
                <w:sz w:val="16"/>
                <w:szCs w:val="16"/>
                <w:lang w:eastAsia="es-CR"/>
              </w:rPr>
            </w:pPr>
            <w:r w:rsidRPr="00A65686">
              <w:rPr>
                <w:rFonts w:ascii="Book Antiqua" w:hAnsi="Book Antiqua" w:cs="Calibri"/>
                <w:color w:val="000000"/>
                <w:sz w:val="16"/>
                <w:szCs w:val="16"/>
                <w:lang w:eastAsia="es-CR"/>
              </w:rPr>
              <w:t>Sala Primera</w:t>
            </w:r>
          </w:p>
        </w:tc>
        <w:tc>
          <w:tcPr>
            <w:tcW w:w="1200" w:type="dxa"/>
            <w:tcBorders>
              <w:top w:val="nil"/>
              <w:left w:val="nil"/>
              <w:bottom w:val="single" w:sz="4" w:space="0" w:color="auto"/>
              <w:right w:val="single" w:sz="4" w:space="0" w:color="auto"/>
            </w:tcBorders>
            <w:shd w:val="clear" w:color="auto" w:fill="auto"/>
            <w:noWrap/>
            <w:vAlign w:val="center"/>
            <w:hideMark/>
          </w:tcPr>
          <w:p w14:paraId="019A172C" w14:textId="77777777" w:rsidR="00291BCD" w:rsidRPr="00A65686" w:rsidRDefault="00291BCD" w:rsidP="00243F14">
            <w:pPr>
              <w:jc w:val="center"/>
              <w:rPr>
                <w:rFonts w:ascii="Book Antiqua" w:hAnsi="Book Antiqua" w:cs="Calibri"/>
                <w:color w:val="000000"/>
                <w:sz w:val="16"/>
                <w:szCs w:val="16"/>
                <w:lang w:eastAsia="es-CR"/>
              </w:rPr>
            </w:pPr>
            <w:r w:rsidRPr="00A65686">
              <w:rPr>
                <w:rFonts w:ascii="Book Antiqua" w:hAnsi="Book Antiqua" w:cs="Calibri"/>
                <w:color w:val="000000"/>
                <w:sz w:val="16"/>
                <w:szCs w:val="16"/>
                <w:lang w:eastAsia="es-CR"/>
              </w:rPr>
              <w:t>-58,54%</w:t>
            </w:r>
          </w:p>
        </w:tc>
        <w:tc>
          <w:tcPr>
            <w:tcW w:w="1200" w:type="dxa"/>
            <w:tcBorders>
              <w:top w:val="nil"/>
              <w:left w:val="nil"/>
              <w:bottom w:val="single" w:sz="4" w:space="0" w:color="auto"/>
              <w:right w:val="single" w:sz="4" w:space="0" w:color="auto"/>
            </w:tcBorders>
            <w:shd w:val="clear" w:color="auto" w:fill="auto"/>
            <w:noWrap/>
            <w:vAlign w:val="center"/>
            <w:hideMark/>
          </w:tcPr>
          <w:p w14:paraId="0F77A138" w14:textId="77777777" w:rsidR="00291BCD" w:rsidRPr="00A65686" w:rsidRDefault="00291BCD" w:rsidP="00243F14">
            <w:pPr>
              <w:jc w:val="center"/>
              <w:rPr>
                <w:rFonts w:ascii="Book Antiqua" w:hAnsi="Book Antiqua" w:cs="Calibri"/>
                <w:color w:val="000000"/>
                <w:sz w:val="16"/>
                <w:szCs w:val="16"/>
                <w:lang w:eastAsia="es-CR"/>
              </w:rPr>
            </w:pPr>
            <w:r w:rsidRPr="00A65686">
              <w:rPr>
                <w:rFonts w:ascii="Book Antiqua" w:hAnsi="Book Antiqua" w:cs="Calibri"/>
                <w:color w:val="000000"/>
                <w:sz w:val="16"/>
                <w:szCs w:val="16"/>
                <w:lang w:eastAsia="es-CR"/>
              </w:rPr>
              <w:t>-34,88%</w:t>
            </w:r>
          </w:p>
        </w:tc>
      </w:tr>
      <w:tr w:rsidR="00291BCD" w:rsidRPr="00A65686" w14:paraId="3B4922E8" w14:textId="77777777" w:rsidTr="00243F14">
        <w:trPr>
          <w:trHeight w:val="290"/>
          <w:jc w:val="center"/>
        </w:trPr>
        <w:tc>
          <w:tcPr>
            <w:tcW w:w="3340" w:type="dxa"/>
            <w:tcBorders>
              <w:top w:val="nil"/>
              <w:left w:val="single" w:sz="4" w:space="0" w:color="auto"/>
              <w:bottom w:val="single" w:sz="4" w:space="0" w:color="auto"/>
              <w:right w:val="single" w:sz="4" w:space="0" w:color="auto"/>
            </w:tcBorders>
            <w:shd w:val="clear" w:color="auto" w:fill="auto"/>
            <w:noWrap/>
            <w:vAlign w:val="center"/>
            <w:hideMark/>
          </w:tcPr>
          <w:p w14:paraId="297474AE" w14:textId="77777777" w:rsidR="00291BCD" w:rsidRPr="00A65686" w:rsidRDefault="00291BCD" w:rsidP="00243F14">
            <w:pPr>
              <w:rPr>
                <w:rFonts w:ascii="Book Antiqua" w:hAnsi="Book Antiqua" w:cs="Calibri"/>
                <w:color w:val="000000"/>
                <w:sz w:val="16"/>
                <w:szCs w:val="16"/>
                <w:lang w:eastAsia="es-CR"/>
              </w:rPr>
            </w:pPr>
            <w:r w:rsidRPr="00A65686">
              <w:rPr>
                <w:rFonts w:ascii="Book Antiqua" w:hAnsi="Book Antiqua" w:cs="Calibri"/>
                <w:color w:val="000000"/>
                <w:sz w:val="16"/>
                <w:szCs w:val="16"/>
                <w:lang w:eastAsia="es-CR"/>
              </w:rPr>
              <w:t>Juzgado Penal Juvenil</w:t>
            </w:r>
          </w:p>
        </w:tc>
        <w:tc>
          <w:tcPr>
            <w:tcW w:w="1200" w:type="dxa"/>
            <w:tcBorders>
              <w:top w:val="nil"/>
              <w:left w:val="nil"/>
              <w:bottom w:val="single" w:sz="4" w:space="0" w:color="auto"/>
              <w:right w:val="single" w:sz="4" w:space="0" w:color="auto"/>
            </w:tcBorders>
            <w:shd w:val="clear" w:color="auto" w:fill="auto"/>
            <w:noWrap/>
            <w:vAlign w:val="center"/>
            <w:hideMark/>
          </w:tcPr>
          <w:p w14:paraId="73ACF9F8" w14:textId="77777777" w:rsidR="00291BCD" w:rsidRPr="00A65686" w:rsidRDefault="00291BCD" w:rsidP="00243F14">
            <w:pPr>
              <w:jc w:val="center"/>
              <w:rPr>
                <w:rFonts w:ascii="Book Antiqua" w:hAnsi="Book Antiqua" w:cs="Calibri"/>
                <w:color w:val="000000"/>
                <w:sz w:val="16"/>
                <w:szCs w:val="16"/>
                <w:lang w:eastAsia="es-CR"/>
              </w:rPr>
            </w:pPr>
            <w:r w:rsidRPr="00A65686">
              <w:rPr>
                <w:rFonts w:ascii="Book Antiqua" w:hAnsi="Book Antiqua" w:cs="Calibri"/>
                <w:color w:val="000000"/>
                <w:sz w:val="16"/>
                <w:szCs w:val="16"/>
                <w:lang w:eastAsia="es-CR"/>
              </w:rPr>
              <w:t>-33,91%</w:t>
            </w:r>
          </w:p>
        </w:tc>
        <w:tc>
          <w:tcPr>
            <w:tcW w:w="1200" w:type="dxa"/>
            <w:tcBorders>
              <w:top w:val="nil"/>
              <w:left w:val="nil"/>
              <w:bottom w:val="single" w:sz="4" w:space="0" w:color="auto"/>
              <w:right w:val="single" w:sz="4" w:space="0" w:color="auto"/>
            </w:tcBorders>
            <w:shd w:val="clear" w:color="auto" w:fill="auto"/>
            <w:noWrap/>
            <w:vAlign w:val="center"/>
            <w:hideMark/>
          </w:tcPr>
          <w:p w14:paraId="4DFE993A" w14:textId="77777777" w:rsidR="00291BCD" w:rsidRPr="00A65686" w:rsidRDefault="00291BCD" w:rsidP="00243F14">
            <w:pPr>
              <w:jc w:val="center"/>
              <w:rPr>
                <w:rFonts w:ascii="Book Antiqua" w:hAnsi="Book Antiqua" w:cs="Calibri"/>
                <w:color w:val="000000"/>
                <w:sz w:val="16"/>
                <w:szCs w:val="16"/>
                <w:lang w:eastAsia="es-CR"/>
              </w:rPr>
            </w:pPr>
            <w:r w:rsidRPr="00A65686">
              <w:rPr>
                <w:rFonts w:ascii="Book Antiqua" w:hAnsi="Book Antiqua" w:cs="Calibri"/>
                <w:color w:val="000000"/>
                <w:sz w:val="16"/>
                <w:szCs w:val="16"/>
                <w:lang w:eastAsia="es-CR"/>
              </w:rPr>
              <w:t>-18,83%</w:t>
            </w:r>
          </w:p>
        </w:tc>
      </w:tr>
      <w:tr w:rsidR="00291BCD" w:rsidRPr="00A65686" w14:paraId="45A2A1A0" w14:textId="77777777" w:rsidTr="00243F14">
        <w:trPr>
          <w:trHeight w:val="290"/>
          <w:jc w:val="center"/>
        </w:trPr>
        <w:tc>
          <w:tcPr>
            <w:tcW w:w="3340" w:type="dxa"/>
            <w:tcBorders>
              <w:top w:val="nil"/>
              <w:left w:val="single" w:sz="4" w:space="0" w:color="auto"/>
              <w:bottom w:val="single" w:sz="4" w:space="0" w:color="auto"/>
              <w:right w:val="single" w:sz="4" w:space="0" w:color="auto"/>
            </w:tcBorders>
            <w:shd w:val="clear" w:color="auto" w:fill="auto"/>
            <w:noWrap/>
            <w:vAlign w:val="center"/>
            <w:hideMark/>
          </w:tcPr>
          <w:p w14:paraId="7FCCFA24" w14:textId="77777777" w:rsidR="00291BCD" w:rsidRPr="00A65686" w:rsidRDefault="00291BCD" w:rsidP="00243F14">
            <w:pPr>
              <w:rPr>
                <w:rFonts w:ascii="Book Antiqua" w:hAnsi="Book Antiqua" w:cs="Calibri"/>
                <w:color w:val="000000"/>
                <w:sz w:val="16"/>
                <w:szCs w:val="16"/>
                <w:lang w:eastAsia="es-CR"/>
              </w:rPr>
            </w:pPr>
            <w:r w:rsidRPr="00A65686">
              <w:rPr>
                <w:rFonts w:ascii="Book Antiqua" w:hAnsi="Book Antiqua" w:cs="Calibri"/>
                <w:color w:val="000000"/>
                <w:sz w:val="16"/>
                <w:szCs w:val="16"/>
                <w:lang w:eastAsia="es-CR"/>
              </w:rPr>
              <w:t>Tribunal Apelación (1120)</w:t>
            </w:r>
          </w:p>
        </w:tc>
        <w:tc>
          <w:tcPr>
            <w:tcW w:w="1200" w:type="dxa"/>
            <w:tcBorders>
              <w:top w:val="nil"/>
              <w:left w:val="nil"/>
              <w:bottom w:val="single" w:sz="4" w:space="0" w:color="auto"/>
              <w:right w:val="single" w:sz="4" w:space="0" w:color="auto"/>
            </w:tcBorders>
            <w:shd w:val="clear" w:color="auto" w:fill="auto"/>
            <w:noWrap/>
            <w:vAlign w:val="center"/>
            <w:hideMark/>
          </w:tcPr>
          <w:p w14:paraId="75A52B70" w14:textId="77777777" w:rsidR="00291BCD" w:rsidRPr="00A65686" w:rsidRDefault="00291BCD" w:rsidP="00243F14">
            <w:pPr>
              <w:jc w:val="center"/>
              <w:rPr>
                <w:rFonts w:ascii="Book Antiqua" w:hAnsi="Book Antiqua" w:cs="Calibri"/>
                <w:color w:val="000000"/>
                <w:sz w:val="16"/>
                <w:szCs w:val="16"/>
                <w:lang w:eastAsia="es-CR"/>
              </w:rPr>
            </w:pPr>
            <w:r w:rsidRPr="00A65686">
              <w:rPr>
                <w:rFonts w:ascii="Book Antiqua" w:hAnsi="Book Antiqua" w:cs="Calibri"/>
                <w:color w:val="000000"/>
                <w:sz w:val="16"/>
                <w:szCs w:val="16"/>
                <w:lang w:eastAsia="es-CR"/>
              </w:rPr>
              <w:t>-33,69%</w:t>
            </w:r>
          </w:p>
        </w:tc>
        <w:tc>
          <w:tcPr>
            <w:tcW w:w="1200" w:type="dxa"/>
            <w:tcBorders>
              <w:top w:val="nil"/>
              <w:left w:val="nil"/>
              <w:bottom w:val="single" w:sz="4" w:space="0" w:color="auto"/>
              <w:right w:val="single" w:sz="4" w:space="0" w:color="auto"/>
            </w:tcBorders>
            <w:shd w:val="clear" w:color="auto" w:fill="auto"/>
            <w:noWrap/>
            <w:vAlign w:val="center"/>
            <w:hideMark/>
          </w:tcPr>
          <w:p w14:paraId="5C806B56" w14:textId="77777777" w:rsidR="00291BCD" w:rsidRPr="00A65686" w:rsidRDefault="00291BCD" w:rsidP="00243F14">
            <w:pPr>
              <w:jc w:val="center"/>
              <w:rPr>
                <w:rFonts w:ascii="Book Antiqua" w:hAnsi="Book Antiqua" w:cs="Calibri"/>
                <w:color w:val="000000"/>
                <w:sz w:val="16"/>
                <w:szCs w:val="16"/>
                <w:lang w:eastAsia="es-CR"/>
              </w:rPr>
            </w:pPr>
            <w:r w:rsidRPr="00A65686">
              <w:rPr>
                <w:rFonts w:ascii="Book Antiqua" w:hAnsi="Book Antiqua" w:cs="Calibri"/>
                <w:color w:val="000000"/>
                <w:sz w:val="16"/>
                <w:szCs w:val="16"/>
                <w:lang w:eastAsia="es-CR"/>
              </w:rPr>
              <w:t>-13,52%</w:t>
            </w:r>
          </w:p>
        </w:tc>
      </w:tr>
      <w:tr w:rsidR="00291BCD" w:rsidRPr="00A65686" w14:paraId="56807026" w14:textId="77777777" w:rsidTr="00243F14">
        <w:trPr>
          <w:trHeight w:val="290"/>
          <w:jc w:val="center"/>
        </w:trPr>
        <w:tc>
          <w:tcPr>
            <w:tcW w:w="3340" w:type="dxa"/>
            <w:tcBorders>
              <w:top w:val="nil"/>
              <w:left w:val="single" w:sz="4" w:space="0" w:color="auto"/>
              <w:bottom w:val="single" w:sz="4" w:space="0" w:color="auto"/>
              <w:right w:val="single" w:sz="4" w:space="0" w:color="auto"/>
            </w:tcBorders>
            <w:shd w:val="clear" w:color="auto" w:fill="auto"/>
            <w:noWrap/>
            <w:vAlign w:val="center"/>
            <w:hideMark/>
          </w:tcPr>
          <w:p w14:paraId="0B1F59BC" w14:textId="77777777" w:rsidR="00291BCD" w:rsidRPr="00A65686" w:rsidRDefault="00291BCD" w:rsidP="00243F14">
            <w:pPr>
              <w:rPr>
                <w:rFonts w:ascii="Book Antiqua" w:hAnsi="Book Antiqua" w:cs="Calibri"/>
                <w:color w:val="000000"/>
                <w:sz w:val="16"/>
                <w:szCs w:val="16"/>
                <w:lang w:eastAsia="es-CR"/>
              </w:rPr>
            </w:pPr>
            <w:r w:rsidRPr="00A65686">
              <w:rPr>
                <w:rFonts w:ascii="Book Antiqua" w:hAnsi="Book Antiqua" w:cs="Calibri"/>
                <w:color w:val="000000"/>
                <w:sz w:val="16"/>
                <w:szCs w:val="16"/>
                <w:lang w:eastAsia="es-CR"/>
              </w:rPr>
              <w:t>Contencioso Administrativo</w:t>
            </w:r>
          </w:p>
        </w:tc>
        <w:tc>
          <w:tcPr>
            <w:tcW w:w="1200" w:type="dxa"/>
            <w:tcBorders>
              <w:top w:val="nil"/>
              <w:left w:val="nil"/>
              <w:bottom w:val="single" w:sz="4" w:space="0" w:color="auto"/>
              <w:right w:val="single" w:sz="4" w:space="0" w:color="auto"/>
            </w:tcBorders>
            <w:shd w:val="clear" w:color="auto" w:fill="auto"/>
            <w:noWrap/>
            <w:vAlign w:val="center"/>
            <w:hideMark/>
          </w:tcPr>
          <w:p w14:paraId="4CC23645" w14:textId="77777777" w:rsidR="00291BCD" w:rsidRPr="00A65686" w:rsidRDefault="00291BCD" w:rsidP="00243F14">
            <w:pPr>
              <w:jc w:val="center"/>
              <w:rPr>
                <w:rFonts w:ascii="Book Antiqua" w:hAnsi="Book Antiqua" w:cs="Calibri"/>
                <w:color w:val="000000"/>
                <w:sz w:val="16"/>
                <w:szCs w:val="16"/>
                <w:lang w:eastAsia="es-CR"/>
              </w:rPr>
            </w:pPr>
            <w:r w:rsidRPr="00A65686">
              <w:rPr>
                <w:rFonts w:ascii="Book Antiqua" w:hAnsi="Book Antiqua" w:cs="Calibri"/>
                <w:color w:val="000000"/>
                <w:sz w:val="16"/>
                <w:szCs w:val="16"/>
                <w:lang w:eastAsia="es-CR"/>
              </w:rPr>
              <w:t>-30,72%</w:t>
            </w:r>
          </w:p>
        </w:tc>
        <w:tc>
          <w:tcPr>
            <w:tcW w:w="1200" w:type="dxa"/>
            <w:tcBorders>
              <w:top w:val="nil"/>
              <w:left w:val="nil"/>
              <w:bottom w:val="single" w:sz="4" w:space="0" w:color="auto"/>
              <w:right w:val="single" w:sz="4" w:space="0" w:color="auto"/>
            </w:tcBorders>
            <w:shd w:val="clear" w:color="auto" w:fill="auto"/>
            <w:noWrap/>
            <w:vAlign w:val="center"/>
            <w:hideMark/>
          </w:tcPr>
          <w:p w14:paraId="51A8DF04" w14:textId="77777777" w:rsidR="00291BCD" w:rsidRPr="00A65686" w:rsidRDefault="00291BCD" w:rsidP="00243F14">
            <w:pPr>
              <w:jc w:val="center"/>
              <w:rPr>
                <w:rFonts w:ascii="Book Antiqua" w:hAnsi="Book Antiqua" w:cs="Calibri"/>
                <w:color w:val="000000"/>
                <w:sz w:val="16"/>
                <w:szCs w:val="16"/>
                <w:lang w:eastAsia="es-CR"/>
              </w:rPr>
            </w:pPr>
            <w:r w:rsidRPr="00A65686">
              <w:rPr>
                <w:rFonts w:ascii="Book Antiqua" w:hAnsi="Book Antiqua" w:cs="Calibri"/>
                <w:color w:val="000000"/>
                <w:sz w:val="16"/>
                <w:szCs w:val="16"/>
                <w:lang w:eastAsia="es-CR"/>
              </w:rPr>
              <w:t>-25,38%</w:t>
            </w:r>
          </w:p>
        </w:tc>
      </w:tr>
      <w:tr w:rsidR="00291BCD" w:rsidRPr="00A65686" w14:paraId="462812D2" w14:textId="77777777" w:rsidTr="00243F14">
        <w:trPr>
          <w:trHeight w:val="290"/>
          <w:jc w:val="center"/>
        </w:trPr>
        <w:tc>
          <w:tcPr>
            <w:tcW w:w="3340" w:type="dxa"/>
            <w:tcBorders>
              <w:top w:val="nil"/>
              <w:left w:val="single" w:sz="4" w:space="0" w:color="auto"/>
              <w:bottom w:val="single" w:sz="4" w:space="0" w:color="auto"/>
              <w:right w:val="single" w:sz="4" w:space="0" w:color="auto"/>
            </w:tcBorders>
            <w:shd w:val="clear" w:color="auto" w:fill="auto"/>
            <w:noWrap/>
            <w:vAlign w:val="center"/>
            <w:hideMark/>
          </w:tcPr>
          <w:p w14:paraId="185B3787" w14:textId="77777777" w:rsidR="00291BCD" w:rsidRPr="00A65686" w:rsidRDefault="00291BCD" w:rsidP="00243F14">
            <w:pPr>
              <w:rPr>
                <w:rFonts w:ascii="Book Antiqua" w:hAnsi="Book Antiqua" w:cs="Calibri"/>
                <w:color w:val="000000"/>
                <w:sz w:val="16"/>
                <w:szCs w:val="16"/>
                <w:lang w:eastAsia="es-CR"/>
              </w:rPr>
            </w:pPr>
            <w:r w:rsidRPr="00A65686">
              <w:rPr>
                <w:rFonts w:ascii="Book Antiqua" w:hAnsi="Book Antiqua" w:cs="Calibri"/>
                <w:color w:val="000000"/>
                <w:sz w:val="16"/>
                <w:szCs w:val="16"/>
                <w:lang w:eastAsia="es-CR"/>
              </w:rPr>
              <w:t>Tránsito</w:t>
            </w:r>
          </w:p>
        </w:tc>
        <w:tc>
          <w:tcPr>
            <w:tcW w:w="1200" w:type="dxa"/>
            <w:tcBorders>
              <w:top w:val="nil"/>
              <w:left w:val="nil"/>
              <w:bottom w:val="single" w:sz="4" w:space="0" w:color="auto"/>
              <w:right w:val="single" w:sz="4" w:space="0" w:color="auto"/>
            </w:tcBorders>
            <w:shd w:val="clear" w:color="auto" w:fill="auto"/>
            <w:noWrap/>
            <w:vAlign w:val="center"/>
            <w:hideMark/>
          </w:tcPr>
          <w:p w14:paraId="7E6DE1B9" w14:textId="77777777" w:rsidR="00291BCD" w:rsidRPr="00A65686" w:rsidRDefault="00291BCD" w:rsidP="00243F14">
            <w:pPr>
              <w:jc w:val="center"/>
              <w:rPr>
                <w:rFonts w:ascii="Book Antiqua" w:hAnsi="Book Antiqua" w:cs="Calibri"/>
                <w:color w:val="000000"/>
                <w:sz w:val="16"/>
                <w:szCs w:val="16"/>
                <w:lang w:eastAsia="es-CR"/>
              </w:rPr>
            </w:pPr>
            <w:r w:rsidRPr="00A65686">
              <w:rPr>
                <w:rFonts w:ascii="Book Antiqua" w:hAnsi="Book Antiqua" w:cs="Calibri"/>
                <w:color w:val="000000"/>
                <w:sz w:val="16"/>
                <w:szCs w:val="16"/>
                <w:lang w:eastAsia="es-CR"/>
              </w:rPr>
              <w:t>-29,04%</w:t>
            </w:r>
          </w:p>
        </w:tc>
        <w:tc>
          <w:tcPr>
            <w:tcW w:w="1200" w:type="dxa"/>
            <w:tcBorders>
              <w:top w:val="nil"/>
              <w:left w:val="nil"/>
              <w:bottom w:val="single" w:sz="4" w:space="0" w:color="auto"/>
              <w:right w:val="single" w:sz="4" w:space="0" w:color="auto"/>
            </w:tcBorders>
            <w:shd w:val="clear" w:color="auto" w:fill="auto"/>
            <w:noWrap/>
            <w:vAlign w:val="center"/>
            <w:hideMark/>
          </w:tcPr>
          <w:p w14:paraId="58797270" w14:textId="77777777" w:rsidR="00291BCD" w:rsidRPr="00A65686" w:rsidRDefault="00291BCD" w:rsidP="00243F14">
            <w:pPr>
              <w:jc w:val="center"/>
              <w:rPr>
                <w:rFonts w:ascii="Book Antiqua" w:hAnsi="Book Antiqua" w:cs="Calibri"/>
                <w:color w:val="000000"/>
                <w:sz w:val="16"/>
                <w:szCs w:val="16"/>
                <w:lang w:eastAsia="es-CR"/>
              </w:rPr>
            </w:pPr>
            <w:r w:rsidRPr="00A65686">
              <w:rPr>
                <w:rFonts w:ascii="Book Antiqua" w:hAnsi="Book Antiqua" w:cs="Calibri"/>
                <w:color w:val="000000"/>
                <w:sz w:val="16"/>
                <w:szCs w:val="16"/>
                <w:lang w:eastAsia="es-CR"/>
              </w:rPr>
              <w:t>-0,30%</w:t>
            </w:r>
          </w:p>
        </w:tc>
      </w:tr>
      <w:tr w:rsidR="00291BCD" w:rsidRPr="00A65686" w14:paraId="2D3784E9" w14:textId="77777777" w:rsidTr="00243F14">
        <w:trPr>
          <w:trHeight w:val="290"/>
          <w:jc w:val="center"/>
        </w:trPr>
        <w:tc>
          <w:tcPr>
            <w:tcW w:w="3340" w:type="dxa"/>
            <w:tcBorders>
              <w:top w:val="nil"/>
              <w:left w:val="single" w:sz="4" w:space="0" w:color="auto"/>
              <w:bottom w:val="single" w:sz="4" w:space="0" w:color="auto"/>
              <w:right w:val="single" w:sz="4" w:space="0" w:color="auto"/>
            </w:tcBorders>
            <w:shd w:val="clear" w:color="auto" w:fill="auto"/>
            <w:noWrap/>
            <w:vAlign w:val="center"/>
            <w:hideMark/>
          </w:tcPr>
          <w:p w14:paraId="0A66DDDB" w14:textId="77777777" w:rsidR="00291BCD" w:rsidRPr="00A65686" w:rsidRDefault="00291BCD" w:rsidP="00243F14">
            <w:pPr>
              <w:rPr>
                <w:rFonts w:ascii="Book Antiqua" w:hAnsi="Book Antiqua" w:cs="Calibri"/>
                <w:color w:val="000000"/>
                <w:sz w:val="16"/>
                <w:szCs w:val="16"/>
                <w:lang w:eastAsia="es-CR"/>
              </w:rPr>
            </w:pPr>
            <w:r w:rsidRPr="00A65686">
              <w:rPr>
                <w:rFonts w:ascii="Book Antiqua" w:hAnsi="Book Antiqua" w:cs="Calibri"/>
                <w:color w:val="000000"/>
                <w:sz w:val="16"/>
                <w:szCs w:val="16"/>
                <w:lang w:eastAsia="es-CR"/>
              </w:rPr>
              <w:t>Tribunal Apelación Laboral</w:t>
            </w:r>
          </w:p>
        </w:tc>
        <w:tc>
          <w:tcPr>
            <w:tcW w:w="1200" w:type="dxa"/>
            <w:tcBorders>
              <w:top w:val="nil"/>
              <w:left w:val="nil"/>
              <w:bottom w:val="single" w:sz="4" w:space="0" w:color="auto"/>
              <w:right w:val="single" w:sz="4" w:space="0" w:color="auto"/>
            </w:tcBorders>
            <w:shd w:val="clear" w:color="auto" w:fill="auto"/>
            <w:noWrap/>
            <w:vAlign w:val="center"/>
            <w:hideMark/>
          </w:tcPr>
          <w:p w14:paraId="2759CCB0" w14:textId="77777777" w:rsidR="00291BCD" w:rsidRPr="00A65686" w:rsidRDefault="00291BCD" w:rsidP="00243F14">
            <w:pPr>
              <w:jc w:val="center"/>
              <w:rPr>
                <w:rFonts w:ascii="Book Antiqua" w:hAnsi="Book Antiqua" w:cs="Calibri"/>
                <w:color w:val="000000"/>
                <w:sz w:val="16"/>
                <w:szCs w:val="16"/>
                <w:lang w:eastAsia="es-CR"/>
              </w:rPr>
            </w:pPr>
            <w:r w:rsidRPr="00A65686">
              <w:rPr>
                <w:rFonts w:ascii="Book Antiqua" w:hAnsi="Book Antiqua" w:cs="Calibri"/>
                <w:color w:val="000000"/>
                <w:sz w:val="16"/>
                <w:szCs w:val="16"/>
                <w:lang w:eastAsia="es-CR"/>
              </w:rPr>
              <w:t>-27,60%</w:t>
            </w:r>
          </w:p>
        </w:tc>
        <w:tc>
          <w:tcPr>
            <w:tcW w:w="1200" w:type="dxa"/>
            <w:tcBorders>
              <w:top w:val="nil"/>
              <w:left w:val="nil"/>
              <w:bottom w:val="single" w:sz="4" w:space="0" w:color="auto"/>
              <w:right w:val="single" w:sz="4" w:space="0" w:color="auto"/>
            </w:tcBorders>
            <w:shd w:val="clear" w:color="auto" w:fill="auto"/>
            <w:noWrap/>
            <w:vAlign w:val="center"/>
            <w:hideMark/>
          </w:tcPr>
          <w:p w14:paraId="3B0E4345" w14:textId="77777777" w:rsidR="00291BCD" w:rsidRPr="00A65686" w:rsidRDefault="00291BCD" w:rsidP="00243F14">
            <w:pPr>
              <w:jc w:val="center"/>
              <w:rPr>
                <w:rFonts w:ascii="Book Antiqua" w:hAnsi="Book Antiqua" w:cs="Calibri"/>
                <w:color w:val="000000"/>
                <w:sz w:val="16"/>
                <w:szCs w:val="16"/>
                <w:lang w:eastAsia="es-CR"/>
              </w:rPr>
            </w:pPr>
            <w:r w:rsidRPr="00A65686">
              <w:rPr>
                <w:rFonts w:ascii="Book Antiqua" w:hAnsi="Book Antiqua" w:cs="Calibri"/>
                <w:color w:val="000000"/>
                <w:sz w:val="16"/>
                <w:szCs w:val="16"/>
                <w:lang w:eastAsia="es-CR"/>
              </w:rPr>
              <w:t>-13,94%</w:t>
            </w:r>
          </w:p>
        </w:tc>
      </w:tr>
      <w:tr w:rsidR="00291BCD" w:rsidRPr="00A65686" w14:paraId="0A36F459" w14:textId="77777777" w:rsidTr="00243F14">
        <w:trPr>
          <w:trHeight w:val="290"/>
          <w:jc w:val="center"/>
        </w:trPr>
        <w:tc>
          <w:tcPr>
            <w:tcW w:w="3340" w:type="dxa"/>
            <w:tcBorders>
              <w:top w:val="nil"/>
              <w:left w:val="single" w:sz="4" w:space="0" w:color="auto"/>
              <w:bottom w:val="single" w:sz="4" w:space="0" w:color="auto"/>
              <w:right w:val="single" w:sz="4" w:space="0" w:color="auto"/>
            </w:tcBorders>
            <w:shd w:val="clear" w:color="auto" w:fill="auto"/>
            <w:noWrap/>
            <w:vAlign w:val="center"/>
            <w:hideMark/>
          </w:tcPr>
          <w:p w14:paraId="45F2A620" w14:textId="77777777" w:rsidR="00291BCD" w:rsidRPr="00A65686" w:rsidRDefault="00291BCD" w:rsidP="00243F14">
            <w:pPr>
              <w:rPr>
                <w:rFonts w:ascii="Book Antiqua" w:hAnsi="Book Antiqua" w:cs="Calibri"/>
                <w:color w:val="000000"/>
                <w:sz w:val="16"/>
                <w:szCs w:val="16"/>
                <w:lang w:eastAsia="es-CR"/>
              </w:rPr>
            </w:pPr>
            <w:r w:rsidRPr="00A65686">
              <w:rPr>
                <w:rFonts w:ascii="Book Antiqua" w:hAnsi="Book Antiqua" w:cs="Calibri"/>
                <w:color w:val="000000"/>
                <w:sz w:val="16"/>
                <w:szCs w:val="16"/>
                <w:lang w:eastAsia="es-CR"/>
              </w:rPr>
              <w:t>Tribunal Apelación Penal Juvenil</w:t>
            </w:r>
          </w:p>
        </w:tc>
        <w:tc>
          <w:tcPr>
            <w:tcW w:w="1200" w:type="dxa"/>
            <w:tcBorders>
              <w:top w:val="nil"/>
              <w:left w:val="nil"/>
              <w:bottom w:val="single" w:sz="4" w:space="0" w:color="auto"/>
              <w:right w:val="single" w:sz="4" w:space="0" w:color="auto"/>
            </w:tcBorders>
            <w:shd w:val="clear" w:color="auto" w:fill="auto"/>
            <w:noWrap/>
            <w:vAlign w:val="center"/>
            <w:hideMark/>
          </w:tcPr>
          <w:p w14:paraId="08DBFE68" w14:textId="77777777" w:rsidR="00291BCD" w:rsidRPr="00A65686" w:rsidRDefault="00291BCD" w:rsidP="00243F14">
            <w:pPr>
              <w:jc w:val="center"/>
              <w:rPr>
                <w:rFonts w:ascii="Book Antiqua" w:hAnsi="Book Antiqua" w:cs="Calibri"/>
                <w:color w:val="000000"/>
                <w:sz w:val="16"/>
                <w:szCs w:val="16"/>
                <w:lang w:eastAsia="es-CR"/>
              </w:rPr>
            </w:pPr>
            <w:r w:rsidRPr="00A65686">
              <w:rPr>
                <w:rFonts w:ascii="Book Antiqua" w:hAnsi="Book Antiqua" w:cs="Calibri"/>
                <w:color w:val="000000"/>
                <w:sz w:val="16"/>
                <w:szCs w:val="16"/>
                <w:lang w:eastAsia="es-CR"/>
              </w:rPr>
              <w:t>-17,81%</w:t>
            </w:r>
          </w:p>
        </w:tc>
        <w:tc>
          <w:tcPr>
            <w:tcW w:w="1200" w:type="dxa"/>
            <w:tcBorders>
              <w:top w:val="nil"/>
              <w:left w:val="nil"/>
              <w:bottom w:val="single" w:sz="4" w:space="0" w:color="auto"/>
              <w:right w:val="single" w:sz="4" w:space="0" w:color="auto"/>
            </w:tcBorders>
            <w:shd w:val="clear" w:color="auto" w:fill="auto"/>
            <w:noWrap/>
            <w:vAlign w:val="center"/>
            <w:hideMark/>
          </w:tcPr>
          <w:p w14:paraId="7ABB9B04" w14:textId="77777777" w:rsidR="00291BCD" w:rsidRPr="00A65686" w:rsidRDefault="00291BCD" w:rsidP="00243F14">
            <w:pPr>
              <w:jc w:val="center"/>
              <w:rPr>
                <w:rFonts w:ascii="Book Antiqua" w:hAnsi="Book Antiqua" w:cs="Calibri"/>
                <w:color w:val="000000"/>
                <w:sz w:val="16"/>
                <w:szCs w:val="16"/>
                <w:lang w:eastAsia="es-CR"/>
              </w:rPr>
            </w:pPr>
            <w:r w:rsidRPr="00A65686">
              <w:rPr>
                <w:rFonts w:ascii="Book Antiqua" w:hAnsi="Book Antiqua" w:cs="Calibri"/>
                <w:color w:val="000000"/>
                <w:sz w:val="16"/>
                <w:szCs w:val="16"/>
                <w:lang w:eastAsia="es-CR"/>
              </w:rPr>
              <w:t>-4,16%</w:t>
            </w:r>
          </w:p>
        </w:tc>
      </w:tr>
      <w:tr w:rsidR="00291BCD" w:rsidRPr="00A65686" w14:paraId="45192570" w14:textId="77777777" w:rsidTr="00243F14">
        <w:trPr>
          <w:trHeight w:val="290"/>
          <w:jc w:val="center"/>
        </w:trPr>
        <w:tc>
          <w:tcPr>
            <w:tcW w:w="3340" w:type="dxa"/>
            <w:tcBorders>
              <w:top w:val="nil"/>
              <w:left w:val="single" w:sz="4" w:space="0" w:color="auto"/>
              <w:bottom w:val="single" w:sz="4" w:space="0" w:color="auto"/>
              <w:right w:val="single" w:sz="4" w:space="0" w:color="auto"/>
            </w:tcBorders>
            <w:shd w:val="clear" w:color="auto" w:fill="auto"/>
            <w:noWrap/>
            <w:vAlign w:val="center"/>
            <w:hideMark/>
          </w:tcPr>
          <w:p w14:paraId="7948B29A" w14:textId="77777777" w:rsidR="00291BCD" w:rsidRPr="00A65686" w:rsidRDefault="00291BCD" w:rsidP="00243F14">
            <w:pPr>
              <w:rPr>
                <w:rFonts w:ascii="Book Antiqua" w:hAnsi="Book Antiqua" w:cs="Calibri"/>
                <w:color w:val="000000"/>
                <w:sz w:val="16"/>
                <w:szCs w:val="16"/>
                <w:lang w:eastAsia="es-CR"/>
              </w:rPr>
            </w:pPr>
            <w:r w:rsidRPr="00A65686">
              <w:rPr>
                <w:rFonts w:ascii="Book Antiqua" w:hAnsi="Book Antiqua" w:cs="Calibri"/>
                <w:color w:val="000000"/>
                <w:sz w:val="16"/>
                <w:szCs w:val="16"/>
                <w:lang w:eastAsia="es-CR"/>
              </w:rPr>
              <w:t xml:space="preserve">Pensiones Alimentarias </w:t>
            </w:r>
          </w:p>
        </w:tc>
        <w:tc>
          <w:tcPr>
            <w:tcW w:w="1200" w:type="dxa"/>
            <w:tcBorders>
              <w:top w:val="nil"/>
              <w:left w:val="nil"/>
              <w:bottom w:val="single" w:sz="4" w:space="0" w:color="auto"/>
              <w:right w:val="single" w:sz="4" w:space="0" w:color="auto"/>
            </w:tcBorders>
            <w:shd w:val="clear" w:color="auto" w:fill="auto"/>
            <w:noWrap/>
            <w:vAlign w:val="center"/>
            <w:hideMark/>
          </w:tcPr>
          <w:p w14:paraId="74F8A797" w14:textId="77777777" w:rsidR="00291BCD" w:rsidRPr="00A65686" w:rsidRDefault="00291BCD" w:rsidP="00243F14">
            <w:pPr>
              <w:jc w:val="center"/>
              <w:rPr>
                <w:rFonts w:ascii="Book Antiqua" w:hAnsi="Book Antiqua" w:cs="Calibri"/>
                <w:color w:val="000000"/>
                <w:sz w:val="16"/>
                <w:szCs w:val="16"/>
                <w:lang w:eastAsia="es-CR"/>
              </w:rPr>
            </w:pPr>
            <w:r w:rsidRPr="00A65686">
              <w:rPr>
                <w:rFonts w:ascii="Book Antiqua" w:hAnsi="Book Antiqua" w:cs="Calibri"/>
                <w:color w:val="000000"/>
                <w:sz w:val="16"/>
                <w:szCs w:val="16"/>
                <w:lang w:eastAsia="es-CR"/>
              </w:rPr>
              <w:t>-10,95%</w:t>
            </w:r>
          </w:p>
        </w:tc>
        <w:tc>
          <w:tcPr>
            <w:tcW w:w="1200" w:type="dxa"/>
            <w:tcBorders>
              <w:top w:val="nil"/>
              <w:left w:val="nil"/>
              <w:bottom w:val="single" w:sz="4" w:space="0" w:color="auto"/>
              <w:right w:val="single" w:sz="4" w:space="0" w:color="auto"/>
            </w:tcBorders>
            <w:shd w:val="clear" w:color="auto" w:fill="auto"/>
            <w:noWrap/>
            <w:vAlign w:val="center"/>
            <w:hideMark/>
          </w:tcPr>
          <w:p w14:paraId="0242508F" w14:textId="77777777" w:rsidR="00291BCD" w:rsidRPr="00A65686" w:rsidRDefault="00291BCD" w:rsidP="00243F14">
            <w:pPr>
              <w:jc w:val="center"/>
              <w:rPr>
                <w:rFonts w:ascii="Book Antiqua" w:hAnsi="Book Antiqua" w:cs="Calibri"/>
                <w:color w:val="000000"/>
                <w:sz w:val="16"/>
                <w:szCs w:val="16"/>
                <w:lang w:eastAsia="es-CR"/>
              </w:rPr>
            </w:pPr>
            <w:r w:rsidRPr="00A65686">
              <w:rPr>
                <w:rFonts w:ascii="Book Antiqua" w:hAnsi="Book Antiqua" w:cs="Calibri"/>
                <w:color w:val="000000"/>
                <w:sz w:val="16"/>
                <w:szCs w:val="16"/>
                <w:lang w:eastAsia="es-CR"/>
              </w:rPr>
              <w:t>-3,35%</w:t>
            </w:r>
          </w:p>
        </w:tc>
      </w:tr>
      <w:tr w:rsidR="00291BCD" w:rsidRPr="00A65686" w14:paraId="62D2E514" w14:textId="77777777" w:rsidTr="00243F14">
        <w:trPr>
          <w:trHeight w:val="290"/>
          <w:jc w:val="center"/>
        </w:trPr>
        <w:tc>
          <w:tcPr>
            <w:tcW w:w="3340" w:type="dxa"/>
            <w:tcBorders>
              <w:top w:val="nil"/>
              <w:left w:val="single" w:sz="4" w:space="0" w:color="auto"/>
              <w:bottom w:val="single" w:sz="4" w:space="0" w:color="auto"/>
              <w:right w:val="single" w:sz="4" w:space="0" w:color="auto"/>
            </w:tcBorders>
            <w:shd w:val="clear" w:color="auto" w:fill="auto"/>
            <w:noWrap/>
            <w:vAlign w:val="center"/>
            <w:hideMark/>
          </w:tcPr>
          <w:p w14:paraId="70BE08F6" w14:textId="77777777" w:rsidR="00291BCD" w:rsidRPr="00A65686" w:rsidRDefault="00291BCD" w:rsidP="00243F14">
            <w:pPr>
              <w:rPr>
                <w:rFonts w:ascii="Book Antiqua" w:hAnsi="Book Antiqua" w:cs="Calibri"/>
                <w:color w:val="000000"/>
                <w:sz w:val="16"/>
                <w:szCs w:val="16"/>
                <w:lang w:eastAsia="es-CR"/>
              </w:rPr>
            </w:pPr>
            <w:r w:rsidRPr="00A65686">
              <w:rPr>
                <w:rFonts w:ascii="Book Antiqua" w:hAnsi="Book Antiqua" w:cs="Calibri"/>
                <w:color w:val="000000"/>
                <w:sz w:val="16"/>
                <w:szCs w:val="16"/>
                <w:lang w:eastAsia="es-CR"/>
              </w:rPr>
              <w:t>Tribunal Apelación Sentencia Penal</w:t>
            </w:r>
          </w:p>
        </w:tc>
        <w:tc>
          <w:tcPr>
            <w:tcW w:w="1200" w:type="dxa"/>
            <w:tcBorders>
              <w:top w:val="nil"/>
              <w:left w:val="nil"/>
              <w:bottom w:val="single" w:sz="4" w:space="0" w:color="auto"/>
              <w:right w:val="single" w:sz="4" w:space="0" w:color="auto"/>
            </w:tcBorders>
            <w:shd w:val="clear" w:color="auto" w:fill="auto"/>
            <w:noWrap/>
            <w:vAlign w:val="center"/>
            <w:hideMark/>
          </w:tcPr>
          <w:p w14:paraId="456ABCF4" w14:textId="77777777" w:rsidR="00291BCD" w:rsidRPr="00A65686" w:rsidRDefault="00291BCD" w:rsidP="00243F14">
            <w:pPr>
              <w:jc w:val="center"/>
              <w:rPr>
                <w:rFonts w:ascii="Book Antiqua" w:hAnsi="Book Antiqua" w:cs="Calibri"/>
                <w:color w:val="000000"/>
                <w:sz w:val="16"/>
                <w:szCs w:val="16"/>
                <w:lang w:eastAsia="es-CR"/>
              </w:rPr>
            </w:pPr>
            <w:r w:rsidRPr="00A65686">
              <w:rPr>
                <w:rFonts w:ascii="Book Antiqua" w:hAnsi="Book Antiqua" w:cs="Calibri"/>
                <w:color w:val="000000"/>
                <w:sz w:val="16"/>
                <w:szCs w:val="16"/>
                <w:lang w:eastAsia="es-CR"/>
              </w:rPr>
              <w:t>-1,13%</w:t>
            </w:r>
          </w:p>
        </w:tc>
        <w:tc>
          <w:tcPr>
            <w:tcW w:w="1200" w:type="dxa"/>
            <w:tcBorders>
              <w:top w:val="nil"/>
              <w:left w:val="nil"/>
              <w:bottom w:val="single" w:sz="4" w:space="0" w:color="auto"/>
              <w:right w:val="single" w:sz="4" w:space="0" w:color="auto"/>
            </w:tcBorders>
            <w:shd w:val="clear" w:color="auto" w:fill="auto"/>
            <w:noWrap/>
            <w:vAlign w:val="center"/>
            <w:hideMark/>
          </w:tcPr>
          <w:p w14:paraId="2ADFB296" w14:textId="77777777" w:rsidR="00291BCD" w:rsidRPr="00A65686" w:rsidRDefault="00291BCD" w:rsidP="00243F14">
            <w:pPr>
              <w:jc w:val="center"/>
              <w:rPr>
                <w:rFonts w:ascii="Book Antiqua" w:hAnsi="Book Antiqua" w:cs="Calibri"/>
                <w:color w:val="000000"/>
                <w:sz w:val="16"/>
                <w:szCs w:val="16"/>
                <w:lang w:eastAsia="es-CR"/>
              </w:rPr>
            </w:pPr>
            <w:r w:rsidRPr="00A65686">
              <w:rPr>
                <w:rFonts w:ascii="Book Antiqua" w:hAnsi="Book Antiqua" w:cs="Calibri"/>
                <w:color w:val="000000"/>
                <w:sz w:val="16"/>
                <w:szCs w:val="16"/>
                <w:lang w:eastAsia="es-CR"/>
              </w:rPr>
              <w:t>-2,28%</w:t>
            </w:r>
          </w:p>
        </w:tc>
      </w:tr>
    </w:tbl>
    <w:p w14:paraId="1F67C129" w14:textId="77777777" w:rsidR="001665C6" w:rsidRDefault="001665C6" w:rsidP="00985591">
      <w:pPr>
        <w:pStyle w:val="Prrafodelista"/>
        <w:shd w:val="clear" w:color="auto" w:fill="FFFFFF" w:themeFill="background1"/>
        <w:spacing w:line="276" w:lineRule="auto"/>
        <w:ind w:left="720"/>
        <w:contextualSpacing/>
        <w:jc w:val="both"/>
        <w:rPr>
          <w:rFonts w:ascii="Book Antiqua" w:hAnsi="Book Antiqua"/>
          <w:lang w:val="es-ES_tradnl"/>
        </w:rPr>
      </w:pPr>
    </w:p>
    <w:p w14:paraId="148B10DD" w14:textId="77777777" w:rsidR="003041F6" w:rsidRDefault="001665C6" w:rsidP="00985591">
      <w:pPr>
        <w:pStyle w:val="Prrafodelista"/>
        <w:spacing w:line="276" w:lineRule="auto"/>
        <w:jc w:val="both"/>
        <w:rPr>
          <w:rFonts w:ascii="Book Antiqua" w:hAnsi="Book Antiqua"/>
          <w:lang w:val="es-ES_tradnl"/>
        </w:rPr>
      </w:pPr>
      <w:r>
        <w:rPr>
          <w:rFonts w:ascii="Book Antiqua" w:hAnsi="Book Antiqua"/>
          <w:lang w:val="es-ES_tradnl"/>
        </w:rPr>
        <w:t>Se hace la observación que de los anteriores despachos los siguientes tuvieron disminución en la entrada</w:t>
      </w:r>
      <w:r w:rsidR="003041F6">
        <w:rPr>
          <w:rFonts w:ascii="Book Antiqua" w:hAnsi="Book Antiqua"/>
          <w:lang w:val="es-ES_tradnl"/>
        </w:rPr>
        <w:t xml:space="preserve"> durante los periodos de estudio</w:t>
      </w:r>
      <w:r>
        <w:rPr>
          <w:rFonts w:ascii="Book Antiqua" w:hAnsi="Book Antiqua"/>
          <w:lang w:val="es-ES_tradnl"/>
        </w:rPr>
        <w:t xml:space="preserve">: </w:t>
      </w:r>
    </w:p>
    <w:p w14:paraId="0738A076" w14:textId="0879B808" w:rsidR="003041F6" w:rsidRDefault="003041F6" w:rsidP="00985591">
      <w:pPr>
        <w:pStyle w:val="Prrafodelista"/>
        <w:spacing w:line="276" w:lineRule="auto"/>
        <w:jc w:val="both"/>
        <w:rPr>
          <w:rFonts w:ascii="Book Antiqua" w:hAnsi="Book Antiqua"/>
          <w:lang w:val="es-ES_tradnl"/>
        </w:rPr>
      </w:pPr>
    </w:p>
    <w:p w14:paraId="74E7D7F8" w14:textId="77777777" w:rsidR="006F775A" w:rsidRDefault="003041F6" w:rsidP="002952B3">
      <w:pPr>
        <w:pStyle w:val="Prrafodelista"/>
        <w:shd w:val="clear" w:color="auto" w:fill="FFFFFF" w:themeFill="background1"/>
        <w:spacing w:line="276" w:lineRule="auto"/>
        <w:ind w:left="720"/>
        <w:contextualSpacing/>
        <w:jc w:val="center"/>
        <w:rPr>
          <w:rFonts w:ascii="Book Antiqua" w:hAnsi="Book Antiqua"/>
          <w:b/>
          <w:bCs/>
          <w:lang w:val="es-ES_tradnl"/>
        </w:rPr>
      </w:pPr>
      <w:r w:rsidRPr="00291BCD">
        <w:rPr>
          <w:rFonts w:ascii="Book Antiqua" w:hAnsi="Book Antiqua"/>
          <w:b/>
          <w:bCs/>
          <w:lang w:val="es-ES_tradnl"/>
        </w:rPr>
        <w:t xml:space="preserve">Cuadro </w:t>
      </w:r>
      <w:r w:rsidR="00291BCD" w:rsidRPr="00291BCD">
        <w:rPr>
          <w:rFonts w:ascii="Book Antiqua" w:hAnsi="Book Antiqua"/>
          <w:b/>
          <w:bCs/>
          <w:lang w:val="es-ES_tradnl"/>
        </w:rPr>
        <w:t>93</w:t>
      </w:r>
    </w:p>
    <w:p w14:paraId="158FD4F8" w14:textId="26145404" w:rsidR="003041F6" w:rsidRPr="002952B3" w:rsidRDefault="003041F6" w:rsidP="002952B3">
      <w:pPr>
        <w:pStyle w:val="Prrafodelista"/>
        <w:shd w:val="clear" w:color="auto" w:fill="FFFFFF" w:themeFill="background1"/>
        <w:spacing w:line="276" w:lineRule="auto"/>
        <w:ind w:left="720"/>
        <w:contextualSpacing/>
        <w:jc w:val="center"/>
        <w:rPr>
          <w:rFonts w:ascii="Book Antiqua" w:hAnsi="Book Antiqua"/>
          <w:b/>
          <w:bCs/>
          <w:lang w:val="es-ES_tradnl"/>
        </w:rPr>
      </w:pPr>
      <w:r w:rsidRPr="00291BCD">
        <w:rPr>
          <w:rFonts w:ascii="Book Antiqua" w:hAnsi="Book Antiqua"/>
          <w:b/>
          <w:bCs/>
          <w:lang w:val="es-ES_tradnl"/>
        </w:rPr>
        <w:t xml:space="preserve"> Porcentaje de crecimiento </w:t>
      </w:r>
      <w:r w:rsidR="00291BCD" w:rsidRPr="00291BCD">
        <w:rPr>
          <w:rFonts w:ascii="Book Antiqua" w:hAnsi="Book Antiqua"/>
          <w:b/>
          <w:bCs/>
          <w:lang w:val="es-ES_tradnl"/>
        </w:rPr>
        <w:t>2021 versus 2019 y 2020 en entrados</w:t>
      </w:r>
    </w:p>
    <w:tbl>
      <w:tblPr>
        <w:tblW w:w="5603" w:type="dxa"/>
        <w:jc w:val="center"/>
        <w:tblCellMar>
          <w:left w:w="70" w:type="dxa"/>
          <w:right w:w="70" w:type="dxa"/>
        </w:tblCellMar>
        <w:tblLook w:val="04A0" w:firstRow="1" w:lastRow="0" w:firstColumn="1" w:lastColumn="0" w:noHBand="0" w:noVBand="1"/>
      </w:tblPr>
      <w:tblGrid>
        <w:gridCol w:w="3203"/>
        <w:gridCol w:w="1200"/>
        <w:gridCol w:w="1200"/>
      </w:tblGrid>
      <w:tr w:rsidR="00291BCD" w:rsidRPr="0069480F" w14:paraId="026519FE" w14:textId="77777777" w:rsidTr="00243F14">
        <w:trPr>
          <w:trHeight w:val="520"/>
          <w:jc w:val="center"/>
        </w:trPr>
        <w:tc>
          <w:tcPr>
            <w:tcW w:w="3203" w:type="dxa"/>
            <w:tcBorders>
              <w:top w:val="single" w:sz="4" w:space="0" w:color="auto"/>
              <w:left w:val="single" w:sz="4" w:space="0" w:color="auto"/>
              <w:bottom w:val="single" w:sz="4" w:space="0" w:color="auto"/>
              <w:right w:val="single" w:sz="4" w:space="0" w:color="auto"/>
            </w:tcBorders>
            <w:shd w:val="clear" w:color="000000" w:fill="305496"/>
            <w:noWrap/>
            <w:vAlign w:val="center"/>
            <w:hideMark/>
          </w:tcPr>
          <w:p w14:paraId="32F2286D" w14:textId="77777777" w:rsidR="00291BCD" w:rsidRPr="0069480F" w:rsidRDefault="00291BCD" w:rsidP="00243F14">
            <w:pPr>
              <w:jc w:val="center"/>
              <w:rPr>
                <w:rFonts w:ascii="Book Antiqua" w:hAnsi="Book Antiqua" w:cs="Calibri"/>
                <w:b/>
                <w:bCs/>
                <w:color w:val="FFFFFF"/>
                <w:sz w:val="16"/>
                <w:szCs w:val="16"/>
                <w:lang w:eastAsia="es-CR"/>
              </w:rPr>
            </w:pPr>
            <w:r w:rsidRPr="0069480F">
              <w:rPr>
                <w:rFonts w:ascii="Book Antiqua" w:hAnsi="Book Antiqua" w:cs="Calibri"/>
                <w:b/>
                <w:bCs/>
                <w:color w:val="FFFFFF"/>
                <w:sz w:val="16"/>
                <w:szCs w:val="16"/>
                <w:lang w:eastAsia="es-CR"/>
              </w:rPr>
              <w:t>Materia</w:t>
            </w:r>
          </w:p>
        </w:tc>
        <w:tc>
          <w:tcPr>
            <w:tcW w:w="1200" w:type="dxa"/>
            <w:tcBorders>
              <w:top w:val="single" w:sz="4" w:space="0" w:color="auto"/>
              <w:left w:val="nil"/>
              <w:bottom w:val="single" w:sz="4" w:space="0" w:color="auto"/>
              <w:right w:val="single" w:sz="4" w:space="0" w:color="auto"/>
            </w:tcBorders>
            <w:shd w:val="clear" w:color="000000" w:fill="305496"/>
            <w:vAlign w:val="center"/>
            <w:hideMark/>
          </w:tcPr>
          <w:p w14:paraId="0F05A2C3" w14:textId="77777777" w:rsidR="00291BCD" w:rsidRPr="0069480F" w:rsidRDefault="00291BCD" w:rsidP="00243F14">
            <w:pPr>
              <w:jc w:val="center"/>
              <w:rPr>
                <w:rFonts w:ascii="Book Antiqua" w:hAnsi="Book Antiqua" w:cs="Calibri"/>
                <w:b/>
                <w:bCs/>
                <w:color w:val="FFFFFF"/>
                <w:sz w:val="16"/>
                <w:szCs w:val="16"/>
                <w:lang w:eastAsia="es-CR"/>
              </w:rPr>
            </w:pPr>
            <w:r w:rsidRPr="0069480F">
              <w:rPr>
                <w:rFonts w:ascii="Book Antiqua" w:hAnsi="Book Antiqua" w:cs="Calibri"/>
                <w:b/>
                <w:bCs/>
                <w:color w:val="FFFFFF"/>
                <w:sz w:val="16"/>
                <w:szCs w:val="16"/>
                <w:lang w:eastAsia="es-CR"/>
              </w:rPr>
              <w:t>Diferencia 2021vs 2019</w:t>
            </w:r>
          </w:p>
        </w:tc>
        <w:tc>
          <w:tcPr>
            <w:tcW w:w="1200" w:type="dxa"/>
            <w:tcBorders>
              <w:top w:val="single" w:sz="4" w:space="0" w:color="auto"/>
              <w:left w:val="nil"/>
              <w:bottom w:val="single" w:sz="4" w:space="0" w:color="auto"/>
              <w:right w:val="single" w:sz="4" w:space="0" w:color="auto"/>
            </w:tcBorders>
            <w:shd w:val="clear" w:color="000000" w:fill="305496"/>
            <w:vAlign w:val="center"/>
            <w:hideMark/>
          </w:tcPr>
          <w:p w14:paraId="6641B90D" w14:textId="77777777" w:rsidR="00291BCD" w:rsidRPr="0069480F" w:rsidRDefault="00291BCD" w:rsidP="00243F14">
            <w:pPr>
              <w:jc w:val="center"/>
              <w:rPr>
                <w:rFonts w:ascii="Book Antiqua" w:hAnsi="Book Antiqua" w:cs="Calibri"/>
                <w:b/>
                <w:bCs/>
                <w:color w:val="FFFFFF"/>
                <w:sz w:val="16"/>
                <w:szCs w:val="16"/>
                <w:lang w:eastAsia="es-CR"/>
              </w:rPr>
            </w:pPr>
            <w:r w:rsidRPr="0069480F">
              <w:rPr>
                <w:rFonts w:ascii="Book Antiqua" w:hAnsi="Book Antiqua" w:cs="Calibri"/>
                <w:b/>
                <w:bCs/>
                <w:color w:val="FFFFFF"/>
                <w:sz w:val="16"/>
                <w:szCs w:val="16"/>
                <w:lang w:eastAsia="es-CR"/>
              </w:rPr>
              <w:t>Diferencia 2021vs 2020</w:t>
            </w:r>
          </w:p>
        </w:tc>
      </w:tr>
      <w:tr w:rsidR="00291BCD" w:rsidRPr="0069480F" w14:paraId="26B03FDA" w14:textId="77777777" w:rsidTr="00243F14">
        <w:trPr>
          <w:trHeight w:val="290"/>
          <w:jc w:val="center"/>
        </w:trPr>
        <w:tc>
          <w:tcPr>
            <w:tcW w:w="3203" w:type="dxa"/>
            <w:tcBorders>
              <w:top w:val="nil"/>
              <w:left w:val="single" w:sz="4" w:space="0" w:color="auto"/>
              <w:bottom w:val="single" w:sz="4" w:space="0" w:color="auto"/>
              <w:right w:val="single" w:sz="4" w:space="0" w:color="auto"/>
            </w:tcBorders>
            <w:shd w:val="clear" w:color="auto" w:fill="auto"/>
            <w:noWrap/>
            <w:vAlign w:val="center"/>
            <w:hideMark/>
          </w:tcPr>
          <w:p w14:paraId="7BA2D8D2" w14:textId="77777777" w:rsidR="00291BCD" w:rsidRPr="0069480F" w:rsidRDefault="00291BCD" w:rsidP="00243F14">
            <w:pPr>
              <w:rPr>
                <w:rFonts w:ascii="Book Antiqua" w:hAnsi="Book Antiqua" w:cs="Calibri"/>
                <w:color w:val="000000"/>
                <w:sz w:val="16"/>
                <w:szCs w:val="16"/>
                <w:lang w:eastAsia="es-CR"/>
              </w:rPr>
            </w:pPr>
            <w:r w:rsidRPr="0069480F">
              <w:rPr>
                <w:rFonts w:ascii="Book Antiqua" w:hAnsi="Book Antiqua" w:cs="Calibri"/>
                <w:color w:val="000000"/>
                <w:sz w:val="16"/>
                <w:szCs w:val="16"/>
                <w:lang w:eastAsia="es-CR"/>
              </w:rPr>
              <w:t>Sala Primera</w:t>
            </w:r>
          </w:p>
        </w:tc>
        <w:tc>
          <w:tcPr>
            <w:tcW w:w="1200" w:type="dxa"/>
            <w:tcBorders>
              <w:top w:val="nil"/>
              <w:left w:val="nil"/>
              <w:bottom w:val="single" w:sz="4" w:space="0" w:color="auto"/>
              <w:right w:val="single" w:sz="4" w:space="0" w:color="auto"/>
            </w:tcBorders>
            <w:shd w:val="clear" w:color="auto" w:fill="auto"/>
            <w:noWrap/>
            <w:vAlign w:val="center"/>
            <w:hideMark/>
          </w:tcPr>
          <w:p w14:paraId="3164EF4C" w14:textId="77777777" w:rsidR="00291BCD" w:rsidRPr="0069480F" w:rsidRDefault="00291BCD" w:rsidP="00243F14">
            <w:pPr>
              <w:jc w:val="center"/>
              <w:rPr>
                <w:rFonts w:ascii="Book Antiqua" w:hAnsi="Book Antiqua" w:cs="Calibri"/>
                <w:color w:val="000000"/>
                <w:sz w:val="16"/>
                <w:szCs w:val="16"/>
                <w:lang w:eastAsia="es-CR"/>
              </w:rPr>
            </w:pPr>
            <w:r w:rsidRPr="0069480F">
              <w:rPr>
                <w:rFonts w:ascii="Book Antiqua" w:hAnsi="Book Antiqua" w:cs="Calibri"/>
                <w:color w:val="000000"/>
                <w:sz w:val="16"/>
                <w:szCs w:val="16"/>
                <w:lang w:eastAsia="es-CR"/>
              </w:rPr>
              <w:t>-78,43%</w:t>
            </w:r>
          </w:p>
        </w:tc>
        <w:tc>
          <w:tcPr>
            <w:tcW w:w="1200" w:type="dxa"/>
            <w:tcBorders>
              <w:top w:val="nil"/>
              <w:left w:val="nil"/>
              <w:bottom w:val="single" w:sz="4" w:space="0" w:color="auto"/>
              <w:right w:val="single" w:sz="4" w:space="0" w:color="auto"/>
            </w:tcBorders>
            <w:shd w:val="clear" w:color="auto" w:fill="auto"/>
            <w:noWrap/>
            <w:vAlign w:val="center"/>
            <w:hideMark/>
          </w:tcPr>
          <w:p w14:paraId="083CFC85" w14:textId="77777777" w:rsidR="00291BCD" w:rsidRPr="0069480F" w:rsidRDefault="00291BCD" w:rsidP="00243F14">
            <w:pPr>
              <w:jc w:val="center"/>
              <w:rPr>
                <w:rFonts w:ascii="Book Antiqua" w:hAnsi="Book Antiqua" w:cs="Calibri"/>
                <w:color w:val="000000"/>
                <w:sz w:val="16"/>
                <w:szCs w:val="16"/>
                <w:lang w:eastAsia="es-CR"/>
              </w:rPr>
            </w:pPr>
            <w:r w:rsidRPr="0069480F">
              <w:rPr>
                <w:rFonts w:ascii="Book Antiqua" w:hAnsi="Book Antiqua" w:cs="Calibri"/>
                <w:color w:val="000000"/>
                <w:sz w:val="16"/>
                <w:szCs w:val="16"/>
                <w:lang w:eastAsia="es-CR"/>
              </w:rPr>
              <w:t>-17,39%</w:t>
            </w:r>
          </w:p>
        </w:tc>
      </w:tr>
      <w:tr w:rsidR="00291BCD" w:rsidRPr="0069480F" w14:paraId="7CE11E5A" w14:textId="77777777" w:rsidTr="00243F14">
        <w:trPr>
          <w:trHeight w:val="290"/>
          <w:jc w:val="center"/>
        </w:trPr>
        <w:tc>
          <w:tcPr>
            <w:tcW w:w="3203" w:type="dxa"/>
            <w:tcBorders>
              <w:top w:val="nil"/>
              <w:left w:val="single" w:sz="4" w:space="0" w:color="auto"/>
              <w:bottom w:val="single" w:sz="4" w:space="0" w:color="auto"/>
              <w:right w:val="single" w:sz="4" w:space="0" w:color="auto"/>
            </w:tcBorders>
            <w:shd w:val="clear" w:color="auto" w:fill="auto"/>
            <w:noWrap/>
            <w:vAlign w:val="center"/>
            <w:hideMark/>
          </w:tcPr>
          <w:p w14:paraId="528E5740" w14:textId="77777777" w:rsidR="00291BCD" w:rsidRPr="0069480F" w:rsidRDefault="00291BCD" w:rsidP="00243F14">
            <w:pPr>
              <w:rPr>
                <w:rFonts w:ascii="Book Antiqua" w:hAnsi="Book Antiqua" w:cs="Calibri"/>
                <w:color w:val="000000"/>
                <w:sz w:val="16"/>
                <w:szCs w:val="16"/>
                <w:lang w:eastAsia="es-CR"/>
              </w:rPr>
            </w:pPr>
            <w:r w:rsidRPr="0069480F">
              <w:rPr>
                <w:rFonts w:ascii="Book Antiqua" w:hAnsi="Book Antiqua" w:cs="Calibri"/>
                <w:color w:val="000000"/>
                <w:sz w:val="16"/>
                <w:szCs w:val="16"/>
                <w:lang w:eastAsia="es-CR"/>
              </w:rPr>
              <w:t>Tribunal Apelación Penal Juvenil</w:t>
            </w:r>
          </w:p>
        </w:tc>
        <w:tc>
          <w:tcPr>
            <w:tcW w:w="1200" w:type="dxa"/>
            <w:tcBorders>
              <w:top w:val="nil"/>
              <w:left w:val="nil"/>
              <w:bottom w:val="single" w:sz="4" w:space="0" w:color="auto"/>
              <w:right w:val="single" w:sz="4" w:space="0" w:color="auto"/>
            </w:tcBorders>
            <w:shd w:val="clear" w:color="auto" w:fill="auto"/>
            <w:noWrap/>
            <w:vAlign w:val="center"/>
            <w:hideMark/>
          </w:tcPr>
          <w:p w14:paraId="39B60FE9" w14:textId="77777777" w:rsidR="00291BCD" w:rsidRPr="0069480F" w:rsidRDefault="00291BCD" w:rsidP="00243F14">
            <w:pPr>
              <w:jc w:val="center"/>
              <w:rPr>
                <w:rFonts w:ascii="Book Antiqua" w:hAnsi="Book Antiqua" w:cs="Calibri"/>
                <w:color w:val="000000"/>
                <w:sz w:val="16"/>
                <w:szCs w:val="16"/>
                <w:lang w:eastAsia="es-CR"/>
              </w:rPr>
            </w:pPr>
            <w:r w:rsidRPr="0069480F">
              <w:rPr>
                <w:rFonts w:ascii="Book Antiqua" w:hAnsi="Book Antiqua" w:cs="Calibri"/>
                <w:color w:val="000000"/>
                <w:sz w:val="16"/>
                <w:szCs w:val="16"/>
                <w:lang w:eastAsia="es-CR"/>
              </w:rPr>
              <w:t>-20,24%</w:t>
            </w:r>
          </w:p>
        </w:tc>
        <w:tc>
          <w:tcPr>
            <w:tcW w:w="1200" w:type="dxa"/>
            <w:tcBorders>
              <w:top w:val="nil"/>
              <w:left w:val="nil"/>
              <w:bottom w:val="single" w:sz="4" w:space="0" w:color="auto"/>
              <w:right w:val="single" w:sz="4" w:space="0" w:color="auto"/>
            </w:tcBorders>
            <w:shd w:val="clear" w:color="auto" w:fill="auto"/>
            <w:noWrap/>
            <w:vAlign w:val="center"/>
            <w:hideMark/>
          </w:tcPr>
          <w:p w14:paraId="188D396F" w14:textId="77777777" w:rsidR="00291BCD" w:rsidRPr="0069480F" w:rsidRDefault="00291BCD" w:rsidP="00243F14">
            <w:pPr>
              <w:jc w:val="center"/>
              <w:rPr>
                <w:rFonts w:ascii="Book Antiqua" w:hAnsi="Book Antiqua" w:cs="Calibri"/>
                <w:color w:val="000000"/>
                <w:sz w:val="16"/>
                <w:szCs w:val="16"/>
                <w:lang w:eastAsia="es-CR"/>
              </w:rPr>
            </w:pPr>
            <w:r w:rsidRPr="0069480F">
              <w:rPr>
                <w:rFonts w:ascii="Book Antiqua" w:hAnsi="Book Antiqua" w:cs="Calibri"/>
                <w:color w:val="000000"/>
                <w:sz w:val="16"/>
                <w:szCs w:val="16"/>
                <w:lang w:eastAsia="es-CR"/>
              </w:rPr>
              <w:t>-0,29%</w:t>
            </w:r>
          </w:p>
        </w:tc>
      </w:tr>
      <w:tr w:rsidR="00291BCD" w:rsidRPr="0069480F" w14:paraId="47C89842" w14:textId="77777777" w:rsidTr="00243F14">
        <w:trPr>
          <w:trHeight w:val="290"/>
          <w:jc w:val="center"/>
        </w:trPr>
        <w:tc>
          <w:tcPr>
            <w:tcW w:w="3203" w:type="dxa"/>
            <w:tcBorders>
              <w:top w:val="nil"/>
              <w:left w:val="single" w:sz="4" w:space="0" w:color="auto"/>
              <w:bottom w:val="single" w:sz="4" w:space="0" w:color="auto"/>
              <w:right w:val="single" w:sz="4" w:space="0" w:color="auto"/>
            </w:tcBorders>
            <w:shd w:val="clear" w:color="auto" w:fill="auto"/>
            <w:noWrap/>
            <w:vAlign w:val="center"/>
            <w:hideMark/>
          </w:tcPr>
          <w:p w14:paraId="63566A63" w14:textId="77777777" w:rsidR="00291BCD" w:rsidRPr="0069480F" w:rsidRDefault="00291BCD" w:rsidP="00243F14">
            <w:pPr>
              <w:rPr>
                <w:rFonts w:ascii="Book Antiqua" w:hAnsi="Book Antiqua" w:cs="Calibri"/>
                <w:color w:val="000000"/>
                <w:sz w:val="16"/>
                <w:szCs w:val="16"/>
                <w:lang w:eastAsia="es-CR"/>
              </w:rPr>
            </w:pPr>
            <w:r w:rsidRPr="0069480F">
              <w:rPr>
                <w:rFonts w:ascii="Book Antiqua" w:hAnsi="Book Antiqua" w:cs="Calibri"/>
                <w:color w:val="000000"/>
                <w:sz w:val="16"/>
                <w:szCs w:val="16"/>
                <w:lang w:eastAsia="es-CR"/>
              </w:rPr>
              <w:t>Tribunal Apelación (1120)</w:t>
            </w:r>
          </w:p>
        </w:tc>
        <w:tc>
          <w:tcPr>
            <w:tcW w:w="1200" w:type="dxa"/>
            <w:tcBorders>
              <w:top w:val="nil"/>
              <w:left w:val="nil"/>
              <w:bottom w:val="single" w:sz="4" w:space="0" w:color="auto"/>
              <w:right w:val="single" w:sz="4" w:space="0" w:color="auto"/>
            </w:tcBorders>
            <w:shd w:val="clear" w:color="auto" w:fill="auto"/>
            <w:noWrap/>
            <w:vAlign w:val="center"/>
            <w:hideMark/>
          </w:tcPr>
          <w:p w14:paraId="053C565F" w14:textId="77777777" w:rsidR="00291BCD" w:rsidRPr="0069480F" w:rsidRDefault="00291BCD" w:rsidP="00243F14">
            <w:pPr>
              <w:jc w:val="center"/>
              <w:rPr>
                <w:rFonts w:ascii="Book Antiqua" w:hAnsi="Book Antiqua" w:cs="Calibri"/>
                <w:color w:val="000000"/>
                <w:sz w:val="16"/>
                <w:szCs w:val="16"/>
                <w:lang w:eastAsia="es-CR"/>
              </w:rPr>
            </w:pPr>
            <w:r w:rsidRPr="0069480F">
              <w:rPr>
                <w:rFonts w:ascii="Book Antiqua" w:hAnsi="Book Antiqua" w:cs="Calibri"/>
                <w:color w:val="000000"/>
                <w:sz w:val="16"/>
                <w:szCs w:val="16"/>
                <w:lang w:eastAsia="es-CR"/>
              </w:rPr>
              <w:t>-45,07%</w:t>
            </w:r>
          </w:p>
        </w:tc>
        <w:tc>
          <w:tcPr>
            <w:tcW w:w="1200" w:type="dxa"/>
            <w:tcBorders>
              <w:top w:val="nil"/>
              <w:left w:val="nil"/>
              <w:bottom w:val="single" w:sz="4" w:space="0" w:color="auto"/>
              <w:right w:val="single" w:sz="4" w:space="0" w:color="auto"/>
            </w:tcBorders>
            <w:shd w:val="clear" w:color="auto" w:fill="auto"/>
            <w:noWrap/>
            <w:vAlign w:val="center"/>
            <w:hideMark/>
          </w:tcPr>
          <w:p w14:paraId="76CA3E65" w14:textId="77777777" w:rsidR="00291BCD" w:rsidRPr="0069480F" w:rsidRDefault="00291BCD" w:rsidP="00243F14">
            <w:pPr>
              <w:jc w:val="center"/>
              <w:rPr>
                <w:rFonts w:ascii="Book Antiqua" w:hAnsi="Book Antiqua" w:cs="Calibri"/>
                <w:color w:val="000000"/>
                <w:sz w:val="16"/>
                <w:szCs w:val="16"/>
                <w:lang w:eastAsia="es-CR"/>
              </w:rPr>
            </w:pPr>
            <w:r w:rsidRPr="0069480F">
              <w:rPr>
                <w:rFonts w:ascii="Book Antiqua" w:hAnsi="Book Antiqua" w:cs="Calibri"/>
                <w:color w:val="000000"/>
                <w:sz w:val="16"/>
                <w:szCs w:val="16"/>
                <w:lang w:eastAsia="es-CR"/>
              </w:rPr>
              <w:t>-13,95%</w:t>
            </w:r>
          </w:p>
        </w:tc>
      </w:tr>
      <w:tr w:rsidR="00291BCD" w:rsidRPr="0069480F" w14:paraId="420BE0F1" w14:textId="77777777" w:rsidTr="00243F14">
        <w:trPr>
          <w:trHeight w:val="290"/>
          <w:jc w:val="center"/>
        </w:trPr>
        <w:tc>
          <w:tcPr>
            <w:tcW w:w="3203" w:type="dxa"/>
            <w:tcBorders>
              <w:top w:val="nil"/>
              <w:left w:val="single" w:sz="4" w:space="0" w:color="auto"/>
              <w:bottom w:val="single" w:sz="4" w:space="0" w:color="auto"/>
              <w:right w:val="single" w:sz="4" w:space="0" w:color="auto"/>
            </w:tcBorders>
            <w:shd w:val="clear" w:color="auto" w:fill="auto"/>
            <w:noWrap/>
            <w:vAlign w:val="center"/>
            <w:hideMark/>
          </w:tcPr>
          <w:p w14:paraId="758607A5" w14:textId="77777777" w:rsidR="00291BCD" w:rsidRPr="0069480F" w:rsidRDefault="00291BCD" w:rsidP="00243F14">
            <w:pPr>
              <w:rPr>
                <w:rFonts w:ascii="Book Antiqua" w:hAnsi="Book Antiqua" w:cs="Calibri"/>
                <w:color w:val="000000"/>
                <w:sz w:val="16"/>
                <w:szCs w:val="16"/>
                <w:lang w:eastAsia="es-CR"/>
              </w:rPr>
            </w:pPr>
            <w:r w:rsidRPr="0069480F">
              <w:rPr>
                <w:rFonts w:ascii="Book Antiqua" w:hAnsi="Book Antiqua" w:cs="Calibri"/>
                <w:color w:val="000000"/>
                <w:sz w:val="16"/>
                <w:szCs w:val="16"/>
                <w:lang w:eastAsia="es-CR"/>
              </w:rPr>
              <w:t>Juzgado Penal Juvenil</w:t>
            </w:r>
          </w:p>
        </w:tc>
        <w:tc>
          <w:tcPr>
            <w:tcW w:w="1200" w:type="dxa"/>
            <w:tcBorders>
              <w:top w:val="nil"/>
              <w:left w:val="nil"/>
              <w:bottom w:val="single" w:sz="4" w:space="0" w:color="auto"/>
              <w:right w:val="single" w:sz="4" w:space="0" w:color="auto"/>
            </w:tcBorders>
            <w:shd w:val="clear" w:color="auto" w:fill="auto"/>
            <w:noWrap/>
            <w:vAlign w:val="center"/>
            <w:hideMark/>
          </w:tcPr>
          <w:p w14:paraId="31E045D2" w14:textId="77777777" w:rsidR="00291BCD" w:rsidRPr="0069480F" w:rsidRDefault="00291BCD" w:rsidP="00243F14">
            <w:pPr>
              <w:jc w:val="center"/>
              <w:rPr>
                <w:rFonts w:ascii="Book Antiqua" w:hAnsi="Book Antiqua" w:cs="Calibri"/>
                <w:color w:val="000000"/>
                <w:sz w:val="16"/>
                <w:szCs w:val="16"/>
                <w:lang w:eastAsia="es-CR"/>
              </w:rPr>
            </w:pPr>
            <w:r w:rsidRPr="0069480F">
              <w:rPr>
                <w:rFonts w:ascii="Book Antiqua" w:hAnsi="Book Antiqua" w:cs="Calibri"/>
                <w:color w:val="000000"/>
                <w:sz w:val="16"/>
                <w:szCs w:val="16"/>
                <w:lang w:eastAsia="es-CR"/>
              </w:rPr>
              <w:t>-37,95%</w:t>
            </w:r>
          </w:p>
        </w:tc>
        <w:tc>
          <w:tcPr>
            <w:tcW w:w="1200" w:type="dxa"/>
            <w:tcBorders>
              <w:top w:val="nil"/>
              <w:left w:val="nil"/>
              <w:bottom w:val="single" w:sz="4" w:space="0" w:color="auto"/>
              <w:right w:val="single" w:sz="4" w:space="0" w:color="auto"/>
            </w:tcBorders>
            <w:shd w:val="clear" w:color="auto" w:fill="auto"/>
            <w:noWrap/>
            <w:vAlign w:val="center"/>
            <w:hideMark/>
          </w:tcPr>
          <w:p w14:paraId="03E34CF4" w14:textId="77777777" w:rsidR="00291BCD" w:rsidRPr="0069480F" w:rsidRDefault="00291BCD" w:rsidP="00243F14">
            <w:pPr>
              <w:jc w:val="center"/>
              <w:rPr>
                <w:rFonts w:ascii="Book Antiqua" w:hAnsi="Book Antiqua" w:cs="Calibri"/>
                <w:color w:val="000000"/>
                <w:sz w:val="16"/>
                <w:szCs w:val="16"/>
                <w:lang w:eastAsia="es-CR"/>
              </w:rPr>
            </w:pPr>
            <w:r w:rsidRPr="0069480F">
              <w:rPr>
                <w:rFonts w:ascii="Book Antiqua" w:hAnsi="Book Antiqua" w:cs="Calibri"/>
                <w:color w:val="000000"/>
                <w:sz w:val="16"/>
                <w:szCs w:val="16"/>
                <w:lang w:eastAsia="es-CR"/>
              </w:rPr>
              <w:t>-22,42%</w:t>
            </w:r>
          </w:p>
        </w:tc>
      </w:tr>
    </w:tbl>
    <w:p w14:paraId="184BF7A7" w14:textId="77777777" w:rsidR="00C533A9" w:rsidRPr="00C533A9" w:rsidRDefault="00C533A9" w:rsidP="00985591">
      <w:pPr>
        <w:spacing w:line="276" w:lineRule="auto"/>
        <w:jc w:val="both"/>
        <w:rPr>
          <w:rFonts w:ascii="Book Antiqua" w:hAnsi="Book Antiqua"/>
          <w:lang w:val="es-ES_tradnl"/>
        </w:rPr>
      </w:pPr>
    </w:p>
    <w:p w14:paraId="78359237" w14:textId="77777777" w:rsidR="00BB54D4" w:rsidRDefault="00BB54D4" w:rsidP="00BB54D4">
      <w:pPr>
        <w:spacing w:line="276" w:lineRule="auto"/>
        <w:jc w:val="both"/>
        <w:rPr>
          <w:rFonts w:ascii="Book Antiqua" w:hAnsi="Book Antiqua"/>
          <w:lang w:val="es-ES_tradnl"/>
        </w:rPr>
      </w:pPr>
      <w:r w:rsidRPr="00BB54D4">
        <w:rPr>
          <w:rFonts w:ascii="Book Antiqua" w:hAnsi="Book Antiqua"/>
          <w:lang w:val="es-ES_tradnl"/>
        </w:rPr>
        <w:t>Asimismo, se detalla los despachos que al finalizar setiembre 2021 tuvieron un crecimiento en su circulante en relación con diciembre 2019 y 2020:</w:t>
      </w:r>
    </w:p>
    <w:p w14:paraId="665ECF0F" w14:textId="77777777" w:rsidR="001665C6" w:rsidRDefault="001665C6" w:rsidP="00985591">
      <w:pPr>
        <w:pStyle w:val="Prrafodelista"/>
        <w:shd w:val="clear" w:color="auto" w:fill="FFFFFF" w:themeFill="background1"/>
        <w:spacing w:line="276" w:lineRule="auto"/>
        <w:ind w:left="720"/>
        <w:contextualSpacing/>
        <w:jc w:val="both"/>
        <w:rPr>
          <w:rFonts w:ascii="Book Antiqua" w:hAnsi="Book Antiqua"/>
          <w:lang w:val="es-ES_tradnl"/>
        </w:rPr>
      </w:pPr>
    </w:p>
    <w:p w14:paraId="4C1DB362" w14:textId="77777777" w:rsidR="006F775A" w:rsidRDefault="001665C6" w:rsidP="00985591">
      <w:pPr>
        <w:pStyle w:val="Prrafodelista"/>
        <w:shd w:val="clear" w:color="auto" w:fill="FFFFFF" w:themeFill="background1"/>
        <w:spacing w:line="276" w:lineRule="auto"/>
        <w:ind w:left="720"/>
        <w:contextualSpacing/>
        <w:jc w:val="center"/>
        <w:rPr>
          <w:rFonts w:ascii="Book Antiqua" w:hAnsi="Book Antiqua"/>
          <w:b/>
          <w:bCs/>
          <w:lang w:val="es-ES_tradnl"/>
        </w:rPr>
      </w:pPr>
      <w:r w:rsidRPr="007A4427">
        <w:rPr>
          <w:rFonts w:ascii="Book Antiqua" w:hAnsi="Book Antiqua"/>
          <w:b/>
          <w:bCs/>
          <w:lang w:val="es-ES_tradnl"/>
        </w:rPr>
        <w:t xml:space="preserve">Cuadro </w:t>
      </w:r>
      <w:r w:rsidR="002952B3">
        <w:rPr>
          <w:rFonts w:ascii="Book Antiqua" w:hAnsi="Book Antiqua"/>
          <w:b/>
          <w:bCs/>
          <w:lang w:val="es-ES_tradnl"/>
        </w:rPr>
        <w:t>94</w:t>
      </w:r>
    </w:p>
    <w:p w14:paraId="5E3A65B0" w14:textId="4A842F77" w:rsidR="001665C6" w:rsidRDefault="001665C6" w:rsidP="00985591">
      <w:pPr>
        <w:pStyle w:val="Prrafodelista"/>
        <w:shd w:val="clear" w:color="auto" w:fill="FFFFFF" w:themeFill="background1"/>
        <w:spacing w:line="276" w:lineRule="auto"/>
        <w:ind w:left="720"/>
        <w:contextualSpacing/>
        <w:jc w:val="center"/>
        <w:rPr>
          <w:rFonts w:ascii="Book Antiqua" w:hAnsi="Book Antiqua"/>
          <w:b/>
          <w:bCs/>
          <w:lang w:val="es-ES_tradnl"/>
        </w:rPr>
      </w:pPr>
      <w:r w:rsidRPr="007A4427">
        <w:rPr>
          <w:rFonts w:ascii="Book Antiqua" w:hAnsi="Book Antiqua"/>
          <w:b/>
          <w:bCs/>
          <w:lang w:val="es-ES_tradnl"/>
        </w:rPr>
        <w:t xml:space="preserve"> </w:t>
      </w:r>
      <w:r w:rsidR="002952B3" w:rsidRPr="002952B3">
        <w:rPr>
          <w:rFonts w:ascii="Book Antiqua" w:hAnsi="Book Antiqua"/>
          <w:b/>
          <w:bCs/>
          <w:lang w:val="es-ES_tradnl"/>
        </w:rPr>
        <w:t>Porcentaje de crecimiento versus 2019 y 2020 en circulante final</w:t>
      </w:r>
    </w:p>
    <w:tbl>
      <w:tblPr>
        <w:tblW w:w="8494" w:type="dxa"/>
        <w:jc w:val="center"/>
        <w:tblCellMar>
          <w:left w:w="70" w:type="dxa"/>
          <w:right w:w="70" w:type="dxa"/>
        </w:tblCellMar>
        <w:tblLook w:val="04A0" w:firstRow="1" w:lastRow="0" w:firstColumn="1" w:lastColumn="0" w:noHBand="0" w:noVBand="1"/>
      </w:tblPr>
      <w:tblGrid>
        <w:gridCol w:w="2494"/>
        <w:gridCol w:w="1200"/>
        <w:gridCol w:w="1200"/>
        <w:gridCol w:w="1200"/>
        <w:gridCol w:w="1200"/>
        <w:gridCol w:w="1200"/>
      </w:tblGrid>
      <w:tr w:rsidR="002952B3" w:rsidRPr="005D1CD8" w14:paraId="3D9EDE1E" w14:textId="77777777" w:rsidTr="002952B3">
        <w:trPr>
          <w:trHeight w:val="520"/>
          <w:jc w:val="center"/>
        </w:trPr>
        <w:tc>
          <w:tcPr>
            <w:tcW w:w="2494" w:type="dxa"/>
            <w:tcBorders>
              <w:top w:val="single" w:sz="4" w:space="0" w:color="auto"/>
              <w:left w:val="single" w:sz="4" w:space="0" w:color="auto"/>
              <w:bottom w:val="single" w:sz="4" w:space="0" w:color="auto"/>
              <w:right w:val="single" w:sz="4" w:space="0" w:color="auto"/>
            </w:tcBorders>
            <w:shd w:val="clear" w:color="000000" w:fill="305496"/>
            <w:noWrap/>
            <w:vAlign w:val="center"/>
            <w:hideMark/>
          </w:tcPr>
          <w:p w14:paraId="260D3FFD" w14:textId="77777777" w:rsidR="002952B3" w:rsidRPr="005D1CD8" w:rsidRDefault="002952B3" w:rsidP="00243F14">
            <w:pPr>
              <w:jc w:val="center"/>
              <w:rPr>
                <w:rFonts w:ascii="Book Antiqua" w:hAnsi="Book Antiqua" w:cs="Calibri"/>
                <w:b/>
                <w:bCs/>
                <w:color w:val="FFFFFF"/>
                <w:sz w:val="20"/>
                <w:szCs w:val="20"/>
                <w:lang w:eastAsia="es-CR"/>
              </w:rPr>
            </w:pPr>
            <w:r w:rsidRPr="005D1CD8">
              <w:rPr>
                <w:rFonts w:ascii="Book Antiqua" w:hAnsi="Book Antiqua" w:cs="Calibri"/>
                <w:b/>
                <w:bCs/>
                <w:color w:val="FFFFFF"/>
                <w:sz w:val="20"/>
                <w:szCs w:val="20"/>
                <w:lang w:eastAsia="es-CR"/>
              </w:rPr>
              <w:t>Materia</w:t>
            </w:r>
          </w:p>
        </w:tc>
        <w:tc>
          <w:tcPr>
            <w:tcW w:w="1200" w:type="dxa"/>
            <w:tcBorders>
              <w:top w:val="single" w:sz="4" w:space="0" w:color="auto"/>
              <w:left w:val="nil"/>
              <w:bottom w:val="single" w:sz="4" w:space="0" w:color="auto"/>
              <w:right w:val="single" w:sz="4" w:space="0" w:color="auto"/>
            </w:tcBorders>
            <w:shd w:val="clear" w:color="000000" w:fill="305496"/>
            <w:vAlign w:val="center"/>
            <w:hideMark/>
          </w:tcPr>
          <w:p w14:paraId="655C94D7" w14:textId="77777777" w:rsidR="002952B3" w:rsidRPr="005D1CD8" w:rsidRDefault="002952B3" w:rsidP="00243F14">
            <w:pPr>
              <w:jc w:val="center"/>
              <w:rPr>
                <w:rFonts w:ascii="Book Antiqua" w:hAnsi="Book Antiqua" w:cs="Calibri"/>
                <w:b/>
                <w:bCs/>
                <w:color w:val="FFFFFF"/>
                <w:sz w:val="20"/>
                <w:szCs w:val="20"/>
                <w:lang w:eastAsia="es-CR"/>
              </w:rPr>
            </w:pPr>
            <w:r w:rsidRPr="005D1CD8">
              <w:rPr>
                <w:rFonts w:ascii="Book Antiqua" w:hAnsi="Book Antiqua" w:cs="Calibri"/>
                <w:b/>
                <w:bCs/>
                <w:color w:val="FFFFFF"/>
                <w:sz w:val="20"/>
                <w:szCs w:val="20"/>
                <w:lang w:eastAsia="es-CR"/>
              </w:rPr>
              <w:t>dic-19</w:t>
            </w:r>
          </w:p>
        </w:tc>
        <w:tc>
          <w:tcPr>
            <w:tcW w:w="1200" w:type="dxa"/>
            <w:tcBorders>
              <w:top w:val="single" w:sz="4" w:space="0" w:color="auto"/>
              <w:left w:val="nil"/>
              <w:bottom w:val="single" w:sz="4" w:space="0" w:color="auto"/>
              <w:right w:val="single" w:sz="4" w:space="0" w:color="auto"/>
            </w:tcBorders>
            <w:shd w:val="clear" w:color="000000" w:fill="305496"/>
            <w:vAlign w:val="center"/>
            <w:hideMark/>
          </w:tcPr>
          <w:p w14:paraId="2BC6E455" w14:textId="77777777" w:rsidR="002952B3" w:rsidRPr="005D1CD8" w:rsidRDefault="002952B3" w:rsidP="00243F14">
            <w:pPr>
              <w:jc w:val="center"/>
              <w:rPr>
                <w:rFonts w:ascii="Book Antiqua" w:hAnsi="Book Antiqua" w:cs="Calibri"/>
                <w:b/>
                <w:bCs/>
                <w:color w:val="FFFFFF"/>
                <w:sz w:val="20"/>
                <w:szCs w:val="20"/>
                <w:lang w:eastAsia="es-CR"/>
              </w:rPr>
            </w:pPr>
            <w:r w:rsidRPr="005D1CD8">
              <w:rPr>
                <w:rFonts w:ascii="Book Antiqua" w:hAnsi="Book Antiqua" w:cs="Calibri"/>
                <w:b/>
                <w:bCs/>
                <w:color w:val="FFFFFF"/>
                <w:sz w:val="20"/>
                <w:szCs w:val="20"/>
                <w:lang w:eastAsia="es-CR"/>
              </w:rPr>
              <w:t>dic-20</w:t>
            </w:r>
          </w:p>
        </w:tc>
        <w:tc>
          <w:tcPr>
            <w:tcW w:w="1200" w:type="dxa"/>
            <w:tcBorders>
              <w:top w:val="single" w:sz="4" w:space="0" w:color="auto"/>
              <w:left w:val="nil"/>
              <w:bottom w:val="single" w:sz="4" w:space="0" w:color="auto"/>
              <w:right w:val="single" w:sz="4" w:space="0" w:color="auto"/>
            </w:tcBorders>
            <w:shd w:val="clear" w:color="000000" w:fill="305496"/>
            <w:vAlign w:val="center"/>
            <w:hideMark/>
          </w:tcPr>
          <w:p w14:paraId="08325DC2" w14:textId="77777777" w:rsidR="002952B3" w:rsidRPr="005D1CD8" w:rsidRDefault="002952B3" w:rsidP="00243F14">
            <w:pPr>
              <w:jc w:val="center"/>
              <w:rPr>
                <w:rFonts w:ascii="Book Antiqua" w:hAnsi="Book Antiqua" w:cs="Calibri"/>
                <w:b/>
                <w:bCs/>
                <w:color w:val="FFFFFF"/>
                <w:sz w:val="20"/>
                <w:szCs w:val="20"/>
                <w:lang w:eastAsia="es-CR"/>
              </w:rPr>
            </w:pPr>
            <w:r w:rsidRPr="005D1CD8">
              <w:rPr>
                <w:rFonts w:ascii="Book Antiqua" w:hAnsi="Book Antiqua" w:cs="Calibri"/>
                <w:b/>
                <w:bCs/>
                <w:color w:val="FFFFFF"/>
                <w:sz w:val="20"/>
                <w:szCs w:val="20"/>
                <w:lang w:eastAsia="es-CR"/>
              </w:rPr>
              <w:t>sep-21</w:t>
            </w:r>
          </w:p>
        </w:tc>
        <w:tc>
          <w:tcPr>
            <w:tcW w:w="1200" w:type="dxa"/>
            <w:tcBorders>
              <w:top w:val="single" w:sz="4" w:space="0" w:color="auto"/>
              <w:left w:val="nil"/>
              <w:bottom w:val="single" w:sz="4" w:space="0" w:color="auto"/>
              <w:right w:val="single" w:sz="4" w:space="0" w:color="auto"/>
            </w:tcBorders>
            <w:shd w:val="clear" w:color="000000" w:fill="305496"/>
            <w:vAlign w:val="center"/>
            <w:hideMark/>
          </w:tcPr>
          <w:p w14:paraId="0F439CE4" w14:textId="77777777" w:rsidR="002952B3" w:rsidRPr="005D1CD8" w:rsidRDefault="002952B3" w:rsidP="00243F14">
            <w:pPr>
              <w:jc w:val="center"/>
              <w:rPr>
                <w:rFonts w:ascii="Book Antiqua" w:hAnsi="Book Antiqua" w:cs="Calibri"/>
                <w:b/>
                <w:bCs/>
                <w:color w:val="FFFFFF"/>
                <w:sz w:val="20"/>
                <w:szCs w:val="20"/>
                <w:lang w:eastAsia="es-CR"/>
              </w:rPr>
            </w:pPr>
            <w:r w:rsidRPr="005D1CD8">
              <w:rPr>
                <w:rFonts w:ascii="Book Antiqua" w:hAnsi="Book Antiqua" w:cs="Calibri"/>
                <w:b/>
                <w:bCs/>
                <w:color w:val="FFFFFF"/>
                <w:sz w:val="20"/>
                <w:szCs w:val="20"/>
                <w:lang w:eastAsia="es-CR"/>
              </w:rPr>
              <w:t>Diferencia 2021vs 2019</w:t>
            </w:r>
          </w:p>
        </w:tc>
        <w:tc>
          <w:tcPr>
            <w:tcW w:w="1200" w:type="dxa"/>
            <w:tcBorders>
              <w:top w:val="single" w:sz="4" w:space="0" w:color="auto"/>
              <w:left w:val="nil"/>
              <w:bottom w:val="single" w:sz="4" w:space="0" w:color="auto"/>
              <w:right w:val="single" w:sz="4" w:space="0" w:color="auto"/>
            </w:tcBorders>
            <w:shd w:val="clear" w:color="000000" w:fill="305496"/>
            <w:vAlign w:val="center"/>
            <w:hideMark/>
          </w:tcPr>
          <w:p w14:paraId="2FE6A042" w14:textId="77777777" w:rsidR="002952B3" w:rsidRPr="005D1CD8" w:rsidRDefault="002952B3" w:rsidP="00243F14">
            <w:pPr>
              <w:jc w:val="center"/>
              <w:rPr>
                <w:rFonts w:ascii="Book Antiqua" w:hAnsi="Book Antiqua" w:cs="Calibri"/>
                <w:b/>
                <w:bCs/>
                <w:color w:val="FFFFFF"/>
                <w:sz w:val="20"/>
                <w:szCs w:val="20"/>
                <w:lang w:eastAsia="es-CR"/>
              </w:rPr>
            </w:pPr>
            <w:r w:rsidRPr="005D1CD8">
              <w:rPr>
                <w:rFonts w:ascii="Book Antiqua" w:hAnsi="Book Antiqua" w:cs="Calibri"/>
                <w:b/>
                <w:bCs/>
                <w:color w:val="FFFFFF"/>
                <w:sz w:val="20"/>
                <w:szCs w:val="20"/>
                <w:lang w:eastAsia="es-CR"/>
              </w:rPr>
              <w:t>Diferencia 2021vs 2020</w:t>
            </w:r>
          </w:p>
        </w:tc>
      </w:tr>
      <w:tr w:rsidR="002952B3" w:rsidRPr="005D1CD8" w14:paraId="7C2A923D" w14:textId="77777777" w:rsidTr="002952B3">
        <w:trPr>
          <w:trHeight w:val="290"/>
          <w:jc w:val="center"/>
        </w:trPr>
        <w:tc>
          <w:tcPr>
            <w:tcW w:w="2494" w:type="dxa"/>
            <w:tcBorders>
              <w:top w:val="nil"/>
              <w:left w:val="single" w:sz="4" w:space="0" w:color="auto"/>
              <w:bottom w:val="single" w:sz="4" w:space="0" w:color="auto"/>
              <w:right w:val="single" w:sz="4" w:space="0" w:color="auto"/>
            </w:tcBorders>
            <w:shd w:val="clear" w:color="auto" w:fill="auto"/>
            <w:noWrap/>
            <w:vAlign w:val="center"/>
            <w:hideMark/>
          </w:tcPr>
          <w:p w14:paraId="12BBEC15" w14:textId="77777777" w:rsidR="002952B3" w:rsidRPr="005D1CD8" w:rsidRDefault="002952B3" w:rsidP="00243F14">
            <w:pPr>
              <w:rPr>
                <w:rFonts w:ascii="Book Antiqua" w:hAnsi="Book Antiqua" w:cs="Calibri"/>
                <w:color w:val="000000"/>
                <w:sz w:val="16"/>
                <w:szCs w:val="16"/>
                <w:lang w:eastAsia="es-CR"/>
              </w:rPr>
            </w:pPr>
            <w:r w:rsidRPr="005D1CD8">
              <w:rPr>
                <w:rFonts w:ascii="Book Antiqua" w:hAnsi="Book Antiqua" w:cs="Calibri"/>
                <w:color w:val="000000"/>
                <w:sz w:val="16"/>
                <w:szCs w:val="16"/>
                <w:lang w:eastAsia="es-CR"/>
              </w:rPr>
              <w:t>Tribunal Apelación Civil</w:t>
            </w:r>
          </w:p>
        </w:tc>
        <w:tc>
          <w:tcPr>
            <w:tcW w:w="1200" w:type="dxa"/>
            <w:tcBorders>
              <w:top w:val="nil"/>
              <w:left w:val="nil"/>
              <w:bottom w:val="single" w:sz="4" w:space="0" w:color="auto"/>
              <w:right w:val="single" w:sz="4" w:space="0" w:color="auto"/>
            </w:tcBorders>
            <w:shd w:val="clear" w:color="auto" w:fill="auto"/>
            <w:noWrap/>
            <w:vAlign w:val="center"/>
            <w:hideMark/>
          </w:tcPr>
          <w:p w14:paraId="4E5CAA89" w14:textId="77777777" w:rsidR="002952B3" w:rsidRPr="005D1CD8" w:rsidRDefault="002952B3" w:rsidP="00243F14">
            <w:pPr>
              <w:jc w:val="center"/>
              <w:rPr>
                <w:rFonts w:ascii="Book Antiqua" w:hAnsi="Book Antiqua" w:cs="Calibri"/>
                <w:color w:val="000000"/>
                <w:sz w:val="16"/>
                <w:szCs w:val="16"/>
                <w:lang w:eastAsia="es-CR"/>
              </w:rPr>
            </w:pPr>
            <w:r w:rsidRPr="005D1CD8">
              <w:rPr>
                <w:rFonts w:ascii="Book Antiqua" w:hAnsi="Book Antiqua" w:cs="Calibri"/>
                <w:color w:val="000000"/>
                <w:sz w:val="16"/>
                <w:szCs w:val="16"/>
                <w:lang w:eastAsia="es-CR"/>
              </w:rPr>
              <w:t>2207</w:t>
            </w:r>
          </w:p>
        </w:tc>
        <w:tc>
          <w:tcPr>
            <w:tcW w:w="1200" w:type="dxa"/>
            <w:tcBorders>
              <w:top w:val="nil"/>
              <w:left w:val="nil"/>
              <w:bottom w:val="single" w:sz="4" w:space="0" w:color="auto"/>
              <w:right w:val="single" w:sz="4" w:space="0" w:color="auto"/>
            </w:tcBorders>
            <w:shd w:val="clear" w:color="auto" w:fill="auto"/>
            <w:noWrap/>
            <w:vAlign w:val="center"/>
            <w:hideMark/>
          </w:tcPr>
          <w:p w14:paraId="5407197E" w14:textId="77777777" w:rsidR="002952B3" w:rsidRPr="005D1CD8" w:rsidRDefault="002952B3" w:rsidP="00243F14">
            <w:pPr>
              <w:jc w:val="center"/>
              <w:rPr>
                <w:rFonts w:ascii="Book Antiqua" w:hAnsi="Book Antiqua" w:cs="Calibri"/>
                <w:color w:val="000000"/>
                <w:sz w:val="16"/>
                <w:szCs w:val="16"/>
                <w:lang w:eastAsia="es-CR"/>
              </w:rPr>
            </w:pPr>
            <w:r w:rsidRPr="005D1CD8">
              <w:rPr>
                <w:rFonts w:ascii="Book Antiqua" w:hAnsi="Book Antiqua" w:cs="Calibri"/>
                <w:color w:val="000000"/>
                <w:sz w:val="16"/>
                <w:szCs w:val="16"/>
                <w:lang w:eastAsia="es-CR"/>
              </w:rPr>
              <w:t>1933</w:t>
            </w:r>
          </w:p>
        </w:tc>
        <w:tc>
          <w:tcPr>
            <w:tcW w:w="1200" w:type="dxa"/>
            <w:tcBorders>
              <w:top w:val="nil"/>
              <w:left w:val="nil"/>
              <w:bottom w:val="single" w:sz="4" w:space="0" w:color="auto"/>
              <w:right w:val="single" w:sz="4" w:space="0" w:color="auto"/>
            </w:tcBorders>
            <w:shd w:val="clear" w:color="auto" w:fill="auto"/>
            <w:noWrap/>
            <w:vAlign w:val="center"/>
            <w:hideMark/>
          </w:tcPr>
          <w:p w14:paraId="2F69DACE" w14:textId="77777777" w:rsidR="002952B3" w:rsidRPr="005D1CD8" w:rsidRDefault="002952B3" w:rsidP="00243F14">
            <w:pPr>
              <w:jc w:val="center"/>
              <w:rPr>
                <w:rFonts w:ascii="Book Antiqua" w:hAnsi="Book Antiqua" w:cs="Calibri"/>
                <w:color w:val="000000"/>
                <w:sz w:val="16"/>
                <w:szCs w:val="16"/>
                <w:lang w:eastAsia="es-CR"/>
              </w:rPr>
            </w:pPr>
            <w:r w:rsidRPr="005D1CD8">
              <w:rPr>
                <w:rFonts w:ascii="Book Antiqua" w:hAnsi="Book Antiqua" w:cs="Calibri"/>
                <w:color w:val="000000"/>
                <w:sz w:val="16"/>
                <w:szCs w:val="16"/>
                <w:lang w:eastAsia="es-CR"/>
              </w:rPr>
              <w:t>2405</w:t>
            </w:r>
          </w:p>
        </w:tc>
        <w:tc>
          <w:tcPr>
            <w:tcW w:w="1200" w:type="dxa"/>
            <w:tcBorders>
              <w:top w:val="nil"/>
              <w:left w:val="nil"/>
              <w:bottom w:val="single" w:sz="4" w:space="0" w:color="auto"/>
              <w:right w:val="single" w:sz="4" w:space="0" w:color="auto"/>
            </w:tcBorders>
            <w:shd w:val="clear" w:color="auto" w:fill="auto"/>
            <w:noWrap/>
            <w:vAlign w:val="center"/>
            <w:hideMark/>
          </w:tcPr>
          <w:p w14:paraId="0AFBD71F" w14:textId="77777777" w:rsidR="002952B3" w:rsidRPr="005D1CD8" w:rsidRDefault="002952B3" w:rsidP="00243F14">
            <w:pPr>
              <w:jc w:val="center"/>
              <w:rPr>
                <w:rFonts w:ascii="Book Antiqua" w:hAnsi="Book Antiqua" w:cs="Calibri"/>
                <w:color w:val="000000"/>
                <w:sz w:val="16"/>
                <w:szCs w:val="16"/>
                <w:lang w:eastAsia="es-CR"/>
              </w:rPr>
            </w:pPr>
            <w:r w:rsidRPr="005D1CD8">
              <w:rPr>
                <w:rFonts w:ascii="Book Antiqua" w:hAnsi="Book Antiqua" w:cs="Calibri"/>
                <w:color w:val="000000"/>
                <w:sz w:val="16"/>
                <w:szCs w:val="16"/>
                <w:lang w:eastAsia="es-CR"/>
              </w:rPr>
              <w:t>8,97%</w:t>
            </w:r>
          </w:p>
        </w:tc>
        <w:tc>
          <w:tcPr>
            <w:tcW w:w="1200" w:type="dxa"/>
            <w:tcBorders>
              <w:top w:val="nil"/>
              <w:left w:val="nil"/>
              <w:bottom w:val="single" w:sz="4" w:space="0" w:color="auto"/>
              <w:right w:val="single" w:sz="4" w:space="0" w:color="auto"/>
            </w:tcBorders>
            <w:shd w:val="clear" w:color="auto" w:fill="auto"/>
            <w:noWrap/>
            <w:vAlign w:val="center"/>
            <w:hideMark/>
          </w:tcPr>
          <w:p w14:paraId="7A788245" w14:textId="77777777" w:rsidR="002952B3" w:rsidRPr="005D1CD8" w:rsidRDefault="002952B3" w:rsidP="00243F14">
            <w:pPr>
              <w:jc w:val="center"/>
              <w:rPr>
                <w:rFonts w:ascii="Book Antiqua" w:hAnsi="Book Antiqua" w:cs="Calibri"/>
                <w:color w:val="000000"/>
                <w:sz w:val="16"/>
                <w:szCs w:val="16"/>
                <w:lang w:eastAsia="es-CR"/>
              </w:rPr>
            </w:pPr>
            <w:r w:rsidRPr="005D1CD8">
              <w:rPr>
                <w:rFonts w:ascii="Book Antiqua" w:hAnsi="Book Antiqua" w:cs="Calibri"/>
                <w:color w:val="000000"/>
                <w:sz w:val="16"/>
                <w:szCs w:val="16"/>
                <w:lang w:eastAsia="es-CR"/>
              </w:rPr>
              <w:t>24,42%</w:t>
            </w:r>
          </w:p>
        </w:tc>
      </w:tr>
      <w:tr w:rsidR="002952B3" w:rsidRPr="005D1CD8" w14:paraId="73F46DF8" w14:textId="77777777" w:rsidTr="002952B3">
        <w:trPr>
          <w:trHeight w:val="290"/>
          <w:jc w:val="center"/>
        </w:trPr>
        <w:tc>
          <w:tcPr>
            <w:tcW w:w="2494" w:type="dxa"/>
            <w:tcBorders>
              <w:top w:val="nil"/>
              <w:left w:val="single" w:sz="4" w:space="0" w:color="auto"/>
              <w:bottom w:val="single" w:sz="4" w:space="0" w:color="auto"/>
              <w:right w:val="single" w:sz="4" w:space="0" w:color="auto"/>
            </w:tcBorders>
            <w:shd w:val="clear" w:color="auto" w:fill="auto"/>
            <w:noWrap/>
            <w:vAlign w:val="center"/>
            <w:hideMark/>
          </w:tcPr>
          <w:p w14:paraId="08393410" w14:textId="77777777" w:rsidR="002952B3" w:rsidRPr="005D1CD8" w:rsidRDefault="002952B3" w:rsidP="00243F14">
            <w:pPr>
              <w:rPr>
                <w:rFonts w:ascii="Book Antiqua" w:hAnsi="Book Antiqua" w:cs="Calibri"/>
                <w:color w:val="000000"/>
                <w:sz w:val="16"/>
                <w:szCs w:val="16"/>
                <w:lang w:eastAsia="es-CR"/>
              </w:rPr>
            </w:pPr>
            <w:r w:rsidRPr="005D1CD8">
              <w:rPr>
                <w:rFonts w:ascii="Book Antiqua" w:hAnsi="Book Antiqua" w:cs="Calibri"/>
                <w:color w:val="000000"/>
                <w:sz w:val="16"/>
                <w:szCs w:val="16"/>
                <w:lang w:eastAsia="es-CR"/>
              </w:rPr>
              <w:t>Tribunal Apelación Laboral</w:t>
            </w:r>
          </w:p>
        </w:tc>
        <w:tc>
          <w:tcPr>
            <w:tcW w:w="1200" w:type="dxa"/>
            <w:tcBorders>
              <w:top w:val="nil"/>
              <w:left w:val="nil"/>
              <w:bottom w:val="single" w:sz="4" w:space="0" w:color="auto"/>
              <w:right w:val="single" w:sz="4" w:space="0" w:color="auto"/>
            </w:tcBorders>
            <w:shd w:val="clear" w:color="auto" w:fill="auto"/>
            <w:noWrap/>
            <w:vAlign w:val="center"/>
            <w:hideMark/>
          </w:tcPr>
          <w:p w14:paraId="158EEDB5" w14:textId="77777777" w:rsidR="002952B3" w:rsidRPr="005D1CD8" w:rsidRDefault="002952B3" w:rsidP="00243F14">
            <w:pPr>
              <w:jc w:val="center"/>
              <w:rPr>
                <w:rFonts w:ascii="Book Antiqua" w:hAnsi="Book Antiqua" w:cs="Calibri"/>
                <w:color w:val="000000"/>
                <w:sz w:val="16"/>
                <w:szCs w:val="16"/>
                <w:lang w:eastAsia="es-CR"/>
              </w:rPr>
            </w:pPr>
            <w:r w:rsidRPr="005D1CD8">
              <w:rPr>
                <w:rFonts w:ascii="Book Antiqua" w:hAnsi="Book Antiqua" w:cs="Calibri"/>
                <w:color w:val="000000"/>
                <w:sz w:val="16"/>
                <w:szCs w:val="16"/>
                <w:lang w:eastAsia="es-CR"/>
              </w:rPr>
              <w:t>1153</w:t>
            </w:r>
          </w:p>
        </w:tc>
        <w:tc>
          <w:tcPr>
            <w:tcW w:w="1200" w:type="dxa"/>
            <w:tcBorders>
              <w:top w:val="nil"/>
              <w:left w:val="nil"/>
              <w:bottom w:val="single" w:sz="4" w:space="0" w:color="auto"/>
              <w:right w:val="single" w:sz="4" w:space="0" w:color="auto"/>
            </w:tcBorders>
            <w:shd w:val="clear" w:color="auto" w:fill="auto"/>
            <w:noWrap/>
            <w:vAlign w:val="center"/>
            <w:hideMark/>
          </w:tcPr>
          <w:p w14:paraId="2741EC75" w14:textId="77777777" w:rsidR="002952B3" w:rsidRPr="005D1CD8" w:rsidRDefault="002952B3" w:rsidP="00243F14">
            <w:pPr>
              <w:jc w:val="center"/>
              <w:rPr>
                <w:rFonts w:ascii="Book Antiqua" w:hAnsi="Book Antiqua" w:cs="Calibri"/>
                <w:color w:val="000000"/>
                <w:sz w:val="16"/>
                <w:szCs w:val="16"/>
                <w:lang w:eastAsia="es-CR"/>
              </w:rPr>
            </w:pPr>
            <w:r w:rsidRPr="005D1CD8">
              <w:rPr>
                <w:rFonts w:ascii="Book Antiqua" w:hAnsi="Book Antiqua" w:cs="Calibri"/>
                <w:color w:val="000000"/>
                <w:sz w:val="16"/>
                <w:szCs w:val="16"/>
                <w:lang w:eastAsia="es-CR"/>
              </w:rPr>
              <w:t>962</w:t>
            </w:r>
          </w:p>
        </w:tc>
        <w:tc>
          <w:tcPr>
            <w:tcW w:w="1200" w:type="dxa"/>
            <w:tcBorders>
              <w:top w:val="nil"/>
              <w:left w:val="nil"/>
              <w:bottom w:val="single" w:sz="4" w:space="0" w:color="auto"/>
              <w:right w:val="single" w:sz="4" w:space="0" w:color="auto"/>
            </w:tcBorders>
            <w:shd w:val="clear" w:color="auto" w:fill="auto"/>
            <w:noWrap/>
            <w:vAlign w:val="center"/>
            <w:hideMark/>
          </w:tcPr>
          <w:p w14:paraId="271904B8" w14:textId="77777777" w:rsidR="002952B3" w:rsidRPr="005D1CD8" w:rsidRDefault="002952B3" w:rsidP="00243F14">
            <w:pPr>
              <w:jc w:val="center"/>
              <w:rPr>
                <w:rFonts w:ascii="Book Antiqua" w:hAnsi="Book Antiqua" w:cs="Calibri"/>
                <w:color w:val="000000"/>
                <w:sz w:val="16"/>
                <w:szCs w:val="16"/>
                <w:lang w:eastAsia="es-CR"/>
              </w:rPr>
            </w:pPr>
            <w:r w:rsidRPr="005D1CD8">
              <w:rPr>
                <w:rFonts w:ascii="Book Antiqua" w:hAnsi="Book Antiqua" w:cs="Calibri"/>
                <w:color w:val="000000"/>
                <w:sz w:val="16"/>
                <w:szCs w:val="16"/>
                <w:lang w:eastAsia="es-CR"/>
              </w:rPr>
              <w:t>1358</w:t>
            </w:r>
          </w:p>
        </w:tc>
        <w:tc>
          <w:tcPr>
            <w:tcW w:w="1200" w:type="dxa"/>
            <w:tcBorders>
              <w:top w:val="nil"/>
              <w:left w:val="nil"/>
              <w:bottom w:val="single" w:sz="4" w:space="0" w:color="auto"/>
              <w:right w:val="single" w:sz="4" w:space="0" w:color="auto"/>
            </w:tcBorders>
            <w:shd w:val="clear" w:color="auto" w:fill="auto"/>
            <w:noWrap/>
            <w:vAlign w:val="center"/>
            <w:hideMark/>
          </w:tcPr>
          <w:p w14:paraId="05D6D3E0" w14:textId="77777777" w:rsidR="002952B3" w:rsidRPr="005D1CD8" w:rsidRDefault="002952B3" w:rsidP="00243F14">
            <w:pPr>
              <w:jc w:val="center"/>
              <w:rPr>
                <w:rFonts w:ascii="Book Antiqua" w:hAnsi="Book Antiqua" w:cs="Calibri"/>
                <w:color w:val="000000"/>
                <w:sz w:val="16"/>
                <w:szCs w:val="16"/>
                <w:lang w:eastAsia="es-CR"/>
              </w:rPr>
            </w:pPr>
            <w:r w:rsidRPr="005D1CD8">
              <w:rPr>
                <w:rFonts w:ascii="Book Antiqua" w:hAnsi="Book Antiqua" w:cs="Calibri"/>
                <w:color w:val="000000"/>
                <w:sz w:val="16"/>
                <w:szCs w:val="16"/>
                <w:lang w:eastAsia="es-CR"/>
              </w:rPr>
              <w:t>17,78%</w:t>
            </w:r>
          </w:p>
        </w:tc>
        <w:tc>
          <w:tcPr>
            <w:tcW w:w="1200" w:type="dxa"/>
            <w:tcBorders>
              <w:top w:val="nil"/>
              <w:left w:val="nil"/>
              <w:bottom w:val="single" w:sz="4" w:space="0" w:color="auto"/>
              <w:right w:val="single" w:sz="4" w:space="0" w:color="auto"/>
            </w:tcBorders>
            <w:shd w:val="clear" w:color="auto" w:fill="auto"/>
            <w:noWrap/>
            <w:vAlign w:val="center"/>
            <w:hideMark/>
          </w:tcPr>
          <w:p w14:paraId="1D8AE15D" w14:textId="77777777" w:rsidR="002952B3" w:rsidRPr="005D1CD8" w:rsidRDefault="002952B3" w:rsidP="00243F14">
            <w:pPr>
              <w:jc w:val="center"/>
              <w:rPr>
                <w:rFonts w:ascii="Book Antiqua" w:hAnsi="Book Antiqua" w:cs="Calibri"/>
                <w:color w:val="000000"/>
                <w:sz w:val="16"/>
                <w:szCs w:val="16"/>
                <w:lang w:eastAsia="es-CR"/>
              </w:rPr>
            </w:pPr>
            <w:r w:rsidRPr="005D1CD8">
              <w:rPr>
                <w:rFonts w:ascii="Book Antiqua" w:hAnsi="Book Antiqua" w:cs="Calibri"/>
                <w:color w:val="000000"/>
                <w:sz w:val="16"/>
                <w:szCs w:val="16"/>
                <w:lang w:eastAsia="es-CR"/>
              </w:rPr>
              <w:t>41,16%</w:t>
            </w:r>
          </w:p>
        </w:tc>
      </w:tr>
      <w:tr w:rsidR="002952B3" w:rsidRPr="005D1CD8" w14:paraId="084FCDFD" w14:textId="77777777" w:rsidTr="002952B3">
        <w:trPr>
          <w:trHeight w:val="290"/>
          <w:jc w:val="center"/>
        </w:trPr>
        <w:tc>
          <w:tcPr>
            <w:tcW w:w="2494" w:type="dxa"/>
            <w:tcBorders>
              <w:top w:val="nil"/>
              <w:left w:val="single" w:sz="4" w:space="0" w:color="auto"/>
              <w:bottom w:val="single" w:sz="4" w:space="0" w:color="auto"/>
              <w:right w:val="single" w:sz="4" w:space="0" w:color="auto"/>
            </w:tcBorders>
            <w:shd w:val="clear" w:color="auto" w:fill="auto"/>
            <w:noWrap/>
            <w:vAlign w:val="center"/>
            <w:hideMark/>
          </w:tcPr>
          <w:p w14:paraId="032BC459" w14:textId="77777777" w:rsidR="002952B3" w:rsidRPr="005D1CD8" w:rsidRDefault="002952B3" w:rsidP="00243F14">
            <w:pPr>
              <w:rPr>
                <w:rFonts w:ascii="Book Antiqua" w:hAnsi="Book Antiqua" w:cs="Calibri"/>
                <w:color w:val="000000"/>
                <w:sz w:val="16"/>
                <w:szCs w:val="16"/>
                <w:lang w:eastAsia="es-CR"/>
              </w:rPr>
            </w:pPr>
            <w:r w:rsidRPr="005D1CD8">
              <w:rPr>
                <w:rFonts w:ascii="Book Antiqua" w:hAnsi="Book Antiqua" w:cs="Calibri"/>
                <w:color w:val="000000"/>
                <w:sz w:val="16"/>
                <w:szCs w:val="16"/>
                <w:lang w:eastAsia="es-CR"/>
              </w:rPr>
              <w:t>Tribunal de Familia</w:t>
            </w:r>
          </w:p>
        </w:tc>
        <w:tc>
          <w:tcPr>
            <w:tcW w:w="1200" w:type="dxa"/>
            <w:tcBorders>
              <w:top w:val="nil"/>
              <w:left w:val="nil"/>
              <w:bottom w:val="single" w:sz="4" w:space="0" w:color="auto"/>
              <w:right w:val="single" w:sz="4" w:space="0" w:color="auto"/>
            </w:tcBorders>
            <w:shd w:val="clear" w:color="auto" w:fill="auto"/>
            <w:noWrap/>
            <w:vAlign w:val="center"/>
            <w:hideMark/>
          </w:tcPr>
          <w:p w14:paraId="41184A8C" w14:textId="77777777" w:rsidR="002952B3" w:rsidRPr="005D1CD8" w:rsidRDefault="002952B3" w:rsidP="00243F14">
            <w:pPr>
              <w:jc w:val="center"/>
              <w:rPr>
                <w:rFonts w:ascii="Book Antiqua" w:hAnsi="Book Antiqua" w:cs="Calibri"/>
                <w:color w:val="000000"/>
                <w:sz w:val="16"/>
                <w:szCs w:val="16"/>
                <w:lang w:eastAsia="es-CR"/>
              </w:rPr>
            </w:pPr>
            <w:r w:rsidRPr="005D1CD8">
              <w:rPr>
                <w:rFonts w:ascii="Book Antiqua" w:hAnsi="Book Antiqua" w:cs="Calibri"/>
                <w:color w:val="000000"/>
                <w:sz w:val="16"/>
                <w:szCs w:val="16"/>
                <w:lang w:eastAsia="es-CR"/>
              </w:rPr>
              <w:t>378</w:t>
            </w:r>
          </w:p>
        </w:tc>
        <w:tc>
          <w:tcPr>
            <w:tcW w:w="1200" w:type="dxa"/>
            <w:tcBorders>
              <w:top w:val="nil"/>
              <w:left w:val="nil"/>
              <w:bottom w:val="single" w:sz="4" w:space="0" w:color="auto"/>
              <w:right w:val="single" w:sz="4" w:space="0" w:color="auto"/>
            </w:tcBorders>
            <w:shd w:val="clear" w:color="auto" w:fill="auto"/>
            <w:noWrap/>
            <w:vAlign w:val="center"/>
            <w:hideMark/>
          </w:tcPr>
          <w:p w14:paraId="5BF0A9E3" w14:textId="77777777" w:rsidR="002952B3" w:rsidRPr="005D1CD8" w:rsidRDefault="002952B3" w:rsidP="00243F14">
            <w:pPr>
              <w:jc w:val="center"/>
              <w:rPr>
                <w:rFonts w:ascii="Book Antiqua" w:hAnsi="Book Antiqua" w:cs="Calibri"/>
                <w:color w:val="000000"/>
                <w:sz w:val="16"/>
                <w:szCs w:val="16"/>
                <w:lang w:eastAsia="es-CR"/>
              </w:rPr>
            </w:pPr>
            <w:r w:rsidRPr="005D1CD8">
              <w:rPr>
                <w:rFonts w:ascii="Book Antiqua" w:hAnsi="Book Antiqua" w:cs="Calibri"/>
                <w:color w:val="000000"/>
                <w:sz w:val="16"/>
                <w:szCs w:val="16"/>
                <w:lang w:eastAsia="es-CR"/>
              </w:rPr>
              <w:t>291</w:t>
            </w:r>
          </w:p>
        </w:tc>
        <w:tc>
          <w:tcPr>
            <w:tcW w:w="1200" w:type="dxa"/>
            <w:tcBorders>
              <w:top w:val="nil"/>
              <w:left w:val="nil"/>
              <w:bottom w:val="single" w:sz="4" w:space="0" w:color="auto"/>
              <w:right w:val="single" w:sz="4" w:space="0" w:color="auto"/>
            </w:tcBorders>
            <w:shd w:val="clear" w:color="auto" w:fill="auto"/>
            <w:noWrap/>
            <w:vAlign w:val="center"/>
            <w:hideMark/>
          </w:tcPr>
          <w:p w14:paraId="3AB24FD1" w14:textId="77777777" w:rsidR="002952B3" w:rsidRPr="005D1CD8" w:rsidRDefault="002952B3" w:rsidP="00243F14">
            <w:pPr>
              <w:jc w:val="center"/>
              <w:rPr>
                <w:rFonts w:ascii="Book Antiqua" w:hAnsi="Book Antiqua" w:cs="Calibri"/>
                <w:color w:val="000000"/>
                <w:sz w:val="16"/>
                <w:szCs w:val="16"/>
                <w:lang w:eastAsia="es-CR"/>
              </w:rPr>
            </w:pPr>
            <w:r w:rsidRPr="005D1CD8">
              <w:rPr>
                <w:rFonts w:ascii="Book Antiqua" w:hAnsi="Book Antiqua" w:cs="Calibri"/>
                <w:color w:val="000000"/>
                <w:sz w:val="16"/>
                <w:szCs w:val="16"/>
                <w:lang w:eastAsia="es-CR"/>
              </w:rPr>
              <w:t>410</w:t>
            </w:r>
          </w:p>
        </w:tc>
        <w:tc>
          <w:tcPr>
            <w:tcW w:w="1200" w:type="dxa"/>
            <w:tcBorders>
              <w:top w:val="nil"/>
              <w:left w:val="nil"/>
              <w:bottom w:val="single" w:sz="4" w:space="0" w:color="auto"/>
              <w:right w:val="single" w:sz="4" w:space="0" w:color="auto"/>
            </w:tcBorders>
            <w:shd w:val="clear" w:color="auto" w:fill="auto"/>
            <w:noWrap/>
            <w:vAlign w:val="center"/>
            <w:hideMark/>
          </w:tcPr>
          <w:p w14:paraId="65ACE369" w14:textId="77777777" w:rsidR="002952B3" w:rsidRPr="005D1CD8" w:rsidRDefault="002952B3" w:rsidP="00243F14">
            <w:pPr>
              <w:jc w:val="center"/>
              <w:rPr>
                <w:rFonts w:ascii="Book Antiqua" w:hAnsi="Book Antiqua" w:cs="Calibri"/>
                <w:color w:val="000000"/>
                <w:sz w:val="16"/>
                <w:szCs w:val="16"/>
                <w:lang w:eastAsia="es-CR"/>
              </w:rPr>
            </w:pPr>
            <w:r w:rsidRPr="005D1CD8">
              <w:rPr>
                <w:rFonts w:ascii="Book Antiqua" w:hAnsi="Book Antiqua" w:cs="Calibri"/>
                <w:color w:val="000000"/>
                <w:sz w:val="16"/>
                <w:szCs w:val="16"/>
                <w:lang w:eastAsia="es-CR"/>
              </w:rPr>
              <w:t>8,47%</w:t>
            </w:r>
          </w:p>
        </w:tc>
        <w:tc>
          <w:tcPr>
            <w:tcW w:w="1200" w:type="dxa"/>
            <w:tcBorders>
              <w:top w:val="nil"/>
              <w:left w:val="nil"/>
              <w:bottom w:val="single" w:sz="4" w:space="0" w:color="auto"/>
              <w:right w:val="single" w:sz="4" w:space="0" w:color="auto"/>
            </w:tcBorders>
            <w:shd w:val="clear" w:color="auto" w:fill="auto"/>
            <w:noWrap/>
            <w:vAlign w:val="center"/>
            <w:hideMark/>
          </w:tcPr>
          <w:p w14:paraId="349D0EDC" w14:textId="77777777" w:rsidR="002952B3" w:rsidRPr="005D1CD8" w:rsidRDefault="002952B3" w:rsidP="00243F14">
            <w:pPr>
              <w:jc w:val="center"/>
              <w:rPr>
                <w:rFonts w:ascii="Book Antiqua" w:hAnsi="Book Antiqua" w:cs="Calibri"/>
                <w:color w:val="000000"/>
                <w:sz w:val="16"/>
                <w:szCs w:val="16"/>
                <w:lang w:eastAsia="es-CR"/>
              </w:rPr>
            </w:pPr>
            <w:r w:rsidRPr="005D1CD8">
              <w:rPr>
                <w:rFonts w:ascii="Book Antiqua" w:hAnsi="Book Antiqua" w:cs="Calibri"/>
                <w:color w:val="000000"/>
                <w:sz w:val="16"/>
                <w:szCs w:val="16"/>
                <w:lang w:eastAsia="es-CR"/>
              </w:rPr>
              <w:t>40,89%</w:t>
            </w:r>
          </w:p>
        </w:tc>
      </w:tr>
      <w:tr w:rsidR="002952B3" w:rsidRPr="005D1CD8" w14:paraId="7713D75F" w14:textId="77777777" w:rsidTr="002952B3">
        <w:trPr>
          <w:trHeight w:val="290"/>
          <w:jc w:val="center"/>
        </w:trPr>
        <w:tc>
          <w:tcPr>
            <w:tcW w:w="2494" w:type="dxa"/>
            <w:tcBorders>
              <w:top w:val="nil"/>
              <w:left w:val="single" w:sz="4" w:space="0" w:color="auto"/>
              <w:bottom w:val="single" w:sz="4" w:space="0" w:color="auto"/>
              <w:right w:val="single" w:sz="4" w:space="0" w:color="auto"/>
            </w:tcBorders>
            <w:shd w:val="clear" w:color="auto" w:fill="auto"/>
            <w:noWrap/>
            <w:vAlign w:val="center"/>
            <w:hideMark/>
          </w:tcPr>
          <w:p w14:paraId="789E21FF" w14:textId="77777777" w:rsidR="002952B3" w:rsidRPr="005D1CD8" w:rsidRDefault="002952B3" w:rsidP="00243F14">
            <w:pPr>
              <w:rPr>
                <w:rFonts w:ascii="Book Antiqua" w:hAnsi="Book Antiqua" w:cs="Calibri"/>
                <w:color w:val="000000"/>
                <w:sz w:val="16"/>
                <w:szCs w:val="16"/>
                <w:lang w:eastAsia="es-CR"/>
              </w:rPr>
            </w:pPr>
            <w:r w:rsidRPr="005D1CD8">
              <w:rPr>
                <w:rFonts w:ascii="Book Antiqua" w:hAnsi="Book Antiqua" w:cs="Calibri"/>
                <w:color w:val="000000"/>
                <w:sz w:val="16"/>
                <w:szCs w:val="16"/>
                <w:lang w:eastAsia="es-CR"/>
              </w:rPr>
              <w:t>Inspección Judicial</w:t>
            </w:r>
          </w:p>
        </w:tc>
        <w:tc>
          <w:tcPr>
            <w:tcW w:w="1200" w:type="dxa"/>
            <w:tcBorders>
              <w:top w:val="nil"/>
              <w:left w:val="nil"/>
              <w:bottom w:val="single" w:sz="4" w:space="0" w:color="auto"/>
              <w:right w:val="single" w:sz="4" w:space="0" w:color="auto"/>
            </w:tcBorders>
            <w:shd w:val="clear" w:color="auto" w:fill="auto"/>
            <w:noWrap/>
            <w:vAlign w:val="center"/>
            <w:hideMark/>
          </w:tcPr>
          <w:p w14:paraId="658B3197" w14:textId="77777777" w:rsidR="002952B3" w:rsidRPr="005D1CD8" w:rsidRDefault="002952B3" w:rsidP="00243F14">
            <w:pPr>
              <w:jc w:val="center"/>
              <w:rPr>
                <w:rFonts w:ascii="Book Antiqua" w:hAnsi="Book Antiqua" w:cs="Calibri"/>
                <w:color w:val="000000"/>
                <w:sz w:val="16"/>
                <w:szCs w:val="16"/>
                <w:lang w:eastAsia="es-CR"/>
              </w:rPr>
            </w:pPr>
            <w:r w:rsidRPr="005D1CD8">
              <w:rPr>
                <w:rFonts w:ascii="Book Antiqua" w:hAnsi="Book Antiqua" w:cs="Calibri"/>
                <w:color w:val="000000"/>
                <w:sz w:val="16"/>
                <w:szCs w:val="16"/>
                <w:lang w:eastAsia="es-CR"/>
              </w:rPr>
              <w:t>1604</w:t>
            </w:r>
          </w:p>
        </w:tc>
        <w:tc>
          <w:tcPr>
            <w:tcW w:w="1200" w:type="dxa"/>
            <w:tcBorders>
              <w:top w:val="nil"/>
              <w:left w:val="nil"/>
              <w:bottom w:val="single" w:sz="4" w:space="0" w:color="auto"/>
              <w:right w:val="single" w:sz="4" w:space="0" w:color="auto"/>
            </w:tcBorders>
            <w:shd w:val="clear" w:color="auto" w:fill="auto"/>
            <w:noWrap/>
            <w:vAlign w:val="center"/>
            <w:hideMark/>
          </w:tcPr>
          <w:p w14:paraId="27FA54BC" w14:textId="77777777" w:rsidR="002952B3" w:rsidRPr="005D1CD8" w:rsidRDefault="002952B3" w:rsidP="00243F14">
            <w:pPr>
              <w:jc w:val="center"/>
              <w:rPr>
                <w:rFonts w:ascii="Book Antiqua" w:hAnsi="Book Antiqua" w:cs="Calibri"/>
                <w:color w:val="000000"/>
                <w:sz w:val="16"/>
                <w:szCs w:val="16"/>
                <w:lang w:eastAsia="es-CR"/>
              </w:rPr>
            </w:pPr>
            <w:r w:rsidRPr="005D1CD8">
              <w:rPr>
                <w:rFonts w:ascii="Book Antiqua" w:hAnsi="Book Antiqua" w:cs="Calibri"/>
                <w:color w:val="000000"/>
                <w:sz w:val="16"/>
                <w:szCs w:val="16"/>
                <w:lang w:eastAsia="es-CR"/>
              </w:rPr>
              <w:t>1502</w:t>
            </w:r>
          </w:p>
        </w:tc>
        <w:tc>
          <w:tcPr>
            <w:tcW w:w="1200" w:type="dxa"/>
            <w:tcBorders>
              <w:top w:val="nil"/>
              <w:left w:val="nil"/>
              <w:bottom w:val="single" w:sz="4" w:space="0" w:color="auto"/>
              <w:right w:val="single" w:sz="4" w:space="0" w:color="auto"/>
            </w:tcBorders>
            <w:shd w:val="clear" w:color="auto" w:fill="auto"/>
            <w:noWrap/>
            <w:vAlign w:val="center"/>
            <w:hideMark/>
          </w:tcPr>
          <w:p w14:paraId="499172D5" w14:textId="77777777" w:rsidR="002952B3" w:rsidRPr="005D1CD8" w:rsidRDefault="002952B3" w:rsidP="00243F14">
            <w:pPr>
              <w:jc w:val="center"/>
              <w:rPr>
                <w:rFonts w:ascii="Book Antiqua" w:hAnsi="Book Antiqua" w:cs="Calibri"/>
                <w:color w:val="000000"/>
                <w:sz w:val="16"/>
                <w:szCs w:val="16"/>
                <w:lang w:eastAsia="es-CR"/>
              </w:rPr>
            </w:pPr>
            <w:r w:rsidRPr="005D1CD8">
              <w:rPr>
                <w:rFonts w:ascii="Book Antiqua" w:hAnsi="Book Antiqua" w:cs="Calibri"/>
                <w:color w:val="000000"/>
                <w:sz w:val="16"/>
                <w:szCs w:val="16"/>
                <w:lang w:eastAsia="es-CR"/>
              </w:rPr>
              <w:t>1619</w:t>
            </w:r>
          </w:p>
        </w:tc>
        <w:tc>
          <w:tcPr>
            <w:tcW w:w="1200" w:type="dxa"/>
            <w:tcBorders>
              <w:top w:val="nil"/>
              <w:left w:val="nil"/>
              <w:bottom w:val="single" w:sz="4" w:space="0" w:color="auto"/>
              <w:right w:val="single" w:sz="4" w:space="0" w:color="auto"/>
            </w:tcBorders>
            <w:shd w:val="clear" w:color="auto" w:fill="auto"/>
            <w:noWrap/>
            <w:vAlign w:val="center"/>
            <w:hideMark/>
          </w:tcPr>
          <w:p w14:paraId="6BEF3A9B" w14:textId="77777777" w:rsidR="002952B3" w:rsidRPr="005D1CD8" w:rsidRDefault="002952B3" w:rsidP="00243F14">
            <w:pPr>
              <w:jc w:val="center"/>
              <w:rPr>
                <w:rFonts w:ascii="Book Antiqua" w:hAnsi="Book Antiqua" w:cs="Calibri"/>
                <w:color w:val="000000"/>
                <w:sz w:val="16"/>
                <w:szCs w:val="16"/>
                <w:lang w:eastAsia="es-CR"/>
              </w:rPr>
            </w:pPr>
            <w:r w:rsidRPr="005D1CD8">
              <w:rPr>
                <w:rFonts w:ascii="Book Antiqua" w:hAnsi="Book Antiqua" w:cs="Calibri"/>
                <w:color w:val="000000"/>
                <w:sz w:val="16"/>
                <w:szCs w:val="16"/>
                <w:lang w:eastAsia="es-CR"/>
              </w:rPr>
              <w:t>0,94%</w:t>
            </w:r>
          </w:p>
        </w:tc>
        <w:tc>
          <w:tcPr>
            <w:tcW w:w="1200" w:type="dxa"/>
            <w:tcBorders>
              <w:top w:val="nil"/>
              <w:left w:val="nil"/>
              <w:bottom w:val="single" w:sz="4" w:space="0" w:color="auto"/>
              <w:right w:val="single" w:sz="4" w:space="0" w:color="auto"/>
            </w:tcBorders>
            <w:shd w:val="clear" w:color="auto" w:fill="auto"/>
            <w:noWrap/>
            <w:vAlign w:val="center"/>
            <w:hideMark/>
          </w:tcPr>
          <w:p w14:paraId="53A8355B" w14:textId="77777777" w:rsidR="002952B3" w:rsidRPr="005D1CD8" w:rsidRDefault="002952B3" w:rsidP="00243F14">
            <w:pPr>
              <w:jc w:val="center"/>
              <w:rPr>
                <w:rFonts w:ascii="Book Antiqua" w:hAnsi="Book Antiqua" w:cs="Calibri"/>
                <w:color w:val="000000"/>
                <w:sz w:val="16"/>
                <w:szCs w:val="16"/>
                <w:lang w:eastAsia="es-CR"/>
              </w:rPr>
            </w:pPr>
            <w:r w:rsidRPr="005D1CD8">
              <w:rPr>
                <w:rFonts w:ascii="Book Antiqua" w:hAnsi="Book Antiqua" w:cs="Calibri"/>
                <w:color w:val="000000"/>
                <w:sz w:val="16"/>
                <w:szCs w:val="16"/>
                <w:lang w:eastAsia="es-CR"/>
              </w:rPr>
              <w:t>7,79%</w:t>
            </w:r>
          </w:p>
        </w:tc>
      </w:tr>
      <w:tr w:rsidR="002952B3" w:rsidRPr="005D1CD8" w14:paraId="40C6EAF1" w14:textId="77777777" w:rsidTr="002952B3">
        <w:trPr>
          <w:trHeight w:val="290"/>
          <w:jc w:val="center"/>
        </w:trPr>
        <w:tc>
          <w:tcPr>
            <w:tcW w:w="2494" w:type="dxa"/>
            <w:tcBorders>
              <w:top w:val="nil"/>
              <w:left w:val="single" w:sz="4" w:space="0" w:color="auto"/>
              <w:bottom w:val="single" w:sz="4" w:space="0" w:color="auto"/>
              <w:right w:val="single" w:sz="4" w:space="0" w:color="auto"/>
            </w:tcBorders>
            <w:shd w:val="clear" w:color="auto" w:fill="auto"/>
            <w:noWrap/>
            <w:vAlign w:val="center"/>
            <w:hideMark/>
          </w:tcPr>
          <w:p w14:paraId="4F3A4641" w14:textId="77777777" w:rsidR="002952B3" w:rsidRPr="005D1CD8" w:rsidRDefault="002952B3" w:rsidP="00243F14">
            <w:pPr>
              <w:rPr>
                <w:rFonts w:ascii="Book Antiqua" w:hAnsi="Book Antiqua" w:cs="Calibri"/>
                <w:color w:val="000000"/>
                <w:sz w:val="16"/>
                <w:szCs w:val="16"/>
                <w:lang w:eastAsia="es-CR"/>
              </w:rPr>
            </w:pPr>
            <w:r w:rsidRPr="005D1CD8">
              <w:rPr>
                <w:rFonts w:ascii="Book Antiqua" w:hAnsi="Book Antiqua" w:cs="Calibri"/>
                <w:color w:val="000000"/>
                <w:sz w:val="16"/>
                <w:szCs w:val="16"/>
                <w:lang w:eastAsia="es-CR"/>
              </w:rPr>
              <w:t>Inspección Fiscal</w:t>
            </w:r>
          </w:p>
        </w:tc>
        <w:tc>
          <w:tcPr>
            <w:tcW w:w="1200" w:type="dxa"/>
            <w:tcBorders>
              <w:top w:val="nil"/>
              <w:left w:val="nil"/>
              <w:bottom w:val="single" w:sz="4" w:space="0" w:color="auto"/>
              <w:right w:val="single" w:sz="4" w:space="0" w:color="auto"/>
            </w:tcBorders>
            <w:shd w:val="clear" w:color="auto" w:fill="auto"/>
            <w:noWrap/>
            <w:vAlign w:val="center"/>
            <w:hideMark/>
          </w:tcPr>
          <w:p w14:paraId="09A61770" w14:textId="77777777" w:rsidR="002952B3" w:rsidRPr="005D1CD8" w:rsidRDefault="002952B3" w:rsidP="00243F14">
            <w:pPr>
              <w:jc w:val="center"/>
              <w:rPr>
                <w:rFonts w:ascii="Book Antiqua" w:hAnsi="Book Antiqua" w:cs="Calibri"/>
                <w:color w:val="000000"/>
                <w:sz w:val="16"/>
                <w:szCs w:val="16"/>
                <w:lang w:eastAsia="es-CR"/>
              </w:rPr>
            </w:pPr>
            <w:r w:rsidRPr="005D1CD8">
              <w:rPr>
                <w:rFonts w:ascii="Book Antiqua" w:hAnsi="Book Antiqua" w:cs="Calibri"/>
                <w:color w:val="000000"/>
                <w:sz w:val="16"/>
                <w:szCs w:val="16"/>
                <w:lang w:eastAsia="es-CR"/>
              </w:rPr>
              <w:t>176</w:t>
            </w:r>
          </w:p>
        </w:tc>
        <w:tc>
          <w:tcPr>
            <w:tcW w:w="1200" w:type="dxa"/>
            <w:tcBorders>
              <w:top w:val="nil"/>
              <w:left w:val="nil"/>
              <w:bottom w:val="single" w:sz="4" w:space="0" w:color="auto"/>
              <w:right w:val="single" w:sz="4" w:space="0" w:color="auto"/>
            </w:tcBorders>
            <w:shd w:val="clear" w:color="auto" w:fill="auto"/>
            <w:noWrap/>
            <w:vAlign w:val="center"/>
            <w:hideMark/>
          </w:tcPr>
          <w:p w14:paraId="43DDE5C6" w14:textId="77777777" w:rsidR="002952B3" w:rsidRPr="005D1CD8" w:rsidRDefault="002952B3" w:rsidP="00243F14">
            <w:pPr>
              <w:jc w:val="center"/>
              <w:rPr>
                <w:rFonts w:ascii="Book Antiqua" w:hAnsi="Book Antiqua" w:cs="Calibri"/>
                <w:color w:val="000000"/>
                <w:sz w:val="16"/>
                <w:szCs w:val="16"/>
                <w:lang w:eastAsia="es-CR"/>
              </w:rPr>
            </w:pPr>
            <w:r w:rsidRPr="005D1CD8">
              <w:rPr>
                <w:rFonts w:ascii="Book Antiqua" w:hAnsi="Book Antiqua" w:cs="Calibri"/>
                <w:color w:val="000000"/>
                <w:sz w:val="16"/>
                <w:szCs w:val="16"/>
                <w:lang w:eastAsia="es-CR"/>
              </w:rPr>
              <w:t>159</w:t>
            </w:r>
          </w:p>
        </w:tc>
        <w:tc>
          <w:tcPr>
            <w:tcW w:w="1200" w:type="dxa"/>
            <w:tcBorders>
              <w:top w:val="nil"/>
              <w:left w:val="nil"/>
              <w:bottom w:val="single" w:sz="4" w:space="0" w:color="auto"/>
              <w:right w:val="single" w:sz="4" w:space="0" w:color="auto"/>
            </w:tcBorders>
            <w:shd w:val="clear" w:color="auto" w:fill="auto"/>
            <w:noWrap/>
            <w:vAlign w:val="center"/>
            <w:hideMark/>
          </w:tcPr>
          <w:p w14:paraId="32C4BEB6" w14:textId="77777777" w:rsidR="002952B3" w:rsidRPr="005D1CD8" w:rsidRDefault="002952B3" w:rsidP="00243F14">
            <w:pPr>
              <w:jc w:val="center"/>
              <w:rPr>
                <w:rFonts w:ascii="Book Antiqua" w:hAnsi="Book Antiqua" w:cs="Calibri"/>
                <w:color w:val="000000"/>
                <w:sz w:val="16"/>
                <w:szCs w:val="16"/>
                <w:lang w:eastAsia="es-CR"/>
              </w:rPr>
            </w:pPr>
            <w:r w:rsidRPr="005D1CD8">
              <w:rPr>
                <w:rFonts w:ascii="Book Antiqua" w:hAnsi="Book Antiqua" w:cs="Calibri"/>
                <w:color w:val="000000"/>
                <w:sz w:val="16"/>
                <w:szCs w:val="16"/>
                <w:lang w:eastAsia="es-CR"/>
              </w:rPr>
              <w:t>184</w:t>
            </w:r>
          </w:p>
        </w:tc>
        <w:tc>
          <w:tcPr>
            <w:tcW w:w="1200" w:type="dxa"/>
            <w:tcBorders>
              <w:top w:val="nil"/>
              <w:left w:val="nil"/>
              <w:bottom w:val="single" w:sz="4" w:space="0" w:color="auto"/>
              <w:right w:val="single" w:sz="4" w:space="0" w:color="auto"/>
            </w:tcBorders>
            <w:shd w:val="clear" w:color="auto" w:fill="auto"/>
            <w:noWrap/>
            <w:vAlign w:val="center"/>
            <w:hideMark/>
          </w:tcPr>
          <w:p w14:paraId="40D52788" w14:textId="77777777" w:rsidR="002952B3" w:rsidRPr="005D1CD8" w:rsidRDefault="002952B3" w:rsidP="00243F14">
            <w:pPr>
              <w:jc w:val="center"/>
              <w:rPr>
                <w:rFonts w:ascii="Book Antiqua" w:hAnsi="Book Antiqua" w:cs="Calibri"/>
                <w:color w:val="000000"/>
                <w:sz w:val="16"/>
                <w:szCs w:val="16"/>
                <w:lang w:eastAsia="es-CR"/>
              </w:rPr>
            </w:pPr>
            <w:r w:rsidRPr="005D1CD8">
              <w:rPr>
                <w:rFonts w:ascii="Book Antiqua" w:hAnsi="Book Antiqua" w:cs="Calibri"/>
                <w:color w:val="000000"/>
                <w:sz w:val="16"/>
                <w:szCs w:val="16"/>
                <w:lang w:eastAsia="es-CR"/>
              </w:rPr>
              <w:t>4,55%</w:t>
            </w:r>
          </w:p>
        </w:tc>
        <w:tc>
          <w:tcPr>
            <w:tcW w:w="1200" w:type="dxa"/>
            <w:tcBorders>
              <w:top w:val="nil"/>
              <w:left w:val="nil"/>
              <w:bottom w:val="single" w:sz="4" w:space="0" w:color="auto"/>
              <w:right w:val="single" w:sz="4" w:space="0" w:color="auto"/>
            </w:tcBorders>
            <w:shd w:val="clear" w:color="auto" w:fill="auto"/>
            <w:noWrap/>
            <w:vAlign w:val="center"/>
            <w:hideMark/>
          </w:tcPr>
          <w:p w14:paraId="4C5A56F6" w14:textId="77777777" w:rsidR="002952B3" w:rsidRPr="005D1CD8" w:rsidRDefault="002952B3" w:rsidP="00243F14">
            <w:pPr>
              <w:jc w:val="center"/>
              <w:rPr>
                <w:rFonts w:ascii="Book Antiqua" w:hAnsi="Book Antiqua" w:cs="Calibri"/>
                <w:color w:val="000000"/>
                <w:sz w:val="16"/>
                <w:szCs w:val="16"/>
                <w:lang w:eastAsia="es-CR"/>
              </w:rPr>
            </w:pPr>
            <w:r w:rsidRPr="005D1CD8">
              <w:rPr>
                <w:rFonts w:ascii="Book Antiqua" w:hAnsi="Book Antiqua" w:cs="Calibri"/>
                <w:color w:val="000000"/>
                <w:sz w:val="16"/>
                <w:szCs w:val="16"/>
                <w:lang w:eastAsia="es-CR"/>
              </w:rPr>
              <w:t>15,72%</w:t>
            </w:r>
          </w:p>
        </w:tc>
      </w:tr>
      <w:tr w:rsidR="002952B3" w:rsidRPr="005D1CD8" w14:paraId="7C0A1B49" w14:textId="77777777" w:rsidTr="002952B3">
        <w:trPr>
          <w:trHeight w:val="290"/>
          <w:jc w:val="center"/>
        </w:trPr>
        <w:tc>
          <w:tcPr>
            <w:tcW w:w="2494" w:type="dxa"/>
            <w:tcBorders>
              <w:top w:val="nil"/>
              <w:left w:val="single" w:sz="4" w:space="0" w:color="auto"/>
              <w:bottom w:val="single" w:sz="4" w:space="0" w:color="auto"/>
              <w:right w:val="single" w:sz="4" w:space="0" w:color="auto"/>
            </w:tcBorders>
            <w:shd w:val="clear" w:color="auto" w:fill="auto"/>
            <w:noWrap/>
            <w:vAlign w:val="center"/>
            <w:hideMark/>
          </w:tcPr>
          <w:p w14:paraId="2A2FF5A5" w14:textId="77777777" w:rsidR="002952B3" w:rsidRPr="005D1CD8" w:rsidRDefault="002952B3" w:rsidP="00243F14">
            <w:pPr>
              <w:rPr>
                <w:rFonts w:ascii="Book Antiqua" w:hAnsi="Book Antiqua" w:cs="Calibri"/>
                <w:color w:val="000000"/>
                <w:sz w:val="16"/>
                <w:szCs w:val="16"/>
                <w:lang w:eastAsia="es-CR"/>
              </w:rPr>
            </w:pPr>
            <w:r w:rsidRPr="005D1CD8">
              <w:rPr>
                <w:rFonts w:ascii="Book Antiqua" w:hAnsi="Book Antiqua" w:cs="Calibri"/>
                <w:color w:val="000000"/>
                <w:sz w:val="16"/>
                <w:szCs w:val="16"/>
                <w:lang w:eastAsia="es-CR"/>
              </w:rPr>
              <w:t>Tribunal Penal y Flagrancias</w:t>
            </w:r>
          </w:p>
        </w:tc>
        <w:tc>
          <w:tcPr>
            <w:tcW w:w="1200" w:type="dxa"/>
            <w:tcBorders>
              <w:top w:val="nil"/>
              <w:left w:val="nil"/>
              <w:bottom w:val="single" w:sz="4" w:space="0" w:color="auto"/>
              <w:right w:val="single" w:sz="4" w:space="0" w:color="auto"/>
            </w:tcBorders>
            <w:shd w:val="clear" w:color="auto" w:fill="auto"/>
            <w:noWrap/>
            <w:vAlign w:val="center"/>
            <w:hideMark/>
          </w:tcPr>
          <w:p w14:paraId="0CEF8978" w14:textId="77777777" w:rsidR="002952B3" w:rsidRPr="005D1CD8" w:rsidRDefault="002952B3" w:rsidP="00243F14">
            <w:pPr>
              <w:jc w:val="center"/>
              <w:rPr>
                <w:rFonts w:ascii="Book Antiqua" w:hAnsi="Book Antiqua" w:cs="Calibri"/>
                <w:color w:val="000000"/>
                <w:sz w:val="16"/>
                <w:szCs w:val="16"/>
                <w:lang w:eastAsia="es-CR"/>
              </w:rPr>
            </w:pPr>
            <w:r w:rsidRPr="005D1CD8">
              <w:rPr>
                <w:rFonts w:ascii="Book Antiqua" w:hAnsi="Book Antiqua" w:cs="Calibri"/>
                <w:color w:val="000000"/>
                <w:sz w:val="16"/>
                <w:szCs w:val="16"/>
                <w:lang w:eastAsia="es-CR"/>
              </w:rPr>
              <w:t>30039</w:t>
            </w:r>
          </w:p>
        </w:tc>
        <w:tc>
          <w:tcPr>
            <w:tcW w:w="1200" w:type="dxa"/>
            <w:tcBorders>
              <w:top w:val="nil"/>
              <w:left w:val="nil"/>
              <w:bottom w:val="single" w:sz="4" w:space="0" w:color="auto"/>
              <w:right w:val="single" w:sz="4" w:space="0" w:color="auto"/>
            </w:tcBorders>
            <w:shd w:val="clear" w:color="auto" w:fill="auto"/>
            <w:noWrap/>
            <w:vAlign w:val="center"/>
            <w:hideMark/>
          </w:tcPr>
          <w:p w14:paraId="5C7981DB" w14:textId="77777777" w:rsidR="002952B3" w:rsidRPr="005D1CD8" w:rsidRDefault="002952B3" w:rsidP="00243F14">
            <w:pPr>
              <w:jc w:val="center"/>
              <w:rPr>
                <w:rFonts w:ascii="Book Antiqua" w:hAnsi="Book Antiqua" w:cs="Calibri"/>
                <w:color w:val="000000"/>
                <w:sz w:val="16"/>
                <w:szCs w:val="16"/>
                <w:lang w:eastAsia="es-CR"/>
              </w:rPr>
            </w:pPr>
            <w:r w:rsidRPr="005D1CD8">
              <w:rPr>
                <w:rFonts w:ascii="Book Antiqua" w:hAnsi="Book Antiqua" w:cs="Calibri"/>
                <w:color w:val="000000"/>
                <w:sz w:val="16"/>
                <w:szCs w:val="16"/>
                <w:lang w:eastAsia="es-CR"/>
              </w:rPr>
              <w:t>31992</w:t>
            </w:r>
          </w:p>
        </w:tc>
        <w:tc>
          <w:tcPr>
            <w:tcW w:w="1200" w:type="dxa"/>
            <w:tcBorders>
              <w:top w:val="nil"/>
              <w:left w:val="nil"/>
              <w:bottom w:val="single" w:sz="4" w:space="0" w:color="auto"/>
              <w:right w:val="single" w:sz="4" w:space="0" w:color="auto"/>
            </w:tcBorders>
            <w:shd w:val="clear" w:color="auto" w:fill="auto"/>
            <w:noWrap/>
            <w:vAlign w:val="center"/>
            <w:hideMark/>
          </w:tcPr>
          <w:p w14:paraId="3C77906A" w14:textId="77777777" w:rsidR="002952B3" w:rsidRPr="005D1CD8" w:rsidRDefault="002952B3" w:rsidP="00243F14">
            <w:pPr>
              <w:jc w:val="center"/>
              <w:rPr>
                <w:rFonts w:ascii="Book Antiqua" w:hAnsi="Book Antiqua" w:cs="Calibri"/>
                <w:color w:val="000000"/>
                <w:sz w:val="16"/>
                <w:szCs w:val="16"/>
                <w:lang w:eastAsia="es-CR"/>
              </w:rPr>
            </w:pPr>
            <w:r w:rsidRPr="005D1CD8">
              <w:rPr>
                <w:rFonts w:ascii="Book Antiqua" w:hAnsi="Book Antiqua" w:cs="Calibri"/>
                <w:color w:val="000000"/>
                <w:sz w:val="16"/>
                <w:szCs w:val="16"/>
                <w:lang w:eastAsia="es-CR"/>
              </w:rPr>
              <w:t>35797</w:t>
            </w:r>
          </w:p>
        </w:tc>
        <w:tc>
          <w:tcPr>
            <w:tcW w:w="1200" w:type="dxa"/>
            <w:tcBorders>
              <w:top w:val="nil"/>
              <w:left w:val="nil"/>
              <w:bottom w:val="single" w:sz="4" w:space="0" w:color="auto"/>
              <w:right w:val="single" w:sz="4" w:space="0" w:color="auto"/>
            </w:tcBorders>
            <w:shd w:val="clear" w:color="auto" w:fill="auto"/>
            <w:noWrap/>
            <w:vAlign w:val="center"/>
            <w:hideMark/>
          </w:tcPr>
          <w:p w14:paraId="51EC14E3" w14:textId="77777777" w:rsidR="002952B3" w:rsidRPr="005D1CD8" w:rsidRDefault="002952B3" w:rsidP="00243F14">
            <w:pPr>
              <w:jc w:val="center"/>
              <w:rPr>
                <w:rFonts w:ascii="Book Antiqua" w:hAnsi="Book Antiqua" w:cs="Calibri"/>
                <w:color w:val="000000"/>
                <w:sz w:val="16"/>
                <w:szCs w:val="16"/>
                <w:lang w:eastAsia="es-CR"/>
              </w:rPr>
            </w:pPr>
            <w:r w:rsidRPr="005D1CD8">
              <w:rPr>
                <w:rFonts w:ascii="Book Antiqua" w:hAnsi="Book Antiqua" w:cs="Calibri"/>
                <w:color w:val="000000"/>
                <w:sz w:val="16"/>
                <w:szCs w:val="16"/>
                <w:lang w:eastAsia="es-CR"/>
              </w:rPr>
              <w:t>19,17%</w:t>
            </w:r>
          </w:p>
        </w:tc>
        <w:tc>
          <w:tcPr>
            <w:tcW w:w="1200" w:type="dxa"/>
            <w:tcBorders>
              <w:top w:val="nil"/>
              <w:left w:val="nil"/>
              <w:bottom w:val="single" w:sz="4" w:space="0" w:color="auto"/>
              <w:right w:val="single" w:sz="4" w:space="0" w:color="auto"/>
            </w:tcBorders>
            <w:shd w:val="clear" w:color="auto" w:fill="auto"/>
            <w:noWrap/>
            <w:vAlign w:val="center"/>
            <w:hideMark/>
          </w:tcPr>
          <w:p w14:paraId="68EA3542" w14:textId="77777777" w:rsidR="002952B3" w:rsidRPr="005D1CD8" w:rsidRDefault="002952B3" w:rsidP="00243F14">
            <w:pPr>
              <w:jc w:val="center"/>
              <w:rPr>
                <w:rFonts w:ascii="Book Antiqua" w:hAnsi="Book Antiqua" w:cs="Calibri"/>
                <w:color w:val="000000"/>
                <w:sz w:val="16"/>
                <w:szCs w:val="16"/>
                <w:lang w:eastAsia="es-CR"/>
              </w:rPr>
            </w:pPr>
            <w:r w:rsidRPr="005D1CD8">
              <w:rPr>
                <w:rFonts w:ascii="Book Antiqua" w:hAnsi="Book Antiqua" w:cs="Calibri"/>
                <w:color w:val="000000"/>
                <w:sz w:val="16"/>
                <w:szCs w:val="16"/>
                <w:lang w:eastAsia="es-CR"/>
              </w:rPr>
              <w:t>11,89%</w:t>
            </w:r>
          </w:p>
        </w:tc>
      </w:tr>
      <w:tr w:rsidR="002952B3" w:rsidRPr="005D1CD8" w14:paraId="0094284B" w14:textId="77777777" w:rsidTr="002952B3">
        <w:trPr>
          <w:trHeight w:val="290"/>
          <w:jc w:val="center"/>
        </w:trPr>
        <w:tc>
          <w:tcPr>
            <w:tcW w:w="2494" w:type="dxa"/>
            <w:tcBorders>
              <w:top w:val="nil"/>
              <w:left w:val="single" w:sz="4" w:space="0" w:color="auto"/>
              <w:bottom w:val="single" w:sz="4" w:space="0" w:color="auto"/>
              <w:right w:val="single" w:sz="4" w:space="0" w:color="auto"/>
            </w:tcBorders>
            <w:shd w:val="clear" w:color="auto" w:fill="auto"/>
            <w:noWrap/>
            <w:vAlign w:val="center"/>
            <w:hideMark/>
          </w:tcPr>
          <w:p w14:paraId="2AC5B875" w14:textId="77777777" w:rsidR="002952B3" w:rsidRPr="005D1CD8" w:rsidRDefault="002952B3" w:rsidP="00243F14">
            <w:pPr>
              <w:rPr>
                <w:rFonts w:ascii="Book Antiqua" w:hAnsi="Book Antiqua" w:cs="Calibri"/>
                <w:color w:val="000000"/>
                <w:sz w:val="16"/>
                <w:szCs w:val="16"/>
                <w:lang w:eastAsia="es-CR"/>
              </w:rPr>
            </w:pPr>
            <w:r w:rsidRPr="005D1CD8">
              <w:rPr>
                <w:rFonts w:ascii="Book Antiqua" w:hAnsi="Book Antiqua" w:cs="Calibri"/>
                <w:color w:val="000000"/>
                <w:sz w:val="16"/>
                <w:szCs w:val="16"/>
                <w:lang w:eastAsia="es-CR"/>
              </w:rPr>
              <w:t>Juzgados de Ejecución de la Pena</w:t>
            </w:r>
          </w:p>
        </w:tc>
        <w:tc>
          <w:tcPr>
            <w:tcW w:w="1200" w:type="dxa"/>
            <w:tcBorders>
              <w:top w:val="nil"/>
              <w:left w:val="nil"/>
              <w:bottom w:val="single" w:sz="4" w:space="0" w:color="auto"/>
              <w:right w:val="single" w:sz="4" w:space="0" w:color="auto"/>
            </w:tcBorders>
            <w:shd w:val="clear" w:color="auto" w:fill="auto"/>
            <w:noWrap/>
            <w:vAlign w:val="center"/>
            <w:hideMark/>
          </w:tcPr>
          <w:p w14:paraId="7E421A92" w14:textId="77777777" w:rsidR="002952B3" w:rsidRPr="005D1CD8" w:rsidRDefault="002952B3" w:rsidP="00243F14">
            <w:pPr>
              <w:jc w:val="center"/>
              <w:rPr>
                <w:rFonts w:ascii="Book Antiqua" w:hAnsi="Book Antiqua" w:cs="Calibri"/>
                <w:color w:val="000000"/>
                <w:sz w:val="16"/>
                <w:szCs w:val="16"/>
                <w:lang w:eastAsia="es-CR"/>
              </w:rPr>
            </w:pPr>
            <w:r w:rsidRPr="005D1CD8">
              <w:rPr>
                <w:rFonts w:ascii="Book Antiqua" w:hAnsi="Book Antiqua" w:cs="Calibri"/>
                <w:color w:val="000000"/>
                <w:sz w:val="16"/>
                <w:szCs w:val="16"/>
                <w:lang w:eastAsia="es-CR"/>
              </w:rPr>
              <w:t>7242</w:t>
            </w:r>
          </w:p>
        </w:tc>
        <w:tc>
          <w:tcPr>
            <w:tcW w:w="1200" w:type="dxa"/>
            <w:tcBorders>
              <w:top w:val="nil"/>
              <w:left w:val="nil"/>
              <w:bottom w:val="single" w:sz="4" w:space="0" w:color="auto"/>
              <w:right w:val="single" w:sz="4" w:space="0" w:color="auto"/>
            </w:tcBorders>
            <w:shd w:val="clear" w:color="auto" w:fill="auto"/>
            <w:noWrap/>
            <w:vAlign w:val="center"/>
            <w:hideMark/>
          </w:tcPr>
          <w:p w14:paraId="49024A79" w14:textId="77777777" w:rsidR="002952B3" w:rsidRPr="005D1CD8" w:rsidRDefault="002952B3" w:rsidP="00243F14">
            <w:pPr>
              <w:jc w:val="center"/>
              <w:rPr>
                <w:rFonts w:ascii="Book Antiqua" w:hAnsi="Book Antiqua" w:cs="Calibri"/>
                <w:color w:val="000000"/>
                <w:sz w:val="16"/>
                <w:szCs w:val="16"/>
                <w:lang w:eastAsia="es-CR"/>
              </w:rPr>
            </w:pPr>
            <w:r w:rsidRPr="005D1CD8">
              <w:rPr>
                <w:rFonts w:ascii="Book Antiqua" w:hAnsi="Book Antiqua" w:cs="Calibri"/>
                <w:color w:val="000000"/>
                <w:sz w:val="16"/>
                <w:szCs w:val="16"/>
                <w:lang w:eastAsia="es-CR"/>
              </w:rPr>
              <w:t>8887</w:t>
            </w:r>
          </w:p>
        </w:tc>
        <w:tc>
          <w:tcPr>
            <w:tcW w:w="1200" w:type="dxa"/>
            <w:tcBorders>
              <w:top w:val="nil"/>
              <w:left w:val="nil"/>
              <w:bottom w:val="single" w:sz="4" w:space="0" w:color="auto"/>
              <w:right w:val="single" w:sz="4" w:space="0" w:color="auto"/>
            </w:tcBorders>
            <w:shd w:val="clear" w:color="auto" w:fill="auto"/>
            <w:noWrap/>
            <w:vAlign w:val="center"/>
            <w:hideMark/>
          </w:tcPr>
          <w:p w14:paraId="77EFF279" w14:textId="77777777" w:rsidR="002952B3" w:rsidRPr="005D1CD8" w:rsidRDefault="002952B3" w:rsidP="00243F14">
            <w:pPr>
              <w:jc w:val="center"/>
              <w:rPr>
                <w:rFonts w:ascii="Book Antiqua" w:hAnsi="Book Antiqua" w:cs="Calibri"/>
                <w:color w:val="000000"/>
                <w:sz w:val="16"/>
                <w:szCs w:val="16"/>
                <w:lang w:eastAsia="es-CR"/>
              </w:rPr>
            </w:pPr>
            <w:r w:rsidRPr="005D1CD8">
              <w:rPr>
                <w:rFonts w:ascii="Book Antiqua" w:hAnsi="Book Antiqua" w:cs="Calibri"/>
                <w:color w:val="000000"/>
                <w:sz w:val="16"/>
                <w:szCs w:val="16"/>
                <w:lang w:eastAsia="es-CR"/>
              </w:rPr>
              <w:t>10031</w:t>
            </w:r>
          </w:p>
        </w:tc>
        <w:tc>
          <w:tcPr>
            <w:tcW w:w="1200" w:type="dxa"/>
            <w:tcBorders>
              <w:top w:val="nil"/>
              <w:left w:val="nil"/>
              <w:bottom w:val="single" w:sz="4" w:space="0" w:color="auto"/>
              <w:right w:val="single" w:sz="4" w:space="0" w:color="auto"/>
            </w:tcBorders>
            <w:shd w:val="clear" w:color="auto" w:fill="auto"/>
            <w:noWrap/>
            <w:vAlign w:val="center"/>
            <w:hideMark/>
          </w:tcPr>
          <w:p w14:paraId="4B360916" w14:textId="77777777" w:rsidR="002952B3" w:rsidRPr="005D1CD8" w:rsidRDefault="002952B3" w:rsidP="00243F14">
            <w:pPr>
              <w:jc w:val="center"/>
              <w:rPr>
                <w:rFonts w:ascii="Book Antiqua" w:hAnsi="Book Antiqua" w:cs="Calibri"/>
                <w:color w:val="000000"/>
                <w:sz w:val="16"/>
                <w:szCs w:val="16"/>
                <w:lang w:eastAsia="es-CR"/>
              </w:rPr>
            </w:pPr>
            <w:r w:rsidRPr="005D1CD8">
              <w:rPr>
                <w:rFonts w:ascii="Book Antiqua" w:hAnsi="Book Antiqua" w:cs="Calibri"/>
                <w:color w:val="000000"/>
                <w:sz w:val="16"/>
                <w:szCs w:val="16"/>
                <w:lang w:eastAsia="es-CR"/>
              </w:rPr>
              <w:t>38,51%</w:t>
            </w:r>
          </w:p>
        </w:tc>
        <w:tc>
          <w:tcPr>
            <w:tcW w:w="1200" w:type="dxa"/>
            <w:tcBorders>
              <w:top w:val="nil"/>
              <w:left w:val="nil"/>
              <w:bottom w:val="single" w:sz="4" w:space="0" w:color="auto"/>
              <w:right w:val="single" w:sz="4" w:space="0" w:color="auto"/>
            </w:tcBorders>
            <w:shd w:val="clear" w:color="auto" w:fill="auto"/>
            <w:noWrap/>
            <w:vAlign w:val="center"/>
            <w:hideMark/>
          </w:tcPr>
          <w:p w14:paraId="73077804" w14:textId="77777777" w:rsidR="002952B3" w:rsidRPr="005D1CD8" w:rsidRDefault="002952B3" w:rsidP="00243F14">
            <w:pPr>
              <w:jc w:val="center"/>
              <w:rPr>
                <w:rFonts w:ascii="Book Antiqua" w:hAnsi="Book Antiqua" w:cs="Calibri"/>
                <w:color w:val="000000"/>
                <w:sz w:val="16"/>
                <w:szCs w:val="16"/>
                <w:lang w:eastAsia="es-CR"/>
              </w:rPr>
            </w:pPr>
            <w:r w:rsidRPr="005D1CD8">
              <w:rPr>
                <w:rFonts w:ascii="Book Antiqua" w:hAnsi="Book Antiqua" w:cs="Calibri"/>
                <w:color w:val="000000"/>
                <w:sz w:val="16"/>
                <w:szCs w:val="16"/>
                <w:lang w:eastAsia="es-CR"/>
              </w:rPr>
              <w:t>12,87%</w:t>
            </w:r>
          </w:p>
        </w:tc>
      </w:tr>
      <w:tr w:rsidR="002952B3" w:rsidRPr="005D1CD8" w14:paraId="230DE091" w14:textId="77777777" w:rsidTr="002952B3">
        <w:trPr>
          <w:trHeight w:val="290"/>
          <w:jc w:val="center"/>
        </w:trPr>
        <w:tc>
          <w:tcPr>
            <w:tcW w:w="2494" w:type="dxa"/>
            <w:tcBorders>
              <w:top w:val="nil"/>
              <w:left w:val="single" w:sz="4" w:space="0" w:color="auto"/>
              <w:bottom w:val="single" w:sz="4" w:space="0" w:color="auto"/>
              <w:right w:val="single" w:sz="4" w:space="0" w:color="auto"/>
            </w:tcBorders>
            <w:shd w:val="clear" w:color="auto" w:fill="auto"/>
            <w:noWrap/>
            <w:vAlign w:val="center"/>
            <w:hideMark/>
          </w:tcPr>
          <w:p w14:paraId="4EDA7C05" w14:textId="77777777" w:rsidR="002952B3" w:rsidRPr="005D1CD8" w:rsidRDefault="002952B3" w:rsidP="00243F14">
            <w:pPr>
              <w:rPr>
                <w:rFonts w:ascii="Book Antiqua" w:hAnsi="Book Antiqua" w:cs="Calibri"/>
                <w:color w:val="000000"/>
                <w:sz w:val="16"/>
                <w:szCs w:val="16"/>
                <w:lang w:eastAsia="es-CR"/>
              </w:rPr>
            </w:pPr>
            <w:r w:rsidRPr="005D1CD8">
              <w:rPr>
                <w:rFonts w:ascii="Book Antiqua" w:hAnsi="Book Antiqua" w:cs="Calibri"/>
                <w:color w:val="000000"/>
                <w:sz w:val="16"/>
                <w:szCs w:val="16"/>
                <w:lang w:eastAsia="es-CR"/>
              </w:rPr>
              <w:t>Notarial</w:t>
            </w:r>
          </w:p>
        </w:tc>
        <w:tc>
          <w:tcPr>
            <w:tcW w:w="1200" w:type="dxa"/>
            <w:tcBorders>
              <w:top w:val="nil"/>
              <w:left w:val="nil"/>
              <w:bottom w:val="single" w:sz="4" w:space="0" w:color="auto"/>
              <w:right w:val="single" w:sz="4" w:space="0" w:color="auto"/>
            </w:tcBorders>
            <w:shd w:val="clear" w:color="auto" w:fill="auto"/>
            <w:noWrap/>
            <w:vAlign w:val="center"/>
            <w:hideMark/>
          </w:tcPr>
          <w:p w14:paraId="2ED49D31" w14:textId="77777777" w:rsidR="002952B3" w:rsidRPr="005D1CD8" w:rsidRDefault="002952B3" w:rsidP="00243F14">
            <w:pPr>
              <w:jc w:val="center"/>
              <w:rPr>
                <w:rFonts w:ascii="Book Antiqua" w:hAnsi="Book Antiqua" w:cs="Calibri"/>
                <w:color w:val="000000"/>
                <w:sz w:val="16"/>
                <w:szCs w:val="16"/>
                <w:lang w:eastAsia="es-CR"/>
              </w:rPr>
            </w:pPr>
            <w:r w:rsidRPr="005D1CD8">
              <w:rPr>
                <w:rFonts w:ascii="Book Antiqua" w:hAnsi="Book Antiqua" w:cs="Calibri"/>
                <w:color w:val="000000"/>
                <w:sz w:val="16"/>
                <w:szCs w:val="16"/>
                <w:lang w:eastAsia="es-CR"/>
              </w:rPr>
              <w:t>4857</w:t>
            </w:r>
          </w:p>
        </w:tc>
        <w:tc>
          <w:tcPr>
            <w:tcW w:w="1200" w:type="dxa"/>
            <w:tcBorders>
              <w:top w:val="nil"/>
              <w:left w:val="nil"/>
              <w:bottom w:val="single" w:sz="4" w:space="0" w:color="auto"/>
              <w:right w:val="single" w:sz="4" w:space="0" w:color="auto"/>
            </w:tcBorders>
            <w:shd w:val="clear" w:color="auto" w:fill="auto"/>
            <w:noWrap/>
            <w:vAlign w:val="center"/>
            <w:hideMark/>
          </w:tcPr>
          <w:p w14:paraId="2D9F29C8" w14:textId="77777777" w:rsidR="002952B3" w:rsidRPr="005D1CD8" w:rsidRDefault="002952B3" w:rsidP="00243F14">
            <w:pPr>
              <w:jc w:val="center"/>
              <w:rPr>
                <w:rFonts w:ascii="Book Antiqua" w:hAnsi="Book Antiqua" w:cs="Calibri"/>
                <w:color w:val="000000"/>
                <w:sz w:val="16"/>
                <w:szCs w:val="16"/>
                <w:lang w:eastAsia="es-CR"/>
              </w:rPr>
            </w:pPr>
            <w:r w:rsidRPr="005D1CD8">
              <w:rPr>
                <w:rFonts w:ascii="Book Antiqua" w:hAnsi="Book Antiqua" w:cs="Calibri"/>
                <w:color w:val="000000"/>
                <w:sz w:val="16"/>
                <w:szCs w:val="16"/>
                <w:lang w:eastAsia="es-CR"/>
              </w:rPr>
              <w:t>5103</w:t>
            </w:r>
          </w:p>
        </w:tc>
        <w:tc>
          <w:tcPr>
            <w:tcW w:w="1200" w:type="dxa"/>
            <w:tcBorders>
              <w:top w:val="nil"/>
              <w:left w:val="nil"/>
              <w:bottom w:val="single" w:sz="4" w:space="0" w:color="auto"/>
              <w:right w:val="single" w:sz="4" w:space="0" w:color="auto"/>
            </w:tcBorders>
            <w:shd w:val="clear" w:color="auto" w:fill="auto"/>
            <w:noWrap/>
            <w:vAlign w:val="center"/>
            <w:hideMark/>
          </w:tcPr>
          <w:p w14:paraId="4E12B459" w14:textId="77777777" w:rsidR="002952B3" w:rsidRPr="005D1CD8" w:rsidRDefault="002952B3" w:rsidP="00243F14">
            <w:pPr>
              <w:jc w:val="center"/>
              <w:rPr>
                <w:rFonts w:ascii="Book Antiqua" w:hAnsi="Book Antiqua" w:cs="Calibri"/>
                <w:color w:val="000000"/>
                <w:sz w:val="16"/>
                <w:szCs w:val="16"/>
                <w:lang w:eastAsia="es-CR"/>
              </w:rPr>
            </w:pPr>
            <w:r w:rsidRPr="005D1CD8">
              <w:rPr>
                <w:rFonts w:ascii="Book Antiqua" w:hAnsi="Book Antiqua" w:cs="Calibri"/>
                <w:color w:val="000000"/>
                <w:sz w:val="16"/>
                <w:szCs w:val="16"/>
                <w:lang w:eastAsia="es-CR"/>
              </w:rPr>
              <w:t>5210</w:t>
            </w:r>
          </w:p>
        </w:tc>
        <w:tc>
          <w:tcPr>
            <w:tcW w:w="1200" w:type="dxa"/>
            <w:tcBorders>
              <w:top w:val="nil"/>
              <w:left w:val="nil"/>
              <w:bottom w:val="single" w:sz="4" w:space="0" w:color="auto"/>
              <w:right w:val="single" w:sz="4" w:space="0" w:color="auto"/>
            </w:tcBorders>
            <w:shd w:val="clear" w:color="auto" w:fill="auto"/>
            <w:noWrap/>
            <w:vAlign w:val="center"/>
            <w:hideMark/>
          </w:tcPr>
          <w:p w14:paraId="3E9D9A3E" w14:textId="77777777" w:rsidR="002952B3" w:rsidRPr="005D1CD8" w:rsidRDefault="002952B3" w:rsidP="00243F14">
            <w:pPr>
              <w:jc w:val="center"/>
              <w:rPr>
                <w:rFonts w:ascii="Book Antiqua" w:hAnsi="Book Antiqua" w:cs="Calibri"/>
                <w:color w:val="000000"/>
                <w:sz w:val="16"/>
                <w:szCs w:val="16"/>
                <w:lang w:eastAsia="es-CR"/>
              </w:rPr>
            </w:pPr>
            <w:r w:rsidRPr="005D1CD8">
              <w:rPr>
                <w:rFonts w:ascii="Book Antiqua" w:hAnsi="Book Antiqua" w:cs="Calibri"/>
                <w:color w:val="000000"/>
                <w:sz w:val="16"/>
                <w:szCs w:val="16"/>
                <w:lang w:eastAsia="es-CR"/>
              </w:rPr>
              <w:t>7,27%</w:t>
            </w:r>
          </w:p>
        </w:tc>
        <w:tc>
          <w:tcPr>
            <w:tcW w:w="1200" w:type="dxa"/>
            <w:tcBorders>
              <w:top w:val="nil"/>
              <w:left w:val="nil"/>
              <w:bottom w:val="single" w:sz="4" w:space="0" w:color="auto"/>
              <w:right w:val="single" w:sz="4" w:space="0" w:color="auto"/>
            </w:tcBorders>
            <w:shd w:val="clear" w:color="auto" w:fill="auto"/>
            <w:noWrap/>
            <w:vAlign w:val="center"/>
            <w:hideMark/>
          </w:tcPr>
          <w:p w14:paraId="3F33032E" w14:textId="77777777" w:rsidR="002952B3" w:rsidRPr="005D1CD8" w:rsidRDefault="002952B3" w:rsidP="00243F14">
            <w:pPr>
              <w:jc w:val="center"/>
              <w:rPr>
                <w:rFonts w:ascii="Book Antiqua" w:hAnsi="Book Antiqua" w:cs="Calibri"/>
                <w:color w:val="000000"/>
                <w:sz w:val="16"/>
                <w:szCs w:val="16"/>
                <w:lang w:eastAsia="es-CR"/>
              </w:rPr>
            </w:pPr>
            <w:r w:rsidRPr="005D1CD8">
              <w:rPr>
                <w:rFonts w:ascii="Book Antiqua" w:hAnsi="Book Antiqua" w:cs="Calibri"/>
                <w:color w:val="000000"/>
                <w:sz w:val="16"/>
                <w:szCs w:val="16"/>
                <w:lang w:eastAsia="es-CR"/>
              </w:rPr>
              <w:t>2,10%</w:t>
            </w:r>
          </w:p>
        </w:tc>
      </w:tr>
      <w:tr w:rsidR="002952B3" w:rsidRPr="005D1CD8" w14:paraId="77C5D0F1" w14:textId="77777777" w:rsidTr="002952B3">
        <w:trPr>
          <w:trHeight w:val="290"/>
          <w:jc w:val="center"/>
        </w:trPr>
        <w:tc>
          <w:tcPr>
            <w:tcW w:w="2494" w:type="dxa"/>
            <w:tcBorders>
              <w:top w:val="nil"/>
              <w:left w:val="single" w:sz="4" w:space="0" w:color="auto"/>
              <w:bottom w:val="single" w:sz="4" w:space="0" w:color="auto"/>
              <w:right w:val="single" w:sz="4" w:space="0" w:color="auto"/>
            </w:tcBorders>
            <w:shd w:val="clear" w:color="auto" w:fill="auto"/>
            <w:noWrap/>
            <w:vAlign w:val="center"/>
            <w:hideMark/>
          </w:tcPr>
          <w:p w14:paraId="666CE0E2" w14:textId="77777777" w:rsidR="002952B3" w:rsidRPr="005D1CD8" w:rsidRDefault="002952B3" w:rsidP="00243F14">
            <w:pPr>
              <w:rPr>
                <w:rFonts w:ascii="Book Antiqua" w:hAnsi="Book Antiqua" w:cs="Calibri"/>
                <w:color w:val="000000"/>
                <w:sz w:val="16"/>
                <w:szCs w:val="16"/>
                <w:lang w:eastAsia="es-CR"/>
              </w:rPr>
            </w:pPr>
            <w:r w:rsidRPr="005D1CD8">
              <w:rPr>
                <w:rFonts w:ascii="Book Antiqua" w:hAnsi="Book Antiqua" w:cs="Calibri"/>
                <w:color w:val="000000"/>
                <w:sz w:val="16"/>
                <w:szCs w:val="16"/>
                <w:lang w:eastAsia="es-CR"/>
              </w:rPr>
              <w:t>Agrario</w:t>
            </w:r>
          </w:p>
        </w:tc>
        <w:tc>
          <w:tcPr>
            <w:tcW w:w="1200" w:type="dxa"/>
            <w:tcBorders>
              <w:top w:val="nil"/>
              <w:left w:val="nil"/>
              <w:bottom w:val="single" w:sz="4" w:space="0" w:color="auto"/>
              <w:right w:val="single" w:sz="4" w:space="0" w:color="auto"/>
            </w:tcBorders>
            <w:shd w:val="clear" w:color="auto" w:fill="auto"/>
            <w:noWrap/>
            <w:vAlign w:val="center"/>
            <w:hideMark/>
          </w:tcPr>
          <w:p w14:paraId="79FC1F81" w14:textId="77777777" w:rsidR="002952B3" w:rsidRPr="005D1CD8" w:rsidRDefault="002952B3" w:rsidP="00243F14">
            <w:pPr>
              <w:jc w:val="center"/>
              <w:rPr>
                <w:rFonts w:ascii="Book Antiqua" w:hAnsi="Book Antiqua" w:cs="Calibri"/>
                <w:color w:val="000000"/>
                <w:sz w:val="16"/>
                <w:szCs w:val="16"/>
                <w:lang w:eastAsia="es-CR"/>
              </w:rPr>
            </w:pPr>
            <w:r w:rsidRPr="005D1CD8">
              <w:rPr>
                <w:rFonts w:ascii="Book Antiqua" w:hAnsi="Book Antiqua" w:cs="Calibri"/>
                <w:color w:val="000000"/>
                <w:sz w:val="16"/>
                <w:szCs w:val="16"/>
                <w:lang w:eastAsia="es-CR"/>
              </w:rPr>
              <w:t>7034</w:t>
            </w:r>
          </w:p>
        </w:tc>
        <w:tc>
          <w:tcPr>
            <w:tcW w:w="1200" w:type="dxa"/>
            <w:tcBorders>
              <w:top w:val="nil"/>
              <w:left w:val="nil"/>
              <w:bottom w:val="single" w:sz="4" w:space="0" w:color="auto"/>
              <w:right w:val="single" w:sz="4" w:space="0" w:color="auto"/>
            </w:tcBorders>
            <w:shd w:val="clear" w:color="auto" w:fill="auto"/>
            <w:noWrap/>
            <w:vAlign w:val="center"/>
            <w:hideMark/>
          </w:tcPr>
          <w:p w14:paraId="58519D29" w14:textId="77777777" w:rsidR="002952B3" w:rsidRPr="005D1CD8" w:rsidRDefault="002952B3" w:rsidP="00243F14">
            <w:pPr>
              <w:jc w:val="center"/>
              <w:rPr>
                <w:rFonts w:ascii="Book Antiqua" w:hAnsi="Book Antiqua" w:cs="Calibri"/>
                <w:color w:val="000000"/>
                <w:sz w:val="16"/>
                <w:szCs w:val="16"/>
                <w:lang w:eastAsia="es-CR"/>
              </w:rPr>
            </w:pPr>
            <w:r w:rsidRPr="005D1CD8">
              <w:rPr>
                <w:rFonts w:ascii="Book Antiqua" w:hAnsi="Book Antiqua" w:cs="Calibri"/>
                <w:color w:val="000000"/>
                <w:sz w:val="16"/>
                <w:szCs w:val="16"/>
                <w:lang w:eastAsia="es-CR"/>
              </w:rPr>
              <w:t>7094</w:t>
            </w:r>
          </w:p>
        </w:tc>
        <w:tc>
          <w:tcPr>
            <w:tcW w:w="1200" w:type="dxa"/>
            <w:tcBorders>
              <w:top w:val="nil"/>
              <w:left w:val="nil"/>
              <w:bottom w:val="single" w:sz="4" w:space="0" w:color="auto"/>
              <w:right w:val="single" w:sz="4" w:space="0" w:color="auto"/>
            </w:tcBorders>
            <w:shd w:val="clear" w:color="auto" w:fill="auto"/>
            <w:noWrap/>
            <w:vAlign w:val="center"/>
            <w:hideMark/>
          </w:tcPr>
          <w:p w14:paraId="4E070D21" w14:textId="77777777" w:rsidR="002952B3" w:rsidRPr="005D1CD8" w:rsidRDefault="002952B3" w:rsidP="00243F14">
            <w:pPr>
              <w:jc w:val="center"/>
              <w:rPr>
                <w:rFonts w:ascii="Book Antiqua" w:hAnsi="Book Antiqua" w:cs="Calibri"/>
                <w:color w:val="000000"/>
                <w:sz w:val="16"/>
                <w:szCs w:val="16"/>
                <w:lang w:eastAsia="es-CR"/>
              </w:rPr>
            </w:pPr>
            <w:r w:rsidRPr="005D1CD8">
              <w:rPr>
                <w:rFonts w:ascii="Book Antiqua" w:hAnsi="Book Antiqua" w:cs="Calibri"/>
                <w:color w:val="000000"/>
                <w:sz w:val="16"/>
                <w:szCs w:val="16"/>
                <w:lang w:eastAsia="es-CR"/>
              </w:rPr>
              <w:t>7507</w:t>
            </w:r>
          </w:p>
        </w:tc>
        <w:tc>
          <w:tcPr>
            <w:tcW w:w="1200" w:type="dxa"/>
            <w:tcBorders>
              <w:top w:val="nil"/>
              <w:left w:val="nil"/>
              <w:bottom w:val="single" w:sz="4" w:space="0" w:color="auto"/>
              <w:right w:val="single" w:sz="4" w:space="0" w:color="auto"/>
            </w:tcBorders>
            <w:shd w:val="clear" w:color="auto" w:fill="auto"/>
            <w:noWrap/>
            <w:vAlign w:val="center"/>
            <w:hideMark/>
          </w:tcPr>
          <w:p w14:paraId="7F8F7FA7" w14:textId="77777777" w:rsidR="002952B3" w:rsidRPr="005D1CD8" w:rsidRDefault="002952B3" w:rsidP="00243F14">
            <w:pPr>
              <w:jc w:val="center"/>
              <w:rPr>
                <w:rFonts w:ascii="Book Antiqua" w:hAnsi="Book Antiqua" w:cs="Calibri"/>
                <w:color w:val="000000"/>
                <w:sz w:val="16"/>
                <w:szCs w:val="16"/>
                <w:lang w:eastAsia="es-CR"/>
              </w:rPr>
            </w:pPr>
            <w:r w:rsidRPr="005D1CD8">
              <w:rPr>
                <w:rFonts w:ascii="Book Antiqua" w:hAnsi="Book Antiqua" w:cs="Calibri"/>
                <w:color w:val="000000"/>
                <w:sz w:val="16"/>
                <w:szCs w:val="16"/>
                <w:lang w:eastAsia="es-CR"/>
              </w:rPr>
              <w:t>6,72%</w:t>
            </w:r>
          </w:p>
        </w:tc>
        <w:tc>
          <w:tcPr>
            <w:tcW w:w="1200" w:type="dxa"/>
            <w:tcBorders>
              <w:top w:val="nil"/>
              <w:left w:val="nil"/>
              <w:bottom w:val="single" w:sz="4" w:space="0" w:color="auto"/>
              <w:right w:val="single" w:sz="4" w:space="0" w:color="auto"/>
            </w:tcBorders>
            <w:shd w:val="clear" w:color="auto" w:fill="auto"/>
            <w:noWrap/>
            <w:vAlign w:val="center"/>
            <w:hideMark/>
          </w:tcPr>
          <w:p w14:paraId="3F21339D" w14:textId="77777777" w:rsidR="002952B3" w:rsidRPr="005D1CD8" w:rsidRDefault="002952B3" w:rsidP="00243F14">
            <w:pPr>
              <w:jc w:val="center"/>
              <w:rPr>
                <w:rFonts w:ascii="Book Antiqua" w:hAnsi="Book Antiqua" w:cs="Calibri"/>
                <w:color w:val="000000"/>
                <w:sz w:val="16"/>
                <w:szCs w:val="16"/>
                <w:lang w:eastAsia="es-CR"/>
              </w:rPr>
            </w:pPr>
            <w:r w:rsidRPr="005D1CD8">
              <w:rPr>
                <w:rFonts w:ascii="Book Antiqua" w:hAnsi="Book Antiqua" w:cs="Calibri"/>
                <w:color w:val="000000"/>
                <w:sz w:val="16"/>
                <w:szCs w:val="16"/>
                <w:lang w:eastAsia="es-CR"/>
              </w:rPr>
              <w:t>5,82%</w:t>
            </w:r>
          </w:p>
        </w:tc>
      </w:tr>
      <w:tr w:rsidR="002952B3" w:rsidRPr="005D1CD8" w14:paraId="3A2B4B9D" w14:textId="77777777" w:rsidTr="002952B3">
        <w:trPr>
          <w:trHeight w:val="290"/>
          <w:jc w:val="center"/>
        </w:trPr>
        <w:tc>
          <w:tcPr>
            <w:tcW w:w="2494" w:type="dxa"/>
            <w:tcBorders>
              <w:top w:val="nil"/>
              <w:left w:val="single" w:sz="4" w:space="0" w:color="auto"/>
              <w:bottom w:val="single" w:sz="4" w:space="0" w:color="auto"/>
              <w:right w:val="single" w:sz="4" w:space="0" w:color="auto"/>
            </w:tcBorders>
            <w:shd w:val="clear" w:color="auto" w:fill="auto"/>
            <w:noWrap/>
            <w:vAlign w:val="center"/>
            <w:hideMark/>
          </w:tcPr>
          <w:p w14:paraId="7AEDB59E" w14:textId="77777777" w:rsidR="002952B3" w:rsidRPr="005D1CD8" w:rsidRDefault="002952B3" w:rsidP="00243F14">
            <w:pPr>
              <w:rPr>
                <w:rFonts w:ascii="Book Antiqua" w:hAnsi="Book Antiqua" w:cs="Calibri"/>
                <w:color w:val="000000"/>
                <w:sz w:val="16"/>
                <w:szCs w:val="16"/>
                <w:lang w:eastAsia="es-CR"/>
              </w:rPr>
            </w:pPr>
            <w:r w:rsidRPr="005D1CD8">
              <w:rPr>
                <w:rFonts w:ascii="Book Antiqua" w:hAnsi="Book Antiqua" w:cs="Calibri"/>
                <w:color w:val="000000"/>
                <w:sz w:val="16"/>
                <w:szCs w:val="16"/>
                <w:lang w:eastAsia="es-CR"/>
              </w:rPr>
              <w:t>Laboral</w:t>
            </w:r>
          </w:p>
        </w:tc>
        <w:tc>
          <w:tcPr>
            <w:tcW w:w="1200" w:type="dxa"/>
            <w:tcBorders>
              <w:top w:val="nil"/>
              <w:left w:val="nil"/>
              <w:bottom w:val="single" w:sz="4" w:space="0" w:color="auto"/>
              <w:right w:val="single" w:sz="4" w:space="0" w:color="auto"/>
            </w:tcBorders>
            <w:shd w:val="clear" w:color="auto" w:fill="auto"/>
            <w:noWrap/>
            <w:vAlign w:val="center"/>
            <w:hideMark/>
          </w:tcPr>
          <w:p w14:paraId="0C5D6936" w14:textId="77777777" w:rsidR="002952B3" w:rsidRPr="005D1CD8" w:rsidRDefault="002952B3" w:rsidP="00243F14">
            <w:pPr>
              <w:jc w:val="center"/>
              <w:rPr>
                <w:rFonts w:ascii="Book Antiqua" w:hAnsi="Book Antiqua" w:cs="Calibri"/>
                <w:color w:val="000000"/>
                <w:sz w:val="16"/>
                <w:szCs w:val="16"/>
                <w:lang w:eastAsia="es-CR"/>
              </w:rPr>
            </w:pPr>
            <w:r w:rsidRPr="005D1CD8">
              <w:rPr>
                <w:rFonts w:ascii="Book Antiqua" w:hAnsi="Book Antiqua" w:cs="Calibri"/>
                <w:color w:val="000000"/>
                <w:sz w:val="16"/>
                <w:szCs w:val="16"/>
                <w:lang w:eastAsia="es-CR"/>
              </w:rPr>
              <w:t>51973</w:t>
            </w:r>
          </w:p>
        </w:tc>
        <w:tc>
          <w:tcPr>
            <w:tcW w:w="1200" w:type="dxa"/>
            <w:tcBorders>
              <w:top w:val="nil"/>
              <w:left w:val="nil"/>
              <w:bottom w:val="single" w:sz="4" w:space="0" w:color="auto"/>
              <w:right w:val="single" w:sz="4" w:space="0" w:color="auto"/>
            </w:tcBorders>
            <w:shd w:val="clear" w:color="auto" w:fill="auto"/>
            <w:noWrap/>
            <w:vAlign w:val="center"/>
            <w:hideMark/>
          </w:tcPr>
          <w:p w14:paraId="7699E500" w14:textId="77777777" w:rsidR="002952B3" w:rsidRPr="005D1CD8" w:rsidRDefault="002952B3" w:rsidP="00243F14">
            <w:pPr>
              <w:jc w:val="center"/>
              <w:rPr>
                <w:rFonts w:ascii="Book Antiqua" w:hAnsi="Book Antiqua" w:cs="Calibri"/>
                <w:color w:val="000000"/>
                <w:sz w:val="16"/>
                <w:szCs w:val="16"/>
                <w:lang w:eastAsia="es-CR"/>
              </w:rPr>
            </w:pPr>
            <w:r w:rsidRPr="005D1CD8">
              <w:rPr>
                <w:rFonts w:ascii="Book Antiqua" w:hAnsi="Book Antiqua" w:cs="Calibri"/>
                <w:color w:val="000000"/>
                <w:sz w:val="16"/>
                <w:szCs w:val="16"/>
                <w:lang w:eastAsia="es-CR"/>
              </w:rPr>
              <w:t>53587</w:t>
            </w:r>
          </w:p>
        </w:tc>
        <w:tc>
          <w:tcPr>
            <w:tcW w:w="1200" w:type="dxa"/>
            <w:tcBorders>
              <w:top w:val="nil"/>
              <w:left w:val="nil"/>
              <w:bottom w:val="single" w:sz="4" w:space="0" w:color="auto"/>
              <w:right w:val="single" w:sz="4" w:space="0" w:color="auto"/>
            </w:tcBorders>
            <w:shd w:val="clear" w:color="auto" w:fill="auto"/>
            <w:noWrap/>
            <w:vAlign w:val="center"/>
            <w:hideMark/>
          </w:tcPr>
          <w:p w14:paraId="08F32D89" w14:textId="77777777" w:rsidR="002952B3" w:rsidRPr="005D1CD8" w:rsidRDefault="002952B3" w:rsidP="00243F14">
            <w:pPr>
              <w:jc w:val="center"/>
              <w:rPr>
                <w:rFonts w:ascii="Book Antiqua" w:hAnsi="Book Antiqua" w:cs="Calibri"/>
                <w:color w:val="000000"/>
                <w:sz w:val="16"/>
                <w:szCs w:val="16"/>
                <w:lang w:eastAsia="es-CR"/>
              </w:rPr>
            </w:pPr>
            <w:r w:rsidRPr="005D1CD8">
              <w:rPr>
                <w:rFonts w:ascii="Book Antiqua" w:hAnsi="Book Antiqua" w:cs="Calibri"/>
                <w:color w:val="000000"/>
                <w:sz w:val="16"/>
                <w:szCs w:val="16"/>
                <w:lang w:eastAsia="es-CR"/>
              </w:rPr>
              <w:t>54015</w:t>
            </w:r>
          </w:p>
        </w:tc>
        <w:tc>
          <w:tcPr>
            <w:tcW w:w="1200" w:type="dxa"/>
            <w:tcBorders>
              <w:top w:val="nil"/>
              <w:left w:val="nil"/>
              <w:bottom w:val="single" w:sz="4" w:space="0" w:color="auto"/>
              <w:right w:val="single" w:sz="4" w:space="0" w:color="auto"/>
            </w:tcBorders>
            <w:shd w:val="clear" w:color="auto" w:fill="auto"/>
            <w:noWrap/>
            <w:vAlign w:val="center"/>
            <w:hideMark/>
          </w:tcPr>
          <w:p w14:paraId="7426900C" w14:textId="77777777" w:rsidR="002952B3" w:rsidRPr="005D1CD8" w:rsidRDefault="002952B3" w:rsidP="00243F14">
            <w:pPr>
              <w:jc w:val="center"/>
              <w:rPr>
                <w:rFonts w:ascii="Book Antiqua" w:hAnsi="Book Antiqua" w:cs="Calibri"/>
                <w:color w:val="000000"/>
                <w:sz w:val="16"/>
                <w:szCs w:val="16"/>
                <w:lang w:eastAsia="es-CR"/>
              </w:rPr>
            </w:pPr>
            <w:r w:rsidRPr="005D1CD8">
              <w:rPr>
                <w:rFonts w:ascii="Book Antiqua" w:hAnsi="Book Antiqua" w:cs="Calibri"/>
                <w:color w:val="000000"/>
                <w:sz w:val="16"/>
                <w:szCs w:val="16"/>
                <w:lang w:eastAsia="es-CR"/>
              </w:rPr>
              <w:t>3,93%</w:t>
            </w:r>
          </w:p>
        </w:tc>
        <w:tc>
          <w:tcPr>
            <w:tcW w:w="1200" w:type="dxa"/>
            <w:tcBorders>
              <w:top w:val="nil"/>
              <w:left w:val="nil"/>
              <w:bottom w:val="single" w:sz="4" w:space="0" w:color="auto"/>
              <w:right w:val="single" w:sz="4" w:space="0" w:color="auto"/>
            </w:tcBorders>
            <w:shd w:val="clear" w:color="auto" w:fill="auto"/>
            <w:noWrap/>
            <w:vAlign w:val="center"/>
            <w:hideMark/>
          </w:tcPr>
          <w:p w14:paraId="06710DCE" w14:textId="77777777" w:rsidR="002952B3" w:rsidRPr="005D1CD8" w:rsidRDefault="002952B3" w:rsidP="00243F14">
            <w:pPr>
              <w:jc w:val="center"/>
              <w:rPr>
                <w:rFonts w:ascii="Book Antiqua" w:hAnsi="Book Antiqua" w:cs="Calibri"/>
                <w:color w:val="000000"/>
                <w:sz w:val="16"/>
                <w:szCs w:val="16"/>
                <w:lang w:eastAsia="es-CR"/>
              </w:rPr>
            </w:pPr>
            <w:r w:rsidRPr="005D1CD8">
              <w:rPr>
                <w:rFonts w:ascii="Book Antiqua" w:hAnsi="Book Antiqua" w:cs="Calibri"/>
                <w:color w:val="000000"/>
                <w:sz w:val="16"/>
                <w:szCs w:val="16"/>
                <w:lang w:eastAsia="es-CR"/>
              </w:rPr>
              <w:t>0,80%</w:t>
            </w:r>
          </w:p>
        </w:tc>
      </w:tr>
    </w:tbl>
    <w:p w14:paraId="41D35071" w14:textId="77777777" w:rsidR="002952B3" w:rsidRPr="007A4427" w:rsidRDefault="002952B3" w:rsidP="00985591">
      <w:pPr>
        <w:pStyle w:val="Prrafodelista"/>
        <w:shd w:val="clear" w:color="auto" w:fill="FFFFFF" w:themeFill="background1"/>
        <w:spacing w:line="276" w:lineRule="auto"/>
        <w:ind w:left="720"/>
        <w:contextualSpacing/>
        <w:jc w:val="center"/>
        <w:rPr>
          <w:rFonts w:ascii="Book Antiqua" w:hAnsi="Book Antiqua"/>
          <w:b/>
          <w:bCs/>
          <w:lang w:val="es-ES_tradnl"/>
        </w:rPr>
      </w:pPr>
    </w:p>
    <w:p w14:paraId="30AA56F2" w14:textId="77777777" w:rsidR="00756321" w:rsidRPr="004F0E92" w:rsidRDefault="00756321" w:rsidP="00985591">
      <w:pPr>
        <w:spacing w:line="276" w:lineRule="auto"/>
        <w:jc w:val="both"/>
        <w:rPr>
          <w:rFonts w:ascii="Book Antiqua" w:hAnsi="Book Antiqua"/>
        </w:rPr>
      </w:pPr>
    </w:p>
    <w:p w14:paraId="073372B6" w14:textId="2EAE6AAB" w:rsidR="00681785" w:rsidRPr="004F0E92" w:rsidRDefault="00681785" w:rsidP="002952B3">
      <w:pPr>
        <w:spacing w:line="276" w:lineRule="auto"/>
        <w:rPr>
          <w:rFonts w:ascii="Book Antiqua" w:hAnsi="Book Antiqua"/>
          <w:b/>
          <w:bCs/>
        </w:rPr>
      </w:pPr>
      <w:r w:rsidRPr="002952B3">
        <w:rPr>
          <w:rFonts w:ascii="Book Antiqua" w:hAnsi="Book Antiqua"/>
          <w:b/>
          <w:bCs/>
        </w:rPr>
        <w:t>Capítulo II. Análisis estadístico de las audiencias</w:t>
      </w:r>
    </w:p>
    <w:p w14:paraId="360A53FE" w14:textId="77777777" w:rsidR="00681785" w:rsidRPr="004F0E92" w:rsidRDefault="00681785" w:rsidP="002952B3">
      <w:pPr>
        <w:spacing w:line="276" w:lineRule="auto"/>
        <w:jc w:val="both"/>
        <w:rPr>
          <w:rFonts w:ascii="Book Antiqua" w:hAnsi="Book Antiqua"/>
          <w:b/>
          <w:bCs/>
        </w:rPr>
      </w:pPr>
    </w:p>
    <w:p w14:paraId="1C8D8016" w14:textId="0069D5CC" w:rsidR="009F4E2D" w:rsidRPr="002952B3" w:rsidRDefault="00681785" w:rsidP="0073399F">
      <w:pPr>
        <w:pStyle w:val="Prrafodelista"/>
        <w:numPr>
          <w:ilvl w:val="0"/>
          <w:numId w:val="11"/>
        </w:numPr>
        <w:spacing w:after="160" w:line="276" w:lineRule="auto"/>
        <w:contextualSpacing/>
        <w:jc w:val="both"/>
        <w:rPr>
          <w:rFonts w:ascii="Book Antiqua" w:hAnsi="Book Antiqua"/>
        </w:rPr>
      </w:pPr>
      <w:r w:rsidRPr="002952B3">
        <w:rPr>
          <w:rFonts w:ascii="Book Antiqua" w:hAnsi="Book Antiqua"/>
        </w:rPr>
        <w:t xml:space="preserve">La </w:t>
      </w:r>
      <w:r w:rsidR="002952B3" w:rsidRPr="002952B3">
        <w:rPr>
          <w:rFonts w:ascii="Book Antiqua" w:hAnsi="Book Antiqua"/>
        </w:rPr>
        <w:t>efectividad global de audiencias de enero a setiembre de 2021 es de un 6.43%, el cual crece un 10%, en relación con el 2020.</w:t>
      </w:r>
    </w:p>
    <w:p w14:paraId="32C96B9C" w14:textId="77777777" w:rsidR="009F4E2D" w:rsidRPr="002952B3" w:rsidRDefault="009F4E2D" w:rsidP="002952B3">
      <w:pPr>
        <w:pStyle w:val="Prrafodelista"/>
        <w:spacing w:after="160" w:line="276" w:lineRule="auto"/>
        <w:ind w:left="720"/>
        <w:contextualSpacing/>
        <w:jc w:val="both"/>
        <w:rPr>
          <w:rFonts w:ascii="Book Antiqua" w:hAnsi="Book Antiqua"/>
        </w:rPr>
      </w:pPr>
    </w:p>
    <w:p w14:paraId="14C01AF8" w14:textId="44AB9857" w:rsidR="00AC4A95" w:rsidRPr="002952B3" w:rsidRDefault="009F4E2D" w:rsidP="0073399F">
      <w:pPr>
        <w:pStyle w:val="Prrafodelista"/>
        <w:numPr>
          <w:ilvl w:val="0"/>
          <w:numId w:val="11"/>
        </w:numPr>
        <w:spacing w:after="160" w:line="276" w:lineRule="auto"/>
        <w:contextualSpacing/>
        <w:jc w:val="both"/>
        <w:rPr>
          <w:rFonts w:ascii="Book Antiqua" w:hAnsi="Book Antiqua"/>
        </w:rPr>
      </w:pPr>
      <w:r w:rsidRPr="002952B3">
        <w:rPr>
          <w:rFonts w:ascii="Book Antiqua" w:hAnsi="Book Antiqua"/>
        </w:rPr>
        <w:t xml:space="preserve">A pesar </w:t>
      </w:r>
      <w:r w:rsidR="002952B3" w:rsidRPr="002952B3">
        <w:rPr>
          <w:rFonts w:ascii="Book Antiqua" w:hAnsi="Book Antiqua"/>
        </w:rPr>
        <w:t>de las diversas políticas sanitarias emitidas por el Ministerio de Salud a toda la población costarricense; las cuales, han sido más restrictivas, se logró incrementar en setiembre de 2021, la cantidad de diligencias realizadas en un 31.91% (aumento de 2974 audiencias) en relación con enero de ese año.</w:t>
      </w:r>
    </w:p>
    <w:p w14:paraId="4D51F446" w14:textId="77777777" w:rsidR="002952B3" w:rsidRPr="002952B3" w:rsidRDefault="002952B3" w:rsidP="002952B3">
      <w:pPr>
        <w:pStyle w:val="Prrafodelista"/>
        <w:spacing w:line="276" w:lineRule="auto"/>
        <w:jc w:val="both"/>
        <w:rPr>
          <w:rFonts w:ascii="Book Antiqua" w:hAnsi="Book Antiqua"/>
        </w:rPr>
      </w:pPr>
    </w:p>
    <w:p w14:paraId="06001C7F" w14:textId="77777777" w:rsidR="002952B3" w:rsidRPr="002952B3" w:rsidRDefault="002952B3" w:rsidP="002952B3">
      <w:pPr>
        <w:pStyle w:val="Prrafodelista"/>
        <w:spacing w:after="160" w:line="276" w:lineRule="auto"/>
        <w:ind w:left="720"/>
        <w:contextualSpacing/>
        <w:jc w:val="both"/>
        <w:rPr>
          <w:rFonts w:ascii="Book Antiqua" w:hAnsi="Book Antiqua"/>
        </w:rPr>
      </w:pPr>
    </w:p>
    <w:p w14:paraId="66DA3317" w14:textId="764610AE" w:rsidR="003145C2" w:rsidRPr="002952B3" w:rsidRDefault="00681785" w:rsidP="0073399F">
      <w:pPr>
        <w:pStyle w:val="Prrafodelista"/>
        <w:numPr>
          <w:ilvl w:val="0"/>
          <w:numId w:val="11"/>
        </w:numPr>
        <w:spacing w:after="160" w:line="276" w:lineRule="auto"/>
        <w:contextualSpacing/>
        <w:jc w:val="both"/>
        <w:rPr>
          <w:rFonts w:ascii="Book Antiqua" w:hAnsi="Book Antiqua"/>
        </w:rPr>
      </w:pPr>
      <w:r w:rsidRPr="002952B3">
        <w:rPr>
          <w:rFonts w:ascii="Book Antiqua" w:hAnsi="Book Antiqua"/>
        </w:rPr>
        <w:t xml:space="preserve">La </w:t>
      </w:r>
      <w:r w:rsidR="002952B3" w:rsidRPr="002952B3">
        <w:rPr>
          <w:rFonts w:ascii="Book Antiqua" w:hAnsi="Book Antiqua"/>
        </w:rPr>
        <w:t>tasa más alta de efectividad de audiencias en el 2021 se alcanza con un 79% en flagrancia, un 77% en ejecución de la pena y un 71% en el juzgado penal.</w:t>
      </w:r>
    </w:p>
    <w:p w14:paraId="78FAC849" w14:textId="77777777" w:rsidR="002952B3" w:rsidRPr="002952B3" w:rsidRDefault="002952B3" w:rsidP="002952B3">
      <w:pPr>
        <w:pStyle w:val="Prrafodelista"/>
        <w:spacing w:after="160" w:line="276" w:lineRule="auto"/>
        <w:ind w:left="720"/>
        <w:contextualSpacing/>
        <w:jc w:val="both"/>
        <w:rPr>
          <w:rFonts w:ascii="Book Antiqua" w:hAnsi="Book Antiqua"/>
        </w:rPr>
      </w:pPr>
    </w:p>
    <w:p w14:paraId="5BA97490" w14:textId="154EFB1A" w:rsidR="002952B3" w:rsidRPr="002952B3" w:rsidRDefault="00681785" w:rsidP="0073399F">
      <w:pPr>
        <w:pStyle w:val="Prrafodelista"/>
        <w:numPr>
          <w:ilvl w:val="0"/>
          <w:numId w:val="11"/>
        </w:numPr>
        <w:spacing w:after="160" w:line="276" w:lineRule="auto"/>
        <w:contextualSpacing/>
        <w:jc w:val="both"/>
        <w:rPr>
          <w:rFonts w:ascii="Book Antiqua" w:hAnsi="Book Antiqua"/>
        </w:rPr>
      </w:pPr>
      <w:r w:rsidRPr="002952B3">
        <w:rPr>
          <w:rFonts w:ascii="Book Antiqua" w:hAnsi="Book Antiqua"/>
        </w:rPr>
        <w:t xml:space="preserve">A </w:t>
      </w:r>
      <w:r w:rsidR="002952B3" w:rsidRPr="002952B3">
        <w:rPr>
          <w:rFonts w:ascii="Book Antiqua" w:hAnsi="Book Antiqua"/>
        </w:rPr>
        <w:t>nivel global según datos extraídos de Sigma el 20% de las audiencias realizadas en el 2021 fue reportado con la categoría de videoconferencia.</w:t>
      </w:r>
    </w:p>
    <w:p w14:paraId="35F13C38" w14:textId="77777777" w:rsidR="002952B3" w:rsidRPr="002952B3" w:rsidRDefault="002952B3" w:rsidP="002952B3">
      <w:pPr>
        <w:pStyle w:val="Prrafodelista"/>
        <w:spacing w:line="276" w:lineRule="auto"/>
        <w:jc w:val="both"/>
        <w:rPr>
          <w:rFonts w:ascii="Book Antiqua" w:hAnsi="Book Antiqua"/>
        </w:rPr>
      </w:pPr>
    </w:p>
    <w:p w14:paraId="1203C6E0" w14:textId="77777777" w:rsidR="002952B3" w:rsidRPr="002952B3" w:rsidRDefault="002952B3" w:rsidP="002952B3">
      <w:pPr>
        <w:pStyle w:val="Prrafodelista"/>
        <w:spacing w:after="160" w:line="276" w:lineRule="auto"/>
        <w:ind w:left="720"/>
        <w:contextualSpacing/>
        <w:jc w:val="both"/>
        <w:rPr>
          <w:rFonts w:ascii="Book Antiqua" w:hAnsi="Book Antiqua"/>
        </w:rPr>
      </w:pPr>
    </w:p>
    <w:p w14:paraId="52EB6649" w14:textId="4883AA2C" w:rsidR="00681785" w:rsidRPr="002952B3" w:rsidRDefault="00C47455" w:rsidP="0073399F">
      <w:pPr>
        <w:pStyle w:val="Prrafodelista"/>
        <w:numPr>
          <w:ilvl w:val="0"/>
          <w:numId w:val="11"/>
        </w:numPr>
        <w:spacing w:after="160" w:line="276" w:lineRule="auto"/>
        <w:contextualSpacing/>
        <w:jc w:val="both"/>
        <w:rPr>
          <w:rFonts w:ascii="Book Antiqua" w:hAnsi="Book Antiqua"/>
        </w:rPr>
      </w:pPr>
      <w:r w:rsidRPr="002952B3">
        <w:rPr>
          <w:rFonts w:ascii="Book Antiqua" w:hAnsi="Book Antiqua"/>
        </w:rPr>
        <w:t xml:space="preserve"> La </w:t>
      </w:r>
      <w:r w:rsidR="002952B3" w:rsidRPr="002952B3">
        <w:rPr>
          <w:rFonts w:ascii="Book Antiqua" w:hAnsi="Book Antiqua"/>
        </w:rPr>
        <w:t>materia que registra la mayor cantidad de audiencias realizadas por videoconferencia son los despachos de la materia laboral, con 7350. Caso contario, los que muestran menor uso de dicha modalidad son los despachos de tránsito con 56 diligencias.</w:t>
      </w:r>
    </w:p>
    <w:p w14:paraId="7E244487" w14:textId="77777777" w:rsidR="004C5CBE" w:rsidRDefault="004C5CBE" w:rsidP="004C5CBE">
      <w:pPr>
        <w:pStyle w:val="Prrafodelista"/>
        <w:spacing w:after="160" w:line="276" w:lineRule="auto"/>
        <w:ind w:left="720"/>
        <w:contextualSpacing/>
        <w:jc w:val="both"/>
        <w:rPr>
          <w:rFonts w:ascii="Book Antiqua" w:hAnsi="Book Antiqua"/>
        </w:rPr>
      </w:pPr>
    </w:p>
    <w:p w14:paraId="6AA05083" w14:textId="6F03B443" w:rsidR="004C5CBE" w:rsidRPr="006F775A" w:rsidRDefault="004C5CBE" w:rsidP="0073399F">
      <w:pPr>
        <w:pStyle w:val="Prrafodelista"/>
        <w:numPr>
          <w:ilvl w:val="0"/>
          <w:numId w:val="11"/>
        </w:numPr>
        <w:spacing w:after="160" w:line="276" w:lineRule="auto"/>
        <w:contextualSpacing/>
        <w:jc w:val="both"/>
        <w:rPr>
          <w:rFonts w:ascii="Book Antiqua" w:hAnsi="Book Antiqua"/>
        </w:rPr>
      </w:pPr>
      <w:r w:rsidRPr="006F775A">
        <w:rPr>
          <w:rFonts w:ascii="Book Antiqua" w:hAnsi="Book Antiqua"/>
        </w:rPr>
        <w:t>La materia de Agrario es la que posee la efectividad más baja con menos de un 50%,</w:t>
      </w:r>
      <w:r w:rsidR="002112B5" w:rsidRPr="006F775A">
        <w:rPr>
          <w:rFonts w:ascii="Book Antiqua" w:hAnsi="Book Antiqua"/>
        </w:rPr>
        <w:t xml:space="preserve"> posiblemente y razonado en que se debe privilegiar la presencialidad en la </w:t>
      </w:r>
      <w:proofErr w:type="gramStart"/>
      <w:r w:rsidR="002112B5" w:rsidRPr="006F775A">
        <w:rPr>
          <w:rFonts w:ascii="Book Antiqua" w:hAnsi="Book Antiqua"/>
        </w:rPr>
        <w:t xml:space="preserve">materia, </w:t>
      </w:r>
      <w:r w:rsidRPr="006F775A">
        <w:rPr>
          <w:rFonts w:ascii="Book Antiqua" w:hAnsi="Book Antiqua"/>
        </w:rPr>
        <w:t xml:space="preserve"> mientras</w:t>
      </w:r>
      <w:proofErr w:type="gramEnd"/>
      <w:r w:rsidRPr="006F775A">
        <w:rPr>
          <w:rFonts w:ascii="Book Antiqua" w:hAnsi="Book Antiqua"/>
        </w:rPr>
        <w:t xml:space="preserve"> que </w:t>
      </w:r>
      <w:r w:rsidR="002112B5" w:rsidRPr="006F775A">
        <w:rPr>
          <w:rFonts w:ascii="Book Antiqua" w:hAnsi="Book Antiqua"/>
        </w:rPr>
        <w:t xml:space="preserve">la materia de </w:t>
      </w:r>
      <w:r w:rsidRPr="006F775A">
        <w:rPr>
          <w:rFonts w:ascii="Book Antiqua" w:hAnsi="Book Antiqua"/>
        </w:rPr>
        <w:t xml:space="preserve">Tránsito se ha visto impactado por la disminución en la entrada y al </w:t>
      </w:r>
      <w:r w:rsidR="002112B5" w:rsidRPr="006F775A">
        <w:rPr>
          <w:rFonts w:ascii="Book Antiqua" w:hAnsi="Book Antiqua"/>
        </w:rPr>
        <w:t>contarse con</w:t>
      </w:r>
      <w:r w:rsidRPr="006F775A">
        <w:rPr>
          <w:rFonts w:ascii="Book Antiqua" w:hAnsi="Book Antiqua"/>
        </w:rPr>
        <w:t xml:space="preserve"> menos audiencias baja</w:t>
      </w:r>
      <w:r w:rsidR="002112B5" w:rsidRPr="006F775A">
        <w:rPr>
          <w:rFonts w:ascii="Book Antiqua" w:hAnsi="Book Antiqua"/>
        </w:rPr>
        <w:t xml:space="preserve"> porcentualmente</w:t>
      </w:r>
      <w:r w:rsidRPr="006F775A">
        <w:rPr>
          <w:rFonts w:ascii="Book Antiqua" w:hAnsi="Book Antiqua"/>
        </w:rPr>
        <w:t xml:space="preserve"> más significativamente la efectividad.</w:t>
      </w:r>
    </w:p>
    <w:p w14:paraId="51B875E5" w14:textId="65E09264" w:rsidR="003145C2" w:rsidRDefault="003145C2" w:rsidP="00985591">
      <w:pPr>
        <w:pStyle w:val="Prrafodelista"/>
        <w:spacing w:line="276" w:lineRule="auto"/>
        <w:rPr>
          <w:rFonts w:ascii="Book Antiqua" w:hAnsi="Book Antiqua"/>
        </w:rPr>
      </w:pPr>
    </w:p>
    <w:p w14:paraId="735CF645" w14:textId="77777777" w:rsidR="004162FF" w:rsidRDefault="004162FF" w:rsidP="00985591">
      <w:pPr>
        <w:pStyle w:val="Prrafodelista"/>
        <w:spacing w:line="276" w:lineRule="auto"/>
        <w:rPr>
          <w:rFonts w:ascii="Book Antiqua" w:hAnsi="Book Antiqua"/>
        </w:rPr>
      </w:pPr>
    </w:p>
    <w:p w14:paraId="04B97EBB" w14:textId="48FE2470" w:rsidR="00AE4241" w:rsidRPr="00F67201" w:rsidRDefault="00AE4241" w:rsidP="006F775A">
      <w:pPr>
        <w:rPr>
          <w:rFonts w:ascii="Book Antiqua" w:hAnsi="Book Antiqua"/>
          <w:b/>
          <w:bCs/>
        </w:rPr>
      </w:pPr>
      <w:r w:rsidRPr="002952B3">
        <w:rPr>
          <w:rFonts w:ascii="Book Antiqua" w:hAnsi="Book Antiqua"/>
          <w:b/>
          <w:bCs/>
        </w:rPr>
        <w:t>C</w:t>
      </w:r>
      <w:r w:rsidR="00F67201" w:rsidRPr="002952B3">
        <w:rPr>
          <w:rFonts w:ascii="Book Antiqua" w:hAnsi="Book Antiqua"/>
          <w:b/>
          <w:bCs/>
        </w:rPr>
        <w:t>apítulo</w:t>
      </w:r>
      <w:r w:rsidRPr="002952B3">
        <w:rPr>
          <w:rFonts w:ascii="Book Antiqua" w:hAnsi="Book Antiqua"/>
          <w:b/>
          <w:bCs/>
        </w:rPr>
        <w:t xml:space="preserve"> II</w:t>
      </w:r>
      <w:r w:rsidR="004162FF" w:rsidRPr="002952B3">
        <w:rPr>
          <w:rFonts w:ascii="Book Antiqua" w:hAnsi="Book Antiqua"/>
          <w:b/>
          <w:bCs/>
        </w:rPr>
        <w:t>I. Comportamiento del balance general por oficina de la materia penal</w:t>
      </w:r>
      <w:r w:rsidR="004162FF" w:rsidRPr="00F67201">
        <w:rPr>
          <w:rFonts w:ascii="Book Antiqua" w:hAnsi="Book Antiqua"/>
          <w:b/>
          <w:bCs/>
        </w:rPr>
        <w:t xml:space="preserve"> </w:t>
      </w:r>
    </w:p>
    <w:p w14:paraId="0239838D" w14:textId="77777777" w:rsidR="003F70C8" w:rsidRDefault="003F70C8" w:rsidP="00985591">
      <w:pPr>
        <w:spacing w:line="276" w:lineRule="auto"/>
        <w:jc w:val="both"/>
        <w:rPr>
          <w:rFonts w:ascii="Book Antiqua" w:hAnsi="Book Antiqua"/>
        </w:rPr>
      </w:pPr>
    </w:p>
    <w:p w14:paraId="34502FAB" w14:textId="6F170E96" w:rsidR="003F70C8" w:rsidRPr="00061BC9" w:rsidRDefault="003F70C8" w:rsidP="00985591">
      <w:pPr>
        <w:spacing w:line="276" w:lineRule="auto"/>
        <w:ind w:firstLine="360"/>
        <w:jc w:val="both"/>
        <w:rPr>
          <w:rFonts w:ascii="Book Antiqua" w:hAnsi="Book Antiqua"/>
          <w:b/>
          <w:bCs/>
          <w:i/>
          <w:iCs/>
        </w:rPr>
      </w:pPr>
      <w:r w:rsidRPr="00061BC9">
        <w:rPr>
          <w:rFonts w:ascii="Book Antiqua" w:hAnsi="Book Antiqua"/>
          <w:b/>
          <w:bCs/>
          <w:i/>
          <w:iCs/>
        </w:rPr>
        <w:t>Juzgados Penales</w:t>
      </w:r>
    </w:p>
    <w:p w14:paraId="62978AEC" w14:textId="77777777" w:rsidR="003F70C8" w:rsidRPr="00061BC9" w:rsidRDefault="003F70C8" w:rsidP="00985591">
      <w:pPr>
        <w:spacing w:line="276" w:lineRule="auto"/>
        <w:ind w:firstLine="360"/>
        <w:jc w:val="both"/>
        <w:rPr>
          <w:rFonts w:ascii="Book Antiqua" w:hAnsi="Book Antiqua"/>
        </w:rPr>
      </w:pPr>
    </w:p>
    <w:p w14:paraId="6FA22E5B" w14:textId="38A83E8E" w:rsidR="003F70C8" w:rsidRPr="00061BC9" w:rsidRDefault="003F70C8" w:rsidP="0073399F">
      <w:pPr>
        <w:pStyle w:val="Prrafodelista"/>
        <w:numPr>
          <w:ilvl w:val="0"/>
          <w:numId w:val="11"/>
        </w:numPr>
        <w:spacing w:line="276" w:lineRule="auto"/>
        <w:jc w:val="both"/>
        <w:rPr>
          <w:rFonts w:ascii="Book Antiqua" w:hAnsi="Book Antiqua"/>
        </w:rPr>
      </w:pPr>
      <w:r w:rsidRPr="00061BC9">
        <w:rPr>
          <w:rFonts w:ascii="Book Antiqua" w:hAnsi="Book Antiqua"/>
        </w:rPr>
        <w:t>De</w:t>
      </w:r>
      <w:r w:rsidR="00CA2323" w:rsidRPr="00061BC9">
        <w:rPr>
          <w:rFonts w:ascii="Book Antiqua" w:hAnsi="Book Antiqua"/>
        </w:rPr>
        <w:t xml:space="preserve"> la entrada de asuntos nuevos, se logra determinar un impacto en cuanto al decrecimiento de esta variable, propiamente se evidencia una disminución general del 7.88% en comparación con el 2019 y 0.91% con respecto al 2020.</w:t>
      </w:r>
    </w:p>
    <w:p w14:paraId="2974A6CA" w14:textId="77777777" w:rsidR="00CA2323" w:rsidRPr="00061BC9" w:rsidRDefault="00CA2323" w:rsidP="00CA2323">
      <w:pPr>
        <w:pStyle w:val="Prrafodelista"/>
        <w:spacing w:line="276" w:lineRule="auto"/>
        <w:ind w:left="720"/>
        <w:jc w:val="both"/>
        <w:rPr>
          <w:rFonts w:ascii="Book Antiqua" w:hAnsi="Book Antiqua"/>
        </w:rPr>
      </w:pPr>
    </w:p>
    <w:p w14:paraId="4D5FBB05" w14:textId="359A64E9" w:rsidR="00CA2323" w:rsidRPr="00061BC9" w:rsidRDefault="003F70C8" w:rsidP="0073399F">
      <w:pPr>
        <w:pStyle w:val="Prrafodelista"/>
        <w:numPr>
          <w:ilvl w:val="0"/>
          <w:numId w:val="11"/>
        </w:numPr>
        <w:spacing w:line="276" w:lineRule="auto"/>
        <w:jc w:val="both"/>
        <w:rPr>
          <w:rFonts w:ascii="Book Antiqua" w:hAnsi="Book Antiqua"/>
        </w:rPr>
      </w:pPr>
      <w:r w:rsidRPr="00061BC9">
        <w:rPr>
          <w:rFonts w:ascii="Book Antiqua" w:hAnsi="Book Antiqua"/>
        </w:rPr>
        <w:t xml:space="preserve">El </w:t>
      </w:r>
      <w:r w:rsidR="00061BC9" w:rsidRPr="00061BC9">
        <w:rPr>
          <w:rFonts w:ascii="Book Antiqua" w:hAnsi="Book Antiqua"/>
        </w:rPr>
        <w:t>J</w:t>
      </w:r>
      <w:r w:rsidR="00CA2323" w:rsidRPr="00061BC9">
        <w:rPr>
          <w:rFonts w:ascii="Book Antiqua" w:hAnsi="Book Antiqua"/>
        </w:rPr>
        <w:t>uzgado Penal de Cóbano tuvo el mayor incremento en la cantidad de asuntos nuevos con un 48.98%. El Juzgado Penal de Buenos Aires es la oficina que presentó la mayor disminución en la cantidad de asuntos nuevos con un 57.63%. Lo anterior, en relación con el 2019.</w:t>
      </w:r>
    </w:p>
    <w:p w14:paraId="26B04DFA" w14:textId="77777777" w:rsidR="003F70C8" w:rsidRPr="00061BC9" w:rsidRDefault="003F70C8" w:rsidP="00061BC9">
      <w:pPr>
        <w:pStyle w:val="Prrafodelista"/>
        <w:spacing w:line="276" w:lineRule="auto"/>
        <w:ind w:left="720"/>
        <w:jc w:val="both"/>
        <w:rPr>
          <w:rFonts w:ascii="Book Antiqua" w:hAnsi="Book Antiqua"/>
        </w:rPr>
      </w:pPr>
    </w:p>
    <w:p w14:paraId="0A174F37" w14:textId="77777777" w:rsidR="00061BC9" w:rsidRPr="00061BC9" w:rsidRDefault="003F70C8" w:rsidP="0073399F">
      <w:pPr>
        <w:pStyle w:val="Prrafodelista"/>
        <w:numPr>
          <w:ilvl w:val="0"/>
          <w:numId w:val="11"/>
        </w:numPr>
        <w:spacing w:line="276" w:lineRule="auto"/>
        <w:jc w:val="both"/>
        <w:rPr>
          <w:rFonts w:ascii="Book Antiqua" w:hAnsi="Book Antiqua"/>
        </w:rPr>
      </w:pPr>
      <w:r w:rsidRPr="00061BC9">
        <w:rPr>
          <w:rFonts w:ascii="Book Antiqua" w:hAnsi="Book Antiqua"/>
        </w:rPr>
        <w:t xml:space="preserve">Del </w:t>
      </w:r>
      <w:r w:rsidR="00061BC9" w:rsidRPr="00061BC9">
        <w:rPr>
          <w:rFonts w:ascii="Book Antiqua" w:hAnsi="Book Antiqua"/>
        </w:rPr>
        <w:t>análisis de los asuntos finalizados se obtuvo a nivel general, una leve disminución del 1.21% contra el 2019, no obstante, un alza del 9.40% versus el año 2020. En comparación con esos periodos, el Juzgado Penal de Osa es el que presenta el mayor incremento en la cantidad de asuntos finalizados con un 49.98% y 166.10% respectivamente. Caso contrario, el Juzgado Penal de Buenos Aires es la oficina que tuvo la mayor disminución en la presente variable con un 62.38% y 54.79%</w:t>
      </w:r>
    </w:p>
    <w:p w14:paraId="020814B0" w14:textId="77777777" w:rsidR="003F70C8" w:rsidRPr="00061BC9" w:rsidRDefault="003F70C8" w:rsidP="00985591">
      <w:pPr>
        <w:spacing w:line="276" w:lineRule="auto"/>
        <w:jc w:val="both"/>
        <w:rPr>
          <w:rFonts w:ascii="Book Antiqua" w:hAnsi="Book Antiqua"/>
        </w:rPr>
      </w:pPr>
    </w:p>
    <w:p w14:paraId="784B20B1" w14:textId="6886DD6F" w:rsidR="003F70C8" w:rsidRPr="00061BC9" w:rsidRDefault="003F70C8" w:rsidP="0073399F">
      <w:pPr>
        <w:pStyle w:val="Prrafodelista"/>
        <w:numPr>
          <w:ilvl w:val="0"/>
          <w:numId w:val="11"/>
        </w:numPr>
        <w:spacing w:line="276" w:lineRule="auto"/>
        <w:jc w:val="both"/>
        <w:rPr>
          <w:rFonts w:ascii="Book Antiqua" w:hAnsi="Book Antiqua"/>
        </w:rPr>
      </w:pPr>
      <w:r w:rsidRPr="00061BC9">
        <w:rPr>
          <w:rFonts w:ascii="Book Antiqua" w:hAnsi="Book Antiqua"/>
        </w:rPr>
        <w:t xml:space="preserve">Del </w:t>
      </w:r>
      <w:r w:rsidR="00061BC9" w:rsidRPr="00061BC9">
        <w:rPr>
          <w:rFonts w:ascii="Book Antiqua" w:hAnsi="Book Antiqua"/>
        </w:rPr>
        <w:t>análisis del circulante en trámite se determina una disminución en relación con los dos periodos de comparación; 8.29% y 25.13% respectivamente.</w:t>
      </w:r>
    </w:p>
    <w:p w14:paraId="1DFA4EDE" w14:textId="5BAB9F7D" w:rsidR="003F70C8" w:rsidRPr="00061BC9" w:rsidRDefault="003F70C8" w:rsidP="00061BC9">
      <w:pPr>
        <w:spacing w:line="276" w:lineRule="auto"/>
        <w:jc w:val="both"/>
        <w:rPr>
          <w:rFonts w:ascii="Book Antiqua" w:hAnsi="Book Antiqua"/>
        </w:rPr>
      </w:pPr>
    </w:p>
    <w:p w14:paraId="74EA3FC1" w14:textId="01430C49" w:rsidR="008633A0" w:rsidRPr="00061BC9" w:rsidRDefault="008633A0" w:rsidP="00985591">
      <w:pPr>
        <w:spacing w:line="276" w:lineRule="auto"/>
        <w:ind w:firstLine="360"/>
        <w:jc w:val="both"/>
        <w:rPr>
          <w:rFonts w:ascii="Book Antiqua" w:hAnsi="Book Antiqua"/>
          <w:b/>
          <w:bCs/>
          <w:i/>
          <w:iCs/>
        </w:rPr>
      </w:pPr>
      <w:r w:rsidRPr="00061BC9">
        <w:rPr>
          <w:rFonts w:ascii="Book Antiqua" w:hAnsi="Book Antiqua"/>
          <w:b/>
          <w:bCs/>
          <w:i/>
          <w:iCs/>
        </w:rPr>
        <w:t>Tribunales Penales</w:t>
      </w:r>
    </w:p>
    <w:p w14:paraId="621258EC" w14:textId="043AFD74" w:rsidR="008633A0" w:rsidRPr="00061BC9" w:rsidRDefault="008633A0" w:rsidP="00985591">
      <w:pPr>
        <w:spacing w:line="276" w:lineRule="auto"/>
        <w:ind w:left="360"/>
        <w:jc w:val="both"/>
        <w:rPr>
          <w:rFonts w:ascii="Book Antiqua" w:hAnsi="Book Antiqua"/>
        </w:rPr>
      </w:pPr>
    </w:p>
    <w:p w14:paraId="6619EFB4" w14:textId="2A14DC2A" w:rsidR="008633A0" w:rsidRPr="00061BC9" w:rsidRDefault="008633A0" w:rsidP="0073399F">
      <w:pPr>
        <w:pStyle w:val="Prrafodelista"/>
        <w:numPr>
          <w:ilvl w:val="0"/>
          <w:numId w:val="11"/>
        </w:numPr>
        <w:spacing w:line="276" w:lineRule="auto"/>
        <w:jc w:val="both"/>
        <w:rPr>
          <w:rFonts w:ascii="Book Antiqua" w:hAnsi="Book Antiqua"/>
        </w:rPr>
      </w:pPr>
      <w:r w:rsidRPr="00061BC9">
        <w:rPr>
          <w:rFonts w:ascii="Book Antiqua" w:hAnsi="Book Antiqua"/>
        </w:rPr>
        <w:t xml:space="preserve">En </w:t>
      </w:r>
      <w:r w:rsidR="00061BC9" w:rsidRPr="00061BC9">
        <w:rPr>
          <w:rFonts w:ascii="Book Antiqua" w:hAnsi="Book Antiqua"/>
        </w:rPr>
        <w:t xml:space="preserve">lo que concierta a la variable de asuntos nuevos, se destaca que </w:t>
      </w:r>
      <w:r w:rsidR="00061BC9" w:rsidRPr="00061BC9">
        <w:rPr>
          <w:rFonts w:ascii="Book Antiqua" w:hAnsi="Book Antiqua" w:cs="Arial"/>
        </w:rPr>
        <w:t>para el período 2021 el despacho que refleja la entrada más alta es el Tribunal Penal de Alajuela con un promedio mensual 166 asuntos, en segundo lugar, está el Tribunal Penal de Cartago con 118 asuntos, y luego Limón con 115 asuntos mensuales.</w:t>
      </w:r>
    </w:p>
    <w:p w14:paraId="7A58FBE0" w14:textId="77777777" w:rsidR="008633A0" w:rsidRPr="00061BC9" w:rsidRDefault="008633A0" w:rsidP="00985591">
      <w:pPr>
        <w:pStyle w:val="Prrafodelista"/>
        <w:spacing w:line="276" w:lineRule="auto"/>
        <w:ind w:left="720"/>
        <w:jc w:val="both"/>
        <w:rPr>
          <w:rFonts w:ascii="Book Antiqua" w:hAnsi="Book Antiqua"/>
        </w:rPr>
      </w:pPr>
    </w:p>
    <w:p w14:paraId="1D31F07D" w14:textId="46E2E971" w:rsidR="008633A0" w:rsidRPr="00061BC9" w:rsidRDefault="008633A0" w:rsidP="0073399F">
      <w:pPr>
        <w:pStyle w:val="Prrafodelista"/>
        <w:numPr>
          <w:ilvl w:val="0"/>
          <w:numId w:val="11"/>
        </w:numPr>
        <w:spacing w:line="276" w:lineRule="auto"/>
        <w:jc w:val="both"/>
        <w:rPr>
          <w:rFonts w:ascii="Book Antiqua" w:hAnsi="Book Antiqua"/>
        </w:rPr>
      </w:pPr>
      <w:r w:rsidRPr="00061BC9">
        <w:rPr>
          <w:rFonts w:ascii="Book Antiqua" w:hAnsi="Book Antiqua"/>
        </w:rPr>
        <w:t xml:space="preserve">Los </w:t>
      </w:r>
      <w:r w:rsidR="00061BC9" w:rsidRPr="00061BC9">
        <w:rPr>
          <w:rFonts w:ascii="Book Antiqua" w:hAnsi="Book Antiqua"/>
        </w:rPr>
        <w:t xml:space="preserve">despachos que muestran una mayor cantidad del promedio de asuntos culminados para el 2021 son el </w:t>
      </w:r>
      <w:r w:rsidR="00061BC9" w:rsidRPr="00061BC9">
        <w:rPr>
          <w:rFonts w:ascii="Book Antiqua" w:hAnsi="Book Antiqua" w:cs="Arial"/>
        </w:rPr>
        <w:t>Tribunal Penal de San José con un promedio mensual 104 asuntos, en segundo lugar, está el Tribunal Penal de Pavas con 96 asuntos y Limón con 88 asuntos mensuales.</w:t>
      </w:r>
    </w:p>
    <w:p w14:paraId="69724E83" w14:textId="77777777" w:rsidR="008633A0" w:rsidRPr="00061BC9" w:rsidRDefault="008633A0" w:rsidP="00985591">
      <w:pPr>
        <w:spacing w:line="276" w:lineRule="auto"/>
        <w:jc w:val="both"/>
        <w:rPr>
          <w:rFonts w:ascii="Book Antiqua" w:hAnsi="Book Antiqua"/>
        </w:rPr>
      </w:pPr>
    </w:p>
    <w:p w14:paraId="37251F77" w14:textId="162AB064" w:rsidR="008633A0" w:rsidRPr="00061BC9" w:rsidRDefault="00061BC9" w:rsidP="0073399F">
      <w:pPr>
        <w:pStyle w:val="Prrafodelista"/>
        <w:numPr>
          <w:ilvl w:val="0"/>
          <w:numId w:val="11"/>
        </w:numPr>
        <w:spacing w:line="276" w:lineRule="auto"/>
        <w:jc w:val="both"/>
        <w:rPr>
          <w:rFonts w:ascii="Book Antiqua" w:hAnsi="Book Antiqua"/>
        </w:rPr>
      </w:pPr>
      <w:r w:rsidRPr="00061BC9">
        <w:rPr>
          <w:rFonts w:ascii="Book Antiqua" w:hAnsi="Book Antiqua" w:cs="Arial"/>
        </w:rPr>
        <w:t>En</w:t>
      </w:r>
      <w:r w:rsidR="00597B06" w:rsidRPr="00061BC9">
        <w:rPr>
          <w:rFonts w:ascii="Book Antiqua" w:hAnsi="Book Antiqua" w:cs="Arial"/>
        </w:rPr>
        <w:t xml:space="preserve"> </w:t>
      </w:r>
      <w:r w:rsidRPr="00061BC9">
        <w:rPr>
          <w:rFonts w:ascii="Book Antiqua" w:hAnsi="Book Antiqua" w:cs="Arial"/>
        </w:rPr>
        <w:t>cuanto al cálculo de porcentaje de aumento y disminución del circulante en trámite, se obtiene que los tres despachos que reflejan mayor incremento en relación con el periodo previo a la emergencia nacional son San Carlos que asciende en 379 casos (118.81%), Pérez Zeledón aumenta en 181 registros (102.26%) y Alajuela en 1256 expedientes (99.92%).</w:t>
      </w:r>
    </w:p>
    <w:p w14:paraId="01678ED9" w14:textId="77777777" w:rsidR="00F733EE" w:rsidRPr="00061BC9" w:rsidRDefault="00F733EE" w:rsidP="00985591">
      <w:pPr>
        <w:spacing w:line="276" w:lineRule="auto"/>
        <w:jc w:val="both"/>
        <w:rPr>
          <w:rFonts w:ascii="Book Antiqua" w:hAnsi="Book Antiqua"/>
        </w:rPr>
      </w:pPr>
    </w:p>
    <w:p w14:paraId="34C17239" w14:textId="082FA83F" w:rsidR="00F733EE" w:rsidRPr="00061BC9" w:rsidRDefault="00F733EE" w:rsidP="00985591">
      <w:pPr>
        <w:spacing w:line="276" w:lineRule="auto"/>
        <w:jc w:val="both"/>
        <w:rPr>
          <w:rFonts w:ascii="Book Antiqua" w:hAnsi="Book Antiqua"/>
          <w:b/>
          <w:bCs/>
          <w:i/>
          <w:iCs/>
        </w:rPr>
      </w:pPr>
      <w:r w:rsidRPr="00061BC9">
        <w:rPr>
          <w:rFonts w:ascii="Book Antiqua" w:hAnsi="Book Antiqua"/>
          <w:b/>
          <w:bCs/>
          <w:i/>
          <w:iCs/>
        </w:rPr>
        <w:t>Tribunal y Secciones de Flagrancia</w:t>
      </w:r>
    </w:p>
    <w:p w14:paraId="27561F54" w14:textId="77777777" w:rsidR="007A45C4" w:rsidRPr="00061BC9" w:rsidRDefault="007A45C4" w:rsidP="00985591">
      <w:pPr>
        <w:spacing w:line="276" w:lineRule="auto"/>
        <w:jc w:val="both"/>
        <w:rPr>
          <w:rFonts w:ascii="Book Antiqua" w:hAnsi="Book Antiqua"/>
          <w:b/>
          <w:bCs/>
          <w:i/>
          <w:iCs/>
        </w:rPr>
      </w:pPr>
    </w:p>
    <w:p w14:paraId="006BC221" w14:textId="24AEE547" w:rsidR="004162FF" w:rsidRPr="00061BC9" w:rsidRDefault="007A45C4" w:rsidP="0073399F">
      <w:pPr>
        <w:pStyle w:val="Prrafodelista"/>
        <w:numPr>
          <w:ilvl w:val="0"/>
          <w:numId w:val="11"/>
        </w:numPr>
        <w:spacing w:line="276" w:lineRule="auto"/>
        <w:jc w:val="both"/>
        <w:rPr>
          <w:rFonts w:ascii="Book Antiqua" w:hAnsi="Book Antiqua"/>
        </w:rPr>
      </w:pPr>
      <w:r w:rsidRPr="00061BC9">
        <w:rPr>
          <w:rFonts w:ascii="Book Antiqua" w:hAnsi="Book Antiqua"/>
        </w:rPr>
        <w:t xml:space="preserve">En </w:t>
      </w:r>
      <w:r w:rsidR="00061BC9" w:rsidRPr="00061BC9">
        <w:rPr>
          <w:rFonts w:ascii="Book Antiqua" w:hAnsi="Book Antiqua"/>
        </w:rPr>
        <w:t>relación con la entrada de asuntos, realizado el análisis comparativo antes de la pandemia de COVID-19 y durante la misma, se logra determinar que para ambos periodos la carga de trabajo en cuanto a la entrada de asuntos aumentó, propiamente, del periodo 2021 versus el 2019 en un 18.61% y versus el 2020 creció en un 15.25% respectivamente; las secciones de Flagrancia no han tenido mayor variación en cuanto a sus cargas de trabajo, la dinámica de trabajo en los Tribunales y Secciones de trabajo se ha mantenido, lo anterior a pesar de las medidas sanitarias giradas en torno a la pandemia.</w:t>
      </w:r>
    </w:p>
    <w:p w14:paraId="2074833B" w14:textId="77777777" w:rsidR="007A45C4" w:rsidRPr="00061BC9" w:rsidRDefault="007A45C4" w:rsidP="00985591">
      <w:pPr>
        <w:pStyle w:val="Prrafodelista"/>
        <w:spacing w:line="276" w:lineRule="auto"/>
        <w:ind w:left="720"/>
        <w:jc w:val="both"/>
        <w:rPr>
          <w:rFonts w:ascii="Book Antiqua" w:hAnsi="Book Antiqua"/>
        </w:rPr>
      </w:pPr>
    </w:p>
    <w:p w14:paraId="333B2613" w14:textId="7EBCF940" w:rsidR="00061BC9" w:rsidRPr="00061BC9" w:rsidRDefault="007A45C4" w:rsidP="0073399F">
      <w:pPr>
        <w:pStyle w:val="Prrafodelista"/>
        <w:numPr>
          <w:ilvl w:val="0"/>
          <w:numId w:val="11"/>
        </w:numPr>
        <w:spacing w:line="276" w:lineRule="auto"/>
        <w:contextualSpacing/>
        <w:jc w:val="both"/>
        <w:rPr>
          <w:rFonts w:ascii="Book Antiqua" w:hAnsi="Book Antiqua"/>
          <w:color w:val="000000"/>
        </w:rPr>
      </w:pPr>
      <w:r w:rsidRPr="00061BC9">
        <w:rPr>
          <w:rFonts w:ascii="Book Antiqua" w:hAnsi="Book Antiqua"/>
          <w:color w:val="000000"/>
        </w:rPr>
        <w:t>Sobre e</w:t>
      </w:r>
      <w:r w:rsidR="00061BC9" w:rsidRPr="00061BC9">
        <w:rPr>
          <w:rFonts w:ascii="Book Antiqua" w:hAnsi="Book Antiqua"/>
          <w:color w:val="000000"/>
        </w:rPr>
        <w:t xml:space="preserve"> l comportamiento en cuanto a la cantidad de asuntos terminados, para el periodo 2021 versus 202019, </w:t>
      </w:r>
      <w:r w:rsidR="00061BC9" w:rsidRPr="00061BC9">
        <w:rPr>
          <w:rFonts w:ascii="Book Antiqua" w:hAnsi="Book Antiqua"/>
        </w:rPr>
        <w:t>se logra determinar un crecimiento general del 3.14%, mientras que, para el periodo comparativo 2021 versus 2020 se evidencia un crecimiento general del 8.57%, propiamente para ambos periodos 9 de los 14 despachos mostraron un aumento en la cantidad de asuntos finalizados.</w:t>
      </w:r>
    </w:p>
    <w:p w14:paraId="44F9532F" w14:textId="77777777" w:rsidR="007A45C4" w:rsidRPr="00061BC9" w:rsidRDefault="007A45C4" w:rsidP="00985591">
      <w:pPr>
        <w:spacing w:line="276" w:lineRule="auto"/>
        <w:contextualSpacing/>
        <w:jc w:val="both"/>
        <w:rPr>
          <w:rFonts w:ascii="Book Antiqua" w:hAnsi="Book Antiqua"/>
          <w:color w:val="000000"/>
        </w:rPr>
      </w:pPr>
    </w:p>
    <w:p w14:paraId="1C4D3E23" w14:textId="67A3115E" w:rsidR="007A45C4" w:rsidRPr="006F775A" w:rsidRDefault="007A45C4" w:rsidP="00061BC9">
      <w:pPr>
        <w:pStyle w:val="Prrafodelista"/>
        <w:numPr>
          <w:ilvl w:val="0"/>
          <w:numId w:val="11"/>
        </w:numPr>
        <w:spacing w:line="276" w:lineRule="auto"/>
        <w:contextualSpacing/>
        <w:jc w:val="both"/>
        <w:rPr>
          <w:rFonts w:ascii="Book Antiqua" w:hAnsi="Book Antiqua"/>
          <w:color w:val="000000"/>
        </w:rPr>
      </w:pPr>
      <w:r w:rsidRPr="00061BC9">
        <w:rPr>
          <w:rFonts w:ascii="Book Antiqua" w:hAnsi="Book Antiqua"/>
          <w:color w:val="000000"/>
        </w:rPr>
        <w:t xml:space="preserve">En </w:t>
      </w:r>
      <w:r w:rsidR="00061BC9" w:rsidRPr="00061BC9">
        <w:rPr>
          <w:rFonts w:ascii="Book Antiqua" w:hAnsi="Book Antiqua"/>
          <w:color w:val="000000"/>
        </w:rPr>
        <w:t xml:space="preserve">cuanto a la dinámica del Circulante en Trámite, </w:t>
      </w:r>
      <w:r w:rsidR="00061BC9" w:rsidRPr="00061BC9">
        <w:rPr>
          <w:rFonts w:ascii="Book Antiqua" w:hAnsi="Book Antiqua"/>
        </w:rPr>
        <w:t>del 2021 versus 2019 se logra evidenciar un aumento del 20.81%, donde 9 de los 14 despachos mostraron un crecimiento de su circulante en trámite, lo contrario sucede al realizar la comparación del 2021 versus 2020 por cuanto se evidencia un decrecimiento general del circulante en trámite del 9.32%, donde 9 de los 14 despachos lograron una disminución en esta variable.</w:t>
      </w:r>
    </w:p>
    <w:p w14:paraId="3EE06799" w14:textId="77777777" w:rsidR="004372C2" w:rsidRPr="00061BC9" w:rsidRDefault="004372C2" w:rsidP="00985591">
      <w:pPr>
        <w:spacing w:line="276" w:lineRule="auto"/>
        <w:jc w:val="both"/>
        <w:rPr>
          <w:rFonts w:ascii="Book Antiqua" w:hAnsi="Book Antiqua"/>
        </w:rPr>
      </w:pPr>
    </w:p>
    <w:p w14:paraId="41F326E2" w14:textId="4C796A4F" w:rsidR="004372C2" w:rsidRPr="00061BC9" w:rsidRDefault="004372C2" w:rsidP="00985591">
      <w:pPr>
        <w:spacing w:line="276" w:lineRule="auto"/>
        <w:jc w:val="both"/>
        <w:rPr>
          <w:rFonts w:ascii="Book Antiqua" w:hAnsi="Book Antiqua"/>
          <w:b/>
          <w:bCs/>
          <w:i/>
          <w:iCs/>
        </w:rPr>
      </w:pPr>
      <w:r w:rsidRPr="00061BC9">
        <w:rPr>
          <w:rFonts w:ascii="Book Antiqua" w:hAnsi="Book Antiqua"/>
          <w:b/>
          <w:bCs/>
          <w:i/>
          <w:iCs/>
        </w:rPr>
        <w:t>Juzgados de Ejecución de la Pena</w:t>
      </w:r>
    </w:p>
    <w:p w14:paraId="39F9CAA8" w14:textId="60377C2B" w:rsidR="004372C2" w:rsidRPr="00061BC9" w:rsidRDefault="004372C2" w:rsidP="00985591">
      <w:pPr>
        <w:pStyle w:val="Prrafodelista"/>
        <w:spacing w:line="276" w:lineRule="auto"/>
        <w:ind w:left="720"/>
        <w:jc w:val="both"/>
        <w:rPr>
          <w:rFonts w:ascii="Book Antiqua" w:hAnsi="Book Antiqua"/>
        </w:rPr>
      </w:pPr>
    </w:p>
    <w:p w14:paraId="53AFF671" w14:textId="37687DE5" w:rsidR="00061BC9" w:rsidRPr="00061BC9" w:rsidRDefault="004372C2" w:rsidP="0073399F">
      <w:pPr>
        <w:pStyle w:val="Prrafodelista"/>
        <w:numPr>
          <w:ilvl w:val="0"/>
          <w:numId w:val="11"/>
        </w:numPr>
        <w:spacing w:line="276" w:lineRule="auto"/>
        <w:jc w:val="both"/>
        <w:rPr>
          <w:rFonts w:ascii="Book Antiqua" w:hAnsi="Book Antiqua"/>
        </w:rPr>
      </w:pPr>
      <w:r w:rsidRPr="00061BC9">
        <w:rPr>
          <w:rFonts w:ascii="Book Antiqua" w:hAnsi="Book Antiqua" w:cs="Arial"/>
        </w:rPr>
        <w:t xml:space="preserve">El </w:t>
      </w:r>
      <w:r w:rsidR="00061BC9" w:rsidRPr="00061BC9">
        <w:rPr>
          <w:rFonts w:ascii="Book Antiqua" w:hAnsi="Book Antiqua" w:cs="Arial"/>
        </w:rPr>
        <w:t>promedio de entrada mensual de asuntos de nueva data de enero a setiembre de 2021 es de 1476 casos, lo que, representa, un incremento relevante, en relación con los dos periodos de comparación; siendo tasas de un 19.61% en relación con el año 2019 y un 12.15% con respecto al año anterior.</w:t>
      </w:r>
    </w:p>
    <w:p w14:paraId="103F15F9" w14:textId="208E4191" w:rsidR="004372C2" w:rsidRPr="00061BC9" w:rsidRDefault="004372C2" w:rsidP="00061BC9">
      <w:pPr>
        <w:pStyle w:val="Prrafodelista"/>
        <w:spacing w:line="276" w:lineRule="auto"/>
        <w:ind w:left="720"/>
        <w:jc w:val="both"/>
        <w:rPr>
          <w:rFonts w:ascii="Book Antiqua" w:hAnsi="Book Antiqua"/>
        </w:rPr>
      </w:pPr>
    </w:p>
    <w:p w14:paraId="3C07FAE9" w14:textId="4E9842AD" w:rsidR="004372C2" w:rsidRPr="00061BC9" w:rsidRDefault="004372C2" w:rsidP="0073399F">
      <w:pPr>
        <w:pStyle w:val="Prrafodelista"/>
        <w:numPr>
          <w:ilvl w:val="0"/>
          <w:numId w:val="11"/>
        </w:numPr>
        <w:spacing w:line="276" w:lineRule="auto"/>
        <w:jc w:val="both"/>
        <w:rPr>
          <w:rFonts w:ascii="Book Antiqua" w:hAnsi="Book Antiqua"/>
        </w:rPr>
      </w:pPr>
      <w:r w:rsidRPr="00061BC9">
        <w:rPr>
          <w:rFonts w:ascii="Book Antiqua" w:hAnsi="Book Antiqua"/>
        </w:rPr>
        <w:t xml:space="preserve">En </w:t>
      </w:r>
      <w:r w:rsidR="00061BC9" w:rsidRPr="00061BC9">
        <w:rPr>
          <w:rFonts w:ascii="Book Antiqua" w:hAnsi="Book Antiqua"/>
        </w:rPr>
        <w:t>lo que concierna a los casos culminados de enero a setiembre del año en curso, se obtiene un promedio de terminados mensual de 1352 asuntos, por lo que, significa un incremento del 21.27% y 14.79% en comparación con los periodos 2019 y 2020 respectivamente.</w:t>
      </w:r>
    </w:p>
    <w:p w14:paraId="1AA9C2AF" w14:textId="77777777" w:rsidR="00A405FE" w:rsidRPr="00061BC9" w:rsidRDefault="00A405FE" w:rsidP="00985591">
      <w:pPr>
        <w:pStyle w:val="Prrafodelista"/>
        <w:spacing w:line="276" w:lineRule="auto"/>
        <w:rPr>
          <w:rFonts w:ascii="Book Antiqua" w:hAnsi="Book Antiqua"/>
        </w:rPr>
      </w:pPr>
    </w:p>
    <w:p w14:paraId="6CF8AA4A" w14:textId="4714D1D1" w:rsidR="00A405FE" w:rsidRPr="00061BC9" w:rsidRDefault="00A405FE" w:rsidP="0073399F">
      <w:pPr>
        <w:pStyle w:val="Prrafodelista"/>
        <w:numPr>
          <w:ilvl w:val="0"/>
          <w:numId w:val="11"/>
        </w:numPr>
        <w:spacing w:line="276" w:lineRule="auto"/>
        <w:jc w:val="both"/>
        <w:rPr>
          <w:rFonts w:ascii="Book Antiqua" w:hAnsi="Book Antiqua"/>
        </w:rPr>
      </w:pPr>
      <w:r w:rsidRPr="00061BC9">
        <w:rPr>
          <w:rFonts w:ascii="Book Antiqua" w:hAnsi="Book Antiqua"/>
        </w:rPr>
        <w:t xml:space="preserve">Al </w:t>
      </w:r>
      <w:r w:rsidR="00061BC9" w:rsidRPr="00061BC9">
        <w:rPr>
          <w:rFonts w:ascii="Book Antiqua" w:hAnsi="Book Antiqua"/>
        </w:rPr>
        <w:t>concluir el mes de setiembre de 2021, se determina un crecimiento a nivel general del 38.47% (en 2786 expedientes) versus el 2019 y 12.84 % (en 1141 expedientes) con respecto al 2020.</w:t>
      </w:r>
    </w:p>
    <w:p w14:paraId="31257B08" w14:textId="6DB224CB" w:rsidR="004162FF" w:rsidRPr="00061BC9" w:rsidRDefault="004162FF" w:rsidP="00985591">
      <w:pPr>
        <w:spacing w:line="276" w:lineRule="auto"/>
        <w:jc w:val="both"/>
        <w:rPr>
          <w:rFonts w:ascii="Book Antiqua" w:hAnsi="Book Antiqua"/>
        </w:rPr>
      </w:pPr>
    </w:p>
    <w:p w14:paraId="663A7B13" w14:textId="75DE3A48" w:rsidR="00061BC9" w:rsidRDefault="00061BC9" w:rsidP="00985591">
      <w:pPr>
        <w:spacing w:line="276" w:lineRule="auto"/>
        <w:jc w:val="both"/>
        <w:rPr>
          <w:rFonts w:ascii="Book Antiqua" w:hAnsi="Book Antiqua"/>
        </w:rPr>
      </w:pPr>
    </w:p>
    <w:p w14:paraId="696ED503" w14:textId="77777777" w:rsidR="006F775A" w:rsidRPr="00061BC9" w:rsidRDefault="006F775A" w:rsidP="00985591">
      <w:pPr>
        <w:spacing w:line="276" w:lineRule="auto"/>
        <w:jc w:val="both"/>
        <w:rPr>
          <w:rFonts w:ascii="Book Antiqua" w:hAnsi="Book Antiqua"/>
        </w:rPr>
      </w:pPr>
    </w:p>
    <w:p w14:paraId="4DB8E509" w14:textId="798BFB2F" w:rsidR="00286D4C" w:rsidRPr="00061BC9" w:rsidRDefault="00286D4C" w:rsidP="00985591">
      <w:pPr>
        <w:spacing w:line="276" w:lineRule="auto"/>
        <w:jc w:val="both"/>
        <w:rPr>
          <w:rFonts w:ascii="Book Antiqua" w:hAnsi="Book Antiqua"/>
          <w:b/>
          <w:bCs/>
          <w:i/>
          <w:iCs/>
        </w:rPr>
      </w:pPr>
      <w:r w:rsidRPr="00061BC9">
        <w:rPr>
          <w:rFonts w:ascii="Book Antiqua" w:hAnsi="Book Antiqua"/>
          <w:b/>
          <w:bCs/>
          <w:i/>
          <w:iCs/>
        </w:rPr>
        <w:t>Tribunales de Apelación de la Sentencia Penal</w:t>
      </w:r>
    </w:p>
    <w:p w14:paraId="0A3045BF" w14:textId="78F053AD" w:rsidR="00286D4C" w:rsidRPr="00061BC9" w:rsidRDefault="00286D4C" w:rsidP="00985591">
      <w:pPr>
        <w:spacing w:line="276" w:lineRule="auto"/>
        <w:jc w:val="both"/>
        <w:rPr>
          <w:rFonts w:ascii="Book Antiqua" w:hAnsi="Book Antiqua"/>
          <w:b/>
          <w:bCs/>
          <w:i/>
          <w:iCs/>
        </w:rPr>
      </w:pPr>
    </w:p>
    <w:p w14:paraId="36C702E4" w14:textId="26754097" w:rsidR="00286D4C" w:rsidRPr="00061BC9" w:rsidRDefault="00105145" w:rsidP="0073399F">
      <w:pPr>
        <w:pStyle w:val="Prrafodelista"/>
        <w:numPr>
          <w:ilvl w:val="0"/>
          <w:numId w:val="11"/>
        </w:numPr>
        <w:spacing w:line="276" w:lineRule="auto"/>
        <w:jc w:val="both"/>
        <w:rPr>
          <w:rFonts w:ascii="Book Antiqua" w:hAnsi="Book Antiqua"/>
        </w:rPr>
      </w:pPr>
      <w:r w:rsidRPr="00061BC9">
        <w:rPr>
          <w:rFonts w:ascii="Book Antiqua" w:hAnsi="Book Antiqua"/>
        </w:rPr>
        <w:t xml:space="preserve">El </w:t>
      </w:r>
      <w:r w:rsidR="00061BC9" w:rsidRPr="00061BC9">
        <w:rPr>
          <w:rFonts w:ascii="Book Antiqua" w:hAnsi="Book Antiqua"/>
        </w:rPr>
        <w:t>promedio de entrada mensual de asuntos nuevos de enero a setiembre de 2021 fue de 374 casos, lo que, representa una leve disminución general del 0.71 % en relación con el año 2019 y un alza del 11.74% con respecto al año 2020. Los despachos de San Ramón y Santa Cruz tuvieron un incremento en todos los periodos de análisis.</w:t>
      </w:r>
    </w:p>
    <w:p w14:paraId="7B3BA26A" w14:textId="77777777" w:rsidR="00061BC9" w:rsidRPr="00061BC9" w:rsidRDefault="00061BC9" w:rsidP="00061BC9">
      <w:pPr>
        <w:pStyle w:val="Prrafodelista"/>
        <w:spacing w:line="276" w:lineRule="auto"/>
        <w:ind w:left="720"/>
        <w:jc w:val="both"/>
        <w:rPr>
          <w:rFonts w:ascii="Book Antiqua" w:hAnsi="Book Antiqua"/>
        </w:rPr>
      </w:pPr>
    </w:p>
    <w:p w14:paraId="6C4A3CD7" w14:textId="1C71983F" w:rsidR="00105145" w:rsidRPr="00061BC9" w:rsidRDefault="00105145" w:rsidP="0073399F">
      <w:pPr>
        <w:pStyle w:val="Prrafodelista"/>
        <w:numPr>
          <w:ilvl w:val="0"/>
          <w:numId w:val="11"/>
        </w:numPr>
        <w:spacing w:line="276" w:lineRule="auto"/>
        <w:jc w:val="both"/>
        <w:rPr>
          <w:rFonts w:ascii="Book Antiqua" w:hAnsi="Book Antiqua"/>
        </w:rPr>
      </w:pPr>
      <w:r w:rsidRPr="00061BC9">
        <w:rPr>
          <w:rFonts w:ascii="Book Antiqua" w:hAnsi="Book Antiqua" w:cs="Arial"/>
        </w:rPr>
        <w:t xml:space="preserve">En </w:t>
      </w:r>
      <w:r w:rsidR="00061BC9" w:rsidRPr="00061BC9">
        <w:rPr>
          <w:rFonts w:ascii="Book Antiqua" w:hAnsi="Book Antiqua" w:cs="Arial"/>
        </w:rPr>
        <w:t>lo que respecta a los casos culminados, se obtienen promedios mensuales de terminados, de 377, 382 y 373 asuntos para el 2019, 2020 y 2021 respectivamente, lo que representa una tendencia constante.</w:t>
      </w:r>
    </w:p>
    <w:p w14:paraId="629CCAC5" w14:textId="77777777" w:rsidR="00191358" w:rsidRPr="00061BC9" w:rsidRDefault="00191358" w:rsidP="00985591">
      <w:pPr>
        <w:pStyle w:val="Prrafodelista"/>
        <w:spacing w:line="276" w:lineRule="auto"/>
        <w:ind w:left="720"/>
        <w:jc w:val="both"/>
        <w:rPr>
          <w:rFonts w:ascii="Book Antiqua" w:hAnsi="Book Antiqua"/>
        </w:rPr>
      </w:pPr>
    </w:p>
    <w:p w14:paraId="0E2D3C6F" w14:textId="01FBC53B" w:rsidR="00061BC9" w:rsidRPr="00061BC9" w:rsidRDefault="00191358" w:rsidP="0073399F">
      <w:pPr>
        <w:pStyle w:val="Prrafodelista"/>
        <w:numPr>
          <w:ilvl w:val="0"/>
          <w:numId w:val="11"/>
        </w:numPr>
        <w:spacing w:line="276" w:lineRule="auto"/>
        <w:jc w:val="both"/>
        <w:rPr>
          <w:rFonts w:ascii="Book Antiqua" w:hAnsi="Book Antiqua"/>
        </w:rPr>
      </w:pPr>
      <w:r w:rsidRPr="00061BC9">
        <w:rPr>
          <w:rFonts w:ascii="Book Antiqua" w:hAnsi="Book Antiqua"/>
        </w:rPr>
        <w:t>Referente a</w:t>
      </w:r>
      <w:r w:rsidR="00061BC9" w:rsidRPr="00061BC9">
        <w:rPr>
          <w:rFonts w:ascii="Book Antiqua" w:hAnsi="Book Antiqua"/>
        </w:rPr>
        <w:t xml:space="preserve"> los expedientes activos, se refleja al concluir setiembre del presente año, una disminución general del </w:t>
      </w:r>
      <w:r w:rsidR="00061BC9" w:rsidRPr="00061BC9">
        <w:rPr>
          <w:rFonts w:ascii="Book Antiqua" w:hAnsi="Book Antiqua" w:cs="Arial"/>
        </w:rPr>
        <w:t xml:space="preserve">33.64% (en 436 asuntos). </w:t>
      </w:r>
    </w:p>
    <w:p w14:paraId="0486982E" w14:textId="78743341" w:rsidR="00191358" w:rsidRPr="00061BC9" w:rsidRDefault="00191358" w:rsidP="00061BC9">
      <w:pPr>
        <w:pStyle w:val="Prrafodelista"/>
        <w:spacing w:line="276" w:lineRule="auto"/>
        <w:ind w:left="720"/>
        <w:jc w:val="both"/>
        <w:rPr>
          <w:rFonts w:ascii="Book Antiqua" w:hAnsi="Book Antiqua"/>
        </w:rPr>
      </w:pPr>
    </w:p>
    <w:p w14:paraId="7E734B9C" w14:textId="1A76D21C" w:rsidR="00191358" w:rsidRPr="00061BC9" w:rsidRDefault="00191358" w:rsidP="00985591">
      <w:pPr>
        <w:spacing w:line="276" w:lineRule="auto"/>
        <w:jc w:val="both"/>
        <w:rPr>
          <w:rFonts w:ascii="Book Antiqua" w:hAnsi="Book Antiqua"/>
        </w:rPr>
      </w:pPr>
    </w:p>
    <w:p w14:paraId="5B6732B8" w14:textId="0353C5B8" w:rsidR="000E216D" w:rsidRPr="00061BC9" w:rsidRDefault="000E216D" w:rsidP="00985591">
      <w:pPr>
        <w:spacing w:line="276" w:lineRule="auto"/>
        <w:jc w:val="both"/>
        <w:rPr>
          <w:rFonts w:ascii="Book Antiqua" w:hAnsi="Book Antiqua"/>
          <w:b/>
          <w:bCs/>
          <w:i/>
          <w:iCs/>
        </w:rPr>
      </w:pPr>
      <w:r w:rsidRPr="00061BC9">
        <w:rPr>
          <w:rFonts w:ascii="Book Antiqua" w:hAnsi="Book Antiqua"/>
          <w:b/>
          <w:bCs/>
          <w:i/>
          <w:iCs/>
        </w:rPr>
        <w:t>Sala Tercera</w:t>
      </w:r>
    </w:p>
    <w:p w14:paraId="3B79E0FC" w14:textId="3FD4E136" w:rsidR="00286D4C" w:rsidRPr="00061BC9" w:rsidRDefault="00286D4C" w:rsidP="00985591">
      <w:pPr>
        <w:spacing w:line="276" w:lineRule="auto"/>
        <w:jc w:val="both"/>
        <w:rPr>
          <w:rFonts w:ascii="Book Antiqua" w:hAnsi="Book Antiqua"/>
        </w:rPr>
      </w:pPr>
    </w:p>
    <w:p w14:paraId="1771F91D" w14:textId="28CEAF76" w:rsidR="000E216D" w:rsidRPr="00061BC9" w:rsidRDefault="000E216D" w:rsidP="0073399F">
      <w:pPr>
        <w:pStyle w:val="Prrafodelista"/>
        <w:numPr>
          <w:ilvl w:val="0"/>
          <w:numId w:val="11"/>
        </w:numPr>
        <w:spacing w:line="276" w:lineRule="auto"/>
        <w:jc w:val="both"/>
        <w:rPr>
          <w:rFonts w:ascii="Book Antiqua" w:hAnsi="Book Antiqua"/>
        </w:rPr>
      </w:pPr>
      <w:r w:rsidRPr="00061BC9">
        <w:rPr>
          <w:rFonts w:ascii="Book Antiqua" w:hAnsi="Book Antiqua"/>
        </w:rPr>
        <w:t xml:space="preserve">En </w:t>
      </w:r>
      <w:r w:rsidR="00061BC9" w:rsidRPr="00061BC9">
        <w:rPr>
          <w:rFonts w:ascii="Book Antiqua" w:hAnsi="Book Antiqua"/>
        </w:rPr>
        <w:t xml:space="preserve">lo que concierna a los asuntos de nueva data de enero a setiembre del año en curso, se obtiene un promedio de entrados mensual de 108 asuntos, por lo que, significa un leve decrecimiento del 2.33% y 2.25% </w:t>
      </w:r>
      <w:r w:rsidR="00061BC9" w:rsidRPr="00061BC9">
        <w:rPr>
          <w:rFonts w:ascii="Book Antiqua" w:hAnsi="Book Antiqua" w:cs="Arial"/>
        </w:rPr>
        <w:t>con respecto a los periodos 2019 y 2020.</w:t>
      </w:r>
    </w:p>
    <w:p w14:paraId="1C2E0CB9" w14:textId="77777777" w:rsidR="00061BC9" w:rsidRPr="00061BC9" w:rsidRDefault="00061BC9" w:rsidP="00061BC9">
      <w:pPr>
        <w:pStyle w:val="Prrafodelista"/>
        <w:spacing w:line="276" w:lineRule="auto"/>
        <w:ind w:left="720"/>
        <w:jc w:val="both"/>
        <w:rPr>
          <w:rFonts w:ascii="Book Antiqua" w:hAnsi="Book Antiqua"/>
        </w:rPr>
      </w:pPr>
    </w:p>
    <w:p w14:paraId="73FF6091" w14:textId="12E494FA" w:rsidR="000E216D" w:rsidRPr="00061BC9" w:rsidRDefault="000E216D" w:rsidP="0073399F">
      <w:pPr>
        <w:pStyle w:val="Prrafodelista"/>
        <w:numPr>
          <w:ilvl w:val="0"/>
          <w:numId w:val="11"/>
        </w:numPr>
        <w:spacing w:line="276" w:lineRule="auto"/>
        <w:jc w:val="both"/>
        <w:rPr>
          <w:rFonts w:ascii="Book Antiqua" w:hAnsi="Book Antiqua"/>
        </w:rPr>
      </w:pPr>
      <w:r w:rsidRPr="00061BC9">
        <w:rPr>
          <w:rFonts w:ascii="Book Antiqua" w:hAnsi="Book Antiqua"/>
        </w:rPr>
        <w:t>De</w:t>
      </w:r>
      <w:r w:rsidR="00061BC9" w:rsidRPr="00061BC9">
        <w:rPr>
          <w:rFonts w:ascii="Book Antiqua" w:hAnsi="Book Antiqua"/>
        </w:rPr>
        <w:t>l promedio mensual de casos culminados, se determina una tendencia constante entre los tres periodos de estudio.</w:t>
      </w:r>
    </w:p>
    <w:p w14:paraId="7B611903" w14:textId="77777777" w:rsidR="000E216D" w:rsidRPr="00061BC9" w:rsidRDefault="000E216D" w:rsidP="00985591">
      <w:pPr>
        <w:spacing w:line="276" w:lineRule="auto"/>
        <w:jc w:val="both"/>
        <w:rPr>
          <w:rFonts w:ascii="Book Antiqua" w:hAnsi="Book Antiqua"/>
        </w:rPr>
      </w:pPr>
    </w:p>
    <w:p w14:paraId="44CAA63B" w14:textId="77777777" w:rsidR="00061BC9" w:rsidRPr="00061BC9" w:rsidRDefault="000E216D" w:rsidP="0073399F">
      <w:pPr>
        <w:pStyle w:val="Prrafodelista"/>
        <w:numPr>
          <w:ilvl w:val="0"/>
          <w:numId w:val="11"/>
        </w:numPr>
        <w:spacing w:line="276" w:lineRule="auto"/>
        <w:jc w:val="both"/>
        <w:rPr>
          <w:rFonts w:ascii="Book Antiqua" w:hAnsi="Book Antiqua"/>
        </w:rPr>
      </w:pPr>
      <w:r w:rsidRPr="00061BC9">
        <w:rPr>
          <w:rFonts w:ascii="Book Antiqua" w:hAnsi="Book Antiqua"/>
        </w:rPr>
        <w:t xml:space="preserve">Al </w:t>
      </w:r>
      <w:r w:rsidR="00061BC9" w:rsidRPr="00061BC9">
        <w:rPr>
          <w:rFonts w:ascii="Book Antiqua" w:hAnsi="Book Antiqua"/>
        </w:rPr>
        <w:t>concluir el mes de setiembre de 2021, se refleja 301 causas pendientes de finalizar, que en comparación con diciembre de 2019 y 2020, su circulante disminuyó en un 35.96% y 6.52% respectivamente.</w:t>
      </w:r>
    </w:p>
    <w:p w14:paraId="5A0A6EB9" w14:textId="5BEED3D7" w:rsidR="00FA1609" w:rsidRDefault="00FA1609" w:rsidP="00061BC9">
      <w:pPr>
        <w:pStyle w:val="Prrafodelista"/>
        <w:spacing w:line="276" w:lineRule="auto"/>
        <w:ind w:left="720"/>
        <w:jc w:val="both"/>
        <w:rPr>
          <w:rFonts w:ascii="Book Antiqua" w:hAnsi="Book Antiqua"/>
        </w:rPr>
      </w:pPr>
    </w:p>
    <w:p w14:paraId="7441D3B1" w14:textId="1C631F6B" w:rsidR="006F775A" w:rsidRDefault="006F775A" w:rsidP="00061BC9">
      <w:pPr>
        <w:pStyle w:val="Prrafodelista"/>
        <w:spacing w:line="276" w:lineRule="auto"/>
        <w:ind w:left="720"/>
        <w:jc w:val="both"/>
        <w:rPr>
          <w:rFonts w:ascii="Book Antiqua" w:hAnsi="Book Antiqua"/>
        </w:rPr>
      </w:pPr>
    </w:p>
    <w:p w14:paraId="21B917ED" w14:textId="54D7A096" w:rsidR="006F775A" w:rsidRDefault="006F775A" w:rsidP="00061BC9">
      <w:pPr>
        <w:pStyle w:val="Prrafodelista"/>
        <w:spacing w:line="276" w:lineRule="auto"/>
        <w:ind w:left="720"/>
        <w:jc w:val="both"/>
        <w:rPr>
          <w:rFonts w:ascii="Book Antiqua" w:hAnsi="Book Antiqua"/>
        </w:rPr>
      </w:pPr>
    </w:p>
    <w:p w14:paraId="6F386AE3" w14:textId="77777777" w:rsidR="006F775A" w:rsidRPr="00061BC9" w:rsidRDefault="006F775A" w:rsidP="00061BC9">
      <w:pPr>
        <w:pStyle w:val="Prrafodelista"/>
        <w:spacing w:line="276" w:lineRule="auto"/>
        <w:ind w:left="720"/>
        <w:jc w:val="both"/>
        <w:rPr>
          <w:rFonts w:ascii="Book Antiqua" w:hAnsi="Book Antiqua"/>
        </w:rPr>
      </w:pPr>
    </w:p>
    <w:p w14:paraId="1A8A071B" w14:textId="77777777" w:rsidR="00B228BB" w:rsidRPr="00FA1609" w:rsidRDefault="00B228BB" w:rsidP="00985591">
      <w:pPr>
        <w:spacing w:line="276" w:lineRule="auto"/>
        <w:jc w:val="both"/>
        <w:rPr>
          <w:rFonts w:ascii="Book Antiqua" w:hAnsi="Book Antiqua"/>
        </w:rPr>
      </w:pPr>
    </w:p>
    <w:p w14:paraId="748E1E87" w14:textId="4A81EBE2" w:rsidR="003F70C8" w:rsidRPr="003E16F3" w:rsidRDefault="00681785" w:rsidP="00985591">
      <w:pPr>
        <w:spacing w:line="276" w:lineRule="auto"/>
        <w:rPr>
          <w:rFonts w:ascii="Book Antiqua" w:hAnsi="Book Antiqua"/>
          <w:b/>
          <w:bCs/>
        </w:rPr>
      </w:pPr>
      <w:bookmarkStart w:id="29" w:name="_Hlk87362517"/>
      <w:r w:rsidRPr="003E16F3">
        <w:rPr>
          <w:rFonts w:ascii="Book Antiqua" w:hAnsi="Book Antiqua"/>
          <w:b/>
          <w:bCs/>
        </w:rPr>
        <w:t>Capítulo I</w:t>
      </w:r>
      <w:r w:rsidR="00AE4241" w:rsidRPr="003E16F3">
        <w:rPr>
          <w:rFonts w:ascii="Book Antiqua" w:hAnsi="Book Antiqua"/>
          <w:b/>
          <w:bCs/>
        </w:rPr>
        <w:t>V</w:t>
      </w:r>
      <w:r w:rsidRPr="003E16F3">
        <w:rPr>
          <w:rFonts w:ascii="Book Antiqua" w:hAnsi="Book Antiqua"/>
          <w:b/>
          <w:bCs/>
        </w:rPr>
        <w:t xml:space="preserve">. Resultados de la materia penal en el mes de </w:t>
      </w:r>
      <w:r w:rsidR="003F70C8" w:rsidRPr="003E16F3">
        <w:rPr>
          <w:rFonts w:ascii="Book Antiqua" w:hAnsi="Book Antiqua"/>
          <w:b/>
          <w:bCs/>
        </w:rPr>
        <w:t>mayo</w:t>
      </w:r>
    </w:p>
    <w:bookmarkEnd w:id="29"/>
    <w:p w14:paraId="75430B66" w14:textId="77777777" w:rsidR="008633A0" w:rsidRPr="003E16F3" w:rsidRDefault="008633A0" w:rsidP="00985591">
      <w:pPr>
        <w:spacing w:line="276" w:lineRule="auto"/>
        <w:rPr>
          <w:rFonts w:ascii="Book Antiqua" w:hAnsi="Book Antiqua"/>
          <w:b/>
          <w:bCs/>
        </w:rPr>
      </w:pPr>
    </w:p>
    <w:p w14:paraId="001C7A25" w14:textId="5F868F91" w:rsidR="00597B06" w:rsidRPr="003E16F3" w:rsidRDefault="003F70C8" w:rsidP="0073399F">
      <w:pPr>
        <w:pStyle w:val="Prrafodelista"/>
        <w:numPr>
          <w:ilvl w:val="0"/>
          <w:numId w:val="11"/>
        </w:numPr>
        <w:spacing w:line="276" w:lineRule="auto"/>
        <w:jc w:val="both"/>
        <w:rPr>
          <w:rFonts w:ascii="Book Antiqua" w:hAnsi="Book Antiqua"/>
          <w:color w:val="000000" w:themeColor="text1"/>
        </w:rPr>
      </w:pPr>
      <w:r w:rsidRPr="003E16F3">
        <w:rPr>
          <w:rFonts w:ascii="Book Antiqua" w:hAnsi="Book Antiqua"/>
          <w:color w:val="000000" w:themeColor="text1"/>
        </w:rPr>
        <w:t>A nivel de Juzgados Penales, en promedio el cumplimiento del parámetro de producción teórico durante el mes de mayo 2021 fue del 100%.</w:t>
      </w:r>
    </w:p>
    <w:p w14:paraId="483E9B5F" w14:textId="77777777" w:rsidR="00597B06" w:rsidRPr="003E16F3" w:rsidRDefault="00597B06" w:rsidP="00732577">
      <w:pPr>
        <w:pStyle w:val="Prrafodelista"/>
        <w:spacing w:line="276" w:lineRule="auto"/>
        <w:ind w:left="720"/>
        <w:jc w:val="both"/>
        <w:rPr>
          <w:rFonts w:ascii="Book Antiqua" w:hAnsi="Book Antiqua"/>
          <w:color w:val="000000" w:themeColor="text1"/>
        </w:rPr>
      </w:pPr>
    </w:p>
    <w:p w14:paraId="795145A8" w14:textId="419F819F" w:rsidR="00597B06" w:rsidRPr="003E16F3" w:rsidRDefault="00597B06" w:rsidP="0073399F">
      <w:pPr>
        <w:pStyle w:val="Prrafodelista"/>
        <w:numPr>
          <w:ilvl w:val="0"/>
          <w:numId w:val="11"/>
        </w:numPr>
        <w:spacing w:line="276" w:lineRule="auto"/>
        <w:jc w:val="both"/>
        <w:rPr>
          <w:rFonts w:ascii="Book Antiqua" w:hAnsi="Book Antiqua"/>
          <w:color w:val="000000" w:themeColor="text1"/>
        </w:rPr>
      </w:pPr>
      <w:r w:rsidRPr="003E16F3">
        <w:rPr>
          <w:rFonts w:ascii="Book Antiqua" w:hAnsi="Book Antiqua"/>
          <w:color w:val="000000" w:themeColor="text1"/>
        </w:rPr>
        <w:t xml:space="preserve">Las principales actividades reportadas por </w:t>
      </w:r>
      <w:r w:rsidR="00E21FD9">
        <w:rPr>
          <w:rFonts w:ascii="Book Antiqua" w:hAnsi="Book Antiqua"/>
          <w:color w:val="000000" w:themeColor="text1"/>
        </w:rPr>
        <w:t>el personal de la judicatura</w:t>
      </w:r>
      <w:r w:rsidRPr="003E16F3">
        <w:rPr>
          <w:rFonts w:ascii="Book Antiqua" w:hAnsi="Book Antiqua"/>
          <w:color w:val="000000" w:themeColor="text1"/>
        </w:rPr>
        <w:t xml:space="preserve"> de los Tribunales de Juicio obedecen al dictado de sentencias con </w:t>
      </w:r>
      <w:r w:rsidR="00732577">
        <w:rPr>
          <w:rFonts w:ascii="Book Antiqua" w:hAnsi="Book Antiqua"/>
          <w:color w:val="000000" w:themeColor="text1"/>
        </w:rPr>
        <w:t>889 y recursos de apelación con 427 asuntos</w:t>
      </w:r>
      <w:r w:rsidRPr="003E16F3">
        <w:rPr>
          <w:rFonts w:ascii="Book Antiqua" w:hAnsi="Book Antiqua"/>
          <w:color w:val="000000" w:themeColor="text1"/>
        </w:rPr>
        <w:t>.</w:t>
      </w:r>
    </w:p>
    <w:p w14:paraId="6FE104EA" w14:textId="77777777" w:rsidR="00E4469E" w:rsidRPr="00732577" w:rsidRDefault="00E4469E" w:rsidP="00732577">
      <w:pPr>
        <w:spacing w:line="276" w:lineRule="auto"/>
        <w:jc w:val="both"/>
        <w:rPr>
          <w:rFonts w:ascii="Book Antiqua" w:hAnsi="Book Antiqua"/>
          <w:color w:val="000000" w:themeColor="text1"/>
        </w:rPr>
      </w:pPr>
    </w:p>
    <w:p w14:paraId="27349FED" w14:textId="70B57F21" w:rsidR="00877736" w:rsidRPr="003E16F3" w:rsidRDefault="00E4469E" w:rsidP="0073399F">
      <w:pPr>
        <w:pStyle w:val="Prrafodelista"/>
        <w:numPr>
          <w:ilvl w:val="0"/>
          <w:numId w:val="11"/>
        </w:numPr>
        <w:spacing w:line="276" w:lineRule="auto"/>
        <w:contextualSpacing/>
        <w:jc w:val="both"/>
        <w:rPr>
          <w:rFonts w:ascii="Book Antiqua" w:hAnsi="Book Antiqua"/>
          <w:color w:val="000000" w:themeColor="text1"/>
        </w:rPr>
      </w:pPr>
      <w:r w:rsidRPr="003E16F3">
        <w:rPr>
          <w:rFonts w:ascii="Book Antiqua" w:hAnsi="Book Antiqua"/>
          <w:color w:val="000000" w:themeColor="text1"/>
        </w:rPr>
        <w:t xml:space="preserve">El Tribunal y Secciones de Flagrancia </w:t>
      </w:r>
      <w:r w:rsidR="00877736" w:rsidRPr="003E16F3">
        <w:rPr>
          <w:rFonts w:ascii="Book Antiqua" w:hAnsi="Book Antiqua"/>
          <w:color w:val="000000" w:themeColor="text1"/>
        </w:rPr>
        <w:t>reportaron un total de 781 audiencias iniciales, se lograron 5</w:t>
      </w:r>
      <w:r w:rsidR="00732577">
        <w:rPr>
          <w:rFonts w:ascii="Book Antiqua" w:hAnsi="Book Antiqua"/>
          <w:color w:val="000000" w:themeColor="text1"/>
        </w:rPr>
        <w:t>89</w:t>
      </w:r>
      <w:r w:rsidR="00877736" w:rsidRPr="003E16F3">
        <w:rPr>
          <w:rFonts w:ascii="Book Antiqua" w:hAnsi="Book Antiqua"/>
          <w:color w:val="000000" w:themeColor="text1"/>
        </w:rPr>
        <w:t xml:space="preserve"> medidas alternas y se dictaron un total de 5</w:t>
      </w:r>
      <w:r w:rsidR="00732577">
        <w:rPr>
          <w:rFonts w:ascii="Book Antiqua" w:hAnsi="Book Antiqua"/>
          <w:color w:val="000000" w:themeColor="text1"/>
        </w:rPr>
        <w:t>84</w:t>
      </w:r>
      <w:r w:rsidR="00877736" w:rsidRPr="003E16F3">
        <w:rPr>
          <w:rFonts w:ascii="Book Antiqua" w:hAnsi="Book Antiqua"/>
          <w:color w:val="000000" w:themeColor="text1"/>
        </w:rPr>
        <w:t xml:space="preserve"> sentencias.</w:t>
      </w:r>
    </w:p>
    <w:p w14:paraId="28E81014" w14:textId="77777777" w:rsidR="00877736" w:rsidRPr="003E16F3" w:rsidRDefault="00877736" w:rsidP="00732577">
      <w:pPr>
        <w:pStyle w:val="Prrafodelista"/>
        <w:spacing w:line="276" w:lineRule="auto"/>
        <w:jc w:val="both"/>
        <w:rPr>
          <w:rFonts w:ascii="Book Antiqua" w:hAnsi="Book Antiqua"/>
          <w:color w:val="000000" w:themeColor="text1"/>
        </w:rPr>
      </w:pPr>
    </w:p>
    <w:p w14:paraId="7888761A" w14:textId="513610CB" w:rsidR="00732577" w:rsidRPr="00061BC9" w:rsidRDefault="00732577" w:rsidP="0073399F">
      <w:pPr>
        <w:pStyle w:val="Prrafodelista"/>
        <w:numPr>
          <w:ilvl w:val="0"/>
          <w:numId w:val="11"/>
        </w:numPr>
        <w:spacing w:line="276" w:lineRule="auto"/>
        <w:jc w:val="both"/>
        <w:rPr>
          <w:rFonts w:ascii="Book Antiqua" w:hAnsi="Book Antiqua"/>
          <w:color w:val="000000" w:themeColor="text1"/>
        </w:rPr>
      </w:pPr>
      <w:r w:rsidRPr="00732577">
        <w:rPr>
          <w:rFonts w:ascii="Book Antiqua" w:hAnsi="Book Antiqua"/>
          <w:color w:val="000000" w:themeColor="text1"/>
        </w:rPr>
        <w:t>Las secciones de flagrancia tienen un parámetro de producción de 35 sentencias, medidas alternas o audiencias iniciales, durante el mes de mayo en promedio se alcanzó un parámetro de cumplimiento del 82% y considerando el soporte al ordinario el rendimiento general es de un 86%. Se destaca que, de la totalidad de las oficinas del contexto de Flagrancia, Alajuela, Santa Cruz, Heredia, San Carlos y San Ramón son los únicos despachos que logran alcanzar un rendimiento igual o mayor al valor mínimo de producción.</w:t>
      </w:r>
    </w:p>
    <w:p w14:paraId="591B74AE" w14:textId="7BBF7736" w:rsidR="006123B9" w:rsidRPr="00732577" w:rsidRDefault="006123B9" w:rsidP="00732577">
      <w:pPr>
        <w:pStyle w:val="Prrafodelista"/>
        <w:spacing w:line="276" w:lineRule="auto"/>
        <w:ind w:left="720"/>
        <w:contextualSpacing/>
        <w:jc w:val="both"/>
        <w:rPr>
          <w:rFonts w:ascii="Book Antiqua" w:hAnsi="Book Antiqua"/>
          <w:color w:val="000000" w:themeColor="text1"/>
        </w:rPr>
      </w:pPr>
    </w:p>
    <w:p w14:paraId="3B3AFA86" w14:textId="21AA4F23" w:rsidR="003145C2" w:rsidRPr="003E16F3" w:rsidRDefault="006123B9" w:rsidP="0073399F">
      <w:pPr>
        <w:pStyle w:val="Prrafodelista"/>
        <w:numPr>
          <w:ilvl w:val="0"/>
          <w:numId w:val="11"/>
        </w:numPr>
        <w:spacing w:line="276" w:lineRule="auto"/>
        <w:contextualSpacing/>
        <w:jc w:val="both"/>
        <w:rPr>
          <w:rFonts w:ascii="Book Antiqua" w:hAnsi="Book Antiqua"/>
          <w:color w:val="000000" w:themeColor="text1"/>
        </w:rPr>
      </w:pPr>
      <w:r w:rsidRPr="003E16F3">
        <w:rPr>
          <w:rFonts w:ascii="Book Antiqua" w:hAnsi="Book Antiqua"/>
          <w:color w:val="000000" w:themeColor="text1"/>
        </w:rPr>
        <w:t>El personal de la judicatura de los Juzgados de Ejecución de la Pena, firmaron 5203 expedientes y finalizaron 1497 incidentes</w:t>
      </w:r>
      <w:r w:rsidR="00091415" w:rsidRPr="003E16F3">
        <w:rPr>
          <w:rFonts w:ascii="Book Antiqua" w:hAnsi="Book Antiqua"/>
          <w:color w:val="000000" w:themeColor="text1"/>
        </w:rPr>
        <w:t>.</w:t>
      </w:r>
    </w:p>
    <w:p w14:paraId="730014D6" w14:textId="77777777" w:rsidR="006123B9" w:rsidRPr="00033714" w:rsidRDefault="006123B9" w:rsidP="00985591">
      <w:pPr>
        <w:pStyle w:val="Prrafodelista"/>
        <w:spacing w:line="276" w:lineRule="auto"/>
        <w:rPr>
          <w:rFonts w:ascii="Book Antiqua" w:hAnsi="Book Antiqua"/>
          <w:color w:val="000000" w:themeColor="text1"/>
          <w:highlight w:val="green"/>
        </w:rPr>
      </w:pPr>
    </w:p>
    <w:p w14:paraId="59E62BF7" w14:textId="77777777" w:rsidR="00B44743" w:rsidRPr="003E16F3" w:rsidRDefault="00091415" w:rsidP="0073399F">
      <w:pPr>
        <w:pStyle w:val="Prrafodelista"/>
        <w:numPr>
          <w:ilvl w:val="0"/>
          <w:numId w:val="11"/>
        </w:numPr>
        <w:spacing w:line="276" w:lineRule="auto"/>
        <w:jc w:val="both"/>
        <w:rPr>
          <w:rFonts w:ascii="Book Antiqua" w:hAnsi="Book Antiqua"/>
          <w:color w:val="000000" w:themeColor="text1"/>
        </w:rPr>
      </w:pPr>
      <w:r w:rsidRPr="003E16F3">
        <w:rPr>
          <w:rFonts w:ascii="Book Antiqua" w:hAnsi="Book Antiqua"/>
          <w:color w:val="000000" w:themeColor="text1"/>
        </w:rPr>
        <w:t>Los Juzgados de Ejecución de la Pena registran de cumplimiento de producción un 93% en incidentes terminados y 157% en firma de expedientes.</w:t>
      </w:r>
    </w:p>
    <w:p w14:paraId="6E31978B" w14:textId="77777777" w:rsidR="00B44743" w:rsidRPr="003E16F3" w:rsidRDefault="00B44743" w:rsidP="00985591">
      <w:pPr>
        <w:pStyle w:val="Prrafodelista"/>
        <w:spacing w:line="276" w:lineRule="auto"/>
        <w:rPr>
          <w:rFonts w:ascii="Book Antiqua" w:hAnsi="Book Antiqua"/>
          <w:color w:val="000000" w:themeColor="text1"/>
        </w:rPr>
      </w:pPr>
    </w:p>
    <w:p w14:paraId="7DED7BB9" w14:textId="77777777" w:rsidR="00F67201" w:rsidRPr="003E16F3" w:rsidRDefault="00B44743" w:rsidP="0073399F">
      <w:pPr>
        <w:pStyle w:val="Prrafodelista"/>
        <w:numPr>
          <w:ilvl w:val="0"/>
          <w:numId w:val="11"/>
        </w:numPr>
        <w:spacing w:line="276" w:lineRule="auto"/>
        <w:jc w:val="both"/>
        <w:rPr>
          <w:rFonts w:ascii="Book Antiqua" w:hAnsi="Book Antiqua"/>
          <w:color w:val="000000" w:themeColor="text1"/>
        </w:rPr>
      </w:pPr>
      <w:r w:rsidRPr="003E16F3">
        <w:rPr>
          <w:rFonts w:ascii="Book Antiqua" w:hAnsi="Book Antiqua"/>
          <w:color w:val="000000" w:themeColor="text1"/>
        </w:rPr>
        <w:t>Durante el mes de mayo del 2021, el porcentaje general de rendimiento de los Tribunales de Apelación de Sentencia fue de un 95% y el despacho que sobrepasó el 100% fue San Ramón.</w:t>
      </w:r>
    </w:p>
    <w:p w14:paraId="1AB05588" w14:textId="77777777" w:rsidR="00F67201" w:rsidRPr="003E16F3" w:rsidRDefault="00F67201" w:rsidP="00985591">
      <w:pPr>
        <w:pStyle w:val="Prrafodelista"/>
        <w:spacing w:line="276" w:lineRule="auto"/>
        <w:rPr>
          <w:rFonts w:ascii="Book Antiqua" w:hAnsi="Book Antiqua"/>
          <w:color w:val="000000" w:themeColor="text1"/>
        </w:rPr>
      </w:pPr>
    </w:p>
    <w:p w14:paraId="4A4D7B82" w14:textId="49D14FC1" w:rsidR="003145C2" w:rsidRPr="003E16F3" w:rsidRDefault="00F67201" w:rsidP="0073399F">
      <w:pPr>
        <w:pStyle w:val="Prrafodelista"/>
        <w:numPr>
          <w:ilvl w:val="0"/>
          <w:numId w:val="11"/>
        </w:numPr>
        <w:spacing w:line="276" w:lineRule="auto"/>
        <w:jc w:val="both"/>
        <w:rPr>
          <w:rFonts w:ascii="Book Antiqua" w:hAnsi="Book Antiqua"/>
          <w:color w:val="000000" w:themeColor="text1"/>
        </w:rPr>
      </w:pPr>
      <w:r w:rsidRPr="003E16F3">
        <w:rPr>
          <w:rFonts w:ascii="Book Antiqua" w:hAnsi="Book Antiqua"/>
          <w:color w:val="000000" w:themeColor="text1"/>
        </w:rPr>
        <w:t>El personal Profesional de la Sala Tercera refleja la mayor cantidad de actividades en la variable de revisión de expedientes y resoluciones 300, clasificación de jurisprudencia con 151, votaciones 143 y proyectos de resolución 121.</w:t>
      </w:r>
    </w:p>
    <w:p w14:paraId="528EF604" w14:textId="77777777" w:rsidR="003145C2" w:rsidRPr="003E16F3" w:rsidRDefault="003145C2" w:rsidP="00985591">
      <w:pPr>
        <w:pStyle w:val="Prrafodelista"/>
        <w:spacing w:line="276" w:lineRule="auto"/>
        <w:ind w:left="720"/>
        <w:contextualSpacing/>
        <w:jc w:val="both"/>
        <w:rPr>
          <w:rFonts w:ascii="Book Antiqua" w:hAnsi="Book Antiqua"/>
          <w:color w:val="000000" w:themeColor="text1"/>
        </w:rPr>
      </w:pPr>
    </w:p>
    <w:p w14:paraId="09838A25" w14:textId="4DF9F967" w:rsidR="00681785" w:rsidRPr="003E16F3" w:rsidRDefault="00C9240F" w:rsidP="0073399F">
      <w:pPr>
        <w:pStyle w:val="Prrafodelista"/>
        <w:numPr>
          <w:ilvl w:val="0"/>
          <w:numId w:val="11"/>
        </w:numPr>
        <w:spacing w:line="276" w:lineRule="auto"/>
        <w:contextualSpacing/>
        <w:jc w:val="both"/>
        <w:rPr>
          <w:rFonts w:ascii="Book Antiqua" w:hAnsi="Book Antiqua"/>
          <w:color w:val="000000" w:themeColor="text1"/>
        </w:rPr>
      </w:pPr>
      <w:r w:rsidRPr="003E16F3">
        <w:rPr>
          <w:rFonts w:ascii="Book Antiqua" w:hAnsi="Book Antiqua"/>
          <w:color w:val="000000" w:themeColor="text1"/>
        </w:rPr>
        <w:t xml:space="preserve">El porcentaje de cumplimiento de Sala </w:t>
      </w:r>
      <w:r w:rsidR="007217E3" w:rsidRPr="003E16F3">
        <w:rPr>
          <w:rFonts w:ascii="Book Antiqua" w:hAnsi="Book Antiqua"/>
          <w:color w:val="000000" w:themeColor="text1"/>
        </w:rPr>
        <w:t>Tercera</w:t>
      </w:r>
      <w:r w:rsidRPr="003E16F3">
        <w:rPr>
          <w:rFonts w:ascii="Book Antiqua" w:hAnsi="Book Antiqua"/>
          <w:color w:val="000000" w:themeColor="text1"/>
        </w:rPr>
        <w:t xml:space="preserve"> alcanzó un 95% de producción durante el mes de mayo.</w:t>
      </w:r>
    </w:p>
    <w:p w14:paraId="38A50D39" w14:textId="77777777" w:rsidR="00681785" w:rsidRPr="003E16F3" w:rsidRDefault="00681785" w:rsidP="00985591">
      <w:pPr>
        <w:spacing w:line="276" w:lineRule="auto"/>
        <w:jc w:val="both"/>
        <w:rPr>
          <w:rFonts w:ascii="Book Antiqua" w:hAnsi="Book Antiqua"/>
        </w:rPr>
      </w:pPr>
    </w:p>
    <w:p w14:paraId="42AB1F1D" w14:textId="11C9F5EE" w:rsidR="00681785" w:rsidRPr="003E16F3" w:rsidRDefault="00681785" w:rsidP="00985591">
      <w:pPr>
        <w:spacing w:line="276" w:lineRule="auto"/>
        <w:jc w:val="both"/>
        <w:rPr>
          <w:rFonts w:ascii="Book Antiqua" w:hAnsi="Book Antiqua"/>
          <w:b/>
          <w:bCs/>
        </w:rPr>
      </w:pPr>
      <w:bookmarkStart w:id="30" w:name="_Hlk87362526"/>
      <w:r w:rsidRPr="003E16F3">
        <w:rPr>
          <w:rFonts w:ascii="Book Antiqua" w:hAnsi="Book Antiqua"/>
          <w:b/>
          <w:bCs/>
        </w:rPr>
        <w:t xml:space="preserve">Capítulo V. Resultados de la materia penal en el mes de </w:t>
      </w:r>
      <w:r w:rsidR="003F70C8" w:rsidRPr="003E16F3">
        <w:rPr>
          <w:rFonts w:ascii="Book Antiqua" w:hAnsi="Book Antiqua"/>
          <w:b/>
          <w:bCs/>
        </w:rPr>
        <w:t>junio</w:t>
      </w:r>
    </w:p>
    <w:bookmarkEnd w:id="30"/>
    <w:p w14:paraId="7A85AEBC" w14:textId="77777777" w:rsidR="00C75D0F" w:rsidRPr="003E16F3" w:rsidRDefault="00C75D0F" w:rsidP="00985591">
      <w:pPr>
        <w:pStyle w:val="Prrafodelista"/>
        <w:spacing w:line="276" w:lineRule="auto"/>
        <w:ind w:left="720"/>
        <w:contextualSpacing/>
        <w:jc w:val="both"/>
        <w:rPr>
          <w:rFonts w:ascii="Book Antiqua" w:hAnsi="Book Antiqua"/>
          <w:color w:val="000000" w:themeColor="text1"/>
        </w:rPr>
      </w:pPr>
    </w:p>
    <w:p w14:paraId="0576E257" w14:textId="3CD5CA0B" w:rsidR="00E534AD" w:rsidRPr="003E16F3" w:rsidRDefault="003F70C8" w:rsidP="0073399F">
      <w:pPr>
        <w:pStyle w:val="Prrafodelista"/>
        <w:numPr>
          <w:ilvl w:val="0"/>
          <w:numId w:val="11"/>
        </w:numPr>
        <w:spacing w:line="276" w:lineRule="auto"/>
        <w:jc w:val="both"/>
        <w:rPr>
          <w:rFonts w:ascii="Book Antiqua" w:hAnsi="Book Antiqua"/>
          <w:color w:val="000000" w:themeColor="text1"/>
        </w:rPr>
      </w:pPr>
      <w:r w:rsidRPr="003E16F3">
        <w:rPr>
          <w:rFonts w:ascii="Book Antiqua" w:hAnsi="Book Antiqua"/>
          <w:color w:val="000000" w:themeColor="text1"/>
        </w:rPr>
        <w:t>A nivel de Juzgados Penales, en promedio el cumplimiento del parámetro de producción teórico durante el mes de junio 2021 fue del 104%.</w:t>
      </w:r>
    </w:p>
    <w:p w14:paraId="70B4E8CD" w14:textId="77777777" w:rsidR="00E534AD" w:rsidRPr="003E16F3" w:rsidRDefault="00E534AD" w:rsidP="00985591">
      <w:pPr>
        <w:pStyle w:val="Prrafodelista"/>
        <w:spacing w:line="276" w:lineRule="auto"/>
        <w:ind w:left="720"/>
        <w:jc w:val="both"/>
        <w:rPr>
          <w:rFonts w:ascii="Book Antiqua" w:hAnsi="Book Antiqua"/>
          <w:color w:val="000000" w:themeColor="text1"/>
        </w:rPr>
      </w:pPr>
    </w:p>
    <w:p w14:paraId="0D6C0DB8" w14:textId="67AF3A3F" w:rsidR="00E534AD" w:rsidRPr="003E16F3" w:rsidRDefault="00E534AD" w:rsidP="0073399F">
      <w:pPr>
        <w:pStyle w:val="Prrafodelista"/>
        <w:numPr>
          <w:ilvl w:val="0"/>
          <w:numId w:val="11"/>
        </w:numPr>
        <w:spacing w:line="276" w:lineRule="auto"/>
        <w:jc w:val="both"/>
        <w:rPr>
          <w:rFonts w:ascii="Book Antiqua" w:hAnsi="Book Antiqua"/>
          <w:color w:val="000000" w:themeColor="text1"/>
        </w:rPr>
      </w:pPr>
      <w:r w:rsidRPr="003E16F3">
        <w:rPr>
          <w:rFonts w:ascii="Book Antiqua" w:hAnsi="Book Antiqua"/>
          <w:color w:val="000000" w:themeColor="text1"/>
        </w:rPr>
        <w:t xml:space="preserve">Las principales actividades reportadas por </w:t>
      </w:r>
      <w:r w:rsidR="007217E3">
        <w:rPr>
          <w:rFonts w:ascii="Book Antiqua" w:hAnsi="Book Antiqua"/>
          <w:color w:val="000000" w:themeColor="text1"/>
        </w:rPr>
        <w:t>el personal de la judicatura</w:t>
      </w:r>
      <w:r w:rsidRPr="003E16F3">
        <w:rPr>
          <w:rFonts w:ascii="Book Antiqua" w:hAnsi="Book Antiqua"/>
          <w:color w:val="000000" w:themeColor="text1"/>
        </w:rPr>
        <w:t xml:space="preserve"> de los Tribunales de Juicio obedecen al dictado de sentencias con </w:t>
      </w:r>
      <w:r w:rsidR="007217E3">
        <w:rPr>
          <w:rFonts w:ascii="Book Antiqua" w:hAnsi="Book Antiqua"/>
          <w:color w:val="000000" w:themeColor="text1"/>
        </w:rPr>
        <w:t>1000 y recursos de apelación con 409</w:t>
      </w:r>
      <w:r w:rsidRPr="003E16F3">
        <w:rPr>
          <w:rFonts w:ascii="Book Antiqua" w:hAnsi="Book Antiqua"/>
          <w:color w:val="000000" w:themeColor="text1"/>
        </w:rPr>
        <w:t>.</w:t>
      </w:r>
    </w:p>
    <w:p w14:paraId="79189E64" w14:textId="77777777" w:rsidR="00E4469E" w:rsidRPr="0071666E" w:rsidRDefault="00E4469E" w:rsidP="0071666E">
      <w:pPr>
        <w:spacing w:line="276" w:lineRule="auto"/>
        <w:rPr>
          <w:rFonts w:ascii="Book Antiqua" w:hAnsi="Book Antiqua"/>
          <w:color w:val="000000" w:themeColor="text1"/>
        </w:rPr>
      </w:pPr>
    </w:p>
    <w:p w14:paraId="4D411C4F" w14:textId="72CB9CA2" w:rsidR="00877736" w:rsidRPr="003E16F3" w:rsidRDefault="00E4469E" w:rsidP="0073399F">
      <w:pPr>
        <w:pStyle w:val="Prrafodelista"/>
        <w:numPr>
          <w:ilvl w:val="0"/>
          <w:numId w:val="11"/>
        </w:numPr>
        <w:spacing w:line="276" w:lineRule="auto"/>
        <w:jc w:val="both"/>
        <w:rPr>
          <w:rFonts w:ascii="Book Antiqua" w:hAnsi="Book Antiqua"/>
          <w:color w:val="000000" w:themeColor="text1"/>
        </w:rPr>
      </w:pPr>
      <w:r w:rsidRPr="003E16F3">
        <w:rPr>
          <w:rFonts w:ascii="Book Antiqua" w:hAnsi="Book Antiqua"/>
          <w:color w:val="000000" w:themeColor="text1"/>
        </w:rPr>
        <w:t xml:space="preserve">Las </w:t>
      </w:r>
      <w:r w:rsidR="0071666E" w:rsidRPr="0071666E">
        <w:rPr>
          <w:rFonts w:ascii="Book Antiqua" w:hAnsi="Book Antiqua"/>
          <w:color w:val="000000" w:themeColor="text1"/>
        </w:rPr>
        <w:t>secciones de flagrancia reportaron un total de 831 audiencias iniciales, 621 sentencias dictadas y se lograron un total de 480 medidas alternas.</w:t>
      </w:r>
    </w:p>
    <w:p w14:paraId="47FE73E2" w14:textId="77777777" w:rsidR="00877736" w:rsidRPr="003E16F3" w:rsidRDefault="00877736" w:rsidP="0071666E">
      <w:pPr>
        <w:spacing w:line="276" w:lineRule="auto"/>
        <w:jc w:val="both"/>
        <w:rPr>
          <w:rFonts w:ascii="Book Antiqua" w:hAnsi="Book Antiqua"/>
          <w:color w:val="000000" w:themeColor="text1"/>
        </w:rPr>
      </w:pPr>
    </w:p>
    <w:p w14:paraId="1B0D2B9B" w14:textId="082A349B" w:rsidR="003145C2" w:rsidRPr="003E16F3" w:rsidRDefault="00877736" w:rsidP="0073399F">
      <w:pPr>
        <w:pStyle w:val="Prrafodelista"/>
        <w:numPr>
          <w:ilvl w:val="0"/>
          <w:numId w:val="11"/>
        </w:numPr>
        <w:spacing w:line="276" w:lineRule="auto"/>
        <w:jc w:val="both"/>
        <w:rPr>
          <w:rFonts w:ascii="Book Antiqua" w:hAnsi="Book Antiqua"/>
          <w:color w:val="000000" w:themeColor="text1"/>
        </w:rPr>
      </w:pPr>
      <w:r w:rsidRPr="003E16F3">
        <w:rPr>
          <w:rFonts w:ascii="Book Antiqua" w:hAnsi="Book Antiqua"/>
          <w:color w:val="000000" w:themeColor="text1"/>
        </w:rPr>
        <w:t xml:space="preserve">Las </w:t>
      </w:r>
      <w:r w:rsidR="0071666E" w:rsidRPr="0071666E">
        <w:rPr>
          <w:rFonts w:ascii="Book Antiqua" w:hAnsi="Book Antiqua"/>
          <w:color w:val="000000" w:themeColor="text1"/>
        </w:rPr>
        <w:t>secciones de flagrancia tienen un parámetro de producción de 35 sentencias, medidas alternas o audiencias iniciales, durante el mes de junio en promedio se alcanzó un parámetro de cumplimiento del 82% y considerando el soporte al ordinario el rendimiento general es de un 86%.  Se destaca que, para el mes en estudio, de la totalidad de las oficinas del contexto de Flagrancia, Alajuela, Liberia, Heredia, San Ramón y San Carlos son los únicos despachos que logran alcanzar un rendimiento igual o mayor al valor mínimo de producción</w:t>
      </w:r>
      <w:r w:rsidR="00091415" w:rsidRPr="003E16F3">
        <w:rPr>
          <w:rFonts w:ascii="Book Antiqua" w:hAnsi="Book Antiqua"/>
          <w:color w:val="000000" w:themeColor="text1"/>
        </w:rPr>
        <w:t>.</w:t>
      </w:r>
    </w:p>
    <w:p w14:paraId="2991F87A" w14:textId="77777777" w:rsidR="00091415" w:rsidRPr="003E16F3" w:rsidRDefault="00091415" w:rsidP="00985591">
      <w:pPr>
        <w:pStyle w:val="Prrafodelista"/>
        <w:spacing w:line="276" w:lineRule="auto"/>
        <w:rPr>
          <w:rFonts w:ascii="Book Antiqua" w:hAnsi="Book Antiqua"/>
          <w:color w:val="000000" w:themeColor="text1"/>
        </w:rPr>
      </w:pPr>
    </w:p>
    <w:p w14:paraId="798AC017" w14:textId="77777777" w:rsidR="00B44743" w:rsidRPr="003E16F3" w:rsidRDefault="00091415" w:rsidP="0073399F">
      <w:pPr>
        <w:pStyle w:val="Prrafodelista"/>
        <w:numPr>
          <w:ilvl w:val="0"/>
          <w:numId w:val="11"/>
        </w:numPr>
        <w:spacing w:line="276" w:lineRule="auto"/>
        <w:jc w:val="both"/>
        <w:rPr>
          <w:rFonts w:ascii="Book Antiqua" w:hAnsi="Book Antiqua"/>
          <w:color w:val="000000" w:themeColor="text1"/>
        </w:rPr>
      </w:pPr>
      <w:r w:rsidRPr="003E16F3">
        <w:rPr>
          <w:rFonts w:ascii="Book Antiqua" w:hAnsi="Book Antiqua"/>
          <w:color w:val="000000" w:themeColor="text1"/>
        </w:rPr>
        <w:t>Los Juzgados de Ejecución de la Pena registran de cumplimiento de producción un 96% en incidentes terminados y 187% en firma de expedientes.</w:t>
      </w:r>
    </w:p>
    <w:p w14:paraId="2B220979" w14:textId="77777777" w:rsidR="00B44743" w:rsidRPr="00C806FF" w:rsidRDefault="00B44743" w:rsidP="00C806FF">
      <w:pPr>
        <w:spacing w:line="276" w:lineRule="auto"/>
        <w:rPr>
          <w:rFonts w:ascii="Book Antiqua" w:hAnsi="Book Antiqua"/>
          <w:color w:val="000000" w:themeColor="text1"/>
        </w:rPr>
      </w:pPr>
    </w:p>
    <w:p w14:paraId="146E6365" w14:textId="396A2BA9" w:rsidR="00B44743" w:rsidRPr="003E16F3" w:rsidRDefault="00B44743" w:rsidP="0073399F">
      <w:pPr>
        <w:pStyle w:val="Prrafodelista"/>
        <w:numPr>
          <w:ilvl w:val="0"/>
          <w:numId w:val="11"/>
        </w:numPr>
        <w:spacing w:line="276" w:lineRule="auto"/>
        <w:jc w:val="both"/>
        <w:rPr>
          <w:rFonts w:ascii="Book Antiqua" w:hAnsi="Book Antiqua"/>
          <w:color w:val="000000" w:themeColor="text1"/>
        </w:rPr>
      </w:pPr>
      <w:r w:rsidRPr="003E16F3">
        <w:rPr>
          <w:rFonts w:ascii="Book Antiqua" w:hAnsi="Book Antiqua"/>
          <w:color w:val="000000" w:themeColor="text1"/>
        </w:rPr>
        <w:t>Durante el mes de junio del 2021, el porcentaje general de rendimiento de los Tribunales de Apelación de Sentencia fue de un 93% y el despacho que alcanzó el 100% fue Goicoechea.</w:t>
      </w:r>
    </w:p>
    <w:p w14:paraId="21848AE9" w14:textId="77777777" w:rsidR="00163B81" w:rsidRPr="003E16F3" w:rsidRDefault="00163B81" w:rsidP="00985591">
      <w:pPr>
        <w:spacing w:line="276" w:lineRule="auto"/>
        <w:rPr>
          <w:rFonts w:ascii="Book Antiqua" w:hAnsi="Book Antiqua"/>
          <w:color w:val="000000" w:themeColor="text1"/>
        </w:rPr>
      </w:pPr>
    </w:p>
    <w:p w14:paraId="7AD346B2" w14:textId="0F841133" w:rsidR="003145C2" w:rsidRPr="003E16F3" w:rsidRDefault="00A63C91" w:rsidP="0073399F">
      <w:pPr>
        <w:pStyle w:val="Prrafodelista"/>
        <w:numPr>
          <w:ilvl w:val="0"/>
          <w:numId w:val="11"/>
        </w:numPr>
        <w:spacing w:line="276" w:lineRule="auto"/>
        <w:contextualSpacing/>
        <w:jc w:val="both"/>
        <w:rPr>
          <w:rFonts w:ascii="Book Antiqua" w:hAnsi="Book Antiqua"/>
          <w:color w:val="000000" w:themeColor="text1"/>
        </w:rPr>
      </w:pPr>
      <w:r>
        <w:rPr>
          <w:rFonts w:ascii="Book Antiqua" w:hAnsi="Book Antiqua"/>
          <w:color w:val="000000" w:themeColor="text1"/>
        </w:rPr>
        <w:t xml:space="preserve">En Sala Tercera, </w:t>
      </w:r>
      <w:r w:rsidR="00C9240F" w:rsidRPr="003E16F3">
        <w:rPr>
          <w:rFonts w:ascii="Book Antiqua" w:hAnsi="Book Antiqua"/>
          <w:color w:val="000000" w:themeColor="text1"/>
        </w:rPr>
        <w:t>la mayor cantidad de actividades se concentra en la revisión de expedientes y resoluciones con 352, seguido de la Clasificación de jurisprudencia 320, Proyectos de resolución 121 y votaciones con 101.</w:t>
      </w:r>
    </w:p>
    <w:p w14:paraId="601EB8D0" w14:textId="77777777" w:rsidR="00C9240F" w:rsidRPr="003E16F3" w:rsidRDefault="00C9240F" w:rsidP="00985591">
      <w:pPr>
        <w:pStyle w:val="Prrafodelista"/>
        <w:spacing w:line="276" w:lineRule="auto"/>
        <w:ind w:left="720"/>
        <w:contextualSpacing/>
        <w:jc w:val="both"/>
        <w:rPr>
          <w:rFonts w:ascii="Book Antiqua" w:hAnsi="Book Antiqua"/>
          <w:color w:val="000000" w:themeColor="text1"/>
        </w:rPr>
      </w:pPr>
    </w:p>
    <w:p w14:paraId="71AC82A1" w14:textId="7ECDE115" w:rsidR="003145C2" w:rsidRPr="006F775A" w:rsidRDefault="00C9240F" w:rsidP="00985591">
      <w:pPr>
        <w:pStyle w:val="Prrafodelista"/>
        <w:numPr>
          <w:ilvl w:val="0"/>
          <w:numId w:val="11"/>
        </w:numPr>
        <w:spacing w:line="276" w:lineRule="auto"/>
        <w:contextualSpacing/>
        <w:jc w:val="both"/>
        <w:rPr>
          <w:rFonts w:ascii="Book Antiqua" w:hAnsi="Book Antiqua"/>
          <w:color w:val="000000" w:themeColor="text1"/>
        </w:rPr>
      </w:pPr>
      <w:r w:rsidRPr="003E16F3">
        <w:rPr>
          <w:rFonts w:ascii="Book Antiqua" w:hAnsi="Book Antiqua"/>
          <w:color w:val="000000" w:themeColor="text1"/>
        </w:rPr>
        <w:t xml:space="preserve">El porcentaje de cumplimiento de Sala </w:t>
      </w:r>
      <w:r w:rsidR="00A63C91" w:rsidRPr="003E16F3">
        <w:rPr>
          <w:rFonts w:ascii="Book Antiqua" w:hAnsi="Book Antiqua"/>
          <w:color w:val="000000" w:themeColor="text1"/>
        </w:rPr>
        <w:t>Tercera</w:t>
      </w:r>
      <w:r w:rsidRPr="003E16F3">
        <w:rPr>
          <w:rFonts w:ascii="Book Antiqua" w:hAnsi="Book Antiqua"/>
          <w:color w:val="000000" w:themeColor="text1"/>
        </w:rPr>
        <w:t xml:space="preserve"> alcanzó un 92% de producción durante el mes de junio.</w:t>
      </w:r>
    </w:p>
    <w:p w14:paraId="59F89A22" w14:textId="77777777" w:rsidR="00681785" w:rsidRPr="003E16F3" w:rsidRDefault="00681785" w:rsidP="00985591">
      <w:pPr>
        <w:spacing w:line="276" w:lineRule="auto"/>
        <w:jc w:val="both"/>
        <w:rPr>
          <w:rFonts w:ascii="Book Antiqua" w:hAnsi="Book Antiqua"/>
        </w:rPr>
      </w:pPr>
    </w:p>
    <w:p w14:paraId="313DEF22" w14:textId="2531F04D" w:rsidR="00681785" w:rsidRPr="003E16F3" w:rsidRDefault="00681785" w:rsidP="00985591">
      <w:pPr>
        <w:spacing w:line="276" w:lineRule="auto"/>
        <w:jc w:val="both"/>
        <w:rPr>
          <w:rFonts w:ascii="Book Antiqua" w:hAnsi="Book Antiqua"/>
          <w:b/>
          <w:bCs/>
        </w:rPr>
      </w:pPr>
      <w:bookmarkStart w:id="31" w:name="_Hlk87362533"/>
      <w:r w:rsidRPr="003E16F3">
        <w:rPr>
          <w:rFonts w:ascii="Book Antiqua" w:hAnsi="Book Antiqua"/>
          <w:b/>
          <w:bCs/>
        </w:rPr>
        <w:t>Capítulo V</w:t>
      </w:r>
      <w:r w:rsidR="00D75BA0" w:rsidRPr="003E16F3">
        <w:rPr>
          <w:rFonts w:ascii="Book Antiqua" w:hAnsi="Book Antiqua"/>
          <w:b/>
          <w:bCs/>
        </w:rPr>
        <w:t>I</w:t>
      </w:r>
      <w:r w:rsidRPr="003E16F3">
        <w:rPr>
          <w:rFonts w:ascii="Book Antiqua" w:hAnsi="Book Antiqua"/>
          <w:b/>
          <w:bCs/>
        </w:rPr>
        <w:t xml:space="preserve">. Resultados de la materia penal en el mes de </w:t>
      </w:r>
      <w:r w:rsidR="003F70C8" w:rsidRPr="003E16F3">
        <w:rPr>
          <w:rFonts w:ascii="Book Antiqua" w:hAnsi="Book Antiqua"/>
          <w:b/>
          <w:bCs/>
        </w:rPr>
        <w:t>julio</w:t>
      </w:r>
    </w:p>
    <w:bookmarkEnd w:id="31"/>
    <w:p w14:paraId="0D3C350A" w14:textId="77777777" w:rsidR="00681785" w:rsidRPr="003E16F3" w:rsidRDefault="00681785" w:rsidP="00985591">
      <w:pPr>
        <w:spacing w:line="276" w:lineRule="auto"/>
        <w:jc w:val="both"/>
        <w:rPr>
          <w:rFonts w:ascii="Book Antiqua" w:hAnsi="Book Antiqua"/>
        </w:rPr>
      </w:pPr>
    </w:p>
    <w:p w14:paraId="708D428C" w14:textId="38D14312" w:rsidR="007B4FDF" w:rsidRPr="003E16F3" w:rsidRDefault="003F70C8" w:rsidP="0073399F">
      <w:pPr>
        <w:pStyle w:val="Prrafodelista"/>
        <w:numPr>
          <w:ilvl w:val="0"/>
          <w:numId w:val="11"/>
        </w:numPr>
        <w:spacing w:line="276" w:lineRule="auto"/>
        <w:jc w:val="both"/>
        <w:rPr>
          <w:rFonts w:ascii="Book Antiqua" w:hAnsi="Book Antiqua"/>
          <w:color w:val="000000" w:themeColor="text1"/>
        </w:rPr>
      </w:pPr>
      <w:r w:rsidRPr="003E16F3">
        <w:rPr>
          <w:rFonts w:ascii="Book Antiqua" w:hAnsi="Book Antiqua"/>
          <w:color w:val="000000" w:themeColor="text1"/>
        </w:rPr>
        <w:t>A nivel de Juzgados Penales, en promedio el cumplimiento del parámetro de producción teórico durante el mes de julio 2021 fue del 9</w:t>
      </w:r>
      <w:r w:rsidR="00E35043">
        <w:rPr>
          <w:rFonts w:ascii="Book Antiqua" w:hAnsi="Book Antiqua"/>
          <w:color w:val="000000" w:themeColor="text1"/>
        </w:rPr>
        <w:t>7</w:t>
      </w:r>
      <w:r w:rsidRPr="003E16F3">
        <w:rPr>
          <w:rFonts w:ascii="Book Antiqua" w:hAnsi="Book Antiqua"/>
          <w:color w:val="000000" w:themeColor="text1"/>
        </w:rPr>
        <w:t>%.</w:t>
      </w:r>
    </w:p>
    <w:p w14:paraId="66FEC78F" w14:textId="77777777" w:rsidR="007B4FDF" w:rsidRPr="003E16F3" w:rsidRDefault="007B4FDF" w:rsidP="00985591">
      <w:pPr>
        <w:pStyle w:val="Prrafodelista"/>
        <w:spacing w:line="276" w:lineRule="auto"/>
        <w:ind w:left="720"/>
        <w:jc w:val="both"/>
        <w:rPr>
          <w:rFonts w:ascii="Book Antiqua" w:hAnsi="Book Antiqua"/>
          <w:color w:val="000000" w:themeColor="text1"/>
        </w:rPr>
      </w:pPr>
    </w:p>
    <w:p w14:paraId="684965DD" w14:textId="32EFF79F" w:rsidR="007B4FDF" w:rsidRPr="003E16F3" w:rsidRDefault="007B4FDF" w:rsidP="0073399F">
      <w:pPr>
        <w:pStyle w:val="Prrafodelista"/>
        <w:numPr>
          <w:ilvl w:val="0"/>
          <w:numId w:val="11"/>
        </w:numPr>
        <w:spacing w:line="276" w:lineRule="auto"/>
        <w:jc w:val="both"/>
        <w:rPr>
          <w:rFonts w:ascii="Book Antiqua" w:hAnsi="Book Antiqua"/>
          <w:color w:val="000000" w:themeColor="text1"/>
        </w:rPr>
      </w:pPr>
      <w:r w:rsidRPr="003E16F3">
        <w:rPr>
          <w:rFonts w:ascii="Book Antiqua" w:hAnsi="Book Antiqua"/>
          <w:color w:val="000000" w:themeColor="text1"/>
        </w:rPr>
        <w:t xml:space="preserve">Las principales actividades reportadas por </w:t>
      </w:r>
      <w:r w:rsidR="00E35043">
        <w:rPr>
          <w:rFonts w:ascii="Book Antiqua" w:hAnsi="Book Antiqua"/>
          <w:color w:val="000000" w:themeColor="text1"/>
        </w:rPr>
        <w:t>el personal de la judicatura</w:t>
      </w:r>
      <w:r w:rsidRPr="003E16F3">
        <w:rPr>
          <w:rFonts w:ascii="Book Antiqua" w:hAnsi="Book Antiqua"/>
          <w:color w:val="000000" w:themeColor="text1"/>
        </w:rPr>
        <w:t xml:space="preserve"> de los Tribunales de Juicio obedecen al dictado de sentencias con </w:t>
      </w:r>
      <w:r w:rsidR="00E35043">
        <w:rPr>
          <w:rFonts w:ascii="Book Antiqua" w:hAnsi="Book Antiqua"/>
          <w:color w:val="000000" w:themeColor="text1"/>
        </w:rPr>
        <w:t>1017 y recursos de apelación con 404</w:t>
      </w:r>
      <w:r w:rsidRPr="003E16F3">
        <w:rPr>
          <w:rFonts w:ascii="Book Antiqua" w:hAnsi="Book Antiqua"/>
          <w:color w:val="000000" w:themeColor="text1"/>
        </w:rPr>
        <w:t>.</w:t>
      </w:r>
    </w:p>
    <w:p w14:paraId="68C0F94C" w14:textId="77777777" w:rsidR="001B0AF0" w:rsidRPr="00E35043" w:rsidRDefault="001B0AF0" w:rsidP="00E35043">
      <w:pPr>
        <w:spacing w:line="276" w:lineRule="auto"/>
        <w:rPr>
          <w:rFonts w:ascii="Book Antiqua" w:hAnsi="Book Antiqua"/>
          <w:color w:val="000000" w:themeColor="text1"/>
        </w:rPr>
      </w:pPr>
    </w:p>
    <w:p w14:paraId="2EB79409" w14:textId="77777777" w:rsidR="00E35043" w:rsidRPr="00E35043" w:rsidRDefault="001B0AF0" w:rsidP="0073399F">
      <w:pPr>
        <w:pStyle w:val="Prrafodelista"/>
        <w:numPr>
          <w:ilvl w:val="0"/>
          <w:numId w:val="11"/>
        </w:numPr>
        <w:jc w:val="both"/>
        <w:rPr>
          <w:rFonts w:ascii="Book Antiqua" w:hAnsi="Book Antiqua"/>
          <w:color w:val="000000" w:themeColor="text1"/>
        </w:rPr>
      </w:pPr>
      <w:r w:rsidRPr="00E35043">
        <w:rPr>
          <w:rFonts w:ascii="Book Antiqua" w:hAnsi="Book Antiqua"/>
          <w:color w:val="000000" w:themeColor="text1"/>
        </w:rPr>
        <w:t xml:space="preserve">Para </w:t>
      </w:r>
      <w:r w:rsidR="00E35043" w:rsidRPr="00E35043">
        <w:rPr>
          <w:rFonts w:ascii="Book Antiqua" w:hAnsi="Book Antiqua"/>
          <w:color w:val="000000" w:themeColor="text1"/>
        </w:rPr>
        <w:t>el mes de julio, se reportaron un total de 874 audiencias iniciales, 542 sentencias dictadas y se lograron un total de 416 medidas alternas.</w:t>
      </w:r>
    </w:p>
    <w:p w14:paraId="7CB6ACA8" w14:textId="77777777" w:rsidR="001B0AF0" w:rsidRPr="00E35043" w:rsidRDefault="001B0AF0" w:rsidP="00E35043">
      <w:pPr>
        <w:pStyle w:val="Prrafodelista"/>
        <w:spacing w:line="276" w:lineRule="auto"/>
        <w:ind w:left="720"/>
        <w:jc w:val="both"/>
        <w:rPr>
          <w:rFonts w:ascii="Book Antiqua" w:hAnsi="Book Antiqua"/>
          <w:color w:val="000000" w:themeColor="text1"/>
        </w:rPr>
      </w:pPr>
    </w:p>
    <w:p w14:paraId="5795119D" w14:textId="77777777" w:rsidR="00E35043" w:rsidRPr="00E35043" w:rsidRDefault="001B0AF0" w:rsidP="0073399F">
      <w:pPr>
        <w:pStyle w:val="Prrafodelista"/>
        <w:numPr>
          <w:ilvl w:val="0"/>
          <w:numId w:val="11"/>
        </w:numPr>
        <w:spacing w:line="276" w:lineRule="auto"/>
        <w:jc w:val="both"/>
        <w:rPr>
          <w:rFonts w:ascii="Book Antiqua" w:hAnsi="Book Antiqua"/>
          <w:color w:val="000000" w:themeColor="text1"/>
        </w:rPr>
      </w:pPr>
      <w:r w:rsidRPr="00E35043">
        <w:rPr>
          <w:rFonts w:ascii="Book Antiqua" w:hAnsi="Book Antiqua"/>
          <w:color w:val="000000" w:themeColor="text1"/>
        </w:rPr>
        <w:t xml:space="preserve">Las </w:t>
      </w:r>
      <w:r w:rsidR="00E35043" w:rsidRPr="00E35043">
        <w:rPr>
          <w:rFonts w:ascii="Book Antiqua" w:hAnsi="Book Antiqua"/>
          <w:color w:val="000000" w:themeColor="text1"/>
        </w:rPr>
        <w:t>secciones de flagrancia tienen un parámetro de producción de 35 sentencias, medidas alternas o audiencias iniciales, durante el mes de julio en promedio se alcanzó un parámetro de cumplimiento del 78% y considerando el soporte al ordinario el rendimiento global asciende a un 81%. Se destaca que, para el mes en estudio, de la totalidad de las oficinas del contexto de Flagrancia Alajuela, Heredia, Liberia, San Ramón y San Carlos, son los únicos despachos que logran alcanzar un rendimiento igual o mayor al valor mínimo de producción.</w:t>
      </w:r>
    </w:p>
    <w:p w14:paraId="1634E0F0" w14:textId="0CD19944" w:rsidR="00AF7F88" w:rsidRPr="00E35043" w:rsidRDefault="00AF7F88" w:rsidP="00E35043">
      <w:pPr>
        <w:pStyle w:val="Prrafodelista"/>
        <w:spacing w:line="276" w:lineRule="auto"/>
        <w:ind w:left="720"/>
        <w:jc w:val="both"/>
        <w:rPr>
          <w:rFonts w:ascii="Book Antiqua" w:hAnsi="Book Antiqua"/>
          <w:color w:val="000000" w:themeColor="text1"/>
        </w:rPr>
      </w:pPr>
    </w:p>
    <w:p w14:paraId="3A44613B" w14:textId="70D33497" w:rsidR="003145C2" w:rsidRPr="003E16F3" w:rsidRDefault="00AF7F88" w:rsidP="0073399F">
      <w:pPr>
        <w:pStyle w:val="Prrafodelista"/>
        <w:numPr>
          <w:ilvl w:val="0"/>
          <w:numId w:val="11"/>
        </w:numPr>
        <w:spacing w:line="276" w:lineRule="auto"/>
        <w:jc w:val="both"/>
        <w:rPr>
          <w:rFonts w:ascii="Book Antiqua" w:hAnsi="Book Antiqua"/>
          <w:color w:val="000000" w:themeColor="text1"/>
        </w:rPr>
      </w:pPr>
      <w:r w:rsidRPr="003E16F3">
        <w:rPr>
          <w:rFonts w:ascii="Book Antiqua" w:hAnsi="Book Antiqua"/>
          <w:color w:val="000000" w:themeColor="text1"/>
        </w:rPr>
        <w:t>El personal de la judicatura de los Juzgados de Ejecución de la Pena firmó 5</w:t>
      </w:r>
      <w:r w:rsidR="00E35043">
        <w:rPr>
          <w:rFonts w:ascii="Book Antiqua" w:hAnsi="Book Antiqua"/>
          <w:color w:val="000000" w:themeColor="text1"/>
        </w:rPr>
        <w:t>947</w:t>
      </w:r>
      <w:r w:rsidRPr="003E16F3">
        <w:rPr>
          <w:rFonts w:ascii="Book Antiqua" w:hAnsi="Book Antiqua"/>
          <w:color w:val="000000" w:themeColor="text1"/>
        </w:rPr>
        <w:t xml:space="preserve"> expedientes y finalizaron 1</w:t>
      </w:r>
      <w:r w:rsidR="00E35043">
        <w:rPr>
          <w:rFonts w:ascii="Book Antiqua" w:hAnsi="Book Antiqua"/>
          <w:color w:val="000000" w:themeColor="text1"/>
        </w:rPr>
        <w:t>171</w:t>
      </w:r>
      <w:r w:rsidRPr="003E16F3">
        <w:rPr>
          <w:rFonts w:ascii="Book Antiqua" w:hAnsi="Book Antiqua"/>
          <w:color w:val="000000" w:themeColor="text1"/>
        </w:rPr>
        <w:t xml:space="preserve"> incidentes.</w:t>
      </w:r>
    </w:p>
    <w:p w14:paraId="2CAF9495" w14:textId="77777777" w:rsidR="00AF7F88" w:rsidRPr="003E16F3" w:rsidRDefault="00AF7F88" w:rsidP="00985591">
      <w:pPr>
        <w:pStyle w:val="Prrafodelista"/>
        <w:spacing w:line="276" w:lineRule="auto"/>
        <w:rPr>
          <w:rFonts w:ascii="Book Antiqua" w:hAnsi="Book Antiqua"/>
          <w:color w:val="000000" w:themeColor="text1"/>
        </w:rPr>
      </w:pPr>
    </w:p>
    <w:p w14:paraId="204515D5" w14:textId="76B1E43B" w:rsidR="005C662B" w:rsidRPr="003E16F3" w:rsidRDefault="00DF2354" w:rsidP="0073399F">
      <w:pPr>
        <w:pStyle w:val="Prrafodelista"/>
        <w:numPr>
          <w:ilvl w:val="0"/>
          <w:numId w:val="11"/>
        </w:numPr>
        <w:spacing w:line="276" w:lineRule="auto"/>
        <w:jc w:val="both"/>
        <w:rPr>
          <w:rFonts w:ascii="Book Antiqua" w:hAnsi="Book Antiqua"/>
          <w:color w:val="000000" w:themeColor="text1"/>
        </w:rPr>
      </w:pPr>
      <w:r w:rsidRPr="003E16F3">
        <w:rPr>
          <w:rFonts w:ascii="Book Antiqua" w:hAnsi="Book Antiqua"/>
          <w:color w:val="000000" w:themeColor="text1"/>
        </w:rPr>
        <w:t>Los Juzgados de Ejecución de la Pena registran de cumplimiento de producción un 88% en incidentes terminados y 1</w:t>
      </w:r>
      <w:r w:rsidR="00317470">
        <w:rPr>
          <w:rFonts w:ascii="Book Antiqua" w:hAnsi="Book Antiqua"/>
          <w:color w:val="000000" w:themeColor="text1"/>
        </w:rPr>
        <w:t>8</w:t>
      </w:r>
      <w:r w:rsidRPr="003E16F3">
        <w:rPr>
          <w:rFonts w:ascii="Book Antiqua" w:hAnsi="Book Antiqua"/>
          <w:color w:val="000000" w:themeColor="text1"/>
        </w:rPr>
        <w:t>7% en firma de expedientes.</w:t>
      </w:r>
    </w:p>
    <w:p w14:paraId="15635C55" w14:textId="77777777" w:rsidR="005C662B" w:rsidRPr="003E16F3" w:rsidRDefault="005C662B" w:rsidP="00985591">
      <w:pPr>
        <w:pStyle w:val="Prrafodelista"/>
        <w:spacing w:line="276" w:lineRule="auto"/>
        <w:rPr>
          <w:rFonts w:ascii="Book Antiqua" w:hAnsi="Book Antiqua"/>
          <w:color w:val="000000" w:themeColor="text1"/>
        </w:rPr>
      </w:pPr>
    </w:p>
    <w:p w14:paraId="66D03D7C" w14:textId="44B1BA83" w:rsidR="00C9240F" w:rsidRPr="003E16F3" w:rsidRDefault="005C662B" w:rsidP="0073399F">
      <w:pPr>
        <w:pStyle w:val="Prrafodelista"/>
        <w:numPr>
          <w:ilvl w:val="0"/>
          <w:numId w:val="11"/>
        </w:numPr>
        <w:spacing w:line="276" w:lineRule="auto"/>
        <w:jc w:val="both"/>
        <w:rPr>
          <w:rFonts w:ascii="Book Antiqua" w:hAnsi="Book Antiqua"/>
          <w:color w:val="000000" w:themeColor="text1"/>
        </w:rPr>
      </w:pPr>
      <w:r w:rsidRPr="003E16F3">
        <w:rPr>
          <w:rFonts w:ascii="Book Antiqua" w:hAnsi="Book Antiqua"/>
          <w:color w:val="000000" w:themeColor="text1"/>
        </w:rPr>
        <w:t xml:space="preserve">Durante el mes de </w:t>
      </w:r>
      <w:r w:rsidR="00C806FF">
        <w:rPr>
          <w:rFonts w:ascii="Book Antiqua" w:hAnsi="Book Antiqua"/>
          <w:color w:val="000000" w:themeColor="text1"/>
        </w:rPr>
        <w:t>julio</w:t>
      </w:r>
      <w:r w:rsidRPr="003E16F3">
        <w:rPr>
          <w:rFonts w:ascii="Book Antiqua" w:hAnsi="Book Antiqua"/>
          <w:color w:val="000000" w:themeColor="text1"/>
        </w:rPr>
        <w:t xml:space="preserve"> del 2021, el porcentaje general de rendimiento de los Tribunales de Apelación de Sentencia fue de un 87% y el despacho que alcanzó el 100% fue San Ramón.</w:t>
      </w:r>
    </w:p>
    <w:p w14:paraId="5DD3A7EB" w14:textId="77777777" w:rsidR="00C9240F" w:rsidRPr="003E16F3" w:rsidRDefault="00C9240F" w:rsidP="00985591">
      <w:pPr>
        <w:pStyle w:val="Prrafodelista"/>
        <w:spacing w:line="276" w:lineRule="auto"/>
        <w:rPr>
          <w:rFonts w:ascii="Book Antiqua" w:hAnsi="Book Antiqua"/>
          <w:color w:val="000000"/>
        </w:rPr>
      </w:pPr>
    </w:p>
    <w:p w14:paraId="25D0F284" w14:textId="7CC9DA7F" w:rsidR="00C9240F" w:rsidRPr="003E16F3" w:rsidRDefault="00C9240F" w:rsidP="0073399F">
      <w:pPr>
        <w:pStyle w:val="Prrafodelista"/>
        <w:numPr>
          <w:ilvl w:val="0"/>
          <w:numId w:val="11"/>
        </w:numPr>
        <w:spacing w:line="276" w:lineRule="auto"/>
        <w:jc w:val="both"/>
        <w:rPr>
          <w:rFonts w:ascii="Book Antiqua" w:hAnsi="Book Antiqua"/>
          <w:color w:val="000000" w:themeColor="text1"/>
        </w:rPr>
      </w:pPr>
      <w:r w:rsidRPr="003E16F3">
        <w:rPr>
          <w:rFonts w:ascii="Book Antiqua" w:hAnsi="Book Antiqua"/>
          <w:color w:val="000000"/>
        </w:rPr>
        <w:t xml:space="preserve">El personal Profesional de la Sala Tercera refleja la mayor cantidad de actividades en la variable de revisión de expedientes y resoluciones 305, votaciones 152, clasificación de jurisprudencia 139 y proyectos de resolución 114. </w:t>
      </w:r>
    </w:p>
    <w:p w14:paraId="6AE946BC" w14:textId="77777777" w:rsidR="00CB64BB" w:rsidRPr="003E16F3" w:rsidRDefault="00CB64BB" w:rsidP="00985591">
      <w:pPr>
        <w:spacing w:line="276" w:lineRule="auto"/>
        <w:rPr>
          <w:rFonts w:ascii="Book Antiqua" w:hAnsi="Book Antiqua"/>
          <w:color w:val="000000" w:themeColor="text1"/>
        </w:rPr>
      </w:pPr>
    </w:p>
    <w:p w14:paraId="30B56882" w14:textId="5226C796" w:rsidR="00D719D1" w:rsidRPr="003E16F3" w:rsidRDefault="00D719D1" w:rsidP="0073399F">
      <w:pPr>
        <w:pStyle w:val="Prrafodelista"/>
        <w:numPr>
          <w:ilvl w:val="0"/>
          <w:numId w:val="11"/>
        </w:numPr>
        <w:spacing w:line="276" w:lineRule="auto"/>
        <w:contextualSpacing/>
        <w:jc w:val="both"/>
        <w:rPr>
          <w:rFonts w:ascii="Book Antiqua" w:hAnsi="Book Antiqua"/>
          <w:color w:val="000000" w:themeColor="text1"/>
        </w:rPr>
      </w:pPr>
      <w:r w:rsidRPr="003E16F3">
        <w:rPr>
          <w:rFonts w:ascii="Book Antiqua" w:hAnsi="Book Antiqua"/>
          <w:color w:val="000000" w:themeColor="text1"/>
        </w:rPr>
        <w:t xml:space="preserve">El porcentaje de cumplimiento de Sala </w:t>
      </w:r>
      <w:r w:rsidR="00317470" w:rsidRPr="003E16F3">
        <w:rPr>
          <w:rFonts w:ascii="Book Antiqua" w:hAnsi="Book Antiqua"/>
          <w:color w:val="000000" w:themeColor="text1"/>
        </w:rPr>
        <w:t>Tercera</w:t>
      </w:r>
      <w:r w:rsidRPr="003E16F3">
        <w:rPr>
          <w:rFonts w:ascii="Book Antiqua" w:hAnsi="Book Antiqua"/>
          <w:color w:val="000000" w:themeColor="text1"/>
        </w:rPr>
        <w:t xml:space="preserve"> alcanzó un 86% de producción durante el mes de julio.</w:t>
      </w:r>
    </w:p>
    <w:p w14:paraId="5144BA2D" w14:textId="77777777" w:rsidR="00AD5A0A" w:rsidRPr="002D0D79" w:rsidRDefault="00AD5A0A" w:rsidP="00985591">
      <w:pPr>
        <w:pStyle w:val="Prrafodelista"/>
        <w:spacing w:line="276" w:lineRule="auto"/>
        <w:rPr>
          <w:rFonts w:ascii="Book Antiqua" w:hAnsi="Book Antiqua"/>
          <w:color w:val="000000" w:themeColor="text1"/>
          <w:highlight w:val="magenta"/>
        </w:rPr>
      </w:pPr>
    </w:p>
    <w:p w14:paraId="47B7D08F" w14:textId="0BA2F61B" w:rsidR="00BD717D" w:rsidRPr="00CC4D63" w:rsidRDefault="00BD717D" w:rsidP="00BD717D">
      <w:pPr>
        <w:spacing w:line="276" w:lineRule="auto"/>
        <w:jc w:val="both"/>
        <w:rPr>
          <w:rFonts w:ascii="Book Antiqua" w:hAnsi="Book Antiqua"/>
          <w:b/>
          <w:bCs/>
        </w:rPr>
      </w:pPr>
      <w:bookmarkStart w:id="32" w:name="_Hlk87362542"/>
      <w:r w:rsidRPr="00CC4D63">
        <w:rPr>
          <w:rFonts w:ascii="Book Antiqua" w:hAnsi="Book Antiqua"/>
          <w:b/>
          <w:bCs/>
        </w:rPr>
        <w:t>Capítulo V</w:t>
      </w:r>
      <w:r w:rsidR="00575CF5">
        <w:rPr>
          <w:rFonts w:ascii="Book Antiqua" w:hAnsi="Book Antiqua"/>
          <w:b/>
          <w:bCs/>
        </w:rPr>
        <w:t>II</w:t>
      </w:r>
      <w:r w:rsidRPr="00CC4D63">
        <w:rPr>
          <w:rFonts w:ascii="Book Antiqua" w:hAnsi="Book Antiqua"/>
          <w:b/>
          <w:bCs/>
        </w:rPr>
        <w:t>. Resultados de la materia penal en el mes de agosto</w:t>
      </w:r>
    </w:p>
    <w:bookmarkEnd w:id="32"/>
    <w:p w14:paraId="71C8C5F4" w14:textId="77777777" w:rsidR="00BD717D" w:rsidRPr="002D0D79" w:rsidRDefault="00BD717D" w:rsidP="00BD717D">
      <w:pPr>
        <w:pStyle w:val="Prrafodelista"/>
        <w:spacing w:line="276" w:lineRule="auto"/>
        <w:ind w:left="720"/>
        <w:contextualSpacing/>
        <w:jc w:val="both"/>
        <w:rPr>
          <w:rFonts w:ascii="Book Antiqua" w:hAnsi="Book Antiqua"/>
          <w:color w:val="000000" w:themeColor="text1"/>
          <w:highlight w:val="magenta"/>
        </w:rPr>
      </w:pPr>
    </w:p>
    <w:p w14:paraId="3E5F10D6" w14:textId="0439C525" w:rsidR="00BD717D" w:rsidRPr="00E87B46" w:rsidRDefault="00BD717D" w:rsidP="0073399F">
      <w:pPr>
        <w:pStyle w:val="Prrafodelista"/>
        <w:numPr>
          <w:ilvl w:val="0"/>
          <w:numId w:val="11"/>
        </w:numPr>
        <w:spacing w:line="276" w:lineRule="auto"/>
        <w:jc w:val="both"/>
        <w:rPr>
          <w:rFonts w:ascii="Book Antiqua" w:hAnsi="Book Antiqua"/>
          <w:color w:val="000000" w:themeColor="text1"/>
        </w:rPr>
      </w:pPr>
      <w:r w:rsidRPr="00E87B46">
        <w:rPr>
          <w:rFonts w:ascii="Book Antiqua" w:hAnsi="Book Antiqua"/>
          <w:color w:val="000000" w:themeColor="text1"/>
        </w:rPr>
        <w:t xml:space="preserve">A nivel de Juzgados Penales, en promedio el cumplimiento del parámetro de producción teórico durante el mes de </w:t>
      </w:r>
      <w:r w:rsidR="00575CF5" w:rsidRPr="00E87B46">
        <w:rPr>
          <w:rFonts w:ascii="Book Antiqua" w:hAnsi="Book Antiqua"/>
          <w:color w:val="000000" w:themeColor="text1"/>
        </w:rPr>
        <w:t>agosto</w:t>
      </w:r>
      <w:r w:rsidRPr="00E87B46">
        <w:rPr>
          <w:rFonts w:ascii="Book Antiqua" w:hAnsi="Book Antiqua"/>
          <w:color w:val="000000" w:themeColor="text1"/>
        </w:rPr>
        <w:t xml:space="preserve"> 2021 fue del 1</w:t>
      </w:r>
      <w:r w:rsidR="003269A0" w:rsidRPr="00E87B46">
        <w:rPr>
          <w:rFonts w:ascii="Book Antiqua" w:hAnsi="Book Antiqua"/>
          <w:color w:val="000000" w:themeColor="text1"/>
        </w:rPr>
        <w:t>14</w:t>
      </w:r>
      <w:r w:rsidRPr="00E87B46">
        <w:rPr>
          <w:rFonts w:ascii="Book Antiqua" w:hAnsi="Book Antiqua"/>
          <w:color w:val="000000" w:themeColor="text1"/>
        </w:rPr>
        <w:t>%.</w:t>
      </w:r>
    </w:p>
    <w:p w14:paraId="4A07F512" w14:textId="77777777" w:rsidR="003269A0" w:rsidRDefault="003269A0" w:rsidP="003269A0">
      <w:pPr>
        <w:pStyle w:val="Prrafodelista"/>
        <w:spacing w:line="276" w:lineRule="auto"/>
        <w:ind w:left="720"/>
        <w:jc w:val="both"/>
        <w:rPr>
          <w:rFonts w:ascii="Book Antiqua" w:hAnsi="Book Antiqua"/>
          <w:color w:val="000000" w:themeColor="text1"/>
        </w:rPr>
      </w:pPr>
    </w:p>
    <w:p w14:paraId="14FDC725" w14:textId="77777777" w:rsidR="003269A0" w:rsidRPr="003269A0" w:rsidRDefault="003269A0" w:rsidP="0073399F">
      <w:pPr>
        <w:pStyle w:val="Prrafodelista"/>
        <w:numPr>
          <w:ilvl w:val="0"/>
          <w:numId w:val="11"/>
        </w:numPr>
        <w:spacing w:line="276" w:lineRule="auto"/>
        <w:jc w:val="both"/>
        <w:rPr>
          <w:rFonts w:ascii="Book Antiqua" w:hAnsi="Book Antiqua"/>
          <w:color w:val="000000" w:themeColor="text1"/>
        </w:rPr>
      </w:pPr>
      <w:r w:rsidRPr="003269A0">
        <w:rPr>
          <w:rFonts w:ascii="Book Antiqua" w:hAnsi="Book Antiqua"/>
          <w:color w:val="000000" w:themeColor="text1"/>
        </w:rPr>
        <w:t>Las principales actividades del personal de la judicatura durante el mes de agosto fueron: 9535 asuntos finalizados por desestimación, sobreseimientos y auto apertura a juicio, 2343 audiencias preliminares realizadas y 750 vistas orales efectuadas.</w:t>
      </w:r>
    </w:p>
    <w:p w14:paraId="6015AA7F" w14:textId="77777777" w:rsidR="00BD717D" w:rsidRPr="003269A0" w:rsidRDefault="00BD717D" w:rsidP="003269A0">
      <w:pPr>
        <w:pStyle w:val="Prrafodelista"/>
        <w:spacing w:line="276" w:lineRule="auto"/>
        <w:ind w:left="720"/>
        <w:jc w:val="both"/>
        <w:rPr>
          <w:rFonts w:ascii="Book Antiqua" w:hAnsi="Book Antiqua"/>
          <w:color w:val="000000" w:themeColor="text1"/>
        </w:rPr>
      </w:pPr>
    </w:p>
    <w:p w14:paraId="779932CD" w14:textId="27D540FC" w:rsidR="003269A0" w:rsidRPr="003269A0" w:rsidRDefault="00BD717D" w:rsidP="0073399F">
      <w:pPr>
        <w:pStyle w:val="Prrafodelista"/>
        <w:numPr>
          <w:ilvl w:val="0"/>
          <w:numId w:val="11"/>
        </w:numPr>
        <w:spacing w:line="276" w:lineRule="auto"/>
        <w:jc w:val="both"/>
        <w:rPr>
          <w:rFonts w:ascii="Book Antiqua" w:hAnsi="Book Antiqua"/>
          <w:color w:val="000000" w:themeColor="text1"/>
        </w:rPr>
      </w:pPr>
      <w:r w:rsidRPr="003269A0">
        <w:rPr>
          <w:rFonts w:ascii="Book Antiqua" w:hAnsi="Book Antiqua"/>
          <w:color w:val="000000" w:themeColor="text1"/>
        </w:rPr>
        <w:t xml:space="preserve">Las </w:t>
      </w:r>
      <w:r w:rsidR="003269A0" w:rsidRPr="003269A0">
        <w:rPr>
          <w:rFonts w:ascii="Book Antiqua" w:hAnsi="Book Antiqua"/>
          <w:color w:val="000000" w:themeColor="text1"/>
        </w:rPr>
        <w:t xml:space="preserve">principales actividades reportadas por </w:t>
      </w:r>
      <w:r w:rsidR="003269A0">
        <w:rPr>
          <w:rFonts w:ascii="Book Antiqua" w:hAnsi="Book Antiqua"/>
          <w:color w:val="000000" w:themeColor="text1"/>
        </w:rPr>
        <w:t>el personal de la judicatura</w:t>
      </w:r>
      <w:r w:rsidR="003269A0" w:rsidRPr="003269A0">
        <w:rPr>
          <w:rFonts w:ascii="Book Antiqua" w:hAnsi="Book Antiqua"/>
          <w:color w:val="000000" w:themeColor="text1"/>
        </w:rPr>
        <w:t xml:space="preserve"> de los Tribunales de Juicio obedecen al dictado de sentencias con 989</w:t>
      </w:r>
      <w:r w:rsidR="003269A0">
        <w:rPr>
          <w:rFonts w:ascii="Book Antiqua" w:hAnsi="Book Antiqua"/>
          <w:color w:val="000000" w:themeColor="text1"/>
        </w:rPr>
        <w:t xml:space="preserve"> y recursos de apelación con429</w:t>
      </w:r>
      <w:r w:rsidR="003269A0" w:rsidRPr="003269A0">
        <w:rPr>
          <w:rFonts w:ascii="Book Antiqua" w:hAnsi="Book Antiqua"/>
          <w:color w:val="000000" w:themeColor="text1"/>
        </w:rPr>
        <w:t>.</w:t>
      </w:r>
    </w:p>
    <w:p w14:paraId="78D686CA" w14:textId="4B3EDBEE" w:rsidR="00BD717D" w:rsidRPr="003269A0" w:rsidRDefault="00BD717D" w:rsidP="003269A0">
      <w:pPr>
        <w:pStyle w:val="Prrafodelista"/>
        <w:spacing w:line="276" w:lineRule="auto"/>
        <w:ind w:left="720"/>
        <w:jc w:val="both"/>
        <w:rPr>
          <w:rFonts w:ascii="Book Antiqua" w:hAnsi="Book Antiqua"/>
          <w:color w:val="000000" w:themeColor="text1"/>
          <w:highlight w:val="magenta"/>
        </w:rPr>
      </w:pPr>
    </w:p>
    <w:p w14:paraId="74D283C6" w14:textId="1B51C1AF" w:rsidR="003269A0" w:rsidRPr="003269A0" w:rsidRDefault="003269A0" w:rsidP="0073399F">
      <w:pPr>
        <w:pStyle w:val="Prrafodelista"/>
        <w:numPr>
          <w:ilvl w:val="0"/>
          <w:numId w:val="11"/>
        </w:numPr>
        <w:spacing w:line="276" w:lineRule="auto"/>
        <w:jc w:val="both"/>
        <w:rPr>
          <w:rFonts w:ascii="Book Antiqua" w:hAnsi="Book Antiqua"/>
          <w:color w:val="000000" w:themeColor="text1"/>
        </w:rPr>
      </w:pPr>
      <w:r w:rsidRPr="003269A0">
        <w:rPr>
          <w:rFonts w:ascii="Book Antiqua" w:hAnsi="Book Antiqua"/>
          <w:color w:val="000000" w:themeColor="text1"/>
        </w:rPr>
        <w:t>Durante el mes de agosto el porcentaje de rendimiento general de los Tribunales de juicio alcanzó el 87%</w:t>
      </w:r>
      <w:r w:rsidR="00C806FF">
        <w:rPr>
          <w:rFonts w:ascii="Book Antiqua" w:hAnsi="Book Antiqua"/>
          <w:color w:val="000000" w:themeColor="text1"/>
        </w:rPr>
        <w:t>.</w:t>
      </w:r>
    </w:p>
    <w:p w14:paraId="1E6B9637" w14:textId="77777777" w:rsidR="00BD717D" w:rsidRPr="002D0D79" w:rsidRDefault="00BD717D" w:rsidP="00BD717D">
      <w:pPr>
        <w:pStyle w:val="Prrafodelista"/>
        <w:spacing w:line="276" w:lineRule="auto"/>
        <w:rPr>
          <w:rFonts w:ascii="Book Antiqua" w:hAnsi="Book Antiqua"/>
          <w:color w:val="000000" w:themeColor="text1"/>
          <w:highlight w:val="magenta"/>
        </w:rPr>
      </w:pPr>
    </w:p>
    <w:p w14:paraId="206E7348" w14:textId="382EAE57" w:rsidR="00BD717D" w:rsidRPr="00277078" w:rsidRDefault="00BD717D" w:rsidP="0073399F">
      <w:pPr>
        <w:pStyle w:val="Prrafodelista"/>
        <w:numPr>
          <w:ilvl w:val="0"/>
          <w:numId w:val="11"/>
        </w:numPr>
        <w:spacing w:line="276" w:lineRule="auto"/>
        <w:jc w:val="both"/>
        <w:rPr>
          <w:rFonts w:ascii="Book Antiqua" w:hAnsi="Book Antiqua"/>
          <w:color w:val="000000" w:themeColor="text1"/>
        </w:rPr>
      </w:pPr>
      <w:r w:rsidRPr="00277078">
        <w:rPr>
          <w:rFonts w:ascii="Book Antiqua" w:hAnsi="Book Antiqua"/>
          <w:color w:val="000000" w:themeColor="text1"/>
        </w:rPr>
        <w:t xml:space="preserve">Las </w:t>
      </w:r>
      <w:r w:rsidR="00277078" w:rsidRPr="00277078">
        <w:rPr>
          <w:rFonts w:ascii="Book Antiqua" w:hAnsi="Book Antiqua"/>
          <w:color w:val="000000" w:themeColor="text1"/>
        </w:rPr>
        <w:t>secciones de flagrancia reportaron un total de 805 audiencias iniciales, 621 sentencias dictadas y se lograron un total de 417 medidas alternas.</w:t>
      </w:r>
    </w:p>
    <w:p w14:paraId="48494694" w14:textId="77777777" w:rsidR="00BD717D" w:rsidRPr="00277078" w:rsidRDefault="00BD717D" w:rsidP="00277078">
      <w:pPr>
        <w:spacing w:line="276" w:lineRule="auto"/>
        <w:jc w:val="both"/>
        <w:rPr>
          <w:rFonts w:ascii="Book Antiqua" w:hAnsi="Book Antiqua"/>
          <w:color w:val="000000" w:themeColor="text1"/>
        </w:rPr>
      </w:pPr>
    </w:p>
    <w:p w14:paraId="5F43DF80" w14:textId="2627333D" w:rsidR="00277078" w:rsidRPr="00277078" w:rsidRDefault="00BD717D" w:rsidP="0073399F">
      <w:pPr>
        <w:pStyle w:val="Prrafodelista"/>
        <w:numPr>
          <w:ilvl w:val="0"/>
          <w:numId w:val="11"/>
        </w:numPr>
        <w:spacing w:line="276" w:lineRule="auto"/>
        <w:jc w:val="both"/>
        <w:rPr>
          <w:rFonts w:ascii="Book Antiqua" w:hAnsi="Book Antiqua"/>
          <w:color w:val="000000" w:themeColor="text1"/>
        </w:rPr>
      </w:pPr>
      <w:r w:rsidRPr="00277078">
        <w:rPr>
          <w:rFonts w:ascii="Book Antiqua" w:hAnsi="Book Antiqua"/>
          <w:color w:val="000000" w:themeColor="text1"/>
        </w:rPr>
        <w:t xml:space="preserve">Las </w:t>
      </w:r>
      <w:r w:rsidR="00277078" w:rsidRPr="00277078">
        <w:rPr>
          <w:rFonts w:ascii="Book Antiqua" w:hAnsi="Book Antiqua"/>
          <w:color w:val="000000" w:themeColor="text1"/>
        </w:rPr>
        <w:t>secciones de flagrancia tienen un parámetro de producción de 35 sentencias, medidas alternas o audiencias iniciales, durante el mes de agosto en promedio se alcanzó un parámetro de cumplimiento del 78%, considerando la colaboración al ordinario asciende a un 82%. Se destaca que, para el mes en estudio, de la totalidad de las oficinas del contexto de Flagrancia, Alajuela, San Ramón, Liberia, San Carlos y Heredia son los únicos despachos que logran alcanzar un rendimiento igual o mayor al valor mínimo de producción.</w:t>
      </w:r>
    </w:p>
    <w:p w14:paraId="410BCB3A" w14:textId="77777777" w:rsidR="00BD717D" w:rsidRPr="00277078" w:rsidRDefault="00BD717D" w:rsidP="00277078">
      <w:pPr>
        <w:pStyle w:val="Prrafodelista"/>
        <w:spacing w:line="276" w:lineRule="auto"/>
        <w:ind w:left="720"/>
        <w:jc w:val="both"/>
        <w:rPr>
          <w:rFonts w:ascii="Book Antiqua" w:hAnsi="Book Antiqua"/>
          <w:color w:val="000000" w:themeColor="text1"/>
          <w:highlight w:val="magenta"/>
        </w:rPr>
      </w:pPr>
    </w:p>
    <w:p w14:paraId="7C804808" w14:textId="2F7A03F4" w:rsidR="00BD717D" w:rsidRPr="00277078" w:rsidRDefault="00BD717D" w:rsidP="0073399F">
      <w:pPr>
        <w:pStyle w:val="Prrafodelista"/>
        <w:numPr>
          <w:ilvl w:val="0"/>
          <w:numId w:val="11"/>
        </w:numPr>
        <w:spacing w:line="276" w:lineRule="auto"/>
        <w:jc w:val="both"/>
        <w:rPr>
          <w:rFonts w:ascii="Book Antiqua" w:hAnsi="Book Antiqua"/>
          <w:color w:val="000000" w:themeColor="text1"/>
        </w:rPr>
      </w:pPr>
      <w:r w:rsidRPr="00277078">
        <w:rPr>
          <w:rFonts w:ascii="Book Antiqua" w:hAnsi="Book Antiqua"/>
          <w:color w:val="000000" w:themeColor="text1"/>
        </w:rPr>
        <w:t xml:space="preserve">El personal de la judicatura de los Juzgados de Ejecución de la Pena, firmaron </w:t>
      </w:r>
      <w:r w:rsidR="00277078" w:rsidRPr="00277078">
        <w:rPr>
          <w:rFonts w:ascii="Book Antiqua" w:hAnsi="Book Antiqua"/>
          <w:color w:val="000000" w:themeColor="text1"/>
        </w:rPr>
        <w:t>6229</w:t>
      </w:r>
      <w:r w:rsidRPr="00277078">
        <w:rPr>
          <w:rFonts w:ascii="Book Antiqua" w:hAnsi="Book Antiqua"/>
          <w:color w:val="000000" w:themeColor="text1"/>
        </w:rPr>
        <w:t xml:space="preserve"> expedientes y finalizaron </w:t>
      </w:r>
      <w:r w:rsidR="00277078" w:rsidRPr="00277078">
        <w:rPr>
          <w:rFonts w:ascii="Book Antiqua" w:hAnsi="Book Antiqua"/>
          <w:color w:val="000000" w:themeColor="text1"/>
        </w:rPr>
        <w:t>982</w:t>
      </w:r>
      <w:r w:rsidRPr="00277078">
        <w:rPr>
          <w:rFonts w:ascii="Book Antiqua" w:hAnsi="Book Antiqua"/>
          <w:color w:val="000000" w:themeColor="text1"/>
        </w:rPr>
        <w:t xml:space="preserve"> incidentes.</w:t>
      </w:r>
    </w:p>
    <w:p w14:paraId="6058648C" w14:textId="77777777" w:rsidR="00BD717D" w:rsidRPr="002D0D79" w:rsidRDefault="00BD717D" w:rsidP="00BD717D">
      <w:pPr>
        <w:pStyle w:val="Prrafodelista"/>
        <w:spacing w:line="276" w:lineRule="auto"/>
        <w:rPr>
          <w:rFonts w:ascii="Book Antiqua" w:hAnsi="Book Antiqua"/>
          <w:color w:val="000000" w:themeColor="text1"/>
          <w:highlight w:val="magenta"/>
        </w:rPr>
      </w:pPr>
    </w:p>
    <w:p w14:paraId="3A1642A0" w14:textId="1108F461" w:rsidR="00BD717D" w:rsidRPr="00277078" w:rsidRDefault="00BD717D" w:rsidP="0073399F">
      <w:pPr>
        <w:pStyle w:val="Prrafodelista"/>
        <w:numPr>
          <w:ilvl w:val="0"/>
          <w:numId w:val="11"/>
        </w:numPr>
        <w:spacing w:line="276" w:lineRule="auto"/>
        <w:jc w:val="both"/>
        <w:rPr>
          <w:rFonts w:ascii="Book Antiqua" w:hAnsi="Book Antiqua"/>
          <w:color w:val="000000" w:themeColor="text1"/>
        </w:rPr>
      </w:pPr>
      <w:r w:rsidRPr="00277078">
        <w:rPr>
          <w:rFonts w:ascii="Book Antiqua" w:hAnsi="Book Antiqua"/>
          <w:color w:val="000000" w:themeColor="text1"/>
        </w:rPr>
        <w:t>Los Juzgados de Ejecución de la Pena registran de cumplimiento de producción un 9</w:t>
      </w:r>
      <w:r w:rsidR="00277078" w:rsidRPr="00277078">
        <w:rPr>
          <w:rFonts w:ascii="Book Antiqua" w:hAnsi="Book Antiqua"/>
          <w:color w:val="000000" w:themeColor="text1"/>
        </w:rPr>
        <w:t>2</w:t>
      </w:r>
      <w:r w:rsidRPr="00277078">
        <w:rPr>
          <w:rFonts w:ascii="Book Antiqua" w:hAnsi="Book Antiqua"/>
          <w:color w:val="000000" w:themeColor="text1"/>
        </w:rPr>
        <w:t xml:space="preserve">% en incidentes terminados y </w:t>
      </w:r>
      <w:r w:rsidR="00277078" w:rsidRPr="00277078">
        <w:rPr>
          <w:rFonts w:ascii="Book Antiqua" w:hAnsi="Book Antiqua"/>
          <w:color w:val="000000" w:themeColor="text1"/>
        </w:rPr>
        <w:t>293</w:t>
      </w:r>
      <w:r w:rsidRPr="00277078">
        <w:rPr>
          <w:rFonts w:ascii="Book Antiqua" w:hAnsi="Book Antiqua"/>
          <w:color w:val="000000" w:themeColor="text1"/>
        </w:rPr>
        <w:t>% en firma de expedientes.</w:t>
      </w:r>
    </w:p>
    <w:p w14:paraId="0306BFF5" w14:textId="77777777" w:rsidR="00BD717D" w:rsidRPr="002D0D79" w:rsidRDefault="00BD717D" w:rsidP="00BD717D">
      <w:pPr>
        <w:pStyle w:val="Prrafodelista"/>
        <w:spacing w:line="276" w:lineRule="auto"/>
        <w:rPr>
          <w:rFonts w:ascii="Book Antiqua" w:hAnsi="Book Antiqua"/>
          <w:color w:val="000000" w:themeColor="text1"/>
          <w:highlight w:val="magenta"/>
        </w:rPr>
      </w:pPr>
    </w:p>
    <w:p w14:paraId="34FEC696" w14:textId="2A907119" w:rsidR="00BD717D" w:rsidRPr="00C806FF" w:rsidRDefault="00BD717D" w:rsidP="0073399F">
      <w:pPr>
        <w:pStyle w:val="Prrafodelista"/>
        <w:numPr>
          <w:ilvl w:val="0"/>
          <w:numId w:val="11"/>
        </w:numPr>
        <w:spacing w:line="276" w:lineRule="auto"/>
        <w:jc w:val="both"/>
        <w:rPr>
          <w:rFonts w:ascii="Book Antiqua" w:hAnsi="Book Antiqua"/>
          <w:color w:val="000000" w:themeColor="text1"/>
        </w:rPr>
      </w:pPr>
      <w:r w:rsidRPr="00C806FF">
        <w:rPr>
          <w:rFonts w:ascii="Book Antiqua" w:hAnsi="Book Antiqua"/>
          <w:color w:val="000000" w:themeColor="text1"/>
        </w:rPr>
        <w:t xml:space="preserve">Durante el mes de </w:t>
      </w:r>
      <w:r w:rsidR="00C806FF">
        <w:rPr>
          <w:rFonts w:ascii="Book Antiqua" w:hAnsi="Book Antiqua"/>
          <w:color w:val="000000" w:themeColor="text1"/>
        </w:rPr>
        <w:t>agosto</w:t>
      </w:r>
      <w:r w:rsidRPr="00C806FF">
        <w:rPr>
          <w:rFonts w:ascii="Book Antiqua" w:hAnsi="Book Antiqua"/>
          <w:color w:val="000000" w:themeColor="text1"/>
        </w:rPr>
        <w:t xml:space="preserve"> del 2021, el porcentaje general de rendimiento de los Tribunales de Apelación de Sentencia fue de un 9</w:t>
      </w:r>
      <w:r w:rsidR="00C806FF" w:rsidRPr="00C806FF">
        <w:rPr>
          <w:rFonts w:ascii="Book Antiqua" w:hAnsi="Book Antiqua"/>
          <w:color w:val="000000" w:themeColor="text1"/>
        </w:rPr>
        <w:t>7</w:t>
      </w:r>
      <w:r w:rsidRPr="00C806FF">
        <w:rPr>
          <w:rFonts w:ascii="Book Antiqua" w:hAnsi="Book Antiqua"/>
          <w:color w:val="000000" w:themeColor="text1"/>
        </w:rPr>
        <w:t xml:space="preserve">% y </w:t>
      </w:r>
      <w:r w:rsidR="00C806FF" w:rsidRPr="00C806FF">
        <w:rPr>
          <w:rFonts w:ascii="Book Antiqua" w:hAnsi="Book Antiqua"/>
          <w:color w:val="000000" w:themeColor="text1"/>
        </w:rPr>
        <w:t>los</w:t>
      </w:r>
      <w:r w:rsidRPr="00C806FF">
        <w:rPr>
          <w:rFonts w:ascii="Book Antiqua" w:hAnsi="Book Antiqua"/>
          <w:color w:val="000000" w:themeColor="text1"/>
        </w:rPr>
        <w:t xml:space="preserve"> despacho</w:t>
      </w:r>
      <w:r w:rsidR="00C806FF" w:rsidRPr="00C806FF">
        <w:rPr>
          <w:rFonts w:ascii="Book Antiqua" w:hAnsi="Book Antiqua"/>
          <w:color w:val="000000" w:themeColor="text1"/>
        </w:rPr>
        <w:t>s</w:t>
      </w:r>
      <w:r w:rsidRPr="00C806FF">
        <w:rPr>
          <w:rFonts w:ascii="Book Antiqua" w:hAnsi="Book Antiqua"/>
          <w:color w:val="000000" w:themeColor="text1"/>
        </w:rPr>
        <w:t xml:space="preserve"> que </w:t>
      </w:r>
      <w:r w:rsidR="00C806FF" w:rsidRPr="00C806FF">
        <w:rPr>
          <w:rFonts w:ascii="Book Antiqua" w:hAnsi="Book Antiqua"/>
          <w:color w:val="000000" w:themeColor="text1"/>
        </w:rPr>
        <w:t xml:space="preserve">obtuvieron un rendimiento superior al </w:t>
      </w:r>
      <w:r w:rsidRPr="00C806FF">
        <w:rPr>
          <w:rFonts w:ascii="Book Antiqua" w:hAnsi="Book Antiqua"/>
          <w:color w:val="000000" w:themeColor="text1"/>
        </w:rPr>
        <w:t xml:space="preserve">100% </w:t>
      </w:r>
      <w:r w:rsidR="00C806FF" w:rsidRPr="00C806FF">
        <w:rPr>
          <w:rFonts w:ascii="Book Antiqua" w:hAnsi="Book Antiqua"/>
          <w:color w:val="000000" w:themeColor="text1"/>
        </w:rPr>
        <w:t>son San Ramón y Goicochea</w:t>
      </w:r>
      <w:r w:rsidRPr="00C806FF">
        <w:rPr>
          <w:rFonts w:ascii="Book Antiqua" w:hAnsi="Book Antiqua"/>
          <w:color w:val="000000" w:themeColor="text1"/>
        </w:rPr>
        <w:t>.</w:t>
      </w:r>
    </w:p>
    <w:p w14:paraId="6415FCA5" w14:textId="77777777" w:rsidR="00BD717D" w:rsidRPr="00033714" w:rsidRDefault="00BD717D" w:rsidP="00BD717D">
      <w:pPr>
        <w:spacing w:line="276" w:lineRule="auto"/>
        <w:rPr>
          <w:rFonts w:ascii="Book Antiqua" w:hAnsi="Book Antiqua"/>
          <w:color w:val="000000" w:themeColor="text1"/>
          <w:highlight w:val="green"/>
        </w:rPr>
      </w:pPr>
    </w:p>
    <w:p w14:paraId="3A8A239A" w14:textId="5467BECA" w:rsidR="00BD717D" w:rsidRPr="00575CF5" w:rsidRDefault="00575CF5" w:rsidP="0073399F">
      <w:pPr>
        <w:pStyle w:val="Prrafodelista"/>
        <w:numPr>
          <w:ilvl w:val="0"/>
          <w:numId w:val="11"/>
        </w:numPr>
        <w:spacing w:line="276" w:lineRule="auto"/>
        <w:contextualSpacing/>
        <w:jc w:val="both"/>
        <w:rPr>
          <w:rFonts w:ascii="Book Antiqua" w:hAnsi="Book Antiqua"/>
          <w:color w:val="000000" w:themeColor="text1"/>
        </w:rPr>
      </w:pPr>
      <w:r w:rsidRPr="00575CF5">
        <w:rPr>
          <w:rFonts w:ascii="Book Antiqua" w:hAnsi="Book Antiqua"/>
          <w:color w:val="000000" w:themeColor="text1"/>
        </w:rPr>
        <w:t>En Sala Tercera</w:t>
      </w:r>
      <w:r w:rsidR="00BD717D" w:rsidRPr="00575CF5">
        <w:rPr>
          <w:rFonts w:ascii="Book Antiqua" w:hAnsi="Book Antiqua"/>
          <w:color w:val="000000" w:themeColor="text1"/>
        </w:rPr>
        <w:t xml:space="preserve">, la mayor cantidad de actividades se concentra en la revisión de expedientes y resoluciones con </w:t>
      </w:r>
      <w:r w:rsidRPr="00575CF5">
        <w:rPr>
          <w:rFonts w:ascii="Book Antiqua" w:hAnsi="Book Antiqua"/>
          <w:color w:val="000000" w:themeColor="text1"/>
        </w:rPr>
        <w:t>318</w:t>
      </w:r>
      <w:r w:rsidR="00BD717D" w:rsidRPr="00575CF5">
        <w:rPr>
          <w:rFonts w:ascii="Book Antiqua" w:hAnsi="Book Antiqua"/>
          <w:color w:val="000000" w:themeColor="text1"/>
        </w:rPr>
        <w:t xml:space="preserve">, seguido de </w:t>
      </w:r>
      <w:r w:rsidRPr="00575CF5">
        <w:rPr>
          <w:rFonts w:ascii="Book Antiqua" w:hAnsi="Book Antiqua"/>
          <w:color w:val="000000" w:themeColor="text1"/>
        </w:rPr>
        <w:t>Proyectos de Resolución</w:t>
      </w:r>
      <w:r w:rsidR="00BD717D" w:rsidRPr="00575CF5">
        <w:rPr>
          <w:rFonts w:ascii="Book Antiqua" w:hAnsi="Book Antiqua"/>
          <w:color w:val="000000" w:themeColor="text1"/>
        </w:rPr>
        <w:t xml:space="preserve"> </w:t>
      </w:r>
      <w:r w:rsidRPr="00575CF5">
        <w:rPr>
          <w:rFonts w:ascii="Book Antiqua" w:hAnsi="Book Antiqua"/>
          <w:color w:val="000000" w:themeColor="text1"/>
        </w:rPr>
        <w:t>133</w:t>
      </w:r>
      <w:r w:rsidR="00BD717D" w:rsidRPr="00575CF5">
        <w:rPr>
          <w:rFonts w:ascii="Book Antiqua" w:hAnsi="Book Antiqua"/>
          <w:color w:val="000000" w:themeColor="text1"/>
        </w:rPr>
        <w:t xml:space="preserve">, </w:t>
      </w:r>
      <w:r w:rsidRPr="00575CF5">
        <w:rPr>
          <w:rFonts w:ascii="Book Antiqua" w:hAnsi="Book Antiqua"/>
          <w:color w:val="000000" w:themeColor="text1"/>
        </w:rPr>
        <w:t>Clasificación de jurisprudencia</w:t>
      </w:r>
      <w:r w:rsidR="00BD717D" w:rsidRPr="00575CF5">
        <w:rPr>
          <w:rFonts w:ascii="Book Antiqua" w:hAnsi="Book Antiqua"/>
          <w:color w:val="000000" w:themeColor="text1"/>
        </w:rPr>
        <w:t xml:space="preserve"> 1</w:t>
      </w:r>
      <w:r w:rsidRPr="00575CF5">
        <w:rPr>
          <w:rFonts w:ascii="Book Antiqua" w:hAnsi="Book Antiqua"/>
          <w:color w:val="000000" w:themeColor="text1"/>
        </w:rPr>
        <w:t>14</w:t>
      </w:r>
      <w:r w:rsidR="00BD717D" w:rsidRPr="00575CF5">
        <w:rPr>
          <w:rFonts w:ascii="Book Antiqua" w:hAnsi="Book Antiqua"/>
          <w:color w:val="000000" w:themeColor="text1"/>
        </w:rPr>
        <w:t xml:space="preserve"> y votaciones con </w:t>
      </w:r>
      <w:r w:rsidRPr="00575CF5">
        <w:rPr>
          <w:rFonts w:ascii="Book Antiqua" w:hAnsi="Book Antiqua"/>
          <w:color w:val="000000" w:themeColor="text1"/>
        </w:rPr>
        <w:t>99</w:t>
      </w:r>
      <w:r w:rsidR="00BD717D" w:rsidRPr="00575CF5">
        <w:rPr>
          <w:rFonts w:ascii="Book Antiqua" w:hAnsi="Book Antiqua"/>
          <w:color w:val="000000" w:themeColor="text1"/>
        </w:rPr>
        <w:t>.</w:t>
      </w:r>
    </w:p>
    <w:p w14:paraId="6084A6BB" w14:textId="77777777" w:rsidR="00BD717D" w:rsidRPr="002D0D79" w:rsidRDefault="00BD717D" w:rsidP="00BD717D">
      <w:pPr>
        <w:pStyle w:val="Prrafodelista"/>
        <w:spacing w:line="276" w:lineRule="auto"/>
        <w:ind w:left="720"/>
        <w:contextualSpacing/>
        <w:jc w:val="both"/>
        <w:rPr>
          <w:rFonts w:ascii="Book Antiqua" w:hAnsi="Book Antiqua"/>
          <w:color w:val="000000" w:themeColor="text1"/>
          <w:highlight w:val="magenta"/>
        </w:rPr>
      </w:pPr>
    </w:p>
    <w:p w14:paraId="5BFD4154" w14:textId="2F1154D5" w:rsidR="00BD717D" w:rsidRPr="00575CF5" w:rsidRDefault="00BD717D" w:rsidP="0073399F">
      <w:pPr>
        <w:pStyle w:val="Prrafodelista"/>
        <w:numPr>
          <w:ilvl w:val="0"/>
          <w:numId w:val="11"/>
        </w:numPr>
        <w:spacing w:line="276" w:lineRule="auto"/>
        <w:contextualSpacing/>
        <w:jc w:val="both"/>
        <w:rPr>
          <w:rFonts w:ascii="Book Antiqua" w:hAnsi="Book Antiqua"/>
          <w:color w:val="000000" w:themeColor="text1"/>
        </w:rPr>
      </w:pPr>
      <w:r w:rsidRPr="00575CF5">
        <w:rPr>
          <w:rFonts w:ascii="Book Antiqua" w:hAnsi="Book Antiqua"/>
          <w:color w:val="000000" w:themeColor="text1"/>
        </w:rPr>
        <w:t xml:space="preserve">El porcentaje de cumplimiento de Sala </w:t>
      </w:r>
      <w:r w:rsidR="00575CF5" w:rsidRPr="00575CF5">
        <w:rPr>
          <w:rFonts w:ascii="Book Antiqua" w:hAnsi="Book Antiqua"/>
          <w:color w:val="000000" w:themeColor="text1"/>
        </w:rPr>
        <w:t>Tercera</w:t>
      </w:r>
      <w:r w:rsidRPr="00575CF5">
        <w:rPr>
          <w:rFonts w:ascii="Book Antiqua" w:hAnsi="Book Antiqua"/>
          <w:color w:val="000000" w:themeColor="text1"/>
        </w:rPr>
        <w:t xml:space="preserve"> alcanzó un </w:t>
      </w:r>
      <w:r w:rsidR="00575CF5" w:rsidRPr="00575CF5">
        <w:rPr>
          <w:rFonts w:ascii="Book Antiqua" w:hAnsi="Book Antiqua"/>
          <w:color w:val="000000" w:themeColor="text1"/>
        </w:rPr>
        <w:t>107</w:t>
      </w:r>
      <w:r w:rsidRPr="00575CF5">
        <w:rPr>
          <w:rFonts w:ascii="Book Antiqua" w:hAnsi="Book Antiqua"/>
          <w:color w:val="000000" w:themeColor="text1"/>
        </w:rPr>
        <w:t xml:space="preserve">% de producción durante el mes de </w:t>
      </w:r>
      <w:r w:rsidR="00575CF5" w:rsidRPr="00575CF5">
        <w:rPr>
          <w:rFonts w:ascii="Book Antiqua" w:hAnsi="Book Antiqua"/>
          <w:color w:val="000000" w:themeColor="text1"/>
        </w:rPr>
        <w:t>agosto</w:t>
      </w:r>
      <w:r w:rsidRPr="00575CF5">
        <w:rPr>
          <w:rFonts w:ascii="Book Antiqua" w:hAnsi="Book Antiqua"/>
          <w:color w:val="000000" w:themeColor="text1"/>
        </w:rPr>
        <w:t>.</w:t>
      </w:r>
    </w:p>
    <w:p w14:paraId="1DC014DA" w14:textId="77777777" w:rsidR="00BD717D" w:rsidRPr="002D0D79" w:rsidRDefault="00BD717D" w:rsidP="00BD717D">
      <w:pPr>
        <w:spacing w:line="276" w:lineRule="auto"/>
        <w:contextualSpacing/>
        <w:jc w:val="both"/>
        <w:rPr>
          <w:rFonts w:ascii="Book Antiqua" w:hAnsi="Book Antiqua"/>
          <w:color w:val="000000" w:themeColor="text1"/>
          <w:highlight w:val="magenta"/>
        </w:rPr>
      </w:pPr>
    </w:p>
    <w:p w14:paraId="6CECA0CC" w14:textId="77777777" w:rsidR="00BD717D" w:rsidRPr="002D0D79" w:rsidRDefault="00BD717D" w:rsidP="00BD717D">
      <w:pPr>
        <w:spacing w:line="276" w:lineRule="auto"/>
        <w:jc w:val="both"/>
        <w:rPr>
          <w:rFonts w:ascii="Book Antiqua" w:hAnsi="Book Antiqua"/>
          <w:highlight w:val="magenta"/>
        </w:rPr>
      </w:pPr>
    </w:p>
    <w:p w14:paraId="4CE19564" w14:textId="688E5166" w:rsidR="00BD717D" w:rsidRPr="00575CF5" w:rsidRDefault="00BD717D" w:rsidP="00BD717D">
      <w:pPr>
        <w:spacing w:line="276" w:lineRule="auto"/>
        <w:jc w:val="both"/>
        <w:rPr>
          <w:rFonts w:ascii="Book Antiqua" w:hAnsi="Book Antiqua"/>
          <w:b/>
          <w:bCs/>
        </w:rPr>
      </w:pPr>
      <w:bookmarkStart w:id="33" w:name="_Hlk87434104"/>
      <w:r w:rsidRPr="00575CF5">
        <w:rPr>
          <w:rFonts w:ascii="Book Antiqua" w:hAnsi="Book Antiqua"/>
          <w:b/>
          <w:bCs/>
        </w:rPr>
        <w:t>Capítulo VI</w:t>
      </w:r>
      <w:r w:rsidR="00575CF5" w:rsidRPr="00575CF5">
        <w:rPr>
          <w:rFonts w:ascii="Book Antiqua" w:hAnsi="Book Antiqua"/>
          <w:b/>
          <w:bCs/>
        </w:rPr>
        <w:t>II</w:t>
      </w:r>
      <w:r w:rsidRPr="00575CF5">
        <w:rPr>
          <w:rFonts w:ascii="Book Antiqua" w:hAnsi="Book Antiqua"/>
          <w:b/>
          <w:bCs/>
        </w:rPr>
        <w:t>. Resultados de la materia penal en el mes de setiembre</w:t>
      </w:r>
    </w:p>
    <w:bookmarkEnd w:id="33"/>
    <w:p w14:paraId="052CEABC" w14:textId="77777777" w:rsidR="00BD717D" w:rsidRPr="002D0D79" w:rsidRDefault="00BD717D" w:rsidP="00BD717D">
      <w:pPr>
        <w:spacing w:line="276" w:lineRule="auto"/>
        <w:jc w:val="both"/>
        <w:rPr>
          <w:rFonts w:ascii="Book Antiqua" w:hAnsi="Book Antiqua"/>
          <w:highlight w:val="magenta"/>
        </w:rPr>
      </w:pPr>
    </w:p>
    <w:p w14:paraId="2735D3C3" w14:textId="5CA28158" w:rsidR="00BD717D" w:rsidRDefault="00BD717D" w:rsidP="0073399F">
      <w:pPr>
        <w:pStyle w:val="Prrafodelista"/>
        <w:numPr>
          <w:ilvl w:val="0"/>
          <w:numId w:val="11"/>
        </w:numPr>
        <w:spacing w:line="276" w:lineRule="auto"/>
        <w:jc w:val="both"/>
        <w:rPr>
          <w:rFonts w:ascii="Book Antiqua" w:hAnsi="Book Antiqua"/>
          <w:color w:val="000000" w:themeColor="text1"/>
        </w:rPr>
      </w:pPr>
      <w:r w:rsidRPr="00575CF5">
        <w:rPr>
          <w:rFonts w:ascii="Book Antiqua" w:hAnsi="Book Antiqua"/>
          <w:color w:val="000000" w:themeColor="text1"/>
        </w:rPr>
        <w:t xml:space="preserve">A nivel de Juzgados Penales, en promedio el cumplimiento del parámetro de producción teórico durante el mes de </w:t>
      </w:r>
      <w:r w:rsidR="00575CF5" w:rsidRPr="00575CF5">
        <w:rPr>
          <w:rFonts w:ascii="Book Antiqua" w:hAnsi="Book Antiqua"/>
          <w:color w:val="000000" w:themeColor="text1"/>
        </w:rPr>
        <w:t>setiembre</w:t>
      </w:r>
      <w:r w:rsidRPr="00575CF5">
        <w:rPr>
          <w:rFonts w:ascii="Book Antiqua" w:hAnsi="Book Antiqua"/>
          <w:color w:val="000000" w:themeColor="text1"/>
        </w:rPr>
        <w:t xml:space="preserve"> 2021 fue del </w:t>
      </w:r>
      <w:r w:rsidR="00575CF5" w:rsidRPr="00575CF5">
        <w:rPr>
          <w:rFonts w:ascii="Book Antiqua" w:hAnsi="Book Antiqua"/>
          <w:color w:val="000000" w:themeColor="text1"/>
        </w:rPr>
        <w:t>127</w:t>
      </w:r>
      <w:r w:rsidRPr="00575CF5">
        <w:rPr>
          <w:rFonts w:ascii="Book Antiqua" w:hAnsi="Book Antiqua"/>
          <w:color w:val="000000" w:themeColor="text1"/>
        </w:rPr>
        <w:t>%.</w:t>
      </w:r>
    </w:p>
    <w:p w14:paraId="6148E1F0" w14:textId="77777777" w:rsidR="00E87B46" w:rsidRDefault="00E87B46" w:rsidP="00E87B46">
      <w:pPr>
        <w:pStyle w:val="Prrafodelista"/>
        <w:spacing w:line="276" w:lineRule="auto"/>
        <w:ind w:left="720"/>
        <w:jc w:val="both"/>
        <w:rPr>
          <w:rFonts w:ascii="Book Antiqua" w:hAnsi="Book Antiqua"/>
          <w:color w:val="000000" w:themeColor="text1"/>
        </w:rPr>
      </w:pPr>
    </w:p>
    <w:p w14:paraId="50768550" w14:textId="77777777" w:rsidR="00E87B46" w:rsidRPr="00E87B46" w:rsidRDefault="00E87B46" w:rsidP="0073399F">
      <w:pPr>
        <w:pStyle w:val="Prrafodelista"/>
        <w:numPr>
          <w:ilvl w:val="0"/>
          <w:numId w:val="11"/>
        </w:numPr>
        <w:spacing w:line="276" w:lineRule="auto"/>
        <w:jc w:val="both"/>
        <w:rPr>
          <w:rFonts w:ascii="Book Antiqua" w:hAnsi="Book Antiqua"/>
          <w:color w:val="000000" w:themeColor="text1"/>
        </w:rPr>
      </w:pPr>
      <w:r w:rsidRPr="00E87B46">
        <w:rPr>
          <w:rFonts w:ascii="Book Antiqua" w:hAnsi="Book Antiqua"/>
          <w:color w:val="000000" w:themeColor="text1"/>
        </w:rPr>
        <w:t>Las principales actividades del personal de la judicatura durante el mes de setiembre fueron: 11427 asuntos finalizados por desestimación, sobreseimientos y auto apertura a juicio, 2436 audiencias preliminares realizadas y 740 vistas orales efectuadas.</w:t>
      </w:r>
    </w:p>
    <w:p w14:paraId="5709B2C9" w14:textId="77777777" w:rsidR="00BD717D" w:rsidRPr="00E87B46" w:rsidRDefault="00BD717D" w:rsidP="00E87B46">
      <w:pPr>
        <w:spacing w:line="276" w:lineRule="auto"/>
        <w:jc w:val="both"/>
        <w:rPr>
          <w:rFonts w:ascii="Book Antiqua" w:hAnsi="Book Antiqua"/>
          <w:color w:val="000000" w:themeColor="text1"/>
          <w:highlight w:val="magenta"/>
        </w:rPr>
      </w:pPr>
    </w:p>
    <w:p w14:paraId="2A1CA5C8" w14:textId="2C6BD15D" w:rsidR="00BD717D" w:rsidRDefault="00BD717D" w:rsidP="0073399F">
      <w:pPr>
        <w:pStyle w:val="Prrafodelista"/>
        <w:numPr>
          <w:ilvl w:val="0"/>
          <w:numId w:val="11"/>
        </w:numPr>
        <w:spacing w:line="276" w:lineRule="auto"/>
        <w:jc w:val="both"/>
        <w:rPr>
          <w:rFonts w:ascii="Book Antiqua" w:hAnsi="Book Antiqua"/>
          <w:color w:val="000000" w:themeColor="text1"/>
        </w:rPr>
      </w:pPr>
      <w:r w:rsidRPr="007E4B64">
        <w:rPr>
          <w:rFonts w:ascii="Book Antiqua" w:hAnsi="Book Antiqua"/>
          <w:color w:val="000000" w:themeColor="text1"/>
        </w:rPr>
        <w:t xml:space="preserve">Las principales actividades reportadas por </w:t>
      </w:r>
      <w:r w:rsidR="007E4B64" w:rsidRPr="007E4B64">
        <w:rPr>
          <w:rFonts w:ascii="Book Antiqua" w:hAnsi="Book Antiqua"/>
          <w:color w:val="000000" w:themeColor="text1"/>
        </w:rPr>
        <w:t>el personal de la judicatura</w:t>
      </w:r>
      <w:r w:rsidRPr="007E4B64">
        <w:rPr>
          <w:rFonts w:ascii="Book Antiqua" w:hAnsi="Book Antiqua"/>
          <w:color w:val="000000" w:themeColor="text1"/>
        </w:rPr>
        <w:t xml:space="preserve"> de los Tribunales de Juicio obedecen al dictado de sentencias con </w:t>
      </w:r>
      <w:r w:rsidR="007E4B64" w:rsidRPr="007E4B64">
        <w:rPr>
          <w:rFonts w:ascii="Book Antiqua" w:hAnsi="Book Antiqua"/>
          <w:color w:val="000000" w:themeColor="text1"/>
        </w:rPr>
        <w:t>1115 y recursos de apelación con 387</w:t>
      </w:r>
      <w:r w:rsidRPr="007E4B64">
        <w:rPr>
          <w:rFonts w:ascii="Book Antiqua" w:hAnsi="Book Antiqua"/>
          <w:color w:val="000000" w:themeColor="text1"/>
        </w:rPr>
        <w:t>.</w:t>
      </w:r>
    </w:p>
    <w:p w14:paraId="5667CCC5" w14:textId="77777777" w:rsidR="00C413A9" w:rsidRPr="00C413A9" w:rsidRDefault="00C413A9" w:rsidP="00C413A9">
      <w:pPr>
        <w:pStyle w:val="Prrafodelista"/>
        <w:spacing w:line="276" w:lineRule="auto"/>
        <w:jc w:val="both"/>
        <w:rPr>
          <w:rFonts w:ascii="Book Antiqua" w:hAnsi="Book Antiqua"/>
          <w:color w:val="000000" w:themeColor="text1"/>
        </w:rPr>
      </w:pPr>
    </w:p>
    <w:p w14:paraId="3F4BB4E7" w14:textId="6EB135AD" w:rsidR="00C413A9" w:rsidRPr="00C413A9" w:rsidRDefault="00C413A9" w:rsidP="0073399F">
      <w:pPr>
        <w:pStyle w:val="Prrafodelista"/>
        <w:numPr>
          <w:ilvl w:val="0"/>
          <w:numId w:val="11"/>
        </w:numPr>
        <w:spacing w:line="276" w:lineRule="auto"/>
        <w:jc w:val="both"/>
        <w:rPr>
          <w:rFonts w:ascii="Book Antiqua" w:hAnsi="Book Antiqua"/>
          <w:color w:val="000000" w:themeColor="text1"/>
        </w:rPr>
      </w:pPr>
      <w:r w:rsidRPr="00C413A9">
        <w:rPr>
          <w:rFonts w:ascii="Book Antiqua" w:hAnsi="Book Antiqua"/>
          <w:color w:val="000000" w:themeColor="text1"/>
        </w:rPr>
        <w:t xml:space="preserve">Durante el mes de </w:t>
      </w:r>
      <w:r>
        <w:rPr>
          <w:rFonts w:ascii="Book Antiqua" w:hAnsi="Book Antiqua"/>
          <w:color w:val="000000" w:themeColor="text1"/>
        </w:rPr>
        <w:t>setiembre</w:t>
      </w:r>
      <w:r w:rsidRPr="00C413A9">
        <w:rPr>
          <w:rFonts w:ascii="Book Antiqua" w:hAnsi="Book Antiqua"/>
          <w:color w:val="000000" w:themeColor="text1"/>
        </w:rPr>
        <w:t xml:space="preserve"> el porcentaje de rendimiento general de los Tribunales de juicio alcanzó el 100%</w:t>
      </w:r>
    </w:p>
    <w:p w14:paraId="13EC81CF" w14:textId="77777777" w:rsidR="00BD717D" w:rsidRPr="00C413A9" w:rsidRDefault="00BD717D" w:rsidP="00C413A9">
      <w:pPr>
        <w:spacing w:line="276" w:lineRule="auto"/>
        <w:rPr>
          <w:rFonts w:ascii="Book Antiqua" w:hAnsi="Book Antiqua"/>
          <w:color w:val="000000" w:themeColor="text1"/>
          <w:highlight w:val="magenta"/>
        </w:rPr>
      </w:pPr>
    </w:p>
    <w:p w14:paraId="3C62854E" w14:textId="61154886" w:rsidR="00060E34" w:rsidRPr="00060E34" w:rsidRDefault="00060E34" w:rsidP="0073399F">
      <w:pPr>
        <w:pStyle w:val="Prrafodelista"/>
        <w:numPr>
          <w:ilvl w:val="0"/>
          <w:numId w:val="11"/>
        </w:numPr>
        <w:spacing w:line="276" w:lineRule="auto"/>
        <w:jc w:val="both"/>
        <w:rPr>
          <w:rFonts w:ascii="Book Antiqua" w:hAnsi="Book Antiqua"/>
          <w:color w:val="000000" w:themeColor="text1"/>
        </w:rPr>
      </w:pPr>
      <w:r>
        <w:rPr>
          <w:rFonts w:ascii="Book Antiqua" w:hAnsi="Book Antiqua"/>
          <w:color w:val="000000" w:themeColor="text1"/>
        </w:rPr>
        <w:t xml:space="preserve">Las </w:t>
      </w:r>
      <w:r w:rsidRPr="00060E34">
        <w:rPr>
          <w:rFonts w:ascii="Book Antiqua" w:hAnsi="Book Antiqua"/>
          <w:color w:val="000000" w:themeColor="text1"/>
        </w:rPr>
        <w:t>secciones de flagrancia reportaron un total de 802 audiencias iniciales, 601 sentencias dictadas y se lograron un total de 438 medidas alternas.</w:t>
      </w:r>
    </w:p>
    <w:p w14:paraId="76947C06" w14:textId="2AA0E212" w:rsidR="00BD717D" w:rsidRPr="00060E34" w:rsidRDefault="00BD717D" w:rsidP="00060E34">
      <w:pPr>
        <w:pStyle w:val="Prrafodelista"/>
        <w:spacing w:line="276" w:lineRule="auto"/>
        <w:ind w:left="720"/>
        <w:jc w:val="both"/>
        <w:rPr>
          <w:rFonts w:ascii="Book Antiqua" w:hAnsi="Book Antiqua"/>
          <w:color w:val="000000" w:themeColor="text1"/>
          <w:highlight w:val="magenta"/>
        </w:rPr>
      </w:pPr>
    </w:p>
    <w:p w14:paraId="3966F5D4" w14:textId="13FA95C0" w:rsidR="00BD717D" w:rsidRPr="00060E34" w:rsidRDefault="00BD717D" w:rsidP="0073399F">
      <w:pPr>
        <w:pStyle w:val="Prrafodelista"/>
        <w:numPr>
          <w:ilvl w:val="0"/>
          <w:numId w:val="11"/>
        </w:numPr>
        <w:spacing w:line="276" w:lineRule="auto"/>
        <w:jc w:val="both"/>
        <w:rPr>
          <w:rFonts w:ascii="Book Antiqua" w:hAnsi="Book Antiqua"/>
          <w:color w:val="000000" w:themeColor="text1"/>
        </w:rPr>
      </w:pPr>
      <w:r w:rsidRPr="00060E34">
        <w:rPr>
          <w:rFonts w:ascii="Book Antiqua" w:hAnsi="Book Antiqua"/>
          <w:color w:val="000000" w:themeColor="text1"/>
        </w:rPr>
        <w:t xml:space="preserve">Las </w:t>
      </w:r>
      <w:r w:rsidR="00060E34" w:rsidRPr="00060E34">
        <w:rPr>
          <w:rFonts w:ascii="Book Antiqua" w:hAnsi="Book Antiqua"/>
          <w:color w:val="000000" w:themeColor="text1"/>
        </w:rPr>
        <w:t>secciones de flagrancia tienen un parámetro de producción de 35 sentencias, medidas alternas o audiencias iniciales, durante el mes de setiembre en promedio se alcanzó un parámetro de cumplimiento del 77%, considerando la colaboración al ordinario asciende a un 81%. Se destaca que, para el mes en estudio, de la totalidad de las oficinas del contexto de Flagrancia, San Carlos, Alajuela, Liberia, Heredia y San Ramón, son los únicos despachos que logran alcanzar un rendimiento igual o mayor al valor mínimo de producción.</w:t>
      </w:r>
    </w:p>
    <w:p w14:paraId="3DF1A566" w14:textId="77777777" w:rsidR="00BD717D" w:rsidRPr="002D0D79" w:rsidRDefault="00BD717D" w:rsidP="00BD717D">
      <w:pPr>
        <w:pStyle w:val="Prrafodelista"/>
        <w:spacing w:line="276" w:lineRule="auto"/>
        <w:rPr>
          <w:rFonts w:ascii="Book Antiqua" w:hAnsi="Book Antiqua"/>
          <w:color w:val="000000" w:themeColor="text1"/>
          <w:highlight w:val="magenta"/>
        </w:rPr>
      </w:pPr>
    </w:p>
    <w:p w14:paraId="7A631CA8" w14:textId="430A6678" w:rsidR="00BD717D" w:rsidRPr="00F729A6" w:rsidRDefault="00BD717D" w:rsidP="0073399F">
      <w:pPr>
        <w:pStyle w:val="Prrafodelista"/>
        <w:numPr>
          <w:ilvl w:val="0"/>
          <w:numId w:val="11"/>
        </w:numPr>
        <w:spacing w:line="276" w:lineRule="auto"/>
        <w:jc w:val="both"/>
        <w:rPr>
          <w:rFonts w:ascii="Book Antiqua" w:hAnsi="Book Antiqua"/>
          <w:color w:val="000000" w:themeColor="text1"/>
        </w:rPr>
      </w:pPr>
      <w:r w:rsidRPr="00F729A6">
        <w:rPr>
          <w:rFonts w:ascii="Book Antiqua" w:hAnsi="Book Antiqua"/>
          <w:color w:val="000000" w:themeColor="text1"/>
        </w:rPr>
        <w:t xml:space="preserve">El personal de la judicatura de los Juzgados de Ejecución de la Pena firmó </w:t>
      </w:r>
      <w:r w:rsidR="00F729A6" w:rsidRPr="00F729A6">
        <w:rPr>
          <w:rFonts w:ascii="Book Antiqua" w:hAnsi="Book Antiqua"/>
          <w:color w:val="000000" w:themeColor="text1"/>
        </w:rPr>
        <w:t>5806</w:t>
      </w:r>
      <w:r w:rsidRPr="00F729A6">
        <w:rPr>
          <w:rFonts w:ascii="Book Antiqua" w:hAnsi="Book Antiqua"/>
          <w:color w:val="000000" w:themeColor="text1"/>
        </w:rPr>
        <w:t xml:space="preserve"> expedientes y finalizaron 1</w:t>
      </w:r>
      <w:r w:rsidR="00F729A6" w:rsidRPr="00F729A6">
        <w:rPr>
          <w:rFonts w:ascii="Book Antiqua" w:hAnsi="Book Antiqua"/>
          <w:color w:val="000000" w:themeColor="text1"/>
        </w:rPr>
        <w:t>301</w:t>
      </w:r>
      <w:r w:rsidRPr="00F729A6">
        <w:rPr>
          <w:rFonts w:ascii="Book Antiqua" w:hAnsi="Book Antiqua"/>
          <w:color w:val="000000" w:themeColor="text1"/>
        </w:rPr>
        <w:t xml:space="preserve"> incidentes.</w:t>
      </w:r>
    </w:p>
    <w:p w14:paraId="474F5ABB" w14:textId="77777777" w:rsidR="00BD717D" w:rsidRPr="002D0D79" w:rsidRDefault="00BD717D" w:rsidP="00BD717D">
      <w:pPr>
        <w:pStyle w:val="Prrafodelista"/>
        <w:spacing w:line="276" w:lineRule="auto"/>
        <w:rPr>
          <w:rFonts w:ascii="Book Antiqua" w:hAnsi="Book Antiqua"/>
          <w:color w:val="000000" w:themeColor="text1"/>
          <w:highlight w:val="magenta"/>
        </w:rPr>
      </w:pPr>
    </w:p>
    <w:p w14:paraId="4A58A1F5" w14:textId="0773A854" w:rsidR="00BD717D" w:rsidRPr="00F729A6" w:rsidRDefault="00BD717D" w:rsidP="0073399F">
      <w:pPr>
        <w:pStyle w:val="Prrafodelista"/>
        <w:numPr>
          <w:ilvl w:val="0"/>
          <w:numId w:val="11"/>
        </w:numPr>
        <w:spacing w:line="276" w:lineRule="auto"/>
        <w:jc w:val="both"/>
        <w:rPr>
          <w:rFonts w:ascii="Book Antiqua" w:hAnsi="Book Antiqua"/>
          <w:color w:val="000000" w:themeColor="text1"/>
        </w:rPr>
      </w:pPr>
      <w:r w:rsidRPr="00F729A6">
        <w:rPr>
          <w:rFonts w:ascii="Book Antiqua" w:hAnsi="Book Antiqua"/>
          <w:color w:val="000000" w:themeColor="text1"/>
        </w:rPr>
        <w:t xml:space="preserve">Los Juzgados de Ejecución de la Pena registran de cumplimiento de producción un </w:t>
      </w:r>
      <w:r w:rsidR="00F729A6" w:rsidRPr="00F729A6">
        <w:rPr>
          <w:rFonts w:ascii="Book Antiqua" w:hAnsi="Book Antiqua"/>
          <w:color w:val="000000" w:themeColor="text1"/>
        </w:rPr>
        <w:t>90</w:t>
      </w:r>
      <w:r w:rsidRPr="00F729A6">
        <w:rPr>
          <w:rFonts w:ascii="Book Antiqua" w:hAnsi="Book Antiqua"/>
          <w:color w:val="000000" w:themeColor="text1"/>
        </w:rPr>
        <w:t xml:space="preserve">% en incidentes terminados y </w:t>
      </w:r>
      <w:r w:rsidR="00F729A6" w:rsidRPr="00F729A6">
        <w:rPr>
          <w:rFonts w:ascii="Book Antiqua" w:hAnsi="Book Antiqua"/>
          <w:color w:val="000000" w:themeColor="text1"/>
        </w:rPr>
        <w:t>226</w:t>
      </w:r>
      <w:r w:rsidRPr="00F729A6">
        <w:rPr>
          <w:rFonts w:ascii="Book Antiqua" w:hAnsi="Book Antiqua"/>
          <w:color w:val="000000" w:themeColor="text1"/>
        </w:rPr>
        <w:t>% en firma de expedientes.</w:t>
      </w:r>
    </w:p>
    <w:p w14:paraId="454A0EAB" w14:textId="77777777" w:rsidR="00BD717D" w:rsidRPr="002D0D79" w:rsidRDefault="00BD717D" w:rsidP="00BD717D">
      <w:pPr>
        <w:pStyle w:val="Prrafodelista"/>
        <w:spacing w:line="276" w:lineRule="auto"/>
        <w:rPr>
          <w:rFonts w:ascii="Book Antiqua" w:hAnsi="Book Antiqua"/>
          <w:color w:val="000000" w:themeColor="text1"/>
          <w:highlight w:val="magenta"/>
        </w:rPr>
      </w:pPr>
    </w:p>
    <w:p w14:paraId="32607044" w14:textId="3DA51FCA" w:rsidR="00BD717D" w:rsidRPr="00CD00FD" w:rsidRDefault="00BD717D" w:rsidP="0073399F">
      <w:pPr>
        <w:pStyle w:val="Prrafodelista"/>
        <w:numPr>
          <w:ilvl w:val="0"/>
          <w:numId w:val="11"/>
        </w:numPr>
        <w:spacing w:line="276" w:lineRule="auto"/>
        <w:jc w:val="both"/>
        <w:rPr>
          <w:rFonts w:ascii="Book Antiqua" w:hAnsi="Book Antiqua"/>
          <w:color w:val="000000"/>
        </w:rPr>
      </w:pPr>
      <w:r w:rsidRPr="00CD00FD">
        <w:rPr>
          <w:rFonts w:ascii="Book Antiqua" w:hAnsi="Book Antiqua"/>
          <w:color w:val="000000" w:themeColor="text1"/>
        </w:rPr>
        <w:t xml:space="preserve">Durante el mes de </w:t>
      </w:r>
      <w:r w:rsidR="00F729A6" w:rsidRPr="00CD00FD">
        <w:rPr>
          <w:rFonts w:ascii="Book Antiqua" w:hAnsi="Book Antiqua"/>
          <w:color w:val="000000" w:themeColor="text1"/>
        </w:rPr>
        <w:t>setiembre</w:t>
      </w:r>
      <w:r w:rsidRPr="00CD00FD">
        <w:rPr>
          <w:rFonts w:ascii="Book Antiqua" w:hAnsi="Book Antiqua"/>
          <w:color w:val="000000" w:themeColor="text1"/>
        </w:rPr>
        <w:t xml:space="preserve"> del 2021, el porcentaje general de rendimiento de los Tribunales de Apelación de Sentencia fue de un 8</w:t>
      </w:r>
      <w:r w:rsidR="00F729A6" w:rsidRPr="00CD00FD">
        <w:rPr>
          <w:rFonts w:ascii="Book Antiqua" w:hAnsi="Book Antiqua"/>
          <w:color w:val="000000" w:themeColor="text1"/>
        </w:rPr>
        <w:t>2</w:t>
      </w:r>
      <w:r w:rsidRPr="00CD00FD">
        <w:rPr>
          <w:rFonts w:ascii="Book Antiqua" w:hAnsi="Book Antiqua"/>
          <w:color w:val="000000" w:themeColor="text1"/>
        </w:rPr>
        <w:t>%</w:t>
      </w:r>
      <w:r w:rsidR="00F729A6" w:rsidRPr="00CD00FD">
        <w:rPr>
          <w:rFonts w:ascii="Book Antiqua" w:hAnsi="Book Antiqua"/>
          <w:color w:val="000000" w:themeColor="text1"/>
        </w:rPr>
        <w:t xml:space="preserve">. Los despachos que </w:t>
      </w:r>
      <w:r w:rsidR="00CD00FD" w:rsidRPr="00CD00FD">
        <w:rPr>
          <w:rFonts w:ascii="Book Antiqua" w:hAnsi="Book Antiqua"/>
          <w:color w:val="000000" w:themeColor="text1"/>
        </w:rPr>
        <w:t>obtuvieron un rendimiento superior a la cifra ideal de cumplimiento son Santa Cruz y Cartago.</w:t>
      </w:r>
    </w:p>
    <w:p w14:paraId="3B189966" w14:textId="77777777" w:rsidR="00F729A6" w:rsidRPr="00CD00FD" w:rsidRDefault="00F729A6" w:rsidP="00CD00FD">
      <w:pPr>
        <w:spacing w:line="276" w:lineRule="auto"/>
        <w:jc w:val="both"/>
        <w:rPr>
          <w:rFonts w:ascii="Book Antiqua" w:hAnsi="Book Antiqua"/>
          <w:color w:val="000000"/>
          <w:highlight w:val="magenta"/>
        </w:rPr>
      </w:pPr>
    </w:p>
    <w:p w14:paraId="38BFB30D" w14:textId="4D05853F" w:rsidR="00BD717D" w:rsidRPr="00375C04" w:rsidRDefault="00BD717D" w:rsidP="0073399F">
      <w:pPr>
        <w:pStyle w:val="Prrafodelista"/>
        <w:numPr>
          <w:ilvl w:val="0"/>
          <w:numId w:val="11"/>
        </w:numPr>
        <w:spacing w:line="276" w:lineRule="auto"/>
        <w:jc w:val="both"/>
        <w:rPr>
          <w:rFonts w:ascii="Book Antiqua" w:hAnsi="Book Antiqua"/>
          <w:color w:val="000000" w:themeColor="text1"/>
        </w:rPr>
      </w:pPr>
      <w:r w:rsidRPr="00375C04">
        <w:rPr>
          <w:rFonts w:ascii="Book Antiqua" w:hAnsi="Book Antiqua"/>
          <w:color w:val="000000"/>
        </w:rPr>
        <w:t>El personal Profesional de la Sala Tercera refleja la mayor cantidad de actividades en la variable de revisión de expedientes y resoluciones 3</w:t>
      </w:r>
      <w:r w:rsidR="00375C04" w:rsidRPr="00375C04">
        <w:rPr>
          <w:rFonts w:ascii="Book Antiqua" w:hAnsi="Book Antiqua"/>
          <w:color w:val="000000"/>
        </w:rPr>
        <w:t>23</w:t>
      </w:r>
      <w:r w:rsidRPr="00375C04">
        <w:rPr>
          <w:rFonts w:ascii="Book Antiqua" w:hAnsi="Book Antiqua"/>
          <w:color w:val="000000"/>
        </w:rPr>
        <w:t xml:space="preserve">, clasificación de jurisprudencia </w:t>
      </w:r>
      <w:r w:rsidR="00375C04" w:rsidRPr="00375C04">
        <w:rPr>
          <w:rFonts w:ascii="Book Antiqua" w:hAnsi="Book Antiqua"/>
          <w:color w:val="000000"/>
        </w:rPr>
        <w:t xml:space="preserve">218, </w:t>
      </w:r>
      <w:r w:rsidRPr="00375C04">
        <w:rPr>
          <w:rFonts w:ascii="Book Antiqua" w:hAnsi="Book Antiqua"/>
          <w:color w:val="000000"/>
        </w:rPr>
        <w:t xml:space="preserve">proyectos de resolución </w:t>
      </w:r>
      <w:r w:rsidR="00375C04" w:rsidRPr="00375C04">
        <w:rPr>
          <w:rFonts w:ascii="Book Antiqua" w:hAnsi="Book Antiqua"/>
          <w:color w:val="000000"/>
        </w:rPr>
        <w:t>125 y votaciones 118.</w:t>
      </w:r>
    </w:p>
    <w:p w14:paraId="2D44C51A" w14:textId="77777777" w:rsidR="00BD717D" w:rsidRPr="00375C04" w:rsidRDefault="00BD717D" w:rsidP="00BD717D">
      <w:pPr>
        <w:spacing w:line="276" w:lineRule="auto"/>
        <w:rPr>
          <w:rFonts w:ascii="Book Antiqua" w:hAnsi="Book Antiqua"/>
          <w:color w:val="000000" w:themeColor="text1"/>
        </w:rPr>
      </w:pPr>
    </w:p>
    <w:p w14:paraId="424A45F2" w14:textId="0F4B682B" w:rsidR="00BD717D" w:rsidRPr="00375C04" w:rsidRDefault="00BD717D" w:rsidP="0073399F">
      <w:pPr>
        <w:pStyle w:val="Prrafodelista"/>
        <w:numPr>
          <w:ilvl w:val="0"/>
          <w:numId w:val="11"/>
        </w:numPr>
        <w:spacing w:line="276" w:lineRule="auto"/>
        <w:contextualSpacing/>
        <w:jc w:val="both"/>
        <w:rPr>
          <w:rFonts w:ascii="Book Antiqua" w:hAnsi="Book Antiqua"/>
          <w:color w:val="000000" w:themeColor="text1"/>
        </w:rPr>
      </w:pPr>
      <w:r w:rsidRPr="00375C04">
        <w:rPr>
          <w:rFonts w:ascii="Book Antiqua" w:hAnsi="Book Antiqua"/>
          <w:color w:val="000000" w:themeColor="text1"/>
        </w:rPr>
        <w:t xml:space="preserve">El porcentaje de cumplimiento de Sala </w:t>
      </w:r>
      <w:r w:rsidR="00375C04" w:rsidRPr="00375C04">
        <w:rPr>
          <w:rFonts w:ascii="Book Antiqua" w:hAnsi="Book Antiqua"/>
          <w:color w:val="000000" w:themeColor="text1"/>
        </w:rPr>
        <w:t>Tercera</w:t>
      </w:r>
      <w:r w:rsidRPr="00375C04">
        <w:rPr>
          <w:rFonts w:ascii="Book Antiqua" w:hAnsi="Book Antiqua"/>
          <w:color w:val="000000" w:themeColor="text1"/>
        </w:rPr>
        <w:t xml:space="preserve"> alcanzó un 86% de producción durante el mes </w:t>
      </w:r>
      <w:r w:rsidR="00375C04" w:rsidRPr="00375C04">
        <w:rPr>
          <w:rFonts w:ascii="Book Antiqua" w:hAnsi="Book Antiqua"/>
          <w:color w:val="000000" w:themeColor="text1"/>
        </w:rPr>
        <w:t>de setiembre</w:t>
      </w:r>
      <w:r w:rsidRPr="00375C04">
        <w:rPr>
          <w:rFonts w:ascii="Book Antiqua" w:hAnsi="Book Antiqua"/>
          <w:color w:val="000000" w:themeColor="text1"/>
        </w:rPr>
        <w:t>.</w:t>
      </w:r>
    </w:p>
    <w:p w14:paraId="366A240A" w14:textId="77777777" w:rsidR="00BD717D" w:rsidRPr="00381FD4" w:rsidRDefault="00BD717D" w:rsidP="00BD717D">
      <w:pPr>
        <w:pStyle w:val="Prrafodelista"/>
        <w:spacing w:line="276" w:lineRule="auto"/>
        <w:rPr>
          <w:rFonts w:ascii="Book Antiqua" w:hAnsi="Book Antiqua"/>
          <w:color w:val="000000" w:themeColor="text1"/>
        </w:rPr>
      </w:pPr>
    </w:p>
    <w:p w14:paraId="151EA3D3" w14:textId="3B40D711" w:rsidR="0028459F" w:rsidRDefault="0028459F" w:rsidP="00985591">
      <w:pPr>
        <w:spacing w:line="276" w:lineRule="auto"/>
        <w:jc w:val="both"/>
        <w:rPr>
          <w:rFonts w:ascii="Book Antiqua" w:hAnsi="Book Antiqua"/>
          <w:b/>
          <w:bCs/>
          <w:lang w:val="es-ES_tradnl" w:eastAsia="en-US"/>
        </w:rPr>
      </w:pPr>
    </w:p>
    <w:p w14:paraId="41878B81" w14:textId="77777777" w:rsidR="006F775A" w:rsidRDefault="006F775A" w:rsidP="00985591">
      <w:pPr>
        <w:spacing w:line="276" w:lineRule="auto"/>
        <w:jc w:val="both"/>
        <w:rPr>
          <w:rFonts w:ascii="Book Antiqua" w:hAnsi="Book Antiqua"/>
          <w:b/>
          <w:bCs/>
          <w:lang w:val="es-ES_tradnl" w:eastAsia="en-US"/>
        </w:rPr>
      </w:pPr>
    </w:p>
    <w:p w14:paraId="5E54D6E2" w14:textId="0E0C610A" w:rsidR="00BA66FE" w:rsidRDefault="00BA66FE" w:rsidP="00985591">
      <w:pPr>
        <w:spacing w:line="276" w:lineRule="auto"/>
        <w:jc w:val="both"/>
        <w:rPr>
          <w:rFonts w:ascii="Book Antiqua" w:hAnsi="Book Antiqua"/>
          <w:b/>
          <w:bCs/>
          <w:lang w:val="es-ES_tradnl" w:eastAsia="en-US"/>
        </w:rPr>
      </w:pPr>
      <w:r w:rsidRPr="00020D94">
        <w:rPr>
          <w:rFonts w:ascii="Book Antiqua" w:hAnsi="Book Antiqua"/>
          <w:b/>
          <w:bCs/>
          <w:lang w:val="es-ES_tradnl" w:eastAsia="en-US"/>
        </w:rPr>
        <w:t>C</w:t>
      </w:r>
      <w:r w:rsidR="000F3691" w:rsidRPr="00020D94">
        <w:rPr>
          <w:rFonts w:ascii="Book Antiqua" w:hAnsi="Book Antiqua"/>
          <w:b/>
          <w:bCs/>
          <w:lang w:val="es-ES_tradnl" w:eastAsia="en-US"/>
        </w:rPr>
        <w:t>apítulo</w:t>
      </w:r>
      <w:r w:rsidRPr="00020D94">
        <w:rPr>
          <w:rFonts w:ascii="Book Antiqua" w:hAnsi="Book Antiqua"/>
          <w:b/>
          <w:bCs/>
          <w:lang w:val="es-ES_tradnl" w:eastAsia="en-US"/>
        </w:rPr>
        <w:t xml:space="preserve"> </w:t>
      </w:r>
      <w:r w:rsidR="007E4B64" w:rsidRPr="00020D94">
        <w:rPr>
          <w:rFonts w:ascii="Book Antiqua" w:hAnsi="Book Antiqua"/>
          <w:b/>
          <w:bCs/>
          <w:lang w:val="es-ES_tradnl" w:eastAsia="en-US"/>
        </w:rPr>
        <w:t>IX</w:t>
      </w:r>
      <w:r w:rsidRPr="00020D94">
        <w:rPr>
          <w:rFonts w:ascii="Book Antiqua" w:hAnsi="Book Antiqua"/>
          <w:b/>
          <w:bCs/>
          <w:lang w:val="es-ES_tradnl" w:eastAsia="en-US"/>
        </w:rPr>
        <w:t xml:space="preserve">. </w:t>
      </w:r>
      <w:r w:rsidR="000F3691" w:rsidRPr="00020D94">
        <w:rPr>
          <w:rFonts w:ascii="Book Antiqua" w:hAnsi="Book Antiqua"/>
          <w:b/>
          <w:bCs/>
          <w:lang w:val="es-ES_tradnl" w:eastAsia="en-US"/>
        </w:rPr>
        <w:t>Acciones institucionales para maximizar los servicios</w:t>
      </w:r>
    </w:p>
    <w:p w14:paraId="51B876F7" w14:textId="77777777" w:rsidR="00BA66FE" w:rsidRDefault="00BA66FE" w:rsidP="00985591">
      <w:pPr>
        <w:spacing w:line="276" w:lineRule="auto"/>
        <w:contextualSpacing/>
        <w:jc w:val="both"/>
        <w:rPr>
          <w:rFonts w:ascii="Book Antiqua" w:hAnsi="Book Antiqua"/>
          <w:b/>
          <w:bCs/>
          <w:lang w:val="es-ES_tradnl" w:eastAsia="en-US"/>
        </w:rPr>
      </w:pPr>
    </w:p>
    <w:p w14:paraId="73D6F6AE" w14:textId="3E3557C2" w:rsidR="004903E0" w:rsidRDefault="004903E0" w:rsidP="0073399F">
      <w:pPr>
        <w:pStyle w:val="Prrafodelista"/>
        <w:numPr>
          <w:ilvl w:val="0"/>
          <w:numId w:val="11"/>
        </w:numPr>
        <w:spacing w:line="276" w:lineRule="auto"/>
        <w:contextualSpacing/>
        <w:jc w:val="both"/>
        <w:rPr>
          <w:rFonts w:ascii="Book Antiqua" w:hAnsi="Book Antiqua"/>
          <w:color w:val="000000" w:themeColor="text1"/>
        </w:rPr>
      </w:pPr>
      <w:r>
        <w:rPr>
          <w:rFonts w:ascii="Book Antiqua" w:hAnsi="Book Antiqua"/>
          <w:color w:val="000000" w:themeColor="text1"/>
        </w:rPr>
        <w:t>Se ha trabajado de forma conjunta con las deferentes comisiones institucionales para proponer planes de trabajo que impactaran a todas las materias en general</w:t>
      </w:r>
      <w:r w:rsidR="00747E41">
        <w:rPr>
          <w:rFonts w:ascii="Book Antiqua" w:hAnsi="Book Antiqua"/>
          <w:color w:val="000000" w:themeColor="text1"/>
        </w:rPr>
        <w:t xml:space="preserve"> Civil, Cobro, Agrario, Laboral, </w:t>
      </w:r>
      <w:proofErr w:type="gramStart"/>
      <w:r w:rsidR="00747E41">
        <w:rPr>
          <w:rFonts w:ascii="Book Antiqua" w:hAnsi="Book Antiqua"/>
          <w:color w:val="000000" w:themeColor="text1"/>
        </w:rPr>
        <w:t xml:space="preserve">Tránsito, </w:t>
      </w:r>
      <w:r>
        <w:rPr>
          <w:rFonts w:ascii="Book Antiqua" w:hAnsi="Book Antiqua"/>
          <w:color w:val="000000" w:themeColor="text1"/>
        </w:rPr>
        <w:t xml:space="preserve"> se</w:t>
      </w:r>
      <w:proofErr w:type="gramEnd"/>
      <w:r>
        <w:rPr>
          <w:rFonts w:ascii="Book Antiqua" w:hAnsi="Book Antiqua"/>
          <w:color w:val="000000" w:themeColor="text1"/>
        </w:rPr>
        <w:t xml:space="preserve"> detallan algunas acciones en materia penal, ya </w:t>
      </w:r>
      <w:r w:rsidR="00747E41">
        <w:rPr>
          <w:rFonts w:ascii="Book Antiqua" w:hAnsi="Book Antiqua"/>
          <w:color w:val="000000" w:themeColor="text1"/>
        </w:rPr>
        <w:t>que este informe, solicita se realice el análisis en específico de esta  materia penal.</w:t>
      </w:r>
    </w:p>
    <w:p w14:paraId="2E899284" w14:textId="77777777" w:rsidR="00747E41" w:rsidRDefault="00747E41" w:rsidP="00747E41">
      <w:pPr>
        <w:pStyle w:val="Prrafodelista"/>
        <w:spacing w:line="276" w:lineRule="auto"/>
        <w:ind w:left="720"/>
        <w:contextualSpacing/>
        <w:jc w:val="both"/>
        <w:rPr>
          <w:rFonts w:ascii="Book Antiqua" w:hAnsi="Book Antiqua"/>
          <w:color w:val="000000" w:themeColor="text1"/>
        </w:rPr>
      </w:pPr>
    </w:p>
    <w:p w14:paraId="6003245E" w14:textId="18403FA9" w:rsidR="000F3691" w:rsidRPr="00020D94" w:rsidRDefault="00020D94" w:rsidP="0073399F">
      <w:pPr>
        <w:pStyle w:val="Prrafodelista"/>
        <w:numPr>
          <w:ilvl w:val="0"/>
          <w:numId w:val="11"/>
        </w:numPr>
        <w:spacing w:line="276" w:lineRule="auto"/>
        <w:contextualSpacing/>
        <w:jc w:val="both"/>
        <w:rPr>
          <w:rFonts w:ascii="Book Antiqua" w:hAnsi="Book Antiqua"/>
          <w:color w:val="000000" w:themeColor="text1"/>
        </w:rPr>
      </w:pPr>
      <w:r w:rsidRPr="00020D94">
        <w:rPr>
          <w:rFonts w:ascii="Book Antiqua" w:hAnsi="Book Antiqua"/>
          <w:color w:val="000000" w:themeColor="text1"/>
        </w:rPr>
        <w:t>De conformidad con el acuerdo de Corte Plena en sesión N° 27-2021 celebrada el 30 de junio de 2021 artículo II, donde se conoció el informe 706-PLA-MI-2021, actualmente as secciones de Flagrancia, deberán dar soporte a los Tribunales Penales Ordinarios en cualquier tipo de delito, sean juicios colegiados o unipersonales porque son parte de un único Tribunal y pueden desarrollar cualquier tipo de juicio, bajo la coordinación de la persona juzgadora que coordina el Tribunal Ordinario, siempre y cuando no se afecte el servicio público de flagrancia, respetando los análisis de capacidad instalada de cada zona geográfico según las cuotas de producción.</w:t>
      </w:r>
    </w:p>
    <w:p w14:paraId="7A87553D" w14:textId="77777777" w:rsidR="00020D94" w:rsidRPr="00020D94" w:rsidRDefault="00020D94" w:rsidP="00020D94">
      <w:pPr>
        <w:pStyle w:val="Prrafodelista"/>
        <w:spacing w:line="276" w:lineRule="auto"/>
        <w:ind w:left="720"/>
        <w:contextualSpacing/>
        <w:jc w:val="both"/>
        <w:rPr>
          <w:rFonts w:ascii="Book Antiqua" w:hAnsi="Book Antiqua"/>
          <w:color w:val="000000" w:themeColor="text1"/>
          <w:highlight w:val="yellow"/>
        </w:rPr>
      </w:pPr>
    </w:p>
    <w:p w14:paraId="0A50640B" w14:textId="658B9C63" w:rsidR="00BA66FE" w:rsidRPr="00020D94" w:rsidRDefault="00747E41" w:rsidP="0073399F">
      <w:pPr>
        <w:pStyle w:val="Prrafodelista"/>
        <w:numPr>
          <w:ilvl w:val="0"/>
          <w:numId w:val="11"/>
        </w:numPr>
        <w:spacing w:line="276" w:lineRule="auto"/>
        <w:jc w:val="both"/>
        <w:rPr>
          <w:rFonts w:ascii="Book Antiqua" w:hAnsi="Book Antiqua"/>
          <w:color w:val="000000" w:themeColor="text1"/>
        </w:rPr>
      </w:pPr>
      <w:r>
        <w:rPr>
          <w:rFonts w:ascii="Book Antiqua" w:hAnsi="Book Antiqua"/>
          <w:color w:val="000000" w:themeColor="text1"/>
        </w:rPr>
        <w:t xml:space="preserve">Se </w:t>
      </w:r>
      <w:r w:rsidR="00020D94" w:rsidRPr="00020D94">
        <w:rPr>
          <w:rFonts w:ascii="Book Antiqua" w:hAnsi="Book Antiqua"/>
          <w:color w:val="000000" w:themeColor="text1"/>
        </w:rPr>
        <w:t>ha</w:t>
      </w:r>
      <w:r>
        <w:rPr>
          <w:rFonts w:ascii="Book Antiqua" w:hAnsi="Book Antiqua"/>
          <w:color w:val="000000" w:themeColor="text1"/>
        </w:rPr>
        <w:t>n</w:t>
      </w:r>
      <w:r w:rsidR="00020D94" w:rsidRPr="00020D94">
        <w:rPr>
          <w:rFonts w:ascii="Book Antiqua" w:hAnsi="Book Antiqua"/>
          <w:color w:val="000000" w:themeColor="text1"/>
        </w:rPr>
        <w:t xml:space="preserve"> diseñado planes de trabajo para maximizar el recurso de flagrancia los cuales se ejecutan en: Limón, Alajuela, Corredores, Liberia, Puntarenas, Santa Cruz, Guápiles, San Ramón en donde las secciones de flagrancia dan soporte al Tribunal Penal Ordinario en el desarrollo de juicios unipersonales, con excepción de Alajuela en el cual el recurso es parte de una sección colegiada. En el caso del Tribunal Penal de San Ramón, la Dirección de Planificación recomendó replicar el plan de trabajo de Alajuela, en el cual una persona juzgadora de jornada vespertina pasó al día.</w:t>
      </w:r>
    </w:p>
    <w:p w14:paraId="630449FA" w14:textId="77777777" w:rsidR="000F3691" w:rsidRPr="00BD717D" w:rsidRDefault="000F3691" w:rsidP="00985591">
      <w:pPr>
        <w:spacing w:line="276" w:lineRule="auto"/>
        <w:contextualSpacing/>
        <w:jc w:val="both"/>
        <w:rPr>
          <w:rFonts w:ascii="Book Antiqua" w:hAnsi="Book Antiqua"/>
          <w:color w:val="000000" w:themeColor="text1"/>
          <w:highlight w:val="yellow"/>
        </w:rPr>
      </w:pPr>
    </w:p>
    <w:p w14:paraId="20D8DCDD" w14:textId="26C22152" w:rsidR="004372C2" w:rsidRPr="00020D94" w:rsidRDefault="00020D94" w:rsidP="0073399F">
      <w:pPr>
        <w:pStyle w:val="Prrafodelista"/>
        <w:numPr>
          <w:ilvl w:val="0"/>
          <w:numId w:val="11"/>
        </w:numPr>
        <w:spacing w:line="276" w:lineRule="auto"/>
        <w:jc w:val="both"/>
        <w:rPr>
          <w:rFonts w:ascii="Book Antiqua" w:hAnsi="Book Antiqua"/>
          <w:color w:val="000000" w:themeColor="text1"/>
        </w:rPr>
      </w:pPr>
      <w:r w:rsidRPr="00020D94">
        <w:rPr>
          <w:rFonts w:ascii="Book Antiqua" w:hAnsi="Book Antiqua"/>
          <w:color w:val="000000" w:themeColor="text1"/>
        </w:rPr>
        <w:t>Se establecieron planes de soporte al Tribunal Penal Ordinario en el Primer Circuito Judicial de San José en donde una sección de judicatura (4 plazas de persona juzgadora y 3 de Técnica o Técnico Judicial) desarrollarán juicios ordinarios para que este Tribunal pueda enfrentar el desarrollo de juicios complejos y de larga duración, esto se logró debido al rediseño de ese despacho, en donde se recomendó que la atención de flagrancia del I, II y III Circuito Judicial de San José se centralizara en Guadalupe los fines de semana.</w:t>
      </w:r>
    </w:p>
    <w:p w14:paraId="19ABED40" w14:textId="77777777" w:rsidR="004372C2" w:rsidRPr="00020D94" w:rsidRDefault="004372C2" w:rsidP="00985591">
      <w:pPr>
        <w:pStyle w:val="Prrafodelista"/>
        <w:spacing w:line="276" w:lineRule="auto"/>
        <w:rPr>
          <w:rFonts w:ascii="Book Antiqua" w:hAnsi="Book Antiqua"/>
          <w:color w:val="000000" w:themeColor="text1"/>
        </w:rPr>
      </w:pPr>
    </w:p>
    <w:p w14:paraId="3F43510F" w14:textId="77777777" w:rsidR="00020D94" w:rsidRDefault="004372C2" w:rsidP="0073399F">
      <w:pPr>
        <w:pStyle w:val="Prrafodelista"/>
        <w:numPr>
          <w:ilvl w:val="0"/>
          <w:numId w:val="11"/>
        </w:numPr>
        <w:spacing w:line="276" w:lineRule="auto"/>
        <w:jc w:val="both"/>
        <w:rPr>
          <w:rFonts w:ascii="Book Antiqua" w:hAnsi="Book Antiqua"/>
          <w:color w:val="000000" w:themeColor="text1"/>
        </w:rPr>
      </w:pPr>
      <w:r w:rsidRPr="00020D94">
        <w:rPr>
          <w:rFonts w:ascii="Book Antiqua" w:hAnsi="Book Antiqua"/>
          <w:color w:val="000000" w:themeColor="text1"/>
        </w:rPr>
        <w:t>Previo</w:t>
      </w:r>
      <w:r w:rsidR="00020D94" w:rsidRPr="00020D94">
        <w:rPr>
          <w:rFonts w:ascii="Book Antiqua" w:hAnsi="Book Antiqua"/>
          <w:color w:val="000000" w:themeColor="text1"/>
        </w:rPr>
        <w:t xml:space="preserve"> al rediseño de procesos, las Secciones de Flagrancia de Guápiles y Puntarenas daban soporte al ordinario y se consideran como modelos porque son despachos que han logrado unificarse como el deber ser indica: una sola estructura de trabajo.</w:t>
      </w:r>
    </w:p>
    <w:p w14:paraId="14897848" w14:textId="77777777" w:rsidR="00020D94" w:rsidRPr="00020D94" w:rsidRDefault="00020D94" w:rsidP="00020D94">
      <w:pPr>
        <w:pStyle w:val="Prrafodelista"/>
        <w:rPr>
          <w:rFonts w:ascii="Book Antiqua" w:hAnsi="Book Antiqua"/>
          <w:color w:val="000000" w:themeColor="text1"/>
          <w:highlight w:val="yellow"/>
        </w:rPr>
      </w:pPr>
    </w:p>
    <w:p w14:paraId="2C1A9346" w14:textId="667C07C7" w:rsidR="00020D94" w:rsidRPr="00020D94" w:rsidRDefault="004372C2" w:rsidP="0073399F">
      <w:pPr>
        <w:pStyle w:val="Prrafodelista"/>
        <w:numPr>
          <w:ilvl w:val="0"/>
          <w:numId w:val="11"/>
        </w:numPr>
        <w:spacing w:line="276" w:lineRule="auto"/>
        <w:jc w:val="both"/>
        <w:rPr>
          <w:rFonts w:ascii="Book Antiqua" w:hAnsi="Book Antiqua"/>
          <w:color w:val="000000" w:themeColor="text1"/>
        </w:rPr>
      </w:pPr>
      <w:r w:rsidRPr="00020D94">
        <w:rPr>
          <w:rFonts w:ascii="Book Antiqua" w:hAnsi="Book Antiqua"/>
          <w:color w:val="000000" w:themeColor="text1"/>
        </w:rPr>
        <w:t xml:space="preserve">En </w:t>
      </w:r>
      <w:r w:rsidR="00020D94" w:rsidRPr="00020D94">
        <w:rPr>
          <w:rFonts w:ascii="Book Antiqua" w:hAnsi="Book Antiqua"/>
          <w:color w:val="000000" w:themeColor="text1"/>
        </w:rPr>
        <w:t>el caso de la Sección de Flagrancia de Heredia, la cual tiene la mayor cantidad de entrada de asuntos, se diseñó una estrategia para fortalecer el servicio de flagrancia y ampliarlo de 7:30 am a 11:00 pm, en donde se pueden hacer juicios y audiencias en cualquier momento, lo cual ha permitido maximizar ese recurso.</w:t>
      </w:r>
    </w:p>
    <w:p w14:paraId="22BF50E4" w14:textId="77777777" w:rsidR="00B228BB" w:rsidRPr="004372C2" w:rsidRDefault="00B228BB" w:rsidP="00985591">
      <w:pPr>
        <w:spacing w:line="276" w:lineRule="auto"/>
        <w:contextualSpacing/>
        <w:jc w:val="both"/>
        <w:rPr>
          <w:rFonts w:ascii="Book Antiqua" w:hAnsi="Book Antiqua"/>
          <w:color w:val="000000" w:themeColor="text1"/>
        </w:rPr>
      </w:pPr>
    </w:p>
    <w:p w14:paraId="66CA33CD" w14:textId="406C3F9F" w:rsidR="008D4C8B" w:rsidRPr="008B00CB" w:rsidRDefault="008D4C8B" w:rsidP="00985591">
      <w:pPr>
        <w:spacing w:line="276" w:lineRule="auto"/>
        <w:jc w:val="both"/>
        <w:rPr>
          <w:rFonts w:ascii="Book Antiqua" w:hAnsi="Book Antiqua"/>
          <w:b/>
          <w:bCs/>
          <w:lang w:val="es-ES_tradnl" w:eastAsia="en-US"/>
        </w:rPr>
      </w:pPr>
      <w:r w:rsidRPr="00D75BA0">
        <w:rPr>
          <w:rFonts w:ascii="Book Antiqua" w:hAnsi="Book Antiqua"/>
          <w:b/>
          <w:bCs/>
          <w:lang w:val="es-ES_tradnl" w:eastAsia="en-US"/>
        </w:rPr>
        <w:t>C</w:t>
      </w:r>
      <w:r w:rsidR="00D75BA0" w:rsidRPr="00D75BA0">
        <w:rPr>
          <w:rFonts w:ascii="Book Antiqua" w:hAnsi="Book Antiqua"/>
          <w:b/>
          <w:bCs/>
          <w:lang w:val="es-ES_tradnl" w:eastAsia="en-US"/>
        </w:rPr>
        <w:t>apítulo</w:t>
      </w:r>
      <w:r w:rsidRPr="00D75BA0">
        <w:rPr>
          <w:rFonts w:ascii="Book Antiqua" w:hAnsi="Book Antiqua"/>
          <w:b/>
          <w:bCs/>
          <w:lang w:val="es-ES_tradnl" w:eastAsia="en-US"/>
        </w:rPr>
        <w:t xml:space="preserve"> </w:t>
      </w:r>
      <w:r w:rsidR="00020D94">
        <w:rPr>
          <w:rFonts w:ascii="Book Antiqua" w:hAnsi="Book Antiqua"/>
          <w:b/>
          <w:bCs/>
          <w:lang w:val="es-ES_tradnl" w:eastAsia="en-US"/>
        </w:rPr>
        <w:t>X</w:t>
      </w:r>
      <w:r w:rsidRPr="00D75BA0">
        <w:rPr>
          <w:rFonts w:ascii="Book Antiqua" w:hAnsi="Book Antiqua"/>
          <w:b/>
          <w:bCs/>
          <w:lang w:val="es-ES_tradnl" w:eastAsia="en-US"/>
        </w:rPr>
        <w:t xml:space="preserve">. </w:t>
      </w:r>
      <w:r w:rsidR="00D75BA0" w:rsidRPr="00D75BA0">
        <w:rPr>
          <w:rFonts w:ascii="Book Antiqua" w:hAnsi="Book Antiqua"/>
          <w:b/>
          <w:bCs/>
          <w:lang w:val="es-ES_tradnl" w:eastAsia="en-US"/>
        </w:rPr>
        <w:t>Afectaciones</w:t>
      </w:r>
      <w:r w:rsidR="00D75BA0">
        <w:rPr>
          <w:rFonts w:ascii="Book Antiqua" w:hAnsi="Book Antiqua"/>
          <w:b/>
          <w:bCs/>
          <w:lang w:val="es-ES_tradnl" w:eastAsia="en-US"/>
        </w:rPr>
        <w:t xml:space="preserve"> en despachos judiciales por casos reportados de COVID 19</w:t>
      </w:r>
    </w:p>
    <w:p w14:paraId="7CFBCCF8" w14:textId="77777777" w:rsidR="008D4C8B" w:rsidRDefault="008D4C8B" w:rsidP="00985591">
      <w:pPr>
        <w:spacing w:line="276" w:lineRule="auto"/>
        <w:jc w:val="both"/>
        <w:rPr>
          <w:rFonts w:ascii="Book Antiqua" w:hAnsi="Book Antiqua"/>
        </w:rPr>
      </w:pPr>
    </w:p>
    <w:p w14:paraId="690D1976" w14:textId="15944175" w:rsidR="00D75BA0" w:rsidRDefault="00D75BA0" w:rsidP="0073399F">
      <w:pPr>
        <w:pStyle w:val="Prrafodelista"/>
        <w:numPr>
          <w:ilvl w:val="0"/>
          <w:numId w:val="11"/>
        </w:numPr>
        <w:spacing w:line="276" w:lineRule="auto"/>
        <w:jc w:val="both"/>
        <w:rPr>
          <w:rFonts w:ascii="Book Antiqua" w:hAnsi="Book Antiqua"/>
        </w:rPr>
      </w:pPr>
      <w:bookmarkStart w:id="34" w:name="_Toc42854674"/>
      <w:r w:rsidRPr="00D75BA0">
        <w:rPr>
          <w:rFonts w:ascii="Book Antiqua" w:hAnsi="Book Antiqua"/>
        </w:rPr>
        <w:t xml:space="preserve">La pandemia Covid 19 ha originado afectación a los despachos judiciales, provocando cierres de oficinas, desinfecciones, incapacidades y disminución en los servicios, a nivel institucional la Dirección Ejecutiva durante </w:t>
      </w:r>
      <w:r w:rsidR="007135CA">
        <w:rPr>
          <w:rFonts w:ascii="Book Antiqua" w:hAnsi="Book Antiqua"/>
        </w:rPr>
        <w:t>el periodo de</w:t>
      </w:r>
      <w:r w:rsidRPr="00D75BA0">
        <w:rPr>
          <w:rFonts w:ascii="Book Antiqua" w:hAnsi="Book Antiqua"/>
        </w:rPr>
        <w:t xml:space="preserve"> mayo</w:t>
      </w:r>
      <w:r w:rsidR="007135CA">
        <w:rPr>
          <w:rFonts w:ascii="Book Antiqua" w:hAnsi="Book Antiqua"/>
        </w:rPr>
        <w:t xml:space="preserve"> al 10 de setiembre 2021,</w:t>
      </w:r>
      <w:r w:rsidRPr="00D75BA0">
        <w:rPr>
          <w:rFonts w:ascii="Book Antiqua" w:hAnsi="Book Antiqua"/>
        </w:rPr>
        <w:t xml:space="preserve"> se desinfectaron un total de </w:t>
      </w:r>
      <w:r w:rsidR="007135CA">
        <w:rPr>
          <w:rFonts w:ascii="Book Antiqua" w:hAnsi="Book Antiqua"/>
        </w:rPr>
        <w:t>10</w:t>
      </w:r>
      <w:r w:rsidR="00731240">
        <w:rPr>
          <w:rFonts w:ascii="Book Antiqua" w:hAnsi="Book Antiqua"/>
        </w:rPr>
        <w:t>0</w:t>
      </w:r>
      <w:r w:rsidR="007135CA">
        <w:rPr>
          <w:rFonts w:ascii="Book Antiqua" w:hAnsi="Book Antiqua"/>
        </w:rPr>
        <w:t>8</w:t>
      </w:r>
      <w:r w:rsidRPr="00D75BA0">
        <w:rPr>
          <w:rFonts w:ascii="Book Antiqua" w:hAnsi="Book Antiqua"/>
        </w:rPr>
        <w:t xml:space="preserve"> oficinas (pueden existir casos reiterativos), información que fue puesta en conocimiento del órgano superior por medio </w:t>
      </w:r>
      <w:r w:rsidR="007135CA">
        <w:rPr>
          <w:rFonts w:ascii="Book Antiqua" w:hAnsi="Book Antiqua"/>
        </w:rPr>
        <w:t>19</w:t>
      </w:r>
      <w:r w:rsidRPr="00D75BA0">
        <w:rPr>
          <w:rFonts w:ascii="Book Antiqua" w:hAnsi="Book Antiqua"/>
        </w:rPr>
        <w:t xml:space="preserve"> oficios donde se comunicó las limpiezas efectuadas a las oficinas.</w:t>
      </w:r>
    </w:p>
    <w:p w14:paraId="739FD395" w14:textId="048DCC61" w:rsidR="0004421E" w:rsidRDefault="0004421E" w:rsidP="0004421E">
      <w:pPr>
        <w:spacing w:line="276" w:lineRule="auto"/>
        <w:jc w:val="both"/>
        <w:rPr>
          <w:rFonts w:ascii="Book Antiqua" w:hAnsi="Book Antiqua"/>
        </w:rPr>
      </w:pPr>
    </w:p>
    <w:p w14:paraId="4EE65258" w14:textId="0DDC9117" w:rsidR="0004421E" w:rsidRPr="00290270" w:rsidRDefault="0004421E" w:rsidP="0004421E">
      <w:pPr>
        <w:spacing w:line="276" w:lineRule="auto"/>
        <w:jc w:val="both"/>
        <w:rPr>
          <w:rFonts w:ascii="Book Antiqua" w:hAnsi="Book Antiqua"/>
          <w:b/>
          <w:bCs/>
        </w:rPr>
      </w:pPr>
      <w:r w:rsidRPr="00290270">
        <w:rPr>
          <w:rFonts w:ascii="Book Antiqua" w:hAnsi="Book Antiqua"/>
          <w:b/>
          <w:bCs/>
        </w:rPr>
        <w:t>Capítulo XI. Modelo de Sostenibilidad en los Circuitos Judiciales</w:t>
      </w:r>
    </w:p>
    <w:p w14:paraId="61B6D72D" w14:textId="3E69BF8D" w:rsidR="0004421E" w:rsidRDefault="0004421E" w:rsidP="0004421E">
      <w:pPr>
        <w:spacing w:line="276" w:lineRule="auto"/>
        <w:jc w:val="both"/>
        <w:rPr>
          <w:rFonts w:ascii="Book Antiqua" w:hAnsi="Book Antiqua"/>
        </w:rPr>
      </w:pPr>
    </w:p>
    <w:p w14:paraId="1931E8AF" w14:textId="7C3D6CF9" w:rsidR="00E25C6C" w:rsidRDefault="00E25C6C" w:rsidP="0004421E">
      <w:pPr>
        <w:pStyle w:val="Prrafodelista"/>
        <w:numPr>
          <w:ilvl w:val="0"/>
          <w:numId w:val="11"/>
        </w:numPr>
        <w:spacing w:line="276" w:lineRule="auto"/>
        <w:jc w:val="both"/>
        <w:rPr>
          <w:rFonts w:ascii="Book Antiqua" w:hAnsi="Book Antiqua"/>
        </w:rPr>
      </w:pPr>
      <w:r>
        <w:rPr>
          <w:rFonts w:ascii="Book Antiqua" w:hAnsi="Book Antiqua"/>
        </w:rPr>
        <w:t>La Dirección de Planificación cuenta con Profesionales destacados en 8 Circuitos Judiciales, los cuales se encargan de dar un seguimiento a la condición de los despachos que conforman el Circuito y procurar mediante diferentes acciones el mejoramiento del servicio.</w:t>
      </w:r>
    </w:p>
    <w:p w14:paraId="79E654C4" w14:textId="0BD8DA0D" w:rsidR="0004421E" w:rsidRDefault="0004421E" w:rsidP="0004421E">
      <w:pPr>
        <w:pStyle w:val="Prrafodelista"/>
        <w:numPr>
          <w:ilvl w:val="0"/>
          <w:numId w:val="11"/>
        </w:numPr>
        <w:spacing w:line="276" w:lineRule="auto"/>
        <w:jc w:val="both"/>
        <w:rPr>
          <w:rFonts w:ascii="Book Antiqua" w:hAnsi="Book Antiqua"/>
        </w:rPr>
      </w:pPr>
      <w:r>
        <w:rPr>
          <w:rFonts w:ascii="Book Antiqua" w:hAnsi="Book Antiqua"/>
        </w:rPr>
        <w:t>En los Circuitos Judiciales donde existe modelo de sostenibilidad</w:t>
      </w:r>
      <w:r w:rsidR="00E25C6C">
        <w:rPr>
          <w:rFonts w:ascii="Book Antiqua" w:hAnsi="Book Antiqua"/>
        </w:rPr>
        <w:t xml:space="preserve"> se han desarrollado 90 sesiones de retroalimentación con el Consejo de Administración.</w:t>
      </w:r>
    </w:p>
    <w:p w14:paraId="1DEFAADB" w14:textId="409ABC7F" w:rsidR="00E25C6C" w:rsidRDefault="00E25C6C" w:rsidP="0004421E">
      <w:pPr>
        <w:pStyle w:val="Prrafodelista"/>
        <w:numPr>
          <w:ilvl w:val="0"/>
          <w:numId w:val="11"/>
        </w:numPr>
        <w:spacing w:line="276" w:lineRule="auto"/>
        <w:jc w:val="both"/>
        <w:rPr>
          <w:rFonts w:ascii="Book Antiqua" w:hAnsi="Book Antiqua"/>
        </w:rPr>
      </w:pPr>
      <w:r>
        <w:rPr>
          <w:rFonts w:ascii="Book Antiqua" w:hAnsi="Book Antiqua"/>
        </w:rPr>
        <w:t>De octubre 2020 a octubre 2021 se impulsaron 491 planes de trajo para dar soporte al Circuito Judicial.</w:t>
      </w:r>
    </w:p>
    <w:p w14:paraId="0B3E225E" w14:textId="3F2979B8" w:rsidR="00E25C6C" w:rsidRPr="0004421E" w:rsidRDefault="00E25C6C" w:rsidP="0004421E">
      <w:pPr>
        <w:pStyle w:val="Prrafodelista"/>
        <w:numPr>
          <w:ilvl w:val="0"/>
          <w:numId w:val="11"/>
        </w:numPr>
        <w:spacing w:line="276" w:lineRule="auto"/>
        <w:jc w:val="both"/>
        <w:rPr>
          <w:rFonts w:ascii="Book Antiqua" w:hAnsi="Book Antiqua"/>
        </w:rPr>
      </w:pPr>
      <w:r>
        <w:rPr>
          <w:rFonts w:ascii="Book Antiqua" w:hAnsi="Book Antiqua"/>
        </w:rPr>
        <w:t>Se hicieron 7 informes integrales de la situación del Circuito Judicial en donde se analiza cada uno de los despachos que lo conforman.</w:t>
      </w:r>
    </w:p>
    <w:p w14:paraId="352F6C8C" w14:textId="37A376A0" w:rsidR="004C5CBE" w:rsidRPr="006F775A" w:rsidRDefault="004C5CBE" w:rsidP="0004421E">
      <w:pPr>
        <w:pStyle w:val="Prrafodelista"/>
        <w:numPr>
          <w:ilvl w:val="0"/>
          <w:numId w:val="11"/>
        </w:numPr>
        <w:spacing w:line="276" w:lineRule="auto"/>
        <w:jc w:val="both"/>
        <w:rPr>
          <w:rFonts w:ascii="Book Antiqua" w:hAnsi="Book Antiqua"/>
        </w:rPr>
      </w:pPr>
      <w:r w:rsidRPr="006F775A">
        <w:rPr>
          <w:rFonts w:ascii="Book Antiqua" w:hAnsi="Book Antiqua"/>
        </w:rPr>
        <w:t xml:space="preserve">Según el modelo de calificación de despachos MAIC, existen 8 despachos con calificación óptima “A”, 24 con calificación “B”, 20 con calificación “C”, 17 con calificación crítica “D” y 15 con calificación crítica “E” el personal cumple sus parámetros de producción (al menos el 80% del recurso humano). </w:t>
      </w:r>
      <w:r w:rsidR="00A14D03" w:rsidRPr="006F775A">
        <w:rPr>
          <w:rFonts w:ascii="Book Antiqua" w:hAnsi="Book Antiqua"/>
        </w:rPr>
        <w:t xml:space="preserve"> Está clasificación permitirá enfocar a partir del próximo año esfuerzos en los despachos más críticos. </w:t>
      </w:r>
    </w:p>
    <w:p w14:paraId="017E67E2" w14:textId="77777777" w:rsidR="00D95F12" w:rsidRDefault="00D95F12" w:rsidP="00985591">
      <w:pPr>
        <w:spacing w:line="276" w:lineRule="auto"/>
        <w:rPr>
          <w:rFonts w:ascii="Book Antiqua" w:hAnsi="Book Antiqua"/>
        </w:rPr>
      </w:pPr>
    </w:p>
    <w:p w14:paraId="7705301F" w14:textId="38751B41" w:rsidR="003F4FE7" w:rsidRPr="00D75BA0" w:rsidRDefault="003F4FE7" w:rsidP="00985591">
      <w:pPr>
        <w:spacing w:line="276" w:lineRule="auto"/>
        <w:rPr>
          <w:rFonts w:ascii="Book Antiqua" w:eastAsia="Calibri" w:hAnsi="Book Antiqua" w:cs="Arial"/>
          <w:b/>
          <w:color w:val="000000" w:themeColor="text1"/>
          <w:kern w:val="32"/>
          <w:szCs w:val="22"/>
          <w:lang w:val="es-ES_tradnl" w:eastAsia="en-US"/>
        </w:rPr>
      </w:pPr>
    </w:p>
    <w:p w14:paraId="4912F1C2" w14:textId="6104A5EB" w:rsidR="00676607" w:rsidRPr="004F0E92" w:rsidRDefault="00216002" w:rsidP="00985591">
      <w:pPr>
        <w:pStyle w:val="Ttulo1"/>
        <w:spacing w:line="276" w:lineRule="auto"/>
      </w:pPr>
      <w:r w:rsidRPr="004F0E92">
        <w:t xml:space="preserve">CAPITULO </w:t>
      </w:r>
      <w:r w:rsidR="00094421" w:rsidRPr="004F0E92">
        <w:t>X</w:t>
      </w:r>
      <w:r w:rsidR="00731240">
        <w:t>I</w:t>
      </w:r>
      <w:r w:rsidR="00187DF8">
        <w:t>I</w:t>
      </w:r>
      <w:r w:rsidRPr="004F0E92">
        <w:t xml:space="preserve">. </w:t>
      </w:r>
      <w:r w:rsidR="00437FCF" w:rsidRPr="004F0E92">
        <w:t>RECOMENDACIONES</w:t>
      </w:r>
      <w:bookmarkEnd w:id="34"/>
      <w:r w:rsidR="00437FCF" w:rsidRPr="004F0E92">
        <w:t xml:space="preserve"> </w:t>
      </w:r>
      <w:r w:rsidR="00676607" w:rsidRPr="004F0E92">
        <w:t xml:space="preserve"> </w:t>
      </w:r>
    </w:p>
    <w:p w14:paraId="0A600DAC" w14:textId="21F92A7F" w:rsidR="00826627" w:rsidRDefault="00826627" w:rsidP="00985591">
      <w:pPr>
        <w:pStyle w:val="Prrafodelista"/>
        <w:spacing w:line="276" w:lineRule="auto"/>
        <w:ind w:left="720"/>
        <w:jc w:val="both"/>
        <w:rPr>
          <w:rFonts w:ascii="Book Antiqua" w:eastAsia="Calibri" w:hAnsi="Book Antiqua" w:cs="Arial"/>
          <w:color w:val="000000" w:themeColor="text1"/>
          <w:lang w:val="es-ES" w:eastAsia="es-CR"/>
        </w:rPr>
      </w:pPr>
    </w:p>
    <w:p w14:paraId="19261CAF" w14:textId="58E5EA65" w:rsidR="00A43CC6" w:rsidRPr="004F0E92" w:rsidRDefault="00A43CC6" w:rsidP="00985591">
      <w:pPr>
        <w:spacing w:line="276" w:lineRule="auto"/>
        <w:rPr>
          <w:rFonts w:ascii="Book Antiqua" w:hAnsi="Book Antiqua" w:cs="Arial"/>
          <w:b/>
          <w:color w:val="000000" w:themeColor="text1"/>
        </w:rPr>
      </w:pPr>
    </w:p>
    <w:p w14:paraId="0D06436F" w14:textId="429902A5" w:rsidR="00220F92" w:rsidRDefault="00220F92" w:rsidP="00985591">
      <w:pPr>
        <w:pStyle w:val="xxmsolistparagraph"/>
        <w:spacing w:line="276" w:lineRule="auto"/>
        <w:ind w:left="0"/>
        <w:rPr>
          <w:rFonts w:ascii="Book Antiqua" w:hAnsi="Book Antiqua"/>
          <w:b/>
          <w:color w:val="000000" w:themeColor="text1"/>
          <w:sz w:val="24"/>
          <w:szCs w:val="24"/>
        </w:rPr>
      </w:pPr>
      <w:r>
        <w:rPr>
          <w:rFonts w:ascii="Book Antiqua" w:hAnsi="Book Antiqua"/>
          <w:b/>
          <w:color w:val="000000" w:themeColor="text1"/>
          <w:sz w:val="24"/>
          <w:szCs w:val="24"/>
        </w:rPr>
        <w:t>Corte Plena</w:t>
      </w:r>
    </w:p>
    <w:p w14:paraId="5E02FCC7" w14:textId="1CDE8775" w:rsidR="00AE2C92" w:rsidRPr="006F775A" w:rsidRDefault="00A14D03" w:rsidP="00AE2C92">
      <w:pPr>
        <w:pStyle w:val="xxmsolistparagraph"/>
        <w:numPr>
          <w:ilvl w:val="0"/>
          <w:numId w:val="25"/>
        </w:numPr>
        <w:spacing w:line="276" w:lineRule="auto"/>
        <w:jc w:val="both"/>
        <w:rPr>
          <w:rFonts w:ascii="Book Antiqua" w:hAnsi="Book Antiqua"/>
          <w:bCs/>
          <w:color w:val="000000" w:themeColor="text1"/>
          <w:sz w:val="24"/>
          <w:szCs w:val="24"/>
        </w:rPr>
      </w:pPr>
      <w:r w:rsidRPr="006F775A">
        <w:rPr>
          <w:rFonts w:ascii="Book Antiqua" w:hAnsi="Book Antiqua"/>
          <w:bCs/>
          <w:color w:val="000000" w:themeColor="text1"/>
          <w:sz w:val="24"/>
          <w:szCs w:val="24"/>
        </w:rPr>
        <w:t xml:space="preserve">Analizar las estadísticas judiciales presentadas y visualizar como el año 2021 se ha </w:t>
      </w:r>
      <w:r w:rsidR="00494AD5" w:rsidRPr="006F775A">
        <w:rPr>
          <w:rFonts w:ascii="Book Antiqua" w:hAnsi="Book Antiqua"/>
          <w:bCs/>
          <w:color w:val="000000" w:themeColor="text1"/>
          <w:sz w:val="24"/>
          <w:szCs w:val="24"/>
        </w:rPr>
        <w:t xml:space="preserve">dado </w:t>
      </w:r>
      <w:r w:rsidR="00F670FF" w:rsidRPr="006F775A">
        <w:rPr>
          <w:rFonts w:ascii="Book Antiqua" w:hAnsi="Book Antiqua"/>
          <w:bCs/>
          <w:color w:val="000000" w:themeColor="text1"/>
          <w:sz w:val="24"/>
          <w:szCs w:val="24"/>
        </w:rPr>
        <w:t>una reactivación</w:t>
      </w:r>
      <w:r w:rsidR="00AE2C92" w:rsidRPr="006F775A">
        <w:rPr>
          <w:rFonts w:ascii="Book Antiqua" w:hAnsi="Book Antiqua"/>
          <w:bCs/>
          <w:color w:val="000000" w:themeColor="text1"/>
          <w:sz w:val="24"/>
          <w:szCs w:val="24"/>
        </w:rPr>
        <w:t xml:space="preserve"> de los casos entrados</w:t>
      </w:r>
      <w:r w:rsidRPr="006F775A">
        <w:rPr>
          <w:rFonts w:ascii="Book Antiqua" w:hAnsi="Book Antiqua"/>
          <w:bCs/>
          <w:color w:val="000000" w:themeColor="text1"/>
          <w:sz w:val="24"/>
          <w:szCs w:val="24"/>
        </w:rPr>
        <w:t xml:space="preserve"> a nivel </w:t>
      </w:r>
      <w:proofErr w:type="gramStart"/>
      <w:r w:rsidRPr="006F775A">
        <w:rPr>
          <w:rFonts w:ascii="Book Antiqua" w:hAnsi="Book Antiqua"/>
          <w:bCs/>
          <w:color w:val="000000" w:themeColor="text1"/>
          <w:sz w:val="24"/>
          <w:szCs w:val="24"/>
        </w:rPr>
        <w:t xml:space="preserve">global, </w:t>
      </w:r>
      <w:r w:rsidR="00AE2C92" w:rsidRPr="006F775A">
        <w:rPr>
          <w:rFonts w:ascii="Book Antiqua" w:hAnsi="Book Antiqua"/>
          <w:bCs/>
          <w:color w:val="000000" w:themeColor="text1"/>
          <w:sz w:val="24"/>
          <w:szCs w:val="24"/>
        </w:rPr>
        <w:t xml:space="preserve"> ya</w:t>
      </w:r>
      <w:proofErr w:type="gramEnd"/>
      <w:r w:rsidR="00AE2C92" w:rsidRPr="006F775A">
        <w:rPr>
          <w:rFonts w:ascii="Book Antiqua" w:hAnsi="Book Antiqua"/>
          <w:bCs/>
          <w:color w:val="000000" w:themeColor="text1"/>
          <w:sz w:val="24"/>
          <w:szCs w:val="24"/>
        </w:rPr>
        <w:t xml:space="preserve"> que el promedio mensual </w:t>
      </w:r>
      <w:r w:rsidRPr="006F775A">
        <w:rPr>
          <w:rFonts w:ascii="Book Antiqua" w:hAnsi="Book Antiqua"/>
          <w:bCs/>
          <w:color w:val="000000" w:themeColor="text1"/>
          <w:sz w:val="24"/>
          <w:szCs w:val="24"/>
        </w:rPr>
        <w:t xml:space="preserve">del año </w:t>
      </w:r>
      <w:r w:rsidR="00AE2C92" w:rsidRPr="006F775A">
        <w:rPr>
          <w:rFonts w:ascii="Book Antiqua" w:hAnsi="Book Antiqua"/>
          <w:bCs/>
          <w:color w:val="000000" w:themeColor="text1"/>
          <w:sz w:val="24"/>
          <w:szCs w:val="24"/>
        </w:rPr>
        <w:t>2020 fue de 57284</w:t>
      </w:r>
      <w:r w:rsidRPr="006F775A">
        <w:rPr>
          <w:rFonts w:ascii="Book Antiqua" w:hAnsi="Book Antiqua"/>
          <w:bCs/>
          <w:color w:val="000000" w:themeColor="text1"/>
          <w:sz w:val="24"/>
          <w:szCs w:val="24"/>
        </w:rPr>
        <w:t xml:space="preserve"> asuntos entrados, </w:t>
      </w:r>
      <w:r w:rsidR="00AE2C92" w:rsidRPr="006F775A">
        <w:rPr>
          <w:rFonts w:ascii="Book Antiqua" w:hAnsi="Book Antiqua"/>
          <w:bCs/>
          <w:color w:val="000000" w:themeColor="text1"/>
          <w:sz w:val="24"/>
          <w:szCs w:val="24"/>
        </w:rPr>
        <w:t xml:space="preserve"> mientras que en el 2021 fue de 58314, lo cual implica un crecimiento de 1,80%, esto se acerca al promedio mensual del</w:t>
      </w:r>
      <w:r w:rsidRPr="006F775A">
        <w:rPr>
          <w:rFonts w:ascii="Book Antiqua" w:hAnsi="Book Antiqua"/>
          <w:bCs/>
          <w:color w:val="000000" w:themeColor="text1"/>
          <w:sz w:val="24"/>
          <w:szCs w:val="24"/>
        </w:rPr>
        <w:t xml:space="preserve"> año</w:t>
      </w:r>
      <w:r w:rsidR="00AE2C92" w:rsidRPr="006F775A">
        <w:rPr>
          <w:rFonts w:ascii="Book Antiqua" w:hAnsi="Book Antiqua"/>
          <w:bCs/>
          <w:color w:val="000000" w:themeColor="text1"/>
          <w:sz w:val="24"/>
          <w:szCs w:val="24"/>
        </w:rPr>
        <w:t xml:space="preserve"> 2019, el cual fue de 68822.</w:t>
      </w:r>
      <w:r w:rsidRPr="006F775A">
        <w:rPr>
          <w:rFonts w:ascii="Book Antiqua" w:hAnsi="Book Antiqua"/>
          <w:bCs/>
          <w:color w:val="000000" w:themeColor="text1"/>
          <w:sz w:val="24"/>
          <w:szCs w:val="24"/>
        </w:rPr>
        <w:t xml:space="preserve"> (año que se considera base</w:t>
      </w:r>
      <w:r w:rsidR="00494AD5" w:rsidRPr="006F775A">
        <w:rPr>
          <w:rFonts w:ascii="Book Antiqua" w:hAnsi="Book Antiqua"/>
          <w:bCs/>
          <w:color w:val="000000" w:themeColor="text1"/>
          <w:sz w:val="24"/>
          <w:szCs w:val="24"/>
        </w:rPr>
        <w:t xml:space="preserve"> de comparación por ser el más estable, antes de pandemia).</w:t>
      </w:r>
      <w:r w:rsidRPr="006F775A">
        <w:rPr>
          <w:rFonts w:ascii="Book Antiqua" w:hAnsi="Book Antiqua"/>
          <w:bCs/>
          <w:color w:val="000000" w:themeColor="text1"/>
          <w:sz w:val="24"/>
          <w:szCs w:val="24"/>
        </w:rPr>
        <w:t xml:space="preserve"> </w:t>
      </w:r>
    </w:p>
    <w:p w14:paraId="170B0553" w14:textId="4A02F530" w:rsidR="00AE2C92" w:rsidRPr="006F775A" w:rsidRDefault="00494AD5" w:rsidP="00220F92">
      <w:pPr>
        <w:pStyle w:val="xxmsolistparagraph"/>
        <w:numPr>
          <w:ilvl w:val="0"/>
          <w:numId w:val="25"/>
        </w:numPr>
        <w:spacing w:line="276" w:lineRule="auto"/>
        <w:jc w:val="both"/>
        <w:rPr>
          <w:rFonts w:ascii="Book Antiqua" w:hAnsi="Book Antiqua"/>
          <w:bCs/>
          <w:color w:val="000000" w:themeColor="text1"/>
          <w:sz w:val="24"/>
          <w:szCs w:val="24"/>
        </w:rPr>
      </w:pPr>
      <w:r w:rsidRPr="006F775A">
        <w:rPr>
          <w:rFonts w:ascii="Book Antiqua" w:hAnsi="Book Antiqua"/>
          <w:bCs/>
          <w:color w:val="000000" w:themeColor="text1"/>
          <w:sz w:val="24"/>
          <w:szCs w:val="24"/>
        </w:rPr>
        <w:t xml:space="preserve">Analizar las estadísticas judiciales presentadas y visualizar como el año 2021 se ha </w:t>
      </w:r>
      <w:proofErr w:type="gramStart"/>
      <w:r w:rsidRPr="006F775A">
        <w:rPr>
          <w:rFonts w:ascii="Book Antiqua" w:hAnsi="Book Antiqua"/>
          <w:bCs/>
          <w:color w:val="000000" w:themeColor="text1"/>
          <w:sz w:val="24"/>
          <w:szCs w:val="24"/>
        </w:rPr>
        <w:t>dado  una</w:t>
      </w:r>
      <w:proofErr w:type="gramEnd"/>
      <w:r w:rsidRPr="006F775A">
        <w:rPr>
          <w:rFonts w:ascii="Book Antiqua" w:hAnsi="Book Antiqua"/>
          <w:bCs/>
          <w:color w:val="000000" w:themeColor="text1"/>
          <w:sz w:val="24"/>
          <w:szCs w:val="24"/>
        </w:rPr>
        <w:t xml:space="preserve">  reactivación de los </w:t>
      </w:r>
      <w:r w:rsidR="00AE2C92" w:rsidRPr="006F775A">
        <w:rPr>
          <w:rFonts w:ascii="Book Antiqua" w:hAnsi="Book Antiqua"/>
          <w:bCs/>
          <w:color w:val="000000" w:themeColor="text1"/>
          <w:sz w:val="24"/>
          <w:szCs w:val="24"/>
        </w:rPr>
        <w:t>casos terminados</w:t>
      </w:r>
      <w:r w:rsidRPr="006F775A">
        <w:rPr>
          <w:rFonts w:ascii="Book Antiqua" w:hAnsi="Book Antiqua"/>
          <w:bCs/>
          <w:color w:val="000000" w:themeColor="text1"/>
          <w:sz w:val="24"/>
          <w:szCs w:val="24"/>
        </w:rPr>
        <w:t>,</w:t>
      </w:r>
      <w:r w:rsidR="00AE2C92" w:rsidRPr="006F775A">
        <w:rPr>
          <w:rFonts w:ascii="Book Antiqua" w:hAnsi="Book Antiqua"/>
          <w:bCs/>
          <w:color w:val="000000" w:themeColor="text1"/>
          <w:sz w:val="24"/>
          <w:szCs w:val="24"/>
        </w:rPr>
        <w:t xml:space="preserve"> ya que el promedio mensual </w:t>
      </w:r>
      <w:r w:rsidRPr="006F775A">
        <w:rPr>
          <w:rFonts w:ascii="Book Antiqua" w:hAnsi="Book Antiqua"/>
          <w:bCs/>
          <w:color w:val="000000" w:themeColor="text1"/>
          <w:sz w:val="24"/>
          <w:szCs w:val="24"/>
        </w:rPr>
        <w:t xml:space="preserve">del año </w:t>
      </w:r>
      <w:r w:rsidR="00AE2C92" w:rsidRPr="006F775A">
        <w:rPr>
          <w:rFonts w:ascii="Book Antiqua" w:hAnsi="Book Antiqua"/>
          <w:bCs/>
          <w:color w:val="000000" w:themeColor="text1"/>
          <w:sz w:val="24"/>
          <w:szCs w:val="24"/>
        </w:rPr>
        <w:t xml:space="preserve">2020 fue de 52997 mientras que en el 2021 fue de 56882, lo cual implica un crecimiento de 7,33%, esto se acerca al promedio mensual del </w:t>
      </w:r>
      <w:r w:rsidRPr="006F775A">
        <w:rPr>
          <w:rFonts w:ascii="Book Antiqua" w:hAnsi="Book Antiqua"/>
          <w:bCs/>
          <w:color w:val="000000" w:themeColor="text1"/>
          <w:sz w:val="24"/>
          <w:szCs w:val="24"/>
        </w:rPr>
        <w:t xml:space="preserve">año </w:t>
      </w:r>
      <w:r w:rsidR="00AE2C92" w:rsidRPr="006F775A">
        <w:rPr>
          <w:rFonts w:ascii="Book Antiqua" w:hAnsi="Book Antiqua"/>
          <w:bCs/>
          <w:color w:val="000000" w:themeColor="text1"/>
          <w:sz w:val="24"/>
          <w:szCs w:val="24"/>
        </w:rPr>
        <w:t>2019, el cual fue de 61632.</w:t>
      </w:r>
      <w:r w:rsidR="00747E41" w:rsidRPr="006F775A">
        <w:rPr>
          <w:rFonts w:ascii="Book Antiqua" w:hAnsi="Book Antiqua"/>
          <w:bCs/>
          <w:color w:val="000000" w:themeColor="text1"/>
          <w:sz w:val="24"/>
          <w:szCs w:val="24"/>
        </w:rPr>
        <w:t xml:space="preserve"> Esto visibiliza el trabajo del personal judicial realizado durante todo este período.</w:t>
      </w:r>
    </w:p>
    <w:p w14:paraId="7D298CF9" w14:textId="15BE2C0E" w:rsidR="00494AD5" w:rsidRPr="006F775A" w:rsidRDefault="00494AD5" w:rsidP="00220F92">
      <w:pPr>
        <w:pStyle w:val="xxmsolistparagraph"/>
        <w:numPr>
          <w:ilvl w:val="0"/>
          <w:numId w:val="25"/>
        </w:numPr>
        <w:spacing w:line="276" w:lineRule="auto"/>
        <w:jc w:val="both"/>
        <w:rPr>
          <w:rFonts w:ascii="Book Antiqua" w:hAnsi="Book Antiqua"/>
          <w:bCs/>
          <w:color w:val="000000" w:themeColor="text1"/>
          <w:sz w:val="24"/>
          <w:szCs w:val="24"/>
        </w:rPr>
      </w:pPr>
      <w:r w:rsidRPr="006F775A">
        <w:rPr>
          <w:rFonts w:ascii="Book Antiqua" w:hAnsi="Book Antiqua"/>
          <w:bCs/>
          <w:color w:val="000000" w:themeColor="text1"/>
          <w:sz w:val="24"/>
          <w:szCs w:val="24"/>
        </w:rPr>
        <w:t xml:space="preserve">Analizar las estadísticas judiciales presentadas y visualizar como el año 2021 se ha </w:t>
      </w:r>
      <w:r w:rsidR="00A7020F" w:rsidRPr="006F775A">
        <w:rPr>
          <w:rFonts w:ascii="Book Antiqua" w:hAnsi="Book Antiqua"/>
          <w:bCs/>
          <w:color w:val="000000" w:themeColor="text1"/>
          <w:sz w:val="24"/>
          <w:szCs w:val="24"/>
        </w:rPr>
        <w:t xml:space="preserve">dado </w:t>
      </w:r>
      <w:r w:rsidR="00F670FF" w:rsidRPr="006F775A">
        <w:rPr>
          <w:rFonts w:ascii="Book Antiqua" w:hAnsi="Book Antiqua"/>
          <w:bCs/>
          <w:color w:val="000000" w:themeColor="text1"/>
          <w:sz w:val="24"/>
          <w:szCs w:val="24"/>
        </w:rPr>
        <w:t>una reactivación</w:t>
      </w:r>
      <w:r w:rsidRPr="006F775A">
        <w:rPr>
          <w:rFonts w:ascii="Book Antiqua" w:hAnsi="Book Antiqua"/>
          <w:bCs/>
          <w:color w:val="000000" w:themeColor="text1"/>
          <w:sz w:val="24"/>
          <w:szCs w:val="24"/>
        </w:rPr>
        <w:t xml:space="preserve"> en la realización de audiencias y su efectividad, ya que se paso de un 50% a un 60%. Se debe reconocer el porcentaje de efectividad en la materia laboral que pasó de un 36% a un 63% y en Flagrancia </w:t>
      </w:r>
      <w:r w:rsidR="00A7020F" w:rsidRPr="006F775A">
        <w:rPr>
          <w:rFonts w:ascii="Book Antiqua" w:hAnsi="Book Antiqua"/>
          <w:bCs/>
          <w:color w:val="000000" w:themeColor="text1"/>
          <w:sz w:val="24"/>
          <w:szCs w:val="24"/>
        </w:rPr>
        <w:t xml:space="preserve">que cierra el período de análisis en un 76% de efectividad. </w:t>
      </w:r>
    </w:p>
    <w:p w14:paraId="1220F31C" w14:textId="4DDF8A2B" w:rsidR="00220F92" w:rsidRDefault="00747E41" w:rsidP="006F775A">
      <w:pPr>
        <w:pStyle w:val="Prrafodelista"/>
        <w:numPr>
          <w:ilvl w:val="0"/>
          <w:numId w:val="25"/>
        </w:numPr>
        <w:spacing w:line="276" w:lineRule="auto"/>
        <w:jc w:val="both"/>
        <w:rPr>
          <w:rFonts w:ascii="Book Antiqua" w:eastAsia="Calibri" w:hAnsi="Book Antiqua" w:cs="Arial"/>
          <w:color w:val="000000" w:themeColor="text1"/>
          <w:lang w:val="es-ES" w:eastAsia="es-CR"/>
        </w:rPr>
      </w:pPr>
      <w:r w:rsidRPr="006F775A">
        <w:rPr>
          <w:rFonts w:ascii="Book Antiqua" w:eastAsia="Calibri" w:hAnsi="Book Antiqua" w:cs="Arial"/>
          <w:color w:val="000000" w:themeColor="text1"/>
          <w:lang w:val="es-ES" w:eastAsia="es-CR"/>
        </w:rPr>
        <w:t xml:space="preserve">En la materia </w:t>
      </w:r>
      <w:r w:rsidR="00F670FF" w:rsidRPr="006F775A">
        <w:rPr>
          <w:rFonts w:ascii="Book Antiqua" w:eastAsia="Calibri" w:hAnsi="Book Antiqua" w:cs="Arial"/>
          <w:color w:val="000000" w:themeColor="text1"/>
          <w:lang w:val="es-ES" w:eastAsia="es-CR"/>
        </w:rPr>
        <w:t>agraria privilegiar</w:t>
      </w:r>
      <w:r w:rsidRPr="006F775A">
        <w:rPr>
          <w:rFonts w:ascii="Book Antiqua" w:eastAsia="Calibri" w:hAnsi="Book Antiqua" w:cs="Arial"/>
          <w:color w:val="000000" w:themeColor="text1"/>
          <w:lang w:val="es-ES" w:eastAsia="es-CR"/>
        </w:rPr>
        <w:t xml:space="preserve"> la presencialidad en la</w:t>
      </w:r>
      <w:r w:rsidR="00F670FF" w:rsidRPr="006F775A">
        <w:rPr>
          <w:rFonts w:ascii="Book Antiqua" w:eastAsia="Calibri" w:hAnsi="Book Antiqua" w:cs="Arial"/>
          <w:color w:val="000000" w:themeColor="text1"/>
          <w:lang w:val="es-ES" w:eastAsia="es-CR"/>
        </w:rPr>
        <w:t xml:space="preserve"> realización de audiencias</w:t>
      </w:r>
      <w:r w:rsidRPr="006F775A">
        <w:rPr>
          <w:rFonts w:ascii="Book Antiqua" w:eastAsia="Calibri" w:hAnsi="Book Antiqua" w:cs="Arial"/>
          <w:color w:val="000000" w:themeColor="text1"/>
          <w:lang w:val="es-ES" w:eastAsia="es-CR"/>
        </w:rPr>
        <w:t xml:space="preserve"> que se realizan, cuidando los protocolos de salud,</w:t>
      </w:r>
      <w:r w:rsidR="00F670FF" w:rsidRPr="006F775A">
        <w:rPr>
          <w:rFonts w:ascii="Book Antiqua" w:eastAsia="Calibri" w:hAnsi="Book Antiqua" w:cs="Arial"/>
          <w:color w:val="000000" w:themeColor="text1"/>
          <w:lang w:val="es-ES" w:eastAsia="es-CR"/>
        </w:rPr>
        <w:t xml:space="preserve"> ya que,</w:t>
      </w:r>
      <w:r w:rsidRPr="006F775A">
        <w:rPr>
          <w:rFonts w:ascii="Book Antiqua" w:eastAsia="Calibri" w:hAnsi="Book Antiqua" w:cs="Arial"/>
          <w:color w:val="000000" w:themeColor="text1"/>
          <w:lang w:val="es-ES" w:eastAsia="es-CR"/>
        </w:rPr>
        <w:t xml:space="preserve"> por la especificidad en el servicio que se presta</w:t>
      </w:r>
      <w:r w:rsidR="00F670FF" w:rsidRPr="006F775A">
        <w:rPr>
          <w:rFonts w:ascii="Book Antiqua" w:eastAsia="Calibri" w:hAnsi="Book Antiqua" w:cs="Arial"/>
          <w:color w:val="000000" w:themeColor="text1"/>
          <w:lang w:val="es-ES" w:eastAsia="es-CR"/>
        </w:rPr>
        <w:t>,</w:t>
      </w:r>
      <w:r w:rsidRPr="006F775A">
        <w:rPr>
          <w:rFonts w:ascii="Book Antiqua" w:eastAsia="Calibri" w:hAnsi="Book Antiqua" w:cs="Arial"/>
          <w:color w:val="000000" w:themeColor="text1"/>
          <w:lang w:val="es-ES" w:eastAsia="es-CR"/>
        </w:rPr>
        <w:t xml:space="preserve"> </w:t>
      </w:r>
      <w:r w:rsidR="00F670FF" w:rsidRPr="006F775A">
        <w:rPr>
          <w:rFonts w:ascii="Book Antiqua" w:eastAsia="Calibri" w:hAnsi="Book Antiqua" w:cs="Arial"/>
          <w:color w:val="000000" w:themeColor="text1"/>
          <w:lang w:val="es-ES" w:eastAsia="es-CR"/>
        </w:rPr>
        <w:t>se requiere la presencialidad en los sitios en donde se</w:t>
      </w:r>
      <w:r w:rsidR="00F670FF">
        <w:rPr>
          <w:rFonts w:ascii="Book Antiqua" w:eastAsia="Calibri" w:hAnsi="Book Antiqua" w:cs="Arial"/>
          <w:color w:val="000000" w:themeColor="text1"/>
          <w:lang w:val="es-ES" w:eastAsia="es-CR"/>
        </w:rPr>
        <w:t xml:space="preserve"> realizan las audiencias. </w:t>
      </w:r>
    </w:p>
    <w:p w14:paraId="13C4764E" w14:textId="77777777" w:rsidR="006F775A" w:rsidRPr="006F775A" w:rsidRDefault="006F775A" w:rsidP="006F775A">
      <w:pPr>
        <w:pStyle w:val="Prrafodelista"/>
        <w:spacing w:line="276" w:lineRule="auto"/>
        <w:ind w:left="720"/>
        <w:jc w:val="both"/>
        <w:rPr>
          <w:rFonts w:ascii="Book Antiqua" w:eastAsia="Calibri" w:hAnsi="Book Antiqua" w:cs="Arial"/>
          <w:color w:val="000000" w:themeColor="text1"/>
          <w:lang w:val="es-ES" w:eastAsia="es-CR"/>
        </w:rPr>
      </w:pPr>
    </w:p>
    <w:p w14:paraId="7937E8A2" w14:textId="47AEA5F1" w:rsidR="00F26B0D" w:rsidRPr="004F0E92" w:rsidRDefault="00F26B0D" w:rsidP="00985591">
      <w:pPr>
        <w:pStyle w:val="xxmsolistparagraph"/>
        <w:spacing w:line="276" w:lineRule="auto"/>
        <w:ind w:left="0"/>
        <w:rPr>
          <w:rFonts w:ascii="Book Antiqua" w:hAnsi="Book Antiqua"/>
          <w:b/>
          <w:color w:val="000000" w:themeColor="text1"/>
          <w:sz w:val="24"/>
          <w:szCs w:val="24"/>
        </w:rPr>
      </w:pPr>
      <w:r w:rsidRPr="004F0E92">
        <w:rPr>
          <w:rFonts w:ascii="Book Antiqua" w:hAnsi="Book Antiqua"/>
          <w:b/>
          <w:color w:val="000000" w:themeColor="text1"/>
          <w:sz w:val="24"/>
          <w:szCs w:val="24"/>
        </w:rPr>
        <w:t xml:space="preserve">Despachos </w:t>
      </w:r>
      <w:r w:rsidR="00066748">
        <w:rPr>
          <w:rFonts w:ascii="Book Antiqua" w:hAnsi="Book Antiqua"/>
          <w:b/>
          <w:color w:val="000000" w:themeColor="text1"/>
          <w:sz w:val="24"/>
          <w:szCs w:val="24"/>
        </w:rPr>
        <w:t>J</w:t>
      </w:r>
      <w:r w:rsidRPr="004F0E92">
        <w:rPr>
          <w:rFonts w:ascii="Book Antiqua" w:hAnsi="Book Antiqua"/>
          <w:b/>
          <w:color w:val="000000" w:themeColor="text1"/>
          <w:sz w:val="24"/>
          <w:szCs w:val="24"/>
        </w:rPr>
        <w:t xml:space="preserve">urisdiccionales </w:t>
      </w:r>
      <w:r w:rsidR="00066748">
        <w:rPr>
          <w:rFonts w:ascii="Book Antiqua" w:hAnsi="Book Antiqua"/>
          <w:b/>
          <w:color w:val="000000" w:themeColor="text1"/>
          <w:sz w:val="24"/>
          <w:szCs w:val="24"/>
        </w:rPr>
        <w:t>P</w:t>
      </w:r>
      <w:r w:rsidRPr="004F0E92">
        <w:rPr>
          <w:rFonts w:ascii="Book Antiqua" w:hAnsi="Book Antiqua"/>
          <w:b/>
          <w:color w:val="000000" w:themeColor="text1"/>
          <w:sz w:val="24"/>
          <w:szCs w:val="24"/>
        </w:rPr>
        <w:t xml:space="preserve">enales </w:t>
      </w:r>
    </w:p>
    <w:p w14:paraId="295C8BC7" w14:textId="77777777" w:rsidR="00643413" w:rsidRPr="004F0E92" w:rsidRDefault="00643413" w:rsidP="00985591">
      <w:pPr>
        <w:pStyle w:val="Prrafodelista"/>
        <w:spacing w:line="276" w:lineRule="auto"/>
        <w:ind w:left="1224"/>
        <w:jc w:val="both"/>
        <w:rPr>
          <w:rFonts w:ascii="Book Antiqua" w:hAnsi="Book Antiqua"/>
          <w:color w:val="000000" w:themeColor="text1"/>
        </w:rPr>
      </w:pPr>
    </w:p>
    <w:p w14:paraId="62480F7C" w14:textId="628A6D9B" w:rsidR="00170661" w:rsidRPr="003118D4" w:rsidRDefault="00F26B0D" w:rsidP="003118D4">
      <w:pPr>
        <w:pStyle w:val="Prrafodelista"/>
        <w:numPr>
          <w:ilvl w:val="0"/>
          <w:numId w:val="27"/>
        </w:numPr>
        <w:spacing w:line="276" w:lineRule="auto"/>
        <w:jc w:val="both"/>
        <w:rPr>
          <w:rFonts w:ascii="Book Antiqua" w:hAnsi="Book Antiqua"/>
          <w:color w:val="000000" w:themeColor="text1"/>
        </w:rPr>
      </w:pPr>
      <w:r w:rsidRPr="003118D4">
        <w:rPr>
          <w:rFonts w:ascii="Book Antiqua" w:eastAsia="Calibri" w:hAnsi="Book Antiqua" w:cs="Arial"/>
          <w:color w:val="000000" w:themeColor="text1"/>
          <w:lang w:val="es-ES" w:eastAsia="es-CR"/>
        </w:rPr>
        <w:t>Continuar con el cumplimiento de los parámetros de producción, siempre y cuando se cuenten con las condiciones de salud e infraestructura para poder hacer las diferentes</w:t>
      </w:r>
      <w:r w:rsidRPr="003118D4">
        <w:rPr>
          <w:rFonts w:ascii="Book Antiqua" w:hAnsi="Book Antiqua"/>
          <w:color w:val="000000" w:themeColor="text1"/>
        </w:rPr>
        <w:t xml:space="preserve"> diligencias</w:t>
      </w:r>
      <w:r w:rsidR="00E11F3B" w:rsidRPr="003118D4">
        <w:rPr>
          <w:rFonts w:ascii="Book Antiqua" w:hAnsi="Book Antiqua"/>
          <w:color w:val="000000" w:themeColor="text1"/>
        </w:rPr>
        <w:t>.</w:t>
      </w:r>
    </w:p>
    <w:p w14:paraId="5D1B17FB" w14:textId="77777777" w:rsidR="009D0C2A" w:rsidRPr="003118D4" w:rsidRDefault="009D0C2A" w:rsidP="00985591">
      <w:pPr>
        <w:spacing w:line="276" w:lineRule="auto"/>
        <w:jc w:val="both"/>
        <w:rPr>
          <w:rFonts w:ascii="Book Antiqua" w:eastAsia="Calibri" w:hAnsi="Book Antiqua" w:cs="Arial"/>
          <w:color w:val="000000" w:themeColor="text1"/>
          <w:lang w:val="es-ES" w:eastAsia="es-CR"/>
        </w:rPr>
      </w:pPr>
    </w:p>
    <w:p w14:paraId="36C8E185" w14:textId="77777777" w:rsidR="003118D4" w:rsidRDefault="001358AA" w:rsidP="003118D4">
      <w:pPr>
        <w:pStyle w:val="Prrafodelista"/>
        <w:numPr>
          <w:ilvl w:val="0"/>
          <w:numId w:val="27"/>
        </w:numPr>
        <w:spacing w:line="276" w:lineRule="auto"/>
        <w:jc w:val="both"/>
        <w:rPr>
          <w:rFonts w:ascii="Book Antiqua" w:eastAsia="Calibri" w:hAnsi="Book Antiqua" w:cs="Arial"/>
          <w:color w:val="000000" w:themeColor="text1"/>
          <w:lang w:val="es-ES" w:eastAsia="es-CR"/>
        </w:rPr>
      </w:pPr>
      <w:r w:rsidRPr="003118D4">
        <w:rPr>
          <w:rFonts w:ascii="Book Antiqua" w:eastAsia="Calibri" w:hAnsi="Book Antiqua" w:cs="Arial"/>
          <w:color w:val="000000" w:themeColor="text1"/>
          <w:lang w:val="es-ES" w:eastAsia="es-CR"/>
        </w:rPr>
        <w:t xml:space="preserve"> </w:t>
      </w:r>
      <w:r w:rsidR="004E38A0" w:rsidRPr="003118D4">
        <w:rPr>
          <w:rFonts w:ascii="Book Antiqua" w:eastAsia="Calibri" w:hAnsi="Book Antiqua" w:cs="Arial"/>
          <w:color w:val="000000" w:themeColor="text1"/>
          <w:lang w:val="es-ES" w:eastAsia="es-CR"/>
        </w:rPr>
        <w:t>Promover el desarrollo de videoconferencias, según la circular 102-2020, con el fin de evitar riesgos de contagio y continuar brindando los servicios a las personas usuarias</w:t>
      </w:r>
      <w:r w:rsidR="000F2B13" w:rsidRPr="003118D4">
        <w:rPr>
          <w:rFonts w:ascii="Book Antiqua" w:eastAsia="Calibri" w:hAnsi="Book Antiqua" w:cs="Arial"/>
          <w:color w:val="000000" w:themeColor="text1"/>
          <w:lang w:val="es-ES" w:eastAsia="es-CR"/>
        </w:rPr>
        <w:t>, en los casos que sea posible</w:t>
      </w:r>
      <w:r w:rsidR="009D0C2A" w:rsidRPr="003118D4">
        <w:rPr>
          <w:rFonts w:ascii="Book Antiqua" w:eastAsia="Calibri" w:hAnsi="Book Antiqua" w:cs="Arial"/>
          <w:color w:val="000000" w:themeColor="text1"/>
          <w:lang w:val="es-ES" w:eastAsia="es-CR"/>
        </w:rPr>
        <w:t>.</w:t>
      </w:r>
    </w:p>
    <w:p w14:paraId="53808920" w14:textId="77777777" w:rsidR="003118D4" w:rsidRPr="003118D4" w:rsidRDefault="003118D4" w:rsidP="003118D4">
      <w:pPr>
        <w:pStyle w:val="Prrafodelista"/>
        <w:rPr>
          <w:rFonts w:ascii="Book Antiqua" w:eastAsia="Calibri" w:hAnsi="Book Antiqua" w:cs="Arial"/>
          <w:color w:val="000000" w:themeColor="text1"/>
          <w:lang w:val="es-ES" w:eastAsia="es-CR"/>
        </w:rPr>
      </w:pPr>
    </w:p>
    <w:p w14:paraId="0F845FA1" w14:textId="2B45A79D" w:rsidR="7105BCFD" w:rsidRPr="003118D4" w:rsidRDefault="5CB7C371" w:rsidP="003118D4">
      <w:pPr>
        <w:pStyle w:val="Prrafodelista"/>
        <w:numPr>
          <w:ilvl w:val="0"/>
          <w:numId w:val="27"/>
        </w:numPr>
        <w:spacing w:line="276" w:lineRule="auto"/>
        <w:jc w:val="both"/>
        <w:rPr>
          <w:rFonts w:ascii="Book Antiqua" w:eastAsia="Calibri" w:hAnsi="Book Antiqua" w:cs="Arial"/>
          <w:color w:val="000000" w:themeColor="text1"/>
          <w:lang w:val="es-ES" w:eastAsia="es-CR"/>
        </w:rPr>
      </w:pPr>
      <w:r w:rsidRPr="003118D4">
        <w:rPr>
          <w:rFonts w:ascii="Book Antiqua" w:eastAsia="Calibri" w:hAnsi="Book Antiqua" w:cs="Arial"/>
          <w:color w:val="000000" w:themeColor="text1"/>
          <w:lang w:val="es-ES" w:eastAsia="es-CR"/>
        </w:rPr>
        <w:t>Al aplicar las nuevas valoraciones de indicadores, l</w:t>
      </w:r>
      <w:r w:rsidR="5804FF07" w:rsidRPr="003118D4">
        <w:rPr>
          <w:rFonts w:ascii="Book Antiqua" w:eastAsia="Calibri" w:hAnsi="Book Antiqua" w:cs="Arial"/>
          <w:color w:val="000000" w:themeColor="text1"/>
          <w:lang w:val="es-ES" w:eastAsia="es-CR"/>
        </w:rPr>
        <w:t xml:space="preserve">os </w:t>
      </w:r>
      <w:r w:rsidR="00E11F3B" w:rsidRPr="003118D4">
        <w:rPr>
          <w:rFonts w:ascii="Book Antiqua" w:eastAsia="Calibri" w:hAnsi="Book Antiqua" w:cs="Arial"/>
          <w:color w:val="000000" w:themeColor="text1"/>
          <w:lang w:val="es-ES" w:eastAsia="es-CR"/>
        </w:rPr>
        <w:t>despachos con clasificación critica</w:t>
      </w:r>
      <w:r w:rsidR="5804FF07" w:rsidRPr="003118D4">
        <w:rPr>
          <w:rFonts w:ascii="Book Antiqua" w:eastAsia="Calibri" w:hAnsi="Book Antiqua" w:cs="Arial"/>
          <w:color w:val="000000" w:themeColor="text1"/>
          <w:lang w:val="es-ES" w:eastAsia="es-CR"/>
        </w:rPr>
        <w:t xml:space="preserve"> deberán formular a lo interno planes de acción </w:t>
      </w:r>
      <w:r w:rsidR="70423EFE" w:rsidRPr="003118D4">
        <w:rPr>
          <w:rFonts w:ascii="Book Antiqua" w:eastAsia="Calibri" w:hAnsi="Book Antiqua" w:cs="Arial"/>
          <w:color w:val="000000" w:themeColor="text1"/>
          <w:lang w:val="es-ES" w:eastAsia="es-CR"/>
        </w:rPr>
        <w:t>específicos</w:t>
      </w:r>
      <w:r w:rsidR="5F9B352F" w:rsidRPr="003118D4">
        <w:rPr>
          <w:rFonts w:ascii="Book Antiqua" w:eastAsia="Calibri" w:hAnsi="Book Antiqua" w:cs="Arial"/>
          <w:color w:val="000000" w:themeColor="text1"/>
          <w:lang w:val="es-ES" w:eastAsia="es-CR"/>
        </w:rPr>
        <w:t xml:space="preserve"> </w:t>
      </w:r>
      <w:r w:rsidR="5804FF07" w:rsidRPr="003118D4">
        <w:rPr>
          <w:rFonts w:ascii="Book Antiqua" w:eastAsia="Calibri" w:hAnsi="Book Antiqua" w:cs="Arial"/>
          <w:color w:val="000000" w:themeColor="text1"/>
          <w:lang w:val="es-ES" w:eastAsia="es-CR"/>
        </w:rPr>
        <w:t xml:space="preserve">para </w:t>
      </w:r>
      <w:r w:rsidR="00E11F3B" w:rsidRPr="003118D4">
        <w:rPr>
          <w:rFonts w:ascii="Book Antiqua" w:eastAsia="Calibri" w:hAnsi="Book Antiqua" w:cs="Arial"/>
          <w:color w:val="000000" w:themeColor="text1"/>
          <w:lang w:val="es-ES" w:eastAsia="es-CR"/>
        </w:rPr>
        <w:t xml:space="preserve">seguir </w:t>
      </w:r>
      <w:r w:rsidR="5804FF07" w:rsidRPr="003118D4">
        <w:rPr>
          <w:rFonts w:ascii="Book Antiqua" w:eastAsia="Calibri" w:hAnsi="Book Antiqua" w:cs="Arial"/>
          <w:color w:val="000000" w:themeColor="text1"/>
          <w:lang w:val="es-ES" w:eastAsia="es-CR"/>
        </w:rPr>
        <w:t>mejora</w:t>
      </w:r>
      <w:r w:rsidR="00E11F3B" w:rsidRPr="003118D4">
        <w:rPr>
          <w:rFonts w:ascii="Book Antiqua" w:eastAsia="Calibri" w:hAnsi="Book Antiqua" w:cs="Arial"/>
          <w:color w:val="000000" w:themeColor="text1"/>
          <w:lang w:val="es-ES" w:eastAsia="es-CR"/>
        </w:rPr>
        <w:t>ndo</w:t>
      </w:r>
      <w:r w:rsidR="5804FF07" w:rsidRPr="003118D4">
        <w:rPr>
          <w:rFonts w:ascii="Book Antiqua" w:eastAsia="Calibri" w:hAnsi="Book Antiqua" w:cs="Arial"/>
          <w:color w:val="000000" w:themeColor="text1"/>
          <w:lang w:val="es-ES" w:eastAsia="es-CR"/>
        </w:rPr>
        <w:t xml:space="preserve"> el servicio público que están </w:t>
      </w:r>
      <w:r w:rsidR="032A4ADF" w:rsidRPr="003118D4">
        <w:rPr>
          <w:rFonts w:ascii="Book Antiqua" w:eastAsia="Calibri" w:hAnsi="Book Antiqua" w:cs="Arial"/>
          <w:color w:val="000000" w:themeColor="text1"/>
          <w:lang w:val="es-ES" w:eastAsia="es-CR"/>
        </w:rPr>
        <w:t>brindando, orientado a mejorar</w:t>
      </w:r>
      <w:r w:rsidR="00E11F3B" w:rsidRPr="003118D4">
        <w:rPr>
          <w:rFonts w:ascii="Book Antiqua" w:eastAsia="Calibri" w:hAnsi="Book Antiqua" w:cs="Arial"/>
          <w:color w:val="000000" w:themeColor="text1"/>
          <w:lang w:val="es-ES" w:eastAsia="es-CR"/>
        </w:rPr>
        <w:t xml:space="preserve"> sobre todo</w:t>
      </w:r>
      <w:r w:rsidR="032A4ADF" w:rsidRPr="003118D4">
        <w:rPr>
          <w:rFonts w:ascii="Book Antiqua" w:eastAsia="Calibri" w:hAnsi="Book Antiqua" w:cs="Arial"/>
          <w:color w:val="000000" w:themeColor="text1"/>
          <w:lang w:val="es-ES" w:eastAsia="es-CR"/>
        </w:rPr>
        <w:t xml:space="preserve"> los tiempos de respuesta</w:t>
      </w:r>
      <w:r w:rsidR="00E11F3B" w:rsidRPr="003118D4">
        <w:rPr>
          <w:rFonts w:ascii="Book Antiqua" w:eastAsia="Calibri" w:hAnsi="Book Antiqua" w:cs="Arial"/>
          <w:color w:val="000000" w:themeColor="text1"/>
          <w:lang w:val="es-ES" w:eastAsia="es-CR"/>
        </w:rPr>
        <w:t xml:space="preserve">. La Dirección de </w:t>
      </w:r>
      <w:r w:rsidR="009A34EB" w:rsidRPr="003118D4">
        <w:rPr>
          <w:rFonts w:ascii="Book Antiqua" w:eastAsia="Calibri" w:hAnsi="Book Antiqua" w:cs="Arial"/>
          <w:color w:val="000000" w:themeColor="text1"/>
          <w:lang w:val="es-ES" w:eastAsia="es-CR"/>
        </w:rPr>
        <w:t>Planificación dará</w:t>
      </w:r>
      <w:r w:rsidR="7105BCFD" w:rsidRPr="003118D4">
        <w:rPr>
          <w:rFonts w:ascii="Book Antiqua" w:eastAsia="Calibri" w:hAnsi="Book Antiqua" w:cs="Arial"/>
          <w:color w:val="000000" w:themeColor="text1"/>
          <w:lang w:val="es-ES" w:eastAsia="es-CR"/>
        </w:rPr>
        <w:t xml:space="preserve"> un acompañamiento </w:t>
      </w:r>
      <w:r w:rsidR="00DB6064" w:rsidRPr="003118D4">
        <w:rPr>
          <w:rFonts w:ascii="Book Antiqua" w:eastAsia="Calibri" w:hAnsi="Book Antiqua" w:cs="Arial"/>
          <w:color w:val="000000" w:themeColor="text1"/>
          <w:lang w:val="es-ES" w:eastAsia="es-CR"/>
        </w:rPr>
        <w:t>detallado</w:t>
      </w:r>
      <w:r w:rsidR="7105BCFD" w:rsidRPr="003118D4">
        <w:rPr>
          <w:rFonts w:ascii="Book Antiqua" w:eastAsia="Calibri" w:hAnsi="Book Antiqua" w:cs="Arial"/>
          <w:color w:val="000000" w:themeColor="text1"/>
          <w:lang w:val="es-ES" w:eastAsia="es-CR"/>
        </w:rPr>
        <w:t>, para el planteamiento de los planes</w:t>
      </w:r>
      <w:r w:rsidR="00DB6064" w:rsidRPr="003118D4">
        <w:rPr>
          <w:rFonts w:ascii="Book Antiqua" w:eastAsia="Calibri" w:hAnsi="Book Antiqua" w:cs="Arial"/>
          <w:color w:val="000000" w:themeColor="text1"/>
          <w:lang w:val="es-ES" w:eastAsia="es-CR"/>
        </w:rPr>
        <w:t xml:space="preserve"> de mejora</w:t>
      </w:r>
      <w:r w:rsidR="7105BCFD" w:rsidRPr="003118D4">
        <w:rPr>
          <w:rFonts w:ascii="Book Antiqua" w:eastAsia="Calibri" w:hAnsi="Book Antiqua" w:cs="Arial"/>
          <w:color w:val="000000" w:themeColor="text1"/>
          <w:lang w:val="es-ES" w:eastAsia="es-CR"/>
        </w:rPr>
        <w:t>.</w:t>
      </w:r>
    </w:p>
    <w:p w14:paraId="25528AD2" w14:textId="5343652C" w:rsidR="00236DA7" w:rsidRPr="00236DA7" w:rsidRDefault="00236DA7" w:rsidP="00985591">
      <w:pPr>
        <w:spacing w:line="276" w:lineRule="auto"/>
        <w:jc w:val="both"/>
        <w:rPr>
          <w:rFonts w:ascii="Book Antiqua" w:eastAsia="Calibri" w:hAnsi="Book Antiqua" w:cs="Arial"/>
          <w:color w:val="000000" w:themeColor="text1"/>
          <w:lang w:val="es-ES" w:eastAsia="es-CR"/>
        </w:rPr>
      </w:pPr>
    </w:p>
    <w:p w14:paraId="76DBDD8F" w14:textId="77777777" w:rsidR="00220F92" w:rsidRPr="00236DA7" w:rsidRDefault="00220F92" w:rsidP="00985591">
      <w:pPr>
        <w:spacing w:line="276" w:lineRule="auto"/>
        <w:jc w:val="both"/>
        <w:rPr>
          <w:rFonts w:ascii="Book Antiqua" w:eastAsia="Calibri" w:hAnsi="Book Antiqua" w:cs="Arial"/>
          <w:color w:val="000000" w:themeColor="text1"/>
          <w:lang w:val="es-ES" w:eastAsia="es-CR"/>
        </w:rPr>
      </w:pPr>
    </w:p>
    <w:p w14:paraId="05AB043A" w14:textId="77777777" w:rsidR="00F3774B" w:rsidRDefault="00F3774B" w:rsidP="00985591">
      <w:pPr>
        <w:spacing w:line="276" w:lineRule="auto"/>
        <w:rPr>
          <w:rFonts w:ascii="Book Antiqua" w:hAnsi="Book Antiqua"/>
          <w:b/>
          <w:color w:val="000000" w:themeColor="text1"/>
        </w:rPr>
      </w:pPr>
    </w:p>
    <w:p w14:paraId="0415867D" w14:textId="31AE4572" w:rsidR="00F26B0D" w:rsidRPr="004F0E92" w:rsidRDefault="007D1F5E" w:rsidP="00985591">
      <w:pPr>
        <w:spacing w:line="276" w:lineRule="auto"/>
        <w:rPr>
          <w:rFonts w:ascii="Book Antiqua" w:hAnsi="Book Antiqua"/>
          <w:b/>
          <w:color w:val="000000" w:themeColor="text1"/>
        </w:rPr>
      </w:pPr>
      <w:r w:rsidRPr="004F0E92">
        <w:rPr>
          <w:rFonts w:ascii="Book Antiqua" w:hAnsi="Book Antiqua"/>
          <w:b/>
          <w:color w:val="000000" w:themeColor="text1"/>
        </w:rPr>
        <w:t>D</w:t>
      </w:r>
      <w:r w:rsidR="00F26B0D" w:rsidRPr="004F0E92">
        <w:rPr>
          <w:rFonts w:ascii="Book Antiqua" w:hAnsi="Book Antiqua"/>
          <w:b/>
          <w:color w:val="000000" w:themeColor="text1"/>
        </w:rPr>
        <w:t>irección de Planificación</w:t>
      </w:r>
    </w:p>
    <w:p w14:paraId="48D511A5" w14:textId="77777777" w:rsidR="00F26B0D" w:rsidRPr="004F0E92" w:rsidRDefault="00F26B0D" w:rsidP="00985591">
      <w:pPr>
        <w:spacing w:line="276" w:lineRule="auto"/>
        <w:rPr>
          <w:rFonts w:ascii="Book Antiqua" w:hAnsi="Book Antiqua"/>
          <w:color w:val="000000" w:themeColor="text1"/>
        </w:rPr>
      </w:pPr>
    </w:p>
    <w:p w14:paraId="3112D589" w14:textId="75A9B82C" w:rsidR="00F26B0D" w:rsidRPr="00836464" w:rsidRDefault="001358AA" w:rsidP="00DC6554">
      <w:pPr>
        <w:pStyle w:val="Prrafodelista"/>
        <w:numPr>
          <w:ilvl w:val="0"/>
          <w:numId w:val="27"/>
        </w:numPr>
        <w:spacing w:line="276" w:lineRule="auto"/>
        <w:jc w:val="both"/>
        <w:rPr>
          <w:rFonts w:ascii="Book Antiqua" w:hAnsi="Book Antiqua"/>
          <w:color w:val="000000" w:themeColor="text1"/>
        </w:rPr>
      </w:pPr>
      <w:r w:rsidRPr="00236DA7">
        <w:rPr>
          <w:rFonts w:ascii="Book Antiqua" w:hAnsi="Book Antiqua"/>
          <w:color w:val="000000" w:themeColor="text1"/>
        </w:rPr>
        <w:t xml:space="preserve"> </w:t>
      </w:r>
      <w:r w:rsidR="00512143" w:rsidRPr="00236DA7">
        <w:rPr>
          <w:rFonts w:ascii="Book Antiqua" w:hAnsi="Book Antiqua"/>
          <w:color w:val="000000" w:themeColor="text1"/>
        </w:rPr>
        <w:t>Continuar con los</w:t>
      </w:r>
      <w:r w:rsidR="00F26B0D" w:rsidRPr="00236DA7">
        <w:rPr>
          <w:rFonts w:ascii="Book Antiqua" w:hAnsi="Book Antiqua"/>
          <w:color w:val="000000" w:themeColor="text1"/>
        </w:rPr>
        <w:t xml:space="preserve"> seguimientos mensuales de las labores realizadas por las </w:t>
      </w:r>
      <w:r w:rsidR="00F26B0D" w:rsidRPr="00836464">
        <w:rPr>
          <w:rFonts w:ascii="Book Antiqua" w:hAnsi="Book Antiqua"/>
          <w:color w:val="000000" w:themeColor="text1"/>
        </w:rPr>
        <w:t>diferentes oficinas</w:t>
      </w:r>
      <w:r w:rsidR="00C42D00" w:rsidRPr="00836464">
        <w:rPr>
          <w:rFonts w:ascii="Book Antiqua" w:hAnsi="Book Antiqua"/>
          <w:color w:val="000000" w:themeColor="text1"/>
        </w:rPr>
        <w:t xml:space="preserve"> en materia pena</w:t>
      </w:r>
      <w:r w:rsidR="00C5702F" w:rsidRPr="00836464">
        <w:rPr>
          <w:rFonts w:ascii="Book Antiqua" w:hAnsi="Book Antiqua"/>
          <w:color w:val="000000" w:themeColor="text1"/>
        </w:rPr>
        <w:t>l de adultos.</w:t>
      </w:r>
    </w:p>
    <w:p w14:paraId="282E1A76" w14:textId="14353440" w:rsidR="00220F92" w:rsidRPr="00836464" w:rsidRDefault="00220F92" w:rsidP="00DC6554">
      <w:pPr>
        <w:pStyle w:val="Prrafodelista"/>
        <w:numPr>
          <w:ilvl w:val="0"/>
          <w:numId w:val="27"/>
        </w:numPr>
        <w:spacing w:line="276" w:lineRule="auto"/>
        <w:jc w:val="both"/>
        <w:rPr>
          <w:rFonts w:ascii="Book Antiqua" w:hAnsi="Book Antiqua"/>
          <w:color w:val="000000" w:themeColor="text1"/>
        </w:rPr>
      </w:pPr>
      <w:r w:rsidRPr="00836464">
        <w:rPr>
          <w:rFonts w:ascii="Book Antiqua" w:hAnsi="Book Antiqua"/>
          <w:color w:val="000000" w:themeColor="text1"/>
        </w:rPr>
        <w:t xml:space="preserve">El Subproceso de Estadística debe </w:t>
      </w:r>
      <w:r w:rsidR="00836464" w:rsidRPr="00836464">
        <w:rPr>
          <w:rFonts w:ascii="Book Antiqua" w:hAnsi="Book Antiqua"/>
          <w:color w:val="000000" w:themeColor="text1"/>
        </w:rPr>
        <w:t>valorar y</w:t>
      </w:r>
      <w:r w:rsidR="00C528F0" w:rsidRPr="00836464">
        <w:rPr>
          <w:rFonts w:ascii="Book Antiqua" w:hAnsi="Book Antiqua"/>
          <w:color w:val="000000" w:themeColor="text1"/>
        </w:rPr>
        <w:t xml:space="preserve"> analizar </w:t>
      </w:r>
      <w:r w:rsidR="00836464" w:rsidRPr="00836464">
        <w:rPr>
          <w:rFonts w:ascii="Book Antiqua" w:hAnsi="Book Antiqua"/>
          <w:color w:val="000000" w:themeColor="text1"/>
        </w:rPr>
        <w:t xml:space="preserve">la mejora </w:t>
      </w:r>
      <w:r w:rsidR="00836464">
        <w:rPr>
          <w:rFonts w:ascii="Book Antiqua" w:hAnsi="Book Antiqua"/>
          <w:color w:val="000000" w:themeColor="text1"/>
        </w:rPr>
        <w:t xml:space="preserve">en la </w:t>
      </w:r>
      <w:r w:rsidR="003118D4">
        <w:rPr>
          <w:rFonts w:ascii="Book Antiqua" w:hAnsi="Book Antiqua"/>
          <w:color w:val="000000" w:themeColor="text1"/>
        </w:rPr>
        <w:t>fórmula estadística</w:t>
      </w:r>
      <w:r w:rsidR="00836464">
        <w:rPr>
          <w:rFonts w:ascii="Book Antiqua" w:hAnsi="Book Antiqua"/>
          <w:color w:val="000000" w:themeColor="text1"/>
        </w:rPr>
        <w:t xml:space="preserve">, </w:t>
      </w:r>
      <w:r w:rsidR="00836464" w:rsidRPr="00836464">
        <w:rPr>
          <w:rFonts w:ascii="Book Antiqua" w:hAnsi="Book Antiqua"/>
          <w:color w:val="000000" w:themeColor="text1"/>
        </w:rPr>
        <w:t xml:space="preserve">para </w:t>
      </w:r>
      <w:r w:rsidRPr="00836464">
        <w:rPr>
          <w:rFonts w:ascii="Book Antiqua" w:hAnsi="Book Antiqua"/>
          <w:color w:val="000000" w:themeColor="text1"/>
        </w:rPr>
        <w:t>separar el circulante de la materia de ejecución de la pena</w:t>
      </w:r>
      <w:r w:rsidR="00836464" w:rsidRPr="00836464">
        <w:rPr>
          <w:rFonts w:ascii="Book Antiqua" w:hAnsi="Book Antiqua"/>
          <w:color w:val="000000" w:themeColor="text1"/>
        </w:rPr>
        <w:t xml:space="preserve">, ya que se ha identificado la mejora de separar del circulante ordinario, lo que se encuentra </w:t>
      </w:r>
      <w:r w:rsidR="006F775A" w:rsidRPr="00836464">
        <w:rPr>
          <w:rFonts w:ascii="Book Antiqua" w:hAnsi="Book Antiqua"/>
          <w:color w:val="000000" w:themeColor="text1"/>
        </w:rPr>
        <w:t>en un</w:t>
      </w:r>
      <w:r w:rsidRPr="00836464">
        <w:rPr>
          <w:rFonts w:ascii="Book Antiqua" w:hAnsi="Book Antiqua"/>
          <w:color w:val="000000" w:themeColor="text1"/>
        </w:rPr>
        <w:t xml:space="preserve"> seguimiento (monitoreos electrónicos).</w:t>
      </w:r>
    </w:p>
    <w:p w14:paraId="0CB4F9D5" w14:textId="77777777" w:rsidR="00931C24" w:rsidRDefault="00931C24" w:rsidP="00985591">
      <w:pPr>
        <w:spacing w:line="276" w:lineRule="auto"/>
        <w:jc w:val="both"/>
        <w:rPr>
          <w:rFonts w:ascii="Book Antiqua" w:hAnsi="Book Antiqua"/>
          <w:b/>
          <w:bCs/>
          <w:color w:val="000000" w:themeColor="text1"/>
        </w:rPr>
      </w:pPr>
      <w:bookmarkStart w:id="35" w:name="_Hlk65074099"/>
    </w:p>
    <w:p w14:paraId="2D5D6B9F" w14:textId="77777777" w:rsidR="006F775A" w:rsidRDefault="006F775A">
      <w:pPr>
        <w:rPr>
          <w:rFonts w:ascii="Book Antiqua" w:hAnsi="Book Antiqua"/>
          <w:b/>
          <w:bCs/>
          <w:color w:val="000000" w:themeColor="text1"/>
        </w:rPr>
      </w:pPr>
      <w:r>
        <w:rPr>
          <w:rFonts w:ascii="Book Antiqua" w:hAnsi="Book Antiqua"/>
          <w:b/>
          <w:bCs/>
          <w:color w:val="000000" w:themeColor="text1"/>
        </w:rPr>
        <w:br w:type="page"/>
      </w:r>
    </w:p>
    <w:p w14:paraId="3B4A2DEB" w14:textId="72FB4A47" w:rsidR="004F5A1B" w:rsidRPr="00066748" w:rsidRDefault="004F5A1B" w:rsidP="00985591">
      <w:pPr>
        <w:spacing w:line="276" w:lineRule="auto"/>
        <w:jc w:val="both"/>
        <w:rPr>
          <w:rFonts w:ascii="Book Antiqua" w:hAnsi="Book Antiqua"/>
          <w:b/>
          <w:bCs/>
          <w:color w:val="000000" w:themeColor="text1"/>
        </w:rPr>
      </w:pPr>
      <w:r w:rsidRPr="00066748">
        <w:rPr>
          <w:rFonts w:ascii="Book Antiqua" w:hAnsi="Book Antiqua"/>
          <w:b/>
          <w:bCs/>
          <w:color w:val="000000" w:themeColor="text1"/>
        </w:rPr>
        <w:t>Inspección Judicial</w:t>
      </w:r>
      <w:r w:rsidR="003F4FE7">
        <w:rPr>
          <w:rFonts w:ascii="Book Antiqua" w:hAnsi="Book Antiqua"/>
          <w:b/>
          <w:bCs/>
          <w:color w:val="000000" w:themeColor="text1"/>
        </w:rPr>
        <w:t xml:space="preserve"> y Auditoría Judicial</w:t>
      </w:r>
    </w:p>
    <w:p w14:paraId="5004EA34" w14:textId="77777777" w:rsidR="00A43CC6" w:rsidRPr="004F0E92" w:rsidRDefault="00A43CC6" w:rsidP="00985591">
      <w:pPr>
        <w:pStyle w:val="Prrafodelista"/>
        <w:spacing w:line="276" w:lineRule="auto"/>
        <w:ind w:left="720"/>
        <w:jc w:val="both"/>
        <w:rPr>
          <w:rFonts w:ascii="Book Antiqua" w:hAnsi="Book Antiqua"/>
          <w:b/>
          <w:bCs/>
          <w:color w:val="000000" w:themeColor="text1"/>
        </w:rPr>
      </w:pPr>
    </w:p>
    <w:p w14:paraId="04BB746B" w14:textId="6F2C8DAE" w:rsidR="00A43CC6" w:rsidRPr="000D4A53" w:rsidRDefault="00C5702F" w:rsidP="00DC6554">
      <w:pPr>
        <w:pStyle w:val="Prrafodelista"/>
        <w:numPr>
          <w:ilvl w:val="0"/>
          <w:numId w:val="27"/>
        </w:numPr>
        <w:spacing w:line="276" w:lineRule="auto"/>
        <w:jc w:val="both"/>
        <w:rPr>
          <w:rFonts w:ascii="Book Antiqua" w:hAnsi="Book Antiqua"/>
          <w:color w:val="000000" w:themeColor="text1"/>
        </w:rPr>
      </w:pPr>
      <w:r>
        <w:rPr>
          <w:rFonts w:ascii="Book Antiqua" w:hAnsi="Book Antiqua"/>
          <w:color w:val="000000" w:themeColor="text1"/>
        </w:rPr>
        <w:t>Valorar t</w:t>
      </w:r>
      <w:r w:rsidR="004F5A1B" w:rsidRPr="000D4A53">
        <w:rPr>
          <w:rFonts w:ascii="Book Antiqua" w:hAnsi="Book Antiqua"/>
          <w:color w:val="000000" w:themeColor="text1"/>
        </w:rPr>
        <w:t xml:space="preserve">omar nota </w:t>
      </w:r>
      <w:r w:rsidR="00655DCB" w:rsidRPr="000D4A53">
        <w:rPr>
          <w:rFonts w:ascii="Book Antiqua" w:hAnsi="Book Antiqua"/>
          <w:color w:val="000000" w:themeColor="text1"/>
        </w:rPr>
        <w:t xml:space="preserve">para los fines que corresponda </w:t>
      </w:r>
      <w:r w:rsidR="004F5A1B" w:rsidRPr="000D4A53">
        <w:rPr>
          <w:rFonts w:ascii="Book Antiqua" w:hAnsi="Book Antiqua"/>
          <w:color w:val="000000" w:themeColor="text1"/>
        </w:rPr>
        <w:t>de los despachos que han incumplido con la remisión de los informes</w:t>
      </w:r>
      <w:r w:rsidR="00655DCB" w:rsidRPr="000D4A53">
        <w:rPr>
          <w:rFonts w:ascii="Book Antiqua" w:hAnsi="Book Antiqua"/>
          <w:color w:val="000000" w:themeColor="text1"/>
        </w:rPr>
        <w:t xml:space="preserve">, </w:t>
      </w:r>
      <w:r w:rsidR="00216002" w:rsidRPr="000D4A53">
        <w:rPr>
          <w:rFonts w:ascii="Book Antiqua" w:hAnsi="Book Antiqua"/>
          <w:color w:val="000000" w:themeColor="text1"/>
        </w:rPr>
        <w:t>verificando los que han tenido reincidencia en la no presentación de datos</w:t>
      </w:r>
      <w:r w:rsidR="00A43CC6" w:rsidRPr="000D4A53">
        <w:rPr>
          <w:rFonts w:ascii="Book Antiqua" w:hAnsi="Book Antiqua"/>
          <w:color w:val="000000" w:themeColor="text1"/>
        </w:rPr>
        <w:t>:</w:t>
      </w:r>
    </w:p>
    <w:p w14:paraId="7376CD52" w14:textId="3AA1C68C" w:rsidR="005178F6" w:rsidRPr="004F0E92" w:rsidRDefault="00554C28" w:rsidP="00985591">
      <w:pPr>
        <w:pStyle w:val="Prrafodelista"/>
        <w:spacing w:line="276" w:lineRule="auto"/>
        <w:ind w:left="720"/>
        <w:rPr>
          <w:rFonts w:ascii="Book Antiqua" w:hAnsi="Book Antiqua"/>
        </w:rPr>
      </w:pPr>
      <w:r w:rsidRPr="004F0E92">
        <w:rPr>
          <w:rFonts w:ascii="Book Antiqua" w:hAnsi="Book Antiqua"/>
          <w:color w:val="000000" w:themeColor="text1"/>
        </w:rPr>
        <w:t xml:space="preserve"> </w:t>
      </w:r>
    </w:p>
    <w:tbl>
      <w:tblPr>
        <w:tblStyle w:val="Tablaconcuadrcula"/>
        <w:tblW w:w="6658" w:type="dxa"/>
        <w:jc w:val="center"/>
        <w:tblLook w:val="04A0" w:firstRow="1" w:lastRow="0" w:firstColumn="1" w:lastColumn="0" w:noHBand="0" w:noVBand="1"/>
      </w:tblPr>
      <w:tblGrid>
        <w:gridCol w:w="6658"/>
      </w:tblGrid>
      <w:tr w:rsidR="00C000AA" w:rsidRPr="000D4A53" w14:paraId="0107C148" w14:textId="77777777" w:rsidTr="00217A34">
        <w:trPr>
          <w:trHeight w:val="195"/>
          <w:jc w:val="center"/>
        </w:trPr>
        <w:tc>
          <w:tcPr>
            <w:tcW w:w="6658" w:type="dxa"/>
            <w:shd w:val="clear" w:color="auto" w:fill="2F5496" w:themeFill="accent1" w:themeFillShade="BF"/>
          </w:tcPr>
          <w:p w14:paraId="43ADE3C4" w14:textId="238BDB4A" w:rsidR="00C000AA" w:rsidRPr="000D4A53" w:rsidRDefault="00432C89" w:rsidP="00985591">
            <w:pPr>
              <w:spacing w:line="276" w:lineRule="auto"/>
              <w:jc w:val="center"/>
              <w:rPr>
                <w:rFonts w:ascii="Book Antiqua" w:hAnsi="Book Antiqua"/>
                <w:b/>
                <w:sz w:val="20"/>
                <w:szCs w:val="20"/>
              </w:rPr>
            </w:pPr>
            <w:r>
              <w:rPr>
                <w:rFonts w:ascii="Book Antiqua" w:hAnsi="Book Antiqua"/>
                <w:b/>
                <w:color w:val="FFFFFF" w:themeColor="background1"/>
                <w:sz w:val="20"/>
                <w:szCs w:val="20"/>
              </w:rPr>
              <w:t>Oficinas</w:t>
            </w:r>
            <w:r w:rsidR="00C000AA" w:rsidRPr="000D4A53">
              <w:rPr>
                <w:rFonts w:ascii="Book Antiqua" w:hAnsi="Book Antiqua"/>
                <w:b/>
                <w:color w:val="FFFFFF" w:themeColor="background1"/>
                <w:sz w:val="20"/>
                <w:szCs w:val="20"/>
              </w:rPr>
              <w:t xml:space="preserve"> que </w:t>
            </w:r>
            <w:r>
              <w:rPr>
                <w:rFonts w:ascii="Book Antiqua" w:hAnsi="Book Antiqua"/>
                <w:b/>
                <w:color w:val="FFFFFF" w:themeColor="background1"/>
                <w:sz w:val="20"/>
                <w:szCs w:val="20"/>
              </w:rPr>
              <w:t xml:space="preserve">no </w:t>
            </w:r>
            <w:r w:rsidR="00C000AA" w:rsidRPr="000D4A53">
              <w:rPr>
                <w:rFonts w:ascii="Book Antiqua" w:hAnsi="Book Antiqua"/>
                <w:b/>
                <w:color w:val="FFFFFF" w:themeColor="background1"/>
                <w:sz w:val="20"/>
                <w:szCs w:val="20"/>
              </w:rPr>
              <w:t>presentaron</w:t>
            </w:r>
            <w:r>
              <w:rPr>
                <w:rFonts w:ascii="Book Antiqua" w:hAnsi="Book Antiqua"/>
                <w:b/>
                <w:color w:val="FFFFFF" w:themeColor="background1"/>
                <w:sz w:val="20"/>
                <w:szCs w:val="20"/>
              </w:rPr>
              <w:t xml:space="preserve"> la matriz de indicadores</w:t>
            </w:r>
            <w:r w:rsidR="00AD1BC3">
              <w:rPr>
                <w:rFonts w:ascii="Book Antiqua" w:hAnsi="Book Antiqua"/>
                <w:b/>
                <w:color w:val="FFFFFF" w:themeColor="background1"/>
                <w:sz w:val="20"/>
                <w:szCs w:val="20"/>
              </w:rPr>
              <w:t xml:space="preserve"> durante los períodos de seguimiento</w:t>
            </w:r>
          </w:p>
        </w:tc>
      </w:tr>
      <w:tr w:rsidR="00C000AA" w:rsidRPr="000D4A53" w14:paraId="744E075D" w14:textId="77777777" w:rsidTr="00217A34">
        <w:trPr>
          <w:trHeight w:val="195"/>
          <w:jc w:val="center"/>
        </w:trPr>
        <w:tc>
          <w:tcPr>
            <w:tcW w:w="6658" w:type="dxa"/>
            <w:shd w:val="clear" w:color="auto" w:fill="DEEAF6" w:themeFill="accent5" w:themeFillTint="33"/>
          </w:tcPr>
          <w:p w14:paraId="218E89ED" w14:textId="1CDF9EA0" w:rsidR="00C000AA" w:rsidRPr="000D4A53" w:rsidRDefault="00020D94" w:rsidP="00985591">
            <w:pPr>
              <w:spacing w:line="276" w:lineRule="auto"/>
              <w:jc w:val="center"/>
              <w:rPr>
                <w:rFonts w:ascii="Book Antiqua" w:hAnsi="Book Antiqua"/>
                <w:b/>
                <w:bCs/>
                <w:sz w:val="20"/>
                <w:szCs w:val="20"/>
              </w:rPr>
            </w:pPr>
            <w:r>
              <w:rPr>
                <w:rFonts w:ascii="Book Antiqua" w:hAnsi="Book Antiqua"/>
                <w:b/>
                <w:bCs/>
                <w:sz w:val="20"/>
                <w:szCs w:val="20"/>
              </w:rPr>
              <w:t>Agosto</w:t>
            </w:r>
          </w:p>
        </w:tc>
      </w:tr>
      <w:tr w:rsidR="00C000AA" w:rsidRPr="000D4A53" w14:paraId="281B80A5" w14:textId="77777777" w:rsidTr="00217A34">
        <w:trPr>
          <w:trHeight w:val="716"/>
          <w:jc w:val="center"/>
        </w:trPr>
        <w:tc>
          <w:tcPr>
            <w:tcW w:w="6658" w:type="dxa"/>
          </w:tcPr>
          <w:p w14:paraId="43CB6EF8" w14:textId="5F22ADCC" w:rsidR="006F79EE" w:rsidRPr="000D4A53" w:rsidRDefault="006F79EE" w:rsidP="00985591">
            <w:pPr>
              <w:pStyle w:val="Prrafodelista"/>
              <w:spacing w:line="276" w:lineRule="auto"/>
              <w:ind w:left="720"/>
              <w:rPr>
                <w:rFonts w:ascii="Book Antiqua" w:eastAsia="Book Antiqua" w:hAnsi="Book Antiqua" w:cs="Book Antiqua"/>
                <w:color w:val="000000" w:themeColor="text1"/>
                <w:sz w:val="20"/>
                <w:szCs w:val="20"/>
              </w:rPr>
            </w:pPr>
          </w:p>
          <w:p w14:paraId="0F9637F2" w14:textId="77777777" w:rsidR="00020D94" w:rsidRPr="00664889" w:rsidRDefault="00020D94" w:rsidP="0073399F">
            <w:pPr>
              <w:pStyle w:val="Prrafodelista"/>
              <w:numPr>
                <w:ilvl w:val="0"/>
                <w:numId w:val="12"/>
              </w:numPr>
              <w:spacing w:line="276" w:lineRule="auto"/>
              <w:rPr>
                <w:rFonts w:ascii="Book Antiqua" w:hAnsi="Book Antiqua"/>
                <w:sz w:val="20"/>
                <w:szCs w:val="20"/>
              </w:rPr>
            </w:pPr>
            <w:r w:rsidRPr="0067099F">
              <w:rPr>
                <w:rFonts w:ascii="Book Antiqua" w:hAnsi="Book Antiqua"/>
                <w:color w:val="000000" w:themeColor="text1"/>
                <w:sz w:val="20"/>
                <w:szCs w:val="20"/>
              </w:rPr>
              <w:t xml:space="preserve">Juzgado Ejecución de La Pena de Pococí </w:t>
            </w:r>
          </w:p>
          <w:p w14:paraId="6A4304C9" w14:textId="00E94204" w:rsidR="006F79EE" w:rsidRPr="00361A6E" w:rsidRDefault="006F79EE" w:rsidP="00020D94">
            <w:pPr>
              <w:pStyle w:val="Prrafodelista"/>
              <w:spacing w:line="276" w:lineRule="auto"/>
              <w:ind w:left="720"/>
              <w:contextualSpacing/>
              <w:rPr>
                <w:rFonts w:ascii="Book Antiqua" w:hAnsi="Book Antiqua"/>
                <w:bCs/>
                <w:color w:val="000000" w:themeColor="text1"/>
                <w:sz w:val="20"/>
                <w:szCs w:val="20"/>
              </w:rPr>
            </w:pPr>
          </w:p>
        </w:tc>
      </w:tr>
      <w:tr w:rsidR="00C000AA" w:rsidRPr="000D4A53" w14:paraId="52EF1D0A" w14:textId="77777777" w:rsidTr="00217A34">
        <w:trPr>
          <w:trHeight w:val="204"/>
          <w:jc w:val="center"/>
        </w:trPr>
        <w:tc>
          <w:tcPr>
            <w:tcW w:w="6658" w:type="dxa"/>
            <w:shd w:val="clear" w:color="auto" w:fill="DEEAF6" w:themeFill="accent5" w:themeFillTint="33"/>
          </w:tcPr>
          <w:p w14:paraId="4222FA74" w14:textId="523D546E" w:rsidR="00C000AA" w:rsidRPr="00A461CE" w:rsidRDefault="00020D94" w:rsidP="00985591">
            <w:pPr>
              <w:spacing w:line="276" w:lineRule="auto"/>
              <w:jc w:val="center"/>
              <w:rPr>
                <w:rFonts w:ascii="Book Antiqua" w:hAnsi="Book Antiqua"/>
                <w:b/>
                <w:bCs/>
                <w:sz w:val="20"/>
                <w:szCs w:val="20"/>
              </w:rPr>
            </w:pPr>
            <w:r>
              <w:rPr>
                <w:rFonts w:ascii="Book Antiqua" w:hAnsi="Book Antiqua"/>
                <w:b/>
                <w:bCs/>
                <w:sz w:val="20"/>
                <w:szCs w:val="20"/>
              </w:rPr>
              <w:t>Setiembre</w:t>
            </w:r>
          </w:p>
        </w:tc>
      </w:tr>
      <w:tr w:rsidR="00C000AA" w:rsidRPr="000D4A53" w14:paraId="1AA82EB0" w14:textId="77777777" w:rsidTr="00217A34">
        <w:trPr>
          <w:trHeight w:val="447"/>
          <w:jc w:val="center"/>
        </w:trPr>
        <w:tc>
          <w:tcPr>
            <w:tcW w:w="6658" w:type="dxa"/>
          </w:tcPr>
          <w:p w14:paraId="6F8620F9" w14:textId="77777777" w:rsidR="00361A6E" w:rsidRPr="00361A6E" w:rsidRDefault="00361A6E" w:rsidP="00985591">
            <w:pPr>
              <w:pStyle w:val="Prrafodelista"/>
              <w:spacing w:line="276" w:lineRule="auto"/>
              <w:ind w:left="720"/>
              <w:rPr>
                <w:rFonts w:ascii="Book Antiqua" w:hAnsi="Book Antiqua"/>
                <w:sz w:val="20"/>
                <w:szCs w:val="20"/>
              </w:rPr>
            </w:pPr>
          </w:p>
          <w:p w14:paraId="1FF2B828" w14:textId="77777777" w:rsidR="00020D94" w:rsidRPr="00664889" w:rsidRDefault="00020D94" w:rsidP="0073399F">
            <w:pPr>
              <w:pStyle w:val="Prrafodelista"/>
              <w:numPr>
                <w:ilvl w:val="0"/>
                <w:numId w:val="12"/>
              </w:numPr>
              <w:spacing w:line="276" w:lineRule="auto"/>
              <w:rPr>
                <w:rFonts w:ascii="Book Antiqua" w:hAnsi="Book Antiqua"/>
                <w:sz w:val="20"/>
                <w:szCs w:val="20"/>
              </w:rPr>
            </w:pPr>
            <w:r w:rsidRPr="0067099F">
              <w:rPr>
                <w:rFonts w:ascii="Book Antiqua" w:hAnsi="Book Antiqua"/>
                <w:color w:val="000000" w:themeColor="text1"/>
                <w:sz w:val="20"/>
                <w:szCs w:val="20"/>
              </w:rPr>
              <w:t xml:space="preserve">Juzgado Ejecución de La Pena de Pococí </w:t>
            </w:r>
          </w:p>
          <w:p w14:paraId="0CAE6D6A" w14:textId="2D4FEF37" w:rsidR="00361A6E" w:rsidRPr="000D4A53" w:rsidRDefault="00361A6E" w:rsidP="00985591">
            <w:pPr>
              <w:pStyle w:val="Prrafodelista"/>
              <w:spacing w:line="276" w:lineRule="auto"/>
              <w:ind w:left="720"/>
              <w:rPr>
                <w:rFonts w:ascii="Book Antiqua" w:hAnsi="Book Antiqua"/>
                <w:sz w:val="20"/>
                <w:szCs w:val="20"/>
              </w:rPr>
            </w:pPr>
          </w:p>
        </w:tc>
      </w:tr>
    </w:tbl>
    <w:p w14:paraId="039F0A32" w14:textId="7353D3EB" w:rsidR="005178F6" w:rsidRDefault="005178F6" w:rsidP="00985591">
      <w:pPr>
        <w:spacing w:line="276" w:lineRule="auto"/>
        <w:jc w:val="both"/>
        <w:rPr>
          <w:rFonts w:ascii="Book Antiqua" w:hAnsi="Book Antiqua"/>
          <w:color w:val="000000" w:themeColor="text1"/>
        </w:rPr>
      </w:pPr>
    </w:p>
    <w:p w14:paraId="16C68DC4" w14:textId="390C0073" w:rsidR="00605CDF" w:rsidRPr="00BF2ABA" w:rsidRDefault="00655DCB" w:rsidP="00DC6554">
      <w:pPr>
        <w:pStyle w:val="Prrafodelista"/>
        <w:numPr>
          <w:ilvl w:val="1"/>
          <w:numId w:val="27"/>
        </w:numPr>
        <w:spacing w:line="276" w:lineRule="auto"/>
        <w:jc w:val="both"/>
        <w:rPr>
          <w:rFonts w:ascii="Book Antiqua" w:hAnsi="Book Antiqua"/>
          <w:color w:val="000000" w:themeColor="text1"/>
        </w:rPr>
      </w:pPr>
      <w:r w:rsidRPr="00BF2ABA">
        <w:rPr>
          <w:rFonts w:ascii="Book Antiqua" w:hAnsi="Book Antiqua"/>
          <w:color w:val="000000" w:themeColor="text1"/>
        </w:rPr>
        <w:t>Valorar r</w:t>
      </w:r>
      <w:r w:rsidR="00D95F12" w:rsidRPr="00BF2ABA">
        <w:rPr>
          <w:rFonts w:ascii="Book Antiqua" w:hAnsi="Book Antiqua"/>
          <w:color w:val="000000" w:themeColor="text1"/>
        </w:rPr>
        <w:t xml:space="preserve">evisar los datos indicados en este informe sobre las diferencias </w:t>
      </w:r>
      <w:r w:rsidRPr="00BF2ABA">
        <w:rPr>
          <w:rFonts w:ascii="Book Antiqua" w:hAnsi="Book Antiqua"/>
          <w:color w:val="000000" w:themeColor="text1"/>
        </w:rPr>
        <w:t xml:space="preserve">encontradas </w:t>
      </w:r>
      <w:r w:rsidR="00D95F12" w:rsidRPr="00BF2ABA">
        <w:rPr>
          <w:rFonts w:ascii="Book Antiqua" w:hAnsi="Book Antiqua"/>
          <w:color w:val="000000" w:themeColor="text1"/>
        </w:rPr>
        <w:t xml:space="preserve">entre la producción reportada en los </w:t>
      </w:r>
      <w:r w:rsidR="00E81F46">
        <w:rPr>
          <w:rFonts w:ascii="Book Antiqua" w:hAnsi="Book Antiqua"/>
          <w:color w:val="000000" w:themeColor="text1"/>
        </w:rPr>
        <w:t>indicadores</w:t>
      </w:r>
      <w:r w:rsidR="00D95F12" w:rsidRPr="00BF2ABA">
        <w:rPr>
          <w:rFonts w:ascii="Book Antiqua" w:hAnsi="Book Antiqua"/>
          <w:color w:val="000000" w:themeColor="text1"/>
        </w:rPr>
        <w:t xml:space="preserve"> de </w:t>
      </w:r>
      <w:r w:rsidR="00E81F46">
        <w:rPr>
          <w:rFonts w:ascii="Book Antiqua" w:hAnsi="Book Antiqua"/>
          <w:color w:val="000000" w:themeColor="text1"/>
        </w:rPr>
        <w:t>Gestión</w:t>
      </w:r>
      <w:r w:rsidR="00D95F12" w:rsidRPr="00BF2ABA">
        <w:rPr>
          <w:rFonts w:ascii="Book Antiqua" w:hAnsi="Book Antiqua"/>
          <w:color w:val="000000" w:themeColor="text1"/>
        </w:rPr>
        <w:t xml:space="preserve"> y los datos generados en Sigma para identificar los despachos que tienen mayor criticidad para su respectivo seguimiento</w:t>
      </w:r>
      <w:r w:rsidR="00605CDF" w:rsidRPr="00BF2ABA">
        <w:rPr>
          <w:rFonts w:ascii="Book Antiqua" w:hAnsi="Book Antiqua"/>
          <w:color w:val="000000" w:themeColor="text1"/>
        </w:rPr>
        <w:t>,</w:t>
      </w:r>
      <w:r w:rsidRPr="00BF2ABA">
        <w:rPr>
          <w:rFonts w:ascii="Book Antiqua" w:hAnsi="Book Antiqua"/>
          <w:color w:val="000000" w:themeColor="text1"/>
        </w:rPr>
        <w:t xml:space="preserve"> (dado que se visualiza incumplimiento en las circulares institucionales que obligan a mantener los sistemas actualizados)</w:t>
      </w:r>
      <w:r w:rsidR="00605CDF" w:rsidRPr="00BF2ABA">
        <w:rPr>
          <w:rFonts w:ascii="Book Antiqua" w:hAnsi="Book Antiqua"/>
          <w:color w:val="000000" w:themeColor="text1"/>
        </w:rPr>
        <w:t xml:space="preserve"> </w:t>
      </w:r>
      <w:r w:rsidR="00A55610" w:rsidRPr="00BF2ABA">
        <w:rPr>
          <w:rFonts w:ascii="Book Antiqua" w:hAnsi="Book Antiqua"/>
          <w:color w:val="000000" w:themeColor="text1"/>
        </w:rPr>
        <w:t>específicamente en los que tuvieron</w:t>
      </w:r>
      <w:r w:rsidR="00873100">
        <w:rPr>
          <w:rFonts w:ascii="Book Antiqua" w:hAnsi="Book Antiqua"/>
          <w:color w:val="000000" w:themeColor="text1"/>
        </w:rPr>
        <w:t xml:space="preserve"> del promedio de mayo a setiembre</w:t>
      </w:r>
      <w:r w:rsidR="00A55610" w:rsidRPr="00BF2ABA">
        <w:rPr>
          <w:rFonts w:ascii="Book Antiqua" w:hAnsi="Book Antiqua"/>
          <w:color w:val="000000" w:themeColor="text1"/>
        </w:rPr>
        <w:t xml:space="preserve"> una diferencia mayor a un 20% los cuales serían los siguientes:</w:t>
      </w:r>
    </w:p>
    <w:p w14:paraId="3CBA50B9" w14:textId="7E790780" w:rsidR="00A55610" w:rsidRDefault="00A55610" w:rsidP="00985591">
      <w:pPr>
        <w:pStyle w:val="Prrafodelista"/>
        <w:spacing w:line="276" w:lineRule="auto"/>
        <w:ind w:left="360"/>
        <w:jc w:val="both"/>
        <w:rPr>
          <w:rFonts w:ascii="Book Antiqua" w:hAnsi="Book Antiqua"/>
          <w:color w:val="000000" w:themeColor="text1"/>
        </w:rPr>
      </w:pPr>
    </w:p>
    <w:p w14:paraId="1A63A898" w14:textId="595E6B9D" w:rsidR="00873100" w:rsidRPr="00873100" w:rsidRDefault="00873100" w:rsidP="0073399F">
      <w:pPr>
        <w:pStyle w:val="Prrafodelista"/>
        <w:numPr>
          <w:ilvl w:val="1"/>
          <w:numId w:val="9"/>
        </w:numPr>
        <w:spacing w:line="276" w:lineRule="auto"/>
        <w:jc w:val="both"/>
        <w:rPr>
          <w:rFonts w:ascii="Book Antiqua" w:hAnsi="Book Antiqua"/>
          <w:color w:val="000000" w:themeColor="text1"/>
        </w:rPr>
      </w:pPr>
      <w:r>
        <w:rPr>
          <w:rFonts w:ascii="Book Antiqua" w:hAnsi="Book Antiqua"/>
          <w:color w:val="000000" w:themeColor="text1"/>
        </w:rPr>
        <w:t>Tribunal Penal de Limón, -39%</w:t>
      </w:r>
    </w:p>
    <w:p w14:paraId="0421B0A4" w14:textId="5CFE1475" w:rsidR="00A55610" w:rsidRDefault="00A55610" w:rsidP="0073399F">
      <w:pPr>
        <w:pStyle w:val="Prrafodelista"/>
        <w:numPr>
          <w:ilvl w:val="1"/>
          <w:numId w:val="9"/>
        </w:numPr>
        <w:spacing w:line="276" w:lineRule="auto"/>
        <w:jc w:val="both"/>
        <w:rPr>
          <w:rFonts w:ascii="Book Antiqua" w:hAnsi="Book Antiqua"/>
          <w:color w:val="000000" w:themeColor="text1"/>
        </w:rPr>
      </w:pPr>
      <w:r>
        <w:rPr>
          <w:rFonts w:ascii="Book Antiqua" w:hAnsi="Book Antiqua"/>
          <w:color w:val="000000" w:themeColor="text1"/>
        </w:rPr>
        <w:t xml:space="preserve">Tribunal Penal de </w:t>
      </w:r>
      <w:r w:rsidR="00873100">
        <w:rPr>
          <w:rFonts w:ascii="Book Antiqua" w:hAnsi="Book Antiqua"/>
          <w:color w:val="000000" w:themeColor="text1"/>
        </w:rPr>
        <w:t>Pavas</w:t>
      </w:r>
      <w:r>
        <w:rPr>
          <w:rFonts w:ascii="Book Antiqua" w:hAnsi="Book Antiqua"/>
          <w:color w:val="000000" w:themeColor="text1"/>
        </w:rPr>
        <w:t xml:space="preserve">, </w:t>
      </w:r>
      <w:r w:rsidR="00E81F46">
        <w:rPr>
          <w:rFonts w:ascii="Book Antiqua" w:hAnsi="Book Antiqua"/>
          <w:color w:val="000000" w:themeColor="text1"/>
        </w:rPr>
        <w:t>-</w:t>
      </w:r>
      <w:r w:rsidR="00873100">
        <w:rPr>
          <w:rFonts w:ascii="Book Antiqua" w:hAnsi="Book Antiqua"/>
          <w:color w:val="000000" w:themeColor="text1"/>
        </w:rPr>
        <w:t>34</w:t>
      </w:r>
      <w:r>
        <w:rPr>
          <w:rFonts w:ascii="Book Antiqua" w:hAnsi="Book Antiqua"/>
          <w:color w:val="000000" w:themeColor="text1"/>
        </w:rPr>
        <w:t>%</w:t>
      </w:r>
    </w:p>
    <w:p w14:paraId="388A4E67" w14:textId="718FC257" w:rsidR="00A55610" w:rsidRDefault="00E81F46" w:rsidP="0073399F">
      <w:pPr>
        <w:pStyle w:val="Prrafodelista"/>
        <w:numPr>
          <w:ilvl w:val="1"/>
          <w:numId w:val="9"/>
        </w:numPr>
        <w:spacing w:line="276" w:lineRule="auto"/>
        <w:jc w:val="both"/>
        <w:rPr>
          <w:rFonts w:ascii="Book Antiqua" w:hAnsi="Book Antiqua"/>
          <w:color w:val="000000" w:themeColor="text1"/>
        </w:rPr>
      </w:pPr>
      <w:r>
        <w:rPr>
          <w:rFonts w:ascii="Book Antiqua" w:hAnsi="Book Antiqua"/>
          <w:color w:val="000000" w:themeColor="text1"/>
        </w:rPr>
        <w:t xml:space="preserve">Tribunal Penal de </w:t>
      </w:r>
      <w:r w:rsidR="00873100">
        <w:rPr>
          <w:rFonts w:ascii="Book Antiqua" w:hAnsi="Book Antiqua"/>
          <w:color w:val="000000" w:themeColor="text1"/>
        </w:rPr>
        <w:t>Liberia</w:t>
      </w:r>
      <w:r w:rsidR="00A55610">
        <w:rPr>
          <w:rFonts w:ascii="Book Antiqua" w:hAnsi="Book Antiqua"/>
          <w:color w:val="000000" w:themeColor="text1"/>
        </w:rPr>
        <w:t xml:space="preserve">, </w:t>
      </w:r>
      <w:r>
        <w:rPr>
          <w:rFonts w:ascii="Book Antiqua" w:hAnsi="Book Antiqua"/>
          <w:color w:val="000000" w:themeColor="text1"/>
        </w:rPr>
        <w:t>-33</w:t>
      </w:r>
      <w:r w:rsidR="00A55610">
        <w:rPr>
          <w:rFonts w:ascii="Book Antiqua" w:hAnsi="Book Antiqua"/>
          <w:color w:val="000000" w:themeColor="text1"/>
        </w:rPr>
        <w:t>%</w:t>
      </w:r>
    </w:p>
    <w:p w14:paraId="71F5CFE2" w14:textId="43801ED5" w:rsidR="00D95F12" w:rsidRPr="00655DCB" w:rsidRDefault="00D95F12" w:rsidP="00985591">
      <w:pPr>
        <w:pStyle w:val="Prrafodelista"/>
        <w:spacing w:line="276" w:lineRule="auto"/>
        <w:ind w:left="360"/>
        <w:jc w:val="both"/>
        <w:rPr>
          <w:rFonts w:ascii="Book Antiqua" w:hAnsi="Book Antiqua"/>
          <w:color w:val="000000" w:themeColor="text1"/>
        </w:rPr>
      </w:pPr>
      <w:r w:rsidRPr="00655DCB">
        <w:rPr>
          <w:rFonts w:ascii="Book Antiqua" w:hAnsi="Book Antiqua"/>
          <w:color w:val="000000" w:themeColor="text1"/>
        </w:rPr>
        <w:t>.</w:t>
      </w:r>
      <w:r w:rsidR="00D8313E" w:rsidRPr="00655DCB">
        <w:rPr>
          <w:rFonts w:ascii="Book Antiqua" w:hAnsi="Book Antiqua"/>
          <w:color w:val="000000" w:themeColor="text1"/>
        </w:rPr>
        <w:t xml:space="preserve"> </w:t>
      </w:r>
    </w:p>
    <w:p w14:paraId="15905FBF" w14:textId="522F52AD" w:rsidR="00D8313E" w:rsidRPr="00B228BB" w:rsidRDefault="00655DCB" w:rsidP="00DC6554">
      <w:pPr>
        <w:pStyle w:val="Prrafodelista"/>
        <w:numPr>
          <w:ilvl w:val="0"/>
          <w:numId w:val="27"/>
        </w:numPr>
        <w:spacing w:line="276" w:lineRule="auto"/>
        <w:jc w:val="both"/>
        <w:rPr>
          <w:rFonts w:ascii="Book Antiqua" w:hAnsi="Book Antiqua"/>
          <w:color w:val="000000" w:themeColor="text1"/>
        </w:rPr>
      </w:pPr>
      <w:r w:rsidRPr="001C58B2">
        <w:rPr>
          <w:rFonts w:ascii="Book Antiqua" w:hAnsi="Book Antiqua"/>
          <w:color w:val="000000" w:themeColor="text1"/>
        </w:rPr>
        <w:t>Valorar r</w:t>
      </w:r>
      <w:r w:rsidR="003F4FE7" w:rsidRPr="001C58B2">
        <w:rPr>
          <w:rFonts w:ascii="Book Antiqua" w:hAnsi="Book Antiqua"/>
          <w:color w:val="000000" w:themeColor="text1"/>
        </w:rPr>
        <w:t xml:space="preserve">evisar los despachos en los cuales tengan señalamientos </w:t>
      </w:r>
      <w:r w:rsidRPr="001C58B2">
        <w:rPr>
          <w:rFonts w:ascii="Book Antiqua" w:hAnsi="Book Antiqua"/>
          <w:color w:val="000000" w:themeColor="text1"/>
        </w:rPr>
        <w:t>p</w:t>
      </w:r>
      <w:r w:rsidR="003F4FE7" w:rsidRPr="001C58B2">
        <w:rPr>
          <w:rFonts w:ascii="Book Antiqua" w:hAnsi="Book Antiqua"/>
          <w:color w:val="000000" w:themeColor="text1"/>
        </w:rPr>
        <w:t xml:space="preserve">endientes en la Agenda Cronos al finalizar el mes de </w:t>
      </w:r>
      <w:r w:rsidR="00873100">
        <w:rPr>
          <w:rFonts w:ascii="Book Antiqua" w:hAnsi="Book Antiqua"/>
          <w:color w:val="000000" w:themeColor="text1"/>
        </w:rPr>
        <w:t>setiembre</w:t>
      </w:r>
      <w:r w:rsidR="003F4FE7" w:rsidRPr="001C58B2">
        <w:rPr>
          <w:rFonts w:ascii="Book Antiqua" w:hAnsi="Book Antiqua"/>
          <w:color w:val="000000" w:themeColor="text1"/>
        </w:rPr>
        <w:t>, debido a que no debería haber ninguno porque todos deben tener un resultado de señalamiento: realizado o no realizado.</w:t>
      </w:r>
    </w:p>
    <w:bookmarkEnd w:id="35"/>
    <w:p w14:paraId="3A96C681" w14:textId="45163CF5" w:rsidR="00F26B0D" w:rsidRDefault="00F26B0D" w:rsidP="00985591">
      <w:pPr>
        <w:spacing w:line="276" w:lineRule="auto"/>
        <w:rPr>
          <w:rFonts w:ascii="Book Antiqua" w:hAnsi="Book Antiqua"/>
          <w:color w:val="000000" w:themeColor="text1"/>
        </w:rPr>
      </w:pPr>
    </w:p>
    <w:p w14:paraId="012D5042" w14:textId="1264F8E6" w:rsidR="003118D4" w:rsidRDefault="003118D4">
      <w:pPr>
        <w:rPr>
          <w:rFonts w:ascii="Book Antiqua" w:hAnsi="Book Antiqua"/>
          <w:color w:val="000000" w:themeColor="text1"/>
        </w:rPr>
      </w:pPr>
      <w:r>
        <w:rPr>
          <w:rFonts w:ascii="Book Antiqua" w:hAnsi="Book Antiqua"/>
          <w:color w:val="000000" w:themeColor="text1"/>
        </w:rPr>
        <w:br w:type="page"/>
      </w:r>
    </w:p>
    <w:p w14:paraId="46AD5BE8" w14:textId="77777777" w:rsidR="00731240" w:rsidRDefault="00731240" w:rsidP="00985591">
      <w:pPr>
        <w:spacing w:line="276" w:lineRule="auto"/>
        <w:rPr>
          <w:rFonts w:ascii="Book Antiqua" w:hAnsi="Book Antiqua"/>
          <w:color w:val="000000" w:themeColor="text1"/>
        </w:rPr>
      </w:pPr>
    </w:p>
    <w:p w14:paraId="488C3538" w14:textId="77777777" w:rsidR="00731240" w:rsidRPr="004A1FF0" w:rsidRDefault="00731240" w:rsidP="00450EF3">
      <w:pPr>
        <w:suppressAutoHyphens/>
        <w:jc w:val="center"/>
        <w:rPr>
          <w:rFonts w:ascii="Book Antiqua" w:hAnsi="Book Antiqua" w:cs="Book Antiqua"/>
          <w:lang w:val="es-ES" w:eastAsia="ar-SA"/>
        </w:rPr>
      </w:pPr>
      <w:r w:rsidRPr="004A1FF0">
        <w:rPr>
          <w:rFonts w:ascii="Book Antiqua" w:hAnsi="Book Antiqua" w:cs="Book Antiqua"/>
          <w:i/>
          <w:iCs/>
          <w:lang w:val="es-ES" w:eastAsia="ar-SA"/>
        </w:rPr>
        <w:t>Este informe cuenta con las revisiones y ajustes correspondientes de las jefaturas indicadas</w:t>
      </w:r>
      <w:r w:rsidRPr="004A1FF0">
        <w:rPr>
          <w:rFonts w:ascii="Book Antiqua" w:hAnsi="Book Antiqua" w:cs="Book Antiqua"/>
          <w:lang w:val="es-ES" w:eastAsia="ar-SA"/>
        </w:rPr>
        <w:t>.</w:t>
      </w:r>
    </w:p>
    <w:p w14:paraId="5EF06CD6" w14:textId="53B0DC94" w:rsidR="00731240" w:rsidRDefault="00731240" w:rsidP="00985591">
      <w:pPr>
        <w:spacing w:line="276" w:lineRule="auto"/>
        <w:rPr>
          <w:rFonts w:ascii="Book Antiqua" w:hAnsi="Book Antiqua"/>
          <w:color w:val="000000" w:themeColor="text1"/>
        </w:rPr>
      </w:pPr>
    </w:p>
    <w:p w14:paraId="430AF5DA" w14:textId="77777777" w:rsidR="00731240" w:rsidRDefault="00731240" w:rsidP="00985591">
      <w:pPr>
        <w:spacing w:line="276" w:lineRule="auto"/>
        <w:rPr>
          <w:rFonts w:ascii="Book Antiqua" w:hAnsi="Book Antiqua"/>
          <w:color w:val="000000" w:themeColor="text1"/>
        </w:rPr>
      </w:pPr>
    </w:p>
    <w:tbl>
      <w:tblPr>
        <w:tblW w:w="546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4"/>
        <w:gridCol w:w="4411"/>
        <w:gridCol w:w="3686"/>
      </w:tblGrid>
      <w:tr w:rsidR="00731240" w:rsidRPr="00731240" w14:paraId="2C92AE6F" w14:textId="77777777" w:rsidTr="00450EF3">
        <w:trPr>
          <w:trHeight w:val="332"/>
          <w:jc w:val="center"/>
        </w:trPr>
        <w:tc>
          <w:tcPr>
            <w:tcW w:w="976" w:type="pct"/>
            <w:tcBorders>
              <w:top w:val="single" w:sz="4" w:space="0" w:color="FFFFFF"/>
              <w:left w:val="single" w:sz="4" w:space="0" w:color="FFFFFF"/>
            </w:tcBorders>
          </w:tcPr>
          <w:p w14:paraId="21DDE09C" w14:textId="77777777" w:rsidR="00731240" w:rsidRPr="00731240" w:rsidRDefault="00731240" w:rsidP="00243F14">
            <w:pPr>
              <w:widowControl w:val="0"/>
              <w:autoSpaceDE w:val="0"/>
              <w:autoSpaceDN w:val="0"/>
              <w:adjustRightInd w:val="0"/>
              <w:spacing w:line="276" w:lineRule="auto"/>
              <w:rPr>
                <w:rFonts w:ascii="Book Antiqua" w:hAnsi="Book Antiqua" w:cs="Arial"/>
                <w:b/>
                <w:lang w:val="es-ES"/>
              </w:rPr>
            </w:pPr>
          </w:p>
        </w:tc>
        <w:tc>
          <w:tcPr>
            <w:tcW w:w="2192" w:type="pct"/>
            <w:shd w:val="clear" w:color="auto" w:fill="2F5496" w:themeFill="accent1" w:themeFillShade="BF"/>
            <w:vAlign w:val="center"/>
          </w:tcPr>
          <w:p w14:paraId="57FE7B31" w14:textId="77777777" w:rsidR="00731240" w:rsidRPr="00731240" w:rsidRDefault="00731240" w:rsidP="00243F14">
            <w:pPr>
              <w:widowControl w:val="0"/>
              <w:autoSpaceDE w:val="0"/>
              <w:autoSpaceDN w:val="0"/>
              <w:adjustRightInd w:val="0"/>
              <w:spacing w:line="276" w:lineRule="auto"/>
              <w:jc w:val="center"/>
              <w:rPr>
                <w:rFonts w:ascii="Book Antiqua" w:hAnsi="Book Antiqua" w:cs="Arial"/>
                <w:b/>
                <w:color w:val="FFFFFF"/>
                <w:lang w:val="es-ES"/>
              </w:rPr>
            </w:pPr>
            <w:r w:rsidRPr="00731240">
              <w:rPr>
                <w:rFonts w:ascii="Book Antiqua" w:hAnsi="Book Antiqua" w:cs="Arial"/>
                <w:b/>
                <w:color w:val="FFFFFF"/>
                <w:lang w:val="es-ES"/>
              </w:rPr>
              <w:t>NOMBRE</w:t>
            </w:r>
          </w:p>
        </w:tc>
        <w:tc>
          <w:tcPr>
            <w:tcW w:w="1832" w:type="pct"/>
            <w:shd w:val="clear" w:color="auto" w:fill="2F5496" w:themeFill="accent1" w:themeFillShade="BF"/>
            <w:vAlign w:val="center"/>
          </w:tcPr>
          <w:p w14:paraId="58C8DB52" w14:textId="77777777" w:rsidR="00731240" w:rsidRPr="00731240" w:rsidRDefault="00731240" w:rsidP="00243F14">
            <w:pPr>
              <w:widowControl w:val="0"/>
              <w:autoSpaceDE w:val="0"/>
              <w:autoSpaceDN w:val="0"/>
              <w:adjustRightInd w:val="0"/>
              <w:spacing w:line="276" w:lineRule="auto"/>
              <w:jc w:val="center"/>
              <w:rPr>
                <w:rFonts w:ascii="Book Antiqua" w:hAnsi="Book Antiqua" w:cs="Arial"/>
                <w:b/>
                <w:color w:val="FFFFFF"/>
                <w:lang w:val="es-ES"/>
              </w:rPr>
            </w:pPr>
            <w:r w:rsidRPr="00731240">
              <w:rPr>
                <w:rFonts w:ascii="Book Antiqua" w:hAnsi="Book Antiqua" w:cs="Arial"/>
                <w:b/>
                <w:color w:val="FFFFFF"/>
                <w:lang w:val="es-ES"/>
              </w:rPr>
              <w:t>Puesto</w:t>
            </w:r>
          </w:p>
        </w:tc>
      </w:tr>
      <w:tr w:rsidR="00731240" w:rsidRPr="00731240" w14:paraId="5068ED4B" w14:textId="77777777" w:rsidTr="00450EF3">
        <w:trPr>
          <w:trHeight w:val="632"/>
          <w:jc w:val="center"/>
        </w:trPr>
        <w:tc>
          <w:tcPr>
            <w:tcW w:w="976" w:type="pct"/>
            <w:shd w:val="clear" w:color="auto" w:fill="F2F2F2"/>
            <w:vAlign w:val="center"/>
          </w:tcPr>
          <w:p w14:paraId="123AA368" w14:textId="77777777" w:rsidR="00731240" w:rsidRPr="00731240" w:rsidRDefault="00731240" w:rsidP="00243F14">
            <w:pPr>
              <w:widowControl w:val="0"/>
              <w:autoSpaceDE w:val="0"/>
              <w:autoSpaceDN w:val="0"/>
              <w:adjustRightInd w:val="0"/>
              <w:spacing w:line="276" w:lineRule="auto"/>
              <w:jc w:val="center"/>
              <w:rPr>
                <w:rFonts w:ascii="Book Antiqua" w:hAnsi="Book Antiqua" w:cs="Arial"/>
                <w:b/>
                <w:color w:val="000000"/>
                <w:lang w:val="es-ES" w:eastAsia="es-CR"/>
              </w:rPr>
            </w:pPr>
            <w:r w:rsidRPr="00731240">
              <w:rPr>
                <w:rFonts w:ascii="Book Antiqua" w:hAnsi="Book Antiqua" w:cs="Arial"/>
                <w:b/>
                <w:color w:val="000000"/>
                <w:lang w:val="es-ES" w:eastAsia="es-CR"/>
              </w:rPr>
              <w:t>Elaborado por</w:t>
            </w:r>
          </w:p>
        </w:tc>
        <w:tc>
          <w:tcPr>
            <w:tcW w:w="2192" w:type="pct"/>
            <w:vAlign w:val="center"/>
          </w:tcPr>
          <w:p w14:paraId="440438D3" w14:textId="77777777" w:rsidR="00450EF3" w:rsidRDefault="00450EF3" w:rsidP="00243F14">
            <w:pPr>
              <w:widowControl w:val="0"/>
              <w:autoSpaceDE w:val="0"/>
              <w:autoSpaceDN w:val="0"/>
              <w:adjustRightInd w:val="0"/>
              <w:spacing w:line="276" w:lineRule="auto"/>
              <w:rPr>
                <w:rFonts w:ascii="Book Antiqua" w:hAnsi="Book Antiqua" w:cs="Arial"/>
                <w:lang w:val="es-ES"/>
              </w:rPr>
            </w:pPr>
          </w:p>
          <w:p w14:paraId="2FB6C5C1" w14:textId="15ED19D2" w:rsidR="00731240" w:rsidRDefault="00731240" w:rsidP="00243F14">
            <w:pPr>
              <w:widowControl w:val="0"/>
              <w:autoSpaceDE w:val="0"/>
              <w:autoSpaceDN w:val="0"/>
              <w:adjustRightInd w:val="0"/>
              <w:spacing w:line="276" w:lineRule="auto"/>
              <w:rPr>
                <w:rFonts w:ascii="Book Antiqua" w:hAnsi="Book Antiqua" w:cs="Arial"/>
                <w:lang w:val="es-ES"/>
              </w:rPr>
            </w:pPr>
            <w:r w:rsidRPr="00731240">
              <w:rPr>
                <w:rFonts w:ascii="Book Antiqua" w:hAnsi="Book Antiqua" w:cs="Arial"/>
                <w:lang w:val="es-ES"/>
              </w:rPr>
              <w:t>Licda. María Gómez Rodríguez</w:t>
            </w:r>
          </w:p>
          <w:p w14:paraId="2F36AF54" w14:textId="6F58972D" w:rsidR="00731240" w:rsidRDefault="00731240" w:rsidP="00243F14">
            <w:pPr>
              <w:widowControl w:val="0"/>
              <w:autoSpaceDE w:val="0"/>
              <w:autoSpaceDN w:val="0"/>
              <w:adjustRightInd w:val="0"/>
              <w:spacing w:line="276" w:lineRule="auto"/>
              <w:rPr>
                <w:rFonts w:ascii="Book Antiqua" w:hAnsi="Book Antiqua" w:cs="Arial"/>
                <w:lang w:val="es-ES"/>
              </w:rPr>
            </w:pPr>
            <w:r>
              <w:rPr>
                <w:rFonts w:ascii="Book Antiqua" w:hAnsi="Book Antiqua" w:cs="Arial"/>
                <w:lang w:val="es-ES"/>
              </w:rPr>
              <w:t>Licda. Leda Arias</w:t>
            </w:r>
            <w:r w:rsidR="00217A34">
              <w:rPr>
                <w:rFonts w:ascii="Book Antiqua" w:hAnsi="Book Antiqua" w:cs="Arial"/>
                <w:lang w:val="es-ES"/>
              </w:rPr>
              <w:t xml:space="preserve"> Jiménez</w:t>
            </w:r>
          </w:p>
          <w:p w14:paraId="34AC8279" w14:textId="0C4469CA" w:rsidR="00450EF3" w:rsidRDefault="00450EF3" w:rsidP="00243F14">
            <w:pPr>
              <w:widowControl w:val="0"/>
              <w:autoSpaceDE w:val="0"/>
              <w:autoSpaceDN w:val="0"/>
              <w:adjustRightInd w:val="0"/>
              <w:spacing w:line="276" w:lineRule="auto"/>
              <w:rPr>
                <w:rFonts w:ascii="Book Antiqua" w:hAnsi="Book Antiqua" w:cs="Arial"/>
                <w:lang w:val="es-ES"/>
              </w:rPr>
            </w:pPr>
            <w:r>
              <w:rPr>
                <w:rFonts w:ascii="Book Antiqua" w:hAnsi="Book Antiqua" w:cs="Arial"/>
                <w:lang w:val="es-ES"/>
              </w:rPr>
              <w:t xml:space="preserve">Licda. </w:t>
            </w:r>
            <w:r w:rsidRPr="00450EF3">
              <w:rPr>
                <w:rFonts w:ascii="Book Antiqua" w:hAnsi="Book Antiqua" w:cs="Arial"/>
                <w:lang w:val="es-ES"/>
              </w:rPr>
              <w:t>Arlene Ruiz</w:t>
            </w:r>
            <w:r>
              <w:rPr>
                <w:rFonts w:ascii="Book Antiqua" w:hAnsi="Book Antiqua" w:cs="Arial"/>
                <w:lang w:val="es-ES"/>
              </w:rPr>
              <w:t xml:space="preserve"> Barrantes</w:t>
            </w:r>
          </w:p>
          <w:p w14:paraId="147696DB" w14:textId="379B22F4" w:rsidR="00217A34" w:rsidRDefault="00217A34" w:rsidP="00243F14">
            <w:pPr>
              <w:widowControl w:val="0"/>
              <w:autoSpaceDE w:val="0"/>
              <w:autoSpaceDN w:val="0"/>
              <w:adjustRightInd w:val="0"/>
              <w:spacing w:line="276" w:lineRule="auto"/>
              <w:rPr>
                <w:rFonts w:ascii="Book Antiqua" w:hAnsi="Book Antiqua" w:cs="Arial"/>
                <w:lang w:val="es-ES"/>
              </w:rPr>
            </w:pPr>
            <w:r>
              <w:rPr>
                <w:rFonts w:ascii="Book Antiqua" w:hAnsi="Book Antiqua" w:cs="Arial"/>
                <w:lang w:val="es-ES"/>
              </w:rPr>
              <w:t>Licda. Joselyn Hernández Gutiérrez</w:t>
            </w:r>
          </w:p>
          <w:p w14:paraId="5598C9CC" w14:textId="620FDF0E" w:rsidR="00450EF3" w:rsidRDefault="00450EF3" w:rsidP="00243F14">
            <w:pPr>
              <w:widowControl w:val="0"/>
              <w:autoSpaceDE w:val="0"/>
              <w:autoSpaceDN w:val="0"/>
              <w:adjustRightInd w:val="0"/>
              <w:spacing w:line="276" w:lineRule="auto"/>
              <w:rPr>
                <w:rFonts w:ascii="Book Antiqua" w:hAnsi="Book Antiqua" w:cs="Arial"/>
                <w:lang w:val="es-ES"/>
              </w:rPr>
            </w:pPr>
            <w:r>
              <w:rPr>
                <w:rFonts w:ascii="Book Antiqua" w:hAnsi="Book Antiqua" w:cs="Arial"/>
                <w:lang w:val="es-ES"/>
              </w:rPr>
              <w:t>Licda. Victoria Martínez Castillo</w:t>
            </w:r>
          </w:p>
          <w:p w14:paraId="59CBA0CE" w14:textId="42CA3B64" w:rsidR="00450EF3" w:rsidRDefault="00450EF3" w:rsidP="00243F14">
            <w:pPr>
              <w:widowControl w:val="0"/>
              <w:autoSpaceDE w:val="0"/>
              <w:autoSpaceDN w:val="0"/>
              <w:adjustRightInd w:val="0"/>
              <w:spacing w:line="276" w:lineRule="auto"/>
              <w:rPr>
                <w:rFonts w:ascii="Book Antiqua" w:hAnsi="Book Antiqua" w:cs="Arial"/>
                <w:lang w:val="es-ES"/>
              </w:rPr>
            </w:pPr>
            <w:r>
              <w:rPr>
                <w:rFonts w:ascii="Book Antiqua" w:hAnsi="Book Antiqua" w:cs="Arial"/>
                <w:lang w:val="es-ES"/>
              </w:rPr>
              <w:t xml:space="preserve">Lic. </w:t>
            </w:r>
            <w:r w:rsidRPr="00450EF3">
              <w:rPr>
                <w:rFonts w:ascii="Book Antiqua" w:hAnsi="Book Antiqua" w:cs="Arial"/>
                <w:lang w:val="es-ES"/>
              </w:rPr>
              <w:t>Bryan Zumbado Loaiciga</w:t>
            </w:r>
          </w:p>
          <w:p w14:paraId="6E9B8068" w14:textId="417B3896" w:rsidR="00217A34" w:rsidRPr="00731240" w:rsidRDefault="00217A34" w:rsidP="00243F14">
            <w:pPr>
              <w:widowControl w:val="0"/>
              <w:autoSpaceDE w:val="0"/>
              <w:autoSpaceDN w:val="0"/>
              <w:adjustRightInd w:val="0"/>
              <w:spacing w:line="276" w:lineRule="auto"/>
              <w:rPr>
                <w:rFonts w:ascii="Book Antiqua" w:hAnsi="Book Antiqua" w:cs="Arial"/>
                <w:lang w:val="es-ES"/>
              </w:rPr>
            </w:pPr>
          </w:p>
        </w:tc>
        <w:tc>
          <w:tcPr>
            <w:tcW w:w="1832" w:type="pct"/>
            <w:vAlign w:val="center"/>
          </w:tcPr>
          <w:p w14:paraId="5E99F563" w14:textId="33615D34" w:rsidR="00731240" w:rsidRPr="00731240" w:rsidRDefault="00731240" w:rsidP="00243F14">
            <w:pPr>
              <w:widowControl w:val="0"/>
              <w:autoSpaceDE w:val="0"/>
              <w:autoSpaceDN w:val="0"/>
              <w:adjustRightInd w:val="0"/>
              <w:spacing w:line="276" w:lineRule="auto"/>
              <w:rPr>
                <w:rFonts w:ascii="Book Antiqua" w:hAnsi="Book Antiqua" w:cs="Arial"/>
                <w:lang w:val="es-ES"/>
              </w:rPr>
            </w:pPr>
            <w:r w:rsidRPr="00731240">
              <w:rPr>
                <w:rFonts w:ascii="Book Antiqua" w:hAnsi="Book Antiqua" w:cs="Arial"/>
                <w:lang w:val="es-ES"/>
              </w:rPr>
              <w:t>Profesionales 2.</w:t>
            </w:r>
          </w:p>
          <w:p w14:paraId="5367CE79" w14:textId="77777777" w:rsidR="00731240" w:rsidRPr="00731240" w:rsidRDefault="00731240" w:rsidP="00243F14">
            <w:pPr>
              <w:widowControl w:val="0"/>
              <w:autoSpaceDE w:val="0"/>
              <w:autoSpaceDN w:val="0"/>
              <w:adjustRightInd w:val="0"/>
              <w:spacing w:line="276" w:lineRule="auto"/>
              <w:rPr>
                <w:rFonts w:ascii="Book Antiqua" w:hAnsi="Book Antiqua" w:cs="Arial"/>
                <w:lang w:val="es-ES"/>
              </w:rPr>
            </w:pPr>
          </w:p>
        </w:tc>
      </w:tr>
      <w:tr w:rsidR="00731240" w:rsidRPr="00731240" w14:paraId="32656ABE" w14:textId="77777777" w:rsidTr="00450EF3">
        <w:trPr>
          <w:trHeight w:val="632"/>
          <w:jc w:val="center"/>
        </w:trPr>
        <w:tc>
          <w:tcPr>
            <w:tcW w:w="976" w:type="pct"/>
            <w:shd w:val="clear" w:color="auto" w:fill="F2F2F2"/>
            <w:vAlign w:val="center"/>
          </w:tcPr>
          <w:p w14:paraId="64644151" w14:textId="77777777" w:rsidR="00731240" w:rsidRPr="00731240" w:rsidRDefault="00731240" w:rsidP="00243F14">
            <w:pPr>
              <w:widowControl w:val="0"/>
              <w:autoSpaceDE w:val="0"/>
              <w:autoSpaceDN w:val="0"/>
              <w:adjustRightInd w:val="0"/>
              <w:spacing w:line="276" w:lineRule="auto"/>
              <w:jc w:val="center"/>
              <w:rPr>
                <w:rFonts w:ascii="Book Antiqua" w:hAnsi="Book Antiqua" w:cs="Arial"/>
                <w:b/>
                <w:color w:val="000000"/>
                <w:lang w:val="es-ES" w:eastAsia="es-CR"/>
              </w:rPr>
            </w:pPr>
            <w:r w:rsidRPr="00731240">
              <w:rPr>
                <w:rFonts w:ascii="Book Antiqua" w:hAnsi="Book Antiqua" w:cs="Arial"/>
                <w:b/>
                <w:color w:val="000000"/>
                <w:lang w:val="es-ES" w:eastAsia="es-CR"/>
              </w:rPr>
              <w:t>Revisado por:</w:t>
            </w:r>
          </w:p>
        </w:tc>
        <w:tc>
          <w:tcPr>
            <w:tcW w:w="2192" w:type="pct"/>
            <w:vAlign w:val="center"/>
          </w:tcPr>
          <w:p w14:paraId="752AAFEB" w14:textId="23677BB6" w:rsidR="00731240" w:rsidRPr="00731240" w:rsidRDefault="00731240" w:rsidP="00243F14">
            <w:pPr>
              <w:widowControl w:val="0"/>
              <w:autoSpaceDE w:val="0"/>
              <w:autoSpaceDN w:val="0"/>
              <w:adjustRightInd w:val="0"/>
              <w:spacing w:line="276" w:lineRule="auto"/>
              <w:rPr>
                <w:rFonts w:ascii="Book Antiqua" w:hAnsi="Book Antiqua" w:cs="Arial"/>
                <w:lang w:val="es-ES"/>
              </w:rPr>
            </w:pPr>
            <w:r w:rsidRPr="00731240">
              <w:rPr>
                <w:rFonts w:ascii="Book Antiqua" w:hAnsi="Book Antiqua" w:cs="Arial"/>
                <w:color w:val="000000"/>
                <w:lang w:val="es-ES" w:eastAsia="es-CR"/>
              </w:rPr>
              <w:t>Ing. Jorge Fernando Rodríguez Salazar</w:t>
            </w:r>
          </w:p>
        </w:tc>
        <w:tc>
          <w:tcPr>
            <w:tcW w:w="1832" w:type="pct"/>
            <w:vAlign w:val="center"/>
          </w:tcPr>
          <w:p w14:paraId="01ABAF01" w14:textId="015DDEFB" w:rsidR="00731240" w:rsidRPr="00731240" w:rsidRDefault="00731240" w:rsidP="00243F14">
            <w:pPr>
              <w:widowControl w:val="0"/>
              <w:autoSpaceDE w:val="0"/>
              <w:autoSpaceDN w:val="0"/>
              <w:adjustRightInd w:val="0"/>
              <w:spacing w:line="276" w:lineRule="auto"/>
              <w:rPr>
                <w:rFonts w:ascii="Book Antiqua" w:hAnsi="Book Antiqua" w:cs="Arial"/>
                <w:lang w:val="es-ES"/>
              </w:rPr>
            </w:pPr>
            <w:r w:rsidRPr="00731240">
              <w:rPr>
                <w:rFonts w:ascii="Book Antiqua" w:hAnsi="Book Antiqua" w:cs="Arial"/>
                <w:color w:val="000000"/>
                <w:lang w:val="es-ES" w:eastAsia="es-CR"/>
              </w:rPr>
              <w:t>Jefe a.i.  Subproceso de Modernización Institucional</w:t>
            </w:r>
          </w:p>
        </w:tc>
      </w:tr>
      <w:tr w:rsidR="00731240" w:rsidRPr="00731240" w14:paraId="47261954" w14:textId="77777777" w:rsidTr="00450EF3">
        <w:trPr>
          <w:trHeight w:val="632"/>
          <w:jc w:val="center"/>
        </w:trPr>
        <w:tc>
          <w:tcPr>
            <w:tcW w:w="976" w:type="pct"/>
            <w:shd w:val="clear" w:color="auto" w:fill="F2F2F2"/>
            <w:vAlign w:val="center"/>
          </w:tcPr>
          <w:p w14:paraId="77BCC966" w14:textId="77777777" w:rsidR="00731240" w:rsidRPr="00731240" w:rsidRDefault="00731240" w:rsidP="00243F14">
            <w:pPr>
              <w:widowControl w:val="0"/>
              <w:autoSpaceDE w:val="0"/>
              <w:autoSpaceDN w:val="0"/>
              <w:adjustRightInd w:val="0"/>
              <w:spacing w:line="276" w:lineRule="auto"/>
              <w:jc w:val="center"/>
              <w:rPr>
                <w:rFonts w:ascii="Book Antiqua" w:hAnsi="Book Antiqua" w:cs="Arial"/>
                <w:b/>
                <w:color w:val="000000"/>
                <w:lang w:val="es-ES" w:eastAsia="es-CR"/>
              </w:rPr>
            </w:pPr>
            <w:r w:rsidRPr="00731240">
              <w:rPr>
                <w:rFonts w:ascii="Book Antiqua" w:hAnsi="Book Antiqua" w:cs="Arial"/>
                <w:b/>
                <w:color w:val="000000"/>
                <w:lang w:val="es-ES" w:eastAsia="es-CR"/>
              </w:rPr>
              <w:t>Aprobado por:</w:t>
            </w:r>
          </w:p>
        </w:tc>
        <w:tc>
          <w:tcPr>
            <w:tcW w:w="2192" w:type="pct"/>
            <w:vAlign w:val="center"/>
          </w:tcPr>
          <w:p w14:paraId="20873EC0" w14:textId="27655B4B" w:rsidR="00731240" w:rsidRPr="00731240" w:rsidRDefault="00731240" w:rsidP="00243F14">
            <w:pPr>
              <w:widowControl w:val="0"/>
              <w:autoSpaceDE w:val="0"/>
              <w:autoSpaceDN w:val="0"/>
              <w:adjustRightInd w:val="0"/>
              <w:spacing w:line="276" w:lineRule="auto"/>
              <w:rPr>
                <w:rFonts w:ascii="Book Antiqua" w:hAnsi="Book Antiqua" w:cs="Arial"/>
                <w:color w:val="000000"/>
                <w:lang w:val="es-ES" w:eastAsia="es-CR"/>
              </w:rPr>
            </w:pPr>
            <w:r w:rsidRPr="00731240">
              <w:rPr>
                <w:rFonts w:ascii="Book Antiqua" w:hAnsi="Book Antiqua" w:cs="Arial"/>
                <w:color w:val="000000"/>
                <w:lang w:val="es-ES" w:eastAsia="es-CR"/>
              </w:rPr>
              <w:t>Ing</w:t>
            </w:r>
            <w:r>
              <w:rPr>
                <w:rFonts w:ascii="Book Antiqua" w:hAnsi="Book Antiqua" w:cs="Arial"/>
                <w:color w:val="000000"/>
                <w:lang w:val="es-ES" w:eastAsia="es-CR"/>
              </w:rPr>
              <w:t>.</w:t>
            </w:r>
            <w:r w:rsidRPr="00731240">
              <w:rPr>
                <w:rFonts w:ascii="Book Antiqua" w:hAnsi="Book Antiqua" w:cs="Arial"/>
                <w:color w:val="000000"/>
                <w:lang w:val="es-ES" w:eastAsia="es-CR"/>
              </w:rPr>
              <w:t xml:space="preserve"> Dixon Li Morales </w:t>
            </w:r>
          </w:p>
        </w:tc>
        <w:tc>
          <w:tcPr>
            <w:tcW w:w="1832" w:type="pct"/>
            <w:vAlign w:val="center"/>
          </w:tcPr>
          <w:p w14:paraId="7F7F066A" w14:textId="1F033F5C" w:rsidR="00731240" w:rsidRPr="00731240" w:rsidRDefault="00731240" w:rsidP="00243F14">
            <w:pPr>
              <w:widowControl w:val="0"/>
              <w:autoSpaceDE w:val="0"/>
              <w:autoSpaceDN w:val="0"/>
              <w:adjustRightInd w:val="0"/>
              <w:spacing w:line="276" w:lineRule="auto"/>
              <w:rPr>
                <w:rFonts w:ascii="Book Antiqua" w:hAnsi="Book Antiqua" w:cs="Arial"/>
                <w:color w:val="000000"/>
                <w:lang w:val="es-ES" w:eastAsia="es-CR"/>
              </w:rPr>
            </w:pPr>
            <w:r w:rsidRPr="00731240">
              <w:rPr>
                <w:rFonts w:ascii="Book Antiqua" w:hAnsi="Book Antiqua" w:cs="Arial"/>
                <w:lang w:val="es-ES" w:eastAsia="es-CR"/>
              </w:rPr>
              <w:t>Jefe a.i. Proceso Ejecución de las Operaciones</w:t>
            </w:r>
          </w:p>
        </w:tc>
      </w:tr>
      <w:tr w:rsidR="00731240" w:rsidRPr="00731240" w14:paraId="09BA8D21" w14:textId="77777777" w:rsidTr="00450EF3">
        <w:trPr>
          <w:trHeight w:val="510"/>
          <w:jc w:val="center"/>
        </w:trPr>
        <w:tc>
          <w:tcPr>
            <w:tcW w:w="976" w:type="pct"/>
            <w:shd w:val="clear" w:color="auto" w:fill="F2F2F2"/>
            <w:vAlign w:val="center"/>
          </w:tcPr>
          <w:p w14:paraId="1BA67912" w14:textId="77777777" w:rsidR="00731240" w:rsidRPr="00731240" w:rsidRDefault="00731240" w:rsidP="00243F14">
            <w:pPr>
              <w:widowControl w:val="0"/>
              <w:autoSpaceDE w:val="0"/>
              <w:autoSpaceDN w:val="0"/>
              <w:adjustRightInd w:val="0"/>
              <w:spacing w:line="276" w:lineRule="auto"/>
              <w:jc w:val="center"/>
              <w:rPr>
                <w:rFonts w:ascii="Book Antiqua" w:hAnsi="Book Antiqua" w:cs="Arial"/>
                <w:b/>
                <w:color w:val="000000"/>
                <w:lang w:val="es-ES" w:eastAsia="es-CR"/>
              </w:rPr>
            </w:pPr>
            <w:r w:rsidRPr="00731240">
              <w:rPr>
                <w:rFonts w:ascii="Book Antiqua" w:hAnsi="Book Antiqua" w:cs="Arial"/>
                <w:b/>
                <w:color w:val="000000"/>
                <w:lang w:val="es-ES" w:eastAsia="es-CR"/>
              </w:rPr>
              <w:t>Visto Bueno</w:t>
            </w:r>
          </w:p>
        </w:tc>
        <w:tc>
          <w:tcPr>
            <w:tcW w:w="2192" w:type="pct"/>
            <w:vAlign w:val="center"/>
          </w:tcPr>
          <w:p w14:paraId="5C7F5AF0" w14:textId="40D33524" w:rsidR="00731240" w:rsidRPr="00731240" w:rsidRDefault="00731240" w:rsidP="00243F14">
            <w:pPr>
              <w:widowControl w:val="0"/>
              <w:autoSpaceDE w:val="0"/>
              <w:autoSpaceDN w:val="0"/>
              <w:adjustRightInd w:val="0"/>
              <w:spacing w:line="276" w:lineRule="auto"/>
              <w:rPr>
                <w:rFonts w:ascii="Book Antiqua" w:hAnsi="Book Antiqua" w:cs="Arial"/>
                <w:lang w:val="es-ES" w:eastAsia="es-CR"/>
              </w:rPr>
            </w:pPr>
            <w:r w:rsidRPr="00731240">
              <w:rPr>
                <w:rFonts w:ascii="Book Antiqua" w:hAnsi="Book Antiqua" w:cs="Arial"/>
                <w:lang w:val="es-ES" w:eastAsia="es-CR"/>
              </w:rPr>
              <w:t>Licda. Nacira Valverde Bermúdez</w:t>
            </w:r>
          </w:p>
        </w:tc>
        <w:tc>
          <w:tcPr>
            <w:tcW w:w="1832" w:type="pct"/>
            <w:vAlign w:val="center"/>
          </w:tcPr>
          <w:p w14:paraId="1CD09A42" w14:textId="1458B5D5" w:rsidR="00731240" w:rsidRPr="00731240" w:rsidRDefault="00731240" w:rsidP="00243F14">
            <w:pPr>
              <w:widowControl w:val="0"/>
              <w:autoSpaceDE w:val="0"/>
              <w:autoSpaceDN w:val="0"/>
              <w:adjustRightInd w:val="0"/>
              <w:spacing w:line="276" w:lineRule="auto"/>
              <w:rPr>
                <w:rFonts w:ascii="Book Antiqua" w:hAnsi="Book Antiqua" w:cs="Arial"/>
                <w:color w:val="000000"/>
                <w:lang w:val="es-ES" w:eastAsia="es-CR"/>
              </w:rPr>
            </w:pPr>
            <w:r w:rsidRPr="00731240">
              <w:rPr>
                <w:rFonts w:ascii="Book Antiqua" w:hAnsi="Book Antiqua" w:cs="Arial"/>
                <w:color w:val="000000"/>
                <w:lang w:val="es-ES" w:eastAsia="es-CR"/>
              </w:rPr>
              <w:t>Directora de Planificación a.i.</w:t>
            </w:r>
          </w:p>
        </w:tc>
      </w:tr>
    </w:tbl>
    <w:p w14:paraId="7D31CCD4" w14:textId="77777777" w:rsidR="00216002" w:rsidRPr="004F0E92" w:rsidRDefault="00216002" w:rsidP="00985591">
      <w:pPr>
        <w:spacing w:line="276" w:lineRule="auto"/>
        <w:rPr>
          <w:rFonts w:ascii="Book Antiqua" w:hAnsi="Book Antiqua"/>
          <w:color w:val="000000" w:themeColor="text1"/>
        </w:rPr>
      </w:pPr>
    </w:p>
    <w:p w14:paraId="54E043E2" w14:textId="56BC42EB" w:rsidR="00FA79F0" w:rsidRPr="00B92788" w:rsidRDefault="00FA79F0" w:rsidP="00985591">
      <w:pPr>
        <w:widowControl w:val="0"/>
        <w:spacing w:line="276" w:lineRule="auto"/>
        <w:ind w:left="4956" w:hanging="4956"/>
        <w:jc w:val="both"/>
        <w:rPr>
          <w:rFonts w:ascii="Book Antiqua" w:hAnsi="Book Antiqua" w:cs="Arial"/>
          <w:color w:val="000000" w:themeColor="text1"/>
        </w:rPr>
      </w:pPr>
    </w:p>
    <w:sectPr w:rsidR="00FA79F0" w:rsidRPr="00B92788" w:rsidSect="001A3182">
      <w:headerReference w:type="default" r:id="rId92"/>
      <w:footerReference w:type="even" r:id="rId93"/>
      <w:footerReference w:type="default" r:id="rId94"/>
      <w:pgSz w:w="12242" w:h="15842" w:code="1"/>
      <w:pgMar w:top="719" w:right="1469" w:bottom="719" w:left="156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56AF1B" w14:textId="77777777" w:rsidR="009A34EB" w:rsidRDefault="009A34EB" w:rsidP="00067C87">
      <w:r>
        <w:separator/>
      </w:r>
    </w:p>
  </w:endnote>
  <w:endnote w:type="continuationSeparator" w:id="0">
    <w:p w14:paraId="4105BDF7" w14:textId="77777777" w:rsidR="009A34EB" w:rsidRDefault="009A34EB" w:rsidP="00067C87">
      <w:r>
        <w:continuationSeparator/>
      </w:r>
    </w:p>
  </w:endnote>
  <w:endnote w:type="continuationNotice" w:id="1">
    <w:p w14:paraId="31155555" w14:textId="77777777" w:rsidR="009A34EB" w:rsidRDefault="009A34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0A6D2" w14:textId="77777777" w:rsidR="009A34EB" w:rsidRDefault="009A34EB" w:rsidP="0075408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1DC9EA2" w14:textId="77777777" w:rsidR="009A34EB" w:rsidRDefault="009A34EB" w:rsidP="003F6BA5">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55DF9" w14:textId="6D53CF96" w:rsidR="009A34EB" w:rsidRDefault="009A34EB" w:rsidP="0075408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2DFAF2F6" w14:textId="77777777" w:rsidR="009A34EB" w:rsidRDefault="009A34EB" w:rsidP="00AF696C">
    <w:pPr>
      <w:pBdr>
        <w:top w:val="single" w:sz="4" w:space="1" w:color="auto"/>
      </w:pBdr>
      <w:jc w:val="center"/>
      <w:rPr>
        <w:rFonts w:ascii="Book Antiqua" w:hAnsi="Book Antiqua"/>
        <w:b/>
        <w:bCs/>
        <w:color w:val="000000"/>
      </w:rPr>
    </w:pPr>
  </w:p>
  <w:p w14:paraId="71A9EB22" w14:textId="3746B0D7" w:rsidR="009A34EB" w:rsidRDefault="009A34EB" w:rsidP="00AF696C">
    <w:pPr>
      <w:pBdr>
        <w:top w:val="single" w:sz="4" w:space="1" w:color="auto"/>
      </w:pBdr>
      <w:jc w:val="center"/>
      <w:rPr>
        <w:rFonts w:ascii="Book Antiqua" w:hAnsi="Book Antiqua"/>
        <w:b/>
        <w:bCs/>
        <w:color w:val="000000"/>
      </w:rPr>
    </w:pPr>
    <w:r w:rsidRPr="00AF696C">
      <w:rPr>
        <w:rFonts w:ascii="Book Antiqua" w:hAnsi="Book Antiqua"/>
        <w:b/>
        <w:bCs/>
        <w:color w:val="000000"/>
      </w:rPr>
      <w:t>Trabajamos por el desarrollo de la administración de justicia</w:t>
    </w:r>
  </w:p>
  <w:p w14:paraId="77E5FFB8" w14:textId="01B52FFF" w:rsidR="009A34EB" w:rsidRPr="00AF696C" w:rsidRDefault="009A34EB" w:rsidP="00AF696C">
    <w:pPr>
      <w:pBdr>
        <w:top w:val="single" w:sz="4" w:space="1" w:color="auto"/>
      </w:pBdr>
      <w:jc w:val="center"/>
      <w:rPr>
        <w:rFonts w:ascii="Book Antiqua" w:hAnsi="Book Antiqua"/>
        <w:b/>
        <w:bCs/>
        <w:color w:val="000000"/>
      </w:rPr>
    </w:pPr>
    <w:r w:rsidRPr="00AF696C">
      <w:rPr>
        <w:rFonts w:ascii="Book Antiqua" w:hAnsi="Book Antiqua"/>
        <w:b/>
        <w:bCs/>
        <w:color w:val="000000"/>
      </w:rPr>
      <w:t>con proyección e innovación</w:t>
    </w:r>
  </w:p>
  <w:p w14:paraId="51D2E030" w14:textId="77777777" w:rsidR="009A34EB" w:rsidRDefault="009A34EB" w:rsidP="00AF696C">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6AD659" w14:textId="77777777" w:rsidR="009A34EB" w:rsidRDefault="009A34EB" w:rsidP="00067C87">
      <w:r>
        <w:separator/>
      </w:r>
    </w:p>
  </w:footnote>
  <w:footnote w:type="continuationSeparator" w:id="0">
    <w:p w14:paraId="1BBEF257" w14:textId="77777777" w:rsidR="009A34EB" w:rsidRDefault="009A34EB" w:rsidP="00067C87">
      <w:r>
        <w:continuationSeparator/>
      </w:r>
    </w:p>
  </w:footnote>
  <w:footnote w:type="continuationNotice" w:id="1">
    <w:p w14:paraId="149D8759" w14:textId="77777777" w:rsidR="009A34EB" w:rsidRDefault="009A34E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97CCE" w14:textId="6C7CC0E3" w:rsidR="009A34EB" w:rsidRPr="001D7A5E" w:rsidRDefault="009A34EB" w:rsidP="001D7A5E">
    <w:pPr>
      <w:tabs>
        <w:tab w:val="center" w:pos="8804"/>
        <w:tab w:val="right" w:pos="8875"/>
      </w:tabs>
      <w:jc w:val="center"/>
      <w:rPr>
        <w:rFonts w:ascii="Book Antiqua" w:hAnsi="Book Antiqua" w:cs="Book Antiqua"/>
        <w:i/>
        <w:iCs/>
        <w:sz w:val="18"/>
        <w:szCs w:val="18"/>
      </w:rPr>
    </w:pPr>
    <w:r>
      <w:rPr>
        <w:rFonts w:ascii="Book Antiqua" w:hAnsi="Book Antiqua" w:cs="Book Antiqua"/>
        <w:i/>
        <w:iCs/>
        <w:sz w:val="18"/>
        <w:szCs w:val="18"/>
      </w:rPr>
      <w:t xml:space="preserve">        </w:t>
    </w:r>
    <w:proofErr w:type="gramStart"/>
    <w:r w:rsidRPr="6B1DB1AE">
      <w:rPr>
        <w:rFonts w:ascii="Book Antiqua" w:hAnsi="Book Antiqua" w:cs="Book Antiqua"/>
        <w:i/>
        <w:iCs/>
        <w:sz w:val="18"/>
        <w:szCs w:val="18"/>
      </w:rPr>
      <w:t>Dirección  de</w:t>
    </w:r>
    <w:proofErr w:type="gramEnd"/>
    <w:r w:rsidRPr="6B1DB1AE">
      <w:rPr>
        <w:rFonts w:ascii="Book Antiqua" w:hAnsi="Book Antiqua" w:cs="Book Antiqua"/>
        <w:i/>
        <w:iCs/>
        <w:sz w:val="18"/>
        <w:szCs w:val="18"/>
      </w:rPr>
      <w:t xml:space="preserve"> Planificación</w:t>
    </w:r>
    <w:r>
      <w:rPr>
        <w:noProof/>
      </w:rPr>
      <w:drawing>
        <wp:inline distT="0" distB="0" distL="0" distR="0" wp14:anchorId="53610494" wp14:editId="3D413D45">
          <wp:extent cx="314325" cy="409575"/>
          <wp:effectExtent l="0" t="0" r="9525" b="9525"/>
          <wp:docPr id="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1">
                    <a:extLst>
                      <a:ext uri="{28A0092B-C50C-407E-A947-70E740481C1C}">
                        <a14:useLocalDpi xmlns:a14="http://schemas.microsoft.com/office/drawing/2010/main" val="0"/>
                      </a:ext>
                    </a:extLst>
                  </a:blip>
                  <a:stretch>
                    <a:fillRect/>
                  </a:stretch>
                </pic:blipFill>
                <pic:spPr>
                  <a:xfrm>
                    <a:off x="0" y="0"/>
                    <a:ext cx="314325" cy="409575"/>
                  </a:xfrm>
                  <a:prstGeom prst="rect">
                    <a:avLst/>
                  </a:prstGeom>
                </pic:spPr>
              </pic:pic>
            </a:graphicData>
          </a:graphic>
        </wp:inline>
      </w:drawing>
    </w:r>
  </w:p>
  <w:p w14:paraId="3D35B8E9" w14:textId="77777777" w:rsidR="009A34EB" w:rsidRPr="001D7A5E" w:rsidRDefault="009A34EB" w:rsidP="001D7A5E">
    <w:pPr>
      <w:tabs>
        <w:tab w:val="center" w:pos="4252"/>
        <w:tab w:val="right" w:pos="8875"/>
      </w:tabs>
      <w:jc w:val="center"/>
      <w:rPr>
        <w:rFonts w:ascii="Book Antiqua" w:hAnsi="Book Antiqua" w:cs="Book Antiqua"/>
        <w:i/>
        <w:iCs/>
        <w:sz w:val="18"/>
        <w:szCs w:val="18"/>
      </w:rPr>
    </w:pPr>
    <w:r w:rsidRPr="001D7A5E">
      <w:rPr>
        <w:rFonts w:ascii="Book Antiqua" w:hAnsi="Book Antiqua" w:cs="Book Antiqua"/>
        <w:i/>
        <w:iCs/>
        <w:sz w:val="18"/>
        <w:szCs w:val="18"/>
      </w:rPr>
      <w:t xml:space="preserve">San José </w:t>
    </w:r>
    <w:proofErr w:type="gramStart"/>
    <w:r w:rsidRPr="001D7A5E">
      <w:rPr>
        <w:rFonts w:ascii="Book Antiqua" w:hAnsi="Book Antiqua" w:cs="Book Antiqua"/>
        <w:i/>
        <w:iCs/>
        <w:sz w:val="18"/>
        <w:szCs w:val="18"/>
      </w:rPr>
      <w:t>-  Costa</w:t>
    </w:r>
    <w:proofErr w:type="gramEnd"/>
    <w:r w:rsidRPr="001D7A5E">
      <w:rPr>
        <w:rFonts w:ascii="Book Antiqua" w:hAnsi="Book Antiqua" w:cs="Book Antiqua"/>
        <w:i/>
        <w:iCs/>
        <w:sz w:val="18"/>
        <w:szCs w:val="18"/>
      </w:rPr>
      <w:t xml:space="preserve"> Rica</w:t>
    </w:r>
  </w:p>
  <w:p w14:paraId="5103A6D3" w14:textId="77777777" w:rsidR="009A34EB" w:rsidRPr="001D7A5E" w:rsidRDefault="009A34EB" w:rsidP="001D7A5E">
    <w:pPr>
      <w:tabs>
        <w:tab w:val="center" w:pos="4252"/>
        <w:tab w:val="right" w:pos="8504"/>
      </w:tabs>
      <w:jc w:val="center"/>
      <w:rPr>
        <w:rFonts w:ascii="Times New Roman" w:hAnsi="Times New Roman"/>
        <w:sz w:val="20"/>
        <w:szCs w:val="20"/>
        <w:lang w:val="en-US"/>
      </w:rPr>
    </w:pPr>
    <w:proofErr w:type="spellStart"/>
    <w:r w:rsidRPr="001D7A5E">
      <w:rPr>
        <w:rFonts w:ascii="Book Antiqua" w:hAnsi="Book Antiqua" w:cs="Book Antiqua"/>
        <w:i/>
        <w:iCs/>
        <w:sz w:val="18"/>
        <w:szCs w:val="18"/>
        <w:lang w:val="en-US"/>
      </w:rPr>
      <w:t>Telf</w:t>
    </w:r>
    <w:proofErr w:type="spellEnd"/>
    <w:r w:rsidRPr="001D7A5E">
      <w:rPr>
        <w:rFonts w:ascii="Book Antiqua" w:hAnsi="Book Antiqua" w:cs="Book Antiqua"/>
        <w:i/>
        <w:iCs/>
        <w:sz w:val="18"/>
        <w:szCs w:val="18"/>
        <w:lang w:val="en-US"/>
      </w:rPr>
      <w:t xml:space="preserve">.   2295-3600 / 3599 / </w:t>
    </w:r>
    <w:proofErr w:type="spellStart"/>
    <w:r w:rsidRPr="001D7A5E">
      <w:rPr>
        <w:rFonts w:ascii="Book Antiqua" w:hAnsi="Book Antiqua" w:cs="Book Antiqua"/>
        <w:i/>
        <w:iCs/>
        <w:sz w:val="18"/>
        <w:szCs w:val="18"/>
        <w:lang w:val="en-US"/>
      </w:rPr>
      <w:t>Apdo</w:t>
    </w:r>
    <w:proofErr w:type="spellEnd"/>
    <w:r w:rsidRPr="001D7A5E">
      <w:rPr>
        <w:rFonts w:ascii="Book Antiqua" w:hAnsi="Book Antiqua" w:cs="Book Antiqua"/>
        <w:i/>
        <w:iCs/>
        <w:sz w:val="18"/>
        <w:szCs w:val="18"/>
        <w:lang w:val="en-US"/>
      </w:rPr>
      <w:t>.  95-</w:t>
    </w:r>
    <w:proofErr w:type="gramStart"/>
    <w:r w:rsidRPr="001D7A5E">
      <w:rPr>
        <w:rFonts w:ascii="Book Antiqua" w:hAnsi="Book Antiqua" w:cs="Book Antiqua"/>
        <w:i/>
        <w:iCs/>
        <w:sz w:val="18"/>
        <w:szCs w:val="18"/>
        <w:lang w:val="en-US"/>
      </w:rPr>
      <w:t>1003  /</w:t>
    </w:r>
    <w:proofErr w:type="gramEnd"/>
    <w:r w:rsidRPr="001D7A5E">
      <w:rPr>
        <w:rFonts w:ascii="Book Antiqua" w:hAnsi="Book Antiqua" w:cs="Book Antiqua"/>
        <w:i/>
        <w:iCs/>
        <w:sz w:val="18"/>
        <w:szCs w:val="18"/>
        <w:lang w:val="en-US"/>
      </w:rPr>
      <w:t xml:space="preserve"> planificacion@poder-judicial.go.cr</w:t>
    </w:r>
  </w:p>
  <w:p w14:paraId="1423C0E0" w14:textId="77777777" w:rsidR="009A34EB" w:rsidRPr="001D7A5E" w:rsidRDefault="009A34EB" w:rsidP="001D7A5E">
    <w:pPr>
      <w:pBdr>
        <w:bottom w:val="single" w:sz="6" w:space="0" w:color="auto"/>
      </w:pBdr>
      <w:spacing w:after="20"/>
      <w:jc w:val="center"/>
      <w:rPr>
        <w:rFonts w:ascii="Times New Roman" w:hAnsi="Times New Roman"/>
        <w:sz w:val="20"/>
        <w:szCs w:val="20"/>
        <w:lang w:val="en-US"/>
      </w:rPr>
    </w:pPr>
  </w:p>
</w:hdr>
</file>

<file path=word/intelligence.xml><?xml version="1.0" encoding="utf-8"?>
<int:Intelligence xmlns:int="http://schemas.microsoft.com/office/intelligence/2019/intelligence">
  <int:IntelligenceSettings/>
  <int:Manifest>
    <int:WordHash hashCode="RNL/PQQqwxNiPl" id="rFp3fGMA"/>
    <int:WordHash hashCode="fA72z3BRwmBVOy" id="9AuYdpoA"/>
    <int:WordHash hashCode="fWpFaPKNFfBKvE" id="+sLvMpwR"/>
    <int:WordHash hashCode="12/PkIY6lzT0UU" id="G0htRUMH"/>
    <int:WordHash hashCode="2tVfs7dzepSepy" id="eTmONgg8"/>
  </int:Manifest>
  <int:Observations>
    <int:Content id="rFp3fGMA">
      <int:Rejection type="LegacyProofing"/>
    </int:Content>
    <int:Content id="9AuYdpoA">
      <int:Rejection type="LegacyProofing"/>
    </int:Content>
    <int:Content id="+sLvMpwR">
      <int:Rejection type="LegacyProofing"/>
    </int:Content>
    <int:Content id="G0htRUMH">
      <int:Rejection type="LegacyProofing"/>
    </int:Content>
    <int:Content id="eTmONgg8">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A464FD5E"/>
    <w:lvl w:ilvl="0">
      <w:start w:val="1"/>
      <w:numFmt w:val="decimal"/>
      <w:lvlText w:val="%1"/>
      <w:lvlJc w:val="left"/>
      <w:pPr>
        <w:ind w:left="1349" w:hanging="432"/>
      </w:pPr>
    </w:lvl>
    <w:lvl w:ilvl="1">
      <w:start w:val="1"/>
      <w:numFmt w:val="decimal"/>
      <w:lvlText w:val="%1.%2"/>
      <w:lvlJc w:val="left"/>
      <w:pPr>
        <w:ind w:left="1493" w:hanging="576"/>
      </w:pPr>
    </w:lvl>
    <w:lvl w:ilvl="2">
      <w:start w:val="1"/>
      <w:numFmt w:val="decimal"/>
      <w:lvlText w:val="%1.%2.%3"/>
      <w:lvlJc w:val="left"/>
      <w:pPr>
        <w:ind w:left="1637" w:hanging="720"/>
      </w:pPr>
    </w:lvl>
    <w:lvl w:ilvl="3">
      <w:start w:val="1"/>
      <w:numFmt w:val="decimal"/>
      <w:lvlText w:val="%1.%2.%3.%4"/>
      <w:lvlJc w:val="left"/>
      <w:pPr>
        <w:ind w:left="1781" w:hanging="864"/>
      </w:pPr>
    </w:lvl>
    <w:lvl w:ilvl="4">
      <w:start w:val="1"/>
      <w:numFmt w:val="decimal"/>
      <w:pStyle w:val="Ttulo5"/>
      <w:lvlText w:val="%1.%2.%3.%4.%5"/>
      <w:lvlJc w:val="left"/>
      <w:pPr>
        <w:ind w:left="1925" w:hanging="1008"/>
      </w:pPr>
    </w:lvl>
    <w:lvl w:ilvl="5">
      <w:start w:val="1"/>
      <w:numFmt w:val="decimal"/>
      <w:pStyle w:val="Ttulo6"/>
      <w:lvlText w:val="%1.%2.%3.%4.%5.%6"/>
      <w:lvlJc w:val="left"/>
      <w:pPr>
        <w:ind w:left="2069" w:hanging="1152"/>
      </w:pPr>
    </w:lvl>
    <w:lvl w:ilvl="6">
      <w:start w:val="1"/>
      <w:numFmt w:val="decimal"/>
      <w:pStyle w:val="Ttulo7"/>
      <w:lvlText w:val="%1.%2.%3.%4.%5.%6.%7"/>
      <w:lvlJc w:val="left"/>
      <w:pPr>
        <w:ind w:left="2213" w:hanging="1296"/>
      </w:pPr>
    </w:lvl>
    <w:lvl w:ilvl="7">
      <w:start w:val="1"/>
      <w:numFmt w:val="decimal"/>
      <w:pStyle w:val="Ttulo8"/>
      <w:lvlText w:val="%1.%2.%3.%4.%5.%6.%7.%8"/>
      <w:lvlJc w:val="left"/>
      <w:pPr>
        <w:ind w:left="2357" w:hanging="1440"/>
      </w:pPr>
    </w:lvl>
    <w:lvl w:ilvl="8">
      <w:start w:val="1"/>
      <w:numFmt w:val="decimal"/>
      <w:pStyle w:val="Ttulo9"/>
      <w:lvlText w:val="%1.%2.%3.%4.%5.%6.%7.%8.%9"/>
      <w:lvlJc w:val="left"/>
      <w:pPr>
        <w:ind w:left="2501" w:hanging="1584"/>
      </w:pPr>
    </w:lvl>
  </w:abstractNum>
  <w:abstractNum w:abstractNumId="1" w15:restartNumberingAfterBreak="0">
    <w:nsid w:val="0B7C44C1"/>
    <w:multiLevelType w:val="hybridMultilevel"/>
    <w:tmpl w:val="8B0A7C1C"/>
    <w:lvl w:ilvl="0" w:tplc="DCE49522">
      <w:start w:val="1"/>
      <w:numFmt w:val="decimal"/>
      <w:lvlText w:val="%1."/>
      <w:lvlJc w:val="left"/>
      <w:pPr>
        <w:ind w:left="720" w:hanging="360"/>
      </w:pPr>
      <w:rPr>
        <w:rFonts w:hint="default"/>
        <w:b w:val="0"/>
        <w:bCs w:val="0"/>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B9E68CE"/>
    <w:multiLevelType w:val="multilevel"/>
    <w:tmpl w:val="AB06A8F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bCs/>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C9031C5"/>
    <w:multiLevelType w:val="multilevel"/>
    <w:tmpl w:val="7CC63654"/>
    <w:lvl w:ilvl="0">
      <w:start w:val="1"/>
      <w:numFmt w:val="decimal"/>
      <w:lvlText w:val="%1."/>
      <w:lvlJc w:val="left"/>
      <w:pPr>
        <w:ind w:left="540" w:hanging="540"/>
      </w:pPr>
      <w:rPr>
        <w:rFonts w:hint="default"/>
        <w:sz w:val="24"/>
      </w:rPr>
    </w:lvl>
    <w:lvl w:ilvl="1">
      <w:start w:val="1"/>
      <w:numFmt w:val="decimal"/>
      <w:lvlText w:val="%1.%2."/>
      <w:lvlJc w:val="left"/>
      <w:pPr>
        <w:ind w:left="540" w:hanging="540"/>
      </w:pPr>
      <w:rPr>
        <w:rFonts w:hint="default"/>
        <w:sz w:val="24"/>
      </w:rPr>
    </w:lvl>
    <w:lvl w:ilvl="2">
      <w:start w:val="6"/>
      <w:numFmt w:val="decimal"/>
      <w:lvlText w:val="%1.%2.%3."/>
      <w:lvlJc w:val="left"/>
      <w:pPr>
        <w:ind w:left="720" w:hanging="720"/>
      </w:pPr>
      <w:rPr>
        <w:rFonts w:hint="default"/>
        <w:b/>
        <w:bCs/>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4" w15:restartNumberingAfterBreak="0">
    <w:nsid w:val="0C9D1FE5"/>
    <w:multiLevelType w:val="multilevel"/>
    <w:tmpl w:val="86165EB2"/>
    <w:lvl w:ilvl="0">
      <w:start w:val="1"/>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243B1162"/>
    <w:multiLevelType w:val="hybridMultilevel"/>
    <w:tmpl w:val="9F564196"/>
    <w:lvl w:ilvl="0" w:tplc="140A000F">
      <w:start w:val="2"/>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2B371B09"/>
    <w:multiLevelType w:val="hybridMultilevel"/>
    <w:tmpl w:val="0EBED846"/>
    <w:lvl w:ilvl="0" w:tplc="140A000F">
      <w:start w:val="1"/>
      <w:numFmt w:val="decimal"/>
      <w:lvlText w:val="%1."/>
      <w:lvlJc w:val="left"/>
      <w:pPr>
        <w:ind w:left="720" w:hanging="360"/>
      </w:pPr>
      <w:rPr>
        <w:rFonts w:hint="default"/>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2B9C44BA"/>
    <w:multiLevelType w:val="hybridMultilevel"/>
    <w:tmpl w:val="B798F7B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2E634460"/>
    <w:multiLevelType w:val="hybridMultilevel"/>
    <w:tmpl w:val="7B70FF10"/>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2E9B1AD3"/>
    <w:multiLevelType w:val="hybridMultilevel"/>
    <w:tmpl w:val="6FFCAA3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306D0811"/>
    <w:multiLevelType w:val="hybridMultilevel"/>
    <w:tmpl w:val="74B255CA"/>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345E33CB"/>
    <w:multiLevelType w:val="hybridMultilevel"/>
    <w:tmpl w:val="92CC25E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35554541"/>
    <w:multiLevelType w:val="hybridMultilevel"/>
    <w:tmpl w:val="614C0454"/>
    <w:lvl w:ilvl="0" w:tplc="3FCC0738">
      <w:numFmt w:val="bullet"/>
      <w:lvlText w:val="-"/>
      <w:lvlJc w:val="left"/>
      <w:pPr>
        <w:ind w:left="720" w:hanging="360"/>
      </w:pPr>
      <w:rPr>
        <w:rFonts w:ascii="Book Antiqua" w:eastAsia="Times New Roman" w:hAnsi="Book Antiqua" w:cs="Book Antiqua"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3BAC6EFE"/>
    <w:multiLevelType w:val="hybridMultilevel"/>
    <w:tmpl w:val="36CEE4CE"/>
    <w:lvl w:ilvl="0" w:tplc="140A000F">
      <w:start w:val="4"/>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4052408F"/>
    <w:multiLevelType w:val="hybridMultilevel"/>
    <w:tmpl w:val="5F444938"/>
    <w:lvl w:ilvl="0" w:tplc="FF8C6B78">
      <w:start w:val="5"/>
      <w:numFmt w:val="decimal"/>
      <w:lvlText w:val="%1."/>
      <w:lvlJc w:val="left"/>
      <w:pPr>
        <w:ind w:left="720" w:hanging="360"/>
      </w:pPr>
      <w:rPr>
        <w:rFonts w:eastAsia="Calibri" w:cs="Arial"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4DA86DF7"/>
    <w:multiLevelType w:val="multilevel"/>
    <w:tmpl w:val="B0B48C42"/>
    <w:lvl w:ilvl="0">
      <w:start w:val="1"/>
      <w:numFmt w:val="decimal"/>
      <w:lvlText w:val="%1."/>
      <w:lvlJc w:val="left"/>
      <w:pPr>
        <w:ind w:left="720" w:hanging="360"/>
      </w:pPr>
      <w:rPr>
        <w:rFonts w:hint="default"/>
      </w:rPr>
    </w:lvl>
    <w:lvl w:ilvl="1">
      <w:start w:val="1"/>
      <w:numFmt w:val="decimal"/>
      <w:lvlText w:val="%1.%2"/>
      <w:lvlJc w:val="left"/>
      <w:pPr>
        <w:ind w:left="720" w:hanging="360"/>
      </w:pPr>
    </w:lvl>
    <w:lvl w:ilvl="2">
      <w:start w:val="1"/>
      <w:numFmt w:val="decimal"/>
      <w:lvlText w:val="%1.%2.%3"/>
      <w:lvlJc w:val="left"/>
      <w:pPr>
        <w:ind w:left="4406" w:hanging="720"/>
      </w:p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4FB87CAF"/>
    <w:multiLevelType w:val="hybridMultilevel"/>
    <w:tmpl w:val="AC804B10"/>
    <w:lvl w:ilvl="0" w:tplc="140A000F">
      <w:start w:val="1"/>
      <w:numFmt w:val="decimal"/>
      <w:lvlText w:val="%1."/>
      <w:lvlJc w:val="left"/>
      <w:pPr>
        <w:ind w:left="720" w:hanging="360"/>
      </w:pPr>
      <w:rPr>
        <w:rFont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5F337E5B"/>
    <w:multiLevelType w:val="multilevel"/>
    <w:tmpl w:val="8098CA2E"/>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60C24B3A"/>
    <w:multiLevelType w:val="multilevel"/>
    <w:tmpl w:val="82EE6CC8"/>
    <w:lvl w:ilvl="0">
      <w:start w:val="1"/>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627A2EC3"/>
    <w:multiLevelType w:val="hybridMultilevel"/>
    <w:tmpl w:val="50E27918"/>
    <w:lvl w:ilvl="0" w:tplc="140A000F">
      <w:start w:val="1"/>
      <w:numFmt w:val="decimal"/>
      <w:lvlText w:val="%1."/>
      <w:lvlJc w:val="left"/>
      <w:pPr>
        <w:ind w:left="720" w:hanging="360"/>
      </w:pPr>
      <w:rPr>
        <w:rFonts w:hint="default"/>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62B90D84"/>
    <w:multiLevelType w:val="multilevel"/>
    <w:tmpl w:val="6226A8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5071BDE"/>
    <w:multiLevelType w:val="multilevel"/>
    <w:tmpl w:val="79B814F8"/>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A1D22A2"/>
    <w:multiLevelType w:val="hybridMultilevel"/>
    <w:tmpl w:val="6AC202D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6FDD2E4F"/>
    <w:multiLevelType w:val="hybridMultilevel"/>
    <w:tmpl w:val="6BFAE19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719F3A47"/>
    <w:multiLevelType w:val="hybridMultilevel"/>
    <w:tmpl w:val="51B4D336"/>
    <w:lvl w:ilvl="0" w:tplc="140A000F">
      <w:start w:val="1"/>
      <w:numFmt w:val="decimal"/>
      <w:lvlText w:val="%1."/>
      <w:lvlJc w:val="left"/>
      <w:pPr>
        <w:ind w:left="720" w:hanging="360"/>
      </w:pPr>
      <w:rPr>
        <w:rFont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76142C4C"/>
    <w:multiLevelType w:val="hybridMultilevel"/>
    <w:tmpl w:val="99C216D6"/>
    <w:lvl w:ilvl="0" w:tplc="31DAEF22">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762A0A0E"/>
    <w:multiLevelType w:val="multilevel"/>
    <w:tmpl w:val="E898A410"/>
    <w:lvl w:ilvl="0">
      <w:start w:val="11"/>
      <w:numFmt w:val="decimal"/>
      <w:lvlText w:val="%1"/>
      <w:lvlJc w:val="left"/>
      <w:pPr>
        <w:ind w:left="420" w:hanging="420"/>
      </w:pPr>
      <w:rPr>
        <w:rFonts w:hint="default"/>
        <w:b/>
      </w:rPr>
    </w:lvl>
    <w:lvl w:ilvl="1">
      <w:start w:val="3"/>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7" w15:restartNumberingAfterBreak="0">
    <w:nsid w:val="7A6838F4"/>
    <w:multiLevelType w:val="multilevel"/>
    <w:tmpl w:val="AF827A6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7E2E6BBF"/>
    <w:multiLevelType w:val="multilevel"/>
    <w:tmpl w:val="A54E2ED2"/>
    <w:lvl w:ilvl="0">
      <w:start w:val="1"/>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16cid:durableId="146284728">
    <w:abstractNumId w:val="0"/>
  </w:num>
  <w:num w:numId="2" w16cid:durableId="249585959">
    <w:abstractNumId w:val="9"/>
  </w:num>
  <w:num w:numId="3" w16cid:durableId="1720015975">
    <w:abstractNumId w:val="15"/>
  </w:num>
  <w:num w:numId="4" w16cid:durableId="360781962">
    <w:abstractNumId w:val="27"/>
  </w:num>
  <w:num w:numId="5" w16cid:durableId="1924798263">
    <w:abstractNumId w:val="8"/>
  </w:num>
  <w:num w:numId="6" w16cid:durableId="1317950057">
    <w:abstractNumId w:val="13"/>
  </w:num>
  <w:num w:numId="7" w16cid:durableId="638459634">
    <w:abstractNumId w:val="21"/>
  </w:num>
  <w:num w:numId="8" w16cid:durableId="1110318588">
    <w:abstractNumId w:val="19"/>
  </w:num>
  <w:num w:numId="9" w16cid:durableId="651982593">
    <w:abstractNumId w:val="6"/>
  </w:num>
  <w:num w:numId="10" w16cid:durableId="299504159">
    <w:abstractNumId w:val="20"/>
  </w:num>
  <w:num w:numId="11" w16cid:durableId="105270859">
    <w:abstractNumId w:val="1"/>
  </w:num>
  <w:num w:numId="12" w16cid:durableId="1894926398">
    <w:abstractNumId w:val="22"/>
  </w:num>
  <w:num w:numId="13" w16cid:durableId="520899948">
    <w:abstractNumId w:val="5"/>
  </w:num>
  <w:num w:numId="14" w16cid:durableId="1143737243">
    <w:abstractNumId w:val="10"/>
  </w:num>
  <w:num w:numId="15" w16cid:durableId="307713002">
    <w:abstractNumId w:val="17"/>
  </w:num>
  <w:num w:numId="16" w16cid:durableId="588660140">
    <w:abstractNumId w:val="4"/>
  </w:num>
  <w:num w:numId="17" w16cid:durableId="1905486037">
    <w:abstractNumId w:val="2"/>
  </w:num>
  <w:num w:numId="18" w16cid:durableId="2123988858">
    <w:abstractNumId w:val="28"/>
  </w:num>
  <w:num w:numId="19" w16cid:durableId="1813280746">
    <w:abstractNumId w:val="18"/>
  </w:num>
  <w:num w:numId="20" w16cid:durableId="2079089496">
    <w:abstractNumId w:val="24"/>
  </w:num>
  <w:num w:numId="21" w16cid:durableId="416437026">
    <w:abstractNumId w:val="3"/>
  </w:num>
  <w:num w:numId="22" w16cid:durableId="463695869">
    <w:abstractNumId w:val="11"/>
  </w:num>
  <w:num w:numId="23" w16cid:durableId="180121635">
    <w:abstractNumId w:val="23"/>
  </w:num>
  <w:num w:numId="24" w16cid:durableId="1942564799">
    <w:abstractNumId w:val="26"/>
  </w:num>
  <w:num w:numId="25" w16cid:durableId="565797296">
    <w:abstractNumId w:val="16"/>
  </w:num>
  <w:num w:numId="26" w16cid:durableId="1258441372">
    <w:abstractNumId w:val="7"/>
  </w:num>
  <w:num w:numId="27" w16cid:durableId="1245185516">
    <w:abstractNumId w:val="14"/>
  </w:num>
  <w:num w:numId="28" w16cid:durableId="1023358103">
    <w:abstractNumId w:val="12"/>
  </w:num>
  <w:num w:numId="29" w16cid:durableId="531039740">
    <w:abstractNumId w:val="2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4096" w:nlCheck="1" w:checkStyle="0"/>
  <w:activeWritingStyle w:appName="MSWord" w:lang="pt-BR" w:vendorID="64" w:dllVersion="0" w:nlCheck="1" w:checkStyle="0"/>
  <w:activeWritingStyle w:appName="MSWord" w:lang="es-CR" w:vendorID="64" w:dllVersion="0" w:nlCheck="1" w:checkStyle="0"/>
  <w:activeWritingStyle w:appName="MSWord" w:lang="en-US" w:vendorID="64" w:dllVersion="0" w:nlCheck="1" w:checkStyle="0"/>
  <w:activeWritingStyle w:appName="MSWord" w:lang="es-ES" w:vendorID="64" w:dllVersion="0" w:nlCheck="1" w:checkStyle="0"/>
  <w:activeWritingStyle w:appName="MSWord" w:lang="es-ES_tradnl"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mailMerge>
    <w:mainDocumentType w:val="formLetters"/>
    <w:dataType w:val="textFile"/>
    <w:activeRecord w:val="-1"/>
    <w:odso/>
  </w:mailMerge>
  <w:defaultTabStop w:val="708"/>
  <w:hyphenationZone w:val="425"/>
  <w:drawingGridHorizontalSpacing w:val="120"/>
  <w:displayHorizontalDrawingGridEvery w:val="2"/>
  <w:characterSpacingControl w:val="doNotCompress"/>
  <w:hdrShapeDefaults>
    <o:shapedefaults v:ext="edit" spidmax="10240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56AF"/>
    <w:rsid w:val="0000031F"/>
    <w:rsid w:val="000009EB"/>
    <w:rsid w:val="000014A5"/>
    <w:rsid w:val="00002099"/>
    <w:rsid w:val="00002C14"/>
    <w:rsid w:val="00002E61"/>
    <w:rsid w:val="00005081"/>
    <w:rsid w:val="0000529C"/>
    <w:rsid w:val="00005580"/>
    <w:rsid w:val="00005656"/>
    <w:rsid w:val="000061D6"/>
    <w:rsid w:val="00006FE4"/>
    <w:rsid w:val="000072DE"/>
    <w:rsid w:val="000073E4"/>
    <w:rsid w:val="0000790B"/>
    <w:rsid w:val="00010C99"/>
    <w:rsid w:val="0001199D"/>
    <w:rsid w:val="000120C7"/>
    <w:rsid w:val="00012764"/>
    <w:rsid w:val="0001329C"/>
    <w:rsid w:val="00013376"/>
    <w:rsid w:val="0001382F"/>
    <w:rsid w:val="000142F9"/>
    <w:rsid w:val="000144F7"/>
    <w:rsid w:val="000149A0"/>
    <w:rsid w:val="00015CD6"/>
    <w:rsid w:val="000163B8"/>
    <w:rsid w:val="000163F9"/>
    <w:rsid w:val="000174CA"/>
    <w:rsid w:val="00020732"/>
    <w:rsid w:val="00020D94"/>
    <w:rsid w:val="00021BE4"/>
    <w:rsid w:val="00023113"/>
    <w:rsid w:val="0002345A"/>
    <w:rsid w:val="000236C5"/>
    <w:rsid w:val="00023844"/>
    <w:rsid w:val="0002392B"/>
    <w:rsid w:val="00023AC8"/>
    <w:rsid w:val="00023FF3"/>
    <w:rsid w:val="00024D75"/>
    <w:rsid w:val="000258DA"/>
    <w:rsid w:val="00025BF9"/>
    <w:rsid w:val="00025F47"/>
    <w:rsid w:val="00026302"/>
    <w:rsid w:val="00026C38"/>
    <w:rsid w:val="00027105"/>
    <w:rsid w:val="00027FE7"/>
    <w:rsid w:val="00030245"/>
    <w:rsid w:val="000303B8"/>
    <w:rsid w:val="00030AA4"/>
    <w:rsid w:val="000322C4"/>
    <w:rsid w:val="000328ED"/>
    <w:rsid w:val="00033313"/>
    <w:rsid w:val="00033714"/>
    <w:rsid w:val="00033969"/>
    <w:rsid w:val="00033A2D"/>
    <w:rsid w:val="000342C3"/>
    <w:rsid w:val="00034510"/>
    <w:rsid w:val="000354F3"/>
    <w:rsid w:val="00035CAC"/>
    <w:rsid w:val="00036D2F"/>
    <w:rsid w:val="000400DC"/>
    <w:rsid w:val="00041B93"/>
    <w:rsid w:val="0004421E"/>
    <w:rsid w:val="000443E4"/>
    <w:rsid w:val="00045B69"/>
    <w:rsid w:val="000477DC"/>
    <w:rsid w:val="000503C0"/>
    <w:rsid w:val="0005158E"/>
    <w:rsid w:val="0005275E"/>
    <w:rsid w:val="00052A30"/>
    <w:rsid w:val="000540D6"/>
    <w:rsid w:val="000549BF"/>
    <w:rsid w:val="00055209"/>
    <w:rsid w:val="0005551F"/>
    <w:rsid w:val="000557E7"/>
    <w:rsid w:val="000563FC"/>
    <w:rsid w:val="00056F48"/>
    <w:rsid w:val="000574CE"/>
    <w:rsid w:val="000600CC"/>
    <w:rsid w:val="000603B0"/>
    <w:rsid w:val="000606DA"/>
    <w:rsid w:val="00060833"/>
    <w:rsid w:val="00060B8A"/>
    <w:rsid w:val="00060C02"/>
    <w:rsid w:val="00060E34"/>
    <w:rsid w:val="00060EA9"/>
    <w:rsid w:val="00061BC9"/>
    <w:rsid w:val="00062EED"/>
    <w:rsid w:val="00063960"/>
    <w:rsid w:val="00065324"/>
    <w:rsid w:val="000656FB"/>
    <w:rsid w:val="00066133"/>
    <w:rsid w:val="00066747"/>
    <w:rsid w:val="00066748"/>
    <w:rsid w:val="000670C2"/>
    <w:rsid w:val="000679AE"/>
    <w:rsid w:val="00067C87"/>
    <w:rsid w:val="00070914"/>
    <w:rsid w:val="00070CF1"/>
    <w:rsid w:val="00072055"/>
    <w:rsid w:val="0007285A"/>
    <w:rsid w:val="00072FBA"/>
    <w:rsid w:val="0007393D"/>
    <w:rsid w:val="00073E75"/>
    <w:rsid w:val="0007402D"/>
    <w:rsid w:val="000744C3"/>
    <w:rsid w:val="00074838"/>
    <w:rsid w:val="00074E16"/>
    <w:rsid w:val="000755AE"/>
    <w:rsid w:val="0007609E"/>
    <w:rsid w:val="00077AFC"/>
    <w:rsid w:val="00081221"/>
    <w:rsid w:val="00081D36"/>
    <w:rsid w:val="00081DAD"/>
    <w:rsid w:val="00081F32"/>
    <w:rsid w:val="0008267A"/>
    <w:rsid w:val="00082DF7"/>
    <w:rsid w:val="000832FA"/>
    <w:rsid w:val="00083A8F"/>
    <w:rsid w:val="0008523C"/>
    <w:rsid w:val="00085B2A"/>
    <w:rsid w:val="00085C80"/>
    <w:rsid w:val="00085D4B"/>
    <w:rsid w:val="000908C5"/>
    <w:rsid w:val="00090D41"/>
    <w:rsid w:val="00090D4F"/>
    <w:rsid w:val="00091415"/>
    <w:rsid w:val="00091E0A"/>
    <w:rsid w:val="0009256A"/>
    <w:rsid w:val="00092CC3"/>
    <w:rsid w:val="0009337C"/>
    <w:rsid w:val="00093754"/>
    <w:rsid w:val="00094421"/>
    <w:rsid w:val="000948A2"/>
    <w:rsid w:val="00095B08"/>
    <w:rsid w:val="00095B6E"/>
    <w:rsid w:val="00095C74"/>
    <w:rsid w:val="00096DD9"/>
    <w:rsid w:val="00097810"/>
    <w:rsid w:val="000978E8"/>
    <w:rsid w:val="000979F8"/>
    <w:rsid w:val="00097DDC"/>
    <w:rsid w:val="000A0450"/>
    <w:rsid w:val="000A1A03"/>
    <w:rsid w:val="000A1C6D"/>
    <w:rsid w:val="000A3C5A"/>
    <w:rsid w:val="000A5D59"/>
    <w:rsid w:val="000A6207"/>
    <w:rsid w:val="000A70E2"/>
    <w:rsid w:val="000A75A9"/>
    <w:rsid w:val="000A77D7"/>
    <w:rsid w:val="000B082C"/>
    <w:rsid w:val="000B1944"/>
    <w:rsid w:val="000B1BF6"/>
    <w:rsid w:val="000B1CF8"/>
    <w:rsid w:val="000B2F4A"/>
    <w:rsid w:val="000B40C5"/>
    <w:rsid w:val="000B51CB"/>
    <w:rsid w:val="000B570C"/>
    <w:rsid w:val="000B5A45"/>
    <w:rsid w:val="000B5C64"/>
    <w:rsid w:val="000B691C"/>
    <w:rsid w:val="000B6B81"/>
    <w:rsid w:val="000B6DD0"/>
    <w:rsid w:val="000B7059"/>
    <w:rsid w:val="000B7784"/>
    <w:rsid w:val="000B79A6"/>
    <w:rsid w:val="000C0C43"/>
    <w:rsid w:val="000C0DC6"/>
    <w:rsid w:val="000C1D00"/>
    <w:rsid w:val="000C25F3"/>
    <w:rsid w:val="000C2838"/>
    <w:rsid w:val="000C2E9F"/>
    <w:rsid w:val="000C30E1"/>
    <w:rsid w:val="000C3643"/>
    <w:rsid w:val="000C3E9C"/>
    <w:rsid w:val="000C4B27"/>
    <w:rsid w:val="000C4C59"/>
    <w:rsid w:val="000C5D8B"/>
    <w:rsid w:val="000C7620"/>
    <w:rsid w:val="000C7BD5"/>
    <w:rsid w:val="000D169A"/>
    <w:rsid w:val="000D172D"/>
    <w:rsid w:val="000D1E71"/>
    <w:rsid w:val="000D203D"/>
    <w:rsid w:val="000D2147"/>
    <w:rsid w:val="000D3BDA"/>
    <w:rsid w:val="000D3F0D"/>
    <w:rsid w:val="000D4194"/>
    <w:rsid w:val="000D4A53"/>
    <w:rsid w:val="000D4B15"/>
    <w:rsid w:val="000D52DB"/>
    <w:rsid w:val="000D56AF"/>
    <w:rsid w:val="000D59A4"/>
    <w:rsid w:val="000D59E4"/>
    <w:rsid w:val="000D6E49"/>
    <w:rsid w:val="000D73AF"/>
    <w:rsid w:val="000D7799"/>
    <w:rsid w:val="000D77D4"/>
    <w:rsid w:val="000E011B"/>
    <w:rsid w:val="000E0C25"/>
    <w:rsid w:val="000E1793"/>
    <w:rsid w:val="000E1E88"/>
    <w:rsid w:val="000E216D"/>
    <w:rsid w:val="000E21B0"/>
    <w:rsid w:val="000E3BA4"/>
    <w:rsid w:val="000E42EA"/>
    <w:rsid w:val="000E4A6D"/>
    <w:rsid w:val="000E59B1"/>
    <w:rsid w:val="000E5DFD"/>
    <w:rsid w:val="000E637E"/>
    <w:rsid w:val="000E741B"/>
    <w:rsid w:val="000E75C6"/>
    <w:rsid w:val="000E78E7"/>
    <w:rsid w:val="000E7A4D"/>
    <w:rsid w:val="000E7D50"/>
    <w:rsid w:val="000F0956"/>
    <w:rsid w:val="000F1150"/>
    <w:rsid w:val="000F1B30"/>
    <w:rsid w:val="000F1DB4"/>
    <w:rsid w:val="000F1EA3"/>
    <w:rsid w:val="000F1F89"/>
    <w:rsid w:val="000F26B1"/>
    <w:rsid w:val="000F2B13"/>
    <w:rsid w:val="000F3691"/>
    <w:rsid w:val="000F3826"/>
    <w:rsid w:val="000F38A0"/>
    <w:rsid w:val="000F39F4"/>
    <w:rsid w:val="000F42FC"/>
    <w:rsid w:val="000F58D4"/>
    <w:rsid w:val="000F674A"/>
    <w:rsid w:val="000F6D84"/>
    <w:rsid w:val="000F762F"/>
    <w:rsid w:val="000F79EC"/>
    <w:rsid w:val="000F79F5"/>
    <w:rsid w:val="0010032C"/>
    <w:rsid w:val="00100502"/>
    <w:rsid w:val="001010E0"/>
    <w:rsid w:val="0010156B"/>
    <w:rsid w:val="00102231"/>
    <w:rsid w:val="001022A8"/>
    <w:rsid w:val="001024DE"/>
    <w:rsid w:val="00103286"/>
    <w:rsid w:val="00103B62"/>
    <w:rsid w:val="00104949"/>
    <w:rsid w:val="00104AB9"/>
    <w:rsid w:val="00105145"/>
    <w:rsid w:val="00105339"/>
    <w:rsid w:val="00105873"/>
    <w:rsid w:val="00105AA6"/>
    <w:rsid w:val="0010764C"/>
    <w:rsid w:val="00107B06"/>
    <w:rsid w:val="00110C75"/>
    <w:rsid w:val="00110DC3"/>
    <w:rsid w:val="00111565"/>
    <w:rsid w:val="00111CD1"/>
    <w:rsid w:val="0011207C"/>
    <w:rsid w:val="001123AD"/>
    <w:rsid w:val="00112DD7"/>
    <w:rsid w:val="0011388D"/>
    <w:rsid w:val="00113FFD"/>
    <w:rsid w:val="001141EF"/>
    <w:rsid w:val="001143D0"/>
    <w:rsid w:val="00115749"/>
    <w:rsid w:val="00115AA1"/>
    <w:rsid w:val="001179A4"/>
    <w:rsid w:val="00120FB2"/>
    <w:rsid w:val="0012174C"/>
    <w:rsid w:val="00121C1E"/>
    <w:rsid w:val="00122A92"/>
    <w:rsid w:val="001237D2"/>
    <w:rsid w:val="00124120"/>
    <w:rsid w:val="00124186"/>
    <w:rsid w:val="001251DB"/>
    <w:rsid w:val="001257CB"/>
    <w:rsid w:val="001267C7"/>
    <w:rsid w:val="001272DA"/>
    <w:rsid w:val="00127857"/>
    <w:rsid w:val="001278DE"/>
    <w:rsid w:val="00130714"/>
    <w:rsid w:val="00130B2C"/>
    <w:rsid w:val="001314EB"/>
    <w:rsid w:val="00131A05"/>
    <w:rsid w:val="0013210E"/>
    <w:rsid w:val="0013267D"/>
    <w:rsid w:val="00133338"/>
    <w:rsid w:val="001337D2"/>
    <w:rsid w:val="00133AD1"/>
    <w:rsid w:val="0013429B"/>
    <w:rsid w:val="001358AA"/>
    <w:rsid w:val="00135907"/>
    <w:rsid w:val="00135C05"/>
    <w:rsid w:val="00136F13"/>
    <w:rsid w:val="00136FD9"/>
    <w:rsid w:val="00137167"/>
    <w:rsid w:val="00137A45"/>
    <w:rsid w:val="0014072F"/>
    <w:rsid w:val="001409A6"/>
    <w:rsid w:val="0014168A"/>
    <w:rsid w:val="0014192B"/>
    <w:rsid w:val="00141AF9"/>
    <w:rsid w:val="00142858"/>
    <w:rsid w:val="00142BF3"/>
    <w:rsid w:val="00143762"/>
    <w:rsid w:val="00143845"/>
    <w:rsid w:val="00143B41"/>
    <w:rsid w:val="00143B45"/>
    <w:rsid w:val="0014436F"/>
    <w:rsid w:val="00144CBF"/>
    <w:rsid w:val="0014519F"/>
    <w:rsid w:val="001466BE"/>
    <w:rsid w:val="001468AC"/>
    <w:rsid w:val="001474C6"/>
    <w:rsid w:val="0015010A"/>
    <w:rsid w:val="00151A8A"/>
    <w:rsid w:val="001522DA"/>
    <w:rsid w:val="0015356C"/>
    <w:rsid w:val="0015684F"/>
    <w:rsid w:val="00156AC9"/>
    <w:rsid w:val="00156E26"/>
    <w:rsid w:val="00157400"/>
    <w:rsid w:val="00160492"/>
    <w:rsid w:val="001606E1"/>
    <w:rsid w:val="00161DA9"/>
    <w:rsid w:val="001628EC"/>
    <w:rsid w:val="00163B81"/>
    <w:rsid w:val="00164572"/>
    <w:rsid w:val="0016469A"/>
    <w:rsid w:val="00164A1F"/>
    <w:rsid w:val="00164EF8"/>
    <w:rsid w:val="00165035"/>
    <w:rsid w:val="001654B9"/>
    <w:rsid w:val="00165901"/>
    <w:rsid w:val="001665C6"/>
    <w:rsid w:val="00166ED8"/>
    <w:rsid w:val="0016773E"/>
    <w:rsid w:val="00170661"/>
    <w:rsid w:val="00171196"/>
    <w:rsid w:val="00171431"/>
    <w:rsid w:val="00172EA7"/>
    <w:rsid w:val="00173231"/>
    <w:rsid w:val="00173390"/>
    <w:rsid w:val="00173C64"/>
    <w:rsid w:val="00174F3A"/>
    <w:rsid w:val="00176283"/>
    <w:rsid w:val="001764C5"/>
    <w:rsid w:val="00176631"/>
    <w:rsid w:val="001766D1"/>
    <w:rsid w:val="00181CB9"/>
    <w:rsid w:val="001820B3"/>
    <w:rsid w:val="001839AE"/>
    <w:rsid w:val="0018408F"/>
    <w:rsid w:val="00184EB0"/>
    <w:rsid w:val="00185365"/>
    <w:rsid w:val="00185978"/>
    <w:rsid w:val="00186189"/>
    <w:rsid w:val="00187106"/>
    <w:rsid w:val="00187509"/>
    <w:rsid w:val="00187AB8"/>
    <w:rsid w:val="00187DF8"/>
    <w:rsid w:val="001907A3"/>
    <w:rsid w:val="00191358"/>
    <w:rsid w:val="001915F8"/>
    <w:rsid w:val="00191682"/>
    <w:rsid w:val="00191A52"/>
    <w:rsid w:val="00191BE4"/>
    <w:rsid w:val="001921D6"/>
    <w:rsid w:val="0019267B"/>
    <w:rsid w:val="00192968"/>
    <w:rsid w:val="00192F3C"/>
    <w:rsid w:val="00193A55"/>
    <w:rsid w:val="001940D2"/>
    <w:rsid w:val="00194CBC"/>
    <w:rsid w:val="00195A47"/>
    <w:rsid w:val="0019663A"/>
    <w:rsid w:val="001971CC"/>
    <w:rsid w:val="001A019C"/>
    <w:rsid w:val="001A0450"/>
    <w:rsid w:val="001A0608"/>
    <w:rsid w:val="001A078A"/>
    <w:rsid w:val="001A1859"/>
    <w:rsid w:val="001A2495"/>
    <w:rsid w:val="001A3182"/>
    <w:rsid w:val="001A35F5"/>
    <w:rsid w:val="001A4DD7"/>
    <w:rsid w:val="001A4DEB"/>
    <w:rsid w:val="001A4DF3"/>
    <w:rsid w:val="001A4E91"/>
    <w:rsid w:val="001A5DD2"/>
    <w:rsid w:val="001A5EAD"/>
    <w:rsid w:val="001A7DC5"/>
    <w:rsid w:val="001B098C"/>
    <w:rsid w:val="001B0AF0"/>
    <w:rsid w:val="001B0BB4"/>
    <w:rsid w:val="001B1876"/>
    <w:rsid w:val="001B1D04"/>
    <w:rsid w:val="001B204B"/>
    <w:rsid w:val="001B20FB"/>
    <w:rsid w:val="001B2688"/>
    <w:rsid w:val="001B2CA9"/>
    <w:rsid w:val="001B2FCE"/>
    <w:rsid w:val="001B32B7"/>
    <w:rsid w:val="001B3DB5"/>
    <w:rsid w:val="001B3ED2"/>
    <w:rsid w:val="001B3F8B"/>
    <w:rsid w:val="001B49F1"/>
    <w:rsid w:val="001B54A3"/>
    <w:rsid w:val="001B5D49"/>
    <w:rsid w:val="001B75A0"/>
    <w:rsid w:val="001C0194"/>
    <w:rsid w:val="001C045B"/>
    <w:rsid w:val="001C1FF0"/>
    <w:rsid w:val="001C2410"/>
    <w:rsid w:val="001C26AB"/>
    <w:rsid w:val="001C2756"/>
    <w:rsid w:val="001C2CF8"/>
    <w:rsid w:val="001C37D6"/>
    <w:rsid w:val="001C39F6"/>
    <w:rsid w:val="001C3DD9"/>
    <w:rsid w:val="001C3F27"/>
    <w:rsid w:val="001C509B"/>
    <w:rsid w:val="001C515E"/>
    <w:rsid w:val="001C58B2"/>
    <w:rsid w:val="001C73D4"/>
    <w:rsid w:val="001C79F6"/>
    <w:rsid w:val="001D0748"/>
    <w:rsid w:val="001D0A4B"/>
    <w:rsid w:val="001D0F4C"/>
    <w:rsid w:val="001D109D"/>
    <w:rsid w:val="001D2592"/>
    <w:rsid w:val="001D2618"/>
    <w:rsid w:val="001D261B"/>
    <w:rsid w:val="001D400D"/>
    <w:rsid w:val="001D42A6"/>
    <w:rsid w:val="001D4814"/>
    <w:rsid w:val="001D7A5E"/>
    <w:rsid w:val="001D7B12"/>
    <w:rsid w:val="001E11E9"/>
    <w:rsid w:val="001E1D2E"/>
    <w:rsid w:val="001E267D"/>
    <w:rsid w:val="001E3166"/>
    <w:rsid w:val="001E3648"/>
    <w:rsid w:val="001E4074"/>
    <w:rsid w:val="001E40E7"/>
    <w:rsid w:val="001E487D"/>
    <w:rsid w:val="001E510B"/>
    <w:rsid w:val="001E67C5"/>
    <w:rsid w:val="001E7295"/>
    <w:rsid w:val="001E74CB"/>
    <w:rsid w:val="001E79E1"/>
    <w:rsid w:val="001E7CCF"/>
    <w:rsid w:val="001E7DB1"/>
    <w:rsid w:val="001F0311"/>
    <w:rsid w:val="001F0766"/>
    <w:rsid w:val="001F0A32"/>
    <w:rsid w:val="001F0C69"/>
    <w:rsid w:val="001F1741"/>
    <w:rsid w:val="001F1C71"/>
    <w:rsid w:val="001F24D6"/>
    <w:rsid w:val="001F305F"/>
    <w:rsid w:val="001F3754"/>
    <w:rsid w:val="001F3D73"/>
    <w:rsid w:val="001F49ED"/>
    <w:rsid w:val="001F5B02"/>
    <w:rsid w:val="001F6778"/>
    <w:rsid w:val="001F680A"/>
    <w:rsid w:val="001F77A7"/>
    <w:rsid w:val="001F7B48"/>
    <w:rsid w:val="001F7D06"/>
    <w:rsid w:val="001F7EEA"/>
    <w:rsid w:val="00200A54"/>
    <w:rsid w:val="00200C48"/>
    <w:rsid w:val="00201278"/>
    <w:rsid w:val="002032E5"/>
    <w:rsid w:val="00203B47"/>
    <w:rsid w:val="00203DC7"/>
    <w:rsid w:val="002043A0"/>
    <w:rsid w:val="00204BD7"/>
    <w:rsid w:val="00205D3C"/>
    <w:rsid w:val="002070C1"/>
    <w:rsid w:val="00207493"/>
    <w:rsid w:val="00207CC9"/>
    <w:rsid w:val="00210642"/>
    <w:rsid w:val="002112B5"/>
    <w:rsid w:val="00211E0A"/>
    <w:rsid w:val="00211EEA"/>
    <w:rsid w:val="00212608"/>
    <w:rsid w:val="00212A88"/>
    <w:rsid w:val="00212E59"/>
    <w:rsid w:val="002139DD"/>
    <w:rsid w:val="00214CE8"/>
    <w:rsid w:val="00216002"/>
    <w:rsid w:val="0021640A"/>
    <w:rsid w:val="002168BA"/>
    <w:rsid w:val="00216BB2"/>
    <w:rsid w:val="00216C17"/>
    <w:rsid w:val="0021744F"/>
    <w:rsid w:val="00217648"/>
    <w:rsid w:val="002178AB"/>
    <w:rsid w:val="00217A34"/>
    <w:rsid w:val="00220F92"/>
    <w:rsid w:val="00222669"/>
    <w:rsid w:val="0022372D"/>
    <w:rsid w:val="00224747"/>
    <w:rsid w:val="0022490C"/>
    <w:rsid w:val="0022538C"/>
    <w:rsid w:val="00226230"/>
    <w:rsid w:val="002270B9"/>
    <w:rsid w:val="00227897"/>
    <w:rsid w:val="00227EA5"/>
    <w:rsid w:val="00230326"/>
    <w:rsid w:val="00230DE4"/>
    <w:rsid w:val="002313A6"/>
    <w:rsid w:val="00231D45"/>
    <w:rsid w:val="002329F4"/>
    <w:rsid w:val="00233003"/>
    <w:rsid w:val="002336BE"/>
    <w:rsid w:val="00233BA0"/>
    <w:rsid w:val="00233EC0"/>
    <w:rsid w:val="00234049"/>
    <w:rsid w:val="00234090"/>
    <w:rsid w:val="00234712"/>
    <w:rsid w:val="00234B22"/>
    <w:rsid w:val="00234CBE"/>
    <w:rsid w:val="00235C4D"/>
    <w:rsid w:val="0023630D"/>
    <w:rsid w:val="002364AA"/>
    <w:rsid w:val="002369BC"/>
    <w:rsid w:val="00236BAC"/>
    <w:rsid w:val="00236DA7"/>
    <w:rsid w:val="00237DD3"/>
    <w:rsid w:val="00240389"/>
    <w:rsid w:val="0024194E"/>
    <w:rsid w:val="00243E11"/>
    <w:rsid w:val="00243F14"/>
    <w:rsid w:val="00244437"/>
    <w:rsid w:val="00244932"/>
    <w:rsid w:val="00244D07"/>
    <w:rsid w:val="0024581E"/>
    <w:rsid w:val="00245F11"/>
    <w:rsid w:val="00246242"/>
    <w:rsid w:val="002463A7"/>
    <w:rsid w:val="0024684C"/>
    <w:rsid w:val="002475B7"/>
    <w:rsid w:val="00250497"/>
    <w:rsid w:val="00250D32"/>
    <w:rsid w:val="002512E9"/>
    <w:rsid w:val="00252123"/>
    <w:rsid w:val="002527D9"/>
    <w:rsid w:val="00252D93"/>
    <w:rsid w:val="00253442"/>
    <w:rsid w:val="00253F1D"/>
    <w:rsid w:val="00254B39"/>
    <w:rsid w:val="00255B26"/>
    <w:rsid w:val="00257376"/>
    <w:rsid w:val="00257E23"/>
    <w:rsid w:val="002604DF"/>
    <w:rsid w:val="002617A8"/>
    <w:rsid w:val="00261A99"/>
    <w:rsid w:val="00262A5F"/>
    <w:rsid w:val="00265A41"/>
    <w:rsid w:val="00265A70"/>
    <w:rsid w:val="00267CBB"/>
    <w:rsid w:val="002704DB"/>
    <w:rsid w:val="00270DAA"/>
    <w:rsid w:val="00271E0E"/>
    <w:rsid w:val="00272251"/>
    <w:rsid w:val="00273DDB"/>
    <w:rsid w:val="002741D4"/>
    <w:rsid w:val="002754DF"/>
    <w:rsid w:val="00275965"/>
    <w:rsid w:val="00276A06"/>
    <w:rsid w:val="00276D8B"/>
    <w:rsid w:val="00277078"/>
    <w:rsid w:val="0027775B"/>
    <w:rsid w:val="0028000C"/>
    <w:rsid w:val="00280B00"/>
    <w:rsid w:val="00280BD2"/>
    <w:rsid w:val="00280EF2"/>
    <w:rsid w:val="00282C05"/>
    <w:rsid w:val="0028309B"/>
    <w:rsid w:val="0028459F"/>
    <w:rsid w:val="002857FE"/>
    <w:rsid w:val="00285939"/>
    <w:rsid w:val="0028687E"/>
    <w:rsid w:val="00286B70"/>
    <w:rsid w:val="00286D4C"/>
    <w:rsid w:val="00287CEB"/>
    <w:rsid w:val="00290270"/>
    <w:rsid w:val="002906D4"/>
    <w:rsid w:val="00291BCD"/>
    <w:rsid w:val="00291FFE"/>
    <w:rsid w:val="00292A6D"/>
    <w:rsid w:val="00292E8B"/>
    <w:rsid w:val="002933E2"/>
    <w:rsid w:val="00293441"/>
    <w:rsid w:val="00293E9A"/>
    <w:rsid w:val="00294732"/>
    <w:rsid w:val="002949E1"/>
    <w:rsid w:val="00294C66"/>
    <w:rsid w:val="002952B3"/>
    <w:rsid w:val="0029573B"/>
    <w:rsid w:val="00295A28"/>
    <w:rsid w:val="00295A8E"/>
    <w:rsid w:val="0029636E"/>
    <w:rsid w:val="00296634"/>
    <w:rsid w:val="002974DE"/>
    <w:rsid w:val="0029768C"/>
    <w:rsid w:val="00297AFF"/>
    <w:rsid w:val="002A040D"/>
    <w:rsid w:val="002A1DA5"/>
    <w:rsid w:val="002A279D"/>
    <w:rsid w:val="002A3DA4"/>
    <w:rsid w:val="002A4B51"/>
    <w:rsid w:val="002A698F"/>
    <w:rsid w:val="002A7BD3"/>
    <w:rsid w:val="002B07DF"/>
    <w:rsid w:val="002B0B41"/>
    <w:rsid w:val="002B0E41"/>
    <w:rsid w:val="002B1136"/>
    <w:rsid w:val="002B148B"/>
    <w:rsid w:val="002B1A8A"/>
    <w:rsid w:val="002B1B4D"/>
    <w:rsid w:val="002B1E23"/>
    <w:rsid w:val="002B1F8A"/>
    <w:rsid w:val="002B260B"/>
    <w:rsid w:val="002B30A5"/>
    <w:rsid w:val="002B333D"/>
    <w:rsid w:val="002B3A75"/>
    <w:rsid w:val="002B3B86"/>
    <w:rsid w:val="002B4031"/>
    <w:rsid w:val="002B4AFA"/>
    <w:rsid w:val="002B54C1"/>
    <w:rsid w:val="002B56AC"/>
    <w:rsid w:val="002B59AF"/>
    <w:rsid w:val="002B6A04"/>
    <w:rsid w:val="002B739B"/>
    <w:rsid w:val="002B77F1"/>
    <w:rsid w:val="002C1DC1"/>
    <w:rsid w:val="002C4A11"/>
    <w:rsid w:val="002C4A80"/>
    <w:rsid w:val="002C4B87"/>
    <w:rsid w:val="002C4DDE"/>
    <w:rsid w:val="002C5179"/>
    <w:rsid w:val="002C65FE"/>
    <w:rsid w:val="002C67F5"/>
    <w:rsid w:val="002C714E"/>
    <w:rsid w:val="002D09FA"/>
    <w:rsid w:val="002D0D79"/>
    <w:rsid w:val="002D0DB9"/>
    <w:rsid w:val="002D101D"/>
    <w:rsid w:val="002D25A1"/>
    <w:rsid w:val="002D30BD"/>
    <w:rsid w:val="002D31CF"/>
    <w:rsid w:val="002D4086"/>
    <w:rsid w:val="002D4CC2"/>
    <w:rsid w:val="002D54F7"/>
    <w:rsid w:val="002D6FBC"/>
    <w:rsid w:val="002D733F"/>
    <w:rsid w:val="002D7C59"/>
    <w:rsid w:val="002E06C5"/>
    <w:rsid w:val="002E09FD"/>
    <w:rsid w:val="002E0A44"/>
    <w:rsid w:val="002E1166"/>
    <w:rsid w:val="002E11EA"/>
    <w:rsid w:val="002E192B"/>
    <w:rsid w:val="002E2C54"/>
    <w:rsid w:val="002E4264"/>
    <w:rsid w:val="002E4525"/>
    <w:rsid w:val="002E6571"/>
    <w:rsid w:val="002E6574"/>
    <w:rsid w:val="002E6A88"/>
    <w:rsid w:val="002E7784"/>
    <w:rsid w:val="002F0496"/>
    <w:rsid w:val="002F0D80"/>
    <w:rsid w:val="002F1C2A"/>
    <w:rsid w:val="002F27BA"/>
    <w:rsid w:val="002F3692"/>
    <w:rsid w:val="002F3D85"/>
    <w:rsid w:val="002F401F"/>
    <w:rsid w:val="002F460C"/>
    <w:rsid w:val="002F555A"/>
    <w:rsid w:val="002F5CA5"/>
    <w:rsid w:val="002F62B6"/>
    <w:rsid w:val="00300514"/>
    <w:rsid w:val="00300771"/>
    <w:rsid w:val="00300E07"/>
    <w:rsid w:val="003011FF"/>
    <w:rsid w:val="003025B3"/>
    <w:rsid w:val="003028DA"/>
    <w:rsid w:val="00302D20"/>
    <w:rsid w:val="00302DFC"/>
    <w:rsid w:val="003041F6"/>
    <w:rsid w:val="00304334"/>
    <w:rsid w:val="00304406"/>
    <w:rsid w:val="00305036"/>
    <w:rsid w:val="00305578"/>
    <w:rsid w:val="003058ED"/>
    <w:rsid w:val="003062FA"/>
    <w:rsid w:val="003108D8"/>
    <w:rsid w:val="00310B45"/>
    <w:rsid w:val="00311370"/>
    <w:rsid w:val="0031174C"/>
    <w:rsid w:val="00311764"/>
    <w:rsid w:val="003118D4"/>
    <w:rsid w:val="00312241"/>
    <w:rsid w:val="00312ED9"/>
    <w:rsid w:val="003136CB"/>
    <w:rsid w:val="003145C2"/>
    <w:rsid w:val="003157FB"/>
    <w:rsid w:val="00315A7B"/>
    <w:rsid w:val="00315D26"/>
    <w:rsid w:val="003165A2"/>
    <w:rsid w:val="00316920"/>
    <w:rsid w:val="00317470"/>
    <w:rsid w:val="00317950"/>
    <w:rsid w:val="00317CA6"/>
    <w:rsid w:val="00317D73"/>
    <w:rsid w:val="00317DE4"/>
    <w:rsid w:val="003208CC"/>
    <w:rsid w:val="0032109D"/>
    <w:rsid w:val="003218E3"/>
    <w:rsid w:val="00322115"/>
    <w:rsid w:val="00322D3A"/>
    <w:rsid w:val="00323191"/>
    <w:rsid w:val="003233D4"/>
    <w:rsid w:val="00323492"/>
    <w:rsid w:val="00323F64"/>
    <w:rsid w:val="00324178"/>
    <w:rsid w:val="00324853"/>
    <w:rsid w:val="00324C19"/>
    <w:rsid w:val="00326285"/>
    <w:rsid w:val="0032656A"/>
    <w:rsid w:val="003269A0"/>
    <w:rsid w:val="00326E19"/>
    <w:rsid w:val="0032764E"/>
    <w:rsid w:val="00332763"/>
    <w:rsid w:val="00333758"/>
    <w:rsid w:val="00333A94"/>
    <w:rsid w:val="00334566"/>
    <w:rsid w:val="0033474E"/>
    <w:rsid w:val="003347CF"/>
    <w:rsid w:val="00334D2B"/>
    <w:rsid w:val="0033639F"/>
    <w:rsid w:val="00336EC1"/>
    <w:rsid w:val="00337313"/>
    <w:rsid w:val="003373CB"/>
    <w:rsid w:val="00337FE8"/>
    <w:rsid w:val="0034047E"/>
    <w:rsid w:val="003415B4"/>
    <w:rsid w:val="00341900"/>
    <w:rsid w:val="00342D99"/>
    <w:rsid w:val="00343176"/>
    <w:rsid w:val="0034388E"/>
    <w:rsid w:val="00343A52"/>
    <w:rsid w:val="00344938"/>
    <w:rsid w:val="0034553E"/>
    <w:rsid w:val="00345752"/>
    <w:rsid w:val="00345F29"/>
    <w:rsid w:val="00346560"/>
    <w:rsid w:val="0035055C"/>
    <w:rsid w:val="00350753"/>
    <w:rsid w:val="003509D1"/>
    <w:rsid w:val="00350C81"/>
    <w:rsid w:val="00351529"/>
    <w:rsid w:val="003523F6"/>
    <w:rsid w:val="003537E7"/>
    <w:rsid w:val="00353B96"/>
    <w:rsid w:val="003542E3"/>
    <w:rsid w:val="00354EE2"/>
    <w:rsid w:val="00354F12"/>
    <w:rsid w:val="003557F8"/>
    <w:rsid w:val="00355A62"/>
    <w:rsid w:val="00356603"/>
    <w:rsid w:val="00356A1B"/>
    <w:rsid w:val="00357CD0"/>
    <w:rsid w:val="00357ED0"/>
    <w:rsid w:val="00361A6E"/>
    <w:rsid w:val="00362573"/>
    <w:rsid w:val="003627FA"/>
    <w:rsid w:val="00362CAD"/>
    <w:rsid w:val="0036305B"/>
    <w:rsid w:val="003638AC"/>
    <w:rsid w:val="00364171"/>
    <w:rsid w:val="00364DE5"/>
    <w:rsid w:val="00365104"/>
    <w:rsid w:val="00365111"/>
    <w:rsid w:val="00370469"/>
    <w:rsid w:val="003705DC"/>
    <w:rsid w:val="003708B1"/>
    <w:rsid w:val="0037143E"/>
    <w:rsid w:val="00371EAB"/>
    <w:rsid w:val="003724EF"/>
    <w:rsid w:val="00372D33"/>
    <w:rsid w:val="00372E35"/>
    <w:rsid w:val="003732AD"/>
    <w:rsid w:val="00373C59"/>
    <w:rsid w:val="00374637"/>
    <w:rsid w:val="003746DB"/>
    <w:rsid w:val="0037472A"/>
    <w:rsid w:val="0037571A"/>
    <w:rsid w:val="00375C04"/>
    <w:rsid w:val="0037610D"/>
    <w:rsid w:val="003768BB"/>
    <w:rsid w:val="00376CB3"/>
    <w:rsid w:val="003778CD"/>
    <w:rsid w:val="00381E8E"/>
    <w:rsid w:val="00381FD4"/>
    <w:rsid w:val="0038201A"/>
    <w:rsid w:val="00382689"/>
    <w:rsid w:val="0038388E"/>
    <w:rsid w:val="00383A50"/>
    <w:rsid w:val="00383BA4"/>
    <w:rsid w:val="0038413E"/>
    <w:rsid w:val="003842AB"/>
    <w:rsid w:val="00384B49"/>
    <w:rsid w:val="00386CBA"/>
    <w:rsid w:val="00387625"/>
    <w:rsid w:val="00387DF8"/>
    <w:rsid w:val="00390107"/>
    <w:rsid w:val="003907E2"/>
    <w:rsid w:val="00390BC4"/>
    <w:rsid w:val="003913C8"/>
    <w:rsid w:val="003919C7"/>
    <w:rsid w:val="00391F12"/>
    <w:rsid w:val="00392060"/>
    <w:rsid w:val="003926AB"/>
    <w:rsid w:val="00392994"/>
    <w:rsid w:val="00392DB9"/>
    <w:rsid w:val="003934A0"/>
    <w:rsid w:val="00394363"/>
    <w:rsid w:val="00394BEB"/>
    <w:rsid w:val="003953C8"/>
    <w:rsid w:val="003958D4"/>
    <w:rsid w:val="003959F3"/>
    <w:rsid w:val="00395A7B"/>
    <w:rsid w:val="00396FC0"/>
    <w:rsid w:val="00397807"/>
    <w:rsid w:val="00397E82"/>
    <w:rsid w:val="003A015A"/>
    <w:rsid w:val="003A097E"/>
    <w:rsid w:val="003A124C"/>
    <w:rsid w:val="003A20AE"/>
    <w:rsid w:val="003A2A41"/>
    <w:rsid w:val="003A2AFB"/>
    <w:rsid w:val="003A2C4C"/>
    <w:rsid w:val="003A2D63"/>
    <w:rsid w:val="003A31AE"/>
    <w:rsid w:val="003A356B"/>
    <w:rsid w:val="003A36CE"/>
    <w:rsid w:val="003A3A50"/>
    <w:rsid w:val="003A4F8E"/>
    <w:rsid w:val="003A543B"/>
    <w:rsid w:val="003A6272"/>
    <w:rsid w:val="003A72C6"/>
    <w:rsid w:val="003AB218"/>
    <w:rsid w:val="003B02E9"/>
    <w:rsid w:val="003B049D"/>
    <w:rsid w:val="003B09C8"/>
    <w:rsid w:val="003B0B41"/>
    <w:rsid w:val="003B0D37"/>
    <w:rsid w:val="003B1356"/>
    <w:rsid w:val="003B21C7"/>
    <w:rsid w:val="003B29EC"/>
    <w:rsid w:val="003B2E0B"/>
    <w:rsid w:val="003B31AA"/>
    <w:rsid w:val="003B3201"/>
    <w:rsid w:val="003B33AC"/>
    <w:rsid w:val="003B392D"/>
    <w:rsid w:val="003B43F5"/>
    <w:rsid w:val="003B44A8"/>
    <w:rsid w:val="003B46E0"/>
    <w:rsid w:val="003B4843"/>
    <w:rsid w:val="003B5A7A"/>
    <w:rsid w:val="003B63C8"/>
    <w:rsid w:val="003B63D9"/>
    <w:rsid w:val="003B6ADA"/>
    <w:rsid w:val="003B7211"/>
    <w:rsid w:val="003B772D"/>
    <w:rsid w:val="003B7E34"/>
    <w:rsid w:val="003C0099"/>
    <w:rsid w:val="003C0596"/>
    <w:rsid w:val="003C0BC6"/>
    <w:rsid w:val="003C1B85"/>
    <w:rsid w:val="003C3208"/>
    <w:rsid w:val="003C368F"/>
    <w:rsid w:val="003C3B5F"/>
    <w:rsid w:val="003C3EF4"/>
    <w:rsid w:val="003C52D1"/>
    <w:rsid w:val="003C56EC"/>
    <w:rsid w:val="003C6848"/>
    <w:rsid w:val="003D0919"/>
    <w:rsid w:val="003D0F24"/>
    <w:rsid w:val="003D1C19"/>
    <w:rsid w:val="003D2439"/>
    <w:rsid w:val="003D253A"/>
    <w:rsid w:val="003D2903"/>
    <w:rsid w:val="003D2CDD"/>
    <w:rsid w:val="003D335E"/>
    <w:rsid w:val="003D3879"/>
    <w:rsid w:val="003D38B8"/>
    <w:rsid w:val="003D38D9"/>
    <w:rsid w:val="003D5582"/>
    <w:rsid w:val="003D594E"/>
    <w:rsid w:val="003D6151"/>
    <w:rsid w:val="003D6B68"/>
    <w:rsid w:val="003D6B89"/>
    <w:rsid w:val="003D6D63"/>
    <w:rsid w:val="003E03F5"/>
    <w:rsid w:val="003E0563"/>
    <w:rsid w:val="003E0C0D"/>
    <w:rsid w:val="003E16F3"/>
    <w:rsid w:val="003E1B7D"/>
    <w:rsid w:val="003E1EAE"/>
    <w:rsid w:val="003E20EC"/>
    <w:rsid w:val="003E2B1C"/>
    <w:rsid w:val="003E307A"/>
    <w:rsid w:val="003E30C8"/>
    <w:rsid w:val="003E32AB"/>
    <w:rsid w:val="003E3922"/>
    <w:rsid w:val="003E3BC6"/>
    <w:rsid w:val="003E5462"/>
    <w:rsid w:val="003E5AEB"/>
    <w:rsid w:val="003E6521"/>
    <w:rsid w:val="003E6CE7"/>
    <w:rsid w:val="003E6DD4"/>
    <w:rsid w:val="003F0AA1"/>
    <w:rsid w:val="003F0BD0"/>
    <w:rsid w:val="003F0E61"/>
    <w:rsid w:val="003F186D"/>
    <w:rsid w:val="003F18BC"/>
    <w:rsid w:val="003F1D30"/>
    <w:rsid w:val="003F2F8D"/>
    <w:rsid w:val="003F44B5"/>
    <w:rsid w:val="003F48E6"/>
    <w:rsid w:val="003F4B7C"/>
    <w:rsid w:val="003F4FE7"/>
    <w:rsid w:val="003F50F3"/>
    <w:rsid w:val="003F55F2"/>
    <w:rsid w:val="003F6BA5"/>
    <w:rsid w:val="003F6BC2"/>
    <w:rsid w:val="003F70C8"/>
    <w:rsid w:val="003F70E6"/>
    <w:rsid w:val="003F7BDC"/>
    <w:rsid w:val="004000E9"/>
    <w:rsid w:val="00400122"/>
    <w:rsid w:val="004004A9"/>
    <w:rsid w:val="0040098F"/>
    <w:rsid w:val="0040138E"/>
    <w:rsid w:val="004016D0"/>
    <w:rsid w:val="004029CD"/>
    <w:rsid w:val="0040370D"/>
    <w:rsid w:val="0040392F"/>
    <w:rsid w:val="004067EA"/>
    <w:rsid w:val="0040713C"/>
    <w:rsid w:val="00407C4C"/>
    <w:rsid w:val="004101C1"/>
    <w:rsid w:val="0041071D"/>
    <w:rsid w:val="00410CF3"/>
    <w:rsid w:val="004117D4"/>
    <w:rsid w:val="0041226F"/>
    <w:rsid w:val="004125C5"/>
    <w:rsid w:val="00412F31"/>
    <w:rsid w:val="00413C15"/>
    <w:rsid w:val="00414A67"/>
    <w:rsid w:val="004155DE"/>
    <w:rsid w:val="00415930"/>
    <w:rsid w:val="004162FF"/>
    <w:rsid w:val="004164B7"/>
    <w:rsid w:val="004176CB"/>
    <w:rsid w:val="00417F05"/>
    <w:rsid w:val="00420475"/>
    <w:rsid w:val="00420A30"/>
    <w:rsid w:val="00421831"/>
    <w:rsid w:val="00426764"/>
    <w:rsid w:val="00426933"/>
    <w:rsid w:val="00426E6D"/>
    <w:rsid w:val="0042759C"/>
    <w:rsid w:val="00427AC8"/>
    <w:rsid w:val="00430EAE"/>
    <w:rsid w:val="00431386"/>
    <w:rsid w:val="0043225B"/>
    <w:rsid w:val="00432632"/>
    <w:rsid w:val="00432726"/>
    <w:rsid w:val="00432A7E"/>
    <w:rsid w:val="00432C89"/>
    <w:rsid w:val="00433346"/>
    <w:rsid w:val="00433A5A"/>
    <w:rsid w:val="00435CBE"/>
    <w:rsid w:val="00435D9E"/>
    <w:rsid w:val="00435F9A"/>
    <w:rsid w:val="00435FEA"/>
    <w:rsid w:val="004372C2"/>
    <w:rsid w:val="0043769D"/>
    <w:rsid w:val="00437CA8"/>
    <w:rsid w:val="00437FCF"/>
    <w:rsid w:val="004400E7"/>
    <w:rsid w:val="00440259"/>
    <w:rsid w:val="004406D5"/>
    <w:rsid w:val="004407AB"/>
    <w:rsid w:val="00440F36"/>
    <w:rsid w:val="0044140E"/>
    <w:rsid w:val="00441C53"/>
    <w:rsid w:val="004425F1"/>
    <w:rsid w:val="0044292F"/>
    <w:rsid w:val="004441D7"/>
    <w:rsid w:val="00444EB2"/>
    <w:rsid w:val="00445D85"/>
    <w:rsid w:val="0044602C"/>
    <w:rsid w:val="004463AB"/>
    <w:rsid w:val="00446A0B"/>
    <w:rsid w:val="004472F8"/>
    <w:rsid w:val="00447A72"/>
    <w:rsid w:val="00450DF4"/>
    <w:rsid w:val="00450EF3"/>
    <w:rsid w:val="00450F21"/>
    <w:rsid w:val="00451E7F"/>
    <w:rsid w:val="00452122"/>
    <w:rsid w:val="00452BAA"/>
    <w:rsid w:val="004545BF"/>
    <w:rsid w:val="00454C13"/>
    <w:rsid w:val="00454CAC"/>
    <w:rsid w:val="00455E82"/>
    <w:rsid w:val="00455EBF"/>
    <w:rsid w:val="00456044"/>
    <w:rsid w:val="00456314"/>
    <w:rsid w:val="00457808"/>
    <w:rsid w:val="00457DCE"/>
    <w:rsid w:val="00460A69"/>
    <w:rsid w:val="004617D7"/>
    <w:rsid w:val="00462DB6"/>
    <w:rsid w:val="00465093"/>
    <w:rsid w:val="004651C4"/>
    <w:rsid w:val="0046590C"/>
    <w:rsid w:val="00465D03"/>
    <w:rsid w:val="0046626C"/>
    <w:rsid w:val="00466584"/>
    <w:rsid w:val="00466D8E"/>
    <w:rsid w:val="00467211"/>
    <w:rsid w:val="00470495"/>
    <w:rsid w:val="00470C5A"/>
    <w:rsid w:val="004710AE"/>
    <w:rsid w:val="00472B87"/>
    <w:rsid w:val="00473A13"/>
    <w:rsid w:val="00473B41"/>
    <w:rsid w:val="00474141"/>
    <w:rsid w:val="0047459D"/>
    <w:rsid w:val="00476D71"/>
    <w:rsid w:val="00476F5F"/>
    <w:rsid w:val="004772E6"/>
    <w:rsid w:val="0047736C"/>
    <w:rsid w:val="00480069"/>
    <w:rsid w:val="00480645"/>
    <w:rsid w:val="0048232A"/>
    <w:rsid w:val="0048464B"/>
    <w:rsid w:val="00484B53"/>
    <w:rsid w:val="00484FD3"/>
    <w:rsid w:val="00485239"/>
    <w:rsid w:val="004852BC"/>
    <w:rsid w:val="00485D03"/>
    <w:rsid w:val="004867D1"/>
    <w:rsid w:val="0048695C"/>
    <w:rsid w:val="00486F82"/>
    <w:rsid w:val="00487478"/>
    <w:rsid w:val="00487769"/>
    <w:rsid w:val="00487E93"/>
    <w:rsid w:val="00487EFE"/>
    <w:rsid w:val="004903E0"/>
    <w:rsid w:val="0049080E"/>
    <w:rsid w:val="00490BC1"/>
    <w:rsid w:val="00490C48"/>
    <w:rsid w:val="00491570"/>
    <w:rsid w:val="00492894"/>
    <w:rsid w:val="00492C6F"/>
    <w:rsid w:val="00492F26"/>
    <w:rsid w:val="00493187"/>
    <w:rsid w:val="00493217"/>
    <w:rsid w:val="004939B1"/>
    <w:rsid w:val="004941E4"/>
    <w:rsid w:val="0049439E"/>
    <w:rsid w:val="00494717"/>
    <w:rsid w:val="00494AD5"/>
    <w:rsid w:val="004950CB"/>
    <w:rsid w:val="00495144"/>
    <w:rsid w:val="00495234"/>
    <w:rsid w:val="0049722C"/>
    <w:rsid w:val="004972F0"/>
    <w:rsid w:val="0049785F"/>
    <w:rsid w:val="00497E55"/>
    <w:rsid w:val="004A0A77"/>
    <w:rsid w:val="004A2107"/>
    <w:rsid w:val="004A3288"/>
    <w:rsid w:val="004A43D5"/>
    <w:rsid w:val="004A4467"/>
    <w:rsid w:val="004A465A"/>
    <w:rsid w:val="004A4C60"/>
    <w:rsid w:val="004A57C2"/>
    <w:rsid w:val="004A5E87"/>
    <w:rsid w:val="004A64E7"/>
    <w:rsid w:val="004A6CE5"/>
    <w:rsid w:val="004A730A"/>
    <w:rsid w:val="004A7D1F"/>
    <w:rsid w:val="004A7D8B"/>
    <w:rsid w:val="004B0813"/>
    <w:rsid w:val="004B092B"/>
    <w:rsid w:val="004B0AAF"/>
    <w:rsid w:val="004B17A4"/>
    <w:rsid w:val="004B1A0C"/>
    <w:rsid w:val="004B1DD6"/>
    <w:rsid w:val="004B2647"/>
    <w:rsid w:val="004B2ACF"/>
    <w:rsid w:val="004B3562"/>
    <w:rsid w:val="004B433D"/>
    <w:rsid w:val="004B4F2F"/>
    <w:rsid w:val="004B58CA"/>
    <w:rsid w:val="004B5AB5"/>
    <w:rsid w:val="004B5C23"/>
    <w:rsid w:val="004B71A0"/>
    <w:rsid w:val="004B720E"/>
    <w:rsid w:val="004B7652"/>
    <w:rsid w:val="004C06A1"/>
    <w:rsid w:val="004C1279"/>
    <w:rsid w:val="004C1F04"/>
    <w:rsid w:val="004C243D"/>
    <w:rsid w:val="004C37E1"/>
    <w:rsid w:val="004C38A1"/>
    <w:rsid w:val="004C3D62"/>
    <w:rsid w:val="004C4930"/>
    <w:rsid w:val="004C5721"/>
    <w:rsid w:val="004C5CBE"/>
    <w:rsid w:val="004C6123"/>
    <w:rsid w:val="004C705F"/>
    <w:rsid w:val="004C766C"/>
    <w:rsid w:val="004C7859"/>
    <w:rsid w:val="004D06F3"/>
    <w:rsid w:val="004D338C"/>
    <w:rsid w:val="004D39E9"/>
    <w:rsid w:val="004D3C2D"/>
    <w:rsid w:val="004D66A1"/>
    <w:rsid w:val="004D7416"/>
    <w:rsid w:val="004D7785"/>
    <w:rsid w:val="004E049F"/>
    <w:rsid w:val="004E0556"/>
    <w:rsid w:val="004E0CCF"/>
    <w:rsid w:val="004E0DFF"/>
    <w:rsid w:val="004E1035"/>
    <w:rsid w:val="004E11A1"/>
    <w:rsid w:val="004E2295"/>
    <w:rsid w:val="004E38A0"/>
    <w:rsid w:val="004E3B5E"/>
    <w:rsid w:val="004E4204"/>
    <w:rsid w:val="004E6C69"/>
    <w:rsid w:val="004F02C0"/>
    <w:rsid w:val="004F0E92"/>
    <w:rsid w:val="004F1F11"/>
    <w:rsid w:val="004F22C7"/>
    <w:rsid w:val="004F3948"/>
    <w:rsid w:val="004F4956"/>
    <w:rsid w:val="004F50C8"/>
    <w:rsid w:val="004F572A"/>
    <w:rsid w:val="004F5A1B"/>
    <w:rsid w:val="004F75A6"/>
    <w:rsid w:val="004F795E"/>
    <w:rsid w:val="004F7A09"/>
    <w:rsid w:val="004F7EAE"/>
    <w:rsid w:val="004F7FEF"/>
    <w:rsid w:val="00500299"/>
    <w:rsid w:val="00500727"/>
    <w:rsid w:val="005017E9"/>
    <w:rsid w:val="005018A0"/>
    <w:rsid w:val="005025D0"/>
    <w:rsid w:val="0050275D"/>
    <w:rsid w:val="00502A14"/>
    <w:rsid w:val="00502A67"/>
    <w:rsid w:val="0050326C"/>
    <w:rsid w:val="00503C04"/>
    <w:rsid w:val="0050484E"/>
    <w:rsid w:val="00504873"/>
    <w:rsid w:val="0050564C"/>
    <w:rsid w:val="00505753"/>
    <w:rsid w:val="00505BE6"/>
    <w:rsid w:val="00505CCA"/>
    <w:rsid w:val="00505DE8"/>
    <w:rsid w:val="005060FE"/>
    <w:rsid w:val="00506FB2"/>
    <w:rsid w:val="00510C47"/>
    <w:rsid w:val="00511533"/>
    <w:rsid w:val="0051207C"/>
    <w:rsid w:val="00512143"/>
    <w:rsid w:val="00512397"/>
    <w:rsid w:val="00512DE1"/>
    <w:rsid w:val="00512E40"/>
    <w:rsid w:val="00513053"/>
    <w:rsid w:val="005130AA"/>
    <w:rsid w:val="00513602"/>
    <w:rsid w:val="00514C91"/>
    <w:rsid w:val="0051564B"/>
    <w:rsid w:val="005158D8"/>
    <w:rsid w:val="00515A0F"/>
    <w:rsid w:val="00515B4E"/>
    <w:rsid w:val="00515F23"/>
    <w:rsid w:val="00515F8E"/>
    <w:rsid w:val="00517583"/>
    <w:rsid w:val="005178F6"/>
    <w:rsid w:val="0052189F"/>
    <w:rsid w:val="00521908"/>
    <w:rsid w:val="00521BCD"/>
    <w:rsid w:val="00521BD2"/>
    <w:rsid w:val="0052233C"/>
    <w:rsid w:val="0052402B"/>
    <w:rsid w:val="0052446D"/>
    <w:rsid w:val="0052489E"/>
    <w:rsid w:val="00524E2E"/>
    <w:rsid w:val="00524E97"/>
    <w:rsid w:val="00524EFA"/>
    <w:rsid w:val="005257E2"/>
    <w:rsid w:val="00526676"/>
    <w:rsid w:val="00526700"/>
    <w:rsid w:val="005277AD"/>
    <w:rsid w:val="00527A44"/>
    <w:rsid w:val="00527DB3"/>
    <w:rsid w:val="0053093F"/>
    <w:rsid w:val="00530E08"/>
    <w:rsid w:val="00532697"/>
    <w:rsid w:val="0053279E"/>
    <w:rsid w:val="00534483"/>
    <w:rsid w:val="00534CF9"/>
    <w:rsid w:val="00534F43"/>
    <w:rsid w:val="005364BC"/>
    <w:rsid w:val="005368AA"/>
    <w:rsid w:val="005369B3"/>
    <w:rsid w:val="005369DD"/>
    <w:rsid w:val="00537946"/>
    <w:rsid w:val="00537C65"/>
    <w:rsid w:val="00540113"/>
    <w:rsid w:val="00540143"/>
    <w:rsid w:val="0054084B"/>
    <w:rsid w:val="005419A8"/>
    <w:rsid w:val="00541BC6"/>
    <w:rsid w:val="00541CB0"/>
    <w:rsid w:val="00541CDE"/>
    <w:rsid w:val="0054274A"/>
    <w:rsid w:val="00542F06"/>
    <w:rsid w:val="005431E1"/>
    <w:rsid w:val="005433F7"/>
    <w:rsid w:val="005435A2"/>
    <w:rsid w:val="00547352"/>
    <w:rsid w:val="0054755B"/>
    <w:rsid w:val="00553568"/>
    <w:rsid w:val="0055356A"/>
    <w:rsid w:val="00553EA3"/>
    <w:rsid w:val="0055407F"/>
    <w:rsid w:val="00554B0C"/>
    <w:rsid w:val="00554C28"/>
    <w:rsid w:val="00554CD4"/>
    <w:rsid w:val="0055504B"/>
    <w:rsid w:val="00557A1F"/>
    <w:rsid w:val="0056021B"/>
    <w:rsid w:val="00560367"/>
    <w:rsid w:val="005605CC"/>
    <w:rsid w:val="0056107F"/>
    <w:rsid w:val="005611B3"/>
    <w:rsid w:val="00561295"/>
    <w:rsid w:val="0056342A"/>
    <w:rsid w:val="00563542"/>
    <w:rsid w:val="005643D7"/>
    <w:rsid w:val="005649CE"/>
    <w:rsid w:val="00565001"/>
    <w:rsid w:val="00565EC1"/>
    <w:rsid w:val="00566F1D"/>
    <w:rsid w:val="00567B5C"/>
    <w:rsid w:val="00571241"/>
    <w:rsid w:val="00571390"/>
    <w:rsid w:val="005720FF"/>
    <w:rsid w:val="00572188"/>
    <w:rsid w:val="00572ADA"/>
    <w:rsid w:val="00572C7F"/>
    <w:rsid w:val="00572F11"/>
    <w:rsid w:val="00573291"/>
    <w:rsid w:val="00573AD9"/>
    <w:rsid w:val="00574446"/>
    <w:rsid w:val="005751C3"/>
    <w:rsid w:val="005753CC"/>
    <w:rsid w:val="00575433"/>
    <w:rsid w:val="00575CF5"/>
    <w:rsid w:val="005766D9"/>
    <w:rsid w:val="0057678E"/>
    <w:rsid w:val="00576CD7"/>
    <w:rsid w:val="00576F96"/>
    <w:rsid w:val="005814D5"/>
    <w:rsid w:val="0058178B"/>
    <w:rsid w:val="00581985"/>
    <w:rsid w:val="00581A6E"/>
    <w:rsid w:val="00582428"/>
    <w:rsid w:val="00582659"/>
    <w:rsid w:val="00582DB9"/>
    <w:rsid w:val="00582F63"/>
    <w:rsid w:val="00583305"/>
    <w:rsid w:val="00584930"/>
    <w:rsid w:val="00584987"/>
    <w:rsid w:val="00584B23"/>
    <w:rsid w:val="00584E21"/>
    <w:rsid w:val="005851C7"/>
    <w:rsid w:val="00586A79"/>
    <w:rsid w:val="005871BF"/>
    <w:rsid w:val="00587ED4"/>
    <w:rsid w:val="00590E18"/>
    <w:rsid w:val="00592159"/>
    <w:rsid w:val="0059268A"/>
    <w:rsid w:val="00592F59"/>
    <w:rsid w:val="00595AF1"/>
    <w:rsid w:val="00595E8E"/>
    <w:rsid w:val="00596061"/>
    <w:rsid w:val="005960FB"/>
    <w:rsid w:val="00596313"/>
    <w:rsid w:val="00596387"/>
    <w:rsid w:val="00596875"/>
    <w:rsid w:val="00596B33"/>
    <w:rsid w:val="00597B06"/>
    <w:rsid w:val="005A06E1"/>
    <w:rsid w:val="005A0A67"/>
    <w:rsid w:val="005A153C"/>
    <w:rsid w:val="005A2BDC"/>
    <w:rsid w:val="005A3710"/>
    <w:rsid w:val="005A372C"/>
    <w:rsid w:val="005A3B73"/>
    <w:rsid w:val="005A44A2"/>
    <w:rsid w:val="005A5717"/>
    <w:rsid w:val="005A58D9"/>
    <w:rsid w:val="005A5DE7"/>
    <w:rsid w:val="005A6558"/>
    <w:rsid w:val="005A7CCB"/>
    <w:rsid w:val="005B0555"/>
    <w:rsid w:val="005B0887"/>
    <w:rsid w:val="005B0D32"/>
    <w:rsid w:val="005B0D54"/>
    <w:rsid w:val="005B121C"/>
    <w:rsid w:val="005B1560"/>
    <w:rsid w:val="005B2E28"/>
    <w:rsid w:val="005B2FF6"/>
    <w:rsid w:val="005B3799"/>
    <w:rsid w:val="005B453B"/>
    <w:rsid w:val="005B5258"/>
    <w:rsid w:val="005B590F"/>
    <w:rsid w:val="005B6B09"/>
    <w:rsid w:val="005B6B58"/>
    <w:rsid w:val="005C0F90"/>
    <w:rsid w:val="005C159C"/>
    <w:rsid w:val="005C2C20"/>
    <w:rsid w:val="005C3DA4"/>
    <w:rsid w:val="005C4F0A"/>
    <w:rsid w:val="005C5DA1"/>
    <w:rsid w:val="005C5F07"/>
    <w:rsid w:val="005C662B"/>
    <w:rsid w:val="005C6F5C"/>
    <w:rsid w:val="005D000B"/>
    <w:rsid w:val="005D056F"/>
    <w:rsid w:val="005D0CD7"/>
    <w:rsid w:val="005D1258"/>
    <w:rsid w:val="005D153C"/>
    <w:rsid w:val="005D40A6"/>
    <w:rsid w:val="005D4247"/>
    <w:rsid w:val="005D4A52"/>
    <w:rsid w:val="005D4B82"/>
    <w:rsid w:val="005D51BA"/>
    <w:rsid w:val="005D573C"/>
    <w:rsid w:val="005D7031"/>
    <w:rsid w:val="005D7175"/>
    <w:rsid w:val="005E16D4"/>
    <w:rsid w:val="005E22EC"/>
    <w:rsid w:val="005E30C1"/>
    <w:rsid w:val="005E38BA"/>
    <w:rsid w:val="005E39B1"/>
    <w:rsid w:val="005E3AC6"/>
    <w:rsid w:val="005E3BF0"/>
    <w:rsid w:val="005E4BDB"/>
    <w:rsid w:val="005E4F52"/>
    <w:rsid w:val="005E5E37"/>
    <w:rsid w:val="005E647E"/>
    <w:rsid w:val="005E7001"/>
    <w:rsid w:val="005E7494"/>
    <w:rsid w:val="005E79DD"/>
    <w:rsid w:val="005F0AE7"/>
    <w:rsid w:val="005F0CCD"/>
    <w:rsid w:val="005F1177"/>
    <w:rsid w:val="005F169A"/>
    <w:rsid w:val="005F1FCE"/>
    <w:rsid w:val="005F362D"/>
    <w:rsid w:val="005F3C9E"/>
    <w:rsid w:val="005F43FB"/>
    <w:rsid w:val="005F4A7C"/>
    <w:rsid w:val="005F4AA6"/>
    <w:rsid w:val="005F4AF4"/>
    <w:rsid w:val="005F4F34"/>
    <w:rsid w:val="005F4F72"/>
    <w:rsid w:val="005F540F"/>
    <w:rsid w:val="005F58AA"/>
    <w:rsid w:val="005F5929"/>
    <w:rsid w:val="005F6918"/>
    <w:rsid w:val="005F754E"/>
    <w:rsid w:val="005F764A"/>
    <w:rsid w:val="006005B6"/>
    <w:rsid w:val="00601F30"/>
    <w:rsid w:val="00602295"/>
    <w:rsid w:val="006022F3"/>
    <w:rsid w:val="00602589"/>
    <w:rsid w:val="00602A98"/>
    <w:rsid w:val="00602C99"/>
    <w:rsid w:val="00604402"/>
    <w:rsid w:val="006047D0"/>
    <w:rsid w:val="00604C08"/>
    <w:rsid w:val="00604D74"/>
    <w:rsid w:val="00604E74"/>
    <w:rsid w:val="006050DD"/>
    <w:rsid w:val="00605527"/>
    <w:rsid w:val="00605CDF"/>
    <w:rsid w:val="00605E76"/>
    <w:rsid w:val="00605F58"/>
    <w:rsid w:val="006062B7"/>
    <w:rsid w:val="00606C50"/>
    <w:rsid w:val="00610699"/>
    <w:rsid w:val="006108C2"/>
    <w:rsid w:val="00610E48"/>
    <w:rsid w:val="00611569"/>
    <w:rsid w:val="006123AF"/>
    <w:rsid w:val="006123B9"/>
    <w:rsid w:val="00613483"/>
    <w:rsid w:val="00615471"/>
    <w:rsid w:val="006158CA"/>
    <w:rsid w:val="006162AD"/>
    <w:rsid w:val="00617B8B"/>
    <w:rsid w:val="00617DE6"/>
    <w:rsid w:val="006206EC"/>
    <w:rsid w:val="006211E7"/>
    <w:rsid w:val="00622109"/>
    <w:rsid w:val="0062290C"/>
    <w:rsid w:val="00622D0D"/>
    <w:rsid w:val="006237A9"/>
    <w:rsid w:val="0062384C"/>
    <w:rsid w:val="00623C03"/>
    <w:rsid w:val="00624059"/>
    <w:rsid w:val="006241C9"/>
    <w:rsid w:val="0062464D"/>
    <w:rsid w:val="00625613"/>
    <w:rsid w:val="00626D40"/>
    <w:rsid w:val="00630259"/>
    <w:rsid w:val="006318C2"/>
    <w:rsid w:val="0063199A"/>
    <w:rsid w:val="00631C85"/>
    <w:rsid w:val="00633C36"/>
    <w:rsid w:val="00634458"/>
    <w:rsid w:val="006346C1"/>
    <w:rsid w:val="00634B8E"/>
    <w:rsid w:val="006352AD"/>
    <w:rsid w:val="00635E2C"/>
    <w:rsid w:val="00636620"/>
    <w:rsid w:val="00636633"/>
    <w:rsid w:val="00636C08"/>
    <w:rsid w:val="00636D60"/>
    <w:rsid w:val="00640698"/>
    <w:rsid w:val="00640C42"/>
    <w:rsid w:val="006419BB"/>
    <w:rsid w:val="006424EE"/>
    <w:rsid w:val="006429AF"/>
    <w:rsid w:val="00643413"/>
    <w:rsid w:val="0064363F"/>
    <w:rsid w:val="00645687"/>
    <w:rsid w:val="00645B38"/>
    <w:rsid w:val="00645CFC"/>
    <w:rsid w:val="006462BC"/>
    <w:rsid w:val="00646A1C"/>
    <w:rsid w:val="00646EFC"/>
    <w:rsid w:val="006470CC"/>
    <w:rsid w:val="00647181"/>
    <w:rsid w:val="006472D2"/>
    <w:rsid w:val="006479DD"/>
    <w:rsid w:val="00650137"/>
    <w:rsid w:val="00650723"/>
    <w:rsid w:val="006507FE"/>
    <w:rsid w:val="0065085A"/>
    <w:rsid w:val="006511D8"/>
    <w:rsid w:val="006514A9"/>
    <w:rsid w:val="00651A00"/>
    <w:rsid w:val="00653A83"/>
    <w:rsid w:val="0065468C"/>
    <w:rsid w:val="00655DCB"/>
    <w:rsid w:val="00656D01"/>
    <w:rsid w:val="00656D92"/>
    <w:rsid w:val="00656F6A"/>
    <w:rsid w:val="006573B3"/>
    <w:rsid w:val="00657C82"/>
    <w:rsid w:val="00660C81"/>
    <w:rsid w:val="00661216"/>
    <w:rsid w:val="00661566"/>
    <w:rsid w:val="00661B71"/>
    <w:rsid w:val="006635F1"/>
    <w:rsid w:val="00663E01"/>
    <w:rsid w:val="00664418"/>
    <w:rsid w:val="00664889"/>
    <w:rsid w:val="00665067"/>
    <w:rsid w:val="006650B5"/>
    <w:rsid w:val="00665190"/>
    <w:rsid w:val="00665905"/>
    <w:rsid w:val="00665A8E"/>
    <w:rsid w:val="00665D61"/>
    <w:rsid w:val="00665FB1"/>
    <w:rsid w:val="006663EB"/>
    <w:rsid w:val="0066697C"/>
    <w:rsid w:val="006678F9"/>
    <w:rsid w:val="00667C96"/>
    <w:rsid w:val="00670029"/>
    <w:rsid w:val="006704C2"/>
    <w:rsid w:val="00670950"/>
    <w:rsid w:val="0067099F"/>
    <w:rsid w:val="006709AC"/>
    <w:rsid w:val="00670D0B"/>
    <w:rsid w:val="00670FAA"/>
    <w:rsid w:val="006713AB"/>
    <w:rsid w:val="00672218"/>
    <w:rsid w:val="006731C3"/>
    <w:rsid w:val="00673C14"/>
    <w:rsid w:val="00674294"/>
    <w:rsid w:val="00675A4A"/>
    <w:rsid w:val="00676607"/>
    <w:rsid w:val="006766D9"/>
    <w:rsid w:val="00677475"/>
    <w:rsid w:val="0067784F"/>
    <w:rsid w:val="00677A9A"/>
    <w:rsid w:val="006801FD"/>
    <w:rsid w:val="006804E9"/>
    <w:rsid w:val="00680768"/>
    <w:rsid w:val="006807BA"/>
    <w:rsid w:val="00680CEA"/>
    <w:rsid w:val="00680DC9"/>
    <w:rsid w:val="00680F73"/>
    <w:rsid w:val="00681785"/>
    <w:rsid w:val="00681BE3"/>
    <w:rsid w:val="00682455"/>
    <w:rsid w:val="006827D5"/>
    <w:rsid w:val="006836D3"/>
    <w:rsid w:val="0068379D"/>
    <w:rsid w:val="00684ACE"/>
    <w:rsid w:val="00685F2A"/>
    <w:rsid w:val="0068739E"/>
    <w:rsid w:val="00687658"/>
    <w:rsid w:val="00687955"/>
    <w:rsid w:val="00687A14"/>
    <w:rsid w:val="00687C39"/>
    <w:rsid w:val="006906A5"/>
    <w:rsid w:val="00690D19"/>
    <w:rsid w:val="00691551"/>
    <w:rsid w:val="00691AA1"/>
    <w:rsid w:val="00691FF9"/>
    <w:rsid w:val="00692B05"/>
    <w:rsid w:val="00692EC4"/>
    <w:rsid w:val="006933C3"/>
    <w:rsid w:val="00693C77"/>
    <w:rsid w:val="00693C93"/>
    <w:rsid w:val="00693D99"/>
    <w:rsid w:val="006940BD"/>
    <w:rsid w:val="00694721"/>
    <w:rsid w:val="0069562B"/>
    <w:rsid w:val="00695E1E"/>
    <w:rsid w:val="006A0140"/>
    <w:rsid w:val="006A0A8C"/>
    <w:rsid w:val="006A0D1F"/>
    <w:rsid w:val="006A1117"/>
    <w:rsid w:val="006A117C"/>
    <w:rsid w:val="006A1325"/>
    <w:rsid w:val="006A193F"/>
    <w:rsid w:val="006A212A"/>
    <w:rsid w:val="006A3597"/>
    <w:rsid w:val="006A48E4"/>
    <w:rsid w:val="006A53A7"/>
    <w:rsid w:val="006A5D2A"/>
    <w:rsid w:val="006A6FA6"/>
    <w:rsid w:val="006A710F"/>
    <w:rsid w:val="006B0203"/>
    <w:rsid w:val="006B05BC"/>
    <w:rsid w:val="006B14DC"/>
    <w:rsid w:val="006B1DB0"/>
    <w:rsid w:val="006B2261"/>
    <w:rsid w:val="006B38CA"/>
    <w:rsid w:val="006B3C16"/>
    <w:rsid w:val="006B503A"/>
    <w:rsid w:val="006B51BB"/>
    <w:rsid w:val="006B5635"/>
    <w:rsid w:val="006B6C01"/>
    <w:rsid w:val="006B6C6D"/>
    <w:rsid w:val="006B7A6B"/>
    <w:rsid w:val="006C17F0"/>
    <w:rsid w:val="006C19EC"/>
    <w:rsid w:val="006C1EEC"/>
    <w:rsid w:val="006C2130"/>
    <w:rsid w:val="006C27F2"/>
    <w:rsid w:val="006C3057"/>
    <w:rsid w:val="006C306B"/>
    <w:rsid w:val="006C3ECB"/>
    <w:rsid w:val="006C4DCE"/>
    <w:rsid w:val="006C4E5D"/>
    <w:rsid w:val="006C5085"/>
    <w:rsid w:val="006C58DB"/>
    <w:rsid w:val="006C6358"/>
    <w:rsid w:val="006C6923"/>
    <w:rsid w:val="006C6F1A"/>
    <w:rsid w:val="006C776C"/>
    <w:rsid w:val="006C7D5E"/>
    <w:rsid w:val="006D0940"/>
    <w:rsid w:val="006D0D1F"/>
    <w:rsid w:val="006D1711"/>
    <w:rsid w:val="006D1A8E"/>
    <w:rsid w:val="006D1B08"/>
    <w:rsid w:val="006D3057"/>
    <w:rsid w:val="006D32F3"/>
    <w:rsid w:val="006D349B"/>
    <w:rsid w:val="006D3943"/>
    <w:rsid w:val="006D406B"/>
    <w:rsid w:val="006D4727"/>
    <w:rsid w:val="006D4D5B"/>
    <w:rsid w:val="006D5397"/>
    <w:rsid w:val="006D5C4E"/>
    <w:rsid w:val="006D6FF3"/>
    <w:rsid w:val="006D71EC"/>
    <w:rsid w:val="006D71F4"/>
    <w:rsid w:val="006D7E9B"/>
    <w:rsid w:val="006E0635"/>
    <w:rsid w:val="006E147C"/>
    <w:rsid w:val="006E1FEE"/>
    <w:rsid w:val="006E2B36"/>
    <w:rsid w:val="006E3699"/>
    <w:rsid w:val="006E37B2"/>
    <w:rsid w:val="006E3FC4"/>
    <w:rsid w:val="006E415A"/>
    <w:rsid w:val="006E4792"/>
    <w:rsid w:val="006E5F8A"/>
    <w:rsid w:val="006E612F"/>
    <w:rsid w:val="006E61BF"/>
    <w:rsid w:val="006E679A"/>
    <w:rsid w:val="006E7C3E"/>
    <w:rsid w:val="006F0769"/>
    <w:rsid w:val="006F249E"/>
    <w:rsid w:val="006F2673"/>
    <w:rsid w:val="006F3731"/>
    <w:rsid w:val="006F442C"/>
    <w:rsid w:val="006F4FDD"/>
    <w:rsid w:val="006F53D1"/>
    <w:rsid w:val="006F5583"/>
    <w:rsid w:val="006F5C66"/>
    <w:rsid w:val="006F6B5E"/>
    <w:rsid w:val="006F6DEF"/>
    <w:rsid w:val="006F741F"/>
    <w:rsid w:val="006F775A"/>
    <w:rsid w:val="006F79EE"/>
    <w:rsid w:val="0070038C"/>
    <w:rsid w:val="00700621"/>
    <w:rsid w:val="007006E3"/>
    <w:rsid w:val="00700723"/>
    <w:rsid w:val="00700801"/>
    <w:rsid w:val="0070097F"/>
    <w:rsid w:val="007017D3"/>
    <w:rsid w:val="007019CD"/>
    <w:rsid w:val="00701F24"/>
    <w:rsid w:val="00702C7A"/>
    <w:rsid w:val="00702C89"/>
    <w:rsid w:val="007030D6"/>
    <w:rsid w:val="007043E9"/>
    <w:rsid w:val="007044E8"/>
    <w:rsid w:val="00704CDD"/>
    <w:rsid w:val="00705FA6"/>
    <w:rsid w:val="00706063"/>
    <w:rsid w:val="00706550"/>
    <w:rsid w:val="007067FD"/>
    <w:rsid w:val="00707CF7"/>
    <w:rsid w:val="00710035"/>
    <w:rsid w:val="007102E4"/>
    <w:rsid w:val="00710512"/>
    <w:rsid w:val="0071148C"/>
    <w:rsid w:val="00711A59"/>
    <w:rsid w:val="0071277C"/>
    <w:rsid w:val="00712AF8"/>
    <w:rsid w:val="0071315F"/>
    <w:rsid w:val="00713303"/>
    <w:rsid w:val="007134E9"/>
    <w:rsid w:val="007135CA"/>
    <w:rsid w:val="0071368F"/>
    <w:rsid w:val="0071394D"/>
    <w:rsid w:val="00714E55"/>
    <w:rsid w:val="00715084"/>
    <w:rsid w:val="007154CF"/>
    <w:rsid w:val="00715D13"/>
    <w:rsid w:val="00716590"/>
    <w:rsid w:val="0071666E"/>
    <w:rsid w:val="00716F5C"/>
    <w:rsid w:val="00720316"/>
    <w:rsid w:val="00721437"/>
    <w:rsid w:val="007217E3"/>
    <w:rsid w:val="00721ADF"/>
    <w:rsid w:val="007230D5"/>
    <w:rsid w:val="00723320"/>
    <w:rsid w:val="00724163"/>
    <w:rsid w:val="00725E8A"/>
    <w:rsid w:val="007272AB"/>
    <w:rsid w:val="00727703"/>
    <w:rsid w:val="00727D05"/>
    <w:rsid w:val="00731240"/>
    <w:rsid w:val="00731C08"/>
    <w:rsid w:val="00731EA4"/>
    <w:rsid w:val="00732577"/>
    <w:rsid w:val="00732BE5"/>
    <w:rsid w:val="00733217"/>
    <w:rsid w:val="0073399F"/>
    <w:rsid w:val="00734DA4"/>
    <w:rsid w:val="00736221"/>
    <w:rsid w:val="00737301"/>
    <w:rsid w:val="00737FDD"/>
    <w:rsid w:val="00740839"/>
    <w:rsid w:val="00740A51"/>
    <w:rsid w:val="007433CB"/>
    <w:rsid w:val="007440D8"/>
    <w:rsid w:val="00744EC1"/>
    <w:rsid w:val="00744F07"/>
    <w:rsid w:val="00745DEB"/>
    <w:rsid w:val="007465B0"/>
    <w:rsid w:val="0074694B"/>
    <w:rsid w:val="00746E61"/>
    <w:rsid w:val="007470C9"/>
    <w:rsid w:val="00747202"/>
    <w:rsid w:val="00747290"/>
    <w:rsid w:val="00747468"/>
    <w:rsid w:val="00747E41"/>
    <w:rsid w:val="00747FFD"/>
    <w:rsid w:val="00750DFB"/>
    <w:rsid w:val="0075109F"/>
    <w:rsid w:val="007514BF"/>
    <w:rsid w:val="00751AB2"/>
    <w:rsid w:val="00752BB0"/>
    <w:rsid w:val="0075408A"/>
    <w:rsid w:val="00754627"/>
    <w:rsid w:val="00754B6F"/>
    <w:rsid w:val="00755116"/>
    <w:rsid w:val="00755262"/>
    <w:rsid w:val="00756321"/>
    <w:rsid w:val="00757292"/>
    <w:rsid w:val="007620AA"/>
    <w:rsid w:val="00762596"/>
    <w:rsid w:val="00762A1E"/>
    <w:rsid w:val="007637DE"/>
    <w:rsid w:val="00764728"/>
    <w:rsid w:val="00764F45"/>
    <w:rsid w:val="00766143"/>
    <w:rsid w:val="00766593"/>
    <w:rsid w:val="00766A01"/>
    <w:rsid w:val="00767E66"/>
    <w:rsid w:val="00767F1A"/>
    <w:rsid w:val="0077091C"/>
    <w:rsid w:val="00770F0C"/>
    <w:rsid w:val="007713EF"/>
    <w:rsid w:val="00771FAC"/>
    <w:rsid w:val="0077215F"/>
    <w:rsid w:val="00772904"/>
    <w:rsid w:val="007731E7"/>
    <w:rsid w:val="00773F66"/>
    <w:rsid w:val="007749E1"/>
    <w:rsid w:val="0077519C"/>
    <w:rsid w:val="00775357"/>
    <w:rsid w:val="00775BFC"/>
    <w:rsid w:val="00776138"/>
    <w:rsid w:val="0077626D"/>
    <w:rsid w:val="00776798"/>
    <w:rsid w:val="0077792B"/>
    <w:rsid w:val="00777A0A"/>
    <w:rsid w:val="00777D23"/>
    <w:rsid w:val="00777F64"/>
    <w:rsid w:val="007803D6"/>
    <w:rsid w:val="0078161B"/>
    <w:rsid w:val="00781E32"/>
    <w:rsid w:val="00782A07"/>
    <w:rsid w:val="00782CEE"/>
    <w:rsid w:val="00783604"/>
    <w:rsid w:val="00784223"/>
    <w:rsid w:val="00785566"/>
    <w:rsid w:val="007864D0"/>
    <w:rsid w:val="0078661F"/>
    <w:rsid w:val="00786B25"/>
    <w:rsid w:val="007874C5"/>
    <w:rsid w:val="00787F9D"/>
    <w:rsid w:val="00791A61"/>
    <w:rsid w:val="00791D82"/>
    <w:rsid w:val="00791F6C"/>
    <w:rsid w:val="00792709"/>
    <w:rsid w:val="007928CE"/>
    <w:rsid w:val="0079378C"/>
    <w:rsid w:val="007938C6"/>
    <w:rsid w:val="00797D61"/>
    <w:rsid w:val="00797DDC"/>
    <w:rsid w:val="007A00F0"/>
    <w:rsid w:val="007A0DB4"/>
    <w:rsid w:val="007A1114"/>
    <w:rsid w:val="007A1D54"/>
    <w:rsid w:val="007A2A5A"/>
    <w:rsid w:val="007A33D1"/>
    <w:rsid w:val="007A35BE"/>
    <w:rsid w:val="007A3F0E"/>
    <w:rsid w:val="007A45C4"/>
    <w:rsid w:val="007A4A3F"/>
    <w:rsid w:val="007A4CD0"/>
    <w:rsid w:val="007A4E64"/>
    <w:rsid w:val="007A528C"/>
    <w:rsid w:val="007A5C7C"/>
    <w:rsid w:val="007A7882"/>
    <w:rsid w:val="007A78AA"/>
    <w:rsid w:val="007A78E7"/>
    <w:rsid w:val="007B1623"/>
    <w:rsid w:val="007B22F4"/>
    <w:rsid w:val="007B2359"/>
    <w:rsid w:val="007B2F39"/>
    <w:rsid w:val="007B2F3D"/>
    <w:rsid w:val="007B376A"/>
    <w:rsid w:val="007B3CBE"/>
    <w:rsid w:val="007B42AE"/>
    <w:rsid w:val="007B4D0C"/>
    <w:rsid w:val="007B4DE9"/>
    <w:rsid w:val="007B4FDF"/>
    <w:rsid w:val="007B569D"/>
    <w:rsid w:val="007B59DF"/>
    <w:rsid w:val="007B5A08"/>
    <w:rsid w:val="007B5A88"/>
    <w:rsid w:val="007B62F4"/>
    <w:rsid w:val="007B682D"/>
    <w:rsid w:val="007B6A4B"/>
    <w:rsid w:val="007B7DBE"/>
    <w:rsid w:val="007B7FCD"/>
    <w:rsid w:val="007C0017"/>
    <w:rsid w:val="007C03D2"/>
    <w:rsid w:val="007C06A5"/>
    <w:rsid w:val="007C15B7"/>
    <w:rsid w:val="007C1741"/>
    <w:rsid w:val="007C2550"/>
    <w:rsid w:val="007C26E4"/>
    <w:rsid w:val="007C276A"/>
    <w:rsid w:val="007C3326"/>
    <w:rsid w:val="007C368D"/>
    <w:rsid w:val="007C4521"/>
    <w:rsid w:val="007C4C13"/>
    <w:rsid w:val="007C4D30"/>
    <w:rsid w:val="007D0A68"/>
    <w:rsid w:val="007D0C49"/>
    <w:rsid w:val="007D0EB3"/>
    <w:rsid w:val="007D17BA"/>
    <w:rsid w:val="007D1B37"/>
    <w:rsid w:val="007D1F33"/>
    <w:rsid w:val="007D1F5E"/>
    <w:rsid w:val="007D2C05"/>
    <w:rsid w:val="007D485C"/>
    <w:rsid w:val="007D64F7"/>
    <w:rsid w:val="007D67C6"/>
    <w:rsid w:val="007D7C86"/>
    <w:rsid w:val="007D7D15"/>
    <w:rsid w:val="007E0930"/>
    <w:rsid w:val="007E0A78"/>
    <w:rsid w:val="007E0A9C"/>
    <w:rsid w:val="007E14DA"/>
    <w:rsid w:val="007E1632"/>
    <w:rsid w:val="007E1AB2"/>
    <w:rsid w:val="007E34D1"/>
    <w:rsid w:val="007E3C3C"/>
    <w:rsid w:val="007E4A63"/>
    <w:rsid w:val="007E4B64"/>
    <w:rsid w:val="007E4C4E"/>
    <w:rsid w:val="007E4F28"/>
    <w:rsid w:val="007E572E"/>
    <w:rsid w:val="007E6CE6"/>
    <w:rsid w:val="007E76B2"/>
    <w:rsid w:val="007E79FA"/>
    <w:rsid w:val="007F0B8E"/>
    <w:rsid w:val="007F1086"/>
    <w:rsid w:val="007F2182"/>
    <w:rsid w:val="007F258E"/>
    <w:rsid w:val="007F3481"/>
    <w:rsid w:val="007F3AC3"/>
    <w:rsid w:val="007F3B37"/>
    <w:rsid w:val="007F45BD"/>
    <w:rsid w:val="007F45F8"/>
    <w:rsid w:val="007F46BD"/>
    <w:rsid w:val="007F6B8D"/>
    <w:rsid w:val="007F6EA8"/>
    <w:rsid w:val="0080107E"/>
    <w:rsid w:val="00801485"/>
    <w:rsid w:val="008029EE"/>
    <w:rsid w:val="00802A77"/>
    <w:rsid w:val="00803003"/>
    <w:rsid w:val="008033CD"/>
    <w:rsid w:val="00803CAE"/>
    <w:rsid w:val="00804C97"/>
    <w:rsid w:val="00804EA6"/>
    <w:rsid w:val="008055A5"/>
    <w:rsid w:val="008060B3"/>
    <w:rsid w:val="00806697"/>
    <w:rsid w:val="00807026"/>
    <w:rsid w:val="00807889"/>
    <w:rsid w:val="00807B36"/>
    <w:rsid w:val="00810305"/>
    <w:rsid w:val="008107A2"/>
    <w:rsid w:val="00810C74"/>
    <w:rsid w:val="00810E02"/>
    <w:rsid w:val="008116C4"/>
    <w:rsid w:val="00811782"/>
    <w:rsid w:val="008132E8"/>
    <w:rsid w:val="00816727"/>
    <w:rsid w:val="00816C8E"/>
    <w:rsid w:val="00817953"/>
    <w:rsid w:val="008179C5"/>
    <w:rsid w:val="00817D0B"/>
    <w:rsid w:val="0082025F"/>
    <w:rsid w:val="00820BD4"/>
    <w:rsid w:val="008216CA"/>
    <w:rsid w:val="00821F12"/>
    <w:rsid w:val="00822538"/>
    <w:rsid w:val="00822C00"/>
    <w:rsid w:val="008235C0"/>
    <w:rsid w:val="00824ABF"/>
    <w:rsid w:val="00825044"/>
    <w:rsid w:val="008262E0"/>
    <w:rsid w:val="00826627"/>
    <w:rsid w:val="00826637"/>
    <w:rsid w:val="00826E32"/>
    <w:rsid w:val="00827234"/>
    <w:rsid w:val="00827317"/>
    <w:rsid w:val="00827702"/>
    <w:rsid w:val="00827D5C"/>
    <w:rsid w:val="00827D7F"/>
    <w:rsid w:val="008308DE"/>
    <w:rsid w:val="00832F6A"/>
    <w:rsid w:val="00833D12"/>
    <w:rsid w:val="0083442C"/>
    <w:rsid w:val="00834C39"/>
    <w:rsid w:val="00834DD4"/>
    <w:rsid w:val="008351C6"/>
    <w:rsid w:val="008352A7"/>
    <w:rsid w:val="008356D4"/>
    <w:rsid w:val="00836464"/>
    <w:rsid w:val="00836AC0"/>
    <w:rsid w:val="0083752C"/>
    <w:rsid w:val="00837855"/>
    <w:rsid w:val="008379B8"/>
    <w:rsid w:val="0084065E"/>
    <w:rsid w:val="00840A42"/>
    <w:rsid w:val="00840D03"/>
    <w:rsid w:val="00841863"/>
    <w:rsid w:val="00841CA2"/>
    <w:rsid w:val="00842CAF"/>
    <w:rsid w:val="00843255"/>
    <w:rsid w:val="0084378A"/>
    <w:rsid w:val="00844142"/>
    <w:rsid w:val="00844714"/>
    <w:rsid w:val="00845F07"/>
    <w:rsid w:val="00846937"/>
    <w:rsid w:val="00846BB2"/>
    <w:rsid w:val="00850B0E"/>
    <w:rsid w:val="00851E5D"/>
    <w:rsid w:val="008520D6"/>
    <w:rsid w:val="008540B0"/>
    <w:rsid w:val="008541E4"/>
    <w:rsid w:val="00854545"/>
    <w:rsid w:val="00854FA3"/>
    <w:rsid w:val="00855D50"/>
    <w:rsid w:val="008566B8"/>
    <w:rsid w:val="008568D3"/>
    <w:rsid w:val="00856EB0"/>
    <w:rsid w:val="00861284"/>
    <w:rsid w:val="00861889"/>
    <w:rsid w:val="00861AB4"/>
    <w:rsid w:val="00862C1C"/>
    <w:rsid w:val="008633A0"/>
    <w:rsid w:val="00864545"/>
    <w:rsid w:val="00864828"/>
    <w:rsid w:val="00864B82"/>
    <w:rsid w:val="00867B30"/>
    <w:rsid w:val="00870895"/>
    <w:rsid w:val="008714A0"/>
    <w:rsid w:val="008719EE"/>
    <w:rsid w:val="00871C63"/>
    <w:rsid w:val="00871F3D"/>
    <w:rsid w:val="0087206C"/>
    <w:rsid w:val="00872408"/>
    <w:rsid w:val="00873100"/>
    <w:rsid w:val="00873229"/>
    <w:rsid w:val="00873638"/>
    <w:rsid w:val="0087533D"/>
    <w:rsid w:val="008755B9"/>
    <w:rsid w:val="00875919"/>
    <w:rsid w:val="00876139"/>
    <w:rsid w:val="0087667E"/>
    <w:rsid w:val="00876E2F"/>
    <w:rsid w:val="00876EAC"/>
    <w:rsid w:val="00877736"/>
    <w:rsid w:val="00877ABF"/>
    <w:rsid w:val="00877E1E"/>
    <w:rsid w:val="00880B81"/>
    <w:rsid w:val="00880F74"/>
    <w:rsid w:val="008813BA"/>
    <w:rsid w:val="0088155D"/>
    <w:rsid w:val="00881605"/>
    <w:rsid w:val="00881783"/>
    <w:rsid w:val="008818D2"/>
    <w:rsid w:val="00881DF6"/>
    <w:rsid w:val="00882330"/>
    <w:rsid w:val="00882360"/>
    <w:rsid w:val="00882991"/>
    <w:rsid w:val="00882CFC"/>
    <w:rsid w:val="00882DD2"/>
    <w:rsid w:val="00885D62"/>
    <w:rsid w:val="00885E17"/>
    <w:rsid w:val="00886704"/>
    <w:rsid w:val="00886CF6"/>
    <w:rsid w:val="00887470"/>
    <w:rsid w:val="00887694"/>
    <w:rsid w:val="00887A09"/>
    <w:rsid w:val="0089040A"/>
    <w:rsid w:val="00890837"/>
    <w:rsid w:val="00891750"/>
    <w:rsid w:val="00892274"/>
    <w:rsid w:val="008927C9"/>
    <w:rsid w:val="0089399B"/>
    <w:rsid w:val="008954A6"/>
    <w:rsid w:val="008954F3"/>
    <w:rsid w:val="00895B3E"/>
    <w:rsid w:val="00895C69"/>
    <w:rsid w:val="00897CA1"/>
    <w:rsid w:val="008A04F0"/>
    <w:rsid w:val="008A0D36"/>
    <w:rsid w:val="008A1DE7"/>
    <w:rsid w:val="008A1E02"/>
    <w:rsid w:val="008A2947"/>
    <w:rsid w:val="008A29DE"/>
    <w:rsid w:val="008A2A20"/>
    <w:rsid w:val="008A3805"/>
    <w:rsid w:val="008A38BE"/>
    <w:rsid w:val="008A392F"/>
    <w:rsid w:val="008A3E97"/>
    <w:rsid w:val="008A501C"/>
    <w:rsid w:val="008A6D56"/>
    <w:rsid w:val="008B00CB"/>
    <w:rsid w:val="008B0275"/>
    <w:rsid w:val="008B0549"/>
    <w:rsid w:val="008B1E9B"/>
    <w:rsid w:val="008B22D4"/>
    <w:rsid w:val="008B25BA"/>
    <w:rsid w:val="008B2BA7"/>
    <w:rsid w:val="008B2EA5"/>
    <w:rsid w:val="008B3FE3"/>
    <w:rsid w:val="008B46D6"/>
    <w:rsid w:val="008B4B07"/>
    <w:rsid w:val="008B51FC"/>
    <w:rsid w:val="008B5392"/>
    <w:rsid w:val="008B6611"/>
    <w:rsid w:val="008B6812"/>
    <w:rsid w:val="008B70A9"/>
    <w:rsid w:val="008B7F93"/>
    <w:rsid w:val="008C0581"/>
    <w:rsid w:val="008C0A2C"/>
    <w:rsid w:val="008C33AB"/>
    <w:rsid w:val="008C34D4"/>
    <w:rsid w:val="008C3E56"/>
    <w:rsid w:val="008C4B2F"/>
    <w:rsid w:val="008C5658"/>
    <w:rsid w:val="008C57DB"/>
    <w:rsid w:val="008C7C95"/>
    <w:rsid w:val="008C7CC1"/>
    <w:rsid w:val="008D1EFA"/>
    <w:rsid w:val="008D2029"/>
    <w:rsid w:val="008D23D0"/>
    <w:rsid w:val="008D33D6"/>
    <w:rsid w:val="008D3668"/>
    <w:rsid w:val="008D3E8A"/>
    <w:rsid w:val="008D4C8B"/>
    <w:rsid w:val="008D5978"/>
    <w:rsid w:val="008D5C68"/>
    <w:rsid w:val="008D5CAF"/>
    <w:rsid w:val="008D6119"/>
    <w:rsid w:val="008D74E8"/>
    <w:rsid w:val="008D795F"/>
    <w:rsid w:val="008D7DB8"/>
    <w:rsid w:val="008E0D04"/>
    <w:rsid w:val="008E0D79"/>
    <w:rsid w:val="008E0F4B"/>
    <w:rsid w:val="008E105A"/>
    <w:rsid w:val="008E18F6"/>
    <w:rsid w:val="008E25A7"/>
    <w:rsid w:val="008E37D2"/>
    <w:rsid w:val="008E3882"/>
    <w:rsid w:val="008E3A9B"/>
    <w:rsid w:val="008E3DC5"/>
    <w:rsid w:val="008E4FD4"/>
    <w:rsid w:val="008E570B"/>
    <w:rsid w:val="008E5E1F"/>
    <w:rsid w:val="008E6035"/>
    <w:rsid w:val="008E6264"/>
    <w:rsid w:val="008E6365"/>
    <w:rsid w:val="008F0864"/>
    <w:rsid w:val="008F1606"/>
    <w:rsid w:val="008F1F56"/>
    <w:rsid w:val="008F2954"/>
    <w:rsid w:val="008F2A34"/>
    <w:rsid w:val="008F3543"/>
    <w:rsid w:val="008F4C79"/>
    <w:rsid w:val="008F670B"/>
    <w:rsid w:val="009006AE"/>
    <w:rsid w:val="00902BBD"/>
    <w:rsid w:val="00902E19"/>
    <w:rsid w:val="009034C6"/>
    <w:rsid w:val="00903AE9"/>
    <w:rsid w:val="00904587"/>
    <w:rsid w:val="0090496A"/>
    <w:rsid w:val="00904F34"/>
    <w:rsid w:val="009053FC"/>
    <w:rsid w:val="00905D0A"/>
    <w:rsid w:val="009065B4"/>
    <w:rsid w:val="00907CB6"/>
    <w:rsid w:val="009100F7"/>
    <w:rsid w:val="00910690"/>
    <w:rsid w:val="00910816"/>
    <w:rsid w:val="00911FFB"/>
    <w:rsid w:val="009122C9"/>
    <w:rsid w:val="009123AD"/>
    <w:rsid w:val="00912A08"/>
    <w:rsid w:val="00913E57"/>
    <w:rsid w:val="00914355"/>
    <w:rsid w:val="009162C4"/>
    <w:rsid w:val="009168E7"/>
    <w:rsid w:val="00916B6D"/>
    <w:rsid w:val="00916CB6"/>
    <w:rsid w:val="009179C3"/>
    <w:rsid w:val="00920A8F"/>
    <w:rsid w:val="00920ED9"/>
    <w:rsid w:val="00921452"/>
    <w:rsid w:val="00921892"/>
    <w:rsid w:val="009219CB"/>
    <w:rsid w:val="009221BF"/>
    <w:rsid w:val="00923BB7"/>
    <w:rsid w:val="00925007"/>
    <w:rsid w:val="00925167"/>
    <w:rsid w:val="00925EB4"/>
    <w:rsid w:val="00925F0E"/>
    <w:rsid w:val="009260F2"/>
    <w:rsid w:val="00926A73"/>
    <w:rsid w:val="009306F4"/>
    <w:rsid w:val="00931C24"/>
    <w:rsid w:val="009325DB"/>
    <w:rsid w:val="00932EF4"/>
    <w:rsid w:val="00934878"/>
    <w:rsid w:val="009354A8"/>
    <w:rsid w:val="00935A0C"/>
    <w:rsid w:val="009360DA"/>
    <w:rsid w:val="009376E2"/>
    <w:rsid w:val="00937C7A"/>
    <w:rsid w:val="009406DE"/>
    <w:rsid w:val="009418F9"/>
    <w:rsid w:val="00941B93"/>
    <w:rsid w:val="00942080"/>
    <w:rsid w:val="009426C1"/>
    <w:rsid w:val="009429B8"/>
    <w:rsid w:val="00942EA6"/>
    <w:rsid w:val="00943079"/>
    <w:rsid w:val="009431BB"/>
    <w:rsid w:val="009432B0"/>
    <w:rsid w:val="009441B2"/>
    <w:rsid w:val="00944A74"/>
    <w:rsid w:val="00945410"/>
    <w:rsid w:val="009456D6"/>
    <w:rsid w:val="00945C91"/>
    <w:rsid w:val="00946176"/>
    <w:rsid w:val="009462F7"/>
    <w:rsid w:val="00946BEE"/>
    <w:rsid w:val="0094758A"/>
    <w:rsid w:val="00950EE4"/>
    <w:rsid w:val="0095137F"/>
    <w:rsid w:val="00951AF0"/>
    <w:rsid w:val="00951CC1"/>
    <w:rsid w:val="0095277B"/>
    <w:rsid w:val="0095297E"/>
    <w:rsid w:val="00952C97"/>
    <w:rsid w:val="00953495"/>
    <w:rsid w:val="0095350F"/>
    <w:rsid w:val="00953F03"/>
    <w:rsid w:val="00954BD0"/>
    <w:rsid w:val="00954E85"/>
    <w:rsid w:val="00955200"/>
    <w:rsid w:val="00955877"/>
    <w:rsid w:val="009560D3"/>
    <w:rsid w:val="009563C1"/>
    <w:rsid w:val="00956D82"/>
    <w:rsid w:val="00956E15"/>
    <w:rsid w:val="00960460"/>
    <w:rsid w:val="00960829"/>
    <w:rsid w:val="00960E52"/>
    <w:rsid w:val="00961037"/>
    <w:rsid w:val="00962774"/>
    <w:rsid w:val="00963265"/>
    <w:rsid w:val="009635C6"/>
    <w:rsid w:val="00963A56"/>
    <w:rsid w:val="00963AD9"/>
    <w:rsid w:val="00963DAC"/>
    <w:rsid w:val="00964758"/>
    <w:rsid w:val="0096478D"/>
    <w:rsid w:val="00966EAB"/>
    <w:rsid w:val="0096770F"/>
    <w:rsid w:val="00967B34"/>
    <w:rsid w:val="00967D77"/>
    <w:rsid w:val="0097010A"/>
    <w:rsid w:val="00970352"/>
    <w:rsid w:val="00972AB8"/>
    <w:rsid w:val="00972DF9"/>
    <w:rsid w:val="00973361"/>
    <w:rsid w:val="009744FF"/>
    <w:rsid w:val="009766C2"/>
    <w:rsid w:val="009766F2"/>
    <w:rsid w:val="00976A2D"/>
    <w:rsid w:val="00976B8A"/>
    <w:rsid w:val="00976BEB"/>
    <w:rsid w:val="00976F07"/>
    <w:rsid w:val="0097759D"/>
    <w:rsid w:val="00980F87"/>
    <w:rsid w:val="00985231"/>
    <w:rsid w:val="00985591"/>
    <w:rsid w:val="00985A7F"/>
    <w:rsid w:val="00987134"/>
    <w:rsid w:val="009876BA"/>
    <w:rsid w:val="00990578"/>
    <w:rsid w:val="009909DB"/>
    <w:rsid w:val="00991477"/>
    <w:rsid w:val="009918AB"/>
    <w:rsid w:val="00991A9F"/>
    <w:rsid w:val="00991E20"/>
    <w:rsid w:val="00991F3C"/>
    <w:rsid w:val="00997667"/>
    <w:rsid w:val="009976BB"/>
    <w:rsid w:val="00997809"/>
    <w:rsid w:val="0099799A"/>
    <w:rsid w:val="00997CC7"/>
    <w:rsid w:val="009A05AA"/>
    <w:rsid w:val="009A07C1"/>
    <w:rsid w:val="009A1FE8"/>
    <w:rsid w:val="009A2E54"/>
    <w:rsid w:val="009A34EB"/>
    <w:rsid w:val="009A38AF"/>
    <w:rsid w:val="009A44D7"/>
    <w:rsid w:val="009A549B"/>
    <w:rsid w:val="009A57A7"/>
    <w:rsid w:val="009A5AC3"/>
    <w:rsid w:val="009A5B74"/>
    <w:rsid w:val="009A65F3"/>
    <w:rsid w:val="009A6857"/>
    <w:rsid w:val="009A6858"/>
    <w:rsid w:val="009A7781"/>
    <w:rsid w:val="009B0993"/>
    <w:rsid w:val="009B0E0F"/>
    <w:rsid w:val="009B1646"/>
    <w:rsid w:val="009B1DCA"/>
    <w:rsid w:val="009B20E4"/>
    <w:rsid w:val="009B2103"/>
    <w:rsid w:val="009B2E0B"/>
    <w:rsid w:val="009B4263"/>
    <w:rsid w:val="009B4FA3"/>
    <w:rsid w:val="009B513E"/>
    <w:rsid w:val="009B5686"/>
    <w:rsid w:val="009B5F88"/>
    <w:rsid w:val="009B6713"/>
    <w:rsid w:val="009B6941"/>
    <w:rsid w:val="009B70CA"/>
    <w:rsid w:val="009B753A"/>
    <w:rsid w:val="009B7BD8"/>
    <w:rsid w:val="009B7D23"/>
    <w:rsid w:val="009C1300"/>
    <w:rsid w:val="009C1F63"/>
    <w:rsid w:val="009C27EE"/>
    <w:rsid w:val="009C2A8D"/>
    <w:rsid w:val="009C2DDA"/>
    <w:rsid w:val="009C4670"/>
    <w:rsid w:val="009C68DA"/>
    <w:rsid w:val="009C72A3"/>
    <w:rsid w:val="009C7AF0"/>
    <w:rsid w:val="009C7FDB"/>
    <w:rsid w:val="009D0809"/>
    <w:rsid w:val="009D0C2A"/>
    <w:rsid w:val="009D15AA"/>
    <w:rsid w:val="009D1F9A"/>
    <w:rsid w:val="009D2F1D"/>
    <w:rsid w:val="009D344E"/>
    <w:rsid w:val="009D3A38"/>
    <w:rsid w:val="009D3BBC"/>
    <w:rsid w:val="009D3CAF"/>
    <w:rsid w:val="009D410F"/>
    <w:rsid w:val="009D4D0E"/>
    <w:rsid w:val="009D4D51"/>
    <w:rsid w:val="009D5CAD"/>
    <w:rsid w:val="009D6700"/>
    <w:rsid w:val="009D6BAB"/>
    <w:rsid w:val="009D7BD9"/>
    <w:rsid w:val="009E0547"/>
    <w:rsid w:val="009E125A"/>
    <w:rsid w:val="009E1332"/>
    <w:rsid w:val="009E15F7"/>
    <w:rsid w:val="009E2E86"/>
    <w:rsid w:val="009E3961"/>
    <w:rsid w:val="009E47BD"/>
    <w:rsid w:val="009E5ACF"/>
    <w:rsid w:val="009E6317"/>
    <w:rsid w:val="009E6B76"/>
    <w:rsid w:val="009E6E98"/>
    <w:rsid w:val="009F0819"/>
    <w:rsid w:val="009F0B25"/>
    <w:rsid w:val="009F16F9"/>
    <w:rsid w:val="009F1905"/>
    <w:rsid w:val="009F3378"/>
    <w:rsid w:val="009F3C80"/>
    <w:rsid w:val="009F4086"/>
    <w:rsid w:val="009F40EA"/>
    <w:rsid w:val="009F4E2D"/>
    <w:rsid w:val="009F63A6"/>
    <w:rsid w:val="009F7A58"/>
    <w:rsid w:val="009F7E53"/>
    <w:rsid w:val="00A0056D"/>
    <w:rsid w:val="00A0115C"/>
    <w:rsid w:val="00A0177A"/>
    <w:rsid w:val="00A0317B"/>
    <w:rsid w:val="00A04841"/>
    <w:rsid w:val="00A05916"/>
    <w:rsid w:val="00A05B5D"/>
    <w:rsid w:val="00A06E40"/>
    <w:rsid w:val="00A06E74"/>
    <w:rsid w:val="00A0712E"/>
    <w:rsid w:val="00A10049"/>
    <w:rsid w:val="00A1013A"/>
    <w:rsid w:val="00A10730"/>
    <w:rsid w:val="00A11352"/>
    <w:rsid w:val="00A12114"/>
    <w:rsid w:val="00A12A78"/>
    <w:rsid w:val="00A12F69"/>
    <w:rsid w:val="00A1399F"/>
    <w:rsid w:val="00A13A33"/>
    <w:rsid w:val="00A13E72"/>
    <w:rsid w:val="00A1471E"/>
    <w:rsid w:val="00A14D03"/>
    <w:rsid w:val="00A15230"/>
    <w:rsid w:val="00A156B3"/>
    <w:rsid w:val="00A16555"/>
    <w:rsid w:val="00A16B27"/>
    <w:rsid w:val="00A178CB"/>
    <w:rsid w:val="00A17B55"/>
    <w:rsid w:val="00A209D4"/>
    <w:rsid w:val="00A214BD"/>
    <w:rsid w:val="00A22B07"/>
    <w:rsid w:val="00A22ECA"/>
    <w:rsid w:val="00A24B9B"/>
    <w:rsid w:val="00A25ABD"/>
    <w:rsid w:val="00A25C67"/>
    <w:rsid w:val="00A262E4"/>
    <w:rsid w:val="00A26C36"/>
    <w:rsid w:val="00A306E3"/>
    <w:rsid w:val="00A3084C"/>
    <w:rsid w:val="00A32C39"/>
    <w:rsid w:val="00A32E28"/>
    <w:rsid w:val="00A33BB4"/>
    <w:rsid w:val="00A35043"/>
    <w:rsid w:val="00A35A49"/>
    <w:rsid w:val="00A35B50"/>
    <w:rsid w:val="00A36191"/>
    <w:rsid w:val="00A370CA"/>
    <w:rsid w:val="00A371EC"/>
    <w:rsid w:val="00A4005A"/>
    <w:rsid w:val="00A401C0"/>
    <w:rsid w:val="00A405FE"/>
    <w:rsid w:val="00A40E38"/>
    <w:rsid w:val="00A41B77"/>
    <w:rsid w:val="00A425E6"/>
    <w:rsid w:val="00A426C3"/>
    <w:rsid w:val="00A42955"/>
    <w:rsid w:val="00A437F3"/>
    <w:rsid w:val="00A43CC6"/>
    <w:rsid w:val="00A442C0"/>
    <w:rsid w:val="00A4481F"/>
    <w:rsid w:val="00A4502E"/>
    <w:rsid w:val="00A457A9"/>
    <w:rsid w:val="00A461CE"/>
    <w:rsid w:val="00A463D0"/>
    <w:rsid w:val="00A472BA"/>
    <w:rsid w:val="00A47BD4"/>
    <w:rsid w:val="00A5068B"/>
    <w:rsid w:val="00A50C26"/>
    <w:rsid w:val="00A50E28"/>
    <w:rsid w:val="00A50FF2"/>
    <w:rsid w:val="00A51766"/>
    <w:rsid w:val="00A538F4"/>
    <w:rsid w:val="00A53ECC"/>
    <w:rsid w:val="00A5424E"/>
    <w:rsid w:val="00A54E6F"/>
    <w:rsid w:val="00A55610"/>
    <w:rsid w:val="00A55C8D"/>
    <w:rsid w:val="00A575CA"/>
    <w:rsid w:val="00A57A86"/>
    <w:rsid w:val="00A60A5D"/>
    <w:rsid w:val="00A60AAD"/>
    <w:rsid w:val="00A60B16"/>
    <w:rsid w:val="00A6118D"/>
    <w:rsid w:val="00A6145D"/>
    <w:rsid w:val="00A61BEA"/>
    <w:rsid w:val="00A62796"/>
    <w:rsid w:val="00A63C91"/>
    <w:rsid w:val="00A64784"/>
    <w:rsid w:val="00A64999"/>
    <w:rsid w:val="00A6535D"/>
    <w:rsid w:val="00A65803"/>
    <w:rsid w:val="00A65D1A"/>
    <w:rsid w:val="00A65DD9"/>
    <w:rsid w:val="00A6624A"/>
    <w:rsid w:val="00A66548"/>
    <w:rsid w:val="00A66629"/>
    <w:rsid w:val="00A66AA5"/>
    <w:rsid w:val="00A66DBA"/>
    <w:rsid w:val="00A671FC"/>
    <w:rsid w:val="00A67A27"/>
    <w:rsid w:val="00A7020F"/>
    <w:rsid w:val="00A70BB4"/>
    <w:rsid w:val="00A7185B"/>
    <w:rsid w:val="00A733C0"/>
    <w:rsid w:val="00A73982"/>
    <w:rsid w:val="00A74032"/>
    <w:rsid w:val="00A74216"/>
    <w:rsid w:val="00A74717"/>
    <w:rsid w:val="00A74A1D"/>
    <w:rsid w:val="00A75E4D"/>
    <w:rsid w:val="00A7627B"/>
    <w:rsid w:val="00A771CF"/>
    <w:rsid w:val="00A77D8C"/>
    <w:rsid w:val="00A802FE"/>
    <w:rsid w:val="00A808C0"/>
    <w:rsid w:val="00A80D25"/>
    <w:rsid w:val="00A819DD"/>
    <w:rsid w:val="00A826E9"/>
    <w:rsid w:val="00A82983"/>
    <w:rsid w:val="00A82BDC"/>
    <w:rsid w:val="00A82DC5"/>
    <w:rsid w:val="00A83E82"/>
    <w:rsid w:val="00A844EF"/>
    <w:rsid w:val="00A85D8B"/>
    <w:rsid w:val="00A86140"/>
    <w:rsid w:val="00A868F2"/>
    <w:rsid w:val="00A86AC9"/>
    <w:rsid w:val="00A86CAF"/>
    <w:rsid w:val="00A872DA"/>
    <w:rsid w:val="00A900B2"/>
    <w:rsid w:val="00A903F4"/>
    <w:rsid w:val="00A91AB1"/>
    <w:rsid w:val="00A927B3"/>
    <w:rsid w:val="00A93216"/>
    <w:rsid w:val="00A932B0"/>
    <w:rsid w:val="00A93B40"/>
    <w:rsid w:val="00A94267"/>
    <w:rsid w:val="00A94A04"/>
    <w:rsid w:val="00A97CB8"/>
    <w:rsid w:val="00AA249F"/>
    <w:rsid w:val="00AA3189"/>
    <w:rsid w:val="00AA34B1"/>
    <w:rsid w:val="00AA351A"/>
    <w:rsid w:val="00AA36FA"/>
    <w:rsid w:val="00AA4156"/>
    <w:rsid w:val="00AA48DD"/>
    <w:rsid w:val="00AA5BD2"/>
    <w:rsid w:val="00AA61BD"/>
    <w:rsid w:val="00AA64E9"/>
    <w:rsid w:val="00AA6520"/>
    <w:rsid w:val="00AA6C40"/>
    <w:rsid w:val="00AA6C72"/>
    <w:rsid w:val="00AA7368"/>
    <w:rsid w:val="00AB0636"/>
    <w:rsid w:val="00AB0E36"/>
    <w:rsid w:val="00AB192C"/>
    <w:rsid w:val="00AB213E"/>
    <w:rsid w:val="00AB3111"/>
    <w:rsid w:val="00AB39EC"/>
    <w:rsid w:val="00AB3FFE"/>
    <w:rsid w:val="00AB4A44"/>
    <w:rsid w:val="00AB4BDB"/>
    <w:rsid w:val="00AB5161"/>
    <w:rsid w:val="00AB6B92"/>
    <w:rsid w:val="00AB7147"/>
    <w:rsid w:val="00AB751F"/>
    <w:rsid w:val="00AC016D"/>
    <w:rsid w:val="00AC091B"/>
    <w:rsid w:val="00AC0C2F"/>
    <w:rsid w:val="00AC19CF"/>
    <w:rsid w:val="00AC2465"/>
    <w:rsid w:val="00AC3203"/>
    <w:rsid w:val="00AC4A95"/>
    <w:rsid w:val="00AC5720"/>
    <w:rsid w:val="00AC63A3"/>
    <w:rsid w:val="00AC66A5"/>
    <w:rsid w:val="00AC695C"/>
    <w:rsid w:val="00AD0AF7"/>
    <w:rsid w:val="00AD129B"/>
    <w:rsid w:val="00AD1972"/>
    <w:rsid w:val="00AD1A95"/>
    <w:rsid w:val="00AD1BC3"/>
    <w:rsid w:val="00AD25F5"/>
    <w:rsid w:val="00AD29B8"/>
    <w:rsid w:val="00AD2B3B"/>
    <w:rsid w:val="00AD2C18"/>
    <w:rsid w:val="00AD4220"/>
    <w:rsid w:val="00AD4E13"/>
    <w:rsid w:val="00AD4E37"/>
    <w:rsid w:val="00AD508C"/>
    <w:rsid w:val="00AD56FB"/>
    <w:rsid w:val="00AD5A0A"/>
    <w:rsid w:val="00AD5B23"/>
    <w:rsid w:val="00AD5DBF"/>
    <w:rsid w:val="00AD6CD5"/>
    <w:rsid w:val="00AD6EC3"/>
    <w:rsid w:val="00AD7988"/>
    <w:rsid w:val="00AE1915"/>
    <w:rsid w:val="00AE19CB"/>
    <w:rsid w:val="00AE1A27"/>
    <w:rsid w:val="00AE2C92"/>
    <w:rsid w:val="00AE30AC"/>
    <w:rsid w:val="00AE3719"/>
    <w:rsid w:val="00AE4241"/>
    <w:rsid w:val="00AE510B"/>
    <w:rsid w:val="00AE5448"/>
    <w:rsid w:val="00AE6480"/>
    <w:rsid w:val="00AE692A"/>
    <w:rsid w:val="00AE730B"/>
    <w:rsid w:val="00AE7EEB"/>
    <w:rsid w:val="00AF137A"/>
    <w:rsid w:val="00AF1858"/>
    <w:rsid w:val="00AF216E"/>
    <w:rsid w:val="00AF2666"/>
    <w:rsid w:val="00AF2DBD"/>
    <w:rsid w:val="00AF3F09"/>
    <w:rsid w:val="00AF3F8D"/>
    <w:rsid w:val="00AF41E8"/>
    <w:rsid w:val="00AF423F"/>
    <w:rsid w:val="00AF4555"/>
    <w:rsid w:val="00AF4656"/>
    <w:rsid w:val="00AF473A"/>
    <w:rsid w:val="00AF5173"/>
    <w:rsid w:val="00AF566B"/>
    <w:rsid w:val="00AF5A31"/>
    <w:rsid w:val="00AF696C"/>
    <w:rsid w:val="00AF6AE5"/>
    <w:rsid w:val="00AF7F88"/>
    <w:rsid w:val="00B00593"/>
    <w:rsid w:val="00B006DB"/>
    <w:rsid w:val="00B0285E"/>
    <w:rsid w:val="00B02EBB"/>
    <w:rsid w:val="00B0300B"/>
    <w:rsid w:val="00B03152"/>
    <w:rsid w:val="00B04368"/>
    <w:rsid w:val="00B053D3"/>
    <w:rsid w:val="00B057E1"/>
    <w:rsid w:val="00B059CB"/>
    <w:rsid w:val="00B05B2F"/>
    <w:rsid w:val="00B072D8"/>
    <w:rsid w:val="00B10507"/>
    <w:rsid w:val="00B11EF4"/>
    <w:rsid w:val="00B12B02"/>
    <w:rsid w:val="00B13DDB"/>
    <w:rsid w:val="00B152EF"/>
    <w:rsid w:val="00B15435"/>
    <w:rsid w:val="00B15F6F"/>
    <w:rsid w:val="00B15FD7"/>
    <w:rsid w:val="00B16140"/>
    <w:rsid w:val="00B1755A"/>
    <w:rsid w:val="00B1762D"/>
    <w:rsid w:val="00B20B07"/>
    <w:rsid w:val="00B214B3"/>
    <w:rsid w:val="00B21804"/>
    <w:rsid w:val="00B2223D"/>
    <w:rsid w:val="00B228BB"/>
    <w:rsid w:val="00B22DCF"/>
    <w:rsid w:val="00B235D0"/>
    <w:rsid w:val="00B23A0C"/>
    <w:rsid w:val="00B23B2A"/>
    <w:rsid w:val="00B23DE9"/>
    <w:rsid w:val="00B26069"/>
    <w:rsid w:val="00B2625C"/>
    <w:rsid w:val="00B26591"/>
    <w:rsid w:val="00B26F8F"/>
    <w:rsid w:val="00B27295"/>
    <w:rsid w:val="00B2759A"/>
    <w:rsid w:val="00B27DCF"/>
    <w:rsid w:val="00B30116"/>
    <w:rsid w:val="00B307CA"/>
    <w:rsid w:val="00B31B5D"/>
    <w:rsid w:val="00B31DCB"/>
    <w:rsid w:val="00B328AC"/>
    <w:rsid w:val="00B3299E"/>
    <w:rsid w:val="00B32EEC"/>
    <w:rsid w:val="00B32F20"/>
    <w:rsid w:val="00B3306D"/>
    <w:rsid w:val="00B336CA"/>
    <w:rsid w:val="00B34EF8"/>
    <w:rsid w:val="00B3533B"/>
    <w:rsid w:val="00B3781C"/>
    <w:rsid w:val="00B400EF"/>
    <w:rsid w:val="00B40474"/>
    <w:rsid w:val="00B408CB"/>
    <w:rsid w:val="00B40AE5"/>
    <w:rsid w:val="00B41CB3"/>
    <w:rsid w:val="00B4215B"/>
    <w:rsid w:val="00B422C2"/>
    <w:rsid w:val="00B434A5"/>
    <w:rsid w:val="00B43DD8"/>
    <w:rsid w:val="00B441DF"/>
    <w:rsid w:val="00B44743"/>
    <w:rsid w:val="00B4524D"/>
    <w:rsid w:val="00B453E7"/>
    <w:rsid w:val="00B45B27"/>
    <w:rsid w:val="00B47FDE"/>
    <w:rsid w:val="00B5050D"/>
    <w:rsid w:val="00B5094A"/>
    <w:rsid w:val="00B50D58"/>
    <w:rsid w:val="00B5156B"/>
    <w:rsid w:val="00B521A1"/>
    <w:rsid w:val="00B5374E"/>
    <w:rsid w:val="00B53934"/>
    <w:rsid w:val="00B53EF1"/>
    <w:rsid w:val="00B54107"/>
    <w:rsid w:val="00B54589"/>
    <w:rsid w:val="00B54986"/>
    <w:rsid w:val="00B54F38"/>
    <w:rsid w:val="00B5501E"/>
    <w:rsid w:val="00B56F97"/>
    <w:rsid w:val="00B574D0"/>
    <w:rsid w:val="00B575C6"/>
    <w:rsid w:val="00B62918"/>
    <w:rsid w:val="00B62EF0"/>
    <w:rsid w:val="00B62F1D"/>
    <w:rsid w:val="00B63061"/>
    <w:rsid w:val="00B6350C"/>
    <w:rsid w:val="00B64E2F"/>
    <w:rsid w:val="00B6578F"/>
    <w:rsid w:val="00B66C1B"/>
    <w:rsid w:val="00B714D3"/>
    <w:rsid w:val="00B71607"/>
    <w:rsid w:val="00B718E3"/>
    <w:rsid w:val="00B738B1"/>
    <w:rsid w:val="00B7402D"/>
    <w:rsid w:val="00B74183"/>
    <w:rsid w:val="00B74477"/>
    <w:rsid w:val="00B74586"/>
    <w:rsid w:val="00B748B7"/>
    <w:rsid w:val="00B74A12"/>
    <w:rsid w:val="00B7541B"/>
    <w:rsid w:val="00B7564D"/>
    <w:rsid w:val="00B76009"/>
    <w:rsid w:val="00B76023"/>
    <w:rsid w:val="00B76E68"/>
    <w:rsid w:val="00B80255"/>
    <w:rsid w:val="00B80667"/>
    <w:rsid w:val="00B808F1"/>
    <w:rsid w:val="00B81DEC"/>
    <w:rsid w:val="00B83157"/>
    <w:rsid w:val="00B854C9"/>
    <w:rsid w:val="00B85CF9"/>
    <w:rsid w:val="00B85E23"/>
    <w:rsid w:val="00B86232"/>
    <w:rsid w:val="00B87126"/>
    <w:rsid w:val="00B87959"/>
    <w:rsid w:val="00B901D1"/>
    <w:rsid w:val="00B91380"/>
    <w:rsid w:val="00B91C12"/>
    <w:rsid w:val="00B92788"/>
    <w:rsid w:val="00B92E18"/>
    <w:rsid w:val="00B930FB"/>
    <w:rsid w:val="00B93D3D"/>
    <w:rsid w:val="00B94ECA"/>
    <w:rsid w:val="00B953E1"/>
    <w:rsid w:val="00B96011"/>
    <w:rsid w:val="00B96D52"/>
    <w:rsid w:val="00B977C8"/>
    <w:rsid w:val="00B97CC0"/>
    <w:rsid w:val="00B97E8E"/>
    <w:rsid w:val="00BA061A"/>
    <w:rsid w:val="00BA1CE8"/>
    <w:rsid w:val="00BA1F8B"/>
    <w:rsid w:val="00BA1FFF"/>
    <w:rsid w:val="00BA20ED"/>
    <w:rsid w:val="00BA26DF"/>
    <w:rsid w:val="00BA2E91"/>
    <w:rsid w:val="00BA40AF"/>
    <w:rsid w:val="00BA47E6"/>
    <w:rsid w:val="00BA4BE8"/>
    <w:rsid w:val="00BA5887"/>
    <w:rsid w:val="00BA61B9"/>
    <w:rsid w:val="00BA66FE"/>
    <w:rsid w:val="00BA7CCD"/>
    <w:rsid w:val="00BB01B5"/>
    <w:rsid w:val="00BB1858"/>
    <w:rsid w:val="00BB287D"/>
    <w:rsid w:val="00BB2DC2"/>
    <w:rsid w:val="00BB4921"/>
    <w:rsid w:val="00BB5244"/>
    <w:rsid w:val="00BB54D4"/>
    <w:rsid w:val="00BB59A5"/>
    <w:rsid w:val="00BB60F7"/>
    <w:rsid w:val="00BB6830"/>
    <w:rsid w:val="00BB6850"/>
    <w:rsid w:val="00BB710A"/>
    <w:rsid w:val="00BB7754"/>
    <w:rsid w:val="00BB78A7"/>
    <w:rsid w:val="00BB7CB7"/>
    <w:rsid w:val="00BB7D77"/>
    <w:rsid w:val="00BC1095"/>
    <w:rsid w:val="00BC1D41"/>
    <w:rsid w:val="00BC2062"/>
    <w:rsid w:val="00BC2392"/>
    <w:rsid w:val="00BC28CF"/>
    <w:rsid w:val="00BC2AFF"/>
    <w:rsid w:val="00BC3BF5"/>
    <w:rsid w:val="00BC3F89"/>
    <w:rsid w:val="00BC470F"/>
    <w:rsid w:val="00BC56E8"/>
    <w:rsid w:val="00BC5C53"/>
    <w:rsid w:val="00BC6961"/>
    <w:rsid w:val="00BC6E40"/>
    <w:rsid w:val="00BC7AC3"/>
    <w:rsid w:val="00BC7E69"/>
    <w:rsid w:val="00BD04F8"/>
    <w:rsid w:val="00BD25B6"/>
    <w:rsid w:val="00BD2C6B"/>
    <w:rsid w:val="00BD30A3"/>
    <w:rsid w:val="00BD4989"/>
    <w:rsid w:val="00BD4B1F"/>
    <w:rsid w:val="00BD504F"/>
    <w:rsid w:val="00BD53EB"/>
    <w:rsid w:val="00BD5B01"/>
    <w:rsid w:val="00BD717D"/>
    <w:rsid w:val="00BE0AC4"/>
    <w:rsid w:val="00BE0F0A"/>
    <w:rsid w:val="00BE0F14"/>
    <w:rsid w:val="00BE128E"/>
    <w:rsid w:val="00BE1897"/>
    <w:rsid w:val="00BE1AA9"/>
    <w:rsid w:val="00BE21C4"/>
    <w:rsid w:val="00BE23ED"/>
    <w:rsid w:val="00BE3CBC"/>
    <w:rsid w:val="00BE400F"/>
    <w:rsid w:val="00BE443D"/>
    <w:rsid w:val="00BE504A"/>
    <w:rsid w:val="00BE6100"/>
    <w:rsid w:val="00BE6149"/>
    <w:rsid w:val="00BE697B"/>
    <w:rsid w:val="00BE69E7"/>
    <w:rsid w:val="00BE70A4"/>
    <w:rsid w:val="00BE71A5"/>
    <w:rsid w:val="00BE76D5"/>
    <w:rsid w:val="00BF1F43"/>
    <w:rsid w:val="00BF1F4B"/>
    <w:rsid w:val="00BF22A7"/>
    <w:rsid w:val="00BF2ABA"/>
    <w:rsid w:val="00BF2FF8"/>
    <w:rsid w:val="00BF33E1"/>
    <w:rsid w:val="00BF3D26"/>
    <w:rsid w:val="00BF460D"/>
    <w:rsid w:val="00BF4BFF"/>
    <w:rsid w:val="00BF51D7"/>
    <w:rsid w:val="00BF5562"/>
    <w:rsid w:val="00BF574C"/>
    <w:rsid w:val="00BF61D2"/>
    <w:rsid w:val="00BF7300"/>
    <w:rsid w:val="00BF7C91"/>
    <w:rsid w:val="00BF7E88"/>
    <w:rsid w:val="00BF7F5F"/>
    <w:rsid w:val="00C000AA"/>
    <w:rsid w:val="00C00782"/>
    <w:rsid w:val="00C016AF"/>
    <w:rsid w:val="00C022CE"/>
    <w:rsid w:val="00C0281C"/>
    <w:rsid w:val="00C02889"/>
    <w:rsid w:val="00C028D3"/>
    <w:rsid w:val="00C02DE0"/>
    <w:rsid w:val="00C03856"/>
    <w:rsid w:val="00C04288"/>
    <w:rsid w:val="00C048DB"/>
    <w:rsid w:val="00C05ED7"/>
    <w:rsid w:val="00C063CB"/>
    <w:rsid w:val="00C075F3"/>
    <w:rsid w:val="00C104ED"/>
    <w:rsid w:val="00C124CE"/>
    <w:rsid w:val="00C125B1"/>
    <w:rsid w:val="00C12986"/>
    <w:rsid w:val="00C144A3"/>
    <w:rsid w:val="00C1503C"/>
    <w:rsid w:val="00C15278"/>
    <w:rsid w:val="00C15559"/>
    <w:rsid w:val="00C1591A"/>
    <w:rsid w:val="00C159ED"/>
    <w:rsid w:val="00C15B38"/>
    <w:rsid w:val="00C16779"/>
    <w:rsid w:val="00C16791"/>
    <w:rsid w:val="00C20178"/>
    <w:rsid w:val="00C20B59"/>
    <w:rsid w:val="00C21306"/>
    <w:rsid w:val="00C2143B"/>
    <w:rsid w:val="00C2177D"/>
    <w:rsid w:val="00C22954"/>
    <w:rsid w:val="00C231EA"/>
    <w:rsid w:val="00C23657"/>
    <w:rsid w:val="00C239C5"/>
    <w:rsid w:val="00C23ABE"/>
    <w:rsid w:val="00C23DDB"/>
    <w:rsid w:val="00C24024"/>
    <w:rsid w:val="00C240A8"/>
    <w:rsid w:val="00C241EC"/>
    <w:rsid w:val="00C2588D"/>
    <w:rsid w:val="00C25DE0"/>
    <w:rsid w:val="00C26644"/>
    <w:rsid w:val="00C26867"/>
    <w:rsid w:val="00C278A4"/>
    <w:rsid w:val="00C27B3C"/>
    <w:rsid w:val="00C3082D"/>
    <w:rsid w:val="00C30902"/>
    <w:rsid w:val="00C309AC"/>
    <w:rsid w:val="00C30A12"/>
    <w:rsid w:val="00C31401"/>
    <w:rsid w:val="00C31483"/>
    <w:rsid w:val="00C31CF8"/>
    <w:rsid w:val="00C33219"/>
    <w:rsid w:val="00C350D3"/>
    <w:rsid w:val="00C36EC7"/>
    <w:rsid w:val="00C37708"/>
    <w:rsid w:val="00C378AF"/>
    <w:rsid w:val="00C41057"/>
    <w:rsid w:val="00C413A9"/>
    <w:rsid w:val="00C428F2"/>
    <w:rsid w:val="00C42D00"/>
    <w:rsid w:val="00C446D3"/>
    <w:rsid w:val="00C460C5"/>
    <w:rsid w:val="00C46361"/>
    <w:rsid w:val="00C47455"/>
    <w:rsid w:val="00C51D2B"/>
    <w:rsid w:val="00C528F0"/>
    <w:rsid w:val="00C533A9"/>
    <w:rsid w:val="00C536FC"/>
    <w:rsid w:val="00C538A1"/>
    <w:rsid w:val="00C53927"/>
    <w:rsid w:val="00C55AEF"/>
    <w:rsid w:val="00C55B20"/>
    <w:rsid w:val="00C55BE4"/>
    <w:rsid w:val="00C56519"/>
    <w:rsid w:val="00C5702F"/>
    <w:rsid w:val="00C57178"/>
    <w:rsid w:val="00C57918"/>
    <w:rsid w:val="00C60034"/>
    <w:rsid w:val="00C6055B"/>
    <w:rsid w:val="00C60C8E"/>
    <w:rsid w:val="00C615EF"/>
    <w:rsid w:val="00C619D5"/>
    <w:rsid w:val="00C62C80"/>
    <w:rsid w:val="00C6351F"/>
    <w:rsid w:val="00C642E6"/>
    <w:rsid w:val="00C650D8"/>
    <w:rsid w:val="00C6523B"/>
    <w:rsid w:val="00C655CD"/>
    <w:rsid w:val="00C65617"/>
    <w:rsid w:val="00C65EA8"/>
    <w:rsid w:val="00C65F03"/>
    <w:rsid w:val="00C66942"/>
    <w:rsid w:val="00C66C3D"/>
    <w:rsid w:val="00C66D33"/>
    <w:rsid w:val="00C67A87"/>
    <w:rsid w:val="00C67C21"/>
    <w:rsid w:val="00C67FAF"/>
    <w:rsid w:val="00C70390"/>
    <w:rsid w:val="00C72F54"/>
    <w:rsid w:val="00C7446B"/>
    <w:rsid w:val="00C74B3F"/>
    <w:rsid w:val="00C74CF5"/>
    <w:rsid w:val="00C74DC5"/>
    <w:rsid w:val="00C75434"/>
    <w:rsid w:val="00C755AA"/>
    <w:rsid w:val="00C75C6A"/>
    <w:rsid w:val="00C75D0F"/>
    <w:rsid w:val="00C7615E"/>
    <w:rsid w:val="00C761E4"/>
    <w:rsid w:val="00C7686F"/>
    <w:rsid w:val="00C77603"/>
    <w:rsid w:val="00C80335"/>
    <w:rsid w:val="00C806FF"/>
    <w:rsid w:val="00C80B59"/>
    <w:rsid w:val="00C81103"/>
    <w:rsid w:val="00C81759"/>
    <w:rsid w:val="00C817F1"/>
    <w:rsid w:val="00C81CD1"/>
    <w:rsid w:val="00C8230A"/>
    <w:rsid w:val="00C82AA9"/>
    <w:rsid w:val="00C83022"/>
    <w:rsid w:val="00C83B90"/>
    <w:rsid w:val="00C842F8"/>
    <w:rsid w:val="00C84917"/>
    <w:rsid w:val="00C84AA8"/>
    <w:rsid w:val="00C85733"/>
    <w:rsid w:val="00C85D35"/>
    <w:rsid w:val="00C86E1C"/>
    <w:rsid w:val="00C90364"/>
    <w:rsid w:val="00C913FE"/>
    <w:rsid w:val="00C91B90"/>
    <w:rsid w:val="00C91E41"/>
    <w:rsid w:val="00C9240F"/>
    <w:rsid w:val="00C92788"/>
    <w:rsid w:val="00C9351B"/>
    <w:rsid w:val="00C93C9D"/>
    <w:rsid w:val="00C93D4C"/>
    <w:rsid w:val="00C94002"/>
    <w:rsid w:val="00C9492D"/>
    <w:rsid w:val="00C95BFE"/>
    <w:rsid w:val="00C96326"/>
    <w:rsid w:val="00C970B1"/>
    <w:rsid w:val="00CA0C82"/>
    <w:rsid w:val="00CA1324"/>
    <w:rsid w:val="00CA17FA"/>
    <w:rsid w:val="00CA1CBA"/>
    <w:rsid w:val="00CA2000"/>
    <w:rsid w:val="00CA217C"/>
    <w:rsid w:val="00CA2323"/>
    <w:rsid w:val="00CA27D1"/>
    <w:rsid w:val="00CA2CC6"/>
    <w:rsid w:val="00CA3D5E"/>
    <w:rsid w:val="00CA4625"/>
    <w:rsid w:val="00CA4D42"/>
    <w:rsid w:val="00CA5C2D"/>
    <w:rsid w:val="00CA5D34"/>
    <w:rsid w:val="00CA5E76"/>
    <w:rsid w:val="00CA61CA"/>
    <w:rsid w:val="00CA6EFE"/>
    <w:rsid w:val="00CB035D"/>
    <w:rsid w:val="00CB05BA"/>
    <w:rsid w:val="00CB0A9A"/>
    <w:rsid w:val="00CB0D99"/>
    <w:rsid w:val="00CB0FF4"/>
    <w:rsid w:val="00CB1B09"/>
    <w:rsid w:val="00CB1B3D"/>
    <w:rsid w:val="00CB27BA"/>
    <w:rsid w:val="00CB4336"/>
    <w:rsid w:val="00CB5227"/>
    <w:rsid w:val="00CB5782"/>
    <w:rsid w:val="00CB5E5D"/>
    <w:rsid w:val="00CB63EF"/>
    <w:rsid w:val="00CB64BB"/>
    <w:rsid w:val="00CB6B1C"/>
    <w:rsid w:val="00CB6C9D"/>
    <w:rsid w:val="00CB6E53"/>
    <w:rsid w:val="00CC14CC"/>
    <w:rsid w:val="00CC16F0"/>
    <w:rsid w:val="00CC19F0"/>
    <w:rsid w:val="00CC43D0"/>
    <w:rsid w:val="00CC45D4"/>
    <w:rsid w:val="00CC4D63"/>
    <w:rsid w:val="00CC639F"/>
    <w:rsid w:val="00CC6674"/>
    <w:rsid w:val="00CC682A"/>
    <w:rsid w:val="00CC779D"/>
    <w:rsid w:val="00CC77B6"/>
    <w:rsid w:val="00CD00FD"/>
    <w:rsid w:val="00CD066D"/>
    <w:rsid w:val="00CD082B"/>
    <w:rsid w:val="00CD11AF"/>
    <w:rsid w:val="00CD18EB"/>
    <w:rsid w:val="00CD1DE9"/>
    <w:rsid w:val="00CD1EE0"/>
    <w:rsid w:val="00CD2535"/>
    <w:rsid w:val="00CD3954"/>
    <w:rsid w:val="00CD5960"/>
    <w:rsid w:val="00CD6782"/>
    <w:rsid w:val="00CE024A"/>
    <w:rsid w:val="00CE062D"/>
    <w:rsid w:val="00CE0836"/>
    <w:rsid w:val="00CE0916"/>
    <w:rsid w:val="00CE0C48"/>
    <w:rsid w:val="00CE114C"/>
    <w:rsid w:val="00CE1F57"/>
    <w:rsid w:val="00CE228C"/>
    <w:rsid w:val="00CE3B58"/>
    <w:rsid w:val="00CE3B74"/>
    <w:rsid w:val="00CE452C"/>
    <w:rsid w:val="00CE5D75"/>
    <w:rsid w:val="00CE665B"/>
    <w:rsid w:val="00CE6AC9"/>
    <w:rsid w:val="00CE6D72"/>
    <w:rsid w:val="00CE7009"/>
    <w:rsid w:val="00CE7756"/>
    <w:rsid w:val="00CE7F39"/>
    <w:rsid w:val="00CF0279"/>
    <w:rsid w:val="00CF2008"/>
    <w:rsid w:val="00CF209A"/>
    <w:rsid w:val="00CF27AF"/>
    <w:rsid w:val="00CF35AD"/>
    <w:rsid w:val="00CF3A63"/>
    <w:rsid w:val="00CF3B03"/>
    <w:rsid w:val="00CF482D"/>
    <w:rsid w:val="00CF4E84"/>
    <w:rsid w:val="00CF4F2F"/>
    <w:rsid w:val="00CF4FFB"/>
    <w:rsid w:val="00CF510A"/>
    <w:rsid w:val="00CF556C"/>
    <w:rsid w:val="00CF5CE4"/>
    <w:rsid w:val="00CF62C0"/>
    <w:rsid w:val="00CF7031"/>
    <w:rsid w:val="00D002B9"/>
    <w:rsid w:val="00D01E40"/>
    <w:rsid w:val="00D04CAE"/>
    <w:rsid w:val="00D07694"/>
    <w:rsid w:val="00D07695"/>
    <w:rsid w:val="00D07EB5"/>
    <w:rsid w:val="00D104D0"/>
    <w:rsid w:val="00D105B9"/>
    <w:rsid w:val="00D10BF3"/>
    <w:rsid w:val="00D10D4F"/>
    <w:rsid w:val="00D10F7A"/>
    <w:rsid w:val="00D114CC"/>
    <w:rsid w:val="00D119C9"/>
    <w:rsid w:val="00D126E0"/>
    <w:rsid w:val="00D13DAB"/>
    <w:rsid w:val="00D14032"/>
    <w:rsid w:val="00D15B66"/>
    <w:rsid w:val="00D160AF"/>
    <w:rsid w:val="00D16369"/>
    <w:rsid w:val="00D163C2"/>
    <w:rsid w:val="00D176FE"/>
    <w:rsid w:val="00D17CC1"/>
    <w:rsid w:val="00D206D7"/>
    <w:rsid w:val="00D21536"/>
    <w:rsid w:val="00D221F4"/>
    <w:rsid w:val="00D23CD1"/>
    <w:rsid w:val="00D2602C"/>
    <w:rsid w:val="00D264B4"/>
    <w:rsid w:val="00D26C6D"/>
    <w:rsid w:val="00D26DB5"/>
    <w:rsid w:val="00D270C2"/>
    <w:rsid w:val="00D272A6"/>
    <w:rsid w:val="00D274BA"/>
    <w:rsid w:val="00D3012F"/>
    <w:rsid w:val="00D30EFD"/>
    <w:rsid w:val="00D30FB1"/>
    <w:rsid w:val="00D34EB1"/>
    <w:rsid w:val="00D3525D"/>
    <w:rsid w:val="00D371B0"/>
    <w:rsid w:val="00D371D8"/>
    <w:rsid w:val="00D372AC"/>
    <w:rsid w:val="00D372D3"/>
    <w:rsid w:val="00D37405"/>
    <w:rsid w:val="00D40B6A"/>
    <w:rsid w:val="00D4112D"/>
    <w:rsid w:val="00D435CC"/>
    <w:rsid w:val="00D44397"/>
    <w:rsid w:val="00D443A3"/>
    <w:rsid w:val="00D44482"/>
    <w:rsid w:val="00D45824"/>
    <w:rsid w:val="00D45FE2"/>
    <w:rsid w:val="00D475A9"/>
    <w:rsid w:val="00D47E07"/>
    <w:rsid w:val="00D47E3C"/>
    <w:rsid w:val="00D5047E"/>
    <w:rsid w:val="00D50890"/>
    <w:rsid w:val="00D50B72"/>
    <w:rsid w:val="00D52345"/>
    <w:rsid w:val="00D52443"/>
    <w:rsid w:val="00D54B18"/>
    <w:rsid w:val="00D54BCE"/>
    <w:rsid w:val="00D5594F"/>
    <w:rsid w:val="00D56470"/>
    <w:rsid w:val="00D568F9"/>
    <w:rsid w:val="00D56BBE"/>
    <w:rsid w:val="00D56EB8"/>
    <w:rsid w:val="00D57825"/>
    <w:rsid w:val="00D57B06"/>
    <w:rsid w:val="00D57C06"/>
    <w:rsid w:val="00D6108B"/>
    <w:rsid w:val="00D616C8"/>
    <w:rsid w:val="00D62541"/>
    <w:rsid w:val="00D632B9"/>
    <w:rsid w:val="00D63459"/>
    <w:rsid w:val="00D637F2"/>
    <w:rsid w:val="00D638C5"/>
    <w:rsid w:val="00D653E6"/>
    <w:rsid w:val="00D65737"/>
    <w:rsid w:val="00D657F9"/>
    <w:rsid w:val="00D658D6"/>
    <w:rsid w:val="00D66E0A"/>
    <w:rsid w:val="00D6721C"/>
    <w:rsid w:val="00D677C9"/>
    <w:rsid w:val="00D703EA"/>
    <w:rsid w:val="00D70418"/>
    <w:rsid w:val="00D70F25"/>
    <w:rsid w:val="00D71359"/>
    <w:rsid w:val="00D719D1"/>
    <w:rsid w:val="00D72A19"/>
    <w:rsid w:val="00D72B3D"/>
    <w:rsid w:val="00D72E5F"/>
    <w:rsid w:val="00D73EE1"/>
    <w:rsid w:val="00D73FCF"/>
    <w:rsid w:val="00D74515"/>
    <w:rsid w:val="00D7529E"/>
    <w:rsid w:val="00D75BA0"/>
    <w:rsid w:val="00D761EB"/>
    <w:rsid w:val="00D76EEF"/>
    <w:rsid w:val="00D7794D"/>
    <w:rsid w:val="00D80534"/>
    <w:rsid w:val="00D80DA7"/>
    <w:rsid w:val="00D80DAB"/>
    <w:rsid w:val="00D8111F"/>
    <w:rsid w:val="00D813B7"/>
    <w:rsid w:val="00D8270E"/>
    <w:rsid w:val="00D8313E"/>
    <w:rsid w:val="00D834FB"/>
    <w:rsid w:val="00D83509"/>
    <w:rsid w:val="00D8368A"/>
    <w:rsid w:val="00D845E5"/>
    <w:rsid w:val="00D8479D"/>
    <w:rsid w:val="00D861C0"/>
    <w:rsid w:val="00D86CF5"/>
    <w:rsid w:val="00D87A7F"/>
    <w:rsid w:val="00D87D95"/>
    <w:rsid w:val="00D9087A"/>
    <w:rsid w:val="00D910D2"/>
    <w:rsid w:val="00D9131C"/>
    <w:rsid w:val="00D9131F"/>
    <w:rsid w:val="00D928D4"/>
    <w:rsid w:val="00D92C45"/>
    <w:rsid w:val="00D934A2"/>
    <w:rsid w:val="00D934D7"/>
    <w:rsid w:val="00D935DA"/>
    <w:rsid w:val="00D93BD4"/>
    <w:rsid w:val="00D93F38"/>
    <w:rsid w:val="00D953C1"/>
    <w:rsid w:val="00D95909"/>
    <w:rsid w:val="00D95F12"/>
    <w:rsid w:val="00D961A1"/>
    <w:rsid w:val="00D961BC"/>
    <w:rsid w:val="00D972C2"/>
    <w:rsid w:val="00D974CA"/>
    <w:rsid w:val="00DA0985"/>
    <w:rsid w:val="00DA0B32"/>
    <w:rsid w:val="00DA0FA2"/>
    <w:rsid w:val="00DA1752"/>
    <w:rsid w:val="00DA263D"/>
    <w:rsid w:val="00DA2651"/>
    <w:rsid w:val="00DA2BEE"/>
    <w:rsid w:val="00DA4F06"/>
    <w:rsid w:val="00DA611D"/>
    <w:rsid w:val="00DA6A1F"/>
    <w:rsid w:val="00DA6CFD"/>
    <w:rsid w:val="00DA7225"/>
    <w:rsid w:val="00DA7573"/>
    <w:rsid w:val="00DA7AF1"/>
    <w:rsid w:val="00DA7CF7"/>
    <w:rsid w:val="00DB024E"/>
    <w:rsid w:val="00DB09FD"/>
    <w:rsid w:val="00DB131C"/>
    <w:rsid w:val="00DB209A"/>
    <w:rsid w:val="00DB278E"/>
    <w:rsid w:val="00DB29D5"/>
    <w:rsid w:val="00DB3288"/>
    <w:rsid w:val="00DB3E39"/>
    <w:rsid w:val="00DB3F75"/>
    <w:rsid w:val="00DB4AE6"/>
    <w:rsid w:val="00DB4E29"/>
    <w:rsid w:val="00DB5373"/>
    <w:rsid w:val="00DB5B50"/>
    <w:rsid w:val="00DB5D99"/>
    <w:rsid w:val="00DB6064"/>
    <w:rsid w:val="00DB65C0"/>
    <w:rsid w:val="00DB6970"/>
    <w:rsid w:val="00DB6D67"/>
    <w:rsid w:val="00DC0264"/>
    <w:rsid w:val="00DC0B65"/>
    <w:rsid w:val="00DC1170"/>
    <w:rsid w:val="00DC1295"/>
    <w:rsid w:val="00DC1D54"/>
    <w:rsid w:val="00DC1ED0"/>
    <w:rsid w:val="00DC3747"/>
    <w:rsid w:val="00DC37B2"/>
    <w:rsid w:val="00DC3FEB"/>
    <w:rsid w:val="00DC443D"/>
    <w:rsid w:val="00DC4819"/>
    <w:rsid w:val="00DC4A84"/>
    <w:rsid w:val="00DC4AA1"/>
    <w:rsid w:val="00DC508A"/>
    <w:rsid w:val="00DC5143"/>
    <w:rsid w:val="00DC6554"/>
    <w:rsid w:val="00DC76C7"/>
    <w:rsid w:val="00DD0D9A"/>
    <w:rsid w:val="00DD11E1"/>
    <w:rsid w:val="00DD1669"/>
    <w:rsid w:val="00DD1FE1"/>
    <w:rsid w:val="00DD2C75"/>
    <w:rsid w:val="00DD2D2D"/>
    <w:rsid w:val="00DD2EAF"/>
    <w:rsid w:val="00DD31DA"/>
    <w:rsid w:val="00DD34D5"/>
    <w:rsid w:val="00DD366E"/>
    <w:rsid w:val="00DD38FC"/>
    <w:rsid w:val="00DD396E"/>
    <w:rsid w:val="00DD4AD1"/>
    <w:rsid w:val="00DD4FF1"/>
    <w:rsid w:val="00DD5521"/>
    <w:rsid w:val="00DD55AF"/>
    <w:rsid w:val="00DD56BC"/>
    <w:rsid w:val="00DD5F5D"/>
    <w:rsid w:val="00DD605E"/>
    <w:rsid w:val="00DD6E9A"/>
    <w:rsid w:val="00DD7CC3"/>
    <w:rsid w:val="00DE0799"/>
    <w:rsid w:val="00DE0890"/>
    <w:rsid w:val="00DE1834"/>
    <w:rsid w:val="00DE2594"/>
    <w:rsid w:val="00DE3581"/>
    <w:rsid w:val="00DE40A0"/>
    <w:rsid w:val="00DE41EA"/>
    <w:rsid w:val="00DE68B8"/>
    <w:rsid w:val="00DE6FEE"/>
    <w:rsid w:val="00DE73E2"/>
    <w:rsid w:val="00DF01A9"/>
    <w:rsid w:val="00DF0535"/>
    <w:rsid w:val="00DF05B2"/>
    <w:rsid w:val="00DF100B"/>
    <w:rsid w:val="00DF103F"/>
    <w:rsid w:val="00DF10C3"/>
    <w:rsid w:val="00DF1118"/>
    <w:rsid w:val="00DF1750"/>
    <w:rsid w:val="00DF1B4F"/>
    <w:rsid w:val="00DF2354"/>
    <w:rsid w:val="00DF4E5B"/>
    <w:rsid w:val="00DF681C"/>
    <w:rsid w:val="00DF6F0F"/>
    <w:rsid w:val="00DF7B97"/>
    <w:rsid w:val="00DF7CD3"/>
    <w:rsid w:val="00E004F1"/>
    <w:rsid w:val="00E00B6C"/>
    <w:rsid w:val="00E00BDE"/>
    <w:rsid w:val="00E012B0"/>
    <w:rsid w:val="00E0164E"/>
    <w:rsid w:val="00E03BEF"/>
    <w:rsid w:val="00E03C6B"/>
    <w:rsid w:val="00E04437"/>
    <w:rsid w:val="00E04856"/>
    <w:rsid w:val="00E048D9"/>
    <w:rsid w:val="00E048E6"/>
    <w:rsid w:val="00E049FA"/>
    <w:rsid w:val="00E04A3B"/>
    <w:rsid w:val="00E05849"/>
    <w:rsid w:val="00E0592E"/>
    <w:rsid w:val="00E05AB3"/>
    <w:rsid w:val="00E05FB3"/>
    <w:rsid w:val="00E07475"/>
    <w:rsid w:val="00E076FF"/>
    <w:rsid w:val="00E079BB"/>
    <w:rsid w:val="00E07CA4"/>
    <w:rsid w:val="00E1020A"/>
    <w:rsid w:val="00E10708"/>
    <w:rsid w:val="00E10B9A"/>
    <w:rsid w:val="00E11060"/>
    <w:rsid w:val="00E11212"/>
    <w:rsid w:val="00E11445"/>
    <w:rsid w:val="00E11D21"/>
    <w:rsid w:val="00E11F3B"/>
    <w:rsid w:val="00E1230E"/>
    <w:rsid w:val="00E13473"/>
    <w:rsid w:val="00E142B1"/>
    <w:rsid w:val="00E1500B"/>
    <w:rsid w:val="00E15347"/>
    <w:rsid w:val="00E15A26"/>
    <w:rsid w:val="00E15B22"/>
    <w:rsid w:val="00E1625A"/>
    <w:rsid w:val="00E16C3A"/>
    <w:rsid w:val="00E16CD6"/>
    <w:rsid w:val="00E21017"/>
    <w:rsid w:val="00E21FD9"/>
    <w:rsid w:val="00E237F7"/>
    <w:rsid w:val="00E238B0"/>
    <w:rsid w:val="00E23992"/>
    <w:rsid w:val="00E23A2C"/>
    <w:rsid w:val="00E25513"/>
    <w:rsid w:val="00E25C6C"/>
    <w:rsid w:val="00E25C98"/>
    <w:rsid w:val="00E2712C"/>
    <w:rsid w:val="00E27F7C"/>
    <w:rsid w:val="00E30BA9"/>
    <w:rsid w:val="00E317DB"/>
    <w:rsid w:val="00E32350"/>
    <w:rsid w:val="00E32725"/>
    <w:rsid w:val="00E32E17"/>
    <w:rsid w:val="00E32E67"/>
    <w:rsid w:val="00E3356A"/>
    <w:rsid w:val="00E33A23"/>
    <w:rsid w:val="00E33DE7"/>
    <w:rsid w:val="00E34184"/>
    <w:rsid w:val="00E35043"/>
    <w:rsid w:val="00E357C8"/>
    <w:rsid w:val="00E35959"/>
    <w:rsid w:val="00E35E1A"/>
    <w:rsid w:val="00E36AA4"/>
    <w:rsid w:val="00E37240"/>
    <w:rsid w:val="00E37438"/>
    <w:rsid w:val="00E37CC6"/>
    <w:rsid w:val="00E40C1C"/>
    <w:rsid w:val="00E40F9D"/>
    <w:rsid w:val="00E42245"/>
    <w:rsid w:val="00E42DE0"/>
    <w:rsid w:val="00E433CC"/>
    <w:rsid w:val="00E442F0"/>
    <w:rsid w:val="00E44694"/>
    <w:rsid w:val="00E4469E"/>
    <w:rsid w:val="00E45B7E"/>
    <w:rsid w:val="00E467C5"/>
    <w:rsid w:val="00E4790A"/>
    <w:rsid w:val="00E47950"/>
    <w:rsid w:val="00E50AEF"/>
    <w:rsid w:val="00E50BBA"/>
    <w:rsid w:val="00E517EC"/>
    <w:rsid w:val="00E51B19"/>
    <w:rsid w:val="00E51F7F"/>
    <w:rsid w:val="00E52AD3"/>
    <w:rsid w:val="00E532FA"/>
    <w:rsid w:val="00E534AD"/>
    <w:rsid w:val="00E53978"/>
    <w:rsid w:val="00E53B15"/>
    <w:rsid w:val="00E54836"/>
    <w:rsid w:val="00E549E6"/>
    <w:rsid w:val="00E54EB3"/>
    <w:rsid w:val="00E555F1"/>
    <w:rsid w:val="00E565CB"/>
    <w:rsid w:val="00E56E7A"/>
    <w:rsid w:val="00E57B5C"/>
    <w:rsid w:val="00E6095D"/>
    <w:rsid w:val="00E60DED"/>
    <w:rsid w:val="00E60EED"/>
    <w:rsid w:val="00E61094"/>
    <w:rsid w:val="00E618A8"/>
    <w:rsid w:val="00E61A77"/>
    <w:rsid w:val="00E640A1"/>
    <w:rsid w:val="00E64BAE"/>
    <w:rsid w:val="00E659ED"/>
    <w:rsid w:val="00E65AA6"/>
    <w:rsid w:val="00E65C75"/>
    <w:rsid w:val="00E70344"/>
    <w:rsid w:val="00E71659"/>
    <w:rsid w:val="00E71753"/>
    <w:rsid w:val="00E71E7A"/>
    <w:rsid w:val="00E72515"/>
    <w:rsid w:val="00E727E0"/>
    <w:rsid w:val="00E73187"/>
    <w:rsid w:val="00E736E5"/>
    <w:rsid w:val="00E759BE"/>
    <w:rsid w:val="00E7716C"/>
    <w:rsid w:val="00E77548"/>
    <w:rsid w:val="00E807E8"/>
    <w:rsid w:val="00E81F46"/>
    <w:rsid w:val="00E83248"/>
    <w:rsid w:val="00E8355B"/>
    <w:rsid w:val="00E83FAF"/>
    <w:rsid w:val="00E84C64"/>
    <w:rsid w:val="00E86441"/>
    <w:rsid w:val="00E8649B"/>
    <w:rsid w:val="00E87906"/>
    <w:rsid w:val="00E87B46"/>
    <w:rsid w:val="00E87F9E"/>
    <w:rsid w:val="00E90257"/>
    <w:rsid w:val="00E902EE"/>
    <w:rsid w:val="00E9076C"/>
    <w:rsid w:val="00E91DE3"/>
    <w:rsid w:val="00E920F3"/>
    <w:rsid w:val="00E92DAA"/>
    <w:rsid w:val="00E92E39"/>
    <w:rsid w:val="00E9389A"/>
    <w:rsid w:val="00E93D84"/>
    <w:rsid w:val="00E94DC0"/>
    <w:rsid w:val="00E95503"/>
    <w:rsid w:val="00E95835"/>
    <w:rsid w:val="00E96096"/>
    <w:rsid w:val="00E960CD"/>
    <w:rsid w:val="00E96ABA"/>
    <w:rsid w:val="00E9700D"/>
    <w:rsid w:val="00E97F25"/>
    <w:rsid w:val="00EA01FF"/>
    <w:rsid w:val="00EA082D"/>
    <w:rsid w:val="00EA0B6A"/>
    <w:rsid w:val="00EA0F3C"/>
    <w:rsid w:val="00EA1698"/>
    <w:rsid w:val="00EA1730"/>
    <w:rsid w:val="00EA184C"/>
    <w:rsid w:val="00EA1AEC"/>
    <w:rsid w:val="00EA2062"/>
    <w:rsid w:val="00EA3083"/>
    <w:rsid w:val="00EA36E4"/>
    <w:rsid w:val="00EA3B9B"/>
    <w:rsid w:val="00EA4D07"/>
    <w:rsid w:val="00EA51C9"/>
    <w:rsid w:val="00EA53AF"/>
    <w:rsid w:val="00EA68F9"/>
    <w:rsid w:val="00EA7C36"/>
    <w:rsid w:val="00EB01AA"/>
    <w:rsid w:val="00EB0B1E"/>
    <w:rsid w:val="00EB0D41"/>
    <w:rsid w:val="00EB0D87"/>
    <w:rsid w:val="00EB14C3"/>
    <w:rsid w:val="00EB17EE"/>
    <w:rsid w:val="00EB1A1D"/>
    <w:rsid w:val="00EB1B3F"/>
    <w:rsid w:val="00EB1CA4"/>
    <w:rsid w:val="00EB237A"/>
    <w:rsid w:val="00EB2802"/>
    <w:rsid w:val="00EB2E22"/>
    <w:rsid w:val="00EB335A"/>
    <w:rsid w:val="00EB379B"/>
    <w:rsid w:val="00EB491A"/>
    <w:rsid w:val="00EB4E49"/>
    <w:rsid w:val="00EB4FCE"/>
    <w:rsid w:val="00EB5AAD"/>
    <w:rsid w:val="00EB5C9B"/>
    <w:rsid w:val="00EB5F5F"/>
    <w:rsid w:val="00EB5F89"/>
    <w:rsid w:val="00EB7389"/>
    <w:rsid w:val="00EB7445"/>
    <w:rsid w:val="00EB7E7A"/>
    <w:rsid w:val="00EB7E93"/>
    <w:rsid w:val="00EC0E0A"/>
    <w:rsid w:val="00EC10AA"/>
    <w:rsid w:val="00EC1918"/>
    <w:rsid w:val="00EC1947"/>
    <w:rsid w:val="00EC1EFB"/>
    <w:rsid w:val="00EC3F20"/>
    <w:rsid w:val="00EC45D7"/>
    <w:rsid w:val="00EC505D"/>
    <w:rsid w:val="00EC51AB"/>
    <w:rsid w:val="00EC611E"/>
    <w:rsid w:val="00EC627B"/>
    <w:rsid w:val="00EC7003"/>
    <w:rsid w:val="00EC7E15"/>
    <w:rsid w:val="00ED0297"/>
    <w:rsid w:val="00ED03BF"/>
    <w:rsid w:val="00ED0468"/>
    <w:rsid w:val="00ED1267"/>
    <w:rsid w:val="00ED16ED"/>
    <w:rsid w:val="00ED22D7"/>
    <w:rsid w:val="00ED32D5"/>
    <w:rsid w:val="00ED38A7"/>
    <w:rsid w:val="00ED4D9F"/>
    <w:rsid w:val="00ED7011"/>
    <w:rsid w:val="00EE0121"/>
    <w:rsid w:val="00EE12DC"/>
    <w:rsid w:val="00EE16F2"/>
    <w:rsid w:val="00EE177A"/>
    <w:rsid w:val="00EE1881"/>
    <w:rsid w:val="00EE1D9A"/>
    <w:rsid w:val="00EE2BA5"/>
    <w:rsid w:val="00EE3049"/>
    <w:rsid w:val="00EE357C"/>
    <w:rsid w:val="00EE36DE"/>
    <w:rsid w:val="00EE3CD3"/>
    <w:rsid w:val="00EE57DB"/>
    <w:rsid w:val="00EE6899"/>
    <w:rsid w:val="00EE6AFB"/>
    <w:rsid w:val="00EE718A"/>
    <w:rsid w:val="00EF017E"/>
    <w:rsid w:val="00EF0888"/>
    <w:rsid w:val="00EF174C"/>
    <w:rsid w:val="00EF1A86"/>
    <w:rsid w:val="00EF23E8"/>
    <w:rsid w:val="00EF2718"/>
    <w:rsid w:val="00EF2CE4"/>
    <w:rsid w:val="00EF2FF0"/>
    <w:rsid w:val="00EF46FF"/>
    <w:rsid w:val="00EF5630"/>
    <w:rsid w:val="00EF5FF2"/>
    <w:rsid w:val="00EF6362"/>
    <w:rsid w:val="00EF637A"/>
    <w:rsid w:val="00EF6E02"/>
    <w:rsid w:val="00EF7D33"/>
    <w:rsid w:val="00F00569"/>
    <w:rsid w:val="00F00B77"/>
    <w:rsid w:val="00F014AD"/>
    <w:rsid w:val="00F01ED4"/>
    <w:rsid w:val="00F02FAB"/>
    <w:rsid w:val="00F03303"/>
    <w:rsid w:val="00F03534"/>
    <w:rsid w:val="00F03723"/>
    <w:rsid w:val="00F0394A"/>
    <w:rsid w:val="00F041E9"/>
    <w:rsid w:val="00F04863"/>
    <w:rsid w:val="00F060A9"/>
    <w:rsid w:val="00F06361"/>
    <w:rsid w:val="00F079C3"/>
    <w:rsid w:val="00F07BBD"/>
    <w:rsid w:val="00F10B04"/>
    <w:rsid w:val="00F10D32"/>
    <w:rsid w:val="00F11BF7"/>
    <w:rsid w:val="00F12400"/>
    <w:rsid w:val="00F13ED0"/>
    <w:rsid w:val="00F14592"/>
    <w:rsid w:val="00F147DF"/>
    <w:rsid w:val="00F1562E"/>
    <w:rsid w:val="00F164F5"/>
    <w:rsid w:val="00F16578"/>
    <w:rsid w:val="00F166E1"/>
    <w:rsid w:val="00F175E7"/>
    <w:rsid w:val="00F17B20"/>
    <w:rsid w:val="00F17F06"/>
    <w:rsid w:val="00F21203"/>
    <w:rsid w:val="00F21326"/>
    <w:rsid w:val="00F21750"/>
    <w:rsid w:val="00F22EE5"/>
    <w:rsid w:val="00F2319A"/>
    <w:rsid w:val="00F239E7"/>
    <w:rsid w:val="00F23A43"/>
    <w:rsid w:val="00F26416"/>
    <w:rsid w:val="00F26B0D"/>
    <w:rsid w:val="00F26F52"/>
    <w:rsid w:val="00F30F6E"/>
    <w:rsid w:val="00F310E0"/>
    <w:rsid w:val="00F315F6"/>
    <w:rsid w:val="00F353FF"/>
    <w:rsid w:val="00F358E9"/>
    <w:rsid w:val="00F35989"/>
    <w:rsid w:val="00F370A5"/>
    <w:rsid w:val="00F375FA"/>
    <w:rsid w:val="00F3774B"/>
    <w:rsid w:val="00F404E8"/>
    <w:rsid w:val="00F4085F"/>
    <w:rsid w:val="00F40A6B"/>
    <w:rsid w:val="00F40B38"/>
    <w:rsid w:val="00F40BEE"/>
    <w:rsid w:val="00F40CDC"/>
    <w:rsid w:val="00F419C9"/>
    <w:rsid w:val="00F41CF2"/>
    <w:rsid w:val="00F4225E"/>
    <w:rsid w:val="00F428C1"/>
    <w:rsid w:val="00F4329A"/>
    <w:rsid w:val="00F443A4"/>
    <w:rsid w:val="00F446A7"/>
    <w:rsid w:val="00F44DBD"/>
    <w:rsid w:val="00F462D5"/>
    <w:rsid w:val="00F46315"/>
    <w:rsid w:val="00F467CF"/>
    <w:rsid w:val="00F46D1A"/>
    <w:rsid w:val="00F46F1A"/>
    <w:rsid w:val="00F471E8"/>
    <w:rsid w:val="00F478C8"/>
    <w:rsid w:val="00F50A4E"/>
    <w:rsid w:val="00F5129B"/>
    <w:rsid w:val="00F521B2"/>
    <w:rsid w:val="00F5323F"/>
    <w:rsid w:val="00F535B8"/>
    <w:rsid w:val="00F53902"/>
    <w:rsid w:val="00F540D8"/>
    <w:rsid w:val="00F54491"/>
    <w:rsid w:val="00F54674"/>
    <w:rsid w:val="00F55091"/>
    <w:rsid w:val="00F55417"/>
    <w:rsid w:val="00F55B08"/>
    <w:rsid w:val="00F55D02"/>
    <w:rsid w:val="00F56147"/>
    <w:rsid w:val="00F6017F"/>
    <w:rsid w:val="00F61039"/>
    <w:rsid w:val="00F611C5"/>
    <w:rsid w:val="00F62407"/>
    <w:rsid w:val="00F628CA"/>
    <w:rsid w:val="00F6472C"/>
    <w:rsid w:val="00F65601"/>
    <w:rsid w:val="00F6564F"/>
    <w:rsid w:val="00F670FF"/>
    <w:rsid w:val="00F67201"/>
    <w:rsid w:val="00F67A1C"/>
    <w:rsid w:val="00F67FEA"/>
    <w:rsid w:val="00F70B16"/>
    <w:rsid w:val="00F71382"/>
    <w:rsid w:val="00F717AC"/>
    <w:rsid w:val="00F722AA"/>
    <w:rsid w:val="00F729A6"/>
    <w:rsid w:val="00F733EE"/>
    <w:rsid w:val="00F73DAB"/>
    <w:rsid w:val="00F75253"/>
    <w:rsid w:val="00F75E3A"/>
    <w:rsid w:val="00F76DD9"/>
    <w:rsid w:val="00F77400"/>
    <w:rsid w:val="00F80089"/>
    <w:rsid w:val="00F80828"/>
    <w:rsid w:val="00F817F9"/>
    <w:rsid w:val="00F81BD1"/>
    <w:rsid w:val="00F8239B"/>
    <w:rsid w:val="00F8271D"/>
    <w:rsid w:val="00F8285F"/>
    <w:rsid w:val="00F84E65"/>
    <w:rsid w:val="00F8569D"/>
    <w:rsid w:val="00F856E1"/>
    <w:rsid w:val="00F86A75"/>
    <w:rsid w:val="00F86AD5"/>
    <w:rsid w:val="00F87412"/>
    <w:rsid w:val="00F8747B"/>
    <w:rsid w:val="00F87F2B"/>
    <w:rsid w:val="00F902F6"/>
    <w:rsid w:val="00F90852"/>
    <w:rsid w:val="00F90D96"/>
    <w:rsid w:val="00F914CC"/>
    <w:rsid w:val="00F9249E"/>
    <w:rsid w:val="00F92897"/>
    <w:rsid w:val="00F92968"/>
    <w:rsid w:val="00F95006"/>
    <w:rsid w:val="00F95306"/>
    <w:rsid w:val="00F953D5"/>
    <w:rsid w:val="00F95FFE"/>
    <w:rsid w:val="00F962A4"/>
    <w:rsid w:val="00F963C2"/>
    <w:rsid w:val="00F970F2"/>
    <w:rsid w:val="00FA0BE5"/>
    <w:rsid w:val="00FA0D10"/>
    <w:rsid w:val="00FA1609"/>
    <w:rsid w:val="00FA17A6"/>
    <w:rsid w:val="00FA18E1"/>
    <w:rsid w:val="00FA3334"/>
    <w:rsid w:val="00FA33D3"/>
    <w:rsid w:val="00FA3525"/>
    <w:rsid w:val="00FA3736"/>
    <w:rsid w:val="00FA3934"/>
    <w:rsid w:val="00FA3A10"/>
    <w:rsid w:val="00FA5A9A"/>
    <w:rsid w:val="00FA6520"/>
    <w:rsid w:val="00FA73F2"/>
    <w:rsid w:val="00FA74A5"/>
    <w:rsid w:val="00FA7824"/>
    <w:rsid w:val="00FA79F0"/>
    <w:rsid w:val="00FB06C5"/>
    <w:rsid w:val="00FB0F46"/>
    <w:rsid w:val="00FB1532"/>
    <w:rsid w:val="00FB1F54"/>
    <w:rsid w:val="00FB2352"/>
    <w:rsid w:val="00FB2A20"/>
    <w:rsid w:val="00FB41DB"/>
    <w:rsid w:val="00FB5EAF"/>
    <w:rsid w:val="00FB6627"/>
    <w:rsid w:val="00FB7281"/>
    <w:rsid w:val="00FB7807"/>
    <w:rsid w:val="00FC03BC"/>
    <w:rsid w:val="00FC0710"/>
    <w:rsid w:val="00FC0818"/>
    <w:rsid w:val="00FC142D"/>
    <w:rsid w:val="00FC14FE"/>
    <w:rsid w:val="00FC1501"/>
    <w:rsid w:val="00FC4092"/>
    <w:rsid w:val="00FC6577"/>
    <w:rsid w:val="00FC6601"/>
    <w:rsid w:val="00FC692F"/>
    <w:rsid w:val="00FC7692"/>
    <w:rsid w:val="00FD01D3"/>
    <w:rsid w:val="00FD0224"/>
    <w:rsid w:val="00FD0B19"/>
    <w:rsid w:val="00FD0F4E"/>
    <w:rsid w:val="00FD1844"/>
    <w:rsid w:val="00FD2125"/>
    <w:rsid w:val="00FD3D60"/>
    <w:rsid w:val="00FD4846"/>
    <w:rsid w:val="00FD4B55"/>
    <w:rsid w:val="00FD4B6B"/>
    <w:rsid w:val="00FD5419"/>
    <w:rsid w:val="00FD5B9F"/>
    <w:rsid w:val="00FD5C53"/>
    <w:rsid w:val="00FD6246"/>
    <w:rsid w:val="00FD6457"/>
    <w:rsid w:val="00FD70F3"/>
    <w:rsid w:val="00FD7A49"/>
    <w:rsid w:val="00FD7C10"/>
    <w:rsid w:val="00FE0C5D"/>
    <w:rsid w:val="00FE1A82"/>
    <w:rsid w:val="00FE1DAB"/>
    <w:rsid w:val="00FE29FC"/>
    <w:rsid w:val="00FE4164"/>
    <w:rsid w:val="00FE475F"/>
    <w:rsid w:val="00FE559B"/>
    <w:rsid w:val="00FE7941"/>
    <w:rsid w:val="00FF03C7"/>
    <w:rsid w:val="00FF24E9"/>
    <w:rsid w:val="00FF277C"/>
    <w:rsid w:val="00FF3089"/>
    <w:rsid w:val="00FF3385"/>
    <w:rsid w:val="00FF34AD"/>
    <w:rsid w:val="00FF3906"/>
    <w:rsid w:val="00FF42B5"/>
    <w:rsid w:val="00FF464A"/>
    <w:rsid w:val="00FF51BE"/>
    <w:rsid w:val="00FF54BD"/>
    <w:rsid w:val="00FF673B"/>
    <w:rsid w:val="00FF7172"/>
    <w:rsid w:val="014717E8"/>
    <w:rsid w:val="017D37B3"/>
    <w:rsid w:val="01DE81F7"/>
    <w:rsid w:val="01F40432"/>
    <w:rsid w:val="021A412D"/>
    <w:rsid w:val="027F4F82"/>
    <w:rsid w:val="02CA4770"/>
    <w:rsid w:val="03126470"/>
    <w:rsid w:val="032A4ADF"/>
    <w:rsid w:val="03B92B68"/>
    <w:rsid w:val="0405E55E"/>
    <w:rsid w:val="04314850"/>
    <w:rsid w:val="04572D2D"/>
    <w:rsid w:val="045F0B33"/>
    <w:rsid w:val="046EDF03"/>
    <w:rsid w:val="04C8E6A1"/>
    <w:rsid w:val="04F015A3"/>
    <w:rsid w:val="04F66E97"/>
    <w:rsid w:val="04FA9F41"/>
    <w:rsid w:val="052FCF85"/>
    <w:rsid w:val="05DA24A8"/>
    <w:rsid w:val="078F99DF"/>
    <w:rsid w:val="0797403B"/>
    <w:rsid w:val="0839393D"/>
    <w:rsid w:val="08F79735"/>
    <w:rsid w:val="092DC257"/>
    <w:rsid w:val="09359EE3"/>
    <w:rsid w:val="093B5F34"/>
    <w:rsid w:val="0AE9D5E6"/>
    <w:rsid w:val="0C420A55"/>
    <w:rsid w:val="0C6F30C3"/>
    <w:rsid w:val="0CEBAF1A"/>
    <w:rsid w:val="0CED0866"/>
    <w:rsid w:val="0D6BED67"/>
    <w:rsid w:val="0DB42BE9"/>
    <w:rsid w:val="0E0532B0"/>
    <w:rsid w:val="0E11DF4F"/>
    <w:rsid w:val="0E13FFA9"/>
    <w:rsid w:val="0E9B9608"/>
    <w:rsid w:val="0F32280A"/>
    <w:rsid w:val="0F4EAD76"/>
    <w:rsid w:val="0F91C4C7"/>
    <w:rsid w:val="0FD2524C"/>
    <w:rsid w:val="0FDA3B3B"/>
    <w:rsid w:val="0FDC795F"/>
    <w:rsid w:val="0FE2CC39"/>
    <w:rsid w:val="101EB806"/>
    <w:rsid w:val="1087FFB5"/>
    <w:rsid w:val="109C0FE1"/>
    <w:rsid w:val="10B27655"/>
    <w:rsid w:val="10EFF34C"/>
    <w:rsid w:val="110AD88B"/>
    <w:rsid w:val="1124EAE3"/>
    <w:rsid w:val="11554F91"/>
    <w:rsid w:val="1189546A"/>
    <w:rsid w:val="119B0B8D"/>
    <w:rsid w:val="11D7FC27"/>
    <w:rsid w:val="12159270"/>
    <w:rsid w:val="123D6798"/>
    <w:rsid w:val="128B7E9E"/>
    <w:rsid w:val="12A4993A"/>
    <w:rsid w:val="130CE138"/>
    <w:rsid w:val="13CF4742"/>
    <w:rsid w:val="13D27342"/>
    <w:rsid w:val="1445404A"/>
    <w:rsid w:val="148491E8"/>
    <w:rsid w:val="14ACBEB8"/>
    <w:rsid w:val="158D505C"/>
    <w:rsid w:val="15AB5D16"/>
    <w:rsid w:val="15C6FAEE"/>
    <w:rsid w:val="1610F992"/>
    <w:rsid w:val="16BB475B"/>
    <w:rsid w:val="16C60105"/>
    <w:rsid w:val="17177733"/>
    <w:rsid w:val="1726CE21"/>
    <w:rsid w:val="1796727D"/>
    <w:rsid w:val="180E1A26"/>
    <w:rsid w:val="1820F32C"/>
    <w:rsid w:val="184C2113"/>
    <w:rsid w:val="184C8534"/>
    <w:rsid w:val="18B04929"/>
    <w:rsid w:val="18E4EB82"/>
    <w:rsid w:val="18E7898D"/>
    <w:rsid w:val="1960A8F1"/>
    <w:rsid w:val="19AB0025"/>
    <w:rsid w:val="1A120C9F"/>
    <w:rsid w:val="1AC43467"/>
    <w:rsid w:val="1AFF14EF"/>
    <w:rsid w:val="1B49F460"/>
    <w:rsid w:val="1B72F5D3"/>
    <w:rsid w:val="1B8CF216"/>
    <w:rsid w:val="1B8DE26D"/>
    <w:rsid w:val="1B9D4E53"/>
    <w:rsid w:val="1BB631ED"/>
    <w:rsid w:val="1C5B032C"/>
    <w:rsid w:val="1CE4DC12"/>
    <w:rsid w:val="1CEDE41D"/>
    <w:rsid w:val="1D446FF2"/>
    <w:rsid w:val="1D6B7927"/>
    <w:rsid w:val="1D8BC52B"/>
    <w:rsid w:val="1DCA124A"/>
    <w:rsid w:val="1DCF5BE0"/>
    <w:rsid w:val="1DD64A5B"/>
    <w:rsid w:val="1DF0EA73"/>
    <w:rsid w:val="1F784C72"/>
    <w:rsid w:val="1FF27444"/>
    <w:rsid w:val="20EF4E83"/>
    <w:rsid w:val="216E14B2"/>
    <w:rsid w:val="21763733"/>
    <w:rsid w:val="2179C870"/>
    <w:rsid w:val="219CE9AD"/>
    <w:rsid w:val="21B2DBF5"/>
    <w:rsid w:val="2207ACF5"/>
    <w:rsid w:val="2252445C"/>
    <w:rsid w:val="229AF4B7"/>
    <w:rsid w:val="22A2FE4D"/>
    <w:rsid w:val="22E9749A"/>
    <w:rsid w:val="23292C20"/>
    <w:rsid w:val="2335A859"/>
    <w:rsid w:val="234644AB"/>
    <w:rsid w:val="234B0BBB"/>
    <w:rsid w:val="248F8594"/>
    <w:rsid w:val="249BE9F5"/>
    <w:rsid w:val="24A072DD"/>
    <w:rsid w:val="24BD749D"/>
    <w:rsid w:val="2596D710"/>
    <w:rsid w:val="25C42148"/>
    <w:rsid w:val="25E7B534"/>
    <w:rsid w:val="2610064C"/>
    <w:rsid w:val="266AE55B"/>
    <w:rsid w:val="26EF8AB5"/>
    <w:rsid w:val="27744381"/>
    <w:rsid w:val="290052CB"/>
    <w:rsid w:val="290E2FFE"/>
    <w:rsid w:val="296A8933"/>
    <w:rsid w:val="29911362"/>
    <w:rsid w:val="29A81027"/>
    <w:rsid w:val="29CAEBC1"/>
    <w:rsid w:val="2A349D10"/>
    <w:rsid w:val="2A767BB8"/>
    <w:rsid w:val="2A9ABEB7"/>
    <w:rsid w:val="2AB3CB22"/>
    <w:rsid w:val="2B094359"/>
    <w:rsid w:val="2B7C66BA"/>
    <w:rsid w:val="2B86BBBD"/>
    <w:rsid w:val="2B9695CE"/>
    <w:rsid w:val="2BA23746"/>
    <w:rsid w:val="2BBCCB01"/>
    <w:rsid w:val="2BEE7156"/>
    <w:rsid w:val="2BFB0376"/>
    <w:rsid w:val="2C0C2C3F"/>
    <w:rsid w:val="2C391F29"/>
    <w:rsid w:val="2CB7BCD5"/>
    <w:rsid w:val="2CC19DA9"/>
    <w:rsid w:val="2D2D189E"/>
    <w:rsid w:val="2DB4C175"/>
    <w:rsid w:val="2DDB719B"/>
    <w:rsid w:val="2E5CCEE3"/>
    <w:rsid w:val="2E9367AB"/>
    <w:rsid w:val="2EFAFFF7"/>
    <w:rsid w:val="2FAC20F7"/>
    <w:rsid w:val="2FB1938D"/>
    <w:rsid w:val="30560BD4"/>
    <w:rsid w:val="30BA60B4"/>
    <w:rsid w:val="30CE11B9"/>
    <w:rsid w:val="312937B4"/>
    <w:rsid w:val="31DEF55B"/>
    <w:rsid w:val="31E69564"/>
    <w:rsid w:val="3215E6E2"/>
    <w:rsid w:val="32B5B88F"/>
    <w:rsid w:val="3378BCD5"/>
    <w:rsid w:val="33CF7958"/>
    <w:rsid w:val="3447A6C9"/>
    <w:rsid w:val="34BA6E97"/>
    <w:rsid w:val="34D0ED17"/>
    <w:rsid w:val="3571CBA4"/>
    <w:rsid w:val="35752ECC"/>
    <w:rsid w:val="35B65259"/>
    <w:rsid w:val="361E93D7"/>
    <w:rsid w:val="3627F70F"/>
    <w:rsid w:val="364576BE"/>
    <w:rsid w:val="368421B5"/>
    <w:rsid w:val="36AEFFC6"/>
    <w:rsid w:val="36B2506D"/>
    <w:rsid w:val="376D9EEE"/>
    <w:rsid w:val="379DB0A6"/>
    <w:rsid w:val="37B7A308"/>
    <w:rsid w:val="37CD4C25"/>
    <w:rsid w:val="37DC6798"/>
    <w:rsid w:val="3892B896"/>
    <w:rsid w:val="38E7DD88"/>
    <w:rsid w:val="39154451"/>
    <w:rsid w:val="391CB705"/>
    <w:rsid w:val="39666C13"/>
    <w:rsid w:val="39B3F6B5"/>
    <w:rsid w:val="3A77735B"/>
    <w:rsid w:val="3AAB0B9F"/>
    <w:rsid w:val="3AD531F3"/>
    <w:rsid w:val="3ADDA2F5"/>
    <w:rsid w:val="3B389A18"/>
    <w:rsid w:val="3BB313F9"/>
    <w:rsid w:val="3BD197BE"/>
    <w:rsid w:val="3BE86665"/>
    <w:rsid w:val="3BFC230F"/>
    <w:rsid w:val="3CAA9341"/>
    <w:rsid w:val="3D0706F9"/>
    <w:rsid w:val="3D3B0314"/>
    <w:rsid w:val="3E1A9E74"/>
    <w:rsid w:val="3E7A1606"/>
    <w:rsid w:val="3F96E3E5"/>
    <w:rsid w:val="3FEAAFB7"/>
    <w:rsid w:val="3FFAF881"/>
    <w:rsid w:val="416EB8F6"/>
    <w:rsid w:val="4238C682"/>
    <w:rsid w:val="42C4E1BA"/>
    <w:rsid w:val="42D97CD9"/>
    <w:rsid w:val="42DB2CBC"/>
    <w:rsid w:val="42FF0328"/>
    <w:rsid w:val="43E39665"/>
    <w:rsid w:val="43F3A6F1"/>
    <w:rsid w:val="441EAC35"/>
    <w:rsid w:val="44715476"/>
    <w:rsid w:val="44A8F327"/>
    <w:rsid w:val="44B8DE7C"/>
    <w:rsid w:val="44CCD5BC"/>
    <w:rsid w:val="44EB9098"/>
    <w:rsid w:val="4580908D"/>
    <w:rsid w:val="45A4D576"/>
    <w:rsid w:val="45EF0997"/>
    <w:rsid w:val="4623D2FA"/>
    <w:rsid w:val="465D2D2F"/>
    <w:rsid w:val="46AB7D02"/>
    <w:rsid w:val="47478BD2"/>
    <w:rsid w:val="4766BD85"/>
    <w:rsid w:val="47C71E67"/>
    <w:rsid w:val="47E86CFD"/>
    <w:rsid w:val="484C6227"/>
    <w:rsid w:val="487A349A"/>
    <w:rsid w:val="497C6400"/>
    <w:rsid w:val="49A37912"/>
    <w:rsid w:val="49B288DA"/>
    <w:rsid w:val="4A9018C8"/>
    <w:rsid w:val="4B0EB489"/>
    <w:rsid w:val="4B67B185"/>
    <w:rsid w:val="4B9267C9"/>
    <w:rsid w:val="4B976E92"/>
    <w:rsid w:val="4BFE3045"/>
    <w:rsid w:val="4C6CC763"/>
    <w:rsid w:val="4D344B8A"/>
    <w:rsid w:val="4D39FB8A"/>
    <w:rsid w:val="4D3E3F2C"/>
    <w:rsid w:val="4D74175E"/>
    <w:rsid w:val="4F1811CF"/>
    <w:rsid w:val="4F19E2CF"/>
    <w:rsid w:val="4F3F063E"/>
    <w:rsid w:val="4FA53D70"/>
    <w:rsid w:val="4FA67866"/>
    <w:rsid w:val="4FCE0464"/>
    <w:rsid w:val="4FF7C139"/>
    <w:rsid w:val="50267662"/>
    <w:rsid w:val="50465E2C"/>
    <w:rsid w:val="50EF44B2"/>
    <w:rsid w:val="510E82CE"/>
    <w:rsid w:val="52846030"/>
    <w:rsid w:val="52C8F948"/>
    <w:rsid w:val="52E70754"/>
    <w:rsid w:val="52FAE71B"/>
    <w:rsid w:val="5347E6CB"/>
    <w:rsid w:val="53F25635"/>
    <w:rsid w:val="540FE646"/>
    <w:rsid w:val="5460E9AD"/>
    <w:rsid w:val="547E96E3"/>
    <w:rsid w:val="549D02F3"/>
    <w:rsid w:val="54DFC811"/>
    <w:rsid w:val="5526F3C8"/>
    <w:rsid w:val="552CF670"/>
    <w:rsid w:val="553A27BC"/>
    <w:rsid w:val="5642880C"/>
    <w:rsid w:val="567B1646"/>
    <w:rsid w:val="5684C556"/>
    <w:rsid w:val="56935F94"/>
    <w:rsid w:val="56939EFF"/>
    <w:rsid w:val="56B0CA9C"/>
    <w:rsid w:val="56DE7CA6"/>
    <w:rsid w:val="577AC527"/>
    <w:rsid w:val="5781C263"/>
    <w:rsid w:val="57A09180"/>
    <w:rsid w:val="57A79FF7"/>
    <w:rsid w:val="5804FF07"/>
    <w:rsid w:val="5919F6CB"/>
    <w:rsid w:val="59797D52"/>
    <w:rsid w:val="59CB6477"/>
    <w:rsid w:val="59FC6F85"/>
    <w:rsid w:val="5ACA1E99"/>
    <w:rsid w:val="5BDBAA61"/>
    <w:rsid w:val="5C30F93E"/>
    <w:rsid w:val="5CB7C371"/>
    <w:rsid w:val="5D41179B"/>
    <w:rsid w:val="5D5C3DC7"/>
    <w:rsid w:val="5D9D2836"/>
    <w:rsid w:val="5E12D13C"/>
    <w:rsid w:val="5F26A8F6"/>
    <w:rsid w:val="5F3B428B"/>
    <w:rsid w:val="5F3C1AC0"/>
    <w:rsid w:val="5F5FAFFD"/>
    <w:rsid w:val="5F919E25"/>
    <w:rsid w:val="5F9B352F"/>
    <w:rsid w:val="5FCECCFF"/>
    <w:rsid w:val="5FDAF334"/>
    <w:rsid w:val="602D3F16"/>
    <w:rsid w:val="60D091BF"/>
    <w:rsid w:val="60D17892"/>
    <w:rsid w:val="61090938"/>
    <w:rsid w:val="611B8622"/>
    <w:rsid w:val="614F9BBF"/>
    <w:rsid w:val="6176B916"/>
    <w:rsid w:val="6188DDE5"/>
    <w:rsid w:val="61D6765C"/>
    <w:rsid w:val="623A9F41"/>
    <w:rsid w:val="6259F64A"/>
    <w:rsid w:val="6298C82A"/>
    <w:rsid w:val="62ADAB59"/>
    <w:rsid w:val="62E5AE04"/>
    <w:rsid w:val="63100ED8"/>
    <w:rsid w:val="63293735"/>
    <w:rsid w:val="634D193C"/>
    <w:rsid w:val="637417BD"/>
    <w:rsid w:val="639E2900"/>
    <w:rsid w:val="63AF77CD"/>
    <w:rsid w:val="63E1A9B1"/>
    <w:rsid w:val="64957A5E"/>
    <w:rsid w:val="64FB7AA2"/>
    <w:rsid w:val="650FCE20"/>
    <w:rsid w:val="65981E7B"/>
    <w:rsid w:val="66169963"/>
    <w:rsid w:val="661C0684"/>
    <w:rsid w:val="6661C97E"/>
    <w:rsid w:val="66A790A6"/>
    <w:rsid w:val="66ACBF52"/>
    <w:rsid w:val="66D520F8"/>
    <w:rsid w:val="66EDAF7E"/>
    <w:rsid w:val="67475969"/>
    <w:rsid w:val="6781F4E4"/>
    <w:rsid w:val="67DC9946"/>
    <w:rsid w:val="67E516FE"/>
    <w:rsid w:val="67E8C784"/>
    <w:rsid w:val="683AAF1B"/>
    <w:rsid w:val="68C0E9A7"/>
    <w:rsid w:val="68C5D546"/>
    <w:rsid w:val="68DEF53E"/>
    <w:rsid w:val="68E967FB"/>
    <w:rsid w:val="6A4173FA"/>
    <w:rsid w:val="6A7D908B"/>
    <w:rsid w:val="6ACB20AD"/>
    <w:rsid w:val="6AD54B34"/>
    <w:rsid w:val="6B1DB1AE"/>
    <w:rsid w:val="6BFD4E61"/>
    <w:rsid w:val="6C57F338"/>
    <w:rsid w:val="6C72C478"/>
    <w:rsid w:val="6C82D05F"/>
    <w:rsid w:val="6CE83AE8"/>
    <w:rsid w:val="6D759733"/>
    <w:rsid w:val="6D766081"/>
    <w:rsid w:val="6DEC8BE5"/>
    <w:rsid w:val="6DF72F70"/>
    <w:rsid w:val="6E2CAB06"/>
    <w:rsid w:val="6E3F4BE9"/>
    <w:rsid w:val="6E42DE3C"/>
    <w:rsid w:val="6EA35A6C"/>
    <w:rsid w:val="6F27BB99"/>
    <w:rsid w:val="702EB8BE"/>
    <w:rsid w:val="70423EFE"/>
    <w:rsid w:val="7055EC50"/>
    <w:rsid w:val="70B9C6C2"/>
    <w:rsid w:val="70CE0CDC"/>
    <w:rsid w:val="70FCBA0C"/>
    <w:rsid w:val="7105BCFD"/>
    <w:rsid w:val="713B7AF6"/>
    <w:rsid w:val="71870D79"/>
    <w:rsid w:val="71A6BFC2"/>
    <w:rsid w:val="71B8C184"/>
    <w:rsid w:val="71C568D4"/>
    <w:rsid w:val="71FEF604"/>
    <w:rsid w:val="720E511E"/>
    <w:rsid w:val="721D4F42"/>
    <w:rsid w:val="72AC78E4"/>
    <w:rsid w:val="730C40F7"/>
    <w:rsid w:val="73DCDA46"/>
    <w:rsid w:val="73ED28FF"/>
    <w:rsid w:val="7422FA1B"/>
    <w:rsid w:val="7429DC1C"/>
    <w:rsid w:val="746AA2A4"/>
    <w:rsid w:val="74BAFBB0"/>
    <w:rsid w:val="74D90051"/>
    <w:rsid w:val="74F9D7B4"/>
    <w:rsid w:val="750229E1"/>
    <w:rsid w:val="75782515"/>
    <w:rsid w:val="759BB585"/>
    <w:rsid w:val="75B9F79E"/>
    <w:rsid w:val="75BAA95E"/>
    <w:rsid w:val="75CE37AA"/>
    <w:rsid w:val="75EB7A4C"/>
    <w:rsid w:val="762A1887"/>
    <w:rsid w:val="76419214"/>
    <w:rsid w:val="764689AC"/>
    <w:rsid w:val="767176B3"/>
    <w:rsid w:val="76B19467"/>
    <w:rsid w:val="76BBB33F"/>
    <w:rsid w:val="771A1B99"/>
    <w:rsid w:val="774D84F8"/>
    <w:rsid w:val="7810F4DB"/>
    <w:rsid w:val="786BF245"/>
    <w:rsid w:val="78B57442"/>
    <w:rsid w:val="7912DC56"/>
    <w:rsid w:val="79BDAA8F"/>
    <w:rsid w:val="7A436190"/>
    <w:rsid w:val="7AB0359A"/>
    <w:rsid w:val="7B3D2380"/>
    <w:rsid w:val="7B6985E1"/>
    <w:rsid w:val="7BAB4E04"/>
    <w:rsid w:val="7C80E464"/>
    <w:rsid w:val="7CB6B00D"/>
    <w:rsid w:val="7CBCFB34"/>
    <w:rsid w:val="7CC0BD79"/>
    <w:rsid w:val="7CF02947"/>
    <w:rsid w:val="7D1BC962"/>
    <w:rsid w:val="7D467FA6"/>
    <w:rsid w:val="7DA78062"/>
    <w:rsid w:val="7DAA8038"/>
    <w:rsid w:val="7E3BF4EB"/>
    <w:rsid w:val="7E705AE1"/>
    <w:rsid w:val="7E9686DF"/>
    <w:rsid w:val="7EDE23A6"/>
    <w:rsid w:val="7F19612B"/>
    <w:rsid w:val="7F19E6A8"/>
    <w:rsid w:val="7F69DD4B"/>
    <w:rsid w:val="7F9C62D1"/>
    <w:rsid w:val="7FC413B2"/>
    <w:rsid w:val="7FEFD9B2"/>
  </w:rsids>
  <m:mathPr>
    <m:mathFont m:val="Cambria Math"/>
    <m:brkBin m:val="before"/>
    <m:brkBinSub m:val="--"/>
    <m:smallFrac m:val="0"/>
    <m:dispDef/>
    <m:lMargin m:val="0"/>
    <m:rMargin m:val="0"/>
    <m:defJc m:val="centerGroup"/>
    <m:wrapIndent m:val="1440"/>
    <m:intLim m:val="subSup"/>
    <m:naryLim m:val="undOvr"/>
  </m:mathPr>
  <w:themeFontLang w:val="es-CR"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401"/>
    <o:shapelayout v:ext="edit">
      <o:idmap v:ext="edit" data="1"/>
    </o:shapelayout>
  </w:shapeDefaults>
  <w:decimalSymbol w:val=","/>
  <w:listSeparator w:val=";"/>
  <w14:docId w14:val="793FD64B"/>
  <w15:chartTrackingRefBased/>
  <w15:docId w15:val="{635AAE2E-108D-4D6F-97A8-76C83CBBC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qFormat="1"/>
    <w:lsdException w:name="caption" w:uiPriority="35" w:qFormat="1"/>
    <w:lsdException w:name="footnote reference" w:uiPriority="99"/>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qFormat="1"/>
    <w:lsdException w:name="HTML Definition" w:semiHidden="1" w:unhideWhenUsed="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76CD7"/>
    <w:rPr>
      <w:rFonts w:ascii="Calibri" w:hAnsi="Calibri"/>
      <w:sz w:val="24"/>
      <w:szCs w:val="24"/>
      <w:lang w:eastAsia="es-ES"/>
    </w:rPr>
  </w:style>
  <w:style w:type="paragraph" w:styleId="Ttulo1">
    <w:name w:val="heading 1"/>
    <w:basedOn w:val="Normal"/>
    <w:next w:val="Normal"/>
    <w:link w:val="Ttulo1Car"/>
    <w:autoRedefine/>
    <w:qFormat/>
    <w:rsid w:val="007D1B37"/>
    <w:pPr>
      <w:keepNext/>
      <w:widowControl w:val="0"/>
      <w:autoSpaceDN w:val="0"/>
      <w:adjustRightInd w:val="0"/>
      <w:ind w:left="142" w:hanging="142"/>
      <w:outlineLvl w:val="0"/>
    </w:pPr>
    <w:rPr>
      <w:rFonts w:ascii="Book Antiqua" w:eastAsia="Calibri" w:hAnsi="Book Antiqua" w:cs="Arial"/>
      <w:b/>
      <w:color w:val="000000" w:themeColor="text1"/>
      <w:kern w:val="32"/>
      <w:szCs w:val="22"/>
      <w:lang w:val="es-ES_tradnl" w:eastAsia="en-US"/>
    </w:rPr>
  </w:style>
  <w:style w:type="paragraph" w:styleId="Ttulo2">
    <w:name w:val="heading 2"/>
    <w:basedOn w:val="Normal"/>
    <w:next w:val="Normal"/>
    <w:link w:val="Ttulo2Car"/>
    <w:autoRedefine/>
    <w:qFormat/>
    <w:rsid w:val="00440F36"/>
    <w:pPr>
      <w:keepNext/>
      <w:widowControl w:val="0"/>
      <w:autoSpaceDN w:val="0"/>
      <w:adjustRightInd w:val="0"/>
      <w:jc w:val="both"/>
      <w:outlineLvl w:val="1"/>
    </w:pPr>
    <w:rPr>
      <w:b/>
      <w:bCs/>
      <w:iCs/>
      <w:szCs w:val="28"/>
      <w:lang w:val="es-ES_tradnl" w:eastAsia="en-US"/>
    </w:rPr>
  </w:style>
  <w:style w:type="paragraph" w:styleId="Ttulo3">
    <w:name w:val="heading 3"/>
    <w:basedOn w:val="Normal"/>
    <w:next w:val="Normal"/>
    <w:link w:val="Ttulo3Car"/>
    <w:qFormat/>
    <w:rsid w:val="00440F36"/>
    <w:pPr>
      <w:keepNext/>
      <w:widowControl w:val="0"/>
      <w:spacing w:before="240" w:after="60"/>
      <w:jc w:val="both"/>
      <w:outlineLvl w:val="2"/>
    </w:pPr>
    <w:rPr>
      <w:b/>
      <w:bCs/>
      <w:szCs w:val="26"/>
      <w:lang w:val="en-US" w:eastAsia="en-US"/>
    </w:rPr>
  </w:style>
  <w:style w:type="paragraph" w:styleId="Ttulo4">
    <w:name w:val="heading 4"/>
    <w:basedOn w:val="Normal"/>
    <w:next w:val="Normal"/>
    <w:link w:val="Ttulo4Car"/>
    <w:qFormat/>
    <w:rsid w:val="00440F36"/>
    <w:pPr>
      <w:keepNext/>
      <w:widowControl w:val="0"/>
      <w:spacing w:before="240" w:after="60"/>
      <w:jc w:val="both"/>
      <w:outlineLvl w:val="3"/>
    </w:pPr>
    <w:rPr>
      <w:b/>
      <w:bCs/>
      <w:szCs w:val="28"/>
      <w:lang w:val="en-US" w:eastAsia="en-US"/>
    </w:rPr>
  </w:style>
  <w:style w:type="paragraph" w:styleId="Ttulo5">
    <w:name w:val="heading 5"/>
    <w:basedOn w:val="Normal"/>
    <w:next w:val="Normal"/>
    <w:qFormat/>
    <w:rsid w:val="002857FE"/>
    <w:pPr>
      <w:widowControl w:val="0"/>
      <w:numPr>
        <w:ilvl w:val="4"/>
        <w:numId w:val="1"/>
      </w:numPr>
      <w:spacing w:before="240" w:after="60"/>
      <w:jc w:val="both"/>
      <w:outlineLvl w:val="4"/>
    </w:pPr>
    <w:rPr>
      <w:rFonts w:ascii="Arial" w:hAnsi="Arial"/>
      <w:b/>
      <w:bCs/>
      <w:i/>
      <w:iCs/>
      <w:szCs w:val="26"/>
      <w:lang w:val="en-US" w:eastAsia="en-US"/>
    </w:rPr>
  </w:style>
  <w:style w:type="paragraph" w:styleId="Ttulo6">
    <w:name w:val="heading 6"/>
    <w:basedOn w:val="Normal"/>
    <w:next w:val="Normal"/>
    <w:qFormat/>
    <w:rsid w:val="002857FE"/>
    <w:pPr>
      <w:widowControl w:val="0"/>
      <w:numPr>
        <w:ilvl w:val="5"/>
        <w:numId w:val="1"/>
      </w:numPr>
      <w:spacing w:before="240" w:after="60"/>
      <w:jc w:val="both"/>
      <w:outlineLvl w:val="5"/>
    </w:pPr>
    <w:rPr>
      <w:rFonts w:ascii="Arial" w:hAnsi="Arial"/>
      <w:b/>
      <w:bCs/>
      <w:sz w:val="22"/>
      <w:szCs w:val="22"/>
      <w:lang w:val="en-US" w:eastAsia="en-US"/>
    </w:rPr>
  </w:style>
  <w:style w:type="paragraph" w:styleId="Ttulo7">
    <w:name w:val="heading 7"/>
    <w:basedOn w:val="Normal"/>
    <w:next w:val="Normal"/>
    <w:qFormat/>
    <w:rsid w:val="002857FE"/>
    <w:pPr>
      <w:widowControl w:val="0"/>
      <w:numPr>
        <w:ilvl w:val="6"/>
        <w:numId w:val="1"/>
      </w:numPr>
      <w:spacing w:before="240" w:after="60"/>
      <w:jc w:val="both"/>
      <w:outlineLvl w:val="6"/>
    </w:pPr>
    <w:rPr>
      <w:rFonts w:ascii="Arial" w:hAnsi="Arial"/>
      <w:sz w:val="22"/>
      <w:szCs w:val="20"/>
      <w:lang w:val="en-US" w:eastAsia="en-US"/>
    </w:rPr>
  </w:style>
  <w:style w:type="paragraph" w:styleId="Ttulo8">
    <w:name w:val="heading 8"/>
    <w:basedOn w:val="Normal"/>
    <w:next w:val="Normal"/>
    <w:qFormat/>
    <w:rsid w:val="002857FE"/>
    <w:pPr>
      <w:widowControl w:val="0"/>
      <w:numPr>
        <w:ilvl w:val="7"/>
        <w:numId w:val="1"/>
      </w:numPr>
      <w:spacing w:before="240" w:after="60"/>
      <w:jc w:val="both"/>
      <w:outlineLvl w:val="7"/>
    </w:pPr>
    <w:rPr>
      <w:rFonts w:ascii="Arial" w:hAnsi="Arial"/>
      <w:i/>
      <w:iCs/>
      <w:sz w:val="22"/>
      <w:szCs w:val="20"/>
      <w:lang w:val="en-US" w:eastAsia="en-US"/>
    </w:rPr>
  </w:style>
  <w:style w:type="paragraph" w:styleId="Ttulo9">
    <w:name w:val="heading 9"/>
    <w:basedOn w:val="Normal"/>
    <w:next w:val="Normal"/>
    <w:qFormat/>
    <w:rsid w:val="002857FE"/>
    <w:pPr>
      <w:widowControl w:val="0"/>
      <w:numPr>
        <w:ilvl w:val="8"/>
        <w:numId w:val="1"/>
      </w:numPr>
      <w:spacing w:before="240" w:after="60"/>
      <w:jc w:val="both"/>
      <w:outlineLvl w:val="8"/>
    </w:pPr>
    <w:rPr>
      <w:rFonts w:ascii="Arial" w:hAnsi="Arial" w:cs="Arial"/>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rsid w:val="006713AB"/>
    <w:pPr>
      <w:tabs>
        <w:tab w:val="center" w:pos="4252"/>
        <w:tab w:val="right" w:pos="8504"/>
      </w:tabs>
    </w:pPr>
    <w:rPr>
      <w:rFonts w:ascii="Times New Roman" w:hAnsi="Times New Roman"/>
    </w:rPr>
  </w:style>
  <w:style w:type="paragraph" w:styleId="Piedepgina">
    <w:name w:val="footer"/>
    <w:basedOn w:val="Normal"/>
    <w:rsid w:val="006713AB"/>
    <w:pPr>
      <w:tabs>
        <w:tab w:val="center" w:pos="4252"/>
        <w:tab w:val="right" w:pos="8504"/>
      </w:tabs>
    </w:pPr>
  </w:style>
  <w:style w:type="paragraph" w:customStyle="1" w:styleId="Car">
    <w:name w:val="Car"/>
    <w:basedOn w:val="Normal"/>
    <w:semiHidden/>
    <w:rsid w:val="006713AB"/>
    <w:pPr>
      <w:spacing w:after="160" w:line="240" w:lineRule="exact"/>
    </w:pPr>
    <w:rPr>
      <w:rFonts w:ascii="Verdana" w:hAnsi="Verdana" w:cs="Verdana"/>
      <w:sz w:val="20"/>
      <w:szCs w:val="20"/>
      <w:lang w:val="en-AU" w:eastAsia="en-US"/>
    </w:rPr>
  </w:style>
  <w:style w:type="character" w:customStyle="1" w:styleId="EncabezadoCar">
    <w:name w:val="Encabezado Car"/>
    <w:aliases w:val="encabezado Car"/>
    <w:link w:val="Encabezado"/>
    <w:rsid w:val="006713AB"/>
    <w:rPr>
      <w:sz w:val="24"/>
      <w:szCs w:val="24"/>
      <w:lang w:val="es-ES" w:eastAsia="es-ES" w:bidi="ar-SA"/>
    </w:rPr>
  </w:style>
  <w:style w:type="table" w:styleId="Tablaconcuadrcula">
    <w:name w:val="Table Grid"/>
    <w:basedOn w:val="Tablanormal"/>
    <w:uiPriority w:val="39"/>
    <w:rsid w:val="006713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link w:val="Ttulo2"/>
    <w:rsid w:val="00440F36"/>
    <w:rPr>
      <w:rFonts w:ascii="Calibri" w:hAnsi="Calibri"/>
      <w:b/>
      <w:bCs/>
      <w:iCs/>
      <w:sz w:val="24"/>
      <w:szCs w:val="28"/>
      <w:lang w:val="es-ES_tradnl" w:eastAsia="en-US"/>
    </w:rPr>
  </w:style>
  <w:style w:type="paragraph" w:styleId="NormalWeb">
    <w:name w:val="Normal (Web)"/>
    <w:basedOn w:val="Normal"/>
    <w:link w:val="NormalWebCar"/>
    <w:uiPriority w:val="99"/>
    <w:qFormat/>
    <w:rsid w:val="00CE1F57"/>
    <w:pPr>
      <w:spacing w:before="100" w:beforeAutospacing="1" w:after="100" w:afterAutospacing="1"/>
    </w:pPr>
  </w:style>
  <w:style w:type="paragraph" w:customStyle="1" w:styleId="Prrafodelista1">
    <w:name w:val="Párrafo de lista1"/>
    <w:basedOn w:val="Normal"/>
    <w:qFormat/>
    <w:rsid w:val="002B4031"/>
    <w:pPr>
      <w:ind w:left="708"/>
    </w:pPr>
  </w:style>
  <w:style w:type="paragraph" w:styleId="Textoindependiente2">
    <w:name w:val="Body Text 2"/>
    <w:basedOn w:val="Normal"/>
    <w:rsid w:val="003157FB"/>
    <w:pPr>
      <w:spacing w:line="480" w:lineRule="auto"/>
      <w:jc w:val="both"/>
    </w:pPr>
    <w:rPr>
      <w:rFonts w:ascii="Batang" w:eastAsia="Batang" w:hAnsi="Batang"/>
      <w:b/>
      <w:bCs/>
    </w:rPr>
  </w:style>
  <w:style w:type="paragraph" w:styleId="Ttulo">
    <w:name w:val="Title"/>
    <w:basedOn w:val="Normal"/>
    <w:next w:val="Normal"/>
    <w:link w:val="TtuloCar"/>
    <w:qFormat/>
    <w:rsid w:val="00CB1B09"/>
    <w:pPr>
      <w:pBdr>
        <w:bottom w:val="single" w:sz="8" w:space="4" w:color="4F81BD"/>
      </w:pBdr>
      <w:spacing w:after="300"/>
      <w:contextualSpacing/>
    </w:pPr>
    <w:rPr>
      <w:rFonts w:ascii="Cambria" w:hAnsi="Cambria"/>
      <w:color w:val="17365D"/>
      <w:spacing w:val="5"/>
      <w:kern w:val="28"/>
      <w:sz w:val="52"/>
      <w:szCs w:val="52"/>
      <w:lang w:val="es-MX" w:eastAsia="en-US"/>
    </w:rPr>
  </w:style>
  <w:style w:type="character" w:customStyle="1" w:styleId="TtuloCar">
    <w:name w:val="Título Car"/>
    <w:link w:val="Ttulo"/>
    <w:locked/>
    <w:rsid w:val="00CB1B09"/>
    <w:rPr>
      <w:rFonts w:ascii="Cambria" w:hAnsi="Cambria"/>
      <w:color w:val="17365D"/>
      <w:spacing w:val="5"/>
      <w:kern w:val="28"/>
      <w:sz w:val="52"/>
      <w:szCs w:val="52"/>
      <w:lang w:val="es-MX" w:eastAsia="en-US" w:bidi="ar-SA"/>
    </w:rPr>
  </w:style>
  <w:style w:type="paragraph" w:styleId="Prrafodelista">
    <w:name w:val="List Paragraph"/>
    <w:aliases w:val="Lista vistosa - Énfasis 11,Footnote,List Paragraph2"/>
    <w:basedOn w:val="Normal"/>
    <w:link w:val="PrrafodelistaCar"/>
    <w:uiPriority w:val="34"/>
    <w:qFormat/>
    <w:rsid w:val="00BF51D7"/>
    <w:pPr>
      <w:ind w:left="708"/>
    </w:pPr>
  </w:style>
  <w:style w:type="paragraph" w:styleId="Descripcin">
    <w:name w:val="caption"/>
    <w:aliases w:val="Epígrafe"/>
    <w:basedOn w:val="Normal"/>
    <w:next w:val="Normal"/>
    <w:uiPriority w:val="35"/>
    <w:qFormat/>
    <w:rsid w:val="006D5C4E"/>
    <w:rPr>
      <w:b/>
      <w:bCs/>
      <w:sz w:val="20"/>
      <w:szCs w:val="20"/>
    </w:rPr>
  </w:style>
  <w:style w:type="paragraph" w:styleId="Textodeglobo">
    <w:name w:val="Balloon Text"/>
    <w:basedOn w:val="Normal"/>
    <w:link w:val="TextodegloboCar"/>
    <w:semiHidden/>
    <w:rsid w:val="0070097F"/>
    <w:rPr>
      <w:rFonts w:ascii="Tahoma" w:hAnsi="Tahoma" w:cs="Tahoma"/>
      <w:sz w:val="16"/>
      <w:szCs w:val="16"/>
    </w:rPr>
  </w:style>
  <w:style w:type="paragraph" w:styleId="Textonotapie">
    <w:name w:val="footnote text"/>
    <w:aliases w:val="Footnote reference,FA Fu,Footnote Text Char Char Char Char Char,Footnote Text Char Char Char Char,Footnote Text Char Char Char,Footnote Text Cha,FA Fußnotentext,FA Fuﬂnotentext,Footnote Text Char Char,Texto,nota,pie,Ref.,al,Ca,t,Text,Tex"/>
    <w:basedOn w:val="Normal"/>
    <w:link w:val="TextonotapieCar"/>
    <w:uiPriority w:val="99"/>
    <w:qFormat/>
    <w:rsid w:val="00020732"/>
    <w:rPr>
      <w:sz w:val="20"/>
      <w:szCs w:val="20"/>
    </w:rPr>
  </w:style>
  <w:style w:type="character" w:styleId="Refdenotaalpie">
    <w:name w:val="footnote reference"/>
    <w:aliases w:val="ƒ89,^ƒ89,Footnotes refss,Texto de nota al pie,Appel note de bas de page,Referencia nota al pie"/>
    <w:uiPriority w:val="99"/>
    <w:rsid w:val="00020732"/>
    <w:rPr>
      <w:vertAlign w:val="superscript"/>
    </w:rPr>
  </w:style>
  <w:style w:type="character" w:styleId="Nmerodepgina">
    <w:name w:val="page number"/>
    <w:basedOn w:val="Fuentedeprrafopredeter"/>
    <w:rsid w:val="003F6BA5"/>
  </w:style>
  <w:style w:type="paragraph" w:customStyle="1" w:styleId="default">
    <w:name w:val="default"/>
    <w:basedOn w:val="Normal"/>
    <w:rsid w:val="00904587"/>
    <w:pPr>
      <w:spacing w:before="100" w:beforeAutospacing="1" w:after="100" w:afterAutospacing="1"/>
    </w:pPr>
    <w:rPr>
      <w:color w:val="000000"/>
    </w:rPr>
  </w:style>
  <w:style w:type="character" w:customStyle="1" w:styleId="Ttulo3Car">
    <w:name w:val="Título 3 Car"/>
    <w:link w:val="Ttulo3"/>
    <w:rsid w:val="00440F36"/>
    <w:rPr>
      <w:rFonts w:ascii="Calibri" w:hAnsi="Calibri"/>
      <w:b/>
      <w:bCs/>
      <w:sz w:val="24"/>
      <w:szCs w:val="26"/>
      <w:lang w:val="en-US" w:eastAsia="en-US" w:bidi="ar-SA"/>
    </w:rPr>
  </w:style>
  <w:style w:type="character" w:customStyle="1" w:styleId="Ttulo4Car">
    <w:name w:val="Título 4 Car"/>
    <w:link w:val="Ttulo4"/>
    <w:rsid w:val="00440F36"/>
    <w:rPr>
      <w:rFonts w:ascii="Calibri" w:hAnsi="Calibri"/>
      <w:b/>
      <w:bCs/>
      <w:sz w:val="24"/>
      <w:szCs w:val="28"/>
      <w:lang w:val="en-US" w:eastAsia="en-US"/>
    </w:rPr>
  </w:style>
  <w:style w:type="paragraph" w:styleId="TDC1">
    <w:name w:val="toc 1"/>
    <w:basedOn w:val="Normal"/>
    <w:next w:val="Normal"/>
    <w:autoRedefine/>
    <w:uiPriority w:val="39"/>
    <w:rsid w:val="003028DA"/>
  </w:style>
  <w:style w:type="paragraph" w:styleId="TDC2">
    <w:name w:val="toc 2"/>
    <w:basedOn w:val="Normal"/>
    <w:next w:val="Normal"/>
    <w:autoRedefine/>
    <w:uiPriority w:val="39"/>
    <w:rsid w:val="003028DA"/>
    <w:pPr>
      <w:ind w:left="240"/>
    </w:pPr>
  </w:style>
  <w:style w:type="paragraph" w:styleId="TDC3">
    <w:name w:val="toc 3"/>
    <w:basedOn w:val="Normal"/>
    <w:next w:val="Normal"/>
    <w:autoRedefine/>
    <w:semiHidden/>
    <w:rsid w:val="003028DA"/>
    <w:pPr>
      <w:ind w:left="480"/>
    </w:pPr>
  </w:style>
  <w:style w:type="character" w:styleId="Hipervnculo">
    <w:name w:val="Hyperlink"/>
    <w:uiPriority w:val="99"/>
    <w:rsid w:val="003028DA"/>
    <w:rPr>
      <w:color w:val="0000FF"/>
      <w:u w:val="single"/>
    </w:rPr>
  </w:style>
  <w:style w:type="paragraph" w:styleId="Textonotaalfinal">
    <w:name w:val="endnote text"/>
    <w:basedOn w:val="Normal"/>
    <w:link w:val="TextonotaalfinalCar"/>
    <w:rsid w:val="00B26F8F"/>
    <w:rPr>
      <w:rFonts w:ascii="Times New Roman" w:hAnsi="Times New Roman"/>
      <w:sz w:val="20"/>
      <w:szCs w:val="20"/>
    </w:rPr>
  </w:style>
  <w:style w:type="character" w:customStyle="1" w:styleId="TextonotaalfinalCar">
    <w:name w:val="Texto nota al final Car"/>
    <w:link w:val="Textonotaalfinal"/>
    <w:rsid w:val="00B26F8F"/>
    <w:rPr>
      <w:lang w:val="es-ES" w:eastAsia="es-ES"/>
    </w:rPr>
  </w:style>
  <w:style w:type="character" w:styleId="Refdenotaalfinal">
    <w:name w:val="endnote reference"/>
    <w:rsid w:val="00B26F8F"/>
    <w:rPr>
      <w:vertAlign w:val="superscript"/>
    </w:rPr>
  </w:style>
  <w:style w:type="paragraph" w:styleId="Textoindependiente">
    <w:name w:val="Body Text"/>
    <w:basedOn w:val="Normal"/>
    <w:rsid w:val="002E7784"/>
    <w:pPr>
      <w:spacing w:after="120"/>
    </w:pPr>
  </w:style>
  <w:style w:type="paragraph" w:styleId="Saludo">
    <w:name w:val="Salutation"/>
    <w:basedOn w:val="Normal"/>
    <w:next w:val="Normal"/>
    <w:rsid w:val="002E7784"/>
    <w:rPr>
      <w:rFonts w:ascii="Times New Roman" w:hAnsi="Times New Roman"/>
    </w:rPr>
  </w:style>
  <w:style w:type="paragraph" w:styleId="Fecha">
    <w:name w:val="Date"/>
    <w:basedOn w:val="Normal"/>
    <w:next w:val="Normal"/>
    <w:rsid w:val="002E7784"/>
    <w:rPr>
      <w:rFonts w:ascii="Times New Roman" w:hAnsi="Times New Roman"/>
    </w:rPr>
  </w:style>
  <w:style w:type="paragraph" w:customStyle="1" w:styleId="Direccininterior">
    <w:name w:val="Dirección interior"/>
    <w:basedOn w:val="Normal"/>
    <w:rsid w:val="002E7784"/>
    <w:rPr>
      <w:rFonts w:ascii="Times New Roman" w:hAnsi="Times New Roman"/>
    </w:rPr>
  </w:style>
  <w:style w:type="character" w:customStyle="1" w:styleId="NormalWebCar">
    <w:name w:val="Normal (Web) Car"/>
    <w:link w:val="NormalWeb"/>
    <w:locked/>
    <w:rsid w:val="002E7784"/>
    <w:rPr>
      <w:rFonts w:ascii="Calibri" w:hAnsi="Calibri"/>
      <w:sz w:val="24"/>
      <w:szCs w:val="24"/>
      <w:lang w:val="es-ES" w:eastAsia="es-ES" w:bidi="ar-SA"/>
    </w:rPr>
  </w:style>
  <w:style w:type="paragraph" w:customStyle="1" w:styleId="xmsonormal">
    <w:name w:val="x_msonormal"/>
    <w:basedOn w:val="Normal"/>
    <w:rsid w:val="007A0DB4"/>
    <w:pPr>
      <w:spacing w:before="100" w:beforeAutospacing="1" w:after="100" w:afterAutospacing="1"/>
    </w:pPr>
    <w:rPr>
      <w:rFonts w:ascii="Times New Roman" w:hAnsi="Times New Roman"/>
      <w:lang w:eastAsia="es-CR"/>
    </w:rPr>
  </w:style>
  <w:style w:type="character" w:styleId="Refdecomentario">
    <w:name w:val="annotation reference"/>
    <w:unhideWhenUsed/>
    <w:rsid w:val="0054084B"/>
    <w:rPr>
      <w:sz w:val="16"/>
      <w:szCs w:val="16"/>
    </w:rPr>
  </w:style>
  <w:style w:type="paragraph" w:styleId="Textocomentario">
    <w:name w:val="annotation text"/>
    <w:basedOn w:val="Normal"/>
    <w:link w:val="TextocomentarioCar"/>
    <w:unhideWhenUsed/>
    <w:rsid w:val="0054084B"/>
    <w:pPr>
      <w:spacing w:after="160"/>
    </w:pPr>
    <w:rPr>
      <w:rFonts w:eastAsia="Calibri"/>
      <w:sz w:val="20"/>
      <w:szCs w:val="20"/>
      <w:lang w:eastAsia="en-US"/>
    </w:rPr>
  </w:style>
  <w:style w:type="character" w:customStyle="1" w:styleId="TextocomentarioCar">
    <w:name w:val="Texto comentario Car"/>
    <w:link w:val="Textocomentario"/>
    <w:rsid w:val="0054084B"/>
    <w:rPr>
      <w:rFonts w:ascii="Calibri" w:eastAsia="Calibri" w:hAnsi="Calibri"/>
      <w:lang w:val="es-ES" w:eastAsia="en-US"/>
    </w:rPr>
  </w:style>
  <w:style w:type="paragraph" w:styleId="Revisin">
    <w:name w:val="Revision"/>
    <w:hidden/>
    <w:uiPriority w:val="99"/>
    <w:semiHidden/>
    <w:rsid w:val="00E60EED"/>
    <w:rPr>
      <w:rFonts w:ascii="Calibri" w:hAnsi="Calibri"/>
      <w:sz w:val="24"/>
      <w:szCs w:val="24"/>
      <w:lang w:val="es-ES" w:eastAsia="es-ES"/>
    </w:rPr>
  </w:style>
  <w:style w:type="paragraph" w:customStyle="1" w:styleId="Prrafodelista2">
    <w:name w:val="Párrafo de lista2"/>
    <w:basedOn w:val="Normal"/>
    <w:qFormat/>
    <w:rsid w:val="001D7A5E"/>
    <w:pPr>
      <w:ind w:left="720"/>
    </w:pPr>
    <w:rPr>
      <w:rFonts w:ascii="Times New Roman" w:hAnsi="Times New Roman"/>
    </w:rPr>
  </w:style>
  <w:style w:type="paragraph" w:customStyle="1" w:styleId="xxmsonormal">
    <w:name w:val="x_x_msonormal"/>
    <w:basedOn w:val="Normal"/>
    <w:rsid w:val="007E4F28"/>
    <w:pPr>
      <w:spacing w:after="160" w:line="252" w:lineRule="auto"/>
    </w:pPr>
    <w:rPr>
      <w:rFonts w:ascii="Times New Roman" w:eastAsiaTheme="minorHAnsi" w:hAnsi="Times New Roman"/>
      <w:sz w:val="26"/>
      <w:szCs w:val="26"/>
      <w:lang w:eastAsia="es-CR"/>
    </w:rPr>
  </w:style>
  <w:style w:type="paragraph" w:styleId="Textosinformato">
    <w:name w:val="Plain Text"/>
    <w:basedOn w:val="Normal"/>
    <w:link w:val="TextosinformatoCar"/>
    <w:uiPriority w:val="99"/>
    <w:unhideWhenUsed/>
    <w:rsid w:val="007E4F28"/>
    <w:rPr>
      <w:rFonts w:eastAsiaTheme="minorHAnsi" w:cstheme="minorBidi"/>
      <w:sz w:val="22"/>
      <w:szCs w:val="21"/>
      <w:lang w:eastAsia="en-US"/>
    </w:rPr>
  </w:style>
  <w:style w:type="character" w:customStyle="1" w:styleId="TextosinformatoCar">
    <w:name w:val="Texto sin formato Car"/>
    <w:basedOn w:val="Fuentedeprrafopredeter"/>
    <w:link w:val="Textosinformato"/>
    <w:uiPriority w:val="99"/>
    <w:rsid w:val="007E4F28"/>
    <w:rPr>
      <w:rFonts w:ascii="Calibri" w:eastAsiaTheme="minorHAnsi" w:hAnsi="Calibri" w:cstheme="minorBidi"/>
      <w:sz w:val="22"/>
      <w:szCs w:val="21"/>
      <w:lang w:eastAsia="en-US"/>
    </w:rPr>
  </w:style>
  <w:style w:type="paragraph" w:customStyle="1" w:styleId="xxmsolistparagraph">
    <w:name w:val="x_x_msolistparagraph"/>
    <w:basedOn w:val="Normal"/>
    <w:rsid w:val="007E4F28"/>
    <w:pPr>
      <w:spacing w:after="160" w:line="252" w:lineRule="auto"/>
      <w:ind w:left="720"/>
    </w:pPr>
    <w:rPr>
      <w:rFonts w:ascii="Times New Roman" w:eastAsiaTheme="minorHAnsi" w:hAnsi="Times New Roman"/>
      <w:sz w:val="26"/>
      <w:szCs w:val="26"/>
      <w:lang w:eastAsia="es-CR"/>
    </w:rPr>
  </w:style>
  <w:style w:type="character" w:customStyle="1" w:styleId="TextodegloboCar">
    <w:name w:val="Texto de globo Car"/>
    <w:basedOn w:val="Fuentedeprrafopredeter"/>
    <w:link w:val="Textodeglobo"/>
    <w:uiPriority w:val="99"/>
    <w:semiHidden/>
    <w:rsid w:val="007E4F28"/>
    <w:rPr>
      <w:rFonts w:ascii="Tahoma" w:hAnsi="Tahoma" w:cs="Tahoma"/>
      <w:sz w:val="16"/>
      <w:szCs w:val="16"/>
      <w:lang w:eastAsia="es-ES"/>
    </w:rPr>
  </w:style>
  <w:style w:type="character" w:customStyle="1" w:styleId="font51">
    <w:name w:val="font51"/>
    <w:basedOn w:val="Fuentedeprrafopredeter"/>
    <w:rsid w:val="007E4F28"/>
    <w:rPr>
      <w:rFonts w:ascii="Calibri" w:hAnsi="Calibri" w:cs="Calibri" w:hint="default"/>
      <w:b w:val="0"/>
      <w:bCs w:val="0"/>
      <w:i/>
      <w:iCs/>
      <w:strike w:val="0"/>
      <w:dstrike w:val="0"/>
      <w:color w:val="000000"/>
      <w:sz w:val="22"/>
      <w:szCs w:val="22"/>
      <w:u w:val="none"/>
      <w:effect w:val="none"/>
    </w:rPr>
  </w:style>
  <w:style w:type="table" w:styleId="Tablaconcuadrcula4-nfasis5">
    <w:name w:val="Grid Table 4 Accent 5"/>
    <w:basedOn w:val="Tablanormal"/>
    <w:uiPriority w:val="49"/>
    <w:rsid w:val="00D37405"/>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6concolores-nfasis5">
    <w:name w:val="Grid Table 6 Colorful Accent 5"/>
    <w:basedOn w:val="Tablanormal"/>
    <w:uiPriority w:val="51"/>
    <w:rsid w:val="00D37405"/>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Asuntodelcomentario">
    <w:name w:val="annotation subject"/>
    <w:basedOn w:val="Textocomentario"/>
    <w:next w:val="Textocomentario"/>
    <w:link w:val="AsuntodelcomentarioCar"/>
    <w:semiHidden/>
    <w:unhideWhenUsed/>
    <w:rsid w:val="00D37405"/>
    <w:pPr>
      <w:spacing w:after="0"/>
    </w:pPr>
    <w:rPr>
      <w:rFonts w:eastAsia="Times New Roman"/>
      <w:b/>
      <w:bCs/>
      <w:lang w:eastAsia="es-ES"/>
    </w:rPr>
  </w:style>
  <w:style w:type="character" w:customStyle="1" w:styleId="AsuntodelcomentarioCar">
    <w:name w:val="Asunto del comentario Car"/>
    <w:basedOn w:val="TextocomentarioCar"/>
    <w:link w:val="Asuntodelcomentario"/>
    <w:semiHidden/>
    <w:rsid w:val="00D37405"/>
    <w:rPr>
      <w:rFonts w:ascii="Calibri" w:eastAsia="Calibri" w:hAnsi="Calibri"/>
      <w:b/>
      <w:bCs/>
      <w:lang w:val="es-ES" w:eastAsia="es-ES"/>
    </w:rPr>
  </w:style>
  <w:style w:type="paragraph" w:customStyle="1" w:styleId="WW-Predeterminado">
    <w:name w:val="WW-Predeterminado"/>
    <w:uiPriority w:val="99"/>
    <w:rsid w:val="00D37405"/>
    <w:pPr>
      <w:widowControl w:val="0"/>
      <w:autoSpaceDE w:val="0"/>
      <w:autoSpaceDN w:val="0"/>
      <w:adjustRightInd w:val="0"/>
    </w:pPr>
    <w:rPr>
      <w:rFonts w:ascii="Arial" w:eastAsiaTheme="minorEastAsia" w:hAnsi="Arial" w:cs="Arial"/>
      <w:sz w:val="24"/>
      <w:szCs w:val="24"/>
      <w:u w:val="single"/>
      <w:lang w:val="es-ES"/>
    </w:rPr>
  </w:style>
  <w:style w:type="character" w:styleId="Textoennegrita">
    <w:name w:val="Strong"/>
    <w:basedOn w:val="Fuentedeprrafopredeter"/>
    <w:uiPriority w:val="22"/>
    <w:qFormat/>
    <w:rsid w:val="00D37405"/>
    <w:rPr>
      <w:b/>
      <w:bCs/>
    </w:rPr>
  </w:style>
  <w:style w:type="paragraph" w:styleId="Sinespaciado">
    <w:name w:val="No Spacing"/>
    <w:uiPriority w:val="1"/>
    <w:qFormat/>
    <w:rsid w:val="00D37405"/>
    <w:rPr>
      <w:rFonts w:ascii="Calibri" w:eastAsia="Calibri" w:hAnsi="Calibri"/>
      <w:sz w:val="22"/>
      <w:szCs w:val="22"/>
      <w:lang w:eastAsia="en-US"/>
    </w:rPr>
  </w:style>
  <w:style w:type="paragraph" w:styleId="TtuloTDC">
    <w:name w:val="TOC Heading"/>
    <w:basedOn w:val="Ttulo1"/>
    <w:next w:val="Normal"/>
    <w:uiPriority w:val="39"/>
    <w:unhideWhenUsed/>
    <w:qFormat/>
    <w:rsid w:val="00DF1B4F"/>
    <w:pPr>
      <w:keepLines/>
      <w:widowControl/>
      <w:autoSpaceDN/>
      <w:adjustRightInd/>
      <w:spacing w:before="240" w:line="259" w:lineRule="auto"/>
      <w:outlineLvl w:val="9"/>
    </w:pPr>
    <w:rPr>
      <w:rFonts w:asciiTheme="majorHAnsi" w:eastAsiaTheme="majorEastAsia" w:hAnsiTheme="majorHAnsi" w:cstheme="majorBidi"/>
      <w:b w:val="0"/>
      <w:bCs/>
      <w:color w:val="2F5496" w:themeColor="accent1" w:themeShade="BF"/>
      <w:kern w:val="0"/>
      <w:sz w:val="32"/>
      <w:szCs w:val="32"/>
      <w:lang w:val="es-CR" w:eastAsia="es-CR"/>
    </w:rPr>
  </w:style>
  <w:style w:type="character" w:customStyle="1" w:styleId="Ttulo1Car">
    <w:name w:val="Título 1 Car"/>
    <w:basedOn w:val="Fuentedeprrafopredeter"/>
    <w:link w:val="Ttulo1"/>
    <w:rsid w:val="007D1B37"/>
    <w:rPr>
      <w:rFonts w:ascii="Book Antiqua" w:eastAsia="Calibri" w:hAnsi="Book Antiqua" w:cs="Arial"/>
      <w:b/>
      <w:color w:val="000000" w:themeColor="text1"/>
      <w:kern w:val="32"/>
      <w:sz w:val="24"/>
      <w:szCs w:val="22"/>
      <w:lang w:val="es-ES_tradnl" w:eastAsia="en-US"/>
    </w:rPr>
  </w:style>
  <w:style w:type="character" w:customStyle="1" w:styleId="TextonotapieCar">
    <w:name w:val="Texto nota pie Car"/>
    <w:aliases w:val="Footnote reference Car,FA Fu Car,Footnote Text Char Char Char Char Char Car,Footnote Text Char Char Char Char Car,Footnote Text Char Char Char Car,Footnote Text Cha Car,FA Fußnotentext Car,FA Fuﬂnotentext Car,Texto Car,nota Car,al Car"/>
    <w:basedOn w:val="Fuentedeprrafopredeter"/>
    <w:link w:val="Textonotapie"/>
    <w:uiPriority w:val="99"/>
    <w:rsid w:val="003D38B8"/>
    <w:rPr>
      <w:rFonts w:ascii="Calibri" w:hAnsi="Calibri"/>
      <w:lang w:eastAsia="es-ES"/>
    </w:rPr>
  </w:style>
  <w:style w:type="character" w:customStyle="1" w:styleId="PrrafodelistaCar">
    <w:name w:val="Párrafo de lista Car"/>
    <w:aliases w:val="Lista vistosa - Énfasis 11 Car,Footnote Car,List Paragraph2 Car"/>
    <w:link w:val="Prrafodelista"/>
    <w:uiPriority w:val="34"/>
    <w:qFormat/>
    <w:locked/>
    <w:rsid w:val="003D38B8"/>
    <w:rPr>
      <w:rFonts w:ascii="Calibri" w:hAnsi="Calibri"/>
      <w:sz w:val="24"/>
      <w:szCs w:val="24"/>
      <w:lang w:eastAsia="es-ES"/>
    </w:rPr>
  </w:style>
  <w:style w:type="paragraph" w:customStyle="1" w:styleId="paragraph">
    <w:name w:val="paragraph"/>
    <w:basedOn w:val="Normal"/>
    <w:rsid w:val="00D114CC"/>
    <w:pPr>
      <w:spacing w:before="100" w:beforeAutospacing="1" w:after="100" w:afterAutospacing="1"/>
    </w:pPr>
    <w:rPr>
      <w:rFonts w:ascii="Times New Roman" w:hAnsi="Times New Roman"/>
      <w:lang w:eastAsia="es-CR"/>
    </w:rPr>
  </w:style>
  <w:style w:type="character" w:customStyle="1" w:styleId="normaltextrun">
    <w:name w:val="normaltextrun"/>
    <w:basedOn w:val="Fuentedeprrafopredeter"/>
    <w:rsid w:val="00D114CC"/>
  </w:style>
  <w:style w:type="character" w:customStyle="1" w:styleId="eop">
    <w:name w:val="eop"/>
    <w:basedOn w:val="Fuentedeprrafopredeter"/>
    <w:rsid w:val="00D114CC"/>
  </w:style>
  <w:style w:type="paragraph" w:customStyle="1" w:styleId="Tablas">
    <w:name w:val="Tablas"/>
    <w:basedOn w:val="Tabladeilustraciones"/>
    <w:link w:val="TablasCar"/>
    <w:qFormat/>
    <w:rsid w:val="00D56BBE"/>
    <w:pPr>
      <w:spacing w:line="360" w:lineRule="auto"/>
      <w:jc w:val="center"/>
    </w:pPr>
    <w:rPr>
      <w:rFonts w:ascii="Book Antiqua" w:hAnsi="Book Antiqua"/>
      <w:b/>
      <w:i/>
      <w:iCs/>
      <w:sz w:val="20"/>
      <w:szCs w:val="20"/>
    </w:rPr>
  </w:style>
  <w:style w:type="character" w:customStyle="1" w:styleId="TablasCar">
    <w:name w:val="Tablas Car"/>
    <w:basedOn w:val="Fuentedeprrafopredeter"/>
    <w:link w:val="Tablas"/>
    <w:rsid w:val="00D56BBE"/>
    <w:rPr>
      <w:rFonts w:ascii="Book Antiqua" w:hAnsi="Book Antiqua"/>
      <w:b/>
      <w:i/>
      <w:iCs/>
      <w:lang w:eastAsia="es-ES"/>
    </w:rPr>
  </w:style>
  <w:style w:type="paragraph" w:styleId="Tabladeilustraciones">
    <w:name w:val="table of figures"/>
    <w:basedOn w:val="Normal"/>
    <w:next w:val="Normal"/>
    <w:rsid w:val="00D56B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0917">
      <w:bodyDiv w:val="1"/>
      <w:marLeft w:val="0"/>
      <w:marRight w:val="0"/>
      <w:marTop w:val="0"/>
      <w:marBottom w:val="0"/>
      <w:divBdr>
        <w:top w:val="none" w:sz="0" w:space="0" w:color="auto"/>
        <w:left w:val="none" w:sz="0" w:space="0" w:color="auto"/>
        <w:bottom w:val="none" w:sz="0" w:space="0" w:color="auto"/>
        <w:right w:val="none" w:sz="0" w:space="0" w:color="auto"/>
      </w:divBdr>
    </w:div>
    <w:div w:id="7024269">
      <w:bodyDiv w:val="1"/>
      <w:marLeft w:val="0"/>
      <w:marRight w:val="0"/>
      <w:marTop w:val="0"/>
      <w:marBottom w:val="0"/>
      <w:divBdr>
        <w:top w:val="none" w:sz="0" w:space="0" w:color="auto"/>
        <w:left w:val="none" w:sz="0" w:space="0" w:color="auto"/>
        <w:bottom w:val="none" w:sz="0" w:space="0" w:color="auto"/>
        <w:right w:val="none" w:sz="0" w:space="0" w:color="auto"/>
      </w:divBdr>
    </w:div>
    <w:div w:id="7559674">
      <w:bodyDiv w:val="1"/>
      <w:marLeft w:val="0"/>
      <w:marRight w:val="0"/>
      <w:marTop w:val="0"/>
      <w:marBottom w:val="0"/>
      <w:divBdr>
        <w:top w:val="none" w:sz="0" w:space="0" w:color="auto"/>
        <w:left w:val="none" w:sz="0" w:space="0" w:color="auto"/>
        <w:bottom w:val="none" w:sz="0" w:space="0" w:color="auto"/>
        <w:right w:val="none" w:sz="0" w:space="0" w:color="auto"/>
      </w:divBdr>
    </w:div>
    <w:div w:id="15816153">
      <w:bodyDiv w:val="1"/>
      <w:marLeft w:val="0"/>
      <w:marRight w:val="0"/>
      <w:marTop w:val="0"/>
      <w:marBottom w:val="0"/>
      <w:divBdr>
        <w:top w:val="none" w:sz="0" w:space="0" w:color="auto"/>
        <w:left w:val="none" w:sz="0" w:space="0" w:color="auto"/>
        <w:bottom w:val="none" w:sz="0" w:space="0" w:color="auto"/>
        <w:right w:val="none" w:sz="0" w:space="0" w:color="auto"/>
      </w:divBdr>
    </w:div>
    <w:div w:id="16273371">
      <w:bodyDiv w:val="1"/>
      <w:marLeft w:val="0"/>
      <w:marRight w:val="0"/>
      <w:marTop w:val="0"/>
      <w:marBottom w:val="0"/>
      <w:divBdr>
        <w:top w:val="none" w:sz="0" w:space="0" w:color="auto"/>
        <w:left w:val="none" w:sz="0" w:space="0" w:color="auto"/>
        <w:bottom w:val="none" w:sz="0" w:space="0" w:color="auto"/>
        <w:right w:val="none" w:sz="0" w:space="0" w:color="auto"/>
      </w:divBdr>
    </w:div>
    <w:div w:id="20592691">
      <w:bodyDiv w:val="1"/>
      <w:marLeft w:val="0"/>
      <w:marRight w:val="0"/>
      <w:marTop w:val="0"/>
      <w:marBottom w:val="0"/>
      <w:divBdr>
        <w:top w:val="none" w:sz="0" w:space="0" w:color="auto"/>
        <w:left w:val="none" w:sz="0" w:space="0" w:color="auto"/>
        <w:bottom w:val="none" w:sz="0" w:space="0" w:color="auto"/>
        <w:right w:val="none" w:sz="0" w:space="0" w:color="auto"/>
      </w:divBdr>
    </w:div>
    <w:div w:id="23748743">
      <w:bodyDiv w:val="1"/>
      <w:marLeft w:val="0"/>
      <w:marRight w:val="0"/>
      <w:marTop w:val="0"/>
      <w:marBottom w:val="0"/>
      <w:divBdr>
        <w:top w:val="none" w:sz="0" w:space="0" w:color="auto"/>
        <w:left w:val="none" w:sz="0" w:space="0" w:color="auto"/>
        <w:bottom w:val="none" w:sz="0" w:space="0" w:color="auto"/>
        <w:right w:val="none" w:sz="0" w:space="0" w:color="auto"/>
      </w:divBdr>
    </w:div>
    <w:div w:id="34234297">
      <w:bodyDiv w:val="1"/>
      <w:marLeft w:val="0"/>
      <w:marRight w:val="0"/>
      <w:marTop w:val="0"/>
      <w:marBottom w:val="0"/>
      <w:divBdr>
        <w:top w:val="none" w:sz="0" w:space="0" w:color="auto"/>
        <w:left w:val="none" w:sz="0" w:space="0" w:color="auto"/>
        <w:bottom w:val="none" w:sz="0" w:space="0" w:color="auto"/>
        <w:right w:val="none" w:sz="0" w:space="0" w:color="auto"/>
      </w:divBdr>
    </w:div>
    <w:div w:id="34472346">
      <w:bodyDiv w:val="1"/>
      <w:marLeft w:val="0"/>
      <w:marRight w:val="0"/>
      <w:marTop w:val="0"/>
      <w:marBottom w:val="0"/>
      <w:divBdr>
        <w:top w:val="none" w:sz="0" w:space="0" w:color="auto"/>
        <w:left w:val="none" w:sz="0" w:space="0" w:color="auto"/>
        <w:bottom w:val="none" w:sz="0" w:space="0" w:color="auto"/>
        <w:right w:val="none" w:sz="0" w:space="0" w:color="auto"/>
      </w:divBdr>
    </w:div>
    <w:div w:id="38020509">
      <w:bodyDiv w:val="1"/>
      <w:marLeft w:val="0"/>
      <w:marRight w:val="0"/>
      <w:marTop w:val="0"/>
      <w:marBottom w:val="0"/>
      <w:divBdr>
        <w:top w:val="none" w:sz="0" w:space="0" w:color="auto"/>
        <w:left w:val="none" w:sz="0" w:space="0" w:color="auto"/>
        <w:bottom w:val="none" w:sz="0" w:space="0" w:color="auto"/>
        <w:right w:val="none" w:sz="0" w:space="0" w:color="auto"/>
      </w:divBdr>
    </w:div>
    <w:div w:id="41637611">
      <w:bodyDiv w:val="1"/>
      <w:marLeft w:val="0"/>
      <w:marRight w:val="0"/>
      <w:marTop w:val="0"/>
      <w:marBottom w:val="0"/>
      <w:divBdr>
        <w:top w:val="none" w:sz="0" w:space="0" w:color="auto"/>
        <w:left w:val="none" w:sz="0" w:space="0" w:color="auto"/>
        <w:bottom w:val="none" w:sz="0" w:space="0" w:color="auto"/>
        <w:right w:val="none" w:sz="0" w:space="0" w:color="auto"/>
      </w:divBdr>
    </w:div>
    <w:div w:id="48385810">
      <w:bodyDiv w:val="1"/>
      <w:marLeft w:val="0"/>
      <w:marRight w:val="0"/>
      <w:marTop w:val="0"/>
      <w:marBottom w:val="0"/>
      <w:divBdr>
        <w:top w:val="none" w:sz="0" w:space="0" w:color="auto"/>
        <w:left w:val="none" w:sz="0" w:space="0" w:color="auto"/>
        <w:bottom w:val="none" w:sz="0" w:space="0" w:color="auto"/>
        <w:right w:val="none" w:sz="0" w:space="0" w:color="auto"/>
      </w:divBdr>
    </w:div>
    <w:div w:id="54472137">
      <w:bodyDiv w:val="1"/>
      <w:marLeft w:val="0"/>
      <w:marRight w:val="0"/>
      <w:marTop w:val="0"/>
      <w:marBottom w:val="0"/>
      <w:divBdr>
        <w:top w:val="none" w:sz="0" w:space="0" w:color="auto"/>
        <w:left w:val="none" w:sz="0" w:space="0" w:color="auto"/>
        <w:bottom w:val="none" w:sz="0" w:space="0" w:color="auto"/>
        <w:right w:val="none" w:sz="0" w:space="0" w:color="auto"/>
      </w:divBdr>
    </w:div>
    <w:div w:id="57439126">
      <w:bodyDiv w:val="1"/>
      <w:marLeft w:val="0"/>
      <w:marRight w:val="0"/>
      <w:marTop w:val="0"/>
      <w:marBottom w:val="0"/>
      <w:divBdr>
        <w:top w:val="none" w:sz="0" w:space="0" w:color="auto"/>
        <w:left w:val="none" w:sz="0" w:space="0" w:color="auto"/>
        <w:bottom w:val="none" w:sz="0" w:space="0" w:color="auto"/>
        <w:right w:val="none" w:sz="0" w:space="0" w:color="auto"/>
      </w:divBdr>
    </w:div>
    <w:div w:id="67118302">
      <w:bodyDiv w:val="1"/>
      <w:marLeft w:val="0"/>
      <w:marRight w:val="0"/>
      <w:marTop w:val="0"/>
      <w:marBottom w:val="0"/>
      <w:divBdr>
        <w:top w:val="none" w:sz="0" w:space="0" w:color="auto"/>
        <w:left w:val="none" w:sz="0" w:space="0" w:color="auto"/>
        <w:bottom w:val="none" w:sz="0" w:space="0" w:color="auto"/>
        <w:right w:val="none" w:sz="0" w:space="0" w:color="auto"/>
      </w:divBdr>
    </w:div>
    <w:div w:id="69616731">
      <w:bodyDiv w:val="1"/>
      <w:marLeft w:val="0"/>
      <w:marRight w:val="0"/>
      <w:marTop w:val="0"/>
      <w:marBottom w:val="0"/>
      <w:divBdr>
        <w:top w:val="none" w:sz="0" w:space="0" w:color="auto"/>
        <w:left w:val="none" w:sz="0" w:space="0" w:color="auto"/>
        <w:bottom w:val="none" w:sz="0" w:space="0" w:color="auto"/>
        <w:right w:val="none" w:sz="0" w:space="0" w:color="auto"/>
      </w:divBdr>
      <w:divsChild>
        <w:div w:id="1949461598">
          <w:marLeft w:val="0"/>
          <w:marRight w:val="0"/>
          <w:marTop w:val="0"/>
          <w:marBottom w:val="0"/>
          <w:divBdr>
            <w:top w:val="none" w:sz="0" w:space="0" w:color="auto"/>
            <w:left w:val="none" w:sz="0" w:space="0" w:color="auto"/>
            <w:bottom w:val="none" w:sz="0" w:space="0" w:color="auto"/>
            <w:right w:val="none" w:sz="0" w:space="0" w:color="auto"/>
          </w:divBdr>
        </w:div>
      </w:divsChild>
    </w:div>
    <w:div w:id="79375143">
      <w:bodyDiv w:val="1"/>
      <w:marLeft w:val="0"/>
      <w:marRight w:val="0"/>
      <w:marTop w:val="0"/>
      <w:marBottom w:val="0"/>
      <w:divBdr>
        <w:top w:val="none" w:sz="0" w:space="0" w:color="auto"/>
        <w:left w:val="none" w:sz="0" w:space="0" w:color="auto"/>
        <w:bottom w:val="none" w:sz="0" w:space="0" w:color="auto"/>
        <w:right w:val="none" w:sz="0" w:space="0" w:color="auto"/>
      </w:divBdr>
    </w:div>
    <w:div w:id="86970154">
      <w:bodyDiv w:val="1"/>
      <w:marLeft w:val="0"/>
      <w:marRight w:val="0"/>
      <w:marTop w:val="0"/>
      <w:marBottom w:val="0"/>
      <w:divBdr>
        <w:top w:val="none" w:sz="0" w:space="0" w:color="auto"/>
        <w:left w:val="none" w:sz="0" w:space="0" w:color="auto"/>
        <w:bottom w:val="none" w:sz="0" w:space="0" w:color="auto"/>
        <w:right w:val="none" w:sz="0" w:space="0" w:color="auto"/>
      </w:divBdr>
    </w:div>
    <w:div w:id="91513543">
      <w:bodyDiv w:val="1"/>
      <w:marLeft w:val="0"/>
      <w:marRight w:val="0"/>
      <w:marTop w:val="0"/>
      <w:marBottom w:val="0"/>
      <w:divBdr>
        <w:top w:val="none" w:sz="0" w:space="0" w:color="auto"/>
        <w:left w:val="none" w:sz="0" w:space="0" w:color="auto"/>
        <w:bottom w:val="none" w:sz="0" w:space="0" w:color="auto"/>
        <w:right w:val="none" w:sz="0" w:space="0" w:color="auto"/>
      </w:divBdr>
    </w:div>
    <w:div w:id="92210383">
      <w:bodyDiv w:val="1"/>
      <w:marLeft w:val="0"/>
      <w:marRight w:val="0"/>
      <w:marTop w:val="0"/>
      <w:marBottom w:val="0"/>
      <w:divBdr>
        <w:top w:val="none" w:sz="0" w:space="0" w:color="auto"/>
        <w:left w:val="none" w:sz="0" w:space="0" w:color="auto"/>
        <w:bottom w:val="none" w:sz="0" w:space="0" w:color="auto"/>
        <w:right w:val="none" w:sz="0" w:space="0" w:color="auto"/>
      </w:divBdr>
    </w:div>
    <w:div w:id="97875708">
      <w:bodyDiv w:val="1"/>
      <w:marLeft w:val="0"/>
      <w:marRight w:val="0"/>
      <w:marTop w:val="0"/>
      <w:marBottom w:val="0"/>
      <w:divBdr>
        <w:top w:val="none" w:sz="0" w:space="0" w:color="auto"/>
        <w:left w:val="none" w:sz="0" w:space="0" w:color="auto"/>
        <w:bottom w:val="none" w:sz="0" w:space="0" w:color="auto"/>
        <w:right w:val="none" w:sz="0" w:space="0" w:color="auto"/>
      </w:divBdr>
    </w:div>
    <w:div w:id="100340195">
      <w:bodyDiv w:val="1"/>
      <w:marLeft w:val="0"/>
      <w:marRight w:val="0"/>
      <w:marTop w:val="0"/>
      <w:marBottom w:val="0"/>
      <w:divBdr>
        <w:top w:val="none" w:sz="0" w:space="0" w:color="auto"/>
        <w:left w:val="none" w:sz="0" w:space="0" w:color="auto"/>
        <w:bottom w:val="none" w:sz="0" w:space="0" w:color="auto"/>
        <w:right w:val="none" w:sz="0" w:space="0" w:color="auto"/>
      </w:divBdr>
    </w:div>
    <w:div w:id="104814775">
      <w:bodyDiv w:val="1"/>
      <w:marLeft w:val="0"/>
      <w:marRight w:val="0"/>
      <w:marTop w:val="0"/>
      <w:marBottom w:val="0"/>
      <w:divBdr>
        <w:top w:val="none" w:sz="0" w:space="0" w:color="auto"/>
        <w:left w:val="none" w:sz="0" w:space="0" w:color="auto"/>
        <w:bottom w:val="none" w:sz="0" w:space="0" w:color="auto"/>
        <w:right w:val="none" w:sz="0" w:space="0" w:color="auto"/>
      </w:divBdr>
    </w:div>
    <w:div w:id="105085714">
      <w:bodyDiv w:val="1"/>
      <w:marLeft w:val="0"/>
      <w:marRight w:val="0"/>
      <w:marTop w:val="0"/>
      <w:marBottom w:val="0"/>
      <w:divBdr>
        <w:top w:val="none" w:sz="0" w:space="0" w:color="auto"/>
        <w:left w:val="none" w:sz="0" w:space="0" w:color="auto"/>
        <w:bottom w:val="none" w:sz="0" w:space="0" w:color="auto"/>
        <w:right w:val="none" w:sz="0" w:space="0" w:color="auto"/>
      </w:divBdr>
      <w:divsChild>
        <w:div w:id="273446016">
          <w:marLeft w:val="0"/>
          <w:marRight w:val="0"/>
          <w:marTop w:val="0"/>
          <w:marBottom w:val="0"/>
          <w:divBdr>
            <w:top w:val="none" w:sz="0" w:space="0" w:color="auto"/>
            <w:left w:val="none" w:sz="0" w:space="0" w:color="auto"/>
            <w:bottom w:val="none" w:sz="0" w:space="0" w:color="auto"/>
            <w:right w:val="none" w:sz="0" w:space="0" w:color="auto"/>
          </w:divBdr>
        </w:div>
      </w:divsChild>
    </w:div>
    <w:div w:id="109205976">
      <w:bodyDiv w:val="1"/>
      <w:marLeft w:val="0"/>
      <w:marRight w:val="0"/>
      <w:marTop w:val="0"/>
      <w:marBottom w:val="0"/>
      <w:divBdr>
        <w:top w:val="none" w:sz="0" w:space="0" w:color="auto"/>
        <w:left w:val="none" w:sz="0" w:space="0" w:color="auto"/>
        <w:bottom w:val="none" w:sz="0" w:space="0" w:color="auto"/>
        <w:right w:val="none" w:sz="0" w:space="0" w:color="auto"/>
      </w:divBdr>
    </w:div>
    <w:div w:id="110899052">
      <w:bodyDiv w:val="1"/>
      <w:marLeft w:val="0"/>
      <w:marRight w:val="0"/>
      <w:marTop w:val="0"/>
      <w:marBottom w:val="0"/>
      <w:divBdr>
        <w:top w:val="none" w:sz="0" w:space="0" w:color="auto"/>
        <w:left w:val="none" w:sz="0" w:space="0" w:color="auto"/>
        <w:bottom w:val="none" w:sz="0" w:space="0" w:color="auto"/>
        <w:right w:val="none" w:sz="0" w:space="0" w:color="auto"/>
      </w:divBdr>
    </w:div>
    <w:div w:id="113015275">
      <w:bodyDiv w:val="1"/>
      <w:marLeft w:val="0"/>
      <w:marRight w:val="0"/>
      <w:marTop w:val="0"/>
      <w:marBottom w:val="0"/>
      <w:divBdr>
        <w:top w:val="none" w:sz="0" w:space="0" w:color="auto"/>
        <w:left w:val="none" w:sz="0" w:space="0" w:color="auto"/>
        <w:bottom w:val="none" w:sz="0" w:space="0" w:color="auto"/>
        <w:right w:val="none" w:sz="0" w:space="0" w:color="auto"/>
      </w:divBdr>
    </w:div>
    <w:div w:id="125004851">
      <w:bodyDiv w:val="1"/>
      <w:marLeft w:val="0"/>
      <w:marRight w:val="0"/>
      <w:marTop w:val="0"/>
      <w:marBottom w:val="0"/>
      <w:divBdr>
        <w:top w:val="none" w:sz="0" w:space="0" w:color="auto"/>
        <w:left w:val="none" w:sz="0" w:space="0" w:color="auto"/>
        <w:bottom w:val="none" w:sz="0" w:space="0" w:color="auto"/>
        <w:right w:val="none" w:sz="0" w:space="0" w:color="auto"/>
      </w:divBdr>
    </w:div>
    <w:div w:id="127094136">
      <w:bodyDiv w:val="1"/>
      <w:marLeft w:val="0"/>
      <w:marRight w:val="0"/>
      <w:marTop w:val="0"/>
      <w:marBottom w:val="0"/>
      <w:divBdr>
        <w:top w:val="none" w:sz="0" w:space="0" w:color="auto"/>
        <w:left w:val="none" w:sz="0" w:space="0" w:color="auto"/>
        <w:bottom w:val="none" w:sz="0" w:space="0" w:color="auto"/>
        <w:right w:val="none" w:sz="0" w:space="0" w:color="auto"/>
      </w:divBdr>
    </w:div>
    <w:div w:id="132984866">
      <w:bodyDiv w:val="1"/>
      <w:marLeft w:val="0"/>
      <w:marRight w:val="0"/>
      <w:marTop w:val="0"/>
      <w:marBottom w:val="0"/>
      <w:divBdr>
        <w:top w:val="none" w:sz="0" w:space="0" w:color="auto"/>
        <w:left w:val="none" w:sz="0" w:space="0" w:color="auto"/>
        <w:bottom w:val="none" w:sz="0" w:space="0" w:color="auto"/>
        <w:right w:val="none" w:sz="0" w:space="0" w:color="auto"/>
      </w:divBdr>
    </w:div>
    <w:div w:id="139273440">
      <w:bodyDiv w:val="1"/>
      <w:marLeft w:val="0"/>
      <w:marRight w:val="0"/>
      <w:marTop w:val="0"/>
      <w:marBottom w:val="0"/>
      <w:divBdr>
        <w:top w:val="none" w:sz="0" w:space="0" w:color="auto"/>
        <w:left w:val="none" w:sz="0" w:space="0" w:color="auto"/>
        <w:bottom w:val="none" w:sz="0" w:space="0" w:color="auto"/>
        <w:right w:val="none" w:sz="0" w:space="0" w:color="auto"/>
      </w:divBdr>
    </w:div>
    <w:div w:id="144054315">
      <w:bodyDiv w:val="1"/>
      <w:marLeft w:val="0"/>
      <w:marRight w:val="0"/>
      <w:marTop w:val="0"/>
      <w:marBottom w:val="0"/>
      <w:divBdr>
        <w:top w:val="none" w:sz="0" w:space="0" w:color="auto"/>
        <w:left w:val="none" w:sz="0" w:space="0" w:color="auto"/>
        <w:bottom w:val="none" w:sz="0" w:space="0" w:color="auto"/>
        <w:right w:val="none" w:sz="0" w:space="0" w:color="auto"/>
      </w:divBdr>
    </w:div>
    <w:div w:id="153185147">
      <w:bodyDiv w:val="1"/>
      <w:marLeft w:val="0"/>
      <w:marRight w:val="0"/>
      <w:marTop w:val="0"/>
      <w:marBottom w:val="0"/>
      <w:divBdr>
        <w:top w:val="none" w:sz="0" w:space="0" w:color="auto"/>
        <w:left w:val="none" w:sz="0" w:space="0" w:color="auto"/>
        <w:bottom w:val="none" w:sz="0" w:space="0" w:color="auto"/>
        <w:right w:val="none" w:sz="0" w:space="0" w:color="auto"/>
      </w:divBdr>
    </w:div>
    <w:div w:id="155153347">
      <w:bodyDiv w:val="1"/>
      <w:marLeft w:val="0"/>
      <w:marRight w:val="0"/>
      <w:marTop w:val="0"/>
      <w:marBottom w:val="0"/>
      <w:divBdr>
        <w:top w:val="none" w:sz="0" w:space="0" w:color="auto"/>
        <w:left w:val="none" w:sz="0" w:space="0" w:color="auto"/>
        <w:bottom w:val="none" w:sz="0" w:space="0" w:color="auto"/>
        <w:right w:val="none" w:sz="0" w:space="0" w:color="auto"/>
      </w:divBdr>
    </w:div>
    <w:div w:id="162090846">
      <w:bodyDiv w:val="1"/>
      <w:marLeft w:val="0"/>
      <w:marRight w:val="0"/>
      <w:marTop w:val="0"/>
      <w:marBottom w:val="0"/>
      <w:divBdr>
        <w:top w:val="none" w:sz="0" w:space="0" w:color="auto"/>
        <w:left w:val="none" w:sz="0" w:space="0" w:color="auto"/>
        <w:bottom w:val="none" w:sz="0" w:space="0" w:color="auto"/>
        <w:right w:val="none" w:sz="0" w:space="0" w:color="auto"/>
      </w:divBdr>
    </w:div>
    <w:div w:id="164129898">
      <w:bodyDiv w:val="1"/>
      <w:marLeft w:val="0"/>
      <w:marRight w:val="0"/>
      <w:marTop w:val="0"/>
      <w:marBottom w:val="0"/>
      <w:divBdr>
        <w:top w:val="none" w:sz="0" w:space="0" w:color="auto"/>
        <w:left w:val="none" w:sz="0" w:space="0" w:color="auto"/>
        <w:bottom w:val="none" w:sz="0" w:space="0" w:color="auto"/>
        <w:right w:val="none" w:sz="0" w:space="0" w:color="auto"/>
      </w:divBdr>
    </w:div>
    <w:div w:id="166868854">
      <w:bodyDiv w:val="1"/>
      <w:marLeft w:val="0"/>
      <w:marRight w:val="0"/>
      <w:marTop w:val="0"/>
      <w:marBottom w:val="0"/>
      <w:divBdr>
        <w:top w:val="none" w:sz="0" w:space="0" w:color="auto"/>
        <w:left w:val="none" w:sz="0" w:space="0" w:color="auto"/>
        <w:bottom w:val="none" w:sz="0" w:space="0" w:color="auto"/>
        <w:right w:val="none" w:sz="0" w:space="0" w:color="auto"/>
      </w:divBdr>
    </w:div>
    <w:div w:id="176819635">
      <w:bodyDiv w:val="1"/>
      <w:marLeft w:val="0"/>
      <w:marRight w:val="0"/>
      <w:marTop w:val="0"/>
      <w:marBottom w:val="0"/>
      <w:divBdr>
        <w:top w:val="none" w:sz="0" w:space="0" w:color="auto"/>
        <w:left w:val="none" w:sz="0" w:space="0" w:color="auto"/>
        <w:bottom w:val="none" w:sz="0" w:space="0" w:color="auto"/>
        <w:right w:val="none" w:sz="0" w:space="0" w:color="auto"/>
      </w:divBdr>
    </w:div>
    <w:div w:id="181210367">
      <w:bodyDiv w:val="1"/>
      <w:marLeft w:val="0"/>
      <w:marRight w:val="0"/>
      <w:marTop w:val="0"/>
      <w:marBottom w:val="0"/>
      <w:divBdr>
        <w:top w:val="none" w:sz="0" w:space="0" w:color="auto"/>
        <w:left w:val="none" w:sz="0" w:space="0" w:color="auto"/>
        <w:bottom w:val="none" w:sz="0" w:space="0" w:color="auto"/>
        <w:right w:val="none" w:sz="0" w:space="0" w:color="auto"/>
      </w:divBdr>
    </w:div>
    <w:div w:id="181477460">
      <w:bodyDiv w:val="1"/>
      <w:marLeft w:val="0"/>
      <w:marRight w:val="0"/>
      <w:marTop w:val="0"/>
      <w:marBottom w:val="0"/>
      <w:divBdr>
        <w:top w:val="none" w:sz="0" w:space="0" w:color="auto"/>
        <w:left w:val="none" w:sz="0" w:space="0" w:color="auto"/>
        <w:bottom w:val="none" w:sz="0" w:space="0" w:color="auto"/>
        <w:right w:val="none" w:sz="0" w:space="0" w:color="auto"/>
      </w:divBdr>
    </w:div>
    <w:div w:id="182256714">
      <w:bodyDiv w:val="1"/>
      <w:marLeft w:val="0"/>
      <w:marRight w:val="0"/>
      <w:marTop w:val="0"/>
      <w:marBottom w:val="0"/>
      <w:divBdr>
        <w:top w:val="none" w:sz="0" w:space="0" w:color="auto"/>
        <w:left w:val="none" w:sz="0" w:space="0" w:color="auto"/>
        <w:bottom w:val="none" w:sz="0" w:space="0" w:color="auto"/>
        <w:right w:val="none" w:sz="0" w:space="0" w:color="auto"/>
      </w:divBdr>
    </w:div>
    <w:div w:id="186451369">
      <w:bodyDiv w:val="1"/>
      <w:marLeft w:val="0"/>
      <w:marRight w:val="0"/>
      <w:marTop w:val="0"/>
      <w:marBottom w:val="0"/>
      <w:divBdr>
        <w:top w:val="none" w:sz="0" w:space="0" w:color="auto"/>
        <w:left w:val="none" w:sz="0" w:space="0" w:color="auto"/>
        <w:bottom w:val="none" w:sz="0" w:space="0" w:color="auto"/>
        <w:right w:val="none" w:sz="0" w:space="0" w:color="auto"/>
      </w:divBdr>
    </w:div>
    <w:div w:id="187988602">
      <w:bodyDiv w:val="1"/>
      <w:marLeft w:val="0"/>
      <w:marRight w:val="0"/>
      <w:marTop w:val="0"/>
      <w:marBottom w:val="0"/>
      <w:divBdr>
        <w:top w:val="none" w:sz="0" w:space="0" w:color="auto"/>
        <w:left w:val="none" w:sz="0" w:space="0" w:color="auto"/>
        <w:bottom w:val="none" w:sz="0" w:space="0" w:color="auto"/>
        <w:right w:val="none" w:sz="0" w:space="0" w:color="auto"/>
      </w:divBdr>
    </w:div>
    <w:div w:id="195626999">
      <w:bodyDiv w:val="1"/>
      <w:marLeft w:val="0"/>
      <w:marRight w:val="0"/>
      <w:marTop w:val="0"/>
      <w:marBottom w:val="0"/>
      <w:divBdr>
        <w:top w:val="none" w:sz="0" w:space="0" w:color="auto"/>
        <w:left w:val="none" w:sz="0" w:space="0" w:color="auto"/>
        <w:bottom w:val="none" w:sz="0" w:space="0" w:color="auto"/>
        <w:right w:val="none" w:sz="0" w:space="0" w:color="auto"/>
      </w:divBdr>
    </w:div>
    <w:div w:id="198204951">
      <w:bodyDiv w:val="1"/>
      <w:marLeft w:val="0"/>
      <w:marRight w:val="0"/>
      <w:marTop w:val="0"/>
      <w:marBottom w:val="0"/>
      <w:divBdr>
        <w:top w:val="none" w:sz="0" w:space="0" w:color="auto"/>
        <w:left w:val="none" w:sz="0" w:space="0" w:color="auto"/>
        <w:bottom w:val="none" w:sz="0" w:space="0" w:color="auto"/>
        <w:right w:val="none" w:sz="0" w:space="0" w:color="auto"/>
      </w:divBdr>
    </w:div>
    <w:div w:id="202138665">
      <w:bodyDiv w:val="1"/>
      <w:marLeft w:val="0"/>
      <w:marRight w:val="0"/>
      <w:marTop w:val="0"/>
      <w:marBottom w:val="0"/>
      <w:divBdr>
        <w:top w:val="none" w:sz="0" w:space="0" w:color="auto"/>
        <w:left w:val="none" w:sz="0" w:space="0" w:color="auto"/>
        <w:bottom w:val="none" w:sz="0" w:space="0" w:color="auto"/>
        <w:right w:val="none" w:sz="0" w:space="0" w:color="auto"/>
      </w:divBdr>
    </w:div>
    <w:div w:id="220141442">
      <w:bodyDiv w:val="1"/>
      <w:marLeft w:val="0"/>
      <w:marRight w:val="0"/>
      <w:marTop w:val="0"/>
      <w:marBottom w:val="0"/>
      <w:divBdr>
        <w:top w:val="none" w:sz="0" w:space="0" w:color="auto"/>
        <w:left w:val="none" w:sz="0" w:space="0" w:color="auto"/>
        <w:bottom w:val="none" w:sz="0" w:space="0" w:color="auto"/>
        <w:right w:val="none" w:sz="0" w:space="0" w:color="auto"/>
      </w:divBdr>
    </w:div>
    <w:div w:id="222179023">
      <w:bodyDiv w:val="1"/>
      <w:marLeft w:val="0"/>
      <w:marRight w:val="0"/>
      <w:marTop w:val="0"/>
      <w:marBottom w:val="0"/>
      <w:divBdr>
        <w:top w:val="none" w:sz="0" w:space="0" w:color="auto"/>
        <w:left w:val="none" w:sz="0" w:space="0" w:color="auto"/>
        <w:bottom w:val="none" w:sz="0" w:space="0" w:color="auto"/>
        <w:right w:val="none" w:sz="0" w:space="0" w:color="auto"/>
      </w:divBdr>
    </w:div>
    <w:div w:id="234710790">
      <w:bodyDiv w:val="1"/>
      <w:marLeft w:val="0"/>
      <w:marRight w:val="0"/>
      <w:marTop w:val="0"/>
      <w:marBottom w:val="0"/>
      <w:divBdr>
        <w:top w:val="none" w:sz="0" w:space="0" w:color="auto"/>
        <w:left w:val="none" w:sz="0" w:space="0" w:color="auto"/>
        <w:bottom w:val="none" w:sz="0" w:space="0" w:color="auto"/>
        <w:right w:val="none" w:sz="0" w:space="0" w:color="auto"/>
      </w:divBdr>
    </w:div>
    <w:div w:id="236550237">
      <w:bodyDiv w:val="1"/>
      <w:marLeft w:val="0"/>
      <w:marRight w:val="0"/>
      <w:marTop w:val="0"/>
      <w:marBottom w:val="0"/>
      <w:divBdr>
        <w:top w:val="none" w:sz="0" w:space="0" w:color="auto"/>
        <w:left w:val="none" w:sz="0" w:space="0" w:color="auto"/>
        <w:bottom w:val="none" w:sz="0" w:space="0" w:color="auto"/>
        <w:right w:val="none" w:sz="0" w:space="0" w:color="auto"/>
      </w:divBdr>
    </w:div>
    <w:div w:id="240867676">
      <w:bodyDiv w:val="1"/>
      <w:marLeft w:val="0"/>
      <w:marRight w:val="0"/>
      <w:marTop w:val="0"/>
      <w:marBottom w:val="0"/>
      <w:divBdr>
        <w:top w:val="none" w:sz="0" w:space="0" w:color="auto"/>
        <w:left w:val="none" w:sz="0" w:space="0" w:color="auto"/>
        <w:bottom w:val="none" w:sz="0" w:space="0" w:color="auto"/>
        <w:right w:val="none" w:sz="0" w:space="0" w:color="auto"/>
      </w:divBdr>
    </w:div>
    <w:div w:id="241719610">
      <w:bodyDiv w:val="1"/>
      <w:marLeft w:val="0"/>
      <w:marRight w:val="0"/>
      <w:marTop w:val="0"/>
      <w:marBottom w:val="0"/>
      <w:divBdr>
        <w:top w:val="none" w:sz="0" w:space="0" w:color="auto"/>
        <w:left w:val="none" w:sz="0" w:space="0" w:color="auto"/>
        <w:bottom w:val="none" w:sz="0" w:space="0" w:color="auto"/>
        <w:right w:val="none" w:sz="0" w:space="0" w:color="auto"/>
      </w:divBdr>
    </w:div>
    <w:div w:id="244608669">
      <w:bodyDiv w:val="1"/>
      <w:marLeft w:val="0"/>
      <w:marRight w:val="0"/>
      <w:marTop w:val="0"/>
      <w:marBottom w:val="0"/>
      <w:divBdr>
        <w:top w:val="none" w:sz="0" w:space="0" w:color="auto"/>
        <w:left w:val="none" w:sz="0" w:space="0" w:color="auto"/>
        <w:bottom w:val="none" w:sz="0" w:space="0" w:color="auto"/>
        <w:right w:val="none" w:sz="0" w:space="0" w:color="auto"/>
      </w:divBdr>
    </w:div>
    <w:div w:id="244612149">
      <w:bodyDiv w:val="1"/>
      <w:marLeft w:val="0"/>
      <w:marRight w:val="0"/>
      <w:marTop w:val="0"/>
      <w:marBottom w:val="0"/>
      <w:divBdr>
        <w:top w:val="none" w:sz="0" w:space="0" w:color="auto"/>
        <w:left w:val="none" w:sz="0" w:space="0" w:color="auto"/>
        <w:bottom w:val="none" w:sz="0" w:space="0" w:color="auto"/>
        <w:right w:val="none" w:sz="0" w:space="0" w:color="auto"/>
      </w:divBdr>
    </w:div>
    <w:div w:id="252904446">
      <w:bodyDiv w:val="1"/>
      <w:marLeft w:val="0"/>
      <w:marRight w:val="0"/>
      <w:marTop w:val="0"/>
      <w:marBottom w:val="0"/>
      <w:divBdr>
        <w:top w:val="none" w:sz="0" w:space="0" w:color="auto"/>
        <w:left w:val="none" w:sz="0" w:space="0" w:color="auto"/>
        <w:bottom w:val="none" w:sz="0" w:space="0" w:color="auto"/>
        <w:right w:val="none" w:sz="0" w:space="0" w:color="auto"/>
      </w:divBdr>
    </w:div>
    <w:div w:id="253982280">
      <w:bodyDiv w:val="1"/>
      <w:marLeft w:val="0"/>
      <w:marRight w:val="0"/>
      <w:marTop w:val="0"/>
      <w:marBottom w:val="0"/>
      <w:divBdr>
        <w:top w:val="none" w:sz="0" w:space="0" w:color="auto"/>
        <w:left w:val="none" w:sz="0" w:space="0" w:color="auto"/>
        <w:bottom w:val="none" w:sz="0" w:space="0" w:color="auto"/>
        <w:right w:val="none" w:sz="0" w:space="0" w:color="auto"/>
      </w:divBdr>
    </w:div>
    <w:div w:id="262684789">
      <w:bodyDiv w:val="1"/>
      <w:marLeft w:val="0"/>
      <w:marRight w:val="0"/>
      <w:marTop w:val="0"/>
      <w:marBottom w:val="0"/>
      <w:divBdr>
        <w:top w:val="none" w:sz="0" w:space="0" w:color="auto"/>
        <w:left w:val="none" w:sz="0" w:space="0" w:color="auto"/>
        <w:bottom w:val="none" w:sz="0" w:space="0" w:color="auto"/>
        <w:right w:val="none" w:sz="0" w:space="0" w:color="auto"/>
      </w:divBdr>
    </w:div>
    <w:div w:id="275214673">
      <w:bodyDiv w:val="1"/>
      <w:marLeft w:val="0"/>
      <w:marRight w:val="0"/>
      <w:marTop w:val="0"/>
      <w:marBottom w:val="0"/>
      <w:divBdr>
        <w:top w:val="none" w:sz="0" w:space="0" w:color="auto"/>
        <w:left w:val="none" w:sz="0" w:space="0" w:color="auto"/>
        <w:bottom w:val="none" w:sz="0" w:space="0" w:color="auto"/>
        <w:right w:val="none" w:sz="0" w:space="0" w:color="auto"/>
      </w:divBdr>
    </w:div>
    <w:div w:id="275714999">
      <w:bodyDiv w:val="1"/>
      <w:marLeft w:val="0"/>
      <w:marRight w:val="0"/>
      <w:marTop w:val="0"/>
      <w:marBottom w:val="0"/>
      <w:divBdr>
        <w:top w:val="none" w:sz="0" w:space="0" w:color="auto"/>
        <w:left w:val="none" w:sz="0" w:space="0" w:color="auto"/>
        <w:bottom w:val="none" w:sz="0" w:space="0" w:color="auto"/>
        <w:right w:val="none" w:sz="0" w:space="0" w:color="auto"/>
      </w:divBdr>
    </w:div>
    <w:div w:id="275718751">
      <w:bodyDiv w:val="1"/>
      <w:marLeft w:val="0"/>
      <w:marRight w:val="0"/>
      <w:marTop w:val="0"/>
      <w:marBottom w:val="0"/>
      <w:divBdr>
        <w:top w:val="none" w:sz="0" w:space="0" w:color="auto"/>
        <w:left w:val="none" w:sz="0" w:space="0" w:color="auto"/>
        <w:bottom w:val="none" w:sz="0" w:space="0" w:color="auto"/>
        <w:right w:val="none" w:sz="0" w:space="0" w:color="auto"/>
      </w:divBdr>
      <w:divsChild>
        <w:div w:id="945817858">
          <w:marLeft w:val="0"/>
          <w:marRight w:val="0"/>
          <w:marTop w:val="0"/>
          <w:marBottom w:val="0"/>
          <w:divBdr>
            <w:top w:val="none" w:sz="0" w:space="0" w:color="auto"/>
            <w:left w:val="none" w:sz="0" w:space="0" w:color="auto"/>
            <w:bottom w:val="none" w:sz="0" w:space="0" w:color="auto"/>
            <w:right w:val="none" w:sz="0" w:space="0" w:color="auto"/>
          </w:divBdr>
        </w:div>
      </w:divsChild>
    </w:div>
    <w:div w:id="295644159">
      <w:bodyDiv w:val="1"/>
      <w:marLeft w:val="0"/>
      <w:marRight w:val="0"/>
      <w:marTop w:val="0"/>
      <w:marBottom w:val="0"/>
      <w:divBdr>
        <w:top w:val="none" w:sz="0" w:space="0" w:color="auto"/>
        <w:left w:val="none" w:sz="0" w:space="0" w:color="auto"/>
        <w:bottom w:val="none" w:sz="0" w:space="0" w:color="auto"/>
        <w:right w:val="none" w:sz="0" w:space="0" w:color="auto"/>
      </w:divBdr>
      <w:divsChild>
        <w:div w:id="706833986">
          <w:marLeft w:val="0"/>
          <w:marRight w:val="0"/>
          <w:marTop w:val="0"/>
          <w:marBottom w:val="0"/>
          <w:divBdr>
            <w:top w:val="none" w:sz="0" w:space="0" w:color="auto"/>
            <w:left w:val="none" w:sz="0" w:space="0" w:color="auto"/>
            <w:bottom w:val="none" w:sz="0" w:space="0" w:color="auto"/>
            <w:right w:val="none" w:sz="0" w:space="0" w:color="auto"/>
          </w:divBdr>
        </w:div>
      </w:divsChild>
    </w:div>
    <w:div w:id="313070122">
      <w:bodyDiv w:val="1"/>
      <w:marLeft w:val="0"/>
      <w:marRight w:val="0"/>
      <w:marTop w:val="0"/>
      <w:marBottom w:val="0"/>
      <w:divBdr>
        <w:top w:val="none" w:sz="0" w:space="0" w:color="auto"/>
        <w:left w:val="none" w:sz="0" w:space="0" w:color="auto"/>
        <w:bottom w:val="none" w:sz="0" w:space="0" w:color="auto"/>
        <w:right w:val="none" w:sz="0" w:space="0" w:color="auto"/>
      </w:divBdr>
    </w:div>
    <w:div w:id="318266135">
      <w:bodyDiv w:val="1"/>
      <w:marLeft w:val="0"/>
      <w:marRight w:val="0"/>
      <w:marTop w:val="0"/>
      <w:marBottom w:val="0"/>
      <w:divBdr>
        <w:top w:val="none" w:sz="0" w:space="0" w:color="auto"/>
        <w:left w:val="none" w:sz="0" w:space="0" w:color="auto"/>
        <w:bottom w:val="none" w:sz="0" w:space="0" w:color="auto"/>
        <w:right w:val="none" w:sz="0" w:space="0" w:color="auto"/>
      </w:divBdr>
    </w:div>
    <w:div w:id="320736309">
      <w:bodyDiv w:val="1"/>
      <w:marLeft w:val="0"/>
      <w:marRight w:val="0"/>
      <w:marTop w:val="0"/>
      <w:marBottom w:val="0"/>
      <w:divBdr>
        <w:top w:val="none" w:sz="0" w:space="0" w:color="auto"/>
        <w:left w:val="none" w:sz="0" w:space="0" w:color="auto"/>
        <w:bottom w:val="none" w:sz="0" w:space="0" w:color="auto"/>
        <w:right w:val="none" w:sz="0" w:space="0" w:color="auto"/>
      </w:divBdr>
    </w:div>
    <w:div w:id="332949256">
      <w:bodyDiv w:val="1"/>
      <w:marLeft w:val="0"/>
      <w:marRight w:val="0"/>
      <w:marTop w:val="0"/>
      <w:marBottom w:val="0"/>
      <w:divBdr>
        <w:top w:val="none" w:sz="0" w:space="0" w:color="auto"/>
        <w:left w:val="none" w:sz="0" w:space="0" w:color="auto"/>
        <w:bottom w:val="none" w:sz="0" w:space="0" w:color="auto"/>
        <w:right w:val="none" w:sz="0" w:space="0" w:color="auto"/>
      </w:divBdr>
    </w:div>
    <w:div w:id="338625461">
      <w:bodyDiv w:val="1"/>
      <w:marLeft w:val="0"/>
      <w:marRight w:val="0"/>
      <w:marTop w:val="0"/>
      <w:marBottom w:val="0"/>
      <w:divBdr>
        <w:top w:val="none" w:sz="0" w:space="0" w:color="auto"/>
        <w:left w:val="none" w:sz="0" w:space="0" w:color="auto"/>
        <w:bottom w:val="none" w:sz="0" w:space="0" w:color="auto"/>
        <w:right w:val="none" w:sz="0" w:space="0" w:color="auto"/>
      </w:divBdr>
    </w:div>
    <w:div w:id="344481092">
      <w:bodyDiv w:val="1"/>
      <w:marLeft w:val="0"/>
      <w:marRight w:val="0"/>
      <w:marTop w:val="0"/>
      <w:marBottom w:val="0"/>
      <w:divBdr>
        <w:top w:val="none" w:sz="0" w:space="0" w:color="auto"/>
        <w:left w:val="none" w:sz="0" w:space="0" w:color="auto"/>
        <w:bottom w:val="none" w:sz="0" w:space="0" w:color="auto"/>
        <w:right w:val="none" w:sz="0" w:space="0" w:color="auto"/>
      </w:divBdr>
    </w:div>
    <w:div w:id="345402917">
      <w:bodyDiv w:val="1"/>
      <w:marLeft w:val="0"/>
      <w:marRight w:val="0"/>
      <w:marTop w:val="0"/>
      <w:marBottom w:val="0"/>
      <w:divBdr>
        <w:top w:val="none" w:sz="0" w:space="0" w:color="auto"/>
        <w:left w:val="none" w:sz="0" w:space="0" w:color="auto"/>
        <w:bottom w:val="none" w:sz="0" w:space="0" w:color="auto"/>
        <w:right w:val="none" w:sz="0" w:space="0" w:color="auto"/>
      </w:divBdr>
    </w:div>
    <w:div w:id="352390441">
      <w:bodyDiv w:val="1"/>
      <w:marLeft w:val="0"/>
      <w:marRight w:val="0"/>
      <w:marTop w:val="0"/>
      <w:marBottom w:val="0"/>
      <w:divBdr>
        <w:top w:val="none" w:sz="0" w:space="0" w:color="auto"/>
        <w:left w:val="none" w:sz="0" w:space="0" w:color="auto"/>
        <w:bottom w:val="none" w:sz="0" w:space="0" w:color="auto"/>
        <w:right w:val="none" w:sz="0" w:space="0" w:color="auto"/>
      </w:divBdr>
    </w:div>
    <w:div w:id="357390660">
      <w:bodyDiv w:val="1"/>
      <w:marLeft w:val="0"/>
      <w:marRight w:val="0"/>
      <w:marTop w:val="0"/>
      <w:marBottom w:val="0"/>
      <w:divBdr>
        <w:top w:val="none" w:sz="0" w:space="0" w:color="auto"/>
        <w:left w:val="none" w:sz="0" w:space="0" w:color="auto"/>
        <w:bottom w:val="none" w:sz="0" w:space="0" w:color="auto"/>
        <w:right w:val="none" w:sz="0" w:space="0" w:color="auto"/>
      </w:divBdr>
    </w:div>
    <w:div w:id="360010088">
      <w:bodyDiv w:val="1"/>
      <w:marLeft w:val="0"/>
      <w:marRight w:val="0"/>
      <w:marTop w:val="0"/>
      <w:marBottom w:val="0"/>
      <w:divBdr>
        <w:top w:val="none" w:sz="0" w:space="0" w:color="auto"/>
        <w:left w:val="none" w:sz="0" w:space="0" w:color="auto"/>
        <w:bottom w:val="none" w:sz="0" w:space="0" w:color="auto"/>
        <w:right w:val="none" w:sz="0" w:space="0" w:color="auto"/>
      </w:divBdr>
    </w:div>
    <w:div w:id="364139003">
      <w:bodyDiv w:val="1"/>
      <w:marLeft w:val="0"/>
      <w:marRight w:val="0"/>
      <w:marTop w:val="0"/>
      <w:marBottom w:val="0"/>
      <w:divBdr>
        <w:top w:val="none" w:sz="0" w:space="0" w:color="auto"/>
        <w:left w:val="none" w:sz="0" w:space="0" w:color="auto"/>
        <w:bottom w:val="none" w:sz="0" w:space="0" w:color="auto"/>
        <w:right w:val="none" w:sz="0" w:space="0" w:color="auto"/>
      </w:divBdr>
    </w:div>
    <w:div w:id="369497747">
      <w:bodyDiv w:val="1"/>
      <w:marLeft w:val="0"/>
      <w:marRight w:val="0"/>
      <w:marTop w:val="0"/>
      <w:marBottom w:val="0"/>
      <w:divBdr>
        <w:top w:val="none" w:sz="0" w:space="0" w:color="auto"/>
        <w:left w:val="none" w:sz="0" w:space="0" w:color="auto"/>
        <w:bottom w:val="none" w:sz="0" w:space="0" w:color="auto"/>
        <w:right w:val="none" w:sz="0" w:space="0" w:color="auto"/>
      </w:divBdr>
    </w:div>
    <w:div w:id="372729530">
      <w:bodyDiv w:val="1"/>
      <w:marLeft w:val="0"/>
      <w:marRight w:val="0"/>
      <w:marTop w:val="0"/>
      <w:marBottom w:val="0"/>
      <w:divBdr>
        <w:top w:val="none" w:sz="0" w:space="0" w:color="auto"/>
        <w:left w:val="none" w:sz="0" w:space="0" w:color="auto"/>
        <w:bottom w:val="none" w:sz="0" w:space="0" w:color="auto"/>
        <w:right w:val="none" w:sz="0" w:space="0" w:color="auto"/>
      </w:divBdr>
    </w:div>
    <w:div w:id="377051414">
      <w:bodyDiv w:val="1"/>
      <w:marLeft w:val="0"/>
      <w:marRight w:val="0"/>
      <w:marTop w:val="0"/>
      <w:marBottom w:val="0"/>
      <w:divBdr>
        <w:top w:val="none" w:sz="0" w:space="0" w:color="auto"/>
        <w:left w:val="none" w:sz="0" w:space="0" w:color="auto"/>
        <w:bottom w:val="none" w:sz="0" w:space="0" w:color="auto"/>
        <w:right w:val="none" w:sz="0" w:space="0" w:color="auto"/>
      </w:divBdr>
    </w:div>
    <w:div w:id="379793249">
      <w:bodyDiv w:val="1"/>
      <w:marLeft w:val="0"/>
      <w:marRight w:val="0"/>
      <w:marTop w:val="0"/>
      <w:marBottom w:val="0"/>
      <w:divBdr>
        <w:top w:val="none" w:sz="0" w:space="0" w:color="auto"/>
        <w:left w:val="none" w:sz="0" w:space="0" w:color="auto"/>
        <w:bottom w:val="none" w:sz="0" w:space="0" w:color="auto"/>
        <w:right w:val="none" w:sz="0" w:space="0" w:color="auto"/>
      </w:divBdr>
    </w:div>
    <w:div w:id="380401374">
      <w:bodyDiv w:val="1"/>
      <w:marLeft w:val="0"/>
      <w:marRight w:val="0"/>
      <w:marTop w:val="0"/>
      <w:marBottom w:val="0"/>
      <w:divBdr>
        <w:top w:val="none" w:sz="0" w:space="0" w:color="auto"/>
        <w:left w:val="none" w:sz="0" w:space="0" w:color="auto"/>
        <w:bottom w:val="none" w:sz="0" w:space="0" w:color="auto"/>
        <w:right w:val="none" w:sz="0" w:space="0" w:color="auto"/>
      </w:divBdr>
    </w:div>
    <w:div w:id="389963516">
      <w:bodyDiv w:val="1"/>
      <w:marLeft w:val="0"/>
      <w:marRight w:val="0"/>
      <w:marTop w:val="0"/>
      <w:marBottom w:val="0"/>
      <w:divBdr>
        <w:top w:val="none" w:sz="0" w:space="0" w:color="auto"/>
        <w:left w:val="none" w:sz="0" w:space="0" w:color="auto"/>
        <w:bottom w:val="none" w:sz="0" w:space="0" w:color="auto"/>
        <w:right w:val="none" w:sz="0" w:space="0" w:color="auto"/>
      </w:divBdr>
    </w:div>
    <w:div w:id="391194823">
      <w:bodyDiv w:val="1"/>
      <w:marLeft w:val="0"/>
      <w:marRight w:val="0"/>
      <w:marTop w:val="0"/>
      <w:marBottom w:val="0"/>
      <w:divBdr>
        <w:top w:val="none" w:sz="0" w:space="0" w:color="auto"/>
        <w:left w:val="none" w:sz="0" w:space="0" w:color="auto"/>
        <w:bottom w:val="none" w:sz="0" w:space="0" w:color="auto"/>
        <w:right w:val="none" w:sz="0" w:space="0" w:color="auto"/>
      </w:divBdr>
    </w:div>
    <w:div w:id="391927270">
      <w:bodyDiv w:val="1"/>
      <w:marLeft w:val="0"/>
      <w:marRight w:val="0"/>
      <w:marTop w:val="0"/>
      <w:marBottom w:val="0"/>
      <w:divBdr>
        <w:top w:val="none" w:sz="0" w:space="0" w:color="auto"/>
        <w:left w:val="none" w:sz="0" w:space="0" w:color="auto"/>
        <w:bottom w:val="none" w:sz="0" w:space="0" w:color="auto"/>
        <w:right w:val="none" w:sz="0" w:space="0" w:color="auto"/>
      </w:divBdr>
    </w:div>
    <w:div w:id="391971940">
      <w:bodyDiv w:val="1"/>
      <w:marLeft w:val="0"/>
      <w:marRight w:val="0"/>
      <w:marTop w:val="0"/>
      <w:marBottom w:val="0"/>
      <w:divBdr>
        <w:top w:val="none" w:sz="0" w:space="0" w:color="auto"/>
        <w:left w:val="none" w:sz="0" w:space="0" w:color="auto"/>
        <w:bottom w:val="none" w:sz="0" w:space="0" w:color="auto"/>
        <w:right w:val="none" w:sz="0" w:space="0" w:color="auto"/>
      </w:divBdr>
    </w:div>
    <w:div w:id="394089980">
      <w:bodyDiv w:val="1"/>
      <w:marLeft w:val="0"/>
      <w:marRight w:val="0"/>
      <w:marTop w:val="0"/>
      <w:marBottom w:val="0"/>
      <w:divBdr>
        <w:top w:val="none" w:sz="0" w:space="0" w:color="auto"/>
        <w:left w:val="none" w:sz="0" w:space="0" w:color="auto"/>
        <w:bottom w:val="none" w:sz="0" w:space="0" w:color="auto"/>
        <w:right w:val="none" w:sz="0" w:space="0" w:color="auto"/>
      </w:divBdr>
      <w:divsChild>
        <w:div w:id="7950856">
          <w:marLeft w:val="0"/>
          <w:marRight w:val="0"/>
          <w:marTop w:val="0"/>
          <w:marBottom w:val="0"/>
          <w:divBdr>
            <w:top w:val="none" w:sz="0" w:space="0" w:color="auto"/>
            <w:left w:val="none" w:sz="0" w:space="0" w:color="auto"/>
            <w:bottom w:val="none" w:sz="0" w:space="0" w:color="auto"/>
            <w:right w:val="none" w:sz="0" w:space="0" w:color="auto"/>
          </w:divBdr>
        </w:div>
      </w:divsChild>
    </w:div>
    <w:div w:id="395133763">
      <w:bodyDiv w:val="1"/>
      <w:marLeft w:val="0"/>
      <w:marRight w:val="0"/>
      <w:marTop w:val="0"/>
      <w:marBottom w:val="0"/>
      <w:divBdr>
        <w:top w:val="none" w:sz="0" w:space="0" w:color="auto"/>
        <w:left w:val="none" w:sz="0" w:space="0" w:color="auto"/>
        <w:bottom w:val="none" w:sz="0" w:space="0" w:color="auto"/>
        <w:right w:val="none" w:sz="0" w:space="0" w:color="auto"/>
      </w:divBdr>
    </w:div>
    <w:div w:id="397243494">
      <w:bodyDiv w:val="1"/>
      <w:marLeft w:val="0"/>
      <w:marRight w:val="0"/>
      <w:marTop w:val="0"/>
      <w:marBottom w:val="0"/>
      <w:divBdr>
        <w:top w:val="none" w:sz="0" w:space="0" w:color="auto"/>
        <w:left w:val="none" w:sz="0" w:space="0" w:color="auto"/>
        <w:bottom w:val="none" w:sz="0" w:space="0" w:color="auto"/>
        <w:right w:val="none" w:sz="0" w:space="0" w:color="auto"/>
      </w:divBdr>
    </w:div>
    <w:div w:id="399446731">
      <w:bodyDiv w:val="1"/>
      <w:marLeft w:val="0"/>
      <w:marRight w:val="0"/>
      <w:marTop w:val="0"/>
      <w:marBottom w:val="0"/>
      <w:divBdr>
        <w:top w:val="none" w:sz="0" w:space="0" w:color="auto"/>
        <w:left w:val="none" w:sz="0" w:space="0" w:color="auto"/>
        <w:bottom w:val="none" w:sz="0" w:space="0" w:color="auto"/>
        <w:right w:val="none" w:sz="0" w:space="0" w:color="auto"/>
      </w:divBdr>
    </w:div>
    <w:div w:id="404307524">
      <w:bodyDiv w:val="1"/>
      <w:marLeft w:val="0"/>
      <w:marRight w:val="0"/>
      <w:marTop w:val="0"/>
      <w:marBottom w:val="0"/>
      <w:divBdr>
        <w:top w:val="none" w:sz="0" w:space="0" w:color="auto"/>
        <w:left w:val="none" w:sz="0" w:space="0" w:color="auto"/>
        <w:bottom w:val="none" w:sz="0" w:space="0" w:color="auto"/>
        <w:right w:val="none" w:sz="0" w:space="0" w:color="auto"/>
      </w:divBdr>
    </w:div>
    <w:div w:id="411044480">
      <w:bodyDiv w:val="1"/>
      <w:marLeft w:val="0"/>
      <w:marRight w:val="0"/>
      <w:marTop w:val="0"/>
      <w:marBottom w:val="0"/>
      <w:divBdr>
        <w:top w:val="none" w:sz="0" w:space="0" w:color="auto"/>
        <w:left w:val="none" w:sz="0" w:space="0" w:color="auto"/>
        <w:bottom w:val="none" w:sz="0" w:space="0" w:color="auto"/>
        <w:right w:val="none" w:sz="0" w:space="0" w:color="auto"/>
      </w:divBdr>
    </w:div>
    <w:div w:id="411397444">
      <w:bodyDiv w:val="1"/>
      <w:marLeft w:val="0"/>
      <w:marRight w:val="0"/>
      <w:marTop w:val="0"/>
      <w:marBottom w:val="0"/>
      <w:divBdr>
        <w:top w:val="none" w:sz="0" w:space="0" w:color="auto"/>
        <w:left w:val="none" w:sz="0" w:space="0" w:color="auto"/>
        <w:bottom w:val="none" w:sz="0" w:space="0" w:color="auto"/>
        <w:right w:val="none" w:sz="0" w:space="0" w:color="auto"/>
      </w:divBdr>
    </w:div>
    <w:div w:id="427237722">
      <w:bodyDiv w:val="1"/>
      <w:marLeft w:val="0"/>
      <w:marRight w:val="0"/>
      <w:marTop w:val="0"/>
      <w:marBottom w:val="0"/>
      <w:divBdr>
        <w:top w:val="none" w:sz="0" w:space="0" w:color="auto"/>
        <w:left w:val="none" w:sz="0" w:space="0" w:color="auto"/>
        <w:bottom w:val="none" w:sz="0" w:space="0" w:color="auto"/>
        <w:right w:val="none" w:sz="0" w:space="0" w:color="auto"/>
      </w:divBdr>
    </w:div>
    <w:div w:id="430400500">
      <w:bodyDiv w:val="1"/>
      <w:marLeft w:val="0"/>
      <w:marRight w:val="0"/>
      <w:marTop w:val="0"/>
      <w:marBottom w:val="0"/>
      <w:divBdr>
        <w:top w:val="none" w:sz="0" w:space="0" w:color="auto"/>
        <w:left w:val="none" w:sz="0" w:space="0" w:color="auto"/>
        <w:bottom w:val="none" w:sz="0" w:space="0" w:color="auto"/>
        <w:right w:val="none" w:sz="0" w:space="0" w:color="auto"/>
      </w:divBdr>
    </w:div>
    <w:div w:id="432675720">
      <w:bodyDiv w:val="1"/>
      <w:marLeft w:val="0"/>
      <w:marRight w:val="0"/>
      <w:marTop w:val="0"/>
      <w:marBottom w:val="0"/>
      <w:divBdr>
        <w:top w:val="none" w:sz="0" w:space="0" w:color="auto"/>
        <w:left w:val="none" w:sz="0" w:space="0" w:color="auto"/>
        <w:bottom w:val="none" w:sz="0" w:space="0" w:color="auto"/>
        <w:right w:val="none" w:sz="0" w:space="0" w:color="auto"/>
      </w:divBdr>
    </w:div>
    <w:div w:id="432743780">
      <w:bodyDiv w:val="1"/>
      <w:marLeft w:val="0"/>
      <w:marRight w:val="0"/>
      <w:marTop w:val="0"/>
      <w:marBottom w:val="0"/>
      <w:divBdr>
        <w:top w:val="none" w:sz="0" w:space="0" w:color="auto"/>
        <w:left w:val="none" w:sz="0" w:space="0" w:color="auto"/>
        <w:bottom w:val="none" w:sz="0" w:space="0" w:color="auto"/>
        <w:right w:val="none" w:sz="0" w:space="0" w:color="auto"/>
      </w:divBdr>
    </w:div>
    <w:div w:id="436754337">
      <w:bodyDiv w:val="1"/>
      <w:marLeft w:val="0"/>
      <w:marRight w:val="0"/>
      <w:marTop w:val="0"/>
      <w:marBottom w:val="0"/>
      <w:divBdr>
        <w:top w:val="none" w:sz="0" w:space="0" w:color="auto"/>
        <w:left w:val="none" w:sz="0" w:space="0" w:color="auto"/>
        <w:bottom w:val="none" w:sz="0" w:space="0" w:color="auto"/>
        <w:right w:val="none" w:sz="0" w:space="0" w:color="auto"/>
      </w:divBdr>
    </w:div>
    <w:div w:id="440497371">
      <w:bodyDiv w:val="1"/>
      <w:marLeft w:val="0"/>
      <w:marRight w:val="0"/>
      <w:marTop w:val="0"/>
      <w:marBottom w:val="0"/>
      <w:divBdr>
        <w:top w:val="none" w:sz="0" w:space="0" w:color="auto"/>
        <w:left w:val="none" w:sz="0" w:space="0" w:color="auto"/>
        <w:bottom w:val="none" w:sz="0" w:space="0" w:color="auto"/>
        <w:right w:val="none" w:sz="0" w:space="0" w:color="auto"/>
      </w:divBdr>
    </w:div>
    <w:div w:id="446897827">
      <w:bodyDiv w:val="1"/>
      <w:marLeft w:val="0"/>
      <w:marRight w:val="0"/>
      <w:marTop w:val="0"/>
      <w:marBottom w:val="0"/>
      <w:divBdr>
        <w:top w:val="none" w:sz="0" w:space="0" w:color="auto"/>
        <w:left w:val="none" w:sz="0" w:space="0" w:color="auto"/>
        <w:bottom w:val="none" w:sz="0" w:space="0" w:color="auto"/>
        <w:right w:val="none" w:sz="0" w:space="0" w:color="auto"/>
      </w:divBdr>
    </w:div>
    <w:div w:id="447431312">
      <w:bodyDiv w:val="1"/>
      <w:marLeft w:val="0"/>
      <w:marRight w:val="0"/>
      <w:marTop w:val="0"/>
      <w:marBottom w:val="0"/>
      <w:divBdr>
        <w:top w:val="none" w:sz="0" w:space="0" w:color="auto"/>
        <w:left w:val="none" w:sz="0" w:space="0" w:color="auto"/>
        <w:bottom w:val="none" w:sz="0" w:space="0" w:color="auto"/>
        <w:right w:val="none" w:sz="0" w:space="0" w:color="auto"/>
      </w:divBdr>
    </w:div>
    <w:div w:id="461653264">
      <w:bodyDiv w:val="1"/>
      <w:marLeft w:val="0"/>
      <w:marRight w:val="0"/>
      <w:marTop w:val="0"/>
      <w:marBottom w:val="0"/>
      <w:divBdr>
        <w:top w:val="none" w:sz="0" w:space="0" w:color="auto"/>
        <w:left w:val="none" w:sz="0" w:space="0" w:color="auto"/>
        <w:bottom w:val="none" w:sz="0" w:space="0" w:color="auto"/>
        <w:right w:val="none" w:sz="0" w:space="0" w:color="auto"/>
      </w:divBdr>
    </w:div>
    <w:div w:id="465514291">
      <w:bodyDiv w:val="1"/>
      <w:marLeft w:val="0"/>
      <w:marRight w:val="0"/>
      <w:marTop w:val="0"/>
      <w:marBottom w:val="0"/>
      <w:divBdr>
        <w:top w:val="none" w:sz="0" w:space="0" w:color="auto"/>
        <w:left w:val="none" w:sz="0" w:space="0" w:color="auto"/>
        <w:bottom w:val="none" w:sz="0" w:space="0" w:color="auto"/>
        <w:right w:val="none" w:sz="0" w:space="0" w:color="auto"/>
      </w:divBdr>
    </w:div>
    <w:div w:id="467091976">
      <w:bodyDiv w:val="1"/>
      <w:marLeft w:val="0"/>
      <w:marRight w:val="0"/>
      <w:marTop w:val="0"/>
      <w:marBottom w:val="0"/>
      <w:divBdr>
        <w:top w:val="none" w:sz="0" w:space="0" w:color="auto"/>
        <w:left w:val="none" w:sz="0" w:space="0" w:color="auto"/>
        <w:bottom w:val="none" w:sz="0" w:space="0" w:color="auto"/>
        <w:right w:val="none" w:sz="0" w:space="0" w:color="auto"/>
      </w:divBdr>
    </w:div>
    <w:div w:id="467599714">
      <w:bodyDiv w:val="1"/>
      <w:marLeft w:val="0"/>
      <w:marRight w:val="0"/>
      <w:marTop w:val="0"/>
      <w:marBottom w:val="0"/>
      <w:divBdr>
        <w:top w:val="none" w:sz="0" w:space="0" w:color="auto"/>
        <w:left w:val="none" w:sz="0" w:space="0" w:color="auto"/>
        <w:bottom w:val="none" w:sz="0" w:space="0" w:color="auto"/>
        <w:right w:val="none" w:sz="0" w:space="0" w:color="auto"/>
      </w:divBdr>
    </w:div>
    <w:div w:id="467820375">
      <w:bodyDiv w:val="1"/>
      <w:marLeft w:val="0"/>
      <w:marRight w:val="0"/>
      <w:marTop w:val="0"/>
      <w:marBottom w:val="0"/>
      <w:divBdr>
        <w:top w:val="none" w:sz="0" w:space="0" w:color="auto"/>
        <w:left w:val="none" w:sz="0" w:space="0" w:color="auto"/>
        <w:bottom w:val="none" w:sz="0" w:space="0" w:color="auto"/>
        <w:right w:val="none" w:sz="0" w:space="0" w:color="auto"/>
      </w:divBdr>
    </w:div>
    <w:div w:id="472867682">
      <w:bodyDiv w:val="1"/>
      <w:marLeft w:val="0"/>
      <w:marRight w:val="0"/>
      <w:marTop w:val="0"/>
      <w:marBottom w:val="0"/>
      <w:divBdr>
        <w:top w:val="none" w:sz="0" w:space="0" w:color="auto"/>
        <w:left w:val="none" w:sz="0" w:space="0" w:color="auto"/>
        <w:bottom w:val="none" w:sz="0" w:space="0" w:color="auto"/>
        <w:right w:val="none" w:sz="0" w:space="0" w:color="auto"/>
      </w:divBdr>
      <w:divsChild>
        <w:div w:id="1495877311">
          <w:marLeft w:val="0"/>
          <w:marRight w:val="0"/>
          <w:marTop w:val="0"/>
          <w:marBottom w:val="0"/>
          <w:divBdr>
            <w:top w:val="none" w:sz="0" w:space="0" w:color="auto"/>
            <w:left w:val="none" w:sz="0" w:space="0" w:color="auto"/>
            <w:bottom w:val="none" w:sz="0" w:space="0" w:color="auto"/>
            <w:right w:val="none" w:sz="0" w:space="0" w:color="auto"/>
          </w:divBdr>
        </w:div>
      </w:divsChild>
    </w:div>
    <w:div w:id="477571870">
      <w:bodyDiv w:val="1"/>
      <w:marLeft w:val="0"/>
      <w:marRight w:val="0"/>
      <w:marTop w:val="0"/>
      <w:marBottom w:val="0"/>
      <w:divBdr>
        <w:top w:val="none" w:sz="0" w:space="0" w:color="auto"/>
        <w:left w:val="none" w:sz="0" w:space="0" w:color="auto"/>
        <w:bottom w:val="none" w:sz="0" w:space="0" w:color="auto"/>
        <w:right w:val="none" w:sz="0" w:space="0" w:color="auto"/>
      </w:divBdr>
    </w:div>
    <w:div w:id="483089302">
      <w:bodyDiv w:val="1"/>
      <w:marLeft w:val="0"/>
      <w:marRight w:val="0"/>
      <w:marTop w:val="0"/>
      <w:marBottom w:val="0"/>
      <w:divBdr>
        <w:top w:val="none" w:sz="0" w:space="0" w:color="auto"/>
        <w:left w:val="none" w:sz="0" w:space="0" w:color="auto"/>
        <w:bottom w:val="none" w:sz="0" w:space="0" w:color="auto"/>
        <w:right w:val="none" w:sz="0" w:space="0" w:color="auto"/>
      </w:divBdr>
    </w:div>
    <w:div w:id="483160696">
      <w:bodyDiv w:val="1"/>
      <w:marLeft w:val="0"/>
      <w:marRight w:val="0"/>
      <w:marTop w:val="0"/>
      <w:marBottom w:val="0"/>
      <w:divBdr>
        <w:top w:val="none" w:sz="0" w:space="0" w:color="auto"/>
        <w:left w:val="none" w:sz="0" w:space="0" w:color="auto"/>
        <w:bottom w:val="none" w:sz="0" w:space="0" w:color="auto"/>
        <w:right w:val="none" w:sz="0" w:space="0" w:color="auto"/>
      </w:divBdr>
    </w:div>
    <w:div w:id="493490959">
      <w:bodyDiv w:val="1"/>
      <w:marLeft w:val="0"/>
      <w:marRight w:val="0"/>
      <w:marTop w:val="0"/>
      <w:marBottom w:val="0"/>
      <w:divBdr>
        <w:top w:val="none" w:sz="0" w:space="0" w:color="auto"/>
        <w:left w:val="none" w:sz="0" w:space="0" w:color="auto"/>
        <w:bottom w:val="none" w:sz="0" w:space="0" w:color="auto"/>
        <w:right w:val="none" w:sz="0" w:space="0" w:color="auto"/>
      </w:divBdr>
    </w:div>
    <w:div w:id="494416094">
      <w:bodyDiv w:val="1"/>
      <w:marLeft w:val="0"/>
      <w:marRight w:val="0"/>
      <w:marTop w:val="0"/>
      <w:marBottom w:val="0"/>
      <w:divBdr>
        <w:top w:val="none" w:sz="0" w:space="0" w:color="auto"/>
        <w:left w:val="none" w:sz="0" w:space="0" w:color="auto"/>
        <w:bottom w:val="none" w:sz="0" w:space="0" w:color="auto"/>
        <w:right w:val="none" w:sz="0" w:space="0" w:color="auto"/>
      </w:divBdr>
    </w:div>
    <w:div w:id="496309492">
      <w:bodyDiv w:val="1"/>
      <w:marLeft w:val="0"/>
      <w:marRight w:val="0"/>
      <w:marTop w:val="0"/>
      <w:marBottom w:val="0"/>
      <w:divBdr>
        <w:top w:val="none" w:sz="0" w:space="0" w:color="auto"/>
        <w:left w:val="none" w:sz="0" w:space="0" w:color="auto"/>
        <w:bottom w:val="none" w:sz="0" w:space="0" w:color="auto"/>
        <w:right w:val="none" w:sz="0" w:space="0" w:color="auto"/>
      </w:divBdr>
    </w:div>
    <w:div w:id="502549256">
      <w:bodyDiv w:val="1"/>
      <w:marLeft w:val="0"/>
      <w:marRight w:val="0"/>
      <w:marTop w:val="0"/>
      <w:marBottom w:val="0"/>
      <w:divBdr>
        <w:top w:val="none" w:sz="0" w:space="0" w:color="auto"/>
        <w:left w:val="none" w:sz="0" w:space="0" w:color="auto"/>
        <w:bottom w:val="none" w:sz="0" w:space="0" w:color="auto"/>
        <w:right w:val="none" w:sz="0" w:space="0" w:color="auto"/>
      </w:divBdr>
    </w:div>
    <w:div w:id="507407163">
      <w:bodyDiv w:val="1"/>
      <w:marLeft w:val="0"/>
      <w:marRight w:val="0"/>
      <w:marTop w:val="0"/>
      <w:marBottom w:val="0"/>
      <w:divBdr>
        <w:top w:val="none" w:sz="0" w:space="0" w:color="auto"/>
        <w:left w:val="none" w:sz="0" w:space="0" w:color="auto"/>
        <w:bottom w:val="none" w:sz="0" w:space="0" w:color="auto"/>
        <w:right w:val="none" w:sz="0" w:space="0" w:color="auto"/>
      </w:divBdr>
    </w:div>
    <w:div w:id="508761130">
      <w:bodyDiv w:val="1"/>
      <w:marLeft w:val="0"/>
      <w:marRight w:val="0"/>
      <w:marTop w:val="0"/>
      <w:marBottom w:val="0"/>
      <w:divBdr>
        <w:top w:val="none" w:sz="0" w:space="0" w:color="auto"/>
        <w:left w:val="none" w:sz="0" w:space="0" w:color="auto"/>
        <w:bottom w:val="none" w:sz="0" w:space="0" w:color="auto"/>
        <w:right w:val="none" w:sz="0" w:space="0" w:color="auto"/>
      </w:divBdr>
    </w:div>
    <w:div w:id="515579422">
      <w:bodyDiv w:val="1"/>
      <w:marLeft w:val="0"/>
      <w:marRight w:val="0"/>
      <w:marTop w:val="0"/>
      <w:marBottom w:val="0"/>
      <w:divBdr>
        <w:top w:val="none" w:sz="0" w:space="0" w:color="auto"/>
        <w:left w:val="none" w:sz="0" w:space="0" w:color="auto"/>
        <w:bottom w:val="none" w:sz="0" w:space="0" w:color="auto"/>
        <w:right w:val="none" w:sz="0" w:space="0" w:color="auto"/>
      </w:divBdr>
    </w:div>
    <w:div w:id="524833012">
      <w:bodyDiv w:val="1"/>
      <w:marLeft w:val="0"/>
      <w:marRight w:val="0"/>
      <w:marTop w:val="0"/>
      <w:marBottom w:val="0"/>
      <w:divBdr>
        <w:top w:val="none" w:sz="0" w:space="0" w:color="auto"/>
        <w:left w:val="none" w:sz="0" w:space="0" w:color="auto"/>
        <w:bottom w:val="none" w:sz="0" w:space="0" w:color="auto"/>
        <w:right w:val="none" w:sz="0" w:space="0" w:color="auto"/>
      </w:divBdr>
    </w:div>
    <w:div w:id="537476395">
      <w:bodyDiv w:val="1"/>
      <w:marLeft w:val="0"/>
      <w:marRight w:val="0"/>
      <w:marTop w:val="0"/>
      <w:marBottom w:val="0"/>
      <w:divBdr>
        <w:top w:val="none" w:sz="0" w:space="0" w:color="auto"/>
        <w:left w:val="none" w:sz="0" w:space="0" w:color="auto"/>
        <w:bottom w:val="none" w:sz="0" w:space="0" w:color="auto"/>
        <w:right w:val="none" w:sz="0" w:space="0" w:color="auto"/>
      </w:divBdr>
    </w:div>
    <w:div w:id="537814641">
      <w:bodyDiv w:val="1"/>
      <w:marLeft w:val="0"/>
      <w:marRight w:val="0"/>
      <w:marTop w:val="0"/>
      <w:marBottom w:val="0"/>
      <w:divBdr>
        <w:top w:val="none" w:sz="0" w:space="0" w:color="auto"/>
        <w:left w:val="none" w:sz="0" w:space="0" w:color="auto"/>
        <w:bottom w:val="none" w:sz="0" w:space="0" w:color="auto"/>
        <w:right w:val="none" w:sz="0" w:space="0" w:color="auto"/>
      </w:divBdr>
      <w:divsChild>
        <w:div w:id="61342220">
          <w:marLeft w:val="0"/>
          <w:marRight w:val="0"/>
          <w:marTop w:val="0"/>
          <w:marBottom w:val="0"/>
          <w:divBdr>
            <w:top w:val="none" w:sz="0" w:space="0" w:color="auto"/>
            <w:left w:val="none" w:sz="0" w:space="0" w:color="auto"/>
            <w:bottom w:val="none" w:sz="0" w:space="0" w:color="auto"/>
            <w:right w:val="none" w:sz="0" w:space="0" w:color="auto"/>
          </w:divBdr>
        </w:div>
      </w:divsChild>
    </w:div>
    <w:div w:id="539824304">
      <w:bodyDiv w:val="1"/>
      <w:marLeft w:val="0"/>
      <w:marRight w:val="0"/>
      <w:marTop w:val="0"/>
      <w:marBottom w:val="0"/>
      <w:divBdr>
        <w:top w:val="none" w:sz="0" w:space="0" w:color="auto"/>
        <w:left w:val="none" w:sz="0" w:space="0" w:color="auto"/>
        <w:bottom w:val="none" w:sz="0" w:space="0" w:color="auto"/>
        <w:right w:val="none" w:sz="0" w:space="0" w:color="auto"/>
      </w:divBdr>
    </w:div>
    <w:div w:id="543105969">
      <w:bodyDiv w:val="1"/>
      <w:marLeft w:val="0"/>
      <w:marRight w:val="0"/>
      <w:marTop w:val="0"/>
      <w:marBottom w:val="0"/>
      <w:divBdr>
        <w:top w:val="none" w:sz="0" w:space="0" w:color="auto"/>
        <w:left w:val="none" w:sz="0" w:space="0" w:color="auto"/>
        <w:bottom w:val="none" w:sz="0" w:space="0" w:color="auto"/>
        <w:right w:val="none" w:sz="0" w:space="0" w:color="auto"/>
      </w:divBdr>
    </w:div>
    <w:div w:id="548806188">
      <w:bodyDiv w:val="1"/>
      <w:marLeft w:val="0"/>
      <w:marRight w:val="0"/>
      <w:marTop w:val="0"/>
      <w:marBottom w:val="0"/>
      <w:divBdr>
        <w:top w:val="none" w:sz="0" w:space="0" w:color="auto"/>
        <w:left w:val="none" w:sz="0" w:space="0" w:color="auto"/>
        <w:bottom w:val="none" w:sz="0" w:space="0" w:color="auto"/>
        <w:right w:val="none" w:sz="0" w:space="0" w:color="auto"/>
      </w:divBdr>
    </w:div>
    <w:div w:id="554511704">
      <w:bodyDiv w:val="1"/>
      <w:marLeft w:val="0"/>
      <w:marRight w:val="0"/>
      <w:marTop w:val="0"/>
      <w:marBottom w:val="0"/>
      <w:divBdr>
        <w:top w:val="none" w:sz="0" w:space="0" w:color="auto"/>
        <w:left w:val="none" w:sz="0" w:space="0" w:color="auto"/>
        <w:bottom w:val="none" w:sz="0" w:space="0" w:color="auto"/>
        <w:right w:val="none" w:sz="0" w:space="0" w:color="auto"/>
      </w:divBdr>
    </w:div>
    <w:div w:id="563955179">
      <w:bodyDiv w:val="1"/>
      <w:marLeft w:val="0"/>
      <w:marRight w:val="0"/>
      <w:marTop w:val="0"/>
      <w:marBottom w:val="0"/>
      <w:divBdr>
        <w:top w:val="none" w:sz="0" w:space="0" w:color="auto"/>
        <w:left w:val="none" w:sz="0" w:space="0" w:color="auto"/>
        <w:bottom w:val="none" w:sz="0" w:space="0" w:color="auto"/>
        <w:right w:val="none" w:sz="0" w:space="0" w:color="auto"/>
      </w:divBdr>
    </w:div>
    <w:div w:id="566763053">
      <w:bodyDiv w:val="1"/>
      <w:marLeft w:val="0"/>
      <w:marRight w:val="0"/>
      <w:marTop w:val="0"/>
      <w:marBottom w:val="0"/>
      <w:divBdr>
        <w:top w:val="none" w:sz="0" w:space="0" w:color="auto"/>
        <w:left w:val="none" w:sz="0" w:space="0" w:color="auto"/>
        <w:bottom w:val="none" w:sz="0" w:space="0" w:color="auto"/>
        <w:right w:val="none" w:sz="0" w:space="0" w:color="auto"/>
      </w:divBdr>
    </w:div>
    <w:div w:id="567694942">
      <w:bodyDiv w:val="1"/>
      <w:marLeft w:val="0"/>
      <w:marRight w:val="0"/>
      <w:marTop w:val="0"/>
      <w:marBottom w:val="0"/>
      <w:divBdr>
        <w:top w:val="none" w:sz="0" w:space="0" w:color="auto"/>
        <w:left w:val="none" w:sz="0" w:space="0" w:color="auto"/>
        <w:bottom w:val="none" w:sz="0" w:space="0" w:color="auto"/>
        <w:right w:val="none" w:sz="0" w:space="0" w:color="auto"/>
      </w:divBdr>
    </w:div>
    <w:div w:id="571238015">
      <w:bodyDiv w:val="1"/>
      <w:marLeft w:val="0"/>
      <w:marRight w:val="0"/>
      <w:marTop w:val="0"/>
      <w:marBottom w:val="0"/>
      <w:divBdr>
        <w:top w:val="none" w:sz="0" w:space="0" w:color="auto"/>
        <w:left w:val="none" w:sz="0" w:space="0" w:color="auto"/>
        <w:bottom w:val="none" w:sz="0" w:space="0" w:color="auto"/>
        <w:right w:val="none" w:sz="0" w:space="0" w:color="auto"/>
      </w:divBdr>
    </w:div>
    <w:div w:id="571278022">
      <w:bodyDiv w:val="1"/>
      <w:marLeft w:val="0"/>
      <w:marRight w:val="0"/>
      <w:marTop w:val="0"/>
      <w:marBottom w:val="0"/>
      <w:divBdr>
        <w:top w:val="none" w:sz="0" w:space="0" w:color="auto"/>
        <w:left w:val="none" w:sz="0" w:space="0" w:color="auto"/>
        <w:bottom w:val="none" w:sz="0" w:space="0" w:color="auto"/>
        <w:right w:val="none" w:sz="0" w:space="0" w:color="auto"/>
      </w:divBdr>
    </w:div>
    <w:div w:id="577323714">
      <w:bodyDiv w:val="1"/>
      <w:marLeft w:val="0"/>
      <w:marRight w:val="0"/>
      <w:marTop w:val="0"/>
      <w:marBottom w:val="0"/>
      <w:divBdr>
        <w:top w:val="none" w:sz="0" w:space="0" w:color="auto"/>
        <w:left w:val="none" w:sz="0" w:space="0" w:color="auto"/>
        <w:bottom w:val="none" w:sz="0" w:space="0" w:color="auto"/>
        <w:right w:val="none" w:sz="0" w:space="0" w:color="auto"/>
      </w:divBdr>
    </w:div>
    <w:div w:id="577448183">
      <w:bodyDiv w:val="1"/>
      <w:marLeft w:val="0"/>
      <w:marRight w:val="0"/>
      <w:marTop w:val="0"/>
      <w:marBottom w:val="0"/>
      <w:divBdr>
        <w:top w:val="none" w:sz="0" w:space="0" w:color="auto"/>
        <w:left w:val="none" w:sz="0" w:space="0" w:color="auto"/>
        <w:bottom w:val="none" w:sz="0" w:space="0" w:color="auto"/>
        <w:right w:val="none" w:sz="0" w:space="0" w:color="auto"/>
      </w:divBdr>
    </w:div>
    <w:div w:id="579295947">
      <w:bodyDiv w:val="1"/>
      <w:marLeft w:val="0"/>
      <w:marRight w:val="0"/>
      <w:marTop w:val="0"/>
      <w:marBottom w:val="0"/>
      <w:divBdr>
        <w:top w:val="none" w:sz="0" w:space="0" w:color="auto"/>
        <w:left w:val="none" w:sz="0" w:space="0" w:color="auto"/>
        <w:bottom w:val="none" w:sz="0" w:space="0" w:color="auto"/>
        <w:right w:val="none" w:sz="0" w:space="0" w:color="auto"/>
      </w:divBdr>
    </w:div>
    <w:div w:id="588468114">
      <w:bodyDiv w:val="1"/>
      <w:marLeft w:val="0"/>
      <w:marRight w:val="0"/>
      <w:marTop w:val="0"/>
      <w:marBottom w:val="0"/>
      <w:divBdr>
        <w:top w:val="none" w:sz="0" w:space="0" w:color="auto"/>
        <w:left w:val="none" w:sz="0" w:space="0" w:color="auto"/>
        <w:bottom w:val="none" w:sz="0" w:space="0" w:color="auto"/>
        <w:right w:val="none" w:sz="0" w:space="0" w:color="auto"/>
      </w:divBdr>
    </w:div>
    <w:div w:id="588782270">
      <w:bodyDiv w:val="1"/>
      <w:marLeft w:val="0"/>
      <w:marRight w:val="0"/>
      <w:marTop w:val="0"/>
      <w:marBottom w:val="0"/>
      <w:divBdr>
        <w:top w:val="none" w:sz="0" w:space="0" w:color="auto"/>
        <w:left w:val="none" w:sz="0" w:space="0" w:color="auto"/>
        <w:bottom w:val="none" w:sz="0" w:space="0" w:color="auto"/>
        <w:right w:val="none" w:sz="0" w:space="0" w:color="auto"/>
      </w:divBdr>
    </w:div>
    <w:div w:id="596794274">
      <w:bodyDiv w:val="1"/>
      <w:marLeft w:val="0"/>
      <w:marRight w:val="0"/>
      <w:marTop w:val="0"/>
      <w:marBottom w:val="0"/>
      <w:divBdr>
        <w:top w:val="none" w:sz="0" w:space="0" w:color="auto"/>
        <w:left w:val="none" w:sz="0" w:space="0" w:color="auto"/>
        <w:bottom w:val="none" w:sz="0" w:space="0" w:color="auto"/>
        <w:right w:val="none" w:sz="0" w:space="0" w:color="auto"/>
      </w:divBdr>
    </w:div>
    <w:div w:id="598758157">
      <w:bodyDiv w:val="1"/>
      <w:marLeft w:val="0"/>
      <w:marRight w:val="0"/>
      <w:marTop w:val="0"/>
      <w:marBottom w:val="0"/>
      <w:divBdr>
        <w:top w:val="none" w:sz="0" w:space="0" w:color="auto"/>
        <w:left w:val="none" w:sz="0" w:space="0" w:color="auto"/>
        <w:bottom w:val="none" w:sz="0" w:space="0" w:color="auto"/>
        <w:right w:val="none" w:sz="0" w:space="0" w:color="auto"/>
      </w:divBdr>
    </w:div>
    <w:div w:id="598955082">
      <w:bodyDiv w:val="1"/>
      <w:marLeft w:val="0"/>
      <w:marRight w:val="0"/>
      <w:marTop w:val="0"/>
      <w:marBottom w:val="0"/>
      <w:divBdr>
        <w:top w:val="none" w:sz="0" w:space="0" w:color="auto"/>
        <w:left w:val="none" w:sz="0" w:space="0" w:color="auto"/>
        <w:bottom w:val="none" w:sz="0" w:space="0" w:color="auto"/>
        <w:right w:val="none" w:sz="0" w:space="0" w:color="auto"/>
      </w:divBdr>
    </w:div>
    <w:div w:id="604265604">
      <w:bodyDiv w:val="1"/>
      <w:marLeft w:val="0"/>
      <w:marRight w:val="0"/>
      <w:marTop w:val="0"/>
      <w:marBottom w:val="0"/>
      <w:divBdr>
        <w:top w:val="none" w:sz="0" w:space="0" w:color="auto"/>
        <w:left w:val="none" w:sz="0" w:space="0" w:color="auto"/>
        <w:bottom w:val="none" w:sz="0" w:space="0" w:color="auto"/>
        <w:right w:val="none" w:sz="0" w:space="0" w:color="auto"/>
      </w:divBdr>
    </w:div>
    <w:div w:id="609626562">
      <w:bodyDiv w:val="1"/>
      <w:marLeft w:val="0"/>
      <w:marRight w:val="0"/>
      <w:marTop w:val="0"/>
      <w:marBottom w:val="0"/>
      <w:divBdr>
        <w:top w:val="none" w:sz="0" w:space="0" w:color="auto"/>
        <w:left w:val="none" w:sz="0" w:space="0" w:color="auto"/>
        <w:bottom w:val="none" w:sz="0" w:space="0" w:color="auto"/>
        <w:right w:val="none" w:sz="0" w:space="0" w:color="auto"/>
      </w:divBdr>
    </w:div>
    <w:div w:id="612633290">
      <w:bodyDiv w:val="1"/>
      <w:marLeft w:val="0"/>
      <w:marRight w:val="0"/>
      <w:marTop w:val="0"/>
      <w:marBottom w:val="0"/>
      <w:divBdr>
        <w:top w:val="none" w:sz="0" w:space="0" w:color="auto"/>
        <w:left w:val="none" w:sz="0" w:space="0" w:color="auto"/>
        <w:bottom w:val="none" w:sz="0" w:space="0" w:color="auto"/>
        <w:right w:val="none" w:sz="0" w:space="0" w:color="auto"/>
      </w:divBdr>
    </w:div>
    <w:div w:id="617566234">
      <w:bodyDiv w:val="1"/>
      <w:marLeft w:val="0"/>
      <w:marRight w:val="0"/>
      <w:marTop w:val="0"/>
      <w:marBottom w:val="0"/>
      <w:divBdr>
        <w:top w:val="none" w:sz="0" w:space="0" w:color="auto"/>
        <w:left w:val="none" w:sz="0" w:space="0" w:color="auto"/>
        <w:bottom w:val="none" w:sz="0" w:space="0" w:color="auto"/>
        <w:right w:val="none" w:sz="0" w:space="0" w:color="auto"/>
      </w:divBdr>
    </w:div>
    <w:div w:id="622620185">
      <w:bodyDiv w:val="1"/>
      <w:marLeft w:val="0"/>
      <w:marRight w:val="0"/>
      <w:marTop w:val="0"/>
      <w:marBottom w:val="0"/>
      <w:divBdr>
        <w:top w:val="none" w:sz="0" w:space="0" w:color="auto"/>
        <w:left w:val="none" w:sz="0" w:space="0" w:color="auto"/>
        <w:bottom w:val="none" w:sz="0" w:space="0" w:color="auto"/>
        <w:right w:val="none" w:sz="0" w:space="0" w:color="auto"/>
      </w:divBdr>
    </w:div>
    <w:div w:id="623196852">
      <w:bodyDiv w:val="1"/>
      <w:marLeft w:val="0"/>
      <w:marRight w:val="0"/>
      <w:marTop w:val="0"/>
      <w:marBottom w:val="0"/>
      <w:divBdr>
        <w:top w:val="none" w:sz="0" w:space="0" w:color="auto"/>
        <w:left w:val="none" w:sz="0" w:space="0" w:color="auto"/>
        <w:bottom w:val="none" w:sz="0" w:space="0" w:color="auto"/>
        <w:right w:val="none" w:sz="0" w:space="0" w:color="auto"/>
      </w:divBdr>
    </w:div>
    <w:div w:id="624777096">
      <w:bodyDiv w:val="1"/>
      <w:marLeft w:val="0"/>
      <w:marRight w:val="0"/>
      <w:marTop w:val="0"/>
      <w:marBottom w:val="0"/>
      <w:divBdr>
        <w:top w:val="none" w:sz="0" w:space="0" w:color="auto"/>
        <w:left w:val="none" w:sz="0" w:space="0" w:color="auto"/>
        <w:bottom w:val="none" w:sz="0" w:space="0" w:color="auto"/>
        <w:right w:val="none" w:sz="0" w:space="0" w:color="auto"/>
      </w:divBdr>
    </w:div>
    <w:div w:id="627778996">
      <w:bodyDiv w:val="1"/>
      <w:marLeft w:val="0"/>
      <w:marRight w:val="0"/>
      <w:marTop w:val="0"/>
      <w:marBottom w:val="0"/>
      <w:divBdr>
        <w:top w:val="none" w:sz="0" w:space="0" w:color="auto"/>
        <w:left w:val="none" w:sz="0" w:space="0" w:color="auto"/>
        <w:bottom w:val="none" w:sz="0" w:space="0" w:color="auto"/>
        <w:right w:val="none" w:sz="0" w:space="0" w:color="auto"/>
      </w:divBdr>
    </w:div>
    <w:div w:id="629283875">
      <w:bodyDiv w:val="1"/>
      <w:marLeft w:val="0"/>
      <w:marRight w:val="0"/>
      <w:marTop w:val="0"/>
      <w:marBottom w:val="0"/>
      <w:divBdr>
        <w:top w:val="none" w:sz="0" w:space="0" w:color="auto"/>
        <w:left w:val="none" w:sz="0" w:space="0" w:color="auto"/>
        <w:bottom w:val="none" w:sz="0" w:space="0" w:color="auto"/>
        <w:right w:val="none" w:sz="0" w:space="0" w:color="auto"/>
      </w:divBdr>
    </w:div>
    <w:div w:id="632517682">
      <w:bodyDiv w:val="1"/>
      <w:marLeft w:val="0"/>
      <w:marRight w:val="0"/>
      <w:marTop w:val="0"/>
      <w:marBottom w:val="0"/>
      <w:divBdr>
        <w:top w:val="none" w:sz="0" w:space="0" w:color="auto"/>
        <w:left w:val="none" w:sz="0" w:space="0" w:color="auto"/>
        <w:bottom w:val="none" w:sz="0" w:space="0" w:color="auto"/>
        <w:right w:val="none" w:sz="0" w:space="0" w:color="auto"/>
      </w:divBdr>
    </w:div>
    <w:div w:id="633027712">
      <w:bodyDiv w:val="1"/>
      <w:marLeft w:val="0"/>
      <w:marRight w:val="0"/>
      <w:marTop w:val="0"/>
      <w:marBottom w:val="0"/>
      <w:divBdr>
        <w:top w:val="none" w:sz="0" w:space="0" w:color="auto"/>
        <w:left w:val="none" w:sz="0" w:space="0" w:color="auto"/>
        <w:bottom w:val="none" w:sz="0" w:space="0" w:color="auto"/>
        <w:right w:val="none" w:sz="0" w:space="0" w:color="auto"/>
      </w:divBdr>
    </w:div>
    <w:div w:id="638389174">
      <w:bodyDiv w:val="1"/>
      <w:marLeft w:val="0"/>
      <w:marRight w:val="0"/>
      <w:marTop w:val="0"/>
      <w:marBottom w:val="0"/>
      <w:divBdr>
        <w:top w:val="none" w:sz="0" w:space="0" w:color="auto"/>
        <w:left w:val="none" w:sz="0" w:space="0" w:color="auto"/>
        <w:bottom w:val="none" w:sz="0" w:space="0" w:color="auto"/>
        <w:right w:val="none" w:sz="0" w:space="0" w:color="auto"/>
      </w:divBdr>
    </w:div>
    <w:div w:id="639773969">
      <w:bodyDiv w:val="1"/>
      <w:marLeft w:val="0"/>
      <w:marRight w:val="0"/>
      <w:marTop w:val="0"/>
      <w:marBottom w:val="0"/>
      <w:divBdr>
        <w:top w:val="none" w:sz="0" w:space="0" w:color="auto"/>
        <w:left w:val="none" w:sz="0" w:space="0" w:color="auto"/>
        <w:bottom w:val="none" w:sz="0" w:space="0" w:color="auto"/>
        <w:right w:val="none" w:sz="0" w:space="0" w:color="auto"/>
      </w:divBdr>
    </w:div>
    <w:div w:id="642197516">
      <w:bodyDiv w:val="1"/>
      <w:marLeft w:val="0"/>
      <w:marRight w:val="0"/>
      <w:marTop w:val="0"/>
      <w:marBottom w:val="0"/>
      <w:divBdr>
        <w:top w:val="none" w:sz="0" w:space="0" w:color="auto"/>
        <w:left w:val="none" w:sz="0" w:space="0" w:color="auto"/>
        <w:bottom w:val="none" w:sz="0" w:space="0" w:color="auto"/>
        <w:right w:val="none" w:sz="0" w:space="0" w:color="auto"/>
      </w:divBdr>
    </w:div>
    <w:div w:id="648368742">
      <w:bodyDiv w:val="1"/>
      <w:marLeft w:val="0"/>
      <w:marRight w:val="0"/>
      <w:marTop w:val="0"/>
      <w:marBottom w:val="0"/>
      <w:divBdr>
        <w:top w:val="none" w:sz="0" w:space="0" w:color="auto"/>
        <w:left w:val="none" w:sz="0" w:space="0" w:color="auto"/>
        <w:bottom w:val="none" w:sz="0" w:space="0" w:color="auto"/>
        <w:right w:val="none" w:sz="0" w:space="0" w:color="auto"/>
      </w:divBdr>
    </w:div>
    <w:div w:id="649408071">
      <w:bodyDiv w:val="1"/>
      <w:marLeft w:val="0"/>
      <w:marRight w:val="0"/>
      <w:marTop w:val="0"/>
      <w:marBottom w:val="0"/>
      <w:divBdr>
        <w:top w:val="none" w:sz="0" w:space="0" w:color="auto"/>
        <w:left w:val="none" w:sz="0" w:space="0" w:color="auto"/>
        <w:bottom w:val="none" w:sz="0" w:space="0" w:color="auto"/>
        <w:right w:val="none" w:sz="0" w:space="0" w:color="auto"/>
      </w:divBdr>
    </w:div>
    <w:div w:id="651639457">
      <w:bodyDiv w:val="1"/>
      <w:marLeft w:val="0"/>
      <w:marRight w:val="0"/>
      <w:marTop w:val="0"/>
      <w:marBottom w:val="0"/>
      <w:divBdr>
        <w:top w:val="none" w:sz="0" w:space="0" w:color="auto"/>
        <w:left w:val="none" w:sz="0" w:space="0" w:color="auto"/>
        <w:bottom w:val="none" w:sz="0" w:space="0" w:color="auto"/>
        <w:right w:val="none" w:sz="0" w:space="0" w:color="auto"/>
      </w:divBdr>
    </w:div>
    <w:div w:id="655259153">
      <w:bodyDiv w:val="1"/>
      <w:marLeft w:val="0"/>
      <w:marRight w:val="0"/>
      <w:marTop w:val="0"/>
      <w:marBottom w:val="0"/>
      <w:divBdr>
        <w:top w:val="none" w:sz="0" w:space="0" w:color="auto"/>
        <w:left w:val="none" w:sz="0" w:space="0" w:color="auto"/>
        <w:bottom w:val="none" w:sz="0" w:space="0" w:color="auto"/>
        <w:right w:val="none" w:sz="0" w:space="0" w:color="auto"/>
      </w:divBdr>
    </w:div>
    <w:div w:id="663824489">
      <w:bodyDiv w:val="1"/>
      <w:marLeft w:val="0"/>
      <w:marRight w:val="0"/>
      <w:marTop w:val="0"/>
      <w:marBottom w:val="0"/>
      <w:divBdr>
        <w:top w:val="none" w:sz="0" w:space="0" w:color="auto"/>
        <w:left w:val="none" w:sz="0" w:space="0" w:color="auto"/>
        <w:bottom w:val="none" w:sz="0" w:space="0" w:color="auto"/>
        <w:right w:val="none" w:sz="0" w:space="0" w:color="auto"/>
      </w:divBdr>
    </w:div>
    <w:div w:id="667514259">
      <w:bodyDiv w:val="1"/>
      <w:marLeft w:val="0"/>
      <w:marRight w:val="0"/>
      <w:marTop w:val="0"/>
      <w:marBottom w:val="0"/>
      <w:divBdr>
        <w:top w:val="none" w:sz="0" w:space="0" w:color="auto"/>
        <w:left w:val="none" w:sz="0" w:space="0" w:color="auto"/>
        <w:bottom w:val="none" w:sz="0" w:space="0" w:color="auto"/>
        <w:right w:val="none" w:sz="0" w:space="0" w:color="auto"/>
      </w:divBdr>
    </w:div>
    <w:div w:id="680278374">
      <w:bodyDiv w:val="1"/>
      <w:marLeft w:val="0"/>
      <w:marRight w:val="0"/>
      <w:marTop w:val="0"/>
      <w:marBottom w:val="0"/>
      <w:divBdr>
        <w:top w:val="none" w:sz="0" w:space="0" w:color="auto"/>
        <w:left w:val="none" w:sz="0" w:space="0" w:color="auto"/>
        <w:bottom w:val="none" w:sz="0" w:space="0" w:color="auto"/>
        <w:right w:val="none" w:sz="0" w:space="0" w:color="auto"/>
      </w:divBdr>
    </w:div>
    <w:div w:id="680736932">
      <w:bodyDiv w:val="1"/>
      <w:marLeft w:val="0"/>
      <w:marRight w:val="0"/>
      <w:marTop w:val="0"/>
      <w:marBottom w:val="0"/>
      <w:divBdr>
        <w:top w:val="none" w:sz="0" w:space="0" w:color="auto"/>
        <w:left w:val="none" w:sz="0" w:space="0" w:color="auto"/>
        <w:bottom w:val="none" w:sz="0" w:space="0" w:color="auto"/>
        <w:right w:val="none" w:sz="0" w:space="0" w:color="auto"/>
      </w:divBdr>
    </w:div>
    <w:div w:id="681056707">
      <w:bodyDiv w:val="1"/>
      <w:marLeft w:val="0"/>
      <w:marRight w:val="0"/>
      <w:marTop w:val="0"/>
      <w:marBottom w:val="0"/>
      <w:divBdr>
        <w:top w:val="none" w:sz="0" w:space="0" w:color="auto"/>
        <w:left w:val="none" w:sz="0" w:space="0" w:color="auto"/>
        <w:bottom w:val="none" w:sz="0" w:space="0" w:color="auto"/>
        <w:right w:val="none" w:sz="0" w:space="0" w:color="auto"/>
      </w:divBdr>
    </w:div>
    <w:div w:id="682245010">
      <w:bodyDiv w:val="1"/>
      <w:marLeft w:val="0"/>
      <w:marRight w:val="0"/>
      <w:marTop w:val="0"/>
      <w:marBottom w:val="0"/>
      <w:divBdr>
        <w:top w:val="none" w:sz="0" w:space="0" w:color="auto"/>
        <w:left w:val="none" w:sz="0" w:space="0" w:color="auto"/>
        <w:bottom w:val="none" w:sz="0" w:space="0" w:color="auto"/>
        <w:right w:val="none" w:sz="0" w:space="0" w:color="auto"/>
      </w:divBdr>
    </w:div>
    <w:div w:id="685406588">
      <w:bodyDiv w:val="1"/>
      <w:marLeft w:val="0"/>
      <w:marRight w:val="0"/>
      <w:marTop w:val="0"/>
      <w:marBottom w:val="0"/>
      <w:divBdr>
        <w:top w:val="none" w:sz="0" w:space="0" w:color="auto"/>
        <w:left w:val="none" w:sz="0" w:space="0" w:color="auto"/>
        <w:bottom w:val="none" w:sz="0" w:space="0" w:color="auto"/>
        <w:right w:val="none" w:sz="0" w:space="0" w:color="auto"/>
      </w:divBdr>
    </w:div>
    <w:div w:id="693382174">
      <w:bodyDiv w:val="1"/>
      <w:marLeft w:val="0"/>
      <w:marRight w:val="0"/>
      <w:marTop w:val="0"/>
      <w:marBottom w:val="0"/>
      <w:divBdr>
        <w:top w:val="none" w:sz="0" w:space="0" w:color="auto"/>
        <w:left w:val="none" w:sz="0" w:space="0" w:color="auto"/>
        <w:bottom w:val="none" w:sz="0" w:space="0" w:color="auto"/>
        <w:right w:val="none" w:sz="0" w:space="0" w:color="auto"/>
      </w:divBdr>
    </w:div>
    <w:div w:id="694190059">
      <w:bodyDiv w:val="1"/>
      <w:marLeft w:val="0"/>
      <w:marRight w:val="0"/>
      <w:marTop w:val="0"/>
      <w:marBottom w:val="0"/>
      <w:divBdr>
        <w:top w:val="none" w:sz="0" w:space="0" w:color="auto"/>
        <w:left w:val="none" w:sz="0" w:space="0" w:color="auto"/>
        <w:bottom w:val="none" w:sz="0" w:space="0" w:color="auto"/>
        <w:right w:val="none" w:sz="0" w:space="0" w:color="auto"/>
      </w:divBdr>
    </w:div>
    <w:div w:id="696808808">
      <w:bodyDiv w:val="1"/>
      <w:marLeft w:val="0"/>
      <w:marRight w:val="0"/>
      <w:marTop w:val="0"/>
      <w:marBottom w:val="0"/>
      <w:divBdr>
        <w:top w:val="none" w:sz="0" w:space="0" w:color="auto"/>
        <w:left w:val="none" w:sz="0" w:space="0" w:color="auto"/>
        <w:bottom w:val="none" w:sz="0" w:space="0" w:color="auto"/>
        <w:right w:val="none" w:sz="0" w:space="0" w:color="auto"/>
      </w:divBdr>
    </w:div>
    <w:div w:id="696850208">
      <w:bodyDiv w:val="1"/>
      <w:marLeft w:val="0"/>
      <w:marRight w:val="0"/>
      <w:marTop w:val="0"/>
      <w:marBottom w:val="0"/>
      <w:divBdr>
        <w:top w:val="none" w:sz="0" w:space="0" w:color="auto"/>
        <w:left w:val="none" w:sz="0" w:space="0" w:color="auto"/>
        <w:bottom w:val="none" w:sz="0" w:space="0" w:color="auto"/>
        <w:right w:val="none" w:sz="0" w:space="0" w:color="auto"/>
      </w:divBdr>
    </w:div>
    <w:div w:id="698241474">
      <w:bodyDiv w:val="1"/>
      <w:marLeft w:val="0"/>
      <w:marRight w:val="0"/>
      <w:marTop w:val="0"/>
      <w:marBottom w:val="0"/>
      <w:divBdr>
        <w:top w:val="none" w:sz="0" w:space="0" w:color="auto"/>
        <w:left w:val="none" w:sz="0" w:space="0" w:color="auto"/>
        <w:bottom w:val="none" w:sz="0" w:space="0" w:color="auto"/>
        <w:right w:val="none" w:sz="0" w:space="0" w:color="auto"/>
      </w:divBdr>
    </w:div>
    <w:div w:id="698820450">
      <w:bodyDiv w:val="1"/>
      <w:marLeft w:val="0"/>
      <w:marRight w:val="0"/>
      <w:marTop w:val="0"/>
      <w:marBottom w:val="0"/>
      <w:divBdr>
        <w:top w:val="none" w:sz="0" w:space="0" w:color="auto"/>
        <w:left w:val="none" w:sz="0" w:space="0" w:color="auto"/>
        <w:bottom w:val="none" w:sz="0" w:space="0" w:color="auto"/>
        <w:right w:val="none" w:sz="0" w:space="0" w:color="auto"/>
      </w:divBdr>
    </w:div>
    <w:div w:id="703604685">
      <w:bodyDiv w:val="1"/>
      <w:marLeft w:val="0"/>
      <w:marRight w:val="0"/>
      <w:marTop w:val="0"/>
      <w:marBottom w:val="0"/>
      <w:divBdr>
        <w:top w:val="none" w:sz="0" w:space="0" w:color="auto"/>
        <w:left w:val="none" w:sz="0" w:space="0" w:color="auto"/>
        <w:bottom w:val="none" w:sz="0" w:space="0" w:color="auto"/>
        <w:right w:val="none" w:sz="0" w:space="0" w:color="auto"/>
      </w:divBdr>
    </w:div>
    <w:div w:id="711731196">
      <w:bodyDiv w:val="1"/>
      <w:marLeft w:val="0"/>
      <w:marRight w:val="0"/>
      <w:marTop w:val="0"/>
      <w:marBottom w:val="0"/>
      <w:divBdr>
        <w:top w:val="none" w:sz="0" w:space="0" w:color="auto"/>
        <w:left w:val="none" w:sz="0" w:space="0" w:color="auto"/>
        <w:bottom w:val="none" w:sz="0" w:space="0" w:color="auto"/>
        <w:right w:val="none" w:sz="0" w:space="0" w:color="auto"/>
      </w:divBdr>
    </w:div>
    <w:div w:id="711883159">
      <w:bodyDiv w:val="1"/>
      <w:marLeft w:val="0"/>
      <w:marRight w:val="0"/>
      <w:marTop w:val="0"/>
      <w:marBottom w:val="0"/>
      <w:divBdr>
        <w:top w:val="none" w:sz="0" w:space="0" w:color="auto"/>
        <w:left w:val="none" w:sz="0" w:space="0" w:color="auto"/>
        <w:bottom w:val="none" w:sz="0" w:space="0" w:color="auto"/>
        <w:right w:val="none" w:sz="0" w:space="0" w:color="auto"/>
      </w:divBdr>
    </w:div>
    <w:div w:id="724178421">
      <w:bodyDiv w:val="1"/>
      <w:marLeft w:val="0"/>
      <w:marRight w:val="0"/>
      <w:marTop w:val="0"/>
      <w:marBottom w:val="0"/>
      <w:divBdr>
        <w:top w:val="none" w:sz="0" w:space="0" w:color="auto"/>
        <w:left w:val="none" w:sz="0" w:space="0" w:color="auto"/>
        <w:bottom w:val="none" w:sz="0" w:space="0" w:color="auto"/>
        <w:right w:val="none" w:sz="0" w:space="0" w:color="auto"/>
      </w:divBdr>
    </w:div>
    <w:div w:id="735781998">
      <w:bodyDiv w:val="1"/>
      <w:marLeft w:val="0"/>
      <w:marRight w:val="0"/>
      <w:marTop w:val="0"/>
      <w:marBottom w:val="0"/>
      <w:divBdr>
        <w:top w:val="none" w:sz="0" w:space="0" w:color="auto"/>
        <w:left w:val="none" w:sz="0" w:space="0" w:color="auto"/>
        <w:bottom w:val="none" w:sz="0" w:space="0" w:color="auto"/>
        <w:right w:val="none" w:sz="0" w:space="0" w:color="auto"/>
      </w:divBdr>
    </w:div>
    <w:div w:id="743182519">
      <w:bodyDiv w:val="1"/>
      <w:marLeft w:val="0"/>
      <w:marRight w:val="0"/>
      <w:marTop w:val="0"/>
      <w:marBottom w:val="0"/>
      <w:divBdr>
        <w:top w:val="none" w:sz="0" w:space="0" w:color="auto"/>
        <w:left w:val="none" w:sz="0" w:space="0" w:color="auto"/>
        <w:bottom w:val="none" w:sz="0" w:space="0" w:color="auto"/>
        <w:right w:val="none" w:sz="0" w:space="0" w:color="auto"/>
      </w:divBdr>
    </w:div>
    <w:div w:id="746146440">
      <w:bodyDiv w:val="1"/>
      <w:marLeft w:val="0"/>
      <w:marRight w:val="0"/>
      <w:marTop w:val="0"/>
      <w:marBottom w:val="0"/>
      <w:divBdr>
        <w:top w:val="none" w:sz="0" w:space="0" w:color="auto"/>
        <w:left w:val="none" w:sz="0" w:space="0" w:color="auto"/>
        <w:bottom w:val="none" w:sz="0" w:space="0" w:color="auto"/>
        <w:right w:val="none" w:sz="0" w:space="0" w:color="auto"/>
      </w:divBdr>
      <w:divsChild>
        <w:div w:id="1753576784">
          <w:marLeft w:val="0"/>
          <w:marRight w:val="0"/>
          <w:marTop w:val="0"/>
          <w:marBottom w:val="0"/>
          <w:divBdr>
            <w:top w:val="none" w:sz="0" w:space="0" w:color="auto"/>
            <w:left w:val="none" w:sz="0" w:space="0" w:color="auto"/>
            <w:bottom w:val="none" w:sz="0" w:space="0" w:color="auto"/>
            <w:right w:val="none" w:sz="0" w:space="0" w:color="auto"/>
          </w:divBdr>
        </w:div>
      </w:divsChild>
    </w:div>
    <w:div w:id="750128774">
      <w:bodyDiv w:val="1"/>
      <w:marLeft w:val="0"/>
      <w:marRight w:val="0"/>
      <w:marTop w:val="0"/>
      <w:marBottom w:val="0"/>
      <w:divBdr>
        <w:top w:val="none" w:sz="0" w:space="0" w:color="auto"/>
        <w:left w:val="none" w:sz="0" w:space="0" w:color="auto"/>
        <w:bottom w:val="none" w:sz="0" w:space="0" w:color="auto"/>
        <w:right w:val="none" w:sz="0" w:space="0" w:color="auto"/>
      </w:divBdr>
    </w:div>
    <w:div w:id="756749372">
      <w:bodyDiv w:val="1"/>
      <w:marLeft w:val="0"/>
      <w:marRight w:val="0"/>
      <w:marTop w:val="0"/>
      <w:marBottom w:val="0"/>
      <w:divBdr>
        <w:top w:val="none" w:sz="0" w:space="0" w:color="auto"/>
        <w:left w:val="none" w:sz="0" w:space="0" w:color="auto"/>
        <w:bottom w:val="none" w:sz="0" w:space="0" w:color="auto"/>
        <w:right w:val="none" w:sz="0" w:space="0" w:color="auto"/>
      </w:divBdr>
    </w:div>
    <w:div w:id="758141953">
      <w:bodyDiv w:val="1"/>
      <w:marLeft w:val="0"/>
      <w:marRight w:val="0"/>
      <w:marTop w:val="0"/>
      <w:marBottom w:val="0"/>
      <w:divBdr>
        <w:top w:val="none" w:sz="0" w:space="0" w:color="auto"/>
        <w:left w:val="none" w:sz="0" w:space="0" w:color="auto"/>
        <w:bottom w:val="none" w:sz="0" w:space="0" w:color="auto"/>
        <w:right w:val="none" w:sz="0" w:space="0" w:color="auto"/>
      </w:divBdr>
    </w:div>
    <w:div w:id="758452613">
      <w:bodyDiv w:val="1"/>
      <w:marLeft w:val="0"/>
      <w:marRight w:val="0"/>
      <w:marTop w:val="0"/>
      <w:marBottom w:val="0"/>
      <w:divBdr>
        <w:top w:val="none" w:sz="0" w:space="0" w:color="auto"/>
        <w:left w:val="none" w:sz="0" w:space="0" w:color="auto"/>
        <w:bottom w:val="none" w:sz="0" w:space="0" w:color="auto"/>
        <w:right w:val="none" w:sz="0" w:space="0" w:color="auto"/>
      </w:divBdr>
    </w:div>
    <w:div w:id="761797641">
      <w:bodyDiv w:val="1"/>
      <w:marLeft w:val="0"/>
      <w:marRight w:val="0"/>
      <w:marTop w:val="0"/>
      <w:marBottom w:val="0"/>
      <w:divBdr>
        <w:top w:val="none" w:sz="0" w:space="0" w:color="auto"/>
        <w:left w:val="none" w:sz="0" w:space="0" w:color="auto"/>
        <w:bottom w:val="none" w:sz="0" w:space="0" w:color="auto"/>
        <w:right w:val="none" w:sz="0" w:space="0" w:color="auto"/>
      </w:divBdr>
    </w:div>
    <w:div w:id="768281747">
      <w:bodyDiv w:val="1"/>
      <w:marLeft w:val="0"/>
      <w:marRight w:val="0"/>
      <w:marTop w:val="0"/>
      <w:marBottom w:val="0"/>
      <w:divBdr>
        <w:top w:val="none" w:sz="0" w:space="0" w:color="auto"/>
        <w:left w:val="none" w:sz="0" w:space="0" w:color="auto"/>
        <w:bottom w:val="none" w:sz="0" w:space="0" w:color="auto"/>
        <w:right w:val="none" w:sz="0" w:space="0" w:color="auto"/>
      </w:divBdr>
    </w:div>
    <w:div w:id="770467463">
      <w:bodyDiv w:val="1"/>
      <w:marLeft w:val="0"/>
      <w:marRight w:val="0"/>
      <w:marTop w:val="0"/>
      <w:marBottom w:val="0"/>
      <w:divBdr>
        <w:top w:val="none" w:sz="0" w:space="0" w:color="auto"/>
        <w:left w:val="none" w:sz="0" w:space="0" w:color="auto"/>
        <w:bottom w:val="none" w:sz="0" w:space="0" w:color="auto"/>
        <w:right w:val="none" w:sz="0" w:space="0" w:color="auto"/>
      </w:divBdr>
    </w:div>
    <w:div w:id="785542703">
      <w:bodyDiv w:val="1"/>
      <w:marLeft w:val="0"/>
      <w:marRight w:val="0"/>
      <w:marTop w:val="0"/>
      <w:marBottom w:val="0"/>
      <w:divBdr>
        <w:top w:val="none" w:sz="0" w:space="0" w:color="auto"/>
        <w:left w:val="none" w:sz="0" w:space="0" w:color="auto"/>
        <w:bottom w:val="none" w:sz="0" w:space="0" w:color="auto"/>
        <w:right w:val="none" w:sz="0" w:space="0" w:color="auto"/>
      </w:divBdr>
    </w:div>
    <w:div w:id="788086865">
      <w:bodyDiv w:val="1"/>
      <w:marLeft w:val="0"/>
      <w:marRight w:val="0"/>
      <w:marTop w:val="0"/>
      <w:marBottom w:val="0"/>
      <w:divBdr>
        <w:top w:val="none" w:sz="0" w:space="0" w:color="auto"/>
        <w:left w:val="none" w:sz="0" w:space="0" w:color="auto"/>
        <w:bottom w:val="none" w:sz="0" w:space="0" w:color="auto"/>
        <w:right w:val="none" w:sz="0" w:space="0" w:color="auto"/>
      </w:divBdr>
    </w:div>
    <w:div w:id="793140919">
      <w:bodyDiv w:val="1"/>
      <w:marLeft w:val="0"/>
      <w:marRight w:val="0"/>
      <w:marTop w:val="0"/>
      <w:marBottom w:val="0"/>
      <w:divBdr>
        <w:top w:val="none" w:sz="0" w:space="0" w:color="auto"/>
        <w:left w:val="none" w:sz="0" w:space="0" w:color="auto"/>
        <w:bottom w:val="none" w:sz="0" w:space="0" w:color="auto"/>
        <w:right w:val="none" w:sz="0" w:space="0" w:color="auto"/>
      </w:divBdr>
    </w:div>
    <w:div w:id="808015812">
      <w:bodyDiv w:val="1"/>
      <w:marLeft w:val="0"/>
      <w:marRight w:val="0"/>
      <w:marTop w:val="0"/>
      <w:marBottom w:val="0"/>
      <w:divBdr>
        <w:top w:val="none" w:sz="0" w:space="0" w:color="auto"/>
        <w:left w:val="none" w:sz="0" w:space="0" w:color="auto"/>
        <w:bottom w:val="none" w:sz="0" w:space="0" w:color="auto"/>
        <w:right w:val="none" w:sz="0" w:space="0" w:color="auto"/>
      </w:divBdr>
    </w:div>
    <w:div w:id="810975082">
      <w:bodyDiv w:val="1"/>
      <w:marLeft w:val="0"/>
      <w:marRight w:val="0"/>
      <w:marTop w:val="0"/>
      <w:marBottom w:val="0"/>
      <w:divBdr>
        <w:top w:val="none" w:sz="0" w:space="0" w:color="auto"/>
        <w:left w:val="none" w:sz="0" w:space="0" w:color="auto"/>
        <w:bottom w:val="none" w:sz="0" w:space="0" w:color="auto"/>
        <w:right w:val="none" w:sz="0" w:space="0" w:color="auto"/>
      </w:divBdr>
    </w:div>
    <w:div w:id="814875105">
      <w:bodyDiv w:val="1"/>
      <w:marLeft w:val="0"/>
      <w:marRight w:val="0"/>
      <w:marTop w:val="0"/>
      <w:marBottom w:val="0"/>
      <w:divBdr>
        <w:top w:val="none" w:sz="0" w:space="0" w:color="auto"/>
        <w:left w:val="none" w:sz="0" w:space="0" w:color="auto"/>
        <w:bottom w:val="none" w:sz="0" w:space="0" w:color="auto"/>
        <w:right w:val="none" w:sz="0" w:space="0" w:color="auto"/>
      </w:divBdr>
      <w:divsChild>
        <w:div w:id="945120855">
          <w:marLeft w:val="547"/>
          <w:marRight w:val="0"/>
          <w:marTop w:val="86"/>
          <w:marBottom w:val="0"/>
          <w:divBdr>
            <w:top w:val="none" w:sz="0" w:space="0" w:color="auto"/>
            <w:left w:val="none" w:sz="0" w:space="0" w:color="auto"/>
            <w:bottom w:val="none" w:sz="0" w:space="0" w:color="auto"/>
            <w:right w:val="none" w:sz="0" w:space="0" w:color="auto"/>
          </w:divBdr>
        </w:div>
        <w:div w:id="1187332369">
          <w:marLeft w:val="547"/>
          <w:marRight w:val="0"/>
          <w:marTop w:val="86"/>
          <w:marBottom w:val="0"/>
          <w:divBdr>
            <w:top w:val="none" w:sz="0" w:space="0" w:color="auto"/>
            <w:left w:val="none" w:sz="0" w:space="0" w:color="auto"/>
            <w:bottom w:val="none" w:sz="0" w:space="0" w:color="auto"/>
            <w:right w:val="none" w:sz="0" w:space="0" w:color="auto"/>
          </w:divBdr>
        </w:div>
      </w:divsChild>
    </w:div>
    <w:div w:id="827096912">
      <w:bodyDiv w:val="1"/>
      <w:marLeft w:val="0"/>
      <w:marRight w:val="0"/>
      <w:marTop w:val="0"/>
      <w:marBottom w:val="0"/>
      <w:divBdr>
        <w:top w:val="none" w:sz="0" w:space="0" w:color="auto"/>
        <w:left w:val="none" w:sz="0" w:space="0" w:color="auto"/>
        <w:bottom w:val="none" w:sz="0" w:space="0" w:color="auto"/>
        <w:right w:val="none" w:sz="0" w:space="0" w:color="auto"/>
      </w:divBdr>
    </w:div>
    <w:div w:id="829521148">
      <w:bodyDiv w:val="1"/>
      <w:marLeft w:val="0"/>
      <w:marRight w:val="0"/>
      <w:marTop w:val="0"/>
      <w:marBottom w:val="0"/>
      <w:divBdr>
        <w:top w:val="none" w:sz="0" w:space="0" w:color="auto"/>
        <w:left w:val="none" w:sz="0" w:space="0" w:color="auto"/>
        <w:bottom w:val="none" w:sz="0" w:space="0" w:color="auto"/>
        <w:right w:val="none" w:sz="0" w:space="0" w:color="auto"/>
      </w:divBdr>
    </w:div>
    <w:div w:id="831873046">
      <w:bodyDiv w:val="1"/>
      <w:marLeft w:val="0"/>
      <w:marRight w:val="0"/>
      <w:marTop w:val="0"/>
      <w:marBottom w:val="0"/>
      <w:divBdr>
        <w:top w:val="none" w:sz="0" w:space="0" w:color="auto"/>
        <w:left w:val="none" w:sz="0" w:space="0" w:color="auto"/>
        <w:bottom w:val="none" w:sz="0" w:space="0" w:color="auto"/>
        <w:right w:val="none" w:sz="0" w:space="0" w:color="auto"/>
      </w:divBdr>
    </w:div>
    <w:div w:id="834805441">
      <w:bodyDiv w:val="1"/>
      <w:marLeft w:val="0"/>
      <w:marRight w:val="0"/>
      <w:marTop w:val="0"/>
      <w:marBottom w:val="0"/>
      <w:divBdr>
        <w:top w:val="none" w:sz="0" w:space="0" w:color="auto"/>
        <w:left w:val="none" w:sz="0" w:space="0" w:color="auto"/>
        <w:bottom w:val="none" w:sz="0" w:space="0" w:color="auto"/>
        <w:right w:val="none" w:sz="0" w:space="0" w:color="auto"/>
      </w:divBdr>
    </w:div>
    <w:div w:id="843977267">
      <w:bodyDiv w:val="1"/>
      <w:marLeft w:val="0"/>
      <w:marRight w:val="0"/>
      <w:marTop w:val="0"/>
      <w:marBottom w:val="0"/>
      <w:divBdr>
        <w:top w:val="none" w:sz="0" w:space="0" w:color="auto"/>
        <w:left w:val="none" w:sz="0" w:space="0" w:color="auto"/>
        <w:bottom w:val="none" w:sz="0" w:space="0" w:color="auto"/>
        <w:right w:val="none" w:sz="0" w:space="0" w:color="auto"/>
      </w:divBdr>
    </w:div>
    <w:div w:id="844515443">
      <w:bodyDiv w:val="1"/>
      <w:marLeft w:val="0"/>
      <w:marRight w:val="0"/>
      <w:marTop w:val="0"/>
      <w:marBottom w:val="0"/>
      <w:divBdr>
        <w:top w:val="none" w:sz="0" w:space="0" w:color="auto"/>
        <w:left w:val="none" w:sz="0" w:space="0" w:color="auto"/>
        <w:bottom w:val="none" w:sz="0" w:space="0" w:color="auto"/>
        <w:right w:val="none" w:sz="0" w:space="0" w:color="auto"/>
      </w:divBdr>
      <w:divsChild>
        <w:div w:id="678656800">
          <w:marLeft w:val="0"/>
          <w:marRight w:val="0"/>
          <w:marTop w:val="0"/>
          <w:marBottom w:val="0"/>
          <w:divBdr>
            <w:top w:val="none" w:sz="0" w:space="0" w:color="auto"/>
            <w:left w:val="none" w:sz="0" w:space="0" w:color="auto"/>
            <w:bottom w:val="none" w:sz="0" w:space="0" w:color="auto"/>
            <w:right w:val="none" w:sz="0" w:space="0" w:color="auto"/>
          </w:divBdr>
        </w:div>
      </w:divsChild>
    </w:div>
    <w:div w:id="848175195">
      <w:bodyDiv w:val="1"/>
      <w:marLeft w:val="0"/>
      <w:marRight w:val="0"/>
      <w:marTop w:val="0"/>
      <w:marBottom w:val="0"/>
      <w:divBdr>
        <w:top w:val="none" w:sz="0" w:space="0" w:color="auto"/>
        <w:left w:val="none" w:sz="0" w:space="0" w:color="auto"/>
        <w:bottom w:val="none" w:sz="0" w:space="0" w:color="auto"/>
        <w:right w:val="none" w:sz="0" w:space="0" w:color="auto"/>
      </w:divBdr>
    </w:div>
    <w:div w:id="848956375">
      <w:bodyDiv w:val="1"/>
      <w:marLeft w:val="0"/>
      <w:marRight w:val="0"/>
      <w:marTop w:val="0"/>
      <w:marBottom w:val="0"/>
      <w:divBdr>
        <w:top w:val="none" w:sz="0" w:space="0" w:color="auto"/>
        <w:left w:val="none" w:sz="0" w:space="0" w:color="auto"/>
        <w:bottom w:val="none" w:sz="0" w:space="0" w:color="auto"/>
        <w:right w:val="none" w:sz="0" w:space="0" w:color="auto"/>
      </w:divBdr>
    </w:div>
    <w:div w:id="858465771">
      <w:bodyDiv w:val="1"/>
      <w:marLeft w:val="0"/>
      <w:marRight w:val="0"/>
      <w:marTop w:val="0"/>
      <w:marBottom w:val="0"/>
      <w:divBdr>
        <w:top w:val="none" w:sz="0" w:space="0" w:color="auto"/>
        <w:left w:val="none" w:sz="0" w:space="0" w:color="auto"/>
        <w:bottom w:val="none" w:sz="0" w:space="0" w:color="auto"/>
        <w:right w:val="none" w:sz="0" w:space="0" w:color="auto"/>
      </w:divBdr>
    </w:div>
    <w:div w:id="864290679">
      <w:bodyDiv w:val="1"/>
      <w:marLeft w:val="0"/>
      <w:marRight w:val="0"/>
      <w:marTop w:val="0"/>
      <w:marBottom w:val="0"/>
      <w:divBdr>
        <w:top w:val="none" w:sz="0" w:space="0" w:color="auto"/>
        <w:left w:val="none" w:sz="0" w:space="0" w:color="auto"/>
        <w:bottom w:val="none" w:sz="0" w:space="0" w:color="auto"/>
        <w:right w:val="none" w:sz="0" w:space="0" w:color="auto"/>
      </w:divBdr>
    </w:div>
    <w:div w:id="864366541">
      <w:bodyDiv w:val="1"/>
      <w:marLeft w:val="0"/>
      <w:marRight w:val="0"/>
      <w:marTop w:val="0"/>
      <w:marBottom w:val="0"/>
      <w:divBdr>
        <w:top w:val="none" w:sz="0" w:space="0" w:color="auto"/>
        <w:left w:val="none" w:sz="0" w:space="0" w:color="auto"/>
        <w:bottom w:val="none" w:sz="0" w:space="0" w:color="auto"/>
        <w:right w:val="none" w:sz="0" w:space="0" w:color="auto"/>
      </w:divBdr>
    </w:div>
    <w:div w:id="865606652">
      <w:bodyDiv w:val="1"/>
      <w:marLeft w:val="0"/>
      <w:marRight w:val="0"/>
      <w:marTop w:val="0"/>
      <w:marBottom w:val="0"/>
      <w:divBdr>
        <w:top w:val="none" w:sz="0" w:space="0" w:color="auto"/>
        <w:left w:val="none" w:sz="0" w:space="0" w:color="auto"/>
        <w:bottom w:val="none" w:sz="0" w:space="0" w:color="auto"/>
        <w:right w:val="none" w:sz="0" w:space="0" w:color="auto"/>
      </w:divBdr>
    </w:div>
    <w:div w:id="869881858">
      <w:bodyDiv w:val="1"/>
      <w:marLeft w:val="0"/>
      <w:marRight w:val="0"/>
      <w:marTop w:val="0"/>
      <w:marBottom w:val="0"/>
      <w:divBdr>
        <w:top w:val="none" w:sz="0" w:space="0" w:color="auto"/>
        <w:left w:val="none" w:sz="0" w:space="0" w:color="auto"/>
        <w:bottom w:val="none" w:sz="0" w:space="0" w:color="auto"/>
        <w:right w:val="none" w:sz="0" w:space="0" w:color="auto"/>
      </w:divBdr>
    </w:div>
    <w:div w:id="872038863">
      <w:bodyDiv w:val="1"/>
      <w:marLeft w:val="0"/>
      <w:marRight w:val="0"/>
      <w:marTop w:val="0"/>
      <w:marBottom w:val="0"/>
      <w:divBdr>
        <w:top w:val="none" w:sz="0" w:space="0" w:color="auto"/>
        <w:left w:val="none" w:sz="0" w:space="0" w:color="auto"/>
        <w:bottom w:val="none" w:sz="0" w:space="0" w:color="auto"/>
        <w:right w:val="none" w:sz="0" w:space="0" w:color="auto"/>
      </w:divBdr>
    </w:div>
    <w:div w:id="882248729">
      <w:bodyDiv w:val="1"/>
      <w:marLeft w:val="0"/>
      <w:marRight w:val="0"/>
      <w:marTop w:val="0"/>
      <w:marBottom w:val="0"/>
      <w:divBdr>
        <w:top w:val="none" w:sz="0" w:space="0" w:color="auto"/>
        <w:left w:val="none" w:sz="0" w:space="0" w:color="auto"/>
        <w:bottom w:val="none" w:sz="0" w:space="0" w:color="auto"/>
        <w:right w:val="none" w:sz="0" w:space="0" w:color="auto"/>
      </w:divBdr>
    </w:div>
    <w:div w:id="884174830">
      <w:bodyDiv w:val="1"/>
      <w:marLeft w:val="0"/>
      <w:marRight w:val="0"/>
      <w:marTop w:val="0"/>
      <w:marBottom w:val="0"/>
      <w:divBdr>
        <w:top w:val="none" w:sz="0" w:space="0" w:color="auto"/>
        <w:left w:val="none" w:sz="0" w:space="0" w:color="auto"/>
        <w:bottom w:val="none" w:sz="0" w:space="0" w:color="auto"/>
        <w:right w:val="none" w:sz="0" w:space="0" w:color="auto"/>
      </w:divBdr>
    </w:div>
    <w:div w:id="885873591">
      <w:bodyDiv w:val="1"/>
      <w:marLeft w:val="0"/>
      <w:marRight w:val="0"/>
      <w:marTop w:val="0"/>
      <w:marBottom w:val="0"/>
      <w:divBdr>
        <w:top w:val="none" w:sz="0" w:space="0" w:color="auto"/>
        <w:left w:val="none" w:sz="0" w:space="0" w:color="auto"/>
        <w:bottom w:val="none" w:sz="0" w:space="0" w:color="auto"/>
        <w:right w:val="none" w:sz="0" w:space="0" w:color="auto"/>
      </w:divBdr>
    </w:div>
    <w:div w:id="886918934">
      <w:bodyDiv w:val="1"/>
      <w:marLeft w:val="0"/>
      <w:marRight w:val="0"/>
      <w:marTop w:val="0"/>
      <w:marBottom w:val="0"/>
      <w:divBdr>
        <w:top w:val="none" w:sz="0" w:space="0" w:color="auto"/>
        <w:left w:val="none" w:sz="0" w:space="0" w:color="auto"/>
        <w:bottom w:val="none" w:sz="0" w:space="0" w:color="auto"/>
        <w:right w:val="none" w:sz="0" w:space="0" w:color="auto"/>
      </w:divBdr>
    </w:div>
    <w:div w:id="889995658">
      <w:bodyDiv w:val="1"/>
      <w:marLeft w:val="0"/>
      <w:marRight w:val="0"/>
      <w:marTop w:val="0"/>
      <w:marBottom w:val="0"/>
      <w:divBdr>
        <w:top w:val="none" w:sz="0" w:space="0" w:color="auto"/>
        <w:left w:val="none" w:sz="0" w:space="0" w:color="auto"/>
        <w:bottom w:val="none" w:sz="0" w:space="0" w:color="auto"/>
        <w:right w:val="none" w:sz="0" w:space="0" w:color="auto"/>
      </w:divBdr>
    </w:div>
    <w:div w:id="897131653">
      <w:bodyDiv w:val="1"/>
      <w:marLeft w:val="0"/>
      <w:marRight w:val="0"/>
      <w:marTop w:val="0"/>
      <w:marBottom w:val="0"/>
      <w:divBdr>
        <w:top w:val="none" w:sz="0" w:space="0" w:color="auto"/>
        <w:left w:val="none" w:sz="0" w:space="0" w:color="auto"/>
        <w:bottom w:val="none" w:sz="0" w:space="0" w:color="auto"/>
        <w:right w:val="none" w:sz="0" w:space="0" w:color="auto"/>
      </w:divBdr>
    </w:div>
    <w:div w:id="898587794">
      <w:bodyDiv w:val="1"/>
      <w:marLeft w:val="0"/>
      <w:marRight w:val="0"/>
      <w:marTop w:val="0"/>
      <w:marBottom w:val="0"/>
      <w:divBdr>
        <w:top w:val="none" w:sz="0" w:space="0" w:color="auto"/>
        <w:left w:val="none" w:sz="0" w:space="0" w:color="auto"/>
        <w:bottom w:val="none" w:sz="0" w:space="0" w:color="auto"/>
        <w:right w:val="none" w:sz="0" w:space="0" w:color="auto"/>
      </w:divBdr>
    </w:div>
    <w:div w:id="901140860">
      <w:bodyDiv w:val="1"/>
      <w:marLeft w:val="0"/>
      <w:marRight w:val="0"/>
      <w:marTop w:val="0"/>
      <w:marBottom w:val="0"/>
      <w:divBdr>
        <w:top w:val="none" w:sz="0" w:space="0" w:color="auto"/>
        <w:left w:val="none" w:sz="0" w:space="0" w:color="auto"/>
        <w:bottom w:val="none" w:sz="0" w:space="0" w:color="auto"/>
        <w:right w:val="none" w:sz="0" w:space="0" w:color="auto"/>
      </w:divBdr>
    </w:div>
    <w:div w:id="904681269">
      <w:bodyDiv w:val="1"/>
      <w:marLeft w:val="0"/>
      <w:marRight w:val="0"/>
      <w:marTop w:val="0"/>
      <w:marBottom w:val="0"/>
      <w:divBdr>
        <w:top w:val="none" w:sz="0" w:space="0" w:color="auto"/>
        <w:left w:val="none" w:sz="0" w:space="0" w:color="auto"/>
        <w:bottom w:val="none" w:sz="0" w:space="0" w:color="auto"/>
        <w:right w:val="none" w:sz="0" w:space="0" w:color="auto"/>
      </w:divBdr>
    </w:div>
    <w:div w:id="914706327">
      <w:bodyDiv w:val="1"/>
      <w:marLeft w:val="0"/>
      <w:marRight w:val="0"/>
      <w:marTop w:val="0"/>
      <w:marBottom w:val="0"/>
      <w:divBdr>
        <w:top w:val="none" w:sz="0" w:space="0" w:color="auto"/>
        <w:left w:val="none" w:sz="0" w:space="0" w:color="auto"/>
        <w:bottom w:val="none" w:sz="0" w:space="0" w:color="auto"/>
        <w:right w:val="none" w:sz="0" w:space="0" w:color="auto"/>
      </w:divBdr>
    </w:div>
    <w:div w:id="919142516">
      <w:bodyDiv w:val="1"/>
      <w:marLeft w:val="0"/>
      <w:marRight w:val="0"/>
      <w:marTop w:val="0"/>
      <w:marBottom w:val="0"/>
      <w:divBdr>
        <w:top w:val="none" w:sz="0" w:space="0" w:color="auto"/>
        <w:left w:val="none" w:sz="0" w:space="0" w:color="auto"/>
        <w:bottom w:val="none" w:sz="0" w:space="0" w:color="auto"/>
        <w:right w:val="none" w:sz="0" w:space="0" w:color="auto"/>
      </w:divBdr>
    </w:div>
    <w:div w:id="923303020">
      <w:bodyDiv w:val="1"/>
      <w:marLeft w:val="0"/>
      <w:marRight w:val="0"/>
      <w:marTop w:val="0"/>
      <w:marBottom w:val="0"/>
      <w:divBdr>
        <w:top w:val="none" w:sz="0" w:space="0" w:color="auto"/>
        <w:left w:val="none" w:sz="0" w:space="0" w:color="auto"/>
        <w:bottom w:val="none" w:sz="0" w:space="0" w:color="auto"/>
        <w:right w:val="none" w:sz="0" w:space="0" w:color="auto"/>
      </w:divBdr>
    </w:div>
    <w:div w:id="926421722">
      <w:bodyDiv w:val="1"/>
      <w:marLeft w:val="0"/>
      <w:marRight w:val="0"/>
      <w:marTop w:val="0"/>
      <w:marBottom w:val="0"/>
      <w:divBdr>
        <w:top w:val="none" w:sz="0" w:space="0" w:color="auto"/>
        <w:left w:val="none" w:sz="0" w:space="0" w:color="auto"/>
        <w:bottom w:val="none" w:sz="0" w:space="0" w:color="auto"/>
        <w:right w:val="none" w:sz="0" w:space="0" w:color="auto"/>
      </w:divBdr>
    </w:div>
    <w:div w:id="933056210">
      <w:bodyDiv w:val="1"/>
      <w:marLeft w:val="0"/>
      <w:marRight w:val="0"/>
      <w:marTop w:val="0"/>
      <w:marBottom w:val="0"/>
      <w:divBdr>
        <w:top w:val="none" w:sz="0" w:space="0" w:color="auto"/>
        <w:left w:val="none" w:sz="0" w:space="0" w:color="auto"/>
        <w:bottom w:val="none" w:sz="0" w:space="0" w:color="auto"/>
        <w:right w:val="none" w:sz="0" w:space="0" w:color="auto"/>
      </w:divBdr>
    </w:div>
    <w:div w:id="942034403">
      <w:bodyDiv w:val="1"/>
      <w:marLeft w:val="0"/>
      <w:marRight w:val="0"/>
      <w:marTop w:val="0"/>
      <w:marBottom w:val="0"/>
      <w:divBdr>
        <w:top w:val="none" w:sz="0" w:space="0" w:color="auto"/>
        <w:left w:val="none" w:sz="0" w:space="0" w:color="auto"/>
        <w:bottom w:val="none" w:sz="0" w:space="0" w:color="auto"/>
        <w:right w:val="none" w:sz="0" w:space="0" w:color="auto"/>
      </w:divBdr>
    </w:div>
    <w:div w:id="944964776">
      <w:bodyDiv w:val="1"/>
      <w:marLeft w:val="0"/>
      <w:marRight w:val="0"/>
      <w:marTop w:val="0"/>
      <w:marBottom w:val="0"/>
      <w:divBdr>
        <w:top w:val="none" w:sz="0" w:space="0" w:color="auto"/>
        <w:left w:val="none" w:sz="0" w:space="0" w:color="auto"/>
        <w:bottom w:val="none" w:sz="0" w:space="0" w:color="auto"/>
        <w:right w:val="none" w:sz="0" w:space="0" w:color="auto"/>
      </w:divBdr>
      <w:divsChild>
        <w:div w:id="1580094842">
          <w:marLeft w:val="0"/>
          <w:marRight w:val="0"/>
          <w:marTop w:val="0"/>
          <w:marBottom w:val="0"/>
          <w:divBdr>
            <w:top w:val="none" w:sz="0" w:space="0" w:color="auto"/>
            <w:left w:val="none" w:sz="0" w:space="0" w:color="auto"/>
            <w:bottom w:val="none" w:sz="0" w:space="0" w:color="auto"/>
            <w:right w:val="none" w:sz="0" w:space="0" w:color="auto"/>
          </w:divBdr>
        </w:div>
      </w:divsChild>
    </w:div>
    <w:div w:id="971133892">
      <w:bodyDiv w:val="1"/>
      <w:marLeft w:val="0"/>
      <w:marRight w:val="0"/>
      <w:marTop w:val="0"/>
      <w:marBottom w:val="0"/>
      <w:divBdr>
        <w:top w:val="none" w:sz="0" w:space="0" w:color="auto"/>
        <w:left w:val="none" w:sz="0" w:space="0" w:color="auto"/>
        <w:bottom w:val="none" w:sz="0" w:space="0" w:color="auto"/>
        <w:right w:val="none" w:sz="0" w:space="0" w:color="auto"/>
      </w:divBdr>
    </w:div>
    <w:div w:id="971250886">
      <w:bodyDiv w:val="1"/>
      <w:marLeft w:val="0"/>
      <w:marRight w:val="0"/>
      <w:marTop w:val="0"/>
      <w:marBottom w:val="0"/>
      <w:divBdr>
        <w:top w:val="none" w:sz="0" w:space="0" w:color="auto"/>
        <w:left w:val="none" w:sz="0" w:space="0" w:color="auto"/>
        <w:bottom w:val="none" w:sz="0" w:space="0" w:color="auto"/>
        <w:right w:val="none" w:sz="0" w:space="0" w:color="auto"/>
      </w:divBdr>
    </w:div>
    <w:div w:id="975373103">
      <w:bodyDiv w:val="1"/>
      <w:marLeft w:val="0"/>
      <w:marRight w:val="0"/>
      <w:marTop w:val="0"/>
      <w:marBottom w:val="0"/>
      <w:divBdr>
        <w:top w:val="none" w:sz="0" w:space="0" w:color="auto"/>
        <w:left w:val="none" w:sz="0" w:space="0" w:color="auto"/>
        <w:bottom w:val="none" w:sz="0" w:space="0" w:color="auto"/>
        <w:right w:val="none" w:sz="0" w:space="0" w:color="auto"/>
      </w:divBdr>
    </w:div>
    <w:div w:id="979270220">
      <w:bodyDiv w:val="1"/>
      <w:marLeft w:val="0"/>
      <w:marRight w:val="0"/>
      <w:marTop w:val="0"/>
      <w:marBottom w:val="0"/>
      <w:divBdr>
        <w:top w:val="none" w:sz="0" w:space="0" w:color="auto"/>
        <w:left w:val="none" w:sz="0" w:space="0" w:color="auto"/>
        <w:bottom w:val="none" w:sz="0" w:space="0" w:color="auto"/>
        <w:right w:val="none" w:sz="0" w:space="0" w:color="auto"/>
      </w:divBdr>
    </w:div>
    <w:div w:id="1001741139">
      <w:bodyDiv w:val="1"/>
      <w:marLeft w:val="0"/>
      <w:marRight w:val="0"/>
      <w:marTop w:val="0"/>
      <w:marBottom w:val="0"/>
      <w:divBdr>
        <w:top w:val="none" w:sz="0" w:space="0" w:color="auto"/>
        <w:left w:val="none" w:sz="0" w:space="0" w:color="auto"/>
        <w:bottom w:val="none" w:sz="0" w:space="0" w:color="auto"/>
        <w:right w:val="none" w:sz="0" w:space="0" w:color="auto"/>
      </w:divBdr>
    </w:div>
    <w:div w:id="1008826829">
      <w:bodyDiv w:val="1"/>
      <w:marLeft w:val="0"/>
      <w:marRight w:val="0"/>
      <w:marTop w:val="0"/>
      <w:marBottom w:val="0"/>
      <w:divBdr>
        <w:top w:val="none" w:sz="0" w:space="0" w:color="auto"/>
        <w:left w:val="none" w:sz="0" w:space="0" w:color="auto"/>
        <w:bottom w:val="none" w:sz="0" w:space="0" w:color="auto"/>
        <w:right w:val="none" w:sz="0" w:space="0" w:color="auto"/>
      </w:divBdr>
    </w:div>
    <w:div w:id="1015498869">
      <w:bodyDiv w:val="1"/>
      <w:marLeft w:val="0"/>
      <w:marRight w:val="0"/>
      <w:marTop w:val="0"/>
      <w:marBottom w:val="0"/>
      <w:divBdr>
        <w:top w:val="none" w:sz="0" w:space="0" w:color="auto"/>
        <w:left w:val="none" w:sz="0" w:space="0" w:color="auto"/>
        <w:bottom w:val="none" w:sz="0" w:space="0" w:color="auto"/>
        <w:right w:val="none" w:sz="0" w:space="0" w:color="auto"/>
      </w:divBdr>
    </w:div>
    <w:div w:id="1027295304">
      <w:bodyDiv w:val="1"/>
      <w:marLeft w:val="0"/>
      <w:marRight w:val="0"/>
      <w:marTop w:val="0"/>
      <w:marBottom w:val="0"/>
      <w:divBdr>
        <w:top w:val="none" w:sz="0" w:space="0" w:color="auto"/>
        <w:left w:val="none" w:sz="0" w:space="0" w:color="auto"/>
        <w:bottom w:val="none" w:sz="0" w:space="0" w:color="auto"/>
        <w:right w:val="none" w:sz="0" w:space="0" w:color="auto"/>
      </w:divBdr>
    </w:div>
    <w:div w:id="1031612977">
      <w:bodyDiv w:val="1"/>
      <w:marLeft w:val="0"/>
      <w:marRight w:val="0"/>
      <w:marTop w:val="0"/>
      <w:marBottom w:val="0"/>
      <w:divBdr>
        <w:top w:val="none" w:sz="0" w:space="0" w:color="auto"/>
        <w:left w:val="none" w:sz="0" w:space="0" w:color="auto"/>
        <w:bottom w:val="none" w:sz="0" w:space="0" w:color="auto"/>
        <w:right w:val="none" w:sz="0" w:space="0" w:color="auto"/>
      </w:divBdr>
      <w:divsChild>
        <w:div w:id="1946958313">
          <w:marLeft w:val="0"/>
          <w:marRight w:val="0"/>
          <w:marTop w:val="0"/>
          <w:marBottom w:val="0"/>
          <w:divBdr>
            <w:top w:val="none" w:sz="0" w:space="0" w:color="auto"/>
            <w:left w:val="none" w:sz="0" w:space="0" w:color="auto"/>
            <w:bottom w:val="none" w:sz="0" w:space="0" w:color="auto"/>
            <w:right w:val="none" w:sz="0" w:space="0" w:color="auto"/>
          </w:divBdr>
        </w:div>
      </w:divsChild>
    </w:div>
    <w:div w:id="1034573470">
      <w:bodyDiv w:val="1"/>
      <w:marLeft w:val="0"/>
      <w:marRight w:val="0"/>
      <w:marTop w:val="0"/>
      <w:marBottom w:val="0"/>
      <w:divBdr>
        <w:top w:val="none" w:sz="0" w:space="0" w:color="auto"/>
        <w:left w:val="none" w:sz="0" w:space="0" w:color="auto"/>
        <w:bottom w:val="none" w:sz="0" w:space="0" w:color="auto"/>
        <w:right w:val="none" w:sz="0" w:space="0" w:color="auto"/>
      </w:divBdr>
    </w:div>
    <w:div w:id="1036395247">
      <w:bodyDiv w:val="1"/>
      <w:marLeft w:val="0"/>
      <w:marRight w:val="0"/>
      <w:marTop w:val="0"/>
      <w:marBottom w:val="0"/>
      <w:divBdr>
        <w:top w:val="none" w:sz="0" w:space="0" w:color="auto"/>
        <w:left w:val="none" w:sz="0" w:space="0" w:color="auto"/>
        <w:bottom w:val="none" w:sz="0" w:space="0" w:color="auto"/>
        <w:right w:val="none" w:sz="0" w:space="0" w:color="auto"/>
      </w:divBdr>
    </w:div>
    <w:div w:id="1039359698">
      <w:bodyDiv w:val="1"/>
      <w:marLeft w:val="0"/>
      <w:marRight w:val="0"/>
      <w:marTop w:val="0"/>
      <w:marBottom w:val="0"/>
      <w:divBdr>
        <w:top w:val="none" w:sz="0" w:space="0" w:color="auto"/>
        <w:left w:val="none" w:sz="0" w:space="0" w:color="auto"/>
        <w:bottom w:val="none" w:sz="0" w:space="0" w:color="auto"/>
        <w:right w:val="none" w:sz="0" w:space="0" w:color="auto"/>
      </w:divBdr>
    </w:div>
    <w:div w:id="1042050768">
      <w:bodyDiv w:val="1"/>
      <w:marLeft w:val="0"/>
      <w:marRight w:val="0"/>
      <w:marTop w:val="0"/>
      <w:marBottom w:val="0"/>
      <w:divBdr>
        <w:top w:val="none" w:sz="0" w:space="0" w:color="auto"/>
        <w:left w:val="none" w:sz="0" w:space="0" w:color="auto"/>
        <w:bottom w:val="none" w:sz="0" w:space="0" w:color="auto"/>
        <w:right w:val="none" w:sz="0" w:space="0" w:color="auto"/>
      </w:divBdr>
    </w:div>
    <w:div w:id="1050150169">
      <w:bodyDiv w:val="1"/>
      <w:marLeft w:val="0"/>
      <w:marRight w:val="0"/>
      <w:marTop w:val="0"/>
      <w:marBottom w:val="0"/>
      <w:divBdr>
        <w:top w:val="none" w:sz="0" w:space="0" w:color="auto"/>
        <w:left w:val="none" w:sz="0" w:space="0" w:color="auto"/>
        <w:bottom w:val="none" w:sz="0" w:space="0" w:color="auto"/>
        <w:right w:val="none" w:sz="0" w:space="0" w:color="auto"/>
      </w:divBdr>
    </w:div>
    <w:div w:id="1055010117">
      <w:bodyDiv w:val="1"/>
      <w:marLeft w:val="0"/>
      <w:marRight w:val="0"/>
      <w:marTop w:val="0"/>
      <w:marBottom w:val="0"/>
      <w:divBdr>
        <w:top w:val="none" w:sz="0" w:space="0" w:color="auto"/>
        <w:left w:val="none" w:sz="0" w:space="0" w:color="auto"/>
        <w:bottom w:val="none" w:sz="0" w:space="0" w:color="auto"/>
        <w:right w:val="none" w:sz="0" w:space="0" w:color="auto"/>
      </w:divBdr>
    </w:div>
    <w:div w:id="1061752569">
      <w:bodyDiv w:val="1"/>
      <w:marLeft w:val="0"/>
      <w:marRight w:val="0"/>
      <w:marTop w:val="0"/>
      <w:marBottom w:val="0"/>
      <w:divBdr>
        <w:top w:val="none" w:sz="0" w:space="0" w:color="auto"/>
        <w:left w:val="none" w:sz="0" w:space="0" w:color="auto"/>
        <w:bottom w:val="none" w:sz="0" w:space="0" w:color="auto"/>
        <w:right w:val="none" w:sz="0" w:space="0" w:color="auto"/>
      </w:divBdr>
    </w:div>
    <w:div w:id="1066496176">
      <w:bodyDiv w:val="1"/>
      <w:marLeft w:val="0"/>
      <w:marRight w:val="0"/>
      <w:marTop w:val="0"/>
      <w:marBottom w:val="0"/>
      <w:divBdr>
        <w:top w:val="none" w:sz="0" w:space="0" w:color="auto"/>
        <w:left w:val="none" w:sz="0" w:space="0" w:color="auto"/>
        <w:bottom w:val="none" w:sz="0" w:space="0" w:color="auto"/>
        <w:right w:val="none" w:sz="0" w:space="0" w:color="auto"/>
      </w:divBdr>
    </w:div>
    <w:div w:id="1083719756">
      <w:bodyDiv w:val="1"/>
      <w:marLeft w:val="0"/>
      <w:marRight w:val="0"/>
      <w:marTop w:val="0"/>
      <w:marBottom w:val="0"/>
      <w:divBdr>
        <w:top w:val="none" w:sz="0" w:space="0" w:color="auto"/>
        <w:left w:val="none" w:sz="0" w:space="0" w:color="auto"/>
        <w:bottom w:val="none" w:sz="0" w:space="0" w:color="auto"/>
        <w:right w:val="none" w:sz="0" w:space="0" w:color="auto"/>
      </w:divBdr>
    </w:div>
    <w:div w:id="1088690733">
      <w:bodyDiv w:val="1"/>
      <w:marLeft w:val="0"/>
      <w:marRight w:val="0"/>
      <w:marTop w:val="0"/>
      <w:marBottom w:val="0"/>
      <w:divBdr>
        <w:top w:val="none" w:sz="0" w:space="0" w:color="auto"/>
        <w:left w:val="none" w:sz="0" w:space="0" w:color="auto"/>
        <w:bottom w:val="none" w:sz="0" w:space="0" w:color="auto"/>
        <w:right w:val="none" w:sz="0" w:space="0" w:color="auto"/>
      </w:divBdr>
    </w:div>
    <w:div w:id="1100754373">
      <w:bodyDiv w:val="1"/>
      <w:marLeft w:val="0"/>
      <w:marRight w:val="0"/>
      <w:marTop w:val="0"/>
      <w:marBottom w:val="0"/>
      <w:divBdr>
        <w:top w:val="none" w:sz="0" w:space="0" w:color="auto"/>
        <w:left w:val="none" w:sz="0" w:space="0" w:color="auto"/>
        <w:bottom w:val="none" w:sz="0" w:space="0" w:color="auto"/>
        <w:right w:val="none" w:sz="0" w:space="0" w:color="auto"/>
      </w:divBdr>
    </w:div>
    <w:div w:id="1109592759">
      <w:bodyDiv w:val="1"/>
      <w:marLeft w:val="0"/>
      <w:marRight w:val="0"/>
      <w:marTop w:val="0"/>
      <w:marBottom w:val="0"/>
      <w:divBdr>
        <w:top w:val="none" w:sz="0" w:space="0" w:color="auto"/>
        <w:left w:val="none" w:sz="0" w:space="0" w:color="auto"/>
        <w:bottom w:val="none" w:sz="0" w:space="0" w:color="auto"/>
        <w:right w:val="none" w:sz="0" w:space="0" w:color="auto"/>
      </w:divBdr>
    </w:div>
    <w:div w:id="1126436363">
      <w:bodyDiv w:val="1"/>
      <w:marLeft w:val="0"/>
      <w:marRight w:val="0"/>
      <w:marTop w:val="0"/>
      <w:marBottom w:val="0"/>
      <w:divBdr>
        <w:top w:val="none" w:sz="0" w:space="0" w:color="auto"/>
        <w:left w:val="none" w:sz="0" w:space="0" w:color="auto"/>
        <w:bottom w:val="none" w:sz="0" w:space="0" w:color="auto"/>
        <w:right w:val="none" w:sz="0" w:space="0" w:color="auto"/>
      </w:divBdr>
    </w:div>
    <w:div w:id="1129133051">
      <w:bodyDiv w:val="1"/>
      <w:marLeft w:val="0"/>
      <w:marRight w:val="0"/>
      <w:marTop w:val="0"/>
      <w:marBottom w:val="0"/>
      <w:divBdr>
        <w:top w:val="none" w:sz="0" w:space="0" w:color="auto"/>
        <w:left w:val="none" w:sz="0" w:space="0" w:color="auto"/>
        <w:bottom w:val="none" w:sz="0" w:space="0" w:color="auto"/>
        <w:right w:val="none" w:sz="0" w:space="0" w:color="auto"/>
      </w:divBdr>
    </w:div>
    <w:div w:id="1130979799">
      <w:bodyDiv w:val="1"/>
      <w:marLeft w:val="0"/>
      <w:marRight w:val="0"/>
      <w:marTop w:val="0"/>
      <w:marBottom w:val="0"/>
      <w:divBdr>
        <w:top w:val="none" w:sz="0" w:space="0" w:color="auto"/>
        <w:left w:val="none" w:sz="0" w:space="0" w:color="auto"/>
        <w:bottom w:val="none" w:sz="0" w:space="0" w:color="auto"/>
        <w:right w:val="none" w:sz="0" w:space="0" w:color="auto"/>
      </w:divBdr>
    </w:div>
    <w:div w:id="1133448080">
      <w:bodyDiv w:val="1"/>
      <w:marLeft w:val="0"/>
      <w:marRight w:val="0"/>
      <w:marTop w:val="0"/>
      <w:marBottom w:val="0"/>
      <w:divBdr>
        <w:top w:val="none" w:sz="0" w:space="0" w:color="auto"/>
        <w:left w:val="none" w:sz="0" w:space="0" w:color="auto"/>
        <w:bottom w:val="none" w:sz="0" w:space="0" w:color="auto"/>
        <w:right w:val="none" w:sz="0" w:space="0" w:color="auto"/>
      </w:divBdr>
    </w:div>
    <w:div w:id="1144544736">
      <w:bodyDiv w:val="1"/>
      <w:marLeft w:val="0"/>
      <w:marRight w:val="0"/>
      <w:marTop w:val="0"/>
      <w:marBottom w:val="0"/>
      <w:divBdr>
        <w:top w:val="none" w:sz="0" w:space="0" w:color="auto"/>
        <w:left w:val="none" w:sz="0" w:space="0" w:color="auto"/>
        <w:bottom w:val="none" w:sz="0" w:space="0" w:color="auto"/>
        <w:right w:val="none" w:sz="0" w:space="0" w:color="auto"/>
      </w:divBdr>
    </w:div>
    <w:div w:id="1146315245">
      <w:bodyDiv w:val="1"/>
      <w:marLeft w:val="0"/>
      <w:marRight w:val="0"/>
      <w:marTop w:val="0"/>
      <w:marBottom w:val="0"/>
      <w:divBdr>
        <w:top w:val="none" w:sz="0" w:space="0" w:color="auto"/>
        <w:left w:val="none" w:sz="0" w:space="0" w:color="auto"/>
        <w:bottom w:val="none" w:sz="0" w:space="0" w:color="auto"/>
        <w:right w:val="none" w:sz="0" w:space="0" w:color="auto"/>
      </w:divBdr>
    </w:div>
    <w:div w:id="1151480374">
      <w:bodyDiv w:val="1"/>
      <w:marLeft w:val="0"/>
      <w:marRight w:val="0"/>
      <w:marTop w:val="0"/>
      <w:marBottom w:val="0"/>
      <w:divBdr>
        <w:top w:val="none" w:sz="0" w:space="0" w:color="auto"/>
        <w:left w:val="none" w:sz="0" w:space="0" w:color="auto"/>
        <w:bottom w:val="none" w:sz="0" w:space="0" w:color="auto"/>
        <w:right w:val="none" w:sz="0" w:space="0" w:color="auto"/>
      </w:divBdr>
    </w:div>
    <w:div w:id="1162164263">
      <w:bodyDiv w:val="1"/>
      <w:marLeft w:val="0"/>
      <w:marRight w:val="0"/>
      <w:marTop w:val="0"/>
      <w:marBottom w:val="0"/>
      <w:divBdr>
        <w:top w:val="none" w:sz="0" w:space="0" w:color="auto"/>
        <w:left w:val="none" w:sz="0" w:space="0" w:color="auto"/>
        <w:bottom w:val="none" w:sz="0" w:space="0" w:color="auto"/>
        <w:right w:val="none" w:sz="0" w:space="0" w:color="auto"/>
      </w:divBdr>
    </w:div>
    <w:div w:id="1163282431">
      <w:bodyDiv w:val="1"/>
      <w:marLeft w:val="0"/>
      <w:marRight w:val="0"/>
      <w:marTop w:val="0"/>
      <w:marBottom w:val="0"/>
      <w:divBdr>
        <w:top w:val="none" w:sz="0" w:space="0" w:color="auto"/>
        <w:left w:val="none" w:sz="0" w:space="0" w:color="auto"/>
        <w:bottom w:val="none" w:sz="0" w:space="0" w:color="auto"/>
        <w:right w:val="none" w:sz="0" w:space="0" w:color="auto"/>
      </w:divBdr>
    </w:div>
    <w:div w:id="1163933835">
      <w:bodyDiv w:val="1"/>
      <w:marLeft w:val="0"/>
      <w:marRight w:val="0"/>
      <w:marTop w:val="0"/>
      <w:marBottom w:val="0"/>
      <w:divBdr>
        <w:top w:val="none" w:sz="0" w:space="0" w:color="auto"/>
        <w:left w:val="none" w:sz="0" w:space="0" w:color="auto"/>
        <w:bottom w:val="none" w:sz="0" w:space="0" w:color="auto"/>
        <w:right w:val="none" w:sz="0" w:space="0" w:color="auto"/>
      </w:divBdr>
    </w:div>
    <w:div w:id="1175650805">
      <w:bodyDiv w:val="1"/>
      <w:marLeft w:val="0"/>
      <w:marRight w:val="0"/>
      <w:marTop w:val="0"/>
      <w:marBottom w:val="0"/>
      <w:divBdr>
        <w:top w:val="none" w:sz="0" w:space="0" w:color="auto"/>
        <w:left w:val="none" w:sz="0" w:space="0" w:color="auto"/>
        <w:bottom w:val="none" w:sz="0" w:space="0" w:color="auto"/>
        <w:right w:val="none" w:sz="0" w:space="0" w:color="auto"/>
      </w:divBdr>
    </w:div>
    <w:div w:id="1187215150">
      <w:bodyDiv w:val="1"/>
      <w:marLeft w:val="0"/>
      <w:marRight w:val="0"/>
      <w:marTop w:val="0"/>
      <w:marBottom w:val="0"/>
      <w:divBdr>
        <w:top w:val="none" w:sz="0" w:space="0" w:color="auto"/>
        <w:left w:val="none" w:sz="0" w:space="0" w:color="auto"/>
        <w:bottom w:val="none" w:sz="0" w:space="0" w:color="auto"/>
        <w:right w:val="none" w:sz="0" w:space="0" w:color="auto"/>
      </w:divBdr>
    </w:div>
    <w:div w:id="1187332559">
      <w:bodyDiv w:val="1"/>
      <w:marLeft w:val="0"/>
      <w:marRight w:val="0"/>
      <w:marTop w:val="0"/>
      <w:marBottom w:val="0"/>
      <w:divBdr>
        <w:top w:val="none" w:sz="0" w:space="0" w:color="auto"/>
        <w:left w:val="none" w:sz="0" w:space="0" w:color="auto"/>
        <w:bottom w:val="none" w:sz="0" w:space="0" w:color="auto"/>
        <w:right w:val="none" w:sz="0" w:space="0" w:color="auto"/>
      </w:divBdr>
    </w:div>
    <w:div w:id="1192256827">
      <w:bodyDiv w:val="1"/>
      <w:marLeft w:val="0"/>
      <w:marRight w:val="0"/>
      <w:marTop w:val="0"/>
      <w:marBottom w:val="0"/>
      <w:divBdr>
        <w:top w:val="none" w:sz="0" w:space="0" w:color="auto"/>
        <w:left w:val="none" w:sz="0" w:space="0" w:color="auto"/>
        <w:bottom w:val="none" w:sz="0" w:space="0" w:color="auto"/>
        <w:right w:val="none" w:sz="0" w:space="0" w:color="auto"/>
      </w:divBdr>
    </w:div>
    <w:div w:id="1195071727">
      <w:bodyDiv w:val="1"/>
      <w:marLeft w:val="0"/>
      <w:marRight w:val="0"/>
      <w:marTop w:val="0"/>
      <w:marBottom w:val="0"/>
      <w:divBdr>
        <w:top w:val="none" w:sz="0" w:space="0" w:color="auto"/>
        <w:left w:val="none" w:sz="0" w:space="0" w:color="auto"/>
        <w:bottom w:val="none" w:sz="0" w:space="0" w:color="auto"/>
        <w:right w:val="none" w:sz="0" w:space="0" w:color="auto"/>
      </w:divBdr>
    </w:div>
    <w:div w:id="1201674381">
      <w:bodyDiv w:val="1"/>
      <w:marLeft w:val="0"/>
      <w:marRight w:val="0"/>
      <w:marTop w:val="0"/>
      <w:marBottom w:val="0"/>
      <w:divBdr>
        <w:top w:val="none" w:sz="0" w:space="0" w:color="auto"/>
        <w:left w:val="none" w:sz="0" w:space="0" w:color="auto"/>
        <w:bottom w:val="none" w:sz="0" w:space="0" w:color="auto"/>
        <w:right w:val="none" w:sz="0" w:space="0" w:color="auto"/>
      </w:divBdr>
    </w:div>
    <w:div w:id="1203514079">
      <w:bodyDiv w:val="1"/>
      <w:marLeft w:val="0"/>
      <w:marRight w:val="0"/>
      <w:marTop w:val="0"/>
      <w:marBottom w:val="0"/>
      <w:divBdr>
        <w:top w:val="none" w:sz="0" w:space="0" w:color="auto"/>
        <w:left w:val="none" w:sz="0" w:space="0" w:color="auto"/>
        <w:bottom w:val="none" w:sz="0" w:space="0" w:color="auto"/>
        <w:right w:val="none" w:sz="0" w:space="0" w:color="auto"/>
      </w:divBdr>
    </w:div>
    <w:div w:id="1207985342">
      <w:bodyDiv w:val="1"/>
      <w:marLeft w:val="0"/>
      <w:marRight w:val="0"/>
      <w:marTop w:val="0"/>
      <w:marBottom w:val="0"/>
      <w:divBdr>
        <w:top w:val="none" w:sz="0" w:space="0" w:color="auto"/>
        <w:left w:val="none" w:sz="0" w:space="0" w:color="auto"/>
        <w:bottom w:val="none" w:sz="0" w:space="0" w:color="auto"/>
        <w:right w:val="none" w:sz="0" w:space="0" w:color="auto"/>
      </w:divBdr>
    </w:div>
    <w:div w:id="1209994165">
      <w:bodyDiv w:val="1"/>
      <w:marLeft w:val="0"/>
      <w:marRight w:val="0"/>
      <w:marTop w:val="0"/>
      <w:marBottom w:val="0"/>
      <w:divBdr>
        <w:top w:val="none" w:sz="0" w:space="0" w:color="auto"/>
        <w:left w:val="none" w:sz="0" w:space="0" w:color="auto"/>
        <w:bottom w:val="none" w:sz="0" w:space="0" w:color="auto"/>
        <w:right w:val="none" w:sz="0" w:space="0" w:color="auto"/>
      </w:divBdr>
    </w:div>
    <w:div w:id="1211958010">
      <w:bodyDiv w:val="1"/>
      <w:marLeft w:val="0"/>
      <w:marRight w:val="0"/>
      <w:marTop w:val="0"/>
      <w:marBottom w:val="0"/>
      <w:divBdr>
        <w:top w:val="none" w:sz="0" w:space="0" w:color="auto"/>
        <w:left w:val="none" w:sz="0" w:space="0" w:color="auto"/>
        <w:bottom w:val="none" w:sz="0" w:space="0" w:color="auto"/>
        <w:right w:val="none" w:sz="0" w:space="0" w:color="auto"/>
      </w:divBdr>
    </w:div>
    <w:div w:id="1212614770">
      <w:bodyDiv w:val="1"/>
      <w:marLeft w:val="0"/>
      <w:marRight w:val="0"/>
      <w:marTop w:val="0"/>
      <w:marBottom w:val="0"/>
      <w:divBdr>
        <w:top w:val="none" w:sz="0" w:space="0" w:color="auto"/>
        <w:left w:val="none" w:sz="0" w:space="0" w:color="auto"/>
        <w:bottom w:val="none" w:sz="0" w:space="0" w:color="auto"/>
        <w:right w:val="none" w:sz="0" w:space="0" w:color="auto"/>
      </w:divBdr>
    </w:div>
    <w:div w:id="1213467600">
      <w:bodyDiv w:val="1"/>
      <w:marLeft w:val="0"/>
      <w:marRight w:val="0"/>
      <w:marTop w:val="0"/>
      <w:marBottom w:val="0"/>
      <w:divBdr>
        <w:top w:val="none" w:sz="0" w:space="0" w:color="auto"/>
        <w:left w:val="none" w:sz="0" w:space="0" w:color="auto"/>
        <w:bottom w:val="none" w:sz="0" w:space="0" w:color="auto"/>
        <w:right w:val="none" w:sz="0" w:space="0" w:color="auto"/>
      </w:divBdr>
    </w:div>
    <w:div w:id="1215853462">
      <w:bodyDiv w:val="1"/>
      <w:marLeft w:val="0"/>
      <w:marRight w:val="0"/>
      <w:marTop w:val="0"/>
      <w:marBottom w:val="0"/>
      <w:divBdr>
        <w:top w:val="none" w:sz="0" w:space="0" w:color="auto"/>
        <w:left w:val="none" w:sz="0" w:space="0" w:color="auto"/>
        <w:bottom w:val="none" w:sz="0" w:space="0" w:color="auto"/>
        <w:right w:val="none" w:sz="0" w:space="0" w:color="auto"/>
      </w:divBdr>
    </w:div>
    <w:div w:id="1226061642">
      <w:bodyDiv w:val="1"/>
      <w:marLeft w:val="0"/>
      <w:marRight w:val="0"/>
      <w:marTop w:val="0"/>
      <w:marBottom w:val="0"/>
      <w:divBdr>
        <w:top w:val="none" w:sz="0" w:space="0" w:color="auto"/>
        <w:left w:val="none" w:sz="0" w:space="0" w:color="auto"/>
        <w:bottom w:val="none" w:sz="0" w:space="0" w:color="auto"/>
        <w:right w:val="none" w:sz="0" w:space="0" w:color="auto"/>
      </w:divBdr>
      <w:divsChild>
        <w:div w:id="1220633035">
          <w:marLeft w:val="0"/>
          <w:marRight w:val="0"/>
          <w:marTop w:val="0"/>
          <w:marBottom w:val="0"/>
          <w:divBdr>
            <w:top w:val="none" w:sz="0" w:space="0" w:color="auto"/>
            <w:left w:val="none" w:sz="0" w:space="0" w:color="auto"/>
            <w:bottom w:val="none" w:sz="0" w:space="0" w:color="auto"/>
            <w:right w:val="none" w:sz="0" w:space="0" w:color="auto"/>
          </w:divBdr>
        </w:div>
      </w:divsChild>
    </w:div>
    <w:div w:id="1226333895">
      <w:bodyDiv w:val="1"/>
      <w:marLeft w:val="0"/>
      <w:marRight w:val="0"/>
      <w:marTop w:val="0"/>
      <w:marBottom w:val="0"/>
      <w:divBdr>
        <w:top w:val="none" w:sz="0" w:space="0" w:color="auto"/>
        <w:left w:val="none" w:sz="0" w:space="0" w:color="auto"/>
        <w:bottom w:val="none" w:sz="0" w:space="0" w:color="auto"/>
        <w:right w:val="none" w:sz="0" w:space="0" w:color="auto"/>
      </w:divBdr>
    </w:div>
    <w:div w:id="1237325772">
      <w:bodyDiv w:val="1"/>
      <w:marLeft w:val="0"/>
      <w:marRight w:val="0"/>
      <w:marTop w:val="0"/>
      <w:marBottom w:val="0"/>
      <w:divBdr>
        <w:top w:val="none" w:sz="0" w:space="0" w:color="auto"/>
        <w:left w:val="none" w:sz="0" w:space="0" w:color="auto"/>
        <w:bottom w:val="none" w:sz="0" w:space="0" w:color="auto"/>
        <w:right w:val="none" w:sz="0" w:space="0" w:color="auto"/>
      </w:divBdr>
    </w:div>
    <w:div w:id="1239444432">
      <w:bodyDiv w:val="1"/>
      <w:marLeft w:val="0"/>
      <w:marRight w:val="0"/>
      <w:marTop w:val="0"/>
      <w:marBottom w:val="0"/>
      <w:divBdr>
        <w:top w:val="none" w:sz="0" w:space="0" w:color="auto"/>
        <w:left w:val="none" w:sz="0" w:space="0" w:color="auto"/>
        <w:bottom w:val="none" w:sz="0" w:space="0" w:color="auto"/>
        <w:right w:val="none" w:sz="0" w:space="0" w:color="auto"/>
      </w:divBdr>
    </w:div>
    <w:div w:id="1239900983">
      <w:bodyDiv w:val="1"/>
      <w:marLeft w:val="0"/>
      <w:marRight w:val="0"/>
      <w:marTop w:val="0"/>
      <w:marBottom w:val="0"/>
      <w:divBdr>
        <w:top w:val="none" w:sz="0" w:space="0" w:color="auto"/>
        <w:left w:val="none" w:sz="0" w:space="0" w:color="auto"/>
        <w:bottom w:val="none" w:sz="0" w:space="0" w:color="auto"/>
        <w:right w:val="none" w:sz="0" w:space="0" w:color="auto"/>
      </w:divBdr>
    </w:div>
    <w:div w:id="1247227875">
      <w:bodyDiv w:val="1"/>
      <w:marLeft w:val="0"/>
      <w:marRight w:val="0"/>
      <w:marTop w:val="0"/>
      <w:marBottom w:val="0"/>
      <w:divBdr>
        <w:top w:val="none" w:sz="0" w:space="0" w:color="auto"/>
        <w:left w:val="none" w:sz="0" w:space="0" w:color="auto"/>
        <w:bottom w:val="none" w:sz="0" w:space="0" w:color="auto"/>
        <w:right w:val="none" w:sz="0" w:space="0" w:color="auto"/>
      </w:divBdr>
    </w:div>
    <w:div w:id="1249121722">
      <w:bodyDiv w:val="1"/>
      <w:marLeft w:val="0"/>
      <w:marRight w:val="0"/>
      <w:marTop w:val="0"/>
      <w:marBottom w:val="0"/>
      <w:divBdr>
        <w:top w:val="none" w:sz="0" w:space="0" w:color="auto"/>
        <w:left w:val="none" w:sz="0" w:space="0" w:color="auto"/>
        <w:bottom w:val="none" w:sz="0" w:space="0" w:color="auto"/>
        <w:right w:val="none" w:sz="0" w:space="0" w:color="auto"/>
      </w:divBdr>
    </w:div>
    <w:div w:id="1250195696">
      <w:bodyDiv w:val="1"/>
      <w:marLeft w:val="0"/>
      <w:marRight w:val="0"/>
      <w:marTop w:val="0"/>
      <w:marBottom w:val="0"/>
      <w:divBdr>
        <w:top w:val="none" w:sz="0" w:space="0" w:color="auto"/>
        <w:left w:val="none" w:sz="0" w:space="0" w:color="auto"/>
        <w:bottom w:val="none" w:sz="0" w:space="0" w:color="auto"/>
        <w:right w:val="none" w:sz="0" w:space="0" w:color="auto"/>
      </w:divBdr>
      <w:divsChild>
        <w:div w:id="1762143180">
          <w:marLeft w:val="0"/>
          <w:marRight w:val="0"/>
          <w:marTop w:val="0"/>
          <w:marBottom w:val="0"/>
          <w:divBdr>
            <w:top w:val="none" w:sz="0" w:space="0" w:color="auto"/>
            <w:left w:val="none" w:sz="0" w:space="0" w:color="auto"/>
            <w:bottom w:val="none" w:sz="0" w:space="0" w:color="auto"/>
            <w:right w:val="none" w:sz="0" w:space="0" w:color="auto"/>
          </w:divBdr>
        </w:div>
      </w:divsChild>
    </w:div>
    <w:div w:id="1250428766">
      <w:bodyDiv w:val="1"/>
      <w:marLeft w:val="0"/>
      <w:marRight w:val="0"/>
      <w:marTop w:val="0"/>
      <w:marBottom w:val="0"/>
      <w:divBdr>
        <w:top w:val="none" w:sz="0" w:space="0" w:color="auto"/>
        <w:left w:val="none" w:sz="0" w:space="0" w:color="auto"/>
        <w:bottom w:val="none" w:sz="0" w:space="0" w:color="auto"/>
        <w:right w:val="none" w:sz="0" w:space="0" w:color="auto"/>
      </w:divBdr>
    </w:div>
    <w:div w:id="1254242193">
      <w:bodyDiv w:val="1"/>
      <w:marLeft w:val="0"/>
      <w:marRight w:val="0"/>
      <w:marTop w:val="0"/>
      <w:marBottom w:val="0"/>
      <w:divBdr>
        <w:top w:val="none" w:sz="0" w:space="0" w:color="auto"/>
        <w:left w:val="none" w:sz="0" w:space="0" w:color="auto"/>
        <w:bottom w:val="none" w:sz="0" w:space="0" w:color="auto"/>
        <w:right w:val="none" w:sz="0" w:space="0" w:color="auto"/>
      </w:divBdr>
    </w:div>
    <w:div w:id="1262646243">
      <w:bodyDiv w:val="1"/>
      <w:marLeft w:val="0"/>
      <w:marRight w:val="0"/>
      <w:marTop w:val="0"/>
      <w:marBottom w:val="0"/>
      <w:divBdr>
        <w:top w:val="none" w:sz="0" w:space="0" w:color="auto"/>
        <w:left w:val="none" w:sz="0" w:space="0" w:color="auto"/>
        <w:bottom w:val="none" w:sz="0" w:space="0" w:color="auto"/>
        <w:right w:val="none" w:sz="0" w:space="0" w:color="auto"/>
      </w:divBdr>
    </w:div>
    <w:div w:id="1266034634">
      <w:bodyDiv w:val="1"/>
      <w:marLeft w:val="0"/>
      <w:marRight w:val="0"/>
      <w:marTop w:val="0"/>
      <w:marBottom w:val="0"/>
      <w:divBdr>
        <w:top w:val="none" w:sz="0" w:space="0" w:color="auto"/>
        <w:left w:val="none" w:sz="0" w:space="0" w:color="auto"/>
        <w:bottom w:val="none" w:sz="0" w:space="0" w:color="auto"/>
        <w:right w:val="none" w:sz="0" w:space="0" w:color="auto"/>
      </w:divBdr>
    </w:div>
    <w:div w:id="1269119716">
      <w:bodyDiv w:val="1"/>
      <w:marLeft w:val="0"/>
      <w:marRight w:val="0"/>
      <w:marTop w:val="0"/>
      <w:marBottom w:val="0"/>
      <w:divBdr>
        <w:top w:val="none" w:sz="0" w:space="0" w:color="auto"/>
        <w:left w:val="none" w:sz="0" w:space="0" w:color="auto"/>
        <w:bottom w:val="none" w:sz="0" w:space="0" w:color="auto"/>
        <w:right w:val="none" w:sz="0" w:space="0" w:color="auto"/>
      </w:divBdr>
    </w:div>
    <w:div w:id="1275209404">
      <w:bodyDiv w:val="1"/>
      <w:marLeft w:val="0"/>
      <w:marRight w:val="0"/>
      <w:marTop w:val="0"/>
      <w:marBottom w:val="0"/>
      <w:divBdr>
        <w:top w:val="none" w:sz="0" w:space="0" w:color="auto"/>
        <w:left w:val="none" w:sz="0" w:space="0" w:color="auto"/>
        <w:bottom w:val="none" w:sz="0" w:space="0" w:color="auto"/>
        <w:right w:val="none" w:sz="0" w:space="0" w:color="auto"/>
      </w:divBdr>
    </w:div>
    <w:div w:id="1279725334">
      <w:bodyDiv w:val="1"/>
      <w:marLeft w:val="0"/>
      <w:marRight w:val="0"/>
      <w:marTop w:val="0"/>
      <w:marBottom w:val="0"/>
      <w:divBdr>
        <w:top w:val="none" w:sz="0" w:space="0" w:color="auto"/>
        <w:left w:val="none" w:sz="0" w:space="0" w:color="auto"/>
        <w:bottom w:val="none" w:sz="0" w:space="0" w:color="auto"/>
        <w:right w:val="none" w:sz="0" w:space="0" w:color="auto"/>
      </w:divBdr>
    </w:div>
    <w:div w:id="1282222828">
      <w:bodyDiv w:val="1"/>
      <w:marLeft w:val="0"/>
      <w:marRight w:val="0"/>
      <w:marTop w:val="0"/>
      <w:marBottom w:val="0"/>
      <w:divBdr>
        <w:top w:val="none" w:sz="0" w:space="0" w:color="auto"/>
        <w:left w:val="none" w:sz="0" w:space="0" w:color="auto"/>
        <w:bottom w:val="none" w:sz="0" w:space="0" w:color="auto"/>
        <w:right w:val="none" w:sz="0" w:space="0" w:color="auto"/>
      </w:divBdr>
      <w:divsChild>
        <w:div w:id="798032251">
          <w:marLeft w:val="0"/>
          <w:marRight w:val="0"/>
          <w:marTop w:val="0"/>
          <w:marBottom w:val="0"/>
          <w:divBdr>
            <w:top w:val="none" w:sz="0" w:space="0" w:color="auto"/>
            <w:left w:val="none" w:sz="0" w:space="0" w:color="auto"/>
            <w:bottom w:val="none" w:sz="0" w:space="0" w:color="auto"/>
            <w:right w:val="none" w:sz="0" w:space="0" w:color="auto"/>
          </w:divBdr>
        </w:div>
      </w:divsChild>
    </w:div>
    <w:div w:id="1295717157">
      <w:bodyDiv w:val="1"/>
      <w:marLeft w:val="0"/>
      <w:marRight w:val="0"/>
      <w:marTop w:val="0"/>
      <w:marBottom w:val="0"/>
      <w:divBdr>
        <w:top w:val="none" w:sz="0" w:space="0" w:color="auto"/>
        <w:left w:val="none" w:sz="0" w:space="0" w:color="auto"/>
        <w:bottom w:val="none" w:sz="0" w:space="0" w:color="auto"/>
        <w:right w:val="none" w:sz="0" w:space="0" w:color="auto"/>
      </w:divBdr>
    </w:div>
    <w:div w:id="1298219567">
      <w:bodyDiv w:val="1"/>
      <w:marLeft w:val="0"/>
      <w:marRight w:val="0"/>
      <w:marTop w:val="0"/>
      <w:marBottom w:val="0"/>
      <w:divBdr>
        <w:top w:val="none" w:sz="0" w:space="0" w:color="auto"/>
        <w:left w:val="none" w:sz="0" w:space="0" w:color="auto"/>
        <w:bottom w:val="none" w:sz="0" w:space="0" w:color="auto"/>
        <w:right w:val="none" w:sz="0" w:space="0" w:color="auto"/>
      </w:divBdr>
    </w:div>
    <w:div w:id="1302224039">
      <w:bodyDiv w:val="1"/>
      <w:marLeft w:val="0"/>
      <w:marRight w:val="0"/>
      <w:marTop w:val="0"/>
      <w:marBottom w:val="0"/>
      <w:divBdr>
        <w:top w:val="none" w:sz="0" w:space="0" w:color="auto"/>
        <w:left w:val="none" w:sz="0" w:space="0" w:color="auto"/>
        <w:bottom w:val="none" w:sz="0" w:space="0" w:color="auto"/>
        <w:right w:val="none" w:sz="0" w:space="0" w:color="auto"/>
      </w:divBdr>
    </w:div>
    <w:div w:id="1308317774">
      <w:bodyDiv w:val="1"/>
      <w:marLeft w:val="0"/>
      <w:marRight w:val="0"/>
      <w:marTop w:val="0"/>
      <w:marBottom w:val="0"/>
      <w:divBdr>
        <w:top w:val="none" w:sz="0" w:space="0" w:color="auto"/>
        <w:left w:val="none" w:sz="0" w:space="0" w:color="auto"/>
        <w:bottom w:val="none" w:sz="0" w:space="0" w:color="auto"/>
        <w:right w:val="none" w:sz="0" w:space="0" w:color="auto"/>
      </w:divBdr>
    </w:div>
    <w:div w:id="1311785522">
      <w:bodyDiv w:val="1"/>
      <w:marLeft w:val="0"/>
      <w:marRight w:val="0"/>
      <w:marTop w:val="0"/>
      <w:marBottom w:val="0"/>
      <w:divBdr>
        <w:top w:val="none" w:sz="0" w:space="0" w:color="auto"/>
        <w:left w:val="none" w:sz="0" w:space="0" w:color="auto"/>
        <w:bottom w:val="none" w:sz="0" w:space="0" w:color="auto"/>
        <w:right w:val="none" w:sz="0" w:space="0" w:color="auto"/>
      </w:divBdr>
    </w:div>
    <w:div w:id="1318265260">
      <w:bodyDiv w:val="1"/>
      <w:marLeft w:val="0"/>
      <w:marRight w:val="0"/>
      <w:marTop w:val="0"/>
      <w:marBottom w:val="0"/>
      <w:divBdr>
        <w:top w:val="none" w:sz="0" w:space="0" w:color="auto"/>
        <w:left w:val="none" w:sz="0" w:space="0" w:color="auto"/>
        <w:bottom w:val="none" w:sz="0" w:space="0" w:color="auto"/>
        <w:right w:val="none" w:sz="0" w:space="0" w:color="auto"/>
      </w:divBdr>
    </w:div>
    <w:div w:id="1330134635">
      <w:bodyDiv w:val="1"/>
      <w:marLeft w:val="0"/>
      <w:marRight w:val="0"/>
      <w:marTop w:val="0"/>
      <w:marBottom w:val="0"/>
      <w:divBdr>
        <w:top w:val="none" w:sz="0" w:space="0" w:color="auto"/>
        <w:left w:val="none" w:sz="0" w:space="0" w:color="auto"/>
        <w:bottom w:val="none" w:sz="0" w:space="0" w:color="auto"/>
        <w:right w:val="none" w:sz="0" w:space="0" w:color="auto"/>
      </w:divBdr>
    </w:div>
    <w:div w:id="1333727729">
      <w:bodyDiv w:val="1"/>
      <w:marLeft w:val="0"/>
      <w:marRight w:val="0"/>
      <w:marTop w:val="0"/>
      <w:marBottom w:val="0"/>
      <w:divBdr>
        <w:top w:val="none" w:sz="0" w:space="0" w:color="auto"/>
        <w:left w:val="none" w:sz="0" w:space="0" w:color="auto"/>
        <w:bottom w:val="none" w:sz="0" w:space="0" w:color="auto"/>
        <w:right w:val="none" w:sz="0" w:space="0" w:color="auto"/>
      </w:divBdr>
      <w:divsChild>
        <w:div w:id="1085493342">
          <w:marLeft w:val="0"/>
          <w:marRight w:val="0"/>
          <w:marTop w:val="0"/>
          <w:marBottom w:val="0"/>
          <w:divBdr>
            <w:top w:val="none" w:sz="0" w:space="0" w:color="auto"/>
            <w:left w:val="none" w:sz="0" w:space="0" w:color="auto"/>
            <w:bottom w:val="none" w:sz="0" w:space="0" w:color="auto"/>
            <w:right w:val="none" w:sz="0" w:space="0" w:color="auto"/>
          </w:divBdr>
          <w:divsChild>
            <w:div w:id="452678180">
              <w:marLeft w:val="0"/>
              <w:marRight w:val="0"/>
              <w:marTop w:val="0"/>
              <w:marBottom w:val="0"/>
              <w:divBdr>
                <w:top w:val="none" w:sz="0" w:space="0" w:color="auto"/>
                <w:left w:val="none" w:sz="0" w:space="0" w:color="auto"/>
                <w:bottom w:val="none" w:sz="0" w:space="0" w:color="auto"/>
                <w:right w:val="none" w:sz="0" w:space="0" w:color="auto"/>
              </w:divBdr>
              <w:divsChild>
                <w:div w:id="1997031957">
                  <w:marLeft w:val="0"/>
                  <w:marRight w:val="0"/>
                  <w:marTop w:val="0"/>
                  <w:marBottom w:val="0"/>
                  <w:divBdr>
                    <w:top w:val="none" w:sz="0" w:space="0" w:color="auto"/>
                    <w:left w:val="none" w:sz="0" w:space="0" w:color="auto"/>
                    <w:bottom w:val="none" w:sz="0" w:space="0" w:color="auto"/>
                    <w:right w:val="none" w:sz="0" w:space="0" w:color="auto"/>
                  </w:divBdr>
                  <w:divsChild>
                    <w:div w:id="1990665268">
                      <w:marLeft w:val="0"/>
                      <w:marRight w:val="0"/>
                      <w:marTop w:val="0"/>
                      <w:marBottom w:val="0"/>
                      <w:divBdr>
                        <w:top w:val="none" w:sz="0" w:space="0" w:color="auto"/>
                        <w:left w:val="none" w:sz="0" w:space="0" w:color="auto"/>
                        <w:bottom w:val="none" w:sz="0" w:space="0" w:color="auto"/>
                        <w:right w:val="none" w:sz="0" w:space="0" w:color="auto"/>
                      </w:divBdr>
                      <w:divsChild>
                        <w:div w:id="1572306235">
                          <w:marLeft w:val="0"/>
                          <w:marRight w:val="0"/>
                          <w:marTop w:val="0"/>
                          <w:marBottom w:val="0"/>
                          <w:divBdr>
                            <w:top w:val="none" w:sz="0" w:space="0" w:color="auto"/>
                            <w:left w:val="none" w:sz="0" w:space="0" w:color="auto"/>
                            <w:bottom w:val="none" w:sz="0" w:space="0" w:color="auto"/>
                            <w:right w:val="none" w:sz="0" w:space="0" w:color="auto"/>
                          </w:divBdr>
                          <w:divsChild>
                            <w:div w:id="1150096358">
                              <w:marLeft w:val="0"/>
                              <w:marRight w:val="0"/>
                              <w:marTop w:val="0"/>
                              <w:marBottom w:val="0"/>
                              <w:divBdr>
                                <w:top w:val="none" w:sz="0" w:space="0" w:color="auto"/>
                                <w:left w:val="none" w:sz="0" w:space="0" w:color="auto"/>
                                <w:bottom w:val="none" w:sz="0" w:space="0" w:color="auto"/>
                                <w:right w:val="none" w:sz="0" w:space="0" w:color="auto"/>
                              </w:divBdr>
                              <w:divsChild>
                                <w:div w:id="707536610">
                                  <w:marLeft w:val="0"/>
                                  <w:marRight w:val="0"/>
                                  <w:marTop w:val="0"/>
                                  <w:marBottom w:val="0"/>
                                  <w:divBdr>
                                    <w:top w:val="none" w:sz="0" w:space="0" w:color="auto"/>
                                    <w:left w:val="none" w:sz="0" w:space="0" w:color="auto"/>
                                    <w:bottom w:val="none" w:sz="0" w:space="0" w:color="auto"/>
                                    <w:right w:val="none" w:sz="0" w:space="0" w:color="auto"/>
                                  </w:divBdr>
                                  <w:divsChild>
                                    <w:div w:id="117580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4648621">
      <w:bodyDiv w:val="1"/>
      <w:marLeft w:val="0"/>
      <w:marRight w:val="0"/>
      <w:marTop w:val="0"/>
      <w:marBottom w:val="0"/>
      <w:divBdr>
        <w:top w:val="none" w:sz="0" w:space="0" w:color="auto"/>
        <w:left w:val="none" w:sz="0" w:space="0" w:color="auto"/>
        <w:bottom w:val="none" w:sz="0" w:space="0" w:color="auto"/>
        <w:right w:val="none" w:sz="0" w:space="0" w:color="auto"/>
      </w:divBdr>
    </w:div>
    <w:div w:id="1335182783">
      <w:bodyDiv w:val="1"/>
      <w:marLeft w:val="0"/>
      <w:marRight w:val="0"/>
      <w:marTop w:val="0"/>
      <w:marBottom w:val="0"/>
      <w:divBdr>
        <w:top w:val="none" w:sz="0" w:space="0" w:color="auto"/>
        <w:left w:val="none" w:sz="0" w:space="0" w:color="auto"/>
        <w:bottom w:val="none" w:sz="0" w:space="0" w:color="auto"/>
        <w:right w:val="none" w:sz="0" w:space="0" w:color="auto"/>
      </w:divBdr>
    </w:div>
    <w:div w:id="1341588221">
      <w:bodyDiv w:val="1"/>
      <w:marLeft w:val="0"/>
      <w:marRight w:val="0"/>
      <w:marTop w:val="0"/>
      <w:marBottom w:val="0"/>
      <w:divBdr>
        <w:top w:val="none" w:sz="0" w:space="0" w:color="auto"/>
        <w:left w:val="none" w:sz="0" w:space="0" w:color="auto"/>
        <w:bottom w:val="none" w:sz="0" w:space="0" w:color="auto"/>
        <w:right w:val="none" w:sz="0" w:space="0" w:color="auto"/>
      </w:divBdr>
    </w:div>
    <w:div w:id="1347554836">
      <w:bodyDiv w:val="1"/>
      <w:marLeft w:val="0"/>
      <w:marRight w:val="0"/>
      <w:marTop w:val="0"/>
      <w:marBottom w:val="0"/>
      <w:divBdr>
        <w:top w:val="none" w:sz="0" w:space="0" w:color="auto"/>
        <w:left w:val="none" w:sz="0" w:space="0" w:color="auto"/>
        <w:bottom w:val="none" w:sz="0" w:space="0" w:color="auto"/>
        <w:right w:val="none" w:sz="0" w:space="0" w:color="auto"/>
      </w:divBdr>
    </w:div>
    <w:div w:id="1351099558">
      <w:bodyDiv w:val="1"/>
      <w:marLeft w:val="0"/>
      <w:marRight w:val="0"/>
      <w:marTop w:val="0"/>
      <w:marBottom w:val="0"/>
      <w:divBdr>
        <w:top w:val="none" w:sz="0" w:space="0" w:color="auto"/>
        <w:left w:val="none" w:sz="0" w:space="0" w:color="auto"/>
        <w:bottom w:val="none" w:sz="0" w:space="0" w:color="auto"/>
        <w:right w:val="none" w:sz="0" w:space="0" w:color="auto"/>
      </w:divBdr>
    </w:div>
    <w:div w:id="1353340270">
      <w:bodyDiv w:val="1"/>
      <w:marLeft w:val="0"/>
      <w:marRight w:val="0"/>
      <w:marTop w:val="0"/>
      <w:marBottom w:val="0"/>
      <w:divBdr>
        <w:top w:val="none" w:sz="0" w:space="0" w:color="auto"/>
        <w:left w:val="none" w:sz="0" w:space="0" w:color="auto"/>
        <w:bottom w:val="none" w:sz="0" w:space="0" w:color="auto"/>
        <w:right w:val="none" w:sz="0" w:space="0" w:color="auto"/>
      </w:divBdr>
    </w:div>
    <w:div w:id="1354573867">
      <w:bodyDiv w:val="1"/>
      <w:marLeft w:val="0"/>
      <w:marRight w:val="0"/>
      <w:marTop w:val="0"/>
      <w:marBottom w:val="0"/>
      <w:divBdr>
        <w:top w:val="none" w:sz="0" w:space="0" w:color="auto"/>
        <w:left w:val="none" w:sz="0" w:space="0" w:color="auto"/>
        <w:bottom w:val="none" w:sz="0" w:space="0" w:color="auto"/>
        <w:right w:val="none" w:sz="0" w:space="0" w:color="auto"/>
      </w:divBdr>
    </w:div>
    <w:div w:id="1356343562">
      <w:bodyDiv w:val="1"/>
      <w:marLeft w:val="0"/>
      <w:marRight w:val="0"/>
      <w:marTop w:val="0"/>
      <w:marBottom w:val="0"/>
      <w:divBdr>
        <w:top w:val="none" w:sz="0" w:space="0" w:color="auto"/>
        <w:left w:val="none" w:sz="0" w:space="0" w:color="auto"/>
        <w:bottom w:val="none" w:sz="0" w:space="0" w:color="auto"/>
        <w:right w:val="none" w:sz="0" w:space="0" w:color="auto"/>
      </w:divBdr>
    </w:div>
    <w:div w:id="1358576265">
      <w:bodyDiv w:val="1"/>
      <w:marLeft w:val="0"/>
      <w:marRight w:val="0"/>
      <w:marTop w:val="0"/>
      <w:marBottom w:val="0"/>
      <w:divBdr>
        <w:top w:val="none" w:sz="0" w:space="0" w:color="auto"/>
        <w:left w:val="none" w:sz="0" w:space="0" w:color="auto"/>
        <w:bottom w:val="none" w:sz="0" w:space="0" w:color="auto"/>
        <w:right w:val="none" w:sz="0" w:space="0" w:color="auto"/>
      </w:divBdr>
    </w:div>
    <w:div w:id="1360466856">
      <w:bodyDiv w:val="1"/>
      <w:marLeft w:val="0"/>
      <w:marRight w:val="0"/>
      <w:marTop w:val="0"/>
      <w:marBottom w:val="0"/>
      <w:divBdr>
        <w:top w:val="none" w:sz="0" w:space="0" w:color="auto"/>
        <w:left w:val="none" w:sz="0" w:space="0" w:color="auto"/>
        <w:bottom w:val="none" w:sz="0" w:space="0" w:color="auto"/>
        <w:right w:val="none" w:sz="0" w:space="0" w:color="auto"/>
      </w:divBdr>
    </w:div>
    <w:div w:id="1364667174">
      <w:bodyDiv w:val="1"/>
      <w:marLeft w:val="0"/>
      <w:marRight w:val="0"/>
      <w:marTop w:val="0"/>
      <w:marBottom w:val="0"/>
      <w:divBdr>
        <w:top w:val="none" w:sz="0" w:space="0" w:color="auto"/>
        <w:left w:val="none" w:sz="0" w:space="0" w:color="auto"/>
        <w:bottom w:val="none" w:sz="0" w:space="0" w:color="auto"/>
        <w:right w:val="none" w:sz="0" w:space="0" w:color="auto"/>
      </w:divBdr>
    </w:div>
    <w:div w:id="1379427551">
      <w:bodyDiv w:val="1"/>
      <w:marLeft w:val="0"/>
      <w:marRight w:val="0"/>
      <w:marTop w:val="0"/>
      <w:marBottom w:val="0"/>
      <w:divBdr>
        <w:top w:val="none" w:sz="0" w:space="0" w:color="auto"/>
        <w:left w:val="none" w:sz="0" w:space="0" w:color="auto"/>
        <w:bottom w:val="none" w:sz="0" w:space="0" w:color="auto"/>
        <w:right w:val="none" w:sz="0" w:space="0" w:color="auto"/>
      </w:divBdr>
    </w:div>
    <w:div w:id="1383603378">
      <w:bodyDiv w:val="1"/>
      <w:marLeft w:val="0"/>
      <w:marRight w:val="0"/>
      <w:marTop w:val="0"/>
      <w:marBottom w:val="0"/>
      <w:divBdr>
        <w:top w:val="none" w:sz="0" w:space="0" w:color="auto"/>
        <w:left w:val="none" w:sz="0" w:space="0" w:color="auto"/>
        <w:bottom w:val="none" w:sz="0" w:space="0" w:color="auto"/>
        <w:right w:val="none" w:sz="0" w:space="0" w:color="auto"/>
      </w:divBdr>
    </w:div>
    <w:div w:id="1388798440">
      <w:bodyDiv w:val="1"/>
      <w:marLeft w:val="0"/>
      <w:marRight w:val="0"/>
      <w:marTop w:val="0"/>
      <w:marBottom w:val="0"/>
      <w:divBdr>
        <w:top w:val="none" w:sz="0" w:space="0" w:color="auto"/>
        <w:left w:val="none" w:sz="0" w:space="0" w:color="auto"/>
        <w:bottom w:val="none" w:sz="0" w:space="0" w:color="auto"/>
        <w:right w:val="none" w:sz="0" w:space="0" w:color="auto"/>
      </w:divBdr>
    </w:div>
    <w:div w:id="1390493225">
      <w:bodyDiv w:val="1"/>
      <w:marLeft w:val="0"/>
      <w:marRight w:val="0"/>
      <w:marTop w:val="0"/>
      <w:marBottom w:val="0"/>
      <w:divBdr>
        <w:top w:val="none" w:sz="0" w:space="0" w:color="auto"/>
        <w:left w:val="none" w:sz="0" w:space="0" w:color="auto"/>
        <w:bottom w:val="none" w:sz="0" w:space="0" w:color="auto"/>
        <w:right w:val="none" w:sz="0" w:space="0" w:color="auto"/>
      </w:divBdr>
    </w:div>
    <w:div w:id="1409881720">
      <w:bodyDiv w:val="1"/>
      <w:marLeft w:val="0"/>
      <w:marRight w:val="0"/>
      <w:marTop w:val="0"/>
      <w:marBottom w:val="0"/>
      <w:divBdr>
        <w:top w:val="none" w:sz="0" w:space="0" w:color="auto"/>
        <w:left w:val="none" w:sz="0" w:space="0" w:color="auto"/>
        <w:bottom w:val="none" w:sz="0" w:space="0" w:color="auto"/>
        <w:right w:val="none" w:sz="0" w:space="0" w:color="auto"/>
      </w:divBdr>
    </w:div>
    <w:div w:id="1429541180">
      <w:bodyDiv w:val="1"/>
      <w:marLeft w:val="0"/>
      <w:marRight w:val="0"/>
      <w:marTop w:val="0"/>
      <w:marBottom w:val="0"/>
      <w:divBdr>
        <w:top w:val="none" w:sz="0" w:space="0" w:color="auto"/>
        <w:left w:val="none" w:sz="0" w:space="0" w:color="auto"/>
        <w:bottom w:val="none" w:sz="0" w:space="0" w:color="auto"/>
        <w:right w:val="none" w:sz="0" w:space="0" w:color="auto"/>
      </w:divBdr>
    </w:div>
    <w:div w:id="1436824125">
      <w:bodyDiv w:val="1"/>
      <w:marLeft w:val="0"/>
      <w:marRight w:val="0"/>
      <w:marTop w:val="0"/>
      <w:marBottom w:val="0"/>
      <w:divBdr>
        <w:top w:val="none" w:sz="0" w:space="0" w:color="auto"/>
        <w:left w:val="none" w:sz="0" w:space="0" w:color="auto"/>
        <w:bottom w:val="none" w:sz="0" w:space="0" w:color="auto"/>
        <w:right w:val="none" w:sz="0" w:space="0" w:color="auto"/>
      </w:divBdr>
    </w:div>
    <w:div w:id="1453524545">
      <w:bodyDiv w:val="1"/>
      <w:marLeft w:val="0"/>
      <w:marRight w:val="0"/>
      <w:marTop w:val="0"/>
      <w:marBottom w:val="0"/>
      <w:divBdr>
        <w:top w:val="none" w:sz="0" w:space="0" w:color="auto"/>
        <w:left w:val="none" w:sz="0" w:space="0" w:color="auto"/>
        <w:bottom w:val="none" w:sz="0" w:space="0" w:color="auto"/>
        <w:right w:val="none" w:sz="0" w:space="0" w:color="auto"/>
      </w:divBdr>
    </w:div>
    <w:div w:id="1455294771">
      <w:bodyDiv w:val="1"/>
      <w:marLeft w:val="0"/>
      <w:marRight w:val="0"/>
      <w:marTop w:val="0"/>
      <w:marBottom w:val="0"/>
      <w:divBdr>
        <w:top w:val="none" w:sz="0" w:space="0" w:color="auto"/>
        <w:left w:val="none" w:sz="0" w:space="0" w:color="auto"/>
        <w:bottom w:val="none" w:sz="0" w:space="0" w:color="auto"/>
        <w:right w:val="none" w:sz="0" w:space="0" w:color="auto"/>
      </w:divBdr>
    </w:div>
    <w:div w:id="1465468661">
      <w:bodyDiv w:val="1"/>
      <w:marLeft w:val="0"/>
      <w:marRight w:val="0"/>
      <w:marTop w:val="0"/>
      <w:marBottom w:val="0"/>
      <w:divBdr>
        <w:top w:val="none" w:sz="0" w:space="0" w:color="auto"/>
        <w:left w:val="none" w:sz="0" w:space="0" w:color="auto"/>
        <w:bottom w:val="none" w:sz="0" w:space="0" w:color="auto"/>
        <w:right w:val="none" w:sz="0" w:space="0" w:color="auto"/>
      </w:divBdr>
    </w:div>
    <w:div w:id="1469545078">
      <w:bodyDiv w:val="1"/>
      <w:marLeft w:val="0"/>
      <w:marRight w:val="0"/>
      <w:marTop w:val="0"/>
      <w:marBottom w:val="0"/>
      <w:divBdr>
        <w:top w:val="none" w:sz="0" w:space="0" w:color="auto"/>
        <w:left w:val="none" w:sz="0" w:space="0" w:color="auto"/>
        <w:bottom w:val="none" w:sz="0" w:space="0" w:color="auto"/>
        <w:right w:val="none" w:sz="0" w:space="0" w:color="auto"/>
      </w:divBdr>
    </w:div>
    <w:div w:id="1485315417">
      <w:bodyDiv w:val="1"/>
      <w:marLeft w:val="0"/>
      <w:marRight w:val="0"/>
      <w:marTop w:val="0"/>
      <w:marBottom w:val="0"/>
      <w:divBdr>
        <w:top w:val="none" w:sz="0" w:space="0" w:color="auto"/>
        <w:left w:val="none" w:sz="0" w:space="0" w:color="auto"/>
        <w:bottom w:val="none" w:sz="0" w:space="0" w:color="auto"/>
        <w:right w:val="none" w:sz="0" w:space="0" w:color="auto"/>
      </w:divBdr>
    </w:div>
    <w:div w:id="1489245005">
      <w:bodyDiv w:val="1"/>
      <w:marLeft w:val="0"/>
      <w:marRight w:val="0"/>
      <w:marTop w:val="0"/>
      <w:marBottom w:val="0"/>
      <w:divBdr>
        <w:top w:val="none" w:sz="0" w:space="0" w:color="auto"/>
        <w:left w:val="none" w:sz="0" w:space="0" w:color="auto"/>
        <w:bottom w:val="none" w:sz="0" w:space="0" w:color="auto"/>
        <w:right w:val="none" w:sz="0" w:space="0" w:color="auto"/>
      </w:divBdr>
    </w:div>
    <w:div w:id="1493059521">
      <w:bodyDiv w:val="1"/>
      <w:marLeft w:val="0"/>
      <w:marRight w:val="0"/>
      <w:marTop w:val="0"/>
      <w:marBottom w:val="0"/>
      <w:divBdr>
        <w:top w:val="none" w:sz="0" w:space="0" w:color="auto"/>
        <w:left w:val="none" w:sz="0" w:space="0" w:color="auto"/>
        <w:bottom w:val="none" w:sz="0" w:space="0" w:color="auto"/>
        <w:right w:val="none" w:sz="0" w:space="0" w:color="auto"/>
      </w:divBdr>
    </w:div>
    <w:div w:id="1495367067">
      <w:bodyDiv w:val="1"/>
      <w:marLeft w:val="0"/>
      <w:marRight w:val="0"/>
      <w:marTop w:val="0"/>
      <w:marBottom w:val="0"/>
      <w:divBdr>
        <w:top w:val="none" w:sz="0" w:space="0" w:color="auto"/>
        <w:left w:val="none" w:sz="0" w:space="0" w:color="auto"/>
        <w:bottom w:val="none" w:sz="0" w:space="0" w:color="auto"/>
        <w:right w:val="none" w:sz="0" w:space="0" w:color="auto"/>
      </w:divBdr>
    </w:div>
    <w:div w:id="1495873847">
      <w:bodyDiv w:val="1"/>
      <w:marLeft w:val="0"/>
      <w:marRight w:val="0"/>
      <w:marTop w:val="0"/>
      <w:marBottom w:val="0"/>
      <w:divBdr>
        <w:top w:val="none" w:sz="0" w:space="0" w:color="auto"/>
        <w:left w:val="none" w:sz="0" w:space="0" w:color="auto"/>
        <w:bottom w:val="none" w:sz="0" w:space="0" w:color="auto"/>
        <w:right w:val="none" w:sz="0" w:space="0" w:color="auto"/>
      </w:divBdr>
    </w:div>
    <w:div w:id="1497918146">
      <w:bodyDiv w:val="1"/>
      <w:marLeft w:val="0"/>
      <w:marRight w:val="0"/>
      <w:marTop w:val="0"/>
      <w:marBottom w:val="0"/>
      <w:divBdr>
        <w:top w:val="none" w:sz="0" w:space="0" w:color="auto"/>
        <w:left w:val="none" w:sz="0" w:space="0" w:color="auto"/>
        <w:bottom w:val="none" w:sz="0" w:space="0" w:color="auto"/>
        <w:right w:val="none" w:sz="0" w:space="0" w:color="auto"/>
      </w:divBdr>
    </w:div>
    <w:div w:id="1503928708">
      <w:bodyDiv w:val="1"/>
      <w:marLeft w:val="0"/>
      <w:marRight w:val="0"/>
      <w:marTop w:val="0"/>
      <w:marBottom w:val="0"/>
      <w:divBdr>
        <w:top w:val="none" w:sz="0" w:space="0" w:color="auto"/>
        <w:left w:val="none" w:sz="0" w:space="0" w:color="auto"/>
        <w:bottom w:val="none" w:sz="0" w:space="0" w:color="auto"/>
        <w:right w:val="none" w:sz="0" w:space="0" w:color="auto"/>
      </w:divBdr>
    </w:div>
    <w:div w:id="1508473036">
      <w:bodyDiv w:val="1"/>
      <w:marLeft w:val="0"/>
      <w:marRight w:val="0"/>
      <w:marTop w:val="0"/>
      <w:marBottom w:val="0"/>
      <w:divBdr>
        <w:top w:val="none" w:sz="0" w:space="0" w:color="auto"/>
        <w:left w:val="none" w:sz="0" w:space="0" w:color="auto"/>
        <w:bottom w:val="none" w:sz="0" w:space="0" w:color="auto"/>
        <w:right w:val="none" w:sz="0" w:space="0" w:color="auto"/>
      </w:divBdr>
    </w:div>
    <w:div w:id="1515336499">
      <w:bodyDiv w:val="1"/>
      <w:marLeft w:val="0"/>
      <w:marRight w:val="0"/>
      <w:marTop w:val="0"/>
      <w:marBottom w:val="0"/>
      <w:divBdr>
        <w:top w:val="none" w:sz="0" w:space="0" w:color="auto"/>
        <w:left w:val="none" w:sz="0" w:space="0" w:color="auto"/>
        <w:bottom w:val="none" w:sz="0" w:space="0" w:color="auto"/>
        <w:right w:val="none" w:sz="0" w:space="0" w:color="auto"/>
      </w:divBdr>
      <w:divsChild>
        <w:div w:id="812990000">
          <w:marLeft w:val="0"/>
          <w:marRight w:val="0"/>
          <w:marTop w:val="0"/>
          <w:marBottom w:val="0"/>
          <w:divBdr>
            <w:top w:val="none" w:sz="0" w:space="0" w:color="auto"/>
            <w:left w:val="none" w:sz="0" w:space="0" w:color="auto"/>
            <w:bottom w:val="none" w:sz="0" w:space="0" w:color="auto"/>
            <w:right w:val="none" w:sz="0" w:space="0" w:color="auto"/>
          </w:divBdr>
        </w:div>
      </w:divsChild>
    </w:div>
    <w:div w:id="1524392508">
      <w:bodyDiv w:val="1"/>
      <w:marLeft w:val="0"/>
      <w:marRight w:val="0"/>
      <w:marTop w:val="0"/>
      <w:marBottom w:val="0"/>
      <w:divBdr>
        <w:top w:val="none" w:sz="0" w:space="0" w:color="auto"/>
        <w:left w:val="none" w:sz="0" w:space="0" w:color="auto"/>
        <w:bottom w:val="none" w:sz="0" w:space="0" w:color="auto"/>
        <w:right w:val="none" w:sz="0" w:space="0" w:color="auto"/>
      </w:divBdr>
    </w:div>
    <w:div w:id="1530337147">
      <w:bodyDiv w:val="1"/>
      <w:marLeft w:val="0"/>
      <w:marRight w:val="0"/>
      <w:marTop w:val="0"/>
      <w:marBottom w:val="0"/>
      <w:divBdr>
        <w:top w:val="none" w:sz="0" w:space="0" w:color="auto"/>
        <w:left w:val="none" w:sz="0" w:space="0" w:color="auto"/>
        <w:bottom w:val="none" w:sz="0" w:space="0" w:color="auto"/>
        <w:right w:val="none" w:sz="0" w:space="0" w:color="auto"/>
      </w:divBdr>
    </w:div>
    <w:div w:id="1542864437">
      <w:bodyDiv w:val="1"/>
      <w:marLeft w:val="0"/>
      <w:marRight w:val="0"/>
      <w:marTop w:val="0"/>
      <w:marBottom w:val="0"/>
      <w:divBdr>
        <w:top w:val="none" w:sz="0" w:space="0" w:color="auto"/>
        <w:left w:val="none" w:sz="0" w:space="0" w:color="auto"/>
        <w:bottom w:val="none" w:sz="0" w:space="0" w:color="auto"/>
        <w:right w:val="none" w:sz="0" w:space="0" w:color="auto"/>
      </w:divBdr>
    </w:div>
    <w:div w:id="1543512845">
      <w:bodyDiv w:val="1"/>
      <w:marLeft w:val="0"/>
      <w:marRight w:val="0"/>
      <w:marTop w:val="0"/>
      <w:marBottom w:val="0"/>
      <w:divBdr>
        <w:top w:val="none" w:sz="0" w:space="0" w:color="auto"/>
        <w:left w:val="none" w:sz="0" w:space="0" w:color="auto"/>
        <w:bottom w:val="none" w:sz="0" w:space="0" w:color="auto"/>
        <w:right w:val="none" w:sz="0" w:space="0" w:color="auto"/>
      </w:divBdr>
    </w:div>
    <w:div w:id="1547178407">
      <w:bodyDiv w:val="1"/>
      <w:marLeft w:val="0"/>
      <w:marRight w:val="0"/>
      <w:marTop w:val="0"/>
      <w:marBottom w:val="0"/>
      <w:divBdr>
        <w:top w:val="none" w:sz="0" w:space="0" w:color="auto"/>
        <w:left w:val="none" w:sz="0" w:space="0" w:color="auto"/>
        <w:bottom w:val="none" w:sz="0" w:space="0" w:color="auto"/>
        <w:right w:val="none" w:sz="0" w:space="0" w:color="auto"/>
      </w:divBdr>
    </w:div>
    <w:div w:id="1551771804">
      <w:bodyDiv w:val="1"/>
      <w:marLeft w:val="0"/>
      <w:marRight w:val="0"/>
      <w:marTop w:val="0"/>
      <w:marBottom w:val="0"/>
      <w:divBdr>
        <w:top w:val="none" w:sz="0" w:space="0" w:color="auto"/>
        <w:left w:val="none" w:sz="0" w:space="0" w:color="auto"/>
        <w:bottom w:val="none" w:sz="0" w:space="0" w:color="auto"/>
        <w:right w:val="none" w:sz="0" w:space="0" w:color="auto"/>
      </w:divBdr>
    </w:div>
    <w:div w:id="1556548763">
      <w:bodyDiv w:val="1"/>
      <w:marLeft w:val="0"/>
      <w:marRight w:val="0"/>
      <w:marTop w:val="0"/>
      <w:marBottom w:val="0"/>
      <w:divBdr>
        <w:top w:val="none" w:sz="0" w:space="0" w:color="auto"/>
        <w:left w:val="none" w:sz="0" w:space="0" w:color="auto"/>
        <w:bottom w:val="none" w:sz="0" w:space="0" w:color="auto"/>
        <w:right w:val="none" w:sz="0" w:space="0" w:color="auto"/>
      </w:divBdr>
    </w:div>
    <w:div w:id="1562130870">
      <w:bodyDiv w:val="1"/>
      <w:marLeft w:val="0"/>
      <w:marRight w:val="0"/>
      <w:marTop w:val="0"/>
      <w:marBottom w:val="0"/>
      <w:divBdr>
        <w:top w:val="none" w:sz="0" w:space="0" w:color="auto"/>
        <w:left w:val="none" w:sz="0" w:space="0" w:color="auto"/>
        <w:bottom w:val="none" w:sz="0" w:space="0" w:color="auto"/>
        <w:right w:val="none" w:sz="0" w:space="0" w:color="auto"/>
      </w:divBdr>
    </w:div>
    <w:div w:id="1563173919">
      <w:bodyDiv w:val="1"/>
      <w:marLeft w:val="0"/>
      <w:marRight w:val="0"/>
      <w:marTop w:val="0"/>
      <w:marBottom w:val="0"/>
      <w:divBdr>
        <w:top w:val="none" w:sz="0" w:space="0" w:color="auto"/>
        <w:left w:val="none" w:sz="0" w:space="0" w:color="auto"/>
        <w:bottom w:val="none" w:sz="0" w:space="0" w:color="auto"/>
        <w:right w:val="none" w:sz="0" w:space="0" w:color="auto"/>
      </w:divBdr>
    </w:div>
    <w:div w:id="1563174052">
      <w:bodyDiv w:val="1"/>
      <w:marLeft w:val="0"/>
      <w:marRight w:val="0"/>
      <w:marTop w:val="0"/>
      <w:marBottom w:val="0"/>
      <w:divBdr>
        <w:top w:val="none" w:sz="0" w:space="0" w:color="auto"/>
        <w:left w:val="none" w:sz="0" w:space="0" w:color="auto"/>
        <w:bottom w:val="none" w:sz="0" w:space="0" w:color="auto"/>
        <w:right w:val="none" w:sz="0" w:space="0" w:color="auto"/>
      </w:divBdr>
    </w:div>
    <w:div w:id="1566798421">
      <w:bodyDiv w:val="1"/>
      <w:marLeft w:val="0"/>
      <w:marRight w:val="0"/>
      <w:marTop w:val="0"/>
      <w:marBottom w:val="0"/>
      <w:divBdr>
        <w:top w:val="none" w:sz="0" w:space="0" w:color="auto"/>
        <w:left w:val="none" w:sz="0" w:space="0" w:color="auto"/>
        <w:bottom w:val="none" w:sz="0" w:space="0" w:color="auto"/>
        <w:right w:val="none" w:sz="0" w:space="0" w:color="auto"/>
      </w:divBdr>
      <w:divsChild>
        <w:div w:id="975180444">
          <w:marLeft w:val="0"/>
          <w:marRight w:val="0"/>
          <w:marTop w:val="0"/>
          <w:marBottom w:val="0"/>
          <w:divBdr>
            <w:top w:val="none" w:sz="0" w:space="0" w:color="auto"/>
            <w:left w:val="none" w:sz="0" w:space="0" w:color="auto"/>
            <w:bottom w:val="none" w:sz="0" w:space="0" w:color="auto"/>
            <w:right w:val="none" w:sz="0" w:space="0" w:color="auto"/>
          </w:divBdr>
          <w:divsChild>
            <w:div w:id="687678052">
              <w:marLeft w:val="0"/>
              <w:marRight w:val="0"/>
              <w:marTop w:val="0"/>
              <w:marBottom w:val="0"/>
              <w:divBdr>
                <w:top w:val="none" w:sz="0" w:space="0" w:color="auto"/>
                <w:left w:val="none" w:sz="0" w:space="0" w:color="auto"/>
                <w:bottom w:val="none" w:sz="0" w:space="0" w:color="auto"/>
                <w:right w:val="none" w:sz="0" w:space="0" w:color="auto"/>
              </w:divBdr>
            </w:div>
            <w:div w:id="1559123665">
              <w:marLeft w:val="0"/>
              <w:marRight w:val="0"/>
              <w:marTop w:val="0"/>
              <w:marBottom w:val="0"/>
              <w:divBdr>
                <w:top w:val="none" w:sz="0" w:space="0" w:color="auto"/>
                <w:left w:val="none" w:sz="0" w:space="0" w:color="auto"/>
                <w:bottom w:val="none" w:sz="0" w:space="0" w:color="auto"/>
                <w:right w:val="none" w:sz="0" w:space="0" w:color="auto"/>
              </w:divBdr>
            </w:div>
          </w:divsChild>
        </w:div>
        <w:div w:id="1628927037">
          <w:marLeft w:val="0"/>
          <w:marRight w:val="0"/>
          <w:marTop w:val="0"/>
          <w:marBottom w:val="0"/>
          <w:divBdr>
            <w:top w:val="none" w:sz="0" w:space="0" w:color="auto"/>
            <w:left w:val="none" w:sz="0" w:space="0" w:color="auto"/>
            <w:bottom w:val="none" w:sz="0" w:space="0" w:color="auto"/>
            <w:right w:val="none" w:sz="0" w:space="0" w:color="auto"/>
          </w:divBdr>
          <w:divsChild>
            <w:div w:id="2025470838">
              <w:marLeft w:val="0"/>
              <w:marRight w:val="0"/>
              <w:marTop w:val="0"/>
              <w:marBottom w:val="0"/>
              <w:divBdr>
                <w:top w:val="none" w:sz="0" w:space="0" w:color="auto"/>
                <w:left w:val="none" w:sz="0" w:space="0" w:color="auto"/>
                <w:bottom w:val="none" w:sz="0" w:space="0" w:color="auto"/>
                <w:right w:val="none" w:sz="0" w:space="0" w:color="auto"/>
              </w:divBdr>
            </w:div>
            <w:div w:id="656881264">
              <w:marLeft w:val="0"/>
              <w:marRight w:val="0"/>
              <w:marTop w:val="0"/>
              <w:marBottom w:val="0"/>
              <w:divBdr>
                <w:top w:val="none" w:sz="0" w:space="0" w:color="auto"/>
                <w:left w:val="none" w:sz="0" w:space="0" w:color="auto"/>
                <w:bottom w:val="none" w:sz="0" w:space="0" w:color="auto"/>
                <w:right w:val="none" w:sz="0" w:space="0" w:color="auto"/>
              </w:divBdr>
            </w:div>
            <w:div w:id="254362805">
              <w:marLeft w:val="0"/>
              <w:marRight w:val="0"/>
              <w:marTop w:val="0"/>
              <w:marBottom w:val="0"/>
              <w:divBdr>
                <w:top w:val="none" w:sz="0" w:space="0" w:color="auto"/>
                <w:left w:val="none" w:sz="0" w:space="0" w:color="auto"/>
                <w:bottom w:val="none" w:sz="0" w:space="0" w:color="auto"/>
                <w:right w:val="none" w:sz="0" w:space="0" w:color="auto"/>
              </w:divBdr>
            </w:div>
            <w:div w:id="1887141690">
              <w:marLeft w:val="0"/>
              <w:marRight w:val="0"/>
              <w:marTop w:val="0"/>
              <w:marBottom w:val="0"/>
              <w:divBdr>
                <w:top w:val="none" w:sz="0" w:space="0" w:color="auto"/>
                <w:left w:val="none" w:sz="0" w:space="0" w:color="auto"/>
                <w:bottom w:val="none" w:sz="0" w:space="0" w:color="auto"/>
                <w:right w:val="none" w:sz="0" w:space="0" w:color="auto"/>
              </w:divBdr>
            </w:div>
            <w:div w:id="1379205443">
              <w:marLeft w:val="0"/>
              <w:marRight w:val="0"/>
              <w:marTop w:val="0"/>
              <w:marBottom w:val="0"/>
              <w:divBdr>
                <w:top w:val="none" w:sz="0" w:space="0" w:color="auto"/>
                <w:left w:val="none" w:sz="0" w:space="0" w:color="auto"/>
                <w:bottom w:val="none" w:sz="0" w:space="0" w:color="auto"/>
                <w:right w:val="none" w:sz="0" w:space="0" w:color="auto"/>
              </w:divBdr>
            </w:div>
          </w:divsChild>
        </w:div>
        <w:div w:id="75900257">
          <w:marLeft w:val="0"/>
          <w:marRight w:val="0"/>
          <w:marTop w:val="0"/>
          <w:marBottom w:val="0"/>
          <w:divBdr>
            <w:top w:val="none" w:sz="0" w:space="0" w:color="auto"/>
            <w:left w:val="none" w:sz="0" w:space="0" w:color="auto"/>
            <w:bottom w:val="none" w:sz="0" w:space="0" w:color="auto"/>
            <w:right w:val="none" w:sz="0" w:space="0" w:color="auto"/>
          </w:divBdr>
          <w:divsChild>
            <w:div w:id="1803378613">
              <w:marLeft w:val="0"/>
              <w:marRight w:val="0"/>
              <w:marTop w:val="0"/>
              <w:marBottom w:val="0"/>
              <w:divBdr>
                <w:top w:val="none" w:sz="0" w:space="0" w:color="auto"/>
                <w:left w:val="none" w:sz="0" w:space="0" w:color="auto"/>
                <w:bottom w:val="none" w:sz="0" w:space="0" w:color="auto"/>
                <w:right w:val="none" w:sz="0" w:space="0" w:color="auto"/>
              </w:divBdr>
            </w:div>
            <w:div w:id="1240210336">
              <w:marLeft w:val="0"/>
              <w:marRight w:val="0"/>
              <w:marTop w:val="0"/>
              <w:marBottom w:val="0"/>
              <w:divBdr>
                <w:top w:val="none" w:sz="0" w:space="0" w:color="auto"/>
                <w:left w:val="none" w:sz="0" w:space="0" w:color="auto"/>
                <w:bottom w:val="none" w:sz="0" w:space="0" w:color="auto"/>
                <w:right w:val="none" w:sz="0" w:space="0" w:color="auto"/>
              </w:divBdr>
            </w:div>
            <w:div w:id="1210532199">
              <w:marLeft w:val="0"/>
              <w:marRight w:val="0"/>
              <w:marTop w:val="0"/>
              <w:marBottom w:val="0"/>
              <w:divBdr>
                <w:top w:val="none" w:sz="0" w:space="0" w:color="auto"/>
                <w:left w:val="none" w:sz="0" w:space="0" w:color="auto"/>
                <w:bottom w:val="none" w:sz="0" w:space="0" w:color="auto"/>
                <w:right w:val="none" w:sz="0" w:space="0" w:color="auto"/>
              </w:divBdr>
            </w:div>
            <w:div w:id="1739130018">
              <w:marLeft w:val="0"/>
              <w:marRight w:val="0"/>
              <w:marTop w:val="0"/>
              <w:marBottom w:val="0"/>
              <w:divBdr>
                <w:top w:val="none" w:sz="0" w:space="0" w:color="auto"/>
                <w:left w:val="none" w:sz="0" w:space="0" w:color="auto"/>
                <w:bottom w:val="none" w:sz="0" w:space="0" w:color="auto"/>
                <w:right w:val="none" w:sz="0" w:space="0" w:color="auto"/>
              </w:divBdr>
            </w:div>
            <w:div w:id="1093403271">
              <w:marLeft w:val="0"/>
              <w:marRight w:val="0"/>
              <w:marTop w:val="0"/>
              <w:marBottom w:val="0"/>
              <w:divBdr>
                <w:top w:val="none" w:sz="0" w:space="0" w:color="auto"/>
                <w:left w:val="none" w:sz="0" w:space="0" w:color="auto"/>
                <w:bottom w:val="none" w:sz="0" w:space="0" w:color="auto"/>
                <w:right w:val="none" w:sz="0" w:space="0" w:color="auto"/>
              </w:divBdr>
            </w:div>
          </w:divsChild>
        </w:div>
        <w:div w:id="1340737132">
          <w:marLeft w:val="0"/>
          <w:marRight w:val="0"/>
          <w:marTop w:val="0"/>
          <w:marBottom w:val="0"/>
          <w:divBdr>
            <w:top w:val="none" w:sz="0" w:space="0" w:color="auto"/>
            <w:left w:val="none" w:sz="0" w:space="0" w:color="auto"/>
            <w:bottom w:val="none" w:sz="0" w:space="0" w:color="auto"/>
            <w:right w:val="none" w:sz="0" w:space="0" w:color="auto"/>
          </w:divBdr>
          <w:divsChild>
            <w:div w:id="1252159698">
              <w:marLeft w:val="0"/>
              <w:marRight w:val="0"/>
              <w:marTop w:val="0"/>
              <w:marBottom w:val="0"/>
              <w:divBdr>
                <w:top w:val="none" w:sz="0" w:space="0" w:color="auto"/>
                <w:left w:val="none" w:sz="0" w:space="0" w:color="auto"/>
                <w:bottom w:val="none" w:sz="0" w:space="0" w:color="auto"/>
                <w:right w:val="none" w:sz="0" w:space="0" w:color="auto"/>
              </w:divBdr>
            </w:div>
            <w:div w:id="1200975123">
              <w:marLeft w:val="0"/>
              <w:marRight w:val="0"/>
              <w:marTop w:val="0"/>
              <w:marBottom w:val="0"/>
              <w:divBdr>
                <w:top w:val="none" w:sz="0" w:space="0" w:color="auto"/>
                <w:left w:val="none" w:sz="0" w:space="0" w:color="auto"/>
                <w:bottom w:val="none" w:sz="0" w:space="0" w:color="auto"/>
                <w:right w:val="none" w:sz="0" w:space="0" w:color="auto"/>
              </w:divBdr>
            </w:div>
            <w:div w:id="1080643537">
              <w:marLeft w:val="0"/>
              <w:marRight w:val="0"/>
              <w:marTop w:val="0"/>
              <w:marBottom w:val="0"/>
              <w:divBdr>
                <w:top w:val="none" w:sz="0" w:space="0" w:color="auto"/>
                <w:left w:val="none" w:sz="0" w:space="0" w:color="auto"/>
                <w:bottom w:val="none" w:sz="0" w:space="0" w:color="auto"/>
                <w:right w:val="none" w:sz="0" w:space="0" w:color="auto"/>
              </w:divBdr>
            </w:div>
            <w:div w:id="57648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454342">
      <w:bodyDiv w:val="1"/>
      <w:marLeft w:val="0"/>
      <w:marRight w:val="0"/>
      <w:marTop w:val="0"/>
      <w:marBottom w:val="0"/>
      <w:divBdr>
        <w:top w:val="none" w:sz="0" w:space="0" w:color="auto"/>
        <w:left w:val="none" w:sz="0" w:space="0" w:color="auto"/>
        <w:bottom w:val="none" w:sz="0" w:space="0" w:color="auto"/>
        <w:right w:val="none" w:sz="0" w:space="0" w:color="auto"/>
      </w:divBdr>
    </w:div>
    <w:div w:id="1580597497">
      <w:bodyDiv w:val="1"/>
      <w:marLeft w:val="0"/>
      <w:marRight w:val="0"/>
      <w:marTop w:val="0"/>
      <w:marBottom w:val="0"/>
      <w:divBdr>
        <w:top w:val="none" w:sz="0" w:space="0" w:color="auto"/>
        <w:left w:val="none" w:sz="0" w:space="0" w:color="auto"/>
        <w:bottom w:val="none" w:sz="0" w:space="0" w:color="auto"/>
        <w:right w:val="none" w:sz="0" w:space="0" w:color="auto"/>
      </w:divBdr>
    </w:div>
    <w:div w:id="1601180529">
      <w:bodyDiv w:val="1"/>
      <w:marLeft w:val="0"/>
      <w:marRight w:val="0"/>
      <w:marTop w:val="0"/>
      <w:marBottom w:val="0"/>
      <w:divBdr>
        <w:top w:val="none" w:sz="0" w:space="0" w:color="auto"/>
        <w:left w:val="none" w:sz="0" w:space="0" w:color="auto"/>
        <w:bottom w:val="none" w:sz="0" w:space="0" w:color="auto"/>
        <w:right w:val="none" w:sz="0" w:space="0" w:color="auto"/>
      </w:divBdr>
    </w:div>
    <w:div w:id="1614559351">
      <w:bodyDiv w:val="1"/>
      <w:marLeft w:val="0"/>
      <w:marRight w:val="0"/>
      <w:marTop w:val="0"/>
      <w:marBottom w:val="0"/>
      <w:divBdr>
        <w:top w:val="none" w:sz="0" w:space="0" w:color="auto"/>
        <w:left w:val="none" w:sz="0" w:space="0" w:color="auto"/>
        <w:bottom w:val="none" w:sz="0" w:space="0" w:color="auto"/>
        <w:right w:val="none" w:sz="0" w:space="0" w:color="auto"/>
      </w:divBdr>
    </w:div>
    <w:div w:id="1616866623">
      <w:bodyDiv w:val="1"/>
      <w:marLeft w:val="0"/>
      <w:marRight w:val="0"/>
      <w:marTop w:val="0"/>
      <w:marBottom w:val="0"/>
      <w:divBdr>
        <w:top w:val="none" w:sz="0" w:space="0" w:color="auto"/>
        <w:left w:val="none" w:sz="0" w:space="0" w:color="auto"/>
        <w:bottom w:val="none" w:sz="0" w:space="0" w:color="auto"/>
        <w:right w:val="none" w:sz="0" w:space="0" w:color="auto"/>
      </w:divBdr>
    </w:div>
    <w:div w:id="1617759417">
      <w:bodyDiv w:val="1"/>
      <w:marLeft w:val="0"/>
      <w:marRight w:val="0"/>
      <w:marTop w:val="0"/>
      <w:marBottom w:val="0"/>
      <w:divBdr>
        <w:top w:val="none" w:sz="0" w:space="0" w:color="auto"/>
        <w:left w:val="none" w:sz="0" w:space="0" w:color="auto"/>
        <w:bottom w:val="none" w:sz="0" w:space="0" w:color="auto"/>
        <w:right w:val="none" w:sz="0" w:space="0" w:color="auto"/>
      </w:divBdr>
    </w:div>
    <w:div w:id="1618901676">
      <w:bodyDiv w:val="1"/>
      <w:marLeft w:val="0"/>
      <w:marRight w:val="0"/>
      <w:marTop w:val="0"/>
      <w:marBottom w:val="0"/>
      <w:divBdr>
        <w:top w:val="none" w:sz="0" w:space="0" w:color="auto"/>
        <w:left w:val="none" w:sz="0" w:space="0" w:color="auto"/>
        <w:bottom w:val="none" w:sz="0" w:space="0" w:color="auto"/>
        <w:right w:val="none" w:sz="0" w:space="0" w:color="auto"/>
      </w:divBdr>
      <w:divsChild>
        <w:div w:id="92824751">
          <w:marLeft w:val="547"/>
          <w:marRight w:val="0"/>
          <w:marTop w:val="86"/>
          <w:marBottom w:val="0"/>
          <w:divBdr>
            <w:top w:val="none" w:sz="0" w:space="0" w:color="auto"/>
            <w:left w:val="none" w:sz="0" w:space="0" w:color="auto"/>
            <w:bottom w:val="none" w:sz="0" w:space="0" w:color="auto"/>
            <w:right w:val="none" w:sz="0" w:space="0" w:color="auto"/>
          </w:divBdr>
        </w:div>
        <w:div w:id="276301237">
          <w:marLeft w:val="547"/>
          <w:marRight w:val="0"/>
          <w:marTop w:val="86"/>
          <w:marBottom w:val="0"/>
          <w:divBdr>
            <w:top w:val="none" w:sz="0" w:space="0" w:color="auto"/>
            <w:left w:val="none" w:sz="0" w:space="0" w:color="auto"/>
            <w:bottom w:val="none" w:sz="0" w:space="0" w:color="auto"/>
            <w:right w:val="none" w:sz="0" w:space="0" w:color="auto"/>
          </w:divBdr>
        </w:div>
        <w:div w:id="453601245">
          <w:marLeft w:val="547"/>
          <w:marRight w:val="0"/>
          <w:marTop w:val="86"/>
          <w:marBottom w:val="0"/>
          <w:divBdr>
            <w:top w:val="none" w:sz="0" w:space="0" w:color="auto"/>
            <w:left w:val="none" w:sz="0" w:space="0" w:color="auto"/>
            <w:bottom w:val="none" w:sz="0" w:space="0" w:color="auto"/>
            <w:right w:val="none" w:sz="0" w:space="0" w:color="auto"/>
          </w:divBdr>
        </w:div>
        <w:div w:id="497161529">
          <w:marLeft w:val="547"/>
          <w:marRight w:val="0"/>
          <w:marTop w:val="86"/>
          <w:marBottom w:val="0"/>
          <w:divBdr>
            <w:top w:val="none" w:sz="0" w:space="0" w:color="auto"/>
            <w:left w:val="none" w:sz="0" w:space="0" w:color="auto"/>
            <w:bottom w:val="none" w:sz="0" w:space="0" w:color="auto"/>
            <w:right w:val="none" w:sz="0" w:space="0" w:color="auto"/>
          </w:divBdr>
        </w:div>
        <w:div w:id="644316863">
          <w:marLeft w:val="547"/>
          <w:marRight w:val="0"/>
          <w:marTop w:val="86"/>
          <w:marBottom w:val="0"/>
          <w:divBdr>
            <w:top w:val="none" w:sz="0" w:space="0" w:color="auto"/>
            <w:left w:val="none" w:sz="0" w:space="0" w:color="auto"/>
            <w:bottom w:val="none" w:sz="0" w:space="0" w:color="auto"/>
            <w:right w:val="none" w:sz="0" w:space="0" w:color="auto"/>
          </w:divBdr>
        </w:div>
        <w:div w:id="652755894">
          <w:marLeft w:val="547"/>
          <w:marRight w:val="0"/>
          <w:marTop w:val="86"/>
          <w:marBottom w:val="0"/>
          <w:divBdr>
            <w:top w:val="none" w:sz="0" w:space="0" w:color="auto"/>
            <w:left w:val="none" w:sz="0" w:space="0" w:color="auto"/>
            <w:bottom w:val="none" w:sz="0" w:space="0" w:color="auto"/>
            <w:right w:val="none" w:sz="0" w:space="0" w:color="auto"/>
          </w:divBdr>
        </w:div>
        <w:div w:id="764375021">
          <w:marLeft w:val="547"/>
          <w:marRight w:val="0"/>
          <w:marTop w:val="86"/>
          <w:marBottom w:val="0"/>
          <w:divBdr>
            <w:top w:val="none" w:sz="0" w:space="0" w:color="auto"/>
            <w:left w:val="none" w:sz="0" w:space="0" w:color="auto"/>
            <w:bottom w:val="none" w:sz="0" w:space="0" w:color="auto"/>
            <w:right w:val="none" w:sz="0" w:space="0" w:color="auto"/>
          </w:divBdr>
        </w:div>
        <w:div w:id="872576208">
          <w:marLeft w:val="547"/>
          <w:marRight w:val="0"/>
          <w:marTop w:val="86"/>
          <w:marBottom w:val="0"/>
          <w:divBdr>
            <w:top w:val="none" w:sz="0" w:space="0" w:color="auto"/>
            <w:left w:val="none" w:sz="0" w:space="0" w:color="auto"/>
            <w:bottom w:val="none" w:sz="0" w:space="0" w:color="auto"/>
            <w:right w:val="none" w:sz="0" w:space="0" w:color="auto"/>
          </w:divBdr>
        </w:div>
        <w:div w:id="876159552">
          <w:marLeft w:val="547"/>
          <w:marRight w:val="0"/>
          <w:marTop w:val="86"/>
          <w:marBottom w:val="0"/>
          <w:divBdr>
            <w:top w:val="none" w:sz="0" w:space="0" w:color="auto"/>
            <w:left w:val="none" w:sz="0" w:space="0" w:color="auto"/>
            <w:bottom w:val="none" w:sz="0" w:space="0" w:color="auto"/>
            <w:right w:val="none" w:sz="0" w:space="0" w:color="auto"/>
          </w:divBdr>
        </w:div>
        <w:div w:id="1049501202">
          <w:marLeft w:val="547"/>
          <w:marRight w:val="0"/>
          <w:marTop w:val="86"/>
          <w:marBottom w:val="0"/>
          <w:divBdr>
            <w:top w:val="none" w:sz="0" w:space="0" w:color="auto"/>
            <w:left w:val="none" w:sz="0" w:space="0" w:color="auto"/>
            <w:bottom w:val="none" w:sz="0" w:space="0" w:color="auto"/>
            <w:right w:val="none" w:sz="0" w:space="0" w:color="auto"/>
          </w:divBdr>
        </w:div>
        <w:div w:id="1160996358">
          <w:marLeft w:val="547"/>
          <w:marRight w:val="0"/>
          <w:marTop w:val="86"/>
          <w:marBottom w:val="0"/>
          <w:divBdr>
            <w:top w:val="none" w:sz="0" w:space="0" w:color="auto"/>
            <w:left w:val="none" w:sz="0" w:space="0" w:color="auto"/>
            <w:bottom w:val="none" w:sz="0" w:space="0" w:color="auto"/>
            <w:right w:val="none" w:sz="0" w:space="0" w:color="auto"/>
          </w:divBdr>
        </w:div>
        <w:div w:id="1752386915">
          <w:marLeft w:val="547"/>
          <w:marRight w:val="0"/>
          <w:marTop w:val="86"/>
          <w:marBottom w:val="0"/>
          <w:divBdr>
            <w:top w:val="none" w:sz="0" w:space="0" w:color="auto"/>
            <w:left w:val="none" w:sz="0" w:space="0" w:color="auto"/>
            <w:bottom w:val="none" w:sz="0" w:space="0" w:color="auto"/>
            <w:right w:val="none" w:sz="0" w:space="0" w:color="auto"/>
          </w:divBdr>
        </w:div>
        <w:div w:id="1860049963">
          <w:marLeft w:val="547"/>
          <w:marRight w:val="0"/>
          <w:marTop w:val="86"/>
          <w:marBottom w:val="0"/>
          <w:divBdr>
            <w:top w:val="none" w:sz="0" w:space="0" w:color="auto"/>
            <w:left w:val="none" w:sz="0" w:space="0" w:color="auto"/>
            <w:bottom w:val="none" w:sz="0" w:space="0" w:color="auto"/>
            <w:right w:val="none" w:sz="0" w:space="0" w:color="auto"/>
          </w:divBdr>
        </w:div>
        <w:div w:id="1985113650">
          <w:marLeft w:val="547"/>
          <w:marRight w:val="0"/>
          <w:marTop w:val="86"/>
          <w:marBottom w:val="0"/>
          <w:divBdr>
            <w:top w:val="none" w:sz="0" w:space="0" w:color="auto"/>
            <w:left w:val="none" w:sz="0" w:space="0" w:color="auto"/>
            <w:bottom w:val="none" w:sz="0" w:space="0" w:color="auto"/>
            <w:right w:val="none" w:sz="0" w:space="0" w:color="auto"/>
          </w:divBdr>
        </w:div>
      </w:divsChild>
    </w:div>
    <w:div w:id="1646936029">
      <w:bodyDiv w:val="1"/>
      <w:marLeft w:val="0"/>
      <w:marRight w:val="0"/>
      <w:marTop w:val="0"/>
      <w:marBottom w:val="0"/>
      <w:divBdr>
        <w:top w:val="none" w:sz="0" w:space="0" w:color="auto"/>
        <w:left w:val="none" w:sz="0" w:space="0" w:color="auto"/>
        <w:bottom w:val="none" w:sz="0" w:space="0" w:color="auto"/>
        <w:right w:val="none" w:sz="0" w:space="0" w:color="auto"/>
      </w:divBdr>
    </w:div>
    <w:div w:id="1649820114">
      <w:bodyDiv w:val="1"/>
      <w:marLeft w:val="0"/>
      <w:marRight w:val="0"/>
      <w:marTop w:val="0"/>
      <w:marBottom w:val="0"/>
      <w:divBdr>
        <w:top w:val="none" w:sz="0" w:space="0" w:color="auto"/>
        <w:left w:val="none" w:sz="0" w:space="0" w:color="auto"/>
        <w:bottom w:val="none" w:sz="0" w:space="0" w:color="auto"/>
        <w:right w:val="none" w:sz="0" w:space="0" w:color="auto"/>
      </w:divBdr>
    </w:div>
    <w:div w:id="1651132770">
      <w:bodyDiv w:val="1"/>
      <w:marLeft w:val="0"/>
      <w:marRight w:val="0"/>
      <w:marTop w:val="0"/>
      <w:marBottom w:val="0"/>
      <w:divBdr>
        <w:top w:val="none" w:sz="0" w:space="0" w:color="auto"/>
        <w:left w:val="none" w:sz="0" w:space="0" w:color="auto"/>
        <w:bottom w:val="none" w:sz="0" w:space="0" w:color="auto"/>
        <w:right w:val="none" w:sz="0" w:space="0" w:color="auto"/>
      </w:divBdr>
    </w:div>
    <w:div w:id="1651250558">
      <w:bodyDiv w:val="1"/>
      <w:marLeft w:val="0"/>
      <w:marRight w:val="0"/>
      <w:marTop w:val="0"/>
      <w:marBottom w:val="0"/>
      <w:divBdr>
        <w:top w:val="none" w:sz="0" w:space="0" w:color="auto"/>
        <w:left w:val="none" w:sz="0" w:space="0" w:color="auto"/>
        <w:bottom w:val="none" w:sz="0" w:space="0" w:color="auto"/>
        <w:right w:val="none" w:sz="0" w:space="0" w:color="auto"/>
      </w:divBdr>
    </w:div>
    <w:div w:id="1670324129">
      <w:bodyDiv w:val="1"/>
      <w:marLeft w:val="0"/>
      <w:marRight w:val="0"/>
      <w:marTop w:val="0"/>
      <w:marBottom w:val="0"/>
      <w:divBdr>
        <w:top w:val="none" w:sz="0" w:space="0" w:color="auto"/>
        <w:left w:val="none" w:sz="0" w:space="0" w:color="auto"/>
        <w:bottom w:val="none" w:sz="0" w:space="0" w:color="auto"/>
        <w:right w:val="none" w:sz="0" w:space="0" w:color="auto"/>
      </w:divBdr>
    </w:div>
    <w:div w:id="1670524370">
      <w:bodyDiv w:val="1"/>
      <w:marLeft w:val="0"/>
      <w:marRight w:val="0"/>
      <w:marTop w:val="0"/>
      <w:marBottom w:val="0"/>
      <w:divBdr>
        <w:top w:val="none" w:sz="0" w:space="0" w:color="auto"/>
        <w:left w:val="none" w:sz="0" w:space="0" w:color="auto"/>
        <w:bottom w:val="none" w:sz="0" w:space="0" w:color="auto"/>
        <w:right w:val="none" w:sz="0" w:space="0" w:color="auto"/>
      </w:divBdr>
    </w:div>
    <w:div w:id="1670789232">
      <w:bodyDiv w:val="1"/>
      <w:marLeft w:val="0"/>
      <w:marRight w:val="0"/>
      <w:marTop w:val="0"/>
      <w:marBottom w:val="0"/>
      <w:divBdr>
        <w:top w:val="none" w:sz="0" w:space="0" w:color="auto"/>
        <w:left w:val="none" w:sz="0" w:space="0" w:color="auto"/>
        <w:bottom w:val="none" w:sz="0" w:space="0" w:color="auto"/>
        <w:right w:val="none" w:sz="0" w:space="0" w:color="auto"/>
      </w:divBdr>
    </w:div>
    <w:div w:id="1671713448">
      <w:bodyDiv w:val="1"/>
      <w:marLeft w:val="0"/>
      <w:marRight w:val="0"/>
      <w:marTop w:val="0"/>
      <w:marBottom w:val="0"/>
      <w:divBdr>
        <w:top w:val="none" w:sz="0" w:space="0" w:color="auto"/>
        <w:left w:val="none" w:sz="0" w:space="0" w:color="auto"/>
        <w:bottom w:val="none" w:sz="0" w:space="0" w:color="auto"/>
        <w:right w:val="none" w:sz="0" w:space="0" w:color="auto"/>
      </w:divBdr>
      <w:divsChild>
        <w:div w:id="120736455">
          <w:marLeft w:val="0"/>
          <w:marRight w:val="0"/>
          <w:marTop w:val="0"/>
          <w:marBottom w:val="0"/>
          <w:divBdr>
            <w:top w:val="none" w:sz="0" w:space="0" w:color="auto"/>
            <w:left w:val="none" w:sz="0" w:space="0" w:color="auto"/>
            <w:bottom w:val="none" w:sz="0" w:space="0" w:color="auto"/>
            <w:right w:val="none" w:sz="0" w:space="0" w:color="auto"/>
          </w:divBdr>
          <w:divsChild>
            <w:div w:id="41710841">
              <w:marLeft w:val="0"/>
              <w:marRight w:val="0"/>
              <w:marTop w:val="0"/>
              <w:marBottom w:val="0"/>
              <w:divBdr>
                <w:top w:val="none" w:sz="0" w:space="0" w:color="auto"/>
                <w:left w:val="none" w:sz="0" w:space="0" w:color="auto"/>
                <w:bottom w:val="none" w:sz="0" w:space="0" w:color="auto"/>
                <w:right w:val="none" w:sz="0" w:space="0" w:color="auto"/>
              </w:divBdr>
            </w:div>
            <w:div w:id="336689175">
              <w:marLeft w:val="0"/>
              <w:marRight w:val="0"/>
              <w:marTop w:val="0"/>
              <w:marBottom w:val="0"/>
              <w:divBdr>
                <w:top w:val="none" w:sz="0" w:space="0" w:color="auto"/>
                <w:left w:val="none" w:sz="0" w:space="0" w:color="auto"/>
                <w:bottom w:val="none" w:sz="0" w:space="0" w:color="auto"/>
                <w:right w:val="none" w:sz="0" w:space="0" w:color="auto"/>
              </w:divBdr>
            </w:div>
            <w:div w:id="605693724">
              <w:marLeft w:val="0"/>
              <w:marRight w:val="0"/>
              <w:marTop w:val="0"/>
              <w:marBottom w:val="0"/>
              <w:divBdr>
                <w:top w:val="none" w:sz="0" w:space="0" w:color="auto"/>
                <w:left w:val="none" w:sz="0" w:space="0" w:color="auto"/>
                <w:bottom w:val="none" w:sz="0" w:space="0" w:color="auto"/>
                <w:right w:val="none" w:sz="0" w:space="0" w:color="auto"/>
              </w:divBdr>
              <w:divsChild>
                <w:div w:id="765154498">
                  <w:marLeft w:val="0"/>
                  <w:marRight w:val="0"/>
                  <w:marTop w:val="0"/>
                  <w:marBottom w:val="0"/>
                  <w:divBdr>
                    <w:top w:val="none" w:sz="0" w:space="0" w:color="auto"/>
                    <w:left w:val="none" w:sz="0" w:space="0" w:color="auto"/>
                    <w:bottom w:val="none" w:sz="0" w:space="0" w:color="auto"/>
                    <w:right w:val="none" w:sz="0" w:space="0" w:color="auto"/>
                  </w:divBdr>
                  <w:divsChild>
                    <w:div w:id="829566450">
                      <w:marLeft w:val="0"/>
                      <w:marRight w:val="0"/>
                      <w:marTop w:val="0"/>
                      <w:marBottom w:val="0"/>
                      <w:divBdr>
                        <w:top w:val="none" w:sz="0" w:space="0" w:color="auto"/>
                        <w:left w:val="none" w:sz="0" w:space="0" w:color="auto"/>
                        <w:bottom w:val="none" w:sz="0" w:space="0" w:color="auto"/>
                        <w:right w:val="none" w:sz="0" w:space="0" w:color="auto"/>
                      </w:divBdr>
                      <w:divsChild>
                        <w:div w:id="97486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164899">
                  <w:marLeft w:val="0"/>
                  <w:marRight w:val="0"/>
                  <w:marTop w:val="0"/>
                  <w:marBottom w:val="0"/>
                  <w:divBdr>
                    <w:top w:val="none" w:sz="0" w:space="0" w:color="auto"/>
                    <w:left w:val="none" w:sz="0" w:space="0" w:color="auto"/>
                    <w:bottom w:val="none" w:sz="0" w:space="0" w:color="auto"/>
                    <w:right w:val="none" w:sz="0" w:space="0" w:color="auto"/>
                  </w:divBdr>
                </w:div>
              </w:divsChild>
            </w:div>
            <w:div w:id="1392924745">
              <w:marLeft w:val="0"/>
              <w:marRight w:val="0"/>
              <w:marTop w:val="0"/>
              <w:marBottom w:val="0"/>
              <w:divBdr>
                <w:top w:val="none" w:sz="0" w:space="0" w:color="auto"/>
                <w:left w:val="none" w:sz="0" w:space="0" w:color="auto"/>
                <w:bottom w:val="none" w:sz="0" w:space="0" w:color="auto"/>
                <w:right w:val="none" w:sz="0" w:space="0" w:color="auto"/>
              </w:divBdr>
              <w:divsChild>
                <w:div w:id="399449779">
                  <w:marLeft w:val="0"/>
                  <w:marRight w:val="0"/>
                  <w:marTop w:val="0"/>
                  <w:marBottom w:val="0"/>
                  <w:divBdr>
                    <w:top w:val="none" w:sz="0" w:space="0" w:color="auto"/>
                    <w:left w:val="none" w:sz="0" w:space="0" w:color="auto"/>
                    <w:bottom w:val="none" w:sz="0" w:space="0" w:color="auto"/>
                    <w:right w:val="none" w:sz="0" w:space="0" w:color="auto"/>
                  </w:divBdr>
                  <w:divsChild>
                    <w:div w:id="957487830">
                      <w:marLeft w:val="0"/>
                      <w:marRight w:val="0"/>
                      <w:marTop w:val="0"/>
                      <w:marBottom w:val="0"/>
                      <w:divBdr>
                        <w:top w:val="none" w:sz="0" w:space="0" w:color="auto"/>
                        <w:left w:val="none" w:sz="0" w:space="0" w:color="auto"/>
                        <w:bottom w:val="none" w:sz="0" w:space="0" w:color="auto"/>
                        <w:right w:val="none" w:sz="0" w:space="0" w:color="auto"/>
                      </w:divBdr>
                      <w:divsChild>
                        <w:div w:id="29807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35823">
              <w:marLeft w:val="0"/>
              <w:marRight w:val="0"/>
              <w:marTop w:val="0"/>
              <w:marBottom w:val="0"/>
              <w:divBdr>
                <w:top w:val="none" w:sz="0" w:space="0" w:color="auto"/>
                <w:left w:val="none" w:sz="0" w:space="0" w:color="auto"/>
                <w:bottom w:val="none" w:sz="0" w:space="0" w:color="auto"/>
                <w:right w:val="none" w:sz="0" w:space="0" w:color="auto"/>
              </w:divBdr>
              <w:divsChild>
                <w:div w:id="1488862645">
                  <w:marLeft w:val="0"/>
                  <w:marRight w:val="0"/>
                  <w:marTop w:val="0"/>
                  <w:marBottom w:val="0"/>
                  <w:divBdr>
                    <w:top w:val="none" w:sz="0" w:space="0" w:color="auto"/>
                    <w:left w:val="none" w:sz="0" w:space="0" w:color="auto"/>
                    <w:bottom w:val="none" w:sz="0" w:space="0" w:color="auto"/>
                    <w:right w:val="none" w:sz="0" w:space="0" w:color="auto"/>
                  </w:divBdr>
                  <w:divsChild>
                    <w:div w:id="1240366298">
                      <w:marLeft w:val="0"/>
                      <w:marRight w:val="0"/>
                      <w:marTop w:val="0"/>
                      <w:marBottom w:val="0"/>
                      <w:divBdr>
                        <w:top w:val="none" w:sz="0" w:space="0" w:color="auto"/>
                        <w:left w:val="none" w:sz="0" w:space="0" w:color="auto"/>
                        <w:bottom w:val="none" w:sz="0" w:space="0" w:color="auto"/>
                        <w:right w:val="none" w:sz="0" w:space="0" w:color="auto"/>
                      </w:divBdr>
                      <w:divsChild>
                        <w:div w:id="154902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52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026872">
      <w:bodyDiv w:val="1"/>
      <w:marLeft w:val="0"/>
      <w:marRight w:val="0"/>
      <w:marTop w:val="0"/>
      <w:marBottom w:val="0"/>
      <w:divBdr>
        <w:top w:val="none" w:sz="0" w:space="0" w:color="auto"/>
        <w:left w:val="none" w:sz="0" w:space="0" w:color="auto"/>
        <w:bottom w:val="none" w:sz="0" w:space="0" w:color="auto"/>
        <w:right w:val="none" w:sz="0" w:space="0" w:color="auto"/>
      </w:divBdr>
    </w:div>
    <w:div w:id="1696611428">
      <w:bodyDiv w:val="1"/>
      <w:marLeft w:val="0"/>
      <w:marRight w:val="0"/>
      <w:marTop w:val="0"/>
      <w:marBottom w:val="0"/>
      <w:divBdr>
        <w:top w:val="none" w:sz="0" w:space="0" w:color="auto"/>
        <w:left w:val="none" w:sz="0" w:space="0" w:color="auto"/>
        <w:bottom w:val="none" w:sz="0" w:space="0" w:color="auto"/>
        <w:right w:val="none" w:sz="0" w:space="0" w:color="auto"/>
      </w:divBdr>
    </w:div>
    <w:div w:id="1702977386">
      <w:bodyDiv w:val="1"/>
      <w:marLeft w:val="0"/>
      <w:marRight w:val="0"/>
      <w:marTop w:val="0"/>
      <w:marBottom w:val="0"/>
      <w:divBdr>
        <w:top w:val="none" w:sz="0" w:space="0" w:color="auto"/>
        <w:left w:val="none" w:sz="0" w:space="0" w:color="auto"/>
        <w:bottom w:val="none" w:sz="0" w:space="0" w:color="auto"/>
        <w:right w:val="none" w:sz="0" w:space="0" w:color="auto"/>
      </w:divBdr>
    </w:div>
    <w:div w:id="1703021584">
      <w:bodyDiv w:val="1"/>
      <w:marLeft w:val="0"/>
      <w:marRight w:val="0"/>
      <w:marTop w:val="0"/>
      <w:marBottom w:val="0"/>
      <w:divBdr>
        <w:top w:val="none" w:sz="0" w:space="0" w:color="auto"/>
        <w:left w:val="none" w:sz="0" w:space="0" w:color="auto"/>
        <w:bottom w:val="none" w:sz="0" w:space="0" w:color="auto"/>
        <w:right w:val="none" w:sz="0" w:space="0" w:color="auto"/>
      </w:divBdr>
      <w:divsChild>
        <w:div w:id="1456755650">
          <w:marLeft w:val="0"/>
          <w:marRight w:val="0"/>
          <w:marTop w:val="0"/>
          <w:marBottom w:val="0"/>
          <w:divBdr>
            <w:top w:val="none" w:sz="0" w:space="0" w:color="auto"/>
            <w:left w:val="none" w:sz="0" w:space="0" w:color="auto"/>
            <w:bottom w:val="none" w:sz="0" w:space="0" w:color="auto"/>
            <w:right w:val="none" w:sz="0" w:space="0" w:color="auto"/>
          </w:divBdr>
        </w:div>
      </w:divsChild>
    </w:div>
    <w:div w:id="1703356605">
      <w:bodyDiv w:val="1"/>
      <w:marLeft w:val="0"/>
      <w:marRight w:val="0"/>
      <w:marTop w:val="0"/>
      <w:marBottom w:val="0"/>
      <w:divBdr>
        <w:top w:val="none" w:sz="0" w:space="0" w:color="auto"/>
        <w:left w:val="none" w:sz="0" w:space="0" w:color="auto"/>
        <w:bottom w:val="none" w:sz="0" w:space="0" w:color="auto"/>
        <w:right w:val="none" w:sz="0" w:space="0" w:color="auto"/>
      </w:divBdr>
    </w:div>
    <w:div w:id="1704742812">
      <w:bodyDiv w:val="1"/>
      <w:marLeft w:val="0"/>
      <w:marRight w:val="0"/>
      <w:marTop w:val="0"/>
      <w:marBottom w:val="0"/>
      <w:divBdr>
        <w:top w:val="none" w:sz="0" w:space="0" w:color="auto"/>
        <w:left w:val="none" w:sz="0" w:space="0" w:color="auto"/>
        <w:bottom w:val="none" w:sz="0" w:space="0" w:color="auto"/>
        <w:right w:val="none" w:sz="0" w:space="0" w:color="auto"/>
      </w:divBdr>
      <w:divsChild>
        <w:div w:id="1649898790">
          <w:marLeft w:val="0"/>
          <w:marRight w:val="0"/>
          <w:marTop w:val="0"/>
          <w:marBottom w:val="0"/>
          <w:divBdr>
            <w:top w:val="none" w:sz="0" w:space="0" w:color="auto"/>
            <w:left w:val="none" w:sz="0" w:space="0" w:color="auto"/>
            <w:bottom w:val="none" w:sz="0" w:space="0" w:color="auto"/>
            <w:right w:val="none" w:sz="0" w:space="0" w:color="auto"/>
          </w:divBdr>
        </w:div>
      </w:divsChild>
    </w:div>
    <w:div w:id="1705328737">
      <w:bodyDiv w:val="1"/>
      <w:marLeft w:val="0"/>
      <w:marRight w:val="0"/>
      <w:marTop w:val="0"/>
      <w:marBottom w:val="0"/>
      <w:divBdr>
        <w:top w:val="none" w:sz="0" w:space="0" w:color="auto"/>
        <w:left w:val="none" w:sz="0" w:space="0" w:color="auto"/>
        <w:bottom w:val="none" w:sz="0" w:space="0" w:color="auto"/>
        <w:right w:val="none" w:sz="0" w:space="0" w:color="auto"/>
      </w:divBdr>
    </w:div>
    <w:div w:id="1707021072">
      <w:bodyDiv w:val="1"/>
      <w:marLeft w:val="0"/>
      <w:marRight w:val="0"/>
      <w:marTop w:val="0"/>
      <w:marBottom w:val="0"/>
      <w:divBdr>
        <w:top w:val="none" w:sz="0" w:space="0" w:color="auto"/>
        <w:left w:val="none" w:sz="0" w:space="0" w:color="auto"/>
        <w:bottom w:val="none" w:sz="0" w:space="0" w:color="auto"/>
        <w:right w:val="none" w:sz="0" w:space="0" w:color="auto"/>
      </w:divBdr>
    </w:div>
    <w:div w:id="1716082000">
      <w:bodyDiv w:val="1"/>
      <w:marLeft w:val="0"/>
      <w:marRight w:val="0"/>
      <w:marTop w:val="0"/>
      <w:marBottom w:val="0"/>
      <w:divBdr>
        <w:top w:val="none" w:sz="0" w:space="0" w:color="auto"/>
        <w:left w:val="none" w:sz="0" w:space="0" w:color="auto"/>
        <w:bottom w:val="none" w:sz="0" w:space="0" w:color="auto"/>
        <w:right w:val="none" w:sz="0" w:space="0" w:color="auto"/>
      </w:divBdr>
    </w:div>
    <w:div w:id="1725985238">
      <w:bodyDiv w:val="1"/>
      <w:marLeft w:val="0"/>
      <w:marRight w:val="0"/>
      <w:marTop w:val="0"/>
      <w:marBottom w:val="0"/>
      <w:divBdr>
        <w:top w:val="none" w:sz="0" w:space="0" w:color="auto"/>
        <w:left w:val="none" w:sz="0" w:space="0" w:color="auto"/>
        <w:bottom w:val="none" w:sz="0" w:space="0" w:color="auto"/>
        <w:right w:val="none" w:sz="0" w:space="0" w:color="auto"/>
      </w:divBdr>
    </w:div>
    <w:div w:id="1729842266">
      <w:bodyDiv w:val="1"/>
      <w:marLeft w:val="0"/>
      <w:marRight w:val="0"/>
      <w:marTop w:val="0"/>
      <w:marBottom w:val="0"/>
      <w:divBdr>
        <w:top w:val="none" w:sz="0" w:space="0" w:color="auto"/>
        <w:left w:val="none" w:sz="0" w:space="0" w:color="auto"/>
        <w:bottom w:val="none" w:sz="0" w:space="0" w:color="auto"/>
        <w:right w:val="none" w:sz="0" w:space="0" w:color="auto"/>
      </w:divBdr>
    </w:div>
    <w:div w:id="1734348320">
      <w:bodyDiv w:val="1"/>
      <w:marLeft w:val="0"/>
      <w:marRight w:val="0"/>
      <w:marTop w:val="0"/>
      <w:marBottom w:val="0"/>
      <w:divBdr>
        <w:top w:val="none" w:sz="0" w:space="0" w:color="auto"/>
        <w:left w:val="none" w:sz="0" w:space="0" w:color="auto"/>
        <w:bottom w:val="none" w:sz="0" w:space="0" w:color="auto"/>
        <w:right w:val="none" w:sz="0" w:space="0" w:color="auto"/>
      </w:divBdr>
    </w:div>
    <w:div w:id="1737164942">
      <w:bodyDiv w:val="1"/>
      <w:marLeft w:val="0"/>
      <w:marRight w:val="0"/>
      <w:marTop w:val="0"/>
      <w:marBottom w:val="0"/>
      <w:divBdr>
        <w:top w:val="none" w:sz="0" w:space="0" w:color="auto"/>
        <w:left w:val="none" w:sz="0" w:space="0" w:color="auto"/>
        <w:bottom w:val="none" w:sz="0" w:space="0" w:color="auto"/>
        <w:right w:val="none" w:sz="0" w:space="0" w:color="auto"/>
      </w:divBdr>
    </w:div>
    <w:div w:id="1738475028">
      <w:bodyDiv w:val="1"/>
      <w:marLeft w:val="0"/>
      <w:marRight w:val="0"/>
      <w:marTop w:val="0"/>
      <w:marBottom w:val="0"/>
      <w:divBdr>
        <w:top w:val="none" w:sz="0" w:space="0" w:color="auto"/>
        <w:left w:val="none" w:sz="0" w:space="0" w:color="auto"/>
        <w:bottom w:val="none" w:sz="0" w:space="0" w:color="auto"/>
        <w:right w:val="none" w:sz="0" w:space="0" w:color="auto"/>
      </w:divBdr>
    </w:div>
    <w:div w:id="1744716572">
      <w:bodyDiv w:val="1"/>
      <w:marLeft w:val="0"/>
      <w:marRight w:val="0"/>
      <w:marTop w:val="0"/>
      <w:marBottom w:val="0"/>
      <w:divBdr>
        <w:top w:val="none" w:sz="0" w:space="0" w:color="auto"/>
        <w:left w:val="none" w:sz="0" w:space="0" w:color="auto"/>
        <w:bottom w:val="none" w:sz="0" w:space="0" w:color="auto"/>
        <w:right w:val="none" w:sz="0" w:space="0" w:color="auto"/>
      </w:divBdr>
    </w:div>
    <w:div w:id="1761176962">
      <w:bodyDiv w:val="1"/>
      <w:marLeft w:val="0"/>
      <w:marRight w:val="0"/>
      <w:marTop w:val="0"/>
      <w:marBottom w:val="0"/>
      <w:divBdr>
        <w:top w:val="none" w:sz="0" w:space="0" w:color="auto"/>
        <w:left w:val="none" w:sz="0" w:space="0" w:color="auto"/>
        <w:bottom w:val="none" w:sz="0" w:space="0" w:color="auto"/>
        <w:right w:val="none" w:sz="0" w:space="0" w:color="auto"/>
      </w:divBdr>
    </w:div>
    <w:div w:id="1765763272">
      <w:bodyDiv w:val="1"/>
      <w:marLeft w:val="0"/>
      <w:marRight w:val="0"/>
      <w:marTop w:val="0"/>
      <w:marBottom w:val="0"/>
      <w:divBdr>
        <w:top w:val="none" w:sz="0" w:space="0" w:color="auto"/>
        <w:left w:val="none" w:sz="0" w:space="0" w:color="auto"/>
        <w:bottom w:val="none" w:sz="0" w:space="0" w:color="auto"/>
        <w:right w:val="none" w:sz="0" w:space="0" w:color="auto"/>
      </w:divBdr>
    </w:div>
    <w:div w:id="1769692169">
      <w:bodyDiv w:val="1"/>
      <w:marLeft w:val="0"/>
      <w:marRight w:val="0"/>
      <w:marTop w:val="0"/>
      <w:marBottom w:val="0"/>
      <w:divBdr>
        <w:top w:val="none" w:sz="0" w:space="0" w:color="auto"/>
        <w:left w:val="none" w:sz="0" w:space="0" w:color="auto"/>
        <w:bottom w:val="none" w:sz="0" w:space="0" w:color="auto"/>
        <w:right w:val="none" w:sz="0" w:space="0" w:color="auto"/>
      </w:divBdr>
    </w:div>
    <w:div w:id="1774394986">
      <w:bodyDiv w:val="1"/>
      <w:marLeft w:val="0"/>
      <w:marRight w:val="0"/>
      <w:marTop w:val="0"/>
      <w:marBottom w:val="0"/>
      <w:divBdr>
        <w:top w:val="none" w:sz="0" w:space="0" w:color="auto"/>
        <w:left w:val="none" w:sz="0" w:space="0" w:color="auto"/>
        <w:bottom w:val="none" w:sz="0" w:space="0" w:color="auto"/>
        <w:right w:val="none" w:sz="0" w:space="0" w:color="auto"/>
      </w:divBdr>
    </w:div>
    <w:div w:id="1786271996">
      <w:bodyDiv w:val="1"/>
      <w:marLeft w:val="0"/>
      <w:marRight w:val="0"/>
      <w:marTop w:val="0"/>
      <w:marBottom w:val="0"/>
      <w:divBdr>
        <w:top w:val="none" w:sz="0" w:space="0" w:color="auto"/>
        <w:left w:val="none" w:sz="0" w:space="0" w:color="auto"/>
        <w:bottom w:val="none" w:sz="0" w:space="0" w:color="auto"/>
        <w:right w:val="none" w:sz="0" w:space="0" w:color="auto"/>
      </w:divBdr>
    </w:div>
    <w:div w:id="1787458425">
      <w:bodyDiv w:val="1"/>
      <w:marLeft w:val="0"/>
      <w:marRight w:val="0"/>
      <w:marTop w:val="0"/>
      <w:marBottom w:val="0"/>
      <w:divBdr>
        <w:top w:val="none" w:sz="0" w:space="0" w:color="auto"/>
        <w:left w:val="none" w:sz="0" w:space="0" w:color="auto"/>
        <w:bottom w:val="none" w:sz="0" w:space="0" w:color="auto"/>
        <w:right w:val="none" w:sz="0" w:space="0" w:color="auto"/>
      </w:divBdr>
    </w:div>
    <w:div w:id="1791321789">
      <w:bodyDiv w:val="1"/>
      <w:marLeft w:val="0"/>
      <w:marRight w:val="0"/>
      <w:marTop w:val="0"/>
      <w:marBottom w:val="0"/>
      <w:divBdr>
        <w:top w:val="none" w:sz="0" w:space="0" w:color="auto"/>
        <w:left w:val="none" w:sz="0" w:space="0" w:color="auto"/>
        <w:bottom w:val="none" w:sz="0" w:space="0" w:color="auto"/>
        <w:right w:val="none" w:sz="0" w:space="0" w:color="auto"/>
      </w:divBdr>
    </w:div>
    <w:div w:id="1798796452">
      <w:bodyDiv w:val="1"/>
      <w:marLeft w:val="0"/>
      <w:marRight w:val="0"/>
      <w:marTop w:val="0"/>
      <w:marBottom w:val="0"/>
      <w:divBdr>
        <w:top w:val="none" w:sz="0" w:space="0" w:color="auto"/>
        <w:left w:val="none" w:sz="0" w:space="0" w:color="auto"/>
        <w:bottom w:val="none" w:sz="0" w:space="0" w:color="auto"/>
        <w:right w:val="none" w:sz="0" w:space="0" w:color="auto"/>
      </w:divBdr>
    </w:div>
    <w:div w:id="1799494704">
      <w:bodyDiv w:val="1"/>
      <w:marLeft w:val="0"/>
      <w:marRight w:val="0"/>
      <w:marTop w:val="0"/>
      <w:marBottom w:val="0"/>
      <w:divBdr>
        <w:top w:val="none" w:sz="0" w:space="0" w:color="auto"/>
        <w:left w:val="none" w:sz="0" w:space="0" w:color="auto"/>
        <w:bottom w:val="none" w:sz="0" w:space="0" w:color="auto"/>
        <w:right w:val="none" w:sz="0" w:space="0" w:color="auto"/>
      </w:divBdr>
      <w:divsChild>
        <w:div w:id="800346527">
          <w:marLeft w:val="0"/>
          <w:marRight w:val="0"/>
          <w:marTop w:val="0"/>
          <w:marBottom w:val="0"/>
          <w:divBdr>
            <w:top w:val="none" w:sz="0" w:space="0" w:color="auto"/>
            <w:left w:val="none" w:sz="0" w:space="0" w:color="auto"/>
            <w:bottom w:val="none" w:sz="0" w:space="0" w:color="auto"/>
            <w:right w:val="none" w:sz="0" w:space="0" w:color="auto"/>
          </w:divBdr>
        </w:div>
      </w:divsChild>
    </w:div>
    <w:div w:id="1800295139">
      <w:bodyDiv w:val="1"/>
      <w:marLeft w:val="0"/>
      <w:marRight w:val="0"/>
      <w:marTop w:val="0"/>
      <w:marBottom w:val="0"/>
      <w:divBdr>
        <w:top w:val="none" w:sz="0" w:space="0" w:color="auto"/>
        <w:left w:val="none" w:sz="0" w:space="0" w:color="auto"/>
        <w:bottom w:val="none" w:sz="0" w:space="0" w:color="auto"/>
        <w:right w:val="none" w:sz="0" w:space="0" w:color="auto"/>
      </w:divBdr>
    </w:div>
    <w:div w:id="1800881171">
      <w:bodyDiv w:val="1"/>
      <w:marLeft w:val="0"/>
      <w:marRight w:val="0"/>
      <w:marTop w:val="0"/>
      <w:marBottom w:val="0"/>
      <w:divBdr>
        <w:top w:val="none" w:sz="0" w:space="0" w:color="auto"/>
        <w:left w:val="none" w:sz="0" w:space="0" w:color="auto"/>
        <w:bottom w:val="none" w:sz="0" w:space="0" w:color="auto"/>
        <w:right w:val="none" w:sz="0" w:space="0" w:color="auto"/>
      </w:divBdr>
    </w:div>
    <w:div w:id="1803107735">
      <w:bodyDiv w:val="1"/>
      <w:marLeft w:val="0"/>
      <w:marRight w:val="0"/>
      <w:marTop w:val="0"/>
      <w:marBottom w:val="0"/>
      <w:divBdr>
        <w:top w:val="none" w:sz="0" w:space="0" w:color="auto"/>
        <w:left w:val="none" w:sz="0" w:space="0" w:color="auto"/>
        <w:bottom w:val="none" w:sz="0" w:space="0" w:color="auto"/>
        <w:right w:val="none" w:sz="0" w:space="0" w:color="auto"/>
      </w:divBdr>
    </w:div>
    <w:div w:id="1804349096">
      <w:bodyDiv w:val="1"/>
      <w:marLeft w:val="0"/>
      <w:marRight w:val="0"/>
      <w:marTop w:val="0"/>
      <w:marBottom w:val="0"/>
      <w:divBdr>
        <w:top w:val="none" w:sz="0" w:space="0" w:color="auto"/>
        <w:left w:val="none" w:sz="0" w:space="0" w:color="auto"/>
        <w:bottom w:val="none" w:sz="0" w:space="0" w:color="auto"/>
        <w:right w:val="none" w:sz="0" w:space="0" w:color="auto"/>
      </w:divBdr>
    </w:div>
    <w:div w:id="1813251278">
      <w:bodyDiv w:val="1"/>
      <w:marLeft w:val="0"/>
      <w:marRight w:val="0"/>
      <w:marTop w:val="0"/>
      <w:marBottom w:val="0"/>
      <w:divBdr>
        <w:top w:val="none" w:sz="0" w:space="0" w:color="auto"/>
        <w:left w:val="none" w:sz="0" w:space="0" w:color="auto"/>
        <w:bottom w:val="none" w:sz="0" w:space="0" w:color="auto"/>
        <w:right w:val="none" w:sz="0" w:space="0" w:color="auto"/>
      </w:divBdr>
    </w:div>
    <w:div w:id="1816872176">
      <w:bodyDiv w:val="1"/>
      <w:marLeft w:val="0"/>
      <w:marRight w:val="0"/>
      <w:marTop w:val="0"/>
      <w:marBottom w:val="0"/>
      <w:divBdr>
        <w:top w:val="none" w:sz="0" w:space="0" w:color="auto"/>
        <w:left w:val="none" w:sz="0" w:space="0" w:color="auto"/>
        <w:bottom w:val="none" w:sz="0" w:space="0" w:color="auto"/>
        <w:right w:val="none" w:sz="0" w:space="0" w:color="auto"/>
      </w:divBdr>
    </w:div>
    <w:div w:id="1829904772">
      <w:bodyDiv w:val="1"/>
      <w:marLeft w:val="0"/>
      <w:marRight w:val="0"/>
      <w:marTop w:val="0"/>
      <w:marBottom w:val="0"/>
      <w:divBdr>
        <w:top w:val="none" w:sz="0" w:space="0" w:color="auto"/>
        <w:left w:val="none" w:sz="0" w:space="0" w:color="auto"/>
        <w:bottom w:val="none" w:sz="0" w:space="0" w:color="auto"/>
        <w:right w:val="none" w:sz="0" w:space="0" w:color="auto"/>
      </w:divBdr>
    </w:div>
    <w:div w:id="1833445115">
      <w:bodyDiv w:val="1"/>
      <w:marLeft w:val="0"/>
      <w:marRight w:val="0"/>
      <w:marTop w:val="0"/>
      <w:marBottom w:val="0"/>
      <w:divBdr>
        <w:top w:val="none" w:sz="0" w:space="0" w:color="auto"/>
        <w:left w:val="none" w:sz="0" w:space="0" w:color="auto"/>
        <w:bottom w:val="none" w:sz="0" w:space="0" w:color="auto"/>
        <w:right w:val="none" w:sz="0" w:space="0" w:color="auto"/>
      </w:divBdr>
    </w:div>
    <w:div w:id="1834293624">
      <w:bodyDiv w:val="1"/>
      <w:marLeft w:val="0"/>
      <w:marRight w:val="0"/>
      <w:marTop w:val="0"/>
      <w:marBottom w:val="0"/>
      <w:divBdr>
        <w:top w:val="none" w:sz="0" w:space="0" w:color="auto"/>
        <w:left w:val="none" w:sz="0" w:space="0" w:color="auto"/>
        <w:bottom w:val="none" w:sz="0" w:space="0" w:color="auto"/>
        <w:right w:val="none" w:sz="0" w:space="0" w:color="auto"/>
      </w:divBdr>
    </w:div>
    <w:div w:id="1836606615">
      <w:bodyDiv w:val="1"/>
      <w:marLeft w:val="0"/>
      <w:marRight w:val="0"/>
      <w:marTop w:val="0"/>
      <w:marBottom w:val="0"/>
      <w:divBdr>
        <w:top w:val="none" w:sz="0" w:space="0" w:color="auto"/>
        <w:left w:val="none" w:sz="0" w:space="0" w:color="auto"/>
        <w:bottom w:val="none" w:sz="0" w:space="0" w:color="auto"/>
        <w:right w:val="none" w:sz="0" w:space="0" w:color="auto"/>
      </w:divBdr>
    </w:div>
    <w:div w:id="1841047071">
      <w:bodyDiv w:val="1"/>
      <w:marLeft w:val="0"/>
      <w:marRight w:val="0"/>
      <w:marTop w:val="0"/>
      <w:marBottom w:val="0"/>
      <w:divBdr>
        <w:top w:val="none" w:sz="0" w:space="0" w:color="auto"/>
        <w:left w:val="none" w:sz="0" w:space="0" w:color="auto"/>
        <w:bottom w:val="none" w:sz="0" w:space="0" w:color="auto"/>
        <w:right w:val="none" w:sz="0" w:space="0" w:color="auto"/>
      </w:divBdr>
    </w:div>
    <w:div w:id="1841694583">
      <w:bodyDiv w:val="1"/>
      <w:marLeft w:val="0"/>
      <w:marRight w:val="0"/>
      <w:marTop w:val="0"/>
      <w:marBottom w:val="0"/>
      <w:divBdr>
        <w:top w:val="none" w:sz="0" w:space="0" w:color="auto"/>
        <w:left w:val="none" w:sz="0" w:space="0" w:color="auto"/>
        <w:bottom w:val="none" w:sz="0" w:space="0" w:color="auto"/>
        <w:right w:val="none" w:sz="0" w:space="0" w:color="auto"/>
      </w:divBdr>
    </w:div>
    <w:div w:id="1844854826">
      <w:bodyDiv w:val="1"/>
      <w:marLeft w:val="0"/>
      <w:marRight w:val="0"/>
      <w:marTop w:val="0"/>
      <w:marBottom w:val="0"/>
      <w:divBdr>
        <w:top w:val="none" w:sz="0" w:space="0" w:color="auto"/>
        <w:left w:val="none" w:sz="0" w:space="0" w:color="auto"/>
        <w:bottom w:val="none" w:sz="0" w:space="0" w:color="auto"/>
        <w:right w:val="none" w:sz="0" w:space="0" w:color="auto"/>
      </w:divBdr>
    </w:div>
    <w:div w:id="1846287501">
      <w:bodyDiv w:val="1"/>
      <w:marLeft w:val="0"/>
      <w:marRight w:val="0"/>
      <w:marTop w:val="0"/>
      <w:marBottom w:val="0"/>
      <w:divBdr>
        <w:top w:val="none" w:sz="0" w:space="0" w:color="auto"/>
        <w:left w:val="none" w:sz="0" w:space="0" w:color="auto"/>
        <w:bottom w:val="none" w:sz="0" w:space="0" w:color="auto"/>
        <w:right w:val="none" w:sz="0" w:space="0" w:color="auto"/>
      </w:divBdr>
    </w:div>
    <w:div w:id="1847941344">
      <w:bodyDiv w:val="1"/>
      <w:marLeft w:val="0"/>
      <w:marRight w:val="0"/>
      <w:marTop w:val="0"/>
      <w:marBottom w:val="0"/>
      <w:divBdr>
        <w:top w:val="none" w:sz="0" w:space="0" w:color="auto"/>
        <w:left w:val="none" w:sz="0" w:space="0" w:color="auto"/>
        <w:bottom w:val="none" w:sz="0" w:space="0" w:color="auto"/>
        <w:right w:val="none" w:sz="0" w:space="0" w:color="auto"/>
      </w:divBdr>
    </w:div>
    <w:div w:id="1848866407">
      <w:bodyDiv w:val="1"/>
      <w:marLeft w:val="0"/>
      <w:marRight w:val="0"/>
      <w:marTop w:val="0"/>
      <w:marBottom w:val="0"/>
      <w:divBdr>
        <w:top w:val="none" w:sz="0" w:space="0" w:color="auto"/>
        <w:left w:val="none" w:sz="0" w:space="0" w:color="auto"/>
        <w:bottom w:val="none" w:sz="0" w:space="0" w:color="auto"/>
        <w:right w:val="none" w:sz="0" w:space="0" w:color="auto"/>
      </w:divBdr>
    </w:div>
    <w:div w:id="1850024509">
      <w:bodyDiv w:val="1"/>
      <w:marLeft w:val="0"/>
      <w:marRight w:val="0"/>
      <w:marTop w:val="0"/>
      <w:marBottom w:val="0"/>
      <w:divBdr>
        <w:top w:val="none" w:sz="0" w:space="0" w:color="auto"/>
        <w:left w:val="none" w:sz="0" w:space="0" w:color="auto"/>
        <w:bottom w:val="none" w:sz="0" w:space="0" w:color="auto"/>
        <w:right w:val="none" w:sz="0" w:space="0" w:color="auto"/>
      </w:divBdr>
    </w:div>
    <w:div w:id="1851751786">
      <w:bodyDiv w:val="1"/>
      <w:marLeft w:val="0"/>
      <w:marRight w:val="0"/>
      <w:marTop w:val="0"/>
      <w:marBottom w:val="0"/>
      <w:divBdr>
        <w:top w:val="none" w:sz="0" w:space="0" w:color="auto"/>
        <w:left w:val="none" w:sz="0" w:space="0" w:color="auto"/>
        <w:bottom w:val="none" w:sz="0" w:space="0" w:color="auto"/>
        <w:right w:val="none" w:sz="0" w:space="0" w:color="auto"/>
      </w:divBdr>
    </w:div>
    <w:div w:id="1854101179">
      <w:bodyDiv w:val="1"/>
      <w:marLeft w:val="0"/>
      <w:marRight w:val="0"/>
      <w:marTop w:val="0"/>
      <w:marBottom w:val="0"/>
      <w:divBdr>
        <w:top w:val="none" w:sz="0" w:space="0" w:color="auto"/>
        <w:left w:val="none" w:sz="0" w:space="0" w:color="auto"/>
        <w:bottom w:val="none" w:sz="0" w:space="0" w:color="auto"/>
        <w:right w:val="none" w:sz="0" w:space="0" w:color="auto"/>
      </w:divBdr>
    </w:div>
    <w:div w:id="1854564129">
      <w:bodyDiv w:val="1"/>
      <w:marLeft w:val="0"/>
      <w:marRight w:val="0"/>
      <w:marTop w:val="0"/>
      <w:marBottom w:val="0"/>
      <w:divBdr>
        <w:top w:val="none" w:sz="0" w:space="0" w:color="auto"/>
        <w:left w:val="none" w:sz="0" w:space="0" w:color="auto"/>
        <w:bottom w:val="none" w:sz="0" w:space="0" w:color="auto"/>
        <w:right w:val="none" w:sz="0" w:space="0" w:color="auto"/>
      </w:divBdr>
    </w:div>
    <w:div w:id="1856648954">
      <w:bodyDiv w:val="1"/>
      <w:marLeft w:val="0"/>
      <w:marRight w:val="0"/>
      <w:marTop w:val="0"/>
      <w:marBottom w:val="0"/>
      <w:divBdr>
        <w:top w:val="none" w:sz="0" w:space="0" w:color="auto"/>
        <w:left w:val="none" w:sz="0" w:space="0" w:color="auto"/>
        <w:bottom w:val="none" w:sz="0" w:space="0" w:color="auto"/>
        <w:right w:val="none" w:sz="0" w:space="0" w:color="auto"/>
      </w:divBdr>
    </w:div>
    <w:div w:id="1861430194">
      <w:bodyDiv w:val="1"/>
      <w:marLeft w:val="0"/>
      <w:marRight w:val="0"/>
      <w:marTop w:val="0"/>
      <w:marBottom w:val="0"/>
      <w:divBdr>
        <w:top w:val="none" w:sz="0" w:space="0" w:color="auto"/>
        <w:left w:val="none" w:sz="0" w:space="0" w:color="auto"/>
        <w:bottom w:val="none" w:sz="0" w:space="0" w:color="auto"/>
        <w:right w:val="none" w:sz="0" w:space="0" w:color="auto"/>
      </w:divBdr>
    </w:div>
    <w:div w:id="1861816531">
      <w:bodyDiv w:val="1"/>
      <w:marLeft w:val="0"/>
      <w:marRight w:val="0"/>
      <w:marTop w:val="0"/>
      <w:marBottom w:val="0"/>
      <w:divBdr>
        <w:top w:val="none" w:sz="0" w:space="0" w:color="auto"/>
        <w:left w:val="none" w:sz="0" w:space="0" w:color="auto"/>
        <w:bottom w:val="none" w:sz="0" w:space="0" w:color="auto"/>
        <w:right w:val="none" w:sz="0" w:space="0" w:color="auto"/>
      </w:divBdr>
    </w:div>
    <w:div w:id="1863981274">
      <w:bodyDiv w:val="1"/>
      <w:marLeft w:val="0"/>
      <w:marRight w:val="0"/>
      <w:marTop w:val="0"/>
      <w:marBottom w:val="0"/>
      <w:divBdr>
        <w:top w:val="none" w:sz="0" w:space="0" w:color="auto"/>
        <w:left w:val="none" w:sz="0" w:space="0" w:color="auto"/>
        <w:bottom w:val="none" w:sz="0" w:space="0" w:color="auto"/>
        <w:right w:val="none" w:sz="0" w:space="0" w:color="auto"/>
      </w:divBdr>
    </w:div>
    <w:div w:id="1864976873">
      <w:bodyDiv w:val="1"/>
      <w:marLeft w:val="0"/>
      <w:marRight w:val="0"/>
      <w:marTop w:val="0"/>
      <w:marBottom w:val="0"/>
      <w:divBdr>
        <w:top w:val="none" w:sz="0" w:space="0" w:color="auto"/>
        <w:left w:val="none" w:sz="0" w:space="0" w:color="auto"/>
        <w:bottom w:val="none" w:sz="0" w:space="0" w:color="auto"/>
        <w:right w:val="none" w:sz="0" w:space="0" w:color="auto"/>
      </w:divBdr>
      <w:divsChild>
        <w:div w:id="1380785525">
          <w:marLeft w:val="0"/>
          <w:marRight w:val="0"/>
          <w:marTop w:val="0"/>
          <w:marBottom w:val="0"/>
          <w:divBdr>
            <w:top w:val="none" w:sz="0" w:space="0" w:color="auto"/>
            <w:left w:val="none" w:sz="0" w:space="0" w:color="auto"/>
            <w:bottom w:val="none" w:sz="0" w:space="0" w:color="auto"/>
            <w:right w:val="none" w:sz="0" w:space="0" w:color="auto"/>
          </w:divBdr>
        </w:div>
        <w:div w:id="324020482">
          <w:marLeft w:val="0"/>
          <w:marRight w:val="0"/>
          <w:marTop w:val="0"/>
          <w:marBottom w:val="0"/>
          <w:divBdr>
            <w:top w:val="none" w:sz="0" w:space="0" w:color="auto"/>
            <w:left w:val="none" w:sz="0" w:space="0" w:color="auto"/>
            <w:bottom w:val="none" w:sz="0" w:space="0" w:color="auto"/>
            <w:right w:val="none" w:sz="0" w:space="0" w:color="auto"/>
          </w:divBdr>
        </w:div>
        <w:div w:id="1278221280">
          <w:marLeft w:val="0"/>
          <w:marRight w:val="0"/>
          <w:marTop w:val="0"/>
          <w:marBottom w:val="0"/>
          <w:divBdr>
            <w:top w:val="none" w:sz="0" w:space="0" w:color="auto"/>
            <w:left w:val="none" w:sz="0" w:space="0" w:color="auto"/>
            <w:bottom w:val="none" w:sz="0" w:space="0" w:color="auto"/>
            <w:right w:val="none" w:sz="0" w:space="0" w:color="auto"/>
          </w:divBdr>
        </w:div>
        <w:div w:id="1781878356">
          <w:marLeft w:val="0"/>
          <w:marRight w:val="0"/>
          <w:marTop w:val="0"/>
          <w:marBottom w:val="0"/>
          <w:divBdr>
            <w:top w:val="none" w:sz="0" w:space="0" w:color="auto"/>
            <w:left w:val="none" w:sz="0" w:space="0" w:color="auto"/>
            <w:bottom w:val="none" w:sz="0" w:space="0" w:color="auto"/>
            <w:right w:val="none" w:sz="0" w:space="0" w:color="auto"/>
          </w:divBdr>
        </w:div>
        <w:div w:id="316613841">
          <w:marLeft w:val="0"/>
          <w:marRight w:val="0"/>
          <w:marTop w:val="0"/>
          <w:marBottom w:val="0"/>
          <w:divBdr>
            <w:top w:val="none" w:sz="0" w:space="0" w:color="auto"/>
            <w:left w:val="none" w:sz="0" w:space="0" w:color="auto"/>
            <w:bottom w:val="none" w:sz="0" w:space="0" w:color="auto"/>
            <w:right w:val="none" w:sz="0" w:space="0" w:color="auto"/>
          </w:divBdr>
        </w:div>
        <w:div w:id="2018187317">
          <w:marLeft w:val="0"/>
          <w:marRight w:val="0"/>
          <w:marTop w:val="0"/>
          <w:marBottom w:val="0"/>
          <w:divBdr>
            <w:top w:val="none" w:sz="0" w:space="0" w:color="auto"/>
            <w:left w:val="none" w:sz="0" w:space="0" w:color="auto"/>
            <w:bottom w:val="none" w:sz="0" w:space="0" w:color="auto"/>
            <w:right w:val="none" w:sz="0" w:space="0" w:color="auto"/>
          </w:divBdr>
        </w:div>
        <w:div w:id="875581662">
          <w:marLeft w:val="0"/>
          <w:marRight w:val="0"/>
          <w:marTop w:val="0"/>
          <w:marBottom w:val="0"/>
          <w:divBdr>
            <w:top w:val="none" w:sz="0" w:space="0" w:color="auto"/>
            <w:left w:val="none" w:sz="0" w:space="0" w:color="auto"/>
            <w:bottom w:val="none" w:sz="0" w:space="0" w:color="auto"/>
            <w:right w:val="none" w:sz="0" w:space="0" w:color="auto"/>
          </w:divBdr>
        </w:div>
        <w:div w:id="1946501810">
          <w:marLeft w:val="0"/>
          <w:marRight w:val="0"/>
          <w:marTop w:val="0"/>
          <w:marBottom w:val="0"/>
          <w:divBdr>
            <w:top w:val="none" w:sz="0" w:space="0" w:color="auto"/>
            <w:left w:val="none" w:sz="0" w:space="0" w:color="auto"/>
            <w:bottom w:val="none" w:sz="0" w:space="0" w:color="auto"/>
            <w:right w:val="none" w:sz="0" w:space="0" w:color="auto"/>
          </w:divBdr>
        </w:div>
        <w:div w:id="1012680044">
          <w:marLeft w:val="0"/>
          <w:marRight w:val="0"/>
          <w:marTop w:val="0"/>
          <w:marBottom w:val="0"/>
          <w:divBdr>
            <w:top w:val="none" w:sz="0" w:space="0" w:color="auto"/>
            <w:left w:val="none" w:sz="0" w:space="0" w:color="auto"/>
            <w:bottom w:val="none" w:sz="0" w:space="0" w:color="auto"/>
            <w:right w:val="none" w:sz="0" w:space="0" w:color="auto"/>
          </w:divBdr>
        </w:div>
        <w:div w:id="1537818359">
          <w:marLeft w:val="0"/>
          <w:marRight w:val="0"/>
          <w:marTop w:val="0"/>
          <w:marBottom w:val="0"/>
          <w:divBdr>
            <w:top w:val="none" w:sz="0" w:space="0" w:color="auto"/>
            <w:left w:val="none" w:sz="0" w:space="0" w:color="auto"/>
            <w:bottom w:val="none" w:sz="0" w:space="0" w:color="auto"/>
            <w:right w:val="none" w:sz="0" w:space="0" w:color="auto"/>
          </w:divBdr>
        </w:div>
        <w:div w:id="196965589">
          <w:marLeft w:val="0"/>
          <w:marRight w:val="0"/>
          <w:marTop w:val="0"/>
          <w:marBottom w:val="0"/>
          <w:divBdr>
            <w:top w:val="none" w:sz="0" w:space="0" w:color="auto"/>
            <w:left w:val="none" w:sz="0" w:space="0" w:color="auto"/>
            <w:bottom w:val="none" w:sz="0" w:space="0" w:color="auto"/>
            <w:right w:val="none" w:sz="0" w:space="0" w:color="auto"/>
          </w:divBdr>
          <w:divsChild>
            <w:div w:id="436601024">
              <w:marLeft w:val="0"/>
              <w:marRight w:val="0"/>
              <w:marTop w:val="0"/>
              <w:marBottom w:val="0"/>
              <w:divBdr>
                <w:top w:val="none" w:sz="0" w:space="0" w:color="auto"/>
                <w:left w:val="none" w:sz="0" w:space="0" w:color="auto"/>
                <w:bottom w:val="none" w:sz="0" w:space="0" w:color="auto"/>
                <w:right w:val="none" w:sz="0" w:space="0" w:color="auto"/>
              </w:divBdr>
            </w:div>
            <w:div w:id="1556891914">
              <w:marLeft w:val="0"/>
              <w:marRight w:val="0"/>
              <w:marTop w:val="0"/>
              <w:marBottom w:val="0"/>
              <w:divBdr>
                <w:top w:val="none" w:sz="0" w:space="0" w:color="auto"/>
                <w:left w:val="none" w:sz="0" w:space="0" w:color="auto"/>
                <w:bottom w:val="none" w:sz="0" w:space="0" w:color="auto"/>
                <w:right w:val="none" w:sz="0" w:space="0" w:color="auto"/>
              </w:divBdr>
            </w:div>
            <w:div w:id="437599400">
              <w:marLeft w:val="0"/>
              <w:marRight w:val="0"/>
              <w:marTop w:val="0"/>
              <w:marBottom w:val="0"/>
              <w:divBdr>
                <w:top w:val="none" w:sz="0" w:space="0" w:color="auto"/>
                <w:left w:val="none" w:sz="0" w:space="0" w:color="auto"/>
                <w:bottom w:val="none" w:sz="0" w:space="0" w:color="auto"/>
                <w:right w:val="none" w:sz="0" w:space="0" w:color="auto"/>
              </w:divBdr>
            </w:div>
            <w:div w:id="782186890">
              <w:marLeft w:val="0"/>
              <w:marRight w:val="0"/>
              <w:marTop w:val="0"/>
              <w:marBottom w:val="0"/>
              <w:divBdr>
                <w:top w:val="none" w:sz="0" w:space="0" w:color="auto"/>
                <w:left w:val="none" w:sz="0" w:space="0" w:color="auto"/>
                <w:bottom w:val="none" w:sz="0" w:space="0" w:color="auto"/>
                <w:right w:val="none" w:sz="0" w:space="0" w:color="auto"/>
              </w:divBdr>
            </w:div>
          </w:divsChild>
        </w:div>
        <w:div w:id="880283141">
          <w:marLeft w:val="0"/>
          <w:marRight w:val="0"/>
          <w:marTop w:val="0"/>
          <w:marBottom w:val="0"/>
          <w:divBdr>
            <w:top w:val="none" w:sz="0" w:space="0" w:color="auto"/>
            <w:left w:val="none" w:sz="0" w:space="0" w:color="auto"/>
            <w:bottom w:val="none" w:sz="0" w:space="0" w:color="auto"/>
            <w:right w:val="none" w:sz="0" w:space="0" w:color="auto"/>
          </w:divBdr>
          <w:divsChild>
            <w:div w:id="2004385302">
              <w:marLeft w:val="0"/>
              <w:marRight w:val="0"/>
              <w:marTop w:val="0"/>
              <w:marBottom w:val="0"/>
              <w:divBdr>
                <w:top w:val="none" w:sz="0" w:space="0" w:color="auto"/>
                <w:left w:val="none" w:sz="0" w:space="0" w:color="auto"/>
                <w:bottom w:val="none" w:sz="0" w:space="0" w:color="auto"/>
                <w:right w:val="none" w:sz="0" w:space="0" w:color="auto"/>
              </w:divBdr>
            </w:div>
          </w:divsChild>
        </w:div>
        <w:div w:id="702050675">
          <w:marLeft w:val="0"/>
          <w:marRight w:val="0"/>
          <w:marTop w:val="0"/>
          <w:marBottom w:val="0"/>
          <w:divBdr>
            <w:top w:val="none" w:sz="0" w:space="0" w:color="auto"/>
            <w:left w:val="none" w:sz="0" w:space="0" w:color="auto"/>
            <w:bottom w:val="none" w:sz="0" w:space="0" w:color="auto"/>
            <w:right w:val="none" w:sz="0" w:space="0" w:color="auto"/>
          </w:divBdr>
          <w:divsChild>
            <w:div w:id="388497652">
              <w:marLeft w:val="0"/>
              <w:marRight w:val="0"/>
              <w:marTop w:val="0"/>
              <w:marBottom w:val="0"/>
              <w:divBdr>
                <w:top w:val="none" w:sz="0" w:space="0" w:color="auto"/>
                <w:left w:val="none" w:sz="0" w:space="0" w:color="auto"/>
                <w:bottom w:val="none" w:sz="0" w:space="0" w:color="auto"/>
                <w:right w:val="none" w:sz="0" w:space="0" w:color="auto"/>
              </w:divBdr>
            </w:div>
            <w:div w:id="131562207">
              <w:marLeft w:val="0"/>
              <w:marRight w:val="0"/>
              <w:marTop w:val="0"/>
              <w:marBottom w:val="0"/>
              <w:divBdr>
                <w:top w:val="none" w:sz="0" w:space="0" w:color="auto"/>
                <w:left w:val="none" w:sz="0" w:space="0" w:color="auto"/>
                <w:bottom w:val="none" w:sz="0" w:space="0" w:color="auto"/>
                <w:right w:val="none" w:sz="0" w:space="0" w:color="auto"/>
              </w:divBdr>
            </w:div>
            <w:div w:id="2044287923">
              <w:marLeft w:val="0"/>
              <w:marRight w:val="0"/>
              <w:marTop w:val="0"/>
              <w:marBottom w:val="0"/>
              <w:divBdr>
                <w:top w:val="none" w:sz="0" w:space="0" w:color="auto"/>
                <w:left w:val="none" w:sz="0" w:space="0" w:color="auto"/>
                <w:bottom w:val="none" w:sz="0" w:space="0" w:color="auto"/>
                <w:right w:val="none" w:sz="0" w:space="0" w:color="auto"/>
              </w:divBdr>
            </w:div>
            <w:div w:id="1925259633">
              <w:marLeft w:val="0"/>
              <w:marRight w:val="0"/>
              <w:marTop w:val="0"/>
              <w:marBottom w:val="0"/>
              <w:divBdr>
                <w:top w:val="none" w:sz="0" w:space="0" w:color="auto"/>
                <w:left w:val="none" w:sz="0" w:space="0" w:color="auto"/>
                <w:bottom w:val="none" w:sz="0" w:space="0" w:color="auto"/>
                <w:right w:val="none" w:sz="0" w:space="0" w:color="auto"/>
              </w:divBdr>
            </w:div>
            <w:div w:id="1942494982">
              <w:marLeft w:val="0"/>
              <w:marRight w:val="0"/>
              <w:marTop w:val="0"/>
              <w:marBottom w:val="0"/>
              <w:divBdr>
                <w:top w:val="none" w:sz="0" w:space="0" w:color="auto"/>
                <w:left w:val="none" w:sz="0" w:space="0" w:color="auto"/>
                <w:bottom w:val="none" w:sz="0" w:space="0" w:color="auto"/>
                <w:right w:val="none" w:sz="0" w:space="0" w:color="auto"/>
              </w:divBdr>
            </w:div>
          </w:divsChild>
        </w:div>
        <w:div w:id="1906211242">
          <w:marLeft w:val="0"/>
          <w:marRight w:val="0"/>
          <w:marTop w:val="0"/>
          <w:marBottom w:val="0"/>
          <w:divBdr>
            <w:top w:val="none" w:sz="0" w:space="0" w:color="auto"/>
            <w:left w:val="none" w:sz="0" w:space="0" w:color="auto"/>
            <w:bottom w:val="none" w:sz="0" w:space="0" w:color="auto"/>
            <w:right w:val="none" w:sz="0" w:space="0" w:color="auto"/>
          </w:divBdr>
        </w:div>
        <w:div w:id="467210099">
          <w:marLeft w:val="0"/>
          <w:marRight w:val="0"/>
          <w:marTop w:val="0"/>
          <w:marBottom w:val="0"/>
          <w:divBdr>
            <w:top w:val="none" w:sz="0" w:space="0" w:color="auto"/>
            <w:left w:val="none" w:sz="0" w:space="0" w:color="auto"/>
            <w:bottom w:val="none" w:sz="0" w:space="0" w:color="auto"/>
            <w:right w:val="none" w:sz="0" w:space="0" w:color="auto"/>
          </w:divBdr>
        </w:div>
        <w:div w:id="1078750077">
          <w:marLeft w:val="0"/>
          <w:marRight w:val="0"/>
          <w:marTop w:val="0"/>
          <w:marBottom w:val="0"/>
          <w:divBdr>
            <w:top w:val="none" w:sz="0" w:space="0" w:color="auto"/>
            <w:left w:val="none" w:sz="0" w:space="0" w:color="auto"/>
            <w:bottom w:val="none" w:sz="0" w:space="0" w:color="auto"/>
            <w:right w:val="none" w:sz="0" w:space="0" w:color="auto"/>
          </w:divBdr>
        </w:div>
        <w:div w:id="1154027683">
          <w:marLeft w:val="0"/>
          <w:marRight w:val="0"/>
          <w:marTop w:val="0"/>
          <w:marBottom w:val="0"/>
          <w:divBdr>
            <w:top w:val="none" w:sz="0" w:space="0" w:color="auto"/>
            <w:left w:val="none" w:sz="0" w:space="0" w:color="auto"/>
            <w:bottom w:val="none" w:sz="0" w:space="0" w:color="auto"/>
            <w:right w:val="none" w:sz="0" w:space="0" w:color="auto"/>
          </w:divBdr>
        </w:div>
        <w:div w:id="1547523447">
          <w:marLeft w:val="0"/>
          <w:marRight w:val="0"/>
          <w:marTop w:val="0"/>
          <w:marBottom w:val="0"/>
          <w:divBdr>
            <w:top w:val="none" w:sz="0" w:space="0" w:color="auto"/>
            <w:left w:val="none" w:sz="0" w:space="0" w:color="auto"/>
            <w:bottom w:val="none" w:sz="0" w:space="0" w:color="auto"/>
            <w:right w:val="none" w:sz="0" w:space="0" w:color="auto"/>
          </w:divBdr>
        </w:div>
        <w:div w:id="2007631316">
          <w:marLeft w:val="0"/>
          <w:marRight w:val="0"/>
          <w:marTop w:val="0"/>
          <w:marBottom w:val="0"/>
          <w:divBdr>
            <w:top w:val="none" w:sz="0" w:space="0" w:color="auto"/>
            <w:left w:val="none" w:sz="0" w:space="0" w:color="auto"/>
            <w:bottom w:val="none" w:sz="0" w:space="0" w:color="auto"/>
            <w:right w:val="none" w:sz="0" w:space="0" w:color="auto"/>
          </w:divBdr>
          <w:divsChild>
            <w:div w:id="1363362610">
              <w:marLeft w:val="0"/>
              <w:marRight w:val="0"/>
              <w:marTop w:val="0"/>
              <w:marBottom w:val="0"/>
              <w:divBdr>
                <w:top w:val="none" w:sz="0" w:space="0" w:color="auto"/>
                <w:left w:val="none" w:sz="0" w:space="0" w:color="auto"/>
                <w:bottom w:val="none" w:sz="0" w:space="0" w:color="auto"/>
                <w:right w:val="none" w:sz="0" w:space="0" w:color="auto"/>
              </w:divBdr>
            </w:div>
            <w:div w:id="1872376494">
              <w:marLeft w:val="0"/>
              <w:marRight w:val="0"/>
              <w:marTop w:val="0"/>
              <w:marBottom w:val="0"/>
              <w:divBdr>
                <w:top w:val="none" w:sz="0" w:space="0" w:color="auto"/>
                <w:left w:val="none" w:sz="0" w:space="0" w:color="auto"/>
                <w:bottom w:val="none" w:sz="0" w:space="0" w:color="auto"/>
                <w:right w:val="none" w:sz="0" w:space="0" w:color="auto"/>
              </w:divBdr>
            </w:div>
            <w:div w:id="1292857781">
              <w:marLeft w:val="0"/>
              <w:marRight w:val="0"/>
              <w:marTop w:val="0"/>
              <w:marBottom w:val="0"/>
              <w:divBdr>
                <w:top w:val="none" w:sz="0" w:space="0" w:color="auto"/>
                <w:left w:val="none" w:sz="0" w:space="0" w:color="auto"/>
                <w:bottom w:val="none" w:sz="0" w:space="0" w:color="auto"/>
                <w:right w:val="none" w:sz="0" w:space="0" w:color="auto"/>
              </w:divBdr>
            </w:div>
            <w:div w:id="1628315730">
              <w:marLeft w:val="0"/>
              <w:marRight w:val="0"/>
              <w:marTop w:val="0"/>
              <w:marBottom w:val="0"/>
              <w:divBdr>
                <w:top w:val="none" w:sz="0" w:space="0" w:color="auto"/>
                <w:left w:val="none" w:sz="0" w:space="0" w:color="auto"/>
                <w:bottom w:val="none" w:sz="0" w:space="0" w:color="auto"/>
                <w:right w:val="none" w:sz="0" w:space="0" w:color="auto"/>
              </w:divBdr>
            </w:div>
          </w:divsChild>
        </w:div>
        <w:div w:id="237403031">
          <w:marLeft w:val="0"/>
          <w:marRight w:val="0"/>
          <w:marTop w:val="0"/>
          <w:marBottom w:val="0"/>
          <w:divBdr>
            <w:top w:val="none" w:sz="0" w:space="0" w:color="auto"/>
            <w:left w:val="none" w:sz="0" w:space="0" w:color="auto"/>
            <w:bottom w:val="none" w:sz="0" w:space="0" w:color="auto"/>
            <w:right w:val="none" w:sz="0" w:space="0" w:color="auto"/>
          </w:divBdr>
        </w:div>
        <w:div w:id="239559670">
          <w:marLeft w:val="0"/>
          <w:marRight w:val="0"/>
          <w:marTop w:val="0"/>
          <w:marBottom w:val="0"/>
          <w:divBdr>
            <w:top w:val="none" w:sz="0" w:space="0" w:color="auto"/>
            <w:left w:val="none" w:sz="0" w:space="0" w:color="auto"/>
            <w:bottom w:val="none" w:sz="0" w:space="0" w:color="auto"/>
            <w:right w:val="none" w:sz="0" w:space="0" w:color="auto"/>
          </w:divBdr>
        </w:div>
        <w:div w:id="72817493">
          <w:marLeft w:val="0"/>
          <w:marRight w:val="0"/>
          <w:marTop w:val="0"/>
          <w:marBottom w:val="0"/>
          <w:divBdr>
            <w:top w:val="none" w:sz="0" w:space="0" w:color="auto"/>
            <w:left w:val="none" w:sz="0" w:space="0" w:color="auto"/>
            <w:bottom w:val="none" w:sz="0" w:space="0" w:color="auto"/>
            <w:right w:val="none" w:sz="0" w:space="0" w:color="auto"/>
          </w:divBdr>
        </w:div>
        <w:div w:id="451438651">
          <w:marLeft w:val="0"/>
          <w:marRight w:val="0"/>
          <w:marTop w:val="0"/>
          <w:marBottom w:val="0"/>
          <w:divBdr>
            <w:top w:val="none" w:sz="0" w:space="0" w:color="auto"/>
            <w:left w:val="none" w:sz="0" w:space="0" w:color="auto"/>
            <w:bottom w:val="none" w:sz="0" w:space="0" w:color="auto"/>
            <w:right w:val="none" w:sz="0" w:space="0" w:color="auto"/>
          </w:divBdr>
        </w:div>
        <w:div w:id="1348754146">
          <w:marLeft w:val="0"/>
          <w:marRight w:val="0"/>
          <w:marTop w:val="0"/>
          <w:marBottom w:val="0"/>
          <w:divBdr>
            <w:top w:val="none" w:sz="0" w:space="0" w:color="auto"/>
            <w:left w:val="none" w:sz="0" w:space="0" w:color="auto"/>
            <w:bottom w:val="none" w:sz="0" w:space="0" w:color="auto"/>
            <w:right w:val="none" w:sz="0" w:space="0" w:color="auto"/>
          </w:divBdr>
        </w:div>
        <w:div w:id="749037054">
          <w:marLeft w:val="0"/>
          <w:marRight w:val="0"/>
          <w:marTop w:val="0"/>
          <w:marBottom w:val="0"/>
          <w:divBdr>
            <w:top w:val="none" w:sz="0" w:space="0" w:color="auto"/>
            <w:left w:val="none" w:sz="0" w:space="0" w:color="auto"/>
            <w:bottom w:val="none" w:sz="0" w:space="0" w:color="auto"/>
            <w:right w:val="none" w:sz="0" w:space="0" w:color="auto"/>
          </w:divBdr>
        </w:div>
        <w:div w:id="1685861828">
          <w:marLeft w:val="0"/>
          <w:marRight w:val="0"/>
          <w:marTop w:val="0"/>
          <w:marBottom w:val="0"/>
          <w:divBdr>
            <w:top w:val="none" w:sz="0" w:space="0" w:color="auto"/>
            <w:left w:val="none" w:sz="0" w:space="0" w:color="auto"/>
            <w:bottom w:val="none" w:sz="0" w:space="0" w:color="auto"/>
            <w:right w:val="none" w:sz="0" w:space="0" w:color="auto"/>
          </w:divBdr>
        </w:div>
        <w:div w:id="1621959129">
          <w:marLeft w:val="0"/>
          <w:marRight w:val="0"/>
          <w:marTop w:val="0"/>
          <w:marBottom w:val="0"/>
          <w:divBdr>
            <w:top w:val="none" w:sz="0" w:space="0" w:color="auto"/>
            <w:left w:val="none" w:sz="0" w:space="0" w:color="auto"/>
            <w:bottom w:val="none" w:sz="0" w:space="0" w:color="auto"/>
            <w:right w:val="none" w:sz="0" w:space="0" w:color="auto"/>
          </w:divBdr>
          <w:divsChild>
            <w:div w:id="480390853">
              <w:marLeft w:val="-75"/>
              <w:marRight w:val="0"/>
              <w:marTop w:val="30"/>
              <w:marBottom w:val="30"/>
              <w:divBdr>
                <w:top w:val="none" w:sz="0" w:space="0" w:color="auto"/>
                <w:left w:val="none" w:sz="0" w:space="0" w:color="auto"/>
                <w:bottom w:val="none" w:sz="0" w:space="0" w:color="auto"/>
                <w:right w:val="none" w:sz="0" w:space="0" w:color="auto"/>
              </w:divBdr>
              <w:divsChild>
                <w:div w:id="1863861614">
                  <w:marLeft w:val="0"/>
                  <w:marRight w:val="0"/>
                  <w:marTop w:val="0"/>
                  <w:marBottom w:val="0"/>
                  <w:divBdr>
                    <w:top w:val="none" w:sz="0" w:space="0" w:color="auto"/>
                    <w:left w:val="none" w:sz="0" w:space="0" w:color="auto"/>
                    <w:bottom w:val="none" w:sz="0" w:space="0" w:color="auto"/>
                    <w:right w:val="none" w:sz="0" w:space="0" w:color="auto"/>
                  </w:divBdr>
                  <w:divsChild>
                    <w:div w:id="1250886579">
                      <w:marLeft w:val="0"/>
                      <w:marRight w:val="0"/>
                      <w:marTop w:val="0"/>
                      <w:marBottom w:val="0"/>
                      <w:divBdr>
                        <w:top w:val="none" w:sz="0" w:space="0" w:color="auto"/>
                        <w:left w:val="none" w:sz="0" w:space="0" w:color="auto"/>
                        <w:bottom w:val="none" w:sz="0" w:space="0" w:color="auto"/>
                        <w:right w:val="none" w:sz="0" w:space="0" w:color="auto"/>
                      </w:divBdr>
                    </w:div>
                  </w:divsChild>
                </w:div>
                <w:div w:id="12729102">
                  <w:marLeft w:val="0"/>
                  <w:marRight w:val="0"/>
                  <w:marTop w:val="0"/>
                  <w:marBottom w:val="0"/>
                  <w:divBdr>
                    <w:top w:val="none" w:sz="0" w:space="0" w:color="auto"/>
                    <w:left w:val="none" w:sz="0" w:space="0" w:color="auto"/>
                    <w:bottom w:val="none" w:sz="0" w:space="0" w:color="auto"/>
                    <w:right w:val="none" w:sz="0" w:space="0" w:color="auto"/>
                  </w:divBdr>
                  <w:divsChild>
                    <w:div w:id="555700176">
                      <w:marLeft w:val="0"/>
                      <w:marRight w:val="0"/>
                      <w:marTop w:val="0"/>
                      <w:marBottom w:val="0"/>
                      <w:divBdr>
                        <w:top w:val="none" w:sz="0" w:space="0" w:color="auto"/>
                        <w:left w:val="none" w:sz="0" w:space="0" w:color="auto"/>
                        <w:bottom w:val="none" w:sz="0" w:space="0" w:color="auto"/>
                        <w:right w:val="none" w:sz="0" w:space="0" w:color="auto"/>
                      </w:divBdr>
                    </w:div>
                  </w:divsChild>
                </w:div>
                <w:div w:id="990332893">
                  <w:marLeft w:val="0"/>
                  <w:marRight w:val="0"/>
                  <w:marTop w:val="0"/>
                  <w:marBottom w:val="0"/>
                  <w:divBdr>
                    <w:top w:val="none" w:sz="0" w:space="0" w:color="auto"/>
                    <w:left w:val="none" w:sz="0" w:space="0" w:color="auto"/>
                    <w:bottom w:val="none" w:sz="0" w:space="0" w:color="auto"/>
                    <w:right w:val="none" w:sz="0" w:space="0" w:color="auto"/>
                  </w:divBdr>
                  <w:divsChild>
                    <w:div w:id="369955746">
                      <w:marLeft w:val="0"/>
                      <w:marRight w:val="0"/>
                      <w:marTop w:val="0"/>
                      <w:marBottom w:val="0"/>
                      <w:divBdr>
                        <w:top w:val="none" w:sz="0" w:space="0" w:color="auto"/>
                        <w:left w:val="none" w:sz="0" w:space="0" w:color="auto"/>
                        <w:bottom w:val="none" w:sz="0" w:space="0" w:color="auto"/>
                        <w:right w:val="none" w:sz="0" w:space="0" w:color="auto"/>
                      </w:divBdr>
                    </w:div>
                  </w:divsChild>
                </w:div>
                <w:div w:id="161702227">
                  <w:marLeft w:val="0"/>
                  <w:marRight w:val="0"/>
                  <w:marTop w:val="0"/>
                  <w:marBottom w:val="0"/>
                  <w:divBdr>
                    <w:top w:val="none" w:sz="0" w:space="0" w:color="auto"/>
                    <w:left w:val="none" w:sz="0" w:space="0" w:color="auto"/>
                    <w:bottom w:val="none" w:sz="0" w:space="0" w:color="auto"/>
                    <w:right w:val="none" w:sz="0" w:space="0" w:color="auto"/>
                  </w:divBdr>
                  <w:divsChild>
                    <w:div w:id="398745400">
                      <w:marLeft w:val="0"/>
                      <w:marRight w:val="0"/>
                      <w:marTop w:val="0"/>
                      <w:marBottom w:val="0"/>
                      <w:divBdr>
                        <w:top w:val="none" w:sz="0" w:space="0" w:color="auto"/>
                        <w:left w:val="none" w:sz="0" w:space="0" w:color="auto"/>
                        <w:bottom w:val="none" w:sz="0" w:space="0" w:color="auto"/>
                        <w:right w:val="none" w:sz="0" w:space="0" w:color="auto"/>
                      </w:divBdr>
                    </w:div>
                  </w:divsChild>
                </w:div>
                <w:div w:id="2035497258">
                  <w:marLeft w:val="0"/>
                  <w:marRight w:val="0"/>
                  <w:marTop w:val="0"/>
                  <w:marBottom w:val="0"/>
                  <w:divBdr>
                    <w:top w:val="none" w:sz="0" w:space="0" w:color="auto"/>
                    <w:left w:val="none" w:sz="0" w:space="0" w:color="auto"/>
                    <w:bottom w:val="none" w:sz="0" w:space="0" w:color="auto"/>
                    <w:right w:val="none" w:sz="0" w:space="0" w:color="auto"/>
                  </w:divBdr>
                  <w:divsChild>
                    <w:div w:id="1591044643">
                      <w:marLeft w:val="0"/>
                      <w:marRight w:val="0"/>
                      <w:marTop w:val="0"/>
                      <w:marBottom w:val="0"/>
                      <w:divBdr>
                        <w:top w:val="none" w:sz="0" w:space="0" w:color="auto"/>
                        <w:left w:val="none" w:sz="0" w:space="0" w:color="auto"/>
                        <w:bottom w:val="none" w:sz="0" w:space="0" w:color="auto"/>
                        <w:right w:val="none" w:sz="0" w:space="0" w:color="auto"/>
                      </w:divBdr>
                    </w:div>
                  </w:divsChild>
                </w:div>
                <w:div w:id="390738417">
                  <w:marLeft w:val="0"/>
                  <w:marRight w:val="0"/>
                  <w:marTop w:val="0"/>
                  <w:marBottom w:val="0"/>
                  <w:divBdr>
                    <w:top w:val="none" w:sz="0" w:space="0" w:color="auto"/>
                    <w:left w:val="none" w:sz="0" w:space="0" w:color="auto"/>
                    <w:bottom w:val="none" w:sz="0" w:space="0" w:color="auto"/>
                    <w:right w:val="none" w:sz="0" w:space="0" w:color="auto"/>
                  </w:divBdr>
                  <w:divsChild>
                    <w:div w:id="341400142">
                      <w:marLeft w:val="0"/>
                      <w:marRight w:val="0"/>
                      <w:marTop w:val="0"/>
                      <w:marBottom w:val="0"/>
                      <w:divBdr>
                        <w:top w:val="none" w:sz="0" w:space="0" w:color="auto"/>
                        <w:left w:val="none" w:sz="0" w:space="0" w:color="auto"/>
                        <w:bottom w:val="none" w:sz="0" w:space="0" w:color="auto"/>
                        <w:right w:val="none" w:sz="0" w:space="0" w:color="auto"/>
                      </w:divBdr>
                    </w:div>
                  </w:divsChild>
                </w:div>
                <w:div w:id="1641181643">
                  <w:marLeft w:val="0"/>
                  <w:marRight w:val="0"/>
                  <w:marTop w:val="0"/>
                  <w:marBottom w:val="0"/>
                  <w:divBdr>
                    <w:top w:val="none" w:sz="0" w:space="0" w:color="auto"/>
                    <w:left w:val="none" w:sz="0" w:space="0" w:color="auto"/>
                    <w:bottom w:val="none" w:sz="0" w:space="0" w:color="auto"/>
                    <w:right w:val="none" w:sz="0" w:space="0" w:color="auto"/>
                  </w:divBdr>
                  <w:divsChild>
                    <w:div w:id="1998727734">
                      <w:marLeft w:val="0"/>
                      <w:marRight w:val="0"/>
                      <w:marTop w:val="0"/>
                      <w:marBottom w:val="0"/>
                      <w:divBdr>
                        <w:top w:val="none" w:sz="0" w:space="0" w:color="auto"/>
                        <w:left w:val="none" w:sz="0" w:space="0" w:color="auto"/>
                        <w:bottom w:val="none" w:sz="0" w:space="0" w:color="auto"/>
                        <w:right w:val="none" w:sz="0" w:space="0" w:color="auto"/>
                      </w:divBdr>
                    </w:div>
                  </w:divsChild>
                </w:div>
                <w:div w:id="1540556792">
                  <w:marLeft w:val="0"/>
                  <w:marRight w:val="0"/>
                  <w:marTop w:val="0"/>
                  <w:marBottom w:val="0"/>
                  <w:divBdr>
                    <w:top w:val="none" w:sz="0" w:space="0" w:color="auto"/>
                    <w:left w:val="none" w:sz="0" w:space="0" w:color="auto"/>
                    <w:bottom w:val="none" w:sz="0" w:space="0" w:color="auto"/>
                    <w:right w:val="none" w:sz="0" w:space="0" w:color="auto"/>
                  </w:divBdr>
                  <w:divsChild>
                    <w:div w:id="354772067">
                      <w:marLeft w:val="0"/>
                      <w:marRight w:val="0"/>
                      <w:marTop w:val="0"/>
                      <w:marBottom w:val="0"/>
                      <w:divBdr>
                        <w:top w:val="none" w:sz="0" w:space="0" w:color="auto"/>
                        <w:left w:val="none" w:sz="0" w:space="0" w:color="auto"/>
                        <w:bottom w:val="none" w:sz="0" w:space="0" w:color="auto"/>
                        <w:right w:val="none" w:sz="0" w:space="0" w:color="auto"/>
                      </w:divBdr>
                    </w:div>
                  </w:divsChild>
                </w:div>
                <w:div w:id="2094549623">
                  <w:marLeft w:val="0"/>
                  <w:marRight w:val="0"/>
                  <w:marTop w:val="0"/>
                  <w:marBottom w:val="0"/>
                  <w:divBdr>
                    <w:top w:val="none" w:sz="0" w:space="0" w:color="auto"/>
                    <w:left w:val="none" w:sz="0" w:space="0" w:color="auto"/>
                    <w:bottom w:val="none" w:sz="0" w:space="0" w:color="auto"/>
                    <w:right w:val="none" w:sz="0" w:space="0" w:color="auto"/>
                  </w:divBdr>
                  <w:divsChild>
                    <w:div w:id="1058092739">
                      <w:marLeft w:val="0"/>
                      <w:marRight w:val="0"/>
                      <w:marTop w:val="0"/>
                      <w:marBottom w:val="0"/>
                      <w:divBdr>
                        <w:top w:val="none" w:sz="0" w:space="0" w:color="auto"/>
                        <w:left w:val="none" w:sz="0" w:space="0" w:color="auto"/>
                        <w:bottom w:val="none" w:sz="0" w:space="0" w:color="auto"/>
                        <w:right w:val="none" w:sz="0" w:space="0" w:color="auto"/>
                      </w:divBdr>
                    </w:div>
                  </w:divsChild>
                </w:div>
                <w:div w:id="1737624168">
                  <w:marLeft w:val="0"/>
                  <w:marRight w:val="0"/>
                  <w:marTop w:val="0"/>
                  <w:marBottom w:val="0"/>
                  <w:divBdr>
                    <w:top w:val="none" w:sz="0" w:space="0" w:color="auto"/>
                    <w:left w:val="none" w:sz="0" w:space="0" w:color="auto"/>
                    <w:bottom w:val="none" w:sz="0" w:space="0" w:color="auto"/>
                    <w:right w:val="none" w:sz="0" w:space="0" w:color="auto"/>
                  </w:divBdr>
                  <w:divsChild>
                    <w:div w:id="150597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149089">
          <w:marLeft w:val="0"/>
          <w:marRight w:val="0"/>
          <w:marTop w:val="0"/>
          <w:marBottom w:val="0"/>
          <w:divBdr>
            <w:top w:val="none" w:sz="0" w:space="0" w:color="auto"/>
            <w:left w:val="none" w:sz="0" w:space="0" w:color="auto"/>
            <w:bottom w:val="none" w:sz="0" w:space="0" w:color="auto"/>
            <w:right w:val="none" w:sz="0" w:space="0" w:color="auto"/>
          </w:divBdr>
          <w:divsChild>
            <w:div w:id="206381408">
              <w:marLeft w:val="0"/>
              <w:marRight w:val="0"/>
              <w:marTop w:val="0"/>
              <w:marBottom w:val="0"/>
              <w:divBdr>
                <w:top w:val="none" w:sz="0" w:space="0" w:color="auto"/>
                <w:left w:val="none" w:sz="0" w:space="0" w:color="auto"/>
                <w:bottom w:val="none" w:sz="0" w:space="0" w:color="auto"/>
                <w:right w:val="none" w:sz="0" w:space="0" w:color="auto"/>
              </w:divBdr>
            </w:div>
            <w:div w:id="1554534394">
              <w:marLeft w:val="0"/>
              <w:marRight w:val="0"/>
              <w:marTop w:val="0"/>
              <w:marBottom w:val="0"/>
              <w:divBdr>
                <w:top w:val="none" w:sz="0" w:space="0" w:color="auto"/>
                <w:left w:val="none" w:sz="0" w:space="0" w:color="auto"/>
                <w:bottom w:val="none" w:sz="0" w:space="0" w:color="auto"/>
                <w:right w:val="none" w:sz="0" w:space="0" w:color="auto"/>
              </w:divBdr>
            </w:div>
            <w:div w:id="952250054">
              <w:marLeft w:val="0"/>
              <w:marRight w:val="0"/>
              <w:marTop w:val="0"/>
              <w:marBottom w:val="0"/>
              <w:divBdr>
                <w:top w:val="none" w:sz="0" w:space="0" w:color="auto"/>
                <w:left w:val="none" w:sz="0" w:space="0" w:color="auto"/>
                <w:bottom w:val="none" w:sz="0" w:space="0" w:color="auto"/>
                <w:right w:val="none" w:sz="0" w:space="0" w:color="auto"/>
              </w:divBdr>
            </w:div>
            <w:div w:id="2060477052">
              <w:marLeft w:val="0"/>
              <w:marRight w:val="0"/>
              <w:marTop w:val="0"/>
              <w:marBottom w:val="0"/>
              <w:divBdr>
                <w:top w:val="none" w:sz="0" w:space="0" w:color="auto"/>
                <w:left w:val="none" w:sz="0" w:space="0" w:color="auto"/>
                <w:bottom w:val="none" w:sz="0" w:space="0" w:color="auto"/>
                <w:right w:val="none" w:sz="0" w:space="0" w:color="auto"/>
              </w:divBdr>
            </w:div>
            <w:div w:id="1141270679">
              <w:marLeft w:val="0"/>
              <w:marRight w:val="0"/>
              <w:marTop w:val="0"/>
              <w:marBottom w:val="0"/>
              <w:divBdr>
                <w:top w:val="none" w:sz="0" w:space="0" w:color="auto"/>
                <w:left w:val="none" w:sz="0" w:space="0" w:color="auto"/>
                <w:bottom w:val="none" w:sz="0" w:space="0" w:color="auto"/>
                <w:right w:val="none" w:sz="0" w:space="0" w:color="auto"/>
              </w:divBdr>
            </w:div>
          </w:divsChild>
        </w:div>
        <w:div w:id="1519612855">
          <w:marLeft w:val="0"/>
          <w:marRight w:val="0"/>
          <w:marTop w:val="0"/>
          <w:marBottom w:val="0"/>
          <w:divBdr>
            <w:top w:val="none" w:sz="0" w:space="0" w:color="auto"/>
            <w:left w:val="none" w:sz="0" w:space="0" w:color="auto"/>
            <w:bottom w:val="none" w:sz="0" w:space="0" w:color="auto"/>
            <w:right w:val="none" w:sz="0" w:space="0" w:color="auto"/>
          </w:divBdr>
          <w:divsChild>
            <w:div w:id="180433941">
              <w:marLeft w:val="0"/>
              <w:marRight w:val="0"/>
              <w:marTop w:val="0"/>
              <w:marBottom w:val="0"/>
              <w:divBdr>
                <w:top w:val="none" w:sz="0" w:space="0" w:color="auto"/>
                <w:left w:val="none" w:sz="0" w:space="0" w:color="auto"/>
                <w:bottom w:val="none" w:sz="0" w:space="0" w:color="auto"/>
                <w:right w:val="none" w:sz="0" w:space="0" w:color="auto"/>
              </w:divBdr>
            </w:div>
            <w:div w:id="1113325607">
              <w:marLeft w:val="0"/>
              <w:marRight w:val="0"/>
              <w:marTop w:val="0"/>
              <w:marBottom w:val="0"/>
              <w:divBdr>
                <w:top w:val="none" w:sz="0" w:space="0" w:color="auto"/>
                <w:left w:val="none" w:sz="0" w:space="0" w:color="auto"/>
                <w:bottom w:val="none" w:sz="0" w:space="0" w:color="auto"/>
                <w:right w:val="none" w:sz="0" w:space="0" w:color="auto"/>
              </w:divBdr>
            </w:div>
          </w:divsChild>
        </w:div>
        <w:div w:id="774518957">
          <w:marLeft w:val="0"/>
          <w:marRight w:val="0"/>
          <w:marTop w:val="0"/>
          <w:marBottom w:val="0"/>
          <w:divBdr>
            <w:top w:val="none" w:sz="0" w:space="0" w:color="auto"/>
            <w:left w:val="none" w:sz="0" w:space="0" w:color="auto"/>
            <w:bottom w:val="none" w:sz="0" w:space="0" w:color="auto"/>
            <w:right w:val="none" w:sz="0" w:space="0" w:color="auto"/>
          </w:divBdr>
          <w:divsChild>
            <w:div w:id="124130226">
              <w:marLeft w:val="0"/>
              <w:marRight w:val="0"/>
              <w:marTop w:val="0"/>
              <w:marBottom w:val="0"/>
              <w:divBdr>
                <w:top w:val="none" w:sz="0" w:space="0" w:color="auto"/>
                <w:left w:val="none" w:sz="0" w:space="0" w:color="auto"/>
                <w:bottom w:val="none" w:sz="0" w:space="0" w:color="auto"/>
                <w:right w:val="none" w:sz="0" w:space="0" w:color="auto"/>
              </w:divBdr>
            </w:div>
          </w:divsChild>
        </w:div>
        <w:div w:id="1383091042">
          <w:marLeft w:val="0"/>
          <w:marRight w:val="0"/>
          <w:marTop w:val="0"/>
          <w:marBottom w:val="0"/>
          <w:divBdr>
            <w:top w:val="none" w:sz="0" w:space="0" w:color="auto"/>
            <w:left w:val="none" w:sz="0" w:space="0" w:color="auto"/>
            <w:bottom w:val="none" w:sz="0" w:space="0" w:color="auto"/>
            <w:right w:val="none" w:sz="0" w:space="0" w:color="auto"/>
          </w:divBdr>
          <w:divsChild>
            <w:div w:id="1878734843">
              <w:marLeft w:val="0"/>
              <w:marRight w:val="0"/>
              <w:marTop w:val="0"/>
              <w:marBottom w:val="0"/>
              <w:divBdr>
                <w:top w:val="none" w:sz="0" w:space="0" w:color="auto"/>
                <w:left w:val="none" w:sz="0" w:space="0" w:color="auto"/>
                <w:bottom w:val="none" w:sz="0" w:space="0" w:color="auto"/>
                <w:right w:val="none" w:sz="0" w:space="0" w:color="auto"/>
              </w:divBdr>
            </w:div>
            <w:div w:id="956646080">
              <w:marLeft w:val="0"/>
              <w:marRight w:val="0"/>
              <w:marTop w:val="0"/>
              <w:marBottom w:val="0"/>
              <w:divBdr>
                <w:top w:val="none" w:sz="0" w:space="0" w:color="auto"/>
                <w:left w:val="none" w:sz="0" w:space="0" w:color="auto"/>
                <w:bottom w:val="none" w:sz="0" w:space="0" w:color="auto"/>
                <w:right w:val="none" w:sz="0" w:space="0" w:color="auto"/>
              </w:divBdr>
            </w:div>
            <w:div w:id="1442608357">
              <w:marLeft w:val="0"/>
              <w:marRight w:val="0"/>
              <w:marTop w:val="0"/>
              <w:marBottom w:val="0"/>
              <w:divBdr>
                <w:top w:val="none" w:sz="0" w:space="0" w:color="auto"/>
                <w:left w:val="none" w:sz="0" w:space="0" w:color="auto"/>
                <w:bottom w:val="none" w:sz="0" w:space="0" w:color="auto"/>
                <w:right w:val="none" w:sz="0" w:space="0" w:color="auto"/>
              </w:divBdr>
            </w:div>
            <w:div w:id="830560797">
              <w:marLeft w:val="0"/>
              <w:marRight w:val="0"/>
              <w:marTop w:val="0"/>
              <w:marBottom w:val="0"/>
              <w:divBdr>
                <w:top w:val="none" w:sz="0" w:space="0" w:color="auto"/>
                <w:left w:val="none" w:sz="0" w:space="0" w:color="auto"/>
                <w:bottom w:val="none" w:sz="0" w:space="0" w:color="auto"/>
                <w:right w:val="none" w:sz="0" w:space="0" w:color="auto"/>
              </w:divBdr>
            </w:div>
            <w:div w:id="1080566855">
              <w:marLeft w:val="0"/>
              <w:marRight w:val="0"/>
              <w:marTop w:val="0"/>
              <w:marBottom w:val="0"/>
              <w:divBdr>
                <w:top w:val="none" w:sz="0" w:space="0" w:color="auto"/>
                <w:left w:val="none" w:sz="0" w:space="0" w:color="auto"/>
                <w:bottom w:val="none" w:sz="0" w:space="0" w:color="auto"/>
                <w:right w:val="none" w:sz="0" w:space="0" w:color="auto"/>
              </w:divBdr>
            </w:div>
          </w:divsChild>
        </w:div>
        <w:div w:id="102501440">
          <w:marLeft w:val="0"/>
          <w:marRight w:val="0"/>
          <w:marTop w:val="0"/>
          <w:marBottom w:val="0"/>
          <w:divBdr>
            <w:top w:val="none" w:sz="0" w:space="0" w:color="auto"/>
            <w:left w:val="none" w:sz="0" w:space="0" w:color="auto"/>
            <w:bottom w:val="none" w:sz="0" w:space="0" w:color="auto"/>
            <w:right w:val="none" w:sz="0" w:space="0" w:color="auto"/>
          </w:divBdr>
        </w:div>
        <w:div w:id="1872259644">
          <w:marLeft w:val="0"/>
          <w:marRight w:val="0"/>
          <w:marTop w:val="0"/>
          <w:marBottom w:val="0"/>
          <w:divBdr>
            <w:top w:val="none" w:sz="0" w:space="0" w:color="auto"/>
            <w:left w:val="none" w:sz="0" w:space="0" w:color="auto"/>
            <w:bottom w:val="none" w:sz="0" w:space="0" w:color="auto"/>
            <w:right w:val="none" w:sz="0" w:space="0" w:color="auto"/>
          </w:divBdr>
        </w:div>
        <w:div w:id="388695234">
          <w:marLeft w:val="0"/>
          <w:marRight w:val="0"/>
          <w:marTop w:val="0"/>
          <w:marBottom w:val="0"/>
          <w:divBdr>
            <w:top w:val="none" w:sz="0" w:space="0" w:color="auto"/>
            <w:left w:val="none" w:sz="0" w:space="0" w:color="auto"/>
            <w:bottom w:val="none" w:sz="0" w:space="0" w:color="auto"/>
            <w:right w:val="none" w:sz="0" w:space="0" w:color="auto"/>
          </w:divBdr>
        </w:div>
        <w:div w:id="203296875">
          <w:marLeft w:val="0"/>
          <w:marRight w:val="0"/>
          <w:marTop w:val="0"/>
          <w:marBottom w:val="0"/>
          <w:divBdr>
            <w:top w:val="none" w:sz="0" w:space="0" w:color="auto"/>
            <w:left w:val="none" w:sz="0" w:space="0" w:color="auto"/>
            <w:bottom w:val="none" w:sz="0" w:space="0" w:color="auto"/>
            <w:right w:val="none" w:sz="0" w:space="0" w:color="auto"/>
          </w:divBdr>
        </w:div>
        <w:div w:id="1688872299">
          <w:marLeft w:val="0"/>
          <w:marRight w:val="0"/>
          <w:marTop w:val="0"/>
          <w:marBottom w:val="0"/>
          <w:divBdr>
            <w:top w:val="none" w:sz="0" w:space="0" w:color="auto"/>
            <w:left w:val="none" w:sz="0" w:space="0" w:color="auto"/>
            <w:bottom w:val="none" w:sz="0" w:space="0" w:color="auto"/>
            <w:right w:val="none" w:sz="0" w:space="0" w:color="auto"/>
          </w:divBdr>
        </w:div>
        <w:div w:id="2095395522">
          <w:marLeft w:val="0"/>
          <w:marRight w:val="0"/>
          <w:marTop w:val="0"/>
          <w:marBottom w:val="0"/>
          <w:divBdr>
            <w:top w:val="none" w:sz="0" w:space="0" w:color="auto"/>
            <w:left w:val="none" w:sz="0" w:space="0" w:color="auto"/>
            <w:bottom w:val="none" w:sz="0" w:space="0" w:color="auto"/>
            <w:right w:val="none" w:sz="0" w:space="0" w:color="auto"/>
          </w:divBdr>
        </w:div>
        <w:div w:id="1518230699">
          <w:marLeft w:val="0"/>
          <w:marRight w:val="0"/>
          <w:marTop w:val="0"/>
          <w:marBottom w:val="0"/>
          <w:divBdr>
            <w:top w:val="none" w:sz="0" w:space="0" w:color="auto"/>
            <w:left w:val="none" w:sz="0" w:space="0" w:color="auto"/>
            <w:bottom w:val="none" w:sz="0" w:space="0" w:color="auto"/>
            <w:right w:val="none" w:sz="0" w:space="0" w:color="auto"/>
          </w:divBdr>
        </w:div>
        <w:div w:id="991716576">
          <w:marLeft w:val="0"/>
          <w:marRight w:val="0"/>
          <w:marTop w:val="0"/>
          <w:marBottom w:val="0"/>
          <w:divBdr>
            <w:top w:val="none" w:sz="0" w:space="0" w:color="auto"/>
            <w:left w:val="none" w:sz="0" w:space="0" w:color="auto"/>
            <w:bottom w:val="none" w:sz="0" w:space="0" w:color="auto"/>
            <w:right w:val="none" w:sz="0" w:space="0" w:color="auto"/>
          </w:divBdr>
        </w:div>
        <w:div w:id="603463816">
          <w:marLeft w:val="0"/>
          <w:marRight w:val="0"/>
          <w:marTop w:val="0"/>
          <w:marBottom w:val="0"/>
          <w:divBdr>
            <w:top w:val="none" w:sz="0" w:space="0" w:color="auto"/>
            <w:left w:val="none" w:sz="0" w:space="0" w:color="auto"/>
            <w:bottom w:val="none" w:sz="0" w:space="0" w:color="auto"/>
            <w:right w:val="none" w:sz="0" w:space="0" w:color="auto"/>
          </w:divBdr>
          <w:divsChild>
            <w:div w:id="1729956051">
              <w:marLeft w:val="-75"/>
              <w:marRight w:val="0"/>
              <w:marTop w:val="30"/>
              <w:marBottom w:val="30"/>
              <w:divBdr>
                <w:top w:val="none" w:sz="0" w:space="0" w:color="auto"/>
                <w:left w:val="none" w:sz="0" w:space="0" w:color="auto"/>
                <w:bottom w:val="none" w:sz="0" w:space="0" w:color="auto"/>
                <w:right w:val="none" w:sz="0" w:space="0" w:color="auto"/>
              </w:divBdr>
              <w:divsChild>
                <w:div w:id="856046752">
                  <w:marLeft w:val="0"/>
                  <w:marRight w:val="0"/>
                  <w:marTop w:val="0"/>
                  <w:marBottom w:val="0"/>
                  <w:divBdr>
                    <w:top w:val="none" w:sz="0" w:space="0" w:color="auto"/>
                    <w:left w:val="none" w:sz="0" w:space="0" w:color="auto"/>
                    <w:bottom w:val="none" w:sz="0" w:space="0" w:color="auto"/>
                    <w:right w:val="none" w:sz="0" w:space="0" w:color="auto"/>
                  </w:divBdr>
                  <w:divsChild>
                    <w:div w:id="41755181">
                      <w:marLeft w:val="0"/>
                      <w:marRight w:val="0"/>
                      <w:marTop w:val="0"/>
                      <w:marBottom w:val="0"/>
                      <w:divBdr>
                        <w:top w:val="none" w:sz="0" w:space="0" w:color="auto"/>
                        <w:left w:val="none" w:sz="0" w:space="0" w:color="auto"/>
                        <w:bottom w:val="none" w:sz="0" w:space="0" w:color="auto"/>
                        <w:right w:val="none" w:sz="0" w:space="0" w:color="auto"/>
                      </w:divBdr>
                    </w:div>
                  </w:divsChild>
                </w:div>
                <w:div w:id="31854666">
                  <w:marLeft w:val="0"/>
                  <w:marRight w:val="0"/>
                  <w:marTop w:val="0"/>
                  <w:marBottom w:val="0"/>
                  <w:divBdr>
                    <w:top w:val="none" w:sz="0" w:space="0" w:color="auto"/>
                    <w:left w:val="none" w:sz="0" w:space="0" w:color="auto"/>
                    <w:bottom w:val="none" w:sz="0" w:space="0" w:color="auto"/>
                    <w:right w:val="none" w:sz="0" w:space="0" w:color="auto"/>
                  </w:divBdr>
                  <w:divsChild>
                    <w:div w:id="1817533016">
                      <w:marLeft w:val="0"/>
                      <w:marRight w:val="0"/>
                      <w:marTop w:val="0"/>
                      <w:marBottom w:val="0"/>
                      <w:divBdr>
                        <w:top w:val="none" w:sz="0" w:space="0" w:color="auto"/>
                        <w:left w:val="none" w:sz="0" w:space="0" w:color="auto"/>
                        <w:bottom w:val="none" w:sz="0" w:space="0" w:color="auto"/>
                        <w:right w:val="none" w:sz="0" w:space="0" w:color="auto"/>
                      </w:divBdr>
                    </w:div>
                  </w:divsChild>
                </w:div>
                <w:div w:id="987440386">
                  <w:marLeft w:val="0"/>
                  <w:marRight w:val="0"/>
                  <w:marTop w:val="0"/>
                  <w:marBottom w:val="0"/>
                  <w:divBdr>
                    <w:top w:val="none" w:sz="0" w:space="0" w:color="auto"/>
                    <w:left w:val="none" w:sz="0" w:space="0" w:color="auto"/>
                    <w:bottom w:val="none" w:sz="0" w:space="0" w:color="auto"/>
                    <w:right w:val="none" w:sz="0" w:space="0" w:color="auto"/>
                  </w:divBdr>
                  <w:divsChild>
                    <w:div w:id="112405068">
                      <w:marLeft w:val="0"/>
                      <w:marRight w:val="0"/>
                      <w:marTop w:val="0"/>
                      <w:marBottom w:val="0"/>
                      <w:divBdr>
                        <w:top w:val="none" w:sz="0" w:space="0" w:color="auto"/>
                        <w:left w:val="none" w:sz="0" w:space="0" w:color="auto"/>
                        <w:bottom w:val="none" w:sz="0" w:space="0" w:color="auto"/>
                        <w:right w:val="none" w:sz="0" w:space="0" w:color="auto"/>
                      </w:divBdr>
                    </w:div>
                  </w:divsChild>
                </w:div>
                <w:div w:id="1050574014">
                  <w:marLeft w:val="0"/>
                  <w:marRight w:val="0"/>
                  <w:marTop w:val="0"/>
                  <w:marBottom w:val="0"/>
                  <w:divBdr>
                    <w:top w:val="none" w:sz="0" w:space="0" w:color="auto"/>
                    <w:left w:val="none" w:sz="0" w:space="0" w:color="auto"/>
                    <w:bottom w:val="none" w:sz="0" w:space="0" w:color="auto"/>
                    <w:right w:val="none" w:sz="0" w:space="0" w:color="auto"/>
                  </w:divBdr>
                  <w:divsChild>
                    <w:div w:id="1546871356">
                      <w:marLeft w:val="0"/>
                      <w:marRight w:val="0"/>
                      <w:marTop w:val="0"/>
                      <w:marBottom w:val="0"/>
                      <w:divBdr>
                        <w:top w:val="none" w:sz="0" w:space="0" w:color="auto"/>
                        <w:left w:val="none" w:sz="0" w:space="0" w:color="auto"/>
                        <w:bottom w:val="none" w:sz="0" w:space="0" w:color="auto"/>
                        <w:right w:val="none" w:sz="0" w:space="0" w:color="auto"/>
                      </w:divBdr>
                    </w:div>
                  </w:divsChild>
                </w:div>
                <w:div w:id="1490363811">
                  <w:marLeft w:val="0"/>
                  <w:marRight w:val="0"/>
                  <w:marTop w:val="0"/>
                  <w:marBottom w:val="0"/>
                  <w:divBdr>
                    <w:top w:val="none" w:sz="0" w:space="0" w:color="auto"/>
                    <w:left w:val="none" w:sz="0" w:space="0" w:color="auto"/>
                    <w:bottom w:val="none" w:sz="0" w:space="0" w:color="auto"/>
                    <w:right w:val="none" w:sz="0" w:space="0" w:color="auto"/>
                  </w:divBdr>
                  <w:divsChild>
                    <w:div w:id="526023758">
                      <w:marLeft w:val="0"/>
                      <w:marRight w:val="0"/>
                      <w:marTop w:val="0"/>
                      <w:marBottom w:val="0"/>
                      <w:divBdr>
                        <w:top w:val="none" w:sz="0" w:space="0" w:color="auto"/>
                        <w:left w:val="none" w:sz="0" w:space="0" w:color="auto"/>
                        <w:bottom w:val="none" w:sz="0" w:space="0" w:color="auto"/>
                        <w:right w:val="none" w:sz="0" w:space="0" w:color="auto"/>
                      </w:divBdr>
                    </w:div>
                  </w:divsChild>
                </w:div>
                <w:div w:id="24908449">
                  <w:marLeft w:val="0"/>
                  <w:marRight w:val="0"/>
                  <w:marTop w:val="0"/>
                  <w:marBottom w:val="0"/>
                  <w:divBdr>
                    <w:top w:val="none" w:sz="0" w:space="0" w:color="auto"/>
                    <w:left w:val="none" w:sz="0" w:space="0" w:color="auto"/>
                    <w:bottom w:val="none" w:sz="0" w:space="0" w:color="auto"/>
                    <w:right w:val="none" w:sz="0" w:space="0" w:color="auto"/>
                  </w:divBdr>
                  <w:divsChild>
                    <w:div w:id="1620213492">
                      <w:marLeft w:val="0"/>
                      <w:marRight w:val="0"/>
                      <w:marTop w:val="0"/>
                      <w:marBottom w:val="0"/>
                      <w:divBdr>
                        <w:top w:val="none" w:sz="0" w:space="0" w:color="auto"/>
                        <w:left w:val="none" w:sz="0" w:space="0" w:color="auto"/>
                        <w:bottom w:val="none" w:sz="0" w:space="0" w:color="auto"/>
                        <w:right w:val="none" w:sz="0" w:space="0" w:color="auto"/>
                      </w:divBdr>
                    </w:div>
                  </w:divsChild>
                </w:div>
                <w:div w:id="690491785">
                  <w:marLeft w:val="0"/>
                  <w:marRight w:val="0"/>
                  <w:marTop w:val="0"/>
                  <w:marBottom w:val="0"/>
                  <w:divBdr>
                    <w:top w:val="none" w:sz="0" w:space="0" w:color="auto"/>
                    <w:left w:val="none" w:sz="0" w:space="0" w:color="auto"/>
                    <w:bottom w:val="none" w:sz="0" w:space="0" w:color="auto"/>
                    <w:right w:val="none" w:sz="0" w:space="0" w:color="auto"/>
                  </w:divBdr>
                  <w:divsChild>
                    <w:div w:id="870608718">
                      <w:marLeft w:val="0"/>
                      <w:marRight w:val="0"/>
                      <w:marTop w:val="0"/>
                      <w:marBottom w:val="0"/>
                      <w:divBdr>
                        <w:top w:val="none" w:sz="0" w:space="0" w:color="auto"/>
                        <w:left w:val="none" w:sz="0" w:space="0" w:color="auto"/>
                        <w:bottom w:val="none" w:sz="0" w:space="0" w:color="auto"/>
                        <w:right w:val="none" w:sz="0" w:space="0" w:color="auto"/>
                      </w:divBdr>
                    </w:div>
                  </w:divsChild>
                </w:div>
                <w:div w:id="754522208">
                  <w:marLeft w:val="0"/>
                  <w:marRight w:val="0"/>
                  <w:marTop w:val="0"/>
                  <w:marBottom w:val="0"/>
                  <w:divBdr>
                    <w:top w:val="none" w:sz="0" w:space="0" w:color="auto"/>
                    <w:left w:val="none" w:sz="0" w:space="0" w:color="auto"/>
                    <w:bottom w:val="none" w:sz="0" w:space="0" w:color="auto"/>
                    <w:right w:val="none" w:sz="0" w:space="0" w:color="auto"/>
                  </w:divBdr>
                  <w:divsChild>
                    <w:div w:id="1421948366">
                      <w:marLeft w:val="0"/>
                      <w:marRight w:val="0"/>
                      <w:marTop w:val="0"/>
                      <w:marBottom w:val="0"/>
                      <w:divBdr>
                        <w:top w:val="none" w:sz="0" w:space="0" w:color="auto"/>
                        <w:left w:val="none" w:sz="0" w:space="0" w:color="auto"/>
                        <w:bottom w:val="none" w:sz="0" w:space="0" w:color="auto"/>
                        <w:right w:val="none" w:sz="0" w:space="0" w:color="auto"/>
                      </w:divBdr>
                    </w:div>
                  </w:divsChild>
                </w:div>
                <w:div w:id="1874413913">
                  <w:marLeft w:val="0"/>
                  <w:marRight w:val="0"/>
                  <w:marTop w:val="0"/>
                  <w:marBottom w:val="0"/>
                  <w:divBdr>
                    <w:top w:val="none" w:sz="0" w:space="0" w:color="auto"/>
                    <w:left w:val="none" w:sz="0" w:space="0" w:color="auto"/>
                    <w:bottom w:val="none" w:sz="0" w:space="0" w:color="auto"/>
                    <w:right w:val="none" w:sz="0" w:space="0" w:color="auto"/>
                  </w:divBdr>
                  <w:divsChild>
                    <w:div w:id="926963601">
                      <w:marLeft w:val="0"/>
                      <w:marRight w:val="0"/>
                      <w:marTop w:val="0"/>
                      <w:marBottom w:val="0"/>
                      <w:divBdr>
                        <w:top w:val="none" w:sz="0" w:space="0" w:color="auto"/>
                        <w:left w:val="none" w:sz="0" w:space="0" w:color="auto"/>
                        <w:bottom w:val="none" w:sz="0" w:space="0" w:color="auto"/>
                        <w:right w:val="none" w:sz="0" w:space="0" w:color="auto"/>
                      </w:divBdr>
                    </w:div>
                  </w:divsChild>
                </w:div>
                <w:div w:id="1271939342">
                  <w:marLeft w:val="0"/>
                  <w:marRight w:val="0"/>
                  <w:marTop w:val="0"/>
                  <w:marBottom w:val="0"/>
                  <w:divBdr>
                    <w:top w:val="none" w:sz="0" w:space="0" w:color="auto"/>
                    <w:left w:val="none" w:sz="0" w:space="0" w:color="auto"/>
                    <w:bottom w:val="none" w:sz="0" w:space="0" w:color="auto"/>
                    <w:right w:val="none" w:sz="0" w:space="0" w:color="auto"/>
                  </w:divBdr>
                  <w:divsChild>
                    <w:div w:id="184767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209185">
          <w:marLeft w:val="0"/>
          <w:marRight w:val="0"/>
          <w:marTop w:val="0"/>
          <w:marBottom w:val="0"/>
          <w:divBdr>
            <w:top w:val="none" w:sz="0" w:space="0" w:color="auto"/>
            <w:left w:val="none" w:sz="0" w:space="0" w:color="auto"/>
            <w:bottom w:val="none" w:sz="0" w:space="0" w:color="auto"/>
            <w:right w:val="none" w:sz="0" w:space="0" w:color="auto"/>
          </w:divBdr>
        </w:div>
        <w:div w:id="887836649">
          <w:marLeft w:val="0"/>
          <w:marRight w:val="0"/>
          <w:marTop w:val="0"/>
          <w:marBottom w:val="0"/>
          <w:divBdr>
            <w:top w:val="none" w:sz="0" w:space="0" w:color="auto"/>
            <w:left w:val="none" w:sz="0" w:space="0" w:color="auto"/>
            <w:bottom w:val="none" w:sz="0" w:space="0" w:color="auto"/>
            <w:right w:val="none" w:sz="0" w:space="0" w:color="auto"/>
          </w:divBdr>
        </w:div>
        <w:div w:id="1324552134">
          <w:marLeft w:val="0"/>
          <w:marRight w:val="0"/>
          <w:marTop w:val="0"/>
          <w:marBottom w:val="0"/>
          <w:divBdr>
            <w:top w:val="none" w:sz="0" w:space="0" w:color="auto"/>
            <w:left w:val="none" w:sz="0" w:space="0" w:color="auto"/>
            <w:bottom w:val="none" w:sz="0" w:space="0" w:color="auto"/>
            <w:right w:val="none" w:sz="0" w:space="0" w:color="auto"/>
          </w:divBdr>
        </w:div>
        <w:div w:id="495263252">
          <w:marLeft w:val="0"/>
          <w:marRight w:val="0"/>
          <w:marTop w:val="0"/>
          <w:marBottom w:val="0"/>
          <w:divBdr>
            <w:top w:val="none" w:sz="0" w:space="0" w:color="auto"/>
            <w:left w:val="none" w:sz="0" w:space="0" w:color="auto"/>
            <w:bottom w:val="none" w:sz="0" w:space="0" w:color="auto"/>
            <w:right w:val="none" w:sz="0" w:space="0" w:color="auto"/>
          </w:divBdr>
        </w:div>
        <w:div w:id="1790974318">
          <w:marLeft w:val="0"/>
          <w:marRight w:val="0"/>
          <w:marTop w:val="0"/>
          <w:marBottom w:val="0"/>
          <w:divBdr>
            <w:top w:val="none" w:sz="0" w:space="0" w:color="auto"/>
            <w:left w:val="none" w:sz="0" w:space="0" w:color="auto"/>
            <w:bottom w:val="none" w:sz="0" w:space="0" w:color="auto"/>
            <w:right w:val="none" w:sz="0" w:space="0" w:color="auto"/>
          </w:divBdr>
        </w:div>
        <w:div w:id="658076574">
          <w:marLeft w:val="0"/>
          <w:marRight w:val="0"/>
          <w:marTop w:val="0"/>
          <w:marBottom w:val="0"/>
          <w:divBdr>
            <w:top w:val="none" w:sz="0" w:space="0" w:color="auto"/>
            <w:left w:val="none" w:sz="0" w:space="0" w:color="auto"/>
            <w:bottom w:val="none" w:sz="0" w:space="0" w:color="auto"/>
            <w:right w:val="none" w:sz="0" w:space="0" w:color="auto"/>
          </w:divBdr>
        </w:div>
        <w:div w:id="959646392">
          <w:marLeft w:val="0"/>
          <w:marRight w:val="0"/>
          <w:marTop w:val="0"/>
          <w:marBottom w:val="0"/>
          <w:divBdr>
            <w:top w:val="none" w:sz="0" w:space="0" w:color="auto"/>
            <w:left w:val="none" w:sz="0" w:space="0" w:color="auto"/>
            <w:bottom w:val="none" w:sz="0" w:space="0" w:color="auto"/>
            <w:right w:val="none" w:sz="0" w:space="0" w:color="auto"/>
          </w:divBdr>
          <w:divsChild>
            <w:div w:id="455148482">
              <w:marLeft w:val="-75"/>
              <w:marRight w:val="0"/>
              <w:marTop w:val="30"/>
              <w:marBottom w:val="30"/>
              <w:divBdr>
                <w:top w:val="none" w:sz="0" w:space="0" w:color="auto"/>
                <w:left w:val="none" w:sz="0" w:space="0" w:color="auto"/>
                <w:bottom w:val="none" w:sz="0" w:space="0" w:color="auto"/>
                <w:right w:val="none" w:sz="0" w:space="0" w:color="auto"/>
              </w:divBdr>
              <w:divsChild>
                <w:div w:id="2112965838">
                  <w:marLeft w:val="0"/>
                  <w:marRight w:val="0"/>
                  <w:marTop w:val="0"/>
                  <w:marBottom w:val="0"/>
                  <w:divBdr>
                    <w:top w:val="none" w:sz="0" w:space="0" w:color="auto"/>
                    <w:left w:val="none" w:sz="0" w:space="0" w:color="auto"/>
                    <w:bottom w:val="none" w:sz="0" w:space="0" w:color="auto"/>
                    <w:right w:val="none" w:sz="0" w:space="0" w:color="auto"/>
                  </w:divBdr>
                  <w:divsChild>
                    <w:div w:id="493884934">
                      <w:marLeft w:val="0"/>
                      <w:marRight w:val="0"/>
                      <w:marTop w:val="0"/>
                      <w:marBottom w:val="0"/>
                      <w:divBdr>
                        <w:top w:val="none" w:sz="0" w:space="0" w:color="auto"/>
                        <w:left w:val="none" w:sz="0" w:space="0" w:color="auto"/>
                        <w:bottom w:val="none" w:sz="0" w:space="0" w:color="auto"/>
                        <w:right w:val="none" w:sz="0" w:space="0" w:color="auto"/>
                      </w:divBdr>
                    </w:div>
                  </w:divsChild>
                </w:div>
                <w:div w:id="1512718622">
                  <w:marLeft w:val="0"/>
                  <w:marRight w:val="0"/>
                  <w:marTop w:val="0"/>
                  <w:marBottom w:val="0"/>
                  <w:divBdr>
                    <w:top w:val="none" w:sz="0" w:space="0" w:color="auto"/>
                    <w:left w:val="none" w:sz="0" w:space="0" w:color="auto"/>
                    <w:bottom w:val="none" w:sz="0" w:space="0" w:color="auto"/>
                    <w:right w:val="none" w:sz="0" w:space="0" w:color="auto"/>
                  </w:divBdr>
                  <w:divsChild>
                    <w:div w:id="606931127">
                      <w:marLeft w:val="0"/>
                      <w:marRight w:val="0"/>
                      <w:marTop w:val="0"/>
                      <w:marBottom w:val="0"/>
                      <w:divBdr>
                        <w:top w:val="none" w:sz="0" w:space="0" w:color="auto"/>
                        <w:left w:val="none" w:sz="0" w:space="0" w:color="auto"/>
                        <w:bottom w:val="none" w:sz="0" w:space="0" w:color="auto"/>
                        <w:right w:val="none" w:sz="0" w:space="0" w:color="auto"/>
                      </w:divBdr>
                    </w:div>
                  </w:divsChild>
                </w:div>
                <w:div w:id="971712675">
                  <w:marLeft w:val="0"/>
                  <w:marRight w:val="0"/>
                  <w:marTop w:val="0"/>
                  <w:marBottom w:val="0"/>
                  <w:divBdr>
                    <w:top w:val="none" w:sz="0" w:space="0" w:color="auto"/>
                    <w:left w:val="none" w:sz="0" w:space="0" w:color="auto"/>
                    <w:bottom w:val="none" w:sz="0" w:space="0" w:color="auto"/>
                    <w:right w:val="none" w:sz="0" w:space="0" w:color="auto"/>
                  </w:divBdr>
                  <w:divsChild>
                    <w:div w:id="1225070478">
                      <w:marLeft w:val="0"/>
                      <w:marRight w:val="0"/>
                      <w:marTop w:val="0"/>
                      <w:marBottom w:val="0"/>
                      <w:divBdr>
                        <w:top w:val="none" w:sz="0" w:space="0" w:color="auto"/>
                        <w:left w:val="none" w:sz="0" w:space="0" w:color="auto"/>
                        <w:bottom w:val="none" w:sz="0" w:space="0" w:color="auto"/>
                        <w:right w:val="none" w:sz="0" w:space="0" w:color="auto"/>
                      </w:divBdr>
                    </w:div>
                  </w:divsChild>
                </w:div>
                <w:div w:id="2059552135">
                  <w:marLeft w:val="0"/>
                  <w:marRight w:val="0"/>
                  <w:marTop w:val="0"/>
                  <w:marBottom w:val="0"/>
                  <w:divBdr>
                    <w:top w:val="none" w:sz="0" w:space="0" w:color="auto"/>
                    <w:left w:val="none" w:sz="0" w:space="0" w:color="auto"/>
                    <w:bottom w:val="none" w:sz="0" w:space="0" w:color="auto"/>
                    <w:right w:val="none" w:sz="0" w:space="0" w:color="auto"/>
                  </w:divBdr>
                  <w:divsChild>
                    <w:div w:id="444080440">
                      <w:marLeft w:val="0"/>
                      <w:marRight w:val="0"/>
                      <w:marTop w:val="0"/>
                      <w:marBottom w:val="0"/>
                      <w:divBdr>
                        <w:top w:val="none" w:sz="0" w:space="0" w:color="auto"/>
                        <w:left w:val="none" w:sz="0" w:space="0" w:color="auto"/>
                        <w:bottom w:val="none" w:sz="0" w:space="0" w:color="auto"/>
                        <w:right w:val="none" w:sz="0" w:space="0" w:color="auto"/>
                      </w:divBdr>
                    </w:div>
                  </w:divsChild>
                </w:div>
                <w:div w:id="258679633">
                  <w:marLeft w:val="0"/>
                  <w:marRight w:val="0"/>
                  <w:marTop w:val="0"/>
                  <w:marBottom w:val="0"/>
                  <w:divBdr>
                    <w:top w:val="none" w:sz="0" w:space="0" w:color="auto"/>
                    <w:left w:val="none" w:sz="0" w:space="0" w:color="auto"/>
                    <w:bottom w:val="none" w:sz="0" w:space="0" w:color="auto"/>
                    <w:right w:val="none" w:sz="0" w:space="0" w:color="auto"/>
                  </w:divBdr>
                  <w:divsChild>
                    <w:div w:id="1829637074">
                      <w:marLeft w:val="0"/>
                      <w:marRight w:val="0"/>
                      <w:marTop w:val="0"/>
                      <w:marBottom w:val="0"/>
                      <w:divBdr>
                        <w:top w:val="none" w:sz="0" w:space="0" w:color="auto"/>
                        <w:left w:val="none" w:sz="0" w:space="0" w:color="auto"/>
                        <w:bottom w:val="none" w:sz="0" w:space="0" w:color="auto"/>
                        <w:right w:val="none" w:sz="0" w:space="0" w:color="auto"/>
                      </w:divBdr>
                    </w:div>
                  </w:divsChild>
                </w:div>
                <w:div w:id="1000041598">
                  <w:marLeft w:val="0"/>
                  <w:marRight w:val="0"/>
                  <w:marTop w:val="0"/>
                  <w:marBottom w:val="0"/>
                  <w:divBdr>
                    <w:top w:val="none" w:sz="0" w:space="0" w:color="auto"/>
                    <w:left w:val="none" w:sz="0" w:space="0" w:color="auto"/>
                    <w:bottom w:val="none" w:sz="0" w:space="0" w:color="auto"/>
                    <w:right w:val="none" w:sz="0" w:space="0" w:color="auto"/>
                  </w:divBdr>
                  <w:divsChild>
                    <w:div w:id="1713335999">
                      <w:marLeft w:val="0"/>
                      <w:marRight w:val="0"/>
                      <w:marTop w:val="0"/>
                      <w:marBottom w:val="0"/>
                      <w:divBdr>
                        <w:top w:val="none" w:sz="0" w:space="0" w:color="auto"/>
                        <w:left w:val="none" w:sz="0" w:space="0" w:color="auto"/>
                        <w:bottom w:val="none" w:sz="0" w:space="0" w:color="auto"/>
                        <w:right w:val="none" w:sz="0" w:space="0" w:color="auto"/>
                      </w:divBdr>
                    </w:div>
                  </w:divsChild>
                </w:div>
                <w:div w:id="1440952400">
                  <w:marLeft w:val="0"/>
                  <w:marRight w:val="0"/>
                  <w:marTop w:val="0"/>
                  <w:marBottom w:val="0"/>
                  <w:divBdr>
                    <w:top w:val="none" w:sz="0" w:space="0" w:color="auto"/>
                    <w:left w:val="none" w:sz="0" w:space="0" w:color="auto"/>
                    <w:bottom w:val="none" w:sz="0" w:space="0" w:color="auto"/>
                    <w:right w:val="none" w:sz="0" w:space="0" w:color="auto"/>
                  </w:divBdr>
                  <w:divsChild>
                    <w:div w:id="1073623399">
                      <w:marLeft w:val="0"/>
                      <w:marRight w:val="0"/>
                      <w:marTop w:val="0"/>
                      <w:marBottom w:val="0"/>
                      <w:divBdr>
                        <w:top w:val="none" w:sz="0" w:space="0" w:color="auto"/>
                        <w:left w:val="none" w:sz="0" w:space="0" w:color="auto"/>
                        <w:bottom w:val="none" w:sz="0" w:space="0" w:color="auto"/>
                        <w:right w:val="none" w:sz="0" w:space="0" w:color="auto"/>
                      </w:divBdr>
                    </w:div>
                  </w:divsChild>
                </w:div>
                <w:div w:id="1987126900">
                  <w:marLeft w:val="0"/>
                  <w:marRight w:val="0"/>
                  <w:marTop w:val="0"/>
                  <w:marBottom w:val="0"/>
                  <w:divBdr>
                    <w:top w:val="none" w:sz="0" w:space="0" w:color="auto"/>
                    <w:left w:val="none" w:sz="0" w:space="0" w:color="auto"/>
                    <w:bottom w:val="none" w:sz="0" w:space="0" w:color="auto"/>
                    <w:right w:val="none" w:sz="0" w:space="0" w:color="auto"/>
                  </w:divBdr>
                  <w:divsChild>
                    <w:div w:id="210464125">
                      <w:marLeft w:val="0"/>
                      <w:marRight w:val="0"/>
                      <w:marTop w:val="0"/>
                      <w:marBottom w:val="0"/>
                      <w:divBdr>
                        <w:top w:val="none" w:sz="0" w:space="0" w:color="auto"/>
                        <w:left w:val="none" w:sz="0" w:space="0" w:color="auto"/>
                        <w:bottom w:val="none" w:sz="0" w:space="0" w:color="auto"/>
                        <w:right w:val="none" w:sz="0" w:space="0" w:color="auto"/>
                      </w:divBdr>
                    </w:div>
                  </w:divsChild>
                </w:div>
                <w:div w:id="1676615166">
                  <w:marLeft w:val="0"/>
                  <w:marRight w:val="0"/>
                  <w:marTop w:val="0"/>
                  <w:marBottom w:val="0"/>
                  <w:divBdr>
                    <w:top w:val="none" w:sz="0" w:space="0" w:color="auto"/>
                    <w:left w:val="none" w:sz="0" w:space="0" w:color="auto"/>
                    <w:bottom w:val="none" w:sz="0" w:space="0" w:color="auto"/>
                    <w:right w:val="none" w:sz="0" w:space="0" w:color="auto"/>
                  </w:divBdr>
                  <w:divsChild>
                    <w:div w:id="990910024">
                      <w:marLeft w:val="0"/>
                      <w:marRight w:val="0"/>
                      <w:marTop w:val="0"/>
                      <w:marBottom w:val="0"/>
                      <w:divBdr>
                        <w:top w:val="none" w:sz="0" w:space="0" w:color="auto"/>
                        <w:left w:val="none" w:sz="0" w:space="0" w:color="auto"/>
                        <w:bottom w:val="none" w:sz="0" w:space="0" w:color="auto"/>
                        <w:right w:val="none" w:sz="0" w:space="0" w:color="auto"/>
                      </w:divBdr>
                    </w:div>
                  </w:divsChild>
                </w:div>
                <w:div w:id="345717221">
                  <w:marLeft w:val="0"/>
                  <w:marRight w:val="0"/>
                  <w:marTop w:val="0"/>
                  <w:marBottom w:val="0"/>
                  <w:divBdr>
                    <w:top w:val="none" w:sz="0" w:space="0" w:color="auto"/>
                    <w:left w:val="none" w:sz="0" w:space="0" w:color="auto"/>
                    <w:bottom w:val="none" w:sz="0" w:space="0" w:color="auto"/>
                    <w:right w:val="none" w:sz="0" w:space="0" w:color="auto"/>
                  </w:divBdr>
                  <w:divsChild>
                    <w:div w:id="985936393">
                      <w:marLeft w:val="0"/>
                      <w:marRight w:val="0"/>
                      <w:marTop w:val="0"/>
                      <w:marBottom w:val="0"/>
                      <w:divBdr>
                        <w:top w:val="none" w:sz="0" w:space="0" w:color="auto"/>
                        <w:left w:val="none" w:sz="0" w:space="0" w:color="auto"/>
                        <w:bottom w:val="none" w:sz="0" w:space="0" w:color="auto"/>
                        <w:right w:val="none" w:sz="0" w:space="0" w:color="auto"/>
                      </w:divBdr>
                    </w:div>
                  </w:divsChild>
                </w:div>
                <w:div w:id="2095471392">
                  <w:marLeft w:val="0"/>
                  <w:marRight w:val="0"/>
                  <w:marTop w:val="0"/>
                  <w:marBottom w:val="0"/>
                  <w:divBdr>
                    <w:top w:val="none" w:sz="0" w:space="0" w:color="auto"/>
                    <w:left w:val="none" w:sz="0" w:space="0" w:color="auto"/>
                    <w:bottom w:val="none" w:sz="0" w:space="0" w:color="auto"/>
                    <w:right w:val="none" w:sz="0" w:space="0" w:color="auto"/>
                  </w:divBdr>
                  <w:divsChild>
                    <w:div w:id="846938874">
                      <w:marLeft w:val="0"/>
                      <w:marRight w:val="0"/>
                      <w:marTop w:val="0"/>
                      <w:marBottom w:val="0"/>
                      <w:divBdr>
                        <w:top w:val="none" w:sz="0" w:space="0" w:color="auto"/>
                        <w:left w:val="none" w:sz="0" w:space="0" w:color="auto"/>
                        <w:bottom w:val="none" w:sz="0" w:space="0" w:color="auto"/>
                        <w:right w:val="none" w:sz="0" w:space="0" w:color="auto"/>
                      </w:divBdr>
                    </w:div>
                  </w:divsChild>
                </w:div>
                <w:div w:id="771557162">
                  <w:marLeft w:val="0"/>
                  <w:marRight w:val="0"/>
                  <w:marTop w:val="0"/>
                  <w:marBottom w:val="0"/>
                  <w:divBdr>
                    <w:top w:val="none" w:sz="0" w:space="0" w:color="auto"/>
                    <w:left w:val="none" w:sz="0" w:space="0" w:color="auto"/>
                    <w:bottom w:val="none" w:sz="0" w:space="0" w:color="auto"/>
                    <w:right w:val="none" w:sz="0" w:space="0" w:color="auto"/>
                  </w:divBdr>
                  <w:divsChild>
                    <w:div w:id="1897013642">
                      <w:marLeft w:val="0"/>
                      <w:marRight w:val="0"/>
                      <w:marTop w:val="0"/>
                      <w:marBottom w:val="0"/>
                      <w:divBdr>
                        <w:top w:val="none" w:sz="0" w:space="0" w:color="auto"/>
                        <w:left w:val="none" w:sz="0" w:space="0" w:color="auto"/>
                        <w:bottom w:val="none" w:sz="0" w:space="0" w:color="auto"/>
                        <w:right w:val="none" w:sz="0" w:space="0" w:color="auto"/>
                      </w:divBdr>
                    </w:div>
                  </w:divsChild>
                </w:div>
                <w:div w:id="1113868111">
                  <w:marLeft w:val="0"/>
                  <w:marRight w:val="0"/>
                  <w:marTop w:val="0"/>
                  <w:marBottom w:val="0"/>
                  <w:divBdr>
                    <w:top w:val="none" w:sz="0" w:space="0" w:color="auto"/>
                    <w:left w:val="none" w:sz="0" w:space="0" w:color="auto"/>
                    <w:bottom w:val="none" w:sz="0" w:space="0" w:color="auto"/>
                    <w:right w:val="none" w:sz="0" w:space="0" w:color="auto"/>
                  </w:divBdr>
                  <w:divsChild>
                    <w:div w:id="1305089127">
                      <w:marLeft w:val="0"/>
                      <w:marRight w:val="0"/>
                      <w:marTop w:val="0"/>
                      <w:marBottom w:val="0"/>
                      <w:divBdr>
                        <w:top w:val="none" w:sz="0" w:space="0" w:color="auto"/>
                        <w:left w:val="none" w:sz="0" w:space="0" w:color="auto"/>
                        <w:bottom w:val="none" w:sz="0" w:space="0" w:color="auto"/>
                        <w:right w:val="none" w:sz="0" w:space="0" w:color="auto"/>
                      </w:divBdr>
                    </w:div>
                  </w:divsChild>
                </w:div>
                <w:div w:id="269704591">
                  <w:marLeft w:val="0"/>
                  <w:marRight w:val="0"/>
                  <w:marTop w:val="0"/>
                  <w:marBottom w:val="0"/>
                  <w:divBdr>
                    <w:top w:val="none" w:sz="0" w:space="0" w:color="auto"/>
                    <w:left w:val="none" w:sz="0" w:space="0" w:color="auto"/>
                    <w:bottom w:val="none" w:sz="0" w:space="0" w:color="auto"/>
                    <w:right w:val="none" w:sz="0" w:space="0" w:color="auto"/>
                  </w:divBdr>
                  <w:divsChild>
                    <w:div w:id="996036240">
                      <w:marLeft w:val="0"/>
                      <w:marRight w:val="0"/>
                      <w:marTop w:val="0"/>
                      <w:marBottom w:val="0"/>
                      <w:divBdr>
                        <w:top w:val="none" w:sz="0" w:space="0" w:color="auto"/>
                        <w:left w:val="none" w:sz="0" w:space="0" w:color="auto"/>
                        <w:bottom w:val="none" w:sz="0" w:space="0" w:color="auto"/>
                        <w:right w:val="none" w:sz="0" w:space="0" w:color="auto"/>
                      </w:divBdr>
                    </w:div>
                  </w:divsChild>
                </w:div>
                <w:div w:id="2107921239">
                  <w:marLeft w:val="0"/>
                  <w:marRight w:val="0"/>
                  <w:marTop w:val="0"/>
                  <w:marBottom w:val="0"/>
                  <w:divBdr>
                    <w:top w:val="none" w:sz="0" w:space="0" w:color="auto"/>
                    <w:left w:val="none" w:sz="0" w:space="0" w:color="auto"/>
                    <w:bottom w:val="none" w:sz="0" w:space="0" w:color="auto"/>
                    <w:right w:val="none" w:sz="0" w:space="0" w:color="auto"/>
                  </w:divBdr>
                  <w:divsChild>
                    <w:div w:id="1556968296">
                      <w:marLeft w:val="0"/>
                      <w:marRight w:val="0"/>
                      <w:marTop w:val="0"/>
                      <w:marBottom w:val="0"/>
                      <w:divBdr>
                        <w:top w:val="none" w:sz="0" w:space="0" w:color="auto"/>
                        <w:left w:val="none" w:sz="0" w:space="0" w:color="auto"/>
                        <w:bottom w:val="none" w:sz="0" w:space="0" w:color="auto"/>
                        <w:right w:val="none" w:sz="0" w:space="0" w:color="auto"/>
                      </w:divBdr>
                    </w:div>
                  </w:divsChild>
                </w:div>
                <w:div w:id="1420830863">
                  <w:marLeft w:val="0"/>
                  <w:marRight w:val="0"/>
                  <w:marTop w:val="0"/>
                  <w:marBottom w:val="0"/>
                  <w:divBdr>
                    <w:top w:val="none" w:sz="0" w:space="0" w:color="auto"/>
                    <w:left w:val="none" w:sz="0" w:space="0" w:color="auto"/>
                    <w:bottom w:val="none" w:sz="0" w:space="0" w:color="auto"/>
                    <w:right w:val="none" w:sz="0" w:space="0" w:color="auto"/>
                  </w:divBdr>
                  <w:divsChild>
                    <w:div w:id="1508474240">
                      <w:marLeft w:val="0"/>
                      <w:marRight w:val="0"/>
                      <w:marTop w:val="0"/>
                      <w:marBottom w:val="0"/>
                      <w:divBdr>
                        <w:top w:val="none" w:sz="0" w:space="0" w:color="auto"/>
                        <w:left w:val="none" w:sz="0" w:space="0" w:color="auto"/>
                        <w:bottom w:val="none" w:sz="0" w:space="0" w:color="auto"/>
                        <w:right w:val="none" w:sz="0" w:space="0" w:color="auto"/>
                      </w:divBdr>
                    </w:div>
                  </w:divsChild>
                </w:div>
                <w:div w:id="286858096">
                  <w:marLeft w:val="0"/>
                  <w:marRight w:val="0"/>
                  <w:marTop w:val="0"/>
                  <w:marBottom w:val="0"/>
                  <w:divBdr>
                    <w:top w:val="none" w:sz="0" w:space="0" w:color="auto"/>
                    <w:left w:val="none" w:sz="0" w:space="0" w:color="auto"/>
                    <w:bottom w:val="none" w:sz="0" w:space="0" w:color="auto"/>
                    <w:right w:val="none" w:sz="0" w:space="0" w:color="auto"/>
                  </w:divBdr>
                  <w:divsChild>
                    <w:div w:id="297957555">
                      <w:marLeft w:val="0"/>
                      <w:marRight w:val="0"/>
                      <w:marTop w:val="0"/>
                      <w:marBottom w:val="0"/>
                      <w:divBdr>
                        <w:top w:val="none" w:sz="0" w:space="0" w:color="auto"/>
                        <w:left w:val="none" w:sz="0" w:space="0" w:color="auto"/>
                        <w:bottom w:val="none" w:sz="0" w:space="0" w:color="auto"/>
                        <w:right w:val="none" w:sz="0" w:space="0" w:color="auto"/>
                      </w:divBdr>
                    </w:div>
                  </w:divsChild>
                </w:div>
                <w:div w:id="2037846961">
                  <w:marLeft w:val="0"/>
                  <w:marRight w:val="0"/>
                  <w:marTop w:val="0"/>
                  <w:marBottom w:val="0"/>
                  <w:divBdr>
                    <w:top w:val="none" w:sz="0" w:space="0" w:color="auto"/>
                    <w:left w:val="none" w:sz="0" w:space="0" w:color="auto"/>
                    <w:bottom w:val="none" w:sz="0" w:space="0" w:color="auto"/>
                    <w:right w:val="none" w:sz="0" w:space="0" w:color="auto"/>
                  </w:divBdr>
                  <w:divsChild>
                    <w:div w:id="395708410">
                      <w:marLeft w:val="0"/>
                      <w:marRight w:val="0"/>
                      <w:marTop w:val="0"/>
                      <w:marBottom w:val="0"/>
                      <w:divBdr>
                        <w:top w:val="none" w:sz="0" w:space="0" w:color="auto"/>
                        <w:left w:val="none" w:sz="0" w:space="0" w:color="auto"/>
                        <w:bottom w:val="none" w:sz="0" w:space="0" w:color="auto"/>
                        <w:right w:val="none" w:sz="0" w:space="0" w:color="auto"/>
                      </w:divBdr>
                    </w:div>
                  </w:divsChild>
                </w:div>
                <w:div w:id="419715665">
                  <w:marLeft w:val="0"/>
                  <w:marRight w:val="0"/>
                  <w:marTop w:val="0"/>
                  <w:marBottom w:val="0"/>
                  <w:divBdr>
                    <w:top w:val="none" w:sz="0" w:space="0" w:color="auto"/>
                    <w:left w:val="none" w:sz="0" w:space="0" w:color="auto"/>
                    <w:bottom w:val="none" w:sz="0" w:space="0" w:color="auto"/>
                    <w:right w:val="none" w:sz="0" w:space="0" w:color="auto"/>
                  </w:divBdr>
                  <w:divsChild>
                    <w:div w:id="25179337">
                      <w:marLeft w:val="0"/>
                      <w:marRight w:val="0"/>
                      <w:marTop w:val="0"/>
                      <w:marBottom w:val="0"/>
                      <w:divBdr>
                        <w:top w:val="none" w:sz="0" w:space="0" w:color="auto"/>
                        <w:left w:val="none" w:sz="0" w:space="0" w:color="auto"/>
                        <w:bottom w:val="none" w:sz="0" w:space="0" w:color="auto"/>
                        <w:right w:val="none" w:sz="0" w:space="0" w:color="auto"/>
                      </w:divBdr>
                    </w:div>
                  </w:divsChild>
                </w:div>
                <w:div w:id="1554654028">
                  <w:marLeft w:val="0"/>
                  <w:marRight w:val="0"/>
                  <w:marTop w:val="0"/>
                  <w:marBottom w:val="0"/>
                  <w:divBdr>
                    <w:top w:val="none" w:sz="0" w:space="0" w:color="auto"/>
                    <w:left w:val="none" w:sz="0" w:space="0" w:color="auto"/>
                    <w:bottom w:val="none" w:sz="0" w:space="0" w:color="auto"/>
                    <w:right w:val="none" w:sz="0" w:space="0" w:color="auto"/>
                  </w:divBdr>
                  <w:divsChild>
                    <w:div w:id="1188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662240">
          <w:marLeft w:val="0"/>
          <w:marRight w:val="0"/>
          <w:marTop w:val="0"/>
          <w:marBottom w:val="0"/>
          <w:divBdr>
            <w:top w:val="none" w:sz="0" w:space="0" w:color="auto"/>
            <w:left w:val="none" w:sz="0" w:space="0" w:color="auto"/>
            <w:bottom w:val="none" w:sz="0" w:space="0" w:color="auto"/>
            <w:right w:val="none" w:sz="0" w:space="0" w:color="auto"/>
          </w:divBdr>
        </w:div>
        <w:div w:id="1413773850">
          <w:marLeft w:val="0"/>
          <w:marRight w:val="0"/>
          <w:marTop w:val="0"/>
          <w:marBottom w:val="0"/>
          <w:divBdr>
            <w:top w:val="none" w:sz="0" w:space="0" w:color="auto"/>
            <w:left w:val="none" w:sz="0" w:space="0" w:color="auto"/>
            <w:bottom w:val="none" w:sz="0" w:space="0" w:color="auto"/>
            <w:right w:val="none" w:sz="0" w:space="0" w:color="auto"/>
          </w:divBdr>
        </w:div>
      </w:divsChild>
    </w:div>
    <w:div w:id="1865941097">
      <w:bodyDiv w:val="1"/>
      <w:marLeft w:val="0"/>
      <w:marRight w:val="0"/>
      <w:marTop w:val="0"/>
      <w:marBottom w:val="0"/>
      <w:divBdr>
        <w:top w:val="none" w:sz="0" w:space="0" w:color="auto"/>
        <w:left w:val="none" w:sz="0" w:space="0" w:color="auto"/>
        <w:bottom w:val="none" w:sz="0" w:space="0" w:color="auto"/>
        <w:right w:val="none" w:sz="0" w:space="0" w:color="auto"/>
      </w:divBdr>
    </w:div>
    <w:div w:id="1866863158">
      <w:bodyDiv w:val="1"/>
      <w:marLeft w:val="0"/>
      <w:marRight w:val="0"/>
      <w:marTop w:val="0"/>
      <w:marBottom w:val="0"/>
      <w:divBdr>
        <w:top w:val="none" w:sz="0" w:space="0" w:color="auto"/>
        <w:left w:val="none" w:sz="0" w:space="0" w:color="auto"/>
        <w:bottom w:val="none" w:sz="0" w:space="0" w:color="auto"/>
        <w:right w:val="none" w:sz="0" w:space="0" w:color="auto"/>
      </w:divBdr>
    </w:div>
    <w:div w:id="1867671265">
      <w:bodyDiv w:val="1"/>
      <w:marLeft w:val="0"/>
      <w:marRight w:val="0"/>
      <w:marTop w:val="0"/>
      <w:marBottom w:val="0"/>
      <w:divBdr>
        <w:top w:val="none" w:sz="0" w:space="0" w:color="auto"/>
        <w:left w:val="none" w:sz="0" w:space="0" w:color="auto"/>
        <w:bottom w:val="none" w:sz="0" w:space="0" w:color="auto"/>
        <w:right w:val="none" w:sz="0" w:space="0" w:color="auto"/>
      </w:divBdr>
    </w:div>
    <w:div w:id="1868524945">
      <w:bodyDiv w:val="1"/>
      <w:marLeft w:val="0"/>
      <w:marRight w:val="0"/>
      <w:marTop w:val="0"/>
      <w:marBottom w:val="0"/>
      <w:divBdr>
        <w:top w:val="none" w:sz="0" w:space="0" w:color="auto"/>
        <w:left w:val="none" w:sz="0" w:space="0" w:color="auto"/>
        <w:bottom w:val="none" w:sz="0" w:space="0" w:color="auto"/>
        <w:right w:val="none" w:sz="0" w:space="0" w:color="auto"/>
      </w:divBdr>
      <w:divsChild>
        <w:div w:id="1114865459">
          <w:marLeft w:val="0"/>
          <w:marRight w:val="0"/>
          <w:marTop w:val="0"/>
          <w:marBottom w:val="0"/>
          <w:divBdr>
            <w:top w:val="none" w:sz="0" w:space="0" w:color="auto"/>
            <w:left w:val="none" w:sz="0" w:space="0" w:color="auto"/>
            <w:bottom w:val="none" w:sz="0" w:space="0" w:color="auto"/>
            <w:right w:val="none" w:sz="0" w:space="0" w:color="auto"/>
          </w:divBdr>
        </w:div>
      </w:divsChild>
    </w:div>
    <w:div w:id="1875724686">
      <w:bodyDiv w:val="1"/>
      <w:marLeft w:val="0"/>
      <w:marRight w:val="0"/>
      <w:marTop w:val="0"/>
      <w:marBottom w:val="0"/>
      <w:divBdr>
        <w:top w:val="none" w:sz="0" w:space="0" w:color="auto"/>
        <w:left w:val="none" w:sz="0" w:space="0" w:color="auto"/>
        <w:bottom w:val="none" w:sz="0" w:space="0" w:color="auto"/>
        <w:right w:val="none" w:sz="0" w:space="0" w:color="auto"/>
      </w:divBdr>
    </w:div>
    <w:div w:id="1880314181">
      <w:bodyDiv w:val="1"/>
      <w:marLeft w:val="0"/>
      <w:marRight w:val="0"/>
      <w:marTop w:val="0"/>
      <w:marBottom w:val="0"/>
      <w:divBdr>
        <w:top w:val="none" w:sz="0" w:space="0" w:color="auto"/>
        <w:left w:val="none" w:sz="0" w:space="0" w:color="auto"/>
        <w:bottom w:val="none" w:sz="0" w:space="0" w:color="auto"/>
        <w:right w:val="none" w:sz="0" w:space="0" w:color="auto"/>
      </w:divBdr>
    </w:div>
    <w:div w:id="1885632599">
      <w:bodyDiv w:val="1"/>
      <w:marLeft w:val="0"/>
      <w:marRight w:val="0"/>
      <w:marTop w:val="0"/>
      <w:marBottom w:val="0"/>
      <w:divBdr>
        <w:top w:val="none" w:sz="0" w:space="0" w:color="auto"/>
        <w:left w:val="none" w:sz="0" w:space="0" w:color="auto"/>
        <w:bottom w:val="none" w:sz="0" w:space="0" w:color="auto"/>
        <w:right w:val="none" w:sz="0" w:space="0" w:color="auto"/>
      </w:divBdr>
    </w:div>
    <w:div w:id="1887178081">
      <w:bodyDiv w:val="1"/>
      <w:marLeft w:val="0"/>
      <w:marRight w:val="0"/>
      <w:marTop w:val="0"/>
      <w:marBottom w:val="0"/>
      <w:divBdr>
        <w:top w:val="none" w:sz="0" w:space="0" w:color="auto"/>
        <w:left w:val="none" w:sz="0" w:space="0" w:color="auto"/>
        <w:bottom w:val="none" w:sz="0" w:space="0" w:color="auto"/>
        <w:right w:val="none" w:sz="0" w:space="0" w:color="auto"/>
      </w:divBdr>
    </w:div>
    <w:div w:id="1900282945">
      <w:bodyDiv w:val="1"/>
      <w:marLeft w:val="0"/>
      <w:marRight w:val="0"/>
      <w:marTop w:val="0"/>
      <w:marBottom w:val="0"/>
      <w:divBdr>
        <w:top w:val="none" w:sz="0" w:space="0" w:color="auto"/>
        <w:left w:val="none" w:sz="0" w:space="0" w:color="auto"/>
        <w:bottom w:val="none" w:sz="0" w:space="0" w:color="auto"/>
        <w:right w:val="none" w:sz="0" w:space="0" w:color="auto"/>
      </w:divBdr>
    </w:div>
    <w:div w:id="1902516059">
      <w:bodyDiv w:val="1"/>
      <w:marLeft w:val="0"/>
      <w:marRight w:val="0"/>
      <w:marTop w:val="0"/>
      <w:marBottom w:val="0"/>
      <w:divBdr>
        <w:top w:val="none" w:sz="0" w:space="0" w:color="auto"/>
        <w:left w:val="none" w:sz="0" w:space="0" w:color="auto"/>
        <w:bottom w:val="none" w:sz="0" w:space="0" w:color="auto"/>
        <w:right w:val="none" w:sz="0" w:space="0" w:color="auto"/>
      </w:divBdr>
    </w:div>
    <w:div w:id="1902792654">
      <w:bodyDiv w:val="1"/>
      <w:marLeft w:val="0"/>
      <w:marRight w:val="0"/>
      <w:marTop w:val="0"/>
      <w:marBottom w:val="0"/>
      <w:divBdr>
        <w:top w:val="none" w:sz="0" w:space="0" w:color="auto"/>
        <w:left w:val="none" w:sz="0" w:space="0" w:color="auto"/>
        <w:bottom w:val="none" w:sz="0" w:space="0" w:color="auto"/>
        <w:right w:val="none" w:sz="0" w:space="0" w:color="auto"/>
      </w:divBdr>
    </w:div>
    <w:div w:id="1907061915">
      <w:bodyDiv w:val="1"/>
      <w:marLeft w:val="0"/>
      <w:marRight w:val="0"/>
      <w:marTop w:val="0"/>
      <w:marBottom w:val="0"/>
      <w:divBdr>
        <w:top w:val="none" w:sz="0" w:space="0" w:color="auto"/>
        <w:left w:val="none" w:sz="0" w:space="0" w:color="auto"/>
        <w:bottom w:val="none" w:sz="0" w:space="0" w:color="auto"/>
        <w:right w:val="none" w:sz="0" w:space="0" w:color="auto"/>
      </w:divBdr>
      <w:divsChild>
        <w:div w:id="1324893832">
          <w:marLeft w:val="0"/>
          <w:marRight w:val="0"/>
          <w:marTop w:val="0"/>
          <w:marBottom w:val="0"/>
          <w:divBdr>
            <w:top w:val="none" w:sz="0" w:space="0" w:color="auto"/>
            <w:left w:val="none" w:sz="0" w:space="0" w:color="auto"/>
            <w:bottom w:val="none" w:sz="0" w:space="0" w:color="auto"/>
            <w:right w:val="none" w:sz="0" w:space="0" w:color="auto"/>
          </w:divBdr>
        </w:div>
      </w:divsChild>
    </w:div>
    <w:div w:id="1907299564">
      <w:bodyDiv w:val="1"/>
      <w:marLeft w:val="0"/>
      <w:marRight w:val="0"/>
      <w:marTop w:val="0"/>
      <w:marBottom w:val="0"/>
      <w:divBdr>
        <w:top w:val="none" w:sz="0" w:space="0" w:color="auto"/>
        <w:left w:val="none" w:sz="0" w:space="0" w:color="auto"/>
        <w:bottom w:val="none" w:sz="0" w:space="0" w:color="auto"/>
        <w:right w:val="none" w:sz="0" w:space="0" w:color="auto"/>
      </w:divBdr>
    </w:div>
    <w:div w:id="1907493022">
      <w:bodyDiv w:val="1"/>
      <w:marLeft w:val="0"/>
      <w:marRight w:val="0"/>
      <w:marTop w:val="0"/>
      <w:marBottom w:val="0"/>
      <w:divBdr>
        <w:top w:val="none" w:sz="0" w:space="0" w:color="auto"/>
        <w:left w:val="none" w:sz="0" w:space="0" w:color="auto"/>
        <w:bottom w:val="none" w:sz="0" w:space="0" w:color="auto"/>
        <w:right w:val="none" w:sz="0" w:space="0" w:color="auto"/>
      </w:divBdr>
    </w:div>
    <w:div w:id="1909606932">
      <w:bodyDiv w:val="1"/>
      <w:marLeft w:val="0"/>
      <w:marRight w:val="0"/>
      <w:marTop w:val="0"/>
      <w:marBottom w:val="0"/>
      <w:divBdr>
        <w:top w:val="none" w:sz="0" w:space="0" w:color="auto"/>
        <w:left w:val="none" w:sz="0" w:space="0" w:color="auto"/>
        <w:bottom w:val="none" w:sz="0" w:space="0" w:color="auto"/>
        <w:right w:val="none" w:sz="0" w:space="0" w:color="auto"/>
      </w:divBdr>
    </w:div>
    <w:div w:id="1910923774">
      <w:bodyDiv w:val="1"/>
      <w:marLeft w:val="0"/>
      <w:marRight w:val="0"/>
      <w:marTop w:val="0"/>
      <w:marBottom w:val="0"/>
      <w:divBdr>
        <w:top w:val="none" w:sz="0" w:space="0" w:color="auto"/>
        <w:left w:val="none" w:sz="0" w:space="0" w:color="auto"/>
        <w:bottom w:val="none" w:sz="0" w:space="0" w:color="auto"/>
        <w:right w:val="none" w:sz="0" w:space="0" w:color="auto"/>
      </w:divBdr>
    </w:div>
    <w:div w:id="1911425719">
      <w:bodyDiv w:val="1"/>
      <w:marLeft w:val="0"/>
      <w:marRight w:val="0"/>
      <w:marTop w:val="0"/>
      <w:marBottom w:val="0"/>
      <w:divBdr>
        <w:top w:val="none" w:sz="0" w:space="0" w:color="auto"/>
        <w:left w:val="none" w:sz="0" w:space="0" w:color="auto"/>
        <w:bottom w:val="none" w:sz="0" w:space="0" w:color="auto"/>
        <w:right w:val="none" w:sz="0" w:space="0" w:color="auto"/>
      </w:divBdr>
    </w:div>
    <w:div w:id="1913929758">
      <w:bodyDiv w:val="1"/>
      <w:marLeft w:val="0"/>
      <w:marRight w:val="0"/>
      <w:marTop w:val="0"/>
      <w:marBottom w:val="0"/>
      <w:divBdr>
        <w:top w:val="none" w:sz="0" w:space="0" w:color="auto"/>
        <w:left w:val="none" w:sz="0" w:space="0" w:color="auto"/>
        <w:bottom w:val="none" w:sz="0" w:space="0" w:color="auto"/>
        <w:right w:val="none" w:sz="0" w:space="0" w:color="auto"/>
      </w:divBdr>
    </w:div>
    <w:div w:id="1917326825">
      <w:bodyDiv w:val="1"/>
      <w:marLeft w:val="0"/>
      <w:marRight w:val="0"/>
      <w:marTop w:val="0"/>
      <w:marBottom w:val="0"/>
      <w:divBdr>
        <w:top w:val="none" w:sz="0" w:space="0" w:color="auto"/>
        <w:left w:val="none" w:sz="0" w:space="0" w:color="auto"/>
        <w:bottom w:val="none" w:sz="0" w:space="0" w:color="auto"/>
        <w:right w:val="none" w:sz="0" w:space="0" w:color="auto"/>
      </w:divBdr>
    </w:div>
    <w:div w:id="1929001012">
      <w:bodyDiv w:val="1"/>
      <w:marLeft w:val="0"/>
      <w:marRight w:val="0"/>
      <w:marTop w:val="0"/>
      <w:marBottom w:val="0"/>
      <w:divBdr>
        <w:top w:val="none" w:sz="0" w:space="0" w:color="auto"/>
        <w:left w:val="none" w:sz="0" w:space="0" w:color="auto"/>
        <w:bottom w:val="none" w:sz="0" w:space="0" w:color="auto"/>
        <w:right w:val="none" w:sz="0" w:space="0" w:color="auto"/>
      </w:divBdr>
    </w:div>
    <w:div w:id="1943412689">
      <w:bodyDiv w:val="1"/>
      <w:marLeft w:val="0"/>
      <w:marRight w:val="0"/>
      <w:marTop w:val="0"/>
      <w:marBottom w:val="0"/>
      <w:divBdr>
        <w:top w:val="none" w:sz="0" w:space="0" w:color="auto"/>
        <w:left w:val="none" w:sz="0" w:space="0" w:color="auto"/>
        <w:bottom w:val="none" w:sz="0" w:space="0" w:color="auto"/>
        <w:right w:val="none" w:sz="0" w:space="0" w:color="auto"/>
      </w:divBdr>
    </w:div>
    <w:div w:id="1943760645">
      <w:bodyDiv w:val="1"/>
      <w:marLeft w:val="0"/>
      <w:marRight w:val="0"/>
      <w:marTop w:val="0"/>
      <w:marBottom w:val="0"/>
      <w:divBdr>
        <w:top w:val="none" w:sz="0" w:space="0" w:color="auto"/>
        <w:left w:val="none" w:sz="0" w:space="0" w:color="auto"/>
        <w:bottom w:val="none" w:sz="0" w:space="0" w:color="auto"/>
        <w:right w:val="none" w:sz="0" w:space="0" w:color="auto"/>
      </w:divBdr>
    </w:div>
    <w:div w:id="1954749975">
      <w:bodyDiv w:val="1"/>
      <w:marLeft w:val="0"/>
      <w:marRight w:val="0"/>
      <w:marTop w:val="0"/>
      <w:marBottom w:val="0"/>
      <w:divBdr>
        <w:top w:val="none" w:sz="0" w:space="0" w:color="auto"/>
        <w:left w:val="none" w:sz="0" w:space="0" w:color="auto"/>
        <w:bottom w:val="none" w:sz="0" w:space="0" w:color="auto"/>
        <w:right w:val="none" w:sz="0" w:space="0" w:color="auto"/>
      </w:divBdr>
    </w:div>
    <w:div w:id="1964114208">
      <w:bodyDiv w:val="1"/>
      <w:marLeft w:val="0"/>
      <w:marRight w:val="0"/>
      <w:marTop w:val="0"/>
      <w:marBottom w:val="0"/>
      <w:divBdr>
        <w:top w:val="none" w:sz="0" w:space="0" w:color="auto"/>
        <w:left w:val="none" w:sz="0" w:space="0" w:color="auto"/>
        <w:bottom w:val="none" w:sz="0" w:space="0" w:color="auto"/>
        <w:right w:val="none" w:sz="0" w:space="0" w:color="auto"/>
      </w:divBdr>
    </w:div>
    <w:div w:id="1969970554">
      <w:bodyDiv w:val="1"/>
      <w:marLeft w:val="0"/>
      <w:marRight w:val="0"/>
      <w:marTop w:val="0"/>
      <w:marBottom w:val="0"/>
      <w:divBdr>
        <w:top w:val="none" w:sz="0" w:space="0" w:color="auto"/>
        <w:left w:val="none" w:sz="0" w:space="0" w:color="auto"/>
        <w:bottom w:val="none" w:sz="0" w:space="0" w:color="auto"/>
        <w:right w:val="none" w:sz="0" w:space="0" w:color="auto"/>
      </w:divBdr>
    </w:div>
    <w:div w:id="1971470125">
      <w:bodyDiv w:val="1"/>
      <w:marLeft w:val="0"/>
      <w:marRight w:val="0"/>
      <w:marTop w:val="0"/>
      <w:marBottom w:val="0"/>
      <w:divBdr>
        <w:top w:val="none" w:sz="0" w:space="0" w:color="auto"/>
        <w:left w:val="none" w:sz="0" w:space="0" w:color="auto"/>
        <w:bottom w:val="none" w:sz="0" w:space="0" w:color="auto"/>
        <w:right w:val="none" w:sz="0" w:space="0" w:color="auto"/>
      </w:divBdr>
    </w:div>
    <w:div w:id="1975790504">
      <w:bodyDiv w:val="1"/>
      <w:marLeft w:val="0"/>
      <w:marRight w:val="0"/>
      <w:marTop w:val="0"/>
      <w:marBottom w:val="0"/>
      <w:divBdr>
        <w:top w:val="none" w:sz="0" w:space="0" w:color="auto"/>
        <w:left w:val="none" w:sz="0" w:space="0" w:color="auto"/>
        <w:bottom w:val="none" w:sz="0" w:space="0" w:color="auto"/>
        <w:right w:val="none" w:sz="0" w:space="0" w:color="auto"/>
      </w:divBdr>
    </w:div>
    <w:div w:id="1980187611">
      <w:bodyDiv w:val="1"/>
      <w:marLeft w:val="0"/>
      <w:marRight w:val="0"/>
      <w:marTop w:val="0"/>
      <w:marBottom w:val="0"/>
      <w:divBdr>
        <w:top w:val="none" w:sz="0" w:space="0" w:color="auto"/>
        <w:left w:val="none" w:sz="0" w:space="0" w:color="auto"/>
        <w:bottom w:val="none" w:sz="0" w:space="0" w:color="auto"/>
        <w:right w:val="none" w:sz="0" w:space="0" w:color="auto"/>
      </w:divBdr>
    </w:div>
    <w:div w:id="1990399936">
      <w:bodyDiv w:val="1"/>
      <w:marLeft w:val="0"/>
      <w:marRight w:val="0"/>
      <w:marTop w:val="0"/>
      <w:marBottom w:val="0"/>
      <w:divBdr>
        <w:top w:val="none" w:sz="0" w:space="0" w:color="auto"/>
        <w:left w:val="none" w:sz="0" w:space="0" w:color="auto"/>
        <w:bottom w:val="none" w:sz="0" w:space="0" w:color="auto"/>
        <w:right w:val="none" w:sz="0" w:space="0" w:color="auto"/>
      </w:divBdr>
    </w:div>
    <w:div w:id="1994750135">
      <w:bodyDiv w:val="1"/>
      <w:marLeft w:val="0"/>
      <w:marRight w:val="0"/>
      <w:marTop w:val="0"/>
      <w:marBottom w:val="0"/>
      <w:divBdr>
        <w:top w:val="none" w:sz="0" w:space="0" w:color="auto"/>
        <w:left w:val="none" w:sz="0" w:space="0" w:color="auto"/>
        <w:bottom w:val="none" w:sz="0" w:space="0" w:color="auto"/>
        <w:right w:val="none" w:sz="0" w:space="0" w:color="auto"/>
      </w:divBdr>
    </w:div>
    <w:div w:id="1997100266">
      <w:bodyDiv w:val="1"/>
      <w:marLeft w:val="0"/>
      <w:marRight w:val="0"/>
      <w:marTop w:val="0"/>
      <w:marBottom w:val="0"/>
      <w:divBdr>
        <w:top w:val="none" w:sz="0" w:space="0" w:color="auto"/>
        <w:left w:val="none" w:sz="0" w:space="0" w:color="auto"/>
        <w:bottom w:val="none" w:sz="0" w:space="0" w:color="auto"/>
        <w:right w:val="none" w:sz="0" w:space="0" w:color="auto"/>
      </w:divBdr>
    </w:div>
    <w:div w:id="1998682174">
      <w:bodyDiv w:val="1"/>
      <w:marLeft w:val="0"/>
      <w:marRight w:val="0"/>
      <w:marTop w:val="0"/>
      <w:marBottom w:val="0"/>
      <w:divBdr>
        <w:top w:val="none" w:sz="0" w:space="0" w:color="auto"/>
        <w:left w:val="none" w:sz="0" w:space="0" w:color="auto"/>
        <w:bottom w:val="none" w:sz="0" w:space="0" w:color="auto"/>
        <w:right w:val="none" w:sz="0" w:space="0" w:color="auto"/>
      </w:divBdr>
    </w:div>
    <w:div w:id="2012946463">
      <w:bodyDiv w:val="1"/>
      <w:marLeft w:val="0"/>
      <w:marRight w:val="0"/>
      <w:marTop w:val="0"/>
      <w:marBottom w:val="0"/>
      <w:divBdr>
        <w:top w:val="none" w:sz="0" w:space="0" w:color="auto"/>
        <w:left w:val="none" w:sz="0" w:space="0" w:color="auto"/>
        <w:bottom w:val="none" w:sz="0" w:space="0" w:color="auto"/>
        <w:right w:val="none" w:sz="0" w:space="0" w:color="auto"/>
      </w:divBdr>
    </w:div>
    <w:div w:id="2022663416">
      <w:bodyDiv w:val="1"/>
      <w:marLeft w:val="0"/>
      <w:marRight w:val="0"/>
      <w:marTop w:val="0"/>
      <w:marBottom w:val="0"/>
      <w:divBdr>
        <w:top w:val="none" w:sz="0" w:space="0" w:color="auto"/>
        <w:left w:val="none" w:sz="0" w:space="0" w:color="auto"/>
        <w:bottom w:val="none" w:sz="0" w:space="0" w:color="auto"/>
        <w:right w:val="none" w:sz="0" w:space="0" w:color="auto"/>
      </w:divBdr>
    </w:div>
    <w:div w:id="2025592195">
      <w:bodyDiv w:val="1"/>
      <w:marLeft w:val="0"/>
      <w:marRight w:val="0"/>
      <w:marTop w:val="0"/>
      <w:marBottom w:val="0"/>
      <w:divBdr>
        <w:top w:val="none" w:sz="0" w:space="0" w:color="auto"/>
        <w:left w:val="none" w:sz="0" w:space="0" w:color="auto"/>
        <w:bottom w:val="none" w:sz="0" w:space="0" w:color="auto"/>
        <w:right w:val="none" w:sz="0" w:space="0" w:color="auto"/>
      </w:divBdr>
    </w:div>
    <w:div w:id="2025670656">
      <w:bodyDiv w:val="1"/>
      <w:marLeft w:val="0"/>
      <w:marRight w:val="0"/>
      <w:marTop w:val="0"/>
      <w:marBottom w:val="0"/>
      <w:divBdr>
        <w:top w:val="none" w:sz="0" w:space="0" w:color="auto"/>
        <w:left w:val="none" w:sz="0" w:space="0" w:color="auto"/>
        <w:bottom w:val="none" w:sz="0" w:space="0" w:color="auto"/>
        <w:right w:val="none" w:sz="0" w:space="0" w:color="auto"/>
      </w:divBdr>
    </w:div>
    <w:div w:id="2030715008">
      <w:bodyDiv w:val="1"/>
      <w:marLeft w:val="0"/>
      <w:marRight w:val="0"/>
      <w:marTop w:val="0"/>
      <w:marBottom w:val="0"/>
      <w:divBdr>
        <w:top w:val="none" w:sz="0" w:space="0" w:color="auto"/>
        <w:left w:val="none" w:sz="0" w:space="0" w:color="auto"/>
        <w:bottom w:val="none" w:sz="0" w:space="0" w:color="auto"/>
        <w:right w:val="none" w:sz="0" w:space="0" w:color="auto"/>
      </w:divBdr>
    </w:div>
    <w:div w:id="2031225745">
      <w:bodyDiv w:val="1"/>
      <w:marLeft w:val="0"/>
      <w:marRight w:val="0"/>
      <w:marTop w:val="0"/>
      <w:marBottom w:val="0"/>
      <w:divBdr>
        <w:top w:val="none" w:sz="0" w:space="0" w:color="auto"/>
        <w:left w:val="none" w:sz="0" w:space="0" w:color="auto"/>
        <w:bottom w:val="none" w:sz="0" w:space="0" w:color="auto"/>
        <w:right w:val="none" w:sz="0" w:space="0" w:color="auto"/>
      </w:divBdr>
    </w:div>
    <w:div w:id="2033606534">
      <w:bodyDiv w:val="1"/>
      <w:marLeft w:val="0"/>
      <w:marRight w:val="0"/>
      <w:marTop w:val="0"/>
      <w:marBottom w:val="0"/>
      <w:divBdr>
        <w:top w:val="none" w:sz="0" w:space="0" w:color="auto"/>
        <w:left w:val="none" w:sz="0" w:space="0" w:color="auto"/>
        <w:bottom w:val="none" w:sz="0" w:space="0" w:color="auto"/>
        <w:right w:val="none" w:sz="0" w:space="0" w:color="auto"/>
      </w:divBdr>
    </w:div>
    <w:div w:id="2043751329">
      <w:bodyDiv w:val="1"/>
      <w:marLeft w:val="0"/>
      <w:marRight w:val="0"/>
      <w:marTop w:val="0"/>
      <w:marBottom w:val="0"/>
      <w:divBdr>
        <w:top w:val="none" w:sz="0" w:space="0" w:color="auto"/>
        <w:left w:val="none" w:sz="0" w:space="0" w:color="auto"/>
        <w:bottom w:val="none" w:sz="0" w:space="0" w:color="auto"/>
        <w:right w:val="none" w:sz="0" w:space="0" w:color="auto"/>
      </w:divBdr>
    </w:div>
    <w:div w:id="2050061944">
      <w:bodyDiv w:val="1"/>
      <w:marLeft w:val="0"/>
      <w:marRight w:val="0"/>
      <w:marTop w:val="0"/>
      <w:marBottom w:val="0"/>
      <w:divBdr>
        <w:top w:val="none" w:sz="0" w:space="0" w:color="auto"/>
        <w:left w:val="none" w:sz="0" w:space="0" w:color="auto"/>
        <w:bottom w:val="none" w:sz="0" w:space="0" w:color="auto"/>
        <w:right w:val="none" w:sz="0" w:space="0" w:color="auto"/>
      </w:divBdr>
    </w:div>
    <w:div w:id="2055423626">
      <w:bodyDiv w:val="1"/>
      <w:marLeft w:val="0"/>
      <w:marRight w:val="0"/>
      <w:marTop w:val="0"/>
      <w:marBottom w:val="0"/>
      <w:divBdr>
        <w:top w:val="none" w:sz="0" w:space="0" w:color="auto"/>
        <w:left w:val="none" w:sz="0" w:space="0" w:color="auto"/>
        <w:bottom w:val="none" w:sz="0" w:space="0" w:color="auto"/>
        <w:right w:val="none" w:sz="0" w:space="0" w:color="auto"/>
      </w:divBdr>
    </w:div>
    <w:div w:id="2076006997">
      <w:bodyDiv w:val="1"/>
      <w:marLeft w:val="0"/>
      <w:marRight w:val="0"/>
      <w:marTop w:val="0"/>
      <w:marBottom w:val="0"/>
      <w:divBdr>
        <w:top w:val="none" w:sz="0" w:space="0" w:color="auto"/>
        <w:left w:val="none" w:sz="0" w:space="0" w:color="auto"/>
        <w:bottom w:val="none" w:sz="0" w:space="0" w:color="auto"/>
        <w:right w:val="none" w:sz="0" w:space="0" w:color="auto"/>
      </w:divBdr>
    </w:div>
    <w:div w:id="2078817248">
      <w:bodyDiv w:val="1"/>
      <w:marLeft w:val="0"/>
      <w:marRight w:val="0"/>
      <w:marTop w:val="0"/>
      <w:marBottom w:val="0"/>
      <w:divBdr>
        <w:top w:val="none" w:sz="0" w:space="0" w:color="auto"/>
        <w:left w:val="none" w:sz="0" w:space="0" w:color="auto"/>
        <w:bottom w:val="none" w:sz="0" w:space="0" w:color="auto"/>
        <w:right w:val="none" w:sz="0" w:space="0" w:color="auto"/>
      </w:divBdr>
    </w:div>
    <w:div w:id="2083134102">
      <w:bodyDiv w:val="1"/>
      <w:marLeft w:val="0"/>
      <w:marRight w:val="0"/>
      <w:marTop w:val="0"/>
      <w:marBottom w:val="0"/>
      <w:divBdr>
        <w:top w:val="none" w:sz="0" w:space="0" w:color="auto"/>
        <w:left w:val="none" w:sz="0" w:space="0" w:color="auto"/>
        <w:bottom w:val="none" w:sz="0" w:space="0" w:color="auto"/>
        <w:right w:val="none" w:sz="0" w:space="0" w:color="auto"/>
      </w:divBdr>
    </w:div>
    <w:div w:id="2089841019">
      <w:bodyDiv w:val="1"/>
      <w:marLeft w:val="0"/>
      <w:marRight w:val="0"/>
      <w:marTop w:val="0"/>
      <w:marBottom w:val="0"/>
      <w:divBdr>
        <w:top w:val="none" w:sz="0" w:space="0" w:color="auto"/>
        <w:left w:val="none" w:sz="0" w:space="0" w:color="auto"/>
        <w:bottom w:val="none" w:sz="0" w:space="0" w:color="auto"/>
        <w:right w:val="none" w:sz="0" w:space="0" w:color="auto"/>
      </w:divBdr>
    </w:div>
    <w:div w:id="2089961384">
      <w:bodyDiv w:val="1"/>
      <w:marLeft w:val="0"/>
      <w:marRight w:val="0"/>
      <w:marTop w:val="0"/>
      <w:marBottom w:val="0"/>
      <w:divBdr>
        <w:top w:val="none" w:sz="0" w:space="0" w:color="auto"/>
        <w:left w:val="none" w:sz="0" w:space="0" w:color="auto"/>
        <w:bottom w:val="none" w:sz="0" w:space="0" w:color="auto"/>
        <w:right w:val="none" w:sz="0" w:space="0" w:color="auto"/>
      </w:divBdr>
    </w:div>
    <w:div w:id="2091928876">
      <w:bodyDiv w:val="1"/>
      <w:marLeft w:val="0"/>
      <w:marRight w:val="0"/>
      <w:marTop w:val="0"/>
      <w:marBottom w:val="0"/>
      <w:divBdr>
        <w:top w:val="none" w:sz="0" w:space="0" w:color="auto"/>
        <w:left w:val="none" w:sz="0" w:space="0" w:color="auto"/>
        <w:bottom w:val="none" w:sz="0" w:space="0" w:color="auto"/>
        <w:right w:val="none" w:sz="0" w:space="0" w:color="auto"/>
      </w:divBdr>
    </w:div>
    <w:div w:id="2094155367">
      <w:bodyDiv w:val="1"/>
      <w:marLeft w:val="0"/>
      <w:marRight w:val="0"/>
      <w:marTop w:val="0"/>
      <w:marBottom w:val="0"/>
      <w:divBdr>
        <w:top w:val="none" w:sz="0" w:space="0" w:color="auto"/>
        <w:left w:val="none" w:sz="0" w:space="0" w:color="auto"/>
        <w:bottom w:val="none" w:sz="0" w:space="0" w:color="auto"/>
        <w:right w:val="none" w:sz="0" w:space="0" w:color="auto"/>
      </w:divBdr>
    </w:div>
    <w:div w:id="2095393393">
      <w:bodyDiv w:val="1"/>
      <w:marLeft w:val="0"/>
      <w:marRight w:val="0"/>
      <w:marTop w:val="0"/>
      <w:marBottom w:val="0"/>
      <w:divBdr>
        <w:top w:val="none" w:sz="0" w:space="0" w:color="auto"/>
        <w:left w:val="none" w:sz="0" w:space="0" w:color="auto"/>
        <w:bottom w:val="none" w:sz="0" w:space="0" w:color="auto"/>
        <w:right w:val="none" w:sz="0" w:space="0" w:color="auto"/>
      </w:divBdr>
    </w:div>
    <w:div w:id="2099715324">
      <w:bodyDiv w:val="1"/>
      <w:marLeft w:val="0"/>
      <w:marRight w:val="0"/>
      <w:marTop w:val="0"/>
      <w:marBottom w:val="0"/>
      <w:divBdr>
        <w:top w:val="none" w:sz="0" w:space="0" w:color="auto"/>
        <w:left w:val="none" w:sz="0" w:space="0" w:color="auto"/>
        <w:bottom w:val="none" w:sz="0" w:space="0" w:color="auto"/>
        <w:right w:val="none" w:sz="0" w:space="0" w:color="auto"/>
      </w:divBdr>
    </w:div>
    <w:div w:id="2117944988">
      <w:bodyDiv w:val="1"/>
      <w:marLeft w:val="0"/>
      <w:marRight w:val="0"/>
      <w:marTop w:val="0"/>
      <w:marBottom w:val="0"/>
      <w:divBdr>
        <w:top w:val="none" w:sz="0" w:space="0" w:color="auto"/>
        <w:left w:val="none" w:sz="0" w:space="0" w:color="auto"/>
        <w:bottom w:val="none" w:sz="0" w:space="0" w:color="auto"/>
        <w:right w:val="none" w:sz="0" w:space="0" w:color="auto"/>
      </w:divBdr>
    </w:div>
    <w:div w:id="2122256365">
      <w:bodyDiv w:val="1"/>
      <w:marLeft w:val="0"/>
      <w:marRight w:val="0"/>
      <w:marTop w:val="0"/>
      <w:marBottom w:val="0"/>
      <w:divBdr>
        <w:top w:val="none" w:sz="0" w:space="0" w:color="auto"/>
        <w:left w:val="none" w:sz="0" w:space="0" w:color="auto"/>
        <w:bottom w:val="none" w:sz="0" w:space="0" w:color="auto"/>
        <w:right w:val="none" w:sz="0" w:space="0" w:color="auto"/>
      </w:divBdr>
    </w:div>
    <w:div w:id="2126534118">
      <w:bodyDiv w:val="1"/>
      <w:marLeft w:val="0"/>
      <w:marRight w:val="0"/>
      <w:marTop w:val="0"/>
      <w:marBottom w:val="0"/>
      <w:divBdr>
        <w:top w:val="none" w:sz="0" w:space="0" w:color="auto"/>
        <w:left w:val="none" w:sz="0" w:space="0" w:color="auto"/>
        <w:bottom w:val="none" w:sz="0" w:space="0" w:color="auto"/>
        <w:right w:val="none" w:sz="0" w:space="0" w:color="auto"/>
      </w:divBdr>
    </w:div>
    <w:div w:id="2133475103">
      <w:bodyDiv w:val="1"/>
      <w:marLeft w:val="0"/>
      <w:marRight w:val="0"/>
      <w:marTop w:val="0"/>
      <w:marBottom w:val="0"/>
      <w:divBdr>
        <w:top w:val="none" w:sz="0" w:space="0" w:color="auto"/>
        <w:left w:val="none" w:sz="0" w:space="0" w:color="auto"/>
        <w:bottom w:val="none" w:sz="0" w:space="0" w:color="auto"/>
        <w:right w:val="none" w:sz="0" w:space="0" w:color="auto"/>
      </w:divBdr>
    </w:div>
    <w:div w:id="2138600696">
      <w:bodyDiv w:val="1"/>
      <w:marLeft w:val="0"/>
      <w:marRight w:val="0"/>
      <w:marTop w:val="0"/>
      <w:marBottom w:val="0"/>
      <w:divBdr>
        <w:top w:val="none" w:sz="0" w:space="0" w:color="auto"/>
        <w:left w:val="none" w:sz="0" w:space="0" w:color="auto"/>
        <w:bottom w:val="none" w:sz="0" w:space="0" w:color="auto"/>
        <w:right w:val="none" w:sz="0" w:space="0" w:color="auto"/>
      </w:divBdr>
    </w:div>
    <w:div w:id="2144957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chart" Target="charts/chart9.xml"/><Relationship Id="rId21" Type="http://schemas.openxmlformats.org/officeDocument/2006/relationships/chart" Target="charts/chart6.xml"/><Relationship Id="rId42" Type="http://schemas.openxmlformats.org/officeDocument/2006/relationships/chart" Target="charts/chart25.xml"/><Relationship Id="rId47" Type="http://schemas.openxmlformats.org/officeDocument/2006/relationships/chart" Target="charts/chart30.xml"/><Relationship Id="rId63" Type="http://schemas.openxmlformats.org/officeDocument/2006/relationships/oleObject" Target="embeddings/oleObject7.bin"/><Relationship Id="rId68" Type="http://schemas.openxmlformats.org/officeDocument/2006/relationships/image" Target="media/image16.emf"/><Relationship Id="rId84" Type="http://schemas.openxmlformats.org/officeDocument/2006/relationships/image" Target="media/image24.emf"/><Relationship Id="rId89" Type="http://schemas.openxmlformats.org/officeDocument/2006/relationships/image" Target="media/image27.png"/><Relationship Id="rId16" Type="http://schemas.openxmlformats.org/officeDocument/2006/relationships/image" Target="media/image3.png"/><Relationship Id="rId11" Type="http://schemas.openxmlformats.org/officeDocument/2006/relationships/image" Target="media/image1.emf"/><Relationship Id="rId32" Type="http://schemas.openxmlformats.org/officeDocument/2006/relationships/chart" Target="charts/chart15.xml"/><Relationship Id="rId37" Type="http://schemas.openxmlformats.org/officeDocument/2006/relationships/chart" Target="charts/chart20.xml"/><Relationship Id="rId53" Type="http://schemas.openxmlformats.org/officeDocument/2006/relationships/oleObject" Target="embeddings/oleObject2.bin"/><Relationship Id="rId58" Type="http://schemas.openxmlformats.org/officeDocument/2006/relationships/image" Target="media/image11.emf"/><Relationship Id="rId74" Type="http://schemas.openxmlformats.org/officeDocument/2006/relationships/image" Target="media/image19.emf"/><Relationship Id="rId79" Type="http://schemas.openxmlformats.org/officeDocument/2006/relationships/oleObject" Target="embeddings/oleObject15.bin"/><Relationship Id="rId5" Type="http://schemas.openxmlformats.org/officeDocument/2006/relationships/numbering" Target="numbering.xml"/><Relationship Id="rId90" Type="http://schemas.openxmlformats.org/officeDocument/2006/relationships/image" Target="media/image28.png"/><Relationship Id="rId95" Type="http://schemas.openxmlformats.org/officeDocument/2006/relationships/fontTable" Target="fontTable.xml"/><Relationship Id="rId22" Type="http://schemas.openxmlformats.org/officeDocument/2006/relationships/chart" Target="charts/chart7.xml"/><Relationship Id="rId27" Type="http://schemas.openxmlformats.org/officeDocument/2006/relationships/chart" Target="charts/chart10.xml"/><Relationship Id="rId43" Type="http://schemas.openxmlformats.org/officeDocument/2006/relationships/chart" Target="charts/chart26.xml"/><Relationship Id="rId48" Type="http://schemas.openxmlformats.org/officeDocument/2006/relationships/chart" Target="charts/chart31.xml"/><Relationship Id="rId64" Type="http://schemas.openxmlformats.org/officeDocument/2006/relationships/image" Target="media/image14.emf"/><Relationship Id="rId69" Type="http://schemas.openxmlformats.org/officeDocument/2006/relationships/oleObject" Target="embeddings/oleObject10.bin"/><Relationship Id="rId80" Type="http://schemas.openxmlformats.org/officeDocument/2006/relationships/image" Target="media/image22.emf"/><Relationship Id="rId85" Type="http://schemas.openxmlformats.org/officeDocument/2006/relationships/oleObject" Target="embeddings/oleObject18.bin"/><Relationship Id="rId3" Type="http://schemas.openxmlformats.org/officeDocument/2006/relationships/customXml" Target="../customXml/item3.xml"/><Relationship Id="rId12" Type="http://schemas.openxmlformats.org/officeDocument/2006/relationships/package" Target="embeddings/Microsoft_Word_Document.docx"/><Relationship Id="rId17" Type="http://schemas.openxmlformats.org/officeDocument/2006/relationships/image" Target="media/image4.png"/><Relationship Id="rId25" Type="http://schemas.openxmlformats.org/officeDocument/2006/relationships/image" Target="media/image6.png"/><Relationship Id="rId33" Type="http://schemas.openxmlformats.org/officeDocument/2006/relationships/chart" Target="charts/chart16.xml"/><Relationship Id="rId38" Type="http://schemas.openxmlformats.org/officeDocument/2006/relationships/chart" Target="charts/chart21.xml"/><Relationship Id="rId46" Type="http://schemas.openxmlformats.org/officeDocument/2006/relationships/chart" Target="charts/chart29.xml"/><Relationship Id="rId59" Type="http://schemas.openxmlformats.org/officeDocument/2006/relationships/oleObject" Target="embeddings/oleObject5.bin"/><Relationship Id="rId67" Type="http://schemas.openxmlformats.org/officeDocument/2006/relationships/oleObject" Target="embeddings/oleObject9.bin"/><Relationship Id="rId20" Type="http://schemas.openxmlformats.org/officeDocument/2006/relationships/chart" Target="charts/chart5.xml"/><Relationship Id="rId41" Type="http://schemas.openxmlformats.org/officeDocument/2006/relationships/chart" Target="charts/chart24.xml"/><Relationship Id="rId54" Type="http://schemas.openxmlformats.org/officeDocument/2006/relationships/image" Target="media/image9.emf"/><Relationship Id="rId62" Type="http://schemas.openxmlformats.org/officeDocument/2006/relationships/image" Target="media/image13.emf"/><Relationship Id="rId70" Type="http://schemas.openxmlformats.org/officeDocument/2006/relationships/image" Target="media/image17.emf"/><Relationship Id="rId75" Type="http://schemas.openxmlformats.org/officeDocument/2006/relationships/oleObject" Target="embeddings/oleObject13.bin"/><Relationship Id="rId83" Type="http://schemas.openxmlformats.org/officeDocument/2006/relationships/oleObject" Target="embeddings/oleObject17.bin"/><Relationship Id="rId88" Type="http://schemas.openxmlformats.org/officeDocument/2006/relationships/image" Target="media/image26.png"/><Relationship Id="rId91" Type="http://schemas.openxmlformats.org/officeDocument/2006/relationships/image" Target="media/image29.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2.xml"/><Relationship Id="rId23" Type="http://schemas.openxmlformats.org/officeDocument/2006/relationships/chart" Target="charts/chart8.xml"/><Relationship Id="rId28" Type="http://schemas.openxmlformats.org/officeDocument/2006/relationships/chart" Target="charts/chart11.xml"/><Relationship Id="rId36" Type="http://schemas.openxmlformats.org/officeDocument/2006/relationships/chart" Target="charts/chart19.xml"/><Relationship Id="rId49" Type="http://schemas.openxmlformats.org/officeDocument/2006/relationships/chart" Target="charts/chart32.xml"/><Relationship Id="rId57" Type="http://schemas.openxmlformats.org/officeDocument/2006/relationships/oleObject" Target="embeddings/oleObject4.bin"/><Relationship Id="rId10" Type="http://schemas.openxmlformats.org/officeDocument/2006/relationships/endnotes" Target="endnotes.xml"/><Relationship Id="rId31" Type="http://schemas.openxmlformats.org/officeDocument/2006/relationships/chart" Target="charts/chart14.xml"/><Relationship Id="rId44" Type="http://schemas.openxmlformats.org/officeDocument/2006/relationships/chart" Target="charts/chart27.xml"/><Relationship Id="rId52" Type="http://schemas.openxmlformats.org/officeDocument/2006/relationships/image" Target="media/image8.emf"/><Relationship Id="rId60" Type="http://schemas.openxmlformats.org/officeDocument/2006/relationships/image" Target="media/image12.emf"/><Relationship Id="rId65" Type="http://schemas.openxmlformats.org/officeDocument/2006/relationships/oleObject" Target="embeddings/oleObject8.bin"/><Relationship Id="rId73" Type="http://schemas.openxmlformats.org/officeDocument/2006/relationships/oleObject" Target="embeddings/oleObject12.bin"/><Relationship Id="rId78" Type="http://schemas.openxmlformats.org/officeDocument/2006/relationships/image" Target="media/image21.emf"/><Relationship Id="rId81" Type="http://schemas.openxmlformats.org/officeDocument/2006/relationships/oleObject" Target="embeddings/oleObject16.bin"/><Relationship Id="rId86" Type="http://schemas.openxmlformats.org/officeDocument/2006/relationships/image" Target="media/image25.emf"/><Relationship Id="rId94" Type="http://schemas.openxmlformats.org/officeDocument/2006/relationships/footer" Target="footer2.xml"/><Relationship Id="Raaf8afced21e417a" Type="http://schemas.microsoft.com/office/2019/09/relationships/intelligence" Target="intelligenc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chart" Target="charts/chart3.xml"/><Relationship Id="rId39" Type="http://schemas.openxmlformats.org/officeDocument/2006/relationships/chart" Target="charts/chart22.xml"/><Relationship Id="rId34" Type="http://schemas.openxmlformats.org/officeDocument/2006/relationships/chart" Target="charts/chart17.xml"/><Relationship Id="rId50" Type="http://schemas.openxmlformats.org/officeDocument/2006/relationships/image" Target="media/image7.emf"/><Relationship Id="rId55" Type="http://schemas.openxmlformats.org/officeDocument/2006/relationships/oleObject" Target="embeddings/oleObject3.bin"/><Relationship Id="rId76" Type="http://schemas.openxmlformats.org/officeDocument/2006/relationships/image" Target="media/image20.emf"/><Relationship Id="rId7" Type="http://schemas.openxmlformats.org/officeDocument/2006/relationships/settings" Target="settings.xml"/><Relationship Id="rId71" Type="http://schemas.openxmlformats.org/officeDocument/2006/relationships/oleObject" Target="embeddings/oleObject11.bin"/><Relationship Id="rId92"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chart" Target="charts/chart12.xml"/><Relationship Id="rId24" Type="http://schemas.openxmlformats.org/officeDocument/2006/relationships/image" Target="media/image5.emf"/><Relationship Id="rId40" Type="http://schemas.openxmlformats.org/officeDocument/2006/relationships/chart" Target="charts/chart23.xml"/><Relationship Id="rId45" Type="http://schemas.openxmlformats.org/officeDocument/2006/relationships/chart" Target="charts/chart28.xml"/><Relationship Id="rId66" Type="http://schemas.openxmlformats.org/officeDocument/2006/relationships/image" Target="media/image15.emf"/><Relationship Id="rId87" Type="http://schemas.openxmlformats.org/officeDocument/2006/relationships/oleObject" Target="embeddings/oleObject19.bin"/><Relationship Id="rId61" Type="http://schemas.openxmlformats.org/officeDocument/2006/relationships/oleObject" Target="embeddings/oleObject6.bin"/><Relationship Id="rId82" Type="http://schemas.openxmlformats.org/officeDocument/2006/relationships/image" Target="media/image23.emf"/><Relationship Id="rId19" Type="http://schemas.openxmlformats.org/officeDocument/2006/relationships/chart" Target="charts/chart4.xml"/><Relationship Id="rId14" Type="http://schemas.openxmlformats.org/officeDocument/2006/relationships/chart" Target="charts/chart1.xml"/><Relationship Id="rId30" Type="http://schemas.openxmlformats.org/officeDocument/2006/relationships/chart" Target="charts/chart13.xml"/><Relationship Id="rId35" Type="http://schemas.openxmlformats.org/officeDocument/2006/relationships/chart" Target="charts/chart18.xml"/><Relationship Id="rId56" Type="http://schemas.openxmlformats.org/officeDocument/2006/relationships/image" Target="media/image10.emf"/><Relationship Id="rId77" Type="http://schemas.openxmlformats.org/officeDocument/2006/relationships/oleObject" Target="embeddings/oleObject14.bin"/><Relationship Id="rId8" Type="http://schemas.openxmlformats.org/officeDocument/2006/relationships/webSettings" Target="webSettings.xml"/><Relationship Id="rId51" Type="http://schemas.openxmlformats.org/officeDocument/2006/relationships/oleObject" Target="embeddings/oleObject1.bin"/><Relationship Id="rId72" Type="http://schemas.openxmlformats.org/officeDocument/2006/relationships/image" Target="media/image18.emf"/><Relationship Id="rId9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charts/_rels/chart1.xml.rels><?xml version="1.0" encoding="UTF-8" standalone="yes"?>
<Relationships xmlns="http://schemas.openxmlformats.org/package/2006/relationships"><Relationship Id="rId3" Type="http://schemas.openxmlformats.org/officeDocument/2006/relationships/oleObject" Target="file:///D:\Poder%20Judicial\2021\2021\Modernizaci&#243;n\Referencias\Oficios%20respuesta%20(borrador)\Oficio%20de%20labores\mayo%20a%20setiembre\Datos%20para%20informe%20de%20labores%20-Cap&#237;tulo%20II.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Poder%20Judicial\2021\2021\Modernizaci&#243;n\Referencias\Oficios%20respuesta%20(borrador)\Oficio%20de%20labores\mayo%20a%20setiembre\Datos%20para%20informe%20de%20labores%20-Cap&#237;tulo%20IV.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Poder%20Judicial\2021\2021\Modernizaci&#243;n\Referencias\Oficios%20respuesta%20(borrador)\Oficio%20de%20labores\mayo%20a%20julio\Datos%20para%20informe%20de%20labores%20-Cap&#237;tulo%20IV.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D:\Poder%20Judicial\2021\2021\Modernizaci&#243;n\Referencias\Oficios%20respuesta%20(borrador)\Oficio%20de%20labores\mayo%20a%20julio\Datos%20para%20informe%20de%20labores%20-Cap&#237;tulo%20IV.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D:\Poder%20Judicial\2021\2021\Modernizaci&#243;n\Referencias\Oficios%20respuesta%20(borrador)\Oficio%20de%20labores\mayo%20a%20julio\Datos%20para%20informe%20de%20labores%20-Cap&#237;tulo%20IV.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D:\Poder%20Judicial\2021\2021\Modernizaci&#243;n\Referencias\Oficios%20respuesta%20(borrador)\Oficio%20de%20labores\mayo%20a%20julio\Datos%20para%20informe%20de%20labores%20-Cap&#237;tulo%20IV.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D:\Poder%20Judicial\2021\2021\Modernizaci&#243;n\Referencias\Oficios%20respuesta%20(borrador)\Oficio%20de%20labores\mayo%20a%20julio\Datos%20para%20informe%20de%20labores%20-Cap&#237;tulo%20IV.xlsx" TargetMode="External"/></Relationships>
</file>

<file path=word/charts/_rels/chart16.xml.rels><?xml version="1.0" encoding="UTF-8" standalone="yes"?>
<Relationships xmlns="http://schemas.openxmlformats.org/package/2006/relationships"><Relationship Id="rId3" Type="http://schemas.openxmlformats.org/officeDocument/2006/relationships/oleObject" Target="file:///D:\Poder%20Judicial\2021\2021\Modernizaci&#243;n\Referencias\Oficios%20respuesta%20(borrador)\Oficio%20de%20labores\mayo%20a%20setiembre\Datos%20para%20informe%20de%20labores%20-Cap&#237;tulo%20IV.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D:\Poder%20Judicial\2021\2021\Modernizaci&#243;n\Referencias\Oficios%20respuesta%20(borrador)\Oficio%20de%20labores\mayo%20a%20julio\Datos%20para%20informe%20de%20labores%20-Cap&#237;tulo%20IV.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D:\Poder%20Judicial\2021\2021\Modernizaci&#243;n\Referencias\Oficios%20respuesta%20(borrador)\Oficio%20de%20labores\mayo%20a%20setiembre\Datos%20para%20informe%20de%20labores%20-Cap&#237;tulo%20IV.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D:\Poder%20Judicial\2021\2021\Modernizaci&#243;n\Referencias\Oficios%20respuesta%20(borrador)\Oficio%20de%20labores\mayo%20a%20julio\Datos%20para%20informe%20de%20labores%20-Cap&#237;tulo%20IV.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D:\Poder%20Judicial\2021\2021\Modernizaci&#243;n\Referencias\Oficios%20respuesta%20(borrador)\Oficio%20de%20labores\mayo%20a%20setiembre\Datos%20para%20informe%20de%20labores%20-Cap&#237;tulo%20II.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D:\Poder%20Judicial\2021\2021\Modernizaci&#243;n\Referencias\Oficios%20respuesta%20(borrador)\Oficio%20de%20labores\mayo%20a%20julio\Datos%20para%20informe%20de%20labores%20-Cap&#237;tulo%20IV.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D:\Poder%20Judicial\2021\2021\Modernizaci&#243;n\Referencias\Oficios%20respuesta%20(borrador)\Oficio%20de%20labores\mayo%20a%20setiembre\Datos%20para%20informe%20de%20labores%20-Cap&#237;tulo%20IV.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D:\Poder%20Judicial\2021\2021\Modernizaci&#243;n\Referencias\Oficios%20respuesta%20(borrador)\Oficio%20de%20labores\mayo%20a%20setiembre\Datos%20para%20informe%20de%20labores%20-Cap&#237;tulo%20IV.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D:\Poder%20Judicial\2021\2021\Modernizaci&#243;n\Referencias\Oficios%20respuesta%20(borrador)\Oficio%20de%20labores\mayo%20a%20julio\Datos%20para%20informe%20de%20labores%20-Cap&#237;tulo%20IV.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D:\Poder%20Judicial\2021\2021\Modernizaci&#243;n\Referencias\Oficios%20respuesta%20(borrador)\Oficio%20de%20labores\mayo%20a%20setiembre\Datos%20para%20informe%20de%20labores%20-Cap&#237;tulo%20IV.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D:\Poder%20Judicial\2021\2021\Modernizaci&#243;n\Referencias\Oficios%20respuesta%20(borrador)\Oficio%20de%20labores\mayo%20a%20setiembre\Datos%20para%20informe%20de%20labores%20-Cap&#237;tulo%20IV.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D:\Poder%20Judicial\2021\2021\Modernizaci&#243;n\Referencias\Oficios%20respuesta%20(borrador)\Oficio%20de%20labores\mayo%20a%20setiembre\Datos%20para%20informe%20de%20labores%20-Cap&#237;tulo%20IV.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D:\Poder%20Judicial\2021\2021\Modernizaci&#243;n\Referencias\Oficios%20respuesta%20(borrador)\Oficio%20de%20labores\mayo%20a%20setiembre\Datos%20para%20informe%20de%20labores%20-Cap&#237;tulo%20IV.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xlsx"/></Relationships>
</file>

<file path=word/charts/_rels/chart29.xml.rels><?xml version="1.0" encoding="UTF-8" standalone="yes"?>
<Relationships xmlns="http://schemas.openxmlformats.org/package/2006/relationships"><Relationship Id="rId3" Type="http://schemas.openxmlformats.org/officeDocument/2006/relationships/oleObject" Target="file:///D:\Poder%20Judicial\2021\2021\Modernizaci&#243;n\Referencias\Oficios%20respuesta%20(borrador)\Oficio%20de%20labores\mayo%20a%20julio\Datos%20para%20informe%20de%20labores%20-Cap&#237;tulo%20IV.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D:\Poder%20Judicial\2021\2021\Modernizaci&#243;n\Referencias\Oficios%20respuesta%20(borrador)\Oficio%20de%20labores\mayo%20a%20julio\Datos%20para%20informe%20de%20labores%20-Cap&#237;tulo%20IV.xlsx" TargetMode="External"/></Relationships>
</file>

<file path=word/charts/_rels/chart30.xml.rels><?xml version="1.0" encoding="UTF-8" standalone="yes"?>
<Relationships xmlns="http://schemas.openxmlformats.org/package/2006/relationships"><Relationship Id="rId3" Type="http://schemas.openxmlformats.org/officeDocument/2006/relationships/oleObject" Target="file:///D:\Poder%20Judicial\2021\2021\Modernizaci&#243;n\Referencias\Oficios%20respuesta%20(borrador)\Oficio%20de%20labores\mayo%20a%20setiembre\Datos%20para%20informe%20de%20labores%20-Cap&#237;tulo%20IV.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D:\Poder%20Judicial\2021\2021\Modernizaci&#243;n\Referencias\Oficios%20respuesta%20(borrador)\Oficio%20de%20labores\mayo%20a%20setiembre\Datos%20para%20informe%20de%20labores%20-Cap&#237;tulo%20IV.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D:\Poder%20Judicial\2021\2021\Modernizaci&#243;n\Referencias\Oficios%20respuesta%20(borrador)\Oficio%20de%20labores\mayo%20a%20setiembre\Datos%20para%20informe%20de%20labores%20-Cap&#237;tulo%20IV.xlsx" TargetMode="External"/><Relationship Id="rId2" Type="http://schemas.microsoft.com/office/2011/relationships/chartColorStyle" Target="colors32.xml"/><Relationship Id="rId1" Type="http://schemas.microsoft.com/office/2011/relationships/chartStyle" Target="style32.xml"/></Relationships>
</file>

<file path=word/charts/_rels/chart4.xml.rels><?xml version="1.0" encoding="UTF-8" standalone="yes"?>
<Relationships xmlns="http://schemas.openxmlformats.org/package/2006/relationships"><Relationship Id="rId3" Type="http://schemas.openxmlformats.org/officeDocument/2006/relationships/oleObject" Target="file:///D:\Poder%20Judicial\2021\2021\Modernizaci&#243;n\Referencias\Oficios%20respuesta%20(borrador)\Oficio%20de%20labores\mayo%20a%20setiembre\Datos%20para%20informe%20de%20labores%20-Cap&#237;tulo%20IV.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Poder%20Judicial\2021\2021\Modernizaci&#243;n\Referencias\Oficios%20respuesta%20(borrador)\Oficio%20de%20labores\mayo%20a%20julio\Datos%20para%20informe%20de%20labores%20-Cap&#237;tulo%20IV.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Poder%20Judicial\2021\2021\Modernizaci&#243;n\Referencias\Oficios%20respuesta%20(borrador)\Oficio%20de%20labores\mayo%20a%20julio\Datos%20para%20informe%20de%20labores%20-Cap&#237;tulo%20IV.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D:\Poder%20Judicial\2021\2021\Modernizaci&#243;n\Referencias\Oficios%20respuesta%20(borrador)\Oficio%20de%20labores\mayo%20a%20julio\Datos%20para%20informe%20de%20labores%20-Cap&#237;tulo%20IV.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D:\Poder%20Judicial\2021\2021\Modernizaci&#243;n\Referencias\Oficios%20respuesta%20(borrador)\Oficio%20de%20labores\mayo%20a%20julio\Datos%20para%20informe%20de%20labores%20-Cap&#237;tulo%20IV.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D:\Poder%20Judicial\2021\2021\Modernizaci&#243;n\Referencias\Oficios%20respuesta%20(borrador)\Oficio%20de%20labores\mayo%20a%20julio\Datos%20para%20informe%20de%20labores%20-Cap&#237;tulo%20IV.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spc="0" normalizeH="0" baseline="0">
                <a:solidFill>
                  <a:schemeClr val="dk1">
                    <a:lumMod val="50000"/>
                    <a:lumOff val="50000"/>
                  </a:schemeClr>
                </a:solidFill>
                <a:latin typeface="Book Antiqua" panose="02040602050305030304" pitchFamily="18" charset="0"/>
                <a:ea typeface="+mj-ea"/>
                <a:cs typeface="+mj-cs"/>
              </a:defRPr>
            </a:pPr>
            <a:r>
              <a:rPr lang="es-CR"/>
              <a:t>Comportamiento</a:t>
            </a:r>
            <a:r>
              <a:rPr lang="es-CR" baseline="0"/>
              <a:t> de las diligencias realizadas</a:t>
            </a:r>
            <a:endParaRPr lang="es-CR"/>
          </a:p>
        </c:rich>
      </c:tx>
      <c:overlay val="0"/>
      <c:spPr>
        <a:noFill/>
        <a:ln>
          <a:noFill/>
        </a:ln>
        <a:effectLst/>
      </c:spPr>
      <c:txPr>
        <a:bodyPr rot="0" spcFirstLastPara="1" vertOverflow="ellipsis" vert="horz" wrap="square" anchor="ctr" anchorCtr="1"/>
        <a:lstStyle/>
        <a:p>
          <a:pPr>
            <a:defRPr sz="1200" b="1" i="0" u="none" strike="noStrike" kern="1200" cap="none" spc="0" normalizeH="0" baseline="0">
              <a:solidFill>
                <a:schemeClr val="dk1">
                  <a:lumMod val="50000"/>
                  <a:lumOff val="50000"/>
                </a:schemeClr>
              </a:solidFill>
              <a:latin typeface="Book Antiqua" panose="02040602050305030304" pitchFamily="18" charset="0"/>
              <a:ea typeface="+mj-ea"/>
              <a:cs typeface="+mj-cs"/>
            </a:defRPr>
          </a:pPr>
          <a:endParaRPr lang="es-CR"/>
        </a:p>
      </c:txPr>
    </c:title>
    <c:autoTitleDeleted val="0"/>
    <c:plotArea>
      <c:layout/>
      <c:lineChart>
        <c:grouping val="standard"/>
        <c:varyColors val="0"/>
        <c:ser>
          <c:idx val="0"/>
          <c:order val="0"/>
          <c:spPr>
            <a:ln w="22225" cap="rnd">
              <a:solidFill>
                <a:schemeClr val="accent1">
                  <a:lumMod val="75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dk1">
                        <a:lumMod val="75000"/>
                        <a:lumOff val="25000"/>
                      </a:schemeClr>
                    </a:solidFill>
                    <a:latin typeface="Book Antiqua" panose="02040602050305030304" pitchFamily="18" charset="0"/>
                    <a:ea typeface="+mn-ea"/>
                    <a:cs typeface="+mn-cs"/>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'C-9'!$G$2:$O$2</c:f>
              <c:strCache>
                <c:ptCount val="9"/>
                <c:pt idx="0">
                  <c:v>Enero</c:v>
                </c:pt>
                <c:pt idx="1">
                  <c:v>Febrero</c:v>
                </c:pt>
                <c:pt idx="2">
                  <c:v>Marzo</c:v>
                </c:pt>
                <c:pt idx="3">
                  <c:v>Abril</c:v>
                </c:pt>
                <c:pt idx="4">
                  <c:v>Mayo</c:v>
                </c:pt>
                <c:pt idx="5">
                  <c:v>Junio</c:v>
                </c:pt>
                <c:pt idx="6">
                  <c:v>Julio</c:v>
                </c:pt>
                <c:pt idx="7">
                  <c:v>Agosto</c:v>
                </c:pt>
                <c:pt idx="8">
                  <c:v>Setiembre</c:v>
                </c:pt>
              </c:strCache>
            </c:strRef>
          </c:cat>
          <c:val>
            <c:numRef>
              <c:f>'C-9'!$G$3:$O$3</c:f>
              <c:numCache>
                <c:formatCode>General</c:formatCode>
                <c:ptCount val="9"/>
                <c:pt idx="0">
                  <c:v>9320</c:v>
                </c:pt>
                <c:pt idx="1">
                  <c:v>10781</c:v>
                </c:pt>
                <c:pt idx="2">
                  <c:v>10821</c:v>
                </c:pt>
                <c:pt idx="3">
                  <c:v>11694</c:v>
                </c:pt>
                <c:pt idx="4">
                  <c:v>10267</c:v>
                </c:pt>
                <c:pt idx="5">
                  <c:v>11789</c:v>
                </c:pt>
                <c:pt idx="6">
                  <c:v>11369</c:v>
                </c:pt>
                <c:pt idx="7">
                  <c:v>12163</c:v>
                </c:pt>
                <c:pt idx="8">
                  <c:v>12294</c:v>
                </c:pt>
              </c:numCache>
            </c:numRef>
          </c:val>
          <c:smooth val="0"/>
          <c:extLst>
            <c:ext xmlns:c16="http://schemas.microsoft.com/office/drawing/2014/chart" uri="{C3380CC4-5D6E-409C-BE32-E72D297353CC}">
              <c16:uniqueId val="{00000000-D9B5-4FAE-BB2E-4549BF1E8766}"/>
            </c:ext>
          </c:extLst>
        </c:ser>
        <c:dLbls>
          <c:dLblPos val="t"/>
          <c:showLegendKey val="0"/>
          <c:showVal val="1"/>
          <c:showCatName val="0"/>
          <c:showSerName val="0"/>
          <c:showPercent val="0"/>
          <c:showBubbleSize val="0"/>
        </c:dLbls>
        <c:smooth val="0"/>
        <c:axId val="151229904"/>
        <c:axId val="151228656"/>
      </c:lineChart>
      <c:catAx>
        <c:axId val="151229904"/>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chemeClr val="dk1">
                    <a:lumMod val="65000"/>
                    <a:lumOff val="35000"/>
                  </a:schemeClr>
                </a:solidFill>
                <a:latin typeface="Book Antiqua" panose="02040602050305030304" pitchFamily="18" charset="0"/>
                <a:ea typeface="+mn-ea"/>
                <a:cs typeface="+mn-cs"/>
              </a:defRPr>
            </a:pPr>
            <a:endParaRPr lang="es-CR"/>
          </a:p>
        </c:txPr>
        <c:crossAx val="151228656"/>
        <c:crosses val="autoZero"/>
        <c:auto val="1"/>
        <c:lblAlgn val="ctr"/>
        <c:lblOffset val="100"/>
        <c:noMultiLvlLbl val="0"/>
      </c:catAx>
      <c:valAx>
        <c:axId val="151228656"/>
        <c:scaling>
          <c:orientation val="minMax"/>
          <c:max val="14000"/>
          <c:min val="6000"/>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Book Antiqua" panose="02040602050305030304" pitchFamily="18" charset="0"/>
                <a:ea typeface="+mn-ea"/>
                <a:cs typeface="+mn-cs"/>
              </a:defRPr>
            </a:pPr>
            <a:endParaRPr lang="es-CR"/>
          </a:p>
        </c:txPr>
        <c:crossAx val="151229904"/>
        <c:crosses val="autoZero"/>
        <c:crossBetween val="between"/>
        <c:majorUnit val="1000"/>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sz="1000">
          <a:latin typeface="Book Antiqua" panose="02040602050305030304" pitchFamily="18" charset="0"/>
        </a:defRPr>
      </a:pPr>
      <a:endParaRPr lang="es-C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'Tribunales Penales'!$B$41</c:f>
              <c:strCache>
                <c:ptCount val="1"/>
                <c:pt idx="0">
                  <c:v>jun-21</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'Tribunales Penales'!$A$42:$A$44</c:f>
              <c:strCache>
                <c:ptCount val="3"/>
                <c:pt idx="0">
                  <c:v>Sentencia dictada</c:v>
                </c:pt>
                <c:pt idx="1">
                  <c:v>Recurso de apelación</c:v>
                </c:pt>
                <c:pt idx="2">
                  <c:v>Medida alterna</c:v>
                </c:pt>
              </c:strCache>
            </c:strRef>
          </c:cat>
          <c:val>
            <c:numRef>
              <c:f>'Tribunales Penales'!$B$42:$B$44</c:f>
              <c:numCache>
                <c:formatCode>General</c:formatCode>
                <c:ptCount val="3"/>
                <c:pt idx="0">
                  <c:v>1000</c:v>
                </c:pt>
                <c:pt idx="1">
                  <c:v>409</c:v>
                </c:pt>
                <c:pt idx="2">
                  <c:v>227</c:v>
                </c:pt>
              </c:numCache>
            </c:numRef>
          </c:val>
          <c:extLst>
            <c:ext xmlns:c16="http://schemas.microsoft.com/office/drawing/2014/chart" uri="{C3380CC4-5D6E-409C-BE32-E72D297353CC}">
              <c16:uniqueId val="{00000000-BF88-4C77-97AB-8C0C69820D8A}"/>
            </c:ext>
          </c:extLst>
        </c:ser>
        <c:dLbls>
          <c:showLegendKey val="0"/>
          <c:showVal val="0"/>
          <c:showCatName val="0"/>
          <c:showSerName val="0"/>
          <c:showPercent val="0"/>
          <c:showBubbleSize val="0"/>
        </c:dLbls>
        <c:gapWidth val="219"/>
        <c:overlap val="-27"/>
        <c:axId val="1026934127"/>
        <c:axId val="1026933295"/>
      </c:barChart>
      <c:catAx>
        <c:axId val="10269341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1026933295"/>
        <c:crosses val="autoZero"/>
        <c:auto val="1"/>
        <c:lblAlgn val="ctr"/>
        <c:lblOffset val="100"/>
        <c:noMultiLvlLbl val="0"/>
      </c:catAx>
      <c:valAx>
        <c:axId val="1026933295"/>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102693412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Book Antiqua" panose="02040602050305030304" pitchFamily="18" charset="0"/>
        </a:defRPr>
      </a:pPr>
      <a:endParaRPr lang="es-C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Flagrancia!$B$32</c:f>
              <c:strCache>
                <c:ptCount val="1"/>
                <c:pt idx="0">
                  <c:v>jun-21</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Flagrancia!$A$33:$A$35</c:f>
              <c:strCache>
                <c:ptCount val="3"/>
                <c:pt idx="0">
                  <c:v>Audiencia inicial programada</c:v>
                </c:pt>
                <c:pt idx="1">
                  <c:v>Sentencia dictada</c:v>
                </c:pt>
                <c:pt idx="2">
                  <c:v>Medida alterna</c:v>
                </c:pt>
              </c:strCache>
            </c:strRef>
          </c:cat>
          <c:val>
            <c:numRef>
              <c:f>Flagrancia!$B$33:$B$35</c:f>
              <c:numCache>
                <c:formatCode>General</c:formatCode>
                <c:ptCount val="3"/>
                <c:pt idx="0">
                  <c:v>831</c:v>
                </c:pt>
                <c:pt idx="1">
                  <c:v>621</c:v>
                </c:pt>
                <c:pt idx="2">
                  <c:v>480</c:v>
                </c:pt>
              </c:numCache>
            </c:numRef>
          </c:val>
          <c:extLst>
            <c:ext xmlns:c16="http://schemas.microsoft.com/office/drawing/2014/chart" uri="{C3380CC4-5D6E-409C-BE32-E72D297353CC}">
              <c16:uniqueId val="{00000000-8751-43F4-960E-3C8539D5BBBB}"/>
            </c:ext>
          </c:extLst>
        </c:ser>
        <c:dLbls>
          <c:dLblPos val="outEnd"/>
          <c:showLegendKey val="0"/>
          <c:showVal val="1"/>
          <c:showCatName val="0"/>
          <c:showSerName val="0"/>
          <c:showPercent val="0"/>
          <c:showBubbleSize val="0"/>
        </c:dLbls>
        <c:gapWidth val="219"/>
        <c:overlap val="-27"/>
        <c:axId val="200566544"/>
        <c:axId val="200566960"/>
      </c:barChart>
      <c:catAx>
        <c:axId val="200566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200566960"/>
        <c:crosses val="autoZero"/>
        <c:auto val="1"/>
        <c:lblAlgn val="ctr"/>
        <c:lblOffset val="100"/>
        <c:noMultiLvlLbl val="0"/>
      </c:catAx>
      <c:valAx>
        <c:axId val="20056696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2005665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Book Antiqua" panose="02040602050305030304" pitchFamily="18" charset="0"/>
        </a:defRPr>
      </a:pPr>
      <a:endParaRPr lang="es-C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'Ejecución de la Pena'!$J$10</c:f>
              <c:strCache>
                <c:ptCount val="1"/>
                <c:pt idx="0">
                  <c:v>jun-21</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'Ejecución de la Pena'!$I$11:$I$13</c:f>
              <c:strCache>
                <c:ptCount val="3"/>
                <c:pt idx="0">
                  <c:v>Expediente firmado</c:v>
                </c:pt>
                <c:pt idx="1">
                  <c:v>Asunto terminado</c:v>
                </c:pt>
                <c:pt idx="2">
                  <c:v>Audiencia realizada</c:v>
                </c:pt>
              </c:strCache>
            </c:strRef>
          </c:cat>
          <c:val>
            <c:numRef>
              <c:f>'Ejecución de la Pena'!$J$11:$J$13</c:f>
              <c:numCache>
                <c:formatCode>General</c:formatCode>
                <c:ptCount val="3"/>
                <c:pt idx="0">
                  <c:v>5984</c:v>
                </c:pt>
                <c:pt idx="1">
                  <c:v>1354</c:v>
                </c:pt>
                <c:pt idx="2">
                  <c:v>314</c:v>
                </c:pt>
              </c:numCache>
            </c:numRef>
          </c:val>
          <c:extLst>
            <c:ext xmlns:c16="http://schemas.microsoft.com/office/drawing/2014/chart" uri="{C3380CC4-5D6E-409C-BE32-E72D297353CC}">
              <c16:uniqueId val="{00000000-DC72-4FCF-AF00-D8CD33A8D572}"/>
            </c:ext>
          </c:extLst>
        </c:ser>
        <c:dLbls>
          <c:dLblPos val="outEnd"/>
          <c:showLegendKey val="0"/>
          <c:showVal val="1"/>
          <c:showCatName val="0"/>
          <c:showSerName val="0"/>
          <c:showPercent val="0"/>
          <c:showBubbleSize val="0"/>
        </c:dLbls>
        <c:gapWidth val="219"/>
        <c:overlap val="-27"/>
        <c:axId val="370398559"/>
        <c:axId val="370395231"/>
      </c:barChart>
      <c:catAx>
        <c:axId val="3703985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370395231"/>
        <c:crosses val="autoZero"/>
        <c:auto val="1"/>
        <c:lblAlgn val="ctr"/>
        <c:lblOffset val="100"/>
        <c:noMultiLvlLbl val="0"/>
      </c:catAx>
      <c:valAx>
        <c:axId val="37039523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3703985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Book Antiqua" panose="02040602050305030304" pitchFamily="18" charset="0"/>
        </a:defRPr>
      </a:pPr>
      <a:endParaRPr lang="es-C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Apelación!$B$36</c:f>
              <c:strCache>
                <c:ptCount val="1"/>
                <c:pt idx="0">
                  <c:v>jun-21</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Apelación!$A$37:$A$40</c:f>
              <c:strCache>
                <c:ptCount val="4"/>
                <c:pt idx="0">
                  <c:v>Sentencias dictadas</c:v>
                </c:pt>
                <c:pt idx="1">
                  <c:v>Proyectos revisados no votados</c:v>
                </c:pt>
                <c:pt idx="2">
                  <c:v>Proyectos redactados no votados</c:v>
                </c:pt>
                <c:pt idx="3">
                  <c:v>Solicitudes de prisión preventiva resueltas</c:v>
                </c:pt>
              </c:strCache>
            </c:strRef>
          </c:cat>
          <c:val>
            <c:numRef>
              <c:f>Apelación!$B$37:$B$40</c:f>
              <c:numCache>
                <c:formatCode>General</c:formatCode>
                <c:ptCount val="4"/>
                <c:pt idx="0">
                  <c:v>284</c:v>
                </c:pt>
                <c:pt idx="1">
                  <c:v>137</c:v>
                </c:pt>
                <c:pt idx="2">
                  <c:v>125</c:v>
                </c:pt>
                <c:pt idx="3">
                  <c:v>102</c:v>
                </c:pt>
              </c:numCache>
            </c:numRef>
          </c:val>
          <c:extLst>
            <c:ext xmlns:c16="http://schemas.microsoft.com/office/drawing/2014/chart" uri="{C3380CC4-5D6E-409C-BE32-E72D297353CC}">
              <c16:uniqueId val="{00000000-A8EE-457E-8D0F-CC68DDC0181E}"/>
            </c:ext>
          </c:extLst>
        </c:ser>
        <c:dLbls>
          <c:dLblPos val="outEnd"/>
          <c:showLegendKey val="0"/>
          <c:showVal val="1"/>
          <c:showCatName val="0"/>
          <c:showSerName val="0"/>
          <c:showPercent val="0"/>
          <c:showBubbleSize val="0"/>
        </c:dLbls>
        <c:gapWidth val="219"/>
        <c:overlap val="-27"/>
        <c:axId val="792382704"/>
        <c:axId val="792381040"/>
      </c:barChart>
      <c:catAx>
        <c:axId val="792382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792381040"/>
        <c:crosses val="autoZero"/>
        <c:auto val="1"/>
        <c:lblAlgn val="ctr"/>
        <c:lblOffset val="100"/>
        <c:noMultiLvlLbl val="0"/>
      </c:catAx>
      <c:valAx>
        <c:axId val="79238104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7923827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Book Antiqua" panose="02040602050305030304" pitchFamily="18" charset="0"/>
        </a:defRPr>
      </a:pPr>
      <a:endParaRPr lang="es-C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Sala!$C$11</c:f>
              <c:strCache>
                <c:ptCount val="1"/>
                <c:pt idx="0">
                  <c:v>jun-21</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Sala!$B$12:$B$15</c:f>
              <c:strCache>
                <c:ptCount val="4"/>
                <c:pt idx="0">
                  <c:v>Revisión de expedientes/resoluciones</c:v>
                </c:pt>
                <c:pt idx="1">
                  <c:v>Clasificación de jurisprudencia</c:v>
                </c:pt>
                <c:pt idx="2">
                  <c:v>Proyecto de resolución</c:v>
                </c:pt>
                <c:pt idx="3">
                  <c:v>Votaciones</c:v>
                </c:pt>
              </c:strCache>
            </c:strRef>
          </c:cat>
          <c:val>
            <c:numRef>
              <c:f>Sala!$C$12:$C$15</c:f>
              <c:numCache>
                <c:formatCode>General</c:formatCode>
                <c:ptCount val="4"/>
                <c:pt idx="0">
                  <c:v>352</c:v>
                </c:pt>
                <c:pt idx="1">
                  <c:v>320</c:v>
                </c:pt>
                <c:pt idx="2">
                  <c:v>121</c:v>
                </c:pt>
                <c:pt idx="3">
                  <c:v>101</c:v>
                </c:pt>
              </c:numCache>
            </c:numRef>
          </c:val>
          <c:extLst>
            <c:ext xmlns:c16="http://schemas.microsoft.com/office/drawing/2014/chart" uri="{C3380CC4-5D6E-409C-BE32-E72D297353CC}">
              <c16:uniqueId val="{00000000-BFDA-47E8-8CDA-62EF20BA1A98}"/>
            </c:ext>
          </c:extLst>
        </c:ser>
        <c:dLbls>
          <c:showLegendKey val="0"/>
          <c:showVal val="0"/>
          <c:showCatName val="0"/>
          <c:showSerName val="0"/>
          <c:showPercent val="0"/>
          <c:showBubbleSize val="0"/>
        </c:dLbls>
        <c:gapWidth val="219"/>
        <c:overlap val="-27"/>
        <c:axId val="427030735"/>
        <c:axId val="427025743"/>
      </c:barChart>
      <c:catAx>
        <c:axId val="4270307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427025743"/>
        <c:crosses val="autoZero"/>
        <c:auto val="1"/>
        <c:lblAlgn val="ctr"/>
        <c:lblOffset val="100"/>
        <c:noMultiLvlLbl val="0"/>
      </c:catAx>
      <c:valAx>
        <c:axId val="427025743"/>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4270307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Book Antiqua" panose="02040602050305030304" pitchFamily="18" charset="0"/>
        </a:defRPr>
      </a:pPr>
      <a:endParaRPr lang="es-C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'Juzgados Penales'!$B$59</c:f>
              <c:strCache>
                <c:ptCount val="1"/>
                <c:pt idx="0">
                  <c:v>jul-21</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'Juzgados Penales'!$A$60:$A$62</c:f>
              <c:strCache>
                <c:ptCount val="3"/>
                <c:pt idx="0">
                  <c:v>Terminado por desestimación, sobreseimiento y acusación</c:v>
                </c:pt>
                <c:pt idx="1">
                  <c:v>Audiencia preliminar realizada</c:v>
                </c:pt>
                <c:pt idx="2">
                  <c:v>Vista oral realizada</c:v>
                </c:pt>
              </c:strCache>
            </c:strRef>
          </c:cat>
          <c:val>
            <c:numRef>
              <c:f>'Juzgados Penales'!$B$60:$B$62</c:f>
              <c:numCache>
                <c:formatCode>General</c:formatCode>
                <c:ptCount val="3"/>
                <c:pt idx="0">
                  <c:v>8815</c:v>
                </c:pt>
                <c:pt idx="1">
                  <c:v>2405</c:v>
                </c:pt>
                <c:pt idx="2">
                  <c:v>698</c:v>
                </c:pt>
              </c:numCache>
            </c:numRef>
          </c:val>
          <c:extLst>
            <c:ext xmlns:c16="http://schemas.microsoft.com/office/drawing/2014/chart" uri="{C3380CC4-5D6E-409C-BE32-E72D297353CC}">
              <c16:uniqueId val="{00000000-6C95-4FBE-BD93-396FDA26615D}"/>
            </c:ext>
          </c:extLst>
        </c:ser>
        <c:dLbls>
          <c:dLblPos val="outEnd"/>
          <c:showLegendKey val="0"/>
          <c:showVal val="1"/>
          <c:showCatName val="0"/>
          <c:showSerName val="0"/>
          <c:showPercent val="0"/>
          <c:showBubbleSize val="0"/>
        </c:dLbls>
        <c:gapWidth val="219"/>
        <c:overlap val="-27"/>
        <c:axId val="521751728"/>
        <c:axId val="521754640"/>
      </c:barChart>
      <c:catAx>
        <c:axId val="521751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521754640"/>
        <c:crosses val="autoZero"/>
        <c:auto val="1"/>
        <c:lblAlgn val="ctr"/>
        <c:lblOffset val="100"/>
        <c:noMultiLvlLbl val="0"/>
      </c:catAx>
      <c:valAx>
        <c:axId val="521754640"/>
        <c:scaling>
          <c:orientation val="minMax"/>
          <c:max val="900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5217517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Book Antiqua" panose="02040602050305030304" pitchFamily="18" charset="0"/>
        </a:defRPr>
      </a:pPr>
      <a:endParaRPr lang="es-CR"/>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'Tribunales Penales'!$B$46</c:f>
              <c:strCache>
                <c:ptCount val="1"/>
                <c:pt idx="0">
                  <c:v>jul-21</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'Tribunales Penales'!$A$47:$A$49</c:f>
              <c:strCache>
                <c:ptCount val="3"/>
                <c:pt idx="0">
                  <c:v>Sentencia dictada</c:v>
                </c:pt>
                <c:pt idx="1">
                  <c:v>Recurso de apelación</c:v>
                </c:pt>
                <c:pt idx="2">
                  <c:v>Medida alterna</c:v>
                </c:pt>
              </c:strCache>
            </c:strRef>
          </c:cat>
          <c:val>
            <c:numRef>
              <c:f>'Tribunales Penales'!$B$47:$B$49</c:f>
              <c:numCache>
                <c:formatCode>General</c:formatCode>
                <c:ptCount val="3"/>
                <c:pt idx="0">
                  <c:v>1017</c:v>
                </c:pt>
                <c:pt idx="1">
                  <c:v>404</c:v>
                </c:pt>
                <c:pt idx="2">
                  <c:v>198</c:v>
                </c:pt>
              </c:numCache>
            </c:numRef>
          </c:val>
          <c:extLst>
            <c:ext xmlns:c16="http://schemas.microsoft.com/office/drawing/2014/chart" uri="{C3380CC4-5D6E-409C-BE32-E72D297353CC}">
              <c16:uniqueId val="{00000000-BACA-4B06-8E3B-AACC9B799331}"/>
            </c:ext>
          </c:extLst>
        </c:ser>
        <c:dLbls>
          <c:dLblPos val="outEnd"/>
          <c:showLegendKey val="0"/>
          <c:showVal val="1"/>
          <c:showCatName val="0"/>
          <c:showSerName val="0"/>
          <c:showPercent val="0"/>
          <c:showBubbleSize val="0"/>
        </c:dLbls>
        <c:gapWidth val="219"/>
        <c:overlap val="-27"/>
        <c:axId val="521745072"/>
        <c:axId val="521751728"/>
      </c:barChart>
      <c:catAx>
        <c:axId val="521745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521751728"/>
        <c:crosses val="autoZero"/>
        <c:auto val="1"/>
        <c:lblAlgn val="ctr"/>
        <c:lblOffset val="100"/>
        <c:noMultiLvlLbl val="0"/>
      </c:catAx>
      <c:valAx>
        <c:axId val="52175172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5217450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Book Antiqua" panose="02040602050305030304" pitchFamily="18" charset="0"/>
        </a:defRPr>
      </a:pPr>
      <a:endParaRPr lang="es-C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Flagrancia!$B$39</c:f>
              <c:strCache>
                <c:ptCount val="1"/>
                <c:pt idx="0">
                  <c:v>jul-21</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Flagrancia!$A$40:$A$42</c:f>
              <c:strCache>
                <c:ptCount val="3"/>
                <c:pt idx="0">
                  <c:v>Audiencia inicial programada</c:v>
                </c:pt>
                <c:pt idx="1">
                  <c:v>Sentencia dictada</c:v>
                </c:pt>
                <c:pt idx="2">
                  <c:v>Medida alterna</c:v>
                </c:pt>
              </c:strCache>
            </c:strRef>
          </c:cat>
          <c:val>
            <c:numRef>
              <c:f>Flagrancia!$B$40:$B$42</c:f>
              <c:numCache>
                <c:formatCode>General</c:formatCode>
                <c:ptCount val="3"/>
                <c:pt idx="0">
                  <c:v>874</c:v>
                </c:pt>
                <c:pt idx="1">
                  <c:v>542</c:v>
                </c:pt>
                <c:pt idx="2">
                  <c:v>416</c:v>
                </c:pt>
              </c:numCache>
            </c:numRef>
          </c:val>
          <c:extLst>
            <c:ext xmlns:c16="http://schemas.microsoft.com/office/drawing/2014/chart" uri="{C3380CC4-5D6E-409C-BE32-E72D297353CC}">
              <c16:uniqueId val="{00000000-8331-4A68-ADBD-4F146F151152}"/>
            </c:ext>
          </c:extLst>
        </c:ser>
        <c:dLbls>
          <c:dLblPos val="outEnd"/>
          <c:showLegendKey val="0"/>
          <c:showVal val="1"/>
          <c:showCatName val="0"/>
          <c:showSerName val="0"/>
          <c:showPercent val="0"/>
          <c:showBubbleSize val="0"/>
        </c:dLbls>
        <c:gapWidth val="219"/>
        <c:overlap val="-27"/>
        <c:axId val="774789968"/>
        <c:axId val="774807856"/>
      </c:barChart>
      <c:catAx>
        <c:axId val="774789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774807856"/>
        <c:crosses val="autoZero"/>
        <c:auto val="1"/>
        <c:lblAlgn val="ctr"/>
        <c:lblOffset val="100"/>
        <c:noMultiLvlLbl val="0"/>
      </c:catAx>
      <c:valAx>
        <c:axId val="774807856"/>
        <c:scaling>
          <c:orientation val="minMax"/>
          <c:max val="90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7747899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Book Antiqua" panose="02040602050305030304" pitchFamily="18" charset="0"/>
        </a:defRPr>
      </a:pPr>
      <a:endParaRPr lang="es-CR"/>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251158173973379E-2"/>
          <c:y val="6.5109952081809544E-2"/>
          <c:w val="0.87800683982335992"/>
          <c:h val="0.81308915107559587"/>
        </c:manualLayout>
      </c:layout>
      <c:barChart>
        <c:barDir val="col"/>
        <c:grouping val="clustered"/>
        <c:varyColors val="0"/>
        <c:ser>
          <c:idx val="0"/>
          <c:order val="0"/>
          <c:tx>
            <c:strRef>
              <c:f>'Ejecución de la Pena'!$J$25</c:f>
              <c:strCache>
                <c:ptCount val="1"/>
                <c:pt idx="0">
                  <c:v>jul-21</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'Ejecución de la Pena'!$I$26:$I$28</c:f>
              <c:strCache>
                <c:ptCount val="3"/>
                <c:pt idx="0">
                  <c:v>Expediente firmado</c:v>
                </c:pt>
                <c:pt idx="1">
                  <c:v>Asunto terminado</c:v>
                </c:pt>
                <c:pt idx="2">
                  <c:v>Audiencia realizada</c:v>
                </c:pt>
              </c:strCache>
            </c:strRef>
          </c:cat>
          <c:val>
            <c:numRef>
              <c:f>'Ejecución de la Pena'!$J$26:$J$28</c:f>
              <c:numCache>
                <c:formatCode>General</c:formatCode>
                <c:ptCount val="3"/>
                <c:pt idx="0">
                  <c:v>5947</c:v>
                </c:pt>
                <c:pt idx="1">
                  <c:v>1171</c:v>
                </c:pt>
                <c:pt idx="2">
                  <c:v>359</c:v>
                </c:pt>
              </c:numCache>
            </c:numRef>
          </c:val>
          <c:extLst>
            <c:ext xmlns:c16="http://schemas.microsoft.com/office/drawing/2014/chart" uri="{C3380CC4-5D6E-409C-BE32-E72D297353CC}">
              <c16:uniqueId val="{00000000-75E6-41FD-8111-21338BCEE432}"/>
            </c:ext>
          </c:extLst>
        </c:ser>
        <c:dLbls>
          <c:dLblPos val="outEnd"/>
          <c:showLegendKey val="0"/>
          <c:showVal val="1"/>
          <c:showCatName val="0"/>
          <c:showSerName val="0"/>
          <c:showPercent val="0"/>
          <c:showBubbleSize val="0"/>
        </c:dLbls>
        <c:gapWidth val="219"/>
        <c:overlap val="-27"/>
        <c:axId val="522521535"/>
        <c:axId val="522515711"/>
      </c:barChart>
      <c:catAx>
        <c:axId val="5225215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522515711"/>
        <c:crosses val="autoZero"/>
        <c:auto val="1"/>
        <c:lblAlgn val="ctr"/>
        <c:lblOffset val="100"/>
        <c:noMultiLvlLbl val="0"/>
      </c:catAx>
      <c:valAx>
        <c:axId val="52251571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5225215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Book Antiqua" panose="02040602050305030304" pitchFamily="18" charset="0"/>
        </a:defRPr>
      </a:pPr>
      <a:endParaRPr lang="es-CR"/>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Apelación!$B$72</c:f>
              <c:strCache>
                <c:ptCount val="1"/>
                <c:pt idx="0">
                  <c:v>julio</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Apelación!$A$73:$A$76</c:f>
              <c:strCache>
                <c:ptCount val="4"/>
                <c:pt idx="0">
                  <c:v>Sentencias dictadas</c:v>
                </c:pt>
                <c:pt idx="1">
                  <c:v>Proyectos redactados no votados</c:v>
                </c:pt>
                <c:pt idx="2">
                  <c:v>Proyectos revisados no votados</c:v>
                </c:pt>
                <c:pt idx="3">
                  <c:v>Solicitudes de prisión preventiva resueltas</c:v>
                </c:pt>
              </c:strCache>
            </c:strRef>
          </c:cat>
          <c:val>
            <c:numRef>
              <c:f>Apelación!$B$73:$B$76</c:f>
              <c:numCache>
                <c:formatCode>General</c:formatCode>
                <c:ptCount val="4"/>
                <c:pt idx="0">
                  <c:v>338</c:v>
                </c:pt>
                <c:pt idx="1">
                  <c:v>125</c:v>
                </c:pt>
                <c:pt idx="2">
                  <c:v>108</c:v>
                </c:pt>
                <c:pt idx="3">
                  <c:v>102</c:v>
                </c:pt>
              </c:numCache>
            </c:numRef>
          </c:val>
          <c:extLst>
            <c:ext xmlns:c16="http://schemas.microsoft.com/office/drawing/2014/chart" uri="{C3380CC4-5D6E-409C-BE32-E72D297353CC}">
              <c16:uniqueId val="{00000000-BAC1-4FAB-9386-D49753C159DC}"/>
            </c:ext>
          </c:extLst>
        </c:ser>
        <c:dLbls>
          <c:dLblPos val="outEnd"/>
          <c:showLegendKey val="0"/>
          <c:showVal val="1"/>
          <c:showCatName val="0"/>
          <c:showSerName val="0"/>
          <c:showPercent val="0"/>
          <c:showBubbleSize val="0"/>
        </c:dLbls>
        <c:gapWidth val="219"/>
        <c:overlap val="-27"/>
        <c:axId val="971609152"/>
        <c:axId val="971616224"/>
      </c:barChart>
      <c:catAx>
        <c:axId val="971609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971616224"/>
        <c:crosses val="autoZero"/>
        <c:auto val="1"/>
        <c:lblAlgn val="ctr"/>
        <c:lblOffset val="100"/>
        <c:noMultiLvlLbl val="0"/>
      </c:catAx>
      <c:valAx>
        <c:axId val="9716162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9716091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Book Antiqua" panose="02040602050305030304" pitchFamily="18" charset="0"/>
        </a:defRPr>
      </a:pPr>
      <a:endParaRPr lang="es-C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'C-9'!$A$27</c:f>
              <c:strCache>
                <c:ptCount val="1"/>
                <c:pt idx="0">
                  <c:v>pro</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Book Antiqua" panose="02040602050305030304" pitchFamily="18" charset="0"/>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'C-9'!$B$26:$Q$26</c:f>
              <c:strCache>
                <c:ptCount val="15"/>
                <c:pt idx="0">
                  <c:v>Agrario</c:v>
                </c:pt>
                <c:pt idx="1">
                  <c:v>Civil</c:v>
                </c:pt>
                <c:pt idx="2">
                  <c:v>Contencioso</c:v>
                </c:pt>
                <c:pt idx="3">
                  <c:v>Contravencional</c:v>
                </c:pt>
                <c:pt idx="4">
                  <c:v>Familia</c:v>
                </c:pt>
                <c:pt idx="5">
                  <c:v>Pensiones Alimentarias</c:v>
                </c:pt>
                <c:pt idx="6">
                  <c:v>Trabajo</c:v>
                </c:pt>
                <c:pt idx="7">
                  <c:v>Tránsito</c:v>
                </c:pt>
                <c:pt idx="8">
                  <c:v>Violencia Doméstica</c:v>
                </c:pt>
                <c:pt idx="9">
                  <c:v>Juzgado de Ejecución de la Pena</c:v>
                </c:pt>
                <c:pt idx="10">
                  <c:v>Juzgado Penal</c:v>
                </c:pt>
                <c:pt idx="11">
                  <c:v>Juzgado Penal Juvenil</c:v>
                </c:pt>
                <c:pt idx="13">
                  <c:v>Tribunal Penal</c:v>
                </c:pt>
                <c:pt idx="14">
                  <c:v>Tribunal Penal(Flagrancia)</c:v>
                </c:pt>
              </c:strCache>
            </c:strRef>
          </c:cat>
          <c:val>
            <c:numRef>
              <c:f>'C-9'!$B$27:$Q$27</c:f>
              <c:numCache>
                <c:formatCode>0%</c:formatCode>
                <c:ptCount val="16"/>
                <c:pt idx="0">
                  <c:v>0.42022343168146664</c:v>
                </c:pt>
                <c:pt idx="1">
                  <c:v>0.58670580834556507</c:v>
                </c:pt>
                <c:pt idx="2">
                  <c:v>0.66005291005291</c:v>
                </c:pt>
                <c:pt idx="3">
                  <c:v>0.48574695121951217</c:v>
                </c:pt>
                <c:pt idx="4">
                  <c:v>0.68067522419553372</c:v>
                </c:pt>
                <c:pt idx="5">
                  <c:v>0.65006128523901241</c:v>
                </c:pt>
                <c:pt idx="6">
                  <c:v>0.63183023872679045</c:v>
                </c:pt>
                <c:pt idx="7">
                  <c:v>0.53593023255813954</c:v>
                </c:pt>
                <c:pt idx="8">
                  <c:v>0.49479638986051733</c:v>
                </c:pt>
                <c:pt idx="9">
                  <c:v>0.76801057501652348</c:v>
                </c:pt>
                <c:pt idx="10">
                  <c:v>0.71406146987724861</c:v>
                </c:pt>
                <c:pt idx="11">
                  <c:v>0.59031657355679701</c:v>
                </c:pt>
                <c:pt idx="13">
                  <c:v>0.51751813551473991</c:v>
                </c:pt>
                <c:pt idx="14">
                  <c:v>0.79298953936502115</c:v>
                </c:pt>
              </c:numCache>
            </c:numRef>
          </c:val>
          <c:extLst>
            <c:ext xmlns:c16="http://schemas.microsoft.com/office/drawing/2014/chart" uri="{C3380CC4-5D6E-409C-BE32-E72D297353CC}">
              <c16:uniqueId val="{00000000-54A0-4611-A946-A6767EA3909E}"/>
            </c:ext>
          </c:extLst>
        </c:ser>
        <c:dLbls>
          <c:dLblPos val="outEnd"/>
          <c:showLegendKey val="0"/>
          <c:showVal val="1"/>
          <c:showCatName val="0"/>
          <c:showSerName val="0"/>
          <c:showPercent val="0"/>
          <c:showBubbleSize val="0"/>
        </c:dLbls>
        <c:gapWidth val="267"/>
        <c:overlap val="-43"/>
        <c:axId val="363390880"/>
        <c:axId val="363398368"/>
      </c:barChart>
      <c:catAx>
        <c:axId val="36339088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chemeClr val="dk1">
                    <a:lumMod val="65000"/>
                    <a:lumOff val="35000"/>
                  </a:schemeClr>
                </a:solidFill>
                <a:latin typeface="Book Antiqua" panose="02040602050305030304" pitchFamily="18" charset="0"/>
                <a:ea typeface="+mn-ea"/>
                <a:cs typeface="+mn-cs"/>
              </a:defRPr>
            </a:pPr>
            <a:endParaRPr lang="es-CR"/>
          </a:p>
        </c:txPr>
        <c:crossAx val="363398368"/>
        <c:crosses val="autoZero"/>
        <c:auto val="1"/>
        <c:lblAlgn val="ctr"/>
        <c:lblOffset val="100"/>
        <c:noMultiLvlLbl val="0"/>
      </c:catAx>
      <c:valAx>
        <c:axId val="363398368"/>
        <c:scaling>
          <c:orientation val="minMax"/>
        </c:scaling>
        <c:delete val="1"/>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crossAx val="36339088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sz="1000">
          <a:latin typeface="Book Antiqua" panose="02040602050305030304" pitchFamily="18" charset="0"/>
        </a:defRPr>
      </a:pPr>
      <a:endParaRPr lang="es-CR"/>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Sala!$C$18</c:f>
              <c:strCache>
                <c:ptCount val="1"/>
                <c:pt idx="0">
                  <c:v>jul-21</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Sala!$B$19:$B$22</c:f>
              <c:strCache>
                <c:ptCount val="4"/>
                <c:pt idx="0">
                  <c:v>Revisión de expedientes/resoluciones</c:v>
                </c:pt>
                <c:pt idx="1">
                  <c:v>Votaciones</c:v>
                </c:pt>
                <c:pt idx="2">
                  <c:v>Clasificación de jurisprudencia</c:v>
                </c:pt>
                <c:pt idx="3">
                  <c:v>Proyecto de resolución</c:v>
                </c:pt>
              </c:strCache>
            </c:strRef>
          </c:cat>
          <c:val>
            <c:numRef>
              <c:f>Sala!$C$19:$C$22</c:f>
              <c:numCache>
                <c:formatCode>General</c:formatCode>
                <c:ptCount val="4"/>
                <c:pt idx="0">
                  <c:v>305</c:v>
                </c:pt>
                <c:pt idx="1">
                  <c:v>152</c:v>
                </c:pt>
                <c:pt idx="2">
                  <c:v>139</c:v>
                </c:pt>
                <c:pt idx="3">
                  <c:v>114</c:v>
                </c:pt>
              </c:numCache>
            </c:numRef>
          </c:val>
          <c:extLst>
            <c:ext xmlns:c16="http://schemas.microsoft.com/office/drawing/2014/chart" uri="{C3380CC4-5D6E-409C-BE32-E72D297353CC}">
              <c16:uniqueId val="{00000000-E9D0-4B92-A252-4E86906D0E7A}"/>
            </c:ext>
          </c:extLst>
        </c:ser>
        <c:dLbls>
          <c:dLblPos val="outEnd"/>
          <c:showLegendKey val="0"/>
          <c:showVal val="1"/>
          <c:showCatName val="0"/>
          <c:showSerName val="0"/>
          <c:showPercent val="0"/>
          <c:showBubbleSize val="0"/>
        </c:dLbls>
        <c:gapWidth val="219"/>
        <c:overlap val="-27"/>
        <c:axId val="528973519"/>
        <c:axId val="528959375"/>
      </c:barChart>
      <c:catAx>
        <c:axId val="5289735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528959375"/>
        <c:crosses val="autoZero"/>
        <c:auto val="1"/>
        <c:lblAlgn val="ctr"/>
        <c:lblOffset val="100"/>
        <c:noMultiLvlLbl val="0"/>
      </c:catAx>
      <c:valAx>
        <c:axId val="528959375"/>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5289735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Book Antiqua" panose="02040602050305030304" pitchFamily="18" charset="0"/>
        </a:defRPr>
      </a:pPr>
      <a:endParaRPr lang="es-CR"/>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'Juzgados Penales'!$B$101</c:f>
              <c:strCache>
                <c:ptCount val="1"/>
                <c:pt idx="0">
                  <c:v>ago-21</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'Juzgados Penales'!$A$102:$A$104</c:f>
              <c:strCache>
                <c:ptCount val="3"/>
                <c:pt idx="0">
                  <c:v>Terminado por desestimación, sobreseimiento y acusación</c:v>
                </c:pt>
                <c:pt idx="1">
                  <c:v>Audiencia preliminar realizada</c:v>
                </c:pt>
                <c:pt idx="2">
                  <c:v>Vista oral realizada</c:v>
                </c:pt>
              </c:strCache>
            </c:strRef>
          </c:cat>
          <c:val>
            <c:numRef>
              <c:f>'Juzgados Penales'!$B$102:$B$104</c:f>
              <c:numCache>
                <c:formatCode>General</c:formatCode>
                <c:ptCount val="3"/>
                <c:pt idx="0">
                  <c:v>9535</c:v>
                </c:pt>
                <c:pt idx="1">
                  <c:v>2343</c:v>
                </c:pt>
                <c:pt idx="2">
                  <c:v>750</c:v>
                </c:pt>
              </c:numCache>
            </c:numRef>
          </c:val>
          <c:extLst>
            <c:ext xmlns:c16="http://schemas.microsoft.com/office/drawing/2014/chart" uri="{C3380CC4-5D6E-409C-BE32-E72D297353CC}">
              <c16:uniqueId val="{00000000-AF52-430D-8F52-CFDA74EC30D2}"/>
            </c:ext>
          </c:extLst>
        </c:ser>
        <c:dLbls>
          <c:dLblPos val="outEnd"/>
          <c:showLegendKey val="0"/>
          <c:showVal val="1"/>
          <c:showCatName val="0"/>
          <c:showSerName val="0"/>
          <c:showPercent val="0"/>
          <c:showBubbleSize val="0"/>
        </c:dLbls>
        <c:gapWidth val="219"/>
        <c:overlap val="-27"/>
        <c:axId val="1997582208"/>
        <c:axId val="1997573056"/>
      </c:barChart>
      <c:catAx>
        <c:axId val="1997582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1997573056"/>
        <c:crosses val="autoZero"/>
        <c:auto val="1"/>
        <c:lblAlgn val="ctr"/>
        <c:lblOffset val="100"/>
        <c:noMultiLvlLbl val="0"/>
      </c:catAx>
      <c:valAx>
        <c:axId val="19975730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19975822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Book Antiqua" panose="02040602050305030304" pitchFamily="18" charset="0"/>
        </a:defRPr>
      </a:pPr>
      <a:endParaRPr lang="es-CR"/>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'Tribunales Penales'!$B$52</c:f>
              <c:strCache>
                <c:ptCount val="1"/>
                <c:pt idx="0">
                  <c:v>ago-21</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'Tribunales Penales'!$A$53:$A$55</c:f>
              <c:strCache>
                <c:ptCount val="3"/>
                <c:pt idx="0">
                  <c:v>Sentencia dictada</c:v>
                </c:pt>
                <c:pt idx="1">
                  <c:v>Recurso de apelación</c:v>
                </c:pt>
                <c:pt idx="2">
                  <c:v>Medida alterna</c:v>
                </c:pt>
              </c:strCache>
            </c:strRef>
          </c:cat>
          <c:val>
            <c:numRef>
              <c:f>'Tribunales Penales'!$B$53:$B$55</c:f>
              <c:numCache>
                <c:formatCode>General</c:formatCode>
                <c:ptCount val="3"/>
                <c:pt idx="0">
                  <c:v>989</c:v>
                </c:pt>
                <c:pt idx="1">
                  <c:v>429</c:v>
                </c:pt>
                <c:pt idx="2" formatCode="0">
                  <c:v>218.82</c:v>
                </c:pt>
              </c:numCache>
            </c:numRef>
          </c:val>
          <c:extLst>
            <c:ext xmlns:c16="http://schemas.microsoft.com/office/drawing/2014/chart" uri="{C3380CC4-5D6E-409C-BE32-E72D297353CC}">
              <c16:uniqueId val="{00000000-99E2-47FC-81E7-A00E2EB7A9DA}"/>
            </c:ext>
          </c:extLst>
        </c:ser>
        <c:dLbls>
          <c:dLblPos val="outEnd"/>
          <c:showLegendKey val="0"/>
          <c:showVal val="1"/>
          <c:showCatName val="0"/>
          <c:showSerName val="0"/>
          <c:showPercent val="0"/>
          <c:showBubbleSize val="0"/>
        </c:dLbls>
        <c:gapWidth val="219"/>
        <c:overlap val="-27"/>
        <c:axId val="852260559"/>
        <c:axId val="852284271"/>
      </c:barChart>
      <c:catAx>
        <c:axId val="8522605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852284271"/>
        <c:crosses val="autoZero"/>
        <c:auto val="1"/>
        <c:lblAlgn val="ctr"/>
        <c:lblOffset val="100"/>
        <c:noMultiLvlLbl val="0"/>
      </c:catAx>
      <c:valAx>
        <c:axId val="85228427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8522605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Book Antiqua" panose="02040602050305030304" pitchFamily="18" charset="0"/>
        </a:defRPr>
      </a:pPr>
      <a:endParaRPr lang="es-CR"/>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Flagrancia!$B$46</c:f>
              <c:strCache>
                <c:ptCount val="1"/>
                <c:pt idx="0">
                  <c:v>ago-21</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Flagrancia!$A$47:$A$49</c:f>
              <c:strCache>
                <c:ptCount val="3"/>
                <c:pt idx="0">
                  <c:v>Audiencia inicial programada</c:v>
                </c:pt>
                <c:pt idx="1">
                  <c:v>Sentencia dictada</c:v>
                </c:pt>
                <c:pt idx="2">
                  <c:v>Medida alterna</c:v>
                </c:pt>
              </c:strCache>
            </c:strRef>
          </c:cat>
          <c:val>
            <c:numRef>
              <c:f>Flagrancia!$B$47:$B$49</c:f>
              <c:numCache>
                <c:formatCode>General</c:formatCode>
                <c:ptCount val="3"/>
                <c:pt idx="0">
                  <c:v>805</c:v>
                </c:pt>
                <c:pt idx="1">
                  <c:v>621</c:v>
                </c:pt>
                <c:pt idx="2">
                  <c:v>417</c:v>
                </c:pt>
              </c:numCache>
            </c:numRef>
          </c:val>
          <c:extLst>
            <c:ext xmlns:c16="http://schemas.microsoft.com/office/drawing/2014/chart" uri="{C3380CC4-5D6E-409C-BE32-E72D297353CC}">
              <c16:uniqueId val="{00000000-97F8-48CB-935E-1713E5B5E7E8}"/>
            </c:ext>
          </c:extLst>
        </c:ser>
        <c:dLbls>
          <c:dLblPos val="outEnd"/>
          <c:showLegendKey val="0"/>
          <c:showVal val="1"/>
          <c:showCatName val="0"/>
          <c:showSerName val="0"/>
          <c:showPercent val="0"/>
          <c:showBubbleSize val="0"/>
        </c:dLbls>
        <c:gapWidth val="219"/>
        <c:overlap val="-27"/>
        <c:axId val="1089135039"/>
        <c:axId val="1089135455"/>
      </c:barChart>
      <c:catAx>
        <c:axId val="10891350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1089135455"/>
        <c:crosses val="autoZero"/>
        <c:auto val="1"/>
        <c:lblAlgn val="ctr"/>
        <c:lblOffset val="100"/>
        <c:noMultiLvlLbl val="0"/>
      </c:catAx>
      <c:valAx>
        <c:axId val="1089135455"/>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108913503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Book Antiqua" panose="02040602050305030304" pitchFamily="18" charset="0"/>
        </a:defRPr>
      </a:pPr>
      <a:endParaRPr lang="es-CR"/>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'Ejecución de la Pena'!$J$49</c:f>
              <c:strCache>
                <c:ptCount val="1"/>
                <c:pt idx="0">
                  <c:v>ago-21</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'Ejecución de la Pena'!$I$50:$I$52</c:f>
              <c:strCache>
                <c:ptCount val="3"/>
                <c:pt idx="0">
                  <c:v>Expediente firmado</c:v>
                </c:pt>
                <c:pt idx="1">
                  <c:v>Asunto terminado</c:v>
                </c:pt>
                <c:pt idx="2">
                  <c:v>Audiencia realizada</c:v>
                </c:pt>
              </c:strCache>
            </c:strRef>
          </c:cat>
          <c:val>
            <c:numRef>
              <c:f>'Ejecución de la Pena'!$J$50:$J$52</c:f>
              <c:numCache>
                <c:formatCode>General</c:formatCode>
                <c:ptCount val="3"/>
                <c:pt idx="0">
                  <c:v>6229</c:v>
                </c:pt>
                <c:pt idx="1">
                  <c:v>982</c:v>
                </c:pt>
                <c:pt idx="2">
                  <c:v>243</c:v>
                </c:pt>
              </c:numCache>
            </c:numRef>
          </c:val>
          <c:extLst>
            <c:ext xmlns:c16="http://schemas.microsoft.com/office/drawing/2014/chart" uri="{C3380CC4-5D6E-409C-BE32-E72D297353CC}">
              <c16:uniqueId val="{00000000-F8EC-4EC8-B191-AE4749EDDFF1}"/>
            </c:ext>
          </c:extLst>
        </c:ser>
        <c:dLbls>
          <c:dLblPos val="outEnd"/>
          <c:showLegendKey val="0"/>
          <c:showVal val="1"/>
          <c:showCatName val="0"/>
          <c:showSerName val="0"/>
          <c:showPercent val="0"/>
          <c:showBubbleSize val="0"/>
        </c:dLbls>
        <c:gapWidth val="219"/>
        <c:overlap val="-27"/>
        <c:axId val="423669504"/>
        <c:axId val="423663264"/>
      </c:barChart>
      <c:catAx>
        <c:axId val="423669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423663264"/>
        <c:crosses val="autoZero"/>
        <c:auto val="1"/>
        <c:lblAlgn val="ctr"/>
        <c:lblOffset val="100"/>
        <c:noMultiLvlLbl val="0"/>
      </c:catAx>
      <c:valAx>
        <c:axId val="42366326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4236695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Book Antiqua" panose="02040602050305030304" pitchFamily="18" charset="0"/>
        </a:defRPr>
      </a:pPr>
      <a:endParaRPr lang="es-CR"/>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Apelación!$B$83</c:f>
              <c:strCache>
                <c:ptCount val="1"/>
                <c:pt idx="0">
                  <c:v>ago-21</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Apelación!$A$84:$A$87</c:f>
              <c:strCache>
                <c:ptCount val="4"/>
                <c:pt idx="0">
                  <c:v>Sentencias dictadas</c:v>
                </c:pt>
                <c:pt idx="1">
                  <c:v>Solicitudes de prisión preventiva resueltas</c:v>
                </c:pt>
                <c:pt idx="2">
                  <c:v>Proyectos redactados no votados</c:v>
                </c:pt>
                <c:pt idx="3">
                  <c:v>Proyectos revisados no votados</c:v>
                </c:pt>
              </c:strCache>
            </c:strRef>
          </c:cat>
          <c:val>
            <c:numRef>
              <c:f>Apelación!$B$84:$B$87</c:f>
              <c:numCache>
                <c:formatCode>General</c:formatCode>
                <c:ptCount val="4"/>
                <c:pt idx="0">
                  <c:v>315</c:v>
                </c:pt>
                <c:pt idx="1">
                  <c:v>124</c:v>
                </c:pt>
                <c:pt idx="2">
                  <c:v>99</c:v>
                </c:pt>
                <c:pt idx="3">
                  <c:v>77</c:v>
                </c:pt>
              </c:numCache>
            </c:numRef>
          </c:val>
          <c:extLst>
            <c:ext xmlns:c16="http://schemas.microsoft.com/office/drawing/2014/chart" uri="{C3380CC4-5D6E-409C-BE32-E72D297353CC}">
              <c16:uniqueId val="{00000000-F480-44E6-B867-B9662BECAE5F}"/>
            </c:ext>
          </c:extLst>
        </c:ser>
        <c:dLbls>
          <c:dLblPos val="outEnd"/>
          <c:showLegendKey val="0"/>
          <c:showVal val="1"/>
          <c:showCatName val="0"/>
          <c:showSerName val="0"/>
          <c:showPercent val="0"/>
          <c:showBubbleSize val="0"/>
        </c:dLbls>
        <c:gapWidth val="219"/>
        <c:overlap val="-27"/>
        <c:axId val="664653328"/>
        <c:axId val="664646672"/>
      </c:barChart>
      <c:catAx>
        <c:axId val="66465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664646672"/>
        <c:crosses val="autoZero"/>
        <c:auto val="1"/>
        <c:lblAlgn val="ctr"/>
        <c:lblOffset val="100"/>
        <c:noMultiLvlLbl val="0"/>
      </c:catAx>
      <c:valAx>
        <c:axId val="66464667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6646533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Book Antiqua" panose="02040602050305030304" pitchFamily="18" charset="0"/>
        </a:defRPr>
      </a:pPr>
      <a:endParaRPr lang="es-CR"/>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Sala!$C$40</c:f>
              <c:strCache>
                <c:ptCount val="1"/>
                <c:pt idx="0">
                  <c:v>ago-21</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Sala!$B$41:$B$44</c:f>
              <c:strCache>
                <c:ptCount val="4"/>
                <c:pt idx="0">
                  <c:v>Revisión de expedientes/resoluciones</c:v>
                </c:pt>
                <c:pt idx="1">
                  <c:v>Proyecto de resolución</c:v>
                </c:pt>
                <c:pt idx="2">
                  <c:v>Clasificación de jurisprudencia</c:v>
                </c:pt>
                <c:pt idx="3">
                  <c:v>Votaciones</c:v>
                </c:pt>
              </c:strCache>
            </c:strRef>
          </c:cat>
          <c:val>
            <c:numRef>
              <c:f>Sala!$C$41:$C$44</c:f>
              <c:numCache>
                <c:formatCode>General</c:formatCode>
                <c:ptCount val="4"/>
                <c:pt idx="0">
                  <c:v>318</c:v>
                </c:pt>
                <c:pt idx="1">
                  <c:v>133</c:v>
                </c:pt>
                <c:pt idx="2">
                  <c:v>114</c:v>
                </c:pt>
                <c:pt idx="3">
                  <c:v>99</c:v>
                </c:pt>
              </c:numCache>
            </c:numRef>
          </c:val>
          <c:extLst>
            <c:ext xmlns:c16="http://schemas.microsoft.com/office/drawing/2014/chart" uri="{C3380CC4-5D6E-409C-BE32-E72D297353CC}">
              <c16:uniqueId val="{00000000-5875-4352-A164-C7DD14A26546}"/>
            </c:ext>
          </c:extLst>
        </c:ser>
        <c:dLbls>
          <c:dLblPos val="outEnd"/>
          <c:showLegendKey val="0"/>
          <c:showVal val="1"/>
          <c:showCatName val="0"/>
          <c:showSerName val="0"/>
          <c:showPercent val="0"/>
          <c:showBubbleSize val="0"/>
        </c:dLbls>
        <c:gapWidth val="219"/>
        <c:overlap val="-27"/>
        <c:axId val="555147760"/>
        <c:axId val="555147344"/>
      </c:barChart>
      <c:catAx>
        <c:axId val="555147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555147344"/>
        <c:crosses val="autoZero"/>
        <c:auto val="1"/>
        <c:lblAlgn val="ctr"/>
        <c:lblOffset val="100"/>
        <c:noMultiLvlLbl val="0"/>
      </c:catAx>
      <c:valAx>
        <c:axId val="55514734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5551477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a:latin typeface="Book Antiqua" panose="02040602050305030304" pitchFamily="18" charset="0"/>
        </a:defRPr>
      </a:pPr>
      <a:endParaRPr lang="es-CR"/>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248783221641615E-2"/>
          <c:y val="6.6341640512541405E-2"/>
          <c:w val="0.88673110398820687"/>
          <c:h val="0.74633268177919665"/>
        </c:manualLayout>
      </c:layout>
      <c:barChart>
        <c:barDir val="col"/>
        <c:grouping val="clustered"/>
        <c:varyColors val="0"/>
        <c:ser>
          <c:idx val="0"/>
          <c:order val="0"/>
          <c:tx>
            <c:strRef>
              <c:f>'Juzgados Penales'!$B$107</c:f>
              <c:strCache>
                <c:ptCount val="1"/>
                <c:pt idx="0">
                  <c:v>sep-21</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'Juzgados Penales'!$A$108:$A$110</c:f>
              <c:strCache>
                <c:ptCount val="3"/>
                <c:pt idx="0">
                  <c:v>Terminado por desestimación, sobreseimiento y acusación</c:v>
                </c:pt>
                <c:pt idx="1">
                  <c:v>Audiencia preliminar realizada</c:v>
                </c:pt>
                <c:pt idx="2">
                  <c:v>Vista oral realizada</c:v>
                </c:pt>
              </c:strCache>
            </c:strRef>
          </c:cat>
          <c:val>
            <c:numRef>
              <c:f>'Juzgados Penales'!$B$108:$B$110</c:f>
              <c:numCache>
                <c:formatCode>General</c:formatCode>
                <c:ptCount val="3"/>
                <c:pt idx="0">
                  <c:v>11427</c:v>
                </c:pt>
                <c:pt idx="1">
                  <c:v>2436</c:v>
                </c:pt>
                <c:pt idx="2">
                  <c:v>740</c:v>
                </c:pt>
              </c:numCache>
            </c:numRef>
          </c:val>
          <c:extLst>
            <c:ext xmlns:c16="http://schemas.microsoft.com/office/drawing/2014/chart" uri="{C3380CC4-5D6E-409C-BE32-E72D297353CC}">
              <c16:uniqueId val="{00000000-8603-44ED-8F7E-F17197C8DE24}"/>
            </c:ext>
          </c:extLst>
        </c:ser>
        <c:dLbls>
          <c:dLblPos val="outEnd"/>
          <c:showLegendKey val="0"/>
          <c:showVal val="1"/>
          <c:showCatName val="0"/>
          <c:showSerName val="0"/>
          <c:showPercent val="0"/>
          <c:showBubbleSize val="0"/>
        </c:dLbls>
        <c:gapWidth val="219"/>
        <c:overlap val="-27"/>
        <c:axId val="1997622976"/>
        <c:axId val="1997615904"/>
      </c:barChart>
      <c:catAx>
        <c:axId val="1997622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1997615904"/>
        <c:crosses val="autoZero"/>
        <c:auto val="1"/>
        <c:lblAlgn val="ctr"/>
        <c:lblOffset val="100"/>
        <c:noMultiLvlLbl val="0"/>
      </c:catAx>
      <c:valAx>
        <c:axId val="199761590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1997622976"/>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Book Antiqua" panose="02040602050305030304" pitchFamily="18" charset="0"/>
        </a:defRPr>
      </a:pPr>
      <a:endParaRPr lang="es-CR"/>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'Tribunales Penales'!$B$58</c:f>
              <c:strCache>
                <c:ptCount val="1"/>
                <c:pt idx="0">
                  <c:v>sep-21</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'Tribunales Penales'!$A$59:$A$61</c:f>
              <c:strCache>
                <c:ptCount val="3"/>
                <c:pt idx="0">
                  <c:v>Sentencia dictada</c:v>
                </c:pt>
                <c:pt idx="1">
                  <c:v>Recurso de apelación</c:v>
                </c:pt>
                <c:pt idx="2">
                  <c:v>Medida alterna</c:v>
                </c:pt>
              </c:strCache>
            </c:strRef>
          </c:cat>
          <c:val>
            <c:numRef>
              <c:f>'Tribunales Penales'!$B$59:$B$61</c:f>
              <c:numCache>
                <c:formatCode>General</c:formatCode>
                <c:ptCount val="3"/>
                <c:pt idx="0">
                  <c:v>1115</c:v>
                </c:pt>
                <c:pt idx="1">
                  <c:v>387</c:v>
                </c:pt>
                <c:pt idx="2" formatCode="0">
                  <c:v>282.62666666666667</c:v>
                </c:pt>
              </c:numCache>
            </c:numRef>
          </c:val>
          <c:extLst>
            <c:ext xmlns:c16="http://schemas.microsoft.com/office/drawing/2014/chart" uri="{C3380CC4-5D6E-409C-BE32-E72D297353CC}">
              <c16:uniqueId val="{00000000-C21B-4096-89AA-9EE590FEE5EE}"/>
            </c:ext>
          </c:extLst>
        </c:ser>
        <c:dLbls>
          <c:dLblPos val="outEnd"/>
          <c:showLegendKey val="0"/>
          <c:showVal val="1"/>
          <c:showCatName val="0"/>
          <c:showSerName val="0"/>
          <c:showPercent val="0"/>
          <c:showBubbleSize val="0"/>
        </c:dLbls>
        <c:gapWidth val="219"/>
        <c:overlap val="-27"/>
        <c:axId val="852250991"/>
        <c:axId val="852246831"/>
      </c:barChart>
      <c:catAx>
        <c:axId val="8522509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852246831"/>
        <c:crosses val="autoZero"/>
        <c:auto val="1"/>
        <c:lblAlgn val="ctr"/>
        <c:lblOffset val="100"/>
        <c:noMultiLvlLbl val="0"/>
      </c:catAx>
      <c:valAx>
        <c:axId val="85224683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8522509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Book Antiqua" panose="02040602050305030304" pitchFamily="18" charset="0"/>
        </a:defRPr>
      </a:pPr>
      <a:endParaRPr lang="es-CR"/>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Flagrancia!$B$54</c:f>
              <c:strCache>
                <c:ptCount val="1"/>
                <c:pt idx="0">
                  <c:v>sep-21</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Flagrancia!$A$55:$A$57</c:f>
              <c:strCache>
                <c:ptCount val="3"/>
                <c:pt idx="0">
                  <c:v>Audiencia inicial programada</c:v>
                </c:pt>
                <c:pt idx="1">
                  <c:v>Sentencia dictada</c:v>
                </c:pt>
                <c:pt idx="2">
                  <c:v>Medida alterna</c:v>
                </c:pt>
              </c:strCache>
            </c:strRef>
          </c:cat>
          <c:val>
            <c:numRef>
              <c:f>Flagrancia!$B$55:$B$57</c:f>
              <c:numCache>
                <c:formatCode>General</c:formatCode>
                <c:ptCount val="3"/>
                <c:pt idx="0">
                  <c:v>802</c:v>
                </c:pt>
                <c:pt idx="1">
                  <c:v>601</c:v>
                </c:pt>
                <c:pt idx="2">
                  <c:v>438</c:v>
                </c:pt>
              </c:numCache>
            </c:numRef>
          </c:val>
          <c:extLst>
            <c:ext xmlns:c16="http://schemas.microsoft.com/office/drawing/2014/chart" uri="{C3380CC4-5D6E-409C-BE32-E72D297353CC}">
              <c16:uniqueId val="{00000000-2BEE-47EB-BBDC-A90D30DC427E}"/>
            </c:ext>
          </c:extLst>
        </c:ser>
        <c:dLbls>
          <c:dLblPos val="outEnd"/>
          <c:showLegendKey val="0"/>
          <c:showVal val="1"/>
          <c:showCatName val="0"/>
          <c:showSerName val="0"/>
          <c:showPercent val="0"/>
          <c:showBubbleSize val="0"/>
        </c:dLbls>
        <c:gapWidth val="219"/>
        <c:overlap val="-27"/>
        <c:axId val="567375103"/>
        <c:axId val="567365951"/>
      </c:barChart>
      <c:catAx>
        <c:axId val="5673751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567365951"/>
        <c:crosses val="autoZero"/>
        <c:auto val="1"/>
        <c:lblAlgn val="ctr"/>
        <c:lblOffset val="100"/>
        <c:noMultiLvlLbl val="0"/>
      </c:catAx>
      <c:valAx>
        <c:axId val="56736595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56737510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Book Antiqua" panose="02040602050305030304" pitchFamily="18" charset="0"/>
        </a:defRPr>
      </a:pPr>
      <a:endParaRPr lang="es-C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'Juzgados Penales'!$B$45</c:f>
              <c:strCache>
                <c:ptCount val="1"/>
                <c:pt idx="0">
                  <c:v>may-21</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'Juzgados Penales'!$A$46:$A$48</c:f>
              <c:strCache>
                <c:ptCount val="3"/>
                <c:pt idx="0">
                  <c:v>Terminado por desestimación, sobreseimiento y acusación</c:v>
                </c:pt>
                <c:pt idx="1">
                  <c:v>Audiencia preliminar realizada</c:v>
                </c:pt>
                <c:pt idx="2">
                  <c:v>Vista oral realizada</c:v>
                </c:pt>
              </c:strCache>
            </c:strRef>
          </c:cat>
          <c:val>
            <c:numRef>
              <c:f>'Juzgados Penales'!$B$46:$B$48</c:f>
              <c:numCache>
                <c:formatCode>General</c:formatCode>
                <c:ptCount val="3"/>
                <c:pt idx="0">
                  <c:v>8970</c:v>
                </c:pt>
                <c:pt idx="1">
                  <c:v>2184</c:v>
                </c:pt>
                <c:pt idx="2">
                  <c:v>667</c:v>
                </c:pt>
              </c:numCache>
            </c:numRef>
          </c:val>
          <c:extLst>
            <c:ext xmlns:c16="http://schemas.microsoft.com/office/drawing/2014/chart" uri="{C3380CC4-5D6E-409C-BE32-E72D297353CC}">
              <c16:uniqueId val="{00000000-03CE-406E-BB6F-F9AAF12B9E40}"/>
            </c:ext>
          </c:extLst>
        </c:ser>
        <c:dLbls>
          <c:dLblPos val="outEnd"/>
          <c:showLegendKey val="0"/>
          <c:showVal val="1"/>
          <c:showCatName val="0"/>
          <c:showSerName val="0"/>
          <c:showPercent val="0"/>
          <c:showBubbleSize val="0"/>
        </c:dLbls>
        <c:gapWidth val="219"/>
        <c:overlap val="-27"/>
        <c:axId val="647911552"/>
        <c:axId val="647914880"/>
      </c:barChart>
      <c:catAx>
        <c:axId val="64791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647914880"/>
        <c:crosses val="autoZero"/>
        <c:auto val="1"/>
        <c:lblAlgn val="ctr"/>
        <c:lblOffset val="100"/>
        <c:noMultiLvlLbl val="0"/>
      </c:catAx>
      <c:valAx>
        <c:axId val="64791488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6479115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Book Antiqua" panose="02040602050305030304" pitchFamily="18" charset="0"/>
        </a:defRPr>
      </a:pPr>
      <a:endParaRPr lang="es-CR"/>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'Ejecución de la Pena'!$J$64</c:f>
              <c:strCache>
                <c:ptCount val="1"/>
                <c:pt idx="0">
                  <c:v>sep-21</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'Ejecución de la Pena'!$I$65:$I$67</c:f>
              <c:strCache>
                <c:ptCount val="3"/>
                <c:pt idx="0">
                  <c:v>Expediente firmado</c:v>
                </c:pt>
                <c:pt idx="1">
                  <c:v>Asunto terminado</c:v>
                </c:pt>
                <c:pt idx="2">
                  <c:v>Audiencia realizada</c:v>
                </c:pt>
              </c:strCache>
            </c:strRef>
          </c:cat>
          <c:val>
            <c:numRef>
              <c:f>'Ejecución de la Pena'!$J$65:$J$67</c:f>
              <c:numCache>
                <c:formatCode>General</c:formatCode>
                <c:ptCount val="3"/>
                <c:pt idx="0">
                  <c:v>5806</c:v>
                </c:pt>
                <c:pt idx="1">
                  <c:v>1301</c:v>
                </c:pt>
                <c:pt idx="2">
                  <c:v>310</c:v>
                </c:pt>
              </c:numCache>
            </c:numRef>
          </c:val>
          <c:extLst>
            <c:ext xmlns:c16="http://schemas.microsoft.com/office/drawing/2014/chart" uri="{C3380CC4-5D6E-409C-BE32-E72D297353CC}">
              <c16:uniqueId val="{00000000-1F35-49C9-BB52-A4680AF54300}"/>
            </c:ext>
          </c:extLst>
        </c:ser>
        <c:dLbls>
          <c:dLblPos val="outEnd"/>
          <c:showLegendKey val="0"/>
          <c:showVal val="1"/>
          <c:showCatName val="0"/>
          <c:showSerName val="0"/>
          <c:showPercent val="0"/>
          <c:showBubbleSize val="0"/>
        </c:dLbls>
        <c:gapWidth val="219"/>
        <c:overlap val="-27"/>
        <c:axId val="310237520"/>
        <c:axId val="310242096"/>
      </c:barChart>
      <c:catAx>
        <c:axId val="310237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310242096"/>
        <c:crosses val="autoZero"/>
        <c:auto val="1"/>
        <c:lblAlgn val="ctr"/>
        <c:lblOffset val="100"/>
        <c:noMultiLvlLbl val="0"/>
      </c:catAx>
      <c:valAx>
        <c:axId val="31024209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3102375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Book Antiqua" panose="02040602050305030304" pitchFamily="18" charset="0"/>
        </a:defRPr>
      </a:pPr>
      <a:endParaRPr lang="es-CR"/>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Apelación!$B$101</c:f>
              <c:strCache>
                <c:ptCount val="1"/>
                <c:pt idx="0">
                  <c:v>sep-21</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Apelación!$A$102:$A$105</c:f>
              <c:strCache>
                <c:ptCount val="4"/>
                <c:pt idx="0">
                  <c:v>Sentencias dictadas</c:v>
                </c:pt>
                <c:pt idx="1">
                  <c:v>Proyectos revisados no votados</c:v>
                </c:pt>
                <c:pt idx="2">
                  <c:v>Solicitudes de prisión preventiva resueltas</c:v>
                </c:pt>
                <c:pt idx="3">
                  <c:v>Proyectos redactados no votados</c:v>
                </c:pt>
              </c:strCache>
            </c:strRef>
          </c:cat>
          <c:val>
            <c:numRef>
              <c:f>Apelación!$B$102:$B$105</c:f>
              <c:numCache>
                <c:formatCode>General</c:formatCode>
                <c:ptCount val="4"/>
                <c:pt idx="0">
                  <c:v>323</c:v>
                </c:pt>
                <c:pt idx="1">
                  <c:v>157</c:v>
                </c:pt>
                <c:pt idx="2">
                  <c:v>147</c:v>
                </c:pt>
                <c:pt idx="3">
                  <c:v>104</c:v>
                </c:pt>
              </c:numCache>
            </c:numRef>
          </c:val>
          <c:extLst>
            <c:ext xmlns:c16="http://schemas.microsoft.com/office/drawing/2014/chart" uri="{C3380CC4-5D6E-409C-BE32-E72D297353CC}">
              <c16:uniqueId val="{00000000-14F1-492A-86C0-168F8C2640B1}"/>
            </c:ext>
          </c:extLst>
        </c:ser>
        <c:dLbls>
          <c:dLblPos val="outEnd"/>
          <c:showLegendKey val="0"/>
          <c:showVal val="1"/>
          <c:showCatName val="0"/>
          <c:showSerName val="0"/>
          <c:showPercent val="0"/>
          <c:showBubbleSize val="0"/>
        </c:dLbls>
        <c:gapWidth val="219"/>
        <c:overlap val="-27"/>
        <c:axId val="418409808"/>
        <c:axId val="418407312"/>
      </c:barChart>
      <c:catAx>
        <c:axId val="418409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418407312"/>
        <c:crosses val="autoZero"/>
        <c:auto val="1"/>
        <c:lblAlgn val="ctr"/>
        <c:lblOffset val="100"/>
        <c:noMultiLvlLbl val="0"/>
      </c:catAx>
      <c:valAx>
        <c:axId val="41840731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4184098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Book Antiqua" panose="02040602050305030304" pitchFamily="18" charset="0"/>
        </a:defRPr>
      </a:pPr>
      <a:endParaRPr lang="es-CR"/>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Sala!$C$46</c:f>
              <c:strCache>
                <c:ptCount val="1"/>
                <c:pt idx="0">
                  <c:v>sep-21</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Sala!$B$47:$B$50</c:f>
              <c:strCache>
                <c:ptCount val="4"/>
                <c:pt idx="0">
                  <c:v>Revisión de expedientes/resoluciones</c:v>
                </c:pt>
                <c:pt idx="1">
                  <c:v>Clasificación de jurisprudencia</c:v>
                </c:pt>
                <c:pt idx="2">
                  <c:v>Proyecto de resolución</c:v>
                </c:pt>
                <c:pt idx="3">
                  <c:v>Votaciones</c:v>
                </c:pt>
              </c:strCache>
            </c:strRef>
          </c:cat>
          <c:val>
            <c:numRef>
              <c:f>Sala!$C$47:$C$50</c:f>
              <c:numCache>
                <c:formatCode>General</c:formatCode>
                <c:ptCount val="4"/>
                <c:pt idx="0">
                  <c:v>327</c:v>
                </c:pt>
                <c:pt idx="1">
                  <c:v>218</c:v>
                </c:pt>
                <c:pt idx="2">
                  <c:v>125</c:v>
                </c:pt>
                <c:pt idx="3">
                  <c:v>118</c:v>
                </c:pt>
              </c:numCache>
            </c:numRef>
          </c:val>
          <c:extLst>
            <c:ext xmlns:c16="http://schemas.microsoft.com/office/drawing/2014/chart" uri="{C3380CC4-5D6E-409C-BE32-E72D297353CC}">
              <c16:uniqueId val="{00000000-A4B0-4266-B900-337D9671045A}"/>
            </c:ext>
          </c:extLst>
        </c:ser>
        <c:dLbls>
          <c:showLegendKey val="0"/>
          <c:showVal val="0"/>
          <c:showCatName val="0"/>
          <c:showSerName val="0"/>
          <c:showPercent val="0"/>
          <c:showBubbleSize val="0"/>
        </c:dLbls>
        <c:gapWidth val="219"/>
        <c:overlap val="-27"/>
        <c:axId val="560136352"/>
        <c:axId val="417895808"/>
      </c:barChart>
      <c:catAx>
        <c:axId val="560136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417895808"/>
        <c:crosses val="autoZero"/>
        <c:auto val="1"/>
        <c:lblAlgn val="ctr"/>
        <c:lblOffset val="100"/>
        <c:noMultiLvlLbl val="0"/>
      </c:catAx>
      <c:valAx>
        <c:axId val="41789580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5601363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Book Antiqua" panose="02040602050305030304" pitchFamily="18" charset="0"/>
        </a:defRPr>
      </a:pPr>
      <a:endParaRPr lang="es-C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18246990736639"/>
          <c:y val="5.5722299947436757E-2"/>
          <c:w val="0.87781753009263364"/>
          <c:h val="0.87203059373646252"/>
        </c:manualLayout>
      </c:layout>
      <c:barChart>
        <c:barDir val="col"/>
        <c:grouping val="clustered"/>
        <c:varyColors val="0"/>
        <c:ser>
          <c:idx val="0"/>
          <c:order val="0"/>
          <c:tx>
            <c:strRef>
              <c:f>'Tribunales Penales'!$B$36</c:f>
              <c:strCache>
                <c:ptCount val="1"/>
                <c:pt idx="0">
                  <c:v>may-21</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'Tribunales Penales'!$A$37:$A$39</c:f>
              <c:strCache>
                <c:ptCount val="3"/>
                <c:pt idx="0">
                  <c:v>Sentencia dictada</c:v>
                </c:pt>
                <c:pt idx="1">
                  <c:v>Recurso de apelación</c:v>
                </c:pt>
                <c:pt idx="2">
                  <c:v>Medida alterna</c:v>
                </c:pt>
              </c:strCache>
            </c:strRef>
          </c:cat>
          <c:val>
            <c:numRef>
              <c:f>'Tribunales Penales'!$B$37:$B$39</c:f>
              <c:numCache>
                <c:formatCode>General</c:formatCode>
                <c:ptCount val="3"/>
                <c:pt idx="0">
                  <c:v>889</c:v>
                </c:pt>
                <c:pt idx="1">
                  <c:v>427</c:v>
                </c:pt>
                <c:pt idx="2">
                  <c:v>196</c:v>
                </c:pt>
              </c:numCache>
            </c:numRef>
          </c:val>
          <c:extLst>
            <c:ext xmlns:c16="http://schemas.microsoft.com/office/drawing/2014/chart" uri="{C3380CC4-5D6E-409C-BE32-E72D297353CC}">
              <c16:uniqueId val="{00000000-152E-4BD3-901A-263505228154}"/>
            </c:ext>
          </c:extLst>
        </c:ser>
        <c:ser>
          <c:idx val="1"/>
          <c:order val="1"/>
          <c:spPr>
            <a:solidFill>
              <a:schemeClr val="accent2"/>
            </a:solidFill>
            <a:ln>
              <a:noFill/>
            </a:ln>
            <a:effectLst/>
          </c:spPr>
          <c:invertIfNegative val="0"/>
          <c:dLbls>
            <c:delete val="1"/>
          </c:dLbls>
          <c:cat>
            <c:strRef>
              <c:f>'Tribunales Penales'!$A$37:$A$39</c:f>
              <c:strCache>
                <c:ptCount val="3"/>
                <c:pt idx="0">
                  <c:v>Sentencia dictada</c:v>
                </c:pt>
                <c:pt idx="1">
                  <c:v>Recurso de apelación</c:v>
                </c:pt>
                <c:pt idx="2">
                  <c:v>Medida alterna</c:v>
                </c:pt>
              </c:strCache>
            </c:strRef>
          </c:cat>
          <c:val>
            <c:numRef>
              <c:f>'Tribunales Penales'!$A$38</c:f>
              <c:numCache>
                <c:formatCode>General</c:formatCode>
                <c:ptCount val="1"/>
                <c:pt idx="0">
                  <c:v>0</c:v>
                </c:pt>
              </c:numCache>
            </c:numRef>
          </c:val>
          <c:extLst>
            <c:ext xmlns:c16="http://schemas.microsoft.com/office/drawing/2014/chart" uri="{C3380CC4-5D6E-409C-BE32-E72D297353CC}">
              <c16:uniqueId val="{00000001-152E-4BD3-901A-263505228154}"/>
            </c:ext>
          </c:extLst>
        </c:ser>
        <c:dLbls>
          <c:dLblPos val="outEnd"/>
          <c:showLegendKey val="0"/>
          <c:showVal val="1"/>
          <c:showCatName val="0"/>
          <c:showSerName val="0"/>
          <c:showPercent val="0"/>
          <c:showBubbleSize val="0"/>
        </c:dLbls>
        <c:gapWidth val="219"/>
        <c:overlap val="-27"/>
        <c:axId val="973128703"/>
        <c:axId val="973134527"/>
      </c:barChart>
      <c:catAx>
        <c:axId val="9731287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973134527"/>
        <c:crosses val="autoZero"/>
        <c:auto val="1"/>
        <c:lblAlgn val="ctr"/>
        <c:lblOffset val="100"/>
        <c:noMultiLvlLbl val="0"/>
      </c:catAx>
      <c:valAx>
        <c:axId val="97313452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97312870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Book Antiqua" panose="02040602050305030304" pitchFamily="18" charset="0"/>
        </a:defRPr>
      </a:pPr>
      <a:endParaRPr lang="es-C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Flagrancia!$B$24</c:f>
              <c:strCache>
                <c:ptCount val="1"/>
                <c:pt idx="0">
                  <c:v>may-21</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Flagrancia!$A$25:$A$27</c:f>
              <c:strCache>
                <c:ptCount val="3"/>
                <c:pt idx="0">
                  <c:v>Audiencia inicial programada</c:v>
                </c:pt>
                <c:pt idx="1">
                  <c:v>Medida alterna</c:v>
                </c:pt>
                <c:pt idx="2">
                  <c:v>Sentencia dictada</c:v>
                </c:pt>
              </c:strCache>
            </c:strRef>
          </c:cat>
          <c:val>
            <c:numRef>
              <c:f>Flagrancia!$B$25:$B$27</c:f>
              <c:numCache>
                <c:formatCode>General</c:formatCode>
                <c:ptCount val="3"/>
                <c:pt idx="0">
                  <c:v>781</c:v>
                </c:pt>
                <c:pt idx="1">
                  <c:v>589</c:v>
                </c:pt>
                <c:pt idx="2">
                  <c:v>584</c:v>
                </c:pt>
              </c:numCache>
            </c:numRef>
          </c:val>
          <c:extLst>
            <c:ext xmlns:c16="http://schemas.microsoft.com/office/drawing/2014/chart" uri="{C3380CC4-5D6E-409C-BE32-E72D297353CC}">
              <c16:uniqueId val="{00000000-1F62-4492-A5AE-4A304BC13927}"/>
            </c:ext>
          </c:extLst>
        </c:ser>
        <c:dLbls>
          <c:dLblPos val="outEnd"/>
          <c:showLegendKey val="0"/>
          <c:showVal val="1"/>
          <c:showCatName val="0"/>
          <c:showSerName val="0"/>
          <c:showPercent val="0"/>
          <c:showBubbleSize val="0"/>
        </c:dLbls>
        <c:gapWidth val="219"/>
        <c:overlap val="-27"/>
        <c:axId val="521754224"/>
        <c:axId val="521764208"/>
      </c:barChart>
      <c:catAx>
        <c:axId val="521754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521764208"/>
        <c:crosses val="autoZero"/>
        <c:auto val="1"/>
        <c:lblAlgn val="ctr"/>
        <c:lblOffset val="100"/>
        <c:noMultiLvlLbl val="0"/>
      </c:catAx>
      <c:valAx>
        <c:axId val="521764208"/>
        <c:scaling>
          <c:orientation val="minMax"/>
          <c:max val="80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5217542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Book Antiqua" panose="02040602050305030304" pitchFamily="18" charset="0"/>
        </a:defRPr>
      </a:pPr>
      <a:endParaRPr lang="es-C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'Ejecución de la Pena'!$J$2</c:f>
              <c:strCache>
                <c:ptCount val="1"/>
                <c:pt idx="0">
                  <c:v>may-21</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'Ejecución de la Pena'!$I$3:$I$5</c:f>
              <c:strCache>
                <c:ptCount val="3"/>
                <c:pt idx="0">
                  <c:v>Expediente firmado</c:v>
                </c:pt>
                <c:pt idx="1">
                  <c:v>Asunto terminado</c:v>
                </c:pt>
                <c:pt idx="2">
                  <c:v>Audiencia realizada</c:v>
                </c:pt>
              </c:strCache>
            </c:strRef>
          </c:cat>
          <c:val>
            <c:numRef>
              <c:f>'Ejecución de la Pena'!$J$3:$J$5</c:f>
              <c:numCache>
                <c:formatCode>General</c:formatCode>
                <c:ptCount val="3"/>
                <c:pt idx="0">
                  <c:v>5203</c:v>
                </c:pt>
                <c:pt idx="1">
                  <c:v>1497</c:v>
                </c:pt>
                <c:pt idx="2">
                  <c:v>246</c:v>
                </c:pt>
              </c:numCache>
            </c:numRef>
          </c:val>
          <c:extLst>
            <c:ext xmlns:c16="http://schemas.microsoft.com/office/drawing/2014/chart" uri="{C3380CC4-5D6E-409C-BE32-E72D297353CC}">
              <c16:uniqueId val="{00000000-253A-4C02-81A7-01D975C69D1D}"/>
            </c:ext>
          </c:extLst>
        </c:ser>
        <c:dLbls>
          <c:dLblPos val="outEnd"/>
          <c:showLegendKey val="0"/>
          <c:showVal val="1"/>
          <c:showCatName val="0"/>
          <c:showSerName val="0"/>
          <c:showPercent val="0"/>
          <c:showBubbleSize val="0"/>
        </c:dLbls>
        <c:gapWidth val="219"/>
        <c:overlap val="-27"/>
        <c:axId val="361097583"/>
        <c:axId val="361095919"/>
      </c:barChart>
      <c:catAx>
        <c:axId val="3610975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361095919"/>
        <c:crosses val="autoZero"/>
        <c:auto val="1"/>
        <c:lblAlgn val="ctr"/>
        <c:lblOffset val="100"/>
        <c:noMultiLvlLbl val="0"/>
      </c:catAx>
      <c:valAx>
        <c:axId val="361095919"/>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36109758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Book Antiqua" panose="02040602050305030304" pitchFamily="18" charset="0"/>
        </a:defRPr>
      </a:pPr>
      <a:endParaRPr lang="es-C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Apelación!$B$26</c:f>
              <c:strCache>
                <c:ptCount val="1"/>
                <c:pt idx="0">
                  <c:v>may-21</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Apelación!$A$27:$A$30</c:f>
              <c:strCache>
                <c:ptCount val="4"/>
                <c:pt idx="0">
                  <c:v>Sentencias dictadas</c:v>
                </c:pt>
                <c:pt idx="1">
                  <c:v>Proyectos redactados no votados</c:v>
                </c:pt>
                <c:pt idx="2">
                  <c:v>Proyectos revisados no votados</c:v>
                </c:pt>
                <c:pt idx="3">
                  <c:v>Solicitudes de prisión preventiva resueltas</c:v>
                </c:pt>
              </c:strCache>
            </c:strRef>
          </c:cat>
          <c:val>
            <c:numRef>
              <c:f>Apelación!$B$27:$B$30</c:f>
              <c:numCache>
                <c:formatCode>General</c:formatCode>
                <c:ptCount val="4"/>
                <c:pt idx="0">
                  <c:v>278</c:v>
                </c:pt>
                <c:pt idx="1">
                  <c:v>180</c:v>
                </c:pt>
                <c:pt idx="2">
                  <c:v>140</c:v>
                </c:pt>
                <c:pt idx="3">
                  <c:v>112</c:v>
                </c:pt>
              </c:numCache>
            </c:numRef>
          </c:val>
          <c:extLst>
            <c:ext xmlns:c16="http://schemas.microsoft.com/office/drawing/2014/chart" uri="{C3380CC4-5D6E-409C-BE32-E72D297353CC}">
              <c16:uniqueId val="{00000000-3C6E-4A53-A4EE-2EE85243D731}"/>
            </c:ext>
          </c:extLst>
        </c:ser>
        <c:dLbls>
          <c:dLblPos val="outEnd"/>
          <c:showLegendKey val="0"/>
          <c:showVal val="1"/>
          <c:showCatName val="0"/>
          <c:showSerName val="0"/>
          <c:showPercent val="0"/>
          <c:showBubbleSize val="0"/>
        </c:dLbls>
        <c:gapWidth val="219"/>
        <c:overlap val="-27"/>
        <c:axId val="1097838480"/>
        <c:axId val="1097838896"/>
      </c:barChart>
      <c:catAx>
        <c:axId val="1097838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1097838896"/>
        <c:crosses val="autoZero"/>
        <c:auto val="1"/>
        <c:lblAlgn val="ctr"/>
        <c:lblOffset val="100"/>
        <c:noMultiLvlLbl val="0"/>
      </c:catAx>
      <c:valAx>
        <c:axId val="109783889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10978384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Book Antiqua" panose="02040602050305030304" pitchFamily="18" charset="0"/>
        </a:defRPr>
      </a:pPr>
      <a:endParaRPr lang="es-CR"/>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Sala!$C$3</c:f>
              <c:strCache>
                <c:ptCount val="1"/>
                <c:pt idx="0">
                  <c:v>may-21</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Sala!$B$4:$B$7</c:f>
              <c:strCache>
                <c:ptCount val="4"/>
                <c:pt idx="0">
                  <c:v>Revisión de expedientes/resoluciones</c:v>
                </c:pt>
                <c:pt idx="1">
                  <c:v>Clasificación de jurisprudencia</c:v>
                </c:pt>
                <c:pt idx="2">
                  <c:v>Votaciones</c:v>
                </c:pt>
                <c:pt idx="3">
                  <c:v>Proyecto de resolución</c:v>
                </c:pt>
              </c:strCache>
            </c:strRef>
          </c:cat>
          <c:val>
            <c:numRef>
              <c:f>Sala!$C$4:$C$7</c:f>
              <c:numCache>
                <c:formatCode>General</c:formatCode>
                <c:ptCount val="4"/>
                <c:pt idx="0">
                  <c:v>300</c:v>
                </c:pt>
                <c:pt idx="1">
                  <c:v>151</c:v>
                </c:pt>
                <c:pt idx="2">
                  <c:v>143</c:v>
                </c:pt>
                <c:pt idx="3">
                  <c:v>121</c:v>
                </c:pt>
              </c:numCache>
            </c:numRef>
          </c:val>
          <c:extLst>
            <c:ext xmlns:c16="http://schemas.microsoft.com/office/drawing/2014/chart" uri="{C3380CC4-5D6E-409C-BE32-E72D297353CC}">
              <c16:uniqueId val="{00000000-4576-4DEE-B48C-5644E8E96D2E}"/>
            </c:ext>
          </c:extLst>
        </c:ser>
        <c:dLbls>
          <c:dLblPos val="outEnd"/>
          <c:showLegendKey val="0"/>
          <c:showVal val="1"/>
          <c:showCatName val="0"/>
          <c:showSerName val="0"/>
          <c:showPercent val="0"/>
          <c:showBubbleSize val="0"/>
        </c:dLbls>
        <c:gapWidth val="219"/>
        <c:overlap val="-27"/>
        <c:axId val="358249935"/>
        <c:axId val="358250351"/>
      </c:barChart>
      <c:catAx>
        <c:axId val="3582499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358250351"/>
        <c:crosses val="autoZero"/>
        <c:auto val="1"/>
        <c:lblAlgn val="ctr"/>
        <c:lblOffset val="100"/>
        <c:noMultiLvlLbl val="0"/>
      </c:catAx>
      <c:valAx>
        <c:axId val="35825035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3582499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Book Antiqua" panose="02040602050305030304" pitchFamily="18" charset="0"/>
        </a:defRPr>
      </a:pPr>
      <a:endParaRPr lang="es-C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'Juzgados Penales'!$B$52</c:f>
              <c:strCache>
                <c:ptCount val="1"/>
                <c:pt idx="0">
                  <c:v>jun-21</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'Juzgados Penales'!$A$53:$A$55</c:f>
              <c:strCache>
                <c:ptCount val="3"/>
                <c:pt idx="0">
                  <c:v>Terminado por desestimación, sobreseimiento y acusación</c:v>
                </c:pt>
                <c:pt idx="1">
                  <c:v>Audiencia preliminar realizada</c:v>
                </c:pt>
                <c:pt idx="2">
                  <c:v>Vista oral realizada</c:v>
                </c:pt>
              </c:strCache>
            </c:strRef>
          </c:cat>
          <c:val>
            <c:numRef>
              <c:f>'Juzgados Penales'!$B$53:$B$55</c:f>
              <c:numCache>
                <c:formatCode>General</c:formatCode>
                <c:ptCount val="3"/>
                <c:pt idx="0">
                  <c:v>9500</c:v>
                </c:pt>
                <c:pt idx="1">
                  <c:v>2484</c:v>
                </c:pt>
                <c:pt idx="2">
                  <c:v>760</c:v>
                </c:pt>
              </c:numCache>
            </c:numRef>
          </c:val>
          <c:extLst>
            <c:ext xmlns:c16="http://schemas.microsoft.com/office/drawing/2014/chart" uri="{C3380CC4-5D6E-409C-BE32-E72D297353CC}">
              <c16:uniqueId val="{00000000-5764-42F9-9625-890962AEC8D4}"/>
            </c:ext>
          </c:extLst>
        </c:ser>
        <c:dLbls>
          <c:dLblPos val="outEnd"/>
          <c:showLegendKey val="0"/>
          <c:showVal val="1"/>
          <c:showCatName val="0"/>
          <c:showSerName val="0"/>
          <c:showPercent val="0"/>
          <c:showBubbleSize val="0"/>
        </c:dLbls>
        <c:gapWidth val="219"/>
        <c:overlap val="-27"/>
        <c:axId val="638600544"/>
        <c:axId val="638598880"/>
      </c:barChart>
      <c:catAx>
        <c:axId val="638600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638598880"/>
        <c:crosses val="autoZero"/>
        <c:auto val="1"/>
        <c:lblAlgn val="ctr"/>
        <c:lblOffset val="100"/>
        <c:noMultiLvlLbl val="0"/>
      </c:catAx>
      <c:valAx>
        <c:axId val="63859888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6386005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Book Antiqua" panose="02040602050305030304" pitchFamily="18" charset="0"/>
        </a:defRPr>
      </a:pPr>
      <a:endParaRPr lang="es-C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3849D4660A09454387890790F8DF9168" ma:contentTypeVersion="12" ma:contentTypeDescription="Crear nuevo documento." ma:contentTypeScope="" ma:versionID="ae509ef2fd48863513354701c2d1a5d0">
  <xsd:schema xmlns:xsd="http://www.w3.org/2001/XMLSchema" xmlns:xs="http://www.w3.org/2001/XMLSchema" xmlns:p="http://schemas.microsoft.com/office/2006/metadata/properties" xmlns:ns3="c9c5dd6f-3dc4-491e-92aa-580fa63c24d1" xmlns:ns4="8d8230ca-3ed5-415d-9bbe-b92bfb89c142" targetNamespace="http://schemas.microsoft.com/office/2006/metadata/properties" ma:root="true" ma:fieldsID="857fb63a6fa94dcebb8cbf26189eb43c" ns3:_="" ns4:_="">
    <xsd:import namespace="c9c5dd6f-3dc4-491e-92aa-580fa63c24d1"/>
    <xsd:import namespace="8d8230ca-3ed5-415d-9bbe-b92bfb89c142"/>
    <xsd:element name="properties">
      <xsd:complexType>
        <xsd:sequence>
          <xsd:element name="documentManagement">
            <xsd:complexType>
              <xsd:all>
                <xsd:element ref="ns3:SharedWithDetails" minOccurs="0"/>
                <xsd:element ref="ns3:SharingHintHash" minOccurs="0"/>
                <xsd:element ref="ns3:SharedWithUsers" minOccurs="0"/>
                <xsd:element ref="ns4:MediaServiceMetadata" minOccurs="0"/>
                <xsd:element ref="ns4:MediaServiceFastMetadata" minOccurs="0"/>
                <xsd:element ref="ns4:MediaServiceAutoTags" minOccurs="0"/>
                <xsd:element ref="ns4:MediaServiceOCR" minOccurs="0"/>
                <xsd:element ref="ns4:MediaServiceEventHashCode" minOccurs="0"/>
                <xsd:element ref="ns4:MediaServiceGenerationTime" minOccurs="0"/>
                <xsd:element ref="ns4:MediaServiceDateTake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c5dd6f-3dc4-491e-92aa-580fa63c24d1" elementFormDefault="qualified">
    <xsd:import namespace="http://schemas.microsoft.com/office/2006/documentManagement/types"/>
    <xsd:import namespace="http://schemas.microsoft.com/office/infopath/2007/PartnerControls"/>
    <xsd:element name="SharedWithDetails" ma:index="8" nillable="true" ma:displayName="Detalles de uso compartido" ma:description="" ma:internalName="SharedWithDetails" ma:readOnly="true">
      <xsd:simpleType>
        <xsd:restriction base="dms:Note">
          <xsd:maxLength value="255"/>
        </xsd:restriction>
      </xsd:simpleType>
    </xsd:element>
    <xsd:element name="SharingHintHash" ma:index="9" nillable="true" ma:displayName="Hash de la sugerencia para compartir" ma:description="" ma:hidden="true" ma:internalName="SharingHintHash" ma:readOnly="true">
      <xsd:simpleType>
        <xsd:restriction base="dms:Text"/>
      </xsd:simpleType>
    </xsd:element>
    <xsd:element name="SharedWithUsers" ma:index="10"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8230ca-3ed5-415d-9bbe-b92bfb89c14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7B18BB8-E453-4525-A7DF-4F7F6B379A33}">
  <ds:schemaRefs>
    <ds:schemaRef ds:uri="http://schemas.microsoft.com/sharepoint/v3/contenttype/forms"/>
  </ds:schemaRefs>
</ds:datastoreItem>
</file>

<file path=customXml/itemProps2.xml><?xml version="1.0" encoding="utf-8"?>
<ds:datastoreItem xmlns:ds="http://schemas.openxmlformats.org/officeDocument/2006/customXml" ds:itemID="{90AF0ACC-2795-4CD3-9B75-0757DA650803}">
  <ds:schemaRefs>
    <ds:schemaRef ds:uri="http://schemas.openxmlformats.org/officeDocument/2006/bibliography"/>
  </ds:schemaRefs>
</ds:datastoreItem>
</file>

<file path=customXml/itemProps3.xml><?xml version="1.0" encoding="utf-8"?>
<ds:datastoreItem xmlns:ds="http://schemas.openxmlformats.org/officeDocument/2006/customXml" ds:itemID="{7F0CE879-6147-4BA4-BAA5-A6CC1400FF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c5dd6f-3dc4-491e-92aa-580fa63c24d1"/>
    <ds:schemaRef ds:uri="8d8230ca-3ed5-415d-9bbe-b92bfb89c1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C9492A-3AFF-4D54-9526-ADE9C1C0BC23}">
  <ds:schemaRefs>
    <ds:schemaRef ds:uri="http://purl.org/dc/elements/1.1/"/>
    <ds:schemaRef ds:uri="http://schemas.microsoft.com/office/2006/metadata/properties"/>
    <ds:schemaRef ds:uri="c9c5dd6f-3dc4-491e-92aa-580fa63c24d1"/>
    <ds:schemaRef ds:uri="8d8230ca-3ed5-415d-9bbe-b92bfb89c142"/>
    <ds:schemaRef ds:uri="http://schemas.microsoft.com/office/infopath/2007/PartnerControls"/>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43412</Words>
  <Characters>238768</Characters>
  <Application>Microsoft Office Word</Application>
  <DocSecurity>0</DocSecurity>
  <Lines>1989</Lines>
  <Paragraphs>563</Paragraphs>
  <ScaleCrop>false</ScaleCrop>
  <HeadingPairs>
    <vt:vector size="2" baseType="variant">
      <vt:variant>
        <vt:lpstr>Título</vt:lpstr>
      </vt:variant>
      <vt:variant>
        <vt:i4>1</vt:i4>
      </vt:variant>
    </vt:vector>
  </HeadingPairs>
  <TitlesOfParts>
    <vt:vector size="1" baseType="lpstr">
      <vt:lpstr/>
    </vt:vector>
  </TitlesOfParts>
  <Company>Poder Judicial</Company>
  <LinksUpToDate>false</LinksUpToDate>
  <CharactersWithSpaces>281617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cchinchillac</dc:creator>
  <cp:keywords/>
  <dc:description/>
  <cp:lastModifiedBy>Arlene Ruiz Barrantes</cp:lastModifiedBy>
  <cp:revision>2</cp:revision>
  <cp:lastPrinted>2016-04-14T14:22:00Z</cp:lastPrinted>
  <dcterms:created xsi:type="dcterms:W3CDTF">2022-12-12T22:04:00Z</dcterms:created>
  <dcterms:modified xsi:type="dcterms:W3CDTF">2022-12-12T22:04:00Z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0x0101003849D4660A09454387890790F8DF9168</vt:lpwstr>
  </property>
</Properties>
</file>